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colors2.xml" ContentType="application/vnd.openxmlformats-officedocument.drawingml.diagramColors+xml"/>
  <Override PartName="/word/diagrams/colors3.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layout3.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iagrams/quickStyle3.xml" ContentType="application/vnd.openxmlformats-officedocument.drawingml.diagram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officeDocument/2006/relationships/extended-properties" Target="docProps/app.xml" /><Relationship Id="rId4"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DB693E" w:rsidRPr="00990D3B" w:rsidP="005D16C4" w14:paraId="6A021607" w14:textId="4B37705A">
      <w:pPr>
        <w:rPr>
          <w:rFonts w:ascii="Arial" w:hAnsi="Arial" w:cs="Arial"/>
          <w:sz w:val="20"/>
        </w:rPr>
      </w:pPr>
      <w:r w:rsidRPr="00600D9D">
        <w:rPr>
          <w:rFonts w:ascii="Arial" w:hAnsi="Arial" w:cs="Arial"/>
          <w:noProof/>
          <w:color w:val="000000" w:themeColor="text1"/>
          <w:sz w:val="20"/>
        </w:rPr>
        <w:drawing>
          <wp:anchor distT="0" distB="0" distL="114300" distR="114300" simplePos="0" relativeHeight="251681792" behindDoc="0" locked="0" layoutInCell="1" allowOverlap="1">
            <wp:simplePos x="0" y="0"/>
            <wp:positionH relativeFrom="page">
              <wp:align>center</wp:align>
            </wp:positionH>
            <wp:positionV relativeFrom="page">
              <wp:align>center</wp:align>
            </wp:positionV>
            <wp:extent cx="7772400" cy="10058400"/>
            <wp:effectExtent l="19050" t="19050" r="19050" b="19050"/>
            <wp:wrapNone/>
            <wp:docPr id="467" name="Picture 46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Picture 467">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7772400" cy="10058400"/>
                    </a:xfrm>
                    <a:prstGeom prst="rect">
                      <a:avLst/>
                    </a:prstGeom>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r w:rsidRPr="00990D3B" w:rsidR="00B21458">
        <w:rPr>
          <w:rFonts w:ascii="Arial" w:hAnsi="Arial" w:cs="Arial"/>
          <w:noProof/>
          <w:sz w:val="20"/>
        </w:rPr>
        <mc:AlternateContent>
          <mc:Choice Requires="wps">
            <w:drawing>
              <wp:anchor distT="0" distB="0" distL="114300" distR="114300" simplePos="0" relativeHeight="252006400" behindDoc="0" locked="0" layoutInCell="1" allowOverlap="1">
                <wp:simplePos x="0" y="0"/>
                <wp:positionH relativeFrom="column">
                  <wp:posOffset>4000500</wp:posOffset>
                </wp:positionH>
                <wp:positionV relativeFrom="paragraph">
                  <wp:posOffset>-655955</wp:posOffset>
                </wp:positionV>
                <wp:extent cx="2305050" cy="431800"/>
                <wp:effectExtent l="0" t="0" r="0" b="6350"/>
                <wp:wrapNone/>
                <wp:docPr id="2750598"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05050" cy="431800"/>
                        </a:xfrm>
                        <a:prstGeom prst="rect">
                          <a:avLst/>
                        </a:prstGeom>
                        <a:solidFill>
                          <a:schemeClr val="lt1"/>
                        </a:solidFill>
                        <a:ln w="6350">
                          <a:noFill/>
                        </a:ln>
                      </wps:spPr>
                      <wps:txbx>
                        <w:txbxContent>
                          <w:p w:rsidR="00B21458" w:rsidRPr="00B21458" w:rsidP="00B21458" w14:textId="4B40865A">
                            <w:pPr>
                              <w:spacing w:after="0" w:line="240" w:lineRule="auto"/>
                              <w:rPr>
                                <w:rFonts w:asciiTheme="majorHAnsi" w:hAnsiTheme="majorHAnsi" w:cstheme="majorHAnsi"/>
                                <w:sz w:val="22"/>
                                <w:szCs w:val="18"/>
                              </w:rPr>
                            </w:pPr>
                            <w:r w:rsidRPr="00B21458">
                              <w:rPr>
                                <w:rFonts w:asciiTheme="majorHAnsi" w:hAnsiTheme="majorHAnsi" w:cstheme="majorHAnsi"/>
                                <w:sz w:val="22"/>
                                <w:szCs w:val="18"/>
                              </w:rPr>
                              <w:t xml:space="preserve">OMB </w:t>
                            </w:r>
                            <w:r w:rsidR="00FB4B69">
                              <w:rPr>
                                <w:rFonts w:asciiTheme="majorHAnsi" w:hAnsiTheme="majorHAnsi" w:cstheme="majorHAnsi"/>
                                <w:sz w:val="22"/>
                                <w:szCs w:val="18"/>
                              </w:rPr>
                              <w:t>C</w:t>
                            </w:r>
                            <w:r w:rsidRPr="00B21458">
                              <w:rPr>
                                <w:rFonts w:asciiTheme="majorHAnsi" w:hAnsiTheme="majorHAnsi" w:cstheme="majorHAnsi"/>
                                <w:sz w:val="22"/>
                                <w:szCs w:val="18"/>
                              </w:rPr>
                              <w:t xml:space="preserve">ontrol No. </w:t>
                            </w:r>
                            <w:r w:rsidR="00990D3B">
                              <w:rPr>
                                <w:rFonts w:asciiTheme="majorHAnsi" w:hAnsiTheme="majorHAnsi" w:cstheme="majorHAnsi"/>
                                <w:sz w:val="22"/>
                                <w:szCs w:val="18"/>
                              </w:rPr>
                              <w:t>0938-0786</w:t>
                            </w:r>
                          </w:p>
                          <w:p w:rsidR="00B21458" w:rsidRPr="00B21458" w:rsidP="00B21458" w14:textId="6B31B795">
                            <w:pPr>
                              <w:spacing w:after="0" w:line="240" w:lineRule="auto"/>
                              <w:rPr>
                                <w:rFonts w:asciiTheme="majorHAnsi" w:hAnsiTheme="majorHAnsi" w:cstheme="majorHAnsi"/>
                                <w:sz w:val="22"/>
                                <w:szCs w:val="18"/>
                              </w:rPr>
                            </w:pPr>
                            <w:r w:rsidRPr="00B21458">
                              <w:rPr>
                                <w:rFonts w:asciiTheme="majorHAnsi" w:hAnsiTheme="majorHAnsi" w:cstheme="majorHAnsi"/>
                                <w:sz w:val="22"/>
                                <w:szCs w:val="18"/>
                              </w:rPr>
                              <w:t>Expires</w:t>
                            </w:r>
                            <w:r w:rsidR="008A44AB">
                              <w:rPr>
                                <w:rFonts w:asciiTheme="majorHAnsi" w:hAnsiTheme="majorHAnsi" w:cstheme="majorHAnsi"/>
                                <w:sz w:val="22"/>
                                <w:szCs w:val="18"/>
                              </w:rPr>
                              <w:t xml:space="preserve">: </w:t>
                            </w:r>
                            <w:r w:rsidR="00990D3B">
                              <w:rPr>
                                <w:rFonts w:asciiTheme="majorHAnsi" w:hAnsiTheme="majorHAnsi" w:cstheme="majorHAnsi"/>
                                <w:sz w:val="22"/>
                                <w:szCs w:val="18"/>
                              </w:rPr>
                              <w:t>TBD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181.5pt;height:34pt;margin-top:-51.65pt;margin-left:315pt;mso-height-percent:0;mso-height-relative:margin;mso-width-percent:0;mso-width-relative:margin;mso-wrap-distance-bottom:0;mso-wrap-distance-left:9pt;mso-wrap-distance-right:9pt;mso-wrap-distance-top:0;mso-wrap-style:square;position:absolute;visibility:visible;v-text-anchor:top;z-index:252007424" fillcolor="white" stroked="f" strokeweight="0.5pt">
                <v:textbox>
                  <w:txbxContent>
                    <w:p w:rsidR="00B21458" w:rsidRPr="00B21458" w:rsidP="00B21458" w14:paraId="06F8CB59" w14:textId="4B40865A">
                      <w:pPr>
                        <w:spacing w:after="0" w:line="240" w:lineRule="auto"/>
                        <w:rPr>
                          <w:rFonts w:asciiTheme="majorHAnsi" w:hAnsiTheme="majorHAnsi" w:cstheme="majorHAnsi"/>
                          <w:sz w:val="22"/>
                          <w:szCs w:val="18"/>
                        </w:rPr>
                      </w:pPr>
                      <w:r w:rsidRPr="00B21458">
                        <w:rPr>
                          <w:rFonts w:asciiTheme="majorHAnsi" w:hAnsiTheme="majorHAnsi" w:cstheme="majorHAnsi"/>
                          <w:sz w:val="22"/>
                          <w:szCs w:val="18"/>
                        </w:rPr>
                        <w:t xml:space="preserve">OMB </w:t>
                      </w:r>
                      <w:r w:rsidR="00FB4B69">
                        <w:rPr>
                          <w:rFonts w:asciiTheme="majorHAnsi" w:hAnsiTheme="majorHAnsi" w:cstheme="majorHAnsi"/>
                          <w:sz w:val="22"/>
                          <w:szCs w:val="18"/>
                        </w:rPr>
                        <w:t>C</w:t>
                      </w:r>
                      <w:r w:rsidRPr="00B21458">
                        <w:rPr>
                          <w:rFonts w:asciiTheme="majorHAnsi" w:hAnsiTheme="majorHAnsi" w:cstheme="majorHAnsi"/>
                          <w:sz w:val="22"/>
                          <w:szCs w:val="18"/>
                        </w:rPr>
                        <w:t xml:space="preserve">ontrol No. </w:t>
                      </w:r>
                      <w:r w:rsidR="00990D3B">
                        <w:rPr>
                          <w:rFonts w:asciiTheme="majorHAnsi" w:hAnsiTheme="majorHAnsi" w:cstheme="majorHAnsi"/>
                          <w:sz w:val="22"/>
                          <w:szCs w:val="18"/>
                        </w:rPr>
                        <w:t>0938-0786</w:t>
                      </w:r>
                    </w:p>
                    <w:p w:rsidR="00B21458" w:rsidRPr="00B21458" w:rsidP="00B21458" w14:paraId="0088D6CF" w14:textId="6B31B795">
                      <w:pPr>
                        <w:spacing w:after="0" w:line="240" w:lineRule="auto"/>
                        <w:rPr>
                          <w:rFonts w:asciiTheme="majorHAnsi" w:hAnsiTheme="majorHAnsi" w:cstheme="majorHAnsi"/>
                          <w:sz w:val="22"/>
                          <w:szCs w:val="18"/>
                        </w:rPr>
                      </w:pPr>
                      <w:r w:rsidRPr="00B21458">
                        <w:rPr>
                          <w:rFonts w:asciiTheme="majorHAnsi" w:hAnsiTheme="majorHAnsi" w:cstheme="majorHAnsi"/>
                          <w:sz w:val="22"/>
                          <w:szCs w:val="18"/>
                        </w:rPr>
                        <w:t>Expires</w:t>
                      </w:r>
                      <w:r w:rsidR="008A44AB">
                        <w:rPr>
                          <w:rFonts w:asciiTheme="majorHAnsi" w:hAnsiTheme="majorHAnsi" w:cstheme="majorHAnsi"/>
                          <w:sz w:val="22"/>
                          <w:szCs w:val="18"/>
                        </w:rPr>
                        <w:t xml:space="preserve">: </w:t>
                      </w:r>
                      <w:r w:rsidR="00990D3B">
                        <w:rPr>
                          <w:rFonts w:asciiTheme="majorHAnsi" w:hAnsiTheme="majorHAnsi" w:cstheme="majorHAnsi"/>
                          <w:sz w:val="22"/>
                          <w:szCs w:val="18"/>
                        </w:rPr>
                        <w:t>TBD</w:t>
                      </w:r>
                    </w:p>
                  </w:txbxContent>
                </v:textbox>
              </v:shape>
            </w:pict>
          </mc:Fallback>
        </mc:AlternateContent>
      </w:r>
    </w:p>
    <w:p w:rsidR="00DB693E" w:rsidRPr="00990D3B" w:rsidP="005D16C4" w14:paraId="31DF363D" w14:textId="6EA3A690">
      <w:pPr>
        <w:rPr>
          <w:rFonts w:ascii="Arial" w:hAnsi="Arial" w:cs="Arial"/>
          <w:sz w:val="20"/>
        </w:rPr>
      </w:pPr>
    </w:p>
    <w:p w:rsidR="00DB693E" w:rsidRPr="00990D3B" w:rsidP="005D16C4" w14:paraId="6E5431EB" w14:textId="69070B18">
      <w:pPr>
        <w:rPr>
          <w:rFonts w:ascii="Arial" w:hAnsi="Arial" w:cs="Arial"/>
          <w:sz w:val="20"/>
        </w:rPr>
      </w:pPr>
    </w:p>
    <w:p w:rsidR="002A599E" w:rsidRPr="00990D3B" w:rsidP="00F35BB2" w14:paraId="1AAD56B7" w14:textId="377AA591">
      <w:pPr>
        <w:spacing w:after="120"/>
        <w:rPr>
          <w:rFonts w:ascii="Arial" w:hAnsi="Arial" w:cs="Arial"/>
          <w:sz w:val="16"/>
          <w:szCs w:val="16"/>
        </w:rPr>
      </w:pPr>
      <w:r w:rsidRPr="00990D3B">
        <w:rPr>
          <w:rFonts w:ascii="Arial" w:hAnsi="Arial" w:cs="Arial"/>
          <w:sz w:val="16"/>
          <w:szCs w:val="16"/>
        </w:rPr>
        <w:t>OMB Control No. 0938-0786</w:t>
      </w:r>
    </w:p>
    <w:p w:rsidR="00DB693E" w:rsidRPr="00990D3B" w:rsidP="00F35BB2" w14:paraId="7986632F" w14:textId="29558915">
      <w:pPr>
        <w:spacing w:after="120"/>
        <w:rPr>
          <w:rFonts w:ascii="Arial" w:hAnsi="Arial" w:cs="Arial"/>
          <w:sz w:val="16"/>
          <w:szCs w:val="16"/>
        </w:rPr>
      </w:pPr>
      <w:r w:rsidRPr="00990D3B">
        <w:rPr>
          <w:rFonts w:ascii="Arial" w:hAnsi="Arial" w:cs="Arial"/>
          <w:sz w:val="16"/>
          <w:szCs w:val="16"/>
        </w:rPr>
        <w:t xml:space="preserve">Expires: </w:t>
      </w:r>
      <w:r w:rsidRPr="00990D3B" w:rsidR="00CC66EA">
        <w:rPr>
          <w:rFonts w:ascii="Arial" w:hAnsi="Arial" w:cs="Arial"/>
          <w:sz w:val="16"/>
          <w:szCs w:val="16"/>
        </w:rPr>
        <w:t>December 31, 2025</w:t>
      </w:r>
    </w:p>
    <w:p w:rsidR="005D16C4" w:rsidRPr="00990D3B" w:rsidP="00F35BB2" w14:paraId="35CBB8B1" w14:textId="6E09820F">
      <w:pPr>
        <w:spacing w:after="120"/>
        <w:outlineLvl w:val="0"/>
        <w:rPr>
          <w:rFonts w:ascii="Arial" w:hAnsi="Arial" w:cs="Arial"/>
          <w:sz w:val="16"/>
          <w:szCs w:val="16"/>
        </w:rPr>
      </w:pPr>
      <w:r w:rsidRPr="00990D3B">
        <w:rPr>
          <w:rFonts w:ascii="Arial" w:hAnsi="Arial" w:cs="Arial"/>
          <w:sz w:val="16"/>
          <w:szCs w:val="16"/>
        </w:rPr>
        <w:t>CMS External Quality Review (EQR) Protocols</w:t>
      </w:r>
    </w:p>
    <w:p w:rsidR="00DB693E" w:rsidRPr="00990D3B" w:rsidP="00F35BB2" w14:paraId="532606DC" w14:textId="2C8B2C15">
      <w:pPr>
        <w:spacing w:after="120"/>
        <w:rPr>
          <w:rFonts w:ascii="Arial" w:hAnsi="Arial" w:cs="Arial"/>
          <w:sz w:val="16"/>
          <w:szCs w:val="16"/>
        </w:rPr>
      </w:pPr>
      <w:r w:rsidRPr="00990D3B">
        <w:rPr>
          <w:rFonts w:ascii="Arial" w:hAnsi="Arial" w:cs="Arial"/>
          <w:sz w:val="16"/>
          <w:szCs w:val="16"/>
        </w:rPr>
        <w:t>February 2023</w:t>
      </w:r>
    </w:p>
    <w:p w:rsidR="000F5542" w:rsidRPr="00990D3B" w:rsidP="00F35BB2" w14:paraId="731CD0C4" w14:textId="27EF02F6">
      <w:pPr>
        <w:spacing w:after="120"/>
        <w:rPr>
          <w:rFonts w:ascii="Arial" w:hAnsi="Arial" w:cs="Arial"/>
          <w:sz w:val="16"/>
          <w:szCs w:val="16"/>
        </w:rPr>
      </w:pPr>
      <w:r w:rsidRPr="00990D3B">
        <w:rPr>
          <w:rFonts w:ascii="Arial" w:hAnsi="Arial" w:cs="Arial"/>
          <w:sz w:val="16"/>
          <w:szCs w:val="16"/>
        </w:rPr>
        <w:t xml:space="preserve">U.S. </w:t>
      </w:r>
      <w:r w:rsidRPr="00990D3B" w:rsidR="00653254">
        <w:rPr>
          <w:rFonts w:ascii="Arial" w:hAnsi="Arial" w:cs="Arial"/>
          <w:sz w:val="16"/>
          <w:szCs w:val="16"/>
        </w:rPr>
        <w:t>Department of Health and Human Services logo</w:t>
      </w:r>
    </w:p>
    <w:p w:rsidR="00653254" w:rsidRPr="00990D3B" w:rsidP="00F35BB2" w14:paraId="654D06D0" w14:textId="3645C55D">
      <w:pPr>
        <w:spacing w:after="120"/>
        <w:rPr>
          <w:rFonts w:ascii="Arial" w:hAnsi="Arial" w:cs="Arial"/>
          <w:sz w:val="16"/>
          <w:szCs w:val="16"/>
        </w:rPr>
      </w:pPr>
      <w:r w:rsidRPr="00990D3B">
        <w:rPr>
          <w:rFonts w:ascii="Arial" w:hAnsi="Arial" w:cs="Arial"/>
          <w:sz w:val="16"/>
          <w:szCs w:val="16"/>
        </w:rPr>
        <w:t>Centers for Medicare &amp; Medicaid Services (CMS) logo</w:t>
      </w:r>
    </w:p>
    <w:p w:rsidR="00653254" w:rsidRPr="00990D3B" w:rsidP="00F35BB2" w14:paraId="331CC23B" w14:textId="2E62F824">
      <w:pPr>
        <w:spacing w:after="120"/>
        <w:rPr>
          <w:rFonts w:ascii="Arial" w:hAnsi="Arial" w:cs="Arial"/>
          <w:sz w:val="16"/>
          <w:szCs w:val="16"/>
        </w:rPr>
      </w:pPr>
      <w:r w:rsidRPr="00990D3B">
        <w:rPr>
          <w:rFonts w:ascii="Arial" w:hAnsi="Arial" w:cs="Arial"/>
          <w:noProof/>
          <w:sz w:val="16"/>
          <w:szCs w:val="16"/>
        </w:rPr>
        <mc:AlternateContent>
          <mc:Choice Requires="wps">
            <w:drawing>
              <wp:anchor distT="0" distB="0" distL="114300" distR="114300" simplePos="0" relativeHeight="252012544" behindDoc="0" locked="0" layoutInCell="1" allowOverlap="1">
                <wp:simplePos x="0" y="0"/>
                <wp:positionH relativeFrom="column">
                  <wp:posOffset>-76200</wp:posOffset>
                </wp:positionH>
                <wp:positionV relativeFrom="paragraph">
                  <wp:posOffset>694690</wp:posOffset>
                </wp:positionV>
                <wp:extent cx="3378200" cy="368300"/>
                <wp:effectExtent l="0" t="0" r="0" b="0"/>
                <wp:wrapNone/>
                <wp:docPr id="1177339745"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3378200" cy="3683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3B04B8" w:rsidRPr="00990D3B" w14:textId="0D9F1C6B">
                            <w:pPr>
                              <w:jc w:val="left"/>
                              <w:rPr>
                                <w:rFonts w:asciiTheme="majorHAnsi" w:hAnsiTheme="majorHAnsi" w:cstheme="majorHAnsi"/>
                                <w:bCs/>
                                <w:color w:val="FFFFFF" w:themeColor="background1"/>
                                <w14:shadow w14:blurRad="38100" w14:dist="19050" w14:dir="2700000" w14:sx="100000" w14:sy="100000" w14:kx="0" w14:ky="0" w14:algn="tl">
                                  <w14:schemeClr w14:val="dk1">
                                    <w14:alpha w14:val="60000"/>
                                  </w14:schemeClr>
                                </w14:shadow>
                                <w14:textOutline w14:w="0">
                                  <w14:noFill/>
                                  <w14:prstDash w14:val="solid"/>
                                  <w14:round/>
                                </w14:textOutline>
                              </w:rPr>
                            </w:pPr>
                            <w:r w:rsidRPr="00990D3B">
                              <w:rPr>
                                <w:rFonts w:asciiTheme="majorHAnsi" w:hAnsiTheme="majorHAnsi" w:cstheme="majorHAnsi"/>
                                <w:bCs/>
                                <w:color w:val="FFFFFF" w:themeColor="background1"/>
                                <w14:shadow w14:blurRad="38100" w14:dist="19050" w14:dir="2700000" w14:sx="100000" w14:sy="100000" w14:kx="0" w14:ky="0" w14:algn="tl">
                                  <w14:schemeClr w14:val="dk1">
                                    <w14:alpha w14:val="60000"/>
                                  </w14:schemeClr>
                                </w14:shadow>
                                <w14:textOutline w14:w="0">
                                  <w14:noFill/>
                                  <w14:prstDash w14:val="solid"/>
                                  <w14:round/>
                                </w14:textOutline>
                              </w:rPr>
                              <w:t>[Month]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6" style="width:266pt;height:29pt;margin-top:54.7pt;margin-left:-6pt;mso-height-percent:0;mso-height-relative:margin;mso-width-percent:0;mso-width-relative:margin;mso-wrap-distance-bottom:0;mso-wrap-distance-left:9pt;mso-wrap-distance-right:9pt;mso-wrap-distance-top:0;mso-wrap-style:square;position:absolute;visibility:visible;v-text-anchor:middle;z-index:252013568" fillcolor="#00828c" stroked="f" strokeweight="1pt">
                <v:textbox>
                  <w:txbxContent>
                    <w:p w:rsidR="003B04B8" w:rsidRPr="00990D3B" w14:paraId="7A357CCD" w14:textId="0D9F1C6B">
                      <w:pPr>
                        <w:jc w:val="left"/>
                        <w:rPr>
                          <w:rFonts w:asciiTheme="majorHAnsi" w:hAnsiTheme="majorHAnsi" w:cstheme="majorHAnsi"/>
                          <w:bCs/>
                          <w:color w:val="FFFFFF" w:themeColor="background1"/>
                          <w14:shadow w14:blurRad="38100" w14:dist="19050" w14:dir="2700000" w14:sx="100000" w14:sy="100000" w14:kx="0" w14:ky="0" w14:algn="tl">
                            <w14:schemeClr w14:val="dk1">
                              <w14:alpha w14:val="60000"/>
                            </w14:schemeClr>
                          </w14:shadow>
                          <w14:textOutline w14:w="0">
                            <w14:noFill/>
                            <w14:prstDash w14:val="solid"/>
                            <w14:round/>
                          </w14:textOutline>
                        </w:rPr>
                      </w:pPr>
                      <w:r w:rsidRPr="00990D3B">
                        <w:rPr>
                          <w:rFonts w:asciiTheme="majorHAnsi" w:hAnsiTheme="majorHAnsi" w:cstheme="majorHAnsi"/>
                          <w:bCs/>
                          <w:color w:val="FFFFFF" w:themeColor="background1"/>
                          <w14:shadow w14:blurRad="38100" w14:dist="19050" w14:dir="2700000" w14:sx="100000" w14:sy="100000" w14:kx="0" w14:ky="0" w14:algn="tl">
                            <w14:schemeClr w14:val="dk1">
                              <w14:alpha w14:val="60000"/>
                            </w14:schemeClr>
                          </w14:shadow>
                          <w14:textOutline w14:w="0">
                            <w14:noFill/>
                            <w14:prstDash w14:val="solid"/>
                            <w14:round/>
                          </w14:textOutline>
                        </w:rPr>
                        <w:t>[Month] 2026</w:t>
                      </w:r>
                    </w:p>
                  </w:txbxContent>
                </v:textbox>
              </v:rect>
            </w:pict>
          </mc:Fallback>
        </mc:AlternateContent>
      </w:r>
      <w:r w:rsidRPr="00990D3B" w:rsidR="00653254">
        <w:rPr>
          <w:rFonts w:ascii="Arial" w:hAnsi="Arial" w:cs="Arial"/>
          <w:sz w:val="16"/>
          <w:szCs w:val="16"/>
        </w:rPr>
        <w:t>According to the Paperwork Reduction Act of 1995, no persons are required</w:t>
      </w:r>
      <w:r w:rsidRPr="00990D3B" w:rsidR="00E83559">
        <w:rPr>
          <w:rFonts w:ascii="Arial" w:hAnsi="Arial" w:cs="Arial"/>
          <w:sz w:val="16"/>
          <w:szCs w:val="16"/>
        </w:rPr>
        <w:t xml:space="preserve"> to respond to a collection of information unless it displays a valid OMB control number. The valid OMB control number for this information collection is 093</w:t>
      </w:r>
      <w:r w:rsidRPr="00990D3B" w:rsidR="00DB6F8D">
        <w:rPr>
          <w:rFonts w:ascii="Arial" w:hAnsi="Arial" w:cs="Arial"/>
          <w:sz w:val="16"/>
          <w:szCs w:val="16"/>
        </w:rPr>
        <w:t>8-0786. The time required to complete this information collection is estimated to average 7,</w:t>
      </w:r>
      <w:r w:rsidRPr="00990D3B" w:rsidR="00EF5278">
        <w:rPr>
          <w:rFonts w:ascii="Arial" w:hAnsi="Arial" w:cs="Arial"/>
          <w:sz w:val="16"/>
          <w:szCs w:val="16"/>
        </w:rPr>
        <w:t>688 hours per response for state governments and 185 hours per response for the private sector, including the time to review</w:t>
      </w:r>
      <w:r w:rsidRPr="00990D3B" w:rsidR="00AA5397">
        <w:rPr>
          <w:rFonts w:ascii="Arial" w:hAnsi="Arial" w:cs="Arial"/>
          <w:sz w:val="16"/>
          <w:szCs w:val="16"/>
        </w:rPr>
        <w:t xml:space="preserve">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w:t>
      </w:r>
      <w:r w:rsidRPr="00990D3B" w:rsidR="00F35BB2">
        <w:rPr>
          <w:rFonts w:ascii="Arial" w:hAnsi="Arial" w:cs="Arial"/>
          <w:sz w:val="16"/>
          <w:szCs w:val="16"/>
        </w:rPr>
        <w:t xml:space="preserve"> Clearance Officer, Mail Stop C4-26-05, Baltimore, Maryland 21244-1850.</w:t>
      </w:r>
    </w:p>
    <w:p w:rsidR="00C85D38" w:rsidRPr="00990D3B" w:rsidP="00C85D38" w14:paraId="2396A1C0" w14:textId="55557A08">
      <w:pPr>
        <w:rPr>
          <w:sz w:val="23"/>
          <w:szCs w:val="23"/>
        </w:rPr>
      </w:pPr>
    </w:p>
    <w:p w:rsidR="00306B28" w:rsidRPr="00990D3B" w:rsidP="00C85D38" w14:paraId="197C4B6B" w14:textId="77777777">
      <w:pPr>
        <w:rPr>
          <w:sz w:val="23"/>
          <w:szCs w:val="23"/>
        </w:rPr>
        <w:sectPr w:rsidSect="005B57EF">
          <w:headerReference w:type="default" r:id="rId12"/>
          <w:footerReference w:type="default" r:id="rId13"/>
          <w:headerReference w:type="first" r:id="rId14"/>
          <w:footerReference w:type="first" r:id="rId15"/>
          <w:pgSz w:w="12240" w:h="15840" w:code="1"/>
          <w:pgMar w:top="864" w:right="1440" w:bottom="1152" w:left="1440" w:header="720" w:footer="0" w:gutter="0"/>
          <w:pgNumType w:start="1"/>
          <w:cols w:space="720"/>
          <w:docGrid w:linePitch="360"/>
        </w:sectPr>
      </w:pPr>
    </w:p>
    <w:p w:rsidR="008F7B45" w:rsidRPr="00990D3B" w:rsidP="00784D2F" w14:paraId="172F55CB" w14:textId="2797C783">
      <w:pPr>
        <w:pStyle w:val="Blank"/>
      </w:pPr>
      <w:r w:rsidRPr="00990D3B">
        <w:t>This page left blank for double-sided copyin</w:t>
      </w:r>
      <w:r w:rsidRPr="00990D3B" w:rsidR="001944D3">
        <w:t>g</w:t>
      </w:r>
      <w:r w:rsidRPr="00990D3B" w:rsidR="002F5EE7">
        <w:t>.</w:t>
      </w:r>
    </w:p>
    <w:p w:rsidR="002F5EE7" w:rsidRPr="00990D3B" w:rsidP="00A9197C" w14:paraId="042CD671" w14:textId="77777777">
      <w:pPr>
        <w:pStyle w:val="BLANKPAGE"/>
        <w:sectPr w:rsidSect="00E608CD">
          <w:headerReference w:type="even" r:id="rId16"/>
          <w:headerReference w:type="default" r:id="rId17"/>
          <w:footerReference w:type="even" r:id="rId18"/>
          <w:footerReference w:type="default" r:id="rId19"/>
          <w:headerReference w:type="first" r:id="rId20"/>
          <w:footerReference w:type="first" r:id="rId21"/>
          <w:pgSz w:w="12240" w:h="15840" w:code="1"/>
          <w:pgMar w:top="864" w:right="1440" w:bottom="1152" w:left="1440" w:header="720" w:footer="0" w:gutter="0"/>
          <w:pgNumType w:fmt="lowerRoman"/>
          <w:cols w:space="720"/>
          <w:docGrid w:linePitch="360"/>
        </w:sectPr>
      </w:pPr>
    </w:p>
    <w:p w:rsidR="00E65FA5" w:rsidRPr="00990D3B" w:rsidP="005A0F4E" w14:paraId="22696FCF" w14:textId="3B99B6CE">
      <w:pPr>
        <w:pStyle w:val="TOC"/>
      </w:pPr>
      <w:r w:rsidRPr="00990D3B">
        <w:t xml:space="preserve">CMS </w:t>
      </w:r>
      <w:r w:rsidRPr="00990D3B">
        <w:t>E</w:t>
      </w:r>
      <w:r w:rsidRPr="00990D3B">
        <w:t>xternal Quality Review (EQR)</w:t>
      </w:r>
      <w:r w:rsidRPr="00990D3B">
        <w:t xml:space="preserve"> Protocols Table of Contents</w:t>
      </w:r>
    </w:p>
    <w:p w:rsidR="00E65FA5" w:rsidRPr="00990D3B" w:rsidP="00E65FA5" w14:paraId="41F32C58" w14:textId="30794130">
      <w:pPr>
        <w:pStyle w:val="Subtitle"/>
      </w:pPr>
      <w:r w:rsidRPr="00990D3B">
        <w:rPr>
          <w:noProof/>
        </w:rPr>
        <w:drawing>
          <wp:inline distT="0" distB="0" distL="0" distR="0">
            <wp:extent cx="5117602" cy="1197866"/>
            <wp:effectExtent l="0" t="0" r="6985" b="2540"/>
            <wp:docPr id="4" name="Picture 4" descr="TIP: Use the go now! buttons to navigate to EQR protocols and appendices. An image of  a sample go now! button is included to the right of the TIP. Buttons are blue circles that contain a single number 1 through 9 or single letter A through D. Numbers represent Protocols and letters represent Append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P: Use the go now! buttons to navigate to EQR protocols and appendices. An image of  a sample go now! button is included to the right of the TIP. Buttons are blue circles that contain a single number 1 through 9 or single letter A through D. Numbers represent Protocols and letters represent Appendices."/>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117602" cy="1197866"/>
                    </a:xfrm>
                    <a:prstGeom prst="rect">
                      <a:avLst/>
                    </a:prstGeom>
                  </pic:spPr>
                </pic:pic>
              </a:graphicData>
            </a:graphic>
          </wp:inline>
        </w:drawing>
      </w:r>
    </w:p>
    <w:sdt>
      <w:sdtPr>
        <w:rPr>
          <w:rFonts w:asciiTheme="minorHAnsi" w:eastAsiaTheme="minorEastAsia" w:hAnsiTheme="minorHAnsi"/>
          <w:b/>
          <w:bCs/>
          <w:noProof w:val="0"/>
          <w:color w:val="000000" w:themeColor="text1"/>
        </w:rPr>
        <w:id w:val="-962956099"/>
        <w:docPartObj>
          <w:docPartGallery w:val="Table of Contents"/>
          <w:docPartUnique/>
        </w:docPartObj>
      </w:sdtPr>
      <w:sdtEndPr>
        <w:rPr>
          <w:b w:val="0"/>
          <w:bCs w:val="0"/>
          <w:noProof/>
          <w:color w:val="auto"/>
        </w:rPr>
      </w:sdtEndPr>
      <w:sdtContent>
        <w:p w:rsidR="00676731" w:rsidRPr="00990D3B" w14:paraId="445CF308" w14:textId="7C3BF6A2">
          <w:pPr>
            <w:pStyle w:val="TOC1"/>
            <w:rPr>
              <w:rFonts w:asciiTheme="minorHAnsi" w:eastAsiaTheme="minorEastAsia" w:hAnsiTheme="minorHAnsi" w:cstheme="minorBidi"/>
              <w:kern w:val="2"/>
              <w:sz w:val="24"/>
              <w:szCs w:val="24"/>
              <w14:ligatures w14:val="standardContextual"/>
            </w:rPr>
          </w:pPr>
          <w:r w:rsidRPr="00990D3B">
            <w:rPr>
              <w:noProof w:val="0"/>
            </w:rPr>
            <w:fldChar w:fldCharType="begin"/>
          </w:r>
          <w:r w:rsidRPr="00990D3B">
            <w:instrText xml:space="preserve"> TOC \h \z \t "Acknowledgment,1,Appendix Title,8,Attachment Title,1,H1,1,ES H1,1,H2,2" </w:instrText>
          </w:r>
          <w:r w:rsidRPr="00990D3B">
            <w:rPr>
              <w:noProof w:val="0"/>
            </w:rPr>
            <w:fldChar w:fldCharType="separate"/>
          </w:r>
          <w:hyperlink w:anchor="_Toc201751320" w:history="1">
            <w:r w:rsidRPr="00990D3B">
              <w:rPr>
                <w:rStyle w:val="Hyperlink"/>
              </w:rPr>
              <w:t>Introduction</w:t>
            </w:r>
            <w:r w:rsidRPr="00990D3B">
              <w:rPr>
                <w:webHidden/>
              </w:rPr>
              <w:tab/>
            </w:r>
            <w:r w:rsidRPr="00990D3B">
              <w:rPr>
                <w:webHidden/>
              </w:rPr>
              <w:fldChar w:fldCharType="begin"/>
            </w:r>
            <w:r w:rsidRPr="00990D3B">
              <w:rPr>
                <w:webHidden/>
              </w:rPr>
              <w:instrText xml:space="preserve"> PAGEREF _Toc201751320 \h </w:instrText>
            </w:r>
            <w:r w:rsidRPr="00990D3B">
              <w:rPr>
                <w:webHidden/>
              </w:rPr>
              <w:fldChar w:fldCharType="separate"/>
            </w:r>
            <w:r w:rsidRPr="00990D3B">
              <w:rPr>
                <w:webHidden/>
              </w:rPr>
              <w:t>1</w:t>
            </w:r>
            <w:r w:rsidRPr="00990D3B">
              <w:rPr>
                <w:webHidden/>
              </w:rPr>
              <w:fldChar w:fldCharType="end"/>
            </w:r>
          </w:hyperlink>
        </w:p>
        <w:p w:rsidR="00676731" w:rsidRPr="00990D3B" w14:paraId="3CE4626F" w14:textId="3DB303F6">
          <w:pPr>
            <w:pStyle w:val="TOC2"/>
            <w:rPr>
              <w:rFonts w:asciiTheme="minorHAnsi" w:eastAsiaTheme="minorEastAsia" w:hAnsiTheme="minorHAnsi" w:cstheme="minorBidi"/>
              <w:kern w:val="2"/>
              <w:sz w:val="24"/>
              <w:szCs w:val="24"/>
              <w14:ligatures w14:val="standardContextual"/>
            </w:rPr>
          </w:pPr>
          <w:hyperlink w:anchor="_Toc201751321" w:history="1">
            <w:r w:rsidRPr="00990D3B">
              <w:rPr>
                <w:rStyle w:val="Hyperlink"/>
              </w:rPr>
              <w:t>Background</w:t>
            </w:r>
            <w:r w:rsidRPr="00990D3B">
              <w:rPr>
                <w:webHidden/>
              </w:rPr>
              <w:tab/>
            </w:r>
            <w:r w:rsidRPr="00990D3B">
              <w:rPr>
                <w:webHidden/>
              </w:rPr>
              <w:fldChar w:fldCharType="begin"/>
            </w:r>
            <w:r w:rsidRPr="00990D3B">
              <w:rPr>
                <w:webHidden/>
              </w:rPr>
              <w:instrText xml:space="preserve"> PAGEREF _Toc201751321 \h </w:instrText>
            </w:r>
            <w:r w:rsidRPr="00990D3B">
              <w:rPr>
                <w:webHidden/>
              </w:rPr>
              <w:fldChar w:fldCharType="separate"/>
            </w:r>
            <w:r w:rsidRPr="00990D3B">
              <w:rPr>
                <w:webHidden/>
              </w:rPr>
              <w:t>1</w:t>
            </w:r>
            <w:r w:rsidRPr="00990D3B">
              <w:rPr>
                <w:webHidden/>
              </w:rPr>
              <w:fldChar w:fldCharType="end"/>
            </w:r>
          </w:hyperlink>
        </w:p>
        <w:p w:rsidR="00676731" w:rsidRPr="00990D3B" w14:paraId="20A0FEB7" w14:textId="5ED97743">
          <w:pPr>
            <w:pStyle w:val="TOC2"/>
            <w:rPr>
              <w:rFonts w:asciiTheme="minorHAnsi" w:eastAsiaTheme="minorEastAsia" w:hAnsiTheme="minorHAnsi" w:cstheme="minorBidi"/>
              <w:kern w:val="2"/>
              <w:sz w:val="24"/>
              <w:szCs w:val="24"/>
              <w14:ligatures w14:val="standardContextual"/>
            </w:rPr>
          </w:pPr>
          <w:hyperlink w:anchor="_Toc201751322" w:history="1">
            <w:r w:rsidRPr="00990D3B">
              <w:rPr>
                <w:rStyle w:val="Hyperlink"/>
              </w:rPr>
              <w:t>Managed Care Quality Activities and the EQR Process</w:t>
            </w:r>
            <w:r w:rsidRPr="00990D3B">
              <w:rPr>
                <w:webHidden/>
              </w:rPr>
              <w:tab/>
            </w:r>
            <w:r w:rsidRPr="00990D3B">
              <w:rPr>
                <w:webHidden/>
              </w:rPr>
              <w:fldChar w:fldCharType="begin"/>
            </w:r>
            <w:r w:rsidRPr="00990D3B">
              <w:rPr>
                <w:webHidden/>
              </w:rPr>
              <w:instrText xml:space="preserve"> PAGEREF _Toc201751322 \h </w:instrText>
            </w:r>
            <w:r w:rsidRPr="00990D3B">
              <w:rPr>
                <w:webHidden/>
              </w:rPr>
              <w:fldChar w:fldCharType="separate"/>
            </w:r>
            <w:r w:rsidRPr="00990D3B">
              <w:rPr>
                <w:webHidden/>
              </w:rPr>
              <w:t>4</w:t>
            </w:r>
            <w:r w:rsidRPr="00990D3B">
              <w:rPr>
                <w:webHidden/>
              </w:rPr>
              <w:fldChar w:fldCharType="end"/>
            </w:r>
          </w:hyperlink>
        </w:p>
        <w:p w:rsidR="00676731" w:rsidRPr="00990D3B" w14:paraId="5B586368" w14:textId="6D89D9DB">
          <w:pPr>
            <w:pStyle w:val="TOC2"/>
            <w:rPr>
              <w:rFonts w:asciiTheme="minorHAnsi" w:eastAsiaTheme="minorEastAsia" w:hAnsiTheme="minorHAnsi" w:cstheme="minorBidi"/>
              <w:kern w:val="2"/>
              <w:sz w:val="24"/>
              <w:szCs w:val="24"/>
              <w14:ligatures w14:val="standardContextual"/>
            </w:rPr>
          </w:pPr>
          <w:hyperlink w:anchor="_Toc201751323" w:history="1">
            <w:r w:rsidRPr="00990D3B">
              <w:rPr>
                <w:rStyle w:val="Hyperlink"/>
              </w:rPr>
              <w:t>Federal Financial Participation for EQR</w:t>
            </w:r>
            <w:r w:rsidRPr="00990D3B">
              <w:rPr>
                <w:webHidden/>
              </w:rPr>
              <w:tab/>
            </w:r>
            <w:r w:rsidRPr="00990D3B">
              <w:rPr>
                <w:webHidden/>
              </w:rPr>
              <w:fldChar w:fldCharType="begin"/>
            </w:r>
            <w:r w:rsidRPr="00990D3B">
              <w:rPr>
                <w:webHidden/>
              </w:rPr>
              <w:instrText xml:space="preserve"> PAGEREF _Toc201751323 \h </w:instrText>
            </w:r>
            <w:r w:rsidRPr="00990D3B">
              <w:rPr>
                <w:webHidden/>
              </w:rPr>
              <w:fldChar w:fldCharType="separate"/>
            </w:r>
            <w:r w:rsidRPr="00990D3B">
              <w:rPr>
                <w:webHidden/>
              </w:rPr>
              <w:t>7</w:t>
            </w:r>
            <w:r w:rsidRPr="00990D3B">
              <w:rPr>
                <w:webHidden/>
              </w:rPr>
              <w:fldChar w:fldCharType="end"/>
            </w:r>
          </w:hyperlink>
        </w:p>
        <w:p w:rsidR="00676731" w:rsidRPr="00990D3B" w14:paraId="68EA7E12" w14:textId="64CAF119">
          <w:pPr>
            <w:pStyle w:val="TOC2"/>
            <w:rPr>
              <w:rFonts w:asciiTheme="minorHAnsi" w:eastAsiaTheme="minorEastAsia" w:hAnsiTheme="minorHAnsi" w:cstheme="minorBidi"/>
              <w:kern w:val="2"/>
              <w:sz w:val="24"/>
              <w:szCs w:val="24"/>
              <w14:ligatures w14:val="standardContextual"/>
            </w:rPr>
          </w:pPr>
          <w:hyperlink w:anchor="_Toc201751324" w:history="1">
            <w:r w:rsidRPr="00990D3B">
              <w:rPr>
                <w:rStyle w:val="Hyperlink"/>
              </w:rPr>
              <w:t>Overview of the EQR Protocols</w:t>
            </w:r>
            <w:r w:rsidRPr="00990D3B">
              <w:rPr>
                <w:webHidden/>
              </w:rPr>
              <w:tab/>
            </w:r>
            <w:r w:rsidRPr="00990D3B">
              <w:rPr>
                <w:webHidden/>
              </w:rPr>
              <w:fldChar w:fldCharType="begin"/>
            </w:r>
            <w:r w:rsidRPr="00990D3B">
              <w:rPr>
                <w:webHidden/>
              </w:rPr>
              <w:instrText xml:space="preserve"> PAGEREF _Toc201751324 \h </w:instrText>
            </w:r>
            <w:r w:rsidRPr="00990D3B">
              <w:rPr>
                <w:webHidden/>
              </w:rPr>
              <w:fldChar w:fldCharType="separate"/>
            </w:r>
            <w:r w:rsidRPr="00990D3B">
              <w:rPr>
                <w:webHidden/>
              </w:rPr>
              <w:t>8</w:t>
            </w:r>
            <w:r w:rsidRPr="00990D3B">
              <w:rPr>
                <w:webHidden/>
              </w:rPr>
              <w:fldChar w:fldCharType="end"/>
            </w:r>
          </w:hyperlink>
        </w:p>
        <w:p w:rsidR="00676731" w:rsidRPr="00990D3B" w14:paraId="06F36AF5" w14:textId="1BB46530">
          <w:pPr>
            <w:pStyle w:val="TOC2"/>
            <w:rPr>
              <w:rFonts w:asciiTheme="minorHAnsi" w:eastAsiaTheme="minorEastAsia" w:hAnsiTheme="minorHAnsi" w:cstheme="minorBidi"/>
              <w:kern w:val="2"/>
              <w:sz w:val="24"/>
              <w:szCs w:val="24"/>
              <w14:ligatures w14:val="standardContextual"/>
            </w:rPr>
          </w:pPr>
          <w:hyperlink w:anchor="_Toc201751325" w:history="1">
            <w:r w:rsidRPr="00990D3B">
              <w:rPr>
                <w:rStyle w:val="Hyperlink"/>
                <w:rFonts w:eastAsia="Calibri"/>
              </w:rPr>
              <w:t>Considerations Before Conducting EQR-Related Activities</w:t>
            </w:r>
            <w:r w:rsidRPr="00990D3B">
              <w:rPr>
                <w:webHidden/>
              </w:rPr>
              <w:tab/>
            </w:r>
            <w:r w:rsidRPr="00990D3B">
              <w:rPr>
                <w:webHidden/>
              </w:rPr>
              <w:fldChar w:fldCharType="begin"/>
            </w:r>
            <w:r w:rsidRPr="00990D3B">
              <w:rPr>
                <w:webHidden/>
              </w:rPr>
              <w:instrText xml:space="preserve"> PAGEREF _Toc201751325 \h </w:instrText>
            </w:r>
            <w:r w:rsidRPr="00990D3B">
              <w:rPr>
                <w:webHidden/>
              </w:rPr>
              <w:fldChar w:fldCharType="separate"/>
            </w:r>
            <w:r w:rsidRPr="00990D3B">
              <w:rPr>
                <w:webHidden/>
              </w:rPr>
              <w:t>11</w:t>
            </w:r>
            <w:r w:rsidRPr="00990D3B">
              <w:rPr>
                <w:webHidden/>
              </w:rPr>
              <w:fldChar w:fldCharType="end"/>
            </w:r>
          </w:hyperlink>
        </w:p>
        <w:p w:rsidR="00676731" w:rsidRPr="00990D3B" w14:paraId="435AFA7E" w14:textId="0274BCA4">
          <w:pPr>
            <w:pStyle w:val="TOC2"/>
            <w:rPr>
              <w:rFonts w:asciiTheme="minorHAnsi" w:eastAsiaTheme="minorEastAsia" w:hAnsiTheme="minorHAnsi" w:cstheme="minorBidi"/>
              <w:kern w:val="2"/>
              <w:sz w:val="24"/>
              <w:szCs w:val="24"/>
              <w14:ligatures w14:val="standardContextual"/>
            </w:rPr>
          </w:pPr>
          <w:hyperlink w:anchor="_Toc201751326" w:history="1">
            <w:r w:rsidRPr="00990D3B">
              <w:rPr>
                <w:rStyle w:val="Hyperlink"/>
                <w:rFonts w:eastAsia="Calibri"/>
              </w:rPr>
              <w:t>Nonduplication for Mandatory EQR-Related Activities</w:t>
            </w:r>
            <w:r w:rsidRPr="00990D3B">
              <w:rPr>
                <w:webHidden/>
              </w:rPr>
              <w:tab/>
            </w:r>
            <w:r w:rsidRPr="00990D3B">
              <w:rPr>
                <w:webHidden/>
              </w:rPr>
              <w:fldChar w:fldCharType="begin"/>
            </w:r>
            <w:r w:rsidRPr="00990D3B">
              <w:rPr>
                <w:webHidden/>
              </w:rPr>
              <w:instrText xml:space="preserve"> PAGEREF _Toc201751326 \h </w:instrText>
            </w:r>
            <w:r w:rsidRPr="00990D3B">
              <w:rPr>
                <w:webHidden/>
              </w:rPr>
              <w:fldChar w:fldCharType="separate"/>
            </w:r>
            <w:r w:rsidRPr="00990D3B">
              <w:rPr>
                <w:webHidden/>
              </w:rPr>
              <w:t>13</w:t>
            </w:r>
            <w:r w:rsidRPr="00990D3B">
              <w:rPr>
                <w:webHidden/>
              </w:rPr>
              <w:fldChar w:fldCharType="end"/>
            </w:r>
          </w:hyperlink>
        </w:p>
        <w:p w:rsidR="00676731" w:rsidRPr="00990D3B" w14:paraId="1448842D" w14:textId="1262D76C">
          <w:pPr>
            <w:pStyle w:val="TOC1"/>
            <w:rPr>
              <w:rFonts w:asciiTheme="minorHAnsi" w:eastAsiaTheme="minorEastAsia" w:hAnsiTheme="minorHAnsi" w:cstheme="minorBidi"/>
              <w:kern w:val="2"/>
              <w:sz w:val="24"/>
              <w:szCs w:val="24"/>
              <w14:ligatures w14:val="standardContextual"/>
            </w:rPr>
          </w:pPr>
          <w:hyperlink w:anchor="_Toc201751327" w:history="1">
            <w:r w:rsidRPr="00990D3B">
              <w:rPr>
                <w:rStyle w:val="Hyperlink"/>
                <w:rFonts w:eastAsia="Calibri"/>
              </w:rPr>
              <w:t>EQR Reporting</w:t>
            </w:r>
            <w:r w:rsidRPr="00990D3B">
              <w:rPr>
                <w:webHidden/>
              </w:rPr>
              <w:tab/>
            </w:r>
            <w:r w:rsidRPr="00990D3B">
              <w:rPr>
                <w:webHidden/>
              </w:rPr>
              <w:fldChar w:fldCharType="begin"/>
            </w:r>
            <w:r w:rsidRPr="00990D3B">
              <w:rPr>
                <w:webHidden/>
              </w:rPr>
              <w:instrText xml:space="preserve"> PAGEREF _Toc201751327 \h </w:instrText>
            </w:r>
            <w:r w:rsidRPr="00990D3B">
              <w:rPr>
                <w:webHidden/>
              </w:rPr>
              <w:fldChar w:fldCharType="separate"/>
            </w:r>
            <w:r w:rsidRPr="00990D3B">
              <w:rPr>
                <w:webHidden/>
              </w:rPr>
              <w:t>16</w:t>
            </w:r>
            <w:r w:rsidRPr="00990D3B">
              <w:rPr>
                <w:webHidden/>
              </w:rPr>
              <w:fldChar w:fldCharType="end"/>
            </w:r>
          </w:hyperlink>
        </w:p>
        <w:p w:rsidR="00676731" w:rsidRPr="00990D3B" w14:paraId="3D036201" w14:textId="1ECCFAC6">
          <w:pPr>
            <w:pStyle w:val="TOC2"/>
            <w:rPr>
              <w:rFonts w:asciiTheme="minorHAnsi" w:eastAsiaTheme="minorEastAsia" w:hAnsiTheme="minorHAnsi" w:cstheme="minorBidi"/>
              <w:kern w:val="2"/>
              <w:sz w:val="24"/>
              <w:szCs w:val="24"/>
              <w14:ligatures w14:val="standardContextual"/>
            </w:rPr>
          </w:pPr>
          <w:hyperlink w:anchor="_Toc201751328" w:history="1">
            <w:r w:rsidRPr="00990D3B">
              <w:rPr>
                <w:rStyle w:val="Hyperlink"/>
              </w:rPr>
              <w:t>Tips for Drafting Compliant EQR Technical Reports</w:t>
            </w:r>
            <w:r w:rsidRPr="00990D3B">
              <w:rPr>
                <w:webHidden/>
              </w:rPr>
              <w:tab/>
            </w:r>
            <w:r w:rsidRPr="00990D3B">
              <w:rPr>
                <w:webHidden/>
              </w:rPr>
              <w:fldChar w:fldCharType="begin"/>
            </w:r>
            <w:r w:rsidRPr="00990D3B">
              <w:rPr>
                <w:webHidden/>
              </w:rPr>
              <w:instrText xml:space="preserve"> PAGEREF _Toc201751328 \h </w:instrText>
            </w:r>
            <w:r w:rsidRPr="00990D3B">
              <w:rPr>
                <w:webHidden/>
              </w:rPr>
              <w:fldChar w:fldCharType="separate"/>
            </w:r>
            <w:r w:rsidRPr="00990D3B">
              <w:rPr>
                <w:webHidden/>
              </w:rPr>
              <w:t>16</w:t>
            </w:r>
            <w:r w:rsidRPr="00990D3B">
              <w:rPr>
                <w:webHidden/>
              </w:rPr>
              <w:fldChar w:fldCharType="end"/>
            </w:r>
          </w:hyperlink>
        </w:p>
        <w:p w:rsidR="00676731" w:rsidRPr="00990D3B" w14:paraId="45D387EB" w14:textId="2B85C5EC">
          <w:pPr>
            <w:pStyle w:val="TOC2"/>
            <w:rPr>
              <w:rFonts w:asciiTheme="minorHAnsi" w:eastAsiaTheme="minorEastAsia" w:hAnsiTheme="minorHAnsi" w:cstheme="minorBidi"/>
              <w:kern w:val="2"/>
              <w:sz w:val="24"/>
              <w:szCs w:val="24"/>
              <w14:ligatures w14:val="standardContextual"/>
            </w:rPr>
          </w:pPr>
          <w:hyperlink w:anchor="_Toc201751329" w:history="1">
            <w:r w:rsidRPr="00990D3B">
              <w:rPr>
                <w:rStyle w:val="Hyperlink"/>
              </w:rPr>
              <w:t>Tips for Drafting an Effective EQR Technical Report</w:t>
            </w:r>
            <w:r w:rsidRPr="00990D3B">
              <w:rPr>
                <w:webHidden/>
              </w:rPr>
              <w:tab/>
            </w:r>
            <w:r w:rsidRPr="00990D3B">
              <w:rPr>
                <w:webHidden/>
              </w:rPr>
              <w:fldChar w:fldCharType="begin"/>
            </w:r>
            <w:r w:rsidRPr="00990D3B">
              <w:rPr>
                <w:webHidden/>
              </w:rPr>
              <w:instrText xml:space="preserve"> PAGEREF _Toc201751329 \h </w:instrText>
            </w:r>
            <w:r w:rsidRPr="00990D3B">
              <w:rPr>
                <w:webHidden/>
              </w:rPr>
              <w:fldChar w:fldCharType="separate"/>
            </w:r>
            <w:r w:rsidRPr="00990D3B">
              <w:rPr>
                <w:webHidden/>
              </w:rPr>
              <w:t>23</w:t>
            </w:r>
            <w:r w:rsidRPr="00990D3B">
              <w:rPr>
                <w:webHidden/>
              </w:rPr>
              <w:fldChar w:fldCharType="end"/>
            </w:r>
          </w:hyperlink>
        </w:p>
        <w:p w:rsidR="00676731" w:rsidRPr="00990D3B" w14:paraId="5F122E1E" w14:textId="26A9B233">
          <w:pPr>
            <w:pStyle w:val="TOC2"/>
            <w:rPr>
              <w:rFonts w:asciiTheme="minorHAnsi" w:eastAsiaTheme="minorEastAsia" w:hAnsiTheme="minorHAnsi" w:cstheme="minorBidi"/>
              <w:kern w:val="2"/>
              <w:sz w:val="24"/>
              <w:szCs w:val="24"/>
              <w14:ligatures w14:val="standardContextual"/>
            </w:rPr>
          </w:pPr>
          <w:hyperlink w:anchor="_Toc201751330" w:history="1">
            <w:r w:rsidRPr="00990D3B">
              <w:rPr>
                <w:rStyle w:val="Hyperlink"/>
              </w:rPr>
              <w:t>State Review of EQR Technical Reports</w:t>
            </w:r>
            <w:r w:rsidRPr="00990D3B">
              <w:rPr>
                <w:webHidden/>
              </w:rPr>
              <w:tab/>
            </w:r>
            <w:r w:rsidRPr="00990D3B">
              <w:rPr>
                <w:webHidden/>
              </w:rPr>
              <w:fldChar w:fldCharType="begin"/>
            </w:r>
            <w:r w:rsidRPr="00990D3B">
              <w:rPr>
                <w:webHidden/>
              </w:rPr>
              <w:instrText xml:space="preserve"> PAGEREF _Toc201751330 \h </w:instrText>
            </w:r>
            <w:r w:rsidRPr="00990D3B">
              <w:rPr>
                <w:webHidden/>
              </w:rPr>
              <w:fldChar w:fldCharType="separate"/>
            </w:r>
            <w:r w:rsidRPr="00990D3B">
              <w:rPr>
                <w:webHidden/>
              </w:rPr>
              <w:t>25</w:t>
            </w:r>
            <w:r w:rsidRPr="00990D3B">
              <w:rPr>
                <w:webHidden/>
              </w:rPr>
              <w:fldChar w:fldCharType="end"/>
            </w:r>
          </w:hyperlink>
        </w:p>
        <w:p w:rsidR="00676731" w:rsidRPr="00990D3B" w14:paraId="57801661" w14:textId="27D83629">
          <w:pPr>
            <w:pStyle w:val="TOC2"/>
            <w:rPr>
              <w:rFonts w:asciiTheme="minorHAnsi" w:eastAsiaTheme="minorEastAsia" w:hAnsiTheme="minorHAnsi" w:cstheme="minorBidi"/>
              <w:kern w:val="2"/>
              <w:sz w:val="24"/>
              <w:szCs w:val="24"/>
              <w14:ligatures w14:val="standardContextual"/>
            </w:rPr>
          </w:pPr>
          <w:hyperlink w:anchor="_Toc201751331" w:history="1">
            <w:r w:rsidRPr="00990D3B">
              <w:rPr>
                <w:rStyle w:val="Hyperlink"/>
              </w:rPr>
              <w:t>Posting and Submitting EQR Technical Reports</w:t>
            </w:r>
            <w:r w:rsidRPr="00990D3B">
              <w:rPr>
                <w:webHidden/>
              </w:rPr>
              <w:tab/>
            </w:r>
            <w:r w:rsidRPr="00990D3B">
              <w:rPr>
                <w:webHidden/>
              </w:rPr>
              <w:fldChar w:fldCharType="begin"/>
            </w:r>
            <w:r w:rsidRPr="00990D3B">
              <w:rPr>
                <w:webHidden/>
              </w:rPr>
              <w:instrText xml:space="preserve"> PAGEREF _Toc201751331 \h </w:instrText>
            </w:r>
            <w:r w:rsidRPr="00990D3B">
              <w:rPr>
                <w:webHidden/>
              </w:rPr>
              <w:fldChar w:fldCharType="separate"/>
            </w:r>
            <w:r w:rsidRPr="00990D3B">
              <w:rPr>
                <w:webHidden/>
              </w:rPr>
              <w:t>25</w:t>
            </w:r>
            <w:r w:rsidRPr="00990D3B">
              <w:rPr>
                <w:webHidden/>
              </w:rPr>
              <w:fldChar w:fldCharType="end"/>
            </w:r>
          </w:hyperlink>
        </w:p>
        <w:p w:rsidR="00676731" w:rsidRPr="00990D3B" w14:paraId="67E76D23" w14:textId="2D46EADA">
          <w:pPr>
            <w:pStyle w:val="TOC1"/>
            <w:rPr>
              <w:rFonts w:asciiTheme="minorHAnsi" w:eastAsiaTheme="minorEastAsia" w:hAnsiTheme="minorHAnsi" w:cstheme="minorBidi"/>
              <w:kern w:val="2"/>
              <w:sz w:val="24"/>
              <w:szCs w:val="24"/>
              <w14:ligatures w14:val="standardContextual"/>
            </w:rPr>
          </w:pPr>
          <w:hyperlink w:anchor="_Toc201751332" w:history="1">
            <w:r w:rsidRPr="00990D3B">
              <w:rPr>
                <w:rStyle w:val="Hyperlink"/>
              </w:rPr>
              <w:t>Getting Started on the EQR Protocols</w:t>
            </w:r>
            <w:r w:rsidRPr="00990D3B">
              <w:rPr>
                <w:webHidden/>
              </w:rPr>
              <w:tab/>
            </w:r>
            <w:r w:rsidRPr="00990D3B">
              <w:rPr>
                <w:webHidden/>
              </w:rPr>
              <w:fldChar w:fldCharType="begin"/>
            </w:r>
            <w:r w:rsidRPr="00990D3B">
              <w:rPr>
                <w:webHidden/>
              </w:rPr>
              <w:instrText xml:space="preserve"> PAGEREF _Toc201751332 \h </w:instrText>
            </w:r>
            <w:r w:rsidRPr="00990D3B">
              <w:rPr>
                <w:webHidden/>
              </w:rPr>
              <w:fldChar w:fldCharType="separate"/>
            </w:r>
            <w:r w:rsidRPr="00990D3B">
              <w:rPr>
                <w:webHidden/>
              </w:rPr>
              <w:t>26</w:t>
            </w:r>
            <w:r w:rsidRPr="00990D3B">
              <w:rPr>
                <w:webHidden/>
              </w:rPr>
              <w:fldChar w:fldCharType="end"/>
            </w:r>
          </w:hyperlink>
        </w:p>
        <w:p w:rsidR="00676731" w:rsidRPr="00990D3B" w14:paraId="3452D91E" w14:textId="49F3A0A9">
          <w:pPr>
            <w:pStyle w:val="TOC2"/>
            <w:rPr>
              <w:rFonts w:asciiTheme="minorHAnsi" w:eastAsiaTheme="minorEastAsia" w:hAnsiTheme="minorHAnsi" w:cstheme="minorBidi"/>
              <w:kern w:val="2"/>
              <w:sz w:val="24"/>
              <w:szCs w:val="24"/>
              <w14:ligatures w14:val="standardContextual"/>
            </w:rPr>
          </w:pPr>
          <w:hyperlink w:anchor="_Toc201751333" w:history="1">
            <w:r w:rsidRPr="00990D3B">
              <w:rPr>
                <w:rStyle w:val="Hyperlink"/>
              </w:rPr>
              <w:t>Mandatory EQR-Related Activities</w:t>
            </w:r>
            <w:r w:rsidRPr="00990D3B">
              <w:rPr>
                <w:webHidden/>
              </w:rPr>
              <w:tab/>
            </w:r>
            <w:r w:rsidRPr="00990D3B">
              <w:rPr>
                <w:webHidden/>
              </w:rPr>
              <w:fldChar w:fldCharType="begin"/>
            </w:r>
            <w:r w:rsidRPr="00990D3B">
              <w:rPr>
                <w:webHidden/>
              </w:rPr>
              <w:instrText xml:space="preserve"> PAGEREF _Toc201751333 \h </w:instrText>
            </w:r>
            <w:r w:rsidRPr="00990D3B">
              <w:rPr>
                <w:webHidden/>
              </w:rPr>
              <w:fldChar w:fldCharType="separate"/>
            </w:r>
            <w:r w:rsidRPr="00990D3B">
              <w:rPr>
                <w:webHidden/>
              </w:rPr>
              <w:t>27</w:t>
            </w:r>
            <w:r w:rsidRPr="00990D3B">
              <w:rPr>
                <w:webHidden/>
              </w:rPr>
              <w:fldChar w:fldCharType="end"/>
            </w:r>
          </w:hyperlink>
        </w:p>
        <w:p w:rsidR="00676731" w:rsidRPr="00990D3B" w14:paraId="696021F9" w14:textId="41596B88">
          <w:pPr>
            <w:pStyle w:val="TOC2"/>
            <w:rPr>
              <w:rFonts w:asciiTheme="minorHAnsi" w:eastAsiaTheme="minorEastAsia" w:hAnsiTheme="minorHAnsi" w:cstheme="minorBidi"/>
              <w:kern w:val="2"/>
              <w:sz w:val="24"/>
              <w:szCs w:val="24"/>
              <w14:ligatures w14:val="standardContextual"/>
            </w:rPr>
          </w:pPr>
          <w:hyperlink w:anchor="_Toc201751334" w:history="1">
            <w:r w:rsidRPr="00990D3B">
              <w:rPr>
                <w:rStyle w:val="Hyperlink"/>
              </w:rPr>
              <w:t>Optional EQR-Related Activities</w:t>
            </w:r>
            <w:r w:rsidRPr="00990D3B">
              <w:rPr>
                <w:webHidden/>
              </w:rPr>
              <w:tab/>
            </w:r>
            <w:r w:rsidRPr="00990D3B">
              <w:rPr>
                <w:webHidden/>
              </w:rPr>
              <w:fldChar w:fldCharType="begin"/>
            </w:r>
            <w:r w:rsidRPr="00990D3B">
              <w:rPr>
                <w:webHidden/>
              </w:rPr>
              <w:instrText xml:space="preserve"> PAGEREF _Toc201751334 \h </w:instrText>
            </w:r>
            <w:r w:rsidRPr="00990D3B">
              <w:rPr>
                <w:webHidden/>
              </w:rPr>
              <w:fldChar w:fldCharType="separate"/>
            </w:r>
            <w:r w:rsidRPr="00990D3B">
              <w:rPr>
                <w:webHidden/>
              </w:rPr>
              <w:t>28</w:t>
            </w:r>
            <w:r w:rsidRPr="00990D3B">
              <w:rPr>
                <w:webHidden/>
              </w:rPr>
              <w:fldChar w:fldCharType="end"/>
            </w:r>
          </w:hyperlink>
        </w:p>
        <w:p w:rsidR="00676731" w:rsidRPr="00990D3B" w14:paraId="280431A3" w14:textId="647F3704">
          <w:pPr>
            <w:pStyle w:val="TOC2"/>
            <w:rPr>
              <w:rFonts w:asciiTheme="minorHAnsi" w:eastAsiaTheme="minorEastAsia" w:hAnsiTheme="minorHAnsi" w:cstheme="minorBidi"/>
              <w:kern w:val="2"/>
              <w:sz w:val="24"/>
              <w:szCs w:val="24"/>
              <w14:ligatures w14:val="standardContextual"/>
            </w:rPr>
          </w:pPr>
          <w:hyperlink w:anchor="_Toc201751335" w:history="1">
            <w:r w:rsidRPr="00990D3B">
              <w:rPr>
                <w:rStyle w:val="Hyperlink"/>
              </w:rPr>
              <w:t>Appendices</w:t>
            </w:r>
            <w:r w:rsidRPr="00990D3B">
              <w:rPr>
                <w:webHidden/>
              </w:rPr>
              <w:tab/>
            </w:r>
            <w:r w:rsidRPr="00990D3B">
              <w:rPr>
                <w:webHidden/>
              </w:rPr>
              <w:fldChar w:fldCharType="begin"/>
            </w:r>
            <w:r w:rsidRPr="00990D3B">
              <w:rPr>
                <w:webHidden/>
              </w:rPr>
              <w:instrText xml:space="preserve"> PAGEREF _Toc201751335 \h </w:instrText>
            </w:r>
            <w:r w:rsidRPr="00990D3B">
              <w:rPr>
                <w:webHidden/>
              </w:rPr>
              <w:fldChar w:fldCharType="separate"/>
            </w:r>
            <w:r w:rsidRPr="00990D3B">
              <w:rPr>
                <w:webHidden/>
              </w:rPr>
              <w:t>29</w:t>
            </w:r>
            <w:r w:rsidRPr="00990D3B">
              <w:rPr>
                <w:webHidden/>
              </w:rPr>
              <w:fldChar w:fldCharType="end"/>
            </w:r>
          </w:hyperlink>
        </w:p>
        <w:p w:rsidR="00676731" w:rsidRPr="00990D3B" w14:paraId="43F10E6F" w14:textId="5E387A3E">
          <w:pPr>
            <w:pStyle w:val="TOC2"/>
            <w:rPr>
              <w:rFonts w:asciiTheme="minorHAnsi" w:eastAsiaTheme="minorEastAsia" w:hAnsiTheme="minorHAnsi" w:cstheme="minorBidi"/>
              <w:kern w:val="2"/>
              <w:sz w:val="24"/>
              <w:szCs w:val="24"/>
              <w14:ligatures w14:val="standardContextual"/>
            </w:rPr>
          </w:pPr>
          <w:hyperlink w:anchor="_Toc201751336" w:history="1">
            <w:r w:rsidRPr="00990D3B">
              <w:rPr>
                <w:rStyle w:val="Hyperlink"/>
              </w:rPr>
              <w:t>For Further Information</w:t>
            </w:r>
            <w:r w:rsidRPr="00990D3B">
              <w:rPr>
                <w:webHidden/>
              </w:rPr>
              <w:tab/>
            </w:r>
            <w:r w:rsidRPr="00990D3B">
              <w:rPr>
                <w:webHidden/>
              </w:rPr>
              <w:fldChar w:fldCharType="begin"/>
            </w:r>
            <w:r w:rsidRPr="00990D3B">
              <w:rPr>
                <w:webHidden/>
              </w:rPr>
              <w:instrText xml:space="preserve"> PAGEREF _Toc201751336 \h </w:instrText>
            </w:r>
            <w:r w:rsidRPr="00990D3B">
              <w:rPr>
                <w:webHidden/>
              </w:rPr>
              <w:fldChar w:fldCharType="separate"/>
            </w:r>
            <w:r w:rsidRPr="00990D3B">
              <w:rPr>
                <w:webHidden/>
              </w:rPr>
              <w:t>30</w:t>
            </w:r>
            <w:r w:rsidRPr="00990D3B">
              <w:rPr>
                <w:webHidden/>
              </w:rPr>
              <w:fldChar w:fldCharType="end"/>
            </w:r>
          </w:hyperlink>
        </w:p>
        <w:p w:rsidR="00676731" w:rsidRPr="00990D3B" w14:paraId="11C39876" w14:textId="7D012AA3">
          <w:pPr>
            <w:pStyle w:val="TOC1"/>
            <w:rPr>
              <w:rFonts w:asciiTheme="minorHAnsi" w:eastAsiaTheme="minorEastAsia" w:hAnsiTheme="minorHAnsi" w:cstheme="minorBidi"/>
              <w:kern w:val="2"/>
              <w:sz w:val="24"/>
              <w:szCs w:val="24"/>
              <w14:ligatures w14:val="standardContextual"/>
            </w:rPr>
          </w:pPr>
          <w:hyperlink w:anchor="_Toc201751337" w:history="1">
            <w:r w:rsidRPr="00990D3B">
              <w:rPr>
                <w:rStyle w:val="Hyperlink"/>
              </w:rPr>
              <w:t>Protocol 1. Validation of Performance Improvement Projects</w:t>
            </w:r>
            <w:r w:rsidRPr="00990D3B">
              <w:rPr>
                <w:webHidden/>
              </w:rPr>
              <w:tab/>
            </w:r>
            <w:r w:rsidRPr="00990D3B">
              <w:rPr>
                <w:webHidden/>
              </w:rPr>
              <w:fldChar w:fldCharType="begin"/>
            </w:r>
            <w:r w:rsidRPr="00990D3B">
              <w:rPr>
                <w:webHidden/>
              </w:rPr>
              <w:instrText xml:space="preserve"> PAGEREF _Toc201751337 \h </w:instrText>
            </w:r>
            <w:r w:rsidRPr="00990D3B">
              <w:rPr>
                <w:webHidden/>
              </w:rPr>
              <w:fldChar w:fldCharType="separate"/>
            </w:r>
            <w:r w:rsidRPr="00990D3B">
              <w:rPr>
                <w:webHidden/>
              </w:rPr>
              <w:t>31</w:t>
            </w:r>
            <w:r w:rsidRPr="00990D3B">
              <w:rPr>
                <w:webHidden/>
              </w:rPr>
              <w:fldChar w:fldCharType="end"/>
            </w:r>
          </w:hyperlink>
        </w:p>
        <w:p w:rsidR="00676731" w:rsidRPr="00990D3B" w14:paraId="17BC9C12" w14:textId="6E43CE5F">
          <w:pPr>
            <w:pStyle w:val="TOC2"/>
            <w:rPr>
              <w:rFonts w:asciiTheme="minorHAnsi" w:eastAsiaTheme="minorEastAsia" w:hAnsiTheme="minorHAnsi" w:cstheme="minorBidi"/>
              <w:kern w:val="2"/>
              <w:sz w:val="24"/>
              <w:szCs w:val="24"/>
              <w14:ligatures w14:val="standardContextual"/>
            </w:rPr>
          </w:pPr>
          <w:hyperlink w:anchor="_Toc201751338" w:history="1">
            <w:r w:rsidRPr="00990D3B">
              <w:rPr>
                <w:rStyle w:val="Hyperlink"/>
              </w:rPr>
              <w:t>Background</w:t>
            </w:r>
            <w:r w:rsidRPr="00990D3B">
              <w:rPr>
                <w:webHidden/>
              </w:rPr>
              <w:tab/>
            </w:r>
            <w:r w:rsidRPr="00990D3B">
              <w:rPr>
                <w:webHidden/>
              </w:rPr>
              <w:fldChar w:fldCharType="begin"/>
            </w:r>
            <w:r w:rsidRPr="00990D3B">
              <w:rPr>
                <w:webHidden/>
              </w:rPr>
              <w:instrText xml:space="preserve"> PAGEREF _Toc201751338 \h </w:instrText>
            </w:r>
            <w:r w:rsidRPr="00990D3B">
              <w:rPr>
                <w:webHidden/>
              </w:rPr>
              <w:fldChar w:fldCharType="separate"/>
            </w:r>
            <w:r w:rsidRPr="00990D3B">
              <w:rPr>
                <w:webHidden/>
              </w:rPr>
              <w:t>31</w:t>
            </w:r>
            <w:r w:rsidRPr="00990D3B">
              <w:rPr>
                <w:webHidden/>
              </w:rPr>
              <w:fldChar w:fldCharType="end"/>
            </w:r>
          </w:hyperlink>
        </w:p>
        <w:p w:rsidR="00676731" w:rsidRPr="00990D3B" w14:paraId="39BC10AB" w14:textId="6EAF3282">
          <w:pPr>
            <w:pStyle w:val="TOC2"/>
            <w:rPr>
              <w:rFonts w:asciiTheme="minorHAnsi" w:eastAsiaTheme="minorEastAsia" w:hAnsiTheme="minorHAnsi" w:cstheme="minorBidi"/>
              <w:kern w:val="2"/>
              <w:sz w:val="24"/>
              <w:szCs w:val="24"/>
              <w14:ligatures w14:val="standardContextual"/>
            </w:rPr>
          </w:pPr>
          <w:hyperlink w:anchor="_Toc201751339" w:history="1">
            <w:r w:rsidRPr="00990D3B">
              <w:rPr>
                <w:rStyle w:val="Hyperlink"/>
              </w:rPr>
              <w:t>Getting Started on Protocol 1</w:t>
            </w:r>
            <w:r w:rsidRPr="00990D3B">
              <w:rPr>
                <w:webHidden/>
              </w:rPr>
              <w:tab/>
            </w:r>
            <w:r w:rsidRPr="00990D3B">
              <w:rPr>
                <w:webHidden/>
              </w:rPr>
              <w:fldChar w:fldCharType="begin"/>
            </w:r>
            <w:r w:rsidRPr="00990D3B">
              <w:rPr>
                <w:webHidden/>
              </w:rPr>
              <w:instrText xml:space="preserve"> PAGEREF _Toc201751339 \h </w:instrText>
            </w:r>
            <w:r w:rsidRPr="00990D3B">
              <w:rPr>
                <w:webHidden/>
              </w:rPr>
              <w:fldChar w:fldCharType="separate"/>
            </w:r>
            <w:r w:rsidRPr="00990D3B">
              <w:rPr>
                <w:webHidden/>
              </w:rPr>
              <w:t>32</w:t>
            </w:r>
            <w:r w:rsidRPr="00990D3B">
              <w:rPr>
                <w:webHidden/>
              </w:rPr>
              <w:fldChar w:fldCharType="end"/>
            </w:r>
          </w:hyperlink>
        </w:p>
        <w:p w:rsidR="00676731" w:rsidRPr="00990D3B" w14:paraId="7ED83773" w14:textId="5FECDE8C">
          <w:pPr>
            <w:pStyle w:val="TOC2"/>
            <w:rPr>
              <w:rFonts w:asciiTheme="minorHAnsi" w:eastAsiaTheme="minorEastAsia" w:hAnsiTheme="minorHAnsi" w:cstheme="minorBidi"/>
              <w:kern w:val="2"/>
              <w:sz w:val="24"/>
              <w:szCs w:val="24"/>
              <w14:ligatures w14:val="standardContextual"/>
            </w:rPr>
          </w:pPr>
          <w:hyperlink w:anchor="_Toc201751340" w:history="1">
            <w:r w:rsidRPr="00990D3B">
              <w:rPr>
                <w:rStyle w:val="Hyperlink"/>
              </w:rPr>
              <w:t>Activity 1: Assess the PIP Methodology</w:t>
            </w:r>
            <w:r w:rsidRPr="00990D3B">
              <w:rPr>
                <w:webHidden/>
              </w:rPr>
              <w:tab/>
            </w:r>
            <w:r w:rsidRPr="00990D3B">
              <w:rPr>
                <w:webHidden/>
              </w:rPr>
              <w:fldChar w:fldCharType="begin"/>
            </w:r>
            <w:r w:rsidRPr="00990D3B">
              <w:rPr>
                <w:webHidden/>
              </w:rPr>
              <w:instrText xml:space="preserve"> PAGEREF _Toc201751340 \h </w:instrText>
            </w:r>
            <w:r w:rsidRPr="00990D3B">
              <w:rPr>
                <w:webHidden/>
              </w:rPr>
              <w:fldChar w:fldCharType="separate"/>
            </w:r>
            <w:r w:rsidRPr="00990D3B">
              <w:rPr>
                <w:webHidden/>
              </w:rPr>
              <w:t>33</w:t>
            </w:r>
            <w:r w:rsidRPr="00990D3B">
              <w:rPr>
                <w:webHidden/>
              </w:rPr>
              <w:fldChar w:fldCharType="end"/>
            </w:r>
          </w:hyperlink>
        </w:p>
        <w:p w:rsidR="00676731" w:rsidRPr="00990D3B" w14:paraId="47D433FB" w14:textId="2E9AAF96">
          <w:pPr>
            <w:pStyle w:val="TOC2"/>
            <w:rPr>
              <w:rFonts w:asciiTheme="minorHAnsi" w:eastAsiaTheme="minorEastAsia" w:hAnsiTheme="minorHAnsi" w:cstheme="minorBidi"/>
              <w:kern w:val="2"/>
              <w:sz w:val="24"/>
              <w:szCs w:val="24"/>
              <w14:ligatures w14:val="standardContextual"/>
            </w:rPr>
          </w:pPr>
          <w:hyperlink w:anchor="_Toc201751341" w:history="1">
            <w:r w:rsidRPr="00990D3B">
              <w:rPr>
                <w:rStyle w:val="Hyperlink"/>
              </w:rPr>
              <w:t>Activity 2: Perform Overall Validation</w:t>
            </w:r>
            <w:r w:rsidRPr="00990D3B">
              <w:rPr>
                <w:webHidden/>
              </w:rPr>
              <w:tab/>
            </w:r>
            <w:r w:rsidRPr="00990D3B">
              <w:rPr>
                <w:webHidden/>
              </w:rPr>
              <w:fldChar w:fldCharType="begin"/>
            </w:r>
            <w:r w:rsidRPr="00990D3B">
              <w:rPr>
                <w:webHidden/>
              </w:rPr>
              <w:instrText xml:space="preserve"> PAGEREF _Toc201751341 \h </w:instrText>
            </w:r>
            <w:r w:rsidRPr="00990D3B">
              <w:rPr>
                <w:webHidden/>
              </w:rPr>
              <w:fldChar w:fldCharType="separate"/>
            </w:r>
            <w:r w:rsidRPr="00990D3B">
              <w:rPr>
                <w:webHidden/>
              </w:rPr>
              <w:t>43</w:t>
            </w:r>
            <w:r w:rsidRPr="00990D3B">
              <w:rPr>
                <w:webHidden/>
              </w:rPr>
              <w:fldChar w:fldCharType="end"/>
            </w:r>
          </w:hyperlink>
        </w:p>
        <w:p w:rsidR="00676731" w:rsidRPr="00990D3B" w14:paraId="32DB121B" w14:textId="41B2B469">
          <w:pPr>
            <w:pStyle w:val="TOC2"/>
            <w:rPr>
              <w:rFonts w:asciiTheme="minorHAnsi" w:eastAsiaTheme="minorEastAsia" w:hAnsiTheme="minorHAnsi" w:cstheme="minorBidi"/>
              <w:kern w:val="2"/>
              <w:sz w:val="24"/>
              <w:szCs w:val="24"/>
              <w14:ligatures w14:val="standardContextual"/>
            </w:rPr>
          </w:pPr>
          <w:hyperlink w:anchor="_Toc201751342" w:history="1">
            <w:r w:rsidRPr="00990D3B">
              <w:rPr>
                <w:rStyle w:val="Hyperlink"/>
              </w:rPr>
              <w:t>Activity 3: Verify PIP Findings (Optional)</w:t>
            </w:r>
            <w:r w:rsidRPr="00990D3B">
              <w:rPr>
                <w:webHidden/>
              </w:rPr>
              <w:tab/>
            </w:r>
            <w:r w:rsidRPr="00990D3B">
              <w:rPr>
                <w:webHidden/>
              </w:rPr>
              <w:fldChar w:fldCharType="begin"/>
            </w:r>
            <w:r w:rsidRPr="00990D3B">
              <w:rPr>
                <w:webHidden/>
              </w:rPr>
              <w:instrText xml:space="preserve"> PAGEREF _Toc201751342 \h </w:instrText>
            </w:r>
            <w:r w:rsidRPr="00990D3B">
              <w:rPr>
                <w:webHidden/>
              </w:rPr>
              <w:fldChar w:fldCharType="separate"/>
            </w:r>
            <w:r w:rsidRPr="00990D3B">
              <w:rPr>
                <w:webHidden/>
              </w:rPr>
              <w:t>43</w:t>
            </w:r>
            <w:r w:rsidRPr="00990D3B">
              <w:rPr>
                <w:webHidden/>
              </w:rPr>
              <w:fldChar w:fldCharType="end"/>
            </w:r>
          </w:hyperlink>
        </w:p>
        <w:p w:rsidR="00676731" w:rsidRPr="00990D3B" w14:paraId="19525B32" w14:textId="071D6A45">
          <w:pPr>
            <w:pStyle w:val="TOC2"/>
            <w:rPr>
              <w:rFonts w:asciiTheme="minorHAnsi" w:eastAsiaTheme="minorEastAsia" w:hAnsiTheme="minorHAnsi" w:cstheme="minorBidi"/>
              <w:kern w:val="2"/>
              <w:sz w:val="24"/>
              <w:szCs w:val="24"/>
              <w14:ligatures w14:val="standardContextual"/>
            </w:rPr>
          </w:pPr>
          <w:hyperlink w:anchor="_Toc201751343" w:history="1">
            <w:r w:rsidRPr="00990D3B">
              <w:rPr>
                <w:rStyle w:val="Hyperlink"/>
              </w:rPr>
              <w:t>Activity 4: Report Results to the State</w:t>
            </w:r>
            <w:r w:rsidRPr="00990D3B">
              <w:rPr>
                <w:webHidden/>
              </w:rPr>
              <w:tab/>
            </w:r>
            <w:r w:rsidRPr="00990D3B">
              <w:rPr>
                <w:webHidden/>
              </w:rPr>
              <w:fldChar w:fldCharType="begin"/>
            </w:r>
            <w:r w:rsidRPr="00990D3B">
              <w:rPr>
                <w:webHidden/>
              </w:rPr>
              <w:instrText xml:space="preserve"> PAGEREF _Toc201751343 \h </w:instrText>
            </w:r>
            <w:r w:rsidRPr="00990D3B">
              <w:rPr>
                <w:webHidden/>
              </w:rPr>
              <w:fldChar w:fldCharType="separate"/>
            </w:r>
            <w:r w:rsidRPr="00990D3B">
              <w:rPr>
                <w:webHidden/>
              </w:rPr>
              <w:t>45</w:t>
            </w:r>
            <w:r w:rsidRPr="00990D3B">
              <w:rPr>
                <w:webHidden/>
              </w:rPr>
              <w:fldChar w:fldCharType="end"/>
            </w:r>
          </w:hyperlink>
        </w:p>
        <w:p w:rsidR="00676731" w:rsidRPr="00990D3B" w14:paraId="07814849" w14:textId="09CFCC0D">
          <w:pPr>
            <w:pStyle w:val="TOC2"/>
            <w:rPr>
              <w:rFonts w:asciiTheme="minorHAnsi" w:eastAsiaTheme="minorEastAsia" w:hAnsiTheme="minorHAnsi" w:cstheme="minorBidi"/>
              <w:kern w:val="2"/>
              <w:sz w:val="24"/>
              <w:szCs w:val="24"/>
              <w14:ligatures w14:val="standardContextual"/>
            </w:rPr>
          </w:pPr>
          <w:hyperlink w:anchor="_Toc201751344" w:history="1">
            <w:r w:rsidRPr="00990D3B">
              <w:rPr>
                <w:rStyle w:val="Hyperlink"/>
              </w:rPr>
              <w:t>Worksheets for Protocol 1: PIP Validation Tools and Reporting Framework</w:t>
            </w:r>
            <w:r w:rsidRPr="00990D3B">
              <w:rPr>
                <w:webHidden/>
              </w:rPr>
              <w:tab/>
            </w:r>
            <w:r w:rsidRPr="00990D3B">
              <w:rPr>
                <w:webHidden/>
              </w:rPr>
              <w:fldChar w:fldCharType="begin"/>
            </w:r>
            <w:r w:rsidRPr="00990D3B">
              <w:rPr>
                <w:webHidden/>
              </w:rPr>
              <w:instrText xml:space="preserve"> PAGEREF _Toc201751344 \h </w:instrText>
            </w:r>
            <w:r w:rsidRPr="00990D3B">
              <w:rPr>
                <w:webHidden/>
              </w:rPr>
              <w:fldChar w:fldCharType="separate"/>
            </w:r>
            <w:r w:rsidRPr="00990D3B">
              <w:rPr>
                <w:webHidden/>
              </w:rPr>
              <w:t>46</w:t>
            </w:r>
            <w:r w:rsidRPr="00990D3B">
              <w:rPr>
                <w:webHidden/>
              </w:rPr>
              <w:fldChar w:fldCharType="end"/>
            </w:r>
          </w:hyperlink>
        </w:p>
        <w:p w:rsidR="00676731" w:rsidRPr="00990D3B" w14:paraId="05BED810" w14:textId="396E4C1D">
          <w:pPr>
            <w:pStyle w:val="TOC1"/>
            <w:rPr>
              <w:rFonts w:asciiTheme="minorHAnsi" w:eastAsiaTheme="minorEastAsia" w:hAnsiTheme="minorHAnsi" w:cstheme="minorBidi"/>
              <w:kern w:val="2"/>
              <w:sz w:val="24"/>
              <w:szCs w:val="24"/>
              <w14:ligatures w14:val="standardContextual"/>
            </w:rPr>
          </w:pPr>
          <w:hyperlink w:anchor="_Toc201751345" w:history="1">
            <w:r w:rsidRPr="00990D3B">
              <w:rPr>
                <w:rStyle w:val="Hyperlink"/>
              </w:rPr>
              <w:t>Protocol 2. Validation of Performance Measures</w:t>
            </w:r>
            <w:r w:rsidRPr="00990D3B">
              <w:rPr>
                <w:webHidden/>
              </w:rPr>
              <w:tab/>
            </w:r>
            <w:r w:rsidRPr="00990D3B">
              <w:rPr>
                <w:webHidden/>
              </w:rPr>
              <w:fldChar w:fldCharType="begin"/>
            </w:r>
            <w:r w:rsidRPr="00990D3B">
              <w:rPr>
                <w:webHidden/>
              </w:rPr>
              <w:instrText xml:space="preserve"> PAGEREF _Toc201751345 \h </w:instrText>
            </w:r>
            <w:r w:rsidRPr="00990D3B">
              <w:rPr>
                <w:webHidden/>
              </w:rPr>
              <w:fldChar w:fldCharType="separate"/>
            </w:r>
            <w:r w:rsidRPr="00990D3B">
              <w:rPr>
                <w:webHidden/>
              </w:rPr>
              <w:t>70</w:t>
            </w:r>
            <w:r w:rsidRPr="00990D3B">
              <w:rPr>
                <w:webHidden/>
              </w:rPr>
              <w:fldChar w:fldCharType="end"/>
            </w:r>
          </w:hyperlink>
        </w:p>
        <w:p w:rsidR="00676731" w:rsidRPr="00990D3B" w14:paraId="0573927E" w14:textId="093A4A09">
          <w:pPr>
            <w:pStyle w:val="TOC2"/>
            <w:rPr>
              <w:rFonts w:asciiTheme="minorHAnsi" w:eastAsiaTheme="minorEastAsia" w:hAnsiTheme="minorHAnsi" w:cstheme="minorBidi"/>
              <w:kern w:val="2"/>
              <w:sz w:val="24"/>
              <w:szCs w:val="24"/>
              <w14:ligatures w14:val="standardContextual"/>
            </w:rPr>
          </w:pPr>
          <w:hyperlink w:anchor="_Toc201751346" w:history="1">
            <w:r w:rsidRPr="00990D3B">
              <w:rPr>
                <w:rStyle w:val="Hyperlink"/>
              </w:rPr>
              <w:t>Background</w:t>
            </w:r>
            <w:r w:rsidRPr="00990D3B">
              <w:rPr>
                <w:webHidden/>
              </w:rPr>
              <w:tab/>
            </w:r>
            <w:r w:rsidRPr="00990D3B">
              <w:rPr>
                <w:webHidden/>
              </w:rPr>
              <w:fldChar w:fldCharType="begin"/>
            </w:r>
            <w:r w:rsidRPr="00990D3B">
              <w:rPr>
                <w:webHidden/>
              </w:rPr>
              <w:instrText xml:space="preserve"> PAGEREF _Toc201751346 \h </w:instrText>
            </w:r>
            <w:r w:rsidRPr="00990D3B">
              <w:rPr>
                <w:webHidden/>
              </w:rPr>
              <w:fldChar w:fldCharType="separate"/>
            </w:r>
            <w:r w:rsidRPr="00990D3B">
              <w:rPr>
                <w:webHidden/>
              </w:rPr>
              <w:t>70</w:t>
            </w:r>
            <w:r w:rsidRPr="00990D3B">
              <w:rPr>
                <w:webHidden/>
              </w:rPr>
              <w:fldChar w:fldCharType="end"/>
            </w:r>
          </w:hyperlink>
        </w:p>
        <w:p w:rsidR="00676731" w:rsidRPr="00990D3B" w14:paraId="3DC7937C" w14:textId="70D809B1">
          <w:pPr>
            <w:pStyle w:val="TOC2"/>
            <w:rPr>
              <w:rFonts w:asciiTheme="minorHAnsi" w:eastAsiaTheme="minorEastAsia" w:hAnsiTheme="minorHAnsi" w:cstheme="minorBidi"/>
              <w:kern w:val="2"/>
              <w:sz w:val="24"/>
              <w:szCs w:val="24"/>
              <w14:ligatures w14:val="standardContextual"/>
            </w:rPr>
          </w:pPr>
          <w:hyperlink w:anchor="_Toc201751347" w:history="1">
            <w:r w:rsidRPr="00990D3B">
              <w:rPr>
                <w:rStyle w:val="Hyperlink"/>
              </w:rPr>
              <w:t>Getting Started on Protocol 2</w:t>
            </w:r>
            <w:r w:rsidRPr="00990D3B">
              <w:rPr>
                <w:webHidden/>
              </w:rPr>
              <w:tab/>
            </w:r>
            <w:r w:rsidRPr="00990D3B">
              <w:rPr>
                <w:webHidden/>
              </w:rPr>
              <w:fldChar w:fldCharType="begin"/>
            </w:r>
            <w:r w:rsidRPr="00990D3B">
              <w:rPr>
                <w:webHidden/>
              </w:rPr>
              <w:instrText xml:space="preserve"> PAGEREF _Toc201751347 \h </w:instrText>
            </w:r>
            <w:r w:rsidRPr="00990D3B">
              <w:rPr>
                <w:webHidden/>
              </w:rPr>
              <w:fldChar w:fldCharType="separate"/>
            </w:r>
            <w:r w:rsidRPr="00990D3B">
              <w:rPr>
                <w:webHidden/>
              </w:rPr>
              <w:t>72</w:t>
            </w:r>
            <w:r w:rsidRPr="00990D3B">
              <w:rPr>
                <w:webHidden/>
              </w:rPr>
              <w:fldChar w:fldCharType="end"/>
            </w:r>
          </w:hyperlink>
        </w:p>
        <w:p w:rsidR="00676731" w:rsidRPr="00990D3B" w14:paraId="2C71E03A" w14:textId="182EE65A">
          <w:pPr>
            <w:pStyle w:val="TOC2"/>
            <w:rPr>
              <w:rFonts w:asciiTheme="minorHAnsi" w:eastAsiaTheme="minorEastAsia" w:hAnsiTheme="minorHAnsi" w:cstheme="minorBidi"/>
              <w:kern w:val="2"/>
              <w:sz w:val="24"/>
              <w:szCs w:val="24"/>
              <w14:ligatures w14:val="standardContextual"/>
            </w:rPr>
          </w:pPr>
          <w:hyperlink w:anchor="_Toc201751348" w:history="1">
            <w:r w:rsidRPr="00990D3B">
              <w:rPr>
                <w:rStyle w:val="Hyperlink"/>
              </w:rPr>
              <w:t>Activity 1: Perform Preliminary Review (Pre-Site Visit)</w:t>
            </w:r>
            <w:r w:rsidRPr="00990D3B">
              <w:rPr>
                <w:webHidden/>
              </w:rPr>
              <w:tab/>
            </w:r>
            <w:r w:rsidRPr="00990D3B">
              <w:rPr>
                <w:webHidden/>
              </w:rPr>
              <w:fldChar w:fldCharType="begin"/>
            </w:r>
            <w:r w:rsidRPr="00990D3B">
              <w:rPr>
                <w:webHidden/>
              </w:rPr>
              <w:instrText xml:space="preserve"> PAGEREF _Toc201751348 \h </w:instrText>
            </w:r>
            <w:r w:rsidRPr="00990D3B">
              <w:rPr>
                <w:webHidden/>
              </w:rPr>
              <w:fldChar w:fldCharType="separate"/>
            </w:r>
            <w:r w:rsidRPr="00990D3B">
              <w:rPr>
                <w:webHidden/>
              </w:rPr>
              <w:t>74</w:t>
            </w:r>
            <w:r w:rsidRPr="00990D3B">
              <w:rPr>
                <w:webHidden/>
              </w:rPr>
              <w:fldChar w:fldCharType="end"/>
            </w:r>
          </w:hyperlink>
        </w:p>
        <w:p w:rsidR="00676731" w:rsidRPr="00990D3B" w14:paraId="27B3E54B" w14:textId="5E33500E">
          <w:pPr>
            <w:pStyle w:val="TOC2"/>
            <w:rPr>
              <w:rFonts w:asciiTheme="minorHAnsi" w:eastAsiaTheme="minorEastAsia" w:hAnsiTheme="minorHAnsi" w:cstheme="minorBidi"/>
              <w:kern w:val="2"/>
              <w:sz w:val="24"/>
              <w:szCs w:val="24"/>
              <w14:ligatures w14:val="standardContextual"/>
            </w:rPr>
          </w:pPr>
          <w:hyperlink w:anchor="_Toc201751349" w:history="1">
            <w:r w:rsidRPr="00990D3B">
              <w:rPr>
                <w:rStyle w:val="Hyperlink"/>
              </w:rPr>
              <w:t>Activity 2: Conduct MCP Site Visit</w:t>
            </w:r>
            <w:r w:rsidRPr="00990D3B">
              <w:rPr>
                <w:webHidden/>
              </w:rPr>
              <w:tab/>
            </w:r>
            <w:r w:rsidRPr="00990D3B">
              <w:rPr>
                <w:webHidden/>
              </w:rPr>
              <w:fldChar w:fldCharType="begin"/>
            </w:r>
            <w:r w:rsidRPr="00990D3B">
              <w:rPr>
                <w:webHidden/>
              </w:rPr>
              <w:instrText xml:space="preserve"> PAGEREF _Toc201751349 \h </w:instrText>
            </w:r>
            <w:r w:rsidRPr="00990D3B">
              <w:rPr>
                <w:webHidden/>
              </w:rPr>
              <w:fldChar w:fldCharType="separate"/>
            </w:r>
            <w:r w:rsidRPr="00990D3B">
              <w:rPr>
                <w:webHidden/>
              </w:rPr>
              <w:t>83</w:t>
            </w:r>
            <w:r w:rsidRPr="00990D3B">
              <w:rPr>
                <w:webHidden/>
              </w:rPr>
              <w:fldChar w:fldCharType="end"/>
            </w:r>
          </w:hyperlink>
        </w:p>
        <w:p w:rsidR="00676731" w:rsidRPr="00990D3B" w14:paraId="3B702804" w14:textId="2C03F61C">
          <w:pPr>
            <w:pStyle w:val="TOC2"/>
            <w:rPr>
              <w:rFonts w:asciiTheme="minorHAnsi" w:eastAsiaTheme="minorEastAsia" w:hAnsiTheme="minorHAnsi" w:cstheme="minorBidi"/>
              <w:kern w:val="2"/>
              <w:sz w:val="24"/>
              <w:szCs w:val="24"/>
              <w14:ligatures w14:val="standardContextual"/>
            </w:rPr>
          </w:pPr>
          <w:hyperlink w:anchor="_Toc201751350" w:history="1">
            <w:r w:rsidRPr="00990D3B">
              <w:rPr>
                <w:rStyle w:val="Hyperlink"/>
              </w:rPr>
              <w:t>Activity 3: Perform Overall Validation (Post-Site Visit)</w:t>
            </w:r>
            <w:r w:rsidRPr="00990D3B">
              <w:rPr>
                <w:webHidden/>
              </w:rPr>
              <w:tab/>
            </w:r>
            <w:r w:rsidRPr="00990D3B">
              <w:rPr>
                <w:webHidden/>
              </w:rPr>
              <w:fldChar w:fldCharType="begin"/>
            </w:r>
            <w:r w:rsidRPr="00990D3B">
              <w:rPr>
                <w:webHidden/>
              </w:rPr>
              <w:instrText xml:space="preserve"> PAGEREF _Toc201751350 \h </w:instrText>
            </w:r>
            <w:r w:rsidRPr="00990D3B">
              <w:rPr>
                <w:webHidden/>
              </w:rPr>
              <w:fldChar w:fldCharType="separate"/>
            </w:r>
            <w:r w:rsidRPr="00990D3B">
              <w:rPr>
                <w:webHidden/>
              </w:rPr>
              <w:t>89</w:t>
            </w:r>
            <w:r w:rsidRPr="00990D3B">
              <w:rPr>
                <w:webHidden/>
              </w:rPr>
              <w:fldChar w:fldCharType="end"/>
            </w:r>
          </w:hyperlink>
        </w:p>
        <w:p w:rsidR="00676731" w:rsidRPr="00990D3B" w14:paraId="58BBFD04" w14:textId="46670F65">
          <w:pPr>
            <w:pStyle w:val="TOC2"/>
            <w:rPr>
              <w:rFonts w:asciiTheme="minorHAnsi" w:eastAsiaTheme="minorEastAsia" w:hAnsiTheme="minorHAnsi" w:cstheme="minorBidi"/>
              <w:kern w:val="2"/>
              <w:sz w:val="24"/>
              <w:szCs w:val="24"/>
              <w14:ligatures w14:val="standardContextual"/>
            </w:rPr>
          </w:pPr>
          <w:hyperlink w:anchor="_Toc201751351" w:history="1">
            <w:r w:rsidRPr="00990D3B">
              <w:rPr>
                <w:rStyle w:val="Hyperlink"/>
              </w:rPr>
              <w:t>Activity 4: Report Results to the State</w:t>
            </w:r>
            <w:r w:rsidRPr="00990D3B">
              <w:rPr>
                <w:webHidden/>
              </w:rPr>
              <w:tab/>
            </w:r>
            <w:r w:rsidRPr="00990D3B">
              <w:rPr>
                <w:webHidden/>
              </w:rPr>
              <w:fldChar w:fldCharType="begin"/>
            </w:r>
            <w:r w:rsidRPr="00990D3B">
              <w:rPr>
                <w:webHidden/>
              </w:rPr>
              <w:instrText xml:space="preserve"> PAGEREF _Toc201751351 \h </w:instrText>
            </w:r>
            <w:r w:rsidRPr="00990D3B">
              <w:rPr>
                <w:webHidden/>
              </w:rPr>
              <w:fldChar w:fldCharType="separate"/>
            </w:r>
            <w:r w:rsidRPr="00990D3B">
              <w:rPr>
                <w:webHidden/>
              </w:rPr>
              <w:t>90</w:t>
            </w:r>
            <w:r w:rsidRPr="00990D3B">
              <w:rPr>
                <w:webHidden/>
              </w:rPr>
              <w:fldChar w:fldCharType="end"/>
            </w:r>
          </w:hyperlink>
        </w:p>
        <w:p w:rsidR="00676731" w:rsidRPr="00990D3B" w14:paraId="3EE65AF2" w14:textId="498C459F">
          <w:pPr>
            <w:pStyle w:val="TOC2"/>
            <w:rPr>
              <w:rFonts w:asciiTheme="minorHAnsi" w:eastAsiaTheme="minorEastAsia" w:hAnsiTheme="minorHAnsi" w:cstheme="minorBidi"/>
              <w:kern w:val="2"/>
              <w:sz w:val="24"/>
              <w:szCs w:val="24"/>
              <w14:ligatures w14:val="standardContextual"/>
            </w:rPr>
          </w:pPr>
          <w:hyperlink w:anchor="_Toc201751352" w:history="1">
            <w:r w:rsidRPr="00990D3B">
              <w:rPr>
                <w:rStyle w:val="Hyperlink"/>
              </w:rPr>
              <w:t>Worksheets for Protocol 2: Performance Measure Validation Tools</w:t>
            </w:r>
            <w:r w:rsidRPr="00990D3B">
              <w:rPr>
                <w:webHidden/>
              </w:rPr>
              <w:tab/>
            </w:r>
            <w:r w:rsidRPr="00990D3B">
              <w:rPr>
                <w:webHidden/>
              </w:rPr>
              <w:fldChar w:fldCharType="begin"/>
            </w:r>
            <w:r w:rsidRPr="00990D3B">
              <w:rPr>
                <w:webHidden/>
              </w:rPr>
              <w:instrText xml:space="preserve"> PAGEREF _Toc201751352 \h </w:instrText>
            </w:r>
            <w:r w:rsidRPr="00990D3B">
              <w:rPr>
                <w:webHidden/>
              </w:rPr>
              <w:fldChar w:fldCharType="separate"/>
            </w:r>
            <w:r w:rsidRPr="00990D3B">
              <w:rPr>
                <w:webHidden/>
              </w:rPr>
              <w:t>92</w:t>
            </w:r>
            <w:r w:rsidRPr="00990D3B">
              <w:rPr>
                <w:webHidden/>
              </w:rPr>
              <w:fldChar w:fldCharType="end"/>
            </w:r>
          </w:hyperlink>
        </w:p>
        <w:p w:rsidR="00676731" w:rsidRPr="00990D3B" w14:paraId="263BBD3F" w14:textId="5F8FAA75">
          <w:pPr>
            <w:pStyle w:val="TOC1"/>
            <w:rPr>
              <w:rFonts w:asciiTheme="minorHAnsi" w:eastAsiaTheme="minorEastAsia" w:hAnsiTheme="minorHAnsi" w:cstheme="minorBidi"/>
              <w:kern w:val="2"/>
              <w:sz w:val="24"/>
              <w:szCs w:val="24"/>
              <w14:ligatures w14:val="standardContextual"/>
            </w:rPr>
          </w:pPr>
          <w:hyperlink w:anchor="_Toc201751353" w:history="1">
            <w:r w:rsidRPr="00990D3B">
              <w:rPr>
                <w:rStyle w:val="Hyperlink"/>
              </w:rPr>
              <w:t>Protocol 3. Review of Compliance With Medicaid and CHIP Managed Care Regulations</w:t>
            </w:r>
            <w:r w:rsidRPr="00990D3B">
              <w:rPr>
                <w:webHidden/>
              </w:rPr>
              <w:tab/>
            </w:r>
            <w:r w:rsidRPr="00990D3B">
              <w:rPr>
                <w:webHidden/>
              </w:rPr>
              <w:fldChar w:fldCharType="begin"/>
            </w:r>
            <w:r w:rsidRPr="00990D3B">
              <w:rPr>
                <w:webHidden/>
              </w:rPr>
              <w:instrText xml:space="preserve"> PAGEREF _Toc201751353 \h </w:instrText>
            </w:r>
            <w:r w:rsidRPr="00990D3B">
              <w:rPr>
                <w:webHidden/>
              </w:rPr>
              <w:fldChar w:fldCharType="separate"/>
            </w:r>
            <w:r w:rsidRPr="00990D3B">
              <w:rPr>
                <w:webHidden/>
              </w:rPr>
              <w:t>140</w:t>
            </w:r>
            <w:r w:rsidRPr="00990D3B">
              <w:rPr>
                <w:webHidden/>
              </w:rPr>
              <w:fldChar w:fldCharType="end"/>
            </w:r>
          </w:hyperlink>
        </w:p>
        <w:p w:rsidR="00676731" w:rsidRPr="00990D3B" w14:paraId="5CD7F0BA" w14:textId="45DE9048">
          <w:pPr>
            <w:pStyle w:val="TOC2"/>
            <w:rPr>
              <w:rFonts w:asciiTheme="minorHAnsi" w:eastAsiaTheme="minorEastAsia" w:hAnsiTheme="minorHAnsi" w:cstheme="minorBidi"/>
              <w:kern w:val="2"/>
              <w:sz w:val="24"/>
              <w:szCs w:val="24"/>
              <w14:ligatures w14:val="standardContextual"/>
            </w:rPr>
          </w:pPr>
          <w:hyperlink w:anchor="_Toc201751354" w:history="1">
            <w:r w:rsidRPr="00990D3B">
              <w:rPr>
                <w:rStyle w:val="Hyperlink"/>
              </w:rPr>
              <w:t>Background</w:t>
            </w:r>
            <w:r w:rsidRPr="00990D3B">
              <w:rPr>
                <w:webHidden/>
              </w:rPr>
              <w:tab/>
            </w:r>
            <w:r w:rsidRPr="00990D3B">
              <w:rPr>
                <w:webHidden/>
              </w:rPr>
              <w:fldChar w:fldCharType="begin"/>
            </w:r>
            <w:r w:rsidRPr="00990D3B">
              <w:rPr>
                <w:webHidden/>
              </w:rPr>
              <w:instrText xml:space="preserve"> PAGEREF _Toc201751354 \h </w:instrText>
            </w:r>
            <w:r w:rsidRPr="00990D3B">
              <w:rPr>
                <w:webHidden/>
              </w:rPr>
              <w:fldChar w:fldCharType="separate"/>
            </w:r>
            <w:r w:rsidRPr="00990D3B">
              <w:rPr>
                <w:webHidden/>
              </w:rPr>
              <w:t>140</w:t>
            </w:r>
            <w:r w:rsidRPr="00990D3B">
              <w:rPr>
                <w:webHidden/>
              </w:rPr>
              <w:fldChar w:fldCharType="end"/>
            </w:r>
          </w:hyperlink>
        </w:p>
        <w:p w:rsidR="00676731" w:rsidRPr="00990D3B" w14:paraId="633AFD6A" w14:textId="0E72D19D">
          <w:pPr>
            <w:pStyle w:val="TOC2"/>
            <w:rPr>
              <w:rFonts w:asciiTheme="minorHAnsi" w:eastAsiaTheme="minorEastAsia" w:hAnsiTheme="minorHAnsi" w:cstheme="minorBidi"/>
              <w:kern w:val="2"/>
              <w:sz w:val="24"/>
              <w:szCs w:val="24"/>
              <w14:ligatures w14:val="standardContextual"/>
            </w:rPr>
          </w:pPr>
          <w:hyperlink w:anchor="_Toc201751355" w:history="1">
            <w:r w:rsidRPr="00990D3B">
              <w:rPr>
                <w:rStyle w:val="Hyperlink"/>
              </w:rPr>
              <w:t>Activity 1: Establish Compliance Thresholds</w:t>
            </w:r>
            <w:r w:rsidRPr="00990D3B">
              <w:rPr>
                <w:webHidden/>
              </w:rPr>
              <w:tab/>
            </w:r>
            <w:r w:rsidRPr="00990D3B">
              <w:rPr>
                <w:webHidden/>
              </w:rPr>
              <w:fldChar w:fldCharType="begin"/>
            </w:r>
            <w:r w:rsidRPr="00990D3B">
              <w:rPr>
                <w:webHidden/>
              </w:rPr>
              <w:instrText xml:space="preserve"> PAGEREF _Toc201751355 \h </w:instrText>
            </w:r>
            <w:r w:rsidRPr="00990D3B">
              <w:rPr>
                <w:webHidden/>
              </w:rPr>
              <w:fldChar w:fldCharType="separate"/>
            </w:r>
            <w:r w:rsidRPr="00990D3B">
              <w:rPr>
                <w:webHidden/>
              </w:rPr>
              <w:t>144</w:t>
            </w:r>
            <w:r w:rsidRPr="00990D3B">
              <w:rPr>
                <w:webHidden/>
              </w:rPr>
              <w:fldChar w:fldCharType="end"/>
            </w:r>
          </w:hyperlink>
        </w:p>
        <w:p w:rsidR="00676731" w:rsidRPr="00990D3B" w14:paraId="6918B049" w14:textId="2EAD8D42">
          <w:pPr>
            <w:pStyle w:val="TOC2"/>
            <w:rPr>
              <w:rFonts w:asciiTheme="minorHAnsi" w:eastAsiaTheme="minorEastAsia" w:hAnsiTheme="minorHAnsi" w:cstheme="minorBidi"/>
              <w:kern w:val="2"/>
              <w:sz w:val="24"/>
              <w:szCs w:val="24"/>
              <w14:ligatures w14:val="standardContextual"/>
            </w:rPr>
          </w:pPr>
          <w:hyperlink w:anchor="_Toc201751356" w:history="1">
            <w:r w:rsidRPr="00990D3B">
              <w:rPr>
                <w:rStyle w:val="Hyperlink"/>
              </w:rPr>
              <w:t>Activity 2: Perform the Preliminary Review (Pre-Site Visit)</w:t>
            </w:r>
            <w:r w:rsidRPr="00990D3B">
              <w:rPr>
                <w:webHidden/>
              </w:rPr>
              <w:tab/>
            </w:r>
            <w:r w:rsidRPr="00990D3B">
              <w:rPr>
                <w:webHidden/>
              </w:rPr>
              <w:fldChar w:fldCharType="begin"/>
            </w:r>
            <w:r w:rsidRPr="00990D3B">
              <w:rPr>
                <w:webHidden/>
              </w:rPr>
              <w:instrText xml:space="preserve"> PAGEREF _Toc201751356 \h </w:instrText>
            </w:r>
            <w:r w:rsidRPr="00990D3B">
              <w:rPr>
                <w:webHidden/>
              </w:rPr>
              <w:fldChar w:fldCharType="separate"/>
            </w:r>
            <w:r w:rsidRPr="00990D3B">
              <w:rPr>
                <w:webHidden/>
              </w:rPr>
              <w:t>145</w:t>
            </w:r>
            <w:r w:rsidRPr="00990D3B">
              <w:rPr>
                <w:webHidden/>
              </w:rPr>
              <w:fldChar w:fldCharType="end"/>
            </w:r>
          </w:hyperlink>
        </w:p>
        <w:p w:rsidR="00676731" w:rsidRPr="00990D3B" w14:paraId="732FC61F" w14:textId="4035A091">
          <w:pPr>
            <w:pStyle w:val="TOC2"/>
            <w:rPr>
              <w:rFonts w:asciiTheme="minorHAnsi" w:eastAsiaTheme="minorEastAsia" w:hAnsiTheme="minorHAnsi" w:cstheme="minorBidi"/>
              <w:kern w:val="2"/>
              <w:sz w:val="24"/>
              <w:szCs w:val="24"/>
              <w14:ligatures w14:val="standardContextual"/>
            </w:rPr>
          </w:pPr>
          <w:hyperlink w:anchor="_Toc201751357" w:history="1">
            <w:r w:rsidRPr="00990D3B">
              <w:rPr>
                <w:rStyle w:val="Hyperlink"/>
              </w:rPr>
              <w:t>Activity 3: Conduct MCP Site Visit</w:t>
            </w:r>
            <w:r w:rsidRPr="00990D3B">
              <w:rPr>
                <w:webHidden/>
              </w:rPr>
              <w:tab/>
            </w:r>
            <w:r w:rsidRPr="00990D3B">
              <w:rPr>
                <w:webHidden/>
              </w:rPr>
              <w:fldChar w:fldCharType="begin"/>
            </w:r>
            <w:r w:rsidRPr="00990D3B">
              <w:rPr>
                <w:webHidden/>
              </w:rPr>
              <w:instrText xml:space="preserve"> PAGEREF _Toc201751357 \h </w:instrText>
            </w:r>
            <w:r w:rsidRPr="00990D3B">
              <w:rPr>
                <w:webHidden/>
              </w:rPr>
              <w:fldChar w:fldCharType="separate"/>
            </w:r>
            <w:r w:rsidRPr="00990D3B">
              <w:rPr>
                <w:webHidden/>
              </w:rPr>
              <w:t>147</w:t>
            </w:r>
            <w:r w:rsidRPr="00990D3B">
              <w:rPr>
                <w:webHidden/>
              </w:rPr>
              <w:fldChar w:fldCharType="end"/>
            </w:r>
          </w:hyperlink>
        </w:p>
        <w:p w:rsidR="00676731" w:rsidRPr="00990D3B" w14:paraId="0AD078CB" w14:textId="375DAE85">
          <w:pPr>
            <w:pStyle w:val="TOC2"/>
            <w:rPr>
              <w:rFonts w:asciiTheme="minorHAnsi" w:eastAsiaTheme="minorEastAsia" w:hAnsiTheme="minorHAnsi" w:cstheme="minorBidi"/>
              <w:kern w:val="2"/>
              <w:sz w:val="24"/>
              <w:szCs w:val="24"/>
              <w14:ligatures w14:val="standardContextual"/>
            </w:rPr>
          </w:pPr>
          <w:hyperlink w:anchor="_Toc201751358" w:history="1">
            <w:r w:rsidRPr="00990D3B">
              <w:rPr>
                <w:rStyle w:val="Hyperlink"/>
              </w:rPr>
              <w:t>Activity 4: Compile and Analyze Findings (Post-Site Visit)</w:t>
            </w:r>
            <w:r w:rsidRPr="00990D3B">
              <w:rPr>
                <w:webHidden/>
              </w:rPr>
              <w:tab/>
            </w:r>
            <w:r w:rsidRPr="00990D3B">
              <w:rPr>
                <w:webHidden/>
              </w:rPr>
              <w:fldChar w:fldCharType="begin"/>
            </w:r>
            <w:r w:rsidRPr="00990D3B">
              <w:rPr>
                <w:webHidden/>
              </w:rPr>
              <w:instrText xml:space="preserve"> PAGEREF _Toc201751358 \h </w:instrText>
            </w:r>
            <w:r w:rsidRPr="00990D3B">
              <w:rPr>
                <w:webHidden/>
              </w:rPr>
              <w:fldChar w:fldCharType="separate"/>
            </w:r>
            <w:r w:rsidRPr="00990D3B">
              <w:rPr>
                <w:webHidden/>
              </w:rPr>
              <w:t>151</w:t>
            </w:r>
            <w:r w:rsidRPr="00990D3B">
              <w:rPr>
                <w:webHidden/>
              </w:rPr>
              <w:fldChar w:fldCharType="end"/>
            </w:r>
          </w:hyperlink>
        </w:p>
        <w:p w:rsidR="00676731" w:rsidRPr="00990D3B" w14:paraId="7AB6BC04" w14:textId="6FCCE11F">
          <w:pPr>
            <w:pStyle w:val="TOC2"/>
            <w:rPr>
              <w:rFonts w:asciiTheme="minorHAnsi" w:eastAsiaTheme="minorEastAsia" w:hAnsiTheme="minorHAnsi" w:cstheme="minorBidi"/>
              <w:kern w:val="2"/>
              <w:sz w:val="24"/>
              <w:szCs w:val="24"/>
              <w14:ligatures w14:val="standardContextual"/>
            </w:rPr>
          </w:pPr>
          <w:hyperlink w:anchor="_Toc201751359" w:history="1">
            <w:r w:rsidRPr="00990D3B">
              <w:rPr>
                <w:rStyle w:val="Hyperlink"/>
              </w:rPr>
              <w:t>Activity 5: Report Results to the State</w:t>
            </w:r>
            <w:r w:rsidRPr="00990D3B">
              <w:rPr>
                <w:webHidden/>
              </w:rPr>
              <w:tab/>
            </w:r>
            <w:r w:rsidRPr="00990D3B">
              <w:rPr>
                <w:webHidden/>
              </w:rPr>
              <w:fldChar w:fldCharType="begin"/>
            </w:r>
            <w:r w:rsidRPr="00990D3B">
              <w:rPr>
                <w:webHidden/>
              </w:rPr>
              <w:instrText xml:space="preserve"> PAGEREF _Toc201751359 \h </w:instrText>
            </w:r>
            <w:r w:rsidRPr="00990D3B">
              <w:rPr>
                <w:webHidden/>
              </w:rPr>
              <w:fldChar w:fldCharType="separate"/>
            </w:r>
            <w:r w:rsidRPr="00990D3B">
              <w:rPr>
                <w:webHidden/>
              </w:rPr>
              <w:t>153</w:t>
            </w:r>
            <w:r w:rsidRPr="00990D3B">
              <w:rPr>
                <w:webHidden/>
              </w:rPr>
              <w:fldChar w:fldCharType="end"/>
            </w:r>
          </w:hyperlink>
        </w:p>
        <w:p w:rsidR="00676731" w:rsidRPr="00990D3B" w14:paraId="4F57CF1A" w14:textId="520B9436">
          <w:pPr>
            <w:pStyle w:val="TOC2"/>
            <w:rPr>
              <w:rFonts w:asciiTheme="minorHAnsi" w:eastAsiaTheme="minorEastAsia" w:hAnsiTheme="minorHAnsi" w:cstheme="minorBidi"/>
              <w:kern w:val="2"/>
              <w:sz w:val="24"/>
              <w:szCs w:val="24"/>
              <w14:ligatures w14:val="standardContextual"/>
            </w:rPr>
          </w:pPr>
          <w:hyperlink w:anchor="_Toc201751360" w:history="1">
            <w:r w:rsidRPr="00990D3B">
              <w:rPr>
                <w:rStyle w:val="Hyperlink"/>
              </w:rPr>
              <w:t>Worksheets for Protocol 3: Compliance Review Tools</w:t>
            </w:r>
            <w:r w:rsidRPr="00990D3B">
              <w:rPr>
                <w:webHidden/>
              </w:rPr>
              <w:tab/>
            </w:r>
            <w:r w:rsidRPr="00990D3B">
              <w:rPr>
                <w:webHidden/>
              </w:rPr>
              <w:fldChar w:fldCharType="begin"/>
            </w:r>
            <w:r w:rsidRPr="00990D3B">
              <w:rPr>
                <w:webHidden/>
              </w:rPr>
              <w:instrText xml:space="preserve"> PAGEREF _Toc201751360 \h </w:instrText>
            </w:r>
            <w:r w:rsidRPr="00990D3B">
              <w:rPr>
                <w:webHidden/>
              </w:rPr>
              <w:fldChar w:fldCharType="separate"/>
            </w:r>
            <w:r w:rsidRPr="00990D3B">
              <w:rPr>
                <w:webHidden/>
              </w:rPr>
              <w:t>155</w:t>
            </w:r>
            <w:r w:rsidRPr="00990D3B">
              <w:rPr>
                <w:webHidden/>
              </w:rPr>
              <w:fldChar w:fldCharType="end"/>
            </w:r>
          </w:hyperlink>
        </w:p>
        <w:p w:rsidR="00676731" w:rsidRPr="00990D3B" w14:paraId="76B0F6C7" w14:textId="26DF875C">
          <w:pPr>
            <w:pStyle w:val="TOC1"/>
            <w:rPr>
              <w:rFonts w:asciiTheme="minorHAnsi" w:eastAsiaTheme="minorEastAsia" w:hAnsiTheme="minorHAnsi" w:cstheme="minorBidi"/>
              <w:kern w:val="2"/>
              <w:sz w:val="24"/>
              <w:szCs w:val="24"/>
              <w14:ligatures w14:val="standardContextual"/>
            </w:rPr>
          </w:pPr>
          <w:hyperlink w:anchor="_Toc201751361" w:history="1">
            <w:r w:rsidRPr="00990D3B">
              <w:rPr>
                <w:rStyle w:val="Hyperlink"/>
              </w:rPr>
              <w:t>Protocol 4. Validation of Network  Adequacy</w:t>
            </w:r>
            <w:r w:rsidRPr="00990D3B">
              <w:rPr>
                <w:webHidden/>
              </w:rPr>
              <w:tab/>
            </w:r>
            <w:r w:rsidRPr="00990D3B">
              <w:rPr>
                <w:webHidden/>
              </w:rPr>
              <w:fldChar w:fldCharType="begin"/>
            </w:r>
            <w:r w:rsidRPr="00990D3B">
              <w:rPr>
                <w:webHidden/>
              </w:rPr>
              <w:instrText xml:space="preserve"> PAGEREF _Toc201751361 \h </w:instrText>
            </w:r>
            <w:r w:rsidRPr="00990D3B">
              <w:rPr>
                <w:webHidden/>
              </w:rPr>
              <w:fldChar w:fldCharType="separate"/>
            </w:r>
            <w:r w:rsidRPr="00990D3B">
              <w:rPr>
                <w:webHidden/>
              </w:rPr>
              <w:t>239</w:t>
            </w:r>
            <w:r w:rsidRPr="00990D3B">
              <w:rPr>
                <w:webHidden/>
              </w:rPr>
              <w:fldChar w:fldCharType="end"/>
            </w:r>
          </w:hyperlink>
        </w:p>
        <w:p w:rsidR="00676731" w:rsidRPr="00990D3B" w14:paraId="7DF8246E" w14:textId="64878E6E">
          <w:pPr>
            <w:pStyle w:val="TOC2"/>
            <w:rPr>
              <w:rFonts w:asciiTheme="minorHAnsi" w:eastAsiaTheme="minorEastAsia" w:hAnsiTheme="minorHAnsi" w:cstheme="minorBidi"/>
              <w:kern w:val="2"/>
              <w:sz w:val="24"/>
              <w:szCs w:val="24"/>
              <w14:ligatures w14:val="standardContextual"/>
            </w:rPr>
          </w:pPr>
          <w:hyperlink w:anchor="_Toc201751362" w:history="1">
            <w:r w:rsidRPr="00990D3B">
              <w:rPr>
                <w:rStyle w:val="Hyperlink"/>
              </w:rPr>
              <w:t>Background</w:t>
            </w:r>
            <w:r w:rsidRPr="00990D3B">
              <w:rPr>
                <w:webHidden/>
              </w:rPr>
              <w:tab/>
            </w:r>
            <w:r w:rsidRPr="00990D3B">
              <w:rPr>
                <w:webHidden/>
              </w:rPr>
              <w:fldChar w:fldCharType="begin"/>
            </w:r>
            <w:r w:rsidRPr="00990D3B">
              <w:rPr>
                <w:webHidden/>
              </w:rPr>
              <w:instrText xml:space="preserve"> PAGEREF _Toc201751362 \h </w:instrText>
            </w:r>
            <w:r w:rsidRPr="00990D3B">
              <w:rPr>
                <w:webHidden/>
              </w:rPr>
              <w:fldChar w:fldCharType="separate"/>
            </w:r>
            <w:r w:rsidRPr="00990D3B">
              <w:rPr>
                <w:webHidden/>
              </w:rPr>
              <w:t>239</w:t>
            </w:r>
            <w:r w:rsidRPr="00990D3B">
              <w:rPr>
                <w:webHidden/>
              </w:rPr>
              <w:fldChar w:fldCharType="end"/>
            </w:r>
          </w:hyperlink>
        </w:p>
        <w:p w:rsidR="00676731" w:rsidRPr="00990D3B" w14:paraId="339A7EC8" w14:textId="5B636CA4">
          <w:pPr>
            <w:pStyle w:val="TOC2"/>
            <w:rPr>
              <w:rFonts w:asciiTheme="minorHAnsi" w:eastAsiaTheme="minorEastAsia" w:hAnsiTheme="minorHAnsi" w:cstheme="minorBidi"/>
              <w:kern w:val="2"/>
              <w:sz w:val="24"/>
              <w:szCs w:val="24"/>
              <w14:ligatures w14:val="standardContextual"/>
            </w:rPr>
          </w:pPr>
          <w:hyperlink w:anchor="_Toc201751363" w:history="1">
            <w:r w:rsidRPr="00990D3B">
              <w:rPr>
                <w:rStyle w:val="Hyperlink"/>
              </w:rPr>
              <w:t>Getting Started on Protocol 4</w:t>
            </w:r>
            <w:r w:rsidRPr="00990D3B">
              <w:rPr>
                <w:webHidden/>
              </w:rPr>
              <w:tab/>
            </w:r>
            <w:r w:rsidRPr="00990D3B">
              <w:rPr>
                <w:webHidden/>
              </w:rPr>
              <w:fldChar w:fldCharType="begin"/>
            </w:r>
            <w:r w:rsidRPr="00990D3B">
              <w:rPr>
                <w:webHidden/>
              </w:rPr>
              <w:instrText xml:space="preserve"> PAGEREF _Toc201751363 \h </w:instrText>
            </w:r>
            <w:r w:rsidRPr="00990D3B">
              <w:rPr>
                <w:webHidden/>
              </w:rPr>
              <w:fldChar w:fldCharType="separate"/>
            </w:r>
            <w:r w:rsidRPr="00990D3B">
              <w:rPr>
                <w:webHidden/>
              </w:rPr>
              <w:t>242</w:t>
            </w:r>
            <w:r w:rsidRPr="00990D3B">
              <w:rPr>
                <w:webHidden/>
              </w:rPr>
              <w:fldChar w:fldCharType="end"/>
            </w:r>
          </w:hyperlink>
        </w:p>
        <w:p w:rsidR="00676731" w:rsidRPr="00990D3B" w14:paraId="48FE8B02" w14:textId="514309D5">
          <w:pPr>
            <w:pStyle w:val="TOC2"/>
            <w:rPr>
              <w:rFonts w:asciiTheme="minorHAnsi" w:eastAsiaTheme="minorEastAsia" w:hAnsiTheme="minorHAnsi" w:cstheme="minorBidi"/>
              <w:kern w:val="2"/>
              <w:sz w:val="24"/>
              <w:szCs w:val="24"/>
              <w14:ligatures w14:val="standardContextual"/>
            </w:rPr>
          </w:pPr>
          <w:hyperlink w:anchor="_Toc201751364" w:history="1">
            <w:r w:rsidRPr="00990D3B">
              <w:rPr>
                <w:rStyle w:val="Hyperlink"/>
              </w:rPr>
              <w:t>Activity 1: Define the Scope of the Validation of Quantitative Network Adequacy Standards</w:t>
            </w:r>
            <w:r w:rsidRPr="00990D3B">
              <w:rPr>
                <w:webHidden/>
              </w:rPr>
              <w:tab/>
            </w:r>
            <w:r w:rsidRPr="00990D3B">
              <w:rPr>
                <w:webHidden/>
              </w:rPr>
              <w:fldChar w:fldCharType="begin"/>
            </w:r>
            <w:r w:rsidRPr="00990D3B">
              <w:rPr>
                <w:webHidden/>
              </w:rPr>
              <w:instrText xml:space="preserve"> PAGEREF _Toc201751364 \h </w:instrText>
            </w:r>
            <w:r w:rsidRPr="00990D3B">
              <w:rPr>
                <w:webHidden/>
              </w:rPr>
              <w:fldChar w:fldCharType="separate"/>
            </w:r>
            <w:r w:rsidRPr="00990D3B">
              <w:rPr>
                <w:webHidden/>
              </w:rPr>
              <w:t>245</w:t>
            </w:r>
            <w:r w:rsidRPr="00990D3B">
              <w:rPr>
                <w:webHidden/>
              </w:rPr>
              <w:fldChar w:fldCharType="end"/>
            </w:r>
          </w:hyperlink>
        </w:p>
        <w:p w:rsidR="00676731" w:rsidRPr="00990D3B" w14:paraId="6827A916" w14:textId="26FE9A7F">
          <w:pPr>
            <w:pStyle w:val="TOC2"/>
            <w:rPr>
              <w:rFonts w:asciiTheme="minorHAnsi" w:eastAsiaTheme="minorEastAsia" w:hAnsiTheme="minorHAnsi" w:cstheme="minorBidi"/>
              <w:kern w:val="2"/>
              <w:sz w:val="24"/>
              <w:szCs w:val="24"/>
              <w14:ligatures w14:val="standardContextual"/>
            </w:rPr>
          </w:pPr>
          <w:hyperlink w:anchor="_Toc201751365" w:history="1">
            <w:r w:rsidRPr="00990D3B">
              <w:rPr>
                <w:rStyle w:val="Hyperlink"/>
              </w:rPr>
              <w:t>Activity 2: Identify Data Sources for Validation</w:t>
            </w:r>
            <w:r w:rsidRPr="00990D3B">
              <w:rPr>
                <w:webHidden/>
              </w:rPr>
              <w:tab/>
            </w:r>
            <w:r w:rsidRPr="00990D3B">
              <w:rPr>
                <w:webHidden/>
              </w:rPr>
              <w:fldChar w:fldCharType="begin"/>
            </w:r>
            <w:r w:rsidRPr="00990D3B">
              <w:rPr>
                <w:webHidden/>
              </w:rPr>
              <w:instrText xml:space="preserve"> PAGEREF _Toc201751365 \h </w:instrText>
            </w:r>
            <w:r w:rsidRPr="00990D3B">
              <w:rPr>
                <w:webHidden/>
              </w:rPr>
              <w:fldChar w:fldCharType="separate"/>
            </w:r>
            <w:r w:rsidRPr="00990D3B">
              <w:rPr>
                <w:webHidden/>
              </w:rPr>
              <w:t>248</w:t>
            </w:r>
            <w:r w:rsidRPr="00990D3B">
              <w:rPr>
                <w:webHidden/>
              </w:rPr>
              <w:fldChar w:fldCharType="end"/>
            </w:r>
          </w:hyperlink>
        </w:p>
        <w:p w:rsidR="00676731" w:rsidRPr="00990D3B" w14:paraId="548E9745" w14:textId="66D4874C">
          <w:pPr>
            <w:pStyle w:val="TOC2"/>
            <w:rPr>
              <w:rFonts w:asciiTheme="minorHAnsi" w:eastAsiaTheme="minorEastAsia" w:hAnsiTheme="minorHAnsi" w:cstheme="minorBidi"/>
              <w:kern w:val="2"/>
              <w:sz w:val="24"/>
              <w:szCs w:val="24"/>
              <w14:ligatures w14:val="standardContextual"/>
            </w:rPr>
          </w:pPr>
          <w:hyperlink w:anchor="_Toc201751366" w:history="1">
            <w:r w:rsidRPr="00990D3B">
              <w:rPr>
                <w:rStyle w:val="Hyperlink"/>
              </w:rPr>
              <w:t>Activity 3: Review Information Systems Underlying Network Adequacy Monitoring</w:t>
            </w:r>
            <w:r w:rsidRPr="00990D3B">
              <w:rPr>
                <w:webHidden/>
              </w:rPr>
              <w:tab/>
            </w:r>
            <w:r w:rsidRPr="00990D3B">
              <w:rPr>
                <w:webHidden/>
              </w:rPr>
              <w:fldChar w:fldCharType="begin"/>
            </w:r>
            <w:r w:rsidRPr="00990D3B">
              <w:rPr>
                <w:webHidden/>
              </w:rPr>
              <w:instrText xml:space="preserve"> PAGEREF _Toc201751366 \h </w:instrText>
            </w:r>
            <w:r w:rsidRPr="00990D3B">
              <w:rPr>
                <w:webHidden/>
              </w:rPr>
              <w:fldChar w:fldCharType="separate"/>
            </w:r>
            <w:r w:rsidRPr="00990D3B">
              <w:rPr>
                <w:webHidden/>
              </w:rPr>
              <w:t>249</w:t>
            </w:r>
            <w:r w:rsidRPr="00990D3B">
              <w:rPr>
                <w:webHidden/>
              </w:rPr>
              <w:fldChar w:fldCharType="end"/>
            </w:r>
          </w:hyperlink>
        </w:p>
        <w:p w:rsidR="00676731" w:rsidRPr="00990D3B" w14:paraId="7D4E0994" w14:textId="3199C6EC">
          <w:pPr>
            <w:pStyle w:val="TOC2"/>
            <w:rPr>
              <w:rFonts w:asciiTheme="minorHAnsi" w:eastAsiaTheme="minorEastAsia" w:hAnsiTheme="minorHAnsi" w:cstheme="minorBidi"/>
              <w:kern w:val="2"/>
              <w:sz w:val="24"/>
              <w:szCs w:val="24"/>
              <w14:ligatures w14:val="standardContextual"/>
            </w:rPr>
          </w:pPr>
          <w:hyperlink w:anchor="_Toc201751367" w:history="1">
            <w:r w:rsidRPr="00990D3B">
              <w:rPr>
                <w:rStyle w:val="Hyperlink"/>
              </w:rPr>
              <w:t>Activity 4: Validate Network Adequacy Assessment Data, Methods, and Results</w:t>
            </w:r>
            <w:r w:rsidRPr="00990D3B">
              <w:rPr>
                <w:webHidden/>
              </w:rPr>
              <w:tab/>
            </w:r>
            <w:r w:rsidRPr="00990D3B">
              <w:rPr>
                <w:webHidden/>
              </w:rPr>
              <w:fldChar w:fldCharType="begin"/>
            </w:r>
            <w:r w:rsidRPr="00990D3B">
              <w:rPr>
                <w:webHidden/>
              </w:rPr>
              <w:instrText xml:space="preserve"> PAGEREF _Toc201751367 \h </w:instrText>
            </w:r>
            <w:r w:rsidRPr="00990D3B">
              <w:rPr>
                <w:webHidden/>
              </w:rPr>
              <w:fldChar w:fldCharType="separate"/>
            </w:r>
            <w:r w:rsidRPr="00990D3B">
              <w:rPr>
                <w:webHidden/>
              </w:rPr>
              <w:t>251</w:t>
            </w:r>
            <w:r w:rsidRPr="00990D3B">
              <w:rPr>
                <w:webHidden/>
              </w:rPr>
              <w:fldChar w:fldCharType="end"/>
            </w:r>
          </w:hyperlink>
        </w:p>
        <w:p w:rsidR="00676731" w:rsidRPr="00990D3B" w14:paraId="35D278F7" w14:textId="79C92961">
          <w:pPr>
            <w:pStyle w:val="TOC2"/>
            <w:rPr>
              <w:rFonts w:asciiTheme="minorHAnsi" w:eastAsiaTheme="minorEastAsia" w:hAnsiTheme="minorHAnsi" w:cstheme="minorBidi"/>
              <w:kern w:val="2"/>
              <w:sz w:val="24"/>
              <w:szCs w:val="24"/>
              <w14:ligatures w14:val="standardContextual"/>
            </w:rPr>
          </w:pPr>
          <w:hyperlink w:anchor="_Toc201751368" w:history="1">
            <w:r w:rsidRPr="00990D3B">
              <w:rPr>
                <w:rStyle w:val="Hyperlink"/>
              </w:rPr>
              <w:t>Activity 5: Communicate Preliminary Findings to Each MCP</w:t>
            </w:r>
            <w:r w:rsidRPr="00990D3B">
              <w:rPr>
                <w:webHidden/>
              </w:rPr>
              <w:tab/>
            </w:r>
            <w:r w:rsidRPr="00990D3B">
              <w:rPr>
                <w:webHidden/>
              </w:rPr>
              <w:fldChar w:fldCharType="begin"/>
            </w:r>
            <w:r w:rsidRPr="00990D3B">
              <w:rPr>
                <w:webHidden/>
              </w:rPr>
              <w:instrText xml:space="preserve"> PAGEREF _Toc201751368 \h </w:instrText>
            </w:r>
            <w:r w:rsidRPr="00990D3B">
              <w:rPr>
                <w:webHidden/>
              </w:rPr>
              <w:fldChar w:fldCharType="separate"/>
            </w:r>
            <w:r w:rsidRPr="00990D3B">
              <w:rPr>
                <w:webHidden/>
              </w:rPr>
              <w:t>254</w:t>
            </w:r>
            <w:r w:rsidRPr="00990D3B">
              <w:rPr>
                <w:webHidden/>
              </w:rPr>
              <w:fldChar w:fldCharType="end"/>
            </w:r>
          </w:hyperlink>
        </w:p>
        <w:p w:rsidR="00676731" w:rsidRPr="00990D3B" w14:paraId="66775B7E" w14:textId="237C2D49">
          <w:pPr>
            <w:pStyle w:val="TOC2"/>
            <w:rPr>
              <w:rFonts w:asciiTheme="minorHAnsi" w:eastAsiaTheme="minorEastAsia" w:hAnsiTheme="minorHAnsi" w:cstheme="minorBidi"/>
              <w:kern w:val="2"/>
              <w:sz w:val="24"/>
              <w:szCs w:val="24"/>
              <w14:ligatures w14:val="standardContextual"/>
            </w:rPr>
          </w:pPr>
          <w:hyperlink w:anchor="_Toc201751369" w:history="1">
            <w:r w:rsidRPr="00990D3B">
              <w:rPr>
                <w:rStyle w:val="Hyperlink"/>
              </w:rPr>
              <w:t xml:space="preserve">Activity 6: </w:t>
            </w:r>
            <w:r w:rsidRPr="00990D3B" w:rsidR="00BF08FC">
              <w:rPr>
                <w:rStyle w:val="Hyperlink"/>
              </w:rPr>
              <w:t>Report Results</w:t>
            </w:r>
            <w:r w:rsidRPr="00990D3B">
              <w:rPr>
                <w:rStyle w:val="Hyperlink"/>
              </w:rPr>
              <w:t xml:space="preserve"> to </w:t>
            </w:r>
            <w:r w:rsidRPr="00990D3B" w:rsidR="005C6A56">
              <w:rPr>
                <w:rStyle w:val="Hyperlink"/>
              </w:rPr>
              <w:t xml:space="preserve">the </w:t>
            </w:r>
            <w:r w:rsidRPr="00990D3B">
              <w:rPr>
                <w:rStyle w:val="Hyperlink"/>
              </w:rPr>
              <w:t>State</w:t>
            </w:r>
            <w:r w:rsidRPr="00990D3B">
              <w:rPr>
                <w:webHidden/>
              </w:rPr>
              <w:tab/>
            </w:r>
            <w:r w:rsidRPr="00990D3B">
              <w:rPr>
                <w:webHidden/>
              </w:rPr>
              <w:fldChar w:fldCharType="begin"/>
            </w:r>
            <w:r w:rsidRPr="00990D3B">
              <w:rPr>
                <w:webHidden/>
              </w:rPr>
              <w:instrText xml:space="preserve"> PAGEREF _Toc201751369 \h </w:instrText>
            </w:r>
            <w:r w:rsidRPr="00990D3B">
              <w:rPr>
                <w:webHidden/>
              </w:rPr>
              <w:fldChar w:fldCharType="separate"/>
            </w:r>
            <w:r w:rsidRPr="00990D3B">
              <w:rPr>
                <w:webHidden/>
              </w:rPr>
              <w:t>254</w:t>
            </w:r>
            <w:r w:rsidRPr="00990D3B">
              <w:rPr>
                <w:webHidden/>
              </w:rPr>
              <w:fldChar w:fldCharType="end"/>
            </w:r>
          </w:hyperlink>
        </w:p>
        <w:p w:rsidR="00676731" w:rsidRPr="00990D3B" w14:paraId="0BFDE0B8" w14:textId="0A96BF43">
          <w:pPr>
            <w:pStyle w:val="TOC2"/>
            <w:rPr>
              <w:rFonts w:asciiTheme="minorHAnsi" w:eastAsiaTheme="minorEastAsia" w:hAnsiTheme="minorHAnsi" w:cstheme="minorBidi"/>
              <w:kern w:val="2"/>
              <w:sz w:val="24"/>
              <w:szCs w:val="24"/>
              <w14:ligatures w14:val="standardContextual"/>
            </w:rPr>
          </w:pPr>
          <w:hyperlink w:anchor="_Toc201751370" w:history="1">
            <w:r w:rsidRPr="00990D3B">
              <w:rPr>
                <w:rStyle w:val="Hyperlink"/>
              </w:rPr>
              <w:t>Worksheets For Protocol 4: Network Adequacy Validation Tools</w:t>
            </w:r>
            <w:r w:rsidRPr="00990D3B">
              <w:rPr>
                <w:webHidden/>
              </w:rPr>
              <w:tab/>
            </w:r>
            <w:r w:rsidRPr="00990D3B">
              <w:rPr>
                <w:webHidden/>
              </w:rPr>
              <w:fldChar w:fldCharType="begin"/>
            </w:r>
            <w:r w:rsidRPr="00990D3B">
              <w:rPr>
                <w:webHidden/>
              </w:rPr>
              <w:instrText xml:space="preserve"> PAGEREF _Toc201751370 \h </w:instrText>
            </w:r>
            <w:r w:rsidRPr="00990D3B">
              <w:rPr>
                <w:webHidden/>
              </w:rPr>
              <w:fldChar w:fldCharType="separate"/>
            </w:r>
            <w:r w:rsidRPr="00990D3B">
              <w:rPr>
                <w:webHidden/>
              </w:rPr>
              <w:t>256</w:t>
            </w:r>
            <w:r w:rsidRPr="00990D3B">
              <w:rPr>
                <w:webHidden/>
              </w:rPr>
              <w:fldChar w:fldCharType="end"/>
            </w:r>
          </w:hyperlink>
        </w:p>
        <w:p w:rsidR="00676731" w:rsidRPr="00990D3B" w14:paraId="25A2B48F" w14:textId="3A8ED247">
          <w:pPr>
            <w:pStyle w:val="TOC1"/>
            <w:rPr>
              <w:rFonts w:asciiTheme="minorHAnsi" w:eastAsiaTheme="minorEastAsia" w:hAnsiTheme="minorHAnsi" w:cstheme="minorBidi"/>
              <w:kern w:val="2"/>
              <w:sz w:val="24"/>
              <w:szCs w:val="24"/>
              <w14:ligatures w14:val="standardContextual"/>
            </w:rPr>
          </w:pPr>
          <w:hyperlink w:anchor="_Toc201751371" w:history="1">
            <w:r w:rsidRPr="00990D3B">
              <w:rPr>
                <w:rStyle w:val="Hyperlink"/>
              </w:rPr>
              <w:t>Protocol 5. Validation of Encounter Data Reported by the Managed Care Plan</w:t>
            </w:r>
            <w:r w:rsidRPr="00990D3B">
              <w:rPr>
                <w:webHidden/>
              </w:rPr>
              <w:tab/>
            </w:r>
            <w:r w:rsidRPr="00990D3B">
              <w:rPr>
                <w:webHidden/>
              </w:rPr>
              <w:fldChar w:fldCharType="begin"/>
            </w:r>
            <w:r w:rsidRPr="00990D3B">
              <w:rPr>
                <w:webHidden/>
              </w:rPr>
              <w:instrText xml:space="preserve"> PAGEREF _Toc201751371 \h </w:instrText>
            </w:r>
            <w:r w:rsidRPr="00990D3B">
              <w:rPr>
                <w:webHidden/>
              </w:rPr>
              <w:fldChar w:fldCharType="separate"/>
            </w:r>
            <w:r w:rsidRPr="00990D3B">
              <w:rPr>
                <w:webHidden/>
              </w:rPr>
              <w:t>271</w:t>
            </w:r>
            <w:r w:rsidRPr="00990D3B">
              <w:rPr>
                <w:webHidden/>
              </w:rPr>
              <w:fldChar w:fldCharType="end"/>
            </w:r>
          </w:hyperlink>
        </w:p>
        <w:p w:rsidR="00676731" w:rsidRPr="00990D3B" w14:paraId="6DF590E3" w14:textId="6EA53D81">
          <w:pPr>
            <w:pStyle w:val="TOC2"/>
            <w:rPr>
              <w:rFonts w:asciiTheme="minorHAnsi" w:eastAsiaTheme="minorEastAsia" w:hAnsiTheme="minorHAnsi" w:cstheme="minorBidi"/>
              <w:kern w:val="2"/>
              <w:sz w:val="24"/>
              <w:szCs w:val="24"/>
              <w14:ligatures w14:val="standardContextual"/>
            </w:rPr>
          </w:pPr>
          <w:hyperlink w:anchor="_Toc201751372" w:history="1">
            <w:r w:rsidRPr="00990D3B">
              <w:rPr>
                <w:rStyle w:val="Hyperlink"/>
              </w:rPr>
              <w:t>Background</w:t>
            </w:r>
            <w:r w:rsidRPr="00990D3B">
              <w:rPr>
                <w:webHidden/>
              </w:rPr>
              <w:tab/>
            </w:r>
            <w:r w:rsidRPr="00990D3B">
              <w:rPr>
                <w:webHidden/>
              </w:rPr>
              <w:fldChar w:fldCharType="begin"/>
            </w:r>
            <w:r w:rsidRPr="00990D3B">
              <w:rPr>
                <w:webHidden/>
              </w:rPr>
              <w:instrText xml:space="preserve"> PAGEREF _Toc201751372 \h </w:instrText>
            </w:r>
            <w:r w:rsidRPr="00990D3B">
              <w:rPr>
                <w:webHidden/>
              </w:rPr>
              <w:fldChar w:fldCharType="separate"/>
            </w:r>
            <w:r w:rsidRPr="00990D3B">
              <w:rPr>
                <w:webHidden/>
              </w:rPr>
              <w:t>271</w:t>
            </w:r>
            <w:r w:rsidRPr="00990D3B">
              <w:rPr>
                <w:webHidden/>
              </w:rPr>
              <w:fldChar w:fldCharType="end"/>
            </w:r>
          </w:hyperlink>
        </w:p>
        <w:p w:rsidR="00676731" w:rsidRPr="00990D3B" w14:paraId="00C4447D" w14:textId="7373B25A">
          <w:pPr>
            <w:pStyle w:val="TOC2"/>
            <w:rPr>
              <w:rFonts w:asciiTheme="minorHAnsi" w:eastAsiaTheme="minorEastAsia" w:hAnsiTheme="minorHAnsi" w:cstheme="minorBidi"/>
              <w:kern w:val="2"/>
              <w:sz w:val="24"/>
              <w:szCs w:val="24"/>
              <w14:ligatures w14:val="standardContextual"/>
            </w:rPr>
          </w:pPr>
          <w:hyperlink w:anchor="_Toc201751373" w:history="1">
            <w:r w:rsidRPr="00990D3B">
              <w:rPr>
                <w:rStyle w:val="Hyperlink"/>
              </w:rPr>
              <w:t>Getting Started on Protocol 5</w:t>
            </w:r>
            <w:r w:rsidRPr="00990D3B">
              <w:rPr>
                <w:webHidden/>
              </w:rPr>
              <w:tab/>
            </w:r>
            <w:r w:rsidRPr="00990D3B">
              <w:rPr>
                <w:webHidden/>
              </w:rPr>
              <w:fldChar w:fldCharType="begin"/>
            </w:r>
            <w:r w:rsidRPr="00990D3B">
              <w:rPr>
                <w:webHidden/>
              </w:rPr>
              <w:instrText xml:space="preserve"> PAGEREF _Toc201751373 \h </w:instrText>
            </w:r>
            <w:r w:rsidRPr="00990D3B">
              <w:rPr>
                <w:webHidden/>
              </w:rPr>
              <w:fldChar w:fldCharType="separate"/>
            </w:r>
            <w:r w:rsidRPr="00990D3B">
              <w:rPr>
                <w:webHidden/>
              </w:rPr>
              <w:t>272</w:t>
            </w:r>
            <w:r w:rsidRPr="00990D3B">
              <w:rPr>
                <w:webHidden/>
              </w:rPr>
              <w:fldChar w:fldCharType="end"/>
            </w:r>
          </w:hyperlink>
        </w:p>
        <w:p w:rsidR="00676731" w:rsidRPr="00990D3B" w14:paraId="048411CE" w14:textId="1E1F49FD">
          <w:pPr>
            <w:pStyle w:val="TOC2"/>
            <w:rPr>
              <w:rFonts w:asciiTheme="minorHAnsi" w:eastAsiaTheme="minorEastAsia" w:hAnsiTheme="minorHAnsi" w:cstheme="minorBidi"/>
              <w:kern w:val="2"/>
              <w:sz w:val="24"/>
              <w:szCs w:val="24"/>
              <w14:ligatures w14:val="standardContextual"/>
            </w:rPr>
          </w:pPr>
          <w:hyperlink w:anchor="_Toc201751374" w:history="1">
            <w:r w:rsidRPr="00990D3B">
              <w:rPr>
                <w:rStyle w:val="Hyperlink"/>
              </w:rPr>
              <w:t>Activity 1: Review State Requirements</w:t>
            </w:r>
            <w:r w:rsidRPr="00990D3B">
              <w:rPr>
                <w:webHidden/>
              </w:rPr>
              <w:tab/>
            </w:r>
            <w:r w:rsidRPr="00990D3B">
              <w:rPr>
                <w:webHidden/>
              </w:rPr>
              <w:fldChar w:fldCharType="begin"/>
            </w:r>
            <w:r w:rsidRPr="00990D3B">
              <w:rPr>
                <w:webHidden/>
              </w:rPr>
              <w:instrText xml:space="preserve"> PAGEREF _Toc201751374 \h </w:instrText>
            </w:r>
            <w:r w:rsidRPr="00990D3B">
              <w:rPr>
                <w:webHidden/>
              </w:rPr>
              <w:fldChar w:fldCharType="separate"/>
            </w:r>
            <w:r w:rsidRPr="00990D3B">
              <w:rPr>
                <w:webHidden/>
              </w:rPr>
              <w:t>274</w:t>
            </w:r>
            <w:r w:rsidRPr="00990D3B">
              <w:rPr>
                <w:webHidden/>
              </w:rPr>
              <w:fldChar w:fldCharType="end"/>
            </w:r>
          </w:hyperlink>
        </w:p>
        <w:p w:rsidR="00676731" w:rsidRPr="00990D3B" w14:paraId="59ABCD9F" w14:textId="481625DD">
          <w:pPr>
            <w:pStyle w:val="TOC2"/>
            <w:rPr>
              <w:rFonts w:asciiTheme="minorHAnsi" w:eastAsiaTheme="minorEastAsia" w:hAnsiTheme="minorHAnsi" w:cstheme="minorBidi"/>
              <w:kern w:val="2"/>
              <w:sz w:val="24"/>
              <w:szCs w:val="24"/>
              <w14:ligatures w14:val="standardContextual"/>
            </w:rPr>
          </w:pPr>
          <w:hyperlink w:anchor="_Toc201751375" w:history="1">
            <w:r w:rsidRPr="00990D3B">
              <w:rPr>
                <w:rStyle w:val="Hyperlink"/>
              </w:rPr>
              <w:t>Activity 2: Review the MCP’s Capability</w:t>
            </w:r>
            <w:r w:rsidRPr="00990D3B">
              <w:rPr>
                <w:webHidden/>
              </w:rPr>
              <w:tab/>
            </w:r>
            <w:r w:rsidRPr="00990D3B">
              <w:rPr>
                <w:webHidden/>
              </w:rPr>
              <w:fldChar w:fldCharType="begin"/>
            </w:r>
            <w:r w:rsidRPr="00990D3B">
              <w:rPr>
                <w:webHidden/>
              </w:rPr>
              <w:instrText xml:space="preserve"> PAGEREF _Toc201751375 \h </w:instrText>
            </w:r>
            <w:r w:rsidRPr="00990D3B">
              <w:rPr>
                <w:webHidden/>
              </w:rPr>
              <w:fldChar w:fldCharType="separate"/>
            </w:r>
            <w:r w:rsidRPr="00990D3B">
              <w:rPr>
                <w:webHidden/>
              </w:rPr>
              <w:t>275</w:t>
            </w:r>
            <w:r w:rsidRPr="00990D3B">
              <w:rPr>
                <w:webHidden/>
              </w:rPr>
              <w:fldChar w:fldCharType="end"/>
            </w:r>
          </w:hyperlink>
        </w:p>
        <w:p w:rsidR="00676731" w:rsidRPr="00990D3B" w14:paraId="2EFC4488" w14:textId="091B9536">
          <w:pPr>
            <w:pStyle w:val="TOC2"/>
            <w:rPr>
              <w:rFonts w:asciiTheme="minorHAnsi" w:eastAsiaTheme="minorEastAsia" w:hAnsiTheme="minorHAnsi" w:cstheme="minorBidi"/>
              <w:kern w:val="2"/>
              <w:sz w:val="24"/>
              <w:szCs w:val="24"/>
              <w14:ligatures w14:val="standardContextual"/>
            </w:rPr>
          </w:pPr>
          <w:hyperlink w:anchor="_Toc201751376" w:history="1">
            <w:r w:rsidRPr="00990D3B">
              <w:rPr>
                <w:rStyle w:val="Hyperlink"/>
              </w:rPr>
              <w:t>Activity 3: Analyze Electronic Encounter Data</w:t>
            </w:r>
            <w:r w:rsidRPr="00990D3B">
              <w:rPr>
                <w:webHidden/>
              </w:rPr>
              <w:tab/>
            </w:r>
            <w:r w:rsidRPr="00990D3B">
              <w:rPr>
                <w:webHidden/>
              </w:rPr>
              <w:fldChar w:fldCharType="begin"/>
            </w:r>
            <w:r w:rsidRPr="00990D3B">
              <w:rPr>
                <w:webHidden/>
              </w:rPr>
              <w:instrText xml:space="preserve"> PAGEREF _Toc201751376 \h </w:instrText>
            </w:r>
            <w:r w:rsidRPr="00990D3B">
              <w:rPr>
                <w:webHidden/>
              </w:rPr>
              <w:fldChar w:fldCharType="separate"/>
            </w:r>
            <w:r w:rsidRPr="00990D3B">
              <w:rPr>
                <w:webHidden/>
              </w:rPr>
              <w:t>278</w:t>
            </w:r>
            <w:r w:rsidRPr="00990D3B">
              <w:rPr>
                <w:webHidden/>
              </w:rPr>
              <w:fldChar w:fldCharType="end"/>
            </w:r>
          </w:hyperlink>
        </w:p>
        <w:p w:rsidR="00676731" w:rsidRPr="00990D3B" w14:paraId="1EDDE1FC" w14:textId="006915B4">
          <w:pPr>
            <w:pStyle w:val="TOC2"/>
            <w:rPr>
              <w:rFonts w:asciiTheme="minorHAnsi" w:eastAsiaTheme="minorEastAsia" w:hAnsiTheme="minorHAnsi" w:cstheme="minorBidi"/>
              <w:kern w:val="2"/>
              <w:sz w:val="24"/>
              <w:szCs w:val="24"/>
              <w14:ligatures w14:val="standardContextual"/>
            </w:rPr>
          </w:pPr>
          <w:hyperlink w:anchor="_Toc201751377" w:history="1">
            <w:r w:rsidRPr="00990D3B">
              <w:rPr>
                <w:rStyle w:val="Hyperlink"/>
              </w:rPr>
              <w:t>Activity 4: Review Medical Records</w:t>
            </w:r>
            <w:r w:rsidRPr="00990D3B">
              <w:rPr>
                <w:webHidden/>
              </w:rPr>
              <w:tab/>
            </w:r>
            <w:r w:rsidRPr="00990D3B">
              <w:rPr>
                <w:webHidden/>
              </w:rPr>
              <w:fldChar w:fldCharType="begin"/>
            </w:r>
            <w:r w:rsidRPr="00990D3B">
              <w:rPr>
                <w:webHidden/>
              </w:rPr>
              <w:instrText xml:space="preserve"> PAGEREF _Toc201751377 \h </w:instrText>
            </w:r>
            <w:r w:rsidRPr="00990D3B">
              <w:rPr>
                <w:webHidden/>
              </w:rPr>
              <w:fldChar w:fldCharType="separate"/>
            </w:r>
            <w:r w:rsidRPr="00990D3B">
              <w:rPr>
                <w:webHidden/>
              </w:rPr>
              <w:t>284</w:t>
            </w:r>
            <w:r w:rsidRPr="00990D3B">
              <w:rPr>
                <w:webHidden/>
              </w:rPr>
              <w:fldChar w:fldCharType="end"/>
            </w:r>
          </w:hyperlink>
        </w:p>
        <w:p w:rsidR="00676731" w:rsidRPr="00990D3B" w14:paraId="41334C73" w14:textId="0908E609">
          <w:pPr>
            <w:pStyle w:val="TOC2"/>
            <w:rPr>
              <w:rFonts w:asciiTheme="minorHAnsi" w:eastAsiaTheme="minorEastAsia" w:hAnsiTheme="minorHAnsi" w:cstheme="minorBidi"/>
              <w:kern w:val="2"/>
              <w:sz w:val="24"/>
              <w:szCs w:val="24"/>
              <w14:ligatures w14:val="standardContextual"/>
            </w:rPr>
          </w:pPr>
          <w:hyperlink w:anchor="_Toc201751378" w:history="1">
            <w:r w:rsidRPr="00990D3B">
              <w:rPr>
                <w:rStyle w:val="Hyperlink"/>
              </w:rPr>
              <w:t xml:space="preserve">Activity 5: </w:t>
            </w:r>
            <w:r w:rsidRPr="00990D3B" w:rsidR="00BF08FC">
              <w:rPr>
                <w:rStyle w:val="Hyperlink"/>
              </w:rPr>
              <w:t xml:space="preserve">Report Results to </w:t>
            </w:r>
            <w:r w:rsidRPr="00990D3B" w:rsidR="005C6A56">
              <w:rPr>
                <w:rStyle w:val="Hyperlink"/>
              </w:rPr>
              <w:t xml:space="preserve">the </w:t>
            </w:r>
            <w:r w:rsidRPr="00990D3B" w:rsidR="00BF08FC">
              <w:rPr>
                <w:rStyle w:val="Hyperlink"/>
              </w:rPr>
              <w:t>State</w:t>
            </w:r>
            <w:r w:rsidRPr="00990D3B">
              <w:rPr>
                <w:webHidden/>
              </w:rPr>
              <w:tab/>
            </w:r>
            <w:r w:rsidRPr="00990D3B">
              <w:rPr>
                <w:webHidden/>
              </w:rPr>
              <w:fldChar w:fldCharType="begin"/>
            </w:r>
            <w:r w:rsidRPr="00990D3B">
              <w:rPr>
                <w:webHidden/>
              </w:rPr>
              <w:instrText xml:space="preserve"> PAGEREF _Toc201751378 \h </w:instrText>
            </w:r>
            <w:r w:rsidRPr="00990D3B">
              <w:rPr>
                <w:webHidden/>
              </w:rPr>
              <w:fldChar w:fldCharType="separate"/>
            </w:r>
            <w:r w:rsidRPr="00990D3B">
              <w:rPr>
                <w:webHidden/>
              </w:rPr>
              <w:t>286</w:t>
            </w:r>
            <w:r w:rsidRPr="00990D3B">
              <w:rPr>
                <w:webHidden/>
              </w:rPr>
              <w:fldChar w:fldCharType="end"/>
            </w:r>
          </w:hyperlink>
        </w:p>
        <w:p w:rsidR="00676731" w:rsidRPr="00990D3B" w14:paraId="6808B1B0" w14:textId="5F44F0A6">
          <w:pPr>
            <w:pStyle w:val="TOC2"/>
            <w:rPr>
              <w:rFonts w:asciiTheme="minorHAnsi" w:eastAsiaTheme="minorEastAsia" w:hAnsiTheme="minorHAnsi" w:cstheme="minorBidi"/>
              <w:kern w:val="2"/>
              <w:sz w:val="24"/>
              <w:szCs w:val="24"/>
              <w14:ligatures w14:val="standardContextual"/>
            </w:rPr>
          </w:pPr>
          <w:hyperlink w:anchor="_Toc201751379" w:history="1">
            <w:r w:rsidRPr="00990D3B">
              <w:rPr>
                <w:rStyle w:val="Hyperlink"/>
              </w:rPr>
              <w:t>Worksheets for Protocol 5: Encounter Data Tables</w:t>
            </w:r>
            <w:r w:rsidRPr="00990D3B">
              <w:rPr>
                <w:webHidden/>
              </w:rPr>
              <w:tab/>
            </w:r>
            <w:r w:rsidRPr="00990D3B">
              <w:rPr>
                <w:webHidden/>
              </w:rPr>
              <w:fldChar w:fldCharType="begin"/>
            </w:r>
            <w:r w:rsidRPr="00990D3B">
              <w:rPr>
                <w:webHidden/>
              </w:rPr>
              <w:instrText xml:space="preserve"> PAGEREF _Toc201751379 \h </w:instrText>
            </w:r>
            <w:r w:rsidRPr="00990D3B">
              <w:rPr>
                <w:webHidden/>
              </w:rPr>
              <w:fldChar w:fldCharType="separate"/>
            </w:r>
            <w:r w:rsidRPr="00990D3B">
              <w:rPr>
                <w:webHidden/>
              </w:rPr>
              <w:t>287</w:t>
            </w:r>
            <w:r w:rsidRPr="00990D3B">
              <w:rPr>
                <w:webHidden/>
              </w:rPr>
              <w:fldChar w:fldCharType="end"/>
            </w:r>
          </w:hyperlink>
        </w:p>
        <w:p w:rsidR="00676731" w:rsidRPr="00990D3B" w14:paraId="3095ABF1" w14:textId="5DF7E94E">
          <w:pPr>
            <w:pStyle w:val="TOC1"/>
            <w:rPr>
              <w:rFonts w:asciiTheme="minorHAnsi" w:eastAsiaTheme="minorEastAsia" w:hAnsiTheme="minorHAnsi" w:cstheme="minorBidi"/>
              <w:kern w:val="2"/>
              <w:sz w:val="24"/>
              <w:szCs w:val="24"/>
              <w14:ligatures w14:val="standardContextual"/>
            </w:rPr>
          </w:pPr>
          <w:hyperlink w:anchor="_Toc201751380" w:history="1">
            <w:r w:rsidRPr="00990D3B">
              <w:rPr>
                <w:rStyle w:val="Hyperlink"/>
              </w:rPr>
              <w:t>Protocol 6. Administration or Validation of Quality of Care Surveys</w:t>
            </w:r>
            <w:r w:rsidRPr="00990D3B">
              <w:rPr>
                <w:webHidden/>
              </w:rPr>
              <w:tab/>
            </w:r>
            <w:r w:rsidRPr="00990D3B">
              <w:rPr>
                <w:webHidden/>
              </w:rPr>
              <w:fldChar w:fldCharType="begin"/>
            </w:r>
            <w:r w:rsidRPr="00990D3B">
              <w:rPr>
                <w:webHidden/>
              </w:rPr>
              <w:instrText xml:space="preserve"> PAGEREF _Toc201751380 \h </w:instrText>
            </w:r>
            <w:r w:rsidRPr="00990D3B">
              <w:rPr>
                <w:webHidden/>
              </w:rPr>
              <w:fldChar w:fldCharType="separate"/>
            </w:r>
            <w:r w:rsidRPr="00990D3B">
              <w:rPr>
                <w:webHidden/>
              </w:rPr>
              <w:t>298</w:t>
            </w:r>
            <w:r w:rsidRPr="00990D3B">
              <w:rPr>
                <w:webHidden/>
              </w:rPr>
              <w:fldChar w:fldCharType="end"/>
            </w:r>
          </w:hyperlink>
        </w:p>
        <w:p w:rsidR="00676731" w:rsidRPr="00990D3B" w14:paraId="78F211D1" w14:textId="1809A07A">
          <w:pPr>
            <w:pStyle w:val="TOC2"/>
            <w:rPr>
              <w:rFonts w:asciiTheme="minorHAnsi" w:eastAsiaTheme="minorEastAsia" w:hAnsiTheme="minorHAnsi" w:cstheme="minorBidi"/>
              <w:kern w:val="2"/>
              <w:sz w:val="24"/>
              <w:szCs w:val="24"/>
              <w14:ligatures w14:val="standardContextual"/>
            </w:rPr>
          </w:pPr>
          <w:hyperlink w:anchor="_Toc201751381" w:history="1">
            <w:r w:rsidRPr="00990D3B">
              <w:rPr>
                <w:rStyle w:val="Hyperlink"/>
              </w:rPr>
              <w:t>Background</w:t>
            </w:r>
            <w:r w:rsidRPr="00990D3B">
              <w:rPr>
                <w:webHidden/>
              </w:rPr>
              <w:tab/>
            </w:r>
            <w:r w:rsidRPr="00990D3B">
              <w:rPr>
                <w:webHidden/>
              </w:rPr>
              <w:fldChar w:fldCharType="begin"/>
            </w:r>
            <w:r w:rsidRPr="00990D3B">
              <w:rPr>
                <w:webHidden/>
              </w:rPr>
              <w:instrText xml:space="preserve"> PAGEREF _Toc201751381 \h </w:instrText>
            </w:r>
            <w:r w:rsidRPr="00990D3B">
              <w:rPr>
                <w:webHidden/>
              </w:rPr>
              <w:fldChar w:fldCharType="separate"/>
            </w:r>
            <w:r w:rsidRPr="00990D3B">
              <w:rPr>
                <w:webHidden/>
              </w:rPr>
              <w:t>298</w:t>
            </w:r>
            <w:r w:rsidRPr="00990D3B">
              <w:rPr>
                <w:webHidden/>
              </w:rPr>
              <w:fldChar w:fldCharType="end"/>
            </w:r>
          </w:hyperlink>
        </w:p>
        <w:p w:rsidR="00676731" w:rsidRPr="00990D3B" w14:paraId="79A273E3" w14:textId="2335F057">
          <w:pPr>
            <w:pStyle w:val="TOC2"/>
            <w:rPr>
              <w:rFonts w:asciiTheme="minorHAnsi" w:eastAsiaTheme="minorEastAsia" w:hAnsiTheme="minorHAnsi" w:cstheme="minorBidi"/>
              <w:kern w:val="2"/>
              <w:sz w:val="24"/>
              <w:szCs w:val="24"/>
              <w14:ligatures w14:val="standardContextual"/>
            </w:rPr>
          </w:pPr>
          <w:hyperlink w:anchor="_Toc201751382" w:history="1">
            <w:r w:rsidRPr="00990D3B">
              <w:rPr>
                <w:rStyle w:val="Hyperlink"/>
                <w:lang w:bidi="en-US"/>
              </w:rPr>
              <w:t>Getting Started on Protocol 6</w:t>
            </w:r>
            <w:r w:rsidRPr="00990D3B">
              <w:rPr>
                <w:webHidden/>
              </w:rPr>
              <w:tab/>
            </w:r>
            <w:r w:rsidRPr="00990D3B">
              <w:rPr>
                <w:webHidden/>
              </w:rPr>
              <w:fldChar w:fldCharType="begin"/>
            </w:r>
            <w:r w:rsidRPr="00990D3B">
              <w:rPr>
                <w:webHidden/>
              </w:rPr>
              <w:instrText xml:space="preserve"> PAGEREF _Toc201751382 \h </w:instrText>
            </w:r>
            <w:r w:rsidRPr="00990D3B">
              <w:rPr>
                <w:webHidden/>
              </w:rPr>
              <w:fldChar w:fldCharType="separate"/>
            </w:r>
            <w:r w:rsidRPr="00990D3B">
              <w:rPr>
                <w:webHidden/>
              </w:rPr>
              <w:t>299</w:t>
            </w:r>
            <w:r w:rsidRPr="00990D3B">
              <w:rPr>
                <w:webHidden/>
              </w:rPr>
              <w:fldChar w:fldCharType="end"/>
            </w:r>
          </w:hyperlink>
        </w:p>
        <w:p w:rsidR="00676731" w:rsidRPr="00990D3B" w14:paraId="6844BA22" w14:textId="67ABB59F">
          <w:pPr>
            <w:pStyle w:val="TOC2"/>
            <w:rPr>
              <w:rFonts w:asciiTheme="minorHAnsi" w:eastAsiaTheme="minorEastAsia" w:hAnsiTheme="minorHAnsi" w:cstheme="minorBidi"/>
              <w:kern w:val="2"/>
              <w:sz w:val="24"/>
              <w:szCs w:val="24"/>
              <w14:ligatures w14:val="standardContextual"/>
            </w:rPr>
          </w:pPr>
          <w:hyperlink w:anchor="_Toc201751383" w:history="1">
            <w:r w:rsidRPr="00990D3B">
              <w:rPr>
                <w:rStyle w:val="Hyperlink"/>
              </w:rPr>
              <w:t>Section I. Administering a Survey</w:t>
            </w:r>
            <w:r w:rsidRPr="00990D3B">
              <w:rPr>
                <w:webHidden/>
              </w:rPr>
              <w:tab/>
            </w:r>
            <w:r w:rsidRPr="00990D3B">
              <w:rPr>
                <w:webHidden/>
              </w:rPr>
              <w:fldChar w:fldCharType="begin"/>
            </w:r>
            <w:r w:rsidRPr="00990D3B">
              <w:rPr>
                <w:webHidden/>
              </w:rPr>
              <w:instrText xml:space="preserve"> PAGEREF _Toc201751383 \h </w:instrText>
            </w:r>
            <w:r w:rsidRPr="00990D3B">
              <w:rPr>
                <w:webHidden/>
              </w:rPr>
              <w:fldChar w:fldCharType="separate"/>
            </w:r>
            <w:r w:rsidRPr="00990D3B">
              <w:rPr>
                <w:webHidden/>
              </w:rPr>
              <w:t>302</w:t>
            </w:r>
            <w:r w:rsidRPr="00990D3B">
              <w:rPr>
                <w:webHidden/>
              </w:rPr>
              <w:fldChar w:fldCharType="end"/>
            </w:r>
          </w:hyperlink>
        </w:p>
        <w:p w:rsidR="00676731" w:rsidRPr="00990D3B" w14:paraId="2FA58F22" w14:textId="143CF400">
          <w:pPr>
            <w:pStyle w:val="TOC2"/>
            <w:rPr>
              <w:rFonts w:asciiTheme="minorHAnsi" w:eastAsiaTheme="minorEastAsia" w:hAnsiTheme="minorHAnsi" w:cstheme="minorBidi"/>
              <w:kern w:val="2"/>
              <w:sz w:val="24"/>
              <w:szCs w:val="24"/>
              <w14:ligatures w14:val="standardContextual"/>
            </w:rPr>
          </w:pPr>
          <w:hyperlink w:anchor="_Toc201751384" w:history="1">
            <w:r w:rsidRPr="00990D3B">
              <w:rPr>
                <w:rStyle w:val="Hyperlink"/>
              </w:rPr>
              <w:t>Activity I.1: Identify the Survey Purpose, Objectives, and Audience</w:t>
            </w:r>
            <w:r w:rsidRPr="00990D3B">
              <w:rPr>
                <w:webHidden/>
              </w:rPr>
              <w:tab/>
            </w:r>
            <w:r w:rsidRPr="00990D3B">
              <w:rPr>
                <w:webHidden/>
              </w:rPr>
              <w:fldChar w:fldCharType="begin"/>
            </w:r>
            <w:r w:rsidRPr="00990D3B">
              <w:rPr>
                <w:webHidden/>
              </w:rPr>
              <w:instrText xml:space="preserve"> PAGEREF _Toc201751384 \h </w:instrText>
            </w:r>
            <w:r w:rsidRPr="00990D3B">
              <w:rPr>
                <w:webHidden/>
              </w:rPr>
              <w:fldChar w:fldCharType="separate"/>
            </w:r>
            <w:r w:rsidRPr="00990D3B">
              <w:rPr>
                <w:webHidden/>
              </w:rPr>
              <w:t>302</w:t>
            </w:r>
            <w:r w:rsidRPr="00990D3B">
              <w:rPr>
                <w:webHidden/>
              </w:rPr>
              <w:fldChar w:fldCharType="end"/>
            </w:r>
          </w:hyperlink>
        </w:p>
        <w:p w:rsidR="00676731" w:rsidRPr="00990D3B" w14:paraId="7D70CA96" w14:textId="629BBFA4">
          <w:pPr>
            <w:pStyle w:val="TOC2"/>
            <w:rPr>
              <w:rFonts w:asciiTheme="minorHAnsi" w:eastAsiaTheme="minorEastAsia" w:hAnsiTheme="minorHAnsi" w:cstheme="minorBidi"/>
              <w:kern w:val="2"/>
              <w:sz w:val="24"/>
              <w:szCs w:val="24"/>
              <w14:ligatures w14:val="standardContextual"/>
            </w:rPr>
          </w:pPr>
          <w:hyperlink w:anchor="_Toc201751385" w:history="1">
            <w:r w:rsidRPr="00990D3B">
              <w:rPr>
                <w:rStyle w:val="Hyperlink"/>
              </w:rPr>
              <w:t>Activity I.2: Develop a Work Plan</w:t>
            </w:r>
            <w:r w:rsidRPr="00990D3B">
              <w:rPr>
                <w:webHidden/>
              </w:rPr>
              <w:tab/>
            </w:r>
            <w:r w:rsidRPr="00990D3B">
              <w:rPr>
                <w:webHidden/>
              </w:rPr>
              <w:fldChar w:fldCharType="begin"/>
            </w:r>
            <w:r w:rsidRPr="00990D3B">
              <w:rPr>
                <w:webHidden/>
              </w:rPr>
              <w:instrText xml:space="preserve"> PAGEREF _Toc201751385 \h </w:instrText>
            </w:r>
            <w:r w:rsidRPr="00990D3B">
              <w:rPr>
                <w:webHidden/>
              </w:rPr>
              <w:fldChar w:fldCharType="separate"/>
            </w:r>
            <w:r w:rsidRPr="00990D3B">
              <w:rPr>
                <w:webHidden/>
              </w:rPr>
              <w:t>303</w:t>
            </w:r>
            <w:r w:rsidRPr="00990D3B">
              <w:rPr>
                <w:webHidden/>
              </w:rPr>
              <w:fldChar w:fldCharType="end"/>
            </w:r>
          </w:hyperlink>
        </w:p>
        <w:p w:rsidR="00676731" w:rsidRPr="00990D3B" w14:paraId="6B18E862" w14:textId="2E3305F5">
          <w:pPr>
            <w:pStyle w:val="TOC2"/>
            <w:rPr>
              <w:rFonts w:asciiTheme="minorHAnsi" w:eastAsiaTheme="minorEastAsia" w:hAnsiTheme="minorHAnsi" w:cstheme="minorBidi"/>
              <w:kern w:val="2"/>
              <w:sz w:val="24"/>
              <w:szCs w:val="24"/>
              <w14:ligatures w14:val="standardContextual"/>
            </w:rPr>
          </w:pPr>
          <w:hyperlink w:anchor="_Toc201751386" w:history="1">
            <w:r w:rsidRPr="00990D3B">
              <w:rPr>
                <w:rStyle w:val="Hyperlink"/>
              </w:rPr>
              <w:t>Activity I.3: Select the Survey Instrument</w:t>
            </w:r>
            <w:r w:rsidRPr="00990D3B">
              <w:rPr>
                <w:webHidden/>
              </w:rPr>
              <w:tab/>
            </w:r>
            <w:r w:rsidRPr="00990D3B">
              <w:rPr>
                <w:webHidden/>
              </w:rPr>
              <w:fldChar w:fldCharType="begin"/>
            </w:r>
            <w:r w:rsidRPr="00990D3B">
              <w:rPr>
                <w:webHidden/>
              </w:rPr>
              <w:instrText xml:space="preserve"> PAGEREF _Toc201751386 \h </w:instrText>
            </w:r>
            <w:r w:rsidRPr="00990D3B">
              <w:rPr>
                <w:webHidden/>
              </w:rPr>
              <w:fldChar w:fldCharType="separate"/>
            </w:r>
            <w:r w:rsidRPr="00990D3B">
              <w:rPr>
                <w:webHidden/>
              </w:rPr>
              <w:t>303</w:t>
            </w:r>
            <w:r w:rsidRPr="00990D3B">
              <w:rPr>
                <w:webHidden/>
              </w:rPr>
              <w:fldChar w:fldCharType="end"/>
            </w:r>
          </w:hyperlink>
        </w:p>
        <w:p w:rsidR="00676731" w:rsidRPr="00990D3B" w14:paraId="3597D63D" w14:textId="3C45C29C">
          <w:pPr>
            <w:pStyle w:val="TOC2"/>
            <w:rPr>
              <w:rFonts w:asciiTheme="minorHAnsi" w:eastAsiaTheme="minorEastAsia" w:hAnsiTheme="minorHAnsi" w:cstheme="minorBidi"/>
              <w:kern w:val="2"/>
              <w:sz w:val="24"/>
              <w:szCs w:val="24"/>
              <w14:ligatures w14:val="standardContextual"/>
            </w:rPr>
          </w:pPr>
          <w:hyperlink w:anchor="_Toc201751387" w:history="1">
            <w:r w:rsidRPr="00990D3B">
              <w:rPr>
                <w:rStyle w:val="Hyperlink"/>
              </w:rPr>
              <w:t>Activity I.4: Develop the Sampling Plan</w:t>
            </w:r>
            <w:r w:rsidRPr="00990D3B">
              <w:rPr>
                <w:webHidden/>
              </w:rPr>
              <w:tab/>
            </w:r>
            <w:r w:rsidRPr="00990D3B">
              <w:rPr>
                <w:webHidden/>
              </w:rPr>
              <w:fldChar w:fldCharType="begin"/>
            </w:r>
            <w:r w:rsidRPr="00990D3B">
              <w:rPr>
                <w:webHidden/>
              </w:rPr>
              <w:instrText xml:space="preserve"> PAGEREF _Toc201751387 \h </w:instrText>
            </w:r>
            <w:r w:rsidRPr="00990D3B">
              <w:rPr>
                <w:webHidden/>
              </w:rPr>
              <w:fldChar w:fldCharType="separate"/>
            </w:r>
            <w:r w:rsidRPr="00990D3B">
              <w:rPr>
                <w:webHidden/>
              </w:rPr>
              <w:t>307</w:t>
            </w:r>
            <w:r w:rsidRPr="00990D3B">
              <w:rPr>
                <w:webHidden/>
              </w:rPr>
              <w:fldChar w:fldCharType="end"/>
            </w:r>
          </w:hyperlink>
        </w:p>
        <w:p w:rsidR="00676731" w:rsidRPr="00990D3B" w14:paraId="1D02A586" w14:textId="7ABE035B">
          <w:pPr>
            <w:pStyle w:val="TOC2"/>
            <w:rPr>
              <w:rFonts w:asciiTheme="minorHAnsi" w:eastAsiaTheme="minorEastAsia" w:hAnsiTheme="minorHAnsi" w:cstheme="minorBidi"/>
              <w:kern w:val="2"/>
              <w:sz w:val="24"/>
              <w:szCs w:val="24"/>
              <w14:ligatures w14:val="standardContextual"/>
            </w:rPr>
          </w:pPr>
          <w:hyperlink w:anchor="_Toc201751388" w:history="1">
            <w:r w:rsidRPr="00990D3B">
              <w:rPr>
                <w:rStyle w:val="Hyperlink"/>
              </w:rPr>
              <w:t>Activity I.5: Develop a Strategy to Maximize Response</w:t>
            </w:r>
            <w:r w:rsidRPr="00990D3B">
              <w:rPr>
                <w:webHidden/>
              </w:rPr>
              <w:tab/>
            </w:r>
            <w:r w:rsidRPr="00990D3B">
              <w:rPr>
                <w:webHidden/>
              </w:rPr>
              <w:fldChar w:fldCharType="begin"/>
            </w:r>
            <w:r w:rsidRPr="00990D3B">
              <w:rPr>
                <w:webHidden/>
              </w:rPr>
              <w:instrText xml:space="preserve"> PAGEREF _Toc201751388 \h </w:instrText>
            </w:r>
            <w:r w:rsidRPr="00990D3B">
              <w:rPr>
                <w:webHidden/>
              </w:rPr>
              <w:fldChar w:fldCharType="separate"/>
            </w:r>
            <w:r w:rsidRPr="00990D3B">
              <w:rPr>
                <w:webHidden/>
              </w:rPr>
              <w:t>309</w:t>
            </w:r>
            <w:r w:rsidRPr="00990D3B">
              <w:rPr>
                <w:webHidden/>
              </w:rPr>
              <w:fldChar w:fldCharType="end"/>
            </w:r>
          </w:hyperlink>
        </w:p>
        <w:p w:rsidR="00676731" w:rsidRPr="00990D3B" w14:paraId="0994C479" w14:textId="64E3748D">
          <w:pPr>
            <w:pStyle w:val="TOC2"/>
            <w:rPr>
              <w:rFonts w:asciiTheme="minorHAnsi" w:eastAsiaTheme="minorEastAsia" w:hAnsiTheme="minorHAnsi" w:cstheme="minorBidi"/>
              <w:kern w:val="2"/>
              <w:sz w:val="24"/>
              <w:szCs w:val="24"/>
              <w14:ligatures w14:val="standardContextual"/>
            </w:rPr>
          </w:pPr>
          <w:hyperlink w:anchor="_Toc201751389" w:history="1">
            <w:r w:rsidRPr="00990D3B">
              <w:rPr>
                <w:rStyle w:val="Hyperlink"/>
              </w:rPr>
              <w:t>Activity I.6: Develop a Quality Assurance Plan</w:t>
            </w:r>
            <w:r w:rsidRPr="00990D3B">
              <w:rPr>
                <w:webHidden/>
              </w:rPr>
              <w:tab/>
            </w:r>
            <w:r w:rsidRPr="00990D3B">
              <w:rPr>
                <w:webHidden/>
              </w:rPr>
              <w:fldChar w:fldCharType="begin"/>
            </w:r>
            <w:r w:rsidRPr="00990D3B">
              <w:rPr>
                <w:webHidden/>
              </w:rPr>
              <w:instrText xml:space="preserve"> PAGEREF _Toc201751389 \h </w:instrText>
            </w:r>
            <w:r w:rsidRPr="00990D3B">
              <w:rPr>
                <w:webHidden/>
              </w:rPr>
              <w:fldChar w:fldCharType="separate"/>
            </w:r>
            <w:r w:rsidRPr="00990D3B">
              <w:rPr>
                <w:webHidden/>
              </w:rPr>
              <w:t>312</w:t>
            </w:r>
            <w:r w:rsidRPr="00990D3B">
              <w:rPr>
                <w:webHidden/>
              </w:rPr>
              <w:fldChar w:fldCharType="end"/>
            </w:r>
          </w:hyperlink>
        </w:p>
        <w:p w:rsidR="00676731" w:rsidRPr="00990D3B" w14:paraId="2B4211AD" w14:textId="5ABA2DC9">
          <w:pPr>
            <w:pStyle w:val="TOC2"/>
            <w:rPr>
              <w:rFonts w:asciiTheme="minorHAnsi" w:eastAsiaTheme="minorEastAsia" w:hAnsiTheme="minorHAnsi" w:cstheme="minorBidi"/>
              <w:kern w:val="2"/>
              <w:sz w:val="24"/>
              <w:szCs w:val="24"/>
              <w14:ligatures w14:val="standardContextual"/>
            </w:rPr>
          </w:pPr>
          <w:hyperlink w:anchor="_Toc201751390" w:history="1">
            <w:r w:rsidRPr="00990D3B">
              <w:rPr>
                <w:rStyle w:val="Hyperlink"/>
              </w:rPr>
              <w:t>Activity I.7: Implement the Survey According to the Work Plan</w:t>
            </w:r>
            <w:r w:rsidRPr="00990D3B">
              <w:rPr>
                <w:webHidden/>
              </w:rPr>
              <w:tab/>
            </w:r>
            <w:r w:rsidRPr="00990D3B">
              <w:rPr>
                <w:webHidden/>
              </w:rPr>
              <w:fldChar w:fldCharType="begin"/>
            </w:r>
            <w:r w:rsidRPr="00990D3B">
              <w:rPr>
                <w:webHidden/>
              </w:rPr>
              <w:instrText xml:space="preserve"> PAGEREF _Toc201751390 \h </w:instrText>
            </w:r>
            <w:r w:rsidRPr="00990D3B">
              <w:rPr>
                <w:webHidden/>
              </w:rPr>
              <w:fldChar w:fldCharType="separate"/>
            </w:r>
            <w:r w:rsidRPr="00990D3B">
              <w:rPr>
                <w:webHidden/>
              </w:rPr>
              <w:t>313</w:t>
            </w:r>
            <w:r w:rsidRPr="00990D3B">
              <w:rPr>
                <w:webHidden/>
              </w:rPr>
              <w:fldChar w:fldCharType="end"/>
            </w:r>
          </w:hyperlink>
        </w:p>
        <w:p w:rsidR="00676731" w:rsidRPr="00990D3B" w14:paraId="20ACEAC6" w14:textId="770E7C47">
          <w:pPr>
            <w:pStyle w:val="TOC2"/>
            <w:rPr>
              <w:rFonts w:asciiTheme="minorHAnsi" w:eastAsiaTheme="minorEastAsia" w:hAnsiTheme="minorHAnsi" w:cstheme="minorBidi"/>
              <w:kern w:val="2"/>
              <w:sz w:val="24"/>
              <w:szCs w:val="24"/>
              <w14:ligatures w14:val="standardContextual"/>
            </w:rPr>
          </w:pPr>
          <w:hyperlink w:anchor="_Toc201751391" w:history="1">
            <w:r w:rsidRPr="00990D3B">
              <w:rPr>
                <w:rStyle w:val="Hyperlink"/>
              </w:rPr>
              <w:t>Activity I.8: Prepare and Analyze Survey Data and Present Results in a Final Report</w:t>
            </w:r>
            <w:r w:rsidRPr="00990D3B">
              <w:rPr>
                <w:webHidden/>
              </w:rPr>
              <w:tab/>
            </w:r>
            <w:r w:rsidRPr="00990D3B">
              <w:rPr>
                <w:webHidden/>
              </w:rPr>
              <w:fldChar w:fldCharType="begin"/>
            </w:r>
            <w:r w:rsidRPr="00990D3B">
              <w:rPr>
                <w:webHidden/>
              </w:rPr>
              <w:instrText xml:space="preserve"> PAGEREF _Toc201751391 \h </w:instrText>
            </w:r>
            <w:r w:rsidRPr="00990D3B">
              <w:rPr>
                <w:webHidden/>
              </w:rPr>
              <w:fldChar w:fldCharType="separate"/>
            </w:r>
            <w:r w:rsidRPr="00990D3B">
              <w:rPr>
                <w:webHidden/>
              </w:rPr>
              <w:t>314</w:t>
            </w:r>
            <w:r w:rsidRPr="00990D3B">
              <w:rPr>
                <w:webHidden/>
              </w:rPr>
              <w:fldChar w:fldCharType="end"/>
            </w:r>
          </w:hyperlink>
        </w:p>
        <w:p w:rsidR="00676731" w:rsidRPr="00990D3B" w14:paraId="24B76800" w14:textId="6F61F644">
          <w:pPr>
            <w:pStyle w:val="TOC2"/>
            <w:rPr>
              <w:rFonts w:asciiTheme="minorHAnsi" w:eastAsiaTheme="minorEastAsia" w:hAnsiTheme="minorHAnsi" w:cstheme="minorBidi"/>
              <w:kern w:val="2"/>
              <w:sz w:val="24"/>
              <w:szCs w:val="24"/>
              <w14:ligatures w14:val="standardContextual"/>
            </w:rPr>
          </w:pPr>
          <w:hyperlink w:anchor="_Toc201751392" w:history="1">
            <w:r w:rsidRPr="00990D3B">
              <w:rPr>
                <w:rStyle w:val="Hyperlink"/>
              </w:rPr>
              <w:t>Section II. Validating a Survey</w:t>
            </w:r>
            <w:r w:rsidRPr="00990D3B">
              <w:rPr>
                <w:webHidden/>
              </w:rPr>
              <w:tab/>
            </w:r>
            <w:r w:rsidRPr="00990D3B">
              <w:rPr>
                <w:webHidden/>
              </w:rPr>
              <w:fldChar w:fldCharType="begin"/>
            </w:r>
            <w:r w:rsidRPr="00990D3B">
              <w:rPr>
                <w:webHidden/>
              </w:rPr>
              <w:instrText xml:space="preserve"> PAGEREF _Toc201751392 \h </w:instrText>
            </w:r>
            <w:r w:rsidRPr="00990D3B">
              <w:rPr>
                <w:webHidden/>
              </w:rPr>
              <w:fldChar w:fldCharType="separate"/>
            </w:r>
            <w:r w:rsidRPr="00990D3B">
              <w:rPr>
                <w:webHidden/>
              </w:rPr>
              <w:t>316</w:t>
            </w:r>
            <w:r w:rsidRPr="00990D3B">
              <w:rPr>
                <w:webHidden/>
              </w:rPr>
              <w:fldChar w:fldCharType="end"/>
            </w:r>
          </w:hyperlink>
        </w:p>
        <w:p w:rsidR="00676731" w:rsidRPr="00990D3B" w14:paraId="2B1D9913" w14:textId="034F64FC">
          <w:pPr>
            <w:pStyle w:val="TOC2"/>
            <w:rPr>
              <w:rFonts w:asciiTheme="minorHAnsi" w:eastAsiaTheme="minorEastAsia" w:hAnsiTheme="minorHAnsi" w:cstheme="minorBidi"/>
              <w:kern w:val="2"/>
              <w:sz w:val="24"/>
              <w:szCs w:val="24"/>
              <w14:ligatures w14:val="standardContextual"/>
            </w:rPr>
          </w:pPr>
          <w:hyperlink w:anchor="_Toc201751393" w:history="1">
            <w:r w:rsidRPr="00990D3B">
              <w:rPr>
                <w:rStyle w:val="Hyperlink"/>
              </w:rPr>
              <w:t>Activity II.1: Review the Survey Purpose, Objectives, and Audience</w:t>
            </w:r>
            <w:r w:rsidRPr="00990D3B">
              <w:rPr>
                <w:webHidden/>
              </w:rPr>
              <w:tab/>
            </w:r>
            <w:r w:rsidRPr="00990D3B">
              <w:rPr>
                <w:webHidden/>
              </w:rPr>
              <w:fldChar w:fldCharType="begin"/>
            </w:r>
            <w:r w:rsidRPr="00990D3B">
              <w:rPr>
                <w:webHidden/>
              </w:rPr>
              <w:instrText xml:space="preserve"> PAGEREF _Toc201751393 \h </w:instrText>
            </w:r>
            <w:r w:rsidRPr="00990D3B">
              <w:rPr>
                <w:webHidden/>
              </w:rPr>
              <w:fldChar w:fldCharType="separate"/>
            </w:r>
            <w:r w:rsidRPr="00990D3B">
              <w:rPr>
                <w:webHidden/>
              </w:rPr>
              <w:t>317</w:t>
            </w:r>
            <w:r w:rsidRPr="00990D3B">
              <w:rPr>
                <w:webHidden/>
              </w:rPr>
              <w:fldChar w:fldCharType="end"/>
            </w:r>
          </w:hyperlink>
        </w:p>
        <w:p w:rsidR="00676731" w:rsidRPr="00990D3B" w14:paraId="298635E9" w14:textId="2985F04E">
          <w:pPr>
            <w:pStyle w:val="TOC2"/>
            <w:rPr>
              <w:rFonts w:asciiTheme="minorHAnsi" w:eastAsiaTheme="minorEastAsia" w:hAnsiTheme="minorHAnsi" w:cstheme="minorBidi"/>
              <w:kern w:val="2"/>
              <w:sz w:val="24"/>
              <w:szCs w:val="24"/>
              <w14:ligatures w14:val="standardContextual"/>
            </w:rPr>
          </w:pPr>
          <w:hyperlink w:anchor="_Toc201751394" w:history="1">
            <w:r w:rsidRPr="00990D3B">
              <w:rPr>
                <w:rStyle w:val="Hyperlink"/>
              </w:rPr>
              <w:t>Activity II.2: Review the Work Plan</w:t>
            </w:r>
            <w:r w:rsidRPr="00990D3B">
              <w:rPr>
                <w:webHidden/>
              </w:rPr>
              <w:tab/>
            </w:r>
            <w:r w:rsidRPr="00990D3B">
              <w:rPr>
                <w:webHidden/>
              </w:rPr>
              <w:fldChar w:fldCharType="begin"/>
            </w:r>
            <w:r w:rsidRPr="00990D3B">
              <w:rPr>
                <w:webHidden/>
              </w:rPr>
              <w:instrText xml:space="preserve"> PAGEREF _Toc201751394 \h </w:instrText>
            </w:r>
            <w:r w:rsidRPr="00990D3B">
              <w:rPr>
                <w:webHidden/>
              </w:rPr>
              <w:fldChar w:fldCharType="separate"/>
            </w:r>
            <w:r w:rsidRPr="00990D3B">
              <w:rPr>
                <w:webHidden/>
              </w:rPr>
              <w:t>317</w:t>
            </w:r>
            <w:r w:rsidRPr="00990D3B">
              <w:rPr>
                <w:webHidden/>
              </w:rPr>
              <w:fldChar w:fldCharType="end"/>
            </w:r>
          </w:hyperlink>
        </w:p>
        <w:p w:rsidR="00676731" w:rsidRPr="00990D3B" w14:paraId="1CCEF47A" w14:textId="0BEFE2FB">
          <w:pPr>
            <w:pStyle w:val="TOC2"/>
            <w:rPr>
              <w:rFonts w:asciiTheme="minorHAnsi" w:eastAsiaTheme="minorEastAsia" w:hAnsiTheme="minorHAnsi" w:cstheme="minorBidi"/>
              <w:kern w:val="2"/>
              <w:sz w:val="24"/>
              <w:szCs w:val="24"/>
              <w14:ligatures w14:val="standardContextual"/>
            </w:rPr>
          </w:pPr>
          <w:hyperlink w:anchor="_Toc201751395" w:history="1">
            <w:r w:rsidRPr="00990D3B">
              <w:rPr>
                <w:rStyle w:val="Hyperlink"/>
              </w:rPr>
              <w:t>Activity II.3: Review the Reliability and Validity of the Survey Instrument</w:t>
            </w:r>
            <w:r w:rsidRPr="00990D3B">
              <w:rPr>
                <w:webHidden/>
              </w:rPr>
              <w:tab/>
            </w:r>
            <w:r w:rsidRPr="00990D3B">
              <w:rPr>
                <w:webHidden/>
              </w:rPr>
              <w:fldChar w:fldCharType="begin"/>
            </w:r>
            <w:r w:rsidRPr="00990D3B">
              <w:rPr>
                <w:webHidden/>
              </w:rPr>
              <w:instrText xml:space="preserve"> PAGEREF _Toc201751395 \h </w:instrText>
            </w:r>
            <w:r w:rsidRPr="00990D3B">
              <w:rPr>
                <w:webHidden/>
              </w:rPr>
              <w:fldChar w:fldCharType="separate"/>
            </w:r>
            <w:r w:rsidRPr="00990D3B">
              <w:rPr>
                <w:webHidden/>
              </w:rPr>
              <w:t>317</w:t>
            </w:r>
            <w:r w:rsidRPr="00990D3B">
              <w:rPr>
                <w:webHidden/>
              </w:rPr>
              <w:fldChar w:fldCharType="end"/>
            </w:r>
          </w:hyperlink>
        </w:p>
        <w:p w:rsidR="00676731" w:rsidRPr="00990D3B" w14:paraId="4A85B513" w14:textId="0BC0FA6F">
          <w:pPr>
            <w:pStyle w:val="TOC2"/>
            <w:rPr>
              <w:rFonts w:asciiTheme="minorHAnsi" w:eastAsiaTheme="minorEastAsia" w:hAnsiTheme="minorHAnsi" w:cstheme="minorBidi"/>
              <w:kern w:val="2"/>
              <w:sz w:val="24"/>
              <w:szCs w:val="24"/>
              <w14:ligatures w14:val="standardContextual"/>
            </w:rPr>
          </w:pPr>
          <w:hyperlink w:anchor="_Toc201751396" w:history="1">
            <w:r w:rsidRPr="00990D3B">
              <w:rPr>
                <w:rStyle w:val="Hyperlink"/>
              </w:rPr>
              <w:t>Activity II.4: Review the Sampling Plan</w:t>
            </w:r>
            <w:r w:rsidRPr="00990D3B">
              <w:rPr>
                <w:webHidden/>
              </w:rPr>
              <w:tab/>
            </w:r>
            <w:r w:rsidRPr="00990D3B">
              <w:rPr>
                <w:webHidden/>
              </w:rPr>
              <w:fldChar w:fldCharType="begin"/>
            </w:r>
            <w:r w:rsidRPr="00990D3B">
              <w:rPr>
                <w:webHidden/>
              </w:rPr>
              <w:instrText xml:space="preserve"> PAGEREF _Toc201751396 \h </w:instrText>
            </w:r>
            <w:r w:rsidRPr="00990D3B">
              <w:rPr>
                <w:webHidden/>
              </w:rPr>
              <w:fldChar w:fldCharType="separate"/>
            </w:r>
            <w:r w:rsidRPr="00990D3B">
              <w:rPr>
                <w:webHidden/>
              </w:rPr>
              <w:t>318</w:t>
            </w:r>
            <w:r w:rsidRPr="00990D3B">
              <w:rPr>
                <w:webHidden/>
              </w:rPr>
              <w:fldChar w:fldCharType="end"/>
            </w:r>
          </w:hyperlink>
        </w:p>
        <w:p w:rsidR="00676731" w:rsidRPr="00990D3B" w14:paraId="0680820E" w14:textId="1A6ED214">
          <w:pPr>
            <w:pStyle w:val="TOC2"/>
            <w:rPr>
              <w:rFonts w:asciiTheme="minorHAnsi" w:eastAsiaTheme="minorEastAsia" w:hAnsiTheme="minorHAnsi" w:cstheme="minorBidi"/>
              <w:kern w:val="2"/>
              <w:sz w:val="24"/>
              <w:szCs w:val="24"/>
              <w14:ligatures w14:val="standardContextual"/>
            </w:rPr>
          </w:pPr>
          <w:hyperlink w:anchor="_Toc201751397" w:history="1">
            <w:r w:rsidRPr="00990D3B">
              <w:rPr>
                <w:rStyle w:val="Hyperlink"/>
              </w:rPr>
              <w:t>Activity II.5: Review the Adequacy of the Response Rate</w:t>
            </w:r>
            <w:r w:rsidRPr="00990D3B">
              <w:rPr>
                <w:webHidden/>
              </w:rPr>
              <w:tab/>
            </w:r>
            <w:r w:rsidRPr="00990D3B">
              <w:rPr>
                <w:webHidden/>
              </w:rPr>
              <w:fldChar w:fldCharType="begin"/>
            </w:r>
            <w:r w:rsidRPr="00990D3B">
              <w:rPr>
                <w:webHidden/>
              </w:rPr>
              <w:instrText xml:space="preserve"> PAGEREF _Toc201751397 \h </w:instrText>
            </w:r>
            <w:r w:rsidRPr="00990D3B">
              <w:rPr>
                <w:webHidden/>
              </w:rPr>
              <w:fldChar w:fldCharType="separate"/>
            </w:r>
            <w:r w:rsidRPr="00990D3B">
              <w:rPr>
                <w:webHidden/>
              </w:rPr>
              <w:t>319</w:t>
            </w:r>
            <w:r w:rsidRPr="00990D3B">
              <w:rPr>
                <w:webHidden/>
              </w:rPr>
              <w:fldChar w:fldCharType="end"/>
            </w:r>
          </w:hyperlink>
        </w:p>
        <w:p w:rsidR="00676731" w:rsidRPr="00990D3B" w14:paraId="0B0A18FF" w14:textId="07181446">
          <w:pPr>
            <w:pStyle w:val="TOC2"/>
            <w:rPr>
              <w:rFonts w:asciiTheme="minorHAnsi" w:eastAsiaTheme="minorEastAsia" w:hAnsiTheme="minorHAnsi" w:cstheme="minorBidi"/>
              <w:kern w:val="2"/>
              <w:sz w:val="24"/>
              <w:szCs w:val="24"/>
              <w14:ligatures w14:val="standardContextual"/>
            </w:rPr>
          </w:pPr>
          <w:hyperlink w:anchor="_Toc201751398" w:history="1">
            <w:r w:rsidRPr="00990D3B">
              <w:rPr>
                <w:rStyle w:val="Hyperlink"/>
              </w:rPr>
              <w:t>Activity II.6: Review the Quality Assurance Plan</w:t>
            </w:r>
            <w:r w:rsidRPr="00990D3B">
              <w:rPr>
                <w:webHidden/>
              </w:rPr>
              <w:tab/>
            </w:r>
            <w:r w:rsidRPr="00990D3B">
              <w:rPr>
                <w:webHidden/>
              </w:rPr>
              <w:fldChar w:fldCharType="begin"/>
            </w:r>
            <w:r w:rsidRPr="00990D3B">
              <w:rPr>
                <w:webHidden/>
              </w:rPr>
              <w:instrText xml:space="preserve"> PAGEREF _Toc201751398 \h </w:instrText>
            </w:r>
            <w:r w:rsidRPr="00990D3B">
              <w:rPr>
                <w:webHidden/>
              </w:rPr>
              <w:fldChar w:fldCharType="separate"/>
            </w:r>
            <w:r w:rsidRPr="00990D3B">
              <w:rPr>
                <w:webHidden/>
              </w:rPr>
              <w:t>319</w:t>
            </w:r>
            <w:r w:rsidRPr="00990D3B">
              <w:rPr>
                <w:webHidden/>
              </w:rPr>
              <w:fldChar w:fldCharType="end"/>
            </w:r>
          </w:hyperlink>
        </w:p>
        <w:p w:rsidR="00676731" w:rsidRPr="00990D3B" w14:paraId="1D6DB42C" w14:textId="4A2D3AFE">
          <w:pPr>
            <w:pStyle w:val="TOC2"/>
            <w:rPr>
              <w:rFonts w:asciiTheme="minorHAnsi" w:eastAsiaTheme="minorEastAsia" w:hAnsiTheme="minorHAnsi" w:cstheme="minorBidi"/>
              <w:kern w:val="2"/>
              <w:sz w:val="24"/>
              <w:szCs w:val="24"/>
              <w14:ligatures w14:val="standardContextual"/>
            </w:rPr>
          </w:pPr>
          <w:hyperlink w:anchor="_Toc201751399" w:history="1">
            <w:r w:rsidRPr="00990D3B">
              <w:rPr>
                <w:rStyle w:val="Hyperlink"/>
              </w:rPr>
              <w:t>Activity II.7: Review the Survey Implementation</w:t>
            </w:r>
            <w:r w:rsidRPr="00990D3B">
              <w:rPr>
                <w:webHidden/>
              </w:rPr>
              <w:tab/>
            </w:r>
            <w:r w:rsidRPr="00990D3B">
              <w:rPr>
                <w:webHidden/>
              </w:rPr>
              <w:fldChar w:fldCharType="begin"/>
            </w:r>
            <w:r w:rsidRPr="00990D3B">
              <w:rPr>
                <w:webHidden/>
              </w:rPr>
              <w:instrText xml:space="preserve"> PAGEREF _Toc201751399 \h </w:instrText>
            </w:r>
            <w:r w:rsidRPr="00990D3B">
              <w:rPr>
                <w:webHidden/>
              </w:rPr>
              <w:fldChar w:fldCharType="separate"/>
            </w:r>
            <w:r w:rsidRPr="00990D3B">
              <w:rPr>
                <w:webHidden/>
              </w:rPr>
              <w:t>319</w:t>
            </w:r>
            <w:r w:rsidRPr="00990D3B">
              <w:rPr>
                <w:webHidden/>
              </w:rPr>
              <w:fldChar w:fldCharType="end"/>
            </w:r>
          </w:hyperlink>
        </w:p>
        <w:p w:rsidR="00676731" w:rsidRPr="00990D3B" w14:paraId="14A5C50B" w14:textId="7AB66771">
          <w:pPr>
            <w:pStyle w:val="TOC2"/>
            <w:rPr>
              <w:rFonts w:asciiTheme="minorHAnsi" w:eastAsiaTheme="minorEastAsia" w:hAnsiTheme="minorHAnsi" w:cstheme="minorBidi"/>
              <w:kern w:val="2"/>
              <w:sz w:val="24"/>
              <w:szCs w:val="24"/>
              <w14:ligatures w14:val="standardContextual"/>
            </w:rPr>
          </w:pPr>
          <w:hyperlink w:anchor="_Toc201751400" w:history="1">
            <w:r w:rsidRPr="00990D3B">
              <w:rPr>
                <w:rStyle w:val="Hyperlink"/>
              </w:rPr>
              <w:t>Activity II.8: Review the Survey Data Analysis and Final Report</w:t>
            </w:r>
            <w:r w:rsidRPr="00990D3B">
              <w:rPr>
                <w:webHidden/>
              </w:rPr>
              <w:tab/>
            </w:r>
            <w:r w:rsidRPr="00990D3B">
              <w:rPr>
                <w:webHidden/>
              </w:rPr>
              <w:fldChar w:fldCharType="begin"/>
            </w:r>
            <w:r w:rsidRPr="00990D3B">
              <w:rPr>
                <w:webHidden/>
              </w:rPr>
              <w:instrText xml:space="preserve"> PAGEREF _Toc201751400 \h </w:instrText>
            </w:r>
            <w:r w:rsidRPr="00990D3B">
              <w:rPr>
                <w:webHidden/>
              </w:rPr>
              <w:fldChar w:fldCharType="separate"/>
            </w:r>
            <w:r w:rsidRPr="00990D3B">
              <w:rPr>
                <w:webHidden/>
              </w:rPr>
              <w:t>320</w:t>
            </w:r>
            <w:r w:rsidRPr="00990D3B">
              <w:rPr>
                <w:webHidden/>
              </w:rPr>
              <w:fldChar w:fldCharType="end"/>
            </w:r>
          </w:hyperlink>
        </w:p>
        <w:p w:rsidR="00676731" w:rsidRPr="00990D3B" w14:paraId="3684EE4B" w14:textId="5B35DBB8">
          <w:pPr>
            <w:pStyle w:val="TOC2"/>
            <w:rPr>
              <w:rFonts w:asciiTheme="minorHAnsi" w:eastAsiaTheme="minorEastAsia" w:hAnsiTheme="minorHAnsi" w:cstheme="minorBidi"/>
              <w:kern w:val="2"/>
              <w:sz w:val="24"/>
              <w:szCs w:val="24"/>
              <w14:ligatures w14:val="standardContextual"/>
            </w:rPr>
          </w:pPr>
          <w:hyperlink w:anchor="_Toc201751401" w:history="1">
            <w:r w:rsidRPr="00990D3B">
              <w:rPr>
                <w:rStyle w:val="Hyperlink"/>
              </w:rPr>
              <w:t>Technical Appendix for Protocol 6: Understanding Potential Sources of Survey Error</w:t>
            </w:r>
            <w:r w:rsidRPr="00990D3B">
              <w:rPr>
                <w:webHidden/>
              </w:rPr>
              <w:tab/>
            </w:r>
            <w:r w:rsidRPr="00990D3B">
              <w:rPr>
                <w:webHidden/>
              </w:rPr>
              <w:fldChar w:fldCharType="begin"/>
            </w:r>
            <w:r w:rsidRPr="00990D3B">
              <w:rPr>
                <w:webHidden/>
              </w:rPr>
              <w:instrText xml:space="preserve"> PAGEREF _Toc201751401 \h </w:instrText>
            </w:r>
            <w:r w:rsidRPr="00990D3B">
              <w:rPr>
                <w:webHidden/>
              </w:rPr>
              <w:fldChar w:fldCharType="separate"/>
            </w:r>
            <w:r w:rsidRPr="00990D3B">
              <w:rPr>
                <w:webHidden/>
              </w:rPr>
              <w:t>320</w:t>
            </w:r>
            <w:r w:rsidRPr="00990D3B">
              <w:rPr>
                <w:webHidden/>
              </w:rPr>
              <w:fldChar w:fldCharType="end"/>
            </w:r>
          </w:hyperlink>
        </w:p>
        <w:p w:rsidR="00676731" w:rsidRPr="00990D3B" w14:paraId="24B68F09" w14:textId="374467EE">
          <w:pPr>
            <w:pStyle w:val="TOC2"/>
            <w:rPr>
              <w:rFonts w:asciiTheme="minorHAnsi" w:eastAsiaTheme="minorEastAsia" w:hAnsiTheme="minorHAnsi" w:cstheme="minorBidi"/>
              <w:kern w:val="2"/>
              <w:sz w:val="24"/>
              <w:szCs w:val="24"/>
              <w14:ligatures w14:val="standardContextual"/>
            </w:rPr>
          </w:pPr>
          <w:hyperlink w:anchor="_Toc201751402" w:history="1">
            <w:r w:rsidRPr="00990D3B">
              <w:rPr>
                <w:rStyle w:val="Hyperlink"/>
              </w:rPr>
              <w:t>Worksheets for Protocol 6: Survey Administration and Validation Tools</w:t>
            </w:r>
            <w:r w:rsidRPr="00990D3B">
              <w:rPr>
                <w:webHidden/>
              </w:rPr>
              <w:tab/>
            </w:r>
            <w:r w:rsidRPr="00990D3B">
              <w:rPr>
                <w:webHidden/>
              </w:rPr>
              <w:fldChar w:fldCharType="begin"/>
            </w:r>
            <w:r w:rsidRPr="00990D3B">
              <w:rPr>
                <w:webHidden/>
              </w:rPr>
              <w:instrText xml:space="preserve"> PAGEREF _Toc201751402 \h </w:instrText>
            </w:r>
            <w:r w:rsidRPr="00990D3B">
              <w:rPr>
                <w:webHidden/>
              </w:rPr>
              <w:fldChar w:fldCharType="separate"/>
            </w:r>
            <w:r w:rsidRPr="00990D3B">
              <w:rPr>
                <w:webHidden/>
              </w:rPr>
              <w:t>323</w:t>
            </w:r>
            <w:r w:rsidRPr="00990D3B">
              <w:rPr>
                <w:webHidden/>
              </w:rPr>
              <w:fldChar w:fldCharType="end"/>
            </w:r>
          </w:hyperlink>
        </w:p>
        <w:p w:rsidR="00676731" w:rsidRPr="00990D3B" w14:paraId="0A9A134E" w14:textId="24C72E91">
          <w:pPr>
            <w:pStyle w:val="TOC1"/>
            <w:rPr>
              <w:rFonts w:asciiTheme="minorHAnsi" w:eastAsiaTheme="minorEastAsia" w:hAnsiTheme="minorHAnsi" w:cstheme="minorBidi"/>
              <w:kern w:val="2"/>
              <w:sz w:val="24"/>
              <w:szCs w:val="24"/>
              <w14:ligatures w14:val="standardContextual"/>
            </w:rPr>
          </w:pPr>
          <w:hyperlink w:anchor="_Toc201751403" w:history="1">
            <w:r w:rsidRPr="00990D3B">
              <w:rPr>
                <w:rStyle w:val="Hyperlink"/>
              </w:rPr>
              <w:t>Protocol 7. Calculation of Additional Performance Measures</w:t>
            </w:r>
            <w:r w:rsidRPr="00990D3B">
              <w:rPr>
                <w:webHidden/>
              </w:rPr>
              <w:tab/>
            </w:r>
            <w:r w:rsidRPr="00990D3B">
              <w:rPr>
                <w:webHidden/>
              </w:rPr>
              <w:fldChar w:fldCharType="begin"/>
            </w:r>
            <w:r w:rsidRPr="00990D3B">
              <w:rPr>
                <w:webHidden/>
              </w:rPr>
              <w:instrText xml:space="preserve"> PAGEREF _Toc201751403 \h </w:instrText>
            </w:r>
            <w:r w:rsidRPr="00990D3B">
              <w:rPr>
                <w:webHidden/>
              </w:rPr>
              <w:fldChar w:fldCharType="separate"/>
            </w:r>
            <w:r w:rsidRPr="00990D3B">
              <w:rPr>
                <w:webHidden/>
              </w:rPr>
              <w:t>332</w:t>
            </w:r>
            <w:r w:rsidRPr="00990D3B">
              <w:rPr>
                <w:webHidden/>
              </w:rPr>
              <w:fldChar w:fldCharType="end"/>
            </w:r>
          </w:hyperlink>
        </w:p>
        <w:p w:rsidR="00676731" w:rsidRPr="00990D3B" w14:paraId="53E3524E" w14:textId="1AEEDFA3">
          <w:pPr>
            <w:pStyle w:val="TOC2"/>
            <w:rPr>
              <w:rFonts w:asciiTheme="minorHAnsi" w:eastAsiaTheme="minorEastAsia" w:hAnsiTheme="minorHAnsi" w:cstheme="minorBidi"/>
              <w:kern w:val="2"/>
              <w:sz w:val="24"/>
              <w:szCs w:val="24"/>
              <w14:ligatures w14:val="standardContextual"/>
            </w:rPr>
          </w:pPr>
          <w:hyperlink w:anchor="_Toc201751404" w:history="1">
            <w:r w:rsidRPr="00990D3B">
              <w:rPr>
                <w:rStyle w:val="Hyperlink"/>
              </w:rPr>
              <w:t>Background</w:t>
            </w:r>
            <w:r w:rsidRPr="00990D3B">
              <w:rPr>
                <w:webHidden/>
              </w:rPr>
              <w:tab/>
            </w:r>
            <w:r w:rsidRPr="00990D3B">
              <w:rPr>
                <w:webHidden/>
              </w:rPr>
              <w:fldChar w:fldCharType="begin"/>
            </w:r>
            <w:r w:rsidRPr="00990D3B">
              <w:rPr>
                <w:webHidden/>
              </w:rPr>
              <w:instrText xml:space="preserve"> PAGEREF _Toc201751404 \h </w:instrText>
            </w:r>
            <w:r w:rsidRPr="00990D3B">
              <w:rPr>
                <w:webHidden/>
              </w:rPr>
              <w:fldChar w:fldCharType="separate"/>
            </w:r>
            <w:r w:rsidRPr="00990D3B">
              <w:rPr>
                <w:webHidden/>
              </w:rPr>
              <w:t>332</w:t>
            </w:r>
            <w:r w:rsidRPr="00990D3B">
              <w:rPr>
                <w:webHidden/>
              </w:rPr>
              <w:fldChar w:fldCharType="end"/>
            </w:r>
          </w:hyperlink>
        </w:p>
        <w:p w:rsidR="00676731" w:rsidRPr="00990D3B" w14:paraId="52D9524D" w14:textId="3A0C8470">
          <w:pPr>
            <w:pStyle w:val="TOC2"/>
            <w:rPr>
              <w:rFonts w:asciiTheme="minorHAnsi" w:eastAsiaTheme="minorEastAsia" w:hAnsiTheme="minorHAnsi" w:cstheme="minorBidi"/>
              <w:kern w:val="2"/>
              <w:sz w:val="24"/>
              <w:szCs w:val="24"/>
              <w14:ligatures w14:val="standardContextual"/>
            </w:rPr>
          </w:pPr>
          <w:hyperlink w:anchor="_Toc201751405" w:history="1">
            <w:r w:rsidRPr="00990D3B">
              <w:rPr>
                <w:rStyle w:val="Hyperlink"/>
              </w:rPr>
              <w:t>G</w:t>
            </w:r>
            <w:r w:rsidRPr="00990D3B">
              <w:rPr>
                <w:rStyle w:val="Hyperlink"/>
                <w:lang w:bidi="en-US"/>
              </w:rPr>
              <w:t>etting Started on Protocol</w:t>
            </w:r>
            <w:r w:rsidRPr="00990D3B">
              <w:rPr>
                <w:rStyle w:val="Hyperlink"/>
              </w:rPr>
              <w:t xml:space="preserve"> 7</w:t>
            </w:r>
            <w:r w:rsidRPr="00990D3B">
              <w:rPr>
                <w:webHidden/>
              </w:rPr>
              <w:tab/>
            </w:r>
            <w:r w:rsidRPr="00990D3B">
              <w:rPr>
                <w:webHidden/>
              </w:rPr>
              <w:fldChar w:fldCharType="begin"/>
            </w:r>
            <w:r w:rsidRPr="00990D3B">
              <w:rPr>
                <w:webHidden/>
              </w:rPr>
              <w:instrText xml:space="preserve"> PAGEREF _Toc201751405 \h </w:instrText>
            </w:r>
            <w:r w:rsidRPr="00990D3B">
              <w:rPr>
                <w:webHidden/>
              </w:rPr>
              <w:fldChar w:fldCharType="separate"/>
            </w:r>
            <w:r w:rsidRPr="00990D3B">
              <w:rPr>
                <w:webHidden/>
              </w:rPr>
              <w:t>333</w:t>
            </w:r>
            <w:r w:rsidRPr="00990D3B">
              <w:rPr>
                <w:webHidden/>
              </w:rPr>
              <w:fldChar w:fldCharType="end"/>
            </w:r>
          </w:hyperlink>
        </w:p>
        <w:p w:rsidR="00676731" w:rsidRPr="00990D3B" w14:paraId="76373740" w14:textId="110349B4">
          <w:pPr>
            <w:pStyle w:val="TOC2"/>
            <w:rPr>
              <w:rFonts w:asciiTheme="minorHAnsi" w:eastAsiaTheme="minorEastAsia" w:hAnsiTheme="minorHAnsi" w:cstheme="minorBidi"/>
              <w:kern w:val="2"/>
              <w:sz w:val="24"/>
              <w:szCs w:val="24"/>
              <w14:ligatures w14:val="standardContextual"/>
            </w:rPr>
          </w:pPr>
          <w:hyperlink w:anchor="_Toc201751406" w:history="1">
            <w:r w:rsidRPr="00990D3B">
              <w:rPr>
                <w:rStyle w:val="Hyperlink"/>
              </w:rPr>
              <w:t>Activity 1: Prepare for Measurement</w:t>
            </w:r>
            <w:r w:rsidRPr="00990D3B">
              <w:rPr>
                <w:webHidden/>
              </w:rPr>
              <w:tab/>
            </w:r>
            <w:r w:rsidRPr="00990D3B">
              <w:rPr>
                <w:webHidden/>
              </w:rPr>
              <w:fldChar w:fldCharType="begin"/>
            </w:r>
            <w:r w:rsidRPr="00990D3B">
              <w:rPr>
                <w:webHidden/>
              </w:rPr>
              <w:instrText xml:space="preserve"> PAGEREF _Toc201751406 \h </w:instrText>
            </w:r>
            <w:r w:rsidRPr="00990D3B">
              <w:rPr>
                <w:webHidden/>
              </w:rPr>
              <w:fldChar w:fldCharType="separate"/>
            </w:r>
            <w:r w:rsidRPr="00990D3B">
              <w:rPr>
                <w:webHidden/>
              </w:rPr>
              <w:t>334</w:t>
            </w:r>
            <w:r w:rsidRPr="00990D3B">
              <w:rPr>
                <w:webHidden/>
              </w:rPr>
              <w:fldChar w:fldCharType="end"/>
            </w:r>
          </w:hyperlink>
        </w:p>
        <w:p w:rsidR="00676731" w:rsidRPr="00990D3B" w14:paraId="3F4F85F1" w14:textId="0A2B065C">
          <w:pPr>
            <w:pStyle w:val="TOC2"/>
            <w:rPr>
              <w:rFonts w:asciiTheme="minorHAnsi" w:eastAsiaTheme="minorEastAsia" w:hAnsiTheme="minorHAnsi" w:cstheme="minorBidi"/>
              <w:kern w:val="2"/>
              <w:sz w:val="24"/>
              <w:szCs w:val="24"/>
              <w14:ligatures w14:val="standardContextual"/>
            </w:rPr>
          </w:pPr>
          <w:hyperlink w:anchor="_Toc201751407" w:history="1">
            <w:r w:rsidRPr="00990D3B">
              <w:rPr>
                <w:rStyle w:val="Hyperlink"/>
              </w:rPr>
              <w:t>Activity 2: Calculate Measures</w:t>
            </w:r>
            <w:r w:rsidRPr="00990D3B">
              <w:rPr>
                <w:webHidden/>
              </w:rPr>
              <w:tab/>
            </w:r>
            <w:r w:rsidRPr="00990D3B">
              <w:rPr>
                <w:webHidden/>
              </w:rPr>
              <w:fldChar w:fldCharType="begin"/>
            </w:r>
            <w:r w:rsidRPr="00990D3B">
              <w:rPr>
                <w:webHidden/>
              </w:rPr>
              <w:instrText xml:space="preserve"> PAGEREF _Toc201751407 \h </w:instrText>
            </w:r>
            <w:r w:rsidRPr="00990D3B">
              <w:rPr>
                <w:webHidden/>
              </w:rPr>
              <w:fldChar w:fldCharType="separate"/>
            </w:r>
            <w:r w:rsidRPr="00990D3B">
              <w:rPr>
                <w:webHidden/>
              </w:rPr>
              <w:t>336</w:t>
            </w:r>
            <w:r w:rsidRPr="00990D3B">
              <w:rPr>
                <w:webHidden/>
              </w:rPr>
              <w:fldChar w:fldCharType="end"/>
            </w:r>
          </w:hyperlink>
        </w:p>
        <w:p w:rsidR="00676731" w:rsidRPr="00990D3B" w14:paraId="68D23368" w14:textId="36DD7BD2">
          <w:pPr>
            <w:pStyle w:val="TOC2"/>
            <w:rPr>
              <w:rFonts w:asciiTheme="minorHAnsi" w:eastAsiaTheme="minorEastAsia" w:hAnsiTheme="minorHAnsi" w:cstheme="minorBidi"/>
              <w:kern w:val="2"/>
              <w:sz w:val="24"/>
              <w:szCs w:val="24"/>
              <w14:ligatures w14:val="standardContextual"/>
            </w:rPr>
          </w:pPr>
          <w:hyperlink w:anchor="_Toc201751408" w:history="1">
            <w:r w:rsidRPr="00990D3B">
              <w:rPr>
                <w:rStyle w:val="Hyperlink"/>
              </w:rPr>
              <w:t>Activity 3: Report Results</w:t>
            </w:r>
            <w:r w:rsidRPr="00990D3B" w:rsidR="00BF08FC">
              <w:rPr>
                <w:rStyle w:val="Hyperlink"/>
              </w:rPr>
              <w:t xml:space="preserve"> to </w:t>
            </w:r>
            <w:r w:rsidRPr="00990D3B" w:rsidR="005C6A56">
              <w:rPr>
                <w:rStyle w:val="Hyperlink"/>
              </w:rPr>
              <w:t xml:space="preserve">the </w:t>
            </w:r>
            <w:r w:rsidRPr="00990D3B" w:rsidR="00BF08FC">
              <w:rPr>
                <w:rStyle w:val="Hyperlink"/>
              </w:rPr>
              <w:t>State</w:t>
            </w:r>
            <w:r w:rsidRPr="00990D3B">
              <w:rPr>
                <w:webHidden/>
              </w:rPr>
              <w:tab/>
            </w:r>
            <w:r w:rsidRPr="00990D3B">
              <w:rPr>
                <w:webHidden/>
              </w:rPr>
              <w:fldChar w:fldCharType="begin"/>
            </w:r>
            <w:r w:rsidRPr="00990D3B">
              <w:rPr>
                <w:webHidden/>
              </w:rPr>
              <w:instrText xml:space="preserve"> PAGEREF _Toc201751408 \h </w:instrText>
            </w:r>
            <w:r w:rsidRPr="00990D3B">
              <w:rPr>
                <w:webHidden/>
              </w:rPr>
              <w:fldChar w:fldCharType="separate"/>
            </w:r>
            <w:r w:rsidRPr="00990D3B">
              <w:rPr>
                <w:webHidden/>
              </w:rPr>
              <w:t>340</w:t>
            </w:r>
            <w:r w:rsidRPr="00990D3B">
              <w:rPr>
                <w:webHidden/>
              </w:rPr>
              <w:fldChar w:fldCharType="end"/>
            </w:r>
          </w:hyperlink>
        </w:p>
        <w:p w:rsidR="00676731" w:rsidRPr="00990D3B" w14:paraId="630B1A36" w14:textId="1F20C217">
          <w:pPr>
            <w:pStyle w:val="TOC2"/>
            <w:rPr>
              <w:rFonts w:asciiTheme="minorHAnsi" w:eastAsiaTheme="minorEastAsia" w:hAnsiTheme="minorHAnsi" w:cstheme="minorBidi"/>
              <w:kern w:val="2"/>
              <w:sz w:val="24"/>
              <w:szCs w:val="24"/>
              <w14:ligatures w14:val="standardContextual"/>
            </w:rPr>
          </w:pPr>
          <w:hyperlink w:anchor="_Toc201751409" w:history="1">
            <w:r w:rsidRPr="00990D3B">
              <w:rPr>
                <w:rStyle w:val="Hyperlink"/>
              </w:rPr>
              <w:t>Worksheets for Protocol 7: Performance Measure Calculation Tools</w:t>
            </w:r>
            <w:r w:rsidRPr="00990D3B">
              <w:rPr>
                <w:webHidden/>
              </w:rPr>
              <w:tab/>
            </w:r>
            <w:r w:rsidRPr="00990D3B">
              <w:rPr>
                <w:webHidden/>
              </w:rPr>
              <w:fldChar w:fldCharType="begin"/>
            </w:r>
            <w:r w:rsidRPr="00990D3B">
              <w:rPr>
                <w:webHidden/>
              </w:rPr>
              <w:instrText xml:space="preserve"> PAGEREF _Toc201751409 \h </w:instrText>
            </w:r>
            <w:r w:rsidRPr="00990D3B">
              <w:rPr>
                <w:webHidden/>
              </w:rPr>
              <w:fldChar w:fldCharType="separate"/>
            </w:r>
            <w:r w:rsidRPr="00990D3B">
              <w:rPr>
                <w:webHidden/>
              </w:rPr>
              <w:t>342</w:t>
            </w:r>
            <w:r w:rsidRPr="00990D3B">
              <w:rPr>
                <w:webHidden/>
              </w:rPr>
              <w:fldChar w:fldCharType="end"/>
            </w:r>
          </w:hyperlink>
        </w:p>
        <w:p w:rsidR="00676731" w:rsidRPr="00990D3B" w14:paraId="3BF96601" w14:textId="4FDEFCEF">
          <w:pPr>
            <w:pStyle w:val="TOC1"/>
            <w:rPr>
              <w:rFonts w:asciiTheme="minorHAnsi" w:eastAsiaTheme="minorEastAsia" w:hAnsiTheme="minorHAnsi" w:cstheme="minorBidi"/>
              <w:kern w:val="2"/>
              <w:sz w:val="24"/>
              <w:szCs w:val="24"/>
              <w14:ligatures w14:val="standardContextual"/>
            </w:rPr>
          </w:pPr>
          <w:hyperlink w:anchor="_Toc201751410" w:history="1">
            <w:r w:rsidRPr="00990D3B">
              <w:rPr>
                <w:rStyle w:val="Hyperlink"/>
              </w:rPr>
              <w:t>Protocol 8. Implementation of Additional Performance Improvement Projects</w:t>
            </w:r>
            <w:r w:rsidRPr="00990D3B">
              <w:rPr>
                <w:webHidden/>
              </w:rPr>
              <w:tab/>
            </w:r>
            <w:r w:rsidRPr="00990D3B">
              <w:rPr>
                <w:webHidden/>
              </w:rPr>
              <w:fldChar w:fldCharType="begin"/>
            </w:r>
            <w:r w:rsidRPr="00990D3B">
              <w:rPr>
                <w:webHidden/>
              </w:rPr>
              <w:instrText xml:space="preserve"> PAGEREF _Toc201751410 \h </w:instrText>
            </w:r>
            <w:r w:rsidRPr="00990D3B">
              <w:rPr>
                <w:webHidden/>
              </w:rPr>
              <w:fldChar w:fldCharType="separate"/>
            </w:r>
            <w:r w:rsidRPr="00990D3B">
              <w:rPr>
                <w:webHidden/>
              </w:rPr>
              <w:t>350</w:t>
            </w:r>
            <w:r w:rsidRPr="00990D3B">
              <w:rPr>
                <w:webHidden/>
              </w:rPr>
              <w:fldChar w:fldCharType="end"/>
            </w:r>
          </w:hyperlink>
        </w:p>
        <w:p w:rsidR="00676731" w:rsidRPr="00990D3B" w14:paraId="69CB0CC7" w14:textId="795FC15C">
          <w:pPr>
            <w:pStyle w:val="TOC2"/>
            <w:rPr>
              <w:rFonts w:asciiTheme="minorHAnsi" w:eastAsiaTheme="minorEastAsia" w:hAnsiTheme="minorHAnsi" w:cstheme="minorBidi"/>
              <w:kern w:val="2"/>
              <w:sz w:val="24"/>
              <w:szCs w:val="24"/>
              <w14:ligatures w14:val="standardContextual"/>
            </w:rPr>
          </w:pPr>
          <w:hyperlink w:anchor="_Toc201751411" w:history="1">
            <w:r w:rsidRPr="00990D3B">
              <w:rPr>
                <w:rStyle w:val="Hyperlink"/>
              </w:rPr>
              <w:t>Background</w:t>
            </w:r>
            <w:r w:rsidRPr="00990D3B">
              <w:rPr>
                <w:webHidden/>
              </w:rPr>
              <w:tab/>
            </w:r>
            <w:r w:rsidRPr="00990D3B">
              <w:rPr>
                <w:webHidden/>
              </w:rPr>
              <w:fldChar w:fldCharType="begin"/>
            </w:r>
            <w:r w:rsidRPr="00990D3B">
              <w:rPr>
                <w:webHidden/>
              </w:rPr>
              <w:instrText xml:space="preserve"> PAGEREF _Toc201751411 \h </w:instrText>
            </w:r>
            <w:r w:rsidRPr="00990D3B">
              <w:rPr>
                <w:webHidden/>
              </w:rPr>
              <w:fldChar w:fldCharType="separate"/>
            </w:r>
            <w:r w:rsidRPr="00990D3B">
              <w:rPr>
                <w:webHidden/>
              </w:rPr>
              <w:t>350</w:t>
            </w:r>
            <w:r w:rsidRPr="00990D3B">
              <w:rPr>
                <w:webHidden/>
              </w:rPr>
              <w:fldChar w:fldCharType="end"/>
            </w:r>
          </w:hyperlink>
        </w:p>
        <w:p w:rsidR="00676731" w:rsidRPr="00990D3B" w14:paraId="2DB61505" w14:textId="2E4B2E65">
          <w:pPr>
            <w:pStyle w:val="TOC2"/>
            <w:rPr>
              <w:rFonts w:asciiTheme="minorHAnsi" w:eastAsiaTheme="minorEastAsia" w:hAnsiTheme="minorHAnsi" w:cstheme="minorBidi"/>
              <w:kern w:val="2"/>
              <w:sz w:val="24"/>
              <w:szCs w:val="24"/>
              <w14:ligatures w14:val="standardContextual"/>
            </w:rPr>
          </w:pPr>
          <w:hyperlink w:anchor="_Toc201751412" w:history="1">
            <w:r w:rsidRPr="00990D3B">
              <w:rPr>
                <w:rStyle w:val="Hyperlink"/>
                <w:lang w:bidi="en-US"/>
              </w:rPr>
              <w:t>Getting Started on Protocol 8</w:t>
            </w:r>
            <w:r w:rsidRPr="00990D3B">
              <w:rPr>
                <w:webHidden/>
              </w:rPr>
              <w:tab/>
            </w:r>
            <w:r w:rsidRPr="00990D3B">
              <w:rPr>
                <w:webHidden/>
              </w:rPr>
              <w:fldChar w:fldCharType="begin"/>
            </w:r>
            <w:r w:rsidRPr="00990D3B">
              <w:rPr>
                <w:webHidden/>
              </w:rPr>
              <w:instrText xml:space="preserve"> PAGEREF _Toc201751412 \h </w:instrText>
            </w:r>
            <w:r w:rsidRPr="00990D3B">
              <w:rPr>
                <w:webHidden/>
              </w:rPr>
              <w:fldChar w:fldCharType="separate"/>
            </w:r>
            <w:r w:rsidRPr="00990D3B">
              <w:rPr>
                <w:webHidden/>
              </w:rPr>
              <w:t>351</w:t>
            </w:r>
            <w:r w:rsidRPr="00990D3B">
              <w:rPr>
                <w:webHidden/>
              </w:rPr>
              <w:fldChar w:fldCharType="end"/>
            </w:r>
          </w:hyperlink>
        </w:p>
        <w:p w:rsidR="00676731" w:rsidRPr="00990D3B" w14:paraId="3D513BC8" w14:textId="6FB29AC3">
          <w:pPr>
            <w:pStyle w:val="TOC2"/>
            <w:rPr>
              <w:rFonts w:asciiTheme="minorHAnsi" w:eastAsiaTheme="minorEastAsia" w:hAnsiTheme="minorHAnsi" w:cstheme="minorBidi"/>
              <w:kern w:val="2"/>
              <w:sz w:val="24"/>
              <w:szCs w:val="24"/>
              <w14:ligatures w14:val="standardContextual"/>
            </w:rPr>
          </w:pPr>
          <w:hyperlink w:anchor="_Toc201751413" w:history="1">
            <w:r w:rsidRPr="00990D3B">
              <w:rPr>
                <w:rStyle w:val="Hyperlink"/>
              </w:rPr>
              <w:t>Activity 1: Select the PIP Topic</w:t>
            </w:r>
            <w:r w:rsidRPr="00990D3B">
              <w:rPr>
                <w:webHidden/>
              </w:rPr>
              <w:tab/>
            </w:r>
            <w:r w:rsidRPr="00990D3B">
              <w:rPr>
                <w:webHidden/>
              </w:rPr>
              <w:fldChar w:fldCharType="begin"/>
            </w:r>
            <w:r w:rsidRPr="00990D3B">
              <w:rPr>
                <w:webHidden/>
              </w:rPr>
              <w:instrText xml:space="preserve"> PAGEREF _Toc201751413 \h </w:instrText>
            </w:r>
            <w:r w:rsidRPr="00990D3B">
              <w:rPr>
                <w:webHidden/>
              </w:rPr>
              <w:fldChar w:fldCharType="separate"/>
            </w:r>
            <w:r w:rsidRPr="00990D3B">
              <w:rPr>
                <w:webHidden/>
              </w:rPr>
              <w:t>353</w:t>
            </w:r>
            <w:r w:rsidRPr="00990D3B">
              <w:rPr>
                <w:webHidden/>
              </w:rPr>
              <w:fldChar w:fldCharType="end"/>
            </w:r>
          </w:hyperlink>
        </w:p>
        <w:p w:rsidR="00676731" w:rsidRPr="00990D3B" w14:paraId="706F2EC3" w14:textId="5AADD816">
          <w:pPr>
            <w:pStyle w:val="TOC2"/>
            <w:rPr>
              <w:rFonts w:asciiTheme="minorHAnsi" w:eastAsiaTheme="minorEastAsia" w:hAnsiTheme="minorHAnsi" w:cstheme="minorBidi"/>
              <w:kern w:val="2"/>
              <w:sz w:val="24"/>
              <w:szCs w:val="24"/>
              <w14:ligatures w14:val="standardContextual"/>
            </w:rPr>
          </w:pPr>
          <w:hyperlink w:anchor="_Toc201751414" w:history="1">
            <w:r w:rsidRPr="00990D3B">
              <w:rPr>
                <w:rStyle w:val="Hyperlink"/>
              </w:rPr>
              <w:t>Activity 2: Define the PIP Aim Statement</w:t>
            </w:r>
            <w:r w:rsidRPr="00990D3B">
              <w:rPr>
                <w:webHidden/>
              </w:rPr>
              <w:tab/>
            </w:r>
            <w:r w:rsidRPr="00990D3B">
              <w:rPr>
                <w:webHidden/>
              </w:rPr>
              <w:fldChar w:fldCharType="begin"/>
            </w:r>
            <w:r w:rsidRPr="00990D3B">
              <w:rPr>
                <w:webHidden/>
              </w:rPr>
              <w:instrText xml:space="preserve"> PAGEREF _Toc201751414 \h </w:instrText>
            </w:r>
            <w:r w:rsidRPr="00990D3B">
              <w:rPr>
                <w:webHidden/>
              </w:rPr>
              <w:fldChar w:fldCharType="separate"/>
            </w:r>
            <w:r w:rsidRPr="00990D3B">
              <w:rPr>
                <w:webHidden/>
              </w:rPr>
              <w:t>354</w:t>
            </w:r>
            <w:r w:rsidRPr="00990D3B">
              <w:rPr>
                <w:webHidden/>
              </w:rPr>
              <w:fldChar w:fldCharType="end"/>
            </w:r>
          </w:hyperlink>
        </w:p>
        <w:p w:rsidR="00676731" w:rsidRPr="00990D3B" w14:paraId="7461D723" w14:textId="4A9347F9">
          <w:pPr>
            <w:pStyle w:val="TOC2"/>
            <w:rPr>
              <w:rFonts w:asciiTheme="minorHAnsi" w:eastAsiaTheme="minorEastAsia" w:hAnsiTheme="minorHAnsi" w:cstheme="minorBidi"/>
              <w:kern w:val="2"/>
              <w:sz w:val="24"/>
              <w:szCs w:val="24"/>
              <w14:ligatures w14:val="standardContextual"/>
            </w:rPr>
          </w:pPr>
          <w:hyperlink w:anchor="_Toc201751415" w:history="1">
            <w:r w:rsidRPr="00990D3B">
              <w:rPr>
                <w:rStyle w:val="Hyperlink"/>
              </w:rPr>
              <w:t>Activity 3: Identify the PIP Population</w:t>
            </w:r>
            <w:r w:rsidRPr="00990D3B">
              <w:rPr>
                <w:webHidden/>
              </w:rPr>
              <w:tab/>
            </w:r>
            <w:r w:rsidRPr="00990D3B">
              <w:rPr>
                <w:webHidden/>
              </w:rPr>
              <w:fldChar w:fldCharType="begin"/>
            </w:r>
            <w:r w:rsidRPr="00990D3B">
              <w:rPr>
                <w:webHidden/>
              </w:rPr>
              <w:instrText xml:space="preserve"> PAGEREF _Toc201751415 \h </w:instrText>
            </w:r>
            <w:r w:rsidRPr="00990D3B">
              <w:rPr>
                <w:webHidden/>
              </w:rPr>
              <w:fldChar w:fldCharType="separate"/>
            </w:r>
            <w:r w:rsidRPr="00990D3B">
              <w:rPr>
                <w:webHidden/>
              </w:rPr>
              <w:t>354</w:t>
            </w:r>
            <w:r w:rsidRPr="00990D3B">
              <w:rPr>
                <w:webHidden/>
              </w:rPr>
              <w:fldChar w:fldCharType="end"/>
            </w:r>
          </w:hyperlink>
        </w:p>
        <w:p w:rsidR="00676731" w:rsidRPr="00990D3B" w14:paraId="688753EC" w14:textId="3DE9C9B7">
          <w:pPr>
            <w:pStyle w:val="TOC2"/>
            <w:rPr>
              <w:rFonts w:asciiTheme="minorHAnsi" w:eastAsiaTheme="minorEastAsia" w:hAnsiTheme="minorHAnsi" w:cstheme="minorBidi"/>
              <w:kern w:val="2"/>
              <w:sz w:val="24"/>
              <w:szCs w:val="24"/>
              <w14:ligatures w14:val="standardContextual"/>
            </w:rPr>
          </w:pPr>
          <w:hyperlink w:anchor="_Toc201751416" w:history="1">
            <w:r w:rsidRPr="00990D3B">
              <w:rPr>
                <w:rStyle w:val="Hyperlink"/>
              </w:rPr>
              <w:t>Activity 4: Use Sound Sampling Methods</w:t>
            </w:r>
            <w:r w:rsidRPr="00990D3B">
              <w:rPr>
                <w:webHidden/>
              </w:rPr>
              <w:tab/>
            </w:r>
            <w:r w:rsidRPr="00990D3B">
              <w:rPr>
                <w:webHidden/>
              </w:rPr>
              <w:fldChar w:fldCharType="begin"/>
            </w:r>
            <w:r w:rsidRPr="00990D3B">
              <w:rPr>
                <w:webHidden/>
              </w:rPr>
              <w:instrText xml:space="preserve"> PAGEREF _Toc201751416 \h </w:instrText>
            </w:r>
            <w:r w:rsidRPr="00990D3B">
              <w:rPr>
                <w:webHidden/>
              </w:rPr>
              <w:fldChar w:fldCharType="separate"/>
            </w:r>
            <w:r w:rsidRPr="00990D3B">
              <w:rPr>
                <w:webHidden/>
              </w:rPr>
              <w:t>354</w:t>
            </w:r>
            <w:r w:rsidRPr="00990D3B">
              <w:rPr>
                <w:webHidden/>
              </w:rPr>
              <w:fldChar w:fldCharType="end"/>
            </w:r>
          </w:hyperlink>
        </w:p>
        <w:p w:rsidR="00676731" w:rsidRPr="00990D3B" w14:paraId="2AAB6877" w14:textId="75708E10">
          <w:pPr>
            <w:pStyle w:val="TOC2"/>
            <w:rPr>
              <w:rFonts w:asciiTheme="minorHAnsi" w:eastAsiaTheme="minorEastAsia" w:hAnsiTheme="minorHAnsi" w:cstheme="minorBidi"/>
              <w:kern w:val="2"/>
              <w:sz w:val="24"/>
              <w:szCs w:val="24"/>
              <w14:ligatures w14:val="standardContextual"/>
            </w:rPr>
          </w:pPr>
          <w:hyperlink w:anchor="_Toc201751417" w:history="1">
            <w:r w:rsidRPr="00990D3B">
              <w:rPr>
                <w:rStyle w:val="Hyperlink"/>
              </w:rPr>
              <w:t>Activity 5: Select the PIP Variables</w:t>
            </w:r>
            <w:r w:rsidRPr="00990D3B">
              <w:rPr>
                <w:webHidden/>
              </w:rPr>
              <w:tab/>
            </w:r>
            <w:r w:rsidRPr="00990D3B">
              <w:rPr>
                <w:webHidden/>
              </w:rPr>
              <w:fldChar w:fldCharType="begin"/>
            </w:r>
            <w:r w:rsidRPr="00990D3B">
              <w:rPr>
                <w:webHidden/>
              </w:rPr>
              <w:instrText xml:space="preserve"> PAGEREF _Toc201751417 \h </w:instrText>
            </w:r>
            <w:r w:rsidRPr="00990D3B">
              <w:rPr>
                <w:webHidden/>
              </w:rPr>
              <w:fldChar w:fldCharType="separate"/>
            </w:r>
            <w:r w:rsidRPr="00990D3B">
              <w:rPr>
                <w:webHidden/>
              </w:rPr>
              <w:t>354</w:t>
            </w:r>
            <w:r w:rsidRPr="00990D3B">
              <w:rPr>
                <w:webHidden/>
              </w:rPr>
              <w:fldChar w:fldCharType="end"/>
            </w:r>
          </w:hyperlink>
        </w:p>
        <w:p w:rsidR="00676731" w:rsidRPr="00990D3B" w14:paraId="0CD36E02" w14:textId="1405AE1A">
          <w:pPr>
            <w:pStyle w:val="TOC2"/>
            <w:rPr>
              <w:rFonts w:asciiTheme="minorHAnsi" w:eastAsiaTheme="minorEastAsia" w:hAnsiTheme="minorHAnsi" w:cstheme="minorBidi"/>
              <w:kern w:val="2"/>
              <w:sz w:val="24"/>
              <w:szCs w:val="24"/>
              <w14:ligatures w14:val="standardContextual"/>
            </w:rPr>
          </w:pPr>
          <w:hyperlink w:anchor="_Toc201751418" w:history="1">
            <w:r w:rsidRPr="00990D3B">
              <w:rPr>
                <w:rStyle w:val="Hyperlink"/>
              </w:rPr>
              <w:t>Activity 6: Collect Valid and Reliable Data</w:t>
            </w:r>
            <w:r w:rsidRPr="00990D3B">
              <w:rPr>
                <w:webHidden/>
              </w:rPr>
              <w:tab/>
            </w:r>
            <w:r w:rsidRPr="00990D3B">
              <w:rPr>
                <w:webHidden/>
              </w:rPr>
              <w:fldChar w:fldCharType="begin"/>
            </w:r>
            <w:r w:rsidRPr="00990D3B">
              <w:rPr>
                <w:webHidden/>
              </w:rPr>
              <w:instrText xml:space="preserve"> PAGEREF _Toc201751418 \h </w:instrText>
            </w:r>
            <w:r w:rsidRPr="00990D3B">
              <w:rPr>
                <w:webHidden/>
              </w:rPr>
              <w:fldChar w:fldCharType="separate"/>
            </w:r>
            <w:r w:rsidRPr="00990D3B">
              <w:rPr>
                <w:webHidden/>
              </w:rPr>
              <w:t>356</w:t>
            </w:r>
            <w:r w:rsidRPr="00990D3B">
              <w:rPr>
                <w:webHidden/>
              </w:rPr>
              <w:fldChar w:fldCharType="end"/>
            </w:r>
          </w:hyperlink>
        </w:p>
        <w:p w:rsidR="00676731" w:rsidRPr="00990D3B" w14:paraId="262FEEDC" w14:textId="76171AEB">
          <w:pPr>
            <w:pStyle w:val="TOC2"/>
            <w:rPr>
              <w:rFonts w:asciiTheme="minorHAnsi" w:eastAsiaTheme="minorEastAsia" w:hAnsiTheme="minorHAnsi" w:cstheme="minorBidi"/>
              <w:kern w:val="2"/>
              <w:sz w:val="24"/>
              <w:szCs w:val="24"/>
              <w14:ligatures w14:val="standardContextual"/>
            </w:rPr>
          </w:pPr>
          <w:hyperlink w:anchor="_Toc201751419" w:history="1">
            <w:r w:rsidRPr="00990D3B">
              <w:rPr>
                <w:rStyle w:val="Hyperlink"/>
              </w:rPr>
              <w:t>Activity 7: Analyze Data and Interpret Results</w:t>
            </w:r>
            <w:r w:rsidRPr="00990D3B">
              <w:rPr>
                <w:webHidden/>
              </w:rPr>
              <w:tab/>
            </w:r>
            <w:r w:rsidRPr="00990D3B">
              <w:rPr>
                <w:webHidden/>
              </w:rPr>
              <w:fldChar w:fldCharType="begin"/>
            </w:r>
            <w:r w:rsidRPr="00990D3B">
              <w:rPr>
                <w:webHidden/>
              </w:rPr>
              <w:instrText xml:space="preserve"> PAGEREF _Toc201751419 \h </w:instrText>
            </w:r>
            <w:r w:rsidRPr="00990D3B">
              <w:rPr>
                <w:webHidden/>
              </w:rPr>
              <w:fldChar w:fldCharType="separate"/>
            </w:r>
            <w:r w:rsidRPr="00990D3B">
              <w:rPr>
                <w:webHidden/>
              </w:rPr>
              <w:t>356</w:t>
            </w:r>
            <w:r w:rsidRPr="00990D3B">
              <w:rPr>
                <w:webHidden/>
              </w:rPr>
              <w:fldChar w:fldCharType="end"/>
            </w:r>
          </w:hyperlink>
        </w:p>
        <w:p w:rsidR="00676731" w:rsidRPr="00990D3B" w14:paraId="17EB473D" w14:textId="03896114">
          <w:pPr>
            <w:pStyle w:val="TOC2"/>
            <w:rPr>
              <w:rFonts w:asciiTheme="minorHAnsi" w:eastAsiaTheme="minorEastAsia" w:hAnsiTheme="minorHAnsi" w:cstheme="minorBidi"/>
              <w:kern w:val="2"/>
              <w:sz w:val="24"/>
              <w:szCs w:val="24"/>
              <w14:ligatures w14:val="standardContextual"/>
            </w:rPr>
          </w:pPr>
          <w:hyperlink w:anchor="_Toc201751420" w:history="1">
            <w:r w:rsidRPr="00990D3B">
              <w:rPr>
                <w:rStyle w:val="Hyperlink"/>
              </w:rPr>
              <w:t>Activity 8: Review Improvement Strategies</w:t>
            </w:r>
            <w:r w:rsidRPr="00990D3B">
              <w:rPr>
                <w:webHidden/>
              </w:rPr>
              <w:tab/>
            </w:r>
            <w:r w:rsidRPr="00990D3B">
              <w:rPr>
                <w:webHidden/>
              </w:rPr>
              <w:fldChar w:fldCharType="begin"/>
            </w:r>
            <w:r w:rsidRPr="00990D3B">
              <w:rPr>
                <w:webHidden/>
              </w:rPr>
              <w:instrText xml:space="preserve"> PAGEREF _Toc201751420 \h </w:instrText>
            </w:r>
            <w:r w:rsidRPr="00990D3B">
              <w:rPr>
                <w:webHidden/>
              </w:rPr>
              <w:fldChar w:fldCharType="separate"/>
            </w:r>
            <w:r w:rsidRPr="00990D3B">
              <w:rPr>
                <w:webHidden/>
              </w:rPr>
              <w:t>357</w:t>
            </w:r>
            <w:r w:rsidRPr="00990D3B">
              <w:rPr>
                <w:webHidden/>
              </w:rPr>
              <w:fldChar w:fldCharType="end"/>
            </w:r>
          </w:hyperlink>
        </w:p>
        <w:p w:rsidR="00676731" w:rsidRPr="00990D3B" w14:paraId="3818B66B" w14:textId="675B6D58">
          <w:pPr>
            <w:pStyle w:val="TOC2"/>
            <w:rPr>
              <w:rFonts w:asciiTheme="minorHAnsi" w:eastAsiaTheme="minorEastAsia" w:hAnsiTheme="minorHAnsi" w:cstheme="minorBidi"/>
              <w:kern w:val="2"/>
              <w:sz w:val="24"/>
              <w:szCs w:val="24"/>
              <w14:ligatures w14:val="standardContextual"/>
            </w:rPr>
          </w:pPr>
          <w:hyperlink w:anchor="_Toc201751421" w:history="1">
            <w:r w:rsidRPr="00990D3B">
              <w:rPr>
                <w:rStyle w:val="Hyperlink"/>
              </w:rPr>
              <w:t>Activity 9: Assess Whether Significant and Sustained Improvement Occurred</w:t>
            </w:r>
            <w:r w:rsidRPr="00990D3B">
              <w:rPr>
                <w:webHidden/>
              </w:rPr>
              <w:tab/>
            </w:r>
            <w:r w:rsidRPr="00990D3B">
              <w:rPr>
                <w:webHidden/>
              </w:rPr>
              <w:fldChar w:fldCharType="begin"/>
            </w:r>
            <w:r w:rsidRPr="00990D3B">
              <w:rPr>
                <w:webHidden/>
              </w:rPr>
              <w:instrText xml:space="preserve"> PAGEREF _Toc201751421 \h </w:instrText>
            </w:r>
            <w:r w:rsidRPr="00990D3B">
              <w:rPr>
                <w:webHidden/>
              </w:rPr>
              <w:fldChar w:fldCharType="separate"/>
            </w:r>
            <w:r w:rsidRPr="00990D3B">
              <w:rPr>
                <w:webHidden/>
              </w:rPr>
              <w:t>357</w:t>
            </w:r>
            <w:r w:rsidRPr="00990D3B">
              <w:rPr>
                <w:webHidden/>
              </w:rPr>
              <w:fldChar w:fldCharType="end"/>
            </w:r>
          </w:hyperlink>
        </w:p>
        <w:p w:rsidR="00676731" w:rsidRPr="00990D3B" w14:paraId="271AF6BF" w14:textId="076E01EE">
          <w:pPr>
            <w:pStyle w:val="TOC2"/>
            <w:rPr>
              <w:rFonts w:asciiTheme="minorHAnsi" w:eastAsiaTheme="minorEastAsia" w:hAnsiTheme="minorHAnsi" w:cstheme="minorBidi"/>
              <w:kern w:val="2"/>
              <w:sz w:val="24"/>
              <w:szCs w:val="24"/>
              <w14:ligatures w14:val="standardContextual"/>
            </w:rPr>
          </w:pPr>
          <w:hyperlink w:anchor="_Toc201751422" w:history="1">
            <w:r w:rsidRPr="00990D3B">
              <w:rPr>
                <w:rStyle w:val="Hyperlink"/>
              </w:rPr>
              <w:t xml:space="preserve">Activity 10: Report Results to </w:t>
            </w:r>
            <w:r w:rsidRPr="00990D3B" w:rsidR="005C6A56">
              <w:rPr>
                <w:rStyle w:val="Hyperlink"/>
              </w:rPr>
              <w:t xml:space="preserve">the </w:t>
            </w:r>
            <w:r w:rsidRPr="00990D3B">
              <w:rPr>
                <w:rStyle w:val="Hyperlink"/>
              </w:rPr>
              <w:t>State</w:t>
            </w:r>
            <w:r w:rsidRPr="00990D3B">
              <w:rPr>
                <w:webHidden/>
              </w:rPr>
              <w:tab/>
            </w:r>
            <w:r w:rsidRPr="00990D3B">
              <w:rPr>
                <w:webHidden/>
              </w:rPr>
              <w:fldChar w:fldCharType="begin"/>
            </w:r>
            <w:r w:rsidRPr="00990D3B">
              <w:rPr>
                <w:webHidden/>
              </w:rPr>
              <w:instrText xml:space="preserve"> PAGEREF _Toc201751422 \h </w:instrText>
            </w:r>
            <w:r w:rsidRPr="00990D3B">
              <w:rPr>
                <w:webHidden/>
              </w:rPr>
              <w:fldChar w:fldCharType="separate"/>
            </w:r>
            <w:r w:rsidRPr="00990D3B">
              <w:rPr>
                <w:webHidden/>
              </w:rPr>
              <w:t>358</w:t>
            </w:r>
            <w:r w:rsidRPr="00990D3B">
              <w:rPr>
                <w:webHidden/>
              </w:rPr>
              <w:fldChar w:fldCharType="end"/>
            </w:r>
          </w:hyperlink>
        </w:p>
        <w:p w:rsidR="00676731" w:rsidRPr="00990D3B" w14:paraId="5078C8FD" w14:textId="60631B0A">
          <w:pPr>
            <w:pStyle w:val="TOC1"/>
            <w:rPr>
              <w:rFonts w:asciiTheme="minorHAnsi" w:eastAsiaTheme="minorEastAsia" w:hAnsiTheme="minorHAnsi" w:cstheme="minorBidi"/>
              <w:kern w:val="2"/>
              <w:sz w:val="24"/>
              <w:szCs w:val="24"/>
              <w14:ligatures w14:val="standardContextual"/>
            </w:rPr>
          </w:pPr>
          <w:hyperlink w:anchor="_Toc201751423" w:history="1">
            <w:r w:rsidRPr="00990D3B">
              <w:rPr>
                <w:rStyle w:val="Hyperlink"/>
              </w:rPr>
              <w:t>Protocol 9. Conducting Focus Studies of Health Care Quality</w:t>
            </w:r>
            <w:r w:rsidRPr="00990D3B">
              <w:rPr>
                <w:webHidden/>
              </w:rPr>
              <w:tab/>
            </w:r>
            <w:r w:rsidRPr="00990D3B">
              <w:rPr>
                <w:webHidden/>
              </w:rPr>
              <w:fldChar w:fldCharType="begin"/>
            </w:r>
            <w:r w:rsidRPr="00990D3B">
              <w:rPr>
                <w:webHidden/>
              </w:rPr>
              <w:instrText xml:space="preserve"> PAGEREF _Toc201751423 \h </w:instrText>
            </w:r>
            <w:r w:rsidRPr="00990D3B">
              <w:rPr>
                <w:webHidden/>
              </w:rPr>
              <w:fldChar w:fldCharType="separate"/>
            </w:r>
            <w:r w:rsidRPr="00990D3B">
              <w:rPr>
                <w:webHidden/>
              </w:rPr>
              <w:t>359</w:t>
            </w:r>
            <w:r w:rsidRPr="00990D3B">
              <w:rPr>
                <w:webHidden/>
              </w:rPr>
              <w:fldChar w:fldCharType="end"/>
            </w:r>
          </w:hyperlink>
        </w:p>
        <w:p w:rsidR="00676731" w:rsidRPr="00990D3B" w14:paraId="44C37650" w14:textId="68041F89">
          <w:pPr>
            <w:pStyle w:val="TOC2"/>
            <w:rPr>
              <w:rFonts w:asciiTheme="minorHAnsi" w:eastAsiaTheme="minorEastAsia" w:hAnsiTheme="minorHAnsi" w:cstheme="minorBidi"/>
              <w:kern w:val="2"/>
              <w:sz w:val="24"/>
              <w:szCs w:val="24"/>
              <w14:ligatures w14:val="standardContextual"/>
            </w:rPr>
          </w:pPr>
          <w:hyperlink w:anchor="_Toc201751424" w:history="1">
            <w:r w:rsidRPr="00990D3B">
              <w:rPr>
                <w:rStyle w:val="Hyperlink"/>
              </w:rPr>
              <w:t>Background</w:t>
            </w:r>
            <w:r w:rsidRPr="00990D3B">
              <w:rPr>
                <w:webHidden/>
              </w:rPr>
              <w:tab/>
            </w:r>
            <w:r w:rsidRPr="00990D3B">
              <w:rPr>
                <w:webHidden/>
              </w:rPr>
              <w:fldChar w:fldCharType="begin"/>
            </w:r>
            <w:r w:rsidRPr="00990D3B">
              <w:rPr>
                <w:webHidden/>
              </w:rPr>
              <w:instrText xml:space="preserve"> PAGEREF _Toc201751424 \h </w:instrText>
            </w:r>
            <w:r w:rsidRPr="00990D3B">
              <w:rPr>
                <w:webHidden/>
              </w:rPr>
              <w:fldChar w:fldCharType="separate"/>
            </w:r>
            <w:r w:rsidRPr="00990D3B">
              <w:rPr>
                <w:webHidden/>
              </w:rPr>
              <w:t>359</w:t>
            </w:r>
            <w:r w:rsidRPr="00990D3B">
              <w:rPr>
                <w:webHidden/>
              </w:rPr>
              <w:fldChar w:fldCharType="end"/>
            </w:r>
          </w:hyperlink>
        </w:p>
        <w:p w:rsidR="00676731" w:rsidRPr="00990D3B" w14:paraId="199EC431" w14:textId="73F12B9C">
          <w:pPr>
            <w:pStyle w:val="TOC2"/>
            <w:rPr>
              <w:rFonts w:asciiTheme="minorHAnsi" w:eastAsiaTheme="minorEastAsia" w:hAnsiTheme="minorHAnsi" w:cstheme="minorBidi"/>
              <w:kern w:val="2"/>
              <w:sz w:val="24"/>
              <w:szCs w:val="24"/>
              <w14:ligatures w14:val="standardContextual"/>
            </w:rPr>
          </w:pPr>
          <w:hyperlink w:anchor="_Toc201751425" w:history="1">
            <w:r w:rsidRPr="00990D3B">
              <w:rPr>
                <w:rStyle w:val="Hyperlink"/>
                <w:lang w:bidi="en-US"/>
              </w:rPr>
              <w:t>Getting Started on Protocol 9</w:t>
            </w:r>
            <w:r w:rsidRPr="00990D3B">
              <w:rPr>
                <w:webHidden/>
              </w:rPr>
              <w:tab/>
            </w:r>
            <w:r w:rsidRPr="00990D3B">
              <w:rPr>
                <w:webHidden/>
              </w:rPr>
              <w:fldChar w:fldCharType="begin"/>
            </w:r>
            <w:r w:rsidRPr="00990D3B">
              <w:rPr>
                <w:webHidden/>
              </w:rPr>
              <w:instrText xml:space="preserve"> PAGEREF _Toc201751425 \h </w:instrText>
            </w:r>
            <w:r w:rsidRPr="00990D3B">
              <w:rPr>
                <w:webHidden/>
              </w:rPr>
              <w:fldChar w:fldCharType="separate"/>
            </w:r>
            <w:r w:rsidRPr="00990D3B">
              <w:rPr>
                <w:webHidden/>
              </w:rPr>
              <w:t>360</w:t>
            </w:r>
            <w:r w:rsidRPr="00990D3B">
              <w:rPr>
                <w:webHidden/>
              </w:rPr>
              <w:fldChar w:fldCharType="end"/>
            </w:r>
          </w:hyperlink>
        </w:p>
        <w:p w:rsidR="00676731" w:rsidRPr="00990D3B" w14:paraId="7AD93934" w14:textId="25671D21">
          <w:pPr>
            <w:pStyle w:val="TOC2"/>
            <w:rPr>
              <w:rFonts w:asciiTheme="minorHAnsi" w:eastAsiaTheme="minorEastAsia" w:hAnsiTheme="minorHAnsi" w:cstheme="minorBidi"/>
              <w:kern w:val="2"/>
              <w:sz w:val="24"/>
              <w:szCs w:val="24"/>
              <w14:ligatures w14:val="standardContextual"/>
            </w:rPr>
          </w:pPr>
          <w:hyperlink w:anchor="_Toc201751426" w:history="1">
            <w:r w:rsidRPr="00990D3B">
              <w:rPr>
                <w:rStyle w:val="Hyperlink"/>
              </w:rPr>
              <w:t>Activity 1: Select the Study Topic(s)</w:t>
            </w:r>
            <w:r w:rsidRPr="00990D3B">
              <w:rPr>
                <w:webHidden/>
              </w:rPr>
              <w:tab/>
            </w:r>
            <w:r w:rsidRPr="00990D3B">
              <w:rPr>
                <w:webHidden/>
              </w:rPr>
              <w:fldChar w:fldCharType="begin"/>
            </w:r>
            <w:r w:rsidRPr="00990D3B">
              <w:rPr>
                <w:webHidden/>
              </w:rPr>
              <w:instrText xml:space="preserve"> PAGEREF _Toc201751426 \h </w:instrText>
            </w:r>
            <w:r w:rsidRPr="00990D3B">
              <w:rPr>
                <w:webHidden/>
              </w:rPr>
              <w:fldChar w:fldCharType="separate"/>
            </w:r>
            <w:r w:rsidRPr="00990D3B">
              <w:rPr>
                <w:webHidden/>
              </w:rPr>
              <w:t>361</w:t>
            </w:r>
            <w:r w:rsidRPr="00990D3B">
              <w:rPr>
                <w:webHidden/>
              </w:rPr>
              <w:fldChar w:fldCharType="end"/>
            </w:r>
          </w:hyperlink>
        </w:p>
        <w:p w:rsidR="00676731" w:rsidRPr="00990D3B" w14:paraId="7A7482F0" w14:textId="5F46553B">
          <w:pPr>
            <w:pStyle w:val="TOC2"/>
            <w:rPr>
              <w:rFonts w:asciiTheme="minorHAnsi" w:eastAsiaTheme="minorEastAsia" w:hAnsiTheme="minorHAnsi" w:cstheme="minorBidi"/>
              <w:kern w:val="2"/>
              <w:sz w:val="24"/>
              <w:szCs w:val="24"/>
              <w14:ligatures w14:val="standardContextual"/>
            </w:rPr>
          </w:pPr>
          <w:hyperlink w:anchor="_Toc201751427" w:history="1">
            <w:r w:rsidRPr="00990D3B">
              <w:rPr>
                <w:rStyle w:val="Hyperlink"/>
              </w:rPr>
              <w:t>Activity 2: Define the Study Question(s)</w:t>
            </w:r>
            <w:r w:rsidRPr="00990D3B">
              <w:rPr>
                <w:webHidden/>
              </w:rPr>
              <w:tab/>
            </w:r>
            <w:r w:rsidRPr="00990D3B">
              <w:rPr>
                <w:webHidden/>
              </w:rPr>
              <w:fldChar w:fldCharType="begin"/>
            </w:r>
            <w:r w:rsidRPr="00990D3B">
              <w:rPr>
                <w:webHidden/>
              </w:rPr>
              <w:instrText xml:space="preserve"> PAGEREF _Toc201751427 \h </w:instrText>
            </w:r>
            <w:r w:rsidRPr="00990D3B">
              <w:rPr>
                <w:webHidden/>
              </w:rPr>
              <w:fldChar w:fldCharType="separate"/>
            </w:r>
            <w:r w:rsidRPr="00990D3B">
              <w:rPr>
                <w:webHidden/>
              </w:rPr>
              <w:t>362</w:t>
            </w:r>
            <w:r w:rsidRPr="00990D3B">
              <w:rPr>
                <w:webHidden/>
              </w:rPr>
              <w:fldChar w:fldCharType="end"/>
            </w:r>
          </w:hyperlink>
        </w:p>
        <w:p w:rsidR="00676731" w:rsidRPr="00990D3B" w14:paraId="62D0258D" w14:textId="16AD1053">
          <w:pPr>
            <w:pStyle w:val="TOC2"/>
            <w:rPr>
              <w:rFonts w:asciiTheme="minorHAnsi" w:eastAsiaTheme="minorEastAsia" w:hAnsiTheme="minorHAnsi" w:cstheme="minorBidi"/>
              <w:kern w:val="2"/>
              <w:sz w:val="24"/>
              <w:szCs w:val="24"/>
              <w14:ligatures w14:val="standardContextual"/>
            </w:rPr>
          </w:pPr>
          <w:hyperlink w:anchor="_Toc201751428" w:history="1">
            <w:r w:rsidRPr="00990D3B">
              <w:rPr>
                <w:rStyle w:val="Hyperlink"/>
              </w:rPr>
              <w:t>Activity 3: Select the Study Variable(s)</w:t>
            </w:r>
            <w:r w:rsidRPr="00990D3B">
              <w:rPr>
                <w:webHidden/>
              </w:rPr>
              <w:tab/>
            </w:r>
            <w:r w:rsidRPr="00990D3B">
              <w:rPr>
                <w:webHidden/>
              </w:rPr>
              <w:fldChar w:fldCharType="begin"/>
            </w:r>
            <w:r w:rsidRPr="00990D3B">
              <w:rPr>
                <w:webHidden/>
              </w:rPr>
              <w:instrText xml:space="preserve"> PAGEREF _Toc201751428 \h </w:instrText>
            </w:r>
            <w:r w:rsidRPr="00990D3B">
              <w:rPr>
                <w:webHidden/>
              </w:rPr>
              <w:fldChar w:fldCharType="separate"/>
            </w:r>
            <w:r w:rsidRPr="00990D3B">
              <w:rPr>
                <w:webHidden/>
              </w:rPr>
              <w:t>363</w:t>
            </w:r>
            <w:r w:rsidRPr="00990D3B">
              <w:rPr>
                <w:webHidden/>
              </w:rPr>
              <w:fldChar w:fldCharType="end"/>
            </w:r>
          </w:hyperlink>
        </w:p>
        <w:p w:rsidR="00676731" w:rsidRPr="00990D3B" w14:paraId="663D6F82" w14:textId="58E384AB">
          <w:pPr>
            <w:pStyle w:val="TOC2"/>
            <w:rPr>
              <w:rFonts w:asciiTheme="minorHAnsi" w:eastAsiaTheme="minorEastAsia" w:hAnsiTheme="minorHAnsi" w:cstheme="minorBidi"/>
              <w:kern w:val="2"/>
              <w:sz w:val="24"/>
              <w:szCs w:val="24"/>
              <w14:ligatures w14:val="standardContextual"/>
            </w:rPr>
          </w:pPr>
          <w:hyperlink w:anchor="_Toc201751429" w:history="1">
            <w:r w:rsidRPr="00990D3B">
              <w:rPr>
                <w:rStyle w:val="Hyperlink"/>
              </w:rPr>
              <w:t>Activity 4: Develop a Plan to Study the Population</w:t>
            </w:r>
            <w:r w:rsidRPr="00990D3B">
              <w:rPr>
                <w:webHidden/>
              </w:rPr>
              <w:tab/>
            </w:r>
            <w:r w:rsidRPr="00990D3B">
              <w:rPr>
                <w:webHidden/>
              </w:rPr>
              <w:fldChar w:fldCharType="begin"/>
            </w:r>
            <w:r w:rsidRPr="00990D3B">
              <w:rPr>
                <w:webHidden/>
              </w:rPr>
              <w:instrText xml:space="preserve"> PAGEREF _Toc201751429 \h </w:instrText>
            </w:r>
            <w:r w:rsidRPr="00990D3B">
              <w:rPr>
                <w:webHidden/>
              </w:rPr>
              <w:fldChar w:fldCharType="separate"/>
            </w:r>
            <w:r w:rsidRPr="00990D3B">
              <w:rPr>
                <w:webHidden/>
              </w:rPr>
              <w:t>365</w:t>
            </w:r>
            <w:r w:rsidRPr="00990D3B">
              <w:rPr>
                <w:webHidden/>
              </w:rPr>
              <w:fldChar w:fldCharType="end"/>
            </w:r>
          </w:hyperlink>
        </w:p>
        <w:p w:rsidR="00676731" w:rsidRPr="00990D3B" w14:paraId="5DEBAD89" w14:textId="55F9EADC">
          <w:pPr>
            <w:pStyle w:val="TOC2"/>
            <w:rPr>
              <w:rFonts w:asciiTheme="minorHAnsi" w:eastAsiaTheme="minorEastAsia" w:hAnsiTheme="minorHAnsi" w:cstheme="minorBidi"/>
              <w:kern w:val="2"/>
              <w:sz w:val="24"/>
              <w:szCs w:val="24"/>
              <w14:ligatures w14:val="standardContextual"/>
            </w:rPr>
          </w:pPr>
          <w:hyperlink w:anchor="_Toc201751430" w:history="1">
            <w:r w:rsidRPr="00990D3B">
              <w:rPr>
                <w:rStyle w:val="Hyperlink"/>
              </w:rPr>
              <w:t>Activity 5: Collect Data</w:t>
            </w:r>
            <w:r w:rsidRPr="00990D3B">
              <w:rPr>
                <w:webHidden/>
              </w:rPr>
              <w:tab/>
            </w:r>
            <w:r w:rsidRPr="00990D3B">
              <w:rPr>
                <w:webHidden/>
              </w:rPr>
              <w:fldChar w:fldCharType="begin"/>
            </w:r>
            <w:r w:rsidRPr="00990D3B">
              <w:rPr>
                <w:webHidden/>
              </w:rPr>
              <w:instrText xml:space="preserve"> PAGEREF _Toc201751430 \h </w:instrText>
            </w:r>
            <w:r w:rsidRPr="00990D3B">
              <w:rPr>
                <w:webHidden/>
              </w:rPr>
              <w:fldChar w:fldCharType="separate"/>
            </w:r>
            <w:r w:rsidRPr="00990D3B">
              <w:rPr>
                <w:webHidden/>
              </w:rPr>
              <w:t>366</w:t>
            </w:r>
            <w:r w:rsidRPr="00990D3B">
              <w:rPr>
                <w:webHidden/>
              </w:rPr>
              <w:fldChar w:fldCharType="end"/>
            </w:r>
          </w:hyperlink>
        </w:p>
        <w:p w:rsidR="00676731" w:rsidRPr="00990D3B" w14:paraId="356D3C68" w14:textId="170C0001">
          <w:pPr>
            <w:pStyle w:val="TOC2"/>
            <w:rPr>
              <w:rFonts w:asciiTheme="minorHAnsi" w:eastAsiaTheme="minorEastAsia" w:hAnsiTheme="minorHAnsi" w:cstheme="minorBidi"/>
              <w:kern w:val="2"/>
              <w:sz w:val="24"/>
              <w:szCs w:val="24"/>
              <w14:ligatures w14:val="standardContextual"/>
            </w:rPr>
          </w:pPr>
          <w:hyperlink w:anchor="_Toc201751431" w:history="1">
            <w:r w:rsidRPr="00990D3B">
              <w:rPr>
                <w:rStyle w:val="Hyperlink"/>
              </w:rPr>
              <w:t>Activity 6: Analyze and Interpret Study Results</w:t>
            </w:r>
            <w:r w:rsidRPr="00990D3B">
              <w:rPr>
                <w:webHidden/>
              </w:rPr>
              <w:tab/>
            </w:r>
            <w:r w:rsidRPr="00990D3B">
              <w:rPr>
                <w:webHidden/>
              </w:rPr>
              <w:fldChar w:fldCharType="begin"/>
            </w:r>
            <w:r w:rsidRPr="00990D3B">
              <w:rPr>
                <w:webHidden/>
              </w:rPr>
              <w:instrText xml:space="preserve"> PAGEREF _Toc201751431 \h </w:instrText>
            </w:r>
            <w:r w:rsidRPr="00990D3B">
              <w:rPr>
                <w:webHidden/>
              </w:rPr>
              <w:fldChar w:fldCharType="separate"/>
            </w:r>
            <w:r w:rsidRPr="00990D3B">
              <w:rPr>
                <w:webHidden/>
              </w:rPr>
              <w:t>367</w:t>
            </w:r>
            <w:r w:rsidRPr="00990D3B">
              <w:rPr>
                <w:webHidden/>
              </w:rPr>
              <w:fldChar w:fldCharType="end"/>
            </w:r>
          </w:hyperlink>
        </w:p>
        <w:p w:rsidR="00676731" w:rsidRPr="00990D3B" w14:paraId="3AB3413E" w14:textId="0772C61C">
          <w:pPr>
            <w:pStyle w:val="TOC2"/>
            <w:rPr>
              <w:rFonts w:asciiTheme="minorHAnsi" w:eastAsiaTheme="minorEastAsia" w:hAnsiTheme="minorHAnsi" w:cstheme="minorBidi"/>
              <w:kern w:val="2"/>
              <w:sz w:val="24"/>
              <w:szCs w:val="24"/>
              <w14:ligatures w14:val="standardContextual"/>
            </w:rPr>
          </w:pPr>
          <w:hyperlink w:anchor="_Toc201751432" w:history="1">
            <w:r w:rsidRPr="00990D3B">
              <w:rPr>
                <w:rStyle w:val="Hyperlink"/>
              </w:rPr>
              <w:t>Activity 7: Report Results to</w:t>
            </w:r>
            <w:r w:rsidRPr="00990D3B" w:rsidR="005C6A56">
              <w:rPr>
                <w:rStyle w:val="Hyperlink"/>
              </w:rPr>
              <w:t xml:space="preserve"> the</w:t>
            </w:r>
            <w:r w:rsidRPr="00990D3B">
              <w:rPr>
                <w:rStyle w:val="Hyperlink"/>
              </w:rPr>
              <w:t xml:space="preserve"> State</w:t>
            </w:r>
            <w:r w:rsidRPr="00990D3B">
              <w:rPr>
                <w:webHidden/>
              </w:rPr>
              <w:tab/>
            </w:r>
            <w:r w:rsidRPr="00990D3B">
              <w:rPr>
                <w:webHidden/>
              </w:rPr>
              <w:fldChar w:fldCharType="begin"/>
            </w:r>
            <w:r w:rsidRPr="00990D3B">
              <w:rPr>
                <w:webHidden/>
              </w:rPr>
              <w:instrText xml:space="preserve"> PAGEREF _Toc201751432 \h </w:instrText>
            </w:r>
            <w:r w:rsidRPr="00990D3B">
              <w:rPr>
                <w:webHidden/>
              </w:rPr>
              <w:fldChar w:fldCharType="separate"/>
            </w:r>
            <w:r w:rsidRPr="00990D3B">
              <w:rPr>
                <w:webHidden/>
              </w:rPr>
              <w:t>368</w:t>
            </w:r>
            <w:r w:rsidRPr="00990D3B">
              <w:rPr>
                <w:webHidden/>
              </w:rPr>
              <w:fldChar w:fldCharType="end"/>
            </w:r>
          </w:hyperlink>
        </w:p>
        <w:p w:rsidR="00676731" w:rsidRPr="00990D3B" w14:paraId="09DAAABD" w14:textId="40A638CC">
          <w:pPr>
            <w:pStyle w:val="TOC1"/>
            <w:rPr>
              <w:rFonts w:asciiTheme="minorHAnsi" w:eastAsiaTheme="minorEastAsia" w:hAnsiTheme="minorHAnsi" w:cstheme="minorBidi"/>
              <w:kern w:val="2"/>
              <w:sz w:val="24"/>
              <w:szCs w:val="24"/>
              <w14:ligatures w14:val="standardContextual"/>
            </w:rPr>
          </w:pPr>
          <w:hyperlink w:anchor="_Toc201751433" w:history="1">
            <w:r w:rsidRPr="00990D3B">
              <w:rPr>
                <w:rStyle w:val="Hyperlink"/>
              </w:rPr>
              <w:t>Protocol 10. Assist with the Quality Ratings for Medicaid and CHIP Quality Rating System</w:t>
            </w:r>
            <w:r w:rsidRPr="00990D3B">
              <w:rPr>
                <w:webHidden/>
              </w:rPr>
              <w:tab/>
            </w:r>
            <w:r w:rsidRPr="00990D3B">
              <w:rPr>
                <w:webHidden/>
              </w:rPr>
              <w:fldChar w:fldCharType="begin"/>
            </w:r>
            <w:r w:rsidRPr="00990D3B">
              <w:rPr>
                <w:webHidden/>
              </w:rPr>
              <w:instrText xml:space="preserve"> PAGEREF _Toc201751433 \h </w:instrText>
            </w:r>
            <w:r w:rsidRPr="00990D3B">
              <w:rPr>
                <w:webHidden/>
              </w:rPr>
              <w:fldChar w:fldCharType="separate"/>
            </w:r>
            <w:r w:rsidRPr="00990D3B">
              <w:rPr>
                <w:webHidden/>
              </w:rPr>
              <w:t>370</w:t>
            </w:r>
            <w:r w:rsidRPr="00990D3B">
              <w:rPr>
                <w:webHidden/>
              </w:rPr>
              <w:fldChar w:fldCharType="end"/>
            </w:r>
          </w:hyperlink>
        </w:p>
        <w:p w:rsidR="00676731" w:rsidRPr="00990D3B" w14:paraId="24D4C584" w14:textId="5F914902">
          <w:pPr>
            <w:pStyle w:val="TOC2"/>
            <w:rPr>
              <w:rFonts w:asciiTheme="minorHAnsi" w:eastAsiaTheme="minorEastAsia" w:hAnsiTheme="minorHAnsi" w:cstheme="minorBidi"/>
              <w:kern w:val="2"/>
              <w:sz w:val="24"/>
              <w:szCs w:val="24"/>
              <w14:ligatures w14:val="standardContextual"/>
            </w:rPr>
          </w:pPr>
          <w:hyperlink w:anchor="_Toc201751434" w:history="1">
            <w:r w:rsidRPr="00990D3B">
              <w:rPr>
                <w:rStyle w:val="Hyperlink"/>
              </w:rPr>
              <w:t>Background</w:t>
            </w:r>
            <w:r w:rsidRPr="00990D3B">
              <w:rPr>
                <w:webHidden/>
              </w:rPr>
              <w:tab/>
            </w:r>
            <w:r w:rsidRPr="00990D3B">
              <w:rPr>
                <w:webHidden/>
              </w:rPr>
              <w:fldChar w:fldCharType="begin"/>
            </w:r>
            <w:r w:rsidRPr="00990D3B">
              <w:rPr>
                <w:webHidden/>
              </w:rPr>
              <w:instrText xml:space="preserve"> PAGEREF _Toc201751434 \h </w:instrText>
            </w:r>
            <w:r w:rsidRPr="00990D3B">
              <w:rPr>
                <w:webHidden/>
              </w:rPr>
              <w:fldChar w:fldCharType="separate"/>
            </w:r>
            <w:r w:rsidRPr="00990D3B">
              <w:rPr>
                <w:webHidden/>
              </w:rPr>
              <w:t>370</w:t>
            </w:r>
            <w:r w:rsidRPr="00990D3B">
              <w:rPr>
                <w:webHidden/>
              </w:rPr>
              <w:fldChar w:fldCharType="end"/>
            </w:r>
          </w:hyperlink>
        </w:p>
        <w:p w:rsidR="00676731" w:rsidRPr="00990D3B" w14:paraId="11AA1CEB" w14:textId="22206269">
          <w:pPr>
            <w:pStyle w:val="TOC2"/>
            <w:rPr>
              <w:rFonts w:asciiTheme="minorHAnsi" w:eastAsiaTheme="minorEastAsia" w:hAnsiTheme="minorHAnsi" w:cstheme="minorBidi"/>
              <w:kern w:val="2"/>
              <w:sz w:val="24"/>
              <w:szCs w:val="24"/>
              <w14:ligatures w14:val="standardContextual"/>
            </w:rPr>
          </w:pPr>
          <w:hyperlink w:anchor="_Toc201751435" w:history="1">
            <w:r w:rsidRPr="00990D3B">
              <w:rPr>
                <w:rStyle w:val="Hyperlink"/>
              </w:rPr>
              <w:t>Getting Started on Protocol 10</w:t>
            </w:r>
            <w:r w:rsidRPr="00990D3B">
              <w:rPr>
                <w:webHidden/>
              </w:rPr>
              <w:tab/>
            </w:r>
            <w:r w:rsidRPr="00990D3B">
              <w:rPr>
                <w:webHidden/>
              </w:rPr>
              <w:fldChar w:fldCharType="begin"/>
            </w:r>
            <w:r w:rsidRPr="00990D3B">
              <w:rPr>
                <w:webHidden/>
              </w:rPr>
              <w:instrText xml:space="preserve"> PAGEREF _Toc201751435 \h </w:instrText>
            </w:r>
            <w:r w:rsidRPr="00990D3B">
              <w:rPr>
                <w:webHidden/>
              </w:rPr>
              <w:fldChar w:fldCharType="separate"/>
            </w:r>
            <w:r w:rsidRPr="00990D3B">
              <w:rPr>
                <w:webHidden/>
              </w:rPr>
              <w:t>373</w:t>
            </w:r>
            <w:r w:rsidRPr="00990D3B">
              <w:rPr>
                <w:webHidden/>
              </w:rPr>
              <w:fldChar w:fldCharType="end"/>
            </w:r>
          </w:hyperlink>
        </w:p>
        <w:p w:rsidR="00676731" w:rsidRPr="00990D3B" w14:paraId="46240D2E" w14:textId="58806B09">
          <w:pPr>
            <w:pStyle w:val="TOC2"/>
            <w:rPr>
              <w:rFonts w:asciiTheme="minorHAnsi" w:eastAsiaTheme="minorEastAsia" w:hAnsiTheme="minorHAnsi" w:cstheme="minorBidi"/>
              <w:kern w:val="2"/>
              <w:sz w:val="24"/>
              <w:szCs w:val="24"/>
              <w14:ligatures w14:val="standardContextual"/>
            </w:rPr>
          </w:pPr>
          <w:hyperlink w:anchor="_Toc201751436" w:history="1">
            <w:r w:rsidRPr="00990D3B">
              <w:rPr>
                <w:rStyle w:val="Hyperlink"/>
              </w:rPr>
              <w:t>Section I. Preparing for MAC QRS EQR Activities</w:t>
            </w:r>
            <w:r w:rsidRPr="00990D3B">
              <w:rPr>
                <w:webHidden/>
              </w:rPr>
              <w:tab/>
            </w:r>
            <w:r w:rsidRPr="00990D3B">
              <w:rPr>
                <w:webHidden/>
              </w:rPr>
              <w:fldChar w:fldCharType="begin"/>
            </w:r>
            <w:r w:rsidRPr="00990D3B">
              <w:rPr>
                <w:webHidden/>
              </w:rPr>
              <w:instrText xml:space="preserve"> PAGEREF _Toc201751436 \h </w:instrText>
            </w:r>
            <w:r w:rsidRPr="00990D3B">
              <w:rPr>
                <w:webHidden/>
              </w:rPr>
              <w:fldChar w:fldCharType="separate"/>
            </w:r>
            <w:r w:rsidRPr="00990D3B">
              <w:rPr>
                <w:webHidden/>
              </w:rPr>
              <w:t>377</w:t>
            </w:r>
            <w:r w:rsidRPr="00990D3B">
              <w:rPr>
                <w:webHidden/>
              </w:rPr>
              <w:fldChar w:fldCharType="end"/>
            </w:r>
          </w:hyperlink>
        </w:p>
        <w:p w:rsidR="00676731" w:rsidRPr="00990D3B" w14:paraId="701A852F" w14:textId="27B33297">
          <w:pPr>
            <w:pStyle w:val="TOC2"/>
            <w:rPr>
              <w:rFonts w:asciiTheme="minorHAnsi" w:eastAsiaTheme="minorEastAsia" w:hAnsiTheme="minorHAnsi" w:cstheme="minorBidi"/>
              <w:kern w:val="2"/>
              <w:sz w:val="24"/>
              <w:szCs w:val="24"/>
              <w14:ligatures w14:val="standardContextual"/>
            </w:rPr>
          </w:pPr>
          <w:hyperlink w:anchor="_Toc201751437" w:history="1">
            <w:r w:rsidRPr="00990D3B">
              <w:rPr>
                <w:rStyle w:val="Hyperlink"/>
              </w:rPr>
              <w:t>Activity I.1: Identify the Quality Measures to be Calculated</w:t>
            </w:r>
            <w:r w:rsidRPr="00990D3B">
              <w:rPr>
                <w:webHidden/>
              </w:rPr>
              <w:tab/>
            </w:r>
            <w:r w:rsidRPr="00990D3B">
              <w:rPr>
                <w:webHidden/>
              </w:rPr>
              <w:fldChar w:fldCharType="begin"/>
            </w:r>
            <w:r w:rsidRPr="00990D3B">
              <w:rPr>
                <w:webHidden/>
              </w:rPr>
              <w:instrText xml:space="preserve"> PAGEREF _Toc201751437 \h </w:instrText>
            </w:r>
            <w:r w:rsidRPr="00990D3B">
              <w:rPr>
                <w:webHidden/>
              </w:rPr>
              <w:fldChar w:fldCharType="separate"/>
            </w:r>
            <w:r w:rsidRPr="00990D3B">
              <w:rPr>
                <w:webHidden/>
              </w:rPr>
              <w:t>378</w:t>
            </w:r>
            <w:r w:rsidRPr="00990D3B">
              <w:rPr>
                <w:webHidden/>
              </w:rPr>
              <w:fldChar w:fldCharType="end"/>
            </w:r>
          </w:hyperlink>
        </w:p>
        <w:p w:rsidR="00676731" w:rsidRPr="00990D3B" w14:paraId="4474565B" w14:textId="510DB78C">
          <w:pPr>
            <w:pStyle w:val="TOC2"/>
            <w:rPr>
              <w:rFonts w:asciiTheme="minorHAnsi" w:eastAsiaTheme="minorEastAsia" w:hAnsiTheme="minorHAnsi" w:cstheme="minorBidi"/>
              <w:kern w:val="2"/>
              <w:sz w:val="24"/>
              <w:szCs w:val="24"/>
              <w14:ligatures w14:val="standardContextual"/>
            </w:rPr>
          </w:pPr>
          <w:hyperlink w:anchor="_Toc201751438" w:history="1">
            <w:r w:rsidRPr="00990D3B">
              <w:rPr>
                <w:rStyle w:val="Hyperlink"/>
              </w:rPr>
              <w:t>Activity I.2: Identify MAC QRS Data Sources</w:t>
            </w:r>
            <w:r w:rsidRPr="00990D3B">
              <w:rPr>
                <w:webHidden/>
              </w:rPr>
              <w:tab/>
            </w:r>
            <w:r w:rsidRPr="00990D3B">
              <w:rPr>
                <w:webHidden/>
              </w:rPr>
              <w:fldChar w:fldCharType="begin"/>
            </w:r>
            <w:r w:rsidRPr="00990D3B">
              <w:rPr>
                <w:webHidden/>
              </w:rPr>
              <w:instrText xml:space="preserve"> PAGEREF _Toc201751438 \h </w:instrText>
            </w:r>
            <w:r w:rsidRPr="00990D3B">
              <w:rPr>
                <w:webHidden/>
              </w:rPr>
              <w:fldChar w:fldCharType="separate"/>
            </w:r>
            <w:r w:rsidRPr="00990D3B">
              <w:rPr>
                <w:webHidden/>
              </w:rPr>
              <w:t>378</w:t>
            </w:r>
            <w:r w:rsidRPr="00990D3B">
              <w:rPr>
                <w:webHidden/>
              </w:rPr>
              <w:fldChar w:fldCharType="end"/>
            </w:r>
          </w:hyperlink>
        </w:p>
        <w:p w:rsidR="00676731" w:rsidRPr="00990D3B" w14:paraId="3E21CBAF" w14:textId="284FEEFB">
          <w:pPr>
            <w:pStyle w:val="TOC2"/>
            <w:rPr>
              <w:rFonts w:asciiTheme="minorHAnsi" w:eastAsiaTheme="minorEastAsia" w:hAnsiTheme="minorHAnsi" w:cstheme="minorBidi"/>
              <w:kern w:val="2"/>
              <w:sz w:val="24"/>
              <w:szCs w:val="24"/>
              <w14:ligatures w14:val="standardContextual"/>
            </w:rPr>
          </w:pPr>
          <w:hyperlink w:anchor="_Toc201751439" w:history="1">
            <w:r w:rsidRPr="00990D3B">
              <w:rPr>
                <w:rStyle w:val="Hyperlink"/>
              </w:rPr>
              <w:t>Activity I.3: Confirm All Measures Calculated for Each MCP</w:t>
            </w:r>
            <w:r w:rsidRPr="00990D3B">
              <w:rPr>
                <w:webHidden/>
              </w:rPr>
              <w:tab/>
            </w:r>
            <w:r w:rsidRPr="00990D3B">
              <w:rPr>
                <w:webHidden/>
              </w:rPr>
              <w:fldChar w:fldCharType="begin"/>
            </w:r>
            <w:r w:rsidRPr="00990D3B">
              <w:rPr>
                <w:webHidden/>
              </w:rPr>
              <w:instrText xml:space="preserve"> PAGEREF _Toc201751439 \h </w:instrText>
            </w:r>
            <w:r w:rsidRPr="00990D3B">
              <w:rPr>
                <w:webHidden/>
              </w:rPr>
              <w:fldChar w:fldCharType="separate"/>
            </w:r>
            <w:r w:rsidRPr="00990D3B">
              <w:rPr>
                <w:webHidden/>
              </w:rPr>
              <w:t>379</w:t>
            </w:r>
            <w:r w:rsidRPr="00990D3B">
              <w:rPr>
                <w:webHidden/>
              </w:rPr>
              <w:fldChar w:fldCharType="end"/>
            </w:r>
          </w:hyperlink>
        </w:p>
        <w:p w:rsidR="00676731" w:rsidRPr="00990D3B" w14:paraId="318FBE42" w14:textId="06973698">
          <w:pPr>
            <w:pStyle w:val="TOC2"/>
            <w:rPr>
              <w:rFonts w:asciiTheme="minorHAnsi" w:eastAsiaTheme="minorEastAsia" w:hAnsiTheme="minorHAnsi" w:cstheme="minorBidi"/>
              <w:kern w:val="2"/>
              <w:sz w:val="24"/>
              <w:szCs w:val="24"/>
              <w14:ligatures w14:val="standardContextual"/>
            </w:rPr>
          </w:pPr>
          <w:hyperlink w:anchor="_Toc201751440" w:history="1">
            <w:r w:rsidRPr="00990D3B">
              <w:rPr>
                <w:rStyle w:val="Hyperlink"/>
              </w:rPr>
              <w:t>Activity I.4:</w:t>
            </w:r>
            <w:r w:rsidRPr="00990D3B" w:rsidR="00BF08FC">
              <w:rPr>
                <w:rStyle w:val="Hyperlink"/>
              </w:rPr>
              <w:t xml:space="preserve"> Report</w:t>
            </w:r>
            <w:r w:rsidRPr="00990D3B">
              <w:rPr>
                <w:rStyle w:val="Hyperlink"/>
              </w:rPr>
              <w:t xml:space="preserve"> Findings and Next Steps to the State</w:t>
            </w:r>
            <w:r w:rsidRPr="00990D3B">
              <w:rPr>
                <w:webHidden/>
              </w:rPr>
              <w:tab/>
            </w:r>
            <w:r w:rsidRPr="00990D3B">
              <w:rPr>
                <w:webHidden/>
              </w:rPr>
              <w:fldChar w:fldCharType="begin"/>
            </w:r>
            <w:r w:rsidRPr="00990D3B">
              <w:rPr>
                <w:webHidden/>
              </w:rPr>
              <w:instrText xml:space="preserve"> PAGEREF _Toc201751440 \h </w:instrText>
            </w:r>
            <w:r w:rsidRPr="00990D3B">
              <w:rPr>
                <w:webHidden/>
              </w:rPr>
              <w:fldChar w:fldCharType="separate"/>
            </w:r>
            <w:r w:rsidRPr="00990D3B">
              <w:rPr>
                <w:webHidden/>
              </w:rPr>
              <w:t>379</w:t>
            </w:r>
            <w:r w:rsidRPr="00990D3B">
              <w:rPr>
                <w:webHidden/>
              </w:rPr>
              <w:fldChar w:fldCharType="end"/>
            </w:r>
          </w:hyperlink>
        </w:p>
        <w:p w:rsidR="00676731" w:rsidRPr="00990D3B" w14:paraId="7282C0F7" w14:textId="5FD18330">
          <w:pPr>
            <w:pStyle w:val="TOC1"/>
            <w:rPr>
              <w:rFonts w:asciiTheme="minorHAnsi" w:eastAsiaTheme="minorEastAsia" w:hAnsiTheme="minorHAnsi" w:cstheme="minorBidi"/>
              <w:kern w:val="2"/>
              <w:sz w:val="24"/>
              <w:szCs w:val="24"/>
              <w14:ligatures w14:val="standardContextual"/>
            </w:rPr>
          </w:pPr>
          <w:hyperlink w:anchor="_Toc201751441" w:history="1">
            <w:r w:rsidRPr="00990D3B">
              <w:rPr>
                <w:rStyle w:val="Hyperlink"/>
              </w:rPr>
              <w:t>Section II. Validating MAC QRS Data</w:t>
            </w:r>
            <w:r w:rsidRPr="00990D3B">
              <w:rPr>
                <w:webHidden/>
              </w:rPr>
              <w:tab/>
            </w:r>
            <w:r w:rsidRPr="00990D3B">
              <w:rPr>
                <w:webHidden/>
              </w:rPr>
              <w:fldChar w:fldCharType="begin"/>
            </w:r>
            <w:r w:rsidRPr="00990D3B">
              <w:rPr>
                <w:webHidden/>
              </w:rPr>
              <w:instrText xml:space="preserve"> PAGEREF _Toc201751441 \h </w:instrText>
            </w:r>
            <w:r w:rsidRPr="00990D3B">
              <w:rPr>
                <w:webHidden/>
              </w:rPr>
              <w:fldChar w:fldCharType="separate"/>
            </w:r>
            <w:r w:rsidRPr="00990D3B">
              <w:rPr>
                <w:webHidden/>
              </w:rPr>
              <w:t>380</w:t>
            </w:r>
            <w:r w:rsidRPr="00990D3B">
              <w:rPr>
                <w:webHidden/>
              </w:rPr>
              <w:fldChar w:fldCharType="end"/>
            </w:r>
          </w:hyperlink>
        </w:p>
        <w:p w:rsidR="00676731" w:rsidRPr="00990D3B" w14:paraId="1D31BF84" w14:textId="3DA4B67E">
          <w:pPr>
            <w:pStyle w:val="TOC2"/>
            <w:rPr>
              <w:rFonts w:asciiTheme="minorHAnsi" w:eastAsiaTheme="minorEastAsia" w:hAnsiTheme="minorHAnsi" w:cstheme="minorBidi"/>
              <w:kern w:val="2"/>
              <w:sz w:val="24"/>
              <w:szCs w:val="24"/>
              <w14:ligatures w14:val="standardContextual"/>
            </w:rPr>
          </w:pPr>
          <w:hyperlink w:anchor="_Toc201751442" w:history="1">
            <w:r w:rsidRPr="00990D3B">
              <w:rPr>
                <w:rStyle w:val="Hyperlink"/>
              </w:rPr>
              <w:t>Activity II.1: Review MCP Data and Information Systems Capabilities</w:t>
            </w:r>
            <w:r w:rsidRPr="00990D3B">
              <w:rPr>
                <w:webHidden/>
              </w:rPr>
              <w:tab/>
            </w:r>
            <w:r w:rsidRPr="00990D3B">
              <w:rPr>
                <w:webHidden/>
              </w:rPr>
              <w:fldChar w:fldCharType="begin"/>
            </w:r>
            <w:r w:rsidRPr="00990D3B">
              <w:rPr>
                <w:webHidden/>
              </w:rPr>
              <w:instrText xml:space="preserve"> PAGEREF _Toc201751442 \h </w:instrText>
            </w:r>
            <w:r w:rsidRPr="00990D3B">
              <w:rPr>
                <w:webHidden/>
              </w:rPr>
              <w:fldChar w:fldCharType="separate"/>
            </w:r>
            <w:r w:rsidRPr="00990D3B">
              <w:rPr>
                <w:webHidden/>
              </w:rPr>
              <w:t>380</w:t>
            </w:r>
            <w:r w:rsidRPr="00990D3B">
              <w:rPr>
                <w:webHidden/>
              </w:rPr>
              <w:fldChar w:fldCharType="end"/>
            </w:r>
          </w:hyperlink>
        </w:p>
        <w:p w:rsidR="00676731" w:rsidRPr="00990D3B" w14:paraId="188CE121" w14:textId="2E63858A">
          <w:pPr>
            <w:pStyle w:val="TOC2"/>
            <w:rPr>
              <w:rFonts w:asciiTheme="minorHAnsi" w:eastAsiaTheme="minorEastAsia" w:hAnsiTheme="minorHAnsi" w:cstheme="minorBidi"/>
              <w:kern w:val="2"/>
              <w:sz w:val="24"/>
              <w:szCs w:val="24"/>
              <w14:ligatures w14:val="standardContextual"/>
            </w:rPr>
          </w:pPr>
          <w:hyperlink w:anchor="_Toc201751443" w:history="1">
            <w:r w:rsidRPr="00990D3B">
              <w:rPr>
                <w:rStyle w:val="Hyperlink"/>
              </w:rPr>
              <w:t>Activity II.2: Validate MAC QRS Data</w:t>
            </w:r>
            <w:r w:rsidRPr="00990D3B">
              <w:rPr>
                <w:webHidden/>
              </w:rPr>
              <w:tab/>
            </w:r>
            <w:r w:rsidRPr="00990D3B">
              <w:rPr>
                <w:webHidden/>
              </w:rPr>
              <w:fldChar w:fldCharType="begin"/>
            </w:r>
            <w:r w:rsidRPr="00990D3B">
              <w:rPr>
                <w:webHidden/>
              </w:rPr>
              <w:instrText xml:space="preserve"> PAGEREF _Toc201751443 \h </w:instrText>
            </w:r>
            <w:r w:rsidRPr="00990D3B">
              <w:rPr>
                <w:webHidden/>
              </w:rPr>
              <w:fldChar w:fldCharType="separate"/>
            </w:r>
            <w:r w:rsidRPr="00990D3B">
              <w:rPr>
                <w:webHidden/>
              </w:rPr>
              <w:t>380</w:t>
            </w:r>
            <w:r w:rsidRPr="00990D3B">
              <w:rPr>
                <w:webHidden/>
              </w:rPr>
              <w:fldChar w:fldCharType="end"/>
            </w:r>
          </w:hyperlink>
        </w:p>
        <w:p w:rsidR="00676731" w:rsidRPr="00990D3B" w14:paraId="6FA56EF9" w14:textId="3E1DC75F">
          <w:pPr>
            <w:pStyle w:val="TOC2"/>
            <w:rPr>
              <w:rFonts w:asciiTheme="minorHAnsi" w:eastAsiaTheme="minorEastAsia" w:hAnsiTheme="minorHAnsi" w:cstheme="minorBidi"/>
              <w:kern w:val="2"/>
              <w:sz w:val="24"/>
              <w:szCs w:val="24"/>
              <w14:ligatures w14:val="standardContextual"/>
            </w:rPr>
          </w:pPr>
          <w:hyperlink w:anchor="_Toc201751444" w:history="1">
            <w:r w:rsidRPr="00990D3B">
              <w:rPr>
                <w:rStyle w:val="Hyperlink"/>
              </w:rPr>
              <w:t xml:space="preserve">Activity II.3: </w:t>
            </w:r>
            <w:r w:rsidRPr="00990D3B" w:rsidR="00BF08FC">
              <w:rPr>
                <w:rStyle w:val="Hyperlink"/>
              </w:rPr>
              <w:t>Report Results</w:t>
            </w:r>
            <w:r w:rsidRPr="00990D3B">
              <w:rPr>
                <w:rStyle w:val="Hyperlink"/>
              </w:rPr>
              <w:t xml:space="preserve"> to </w:t>
            </w:r>
            <w:r w:rsidRPr="00990D3B" w:rsidR="005C6A56">
              <w:rPr>
                <w:rStyle w:val="Hyperlink"/>
              </w:rPr>
              <w:t xml:space="preserve">the </w:t>
            </w:r>
            <w:r w:rsidRPr="00990D3B">
              <w:rPr>
                <w:rStyle w:val="Hyperlink"/>
              </w:rPr>
              <w:t>State</w:t>
            </w:r>
            <w:r w:rsidRPr="00990D3B">
              <w:rPr>
                <w:webHidden/>
              </w:rPr>
              <w:tab/>
            </w:r>
            <w:r w:rsidRPr="00990D3B">
              <w:rPr>
                <w:webHidden/>
              </w:rPr>
              <w:fldChar w:fldCharType="begin"/>
            </w:r>
            <w:r w:rsidRPr="00990D3B">
              <w:rPr>
                <w:webHidden/>
              </w:rPr>
              <w:instrText xml:space="preserve"> PAGEREF _Toc201751444 \h </w:instrText>
            </w:r>
            <w:r w:rsidRPr="00990D3B">
              <w:rPr>
                <w:webHidden/>
              </w:rPr>
              <w:fldChar w:fldCharType="separate"/>
            </w:r>
            <w:r w:rsidRPr="00990D3B">
              <w:rPr>
                <w:webHidden/>
              </w:rPr>
              <w:t>384</w:t>
            </w:r>
            <w:r w:rsidRPr="00990D3B">
              <w:rPr>
                <w:webHidden/>
              </w:rPr>
              <w:fldChar w:fldCharType="end"/>
            </w:r>
          </w:hyperlink>
        </w:p>
        <w:p w:rsidR="00676731" w:rsidRPr="00990D3B" w14:paraId="389F4B4E" w14:textId="360FDEF6">
          <w:pPr>
            <w:pStyle w:val="TOC1"/>
            <w:rPr>
              <w:rFonts w:asciiTheme="minorHAnsi" w:eastAsiaTheme="minorEastAsia" w:hAnsiTheme="minorHAnsi" w:cstheme="minorBidi"/>
              <w:kern w:val="2"/>
              <w:sz w:val="24"/>
              <w:szCs w:val="24"/>
              <w14:ligatures w14:val="standardContextual"/>
            </w:rPr>
          </w:pPr>
          <w:hyperlink w:anchor="_Toc201751445" w:history="1">
            <w:r w:rsidRPr="00990D3B">
              <w:rPr>
                <w:rStyle w:val="Hyperlink"/>
              </w:rPr>
              <w:t>Section III. Calculate MAC QRS Measure Performance Rates</w:t>
            </w:r>
            <w:r w:rsidRPr="00990D3B">
              <w:rPr>
                <w:webHidden/>
              </w:rPr>
              <w:tab/>
            </w:r>
            <w:r w:rsidRPr="00990D3B">
              <w:rPr>
                <w:webHidden/>
              </w:rPr>
              <w:fldChar w:fldCharType="begin"/>
            </w:r>
            <w:r w:rsidRPr="00990D3B">
              <w:rPr>
                <w:webHidden/>
              </w:rPr>
              <w:instrText xml:space="preserve"> PAGEREF _Toc201751445 \h </w:instrText>
            </w:r>
            <w:r w:rsidRPr="00990D3B">
              <w:rPr>
                <w:webHidden/>
              </w:rPr>
              <w:fldChar w:fldCharType="separate"/>
            </w:r>
            <w:r w:rsidRPr="00990D3B">
              <w:rPr>
                <w:webHidden/>
              </w:rPr>
              <w:t>384</w:t>
            </w:r>
            <w:r w:rsidRPr="00990D3B">
              <w:rPr>
                <w:webHidden/>
              </w:rPr>
              <w:fldChar w:fldCharType="end"/>
            </w:r>
          </w:hyperlink>
        </w:p>
        <w:p w:rsidR="00676731" w:rsidRPr="00990D3B" w14:paraId="5218CB1F" w14:textId="700EB4F3">
          <w:pPr>
            <w:pStyle w:val="TOC2"/>
            <w:rPr>
              <w:rFonts w:asciiTheme="minorHAnsi" w:eastAsiaTheme="minorEastAsia" w:hAnsiTheme="minorHAnsi" w:cstheme="minorBidi"/>
              <w:kern w:val="2"/>
              <w:sz w:val="24"/>
              <w:szCs w:val="24"/>
              <w14:ligatures w14:val="standardContextual"/>
            </w:rPr>
          </w:pPr>
          <w:hyperlink w:anchor="_Toc201751446" w:history="1">
            <w:r w:rsidRPr="00990D3B">
              <w:rPr>
                <w:rStyle w:val="Hyperlink"/>
              </w:rPr>
              <w:t>Activity III.1: Collect Data</w:t>
            </w:r>
            <w:r w:rsidRPr="00990D3B">
              <w:rPr>
                <w:webHidden/>
              </w:rPr>
              <w:tab/>
            </w:r>
            <w:r w:rsidRPr="00990D3B">
              <w:rPr>
                <w:webHidden/>
              </w:rPr>
              <w:fldChar w:fldCharType="begin"/>
            </w:r>
            <w:r w:rsidRPr="00990D3B">
              <w:rPr>
                <w:webHidden/>
              </w:rPr>
              <w:instrText xml:space="preserve"> PAGEREF _Toc201751446 \h </w:instrText>
            </w:r>
            <w:r w:rsidRPr="00990D3B">
              <w:rPr>
                <w:webHidden/>
              </w:rPr>
              <w:fldChar w:fldCharType="separate"/>
            </w:r>
            <w:r w:rsidRPr="00990D3B">
              <w:rPr>
                <w:webHidden/>
              </w:rPr>
              <w:t>385</w:t>
            </w:r>
            <w:r w:rsidRPr="00990D3B">
              <w:rPr>
                <w:webHidden/>
              </w:rPr>
              <w:fldChar w:fldCharType="end"/>
            </w:r>
          </w:hyperlink>
        </w:p>
        <w:p w:rsidR="00676731" w:rsidRPr="00990D3B" w14:paraId="1C3551A9" w14:textId="4C5C1F8D">
          <w:pPr>
            <w:pStyle w:val="TOC2"/>
            <w:rPr>
              <w:rFonts w:asciiTheme="minorHAnsi" w:eastAsiaTheme="minorEastAsia" w:hAnsiTheme="minorHAnsi" w:cstheme="minorBidi"/>
              <w:kern w:val="2"/>
              <w:sz w:val="24"/>
              <w:szCs w:val="24"/>
              <w14:ligatures w14:val="standardContextual"/>
            </w:rPr>
          </w:pPr>
          <w:hyperlink w:anchor="_Toc201751447" w:history="1">
            <w:r w:rsidRPr="00990D3B">
              <w:rPr>
                <w:rStyle w:val="Hyperlink"/>
              </w:rPr>
              <w:t>Activity III.2: Integrate Data</w:t>
            </w:r>
            <w:r w:rsidRPr="00990D3B">
              <w:rPr>
                <w:webHidden/>
              </w:rPr>
              <w:tab/>
            </w:r>
            <w:r w:rsidRPr="00990D3B">
              <w:rPr>
                <w:webHidden/>
              </w:rPr>
              <w:fldChar w:fldCharType="begin"/>
            </w:r>
            <w:r w:rsidRPr="00990D3B">
              <w:rPr>
                <w:webHidden/>
              </w:rPr>
              <w:instrText xml:space="preserve"> PAGEREF _Toc201751447 \h </w:instrText>
            </w:r>
            <w:r w:rsidRPr="00990D3B">
              <w:rPr>
                <w:webHidden/>
              </w:rPr>
              <w:fldChar w:fldCharType="separate"/>
            </w:r>
            <w:r w:rsidRPr="00990D3B">
              <w:rPr>
                <w:webHidden/>
              </w:rPr>
              <w:t>385</w:t>
            </w:r>
            <w:r w:rsidRPr="00990D3B">
              <w:rPr>
                <w:webHidden/>
              </w:rPr>
              <w:fldChar w:fldCharType="end"/>
            </w:r>
          </w:hyperlink>
        </w:p>
        <w:p w:rsidR="00676731" w:rsidRPr="00990D3B" w14:paraId="448A7B5D" w14:textId="18562EA3">
          <w:pPr>
            <w:pStyle w:val="TOC2"/>
            <w:rPr>
              <w:rFonts w:asciiTheme="minorHAnsi" w:eastAsiaTheme="minorEastAsia" w:hAnsiTheme="minorHAnsi" w:cstheme="minorBidi"/>
              <w:kern w:val="2"/>
              <w:sz w:val="24"/>
              <w:szCs w:val="24"/>
              <w14:ligatures w14:val="standardContextual"/>
            </w:rPr>
          </w:pPr>
          <w:hyperlink w:anchor="_Toc201751448" w:history="1">
            <w:r w:rsidRPr="00990D3B">
              <w:rPr>
                <w:rStyle w:val="Hyperlink"/>
              </w:rPr>
              <w:t>Activity III.3: Calculate Measure Performance Rates</w:t>
            </w:r>
            <w:r w:rsidRPr="00990D3B">
              <w:rPr>
                <w:webHidden/>
              </w:rPr>
              <w:tab/>
            </w:r>
            <w:r w:rsidRPr="00990D3B">
              <w:rPr>
                <w:webHidden/>
              </w:rPr>
              <w:fldChar w:fldCharType="begin"/>
            </w:r>
            <w:r w:rsidRPr="00990D3B">
              <w:rPr>
                <w:webHidden/>
              </w:rPr>
              <w:instrText xml:space="preserve"> PAGEREF _Toc201751448 \h </w:instrText>
            </w:r>
            <w:r w:rsidRPr="00990D3B">
              <w:rPr>
                <w:webHidden/>
              </w:rPr>
              <w:fldChar w:fldCharType="separate"/>
            </w:r>
            <w:r w:rsidRPr="00990D3B">
              <w:rPr>
                <w:webHidden/>
              </w:rPr>
              <w:t>386</w:t>
            </w:r>
            <w:r w:rsidRPr="00990D3B">
              <w:rPr>
                <w:webHidden/>
              </w:rPr>
              <w:fldChar w:fldCharType="end"/>
            </w:r>
          </w:hyperlink>
        </w:p>
        <w:p w:rsidR="00676731" w:rsidRPr="00990D3B" w14:paraId="0FAB76C1" w14:textId="661691BF">
          <w:pPr>
            <w:pStyle w:val="TOC2"/>
            <w:rPr>
              <w:rFonts w:asciiTheme="minorHAnsi" w:eastAsiaTheme="minorEastAsia" w:hAnsiTheme="minorHAnsi" w:cstheme="minorBidi"/>
              <w:kern w:val="2"/>
              <w:sz w:val="24"/>
              <w:szCs w:val="24"/>
              <w14:ligatures w14:val="standardContextual"/>
            </w:rPr>
          </w:pPr>
          <w:hyperlink w:anchor="_Toc201751449" w:history="1">
            <w:r w:rsidRPr="00990D3B">
              <w:rPr>
                <w:rStyle w:val="Hyperlink"/>
              </w:rPr>
              <w:t>Activity III.4: Stratify Measure Performance Rates</w:t>
            </w:r>
            <w:r w:rsidRPr="00990D3B">
              <w:rPr>
                <w:webHidden/>
              </w:rPr>
              <w:tab/>
            </w:r>
            <w:r w:rsidRPr="00990D3B">
              <w:rPr>
                <w:webHidden/>
              </w:rPr>
              <w:fldChar w:fldCharType="begin"/>
            </w:r>
            <w:r w:rsidRPr="00990D3B">
              <w:rPr>
                <w:webHidden/>
              </w:rPr>
              <w:instrText xml:space="preserve"> PAGEREF _Toc201751449 \h </w:instrText>
            </w:r>
            <w:r w:rsidRPr="00990D3B">
              <w:rPr>
                <w:webHidden/>
              </w:rPr>
              <w:fldChar w:fldCharType="separate"/>
            </w:r>
            <w:r w:rsidRPr="00990D3B">
              <w:rPr>
                <w:webHidden/>
              </w:rPr>
              <w:t>386</w:t>
            </w:r>
            <w:r w:rsidRPr="00990D3B">
              <w:rPr>
                <w:webHidden/>
              </w:rPr>
              <w:fldChar w:fldCharType="end"/>
            </w:r>
          </w:hyperlink>
        </w:p>
        <w:p w:rsidR="00676731" w:rsidRPr="00990D3B" w14:paraId="3FF78708" w14:textId="000F97D7">
          <w:pPr>
            <w:pStyle w:val="TOC2"/>
            <w:rPr>
              <w:rFonts w:asciiTheme="minorHAnsi" w:eastAsiaTheme="minorEastAsia" w:hAnsiTheme="minorHAnsi" w:cstheme="minorBidi"/>
              <w:kern w:val="2"/>
              <w:sz w:val="24"/>
              <w:szCs w:val="24"/>
              <w14:ligatures w14:val="standardContextual"/>
            </w:rPr>
          </w:pPr>
          <w:hyperlink w:anchor="_Toc201751450" w:history="1">
            <w:r w:rsidRPr="00990D3B">
              <w:rPr>
                <w:rStyle w:val="Hyperlink"/>
              </w:rPr>
              <w:t>Activity III.5: Validate Measure Performance Rates (Optional)</w:t>
            </w:r>
            <w:r w:rsidRPr="00990D3B">
              <w:rPr>
                <w:webHidden/>
              </w:rPr>
              <w:tab/>
            </w:r>
            <w:r w:rsidRPr="00990D3B">
              <w:rPr>
                <w:webHidden/>
              </w:rPr>
              <w:fldChar w:fldCharType="begin"/>
            </w:r>
            <w:r w:rsidRPr="00990D3B">
              <w:rPr>
                <w:webHidden/>
              </w:rPr>
              <w:instrText xml:space="preserve"> PAGEREF _Toc201751450 \h </w:instrText>
            </w:r>
            <w:r w:rsidRPr="00990D3B">
              <w:rPr>
                <w:webHidden/>
              </w:rPr>
              <w:fldChar w:fldCharType="separate"/>
            </w:r>
            <w:r w:rsidRPr="00990D3B">
              <w:rPr>
                <w:webHidden/>
              </w:rPr>
              <w:t>388</w:t>
            </w:r>
            <w:r w:rsidRPr="00990D3B">
              <w:rPr>
                <w:webHidden/>
              </w:rPr>
              <w:fldChar w:fldCharType="end"/>
            </w:r>
          </w:hyperlink>
        </w:p>
        <w:p w:rsidR="00676731" w:rsidRPr="00990D3B" w14:paraId="16040B3C" w14:textId="3463548E">
          <w:pPr>
            <w:pStyle w:val="TOC2"/>
            <w:rPr>
              <w:rFonts w:asciiTheme="minorHAnsi" w:eastAsiaTheme="minorEastAsia" w:hAnsiTheme="minorHAnsi" w:cstheme="minorBidi"/>
              <w:kern w:val="2"/>
              <w:sz w:val="24"/>
              <w:szCs w:val="24"/>
              <w14:ligatures w14:val="standardContextual"/>
            </w:rPr>
          </w:pPr>
          <w:hyperlink w:anchor="_Toc201751451" w:history="1">
            <w:r w:rsidRPr="00990D3B">
              <w:rPr>
                <w:rStyle w:val="Hyperlink"/>
              </w:rPr>
              <w:t>Activity III. 6: Report Final Results to the State</w:t>
            </w:r>
            <w:r w:rsidRPr="00990D3B">
              <w:rPr>
                <w:webHidden/>
              </w:rPr>
              <w:tab/>
            </w:r>
            <w:r w:rsidRPr="00990D3B">
              <w:rPr>
                <w:webHidden/>
              </w:rPr>
              <w:fldChar w:fldCharType="begin"/>
            </w:r>
            <w:r w:rsidRPr="00990D3B">
              <w:rPr>
                <w:webHidden/>
              </w:rPr>
              <w:instrText xml:space="preserve"> PAGEREF _Toc201751451 \h </w:instrText>
            </w:r>
            <w:r w:rsidRPr="00990D3B">
              <w:rPr>
                <w:webHidden/>
              </w:rPr>
              <w:fldChar w:fldCharType="separate"/>
            </w:r>
            <w:r w:rsidRPr="00990D3B">
              <w:rPr>
                <w:webHidden/>
              </w:rPr>
              <w:t>389</w:t>
            </w:r>
            <w:r w:rsidRPr="00990D3B">
              <w:rPr>
                <w:webHidden/>
              </w:rPr>
              <w:fldChar w:fldCharType="end"/>
            </w:r>
          </w:hyperlink>
        </w:p>
        <w:p w:rsidR="00676731" w:rsidRPr="00990D3B" w14:paraId="342FC1A8" w14:textId="4CD379E2">
          <w:pPr>
            <w:pStyle w:val="TOC2"/>
            <w:rPr>
              <w:rFonts w:asciiTheme="minorHAnsi" w:eastAsiaTheme="minorEastAsia" w:hAnsiTheme="minorHAnsi" w:cstheme="minorBidi"/>
              <w:kern w:val="2"/>
              <w:sz w:val="24"/>
              <w:szCs w:val="24"/>
              <w14:ligatures w14:val="standardContextual"/>
            </w:rPr>
          </w:pPr>
          <w:hyperlink w:anchor="_Toc201751452" w:history="1">
            <w:r w:rsidRPr="00990D3B">
              <w:rPr>
                <w:rStyle w:val="Hyperlink"/>
              </w:rPr>
              <w:t>Worksheets for Protocol 10: Assist with the Quality Ratings for Medicaid and CHIP Quality Rating System</w:t>
            </w:r>
            <w:r w:rsidRPr="00990D3B">
              <w:rPr>
                <w:webHidden/>
              </w:rPr>
              <w:tab/>
            </w:r>
            <w:r w:rsidRPr="00990D3B">
              <w:rPr>
                <w:webHidden/>
              </w:rPr>
              <w:fldChar w:fldCharType="begin"/>
            </w:r>
            <w:r w:rsidRPr="00990D3B">
              <w:rPr>
                <w:webHidden/>
              </w:rPr>
              <w:instrText xml:space="preserve"> PAGEREF _Toc201751452 \h </w:instrText>
            </w:r>
            <w:r w:rsidRPr="00990D3B">
              <w:rPr>
                <w:webHidden/>
              </w:rPr>
              <w:fldChar w:fldCharType="separate"/>
            </w:r>
            <w:r w:rsidRPr="00990D3B">
              <w:rPr>
                <w:webHidden/>
              </w:rPr>
              <w:t>390</w:t>
            </w:r>
            <w:r w:rsidRPr="00990D3B">
              <w:rPr>
                <w:webHidden/>
              </w:rPr>
              <w:fldChar w:fldCharType="end"/>
            </w:r>
          </w:hyperlink>
        </w:p>
        <w:p w:rsidR="00676731" w:rsidRPr="00990D3B" w14:paraId="2725211A" w14:textId="6D7A3527">
          <w:pPr>
            <w:pStyle w:val="TOC1"/>
            <w:rPr>
              <w:rFonts w:asciiTheme="minorHAnsi" w:eastAsiaTheme="minorEastAsia" w:hAnsiTheme="minorHAnsi" w:cstheme="minorBidi"/>
              <w:kern w:val="2"/>
              <w:sz w:val="24"/>
              <w:szCs w:val="24"/>
              <w14:ligatures w14:val="standardContextual"/>
            </w:rPr>
          </w:pPr>
          <w:hyperlink w:anchor="_Toc201751453" w:history="1">
            <w:r w:rsidRPr="00990D3B">
              <w:rPr>
                <w:rStyle w:val="Hyperlink"/>
              </w:rPr>
              <w:t>Protocol 11. Assisting with Evaluation of Managed Care Quality Strategies, State Directed Payments, and In Lieu of Services and Settings</w:t>
            </w:r>
            <w:r w:rsidRPr="00990D3B">
              <w:rPr>
                <w:webHidden/>
              </w:rPr>
              <w:tab/>
            </w:r>
            <w:r w:rsidRPr="00990D3B">
              <w:rPr>
                <w:webHidden/>
              </w:rPr>
              <w:fldChar w:fldCharType="begin"/>
            </w:r>
            <w:r w:rsidRPr="00990D3B">
              <w:rPr>
                <w:webHidden/>
              </w:rPr>
              <w:instrText xml:space="preserve"> PAGEREF _Toc201751453 \h </w:instrText>
            </w:r>
            <w:r w:rsidRPr="00990D3B">
              <w:rPr>
                <w:webHidden/>
              </w:rPr>
              <w:fldChar w:fldCharType="separate"/>
            </w:r>
            <w:r w:rsidRPr="00990D3B">
              <w:rPr>
                <w:webHidden/>
              </w:rPr>
              <w:t>399</w:t>
            </w:r>
            <w:r w:rsidRPr="00990D3B">
              <w:rPr>
                <w:webHidden/>
              </w:rPr>
              <w:fldChar w:fldCharType="end"/>
            </w:r>
          </w:hyperlink>
        </w:p>
        <w:p w:rsidR="00676731" w:rsidRPr="00990D3B" w14:paraId="56739878" w14:textId="38B600BA">
          <w:pPr>
            <w:pStyle w:val="TOC2"/>
            <w:rPr>
              <w:rFonts w:asciiTheme="minorHAnsi" w:eastAsiaTheme="minorEastAsia" w:hAnsiTheme="minorHAnsi" w:cstheme="minorBidi"/>
              <w:kern w:val="2"/>
              <w:sz w:val="24"/>
              <w:szCs w:val="24"/>
              <w14:ligatures w14:val="standardContextual"/>
            </w:rPr>
          </w:pPr>
          <w:hyperlink w:anchor="_Toc201751454" w:history="1">
            <w:r w:rsidRPr="00990D3B">
              <w:rPr>
                <w:rStyle w:val="Hyperlink"/>
              </w:rPr>
              <w:t>Background</w:t>
            </w:r>
            <w:r w:rsidRPr="00990D3B">
              <w:rPr>
                <w:webHidden/>
              </w:rPr>
              <w:tab/>
            </w:r>
            <w:r w:rsidRPr="00990D3B">
              <w:rPr>
                <w:webHidden/>
              </w:rPr>
              <w:fldChar w:fldCharType="begin"/>
            </w:r>
            <w:r w:rsidRPr="00990D3B">
              <w:rPr>
                <w:webHidden/>
              </w:rPr>
              <w:instrText xml:space="preserve"> PAGEREF _Toc201751454 \h </w:instrText>
            </w:r>
            <w:r w:rsidRPr="00990D3B">
              <w:rPr>
                <w:webHidden/>
              </w:rPr>
              <w:fldChar w:fldCharType="separate"/>
            </w:r>
            <w:r w:rsidRPr="00990D3B">
              <w:rPr>
                <w:webHidden/>
              </w:rPr>
              <w:t>399</w:t>
            </w:r>
            <w:r w:rsidRPr="00990D3B">
              <w:rPr>
                <w:webHidden/>
              </w:rPr>
              <w:fldChar w:fldCharType="end"/>
            </w:r>
          </w:hyperlink>
        </w:p>
        <w:p w:rsidR="00676731" w:rsidRPr="00990D3B" w14:paraId="2BAD0C03" w14:textId="34AD1E5F">
          <w:pPr>
            <w:pStyle w:val="TOC2"/>
            <w:rPr>
              <w:rFonts w:asciiTheme="minorHAnsi" w:eastAsiaTheme="minorEastAsia" w:hAnsiTheme="minorHAnsi" w:cstheme="minorBidi"/>
              <w:kern w:val="2"/>
              <w:sz w:val="24"/>
              <w:szCs w:val="24"/>
              <w14:ligatures w14:val="standardContextual"/>
            </w:rPr>
          </w:pPr>
          <w:hyperlink w:anchor="_Toc201751455" w:history="1">
            <w:r w:rsidRPr="00990D3B">
              <w:rPr>
                <w:rStyle w:val="Hyperlink"/>
              </w:rPr>
              <w:t>Getting Started on Protocol 11</w:t>
            </w:r>
            <w:r w:rsidRPr="00990D3B">
              <w:rPr>
                <w:webHidden/>
              </w:rPr>
              <w:tab/>
            </w:r>
            <w:r w:rsidRPr="00990D3B">
              <w:rPr>
                <w:webHidden/>
              </w:rPr>
              <w:fldChar w:fldCharType="begin"/>
            </w:r>
            <w:r w:rsidRPr="00990D3B">
              <w:rPr>
                <w:webHidden/>
              </w:rPr>
              <w:instrText xml:space="preserve"> PAGEREF _Toc201751455 \h </w:instrText>
            </w:r>
            <w:r w:rsidRPr="00990D3B">
              <w:rPr>
                <w:webHidden/>
              </w:rPr>
              <w:fldChar w:fldCharType="separate"/>
            </w:r>
            <w:r w:rsidRPr="00990D3B">
              <w:rPr>
                <w:webHidden/>
              </w:rPr>
              <w:t>401</w:t>
            </w:r>
            <w:r w:rsidRPr="00990D3B">
              <w:rPr>
                <w:webHidden/>
              </w:rPr>
              <w:fldChar w:fldCharType="end"/>
            </w:r>
          </w:hyperlink>
        </w:p>
        <w:p w:rsidR="00676731" w:rsidRPr="00990D3B" w14:paraId="28B28F74" w14:textId="640BF1E1">
          <w:pPr>
            <w:pStyle w:val="TOC2"/>
            <w:rPr>
              <w:rFonts w:asciiTheme="minorHAnsi" w:eastAsiaTheme="minorEastAsia" w:hAnsiTheme="minorHAnsi" w:cstheme="minorBidi"/>
              <w:kern w:val="2"/>
              <w:sz w:val="24"/>
              <w:szCs w:val="24"/>
              <w14:ligatures w14:val="standardContextual"/>
            </w:rPr>
          </w:pPr>
          <w:hyperlink w:anchor="_Toc201751456" w:history="1">
            <w:r w:rsidRPr="00990D3B">
              <w:rPr>
                <w:rStyle w:val="Hyperlink"/>
              </w:rPr>
              <w:t>Activity 1: Develop an Evaluation Plan</w:t>
            </w:r>
            <w:r w:rsidRPr="00990D3B">
              <w:rPr>
                <w:webHidden/>
              </w:rPr>
              <w:tab/>
            </w:r>
            <w:r w:rsidRPr="00990D3B">
              <w:rPr>
                <w:webHidden/>
              </w:rPr>
              <w:fldChar w:fldCharType="begin"/>
            </w:r>
            <w:r w:rsidRPr="00990D3B">
              <w:rPr>
                <w:webHidden/>
              </w:rPr>
              <w:instrText xml:space="preserve"> PAGEREF _Toc201751456 \h </w:instrText>
            </w:r>
            <w:r w:rsidRPr="00990D3B">
              <w:rPr>
                <w:webHidden/>
              </w:rPr>
              <w:fldChar w:fldCharType="separate"/>
            </w:r>
            <w:r w:rsidRPr="00990D3B">
              <w:rPr>
                <w:webHidden/>
              </w:rPr>
              <w:t>402</w:t>
            </w:r>
            <w:r w:rsidRPr="00990D3B">
              <w:rPr>
                <w:webHidden/>
              </w:rPr>
              <w:fldChar w:fldCharType="end"/>
            </w:r>
          </w:hyperlink>
        </w:p>
        <w:p w:rsidR="00676731" w:rsidRPr="00990D3B" w14:paraId="6536301A" w14:textId="77273F33">
          <w:pPr>
            <w:pStyle w:val="TOC2"/>
            <w:rPr>
              <w:rFonts w:asciiTheme="minorHAnsi" w:eastAsiaTheme="minorEastAsia" w:hAnsiTheme="minorHAnsi" w:cstheme="minorBidi"/>
              <w:kern w:val="2"/>
              <w:sz w:val="24"/>
              <w:szCs w:val="24"/>
              <w14:ligatures w14:val="standardContextual"/>
            </w:rPr>
          </w:pPr>
          <w:hyperlink w:anchor="_Toc201751457" w:history="1">
            <w:r w:rsidRPr="00990D3B">
              <w:rPr>
                <w:rStyle w:val="Hyperlink"/>
              </w:rPr>
              <w:t>Activity 2: Conduct the Evaluation</w:t>
            </w:r>
            <w:r w:rsidRPr="00990D3B">
              <w:rPr>
                <w:webHidden/>
              </w:rPr>
              <w:tab/>
            </w:r>
            <w:r w:rsidRPr="00990D3B">
              <w:rPr>
                <w:webHidden/>
              </w:rPr>
              <w:fldChar w:fldCharType="begin"/>
            </w:r>
            <w:r w:rsidRPr="00990D3B">
              <w:rPr>
                <w:webHidden/>
              </w:rPr>
              <w:instrText xml:space="preserve"> PAGEREF _Toc201751457 \h </w:instrText>
            </w:r>
            <w:r w:rsidRPr="00990D3B">
              <w:rPr>
                <w:webHidden/>
              </w:rPr>
              <w:fldChar w:fldCharType="separate"/>
            </w:r>
            <w:r w:rsidRPr="00990D3B">
              <w:rPr>
                <w:webHidden/>
              </w:rPr>
              <w:t>419</w:t>
            </w:r>
            <w:r w:rsidRPr="00990D3B">
              <w:rPr>
                <w:webHidden/>
              </w:rPr>
              <w:fldChar w:fldCharType="end"/>
            </w:r>
          </w:hyperlink>
        </w:p>
        <w:p w:rsidR="00676731" w:rsidRPr="00990D3B" w14:paraId="6AE042EA" w14:textId="56508368">
          <w:pPr>
            <w:pStyle w:val="TOC2"/>
            <w:rPr>
              <w:rFonts w:asciiTheme="minorHAnsi" w:eastAsiaTheme="minorEastAsia" w:hAnsiTheme="minorHAnsi" w:cstheme="minorBidi"/>
              <w:kern w:val="2"/>
              <w:sz w:val="24"/>
              <w:szCs w:val="24"/>
              <w14:ligatures w14:val="standardContextual"/>
            </w:rPr>
          </w:pPr>
          <w:hyperlink w:anchor="_Toc201751458" w:history="1">
            <w:r w:rsidRPr="00990D3B">
              <w:rPr>
                <w:rStyle w:val="Hyperlink"/>
              </w:rPr>
              <w:t xml:space="preserve">Activity 3: Report Results to </w:t>
            </w:r>
            <w:r w:rsidRPr="00990D3B" w:rsidR="005C6A56">
              <w:rPr>
                <w:rStyle w:val="Hyperlink"/>
              </w:rPr>
              <w:t xml:space="preserve">the </w:t>
            </w:r>
            <w:r w:rsidRPr="00990D3B">
              <w:rPr>
                <w:rStyle w:val="Hyperlink"/>
              </w:rPr>
              <w:t>State</w:t>
            </w:r>
            <w:r w:rsidRPr="00990D3B">
              <w:rPr>
                <w:webHidden/>
              </w:rPr>
              <w:tab/>
            </w:r>
            <w:r w:rsidRPr="00990D3B">
              <w:rPr>
                <w:webHidden/>
              </w:rPr>
              <w:fldChar w:fldCharType="begin"/>
            </w:r>
            <w:r w:rsidRPr="00990D3B">
              <w:rPr>
                <w:webHidden/>
              </w:rPr>
              <w:instrText xml:space="preserve"> PAGEREF _Toc201751458 \h </w:instrText>
            </w:r>
            <w:r w:rsidRPr="00990D3B">
              <w:rPr>
                <w:webHidden/>
              </w:rPr>
              <w:fldChar w:fldCharType="separate"/>
            </w:r>
            <w:r w:rsidRPr="00990D3B">
              <w:rPr>
                <w:webHidden/>
              </w:rPr>
              <w:t>421</w:t>
            </w:r>
            <w:r w:rsidRPr="00990D3B">
              <w:rPr>
                <w:webHidden/>
              </w:rPr>
              <w:fldChar w:fldCharType="end"/>
            </w:r>
          </w:hyperlink>
        </w:p>
        <w:p w:rsidR="00676731" w:rsidRPr="00990D3B" w14:paraId="3873F34F" w14:textId="5F268370">
          <w:pPr>
            <w:pStyle w:val="TOC2"/>
            <w:rPr>
              <w:rFonts w:asciiTheme="minorHAnsi" w:eastAsiaTheme="minorEastAsia" w:hAnsiTheme="minorHAnsi" w:cstheme="minorBidi"/>
              <w:kern w:val="2"/>
              <w:sz w:val="24"/>
              <w:szCs w:val="24"/>
              <w14:ligatures w14:val="standardContextual"/>
            </w:rPr>
          </w:pPr>
          <w:hyperlink w:anchor="_Toc201751459" w:history="1">
            <w:r w:rsidRPr="00990D3B">
              <w:rPr>
                <w:rStyle w:val="Hyperlink"/>
              </w:rPr>
              <w:t>Worksheets for Protocol 11: Evaluation Support Tools</w:t>
            </w:r>
            <w:r w:rsidRPr="00990D3B">
              <w:rPr>
                <w:webHidden/>
              </w:rPr>
              <w:tab/>
            </w:r>
            <w:r w:rsidRPr="00990D3B">
              <w:rPr>
                <w:webHidden/>
              </w:rPr>
              <w:fldChar w:fldCharType="begin"/>
            </w:r>
            <w:r w:rsidRPr="00990D3B">
              <w:rPr>
                <w:webHidden/>
              </w:rPr>
              <w:instrText xml:space="preserve"> PAGEREF _Toc201751459 \h </w:instrText>
            </w:r>
            <w:r w:rsidRPr="00990D3B">
              <w:rPr>
                <w:webHidden/>
              </w:rPr>
              <w:fldChar w:fldCharType="separate"/>
            </w:r>
            <w:r w:rsidRPr="00990D3B">
              <w:rPr>
                <w:webHidden/>
              </w:rPr>
              <w:t>423</w:t>
            </w:r>
            <w:r w:rsidRPr="00990D3B">
              <w:rPr>
                <w:webHidden/>
              </w:rPr>
              <w:fldChar w:fldCharType="end"/>
            </w:r>
          </w:hyperlink>
        </w:p>
        <w:p w:rsidR="00676731" w:rsidRPr="00990D3B" w14:paraId="5349F18B" w14:textId="568AB092">
          <w:pPr>
            <w:pStyle w:val="TOC1"/>
            <w:rPr>
              <w:rFonts w:asciiTheme="minorHAnsi" w:eastAsiaTheme="minorEastAsia" w:hAnsiTheme="minorHAnsi" w:cstheme="minorBidi"/>
              <w:kern w:val="2"/>
              <w:sz w:val="24"/>
              <w:szCs w:val="24"/>
              <w14:ligatures w14:val="standardContextual"/>
            </w:rPr>
          </w:pPr>
          <w:hyperlink w:anchor="_Toc201751460" w:history="1">
            <w:r w:rsidRPr="00990D3B">
              <w:rPr>
                <w:rStyle w:val="Hyperlink"/>
              </w:rPr>
              <w:t>Appendix A. EQR Reporting Tools</w:t>
            </w:r>
            <w:r w:rsidRPr="00990D3B">
              <w:rPr>
                <w:webHidden/>
              </w:rPr>
              <w:tab/>
              <w:t>A.</w:t>
            </w:r>
            <w:r w:rsidRPr="00990D3B">
              <w:rPr>
                <w:webHidden/>
              </w:rPr>
              <w:fldChar w:fldCharType="begin"/>
            </w:r>
            <w:r w:rsidRPr="00990D3B">
              <w:rPr>
                <w:webHidden/>
              </w:rPr>
              <w:instrText xml:space="preserve"> PAGEREF _Toc201751460 \h </w:instrText>
            </w:r>
            <w:r w:rsidRPr="00990D3B">
              <w:rPr>
                <w:webHidden/>
              </w:rPr>
              <w:fldChar w:fldCharType="separate"/>
            </w:r>
            <w:r w:rsidRPr="00990D3B">
              <w:rPr>
                <w:webHidden/>
              </w:rPr>
              <w:t>1</w:t>
            </w:r>
            <w:r w:rsidRPr="00990D3B">
              <w:rPr>
                <w:webHidden/>
              </w:rPr>
              <w:fldChar w:fldCharType="end"/>
            </w:r>
          </w:hyperlink>
        </w:p>
        <w:p w:rsidR="00676731" w:rsidRPr="00990D3B" w14:paraId="56C44526" w14:textId="47CBADEC">
          <w:pPr>
            <w:pStyle w:val="TOC2"/>
            <w:rPr>
              <w:rFonts w:asciiTheme="minorHAnsi" w:eastAsiaTheme="minorEastAsia" w:hAnsiTheme="minorHAnsi" w:cstheme="minorBidi"/>
              <w:kern w:val="2"/>
              <w:sz w:val="24"/>
              <w:szCs w:val="24"/>
              <w14:ligatures w14:val="standardContextual"/>
            </w:rPr>
          </w:pPr>
          <w:hyperlink w:anchor="_Toc201751461" w:history="1">
            <w:r w:rsidRPr="00990D3B">
              <w:rPr>
                <w:rStyle w:val="Hyperlink"/>
              </w:rPr>
              <w:t>Worksheets for Appendix A</w:t>
            </w:r>
            <w:r w:rsidRPr="00990D3B">
              <w:rPr>
                <w:webHidden/>
              </w:rPr>
              <w:tab/>
              <w:t>A.</w:t>
            </w:r>
            <w:r w:rsidRPr="00990D3B">
              <w:rPr>
                <w:webHidden/>
              </w:rPr>
              <w:fldChar w:fldCharType="begin"/>
            </w:r>
            <w:r w:rsidRPr="00990D3B">
              <w:rPr>
                <w:webHidden/>
              </w:rPr>
              <w:instrText xml:space="preserve"> PAGEREF _Toc201751461 \h </w:instrText>
            </w:r>
            <w:r w:rsidRPr="00990D3B">
              <w:rPr>
                <w:webHidden/>
              </w:rPr>
              <w:fldChar w:fldCharType="separate"/>
            </w:r>
            <w:r w:rsidRPr="00990D3B">
              <w:rPr>
                <w:webHidden/>
              </w:rPr>
              <w:t>2</w:t>
            </w:r>
            <w:r w:rsidRPr="00990D3B">
              <w:rPr>
                <w:webHidden/>
              </w:rPr>
              <w:fldChar w:fldCharType="end"/>
            </w:r>
          </w:hyperlink>
        </w:p>
        <w:p w:rsidR="00676731" w:rsidRPr="00990D3B" w14:paraId="429DB2F9" w14:textId="774EC839">
          <w:pPr>
            <w:pStyle w:val="TOC1"/>
            <w:rPr>
              <w:rFonts w:asciiTheme="minorHAnsi" w:eastAsiaTheme="minorEastAsia" w:hAnsiTheme="minorHAnsi" w:cstheme="minorBidi"/>
              <w:kern w:val="2"/>
              <w:sz w:val="24"/>
              <w:szCs w:val="24"/>
              <w14:ligatures w14:val="standardContextual"/>
            </w:rPr>
          </w:pPr>
          <w:hyperlink w:anchor="_Toc201751462" w:history="1">
            <w:r w:rsidRPr="00990D3B">
              <w:rPr>
                <w:rStyle w:val="Hyperlink"/>
              </w:rPr>
              <w:t>Appendix B. Information Systems Capabilities Assessment</w:t>
            </w:r>
            <w:r w:rsidRPr="00990D3B">
              <w:rPr>
                <w:webHidden/>
              </w:rPr>
              <w:tab/>
              <w:t>B.</w:t>
            </w:r>
            <w:r w:rsidRPr="00990D3B">
              <w:rPr>
                <w:webHidden/>
              </w:rPr>
              <w:fldChar w:fldCharType="begin"/>
            </w:r>
            <w:r w:rsidRPr="00990D3B">
              <w:rPr>
                <w:webHidden/>
              </w:rPr>
              <w:instrText xml:space="preserve"> PAGEREF _Toc201751462 \h </w:instrText>
            </w:r>
            <w:r w:rsidRPr="00990D3B">
              <w:rPr>
                <w:webHidden/>
              </w:rPr>
              <w:fldChar w:fldCharType="separate"/>
            </w:r>
            <w:r w:rsidRPr="00990D3B">
              <w:rPr>
                <w:webHidden/>
              </w:rPr>
              <w:t>1</w:t>
            </w:r>
            <w:r w:rsidRPr="00990D3B">
              <w:rPr>
                <w:webHidden/>
              </w:rPr>
              <w:fldChar w:fldCharType="end"/>
            </w:r>
          </w:hyperlink>
        </w:p>
        <w:p w:rsidR="00676731" w:rsidRPr="00990D3B" w14:paraId="36E7D113" w14:textId="314CFA0D">
          <w:pPr>
            <w:pStyle w:val="TOC2"/>
            <w:rPr>
              <w:rFonts w:asciiTheme="minorHAnsi" w:eastAsiaTheme="minorEastAsia" w:hAnsiTheme="minorHAnsi" w:cstheme="minorBidi"/>
              <w:kern w:val="2"/>
              <w:sz w:val="24"/>
              <w:szCs w:val="24"/>
              <w14:ligatures w14:val="standardContextual"/>
            </w:rPr>
          </w:pPr>
          <w:hyperlink w:anchor="_Toc201751463" w:history="1">
            <w:r w:rsidRPr="00990D3B">
              <w:rPr>
                <w:rStyle w:val="Hyperlink"/>
              </w:rPr>
              <w:t>Background</w:t>
            </w:r>
            <w:r w:rsidRPr="00990D3B">
              <w:rPr>
                <w:webHidden/>
              </w:rPr>
              <w:tab/>
              <w:t>B.</w:t>
            </w:r>
            <w:r w:rsidRPr="00990D3B">
              <w:rPr>
                <w:webHidden/>
              </w:rPr>
              <w:fldChar w:fldCharType="begin"/>
            </w:r>
            <w:r w:rsidRPr="00990D3B">
              <w:rPr>
                <w:webHidden/>
              </w:rPr>
              <w:instrText xml:space="preserve"> PAGEREF _Toc201751463 \h </w:instrText>
            </w:r>
            <w:r w:rsidRPr="00990D3B">
              <w:rPr>
                <w:webHidden/>
              </w:rPr>
              <w:fldChar w:fldCharType="separate"/>
            </w:r>
            <w:r w:rsidRPr="00990D3B">
              <w:rPr>
                <w:webHidden/>
              </w:rPr>
              <w:t>1</w:t>
            </w:r>
            <w:r w:rsidRPr="00990D3B">
              <w:rPr>
                <w:webHidden/>
              </w:rPr>
              <w:fldChar w:fldCharType="end"/>
            </w:r>
          </w:hyperlink>
        </w:p>
        <w:p w:rsidR="00676731" w:rsidRPr="00990D3B" w14:paraId="764C9ED7" w14:textId="2EEA0D39">
          <w:pPr>
            <w:pStyle w:val="TOC2"/>
            <w:rPr>
              <w:rFonts w:asciiTheme="minorHAnsi" w:eastAsiaTheme="minorEastAsia" w:hAnsiTheme="minorHAnsi" w:cstheme="minorBidi"/>
              <w:kern w:val="2"/>
              <w:sz w:val="24"/>
              <w:szCs w:val="24"/>
              <w14:ligatures w14:val="standardContextual"/>
            </w:rPr>
          </w:pPr>
          <w:hyperlink w:anchor="_Toc201751464" w:history="1">
            <w:r w:rsidRPr="00990D3B">
              <w:rPr>
                <w:rStyle w:val="Hyperlink"/>
              </w:rPr>
              <w:t>Getting Started on the ISCA</w:t>
            </w:r>
            <w:r w:rsidRPr="00990D3B">
              <w:rPr>
                <w:webHidden/>
              </w:rPr>
              <w:tab/>
              <w:t>B.</w:t>
            </w:r>
            <w:r w:rsidRPr="00990D3B">
              <w:rPr>
                <w:webHidden/>
              </w:rPr>
              <w:fldChar w:fldCharType="begin"/>
            </w:r>
            <w:r w:rsidRPr="00990D3B">
              <w:rPr>
                <w:webHidden/>
              </w:rPr>
              <w:instrText xml:space="preserve"> PAGEREF _Toc201751464 \h </w:instrText>
            </w:r>
            <w:r w:rsidRPr="00990D3B">
              <w:rPr>
                <w:webHidden/>
              </w:rPr>
              <w:fldChar w:fldCharType="separate"/>
            </w:r>
            <w:r w:rsidRPr="00990D3B">
              <w:rPr>
                <w:webHidden/>
              </w:rPr>
              <w:t>4</w:t>
            </w:r>
            <w:r w:rsidRPr="00990D3B">
              <w:rPr>
                <w:webHidden/>
              </w:rPr>
              <w:fldChar w:fldCharType="end"/>
            </w:r>
          </w:hyperlink>
        </w:p>
        <w:p w:rsidR="00676731" w:rsidRPr="00990D3B" w14:paraId="74768F3F" w14:textId="70CC302B">
          <w:pPr>
            <w:pStyle w:val="TOC2"/>
            <w:rPr>
              <w:rFonts w:asciiTheme="minorHAnsi" w:eastAsiaTheme="minorEastAsia" w:hAnsiTheme="minorHAnsi" w:cstheme="minorBidi"/>
              <w:kern w:val="2"/>
              <w:sz w:val="24"/>
              <w:szCs w:val="24"/>
              <w14:ligatures w14:val="standardContextual"/>
            </w:rPr>
          </w:pPr>
          <w:hyperlink w:anchor="_Toc201751465" w:history="1">
            <w:r w:rsidRPr="00990D3B">
              <w:rPr>
                <w:rStyle w:val="Hyperlink"/>
              </w:rPr>
              <w:t>Activity 1: MCP Completes the ISCA Tool</w:t>
            </w:r>
            <w:r w:rsidRPr="00990D3B">
              <w:rPr>
                <w:webHidden/>
              </w:rPr>
              <w:tab/>
              <w:t>B.</w:t>
            </w:r>
            <w:r w:rsidRPr="00990D3B">
              <w:rPr>
                <w:webHidden/>
              </w:rPr>
              <w:fldChar w:fldCharType="begin"/>
            </w:r>
            <w:r w:rsidRPr="00990D3B">
              <w:rPr>
                <w:webHidden/>
              </w:rPr>
              <w:instrText xml:space="preserve"> PAGEREF _Toc201751465 \h </w:instrText>
            </w:r>
            <w:r w:rsidRPr="00990D3B">
              <w:rPr>
                <w:webHidden/>
              </w:rPr>
              <w:fldChar w:fldCharType="separate"/>
            </w:r>
            <w:r w:rsidRPr="00990D3B">
              <w:rPr>
                <w:webHidden/>
              </w:rPr>
              <w:t>5</w:t>
            </w:r>
            <w:r w:rsidRPr="00990D3B">
              <w:rPr>
                <w:webHidden/>
              </w:rPr>
              <w:fldChar w:fldCharType="end"/>
            </w:r>
          </w:hyperlink>
        </w:p>
        <w:p w:rsidR="00676731" w:rsidRPr="00990D3B" w14:paraId="03624885" w14:textId="7470A5A3">
          <w:pPr>
            <w:pStyle w:val="TOC2"/>
            <w:rPr>
              <w:rFonts w:asciiTheme="minorHAnsi" w:eastAsiaTheme="minorEastAsia" w:hAnsiTheme="minorHAnsi" w:cstheme="minorBidi"/>
              <w:kern w:val="2"/>
              <w:sz w:val="24"/>
              <w:szCs w:val="24"/>
              <w14:ligatures w14:val="standardContextual"/>
            </w:rPr>
          </w:pPr>
          <w:hyperlink w:anchor="_Toc201751466" w:history="1">
            <w:r w:rsidRPr="00990D3B">
              <w:rPr>
                <w:rStyle w:val="Hyperlink"/>
              </w:rPr>
              <w:t>Activity 2: Perform Preliminary ISCA Review</w:t>
            </w:r>
            <w:r w:rsidRPr="00990D3B">
              <w:rPr>
                <w:webHidden/>
              </w:rPr>
              <w:tab/>
              <w:t>B.</w:t>
            </w:r>
            <w:r w:rsidRPr="00990D3B">
              <w:rPr>
                <w:webHidden/>
              </w:rPr>
              <w:fldChar w:fldCharType="begin"/>
            </w:r>
            <w:r w:rsidRPr="00990D3B">
              <w:rPr>
                <w:webHidden/>
              </w:rPr>
              <w:instrText xml:space="preserve"> PAGEREF _Toc201751466 \h </w:instrText>
            </w:r>
            <w:r w:rsidRPr="00990D3B">
              <w:rPr>
                <w:webHidden/>
              </w:rPr>
              <w:fldChar w:fldCharType="separate"/>
            </w:r>
            <w:r w:rsidRPr="00990D3B">
              <w:rPr>
                <w:webHidden/>
              </w:rPr>
              <w:t>5</w:t>
            </w:r>
            <w:r w:rsidRPr="00990D3B">
              <w:rPr>
                <w:webHidden/>
              </w:rPr>
              <w:fldChar w:fldCharType="end"/>
            </w:r>
          </w:hyperlink>
        </w:p>
        <w:p w:rsidR="00676731" w:rsidRPr="00990D3B" w14:paraId="6C84C7B1" w14:textId="208F53DB">
          <w:pPr>
            <w:pStyle w:val="TOC2"/>
            <w:rPr>
              <w:rFonts w:asciiTheme="minorHAnsi" w:eastAsiaTheme="minorEastAsia" w:hAnsiTheme="minorHAnsi" w:cstheme="minorBidi"/>
              <w:kern w:val="2"/>
              <w:sz w:val="24"/>
              <w:szCs w:val="24"/>
              <w14:ligatures w14:val="standardContextual"/>
            </w:rPr>
          </w:pPr>
          <w:hyperlink w:anchor="_Toc201751467" w:history="1">
            <w:r w:rsidRPr="00990D3B">
              <w:rPr>
                <w:rStyle w:val="Hyperlink"/>
              </w:rPr>
              <w:t>Activity 3: Conduct MCP Site Visit</w:t>
            </w:r>
            <w:r w:rsidRPr="00990D3B">
              <w:rPr>
                <w:webHidden/>
              </w:rPr>
              <w:tab/>
              <w:t>B.</w:t>
            </w:r>
            <w:r w:rsidRPr="00990D3B">
              <w:rPr>
                <w:webHidden/>
              </w:rPr>
              <w:fldChar w:fldCharType="begin"/>
            </w:r>
            <w:r w:rsidRPr="00990D3B">
              <w:rPr>
                <w:webHidden/>
              </w:rPr>
              <w:instrText xml:space="preserve"> PAGEREF _Toc201751467 \h </w:instrText>
            </w:r>
            <w:r w:rsidRPr="00990D3B">
              <w:rPr>
                <w:webHidden/>
              </w:rPr>
              <w:fldChar w:fldCharType="separate"/>
            </w:r>
            <w:r w:rsidRPr="00990D3B">
              <w:rPr>
                <w:webHidden/>
              </w:rPr>
              <w:t>6</w:t>
            </w:r>
            <w:r w:rsidRPr="00990D3B">
              <w:rPr>
                <w:webHidden/>
              </w:rPr>
              <w:fldChar w:fldCharType="end"/>
            </w:r>
          </w:hyperlink>
        </w:p>
        <w:p w:rsidR="00676731" w:rsidRPr="00990D3B" w14:paraId="3CEDC60A" w14:textId="3590B2EE">
          <w:pPr>
            <w:pStyle w:val="TOC2"/>
            <w:rPr>
              <w:rFonts w:asciiTheme="minorHAnsi" w:eastAsiaTheme="minorEastAsia" w:hAnsiTheme="minorHAnsi" w:cstheme="minorBidi"/>
              <w:kern w:val="2"/>
              <w:sz w:val="24"/>
              <w:szCs w:val="24"/>
              <w14:ligatures w14:val="standardContextual"/>
            </w:rPr>
          </w:pPr>
          <w:hyperlink w:anchor="_Toc201751468" w:history="1">
            <w:r w:rsidRPr="00990D3B">
              <w:rPr>
                <w:rStyle w:val="Hyperlink"/>
              </w:rPr>
              <w:t>Activity 4: Compile and Analyze ISCA Findings</w:t>
            </w:r>
            <w:r w:rsidRPr="00990D3B">
              <w:rPr>
                <w:webHidden/>
              </w:rPr>
              <w:tab/>
              <w:t>B.</w:t>
            </w:r>
            <w:r w:rsidRPr="00990D3B">
              <w:rPr>
                <w:webHidden/>
              </w:rPr>
              <w:fldChar w:fldCharType="begin"/>
            </w:r>
            <w:r w:rsidRPr="00990D3B">
              <w:rPr>
                <w:webHidden/>
              </w:rPr>
              <w:instrText xml:space="preserve"> PAGEREF _Toc201751468 \h </w:instrText>
            </w:r>
            <w:r w:rsidRPr="00990D3B">
              <w:rPr>
                <w:webHidden/>
              </w:rPr>
              <w:fldChar w:fldCharType="separate"/>
            </w:r>
            <w:r w:rsidRPr="00990D3B">
              <w:rPr>
                <w:webHidden/>
              </w:rPr>
              <w:t>6</w:t>
            </w:r>
            <w:r w:rsidRPr="00990D3B">
              <w:rPr>
                <w:webHidden/>
              </w:rPr>
              <w:fldChar w:fldCharType="end"/>
            </w:r>
          </w:hyperlink>
        </w:p>
        <w:p w:rsidR="00676731" w:rsidRPr="00990D3B" w14:paraId="08D3477A" w14:textId="0B2D1B0C">
          <w:pPr>
            <w:pStyle w:val="TOC2"/>
            <w:rPr>
              <w:rFonts w:asciiTheme="minorHAnsi" w:eastAsiaTheme="minorEastAsia" w:hAnsiTheme="minorHAnsi" w:cstheme="minorBidi"/>
              <w:kern w:val="2"/>
              <w:sz w:val="24"/>
              <w:szCs w:val="24"/>
              <w14:ligatures w14:val="standardContextual"/>
            </w:rPr>
          </w:pPr>
          <w:hyperlink w:anchor="_Toc201751469" w:history="1">
            <w:r w:rsidRPr="00990D3B">
              <w:rPr>
                <w:rStyle w:val="Hyperlink"/>
              </w:rPr>
              <w:t>Activity 5: Draft ISCA Summary for EQR Technical Report</w:t>
            </w:r>
            <w:r w:rsidRPr="00990D3B">
              <w:rPr>
                <w:webHidden/>
              </w:rPr>
              <w:tab/>
              <w:t>B.</w:t>
            </w:r>
            <w:r w:rsidRPr="00990D3B">
              <w:rPr>
                <w:webHidden/>
              </w:rPr>
              <w:fldChar w:fldCharType="begin"/>
            </w:r>
            <w:r w:rsidRPr="00990D3B">
              <w:rPr>
                <w:webHidden/>
              </w:rPr>
              <w:instrText xml:space="preserve"> PAGEREF _Toc201751469 \h </w:instrText>
            </w:r>
            <w:r w:rsidRPr="00990D3B">
              <w:rPr>
                <w:webHidden/>
              </w:rPr>
              <w:fldChar w:fldCharType="separate"/>
            </w:r>
            <w:r w:rsidRPr="00990D3B">
              <w:rPr>
                <w:webHidden/>
              </w:rPr>
              <w:t>7</w:t>
            </w:r>
            <w:r w:rsidRPr="00990D3B">
              <w:rPr>
                <w:webHidden/>
              </w:rPr>
              <w:fldChar w:fldCharType="end"/>
            </w:r>
          </w:hyperlink>
        </w:p>
        <w:p w:rsidR="00676731" w:rsidRPr="00990D3B" w14:paraId="2C69BEA1" w14:textId="5C7352E1">
          <w:pPr>
            <w:pStyle w:val="TOC2"/>
            <w:rPr>
              <w:rFonts w:asciiTheme="minorHAnsi" w:eastAsiaTheme="minorEastAsia" w:hAnsiTheme="minorHAnsi" w:cstheme="minorBidi"/>
              <w:kern w:val="2"/>
              <w:sz w:val="24"/>
              <w:szCs w:val="24"/>
              <w14:ligatures w14:val="standardContextual"/>
            </w:rPr>
          </w:pPr>
          <w:hyperlink w:anchor="_Toc201751470" w:history="1">
            <w:r w:rsidRPr="00990D3B">
              <w:rPr>
                <w:rStyle w:val="Hyperlink"/>
              </w:rPr>
              <w:t>Worksheets for Appendix B</w:t>
            </w:r>
            <w:r w:rsidRPr="00990D3B">
              <w:rPr>
                <w:webHidden/>
              </w:rPr>
              <w:tab/>
              <w:t>B.</w:t>
            </w:r>
            <w:r w:rsidRPr="00990D3B">
              <w:rPr>
                <w:webHidden/>
              </w:rPr>
              <w:fldChar w:fldCharType="begin"/>
            </w:r>
            <w:r w:rsidRPr="00990D3B">
              <w:rPr>
                <w:webHidden/>
              </w:rPr>
              <w:instrText xml:space="preserve"> PAGEREF _Toc201751470 \h </w:instrText>
            </w:r>
            <w:r w:rsidRPr="00990D3B">
              <w:rPr>
                <w:webHidden/>
              </w:rPr>
              <w:fldChar w:fldCharType="separate"/>
            </w:r>
            <w:r w:rsidRPr="00990D3B">
              <w:rPr>
                <w:webHidden/>
              </w:rPr>
              <w:t>9</w:t>
            </w:r>
            <w:r w:rsidRPr="00990D3B">
              <w:rPr>
                <w:webHidden/>
              </w:rPr>
              <w:fldChar w:fldCharType="end"/>
            </w:r>
          </w:hyperlink>
        </w:p>
        <w:p w:rsidR="00676731" w:rsidRPr="00990D3B" w14:paraId="6FC2FFE0" w14:textId="5015C6FE">
          <w:pPr>
            <w:pStyle w:val="TOC1"/>
            <w:rPr>
              <w:rFonts w:asciiTheme="minorHAnsi" w:eastAsiaTheme="minorEastAsia" w:hAnsiTheme="minorHAnsi" w:cstheme="minorBidi"/>
              <w:kern w:val="2"/>
              <w:sz w:val="24"/>
              <w:szCs w:val="24"/>
              <w14:ligatures w14:val="standardContextual"/>
            </w:rPr>
          </w:pPr>
          <w:hyperlink w:anchor="_Toc201751471" w:history="1">
            <w:r w:rsidRPr="00990D3B">
              <w:rPr>
                <w:rStyle w:val="Hyperlink"/>
              </w:rPr>
              <w:t>Appendix C. Sampling Approaches for EQR Data Collection Activities</w:t>
            </w:r>
            <w:r w:rsidRPr="00990D3B">
              <w:rPr>
                <w:webHidden/>
              </w:rPr>
              <w:tab/>
              <w:t>C.</w:t>
            </w:r>
            <w:r w:rsidRPr="00990D3B">
              <w:rPr>
                <w:webHidden/>
              </w:rPr>
              <w:fldChar w:fldCharType="begin"/>
            </w:r>
            <w:r w:rsidRPr="00990D3B">
              <w:rPr>
                <w:webHidden/>
              </w:rPr>
              <w:instrText xml:space="preserve"> PAGEREF _Toc201751471 \h </w:instrText>
            </w:r>
            <w:r w:rsidRPr="00990D3B">
              <w:rPr>
                <w:webHidden/>
              </w:rPr>
              <w:fldChar w:fldCharType="separate"/>
            </w:r>
            <w:r w:rsidRPr="00990D3B">
              <w:rPr>
                <w:webHidden/>
              </w:rPr>
              <w:t>1</w:t>
            </w:r>
            <w:r w:rsidRPr="00990D3B">
              <w:rPr>
                <w:webHidden/>
              </w:rPr>
              <w:fldChar w:fldCharType="end"/>
            </w:r>
          </w:hyperlink>
        </w:p>
        <w:p w:rsidR="00676731" w:rsidRPr="00990D3B" w14:paraId="26DF28F7" w14:textId="53073625">
          <w:pPr>
            <w:pStyle w:val="TOC2"/>
            <w:rPr>
              <w:rFonts w:asciiTheme="minorHAnsi" w:eastAsiaTheme="minorEastAsia" w:hAnsiTheme="minorHAnsi" w:cstheme="minorBidi"/>
              <w:kern w:val="2"/>
              <w:sz w:val="24"/>
              <w:szCs w:val="24"/>
              <w14:ligatures w14:val="standardContextual"/>
            </w:rPr>
          </w:pPr>
          <w:hyperlink w:anchor="_Toc201751472" w:history="1">
            <w:r w:rsidRPr="00990D3B">
              <w:rPr>
                <w:rStyle w:val="Hyperlink"/>
              </w:rPr>
              <w:t>Background</w:t>
            </w:r>
            <w:r w:rsidRPr="00990D3B">
              <w:rPr>
                <w:webHidden/>
              </w:rPr>
              <w:tab/>
              <w:t>C.</w:t>
            </w:r>
            <w:r w:rsidRPr="00990D3B">
              <w:rPr>
                <w:webHidden/>
              </w:rPr>
              <w:fldChar w:fldCharType="begin"/>
            </w:r>
            <w:r w:rsidRPr="00990D3B">
              <w:rPr>
                <w:webHidden/>
              </w:rPr>
              <w:instrText xml:space="preserve"> PAGEREF _Toc201751472 \h </w:instrText>
            </w:r>
            <w:r w:rsidRPr="00990D3B">
              <w:rPr>
                <w:webHidden/>
              </w:rPr>
              <w:fldChar w:fldCharType="separate"/>
            </w:r>
            <w:r w:rsidRPr="00990D3B">
              <w:rPr>
                <w:webHidden/>
              </w:rPr>
              <w:t>1</w:t>
            </w:r>
            <w:r w:rsidRPr="00990D3B">
              <w:rPr>
                <w:webHidden/>
              </w:rPr>
              <w:fldChar w:fldCharType="end"/>
            </w:r>
          </w:hyperlink>
        </w:p>
        <w:p w:rsidR="00676731" w:rsidRPr="00990D3B" w14:paraId="5A33577B" w14:textId="56B5035B">
          <w:pPr>
            <w:pStyle w:val="TOC2"/>
            <w:rPr>
              <w:rFonts w:asciiTheme="minorHAnsi" w:eastAsiaTheme="minorEastAsia" w:hAnsiTheme="minorHAnsi" w:cstheme="minorBidi"/>
              <w:kern w:val="2"/>
              <w:sz w:val="24"/>
              <w:szCs w:val="24"/>
              <w14:ligatures w14:val="standardContextual"/>
            </w:rPr>
          </w:pPr>
          <w:hyperlink w:anchor="_Toc201751473" w:history="1">
            <w:r w:rsidRPr="00990D3B">
              <w:rPr>
                <w:rStyle w:val="Hyperlink"/>
              </w:rPr>
              <w:t>Types of Sampling Approaches</w:t>
            </w:r>
            <w:r w:rsidRPr="00990D3B">
              <w:rPr>
                <w:webHidden/>
              </w:rPr>
              <w:tab/>
              <w:t>C.</w:t>
            </w:r>
            <w:r w:rsidRPr="00990D3B">
              <w:rPr>
                <w:webHidden/>
              </w:rPr>
              <w:fldChar w:fldCharType="begin"/>
            </w:r>
            <w:r w:rsidRPr="00990D3B">
              <w:rPr>
                <w:webHidden/>
              </w:rPr>
              <w:instrText xml:space="preserve"> PAGEREF _Toc201751473 \h </w:instrText>
            </w:r>
            <w:r w:rsidRPr="00990D3B">
              <w:rPr>
                <w:webHidden/>
              </w:rPr>
              <w:fldChar w:fldCharType="separate"/>
            </w:r>
            <w:r w:rsidRPr="00990D3B">
              <w:rPr>
                <w:webHidden/>
              </w:rPr>
              <w:t>1</w:t>
            </w:r>
            <w:r w:rsidRPr="00990D3B">
              <w:rPr>
                <w:webHidden/>
              </w:rPr>
              <w:fldChar w:fldCharType="end"/>
            </w:r>
          </w:hyperlink>
        </w:p>
        <w:p w:rsidR="00676731" w:rsidRPr="00990D3B" w14:paraId="7EAFFC05" w14:textId="794E92B2">
          <w:pPr>
            <w:pStyle w:val="TOC2"/>
            <w:rPr>
              <w:rFonts w:asciiTheme="minorHAnsi" w:eastAsiaTheme="minorEastAsia" w:hAnsiTheme="minorHAnsi" w:cstheme="minorBidi"/>
              <w:kern w:val="2"/>
              <w:sz w:val="24"/>
              <w:szCs w:val="24"/>
              <w14:ligatures w14:val="standardContextual"/>
            </w:rPr>
          </w:pPr>
          <w:hyperlink w:anchor="_Toc201751474" w:history="1">
            <w:r w:rsidRPr="00990D3B">
              <w:rPr>
                <w:rStyle w:val="Hyperlink"/>
              </w:rPr>
              <w:t>Calculating Minimum Sample Sizes for EQR Data Collection Activities</w:t>
            </w:r>
            <w:r w:rsidRPr="00990D3B">
              <w:rPr>
                <w:webHidden/>
              </w:rPr>
              <w:tab/>
              <w:t>C.</w:t>
            </w:r>
            <w:r w:rsidRPr="00990D3B">
              <w:rPr>
                <w:webHidden/>
              </w:rPr>
              <w:fldChar w:fldCharType="begin"/>
            </w:r>
            <w:r w:rsidRPr="00990D3B">
              <w:rPr>
                <w:webHidden/>
              </w:rPr>
              <w:instrText xml:space="preserve"> PAGEREF _Toc201751474 \h </w:instrText>
            </w:r>
            <w:r w:rsidRPr="00990D3B">
              <w:rPr>
                <w:webHidden/>
              </w:rPr>
              <w:fldChar w:fldCharType="separate"/>
            </w:r>
            <w:r w:rsidRPr="00990D3B">
              <w:rPr>
                <w:webHidden/>
              </w:rPr>
              <w:t>3</w:t>
            </w:r>
            <w:r w:rsidRPr="00990D3B">
              <w:rPr>
                <w:webHidden/>
              </w:rPr>
              <w:fldChar w:fldCharType="end"/>
            </w:r>
          </w:hyperlink>
        </w:p>
        <w:p w:rsidR="00676731" w:rsidRPr="00990D3B" w14:paraId="40645310" w14:textId="565EB24B">
          <w:pPr>
            <w:pStyle w:val="TOC2"/>
            <w:rPr>
              <w:rFonts w:asciiTheme="minorHAnsi" w:eastAsiaTheme="minorEastAsia" w:hAnsiTheme="minorHAnsi" w:cstheme="minorBidi"/>
              <w:kern w:val="2"/>
              <w:sz w:val="24"/>
              <w:szCs w:val="24"/>
              <w14:ligatures w14:val="standardContextual"/>
            </w:rPr>
          </w:pPr>
          <w:hyperlink w:anchor="_Toc201751475" w:history="1">
            <w:r w:rsidRPr="00990D3B">
              <w:rPr>
                <w:rStyle w:val="Hyperlink"/>
              </w:rPr>
              <w:t>Documenting Sampling Methods for EQR Data Collection Activities</w:t>
            </w:r>
            <w:r w:rsidRPr="00990D3B">
              <w:rPr>
                <w:webHidden/>
              </w:rPr>
              <w:tab/>
              <w:t>C.</w:t>
            </w:r>
            <w:r w:rsidRPr="00990D3B">
              <w:rPr>
                <w:webHidden/>
              </w:rPr>
              <w:fldChar w:fldCharType="begin"/>
            </w:r>
            <w:r w:rsidRPr="00990D3B">
              <w:rPr>
                <w:webHidden/>
              </w:rPr>
              <w:instrText xml:space="preserve"> PAGEREF _Toc201751475 \h </w:instrText>
            </w:r>
            <w:r w:rsidRPr="00990D3B">
              <w:rPr>
                <w:webHidden/>
              </w:rPr>
              <w:fldChar w:fldCharType="separate"/>
            </w:r>
            <w:r w:rsidRPr="00990D3B">
              <w:rPr>
                <w:webHidden/>
              </w:rPr>
              <w:t>5</w:t>
            </w:r>
            <w:r w:rsidRPr="00990D3B">
              <w:rPr>
                <w:webHidden/>
              </w:rPr>
              <w:fldChar w:fldCharType="end"/>
            </w:r>
          </w:hyperlink>
        </w:p>
        <w:p w:rsidR="00676731" w:rsidRPr="00990D3B" w14:paraId="63D36168" w14:textId="12148B98">
          <w:pPr>
            <w:pStyle w:val="TOC1"/>
            <w:rPr>
              <w:rFonts w:asciiTheme="minorHAnsi" w:eastAsiaTheme="minorEastAsia" w:hAnsiTheme="minorHAnsi" w:cstheme="minorBidi"/>
              <w:kern w:val="2"/>
              <w:sz w:val="24"/>
              <w:szCs w:val="24"/>
              <w14:ligatures w14:val="standardContextual"/>
            </w:rPr>
          </w:pPr>
          <w:hyperlink w:anchor="_Toc201751476" w:history="1">
            <w:r w:rsidRPr="00990D3B">
              <w:rPr>
                <w:rStyle w:val="Hyperlink"/>
              </w:rPr>
              <w:t>Appendix D. Acronyms Used In the Protocols</w:t>
            </w:r>
            <w:r w:rsidRPr="00990D3B">
              <w:rPr>
                <w:webHidden/>
              </w:rPr>
              <w:tab/>
              <w:t>D.</w:t>
            </w:r>
            <w:r w:rsidRPr="00990D3B">
              <w:rPr>
                <w:webHidden/>
              </w:rPr>
              <w:fldChar w:fldCharType="begin"/>
            </w:r>
            <w:r w:rsidRPr="00990D3B">
              <w:rPr>
                <w:webHidden/>
              </w:rPr>
              <w:instrText xml:space="preserve"> PAGEREF _Toc201751476 \h </w:instrText>
            </w:r>
            <w:r w:rsidRPr="00990D3B">
              <w:rPr>
                <w:webHidden/>
              </w:rPr>
              <w:fldChar w:fldCharType="separate"/>
            </w:r>
            <w:r w:rsidRPr="00990D3B">
              <w:rPr>
                <w:webHidden/>
              </w:rPr>
              <w:t>1</w:t>
            </w:r>
            <w:r w:rsidRPr="00990D3B">
              <w:rPr>
                <w:webHidden/>
              </w:rPr>
              <w:fldChar w:fldCharType="end"/>
            </w:r>
          </w:hyperlink>
        </w:p>
        <w:p w:rsidR="00676731" w:rsidRPr="00990D3B" w14:paraId="3F4CAF65" w14:textId="4C403AD6">
          <w:pPr>
            <w:pStyle w:val="TOC1"/>
            <w:rPr>
              <w:rFonts w:asciiTheme="minorHAnsi" w:eastAsiaTheme="minorEastAsia" w:hAnsiTheme="minorHAnsi" w:cstheme="minorBidi"/>
              <w:kern w:val="2"/>
              <w:sz w:val="24"/>
              <w:szCs w:val="24"/>
              <w14:ligatures w14:val="standardContextual"/>
            </w:rPr>
          </w:pPr>
          <w:hyperlink w:anchor="_Toc201751477" w:history="1">
            <w:r w:rsidRPr="00990D3B">
              <w:rPr>
                <w:rStyle w:val="Hyperlink"/>
              </w:rPr>
              <w:t>Appendix E. EQR Glossary of Terms</w:t>
            </w:r>
            <w:r w:rsidRPr="00990D3B">
              <w:rPr>
                <w:webHidden/>
              </w:rPr>
              <w:tab/>
              <w:t>E.</w:t>
            </w:r>
            <w:r w:rsidRPr="00990D3B">
              <w:rPr>
                <w:webHidden/>
              </w:rPr>
              <w:fldChar w:fldCharType="begin"/>
            </w:r>
            <w:r w:rsidRPr="00990D3B">
              <w:rPr>
                <w:webHidden/>
              </w:rPr>
              <w:instrText xml:space="preserve"> PAGEREF _Toc201751477 \h </w:instrText>
            </w:r>
            <w:r w:rsidRPr="00990D3B">
              <w:rPr>
                <w:webHidden/>
              </w:rPr>
              <w:fldChar w:fldCharType="separate"/>
            </w:r>
            <w:r w:rsidRPr="00990D3B">
              <w:rPr>
                <w:webHidden/>
              </w:rPr>
              <w:t>1</w:t>
            </w:r>
            <w:r w:rsidRPr="00990D3B">
              <w:rPr>
                <w:webHidden/>
              </w:rPr>
              <w:fldChar w:fldCharType="end"/>
            </w:r>
          </w:hyperlink>
        </w:p>
        <w:p w:rsidR="002C4D87" w:rsidRPr="00990D3B" w:rsidP="00615DD6" w14:paraId="46EB4AE8" w14:textId="7BF17CA5">
          <w:pPr>
            <w:pStyle w:val="TOC1"/>
          </w:pPr>
          <w:r w:rsidRPr="00990D3B">
            <w:rPr>
              <w:b/>
              <w:bCs/>
            </w:rPr>
            <w:fldChar w:fldCharType="end"/>
          </w:r>
        </w:p>
      </w:sdtContent>
    </w:sdt>
    <w:p w:rsidR="00F87037" w:rsidRPr="00990D3B" w14:paraId="6BB1191C" w14:textId="77777777">
      <w:pPr>
        <w:spacing w:line="240" w:lineRule="auto"/>
        <w:rPr>
          <w:rFonts w:ascii="Arial Black" w:hAnsi="Arial Black" w:eastAsiaTheme="majorEastAsia" w:cstheme="majorBidi"/>
          <w:b/>
          <w:color w:val="00559D" w:themeColor="text2"/>
          <w:sz w:val="28"/>
          <w:szCs w:val="32"/>
        </w:rPr>
      </w:pPr>
      <w:r w:rsidRPr="00990D3B">
        <w:br w:type="page"/>
      </w:r>
    </w:p>
    <w:p w:rsidR="00E439C7" w:rsidRPr="00990D3B" w:rsidP="00772A6E" w14:paraId="1E77488A" w14:textId="318C3A9B">
      <w:pPr>
        <w:pStyle w:val="TOCHeading"/>
      </w:pPr>
      <w:r w:rsidRPr="00990D3B">
        <w:t>Worksheets</w:t>
      </w:r>
    </w:p>
    <w:p w:rsidR="00676731" w:rsidRPr="00990D3B" w14:paraId="29B31FFA" w14:textId="554D13DC">
      <w:pPr>
        <w:pStyle w:val="TableofFigures"/>
        <w:rPr>
          <w:rFonts w:asciiTheme="minorHAnsi" w:eastAsiaTheme="minorEastAsia" w:hAnsiTheme="minorHAnsi" w:cstheme="minorBidi"/>
          <w:noProof/>
          <w:kern w:val="2"/>
          <w:sz w:val="24"/>
          <w:szCs w:val="24"/>
          <w14:ligatures w14:val="standardContextual"/>
        </w:rPr>
      </w:pPr>
      <w:r w:rsidRPr="00990D3B">
        <w:rPr>
          <w:rFonts w:asciiTheme="majorHAnsi" w:hAnsiTheme="majorHAnsi" w:cs="Arial"/>
        </w:rPr>
        <w:fldChar w:fldCharType="begin"/>
      </w:r>
      <w:r w:rsidRPr="00990D3B">
        <w:rPr>
          <w:rFonts w:asciiTheme="majorHAnsi" w:hAnsiTheme="majorHAnsi" w:cs="Arial"/>
        </w:rPr>
        <w:instrText xml:space="preserve"> TOC \h \z \t "EQR Mark for Exhibit WORKSHEET" \c </w:instrText>
      </w:r>
      <w:r w:rsidRPr="00990D3B">
        <w:rPr>
          <w:rFonts w:asciiTheme="majorHAnsi" w:hAnsiTheme="majorHAnsi" w:cs="Arial"/>
        </w:rPr>
        <w:fldChar w:fldCharType="separate"/>
      </w:r>
      <w:hyperlink w:anchor="_Toc201751478" w:history="1">
        <w:r w:rsidRPr="00990D3B">
          <w:rPr>
            <w:rStyle w:val="Hyperlink"/>
            <w:noProof/>
          </w:rPr>
          <w:t>Worksheet 1.1. Review the Selected PIP Topic</w:t>
        </w:r>
        <w:r w:rsidRPr="00990D3B">
          <w:rPr>
            <w:noProof/>
            <w:webHidden/>
          </w:rPr>
          <w:tab/>
        </w:r>
        <w:r w:rsidRPr="00990D3B">
          <w:rPr>
            <w:noProof/>
            <w:webHidden/>
          </w:rPr>
          <w:fldChar w:fldCharType="begin"/>
        </w:r>
        <w:r w:rsidRPr="00990D3B">
          <w:rPr>
            <w:noProof/>
            <w:webHidden/>
          </w:rPr>
          <w:instrText xml:space="preserve"> PAGEREF _Toc201751478 \h </w:instrText>
        </w:r>
        <w:r w:rsidRPr="00990D3B">
          <w:rPr>
            <w:noProof/>
            <w:webHidden/>
          </w:rPr>
          <w:fldChar w:fldCharType="separate"/>
        </w:r>
        <w:r w:rsidRPr="00990D3B">
          <w:rPr>
            <w:noProof/>
            <w:webHidden/>
          </w:rPr>
          <w:t>47</w:t>
        </w:r>
        <w:r w:rsidRPr="00990D3B">
          <w:rPr>
            <w:noProof/>
            <w:webHidden/>
          </w:rPr>
          <w:fldChar w:fldCharType="end"/>
        </w:r>
      </w:hyperlink>
    </w:p>
    <w:p w:rsidR="00676731" w:rsidRPr="00990D3B" w14:paraId="57DE7157" w14:textId="238D0BB2">
      <w:pPr>
        <w:pStyle w:val="TableofFigures"/>
        <w:rPr>
          <w:rFonts w:asciiTheme="minorHAnsi" w:eastAsiaTheme="minorEastAsia" w:hAnsiTheme="minorHAnsi" w:cstheme="minorBidi"/>
          <w:noProof/>
          <w:kern w:val="2"/>
          <w:sz w:val="24"/>
          <w:szCs w:val="24"/>
          <w14:ligatures w14:val="standardContextual"/>
        </w:rPr>
      </w:pPr>
      <w:hyperlink w:anchor="_Toc201751479" w:history="1">
        <w:r w:rsidRPr="00990D3B">
          <w:rPr>
            <w:rStyle w:val="Hyperlink"/>
            <w:noProof/>
          </w:rPr>
          <w:t>Worksheet 1.2. Review the PIP Aim Statement</w:t>
        </w:r>
        <w:r w:rsidRPr="00990D3B">
          <w:rPr>
            <w:noProof/>
            <w:webHidden/>
          </w:rPr>
          <w:tab/>
        </w:r>
        <w:r w:rsidRPr="00990D3B">
          <w:rPr>
            <w:noProof/>
            <w:webHidden/>
          </w:rPr>
          <w:fldChar w:fldCharType="begin"/>
        </w:r>
        <w:r w:rsidRPr="00990D3B">
          <w:rPr>
            <w:noProof/>
            <w:webHidden/>
          </w:rPr>
          <w:instrText xml:space="preserve"> PAGEREF _Toc201751479 \h </w:instrText>
        </w:r>
        <w:r w:rsidRPr="00990D3B">
          <w:rPr>
            <w:noProof/>
            <w:webHidden/>
          </w:rPr>
          <w:fldChar w:fldCharType="separate"/>
        </w:r>
        <w:r w:rsidRPr="00990D3B">
          <w:rPr>
            <w:noProof/>
            <w:webHidden/>
          </w:rPr>
          <w:t>48</w:t>
        </w:r>
        <w:r w:rsidRPr="00990D3B">
          <w:rPr>
            <w:noProof/>
            <w:webHidden/>
          </w:rPr>
          <w:fldChar w:fldCharType="end"/>
        </w:r>
      </w:hyperlink>
    </w:p>
    <w:p w:rsidR="00676731" w:rsidRPr="00990D3B" w14:paraId="0BAF074D" w14:textId="5E2D98C6">
      <w:pPr>
        <w:pStyle w:val="TableofFigures"/>
        <w:rPr>
          <w:rFonts w:asciiTheme="minorHAnsi" w:eastAsiaTheme="minorEastAsia" w:hAnsiTheme="minorHAnsi" w:cstheme="minorBidi"/>
          <w:noProof/>
          <w:kern w:val="2"/>
          <w:sz w:val="24"/>
          <w:szCs w:val="24"/>
          <w14:ligatures w14:val="standardContextual"/>
        </w:rPr>
      </w:pPr>
      <w:hyperlink w:anchor="_Toc201751480" w:history="1">
        <w:r w:rsidRPr="00990D3B">
          <w:rPr>
            <w:rStyle w:val="Hyperlink"/>
            <w:noProof/>
          </w:rPr>
          <w:t>Worksheet 1.3. Review the Identified PIP Population</w:t>
        </w:r>
        <w:r w:rsidRPr="00990D3B">
          <w:rPr>
            <w:noProof/>
            <w:webHidden/>
          </w:rPr>
          <w:tab/>
        </w:r>
        <w:r w:rsidRPr="00990D3B">
          <w:rPr>
            <w:noProof/>
            <w:webHidden/>
          </w:rPr>
          <w:fldChar w:fldCharType="begin"/>
        </w:r>
        <w:r w:rsidRPr="00990D3B">
          <w:rPr>
            <w:noProof/>
            <w:webHidden/>
          </w:rPr>
          <w:instrText xml:space="preserve"> PAGEREF _Toc201751480 \h </w:instrText>
        </w:r>
        <w:r w:rsidRPr="00990D3B">
          <w:rPr>
            <w:noProof/>
            <w:webHidden/>
          </w:rPr>
          <w:fldChar w:fldCharType="separate"/>
        </w:r>
        <w:r w:rsidRPr="00990D3B">
          <w:rPr>
            <w:noProof/>
            <w:webHidden/>
          </w:rPr>
          <w:t>49</w:t>
        </w:r>
        <w:r w:rsidRPr="00990D3B">
          <w:rPr>
            <w:noProof/>
            <w:webHidden/>
          </w:rPr>
          <w:fldChar w:fldCharType="end"/>
        </w:r>
      </w:hyperlink>
    </w:p>
    <w:p w:rsidR="00676731" w:rsidRPr="00990D3B" w14:paraId="54B7CFA4" w14:textId="6349D713">
      <w:pPr>
        <w:pStyle w:val="TableofFigures"/>
        <w:rPr>
          <w:rFonts w:asciiTheme="minorHAnsi" w:eastAsiaTheme="minorEastAsia" w:hAnsiTheme="minorHAnsi" w:cstheme="minorBidi"/>
          <w:noProof/>
          <w:kern w:val="2"/>
          <w:sz w:val="24"/>
          <w:szCs w:val="24"/>
          <w14:ligatures w14:val="standardContextual"/>
        </w:rPr>
      </w:pPr>
      <w:hyperlink w:anchor="_Toc201751481" w:history="1">
        <w:r w:rsidRPr="00990D3B">
          <w:rPr>
            <w:rStyle w:val="Hyperlink"/>
            <w:noProof/>
          </w:rPr>
          <w:t>Worksheet 1.4. Review the Sampling Method</w:t>
        </w:r>
        <w:r w:rsidRPr="00990D3B">
          <w:rPr>
            <w:noProof/>
            <w:webHidden/>
          </w:rPr>
          <w:tab/>
        </w:r>
        <w:r w:rsidRPr="00990D3B">
          <w:rPr>
            <w:noProof/>
            <w:webHidden/>
          </w:rPr>
          <w:fldChar w:fldCharType="begin"/>
        </w:r>
        <w:r w:rsidRPr="00990D3B">
          <w:rPr>
            <w:noProof/>
            <w:webHidden/>
          </w:rPr>
          <w:instrText xml:space="preserve"> PAGEREF _Toc201751481 \h </w:instrText>
        </w:r>
        <w:r w:rsidRPr="00990D3B">
          <w:rPr>
            <w:noProof/>
            <w:webHidden/>
          </w:rPr>
          <w:fldChar w:fldCharType="separate"/>
        </w:r>
        <w:r w:rsidRPr="00990D3B">
          <w:rPr>
            <w:noProof/>
            <w:webHidden/>
          </w:rPr>
          <w:t>50</w:t>
        </w:r>
        <w:r w:rsidRPr="00990D3B">
          <w:rPr>
            <w:noProof/>
            <w:webHidden/>
          </w:rPr>
          <w:fldChar w:fldCharType="end"/>
        </w:r>
      </w:hyperlink>
    </w:p>
    <w:p w:rsidR="00676731" w:rsidRPr="00990D3B" w14:paraId="2AA5A909" w14:textId="6373EF98">
      <w:pPr>
        <w:pStyle w:val="TableofFigures"/>
        <w:rPr>
          <w:rFonts w:asciiTheme="minorHAnsi" w:eastAsiaTheme="minorEastAsia" w:hAnsiTheme="minorHAnsi" w:cstheme="minorBidi"/>
          <w:noProof/>
          <w:kern w:val="2"/>
          <w:sz w:val="24"/>
          <w:szCs w:val="24"/>
          <w14:ligatures w14:val="standardContextual"/>
        </w:rPr>
      </w:pPr>
      <w:hyperlink w:anchor="_Toc201751482" w:history="1">
        <w:r w:rsidRPr="00990D3B">
          <w:rPr>
            <w:rStyle w:val="Hyperlink"/>
            <w:noProof/>
          </w:rPr>
          <w:t>Worksheet 1.5. Review the Selected PIP Variables and Performance Measures</w:t>
        </w:r>
        <w:r w:rsidRPr="00990D3B">
          <w:rPr>
            <w:noProof/>
            <w:webHidden/>
          </w:rPr>
          <w:tab/>
        </w:r>
        <w:r w:rsidRPr="00990D3B">
          <w:rPr>
            <w:noProof/>
            <w:webHidden/>
          </w:rPr>
          <w:fldChar w:fldCharType="begin"/>
        </w:r>
        <w:r w:rsidRPr="00990D3B">
          <w:rPr>
            <w:noProof/>
            <w:webHidden/>
          </w:rPr>
          <w:instrText xml:space="preserve"> PAGEREF _Toc201751482 \h </w:instrText>
        </w:r>
        <w:r w:rsidRPr="00990D3B">
          <w:rPr>
            <w:noProof/>
            <w:webHidden/>
          </w:rPr>
          <w:fldChar w:fldCharType="separate"/>
        </w:r>
        <w:r w:rsidRPr="00990D3B">
          <w:rPr>
            <w:noProof/>
            <w:webHidden/>
          </w:rPr>
          <w:t>51</w:t>
        </w:r>
        <w:r w:rsidRPr="00990D3B">
          <w:rPr>
            <w:noProof/>
            <w:webHidden/>
          </w:rPr>
          <w:fldChar w:fldCharType="end"/>
        </w:r>
      </w:hyperlink>
    </w:p>
    <w:p w:rsidR="00676731" w:rsidRPr="00990D3B" w14:paraId="30528BAC" w14:textId="1B6DEF5A">
      <w:pPr>
        <w:pStyle w:val="TableofFigures"/>
        <w:rPr>
          <w:rFonts w:asciiTheme="minorHAnsi" w:eastAsiaTheme="minorEastAsia" w:hAnsiTheme="minorHAnsi" w:cstheme="minorBidi"/>
          <w:noProof/>
          <w:kern w:val="2"/>
          <w:sz w:val="24"/>
          <w:szCs w:val="24"/>
          <w14:ligatures w14:val="standardContextual"/>
        </w:rPr>
      </w:pPr>
      <w:hyperlink w:anchor="_Toc201751483" w:history="1">
        <w:r w:rsidRPr="00990D3B">
          <w:rPr>
            <w:rStyle w:val="Hyperlink"/>
            <w:noProof/>
          </w:rPr>
          <w:t>Worksheet 1.6. Review the PIP Data Collection Procedures</w:t>
        </w:r>
        <w:r w:rsidRPr="00990D3B">
          <w:rPr>
            <w:noProof/>
            <w:webHidden/>
          </w:rPr>
          <w:tab/>
        </w:r>
        <w:r w:rsidRPr="00990D3B">
          <w:rPr>
            <w:noProof/>
            <w:webHidden/>
          </w:rPr>
          <w:fldChar w:fldCharType="begin"/>
        </w:r>
        <w:r w:rsidRPr="00990D3B">
          <w:rPr>
            <w:noProof/>
            <w:webHidden/>
          </w:rPr>
          <w:instrText xml:space="preserve"> PAGEREF _Toc201751483 \h </w:instrText>
        </w:r>
        <w:r w:rsidRPr="00990D3B">
          <w:rPr>
            <w:noProof/>
            <w:webHidden/>
          </w:rPr>
          <w:fldChar w:fldCharType="separate"/>
        </w:r>
        <w:r w:rsidRPr="00990D3B">
          <w:rPr>
            <w:noProof/>
            <w:webHidden/>
          </w:rPr>
          <w:t>54</w:t>
        </w:r>
        <w:r w:rsidRPr="00990D3B">
          <w:rPr>
            <w:noProof/>
            <w:webHidden/>
          </w:rPr>
          <w:fldChar w:fldCharType="end"/>
        </w:r>
      </w:hyperlink>
    </w:p>
    <w:p w:rsidR="00676731" w:rsidRPr="00990D3B" w14:paraId="69C5114F" w14:textId="49D57741">
      <w:pPr>
        <w:pStyle w:val="TableofFigures"/>
        <w:rPr>
          <w:rFonts w:asciiTheme="minorHAnsi" w:eastAsiaTheme="minorEastAsia" w:hAnsiTheme="minorHAnsi" w:cstheme="minorBidi"/>
          <w:noProof/>
          <w:kern w:val="2"/>
          <w:sz w:val="24"/>
          <w:szCs w:val="24"/>
          <w14:ligatures w14:val="standardContextual"/>
        </w:rPr>
      </w:pPr>
      <w:hyperlink w:anchor="_Toc201751484" w:history="1">
        <w:r w:rsidRPr="00990D3B">
          <w:rPr>
            <w:rStyle w:val="Hyperlink"/>
            <w:noProof/>
          </w:rPr>
          <w:t>Worksheet 1.7. Review Data Analysis and Interpretation of PIP Results</w:t>
        </w:r>
        <w:r w:rsidRPr="00990D3B">
          <w:rPr>
            <w:noProof/>
            <w:webHidden/>
          </w:rPr>
          <w:tab/>
        </w:r>
        <w:r w:rsidRPr="00990D3B">
          <w:rPr>
            <w:noProof/>
            <w:webHidden/>
          </w:rPr>
          <w:fldChar w:fldCharType="begin"/>
        </w:r>
        <w:r w:rsidRPr="00990D3B">
          <w:rPr>
            <w:noProof/>
            <w:webHidden/>
          </w:rPr>
          <w:instrText xml:space="preserve"> PAGEREF _Toc201751484 \h </w:instrText>
        </w:r>
        <w:r w:rsidRPr="00990D3B">
          <w:rPr>
            <w:noProof/>
            <w:webHidden/>
          </w:rPr>
          <w:fldChar w:fldCharType="separate"/>
        </w:r>
        <w:r w:rsidRPr="00990D3B">
          <w:rPr>
            <w:noProof/>
            <w:webHidden/>
          </w:rPr>
          <w:t>57</w:t>
        </w:r>
        <w:r w:rsidRPr="00990D3B">
          <w:rPr>
            <w:noProof/>
            <w:webHidden/>
          </w:rPr>
          <w:fldChar w:fldCharType="end"/>
        </w:r>
      </w:hyperlink>
    </w:p>
    <w:p w:rsidR="00676731" w:rsidRPr="00990D3B" w14:paraId="4835FD02" w14:textId="2B863D0D">
      <w:pPr>
        <w:pStyle w:val="TableofFigures"/>
        <w:rPr>
          <w:rFonts w:asciiTheme="minorHAnsi" w:eastAsiaTheme="minorEastAsia" w:hAnsiTheme="minorHAnsi" w:cstheme="minorBidi"/>
          <w:noProof/>
          <w:kern w:val="2"/>
          <w:sz w:val="24"/>
          <w:szCs w:val="24"/>
          <w14:ligatures w14:val="standardContextual"/>
        </w:rPr>
      </w:pPr>
      <w:hyperlink w:anchor="_Toc201751485" w:history="1">
        <w:r w:rsidRPr="00990D3B">
          <w:rPr>
            <w:rStyle w:val="Hyperlink"/>
            <w:noProof/>
          </w:rPr>
          <w:t>Worksheet 1.8. Assess the PIP Improvement Strategies</w:t>
        </w:r>
        <w:r w:rsidRPr="00990D3B">
          <w:rPr>
            <w:noProof/>
            <w:webHidden/>
          </w:rPr>
          <w:tab/>
        </w:r>
        <w:r w:rsidRPr="00990D3B">
          <w:rPr>
            <w:noProof/>
            <w:webHidden/>
          </w:rPr>
          <w:fldChar w:fldCharType="begin"/>
        </w:r>
        <w:r w:rsidRPr="00990D3B">
          <w:rPr>
            <w:noProof/>
            <w:webHidden/>
          </w:rPr>
          <w:instrText xml:space="preserve"> PAGEREF _Toc201751485 \h </w:instrText>
        </w:r>
        <w:r w:rsidRPr="00990D3B">
          <w:rPr>
            <w:noProof/>
            <w:webHidden/>
          </w:rPr>
          <w:fldChar w:fldCharType="separate"/>
        </w:r>
        <w:r w:rsidRPr="00990D3B">
          <w:rPr>
            <w:noProof/>
            <w:webHidden/>
          </w:rPr>
          <w:t>58</w:t>
        </w:r>
        <w:r w:rsidRPr="00990D3B">
          <w:rPr>
            <w:noProof/>
            <w:webHidden/>
          </w:rPr>
          <w:fldChar w:fldCharType="end"/>
        </w:r>
      </w:hyperlink>
    </w:p>
    <w:p w:rsidR="00676731" w:rsidRPr="00990D3B" w14:paraId="5A38127D" w14:textId="4602D15B">
      <w:pPr>
        <w:pStyle w:val="TableofFigures"/>
        <w:rPr>
          <w:rFonts w:asciiTheme="minorHAnsi" w:eastAsiaTheme="minorEastAsia" w:hAnsiTheme="minorHAnsi" w:cstheme="minorBidi"/>
          <w:noProof/>
          <w:kern w:val="2"/>
          <w:sz w:val="24"/>
          <w:szCs w:val="24"/>
          <w14:ligatures w14:val="standardContextual"/>
        </w:rPr>
      </w:pPr>
      <w:hyperlink w:anchor="_Toc201751486" w:history="1">
        <w:r w:rsidRPr="00990D3B">
          <w:rPr>
            <w:rStyle w:val="Hyperlink"/>
            <w:noProof/>
          </w:rPr>
          <w:t>Worksheet 1.9. Assess the Likelihood that a PIP Resulted in Significant and Sustained Improvement</w:t>
        </w:r>
        <w:r w:rsidRPr="00990D3B">
          <w:rPr>
            <w:noProof/>
            <w:webHidden/>
          </w:rPr>
          <w:tab/>
        </w:r>
        <w:r w:rsidRPr="00990D3B">
          <w:rPr>
            <w:noProof/>
            <w:webHidden/>
          </w:rPr>
          <w:fldChar w:fldCharType="begin"/>
        </w:r>
        <w:r w:rsidRPr="00990D3B">
          <w:rPr>
            <w:noProof/>
            <w:webHidden/>
          </w:rPr>
          <w:instrText xml:space="preserve"> PAGEREF _Toc201751486 \h </w:instrText>
        </w:r>
        <w:r w:rsidRPr="00990D3B">
          <w:rPr>
            <w:noProof/>
            <w:webHidden/>
          </w:rPr>
          <w:fldChar w:fldCharType="separate"/>
        </w:r>
        <w:r w:rsidRPr="00990D3B">
          <w:rPr>
            <w:noProof/>
            <w:webHidden/>
          </w:rPr>
          <w:t>60</w:t>
        </w:r>
        <w:r w:rsidRPr="00990D3B">
          <w:rPr>
            <w:noProof/>
            <w:webHidden/>
          </w:rPr>
          <w:fldChar w:fldCharType="end"/>
        </w:r>
      </w:hyperlink>
    </w:p>
    <w:p w:rsidR="00676731" w:rsidRPr="00990D3B" w14:paraId="342A1A4E" w14:textId="1E12EBAC">
      <w:pPr>
        <w:pStyle w:val="TableofFigures"/>
        <w:rPr>
          <w:rFonts w:asciiTheme="minorHAnsi" w:eastAsiaTheme="minorEastAsia" w:hAnsiTheme="minorHAnsi" w:cstheme="minorBidi"/>
          <w:noProof/>
          <w:kern w:val="2"/>
          <w:sz w:val="24"/>
          <w:szCs w:val="24"/>
          <w14:ligatures w14:val="standardContextual"/>
        </w:rPr>
      </w:pPr>
      <w:hyperlink w:anchor="_Toc201751487" w:history="1">
        <w:r w:rsidRPr="00990D3B">
          <w:rPr>
            <w:rStyle w:val="Hyperlink"/>
            <w:noProof/>
          </w:rPr>
          <w:t>Worksheet 1.10. Perform Overall Validation of PIP Results</w:t>
        </w:r>
        <w:r w:rsidRPr="00990D3B">
          <w:rPr>
            <w:noProof/>
            <w:webHidden/>
          </w:rPr>
          <w:tab/>
        </w:r>
        <w:r w:rsidRPr="00990D3B">
          <w:rPr>
            <w:noProof/>
            <w:webHidden/>
          </w:rPr>
          <w:fldChar w:fldCharType="begin"/>
        </w:r>
        <w:r w:rsidRPr="00990D3B">
          <w:rPr>
            <w:noProof/>
            <w:webHidden/>
          </w:rPr>
          <w:instrText xml:space="preserve"> PAGEREF _Toc201751487 \h </w:instrText>
        </w:r>
        <w:r w:rsidRPr="00990D3B">
          <w:rPr>
            <w:noProof/>
            <w:webHidden/>
          </w:rPr>
          <w:fldChar w:fldCharType="separate"/>
        </w:r>
        <w:r w:rsidRPr="00990D3B">
          <w:rPr>
            <w:noProof/>
            <w:webHidden/>
          </w:rPr>
          <w:t>61</w:t>
        </w:r>
        <w:r w:rsidRPr="00990D3B">
          <w:rPr>
            <w:noProof/>
            <w:webHidden/>
          </w:rPr>
          <w:fldChar w:fldCharType="end"/>
        </w:r>
      </w:hyperlink>
    </w:p>
    <w:p w:rsidR="00676731" w:rsidRPr="00990D3B" w14:paraId="4E3FF475" w14:textId="036E35F7">
      <w:pPr>
        <w:pStyle w:val="TableofFigures"/>
        <w:rPr>
          <w:rFonts w:asciiTheme="minorHAnsi" w:eastAsiaTheme="minorEastAsia" w:hAnsiTheme="minorHAnsi" w:cstheme="minorBidi"/>
          <w:noProof/>
          <w:kern w:val="2"/>
          <w:sz w:val="24"/>
          <w:szCs w:val="24"/>
          <w14:ligatures w14:val="standardContextual"/>
        </w:rPr>
      </w:pPr>
      <w:hyperlink w:anchor="_Toc201751488" w:history="1">
        <w:r w:rsidRPr="00990D3B">
          <w:rPr>
            <w:rStyle w:val="Hyperlink"/>
            <w:noProof/>
          </w:rPr>
          <w:t>Worksheet 1.11. Framework for Summarizing Information about PIPs</w:t>
        </w:r>
        <w:r w:rsidRPr="00990D3B">
          <w:rPr>
            <w:noProof/>
            <w:webHidden/>
          </w:rPr>
          <w:tab/>
        </w:r>
        <w:r w:rsidRPr="00990D3B">
          <w:rPr>
            <w:noProof/>
            <w:webHidden/>
          </w:rPr>
          <w:fldChar w:fldCharType="begin"/>
        </w:r>
        <w:r w:rsidRPr="00990D3B">
          <w:rPr>
            <w:noProof/>
            <w:webHidden/>
          </w:rPr>
          <w:instrText xml:space="preserve"> PAGEREF _Toc201751488 \h </w:instrText>
        </w:r>
        <w:r w:rsidRPr="00990D3B">
          <w:rPr>
            <w:noProof/>
            <w:webHidden/>
          </w:rPr>
          <w:fldChar w:fldCharType="separate"/>
        </w:r>
        <w:r w:rsidRPr="00990D3B">
          <w:rPr>
            <w:noProof/>
            <w:webHidden/>
          </w:rPr>
          <w:t>62</w:t>
        </w:r>
        <w:r w:rsidRPr="00990D3B">
          <w:rPr>
            <w:noProof/>
            <w:webHidden/>
          </w:rPr>
          <w:fldChar w:fldCharType="end"/>
        </w:r>
      </w:hyperlink>
    </w:p>
    <w:p w:rsidR="00676731" w:rsidRPr="00990D3B" w14:paraId="06920958" w14:textId="7B83CC0A">
      <w:pPr>
        <w:pStyle w:val="TableofFigures"/>
        <w:rPr>
          <w:rFonts w:asciiTheme="minorHAnsi" w:eastAsiaTheme="minorEastAsia" w:hAnsiTheme="minorHAnsi" w:cstheme="minorBidi"/>
          <w:noProof/>
          <w:kern w:val="2"/>
          <w:sz w:val="24"/>
          <w:szCs w:val="24"/>
          <w14:ligatures w14:val="standardContextual"/>
        </w:rPr>
      </w:pPr>
      <w:hyperlink w:anchor="_Toc201751489" w:history="1">
        <w:r w:rsidRPr="00990D3B">
          <w:rPr>
            <w:rStyle w:val="Hyperlink"/>
            <w:noProof/>
          </w:rPr>
          <w:t>Worksheet 1.12. PIP Validation Reporting</w:t>
        </w:r>
        <w:r w:rsidRPr="00990D3B">
          <w:rPr>
            <w:noProof/>
            <w:webHidden/>
          </w:rPr>
          <w:tab/>
        </w:r>
        <w:r w:rsidRPr="00990D3B">
          <w:rPr>
            <w:noProof/>
            <w:webHidden/>
          </w:rPr>
          <w:fldChar w:fldCharType="begin"/>
        </w:r>
        <w:r w:rsidRPr="00990D3B">
          <w:rPr>
            <w:noProof/>
            <w:webHidden/>
          </w:rPr>
          <w:instrText xml:space="preserve"> PAGEREF _Toc201751489 \h </w:instrText>
        </w:r>
        <w:r w:rsidRPr="00990D3B">
          <w:rPr>
            <w:noProof/>
            <w:webHidden/>
          </w:rPr>
          <w:fldChar w:fldCharType="separate"/>
        </w:r>
        <w:r w:rsidRPr="00990D3B">
          <w:rPr>
            <w:noProof/>
            <w:webHidden/>
          </w:rPr>
          <w:t>65</w:t>
        </w:r>
        <w:r w:rsidRPr="00990D3B">
          <w:rPr>
            <w:noProof/>
            <w:webHidden/>
          </w:rPr>
          <w:fldChar w:fldCharType="end"/>
        </w:r>
      </w:hyperlink>
    </w:p>
    <w:p w:rsidR="00676731" w:rsidRPr="00990D3B" w14:paraId="2B7D2A78" w14:textId="34F6D16C">
      <w:pPr>
        <w:pStyle w:val="TableofFigures"/>
        <w:rPr>
          <w:rFonts w:asciiTheme="minorHAnsi" w:eastAsiaTheme="minorEastAsia" w:hAnsiTheme="minorHAnsi" w:cstheme="minorBidi"/>
          <w:noProof/>
          <w:kern w:val="2"/>
          <w:sz w:val="24"/>
          <w:szCs w:val="24"/>
          <w14:ligatures w14:val="standardContextual"/>
        </w:rPr>
      </w:pPr>
      <w:hyperlink w:anchor="_Toc201751490" w:history="1">
        <w:r w:rsidRPr="00990D3B">
          <w:rPr>
            <w:rStyle w:val="Hyperlink"/>
            <w:noProof/>
          </w:rPr>
          <w:t>Example of Worksheet 1.12. PIP Validation</w:t>
        </w:r>
        <w:r w:rsidRPr="00990D3B">
          <w:rPr>
            <w:noProof/>
            <w:webHidden/>
          </w:rPr>
          <w:tab/>
        </w:r>
        <w:r w:rsidRPr="00990D3B">
          <w:rPr>
            <w:noProof/>
            <w:webHidden/>
          </w:rPr>
          <w:fldChar w:fldCharType="begin"/>
        </w:r>
        <w:r w:rsidRPr="00990D3B">
          <w:rPr>
            <w:noProof/>
            <w:webHidden/>
          </w:rPr>
          <w:instrText xml:space="preserve"> PAGEREF _Toc201751490 \h </w:instrText>
        </w:r>
        <w:r w:rsidRPr="00990D3B">
          <w:rPr>
            <w:noProof/>
            <w:webHidden/>
          </w:rPr>
          <w:fldChar w:fldCharType="separate"/>
        </w:r>
        <w:r w:rsidRPr="00990D3B">
          <w:rPr>
            <w:noProof/>
            <w:webHidden/>
          </w:rPr>
          <w:t>67</w:t>
        </w:r>
        <w:r w:rsidRPr="00990D3B">
          <w:rPr>
            <w:noProof/>
            <w:webHidden/>
          </w:rPr>
          <w:fldChar w:fldCharType="end"/>
        </w:r>
      </w:hyperlink>
    </w:p>
    <w:p w:rsidR="00676731" w:rsidRPr="00990D3B" w14:paraId="7BD30B97" w14:textId="2566EE31">
      <w:pPr>
        <w:pStyle w:val="TableofFigures"/>
        <w:rPr>
          <w:rFonts w:asciiTheme="minorHAnsi" w:eastAsiaTheme="minorEastAsia" w:hAnsiTheme="minorHAnsi" w:cstheme="minorBidi"/>
          <w:noProof/>
          <w:kern w:val="2"/>
          <w:sz w:val="24"/>
          <w:szCs w:val="24"/>
          <w14:ligatures w14:val="standardContextual"/>
        </w:rPr>
      </w:pPr>
      <w:hyperlink w:anchor="_Toc201751491" w:history="1">
        <w:r w:rsidRPr="00990D3B">
          <w:rPr>
            <w:rStyle w:val="Hyperlink"/>
            <w:noProof/>
          </w:rPr>
          <w:t>Worksheet 1.13. PIP Summary Reporting</w:t>
        </w:r>
        <w:r w:rsidRPr="00990D3B">
          <w:rPr>
            <w:noProof/>
            <w:webHidden/>
          </w:rPr>
          <w:tab/>
        </w:r>
        <w:r w:rsidRPr="00990D3B">
          <w:rPr>
            <w:noProof/>
            <w:webHidden/>
          </w:rPr>
          <w:fldChar w:fldCharType="begin"/>
        </w:r>
        <w:r w:rsidRPr="00990D3B">
          <w:rPr>
            <w:noProof/>
            <w:webHidden/>
          </w:rPr>
          <w:instrText xml:space="preserve"> PAGEREF _Toc201751491 \h </w:instrText>
        </w:r>
        <w:r w:rsidRPr="00990D3B">
          <w:rPr>
            <w:noProof/>
            <w:webHidden/>
          </w:rPr>
          <w:fldChar w:fldCharType="separate"/>
        </w:r>
        <w:r w:rsidRPr="00990D3B">
          <w:rPr>
            <w:noProof/>
            <w:webHidden/>
          </w:rPr>
          <w:t>68</w:t>
        </w:r>
        <w:r w:rsidRPr="00990D3B">
          <w:rPr>
            <w:noProof/>
            <w:webHidden/>
          </w:rPr>
          <w:fldChar w:fldCharType="end"/>
        </w:r>
      </w:hyperlink>
    </w:p>
    <w:p w:rsidR="00676731" w:rsidRPr="00990D3B" w14:paraId="6A70A36D" w14:textId="07E109C1">
      <w:pPr>
        <w:pStyle w:val="TableofFigures"/>
        <w:rPr>
          <w:rFonts w:asciiTheme="minorHAnsi" w:eastAsiaTheme="minorEastAsia" w:hAnsiTheme="minorHAnsi" w:cstheme="minorBidi"/>
          <w:noProof/>
          <w:kern w:val="2"/>
          <w:sz w:val="24"/>
          <w:szCs w:val="24"/>
          <w14:ligatures w14:val="standardContextual"/>
        </w:rPr>
      </w:pPr>
      <w:hyperlink w:anchor="_Toc201751492" w:history="1">
        <w:r w:rsidRPr="00990D3B">
          <w:rPr>
            <w:rStyle w:val="Hyperlink"/>
            <w:noProof/>
          </w:rPr>
          <w:t>Example Worksheet 1.13. PIP Summary</w:t>
        </w:r>
        <w:r w:rsidRPr="00990D3B">
          <w:rPr>
            <w:noProof/>
            <w:webHidden/>
          </w:rPr>
          <w:tab/>
        </w:r>
        <w:r w:rsidRPr="00990D3B">
          <w:rPr>
            <w:noProof/>
            <w:webHidden/>
          </w:rPr>
          <w:fldChar w:fldCharType="begin"/>
        </w:r>
        <w:r w:rsidRPr="00990D3B">
          <w:rPr>
            <w:noProof/>
            <w:webHidden/>
          </w:rPr>
          <w:instrText xml:space="preserve"> PAGEREF _Toc201751492 \h </w:instrText>
        </w:r>
        <w:r w:rsidRPr="00990D3B">
          <w:rPr>
            <w:noProof/>
            <w:webHidden/>
          </w:rPr>
          <w:fldChar w:fldCharType="separate"/>
        </w:r>
        <w:r w:rsidRPr="00990D3B">
          <w:rPr>
            <w:noProof/>
            <w:webHidden/>
          </w:rPr>
          <w:t>69</w:t>
        </w:r>
        <w:r w:rsidRPr="00990D3B">
          <w:rPr>
            <w:noProof/>
            <w:webHidden/>
          </w:rPr>
          <w:fldChar w:fldCharType="end"/>
        </w:r>
      </w:hyperlink>
    </w:p>
    <w:p w:rsidR="00676731" w:rsidRPr="00990D3B" w14:paraId="7E3A8B4C" w14:textId="364E93D5">
      <w:pPr>
        <w:pStyle w:val="TableofFigures"/>
        <w:rPr>
          <w:rFonts w:asciiTheme="minorHAnsi" w:eastAsiaTheme="minorEastAsia" w:hAnsiTheme="minorHAnsi" w:cstheme="minorBidi"/>
          <w:noProof/>
          <w:kern w:val="2"/>
          <w:sz w:val="24"/>
          <w:szCs w:val="24"/>
          <w14:ligatures w14:val="standardContextual"/>
        </w:rPr>
      </w:pPr>
      <w:hyperlink w:anchor="_Toc201751493" w:history="1">
        <w:r w:rsidRPr="00990D3B">
          <w:rPr>
            <w:rStyle w:val="Hyperlink"/>
            <w:noProof/>
          </w:rPr>
          <w:t>Worksheet 2.1. List of Performance Measures to be Validated</w:t>
        </w:r>
        <w:r w:rsidRPr="00990D3B">
          <w:rPr>
            <w:noProof/>
            <w:webHidden/>
          </w:rPr>
          <w:tab/>
        </w:r>
        <w:r w:rsidRPr="00990D3B">
          <w:rPr>
            <w:noProof/>
            <w:webHidden/>
          </w:rPr>
          <w:fldChar w:fldCharType="begin"/>
        </w:r>
        <w:r w:rsidRPr="00990D3B">
          <w:rPr>
            <w:noProof/>
            <w:webHidden/>
          </w:rPr>
          <w:instrText xml:space="preserve"> PAGEREF _Toc201751493 \h </w:instrText>
        </w:r>
        <w:r w:rsidRPr="00990D3B">
          <w:rPr>
            <w:noProof/>
            <w:webHidden/>
          </w:rPr>
          <w:fldChar w:fldCharType="separate"/>
        </w:r>
        <w:r w:rsidRPr="00990D3B">
          <w:rPr>
            <w:noProof/>
            <w:webHidden/>
          </w:rPr>
          <w:t>94</w:t>
        </w:r>
        <w:r w:rsidRPr="00990D3B">
          <w:rPr>
            <w:noProof/>
            <w:webHidden/>
          </w:rPr>
          <w:fldChar w:fldCharType="end"/>
        </w:r>
      </w:hyperlink>
    </w:p>
    <w:p w:rsidR="00676731" w:rsidRPr="00990D3B" w14:paraId="26FEE8BC" w14:textId="4EE446BF">
      <w:pPr>
        <w:pStyle w:val="TableofFigures"/>
        <w:rPr>
          <w:rFonts w:asciiTheme="minorHAnsi" w:eastAsiaTheme="minorEastAsia" w:hAnsiTheme="minorHAnsi" w:cstheme="minorBidi"/>
          <w:noProof/>
          <w:kern w:val="2"/>
          <w:sz w:val="24"/>
          <w:szCs w:val="24"/>
          <w14:ligatures w14:val="standardContextual"/>
        </w:rPr>
      </w:pPr>
      <w:hyperlink w:anchor="_Toc201751494" w:history="1">
        <w:r w:rsidRPr="00990D3B">
          <w:rPr>
            <w:rStyle w:val="Hyperlink"/>
            <w:noProof/>
          </w:rPr>
          <w:t>Worksheet 2.2. Performance Measure Validation Template</w:t>
        </w:r>
        <w:r w:rsidRPr="00990D3B">
          <w:rPr>
            <w:noProof/>
            <w:webHidden/>
          </w:rPr>
          <w:tab/>
        </w:r>
        <w:r w:rsidRPr="00990D3B">
          <w:rPr>
            <w:noProof/>
            <w:webHidden/>
          </w:rPr>
          <w:fldChar w:fldCharType="begin"/>
        </w:r>
        <w:r w:rsidRPr="00990D3B">
          <w:rPr>
            <w:noProof/>
            <w:webHidden/>
          </w:rPr>
          <w:instrText xml:space="preserve"> PAGEREF _Toc201751494 \h </w:instrText>
        </w:r>
        <w:r w:rsidRPr="00990D3B">
          <w:rPr>
            <w:noProof/>
            <w:webHidden/>
          </w:rPr>
          <w:fldChar w:fldCharType="separate"/>
        </w:r>
        <w:r w:rsidRPr="00990D3B">
          <w:rPr>
            <w:noProof/>
            <w:webHidden/>
          </w:rPr>
          <w:t>95</w:t>
        </w:r>
        <w:r w:rsidRPr="00990D3B">
          <w:rPr>
            <w:noProof/>
            <w:webHidden/>
          </w:rPr>
          <w:fldChar w:fldCharType="end"/>
        </w:r>
      </w:hyperlink>
    </w:p>
    <w:p w:rsidR="00676731" w:rsidRPr="00990D3B" w14:paraId="1C332D2C" w14:textId="578451CA">
      <w:pPr>
        <w:pStyle w:val="TableofFigures"/>
        <w:rPr>
          <w:rFonts w:asciiTheme="minorHAnsi" w:eastAsiaTheme="minorEastAsia" w:hAnsiTheme="minorHAnsi" w:cstheme="minorBidi"/>
          <w:noProof/>
          <w:kern w:val="2"/>
          <w:sz w:val="24"/>
          <w:szCs w:val="24"/>
          <w14:ligatures w14:val="standardContextual"/>
        </w:rPr>
      </w:pPr>
      <w:hyperlink w:anchor="_Toc201751495" w:history="1">
        <w:r w:rsidRPr="00990D3B">
          <w:rPr>
            <w:rStyle w:val="Hyperlink"/>
            <w:noProof/>
          </w:rPr>
          <w:t>Example of Worksheet 2.2. Performance Measure Validation Template</w:t>
        </w:r>
        <w:r w:rsidRPr="00990D3B">
          <w:rPr>
            <w:noProof/>
            <w:webHidden/>
          </w:rPr>
          <w:tab/>
        </w:r>
        <w:r w:rsidRPr="00990D3B">
          <w:rPr>
            <w:noProof/>
            <w:webHidden/>
          </w:rPr>
          <w:fldChar w:fldCharType="begin"/>
        </w:r>
        <w:r w:rsidRPr="00990D3B">
          <w:rPr>
            <w:noProof/>
            <w:webHidden/>
          </w:rPr>
          <w:instrText xml:space="preserve"> PAGEREF _Toc201751495 \h </w:instrText>
        </w:r>
        <w:r w:rsidRPr="00990D3B">
          <w:rPr>
            <w:noProof/>
            <w:webHidden/>
          </w:rPr>
          <w:fldChar w:fldCharType="separate"/>
        </w:r>
        <w:r w:rsidRPr="00990D3B">
          <w:rPr>
            <w:noProof/>
            <w:webHidden/>
          </w:rPr>
          <w:t>99</w:t>
        </w:r>
        <w:r w:rsidRPr="00990D3B">
          <w:rPr>
            <w:noProof/>
            <w:webHidden/>
          </w:rPr>
          <w:fldChar w:fldCharType="end"/>
        </w:r>
      </w:hyperlink>
    </w:p>
    <w:p w:rsidR="00676731" w:rsidRPr="00990D3B" w14:paraId="72589F4A" w14:textId="05859D78">
      <w:pPr>
        <w:pStyle w:val="TableofFigures"/>
        <w:rPr>
          <w:rFonts w:asciiTheme="minorHAnsi" w:eastAsiaTheme="minorEastAsia" w:hAnsiTheme="minorHAnsi" w:cstheme="minorBidi"/>
          <w:noProof/>
          <w:kern w:val="2"/>
          <w:sz w:val="24"/>
          <w:szCs w:val="24"/>
          <w14:ligatures w14:val="standardContextual"/>
        </w:rPr>
      </w:pPr>
      <w:hyperlink w:anchor="_Toc201751496" w:history="1">
        <w:r w:rsidRPr="00990D3B">
          <w:rPr>
            <w:rStyle w:val="Hyperlink"/>
            <w:noProof/>
          </w:rPr>
          <w:t>Worksheet 2.3. Medical Record Review Validation Template</w:t>
        </w:r>
        <w:r w:rsidRPr="00990D3B">
          <w:rPr>
            <w:noProof/>
            <w:webHidden/>
          </w:rPr>
          <w:tab/>
        </w:r>
        <w:r w:rsidRPr="00990D3B">
          <w:rPr>
            <w:noProof/>
            <w:webHidden/>
          </w:rPr>
          <w:fldChar w:fldCharType="begin"/>
        </w:r>
        <w:r w:rsidRPr="00990D3B">
          <w:rPr>
            <w:noProof/>
            <w:webHidden/>
          </w:rPr>
          <w:instrText xml:space="preserve"> PAGEREF _Toc201751496 \h </w:instrText>
        </w:r>
        <w:r w:rsidRPr="00990D3B">
          <w:rPr>
            <w:noProof/>
            <w:webHidden/>
          </w:rPr>
          <w:fldChar w:fldCharType="separate"/>
        </w:r>
        <w:r w:rsidRPr="00990D3B">
          <w:rPr>
            <w:noProof/>
            <w:webHidden/>
          </w:rPr>
          <w:t>103</w:t>
        </w:r>
        <w:r w:rsidRPr="00990D3B">
          <w:rPr>
            <w:noProof/>
            <w:webHidden/>
          </w:rPr>
          <w:fldChar w:fldCharType="end"/>
        </w:r>
      </w:hyperlink>
    </w:p>
    <w:p w:rsidR="00676731" w:rsidRPr="00990D3B" w14:paraId="4CE3BD76" w14:textId="1D881E1D">
      <w:pPr>
        <w:pStyle w:val="TableofFigures"/>
        <w:rPr>
          <w:rFonts w:asciiTheme="minorHAnsi" w:eastAsiaTheme="minorEastAsia" w:hAnsiTheme="minorHAnsi" w:cstheme="minorBidi"/>
          <w:noProof/>
          <w:kern w:val="2"/>
          <w:sz w:val="24"/>
          <w:szCs w:val="24"/>
          <w14:ligatures w14:val="standardContextual"/>
        </w:rPr>
      </w:pPr>
      <w:hyperlink w:anchor="_Toc201751497" w:history="1">
        <w:r w:rsidRPr="00990D3B">
          <w:rPr>
            <w:rStyle w:val="Hyperlink"/>
            <w:noProof/>
          </w:rPr>
          <w:t>Worksheet 2.4. Potential Documents and Processes for Review</w:t>
        </w:r>
        <w:r w:rsidRPr="00990D3B">
          <w:rPr>
            <w:noProof/>
            <w:webHidden/>
          </w:rPr>
          <w:tab/>
        </w:r>
        <w:r w:rsidRPr="00990D3B">
          <w:rPr>
            <w:noProof/>
            <w:webHidden/>
          </w:rPr>
          <w:fldChar w:fldCharType="begin"/>
        </w:r>
        <w:r w:rsidRPr="00990D3B">
          <w:rPr>
            <w:noProof/>
            <w:webHidden/>
          </w:rPr>
          <w:instrText xml:space="preserve"> PAGEREF _Toc201751497 \h </w:instrText>
        </w:r>
        <w:r w:rsidRPr="00990D3B">
          <w:rPr>
            <w:noProof/>
            <w:webHidden/>
          </w:rPr>
          <w:fldChar w:fldCharType="separate"/>
        </w:r>
        <w:r w:rsidRPr="00990D3B">
          <w:rPr>
            <w:noProof/>
            <w:webHidden/>
          </w:rPr>
          <w:t>107</w:t>
        </w:r>
        <w:r w:rsidRPr="00990D3B">
          <w:rPr>
            <w:noProof/>
            <w:webHidden/>
          </w:rPr>
          <w:fldChar w:fldCharType="end"/>
        </w:r>
      </w:hyperlink>
    </w:p>
    <w:p w:rsidR="00676731" w:rsidRPr="00990D3B" w14:paraId="57E84124" w14:textId="4E71E0A7">
      <w:pPr>
        <w:pStyle w:val="TableofFigures"/>
        <w:rPr>
          <w:rFonts w:asciiTheme="minorHAnsi" w:eastAsiaTheme="minorEastAsia" w:hAnsiTheme="minorHAnsi" w:cstheme="minorBidi"/>
          <w:noProof/>
          <w:kern w:val="2"/>
          <w:sz w:val="24"/>
          <w:szCs w:val="24"/>
          <w14:ligatures w14:val="standardContextual"/>
        </w:rPr>
      </w:pPr>
      <w:hyperlink w:anchor="_Toc201751498" w:history="1">
        <w:r w:rsidRPr="00990D3B">
          <w:rPr>
            <w:rStyle w:val="Hyperlink"/>
            <w:noProof/>
          </w:rPr>
          <w:t>Worksheet 2.5. Interview Guide for MCP Data Integration and Control Personnel</w:t>
        </w:r>
        <w:r w:rsidRPr="00990D3B">
          <w:rPr>
            <w:noProof/>
            <w:webHidden/>
          </w:rPr>
          <w:tab/>
        </w:r>
        <w:r w:rsidRPr="00990D3B">
          <w:rPr>
            <w:noProof/>
            <w:webHidden/>
          </w:rPr>
          <w:fldChar w:fldCharType="begin"/>
        </w:r>
        <w:r w:rsidRPr="00990D3B">
          <w:rPr>
            <w:noProof/>
            <w:webHidden/>
          </w:rPr>
          <w:instrText xml:space="preserve"> PAGEREF _Toc201751498 \h </w:instrText>
        </w:r>
        <w:r w:rsidRPr="00990D3B">
          <w:rPr>
            <w:noProof/>
            <w:webHidden/>
          </w:rPr>
          <w:fldChar w:fldCharType="separate"/>
        </w:r>
        <w:r w:rsidRPr="00990D3B">
          <w:rPr>
            <w:noProof/>
            <w:webHidden/>
          </w:rPr>
          <w:t>112</w:t>
        </w:r>
        <w:r w:rsidRPr="00990D3B">
          <w:rPr>
            <w:noProof/>
            <w:webHidden/>
          </w:rPr>
          <w:fldChar w:fldCharType="end"/>
        </w:r>
      </w:hyperlink>
    </w:p>
    <w:p w:rsidR="00676731" w:rsidRPr="00990D3B" w14:paraId="0417E3CA" w14:textId="5B0A8A03">
      <w:pPr>
        <w:pStyle w:val="TableofFigures"/>
        <w:rPr>
          <w:rFonts w:asciiTheme="minorHAnsi" w:eastAsiaTheme="minorEastAsia" w:hAnsiTheme="minorHAnsi" w:cstheme="minorBidi"/>
          <w:noProof/>
          <w:kern w:val="2"/>
          <w:sz w:val="24"/>
          <w:szCs w:val="24"/>
          <w14:ligatures w14:val="standardContextual"/>
        </w:rPr>
      </w:pPr>
      <w:hyperlink w:anchor="_Toc201751499" w:history="1">
        <w:r w:rsidRPr="00990D3B">
          <w:rPr>
            <w:rStyle w:val="Hyperlink"/>
            <w:noProof/>
          </w:rPr>
          <w:t>Worksheet 2.6. Data Integration and Control Findings Tool</w:t>
        </w:r>
        <w:r w:rsidRPr="00990D3B">
          <w:rPr>
            <w:noProof/>
            <w:webHidden/>
          </w:rPr>
          <w:tab/>
        </w:r>
        <w:r w:rsidRPr="00990D3B">
          <w:rPr>
            <w:noProof/>
            <w:webHidden/>
          </w:rPr>
          <w:fldChar w:fldCharType="begin"/>
        </w:r>
        <w:r w:rsidRPr="00990D3B">
          <w:rPr>
            <w:noProof/>
            <w:webHidden/>
          </w:rPr>
          <w:instrText xml:space="preserve"> PAGEREF _Toc201751499 \h </w:instrText>
        </w:r>
        <w:r w:rsidRPr="00990D3B">
          <w:rPr>
            <w:noProof/>
            <w:webHidden/>
          </w:rPr>
          <w:fldChar w:fldCharType="separate"/>
        </w:r>
        <w:r w:rsidRPr="00990D3B">
          <w:rPr>
            <w:noProof/>
            <w:webHidden/>
          </w:rPr>
          <w:t>114</w:t>
        </w:r>
        <w:r w:rsidRPr="00990D3B">
          <w:rPr>
            <w:noProof/>
            <w:webHidden/>
          </w:rPr>
          <w:fldChar w:fldCharType="end"/>
        </w:r>
      </w:hyperlink>
    </w:p>
    <w:p w:rsidR="00676731" w:rsidRPr="00990D3B" w14:paraId="238A6A77" w14:textId="002A4470">
      <w:pPr>
        <w:pStyle w:val="TableofFigures"/>
        <w:rPr>
          <w:rFonts w:asciiTheme="minorHAnsi" w:eastAsiaTheme="minorEastAsia" w:hAnsiTheme="minorHAnsi" w:cstheme="minorBidi"/>
          <w:noProof/>
          <w:kern w:val="2"/>
          <w:sz w:val="24"/>
          <w:szCs w:val="24"/>
          <w14:ligatures w14:val="standardContextual"/>
        </w:rPr>
      </w:pPr>
      <w:hyperlink w:anchor="_Toc201751500" w:history="1">
        <w:r w:rsidRPr="00990D3B">
          <w:rPr>
            <w:rStyle w:val="Hyperlink"/>
            <w:noProof/>
          </w:rPr>
          <w:t>Worksheet 2.7. Data and Processes Used to Produce Performance Measures: Documentation Review Checklist</w:t>
        </w:r>
        <w:r w:rsidRPr="00990D3B">
          <w:rPr>
            <w:noProof/>
            <w:webHidden/>
          </w:rPr>
          <w:tab/>
        </w:r>
        <w:r w:rsidRPr="00990D3B">
          <w:rPr>
            <w:noProof/>
            <w:webHidden/>
          </w:rPr>
          <w:fldChar w:fldCharType="begin"/>
        </w:r>
        <w:r w:rsidRPr="00990D3B">
          <w:rPr>
            <w:noProof/>
            <w:webHidden/>
          </w:rPr>
          <w:instrText xml:space="preserve"> PAGEREF _Toc201751500 \h </w:instrText>
        </w:r>
        <w:r w:rsidRPr="00990D3B">
          <w:rPr>
            <w:noProof/>
            <w:webHidden/>
          </w:rPr>
          <w:fldChar w:fldCharType="separate"/>
        </w:r>
        <w:r w:rsidRPr="00990D3B">
          <w:rPr>
            <w:noProof/>
            <w:webHidden/>
          </w:rPr>
          <w:t>116</w:t>
        </w:r>
        <w:r w:rsidRPr="00990D3B">
          <w:rPr>
            <w:noProof/>
            <w:webHidden/>
          </w:rPr>
          <w:fldChar w:fldCharType="end"/>
        </w:r>
      </w:hyperlink>
    </w:p>
    <w:p w:rsidR="00676731" w:rsidRPr="00990D3B" w14:paraId="102325E9" w14:textId="230314B5">
      <w:pPr>
        <w:pStyle w:val="TableofFigures"/>
        <w:rPr>
          <w:rFonts w:asciiTheme="minorHAnsi" w:eastAsiaTheme="minorEastAsia" w:hAnsiTheme="minorHAnsi" w:cstheme="minorBidi"/>
          <w:noProof/>
          <w:kern w:val="2"/>
          <w:sz w:val="24"/>
          <w:szCs w:val="24"/>
          <w14:ligatures w14:val="standardContextual"/>
        </w:rPr>
      </w:pPr>
      <w:hyperlink w:anchor="_Toc201751501" w:history="1">
        <w:r w:rsidRPr="00990D3B">
          <w:rPr>
            <w:rStyle w:val="Hyperlink"/>
            <w:noProof/>
          </w:rPr>
          <w:t>Worksheet 2.8. Data and Processes Used to Produce Performance Measures: Findings</w:t>
        </w:r>
        <w:r w:rsidRPr="00990D3B">
          <w:rPr>
            <w:noProof/>
            <w:webHidden/>
          </w:rPr>
          <w:tab/>
        </w:r>
        <w:r w:rsidRPr="00990D3B">
          <w:rPr>
            <w:noProof/>
            <w:webHidden/>
          </w:rPr>
          <w:fldChar w:fldCharType="begin"/>
        </w:r>
        <w:r w:rsidRPr="00990D3B">
          <w:rPr>
            <w:noProof/>
            <w:webHidden/>
          </w:rPr>
          <w:instrText xml:space="preserve"> PAGEREF _Toc201751501 \h </w:instrText>
        </w:r>
        <w:r w:rsidRPr="00990D3B">
          <w:rPr>
            <w:noProof/>
            <w:webHidden/>
          </w:rPr>
          <w:fldChar w:fldCharType="separate"/>
        </w:r>
        <w:r w:rsidRPr="00990D3B">
          <w:rPr>
            <w:noProof/>
            <w:webHidden/>
          </w:rPr>
          <w:t>118</w:t>
        </w:r>
        <w:r w:rsidRPr="00990D3B">
          <w:rPr>
            <w:noProof/>
            <w:webHidden/>
          </w:rPr>
          <w:fldChar w:fldCharType="end"/>
        </w:r>
      </w:hyperlink>
    </w:p>
    <w:p w:rsidR="00676731" w:rsidRPr="00990D3B" w14:paraId="2F72047B" w14:textId="2E7A7AEF">
      <w:pPr>
        <w:pStyle w:val="TableofFigures"/>
        <w:rPr>
          <w:rFonts w:asciiTheme="minorHAnsi" w:eastAsiaTheme="minorEastAsia" w:hAnsiTheme="minorHAnsi" w:cstheme="minorBidi"/>
          <w:noProof/>
          <w:kern w:val="2"/>
          <w:sz w:val="24"/>
          <w:szCs w:val="24"/>
          <w14:ligatures w14:val="standardContextual"/>
        </w:rPr>
      </w:pPr>
      <w:hyperlink w:anchor="_Toc201751502" w:history="1">
        <w:r w:rsidRPr="00990D3B">
          <w:rPr>
            <w:rStyle w:val="Hyperlink"/>
            <w:noProof/>
          </w:rPr>
          <w:t>Worksheet 2.9. Policies, Procedures, and Data Used to Produce Performance Measures: Review Checklist</w:t>
        </w:r>
        <w:r w:rsidRPr="00990D3B">
          <w:rPr>
            <w:noProof/>
            <w:webHidden/>
          </w:rPr>
          <w:tab/>
        </w:r>
        <w:r w:rsidRPr="00990D3B">
          <w:rPr>
            <w:noProof/>
            <w:webHidden/>
          </w:rPr>
          <w:fldChar w:fldCharType="begin"/>
        </w:r>
        <w:r w:rsidRPr="00990D3B">
          <w:rPr>
            <w:noProof/>
            <w:webHidden/>
          </w:rPr>
          <w:instrText xml:space="preserve"> PAGEREF _Toc201751502 \h </w:instrText>
        </w:r>
        <w:r w:rsidRPr="00990D3B">
          <w:rPr>
            <w:noProof/>
            <w:webHidden/>
          </w:rPr>
          <w:fldChar w:fldCharType="separate"/>
        </w:r>
        <w:r w:rsidRPr="00990D3B">
          <w:rPr>
            <w:noProof/>
            <w:webHidden/>
          </w:rPr>
          <w:t>120</w:t>
        </w:r>
        <w:r w:rsidRPr="00990D3B">
          <w:rPr>
            <w:noProof/>
            <w:webHidden/>
          </w:rPr>
          <w:fldChar w:fldCharType="end"/>
        </w:r>
      </w:hyperlink>
    </w:p>
    <w:p w:rsidR="00676731" w:rsidRPr="00990D3B" w14:paraId="4422BC4C" w14:textId="2494FBFB">
      <w:pPr>
        <w:pStyle w:val="TableofFigures"/>
        <w:rPr>
          <w:rFonts w:asciiTheme="minorHAnsi" w:eastAsiaTheme="minorEastAsia" w:hAnsiTheme="minorHAnsi" w:cstheme="minorBidi"/>
          <w:noProof/>
          <w:kern w:val="2"/>
          <w:sz w:val="24"/>
          <w:szCs w:val="24"/>
          <w14:ligatures w14:val="standardContextual"/>
        </w:rPr>
      </w:pPr>
      <w:hyperlink w:anchor="_Toc201751503" w:history="1">
        <w:r w:rsidRPr="00990D3B">
          <w:rPr>
            <w:rStyle w:val="Hyperlink"/>
            <w:noProof/>
          </w:rPr>
          <w:t>Worksheet 2.10. Measure Validation Findings</w:t>
        </w:r>
        <w:r w:rsidRPr="00990D3B">
          <w:rPr>
            <w:noProof/>
            <w:webHidden/>
          </w:rPr>
          <w:tab/>
        </w:r>
        <w:r w:rsidRPr="00990D3B">
          <w:rPr>
            <w:noProof/>
            <w:webHidden/>
          </w:rPr>
          <w:fldChar w:fldCharType="begin"/>
        </w:r>
        <w:r w:rsidRPr="00990D3B">
          <w:rPr>
            <w:noProof/>
            <w:webHidden/>
          </w:rPr>
          <w:instrText xml:space="preserve"> PAGEREF _Toc201751503 \h </w:instrText>
        </w:r>
        <w:r w:rsidRPr="00990D3B">
          <w:rPr>
            <w:noProof/>
            <w:webHidden/>
          </w:rPr>
          <w:fldChar w:fldCharType="separate"/>
        </w:r>
        <w:r w:rsidRPr="00990D3B">
          <w:rPr>
            <w:noProof/>
            <w:webHidden/>
          </w:rPr>
          <w:t>122</w:t>
        </w:r>
        <w:r w:rsidRPr="00990D3B">
          <w:rPr>
            <w:noProof/>
            <w:webHidden/>
          </w:rPr>
          <w:fldChar w:fldCharType="end"/>
        </w:r>
      </w:hyperlink>
    </w:p>
    <w:p w:rsidR="00676731" w:rsidRPr="00990D3B" w14:paraId="039E92BE" w14:textId="2F5B2AA6">
      <w:pPr>
        <w:pStyle w:val="TableofFigures"/>
        <w:rPr>
          <w:rFonts w:asciiTheme="minorHAnsi" w:eastAsiaTheme="minorEastAsia" w:hAnsiTheme="minorHAnsi" w:cstheme="minorBidi"/>
          <w:noProof/>
          <w:kern w:val="2"/>
          <w:sz w:val="24"/>
          <w:szCs w:val="24"/>
          <w14:ligatures w14:val="standardContextual"/>
        </w:rPr>
      </w:pPr>
      <w:hyperlink w:anchor="_Toc201751504" w:history="1">
        <w:r w:rsidRPr="00990D3B">
          <w:rPr>
            <w:rStyle w:val="Hyperlink"/>
            <w:noProof/>
          </w:rPr>
          <w:t>Worksheet 2.11. Interview Guide for Assessing Processes and Procedures Used to Produce Numerators and Denominators</w:t>
        </w:r>
        <w:r w:rsidRPr="00990D3B">
          <w:rPr>
            <w:noProof/>
            <w:webHidden/>
          </w:rPr>
          <w:tab/>
        </w:r>
        <w:r w:rsidRPr="00990D3B">
          <w:rPr>
            <w:noProof/>
            <w:webHidden/>
          </w:rPr>
          <w:fldChar w:fldCharType="begin"/>
        </w:r>
        <w:r w:rsidRPr="00990D3B">
          <w:rPr>
            <w:noProof/>
            <w:webHidden/>
          </w:rPr>
          <w:instrText xml:space="preserve"> PAGEREF _Toc201751504 \h </w:instrText>
        </w:r>
        <w:r w:rsidRPr="00990D3B">
          <w:rPr>
            <w:noProof/>
            <w:webHidden/>
          </w:rPr>
          <w:fldChar w:fldCharType="separate"/>
        </w:r>
        <w:r w:rsidRPr="00990D3B">
          <w:rPr>
            <w:noProof/>
            <w:webHidden/>
          </w:rPr>
          <w:t>126</w:t>
        </w:r>
        <w:r w:rsidRPr="00990D3B">
          <w:rPr>
            <w:noProof/>
            <w:webHidden/>
          </w:rPr>
          <w:fldChar w:fldCharType="end"/>
        </w:r>
      </w:hyperlink>
    </w:p>
    <w:p w:rsidR="00676731" w:rsidRPr="00990D3B" w14:paraId="75704269" w14:textId="26386994">
      <w:pPr>
        <w:pStyle w:val="TableofFigures"/>
        <w:rPr>
          <w:rFonts w:asciiTheme="minorHAnsi" w:eastAsiaTheme="minorEastAsia" w:hAnsiTheme="minorHAnsi" w:cstheme="minorBidi"/>
          <w:noProof/>
          <w:kern w:val="2"/>
          <w:sz w:val="24"/>
          <w:szCs w:val="24"/>
          <w14:ligatures w14:val="standardContextual"/>
        </w:rPr>
      </w:pPr>
      <w:hyperlink w:anchor="_Toc201751505" w:history="1">
        <w:r w:rsidRPr="00990D3B">
          <w:rPr>
            <w:rStyle w:val="Hyperlink"/>
            <w:noProof/>
          </w:rPr>
          <w:t>Worksheet 2.12. Policies, Procedures, and Data Used to Implement Sampling: Review Checklist</w:t>
        </w:r>
        <w:r w:rsidRPr="00990D3B">
          <w:rPr>
            <w:noProof/>
            <w:webHidden/>
          </w:rPr>
          <w:tab/>
        </w:r>
        <w:r w:rsidRPr="00990D3B">
          <w:rPr>
            <w:noProof/>
            <w:webHidden/>
          </w:rPr>
          <w:fldChar w:fldCharType="begin"/>
        </w:r>
        <w:r w:rsidRPr="00990D3B">
          <w:rPr>
            <w:noProof/>
            <w:webHidden/>
          </w:rPr>
          <w:instrText xml:space="preserve"> PAGEREF _Toc201751505 \h </w:instrText>
        </w:r>
        <w:r w:rsidRPr="00990D3B">
          <w:rPr>
            <w:noProof/>
            <w:webHidden/>
          </w:rPr>
          <w:fldChar w:fldCharType="separate"/>
        </w:r>
        <w:r w:rsidRPr="00990D3B">
          <w:rPr>
            <w:noProof/>
            <w:webHidden/>
          </w:rPr>
          <w:t>127</w:t>
        </w:r>
        <w:r w:rsidRPr="00990D3B">
          <w:rPr>
            <w:noProof/>
            <w:webHidden/>
          </w:rPr>
          <w:fldChar w:fldCharType="end"/>
        </w:r>
      </w:hyperlink>
    </w:p>
    <w:p w:rsidR="00676731" w:rsidRPr="00990D3B" w14:paraId="6EB0A99B" w14:textId="3CA289CC">
      <w:pPr>
        <w:pStyle w:val="TableofFigures"/>
        <w:rPr>
          <w:rFonts w:asciiTheme="minorHAnsi" w:eastAsiaTheme="minorEastAsia" w:hAnsiTheme="minorHAnsi" w:cstheme="minorBidi"/>
          <w:noProof/>
          <w:kern w:val="2"/>
          <w:sz w:val="24"/>
          <w:szCs w:val="24"/>
          <w14:ligatures w14:val="standardContextual"/>
        </w:rPr>
      </w:pPr>
      <w:hyperlink w:anchor="_Toc201751506" w:history="1">
        <w:r w:rsidRPr="00990D3B">
          <w:rPr>
            <w:rStyle w:val="Hyperlink"/>
            <w:noProof/>
          </w:rPr>
          <w:t>Worksheet 2.13. Sampling Validation Findings</w:t>
        </w:r>
        <w:r w:rsidRPr="00990D3B">
          <w:rPr>
            <w:noProof/>
            <w:webHidden/>
          </w:rPr>
          <w:tab/>
        </w:r>
        <w:r w:rsidRPr="00990D3B">
          <w:rPr>
            <w:noProof/>
            <w:webHidden/>
          </w:rPr>
          <w:fldChar w:fldCharType="begin"/>
        </w:r>
        <w:r w:rsidRPr="00990D3B">
          <w:rPr>
            <w:noProof/>
            <w:webHidden/>
          </w:rPr>
          <w:instrText xml:space="preserve"> PAGEREF _Toc201751506 \h </w:instrText>
        </w:r>
        <w:r w:rsidRPr="00990D3B">
          <w:rPr>
            <w:noProof/>
            <w:webHidden/>
          </w:rPr>
          <w:fldChar w:fldCharType="separate"/>
        </w:r>
        <w:r w:rsidRPr="00990D3B">
          <w:rPr>
            <w:noProof/>
            <w:webHidden/>
          </w:rPr>
          <w:t>128</w:t>
        </w:r>
        <w:r w:rsidRPr="00990D3B">
          <w:rPr>
            <w:noProof/>
            <w:webHidden/>
          </w:rPr>
          <w:fldChar w:fldCharType="end"/>
        </w:r>
      </w:hyperlink>
    </w:p>
    <w:p w:rsidR="00676731" w:rsidRPr="00990D3B" w14:paraId="0A679C11" w14:textId="558446C9">
      <w:pPr>
        <w:pStyle w:val="TableofFigures"/>
        <w:rPr>
          <w:rFonts w:asciiTheme="minorHAnsi" w:eastAsiaTheme="minorEastAsia" w:hAnsiTheme="minorHAnsi" w:cstheme="minorBidi"/>
          <w:noProof/>
          <w:kern w:val="2"/>
          <w:sz w:val="24"/>
          <w:szCs w:val="24"/>
          <w14:ligatures w14:val="standardContextual"/>
        </w:rPr>
      </w:pPr>
      <w:hyperlink w:anchor="_Toc201751507" w:history="1">
        <w:r w:rsidRPr="00990D3B">
          <w:rPr>
            <w:rStyle w:val="Hyperlink"/>
            <w:noProof/>
          </w:rPr>
          <w:t>Worksheet 2.14. Framework for Summarizing Information About Performance Measures</w:t>
        </w:r>
        <w:r w:rsidRPr="00990D3B">
          <w:rPr>
            <w:noProof/>
            <w:webHidden/>
          </w:rPr>
          <w:tab/>
        </w:r>
        <w:r w:rsidRPr="00990D3B">
          <w:rPr>
            <w:noProof/>
            <w:webHidden/>
          </w:rPr>
          <w:fldChar w:fldCharType="begin"/>
        </w:r>
        <w:r w:rsidRPr="00990D3B">
          <w:rPr>
            <w:noProof/>
            <w:webHidden/>
          </w:rPr>
          <w:instrText xml:space="preserve"> PAGEREF _Toc201751507 \h </w:instrText>
        </w:r>
        <w:r w:rsidRPr="00990D3B">
          <w:rPr>
            <w:noProof/>
            <w:webHidden/>
          </w:rPr>
          <w:fldChar w:fldCharType="separate"/>
        </w:r>
        <w:r w:rsidRPr="00990D3B">
          <w:rPr>
            <w:noProof/>
            <w:webHidden/>
          </w:rPr>
          <w:t>130</w:t>
        </w:r>
        <w:r w:rsidRPr="00990D3B">
          <w:rPr>
            <w:noProof/>
            <w:webHidden/>
          </w:rPr>
          <w:fldChar w:fldCharType="end"/>
        </w:r>
      </w:hyperlink>
    </w:p>
    <w:p w:rsidR="00676731" w:rsidRPr="00990D3B" w14:paraId="43DAFC49" w14:textId="18AEA330">
      <w:pPr>
        <w:pStyle w:val="TableofFigures"/>
        <w:rPr>
          <w:rFonts w:asciiTheme="minorHAnsi" w:eastAsiaTheme="minorEastAsia" w:hAnsiTheme="minorHAnsi" w:cstheme="minorBidi"/>
          <w:noProof/>
          <w:kern w:val="2"/>
          <w:sz w:val="24"/>
          <w:szCs w:val="24"/>
          <w14:ligatures w14:val="standardContextual"/>
        </w:rPr>
      </w:pPr>
      <w:hyperlink w:anchor="_Toc201751508" w:history="1">
        <w:r w:rsidRPr="00990D3B">
          <w:rPr>
            <w:rStyle w:val="Hyperlink"/>
            <w:noProof/>
          </w:rPr>
          <w:t>Example of Worksheet 2.14. Framework for Summarizing Information about Performance Measures</w:t>
        </w:r>
        <w:r w:rsidRPr="00990D3B">
          <w:rPr>
            <w:noProof/>
            <w:webHidden/>
          </w:rPr>
          <w:tab/>
        </w:r>
        <w:r w:rsidRPr="00990D3B">
          <w:rPr>
            <w:noProof/>
            <w:webHidden/>
          </w:rPr>
          <w:fldChar w:fldCharType="begin"/>
        </w:r>
        <w:r w:rsidRPr="00990D3B">
          <w:rPr>
            <w:noProof/>
            <w:webHidden/>
          </w:rPr>
          <w:instrText xml:space="preserve"> PAGEREF _Toc201751508 \h </w:instrText>
        </w:r>
        <w:r w:rsidRPr="00990D3B">
          <w:rPr>
            <w:noProof/>
            <w:webHidden/>
          </w:rPr>
          <w:fldChar w:fldCharType="separate"/>
        </w:r>
        <w:r w:rsidRPr="00990D3B">
          <w:rPr>
            <w:noProof/>
            <w:webHidden/>
          </w:rPr>
          <w:t>132</w:t>
        </w:r>
        <w:r w:rsidRPr="00990D3B">
          <w:rPr>
            <w:noProof/>
            <w:webHidden/>
          </w:rPr>
          <w:fldChar w:fldCharType="end"/>
        </w:r>
      </w:hyperlink>
    </w:p>
    <w:p w:rsidR="00676731" w:rsidRPr="00990D3B" w14:paraId="430D5AA1" w14:textId="58D96A72">
      <w:pPr>
        <w:pStyle w:val="TableofFigures"/>
        <w:rPr>
          <w:rFonts w:asciiTheme="minorHAnsi" w:eastAsiaTheme="minorEastAsia" w:hAnsiTheme="minorHAnsi" w:cstheme="minorBidi"/>
          <w:noProof/>
          <w:kern w:val="2"/>
          <w:sz w:val="24"/>
          <w:szCs w:val="24"/>
          <w14:ligatures w14:val="standardContextual"/>
        </w:rPr>
      </w:pPr>
      <w:hyperlink w:anchor="_Toc201751509" w:history="1">
        <w:r w:rsidRPr="00990D3B">
          <w:rPr>
            <w:rStyle w:val="Hyperlink"/>
            <w:noProof/>
          </w:rPr>
          <w:t>Worksheet 2.15. Performance Measure Validation Reporting</w:t>
        </w:r>
        <w:r w:rsidRPr="00990D3B">
          <w:rPr>
            <w:noProof/>
            <w:webHidden/>
          </w:rPr>
          <w:tab/>
        </w:r>
        <w:r w:rsidRPr="00990D3B">
          <w:rPr>
            <w:noProof/>
            <w:webHidden/>
          </w:rPr>
          <w:fldChar w:fldCharType="begin"/>
        </w:r>
        <w:r w:rsidRPr="00990D3B">
          <w:rPr>
            <w:noProof/>
            <w:webHidden/>
          </w:rPr>
          <w:instrText xml:space="preserve"> PAGEREF _Toc201751509 \h </w:instrText>
        </w:r>
        <w:r w:rsidRPr="00990D3B">
          <w:rPr>
            <w:noProof/>
            <w:webHidden/>
          </w:rPr>
          <w:fldChar w:fldCharType="separate"/>
        </w:r>
        <w:r w:rsidRPr="00990D3B">
          <w:rPr>
            <w:noProof/>
            <w:webHidden/>
          </w:rPr>
          <w:t>134</w:t>
        </w:r>
        <w:r w:rsidRPr="00990D3B">
          <w:rPr>
            <w:noProof/>
            <w:webHidden/>
          </w:rPr>
          <w:fldChar w:fldCharType="end"/>
        </w:r>
      </w:hyperlink>
    </w:p>
    <w:p w:rsidR="00676731" w:rsidRPr="00990D3B" w14:paraId="725AB1B8" w14:textId="612B4D18">
      <w:pPr>
        <w:pStyle w:val="TableofFigures"/>
        <w:rPr>
          <w:rFonts w:asciiTheme="minorHAnsi" w:eastAsiaTheme="minorEastAsia" w:hAnsiTheme="minorHAnsi" w:cstheme="minorBidi"/>
          <w:noProof/>
          <w:kern w:val="2"/>
          <w:sz w:val="24"/>
          <w:szCs w:val="24"/>
          <w14:ligatures w14:val="standardContextual"/>
        </w:rPr>
      </w:pPr>
      <w:hyperlink w:anchor="_Toc201751510" w:history="1">
        <w:r w:rsidRPr="00990D3B">
          <w:rPr>
            <w:rStyle w:val="Hyperlink"/>
            <w:noProof/>
          </w:rPr>
          <w:t>Examples of Worksheet 2.15 Performance Measure Validation Reporting</w:t>
        </w:r>
        <w:r w:rsidRPr="00990D3B">
          <w:rPr>
            <w:noProof/>
            <w:webHidden/>
          </w:rPr>
          <w:tab/>
        </w:r>
        <w:r w:rsidRPr="00990D3B">
          <w:rPr>
            <w:noProof/>
            <w:webHidden/>
          </w:rPr>
          <w:fldChar w:fldCharType="begin"/>
        </w:r>
        <w:r w:rsidRPr="00990D3B">
          <w:rPr>
            <w:noProof/>
            <w:webHidden/>
          </w:rPr>
          <w:instrText xml:space="preserve"> PAGEREF _Toc201751510 \h </w:instrText>
        </w:r>
        <w:r w:rsidRPr="00990D3B">
          <w:rPr>
            <w:noProof/>
            <w:webHidden/>
          </w:rPr>
          <w:fldChar w:fldCharType="separate"/>
        </w:r>
        <w:r w:rsidRPr="00990D3B">
          <w:rPr>
            <w:noProof/>
            <w:webHidden/>
          </w:rPr>
          <w:t>137</w:t>
        </w:r>
        <w:r w:rsidRPr="00990D3B">
          <w:rPr>
            <w:noProof/>
            <w:webHidden/>
          </w:rPr>
          <w:fldChar w:fldCharType="end"/>
        </w:r>
      </w:hyperlink>
    </w:p>
    <w:p w:rsidR="00676731" w:rsidRPr="00990D3B" w14:paraId="1C60DAE1" w14:textId="5E1E51F7">
      <w:pPr>
        <w:pStyle w:val="TableofFigures"/>
        <w:rPr>
          <w:rFonts w:asciiTheme="minorHAnsi" w:eastAsiaTheme="minorEastAsia" w:hAnsiTheme="minorHAnsi" w:cstheme="minorBidi"/>
          <w:noProof/>
          <w:kern w:val="2"/>
          <w:sz w:val="24"/>
          <w:szCs w:val="24"/>
          <w14:ligatures w14:val="standardContextual"/>
        </w:rPr>
      </w:pPr>
      <w:hyperlink w:anchor="_Toc201751511" w:history="1">
        <w:r w:rsidRPr="00990D3B">
          <w:rPr>
            <w:rStyle w:val="Hyperlink"/>
            <w:noProof/>
          </w:rPr>
          <w:t>Worksheet 2.16. Performance Measure Reporting</w:t>
        </w:r>
        <w:r w:rsidRPr="00990D3B">
          <w:rPr>
            <w:noProof/>
            <w:webHidden/>
          </w:rPr>
          <w:tab/>
        </w:r>
        <w:r w:rsidRPr="00990D3B">
          <w:rPr>
            <w:noProof/>
            <w:webHidden/>
          </w:rPr>
          <w:fldChar w:fldCharType="begin"/>
        </w:r>
        <w:r w:rsidRPr="00990D3B">
          <w:rPr>
            <w:noProof/>
            <w:webHidden/>
          </w:rPr>
          <w:instrText xml:space="preserve"> PAGEREF _Toc201751511 \h </w:instrText>
        </w:r>
        <w:r w:rsidRPr="00990D3B">
          <w:rPr>
            <w:noProof/>
            <w:webHidden/>
          </w:rPr>
          <w:fldChar w:fldCharType="separate"/>
        </w:r>
        <w:r w:rsidRPr="00990D3B">
          <w:rPr>
            <w:noProof/>
            <w:webHidden/>
          </w:rPr>
          <w:t>139</w:t>
        </w:r>
        <w:r w:rsidRPr="00990D3B">
          <w:rPr>
            <w:noProof/>
            <w:webHidden/>
          </w:rPr>
          <w:fldChar w:fldCharType="end"/>
        </w:r>
      </w:hyperlink>
    </w:p>
    <w:p w:rsidR="00676731" w:rsidRPr="00990D3B" w14:paraId="4AB9A71B" w14:textId="1A418089">
      <w:pPr>
        <w:pStyle w:val="TableofFigures"/>
        <w:rPr>
          <w:rFonts w:asciiTheme="minorHAnsi" w:eastAsiaTheme="minorEastAsia" w:hAnsiTheme="minorHAnsi" w:cstheme="minorBidi"/>
          <w:noProof/>
          <w:kern w:val="2"/>
          <w:sz w:val="24"/>
          <w:szCs w:val="24"/>
          <w14:ligatures w14:val="standardContextual"/>
        </w:rPr>
      </w:pPr>
      <w:hyperlink w:anchor="_Toc201751512" w:history="1">
        <w:r w:rsidRPr="00990D3B">
          <w:rPr>
            <w:rStyle w:val="Hyperlink"/>
            <w:noProof/>
          </w:rPr>
          <w:t>Example Worksheet 2.16. Performance Measure Reporting</w:t>
        </w:r>
        <w:r w:rsidRPr="00990D3B">
          <w:rPr>
            <w:noProof/>
            <w:webHidden/>
          </w:rPr>
          <w:tab/>
        </w:r>
        <w:r w:rsidRPr="00990D3B">
          <w:rPr>
            <w:noProof/>
            <w:webHidden/>
          </w:rPr>
          <w:fldChar w:fldCharType="begin"/>
        </w:r>
        <w:r w:rsidRPr="00990D3B">
          <w:rPr>
            <w:noProof/>
            <w:webHidden/>
          </w:rPr>
          <w:instrText xml:space="preserve"> PAGEREF _Toc201751512 \h </w:instrText>
        </w:r>
        <w:r w:rsidRPr="00990D3B">
          <w:rPr>
            <w:noProof/>
            <w:webHidden/>
          </w:rPr>
          <w:fldChar w:fldCharType="separate"/>
        </w:r>
        <w:r w:rsidRPr="00990D3B">
          <w:rPr>
            <w:noProof/>
            <w:webHidden/>
          </w:rPr>
          <w:t>139</w:t>
        </w:r>
        <w:r w:rsidRPr="00990D3B">
          <w:rPr>
            <w:noProof/>
            <w:webHidden/>
          </w:rPr>
          <w:fldChar w:fldCharType="end"/>
        </w:r>
      </w:hyperlink>
    </w:p>
    <w:p w:rsidR="00676731" w:rsidRPr="00990D3B" w14:paraId="4F4C8795" w14:textId="2E1A7860">
      <w:pPr>
        <w:pStyle w:val="TableofFigures"/>
        <w:rPr>
          <w:rFonts w:asciiTheme="minorHAnsi" w:eastAsiaTheme="minorEastAsia" w:hAnsiTheme="minorHAnsi" w:cstheme="minorBidi"/>
          <w:noProof/>
          <w:kern w:val="2"/>
          <w:sz w:val="24"/>
          <w:szCs w:val="24"/>
          <w14:ligatures w14:val="standardContextual"/>
        </w:rPr>
      </w:pPr>
      <w:hyperlink w:anchor="_Toc201751513" w:history="1">
        <w:r w:rsidRPr="00990D3B">
          <w:rPr>
            <w:rStyle w:val="Hyperlink"/>
            <w:noProof/>
          </w:rPr>
          <w:t>Worksheet 3.1. Compliance Review</w:t>
        </w:r>
        <w:r w:rsidRPr="00990D3B">
          <w:rPr>
            <w:noProof/>
            <w:webHidden/>
          </w:rPr>
          <w:tab/>
        </w:r>
        <w:r w:rsidRPr="00990D3B">
          <w:rPr>
            <w:noProof/>
            <w:webHidden/>
          </w:rPr>
          <w:fldChar w:fldCharType="begin"/>
        </w:r>
        <w:r w:rsidRPr="00990D3B">
          <w:rPr>
            <w:noProof/>
            <w:webHidden/>
          </w:rPr>
          <w:instrText xml:space="preserve"> PAGEREF _Toc201751513 \h </w:instrText>
        </w:r>
        <w:r w:rsidRPr="00990D3B">
          <w:rPr>
            <w:noProof/>
            <w:webHidden/>
          </w:rPr>
          <w:fldChar w:fldCharType="separate"/>
        </w:r>
        <w:r w:rsidRPr="00990D3B">
          <w:rPr>
            <w:noProof/>
            <w:webHidden/>
          </w:rPr>
          <w:t>156</w:t>
        </w:r>
        <w:r w:rsidRPr="00990D3B">
          <w:rPr>
            <w:noProof/>
            <w:webHidden/>
          </w:rPr>
          <w:fldChar w:fldCharType="end"/>
        </w:r>
      </w:hyperlink>
    </w:p>
    <w:p w:rsidR="00676731" w:rsidRPr="00990D3B" w14:paraId="45FA31A0" w14:textId="392BBAAC">
      <w:pPr>
        <w:pStyle w:val="TableofFigures"/>
        <w:rPr>
          <w:rFonts w:asciiTheme="minorHAnsi" w:eastAsiaTheme="minorEastAsia" w:hAnsiTheme="minorHAnsi" w:cstheme="minorBidi"/>
          <w:noProof/>
          <w:kern w:val="2"/>
          <w:sz w:val="24"/>
          <w:szCs w:val="24"/>
          <w14:ligatures w14:val="standardContextual"/>
        </w:rPr>
      </w:pPr>
      <w:hyperlink w:anchor="_Toc201751514" w:history="1">
        <w:r w:rsidRPr="00990D3B">
          <w:rPr>
            <w:rStyle w:val="Hyperlink"/>
            <w:noProof/>
          </w:rPr>
          <w:t>Worksheet 3.2. Compliance Definitions</w:t>
        </w:r>
        <w:r w:rsidRPr="00990D3B">
          <w:rPr>
            <w:noProof/>
            <w:webHidden/>
          </w:rPr>
          <w:tab/>
        </w:r>
        <w:r w:rsidRPr="00990D3B">
          <w:rPr>
            <w:noProof/>
            <w:webHidden/>
          </w:rPr>
          <w:fldChar w:fldCharType="begin"/>
        </w:r>
        <w:r w:rsidRPr="00990D3B">
          <w:rPr>
            <w:noProof/>
            <w:webHidden/>
          </w:rPr>
          <w:instrText xml:space="preserve"> PAGEREF _Toc201751514 \h </w:instrText>
        </w:r>
        <w:r w:rsidRPr="00990D3B">
          <w:rPr>
            <w:noProof/>
            <w:webHidden/>
          </w:rPr>
          <w:fldChar w:fldCharType="separate"/>
        </w:r>
        <w:r w:rsidRPr="00990D3B">
          <w:rPr>
            <w:noProof/>
            <w:webHidden/>
          </w:rPr>
          <w:t>192</w:t>
        </w:r>
        <w:r w:rsidRPr="00990D3B">
          <w:rPr>
            <w:noProof/>
            <w:webHidden/>
          </w:rPr>
          <w:fldChar w:fldCharType="end"/>
        </w:r>
      </w:hyperlink>
    </w:p>
    <w:p w:rsidR="00676731" w:rsidRPr="00990D3B" w14:paraId="2A4EA071" w14:textId="5CCBBD87">
      <w:pPr>
        <w:pStyle w:val="TableofFigures"/>
        <w:rPr>
          <w:rFonts w:asciiTheme="minorHAnsi" w:eastAsiaTheme="minorEastAsia" w:hAnsiTheme="minorHAnsi" w:cstheme="minorBidi"/>
          <w:noProof/>
          <w:kern w:val="2"/>
          <w:sz w:val="24"/>
          <w:szCs w:val="24"/>
          <w14:ligatures w14:val="standardContextual"/>
        </w:rPr>
      </w:pPr>
      <w:hyperlink w:anchor="_Toc201751515" w:history="1">
        <w:r w:rsidRPr="00990D3B">
          <w:rPr>
            <w:rStyle w:val="Hyperlink"/>
            <w:noProof/>
          </w:rPr>
          <w:t>Worksheet 3.3. Sample Site Visit Agenda</w:t>
        </w:r>
        <w:r w:rsidRPr="00990D3B">
          <w:rPr>
            <w:noProof/>
            <w:webHidden/>
          </w:rPr>
          <w:tab/>
        </w:r>
        <w:r w:rsidRPr="00990D3B">
          <w:rPr>
            <w:noProof/>
            <w:webHidden/>
          </w:rPr>
          <w:fldChar w:fldCharType="begin"/>
        </w:r>
        <w:r w:rsidRPr="00990D3B">
          <w:rPr>
            <w:noProof/>
            <w:webHidden/>
          </w:rPr>
          <w:instrText xml:space="preserve"> PAGEREF _Toc201751515 \h </w:instrText>
        </w:r>
        <w:r w:rsidRPr="00990D3B">
          <w:rPr>
            <w:noProof/>
            <w:webHidden/>
          </w:rPr>
          <w:fldChar w:fldCharType="separate"/>
        </w:r>
        <w:r w:rsidRPr="00990D3B">
          <w:rPr>
            <w:noProof/>
            <w:webHidden/>
          </w:rPr>
          <w:t>194</w:t>
        </w:r>
        <w:r w:rsidRPr="00990D3B">
          <w:rPr>
            <w:noProof/>
            <w:webHidden/>
          </w:rPr>
          <w:fldChar w:fldCharType="end"/>
        </w:r>
      </w:hyperlink>
    </w:p>
    <w:p w:rsidR="00676731" w:rsidRPr="00990D3B" w14:paraId="256DD64F" w14:textId="1B0E80C8">
      <w:pPr>
        <w:pStyle w:val="TableofFigures"/>
        <w:rPr>
          <w:rFonts w:asciiTheme="minorHAnsi" w:eastAsiaTheme="minorEastAsia" w:hAnsiTheme="minorHAnsi" w:cstheme="minorBidi"/>
          <w:noProof/>
          <w:kern w:val="2"/>
          <w:sz w:val="24"/>
          <w:szCs w:val="24"/>
          <w14:ligatures w14:val="standardContextual"/>
        </w:rPr>
      </w:pPr>
      <w:hyperlink w:anchor="_Toc201751516" w:history="1">
        <w:r w:rsidRPr="00990D3B">
          <w:rPr>
            <w:rStyle w:val="Hyperlink"/>
            <w:noProof/>
          </w:rPr>
          <w:t>Worksheet 3.4. Compliance Interview Questions</w:t>
        </w:r>
        <w:r w:rsidRPr="00990D3B">
          <w:rPr>
            <w:noProof/>
            <w:webHidden/>
          </w:rPr>
          <w:tab/>
        </w:r>
        <w:r w:rsidRPr="00990D3B">
          <w:rPr>
            <w:noProof/>
            <w:webHidden/>
          </w:rPr>
          <w:fldChar w:fldCharType="begin"/>
        </w:r>
        <w:r w:rsidRPr="00990D3B">
          <w:rPr>
            <w:noProof/>
            <w:webHidden/>
          </w:rPr>
          <w:instrText xml:space="preserve"> PAGEREF _Toc201751516 \h </w:instrText>
        </w:r>
        <w:r w:rsidRPr="00990D3B">
          <w:rPr>
            <w:noProof/>
            <w:webHidden/>
          </w:rPr>
          <w:fldChar w:fldCharType="separate"/>
        </w:r>
        <w:r w:rsidRPr="00990D3B">
          <w:rPr>
            <w:noProof/>
            <w:webHidden/>
          </w:rPr>
          <w:t>195</w:t>
        </w:r>
        <w:r w:rsidRPr="00990D3B">
          <w:rPr>
            <w:noProof/>
            <w:webHidden/>
          </w:rPr>
          <w:fldChar w:fldCharType="end"/>
        </w:r>
      </w:hyperlink>
    </w:p>
    <w:p w:rsidR="00676731" w:rsidRPr="00990D3B" w14:paraId="01C36494" w14:textId="418479CA">
      <w:pPr>
        <w:pStyle w:val="TableofFigures"/>
        <w:rPr>
          <w:rFonts w:asciiTheme="minorHAnsi" w:eastAsiaTheme="minorEastAsia" w:hAnsiTheme="minorHAnsi" w:cstheme="minorBidi"/>
          <w:noProof/>
          <w:kern w:val="2"/>
          <w:sz w:val="24"/>
          <w:szCs w:val="24"/>
          <w14:ligatures w14:val="standardContextual"/>
        </w:rPr>
      </w:pPr>
      <w:hyperlink w:anchor="_Toc201751517" w:history="1">
        <w:r w:rsidRPr="00990D3B">
          <w:rPr>
            <w:rStyle w:val="Hyperlink"/>
            <w:noProof/>
          </w:rPr>
          <w:t>Worksheet 3.5. Timeline and Crosswalk of State and Federal Standards Reviewed Templates</w:t>
        </w:r>
        <w:r w:rsidRPr="00990D3B">
          <w:rPr>
            <w:noProof/>
            <w:webHidden/>
          </w:rPr>
          <w:tab/>
        </w:r>
        <w:r w:rsidRPr="00990D3B">
          <w:rPr>
            <w:noProof/>
            <w:webHidden/>
          </w:rPr>
          <w:fldChar w:fldCharType="begin"/>
        </w:r>
        <w:r w:rsidRPr="00990D3B">
          <w:rPr>
            <w:noProof/>
            <w:webHidden/>
          </w:rPr>
          <w:instrText xml:space="preserve"> PAGEREF _Toc201751517 \h </w:instrText>
        </w:r>
        <w:r w:rsidRPr="00990D3B">
          <w:rPr>
            <w:noProof/>
            <w:webHidden/>
          </w:rPr>
          <w:fldChar w:fldCharType="separate"/>
        </w:r>
        <w:r w:rsidRPr="00990D3B">
          <w:rPr>
            <w:noProof/>
            <w:webHidden/>
          </w:rPr>
          <w:t>234</w:t>
        </w:r>
        <w:r w:rsidRPr="00990D3B">
          <w:rPr>
            <w:noProof/>
            <w:webHidden/>
          </w:rPr>
          <w:fldChar w:fldCharType="end"/>
        </w:r>
      </w:hyperlink>
    </w:p>
    <w:p w:rsidR="00676731" w:rsidRPr="00990D3B" w14:paraId="3FF62701" w14:textId="570042AB">
      <w:pPr>
        <w:pStyle w:val="TableofFigures"/>
        <w:rPr>
          <w:rFonts w:asciiTheme="minorHAnsi" w:eastAsiaTheme="minorEastAsia" w:hAnsiTheme="minorHAnsi" w:cstheme="minorBidi"/>
          <w:noProof/>
          <w:kern w:val="2"/>
          <w:sz w:val="24"/>
          <w:szCs w:val="24"/>
          <w14:ligatures w14:val="standardContextual"/>
        </w:rPr>
      </w:pPr>
      <w:hyperlink w:anchor="_Toc201751518" w:history="1">
        <w:r w:rsidRPr="00990D3B">
          <w:rPr>
            <w:rStyle w:val="Hyperlink"/>
            <w:noProof/>
          </w:rPr>
          <w:t>Examples of Worksheet 3.5 Timeline and Crosswalk of State and Federal Standards Reviewed Templates</w:t>
        </w:r>
        <w:r w:rsidRPr="00990D3B">
          <w:rPr>
            <w:noProof/>
            <w:webHidden/>
          </w:rPr>
          <w:tab/>
        </w:r>
        <w:r w:rsidRPr="00990D3B">
          <w:rPr>
            <w:noProof/>
            <w:webHidden/>
          </w:rPr>
          <w:fldChar w:fldCharType="begin"/>
        </w:r>
        <w:r w:rsidRPr="00990D3B">
          <w:rPr>
            <w:noProof/>
            <w:webHidden/>
          </w:rPr>
          <w:instrText xml:space="preserve"> PAGEREF _Toc201751518 \h </w:instrText>
        </w:r>
        <w:r w:rsidRPr="00990D3B">
          <w:rPr>
            <w:noProof/>
            <w:webHidden/>
          </w:rPr>
          <w:fldChar w:fldCharType="separate"/>
        </w:r>
        <w:r w:rsidRPr="00990D3B">
          <w:rPr>
            <w:noProof/>
            <w:webHidden/>
          </w:rPr>
          <w:t>236</w:t>
        </w:r>
        <w:r w:rsidRPr="00990D3B">
          <w:rPr>
            <w:noProof/>
            <w:webHidden/>
          </w:rPr>
          <w:fldChar w:fldCharType="end"/>
        </w:r>
      </w:hyperlink>
    </w:p>
    <w:p w:rsidR="00676731" w:rsidRPr="00990D3B" w14:paraId="614335C5" w14:textId="1C4A6A37">
      <w:pPr>
        <w:pStyle w:val="TableofFigures"/>
        <w:rPr>
          <w:rFonts w:asciiTheme="minorHAnsi" w:eastAsiaTheme="minorEastAsia" w:hAnsiTheme="minorHAnsi" w:cstheme="minorBidi"/>
          <w:noProof/>
          <w:kern w:val="2"/>
          <w:sz w:val="24"/>
          <w:szCs w:val="24"/>
          <w14:ligatures w14:val="standardContextual"/>
        </w:rPr>
      </w:pPr>
      <w:hyperlink w:anchor="_Toc201751519" w:history="1">
        <w:r w:rsidRPr="00990D3B">
          <w:rPr>
            <w:rStyle w:val="Hyperlink"/>
            <w:noProof/>
          </w:rPr>
          <w:t>Worksheet 3.6. Compliance Review Findings Reporting Template</w:t>
        </w:r>
        <w:r w:rsidRPr="00990D3B">
          <w:rPr>
            <w:noProof/>
            <w:webHidden/>
          </w:rPr>
          <w:tab/>
        </w:r>
        <w:r w:rsidRPr="00990D3B">
          <w:rPr>
            <w:noProof/>
            <w:webHidden/>
          </w:rPr>
          <w:fldChar w:fldCharType="begin"/>
        </w:r>
        <w:r w:rsidRPr="00990D3B">
          <w:rPr>
            <w:noProof/>
            <w:webHidden/>
          </w:rPr>
          <w:instrText xml:space="preserve"> PAGEREF _Toc201751519 \h </w:instrText>
        </w:r>
        <w:r w:rsidRPr="00990D3B">
          <w:rPr>
            <w:noProof/>
            <w:webHidden/>
          </w:rPr>
          <w:fldChar w:fldCharType="separate"/>
        </w:r>
        <w:r w:rsidRPr="00990D3B">
          <w:rPr>
            <w:noProof/>
            <w:webHidden/>
          </w:rPr>
          <w:t>238</w:t>
        </w:r>
        <w:r w:rsidRPr="00990D3B">
          <w:rPr>
            <w:noProof/>
            <w:webHidden/>
          </w:rPr>
          <w:fldChar w:fldCharType="end"/>
        </w:r>
      </w:hyperlink>
    </w:p>
    <w:p w:rsidR="00676731" w:rsidRPr="00990D3B" w14:paraId="6A72A054" w14:textId="7B3FE185">
      <w:pPr>
        <w:pStyle w:val="TableofFigures"/>
        <w:rPr>
          <w:rFonts w:asciiTheme="minorHAnsi" w:eastAsiaTheme="minorEastAsia" w:hAnsiTheme="minorHAnsi" w:cstheme="minorBidi"/>
          <w:noProof/>
          <w:kern w:val="2"/>
          <w:sz w:val="24"/>
          <w:szCs w:val="24"/>
          <w14:ligatures w14:val="standardContextual"/>
        </w:rPr>
      </w:pPr>
      <w:hyperlink w:anchor="_Toc201751520" w:history="1">
        <w:r w:rsidRPr="00990D3B">
          <w:rPr>
            <w:rStyle w:val="Hyperlink"/>
            <w:noProof/>
          </w:rPr>
          <w:t>Examples of Worksheet 3.6 Compliance Review Reporting Template</w:t>
        </w:r>
        <w:r w:rsidRPr="00990D3B">
          <w:rPr>
            <w:noProof/>
            <w:webHidden/>
          </w:rPr>
          <w:tab/>
        </w:r>
        <w:r w:rsidRPr="00990D3B">
          <w:rPr>
            <w:noProof/>
            <w:webHidden/>
          </w:rPr>
          <w:fldChar w:fldCharType="begin"/>
        </w:r>
        <w:r w:rsidRPr="00990D3B">
          <w:rPr>
            <w:noProof/>
            <w:webHidden/>
          </w:rPr>
          <w:instrText xml:space="preserve"> PAGEREF _Toc201751520 \h </w:instrText>
        </w:r>
        <w:r w:rsidRPr="00990D3B">
          <w:rPr>
            <w:noProof/>
            <w:webHidden/>
          </w:rPr>
          <w:fldChar w:fldCharType="separate"/>
        </w:r>
        <w:r w:rsidRPr="00990D3B">
          <w:rPr>
            <w:noProof/>
            <w:webHidden/>
          </w:rPr>
          <w:t>238</w:t>
        </w:r>
        <w:r w:rsidRPr="00990D3B">
          <w:rPr>
            <w:noProof/>
            <w:webHidden/>
          </w:rPr>
          <w:fldChar w:fldCharType="end"/>
        </w:r>
      </w:hyperlink>
    </w:p>
    <w:p w:rsidR="00676731" w:rsidRPr="00990D3B" w14:paraId="4A7DA795" w14:textId="195EC3E4">
      <w:pPr>
        <w:pStyle w:val="TableofFigures"/>
        <w:rPr>
          <w:rFonts w:asciiTheme="minorHAnsi" w:eastAsiaTheme="minorEastAsia" w:hAnsiTheme="minorHAnsi" w:cstheme="minorBidi"/>
          <w:noProof/>
          <w:kern w:val="2"/>
          <w:sz w:val="24"/>
          <w:szCs w:val="24"/>
          <w14:ligatures w14:val="standardContextual"/>
        </w:rPr>
      </w:pPr>
      <w:hyperlink w:anchor="_Toc201751521" w:history="1">
        <w:r w:rsidRPr="00990D3B">
          <w:rPr>
            <w:rStyle w:val="Hyperlink"/>
            <w:noProof/>
          </w:rPr>
          <w:t>Worksheet 4.1. State Network Adequacy Standards to be Validated</w:t>
        </w:r>
        <w:r w:rsidRPr="00990D3B">
          <w:rPr>
            <w:noProof/>
            <w:webHidden/>
          </w:rPr>
          <w:tab/>
        </w:r>
        <w:r w:rsidRPr="00990D3B">
          <w:rPr>
            <w:noProof/>
            <w:webHidden/>
          </w:rPr>
          <w:fldChar w:fldCharType="begin"/>
        </w:r>
        <w:r w:rsidRPr="00990D3B">
          <w:rPr>
            <w:noProof/>
            <w:webHidden/>
          </w:rPr>
          <w:instrText xml:space="preserve"> PAGEREF _Toc201751521 \h </w:instrText>
        </w:r>
        <w:r w:rsidRPr="00990D3B">
          <w:rPr>
            <w:noProof/>
            <w:webHidden/>
          </w:rPr>
          <w:fldChar w:fldCharType="separate"/>
        </w:r>
        <w:r w:rsidRPr="00990D3B">
          <w:rPr>
            <w:noProof/>
            <w:webHidden/>
          </w:rPr>
          <w:t>257</w:t>
        </w:r>
        <w:r w:rsidRPr="00990D3B">
          <w:rPr>
            <w:noProof/>
            <w:webHidden/>
          </w:rPr>
          <w:fldChar w:fldCharType="end"/>
        </w:r>
      </w:hyperlink>
    </w:p>
    <w:p w:rsidR="00676731" w:rsidRPr="00990D3B" w14:paraId="5192DCA3" w14:textId="21190667">
      <w:pPr>
        <w:pStyle w:val="TableofFigures"/>
        <w:rPr>
          <w:rFonts w:asciiTheme="minorHAnsi" w:eastAsiaTheme="minorEastAsia" w:hAnsiTheme="minorHAnsi" w:cstheme="minorBidi"/>
          <w:noProof/>
          <w:kern w:val="2"/>
          <w:sz w:val="24"/>
          <w:szCs w:val="24"/>
          <w14:ligatures w14:val="standardContextual"/>
        </w:rPr>
      </w:pPr>
      <w:hyperlink w:anchor="_Toc201751522" w:history="1">
        <w:r w:rsidRPr="00990D3B">
          <w:rPr>
            <w:rStyle w:val="Hyperlink"/>
            <w:noProof/>
          </w:rPr>
          <w:t>Example of Worksheet 4.1. State Network Adequacy Standards to Be Validated</w:t>
        </w:r>
        <w:r w:rsidRPr="00990D3B">
          <w:rPr>
            <w:noProof/>
            <w:webHidden/>
          </w:rPr>
          <w:tab/>
        </w:r>
        <w:r w:rsidRPr="00990D3B">
          <w:rPr>
            <w:noProof/>
            <w:webHidden/>
          </w:rPr>
          <w:fldChar w:fldCharType="begin"/>
        </w:r>
        <w:r w:rsidRPr="00990D3B">
          <w:rPr>
            <w:noProof/>
            <w:webHidden/>
          </w:rPr>
          <w:instrText xml:space="preserve"> PAGEREF _Toc201751522 \h </w:instrText>
        </w:r>
        <w:r w:rsidRPr="00990D3B">
          <w:rPr>
            <w:noProof/>
            <w:webHidden/>
          </w:rPr>
          <w:fldChar w:fldCharType="separate"/>
        </w:r>
        <w:r w:rsidRPr="00990D3B">
          <w:rPr>
            <w:noProof/>
            <w:webHidden/>
          </w:rPr>
          <w:t>257</w:t>
        </w:r>
        <w:r w:rsidRPr="00990D3B">
          <w:rPr>
            <w:noProof/>
            <w:webHidden/>
          </w:rPr>
          <w:fldChar w:fldCharType="end"/>
        </w:r>
      </w:hyperlink>
    </w:p>
    <w:p w:rsidR="00676731" w:rsidRPr="00990D3B" w14:paraId="0A274D6F" w14:textId="58DBB30C">
      <w:pPr>
        <w:pStyle w:val="TableofFigures"/>
        <w:rPr>
          <w:rFonts w:asciiTheme="minorHAnsi" w:eastAsiaTheme="minorEastAsia" w:hAnsiTheme="minorHAnsi" w:cstheme="minorBidi"/>
          <w:noProof/>
          <w:kern w:val="2"/>
          <w:sz w:val="24"/>
          <w:szCs w:val="24"/>
          <w14:ligatures w14:val="standardContextual"/>
        </w:rPr>
      </w:pPr>
      <w:hyperlink w:anchor="_Toc201751523" w:history="1">
        <w:r w:rsidRPr="00990D3B">
          <w:rPr>
            <w:rStyle w:val="Hyperlink"/>
            <w:noProof/>
          </w:rPr>
          <w:t>Worksheet 4.2. Network Adequacy Indicators to be Validated</w:t>
        </w:r>
        <w:r w:rsidRPr="00990D3B">
          <w:rPr>
            <w:noProof/>
            <w:webHidden/>
          </w:rPr>
          <w:tab/>
        </w:r>
        <w:r w:rsidRPr="00990D3B">
          <w:rPr>
            <w:noProof/>
            <w:webHidden/>
          </w:rPr>
          <w:fldChar w:fldCharType="begin"/>
        </w:r>
        <w:r w:rsidRPr="00990D3B">
          <w:rPr>
            <w:noProof/>
            <w:webHidden/>
          </w:rPr>
          <w:instrText xml:space="preserve"> PAGEREF _Toc201751523 \h </w:instrText>
        </w:r>
        <w:r w:rsidRPr="00990D3B">
          <w:rPr>
            <w:noProof/>
            <w:webHidden/>
          </w:rPr>
          <w:fldChar w:fldCharType="separate"/>
        </w:r>
        <w:r w:rsidRPr="00990D3B">
          <w:rPr>
            <w:noProof/>
            <w:webHidden/>
          </w:rPr>
          <w:t>258</w:t>
        </w:r>
        <w:r w:rsidRPr="00990D3B">
          <w:rPr>
            <w:noProof/>
            <w:webHidden/>
          </w:rPr>
          <w:fldChar w:fldCharType="end"/>
        </w:r>
      </w:hyperlink>
    </w:p>
    <w:p w:rsidR="00676731" w:rsidRPr="00990D3B" w14:paraId="20D2443D" w14:textId="68D192D0">
      <w:pPr>
        <w:pStyle w:val="TableofFigures"/>
        <w:rPr>
          <w:rFonts w:asciiTheme="minorHAnsi" w:eastAsiaTheme="minorEastAsia" w:hAnsiTheme="minorHAnsi" w:cstheme="minorBidi"/>
          <w:noProof/>
          <w:kern w:val="2"/>
          <w:sz w:val="24"/>
          <w:szCs w:val="24"/>
          <w14:ligatures w14:val="standardContextual"/>
        </w:rPr>
      </w:pPr>
      <w:hyperlink w:anchor="_Toc201751524" w:history="1">
        <w:r w:rsidRPr="00990D3B">
          <w:rPr>
            <w:rStyle w:val="Hyperlink"/>
            <w:noProof/>
          </w:rPr>
          <w:t>Example Worksheet 4.2 State Network Adequacy Standards to Be Validated</w:t>
        </w:r>
        <w:r w:rsidRPr="00990D3B">
          <w:rPr>
            <w:noProof/>
            <w:webHidden/>
          </w:rPr>
          <w:tab/>
        </w:r>
        <w:r w:rsidRPr="00990D3B">
          <w:rPr>
            <w:noProof/>
            <w:webHidden/>
          </w:rPr>
          <w:fldChar w:fldCharType="begin"/>
        </w:r>
        <w:r w:rsidRPr="00990D3B">
          <w:rPr>
            <w:noProof/>
            <w:webHidden/>
          </w:rPr>
          <w:instrText xml:space="preserve"> PAGEREF _Toc201751524 \h </w:instrText>
        </w:r>
        <w:r w:rsidRPr="00990D3B">
          <w:rPr>
            <w:noProof/>
            <w:webHidden/>
          </w:rPr>
          <w:fldChar w:fldCharType="separate"/>
        </w:r>
        <w:r w:rsidRPr="00990D3B">
          <w:rPr>
            <w:noProof/>
            <w:webHidden/>
          </w:rPr>
          <w:t>258</w:t>
        </w:r>
        <w:r w:rsidRPr="00990D3B">
          <w:rPr>
            <w:noProof/>
            <w:webHidden/>
          </w:rPr>
          <w:fldChar w:fldCharType="end"/>
        </w:r>
      </w:hyperlink>
    </w:p>
    <w:p w:rsidR="00676731" w:rsidRPr="00990D3B" w14:paraId="3D909261" w14:textId="43BC331F">
      <w:pPr>
        <w:pStyle w:val="TableofFigures"/>
        <w:rPr>
          <w:rFonts w:asciiTheme="minorHAnsi" w:eastAsiaTheme="minorEastAsia" w:hAnsiTheme="minorHAnsi" w:cstheme="minorBidi"/>
          <w:noProof/>
          <w:kern w:val="2"/>
          <w:sz w:val="24"/>
          <w:szCs w:val="24"/>
          <w14:ligatures w14:val="standardContextual"/>
        </w:rPr>
      </w:pPr>
      <w:hyperlink w:anchor="_Toc201751525" w:history="1">
        <w:r w:rsidRPr="00990D3B">
          <w:rPr>
            <w:rStyle w:val="Hyperlink"/>
            <w:noProof/>
          </w:rPr>
          <w:t>Worksheet 4.3. Data Sources for Network Adequacy Validation</w:t>
        </w:r>
        <w:r w:rsidRPr="00990D3B">
          <w:rPr>
            <w:noProof/>
            <w:webHidden/>
          </w:rPr>
          <w:tab/>
        </w:r>
        <w:r w:rsidRPr="00990D3B">
          <w:rPr>
            <w:noProof/>
            <w:webHidden/>
          </w:rPr>
          <w:fldChar w:fldCharType="begin"/>
        </w:r>
        <w:r w:rsidRPr="00990D3B">
          <w:rPr>
            <w:noProof/>
            <w:webHidden/>
          </w:rPr>
          <w:instrText xml:space="preserve"> PAGEREF _Toc201751525 \h </w:instrText>
        </w:r>
        <w:r w:rsidRPr="00990D3B">
          <w:rPr>
            <w:noProof/>
            <w:webHidden/>
          </w:rPr>
          <w:fldChar w:fldCharType="separate"/>
        </w:r>
        <w:r w:rsidRPr="00990D3B">
          <w:rPr>
            <w:noProof/>
            <w:webHidden/>
          </w:rPr>
          <w:t>259</w:t>
        </w:r>
        <w:r w:rsidRPr="00990D3B">
          <w:rPr>
            <w:noProof/>
            <w:webHidden/>
          </w:rPr>
          <w:fldChar w:fldCharType="end"/>
        </w:r>
      </w:hyperlink>
    </w:p>
    <w:p w:rsidR="00676731" w:rsidRPr="00990D3B" w14:paraId="6E4C723F" w14:textId="7A20DD0A">
      <w:pPr>
        <w:pStyle w:val="TableofFigures"/>
        <w:rPr>
          <w:rFonts w:asciiTheme="minorHAnsi" w:eastAsiaTheme="minorEastAsia" w:hAnsiTheme="minorHAnsi" w:cstheme="minorBidi"/>
          <w:noProof/>
          <w:kern w:val="2"/>
          <w:sz w:val="24"/>
          <w:szCs w:val="24"/>
          <w14:ligatures w14:val="standardContextual"/>
        </w:rPr>
      </w:pPr>
      <w:hyperlink w:anchor="_Toc201751526" w:history="1">
        <w:r w:rsidRPr="00990D3B">
          <w:rPr>
            <w:rStyle w:val="Hyperlink"/>
            <w:noProof/>
          </w:rPr>
          <w:t>Example Worksheet 4.3 Data Sources for Network Adequacy Validation</w:t>
        </w:r>
        <w:r w:rsidRPr="00990D3B">
          <w:rPr>
            <w:noProof/>
            <w:webHidden/>
          </w:rPr>
          <w:tab/>
        </w:r>
        <w:r w:rsidRPr="00990D3B">
          <w:rPr>
            <w:noProof/>
            <w:webHidden/>
          </w:rPr>
          <w:fldChar w:fldCharType="begin"/>
        </w:r>
        <w:r w:rsidRPr="00990D3B">
          <w:rPr>
            <w:noProof/>
            <w:webHidden/>
          </w:rPr>
          <w:instrText xml:space="preserve"> PAGEREF _Toc201751526 \h </w:instrText>
        </w:r>
        <w:r w:rsidRPr="00990D3B">
          <w:rPr>
            <w:noProof/>
            <w:webHidden/>
          </w:rPr>
          <w:fldChar w:fldCharType="separate"/>
        </w:r>
        <w:r w:rsidRPr="00990D3B">
          <w:rPr>
            <w:noProof/>
            <w:webHidden/>
          </w:rPr>
          <w:t>260</w:t>
        </w:r>
        <w:r w:rsidRPr="00990D3B">
          <w:rPr>
            <w:noProof/>
            <w:webHidden/>
          </w:rPr>
          <w:fldChar w:fldCharType="end"/>
        </w:r>
      </w:hyperlink>
    </w:p>
    <w:p w:rsidR="00676731" w:rsidRPr="00990D3B" w14:paraId="05C7C105" w14:textId="761FF898">
      <w:pPr>
        <w:pStyle w:val="TableofFigures"/>
        <w:rPr>
          <w:rFonts w:asciiTheme="minorHAnsi" w:eastAsiaTheme="minorEastAsia" w:hAnsiTheme="minorHAnsi" w:cstheme="minorBidi"/>
          <w:noProof/>
          <w:kern w:val="2"/>
          <w:sz w:val="24"/>
          <w:szCs w:val="24"/>
          <w14:ligatures w14:val="standardContextual"/>
        </w:rPr>
      </w:pPr>
      <w:hyperlink w:anchor="_Toc201751527" w:history="1">
        <w:r w:rsidRPr="00990D3B">
          <w:rPr>
            <w:rStyle w:val="Hyperlink"/>
            <w:noProof/>
          </w:rPr>
          <w:t>Worksheet 4.4. Network Adequacy Data Concerns Identified in Review of ISCA</w:t>
        </w:r>
        <w:r w:rsidRPr="00990D3B">
          <w:rPr>
            <w:noProof/>
            <w:webHidden/>
          </w:rPr>
          <w:tab/>
        </w:r>
        <w:r w:rsidRPr="00990D3B">
          <w:rPr>
            <w:noProof/>
            <w:webHidden/>
          </w:rPr>
          <w:fldChar w:fldCharType="begin"/>
        </w:r>
        <w:r w:rsidRPr="00990D3B">
          <w:rPr>
            <w:noProof/>
            <w:webHidden/>
          </w:rPr>
          <w:instrText xml:space="preserve"> PAGEREF _Toc201751527 \h </w:instrText>
        </w:r>
        <w:r w:rsidRPr="00990D3B">
          <w:rPr>
            <w:noProof/>
            <w:webHidden/>
          </w:rPr>
          <w:fldChar w:fldCharType="separate"/>
        </w:r>
        <w:r w:rsidRPr="00990D3B">
          <w:rPr>
            <w:noProof/>
            <w:webHidden/>
          </w:rPr>
          <w:t>261</w:t>
        </w:r>
        <w:r w:rsidRPr="00990D3B">
          <w:rPr>
            <w:noProof/>
            <w:webHidden/>
          </w:rPr>
          <w:fldChar w:fldCharType="end"/>
        </w:r>
      </w:hyperlink>
    </w:p>
    <w:p w:rsidR="00676731" w:rsidRPr="00990D3B" w14:paraId="5B44801B" w14:textId="7827F400">
      <w:pPr>
        <w:pStyle w:val="TableofFigures"/>
        <w:rPr>
          <w:rFonts w:asciiTheme="minorHAnsi" w:eastAsiaTheme="minorEastAsia" w:hAnsiTheme="minorHAnsi" w:cstheme="minorBidi"/>
          <w:noProof/>
          <w:kern w:val="2"/>
          <w:sz w:val="24"/>
          <w:szCs w:val="24"/>
          <w14:ligatures w14:val="standardContextual"/>
        </w:rPr>
      </w:pPr>
      <w:hyperlink w:anchor="_Toc201751528" w:history="1">
        <w:r w:rsidRPr="00990D3B">
          <w:rPr>
            <w:rStyle w:val="Hyperlink"/>
            <w:noProof/>
          </w:rPr>
          <w:t>Example Network Adequacy Data Concerns Identified in Review of ISCA Worksheet</w:t>
        </w:r>
        <w:r w:rsidRPr="00990D3B">
          <w:rPr>
            <w:noProof/>
            <w:webHidden/>
          </w:rPr>
          <w:tab/>
        </w:r>
        <w:r w:rsidRPr="00990D3B">
          <w:rPr>
            <w:noProof/>
            <w:webHidden/>
          </w:rPr>
          <w:fldChar w:fldCharType="begin"/>
        </w:r>
        <w:r w:rsidRPr="00990D3B">
          <w:rPr>
            <w:noProof/>
            <w:webHidden/>
          </w:rPr>
          <w:instrText xml:space="preserve"> PAGEREF _Toc201751528 \h </w:instrText>
        </w:r>
        <w:r w:rsidRPr="00990D3B">
          <w:rPr>
            <w:noProof/>
            <w:webHidden/>
          </w:rPr>
          <w:fldChar w:fldCharType="separate"/>
        </w:r>
        <w:r w:rsidRPr="00990D3B">
          <w:rPr>
            <w:noProof/>
            <w:webHidden/>
          </w:rPr>
          <w:t>261</w:t>
        </w:r>
        <w:r w:rsidRPr="00990D3B">
          <w:rPr>
            <w:noProof/>
            <w:webHidden/>
          </w:rPr>
          <w:fldChar w:fldCharType="end"/>
        </w:r>
      </w:hyperlink>
    </w:p>
    <w:p w:rsidR="00676731" w:rsidRPr="00990D3B" w14:paraId="6DF37ADA" w14:textId="457F4DE2">
      <w:pPr>
        <w:pStyle w:val="TableofFigures"/>
        <w:rPr>
          <w:rFonts w:asciiTheme="minorHAnsi" w:eastAsiaTheme="minorEastAsia" w:hAnsiTheme="minorHAnsi" w:cstheme="minorBidi"/>
          <w:noProof/>
          <w:kern w:val="2"/>
          <w:sz w:val="24"/>
          <w:szCs w:val="24"/>
          <w14:ligatures w14:val="standardContextual"/>
        </w:rPr>
      </w:pPr>
      <w:hyperlink w:anchor="_Toc201751529" w:history="1">
        <w:r w:rsidRPr="00990D3B">
          <w:rPr>
            <w:rStyle w:val="Hyperlink"/>
            <w:noProof/>
          </w:rPr>
          <w:t>Worksheet 4.5. Assessment of Network Adequacy Data Sources not Reviewed in the ISCA</w:t>
        </w:r>
        <w:r w:rsidRPr="00990D3B">
          <w:rPr>
            <w:noProof/>
            <w:webHidden/>
          </w:rPr>
          <w:tab/>
        </w:r>
        <w:r w:rsidRPr="00990D3B">
          <w:rPr>
            <w:noProof/>
            <w:webHidden/>
          </w:rPr>
          <w:fldChar w:fldCharType="begin"/>
        </w:r>
        <w:r w:rsidRPr="00990D3B">
          <w:rPr>
            <w:noProof/>
            <w:webHidden/>
          </w:rPr>
          <w:instrText xml:space="preserve"> PAGEREF _Toc201751529 \h </w:instrText>
        </w:r>
        <w:r w:rsidRPr="00990D3B">
          <w:rPr>
            <w:noProof/>
            <w:webHidden/>
          </w:rPr>
          <w:fldChar w:fldCharType="separate"/>
        </w:r>
        <w:r w:rsidRPr="00990D3B">
          <w:rPr>
            <w:noProof/>
            <w:webHidden/>
          </w:rPr>
          <w:t>262</w:t>
        </w:r>
        <w:r w:rsidRPr="00990D3B">
          <w:rPr>
            <w:noProof/>
            <w:webHidden/>
          </w:rPr>
          <w:fldChar w:fldCharType="end"/>
        </w:r>
      </w:hyperlink>
    </w:p>
    <w:p w:rsidR="00676731" w:rsidRPr="00990D3B" w14:paraId="30BCDE61" w14:textId="4A4F23A0">
      <w:pPr>
        <w:pStyle w:val="TableofFigures"/>
        <w:rPr>
          <w:rFonts w:asciiTheme="minorHAnsi" w:eastAsiaTheme="minorEastAsia" w:hAnsiTheme="minorHAnsi" w:cstheme="minorBidi"/>
          <w:noProof/>
          <w:kern w:val="2"/>
          <w:sz w:val="24"/>
          <w:szCs w:val="24"/>
          <w14:ligatures w14:val="standardContextual"/>
        </w:rPr>
      </w:pPr>
      <w:hyperlink w:anchor="_Toc201751530" w:history="1">
        <w:r w:rsidRPr="00990D3B">
          <w:rPr>
            <w:rStyle w:val="Hyperlink"/>
            <w:noProof/>
          </w:rPr>
          <w:t>Worksheet 4.6. Assessment of MCP Network Adequacy Data, Methods, and Results</w:t>
        </w:r>
        <w:r w:rsidRPr="00990D3B">
          <w:rPr>
            <w:noProof/>
            <w:webHidden/>
          </w:rPr>
          <w:tab/>
        </w:r>
        <w:r w:rsidRPr="00990D3B">
          <w:rPr>
            <w:noProof/>
            <w:webHidden/>
          </w:rPr>
          <w:fldChar w:fldCharType="begin"/>
        </w:r>
        <w:r w:rsidRPr="00990D3B">
          <w:rPr>
            <w:noProof/>
            <w:webHidden/>
          </w:rPr>
          <w:instrText xml:space="preserve"> PAGEREF _Toc201751530 \h </w:instrText>
        </w:r>
        <w:r w:rsidRPr="00990D3B">
          <w:rPr>
            <w:noProof/>
            <w:webHidden/>
          </w:rPr>
          <w:fldChar w:fldCharType="separate"/>
        </w:r>
        <w:r w:rsidRPr="00990D3B">
          <w:rPr>
            <w:noProof/>
            <w:webHidden/>
          </w:rPr>
          <w:t>263</w:t>
        </w:r>
        <w:r w:rsidRPr="00990D3B">
          <w:rPr>
            <w:noProof/>
            <w:webHidden/>
          </w:rPr>
          <w:fldChar w:fldCharType="end"/>
        </w:r>
      </w:hyperlink>
    </w:p>
    <w:p w:rsidR="00676731" w:rsidRPr="00990D3B" w14:paraId="58ABF957" w14:textId="37555D6B">
      <w:pPr>
        <w:pStyle w:val="TableofFigures"/>
        <w:rPr>
          <w:rFonts w:asciiTheme="minorHAnsi" w:eastAsiaTheme="minorEastAsia" w:hAnsiTheme="minorHAnsi" w:cstheme="minorBidi"/>
          <w:noProof/>
          <w:kern w:val="2"/>
          <w:sz w:val="24"/>
          <w:szCs w:val="24"/>
          <w14:ligatures w14:val="standardContextual"/>
        </w:rPr>
      </w:pPr>
      <w:hyperlink w:anchor="_Toc201751531" w:history="1">
        <w:r w:rsidRPr="00990D3B">
          <w:rPr>
            <w:rStyle w:val="Hyperlink"/>
            <w:noProof/>
          </w:rPr>
          <w:t>Worksheet 4.7. Summary of Network Adequacy Validation Findings</w:t>
        </w:r>
        <w:r w:rsidRPr="00990D3B">
          <w:rPr>
            <w:noProof/>
            <w:webHidden/>
          </w:rPr>
          <w:tab/>
        </w:r>
        <w:r w:rsidRPr="00990D3B">
          <w:rPr>
            <w:noProof/>
            <w:webHidden/>
          </w:rPr>
          <w:fldChar w:fldCharType="begin"/>
        </w:r>
        <w:r w:rsidRPr="00990D3B">
          <w:rPr>
            <w:noProof/>
            <w:webHidden/>
          </w:rPr>
          <w:instrText xml:space="preserve"> PAGEREF _Toc201751531 \h </w:instrText>
        </w:r>
        <w:r w:rsidRPr="00990D3B">
          <w:rPr>
            <w:noProof/>
            <w:webHidden/>
          </w:rPr>
          <w:fldChar w:fldCharType="separate"/>
        </w:r>
        <w:r w:rsidRPr="00990D3B">
          <w:rPr>
            <w:noProof/>
            <w:webHidden/>
          </w:rPr>
          <w:t>268</w:t>
        </w:r>
        <w:r w:rsidRPr="00990D3B">
          <w:rPr>
            <w:noProof/>
            <w:webHidden/>
          </w:rPr>
          <w:fldChar w:fldCharType="end"/>
        </w:r>
      </w:hyperlink>
    </w:p>
    <w:p w:rsidR="00676731" w:rsidRPr="00990D3B" w14:paraId="58897118" w14:textId="3AFB5FC3">
      <w:pPr>
        <w:pStyle w:val="TableofFigures"/>
        <w:rPr>
          <w:rFonts w:asciiTheme="minorHAnsi" w:eastAsiaTheme="minorEastAsia" w:hAnsiTheme="minorHAnsi" w:cstheme="minorBidi"/>
          <w:noProof/>
          <w:kern w:val="2"/>
          <w:sz w:val="24"/>
          <w:szCs w:val="24"/>
          <w14:ligatures w14:val="standardContextual"/>
        </w:rPr>
      </w:pPr>
      <w:hyperlink w:anchor="_Toc201751532" w:history="1">
        <w:r w:rsidRPr="00990D3B">
          <w:rPr>
            <w:rStyle w:val="Hyperlink"/>
            <w:noProof/>
          </w:rPr>
          <w:t>Worksheet 4.8. Recommendations to Improve MCP Assessment of Network Adequacy</w:t>
        </w:r>
        <w:r w:rsidRPr="00990D3B">
          <w:rPr>
            <w:noProof/>
            <w:webHidden/>
          </w:rPr>
          <w:tab/>
        </w:r>
        <w:r w:rsidRPr="00990D3B">
          <w:rPr>
            <w:noProof/>
            <w:webHidden/>
          </w:rPr>
          <w:fldChar w:fldCharType="begin"/>
        </w:r>
        <w:r w:rsidRPr="00990D3B">
          <w:rPr>
            <w:noProof/>
            <w:webHidden/>
          </w:rPr>
          <w:instrText xml:space="preserve"> PAGEREF _Toc201751532 \h </w:instrText>
        </w:r>
        <w:r w:rsidRPr="00990D3B">
          <w:rPr>
            <w:noProof/>
            <w:webHidden/>
          </w:rPr>
          <w:fldChar w:fldCharType="separate"/>
        </w:r>
        <w:r w:rsidRPr="00990D3B">
          <w:rPr>
            <w:noProof/>
            <w:webHidden/>
          </w:rPr>
          <w:t>270</w:t>
        </w:r>
        <w:r w:rsidRPr="00990D3B">
          <w:rPr>
            <w:noProof/>
            <w:webHidden/>
          </w:rPr>
          <w:fldChar w:fldCharType="end"/>
        </w:r>
      </w:hyperlink>
    </w:p>
    <w:p w:rsidR="00676731" w:rsidRPr="00990D3B" w14:paraId="2BC4948A" w14:textId="0F5DF270">
      <w:pPr>
        <w:pStyle w:val="TableofFigures"/>
        <w:rPr>
          <w:rFonts w:asciiTheme="minorHAnsi" w:eastAsiaTheme="minorEastAsia" w:hAnsiTheme="minorHAnsi" w:cstheme="minorBidi"/>
          <w:noProof/>
          <w:kern w:val="2"/>
          <w:sz w:val="24"/>
          <w:szCs w:val="24"/>
          <w14:ligatures w14:val="standardContextual"/>
        </w:rPr>
      </w:pPr>
      <w:hyperlink w:anchor="_Toc201751533" w:history="1">
        <w:r w:rsidRPr="00990D3B">
          <w:rPr>
            <w:rStyle w:val="Hyperlink"/>
            <w:noProof/>
          </w:rPr>
          <w:t>Worksheet 5.1. Specification of Acceptable Error Rates and Identified Areas of Concern</w:t>
        </w:r>
        <w:r w:rsidRPr="00990D3B">
          <w:rPr>
            <w:noProof/>
            <w:webHidden/>
          </w:rPr>
          <w:tab/>
        </w:r>
        <w:r w:rsidRPr="00990D3B">
          <w:rPr>
            <w:noProof/>
            <w:webHidden/>
          </w:rPr>
          <w:fldChar w:fldCharType="begin"/>
        </w:r>
        <w:r w:rsidRPr="00990D3B">
          <w:rPr>
            <w:noProof/>
            <w:webHidden/>
          </w:rPr>
          <w:instrText xml:space="preserve"> PAGEREF _Toc201751533 \h </w:instrText>
        </w:r>
        <w:r w:rsidRPr="00990D3B">
          <w:rPr>
            <w:noProof/>
            <w:webHidden/>
          </w:rPr>
          <w:fldChar w:fldCharType="separate"/>
        </w:r>
        <w:r w:rsidRPr="00990D3B">
          <w:rPr>
            <w:noProof/>
            <w:webHidden/>
          </w:rPr>
          <w:t>288</w:t>
        </w:r>
        <w:r w:rsidRPr="00990D3B">
          <w:rPr>
            <w:noProof/>
            <w:webHidden/>
          </w:rPr>
          <w:fldChar w:fldCharType="end"/>
        </w:r>
      </w:hyperlink>
    </w:p>
    <w:p w:rsidR="00676731" w:rsidRPr="00990D3B" w14:paraId="2F833E69" w14:textId="1118E65D">
      <w:pPr>
        <w:pStyle w:val="TableofFigures"/>
        <w:rPr>
          <w:rFonts w:asciiTheme="minorHAnsi" w:eastAsiaTheme="minorEastAsia" w:hAnsiTheme="minorHAnsi" w:cstheme="minorBidi"/>
          <w:noProof/>
          <w:kern w:val="2"/>
          <w:sz w:val="24"/>
          <w:szCs w:val="24"/>
          <w14:ligatures w14:val="standardContextual"/>
        </w:rPr>
      </w:pPr>
      <w:hyperlink w:anchor="_Toc201751534" w:history="1">
        <w:r w:rsidRPr="00990D3B">
          <w:rPr>
            <w:rStyle w:val="Hyperlink"/>
            <w:noProof/>
          </w:rPr>
          <w:t>Worksheet 5.2. Data Element Validity Requirements</w:t>
        </w:r>
        <w:r w:rsidRPr="00990D3B">
          <w:rPr>
            <w:noProof/>
            <w:webHidden/>
          </w:rPr>
          <w:tab/>
        </w:r>
        <w:r w:rsidRPr="00990D3B">
          <w:rPr>
            <w:noProof/>
            <w:webHidden/>
          </w:rPr>
          <w:fldChar w:fldCharType="begin"/>
        </w:r>
        <w:r w:rsidRPr="00990D3B">
          <w:rPr>
            <w:noProof/>
            <w:webHidden/>
          </w:rPr>
          <w:instrText xml:space="preserve"> PAGEREF _Toc201751534 \h </w:instrText>
        </w:r>
        <w:r w:rsidRPr="00990D3B">
          <w:rPr>
            <w:noProof/>
            <w:webHidden/>
          </w:rPr>
          <w:fldChar w:fldCharType="separate"/>
        </w:r>
        <w:r w:rsidRPr="00990D3B">
          <w:rPr>
            <w:noProof/>
            <w:webHidden/>
          </w:rPr>
          <w:t>289</w:t>
        </w:r>
        <w:r w:rsidRPr="00990D3B">
          <w:rPr>
            <w:noProof/>
            <w:webHidden/>
          </w:rPr>
          <w:fldChar w:fldCharType="end"/>
        </w:r>
      </w:hyperlink>
    </w:p>
    <w:p w:rsidR="00676731" w:rsidRPr="00990D3B" w14:paraId="58FE1889" w14:textId="2F3AA6F2">
      <w:pPr>
        <w:pStyle w:val="TableofFigures"/>
        <w:rPr>
          <w:rFonts w:asciiTheme="minorHAnsi" w:eastAsiaTheme="minorEastAsia" w:hAnsiTheme="minorHAnsi" w:cstheme="minorBidi"/>
          <w:noProof/>
          <w:kern w:val="2"/>
          <w:sz w:val="24"/>
          <w:szCs w:val="24"/>
          <w14:ligatures w14:val="standardContextual"/>
        </w:rPr>
      </w:pPr>
      <w:hyperlink w:anchor="_Toc201751535" w:history="1">
        <w:r w:rsidRPr="00990D3B">
          <w:rPr>
            <w:rStyle w:val="Hyperlink"/>
            <w:noProof/>
          </w:rPr>
          <w:t>Example Worksheet 5.2. Data Element Validity Requirements</w:t>
        </w:r>
        <w:r w:rsidRPr="00990D3B">
          <w:rPr>
            <w:noProof/>
            <w:webHidden/>
          </w:rPr>
          <w:tab/>
        </w:r>
        <w:r w:rsidRPr="00990D3B">
          <w:rPr>
            <w:noProof/>
            <w:webHidden/>
          </w:rPr>
          <w:fldChar w:fldCharType="begin"/>
        </w:r>
        <w:r w:rsidRPr="00990D3B">
          <w:rPr>
            <w:noProof/>
            <w:webHidden/>
          </w:rPr>
          <w:instrText xml:space="preserve"> PAGEREF _Toc201751535 \h </w:instrText>
        </w:r>
        <w:r w:rsidRPr="00990D3B">
          <w:rPr>
            <w:noProof/>
            <w:webHidden/>
          </w:rPr>
          <w:fldChar w:fldCharType="separate"/>
        </w:r>
        <w:r w:rsidRPr="00990D3B">
          <w:rPr>
            <w:noProof/>
            <w:webHidden/>
          </w:rPr>
          <w:t>289</w:t>
        </w:r>
        <w:r w:rsidRPr="00990D3B">
          <w:rPr>
            <w:noProof/>
            <w:webHidden/>
          </w:rPr>
          <w:fldChar w:fldCharType="end"/>
        </w:r>
      </w:hyperlink>
    </w:p>
    <w:p w:rsidR="00676731" w:rsidRPr="00990D3B" w14:paraId="27002A2B" w14:textId="7275F71E">
      <w:pPr>
        <w:pStyle w:val="TableofFigures"/>
        <w:rPr>
          <w:rFonts w:asciiTheme="minorHAnsi" w:eastAsiaTheme="minorEastAsia" w:hAnsiTheme="minorHAnsi" w:cstheme="minorBidi"/>
          <w:noProof/>
          <w:kern w:val="2"/>
          <w:sz w:val="24"/>
          <w:szCs w:val="24"/>
          <w14:ligatures w14:val="standardContextual"/>
        </w:rPr>
      </w:pPr>
      <w:hyperlink w:anchor="_Toc201751536" w:history="1">
        <w:r w:rsidRPr="00990D3B">
          <w:rPr>
            <w:rStyle w:val="Hyperlink"/>
            <w:noProof/>
          </w:rPr>
          <w:t>Worksheet 5.3. Evaluation of Submitted Fields</w:t>
        </w:r>
        <w:r w:rsidRPr="00990D3B">
          <w:rPr>
            <w:noProof/>
            <w:webHidden/>
          </w:rPr>
          <w:tab/>
        </w:r>
        <w:r w:rsidRPr="00990D3B">
          <w:rPr>
            <w:noProof/>
            <w:webHidden/>
          </w:rPr>
          <w:fldChar w:fldCharType="begin"/>
        </w:r>
        <w:r w:rsidRPr="00990D3B">
          <w:rPr>
            <w:noProof/>
            <w:webHidden/>
          </w:rPr>
          <w:instrText xml:space="preserve"> PAGEREF _Toc201751536 \h </w:instrText>
        </w:r>
        <w:r w:rsidRPr="00990D3B">
          <w:rPr>
            <w:noProof/>
            <w:webHidden/>
          </w:rPr>
          <w:fldChar w:fldCharType="separate"/>
        </w:r>
        <w:r w:rsidRPr="00990D3B">
          <w:rPr>
            <w:noProof/>
            <w:webHidden/>
          </w:rPr>
          <w:t>290</w:t>
        </w:r>
        <w:r w:rsidRPr="00990D3B">
          <w:rPr>
            <w:noProof/>
            <w:webHidden/>
          </w:rPr>
          <w:fldChar w:fldCharType="end"/>
        </w:r>
      </w:hyperlink>
    </w:p>
    <w:p w:rsidR="00676731" w:rsidRPr="00990D3B" w14:paraId="4C5E8AC3" w14:textId="04EEC95D">
      <w:pPr>
        <w:pStyle w:val="TableofFigures"/>
        <w:rPr>
          <w:rFonts w:asciiTheme="minorHAnsi" w:eastAsiaTheme="minorEastAsia" w:hAnsiTheme="minorHAnsi" w:cstheme="minorBidi"/>
          <w:noProof/>
          <w:kern w:val="2"/>
          <w:sz w:val="24"/>
          <w:szCs w:val="24"/>
          <w14:ligatures w14:val="standardContextual"/>
        </w:rPr>
      </w:pPr>
      <w:hyperlink w:anchor="_Toc201751537" w:history="1">
        <w:r w:rsidRPr="00990D3B">
          <w:rPr>
            <w:rStyle w:val="Hyperlink"/>
            <w:noProof/>
          </w:rPr>
          <w:t>Worksheet 5.4. Benchmark Utilization Rates</w:t>
        </w:r>
        <w:r w:rsidRPr="00990D3B">
          <w:rPr>
            <w:noProof/>
            <w:webHidden/>
          </w:rPr>
          <w:tab/>
        </w:r>
        <w:r w:rsidRPr="00990D3B">
          <w:rPr>
            <w:noProof/>
            <w:webHidden/>
          </w:rPr>
          <w:fldChar w:fldCharType="begin"/>
        </w:r>
        <w:r w:rsidRPr="00990D3B">
          <w:rPr>
            <w:noProof/>
            <w:webHidden/>
          </w:rPr>
          <w:instrText xml:space="preserve"> PAGEREF _Toc201751537 \h </w:instrText>
        </w:r>
        <w:r w:rsidRPr="00990D3B">
          <w:rPr>
            <w:noProof/>
            <w:webHidden/>
          </w:rPr>
          <w:fldChar w:fldCharType="separate"/>
        </w:r>
        <w:r w:rsidRPr="00990D3B">
          <w:rPr>
            <w:noProof/>
            <w:webHidden/>
          </w:rPr>
          <w:t>291</w:t>
        </w:r>
        <w:r w:rsidRPr="00990D3B">
          <w:rPr>
            <w:noProof/>
            <w:webHidden/>
          </w:rPr>
          <w:fldChar w:fldCharType="end"/>
        </w:r>
      </w:hyperlink>
    </w:p>
    <w:p w:rsidR="00676731" w:rsidRPr="00990D3B" w14:paraId="61FE3E31" w14:textId="2780C5C2">
      <w:pPr>
        <w:pStyle w:val="TableofFigures"/>
        <w:rPr>
          <w:rFonts w:asciiTheme="minorHAnsi" w:eastAsiaTheme="minorEastAsia" w:hAnsiTheme="minorHAnsi" w:cstheme="minorBidi"/>
          <w:noProof/>
          <w:kern w:val="2"/>
          <w:sz w:val="24"/>
          <w:szCs w:val="24"/>
          <w14:ligatures w14:val="standardContextual"/>
        </w:rPr>
      </w:pPr>
      <w:hyperlink w:anchor="_Toc201751538" w:history="1">
        <w:r w:rsidRPr="00990D3B">
          <w:rPr>
            <w:rStyle w:val="Hyperlink"/>
            <w:noProof/>
          </w:rPr>
          <w:t>Worksheet 5.5. Medical Record Review for Encounter Data Validation</w:t>
        </w:r>
        <w:r w:rsidRPr="00990D3B">
          <w:rPr>
            <w:noProof/>
            <w:webHidden/>
          </w:rPr>
          <w:tab/>
        </w:r>
        <w:r w:rsidRPr="00990D3B">
          <w:rPr>
            <w:noProof/>
            <w:webHidden/>
          </w:rPr>
          <w:fldChar w:fldCharType="begin"/>
        </w:r>
        <w:r w:rsidRPr="00990D3B">
          <w:rPr>
            <w:noProof/>
            <w:webHidden/>
          </w:rPr>
          <w:instrText xml:space="preserve"> PAGEREF _Toc201751538 \h </w:instrText>
        </w:r>
        <w:r w:rsidRPr="00990D3B">
          <w:rPr>
            <w:noProof/>
            <w:webHidden/>
          </w:rPr>
          <w:fldChar w:fldCharType="separate"/>
        </w:r>
        <w:r w:rsidRPr="00990D3B">
          <w:rPr>
            <w:noProof/>
            <w:webHidden/>
          </w:rPr>
          <w:t>293</w:t>
        </w:r>
        <w:r w:rsidRPr="00990D3B">
          <w:rPr>
            <w:noProof/>
            <w:webHidden/>
          </w:rPr>
          <w:fldChar w:fldCharType="end"/>
        </w:r>
      </w:hyperlink>
    </w:p>
    <w:p w:rsidR="00676731" w:rsidRPr="00990D3B" w14:paraId="71A4D875" w14:textId="3BF8A3D1">
      <w:pPr>
        <w:pStyle w:val="TableofFigures"/>
        <w:rPr>
          <w:rFonts w:asciiTheme="minorHAnsi" w:eastAsiaTheme="minorEastAsia" w:hAnsiTheme="minorHAnsi" w:cstheme="minorBidi"/>
          <w:noProof/>
          <w:kern w:val="2"/>
          <w:sz w:val="24"/>
          <w:szCs w:val="24"/>
          <w14:ligatures w14:val="standardContextual"/>
        </w:rPr>
      </w:pPr>
      <w:hyperlink w:anchor="_Toc201751539" w:history="1">
        <w:r w:rsidRPr="00990D3B">
          <w:rPr>
            <w:rStyle w:val="Hyperlink"/>
            <w:noProof/>
          </w:rPr>
          <w:t>Worksheet 5.6. Medical Record Review Results Summary Sheet</w:t>
        </w:r>
        <w:r w:rsidRPr="00990D3B">
          <w:rPr>
            <w:noProof/>
            <w:webHidden/>
          </w:rPr>
          <w:tab/>
        </w:r>
        <w:r w:rsidRPr="00990D3B">
          <w:rPr>
            <w:noProof/>
            <w:webHidden/>
          </w:rPr>
          <w:fldChar w:fldCharType="begin"/>
        </w:r>
        <w:r w:rsidRPr="00990D3B">
          <w:rPr>
            <w:noProof/>
            <w:webHidden/>
          </w:rPr>
          <w:instrText xml:space="preserve"> PAGEREF _Toc201751539 \h </w:instrText>
        </w:r>
        <w:r w:rsidRPr="00990D3B">
          <w:rPr>
            <w:noProof/>
            <w:webHidden/>
          </w:rPr>
          <w:fldChar w:fldCharType="separate"/>
        </w:r>
        <w:r w:rsidRPr="00990D3B">
          <w:rPr>
            <w:noProof/>
            <w:webHidden/>
          </w:rPr>
          <w:t>295</w:t>
        </w:r>
        <w:r w:rsidRPr="00990D3B">
          <w:rPr>
            <w:noProof/>
            <w:webHidden/>
          </w:rPr>
          <w:fldChar w:fldCharType="end"/>
        </w:r>
      </w:hyperlink>
    </w:p>
    <w:p w:rsidR="00676731" w:rsidRPr="00990D3B" w14:paraId="5C10E79B" w14:textId="5C714A81">
      <w:pPr>
        <w:pStyle w:val="TableofFigures"/>
        <w:rPr>
          <w:rFonts w:asciiTheme="minorHAnsi" w:eastAsiaTheme="minorEastAsia" w:hAnsiTheme="minorHAnsi" w:cstheme="minorBidi"/>
          <w:noProof/>
          <w:kern w:val="2"/>
          <w:sz w:val="24"/>
          <w:szCs w:val="24"/>
          <w14:ligatures w14:val="standardContextual"/>
        </w:rPr>
      </w:pPr>
      <w:hyperlink w:anchor="_Toc201751540" w:history="1">
        <w:r w:rsidRPr="00990D3B">
          <w:rPr>
            <w:rStyle w:val="Hyperlink"/>
            <w:noProof/>
          </w:rPr>
          <w:t>Worksheet 5.7. Suggested Format for Reporting Encounter Data Validation Information in the EQR Technical Report</w:t>
        </w:r>
        <w:r w:rsidRPr="00990D3B">
          <w:rPr>
            <w:noProof/>
            <w:webHidden/>
          </w:rPr>
          <w:tab/>
        </w:r>
        <w:r w:rsidRPr="00990D3B">
          <w:rPr>
            <w:noProof/>
            <w:webHidden/>
          </w:rPr>
          <w:fldChar w:fldCharType="begin"/>
        </w:r>
        <w:r w:rsidRPr="00990D3B">
          <w:rPr>
            <w:noProof/>
            <w:webHidden/>
          </w:rPr>
          <w:instrText xml:space="preserve"> PAGEREF _Toc201751540 \h </w:instrText>
        </w:r>
        <w:r w:rsidRPr="00990D3B">
          <w:rPr>
            <w:noProof/>
            <w:webHidden/>
          </w:rPr>
          <w:fldChar w:fldCharType="separate"/>
        </w:r>
        <w:r w:rsidRPr="00990D3B">
          <w:rPr>
            <w:noProof/>
            <w:webHidden/>
          </w:rPr>
          <w:t>296</w:t>
        </w:r>
        <w:r w:rsidRPr="00990D3B">
          <w:rPr>
            <w:noProof/>
            <w:webHidden/>
          </w:rPr>
          <w:fldChar w:fldCharType="end"/>
        </w:r>
      </w:hyperlink>
    </w:p>
    <w:p w:rsidR="00676731" w:rsidRPr="00990D3B" w14:paraId="0F91FCC1" w14:textId="1AAD3DE9">
      <w:pPr>
        <w:pStyle w:val="TableofFigures"/>
        <w:rPr>
          <w:rFonts w:asciiTheme="minorHAnsi" w:eastAsiaTheme="minorEastAsia" w:hAnsiTheme="minorHAnsi" w:cstheme="minorBidi"/>
          <w:noProof/>
          <w:kern w:val="2"/>
          <w:sz w:val="24"/>
          <w:szCs w:val="24"/>
          <w14:ligatures w14:val="standardContextual"/>
        </w:rPr>
      </w:pPr>
      <w:hyperlink w:anchor="_Toc201751541" w:history="1">
        <w:r w:rsidRPr="00990D3B">
          <w:rPr>
            <w:rStyle w:val="Hyperlink"/>
            <w:noProof/>
          </w:rPr>
          <w:t>Worksheet 6.1. Survey Purpose, Objectives, and Audience</w:t>
        </w:r>
        <w:r w:rsidRPr="00990D3B">
          <w:rPr>
            <w:noProof/>
            <w:webHidden/>
          </w:rPr>
          <w:tab/>
        </w:r>
        <w:r w:rsidRPr="00990D3B">
          <w:rPr>
            <w:noProof/>
            <w:webHidden/>
          </w:rPr>
          <w:fldChar w:fldCharType="begin"/>
        </w:r>
        <w:r w:rsidRPr="00990D3B">
          <w:rPr>
            <w:noProof/>
            <w:webHidden/>
          </w:rPr>
          <w:instrText xml:space="preserve"> PAGEREF _Toc201751541 \h </w:instrText>
        </w:r>
        <w:r w:rsidRPr="00990D3B">
          <w:rPr>
            <w:noProof/>
            <w:webHidden/>
          </w:rPr>
          <w:fldChar w:fldCharType="separate"/>
        </w:r>
        <w:r w:rsidRPr="00990D3B">
          <w:rPr>
            <w:noProof/>
            <w:webHidden/>
          </w:rPr>
          <w:t>324</w:t>
        </w:r>
        <w:r w:rsidRPr="00990D3B">
          <w:rPr>
            <w:noProof/>
            <w:webHidden/>
          </w:rPr>
          <w:fldChar w:fldCharType="end"/>
        </w:r>
      </w:hyperlink>
    </w:p>
    <w:p w:rsidR="00676731" w:rsidRPr="00990D3B" w14:paraId="6E9A2A9D" w14:textId="239796E7">
      <w:pPr>
        <w:pStyle w:val="TableofFigures"/>
        <w:rPr>
          <w:rFonts w:asciiTheme="minorHAnsi" w:eastAsiaTheme="minorEastAsia" w:hAnsiTheme="minorHAnsi" w:cstheme="minorBidi"/>
          <w:noProof/>
          <w:kern w:val="2"/>
          <w:sz w:val="24"/>
          <w:szCs w:val="24"/>
          <w14:ligatures w14:val="standardContextual"/>
        </w:rPr>
      </w:pPr>
      <w:hyperlink w:anchor="_Toc201751542" w:history="1">
        <w:r w:rsidRPr="00990D3B">
          <w:rPr>
            <w:rStyle w:val="Hyperlink"/>
            <w:noProof/>
          </w:rPr>
          <w:t>Worksheet 6.2. Survey Work Plan</w:t>
        </w:r>
        <w:r w:rsidRPr="00990D3B">
          <w:rPr>
            <w:noProof/>
            <w:webHidden/>
          </w:rPr>
          <w:tab/>
        </w:r>
        <w:r w:rsidRPr="00990D3B">
          <w:rPr>
            <w:noProof/>
            <w:webHidden/>
          </w:rPr>
          <w:fldChar w:fldCharType="begin"/>
        </w:r>
        <w:r w:rsidRPr="00990D3B">
          <w:rPr>
            <w:noProof/>
            <w:webHidden/>
          </w:rPr>
          <w:instrText xml:space="preserve"> PAGEREF _Toc201751542 \h </w:instrText>
        </w:r>
        <w:r w:rsidRPr="00990D3B">
          <w:rPr>
            <w:noProof/>
            <w:webHidden/>
          </w:rPr>
          <w:fldChar w:fldCharType="separate"/>
        </w:r>
        <w:r w:rsidRPr="00990D3B">
          <w:rPr>
            <w:noProof/>
            <w:webHidden/>
          </w:rPr>
          <w:t>325</w:t>
        </w:r>
        <w:r w:rsidRPr="00990D3B">
          <w:rPr>
            <w:noProof/>
            <w:webHidden/>
          </w:rPr>
          <w:fldChar w:fldCharType="end"/>
        </w:r>
      </w:hyperlink>
    </w:p>
    <w:p w:rsidR="00676731" w:rsidRPr="00990D3B" w14:paraId="2B61B336" w14:textId="32C2E503">
      <w:pPr>
        <w:pStyle w:val="TableofFigures"/>
        <w:rPr>
          <w:rFonts w:asciiTheme="minorHAnsi" w:eastAsiaTheme="minorEastAsia" w:hAnsiTheme="minorHAnsi" w:cstheme="minorBidi"/>
          <w:noProof/>
          <w:kern w:val="2"/>
          <w:sz w:val="24"/>
          <w:szCs w:val="24"/>
          <w14:ligatures w14:val="standardContextual"/>
        </w:rPr>
      </w:pPr>
      <w:hyperlink w:anchor="_Toc201751543" w:history="1">
        <w:r w:rsidRPr="00990D3B">
          <w:rPr>
            <w:rStyle w:val="Hyperlink"/>
            <w:noProof/>
          </w:rPr>
          <w:t>Worksheet 6.3. Survey Instrument</w:t>
        </w:r>
        <w:r w:rsidRPr="00990D3B">
          <w:rPr>
            <w:noProof/>
            <w:webHidden/>
          </w:rPr>
          <w:tab/>
        </w:r>
        <w:r w:rsidRPr="00990D3B">
          <w:rPr>
            <w:noProof/>
            <w:webHidden/>
          </w:rPr>
          <w:fldChar w:fldCharType="begin"/>
        </w:r>
        <w:r w:rsidRPr="00990D3B">
          <w:rPr>
            <w:noProof/>
            <w:webHidden/>
          </w:rPr>
          <w:instrText xml:space="preserve"> PAGEREF _Toc201751543 \h </w:instrText>
        </w:r>
        <w:r w:rsidRPr="00990D3B">
          <w:rPr>
            <w:noProof/>
            <w:webHidden/>
          </w:rPr>
          <w:fldChar w:fldCharType="separate"/>
        </w:r>
        <w:r w:rsidRPr="00990D3B">
          <w:rPr>
            <w:noProof/>
            <w:webHidden/>
          </w:rPr>
          <w:t>326</w:t>
        </w:r>
        <w:r w:rsidRPr="00990D3B">
          <w:rPr>
            <w:noProof/>
            <w:webHidden/>
          </w:rPr>
          <w:fldChar w:fldCharType="end"/>
        </w:r>
      </w:hyperlink>
    </w:p>
    <w:p w:rsidR="00676731" w:rsidRPr="00990D3B" w14:paraId="5E24E0ED" w14:textId="37FB29D2">
      <w:pPr>
        <w:pStyle w:val="TableofFigures"/>
        <w:rPr>
          <w:rFonts w:asciiTheme="minorHAnsi" w:eastAsiaTheme="minorEastAsia" w:hAnsiTheme="minorHAnsi" w:cstheme="minorBidi"/>
          <w:noProof/>
          <w:kern w:val="2"/>
          <w:sz w:val="24"/>
          <w:szCs w:val="24"/>
          <w14:ligatures w14:val="standardContextual"/>
        </w:rPr>
      </w:pPr>
      <w:hyperlink w:anchor="_Toc201751544" w:history="1">
        <w:r w:rsidRPr="00990D3B">
          <w:rPr>
            <w:rStyle w:val="Hyperlink"/>
            <w:noProof/>
          </w:rPr>
          <w:t>Worksheet 6.4. Survey Sampling Plan</w:t>
        </w:r>
        <w:r w:rsidRPr="00990D3B">
          <w:rPr>
            <w:noProof/>
            <w:webHidden/>
          </w:rPr>
          <w:tab/>
        </w:r>
        <w:r w:rsidRPr="00990D3B">
          <w:rPr>
            <w:noProof/>
            <w:webHidden/>
          </w:rPr>
          <w:fldChar w:fldCharType="begin"/>
        </w:r>
        <w:r w:rsidRPr="00990D3B">
          <w:rPr>
            <w:noProof/>
            <w:webHidden/>
          </w:rPr>
          <w:instrText xml:space="preserve"> PAGEREF _Toc201751544 \h </w:instrText>
        </w:r>
        <w:r w:rsidRPr="00990D3B">
          <w:rPr>
            <w:noProof/>
            <w:webHidden/>
          </w:rPr>
          <w:fldChar w:fldCharType="separate"/>
        </w:r>
        <w:r w:rsidRPr="00990D3B">
          <w:rPr>
            <w:noProof/>
            <w:webHidden/>
          </w:rPr>
          <w:t>327</w:t>
        </w:r>
        <w:r w:rsidRPr="00990D3B">
          <w:rPr>
            <w:noProof/>
            <w:webHidden/>
          </w:rPr>
          <w:fldChar w:fldCharType="end"/>
        </w:r>
      </w:hyperlink>
    </w:p>
    <w:p w:rsidR="00676731" w:rsidRPr="00990D3B" w14:paraId="47D5DAC9" w14:textId="2DEAC318">
      <w:pPr>
        <w:pStyle w:val="TableofFigures"/>
        <w:rPr>
          <w:rFonts w:asciiTheme="minorHAnsi" w:eastAsiaTheme="minorEastAsia" w:hAnsiTheme="minorHAnsi" w:cstheme="minorBidi"/>
          <w:noProof/>
          <w:kern w:val="2"/>
          <w:sz w:val="24"/>
          <w:szCs w:val="24"/>
          <w14:ligatures w14:val="standardContextual"/>
        </w:rPr>
      </w:pPr>
      <w:hyperlink w:anchor="_Toc201751545" w:history="1">
        <w:r w:rsidRPr="00990D3B">
          <w:rPr>
            <w:rStyle w:val="Hyperlink"/>
            <w:noProof/>
          </w:rPr>
          <w:t>Worksheet 6.5. Strategy to Maximize Survey Response</w:t>
        </w:r>
        <w:r w:rsidRPr="00990D3B">
          <w:rPr>
            <w:noProof/>
            <w:webHidden/>
          </w:rPr>
          <w:tab/>
        </w:r>
        <w:r w:rsidRPr="00990D3B">
          <w:rPr>
            <w:noProof/>
            <w:webHidden/>
          </w:rPr>
          <w:fldChar w:fldCharType="begin"/>
        </w:r>
        <w:r w:rsidRPr="00990D3B">
          <w:rPr>
            <w:noProof/>
            <w:webHidden/>
          </w:rPr>
          <w:instrText xml:space="preserve"> PAGEREF _Toc201751545 \h </w:instrText>
        </w:r>
        <w:r w:rsidRPr="00990D3B">
          <w:rPr>
            <w:noProof/>
            <w:webHidden/>
          </w:rPr>
          <w:fldChar w:fldCharType="separate"/>
        </w:r>
        <w:r w:rsidRPr="00990D3B">
          <w:rPr>
            <w:noProof/>
            <w:webHidden/>
          </w:rPr>
          <w:t>328</w:t>
        </w:r>
        <w:r w:rsidRPr="00990D3B">
          <w:rPr>
            <w:noProof/>
            <w:webHidden/>
          </w:rPr>
          <w:fldChar w:fldCharType="end"/>
        </w:r>
      </w:hyperlink>
    </w:p>
    <w:p w:rsidR="00676731" w:rsidRPr="00990D3B" w14:paraId="72372011" w14:textId="1C9D5DAB">
      <w:pPr>
        <w:pStyle w:val="TableofFigures"/>
        <w:rPr>
          <w:rFonts w:asciiTheme="minorHAnsi" w:eastAsiaTheme="minorEastAsia" w:hAnsiTheme="minorHAnsi" w:cstheme="minorBidi"/>
          <w:noProof/>
          <w:kern w:val="2"/>
          <w:sz w:val="24"/>
          <w:szCs w:val="24"/>
          <w14:ligatures w14:val="standardContextual"/>
        </w:rPr>
      </w:pPr>
      <w:hyperlink w:anchor="_Toc201751546" w:history="1">
        <w:r w:rsidRPr="00990D3B">
          <w:rPr>
            <w:rStyle w:val="Hyperlink"/>
            <w:noProof/>
          </w:rPr>
          <w:t>Worksheet 6.6. Survey Quality Assurance Plan</w:t>
        </w:r>
        <w:r w:rsidRPr="00990D3B">
          <w:rPr>
            <w:noProof/>
            <w:webHidden/>
          </w:rPr>
          <w:tab/>
        </w:r>
        <w:r w:rsidRPr="00990D3B">
          <w:rPr>
            <w:noProof/>
            <w:webHidden/>
          </w:rPr>
          <w:fldChar w:fldCharType="begin"/>
        </w:r>
        <w:r w:rsidRPr="00990D3B">
          <w:rPr>
            <w:noProof/>
            <w:webHidden/>
          </w:rPr>
          <w:instrText xml:space="preserve"> PAGEREF _Toc201751546 \h </w:instrText>
        </w:r>
        <w:r w:rsidRPr="00990D3B">
          <w:rPr>
            <w:noProof/>
            <w:webHidden/>
          </w:rPr>
          <w:fldChar w:fldCharType="separate"/>
        </w:r>
        <w:r w:rsidRPr="00990D3B">
          <w:rPr>
            <w:noProof/>
            <w:webHidden/>
          </w:rPr>
          <w:t>329</w:t>
        </w:r>
        <w:r w:rsidRPr="00990D3B">
          <w:rPr>
            <w:noProof/>
            <w:webHidden/>
          </w:rPr>
          <w:fldChar w:fldCharType="end"/>
        </w:r>
      </w:hyperlink>
    </w:p>
    <w:p w:rsidR="00676731" w:rsidRPr="00990D3B" w14:paraId="47D61E37" w14:textId="34160F8B">
      <w:pPr>
        <w:pStyle w:val="TableofFigures"/>
        <w:rPr>
          <w:rFonts w:asciiTheme="minorHAnsi" w:eastAsiaTheme="minorEastAsia" w:hAnsiTheme="minorHAnsi" w:cstheme="minorBidi"/>
          <w:noProof/>
          <w:kern w:val="2"/>
          <w:sz w:val="24"/>
          <w:szCs w:val="24"/>
          <w14:ligatures w14:val="standardContextual"/>
        </w:rPr>
      </w:pPr>
      <w:hyperlink w:anchor="_Toc201751547" w:history="1">
        <w:r w:rsidRPr="00990D3B">
          <w:rPr>
            <w:rStyle w:val="Hyperlink"/>
            <w:noProof/>
          </w:rPr>
          <w:t>Worksheet 6.7. Survey Implementation According to the Work Plan</w:t>
        </w:r>
        <w:r w:rsidRPr="00990D3B">
          <w:rPr>
            <w:noProof/>
            <w:webHidden/>
          </w:rPr>
          <w:tab/>
        </w:r>
        <w:r w:rsidRPr="00990D3B">
          <w:rPr>
            <w:noProof/>
            <w:webHidden/>
          </w:rPr>
          <w:fldChar w:fldCharType="begin"/>
        </w:r>
        <w:r w:rsidRPr="00990D3B">
          <w:rPr>
            <w:noProof/>
            <w:webHidden/>
          </w:rPr>
          <w:instrText xml:space="preserve"> PAGEREF _Toc201751547 \h </w:instrText>
        </w:r>
        <w:r w:rsidRPr="00990D3B">
          <w:rPr>
            <w:noProof/>
            <w:webHidden/>
          </w:rPr>
          <w:fldChar w:fldCharType="separate"/>
        </w:r>
        <w:r w:rsidRPr="00990D3B">
          <w:rPr>
            <w:noProof/>
            <w:webHidden/>
          </w:rPr>
          <w:t>330</w:t>
        </w:r>
        <w:r w:rsidRPr="00990D3B">
          <w:rPr>
            <w:noProof/>
            <w:webHidden/>
          </w:rPr>
          <w:fldChar w:fldCharType="end"/>
        </w:r>
      </w:hyperlink>
    </w:p>
    <w:p w:rsidR="00676731" w:rsidRPr="00990D3B" w14:paraId="7C520F80" w14:textId="38D30A02">
      <w:pPr>
        <w:pStyle w:val="TableofFigures"/>
        <w:rPr>
          <w:rFonts w:asciiTheme="minorHAnsi" w:eastAsiaTheme="minorEastAsia" w:hAnsiTheme="minorHAnsi" w:cstheme="minorBidi"/>
          <w:noProof/>
          <w:kern w:val="2"/>
          <w:sz w:val="24"/>
          <w:szCs w:val="24"/>
          <w14:ligatures w14:val="standardContextual"/>
        </w:rPr>
      </w:pPr>
      <w:hyperlink w:anchor="_Toc201751548" w:history="1">
        <w:r w:rsidRPr="00990D3B">
          <w:rPr>
            <w:rStyle w:val="Hyperlink"/>
            <w:noProof/>
          </w:rPr>
          <w:t>Worksheet 6.8. Survey Data Analysis and Final Report</w:t>
        </w:r>
        <w:r w:rsidRPr="00990D3B">
          <w:rPr>
            <w:noProof/>
            <w:webHidden/>
          </w:rPr>
          <w:tab/>
        </w:r>
        <w:r w:rsidRPr="00990D3B">
          <w:rPr>
            <w:noProof/>
            <w:webHidden/>
          </w:rPr>
          <w:fldChar w:fldCharType="begin"/>
        </w:r>
        <w:r w:rsidRPr="00990D3B">
          <w:rPr>
            <w:noProof/>
            <w:webHidden/>
          </w:rPr>
          <w:instrText xml:space="preserve"> PAGEREF _Toc201751548 \h </w:instrText>
        </w:r>
        <w:r w:rsidRPr="00990D3B">
          <w:rPr>
            <w:noProof/>
            <w:webHidden/>
          </w:rPr>
          <w:fldChar w:fldCharType="separate"/>
        </w:r>
        <w:r w:rsidRPr="00990D3B">
          <w:rPr>
            <w:noProof/>
            <w:webHidden/>
          </w:rPr>
          <w:t>331</w:t>
        </w:r>
        <w:r w:rsidRPr="00990D3B">
          <w:rPr>
            <w:noProof/>
            <w:webHidden/>
          </w:rPr>
          <w:fldChar w:fldCharType="end"/>
        </w:r>
      </w:hyperlink>
    </w:p>
    <w:p w:rsidR="00676731" w:rsidRPr="00990D3B" w14:paraId="73299470" w14:textId="1DBF13B9">
      <w:pPr>
        <w:pStyle w:val="TableofFigures"/>
        <w:rPr>
          <w:rFonts w:asciiTheme="minorHAnsi" w:eastAsiaTheme="minorEastAsia" w:hAnsiTheme="minorHAnsi" w:cstheme="minorBidi"/>
          <w:noProof/>
          <w:kern w:val="2"/>
          <w:sz w:val="24"/>
          <w:szCs w:val="24"/>
          <w14:ligatures w14:val="standardContextual"/>
        </w:rPr>
      </w:pPr>
      <w:hyperlink w:anchor="_Toc201751549" w:history="1">
        <w:r w:rsidRPr="00990D3B">
          <w:rPr>
            <w:rStyle w:val="Hyperlink"/>
            <w:noProof/>
          </w:rPr>
          <w:t>Worksheet 7.1. List of Performance Measures to be Calculated</w:t>
        </w:r>
        <w:r w:rsidRPr="00990D3B">
          <w:rPr>
            <w:noProof/>
            <w:webHidden/>
          </w:rPr>
          <w:tab/>
        </w:r>
        <w:r w:rsidRPr="00990D3B">
          <w:rPr>
            <w:noProof/>
            <w:webHidden/>
          </w:rPr>
          <w:fldChar w:fldCharType="begin"/>
        </w:r>
        <w:r w:rsidRPr="00990D3B">
          <w:rPr>
            <w:noProof/>
            <w:webHidden/>
          </w:rPr>
          <w:instrText xml:space="preserve"> PAGEREF _Toc201751549 \h </w:instrText>
        </w:r>
        <w:r w:rsidRPr="00990D3B">
          <w:rPr>
            <w:noProof/>
            <w:webHidden/>
          </w:rPr>
          <w:fldChar w:fldCharType="separate"/>
        </w:r>
        <w:r w:rsidRPr="00990D3B">
          <w:rPr>
            <w:noProof/>
            <w:webHidden/>
          </w:rPr>
          <w:t>343</w:t>
        </w:r>
        <w:r w:rsidRPr="00990D3B">
          <w:rPr>
            <w:noProof/>
            <w:webHidden/>
          </w:rPr>
          <w:fldChar w:fldCharType="end"/>
        </w:r>
      </w:hyperlink>
    </w:p>
    <w:p w:rsidR="00676731" w:rsidRPr="00990D3B" w14:paraId="1D307F1B" w14:textId="4F251F3E">
      <w:pPr>
        <w:pStyle w:val="TableofFigures"/>
        <w:rPr>
          <w:rFonts w:asciiTheme="minorHAnsi" w:eastAsiaTheme="minorEastAsia" w:hAnsiTheme="minorHAnsi" w:cstheme="minorBidi"/>
          <w:noProof/>
          <w:kern w:val="2"/>
          <w:sz w:val="24"/>
          <w:szCs w:val="24"/>
          <w14:ligatures w14:val="standardContextual"/>
        </w:rPr>
      </w:pPr>
      <w:hyperlink w:anchor="_Toc201751550" w:history="1">
        <w:r w:rsidRPr="00990D3B">
          <w:rPr>
            <w:rStyle w:val="Hyperlink"/>
            <w:noProof/>
          </w:rPr>
          <w:t>Example Worksheet 7.1 List of Performance Measure to be Calculated</w:t>
        </w:r>
        <w:r w:rsidRPr="00990D3B">
          <w:rPr>
            <w:noProof/>
            <w:webHidden/>
          </w:rPr>
          <w:tab/>
        </w:r>
        <w:r w:rsidRPr="00990D3B">
          <w:rPr>
            <w:noProof/>
            <w:webHidden/>
          </w:rPr>
          <w:fldChar w:fldCharType="begin"/>
        </w:r>
        <w:r w:rsidRPr="00990D3B">
          <w:rPr>
            <w:noProof/>
            <w:webHidden/>
          </w:rPr>
          <w:instrText xml:space="preserve"> PAGEREF _Toc201751550 \h </w:instrText>
        </w:r>
        <w:r w:rsidRPr="00990D3B">
          <w:rPr>
            <w:noProof/>
            <w:webHidden/>
          </w:rPr>
          <w:fldChar w:fldCharType="separate"/>
        </w:r>
        <w:r w:rsidRPr="00990D3B">
          <w:rPr>
            <w:noProof/>
            <w:webHidden/>
          </w:rPr>
          <w:t>343</w:t>
        </w:r>
        <w:r w:rsidRPr="00990D3B">
          <w:rPr>
            <w:noProof/>
            <w:webHidden/>
          </w:rPr>
          <w:fldChar w:fldCharType="end"/>
        </w:r>
      </w:hyperlink>
    </w:p>
    <w:p w:rsidR="00676731" w:rsidRPr="00990D3B" w14:paraId="6888F05E" w14:textId="7C3F3F9D">
      <w:pPr>
        <w:pStyle w:val="TableofFigures"/>
        <w:rPr>
          <w:rFonts w:asciiTheme="minorHAnsi" w:eastAsiaTheme="minorEastAsia" w:hAnsiTheme="minorHAnsi" w:cstheme="minorBidi"/>
          <w:noProof/>
          <w:kern w:val="2"/>
          <w:sz w:val="24"/>
          <w:szCs w:val="24"/>
          <w14:ligatures w14:val="standardContextual"/>
        </w:rPr>
      </w:pPr>
      <w:hyperlink w:anchor="_Toc201751551" w:history="1">
        <w:r w:rsidRPr="00990D3B">
          <w:rPr>
            <w:rStyle w:val="Hyperlink"/>
            <w:noProof/>
          </w:rPr>
          <w:t>Worksheet 7.2. Companion Performance Measurement Tool</w:t>
        </w:r>
        <w:r w:rsidRPr="00990D3B">
          <w:rPr>
            <w:noProof/>
            <w:webHidden/>
          </w:rPr>
          <w:tab/>
        </w:r>
        <w:r w:rsidRPr="00990D3B">
          <w:rPr>
            <w:noProof/>
            <w:webHidden/>
          </w:rPr>
          <w:fldChar w:fldCharType="begin"/>
        </w:r>
        <w:r w:rsidRPr="00990D3B">
          <w:rPr>
            <w:noProof/>
            <w:webHidden/>
          </w:rPr>
          <w:instrText xml:space="preserve"> PAGEREF _Toc201751551 \h </w:instrText>
        </w:r>
        <w:r w:rsidRPr="00990D3B">
          <w:rPr>
            <w:noProof/>
            <w:webHidden/>
          </w:rPr>
          <w:fldChar w:fldCharType="separate"/>
        </w:r>
        <w:r w:rsidRPr="00990D3B">
          <w:rPr>
            <w:noProof/>
            <w:webHidden/>
          </w:rPr>
          <w:t>344</w:t>
        </w:r>
        <w:r w:rsidRPr="00990D3B">
          <w:rPr>
            <w:noProof/>
            <w:webHidden/>
          </w:rPr>
          <w:fldChar w:fldCharType="end"/>
        </w:r>
      </w:hyperlink>
    </w:p>
    <w:p w:rsidR="00676731" w:rsidRPr="00990D3B" w14:paraId="687A43E0" w14:textId="1C28430D">
      <w:pPr>
        <w:pStyle w:val="TableofFigures"/>
        <w:rPr>
          <w:rFonts w:asciiTheme="minorHAnsi" w:eastAsiaTheme="minorEastAsia" w:hAnsiTheme="minorHAnsi" w:cstheme="minorBidi"/>
          <w:noProof/>
          <w:kern w:val="2"/>
          <w:sz w:val="24"/>
          <w:szCs w:val="24"/>
          <w14:ligatures w14:val="standardContextual"/>
        </w:rPr>
      </w:pPr>
      <w:hyperlink w:anchor="_Toc201751552" w:history="1">
        <w:r w:rsidRPr="00990D3B">
          <w:rPr>
            <w:rStyle w:val="Hyperlink"/>
            <w:noProof/>
          </w:rPr>
          <w:t>Worksheet 7.3. Data Element Master Checklist</w:t>
        </w:r>
        <w:r w:rsidRPr="00990D3B">
          <w:rPr>
            <w:noProof/>
            <w:webHidden/>
          </w:rPr>
          <w:tab/>
        </w:r>
        <w:r w:rsidRPr="00990D3B">
          <w:rPr>
            <w:noProof/>
            <w:webHidden/>
          </w:rPr>
          <w:fldChar w:fldCharType="begin"/>
        </w:r>
        <w:r w:rsidRPr="00990D3B">
          <w:rPr>
            <w:noProof/>
            <w:webHidden/>
          </w:rPr>
          <w:instrText xml:space="preserve"> PAGEREF _Toc201751552 \h </w:instrText>
        </w:r>
        <w:r w:rsidRPr="00990D3B">
          <w:rPr>
            <w:noProof/>
            <w:webHidden/>
          </w:rPr>
          <w:fldChar w:fldCharType="separate"/>
        </w:r>
        <w:r w:rsidRPr="00990D3B">
          <w:rPr>
            <w:noProof/>
            <w:webHidden/>
          </w:rPr>
          <w:t>346</w:t>
        </w:r>
        <w:r w:rsidRPr="00990D3B">
          <w:rPr>
            <w:noProof/>
            <w:webHidden/>
          </w:rPr>
          <w:fldChar w:fldCharType="end"/>
        </w:r>
      </w:hyperlink>
    </w:p>
    <w:p w:rsidR="00676731" w:rsidRPr="00990D3B" w14:paraId="358AE0A3" w14:textId="50E14DA5">
      <w:pPr>
        <w:pStyle w:val="TableofFigures"/>
        <w:rPr>
          <w:rFonts w:asciiTheme="minorHAnsi" w:eastAsiaTheme="minorEastAsia" w:hAnsiTheme="minorHAnsi" w:cstheme="minorBidi"/>
          <w:noProof/>
          <w:kern w:val="2"/>
          <w:sz w:val="24"/>
          <w:szCs w:val="24"/>
          <w14:ligatures w14:val="standardContextual"/>
        </w:rPr>
      </w:pPr>
      <w:hyperlink w:anchor="_Toc201751553" w:history="1">
        <w:r w:rsidRPr="00990D3B">
          <w:rPr>
            <w:rStyle w:val="Hyperlink"/>
            <w:noProof/>
          </w:rPr>
          <w:t>Worksheet 7.4. Data Availability and Data Quality</w:t>
        </w:r>
        <w:r w:rsidRPr="00990D3B">
          <w:rPr>
            <w:noProof/>
            <w:webHidden/>
          </w:rPr>
          <w:tab/>
        </w:r>
        <w:r w:rsidRPr="00990D3B">
          <w:rPr>
            <w:noProof/>
            <w:webHidden/>
          </w:rPr>
          <w:fldChar w:fldCharType="begin"/>
        </w:r>
        <w:r w:rsidRPr="00990D3B">
          <w:rPr>
            <w:noProof/>
            <w:webHidden/>
          </w:rPr>
          <w:instrText xml:space="preserve"> PAGEREF _Toc201751553 \h </w:instrText>
        </w:r>
        <w:r w:rsidRPr="00990D3B">
          <w:rPr>
            <w:noProof/>
            <w:webHidden/>
          </w:rPr>
          <w:fldChar w:fldCharType="separate"/>
        </w:r>
        <w:r w:rsidRPr="00990D3B">
          <w:rPr>
            <w:noProof/>
            <w:webHidden/>
          </w:rPr>
          <w:t>347</w:t>
        </w:r>
        <w:r w:rsidRPr="00990D3B">
          <w:rPr>
            <w:noProof/>
            <w:webHidden/>
          </w:rPr>
          <w:fldChar w:fldCharType="end"/>
        </w:r>
      </w:hyperlink>
    </w:p>
    <w:p w:rsidR="00676731" w:rsidRPr="00990D3B" w14:paraId="2BD89526" w14:textId="2B86FA81">
      <w:pPr>
        <w:pStyle w:val="TableofFigures"/>
        <w:rPr>
          <w:rFonts w:asciiTheme="minorHAnsi" w:eastAsiaTheme="minorEastAsia" w:hAnsiTheme="minorHAnsi" w:cstheme="minorBidi"/>
          <w:noProof/>
          <w:kern w:val="2"/>
          <w:sz w:val="24"/>
          <w:szCs w:val="24"/>
          <w14:ligatures w14:val="standardContextual"/>
        </w:rPr>
      </w:pPr>
      <w:hyperlink w:anchor="_Toc201751554" w:history="1">
        <w:r w:rsidRPr="00990D3B">
          <w:rPr>
            <w:rStyle w:val="Hyperlink"/>
            <w:noProof/>
          </w:rPr>
          <w:t>Worksheet 7.5. File Format for Transmission of Claims Data Template</w:t>
        </w:r>
        <w:r w:rsidRPr="00990D3B">
          <w:rPr>
            <w:noProof/>
            <w:webHidden/>
          </w:rPr>
          <w:tab/>
        </w:r>
        <w:r w:rsidRPr="00990D3B">
          <w:rPr>
            <w:noProof/>
            <w:webHidden/>
          </w:rPr>
          <w:fldChar w:fldCharType="begin"/>
        </w:r>
        <w:r w:rsidRPr="00990D3B">
          <w:rPr>
            <w:noProof/>
            <w:webHidden/>
          </w:rPr>
          <w:instrText xml:space="preserve"> PAGEREF _Toc201751554 \h </w:instrText>
        </w:r>
        <w:r w:rsidRPr="00990D3B">
          <w:rPr>
            <w:noProof/>
            <w:webHidden/>
          </w:rPr>
          <w:fldChar w:fldCharType="separate"/>
        </w:r>
        <w:r w:rsidRPr="00990D3B">
          <w:rPr>
            <w:noProof/>
            <w:webHidden/>
          </w:rPr>
          <w:t>348</w:t>
        </w:r>
        <w:r w:rsidRPr="00990D3B">
          <w:rPr>
            <w:noProof/>
            <w:webHidden/>
          </w:rPr>
          <w:fldChar w:fldCharType="end"/>
        </w:r>
      </w:hyperlink>
    </w:p>
    <w:p w:rsidR="00676731" w:rsidRPr="00990D3B" w14:paraId="2EDE94AB" w14:textId="126FA711">
      <w:pPr>
        <w:pStyle w:val="TableofFigures"/>
        <w:rPr>
          <w:rFonts w:asciiTheme="minorHAnsi" w:eastAsiaTheme="minorEastAsia" w:hAnsiTheme="minorHAnsi" w:cstheme="minorBidi"/>
          <w:noProof/>
          <w:kern w:val="2"/>
          <w:sz w:val="24"/>
          <w:szCs w:val="24"/>
          <w14:ligatures w14:val="standardContextual"/>
        </w:rPr>
      </w:pPr>
      <w:hyperlink w:anchor="_Toc201751555" w:history="1">
        <w:r w:rsidRPr="00990D3B">
          <w:rPr>
            <w:rStyle w:val="Hyperlink"/>
            <w:noProof/>
          </w:rPr>
          <w:t>Example Worksheet 7.5. File Format for Transmission of Claims Data Template</w:t>
        </w:r>
        <w:r w:rsidRPr="00990D3B">
          <w:rPr>
            <w:noProof/>
            <w:webHidden/>
          </w:rPr>
          <w:tab/>
        </w:r>
        <w:r w:rsidRPr="00990D3B">
          <w:rPr>
            <w:noProof/>
            <w:webHidden/>
          </w:rPr>
          <w:fldChar w:fldCharType="begin"/>
        </w:r>
        <w:r w:rsidRPr="00990D3B">
          <w:rPr>
            <w:noProof/>
            <w:webHidden/>
          </w:rPr>
          <w:instrText xml:space="preserve"> PAGEREF _Toc201751555 \h </w:instrText>
        </w:r>
        <w:r w:rsidRPr="00990D3B">
          <w:rPr>
            <w:noProof/>
            <w:webHidden/>
          </w:rPr>
          <w:fldChar w:fldCharType="separate"/>
        </w:r>
        <w:r w:rsidRPr="00990D3B">
          <w:rPr>
            <w:noProof/>
            <w:webHidden/>
          </w:rPr>
          <w:t>348</w:t>
        </w:r>
        <w:r w:rsidRPr="00990D3B">
          <w:rPr>
            <w:noProof/>
            <w:webHidden/>
          </w:rPr>
          <w:fldChar w:fldCharType="end"/>
        </w:r>
      </w:hyperlink>
    </w:p>
    <w:p w:rsidR="00676731" w:rsidRPr="00990D3B" w14:paraId="2BFA3100" w14:textId="158813C6">
      <w:pPr>
        <w:pStyle w:val="TableofFigures"/>
        <w:rPr>
          <w:rFonts w:asciiTheme="minorHAnsi" w:eastAsiaTheme="minorEastAsia" w:hAnsiTheme="minorHAnsi" w:cstheme="minorBidi"/>
          <w:noProof/>
          <w:kern w:val="2"/>
          <w:sz w:val="24"/>
          <w:szCs w:val="24"/>
          <w14:ligatures w14:val="standardContextual"/>
        </w:rPr>
      </w:pPr>
      <w:hyperlink w:anchor="_Toc201751556" w:history="1">
        <w:r w:rsidRPr="00990D3B">
          <w:rPr>
            <w:rStyle w:val="Hyperlink"/>
            <w:noProof/>
          </w:rPr>
          <w:t>Worksheet 10.1. Assigning MAC QRS Measures to MCPs Template</w:t>
        </w:r>
        <w:r w:rsidRPr="00990D3B">
          <w:rPr>
            <w:noProof/>
            <w:webHidden/>
          </w:rPr>
          <w:tab/>
        </w:r>
        <w:r w:rsidRPr="00990D3B">
          <w:rPr>
            <w:noProof/>
            <w:webHidden/>
          </w:rPr>
          <w:fldChar w:fldCharType="begin"/>
        </w:r>
        <w:r w:rsidRPr="00990D3B">
          <w:rPr>
            <w:noProof/>
            <w:webHidden/>
          </w:rPr>
          <w:instrText xml:space="preserve"> PAGEREF _Toc201751556 \h </w:instrText>
        </w:r>
        <w:r w:rsidRPr="00990D3B">
          <w:rPr>
            <w:noProof/>
            <w:webHidden/>
          </w:rPr>
          <w:fldChar w:fldCharType="separate"/>
        </w:r>
        <w:r w:rsidRPr="00990D3B">
          <w:rPr>
            <w:noProof/>
            <w:webHidden/>
          </w:rPr>
          <w:t>391</w:t>
        </w:r>
        <w:r w:rsidRPr="00990D3B">
          <w:rPr>
            <w:noProof/>
            <w:webHidden/>
          </w:rPr>
          <w:fldChar w:fldCharType="end"/>
        </w:r>
      </w:hyperlink>
    </w:p>
    <w:p w:rsidR="00676731" w:rsidRPr="00990D3B" w14:paraId="38368E6A" w14:textId="7AC8E950">
      <w:pPr>
        <w:pStyle w:val="TableofFigures"/>
        <w:rPr>
          <w:rFonts w:asciiTheme="minorHAnsi" w:eastAsiaTheme="minorEastAsia" w:hAnsiTheme="minorHAnsi" w:cstheme="minorBidi"/>
          <w:noProof/>
          <w:kern w:val="2"/>
          <w:sz w:val="24"/>
          <w:szCs w:val="24"/>
          <w14:ligatures w14:val="standardContextual"/>
        </w:rPr>
      </w:pPr>
      <w:hyperlink w:anchor="_Toc201751557" w:history="1">
        <w:r w:rsidRPr="00990D3B">
          <w:rPr>
            <w:rStyle w:val="Hyperlink"/>
            <w:noProof/>
          </w:rPr>
          <w:t xml:space="preserve">Worksheet 10.2. MAC QRS Data </w:t>
        </w:r>
        <w:r w:rsidRPr="00990D3B">
          <w:rPr>
            <w:rStyle w:val="Hyperlink"/>
            <w:bCs/>
            <w:noProof/>
          </w:rPr>
          <w:t>Needs Template</w:t>
        </w:r>
        <w:r w:rsidRPr="00990D3B">
          <w:rPr>
            <w:noProof/>
            <w:webHidden/>
          </w:rPr>
          <w:tab/>
        </w:r>
        <w:r w:rsidRPr="00990D3B">
          <w:rPr>
            <w:noProof/>
            <w:webHidden/>
          </w:rPr>
          <w:fldChar w:fldCharType="begin"/>
        </w:r>
        <w:r w:rsidRPr="00990D3B">
          <w:rPr>
            <w:noProof/>
            <w:webHidden/>
          </w:rPr>
          <w:instrText xml:space="preserve"> PAGEREF _Toc201751557 \h </w:instrText>
        </w:r>
        <w:r w:rsidRPr="00990D3B">
          <w:rPr>
            <w:noProof/>
            <w:webHidden/>
          </w:rPr>
          <w:fldChar w:fldCharType="separate"/>
        </w:r>
        <w:r w:rsidRPr="00990D3B">
          <w:rPr>
            <w:noProof/>
            <w:webHidden/>
          </w:rPr>
          <w:t>392</w:t>
        </w:r>
        <w:r w:rsidRPr="00990D3B">
          <w:rPr>
            <w:noProof/>
            <w:webHidden/>
          </w:rPr>
          <w:fldChar w:fldCharType="end"/>
        </w:r>
      </w:hyperlink>
    </w:p>
    <w:p w:rsidR="00676731" w:rsidRPr="00990D3B" w14:paraId="200241F1" w14:textId="157382DB">
      <w:pPr>
        <w:pStyle w:val="TableofFigures"/>
        <w:rPr>
          <w:rFonts w:asciiTheme="minorHAnsi" w:eastAsiaTheme="minorEastAsia" w:hAnsiTheme="minorHAnsi" w:cstheme="minorBidi"/>
          <w:noProof/>
          <w:kern w:val="2"/>
          <w:sz w:val="24"/>
          <w:szCs w:val="24"/>
          <w14:ligatures w14:val="standardContextual"/>
        </w:rPr>
      </w:pPr>
      <w:hyperlink w:anchor="_Toc201751558" w:history="1">
        <w:r w:rsidRPr="00990D3B">
          <w:rPr>
            <w:rStyle w:val="Hyperlink"/>
            <w:noProof/>
          </w:rPr>
          <w:t>Worksheet 10.3. MAC QRS Measure Reporting Requirements Template</w:t>
        </w:r>
        <w:r w:rsidRPr="00990D3B">
          <w:rPr>
            <w:noProof/>
            <w:webHidden/>
          </w:rPr>
          <w:tab/>
        </w:r>
        <w:r w:rsidRPr="00990D3B">
          <w:rPr>
            <w:noProof/>
            <w:webHidden/>
          </w:rPr>
          <w:fldChar w:fldCharType="begin"/>
        </w:r>
        <w:r w:rsidRPr="00990D3B">
          <w:rPr>
            <w:noProof/>
            <w:webHidden/>
          </w:rPr>
          <w:instrText xml:space="preserve"> PAGEREF _Toc201751558 \h </w:instrText>
        </w:r>
        <w:r w:rsidRPr="00990D3B">
          <w:rPr>
            <w:noProof/>
            <w:webHidden/>
          </w:rPr>
          <w:fldChar w:fldCharType="separate"/>
        </w:r>
        <w:r w:rsidRPr="00990D3B">
          <w:rPr>
            <w:noProof/>
            <w:webHidden/>
          </w:rPr>
          <w:t>393</w:t>
        </w:r>
        <w:r w:rsidRPr="00990D3B">
          <w:rPr>
            <w:noProof/>
            <w:webHidden/>
          </w:rPr>
          <w:fldChar w:fldCharType="end"/>
        </w:r>
      </w:hyperlink>
    </w:p>
    <w:p w:rsidR="00676731" w:rsidRPr="00990D3B" w14:paraId="11A86E54" w14:textId="3C46B93A">
      <w:pPr>
        <w:pStyle w:val="TableofFigures"/>
        <w:rPr>
          <w:rFonts w:asciiTheme="minorHAnsi" w:eastAsiaTheme="minorEastAsia" w:hAnsiTheme="minorHAnsi" w:cstheme="minorBidi"/>
          <w:noProof/>
          <w:kern w:val="2"/>
          <w:sz w:val="24"/>
          <w:szCs w:val="24"/>
          <w14:ligatures w14:val="standardContextual"/>
        </w:rPr>
      </w:pPr>
      <w:hyperlink w:anchor="_Toc201751559" w:history="1">
        <w:r w:rsidRPr="00990D3B">
          <w:rPr>
            <w:rStyle w:val="Hyperlink"/>
            <w:noProof/>
          </w:rPr>
          <w:t>Example of Worksheets 10.1 – 10.3</w:t>
        </w:r>
        <w:r w:rsidRPr="00990D3B">
          <w:rPr>
            <w:noProof/>
            <w:webHidden/>
          </w:rPr>
          <w:tab/>
        </w:r>
        <w:r w:rsidRPr="00990D3B">
          <w:rPr>
            <w:noProof/>
            <w:webHidden/>
          </w:rPr>
          <w:fldChar w:fldCharType="begin"/>
        </w:r>
        <w:r w:rsidRPr="00990D3B">
          <w:rPr>
            <w:noProof/>
            <w:webHidden/>
          </w:rPr>
          <w:instrText xml:space="preserve"> PAGEREF _Toc201751559 \h </w:instrText>
        </w:r>
        <w:r w:rsidRPr="00990D3B">
          <w:rPr>
            <w:noProof/>
            <w:webHidden/>
          </w:rPr>
          <w:fldChar w:fldCharType="separate"/>
        </w:r>
        <w:r w:rsidRPr="00990D3B">
          <w:rPr>
            <w:noProof/>
            <w:webHidden/>
          </w:rPr>
          <w:t>394</w:t>
        </w:r>
        <w:r w:rsidRPr="00990D3B">
          <w:rPr>
            <w:noProof/>
            <w:webHidden/>
          </w:rPr>
          <w:fldChar w:fldCharType="end"/>
        </w:r>
      </w:hyperlink>
    </w:p>
    <w:p w:rsidR="00676731" w:rsidRPr="00990D3B" w14:paraId="059D53B4" w14:textId="5C5E092B">
      <w:pPr>
        <w:pStyle w:val="TableofFigures"/>
        <w:rPr>
          <w:rFonts w:asciiTheme="minorHAnsi" w:eastAsiaTheme="minorEastAsia" w:hAnsiTheme="minorHAnsi" w:cstheme="minorBidi"/>
          <w:noProof/>
          <w:kern w:val="2"/>
          <w:sz w:val="24"/>
          <w:szCs w:val="24"/>
          <w14:ligatures w14:val="standardContextual"/>
        </w:rPr>
      </w:pPr>
      <w:hyperlink w:anchor="_Toc201751560" w:history="1">
        <w:r w:rsidRPr="00990D3B">
          <w:rPr>
            <w:rStyle w:val="Hyperlink"/>
            <w:noProof/>
          </w:rPr>
          <w:t>Table 1. Example State for Worksheets 10.1-10.3</w:t>
        </w:r>
        <w:r w:rsidRPr="00990D3B">
          <w:rPr>
            <w:noProof/>
            <w:webHidden/>
          </w:rPr>
          <w:tab/>
        </w:r>
        <w:r w:rsidRPr="00990D3B">
          <w:rPr>
            <w:noProof/>
            <w:webHidden/>
          </w:rPr>
          <w:fldChar w:fldCharType="begin"/>
        </w:r>
        <w:r w:rsidRPr="00990D3B">
          <w:rPr>
            <w:noProof/>
            <w:webHidden/>
          </w:rPr>
          <w:instrText xml:space="preserve"> PAGEREF _Toc201751560 \h </w:instrText>
        </w:r>
        <w:r w:rsidRPr="00990D3B">
          <w:rPr>
            <w:noProof/>
            <w:webHidden/>
          </w:rPr>
          <w:fldChar w:fldCharType="separate"/>
        </w:r>
        <w:r w:rsidRPr="00990D3B">
          <w:rPr>
            <w:noProof/>
            <w:webHidden/>
          </w:rPr>
          <w:t>394</w:t>
        </w:r>
        <w:r w:rsidRPr="00990D3B">
          <w:rPr>
            <w:noProof/>
            <w:webHidden/>
          </w:rPr>
          <w:fldChar w:fldCharType="end"/>
        </w:r>
      </w:hyperlink>
    </w:p>
    <w:p w:rsidR="00676731" w:rsidRPr="00990D3B" w14:paraId="7FA0C2EE" w14:textId="7201E447">
      <w:pPr>
        <w:pStyle w:val="TableofFigures"/>
        <w:rPr>
          <w:rFonts w:asciiTheme="minorHAnsi" w:eastAsiaTheme="minorEastAsia" w:hAnsiTheme="minorHAnsi" w:cstheme="minorBidi"/>
          <w:noProof/>
          <w:kern w:val="2"/>
          <w:sz w:val="24"/>
          <w:szCs w:val="24"/>
          <w14:ligatures w14:val="standardContextual"/>
        </w:rPr>
      </w:pPr>
      <w:hyperlink w:anchor="_Toc201751561" w:history="1">
        <w:r w:rsidRPr="00990D3B">
          <w:rPr>
            <w:rStyle w:val="Hyperlink"/>
            <w:noProof/>
          </w:rPr>
          <w:t>Example of Worksheet 10.1. Assigning MAC QRS Measures to MCP Template</w:t>
        </w:r>
        <w:r w:rsidRPr="00990D3B">
          <w:rPr>
            <w:noProof/>
            <w:webHidden/>
          </w:rPr>
          <w:tab/>
        </w:r>
        <w:r w:rsidRPr="00990D3B">
          <w:rPr>
            <w:noProof/>
            <w:webHidden/>
          </w:rPr>
          <w:fldChar w:fldCharType="begin"/>
        </w:r>
        <w:r w:rsidRPr="00990D3B">
          <w:rPr>
            <w:noProof/>
            <w:webHidden/>
          </w:rPr>
          <w:instrText xml:space="preserve"> PAGEREF _Toc201751561 \h </w:instrText>
        </w:r>
        <w:r w:rsidRPr="00990D3B">
          <w:rPr>
            <w:noProof/>
            <w:webHidden/>
          </w:rPr>
          <w:fldChar w:fldCharType="separate"/>
        </w:r>
        <w:r w:rsidRPr="00990D3B">
          <w:rPr>
            <w:noProof/>
            <w:webHidden/>
          </w:rPr>
          <w:t>395</w:t>
        </w:r>
        <w:r w:rsidRPr="00990D3B">
          <w:rPr>
            <w:noProof/>
            <w:webHidden/>
          </w:rPr>
          <w:fldChar w:fldCharType="end"/>
        </w:r>
      </w:hyperlink>
    </w:p>
    <w:p w:rsidR="00676731" w:rsidRPr="00990D3B" w14:paraId="55631A8C" w14:textId="27EDA38B">
      <w:pPr>
        <w:pStyle w:val="TableofFigures"/>
        <w:rPr>
          <w:rFonts w:asciiTheme="minorHAnsi" w:eastAsiaTheme="minorEastAsia" w:hAnsiTheme="minorHAnsi" w:cstheme="minorBidi"/>
          <w:noProof/>
          <w:kern w:val="2"/>
          <w:sz w:val="24"/>
          <w:szCs w:val="24"/>
          <w14:ligatures w14:val="standardContextual"/>
        </w:rPr>
      </w:pPr>
      <w:hyperlink w:anchor="_Toc201751562" w:history="1">
        <w:r w:rsidRPr="00990D3B">
          <w:rPr>
            <w:rStyle w:val="Hyperlink"/>
            <w:noProof/>
          </w:rPr>
          <w:t xml:space="preserve">Example of Worksheet 10.2. MAC QRS Data </w:t>
        </w:r>
        <w:r w:rsidRPr="00990D3B">
          <w:rPr>
            <w:rStyle w:val="Hyperlink"/>
            <w:bCs/>
            <w:noProof/>
          </w:rPr>
          <w:t>Requirements Template</w:t>
        </w:r>
        <w:r w:rsidRPr="00990D3B">
          <w:rPr>
            <w:noProof/>
            <w:webHidden/>
          </w:rPr>
          <w:tab/>
        </w:r>
        <w:r w:rsidRPr="00990D3B">
          <w:rPr>
            <w:noProof/>
            <w:webHidden/>
          </w:rPr>
          <w:fldChar w:fldCharType="begin"/>
        </w:r>
        <w:r w:rsidRPr="00990D3B">
          <w:rPr>
            <w:noProof/>
            <w:webHidden/>
          </w:rPr>
          <w:instrText xml:space="preserve"> PAGEREF _Toc201751562 \h </w:instrText>
        </w:r>
        <w:r w:rsidRPr="00990D3B">
          <w:rPr>
            <w:noProof/>
            <w:webHidden/>
          </w:rPr>
          <w:fldChar w:fldCharType="separate"/>
        </w:r>
        <w:r w:rsidRPr="00990D3B">
          <w:rPr>
            <w:noProof/>
            <w:webHidden/>
          </w:rPr>
          <w:t>396</w:t>
        </w:r>
        <w:r w:rsidRPr="00990D3B">
          <w:rPr>
            <w:noProof/>
            <w:webHidden/>
          </w:rPr>
          <w:fldChar w:fldCharType="end"/>
        </w:r>
      </w:hyperlink>
    </w:p>
    <w:p w:rsidR="00676731" w:rsidRPr="00990D3B" w14:paraId="55FE50E3" w14:textId="64064554">
      <w:pPr>
        <w:pStyle w:val="TableofFigures"/>
        <w:rPr>
          <w:rFonts w:asciiTheme="minorHAnsi" w:eastAsiaTheme="minorEastAsia" w:hAnsiTheme="minorHAnsi" w:cstheme="minorBidi"/>
          <w:noProof/>
          <w:kern w:val="2"/>
          <w:sz w:val="24"/>
          <w:szCs w:val="24"/>
          <w14:ligatures w14:val="standardContextual"/>
        </w:rPr>
      </w:pPr>
      <w:hyperlink w:anchor="_Toc201751563" w:history="1">
        <w:r w:rsidRPr="00990D3B">
          <w:rPr>
            <w:rStyle w:val="Hyperlink"/>
            <w:noProof/>
          </w:rPr>
          <w:t>Example of Worksheet 10.3. MAC QRS Measure Reporting Requirements Template</w:t>
        </w:r>
        <w:r w:rsidRPr="00990D3B">
          <w:rPr>
            <w:noProof/>
            <w:webHidden/>
          </w:rPr>
          <w:tab/>
        </w:r>
        <w:r w:rsidRPr="00990D3B">
          <w:rPr>
            <w:noProof/>
            <w:webHidden/>
          </w:rPr>
          <w:fldChar w:fldCharType="begin"/>
        </w:r>
        <w:r w:rsidRPr="00990D3B">
          <w:rPr>
            <w:noProof/>
            <w:webHidden/>
          </w:rPr>
          <w:instrText xml:space="preserve"> PAGEREF _Toc201751563 \h </w:instrText>
        </w:r>
        <w:r w:rsidRPr="00990D3B">
          <w:rPr>
            <w:noProof/>
            <w:webHidden/>
          </w:rPr>
          <w:fldChar w:fldCharType="separate"/>
        </w:r>
        <w:r w:rsidRPr="00990D3B">
          <w:rPr>
            <w:noProof/>
            <w:webHidden/>
          </w:rPr>
          <w:t>398</w:t>
        </w:r>
        <w:r w:rsidRPr="00990D3B">
          <w:rPr>
            <w:noProof/>
            <w:webHidden/>
          </w:rPr>
          <w:fldChar w:fldCharType="end"/>
        </w:r>
      </w:hyperlink>
    </w:p>
    <w:p w:rsidR="00676731" w:rsidRPr="00990D3B" w14:paraId="1872011D" w14:textId="542790F7">
      <w:pPr>
        <w:pStyle w:val="TableofFigures"/>
        <w:rPr>
          <w:rFonts w:asciiTheme="minorHAnsi" w:eastAsiaTheme="minorEastAsia" w:hAnsiTheme="minorHAnsi" w:cstheme="minorBidi"/>
          <w:noProof/>
          <w:kern w:val="2"/>
          <w:sz w:val="24"/>
          <w:szCs w:val="24"/>
          <w14:ligatures w14:val="standardContextual"/>
        </w:rPr>
      </w:pPr>
      <w:hyperlink w:anchor="_Toc201751564" w:history="1">
        <w:r w:rsidRPr="00990D3B">
          <w:rPr>
            <w:rStyle w:val="Hyperlink"/>
            <w:noProof/>
          </w:rPr>
          <w:t>Worksheet 11.1. Evaluation Setup</w:t>
        </w:r>
        <w:r w:rsidRPr="00990D3B">
          <w:rPr>
            <w:noProof/>
            <w:webHidden/>
          </w:rPr>
          <w:tab/>
        </w:r>
        <w:r w:rsidRPr="00990D3B">
          <w:rPr>
            <w:noProof/>
            <w:webHidden/>
          </w:rPr>
          <w:fldChar w:fldCharType="begin"/>
        </w:r>
        <w:r w:rsidRPr="00990D3B">
          <w:rPr>
            <w:noProof/>
            <w:webHidden/>
          </w:rPr>
          <w:instrText xml:space="preserve"> PAGEREF _Toc201751564 \h </w:instrText>
        </w:r>
        <w:r w:rsidRPr="00990D3B">
          <w:rPr>
            <w:noProof/>
            <w:webHidden/>
          </w:rPr>
          <w:fldChar w:fldCharType="separate"/>
        </w:r>
        <w:r w:rsidRPr="00990D3B">
          <w:rPr>
            <w:noProof/>
            <w:webHidden/>
          </w:rPr>
          <w:t>424</w:t>
        </w:r>
        <w:r w:rsidRPr="00990D3B">
          <w:rPr>
            <w:noProof/>
            <w:webHidden/>
          </w:rPr>
          <w:fldChar w:fldCharType="end"/>
        </w:r>
      </w:hyperlink>
    </w:p>
    <w:p w:rsidR="00676731" w:rsidRPr="00990D3B" w14:paraId="68A1778B" w14:textId="2C8558AB">
      <w:pPr>
        <w:pStyle w:val="TableofFigures"/>
        <w:rPr>
          <w:rFonts w:asciiTheme="minorHAnsi" w:eastAsiaTheme="minorEastAsia" w:hAnsiTheme="minorHAnsi" w:cstheme="minorBidi"/>
          <w:noProof/>
          <w:kern w:val="2"/>
          <w:sz w:val="24"/>
          <w:szCs w:val="24"/>
          <w14:ligatures w14:val="standardContextual"/>
        </w:rPr>
      </w:pPr>
      <w:hyperlink w:anchor="_Toc201751565" w:history="1">
        <w:r w:rsidRPr="00990D3B">
          <w:rPr>
            <w:rStyle w:val="Hyperlink"/>
            <w:noProof/>
          </w:rPr>
          <w:t>Worksheet 11.2. Evaluation Metric Identification Template</w:t>
        </w:r>
        <w:r w:rsidRPr="00990D3B">
          <w:rPr>
            <w:noProof/>
            <w:webHidden/>
          </w:rPr>
          <w:tab/>
        </w:r>
        <w:r w:rsidRPr="00990D3B">
          <w:rPr>
            <w:noProof/>
            <w:webHidden/>
          </w:rPr>
          <w:fldChar w:fldCharType="begin"/>
        </w:r>
        <w:r w:rsidRPr="00990D3B">
          <w:rPr>
            <w:noProof/>
            <w:webHidden/>
          </w:rPr>
          <w:instrText xml:space="preserve"> PAGEREF _Toc201751565 \h </w:instrText>
        </w:r>
        <w:r w:rsidRPr="00990D3B">
          <w:rPr>
            <w:noProof/>
            <w:webHidden/>
          </w:rPr>
          <w:fldChar w:fldCharType="separate"/>
        </w:r>
        <w:r w:rsidRPr="00990D3B">
          <w:rPr>
            <w:noProof/>
            <w:webHidden/>
          </w:rPr>
          <w:t>427</w:t>
        </w:r>
        <w:r w:rsidRPr="00990D3B">
          <w:rPr>
            <w:noProof/>
            <w:webHidden/>
          </w:rPr>
          <w:fldChar w:fldCharType="end"/>
        </w:r>
      </w:hyperlink>
    </w:p>
    <w:p w:rsidR="00676731" w:rsidRPr="00990D3B" w14:paraId="157410AD" w14:textId="7549E2BF">
      <w:pPr>
        <w:pStyle w:val="TableofFigures"/>
        <w:rPr>
          <w:rFonts w:asciiTheme="minorHAnsi" w:eastAsiaTheme="minorEastAsia" w:hAnsiTheme="minorHAnsi" w:cstheme="minorBidi"/>
          <w:noProof/>
          <w:kern w:val="2"/>
          <w:sz w:val="24"/>
          <w:szCs w:val="24"/>
          <w14:ligatures w14:val="standardContextual"/>
        </w:rPr>
      </w:pPr>
      <w:hyperlink w:anchor="_Toc201751566" w:history="1">
        <w:r w:rsidRPr="00990D3B">
          <w:rPr>
            <w:rStyle w:val="Hyperlink"/>
            <w:noProof/>
          </w:rPr>
          <w:t>Example of Worksheet 11.2. Evaluation Metric Identification</w:t>
        </w:r>
        <w:r w:rsidRPr="00990D3B">
          <w:rPr>
            <w:noProof/>
            <w:webHidden/>
          </w:rPr>
          <w:tab/>
        </w:r>
        <w:r w:rsidRPr="00990D3B">
          <w:rPr>
            <w:noProof/>
            <w:webHidden/>
          </w:rPr>
          <w:fldChar w:fldCharType="begin"/>
        </w:r>
        <w:r w:rsidRPr="00990D3B">
          <w:rPr>
            <w:noProof/>
            <w:webHidden/>
          </w:rPr>
          <w:instrText xml:space="preserve"> PAGEREF _Toc201751566 \h </w:instrText>
        </w:r>
        <w:r w:rsidRPr="00990D3B">
          <w:rPr>
            <w:noProof/>
            <w:webHidden/>
          </w:rPr>
          <w:fldChar w:fldCharType="separate"/>
        </w:r>
        <w:r w:rsidRPr="00990D3B">
          <w:rPr>
            <w:noProof/>
            <w:webHidden/>
          </w:rPr>
          <w:t>428</w:t>
        </w:r>
        <w:r w:rsidRPr="00990D3B">
          <w:rPr>
            <w:noProof/>
            <w:webHidden/>
          </w:rPr>
          <w:fldChar w:fldCharType="end"/>
        </w:r>
      </w:hyperlink>
    </w:p>
    <w:p w:rsidR="00676731" w:rsidRPr="00990D3B" w14:paraId="20B07605" w14:textId="269946EC">
      <w:pPr>
        <w:pStyle w:val="TableofFigures"/>
        <w:rPr>
          <w:rFonts w:asciiTheme="minorHAnsi" w:eastAsiaTheme="minorEastAsia" w:hAnsiTheme="minorHAnsi" w:cstheme="minorBidi"/>
          <w:noProof/>
          <w:kern w:val="2"/>
          <w:sz w:val="24"/>
          <w:szCs w:val="24"/>
          <w14:ligatures w14:val="standardContextual"/>
        </w:rPr>
      </w:pPr>
      <w:hyperlink w:anchor="_Toc201751567" w:history="1">
        <w:r w:rsidRPr="00990D3B">
          <w:rPr>
            <w:rStyle w:val="Hyperlink"/>
            <w:noProof/>
          </w:rPr>
          <w:t>Worksheet 11.3. Evaluation Metrics, Baseline, and Performance Targets</w:t>
        </w:r>
        <w:r w:rsidRPr="00990D3B">
          <w:rPr>
            <w:noProof/>
            <w:webHidden/>
          </w:rPr>
          <w:tab/>
        </w:r>
        <w:r w:rsidRPr="00990D3B">
          <w:rPr>
            <w:noProof/>
            <w:webHidden/>
          </w:rPr>
          <w:fldChar w:fldCharType="begin"/>
        </w:r>
        <w:r w:rsidRPr="00990D3B">
          <w:rPr>
            <w:noProof/>
            <w:webHidden/>
          </w:rPr>
          <w:instrText xml:space="preserve"> PAGEREF _Toc201751567 \h </w:instrText>
        </w:r>
        <w:r w:rsidRPr="00990D3B">
          <w:rPr>
            <w:noProof/>
            <w:webHidden/>
          </w:rPr>
          <w:fldChar w:fldCharType="separate"/>
        </w:r>
        <w:r w:rsidRPr="00990D3B">
          <w:rPr>
            <w:noProof/>
            <w:webHidden/>
          </w:rPr>
          <w:t>429</w:t>
        </w:r>
        <w:r w:rsidRPr="00990D3B">
          <w:rPr>
            <w:noProof/>
            <w:webHidden/>
          </w:rPr>
          <w:fldChar w:fldCharType="end"/>
        </w:r>
      </w:hyperlink>
    </w:p>
    <w:p w:rsidR="00676731" w:rsidRPr="00990D3B" w14:paraId="2CAC67FF" w14:textId="39E90D60">
      <w:pPr>
        <w:pStyle w:val="TableofFigures"/>
        <w:rPr>
          <w:rFonts w:asciiTheme="minorHAnsi" w:eastAsiaTheme="minorEastAsia" w:hAnsiTheme="minorHAnsi" w:cstheme="minorBidi"/>
          <w:noProof/>
          <w:kern w:val="2"/>
          <w:sz w:val="24"/>
          <w:szCs w:val="24"/>
          <w14:ligatures w14:val="standardContextual"/>
        </w:rPr>
      </w:pPr>
      <w:hyperlink w:anchor="_Toc201751568" w:history="1">
        <w:r w:rsidRPr="00990D3B">
          <w:rPr>
            <w:rStyle w:val="Hyperlink"/>
            <w:noProof/>
          </w:rPr>
          <w:t>Example Worksheet 11.3. Evaluation Metrics, Baseline, and Performance Targets</w:t>
        </w:r>
        <w:r w:rsidRPr="00990D3B">
          <w:rPr>
            <w:noProof/>
            <w:webHidden/>
          </w:rPr>
          <w:tab/>
        </w:r>
        <w:r w:rsidRPr="00990D3B">
          <w:rPr>
            <w:noProof/>
            <w:webHidden/>
          </w:rPr>
          <w:fldChar w:fldCharType="begin"/>
        </w:r>
        <w:r w:rsidRPr="00990D3B">
          <w:rPr>
            <w:noProof/>
            <w:webHidden/>
          </w:rPr>
          <w:instrText xml:space="preserve"> PAGEREF _Toc201751568 \h </w:instrText>
        </w:r>
        <w:r w:rsidRPr="00990D3B">
          <w:rPr>
            <w:noProof/>
            <w:webHidden/>
          </w:rPr>
          <w:fldChar w:fldCharType="separate"/>
        </w:r>
        <w:r w:rsidRPr="00990D3B">
          <w:rPr>
            <w:noProof/>
            <w:webHidden/>
          </w:rPr>
          <w:t>430</w:t>
        </w:r>
        <w:r w:rsidRPr="00990D3B">
          <w:rPr>
            <w:noProof/>
            <w:webHidden/>
          </w:rPr>
          <w:fldChar w:fldCharType="end"/>
        </w:r>
      </w:hyperlink>
    </w:p>
    <w:p w:rsidR="00676731" w:rsidRPr="00990D3B" w14:paraId="6D1E74BB" w14:textId="7C4FACFA">
      <w:pPr>
        <w:pStyle w:val="TableofFigures"/>
        <w:rPr>
          <w:rFonts w:asciiTheme="minorHAnsi" w:eastAsiaTheme="minorEastAsia" w:hAnsiTheme="minorHAnsi" w:cstheme="minorBidi"/>
          <w:noProof/>
          <w:kern w:val="2"/>
          <w:sz w:val="24"/>
          <w:szCs w:val="24"/>
          <w14:ligatures w14:val="standardContextual"/>
        </w:rPr>
      </w:pPr>
      <w:hyperlink w:anchor="_Toc201751569" w:history="1">
        <w:r w:rsidRPr="00990D3B">
          <w:rPr>
            <w:rStyle w:val="Hyperlink"/>
            <w:noProof/>
          </w:rPr>
          <w:t>Worksheet 11.4. Analysis Plan Template</w:t>
        </w:r>
        <w:r w:rsidRPr="00990D3B">
          <w:rPr>
            <w:noProof/>
            <w:webHidden/>
          </w:rPr>
          <w:tab/>
        </w:r>
        <w:r w:rsidRPr="00990D3B">
          <w:rPr>
            <w:noProof/>
            <w:webHidden/>
          </w:rPr>
          <w:fldChar w:fldCharType="begin"/>
        </w:r>
        <w:r w:rsidRPr="00990D3B">
          <w:rPr>
            <w:noProof/>
            <w:webHidden/>
          </w:rPr>
          <w:instrText xml:space="preserve"> PAGEREF _Toc201751569 \h </w:instrText>
        </w:r>
        <w:r w:rsidRPr="00990D3B">
          <w:rPr>
            <w:noProof/>
            <w:webHidden/>
          </w:rPr>
          <w:fldChar w:fldCharType="separate"/>
        </w:r>
        <w:r w:rsidRPr="00990D3B">
          <w:rPr>
            <w:noProof/>
            <w:webHidden/>
          </w:rPr>
          <w:t>431</w:t>
        </w:r>
        <w:r w:rsidRPr="00990D3B">
          <w:rPr>
            <w:noProof/>
            <w:webHidden/>
          </w:rPr>
          <w:fldChar w:fldCharType="end"/>
        </w:r>
      </w:hyperlink>
    </w:p>
    <w:p w:rsidR="00676731" w:rsidRPr="00990D3B" w14:paraId="447114A2" w14:textId="61400785">
      <w:pPr>
        <w:pStyle w:val="TableofFigures"/>
        <w:rPr>
          <w:rFonts w:asciiTheme="minorHAnsi" w:eastAsiaTheme="minorEastAsia" w:hAnsiTheme="minorHAnsi" w:cstheme="minorBidi"/>
          <w:noProof/>
          <w:kern w:val="2"/>
          <w:sz w:val="24"/>
          <w:szCs w:val="24"/>
          <w14:ligatures w14:val="standardContextual"/>
        </w:rPr>
      </w:pPr>
      <w:hyperlink w:anchor="_Toc201751570" w:history="1">
        <w:r w:rsidRPr="00990D3B">
          <w:rPr>
            <w:rStyle w:val="Hyperlink"/>
            <w:noProof/>
          </w:rPr>
          <w:t>Worksheet 11.5. Evaluation Timeline</w:t>
        </w:r>
        <w:r w:rsidRPr="00990D3B">
          <w:rPr>
            <w:noProof/>
            <w:webHidden/>
          </w:rPr>
          <w:tab/>
        </w:r>
        <w:r w:rsidRPr="00990D3B">
          <w:rPr>
            <w:noProof/>
            <w:webHidden/>
          </w:rPr>
          <w:fldChar w:fldCharType="begin"/>
        </w:r>
        <w:r w:rsidRPr="00990D3B">
          <w:rPr>
            <w:noProof/>
            <w:webHidden/>
          </w:rPr>
          <w:instrText xml:space="preserve"> PAGEREF _Toc201751570 \h </w:instrText>
        </w:r>
        <w:r w:rsidRPr="00990D3B">
          <w:rPr>
            <w:noProof/>
            <w:webHidden/>
          </w:rPr>
          <w:fldChar w:fldCharType="separate"/>
        </w:r>
        <w:r w:rsidRPr="00990D3B">
          <w:rPr>
            <w:noProof/>
            <w:webHidden/>
          </w:rPr>
          <w:t>435</w:t>
        </w:r>
        <w:r w:rsidRPr="00990D3B">
          <w:rPr>
            <w:noProof/>
            <w:webHidden/>
          </w:rPr>
          <w:fldChar w:fldCharType="end"/>
        </w:r>
      </w:hyperlink>
    </w:p>
    <w:p w:rsidR="00676731" w:rsidRPr="00990D3B" w14:paraId="41315781" w14:textId="10AB5393">
      <w:pPr>
        <w:pStyle w:val="TableofFigures"/>
        <w:rPr>
          <w:rFonts w:asciiTheme="minorHAnsi" w:eastAsiaTheme="minorEastAsia" w:hAnsiTheme="minorHAnsi" w:cstheme="minorBidi"/>
          <w:noProof/>
          <w:kern w:val="2"/>
          <w:sz w:val="24"/>
          <w:szCs w:val="24"/>
          <w14:ligatures w14:val="standardContextual"/>
        </w:rPr>
      </w:pPr>
      <w:hyperlink w:anchor="_Toc201751571" w:history="1">
        <w:r w:rsidRPr="00990D3B">
          <w:rPr>
            <w:rStyle w:val="Hyperlink"/>
            <w:noProof/>
          </w:rPr>
          <w:t>Example Worksheet 11.5. Evaluation Timeline</w:t>
        </w:r>
        <w:r w:rsidRPr="00990D3B">
          <w:rPr>
            <w:noProof/>
            <w:webHidden/>
          </w:rPr>
          <w:tab/>
        </w:r>
        <w:r w:rsidRPr="00990D3B">
          <w:rPr>
            <w:noProof/>
            <w:webHidden/>
          </w:rPr>
          <w:fldChar w:fldCharType="begin"/>
        </w:r>
        <w:r w:rsidRPr="00990D3B">
          <w:rPr>
            <w:noProof/>
            <w:webHidden/>
          </w:rPr>
          <w:instrText xml:space="preserve"> PAGEREF _Toc201751571 \h </w:instrText>
        </w:r>
        <w:r w:rsidRPr="00990D3B">
          <w:rPr>
            <w:noProof/>
            <w:webHidden/>
          </w:rPr>
          <w:fldChar w:fldCharType="separate"/>
        </w:r>
        <w:r w:rsidRPr="00990D3B">
          <w:rPr>
            <w:noProof/>
            <w:webHidden/>
          </w:rPr>
          <w:t>437</w:t>
        </w:r>
        <w:r w:rsidRPr="00990D3B">
          <w:rPr>
            <w:noProof/>
            <w:webHidden/>
          </w:rPr>
          <w:fldChar w:fldCharType="end"/>
        </w:r>
      </w:hyperlink>
    </w:p>
    <w:p w:rsidR="00676731" w:rsidRPr="00990D3B" w14:paraId="1CF6C2BD" w14:textId="6CAB1BE7">
      <w:pPr>
        <w:pStyle w:val="TableofFigures"/>
        <w:rPr>
          <w:rFonts w:asciiTheme="minorHAnsi" w:eastAsiaTheme="minorEastAsia" w:hAnsiTheme="minorHAnsi" w:cstheme="minorBidi"/>
          <w:noProof/>
          <w:kern w:val="2"/>
          <w:sz w:val="24"/>
          <w:szCs w:val="24"/>
          <w14:ligatures w14:val="standardContextual"/>
        </w:rPr>
      </w:pPr>
      <w:hyperlink w:anchor="_Toc201751572" w:history="1">
        <w:r w:rsidRPr="00990D3B">
          <w:rPr>
            <w:rStyle w:val="Hyperlink"/>
            <w:noProof/>
          </w:rPr>
          <w:t>Worksheet 11.6. Checklist for Evaluation Report</w:t>
        </w:r>
        <w:r w:rsidRPr="00990D3B">
          <w:rPr>
            <w:noProof/>
            <w:webHidden/>
          </w:rPr>
          <w:tab/>
        </w:r>
        <w:r w:rsidRPr="00990D3B">
          <w:rPr>
            <w:noProof/>
            <w:webHidden/>
          </w:rPr>
          <w:fldChar w:fldCharType="begin"/>
        </w:r>
        <w:r w:rsidRPr="00990D3B">
          <w:rPr>
            <w:noProof/>
            <w:webHidden/>
          </w:rPr>
          <w:instrText xml:space="preserve"> PAGEREF _Toc201751572 \h </w:instrText>
        </w:r>
        <w:r w:rsidRPr="00990D3B">
          <w:rPr>
            <w:noProof/>
            <w:webHidden/>
          </w:rPr>
          <w:fldChar w:fldCharType="separate"/>
        </w:r>
        <w:r w:rsidRPr="00990D3B">
          <w:rPr>
            <w:noProof/>
            <w:webHidden/>
          </w:rPr>
          <w:t>439</w:t>
        </w:r>
        <w:r w:rsidRPr="00990D3B">
          <w:rPr>
            <w:noProof/>
            <w:webHidden/>
          </w:rPr>
          <w:fldChar w:fldCharType="end"/>
        </w:r>
      </w:hyperlink>
    </w:p>
    <w:p w:rsidR="00676731" w:rsidRPr="00990D3B" w14:paraId="41997C17" w14:textId="3B1D01E6">
      <w:pPr>
        <w:pStyle w:val="TableofFigures"/>
        <w:rPr>
          <w:rFonts w:asciiTheme="minorHAnsi" w:eastAsiaTheme="minorEastAsia" w:hAnsiTheme="minorHAnsi" w:cstheme="minorBidi"/>
          <w:noProof/>
          <w:kern w:val="2"/>
          <w:sz w:val="24"/>
          <w:szCs w:val="24"/>
          <w14:ligatures w14:val="standardContextual"/>
        </w:rPr>
      </w:pPr>
      <w:hyperlink w:anchor="_Toc201751573" w:history="1">
        <w:r w:rsidRPr="00990D3B">
          <w:rPr>
            <w:rStyle w:val="Hyperlink"/>
            <w:noProof/>
          </w:rPr>
          <w:t>Worksheet 11.7. Evaluation Performance Metric Results Template</w:t>
        </w:r>
        <w:r w:rsidRPr="00990D3B">
          <w:rPr>
            <w:noProof/>
            <w:webHidden/>
          </w:rPr>
          <w:tab/>
        </w:r>
        <w:r w:rsidRPr="00990D3B">
          <w:rPr>
            <w:noProof/>
            <w:webHidden/>
          </w:rPr>
          <w:fldChar w:fldCharType="begin"/>
        </w:r>
        <w:r w:rsidRPr="00990D3B">
          <w:rPr>
            <w:noProof/>
            <w:webHidden/>
          </w:rPr>
          <w:instrText xml:space="preserve"> PAGEREF _Toc201751573 \h </w:instrText>
        </w:r>
        <w:r w:rsidRPr="00990D3B">
          <w:rPr>
            <w:noProof/>
            <w:webHidden/>
          </w:rPr>
          <w:fldChar w:fldCharType="separate"/>
        </w:r>
        <w:r w:rsidRPr="00990D3B">
          <w:rPr>
            <w:noProof/>
            <w:webHidden/>
          </w:rPr>
          <w:t>441</w:t>
        </w:r>
        <w:r w:rsidRPr="00990D3B">
          <w:rPr>
            <w:noProof/>
            <w:webHidden/>
          </w:rPr>
          <w:fldChar w:fldCharType="end"/>
        </w:r>
      </w:hyperlink>
    </w:p>
    <w:p w:rsidR="00676731" w:rsidRPr="00990D3B" w14:paraId="383A575F" w14:textId="51C3DADF">
      <w:pPr>
        <w:pStyle w:val="TableofFigures"/>
        <w:rPr>
          <w:rFonts w:asciiTheme="minorHAnsi" w:eastAsiaTheme="minorEastAsia" w:hAnsiTheme="minorHAnsi" w:cstheme="minorBidi"/>
          <w:noProof/>
          <w:kern w:val="2"/>
          <w:sz w:val="24"/>
          <w:szCs w:val="24"/>
          <w14:ligatures w14:val="standardContextual"/>
        </w:rPr>
      </w:pPr>
      <w:hyperlink w:anchor="_Toc201751574" w:history="1">
        <w:r w:rsidRPr="00990D3B">
          <w:rPr>
            <w:rStyle w:val="Hyperlink"/>
            <w:noProof/>
          </w:rPr>
          <w:t>Worksheet A.1 EQR Reporting Checklist</w:t>
        </w:r>
        <w:r w:rsidRPr="00990D3B">
          <w:rPr>
            <w:noProof/>
            <w:webHidden/>
          </w:rPr>
          <w:tab/>
          <w:t>A.</w:t>
        </w:r>
        <w:r w:rsidRPr="00990D3B">
          <w:rPr>
            <w:noProof/>
            <w:webHidden/>
          </w:rPr>
          <w:fldChar w:fldCharType="begin"/>
        </w:r>
        <w:r w:rsidRPr="00990D3B">
          <w:rPr>
            <w:noProof/>
            <w:webHidden/>
          </w:rPr>
          <w:instrText xml:space="preserve"> PAGEREF _Toc201751574 \h </w:instrText>
        </w:r>
        <w:r w:rsidRPr="00990D3B">
          <w:rPr>
            <w:noProof/>
            <w:webHidden/>
          </w:rPr>
          <w:fldChar w:fldCharType="separate"/>
        </w:r>
        <w:r w:rsidRPr="00990D3B">
          <w:rPr>
            <w:noProof/>
            <w:webHidden/>
          </w:rPr>
          <w:t>2</w:t>
        </w:r>
        <w:r w:rsidRPr="00990D3B">
          <w:rPr>
            <w:noProof/>
            <w:webHidden/>
          </w:rPr>
          <w:fldChar w:fldCharType="end"/>
        </w:r>
      </w:hyperlink>
    </w:p>
    <w:p w:rsidR="00676731" w:rsidRPr="00990D3B" w14:paraId="3136A942" w14:textId="5DB95FCF">
      <w:pPr>
        <w:pStyle w:val="TableofFigures"/>
        <w:rPr>
          <w:rFonts w:asciiTheme="minorHAnsi" w:eastAsiaTheme="minorEastAsia" w:hAnsiTheme="minorHAnsi" w:cstheme="minorBidi"/>
          <w:noProof/>
          <w:kern w:val="2"/>
          <w:sz w:val="24"/>
          <w:szCs w:val="24"/>
          <w14:ligatures w14:val="standardContextual"/>
        </w:rPr>
      </w:pPr>
      <w:hyperlink w:anchor="_Toc201751575" w:history="1">
        <w:r w:rsidRPr="00990D3B">
          <w:rPr>
            <w:rStyle w:val="Hyperlink"/>
            <w:noProof/>
          </w:rPr>
          <w:t>Worksheet A.2. MCP Information</w:t>
        </w:r>
        <w:r w:rsidRPr="00990D3B">
          <w:rPr>
            <w:noProof/>
            <w:webHidden/>
          </w:rPr>
          <w:tab/>
          <w:t>A.</w:t>
        </w:r>
        <w:r w:rsidRPr="00990D3B">
          <w:rPr>
            <w:noProof/>
            <w:webHidden/>
          </w:rPr>
          <w:fldChar w:fldCharType="begin"/>
        </w:r>
        <w:r w:rsidRPr="00990D3B">
          <w:rPr>
            <w:noProof/>
            <w:webHidden/>
          </w:rPr>
          <w:instrText xml:space="preserve"> PAGEREF _Toc201751575 \h </w:instrText>
        </w:r>
        <w:r w:rsidRPr="00990D3B">
          <w:rPr>
            <w:noProof/>
            <w:webHidden/>
          </w:rPr>
          <w:fldChar w:fldCharType="separate"/>
        </w:r>
        <w:r w:rsidRPr="00990D3B">
          <w:rPr>
            <w:noProof/>
            <w:webHidden/>
          </w:rPr>
          <w:t>3</w:t>
        </w:r>
        <w:r w:rsidRPr="00990D3B">
          <w:rPr>
            <w:noProof/>
            <w:webHidden/>
          </w:rPr>
          <w:fldChar w:fldCharType="end"/>
        </w:r>
      </w:hyperlink>
    </w:p>
    <w:p w:rsidR="00676731" w:rsidRPr="00990D3B" w14:paraId="19082956" w14:textId="5233E404">
      <w:pPr>
        <w:pStyle w:val="TableofFigures"/>
        <w:rPr>
          <w:rFonts w:asciiTheme="minorHAnsi" w:eastAsiaTheme="minorEastAsia" w:hAnsiTheme="minorHAnsi" w:cstheme="minorBidi"/>
          <w:noProof/>
          <w:kern w:val="2"/>
          <w:sz w:val="24"/>
          <w:szCs w:val="24"/>
          <w14:ligatures w14:val="standardContextual"/>
        </w:rPr>
      </w:pPr>
      <w:hyperlink w:anchor="_Toc201751576" w:history="1">
        <w:r w:rsidRPr="00990D3B">
          <w:rPr>
            <w:rStyle w:val="Hyperlink"/>
            <w:noProof/>
          </w:rPr>
          <w:t>Worksheet B.1. Information System Capabilities Assessment (ISCA) Tool</w:t>
        </w:r>
        <w:r w:rsidRPr="00990D3B">
          <w:rPr>
            <w:noProof/>
            <w:webHidden/>
          </w:rPr>
          <w:tab/>
          <w:t>B.</w:t>
        </w:r>
        <w:r w:rsidRPr="00990D3B">
          <w:rPr>
            <w:noProof/>
            <w:webHidden/>
          </w:rPr>
          <w:fldChar w:fldCharType="begin"/>
        </w:r>
        <w:r w:rsidRPr="00990D3B">
          <w:rPr>
            <w:noProof/>
            <w:webHidden/>
          </w:rPr>
          <w:instrText xml:space="preserve"> PAGEREF _Toc201751576 \h </w:instrText>
        </w:r>
        <w:r w:rsidRPr="00990D3B">
          <w:rPr>
            <w:noProof/>
            <w:webHidden/>
          </w:rPr>
          <w:fldChar w:fldCharType="separate"/>
        </w:r>
        <w:r w:rsidRPr="00990D3B">
          <w:rPr>
            <w:noProof/>
            <w:webHidden/>
          </w:rPr>
          <w:t>9</w:t>
        </w:r>
        <w:r w:rsidRPr="00990D3B">
          <w:rPr>
            <w:noProof/>
            <w:webHidden/>
          </w:rPr>
          <w:fldChar w:fldCharType="end"/>
        </w:r>
      </w:hyperlink>
    </w:p>
    <w:p w:rsidR="00676731" w:rsidRPr="00990D3B" w14:paraId="69269258" w14:textId="63B47EB3">
      <w:pPr>
        <w:pStyle w:val="TableofFigures"/>
        <w:rPr>
          <w:rFonts w:asciiTheme="minorHAnsi" w:eastAsiaTheme="minorEastAsia" w:hAnsiTheme="minorHAnsi" w:cstheme="minorBidi"/>
          <w:noProof/>
          <w:kern w:val="2"/>
          <w:sz w:val="24"/>
          <w:szCs w:val="24"/>
          <w14:ligatures w14:val="standardContextual"/>
        </w:rPr>
      </w:pPr>
      <w:hyperlink w:anchor="_Toc201751577" w:history="1">
        <w:r w:rsidRPr="00990D3B">
          <w:rPr>
            <w:rStyle w:val="Hyperlink"/>
            <w:noProof/>
          </w:rPr>
          <w:t>Worksheet B.2. Information System Review Worksheet &amp; Interview Guide</w:t>
        </w:r>
        <w:r w:rsidRPr="00990D3B">
          <w:rPr>
            <w:noProof/>
            <w:webHidden/>
          </w:rPr>
          <w:tab/>
          <w:t>B.</w:t>
        </w:r>
        <w:r w:rsidRPr="00990D3B">
          <w:rPr>
            <w:noProof/>
            <w:webHidden/>
          </w:rPr>
          <w:fldChar w:fldCharType="begin"/>
        </w:r>
        <w:r w:rsidRPr="00990D3B">
          <w:rPr>
            <w:noProof/>
            <w:webHidden/>
          </w:rPr>
          <w:instrText xml:space="preserve"> PAGEREF _Toc201751577 \h </w:instrText>
        </w:r>
        <w:r w:rsidRPr="00990D3B">
          <w:rPr>
            <w:noProof/>
            <w:webHidden/>
          </w:rPr>
          <w:fldChar w:fldCharType="separate"/>
        </w:r>
        <w:r w:rsidRPr="00990D3B">
          <w:rPr>
            <w:noProof/>
            <w:webHidden/>
          </w:rPr>
          <w:t>34</w:t>
        </w:r>
        <w:r w:rsidRPr="00990D3B">
          <w:rPr>
            <w:noProof/>
            <w:webHidden/>
          </w:rPr>
          <w:fldChar w:fldCharType="end"/>
        </w:r>
      </w:hyperlink>
    </w:p>
    <w:p w:rsidR="00E439C7" w:rsidRPr="00990D3B" w:rsidP="00115176" w14:paraId="18AFDE04" w14:textId="07C92C77">
      <w:r w:rsidRPr="00990D3B">
        <w:rPr>
          <w:rFonts w:asciiTheme="majorHAnsi" w:hAnsiTheme="majorHAnsi" w:cs="Arial"/>
          <w:sz w:val="20"/>
        </w:rPr>
        <w:fldChar w:fldCharType="end"/>
      </w:r>
    </w:p>
    <w:p w:rsidR="00944824" w:rsidRPr="00990D3B" w:rsidP="00944824" w14:paraId="42E8FC88" w14:textId="5B089257">
      <w:pPr>
        <w:tabs>
          <w:tab w:val="left" w:pos="3405"/>
        </w:tabs>
        <w:sectPr w:rsidSect="001E223F">
          <w:headerReference w:type="even" r:id="rId23"/>
          <w:headerReference w:type="default" r:id="rId24"/>
          <w:footerReference w:type="even" r:id="rId25"/>
          <w:footerReference w:type="default" r:id="rId26"/>
          <w:headerReference w:type="first" r:id="rId27"/>
          <w:footerReference w:type="first" r:id="rId28"/>
          <w:pgSz w:w="12240" w:h="15840" w:code="1"/>
          <w:pgMar w:top="1440" w:right="1440" w:bottom="1440" w:left="1440" w:header="720" w:footer="720" w:gutter="0"/>
          <w:pgNumType w:fmt="lowerRoman"/>
          <w:cols w:space="720"/>
          <w:docGrid w:linePitch="360"/>
        </w:sectPr>
      </w:pPr>
    </w:p>
    <w:p w:rsidR="007442F0" w:rsidRPr="00990D3B" w:rsidP="00836F96" w14:paraId="79B7EEDD" w14:textId="68DD4082">
      <w:pPr>
        <w:pStyle w:val="H1"/>
      </w:pPr>
      <w:bookmarkStart w:id="0" w:name="_Toc493246346"/>
      <w:bookmarkStart w:id="1" w:name="_Toc14777670"/>
      <w:bookmarkStart w:id="2" w:name="_Toc183005549"/>
      <w:bookmarkStart w:id="3" w:name="_Toc201751320"/>
      <w:bookmarkStart w:id="4" w:name="Introduction"/>
      <w:bookmarkStart w:id="5" w:name="_Toc395602520"/>
      <w:r w:rsidRPr="00990D3B">
        <w:t>Introduction</w:t>
      </w:r>
      <w:bookmarkEnd w:id="0"/>
      <w:bookmarkEnd w:id="1"/>
      <w:bookmarkEnd w:id="2"/>
      <w:bookmarkEnd w:id="3"/>
    </w:p>
    <w:p w:rsidR="00660856" w:rsidRPr="00990D3B" w:rsidP="00836F96" w14:paraId="7609BEC6" w14:textId="784C78A5">
      <w:pPr>
        <w:pStyle w:val="H2"/>
      </w:pPr>
      <w:bookmarkStart w:id="6" w:name="_Toc493246347"/>
      <w:bookmarkStart w:id="7" w:name="_Toc496116352"/>
      <w:bookmarkStart w:id="8" w:name="_Toc14777671"/>
      <w:bookmarkStart w:id="9" w:name="_Toc183005550"/>
      <w:bookmarkStart w:id="10" w:name="_Toc201751321"/>
      <w:bookmarkEnd w:id="4"/>
      <w:r w:rsidRPr="00990D3B">
        <w:t>Background</w:t>
      </w:r>
      <w:bookmarkEnd w:id="6"/>
      <w:bookmarkEnd w:id="7"/>
      <w:bookmarkEnd w:id="8"/>
      <w:bookmarkEnd w:id="9"/>
      <w:bookmarkEnd w:id="10"/>
    </w:p>
    <w:p w:rsidR="00C75936" w:rsidRPr="00990D3B" w:rsidP="00D7596D" w14:paraId="3DD6033D" w14:textId="0DE5EB38">
      <w:pPr>
        <w:pStyle w:val="ParagraphContinued"/>
      </w:pPr>
      <w:r w:rsidRPr="00990D3B">
        <w:t xml:space="preserve">Together, Medicaid and the Children’s Health Insurance Program (CHIP) cover </w:t>
      </w:r>
      <w:r w:rsidRPr="00990D3B" w:rsidR="00B82DF9">
        <w:t>almost 80</w:t>
      </w:r>
      <w:r w:rsidRPr="00990D3B" w:rsidR="00E6319B">
        <w:t xml:space="preserve"> </w:t>
      </w:r>
      <w:r w:rsidRPr="00990D3B">
        <w:t>million</w:t>
      </w:r>
      <w:r w:rsidRPr="00990D3B" w:rsidR="00062F7D">
        <w:t xml:space="preserve"> </w:t>
      </w:r>
      <w:r w:rsidRPr="00990D3B" w:rsidR="00062F7D">
        <w:t>people,</w:t>
      </w:r>
      <w:r w:rsidRPr="00990D3B" w:rsidR="003162DF">
        <w:rPr>
          <w:rFonts w:ascii="ZWAdobeF" w:hAnsi="ZWAdobeF" w:cs="ZWAdobeF"/>
          <w:sz w:val="2"/>
          <w:szCs w:val="2"/>
        </w:rPr>
        <w:t>F</w:t>
      </w:r>
      <w:r>
        <w:rPr>
          <w:vertAlign w:val="superscript"/>
        </w:rPr>
        <w:footnoteReference w:id="3"/>
      </w:r>
      <w:r w:rsidRPr="00990D3B" w:rsidR="00E6319B">
        <w:t xml:space="preserve"> </w:t>
      </w:r>
      <w:r w:rsidRPr="00990D3B" w:rsidR="0062725A">
        <w:t>representing about 1 in 4</w:t>
      </w:r>
      <w:r w:rsidRPr="00990D3B">
        <w:t xml:space="preserve"> </w:t>
      </w:r>
      <w:r w:rsidRPr="00990D3B" w:rsidR="0062725A">
        <w:t>people in the United States</w:t>
      </w:r>
      <w:r w:rsidRPr="00990D3B" w:rsidR="00E6319B">
        <w:t>,</w:t>
      </w:r>
      <w:r w:rsidRPr="00990D3B">
        <w:t xml:space="preserve"> and</w:t>
      </w:r>
      <w:r w:rsidRPr="00990D3B" w:rsidR="00E6319B">
        <w:t xml:space="preserve"> </w:t>
      </w:r>
      <w:r w:rsidRPr="00990D3B" w:rsidR="00486BA5">
        <w:t>4</w:t>
      </w:r>
      <w:r w:rsidRPr="00990D3B" w:rsidR="0032062A">
        <w:t>1</w:t>
      </w:r>
      <w:r w:rsidRPr="00990D3B" w:rsidR="00486BA5">
        <w:t xml:space="preserve"> percent</w:t>
      </w:r>
      <w:r w:rsidRPr="00990D3B">
        <w:t xml:space="preserve"> of all births.</w:t>
      </w:r>
      <w:r w:rsidRPr="00990D3B" w:rsidR="003162DF">
        <w:rPr>
          <w:rFonts w:ascii="ZWAdobeF" w:hAnsi="ZWAdobeF" w:cs="ZWAdobeF"/>
          <w:sz w:val="2"/>
          <w:szCs w:val="2"/>
        </w:rPr>
        <w:t>1F</w:t>
      </w:r>
      <w:r>
        <w:rPr>
          <w:rStyle w:val="FootnoteReference"/>
        </w:rPr>
        <w:footnoteReference w:id="4"/>
      </w:r>
      <w:r w:rsidRPr="00990D3B">
        <w:t xml:space="preserve"> </w:t>
      </w:r>
      <w:r w:rsidRPr="00990D3B" w:rsidR="000C5AF4">
        <w:t xml:space="preserve">Nationally, </w:t>
      </w:r>
      <w:r w:rsidRPr="00990D3B" w:rsidR="00EB78D3">
        <w:t>72</w:t>
      </w:r>
      <w:r w:rsidRPr="00990D3B">
        <w:t xml:space="preserve"> percent of adults and children </w:t>
      </w:r>
      <w:r w:rsidRPr="00990D3B" w:rsidR="00CC2558">
        <w:t xml:space="preserve">enrolled </w:t>
      </w:r>
      <w:r w:rsidRPr="00990D3B">
        <w:t xml:space="preserve">in Medicaid and CHIP obtain their care through managed care </w:t>
      </w:r>
      <w:r w:rsidRPr="00990D3B">
        <w:rPr>
          <w:spacing w:val="-4"/>
        </w:rPr>
        <w:t>plans (MCPs), although the rate of managed care enrollment in states using a managed care delivery system varies widely.</w:t>
      </w:r>
      <w:r w:rsidRPr="00990D3B" w:rsidR="003162DF">
        <w:rPr>
          <w:rFonts w:ascii="ZWAdobeF" w:hAnsi="ZWAdobeF" w:cs="ZWAdobeF"/>
          <w:sz w:val="2"/>
          <w:szCs w:val="2"/>
        </w:rPr>
        <w:t>2F</w:t>
      </w:r>
      <w:r>
        <w:rPr>
          <w:rStyle w:val="FootnoteReference"/>
          <w:spacing w:val="-4"/>
        </w:rPr>
        <w:footnoteReference w:id="5"/>
      </w:r>
      <w:r w:rsidRPr="00990D3B" w:rsidR="001C4C9D">
        <w:rPr>
          <w:spacing w:val="-4"/>
        </w:rPr>
        <w:t xml:space="preserve"> </w:t>
      </w:r>
      <w:r w:rsidRPr="00990D3B" w:rsidR="00501624">
        <w:t xml:space="preserve">The federal requirements related to Medicaid managed care quality, including the external quality review (EQR) process, were established in statute at section 1932(c) of the Social Security Act (the Act) and are set forth in </w:t>
      </w:r>
      <w:r w:rsidRPr="00990D3B" w:rsidR="001C7FC0">
        <w:t>42 C.F.R.</w:t>
      </w:r>
      <w:r w:rsidRPr="00990D3B" w:rsidR="00501624">
        <w:t xml:space="preserve"> 438(c). The same statutory federal requirements were made applicable to CHIP managed care quality through section 2103(f)(3) of the Act and are set forth in </w:t>
      </w:r>
      <w:r w:rsidRPr="00990D3B" w:rsidR="001C7FC0">
        <w:t>42 C.F.R.</w:t>
      </w:r>
      <w:r w:rsidRPr="00990D3B" w:rsidR="00501624">
        <w:t xml:space="preserve"> 457.1240 and 1250. </w:t>
      </w:r>
      <w:hyperlink w:anchor="Box1" w:tooltip="Box 1" w:history="1">
        <w:r w:rsidRPr="00990D3B" w:rsidR="00501624">
          <w:rPr>
            <w:rStyle w:val="Hyperlink"/>
          </w:rPr>
          <w:t>Box 1</w:t>
        </w:r>
      </w:hyperlink>
      <w:r w:rsidRPr="00990D3B" w:rsidR="00501624">
        <w:t xml:space="preserve"> defines key terms related to the EQR process. </w:t>
      </w:r>
    </w:p>
    <w:p w:rsidR="00055C23" w:rsidRPr="00990D3B" w:rsidP="003115D7" w14:paraId="5D6DE6AC" w14:textId="77777777">
      <w:pPr>
        <w:pStyle w:val="EQRFigure"/>
      </w:pPr>
      <w:r w:rsidRPr="00990D3B">
        <mc:AlternateContent>
          <mc:Choice Requires="wps">
            <w:drawing>
              <wp:inline distT="0" distB="0" distL="0" distR="0">
                <wp:extent cx="5897880" cy="1567180"/>
                <wp:effectExtent l="19050" t="19050" r="7620" b="0"/>
                <wp:docPr id="1990925363" name="Text Box 232" descr="This box contains Key Definitions Related to the External Quality Review Process&#10;• Managed care plan (MCP). Encompasses managed care organizations (MCOs), prepaid inpatient health plans (PIHPs), and prepaid ambulatory health plans (PAHPs).&#10;• External quality review (EQR). EQR is the analysis and evaluation of aggregated information on quality, timeliness, and access to the health services that an MCP or its contractors furnish to Medicaid beneficiaries [see 42 C.F.R. 438.320]. EQR can only be conducted by a qualified EQRO.&#10;• External quality review organization (EQRO). An EQRO is an organization that meets the competence and independence requirements set forth in 42 C.F.R. 438.354, and performs EQR, EQR-related activities, or both.&#10;• EQR-related activities. The activities addressed in these protocols. EQR-related activities produce the data used by an EQRO to complete the annual EQR. EQR-related activities may be conducted by the state, its agent that is not an MCP, or an EQRO [see 42 C.F.R. 438.358].&#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897880" cy="1567180"/>
                        </a:xfrm>
                        <a:prstGeom prst="rect">
                          <a:avLst/>
                        </a:prstGeom>
                        <a:solidFill>
                          <a:srgbClr val="EEF5F8"/>
                        </a:solidFill>
                        <a:ln w="28575" cap="rnd">
                          <a:solidFill>
                            <a:srgbClr val="A5DAD9"/>
                          </a:solidFill>
                          <a:prstDash val="solid"/>
                          <a:miter lim="800000"/>
                          <a:headEnd/>
                          <a:tailEnd/>
                        </a:ln>
                      </wps:spPr>
                      <wps:txbx>
                        <w:txbxContent>
                          <w:p w:rsidR="00062F7D" w:rsidRPr="004C5B2B" w:rsidP="00062F7D" w14:textId="77777777">
                            <w:pPr>
                              <w:pStyle w:val="EQRTextboxheading"/>
                            </w:pPr>
                            <w:bookmarkStart w:id="11" w:name="Box1"/>
                            <w:bookmarkEnd w:id="11"/>
                            <w:r w:rsidRPr="00010D06">
                              <w:t>Box 1. Key Definitions Related to the External Quality Review Process</w:t>
                            </w:r>
                          </w:p>
                          <w:p w:rsidR="00062F7D" w:rsidRPr="005B5BC8" w:rsidP="00062F7D" w14:textId="0B04062B">
                            <w:pPr>
                              <w:pStyle w:val="EQRTextboxbullet"/>
                            </w:pPr>
                            <w:r w:rsidRPr="005B5BC8">
                              <w:rPr>
                                <w:b/>
                                <w:bCs/>
                              </w:rPr>
                              <w:t>Managed care plan (MCP).</w:t>
                            </w:r>
                            <w:r w:rsidRPr="005B5BC8">
                              <w:t xml:space="preserve"> Encompasses managed care organizations (MCOs), prepaid inpatient health plans (PIHPs),</w:t>
                            </w:r>
                            <w:r>
                              <w:t xml:space="preserve"> and</w:t>
                            </w:r>
                            <w:r w:rsidRPr="005B5BC8">
                              <w:t xml:space="preserve"> prepaid ambulatory health plans (PAHPs).</w:t>
                            </w:r>
                          </w:p>
                          <w:p w:rsidR="00062F7D" w:rsidRPr="005B5BC8" w:rsidP="00062F7D" w14:textId="77777777">
                            <w:pPr>
                              <w:pStyle w:val="EQRTextboxbullet"/>
                            </w:pPr>
                            <w:r w:rsidRPr="005B5BC8">
                              <w:rPr>
                                <w:b/>
                                <w:bCs/>
                              </w:rPr>
                              <w:t>External quality review (EQR)</w:t>
                            </w:r>
                            <w:r w:rsidRPr="005B5BC8">
                              <w:t xml:space="preserve">. EQR is the analysis and evaluation of aggregated information on quality, timeliness, and access to the health services that an MCP or its contractors furnish to Medicaid beneficiaries [see </w:t>
                            </w:r>
                            <w:r>
                              <w:t>42 C.F.R.</w:t>
                            </w:r>
                            <w:r w:rsidRPr="005B5BC8">
                              <w:t xml:space="preserve"> 438.320]. EQR can only be conducted by a qualified EQRO.</w:t>
                            </w:r>
                          </w:p>
                          <w:p w:rsidR="00062F7D" w:rsidRPr="005B5BC8" w:rsidP="00062F7D" w14:textId="77777777">
                            <w:pPr>
                              <w:pStyle w:val="EQRTextboxbullet"/>
                            </w:pPr>
                            <w:r w:rsidRPr="005B5BC8">
                              <w:rPr>
                                <w:b/>
                                <w:bCs/>
                              </w:rPr>
                              <w:t>External quality review organization (EQRO)</w:t>
                            </w:r>
                            <w:r w:rsidRPr="005B5BC8">
                              <w:t xml:space="preserve">. An EQRO is an organization that meets the competence and independence requirements set forth in </w:t>
                            </w:r>
                            <w:r>
                              <w:t>42 C.F.R.</w:t>
                            </w:r>
                            <w:r w:rsidRPr="005B5BC8">
                              <w:t xml:space="preserve"> 438.354, and performs EQR, EQR-related activities, or both.</w:t>
                            </w:r>
                          </w:p>
                          <w:p w:rsidR="00062F7D" w:rsidRPr="009360CC" w:rsidP="00062F7D" w14:textId="77777777">
                            <w:pPr>
                              <w:pStyle w:val="EQRTextboxbullet"/>
                            </w:pPr>
                            <w:r w:rsidRPr="005B5BC8">
                              <w:rPr>
                                <w:b/>
                                <w:bCs/>
                              </w:rPr>
                              <w:t>EQR-related activities</w:t>
                            </w:r>
                            <w:r w:rsidRPr="005B5BC8">
                              <w:t xml:space="preserve">. The activities addressed in these protocols. EQR-related activities produce the data used by an EQRO to complete the annual EQR. EQR-related activities may be conducted by the state, its agent that is not an MCP, or an EQRO [see </w:t>
                            </w:r>
                            <w:r>
                              <w:t>42 C.F.R.</w:t>
                            </w:r>
                            <w:r w:rsidRPr="005B5BC8">
                              <w:t xml:space="preserve"> 438.358].</w:t>
                            </w:r>
                          </w:p>
                        </w:txbxContent>
                      </wps:txbx>
                      <wps:bodyPr rot="0" vert="horz" wrap="square" lIns="109728" tIns="45720" rIns="109728" bIns="45720" anchor="t" anchorCtr="0" upright="1">
                        <a:spAutoFit/>
                      </wps:bodyPr>
                    </wps:wsp>
                  </a:graphicData>
                </a:graphic>
              </wp:inline>
            </w:drawing>
          </mc:Choice>
          <mc:Fallback>
            <w:pict>
              <v:shape id="Text Box 232" o:spid="_x0000_i1027" type="#_x0000_t202" alt="This box contains Key Definitions Related to the External Quality Review Process&#10;• Managed care plan (MCP). Encompasses managed care organizations (MCOs), prepaid inpatient health plans (PIHPs), and prepaid ambulatory health plans (PAHPs).&#10;• External quality review (EQR). EQR is the analysis and evaluation of aggregated information on quality, timeliness, and access to the health services that an MCP or its contractors furnish to Medicaid beneficiaries [see 42 C.F.R. 438.320]. EQR can only be conducted by a qualified EQRO.&#10;• External quality review organization (EQRO). An EQRO is an organization that meets the competence and independence requirements set forth in 42 C.F.R. 438.354, and performs EQR, EQR-related activities, or both.&#10;• EQR-related activities. The activities addressed in these protocols. EQR-related activities produce the data used by an EQRO to complete the annual EQR. EQR-related activities may be conducted by the state, its agent that is not an MCP, or an EQRO [see 42 C.F.R. 438.358].&#10;" style="width:464.4pt;height:123.4pt;flip:y;mso-left-percent:-10001;mso-position-horizontal-relative:char;mso-position-vertical-relative:line;mso-top-percent:-10001;mso-wrap-style:square;rotation:180;visibility:visible;v-text-anchor:top" fillcolor="#eef5f8" strokecolor="#a5dad9" strokeweight="2.25pt">
                <v:stroke endcap="round"/>
                <v:textbox style="mso-fit-shape-to-text:t" inset="8.64pt,,8.64pt">
                  <w:txbxContent>
                    <w:p w:rsidR="00062F7D" w:rsidRPr="004C5B2B" w:rsidP="00062F7D" w14:paraId="18E62332" w14:textId="77777777">
                      <w:pPr>
                        <w:pStyle w:val="EQRTextboxheading"/>
                      </w:pPr>
                      <w:bookmarkStart w:id="11" w:name="Box1"/>
                      <w:bookmarkEnd w:id="11"/>
                      <w:r w:rsidRPr="00010D06">
                        <w:t>Box 1. Key Definitions Related to the External Quality Review Process</w:t>
                      </w:r>
                    </w:p>
                    <w:p w:rsidR="00062F7D" w:rsidRPr="005B5BC8" w:rsidP="00062F7D" w14:paraId="4FE0E558" w14:textId="0B04062B">
                      <w:pPr>
                        <w:pStyle w:val="EQRTextboxbullet"/>
                      </w:pPr>
                      <w:r w:rsidRPr="005B5BC8">
                        <w:rPr>
                          <w:b/>
                          <w:bCs/>
                        </w:rPr>
                        <w:t>Managed care plan (MCP).</w:t>
                      </w:r>
                      <w:r w:rsidRPr="005B5BC8">
                        <w:t xml:space="preserve"> Encompasses managed care organizations (MCOs), prepaid inpatient health plans (PIHPs),</w:t>
                      </w:r>
                      <w:r>
                        <w:t xml:space="preserve"> and</w:t>
                      </w:r>
                      <w:r w:rsidRPr="005B5BC8">
                        <w:t xml:space="preserve"> prepaid ambulatory health plans (PAHPs).</w:t>
                      </w:r>
                    </w:p>
                    <w:p w:rsidR="00062F7D" w:rsidRPr="005B5BC8" w:rsidP="00062F7D" w14:paraId="01CB32F2" w14:textId="77777777">
                      <w:pPr>
                        <w:pStyle w:val="EQRTextboxbullet"/>
                      </w:pPr>
                      <w:r w:rsidRPr="005B5BC8">
                        <w:rPr>
                          <w:b/>
                          <w:bCs/>
                        </w:rPr>
                        <w:t>External quality review (EQR)</w:t>
                      </w:r>
                      <w:r w:rsidRPr="005B5BC8">
                        <w:t xml:space="preserve">. EQR is the analysis and evaluation of aggregated information on quality, timeliness, and access to the health services that an MCP or its contractors furnish to Medicaid beneficiaries [see </w:t>
                      </w:r>
                      <w:r>
                        <w:t>42 C.F.R.</w:t>
                      </w:r>
                      <w:r w:rsidRPr="005B5BC8">
                        <w:t xml:space="preserve"> 438.320]. EQR can only be conducted by a qualified EQRO.</w:t>
                      </w:r>
                    </w:p>
                    <w:p w:rsidR="00062F7D" w:rsidRPr="005B5BC8" w:rsidP="00062F7D" w14:paraId="6B6E1673" w14:textId="77777777">
                      <w:pPr>
                        <w:pStyle w:val="EQRTextboxbullet"/>
                      </w:pPr>
                      <w:r w:rsidRPr="005B5BC8">
                        <w:rPr>
                          <w:b/>
                          <w:bCs/>
                        </w:rPr>
                        <w:t>External quality review organization (EQRO)</w:t>
                      </w:r>
                      <w:r w:rsidRPr="005B5BC8">
                        <w:t xml:space="preserve">. An EQRO is an organization that meets the competence and independence requirements set forth in </w:t>
                      </w:r>
                      <w:r>
                        <w:t>42 C.F.R.</w:t>
                      </w:r>
                      <w:r w:rsidRPr="005B5BC8">
                        <w:t xml:space="preserve"> 438.354, and performs EQR, EQR-related activities, or both.</w:t>
                      </w:r>
                    </w:p>
                    <w:p w:rsidR="00062F7D" w:rsidRPr="009360CC" w:rsidP="00062F7D" w14:paraId="79601DE1" w14:textId="77777777">
                      <w:pPr>
                        <w:pStyle w:val="EQRTextboxbullet"/>
                      </w:pPr>
                      <w:r w:rsidRPr="005B5BC8">
                        <w:rPr>
                          <w:b/>
                          <w:bCs/>
                        </w:rPr>
                        <w:t>EQR-related activities</w:t>
                      </w:r>
                      <w:r w:rsidRPr="005B5BC8">
                        <w:t xml:space="preserve">. The activities addressed in these protocols. EQR-related activities produce the data used by an EQRO to complete the annual EQR. EQR-related activities may be conducted by the state, its agent that is not an MCP, or an EQRO [see </w:t>
                      </w:r>
                      <w:r>
                        <w:t>42 C.F.R.</w:t>
                      </w:r>
                      <w:r w:rsidRPr="005B5BC8">
                        <w:t xml:space="preserve"> 438.358].</w:t>
                      </w:r>
                    </w:p>
                  </w:txbxContent>
                </v:textbox>
                <w10:wrap type="none"/>
                <w10:anchorlock/>
              </v:shape>
            </w:pict>
          </mc:Fallback>
        </mc:AlternateContent>
      </w:r>
    </w:p>
    <w:p w:rsidR="00A107EC" w:rsidRPr="00990D3B" w:rsidP="006F4570" w14:paraId="07BE9271" w14:textId="2C34B746">
      <w:pPr>
        <w:pStyle w:val="ParagraphContinued"/>
      </w:pPr>
      <w:r w:rsidRPr="00990D3B">
        <w:t xml:space="preserve">The Centers for Medicare &amp; Medicaid Services (CMS) published the Medicaid and CHIP managed care final rule in May 2016, which </w:t>
      </w:r>
      <w:r w:rsidRPr="00990D3B" w:rsidR="006618A9">
        <w:t xml:space="preserve">aligned </w:t>
      </w:r>
      <w:r w:rsidRPr="00990D3B">
        <w:t>key rules with those of other health insurance coverage programs, modernize</w:t>
      </w:r>
      <w:r w:rsidRPr="00990D3B" w:rsidR="006618A9">
        <w:t>d</w:t>
      </w:r>
      <w:r w:rsidRPr="00990D3B">
        <w:t xml:space="preserve"> how states purchase managed care for beneficiaries</w:t>
      </w:r>
      <w:r w:rsidRPr="00990D3B" w:rsidR="007C05F1">
        <w:t>,</w:t>
      </w:r>
      <w:r w:rsidRPr="00990D3B">
        <w:t xml:space="preserve"> and strengthen</w:t>
      </w:r>
      <w:r w:rsidRPr="00990D3B" w:rsidR="006618A9">
        <w:t>ed</w:t>
      </w:r>
      <w:r w:rsidRPr="00990D3B">
        <w:t xml:space="preserve"> the consumer experience and key consumer protections.</w:t>
      </w:r>
      <w:r w:rsidRPr="00990D3B" w:rsidR="003162DF">
        <w:rPr>
          <w:rFonts w:ascii="ZWAdobeF" w:hAnsi="ZWAdobeF" w:cs="ZWAdobeF"/>
          <w:sz w:val="2"/>
          <w:szCs w:val="2"/>
        </w:rPr>
        <w:t>3F</w:t>
      </w:r>
      <w:r>
        <w:rPr>
          <w:vertAlign w:val="superscript"/>
        </w:rPr>
        <w:footnoteReference w:id="6"/>
      </w:r>
      <w:r w:rsidRPr="00990D3B">
        <w:t xml:space="preserve"> The rule also </w:t>
      </w:r>
      <w:r w:rsidRPr="00990D3B" w:rsidR="009F122B">
        <w:t>a</w:t>
      </w:r>
      <w:r w:rsidRPr="00990D3B" w:rsidR="008061F9">
        <w:t>pplied all EQR-related activities to CHIP MCPs</w:t>
      </w:r>
      <w:r w:rsidRPr="00990D3B" w:rsidR="009F122B">
        <w:t>, e</w:t>
      </w:r>
      <w:r w:rsidRPr="00990D3B" w:rsidR="008061F9">
        <w:t>xtended quality provisions to additional plan types</w:t>
      </w:r>
      <w:r w:rsidRPr="00990D3B" w:rsidR="009F122B">
        <w:t>, and a</w:t>
      </w:r>
      <w:r w:rsidRPr="00990D3B">
        <w:t xml:space="preserve">dded two EQR-related activities: (1) </w:t>
      </w:r>
      <w:r w:rsidRPr="00990D3B" w:rsidR="007C05F1">
        <w:t xml:space="preserve">validation of network adequacy, </w:t>
      </w:r>
      <w:r w:rsidRPr="00990D3B">
        <w:t>a mandatory EQR-</w:t>
      </w:r>
      <w:r w:rsidRPr="00990D3B">
        <w:t xml:space="preserve">related activity, and (2) </w:t>
      </w:r>
      <w:r w:rsidRPr="00990D3B" w:rsidR="007C05F1">
        <w:t>assistance with the quality rating</w:t>
      </w:r>
      <w:r w:rsidRPr="00990D3B" w:rsidR="00C954B6">
        <w:t>s for Medicaid and CHIP quality rating system</w:t>
      </w:r>
      <w:r w:rsidRPr="00990D3B" w:rsidR="007C05F1">
        <w:t xml:space="preserve">, </w:t>
      </w:r>
      <w:r w:rsidRPr="00990D3B">
        <w:t>an optional EQR-related activity</w:t>
      </w:r>
      <w:r w:rsidRPr="00990D3B" w:rsidR="007C05F1">
        <w:t>.</w:t>
      </w:r>
      <w:r w:rsidRPr="00990D3B">
        <w:t xml:space="preserve"> </w:t>
      </w:r>
    </w:p>
    <w:p w:rsidR="00A107EC" w:rsidRPr="00990D3B" w:rsidP="006F4570" w14:paraId="58BB6D1E" w14:textId="44834FBC">
      <w:pPr>
        <w:pStyle w:val="Paragraph0"/>
      </w:pPr>
      <w:r w:rsidRPr="00990D3B">
        <w:t xml:space="preserve">In </w:t>
      </w:r>
      <w:r w:rsidRPr="00990D3B" w:rsidR="00501624">
        <w:t>November 2020</w:t>
      </w:r>
      <w:r w:rsidRPr="00990D3B">
        <w:t>, CMS released revisions to the 2016 final rule.</w:t>
      </w:r>
      <w:r>
        <w:rPr>
          <w:rStyle w:val="FootnoteReference"/>
        </w:rPr>
        <w:footnoteReference w:id="7"/>
      </w:r>
      <w:r w:rsidRPr="00990D3B">
        <w:t xml:space="preserve"> The </w:t>
      </w:r>
      <w:r w:rsidRPr="00990D3B" w:rsidR="00501624">
        <w:t xml:space="preserve">2020 </w:t>
      </w:r>
      <w:r w:rsidRPr="00990D3B">
        <w:t>rule updated the following EQR provisions:</w:t>
      </w:r>
    </w:p>
    <w:p w:rsidR="00A107EC" w:rsidRPr="00990D3B" w:rsidP="00FB7CAF" w14:paraId="19957DEC" w14:textId="0545605F">
      <w:pPr>
        <w:pStyle w:val="EQRBulletBLUE"/>
      </w:pPr>
      <w:r w:rsidRPr="00990D3B">
        <w:t xml:space="preserve">Required states to </w:t>
      </w:r>
      <w:r w:rsidRPr="00990D3B" w:rsidR="00773BF1">
        <w:t xml:space="preserve">annually </w:t>
      </w:r>
      <w:r w:rsidRPr="00990D3B">
        <w:t xml:space="preserve">identify MCOs exempt from EQR on </w:t>
      </w:r>
      <w:r w:rsidRPr="00990D3B" w:rsidR="00773BF1">
        <w:t>their</w:t>
      </w:r>
      <w:r w:rsidRPr="00990D3B">
        <w:t xml:space="preserve"> website in the location where EQR technical reports are posted. State</w:t>
      </w:r>
      <w:r w:rsidRPr="00990D3B" w:rsidR="005761C1">
        <w:t>s</w:t>
      </w:r>
      <w:r w:rsidRPr="00990D3B">
        <w:t xml:space="preserve"> must include the name(s) of the MCO(s) exempt from EQR, including the beginning date of the current exemption period, or that no MCOs are exempt from EQR</w:t>
      </w:r>
      <w:r w:rsidRPr="00990D3B" w:rsidR="00EC3525">
        <w:t>.</w:t>
      </w:r>
    </w:p>
    <w:p w:rsidR="00EC3525" w:rsidRPr="00990D3B" w:rsidP="00FB7CAF" w14:paraId="5FE31DB7" w14:textId="4BBB2A76">
      <w:pPr>
        <w:pStyle w:val="EQRBulletBLUE"/>
      </w:pPr>
      <w:r w:rsidRPr="00990D3B">
        <w:t xml:space="preserve">Clarified standards for the EQR compliance review activity </w:t>
      </w:r>
      <w:r w:rsidRPr="00990D3B" w:rsidR="0082197B">
        <w:t xml:space="preserve">described at </w:t>
      </w:r>
      <w:r w:rsidRPr="00990D3B" w:rsidR="001C7FC0">
        <w:t>42 C.F.R.</w:t>
      </w:r>
      <w:r w:rsidRPr="00990D3B">
        <w:t xml:space="preserve"> 438.358(b)(1)(iii) by referencing the full set of </w:t>
      </w:r>
      <w:r w:rsidRPr="00990D3B" w:rsidR="00923BE5">
        <w:t>S</w:t>
      </w:r>
      <w:r w:rsidRPr="00990D3B">
        <w:t>ubpart B, C, and D standards that comprise the compliance review.</w:t>
      </w:r>
      <w:r w:rsidRPr="00990D3B" w:rsidR="00B2327A">
        <w:t xml:space="preserve"> The rule made further modifications to the standards subject to EQR in each of these subparts, and CMS encourages states and EQROs to familiarize themselves with these changes.</w:t>
      </w:r>
    </w:p>
    <w:p w:rsidR="00192557" w:rsidRPr="00990D3B" w:rsidP="00FB7CAF" w14:paraId="67284A77" w14:textId="7B2397C3">
      <w:pPr>
        <w:pStyle w:val="EQRBulletBLUE"/>
      </w:pPr>
      <w:r w:rsidRPr="00990D3B">
        <w:t>Inserted several technical revisions to CHIP regulations that cross-reference Medicaid EQR standards to align CHIP and Medicaid EQR standards, and those quality standards relevant to EQR reporting requirements.</w:t>
      </w:r>
    </w:p>
    <w:p w:rsidR="00192557" w:rsidRPr="00990D3B" w:rsidP="006F4570" w14:paraId="651B5025" w14:textId="71554458">
      <w:pPr>
        <w:pStyle w:val="ParagraphContinued"/>
      </w:pPr>
      <w:r w:rsidRPr="00990D3B">
        <w:t xml:space="preserve">In May 2024, CMS released </w:t>
      </w:r>
      <w:r w:rsidRPr="00990D3B" w:rsidR="0001166B">
        <w:t xml:space="preserve">the </w:t>
      </w:r>
      <w:r w:rsidRPr="00990D3B" w:rsidR="005F3606">
        <w:t xml:space="preserve">Managed Care Access, Finance, and Quality </w:t>
      </w:r>
      <w:r w:rsidRPr="00990D3B">
        <w:t>final rule</w:t>
      </w:r>
      <w:r w:rsidRPr="00990D3B" w:rsidR="002D04DF">
        <w:t xml:space="preserve"> </w:t>
      </w:r>
      <w:r w:rsidRPr="00990D3B" w:rsidR="00363B07">
        <w:t>to</w:t>
      </w:r>
      <w:r w:rsidRPr="00990D3B" w:rsidR="002D04DF">
        <w:t xml:space="preserve"> advance</w:t>
      </w:r>
      <w:r w:rsidRPr="00990D3B" w:rsidR="00363B07">
        <w:t xml:space="preserve"> </w:t>
      </w:r>
      <w:r w:rsidRPr="00990D3B" w:rsidR="002D04DF">
        <w:t>CMS’s efforts to improve access to care, quality</w:t>
      </w:r>
      <w:r w:rsidRPr="00990D3B" w:rsidR="0011194C">
        <w:t>,</w:t>
      </w:r>
      <w:r w:rsidRPr="00990D3B" w:rsidR="002D04DF">
        <w:t xml:space="preserve"> and health outcomes</w:t>
      </w:r>
      <w:r w:rsidRPr="00990D3B" w:rsidR="00363B07">
        <w:t xml:space="preserve"> among </w:t>
      </w:r>
      <w:r w:rsidRPr="00990D3B" w:rsidR="002D04DF">
        <w:t>Medicaid and CHIP managed care enrollees.</w:t>
      </w:r>
      <w:r>
        <w:rPr>
          <w:rStyle w:val="FootnoteReference"/>
        </w:rPr>
        <w:footnoteReference w:id="8"/>
      </w:r>
      <w:r w:rsidRPr="00990D3B">
        <w:t xml:space="preserve"> </w:t>
      </w:r>
      <w:r w:rsidRPr="00990D3B" w:rsidR="00363B07">
        <w:t>It</w:t>
      </w:r>
      <w:r w:rsidRPr="00990D3B">
        <w:t xml:space="preserve"> updated the following EQR provisions: </w:t>
      </w:r>
    </w:p>
    <w:p w:rsidR="00192557" w:rsidRPr="00990D3B" w:rsidP="00FB7CAF" w14:paraId="1BD4DC82" w14:textId="284AB1DE">
      <w:pPr>
        <w:pStyle w:val="EQRBulletBLUE"/>
      </w:pPr>
      <w:r w:rsidRPr="00990D3B">
        <w:t>Eliminated</w:t>
      </w:r>
      <w:r w:rsidRPr="00990D3B">
        <w:t xml:space="preserve"> the </w:t>
      </w:r>
      <w:r w:rsidRPr="00990D3B">
        <w:t xml:space="preserve">mandatory </w:t>
      </w:r>
      <w:r w:rsidRPr="00990D3B">
        <w:t>EQR requirement</w:t>
      </w:r>
      <w:r w:rsidRPr="00990D3B">
        <w:t>s</w:t>
      </w:r>
      <w:r w:rsidRPr="00990D3B">
        <w:t xml:space="preserve"> from </w:t>
      </w:r>
      <w:r w:rsidRPr="00990D3B" w:rsidR="008061F9">
        <w:t>primary care case management (</w:t>
      </w:r>
      <w:r w:rsidRPr="00990D3B">
        <w:t>PCCM</w:t>
      </w:r>
      <w:r w:rsidRPr="00990D3B" w:rsidR="008061F9">
        <w:t>)</w:t>
      </w:r>
      <w:r w:rsidRPr="00990D3B">
        <w:t xml:space="preserve"> entities</w:t>
      </w:r>
      <w:r w:rsidRPr="00990D3B">
        <w:t xml:space="preserve">. States </w:t>
      </w:r>
      <w:r w:rsidRPr="00990D3B" w:rsidR="0011194C">
        <w:t xml:space="preserve">have the option to continue </w:t>
      </w:r>
      <w:r w:rsidRPr="00990D3B">
        <w:t>conduct</w:t>
      </w:r>
      <w:r w:rsidRPr="00990D3B" w:rsidR="0011194C">
        <w:t>ing</w:t>
      </w:r>
      <w:r w:rsidRPr="00990D3B">
        <w:t xml:space="preserve"> </w:t>
      </w:r>
      <w:r w:rsidRPr="00990D3B" w:rsidR="00550323">
        <w:t>EQR-related</w:t>
      </w:r>
      <w:r w:rsidRPr="00990D3B">
        <w:t xml:space="preserve"> activities for PCCM</w:t>
      </w:r>
      <w:r w:rsidRPr="00990D3B" w:rsidR="006F4570">
        <w:t> </w:t>
      </w:r>
      <w:r w:rsidRPr="00990D3B">
        <w:t>entitie</w:t>
      </w:r>
      <w:r w:rsidRPr="00990D3B" w:rsidR="0011194C">
        <w:t xml:space="preserve">s. </w:t>
      </w:r>
    </w:p>
    <w:p w:rsidR="008061F9" w:rsidRPr="00990D3B" w:rsidP="00FB7CAF" w14:paraId="2254876D" w14:textId="0F1966B2">
      <w:pPr>
        <w:pStyle w:val="EQRBulletBLUE"/>
      </w:pPr>
      <w:r w:rsidRPr="00990D3B">
        <w:t xml:space="preserve">Defined the </w:t>
      </w:r>
      <w:r w:rsidRPr="00990D3B" w:rsidR="006B4635">
        <w:t xml:space="preserve">12-month review period for </w:t>
      </w:r>
      <w:r w:rsidRPr="00990D3B">
        <w:t xml:space="preserve">mandatory </w:t>
      </w:r>
      <w:r w:rsidRPr="00990D3B" w:rsidR="006B4635">
        <w:t xml:space="preserve">EQR-related activities and </w:t>
      </w:r>
      <w:r w:rsidRPr="00990D3B">
        <w:t xml:space="preserve">clarified that the EQR technical report must reflect activities from </w:t>
      </w:r>
      <w:r w:rsidRPr="00990D3B" w:rsidR="00363B07">
        <w:t>those 12 months</w:t>
      </w:r>
      <w:r w:rsidRPr="00990D3B" w:rsidR="006B4635">
        <w:t xml:space="preserve">. The </w:t>
      </w:r>
      <w:r w:rsidRPr="00990D3B">
        <w:t>12-month</w:t>
      </w:r>
      <w:r w:rsidRPr="00990D3B" w:rsidR="006B4635">
        <w:t xml:space="preserve"> period begins on the first day of the most </w:t>
      </w:r>
      <w:r w:rsidRPr="00990D3B">
        <w:t xml:space="preserve">recently </w:t>
      </w:r>
      <w:r w:rsidRPr="00990D3B" w:rsidR="006B4635">
        <w:t>concluded contract year</w:t>
      </w:r>
      <w:r w:rsidRPr="00990D3B" w:rsidR="009A4BE5">
        <w:t xml:space="preserve"> </w:t>
      </w:r>
      <w:r w:rsidRPr="00990D3B">
        <w:t xml:space="preserve">or </w:t>
      </w:r>
      <w:r w:rsidRPr="00990D3B" w:rsidR="009011E0">
        <w:t>calendar year, whichever comes first.</w:t>
      </w:r>
    </w:p>
    <w:p w:rsidR="008061F9" w:rsidRPr="00990D3B" w:rsidP="00FB7CAF" w14:paraId="6769C844" w14:textId="6C42901A">
      <w:pPr>
        <w:pStyle w:val="EQRBulletBLUE"/>
      </w:pPr>
      <w:r w:rsidRPr="00990D3B">
        <w:t xml:space="preserve">Removed the reference to a 12-month review period for the optional EQR activities. For optional EQR activities, states can determine the appropriate </w:t>
      </w:r>
      <w:r w:rsidRPr="00990D3B" w:rsidR="008F4A32">
        <w:t xml:space="preserve">review </w:t>
      </w:r>
      <w:r w:rsidRPr="00990D3B">
        <w:t>time period</w:t>
      </w:r>
      <w:r w:rsidRPr="00990D3B">
        <w:t xml:space="preserve"> based on their intended use of the data obtained.</w:t>
      </w:r>
    </w:p>
    <w:p w:rsidR="00C4457A" w:rsidRPr="00990D3B" w:rsidP="00FB7CAF" w14:paraId="65D06895" w14:textId="23F05E4C">
      <w:pPr>
        <w:pStyle w:val="EQRBulletBLUE"/>
      </w:pPr>
      <w:bookmarkStart w:id="13" w:name="_Hlk200379497"/>
      <w:r w:rsidRPr="00990D3B">
        <w:t xml:space="preserve">Added a new optional EQR activity to support states in </w:t>
      </w:r>
      <w:r w:rsidRPr="00990D3B" w:rsidR="0011194C">
        <w:t>evaluating</w:t>
      </w:r>
      <w:r w:rsidRPr="00990D3B">
        <w:t xml:space="preserve"> </w:t>
      </w:r>
      <w:r w:rsidRPr="00990D3B" w:rsidR="00C111B6">
        <w:t>their managed care quality strategies, state directed payments, and in lieu of services and settings</w:t>
      </w:r>
      <w:bookmarkEnd w:id="13"/>
      <w:r w:rsidRPr="00990D3B" w:rsidR="0011194C">
        <w:t xml:space="preserve">. </w:t>
      </w:r>
      <w:r w:rsidRPr="00990D3B">
        <w:t xml:space="preserve"> </w:t>
      </w:r>
    </w:p>
    <w:p w:rsidR="00C4457A" w:rsidRPr="00990D3B" w:rsidP="00FB7CAF" w14:paraId="4E1CAB0C" w14:textId="22C501AE">
      <w:pPr>
        <w:pStyle w:val="EQRBulletBLUE"/>
      </w:pPr>
      <w:r w:rsidRPr="00990D3B">
        <w:t xml:space="preserve">Made it easier for states to use </w:t>
      </w:r>
      <w:r w:rsidRPr="00990D3B" w:rsidR="00FD449C">
        <w:t xml:space="preserve">private </w:t>
      </w:r>
      <w:r w:rsidRPr="00990D3B">
        <w:t xml:space="preserve">accreditation reviews for EQR. </w:t>
      </w:r>
    </w:p>
    <w:p w:rsidR="00B67379" w:rsidRPr="00990D3B" w:rsidP="00FB7CAF" w14:paraId="27030778" w14:textId="4CBC0FC4">
      <w:pPr>
        <w:pStyle w:val="EQRBulletBLUE"/>
      </w:pPr>
      <w:r w:rsidRPr="00990D3B">
        <w:t xml:space="preserve">Required </w:t>
      </w:r>
      <w:r w:rsidRPr="00990D3B" w:rsidR="00287663">
        <w:t xml:space="preserve">states to provide </w:t>
      </w:r>
      <w:r w:rsidRPr="00990D3B">
        <w:t xml:space="preserve">more meaningful data and information in the annual EQR </w:t>
      </w:r>
      <w:r w:rsidRPr="00990D3B" w:rsidR="007A3EF1">
        <w:t xml:space="preserve">technical </w:t>
      </w:r>
      <w:r w:rsidRPr="00990D3B">
        <w:t>report</w:t>
      </w:r>
      <w:r w:rsidRPr="00990D3B" w:rsidR="006B4635">
        <w:t>, such as outcomes data and results from quantitative assessments</w:t>
      </w:r>
      <w:r w:rsidRPr="00990D3B" w:rsidR="00E35D96">
        <w:t xml:space="preserve">. </w:t>
      </w:r>
    </w:p>
    <w:p w:rsidR="00C4457A" w:rsidRPr="00990D3B" w:rsidP="00FB7CAF" w14:paraId="215562D5" w14:textId="6FACFB76">
      <w:pPr>
        <w:pStyle w:val="EQRBulletBLUE"/>
      </w:pPr>
      <w:r w:rsidRPr="00990D3B">
        <w:t xml:space="preserve">Clarified </w:t>
      </w:r>
      <w:r w:rsidRPr="00990D3B" w:rsidR="00287663">
        <w:t xml:space="preserve">that states must notify </w:t>
      </w:r>
      <w:r w:rsidRPr="00990D3B" w:rsidR="006B4635">
        <w:t>CMS within 14 days</w:t>
      </w:r>
      <w:r w:rsidRPr="00990D3B" w:rsidR="00287663">
        <w:t xml:space="preserve"> of posting their EQR technical report</w:t>
      </w:r>
      <w:r w:rsidRPr="00990D3B" w:rsidR="00500E73">
        <w:t xml:space="preserve"> </w:t>
      </w:r>
      <w:r w:rsidRPr="00990D3B">
        <w:t xml:space="preserve">and </w:t>
      </w:r>
      <w:r w:rsidRPr="00990D3B" w:rsidR="00581B1B">
        <w:t xml:space="preserve">established </w:t>
      </w:r>
      <w:r w:rsidRPr="00990D3B">
        <w:t xml:space="preserve">requirements </w:t>
      </w:r>
      <w:r w:rsidRPr="00990D3B" w:rsidR="00500E73">
        <w:t xml:space="preserve">for how long states must keep reports posted on their website. </w:t>
      </w:r>
    </w:p>
    <w:p w:rsidR="00501624" w:rsidRPr="00990D3B" w:rsidP="004E5005" w14:paraId="476EC104" w14:textId="1B079639">
      <w:pPr>
        <w:pStyle w:val="ParagraphContinued"/>
      </w:pPr>
      <w:r w:rsidRPr="00990D3B">
        <w:t xml:space="preserve">The timeline in </w:t>
      </w:r>
      <w:hyperlink w:anchor="Figure1" w:tooltip="Figure 1" w:history="1">
        <w:r w:rsidRPr="00990D3B">
          <w:rPr>
            <w:rStyle w:val="Hyperlink"/>
          </w:rPr>
          <w:t>Figure 1</w:t>
        </w:r>
      </w:hyperlink>
      <w:r w:rsidRPr="00990D3B">
        <w:t xml:space="preserve"> chronicles the evolution of the scope of EQR in Medicaid and CHIP. </w:t>
      </w:r>
      <w:r w:rsidRPr="00990D3B">
        <w:t>These updated protocols reflect changes included in the 202</w:t>
      </w:r>
      <w:r w:rsidRPr="00990D3B" w:rsidR="006323C9">
        <w:t>4</w:t>
      </w:r>
      <w:r w:rsidRPr="00990D3B">
        <w:t xml:space="preserve"> rule.</w:t>
      </w:r>
    </w:p>
    <w:p w:rsidR="00196C87" w:rsidRPr="00990D3B" w:rsidP="00ED0043" w14:paraId="0D2392FA" w14:textId="3B8C51CF">
      <w:pPr>
        <w:pStyle w:val="MarkforFigureHeading"/>
      </w:pPr>
      <w:bookmarkStart w:id="14" w:name="Figure1"/>
      <w:bookmarkEnd w:id="14"/>
      <w:r w:rsidRPr="00990D3B">
        <w:rPr>
          <w:noProof/>
        </w:rPr>
        <mc:AlternateContent>
          <mc:Choice Requires="wpg">
            <w:drawing>
              <wp:anchor distT="0" distB="0" distL="114300" distR="114300" simplePos="0" relativeHeight="251675648" behindDoc="0" locked="0" layoutInCell="1" allowOverlap="1">
                <wp:simplePos x="0" y="0"/>
                <wp:positionH relativeFrom="column">
                  <wp:posOffset>-215900</wp:posOffset>
                </wp:positionH>
                <wp:positionV relativeFrom="paragraph">
                  <wp:posOffset>9587230</wp:posOffset>
                </wp:positionV>
                <wp:extent cx="5689600" cy="3344545"/>
                <wp:effectExtent l="0" t="38100" r="0" b="0"/>
                <wp:wrapNone/>
                <wp:docPr id="2043782559" name="Group 231" descr="This figure is a timeline of the evolution of the scope of EQR in Medicaid and CHIP. From left to right: &#10;"/>
                <wp:cNvGraphicFramePr/>
                <a:graphic xmlns:a="http://schemas.openxmlformats.org/drawingml/2006/main">
                  <a:graphicData uri="http://schemas.microsoft.com/office/word/2010/wordprocessingGroup">
                    <wpg:wgp xmlns:wpg="http://schemas.microsoft.com/office/word/2010/wordprocessingGroup">
                      <wpg:cNvGrpSpPr/>
                      <wpg:grpSpPr>
                        <a:xfrm>
                          <a:off x="0" y="0"/>
                          <a:ext cx="5689600" cy="3344545"/>
                          <a:chOff x="762000" y="-64193"/>
                          <a:chExt cx="6223150" cy="3556000"/>
                        </a:xfrm>
                      </wpg:grpSpPr>
                      <wpg:graphicFrame>
                        <wpg:cNvPr id="2012750907" name="Diagram 194"/>
                        <wpg:cNvFrPr/>
                        <wpg:xfrm>
                          <a:off x="1651150" y="-64193"/>
                          <a:ext cx="5334000" cy="3556000"/>
                        </wpg:xfrm>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g:graphicFrame>
                      <wps:wsp xmlns:wps="http://schemas.microsoft.com/office/word/2010/wordprocessingShape">
                        <wps:cNvPr id="1975022660" name="TextBox 11"/>
                        <wps:cNvSpPr txBox="1"/>
                        <wps:spPr>
                          <a:xfrm>
                            <a:off x="762000" y="1289462"/>
                            <a:ext cx="3827654" cy="814903"/>
                          </a:xfrm>
                          <a:prstGeom prst="rect">
                            <a:avLst/>
                          </a:prstGeom>
                          <a:noFill/>
                        </wps:spPr>
                        <wps:txbx>
                          <w:txbxContent>
                            <w:p w:rsidR="00ED33C3" w:rsidP="00196C87" w14:textId="77777777">
                              <w:pPr>
                                <w:pStyle w:val="NormalWeb"/>
                                <w:spacing w:after="0"/>
                                <w:jc w:val="center"/>
                              </w:pPr>
                              <w:r w:rsidRPr="00DD0761">
                                <w:rPr>
                                  <w:rFonts w:hAnsi="Calibri" w:asciiTheme="minorHAnsi" w:cstheme="minorBidi"/>
                                  <w:color w:val="3D3300"/>
                                  <w:kern w:val="24"/>
                                  <w:sz w:val="42"/>
                                  <w:szCs w:val="42"/>
                                </w:rPr>
                                <w:t xml:space="preserve">Medicaid and CHIP </w:t>
                              </w:r>
                            </w:p>
                            <w:p w:rsidR="00ED33C3" w:rsidP="00196C87" w14:textId="77777777">
                              <w:pPr>
                                <w:pStyle w:val="NormalWeb"/>
                                <w:spacing w:after="0"/>
                                <w:jc w:val="center"/>
                              </w:pPr>
                              <w:r w:rsidRPr="00DD0761">
                                <w:rPr>
                                  <w:rFonts w:hAnsi="Calibri" w:asciiTheme="minorHAnsi" w:cstheme="minorBidi"/>
                                  <w:color w:val="3D3300"/>
                                  <w:kern w:val="24"/>
                                  <w:sz w:val="42"/>
                                  <w:szCs w:val="42"/>
                                </w:rPr>
                                <w:t>Managed Care Quality</w:t>
                              </w:r>
                            </w:p>
                          </w:txbxContent>
                        </wps:txbx>
                        <wps:bodyPr wrap="square" rtlCol="0">
                          <a:spAutoFit/>
                        </wps:bodyPr>
                      </wps:wsp>
                    </wpg:wgp>
                  </a:graphicData>
                </a:graphic>
                <wp14:sizeRelH relativeFrom="margin">
                  <wp14:pctWidth>0</wp14:pctWidth>
                </wp14:sizeRelH>
                <wp14:sizeRelV relativeFrom="page">
                  <wp14:pctHeight>0</wp14:pctHeight>
                </wp14:sizeRelV>
              </wp:anchor>
            </w:drawing>
          </mc:Choice>
          <mc:Fallback>
            <w:pict>
              <v:group id="Group 231" o:spid="_x0000_s1028" alt="This figure is a timeline of the evolution of the scope of EQR in Medicaid and CHIP. From left to right: &#10;" style="width:448pt;height:263.35pt;margin-top:754.9pt;margin-left:-17pt;mso-width-relative:margin;position:absolute;z-index:251676672" coordorigin="7620,-641" coordsize="62231,35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194" o:spid="_x0000_s1029" type="#_x0000_t75" style="width:43207;height:34740;left:21888;position:absolute;top:-966;visibility:visible">
                  <v:imagedata r:id="rId34" o:title=""/>
                  <o:lock v:ext="edit" aspectratio="f"/>
                </v:shape>
                <v:shape id="TextBox 11" o:spid="_x0000_s1030" type="#_x0000_t202" style="width:38276;height:8149;left:7620;mso-wrap-style:square;position:absolute;top:12894;visibility:visible;v-text-anchor:top" filled="f" stroked="f">
                  <v:textbox style="mso-fit-shape-to-text:t">
                    <w:txbxContent>
                      <w:p w:rsidR="00ED33C3" w:rsidP="00196C87" w14:paraId="6D978625" w14:textId="77777777">
                        <w:pPr>
                          <w:pStyle w:val="NormalWeb"/>
                          <w:spacing w:after="0"/>
                          <w:jc w:val="center"/>
                        </w:pPr>
                        <w:r w:rsidRPr="00DD0761">
                          <w:rPr>
                            <w:rFonts w:hAnsi="Calibri" w:asciiTheme="minorHAnsi" w:cstheme="minorBidi"/>
                            <w:color w:val="3D3300"/>
                            <w:kern w:val="24"/>
                            <w:sz w:val="42"/>
                            <w:szCs w:val="42"/>
                          </w:rPr>
                          <w:t xml:space="preserve">Medicaid and CHIP </w:t>
                        </w:r>
                      </w:p>
                      <w:p w:rsidR="00ED33C3" w:rsidP="00196C87" w14:paraId="6902275C" w14:textId="77777777">
                        <w:pPr>
                          <w:pStyle w:val="NormalWeb"/>
                          <w:spacing w:after="0"/>
                          <w:jc w:val="center"/>
                        </w:pPr>
                        <w:r w:rsidRPr="00DD0761">
                          <w:rPr>
                            <w:rFonts w:hAnsi="Calibri" w:asciiTheme="minorHAnsi" w:cstheme="minorBidi"/>
                            <w:color w:val="3D3300"/>
                            <w:kern w:val="24"/>
                            <w:sz w:val="42"/>
                            <w:szCs w:val="42"/>
                          </w:rPr>
                          <w:t>Managed Care Quality</w:t>
                        </w:r>
                      </w:p>
                    </w:txbxContent>
                  </v:textbox>
                </v:shape>
              </v:group>
            </w:pict>
          </mc:Fallback>
        </mc:AlternateContent>
      </w:r>
      <w:r w:rsidRPr="00990D3B" w:rsidR="00196C87">
        <w:t>Figure 1. Evolution of EQR in Medicaid and CHIP</w:t>
      </w:r>
    </w:p>
    <w:p w:rsidR="00F454C4" w:rsidRPr="00990D3B" w:rsidP="008E53D7" w14:paraId="0CB7F31B" w14:textId="77777777">
      <w:pPr>
        <w:pStyle w:val="TableFootnote"/>
        <w:rPr>
          <w:vertAlign w:val="superscript"/>
        </w:rPr>
      </w:pPr>
      <w:r w:rsidRPr="00990D3B">
        <w:rPr>
          <w:noProof/>
        </w:rPr>
        <w:drawing>
          <wp:inline distT="0" distB="0" distL="0" distR="0">
            <wp:extent cx="6010275" cy="5193030"/>
            <wp:effectExtent l="0" t="0" r="9525" b="7620"/>
            <wp:docPr id="925330179" name="Picture 1" descr="This figure shows the evolution of the scope of EQR in Medicaid and CHIP. From left to right:&#10;1997: State Medicaid agencies with MCOs required to conduct external quality reviews and develop a state quality assessment &amp; improvement strategy.&#10;2003: HHS published final rule on EQR of Medicaid MCOs and PIHPs. CMS developed initial set of 9 EQR Protocols to guide reviews of care and services, including an information system assessment applicable to all EQR-related activities. &#10;2009: CHIP MCOs and PIHPs required to participate in external quality reviews beginning July 1, 2009. Aligned data submission timeframe with the collection and annual reporting on managed care data by the HHS secretary on September 30th of each year. &#10;2010: HHS secretary required to conduct analysis and publication of annual EQR data.&#10;2012: CMS issued revised EQR Protocols, the first revision since 2003. &#10;2016: CMS issued Medicaid and CHIP managed care final rule. Rule applied EQR regulations to all Medicaid and CHIP MCOs, PIHPs, PAHPs, and certain PCCM entities. &#10;2017: CMS initiated revisions of existing EQR protocols in accordance with the 2016 final rule. &#10;2019: CMS issued revised EQR protocols, the second revision since 2003.&#10;2020: CMS issued revised Medicaid and CHIP managed care final rule.&#10;2023: NAV and third EQR Protocols revision&#10;2024: CMS issued managed care access, finance, and quality final rule&#10;2026: CMS issues EQR protocols, the fourth revisi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330179" name="Picture 1" descr="This figure shows the evolution of the scope of EQR in Medicaid and CHIP. From left to right:&#10;1997: State Medicaid agencies with MCOs required to conduct external quality reviews and develop a state quality assessment &amp; improvement strategy.&#10;2003: HHS published final rule on EQR of Medicaid MCOs and PIHPs. CMS developed initial set of 9 EQR Protocols to guide reviews of care and services, including an information system assessment applicable to all EQR-related activities. &#10;2009: CHIP MCOs and PIHPs required to participate in external quality reviews beginning July 1, 2009. Aligned data submission timeframe with the collection and annual reporting on managed care data by the HHS secretary on September 30th of each year. &#10;2010: HHS secretary required to conduct analysis and publication of annual EQR data.&#10;2012: CMS issued revised EQR Protocols, the first revision since 2003. &#10;2016: CMS issued Medicaid and CHIP managed care final rule. Rule applied EQR regulations to all Medicaid and CHIP MCOs, PIHPs, PAHPs, and certain PCCM entities. &#10;2017: CMS initiated revisions of existing EQR protocols in accordance with the 2016 final rule. &#10;2019: CMS issued revised EQR protocols, the second revision since 2003.&#10;2020: CMS issued revised Medicaid and CHIP managed care final rule.&#10;2023: NAV and third EQR Protocols revision&#10;2024: CMS issued managed care access, finance, and quality final rule&#10;2026: CMS issues EQR protocols, the fourth revision&#10;&#10;"/>
                    <pic:cNvPicPr/>
                  </pic:nvPicPr>
                  <pic:blipFill>
                    <a:blip xmlns:r="http://schemas.openxmlformats.org/officeDocument/2006/relationships" r:embed="rId35"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10792" cy="5193477"/>
                    </a:xfrm>
                    <a:prstGeom prst="rect">
                      <a:avLst/>
                    </a:prstGeom>
                  </pic:spPr>
                </pic:pic>
              </a:graphicData>
            </a:graphic>
          </wp:inline>
        </w:drawing>
      </w:r>
    </w:p>
    <w:p w:rsidR="008E53D7" w:rsidRPr="00990D3B" w:rsidP="008E53D7" w14:paraId="05DE9571" w14:textId="2109B6D6">
      <w:pPr>
        <w:pStyle w:val="TableFootnote"/>
      </w:pPr>
      <w:r w:rsidRPr="00990D3B">
        <w:rPr>
          <w:vertAlign w:val="superscript"/>
        </w:rPr>
        <w:t xml:space="preserve">a </w:t>
      </w:r>
      <w:r w:rsidRPr="00990D3B">
        <w:t>Balanced</w:t>
      </w:r>
      <w:r w:rsidRPr="00990D3B">
        <w:t xml:space="preserve"> Budget Act of 1997 amending section 1932(c)(1)(B) of the Social Security Act.</w:t>
      </w:r>
    </w:p>
    <w:p w:rsidR="008E53D7" w:rsidRPr="00990D3B" w:rsidP="00FC0B30" w14:paraId="56C605EF" w14:textId="1A72A485">
      <w:pPr>
        <w:pStyle w:val="TableFootnote"/>
        <w:spacing w:after="0"/>
      </w:pPr>
      <w:r w:rsidRPr="00990D3B">
        <w:rPr>
          <w:vertAlign w:val="superscript"/>
        </w:rPr>
        <w:t xml:space="preserve">b </w:t>
      </w:r>
      <w:r w:rsidRPr="00990D3B">
        <w:t>Section 1139A(c)(2) of the Social Security Act, as amended by section 401(a) of CHIPRA, requires the U.S. Department of Health &amp; Human Services (HHS) Secretary to summarize State-specific information on the quality of health care furnished to children under titles XIX (Medicaid) and XXI (CHIP). Section 1139A(c)(1)(B) of the Act specifically requests information gathered from the external quality reviews of managed care organizations (MCOs) and benchmark plans.</w:t>
      </w:r>
    </w:p>
    <w:p w:rsidR="00501624" w:rsidRPr="00990D3B" w:rsidP="00501624" w14:paraId="46B5FAD5" w14:textId="136F3D10">
      <w:pPr>
        <w:pStyle w:val="H2"/>
      </w:pPr>
      <w:bookmarkStart w:id="15" w:name="_Toc183005551"/>
      <w:bookmarkStart w:id="16" w:name="_Toc201751322"/>
      <w:r w:rsidRPr="00990D3B">
        <w:t xml:space="preserve">Managed Care Quality </w:t>
      </w:r>
      <w:r w:rsidRPr="00990D3B" w:rsidR="00FD3FF4">
        <w:t xml:space="preserve">Activities </w:t>
      </w:r>
      <w:r w:rsidRPr="00990D3B">
        <w:t>and the EQR Process</w:t>
      </w:r>
      <w:bookmarkEnd w:id="15"/>
      <w:bookmarkEnd w:id="16"/>
    </w:p>
    <w:p w:rsidR="002479E1" w:rsidRPr="00990D3B" w:rsidP="00D7596D" w14:paraId="6535199E" w14:textId="25A6F61B">
      <w:pPr>
        <w:pStyle w:val="ParagraphContinued"/>
      </w:pPr>
      <w:r w:rsidRPr="00990D3B">
        <w:rPr>
          <w:noProof/>
        </w:rPr>
        <mc:AlternateContent>
          <mc:Choice Requires="wps">
            <w:drawing>
              <wp:anchor distT="0" distB="0" distL="114300" distR="114300" simplePos="0" relativeHeight="251970560" behindDoc="1" locked="1" layoutInCell="1" allowOverlap="1">
                <wp:simplePos x="0" y="0"/>
                <wp:positionH relativeFrom="margin">
                  <wp:posOffset>3771900</wp:posOffset>
                </wp:positionH>
                <wp:positionV relativeFrom="paragraph">
                  <wp:posOffset>1862455</wp:posOffset>
                </wp:positionV>
                <wp:extent cx="2395220" cy="1819275"/>
                <wp:effectExtent l="19050" t="19050" r="24130" b="28575"/>
                <wp:wrapTight wrapText="bothSides">
                  <wp:wrapPolygon>
                    <wp:start x="21772" y="21826"/>
                    <wp:lineTo x="21772" y="-113"/>
                    <wp:lineTo x="-46" y="-113"/>
                    <wp:lineTo x="-46" y="21826"/>
                    <wp:lineTo x="21772" y="21826"/>
                  </wp:wrapPolygon>
                </wp:wrapTight>
                <wp:docPr id="1919356531" name="Text Box 228" descr="This box contains a hyperlink to find more information on managed care quality improvement and the MCQ cycle on CMS’s Medicaid and CHIP Managed Care Quality Improvement webpage">
                  <a:extLst xmlns:a="http://schemas.openxmlformats.org/drawingml/2006/main">
                    <a:ext xmlns:a="http://schemas.openxmlformats.org/drawingml/2006/main"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395220" cy="1819275"/>
                        </a:xfrm>
                        <a:prstGeom prst="rect">
                          <a:avLst/>
                        </a:prstGeom>
                        <a:solidFill>
                          <a:srgbClr val="EEF5F8"/>
                        </a:solidFill>
                        <a:ln w="28575" cap="rnd">
                          <a:solidFill>
                            <a:srgbClr val="A5DAD9"/>
                          </a:solidFill>
                          <a:prstDash val="solid"/>
                          <a:miter lim="800000"/>
                          <a:headEnd/>
                          <a:tailEnd/>
                        </a:ln>
                      </wps:spPr>
                      <wps:txbx>
                        <w:txbxContent>
                          <w:p w:rsidR="002479E1" w:rsidRPr="00CB27ED" w:rsidP="002479E1" w14:textId="77777777">
                            <w:pPr>
                              <w:pStyle w:val="EQRTextboxheading"/>
                            </w:pPr>
                            <w:r w:rsidRPr="00CB27ED">
                              <w:t>Managed Care Quality Improvement</w:t>
                            </w:r>
                          </w:p>
                          <w:p w:rsidR="002479E1" w:rsidRPr="00183F68" w:rsidP="00924D5B" w14:textId="532791C8">
                            <w:pPr>
                              <w:pStyle w:val="EQRTextboxbody"/>
                            </w:pPr>
                            <w:r w:rsidRPr="00CB27ED">
                              <w:t>For more information on managed care</w:t>
                            </w:r>
                            <w:r>
                              <w:t xml:space="preserve"> quality improvement and the MCQ cycle, visit CMS’s Medicaid and CHIP Managed Care Quality Improvement webpage, available at </w:t>
                            </w:r>
                            <w:hyperlink r:id="rId36" w:history="1">
                              <w:r w:rsidRPr="00B45188" w:rsidR="00562D92">
                                <w:rPr>
                                  <w:rStyle w:val="Hyperlink"/>
                                </w:rPr>
                                <w:t>https://www.medicaid.gov/medicaid/quality-of-care/medicaid-managed-care-quality/managed-care-quality-improvement/index.html</w:t>
                              </w:r>
                            </w:hyperlink>
                            <w:r w:rsidRPr="00562D92">
                              <w:rPr>
                                <w:color w:val="00559D" w:themeColor="text2"/>
                              </w:rPr>
                              <w:t xml:space="preserve">. </w:t>
                            </w:r>
                          </w:p>
                        </w:txbxContent>
                      </wps:txbx>
                      <wps:bodyPr rot="0" vert="horz" wrap="square" lIns="109728" tIns="45720" rIns="109728" bIns="45720" anchor="t" anchorCtr="0" upright="1"/>
                    </wps:wsp>
                  </a:graphicData>
                </a:graphic>
                <wp14:sizeRelH relativeFrom="margin">
                  <wp14:pctWidth>0</wp14:pctWidth>
                </wp14:sizeRelH>
                <wp14:sizeRelV relativeFrom="margin">
                  <wp14:pctHeight>0</wp14:pctHeight>
                </wp14:sizeRelV>
              </wp:anchor>
            </w:drawing>
          </mc:Choice>
          <mc:Fallback>
            <w:pict>
              <v:shape id="_x0000_s1031" type="#_x0000_t202" alt="This box contains a hyperlink to find more information on managed care quality improvement and the MCQ cycle on CMS’s Medicaid and CHIP Managed Care Quality Improvement webpage" style="width:188.6pt;height:143.25pt;margin-top:146.65pt;margin-left:297pt;flip:y;mso-height-percent:0;mso-height-relative:margin;mso-position-horizontal-relative:margin;mso-width-percent:0;mso-width-relative:margin;mso-wrap-distance-bottom:0;mso-wrap-distance-left:9pt;mso-wrap-distance-right:9pt;mso-wrap-distance-top:0;mso-wrap-style:square;position:absolute;rotation:180;visibility:visible;v-text-anchor:top;z-index:-251344896" fillcolor="#eef5f8" strokecolor="#a5dad9" strokeweight="2.25pt">
                <v:stroke endcap="round"/>
                <v:textbox inset="8.64pt,,8.64pt">
                  <w:txbxContent>
                    <w:p w:rsidR="002479E1" w:rsidRPr="00CB27ED" w:rsidP="002479E1" w14:paraId="153B08AC" w14:textId="77777777">
                      <w:pPr>
                        <w:pStyle w:val="EQRTextboxheading"/>
                      </w:pPr>
                      <w:r w:rsidRPr="00CB27ED">
                        <w:t>Managed Care Quality Improvement</w:t>
                      </w:r>
                    </w:p>
                    <w:p w:rsidR="002479E1" w:rsidRPr="00183F68" w:rsidP="00924D5B" w14:paraId="14C85A18" w14:textId="532791C8">
                      <w:pPr>
                        <w:pStyle w:val="EQRTextboxbody"/>
                      </w:pPr>
                      <w:r w:rsidRPr="00CB27ED">
                        <w:t>For more information on managed care</w:t>
                      </w:r>
                      <w:r>
                        <w:t xml:space="preserve"> quality improvement and the MCQ cycle, visit CMS’s Medicaid and CHIP Managed Care Quality Improvement webpage, available at </w:t>
                      </w:r>
                      <w:hyperlink r:id="rId36" w:history="1">
                        <w:r w:rsidRPr="00B45188" w:rsidR="00562D92">
                          <w:rPr>
                            <w:rStyle w:val="Hyperlink"/>
                          </w:rPr>
                          <w:t>https://www.medicaid.gov/medicaid/quality-of-care/medicaid-managed-care-quality/managed-care-quality-improvement/index.html</w:t>
                        </w:r>
                      </w:hyperlink>
                      <w:r w:rsidRPr="00562D92">
                        <w:rPr>
                          <w:color w:val="00559D" w:themeColor="text2"/>
                        </w:rPr>
                        <w:t xml:space="preserve">. </w:t>
                      </w:r>
                    </w:p>
                  </w:txbxContent>
                </v:textbox>
                <w10:wrap type="tight"/>
                <w10:anchorlock/>
              </v:shape>
            </w:pict>
          </mc:Fallback>
        </mc:AlternateContent>
      </w:r>
      <w:r w:rsidRPr="00990D3B">
        <w:t xml:space="preserve">EQR is one part of a multipronged approach to Medicaid and CHIP managed care quality (MCQ) oversight and improvement. These interconnected oversight and quality activities </w:t>
      </w:r>
      <w:r w:rsidRPr="00990D3B">
        <w:rPr>
          <w:spacing w:val="-4"/>
        </w:rPr>
        <w:t>are designed to inform and reinforce one another in an iterative MCQ cycle</w:t>
      </w:r>
      <w:r w:rsidRPr="00990D3B">
        <w:t xml:space="preserve"> (</w:t>
      </w:r>
      <w:hyperlink w:anchor="Figure2" w:tooltip="Figure 2" w:history="1">
        <w:r w:rsidRPr="00990D3B">
          <w:rPr>
            <w:rStyle w:val="Hyperlink"/>
          </w:rPr>
          <w:t>Figure 2</w:t>
        </w:r>
      </w:hyperlink>
      <w:r w:rsidRPr="00990D3B">
        <w:t xml:space="preserve">). For example, state quality strategies articulate managed care priorities and activities, which are </w:t>
      </w:r>
      <w:r w:rsidRPr="00990D3B">
        <w:rPr>
          <w:spacing w:val="-4"/>
        </w:rPr>
        <w:t>realized in part through MCP quality assessment and performance improvement (QAPI) programs</w:t>
      </w:r>
      <w:r w:rsidRPr="00990D3B">
        <w:t xml:space="preserve">. QAPI programs </w:t>
      </w:r>
      <w:r w:rsidRPr="00990D3B">
        <w:rPr>
          <w:color w:val="000000"/>
          <w:spacing w:val="-4"/>
          <w:shd w:val="clear" w:color="auto" w:fill="FFFFFF"/>
        </w:rPr>
        <w:t xml:space="preserve">include the performance measures MCPs will report to the </w:t>
      </w:r>
      <w:r w:rsidRPr="00990D3B">
        <w:rPr>
          <w:color w:val="000000"/>
          <w:spacing w:val="-4"/>
          <w:shd w:val="clear" w:color="auto" w:fill="FFFFFF"/>
        </w:rPr>
        <w:t>state</w:t>
      </w:r>
      <w:r w:rsidRPr="00990D3B">
        <w:rPr>
          <w:color w:val="000000"/>
          <w:spacing w:val="-4"/>
          <w:shd w:val="clear" w:color="auto" w:fill="FFFFFF"/>
        </w:rPr>
        <w:t xml:space="preserve"> and the performance improvement projects (PIPs) they will implement</w:t>
      </w:r>
      <w:r w:rsidRPr="00990D3B">
        <w:t xml:space="preserve">. The performance measures and PIPs are then validated during the annual EQR, with EQR findings and quality improvement recommendations included in the EQR technical report. Finally, </w:t>
      </w:r>
      <w:r w:rsidRPr="00990D3B">
        <w:rPr>
          <w:spacing w:val="-4"/>
        </w:rPr>
        <w:t xml:space="preserve">EQR findings and recommendations inform updates to a state’s </w:t>
      </w:r>
      <w:r w:rsidRPr="00990D3B" w:rsidR="002F1480">
        <w:rPr>
          <w:spacing w:val="-4"/>
        </w:rPr>
        <w:t>quality strategy (QS)</w:t>
      </w:r>
      <w:r w:rsidRPr="00990D3B">
        <w:rPr>
          <w:spacing w:val="-4"/>
        </w:rPr>
        <w:t xml:space="preserve"> and MCPs’ QAPI</w:t>
      </w:r>
      <w:r w:rsidRPr="00990D3B" w:rsidR="003115D7">
        <w:rPr>
          <w:spacing w:val="-4"/>
        </w:rPr>
        <w:t> </w:t>
      </w:r>
      <w:r w:rsidRPr="00990D3B">
        <w:rPr>
          <w:spacing w:val="-4"/>
        </w:rPr>
        <w:t>programs.</w:t>
      </w:r>
      <w:r w:rsidRPr="00990D3B">
        <w:t xml:space="preserve"> </w:t>
      </w:r>
    </w:p>
    <w:p w:rsidR="002479E1" w:rsidRPr="00990D3B" w:rsidP="00BD21FA" w14:paraId="4124A681" w14:textId="1B14CA61">
      <w:pPr>
        <w:pStyle w:val="Paragraph0"/>
        <w:rPr>
          <w:b/>
        </w:rPr>
      </w:pPr>
      <w:r w:rsidRPr="00990D3B">
        <w:t>The MCQ cycle works best when aligned with other Medicaid and CHIP quality oversight and improvement efforts, such as Child and Adult Core Set measure reporting, state delivery and payment reform initiatives, state directed payments (SDPs), quality rating systems (QRS), and quality improvement projects. By thinking holistically about these components, states can maximize their impact on quality improvement.</w:t>
      </w:r>
    </w:p>
    <w:p w:rsidR="009F3536" w:rsidRPr="00990D3B" w:rsidP="00ED0043" w14:paraId="1DCC726B" w14:textId="70B61F9D">
      <w:pPr>
        <w:pStyle w:val="MarkforFigureHeading"/>
      </w:pPr>
      <w:bookmarkStart w:id="17" w:name="Figure2"/>
      <w:bookmarkEnd w:id="17"/>
      <w:r w:rsidRPr="00990D3B">
        <w:rPr>
          <w:noProof/>
        </w:rPr>
        <mc:AlternateContent>
          <mc:Choice Requires="wpg">
            <w:drawing>
              <wp:anchor distT="0" distB="0" distL="114300" distR="114300" simplePos="0" relativeHeight="251669504" behindDoc="0" locked="0" layoutInCell="1" allowOverlap="1">
                <wp:simplePos x="0" y="0"/>
                <wp:positionH relativeFrom="column">
                  <wp:posOffset>-215900</wp:posOffset>
                </wp:positionH>
                <wp:positionV relativeFrom="paragraph">
                  <wp:posOffset>9587230</wp:posOffset>
                </wp:positionV>
                <wp:extent cx="5689600" cy="3344545"/>
                <wp:effectExtent l="0" t="38100" r="0" b="0"/>
                <wp:wrapNone/>
                <wp:docPr id="803172017" name="Group 230" descr="This graphic shows the activities and steps included in Protocol 2."/>
                <wp:cNvGraphicFramePr/>
                <a:graphic xmlns:a="http://schemas.openxmlformats.org/drawingml/2006/main">
                  <a:graphicData uri="http://schemas.microsoft.com/office/word/2010/wordprocessingGroup">
                    <wpg:wgp xmlns:wpg="http://schemas.microsoft.com/office/word/2010/wordprocessingGroup">
                      <wpg:cNvGrpSpPr/>
                      <wpg:grpSpPr>
                        <a:xfrm>
                          <a:off x="0" y="0"/>
                          <a:ext cx="5689600" cy="3344545"/>
                          <a:chOff x="762000" y="-64193"/>
                          <a:chExt cx="6223150" cy="3556000"/>
                        </a:xfrm>
                      </wpg:grpSpPr>
                      <wpg:graphicFrame>
                        <wpg:cNvPr id="1739285693" name="Diagram 694"/>
                        <wpg:cNvFrPr/>
                        <wpg:xfrm>
                          <a:off x="1651150" y="-64193"/>
                          <a:ext cx="5334000" cy="3556000"/>
                        </wpg:xfrm>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g:graphicFrame>
                      <wps:wsp xmlns:wps="http://schemas.microsoft.com/office/word/2010/wordprocessingShape">
                        <wps:cNvPr id="885558741" name="TextBox 11"/>
                        <wps:cNvSpPr txBox="1"/>
                        <wps:spPr>
                          <a:xfrm>
                            <a:off x="762000" y="1289462"/>
                            <a:ext cx="3827654" cy="814903"/>
                          </a:xfrm>
                          <a:prstGeom prst="rect">
                            <a:avLst/>
                          </a:prstGeom>
                          <a:noFill/>
                        </wps:spPr>
                        <wps:txbx>
                          <w:txbxContent>
                            <w:p w:rsidR="00ED33C3" w:rsidP="00D45D31" w14:textId="77777777">
                              <w:pPr>
                                <w:pStyle w:val="NormalWeb"/>
                                <w:spacing w:after="0"/>
                                <w:jc w:val="center"/>
                              </w:pPr>
                              <w:r w:rsidRPr="00DD0761">
                                <w:rPr>
                                  <w:rFonts w:hAnsi="Calibri" w:asciiTheme="minorHAnsi" w:cstheme="minorBidi"/>
                                  <w:color w:val="3D3300"/>
                                  <w:kern w:val="24"/>
                                  <w:sz w:val="42"/>
                                  <w:szCs w:val="42"/>
                                </w:rPr>
                                <w:t xml:space="preserve">Medicaid and CHIP </w:t>
                              </w:r>
                            </w:p>
                            <w:p w:rsidR="00ED33C3" w:rsidP="00D45D31" w14:textId="77777777">
                              <w:pPr>
                                <w:pStyle w:val="NormalWeb"/>
                                <w:spacing w:after="0"/>
                                <w:jc w:val="center"/>
                              </w:pPr>
                              <w:r w:rsidRPr="00DD0761">
                                <w:rPr>
                                  <w:rFonts w:hAnsi="Calibri" w:asciiTheme="minorHAnsi" w:cstheme="minorBidi"/>
                                  <w:color w:val="3D3300"/>
                                  <w:kern w:val="24"/>
                                  <w:sz w:val="42"/>
                                  <w:szCs w:val="42"/>
                                </w:rPr>
                                <w:t>Managed Care Quality</w:t>
                              </w:r>
                            </w:p>
                          </w:txbxContent>
                        </wps:txbx>
                        <wps:bodyPr wrap="square" rtlCol="0">
                          <a:spAutoFit/>
                        </wps:bodyPr>
                      </wps:wsp>
                    </wpg:wgp>
                  </a:graphicData>
                </a:graphic>
                <wp14:sizeRelH relativeFrom="margin">
                  <wp14:pctWidth>0</wp14:pctWidth>
                </wp14:sizeRelH>
                <wp14:sizeRelV relativeFrom="page">
                  <wp14:pctHeight>0</wp14:pctHeight>
                </wp14:sizeRelV>
              </wp:anchor>
            </w:drawing>
          </mc:Choice>
          <mc:Fallback>
            <w:pict>
              <v:group id="Group 230" o:spid="_x0000_s1032" alt="This graphic shows the activities and steps included in Protocol 2." style="width:448pt;height:263.35pt;margin-top:754.9pt;margin-left:-17pt;mso-width-relative:margin;position:absolute;z-index:251670528" coordorigin="7620,-641" coordsize="62231,35560">
                <v:shape id="Diagram 694" o:spid="_x0000_s1033" type="#_x0000_t75" style="width:43207;height:34740;left:21888;position:absolute;top:-966;visibility:visible">
                  <v:imagedata r:id="rId34" o:title=""/>
                  <o:lock v:ext="edit" aspectratio="f"/>
                </v:shape>
                <v:shape id="TextBox 11" o:spid="_x0000_s1034" type="#_x0000_t202" style="width:38276;height:8149;left:7620;mso-wrap-style:square;position:absolute;top:12894;visibility:visible;v-text-anchor:top" filled="f" stroked="f">
                  <v:textbox style="mso-fit-shape-to-text:t">
                    <w:txbxContent>
                      <w:p w:rsidR="00ED33C3" w:rsidP="00D45D31" w14:paraId="04B3E422" w14:textId="77777777">
                        <w:pPr>
                          <w:pStyle w:val="NormalWeb"/>
                          <w:spacing w:after="0"/>
                          <w:jc w:val="center"/>
                        </w:pPr>
                        <w:r w:rsidRPr="00DD0761">
                          <w:rPr>
                            <w:rFonts w:hAnsi="Calibri" w:asciiTheme="minorHAnsi" w:cstheme="minorBidi"/>
                            <w:color w:val="3D3300"/>
                            <w:kern w:val="24"/>
                            <w:sz w:val="42"/>
                            <w:szCs w:val="42"/>
                          </w:rPr>
                          <w:t xml:space="preserve">Medicaid and CHIP </w:t>
                        </w:r>
                      </w:p>
                      <w:p w:rsidR="00ED33C3" w:rsidP="00D45D31" w14:paraId="0443934E" w14:textId="77777777">
                        <w:pPr>
                          <w:pStyle w:val="NormalWeb"/>
                          <w:spacing w:after="0"/>
                          <w:jc w:val="center"/>
                        </w:pPr>
                        <w:r w:rsidRPr="00DD0761">
                          <w:rPr>
                            <w:rFonts w:hAnsi="Calibri" w:asciiTheme="minorHAnsi" w:cstheme="minorBidi"/>
                            <w:color w:val="3D3300"/>
                            <w:kern w:val="24"/>
                            <w:sz w:val="42"/>
                            <w:szCs w:val="42"/>
                          </w:rPr>
                          <w:t>Managed Care Quality</w:t>
                        </w:r>
                      </w:p>
                    </w:txbxContent>
                  </v:textbox>
                </v:shape>
              </v:group>
            </w:pict>
          </mc:Fallback>
        </mc:AlternateContent>
      </w:r>
      <w:r w:rsidRPr="00990D3B" w:rsidR="00D45D31">
        <w:t>Figure 2</w:t>
      </w:r>
      <w:r w:rsidRPr="00990D3B" w:rsidR="00F43BCC">
        <w:t>. Relationship</w:t>
      </w:r>
      <w:r w:rsidRPr="00990D3B" w:rsidR="00D45D31">
        <w:t xml:space="preserve"> between </w:t>
      </w:r>
      <w:r w:rsidRPr="00990D3B" w:rsidR="00BE34D5">
        <w:t>S</w:t>
      </w:r>
      <w:r w:rsidRPr="00990D3B" w:rsidR="00FC611A">
        <w:t xml:space="preserve">tate Medicaid and CHIP </w:t>
      </w:r>
      <w:r w:rsidRPr="00990D3B" w:rsidR="00BE34D5">
        <w:t>M</w:t>
      </w:r>
      <w:r w:rsidRPr="00990D3B" w:rsidR="00FC611A">
        <w:t xml:space="preserve">anaged </w:t>
      </w:r>
      <w:r w:rsidRPr="00990D3B" w:rsidR="00BE34D5">
        <w:t>C</w:t>
      </w:r>
      <w:r w:rsidRPr="00990D3B" w:rsidR="00FC611A">
        <w:t xml:space="preserve">are </w:t>
      </w:r>
      <w:r w:rsidRPr="00990D3B" w:rsidR="00BE34D5">
        <w:t>Q</w:t>
      </w:r>
      <w:r w:rsidRPr="00990D3B" w:rsidR="00FC611A">
        <w:t xml:space="preserve">uality </w:t>
      </w:r>
      <w:r w:rsidRPr="00990D3B" w:rsidR="00BE34D5">
        <w:t>I</w:t>
      </w:r>
      <w:r w:rsidRPr="00990D3B" w:rsidR="00FC611A">
        <w:t xml:space="preserve">nitiatives </w:t>
      </w:r>
    </w:p>
    <w:p w:rsidR="009A62BB" w:rsidRPr="00990D3B" w:rsidP="00924D5B" w14:paraId="4CB6B59F" w14:textId="77209436">
      <w:pPr>
        <w:pStyle w:val="TableFootnote"/>
      </w:pPr>
      <w:r w:rsidRPr="00990D3B">
        <w:rPr>
          <w:noProof/>
        </w:rPr>
        <w:drawing>
          <wp:inline distT="0" distB="0" distL="0" distR="0">
            <wp:extent cx="4956048" cy="3648456"/>
            <wp:effectExtent l="0" t="0" r="0" b="9525"/>
            <wp:docPr id="1005696510" name="Picture 1" descr="This figure is described in detail in the preceding paragrap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96510" name="Picture 1" descr="This figure is described in detail in the preceding paragraph.&#10;"/>
                    <pic:cNvPicPr/>
                  </pic:nvPicPr>
                  <pic:blipFill>
                    <a:blip xmlns:r="http://schemas.openxmlformats.org/officeDocument/2006/relationships" r:embed="rId42" cstate="print">
                      <a:extLst>
                        <a:ext xmlns:a="http://schemas.openxmlformats.org/drawingml/2006/main" uri="{28A0092B-C50C-407E-A947-70E740481C1C}">
                          <a14:useLocalDpi xmlns:a14="http://schemas.microsoft.com/office/drawing/2010/main" val="0"/>
                        </a:ext>
                      </a:extLst>
                    </a:blip>
                    <a:stretch>
                      <a:fillRect/>
                    </a:stretch>
                  </pic:blipFill>
                  <pic:spPr>
                    <a:xfrm>
                      <a:off x="0" y="0"/>
                      <a:ext cx="4956048" cy="3648456"/>
                    </a:xfrm>
                    <a:prstGeom prst="rect">
                      <a:avLst/>
                    </a:prstGeom>
                  </pic:spPr>
                </pic:pic>
              </a:graphicData>
            </a:graphic>
          </wp:inline>
        </w:drawing>
      </w:r>
    </w:p>
    <w:bookmarkStart w:id="18" w:name="_Hlk181100195"/>
    <w:p w:rsidR="002479E1" w:rsidRPr="00990D3B" w:rsidP="00D7596D" w14:paraId="730801A9" w14:textId="3CDD37A7">
      <w:pPr>
        <w:pStyle w:val="ParagraphContinued"/>
      </w:pPr>
      <w:r w:rsidRPr="00990D3B">
        <w:fldChar w:fldCharType="begin"/>
      </w:r>
      <w:r w:rsidRPr="00990D3B">
        <w:instrText>HYPERLINK \l "Figure3" \o "Figure 3"</w:instrText>
      </w:r>
      <w:r w:rsidRPr="00990D3B">
        <w:fldChar w:fldCharType="separate"/>
      </w:r>
      <w:r w:rsidRPr="00990D3B">
        <w:rPr>
          <w:rStyle w:val="Hyperlink"/>
        </w:rPr>
        <w:t>Figure 3</w:t>
      </w:r>
      <w:r w:rsidRPr="00990D3B">
        <w:rPr>
          <w:rStyle w:val="Hyperlink"/>
        </w:rPr>
        <w:fldChar w:fldCharType="end"/>
      </w:r>
      <w:r w:rsidRPr="00990D3B" w:rsidR="00934E15">
        <w:rPr>
          <w:rStyle w:val="Hyperlink"/>
        </w:rPr>
        <w:t xml:space="preserve"> </w:t>
      </w:r>
      <w:r w:rsidRPr="00990D3B">
        <w:t>outlines the EQR process. States using a managed care delivery system for all or some of their Medicaid and CHIP beneficiaries are required to contract with a qualified independent EQRO to conduct an annual EQR to assess and monitor the quality of care provided to Medicaid and CHIP beneficiaries enrolled in MCPs and to identify opportunities for quality improvement.</w:t>
      </w:r>
      <w:r w:rsidRPr="00990D3B">
        <w:rPr>
          <w:rFonts w:ascii="ZWAdobeF" w:hAnsi="ZWAdobeF" w:cs="ZWAdobeF"/>
          <w:sz w:val="2"/>
          <w:szCs w:val="2"/>
        </w:rPr>
        <w:t>6F</w:t>
      </w:r>
      <w:r>
        <w:rPr>
          <w:rStyle w:val="FootnoteReference"/>
        </w:rPr>
        <w:footnoteReference w:id="9"/>
      </w:r>
      <w:r w:rsidRPr="00990D3B">
        <w:t xml:space="preserve"> To simplify the narrative of these protocols, the term “EQRO” refers to the entity that conducts the EQR-related activities that generate the information for the annual EQR. An EQRO is the only entity that may conduct the annual EQR, that is, the analysis and evaluation of information generated by the EQR-related activities (or via nonduplication, if applicable) regarding the quality, timeliness, and access to the health care services that an MCP, or its contractors, furnish to beneficiaries. States with both Medicaid and CHIP managed care programs may elect to contract with a single EQRO to conduct EQR of both Medicaid and CHIP or contract with different EQROs for EQR of Medicaid and CHIP. Many states utilize the same EQRO for EQR of both Medicaid and CHIP. The </w:t>
      </w:r>
      <w:r w:rsidRPr="00990D3B">
        <w:t>end product</w:t>
      </w:r>
      <w:r w:rsidRPr="00990D3B">
        <w:t xml:space="preserve"> of the EQR is an annual EQR technical report, which summarizes findings on access and quality of care and must be drafted by said EQRO.</w:t>
      </w:r>
      <w:r w:rsidRPr="00990D3B">
        <w:rPr>
          <w:rFonts w:ascii="ZWAdobeF" w:hAnsi="ZWAdobeF" w:cs="ZWAdobeF"/>
          <w:sz w:val="2"/>
          <w:szCs w:val="2"/>
        </w:rPr>
        <w:t>7F</w:t>
      </w:r>
      <w:r>
        <w:rPr>
          <w:rStyle w:val="FootnoteReference"/>
        </w:rPr>
        <w:footnoteReference w:id="10"/>
      </w:r>
    </w:p>
    <w:p w:rsidR="00D45D31" w:rsidRPr="00990D3B" w:rsidP="00ED0043" w14:paraId="3E0FA87E" w14:textId="6CE3DA9C">
      <w:pPr>
        <w:pStyle w:val="MarkforFigureHeading"/>
      </w:pPr>
      <w:bookmarkStart w:id="19" w:name="Figure3"/>
      <w:bookmarkEnd w:id="19"/>
      <w:r w:rsidRPr="00990D3B">
        <w:rPr>
          <w:noProof/>
        </w:rPr>
        <mc:AlternateContent>
          <mc:Choice Requires="wpg">
            <w:drawing>
              <wp:anchor distT="0" distB="0" distL="114300" distR="114300" simplePos="0" relativeHeight="251671552" behindDoc="0" locked="0" layoutInCell="1" allowOverlap="1">
                <wp:simplePos x="0" y="0"/>
                <wp:positionH relativeFrom="column">
                  <wp:posOffset>-215900</wp:posOffset>
                </wp:positionH>
                <wp:positionV relativeFrom="paragraph">
                  <wp:posOffset>9587230</wp:posOffset>
                </wp:positionV>
                <wp:extent cx="5689600" cy="3344545"/>
                <wp:effectExtent l="0" t="38100" r="0" b="0"/>
                <wp:wrapNone/>
                <wp:docPr id="2074856290" name="Group 229" descr="Box 2. Mandatory and Optional EQR-Related Activities&#10;Mandatory EQR-Related Activities&#10;• Validate PIPs&#10;• Validate performance measures &#10;• Review compliance with Medicaid and CHIP managed care regulations&#10;• Validate network adequacy &#10;Optional EQR-Related Activities&#10;• Validate encounter data reported by MCPs&#10;• Administer or validate quality of care surveys&#10;• Calculate additional performance measures&#10;• Conduct additional PIPs&#10;• Conduct focus studies of health care quality&#10;• Assist with quality ratings for Medicaid and CHIP Quality Rating System&#10;• Assist with evaluations of managed care QSs, SDPs, and in lieu of services and settings &#10;"/>
                <wp:cNvGraphicFramePr/>
                <a:graphic xmlns:a="http://schemas.openxmlformats.org/drawingml/2006/main">
                  <a:graphicData uri="http://schemas.microsoft.com/office/word/2010/wordprocessingGroup">
                    <wpg:wgp xmlns:wpg="http://schemas.microsoft.com/office/word/2010/wordprocessingGroup">
                      <wpg:cNvGrpSpPr/>
                      <wpg:grpSpPr>
                        <a:xfrm>
                          <a:off x="0" y="0"/>
                          <a:ext cx="5689600" cy="3344545"/>
                          <a:chOff x="762000" y="-64193"/>
                          <a:chExt cx="6223150" cy="3556000"/>
                        </a:xfrm>
                      </wpg:grpSpPr>
                      <wpg:graphicFrame>
                        <wpg:cNvPr id="1356411427" name="Diagram 697"/>
                        <wpg:cNvFrPr/>
                        <wpg:xfrm>
                          <a:off x="1651150" y="-64193"/>
                          <a:ext cx="5334000" cy="3556000"/>
                        </wpg:xfrm>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g:graphicFrame>
                      <wps:wsp xmlns:wps="http://schemas.microsoft.com/office/word/2010/wordprocessingShape">
                        <wps:cNvPr id="838787289" name="TextBox 11"/>
                        <wps:cNvSpPr txBox="1"/>
                        <wps:spPr>
                          <a:xfrm>
                            <a:off x="762000" y="1289462"/>
                            <a:ext cx="3827654" cy="814903"/>
                          </a:xfrm>
                          <a:prstGeom prst="rect">
                            <a:avLst/>
                          </a:prstGeom>
                          <a:noFill/>
                        </wps:spPr>
                        <wps:txbx>
                          <w:txbxContent>
                            <w:p w:rsidR="00ED33C3" w:rsidP="00D45D31" w14:textId="77777777">
                              <w:pPr>
                                <w:pStyle w:val="NormalWeb"/>
                                <w:spacing w:after="0"/>
                                <w:jc w:val="center"/>
                              </w:pPr>
                              <w:r w:rsidRPr="00DD0761">
                                <w:rPr>
                                  <w:rFonts w:hAnsi="Calibri" w:asciiTheme="minorHAnsi" w:cstheme="minorBidi"/>
                                  <w:color w:val="3D3300"/>
                                  <w:kern w:val="24"/>
                                  <w:sz w:val="42"/>
                                  <w:szCs w:val="42"/>
                                </w:rPr>
                                <w:t xml:space="preserve">Medicaid and CHIP </w:t>
                              </w:r>
                            </w:p>
                            <w:p w:rsidR="00ED33C3" w:rsidP="00D45D31" w14:textId="77777777">
                              <w:pPr>
                                <w:pStyle w:val="NormalWeb"/>
                                <w:spacing w:after="0"/>
                                <w:jc w:val="center"/>
                              </w:pPr>
                              <w:r w:rsidRPr="00DD0761">
                                <w:rPr>
                                  <w:rFonts w:hAnsi="Calibri" w:asciiTheme="minorHAnsi" w:cstheme="minorBidi"/>
                                  <w:color w:val="3D3300"/>
                                  <w:kern w:val="24"/>
                                  <w:sz w:val="42"/>
                                  <w:szCs w:val="42"/>
                                </w:rPr>
                                <w:t>Managed Care Quality</w:t>
                              </w:r>
                            </w:p>
                          </w:txbxContent>
                        </wps:txbx>
                        <wps:bodyPr wrap="square" rtlCol="0">
                          <a:spAutoFit/>
                        </wps:bodyPr>
                      </wps:wsp>
                    </wpg:wgp>
                  </a:graphicData>
                </a:graphic>
                <wp14:sizeRelH relativeFrom="margin">
                  <wp14:pctWidth>0</wp14:pctWidth>
                </wp14:sizeRelH>
                <wp14:sizeRelV relativeFrom="page">
                  <wp14:pctHeight>0</wp14:pctHeight>
                </wp14:sizeRelV>
              </wp:anchor>
            </w:drawing>
          </mc:Choice>
          <mc:Fallback>
            <w:pict>
              <v:group id="Group 229" o:spid="_x0000_s1035" alt="Box 2. Mandatory and Optional EQR-Related Activities&#10;Mandatory EQR-Related Activities&#10;• Validate PIPs&#10;• Validate performance measures &#10;• Review compliance with Medicaid and CHIP managed care regulations&#10;• Validate network adequacy &#10;Optional EQR-Related Activities&#10;• Validate encounter data reported by MCPs&#10;• Administer or validate quality of care surveys&#10;• Calculate additional performance measures&#10;• Conduct additional PIPs&#10;• Conduct focus studies of health care quality&#10;• Assist with quality ratings for Medicaid and CHIP Quality Rating System&#10;• Assist with evaluations of managed care QSs, SDPs, and in lieu of services and settings &#10;" style="width:448pt;height:263.35pt;margin-top:754.9pt;margin-left:-17pt;mso-width-relative:margin;position:absolute;z-index:251672576" coordorigin="7620,-641" coordsize="62231,35560">
                <v:shape id="Diagram 697" o:spid="_x0000_s1036" type="#_x0000_t75" style="width:43207;height:34740;left:21888;position:absolute;top:-966;visibility:visible">
                  <v:imagedata r:id="rId34" o:title=""/>
                  <o:lock v:ext="edit" aspectratio="f"/>
                </v:shape>
                <v:shape id="TextBox 11" o:spid="_x0000_s1037" type="#_x0000_t202" style="width:38276;height:8149;left:7620;mso-wrap-style:square;position:absolute;top:12894;visibility:visible;v-text-anchor:top" filled="f" stroked="f">
                  <v:textbox style="mso-fit-shape-to-text:t">
                    <w:txbxContent>
                      <w:p w:rsidR="00ED33C3" w:rsidP="00D45D31" w14:paraId="79BFC1BC" w14:textId="77777777">
                        <w:pPr>
                          <w:pStyle w:val="NormalWeb"/>
                          <w:spacing w:after="0"/>
                          <w:jc w:val="center"/>
                        </w:pPr>
                        <w:r w:rsidRPr="00DD0761">
                          <w:rPr>
                            <w:rFonts w:hAnsi="Calibri" w:asciiTheme="minorHAnsi" w:cstheme="minorBidi"/>
                            <w:color w:val="3D3300"/>
                            <w:kern w:val="24"/>
                            <w:sz w:val="42"/>
                            <w:szCs w:val="42"/>
                          </w:rPr>
                          <w:t xml:space="preserve">Medicaid and CHIP </w:t>
                        </w:r>
                      </w:p>
                      <w:p w:rsidR="00ED33C3" w:rsidP="00D45D31" w14:paraId="4C7852F1" w14:textId="77777777">
                        <w:pPr>
                          <w:pStyle w:val="NormalWeb"/>
                          <w:spacing w:after="0"/>
                          <w:jc w:val="center"/>
                        </w:pPr>
                        <w:r w:rsidRPr="00DD0761">
                          <w:rPr>
                            <w:rFonts w:hAnsi="Calibri" w:asciiTheme="minorHAnsi" w:cstheme="minorBidi"/>
                            <w:color w:val="3D3300"/>
                            <w:kern w:val="24"/>
                            <w:sz w:val="42"/>
                            <w:szCs w:val="42"/>
                          </w:rPr>
                          <w:t>Managed Care Quality</w:t>
                        </w:r>
                      </w:p>
                    </w:txbxContent>
                  </v:textbox>
                </v:shape>
              </v:group>
            </w:pict>
          </mc:Fallback>
        </mc:AlternateContent>
      </w:r>
      <w:r w:rsidRPr="00990D3B" w:rsidR="00D45D31">
        <w:t xml:space="preserve">Figure 3. </w:t>
      </w:r>
      <w:r w:rsidRPr="00990D3B" w:rsidR="001D082C">
        <w:t xml:space="preserve">The EQR </w:t>
      </w:r>
      <w:r w:rsidRPr="00990D3B" w:rsidR="00BE34D5">
        <w:t>P</w:t>
      </w:r>
      <w:r w:rsidRPr="00990D3B" w:rsidR="001D082C">
        <w:t>rocess</w:t>
      </w:r>
    </w:p>
    <w:p w:rsidR="000C6D1B" w:rsidRPr="00990D3B" w:rsidP="00924D5B" w14:paraId="54BCD778" w14:textId="451B710D">
      <w:pPr>
        <w:pStyle w:val="TableFootnote"/>
      </w:pPr>
      <w:r w:rsidRPr="00990D3B">
        <w:rPr>
          <w:noProof/>
        </w:rPr>
        <w:drawing>
          <wp:inline distT="0" distB="0" distL="0" distR="0">
            <wp:extent cx="5943600" cy="3657600"/>
            <wp:effectExtent l="0" t="0" r="3810" b="0"/>
            <wp:docPr id="770071466" name="Picture 1" descr="This figure outlines the EQR process in chronological order. From left to right: &#10;First, the state contracts with an EQRO to perform the EQR. &#10;Next, an EQRO performs the EQR and/or other EQR-related activities.&#10;The EQR protocols guide corresponding EQR related activities.&#10;Then, The EQRO summarizes the annual EQR results in an annual EQR technical report and submits to the state. &#10;Then, states must publicly post the EQR technical report to their website by April 30th of each year, and to CMS within 14 days of said posting.&#10;Finally, CMS reviews EQR technical reports, provides feedback to strengthen the reporting, and aggregates information from all reports to publish an aggregate report annuall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071466" name="Picture 1" descr="This figure outlines the EQR process in chronological order. From left to right: &#10;First, the state contracts with an EQRO to perform the EQR. &#10;Next, an EQRO performs the EQR and/or other EQR-related activities.&#10;The EQR protocols guide corresponding EQR related activities.&#10;Then, The EQRO summarizes the annual EQR results in an annual EQR technical report and submits to the state. &#10;Then, states must publicly post the EQR technical report to their website by April 30th of each year, and to CMS within 14 days of said posting.&#10;Finally, CMS reviews EQR technical reports, provides feedback to strengthen the reporting, and aggregates information from all reports to publish an aggregate report annually.&#10;"/>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Lst>
                    </a:blip>
                    <a:stretch>
                      <a:fillRect/>
                    </a:stretch>
                  </pic:blipFill>
                  <pic:spPr>
                    <a:xfrm>
                      <a:off x="0" y="0"/>
                      <a:ext cx="5943600" cy="3657600"/>
                    </a:xfrm>
                    <a:prstGeom prst="rect">
                      <a:avLst/>
                    </a:prstGeom>
                  </pic:spPr>
                </pic:pic>
              </a:graphicData>
            </a:graphic>
          </wp:inline>
        </w:drawing>
      </w:r>
    </w:p>
    <w:bookmarkEnd w:id="18"/>
    <w:p w:rsidR="00690097" w:rsidRPr="00990D3B" w:rsidP="00D7596D" w14:paraId="28D99A04" w14:textId="27A38FB1">
      <w:pPr>
        <w:pStyle w:val="ParagraphContinued"/>
      </w:pPr>
      <w:r w:rsidRPr="00990D3B">
        <w:t xml:space="preserve">The EQR process </w:t>
      </w:r>
      <w:r w:rsidRPr="00990D3B" w:rsidR="00EB13AA">
        <w:t xml:space="preserve">also </w:t>
      </w:r>
      <w:r w:rsidRPr="00990D3B">
        <w:t>includes a series of mandatory and optional EQR-related activities designed to provide a sound understanding of the strengths and weaknesses of Medicaid and CHIP MCP performance related to quality, timeliness, and access to care</w:t>
      </w:r>
      <w:r w:rsidRPr="00990D3B" w:rsidR="00FA77AC">
        <w:t xml:space="preserve"> (see </w:t>
      </w:r>
      <w:r>
        <w:fldChar w:fldCharType="begin"/>
      </w:r>
      <w:r w:rsidRPr="00990D3B" w:rsidR="00856DF6">
        <w:rPr>
          <w:rStyle w:val="Hyperlink"/>
        </w:rPr>
        <w:instrText xml:space="preserve"> HYPERLINK \l "Box2" \o "Box 2" </w:instrText>
      </w:r>
      <w:r>
        <w:fldChar w:fldCharType="separate"/>
      </w:r>
      <w:r w:rsidRPr="00990D3B" w:rsidR="00856DF6">
        <w:rPr>
          <w:rStyle w:val="Hyperlink"/>
        </w:rPr>
        <w:t>Box 2</w:t>
      </w:r>
      <w:r>
        <w:fldChar w:fldCharType="end"/>
      </w:r>
      <w:r w:rsidRPr="00990D3B" w:rsidR="00FA77AC">
        <w:t xml:space="preserve">). </w:t>
      </w:r>
      <w:r w:rsidRPr="00990D3B">
        <w:t xml:space="preserve">The EQR-related activities are intended to (1) improve states’ ability to oversee and manage the MCPs they contract with for services and (2) help MCPs improve their performance with respect to quality, timeliness, and access to care. </w:t>
      </w:r>
      <w:r w:rsidRPr="00990D3B" w:rsidR="006F116F">
        <w:t xml:space="preserve">The 2024 final rule clarified that </w:t>
      </w:r>
      <w:r w:rsidRPr="00990D3B" w:rsidR="00985A6B">
        <w:t xml:space="preserve">the data period for the mandatory EQR-related activities should cover the 12 months of the most recently concluded contract or calendar year, whichever is closest to the review date, and that </w:t>
      </w:r>
      <w:r w:rsidRPr="00990D3B" w:rsidR="006F116F">
        <w:t>states must conduct the EQR-related activities within the 12</w:t>
      </w:r>
      <w:r w:rsidRPr="00990D3B" w:rsidR="001D0659">
        <w:t xml:space="preserve"> </w:t>
      </w:r>
      <w:r w:rsidRPr="00990D3B" w:rsidR="006F116F">
        <w:t>months preceding the finalization of the annual EQR technical</w:t>
      </w:r>
      <w:r w:rsidRPr="00990D3B" w:rsidR="00924D5B">
        <w:t> </w:t>
      </w:r>
      <w:r w:rsidRPr="00990D3B" w:rsidR="006F116F">
        <w:t>report</w:t>
      </w:r>
      <w:r w:rsidRPr="00990D3B" w:rsidR="00985A6B">
        <w:t>.</w:t>
      </w:r>
      <w:r>
        <w:rPr>
          <w:rStyle w:val="FootnoteReference"/>
        </w:rPr>
        <w:footnoteReference w:id="11"/>
      </w:r>
      <w:r w:rsidRPr="00990D3B" w:rsidR="006F116F">
        <w:t xml:space="preserve"> </w:t>
      </w:r>
    </w:p>
    <w:p w:rsidR="00934E15" w:rsidRPr="00990D3B" w:rsidP="008365EB" w14:paraId="12E73AD8" w14:textId="6473534F">
      <w:pPr>
        <w:pStyle w:val="NoSpacing"/>
      </w:pPr>
      <w:r w:rsidRPr="00990D3B">
        <w:rPr>
          <w:noProof/>
        </w:rPr>
        <mc:AlternateContent>
          <mc:Choice Requires="wps">
            <w:drawing>
              <wp:inline distT="0" distB="0" distL="0" distR="0">
                <wp:extent cx="5897880" cy="1567180"/>
                <wp:effectExtent l="19050" t="19050" r="7620" b="0"/>
                <wp:docPr id="1427984139" name="Text Box 228" descr="This box lists Mandatory and Optional EQR-Related Activities&#10;Mandatory EQR-Related Activities&#10;• Validate PIPs&#10;• Validate performance measures &#10;• Review compliance with Medicaid and CHIP managed care regulations&#10;• Validate network adequacy &#10;Optional EQR-Related Activities&#10;• Validate encounter data reported by MCPs&#10;• Administer or validate quality of care surveys&#10;• Calculate additional performance measures&#10;• Conduct additional PIPs&#10;• Conduct focus studies of health care quality&#10;• Assist with quality ratings for Medicaid and CHIP Quality Rating System&#10;• Assist with evaluations of managed care QSs, SDPs, and in lieu of services and settings &#10;">
                  <a:extLst xmlns:a="http://schemas.openxmlformats.org/drawingml/2006/main">
                    <a:ext xmlns:a="http://schemas.openxmlformats.org/drawingml/2006/main"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897880" cy="1567180"/>
                        </a:xfrm>
                        <a:prstGeom prst="rect">
                          <a:avLst/>
                        </a:prstGeom>
                        <a:solidFill>
                          <a:srgbClr val="EEF5F8"/>
                        </a:solidFill>
                        <a:ln w="28575" cap="rnd">
                          <a:solidFill>
                            <a:srgbClr val="A5DAD9"/>
                          </a:solidFill>
                          <a:prstDash val="solid"/>
                          <a:miter lim="800000"/>
                          <a:headEnd/>
                          <a:tailEnd/>
                        </a:ln>
                      </wps:spPr>
                      <wps:txbx>
                        <w:txbxContent>
                          <w:p w:rsidR="00934E15" w:rsidRPr="004C5B2B" w:rsidP="00934E15" w14:textId="77777777">
                            <w:pPr>
                              <w:pStyle w:val="EQRTextboxheading"/>
                            </w:pPr>
                            <w:bookmarkStart w:id="20" w:name="Box2"/>
                            <w:r w:rsidRPr="00680B80">
                              <w:t>Box 2</w:t>
                            </w:r>
                            <w:bookmarkEnd w:id="20"/>
                            <w:r w:rsidRPr="00680B80">
                              <w:t>. Mandatory and Optional EQR-Related Activities</w:t>
                            </w:r>
                          </w:p>
                          <w:p w:rsidR="00934E15" w:rsidRPr="00856E39" w:rsidP="00934E15" w14:textId="77777777">
                            <w:pPr>
                              <w:pStyle w:val="EQRTextboxbody"/>
                              <w:rPr>
                                <w:b/>
                                <w:bCs/>
                              </w:rPr>
                            </w:pPr>
                            <w:r w:rsidRPr="00856E39">
                              <w:rPr>
                                <w:b/>
                                <w:bCs/>
                              </w:rPr>
                              <w:t>Mandatory EQR-Related Activities</w:t>
                            </w:r>
                          </w:p>
                          <w:p w:rsidR="00934E15" w:rsidP="00934E15" w14:textId="00C4F867">
                            <w:pPr>
                              <w:pStyle w:val="EQRTextboxbullet"/>
                            </w:pPr>
                            <w:r>
                              <w:t>Validate PIPs</w:t>
                            </w:r>
                          </w:p>
                          <w:p w:rsidR="00934E15" w:rsidP="00934E15" w14:textId="77777777">
                            <w:pPr>
                              <w:pStyle w:val="EQRTextboxbullet"/>
                            </w:pPr>
                            <w:r>
                              <w:t xml:space="preserve">Validate performance measures </w:t>
                            </w:r>
                          </w:p>
                          <w:p w:rsidR="00934E15" w:rsidP="00934E15" w14:textId="77777777">
                            <w:pPr>
                              <w:pStyle w:val="EQRTextboxbullet"/>
                            </w:pPr>
                            <w:r>
                              <w:t>Review compliance with Medicaid and CHIP managed care regulations</w:t>
                            </w:r>
                          </w:p>
                          <w:p w:rsidR="00934E15" w:rsidP="00934E15" w14:textId="77777777">
                            <w:pPr>
                              <w:pStyle w:val="EQRTextboxbullet"/>
                            </w:pPr>
                            <w:r>
                              <w:t xml:space="preserve">Validate network adequacy </w:t>
                            </w:r>
                          </w:p>
                          <w:p w:rsidR="00934E15" w:rsidRPr="00576794" w:rsidP="00934E15" w14:textId="77777777">
                            <w:pPr>
                              <w:pStyle w:val="EQRTextboxbody"/>
                              <w:rPr>
                                <w:b/>
                                <w:bCs/>
                              </w:rPr>
                            </w:pPr>
                            <w:r w:rsidRPr="00576794">
                              <w:rPr>
                                <w:b/>
                                <w:bCs/>
                              </w:rPr>
                              <w:t>Optional EQR-Related Activities</w:t>
                            </w:r>
                          </w:p>
                          <w:p w:rsidR="00934E15" w:rsidP="00934E15" w14:textId="77777777">
                            <w:pPr>
                              <w:pStyle w:val="EQRTextboxbullet"/>
                            </w:pPr>
                            <w:r>
                              <w:t>Validate encounter data reported by MCPs</w:t>
                            </w:r>
                          </w:p>
                          <w:p w:rsidR="00934E15" w:rsidP="00934E15" w14:textId="77777777">
                            <w:pPr>
                              <w:pStyle w:val="EQRTextboxbullet"/>
                            </w:pPr>
                            <w:r>
                              <w:t>Administer or validate quality of care surveys</w:t>
                            </w:r>
                          </w:p>
                          <w:p w:rsidR="00934E15" w:rsidP="00934E15" w14:textId="77777777">
                            <w:pPr>
                              <w:pStyle w:val="EQRTextboxbullet"/>
                            </w:pPr>
                            <w:r>
                              <w:t>Calculate additional performance measures</w:t>
                            </w:r>
                          </w:p>
                          <w:p w:rsidR="00934E15" w:rsidP="00934E15" w14:textId="77777777">
                            <w:pPr>
                              <w:pStyle w:val="EQRTextboxbullet"/>
                            </w:pPr>
                            <w:r>
                              <w:t>Conduct additional PIPs</w:t>
                            </w:r>
                          </w:p>
                          <w:p w:rsidR="00934E15" w:rsidP="00934E15" w14:textId="77777777">
                            <w:pPr>
                              <w:pStyle w:val="EQRTextboxbullet"/>
                            </w:pPr>
                            <w:r>
                              <w:t>Conduct focus studies of health care quality</w:t>
                            </w:r>
                          </w:p>
                          <w:p w:rsidR="00934E15" w:rsidRPr="00CB27ED" w:rsidP="00934E15" w14:textId="6E213152">
                            <w:pPr>
                              <w:pStyle w:val="EQRTextboxbullet"/>
                            </w:pPr>
                            <w:r w:rsidRPr="00CB27ED">
                              <w:t>Assist with quality rating</w:t>
                            </w:r>
                            <w:r w:rsidRPr="00CB27ED" w:rsidR="00137AB1">
                              <w:t>s</w:t>
                            </w:r>
                            <w:r w:rsidRPr="00CB27ED">
                              <w:t xml:space="preserve"> for Medicaid and CHIP </w:t>
                            </w:r>
                            <w:r w:rsidRPr="00CB27ED" w:rsidR="002F1480">
                              <w:t>Q</w:t>
                            </w:r>
                            <w:r w:rsidRPr="00CB27ED" w:rsidR="00137AB1">
                              <w:t>uality Rating System</w:t>
                            </w:r>
                          </w:p>
                          <w:p w:rsidR="00934E15" w:rsidRPr="00CB27ED" w:rsidP="00934E15" w14:textId="662569F2">
                            <w:pPr>
                              <w:pStyle w:val="EQRTextboxbullet"/>
                            </w:pPr>
                            <w:bookmarkStart w:id="21" w:name="_Hlk194496006"/>
                            <w:bookmarkStart w:id="22" w:name="_Hlk194496007"/>
                            <w:r w:rsidRPr="00CB27ED">
                              <w:t xml:space="preserve">Assist with evaluations of managed care </w:t>
                            </w:r>
                            <w:r w:rsidRPr="00CB27ED" w:rsidR="002F1480">
                              <w:t>QS</w:t>
                            </w:r>
                            <w:r w:rsidRPr="00CB27ED" w:rsidR="00762947">
                              <w:t>s</w:t>
                            </w:r>
                            <w:r w:rsidRPr="00CB27ED">
                              <w:t xml:space="preserve">, </w:t>
                            </w:r>
                            <w:r w:rsidRPr="00CB27ED" w:rsidR="002F1480">
                              <w:t xml:space="preserve">SDPs, </w:t>
                            </w:r>
                            <w:r w:rsidRPr="00CB27ED">
                              <w:t xml:space="preserve">and in lieu of services and settings </w:t>
                            </w:r>
                            <w:bookmarkEnd w:id="21"/>
                            <w:bookmarkEnd w:id="22"/>
                          </w:p>
                        </w:txbxContent>
                      </wps:txbx>
                      <wps:bodyPr rot="0" vert="horz" wrap="square" lIns="109728" tIns="45720" rIns="109728" bIns="45720" anchor="t" anchorCtr="0" upright="1">
                        <a:spAutoFit/>
                      </wps:bodyPr>
                    </wps:wsp>
                  </a:graphicData>
                </a:graphic>
              </wp:inline>
            </w:drawing>
          </mc:Choice>
          <mc:Fallback>
            <w:pict>
              <v:shape id="Text Box 228" o:spid="_x0000_i1038" type="#_x0000_t202" alt="This box lists Mandatory and Optional EQR-Related Activities&#10;Mandatory EQR-Related Activities&#10;• Validate PIPs&#10;• Validate performance measures &#10;• Review compliance with Medicaid and CHIP managed care regulations&#10;• Validate network adequacy &#10;Optional EQR-Related Activities&#10;• Validate encounter data reported by MCPs&#10;• Administer or validate quality of care surveys&#10;• Calculate additional performance measures&#10;• Conduct additional PIPs&#10;• Conduct focus studies of health care quality&#10;• Assist with quality ratings for Medicaid and CHIP Quality Rating System&#10;• Assist with evaluations of managed care QSs, SDPs, and in lieu of services and settings &#10;" style="width:464.4pt;height:123.4pt;flip:y;mso-left-percent:-10001;mso-position-horizontal-relative:char;mso-position-vertical-relative:line;mso-top-percent:-10001;mso-wrap-style:square;rotation:180;visibility:visible;v-text-anchor:top" fillcolor="#eef5f8" strokecolor="#a5dad9" strokeweight="2.25pt">
                <v:stroke endcap="round"/>
                <v:textbox style="mso-fit-shape-to-text:t" inset="8.64pt,,8.64pt">
                  <w:txbxContent>
                    <w:p w:rsidR="00934E15" w:rsidRPr="004C5B2B" w:rsidP="00934E15" w14:paraId="7420DAC7" w14:textId="77777777">
                      <w:pPr>
                        <w:pStyle w:val="EQRTextboxheading"/>
                      </w:pPr>
                      <w:bookmarkStart w:id="20" w:name="Box2"/>
                      <w:r w:rsidRPr="00680B80">
                        <w:t>Box 2</w:t>
                      </w:r>
                      <w:bookmarkEnd w:id="20"/>
                      <w:r w:rsidRPr="00680B80">
                        <w:t>. Mandatory and Optional EQR-Related Activities</w:t>
                      </w:r>
                    </w:p>
                    <w:p w:rsidR="00934E15" w:rsidRPr="00856E39" w:rsidP="00934E15" w14:paraId="2B75F4E9" w14:textId="77777777">
                      <w:pPr>
                        <w:pStyle w:val="EQRTextboxbody"/>
                        <w:rPr>
                          <w:b/>
                          <w:bCs/>
                        </w:rPr>
                      </w:pPr>
                      <w:r w:rsidRPr="00856E39">
                        <w:rPr>
                          <w:b/>
                          <w:bCs/>
                        </w:rPr>
                        <w:t>Mandatory EQR-Related Activities</w:t>
                      </w:r>
                    </w:p>
                    <w:p w:rsidR="00934E15" w:rsidP="00934E15" w14:paraId="674168C8" w14:textId="00C4F867">
                      <w:pPr>
                        <w:pStyle w:val="EQRTextboxbullet"/>
                      </w:pPr>
                      <w:r>
                        <w:t>Validate PIPs</w:t>
                      </w:r>
                    </w:p>
                    <w:p w:rsidR="00934E15" w:rsidP="00934E15" w14:paraId="535DAE33" w14:textId="77777777">
                      <w:pPr>
                        <w:pStyle w:val="EQRTextboxbullet"/>
                      </w:pPr>
                      <w:r>
                        <w:t xml:space="preserve">Validate performance measures </w:t>
                      </w:r>
                    </w:p>
                    <w:p w:rsidR="00934E15" w:rsidP="00934E15" w14:paraId="4BF0C9CC" w14:textId="77777777">
                      <w:pPr>
                        <w:pStyle w:val="EQRTextboxbullet"/>
                      </w:pPr>
                      <w:r>
                        <w:t>Review compliance with Medicaid and CHIP managed care regulations</w:t>
                      </w:r>
                    </w:p>
                    <w:p w:rsidR="00934E15" w:rsidP="00934E15" w14:paraId="6F7A66D5" w14:textId="77777777">
                      <w:pPr>
                        <w:pStyle w:val="EQRTextboxbullet"/>
                      </w:pPr>
                      <w:r>
                        <w:t xml:space="preserve">Validate network adequacy </w:t>
                      </w:r>
                    </w:p>
                    <w:p w:rsidR="00934E15" w:rsidRPr="00576794" w:rsidP="00934E15" w14:paraId="45C7DD68" w14:textId="77777777">
                      <w:pPr>
                        <w:pStyle w:val="EQRTextboxbody"/>
                        <w:rPr>
                          <w:b/>
                          <w:bCs/>
                        </w:rPr>
                      </w:pPr>
                      <w:r w:rsidRPr="00576794">
                        <w:rPr>
                          <w:b/>
                          <w:bCs/>
                        </w:rPr>
                        <w:t>Optional EQR-Related Activities</w:t>
                      </w:r>
                    </w:p>
                    <w:p w:rsidR="00934E15" w:rsidP="00934E15" w14:paraId="1F85CB81" w14:textId="77777777">
                      <w:pPr>
                        <w:pStyle w:val="EQRTextboxbullet"/>
                      </w:pPr>
                      <w:r>
                        <w:t>Validate encounter data reported by MCPs</w:t>
                      </w:r>
                    </w:p>
                    <w:p w:rsidR="00934E15" w:rsidP="00934E15" w14:paraId="6ADCDCD7" w14:textId="77777777">
                      <w:pPr>
                        <w:pStyle w:val="EQRTextboxbullet"/>
                      </w:pPr>
                      <w:r>
                        <w:t>Administer or validate quality of care surveys</w:t>
                      </w:r>
                    </w:p>
                    <w:p w:rsidR="00934E15" w:rsidP="00934E15" w14:paraId="36112129" w14:textId="77777777">
                      <w:pPr>
                        <w:pStyle w:val="EQRTextboxbullet"/>
                      </w:pPr>
                      <w:r>
                        <w:t>Calculate additional performance measures</w:t>
                      </w:r>
                    </w:p>
                    <w:p w:rsidR="00934E15" w:rsidP="00934E15" w14:paraId="4A3201E1" w14:textId="77777777">
                      <w:pPr>
                        <w:pStyle w:val="EQRTextboxbullet"/>
                      </w:pPr>
                      <w:r>
                        <w:t>Conduct additional PIPs</w:t>
                      </w:r>
                    </w:p>
                    <w:p w:rsidR="00934E15" w:rsidP="00934E15" w14:paraId="7B7EE25C" w14:textId="77777777">
                      <w:pPr>
                        <w:pStyle w:val="EQRTextboxbullet"/>
                      </w:pPr>
                      <w:r>
                        <w:t>Conduct focus studies of health care quality</w:t>
                      </w:r>
                    </w:p>
                    <w:p w:rsidR="00934E15" w:rsidRPr="00CB27ED" w:rsidP="00934E15" w14:paraId="4DBEEA84" w14:textId="6E213152">
                      <w:pPr>
                        <w:pStyle w:val="EQRTextboxbullet"/>
                      </w:pPr>
                      <w:r w:rsidRPr="00CB27ED">
                        <w:t>Assist with quality rating</w:t>
                      </w:r>
                      <w:r w:rsidRPr="00CB27ED" w:rsidR="00137AB1">
                        <w:t>s</w:t>
                      </w:r>
                      <w:r w:rsidRPr="00CB27ED">
                        <w:t xml:space="preserve"> for Medicaid and CHIP </w:t>
                      </w:r>
                      <w:r w:rsidRPr="00CB27ED" w:rsidR="002F1480">
                        <w:t>Q</w:t>
                      </w:r>
                      <w:r w:rsidRPr="00CB27ED" w:rsidR="00137AB1">
                        <w:t>uality Rating System</w:t>
                      </w:r>
                    </w:p>
                    <w:p w:rsidR="00934E15" w:rsidRPr="00CB27ED" w:rsidP="00934E15" w14:paraId="3037B6FA" w14:textId="662569F2">
                      <w:pPr>
                        <w:pStyle w:val="EQRTextboxbullet"/>
                      </w:pPr>
                      <w:bookmarkStart w:id="21" w:name="_Hlk194496006"/>
                      <w:bookmarkStart w:id="22" w:name="_Hlk194496007"/>
                      <w:r w:rsidRPr="00CB27ED">
                        <w:t xml:space="preserve">Assist with evaluations of managed care </w:t>
                      </w:r>
                      <w:r w:rsidRPr="00CB27ED" w:rsidR="002F1480">
                        <w:t>QS</w:t>
                      </w:r>
                      <w:r w:rsidRPr="00CB27ED" w:rsidR="00762947">
                        <w:t>s</w:t>
                      </w:r>
                      <w:r w:rsidRPr="00CB27ED">
                        <w:t xml:space="preserve">, </w:t>
                      </w:r>
                      <w:r w:rsidRPr="00CB27ED" w:rsidR="002F1480">
                        <w:t xml:space="preserve">SDPs, </w:t>
                      </w:r>
                      <w:r w:rsidRPr="00CB27ED">
                        <w:t xml:space="preserve">and in lieu of services and settings </w:t>
                      </w:r>
                      <w:bookmarkEnd w:id="21"/>
                      <w:bookmarkEnd w:id="22"/>
                    </w:p>
                  </w:txbxContent>
                </v:textbox>
                <w10:wrap type="none"/>
                <w10:anchorlock/>
              </v:shape>
            </w:pict>
          </mc:Fallback>
        </mc:AlternateContent>
      </w:r>
    </w:p>
    <w:p w:rsidR="00856E39" w:rsidRPr="00990D3B" w:rsidP="00D7596D" w14:paraId="23335F38" w14:textId="480D1369">
      <w:pPr>
        <w:pStyle w:val="ParagraphContinued"/>
      </w:pPr>
      <w:r w:rsidRPr="00990D3B">
        <w:t>Effective implementation of EQR-related activities facilitate</w:t>
      </w:r>
      <w:r w:rsidRPr="00990D3B" w:rsidR="001515C8">
        <w:t>s</w:t>
      </w:r>
      <w:r w:rsidRPr="00990D3B">
        <w:t xml:space="preserve"> state efforts to purchase high-value care (rather than volume) and to achieve </w:t>
      </w:r>
      <w:r w:rsidRPr="00990D3B" w:rsidR="00985A6B">
        <w:t>higher-performing</w:t>
      </w:r>
      <w:r w:rsidRPr="00990D3B">
        <w:t xml:space="preserve"> health care delivery systems for their Me</w:t>
      </w:r>
      <w:r w:rsidRPr="00990D3B" w:rsidR="00067FF1">
        <w:t xml:space="preserve">dicaid and CHIP beneficiaries. </w:t>
      </w:r>
      <w:r w:rsidRPr="00990D3B">
        <w:t xml:space="preserve">States have flexibility regarding who will conduct the EQR-related activities; they may be conducted by the state, its </w:t>
      </w:r>
      <w:r w:rsidRPr="00990D3B">
        <w:t>agent</w:t>
      </w:r>
      <w:r w:rsidRPr="00990D3B">
        <w:t xml:space="preserve"> that is not </w:t>
      </w:r>
      <w:r w:rsidRPr="00990D3B" w:rsidR="00985A6B">
        <w:t xml:space="preserve">an </w:t>
      </w:r>
      <w:r w:rsidRPr="00990D3B" w:rsidR="00690097">
        <w:t>MCP</w:t>
      </w:r>
      <w:r w:rsidRPr="00990D3B" w:rsidR="005F3257">
        <w:t xml:space="preserve">, or an EQRO. </w:t>
      </w:r>
      <w:r w:rsidRPr="00990D3B">
        <w:t>If the state elects to contract with an EQRO to conduct the EQR-related activities, this can be the same EQRO that conducts the EQR for the state or one or more additional EQROs.</w:t>
      </w:r>
      <w:r w:rsidRPr="00990D3B" w:rsidR="003162DF">
        <w:rPr>
          <w:rFonts w:ascii="ZWAdobeF" w:hAnsi="ZWAdobeF" w:cs="ZWAdobeF"/>
          <w:sz w:val="2"/>
          <w:szCs w:val="2"/>
        </w:rPr>
        <w:t>8F</w:t>
      </w:r>
      <w:r>
        <w:rPr>
          <w:rStyle w:val="FootnoteReference"/>
          <w:rFonts w:cstheme="minorHAnsi"/>
          <w:szCs w:val="24"/>
        </w:rPr>
        <w:footnoteReference w:id="12"/>
      </w:r>
      <w:r w:rsidRPr="00990D3B" w:rsidR="002D04DF">
        <w:rPr>
          <w:rFonts w:ascii="ZWAdobeF" w:hAnsi="ZWAdobeF" w:cs="ZWAdobeF"/>
          <w:sz w:val="2"/>
          <w:szCs w:val="2"/>
        </w:rPr>
        <w:t xml:space="preserve">  </w:t>
      </w:r>
      <w:r w:rsidRPr="00990D3B" w:rsidR="000E2001">
        <w:rPr>
          <w:rFonts w:cstheme="minorHAnsi"/>
          <w:szCs w:val="24"/>
        </w:rPr>
        <w:t>An accrediting body may not serve as an EQRO for a</w:t>
      </w:r>
      <w:r w:rsidRPr="00990D3B" w:rsidR="00F04185">
        <w:rPr>
          <w:rFonts w:cstheme="minorHAnsi"/>
          <w:szCs w:val="24"/>
        </w:rPr>
        <w:t>n</w:t>
      </w:r>
      <w:r w:rsidRPr="00990D3B" w:rsidR="000E2001">
        <w:rPr>
          <w:rFonts w:cstheme="minorHAnsi"/>
          <w:szCs w:val="24"/>
        </w:rPr>
        <w:t xml:space="preserve"> MCP it accredited within the previous </w:t>
      </w:r>
      <w:r w:rsidRPr="00990D3B" w:rsidR="007A6DF0">
        <w:rPr>
          <w:rFonts w:cstheme="minorHAnsi"/>
          <w:szCs w:val="24"/>
        </w:rPr>
        <w:t>three</w:t>
      </w:r>
      <w:r w:rsidRPr="00990D3B" w:rsidR="000E2001">
        <w:rPr>
          <w:rFonts w:cstheme="minorHAnsi"/>
          <w:szCs w:val="24"/>
        </w:rPr>
        <w:t xml:space="preserve"> years.</w:t>
      </w:r>
      <w:r w:rsidRPr="00990D3B" w:rsidR="00AA7CD2">
        <w:rPr>
          <w:rFonts w:cstheme="minorHAnsi"/>
          <w:szCs w:val="24"/>
        </w:rPr>
        <w:t xml:space="preserve"> </w:t>
      </w:r>
      <w:r w:rsidRPr="00990D3B" w:rsidR="000E2001">
        <w:rPr>
          <w:rFonts w:ascii="ZWAdobeF" w:hAnsi="ZWAdobeF" w:cs="ZWAdobeF"/>
          <w:sz w:val="2"/>
          <w:szCs w:val="2"/>
        </w:rPr>
        <w:t xml:space="preserve"> </w:t>
      </w:r>
      <w:r w:rsidRPr="00990D3B" w:rsidR="008365EB">
        <w:rPr>
          <w:rFonts w:cstheme="minorHAnsi"/>
          <w:szCs w:val="24"/>
        </w:rPr>
        <w:t xml:space="preserve">Regardless of which entity performs EQR-related activities, the </w:t>
      </w:r>
      <w:r w:rsidRPr="00990D3B" w:rsidR="00597AA3">
        <w:rPr>
          <w:rFonts w:cstheme="minorHAnsi"/>
          <w:szCs w:val="24"/>
        </w:rPr>
        <w:t xml:space="preserve">EQRO must </w:t>
      </w:r>
      <w:r w:rsidRPr="00990D3B" w:rsidR="00597AA3">
        <w:rPr>
          <w:rFonts w:cstheme="minorHAnsi"/>
          <w:szCs w:val="24"/>
        </w:rPr>
        <w:t>independently review and evaluate the data from all activities as part of the annual EQR and include them</w:t>
      </w:r>
      <w:r w:rsidRPr="00990D3B" w:rsidR="000164F6">
        <w:rPr>
          <w:rFonts w:cstheme="minorHAnsi"/>
          <w:szCs w:val="24"/>
        </w:rPr>
        <w:t xml:space="preserve"> in the </w:t>
      </w:r>
      <w:r w:rsidRPr="00990D3B" w:rsidR="008365EB">
        <w:rPr>
          <w:rFonts w:cstheme="minorHAnsi"/>
          <w:szCs w:val="24"/>
        </w:rPr>
        <w:t>EQR technical report.</w:t>
      </w:r>
    </w:p>
    <w:p w:rsidR="00064267" w:rsidRPr="00990D3B" w:rsidP="00924D5B" w14:paraId="680EA85C" w14:textId="240FEB8D">
      <w:pPr>
        <w:pStyle w:val="Paragraph0"/>
      </w:pPr>
      <w:r w:rsidRPr="00990D3B">
        <w:t>Medicaid and CHIP</w:t>
      </w:r>
      <w:r w:rsidRPr="00990D3B" w:rsidR="008706D4">
        <w:t xml:space="preserve"> MCOs, PIHPs, </w:t>
      </w:r>
      <w:r w:rsidRPr="00990D3B">
        <w:t xml:space="preserve">and </w:t>
      </w:r>
      <w:r w:rsidRPr="00990D3B" w:rsidR="008706D4">
        <w:t>PAHPs</w:t>
      </w:r>
      <w:r w:rsidRPr="00990D3B" w:rsidR="00BC6E1D">
        <w:t xml:space="preserve"> </w:t>
      </w:r>
      <w:r w:rsidRPr="00990D3B">
        <w:t>are</w:t>
      </w:r>
      <w:r w:rsidRPr="00990D3B" w:rsidR="008706D4">
        <w:t xml:space="preserve"> </w:t>
      </w:r>
      <w:r w:rsidRPr="00990D3B" w:rsidR="009461BF">
        <w:t xml:space="preserve">subject to </w:t>
      </w:r>
      <w:r w:rsidRPr="00990D3B" w:rsidR="008706D4">
        <w:t>all four mandatory EQR-related activities</w:t>
      </w:r>
      <w:r w:rsidRPr="00990D3B" w:rsidR="009815D7">
        <w:t>.</w:t>
      </w:r>
      <w:r w:rsidRPr="00990D3B" w:rsidR="00680B80">
        <w:t xml:space="preserve"> </w:t>
      </w:r>
      <w:r w:rsidRPr="00990D3B" w:rsidR="00690097">
        <w:t xml:space="preserve">Conducting EQR on PCCM entities, however, is at the state’s discretion. </w:t>
      </w:r>
      <w:hyperlink w:anchor="Table1" w:tooltip="Table 1" w:history="1">
        <w:r w:rsidRPr="00990D3B" w:rsidR="00DC78AB">
          <w:rPr>
            <w:rStyle w:val="Hyperlink"/>
          </w:rPr>
          <w:t>Table 1</w:t>
        </w:r>
      </w:hyperlink>
      <w:r w:rsidRPr="00990D3B" w:rsidR="00DC78AB">
        <w:t xml:space="preserve"> </w:t>
      </w:r>
      <w:r w:rsidRPr="00990D3B" w:rsidR="00D238B2">
        <w:t xml:space="preserve">shares </w:t>
      </w:r>
      <w:r w:rsidRPr="00990D3B" w:rsidR="00DC78AB">
        <w:t xml:space="preserve">information </w:t>
      </w:r>
      <w:r w:rsidRPr="00990D3B" w:rsidR="00974922">
        <w:t>about</w:t>
      </w:r>
      <w:r w:rsidRPr="00990D3B" w:rsidR="00DC78AB">
        <w:t xml:space="preserve"> </w:t>
      </w:r>
      <w:r w:rsidRPr="00990D3B" w:rsidR="00D238B2">
        <w:t xml:space="preserve">which </w:t>
      </w:r>
      <w:r w:rsidRPr="00990D3B" w:rsidR="00DC78AB">
        <w:t xml:space="preserve">EQR-related activities </w:t>
      </w:r>
      <w:r w:rsidRPr="00990D3B" w:rsidR="00D238B2">
        <w:t xml:space="preserve">are required and optional for each </w:t>
      </w:r>
      <w:r w:rsidRPr="00990D3B" w:rsidR="00DC78AB">
        <w:t>MCP</w:t>
      </w:r>
      <w:r w:rsidRPr="00990D3B" w:rsidR="00924D5B">
        <w:t> </w:t>
      </w:r>
      <w:r w:rsidRPr="00990D3B" w:rsidR="00D238B2">
        <w:t>type</w:t>
      </w:r>
      <w:r w:rsidRPr="00990D3B" w:rsidR="00DC78AB">
        <w:t>.</w:t>
      </w:r>
    </w:p>
    <w:p w:rsidR="00DC78AB" w:rsidRPr="00990D3B" w:rsidP="007F1F6E" w14:paraId="0FF1B05D" w14:textId="1CD592AB">
      <w:pPr>
        <w:pStyle w:val="MarkforTableHeading"/>
        <w:spacing w:before="240"/>
      </w:pPr>
      <w:bookmarkStart w:id="23" w:name="Table1"/>
      <w:bookmarkStart w:id="24" w:name="_Toc83134593"/>
      <w:bookmarkEnd w:id="23"/>
      <w:r w:rsidRPr="00990D3B">
        <w:t>Table 1. Application of Mandatory and Optional EQR-</w:t>
      </w:r>
      <w:r w:rsidRPr="00990D3B" w:rsidR="000164F6">
        <w:t>R</w:t>
      </w:r>
      <w:r w:rsidRPr="00990D3B">
        <w:t xml:space="preserve">elated </w:t>
      </w:r>
      <w:r w:rsidRPr="00990D3B" w:rsidR="00FC5666">
        <w:t>A</w:t>
      </w:r>
      <w:r w:rsidRPr="00990D3B">
        <w:t xml:space="preserve">ctivities by MCP </w:t>
      </w:r>
      <w:r w:rsidRPr="00990D3B" w:rsidR="00FC5666">
        <w:t>T</w:t>
      </w:r>
      <w:r w:rsidRPr="00990D3B">
        <w:t>ype</w:t>
      </w:r>
      <w:bookmarkEnd w:id="24"/>
    </w:p>
    <w:tbl>
      <w:tblPr>
        <w:tblStyle w:val="CORESETTable"/>
        <w:tblW w:w="5000" w:type="pct"/>
        <w:tblLook w:val="0420"/>
      </w:tblPr>
      <w:tblGrid>
        <w:gridCol w:w="3272"/>
        <w:gridCol w:w="1520"/>
        <w:gridCol w:w="1520"/>
        <w:gridCol w:w="1520"/>
        <w:gridCol w:w="1518"/>
      </w:tblGrid>
      <w:tr w14:paraId="51110AA2" w14:textId="77777777" w:rsidTr="00BD1FC3">
        <w:tblPrEx>
          <w:tblW w:w="5000" w:type="pct"/>
          <w:tblLook w:val="0420"/>
        </w:tblPrEx>
        <w:trPr>
          <w:tblHeader/>
        </w:trPr>
        <w:tc>
          <w:tcPr>
            <w:tcW w:w="1749" w:type="pct"/>
          </w:tcPr>
          <w:p w:rsidR="00DC78AB" w:rsidRPr="00990D3B" w:rsidP="00664FD1" w14:paraId="54C847CC" w14:textId="00F35705">
            <w:pPr>
              <w:pStyle w:val="TableHeaderLeft"/>
            </w:pPr>
            <w:r w:rsidRPr="00990D3B">
              <w:t> </w:t>
            </w:r>
          </w:p>
        </w:tc>
        <w:tc>
          <w:tcPr>
            <w:tcW w:w="3251" w:type="pct"/>
            <w:gridSpan w:val="4"/>
          </w:tcPr>
          <w:p w:rsidR="00DC78AB" w:rsidRPr="00990D3B" w:rsidP="00973DF0" w14:paraId="22772D49" w14:textId="6014C86B">
            <w:pPr>
              <w:pStyle w:val="TableHeaderCenter"/>
            </w:pPr>
            <w:r w:rsidRPr="00990D3B">
              <w:t>MCP Type</w:t>
            </w:r>
          </w:p>
        </w:tc>
      </w:tr>
      <w:tr w14:paraId="09468943" w14:textId="77777777" w:rsidTr="00BD1FC3">
        <w:tblPrEx>
          <w:tblW w:w="5000" w:type="pct"/>
          <w:tblLook w:val="0420"/>
        </w:tblPrEx>
        <w:trPr>
          <w:tblHeader/>
        </w:trPr>
        <w:tc>
          <w:tcPr>
            <w:tcW w:w="1749" w:type="pct"/>
            <w:vAlign w:val="center"/>
          </w:tcPr>
          <w:p w:rsidR="00DC78AB" w:rsidRPr="00990D3B" w:rsidP="00973DF0" w14:paraId="15D1BCC6" w14:textId="66A4EAB6">
            <w:pPr>
              <w:pStyle w:val="TableHeaderLeft"/>
            </w:pPr>
            <w:r w:rsidRPr="00990D3B">
              <w:t>EQR-</w:t>
            </w:r>
            <w:r w:rsidRPr="00990D3B" w:rsidR="000164F6">
              <w:t>R</w:t>
            </w:r>
            <w:r w:rsidRPr="00990D3B">
              <w:t>elated Activity</w:t>
            </w:r>
          </w:p>
        </w:tc>
        <w:tc>
          <w:tcPr>
            <w:tcW w:w="813" w:type="pct"/>
            <w:vAlign w:val="center"/>
          </w:tcPr>
          <w:p w:rsidR="00DC78AB" w:rsidRPr="00990D3B" w:rsidP="00973DF0" w14:paraId="2A43BC31" w14:textId="5964CE89">
            <w:pPr>
              <w:pStyle w:val="TableHeaderCenter"/>
              <w:rPr>
                <w:bCs/>
              </w:rPr>
            </w:pPr>
            <w:r w:rsidRPr="00990D3B">
              <w:rPr>
                <w:bCs/>
              </w:rPr>
              <w:t>MCO</w:t>
            </w:r>
          </w:p>
        </w:tc>
        <w:tc>
          <w:tcPr>
            <w:tcW w:w="813" w:type="pct"/>
            <w:vAlign w:val="center"/>
          </w:tcPr>
          <w:p w:rsidR="00DC78AB" w:rsidRPr="00990D3B" w:rsidP="00973DF0" w14:paraId="0397697D" w14:textId="0B5454D6">
            <w:pPr>
              <w:pStyle w:val="TableHeaderCenter"/>
              <w:rPr>
                <w:bCs/>
              </w:rPr>
            </w:pPr>
            <w:r w:rsidRPr="00990D3B">
              <w:rPr>
                <w:bCs/>
              </w:rPr>
              <w:t>PIHP</w:t>
            </w:r>
          </w:p>
        </w:tc>
        <w:tc>
          <w:tcPr>
            <w:tcW w:w="813" w:type="pct"/>
            <w:vAlign w:val="center"/>
          </w:tcPr>
          <w:p w:rsidR="00DC78AB" w:rsidRPr="00990D3B" w:rsidP="00973DF0" w14:paraId="62B69109" w14:textId="3D473AE8">
            <w:pPr>
              <w:pStyle w:val="TableHeaderCenter"/>
              <w:rPr>
                <w:bCs/>
              </w:rPr>
            </w:pPr>
            <w:r w:rsidRPr="00990D3B">
              <w:rPr>
                <w:bCs/>
              </w:rPr>
              <w:t>PAHP</w:t>
            </w:r>
          </w:p>
        </w:tc>
        <w:tc>
          <w:tcPr>
            <w:tcW w:w="813" w:type="pct"/>
            <w:vAlign w:val="center"/>
          </w:tcPr>
          <w:p w:rsidR="00DC78AB" w:rsidRPr="00990D3B" w:rsidP="00973DF0" w14:paraId="10E7020E" w14:textId="70ABB3B7">
            <w:pPr>
              <w:pStyle w:val="TableHeaderCenter"/>
              <w:rPr>
                <w:bCs/>
              </w:rPr>
            </w:pPr>
            <w:r w:rsidRPr="00990D3B">
              <w:rPr>
                <w:bCs/>
              </w:rPr>
              <w:t>PCCM Entity</w:t>
            </w:r>
          </w:p>
        </w:tc>
      </w:tr>
      <w:tr w14:paraId="5C128212" w14:textId="77777777" w:rsidTr="00BD1FC3">
        <w:tblPrEx>
          <w:tblW w:w="5000" w:type="pct"/>
          <w:tblLook w:val="0420"/>
        </w:tblPrEx>
        <w:tc>
          <w:tcPr>
            <w:tcW w:w="1749" w:type="pct"/>
          </w:tcPr>
          <w:p w:rsidR="00DC78AB" w:rsidRPr="00990D3B" w:rsidP="00973DF0" w14:paraId="720C8F53" w14:textId="59A7BEB2">
            <w:pPr>
              <w:pStyle w:val="TableTextLeft"/>
              <w:rPr>
                <w:rFonts w:cs="Arial"/>
                <w:szCs w:val="18"/>
              </w:rPr>
            </w:pPr>
            <w:r w:rsidRPr="00990D3B">
              <w:t xml:space="preserve">Validation of </w:t>
            </w:r>
            <w:r w:rsidRPr="00990D3B" w:rsidR="007B4782">
              <w:t>PIPs</w:t>
            </w:r>
          </w:p>
        </w:tc>
        <w:tc>
          <w:tcPr>
            <w:tcW w:w="813" w:type="pct"/>
          </w:tcPr>
          <w:p w:rsidR="00DC78AB" w:rsidRPr="00990D3B" w:rsidP="00733195" w14:paraId="66E36800" w14:textId="17FDFFA4">
            <w:pPr>
              <w:pStyle w:val="TableTextLeft"/>
              <w:jc w:val="center"/>
              <w:rPr>
                <w:rFonts w:cs="Arial"/>
                <w:szCs w:val="18"/>
              </w:rPr>
            </w:pPr>
            <w:r w:rsidRPr="00990D3B">
              <w:t>Required</w:t>
            </w:r>
          </w:p>
        </w:tc>
        <w:tc>
          <w:tcPr>
            <w:tcW w:w="813" w:type="pct"/>
          </w:tcPr>
          <w:p w:rsidR="00DC78AB" w:rsidRPr="00990D3B" w:rsidP="00733195" w14:paraId="3D19A3CA" w14:textId="7A153876">
            <w:pPr>
              <w:pStyle w:val="TableTextLeft"/>
              <w:jc w:val="center"/>
              <w:rPr>
                <w:rFonts w:cs="Arial"/>
                <w:szCs w:val="18"/>
              </w:rPr>
            </w:pPr>
            <w:r w:rsidRPr="00990D3B">
              <w:rPr>
                <w:iCs/>
              </w:rPr>
              <w:t>Required</w:t>
            </w:r>
          </w:p>
        </w:tc>
        <w:tc>
          <w:tcPr>
            <w:tcW w:w="813" w:type="pct"/>
          </w:tcPr>
          <w:p w:rsidR="00DC78AB" w:rsidRPr="00990D3B" w:rsidP="00733195" w14:paraId="1BAD436B" w14:textId="579CA1F4">
            <w:pPr>
              <w:pStyle w:val="TableTextLeft"/>
              <w:jc w:val="center"/>
              <w:rPr>
                <w:rFonts w:cs="Arial"/>
                <w:szCs w:val="18"/>
              </w:rPr>
            </w:pPr>
            <w:r w:rsidRPr="00990D3B">
              <w:rPr>
                <w:iCs/>
              </w:rPr>
              <w:t>Required</w:t>
            </w:r>
          </w:p>
        </w:tc>
        <w:tc>
          <w:tcPr>
            <w:tcW w:w="813" w:type="pct"/>
          </w:tcPr>
          <w:p w:rsidR="00DC78AB" w:rsidRPr="00990D3B" w:rsidP="00733195" w14:paraId="61001AD7" w14:textId="0C593084">
            <w:pPr>
              <w:pStyle w:val="TableTextLeft"/>
              <w:jc w:val="center"/>
              <w:rPr>
                <w:rFonts w:cs="Arial"/>
                <w:szCs w:val="18"/>
                <w:vertAlign w:val="superscript"/>
              </w:rPr>
            </w:pPr>
            <w:r w:rsidRPr="00990D3B">
              <w:t>State Discretion</w:t>
            </w:r>
          </w:p>
        </w:tc>
      </w:tr>
      <w:tr w14:paraId="1489C705" w14:textId="77777777" w:rsidTr="00BD1FC3">
        <w:tblPrEx>
          <w:tblW w:w="5000" w:type="pct"/>
          <w:tblLook w:val="0420"/>
        </w:tblPrEx>
        <w:tc>
          <w:tcPr>
            <w:tcW w:w="1749" w:type="pct"/>
          </w:tcPr>
          <w:p w:rsidR="00DC78AB" w:rsidRPr="00990D3B" w:rsidP="00973DF0" w14:paraId="4D14CFD2" w14:textId="2EF71650">
            <w:pPr>
              <w:pStyle w:val="TableTextLeft"/>
              <w:rPr>
                <w:rFonts w:cs="Arial"/>
                <w:szCs w:val="18"/>
              </w:rPr>
            </w:pPr>
            <w:r w:rsidRPr="00990D3B">
              <w:t xml:space="preserve">Validation of Performance Measures </w:t>
            </w:r>
          </w:p>
        </w:tc>
        <w:tc>
          <w:tcPr>
            <w:tcW w:w="813" w:type="pct"/>
          </w:tcPr>
          <w:p w:rsidR="00DC78AB" w:rsidRPr="00990D3B" w:rsidP="00733195" w14:paraId="3275789E" w14:textId="5B194B8A">
            <w:pPr>
              <w:pStyle w:val="TableTextLeft"/>
              <w:jc w:val="center"/>
              <w:rPr>
                <w:rFonts w:cs="Arial"/>
                <w:szCs w:val="18"/>
              </w:rPr>
            </w:pPr>
            <w:r w:rsidRPr="00990D3B">
              <w:t>Required</w:t>
            </w:r>
          </w:p>
        </w:tc>
        <w:tc>
          <w:tcPr>
            <w:tcW w:w="813" w:type="pct"/>
          </w:tcPr>
          <w:p w:rsidR="00DC78AB" w:rsidRPr="00990D3B" w:rsidP="00733195" w14:paraId="5FA10A42" w14:textId="6B02583B">
            <w:pPr>
              <w:pStyle w:val="TableTextLeft"/>
              <w:jc w:val="center"/>
              <w:rPr>
                <w:rFonts w:cs="Arial"/>
                <w:szCs w:val="18"/>
              </w:rPr>
            </w:pPr>
            <w:r w:rsidRPr="00990D3B">
              <w:rPr>
                <w:iCs/>
              </w:rPr>
              <w:t>Required</w:t>
            </w:r>
          </w:p>
        </w:tc>
        <w:tc>
          <w:tcPr>
            <w:tcW w:w="813" w:type="pct"/>
          </w:tcPr>
          <w:p w:rsidR="00DC78AB" w:rsidRPr="00990D3B" w:rsidP="00733195" w14:paraId="40135D0B" w14:textId="00E98BA4">
            <w:pPr>
              <w:pStyle w:val="TableTextLeft"/>
              <w:jc w:val="center"/>
              <w:rPr>
                <w:rFonts w:cs="Arial"/>
                <w:szCs w:val="18"/>
              </w:rPr>
            </w:pPr>
            <w:r w:rsidRPr="00990D3B">
              <w:rPr>
                <w:iCs/>
              </w:rPr>
              <w:t>Required</w:t>
            </w:r>
          </w:p>
        </w:tc>
        <w:tc>
          <w:tcPr>
            <w:tcW w:w="813" w:type="pct"/>
          </w:tcPr>
          <w:p w:rsidR="00DC78AB" w:rsidRPr="00990D3B" w:rsidP="00733195" w14:paraId="41E54B62" w14:textId="134B9739">
            <w:pPr>
              <w:pStyle w:val="TableTextLeft"/>
              <w:jc w:val="center"/>
              <w:rPr>
                <w:rFonts w:cs="Arial"/>
                <w:szCs w:val="18"/>
              </w:rPr>
            </w:pPr>
            <w:r w:rsidRPr="00990D3B">
              <w:rPr>
                <w:iCs/>
              </w:rPr>
              <w:t>State Discretion</w:t>
            </w:r>
          </w:p>
        </w:tc>
      </w:tr>
      <w:tr w14:paraId="2C4E2859" w14:textId="77777777" w:rsidTr="00BD1FC3">
        <w:tblPrEx>
          <w:tblW w:w="5000" w:type="pct"/>
          <w:tblLook w:val="0420"/>
        </w:tblPrEx>
        <w:tc>
          <w:tcPr>
            <w:tcW w:w="1749" w:type="pct"/>
          </w:tcPr>
          <w:p w:rsidR="00DC78AB" w:rsidRPr="00990D3B" w:rsidP="00973DF0" w14:paraId="04A4CB2F" w14:textId="005541F7">
            <w:pPr>
              <w:pStyle w:val="TableTextLeft"/>
              <w:rPr>
                <w:rFonts w:cs="Arial"/>
                <w:szCs w:val="18"/>
              </w:rPr>
            </w:pPr>
            <w:r w:rsidRPr="00990D3B">
              <w:t xml:space="preserve">Review of Compliance with Medicaid </w:t>
            </w:r>
            <w:r w:rsidRPr="00990D3B" w:rsidR="007B4782">
              <w:t xml:space="preserve">and CHIP </w:t>
            </w:r>
            <w:r w:rsidRPr="00990D3B">
              <w:t>Managed Care Regulations</w:t>
            </w:r>
          </w:p>
        </w:tc>
        <w:tc>
          <w:tcPr>
            <w:tcW w:w="813" w:type="pct"/>
          </w:tcPr>
          <w:p w:rsidR="00DC78AB" w:rsidRPr="00990D3B" w:rsidP="00733195" w14:paraId="41137EAD" w14:textId="1A65063D">
            <w:pPr>
              <w:pStyle w:val="TableTextLeft"/>
              <w:jc w:val="center"/>
              <w:rPr>
                <w:rFonts w:cs="Arial"/>
                <w:szCs w:val="18"/>
              </w:rPr>
            </w:pPr>
            <w:r w:rsidRPr="00990D3B">
              <w:t>Required</w:t>
            </w:r>
          </w:p>
        </w:tc>
        <w:tc>
          <w:tcPr>
            <w:tcW w:w="813" w:type="pct"/>
          </w:tcPr>
          <w:p w:rsidR="00DC78AB" w:rsidRPr="00990D3B" w:rsidP="00733195" w14:paraId="23EF79F5" w14:textId="6387601F">
            <w:pPr>
              <w:pStyle w:val="TableTextLeft"/>
              <w:jc w:val="center"/>
              <w:rPr>
                <w:rFonts w:cs="Arial"/>
                <w:szCs w:val="18"/>
              </w:rPr>
            </w:pPr>
            <w:r w:rsidRPr="00990D3B">
              <w:rPr>
                <w:iCs/>
              </w:rPr>
              <w:t>Required</w:t>
            </w:r>
          </w:p>
        </w:tc>
        <w:tc>
          <w:tcPr>
            <w:tcW w:w="813" w:type="pct"/>
          </w:tcPr>
          <w:p w:rsidR="00DC78AB" w:rsidRPr="00990D3B" w:rsidP="00733195" w14:paraId="35266DF1" w14:textId="63BE4F1F">
            <w:pPr>
              <w:pStyle w:val="TableTextLeft"/>
              <w:jc w:val="center"/>
              <w:rPr>
                <w:rFonts w:cs="Arial"/>
                <w:szCs w:val="18"/>
              </w:rPr>
            </w:pPr>
            <w:r w:rsidRPr="00990D3B">
              <w:rPr>
                <w:iCs/>
              </w:rPr>
              <w:t>Required</w:t>
            </w:r>
          </w:p>
        </w:tc>
        <w:tc>
          <w:tcPr>
            <w:tcW w:w="813" w:type="pct"/>
          </w:tcPr>
          <w:p w:rsidR="00DC78AB" w:rsidRPr="00990D3B" w:rsidP="00733195" w14:paraId="1E548A66" w14:textId="55F5100A">
            <w:pPr>
              <w:pStyle w:val="TableTextLeft"/>
              <w:jc w:val="center"/>
              <w:rPr>
                <w:rFonts w:cs="Arial"/>
                <w:szCs w:val="18"/>
              </w:rPr>
            </w:pPr>
            <w:r w:rsidRPr="00990D3B">
              <w:rPr>
                <w:iCs/>
              </w:rPr>
              <w:t>State Discretion</w:t>
            </w:r>
          </w:p>
        </w:tc>
      </w:tr>
      <w:tr w14:paraId="308E9794" w14:textId="77777777" w:rsidTr="00BD1FC3">
        <w:tblPrEx>
          <w:tblW w:w="5000" w:type="pct"/>
          <w:tblLook w:val="0420"/>
        </w:tblPrEx>
        <w:tc>
          <w:tcPr>
            <w:tcW w:w="1749" w:type="pct"/>
          </w:tcPr>
          <w:p w:rsidR="00DC78AB" w:rsidRPr="00990D3B" w:rsidP="00973DF0" w14:paraId="4D6EA823" w14:textId="6E5F8F1D">
            <w:pPr>
              <w:pStyle w:val="TableTextLeft"/>
              <w:rPr>
                <w:rFonts w:cs="Arial"/>
                <w:szCs w:val="18"/>
                <w:vertAlign w:val="superscript"/>
              </w:rPr>
            </w:pPr>
            <w:r w:rsidRPr="00990D3B">
              <w:t xml:space="preserve">Validation of Network </w:t>
            </w:r>
            <w:r w:rsidRPr="00990D3B" w:rsidR="00B61203">
              <w:t>Adequacy</w:t>
            </w:r>
          </w:p>
        </w:tc>
        <w:tc>
          <w:tcPr>
            <w:tcW w:w="813" w:type="pct"/>
          </w:tcPr>
          <w:p w:rsidR="00DC78AB" w:rsidRPr="00990D3B" w:rsidP="00733195" w14:paraId="29351D55" w14:textId="1768D164">
            <w:pPr>
              <w:pStyle w:val="TableTextLeft"/>
              <w:jc w:val="center"/>
              <w:rPr>
                <w:rFonts w:cs="Arial"/>
                <w:szCs w:val="18"/>
              </w:rPr>
            </w:pPr>
            <w:r w:rsidRPr="00990D3B">
              <w:t>Required</w:t>
            </w:r>
          </w:p>
        </w:tc>
        <w:tc>
          <w:tcPr>
            <w:tcW w:w="813" w:type="pct"/>
          </w:tcPr>
          <w:p w:rsidR="00DC78AB" w:rsidRPr="00990D3B" w:rsidP="00733195" w14:paraId="75B31ED1" w14:textId="3B7B993D">
            <w:pPr>
              <w:pStyle w:val="TableTextLeft"/>
              <w:jc w:val="center"/>
              <w:rPr>
                <w:rFonts w:cs="Arial"/>
                <w:szCs w:val="18"/>
              </w:rPr>
            </w:pPr>
            <w:r w:rsidRPr="00990D3B">
              <w:rPr>
                <w:iCs/>
              </w:rPr>
              <w:t>Required</w:t>
            </w:r>
          </w:p>
        </w:tc>
        <w:tc>
          <w:tcPr>
            <w:tcW w:w="813" w:type="pct"/>
          </w:tcPr>
          <w:p w:rsidR="00DC78AB" w:rsidRPr="00990D3B" w:rsidP="00733195" w14:paraId="73B22911" w14:textId="73B455AD">
            <w:pPr>
              <w:pStyle w:val="TableTextLeft"/>
              <w:jc w:val="center"/>
              <w:rPr>
                <w:rFonts w:cs="Arial"/>
                <w:szCs w:val="18"/>
              </w:rPr>
            </w:pPr>
            <w:r w:rsidRPr="00990D3B">
              <w:rPr>
                <w:iCs/>
              </w:rPr>
              <w:t>Required</w:t>
            </w:r>
          </w:p>
        </w:tc>
        <w:tc>
          <w:tcPr>
            <w:tcW w:w="813" w:type="pct"/>
          </w:tcPr>
          <w:p w:rsidR="00DC78AB" w:rsidRPr="00990D3B" w:rsidP="00733195" w14:paraId="14DE55CF" w14:textId="54A6E92E">
            <w:pPr>
              <w:pStyle w:val="TableTextLeft"/>
              <w:jc w:val="center"/>
              <w:rPr>
                <w:rFonts w:cs="Arial"/>
                <w:szCs w:val="18"/>
              </w:rPr>
            </w:pPr>
            <w:r w:rsidRPr="00990D3B">
              <w:t>State Discretion</w:t>
            </w:r>
          </w:p>
        </w:tc>
      </w:tr>
      <w:tr w14:paraId="033895D2" w14:textId="77777777" w:rsidTr="00BD1FC3">
        <w:tblPrEx>
          <w:tblW w:w="5000" w:type="pct"/>
          <w:tblLook w:val="0420"/>
        </w:tblPrEx>
        <w:tc>
          <w:tcPr>
            <w:tcW w:w="1749" w:type="pct"/>
          </w:tcPr>
          <w:p w:rsidR="00DC78AB" w:rsidRPr="00990D3B" w:rsidP="00973DF0" w14:paraId="6959D723" w14:textId="19D80656">
            <w:pPr>
              <w:pStyle w:val="TableTextLeft"/>
              <w:rPr>
                <w:rFonts w:cs="Arial"/>
                <w:szCs w:val="18"/>
              </w:rPr>
            </w:pPr>
            <w:r w:rsidRPr="00990D3B">
              <w:t>Validation of Encounter Data Reported by the MCP</w:t>
            </w:r>
          </w:p>
        </w:tc>
        <w:tc>
          <w:tcPr>
            <w:tcW w:w="813" w:type="pct"/>
          </w:tcPr>
          <w:p w:rsidR="00DC78AB" w:rsidRPr="00990D3B" w:rsidP="00733195" w14:paraId="369F59C5" w14:textId="4C660CCD">
            <w:pPr>
              <w:pStyle w:val="TableTextLeft"/>
              <w:jc w:val="center"/>
              <w:rPr>
                <w:rFonts w:cs="Arial"/>
                <w:szCs w:val="18"/>
              </w:rPr>
            </w:pPr>
            <w:r w:rsidRPr="00990D3B">
              <w:t>State Discretion</w:t>
            </w:r>
          </w:p>
        </w:tc>
        <w:tc>
          <w:tcPr>
            <w:tcW w:w="813" w:type="pct"/>
          </w:tcPr>
          <w:p w:rsidR="00DC78AB" w:rsidRPr="00990D3B" w:rsidP="00733195" w14:paraId="1A439E4E" w14:textId="39381D5D">
            <w:pPr>
              <w:pStyle w:val="TableTextLeft"/>
              <w:jc w:val="center"/>
              <w:rPr>
                <w:rFonts w:cs="Arial"/>
                <w:szCs w:val="18"/>
              </w:rPr>
            </w:pPr>
            <w:r w:rsidRPr="00990D3B">
              <w:t>State Discretion</w:t>
            </w:r>
          </w:p>
        </w:tc>
        <w:tc>
          <w:tcPr>
            <w:tcW w:w="813" w:type="pct"/>
          </w:tcPr>
          <w:p w:rsidR="00DC78AB" w:rsidRPr="00990D3B" w:rsidP="00733195" w14:paraId="2F1CD19B" w14:textId="7DFA8B7D">
            <w:pPr>
              <w:pStyle w:val="TableTextLeft"/>
              <w:jc w:val="center"/>
              <w:rPr>
                <w:rFonts w:cs="Arial"/>
                <w:szCs w:val="18"/>
              </w:rPr>
            </w:pPr>
            <w:r w:rsidRPr="00990D3B">
              <w:t>State Discretion</w:t>
            </w:r>
          </w:p>
        </w:tc>
        <w:tc>
          <w:tcPr>
            <w:tcW w:w="813" w:type="pct"/>
          </w:tcPr>
          <w:p w:rsidR="00DC78AB" w:rsidRPr="00990D3B" w:rsidP="00733195" w14:paraId="7FA1F4C8" w14:textId="40060A56">
            <w:pPr>
              <w:pStyle w:val="TableTextLeft"/>
              <w:jc w:val="center"/>
              <w:rPr>
                <w:rFonts w:cs="Arial"/>
                <w:szCs w:val="18"/>
              </w:rPr>
            </w:pPr>
            <w:r w:rsidRPr="00990D3B">
              <w:t>State Discretion</w:t>
            </w:r>
          </w:p>
        </w:tc>
      </w:tr>
      <w:tr w14:paraId="31F4B005" w14:textId="77777777" w:rsidTr="00BD1FC3">
        <w:tblPrEx>
          <w:tblW w:w="5000" w:type="pct"/>
          <w:tblLook w:val="0420"/>
        </w:tblPrEx>
        <w:tc>
          <w:tcPr>
            <w:tcW w:w="1749" w:type="pct"/>
          </w:tcPr>
          <w:p w:rsidR="00DC78AB" w:rsidRPr="00990D3B" w:rsidP="00973DF0" w14:paraId="2CD841D4" w14:textId="30DAB105">
            <w:pPr>
              <w:pStyle w:val="TableTextLeft"/>
              <w:rPr>
                <w:rFonts w:cs="Arial"/>
                <w:szCs w:val="18"/>
              </w:rPr>
            </w:pPr>
            <w:r w:rsidRPr="00990D3B">
              <w:t xml:space="preserve">Administration or Validation of </w:t>
            </w:r>
            <w:r w:rsidRPr="00990D3B">
              <w:t>Quality of Care</w:t>
            </w:r>
            <w:r w:rsidRPr="00990D3B">
              <w:t xml:space="preserve"> Surveys</w:t>
            </w:r>
          </w:p>
        </w:tc>
        <w:tc>
          <w:tcPr>
            <w:tcW w:w="813" w:type="pct"/>
          </w:tcPr>
          <w:p w:rsidR="00DC78AB" w:rsidRPr="00990D3B" w:rsidP="00733195" w14:paraId="7F621FC1" w14:textId="7E68F642">
            <w:pPr>
              <w:pStyle w:val="TableTextLeft"/>
              <w:jc w:val="center"/>
              <w:rPr>
                <w:rFonts w:cs="Arial"/>
                <w:szCs w:val="18"/>
              </w:rPr>
            </w:pPr>
            <w:r w:rsidRPr="00990D3B">
              <w:t>State Discretion</w:t>
            </w:r>
          </w:p>
        </w:tc>
        <w:tc>
          <w:tcPr>
            <w:tcW w:w="813" w:type="pct"/>
          </w:tcPr>
          <w:p w:rsidR="00DC78AB" w:rsidRPr="00990D3B" w:rsidP="00733195" w14:paraId="726939BA" w14:textId="1EBFA1D8">
            <w:pPr>
              <w:pStyle w:val="TableTextLeft"/>
              <w:jc w:val="center"/>
              <w:rPr>
                <w:rFonts w:cs="Arial"/>
                <w:szCs w:val="18"/>
              </w:rPr>
            </w:pPr>
            <w:r w:rsidRPr="00990D3B">
              <w:t>State Discretion</w:t>
            </w:r>
          </w:p>
        </w:tc>
        <w:tc>
          <w:tcPr>
            <w:tcW w:w="813" w:type="pct"/>
          </w:tcPr>
          <w:p w:rsidR="00DC78AB" w:rsidRPr="00990D3B" w:rsidP="00733195" w14:paraId="49D89645" w14:textId="6B3A2B1F">
            <w:pPr>
              <w:pStyle w:val="TableTextLeft"/>
              <w:jc w:val="center"/>
              <w:rPr>
                <w:rFonts w:cs="Arial"/>
                <w:szCs w:val="18"/>
              </w:rPr>
            </w:pPr>
            <w:r w:rsidRPr="00990D3B">
              <w:t>State Discretion</w:t>
            </w:r>
          </w:p>
        </w:tc>
        <w:tc>
          <w:tcPr>
            <w:tcW w:w="813" w:type="pct"/>
          </w:tcPr>
          <w:p w:rsidR="00DC78AB" w:rsidRPr="00990D3B" w:rsidP="00733195" w14:paraId="1509BF18" w14:textId="4695B939">
            <w:pPr>
              <w:pStyle w:val="TableTextLeft"/>
              <w:jc w:val="center"/>
              <w:rPr>
                <w:rFonts w:cs="Arial"/>
                <w:szCs w:val="18"/>
              </w:rPr>
            </w:pPr>
            <w:r w:rsidRPr="00990D3B">
              <w:t>State Discretion</w:t>
            </w:r>
          </w:p>
        </w:tc>
      </w:tr>
      <w:tr w14:paraId="01EF05D5" w14:textId="77777777" w:rsidTr="00BD1FC3">
        <w:tblPrEx>
          <w:tblW w:w="5000" w:type="pct"/>
          <w:tblLook w:val="0420"/>
        </w:tblPrEx>
        <w:tc>
          <w:tcPr>
            <w:tcW w:w="1749" w:type="pct"/>
          </w:tcPr>
          <w:p w:rsidR="00DC78AB" w:rsidRPr="00990D3B" w:rsidP="00973DF0" w14:paraId="1311816B" w14:textId="78549514">
            <w:pPr>
              <w:pStyle w:val="TableTextLeft"/>
              <w:rPr>
                <w:rFonts w:cs="Arial"/>
                <w:szCs w:val="18"/>
              </w:rPr>
            </w:pPr>
            <w:r w:rsidRPr="00990D3B">
              <w:t>Calculation of Additional</w:t>
            </w:r>
            <w:r w:rsidRPr="00990D3B">
              <w:t xml:space="preserve"> Performance Measures</w:t>
            </w:r>
          </w:p>
        </w:tc>
        <w:tc>
          <w:tcPr>
            <w:tcW w:w="813" w:type="pct"/>
          </w:tcPr>
          <w:p w:rsidR="00DC78AB" w:rsidRPr="00990D3B" w:rsidP="00733195" w14:paraId="219E91EE" w14:textId="18899C90">
            <w:pPr>
              <w:pStyle w:val="TableTextLeft"/>
              <w:jc w:val="center"/>
              <w:rPr>
                <w:rFonts w:cs="Arial"/>
                <w:szCs w:val="18"/>
              </w:rPr>
            </w:pPr>
            <w:r w:rsidRPr="00990D3B">
              <w:t>State Discretion</w:t>
            </w:r>
          </w:p>
        </w:tc>
        <w:tc>
          <w:tcPr>
            <w:tcW w:w="813" w:type="pct"/>
          </w:tcPr>
          <w:p w:rsidR="00DC78AB" w:rsidRPr="00990D3B" w:rsidP="00733195" w14:paraId="5B5129CE" w14:textId="4FEA00D4">
            <w:pPr>
              <w:pStyle w:val="TableTextLeft"/>
              <w:jc w:val="center"/>
              <w:rPr>
                <w:rFonts w:cs="Arial"/>
                <w:szCs w:val="18"/>
              </w:rPr>
            </w:pPr>
            <w:r w:rsidRPr="00990D3B">
              <w:t>State Discretion</w:t>
            </w:r>
          </w:p>
        </w:tc>
        <w:tc>
          <w:tcPr>
            <w:tcW w:w="813" w:type="pct"/>
          </w:tcPr>
          <w:p w:rsidR="00DC78AB" w:rsidRPr="00990D3B" w:rsidP="00733195" w14:paraId="53BDB594" w14:textId="18E79C60">
            <w:pPr>
              <w:pStyle w:val="TableTextLeft"/>
              <w:jc w:val="center"/>
              <w:rPr>
                <w:rFonts w:cs="Arial"/>
                <w:szCs w:val="18"/>
              </w:rPr>
            </w:pPr>
            <w:r w:rsidRPr="00990D3B">
              <w:t>State Discretion</w:t>
            </w:r>
          </w:p>
        </w:tc>
        <w:tc>
          <w:tcPr>
            <w:tcW w:w="813" w:type="pct"/>
          </w:tcPr>
          <w:p w:rsidR="00DC78AB" w:rsidRPr="00990D3B" w:rsidP="00733195" w14:paraId="2FEBBE44" w14:textId="68940FDE">
            <w:pPr>
              <w:pStyle w:val="TableTextLeft"/>
              <w:jc w:val="center"/>
              <w:rPr>
                <w:rFonts w:cs="Arial"/>
                <w:szCs w:val="18"/>
              </w:rPr>
            </w:pPr>
            <w:r w:rsidRPr="00990D3B">
              <w:t>State Discretion</w:t>
            </w:r>
          </w:p>
        </w:tc>
      </w:tr>
      <w:tr w14:paraId="29C34DDB" w14:textId="77777777" w:rsidTr="00BD1FC3">
        <w:tblPrEx>
          <w:tblW w:w="5000" w:type="pct"/>
          <w:tblLook w:val="0420"/>
        </w:tblPrEx>
        <w:tc>
          <w:tcPr>
            <w:tcW w:w="1749" w:type="pct"/>
          </w:tcPr>
          <w:p w:rsidR="00DC78AB" w:rsidRPr="00990D3B" w:rsidP="00973DF0" w14:paraId="49BF68A9" w14:textId="689E8226">
            <w:pPr>
              <w:pStyle w:val="TableTextLeft"/>
              <w:rPr>
                <w:rFonts w:cs="Arial"/>
                <w:szCs w:val="18"/>
              </w:rPr>
            </w:pPr>
            <w:r w:rsidRPr="00990D3B">
              <w:t xml:space="preserve">Implementation of Additional </w:t>
            </w:r>
            <w:r w:rsidRPr="00990D3B" w:rsidR="002F1480">
              <w:t>PIPs</w:t>
            </w:r>
          </w:p>
        </w:tc>
        <w:tc>
          <w:tcPr>
            <w:tcW w:w="813" w:type="pct"/>
          </w:tcPr>
          <w:p w:rsidR="00DC78AB" w:rsidRPr="00990D3B" w:rsidP="00733195" w14:paraId="4F1F02A6" w14:textId="70E92B98">
            <w:pPr>
              <w:pStyle w:val="TableTextLeft"/>
              <w:jc w:val="center"/>
              <w:rPr>
                <w:rFonts w:cs="Arial"/>
                <w:szCs w:val="18"/>
              </w:rPr>
            </w:pPr>
            <w:r w:rsidRPr="00990D3B">
              <w:t>State Discretion</w:t>
            </w:r>
          </w:p>
        </w:tc>
        <w:tc>
          <w:tcPr>
            <w:tcW w:w="813" w:type="pct"/>
          </w:tcPr>
          <w:p w:rsidR="00DC78AB" w:rsidRPr="00990D3B" w:rsidP="00733195" w14:paraId="73B57052" w14:textId="2738D1D4">
            <w:pPr>
              <w:pStyle w:val="TableTextLeft"/>
              <w:jc w:val="center"/>
              <w:rPr>
                <w:rFonts w:cs="Arial"/>
                <w:szCs w:val="18"/>
              </w:rPr>
            </w:pPr>
            <w:r w:rsidRPr="00990D3B">
              <w:t>State Discretion</w:t>
            </w:r>
          </w:p>
        </w:tc>
        <w:tc>
          <w:tcPr>
            <w:tcW w:w="813" w:type="pct"/>
          </w:tcPr>
          <w:p w:rsidR="00DC78AB" w:rsidRPr="00990D3B" w:rsidP="00733195" w14:paraId="12A2E7B6" w14:textId="44112124">
            <w:pPr>
              <w:pStyle w:val="TableTextLeft"/>
              <w:jc w:val="center"/>
              <w:rPr>
                <w:rFonts w:cs="Arial"/>
                <w:szCs w:val="18"/>
              </w:rPr>
            </w:pPr>
            <w:r w:rsidRPr="00990D3B">
              <w:t>State Discretion</w:t>
            </w:r>
          </w:p>
        </w:tc>
        <w:tc>
          <w:tcPr>
            <w:tcW w:w="813" w:type="pct"/>
          </w:tcPr>
          <w:p w:rsidR="00DC78AB" w:rsidRPr="00990D3B" w:rsidP="00733195" w14:paraId="0E9FF694" w14:textId="59E32E6A">
            <w:pPr>
              <w:pStyle w:val="TableTextLeft"/>
              <w:jc w:val="center"/>
              <w:rPr>
                <w:rFonts w:cs="Arial"/>
                <w:szCs w:val="18"/>
              </w:rPr>
            </w:pPr>
            <w:r w:rsidRPr="00990D3B">
              <w:t>State Discretion</w:t>
            </w:r>
          </w:p>
        </w:tc>
      </w:tr>
      <w:tr w14:paraId="674AF36B" w14:textId="77777777" w:rsidTr="00BD1FC3">
        <w:tblPrEx>
          <w:tblW w:w="5000" w:type="pct"/>
          <w:tblLook w:val="0420"/>
        </w:tblPrEx>
        <w:tc>
          <w:tcPr>
            <w:tcW w:w="1749" w:type="pct"/>
          </w:tcPr>
          <w:p w:rsidR="00DC78AB" w:rsidRPr="00990D3B" w:rsidP="00973DF0" w14:paraId="448E85FA" w14:textId="750A0F11">
            <w:pPr>
              <w:pStyle w:val="TableTextLeft"/>
              <w:rPr>
                <w:rFonts w:cs="Arial"/>
                <w:szCs w:val="18"/>
              </w:rPr>
            </w:pPr>
            <w:r w:rsidRPr="00990D3B">
              <w:t xml:space="preserve">Conducting Focus Studies of Health Care Quality </w:t>
            </w:r>
          </w:p>
        </w:tc>
        <w:tc>
          <w:tcPr>
            <w:tcW w:w="813" w:type="pct"/>
          </w:tcPr>
          <w:p w:rsidR="00DC78AB" w:rsidRPr="00990D3B" w:rsidP="00733195" w14:paraId="2AB6A33C" w14:textId="5A11CC1C">
            <w:pPr>
              <w:pStyle w:val="TableTextLeft"/>
              <w:jc w:val="center"/>
              <w:rPr>
                <w:rFonts w:cs="Arial"/>
                <w:szCs w:val="18"/>
              </w:rPr>
            </w:pPr>
            <w:r w:rsidRPr="00990D3B">
              <w:t>State Discretion</w:t>
            </w:r>
          </w:p>
        </w:tc>
        <w:tc>
          <w:tcPr>
            <w:tcW w:w="813" w:type="pct"/>
          </w:tcPr>
          <w:p w:rsidR="00DC78AB" w:rsidRPr="00990D3B" w:rsidP="00733195" w14:paraId="3BA0FF5A" w14:textId="0A92AAA0">
            <w:pPr>
              <w:pStyle w:val="TableTextLeft"/>
              <w:jc w:val="center"/>
              <w:rPr>
                <w:rFonts w:cs="Arial"/>
                <w:szCs w:val="18"/>
              </w:rPr>
            </w:pPr>
            <w:r w:rsidRPr="00990D3B">
              <w:t>State Discretion</w:t>
            </w:r>
          </w:p>
        </w:tc>
        <w:tc>
          <w:tcPr>
            <w:tcW w:w="813" w:type="pct"/>
          </w:tcPr>
          <w:p w:rsidR="00DC78AB" w:rsidRPr="00990D3B" w:rsidP="00733195" w14:paraId="2A70EF45" w14:textId="51B1D0EE">
            <w:pPr>
              <w:pStyle w:val="TableTextLeft"/>
              <w:jc w:val="center"/>
              <w:rPr>
                <w:rFonts w:cs="Arial"/>
                <w:szCs w:val="18"/>
              </w:rPr>
            </w:pPr>
            <w:r w:rsidRPr="00990D3B">
              <w:t>State Discretion</w:t>
            </w:r>
          </w:p>
        </w:tc>
        <w:tc>
          <w:tcPr>
            <w:tcW w:w="813" w:type="pct"/>
          </w:tcPr>
          <w:p w:rsidR="00DC78AB" w:rsidRPr="00990D3B" w:rsidP="00733195" w14:paraId="49980029" w14:textId="4B8AD37D">
            <w:pPr>
              <w:pStyle w:val="TableTextLeft"/>
              <w:jc w:val="center"/>
              <w:rPr>
                <w:rFonts w:cs="Arial"/>
                <w:szCs w:val="18"/>
              </w:rPr>
            </w:pPr>
            <w:r w:rsidRPr="00990D3B">
              <w:t>State Discretion</w:t>
            </w:r>
          </w:p>
        </w:tc>
      </w:tr>
      <w:tr w14:paraId="2DD3BB2D" w14:textId="77777777" w:rsidTr="00BD1FC3">
        <w:tblPrEx>
          <w:tblW w:w="5000" w:type="pct"/>
          <w:tblLook w:val="0420"/>
        </w:tblPrEx>
        <w:tc>
          <w:tcPr>
            <w:tcW w:w="1749" w:type="pct"/>
          </w:tcPr>
          <w:p w:rsidR="00DC78AB" w:rsidRPr="00990D3B" w:rsidP="00973DF0" w14:paraId="4169377F" w14:textId="1FBCB67D">
            <w:pPr>
              <w:pStyle w:val="TableTextLeft"/>
              <w:rPr>
                <w:rFonts w:cs="Arial"/>
                <w:szCs w:val="18"/>
                <w:vertAlign w:val="superscript"/>
              </w:rPr>
            </w:pPr>
            <w:r w:rsidRPr="00990D3B">
              <w:t>Assist with Quality Rating</w:t>
            </w:r>
            <w:r w:rsidRPr="00990D3B" w:rsidR="002F1480">
              <w:t xml:space="preserve">s for </w:t>
            </w:r>
            <w:r w:rsidRPr="00990D3B" w:rsidR="00522D42">
              <w:t>Medicaid</w:t>
            </w:r>
            <w:r w:rsidRPr="00990D3B" w:rsidR="002F1480">
              <w:t xml:space="preserve"> and CHIP QRS</w:t>
            </w:r>
          </w:p>
        </w:tc>
        <w:tc>
          <w:tcPr>
            <w:tcW w:w="813" w:type="pct"/>
          </w:tcPr>
          <w:p w:rsidR="00DC78AB" w:rsidRPr="00990D3B" w:rsidP="00733195" w14:paraId="7C82E4FD" w14:textId="45B7F13F">
            <w:pPr>
              <w:pStyle w:val="TableTextLeft"/>
              <w:jc w:val="center"/>
              <w:rPr>
                <w:rFonts w:cs="Arial"/>
                <w:szCs w:val="18"/>
              </w:rPr>
            </w:pPr>
            <w:r w:rsidRPr="00990D3B">
              <w:t>State Discretion</w:t>
            </w:r>
          </w:p>
        </w:tc>
        <w:tc>
          <w:tcPr>
            <w:tcW w:w="813" w:type="pct"/>
          </w:tcPr>
          <w:p w:rsidR="00DC78AB" w:rsidRPr="00990D3B" w:rsidP="00733195" w14:paraId="4497C6A8" w14:textId="1B742249">
            <w:pPr>
              <w:pStyle w:val="TableTextLeft"/>
              <w:jc w:val="center"/>
              <w:rPr>
                <w:rFonts w:cs="Arial"/>
                <w:szCs w:val="18"/>
              </w:rPr>
            </w:pPr>
            <w:r w:rsidRPr="00990D3B">
              <w:t>State Discretion</w:t>
            </w:r>
          </w:p>
        </w:tc>
        <w:tc>
          <w:tcPr>
            <w:tcW w:w="813" w:type="pct"/>
          </w:tcPr>
          <w:p w:rsidR="00DC78AB" w:rsidRPr="00990D3B" w:rsidP="00733195" w14:paraId="0DACE18B" w14:textId="2262E1D9">
            <w:pPr>
              <w:pStyle w:val="TableTextLeft"/>
              <w:jc w:val="center"/>
              <w:rPr>
                <w:rFonts w:cs="Arial"/>
                <w:szCs w:val="18"/>
              </w:rPr>
            </w:pPr>
            <w:r w:rsidRPr="00990D3B">
              <w:t>State Discretion</w:t>
            </w:r>
          </w:p>
        </w:tc>
        <w:tc>
          <w:tcPr>
            <w:tcW w:w="813" w:type="pct"/>
          </w:tcPr>
          <w:p w:rsidR="00DC78AB" w:rsidRPr="00990D3B" w:rsidP="00733195" w14:paraId="3C55420D" w14:textId="790D054D">
            <w:pPr>
              <w:pStyle w:val="TableTextLeft"/>
              <w:jc w:val="center"/>
              <w:rPr>
                <w:rFonts w:cs="Arial"/>
                <w:szCs w:val="18"/>
              </w:rPr>
            </w:pPr>
            <w:r w:rsidRPr="00990D3B">
              <w:rPr>
                <w:iCs/>
              </w:rPr>
              <w:t>N/A</w:t>
            </w:r>
          </w:p>
        </w:tc>
      </w:tr>
      <w:tr w14:paraId="3B5BD6C8" w14:textId="77777777" w:rsidTr="00BD1FC3">
        <w:tblPrEx>
          <w:tblW w:w="5000" w:type="pct"/>
          <w:tblLook w:val="0420"/>
        </w:tblPrEx>
        <w:tc>
          <w:tcPr>
            <w:tcW w:w="1749" w:type="pct"/>
          </w:tcPr>
          <w:p w:rsidR="002A5991" w:rsidRPr="00990D3B" w:rsidP="00973DF0" w14:paraId="42B5DB3A" w14:textId="62556ED6">
            <w:pPr>
              <w:pStyle w:val="TableTextLeft"/>
            </w:pPr>
            <w:r w:rsidRPr="00990D3B">
              <w:t xml:space="preserve">Assist with </w:t>
            </w:r>
            <w:r w:rsidRPr="00990D3B" w:rsidR="003D1595">
              <w:t>E</w:t>
            </w:r>
            <w:r w:rsidRPr="00990D3B">
              <w:t xml:space="preserve">valuations of </w:t>
            </w:r>
            <w:r w:rsidRPr="00990D3B" w:rsidR="003D1595">
              <w:t>M</w:t>
            </w:r>
            <w:r w:rsidRPr="00990D3B">
              <w:t xml:space="preserve">anaged </w:t>
            </w:r>
            <w:r w:rsidRPr="00990D3B" w:rsidR="003D1595">
              <w:t>C</w:t>
            </w:r>
            <w:r w:rsidRPr="00990D3B">
              <w:t xml:space="preserve">are QSs, SDPs, and in </w:t>
            </w:r>
            <w:r w:rsidRPr="00990D3B" w:rsidR="003D1595">
              <w:t>L</w:t>
            </w:r>
            <w:r w:rsidRPr="00990D3B">
              <w:t xml:space="preserve">ieu of </w:t>
            </w:r>
            <w:r w:rsidRPr="00990D3B" w:rsidR="003D1595">
              <w:t>S</w:t>
            </w:r>
            <w:r w:rsidRPr="00990D3B">
              <w:t xml:space="preserve">ervices and </w:t>
            </w:r>
            <w:r w:rsidRPr="00990D3B" w:rsidR="003D1595">
              <w:t>S</w:t>
            </w:r>
            <w:r w:rsidRPr="00990D3B">
              <w:t xml:space="preserve">ettings </w:t>
            </w:r>
          </w:p>
        </w:tc>
        <w:tc>
          <w:tcPr>
            <w:tcW w:w="813" w:type="pct"/>
          </w:tcPr>
          <w:p w:rsidR="002A5991" w:rsidRPr="00990D3B" w:rsidP="00733195" w14:paraId="55A80B72" w14:textId="630CB2DC">
            <w:pPr>
              <w:pStyle w:val="TableTextLeft"/>
              <w:jc w:val="center"/>
            </w:pPr>
            <w:r w:rsidRPr="00990D3B">
              <w:t>State Discretion</w:t>
            </w:r>
          </w:p>
        </w:tc>
        <w:tc>
          <w:tcPr>
            <w:tcW w:w="813" w:type="pct"/>
          </w:tcPr>
          <w:p w:rsidR="002A5991" w:rsidRPr="00990D3B" w:rsidP="00733195" w14:paraId="2ACC0A47" w14:textId="06BF422A">
            <w:pPr>
              <w:pStyle w:val="TableTextLeft"/>
              <w:jc w:val="center"/>
            </w:pPr>
            <w:r w:rsidRPr="00990D3B">
              <w:t>State Discretion</w:t>
            </w:r>
          </w:p>
        </w:tc>
        <w:tc>
          <w:tcPr>
            <w:tcW w:w="813" w:type="pct"/>
          </w:tcPr>
          <w:p w:rsidR="002A5991" w:rsidRPr="00990D3B" w:rsidP="00733195" w14:paraId="70B314EA" w14:textId="1CD0B618">
            <w:pPr>
              <w:pStyle w:val="TableTextLeft"/>
              <w:jc w:val="center"/>
            </w:pPr>
            <w:r w:rsidRPr="00990D3B">
              <w:t>State Discretion</w:t>
            </w:r>
          </w:p>
        </w:tc>
        <w:tc>
          <w:tcPr>
            <w:tcW w:w="813" w:type="pct"/>
          </w:tcPr>
          <w:p w:rsidR="002A5991" w:rsidRPr="00990D3B" w:rsidP="00733195" w14:paraId="21364E05" w14:textId="18A138C0">
            <w:pPr>
              <w:pStyle w:val="TableTextLeft"/>
              <w:jc w:val="center"/>
              <w:rPr>
                <w:iCs/>
              </w:rPr>
            </w:pPr>
            <w:r w:rsidRPr="00990D3B">
              <w:rPr>
                <w:iCs/>
              </w:rPr>
              <w:t>State Discretion</w:t>
            </w:r>
          </w:p>
        </w:tc>
      </w:tr>
    </w:tbl>
    <w:p w:rsidR="00666BFA" w:rsidRPr="00990D3B" w:rsidP="00F7417A" w14:paraId="38DB3BF5" w14:textId="74186683">
      <w:pPr>
        <w:pStyle w:val="TableFootnoteCaption"/>
      </w:pPr>
      <w:r w:rsidRPr="00990D3B">
        <w:rPr>
          <w:vertAlign w:val="superscript"/>
        </w:rPr>
        <w:t>a</w:t>
      </w:r>
      <w:r w:rsidRPr="00990D3B" w:rsidR="00DB4C48">
        <w:rPr>
          <w:vertAlign w:val="superscript"/>
        </w:rPr>
        <w:t xml:space="preserve"> </w:t>
      </w:r>
      <w:r w:rsidRPr="00990D3B" w:rsidR="00970BA3">
        <w:t>States</w:t>
      </w:r>
      <w:r w:rsidRPr="00990D3B" w:rsidR="00970BA3">
        <w:t xml:space="preserve"> that elect to validate PCCM</w:t>
      </w:r>
      <w:r w:rsidRPr="00990D3B" w:rsidR="00926EE7">
        <w:t xml:space="preserve"> entity</w:t>
      </w:r>
      <w:r w:rsidRPr="00990D3B" w:rsidR="00970BA3">
        <w:t xml:space="preserve"> PIPs and network adequacy may not use Federal financial participation for these activities. See </w:t>
      </w:r>
      <w:r w:rsidRPr="00990D3B" w:rsidR="00242160">
        <w:t xml:space="preserve">the </w:t>
      </w:r>
      <w:r w:rsidRPr="00990D3B" w:rsidR="00970BA3">
        <w:t xml:space="preserve">next section for more details.  </w:t>
      </w:r>
    </w:p>
    <w:p w:rsidR="00742DB4" w:rsidRPr="00990D3B" w:rsidP="00BD1FC3" w14:paraId="43E12064" w14:textId="3BE9D121">
      <w:pPr>
        <w:pStyle w:val="H2"/>
      </w:pPr>
      <w:bookmarkStart w:id="25" w:name="_Toc183005552"/>
      <w:bookmarkStart w:id="26" w:name="_Toc201751323"/>
      <w:r w:rsidRPr="00990D3B">
        <w:t xml:space="preserve">Federal </w:t>
      </w:r>
      <w:r w:rsidRPr="00990D3B" w:rsidR="00D13948">
        <w:t>F</w:t>
      </w:r>
      <w:r w:rsidRPr="00990D3B">
        <w:t xml:space="preserve">inancial </w:t>
      </w:r>
      <w:r w:rsidRPr="00990D3B" w:rsidR="00D13948">
        <w:t>P</w:t>
      </w:r>
      <w:r w:rsidRPr="00990D3B">
        <w:t>articipation for EQR</w:t>
      </w:r>
      <w:bookmarkEnd w:id="25"/>
      <w:bookmarkEnd w:id="26"/>
      <w:r w:rsidRPr="00990D3B">
        <w:t xml:space="preserve"> </w:t>
      </w:r>
    </w:p>
    <w:p w:rsidR="00742DB4" w:rsidRPr="00990D3B" w:rsidP="00D7596D" w14:paraId="466A9C74" w14:textId="41096E6F">
      <w:pPr>
        <w:pStyle w:val="ParagraphContinued"/>
      </w:pPr>
      <w:r w:rsidRPr="00990D3B">
        <w:t xml:space="preserve">For Medicaid programs, </w:t>
      </w:r>
      <w:r w:rsidRPr="00990D3B" w:rsidR="0011594E">
        <w:t>EQR</w:t>
      </w:r>
      <w:r w:rsidRPr="00990D3B" w:rsidR="00614446">
        <w:t xml:space="preserve"> (including the production of the EQR technical report)</w:t>
      </w:r>
      <w:r w:rsidRPr="00990D3B" w:rsidR="0011594E">
        <w:t xml:space="preserve"> </w:t>
      </w:r>
      <w:r w:rsidRPr="00990D3B" w:rsidR="00A938E2">
        <w:t xml:space="preserve">and EQR-related </w:t>
      </w:r>
      <w:r w:rsidRPr="00990D3B" w:rsidR="0011594E">
        <w:t xml:space="preserve">activities </w:t>
      </w:r>
      <w:r w:rsidRPr="00990D3B">
        <w:t xml:space="preserve">performed </w:t>
      </w:r>
      <w:r w:rsidRPr="00990D3B" w:rsidR="009142EE">
        <w:t xml:space="preserve">on </w:t>
      </w:r>
      <w:r w:rsidRPr="00990D3B" w:rsidR="0011594E">
        <w:t xml:space="preserve">MCOs, as well as the production of the EQR technical report are eligible for </w:t>
      </w:r>
      <w:r w:rsidRPr="00990D3B">
        <w:t>Federal financial participation</w:t>
      </w:r>
      <w:r w:rsidRPr="00990D3B" w:rsidR="007C432F">
        <w:t xml:space="preserve"> (FFP)</w:t>
      </w:r>
      <w:r w:rsidRPr="00990D3B">
        <w:t xml:space="preserve"> at </w:t>
      </w:r>
      <w:r w:rsidRPr="00990D3B" w:rsidR="009142EE">
        <w:t xml:space="preserve">a </w:t>
      </w:r>
      <w:r w:rsidRPr="00990D3B" w:rsidR="0011594E">
        <w:rPr>
          <w:b/>
          <w:bCs/>
          <w:i/>
          <w:iCs/>
        </w:rPr>
        <w:t>75 percent match rate</w:t>
      </w:r>
      <w:r w:rsidRPr="00990D3B" w:rsidR="0011594E">
        <w:t xml:space="preserve"> </w:t>
      </w:r>
      <w:r w:rsidRPr="00990D3B" w:rsidR="00236D07">
        <w:t>(</w:t>
      </w:r>
      <w:r w:rsidRPr="00990D3B" w:rsidR="0011594E">
        <w:t>1)</w:t>
      </w:r>
      <w:r w:rsidRPr="00990D3B">
        <w:t xml:space="preserve"> when conducted</w:t>
      </w:r>
      <w:r w:rsidRPr="00990D3B" w:rsidR="0011594E">
        <w:t xml:space="preserve"> by a</w:t>
      </w:r>
      <w:r w:rsidRPr="00990D3B">
        <w:t xml:space="preserve"> qualified</w:t>
      </w:r>
      <w:r w:rsidRPr="00990D3B" w:rsidR="0011594E">
        <w:t xml:space="preserve"> EQRO</w:t>
      </w:r>
      <w:r w:rsidRPr="00990D3B" w:rsidR="00576AA7">
        <w:t>,</w:t>
      </w:r>
      <w:r w:rsidRPr="00990D3B" w:rsidR="0011594E">
        <w:t xml:space="preserve"> </w:t>
      </w:r>
      <w:r w:rsidRPr="00990D3B" w:rsidR="00236D07">
        <w:t>(</w:t>
      </w:r>
      <w:r w:rsidRPr="00990D3B" w:rsidR="0011594E">
        <w:t xml:space="preserve">2) </w:t>
      </w:r>
      <w:r w:rsidRPr="00990D3B">
        <w:t>when the EQR-related activities are completed using methodologies consistent</w:t>
      </w:r>
      <w:r w:rsidRPr="00990D3B" w:rsidR="0011594E">
        <w:t xml:space="preserve"> with </w:t>
      </w:r>
      <w:r w:rsidRPr="00990D3B" w:rsidR="00BC290B">
        <w:t xml:space="preserve">the </w:t>
      </w:r>
      <w:r w:rsidRPr="00990D3B" w:rsidR="0011594E">
        <w:t>protocol</w:t>
      </w:r>
      <w:r w:rsidRPr="00990D3B" w:rsidR="00BC290B">
        <w:t>s</w:t>
      </w:r>
      <w:r w:rsidRPr="00990D3B" w:rsidR="0011594E">
        <w:t xml:space="preserve"> contained within this document</w:t>
      </w:r>
      <w:r w:rsidRPr="00990D3B" w:rsidR="00576AA7">
        <w:t xml:space="preserve">, and (3) when the state receives </w:t>
      </w:r>
      <w:r w:rsidRPr="00990D3B" w:rsidR="00576AA7">
        <w:t xml:space="preserve">approval </w:t>
      </w:r>
      <w:r w:rsidRPr="00990D3B" w:rsidR="00C26F0E">
        <w:t>of its EQRO contract from CMS</w:t>
      </w:r>
      <w:r w:rsidRPr="00990D3B" w:rsidR="0011594E">
        <w:t>.</w:t>
      </w:r>
      <w:r w:rsidRPr="00990D3B" w:rsidR="003162DF">
        <w:rPr>
          <w:rFonts w:ascii="ZWAdobeF" w:hAnsi="ZWAdobeF" w:cs="ZWAdobeF"/>
          <w:sz w:val="2"/>
          <w:szCs w:val="2"/>
        </w:rPr>
        <w:t>11F</w:t>
      </w:r>
      <w:r>
        <w:rPr>
          <w:rStyle w:val="FootnoteReference"/>
          <w:rFonts w:cs="Arial"/>
          <w:szCs w:val="22"/>
        </w:rPr>
        <w:footnoteReference w:id="13"/>
      </w:r>
      <w:r w:rsidRPr="00990D3B" w:rsidR="000D4A72">
        <w:rPr>
          <w:vertAlign w:val="superscript"/>
        </w:rPr>
        <w:t>,</w:t>
      </w:r>
      <w:r w:rsidRPr="00990D3B" w:rsidR="003162DF">
        <w:rPr>
          <w:rFonts w:ascii="ZWAdobeF" w:hAnsi="ZWAdobeF" w:cs="ZWAdobeF"/>
          <w:sz w:val="2"/>
          <w:szCs w:val="2"/>
        </w:rPr>
        <w:t>12F</w:t>
      </w:r>
      <w:r>
        <w:rPr>
          <w:rStyle w:val="FootnoteReference"/>
        </w:rPr>
        <w:footnoteReference w:id="14"/>
      </w:r>
      <w:r w:rsidRPr="00990D3B" w:rsidR="002E5673">
        <w:t xml:space="preserve"> </w:t>
      </w:r>
      <w:r w:rsidRPr="00990D3B">
        <w:t>The EQRO’s analysis is eligible for the 75 percent match rate when the information from a Medicare or private accreditation review of an MCO is used for the mandatory EQR-related activities</w:t>
      </w:r>
      <w:r w:rsidRPr="00990D3B" w:rsidR="00FA77AC">
        <w:t>. However, t</w:t>
      </w:r>
      <w:r w:rsidRPr="00990D3B">
        <w:t>he accreditation activities that produce the information cannot receive the match.</w:t>
      </w:r>
    </w:p>
    <w:p w:rsidR="00F545D9" w:rsidRPr="00990D3B" w:rsidP="00BD1FC3" w14:paraId="5FA682B4" w14:textId="784DDF60">
      <w:pPr>
        <w:pStyle w:val="Paragraph0"/>
      </w:pPr>
      <w:r w:rsidRPr="00990D3B">
        <w:t xml:space="preserve">Medicaid programs are eligible for the </w:t>
      </w:r>
      <w:r w:rsidRPr="00990D3B">
        <w:rPr>
          <w:b/>
          <w:bCs/>
          <w:i/>
          <w:iCs/>
        </w:rPr>
        <w:t>50 percent match rate</w:t>
      </w:r>
      <w:r w:rsidRPr="00990D3B">
        <w:t xml:space="preserve"> if </w:t>
      </w:r>
      <w:r w:rsidRPr="00990D3B" w:rsidR="00FA77AC">
        <w:t xml:space="preserve">an agency other than a qualified EQRO conducted the </w:t>
      </w:r>
      <w:r w:rsidRPr="00990D3B" w:rsidR="002E5673">
        <w:t>EQR</w:t>
      </w:r>
      <w:r w:rsidRPr="00990D3B" w:rsidR="00A938E2">
        <w:t xml:space="preserve">-related </w:t>
      </w:r>
      <w:r w:rsidRPr="00990D3B" w:rsidR="002E5673">
        <w:t>activities</w:t>
      </w:r>
      <w:r w:rsidRPr="00990D3B" w:rsidR="00FA77AC">
        <w:t>.</w:t>
      </w:r>
      <w:r w:rsidRPr="00990D3B" w:rsidR="003162DF">
        <w:rPr>
          <w:rFonts w:ascii="ZWAdobeF" w:hAnsi="ZWAdobeF" w:cs="ZWAdobeF"/>
          <w:sz w:val="2"/>
          <w:szCs w:val="2"/>
        </w:rPr>
        <w:t>13F</w:t>
      </w:r>
      <w:r>
        <w:rPr>
          <w:rStyle w:val="FootnoteReference"/>
        </w:rPr>
        <w:footnoteReference w:id="15"/>
      </w:r>
      <w:r w:rsidRPr="00990D3B" w:rsidR="00B82400">
        <w:t xml:space="preserve"> </w:t>
      </w:r>
      <w:r w:rsidRPr="00990D3B" w:rsidR="00A938E2">
        <w:t>EQR</w:t>
      </w:r>
      <w:r w:rsidRPr="00990D3B" w:rsidR="00F6590B">
        <w:t xml:space="preserve"> (including the production of the EQR technical report)</w:t>
      </w:r>
      <w:r w:rsidRPr="00990D3B" w:rsidR="00A938E2">
        <w:t xml:space="preserve"> and EQR</w:t>
      </w:r>
      <w:r w:rsidRPr="00990D3B" w:rsidR="002E5673">
        <w:t xml:space="preserve">-related activities </w:t>
      </w:r>
      <w:r w:rsidRPr="00990D3B" w:rsidR="00B30D89">
        <w:t xml:space="preserve">conducted </w:t>
      </w:r>
      <w:r w:rsidRPr="00990D3B" w:rsidR="00F6590B">
        <w:t xml:space="preserve">on </w:t>
      </w:r>
      <w:r w:rsidRPr="00990D3B" w:rsidR="002E5673">
        <w:t>PIHPs,</w:t>
      </w:r>
      <w:r w:rsidRPr="00990D3B" w:rsidR="00A938E2">
        <w:t xml:space="preserve"> </w:t>
      </w:r>
      <w:r w:rsidRPr="00990D3B" w:rsidR="002E5673">
        <w:t>PAHPs and PCCM entities</w:t>
      </w:r>
      <w:r w:rsidRPr="00990D3B" w:rsidR="00B30D89">
        <w:t xml:space="preserve"> are eligible for the 50 percent match rate</w:t>
      </w:r>
      <w:r w:rsidRPr="00990D3B" w:rsidR="002E5673">
        <w:t>.</w:t>
      </w:r>
      <w:r w:rsidRPr="00990D3B" w:rsidR="003162DF">
        <w:rPr>
          <w:rFonts w:ascii="ZWAdobeF" w:hAnsi="ZWAdobeF" w:cs="ZWAdobeF"/>
          <w:sz w:val="2"/>
          <w:szCs w:val="2"/>
        </w:rPr>
        <w:t>4F</w:t>
      </w:r>
      <w:r>
        <w:rPr>
          <w:rStyle w:val="FootnoteReference"/>
          <w:rFonts w:cs="Arial"/>
          <w:szCs w:val="22"/>
        </w:rPr>
        <w:footnoteReference w:id="16"/>
      </w:r>
      <w:r w:rsidRPr="00990D3B" w:rsidR="00B82400">
        <w:rPr>
          <w:szCs w:val="24"/>
        </w:rPr>
        <w:t xml:space="preserve"> </w:t>
      </w:r>
      <w:r w:rsidRPr="00990D3B" w:rsidR="006330EE">
        <w:t xml:space="preserve">For CHIP, EQR and EQR-related activities are subject to the </w:t>
      </w:r>
      <w:r w:rsidRPr="00990D3B" w:rsidR="006330EE">
        <w:rPr>
          <w:b/>
          <w:bCs/>
          <w:i/>
          <w:iCs/>
        </w:rPr>
        <w:t>10 percent administrative cap</w:t>
      </w:r>
      <w:r w:rsidRPr="00990D3B" w:rsidR="006330EE">
        <w:t xml:space="preserve"> </w:t>
      </w:r>
      <w:r w:rsidRPr="00990D3B" w:rsidR="005670E6">
        <w:t>as required by section 2105(c)(2)(A) of the Act</w:t>
      </w:r>
      <w:r w:rsidRPr="00990D3B" w:rsidR="00901553">
        <w:t>;</w:t>
      </w:r>
      <w:r w:rsidRPr="00990D3B" w:rsidR="005670E6">
        <w:t xml:space="preserve"> </w:t>
      </w:r>
      <w:r w:rsidRPr="00990D3B" w:rsidR="007C432F">
        <w:t>a</w:t>
      </w:r>
      <w:r w:rsidRPr="00990D3B" w:rsidR="005670E6">
        <w:t xml:space="preserve"> state is eligible to receive the state’s enhanced CHIP FFP match rate for these activit</w:t>
      </w:r>
      <w:r w:rsidRPr="00990D3B" w:rsidR="00DB4039">
        <w:t>i</w:t>
      </w:r>
      <w:r w:rsidRPr="00990D3B" w:rsidR="005670E6">
        <w:t>es, regardless of which entit</w:t>
      </w:r>
      <w:r w:rsidRPr="00990D3B" w:rsidR="007C432F">
        <w:t>y</w:t>
      </w:r>
      <w:r w:rsidRPr="00990D3B" w:rsidR="005670E6">
        <w:t xml:space="preserve"> complete</w:t>
      </w:r>
      <w:r w:rsidRPr="00990D3B" w:rsidR="00D43D27">
        <w:t>s</w:t>
      </w:r>
      <w:r w:rsidRPr="00990D3B" w:rsidR="005670E6">
        <w:t xml:space="preserve"> the activity.</w:t>
      </w:r>
      <w:bookmarkStart w:id="27" w:name="_Toc493246348"/>
      <w:bookmarkStart w:id="28" w:name="_Toc496116353"/>
    </w:p>
    <w:p w:rsidR="0062747D" w:rsidRPr="00990D3B" w:rsidP="00BD1FC3" w14:paraId="4E7D278B" w14:textId="0851DD9C">
      <w:pPr>
        <w:pStyle w:val="H2"/>
      </w:pPr>
      <w:bookmarkStart w:id="29" w:name="_Toc14777672"/>
      <w:bookmarkStart w:id="30" w:name="_Toc183005553"/>
      <w:bookmarkStart w:id="31" w:name="_Toc201751324"/>
      <w:r w:rsidRPr="00990D3B">
        <w:t>Overview of the EQR Protocols</w:t>
      </w:r>
      <w:bookmarkEnd w:id="27"/>
      <w:bookmarkEnd w:id="28"/>
      <w:bookmarkEnd w:id="29"/>
      <w:bookmarkEnd w:id="30"/>
      <w:bookmarkEnd w:id="31"/>
    </w:p>
    <w:p w:rsidR="00D04C24" w:rsidRPr="00990D3B" w:rsidP="00D7596D" w14:paraId="2EAF3D58" w14:textId="39739011">
      <w:pPr>
        <w:pStyle w:val="ParagraphContinued"/>
      </w:pPr>
      <w:r w:rsidRPr="00990D3B">
        <w:t xml:space="preserve">The EQR Protocols provide standardized, evidence-based methods for conducting each EQR activity and provide guidance on reporting findings. </w:t>
      </w:r>
      <w:hyperlink w:anchor="Box3" w:tooltip="Box 3" w:history="1">
        <w:r w:rsidRPr="00990D3B" w:rsidR="00934E15">
          <w:rPr>
            <w:rStyle w:val="Hyperlink"/>
          </w:rPr>
          <w:t>Box 3</w:t>
        </w:r>
      </w:hyperlink>
      <w:r w:rsidRPr="00990D3B" w:rsidR="00934E15">
        <w:t xml:space="preserve"> shows the general content of each EQR protocol.</w:t>
      </w:r>
    </w:p>
    <w:p w:rsidR="00D04C24" w:rsidRPr="00990D3B" w:rsidP="00687A20" w14:paraId="6A9D42C8" w14:textId="3BF05738">
      <w:pPr>
        <w:pStyle w:val="NoSpacing"/>
      </w:pPr>
      <w:r w:rsidRPr="00990D3B">
        <w:rPr>
          <w:noProof/>
        </w:rPr>
        <mc:AlternateContent>
          <mc:Choice Requires="wps">
            <w:drawing>
              <wp:inline distT="0" distB="0" distL="0" distR="0">
                <wp:extent cx="5897880" cy="1405713"/>
                <wp:effectExtent l="19050" t="19050" r="26670" b="23495"/>
                <wp:docPr id="1433511854" name="Text Box 227" descr="This box describes Content of the EQR Protocols&#10;• Purpose of the EQR-related activity.&#10;• How to conduct the activity, including: &#10;Data sources and data collection activities to promote data accuracy, validity, and reliability.&#10;Proposed method(s) for analyzing and interpreting the data.&#10;Instructions, guidelines, worksheets, and/or tools that may be used in implementing the protocol.&#10;">
                  <a:extLst xmlns:a="http://schemas.openxmlformats.org/drawingml/2006/main">
                    <a:ext xmlns:a="http://schemas.openxmlformats.org/drawingml/2006/main"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897880" cy="1405713"/>
                        </a:xfrm>
                        <a:prstGeom prst="rect">
                          <a:avLst/>
                        </a:prstGeom>
                        <a:solidFill>
                          <a:srgbClr val="EEF5F8"/>
                        </a:solidFill>
                        <a:ln w="28575" cap="rnd">
                          <a:solidFill>
                            <a:srgbClr val="A5DAD9"/>
                          </a:solidFill>
                          <a:prstDash val="solid"/>
                          <a:miter lim="800000"/>
                          <a:headEnd/>
                          <a:tailEnd/>
                        </a:ln>
                      </wps:spPr>
                      <wps:txbx>
                        <w:txbxContent>
                          <w:p w:rsidR="006D4709" w:rsidRPr="004C5B2B" w:rsidP="006D4709" w14:textId="77777777">
                            <w:pPr>
                              <w:pStyle w:val="EQRTextboxheading"/>
                            </w:pPr>
                            <w:bookmarkStart w:id="32" w:name="Box3"/>
                            <w:bookmarkEnd w:id="32"/>
                            <w:r w:rsidRPr="005B5BC8">
                              <w:t xml:space="preserve">Box </w:t>
                            </w:r>
                            <w:r>
                              <w:t>3</w:t>
                            </w:r>
                            <w:r w:rsidRPr="005B5BC8">
                              <w:t>. Content of the EQR Protocols</w:t>
                            </w:r>
                          </w:p>
                          <w:p w:rsidR="006D4709" w:rsidRPr="005B5BC8" w:rsidP="006D4709" w14:textId="6FCE464B">
                            <w:pPr>
                              <w:pStyle w:val="EQRTextboxbullet"/>
                            </w:pPr>
                            <w:r w:rsidRPr="005B5BC8">
                              <w:t>Purpose of the EQR-related activity</w:t>
                            </w:r>
                            <w:r w:rsidR="00F72753">
                              <w:t>.</w:t>
                            </w:r>
                          </w:p>
                          <w:p w:rsidR="006D4709" w:rsidRPr="005B5BC8" w:rsidP="006D4709" w14:textId="77777777">
                            <w:pPr>
                              <w:pStyle w:val="EQRTextboxbullet"/>
                            </w:pPr>
                            <w:r w:rsidRPr="00680B80">
                              <w:t>How to conduct the activity</w:t>
                            </w:r>
                            <w:r w:rsidRPr="005B5BC8">
                              <w:t xml:space="preserve">, including: </w:t>
                            </w:r>
                          </w:p>
                          <w:p w:rsidR="006D4709" w:rsidRPr="005B5BC8" w:rsidP="006D4709" w14:textId="6456D33D">
                            <w:pPr>
                              <w:pStyle w:val="EQRTextboxbullet2ndlevel"/>
                            </w:pPr>
                            <w:r w:rsidRPr="005B5BC8">
                              <w:t>Data sources and data collection activities to promote data accuracy, validity, and reliability</w:t>
                            </w:r>
                            <w:r w:rsidR="00F72753">
                              <w:t>.</w:t>
                            </w:r>
                          </w:p>
                          <w:p w:rsidR="006D4709" w:rsidRPr="005B5BC8" w:rsidP="006D4709" w14:textId="1CB23B42">
                            <w:pPr>
                              <w:pStyle w:val="EQRTextboxbullet2ndlevel"/>
                            </w:pPr>
                            <w:r w:rsidRPr="005B5BC8">
                              <w:t>Proposed method(s) for analyzing and interpreting the data</w:t>
                            </w:r>
                            <w:r w:rsidR="00F72753">
                              <w:t>.</w:t>
                            </w:r>
                          </w:p>
                          <w:p w:rsidR="006D4709" w:rsidP="006D4709" w14:textId="7C99480D">
                            <w:pPr>
                              <w:pStyle w:val="EQRTextboxbullet2ndlevel"/>
                            </w:pPr>
                            <w:r w:rsidRPr="005B5BC8">
                              <w:t>Instructions, guidelines, worksheets, and/or tools that may be used in implementing the protocol</w:t>
                            </w:r>
                            <w:r w:rsidR="00F72753">
                              <w:t>.</w:t>
                            </w:r>
                          </w:p>
                        </w:txbxContent>
                      </wps:txbx>
                      <wps:bodyPr rot="0" vert="horz" wrap="square" lIns="109728" tIns="45720" rIns="109728" bIns="45720" anchor="t" anchorCtr="0" upright="1"/>
                    </wps:wsp>
                  </a:graphicData>
                </a:graphic>
              </wp:inline>
            </w:drawing>
          </mc:Choice>
          <mc:Fallback>
            <w:pict>
              <v:shape id="Text Box 227" o:spid="_x0000_i1039" type="#_x0000_t202" alt="This box describes Content of the EQR Protocols&#10;• Purpose of the EQR-related activity.&#10;• How to conduct the activity, including: &#10;Data sources and data collection activities to promote data accuracy, validity, and reliability.&#10;Proposed method(s) for analyzing and interpreting the data.&#10;Instructions, guidelines, worksheets, and/or tools that may be used in implementing the protocol.&#10;" style="width:464.4pt;height:110.7pt;flip:y;mso-left-percent:-10001;mso-position-horizontal-relative:char;mso-position-vertical-relative:line;mso-top-percent:-10001;mso-wrap-style:square;rotation:180;visibility:visible;v-text-anchor:top" fillcolor="#eef5f8" strokecolor="#a5dad9" strokeweight="2.25pt">
                <v:stroke endcap="round"/>
                <v:textbox inset="8.64pt,,8.64pt">
                  <w:txbxContent>
                    <w:p w:rsidR="006D4709" w:rsidRPr="004C5B2B" w:rsidP="006D4709" w14:paraId="5CCCD03C" w14:textId="77777777">
                      <w:pPr>
                        <w:pStyle w:val="EQRTextboxheading"/>
                      </w:pPr>
                      <w:bookmarkStart w:id="32" w:name="Box3"/>
                      <w:bookmarkEnd w:id="32"/>
                      <w:r w:rsidRPr="005B5BC8">
                        <w:t xml:space="preserve">Box </w:t>
                      </w:r>
                      <w:r>
                        <w:t>3</w:t>
                      </w:r>
                      <w:r w:rsidRPr="005B5BC8">
                        <w:t>. Content of the EQR Protocols</w:t>
                      </w:r>
                    </w:p>
                    <w:p w:rsidR="006D4709" w:rsidRPr="005B5BC8" w:rsidP="006D4709" w14:paraId="385D81F0" w14:textId="6FCE464B">
                      <w:pPr>
                        <w:pStyle w:val="EQRTextboxbullet"/>
                      </w:pPr>
                      <w:r w:rsidRPr="005B5BC8">
                        <w:t>Purpose of the EQR-related activity</w:t>
                      </w:r>
                      <w:r w:rsidR="00F72753">
                        <w:t>.</w:t>
                      </w:r>
                    </w:p>
                    <w:p w:rsidR="006D4709" w:rsidRPr="005B5BC8" w:rsidP="006D4709" w14:paraId="764E9C7E" w14:textId="77777777">
                      <w:pPr>
                        <w:pStyle w:val="EQRTextboxbullet"/>
                      </w:pPr>
                      <w:r w:rsidRPr="00680B80">
                        <w:t>How to conduct the activity</w:t>
                      </w:r>
                      <w:r w:rsidRPr="005B5BC8">
                        <w:t xml:space="preserve">, including: </w:t>
                      </w:r>
                    </w:p>
                    <w:p w:rsidR="006D4709" w:rsidRPr="005B5BC8" w:rsidP="006D4709" w14:paraId="40D6727A" w14:textId="6456D33D">
                      <w:pPr>
                        <w:pStyle w:val="EQRTextboxbullet2ndlevel"/>
                      </w:pPr>
                      <w:r w:rsidRPr="005B5BC8">
                        <w:t>Data sources and data collection activities to promote data accuracy, validity, and reliability</w:t>
                      </w:r>
                      <w:r w:rsidR="00F72753">
                        <w:t>.</w:t>
                      </w:r>
                    </w:p>
                    <w:p w:rsidR="006D4709" w:rsidRPr="005B5BC8" w:rsidP="006D4709" w14:paraId="7DF290F4" w14:textId="1CB23B42">
                      <w:pPr>
                        <w:pStyle w:val="EQRTextboxbullet2ndlevel"/>
                      </w:pPr>
                      <w:r w:rsidRPr="005B5BC8">
                        <w:t>Proposed method(s) for analyzing and interpreting the data</w:t>
                      </w:r>
                      <w:r w:rsidR="00F72753">
                        <w:t>.</w:t>
                      </w:r>
                    </w:p>
                    <w:p w:rsidR="006D4709" w:rsidP="006D4709" w14:paraId="5DAFCA4A" w14:textId="7C99480D">
                      <w:pPr>
                        <w:pStyle w:val="EQRTextboxbullet2ndlevel"/>
                      </w:pPr>
                      <w:r w:rsidRPr="005B5BC8">
                        <w:t>Instructions, guidelines, worksheets, and/or tools that may be used in implementing the protocol</w:t>
                      </w:r>
                      <w:r w:rsidR="00F72753">
                        <w:t>.</w:t>
                      </w:r>
                    </w:p>
                  </w:txbxContent>
                </v:textbox>
                <w10:wrap type="none"/>
                <w10:anchorlock/>
              </v:shape>
            </w:pict>
          </mc:Fallback>
        </mc:AlternateContent>
      </w:r>
    </w:p>
    <w:p w:rsidR="006D4709" w:rsidRPr="00990D3B" w:rsidP="00D7596D" w14:paraId="1ABE5AB4" w14:textId="429D4066">
      <w:pPr>
        <w:pStyle w:val="ParagraphContinued"/>
      </w:pPr>
      <w:hyperlink w:anchor="Figure4" w:tooltip="Figure 4" w:history="1">
        <w:r w:rsidRPr="00990D3B">
          <w:rPr>
            <w:rStyle w:val="Hyperlink"/>
          </w:rPr>
          <w:t>Figure 4</w:t>
        </w:r>
      </w:hyperlink>
      <w:r w:rsidRPr="00990D3B">
        <w:t xml:space="preserve"> </w:t>
      </w:r>
      <w:r w:rsidRPr="00990D3B" w:rsidR="006F6E8D">
        <w:t xml:space="preserve">(next page) </w:t>
      </w:r>
      <w:r w:rsidRPr="00990D3B">
        <w:t xml:space="preserve">identifies the EQR protocols linked to each of the mandatory and optional EQR-related activities, as well as the source of the regulations that guide the protocols. In addition, an Information Systems Capabilities Assessment (ISCA) is a mandatory component of the EQR as part of Protocols </w:t>
      </w:r>
      <w:hyperlink w:anchor="Protocol1" w:tooltip="1" w:history="1">
        <w:r w:rsidRPr="00990D3B">
          <w:rPr>
            <w:rStyle w:val="Hyperlink"/>
          </w:rPr>
          <w:t>1</w:t>
        </w:r>
      </w:hyperlink>
      <w:r w:rsidRPr="00990D3B">
        <w:t xml:space="preserve">, </w:t>
      </w:r>
      <w:hyperlink w:anchor="Protocol2" w:tooltip="2" w:history="1">
        <w:r w:rsidRPr="00990D3B">
          <w:rPr>
            <w:rStyle w:val="Hyperlink"/>
          </w:rPr>
          <w:t>2</w:t>
        </w:r>
      </w:hyperlink>
      <w:r w:rsidRPr="00990D3B">
        <w:t xml:space="preserve">, </w:t>
      </w:r>
      <w:hyperlink w:anchor="Protocol3" w:tooltip="3" w:history="1">
        <w:r w:rsidRPr="00990D3B">
          <w:rPr>
            <w:rStyle w:val="Hyperlink"/>
          </w:rPr>
          <w:t>3</w:t>
        </w:r>
      </w:hyperlink>
      <w:r w:rsidRPr="00990D3B">
        <w:t xml:space="preserve">, and </w:t>
      </w:r>
      <w:hyperlink w:anchor="Protocol4" w:tooltip="4" w:history="1">
        <w:r w:rsidRPr="00990D3B">
          <w:rPr>
            <w:rStyle w:val="Hyperlink"/>
          </w:rPr>
          <w:t>4</w:t>
        </w:r>
      </w:hyperlink>
      <w:r w:rsidRPr="00990D3B">
        <w:t xml:space="preserve">, as well as Protocols </w:t>
      </w:r>
      <w:hyperlink w:anchor="Protocol5" w:tooltip="5" w:history="1">
        <w:r w:rsidRPr="00990D3B">
          <w:rPr>
            <w:rStyle w:val="Hyperlink"/>
          </w:rPr>
          <w:t>5</w:t>
        </w:r>
      </w:hyperlink>
      <w:r w:rsidRPr="00990D3B" w:rsidR="00D840E4">
        <w:t>,</w:t>
      </w:r>
      <w:r w:rsidRPr="00990D3B">
        <w:t xml:space="preserve"> </w:t>
      </w:r>
      <w:hyperlink w:anchor="Protocol7" w:tooltip="7" w:history="1">
        <w:r w:rsidRPr="00990D3B">
          <w:rPr>
            <w:rStyle w:val="Hyperlink"/>
          </w:rPr>
          <w:t>7</w:t>
        </w:r>
      </w:hyperlink>
      <w:r w:rsidRPr="00990D3B" w:rsidR="00D840E4">
        <w:rPr>
          <w:rStyle w:val="Hyperlink"/>
        </w:rPr>
        <w:t xml:space="preserve">, </w:t>
      </w:r>
      <w:r w:rsidRPr="00990D3B" w:rsidR="00D840E4">
        <w:rPr>
          <w:rStyle w:val="Hyperlink"/>
          <w:color w:val="auto"/>
        </w:rPr>
        <w:t xml:space="preserve">and </w:t>
      </w:r>
      <w:hyperlink w:anchor="Protocol10" w:tooltip="10" w:history="1">
        <w:r w:rsidRPr="00990D3B" w:rsidR="00D840E4">
          <w:rPr>
            <w:rStyle w:val="Hyperlink"/>
          </w:rPr>
          <w:t>10</w:t>
        </w:r>
      </w:hyperlink>
      <w:r w:rsidRPr="00990D3B">
        <w:t xml:space="preserve"> (if applicable). It </w:t>
      </w:r>
      <w:r w:rsidRPr="00990D3B">
        <w:t>should be noted that several protocols are organized around site visits by the EQRO. If onsite visits are not feasible, site visits may be conducted virtually to obtain the information specified in the</w:t>
      </w:r>
      <w:r w:rsidRPr="00990D3B" w:rsidR="00A225BE">
        <w:t> </w:t>
      </w:r>
      <w:r w:rsidRPr="00990D3B">
        <w:t>protocols.</w:t>
      </w:r>
    </w:p>
    <w:p w:rsidR="005E14F3" w:rsidRPr="00990D3B" w:rsidP="00BD1FC3" w14:paraId="5E88CBF4" w14:textId="0872C433">
      <w:pPr>
        <w:pStyle w:val="MarkforFigureHeading"/>
      </w:pPr>
      <w:bookmarkStart w:id="33" w:name="Figure4"/>
      <w:bookmarkStart w:id="34" w:name="_Hlk196748919"/>
      <w:r w:rsidRPr="00990D3B">
        <w:t>Figure</w:t>
      </w:r>
      <w:r w:rsidRPr="00990D3B" w:rsidR="00AA69A9">
        <w:t xml:space="preserve"> 4.</w:t>
      </w:r>
      <w:bookmarkEnd w:id="33"/>
      <w:r w:rsidRPr="00990D3B" w:rsidR="00293B02">
        <w:t xml:space="preserve"> Overview of the EQR Protocols</w:t>
      </w:r>
    </w:p>
    <w:bookmarkEnd w:id="34"/>
    <w:p w:rsidR="00C111B6" w:rsidRPr="00990D3B" w:rsidP="00C111B6" w14:paraId="1041E6B7" w14:textId="77777777">
      <w:pPr>
        <w:pStyle w:val="TableFootnote"/>
      </w:pPr>
      <w:r w:rsidRPr="00990D3B">
        <w:rPr>
          <w:noProof/>
        </w:rPr>
        <w:drawing>
          <wp:inline distT="0" distB="0" distL="0" distR="0">
            <wp:extent cx="4891177" cy="6747318"/>
            <wp:effectExtent l="0" t="0" r="5080" b="0"/>
            <wp:docPr id="1759505656" name="Picture 1" descr="This figure organizes the protocols by area of review (performance improvement, performance measurement, or MCP compliance), and mandatory or optional EQR activity. From left to right: &#10;Protocol 1 is mandatory and assesses performance improvement. &#10;Protocol 2 is mandatory and assesses performance measurement. &#10;Protocols 3 and 4 are mandatory and assess MCP compliance.&#10;&#10;On the next row from left to right:&#10;Protocols 8 and 9 are optional and assess performance improvement.&#10;Protocols 5,6,7,10, and 11 are optional and assess performance meas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505656" name="Picture 1" descr="This figure organizes the protocols by area of review (performance improvement, performance measurement, or MCP compliance), and mandatory or optional EQR activity. From left to right: &#10;Protocol 1 is mandatory and assesses performance improvement. &#10;Protocol 2 is mandatory and assesses performance measurement. &#10;Protocols 3 and 4 are mandatory and assess MCP compliance.&#10;&#10;On the next row from left to right:&#10;Protocols 8 and 9 are optional and assess performance improvement.&#10;Protocols 5,6,7,10, and 11 are optional and assess performance measurement."/>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a:xfrm>
                      <a:off x="0" y="0"/>
                      <a:ext cx="4891470" cy="6747722"/>
                    </a:xfrm>
                    <a:prstGeom prst="rect">
                      <a:avLst/>
                    </a:prstGeom>
                  </pic:spPr>
                </pic:pic>
              </a:graphicData>
            </a:graphic>
          </wp:inline>
        </w:drawing>
      </w:r>
      <w:bookmarkStart w:id="35" w:name="_Hlk82767504"/>
    </w:p>
    <w:p w:rsidR="00B45453" w:rsidRPr="00990D3B" w:rsidP="00C111B6" w14:paraId="70570DAD" w14:textId="5A647D14">
      <w:pPr>
        <w:pStyle w:val="TableFootnote"/>
      </w:pPr>
      <w:r w:rsidRPr="00990D3B">
        <w:rPr>
          <w:rFonts w:eastAsiaTheme="minorHAnsi"/>
          <w:noProof/>
        </w:rPr>
        <w:t>Notes:</w:t>
      </w:r>
      <w:r w:rsidRPr="00990D3B" w:rsidR="00C111B6">
        <w:rPr>
          <w:rFonts w:eastAsiaTheme="minorHAnsi"/>
          <w:noProof/>
        </w:rPr>
        <w:t xml:space="preserve"> </w:t>
      </w:r>
      <w:r w:rsidRPr="00990D3B" w:rsidR="009D2AEB">
        <w:rPr>
          <w:rFonts w:eastAsiaTheme="minorHAnsi"/>
          <w:noProof/>
        </w:rPr>
        <w:t xml:space="preserve">CHIP regulations at </w:t>
      </w:r>
      <w:r w:rsidRPr="00990D3B" w:rsidR="001C7FC0">
        <w:rPr>
          <w:rFonts w:eastAsiaTheme="minorHAnsi"/>
          <w:noProof/>
        </w:rPr>
        <w:t>42 C.F.R.</w:t>
      </w:r>
      <w:r w:rsidRPr="00990D3B" w:rsidR="009D2AEB">
        <w:rPr>
          <w:rFonts w:eastAsiaTheme="minorHAnsi"/>
          <w:noProof/>
        </w:rPr>
        <w:t xml:space="preserve"> 457.1250(a) cross-reference t</w:t>
      </w:r>
      <w:r w:rsidRPr="00990D3B" w:rsidR="00D43D27">
        <w:rPr>
          <w:rFonts w:eastAsiaTheme="minorHAnsi"/>
          <w:noProof/>
        </w:rPr>
        <w:t>o</w:t>
      </w:r>
      <w:r w:rsidRPr="00990D3B" w:rsidR="009D2AEB">
        <w:rPr>
          <w:rFonts w:eastAsiaTheme="minorHAnsi"/>
          <w:noProof/>
        </w:rPr>
        <w:t xml:space="preserve"> all the Medicaid managed care EQR requirements at </w:t>
      </w:r>
      <w:r w:rsidRPr="00990D3B" w:rsidR="001C7FC0">
        <w:rPr>
          <w:rFonts w:eastAsiaTheme="minorHAnsi"/>
          <w:noProof/>
        </w:rPr>
        <w:t>42 C.F.R.</w:t>
      </w:r>
      <w:r w:rsidRPr="00990D3B" w:rsidR="009D2AEB">
        <w:rPr>
          <w:rFonts w:eastAsiaTheme="minorHAnsi"/>
          <w:noProof/>
        </w:rPr>
        <w:t xml:space="preserve"> </w:t>
      </w:r>
      <w:r w:rsidRPr="00990D3B" w:rsidR="009D2AEB">
        <w:t>438.320</w:t>
      </w:r>
      <w:r w:rsidRPr="00990D3B" w:rsidR="00D43D27">
        <w:t xml:space="preserve">. </w:t>
      </w:r>
      <w:bookmarkEnd w:id="35"/>
    </w:p>
    <w:p w:rsidR="006D4709" w:rsidRPr="00990D3B" w:rsidP="00D7596D" w14:paraId="7C23D447" w14:textId="18B5E4CE">
      <w:pPr>
        <w:pStyle w:val="ParagraphContinued"/>
      </w:pPr>
      <w:r w:rsidRPr="00990D3B">
        <w:t>CMS is required to develop protocols to guide and support the annual EQR process and review and update them every three years, as necessary.</w:t>
      </w:r>
      <w:r>
        <w:rPr>
          <w:vertAlign w:val="superscript"/>
        </w:rPr>
        <w:footnoteReference w:id="17"/>
      </w:r>
      <w:r w:rsidRPr="00990D3B">
        <w:t xml:space="preserve"> The first set of protocols was issued in 2003 and updated in 2012, 2019, and 2023 (recall </w:t>
      </w:r>
      <w:hyperlink w:anchor="Figure1" w:tooltip="Figure 1" w:history="1">
        <w:r w:rsidRPr="00990D3B">
          <w:rPr>
            <w:rStyle w:val="Hyperlink"/>
          </w:rPr>
          <w:t>Figure 1</w:t>
        </w:r>
      </w:hyperlink>
      <w:r w:rsidRPr="00990D3B">
        <w:t xml:space="preserve">). The 2023 updates incorporated regulatory changes contained in the 2020 final rule, clarified federal requirements for the EQR process to promote compliance, responded to state and EQRO feedback about the protocols, and included the network adequacy validation protocol. </w:t>
      </w:r>
      <w:r w:rsidRPr="00990D3B" w:rsidR="00530BF5">
        <w:t xml:space="preserve">This </w:t>
      </w:r>
      <w:r w:rsidRPr="00990D3B">
        <w:t>fourth revision</w:t>
      </w:r>
      <w:r w:rsidRPr="00990D3B" w:rsidR="00530BF5">
        <w:t xml:space="preserve"> of the EQR protocols</w:t>
      </w:r>
      <w:r w:rsidRPr="00990D3B">
        <w:t xml:space="preserve"> </w:t>
      </w:r>
      <w:r w:rsidRPr="00990D3B" w:rsidR="00530BF5">
        <w:t xml:space="preserve">which </w:t>
      </w:r>
      <w:r w:rsidRPr="00990D3B">
        <w:t>incorporat</w:t>
      </w:r>
      <w:r w:rsidRPr="00990D3B" w:rsidR="00530BF5">
        <w:t>es</w:t>
      </w:r>
      <w:r w:rsidRPr="00990D3B">
        <w:t xml:space="preserve"> regulatory changes contained in the 2024 final rule, provid</w:t>
      </w:r>
      <w:r w:rsidRPr="00990D3B" w:rsidR="00530BF5">
        <w:t>es</w:t>
      </w:r>
      <w:r w:rsidRPr="00990D3B">
        <w:t xml:space="preserve"> </w:t>
      </w:r>
      <w:r w:rsidRPr="00990D3B" w:rsidR="00530BF5">
        <w:t xml:space="preserve">states with </w:t>
      </w:r>
      <w:r w:rsidRPr="00990D3B">
        <w:t>new tools to support EQR reporting, shar</w:t>
      </w:r>
      <w:r w:rsidRPr="00990D3B" w:rsidR="00530BF5">
        <w:t>es</w:t>
      </w:r>
      <w:r w:rsidRPr="00990D3B">
        <w:t xml:space="preserve"> additional guidance for including meaningful data and information in EQR technical reports, and add</w:t>
      </w:r>
      <w:r w:rsidRPr="00990D3B" w:rsidR="00530BF5">
        <w:t>s</w:t>
      </w:r>
      <w:r w:rsidRPr="00990D3B">
        <w:t xml:space="preserve"> protocols for the optional </w:t>
      </w:r>
      <w:r w:rsidRPr="00990D3B" w:rsidR="00762947">
        <w:t xml:space="preserve">EQR </w:t>
      </w:r>
      <w:r w:rsidRPr="00990D3B">
        <w:t xml:space="preserve">QRS and managed care evaluation activities. For a summary of updates, see page 12 of the </w:t>
      </w:r>
      <w:hyperlink w:anchor="Introduction" w:tooltip="Introduction" w:history="1">
        <w:r w:rsidRPr="00990D3B">
          <w:rPr>
            <w:rStyle w:val="Hyperlink"/>
          </w:rPr>
          <w:t>Introduction</w:t>
        </w:r>
      </w:hyperlink>
      <w:r w:rsidRPr="00990D3B">
        <w:t xml:space="preserve">. </w:t>
      </w:r>
    </w:p>
    <w:p w:rsidR="00324014" w:rsidRPr="00990D3B" w:rsidP="00BD1FC3" w14:paraId="00F72950" w14:textId="3998B9C8">
      <w:pPr>
        <w:pStyle w:val="Paragraph0"/>
      </w:pPr>
      <w:r w:rsidRPr="00990D3B">
        <w:t xml:space="preserve">The next section of this </w:t>
      </w:r>
      <w:r w:rsidRPr="00990D3B" w:rsidR="00D43D27">
        <w:t xml:space="preserve">introductory </w:t>
      </w:r>
      <w:r w:rsidRPr="00990D3B">
        <w:t xml:space="preserve">chapter discusses practical considerations for states before beginning the EQR-related activities. </w:t>
      </w:r>
      <w:r w:rsidRPr="00990D3B" w:rsidR="00D1012A">
        <w:t>It</w:t>
      </w:r>
      <w:r w:rsidRPr="00990D3B">
        <w:t xml:space="preserve"> provides tips to guide the drafting of effective EQR technical reports that document performance </w:t>
      </w:r>
      <w:r w:rsidRPr="00990D3B" w:rsidR="002431F8">
        <w:t>regarding</w:t>
      </w:r>
      <w:r w:rsidRPr="00990D3B">
        <w:t xml:space="preserve"> quality, timeliness, and access to care</w:t>
      </w:r>
      <w:r w:rsidRPr="00990D3B" w:rsidR="00D1012A">
        <w:t>, identify areas for improvement,</w:t>
      </w:r>
      <w:r w:rsidRPr="00990D3B">
        <w:t xml:space="preserve"> and recommend interventions to improve the process and outcomes of care. Links to the protocols and appendices are contained at the end of this chapter. The </w:t>
      </w:r>
      <w:r w:rsidRPr="00990D3B" w:rsidR="00033539">
        <w:t>five</w:t>
      </w:r>
      <w:r w:rsidRPr="00990D3B">
        <w:t xml:space="preserve"> appendices are </w:t>
      </w:r>
      <w:r w:rsidRPr="00990D3B" w:rsidR="00033539">
        <w:t>EQR Reporting Tools (</w:t>
      </w:r>
      <w:hyperlink w:anchor="AppA" w:tooltip="Appendix A" w:history="1">
        <w:r w:rsidRPr="00990D3B" w:rsidR="00033539">
          <w:rPr>
            <w:rStyle w:val="Hyperlink"/>
          </w:rPr>
          <w:t>Appendix A</w:t>
        </w:r>
      </w:hyperlink>
      <w:r w:rsidRPr="00990D3B" w:rsidR="00033539">
        <w:t xml:space="preserve">), </w:t>
      </w:r>
      <w:r w:rsidRPr="00990D3B">
        <w:t>Information Systems Capabilities Assessment (</w:t>
      </w:r>
      <w:hyperlink w:anchor="AppB" w:tooltip="Appendix B" w:history="1">
        <w:r w:rsidRPr="00990D3B" w:rsidR="00CF5AB3">
          <w:rPr>
            <w:rStyle w:val="Hyperlink"/>
          </w:rPr>
          <w:t>Appendix B</w:t>
        </w:r>
      </w:hyperlink>
      <w:r w:rsidRPr="00990D3B">
        <w:t>), Sampling Approaches for EQR Data Collection Activities (</w:t>
      </w:r>
      <w:hyperlink w:anchor="AppC" w:tooltip="Appendix C" w:history="1">
        <w:r w:rsidRPr="00990D3B">
          <w:rPr>
            <w:rStyle w:val="Hyperlink"/>
          </w:rPr>
          <w:t>Appendix</w:t>
        </w:r>
        <w:r w:rsidRPr="00990D3B" w:rsidR="00687A20">
          <w:rPr>
            <w:rStyle w:val="Hyperlink"/>
          </w:rPr>
          <w:t> </w:t>
        </w:r>
        <w:r w:rsidRPr="00990D3B" w:rsidR="00033539">
          <w:rPr>
            <w:rStyle w:val="Hyperlink"/>
          </w:rPr>
          <w:t>C</w:t>
        </w:r>
      </w:hyperlink>
      <w:r w:rsidRPr="00990D3B">
        <w:t>), Acronyms Used in the Protocols (</w:t>
      </w:r>
      <w:hyperlink w:anchor="AppD" w:tooltip="Appendix D" w:history="1">
        <w:r w:rsidRPr="00990D3B">
          <w:rPr>
            <w:rStyle w:val="Hyperlink"/>
          </w:rPr>
          <w:t xml:space="preserve">Appendix </w:t>
        </w:r>
        <w:r w:rsidRPr="00990D3B" w:rsidR="00033539">
          <w:rPr>
            <w:rStyle w:val="Hyperlink"/>
          </w:rPr>
          <w:t>D</w:t>
        </w:r>
      </w:hyperlink>
      <w:r w:rsidRPr="00990D3B">
        <w:t>), and External Quality Review Glossary of Terms (</w:t>
      </w:r>
      <w:hyperlink w:anchor="AppE" w:tooltip="Appendix E" w:history="1">
        <w:r w:rsidRPr="00990D3B">
          <w:rPr>
            <w:rStyle w:val="Hyperlink"/>
          </w:rPr>
          <w:t xml:space="preserve">Appendix </w:t>
        </w:r>
        <w:r w:rsidRPr="00990D3B" w:rsidR="00033539">
          <w:rPr>
            <w:rStyle w:val="Hyperlink"/>
          </w:rPr>
          <w:t>E</w:t>
        </w:r>
      </w:hyperlink>
      <w:r w:rsidRPr="00990D3B">
        <w:t>).</w:t>
      </w:r>
    </w:p>
    <w:p w:rsidR="00A11D36" w:rsidRPr="00990D3B" w:rsidP="00BD1FC3" w14:paraId="29E66083" w14:textId="0C7FA6ED">
      <w:pPr>
        <w:pStyle w:val="H2"/>
        <w:rPr>
          <w:rFonts w:eastAsia="Calibri"/>
        </w:rPr>
      </w:pPr>
      <w:bookmarkStart w:id="36" w:name="_Toc493246349"/>
      <w:bookmarkStart w:id="37" w:name="_Toc496116354"/>
      <w:bookmarkStart w:id="38" w:name="_Toc14777673"/>
      <w:bookmarkStart w:id="39" w:name="_Toc183005554"/>
      <w:bookmarkStart w:id="40" w:name="_Toc201751325"/>
      <w:r w:rsidRPr="00990D3B">
        <w:rPr>
          <w:rFonts w:eastAsia="Calibri"/>
        </w:rPr>
        <w:t>Considerations Before Conducting</w:t>
      </w:r>
      <w:bookmarkEnd w:id="36"/>
      <w:r w:rsidRPr="00990D3B" w:rsidR="00947EA5">
        <w:rPr>
          <w:rFonts w:eastAsia="Calibri"/>
        </w:rPr>
        <w:t xml:space="preserve"> EQR-</w:t>
      </w:r>
      <w:r w:rsidRPr="00990D3B" w:rsidR="00051816">
        <w:rPr>
          <w:rFonts w:eastAsia="Calibri"/>
        </w:rPr>
        <w:t>R</w:t>
      </w:r>
      <w:r w:rsidRPr="00990D3B" w:rsidR="00947EA5">
        <w:rPr>
          <w:rFonts w:eastAsia="Calibri"/>
        </w:rPr>
        <w:t>elated A</w:t>
      </w:r>
      <w:r w:rsidRPr="00990D3B" w:rsidR="00DB76F5">
        <w:rPr>
          <w:rFonts w:eastAsia="Calibri"/>
        </w:rPr>
        <w:t>ctivities</w:t>
      </w:r>
      <w:bookmarkEnd w:id="37"/>
      <w:bookmarkEnd w:id="38"/>
      <w:bookmarkEnd w:id="39"/>
      <w:bookmarkEnd w:id="40"/>
    </w:p>
    <w:p w:rsidR="00065C97" w:rsidRPr="00990D3B" w:rsidP="00D7596D" w14:paraId="1FD39240" w14:textId="77777777">
      <w:pPr>
        <w:pStyle w:val="ParagraphContinued"/>
      </w:pPr>
      <w:r w:rsidRPr="00990D3B">
        <w:t>EQR-related activities may be performed by the state</w:t>
      </w:r>
      <w:r w:rsidRPr="00990D3B" w:rsidR="00D43D27">
        <w:t>,</w:t>
      </w:r>
      <w:r w:rsidRPr="00990D3B">
        <w:t xml:space="preserve"> an agent of the state that is not an MCP</w:t>
      </w:r>
      <w:r w:rsidRPr="00990D3B" w:rsidR="00D43D27">
        <w:t>,</w:t>
      </w:r>
      <w:r w:rsidRPr="00990D3B">
        <w:t xml:space="preserve"> or by an EQRO.</w:t>
      </w:r>
      <w:r w:rsidRPr="00990D3B" w:rsidR="003162DF">
        <w:rPr>
          <w:rFonts w:ascii="ZWAdobeF" w:hAnsi="ZWAdobeF" w:cs="ZWAdobeF"/>
          <w:sz w:val="2"/>
          <w:szCs w:val="2"/>
        </w:rPr>
        <w:t>18F</w:t>
      </w:r>
      <w:r>
        <w:rPr>
          <w:rStyle w:val="FootnoteReference"/>
        </w:rPr>
        <w:footnoteReference w:id="18"/>
      </w:r>
      <w:r w:rsidRPr="00990D3B">
        <w:t xml:space="preserve"> These protocols </w:t>
      </w:r>
      <w:r w:rsidRPr="00990D3B" w:rsidR="002431F8">
        <w:t>apply</w:t>
      </w:r>
      <w:r w:rsidRPr="00990D3B">
        <w:t xml:space="preserve"> to EQR-related activities conducted by any of these entities. While most states hire an EQRO to conduct the EQR-related activities, states may elect to conduct the EQR-related activities themselves or to contract with an organization that is not an EQRO or an agent that is not an MCP to perform these activities. </w:t>
      </w:r>
    </w:p>
    <w:p w:rsidR="00065C97" w:rsidRPr="00990D3B" w:rsidP="00BD21FA" w14:paraId="3F08EECE" w14:textId="79AA0E35">
      <w:pPr>
        <w:pStyle w:val="Paragraph0"/>
      </w:pPr>
      <w:r w:rsidRPr="00990D3B">
        <w:t xml:space="preserve">Regardless of which entity performs EQR-related activities, the data from </w:t>
      </w:r>
      <w:r w:rsidRPr="00990D3B" w:rsidR="008D6260">
        <w:t xml:space="preserve">all activities </w:t>
      </w:r>
      <w:r w:rsidRPr="00990D3B">
        <w:t>must be independently reviewed</w:t>
      </w:r>
      <w:r w:rsidRPr="00990D3B" w:rsidR="0007119C">
        <w:t xml:space="preserve"> </w:t>
      </w:r>
      <w:r w:rsidRPr="00990D3B" w:rsidR="003011F1">
        <w:t xml:space="preserve">and </w:t>
      </w:r>
      <w:r w:rsidRPr="00990D3B" w:rsidR="007F3C44">
        <w:t>assessed</w:t>
      </w:r>
      <w:r w:rsidRPr="00990D3B" w:rsidR="000B1B4B">
        <w:t xml:space="preserve"> </w:t>
      </w:r>
      <w:r w:rsidRPr="00990D3B">
        <w:t xml:space="preserve">by the EQRO </w:t>
      </w:r>
      <w:r w:rsidRPr="00990D3B" w:rsidR="00360400">
        <w:t>as part of the annual EQR</w:t>
      </w:r>
      <w:r w:rsidRPr="00990D3B" w:rsidR="007F3C44">
        <w:t xml:space="preserve">. </w:t>
      </w:r>
      <w:r w:rsidRPr="00990D3B" w:rsidR="000B1B4B">
        <w:t xml:space="preserve">For example, if a state uses a </w:t>
      </w:r>
      <w:r w:rsidRPr="00990D3B" w:rsidR="00762947">
        <w:t xml:space="preserve">Healthcare Effectiveness Data and Information Set (HEDIS®) </w:t>
      </w:r>
      <w:r w:rsidRPr="00990D3B" w:rsidR="00F4610F">
        <w:t>C</w:t>
      </w:r>
      <w:r w:rsidRPr="00990D3B" w:rsidR="000B1B4B">
        <w:t xml:space="preserve">ompliance </w:t>
      </w:r>
      <w:r w:rsidRPr="00990D3B" w:rsidR="00F4610F">
        <w:t>Audit</w:t>
      </w:r>
      <w:r w:rsidRPr="00990D3B" w:rsidR="00F4610F">
        <w:rPr>
          <w:rFonts w:cs="Arial"/>
        </w:rPr>
        <w:t>™</w:t>
      </w:r>
      <w:r w:rsidRPr="00990D3B" w:rsidR="00F4610F">
        <w:t xml:space="preserve"> </w:t>
      </w:r>
      <w:r w:rsidRPr="00990D3B" w:rsidR="000B1B4B">
        <w:t xml:space="preserve"> to</w:t>
      </w:r>
      <w:r w:rsidRPr="00990D3B" w:rsidR="000B1B4B">
        <w:t xml:space="preserve"> meet the performance measure validation requirement, the EQRO does not need to duplicate the audit. However, the EQRO must confirm that the audit meets federal EQR standards, such as ensuring it was conducted by a certified </w:t>
      </w:r>
      <w:r w:rsidRPr="00990D3B">
        <w:t xml:space="preserve">HEDIS® </w:t>
      </w:r>
      <w:r w:rsidRPr="00990D3B" w:rsidR="000B1B4B">
        <w:t xml:space="preserve">Compliance Auditor using </w:t>
      </w:r>
      <w:r w:rsidRPr="00990D3B">
        <w:t>National Committee for Quality Assurance (NCQA)</w:t>
      </w:r>
      <w:r w:rsidRPr="00990D3B" w:rsidR="000B1B4B">
        <w:t xml:space="preserve">-approved methods, that all relevant measures were included, and that the findings are accurately reflected in the EQR technical report. The </w:t>
      </w:r>
      <w:r w:rsidRPr="00990D3B" w:rsidR="000B1B4B">
        <w:t>indep</w:t>
      </w:r>
      <w:r w:rsidRPr="00990D3B" w:rsidR="009D4E9B">
        <w:t>en</w:t>
      </w:r>
      <w:r w:rsidRPr="00990D3B" w:rsidR="000B1B4B">
        <w:t>dent review helps ensure</w:t>
      </w:r>
      <w:r w:rsidRPr="00990D3B" w:rsidR="009D4E9B">
        <w:t xml:space="preserve"> that</w:t>
      </w:r>
      <w:r w:rsidRPr="00990D3B" w:rsidR="000B1B4B">
        <w:t xml:space="preserve"> the audit results are reliable for oversight and quality </w:t>
      </w:r>
      <w:r w:rsidRPr="00990D3B" w:rsidR="00F202FD">
        <w:t>improvement</w:t>
      </w:r>
      <w:r w:rsidRPr="00990D3B" w:rsidR="000B1B4B">
        <w:t xml:space="preserve"> purposes. </w:t>
      </w:r>
    </w:p>
    <w:p w:rsidR="00065C97" w:rsidRPr="00990D3B" w:rsidP="00BD21FA" w14:paraId="2D0F3786" w14:textId="242B1DE9">
      <w:pPr>
        <w:pStyle w:val="Paragraph0"/>
      </w:pPr>
      <w:r w:rsidRPr="00990D3B">
        <w:t xml:space="preserve">Preparing to conduct EQR-related activities involves several steps (see </w:t>
      </w:r>
      <w:hyperlink w:anchor="Box4" w:tooltip="Box 4" w:history="1">
        <w:r w:rsidRPr="00990D3B">
          <w:rPr>
            <w:rStyle w:val="Hyperlink"/>
          </w:rPr>
          <w:t>Box 4</w:t>
        </w:r>
      </w:hyperlink>
      <w:r w:rsidRPr="00990D3B">
        <w:t>). Throughout all EQR-related activities and the EQR technical report process, states must ensure that the privacy of patient information is protected in a manner consistent with the Health Insurance Portability and Accountability Act of 1996 (HIPAA)</w:t>
      </w:r>
      <w:r w:rsidRPr="00990D3B">
        <w:rPr>
          <w:rFonts w:ascii="ZWAdobeF" w:hAnsi="ZWAdobeF" w:cs="ZWAdobeF"/>
          <w:sz w:val="2"/>
          <w:szCs w:val="2"/>
        </w:rPr>
        <w:t>16F</w:t>
      </w:r>
      <w:r>
        <w:rPr>
          <w:vertAlign w:val="superscript"/>
        </w:rPr>
        <w:footnoteReference w:id="19"/>
      </w:r>
      <w:r w:rsidRPr="00990D3B">
        <w:t xml:space="preserve"> Specifically, the 2016 final rule introduced requirements that EQR technical reports do not disclose a patient’s identity or any Protected Health Information (PHI).</w:t>
      </w:r>
      <w:r w:rsidRPr="00990D3B">
        <w:rPr>
          <w:rFonts w:ascii="ZWAdobeF" w:hAnsi="ZWAdobeF" w:cs="ZWAdobeF"/>
          <w:sz w:val="2"/>
          <w:szCs w:val="2"/>
        </w:rPr>
        <w:t>17F</w:t>
      </w:r>
      <w:r>
        <w:rPr>
          <w:vertAlign w:val="superscript"/>
        </w:rPr>
        <w:footnoteReference w:id="20"/>
      </w:r>
      <w:r w:rsidRPr="00990D3B">
        <w:t xml:space="preserve"> Consistent with that obligation, states should ensure that their MCPs comply with HIPAA and all other federal and state laws concerning confidentiality and disclosure. The EQRO should ensure that its EQR-related data collection and reporting activities meet these requirements.</w:t>
      </w:r>
    </w:p>
    <w:p w:rsidR="00445922" w:rsidRPr="00990D3B" w:rsidP="00BD1FC3" w14:paraId="229B9623" w14:textId="25057D92">
      <w:pPr>
        <w:spacing w:line="240" w:lineRule="auto"/>
      </w:pPr>
      <w:r w:rsidRPr="00990D3B">
        <w:rPr>
          <w:noProof/>
        </w:rPr>
        <mc:AlternateContent>
          <mc:Choice Requires="wps">
            <w:drawing>
              <wp:inline distT="0" distB="0" distL="0" distR="0">
                <wp:extent cx="5897880" cy="1567180"/>
                <wp:effectExtent l="19050" t="19050" r="7620" b="0"/>
                <wp:docPr id="2091781746" name="Text Box 226" descr="This box lists Steps to Prepare for EQR-Related Activities&#10;1 Select an entity to conduct the EQR-related activity(ies).&#10;○ Ensure that staff conducting EQR-related activity(ies) have the training and experience needed for the particular activity(ies) they will be conducting.&#10;2 Provide clear, written understanding of the parameters of the review.&#10;○ List MCPs for review. Consider using the Worksheet A.1. EQR Reporting Checklist to ensure all applicable MCPs undergo EQR and are included in the EQR technical report.&#10;○ Select optional EQR-related activities (if applicable) in addition to the applicable mandatory EQR-related activities.&#10;○ Designate a time frame for review. The activities must be performed in the 12 months preceding the finalization of the annual EQR technical report. &#10;3 Review all applicable federal regulations, state regulations or standards, and MCP state contracts.&#10;4 Confirm approach with entity and all EQR participants, including:&#10;○ Each organization's responsibilities in collecting, reporting, and/or analyzing data.&#10;○ Which regulations, contracts, and/or initiatives should be evaluated.&#10;○ Which reviews will occur and tools used.&#10;○ A timeline identifying the start and completion of each protocol.&#10;">
                  <a:extLst xmlns:a="http://schemas.openxmlformats.org/drawingml/2006/main">
                    <a:ext xmlns:a="http://schemas.openxmlformats.org/drawingml/2006/main"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897880" cy="1567180"/>
                        </a:xfrm>
                        <a:prstGeom prst="rect">
                          <a:avLst/>
                        </a:prstGeom>
                        <a:solidFill>
                          <a:srgbClr val="EEF5F8"/>
                        </a:solidFill>
                        <a:ln w="28575" cap="rnd">
                          <a:solidFill>
                            <a:srgbClr val="A5DAD9"/>
                          </a:solidFill>
                          <a:prstDash val="solid"/>
                          <a:miter lim="800000"/>
                          <a:headEnd/>
                          <a:tailEnd/>
                        </a:ln>
                      </wps:spPr>
                      <wps:txbx>
                        <w:txbxContent>
                          <w:p w:rsidR="000C6526" w:rsidRPr="004C5B2B" w:rsidP="000C6526" w14:textId="77777777">
                            <w:pPr>
                              <w:pStyle w:val="EQRTextboxheading"/>
                            </w:pPr>
                            <w:bookmarkStart w:id="41" w:name="Box4"/>
                            <w:r w:rsidRPr="00396AF0">
                              <w:t xml:space="preserve">Box </w:t>
                            </w:r>
                            <w:r>
                              <w:t>4</w:t>
                            </w:r>
                            <w:bookmarkEnd w:id="41"/>
                            <w:r w:rsidRPr="00396AF0">
                              <w:t>. Steps to Prepare for EQR-Related Activities</w:t>
                            </w:r>
                          </w:p>
                          <w:p w:rsidR="000C6526" w:rsidRPr="00CE5DD5" w:rsidP="000C6526" w14:textId="77777777">
                            <w:pPr>
                              <w:pStyle w:val="EQRTextboxNUMBER"/>
                            </w:pPr>
                            <w:r w:rsidRPr="00CE5DD5">
                              <w:t>Select an entity to conduct the EQR-related activity(</w:t>
                            </w:r>
                            <w:r>
                              <w:t>ie</w:t>
                            </w:r>
                            <w:r w:rsidRPr="00CE5DD5">
                              <w:t>s</w:t>
                            </w:r>
                            <w:r w:rsidRPr="00CE5DD5">
                              <w:t>)</w:t>
                            </w:r>
                            <w:r>
                              <w:t>.</w:t>
                            </w:r>
                          </w:p>
                          <w:p w:rsidR="000C6526" w:rsidP="000C6526" w14:textId="77777777">
                            <w:pPr>
                              <w:pStyle w:val="EQRTextboxbullet2ndlevel"/>
                            </w:pPr>
                            <w:r>
                              <w:t>Ensure that staff conducting EQR-related activity(</w:t>
                            </w:r>
                            <w:r>
                              <w:t>ies</w:t>
                            </w:r>
                            <w:r>
                              <w:t xml:space="preserve">) have the training and experience needed for the </w:t>
                            </w:r>
                            <w:r>
                              <w:t>particular activity(</w:t>
                            </w:r>
                            <w:r>
                              <w:t>ies</w:t>
                            </w:r>
                            <w:r>
                              <w:t>)</w:t>
                            </w:r>
                            <w:r>
                              <w:t xml:space="preserve"> they will be conducting.</w:t>
                            </w:r>
                          </w:p>
                          <w:p w:rsidR="000C6526" w:rsidP="000C6526" w14:textId="77777777">
                            <w:pPr>
                              <w:pStyle w:val="EQRTextboxNUMBER"/>
                            </w:pPr>
                            <w:r>
                              <w:t>Provide clear, written understanding of the parameters of the review.</w:t>
                            </w:r>
                          </w:p>
                          <w:p w:rsidR="000C6526" w:rsidRPr="003011F1" w:rsidP="000C6526" w14:textId="77850AC5">
                            <w:pPr>
                              <w:pStyle w:val="EQRTextboxbullet2ndlevel"/>
                            </w:pPr>
                            <w:r>
                              <w:t xml:space="preserve">List MCPs for review. </w:t>
                            </w:r>
                            <w:r w:rsidRPr="003011F1">
                              <w:t xml:space="preserve">Consider using the Worksheet </w:t>
                            </w:r>
                            <w:r w:rsidRPr="003011F1" w:rsidR="0090723C">
                              <w:t>A</w:t>
                            </w:r>
                            <w:r w:rsidRPr="003011F1">
                              <w:t xml:space="preserve">.1. EQR </w:t>
                            </w:r>
                            <w:r w:rsidRPr="003011F1" w:rsidR="00266A39">
                              <w:t>Reporting</w:t>
                            </w:r>
                            <w:r w:rsidRPr="003011F1">
                              <w:t xml:space="preserve"> Checklist to ensure all applicable MCPs undergo EQR and are included in the EQR technical report.</w:t>
                            </w:r>
                          </w:p>
                          <w:p w:rsidR="000C6526" w:rsidP="000C6526" w14:textId="77777777">
                            <w:pPr>
                              <w:pStyle w:val="EQRTextboxbullet2ndlevel"/>
                            </w:pPr>
                            <w:r>
                              <w:t>Select optional EQR-related activities (if applicable) in addition to the applicable mandatory EQR-related activities.</w:t>
                            </w:r>
                          </w:p>
                          <w:p w:rsidR="000C6526" w:rsidRPr="003011F1" w:rsidP="000C6526" w14:textId="23922958">
                            <w:pPr>
                              <w:pStyle w:val="EQRTextboxbullet2ndlevel"/>
                            </w:pPr>
                            <w:r>
                              <w:t xml:space="preserve">Designate a time frame for review. </w:t>
                            </w:r>
                            <w:r w:rsidRPr="003011F1">
                              <w:t xml:space="preserve">The activities must be performed in the 12 months preceding the finalization of the annual EQR technical report. </w:t>
                            </w:r>
                          </w:p>
                          <w:p w:rsidR="000C6526" w:rsidP="000C6526" w14:textId="77777777">
                            <w:pPr>
                              <w:pStyle w:val="EQRTextboxNUMBER"/>
                            </w:pPr>
                            <w:r>
                              <w:t>Review all applicable federal regulations, state regulations or standards, and MCP state contracts.</w:t>
                            </w:r>
                          </w:p>
                          <w:p w:rsidR="000C6526" w:rsidP="000C6526" w14:textId="77777777">
                            <w:pPr>
                              <w:pStyle w:val="EQRTextboxNUMBER"/>
                            </w:pPr>
                            <w:r>
                              <w:t>Confirm approach with entity and all EQR participants, including:</w:t>
                            </w:r>
                          </w:p>
                          <w:p w:rsidR="000C6526" w:rsidP="000C6526" w14:textId="3FE8A6E1">
                            <w:pPr>
                              <w:pStyle w:val="EQRTextboxbullet2ndlevel"/>
                            </w:pPr>
                            <w:r>
                              <w:t>Each organization's responsibilities in collecting, reporting, and/or analyzing data</w:t>
                            </w:r>
                            <w:r w:rsidR="00762947">
                              <w:t>.</w:t>
                            </w:r>
                          </w:p>
                          <w:p w:rsidR="000C6526" w:rsidP="000C6526" w14:textId="1C5A0CAE">
                            <w:pPr>
                              <w:pStyle w:val="EQRTextboxbullet2ndlevel"/>
                            </w:pPr>
                            <w:r>
                              <w:t>Which regulations, contracts, and/or initiatives should be evaluated</w:t>
                            </w:r>
                            <w:r w:rsidR="00762947">
                              <w:t>.</w:t>
                            </w:r>
                          </w:p>
                          <w:p w:rsidR="000C6526" w:rsidP="000C6526" w14:textId="779D8C67">
                            <w:pPr>
                              <w:pStyle w:val="EQRTextboxbullet2ndlevel"/>
                            </w:pPr>
                            <w:r>
                              <w:t>Which reviews will occur and tools used</w:t>
                            </w:r>
                            <w:r w:rsidR="00762947">
                              <w:t>.</w:t>
                            </w:r>
                          </w:p>
                          <w:p w:rsidR="000C6526" w:rsidP="000C6526" w14:textId="38CAA885">
                            <w:pPr>
                              <w:pStyle w:val="EQRTextboxbullet2ndlevel"/>
                            </w:pPr>
                            <w:r>
                              <w:t>A timeline identifying the start and completion of each protocol</w:t>
                            </w:r>
                            <w:r w:rsidR="00762947">
                              <w:t>.</w:t>
                            </w:r>
                          </w:p>
                        </w:txbxContent>
                      </wps:txbx>
                      <wps:bodyPr rot="0" vert="horz" wrap="square" lIns="109728" tIns="45720" rIns="109728" bIns="45720" anchor="t" anchorCtr="0" upright="1">
                        <a:spAutoFit/>
                      </wps:bodyPr>
                    </wps:wsp>
                  </a:graphicData>
                </a:graphic>
              </wp:inline>
            </w:drawing>
          </mc:Choice>
          <mc:Fallback>
            <w:pict>
              <v:shape id="Text Box 226" o:spid="_x0000_i1040" type="#_x0000_t202" alt="This box lists Steps to Prepare for EQR-Related Activities&#10;1 Select an entity to conduct the EQR-related activity(ies).&#10;○ Ensure that staff conducting EQR-related activity(ies) have the training and experience needed for the particular activity(ies) they will be conducting.&#10;2 Provide clear, written understanding of the parameters of the review.&#10;○ List MCPs for review. Consider using the Worksheet A.1. EQR Reporting Checklist to ensure all applicable MCPs undergo EQR and are included in the EQR technical report.&#10;○ Select optional EQR-related activities (if applicable) in addition to the applicable mandatory EQR-related activities.&#10;○ Designate a time frame for review. The activities must be performed in the 12 months preceding the finalization of the annual EQR technical report. &#10;3 Review all applicable federal regulations, state regulations or standards, and MCP state contracts.&#10;4 Confirm approach with entity and all EQR participants, including:&#10;○ Each organization's responsibilities in collecting, reporting, and/or analyzing data.&#10;○ Which regulations, contracts, and/or initiatives should be evaluated.&#10;○ Which reviews will occur and tools used.&#10;○ A timeline identifying the start and completion of each protocol.&#10;" style="width:464.4pt;height:123.4pt;flip:y;mso-left-percent:-10001;mso-position-horizontal-relative:char;mso-position-vertical-relative:line;mso-top-percent:-10001;mso-wrap-style:square;rotation:180;visibility:visible;v-text-anchor:top" fillcolor="#eef5f8" strokecolor="#a5dad9" strokeweight="2.25pt">
                <v:stroke endcap="round"/>
                <v:textbox style="mso-fit-shape-to-text:t" inset="8.64pt,,8.64pt">
                  <w:txbxContent>
                    <w:p w:rsidR="000C6526" w:rsidRPr="004C5B2B" w:rsidP="000C6526" w14:paraId="2F2F9424" w14:textId="77777777">
                      <w:pPr>
                        <w:pStyle w:val="EQRTextboxheading"/>
                      </w:pPr>
                      <w:bookmarkStart w:id="41" w:name="Box4"/>
                      <w:r w:rsidRPr="00396AF0">
                        <w:t xml:space="preserve">Box </w:t>
                      </w:r>
                      <w:r>
                        <w:t>4</w:t>
                      </w:r>
                      <w:bookmarkEnd w:id="41"/>
                      <w:r w:rsidRPr="00396AF0">
                        <w:t>. Steps to Prepare for EQR-Related Activities</w:t>
                      </w:r>
                    </w:p>
                    <w:p w:rsidR="000C6526" w:rsidRPr="00CE5DD5" w:rsidP="000C6526" w14:paraId="4F530623" w14:textId="77777777">
                      <w:pPr>
                        <w:pStyle w:val="EQRTextboxNUMBER"/>
                      </w:pPr>
                      <w:r w:rsidRPr="00CE5DD5">
                        <w:t>Select an entity to conduct the EQR-related activity(</w:t>
                      </w:r>
                      <w:r>
                        <w:t>ie</w:t>
                      </w:r>
                      <w:r w:rsidRPr="00CE5DD5">
                        <w:t>s</w:t>
                      </w:r>
                      <w:r w:rsidRPr="00CE5DD5">
                        <w:t>)</w:t>
                      </w:r>
                      <w:r>
                        <w:t>.</w:t>
                      </w:r>
                    </w:p>
                    <w:p w:rsidR="000C6526" w:rsidP="000C6526" w14:paraId="3F1F5D7B" w14:textId="77777777">
                      <w:pPr>
                        <w:pStyle w:val="EQRTextboxbullet2ndlevel"/>
                      </w:pPr>
                      <w:r>
                        <w:t>Ensure that staff conducting EQR-related activity(</w:t>
                      </w:r>
                      <w:r>
                        <w:t>ies</w:t>
                      </w:r>
                      <w:r>
                        <w:t xml:space="preserve">) have the training and experience needed for the </w:t>
                      </w:r>
                      <w:r>
                        <w:t>particular activity(</w:t>
                      </w:r>
                      <w:r>
                        <w:t>ies</w:t>
                      </w:r>
                      <w:r>
                        <w:t>)</w:t>
                      </w:r>
                      <w:r>
                        <w:t xml:space="preserve"> they will be conducting.</w:t>
                      </w:r>
                    </w:p>
                    <w:p w:rsidR="000C6526" w:rsidP="000C6526" w14:paraId="31521FAF" w14:textId="77777777">
                      <w:pPr>
                        <w:pStyle w:val="EQRTextboxNUMBER"/>
                      </w:pPr>
                      <w:r>
                        <w:t>Provide clear, written understanding of the parameters of the review.</w:t>
                      </w:r>
                    </w:p>
                    <w:p w:rsidR="000C6526" w:rsidRPr="003011F1" w:rsidP="000C6526" w14:paraId="36965AE9" w14:textId="77850AC5">
                      <w:pPr>
                        <w:pStyle w:val="EQRTextboxbullet2ndlevel"/>
                      </w:pPr>
                      <w:r>
                        <w:t xml:space="preserve">List MCPs for review. </w:t>
                      </w:r>
                      <w:r w:rsidRPr="003011F1">
                        <w:t xml:space="preserve">Consider using the Worksheet </w:t>
                      </w:r>
                      <w:r w:rsidRPr="003011F1" w:rsidR="0090723C">
                        <w:t>A</w:t>
                      </w:r>
                      <w:r w:rsidRPr="003011F1">
                        <w:t xml:space="preserve">.1. EQR </w:t>
                      </w:r>
                      <w:r w:rsidRPr="003011F1" w:rsidR="00266A39">
                        <w:t>Reporting</w:t>
                      </w:r>
                      <w:r w:rsidRPr="003011F1">
                        <w:t xml:space="preserve"> Checklist to ensure all applicable MCPs undergo EQR and are included in the EQR technical report.</w:t>
                      </w:r>
                    </w:p>
                    <w:p w:rsidR="000C6526" w:rsidP="000C6526" w14:paraId="412A6A6C" w14:textId="77777777">
                      <w:pPr>
                        <w:pStyle w:val="EQRTextboxbullet2ndlevel"/>
                      </w:pPr>
                      <w:r>
                        <w:t>Select optional EQR-related activities (if applicable) in addition to the applicable mandatory EQR-related activities.</w:t>
                      </w:r>
                    </w:p>
                    <w:p w:rsidR="000C6526" w:rsidRPr="003011F1" w:rsidP="000C6526" w14:paraId="1341798B" w14:textId="23922958">
                      <w:pPr>
                        <w:pStyle w:val="EQRTextboxbullet2ndlevel"/>
                      </w:pPr>
                      <w:r>
                        <w:t xml:space="preserve">Designate a time frame for review. </w:t>
                      </w:r>
                      <w:r w:rsidRPr="003011F1">
                        <w:t xml:space="preserve">The activities must be performed in the 12 months preceding the finalization of the annual EQR technical report. </w:t>
                      </w:r>
                    </w:p>
                    <w:p w:rsidR="000C6526" w:rsidP="000C6526" w14:paraId="51E087D6" w14:textId="77777777">
                      <w:pPr>
                        <w:pStyle w:val="EQRTextboxNUMBER"/>
                      </w:pPr>
                      <w:r>
                        <w:t>Review all applicable federal regulations, state regulations or standards, and MCP state contracts.</w:t>
                      </w:r>
                    </w:p>
                    <w:p w:rsidR="000C6526" w:rsidP="000C6526" w14:paraId="2DC7FB61" w14:textId="77777777">
                      <w:pPr>
                        <w:pStyle w:val="EQRTextboxNUMBER"/>
                      </w:pPr>
                      <w:r>
                        <w:t>Confirm approach with entity and all EQR participants, including:</w:t>
                      </w:r>
                    </w:p>
                    <w:p w:rsidR="000C6526" w:rsidP="000C6526" w14:paraId="6C037B86" w14:textId="3FE8A6E1">
                      <w:pPr>
                        <w:pStyle w:val="EQRTextboxbullet2ndlevel"/>
                      </w:pPr>
                      <w:r>
                        <w:t>Each organization's responsibilities in collecting, reporting, and/or analyzing data</w:t>
                      </w:r>
                      <w:r w:rsidR="00762947">
                        <w:t>.</w:t>
                      </w:r>
                    </w:p>
                    <w:p w:rsidR="000C6526" w:rsidP="000C6526" w14:paraId="5CA6A1DD" w14:textId="1C5A0CAE">
                      <w:pPr>
                        <w:pStyle w:val="EQRTextboxbullet2ndlevel"/>
                      </w:pPr>
                      <w:r>
                        <w:t>Which regulations, contracts, and/or initiatives should be evaluated</w:t>
                      </w:r>
                      <w:r w:rsidR="00762947">
                        <w:t>.</w:t>
                      </w:r>
                    </w:p>
                    <w:p w:rsidR="000C6526" w:rsidP="000C6526" w14:paraId="7F9C818F" w14:textId="779D8C67">
                      <w:pPr>
                        <w:pStyle w:val="EQRTextboxbullet2ndlevel"/>
                      </w:pPr>
                      <w:r>
                        <w:t>Which reviews will occur and tools used</w:t>
                      </w:r>
                      <w:r w:rsidR="00762947">
                        <w:t>.</w:t>
                      </w:r>
                    </w:p>
                    <w:p w:rsidR="000C6526" w:rsidP="000C6526" w14:paraId="322348D4" w14:textId="38CAA885">
                      <w:pPr>
                        <w:pStyle w:val="EQRTextboxbullet2ndlevel"/>
                      </w:pPr>
                      <w:r>
                        <w:t>A timeline identifying the start and completion of each protocol</w:t>
                      </w:r>
                      <w:r w:rsidR="00762947">
                        <w:t>.</w:t>
                      </w:r>
                    </w:p>
                  </w:txbxContent>
                </v:textbox>
                <w10:wrap type="none"/>
                <w10:anchorlock/>
              </v:shape>
            </w:pict>
          </mc:Fallback>
        </mc:AlternateContent>
      </w:r>
    </w:p>
    <w:p w:rsidR="00BD21FA" w:rsidRPr="00990D3B" w14:paraId="34192219" w14:textId="39FE19FF">
      <w:pPr>
        <w:spacing w:line="240" w:lineRule="auto"/>
        <w:rPr>
          <w:rFonts w:eastAsia="Calibri"/>
        </w:rPr>
      </w:pPr>
      <w:bookmarkStart w:id="42" w:name="IntroNonDuplication"/>
      <w:bookmarkStart w:id="43" w:name="_Toc14777674"/>
      <w:bookmarkStart w:id="44" w:name="_Toc183005555"/>
      <w:bookmarkStart w:id="45" w:name="_Toc493246350"/>
      <w:bookmarkStart w:id="46" w:name="_Toc496116355"/>
      <w:r w:rsidRPr="00990D3B">
        <w:rPr>
          <w:rFonts w:eastAsia="Calibri"/>
        </w:rPr>
        <w:br w:type="page"/>
      </w:r>
    </w:p>
    <w:p w:rsidR="00403B39" w:rsidRPr="00990D3B" w:rsidP="00BD1FC3" w14:paraId="5F54DFDB" w14:textId="285731AA">
      <w:pPr>
        <w:pStyle w:val="H2"/>
        <w:rPr>
          <w:rFonts w:eastAsia="Calibri"/>
        </w:rPr>
      </w:pPr>
      <w:bookmarkStart w:id="47" w:name="_Toc201751326"/>
      <w:r w:rsidRPr="00990D3B">
        <w:rPr>
          <w:rFonts w:eastAsia="Calibri"/>
        </w:rPr>
        <w:t>N</w:t>
      </w:r>
      <w:r w:rsidRPr="00990D3B">
        <w:rPr>
          <w:rFonts w:eastAsia="Calibri"/>
        </w:rPr>
        <w:t xml:space="preserve">onduplication for Mandatory </w:t>
      </w:r>
      <w:r w:rsidRPr="00990D3B" w:rsidR="00CB2E18">
        <w:rPr>
          <w:rFonts w:eastAsia="Calibri"/>
        </w:rPr>
        <w:t>EQR</w:t>
      </w:r>
      <w:r w:rsidRPr="00990D3B">
        <w:rPr>
          <w:rFonts w:eastAsia="Calibri"/>
        </w:rPr>
        <w:t>-</w:t>
      </w:r>
      <w:r w:rsidRPr="00990D3B" w:rsidR="00051816">
        <w:rPr>
          <w:rFonts w:eastAsia="Calibri"/>
        </w:rPr>
        <w:t>R</w:t>
      </w:r>
      <w:r w:rsidRPr="00990D3B">
        <w:rPr>
          <w:rFonts w:eastAsia="Calibri"/>
        </w:rPr>
        <w:t xml:space="preserve">elated </w:t>
      </w:r>
      <w:bookmarkEnd w:id="42"/>
      <w:bookmarkEnd w:id="43"/>
      <w:r w:rsidRPr="00990D3B" w:rsidR="005448B6">
        <w:rPr>
          <w:rFonts w:eastAsia="Calibri"/>
        </w:rPr>
        <w:t>Activities</w:t>
      </w:r>
      <w:bookmarkEnd w:id="44"/>
      <w:bookmarkEnd w:id="47"/>
    </w:p>
    <w:p w:rsidR="009859E0" w:rsidRPr="00990D3B" w:rsidP="00D7596D" w14:paraId="0D377F87" w14:textId="01E6EBF4">
      <w:pPr>
        <w:pStyle w:val="ParagraphContinued"/>
      </w:pPr>
      <w:r w:rsidRPr="00990D3B">
        <w:t xml:space="preserve">Nonduplication is intended to reduce administrative burden on MCPs and states while still ensuring relevant information is available to EQROs for the annual EQR. The expansion of nonduplication to </w:t>
      </w:r>
      <w:r w:rsidRPr="00990D3B" w:rsidR="00383F81">
        <w:t xml:space="preserve">three of </w:t>
      </w:r>
      <w:r w:rsidRPr="00990D3B">
        <w:t xml:space="preserve">the mandatory EQR-related activities (Protocols </w:t>
      </w:r>
      <w:hyperlink w:anchor="Protocol1" w:history="1">
        <w:r w:rsidRPr="00990D3B">
          <w:rPr>
            <w:rStyle w:val="Hyperlink"/>
          </w:rPr>
          <w:t>1</w:t>
        </w:r>
      </w:hyperlink>
      <w:r w:rsidRPr="009451AC" w:rsidR="00AA7CD2">
        <w:rPr>
          <w:color w:val="005968"/>
        </w:rPr>
        <w:t xml:space="preserve">, </w:t>
      </w:r>
      <w:hyperlink w:anchor="Protocol2" w:history="1">
        <w:r w:rsidRPr="00990D3B" w:rsidR="00AA7CD2">
          <w:rPr>
            <w:rStyle w:val="Hyperlink"/>
          </w:rPr>
          <w:t>2</w:t>
        </w:r>
      </w:hyperlink>
      <w:r w:rsidRPr="00990D3B" w:rsidR="00AA7CD2">
        <w:t xml:space="preserve">, and </w:t>
      </w:r>
      <w:hyperlink w:anchor="Protocol3" w:history="1">
        <w:r w:rsidRPr="00990D3B" w:rsidR="00AA7CD2">
          <w:rPr>
            <w:rStyle w:val="Hyperlink"/>
          </w:rPr>
          <w:t>3</w:t>
        </w:r>
      </w:hyperlink>
      <w:r w:rsidRPr="00990D3B">
        <w:t>)</w:t>
      </w:r>
      <w:r w:rsidRPr="00990D3B" w:rsidR="003162DF">
        <w:rPr>
          <w:rFonts w:ascii="ZWAdobeF" w:hAnsi="ZWAdobeF" w:cs="ZWAdobeF"/>
          <w:sz w:val="2"/>
          <w:szCs w:val="2"/>
        </w:rPr>
        <w:t>19F</w:t>
      </w:r>
      <w:r>
        <w:rPr>
          <w:rStyle w:val="FootnoteReference"/>
          <w:rFonts w:cs="Arial"/>
          <w:szCs w:val="22"/>
        </w:rPr>
        <w:footnoteReference w:id="21"/>
      </w:r>
      <w:r w:rsidRPr="00990D3B">
        <w:t xml:space="preserve"> for all Medicaid managed care MCOs, PIHPs, and PAHPs—not just those serving only </w:t>
      </w:r>
      <w:r w:rsidRPr="00990D3B" w:rsidR="0090723C">
        <w:t>beneficiaries who are dually eligible for Medicare and Medicaid</w:t>
      </w:r>
      <w:r w:rsidRPr="00990D3B" w:rsidR="000C1D03">
        <w:t xml:space="preserve"> </w:t>
      </w:r>
      <w:r w:rsidRPr="00990D3B">
        <w:t xml:space="preserve">—provides additional flexibility to states to reduce administrative burden. Nonduplication is an option for a state </w:t>
      </w:r>
      <w:r w:rsidRPr="00990D3B" w:rsidR="00024FF7">
        <w:t xml:space="preserve">only </w:t>
      </w:r>
      <w:r w:rsidRPr="00990D3B">
        <w:t xml:space="preserve">when the Medicare or </w:t>
      </w:r>
      <w:r w:rsidRPr="00990D3B" w:rsidR="00526240">
        <w:t xml:space="preserve">private </w:t>
      </w:r>
      <w:r w:rsidRPr="00990D3B">
        <w:t xml:space="preserve">accreditation review standards are comparable to the EQR protocols (not vice versa). </w:t>
      </w:r>
      <w:r w:rsidRPr="00990D3B" w:rsidR="00383F81">
        <w:t xml:space="preserve">If a state elects to use nonduplication, it must document in its </w:t>
      </w:r>
      <w:r w:rsidRPr="00990D3B">
        <w:t xml:space="preserve">managed care </w:t>
      </w:r>
      <w:r w:rsidRPr="00990D3B" w:rsidR="00526240">
        <w:t>QS</w:t>
      </w:r>
      <w:r w:rsidRPr="00990D3B" w:rsidR="00383F81">
        <w:t xml:space="preserve"> </w:t>
      </w:r>
      <w:r w:rsidRPr="00990D3B" w:rsidR="00360400">
        <w:t xml:space="preserve">and its annual EQR technical report </w:t>
      </w:r>
      <w:r w:rsidRPr="00990D3B" w:rsidR="00383F81">
        <w:t>the EQR-related activities for which it utilize</w:t>
      </w:r>
      <w:r w:rsidRPr="00990D3B" w:rsidR="00360400">
        <w:t>s</w:t>
      </w:r>
      <w:r w:rsidRPr="00990D3B" w:rsidR="00383F81">
        <w:t xml:space="preserve"> nonduplication</w:t>
      </w:r>
      <w:r w:rsidRPr="00990D3B" w:rsidR="00CD1A32">
        <w:t>,</w:t>
      </w:r>
      <w:r w:rsidRPr="00990D3B" w:rsidR="00383F81">
        <w:t xml:space="preserve"> along with the state’s rationale for its determination that the Medicare or private accreditation review standards are comparable to those in these protocols</w:t>
      </w:r>
      <w:r w:rsidRPr="00990D3B">
        <w:t>.</w:t>
      </w:r>
      <w:r w:rsidRPr="00990D3B" w:rsidR="003162DF">
        <w:rPr>
          <w:rFonts w:ascii="ZWAdobeF" w:hAnsi="ZWAdobeF" w:cs="ZWAdobeF"/>
          <w:sz w:val="2"/>
          <w:szCs w:val="2"/>
        </w:rPr>
        <w:t>20F</w:t>
      </w:r>
      <w:r>
        <w:rPr>
          <w:vertAlign w:val="superscript"/>
        </w:rPr>
        <w:footnoteReference w:id="22"/>
      </w:r>
      <w:r w:rsidRPr="00990D3B">
        <w:t xml:space="preserve"> The federal requirements related to nonduplication of mandatory activities are described in </w:t>
      </w:r>
      <w:r w:rsidRPr="00990D3B" w:rsidR="001C7FC0">
        <w:t>42 C.F.R.</w:t>
      </w:r>
      <w:r w:rsidRPr="00990D3B" w:rsidR="007854DF">
        <w:t xml:space="preserve"> </w:t>
      </w:r>
      <w:r w:rsidRPr="00990D3B">
        <w:t>438.360. Like Medicaid, CHIP MCPs may submit information from</w:t>
      </w:r>
      <w:r w:rsidRPr="00990D3B" w:rsidR="00486640">
        <w:t xml:space="preserve"> a private accreditation review;</w:t>
      </w:r>
      <w:r w:rsidRPr="00990D3B">
        <w:t xml:space="preserve"> however, </w:t>
      </w:r>
      <w:r w:rsidRPr="00990D3B">
        <w:t>with regard to</w:t>
      </w:r>
      <w:r w:rsidRPr="00990D3B">
        <w:t xml:space="preserve"> CHIP, information documenting compliance with Medicare Advantage standards is not appli</w:t>
      </w:r>
      <w:r w:rsidRPr="00990D3B" w:rsidR="008A0B3A">
        <w:t xml:space="preserve">cable as described in </w:t>
      </w:r>
      <w:r w:rsidRPr="00990D3B" w:rsidR="001C7FC0">
        <w:t>42 C.F.R.</w:t>
      </w:r>
      <w:r w:rsidRPr="00990D3B" w:rsidR="007854DF">
        <w:t xml:space="preserve"> </w:t>
      </w:r>
      <w:r w:rsidRPr="00990D3B">
        <w:t xml:space="preserve">457.1250(a).  </w:t>
      </w:r>
    </w:p>
    <w:p w:rsidR="009859E0" w:rsidRPr="00990D3B" w:rsidP="00577F97" w14:paraId="735971A4" w14:textId="4FECEC1B">
      <w:pPr>
        <w:pStyle w:val="Paragraph0"/>
      </w:pPr>
      <w:r w:rsidRPr="00990D3B">
        <w:t xml:space="preserve">Nonduplication allows a state to </w:t>
      </w:r>
      <w:r w:rsidRPr="00990D3B">
        <w:t>use information from a Medicare or private accreditation review</w:t>
      </w:r>
      <w:r w:rsidRPr="00990D3B" w:rsidR="00454A29">
        <w:t xml:space="preserve"> </w:t>
      </w:r>
      <w:r w:rsidRPr="00990D3B" w:rsidR="00A7733D">
        <w:t xml:space="preserve">of an MCP </w:t>
      </w:r>
      <w:r w:rsidRPr="00990D3B" w:rsidR="00454A29">
        <w:t>that occurred in the 12</w:t>
      </w:r>
      <w:r w:rsidRPr="00990D3B" w:rsidR="00531A58">
        <w:t xml:space="preserve"> </w:t>
      </w:r>
      <w:r w:rsidRPr="00990D3B" w:rsidR="00454A29">
        <w:t xml:space="preserve">months preceding the </w:t>
      </w:r>
      <w:r w:rsidRPr="00990D3B" w:rsidR="00083162">
        <w:t>finalization</w:t>
      </w:r>
      <w:r w:rsidRPr="00990D3B" w:rsidR="00454A29">
        <w:t xml:space="preserve"> of the annual EQR technical report</w:t>
      </w:r>
      <w:r w:rsidRPr="00990D3B">
        <w:t xml:space="preserve"> </w:t>
      </w:r>
      <w:r w:rsidRPr="00990D3B">
        <w:t xml:space="preserve">in place of generating that information through </w:t>
      </w:r>
      <w:r w:rsidRPr="00990D3B">
        <w:t xml:space="preserve">one or more of </w:t>
      </w:r>
      <w:r w:rsidRPr="00990D3B">
        <w:t>three</w:t>
      </w:r>
      <w:r w:rsidRPr="00990D3B">
        <w:t xml:space="preserve"> mandatory EQR-related activities </w:t>
      </w:r>
      <w:r w:rsidRPr="00990D3B">
        <w:t xml:space="preserve">(Protocols </w:t>
      </w:r>
      <w:hyperlink w:anchor="Protocol1" w:history="1">
        <w:r w:rsidRPr="00990D3B">
          <w:rPr>
            <w:rStyle w:val="Hyperlink"/>
          </w:rPr>
          <w:t>1</w:t>
        </w:r>
      </w:hyperlink>
      <w:r w:rsidRPr="00990D3B" w:rsidR="007915AC">
        <w:t>,</w:t>
      </w:r>
      <w:r w:rsidRPr="00990D3B" w:rsidR="00E34F66">
        <w:rPr>
          <w:color w:val="1CA8B7"/>
        </w:rPr>
        <w:t xml:space="preserve"> </w:t>
      </w:r>
      <w:hyperlink w:anchor="Protocol2" w:history="1">
        <w:r w:rsidRPr="00990D3B" w:rsidR="00E34F66">
          <w:rPr>
            <w:rStyle w:val="Hyperlink"/>
          </w:rPr>
          <w:t>2</w:t>
        </w:r>
      </w:hyperlink>
      <w:r w:rsidRPr="00990D3B" w:rsidR="00E34F66">
        <w:t xml:space="preserve">, and </w:t>
      </w:r>
      <w:hyperlink w:anchor="Protocol3" w:history="1">
        <w:r w:rsidRPr="00990D3B">
          <w:rPr>
            <w:rStyle w:val="Hyperlink"/>
          </w:rPr>
          <w:t>3</w:t>
        </w:r>
      </w:hyperlink>
      <w:r w:rsidRPr="00990D3B">
        <w:t>)</w:t>
      </w:r>
      <w:r w:rsidRPr="00990D3B">
        <w:t>.</w:t>
      </w:r>
      <w:r w:rsidRPr="00990D3B" w:rsidR="003162DF">
        <w:rPr>
          <w:rFonts w:ascii="ZWAdobeF" w:hAnsi="ZWAdobeF" w:cs="ZWAdobeF"/>
          <w:sz w:val="2"/>
          <w:szCs w:val="2"/>
        </w:rPr>
        <w:t>21F</w:t>
      </w:r>
      <w:r>
        <w:rPr>
          <w:rStyle w:val="FootnoteReference"/>
          <w:rFonts w:cs="Arial"/>
          <w:szCs w:val="22"/>
        </w:rPr>
        <w:footnoteReference w:id="23"/>
      </w:r>
      <w:r w:rsidRPr="00990D3B">
        <w:t xml:space="preserve"> To do so, the </w:t>
      </w:r>
      <w:r w:rsidRPr="00990D3B" w:rsidR="00486640">
        <w:t xml:space="preserve">following </w:t>
      </w:r>
      <w:r w:rsidRPr="00990D3B">
        <w:t>conditions</w:t>
      </w:r>
      <w:r w:rsidRPr="00990D3B">
        <w:t xml:space="preserve"> must be met</w:t>
      </w:r>
      <w:r w:rsidRPr="00990D3B">
        <w:t>:</w:t>
      </w:r>
      <w:r w:rsidRPr="00990D3B" w:rsidR="001D38E9">
        <w:rPr>
          <w:noProof/>
        </w:rPr>
        <w:t xml:space="preserve"> </w:t>
      </w:r>
    </w:p>
    <w:p w:rsidR="009859E0" w:rsidRPr="00990D3B" w:rsidP="00FB7CAF" w14:paraId="49699B3C" w14:textId="07B9F6CE">
      <w:pPr>
        <w:pStyle w:val="EQRBulletBLUE"/>
      </w:pPr>
      <w:r w:rsidRPr="00990D3B">
        <w:t xml:space="preserve">The MCP </w:t>
      </w:r>
      <w:r w:rsidRPr="00990D3B">
        <w:t>is in compliance with</w:t>
      </w:r>
      <w:r w:rsidRPr="00990D3B">
        <w:t xml:space="preserve"> the applicable Medicare Advantage or private accreditation standards</w:t>
      </w:r>
      <w:r>
        <w:rPr>
          <w:rStyle w:val="FootnoteReference"/>
        </w:rPr>
        <w:footnoteReference w:id="24"/>
      </w:r>
    </w:p>
    <w:p w:rsidR="009859E0" w:rsidRPr="00990D3B" w:rsidP="00FB7CAF" w14:paraId="737533F8" w14:textId="5340549C">
      <w:pPr>
        <w:pStyle w:val="EQRBulletBLUE"/>
      </w:pPr>
      <w:r w:rsidRPr="00990D3B">
        <w:t>The Medicare</w:t>
      </w:r>
      <w:r w:rsidRPr="00990D3B">
        <w:t xml:space="preserve"> or private accreditation review standards are comparable to those established through the EQR </w:t>
      </w:r>
      <w:r w:rsidRPr="00990D3B" w:rsidR="00526240">
        <w:t>P</w:t>
      </w:r>
      <w:r w:rsidRPr="00990D3B">
        <w:t>rotocols for the</w:t>
      </w:r>
      <w:r w:rsidRPr="00990D3B" w:rsidR="00383F81">
        <w:t xml:space="preserve"> three</w:t>
      </w:r>
      <w:r w:rsidRPr="00990D3B">
        <w:t xml:space="preserve"> mandatory EQR-related activities</w:t>
      </w:r>
      <w:r w:rsidRPr="00990D3B" w:rsidR="00E34F66">
        <w:t>.</w:t>
      </w:r>
    </w:p>
    <w:p w:rsidR="009859E0" w:rsidRPr="00990D3B" w:rsidP="00FB7CAF" w14:paraId="7257B5DD" w14:textId="65082C73">
      <w:pPr>
        <w:pStyle w:val="EQRBulletBLUE"/>
      </w:pPr>
      <w:r w:rsidRPr="00990D3B">
        <w:t xml:space="preserve">The MCP </w:t>
      </w:r>
      <w:r w:rsidRPr="00990D3B" w:rsidR="004330A7">
        <w:t xml:space="preserve">provides the state with </w:t>
      </w:r>
      <w:r w:rsidRPr="00990D3B">
        <w:t xml:space="preserve">all applicable reports, findings, and </w:t>
      </w:r>
      <w:r w:rsidRPr="00990D3B" w:rsidR="004330A7">
        <w:t xml:space="preserve">other </w:t>
      </w:r>
      <w:r w:rsidRPr="00990D3B">
        <w:t xml:space="preserve">results of the Medicare or private accreditation review </w:t>
      </w:r>
      <w:r w:rsidRPr="00990D3B" w:rsidR="004330A7">
        <w:t xml:space="preserve">applicable to the specified EQR-related </w:t>
      </w:r>
      <w:r w:rsidRPr="00990D3B">
        <w:t>activities</w:t>
      </w:r>
      <w:r w:rsidRPr="00990D3B" w:rsidR="00E34F66">
        <w:t xml:space="preserve">. </w:t>
      </w:r>
    </w:p>
    <w:p w:rsidR="009859E0" w:rsidRPr="00990D3B" w:rsidP="00BD1FC3" w14:paraId="29E8DA65" w14:textId="35F741CC">
      <w:pPr>
        <w:pStyle w:val="ParagraphContinued"/>
      </w:pPr>
      <w:r w:rsidRPr="00990D3B">
        <w:t>The state is responsible for providing the EQRO with all information from the Medicare or private accreditation review</w:t>
      </w:r>
      <w:r w:rsidRPr="00990D3B" w:rsidR="002431F8">
        <w:t>,</w:t>
      </w:r>
      <w:r w:rsidRPr="00990D3B">
        <w:t xml:space="preserve"> which is being used for nonduplication. </w:t>
      </w:r>
      <w:r w:rsidRPr="00990D3B">
        <w:t xml:space="preserve">The EQRO then assesses the completeness of information from the accreditation review to determine the extent of nonduplication, including confirming the comparable information fully meets the requirements for completing the analysis and developing EQR findings and recommendations. If a state </w:t>
      </w:r>
      <w:r w:rsidRPr="00990D3B">
        <w:t>chooses nonduplication, it must ensure the completion of any EQR-related activities (or components of those activities) not addressed by the information from the</w:t>
      </w:r>
      <w:r w:rsidRPr="00990D3B">
        <w:t xml:space="preserve"> Medicare or private</w:t>
      </w:r>
      <w:r w:rsidRPr="00990D3B">
        <w:t xml:space="preserve"> accreditation review. For example, if an accreditation review did not validate </w:t>
      </w:r>
      <w:r w:rsidRPr="00990D3B" w:rsidR="00910E7C">
        <w:t>long-term</w:t>
      </w:r>
      <w:r w:rsidRPr="00990D3B">
        <w:t xml:space="preserve"> services or </w:t>
      </w:r>
      <w:r w:rsidRPr="00990D3B">
        <w:t>supports</w:t>
      </w:r>
      <w:r w:rsidRPr="00990D3B">
        <w:t xml:space="preserve"> (LTSS) or other non-HEDIS</w:t>
      </w:r>
      <w:r w:rsidRPr="00990D3B" w:rsidR="009A25BD">
        <w:t>®</w:t>
      </w:r>
      <w:r w:rsidRPr="00990D3B">
        <w:t xml:space="preserve"> measures required by the state</w:t>
      </w:r>
      <w:r w:rsidRPr="00990D3B">
        <w:t xml:space="preserve"> as a part of an MCP’s QAPI program</w:t>
      </w:r>
      <w:r w:rsidRPr="00990D3B">
        <w:t>, that validation activity would need to b</w:t>
      </w:r>
      <w:r w:rsidRPr="00990D3B" w:rsidR="002D2A92">
        <w:t>e completed for those measures.</w:t>
      </w:r>
    </w:p>
    <w:p w:rsidR="00065C97" w:rsidRPr="00990D3B" w:rsidP="00BD1FC3" w14:paraId="38C215EE" w14:textId="77777777">
      <w:pPr>
        <w:pStyle w:val="Paragraph0"/>
      </w:pPr>
      <w:r w:rsidRPr="00990D3B">
        <w:t>It is important to note that even when information from a Medicare or private accreditation review does not completely meet the requirements of an activity, that information can still be used toward meeting t</w:t>
      </w:r>
      <w:r w:rsidRPr="00990D3B" w:rsidR="002D2A92">
        <w:t>he nonduplication requirements.</w:t>
      </w:r>
      <w:r w:rsidRPr="00990D3B">
        <w:t xml:space="preserve"> For example, nonduplication might satisfy a subset of the regulatory requirements that are subjects of the compliance review. In this example, the EQRO could use information from the nonduplication source for that subset of requirements, and then the EQR-related activity would only need to be conducted on the remaining requirements to fully assess compliance. Similarly, if a state requires its MCPs to incl</w:t>
      </w:r>
      <w:r w:rsidRPr="00990D3B" w:rsidR="00412EAD">
        <w:t>ude 10 measures in QAPI and 5</w:t>
      </w:r>
      <w:r w:rsidRPr="00990D3B">
        <w:t xml:space="preserve"> are validated as a part of an accredi</w:t>
      </w:r>
      <w:r w:rsidRPr="00990D3B" w:rsidR="00412EAD">
        <w:t>tation review, only the other 5</w:t>
      </w:r>
      <w:r w:rsidRPr="00990D3B">
        <w:t xml:space="preserve"> would need to be validated through the EQR-related activity. Validation information on all 10 measures would then be provided to the EQRO for the EQR</w:t>
      </w:r>
      <w:r w:rsidRPr="00990D3B" w:rsidR="00910E7C">
        <w:t xml:space="preserve"> and reported in the EQR technical report. </w:t>
      </w:r>
    </w:p>
    <w:p w:rsidR="00771C2E" w:rsidRPr="00990D3B" w:rsidP="00BD1FC3" w14:paraId="0528CA9E" w14:textId="7636D059">
      <w:pPr>
        <w:pStyle w:val="Paragraph0"/>
      </w:pPr>
      <w:r w:rsidRPr="00990D3B">
        <w:t xml:space="preserve">When information from a Medicare or private accreditation review of an MCP is used to support one or more mandatory EQR-related activities, the EQRO’s </w:t>
      </w:r>
      <w:r w:rsidRPr="00990D3B" w:rsidR="002431F8">
        <w:t>data analysis</w:t>
      </w:r>
      <w:r w:rsidRPr="00990D3B">
        <w:t xml:space="preserve"> is eligible for FFP. The accreditation activities that produce the information are not eligible for the FFP. When using non</w:t>
      </w:r>
      <w:r w:rsidRPr="00990D3B">
        <w:t xml:space="preserve">duplication, the EQRO is responsible for reviewing findings from the Medicare and </w:t>
      </w:r>
      <w:r w:rsidRPr="00990D3B">
        <w:t>private accreditation review</w:t>
      </w:r>
      <w:r w:rsidRPr="00990D3B">
        <w:t xml:space="preserve"> and incorporating them into the EQR technical </w:t>
      </w:r>
      <w:r w:rsidRPr="00990D3B">
        <w:t>report</w:t>
      </w:r>
      <w:r w:rsidRPr="00990D3B">
        <w:t xml:space="preserve">. Note that </w:t>
      </w:r>
      <w:r w:rsidRPr="00990D3B" w:rsidR="002431F8">
        <w:t xml:space="preserve">the </w:t>
      </w:r>
      <w:r w:rsidRPr="00990D3B">
        <w:t>use of nonduplication is at the discretion of the state, not its MCPs.</w:t>
      </w:r>
    </w:p>
    <w:p w:rsidR="007B6397" w:rsidRPr="00990D3B" w:rsidP="00BD1FC3" w14:paraId="536C2B3B" w14:textId="3FCEA904">
      <w:pPr>
        <w:pStyle w:val="Paragraph0"/>
      </w:pPr>
      <w:r w:rsidRPr="00990D3B">
        <w:t>Non</w:t>
      </w:r>
      <w:r w:rsidRPr="00990D3B">
        <w:t>duplication is not the same as exemption. In cases of non</w:t>
      </w:r>
      <w:r w:rsidRPr="00990D3B">
        <w:t xml:space="preserve">duplication, the EQRO reviews and incorporates work conducted by another entity—such as a HEDIS® audit—into the </w:t>
      </w:r>
      <w:r w:rsidRPr="00990D3B" w:rsidR="00ED72E3">
        <w:t>EQR but</w:t>
      </w:r>
      <w:r w:rsidRPr="00990D3B">
        <w:t xml:space="preserve"> still plays a role in validating and reporting the findings. </w:t>
      </w:r>
      <w:r w:rsidRPr="00990D3B" w:rsidR="00E00155">
        <w:t>A</w:t>
      </w:r>
      <w:r w:rsidRPr="00990D3B">
        <w:t xml:space="preserve">n exemption means </w:t>
      </w:r>
      <w:r w:rsidRPr="00990D3B" w:rsidR="00E00155">
        <w:t xml:space="preserve">that </w:t>
      </w:r>
      <w:r w:rsidRPr="00990D3B">
        <w:t>the EQRO is not required to conduct or review certain activities for a</w:t>
      </w:r>
      <w:r w:rsidRPr="00990D3B" w:rsidR="00E00155">
        <w:t xml:space="preserve">n MCP </w:t>
      </w:r>
      <w:r w:rsidRPr="00990D3B">
        <w:t>because it meets specific CMS-approved criteria.</w:t>
      </w:r>
      <w:r w:rsidRPr="00990D3B" w:rsidR="00D0414A">
        <w:t xml:space="preserve"> </w:t>
      </w:r>
      <w:hyperlink w:anchor="Box5" w:tooltip="Box 5" w:history="1">
        <w:r w:rsidRPr="00990D3B">
          <w:rPr>
            <w:rStyle w:val="Hyperlink"/>
          </w:rPr>
          <w:t>Box 5</w:t>
        </w:r>
      </w:hyperlink>
      <w:r w:rsidRPr="00990D3B">
        <w:t xml:space="preserve"> </w:t>
      </w:r>
      <w:r w:rsidRPr="00990D3B" w:rsidR="00065C97">
        <w:t xml:space="preserve">(next page) </w:t>
      </w:r>
      <w:r w:rsidRPr="00990D3B">
        <w:t>reviews the differences between nonduplication and</w:t>
      </w:r>
      <w:r w:rsidRPr="00990D3B" w:rsidR="00BD21FA">
        <w:t> </w:t>
      </w:r>
      <w:r w:rsidRPr="00990D3B">
        <w:t>exemption.</w:t>
      </w:r>
      <w:bookmarkStart w:id="48" w:name="_Hlk82961151"/>
    </w:p>
    <w:bookmarkEnd w:id="48"/>
    <w:p w:rsidR="00ED70F4" w:rsidRPr="00990D3B" w:rsidP="00BD1FC3" w14:paraId="1CF208AA" w14:textId="196529EE">
      <w:pPr>
        <w:pStyle w:val="Paragraph0"/>
      </w:pPr>
      <w:r w:rsidRPr="00990D3B">
        <w:rPr>
          <w:noProof/>
        </w:rPr>
        <mc:AlternateContent>
          <mc:Choice Requires="wps">
            <w:drawing>
              <wp:inline distT="0" distB="0" distL="0" distR="0">
                <wp:extent cx="5897880" cy="1567180"/>
                <wp:effectExtent l="19050" t="19050" r="7620" b="0"/>
                <wp:docPr id="1022566693" name="Text Box 224" descr="Box 5. What is the Difference Between Nonduplication and Exemption?&#10;Nonduplication is a way to provide information for the annual EQR without conducting part of, or all of, one or more EQR-related activities by using information yielded by a comparable review process. Under nonduplication, an MCO, PIHP, or PAHP is still subject to EQR and will be included in the annual EQR technical report. Nonduplication may be used at the state’s discretion and consistent with documentation in the state’s managed care quality strategy. &#10;Exemption is an option that allows a state to exempt an MCO (but not a PIHP or PAHP) from the annual EQR process under certain circumstances. If a state exempts an MCO from EQR, the MCO will not be included in the annual EQR technical report. The EQR technical report should note which MCOs were exempt within the EQR technical report. Exemption may be used at the state’s discretion when the following three conditions are met: &#10;• The MCO has both a current Medicare Advantage contract and a current Medicaid contract;&#10;• The two contracts cover all or part of the same geographic area in the state; and&#10;• The Medicaid contract has been in effect for at least two consecutive years before the exemption date, and during those same two years, the MCO has been subject to EQR and met quality, timeliness, and access to health care services standards for Medicaid beneficiaries.&#10;If a state wants to exempt an MCO from EQR, it must obtain either of the following:&#10;• For MCOs reviewed by Medicare, the state must obtain annually the most recent Medicare review findings from the MCO, including all data, correspondence, information, and findings relevant to the MCO’s compliance with Medicare standards for (1) access, quality assessment and performance improvement, health services, or delegation of these activities, (2) all measures of the MCO’s performance, and (3) results and findings of all performance improvement projects for Medicare enrollees.&#10;• As part of the 2024 final rule, CMS removed the requirement that private, national accrediting organizations (PAOs) apply for Medicare Advantage deeming authority from CMS in order for states to rely on PAO accreditation reviews in lieu of EQR activities. For MCOs reviewed by a PAO, the state must require that the MCO provide a copy of all findings from its most recent accreditation review if that review was used to meet certain requirements for Medicare external review or to determine compliance with Medicare requirements. At a minimum, findings must include accreditation review results of evaluation of compliance with individual accreditation standards, any deficiencies, corrective action plans, and summaries of unmet accreditation requirements.&#10;Each year, the state must identify MCOs exempt from EQR on its website in the same location where EQR technical reports are posted. The state must include the name(s) of the exempt MCO(s), including the beginning date of the current exemption period, or that no MCOs are exempt from EQR.&#10;Complete requirements for exemption of MCOs are available at 42 C.F.R. 438.362.&#10;">
                  <a:extLst xmlns:a="http://schemas.openxmlformats.org/drawingml/2006/main">
                    <a:ext xmlns:a="http://schemas.openxmlformats.org/drawingml/2006/main"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897880" cy="1567180"/>
                        </a:xfrm>
                        <a:prstGeom prst="rect">
                          <a:avLst/>
                        </a:prstGeom>
                        <a:solidFill>
                          <a:srgbClr val="EEF5F8"/>
                        </a:solidFill>
                        <a:ln w="28575" cap="rnd">
                          <a:solidFill>
                            <a:srgbClr val="A5DAD9"/>
                          </a:solidFill>
                          <a:prstDash val="solid"/>
                          <a:miter lim="800000"/>
                          <a:headEnd/>
                          <a:tailEnd/>
                        </a:ln>
                      </wps:spPr>
                      <wps:txbx>
                        <w:txbxContent>
                          <w:p w:rsidR="00ED33C3" w:rsidRPr="004C5B2B" w:rsidP="00ED70F4" w14:textId="0A9B3085">
                            <w:pPr>
                              <w:pStyle w:val="EQRTextboxheading"/>
                            </w:pPr>
                            <w:bookmarkStart w:id="49" w:name="Box5"/>
                            <w:r w:rsidRPr="00E34F66">
                              <w:t xml:space="preserve">Box </w:t>
                            </w:r>
                            <w:r w:rsidRPr="007915AC" w:rsidR="00E34F66">
                              <w:t>5</w:t>
                            </w:r>
                            <w:bookmarkEnd w:id="49"/>
                            <w:r w:rsidRPr="00E34F66">
                              <w:t>. What is the Difference Between Nonduplication and Exemption?</w:t>
                            </w:r>
                          </w:p>
                          <w:p w:rsidR="00ED33C3" w:rsidRPr="00561F05" w:rsidP="00561F05" w14:textId="77777777">
                            <w:pPr>
                              <w:pStyle w:val="EQRTextboxbody"/>
                            </w:pPr>
                            <w:r w:rsidRPr="00561F05">
                              <w:rPr>
                                <w:b/>
                                <w:bCs/>
                              </w:rPr>
                              <w:t>Nonduplication</w:t>
                            </w:r>
                            <w:r w:rsidRPr="00561F05">
                              <w:t xml:space="preserve"> is a way to provide information for the annual EQR without conducting part of, or </w:t>
                            </w:r>
                            <w:r w:rsidRPr="00561F05">
                              <w:t>all of</w:t>
                            </w:r>
                            <w:r w:rsidRPr="00561F05">
                              <w:t xml:space="preserve">, one or more EQR-related activities by using information yielded by a comparable review process. Under nonduplication, an MCO, PIHP, or PAHP is still subject to EQR and will be included in the annual EQR technical report. Nonduplication may be used at the state’s discretion and consistent with documentation in the state’s managed care quality strategy. </w:t>
                            </w:r>
                          </w:p>
                          <w:p w:rsidR="00ED33C3" w:rsidRPr="00561F05" w:rsidP="00561F05" w14:textId="3C906C7A">
                            <w:pPr>
                              <w:pStyle w:val="EQRTextboxbody"/>
                            </w:pPr>
                            <w:r w:rsidRPr="00561F05">
                              <w:rPr>
                                <w:b/>
                                <w:bCs/>
                              </w:rPr>
                              <w:t>Exemption</w:t>
                            </w:r>
                            <w:r w:rsidRPr="00561F05">
                              <w:t xml:space="preserve"> is an option </w:t>
                            </w:r>
                            <w:r w:rsidR="00910E7C">
                              <w:t>that</w:t>
                            </w:r>
                            <w:r w:rsidRPr="00561F05" w:rsidR="00910E7C">
                              <w:t xml:space="preserve"> </w:t>
                            </w:r>
                            <w:r w:rsidRPr="00561F05">
                              <w:t>allows a state to exempt an MCO (but not a PIHP or PAHP) from the annual EQR process under certain circumstances. If a state exempts an MCO from EQR, the MCO will not be included in the annual EQR technical report.</w:t>
                            </w:r>
                            <w:r w:rsidR="00910E7C">
                              <w:t xml:space="preserve"> The EQR technical report should note which</w:t>
                            </w:r>
                            <w:r w:rsidR="008D7F51">
                              <w:t xml:space="preserve"> MCOs were exempt within the EQR technical report.</w:t>
                            </w:r>
                            <w:r w:rsidRPr="00561F05">
                              <w:t xml:space="preserve"> Exemption may be used at the state’s discretion when the following three conditions are met: </w:t>
                            </w:r>
                          </w:p>
                          <w:p w:rsidR="00ED33C3" w:rsidRPr="00561F05" w:rsidP="00561F05" w14:textId="77777777">
                            <w:pPr>
                              <w:pStyle w:val="EQRTextboxbullet"/>
                            </w:pPr>
                            <w:r w:rsidRPr="00561F05">
                              <w:t xml:space="preserve">The MCO has both a current Medicare Advantage contract and a current Medicaid </w:t>
                            </w:r>
                            <w:r w:rsidRPr="00561F05">
                              <w:t>contract;</w:t>
                            </w:r>
                          </w:p>
                          <w:p w:rsidR="00ED33C3" w:rsidRPr="00561F05" w:rsidP="00561F05" w14:textId="77777777">
                            <w:pPr>
                              <w:pStyle w:val="EQRTextboxbullet"/>
                            </w:pPr>
                            <w:r w:rsidRPr="00561F05">
                              <w:t>The two contracts cover all or part of the same geographic area in the state; and</w:t>
                            </w:r>
                          </w:p>
                          <w:p w:rsidR="00ED33C3" w:rsidRPr="00561F05" w:rsidP="00561F05" w14:textId="1B3F0A32">
                            <w:pPr>
                              <w:pStyle w:val="EQRTextboxbullet"/>
                            </w:pPr>
                            <w:r w:rsidRPr="00561F05">
                              <w:t>The Medicaid contract has been in effect for at least two consecutive years before the exemption date, and during those same two years, the MCO has been subject to EQR and met quality, timeliness, and access to health care services standards for Medicaid beneficiaries</w:t>
                            </w:r>
                            <w:r w:rsidR="00CE5DD5">
                              <w:t>.</w:t>
                            </w:r>
                          </w:p>
                          <w:p w:rsidR="00ED33C3" w:rsidRPr="00561F05" w:rsidP="00561F05" w14:textId="77777777">
                            <w:pPr>
                              <w:pStyle w:val="EQRTextboxbody"/>
                            </w:pPr>
                            <w:r w:rsidRPr="00561F05">
                              <w:t>If a state wants to exempt an MCO from EQR, it must obtain either of the following:</w:t>
                            </w:r>
                          </w:p>
                          <w:p w:rsidR="00ED33C3" w:rsidRPr="00561F05" w:rsidP="00561F05" w14:textId="5C76EE9D">
                            <w:pPr>
                              <w:pStyle w:val="EQRTextboxbullet"/>
                            </w:pPr>
                            <w:r w:rsidRPr="00561F05">
                              <w:t>For MCOs reviewed by Medicare, the state must obtain annually the most recent Medicare review findings from the MCO, including all data, correspondence, information, and findings relevant to the MCO’s compliance with Medicare standards for (1) access, quality assessment and performance improvement, health services, or delegation of these activities, (2) all measures of the MCO’s performance, and (3) results and findings of all performance improvement projects for Medicare enrollees</w:t>
                            </w:r>
                            <w:r w:rsidR="00CE5DD5">
                              <w:t>.</w:t>
                            </w:r>
                          </w:p>
                          <w:p w:rsidR="00ED33C3" w:rsidRPr="00561F05" w:rsidP="00545FF0" w14:textId="194C153B">
                            <w:pPr>
                              <w:pStyle w:val="EQRTextboxbullet"/>
                            </w:pPr>
                            <w:r w:rsidRPr="006927C5">
                              <w:t xml:space="preserve">As part of the 2024 final rule, CMS removed the requirement that private, national accrediting organizations (PAOs) apply for Medicare Advantage deeming authority from CMS </w:t>
                            </w:r>
                            <w:r w:rsidRPr="006927C5">
                              <w:t>in order for</w:t>
                            </w:r>
                            <w:r w:rsidRPr="006927C5">
                              <w:t xml:space="preserve"> states to rely on PAO accreditation reviews in lieu of EQR activities</w:t>
                            </w:r>
                            <w:r w:rsidRPr="00A0186E">
                              <w:t>.</w:t>
                            </w:r>
                            <w:r>
                              <w:t xml:space="preserve"> </w:t>
                            </w:r>
                            <w:r w:rsidRPr="00561F05">
                              <w:t xml:space="preserve">For MCOs reviewed by a </w:t>
                            </w:r>
                            <w:r>
                              <w:t>PAO</w:t>
                            </w:r>
                            <w:r w:rsidRPr="00561F05">
                              <w:t>, the state must require that the MCO provide a copy of all findings from its most recent accreditation review if that review was used to meet certain requirements for Medicare external review or to determine compliance with Medicare requirements. At a minimum, findings must include accreditation review results of evaluation of compliance with individual accreditation standards, any deficiencies, corrective action plans, and summaries of unmet accreditation requirements</w:t>
                            </w:r>
                            <w:r w:rsidR="00CE5DD5">
                              <w:t>.</w:t>
                            </w:r>
                          </w:p>
                          <w:p w:rsidR="00ED33C3" w:rsidRPr="00561F05" w:rsidP="00561F05" w14:textId="77777777">
                            <w:pPr>
                              <w:pStyle w:val="EQRTextboxbody"/>
                            </w:pPr>
                            <w:r w:rsidRPr="00561F05">
                              <w:t>Each year, the state must identify MCOs exempt from EQR on its website in the same location where EQR technical reports are posted. The state must include the name(s) of the exempt MCO(s), including the beginning date of the current exemption period, or that no MCOs are exempt from EQR.</w:t>
                            </w:r>
                          </w:p>
                          <w:p w:rsidR="00ED33C3" w:rsidP="00561F05" w14:textId="3BBC4BC5">
                            <w:pPr>
                              <w:pStyle w:val="EQRTextboxbody"/>
                            </w:pPr>
                            <w:r w:rsidRPr="00561F05">
                              <w:t xml:space="preserve">Complete requirements for exemption of MCOs are available at </w:t>
                            </w:r>
                            <w:r w:rsidR="001C7FC0">
                              <w:t>42 C.F.R.</w:t>
                            </w:r>
                            <w:r w:rsidRPr="00561F05">
                              <w:t xml:space="preserve"> 438.362.</w:t>
                            </w:r>
                          </w:p>
                        </w:txbxContent>
                      </wps:txbx>
                      <wps:bodyPr rot="0" vert="horz" wrap="square" lIns="109728" tIns="45720" rIns="109728" bIns="45720" anchor="t" anchorCtr="0" upright="1">
                        <a:spAutoFit/>
                      </wps:bodyPr>
                    </wps:wsp>
                  </a:graphicData>
                </a:graphic>
              </wp:inline>
            </w:drawing>
          </mc:Choice>
          <mc:Fallback>
            <w:pict>
              <v:shape id="Text Box 224" o:spid="_x0000_i1041" type="#_x0000_t202" alt="Box 5. What is the Difference Between Nonduplication and Exemption?&#10;Nonduplication is a way to provide information for the annual EQR without conducting part of, or all of, one or more EQR-related activities by using information yielded by a comparable review process. Under nonduplication, an MCO, PIHP, or PAHP is still subject to EQR and will be included in the annual EQR technical report. Nonduplication may be used at the state’s discretion and consistent with documentation in the state’s managed care quality strategy. &#10;Exemption is an option that allows a state to exempt an MCO (but not a PIHP or PAHP) from the annual EQR process under certain circumstances. If a state exempts an MCO from EQR, the MCO will not be included in the annual EQR technical report. The EQR technical report should note which MCOs were exempt within the EQR technical report. Exemption may be used at the state’s discretion when the following three conditions are met: &#10;• The MCO has both a current Medicare Advantage contract and a current Medicaid contract;&#10;• The two contracts cover all or part of the same geographic area in the state; and&#10;• The Medicaid contract has been in effect for at least two consecutive years before the exemption date, and during those same two years, the MCO has been subject to EQR and met quality, timeliness, and access to health care services standards for Medicaid beneficiaries.&#10;If a state wants to exempt an MCO from EQR, it must obtain either of the following:&#10;• For MCOs reviewed by Medicare, the state must obtain annually the most recent Medicare review findings from the MCO, including all data, correspondence, information, and findings relevant to the MCO’s compliance with Medicare standards for (1) access, quality assessment and performance improvement, health services, or delegation of these activities, (2) all measures of the MCO’s performance, and (3) results and findings of all performance improvement projects for Medicare enrollees.&#10;• As part of the 2024 final rule, CMS removed the requirement that private, national accrediting organizations (PAOs) apply for Medicare Advantage deeming authority from CMS in order for states to rely on PAO accreditation reviews in lieu of EQR activities. For MCOs reviewed by a PAO, the state must require that the MCO provide a copy of all findings from its most recent accreditation review if that review was used to meet certain requirements for Medicare external review or to determine compliance with Medicare requirements. At a minimum, findings must include accreditation review results of evaluation of compliance with individual accreditation standards, any deficiencies, corrective action plans, and summaries of unmet accreditation requirements.&#10;Each year, the state must identify MCOs exempt from EQR on its website in the same location where EQR technical reports are posted. The state must include the name(s) of the exempt MCO(s), including the beginning date of the current exemption period, or that no MCOs are exempt from EQR.&#10;Complete requirements for exemption of MCOs are available at 42 C.F.R. 438.362.&#10;" style="width:464.4pt;height:123.4pt;flip:y;mso-left-percent:-10001;mso-position-horizontal-relative:char;mso-position-vertical-relative:line;mso-top-percent:-10001;mso-wrap-style:square;rotation:180;visibility:visible;v-text-anchor:top" fillcolor="#eef5f8" strokecolor="#a5dad9" strokeweight="2.25pt">
                <v:stroke endcap="round"/>
                <v:textbox style="mso-fit-shape-to-text:t" inset="8.64pt,,8.64pt">
                  <w:txbxContent>
                    <w:p w:rsidR="00ED33C3" w:rsidRPr="004C5B2B" w:rsidP="00ED70F4" w14:paraId="0C431769" w14:textId="0A9B3085">
                      <w:pPr>
                        <w:pStyle w:val="EQRTextboxheading"/>
                      </w:pPr>
                      <w:bookmarkStart w:id="49" w:name="Box5"/>
                      <w:r w:rsidRPr="00E34F66">
                        <w:t xml:space="preserve">Box </w:t>
                      </w:r>
                      <w:r w:rsidRPr="007915AC" w:rsidR="00E34F66">
                        <w:t>5</w:t>
                      </w:r>
                      <w:bookmarkEnd w:id="49"/>
                      <w:r w:rsidRPr="00E34F66">
                        <w:t>. What is the Difference Between Nonduplication and Exemption?</w:t>
                      </w:r>
                    </w:p>
                    <w:p w:rsidR="00ED33C3" w:rsidRPr="00561F05" w:rsidP="00561F05" w14:paraId="2E3D83FC" w14:textId="77777777">
                      <w:pPr>
                        <w:pStyle w:val="EQRTextboxbody"/>
                      </w:pPr>
                      <w:r w:rsidRPr="00561F05">
                        <w:rPr>
                          <w:b/>
                          <w:bCs/>
                        </w:rPr>
                        <w:t>Nonduplication</w:t>
                      </w:r>
                      <w:r w:rsidRPr="00561F05">
                        <w:t xml:space="preserve"> is a way to provide information for the annual EQR without conducting part of, or </w:t>
                      </w:r>
                      <w:r w:rsidRPr="00561F05">
                        <w:t>all of</w:t>
                      </w:r>
                      <w:r w:rsidRPr="00561F05">
                        <w:t xml:space="preserve">, one or more EQR-related activities by using information yielded by a comparable review process. Under nonduplication, an MCO, PIHP, or PAHP is still subject to EQR and will be included in the annual EQR technical report. Nonduplication may be used at the state’s discretion and consistent with documentation in the state’s managed care quality strategy. </w:t>
                      </w:r>
                    </w:p>
                    <w:p w:rsidR="00ED33C3" w:rsidRPr="00561F05" w:rsidP="00561F05" w14:paraId="08FD2D45" w14:textId="3C906C7A">
                      <w:pPr>
                        <w:pStyle w:val="EQRTextboxbody"/>
                      </w:pPr>
                      <w:r w:rsidRPr="00561F05">
                        <w:rPr>
                          <w:b/>
                          <w:bCs/>
                        </w:rPr>
                        <w:t>Exemption</w:t>
                      </w:r>
                      <w:r w:rsidRPr="00561F05">
                        <w:t xml:space="preserve"> is an option </w:t>
                      </w:r>
                      <w:r w:rsidR="00910E7C">
                        <w:t>that</w:t>
                      </w:r>
                      <w:r w:rsidRPr="00561F05" w:rsidR="00910E7C">
                        <w:t xml:space="preserve"> </w:t>
                      </w:r>
                      <w:r w:rsidRPr="00561F05">
                        <w:t>allows a state to exempt an MCO (but not a PIHP or PAHP) from the annual EQR process under certain circumstances. If a state exempts an MCO from EQR, the MCO will not be included in the annual EQR technical report.</w:t>
                      </w:r>
                      <w:r w:rsidR="00910E7C">
                        <w:t xml:space="preserve"> The EQR technical report should note which</w:t>
                      </w:r>
                      <w:r w:rsidR="008D7F51">
                        <w:t xml:space="preserve"> MCOs were exempt within the EQR technical report.</w:t>
                      </w:r>
                      <w:r w:rsidRPr="00561F05">
                        <w:t xml:space="preserve"> Exemption may be used at the state’s discretion when the following three conditions are met: </w:t>
                      </w:r>
                    </w:p>
                    <w:p w:rsidR="00ED33C3" w:rsidRPr="00561F05" w:rsidP="00561F05" w14:paraId="73BE77EB" w14:textId="77777777">
                      <w:pPr>
                        <w:pStyle w:val="EQRTextboxbullet"/>
                      </w:pPr>
                      <w:r w:rsidRPr="00561F05">
                        <w:t xml:space="preserve">The MCO has both a current Medicare Advantage contract and a current Medicaid </w:t>
                      </w:r>
                      <w:r w:rsidRPr="00561F05">
                        <w:t>contract;</w:t>
                      </w:r>
                    </w:p>
                    <w:p w:rsidR="00ED33C3" w:rsidRPr="00561F05" w:rsidP="00561F05" w14:paraId="6D0B79FD" w14:textId="77777777">
                      <w:pPr>
                        <w:pStyle w:val="EQRTextboxbullet"/>
                      </w:pPr>
                      <w:r w:rsidRPr="00561F05">
                        <w:t>The two contracts cover all or part of the same geographic area in the state; and</w:t>
                      </w:r>
                    </w:p>
                    <w:p w:rsidR="00ED33C3" w:rsidRPr="00561F05" w:rsidP="00561F05" w14:paraId="6C53D66B" w14:textId="1B3F0A32">
                      <w:pPr>
                        <w:pStyle w:val="EQRTextboxbullet"/>
                      </w:pPr>
                      <w:r w:rsidRPr="00561F05">
                        <w:t>The Medicaid contract has been in effect for at least two consecutive years before the exemption date, and during those same two years, the MCO has been subject to EQR and met quality, timeliness, and access to health care services standards for Medicaid beneficiaries</w:t>
                      </w:r>
                      <w:r w:rsidR="00CE5DD5">
                        <w:t>.</w:t>
                      </w:r>
                    </w:p>
                    <w:p w:rsidR="00ED33C3" w:rsidRPr="00561F05" w:rsidP="00561F05" w14:paraId="6755BC48" w14:textId="77777777">
                      <w:pPr>
                        <w:pStyle w:val="EQRTextboxbody"/>
                      </w:pPr>
                      <w:r w:rsidRPr="00561F05">
                        <w:t>If a state wants to exempt an MCO from EQR, it must obtain either of the following:</w:t>
                      </w:r>
                    </w:p>
                    <w:p w:rsidR="00ED33C3" w:rsidRPr="00561F05" w:rsidP="00561F05" w14:paraId="5F250845" w14:textId="5C76EE9D">
                      <w:pPr>
                        <w:pStyle w:val="EQRTextboxbullet"/>
                      </w:pPr>
                      <w:r w:rsidRPr="00561F05">
                        <w:t>For MCOs reviewed by Medicare, the state must obtain annually the most recent Medicare review findings from the MCO, including all data, correspondence, information, and findings relevant to the MCO’s compliance with Medicare standards for (1) access, quality assessment and performance improvement, health services, or delegation of these activities, (2) all measures of the MCO’s performance, and (3) results and findings of all performance improvement projects for Medicare enrollees</w:t>
                      </w:r>
                      <w:r w:rsidR="00CE5DD5">
                        <w:t>.</w:t>
                      </w:r>
                    </w:p>
                    <w:p w:rsidR="00ED33C3" w:rsidRPr="00561F05" w:rsidP="00545FF0" w14:paraId="2ABB3169" w14:textId="194C153B">
                      <w:pPr>
                        <w:pStyle w:val="EQRTextboxbullet"/>
                      </w:pPr>
                      <w:r w:rsidRPr="006927C5">
                        <w:t xml:space="preserve">As part of the 2024 final rule, CMS removed the requirement that private, national accrediting organizations (PAOs) apply for Medicare Advantage deeming authority from CMS </w:t>
                      </w:r>
                      <w:r w:rsidRPr="006927C5">
                        <w:t>in order for</w:t>
                      </w:r>
                      <w:r w:rsidRPr="006927C5">
                        <w:t xml:space="preserve"> states to rely on PAO accreditation reviews in lieu of EQR activities</w:t>
                      </w:r>
                      <w:r w:rsidRPr="00A0186E">
                        <w:t>.</w:t>
                      </w:r>
                      <w:r>
                        <w:t xml:space="preserve"> </w:t>
                      </w:r>
                      <w:r w:rsidRPr="00561F05">
                        <w:t xml:space="preserve">For MCOs reviewed by a </w:t>
                      </w:r>
                      <w:r>
                        <w:t>PAO</w:t>
                      </w:r>
                      <w:r w:rsidRPr="00561F05">
                        <w:t>, the state must require that the MCO provide a copy of all findings from its most recent accreditation review if that review was used to meet certain requirements for Medicare external review or to determine compliance with Medicare requirements. At a minimum, findings must include accreditation review results of evaluation of compliance with individual accreditation standards, any deficiencies, corrective action plans, and summaries of unmet accreditation requirements</w:t>
                      </w:r>
                      <w:r w:rsidR="00CE5DD5">
                        <w:t>.</w:t>
                      </w:r>
                    </w:p>
                    <w:p w:rsidR="00ED33C3" w:rsidRPr="00561F05" w:rsidP="00561F05" w14:paraId="6A6343A9" w14:textId="77777777">
                      <w:pPr>
                        <w:pStyle w:val="EQRTextboxbody"/>
                      </w:pPr>
                      <w:r w:rsidRPr="00561F05">
                        <w:t>Each year, the state must identify MCOs exempt from EQR on its website in the same location where EQR technical reports are posted. The state must include the name(s) of the exempt MCO(s), including the beginning date of the current exemption period, or that no MCOs are exempt from EQR.</w:t>
                      </w:r>
                    </w:p>
                    <w:p w:rsidR="00ED33C3" w:rsidP="00561F05" w14:paraId="6337C429" w14:textId="3BBC4BC5">
                      <w:pPr>
                        <w:pStyle w:val="EQRTextboxbody"/>
                      </w:pPr>
                      <w:r w:rsidRPr="00561F05">
                        <w:t xml:space="preserve">Complete requirements for exemption of MCOs are available at </w:t>
                      </w:r>
                      <w:r w:rsidR="001C7FC0">
                        <w:t>42 C.F.R.</w:t>
                      </w:r>
                      <w:r w:rsidRPr="00561F05">
                        <w:t xml:space="preserve"> 438.362.</w:t>
                      </w:r>
                    </w:p>
                  </w:txbxContent>
                </v:textbox>
                <w10:wrap type="none"/>
                <w10:anchorlock/>
              </v:shape>
            </w:pict>
          </mc:Fallback>
        </mc:AlternateContent>
      </w:r>
    </w:p>
    <w:p w:rsidR="00070FBC" w:rsidRPr="00990D3B" w:rsidP="00BD1FC3" w14:paraId="6A115466" w14:textId="1C4D3EB0">
      <w:pPr>
        <w:pStyle w:val="H1"/>
        <w:rPr>
          <w:rFonts w:eastAsia="Calibri"/>
        </w:rPr>
      </w:pPr>
      <w:bookmarkStart w:id="50" w:name="_Toc183005556"/>
      <w:bookmarkStart w:id="51" w:name="_Toc201751327"/>
      <w:bookmarkStart w:id="52" w:name="_Toc14777675"/>
      <w:bookmarkEnd w:id="45"/>
      <w:bookmarkEnd w:id="46"/>
      <w:r w:rsidRPr="00990D3B">
        <w:rPr>
          <w:rFonts w:eastAsia="Calibri"/>
        </w:rPr>
        <w:t>EQR Reporting</w:t>
      </w:r>
      <w:bookmarkEnd w:id="50"/>
      <w:bookmarkEnd w:id="51"/>
    </w:p>
    <w:bookmarkEnd w:id="52"/>
    <w:p w:rsidR="0041627E" w:rsidRPr="00990D3B" w:rsidP="00D7596D" w14:paraId="7CD72B6C" w14:textId="3F51B63F">
      <w:pPr>
        <w:pStyle w:val="ParagraphContinued"/>
      </w:pPr>
      <w:r w:rsidRPr="00990D3B">
        <w:t>A qualified EQRO</w:t>
      </w:r>
      <w:r w:rsidRPr="00990D3B" w:rsidR="003162DF">
        <w:rPr>
          <w:rFonts w:ascii="ZWAdobeF" w:hAnsi="ZWAdobeF" w:cs="ZWAdobeF"/>
          <w:sz w:val="2"/>
          <w:szCs w:val="2"/>
        </w:rPr>
        <w:t>23F</w:t>
      </w:r>
      <w:r>
        <w:rPr>
          <w:rStyle w:val="FootnoteReference"/>
        </w:rPr>
        <w:footnoteReference w:id="25"/>
      </w:r>
      <w:r w:rsidRPr="00990D3B">
        <w:t xml:space="preserve"> </w:t>
      </w:r>
      <w:r w:rsidRPr="00990D3B" w:rsidR="0059337F">
        <w:t>or the state</w:t>
      </w:r>
      <w:r w:rsidRPr="00990D3B">
        <w:t xml:space="preserve"> may conduct the annual EQR, that is, the analysis and evaluation of information generated by the EQR-related activities (or via nonduplication, if applicable) regarding the quality, timeliness, and access to the health care services that an MCP, or its contractors, furnish to </w:t>
      </w:r>
      <w:r w:rsidRPr="00990D3B" w:rsidR="001D7677">
        <w:t>enrollees</w:t>
      </w:r>
      <w:r w:rsidRPr="00990D3B">
        <w:t xml:space="preserve">. The </w:t>
      </w:r>
      <w:r w:rsidRPr="00990D3B">
        <w:t>end product</w:t>
      </w:r>
      <w:r w:rsidRPr="00990D3B">
        <w:t xml:space="preserve"> of the EQR is an EQR technical report</w:t>
      </w:r>
      <w:r w:rsidRPr="00990D3B" w:rsidR="006567E7">
        <w:t xml:space="preserve"> summarizing EQR-related findings</w:t>
      </w:r>
      <w:r w:rsidRPr="00990D3B" w:rsidR="001A4000">
        <w:t>,</w:t>
      </w:r>
      <w:r>
        <w:rPr>
          <w:rStyle w:val="FootnoteReference"/>
        </w:rPr>
        <w:footnoteReference w:id="26"/>
      </w:r>
      <w:r w:rsidRPr="00990D3B">
        <w:t xml:space="preserve"> which must be drafted by </w:t>
      </w:r>
      <w:r w:rsidRPr="00990D3B" w:rsidR="005C368D">
        <w:t xml:space="preserve">an </w:t>
      </w:r>
      <w:r w:rsidRPr="00990D3B">
        <w:t>EQRO</w:t>
      </w:r>
      <w:r w:rsidRPr="00990D3B">
        <w:rPr>
          <w:rFonts w:cs="Arial"/>
          <w:szCs w:val="22"/>
        </w:rPr>
        <w:t xml:space="preserve"> </w:t>
      </w:r>
      <w:r w:rsidRPr="00990D3B">
        <w:t>for the state.</w:t>
      </w:r>
      <w:r w:rsidRPr="00990D3B" w:rsidR="003162DF">
        <w:rPr>
          <w:rFonts w:ascii="ZWAdobeF" w:hAnsi="ZWAdobeF" w:cs="ZWAdobeF"/>
          <w:sz w:val="2"/>
          <w:szCs w:val="2"/>
        </w:rPr>
        <w:t>24F</w:t>
      </w:r>
      <w:r>
        <w:rPr>
          <w:rStyle w:val="FootnoteReference"/>
          <w:rFonts w:cs="Arial"/>
          <w:szCs w:val="22"/>
        </w:rPr>
        <w:footnoteReference w:id="27"/>
      </w:r>
      <w:r w:rsidRPr="00990D3B">
        <w:t xml:space="preserve"> </w:t>
      </w:r>
      <w:r w:rsidRPr="00990D3B">
        <w:t xml:space="preserve">This section provides guidance on </w:t>
      </w:r>
      <w:r w:rsidRPr="00990D3B" w:rsidR="001A7FE9">
        <w:t xml:space="preserve">drafting compliant and effective reports and </w:t>
      </w:r>
      <w:r w:rsidRPr="00990D3B" w:rsidR="007C6F06">
        <w:t xml:space="preserve">shares reminders for </w:t>
      </w:r>
      <w:r w:rsidRPr="00990D3B" w:rsidR="001A7FE9">
        <w:t xml:space="preserve">reviewing, posting, and submitting </w:t>
      </w:r>
      <w:r w:rsidRPr="00990D3B" w:rsidR="007C6F06">
        <w:t>reports</w:t>
      </w:r>
      <w:r w:rsidRPr="00990D3B">
        <w:t>.</w:t>
      </w:r>
    </w:p>
    <w:p w:rsidR="001A7FE9" w:rsidRPr="00990D3B" w:rsidP="00BD1FC3" w14:paraId="1DAA2951" w14:textId="2EEBE8DB">
      <w:pPr>
        <w:pStyle w:val="H2"/>
      </w:pPr>
      <w:bookmarkStart w:id="53" w:name="_Toc183005557"/>
      <w:bookmarkStart w:id="54" w:name="_Toc201751328"/>
      <w:bookmarkStart w:id="55" w:name="Compliant"/>
      <w:r w:rsidRPr="00990D3B">
        <w:t>Tips for Drafting Compliant EQR Technical Reports</w:t>
      </w:r>
      <w:bookmarkEnd w:id="53"/>
      <w:bookmarkEnd w:id="54"/>
    </w:p>
    <w:bookmarkEnd w:id="55"/>
    <w:p w:rsidR="00790C12" w:rsidRPr="00990D3B" w:rsidP="00BD1FC3" w14:paraId="3FB07782" w14:textId="29BB9E07">
      <w:pPr>
        <w:pStyle w:val="H3"/>
      </w:pPr>
      <w:r w:rsidRPr="00990D3B">
        <w:t>Guidance on Report Content</w:t>
      </w:r>
    </w:p>
    <w:p w:rsidR="00583C7A" w:rsidRPr="00990D3B" w:rsidP="00D7596D" w14:paraId="73843459" w14:textId="3EB96919">
      <w:pPr>
        <w:pStyle w:val="ParagraphContinued"/>
      </w:pPr>
      <w:r w:rsidRPr="00990D3B">
        <w:t xml:space="preserve">EQROs should produce reports that meet </w:t>
      </w:r>
      <w:r w:rsidRPr="00990D3B" w:rsidR="00EB69CC">
        <w:t xml:space="preserve">all </w:t>
      </w:r>
      <w:r w:rsidRPr="00990D3B">
        <w:t xml:space="preserve">federal requirements. </w:t>
      </w:r>
      <w:r w:rsidRPr="00990D3B" w:rsidR="002A4FF9">
        <w:t>To promote compliance with federal requirements, t</w:t>
      </w:r>
      <w:r w:rsidRPr="00990D3B">
        <w:t xml:space="preserve">his section </w:t>
      </w:r>
      <w:r w:rsidRPr="00990D3B" w:rsidR="002A4FF9">
        <w:t>summarizes the requirements</w:t>
      </w:r>
      <w:r w:rsidRPr="00990D3B">
        <w:t xml:space="preserve"> and </w:t>
      </w:r>
      <w:r w:rsidRPr="00990D3B" w:rsidR="002A4FF9">
        <w:t xml:space="preserve">includes </w:t>
      </w:r>
      <w:r w:rsidRPr="00990D3B">
        <w:t>considerations for drafting EQR technical reports</w:t>
      </w:r>
      <w:r w:rsidRPr="00990D3B" w:rsidR="00105288">
        <w:t xml:space="preserve">. </w:t>
      </w:r>
      <w:hyperlink w:anchor="Table2" w:tooltip="Table 2" w:history="1">
        <w:r w:rsidRPr="00990D3B" w:rsidR="00ED67EB">
          <w:rPr>
            <w:rStyle w:val="Hyperlink"/>
          </w:rPr>
          <w:t>Table 2</w:t>
        </w:r>
      </w:hyperlink>
      <w:r w:rsidRPr="00990D3B" w:rsidR="00105288">
        <w:t xml:space="preserve"> </w:t>
      </w:r>
      <w:r w:rsidRPr="00990D3B" w:rsidR="00660471">
        <w:t>(</w:t>
      </w:r>
      <w:r w:rsidR="00373A0B">
        <w:t>next page</w:t>
      </w:r>
      <w:r w:rsidRPr="00990D3B" w:rsidR="00660471">
        <w:t xml:space="preserve">) </w:t>
      </w:r>
      <w:r w:rsidRPr="00990D3B" w:rsidR="00105288">
        <w:t>provides an overview of the required elements in EQR technical reports</w:t>
      </w:r>
      <w:r w:rsidRPr="00990D3B" w:rsidR="002431F8">
        <w:t>,</w:t>
      </w:r>
      <w:r w:rsidRPr="00990D3B" w:rsidR="005A6FE8">
        <w:t xml:space="preserve"> and </w:t>
      </w:r>
      <w:hyperlink w:anchor="Table3" w:tooltip="Table 3" w:history="1">
        <w:r w:rsidRPr="00990D3B" w:rsidR="00ED67EB">
          <w:rPr>
            <w:rStyle w:val="Hyperlink"/>
          </w:rPr>
          <w:t>Table 3</w:t>
        </w:r>
      </w:hyperlink>
      <w:r w:rsidRPr="00990D3B" w:rsidR="005A6FE8">
        <w:t xml:space="preserve"> </w:t>
      </w:r>
      <w:r w:rsidRPr="00990D3B" w:rsidR="00660471">
        <w:t xml:space="preserve">(begins page </w:t>
      </w:r>
      <w:r w:rsidR="00373A0B">
        <w:t>18</w:t>
      </w:r>
      <w:r w:rsidRPr="00990D3B" w:rsidR="00660471">
        <w:t xml:space="preserve">) </w:t>
      </w:r>
      <w:r w:rsidRPr="00990D3B" w:rsidR="005A6FE8">
        <w:t>identifies requirements for the PIP validation</w:t>
      </w:r>
      <w:r w:rsidRPr="00990D3B" w:rsidR="002A4FF9">
        <w:t xml:space="preserve"> (</w:t>
      </w:r>
      <w:hyperlink w:anchor="Protocol1" w:tooltip="Protocol 1" w:history="1">
        <w:r w:rsidRPr="00990D3B" w:rsidR="002A4FF9">
          <w:rPr>
            <w:rStyle w:val="Hyperlink"/>
          </w:rPr>
          <w:t>Protocol 1</w:t>
        </w:r>
      </w:hyperlink>
      <w:r w:rsidRPr="00990D3B" w:rsidR="002A4FF9">
        <w:t>)</w:t>
      </w:r>
      <w:r w:rsidRPr="00990D3B" w:rsidR="005A6FE8">
        <w:t>, performance measure validation</w:t>
      </w:r>
      <w:r w:rsidRPr="00990D3B" w:rsidR="002A4FF9">
        <w:t xml:space="preserve"> (</w:t>
      </w:r>
      <w:hyperlink w:anchor="Protocol2" w:tooltip="Protocol 2" w:history="1">
        <w:r w:rsidRPr="00990D3B" w:rsidR="002A4FF9">
          <w:rPr>
            <w:rStyle w:val="Hyperlink"/>
          </w:rPr>
          <w:t>Protocol 2</w:t>
        </w:r>
      </w:hyperlink>
      <w:r w:rsidRPr="00990D3B" w:rsidR="002A4FF9">
        <w:t>)</w:t>
      </w:r>
      <w:r w:rsidRPr="00990D3B" w:rsidR="005A6FE8">
        <w:t xml:space="preserve">, review of compliance </w:t>
      </w:r>
      <w:r w:rsidRPr="00990D3B" w:rsidR="00E61AAA">
        <w:t xml:space="preserve">with managed care and CHIP regulations </w:t>
      </w:r>
      <w:r w:rsidRPr="00990D3B" w:rsidR="002A4FF9">
        <w:t>(</w:t>
      </w:r>
      <w:hyperlink w:anchor="Protocol3" w:tooltip="Protocol 3" w:history="1">
        <w:r w:rsidRPr="00990D3B" w:rsidR="002A4FF9">
          <w:rPr>
            <w:rStyle w:val="Hyperlink"/>
          </w:rPr>
          <w:t>Protocol 3</w:t>
        </w:r>
      </w:hyperlink>
      <w:r w:rsidRPr="00990D3B" w:rsidR="002A4FF9">
        <w:t>)</w:t>
      </w:r>
      <w:r w:rsidRPr="00990D3B" w:rsidR="009B6E60">
        <w:t>, and network adequacy validation (</w:t>
      </w:r>
      <w:hyperlink w:anchor="Protocol4" w:tooltip="Protocol 4" w:history="1">
        <w:r w:rsidRPr="00990D3B" w:rsidR="009B6E60">
          <w:rPr>
            <w:rStyle w:val="Hyperlink"/>
          </w:rPr>
          <w:t>Protocol 4</w:t>
        </w:r>
      </w:hyperlink>
      <w:r w:rsidRPr="00990D3B" w:rsidR="009B6E60">
        <w:t>)</w:t>
      </w:r>
      <w:r w:rsidRPr="00990D3B" w:rsidR="00105288">
        <w:t>.</w:t>
      </w:r>
      <w:r w:rsidR="00373A0B">
        <w:t xml:space="preserve"> </w:t>
      </w:r>
      <w:r w:rsidRPr="006B0DB6" w:rsidR="006B0DB6">
        <w:t xml:space="preserve">In addition to content requirements, EQR technical reports must meet federal expectations related to the timing of EQR activities and the data periods used for the analysis. </w:t>
      </w:r>
      <w:hyperlink w:anchor="Box6" w:history="1">
        <w:r w:rsidRPr="006B0DB6" w:rsidR="006B0DB6">
          <w:rPr>
            <w:rStyle w:val="Hyperlink"/>
          </w:rPr>
          <w:t>Box 6</w:t>
        </w:r>
      </w:hyperlink>
      <w:r w:rsidRPr="006B0DB6" w:rsidR="006B0DB6">
        <w:t xml:space="preserve"> (page 21) summarizes these requirements.</w:t>
      </w:r>
    </w:p>
    <w:p w:rsidR="008B4947" w:rsidP="00BD1FC3" w14:paraId="249743AE" w14:textId="14D96704">
      <w:pPr>
        <w:pStyle w:val="Paragraph0"/>
        <w:rPr>
          <w:rFonts w:eastAsiaTheme="minorEastAsia"/>
        </w:rPr>
      </w:pPr>
      <w:r w:rsidRPr="00990D3B">
        <w:t xml:space="preserve">States and their EQROs </w:t>
      </w:r>
      <w:r w:rsidRPr="00990D3B" w:rsidR="001A4000">
        <w:t>can use</w:t>
      </w:r>
      <w:r w:rsidRPr="00990D3B">
        <w:t xml:space="preserve"> </w:t>
      </w:r>
      <w:hyperlink w:anchor="WSp1n12" w:tooltip="Worksheet 1.12" w:history="1">
        <w:r w:rsidRPr="00990D3B" w:rsidR="009205CD">
          <w:rPr>
            <w:rStyle w:val="Hyperlink"/>
          </w:rPr>
          <w:t>Worksheet 1.12</w:t>
        </w:r>
      </w:hyperlink>
      <w:r w:rsidRPr="00990D3B" w:rsidR="009205CD">
        <w:t xml:space="preserve">, </w:t>
      </w:r>
      <w:hyperlink w:anchor="WSp2n15" w:tooltip="Worksheet 2.15" w:history="1">
        <w:r w:rsidRPr="00990D3B" w:rsidR="00E87B57">
          <w:rPr>
            <w:rStyle w:val="Hyperlink"/>
          </w:rPr>
          <w:t xml:space="preserve">Worksheet </w:t>
        </w:r>
        <w:r w:rsidRPr="00990D3B" w:rsidR="009205CD">
          <w:rPr>
            <w:rStyle w:val="Hyperlink"/>
          </w:rPr>
          <w:t>2.15</w:t>
        </w:r>
      </w:hyperlink>
      <w:r w:rsidRPr="00990D3B" w:rsidR="009205CD">
        <w:t>, and</w:t>
      </w:r>
      <w:r w:rsidRPr="00990D3B" w:rsidR="00E87B57">
        <w:t xml:space="preserve"> </w:t>
      </w:r>
      <w:hyperlink w:anchor="WSp3n05" w:history="1">
        <w:r w:rsidRPr="00990D3B" w:rsidR="00E87B57">
          <w:rPr>
            <w:rStyle w:val="Hyperlink"/>
          </w:rPr>
          <w:t>Worksheet</w:t>
        </w:r>
        <w:r w:rsidRPr="00990D3B" w:rsidR="009205CD">
          <w:rPr>
            <w:rStyle w:val="Hyperlink"/>
          </w:rPr>
          <w:t xml:space="preserve"> 3.5</w:t>
        </w:r>
      </w:hyperlink>
      <w:r w:rsidRPr="00990D3B" w:rsidR="004D3F95">
        <w:t xml:space="preserve">, as well as the worksheets in </w:t>
      </w:r>
      <w:hyperlink w:anchor="AppA" w:tooltip="Appendix A" w:history="1">
        <w:r w:rsidRPr="00990D3B" w:rsidR="004D3F95">
          <w:rPr>
            <w:rStyle w:val="Hyperlink"/>
          </w:rPr>
          <w:t>Appendix A</w:t>
        </w:r>
      </w:hyperlink>
      <w:r w:rsidRPr="00990D3B" w:rsidR="00426853">
        <w:t>,</w:t>
      </w:r>
      <w:r w:rsidRPr="00990D3B" w:rsidR="004D3F95">
        <w:t xml:space="preserve"> </w:t>
      </w:r>
      <w:r w:rsidRPr="00990D3B">
        <w:t xml:space="preserve">to </w:t>
      </w:r>
      <w:r w:rsidRPr="00990D3B">
        <w:t xml:space="preserve">support the development of a complete and comprehensive EQR technical report. </w:t>
      </w:r>
      <w:r w:rsidRPr="00990D3B">
        <w:t xml:space="preserve">The </w:t>
      </w:r>
      <w:r w:rsidRPr="00990D3B" w:rsidR="00E87B57">
        <w:t>worksheets</w:t>
      </w:r>
      <w:r w:rsidRPr="00990D3B">
        <w:t xml:space="preserve"> </w:t>
      </w:r>
      <w:r w:rsidRPr="00990D3B">
        <w:rPr>
          <w:rFonts w:eastAsiaTheme="minorEastAsia"/>
        </w:rPr>
        <w:t xml:space="preserve">provide suggestions and best practices for sharing the required </w:t>
      </w:r>
      <w:r w:rsidRPr="00990D3B" w:rsidR="00F045AB">
        <w:rPr>
          <w:rFonts w:eastAsiaTheme="minorEastAsia"/>
        </w:rPr>
        <w:t>findings and data</w:t>
      </w:r>
      <w:r w:rsidRPr="00990D3B">
        <w:rPr>
          <w:rFonts w:eastAsiaTheme="minorEastAsia"/>
        </w:rPr>
        <w:t xml:space="preserve"> for the</w:t>
      </w:r>
      <w:r w:rsidRPr="00990D3B" w:rsidR="001A4000">
        <w:rPr>
          <w:rFonts w:eastAsiaTheme="minorEastAsia"/>
        </w:rPr>
        <w:t>se</w:t>
      </w:r>
      <w:r w:rsidRPr="00990D3B" w:rsidR="00467F74">
        <w:rPr>
          <w:rFonts w:eastAsiaTheme="minorEastAsia"/>
        </w:rPr>
        <w:t xml:space="preserve"> </w:t>
      </w:r>
      <w:r w:rsidRPr="00990D3B">
        <w:rPr>
          <w:rFonts w:eastAsiaTheme="minorEastAsia"/>
        </w:rPr>
        <w:t>mandatory activities</w:t>
      </w:r>
      <w:r w:rsidRPr="00990D3B">
        <w:rPr>
          <w:rFonts w:eastAsiaTheme="minorEastAsia"/>
        </w:rPr>
        <w:t xml:space="preserve"> in a concise, digestible forma</w:t>
      </w:r>
      <w:r w:rsidRPr="00990D3B">
        <w:rPr>
          <w:rFonts w:eastAsiaTheme="minorEastAsia"/>
        </w:rPr>
        <w:t>t.</w:t>
      </w:r>
    </w:p>
    <w:p w:rsidR="0038267B" w:rsidRPr="00990D3B" w:rsidP="00ED72E3" w14:paraId="340531A2" w14:textId="4857736F">
      <w:pPr>
        <w:pStyle w:val="NoSpacing"/>
      </w:pPr>
    </w:p>
    <w:p w:rsidR="00467F74" w:rsidRPr="00990D3B" w:rsidP="00BD1FC3" w14:paraId="6D8EFC9E" w14:textId="4B913F95">
      <w:pPr>
        <w:pStyle w:val="Paragraph0"/>
        <w:rPr>
          <w:rFonts w:eastAsiaTheme="minorEastAsia"/>
        </w:rPr>
        <w:sectPr w:rsidSect="00C52B0F">
          <w:headerReference w:type="even" r:id="rId50"/>
          <w:headerReference w:type="default" r:id="rId51"/>
          <w:footerReference w:type="even" r:id="rId52"/>
          <w:footerReference w:type="default" r:id="rId53"/>
          <w:headerReference w:type="first" r:id="rId54"/>
          <w:footerReference w:type="first" r:id="rId55"/>
          <w:pgSz w:w="12240" w:h="15840" w:code="1"/>
          <w:pgMar w:top="1440" w:right="1440" w:bottom="1440" w:left="1440" w:header="720" w:footer="720" w:gutter="0"/>
          <w:pgNumType w:start="1"/>
          <w:cols w:space="720"/>
          <w:titlePg/>
          <w:docGrid w:linePitch="360"/>
        </w:sectPr>
      </w:pPr>
      <w:r w:rsidRPr="00990D3B">
        <w:rPr>
          <w:rFonts w:eastAsiaTheme="minorEastAsia"/>
        </w:rPr>
        <w:t xml:space="preserve"> </w:t>
      </w:r>
    </w:p>
    <w:p w:rsidR="000C71FE" w:rsidRPr="00990D3B" w:rsidP="00BD1FC3" w14:paraId="1C262325" w14:textId="57494B92">
      <w:pPr>
        <w:pStyle w:val="MarkforTableHeading"/>
      </w:pPr>
      <w:bookmarkStart w:id="56" w:name="Table2"/>
      <w:bookmarkStart w:id="57" w:name="_Toc83134594"/>
      <w:bookmarkEnd w:id="56"/>
      <w:r w:rsidRPr="00990D3B">
        <w:t xml:space="preserve">Table 2. Required Elements in EQR Technical Reports and </w:t>
      </w:r>
      <w:r w:rsidRPr="00990D3B" w:rsidR="00BF70C1">
        <w:t xml:space="preserve">Considerations for Drafting </w:t>
      </w:r>
      <w:r w:rsidRPr="00990D3B">
        <w:t>EQR Technical Reports</w:t>
      </w:r>
      <w:bookmarkEnd w:id="57"/>
    </w:p>
    <w:tbl>
      <w:tblPr>
        <w:tblStyle w:val="CORESETTable"/>
        <w:tblW w:w="5000" w:type="pct"/>
        <w:tblLook w:val="0620"/>
      </w:tblPr>
      <w:tblGrid>
        <w:gridCol w:w="2064"/>
        <w:gridCol w:w="5284"/>
        <w:gridCol w:w="5602"/>
      </w:tblGrid>
      <w:tr w14:paraId="46051E99" w14:textId="77777777" w:rsidTr="00BD1FC3">
        <w:tblPrEx>
          <w:tblW w:w="5000" w:type="pct"/>
          <w:tblLook w:val="0620"/>
        </w:tblPrEx>
        <w:trPr>
          <w:tblHeader/>
        </w:trPr>
        <w:tc>
          <w:tcPr>
            <w:tcW w:w="797" w:type="pct"/>
          </w:tcPr>
          <w:p w:rsidR="00105288" w:rsidRPr="00990D3B" w:rsidP="00105288" w14:paraId="5C1D3F62" w14:textId="77777777">
            <w:pPr>
              <w:pStyle w:val="EQRTableHeaderLeft"/>
              <w:rPr>
                <w:rFonts w:cs="Arial"/>
                <w:b/>
                <w:bCs/>
              </w:rPr>
            </w:pPr>
            <w:bookmarkStart w:id="58" w:name="_Hlk82961471"/>
            <w:bookmarkStart w:id="59" w:name="_Hlk187919993"/>
            <w:r w:rsidRPr="00990D3B">
              <w:rPr>
                <w:rFonts w:cs="Arial"/>
                <w:b/>
                <w:bCs/>
              </w:rPr>
              <w:t>Regulatory Reference</w:t>
            </w:r>
          </w:p>
        </w:tc>
        <w:tc>
          <w:tcPr>
            <w:tcW w:w="2040" w:type="pct"/>
          </w:tcPr>
          <w:p w:rsidR="00105288" w:rsidRPr="00990D3B" w:rsidP="00105288" w14:paraId="69156C70" w14:textId="403A8A70">
            <w:pPr>
              <w:pStyle w:val="EQRTableHeaderCenter"/>
              <w:rPr>
                <w:rFonts w:cs="Arial"/>
                <w:b/>
                <w:bCs/>
              </w:rPr>
            </w:pPr>
            <w:r w:rsidRPr="00990D3B">
              <w:rPr>
                <w:b/>
                <w:bCs/>
              </w:rPr>
              <w:t xml:space="preserve">Requirement </w:t>
            </w:r>
          </w:p>
        </w:tc>
        <w:tc>
          <w:tcPr>
            <w:tcW w:w="2163" w:type="pct"/>
          </w:tcPr>
          <w:p w:rsidR="00105288" w:rsidRPr="00990D3B" w:rsidP="007D6DF7" w14:paraId="75EDFCB8" w14:textId="29AD90C7">
            <w:pPr>
              <w:pStyle w:val="EQRTableHeaderCenter"/>
              <w:rPr>
                <w:rFonts w:cs="Arial"/>
                <w:b/>
                <w:bCs/>
              </w:rPr>
            </w:pPr>
            <w:r w:rsidRPr="00990D3B">
              <w:rPr>
                <w:b/>
              </w:rPr>
              <w:t>Considerations for EQR Technical Reports</w:t>
            </w:r>
          </w:p>
        </w:tc>
      </w:tr>
      <w:bookmarkEnd w:id="58"/>
      <w:tr w14:paraId="13A71124" w14:textId="77777777" w:rsidTr="00BD1FC3">
        <w:tblPrEx>
          <w:tblW w:w="5000" w:type="pct"/>
          <w:tblLook w:val="0620"/>
        </w:tblPrEx>
        <w:tc>
          <w:tcPr>
            <w:tcW w:w="797" w:type="pct"/>
          </w:tcPr>
          <w:p w:rsidR="009065D4" w:rsidRPr="00990D3B" w:rsidP="009065D4" w14:paraId="5D6D1E97" w14:textId="1F02A3CD">
            <w:pPr>
              <w:pStyle w:val="EQRTableText"/>
            </w:pPr>
            <w:r w:rsidRPr="00990D3B">
              <w:t>42 C.F.R. 438.360(b)</w:t>
            </w:r>
          </w:p>
        </w:tc>
        <w:tc>
          <w:tcPr>
            <w:tcW w:w="2040" w:type="pct"/>
          </w:tcPr>
          <w:p w:rsidR="009065D4" w:rsidRPr="00990D3B" w:rsidP="009065D4" w14:paraId="3E3B6CAF" w14:textId="4352A51F">
            <w:pPr>
              <w:pStyle w:val="EQRTableText"/>
            </w:pPr>
            <w:r w:rsidRPr="00990D3B">
              <w:t xml:space="preserve">The EQR technical report must include information from any Medicare or private accreditation review of an MCP that the state used to provide information for the annual EQR. </w:t>
            </w:r>
          </w:p>
        </w:tc>
        <w:tc>
          <w:tcPr>
            <w:tcW w:w="2163" w:type="pct"/>
          </w:tcPr>
          <w:p w:rsidR="009065D4" w:rsidRPr="00990D3B" w:rsidP="009065D4" w14:paraId="08C549A6" w14:textId="387076BD">
            <w:pPr>
              <w:pStyle w:val="EQRTableText"/>
            </w:pPr>
            <w:r w:rsidRPr="00990D3B">
              <w:t xml:space="preserve">Indicate </w:t>
            </w:r>
            <w:r w:rsidRPr="00990D3B" w:rsidR="00454D26">
              <w:t>whether</w:t>
            </w:r>
            <w:r w:rsidRPr="00990D3B">
              <w:t xml:space="preserve"> the state exercised the nonduplication option and </w:t>
            </w:r>
            <w:r w:rsidRPr="00990D3B">
              <w:t>share</w:t>
            </w:r>
            <w:r w:rsidRPr="00990D3B">
              <w:t xml:space="preserve"> information from the nonduplication activity, including the validation findings for each MCP reviewed under nonduplication. </w:t>
            </w:r>
          </w:p>
        </w:tc>
      </w:tr>
      <w:tr w14:paraId="3D07BF7C" w14:textId="77777777" w:rsidTr="00BD1FC3">
        <w:tblPrEx>
          <w:tblW w:w="5000" w:type="pct"/>
          <w:tblLook w:val="0620"/>
        </w:tblPrEx>
        <w:tc>
          <w:tcPr>
            <w:tcW w:w="797" w:type="pct"/>
          </w:tcPr>
          <w:p w:rsidR="009065D4" w:rsidRPr="00990D3B" w:rsidP="009065D4" w14:paraId="4D73A1E2" w14:textId="5664AFD2">
            <w:pPr>
              <w:pStyle w:val="EQRTableText"/>
            </w:pPr>
            <w:r w:rsidRPr="00990D3B">
              <w:t>42 C.F.R. 438.</w:t>
            </w:r>
            <w:r w:rsidRPr="00990D3B" w:rsidR="00A77A6B">
              <w:t>310(b)(5)</w:t>
            </w:r>
          </w:p>
        </w:tc>
        <w:tc>
          <w:tcPr>
            <w:tcW w:w="2040" w:type="pct"/>
          </w:tcPr>
          <w:p w:rsidR="009065D4" w:rsidRPr="00990D3B" w:rsidP="009065D4" w14:paraId="68162DD2" w14:textId="310084E1">
            <w:pPr>
              <w:pStyle w:val="EQRTableText"/>
            </w:pPr>
            <w:r w:rsidRPr="00990D3B">
              <w:t xml:space="preserve">The EQR technical report includes all eligible Medicaid and CHIP MCPs. </w:t>
            </w:r>
          </w:p>
        </w:tc>
        <w:tc>
          <w:tcPr>
            <w:tcW w:w="2163" w:type="pct"/>
          </w:tcPr>
          <w:p w:rsidR="009065D4" w:rsidRPr="00990D3B" w:rsidP="009065D4" w14:paraId="35E8BF82" w14:textId="4139F12B">
            <w:pPr>
              <w:pStyle w:val="EQRTableText"/>
              <w:rPr>
                <w:b/>
                <w:bCs/>
              </w:rPr>
            </w:pPr>
            <w:r w:rsidRPr="00990D3B">
              <w:t xml:space="preserve">Identify MCPs subject to EQR by MCP name, MCP type, managed care authority, and population(s) served (i.e., Medicaid, CHIP, Medicaid &amp; CHIP) in an introduction, executive summary, or appendix. </w:t>
            </w:r>
          </w:p>
        </w:tc>
      </w:tr>
      <w:tr w14:paraId="4C09BD1A" w14:textId="77777777" w:rsidTr="00BD1FC3">
        <w:tblPrEx>
          <w:tblW w:w="5000" w:type="pct"/>
          <w:tblLook w:val="0620"/>
        </w:tblPrEx>
        <w:tc>
          <w:tcPr>
            <w:tcW w:w="797" w:type="pct"/>
          </w:tcPr>
          <w:p w:rsidR="009065D4" w:rsidRPr="00990D3B" w:rsidP="009065D4" w14:paraId="74C7B87A" w14:textId="6D9942BA">
            <w:pPr>
              <w:pStyle w:val="EQRTableText"/>
            </w:pPr>
            <w:r w:rsidRPr="00990D3B">
              <w:t>42 C.F.R. 438.364(a)(3)</w:t>
            </w:r>
          </w:p>
        </w:tc>
        <w:tc>
          <w:tcPr>
            <w:tcW w:w="2040" w:type="pct"/>
          </w:tcPr>
          <w:p w:rsidR="00762947" w:rsidRPr="00990D3B" w:rsidP="003F0FF4" w14:paraId="2CFD2133" w14:textId="2889971F">
            <w:pPr>
              <w:pStyle w:val="EQRTableText"/>
            </w:pPr>
            <w:r w:rsidRPr="00990D3B">
              <w:t xml:space="preserve">The EQR technical report must include an assessment of the strengths and weaknesses of each MCP with respect to (a) quality, (b) timeliness, and (c) access to the health care services furnished by MCPs. </w:t>
            </w:r>
          </w:p>
        </w:tc>
        <w:tc>
          <w:tcPr>
            <w:tcW w:w="2163" w:type="pct"/>
          </w:tcPr>
          <w:p w:rsidR="009065D4" w:rsidRPr="00990D3B" w:rsidP="009065D4" w14:paraId="4D1CEF1F" w14:textId="77A9DA19">
            <w:pPr>
              <w:pStyle w:val="EQRTableText"/>
              <w:rPr>
                <w:bCs/>
              </w:rPr>
            </w:pPr>
            <w:r w:rsidRPr="00990D3B">
              <w:rPr>
                <w:bCs/>
              </w:rPr>
              <w:t>Include a chart summarizing each MCP’s strengths and weaknesses.</w:t>
            </w:r>
          </w:p>
          <w:p w:rsidR="009065D4" w:rsidRPr="00990D3B" w:rsidP="009065D4" w14:paraId="05EF6531" w14:textId="4AD8F3C6">
            <w:pPr>
              <w:pStyle w:val="EQRTableText"/>
            </w:pPr>
            <w:r w:rsidRPr="00990D3B">
              <w:rPr>
                <w:bCs/>
              </w:rPr>
              <w:t>Highlight substantive findings concerning the extent to which each MCP is furnishing high</w:t>
            </w:r>
            <w:r w:rsidRPr="00990D3B" w:rsidR="00A53E5E">
              <w:rPr>
                <w:bCs/>
              </w:rPr>
              <w:t>-</w:t>
            </w:r>
            <w:r w:rsidRPr="00990D3B">
              <w:rPr>
                <w:bCs/>
              </w:rPr>
              <w:t xml:space="preserve">quality, timely, and appropriate access to health care services. </w:t>
            </w:r>
            <w:r w:rsidRPr="00990D3B">
              <w:t>Findings should focus on the specific strengths and weaknesses the EQRO identified rather than on numerical ratings or validation scores obtained under the EQRO’s review methodology.</w:t>
            </w:r>
          </w:p>
        </w:tc>
      </w:tr>
      <w:tr w14:paraId="044A46B6" w14:textId="77777777" w:rsidTr="00BD1FC3">
        <w:tblPrEx>
          <w:tblW w:w="5000" w:type="pct"/>
          <w:tblLook w:val="0620"/>
        </w:tblPrEx>
        <w:tc>
          <w:tcPr>
            <w:tcW w:w="797" w:type="pct"/>
          </w:tcPr>
          <w:p w:rsidR="009065D4" w:rsidRPr="00990D3B" w:rsidP="009065D4" w14:paraId="2CA8600B" w14:textId="02C50B66">
            <w:pPr>
              <w:pStyle w:val="EQRTableText"/>
            </w:pPr>
            <w:r w:rsidRPr="00990D3B">
              <w:t>42 C.F.R. 438.364(a)(4)</w:t>
            </w:r>
          </w:p>
        </w:tc>
        <w:tc>
          <w:tcPr>
            <w:tcW w:w="2040" w:type="pct"/>
          </w:tcPr>
          <w:p w:rsidR="009065D4" w:rsidRPr="00990D3B" w:rsidP="009065D4" w14:paraId="5279586B" w14:textId="1EB1A34F">
            <w:pPr>
              <w:pStyle w:val="EQRTableText"/>
              <w:rPr>
                <w:shd w:val="clear" w:color="auto" w:fill="FFFFFF"/>
              </w:rPr>
            </w:pPr>
            <w:r w:rsidRPr="00990D3B">
              <w:t>The EQR technical report must include recommendations for improving the quality of health care services furnished by each MCP.</w:t>
            </w:r>
          </w:p>
        </w:tc>
        <w:tc>
          <w:tcPr>
            <w:tcW w:w="2163" w:type="pct"/>
          </w:tcPr>
          <w:p w:rsidR="009065D4" w:rsidRPr="00990D3B" w:rsidP="009065D4" w14:paraId="1441D338" w14:textId="06D34AD6">
            <w:pPr>
              <w:pStyle w:val="EQRTableText"/>
              <w:rPr>
                <w:bCs/>
              </w:rPr>
            </w:pPr>
            <w:r w:rsidRPr="00990D3B">
              <w:rPr>
                <w:bCs/>
              </w:rPr>
              <w:t xml:space="preserve">Include recommendations for each MCP. Recommendations should share the EQRO’s understanding of </w:t>
            </w:r>
            <w:r w:rsidRPr="00990D3B" w:rsidR="002431F8">
              <w:rPr>
                <w:bCs/>
              </w:rPr>
              <w:t>the weakness</w:t>
            </w:r>
            <w:r w:rsidRPr="00990D3B">
              <w:rPr>
                <w:bCs/>
              </w:rPr>
              <w:t xml:space="preserve"> and suggest steps for how the MCP—potentially in concert with the state—can best address the issue. If the cause </w:t>
            </w:r>
            <w:r w:rsidRPr="00990D3B">
              <w:rPr>
                <w:bCs/>
              </w:rPr>
              <w:t>for</w:t>
            </w:r>
            <w:r w:rsidRPr="00990D3B">
              <w:rPr>
                <w:bCs/>
              </w:rPr>
              <w:t xml:space="preserve"> the weakness is unclear or unknown, the EQRO should suggest how the MCP and/or state can identify the cause. </w:t>
            </w:r>
          </w:p>
          <w:p w:rsidR="009065D4" w:rsidRPr="00990D3B" w:rsidP="009065D4" w14:paraId="3C50D6B9" w14:textId="77777777">
            <w:pPr>
              <w:pStyle w:val="EQRTableText"/>
            </w:pPr>
            <w:r w:rsidRPr="00990D3B">
              <w:t>When determining recommendations, EQROs should consider whether the suggested actions are within the authority of the MCP (or state).</w:t>
            </w:r>
          </w:p>
        </w:tc>
      </w:tr>
      <w:tr w14:paraId="3C683493" w14:textId="77777777" w:rsidTr="00BD1FC3">
        <w:tblPrEx>
          <w:tblW w:w="5000" w:type="pct"/>
          <w:tblLook w:val="0620"/>
        </w:tblPrEx>
        <w:tc>
          <w:tcPr>
            <w:tcW w:w="797" w:type="pct"/>
          </w:tcPr>
          <w:p w:rsidR="009065D4" w:rsidRPr="00990D3B" w:rsidP="009065D4" w14:paraId="30875CE1" w14:textId="1FD2D58F">
            <w:pPr>
              <w:pStyle w:val="EQRTableText"/>
            </w:pPr>
            <w:r w:rsidRPr="00990D3B">
              <w:t>42 C.F.R. 438.364(a)(4)</w:t>
            </w:r>
          </w:p>
        </w:tc>
        <w:tc>
          <w:tcPr>
            <w:tcW w:w="2040" w:type="pct"/>
          </w:tcPr>
          <w:p w:rsidR="009065D4" w:rsidRPr="00990D3B" w:rsidP="009065D4" w14:paraId="5402F662" w14:textId="174FF478">
            <w:pPr>
              <w:pStyle w:val="EQRTableText"/>
              <w:rPr>
                <w:shd w:val="clear" w:color="auto" w:fill="FFFFFF"/>
              </w:rPr>
            </w:pPr>
            <w:r w:rsidRPr="00990D3B">
              <w:rPr>
                <w:rFonts w:cstheme="minorHAnsi"/>
              </w:rPr>
              <w:t>The EQR technical report must include recommendations for how the state can target goals and objectives in the QS, under 438.340, to better support improvement in the quality, timeliness, and access to health care services furnished to Medicaid or CHIP beneficiaries.</w:t>
            </w:r>
          </w:p>
        </w:tc>
        <w:tc>
          <w:tcPr>
            <w:tcW w:w="2163" w:type="pct"/>
          </w:tcPr>
          <w:p w:rsidR="009065D4" w:rsidRPr="00990D3B" w:rsidP="009065D4" w14:paraId="10B2F4DB" w14:textId="66191AA6">
            <w:pPr>
              <w:pStyle w:val="EQRTableText"/>
            </w:pPr>
            <w:r w:rsidRPr="00990D3B">
              <w:t>Consider connecting EQR findings to the QS goals and objectives, particularly in sections of the report that assess the state’s overall performance of the quality, timeliness, and access to health care services</w:t>
            </w:r>
            <w:r w:rsidRPr="00990D3B" w:rsidR="002431F8">
              <w:t xml:space="preserve"> when discussing strengths and weaknesses of an MCP or activity</w:t>
            </w:r>
            <w:r w:rsidRPr="00990D3B">
              <w:t xml:space="preserve"> or when discussing the basis of performance measures or PIPs. Note when goals in the QS are considered in EQR activities and which goals they are. Describe the relationship between </w:t>
            </w:r>
            <w:r w:rsidRPr="00990D3B" w:rsidR="002431F8">
              <w:t xml:space="preserve">the state’s QS goals </w:t>
            </w:r>
            <w:r w:rsidRPr="00990D3B">
              <w:t>and the four mandatory EQR activities.</w:t>
            </w:r>
          </w:p>
        </w:tc>
      </w:tr>
      <w:tr w14:paraId="5441FCDF" w14:textId="77777777" w:rsidTr="00BD1FC3">
        <w:tblPrEx>
          <w:tblW w:w="5000" w:type="pct"/>
          <w:tblLook w:val="0620"/>
        </w:tblPrEx>
        <w:tc>
          <w:tcPr>
            <w:tcW w:w="797" w:type="pct"/>
          </w:tcPr>
          <w:p w:rsidR="009065D4" w:rsidRPr="00990D3B" w:rsidP="009065D4" w14:paraId="04B5BC07" w14:textId="0615EFDC">
            <w:pPr>
              <w:pStyle w:val="EQRTableText"/>
            </w:pPr>
            <w:r w:rsidRPr="00990D3B">
              <w:t>42 C.F.R. 438.364(a)(5)</w:t>
            </w:r>
          </w:p>
        </w:tc>
        <w:tc>
          <w:tcPr>
            <w:tcW w:w="2040" w:type="pct"/>
          </w:tcPr>
          <w:p w:rsidR="009065D4" w:rsidRPr="00990D3B" w:rsidP="009065D4" w14:paraId="4AFB1D1A" w14:textId="129F7B8E">
            <w:pPr>
              <w:pStyle w:val="EQRTableText"/>
              <w:rPr>
                <w:rFonts w:cstheme="minorHAnsi"/>
              </w:rPr>
            </w:pPr>
            <w:r w:rsidRPr="00990D3B">
              <w:t>The EQR technical report must include methodologically appropriate, comparative information about all MCPs.</w:t>
            </w:r>
          </w:p>
        </w:tc>
        <w:tc>
          <w:tcPr>
            <w:tcW w:w="2163" w:type="pct"/>
          </w:tcPr>
          <w:p w:rsidR="009065D4" w:rsidRPr="00990D3B" w:rsidP="009065D4" w14:paraId="282B2AED" w14:textId="0B53A5A5">
            <w:pPr>
              <w:pStyle w:val="EQRTableText"/>
              <w:rPr>
                <w:bCs/>
              </w:rPr>
            </w:pPr>
            <w:r w:rsidRPr="00990D3B">
              <w:rPr>
                <w:bCs/>
              </w:rPr>
              <w:t xml:space="preserve">Aggregate findings across MCPs for each EQR activity and show comparisons. </w:t>
            </w:r>
          </w:p>
          <w:p w:rsidR="001A43BF" w:rsidRPr="00990D3B" w:rsidP="009065D4" w14:paraId="05F7A350" w14:textId="4202BA56">
            <w:pPr>
              <w:pStyle w:val="EQRTableText"/>
              <w:rPr>
                <w:bCs/>
              </w:rPr>
            </w:pPr>
            <w:r w:rsidRPr="00990D3B">
              <w:t>Provide context for the individual MCP to help the reader understand the review's results and more readily determine whether issues are localized or systemic.</w:t>
            </w:r>
          </w:p>
          <w:p w:rsidR="008943E6" w:rsidRPr="00990D3B" w:rsidP="009065D4" w14:paraId="1E985001" w14:textId="22EB8A35">
            <w:pPr>
              <w:pStyle w:val="EQRTableText"/>
              <w:rPr>
                <w:bCs/>
              </w:rPr>
            </w:pPr>
            <w:r w:rsidRPr="00990D3B">
              <w:rPr>
                <w:bCs/>
              </w:rPr>
              <w:t xml:space="preserve">Provide dates for </w:t>
            </w:r>
            <w:r w:rsidRPr="00990D3B" w:rsidR="008F4862">
              <w:rPr>
                <w:bCs/>
              </w:rPr>
              <w:t>important market events</w:t>
            </w:r>
            <w:r w:rsidRPr="00990D3B">
              <w:rPr>
                <w:bCs/>
              </w:rPr>
              <w:t xml:space="preserve"> that occurred during the EQR review period</w:t>
            </w:r>
            <w:r w:rsidRPr="00990D3B" w:rsidR="008F4862">
              <w:rPr>
                <w:bCs/>
              </w:rPr>
              <w:t xml:space="preserve">, such </w:t>
            </w:r>
            <w:r w:rsidRPr="00990D3B">
              <w:rPr>
                <w:bCs/>
              </w:rPr>
              <w:t>as when an MCP entered or exited the market</w:t>
            </w:r>
            <w:r w:rsidRPr="00990D3B" w:rsidR="008F4862">
              <w:rPr>
                <w:bCs/>
              </w:rPr>
              <w:t xml:space="preserve"> and how the </w:t>
            </w:r>
            <w:r w:rsidRPr="00990D3B" w:rsidR="00770B9F">
              <w:rPr>
                <w:bCs/>
              </w:rPr>
              <w:t xml:space="preserve">events </w:t>
            </w:r>
            <w:r w:rsidRPr="00990D3B" w:rsidR="008F4862">
              <w:rPr>
                <w:bCs/>
              </w:rPr>
              <w:t>affect</w:t>
            </w:r>
            <w:r w:rsidRPr="00990D3B" w:rsidR="00EC22DF">
              <w:rPr>
                <w:bCs/>
              </w:rPr>
              <w:t>ed</w:t>
            </w:r>
            <w:r w:rsidRPr="00990D3B" w:rsidR="008F4862">
              <w:rPr>
                <w:bCs/>
              </w:rPr>
              <w:t xml:space="preserve"> EQR-related activities</w:t>
            </w:r>
            <w:r w:rsidRPr="00990D3B" w:rsidR="00EC22DF">
              <w:rPr>
                <w:bCs/>
              </w:rPr>
              <w:t>,</w:t>
            </w:r>
            <w:r w:rsidRPr="00990D3B" w:rsidR="008F4862">
              <w:rPr>
                <w:bCs/>
              </w:rPr>
              <w:t xml:space="preserve"> where necessary.</w:t>
            </w:r>
          </w:p>
        </w:tc>
      </w:tr>
      <w:tr w14:paraId="26262F95" w14:textId="77777777" w:rsidTr="00BD1FC3">
        <w:tblPrEx>
          <w:tblW w:w="5000" w:type="pct"/>
          <w:tblLook w:val="0620"/>
        </w:tblPrEx>
        <w:tc>
          <w:tcPr>
            <w:tcW w:w="797" w:type="pct"/>
          </w:tcPr>
          <w:p w:rsidR="009065D4" w:rsidRPr="00990D3B" w:rsidP="009065D4" w14:paraId="028ECDEF" w14:textId="7DB35AB1">
            <w:pPr>
              <w:pStyle w:val="EQRTableText"/>
            </w:pPr>
            <w:r w:rsidRPr="00990D3B">
              <w:t>42 C.F.R. 438.364(a)(6)</w:t>
            </w:r>
          </w:p>
        </w:tc>
        <w:tc>
          <w:tcPr>
            <w:tcW w:w="2040" w:type="pct"/>
          </w:tcPr>
          <w:p w:rsidR="009065D4" w:rsidRPr="00990D3B" w:rsidP="009065D4" w14:paraId="3B7EF1E9" w14:textId="174D427E">
            <w:pPr>
              <w:pStyle w:val="EQRTableText"/>
            </w:pPr>
            <w:r w:rsidRPr="00990D3B">
              <w:t>The EQR technical report must include an assessment of the degree to which each MCP has effectively addressed the recommendations for quality improvement made by the EQRO during the previous year’s EQR.</w:t>
            </w:r>
          </w:p>
        </w:tc>
        <w:tc>
          <w:tcPr>
            <w:tcW w:w="2163" w:type="pct"/>
          </w:tcPr>
          <w:p w:rsidR="009065D4" w:rsidRPr="00990D3B" w:rsidP="009065D4" w14:paraId="512F7EF4" w14:textId="6CE4AF58">
            <w:pPr>
              <w:pStyle w:val="EQRTableText"/>
              <w:rPr>
                <w:b/>
              </w:rPr>
            </w:pPr>
            <w:r w:rsidRPr="00990D3B">
              <w:t xml:space="preserve">Include recommendations or findings issued by the state or EQRO in the previous year’s EQR technical report and </w:t>
            </w:r>
            <w:r w:rsidRPr="00990D3B">
              <w:t>the assessment</w:t>
            </w:r>
            <w:r w:rsidRPr="00990D3B">
              <w:t xml:space="preserve"> of each MCP’s approach to addressing them. This is not a restatement of a response or rebuttal to the recommendation by the MCP or state. Document assessments with the same specificity used when reporting on initial findings. </w:t>
            </w:r>
          </w:p>
        </w:tc>
      </w:tr>
      <w:tr w14:paraId="285947B1" w14:textId="77777777" w:rsidTr="00BD1FC3">
        <w:tblPrEx>
          <w:tblW w:w="5000" w:type="pct"/>
          <w:tblLook w:val="0620"/>
        </w:tblPrEx>
        <w:tc>
          <w:tcPr>
            <w:tcW w:w="797" w:type="pct"/>
          </w:tcPr>
          <w:p w:rsidR="009065D4" w:rsidRPr="00990D3B" w:rsidP="009065D4" w14:paraId="21FC31E9" w14:textId="1C27C74B">
            <w:pPr>
              <w:pStyle w:val="EQRTableText"/>
            </w:pPr>
            <w:r w:rsidRPr="00990D3B">
              <w:t>42 C.F.R. 438.364(d)</w:t>
            </w:r>
          </w:p>
        </w:tc>
        <w:tc>
          <w:tcPr>
            <w:tcW w:w="2040" w:type="pct"/>
          </w:tcPr>
          <w:p w:rsidR="009065D4" w:rsidRPr="00990D3B" w:rsidP="009065D4" w14:paraId="631375C2" w14:textId="1A889A39">
            <w:pPr>
              <w:pStyle w:val="EQRTableText"/>
            </w:pPr>
            <w:r w:rsidRPr="00990D3B">
              <w:t xml:space="preserve">The EQR technical report must not disclose </w:t>
            </w:r>
            <w:r w:rsidRPr="00990D3B" w:rsidR="000960FD">
              <w:t>patient</w:t>
            </w:r>
            <w:r w:rsidRPr="00990D3B" w:rsidR="002431F8">
              <w:t xml:space="preserve"> identity or other protected health information</w:t>
            </w:r>
            <w:r w:rsidRPr="00990D3B">
              <w:t>.</w:t>
            </w:r>
          </w:p>
        </w:tc>
        <w:tc>
          <w:tcPr>
            <w:tcW w:w="2163" w:type="pct"/>
          </w:tcPr>
          <w:p w:rsidR="009065D4" w:rsidRPr="00990D3B" w:rsidP="009065D4" w14:paraId="45911294" w14:textId="18882531">
            <w:pPr>
              <w:pStyle w:val="EQRTableText"/>
            </w:pPr>
            <w:r w:rsidRPr="00990D3B">
              <w:t xml:space="preserve">Ensure the EQR technical report is consistent with HIPAA (42 C.F.R. 431 Subpart F and 457.1110). </w:t>
            </w:r>
          </w:p>
          <w:p w:rsidR="009065D4" w:rsidRPr="00990D3B" w:rsidP="009065D4" w14:paraId="7C942398" w14:textId="0AD05528">
            <w:pPr>
              <w:pStyle w:val="EQRTableText"/>
            </w:pPr>
            <w:r w:rsidRPr="00990D3B">
              <w:t xml:space="preserve">Ensure MCPs comply with HIPAA and all other federal and state laws concerning confidentiality and disclosure. </w:t>
            </w:r>
          </w:p>
          <w:p w:rsidR="009065D4" w:rsidRPr="00990D3B" w:rsidP="009065D4" w14:paraId="7C998391" w14:textId="7502037E">
            <w:pPr>
              <w:pStyle w:val="EQRTableText"/>
            </w:pPr>
            <w:r w:rsidRPr="00990D3B">
              <w:t>Ensure that EQR-related data collection and reporting activities are consistent with HIPAA requirements.</w:t>
            </w:r>
          </w:p>
        </w:tc>
      </w:tr>
      <w:bookmarkEnd w:id="59"/>
    </w:tbl>
    <w:p w:rsidR="00936291" w:rsidRPr="00990D3B" w:rsidP="00BD1FC3" w14:paraId="2501335B" w14:textId="77777777">
      <w:pPr>
        <w:pStyle w:val="Introduction"/>
      </w:pPr>
    </w:p>
    <w:p w:rsidR="00936291" w:rsidRPr="00990D3B" w:rsidP="00BD1FC3" w14:paraId="5BBDCF0B" w14:textId="77777777">
      <w:pPr>
        <w:spacing w:line="240" w:lineRule="auto"/>
        <w:rPr>
          <w:rFonts w:asciiTheme="majorHAnsi" w:hAnsiTheme="majorHAnsi"/>
          <w:b/>
          <w:sz w:val="22"/>
        </w:rPr>
      </w:pPr>
      <w:r w:rsidRPr="00990D3B">
        <w:br w:type="page"/>
      </w:r>
    </w:p>
    <w:p w:rsidR="000C71FE" w:rsidRPr="00990D3B" w:rsidP="00BD1FC3" w14:paraId="57FE1DA3" w14:textId="6754947D">
      <w:pPr>
        <w:pStyle w:val="MarkforTableHeading"/>
      </w:pPr>
      <w:bookmarkStart w:id="60" w:name="Table3"/>
      <w:bookmarkStart w:id="61" w:name="_Toc83134595"/>
      <w:bookmarkEnd w:id="60"/>
      <w:r w:rsidRPr="00990D3B">
        <w:t xml:space="preserve">Table 3. Requirements for the </w:t>
      </w:r>
      <w:r w:rsidRPr="00990D3B" w:rsidR="000C7FEE">
        <w:t xml:space="preserve">EQR Mandatory Activities </w:t>
      </w:r>
      <w:r w:rsidRPr="00990D3B">
        <w:t>and Considerations for Drafting EQR Technical Reports</w:t>
      </w:r>
      <w:bookmarkEnd w:id="61"/>
    </w:p>
    <w:tbl>
      <w:tblPr>
        <w:tblStyle w:val="CORESETTable"/>
        <w:tblW w:w="5000" w:type="pct"/>
        <w:tblLook w:val="0620"/>
      </w:tblPr>
      <w:tblGrid>
        <w:gridCol w:w="2336"/>
        <w:gridCol w:w="5219"/>
        <w:gridCol w:w="5395"/>
      </w:tblGrid>
      <w:tr w14:paraId="1DF2BA42" w14:textId="77777777" w:rsidTr="0009603D">
        <w:tblPrEx>
          <w:tblW w:w="5000" w:type="pct"/>
          <w:tblLook w:val="0620"/>
        </w:tblPrEx>
        <w:trPr>
          <w:cantSplit/>
          <w:tblHeader/>
        </w:trPr>
        <w:tc>
          <w:tcPr>
            <w:tcW w:w="902" w:type="pct"/>
          </w:tcPr>
          <w:p w:rsidR="005A6FE8" w:rsidRPr="00990D3B" w:rsidP="004C149E" w14:paraId="50999D6C" w14:textId="77777777">
            <w:pPr>
              <w:pStyle w:val="EQRTableText"/>
              <w:rPr>
                <w:szCs w:val="18"/>
              </w:rPr>
            </w:pPr>
            <w:bookmarkStart w:id="62" w:name="_Hlk187920001"/>
            <w:r w:rsidRPr="00990D3B">
              <w:rPr>
                <w:szCs w:val="18"/>
              </w:rPr>
              <w:t>Regulatory Reference</w:t>
            </w:r>
          </w:p>
        </w:tc>
        <w:tc>
          <w:tcPr>
            <w:tcW w:w="2015" w:type="pct"/>
          </w:tcPr>
          <w:p w:rsidR="005A6FE8" w:rsidRPr="00990D3B" w:rsidP="006D61AD" w14:paraId="303925A2" w14:textId="77777777">
            <w:pPr>
              <w:pStyle w:val="EQRTableHeaderCenter"/>
              <w:rPr>
                <w:b/>
              </w:rPr>
            </w:pPr>
            <w:r w:rsidRPr="00990D3B">
              <w:rPr>
                <w:b/>
              </w:rPr>
              <w:t xml:space="preserve">Requirement </w:t>
            </w:r>
          </w:p>
        </w:tc>
        <w:tc>
          <w:tcPr>
            <w:tcW w:w="2083" w:type="pct"/>
          </w:tcPr>
          <w:p w:rsidR="005A6FE8" w:rsidRPr="00990D3B" w:rsidP="006D61AD" w14:paraId="1B6572D3" w14:textId="03BE0928">
            <w:pPr>
              <w:pStyle w:val="EQRTableHeaderCenter"/>
              <w:rPr>
                <w:b/>
              </w:rPr>
            </w:pPr>
            <w:r w:rsidRPr="00990D3B">
              <w:rPr>
                <w:b/>
              </w:rPr>
              <w:t xml:space="preserve">Considerations for EQR Technical Reports </w:t>
            </w:r>
          </w:p>
        </w:tc>
      </w:tr>
      <w:tr w14:paraId="0188F7AC" w14:textId="77777777" w:rsidTr="0009603D">
        <w:tblPrEx>
          <w:tblW w:w="5000" w:type="pct"/>
          <w:tblLook w:val="0620"/>
        </w:tblPrEx>
        <w:tc>
          <w:tcPr>
            <w:tcW w:w="902" w:type="pct"/>
          </w:tcPr>
          <w:p w:rsidR="00390BF6" w:rsidRPr="00990D3B" w14:paraId="556E5336" w14:textId="6231274A">
            <w:pPr>
              <w:pStyle w:val="EQRTableText"/>
            </w:pPr>
            <w:r w:rsidRPr="00990D3B">
              <w:t>42 C.F.R.</w:t>
            </w:r>
            <w:r w:rsidRPr="00990D3B">
              <w:t xml:space="preserve"> 438.364(a)(1)</w:t>
            </w:r>
          </w:p>
        </w:tc>
        <w:tc>
          <w:tcPr>
            <w:tcW w:w="2015" w:type="pct"/>
          </w:tcPr>
          <w:p w:rsidR="00390BF6" w:rsidRPr="00990D3B" w14:paraId="047B1EAE" w14:textId="353994DD">
            <w:pPr>
              <w:pStyle w:val="EQRTableText"/>
            </w:pPr>
            <w:r w:rsidRPr="00990D3B">
              <w:t xml:space="preserve">The </w:t>
            </w:r>
            <w:r w:rsidRPr="00990D3B" w:rsidR="00DB0CD1">
              <w:t xml:space="preserve">EQR </w:t>
            </w:r>
            <w:r w:rsidRPr="00990D3B">
              <w:t xml:space="preserve">technical report </w:t>
            </w:r>
            <w:r w:rsidRPr="00990D3B" w:rsidR="002431F8">
              <w:t>describes how data were aggregated and analyzed and how conclusions were drawn about</w:t>
            </w:r>
            <w:r w:rsidRPr="00990D3B">
              <w:rPr>
                <w:rStyle w:val="eop"/>
                <w:rFonts w:cs="Arial"/>
                <w:szCs w:val="18"/>
              </w:rPr>
              <w:t xml:space="preserve"> quality, access, and timeliness of care.</w:t>
            </w:r>
          </w:p>
        </w:tc>
        <w:tc>
          <w:tcPr>
            <w:tcW w:w="2083" w:type="pct"/>
          </w:tcPr>
          <w:p w:rsidR="00390BF6" w:rsidRPr="00990D3B" w14:paraId="0254A772" w14:textId="3BDB9D3A">
            <w:pPr>
              <w:pStyle w:val="EQRTableText"/>
              <w:rPr>
                <w:szCs w:val="18"/>
              </w:rPr>
            </w:pPr>
            <w:r w:rsidRPr="00990D3B">
              <w:rPr>
                <w:szCs w:val="18"/>
              </w:rPr>
              <w:t>For all four mandatory activities</w:t>
            </w:r>
            <w:r w:rsidRPr="00990D3B" w:rsidR="000960FD">
              <w:rPr>
                <w:szCs w:val="18"/>
              </w:rPr>
              <w:t>,</w:t>
            </w:r>
            <w:r w:rsidRPr="00990D3B">
              <w:rPr>
                <w:szCs w:val="18"/>
              </w:rPr>
              <w:t xml:space="preserve"> include </w:t>
            </w:r>
            <w:r w:rsidRPr="00990D3B">
              <w:rPr>
                <w:szCs w:val="18"/>
              </w:rPr>
              <w:t xml:space="preserve">a description </w:t>
            </w:r>
            <w:r w:rsidRPr="00990D3B" w:rsidR="00CD5C6F">
              <w:rPr>
                <w:szCs w:val="18"/>
              </w:rPr>
              <w:t xml:space="preserve">of </w:t>
            </w:r>
            <w:r w:rsidRPr="00990D3B">
              <w:rPr>
                <w:szCs w:val="18"/>
              </w:rPr>
              <w:t xml:space="preserve">(1) how data were aggregated, (2) how they were analyzed, and (3) how conclusions were drawn about the MCP’s ability to furnish services. </w:t>
            </w:r>
            <w:r w:rsidRPr="00990D3B">
              <w:rPr>
                <w:szCs w:val="18"/>
              </w:rPr>
              <w:t>Ensure that the comparisons discuss</w:t>
            </w:r>
            <w:r w:rsidRPr="00990D3B">
              <w:rPr>
                <w:szCs w:val="18"/>
              </w:rPr>
              <w:t xml:space="preserve"> quality, timeliness, and access to healthcare services.</w:t>
            </w:r>
          </w:p>
        </w:tc>
      </w:tr>
      <w:tr w14:paraId="2F6213F7" w14:textId="77777777" w:rsidTr="0009603D">
        <w:tblPrEx>
          <w:tblW w:w="5000" w:type="pct"/>
          <w:tblLook w:val="0620"/>
        </w:tblPrEx>
        <w:tc>
          <w:tcPr>
            <w:tcW w:w="902" w:type="pct"/>
          </w:tcPr>
          <w:p w:rsidR="00105288" w:rsidRPr="00990D3B" w:rsidP="004C149E" w14:paraId="1E126B50" w14:textId="2C7200AD">
            <w:pPr>
              <w:pStyle w:val="EQRTableText"/>
              <w:rPr>
                <w:szCs w:val="18"/>
              </w:rPr>
            </w:pPr>
            <w:r w:rsidRPr="00990D3B">
              <w:rPr>
                <w:szCs w:val="18"/>
              </w:rPr>
              <w:t>42 C.F.R.</w:t>
            </w:r>
            <w:r w:rsidRPr="00990D3B">
              <w:rPr>
                <w:szCs w:val="18"/>
              </w:rPr>
              <w:t xml:space="preserve"> 438.364(a)(</w:t>
            </w:r>
            <w:r w:rsidRPr="00990D3B">
              <w:rPr>
                <w:szCs w:val="18"/>
              </w:rPr>
              <w:t>2)(</w:t>
            </w:r>
            <w:r w:rsidRPr="00990D3B">
              <w:rPr>
                <w:szCs w:val="18"/>
              </w:rPr>
              <w:t>i-iv)</w:t>
            </w:r>
          </w:p>
        </w:tc>
        <w:tc>
          <w:tcPr>
            <w:tcW w:w="2015" w:type="pct"/>
          </w:tcPr>
          <w:p w:rsidR="00660471" w:rsidRPr="00990D3B" w:rsidP="003F0FF4" w14:paraId="3E634798" w14:textId="1455493F">
            <w:pPr>
              <w:pStyle w:val="EQRTableText"/>
              <w:rPr>
                <w:rStyle w:val="eop"/>
                <w:rFonts w:cs="Arial"/>
                <w:szCs w:val="18"/>
              </w:rPr>
            </w:pPr>
            <w:r w:rsidRPr="00990D3B">
              <w:rPr>
                <w:rStyle w:val="eop"/>
                <w:rFonts w:cs="Arial"/>
                <w:szCs w:val="18"/>
              </w:rPr>
              <w:t xml:space="preserve">The EQR technical report must include the following for each of the mandatory activities: </w:t>
            </w:r>
          </w:p>
          <w:p w:rsidR="00660471" w:rsidRPr="00990D3B" w:rsidP="00F11C3C" w14:paraId="7D539580" w14:textId="5DB0A324">
            <w:pPr>
              <w:pStyle w:val="EQRTableTextbullet"/>
            </w:pPr>
            <w:r w:rsidRPr="00990D3B">
              <w:t>Objectives</w:t>
            </w:r>
          </w:p>
          <w:p w:rsidR="00660471" w:rsidRPr="00990D3B" w:rsidP="00F11C3C" w14:paraId="368DA640" w14:textId="5DB3EC24">
            <w:pPr>
              <w:pStyle w:val="EQRTableTextbullet"/>
            </w:pPr>
            <w:r w:rsidRPr="00990D3B">
              <w:t>Technical methods of data collection and analysis</w:t>
            </w:r>
          </w:p>
          <w:p w:rsidR="00660471" w:rsidRPr="00990D3B" w:rsidP="00F11C3C" w14:paraId="7EF2BF33" w14:textId="5CBF6455">
            <w:pPr>
              <w:pStyle w:val="EQRTableTextbullet"/>
            </w:pPr>
            <w:r w:rsidRPr="00990D3B">
              <w:t xml:space="preserve">Description of data </w:t>
            </w:r>
            <w:r w:rsidRPr="00990D3B" w:rsidR="00C874F2">
              <w:t>obtained</w:t>
            </w:r>
            <w:r w:rsidRPr="00990D3B">
              <w:t xml:space="preserve"> including validated performance measurement data</w:t>
            </w:r>
          </w:p>
          <w:p w:rsidR="00E704CC" w:rsidRPr="00990D3B" w:rsidP="00F11C3C" w14:paraId="3B3BB359" w14:textId="4E85D28E">
            <w:pPr>
              <w:pStyle w:val="EQRTableTextbullet"/>
            </w:pPr>
            <w:r w:rsidRPr="00990D3B">
              <w:t xml:space="preserve">Conclusions drawn from the data </w:t>
            </w:r>
          </w:p>
        </w:tc>
        <w:tc>
          <w:tcPr>
            <w:tcW w:w="2083" w:type="pct"/>
          </w:tcPr>
          <w:p w:rsidR="00105288" w:rsidRPr="00990D3B" w:rsidP="004C149E" w14:paraId="772AF6C2" w14:textId="555AC1AC">
            <w:pPr>
              <w:pStyle w:val="EQRTableText"/>
              <w:rPr>
                <w:szCs w:val="18"/>
              </w:rPr>
            </w:pPr>
            <w:r w:rsidRPr="00990D3B">
              <w:rPr>
                <w:b/>
                <w:bCs/>
                <w:szCs w:val="18"/>
              </w:rPr>
              <w:t xml:space="preserve">Objectives: </w:t>
            </w:r>
            <w:r w:rsidRPr="00990D3B">
              <w:rPr>
                <w:szCs w:val="18"/>
              </w:rPr>
              <w:t xml:space="preserve">Provide the </w:t>
            </w:r>
            <w:r w:rsidRPr="00990D3B" w:rsidR="00B66B14">
              <w:rPr>
                <w:szCs w:val="18"/>
              </w:rPr>
              <w:t xml:space="preserve">state or EQRO’s </w:t>
            </w:r>
            <w:r w:rsidRPr="00990D3B" w:rsidR="000960FD">
              <w:rPr>
                <w:szCs w:val="18"/>
              </w:rPr>
              <w:t>aim</w:t>
            </w:r>
            <w:r w:rsidRPr="00990D3B">
              <w:rPr>
                <w:szCs w:val="18"/>
              </w:rPr>
              <w:t xml:space="preserve"> </w:t>
            </w:r>
            <w:r w:rsidRPr="00990D3B" w:rsidR="00B66B14">
              <w:rPr>
                <w:szCs w:val="18"/>
              </w:rPr>
              <w:t>for conducting</w:t>
            </w:r>
            <w:r w:rsidRPr="00990D3B">
              <w:rPr>
                <w:szCs w:val="18"/>
              </w:rPr>
              <w:t xml:space="preserve"> the </w:t>
            </w:r>
            <w:r w:rsidRPr="00990D3B" w:rsidR="00F8208F">
              <w:rPr>
                <w:szCs w:val="18"/>
              </w:rPr>
              <w:t xml:space="preserve">mandatory activity, including the general approach or methods of validation used by the EQRO. The state may also include the objective or aim statement for each PIP to satisfy </w:t>
            </w:r>
            <w:r w:rsidRPr="00990D3B" w:rsidR="000960FD">
              <w:rPr>
                <w:szCs w:val="18"/>
              </w:rPr>
              <w:t>this criterion</w:t>
            </w:r>
            <w:r w:rsidRPr="00990D3B" w:rsidR="00F8208F">
              <w:rPr>
                <w:szCs w:val="18"/>
              </w:rPr>
              <w:t xml:space="preserve"> for the PIP validation activity. </w:t>
            </w:r>
          </w:p>
          <w:p w:rsidR="00105288" w:rsidRPr="00990D3B" w:rsidP="004C149E" w14:paraId="0AA292E4" w14:textId="356549C3">
            <w:pPr>
              <w:pStyle w:val="EQRTableText"/>
              <w:rPr>
                <w:bCs/>
                <w:szCs w:val="18"/>
              </w:rPr>
            </w:pPr>
            <w:r w:rsidRPr="00990D3B">
              <w:rPr>
                <w:b/>
                <w:bCs/>
                <w:szCs w:val="18"/>
              </w:rPr>
              <w:t>Technical methods of data collection and analysis</w:t>
            </w:r>
            <w:r w:rsidRPr="00990D3B">
              <w:rPr>
                <w:szCs w:val="18"/>
              </w:rPr>
              <w:t xml:space="preserve">: </w:t>
            </w:r>
            <w:r w:rsidRPr="00990D3B" w:rsidR="000960FD">
              <w:rPr>
                <w:szCs w:val="18"/>
              </w:rPr>
              <w:t>Describe</w:t>
            </w:r>
            <w:r w:rsidRPr="00990D3B">
              <w:rPr>
                <w:szCs w:val="18"/>
              </w:rPr>
              <w:t xml:space="preserve"> </w:t>
            </w:r>
            <w:r w:rsidRPr="00990D3B">
              <w:rPr>
                <w:b/>
                <w:i/>
                <w:iCs/>
                <w:szCs w:val="18"/>
              </w:rPr>
              <w:t>how</w:t>
            </w:r>
            <w:r w:rsidRPr="00990D3B">
              <w:rPr>
                <w:bCs/>
                <w:szCs w:val="18"/>
              </w:rPr>
              <w:t xml:space="preserve"> </w:t>
            </w:r>
            <w:r w:rsidRPr="00990D3B" w:rsidR="000960FD">
              <w:rPr>
                <w:bCs/>
                <w:szCs w:val="18"/>
              </w:rPr>
              <w:t>the EQRO obtained data</w:t>
            </w:r>
            <w:r w:rsidRPr="00990D3B">
              <w:rPr>
                <w:bCs/>
                <w:szCs w:val="18"/>
              </w:rPr>
              <w:t xml:space="preserve"> to conduct the validation activity. If a collection tool is used, </w:t>
            </w:r>
            <w:r w:rsidRPr="00990D3B" w:rsidR="00D73C0C">
              <w:rPr>
                <w:bCs/>
                <w:szCs w:val="18"/>
              </w:rPr>
              <w:t xml:space="preserve">consider providing </w:t>
            </w:r>
            <w:r w:rsidRPr="00990D3B">
              <w:rPr>
                <w:bCs/>
                <w:szCs w:val="18"/>
              </w:rPr>
              <w:t xml:space="preserve">an example of the </w:t>
            </w:r>
            <w:r w:rsidRPr="00990D3B" w:rsidR="00D73C0C">
              <w:rPr>
                <w:bCs/>
                <w:szCs w:val="18"/>
              </w:rPr>
              <w:t xml:space="preserve">tool </w:t>
            </w:r>
            <w:r w:rsidRPr="00990D3B">
              <w:rPr>
                <w:bCs/>
                <w:szCs w:val="18"/>
              </w:rPr>
              <w:t>format</w:t>
            </w:r>
            <w:r w:rsidRPr="00990D3B" w:rsidR="000960FD">
              <w:rPr>
                <w:bCs/>
                <w:szCs w:val="18"/>
              </w:rPr>
              <w:t xml:space="preserve"> or questions asked</w:t>
            </w:r>
            <w:r w:rsidRPr="00990D3B">
              <w:rPr>
                <w:bCs/>
                <w:szCs w:val="18"/>
              </w:rPr>
              <w:t xml:space="preserve"> in an appendix. </w:t>
            </w:r>
            <w:r w:rsidRPr="00990D3B" w:rsidR="00D73C0C">
              <w:rPr>
                <w:bCs/>
                <w:szCs w:val="18"/>
              </w:rPr>
              <w:t>D</w:t>
            </w:r>
            <w:r w:rsidRPr="00990D3B">
              <w:rPr>
                <w:bCs/>
                <w:szCs w:val="18"/>
              </w:rPr>
              <w:t>escribe how data is analyzed to connect the data requested to the analytical methods that eventually support the conclusions drawn with those data and analyses.</w:t>
            </w:r>
          </w:p>
          <w:p w:rsidR="00105288" w:rsidRPr="00990D3B" w:rsidP="004C149E" w14:paraId="4019CC22" w14:textId="1CE85A87">
            <w:pPr>
              <w:pStyle w:val="EQRTableText"/>
              <w:rPr>
                <w:bCs/>
                <w:szCs w:val="18"/>
              </w:rPr>
            </w:pPr>
            <w:r w:rsidRPr="00990D3B">
              <w:rPr>
                <w:b/>
                <w:szCs w:val="18"/>
              </w:rPr>
              <w:t>Description of data obtained</w:t>
            </w:r>
            <w:r w:rsidRPr="00990D3B">
              <w:rPr>
                <w:bCs/>
                <w:szCs w:val="18"/>
              </w:rPr>
              <w:t>: Based upon the collection efforts above, describe the types of data obtained</w:t>
            </w:r>
            <w:r w:rsidRPr="00990D3B" w:rsidR="00693D35">
              <w:rPr>
                <w:bCs/>
              </w:rPr>
              <w:t>—</w:t>
            </w:r>
            <w:r w:rsidRPr="00990D3B">
              <w:rPr>
                <w:bCs/>
                <w:szCs w:val="18"/>
              </w:rPr>
              <w:t>information system extracts, documents, answers to questions in data collection tools, and others</w:t>
            </w:r>
            <w:r w:rsidRPr="00990D3B" w:rsidR="00693D35">
              <w:rPr>
                <w:bCs/>
              </w:rPr>
              <w:t>—</w:t>
            </w:r>
            <w:r w:rsidRPr="00990D3B">
              <w:rPr>
                <w:bCs/>
                <w:szCs w:val="18"/>
              </w:rPr>
              <w:t>to explain the nature of the data collected and analyzed.</w:t>
            </w:r>
            <w:r w:rsidRPr="00990D3B" w:rsidR="001221DE">
              <w:rPr>
                <w:bCs/>
                <w:szCs w:val="18"/>
              </w:rPr>
              <w:t xml:space="preserve"> </w:t>
            </w:r>
          </w:p>
          <w:p w:rsidR="00105288" w:rsidRPr="00990D3B" w:rsidP="004C149E" w14:paraId="38B914DC" w14:textId="62D93101">
            <w:pPr>
              <w:pStyle w:val="EQRTableText"/>
              <w:rPr>
                <w:bCs/>
                <w:szCs w:val="18"/>
              </w:rPr>
            </w:pPr>
            <w:r w:rsidRPr="00990D3B">
              <w:rPr>
                <w:b/>
                <w:szCs w:val="18"/>
              </w:rPr>
              <w:t>Conclusions drawn from the data</w:t>
            </w:r>
            <w:r w:rsidRPr="00990D3B">
              <w:rPr>
                <w:bCs/>
                <w:szCs w:val="18"/>
              </w:rPr>
              <w:t xml:space="preserve">: </w:t>
            </w:r>
            <w:bookmarkStart w:id="63" w:name="_Hlk184128747"/>
            <w:r w:rsidRPr="00990D3B" w:rsidR="00BA0681">
              <w:rPr>
                <w:bCs/>
                <w:szCs w:val="18"/>
              </w:rPr>
              <w:t xml:space="preserve">Provide the state or EQRO’s methodology for </w:t>
            </w:r>
            <w:r w:rsidRPr="00990D3B" w:rsidR="00A36A7C">
              <w:rPr>
                <w:bCs/>
                <w:szCs w:val="18"/>
              </w:rPr>
              <w:t>drawing conclusions</w:t>
            </w:r>
            <w:r w:rsidRPr="00990D3B" w:rsidR="00BA0681">
              <w:rPr>
                <w:bCs/>
                <w:szCs w:val="18"/>
              </w:rPr>
              <w:t xml:space="preserve"> from the</w:t>
            </w:r>
            <w:r w:rsidRPr="00990D3B" w:rsidR="007A295D">
              <w:rPr>
                <w:bCs/>
                <w:szCs w:val="18"/>
              </w:rPr>
              <w:t xml:space="preserve"> data obtained through the mandatory</w:t>
            </w:r>
            <w:r w:rsidRPr="00990D3B" w:rsidR="00BA0681">
              <w:rPr>
                <w:bCs/>
                <w:szCs w:val="18"/>
              </w:rPr>
              <w:t xml:space="preserve"> EQR</w:t>
            </w:r>
            <w:r w:rsidRPr="00990D3B" w:rsidR="007A295D">
              <w:rPr>
                <w:bCs/>
                <w:szCs w:val="18"/>
              </w:rPr>
              <w:t>-related</w:t>
            </w:r>
            <w:r w:rsidRPr="00990D3B" w:rsidR="00BA0681">
              <w:rPr>
                <w:bCs/>
                <w:szCs w:val="18"/>
              </w:rPr>
              <w:t xml:space="preserve"> activity</w:t>
            </w:r>
            <w:r w:rsidRPr="00990D3B">
              <w:rPr>
                <w:bCs/>
                <w:szCs w:val="18"/>
              </w:rPr>
              <w:t>.</w:t>
            </w:r>
            <w:bookmarkEnd w:id="63"/>
          </w:p>
        </w:tc>
      </w:tr>
      <w:tr w14:paraId="16F6CC87" w14:textId="77777777" w:rsidTr="0009603D">
        <w:tblPrEx>
          <w:tblW w:w="5000" w:type="pct"/>
          <w:tblLook w:val="0620"/>
        </w:tblPrEx>
        <w:tc>
          <w:tcPr>
            <w:tcW w:w="902" w:type="pct"/>
          </w:tcPr>
          <w:p w:rsidR="00DB0CD1" w:rsidRPr="00990D3B" w:rsidP="004C149E" w14:paraId="1A81ED92" w14:textId="5748CE43">
            <w:pPr>
              <w:pStyle w:val="EQRTableText"/>
              <w:rPr>
                <w:szCs w:val="18"/>
              </w:rPr>
            </w:pPr>
            <w:bookmarkStart w:id="64" w:name="_Hlk187131840"/>
            <w:r w:rsidRPr="00990D3B">
              <w:rPr>
                <w:szCs w:val="18"/>
              </w:rPr>
              <w:t>42 C.F.R. 438.364(a)(2)(iii)</w:t>
            </w:r>
            <w:bookmarkEnd w:id="64"/>
          </w:p>
        </w:tc>
        <w:tc>
          <w:tcPr>
            <w:tcW w:w="2015" w:type="pct"/>
          </w:tcPr>
          <w:p w:rsidR="001112E1" w:rsidRPr="00990D3B" w:rsidP="00DC31A5" w14:paraId="1B95DA86" w14:textId="1B148E7B">
            <w:pPr>
              <w:pStyle w:val="EQRTableText"/>
              <w:rPr>
                <w:bCs/>
              </w:rPr>
            </w:pPr>
            <w:r w:rsidRPr="00990D3B">
              <w:t xml:space="preserve">The EQR technical report must </w:t>
            </w:r>
            <w:r w:rsidRPr="00990D3B" w:rsidR="008E078F">
              <w:rPr>
                <w:bCs/>
                <w:szCs w:val="18"/>
              </w:rPr>
              <w:t>include</w:t>
            </w:r>
            <w:r w:rsidRPr="00990D3B" w:rsidR="00350756">
              <w:rPr>
                <w:bCs/>
                <w:szCs w:val="18"/>
              </w:rPr>
              <w:t xml:space="preserve"> PM data and</w:t>
            </w:r>
            <w:r w:rsidRPr="00990D3B" w:rsidR="008E078F">
              <w:rPr>
                <w:bCs/>
                <w:szCs w:val="18"/>
              </w:rPr>
              <w:t xml:space="preserve"> </w:t>
            </w:r>
            <w:r w:rsidRPr="00990D3B">
              <w:rPr>
                <w:bCs/>
                <w:szCs w:val="18"/>
              </w:rPr>
              <w:t xml:space="preserve">any </w:t>
            </w:r>
            <w:r w:rsidRPr="00990D3B" w:rsidR="008E078F">
              <w:rPr>
                <w:bCs/>
              </w:rPr>
              <w:t xml:space="preserve">outcomes data and results from quantitative assessments, regardless of whether </w:t>
            </w:r>
            <w:r w:rsidRPr="00990D3B">
              <w:rPr>
                <w:bCs/>
              </w:rPr>
              <w:t>the data</w:t>
            </w:r>
            <w:r w:rsidRPr="00990D3B" w:rsidR="008E078F">
              <w:rPr>
                <w:bCs/>
              </w:rPr>
              <w:t xml:space="preserve"> </w:t>
            </w:r>
            <w:r w:rsidRPr="00990D3B" w:rsidR="008E078F">
              <w:rPr>
                <w:bCs/>
              </w:rPr>
              <w:t>ha</w:t>
            </w:r>
            <w:r w:rsidRPr="00990D3B" w:rsidR="004C148C">
              <w:rPr>
                <w:bCs/>
              </w:rPr>
              <w:t>v</w:t>
            </w:r>
            <w:r w:rsidRPr="00990D3B" w:rsidR="004C148C">
              <w:t>e</w:t>
            </w:r>
            <w:r w:rsidRPr="00990D3B" w:rsidR="008E078F">
              <w:rPr>
                <w:bCs/>
              </w:rPr>
              <w:t xml:space="preserve"> been validated</w:t>
            </w:r>
            <w:r w:rsidRPr="00990D3B">
              <w:rPr>
                <w:bCs/>
              </w:rPr>
              <w:t>, for each of the following mandatory activities:</w:t>
            </w:r>
          </w:p>
          <w:p w:rsidR="00E704CC" w:rsidRPr="00990D3B" w:rsidP="003F0FF4" w14:paraId="2269CD05" w14:textId="77777777">
            <w:pPr>
              <w:pStyle w:val="EQRTableTextbullet"/>
              <w:rPr>
                <w:shd w:val="clear" w:color="auto" w:fill="FFFFFF"/>
              </w:rPr>
            </w:pPr>
            <w:r w:rsidRPr="00990D3B">
              <w:t>Validation of PIPs</w:t>
            </w:r>
          </w:p>
          <w:p w:rsidR="008167C0" w:rsidRPr="006B0DB6" w:rsidP="003F0FF4" w14:paraId="7BC8F701" w14:textId="77777777">
            <w:pPr>
              <w:pStyle w:val="EQRTableTextbullet"/>
              <w:rPr>
                <w:shd w:val="clear" w:color="auto" w:fill="FFFFFF"/>
              </w:rPr>
            </w:pPr>
            <w:r w:rsidRPr="00990D3B">
              <w:t>Validation of Performance Mea</w:t>
            </w:r>
            <w:r w:rsidRPr="00990D3B" w:rsidR="000F6E37">
              <w:t xml:space="preserve">sures </w:t>
            </w:r>
          </w:p>
          <w:p w:rsidR="00DB0CD1" w:rsidRPr="002510B6" w:rsidP="008167C0" w14:paraId="7A40E08E" w14:textId="77777777">
            <w:pPr>
              <w:pStyle w:val="EQRTableTextbullet"/>
              <w:rPr>
                <w:shd w:val="clear" w:color="auto" w:fill="FFFFFF"/>
              </w:rPr>
            </w:pPr>
            <w:r w:rsidRPr="00990D3B">
              <w:t xml:space="preserve">Validation of Network Adequacy </w:t>
            </w:r>
          </w:p>
          <w:p w:rsidR="002510B6" w:rsidP="002510B6" w14:paraId="21787DBA" w14:textId="77777777">
            <w:pPr>
              <w:pStyle w:val="EQRTableTextbullet"/>
              <w:numPr>
                <w:ilvl w:val="0"/>
                <w:numId w:val="0"/>
              </w:numPr>
              <w:ind w:left="360" w:hanging="360"/>
              <w:rPr>
                <w:shd w:val="clear" w:color="auto" w:fill="FFFFFF"/>
              </w:rPr>
            </w:pPr>
          </w:p>
          <w:p w:rsidR="002510B6" w:rsidRPr="002510B6" w:rsidP="002510B6" w14:paraId="0583B4DD" w14:textId="55E64A54">
            <w:pPr>
              <w:pStyle w:val="EQRTableTextbullet"/>
              <w:numPr>
                <w:ilvl w:val="0"/>
                <w:numId w:val="0"/>
              </w:numPr>
              <w:rPr>
                <w:shd w:val="clear" w:color="auto" w:fill="FFFFFF"/>
              </w:rPr>
            </w:pPr>
            <w:r w:rsidRPr="006B391E">
              <w:rPr>
                <w:bCs/>
                <w:szCs w:val="16"/>
              </w:rPr>
              <w:t>Quantitative assessments beyond reporting compliance review findings are not required. However, states may choose to include a quantitative summary of MCP compliance with state and federal requirements. See Box 7 for examples of quantitative assessments by mandatory EQR activity.</w:t>
            </w:r>
          </w:p>
        </w:tc>
        <w:tc>
          <w:tcPr>
            <w:tcW w:w="2083" w:type="pct"/>
          </w:tcPr>
          <w:p w:rsidR="00C402B8" w:rsidP="004C149E" w14:paraId="37E2AD4E" w14:textId="77777777">
            <w:pPr>
              <w:pStyle w:val="EQRTableText"/>
              <w:rPr>
                <w:rFonts w:eastAsiaTheme="minorEastAsia"/>
              </w:rPr>
            </w:pPr>
            <w:r w:rsidRPr="00990D3B">
              <w:rPr>
                <w:rFonts w:eastAsiaTheme="minorEastAsia"/>
              </w:rPr>
              <w:t>Provide the validated PM data for each activity</w:t>
            </w:r>
            <w:r w:rsidRPr="00990D3B" w:rsidR="001D097C">
              <w:rPr>
                <w:rFonts w:eastAsiaTheme="minorEastAsia"/>
              </w:rPr>
              <w:t xml:space="preserve"> and results</w:t>
            </w:r>
            <w:r w:rsidRPr="00990D3B">
              <w:rPr>
                <w:rFonts w:eastAsiaTheme="minorEastAsia"/>
              </w:rPr>
              <w:t xml:space="preserve"> from quantitative assessments. </w:t>
            </w:r>
            <w:r w:rsidRPr="00990D3B">
              <w:rPr>
                <w:rFonts w:eastAsiaTheme="minorEastAsia"/>
              </w:rPr>
              <w:t>Outcomes data includes PIP variable rates and network adequacy findings. Quantitative assessments encompass specific measurements and outcomes from EQRO analyses completed in addition to validation activities.</w:t>
            </w:r>
          </w:p>
          <w:p w:rsidR="00454D26" w:rsidP="004C149E" w14:paraId="12F01272" w14:textId="77777777">
            <w:pPr>
              <w:pStyle w:val="EQRTableText"/>
              <w:rPr>
                <w:rFonts w:eastAsiaTheme="minorEastAsia"/>
              </w:rPr>
            </w:pPr>
          </w:p>
          <w:p w:rsidR="006B391E" w:rsidRPr="00990D3B" w:rsidP="004C149E" w14:paraId="28BE25F4" w14:textId="55012268">
            <w:pPr>
              <w:pStyle w:val="EQRTableText"/>
              <w:rPr>
                <w:rFonts w:eastAsiaTheme="minorEastAsia"/>
              </w:rPr>
            </w:pPr>
            <w:r w:rsidRPr="007024D0">
              <w:rPr>
                <w:rFonts w:eastAsiaTheme="minorEastAsia"/>
              </w:rPr>
              <w:t xml:space="preserve">If </w:t>
            </w:r>
            <w:r w:rsidRPr="007024D0">
              <w:rPr>
                <w:rFonts w:eastAsiaTheme="minorEastAsia"/>
              </w:rPr>
              <w:t>these</w:t>
            </w:r>
            <w:r w:rsidRPr="007024D0">
              <w:rPr>
                <w:rFonts w:eastAsiaTheme="minorEastAsia"/>
              </w:rPr>
              <w:t xml:space="preserve"> data are available in another publicly available document, then the state’s EQR technical report may link to the secondary document instead of reproducing the data. In such cases, the EQR technical report must (1) clearly cite the source document, (2) clearly identify the applicable reporting period, and (3) summarize the EQRO’s validation findings, including any concerns, methodological issues, and required corrective actions. Any referenced links must remain publicly accessible for the duration of the required five-year posting period for EQR technical reports.</w:t>
            </w:r>
          </w:p>
        </w:tc>
      </w:tr>
      <w:tr w14:paraId="5E374664" w14:textId="77777777" w:rsidTr="0009603D">
        <w:tblPrEx>
          <w:tblW w:w="5000" w:type="pct"/>
          <w:tblLook w:val="0620"/>
        </w:tblPrEx>
        <w:tc>
          <w:tcPr>
            <w:tcW w:w="902" w:type="pct"/>
          </w:tcPr>
          <w:p w:rsidR="00105288" w:rsidRPr="00990D3B" w:rsidP="004C149E" w14:paraId="60A4AE9D" w14:textId="1FA6F73D">
            <w:pPr>
              <w:pStyle w:val="EQRTableText"/>
              <w:rPr>
                <w:szCs w:val="18"/>
              </w:rPr>
            </w:pPr>
            <w:bookmarkStart w:id="65" w:name="_Hlk200964355"/>
            <w:r w:rsidRPr="00990D3B">
              <w:rPr>
                <w:szCs w:val="18"/>
              </w:rPr>
              <w:t>42 C.F.R.</w:t>
            </w:r>
            <w:r w:rsidRPr="00990D3B" w:rsidR="00ED6F56">
              <w:rPr>
                <w:szCs w:val="18"/>
              </w:rPr>
              <w:t xml:space="preserve"> </w:t>
            </w:r>
            <w:r w:rsidRPr="00990D3B">
              <w:rPr>
                <w:szCs w:val="18"/>
              </w:rPr>
              <w:t>438.358(b)(1)(i)</w:t>
            </w:r>
            <w:bookmarkEnd w:id="65"/>
          </w:p>
        </w:tc>
        <w:tc>
          <w:tcPr>
            <w:tcW w:w="2015" w:type="pct"/>
          </w:tcPr>
          <w:p w:rsidR="00105288" w:rsidRPr="00990D3B" w:rsidP="004C149E" w14:paraId="28CBAC9B" w14:textId="05913EF3">
            <w:pPr>
              <w:pStyle w:val="EQRTableText"/>
              <w:rPr>
                <w:rFonts w:asciiTheme="minorHAnsi" w:hAnsiTheme="minorHAnsi"/>
                <w:szCs w:val="18"/>
              </w:rPr>
            </w:pPr>
            <w:r w:rsidRPr="00990D3B">
              <w:rPr>
                <w:szCs w:val="18"/>
              </w:rPr>
              <w:t>The</w:t>
            </w:r>
            <w:r w:rsidRPr="00990D3B" w:rsidR="00DB0CD1">
              <w:rPr>
                <w:szCs w:val="18"/>
              </w:rPr>
              <w:t xml:space="preserve"> EQR</w:t>
            </w:r>
            <w:r w:rsidRPr="00990D3B">
              <w:rPr>
                <w:szCs w:val="18"/>
              </w:rPr>
              <w:t xml:space="preserve"> technical report </w:t>
            </w:r>
            <w:r w:rsidRPr="00990D3B" w:rsidR="00F619B4">
              <w:rPr>
                <w:szCs w:val="18"/>
              </w:rPr>
              <w:t>must include</w:t>
            </w:r>
            <w:r w:rsidRPr="00990D3B">
              <w:rPr>
                <w:szCs w:val="18"/>
              </w:rPr>
              <w:t xml:space="preserve"> information on the validation of PIPs underway during the preceding 12 months. </w:t>
            </w:r>
          </w:p>
        </w:tc>
        <w:tc>
          <w:tcPr>
            <w:tcW w:w="2083" w:type="pct"/>
          </w:tcPr>
          <w:p w:rsidR="00EC22DF" w:rsidRPr="00990D3B" w:rsidP="004C149E" w14:paraId="08F5570B" w14:textId="1EE19CB2">
            <w:pPr>
              <w:pStyle w:val="EQRTableText"/>
              <w:rPr>
                <w:szCs w:val="18"/>
              </w:rPr>
            </w:pPr>
            <w:r w:rsidRPr="00990D3B">
              <w:rPr>
                <w:szCs w:val="18"/>
              </w:rPr>
              <w:t xml:space="preserve">Provide validation </w:t>
            </w:r>
            <w:r w:rsidRPr="00990D3B" w:rsidR="00556325">
              <w:rPr>
                <w:szCs w:val="18"/>
              </w:rPr>
              <w:t xml:space="preserve">findings </w:t>
            </w:r>
            <w:r w:rsidRPr="00990D3B" w:rsidR="00100A89">
              <w:rPr>
                <w:szCs w:val="18"/>
              </w:rPr>
              <w:t xml:space="preserve">for </w:t>
            </w:r>
            <w:r w:rsidRPr="00990D3B">
              <w:rPr>
                <w:szCs w:val="18"/>
              </w:rPr>
              <w:t xml:space="preserve">all PIPs underway during the </w:t>
            </w:r>
            <w:r w:rsidRPr="00990D3B" w:rsidR="001B432E">
              <w:rPr>
                <w:szCs w:val="18"/>
              </w:rPr>
              <w:t xml:space="preserve">most recently completed </w:t>
            </w:r>
            <w:r w:rsidRPr="00990D3B">
              <w:rPr>
                <w:szCs w:val="18"/>
              </w:rPr>
              <w:t>12</w:t>
            </w:r>
            <w:r w:rsidRPr="00990D3B" w:rsidR="00693D35">
              <w:rPr>
                <w:szCs w:val="18"/>
              </w:rPr>
              <w:t>-</w:t>
            </w:r>
            <w:r w:rsidRPr="00990D3B">
              <w:rPr>
                <w:szCs w:val="18"/>
              </w:rPr>
              <w:t xml:space="preserve">month </w:t>
            </w:r>
            <w:r w:rsidRPr="00990D3B" w:rsidR="001B432E">
              <w:rPr>
                <w:szCs w:val="18"/>
              </w:rPr>
              <w:t>contract year or calendar year</w:t>
            </w:r>
            <w:r w:rsidRPr="00990D3B" w:rsidR="00681204">
              <w:rPr>
                <w:szCs w:val="18"/>
              </w:rPr>
              <w:t xml:space="preserve"> (whichever is closer)</w:t>
            </w:r>
            <w:r w:rsidRPr="00990D3B" w:rsidR="001B432E">
              <w:rPr>
                <w:szCs w:val="18"/>
              </w:rPr>
              <w:t xml:space="preserve"> </w:t>
            </w:r>
            <w:r w:rsidRPr="00990D3B">
              <w:rPr>
                <w:szCs w:val="18"/>
              </w:rPr>
              <w:t xml:space="preserve">preceding the EQR review, regardless of the </w:t>
            </w:r>
            <w:r w:rsidRPr="00990D3B" w:rsidR="000960FD">
              <w:rPr>
                <w:szCs w:val="18"/>
              </w:rPr>
              <w:t>PIP implementation phase</w:t>
            </w:r>
            <w:r w:rsidRPr="00990D3B">
              <w:rPr>
                <w:szCs w:val="18"/>
              </w:rPr>
              <w:t xml:space="preserve">. States often link the </w:t>
            </w:r>
            <w:r w:rsidRPr="00990D3B" w:rsidR="00041FB9">
              <w:rPr>
                <w:szCs w:val="18"/>
              </w:rPr>
              <w:t>time frame under review to a corresponding measurement or performance period, such as state or federal fiscal year</w:t>
            </w:r>
            <w:r w:rsidRPr="00990D3B">
              <w:rPr>
                <w:szCs w:val="18"/>
              </w:rPr>
              <w:t xml:space="preserve"> or calendar year.</w:t>
            </w:r>
            <w:r w:rsidRPr="00990D3B" w:rsidR="00041FB9">
              <w:rPr>
                <w:szCs w:val="18"/>
              </w:rPr>
              <w:t xml:space="preserve"> If the MCP only recently entered the market and had not begun a PIP, provide a statement to this effect. </w:t>
            </w:r>
            <w:r w:rsidRPr="00990D3B">
              <w:rPr>
                <w:szCs w:val="18"/>
              </w:rPr>
              <w:t xml:space="preserve"> If a multi-year PIP has not reached a phase where the EQRO can produce a PIP validation rating, provide a statement to this effect.</w:t>
            </w:r>
          </w:p>
        </w:tc>
      </w:tr>
      <w:tr w14:paraId="253A6A51" w14:textId="77777777" w:rsidTr="0009603D">
        <w:tblPrEx>
          <w:tblW w:w="5000" w:type="pct"/>
          <w:tblLook w:val="0620"/>
        </w:tblPrEx>
        <w:tc>
          <w:tcPr>
            <w:tcW w:w="902" w:type="pct"/>
          </w:tcPr>
          <w:p w:rsidR="00105288" w:rsidRPr="00990D3B" w:rsidP="004C149E" w14:paraId="226ADFBC" w14:textId="0D5F30E0">
            <w:pPr>
              <w:pStyle w:val="EQRTableText"/>
              <w:rPr>
                <w:szCs w:val="18"/>
              </w:rPr>
            </w:pPr>
            <w:bookmarkStart w:id="66" w:name="_Hlk181102697"/>
            <w:r w:rsidRPr="00990D3B">
              <w:rPr>
                <w:szCs w:val="18"/>
              </w:rPr>
              <w:t>42 C.F.R.</w:t>
            </w:r>
            <w:r w:rsidRPr="00990D3B">
              <w:rPr>
                <w:szCs w:val="18"/>
              </w:rPr>
              <w:t xml:space="preserve"> 438.358(b)(1)(ii)</w:t>
            </w:r>
            <w:bookmarkEnd w:id="66"/>
          </w:p>
        </w:tc>
        <w:tc>
          <w:tcPr>
            <w:tcW w:w="2015" w:type="pct"/>
          </w:tcPr>
          <w:p w:rsidR="00105288" w:rsidRPr="00990D3B" w:rsidP="004C149E" w14:paraId="791600BE" w14:textId="450F508C">
            <w:pPr>
              <w:pStyle w:val="EQRTableText"/>
              <w:rPr>
                <w:rFonts w:asciiTheme="majorHAnsi" w:hAnsiTheme="majorHAnsi" w:cstheme="majorHAnsi"/>
                <w:szCs w:val="18"/>
                <w:shd w:val="clear" w:color="auto" w:fill="FFFFFF"/>
              </w:rPr>
            </w:pPr>
            <w:r w:rsidRPr="00990D3B">
              <w:rPr>
                <w:szCs w:val="18"/>
              </w:rPr>
              <w:t xml:space="preserve">The </w:t>
            </w:r>
            <w:r w:rsidRPr="00990D3B" w:rsidR="00DB0CD1">
              <w:rPr>
                <w:szCs w:val="18"/>
              </w:rPr>
              <w:t xml:space="preserve">EQR </w:t>
            </w:r>
            <w:r w:rsidRPr="00990D3B">
              <w:rPr>
                <w:szCs w:val="18"/>
              </w:rPr>
              <w:t xml:space="preserve">technical report </w:t>
            </w:r>
            <w:r w:rsidRPr="00990D3B" w:rsidR="000E5967">
              <w:rPr>
                <w:szCs w:val="18"/>
              </w:rPr>
              <w:t>must include</w:t>
            </w:r>
            <w:r w:rsidRPr="00990D3B">
              <w:rPr>
                <w:szCs w:val="18"/>
              </w:rPr>
              <w:t xml:space="preserve"> information on the validation of each </w:t>
            </w:r>
            <w:r w:rsidRPr="00990D3B" w:rsidR="00100A89">
              <w:rPr>
                <w:szCs w:val="18"/>
              </w:rPr>
              <w:t>MCP’s</w:t>
            </w:r>
            <w:r w:rsidRPr="00990D3B">
              <w:rPr>
                <w:szCs w:val="18"/>
              </w:rPr>
              <w:t xml:space="preserve"> performance measures calculated by the state during the preceding 12 months</w:t>
            </w:r>
            <w:r w:rsidRPr="00990D3B" w:rsidR="00F619B4">
              <w:rPr>
                <w:szCs w:val="18"/>
              </w:rPr>
              <w:t>.</w:t>
            </w:r>
          </w:p>
        </w:tc>
        <w:tc>
          <w:tcPr>
            <w:tcW w:w="2083" w:type="pct"/>
          </w:tcPr>
          <w:p w:rsidR="00105288" w:rsidRPr="00990D3B" w:rsidP="00736FBA" w14:paraId="6E2F3CBF" w14:textId="045FADB6">
            <w:pPr>
              <w:pStyle w:val="EQRTableText"/>
              <w:rPr>
                <w:szCs w:val="18"/>
              </w:rPr>
            </w:pPr>
            <w:r w:rsidRPr="00990D3B">
              <w:rPr>
                <w:szCs w:val="18"/>
              </w:rPr>
              <w:t>Provide validation</w:t>
            </w:r>
            <w:r w:rsidRPr="00990D3B" w:rsidR="00556325">
              <w:rPr>
                <w:szCs w:val="18"/>
              </w:rPr>
              <w:t xml:space="preserve"> findings</w:t>
            </w:r>
            <w:r w:rsidRPr="00990D3B">
              <w:rPr>
                <w:szCs w:val="18"/>
              </w:rPr>
              <w:t xml:space="preserve"> </w:t>
            </w:r>
            <w:r w:rsidRPr="00990D3B" w:rsidR="00556325">
              <w:rPr>
                <w:szCs w:val="18"/>
              </w:rPr>
              <w:t xml:space="preserve">for </w:t>
            </w:r>
            <w:r w:rsidRPr="00990D3B">
              <w:rPr>
                <w:szCs w:val="18"/>
              </w:rPr>
              <w:t xml:space="preserve">all </w:t>
            </w:r>
            <w:r w:rsidRPr="00990D3B" w:rsidR="00100A89">
              <w:rPr>
                <w:szCs w:val="18"/>
              </w:rPr>
              <w:t xml:space="preserve">QAPI </w:t>
            </w:r>
            <w:r w:rsidRPr="00990D3B">
              <w:rPr>
                <w:szCs w:val="18"/>
              </w:rPr>
              <w:t xml:space="preserve">performance measures in use during the </w:t>
            </w:r>
            <w:r w:rsidRPr="00990D3B" w:rsidR="001B432E">
              <w:rPr>
                <w:szCs w:val="18"/>
              </w:rPr>
              <w:t xml:space="preserve">most recently completed </w:t>
            </w:r>
            <w:r w:rsidRPr="00990D3B" w:rsidR="00411AAD">
              <w:rPr>
                <w:szCs w:val="18"/>
              </w:rPr>
              <w:t>12-month</w:t>
            </w:r>
            <w:r w:rsidRPr="00990D3B">
              <w:rPr>
                <w:szCs w:val="18"/>
              </w:rPr>
              <w:t xml:space="preserve"> </w:t>
            </w:r>
            <w:r w:rsidRPr="00990D3B" w:rsidR="001B432E">
              <w:rPr>
                <w:szCs w:val="18"/>
              </w:rPr>
              <w:t xml:space="preserve">contract year or calendar year </w:t>
            </w:r>
            <w:r w:rsidRPr="00990D3B" w:rsidR="00681204">
              <w:rPr>
                <w:szCs w:val="18"/>
              </w:rPr>
              <w:t xml:space="preserve">(whichever is closer) </w:t>
            </w:r>
            <w:r w:rsidRPr="00990D3B">
              <w:rPr>
                <w:szCs w:val="18"/>
              </w:rPr>
              <w:t>preceding the EQR review, regardless of the phase of the performance measure’s implementation.</w:t>
            </w:r>
            <w:r w:rsidRPr="00990D3B" w:rsidR="00BA0681">
              <w:rPr>
                <w:szCs w:val="18"/>
              </w:rPr>
              <w:t xml:space="preserve"> If the MCP only recently entered the market and therefore </w:t>
            </w:r>
            <w:r w:rsidRPr="00990D3B" w:rsidR="00BA0681">
              <w:rPr>
                <w:szCs w:val="18"/>
              </w:rPr>
              <w:t>had</w:t>
            </w:r>
            <w:r w:rsidRPr="00990D3B" w:rsidR="00BA0681">
              <w:rPr>
                <w:szCs w:val="18"/>
              </w:rPr>
              <w:t xml:space="preserve"> not begun reporting on performance measures, provide a statement to this effect.</w:t>
            </w:r>
          </w:p>
        </w:tc>
      </w:tr>
      <w:tr w14:paraId="779085B6" w14:textId="77777777" w:rsidTr="0009603D">
        <w:tblPrEx>
          <w:tblW w:w="5000" w:type="pct"/>
          <w:tblLook w:val="0620"/>
        </w:tblPrEx>
        <w:tc>
          <w:tcPr>
            <w:tcW w:w="902" w:type="pct"/>
          </w:tcPr>
          <w:p w:rsidR="00105288" w:rsidRPr="00990D3B" w:rsidP="004C149E" w14:paraId="4D0D73E0" w14:textId="548D0A16">
            <w:pPr>
              <w:pStyle w:val="EQRTableText"/>
              <w:rPr>
                <w:szCs w:val="18"/>
              </w:rPr>
            </w:pPr>
            <w:r w:rsidRPr="00990D3B">
              <w:rPr>
                <w:szCs w:val="18"/>
              </w:rPr>
              <w:t>42 C.F.R.</w:t>
            </w:r>
            <w:r w:rsidRPr="00990D3B">
              <w:rPr>
                <w:szCs w:val="18"/>
              </w:rPr>
              <w:t xml:space="preserve"> 438.358(b)(1)(iii)</w:t>
            </w:r>
          </w:p>
        </w:tc>
        <w:tc>
          <w:tcPr>
            <w:tcW w:w="2015" w:type="pct"/>
          </w:tcPr>
          <w:p w:rsidR="00105288" w:rsidRPr="00990D3B" w:rsidP="00740E68" w14:paraId="5E847680" w14:textId="7724ED27">
            <w:pPr>
              <w:pStyle w:val="EQRTableText"/>
              <w:rPr>
                <w:szCs w:val="18"/>
              </w:rPr>
            </w:pPr>
            <w:r w:rsidRPr="00990D3B">
              <w:rPr>
                <w:szCs w:val="18"/>
              </w:rPr>
              <w:t>The</w:t>
            </w:r>
            <w:r w:rsidRPr="00990D3B" w:rsidR="00DB0CD1">
              <w:rPr>
                <w:szCs w:val="18"/>
              </w:rPr>
              <w:t xml:space="preserve"> EQR</w:t>
            </w:r>
            <w:r w:rsidRPr="00990D3B">
              <w:rPr>
                <w:szCs w:val="18"/>
              </w:rPr>
              <w:t xml:space="preserve"> technical report </w:t>
            </w:r>
            <w:r w:rsidRPr="00990D3B" w:rsidR="00A626C0">
              <w:rPr>
                <w:szCs w:val="18"/>
              </w:rPr>
              <w:t>must include</w:t>
            </w:r>
            <w:r w:rsidRPr="00990D3B">
              <w:rPr>
                <w:szCs w:val="18"/>
              </w:rPr>
              <w:t xml:space="preserve"> information on a review, conducted within the previous</w:t>
            </w:r>
            <w:r w:rsidRPr="00990D3B" w:rsidR="00ED6F56">
              <w:rPr>
                <w:szCs w:val="18"/>
              </w:rPr>
              <w:t xml:space="preserve"> rolling</w:t>
            </w:r>
            <w:r w:rsidRPr="00990D3B">
              <w:rPr>
                <w:szCs w:val="18"/>
              </w:rPr>
              <w:t xml:space="preserve"> three-year period, to determine each </w:t>
            </w:r>
            <w:r w:rsidRPr="00990D3B" w:rsidR="00100A89">
              <w:rPr>
                <w:szCs w:val="18"/>
              </w:rPr>
              <w:t>MCP’s</w:t>
            </w:r>
            <w:r w:rsidRPr="00990D3B">
              <w:rPr>
                <w:szCs w:val="18"/>
              </w:rPr>
              <w:t xml:space="preserve"> compliance with the standards set forth in </w:t>
            </w:r>
            <w:r w:rsidRPr="00990D3B" w:rsidR="001C7FC0">
              <w:rPr>
                <w:szCs w:val="18"/>
              </w:rPr>
              <w:t>42 C.F.R.</w:t>
            </w:r>
            <w:r w:rsidRPr="00990D3B" w:rsidR="00CB3AC4">
              <w:rPr>
                <w:szCs w:val="18"/>
              </w:rPr>
              <w:t xml:space="preserve"> 438, part 56, 100, 114, </w:t>
            </w:r>
            <w:r w:rsidRPr="00990D3B">
              <w:rPr>
                <w:szCs w:val="18"/>
              </w:rPr>
              <w:t>Subpart D</w:t>
            </w:r>
            <w:r w:rsidRPr="00990D3B" w:rsidR="00B2290E">
              <w:rPr>
                <w:szCs w:val="18"/>
              </w:rPr>
              <w:t>,</w:t>
            </w:r>
            <w:r w:rsidRPr="00990D3B">
              <w:rPr>
                <w:szCs w:val="18"/>
              </w:rPr>
              <w:t xml:space="preserve"> and QAPI requirements described in </w:t>
            </w:r>
            <w:r w:rsidRPr="00990D3B" w:rsidR="001C7FC0">
              <w:rPr>
                <w:szCs w:val="18"/>
              </w:rPr>
              <w:t>42 C.F.R.</w:t>
            </w:r>
            <w:r w:rsidRPr="00990D3B">
              <w:rPr>
                <w:szCs w:val="18"/>
              </w:rPr>
              <w:t xml:space="preserve"> 438.330</w:t>
            </w:r>
            <w:r w:rsidRPr="00990D3B" w:rsidR="00F619B4">
              <w:rPr>
                <w:szCs w:val="18"/>
              </w:rPr>
              <w:t>.</w:t>
            </w:r>
          </w:p>
          <w:p w:rsidR="00A626C0" w:rsidRPr="00990D3B" w:rsidP="004C149E" w14:paraId="6798395A" w14:textId="5EAAE648">
            <w:pPr>
              <w:pStyle w:val="EQRTableText"/>
              <w:rPr>
                <w:szCs w:val="18"/>
              </w:rPr>
            </w:pPr>
            <w:r w:rsidRPr="00990D3B">
              <w:rPr>
                <w:szCs w:val="18"/>
              </w:rPr>
              <w:t>The technical report must provide MCP results for the following 1</w:t>
            </w:r>
            <w:r w:rsidRPr="00990D3B" w:rsidR="0013167D">
              <w:rPr>
                <w:szCs w:val="18"/>
              </w:rPr>
              <w:t>4</w:t>
            </w:r>
            <w:r w:rsidRPr="00990D3B">
              <w:rPr>
                <w:szCs w:val="18"/>
              </w:rPr>
              <w:t xml:space="preserve"> </w:t>
            </w:r>
            <w:r w:rsidRPr="00990D3B" w:rsidR="0013167D">
              <w:rPr>
                <w:szCs w:val="18"/>
              </w:rPr>
              <w:t>federal quality</w:t>
            </w:r>
            <w:r w:rsidRPr="00990D3B">
              <w:rPr>
                <w:szCs w:val="18"/>
              </w:rPr>
              <w:t xml:space="preserve"> standards:</w:t>
            </w:r>
          </w:p>
          <w:p w:rsidR="00C32264" w:rsidRPr="00990D3B" w:rsidP="003F0FF4" w14:paraId="64BEB4FD" w14:textId="5D512E66">
            <w:pPr>
              <w:pStyle w:val="EQRTableTextbullet"/>
            </w:pPr>
            <w:r w:rsidRPr="00990D3B">
              <w:t>42 C.F.R.</w:t>
            </w:r>
            <w:r w:rsidRPr="00990D3B">
              <w:t xml:space="preserve"> 438.58, 457.1212, Disenrollment</w:t>
            </w:r>
          </w:p>
          <w:p w:rsidR="00C32264" w:rsidRPr="00990D3B" w:rsidP="003F0FF4" w14:paraId="2215D8DD" w14:textId="5C97465F">
            <w:pPr>
              <w:pStyle w:val="EQRTableTextbullet"/>
            </w:pPr>
            <w:r w:rsidRPr="00990D3B">
              <w:t>42 C.F.R.</w:t>
            </w:r>
            <w:r w:rsidRPr="00990D3B">
              <w:t xml:space="preserve"> 438.100, 457.1220</w:t>
            </w:r>
            <w:r w:rsidRPr="00990D3B" w:rsidR="00FE2618">
              <w:t>,</w:t>
            </w:r>
            <w:r w:rsidRPr="00990D3B">
              <w:t xml:space="preserve"> Enrollee </w:t>
            </w:r>
            <w:r w:rsidRPr="00990D3B" w:rsidR="00570889">
              <w:t>r</w:t>
            </w:r>
            <w:r w:rsidRPr="00990D3B">
              <w:t>ights</w:t>
            </w:r>
          </w:p>
          <w:p w:rsidR="00C32264" w:rsidRPr="00990D3B" w:rsidP="003F0FF4" w14:paraId="5D996101" w14:textId="1869572D">
            <w:pPr>
              <w:pStyle w:val="EQRTableTextbullet"/>
            </w:pPr>
            <w:r w:rsidRPr="00990D3B">
              <w:t>42 C.F.R.</w:t>
            </w:r>
            <w:r w:rsidRPr="00990D3B">
              <w:t xml:space="preserve"> </w:t>
            </w:r>
            <w:r w:rsidRPr="00990D3B" w:rsidR="00570889">
              <w:t>438.114</w:t>
            </w:r>
            <w:r w:rsidRPr="00990D3B" w:rsidR="0074444C">
              <w:t xml:space="preserve">, 457.1228, </w:t>
            </w:r>
            <w:r w:rsidRPr="00990D3B" w:rsidR="00570889">
              <w:t>Emergency and post-stabilization services</w:t>
            </w:r>
          </w:p>
          <w:p w:rsidR="00A626C0" w:rsidRPr="00990D3B" w:rsidP="003F0FF4" w14:paraId="55DD266F" w14:textId="5EA540E3">
            <w:pPr>
              <w:pStyle w:val="EQRTableTextbullet"/>
            </w:pPr>
            <w:r w:rsidRPr="00990D3B">
              <w:t>42 C.F.R.</w:t>
            </w:r>
            <w:r w:rsidRPr="00990D3B">
              <w:t xml:space="preserve"> 438.206, 457.1230(a), Availability of services</w:t>
            </w:r>
          </w:p>
          <w:p w:rsidR="00A626C0" w:rsidRPr="00990D3B" w:rsidP="003F0FF4" w14:paraId="20184A04" w14:textId="0E6DDB85">
            <w:pPr>
              <w:pStyle w:val="EQRTableTextbullet"/>
            </w:pPr>
            <w:r w:rsidRPr="00990D3B">
              <w:t>42 C.F.R.</w:t>
            </w:r>
            <w:r w:rsidRPr="00990D3B">
              <w:t xml:space="preserve"> 438.207, 457.1230(b), Assurances of adequate capacity and services</w:t>
            </w:r>
          </w:p>
          <w:p w:rsidR="00A626C0" w:rsidRPr="00990D3B" w:rsidP="003F0FF4" w14:paraId="5EDC3F30" w14:textId="278B3657">
            <w:pPr>
              <w:pStyle w:val="EQRTableTextbullet"/>
            </w:pPr>
            <w:r w:rsidRPr="00990D3B">
              <w:t>42 C.F.R.</w:t>
            </w:r>
            <w:r w:rsidRPr="00990D3B">
              <w:t xml:space="preserve"> 438.208, 457.1230(c) Coordination and continuity of care</w:t>
            </w:r>
          </w:p>
          <w:p w:rsidR="00A626C0" w:rsidRPr="00990D3B" w:rsidP="003F0FF4" w14:paraId="4270F612" w14:textId="22B063DA">
            <w:pPr>
              <w:pStyle w:val="EQRTableTextbullet"/>
            </w:pPr>
            <w:r w:rsidRPr="00990D3B">
              <w:t>42 C.F.R.</w:t>
            </w:r>
            <w:r w:rsidRPr="00990D3B">
              <w:t xml:space="preserve"> 438.210, 457.1230(d), Coverage and authorization of services</w:t>
            </w:r>
          </w:p>
          <w:p w:rsidR="00A626C0" w:rsidRPr="00990D3B" w:rsidP="003F0FF4" w14:paraId="029CDE05" w14:textId="63F3572B">
            <w:pPr>
              <w:pStyle w:val="EQRTableTextbullet"/>
            </w:pPr>
            <w:r w:rsidRPr="00990D3B">
              <w:t>42 C.F.R.</w:t>
            </w:r>
            <w:r w:rsidRPr="00990D3B">
              <w:t xml:space="preserve"> 438.214, 457.1233(a), Provider selection</w:t>
            </w:r>
          </w:p>
          <w:p w:rsidR="00A626C0" w:rsidRPr="00990D3B" w:rsidP="003F0FF4" w14:paraId="56FE123F" w14:textId="5AF712BC">
            <w:pPr>
              <w:pStyle w:val="EQRTableTextbullet"/>
            </w:pPr>
            <w:r w:rsidRPr="00990D3B">
              <w:t>42 C.F.R.</w:t>
            </w:r>
            <w:r w:rsidRPr="00990D3B">
              <w:t xml:space="preserve"> 438.224, </w:t>
            </w:r>
            <w:r w:rsidRPr="00990D3B" w:rsidR="00CF3361">
              <w:t>457.1233(e)</w:t>
            </w:r>
            <w:r w:rsidRPr="00990D3B">
              <w:t>, Confidentiality</w:t>
            </w:r>
          </w:p>
          <w:p w:rsidR="00A626C0" w:rsidRPr="00990D3B" w:rsidP="003F0FF4" w14:paraId="6C0EF013" w14:textId="53968C04">
            <w:pPr>
              <w:pStyle w:val="EQRTableTextbullet"/>
            </w:pPr>
            <w:r w:rsidRPr="00990D3B">
              <w:t>42 C.F.R.</w:t>
            </w:r>
            <w:r w:rsidRPr="00990D3B">
              <w:t xml:space="preserve"> 438.228, 457.1260, Grievance and appeals system</w:t>
            </w:r>
          </w:p>
          <w:p w:rsidR="00A626C0" w:rsidRPr="00990D3B" w:rsidP="003F0FF4" w14:paraId="141CFD0B" w14:textId="51864780">
            <w:pPr>
              <w:pStyle w:val="EQRTableTextbullet"/>
            </w:pPr>
            <w:r w:rsidRPr="00990D3B">
              <w:t>42 C.F.R.</w:t>
            </w:r>
            <w:r w:rsidRPr="00990D3B">
              <w:t xml:space="preserve"> 230, 457.1233(b), </w:t>
            </w:r>
            <w:r w:rsidRPr="00990D3B">
              <w:t>Subcontractual</w:t>
            </w:r>
            <w:r w:rsidRPr="00990D3B">
              <w:t xml:space="preserve"> relationships and delegation</w:t>
            </w:r>
          </w:p>
          <w:p w:rsidR="00A626C0" w:rsidRPr="00990D3B" w:rsidP="003F0FF4" w14:paraId="37245774" w14:textId="2771CF5F">
            <w:pPr>
              <w:pStyle w:val="EQRTableTextbullet"/>
            </w:pPr>
            <w:r w:rsidRPr="00990D3B">
              <w:t>42 C.F.R.</w:t>
            </w:r>
            <w:r w:rsidRPr="00990D3B">
              <w:t xml:space="preserve"> 438.236, 457.1233(c), Practice guidelines</w:t>
            </w:r>
          </w:p>
          <w:p w:rsidR="00A626C0" w:rsidRPr="00990D3B" w:rsidP="003F0FF4" w14:paraId="64F8CAAC" w14:textId="542D2921">
            <w:pPr>
              <w:pStyle w:val="EQRTableTextbullet"/>
            </w:pPr>
            <w:r w:rsidRPr="00990D3B">
              <w:t>42 C.F.R.</w:t>
            </w:r>
            <w:r w:rsidRPr="00990D3B">
              <w:t xml:space="preserve"> 438.242, 457.1233(d), Health information system</w:t>
            </w:r>
          </w:p>
          <w:p w:rsidR="00A626C0" w:rsidRPr="00990D3B" w:rsidP="003F0FF4" w14:paraId="18233909" w14:textId="638FCAFA">
            <w:pPr>
              <w:pStyle w:val="EQRTableTextbullet"/>
            </w:pPr>
            <w:r w:rsidRPr="00990D3B">
              <w:t>42 C.F.R.</w:t>
            </w:r>
            <w:r w:rsidRPr="00990D3B">
              <w:t xml:space="preserve"> 438.330, 457.1240(b), QAPI</w:t>
            </w:r>
          </w:p>
        </w:tc>
        <w:tc>
          <w:tcPr>
            <w:tcW w:w="2083" w:type="pct"/>
          </w:tcPr>
          <w:p w:rsidR="00105288" w:rsidRPr="00990D3B" w:rsidP="004C149E" w14:paraId="1A4FCDE3" w14:textId="6597CAE0">
            <w:pPr>
              <w:pStyle w:val="EQRTableText"/>
              <w:rPr>
                <w:szCs w:val="18"/>
              </w:rPr>
            </w:pPr>
            <w:r w:rsidRPr="00990D3B">
              <w:rPr>
                <w:szCs w:val="18"/>
              </w:rPr>
              <w:t xml:space="preserve">For each </w:t>
            </w:r>
            <w:r w:rsidRPr="00990D3B" w:rsidR="0013167D">
              <w:rPr>
                <w:szCs w:val="18"/>
              </w:rPr>
              <w:t>federal</w:t>
            </w:r>
            <w:r w:rsidRPr="00990D3B">
              <w:rPr>
                <w:szCs w:val="18"/>
              </w:rPr>
              <w:t xml:space="preserve"> standard, ensure that the method of compliance review links the EQRO’s activities to the standard under review. Further, ensure that a clear compliance determination is made and recorded for each standard for each plan. </w:t>
            </w:r>
            <w:r w:rsidRPr="00990D3B">
              <w:rPr>
                <w:szCs w:val="18"/>
              </w:rPr>
              <w:t>A best</w:t>
            </w:r>
            <w:r w:rsidRPr="00990D3B">
              <w:rPr>
                <w:szCs w:val="18"/>
              </w:rPr>
              <w:t xml:space="preserve"> practice is to list a compliance score of a numerical or semi-quantitative nature.</w:t>
            </w:r>
          </w:p>
          <w:p w:rsidR="00105288" w:rsidRPr="00990D3B" w:rsidP="004C149E" w14:paraId="72ABD890" w14:textId="77777777">
            <w:pPr>
              <w:pStyle w:val="EQRTableText"/>
              <w:rPr>
                <w:szCs w:val="18"/>
              </w:rPr>
            </w:pPr>
            <w:r w:rsidRPr="00990D3B">
              <w:rPr>
                <w:szCs w:val="18"/>
              </w:rPr>
              <w:t xml:space="preserve">EQROs that assess domains, standards, and requirements that do not neatly overlap with the regulatory standards should provide a clear crosswalk of their activities to the standards under review. As a best practice, </w:t>
            </w:r>
            <w:r w:rsidRPr="00990D3B" w:rsidR="00A626C0">
              <w:rPr>
                <w:szCs w:val="18"/>
              </w:rPr>
              <w:t>the technical report</w:t>
            </w:r>
            <w:r w:rsidRPr="00990D3B">
              <w:rPr>
                <w:szCs w:val="18"/>
              </w:rPr>
              <w:t xml:space="preserve"> may include a table outlining the timeline for reviewing all standards for MCPs across the three-year review period. </w:t>
            </w:r>
          </w:p>
          <w:p w:rsidR="00BA0681" w:rsidRPr="00990D3B" w:rsidP="004C149E" w14:paraId="490FA096" w14:textId="74144026">
            <w:pPr>
              <w:pStyle w:val="EQRTableText"/>
              <w:rPr>
                <w:szCs w:val="18"/>
              </w:rPr>
            </w:pPr>
            <w:r w:rsidRPr="00990D3B">
              <w:rPr>
                <w:szCs w:val="18"/>
              </w:rPr>
              <w:t>If the MCP only recently entered the market and is within the initial three-year compliance review period, provide a statement to this effect.</w:t>
            </w:r>
          </w:p>
        </w:tc>
      </w:tr>
      <w:tr w14:paraId="52D64212" w14:textId="77777777" w:rsidTr="0009603D">
        <w:tblPrEx>
          <w:tblW w:w="5000" w:type="pct"/>
          <w:tblLook w:val="0620"/>
        </w:tblPrEx>
        <w:tc>
          <w:tcPr>
            <w:tcW w:w="902" w:type="pct"/>
          </w:tcPr>
          <w:p w:rsidR="000E5052" w:rsidRPr="00990D3B" w:rsidP="004C149E" w14:paraId="3261909F" w14:textId="43CD95F8">
            <w:pPr>
              <w:pStyle w:val="EQRTableText"/>
              <w:rPr>
                <w:szCs w:val="18"/>
              </w:rPr>
            </w:pPr>
            <w:bookmarkStart w:id="67" w:name="_Hlk200964317"/>
            <w:r w:rsidRPr="00990D3B">
              <w:rPr>
                <w:szCs w:val="18"/>
              </w:rPr>
              <w:t>42 C.F.R.</w:t>
            </w:r>
            <w:r w:rsidRPr="00990D3B">
              <w:rPr>
                <w:szCs w:val="18"/>
              </w:rPr>
              <w:t xml:space="preserve"> 438.358(b)(1)(iv)</w:t>
            </w:r>
            <w:bookmarkEnd w:id="67"/>
          </w:p>
        </w:tc>
        <w:tc>
          <w:tcPr>
            <w:tcW w:w="2015" w:type="pct"/>
          </w:tcPr>
          <w:p w:rsidR="000E5052" w:rsidRPr="00990D3B" w:rsidP="00DC31A5" w14:paraId="63F5EA0B" w14:textId="25EC5B63">
            <w:pPr>
              <w:pStyle w:val="EQRTableText"/>
              <w:rPr>
                <w:szCs w:val="18"/>
              </w:rPr>
            </w:pPr>
            <w:r w:rsidRPr="00990D3B">
              <w:t>The</w:t>
            </w:r>
            <w:r w:rsidRPr="00990D3B" w:rsidR="00DB0CD1">
              <w:t xml:space="preserve"> EQR</w:t>
            </w:r>
            <w:r w:rsidRPr="00990D3B">
              <w:t xml:space="preserve"> technical report includes information on the validation of </w:t>
            </w:r>
            <w:r w:rsidRPr="00990D3B" w:rsidR="00100A89">
              <w:t>MCP</w:t>
            </w:r>
            <w:r w:rsidRPr="00990D3B">
              <w:t xml:space="preserve"> network adequacy during the </w:t>
            </w:r>
            <w:r w:rsidRPr="00990D3B" w:rsidR="00B542BC">
              <w:t xml:space="preserve">preceding 12 months </w:t>
            </w:r>
            <w:r w:rsidRPr="00990D3B">
              <w:t xml:space="preserve">to comply with requirements set forth in </w:t>
            </w:r>
            <w:hyperlink r:id="rId56" w:history="1">
              <w:r w:rsidRPr="00990D3B" w:rsidR="001C7FC0">
                <w:rPr>
                  <w:rStyle w:val="Hyperlink"/>
                  <w:color w:val="auto"/>
                </w:rPr>
                <w:t>42 C.F.R.</w:t>
              </w:r>
              <w:r w:rsidRPr="00990D3B">
                <w:rPr>
                  <w:rStyle w:val="Hyperlink"/>
                  <w:color w:val="auto"/>
                </w:rPr>
                <w:t xml:space="preserve"> 438.68</w:t>
              </w:r>
            </w:hyperlink>
            <w:r w:rsidRPr="00990D3B">
              <w:t xml:space="preserve"> and, if the </w:t>
            </w:r>
            <w:r w:rsidRPr="00990D3B" w:rsidR="00762947">
              <w:t>s</w:t>
            </w:r>
            <w:r w:rsidRPr="00990D3B">
              <w:t xml:space="preserve">tate enrolls </w:t>
            </w:r>
            <w:r w:rsidRPr="00990D3B" w:rsidR="00984EF8">
              <w:t xml:space="preserve">American Indians or Alaska Natives </w:t>
            </w:r>
            <w:r w:rsidRPr="00990D3B">
              <w:t xml:space="preserve">in </w:t>
            </w:r>
            <w:r w:rsidRPr="00990D3B" w:rsidR="00100A89">
              <w:t>managed care</w:t>
            </w:r>
            <w:r w:rsidRPr="00990D3B">
              <w:t xml:space="preserve">, </w:t>
            </w:r>
            <w:hyperlink r:id="rId57" w:anchor="p-438.14(b)(1)" w:history="1">
              <w:r w:rsidRPr="00990D3B" w:rsidR="001C7FC0">
                <w:rPr>
                  <w:rStyle w:val="Hyperlink"/>
                  <w:color w:val="auto"/>
                </w:rPr>
                <w:t>42 C.F.R.</w:t>
              </w:r>
              <w:r w:rsidRPr="00990D3B">
                <w:rPr>
                  <w:rStyle w:val="Hyperlink"/>
                  <w:color w:val="auto"/>
                </w:rPr>
                <w:t xml:space="preserve"> 438.14(b)(1)</w:t>
              </w:r>
            </w:hyperlink>
            <w:r w:rsidRPr="00990D3B">
              <w:t>.</w:t>
            </w:r>
          </w:p>
        </w:tc>
        <w:tc>
          <w:tcPr>
            <w:tcW w:w="2083" w:type="pct"/>
          </w:tcPr>
          <w:p w:rsidR="000E5052" w:rsidRPr="00990D3B" w:rsidP="004C149E" w14:paraId="6C20905E" w14:textId="240841BA">
            <w:pPr>
              <w:pStyle w:val="EQRTableText"/>
              <w:rPr>
                <w:szCs w:val="18"/>
              </w:rPr>
            </w:pPr>
            <w:r w:rsidRPr="00990D3B">
              <w:rPr>
                <w:szCs w:val="18"/>
              </w:rPr>
              <w:t>Provide validation</w:t>
            </w:r>
            <w:r w:rsidRPr="00990D3B" w:rsidR="00556325">
              <w:rPr>
                <w:szCs w:val="18"/>
              </w:rPr>
              <w:t xml:space="preserve"> findings</w:t>
            </w:r>
            <w:r w:rsidRPr="00990D3B">
              <w:rPr>
                <w:szCs w:val="18"/>
              </w:rPr>
              <w:t xml:space="preserve"> </w:t>
            </w:r>
            <w:r w:rsidRPr="00990D3B" w:rsidR="00556325">
              <w:rPr>
                <w:szCs w:val="18"/>
              </w:rPr>
              <w:t>for</w:t>
            </w:r>
            <w:r w:rsidRPr="00990D3B">
              <w:rPr>
                <w:szCs w:val="18"/>
              </w:rPr>
              <w:t xml:space="preserve"> network adequacy during the most recently completed </w:t>
            </w:r>
            <w:r w:rsidRPr="00990D3B" w:rsidR="00411AAD">
              <w:rPr>
                <w:szCs w:val="18"/>
              </w:rPr>
              <w:t>12-month</w:t>
            </w:r>
            <w:r w:rsidRPr="00990D3B">
              <w:rPr>
                <w:szCs w:val="18"/>
              </w:rPr>
              <w:t xml:space="preserve"> contract year or calendar year (whichever is closer) preceding the EQR review</w:t>
            </w:r>
            <w:r w:rsidRPr="00990D3B" w:rsidR="00BA0681">
              <w:rPr>
                <w:szCs w:val="18"/>
              </w:rPr>
              <w:t xml:space="preserve">. If the MCP recently entered the market and therefore </w:t>
            </w:r>
            <w:r w:rsidRPr="00990D3B" w:rsidR="00BA0681">
              <w:rPr>
                <w:szCs w:val="18"/>
              </w:rPr>
              <w:t>had</w:t>
            </w:r>
            <w:r w:rsidRPr="00990D3B" w:rsidR="00BA0681">
              <w:rPr>
                <w:szCs w:val="18"/>
              </w:rPr>
              <w:t xml:space="preserve"> not begun reporting network adequacy results, provide a statement to this effect.</w:t>
            </w:r>
          </w:p>
        </w:tc>
      </w:tr>
      <w:bookmarkEnd w:id="62"/>
    </w:tbl>
    <w:p w:rsidR="00373A0B" w:rsidP="00373A0B" w14:paraId="2B1D058D" w14:textId="77777777">
      <w:pPr>
        <w:pStyle w:val="Paragraph0"/>
      </w:pPr>
    </w:p>
    <w:p w:rsidR="00373A0B" w:rsidRPr="00373A0B" w:rsidP="00373A0B" w14:paraId="7EA346A9" w14:textId="1CC42DEB">
      <w:pPr>
        <w:pStyle w:val="Paragraph0"/>
        <w:sectPr w:rsidSect="000C71FE">
          <w:headerReference w:type="even" r:id="rId58"/>
          <w:headerReference w:type="default" r:id="rId59"/>
          <w:footerReference w:type="default" r:id="rId60"/>
          <w:pgSz w:w="15840" w:h="12240" w:orient="landscape" w:code="1"/>
          <w:pgMar w:top="1440" w:right="1440" w:bottom="1440" w:left="1440" w:header="720" w:footer="720" w:gutter="0"/>
          <w:cols w:space="720"/>
          <w:docGrid w:linePitch="360"/>
        </w:sectPr>
      </w:pPr>
    </w:p>
    <w:p w:rsidR="00D434A7" w:rsidP="00D7596D" w14:paraId="3198000C" w14:textId="77777777">
      <w:pPr>
        <w:pStyle w:val="Paragraph0"/>
        <w:rPr>
          <w:rFonts w:eastAsiaTheme="minorEastAsia"/>
        </w:rPr>
      </w:pPr>
      <w:bookmarkStart w:id="68" w:name="_Toc183005558"/>
      <w:r w:rsidRPr="00990D3B">
        <w:rPr>
          <w:noProof/>
        </w:rPr>
        <mc:AlternateContent>
          <mc:Choice Requires="wps">
            <w:drawing>
              <wp:inline distT="0" distB="0" distL="0" distR="0">
                <wp:extent cx="5897880" cy="6899335"/>
                <wp:effectExtent l="19050" t="19050" r="26670" b="15875"/>
                <wp:docPr id="1310192504" name="Text Box 227" descr="This box describes EQR Timing and Data Period Requirements&#10;Federal EQR regulations establish two key timing requirements: (1) the period during which mandatory EQR activities must be conducted, and (2) the data period those activities must assess. Together, these requirements determine when EQR activities may occur and which data must be included in the review. &#10;• Period for conducting EQR activities: Mandatory EQR activities must be conducted within the 12 months preceding the posting of the EQR technical report (42 C.F.R. § 438.358(b)(1)). For example, if a state posts its EQR technical report on April 30th, 2026, the activities included in that report must have been conducted between May 1st, 2025, and April 29th, 2026.&#10;• Data period subject to review: The data included in the review must reflect the most recently completed contract year or calendar year closest to the start of the EQR activity (42 C.F.R. § 438.358(b)(3)). For example, if a state’s managed care plan (MCP) contracts operate on a state fiscal year basis (July 1st–June 30th) and an EQR activity begins on May 1st, 2025, the appropriate data period would be calendar year (CY) 2024 (the most recently completed year at the time the activity begins). If the same activity instead begins on August 1st, 2025—after the close of the 2024–2025 contract year—the appropriate data period would be July 1st, 2024, through June 30th, 2025 (the most recently completed contract year).&#10;">
                  <a:extLst xmlns:a="http://schemas.openxmlformats.org/drawingml/2006/main">
                    <a:ext xmlns:a="http://schemas.openxmlformats.org/drawingml/2006/main"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897880" cy="6899335"/>
                        </a:xfrm>
                        <a:prstGeom prst="rect">
                          <a:avLst/>
                        </a:prstGeom>
                        <a:solidFill>
                          <a:srgbClr val="EEF5F8"/>
                        </a:solidFill>
                        <a:ln w="28575" cap="rnd">
                          <a:solidFill>
                            <a:srgbClr val="A5DAD9"/>
                          </a:solidFill>
                          <a:prstDash val="solid"/>
                          <a:miter lim="800000"/>
                          <a:headEnd/>
                          <a:tailEnd/>
                        </a:ln>
                      </wps:spPr>
                      <wps:txbx>
                        <w:txbxContent>
                          <w:p w:rsidR="00881D38" w:rsidP="00881D38" w14:textId="77777777">
                            <w:pPr>
                              <w:pStyle w:val="EQRTextboxbody"/>
                              <w:rPr>
                                <w:rFonts w:ascii="Arial Black" w:hAnsi="Arial Black"/>
                                <w:b/>
                                <w:bCs/>
                              </w:rPr>
                            </w:pPr>
                            <w:bookmarkStart w:id="69" w:name="Box6"/>
                            <w:r w:rsidRPr="002158AB">
                              <w:rPr>
                                <w:rFonts w:ascii="Arial Black" w:hAnsi="Arial Black"/>
                                <w:b/>
                                <w:bCs/>
                              </w:rPr>
                              <w:t>Box 6</w:t>
                            </w:r>
                            <w:bookmarkEnd w:id="69"/>
                            <w:r w:rsidRPr="002158AB">
                              <w:rPr>
                                <w:rFonts w:ascii="Arial Black" w:hAnsi="Arial Black"/>
                                <w:b/>
                                <w:bCs/>
                              </w:rPr>
                              <w:t>. EQR Timing and Data Period Requirements</w:t>
                            </w:r>
                          </w:p>
                          <w:p w:rsidR="00881D38" w:rsidRPr="0022173B" w:rsidP="00881D38" w14:textId="77777777">
                            <w:pPr>
                              <w:pStyle w:val="EQRTextboxbody"/>
                            </w:pPr>
                            <w:r w:rsidRPr="0022173B">
                              <w:t xml:space="preserve">Federal EQR regulations establish two key timing requirements: (1) the period during which mandatory EQR activities must be conducted, and (2) the data period those activities must assess. Together, these requirements determine when EQR activities may occur and which data must be included in the review. </w:t>
                            </w:r>
                          </w:p>
                          <w:p w:rsidR="00881D38" w:rsidRPr="0022173B" w:rsidP="00881D38" w14:textId="77777777">
                            <w:pPr>
                              <w:pStyle w:val="EQRTextboxbullet"/>
                            </w:pPr>
                            <w:r w:rsidRPr="0022173B">
                              <w:rPr>
                                <w:b/>
                              </w:rPr>
                              <w:t>Period for conducting EQR activities:</w:t>
                            </w:r>
                            <w:r w:rsidRPr="0022173B">
                              <w:t xml:space="preserve"> Mandatory EQR activities must be conducted within the 12 months preceding the posting of the EQR technical report (42 C.F.R. § 438.358(b)(1)). For example, if a state posts its EQR technical report on April 30th, 2026, the activities included in that report must have been conducted between May 1st, 2025, and April 29th, 2026.</w:t>
                            </w:r>
                          </w:p>
                          <w:p w:rsidR="00881D38" w:rsidP="00881D38" w14:textId="77777777">
                            <w:pPr>
                              <w:pStyle w:val="EQRTextboxbullet"/>
                            </w:pPr>
                            <w:r w:rsidRPr="0022173B">
                              <w:rPr>
                                <w:b/>
                              </w:rPr>
                              <w:t>Data period subject to review:</w:t>
                            </w:r>
                            <w:r w:rsidRPr="0022173B">
                              <w:t xml:space="preserve"> The data included in the review must reflect the most recently completed contract year or calendar year closest to the start of the EQR activity (42 C.F.R. § 438.358(b)(3)). For example, if a state’s managed care plan (MCP) contracts operate on a state fiscal year basis (July 1st–June 30th) and an EQR activity begins on May 1st, 2025, the appropriate data period would be calendar year (CY) 2024 (the most recently completed year at the time the activity begins). If the same activity instead begins on August 1st, 2025—after the close of the 2024–2025 contract year—the appropriate data period would be July 1st, 2024, through June 30th, 2025 (the most recently completed contract year).</w:t>
                            </w:r>
                          </w:p>
                          <w:p w:rsidR="00881D38" w:rsidP="00881D38" w14:textId="77777777">
                            <w:pPr>
                              <w:pStyle w:val="EQRTextboxbullet"/>
                              <w:numPr>
                                <w:ilvl w:val="0"/>
                                <w:numId w:val="0"/>
                              </w:numPr>
                              <w:ind w:left="216"/>
                              <w:rPr>
                                <w:b/>
                              </w:rPr>
                            </w:pPr>
                          </w:p>
                          <w:p w:rsidR="00881D38" w:rsidP="002158AB" w14:textId="50D60B68">
                            <w:pPr>
                              <w:pStyle w:val="EQRTextboxbullet"/>
                              <w:numPr>
                                <w:ilvl w:val="0"/>
                                <w:numId w:val="0"/>
                              </w:numPr>
                              <w:ind w:left="216"/>
                            </w:pPr>
                            <w:r w:rsidRPr="000D3903">
                              <w:rPr>
                                <w:b/>
                                <w:bCs/>
                                <w:u w:val="single"/>
                              </w:rPr>
                              <w:t>Examples Illustrating EQR Timing and Data Period Requirements</w:t>
                            </w:r>
                          </w:p>
                          <w:p w:rsidR="00D51ADE" w:rsidRPr="00D51ADE" w:rsidP="00D51ADE" w14:textId="2E6436AC">
                            <w:pPr>
                              <w:pStyle w:val="NormalWeb"/>
                            </w:pPr>
                            <w:r>
                              <w:rPr>
                                <w:noProof/>
                              </w:rPr>
                              <mc:AlternateContent>
                                <mc:Choice Requires="wps">
                                  <w:drawing>
                                    <wp:inline distT="0" distB="0" distL="0" distR="0">
                                      <wp:extent cx="301625" cy="301625"/>
                                      <wp:effectExtent l="0" t="0" r="0" b="0"/>
                                      <wp:docPr id="928005030" name="Rectangle 1" descr="EQR activity and data review timelines"/>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1625" cy="3016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w:pict>
                                    <v:rect id="Rectangle 1" o:spid="_x0000_i1044" alt="EQR activity and data review timelines" style="width:23.75pt;height:23.75pt;mso-left-percent:-10001;mso-position-horizontal-relative:char;mso-position-vertical-relative:line;mso-top-percent:-10001;mso-wrap-style:square;visibility:visible;v-text-anchor:top" filled="f" stroked="f">
                                      <o:lock v:ext="edit" aspectratio="t"/>
                                      <w10:wrap type="none"/>
                                      <w10:anchorlock/>
                                    </v:rect>
                                  </w:pict>
                                </mc:Fallback>
                              </mc:AlternateContent>
                            </w:r>
                            <w:r w:rsidRPr="00D51ADE">
                              <w:rPr>
                                <w:noProof/>
                              </w:rPr>
                              <w:drawing>
                                <wp:inline distT="0" distB="0" distL="0" distR="0">
                                  <wp:extent cx="5183973" cy="3924525"/>
                                  <wp:effectExtent l="0" t="0" r="0" b="0"/>
                                  <wp:docPr id="436876413" name="Picture 4" descr="This figure shows examples of the EQR timing and Data Period 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76413" name="Picture 4" descr="This figure shows examples of the EQR timing and Data Period requirements."/>
                                          <pic:cNvPicPr>
                                            <a:picLocks noChangeAspect="1" noChangeArrowheads="1"/>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Lst>
                                          </a:blip>
                                          <a:srcRect t="6382" b="24471"/>
                                          <a:stretch>
                                            <a:fillRect/>
                                          </a:stretch>
                                        </pic:blipFill>
                                        <pic:spPr bwMode="auto">
                                          <a:xfrm>
                                            <a:off x="0" y="0"/>
                                            <a:ext cx="5201515" cy="393780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4355CD" w:rsidRPr="004355CD" w:rsidP="004355CD" w14:textId="28027D34">
                            <w:pPr>
                              <w:pStyle w:val="NormalWeb"/>
                            </w:pPr>
                          </w:p>
                          <w:p w:rsidR="004355CD" w:rsidRPr="0022173B" w:rsidP="004355CD" w14:textId="0381E29F">
                            <w:pPr>
                              <w:pStyle w:val="EQRTextboxbullet"/>
                              <w:numPr>
                                <w:ilvl w:val="0"/>
                                <w:numId w:val="0"/>
                              </w:numPr>
                              <w:ind w:left="216" w:hanging="216"/>
                            </w:pPr>
                          </w:p>
                        </w:txbxContent>
                      </wps:txbx>
                      <wps:bodyPr rot="0" vert="horz" wrap="square" lIns="109728" tIns="45720" rIns="109728" bIns="45720" anchor="t" anchorCtr="0" upright="1"/>
                    </wps:wsp>
                  </a:graphicData>
                </a:graphic>
              </wp:inline>
            </w:drawing>
          </mc:Choice>
          <mc:Fallback>
            <w:pict>
              <v:shape id="_x0000_i1042" type="#_x0000_t202" alt="This box describes EQR Timing and Data Period Requirements&#10;Federal EQR regulations establish two key timing requirements: (1) the period during which mandatory EQR activities must be conducted, and (2) the data period those activities must assess. Together, these requirements determine when EQR activities may occur and which data must be included in the review. &#10;• Period for conducting EQR activities: Mandatory EQR activities must be conducted within the 12 months preceding the posting of the EQR technical report (42 C.F.R. § 438.358(b)(1)). For example, if a state posts its EQR technical report on April 30th, 2026, the activities included in that report must have been conducted between May 1st, 2025, and April 29th, 2026.&#10;• Data period subject to review: The data included in the review must reflect the most recently completed contract year or calendar year closest to the start of the EQR activity (42 C.F.R. § 438.358(b)(3)). For example, if a state’s managed care plan (MCP) contracts operate on a state fiscal year basis (July 1st–June 30th) and an EQR activity begins on May 1st, 2025, the appropriate data period would be calendar year (CY) 2024 (the most recently completed year at the time the activity begins). If the same activity instead begins on August 1st, 2025—after the close of the 2024–2025 contract year—the appropriate data period would be July 1st, 2024, through June 30th, 2025 (the most recently completed contract year).&#10;" style="width:464.4pt;height:543.25pt;flip:y;mso-left-percent:-10001;mso-position-horizontal-relative:char;mso-position-vertical-relative:line;mso-top-percent:-10001;mso-wrap-style:square;rotation:180;visibility:visible;v-text-anchor:top" fillcolor="#eef5f8" strokecolor="#a5dad9" strokeweight="2.25pt">
                <v:stroke endcap="round"/>
                <v:textbox inset="8.64pt,,8.64pt">
                  <w:txbxContent>
                    <w:p w:rsidR="00881D38" w:rsidP="00881D38" w14:paraId="38EDFFC3" w14:textId="77777777">
                      <w:pPr>
                        <w:pStyle w:val="EQRTextboxbody"/>
                        <w:rPr>
                          <w:rFonts w:ascii="Arial Black" w:hAnsi="Arial Black"/>
                          <w:b/>
                          <w:bCs/>
                        </w:rPr>
                      </w:pPr>
                      <w:bookmarkStart w:id="69" w:name="Box6"/>
                      <w:r w:rsidRPr="002158AB">
                        <w:rPr>
                          <w:rFonts w:ascii="Arial Black" w:hAnsi="Arial Black"/>
                          <w:b/>
                          <w:bCs/>
                        </w:rPr>
                        <w:t>Box 6</w:t>
                      </w:r>
                      <w:bookmarkEnd w:id="69"/>
                      <w:r w:rsidRPr="002158AB">
                        <w:rPr>
                          <w:rFonts w:ascii="Arial Black" w:hAnsi="Arial Black"/>
                          <w:b/>
                          <w:bCs/>
                        </w:rPr>
                        <w:t>. EQR Timing and Data Period Requirements</w:t>
                      </w:r>
                    </w:p>
                    <w:p w:rsidR="00881D38" w:rsidRPr="0022173B" w:rsidP="00881D38" w14:paraId="1D79AB1E" w14:textId="77777777">
                      <w:pPr>
                        <w:pStyle w:val="EQRTextboxbody"/>
                      </w:pPr>
                      <w:r w:rsidRPr="0022173B">
                        <w:t xml:space="preserve">Federal EQR regulations establish two key timing requirements: (1) the period during which mandatory EQR activities must be conducted, and (2) the data period those activities must assess. Together, these requirements determine when EQR activities may occur and which data must be included in the review. </w:t>
                      </w:r>
                    </w:p>
                    <w:p w:rsidR="00881D38" w:rsidRPr="0022173B" w:rsidP="00881D38" w14:paraId="5FA6581E" w14:textId="77777777">
                      <w:pPr>
                        <w:pStyle w:val="EQRTextboxbullet"/>
                      </w:pPr>
                      <w:r w:rsidRPr="0022173B">
                        <w:rPr>
                          <w:b/>
                        </w:rPr>
                        <w:t>Period for conducting EQR activities:</w:t>
                      </w:r>
                      <w:r w:rsidRPr="0022173B">
                        <w:t xml:space="preserve"> Mandatory EQR activities must be conducted within the 12 months preceding the posting of the EQR technical report (42 C.F.R. § 438.358(b)(1)). For example, if a state posts its EQR technical report on April 30th, 2026, the activities included in that report must have been conducted between May 1st, 2025, and April 29th, 2026.</w:t>
                      </w:r>
                    </w:p>
                    <w:p w:rsidR="00881D38" w:rsidP="00881D38" w14:paraId="0B8F55E9" w14:textId="77777777">
                      <w:pPr>
                        <w:pStyle w:val="EQRTextboxbullet"/>
                      </w:pPr>
                      <w:r w:rsidRPr="0022173B">
                        <w:rPr>
                          <w:b/>
                        </w:rPr>
                        <w:t>Data period subject to review:</w:t>
                      </w:r>
                      <w:r w:rsidRPr="0022173B">
                        <w:t xml:space="preserve"> The data included in the review must reflect the most recently completed contract year or calendar year closest to the start of the EQR activity (42 C.F.R. § 438.358(b)(3)). For example, if a state’s managed care plan (MCP) contracts operate on a state fiscal year basis (July 1st–June 30th) and an EQR activity begins on May 1st, 2025, the appropriate data period would be calendar year (CY) 2024 (the most recently completed year at the time the activity begins). If the same activity instead begins on August 1st, 2025—after the close of the 2024–2025 contract year—the appropriate data period would be July 1st, 2024, through June 30th, 2025 (the most recently completed contract year).</w:t>
                      </w:r>
                    </w:p>
                    <w:p w:rsidR="00881D38" w:rsidP="00881D38" w14:paraId="57F17927" w14:textId="77777777">
                      <w:pPr>
                        <w:pStyle w:val="EQRTextboxbullet"/>
                        <w:numPr>
                          <w:ilvl w:val="0"/>
                          <w:numId w:val="0"/>
                        </w:numPr>
                        <w:ind w:left="216"/>
                        <w:rPr>
                          <w:b/>
                        </w:rPr>
                      </w:pPr>
                    </w:p>
                    <w:p w:rsidR="00881D38" w:rsidP="002158AB" w14:paraId="2B246F70" w14:textId="50D60B68">
                      <w:pPr>
                        <w:pStyle w:val="EQRTextboxbullet"/>
                        <w:numPr>
                          <w:ilvl w:val="0"/>
                          <w:numId w:val="0"/>
                        </w:numPr>
                        <w:ind w:left="216"/>
                      </w:pPr>
                      <w:r w:rsidRPr="000D3903">
                        <w:rPr>
                          <w:b/>
                          <w:bCs/>
                          <w:u w:val="single"/>
                        </w:rPr>
                        <w:t>Examples Illustrating EQR Timing and Data Period Requirements</w:t>
                      </w:r>
                    </w:p>
                    <w:p w:rsidR="00D51ADE" w:rsidRPr="00D51ADE" w:rsidP="00D51ADE" w14:paraId="3C3DC02E" w14:textId="2E6436AC">
                      <w:pPr>
                        <w:pStyle w:val="NormalWeb"/>
                      </w:pPr>
                      <w:r>
                        <w:rPr>
                          <w:noProof/>
                        </w:rPr>
                        <mc:AlternateContent>
                          <mc:Choice Requires="wps">
                            <w:drawing>
                              <wp:inline distT="0" distB="0" distL="0" distR="0">
                                <wp:extent cx="301625" cy="301625"/>
                                <wp:effectExtent l="0" t="0" r="0" b="0"/>
                                <wp:docPr id="1038841310" name="Rectangle 1" descr="EQR activity and data review timelines"/>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1625" cy="3016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w:pict>
                              <v:rect id="Rectangle 1" o:spid="_x0000_i1043" alt="EQR activity and data review timelines" style="width:23.75pt;height:23.75pt;mso-left-percent:-10001;mso-position-horizontal-relative:char;mso-position-vertical-relative:line;mso-top-percent:-10001;mso-wrap-style:square;visibility:visible;v-text-anchor:top" filled="f" stroked="f">
                                <o:lock v:ext="edit" aspectratio="t"/>
                                <w10:wrap type="none"/>
                                <w10:anchorlock/>
                              </v:rect>
                            </w:pict>
                          </mc:Fallback>
                        </mc:AlternateContent>
                      </w:r>
                      <w:drawing>
                        <wp:inline distT="0" distB="0" distL="0" distR="0">
                          <wp:extent cx="5183973" cy="3924525"/>
                          <wp:effectExtent l="0" t="0" r="0" b="0"/>
                          <wp:docPr id="651738444" name="Picture 4" descr="This figure shows examples of the EQR timing and Data Period 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738444" name="Picture 4" descr="This figure shows examples of the EQR timing and Data Period requirements."/>
                                  <pic:cNvPicPr>
                                    <a:picLocks noChangeAspect="1" noChangeArrowheads="1"/>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Lst>
                                  </a:blip>
                                  <a:srcRect t="6382" b="24471"/>
                                  <a:stretch>
                                    <a:fillRect/>
                                  </a:stretch>
                                </pic:blipFill>
                                <pic:spPr bwMode="auto">
                                  <a:xfrm>
                                    <a:off x="0" y="0"/>
                                    <a:ext cx="5201515" cy="393780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p>
                    <w:p w:rsidR="004355CD" w:rsidRPr="004355CD" w:rsidP="004355CD" w14:paraId="02B8B845" w14:textId="28027D34">
                      <w:pPr>
                        <w:pStyle w:val="NormalWeb"/>
                      </w:pPr>
                    </w:p>
                    <w:p w:rsidR="004355CD" w:rsidRPr="0022173B" w:rsidP="004355CD" w14:paraId="344227B2" w14:textId="0381E29F">
                      <w:pPr>
                        <w:pStyle w:val="EQRTextboxbullet"/>
                        <w:numPr>
                          <w:ilvl w:val="0"/>
                          <w:numId w:val="0"/>
                        </w:numPr>
                        <w:ind w:left="216" w:hanging="216"/>
                      </w:pPr>
                    </w:p>
                  </w:txbxContent>
                </v:textbox>
                <w10:wrap type="none"/>
                <w10:anchorlock/>
              </v:shape>
            </w:pict>
          </mc:Fallback>
        </mc:AlternateContent>
      </w:r>
    </w:p>
    <w:p w:rsidR="00660471" w:rsidRPr="00990D3B" w:rsidP="00D7596D" w14:paraId="6262D580" w14:textId="74FE3EB9">
      <w:pPr>
        <w:pStyle w:val="Paragraph0"/>
        <w:rPr>
          <w:rFonts w:eastAsiaTheme="minorEastAsia"/>
        </w:rPr>
      </w:pPr>
      <w:r w:rsidRPr="00990D3B">
        <w:rPr>
          <w:rFonts w:eastAsiaTheme="minorEastAsia"/>
        </w:rPr>
        <w:t xml:space="preserve">As part of the 2024 final rule, CMS clarified that EQR technical reports should include outcomes data and results from quantitative assessments for the mandatory EQR activities. Outcomes data include performance measure rates, PIP variable rates, and network adequacy findings. Quantitative assessments encompass specific measurements and outcomes from EQRO analyses completed in addition to validation activities. </w:t>
      </w:r>
      <w:hyperlink w:anchor="Box7" w:tooltip="Box 6" w:history="1">
        <w:r w:rsidRPr="00A067BE">
          <w:rPr>
            <w:rStyle w:val="Hyperlink"/>
            <w:rFonts w:eastAsiaTheme="minorEastAsia"/>
          </w:rPr>
          <w:t xml:space="preserve">Box </w:t>
        </w:r>
        <w:r w:rsidRPr="00A067BE" w:rsidR="00A067BE">
          <w:rPr>
            <w:rStyle w:val="Hyperlink"/>
          </w:rPr>
          <w:t>7</w:t>
        </w:r>
      </w:hyperlink>
      <w:r w:rsidRPr="00990D3B">
        <w:rPr>
          <w:rFonts w:eastAsiaTheme="minorEastAsia"/>
        </w:rPr>
        <w:t xml:space="preserve"> </w:t>
      </w:r>
      <w:r w:rsidR="002510B6">
        <w:rPr>
          <w:rFonts w:eastAsiaTheme="minorEastAsia"/>
        </w:rPr>
        <w:t xml:space="preserve">(next page) </w:t>
      </w:r>
      <w:r w:rsidRPr="00990D3B">
        <w:rPr>
          <w:rFonts w:eastAsiaTheme="minorEastAsia"/>
        </w:rPr>
        <w:t xml:space="preserve">shares more information on </w:t>
      </w:r>
      <w:r w:rsidRPr="00990D3B">
        <w:rPr>
          <w:rFonts w:eastAsiaTheme="minorEastAsia"/>
        </w:rPr>
        <w:t xml:space="preserve">quantitative assessments in EQR technical reports. </w:t>
      </w:r>
      <w:r w:rsidRPr="00990D3B" w:rsidR="005426A9">
        <w:rPr>
          <w:rFonts w:eastAsiaTheme="minorEastAsia"/>
        </w:rPr>
        <w:t>In addition to these quantitative outcomes data, EQR technical reports may include qualitative information to help illustrate processes and findings.</w:t>
      </w:r>
    </w:p>
    <w:p w:rsidR="003F0FF4" w:rsidRPr="00990D3B" w:rsidP="00BD1FC3" w14:paraId="21839FA7" w14:textId="5625D7EC">
      <w:pPr>
        <w:pStyle w:val="Paragraph0"/>
        <w:rPr>
          <w:rFonts w:eastAsiaTheme="minorEastAsia"/>
        </w:rPr>
      </w:pPr>
      <w:r w:rsidRPr="00990D3B">
        <w:rPr>
          <w:noProof/>
        </w:rPr>
        <mc:AlternateContent>
          <mc:Choice Requires="wps">
            <w:drawing>
              <wp:inline distT="0" distB="0" distL="0" distR="0">
                <wp:extent cx="5943600" cy="4081781"/>
                <wp:effectExtent l="19050" t="19050" r="19050" b="13970"/>
                <wp:docPr id="1541204845" name="Text Box 227" descr="This box describes Quantitative Assessments Included in EQR Technical Reports &#10;Quantitative assessments are a critical component of EQR technical reports. These assessments provide actionable insights on MCP performance and include key findings from validation and oversight activities.&#10;Examples of quantitative assessments include:&#10;• Comparative Data: Comparisons to state averages, benchmarks, or percentiles to contextualize MCP performance&#10;• Stratified Data: Metrics stratified by race, ethnicity, geography, dual eligibility status, and other relevant demographic categories, to identify health disparities. &#10;• Outlier Identification: Identification of potential outliers, such as data points below the 25th percentile or above the 95th percentile, which may signal areas requiring further investigation or improvement.&#10;Specific examples by activity include:&#10;• PIP and Performance Measure Validation: Assessment of MCP compliance with the various stages of validation, highlighting strengths and areas for correction.&#10;• Network Adequacy Validation: Identification of provider enrollment errors or deficiencies that MCPs must address to meet state requirements.&#10;• Other Validation Activities: Analysis of MCP adherence to state-established quality standards, highlighting any gaps or inconsistencies that require resolution.&#10;• Compliance Review Activities: Quantitative summary of MCP compliance with state and federal requirements, including the percentage of elements fully, partially, or noncompliant; identification of repeat findings; and documentation of corrective action requirements or remediation timelines.&#10;These assessments not only support states in monitoring MCP compliance but also help drive quality improvement efforts by identifying opportunities for enhanced oversight and targeted technical assistance.&#10;">
                  <a:extLst xmlns:a="http://schemas.openxmlformats.org/drawingml/2006/main">
                    <a:ext xmlns:a="http://schemas.openxmlformats.org/drawingml/2006/main"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943600" cy="4081781"/>
                        </a:xfrm>
                        <a:prstGeom prst="rect">
                          <a:avLst/>
                        </a:prstGeom>
                        <a:solidFill>
                          <a:srgbClr val="EEF5F8"/>
                        </a:solidFill>
                        <a:ln w="28575" cap="rnd">
                          <a:solidFill>
                            <a:srgbClr val="A5DAD9"/>
                          </a:solidFill>
                          <a:prstDash val="solid"/>
                          <a:miter lim="800000"/>
                          <a:headEnd/>
                          <a:tailEnd/>
                        </a:ln>
                      </wps:spPr>
                      <wps:txbx>
                        <w:txbxContent>
                          <w:p w:rsidR="003F0FF4" w:rsidRPr="00384CAE" w:rsidP="003F0FF4" w14:textId="4E6B751C">
                            <w:pPr>
                              <w:pStyle w:val="EQRTextboxheading"/>
                            </w:pPr>
                            <w:bookmarkStart w:id="70" w:name="Box7"/>
                            <w:r w:rsidRPr="00CB27ED">
                              <w:t xml:space="preserve">Box </w:t>
                            </w:r>
                            <w:r w:rsidR="00A067BE">
                              <w:t>7</w:t>
                            </w:r>
                            <w:bookmarkEnd w:id="70"/>
                            <w:r w:rsidRPr="00CB27ED">
                              <w:t>. Quantitative Assessments Included in EQR Technical Reports</w:t>
                            </w:r>
                            <w:r w:rsidRPr="00384CAE">
                              <w:t xml:space="preserve"> </w:t>
                            </w:r>
                          </w:p>
                          <w:p w:rsidR="003F0FF4" w:rsidRPr="00384CAE" w:rsidP="003F0FF4" w14:textId="77777777">
                            <w:pPr>
                              <w:pStyle w:val="EQRTextboxbody"/>
                            </w:pPr>
                            <w:r w:rsidRPr="00384CAE">
                              <w:t>Quantitative assessments are a critical component of EQR technical reports. These assessments provide actionable insights on MCP performance and include key findings from validation and oversight activities.</w:t>
                            </w:r>
                          </w:p>
                          <w:p w:rsidR="003F0FF4" w:rsidRPr="00384CAE" w:rsidP="003F0FF4" w14:textId="77777777">
                            <w:pPr>
                              <w:pStyle w:val="EQRTextboxbody"/>
                            </w:pPr>
                            <w:r w:rsidRPr="00384CAE">
                              <w:t>Examples of quantitative assessments include:</w:t>
                            </w:r>
                          </w:p>
                          <w:p w:rsidR="003F0FF4" w:rsidRPr="00384CAE" w:rsidP="003F0FF4" w14:textId="77777777">
                            <w:pPr>
                              <w:pStyle w:val="EQRTextboxbullet"/>
                            </w:pPr>
                            <w:r w:rsidRPr="00384CAE">
                              <w:rPr>
                                <w:b/>
                                <w:bCs/>
                              </w:rPr>
                              <w:t>Comparative Data:</w:t>
                            </w:r>
                            <w:r w:rsidRPr="00384CAE">
                              <w:t xml:space="preserve"> Comparisons to state averages, benchmarks, or percentiles to contextualize MCP performance</w:t>
                            </w:r>
                          </w:p>
                          <w:p w:rsidR="003F0FF4" w:rsidRPr="00384CAE" w:rsidP="003F0FF4" w14:textId="77777777">
                            <w:pPr>
                              <w:pStyle w:val="EQRTextboxbullet"/>
                            </w:pPr>
                            <w:r w:rsidRPr="00384CAE">
                              <w:rPr>
                                <w:b/>
                                <w:bCs/>
                              </w:rPr>
                              <w:t>Stratified Data:</w:t>
                            </w:r>
                            <w:r w:rsidRPr="00384CAE">
                              <w:t xml:space="preserve"> Metrics stratified by race, ethnicity, geography, dual eligibility status, and other relevant demographic categories, to identify health disparities. </w:t>
                            </w:r>
                          </w:p>
                          <w:p w:rsidR="003F0FF4" w:rsidRPr="00384CAE" w:rsidP="003F0FF4" w14:textId="77777777">
                            <w:pPr>
                              <w:pStyle w:val="EQRTextboxbullet"/>
                            </w:pPr>
                            <w:r w:rsidRPr="00384CAE">
                              <w:rPr>
                                <w:b/>
                                <w:bCs/>
                              </w:rPr>
                              <w:t>Outlier Identification:</w:t>
                            </w:r>
                            <w:r w:rsidRPr="00384CAE">
                              <w:t xml:space="preserve"> Identification of potential outliers, such as data points below the 25th percentile or above the 95th percentile, which may signal areas requiring further investigation or improvement.</w:t>
                            </w:r>
                          </w:p>
                          <w:p w:rsidR="003F0FF4" w:rsidRPr="00384CAE" w:rsidP="003F0FF4" w14:textId="77777777">
                            <w:pPr>
                              <w:pStyle w:val="EQRTextboxbody"/>
                            </w:pPr>
                            <w:r w:rsidRPr="00384CAE">
                              <w:t>Specific examples by activity include:</w:t>
                            </w:r>
                          </w:p>
                          <w:p w:rsidR="003F0FF4" w:rsidRPr="00384CAE" w:rsidP="003F0FF4" w14:textId="77777777">
                            <w:pPr>
                              <w:pStyle w:val="EQRTextboxbullet"/>
                            </w:pPr>
                            <w:r w:rsidRPr="00384CAE">
                              <w:rPr>
                                <w:b/>
                                <w:bCs/>
                              </w:rPr>
                              <w:t>PIP and Performance Measure Validation:</w:t>
                            </w:r>
                            <w:r w:rsidRPr="00384CAE">
                              <w:t xml:space="preserve"> Assessment of MCP compliance with the various stages of validation, highlighting strengths and areas for correction.</w:t>
                            </w:r>
                          </w:p>
                          <w:p w:rsidR="003F0FF4" w:rsidRPr="00384CAE" w:rsidP="003F0FF4" w14:textId="77777777">
                            <w:pPr>
                              <w:pStyle w:val="EQRTextboxbullet"/>
                            </w:pPr>
                            <w:r w:rsidRPr="00384CAE">
                              <w:rPr>
                                <w:b/>
                                <w:bCs/>
                              </w:rPr>
                              <w:t>Network Adequacy Validation:</w:t>
                            </w:r>
                            <w:r w:rsidRPr="00384CAE">
                              <w:t xml:space="preserve"> Identification of provider enrollment errors or deficiencies that MCPs must address to meet state requirements.</w:t>
                            </w:r>
                          </w:p>
                          <w:p w:rsidR="003F0FF4" w:rsidP="003F0FF4" w14:textId="77777777">
                            <w:pPr>
                              <w:pStyle w:val="EQRTextboxbullet"/>
                            </w:pPr>
                            <w:r w:rsidRPr="00384CAE">
                              <w:rPr>
                                <w:b/>
                                <w:bCs/>
                              </w:rPr>
                              <w:t>Other Validation Activities:</w:t>
                            </w:r>
                            <w:r w:rsidRPr="00384CAE">
                              <w:t xml:space="preserve"> Analysis of MCP adherence to state-established quality standards, highlighting any gaps or inconsistencies that require resolution.</w:t>
                            </w:r>
                          </w:p>
                          <w:p w:rsidR="00D06DB4" w:rsidRPr="00421E87" w:rsidP="00D06DB4" w14:textId="6987B610">
                            <w:pPr>
                              <w:pStyle w:val="EQRTextboxbullet"/>
                            </w:pPr>
                            <w:r w:rsidRPr="00421E87">
                              <w:rPr>
                                <w:b/>
                                <w:szCs w:val="16"/>
                              </w:rPr>
                              <w:t>Compliance Review Activities</w:t>
                            </w:r>
                            <w:r w:rsidRPr="00421E87">
                              <w:rPr>
                                <w:b/>
                                <w:i/>
                                <w:iCs/>
                                <w:szCs w:val="16"/>
                              </w:rPr>
                              <w:t>:</w:t>
                            </w:r>
                            <w:r w:rsidRPr="00421E87">
                              <w:rPr>
                                <w:bCs/>
                                <w:szCs w:val="16"/>
                              </w:rPr>
                              <w:t xml:space="preserve"> Quantitative summary of MCP compliance with state and federal requirements, including the percentage of elements fully, partially, or noncompliant; identification of repeat findings; and documentation of corrective action requirements or remediation timelines.</w:t>
                            </w:r>
                          </w:p>
                          <w:p w:rsidR="003F0FF4" w:rsidP="003F0FF4" w14:textId="77777777">
                            <w:pPr>
                              <w:pStyle w:val="EQRTextboxbody"/>
                            </w:pPr>
                            <w:r w:rsidRPr="00384CAE">
                              <w:t>These assessments not only support states in monitoring MCP compliance but also help drive quality improvement efforts by identifying opportunities for enhanced oversight and targeted technical assistance.</w:t>
                            </w:r>
                          </w:p>
                        </w:txbxContent>
                      </wps:txbx>
                      <wps:bodyPr rot="0" vert="horz" wrap="square" lIns="109728" tIns="45720" rIns="109728" bIns="45720" anchor="t" anchorCtr="0" upright="1"/>
                    </wps:wsp>
                  </a:graphicData>
                </a:graphic>
              </wp:inline>
            </w:drawing>
          </mc:Choice>
          <mc:Fallback>
            <w:pict>
              <v:shape id="_x0000_i1045" type="#_x0000_t202" alt="This box describes Quantitative Assessments Included in EQR Technical Reports &#10;Quantitative assessments are a critical component of EQR technical reports. These assessments provide actionable insights on MCP performance and include key findings from validation and oversight activities.&#10;Examples of quantitative assessments include:&#10;• Comparative Data: Comparisons to state averages, benchmarks, or percentiles to contextualize MCP performance&#10;• Stratified Data: Metrics stratified by race, ethnicity, geography, dual eligibility status, and other relevant demographic categories, to identify health disparities. &#10;• Outlier Identification: Identification of potential outliers, such as data points below the 25th percentile or above the 95th percentile, which may signal areas requiring further investigation or improvement.&#10;Specific examples by activity include:&#10;• PIP and Performance Measure Validation: Assessment of MCP compliance with the various stages of validation, highlighting strengths and areas for correction.&#10;• Network Adequacy Validation: Identification of provider enrollment errors or deficiencies that MCPs must address to meet state requirements.&#10;• Other Validation Activities: Analysis of MCP adherence to state-established quality standards, highlighting any gaps or inconsistencies that require resolution.&#10;• Compliance Review Activities: Quantitative summary of MCP compliance with state and federal requirements, including the percentage of elements fully, partially, or noncompliant; identification of repeat findings; and documentation of corrective action requirements or remediation timelines.&#10;These assessments not only support states in monitoring MCP compliance but also help drive quality improvement efforts by identifying opportunities for enhanced oversight and targeted technical assistance.&#10;" style="width:468pt;height:321.4pt;flip:y;mso-left-percent:-10001;mso-position-horizontal-relative:char;mso-position-vertical-relative:line;mso-top-percent:-10001;mso-wrap-style:square;rotation:180;visibility:visible;v-text-anchor:top" fillcolor="#eef5f8" strokecolor="#a5dad9" strokeweight="2.25pt">
                <v:stroke endcap="round"/>
                <v:textbox inset="8.64pt,,8.64pt">
                  <w:txbxContent>
                    <w:p w:rsidR="003F0FF4" w:rsidRPr="00384CAE" w:rsidP="003F0FF4" w14:paraId="2D388FF1" w14:textId="4E6B751C">
                      <w:pPr>
                        <w:pStyle w:val="EQRTextboxheading"/>
                      </w:pPr>
                      <w:bookmarkStart w:id="70" w:name="Box7"/>
                      <w:r w:rsidRPr="00CB27ED">
                        <w:t xml:space="preserve">Box </w:t>
                      </w:r>
                      <w:r w:rsidR="00A067BE">
                        <w:t>7</w:t>
                      </w:r>
                      <w:bookmarkEnd w:id="70"/>
                      <w:r w:rsidRPr="00CB27ED">
                        <w:t>. Quantitative Assessments Included in EQR Technical Reports</w:t>
                      </w:r>
                      <w:r w:rsidRPr="00384CAE">
                        <w:t xml:space="preserve"> </w:t>
                      </w:r>
                    </w:p>
                    <w:p w:rsidR="003F0FF4" w:rsidRPr="00384CAE" w:rsidP="003F0FF4" w14:paraId="6DF6D76E" w14:textId="77777777">
                      <w:pPr>
                        <w:pStyle w:val="EQRTextboxbody"/>
                      </w:pPr>
                      <w:r w:rsidRPr="00384CAE">
                        <w:t>Quantitative assessments are a critical component of EQR technical reports. These assessments provide actionable insights on MCP performance and include key findings from validation and oversight activities.</w:t>
                      </w:r>
                    </w:p>
                    <w:p w:rsidR="003F0FF4" w:rsidRPr="00384CAE" w:rsidP="003F0FF4" w14:paraId="31B390B8" w14:textId="77777777">
                      <w:pPr>
                        <w:pStyle w:val="EQRTextboxbody"/>
                      </w:pPr>
                      <w:r w:rsidRPr="00384CAE">
                        <w:t>Examples of quantitative assessments include:</w:t>
                      </w:r>
                    </w:p>
                    <w:p w:rsidR="003F0FF4" w:rsidRPr="00384CAE" w:rsidP="003F0FF4" w14:paraId="50C3C320" w14:textId="77777777">
                      <w:pPr>
                        <w:pStyle w:val="EQRTextboxbullet"/>
                      </w:pPr>
                      <w:r w:rsidRPr="00384CAE">
                        <w:rPr>
                          <w:b/>
                          <w:bCs/>
                        </w:rPr>
                        <w:t>Comparative Data:</w:t>
                      </w:r>
                      <w:r w:rsidRPr="00384CAE">
                        <w:t xml:space="preserve"> Comparisons to state averages, benchmarks, or percentiles to contextualize MCP performance</w:t>
                      </w:r>
                    </w:p>
                    <w:p w:rsidR="003F0FF4" w:rsidRPr="00384CAE" w:rsidP="003F0FF4" w14:paraId="01218C21" w14:textId="77777777">
                      <w:pPr>
                        <w:pStyle w:val="EQRTextboxbullet"/>
                      </w:pPr>
                      <w:r w:rsidRPr="00384CAE">
                        <w:rPr>
                          <w:b/>
                          <w:bCs/>
                        </w:rPr>
                        <w:t>Stratified Data:</w:t>
                      </w:r>
                      <w:r w:rsidRPr="00384CAE">
                        <w:t xml:space="preserve"> Metrics stratified by race, ethnicity, geography, dual eligibility status, and other relevant demographic categories, to identify health disparities. </w:t>
                      </w:r>
                    </w:p>
                    <w:p w:rsidR="003F0FF4" w:rsidRPr="00384CAE" w:rsidP="003F0FF4" w14:paraId="7F0977DF" w14:textId="77777777">
                      <w:pPr>
                        <w:pStyle w:val="EQRTextboxbullet"/>
                      </w:pPr>
                      <w:r w:rsidRPr="00384CAE">
                        <w:rPr>
                          <w:b/>
                          <w:bCs/>
                        </w:rPr>
                        <w:t>Outlier Identification:</w:t>
                      </w:r>
                      <w:r w:rsidRPr="00384CAE">
                        <w:t xml:space="preserve"> Identification of potential outliers, such as data points below the 25th percentile or above the 95th percentile, which may signal areas requiring further investigation or improvement.</w:t>
                      </w:r>
                    </w:p>
                    <w:p w:rsidR="003F0FF4" w:rsidRPr="00384CAE" w:rsidP="003F0FF4" w14:paraId="29489475" w14:textId="77777777">
                      <w:pPr>
                        <w:pStyle w:val="EQRTextboxbody"/>
                      </w:pPr>
                      <w:r w:rsidRPr="00384CAE">
                        <w:t>Specific examples by activity include:</w:t>
                      </w:r>
                    </w:p>
                    <w:p w:rsidR="003F0FF4" w:rsidRPr="00384CAE" w:rsidP="003F0FF4" w14:paraId="607427D7" w14:textId="77777777">
                      <w:pPr>
                        <w:pStyle w:val="EQRTextboxbullet"/>
                      </w:pPr>
                      <w:r w:rsidRPr="00384CAE">
                        <w:rPr>
                          <w:b/>
                          <w:bCs/>
                        </w:rPr>
                        <w:t>PIP and Performance Measure Validation:</w:t>
                      </w:r>
                      <w:r w:rsidRPr="00384CAE">
                        <w:t xml:space="preserve"> Assessment of MCP compliance with the various stages of validation, highlighting strengths and areas for correction.</w:t>
                      </w:r>
                    </w:p>
                    <w:p w:rsidR="003F0FF4" w:rsidRPr="00384CAE" w:rsidP="003F0FF4" w14:paraId="63294D0D" w14:textId="77777777">
                      <w:pPr>
                        <w:pStyle w:val="EQRTextboxbullet"/>
                      </w:pPr>
                      <w:r w:rsidRPr="00384CAE">
                        <w:rPr>
                          <w:b/>
                          <w:bCs/>
                        </w:rPr>
                        <w:t>Network Adequacy Validation:</w:t>
                      </w:r>
                      <w:r w:rsidRPr="00384CAE">
                        <w:t xml:space="preserve"> Identification of provider enrollment errors or deficiencies that MCPs must address to meet state requirements.</w:t>
                      </w:r>
                    </w:p>
                    <w:p w:rsidR="003F0FF4" w:rsidP="003F0FF4" w14:paraId="427DE5C8" w14:textId="77777777">
                      <w:pPr>
                        <w:pStyle w:val="EQRTextboxbullet"/>
                      </w:pPr>
                      <w:r w:rsidRPr="00384CAE">
                        <w:rPr>
                          <w:b/>
                          <w:bCs/>
                        </w:rPr>
                        <w:t>Other Validation Activities:</w:t>
                      </w:r>
                      <w:r w:rsidRPr="00384CAE">
                        <w:t xml:space="preserve"> Analysis of MCP adherence to state-established quality standards, highlighting any gaps or inconsistencies that require resolution.</w:t>
                      </w:r>
                    </w:p>
                    <w:p w:rsidR="00D06DB4" w:rsidRPr="00421E87" w:rsidP="00D06DB4" w14:paraId="013BE36B" w14:textId="6987B610">
                      <w:pPr>
                        <w:pStyle w:val="EQRTextboxbullet"/>
                      </w:pPr>
                      <w:r w:rsidRPr="00421E87">
                        <w:rPr>
                          <w:b/>
                          <w:szCs w:val="16"/>
                        </w:rPr>
                        <w:t>Compliance Review Activities</w:t>
                      </w:r>
                      <w:r w:rsidRPr="00421E87">
                        <w:rPr>
                          <w:b/>
                          <w:i/>
                          <w:iCs/>
                          <w:szCs w:val="16"/>
                        </w:rPr>
                        <w:t>:</w:t>
                      </w:r>
                      <w:r w:rsidRPr="00421E87">
                        <w:rPr>
                          <w:bCs/>
                          <w:szCs w:val="16"/>
                        </w:rPr>
                        <w:t xml:space="preserve"> Quantitative summary of MCP compliance with state and federal requirements, including the percentage of elements fully, partially, or noncompliant; identification of repeat findings; and documentation of corrective action requirements or remediation timelines.</w:t>
                      </w:r>
                    </w:p>
                    <w:p w:rsidR="003F0FF4" w:rsidP="003F0FF4" w14:paraId="72E4FF5F" w14:textId="77777777">
                      <w:pPr>
                        <w:pStyle w:val="EQRTextboxbody"/>
                      </w:pPr>
                      <w:r w:rsidRPr="00384CAE">
                        <w:t>These assessments not only support states in monitoring MCP compliance but also help drive quality improvement efforts by identifying opportunities for enhanced oversight and targeted technical assistance.</w:t>
                      </w:r>
                    </w:p>
                  </w:txbxContent>
                </v:textbox>
                <w10:wrap type="none"/>
                <w10:anchorlock/>
              </v:shape>
            </w:pict>
          </mc:Fallback>
        </mc:AlternateContent>
      </w:r>
    </w:p>
    <w:p w:rsidR="008E078F" w:rsidRPr="00990D3B" w:rsidP="00BD1FC3" w14:paraId="43395B94" w14:textId="382F54AF">
      <w:pPr>
        <w:pStyle w:val="H2"/>
      </w:pPr>
      <w:bookmarkStart w:id="71" w:name="_Toc201751329"/>
      <w:r w:rsidRPr="00990D3B">
        <w:t>Tips for Drafting an Effective EQR Technical Report</w:t>
      </w:r>
      <w:bookmarkEnd w:id="68"/>
      <w:bookmarkEnd w:id="71"/>
    </w:p>
    <w:p w:rsidR="004D73CB" w:rsidRPr="00990D3B" w:rsidP="00D7596D" w14:paraId="62DE4AE3" w14:textId="0ADE1F23">
      <w:pPr>
        <w:pStyle w:val="ParagraphContinued"/>
      </w:pPr>
      <w:r w:rsidRPr="00990D3B">
        <w:t xml:space="preserve">To be of greatest use to states and </w:t>
      </w:r>
      <w:r w:rsidRPr="00990D3B" w:rsidR="00FB0198">
        <w:t>their quality improvement partners, EQROs should draft clear and concise reports</w:t>
      </w:r>
      <w:r w:rsidRPr="00990D3B" w:rsidR="00B41008">
        <w:t xml:space="preserve"> that </w:t>
      </w:r>
      <w:r w:rsidRPr="00990D3B" w:rsidR="00FB0198">
        <w:t>highlight</w:t>
      </w:r>
      <w:r w:rsidRPr="00990D3B" w:rsidR="00B41008">
        <w:t xml:space="preserve"> </w:t>
      </w:r>
      <w:r w:rsidRPr="00990D3B" w:rsidR="00FB0198">
        <w:t xml:space="preserve">substantive findings and </w:t>
      </w:r>
      <w:r w:rsidRPr="00990D3B" w:rsidR="00412D66">
        <w:t>actionable recommendations</w:t>
      </w:r>
      <w:r w:rsidRPr="00990D3B" w:rsidR="00CC094D">
        <w:t>.</w:t>
      </w:r>
      <w:r w:rsidRPr="00990D3B" w:rsidR="00412D66">
        <w:t xml:space="preserve"> </w:t>
      </w:r>
      <w:r w:rsidRPr="00990D3B" w:rsidR="001A08A2">
        <w:t xml:space="preserve">CMS understands that states vary in the number of Medicaid and CHIP programs and </w:t>
      </w:r>
      <w:r w:rsidRPr="00990D3B" w:rsidR="007A5761">
        <w:t>MCPs</w:t>
      </w:r>
      <w:r w:rsidRPr="00990D3B" w:rsidR="001A08A2">
        <w:t xml:space="preserve">. </w:t>
      </w:r>
      <w:r w:rsidRPr="00990D3B" w:rsidR="00F947F0">
        <w:t>T</w:t>
      </w:r>
      <w:r w:rsidRPr="00990D3B" w:rsidR="00F101AC">
        <w:t>he</w:t>
      </w:r>
      <w:r w:rsidRPr="00990D3B" w:rsidR="0014162C">
        <w:t xml:space="preserve"> EQRO should prepare an aggregate report </w:t>
      </w:r>
      <w:r w:rsidRPr="00990D3B" w:rsidR="00B41008">
        <w:t>summarizing results across all MCPs and providing state-level performance improvement recommendations</w:t>
      </w:r>
      <w:r w:rsidRPr="00990D3B" w:rsidR="007A5761">
        <w:t xml:space="preserve">. The EQR technical reports must also meet the </w:t>
      </w:r>
      <w:r w:rsidRPr="00990D3B" w:rsidR="00FD4098">
        <w:t>MCP</w:t>
      </w:r>
      <w:r w:rsidRPr="00990D3B" w:rsidR="007A5761">
        <w:t>-level reporting requirements for items such as</w:t>
      </w:r>
      <w:r w:rsidRPr="00990D3B" w:rsidR="008F551F">
        <w:t xml:space="preserve"> </w:t>
      </w:r>
      <w:r w:rsidRPr="00990D3B" w:rsidR="00411AAD">
        <w:t>identifying strengths and weaknesses, assessing</w:t>
      </w:r>
      <w:r w:rsidRPr="00990D3B" w:rsidR="007A5761">
        <w:t xml:space="preserve"> MCP action</w:t>
      </w:r>
      <w:r w:rsidRPr="00990D3B" w:rsidR="008F551F">
        <w:t>s</w:t>
      </w:r>
      <w:r w:rsidRPr="00990D3B" w:rsidR="007A5761">
        <w:t xml:space="preserve"> to address </w:t>
      </w:r>
      <w:r w:rsidRPr="00990D3B" w:rsidR="00FB0198">
        <w:t xml:space="preserve">the </w:t>
      </w:r>
      <w:r w:rsidRPr="00990D3B" w:rsidR="007A5761">
        <w:t xml:space="preserve">previous year’s recommendations, </w:t>
      </w:r>
      <w:r w:rsidRPr="00990D3B" w:rsidR="00FB0198">
        <w:t xml:space="preserve">and </w:t>
      </w:r>
      <w:r w:rsidRPr="00990D3B" w:rsidR="00F66D19">
        <w:t xml:space="preserve">PIP and </w:t>
      </w:r>
      <w:r w:rsidRPr="00990D3B" w:rsidR="007A5761">
        <w:t>performance measure</w:t>
      </w:r>
      <w:r w:rsidRPr="00990D3B" w:rsidR="00FB0198">
        <w:t xml:space="preserve"> validation findings and outcome</w:t>
      </w:r>
      <w:r w:rsidRPr="00990D3B" w:rsidR="00BA0681">
        <w:t>s</w:t>
      </w:r>
      <w:r w:rsidRPr="00990D3B" w:rsidR="00FB0198">
        <w:t xml:space="preserve"> data</w:t>
      </w:r>
      <w:r w:rsidRPr="00990D3B" w:rsidR="00F56D99">
        <w:t>,</w:t>
      </w:r>
      <w:r w:rsidRPr="00990D3B" w:rsidR="007A5761">
        <w:t xml:space="preserve"> </w:t>
      </w:r>
      <w:r w:rsidRPr="00990D3B" w:rsidR="00FB0198">
        <w:t xml:space="preserve">among </w:t>
      </w:r>
      <w:r w:rsidRPr="00990D3B" w:rsidR="007A5761">
        <w:t xml:space="preserve">others. </w:t>
      </w:r>
      <w:r w:rsidRPr="00990D3B" w:rsidR="00411AAD">
        <w:t>If appropriate, the EQRO can address these MCP-level reporting requirements via tables or appendices to the aggregate report or prepare separate reports by MCP or MCP type</w:t>
      </w:r>
      <w:r w:rsidRPr="00990D3B" w:rsidR="007A5761">
        <w:t xml:space="preserve">. For example, </w:t>
      </w:r>
      <w:r w:rsidRPr="00990D3B" w:rsidR="008F551F">
        <w:t xml:space="preserve">the EQRO may develop </w:t>
      </w:r>
      <w:r w:rsidRPr="00990D3B" w:rsidR="007A5761">
        <w:t xml:space="preserve">one aggregate report on a state’s medical MCOs and a separate aggregate report on </w:t>
      </w:r>
      <w:r w:rsidRPr="00990D3B" w:rsidR="007A5761">
        <w:t>all of</w:t>
      </w:r>
      <w:r w:rsidRPr="00990D3B" w:rsidR="007A5761">
        <w:t xml:space="preserve"> the state’s behavioral health PIHPs.</w:t>
      </w:r>
      <w:r w:rsidRPr="00990D3B" w:rsidR="00E3569B">
        <w:t xml:space="preserve"> </w:t>
      </w:r>
      <w:hyperlink w:anchor="Box8" w:tooltip="Box 7" w:history="1">
        <w:r w:rsidRPr="00A067BE" w:rsidR="00A067BE">
          <w:rPr>
            <w:rStyle w:val="Hyperlink"/>
          </w:rPr>
          <w:t>Box 8</w:t>
        </w:r>
      </w:hyperlink>
      <w:r w:rsidRPr="00990D3B" w:rsidR="00E307E0">
        <w:rPr>
          <w:rStyle w:val="Hyperlink"/>
          <w:color w:val="auto"/>
        </w:rPr>
        <w:t xml:space="preserve"> </w:t>
      </w:r>
      <w:r w:rsidR="000D3903">
        <w:rPr>
          <w:rStyle w:val="Hyperlink"/>
          <w:color w:val="auto"/>
        </w:rPr>
        <w:t xml:space="preserve">(next page) </w:t>
      </w:r>
      <w:r w:rsidRPr="00990D3B" w:rsidR="00E81AA1">
        <w:t>provides considerations for</w:t>
      </w:r>
      <w:r w:rsidRPr="00990D3B" w:rsidR="00E3569B">
        <w:t xml:space="preserve"> using aggregate and </w:t>
      </w:r>
      <w:r w:rsidRPr="00990D3B" w:rsidR="007E22BE">
        <w:t>MCP</w:t>
      </w:r>
      <w:r w:rsidRPr="00990D3B" w:rsidR="00E3569B">
        <w:t>-level reports.</w:t>
      </w:r>
    </w:p>
    <w:p w:rsidR="00C31C15" w:rsidRPr="00990D3B" w:rsidP="00BD1FC3" w14:paraId="46B6BCAE" w14:textId="77777777">
      <w:pPr>
        <w:pStyle w:val="ParagraphContinued"/>
      </w:pPr>
      <w:r w:rsidRPr="00990D3B">
        <w:rPr>
          <w:noProof/>
        </w:rPr>
        <mc:AlternateContent>
          <mc:Choice Requires="wps">
            <w:drawing>
              <wp:inline distT="0" distB="0" distL="0" distR="0">
                <wp:extent cx="5897880" cy="1405713"/>
                <wp:effectExtent l="19050" t="19050" r="26670" b="23495"/>
                <wp:docPr id="123758536" name="Text Box 223" descr="This box describes Using Aggregate and MCP-level Reports&#10;States with large and varied managed care programs may group MCPs by type, geography, or populations served and provide both MCP-level and aggregate reports. MCP-level reports may be effective for communicating plan-specific information while aggregate reports can communicate required comparative information and analyses. &#10;Creating multiple reports may help CMS and the public find and review information quickly, but states and EQROs should describe the structure of reports in a statewide executive summary or in the introduction to the aggregate report.&#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897880" cy="1405713"/>
                        </a:xfrm>
                        <a:prstGeom prst="rect">
                          <a:avLst/>
                        </a:prstGeom>
                        <a:solidFill>
                          <a:srgbClr val="EEF5F8"/>
                        </a:solidFill>
                        <a:ln w="28575" cap="rnd">
                          <a:solidFill>
                            <a:srgbClr val="A5DAD9"/>
                          </a:solidFill>
                          <a:prstDash val="solid"/>
                          <a:miter lim="800000"/>
                          <a:headEnd/>
                          <a:tailEnd/>
                        </a:ln>
                      </wps:spPr>
                      <wps:txbx>
                        <w:txbxContent>
                          <w:p w:rsidR="00154D69" w:rsidRPr="004C5B2B" w:rsidP="00154D69" w14:textId="5CC7DE23">
                            <w:pPr>
                              <w:pStyle w:val="EQRTextboxheading"/>
                            </w:pPr>
                            <w:bookmarkStart w:id="72" w:name="Box8"/>
                            <w:r w:rsidRPr="00E7140E">
                              <w:t xml:space="preserve">Box </w:t>
                            </w:r>
                            <w:r w:rsidR="00A067BE">
                              <w:t>8</w:t>
                            </w:r>
                            <w:bookmarkEnd w:id="72"/>
                            <w:r w:rsidRPr="00E7140E">
                              <w:t>. Using</w:t>
                            </w:r>
                            <w:r w:rsidRPr="00BF1563">
                              <w:t xml:space="preserve"> Aggregate and </w:t>
                            </w:r>
                            <w:r>
                              <w:t>MCP</w:t>
                            </w:r>
                            <w:r w:rsidRPr="00BF1563">
                              <w:t>-level Reports</w:t>
                            </w:r>
                          </w:p>
                          <w:p w:rsidR="00154D69" w:rsidRPr="0040303F" w:rsidP="00154D69" w14:textId="77777777">
                            <w:pPr>
                              <w:pStyle w:val="EQRTextboxbody"/>
                            </w:pPr>
                            <w:r w:rsidRPr="0040303F">
                              <w:t xml:space="preserve">States with large and varied managed care programs may group MCPs by type, geography, or populations served and provide both </w:t>
                            </w:r>
                            <w:r>
                              <w:t>MCP</w:t>
                            </w:r>
                            <w:r w:rsidRPr="0040303F">
                              <w:t xml:space="preserve">-level and aggregate reports. </w:t>
                            </w:r>
                            <w:r>
                              <w:t>MCP</w:t>
                            </w:r>
                            <w:r w:rsidRPr="0040303F">
                              <w:t xml:space="preserve">-level reports may be effective for communicating plan-specific information while aggregate reports can communicate required comparative information and analyses. </w:t>
                            </w:r>
                          </w:p>
                          <w:p w:rsidR="00154D69" w:rsidP="00154D69" w14:textId="36DCCCC8">
                            <w:pPr>
                              <w:pStyle w:val="EQRTextboxbody"/>
                            </w:pPr>
                            <w:r w:rsidRPr="0040303F">
                              <w:t>Creating multiple reports may help CMS and the public find and review information quickly, but states and EQROs should describe the structure of reports in a statewide executive summary or in the introduction to the aggregate</w:t>
                            </w:r>
                            <w:r w:rsidR="00B91C6E">
                              <w:t> </w:t>
                            </w:r>
                            <w:r w:rsidRPr="0040303F">
                              <w:t>report</w:t>
                            </w:r>
                            <w:r>
                              <w:t>.</w:t>
                            </w:r>
                          </w:p>
                        </w:txbxContent>
                      </wps:txbx>
                      <wps:bodyPr rot="0" vert="horz" wrap="square" lIns="109728" tIns="45720" rIns="109728" bIns="45720" anchor="t" anchorCtr="0" upright="1"/>
                    </wps:wsp>
                  </a:graphicData>
                </a:graphic>
              </wp:inline>
            </w:drawing>
          </mc:Choice>
          <mc:Fallback>
            <w:pict>
              <v:shape id="Text Box 223" o:spid="_x0000_i1046" type="#_x0000_t202" alt="This box describes Using Aggregate and MCP-level Reports&#10;States with large and varied managed care programs may group MCPs by type, geography, or populations served and provide both MCP-level and aggregate reports. MCP-level reports may be effective for communicating plan-specific information while aggregate reports can communicate required comparative information and analyses. &#10;Creating multiple reports may help CMS and the public find and review information quickly, but states and EQROs should describe the structure of reports in a statewide executive summary or in the introduction to the aggregate report.&#10;" style="width:464.4pt;height:110.7pt;flip:y;mso-left-percent:-10001;mso-position-horizontal-relative:char;mso-position-vertical-relative:line;mso-top-percent:-10001;mso-wrap-style:square;rotation:180;visibility:visible;v-text-anchor:top" fillcolor="#eef5f8" strokecolor="#a5dad9" strokeweight="2.25pt">
                <v:stroke endcap="round"/>
                <v:textbox inset="8.64pt,,8.64pt">
                  <w:txbxContent>
                    <w:p w:rsidR="00154D69" w:rsidRPr="004C5B2B" w:rsidP="00154D69" w14:paraId="2A4298FC" w14:textId="5CC7DE23">
                      <w:pPr>
                        <w:pStyle w:val="EQRTextboxheading"/>
                      </w:pPr>
                      <w:bookmarkStart w:id="72" w:name="Box8"/>
                      <w:r w:rsidRPr="00E7140E">
                        <w:t xml:space="preserve">Box </w:t>
                      </w:r>
                      <w:r w:rsidR="00A067BE">
                        <w:t>8</w:t>
                      </w:r>
                      <w:bookmarkEnd w:id="72"/>
                      <w:r w:rsidRPr="00E7140E">
                        <w:t>. Using</w:t>
                      </w:r>
                      <w:r w:rsidRPr="00BF1563">
                        <w:t xml:space="preserve"> Aggregate and </w:t>
                      </w:r>
                      <w:r>
                        <w:t>MCP</w:t>
                      </w:r>
                      <w:r w:rsidRPr="00BF1563">
                        <w:t>-level Reports</w:t>
                      </w:r>
                    </w:p>
                    <w:p w:rsidR="00154D69" w:rsidRPr="0040303F" w:rsidP="00154D69" w14:paraId="57F3CAD2" w14:textId="77777777">
                      <w:pPr>
                        <w:pStyle w:val="EQRTextboxbody"/>
                      </w:pPr>
                      <w:r w:rsidRPr="0040303F">
                        <w:t xml:space="preserve">States with large and varied managed care programs may group MCPs by type, geography, or populations served and provide both </w:t>
                      </w:r>
                      <w:r>
                        <w:t>MCP</w:t>
                      </w:r>
                      <w:r w:rsidRPr="0040303F">
                        <w:t xml:space="preserve">-level and aggregate reports. </w:t>
                      </w:r>
                      <w:r>
                        <w:t>MCP</w:t>
                      </w:r>
                      <w:r w:rsidRPr="0040303F">
                        <w:t xml:space="preserve">-level reports may be effective for communicating plan-specific information while aggregate reports can communicate required comparative information and analyses. </w:t>
                      </w:r>
                    </w:p>
                    <w:p w:rsidR="00154D69" w:rsidP="00154D69" w14:paraId="3EB8BADF" w14:textId="36DCCCC8">
                      <w:pPr>
                        <w:pStyle w:val="EQRTextboxbody"/>
                      </w:pPr>
                      <w:r w:rsidRPr="0040303F">
                        <w:t>Creating multiple reports may help CMS and the public find and review information quickly, but states and EQROs should describe the structure of reports in a statewide executive summary or in the introduction to the aggregate</w:t>
                      </w:r>
                      <w:r w:rsidR="00B91C6E">
                        <w:t> </w:t>
                      </w:r>
                      <w:r w:rsidRPr="0040303F">
                        <w:t>report</w:t>
                      </w:r>
                      <w:r>
                        <w:t>.</w:t>
                      </w:r>
                    </w:p>
                  </w:txbxContent>
                </v:textbox>
                <w10:wrap type="none"/>
                <w10:anchorlock/>
              </v:shape>
            </w:pict>
          </mc:Fallback>
        </mc:AlternateContent>
      </w:r>
    </w:p>
    <w:p w:rsidR="002A4FF9" w:rsidRPr="00990D3B" w:rsidP="00BD1FC3" w14:paraId="1A7C09BF" w14:textId="3E6BC022">
      <w:pPr>
        <w:pStyle w:val="ParagraphContinued"/>
      </w:pPr>
      <w:r w:rsidRPr="00990D3B">
        <w:t xml:space="preserve">In addition to focusing on compliance with federal requirements, EQROs should consider these tips for drafting </w:t>
      </w:r>
      <w:r w:rsidRPr="00990D3B" w:rsidR="00B41008">
        <w:t>an actionable, clear, and concise report</w:t>
      </w:r>
      <w:r w:rsidRPr="00990D3B">
        <w:t>.</w:t>
      </w:r>
      <w:r w:rsidRPr="00990D3B" w:rsidR="00391644">
        <w:t xml:space="preserve"> </w:t>
      </w:r>
    </w:p>
    <w:p w:rsidR="005649CB" w:rsidRPr="00990D3B" w:rsidP="00FB7CAF" w14:paraId="215AFBEA" w14:textId="558B5612">
      <w:pPr>
        <w:pStyle w:val="EQRBulletBLUE"/>
      </w:pPr>
      <w:r w:rsidRPr="00990D3B">
        <w:rPr>
          <w:b/>
          <w:bCs/>
        </w:rPr>
        <w:t>Aim for clarity and concise presentation.</w:t>
      </w:r>
      <w:r w:rsidRPr="00990D3B">
        <w:t xml:space="preserve"> </w:t>
      </w:r>
      <w:r w:rsidRPr="00990D3B" w:rsidR="00411AAD">
        <w:t xml:space="preserve">EQR gathers and processes a substantial amount of material. </w:t>
      </w:r>
      <w:r w:rsidRPr="00990D3B" w:rsidR="000D75E8">
        <w:t>Avoid non-essential narratives to help readers identify the most relevant information</w:t>
      </w:r>
      <w:r w:rsidRPr="00990D3B" w:rsidR="00B41008">
        <w:t xml:space="preserve">. </w:t>
      </w:r>
      <w:r w:rsidRPr="00990D3B">
        <w:t>Because not all readers have deep experience in the areas covered by EQR, avoid technical language and jargon when possible</w:t>
      </w:r>
      <w:r w:rsidRPr="00990D3B" w:rsidR="00583C7A">
        <w:t>.</w:t>
      </w:r>
      <w:r w:rsidRPr="00990D3B">
        <w:t xml:space="preserve"> To maximize </w:t>
      </w:r>
      <w:r w:rsidRPr="00990D3B" w:rsidR="00E81AA1">
        <w:t xml:space="preserve">the </w:t>
      </w:r>
      <w:r w:rsidRPr="00990D3B">
        <w:t xml:space="preserve">interpretability of results, provide </w:t>
      </w:r>
      <w:r w:rsidRPr="00990D3B">
        <w:t>context</w:t>
      </w:r>
      <w:r w:rsidRPr="00990D3B">
        <w:t xml:space="preserve"> for all statistics included in the report</w:t>
      </w:r>
      <w:r w:rsidRPr="00990D3B" w:rsidR="00583C7A">
        <w:t>.</w:t>
      </w:r>
    </w:p>
    <w:p w:rsidR="005649CB" w:rsidRPr="00990D3B" w:rsidP="00FB7CAF" w14:paraId="3A7F0C36" w14:textId="050D35AD">
      <w:pPr>
        <w:pStyle w:val="EQRBulletBLUE"/>
      </w:pPr>
      <w:r w:rsidRPr="00990D3B">
        <w:rPr>
          <w:b/>
          <w:bCs/>
        </w:rPr>
        <w:t>Include a clickable or hyperlinked table of contents</w:t>
      </w:r>
      <w:r w:rsidRPr="00990D3B" w:rsidR="005039AE">
        <w:rPr>
          <w:b/>
          <w:bCs/>
        </w:rPr>
        <w:t>.</w:t>
      </w:r>
      <w:r w:rsidRPr="00990D3B" w:rsidR="005039AE">
        <w:t xml:space="preserve"> For </w:t>
      </w:r>
      <w:r w:rsidRPr="00990D3B">
        <w:t>easy navigation throughout the report(s)</w:t>
      </w:r>
      <w:r w:rsidRPr="00990D3B" w:rsidR="005039AE">
        <w:t>, include a clickable or hyperlinked table of contents</w:t>
      </w:r>
      <w:r w:rsidRPr="00990D3B" w:rsidR="00583C7A">
        <w:t>.</w:t>
      </w:r>
    </w:p>
    <w:p w:rsidR="005649CB" w:rsidRPr="00990D3B" w:rsidP="00FB7CAF" w14:paraId="3704430B" w14:textId="5131D002">
      <w:pPr>
        <w:pStyle w:val="EQRBulletBLUE"/>
      </w:pPr>
      <w:r w:rsidRPr="00990D3B">
        <w:rPr>
          <w:b/>
          <w:bCs/>
        </w:rPr>
        <w:t>Produce</w:t>
      </w:r>
      <w:r w:rsidRPr="00990D3B">
        <w:rPr>
          <w:b/>
          <w:bCs/>
        </w:rPr>
        <w:t xml:space="preserve"> a searchable PDF</w:t>
      </w:r>
      <w:r w:rsidRPr="00990D3B" w:rsidR="005039AE">
        <w:rPr>
          <w:b/>
          <w:bCs/>
        </w:rPr>
        <w:t xml:space="preserve">. </w:t>
      </w:r>
      <w:r w:rsidRPr="00990D3B" w:rsidR="005039AE">
        <w:t xml:space="preserve">To </w:t>
      </w:r>
      <w:r w:rsidRPr="00990D3B">
        <w:t xml:space="preserve">enable stakeholders to review topics of interest and facilitate </w:t>
      </w:r>
      <w:r w:rsidRPr="00990D3B" w:rsidR="00411AAD">
        <w:t xml:space="preserve">the </w:t>
      </w:r>
      <w:r w:rsidRPr="00990D3B">
        <w:t xml:space="preserve">use of the reports for topic-specific analyses, </w:t>
      </w:r>
      <w:r w:rsidRPr="00990D3B">
        <w:t>produce</w:t>
      </w:r>
      <w:r w:rsidRPr="00990D3B">
        <w:t xml:space="preserve"> a searchable PDF</w:t>
      </w:r>
      <w:r w:rsidRPr="00990D3B" w:rsidR="00583C7A">
        <w:t>.</w:t>
      </w:r>
    </w:p>
    <w:p w:rsidR="00AA2790" w:rsidRPr="00990D3B" w:rsidP="00FB7CAF" w14:paraId="6A456EA0" w14:textId="4E97DDD6">
      <w:pPr>
        <w:pStyle w:val="EQRBulletBLUE"/>
      </w:pPr>
      <w:r w:rsidRPr="00990D3B">
        <w:rPr>
          <w:b/>
          <w:bCs/>
        </w:rPr>
        <w:t>Include a summary of the managed care programs, MCPs, and populations.</w:t>
      </w:r>
      <w:r w:rsidRPr="00990D3B">
        <w:t xml:space="preserve"> </w:t>
      </w:r>
      <w:r w:rsidRPr="00990D3B" w:rsidR="00C1313B">
        <w:t xml:space="preserve">To contextualize findings, </w:t>
      </w:r>
      <w:r w:rsidRPr="00990D3B" w:rsidR="00411AAD">
        <w:t>summarize</w:t>
      </w:r>
      <w:r w:rsidRPr="00990D3B" w:rsidR="00C1313B">
        <w:t xml:space="preserve"> the state’s managed care program, including populations and services covered by MCPs</w:t>
      </w:r>
      <w:r w:rsidRPr="00990D3B" w:rsidR="00391644">
        <w:t>.</w:t>
      </w:r>
      <w:r w:rsidRPr="00990D3B">
        <w:t xml:space="preserve"> </w:t>
      </w:r>
      <w:r w:rsidRPr="00990D3B" w:rsidR="00391644">
        <w:t>Programmatic and operational information</w:t>
      </w:r>
      <w:r w:rsidRPr="00990D3B" w:rsidR="00CF3FC5">
        <w:t xml:space="preserve"> could be shared in a table with a column dedicated to </w:t>
      </w:r>
      <w:r w:rsidRPr="00990D3B" w:rsidR="00391644">
        <w:t>each MCP</w:t>
      </w:r>
      <w:r w:rsidRPr="00990D3B" w:rsidR="00C1313B">
        <w:t xml:space="preserve">, </w:t>
      </w:r>
      <w:r w:rsidRPr="00990D3B" w:rsidR="00391644">
        <w:t xml:space="preserve">program, population, or service category. </w:t>
      </w:r>
    </w:p>
    <w:p w:rsidR="00A607BB" w:rsidRPr="00990D3B" w:rsidP="00FB7CAF" w14:paraId="62A3B5D4" w14:textId="598C8E29">
      <w:pPr>
        <w:pStyle w:val="EQRBulletBLUE"/>
      </w:pPr>
      <w:r w:rsidRPr="00990D3B">
        <w:rPr>
          <w:b/>
          <w:bCs/>
        </w:rPr>
        <w:t xml:space="preserve">Include an executive summary that highlights key findings. </w:t>
      </w:r>
      <w:r w:rsidRPr="00990D3B">
        <w:t xml:space="preserve">To help </w:t>
      </w:r>
      <w:r w:rsidRPr="00990D3B" w:rsidR="00C31C15">
        <w:t xml:space="preserve">readers quickly understand both the strengths and areas for improvement, </w:t>
      </w:r>
      <w:r w:rsidRPr="00990D3B" w:rsidR="0032107C">
        <w:t xml:space="preserve">begin </w:t>
      </w:r>
      <w:r w:rsidRPr="00990D3B" w:rsidR="00C31C15">
        <w:t xml:space="preserve">the report with an executive summary that </w:t>
      </w:r>
      <w:r w:rsidRPr="00990D3B" w:rsidR="00EC678D">
        <w:t xml:space="preserve">succinctly </w:t>
      </w:r>
      <w:r w:rsidRPr="00990D3B" w:rsidR="00C31C15">
        <w:t xml:space="preserve">synthesizes </w:t>
      </w:r>
      <w:r w:rsidRPr="00990D3B" w:rsidR="00E410AF">
        <w:t xml:space="preserve">important </w:t>
      </w:r>
      <w:r w:rsidRPr="00990D3B" w:rsidR="00C31C15">
        <w:t xml:space="preserve">program-level or statewide findings </w:t>
      </w:r>
      <w:r w:rsidRPr="00990D3B" w:rsidR="0032107C">
        <w:t xml:space="preserve">across </w:t>
      </w:r>
      <w:r w:rsidRPr="00990D3B" w:rsidR="00C31C15">
        <w:t>EQR activit</w:t>
      </w:r>
      <w:r w:rsidRPr="00990D3B" w:rsidR="0032107C">
        <w:t>ies</w:t>
      </w:r>
      <w:r w:rsidRPr="00990D3B" w:rsidR="00C31C15">
        <w:t>. This high-level overview can help the state and its quality improvement partners identify patterns</w:t>
      </w:r>
      <w:r w:rsidRPr="00990D3B" w:rsidR="00F23030">
        <w:t xml:space="preserve"> and </w:t>
      </w:r>
      <w:r w:rsidRPr="00990D3B" w:rsidR="00C31C15">
        <w:t xml:space="preserve">prioritize action areas. </w:t>
      </w:r>
    </w:p>
    <w:p w:rsidR="005039AE" w:rsidRPr="00990D3B" w:rsidP="00FB7CAF" w14:paraId="60A4D5E7" w14:textId="45BC4D05">
      <w:pPr>
        <w:pStyle w:val="EQRBulletBLUE"/>
      </w:pPr>
      <w:r w:rsidRPr="00990D3B">
        <w:rPr>
          <w:b/>
          <w:bCs/>
        </w:rPr>
        <w:t xml:space="preserve">Use </w:t>
      </w:r>
      <w:r w:rsidRPr="00990D3B" w:rsidR="00411AAD">
        <w:rPr>
          <w:b/>
          <w:bCs/>
        </w:rPr>
        <w:t>MCP names</w:t>
      </w:r>
      <w:r w:rsidRPr="00990D3B">
        <w:rPr>
          <w:b/>
          <w:bCs/>
        </w:rPr>
        <w:t xml:space="preserve"> when referring to plan performance. </w:t>
      </w:r>
      <w:r w:rsidRPr="00990D3B">
        <w:t xml:space="preserve">Findings and comparisons should refer to MCPs by name </w:t>
      </w:r>
      <w:r w:rsidRPr="00990D3B" w:rsidR="00935E58">
        <w:t>to</w:t>
      </w:r>
      <w:r w:rsidRPr="00990D3B">
        <w:t xml:space="preserve"> facilitate transparency and stakeholder understanding of specific </w:t>
      </w:r>
      <w:r w:rsidRPr="00990D3B" w:rsidR="00583C7A">
        <w:t xml:space="preserve">MCP </w:t>
      </w:r>
      <w:r w:rsidRPr="00990D3B">
        <w:t>performance</w:t>
      </w:r>
    </w:p>
    <w:p w:rsidR="005649CB" w:rsidRPr="00990D3B" w:rsidP="00FB7CAF" w14:paraId="4BFC3C4A" w14:textId="3A8829D5">
      <w:pPr>
        <w:pStyle w:val="EQRBulletBLUE"/>
      </w:pPr>
      <w:r w:rsidRPr="00990D3B">
        <w:rPr>
          <w:b/>
          <w:bCs/>
        </w:rPr>
        <w:t xml:space="preserve">Consider displaying previous recommendations, </w:t>
      </w:r>
      <w:r w:rsidRPr="00990D3B" w:rsidR="00583C7A">
        <w:rPr>
          <w:b/>
          <w:bCs/>
        </w:rPr>
        <w:t xml:space="preserve">MCP </w:t>
      </w:r>
      <w:r w:rsidRPr="00990D3B">
        <w:rPr>
          <w:b/>
          <w:bCs/>
        </w:rPr>
        <w:t>responses and actions, and new recommendations in one chart</w:t>
      </w:r>
      <w:r w:rsidRPr="00990D3B" w:rsidR="005039AE">
        <w:rPr>
          <w:b/>
          <w:bCs/>
        </w:rPr>
        <w:t>.</w:t>
      </w:r>
      <w:r w:rsidRPr="00990D3B" w:rsidR="005039AE">
        <w:t xml:space="preserve"> </w:t>
      </w:r>
      <w:r w:rsidRPr="00990D3B" w:rsidR="00C1313B">
        <w:t xml:space="preserve">To enable a </w:t>
      </w:r>
      <w:r w:rsidRPr="00990D3B">
        <w:t xml:space="preserve">comprehensive view of </w:t>
      </w:r>
      <w:r w:rsidRPr="00990D3B" w:rsidR="00C1313B">
        <w:t xml:space="preserve">each MCP’s </w:t>
      </w:r>
      <w:r w:rsidRPr="00990D3B" w:rsidR="0060473D">
        <w:t>performance based on the EQR process</w:t>
      </w:r>
      <w:r w:rsidRPr="00990D3B" w:rsidR="00C1313B">
        <w:t xml:space="preserve">, provide the previous EQR’s recommendations and current EQR’s findings together. </w:t>
      </w:r>
    </w:p>
    <w:p w:rsidR="00FF59F2" w:rsidP="00FF59F2" w14:paraId="7C56C510" w14:textId="77777777">
      <w:pPr>
        <w:pStyle w:val="EQRBulletBLUE"/>
      </w:pPr>
      <w:r w:rsidRPr="00990D3B">
        <w:rPr>
          <w:b/>
          <w:bCs/>
        </w:rPr>
        <w:t xml:space="preserve">Use charts to facilitate easy comparisons across MCPs. </w:t>
      </w:r>
      <w:r w:rsidRPr="00990D3B" w:rsidR="001B06CF">
        <w:t>Share c</w:t>
      </w:r>
      <w:r w:rsidRPr="00990D3B" w:rsidR="005649CB">
        <w:t xml:space="preserve">omparative information </w:t>
      </w:r>
      <w:r w:rsidRPr="00990D3B">
        <w:t xml:space="preserve">via </w:t>
      </w:r>
      <w:r w:rsidRPr="00990D3B" w:rsidR="005649CB">
        <w:t>tables</w:t>
      </w:r>
      <w:r w:rsidRPr="00990D3B">
        <w:t xml:space="preserve"> </w:t>
      </w:r>
      <w:r w:rsidRPr="00990D3B" w:rsidR="005649CB">
        <w:t>presenting</w:t>
      </w:r>
      <w:r w:rsidRPr="00990D3B">
        <w:t xml:space="preserve"> </w:t>
      </w:r>
      <w:r w:rsidRPr="00990D3B" w:rsidR="005649CB">
        <w:t xml:space="preserve">performance measure </w:t>
      </w:r>
      <w:r w:rsidRPr="00990D3B">
        <w:t>data</w:t>
      </w:r>
      <w:r w:rsidRPr="00990D3B" w:rsidR="00AA524D">
        <w:t xml:space="preserve"> and, where relevant,</w:t>
      </w:r>
      <w:r w:rsidRPr="00990D3B">
        <w:t xml:space="preserve"> PIP</w:t>
      </w:r>
      <w:r w:rsidRPr="00990D3B" w:rsidR="00B51FFE">
        <w:t xml:space="preserve"> or NAV</w:t>
      </w:r>
      <w:r w:rsidRPr="00990D3B">
        <w:t xml:space="preserve"> data</w:t>
      </w:r>
      <w:r w:rsidRPr="00990D3B" w:rsidR="00ED00E4">
        <w:t>.</w:t>
      </w:r>
      <w:r w:rsidRPr="00990D3B">
        <w:t xml:space="preserve"> </w:t>
      </w:r>
      <w:r w:rsidRPr="00990D3B" w:rsidR="001B06CF">
        <w:t>P</w:t>
      </w:r>
      <w:r w:rsidRPr="00990D3B">
        <w:t xml:space="preserve">rovide MCP-level data </w:t>
      </w:r>
      <w:r w:rsidRPr="00990D3B" w:rsidR="001B06CF">
        <w:t>in tables</w:t>
      </w:r>
      <w:r w:rsidRPr="00990D3B" w:rsidR="00421086">
        <w:t xml:space="preserve"> </w:t>
      </w:r>
      <w:r w:rsidRPr="00990D3B" w:rsidR="001B06CF">
        <w:t>and</w:t>
      </w:r>
      <w:r w:rsidRPr="00990D3B">
        <w:t xml:space="preserve"> group</w:t>
      </w:r>
      <w:r w:rsidRPr="00990D3B" w:rsidR="001B06CF">
        <w:t xml:space="preserve"> the data</w:t>
      </w:r>
      <w:r w:rsidRPr="00990D3B">
        <w:t xml:space="preserve"> by program</w:t>
      </w:r>
      <w:r w:rsidRPr="00990D3B" w:rsidR="00AA524D">
        <w:t xml:space="preserve"> or </w:t>
      </w:r>
      <w:r w:rsidRPr="00990D3B">
        <w:t>MCP type</w:t>
      </w:r>
      <w:r w:rsidRPr="00990D3B" w:rsidR="00AA524D">
        <w:t xml:space="preserve">. For the compliance </w:t>
      </w:r>
      <w:r w:rsidRPr="00990D3B" w:rsidR="00AA524D">
        <w:t>review activities, tables or c</w:t>
      </w:r>
      <w:r w:rsidRPr="00990D3B" w:rsidR="005649CB">
        <w:t xml:space="preserve">harts can display </w:t>
      </w:r>
      <w:r w:rsidRPr="00990D3B" w:rsidR="00AA524D">
        <w:t xml:space="preserve">each MCP’s </w:t>
      </w:r>
      <w:r w:rsidRPr="00990D3B" w:rsidR="0060473D">
        <w:t xml:space="preserve">compliance and </w:t>
      </w:r>
      <w:r w:rsidRPr="00990D3B" w:rsidR="005649CB">
        <w:t>non-compliance</w:t>
      </w:r>
      <w:r w:rsidRPr="00990D3B" w:rsidR="00AA524D">
        <w:t xml:space="preserve"> </w:t>
      </w:r>
      <w:r w:rsidRPr="00990D3B" w:rsidR="005649CB">
        <w:t>with each of the reviewed state and federal standards</w:t>
      </w:r>
      <w:r w:rsidRPr="00990D3B" w:rsidR="00ED00E4">
        <w:t>.</w:t>
      </w:r>
    </w:p>
    <w:p w:rsidR="00A10099" w:rsidRPr="00E416DB" w:rsidP="00A10099" w14:paraId="7606028A" w14:textId="77777777">
      <w:pPr>
        <w:pStyle w:val="H3"/>
      </w:pPr>
      <w:bookmarkStart w:id="73" w:name="_Toc183005559"/>
      <w:bookmarkStart w:id="74" w:name="_Toc201751330"/>
      <w:bookmarkStart w:id="75" w:name="_Toc493246351"/>
      <w:bookmarkStart w:id="76" w:name="_Toc496116356"/>
      <w:bookmarkStart w:id="77" w:name="_Toc14777676"/>
      <w:r w:rsidRPr="00E416DB">
        <w:t>Making Strong Recommendations</w:t>
      </w:r>
    </w:p>
    <w:p w:rsidR="00A10099" w:rsidRPr="00E416DB" w:rsidP="00A10099" w14:paraId="5F9C6A35" w14:textId="77777777">
      <w:pPr>
        <w:pStyle w:val="Paragraph0"/>
      </w:pPr>
      <w:r w:rsidRPr="00E416DB">
        <w:t>Clear, actionable recommendations strengthen the EQR technical report and support continuous quality improvement. EQRO recommendations should be grounded in validation findings as well as other EQR assessment results and aligned with the scope of the review activity.</w:t>
      </w:r>
    </w:p>
    <w:p w:rsidR="00A10099" w:rsidRPr="00E416DB" w:rsidP="00A10099" w14:paraId="0EA359AF" w14:textId="77777777">
      <w:pPr>
        <w:pStyle w:val="ParagraphContinued"/>
      </w:pPr>
      <w:r w:rsidRPr="00E416DB">
        <w:t>In addition to MCP-specific recommendations, the EQRO must provide state-level recommendations. At a minimum, state-level recommendations must address the effectiveness and implementation of the state’s managed care quality strategy (QS). When findings identify broader systemic, policy, or oversight concerns, state-level recommendations may extend beyond the QS to promote statewide improvement.</w:t>
      </w:r>
    </w:p>
    <w:p w:rsidR="00A10099" w:rsidRPr="00E416DB" w:rsidP="00A10099" w14:paraId="2BB44DAA" w14:textId="77777777">
      <w:pPr>
        <w:pStyle w:val="ParagraphContinued"/>
      </w:pPr>
      <w:r w:rsidRPr="00E416DB">
        <w:t>When drafting recommendations, the EQRO should:</w:t>
      </w:r>
    </w:p>
    <w:p w:rsidR="00A10099" w:rsidRPr="00E416DB" w:rsidP="00A10099" w14:paraId="3F144A59" w14:textId="77777777">
      <w:pPr>
        <w:pStyle w:val="EQRBulletBLUE"/>
      </w:pPr>
      <w:r w:rsidRPr="00E416DB">
        <w:rPr>
          <w:b/>
          <w:bCs/>
        </w:rPr>
        <w:t>Tie recommendations to findings.</w:t>
      </w:r>
      <w:r w:rsidRPr="00E416DB">
        <w:t xml:space="preserve"> Recommendations should directly address methodological concerns, implementation challenges, or opportunities for improvement identified through the validation or review process.</w:t>
      </w:r>
    </w:p>
    <w:p w:rsidR="00A10099" w:rsidRPr="00E416DB" w:rsidP="00A10099" w14:paraId="08751F23" w14:textId="77777777">
      <w:pPr>
        <w:pStyle w:val="EQRBulletBLUE"/>
      </w:pPr>
      <w:r w:rsidRPr="00E416DB">
        <w:rPr>
          <w:b/>
          <w:bCs/>
        </w:rPr>
        <w:t>Be specific and actionable.</w:t>
      </w:r>
      <w:r w:rsidRPr="00E416DB">
        <w:t xml:space="preserve"> Recommendations should clearly describe the identified issue, the expected improvement, and how progress can be monitored (e.g., through defined milestones or targets). Avoid vague or general statements (e.g., “continue to improve performance”) unless accompanied by details on the specific performance area, expected improvement, and measurement approach.</w:t>
      </w:r>
    </w:p>
    <w:p w:rsidR="00A10099" w:rsidRPr="00E416DB" w:rsidP="00A10099" w14:paraId="10383D49" w14:textId="77777777">
      <w:pPr>
        <w:pStyle w:val="EQRBulletBLUE"/>
      </w:pPr>
      <w:r w:rsidRPr="00E416DB">
        <w:rPr>
          <w:b/>
          <w:bCs/>
        </w:rPr>
        <w:t>Prioritize impact.</w:t>
      </w:r>
      <w:r w:rsidRPr="00E416DB">
        <w:t xml:space="preserve"> When multiple findings are identified, recommendations should focus on those most likely to improve quality, strengthen compliance, or enhance outcomes for beneficiaries. </w:t>
      </w:r>
    </w:p>
    <w:p w:rsidR="00A10099" w:rsidRPr="00E416DB" w:rsidP="00A10099" w14:paraId="5893DC81" w14:textId="77777777">
      <w:pPr>
        <w:pStyle w:val="EQRBulletBLUE"/>
      </w:pPr>
      <w:r w:rsidRPr="00E416DB">
        <w:rPr>
          <w:b/>
          <w:bCs/>
        </w:rPr>
        <w:t xml:space="preserve">Clarify the level and locus of action. </w:t>
      </w:r>
      <w:r w:rsidRPr="00E416DB">
        <w:t>When applicable, recommendations should indicate whether the recommendation can be addressed by the MCP independently or whether it requires coordination with the state, providers, or other stakeholders. Recommendations should also distinguish between those that warrant formal state follow-up and those that are advisory in nature.</w:t>
      </w:r>
    </w:p>
    <w:p w:rsidR="00A10099" w:rsidRPr="00E416DB" w:rsidP="00A10099" w14:paraId="3B7F298A" w14:textId="77777777">
      <w:pPr>
        <w:pStyle w:val="EQRBulletBLUE"/>
        <w:rPr>
          <w:rFonts w:ascii="Times New Roman" w:hAnsi="Times New Roman"/>
          <w:szCs w:val="24"/>
        </w:rPr>
      </w:pPr>
      <w:r w:rsidRPr="00E416DB">
        <w:rPr>
          <w:rFonts w:ascii="Times New Roman" w:hAnsi="Times New Roman"/>
          <w:b/>
          <w:bCs/>
          <w:szCs w:val="24"/>
        </w:rPr>
        <w:t>Ensure feasibility.</w:t>
      </w:r>
      <w:r w:rsidRPr="00E416DB">
        <w:rPr>
          <w:rFonts w:ascii="Times New Roman" w:hAnsi="Times New Roman"/>
          <w:szCs w:val="24"/>
        </w:rPr>
        <w:t xml:space="preserve"> Recommendations should reflect the scope of the identified issue and the operational context of the MCP or state, </w:t>
      </w:r>
      <w:r w:rsidRPr="00E416DB">
        <w:t xml:space="preserve">fall within the authority of the Medicaid program or its MCPs to address, and promote </w:t>
      </w:r>
      <w:r w:rsidRPr="00E416DB">
        <w:rPr>
          <w:rFonts w:ascii="Times New Roman" w:hAnsi="Times New Roman"/>
          <w:szCs w:val="24"/>
        </w:rPr>
        <w:t xml:space="preserve">meaningful improvement without imposing unnecessary burden. </w:t>
      </w:r>
    </w:p>
    <w:p w:rsidR="00A10099" w:rsidRPr="00FF59F2" w:rsidP="00A10099" w14:paraId="18696375" w14:textId="77777777">
      <w:pPr>
        <w:pStyle w:val="ParagraphContinued"/>
      </w:pPr>
      <w:r w:rsidRPr="00E416DB">
        <w:t>Recommendations are not required in the absence of findings. If an activity meets validation or review standards and shows no evidence that quality improvement is needed, the EQRO may state that no follow-up actions are recommended.</w:t>
      </w:r>
    </w:p>
    <w:p w:rsidR="00660ADD" w:rsidRPr="00990D3B" w:rsidP="00BD1FC3" w14:paraId="43F02E54" w14:textId="79116E97">
      <w:pPr>
        <w:pStyle w:val="H2"/>
      </w:pPr>
      <w:r w:rsidRPr="00990D3B">
        <w:t>S</w:t>
      </w:r>
      <w:r w:rsidRPr="00990D3B" w:rsidR="005039AE">
        <w:t xml:space="preserve">tate </w:t>
      </w:r>
      <w:r w:rsidRPr="00990D3B">
        <w:t>R</w:t>
      </w:r>
      <w:r w:rsidRPr="00990D3B" w:rsidR="005039AE">
        <w:t xml:space="preserve">eview of EQR </w:t>
      </w:r>
      <w:r w:rsidRPr="00990D3B">
        <w:t>T</w:t>
      </w:r>
      <w:r w:rsidRPr="00990D3B" w:rsidR="005039AE">
        <w:t xml:space="preserve">echnical </w:t>
      </w:r>
      <w:r w:rsidRPr="00990D3B">
        <w:t>R</w:t>
      </w:r>
      <w:r w:rsidRPr="00990D3B" w:rsidR="005039AE">
        <w:t>eports</w:t>
      </w:r>
      <w:bookmarkEnd w:id="73"/>
      <w:bookmarkEnd w:id="74"/>
      <w:r w:rsidRPr="00990D3B" w:rsidR="005039AE">
        <w:t xml:space="preserve"> </w:t>
      </w:r>
    </w:p>
    <w:p w:rsidR="00E81AA1" w:rsidRPr="00990D3B" w:rsidP="00D7596D" w14:paraId="4904B2B0" w14:textId="28A6E410">
      <w:pPr>
        <w:pStyle w:val="ParagraphContinued"/>
      </w:pPr>
      <w:r w:rsidRPr="00990D3B">
        <w:t xml:space="preserve">The EQR technical report must be independently developed and produced by the EQRO. The state may not substantively revise the EQR technical report submitted by the EQRO without evidence that errors or key omissions occurred.  However, the </w:t>
      </w:r>
      <w:r w:rsidRPr="00990D3B" w:rsidR="00090417">
        <w:t xml:space="preserve">state is ultimately responsible for </w:t>
      </w:r>
      <w:r w:rsidRPr="00990D3B" w:rsidR="00273FF7">
        <w:t>submitting</w:t>
      </w:r>
      <w:r w:rsidRPr="00990D3B" w:rsidR="00090417">
        <w:t xml:space="preserve"> a complete report </w:t>
      </w:r>
      <w:r w:rsidRPr="00990D3B" w:rsidR="00090417">
        <w:t>per</w:t>
      </w:r>
      <w:r w:rsidRPr="00990D3B" w:rsidR="00090417">
        <w:t xml:space="preserve"> </w:t>
      </w:r>
      <w:r w:rsidRPr="00990D3B" w:rsidR="001C7FC0">
        <w:t>42 C.F.R.</w:t>
      </w:r>
      <w:r w:rsidRPr="00990D3B" w:rsidR="00090417">
        <w:t xml:space="preserve"> 438.364. </w:t>
      </w:r>
    </w:p>
    <w:p w:rsidR="002A4FF9" w:rsidRPr="00990D3B" w:rsidP="00B91C6E" w14:paraId="1A40DA65" w14:textId="513EDDDF">
      <w:pPr>
        <w:pStyle w:val="Paragraph0"/>
      </w:pPr>
      <w:r w:rsidRPr="00990D3B">
        <w:t>U</w:t>
      </w:r>
      <w:r w:rsidRPr="00990D3B" w:rsidR="00E51CD2">
        <w:t xml:space="preserve">pon receipt of EQR technical reports from </w:t>
      </w:r>
      <w:r w:rsidRPr="00990D3B">
        <w:t>th</w:t>
      </w:r>
      <w:r w:rsidRPr="00990D3B">
        <w:t>e</w:t>
      </w:r>
      <w:r w:rsidRPr="00990D3B" w:rsidR="00E51CD2">
        <w:t xml:space="preserve"> EQRO, the state should review the report for completeness and adherence to these protocol</w:t>
      </w:r>
      <w:r w:rsidRPr="00990D3B" w:rsidR="005039AE">
        <w:t xml:space="preserve">s. </w:t>
      </w:r>
      <w:r w:rsidRPr="00990D3B" w:rsidR="00583C7A">
        <w:t>T</w:t>
      </w:r>
      <w:r w:rsidRPr="00990D3B" w:rsidR="005039AE">
        <w:t>he state should</w:t>
      </w:r>
      <w:r w:rsidRPr="00990D3B" w:rsidR="00583C7A">
        <w:t xml:space="preserve"> also</w:t>
      </w:r>
      <w:r w:rsidRPr="00990D3B" w:rsidR="005039AE">
        <w:t xml:space="preserve"> confirm that</w:t>
      </w:r>
      <w:r w:rsidRPr="00990D3B" w:rsidR="00E51CD2">
        <w:t xml:space="preserve"> the</w:t>
      </w:r>
      <w:r w:rsidRPr="00990D3B" w:rsidR="005A667B">
        <w:t xml:space="preserve"> technical report includes </w:t>
      </w:r>
      <w:r w:rsidRPr="00990D3B" w:rsidR="005A667B">
        <w:t xml:space="preserve">all </w:t>
      </w:r>
      <w:r w:rsidRPr="00990D3B" w:rsidR="002D1DEB">
        <w:t>of</w:t>
      </w:r>
      <w:r w:rsidRPr="00990D3B" w:rsidR="002D1DEB">
        <w:t xml:space="preserve"> the required elements </w:t>
      </w:r>
      <w:r w:rsidRPr="00990D3B" w:rsidR="00E51CD2">
        <w:t xml:space="preserve">set forth in </w:t>
      </w:r>
      <w:r w:rsidRPr="00990D3B" w:rsidR="001C7FC0">
        <w:t>42 C.F.R.</w:t>
      </w:r>
      <w:r w:rsidRPr="00990D3B" w:rsidR="00E51CD2">
        <w:t xml:space="preserve"> 438 Subpart E and</w:t>
      </w:r>
      <w:r w:rsidRPr="00990D3B" w:rsidR="002D1DEB">
        <w:t xml:space="preserve"> includes a review of all standards and</w:t>
      </w:r>
      <w:r w:rsidRPr="00990D3B" w:rsidR="00E51CD2">
        <w:t xml:space="preserve"> regulations </w:t>
      </w:r>
      <w:r w:rsidRPr="00990D3B" w:rsidR="002D1DEB">
        <w:t xml:space="preserve">in Subpart E of Part 438 and other regulations </w:t>
      </w:r>
      <w:r w:rsidRPr="00990D3B" w:rsidR="00E51CD2">
        <w:t xml:space="preserve">incorporated by reference. </w:t>
      </w:r>
      <w:r w:rsidRPr="00990D3B" w:rsidR="004D3F95">
        <w:t xml:space="preserve">The worksheets included in </w:t>
      </w:r>
      <w:hyperlink w:anchor="AppA" w:history="1">
        <w:r w:rsidRPr="00990D3B" w:rsidR="004D3F95">
          <w:rPr>
            <w:rStyle w:val="Hyperlink"/>
          </w:rPr>
          <w:t>Appendix A</w:t>
        </w:r>
      </w:hyperlink>
      <w:r w:rsidRPr="00990D3B" w:rsidR="004D3F95">
        <w:t xml:space="preserve"> can support the state in this</w:t>
      </w:r>
      <w:r w:rsidRPr="00990D3B" w:rsidR="00C729CB">
        <w:t> </w:t>
      </w:r>
      <w:r w:rsidRPr="00990D3B" w:rsidR="004D3F95">
        <w:t xml:space="preserve">review. </w:t>
      </w:r>
    </w:p>
    <w:p w:rsidR="00660ADD" w:rsidRPr="00990D3B" w:rsidP="00BD1FC3" w14:paraId="578C160F" w14:textId="2CCC830E">
      <w:pPr>
        <w:pStyle w:val="H2"/>
      </w:pPr>
      <w:bookmarkStart w:id="78" w:name="_Toc201751331"/>
      <w:bookmarkStart w:id="79" w:name="_Toc183005560"/>
      <w:r w:rsidRPr="00990D3B">
        <w:t>P</w:t>
      </w:r>
      <w:r w:rsidRPr="00990D3B" w:rsidR="00090417">
        <w:t xml:space="preserve">osting </w:t>
      </w:r>
      <w:r w:rsidRPr="00990D3B" w:rsidR="002A4FF9">
        <w:t xml:space="preserve">and Submitting </w:t>
      </w:r>
      <w:r w:rsidRPr="00990D3B" w:rsidR="00090417">
        <w:t xml:space="preserve">EQR </w:t>
      </w:r>
      <w:r w:rsidRPr="00990D3B">
        <w:t>T</w:t>
      </w:r>
      <w:r w:rsidRPr="00990D3B" w:rsidR="00090417">
        <w:t xml:space="preserve">echnical </w:t>
      </w:r>
      <w:r w:rsidRPr="00990D3B">
        <w:t>R</w:t>
      </w:r>
      <w:r w:rsidRPr="00990D3B" w:rsidR="00090417">
        <w:t>eports</w:t>
      </w:r>
      <w:bookmarkEnd w:id="78"/>
      <w:r w:rsidRPr="00990D3B" w:rsidR="00090417">
        <w:t xml:space="preserve"> </w:t>
      </w:r>
      <w:bookmarkEnd w:id="79"/>
    </w:p>
    <w:p w:rsidR="00DC31A5" w:rsidRPr="00990D3B" w:rsidP="00D7596D" w14:paraId="6D22A36F" w14:textId="745F6ECC">
      <w:pPr>
        <w:pStyle w:val="ParagraphContinued"/>
        <w:rPr>
          <w:rFonts w:ascii="Times New Roman" w:hAnsi="Times New Roman"/>
          <w:szCs w:val="24"/>
        </w:rPr>
      </w:pPr>
      <w:r w:rsidRPr="00990D3B">
        <w:t xml:space="preserve">As required under </w:t>
      </w:r>
      <w:r w:rsidRPr="00990D3B" w:rsidR="001C7FC0">
        <w:t>42 C.F.R.</w:t>
      </w:r>
      <w:r w:rsidRPr="00990D3B">
        <w:t xml:space="preserve"> 438.10(c)(3)</w:t>
      </w:r>
      <w:r w:rsidRPr="00990D3B" w:rsidR="0013167D">
        <w:t xml:space="preserve"> and 438.364(c)(2)(i)</w:t>
      </w:r>
      <w:r w:rsidRPr="00990D3B">
        <w:t xml:space="preserve">, the </w:t>
      </w:r>
      <w:r w:rsidRPr="00990D3B" w:rsidR="00E51CD2">
        <w:t xml:space="preserve">state must post its finalized annual technical report(s) on </w:t>
      </w:r>
      <w:r w:rsidRPr="00990D3B">
        <w:t xml:space="preserve">its </w:t>
      </w:r>
      <w:r w:rsidRPr="00990D3B" w:rsidR="00E51CD2">
        <w:t>website by April 30th of each year</w:t>
      </w:r>
      <w:r w:rsidRPr="00990D3B" w:rsidR="0013167D">
        <w:t xml:space="preserve"> and notify CMS within 14 calendar days</w:t>
      </w:r>
      <w:r w:rsidRPr="00990D3B" w:rsidR="00FA21A5">
        <w:t xml:space="preserve"> of </w:t>
      </w:r>
      <w:r w:rsidRPr="00990D3B" w:rsidR="00E81AA1">
        <w:t xml:space="preserve">the </w:t>
      </w:r>
      <w:r w:rsidRPr="00990D3B" w:rsidR="00FA21A5">
        <w:t xml:space="preserve">posting by submitting the link to </w:t>
      </w:r>
      <w:r w:rsidRPr="00990D3B" w:rsidR="00E51CD2">
        <w:rPr>
          <w:rStyle w:val="Hyperlink"/>
        </w:rPr>
        <w:t>ManagedCareQualityTA@cms.hhs.gov</w:t>
      </w:r>
      <w:r w:rsidRPr="00990D3B" w:rsidR="00E51CD2">
        <w:t>.</w:t>
      </w:r>
      <w:r w:rsidRPr="00990D3B" w:rsidR="00E8069C">
        <w:t xml:space="preserve"> </w:t>
      </w:r>
      <w:r w:rsidRPr="00990D3B" w:rsidR="00E81AA1">
        <w:rPr>
          <w:rFonts w:ascii="Times New Roman" w:hAnsi="Times New Roman"/>
          <w:szCs w:val="24"/>
        </w:rPr>
        <w:t xml:space="preserve">All reports containing the required information to support compliance with EQR requirements must be submitted and posted by the deadline. </w:t>
      </w:r>
      <w:r w:rsidRPr="00990D3B" w:rsidR="000E2001">
        <w:rPr>
          <w:rFonts w:ascii="Times New Roman" w:hAnsi="Times New Roman"/>
          <w:szCs w:val="24"/>
        </w:rPr>
        <w:t xml:space="preserve">States must maintain at least the previous 5 years of EQR technical reports on the state’s website as required under 42 C.F.R. 438.364(c)(2)(iii). </w:t>
      </w:r>
    </w:p>
    <w:p w:rsidR="0082731A" w:rsidRPr="00990D3B" w:rsidP="00B91C6E" w14:paraId="767768F5" w14:textId="313ED84E">
      <w:pPr>
        <w:pStyle w:val="H1"/>
      </w:pPr>
      <w:bookmarkStart w:id="80" w:name="_Toc183005561"/>
      <w:bookmarkStart w:id="81" w:name="_Toc201751332"/>
      <w:r w:rsidRPr="00990D3B">
        <w:t>Getting Started on the EQR Protocols</w:t>
      </w:r>
      <w:bookmarkEnd w:id="75"/>
      <w:bookmarkEnd w:id="76"/>
      <w:bookmarkEnd w:id="77"/>
      <w:bookmarkEnd w:id="80"/>
      <w:bookmarkEnd w:id="81"/>
    </w:p>
    <w:p w:rsidR="00A340C6" w:rsidRPr="00990D3B" w:rsidP="00D7596D" w14:paraId="350CC46C" w14:textId="7069CAED">
      <w:pPr>
        <w:pStyle w:val="ParagraphContinued"/>
      </w:pPr>
      <w:r w:rsidRPr="00990D3B">
        <w:rPr>
          <w:noProof/>
        </w:rPr>
        <mc:AlternateContent>
          <mc:Choice Requires="wps">
            <w:drawing>
              <wp:anchor distT="118745" distB="118745" distL="114300" distR="114300" simplePos="0" relativeHeight="251926528" behindDoc="0" locked="0" layoutInCell="1" allowOverlap="1">
                <wp:simplePos x="0" y="0"/>
                <wp:positionH relativeFrom="margin">
                  <wp:posOffset>3943985</wp:posOffset>
                </wp:positionH>
                <wp:positionV relativeFrom="paragraph">
                  <wp:posOffset>291465</wp:posOffset>
                </wp:positionV>
                <wp:extent cx="2075180" cy="1015365"/>
                <wp:effectExtent l="0" t="0" r="1270" b="0"/>
                <wp:wrapSquare wrapText="bothSides"/>
                <wp:docPr id="975502087" name="Rectangle: Diagonal Corners Snipped 221" descr="This box links to Appendix D for a list of acronyms used in the EQR Protocols. See Appendix E for a glossary of terms. "/>
                <wp:cNvGraphicFramePr/>
                <a:graphic xmlns:a="http://schemas.openxmlformats.org/drawingml/2006/main">
                  <a:graphicData uri="http://schemas.microsoft.com/office/word/2010/wordprocessingShape">
                    <wps:wsp xmlns:wps="http://schemas.microsoft.com/office/word/2010/wordprocessingShape">
                      <wps:cNvSpPr/>
                      <wps:spPr>
                        <a:xfrm flipH="1">
                          <a:off x="0" y="0"/>
                          <a:ext cx="2075180" cy="1015365"/>
                        </a:xfrm>
                        <a:prstGeom prst="snip2DiagRect">
                          <a:avLst>
                            <a:gd name="adj1" fmla="val 0"/>
                            <a:gd name="adj2" fmla="val 9033"/>
                          </a:avLst>
                        </a:prstGeom>
                        <a:solidFill>
                          <a:schemeClr val="accent3">
                            <a:lumMod val="90000"/>
                          </a:schemeClr>
                        </a:solidFill>
                        <a:ln>
                          <a:solidFill>
                            <a:schemeClr val="accent3">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F5226" w:rsidRPr="0071375D" w:rsidP="009F5226" w14:textId="77777777">
                            <w:pPr>
                              <w:pStyle w:val="Quote"/>
                              <w:rPr>
                                <w:b/>
                                <w:bCs/>
                              </w:rPr>
                            </w:pPr>
                            <w:r w:rsidRPr="00CB27ED">
                              <w:rPr>
                                <w:b/>
                                <w:bCs/>
                              </w:rPr>
                              <w:t>Acronyms and Glossary</w:t>
                            </w:r>
                            <w:r w:rsidRPr="0071375D">
                              <w:rPr>
                                <w:b/>
                                <w:bCs/>
                              </w:rPr>
                              <w:t xml:space="preserve"> </w:t>
                            </w:r>
                          </w:p>
                          <w:p w:rsidR="009F5226" w:rsidRPr="006255D9" w:rsidP="009F5226" w14:textId="619BCE4C">
                            <w:pPr>
                              <w:pStyle w:val="Quote"/>
                              <w:rPr>
                                <w:rFonts w:cstheme="majorHAnsi"/>
                              </w:rPr>
                            </w:pPr>
                            <w:r w:rsidRPr="0071375D">
                              <w:rPr>
                                <w:rFonts w:cstheme="majorHAnsi"/>
                              </w:rPr>
                              <w:t xml:space="preserve">See </w:t>
                            </w:r>
                            <w:hyperlink w:anchor="AppD" w:tooltip="Appendix D" w:history="1">
                              <w:r w:rsidRPr="00106EFB" w:rsidR="00CF5AB3">
                                <w:rPr>
                                  <w:rStyle w:val="Hyperlink"/>
                                  <w:b/>
                                  <w:bCs/>
                                </w:rPr>
                                <w:t xml:space="preserve">Appendix </w:t>
                              </w:r>
                              <w:r w:rsidRPr="00106EFB" w:rsidR="00CB0D1B">
                                <w:rPr>
                                  <w:rStyle w:val="Hyperlink"/>
                                  <w:b/>
                                  <w:bCs/>
                                </w:rPr>
                                <w:t>D</w:t>
                              </w:r>
                            </w:hyperlink>
                            <w:r w:rsidRPr="0071375D">
                              <w:rPr>
                                <w:rFonts w:cstheme="majorHAnsi"/>
                              </w:rPr>
                              <w:t xml:space="preserve"> for a list of acronyms used in the EQR Protocols. See </w:t>
                            </w:r>
                            <w:hyperlink w:anchor="AppE" w:tooltip="Appendix E" w:history="1">
                              <w:r w:rsidRPr="00106EFB">
                                <w:rPr>
                                  <w:rStyle w:val="Hyperlink"/>
                                  <w:b/>
                                  <w:bCs/>
                                </w:rPr>
                                <w:t xml:space="preserve">Appendix </w:t>
                              </w:r>
                              <w:r w:rsidRPr="00106EFB" w:rsidR="00CB0D1B">
                                <w:rPr>
                                  <w:rStyle w:val="Hyperlink"/>
                                  <w:rFonts w:cstheme="majorHAnsi"/>
                                  <w:b/>
                                  <w:bCs/>
                                </w:rPr>
                                <w:t>E</w:t>
                              </w:r>
                            </w:hyperlink>
                            <w:r w:rsidRPr="0071375D">
                              <w:rPr>
                                <w:rFonts w:cstheme="majorHAnsi"/>
                              </w:rPr>
                              <w:t xml:space="preserve"> for a glossary of terms.</w:t>
                            </w:r>
                            <w:r w:rsidRPr="006255D9">
                              <w:rPr>
                                <w:rFonts w:cstheme="majorHAnsi"/>
                              </w:rPr>
                              <w:t xml:space="preserve"> </w:t>
                            </w:r>
                          </w:p>
                        </w:txbxContent>
                      </wps:txbx>
                      <wps:bodyPr rot="0" spcFirstLastPara="0" vertOverflow="overflow" horzOverflow="overflow" vert="horz" wrap="square" lIns="0" tIns="109728"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Rectangle: Diagonal Corners Snipped 221" o:spid="_x0000_s1047" alt="This box links to Appendix D for a list of acronyms used in the EQR Protocols. See Appendix E for a glossary of terms. " style="width:163.4pt;height:79.95pt;margin-top:22.95pt;margin-left:310.55pt;flip:x;mso-height-percent:0;mso-height-relative:margin;mso-position-horizontal-relative:margin;mso-width-percent:0;mso-width-relative:margin;mso-wrap-distance-bottom:9.35pt;mso-wrap-distance-left:9pt;mso-wrap-distance-right:9pt;mso-wrap-distance-top:9.35pt;mso-wrap-style:square;position:absolute;visibility:visible;v-text-anchor:top;z-index:251927552" coordsize="2075180,1015365" o:spt="100" adj="-11796480,,5400" path="m,l1983462,l2075180,91718l2075180,1015365l2075180,1015365l91718,1015365,,923647,,xe" fillcolor="#b0d4d9" strokecolor="#b0d4d9" strokeweight="1pt">
                <v:stroke joinstyle="miter"/>
                <v:formulas/>
                <v:path arrowok="t" o:connecttype="custom" o:connectlocs="0,0;1983462,0;2075180,91718;2075180,1015365;2075180,1015365;91718,1015365;0,923647;0,0" o:connectangles="0,0,0,0,0,0,0,0" textboxrect="0,0,2075180,1015365"/>
                <v:textbox style="mso-fit-shape-to-text:t" inset="0,8.64pt,0,0">
                  <w:txbxContent>
                    <w:p w:rsidR="009F5226" w:rsidRPr="0071375D" w:rsidP="009F5226" w14:paraId="5957079C" w14:textId="77777777">
                      <w:pPr>
                        <w:pStyle w:val="Quote"/>
                        <w:rPr>
                          <w:b/>
                          <w:bCs/>
                        </w:rPr>
                      </w:pPr>
                      <w:r w:rsidRPr="00CB27ED">
                        <w:rPr>
                          <w:b/>
                          <w:bCs/>
                        </w:rPr>
                        <w:t>Acronyms and Glossary</w:t>
                      </w:r>
                      <w:r w:rsidRPr="0071375D">
                        <w:rPr>
                          <w:b/>
                          <w:bCs/>
                        </w:rPr>
                        <w:t xml:space="preserve"> </w:t>
                      </w:r>
                    </w:p>
                    <w:p w:rsidR="009F5226" w:rsidRPr="006255D9" w:rsidP="009F5226" w14:paraId="7ACBDC23" w14:textId="619BCE4C">
                      <w:pPr>
                        <w:pStyle w:val="Quote"/>
                        <w:rPr>
                          <w:rFonts w:cstheme="majorHAnsi"/>
                        </w:rPr>
                      </w:pPr>
                      <w:r w:rsidRPr="0071375D">
                        <w:rPr>
                          <w:rFonts w:cstheme="majorHAnsi"/>
                        </w:rPr>
                        <w:t xml:space="preserve">See </w:t>
                      </w:r>
                      <w:hyperlink w:anchor="AppD" w:tooltip="Appendix D" w:history="1">
                        <w:r w:rsidRPr="00106EFB" w:rsidR="00CF5AB3">
                          <w:rPr>
                            <w:rStyle w:val="Hyperlink"/>
                            <w:b/>
                            <w:bCs/>
                          </w:rPr>
                          <w:t xml:space="preserve">Appendix </w:t>
                        </w:r>
                        <w:r w:rsidRPr="00106EFB" w:rsidR="00CB0D1B">
                          <w:rPr>
                            <w:rStyle w:val="Hyperlink"/>
                            <w:b/>
                            <w:bCs/>
                          </w:rPr>
                          <w:t>D</w:t>
                        </w:r>
                      </w:hyperlink>
                      <w:r w:rsidRPr="0071375D">
                        <w:rPr>
                          <w:rFonts w:cstheme="majorHAnsi"/>
                        </w:rPr>
                        <w:t xml:space="preserve"> for a list of acronyms used in the EQR Protocols. See </w:t>
                      </w:r>
                      <w:hyperlink w:anchor="AppE" w:tooltip="Appendix E" w:history="1">
                        <w:r w:rsidRPr="00106EFB">
                          <w:rPr>
                            <w:rStyle w:val="Hyperlink"/>
                            <w:b/>
                            <w:bCs/>
                          </w:rPr>
                          <w:t xml:space="preserve">Appendix </w:t>
                        </w:r>
                        <w:r w:rsidRPr="00106EFB" w:rsidR="00CB0D1B">
                          <w:rPr>
                            <w:rStyle w:val="Hyperlink"/>
                            <w:rFonts w:cstheme="majorHAnsi"/>
                            <w:b/>
                            <w:bCs/>
                          </w:rPr>
                          <w:t>E</w:t>
                        </w:r>
                      </w:hyperlink>
                      <w:r w:rsidRPr="0071375D">
                        <w:rPr>
                          <w:rFonts w:cstheme="majorHAnsi"/>
                        </w:rPr>
                        <w:t xml:space="preserve"> for a glossary of terms.</w:t>
                      </w:r>
                      <w:r w:rsidRPr="006255D9">
                        <w:rPr>
                          <w:rFonts w:cstheme="majorHAnsi"/>
                        </w:rPr>
                        <w:t xml:space="preserve"> </w:t>
                      </w:r>
                    </w:p>
                  </w:txbxContent>
                </v:textbox>
                <w10:wrap type="square"/>
              </v:shape>
            </w:pict>
          </mc:Fallback>
        </mc:AlternateContent>
      </w:r>
      <w:r w:rsidRPr="00990D3B" w:rsidR="002A4FF9">
        <w:t>T</w:t>
      </w:r>
      <w:r w:rsidRPr="00990D3B" w:rsidR="0082731A">
        <w:t xml:space="preserve">he protocols in this document are designed to </w:t>
      </w:r>
      <w:r w:rsidRPr="00990D3B" w:rsidR="00924A2A">
        <w:t xml:space="preserve">support the completion of the EQR-related activities, which in turn </w:t>
      </w:r>
      <w:r w:rsidRPr="00990D3B" w:rsidR="002A4FF9">
        <w:t>help</w:t>
      </w:r>
      <w:r w:rsidRPr="00990D3B" w:rsidR="0082731A">
        <w:t xml:space="preserve"> the state meet the requirement to conduct an </w:t>
      </w:r>
      <w:r w:rsidRPr="00990D3B">
        <w:t xml:space="preserve">annual </w:t>
      </w:r>
      <w:r w:rsidRPr="00990D3B" w:rsidR="0082731A">
        <w:t xml:space="preserve">EQR of its MCPs and </w:t>
      </w:r>
      <w:r w:rsidRPr="00990D3B" w:rsidR="002A4FF9">
        <w:t xml:space="preserve">help </w:t>
      </w:r>
      <w:r w:rsidRPr="00990D3B" w:rsidR="0082731A">
        <w:t>contracted EQROs meet the requirements of producing an annual EQR technical report. If a state prefers to use methods consistent with but not identical to these protocols to conduct EQR</w:t>
      </w:r>
      <w:r w:rsidRPr="00990D3B" w:rsidR="00924A2A">
        <w:t>-related activities</w:t>
      </w:r>
      <w:r w:rsidRPr="00990D3B" w:rsidR="0082731A">
        <w:t xml:space="preserve">, the state is encouraged to discuss the alternative methods with CMS before implementation to </w:t>
      </w:r>
      <w:r w:rsidRPr="00990D3B" w:rsidR="006255D9">
        <w:t xml:space="preserve">ensure </w:t>
      </w:r>
      <w:r w:rsidRPr="00990D3B" w:rsidR="0082731A">
        <w:t xml:space="preserve">the methods meet regulatory </w:t>
      </w:r>
      <w:r w:rsidRPr="00990D3B" w:rsidR="00924A2A">
        <w:t>standards</w:t>
      </w:r>
      <w:r w:rsidRPr="00990D3B" w:rsidR="0082731A">
        <w:t xml:space="preserve">. </w:t>
      </w:r>
      <w:r w:rsidRPr="00990D3B">
        <w:t xml:space="preserve">These protocols replace the 2023 EQR Protocols. </w:t>
      </w:r>
    </w:p>
    <w:p w:rsidR="002A4FF9" w:rsidRPr="00990D3B" w:rsidP="00BD1FC3" w14:paraId="6B34B413" w14:textId="3AC1BA16">
      <w:pPr>
        <w:pStyle w:val="Paragraph0"/>
      </w:pPr>
      <w:r w:rsidRPr="00990D3B">
        <w:t>Use the “Go Now!” buttons to navigate to the individual protocols and the appendices.</w:t>
      </w:r>
    </w:p>
    <w:p w:rsidR="0082731A" w:rsidRPr="00990D3B" w:rsidP="00BD1FC3" w14:paraId="57F3492A" w14:textId="1D676909">
      <w:pPr>
        <w:pStyle w:val="EQRFigure"/>
      </w:pPr>
      <w:r w:rsidRPr="00990D3B">
        <w:drawing>
          <wp:inline distT="0" distB="0" distL="0" distR="0">
            <wp:extent cx="5117602" cy="1197866"/>
            <wp:effectExtent l="0" t="0" r="6985" b="2540"/>
            <wp:docPr id="677" name="Picture 677" descr="TIP: Use the go now! buttons to navigate to EQR protocols and appendices. An image of  a sample go now! button is included to the right of the TIP. Buttons are blue circles that contain a single number 1 through 9 or single letter A through D. Numbers represent Protocols and letters represent Append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Picture 677" descr="TIP: Use the go now! buttons to navigate to EQR protocols and appendices. An image of  a sample go now! button is included to the right of the TIP. Buttons are blue circles that contain a single number 1 through 9 or single letter A through D. Numbers represent Protocols and letters represent Appendices."/>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117602" cy="1197866"/>
                    </a:xfrm>
                    <a:prstGeom prst="rect">
                      <a:avLst/>
                    </a:prstGeom>
                  </pic:spPr>
                </pic:pic>
              </a:graphicData>
            </a:graphic>
          </wp:inline>
        </w:drawing>
      </w:r>
    </w:p>
    <w:p w:rsidR="009F5226" w:rsidRPr="00990D3B" w:rsidP="00BD1FC3" w14:paraId="49329A35" w14:textId="4C8F149D">
      <w:pPr>
        <w:pStyle w:val="Paragraph0"/>
      </w:pPr>
      <w:r w:rsidRPr="00990D3B">
        <w:t xml:space="preserve">If you have any questions related to the EQR protocols or </w:t>
      </w:r>
      <w:r w:rsidRPr="00990D3B" w:rsidR="006255D9">
        <w:t xml:space="preserve">would like to discuss </w:t>
      </w:r>
      <w:r w:rsidRPr="00990D3B">
        <w:t>alternative methods, please contact CMS via the TA mailbox</w:t>
      </w:r>
      <w:r w:rsidRPr="00990D3B" w:rsidR="006255D9">
        <w:t xml:space="preserve"> at</w:t>
      </w:r>
      <w:r w:rsidRPr="00990D3B">
        <w:t xml:space="preserve"> </w:t>
      </w:r>
      <w:hyperlink r:id="rId62" w:history="1">
        <w:r w:rsidRPr="00990D3B" w:rsidR="00FB2078">
          <w:rPr>
            <w:rStyle w:val="Hyperlink"/>
          </w:rPr>
          <w:t>ManagedCareQualityTA@cms.hhs.gov</w:t>
        </w:r>
      </w:hyperlink>
      <w:r w:rsidRPr="00990D3B" w:rsidR="00FB2078">
        <w:t>.</w:t>
      </w:r>
    </w:p>
    <w:p w:rsidR="0082731A" w:rsidRPr="00990D3B" w:rsidP="00BD1FC3" w14:paraId="54A6B42E" w14:textId="77777777">
      <w:pPr>
        <w:pStyle w:val="Paragraph0"/>
      </w:pPr>
      <w:r w:rsidRPr="00990D3B">
        <w:br w:type="page"/>
      </w:r>
    </w:p>
    <w:p w:rsidR="00F11BD9" w:rsidRPr="00990D3B" w:rsidP="00BD1FC3" w14:paraId="3AFBB8D0" w14:textId="7212C1EE">
      <w:pPr>
        <w:pStyle w:val="H2"/>
      </w:pPr>
      <w:bookmarkStart w:id="82" w:name="_Toc183005562"/>
      <w:bookmarkStart w:id="83" w:name="_Toc201751333"/>
      <w:r w:rsidRPr="00990D3B">
        <w:t>Mandatory EQR-Related Activities</w:t>
      </w:r>
      <w:bookmarkEnd w:id="82"/>
      <w:bookmarkEnd w:id="83"/>
    </w:p>
    <w:p w:rsidR="00A93C95" w:rsidRPr="00990D3B" w:rsidP="00BD1FC3" w14:paraId="21D842B9" w14:textId="1A454AD8">
      <w:pPr>
        <w:pStyle w:val="TOC1Headingblock"/>
        <w:tabs>
          <w:tab w:val="right" w:pos="8550"/>
        </w:tabs>
        <w:spacing w:before="0"/>
      </w:pPr>
      <w:r w:rsidRPr="00990D3B">
        <w:rPr>
          <w:noProof/>
        </w:rPr>
        <w:drawing>
          <wp:anchor distT="0" distB="0" distL="114300" distR="114300" simplePos="0" relativeHeight="251658240" behindDoc="0" locked="1" layoutInCell="1" allowOverlap="1">
            <wp:simplePos x="0" y="0"/>
            <wp:positionH relativeFrom="column">
              <wp:posOffset>5486400</wp:posOffset>
            </wp:positionH>
            <wp:positionV relativeFrom="paragraph">
              <wp:posOffset>-146050</wp:posOffset>
            </wp:positionV>
            <wp:extent cx="595044" cy="640080"/>
            <wp:effectExtent l="0" t="0" r="0" b="7620"/>
            <wp:wrapNone/>
            <wp:docPr id="14" name="Picture 14" descr="Go now - protocol 1">
              <a:hlinkClick xmlns:a="http://schemas.openxmlformats.org/drawingml/2006/main" xmlns:r="http://schemas.openxmlformats.org/officeDocument/2006/relationships" r:id="rId63" tooltip="This is the go now! button for Protocol 1. Click on the image to navigate to the Protocol 1 section within this docum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 now - protocol 1">
                      <a:hlinkClick xmlns:a="http://schemas.openxmlformats.org/drawingml/2006/main" xmlns:r="http://schemas.openxmlformats.org/officeDocument/2006/relationships" r:id="rId63" tooltip="This is the go now! button for Protocol 1. Click on the image to navigate to the Protocol 1 section within this document."/>
                    </pic:cNvPr>
                    <pic:cNvPicPr/>
                  </pic:nvPicPr>
                  <pic:blipFill>
                    <a:blip xmlns:r="http://schemas.openxmlformats.org/officeDocument/2006/relationships" r:embed="rId6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5044" cy="640080"/>
                    </a:xfrm>
                    <a:prstGeom prst="rect">
                      <a:avLst/>
                    </a:prstGeom>
                  </pic:spPr>
                </pic:pic>
              </a:graphicData>
            </a:graphic>
            <wp14:sizeRelH relativeFrom="page">
              <wp14:pctWidth>0</wp14:pctWidth>
            </wp14:sizeRelH>
            <wp14:sizeRelV relativeFrom="page">
              <wp14:pctHeight>0</wp14:pctHeight>
            </wp14:sizeRelV>
          </wp:anchor>
        </w:drawing>
      </w:r>
      <w:r w:rsidRPr="00990D3B" w:rsidR="00D53ACA">
        <w:t xml:space="preserve">Protocol 1 – </w:t>
      </w:r>
      <w:r w:rsidRPr="00990D3B" w:rsidR="00D90626">
        <w:t xml:space="preserve">Validation of Performance Improvement Projects </w:t>
      </w:r>
      <w:r w:rsidRPr="00990D3B" w:rsidR="00C06798">
        <w:tab/>
        <w:t xml:space="preserve">Page </w:t>
      </w:r>
      <w:r w:rsidRPr="00990D3B" w:rsidR="005E5386">
        <w:t>3</w:t>
      </w:r>
      <w:r w:rsidR="00A067BE">
        <w:t>3</w:t>
      </w:r>
    </w:p>
    <w:p w:rsidR="006255D9" w:rsidRPr="00990D3B" w:rsidP="00C729CB" w14:paraId="2CC0461F" w14:textId="72E4471A">
      <w:pPr>
        <w:pStyle w:val="ParagraphContinued"/>
      </w:pPr>
      <w:r w:rsidRPr="00990D3B">
        <w:t xml:space="preserve">As part of their QAPI programs, </w:t>
      </w:r>
      <w:r w:rsidRPr="00990D3B" w:rsidR="00D90626">
        <w:t>MCPs are required to implement</w:t>
      </w:r>
      <w:r w:rsidRPr="00990D3B" w:rsidR="00A32E2B">
        <w:t xml:space="preserve"> PIP</w:t>
      </w:r>
      <w:r w:rsidRPr="00990D3B" w:rsidR="008771B5">
        <w:t>s</w:t>
      </w:r>
      <w:r w:rsidRPr="00990D3B" w:rsidR="00A32E2B">
        <w:t xml:space="preserve"> that focus on both</w:t>
      </w:r>
      <w:r w:rsidRPr="00990D3B" w:rsidR="00D90626">
        <w:t xml:space="preserve"> clinical and non-clinical </w:t>
      </w:r>
      <w:r w:rsidRPr="00990D3B" w:rsidR="00A32E2B">
        <w:t>aspects of care</w:t>
      </w:r>
      <w:r w:rsidRPr="00990D3B" w:rsidR="00970D8B">
        <w:t xml:space="preserve"> (</w:t>
      </w:r>
      <w:r w:rsidRPr="00990D3B" w:rsidR="00970D8B">
        <w:rPr>
          <w:bCs/>
          <w:szCs w:val="22"/>
        </w:rPr>
        <w:t xml:space="preserve">42 C.F.R. </w:t>
      </w:r>
      <w:r w:rsidRPr="00990D3B" w:rsidR="00970D8B">
        <w:rPr>
          <w:szCs w:val="22"/>
        </w:rPr>
        <w:t>438.358(b)(i))</w:t>
      </w:r>
      <w:r w:rsidRPr="00990D3B" w:rsidR="00D90626">
        <w:t xml:space="preserve">. </w:t>
      </w:r>
      <w:hyperlink w:anchor="Protocol1" w:tooltip="Protocol 1" w:history="1">
        <w:r w:rsidRPr="00990D3B" w:rsidR="00D90626">
          <w:rPr>
            <w:rStyle w:val="Hyperlink"/>
          </w:rPr>
          <w:t>Protocol 1</w:t>
        </w:r>
      </w:hyperlink>
      <w:r w:rsidRPr="00990D3B" w:rsidR="00D90626">
        <w:t xml:space="preserve"> specifies procedures for EQROs </w:t>
      </w:r>
      <w:r w:rsidRPr="00990D3B">
        <w:t>to</w:t>
      </w:r>
      <w:r w:rsidRPr="00990D3B">
        <w:t>:</w:t>
      </w:r>
    </w:p>
    <w:p w:rsidR="006255D9" w:rsidRPr="00990D3B" w:rsidP="00FB7CAF" w14:paraId="3F7FCB6C" w14:textId="1F62A85E">
      <w:pPr>
        <w:pStyle w:val="EQRBulletBLUE"/>
      </w:pPr>
      <w:r w:rsidRPr="00990D3B">
        <w:t xml:space="preserve">Assess </w:t>
      </w:r>
      <w:r w:rsidRPr="00990D3B" w:rsidR="00970D8B">
        <w:t>and provid</w:t>
      </w:r>
      <w:r w:rsidRPr="00990D3B" w:rsidR="00DA6D05">
        <w:t>e</w:t>
      </w:r>
      <w:r w:rsidRPr="00990D3B" w:rsidR="00970D8B">
        <w:t xml:space="preserve"> a validation score for the</w:t>
      </w:r>
      <w:r w:rsidRPr="00990D3B">
        <w:t xml:space="preserve"> </w:t>
      </w:r>
      <w:r w:rsidRPr="00990D3B" w:rsidR="00970D8B">
        <w:t xml:space="preserve">PIP’s methodology and the validity and reliability of the PIP data. </w:t>
      </w:r>
    </w:p>
    <w:p w:rsidR="00644EA6" w:rsidRPr="00990D3B" w:rsidP="00FB7CAF" w14:paraId="0F974466" w14:textId="46DCA2C7">
      <w:pPr>
        <w:pStyle w:val="EQRBulletBLUE"/>
      </w:pPr>
      <w:r w:rsidRPr="00990D3B">
        <w:t>A</w:t>
      </w:r>
      <w:r w:rsidRPr="00990D3B" w:rsidR="00D90626">
        <w:t xml:space="preserve">ssess </w:t>
      </w:r>
      <w:r w:rsidRPr="00990D3B" w:rsidR="00B5340B">
        <w:t>and provid</w:t>
      </w:r>
      <w:r w:rsidRPr="00990D3B" w:rsidR="00DA6D05">
        <w:t>e</w:t>
      </w:r>
      <w:r w:rsidRPr="00990D3B" w:rsidR="00B5340B">
        <w:t xml:space="preserve"> a validation score of the PIP’s improvement strategies. </w:t>
      </w:r>
    </w:p>
    <w:p w:rsidR="00A93C95" w:rsidRPr="00990D3B" w:rsidP="00BD1FC3" w14:paraId="2E5555D0" w14:textId="0C6909F3">
      <w:pPr>
        <w:pStyle w:val="TOC1Headingblock"/>
        <w:tabs>
          <w:tab w:val="right" w:pos="8550"/>
        </w:tabs>
        <w:spacing w:before="0"/>
      </w:pPr>
      <w:r w:rsidRPr="00990D3B">
        <w:rPr>
          <w:noProof/>
        </w:rPr>
        <w:drawing>
          <wp:anchor distT="0" distB="0" distL="114300" distR="114300" simplePos="0" relativeHeight="251660288" behindDoc="0" locked="1" layoutInCell="1" allowOverlap="1">
            <wp:simplePos x="0" y="0"/>
            <wp:positionH relativeFrom="column">
              <wp:posOffset>5486400</wp:posOffset>
            </wp:positionH>
            <wp:positionV relativeFrom="paragraph">
              <wp:posOffset>-146050</wp:posOffset>
            </wp:positionV>
            <wp:extent cx="603504" cy="644281"/>
            <wp:effectExtent l="0" t="0" r="6350" b="3810"/>
            <wp:wrapNone/>
            <wp:docPr id="20" name="Picture 20" descr="Go now - protocol 2">
              <a:hlinkClick xmlns:a="http://schemas.openxmlformats.org/drawingml/2006/main" xmlns:r="http://schemas.openxmlformats.org/officeDocument/2006/relationships" r:id="rId65" tooltip="This is the go now! button for Protocol 2. Click on the image to navigate to the Protocol 2 section within this docum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o now - protocol 2">
                      <a:hlinkClick xmlns:a="http://schemas.openxmlformats.org/drawingml/2006/main" xmlns:r="http://schemas.openxmlformats.org/officeDocument/2006/relationships" r:id="rId65" tooltip="This is the go now! button for Protocol 2. Click on the image to navigate to the Protocol 2 section within this document."/>
                    </pic:cNvPr>
                    <pic:cNvPicPr/>
                  </pic:nvPicPr>
                  <pic:blipFill>
                    <a:blip xmlns:r="http://schemas.openxmlformats.org/officeDocument/2006/relationships" r:embed="rId66"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3504" cy="644281"/>
                    </a:xfrm>
                    <a:prstGeom prst="rect">
                      <a:avLst/>
                    </a:prstGeom>
                  </pic:spPr>
                </pic:pic>
              </a:graphicData>
            </a:graphic>
            <wp14:sizeRelH relativeFrom="margin">
              <wp14:pctWidth>0</wp14:pctWidth>
            </wp14:sizeRelH>
            <wp14:sizeRelV relativeFrom="margin">
              <wp14:pctHeight>0</wp14:pctHeight>
            </wp14:sizeRelV>
          </wp:anchor>
        </w:drawing>
      </w:r>
      <w:r w:rsidRPr="00990D3B">
        <w:t xml:space="preserve">Protocol 2 </w:t>
      </w:r>
      <w:r w:rsidRPr="00990D3B" w:rsidR="00BF17DC">
        <w:t xml:space="preserve">– Validation of Performance Measures </w:t>
      </w:r>
      <w:r w:rsidRPr="00990D3B" w:rsidR="00C06798">
        <w:tab/>
        <w:t xml:space="preserve">Page </w:t>
      </w:r>
      <w:r w:rsidRPr="00990D3B" w:rsidR="0027168C">
        <w:t>7</w:t>
      </w:r>
      <w:r w:rsidR="00A067BE">
        <w:t>4</w:t>
      </w:r>
    </w:p>
    <w:p w:rsidR="006509F0" w:rsidRPr="00990D3B" w:rsidP="00C729CB" w14:paraId="23C712A6" w14:textId="39C49B75">
      <w:pPr>
        <w:pStyle w:val="ParagraphContinued"/>
        <w:rPr>
          <w:rFonts w:eastAsia="Calibri"/>
        </w:rPr>
      </w:pPr>
      <w:r w:rsidRPr="00990D3B">
        <w:rPr>
          <w:rFonts w:eastAsia="Calibri"/>
        </w:rPr>
        <w:t xml:space="preserve">As part of their QAPI programs, </w:t>
      </w:r>
      <w:r w:rsidRPr="00990D3B" w:rsidR="00A32E2B">
        <w:rPr>
          <w:rFonts w:eastAsia="Calibri"/>
        </w:rPr>
        <w:t xml:space="preserve">MCPs must report standard performance measures specified by the state. </w:t>
      </w:r>
      <w:r w:rsidRPr="00990D3B">
        <w:rPr>
          <w:rFonts w:eastAsia="Calibri"/>
        </w:rPr>
        <w:t xml:space="preserve">The state must provide </w:t>
      </w:r>
      <w:r w:rsidRPr="00990D3B">
        <w:rPr>
          <w:rFonts w:eastAsia="Calibri"/>
        </w:rPr>
        <w:t xml:space="preserve">the </w:t>
      </w:r>
      <w:r w:rsidRPr="00990D3B" w:rsidR="006255D9">
        <w:rPr>
          <w:rFonts w:eastAsia="Calibri"/>
        </w:rPr>
        <w:t>performance</w:t>
      </w:r>
      <w:r w:rsidRPr="00990D3B" w:rsidR="006255D9">
        <w:rPr>
          <w:rFonts w:eastAsia="Calibri"/>
        </w:rPr>
        <w:t xml:space="preserve"> measures that must be calculated to the </w:t>
      </w:r>
      <w:r w:rsidRPr="00990D3B">
        <w:rPr>
          <w:rFonts w:eastAsia="Calibri"/>
        </w:rPr>
        <w:t xml:space="preserve">EQRO </w:t>
      </w:r>
      <w:r w:rsidRPr="00990D3B" w:rsidR="006255D9">
        <w:rPr>
          <w:rFonts w:eastAsia="Calibri"/>
        </w:rPr>
        <w:t xml:space="preserve">and </w:t>
      </w:r>
      <w:r w:rsidRPr="00990D3B">
        <w:rPr>
          <w:rFonts w:eastAsia="Calibri"/>
        </w:rPr>
        <w:t>MCP</w:t>
      </w:r>
      <w:r w:rsidRPr="00990D3B" w:rsidR="0092626F">
        <w:rPr>
          <w:rFonts w:eastAsia="Calibri"/>
        </w:rPr>
        <w:t>,</w:t>
      </w:r>
      <w:r w:rsidRPr="00990D3B" w:rsidR="006255D9">
        <w:rPr>
          <w:rFonts w:eastAsia="Calibri"/>
        </w:rPr>
        <w:t xml:space="preserve"> along with </w:t>
      </w:r>
      <w:r w:rsidRPr="00990D3B">
        <w:rPr>
          <w:rFonts w:eastAsia="Calibri"/>
        </w:rPr>
        <w:t>the specifications for the measures</w:t>
      </w:r>
      <w:r w:rsidRPr="00990D3B" w:rsidR="006255D9">
        <w:rPr>
          <w:rFonts w:eastAsia="Calibri"/>
        </w:rPr>
        <w:t xml:space="preserve"> </w:t>
      </w:r>
      <w:r w:rsidRPr="00990D3B">
        <w:rPr>
          <w:rFonts w:eastAsia="Calibri"/>
        </w:rPr>
        <w:t>and the state</w:t>
      </w:r>
      <w:r w:rsidRPr="00990D3B" w:rsidR="006255D9">
        <w:rPr>
          <w:rFonts w:eastAsia="Calibri"/>
        </w:rPr>
        <w:t xml:space="preserve">’s </w:t>
      </w:r>
      <w:r w:rsidRPr="00990D3B">
        <w:rPr>
          <w:rFonts w:eastAsia="Calibri"/>
        </w:rPr>
        <w:t xml:space="preserve">reporting requirements. </w:t>
      </w:r>
      <w:hyperlink w:anchor="Protocol2" w:tooltip="Protocol 2" w:history="1">
        <w:r w:rsidRPr="00990D3B">
          <w:rPr>
            <w:rStyle w:val="Hyperlink"/>
            <w:rFonts w:eastAsia="Calibri"/>
          </w:rPr>
          <w:t>Protocol 2</w:t>
        </w:r>
      </w:hyperlink>
      <w:r w:rsidRPr="00990D3B">
        <w:rPr>
          <w:rFonts w:eastAsia="Calibri"/>
        </w:rPr>
        <w:t xml:space="preserve"> </w:t>
      </w:r>
      <w:r w:rsidRPr="00990D3B">
        <w:rPr>
          <w:rFonts w:eastAsia="Calibri"/>
        </w:rPr>
        <w:t xml:space="preserve">guides </w:t>
      </w:r>
      <w:r w:rsidRPr="00990D3B">
        <w:rPr>
          <w:rFonts w:eastAsia="Calibri"/>
        </w:rPr>
        <w:t xml:space="preserve">the EQRO </w:t>
      </w:r>
      <w:r w:rsidRPr="00990D3B">
        <w:rPr>
          <w:rFonts w:eastAsia="Calibri"/>
        </w:rPr>
        <w:t xml:space="preserve">on </w:t>
      </w:r>
      <w:r w:rsidRPr="00990D3B">
        <w:rPr>
          <w:rFonts w:eastAsia="Calibri"/>
        </w:rPr>
        <w:t>how to:</w:t>
      </w:r>
    </w:p>
    <w:p w:rsidR="006509F0" w:rsidRPr="00990D3B" w:rsidP="00FB7CAF" w14:paraId="27231F22" w14:textId="4D55533C">
      <w:pPr>
        <w:pStyle w:val="EQRBulletBLUE"/>
      </w:pPr>
      <w:r w:rsidRPr="00990D3B">
        <w:t>Evaluate the accuracy of the MCP</w:t>
      </w:r>
      <w:r w:rsidRPr="00990D3B" w:rsidR="007B2744">
        <w:t>-</w:t>
      </w:r>
      <w:r w:rsidRPr="00990D3B">
        <w:t>reported performance measures based on the measure specifications and state reporting requirements</w:t>
      </w:r>
      <w:r w:rsidRPr="00990D3B" w:rsidR="008B01AA">
        <w:t>.</w:t>
      </w:r>
    </w:p>
    <w:p w:rsidR="006509F0" w:rsidRPr="00990D3B" w:rsidP="00FB7CAF" w14:paraId="096E1101" w14:textId="76A2E16F">
      <w:pPr>
        <w:pStyle w:val="EQRBulletBLUE"/>
      </w:pPr>
      <w:r w:rsidRPr="00990D3B">
        <w:t xml:space="preserve">Evaluate if the MCP followed the rules outlined by the state </w:t>
      </w:r>
      <w:r w:rsidRPr="00990D3B" w:rsidR="00364658">
        <w:t xml:space="preserve">program </w:t>
      </w:r>
      <w:r w:rsidRPr="00990D3B">
        <w:t>for calculating the measur</w:t>
      </w:r>
      <w:r w:rsidRPr="00990D3B" w:rsidR="009D5E39">
        <w:t>es (</w:t>
      </w:r>
      <w:r w:rsidRPr="00990D3B" w:rsidR="001C7FC0">
        <w:t>42 C.F.R.</w:t>
      </w:r>
      <w:r w:rsidRPr="00990D3B" w:rsidR="007854DF">
        <w:t xml:space="preserve"> </w:t>
      </w:r>
      <w:r w:rsidRPr="00990D3B" w:rsidR="009D5E39">
        <w:t>438.358(b)(ii))</w:t>
      </w:r>
      <w:r w:rsidRPr="00990D3B" w:rsidR="008B01AA">
        <w:t>.</w:t>
      </w:r>
    </w:p>
    <w:p w:rsidR="009A0F15" w:rsidRPr="00990D3B" w:rsidP="00BD1FC3" w14:paraId="17843C67" w14:textId="19EB8CD5">
      <w:pPr>
        <w:pStyle w:val="ParagraphContinued"/>
      </w:pPr>
      <w:r w:rsidRPr="00990D3B">
        <w:t xml:space="preserve">This </w:t>
      </w:r>
      <w:r w:rsidRPr="00990D3B">
        <w:rPr>
          <w:rFonts w:eastAsia="Calibri"/>
        </w:rPr>
        <w:t>protocol</w:t>
      </w:r>
      <w:r w:rsidRPr="00990D3B">
        <w:t xml:space="preserve"> also applies when a state requires its MCPs to submit data to the state so that the state can calculate the standard performance measures</w:t>
      </w:r>
      <w:r w:rsidRPr="00990D3B" w:rsidR="00A54BF8">
        <w:t xml:space="preserve">. </w:t>
      </w:r>
    </w:p>
    <w:p w:rsidR="00A93C95" w:rsidRPr="00990D3B" w:rsidP="00D27C1F" w14:paraId="20C427D4" w14:textId="61D29B0A">
      <w:pPr>
        <w:pStyle w:val="TOC1Headingblock"/>
        <w:tabs>
          <w:tab w:val="right" w:pos="8550"/>
        </w:tabs>
        <w:spacing w:before="0"/>
      </w:pPr>
      <w:r w:rsidRPr="00990D3B">
        <w:rPr>
          <w:noProof/>
        </w:rPr>
        <w:drawing>
          <wp:anchor distT="0" distB="0" distL="114300" distR="114300" simplePos="0" relativeHeight="251659264" behindDoc="0" locked="1" layoutInCell="1" allowOverlap="1">
            <wp:simplePos x="0" y="0"/>
            <wp:positionH relativeFrom="column">
              <wp:posOffset>5486400</wp:posOffset>
            </wp:positionH>
            <wp:positionV relativeFrom="paragraph">
              <wp:posOffset>-40005</wp:posOffset>
            </wp:positionV>
            <wp:extent cx="599440" cy="640080"/>
            <wp:effectExtent l="0" t="0" r="0" b="7620"/>
            <wp:wrapNone/>
            <wp:docPr id="18" name="Picture 18" descr="Go now - protocol 3">
              <a:hlinkClick xmlns:a="http://schemas.openxmlformats.org/drawingml/2006/main" xmlns:r="http://schemas.openxmlformats.org/officeDocument/2006/relationships" r:id="rId67" tooltip="This is the go now! button for Protocol 3. Click on the image to navigate to the Protocol 3 section within this docum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o now - protocol 3">
                      <a:hlinkClick xmlns:a="http://schemas.openxmlformats.org/drawingml/2006/main" xmlns:r="http://schemas.openxmlformats.org/officeDocument/2006/relationships" r:id="rId67" tooltip="This is the go now! button for Protocol 3. Click on the image to navigate to the Protocol 3 section within this document."/>
                    </pic:cNvPr>
                    <pic:cNvPicPr/>
                  </pic:nvPicPr>
                  <pic:blipFill>
                    <a:blip xmlns:r="http://schemas.openxmlformats.org/officeDocument/2006/relationships" r:embed="rId68"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9440" cy="640080"/>
                    </a:xfrm>
                    <a:prstGeom prst="rect">
                      <a:avLst/>
                    </a:prstGeom>
                  </pic:spPr>
                </pic:pic>
              </a:graphicData>
            </a:graphic>
            <wp14:sizeRelH relativeFrom="margin">
              <wp14:pctWidth>0</wp14:pctWidth>
            </wp14:sizeRelH>
            <wp14:sizeRelV relativeFrom="margin">
              <wp14:pctHeight>0</wp14:pctHeight>
            </wp14:sizeRelV>
          </wp:anchor>
        </w:drawing>
      </w:r>
      <w:r w:rsidRPr="00990D3B">
        <w:t xml:space="preserve">Protocol 3 – </w:t>
      </w:r>
      <w:r w:rsidRPr="00990D3B" w:rsidR="00F25486">
        <w:t xml:space="preserve">Review </w:t>
      </w:r>
      <w:r w:rsidRPr="00990D3B" w:rsidR="00D90626">
        <w:t>of Compliance with Medicaid</w:t>
      </w:r>
      <w:r w:rsidRPr="00990D3B" w:rsidR="00646C64">
        <w:t xml:space="preserve"> and CHIP</w:t>
      </w:r>
      <w:r w:rsidRPr="00990D3B" w:rsidR="00D90626">
        <w:t xml:space="preserve"> </w:t>
      </w:r>
      <w:r w:rsidRPr="00990D3B" w:rsidR="00D90626">
        <w:br/>
        <w:t>Managed Care Regulations</w:t>
      </w:r>
      <w:r w:rsidRPr="00990D3B" w:rsidR="00EF6905">
        <w:tab/>
        <w:t>Page 1</w:t>
      </w:r>
      <w:r w:rsidRPr="00990D3B" w:rsidR="0027168C">
        <w:t>4</w:t>
      </w:r>
      <w:r w:rsidR="00641671">
        <w:t>5</w:t>
      </w:r>
    </w:p>
    <w:p w:rsidR="00D90626" w:rsidRPr="00990D3B" w:rsidP="00C729CB" w14:paraId="5032BDDB" w14:textId="4BE436B5">
      <w:pPr>
        <w:pStyle w:val="ParagraphContinued"/>
      </w:pPr>
      <w:r w:rsidRPr="00990D3B">
        <w:t xml:space="preserve">The </w:t>
      </w:r>
      <w:r w:rsidRPr="00990D3B" w:rsidR="00203181">
        <w:t xml:space="preserve">EQR </w:t>
      </w:r>
      <w:r w:rsidRPr="00990D3B">
        <w:t xml:space="preserve">is required to </w:t>
      </w:r>
      <w:r w:rsidRPr="00990D3B" w:rsidR="00203181">
        <w:t xml:space="preserve">include </w:t>
      </w:r>
      <w:r w:rsidRPr="00990D3B">
        <w:t xml:space="preserve">a compliance review of each MCP once in a </w:t>
      </w:r>
      <w:r w:rsidRPr="00990D3B" w:rsidR="00A340C6">
        <w:t xml:space="preserve">rolling </w:t>
      </w:r>
      <w:r w:rsidRPr="00990D3B">
        <w:t xml:space="preserve">3-year period. </w:t>
      </w:r>
      <w:hyperlink w:anchor="Protocol3" w:tooltip="Protocol 3" w:history="1">
        <w:r w:rsidRPr="00990D3B">
          <w:rPr>
            <w:rStyle w:val="Hyperlink"/>
          </w:rPr>
          <w:t>Protocol 3</w:t>
        </w:r>
      </w:hyperlink>
      <w:r w:rsidRPr="00990D3B">
        <w:t xml:space="preserve"> specifies procedures to determine the extent to which MCPs comply with </w:t>
      </w:r>
      <w:r w:rsidRPr="00990D3B" w:rsidR="0012609D">
        <w:t>standards set forth at</w:t>
      </w:r>
      <w:r w:rsidRPr="00990D3B">
        <w:t xml:space="preserve"> </w:t>
      </w:r>
      <w:r w:rsidRPr="00990D3B" w:rsidR="001C7FC0">
        <w:rPr>
          <w:szCs w:val="22"/>
        </w:rPr>
        <w:t>42 C.F.R.</w:t>
      </w:r>
      <w:r w:rsidRPr="00990D3B" w:rsidR="007854DF">
        <w:rPr>
          <w:szCs w:val="22"/>
        </w:rPr>
        <w:t xml:space="preserve"> </w:t>
      </w:r>
      <w:r w:rsidRPr="00990D3B">
        <w:rPr>
          <w:szCs w:val="22"/>
        </w:rPr>
        <w:t>438.358(b)(</w:t>
      </w:r>
      <w:r w:rsidRPr="00990D3B" w:rsidR="00644EA6">
        <w:rPr>
          <w:szCs w:val="22"/>
        </w:rPr>
        <w:t>iii</w:t>
      </w:r>
      <w:r w:rsidRPr="00990D3B">
        <w:rPr>
          <w:szCs w:val="22"/>
        </w:rPr>
        <w:t>)</w:t>
      </w:r>
      <w:r w:rsidRPr="00990D3B">
        <w:t>, state standards, and MCP contract requirements.</w:t>
      </w:r>
    </w:p>
    <w:p w:rsidR="00D27C1F" w:rsidRPr="00990D3B" w:rsidP="00C729CB" w14:paraId="45AA47BC" w14:textId="603A88CC">
      <w:pPr>
        <w:pStyle w:val="Paragraph0"/>
      </w:pPr>
      <w:r w:rsidRPr="00990D3B">
        <w:t>Note that</w:t>
      </w:r>
      <w:r w:rsidRPr="00990D3B" w:rsidR="0092626F">
        <w:t xml:space="preserve"> the</w:t>
      </w:r>
      <w:r w:rsidRPr="00990D3B">
        <w:t xml:space="preserve"> state</w:t>
      </w:r>
      <w:r w:rsidRPr="00990D3B" w:rsidR="0092626F">
        <w:t xml:space="preserve"> </w:t>
      </w:r>
      <w:r w:rsidRPr="00990D3B">
        <w:t xml:space="preserve">may meet the </w:t>
      </w:r>
      <w:r w:rsidRPr="00990D3B" w:rsidR="0092626F">
        <w:t>three</w:t>
      </w:r>
      <w:r w:rsidRPr="00990D3B">
        <w:t xml:space="preserve">-year requirement in different ways: </w:t>
      </w:r>
      <w:r w:rsidRPr="00990D3B" w:rsidR="008410AD">
        <w:t xml:space="preserve">for example, </w:t>
      </w:r>
      <w:r w:rsidRPr="00990D3B" w:rsidR="0092626F">
        <w:t>it may review</w:t>
      </w:r>
      <w:r w:rsidRPr="00990D3B">
        <w:t xml:space="preserve"> </w:t>
      </w:r>
      <w:r w:rsidRPr="00990D3B" w:rsidR="008410AD">
        <w:t xml:space="preserve">all </w:t>
      </w:r>
      <w:r w:rsidRPr="00990D3B">
        <w:t>MCP</w:t>
      </w:r>
      <w:r w:rsidRPr="00990D3B" w:rsidR="008410AD">
        <w:t>s at the same time</w:t>
      </w:r>
      <w:r w:rsidRPr="00990D3B">
        <w:t xml:space="preserve"> </w:t>
      </w:r>
      <w:r w:rsidRPr="00990D3B" w:rsidR="008410AD">
        <w:t xml:space="preserve">once </w:t>
      </w:r>
      <w:r w:rsidRPr="00990D3B" w:rsidR="0092626F">
        <w:t>every three years</w:t>
      </w:r>
      <w:r w:rsidRPr="00990D3B" w:rsidR="00D02A41">
        <w:t>,</w:t>
      </w:r>
      <w:r w:rsidRPr="00990D3B" w:rsidR="0092626F">
        <w:t xml:space="preserve"> or it may </w:t>
      </w:r>
      <w:r w:rsidRPr="00990D3B">
        <w:t xml:space="preserve">conduct </w:t>
      </w:r>
      <w:r w:rsidRPr="00990D3B" w:rsidR="008410AD">
        <w:t>a complete compli</w:t>
      </w:r>
      <w:r w:rsidRPr="00990D3B" w:rsidR="005C33DC">
        <w:t>ance</w:t>
      </w:r>
      <w:r w:rsidRPr="00990D3B">
        <w:t xml:space="preserve"> review </w:t>
      </w:r>
      <w:r w:rsidRPr="00990D3B" w:rsidR="008410AD">
        <w:t xml:space="preserve">on a subset </w:t>
      </w:r>
      <w:r w:rsidRPr="00990D3B">
        <w:t xml:space="preserve">of </w:t>
      </w:r>
      <w:r w:rsidRPr="00990D3B" w:rsidR="0092626F">
        <w:t xml:space="preserve">its </w:t>
      </w:r>
      <w:r w:rsidRPr="00990D3B" w:rsidR="005F436F">
        <w:t xml:space="preserve">MCPs </w:t>
      </w:r>
      <w:r w:rsidRPr="00990D3B">
        <w:t xml:space="preserve">each year </w:t>
      </w:r>
      <w:r w:rsidRPr="00990D3B" w:rsidR="0092626F">
        <w:t xml:space="preserve">during </w:t>
      </w:r>
      <w:r w:rsidRPr="00990D3B">
        <w:t xml:space="preserve">a </w:t>
      </w:r>
      <w:r w:rsidRPr="00990D3B" w:rsidR="0092626F">
        <w:t>three</w:t>
      </w:r>
      <w:r w:rsidRPr="00990D3B">
        <w:t xml:space="preserve">-year cycle. </w:t>
      </w:r>
    </w:p>
    <w:p w:rsidR="00D27C1F" w:rsidRPr="00990D3B" w14:paraId="409EECC0" w14:textId="77777777">
      <w:pPr>
        <w:spacing w:line="240" w:lineRule="auto"/>
      </w:pPr>
      <w:r w:rsidRPr="00990D3B">
        <w:br w:type="page"/>
      </w:r>
    </w:p>
    <w:p w:rsidR="00A93C95" w:rsidRPr="00990D3B" w:rsidP="00BD1FC3" w14:paraId="6684E9F8" w14:textId="4FEE4997">
      <w:pPr>
        <w:pStyle w:val="TOC1Headingblock"/>
        <w:tabs>
          <w:tab w:val="right" w:pos="8550"/>
        </w:tabs>
        <w:spacing w:before="0"/>
      </w:pPr>
      <w:r w:rsidRPr="00990D3B">
        <w:rPr>
          <w:noProof/>
        </w:rPr>
        <w:drawing>
          <wp:anchor distT="0" distB="0" distL="114300" distR="114300" simplePos="0" relativeHeight="251673600" behindDoc="0" locked="0" layoutInCell="1" allowOverlap="1">
            <wp:simplePos x="0" y="0"/>
            <wp:positionH relativeFrom="column">
              <wp:posOffset>5490569</wp:posOffset>
            </wp:positionH>
            <wp:positionV relativeFrom="paragraph">
              <wp:posOffset>-189014</wp:posOffset>
            </wp:positionV>
            <wp:extent cx="594360" cy="640080"/>
            <wp:effectExtent l="0" t="0" r="0" b="7620"/>
            <wp:wrapNone/>
            <wp:docPr id="47" name="Picture 47" descr="go now - protocol 4">
              <a:hlinkClick xmlns:a="http://schemas.openxmlformats.org/drawingml/2006/main" xmlns:r="http://schemas.openxmlformats.org/officeDocument/2006/relationships" r:id="rId69" tooltip="This is the go now! button for Protocol 4. Click on the image to navigate to the Protocol 4 section within this docum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go now - protocol 4">
                      <a:hlinkClick xmlns:a="http://schemas.openxmlformats.org/drawingml/2006/main" xmlns:r="http://schemas.openxmlformats.org/officeDocument/2006/relationships" r:id="rId69" tooltip="This is the go now! button for Protocol 4. Click on the image to navigate to the Protocol 4 section within this document."/>
                    </pic:cNvPr>
                    <pic:cNvPicPr/>
                  </pic:nvPicPr>
                  <pic:blipFill>
                    <a:blip xmlns:r="http://schemas.openxmlformats.org/officeDocument/2006/relationships" r:embed="rId7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 cy="640080"/>
                    </a:xfrm>
                    <a:prstGeom prst="rect">
                      <a:avLst/>
                    </a:prstGeom>
                  </pic:spPr>
                </pic:pic>
              </a:graphicData>
            </a:graphic>
          </wp:anchor>
        </w:drawing>
      </w:r>
      <w:r w:rsidRPr="00990D3B">
        <w:t xml:space="preserve">Protocol </w:t>
      </w:r>
      <w:r w:rsidRPr="00990D3B" w:rsidR="00320812">
        <w:t>4</w:t>
      </w:r>
      <w:r w:rsidRPr="00990D3B">
        <w:t xml:space="preserve"> </w:t>
      </w:r>
      <w:r w:rsidRPr="00990D3B" w:rsidR="000E509D">
        <w:t>– Validation of Network Adequacy</w:t>
      </w:r>
      <w:r w:rsidRPr="00990D3B" w:rsidR="003258AD">
        <w:tab/>
        <w:t xml:space="preserve">Page </w:t>
      </w:r>
      <w:r w:rsidRPr="00990D3B" w:rsidR="00202948">
        <w:t>2</w:t>
      </w:r>
      <w:r w:rsidRPr="00990D3B" w:rsidR="00273584">
        <w:t>4</w:t>
      </w:r>
      <w:r w:rsidR="00641671">
        <w:t>6</w:t>
      </w:r>
    </w:p>
    <w:p w:rsidR="00A3683E" w:rsidRPr="00990D3B" w:rsidP="00C729CB" w14:paraId="4350171C" w14:textId="1453BB50">
      <w:pPr>
        <w:pStyle w:val="ParagraphContinued"/>
        <w:rPr>
          <w:rFonts w:eastAsia="Calibri"/>
        </w:rPr>
      </w:pPr>
      <w:r w:rsidRPr="00990D3B">
        <w:rPr>
          <w:rFonts w:eastAsia="Calibri"/>
        </w:rPr>
        <w:t xml:space="preserve">The state </w:t>
      </w:r>
      <w:r w:rsidRPr="00990D3B">
        <w:rPr>
          <w:rFonts w:eastAsia="Calibri"/>
        </w:rPr>
        <w:t xml:space="preserve">must ensure that </w:t>
      </w:r>
      <w:r w:rsidRPr="00990D3B">
        <w:rPr>
          <w:rFonts w:eastAsia="Calibri"/>
        </w:rPr>
        <w:t xml:space="preserve">its </w:t>
      </w:r>
      <w:r w:rsidRPr="00990D3B" w:rsidR="00723610">
        <w:rPr>
          <w:rFonts w:eastAsia="Calibri"/>
        </w:rPr>
        <w:t xml:space="preserve">MCPs </w:t>
      </w:r>
      <w:r w:rsidRPr="00990D3B">
        <w:rPr>
          <w:rFonts w:eastAsia="Calibri"/>
        </w:rPr>
        <w:t xml:space="preserve">maintain provider networks that are sufficient to provide timely and accessible care to </w:t>
      </w:r>
      <w:r w:rsidRPr="00990D3B" w:rsidR="00C12882">
        <w:rPr>
          <w:rFonts w:eastAsia="Calibri"/>
        </w:rPr>
        <w:t xml:space="preserve">its </w:t>
      </w:r>
      <w:r w:rsidRPr="00990D3B">
        <w:rPr>
          <w:rFonts w:eastAsia="Calibri"/>
        </w:rPr>
        <w:t xml:space="preserve">Medicaid and CHIP beneficiaries across the continuum of services. As set forth in </w:t>
      </w:r>
      <w:r w:rsidRPr="00990D3B" w:rsidR="001C7FC0">
        <w:rPr>
          <w:rFonts w:eastAsia="Calibri"/>
        </w:rPr>
        <w:t>42 C.F.R.</w:t>
      </w:r>
      <w:r w:rsidRPr="00990D3B">
        <w:rPr>
          <w:rFonts w:eastAsia="Calibri"/>
        </w:rPr>
        <w:t xml:space="preserve"> 438.68, states are required to set quantitative network adequacy standards for MCPs that account for regional factors and the needs of the state’s Medicaid and CHIP populations. </w:t>
      </w:r>
    </w:p>
    <w:p w:rsidR="00A3683E" w:rsidRPr="00990D3B" w:rsidP="00BD1FC3" w14:paraId="72935B78" w14:textId="7E396CA0">
      <w:pPr>
        <w:pStyle w:val="Paragraph0"/>
        <w:rPr>
          <w:rFonts w:eastAsia="Calibri"/>
        </w:rPr>
      </w:pPr>
      <w:hyperlink w:anchor="Protocol4" w:tooltip="Protocol 4" w:history="1">
        <w:r w:rsidRPr="00990D3B">
          <w:rPr>
            <w:rStyle w:val="Hyperlink"/>
            <w:rFonts w:eastAsia="Calibri"/>
          </w:rPr>
          <w:t>Protocol 4</w:t>
        </w:r>
      </w:hyperlink>
      <w:r w:rsidRPr="00990D3B">
        <w:rPr>
          <w:rFonts w:eastAsia="Calibri"/>
        </w:rPr>
        <w:t xml:space="preserve"> guide</w:t>
      </w:r>
      <w:r w:rsidRPr="00990D3B">
        <w:rPr>
          <w:rFonts w:eastAsia="Calibri"/>
        </w:rPr>
        <w:t>s</w:t>
      </w:r>
      <w:r w:rsidRPr="00990D3B">
        <w:rPr>
          <w:rFonts w:eastAsia="Calibri"/>
        </w:rPr>
        <w:t xml:space="preserve"> the </w:t>
      </w:r>
      <w:r w:rsidRPr="00990D3B" w:rsidR="00723610">
        <w:rPr>
          <w:rFonts w:eastAsia="Calibri"/>
        </w:rPr>
        <w:t>EQRO</w:t>
      </w:r>
      <w:r w:rsidRPr="00990D3B">
        <w:rPr>
          <w:rFonts w:eastAsia="Calibri"/>
        </w:rPr>
        <w:t xml:space="preserve"> in conducting the validation of network adequacy during the preceding 12</w:t>
      </w:r>
      <w:r w:rsidRPr="00990D3B" w:rsidR="00681204">
        <w:rPr>
          <w:rFonts w:eastAsia="Calibri"/>
        </w:rPr>
        <w:t>-</w:t>
      </w:r>
      <w:r w:rsidRPr="00990D3B">
        <w:rPr>
          <w:rFonts w:eastAsia="Calibri"/>
        </w:rPr>
        <w:t>month</w:t>
      </w:r>
      <w:r w:rsidRPr="00990D3B" w:rsidR="00681204">
        <w:rPr>
          <w:rFonts w:eastAsia="Calibri"/>
        </w:rPr>
        <w:t xml:space="preserve"> contract year or calendar year, whichever is closer to the review date,</w:t>
      </w:r>
      <w:r w:rsidRPr="00990D3B">
        <w:rPr>
          <w:rFonts w:eastAsia="Calibri"/>
        </w:rPr>
        <w:t xml:space="preserve"> to comply with requirements set forth in </w:t>
      </w:r>
      <w:hyperlink r:id="rId71" w:tooltip="42 CFR 438.68" w:history="1">
        <w:r w:rsidRPr="00990D3B" w:rsidR="001C7FC0">
          <w:rPr>
            <w:rStyle w:val="Hyperlink"/>
            <w:rFonts w:eastAsia="Calibri"/>
            <w:color w:val="auto"/>
          </w:rPr>
          <w:t>42 C.F.R.</w:t>
        </w:r>
        <w:r w:rsidRPr="00990D3B" w:rsidR="004C2C5C">
          <w:rPr>
            <w:rStyle w:val="Hyperlink"/>
            <w:rFonts w:eastAsia="Calibri"/>
            <w:color w:val="auto"/>
          </w:rPr>
          <w:t xml:space="preserve"> </w:t>
        </w:r>
        <w:r w:rsidRPr="00990D3B">
          <w:rPr>
            <w:rStyle w:val="Hyperlink"/>
            <w:rFonts w:eastAsia="Calibri"/>
            <w:color w:val="auto"/>
          </w:rPr>
          <w:t>438.68</w:t>
        </w:r>
      </w:hyperlink>
      <w:r w:rsidRPr="00990D3B">
        <w:rPr>
          <w:rFonts w:eastAsia="Calibri"/>
        </w:rPr>
        <w:t xml:space="preserve"> and, if the </w:t>
      </w:r>
      <w:r w:rsidRPr="00990D3B" w:rsidR="00723610">
        <w:rPr>
          <w:rFonts w:eastAsia="Calibri"/>
        </w:rPr>
        <w:t>s</w:t>
      </w:r>
      <w:r w:rsidRPr="00990D3B">
        <w:rPr>
          <w:rFonts w:eastAsia="Calibri"/>
        </w:rPr>
        <w:t xml:space="preserve">tate enrolls </w:t>
      </w:r>
      <w:r w:rsidRPr="00990D3B" w:rsidR="008542AD">
        <w:rPr>
          <w:rFonts w:eastAsia="Calibri"/>
        </w:rPr>
        <w:t xml:space="preserve">American </w:t>
      </w:r>
      <w:r w:rsidRPr="00990D3B">
        <w:rPr>
          <w:rFonts w:eastAsia="Calibri"/>
        </w:rPr>
        <w:t>Indians</w:t>
      </w:r>
      <w:r w:rsidRPr="00990D3B" w:rsidR="008542AD">
        <w:rPr>
          <w:rFonts w:eastAsia="Calibri"/>
        </w:rPr>
        <w:t xml:space="preserve"> and Alaska Natives</w:t>
      </w:r>
      <w:r w:rsidRPr="00990D3B">
        <w:rPr>
          <w:rFonts w:eastAsia="Calibri"/>
        </w:rPr>
        <w:t xml:space="preserve"> in the </w:t>
      </w:r>
      <w:r w:rsidRPr="00990D3B">
        <w:rPr>
          <w:rFonts w:eastAsia="Calibri"/>
        </w:rPr>
        <w:t>MCP</w:t>
      </w:r>
      <w:r w:rsidRPr="00990D3B">
        <w:rPr>
          <w:rFonts w:eastAsia="Calibri"/>
        </w:rPr>
        <w:t xml:space="preserve">, </w:t>
      </w:r>
      <w:hyperlink r:id="rId72" w:anchor="p-438.14(b)(1)" w:tooltip="42 CFR 438.14(b)(1)" w:history="1">
        <w:r w:rsidRPr="00990D3B" w:rsidR="001C7FC0">
          <w:rPr>
            <w:rStyle w:val="Hyperlink"/>
            <w:rFonts w:eastAsia="Calibri"/>
            <w:color w:val="auto"/>
          </w:rPr>
          <w:t>42 C.F.R.</w:t>
        </w:r>
        <w:r w:rsidRPr="00990D3B">
          <w:rPr>
            <w:rStyle w:val="Hyperlink"/>
            <w:rFonts w:eastAsia="Calibri"/>
            <w:color w:val="auto"/>
          </w:rPr>
          <w:t xml:space="preserve"> 438.14(b)(1)</w:t>
        </w:r>
      </w:hyperlink>
      <w:r w:rsidRPr="00990D3B">
        <w:rPr>
          <w:rFonts w:eastAsia="Calibri"/>
        </w:rPr>
        <w:t>.</w:t>
      </w:r>
      <w:r w:rsidRPr="00990D3B">
        <w:rPr>
          <w:rFonts w:eastAsia="Calibri"/>
          <w:u w:color="000080"/>
          <w:vertAlign w:val="superscript"/>
        </w:rPr>
        <w:t xml:space="preserve"> </w:t>
      </w:r>
      <w:r w:rsidRPr="00990D3B">
        <w:rPr>
          <w:rFonts w:eastAsia="Calibri"/>
        </w:rPr>
        <w:t xml:space="preserve">This includes validating data to determine whether the network standards, as defined by the state, were met. </w:t>
      </w:r>
    </w:p>
    <w:p w:rsidR="00F11BD9" w:rsidRPr="00990D3B" w:rsidP="00BD1FC3" w14:paraId="4D428570" w14:textId="0AFD4B36">
      <w:pPr>
        <w:pStyle w:val="H2"/>
      </w:pPr>
      <w:bookmarkStart w:id="84" w:name="_Toc183005563"/>
      <w:bookmarkStart w:id="85" w:name="_Toc201751334"/>
      <w:r w:rsidRPr="00990D3B">
        <w:t>Optional EQR-Related Activities</w:t>
      </w:r>
      <w:bookmarkEnd w:id="84"/>
      <w:bookmarkEnd w:id="85"/>
    </w:p>
    <w:p w:rsidR="00A93C95" w:rsidRPr="00990D3B" w:rsidP="00BD1FC3" w14:paraId="3479FF88" w14:textId="5171473F">
      <w:pPr>
        <w:pStyle w:val="TOC1Headingblock"/>
        <w:tabs>
          <w:tab w:val="right" w:pos="8550"/>
        </w:tabs>
        <w:spacing w:before="0"/>
        <w:rPr>
          <w:spacing w:val="-6"/>
        </w:rPr>
      </w:pPr>
      <w:r w:rsidRPr="00990D3B">
        <w:rPr>
          <w:noProof/>
        </w:rPr>
        <w:drawing>
          <wp:anchor distT="0" distB="0" distL="114300" distR="114300" simplePos="0" relativeHeight="251661312" behindDoc="0" locked="1" layoutInCell="1" allowOverlap="1">
            <wp:simplePos x="0" y="0"/>
            <wp:positionH relativeFrom="column">
              <wp:posOffset>5488940</wp:posOffset>
            </wp:positionH>
            <wp:positionV relativeFrom="paragraph">
              <wp:posOffset>-149225</wp:posOffset>
            </wp:positionV>
            <wp:extent cx="591466" cy="640080"/>
            <wp:effectExtent l="0" t="0" r="0" b="7620"/>
            <wp:wrapNone/>
            <wp:docPr id="21" name="Picture 21" descr="go now - protocol 4">
              <a:hlinkClick xmlns:a="http://schemas.openxmlformats.org/drawingml/2006/main" xmlns:r="http://schemas.openxmlformats.org/officeDocument/2006/relationships" r:id="rId73" tooltip="This is the go now! button for Protocol 5. Click on the image to navigate to the Protocol 5 section within this docum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o now - protocol 4">
                      <a:hlinkClick xmlns:a="http://schemas.openxmlformats.org/drawingml/2006/main" xmlns:r="http://schemas.openxmlformats.org/officeDocument/2006/relationships" r:id="rId73" tooltip="This is the go now! button for Protocol 5. Click on the image to navigate to the Protocol 5 section within this document."/>
                    </pic:cNvPr>
                    <pic:cNvPicPr/>
                  </pic:nvPicPr>
                  <pic:blipFill>
                    <a:blip xmlns:r="http://schemas.openxmlformats.org/officeDocument/2006/relationships" r:embed="rId7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1466" cy="640080"/>
                    </a:xfrm>
                    <a:prstGeom prst="rect">
                      <a:avLst/>
                    </a:prstGeom>
                  </pic:spPr>
                </pic:pic>
              </a:graphicData>
            </a:graphic>
            <wp14:sizeRelH relativeFrom="margin">
              <wp14:pctWidth>0</wp14:pctWidth>
            </wp14:sizeRelH>
            <wp14:sizeRelV relativeFrom="margin">
              <wp14:pctHeight>0</wp14:pctHeight>
            </wp14:sizeRelV>
          </wp:anchor>
        </w:drawing>
      </w:r>
      <w:hyperlink w:anchor="Protocol5" w:tooltip="Protocol 5 – Validation of Encounter Data Reported by the MCP" w:history="1">
        <w:r w:rsidRPr="00990D3B" w:rsidR="00B16056">
          <w:rPr>
            <w:rStyle w:val="Hyperlink"/>
            <w:color w:val="auto"/>
            <w:spacing w:val="-6"/>
          </w:rPr>
          <w:t xml:space="preserve">Protocol </w:t>
        </w:r>
        <w:r w:rsidRPr="00990D3B" w:rsidR="00363DAA">
          <w:rPr>
            <w:rStyle w:val="Hyperlink"/>
            <w:color w:val="auto"/>
            <w:spacing w:val="-6"/>
          </w:rPr>
          <w:t>5</w:t>
        </w:r>
        <w:r w:rsidRPr="00990D3B" w:rsidR="00CE15D6">
          <w:rPr>
            <w:rStyle w:val="Hyperlink"/>
            <w:color w:val="auto"/>
            <w:spacing w:val="-6"/>
          </w:rPr>
          <w:t xml:space="preserve"> </w:t>
        </w:r>
        <w:r w:rsidRPr="00990D3B" w:rsidR="00B16056">
          <w:rPr>
            <w:rStyle w:val="Hyperlink"/>
            <w:color w:val="auto"/>
            <w:spacing w:val="-6"/>
          </w:rPr>
          <w:t xml:space="preserve">– Validation of </w:t>
        </w:r>
        <w:r w:rsidRPr="00990D3B" w:rsidR="00B16056">
          <w:t>Encounter</w:t>
        </w:r>
        <w:r w:rsidRPr="00990D3B" w:rsidR="00B16056">
          <w:rPr>
            <w:rStyle w:val="Hyperlink"/>
            <w:color w:val="auto"/>
            <w:spacing w:val="-6"/>
          </w:rPr>
          <w:t xml:space="preserve"> Data Reported by the MCP</w:t>
        </w:r>
      </w:hyperlink>
      <w:r w:rsidRPr="00990D3B" w:rsidR="00BD245A">
        <w:rPr>
          <w:rStyle w:val="Hyperlink"/>
          <w:color w:val="auto"/>
          <w:spacing w:val="-6"/>
        </w:rPr>
        <w:tab/>
        <w:t>Page 2</w:t>
      </w:r>
      <w:r w:rsidR="00641671">
        <w:rPr>
          <w:rStyle w:val="Hyperlink"/>
          <w:color w:val="auto"/>
          <w:spacing w:val="-6"/>
        </w:rPr>
        <w:t>81</w:t>
      </w:r>
    </w:p>
    <w:p w:rsidR="00B16056" w:rsidRPr="00990D3B" w:rsidP="00BD1FC3" w14:paraId="22A3ED23" w14:textId="1A4C2D4E">
      <w:pPr>
        <w:pStyle w:val="ParagraphContinued"/>
      </w:pPr>
      <w:r w:rsidRPr="00990D3B">
        <w:t>A m</w:t>
      </w:r>
      <w:r w:rsidRPr="00990D3B">
        <w:t>anaged care encounter</w:t>
      </w:r>
      <w:r w:rsidRPr="00990D3B">
        <w:t xml:space="preserve"> is a </w:t>
      </w:r>
      <w:r w:rsidRPr="00990D3B">
        <w:t xml:space="preserve">distinct </w:t>
      </w:r>
      <w:r w:rsidRPr="00990D3B">
        <w:t xml:space="preserve">service </w:t>
      </w:r>
      <w:r w:rsidRPr="00990D3B">
        <w:t>provided to</w:t>
      </w:r>
      <w:r w:rsidRPr="00990D3B">
        <w:t xml:space="preserve"> an </w:t>
      </w:r>
      <w:r w:rsidRPr="00990D3B">
        <w:t>enrollee</w:t>
      </w:r>
      <w:r w:rsidRPr="00990D3B">
        <w:t>. The state can use encounter data t</w:t>
      </w:r>
      <w:r w:rsidRPr="00990D3B">
        <w:t>o</w:t>
      </w:r>
      <w:r w:rsidRPr="00990D3B" w:rsidR="00D02A41">
        <w:t xml:space="preserve"> better understand the health services delivered by MCPs, assess and review quality, monitor program integrity,</w:t>
      </w:r>
      <w:r w:rsidRPr="00990D3B">
        <w:t xml:space="preserve"> and determine capitation payment rates. </w:t>
      </w:r>
      <w:hyperlink w:anchor="Protocol5" w:tooltip="Protocol 5" w:history="1">
        <w:r w:rsidRPr="00990D3B" w:rsidR="00DE560D">
          <w:rPr>
            <w:rStyle w:val="Hyperlink"/>
          </w:rPr>
          <w:t>Protocol 5</w:t>
        </w:r>
      </w:hyperlink>
      <w:r w:rsidRPr="00990D3B" w:rsidR="00DE560D">
        <w:t xml:space="preserve"> </w:t>
      </w:r>
      <w:r w:rsidRPr="00990D3B">
        <w:t xml:space="preserve">specifies procedures for assessing the completeness and accuracy of encounter data submitted by MCPs to </w:t>
      </w:r>
      <w:r w:rsidRPr="00990D3B" w:rsidR="00D42C6F">
        <w:t xml:space="preserve">the </w:t>
      </w:r>
      <w:r w:rsidRPr="00990D3B">
        <w:t xml:space="preserve">state. It also assists in </w:t>
      </w:r>
      <w:r w:rsidRPr="00990D3B" w:rsidR="0092626F">
        <w:t>improving</w:t>
      </w:r>
      <w:r w:rsidRPr="00990D3B">
        <w:t xml:space="preserve"> processes associated with </w:t>
      </w:r>
      <w:r w:rsidRPr="00990D3B" w:rsidR="00D02A41">
        <w:t>collecting and submitting</w:t>
      </w:r>
      <w:r w:rsidRPr="00990D3B">
        <w:t xml:space="preserve"> encounter data</w:t>
      </w:r>
      <w:r w:rsidRPr="00990D3B" w:rsidR="00BD68C1">
        <w:t xml:space="preserve"> from MCPs to </w:t>
      </w:r>
      <w:r w:rsidRPr="00990D3B" w:rsidR="00D42C6F">
        <w:t xml:space="preserve">the </w:t>
      </w:r>
      <w:r w:rsidRPr="00990D3B" w:rsidR="00BD68C1">
        <w:t>state</w:t>
      </w:r>
      <w:r w:rsidRPr="00990D3B">
        <w:t>.</w:t>
      </w:r>
    </w:p>
    <w:p w:rsidR="00A93C95" w:rsidRPr="00990D3B" w:rsidP="00BD1FC3" w14:paraId="2D3B5798" w14:textId="0C0156EC">
      <w:pPr>
        <w:pStyle w:val="TOC1Headingblock"/>
        <w:tabs>
          <w:tab w:val="right" w:pos="8550"/>
        </w:tabs>
        <w:spacing w:before="0"/>
      </w:pPr>
      <w:r w:rsidRPr="00990D3B">
        <w:rPr>
          <w:noProof/>
        </w:rPr>
        <w:drawing>
          <wp:anchor distT="0" distB="0" distL="114300" distR="114300" simplePos="0" relativeHeight="251662336" behindDoc="0" locked="1" layoutInCell="1" allowOverlap="1">
            <wp:simplePos x="0" y="0"/>
            <wp:positionH relativeFrom="column">
              <wp:posOffset>5486400</wp:posOffset>
            </wp:positionH>
            <wp:positionV relativeFrom="paragraph">
              <wp:posOffset>-147955</wp:posOffset>
            </wp:positionV>
            <wp:extent cx="599569" cy="640080"/>
            <wp:effectExtent l="0" t="0" r="0" b="7620"/>
            <wp:wrapNone/>
            <wp:docPr id="27" name="Picture 27" descr="go now - protocol 6">
              <a:hlinkClick xmlns:a="http://schemas.openxmlformats.org/drawingml/2006/main" xmlns:r="http://schemas.openxmlformats.org/officeDocument/2006/relationships" r:id="rId75" tooltip="This is the go now! button for Protocol 6. Click on the image to navigate to the Protocol 6 section within this docum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o now - protocol 6">
                      <a:hlinkClick xmlns:a="http://schemas.openxmlformats.org/drawingml/2006/main" xmlns:r="http://schemas.openxmlformats.org/officeDocument/2006/relationships" r:id="rId75" tooltip="This is the go now! button for Protocol 6. Click on the image to navigate to the Protocol 6 section within this document."/>
                    </pic:cNvPr>
                    <pic:cNvPicPr/>
                  </pic:nvPicPr>
                  <pic:blipFill>
                    <a:blip xmlns:r="http://schemas.openxmlformats.org/officeDocument/2006/relationships" r:embed="rId7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9569" cy="640080"/>
                    </a:xfrm>
                    <a:prstGeom prst="rect">
                      <a:avLst/>
                    </a:prstGeom>
                  </pic:spPr>
                </pic:pic>
              </a:graphicData>
            </a:graphic>
            <wp14:sizeRelH relativeFrom="margin">
              <wp14:pctWidth>0</wp14:pctWidth>
            </wp14:sizeRelH>
            <wp14:sizeRelV relativeFrom="margin">
              <wp14:pctHeight>0</wp14:pctHeight>
            </wp14:sizeRelV>
          </wp:anchor>
        </w:drawing>
      </w:r>
      <w:r w:rsidRPr="00990D3B">
        <w:t xml:space="preserve">Protocol </w:t>
      </w:r>
      <w:r w:rsidRPr="00990D3B" w:rsidR="00363DAA">
        <w:t>6</w:t>
      </w:r>
      <w:r w:rsidRPr="00990D3B" w:rsidR="00CE15D6">
        <w:t xml:space="preserve"> </w:t>
      </w:r>
      <w:r w:rsidRPr="00990D3B" w:rsidR="00B16056">
        <w:t xml:space="preserve">– </w:t>
      </w:r>
      <w:r w:rsidRPr="00990D3B" w:rsidR="00F25486">
        <w:t xml:space="preserve">Administration </w:t>
      </w:r>
      <w:r w:rsidRPr="00990D3B" w:rsidR="00501AB5">
        <w:t>or</w:t>
      </w:r>
      <w:r w:rsidRPr="00990D3B" w:rsidR="00F25486">
        <w:t xml:space="preserve"> </w:t>
      </w:r>
      <w:r w:rsidRPr="00990D3B" w:rsidR="00B16056">
        <w:t xml:space="preserve">Validation of </w:t>
      </w:r>
      <w:r w:rsidRPr="00990D3B" w:rsidR="00F25486">
        <w:t>Quality of Care</w:t>
      </w:r>
      <w:r w:rsidRPr="00990D3B" w:rsidR="00F25486">
        <w:t xml:space="preserve"> </w:t>
      </w:r>
      <w:r w:rsidRPr="00990D3B" w:rsidR="00B16056">
        <w:t>Surveys</w:t>
      </w:r>
      <w:r w:rsidRPr="00990D3B" w:rsidR="00BD245A">
        <w:tab/>
        <w:t xml:space="preserve">Page </w:t>
      </w:r>
      <w:r w:rsidRPr="00990D3B" w:rsidR="00273584">
        <w:t>3</w:t>
      </w:r>
      <w:r w:rsidR="00641671">
        <w:t>08</w:t>
      </w:r>
    </w:p>
    <w:p w:rsidR="00B16056" w:rsidRPr="00990D3B" w:rsidP="00BD1FC3" w14:paraId="10662545" w14:textId="3042DEE3">
      <w:pPr>
        <w:pStyle w:val="ParagraphContinued"/>
      </w:pPr>
      <w:r w:rsidRPr="00990D3B">
        <w:t xml:space="preserve">Surveys are a common method of measuring health care quality, especially consumer experience with care. </w:t>
      </w:r>
      <w:hyperlink w:anchor="Protocol6" w:tooltip="Protocol 6" w:history="1">
        <w:r w:rsidRPr="00990D3B" w:rsidR="00DE560D">
          <w:rPr>
            <w:rStyle w:val="Hyperlink"/>
          </w:rPr>
          <w:t>Protocol 6</w:t>
        </w:r>
      </w:hyperlink>
      <w:r w:rsidRPr="00990D3B">
        <w:t xml:space="preserve"> specifies procedures for conducting various types of surveys and validating those surveys. </w:t>
      </w:r>
    </w:p>
    <w:p w:rsidR="00A93C95" w:rsidRPr="00990D3B" w:rsidP="00BD1FC3" w14:paraId="54831FF8" w14:textId="43B719B0">
      <w:pPr>
        <w:pStyle w:val="TOC1Headingblock"/>
        <w:tabs>
          <w:tab w:val="right" w:pos="8550"/>
        </w:tabs>
        <w:spacing w:before="0"/>
      </w:pPr>
      <w:r w:rsidRPr="00990D3B">
        <w:rPr>
          <w:noProof/>
        </w:rPr>
        <w:drawing>
          <wp:anchor distT="0" distB="0" distL="114300" distR="114300" simplePos="0" relativeHeight="251663360" behindDoc="0" locked="1" layoutInCell="1" allowOverlap="1">
            <wp:simplePos x="0" y="0"/>
            <wp:positionH relativeFrom="column">
              <wp:posOffset>5486400</wp:posOffset>
            </wp:positionH>
            <wp:positionV relativeFrom="paragraph">
              <wp:posOffset>-143510</wp:posOffset>
            </wp:positionV>
            <wp:extent cx="599569" cy="640080"/>
            <wp:effectExtent l="0" t="0" r="0" b="7620"/>
            <wp:wrapNone/>
            <wp:docPr id="26" name="Picture 26" descr="go now - protocol 7">
              <a:hlinkClick xmlns:a="http://schemas.openxmlformats.org/drawingml/2006/main" xmlns:r="http://schemas.openxmlformats.org/officeDocument/2006/relationships" r:id="rId77" tooltip="This is the go now! button for Protocol 7. Click on the image to navigate to the Protocol 7 section within this docum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o now - protocol 7">
                      <a:hlinkClick xmlns:a="http://schemas.openxmlformats.org/drawingml/2006/main" xmlns:r="http://schemas.openxmlformats.org/officeDocument/2006/relationships" r:id="rId77" tooltip="This is the go now! button for Protocol 7. Click on the image to navigate to the Protocol 7 section within this document."/>
                    </pic:cNvPr>
                    <pic:cNvPicPr/>
                  </pic:nvPicPr>
                  <pic:blipFill>
                    <a:blip xmlns:r="http://schemas.openxmlformats.org/officeDocument/2006/relationships" r:embed="rId78"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9569" cy="640080"/>
                    </a:xfrm>
                    <a:prstGeom prst="rect">
                      <a:avLst/>
                    </a:prstGeom>
                  </pic:spPr>
                </pic:pic>
              </a:graphicData>
            </a:graphic>
            <wp14:sizeRelH relativeFrom="margin">
              <wp14:pctWidth>0</wp14:pctWidth>
            </wp14:sizeRelH>
            <wp14:sizeRelV relativeFrom="margin">
              <wp14:pctHeight>0</wp14:pctHeight>
            </wp14:sizeRelV>
          </wp:anchor>
        </w:drawing>
      </w:r>
      <w:r w:rsidRPr="00990D3B">
        <w:t xml:space="preserve">Protocol </w:t>
      </w:r>
      <w:r w:rsidRPr="00990D3B" w:rsidR="00363DAA">
        <w:t>7</w:t>
      </w:r>
      <w:r w:rsidRPr="00990D3B" w:rsidR="00CE15D6">
        <w:t xml:space="preserve"> </w:t>
      </w:r>
      <w:r w:rsidRPr="00990D3B" w:rsidR="00B16056">
        <w:t xml:space="preserve">– Calculation of </w:t>
      </w:r>
      <w:r w:rsidRPr="00990D3B" w:rsidR="00F25486">
        <w:t xml:space="preserve">Additional </w:t>
      </w:r>
      <w:r w:rsidRPr="00990D3B" w:rsidR="00B16056">
        <w:t>Performance Measures</w:t>
      </w:r>
      <w:r w:rsidRPr="00990D3B" w:rsidR="00BD245A">
        <w:tab/>
        <w:t>Page 3</w:t>
      </w:r>
      <w:r w:rsidR="00641671">
        <w:t>43</w:t>
      </w:r>
    </w:p>
    <w:p w:rsidR="00A93C95" w:rsidRPr="00990D3B" w:rsidP="00BD1FC3" w14:paraId="3192FCC9" w14:textId="33811C86">
      <w:pPr>
        <w:pStyle w:val="ParagraphContinued"/>
      </w:pPr>
      <w:r w:rsidRPr="00990D3B">
        <w:t>The s</w:t>
      </w:r>
      <w:r w:rsidRPr="00990D3B" w:rsidR="00B16056">
        <w:t>tate</w:t>
      </w:r>
      <w:r w:rsidRPr="00990D3B">
        <w:t xml:space="preserve"> can</w:t>
      </w:r>
      <w:r w:rsidRPr="00990D3B" w:rsidR="00B16056">
        <w:t xml:space="preserve"> use</w:t>
      </w:r>
      <w:r w:rsidRPr="00990D3B" w:rsidR="0092626F">
        <w:t xml:space="preserve"> </w:t>
      </w:r>
      <w:r w:rsidRPr="00990D3B" w:rsidR="00B16056">
        <w:t xml:space="preserve">performance measures to monitor </w:t>
      </w:r>
      <w:r w:rsidRPr="00990D3B" w:rsidR="0092626F">
        <w:t xml:space="preserve">MCPs’ </w:t>
      </w:r>
      <w:r w:rsidRPr="00990D3B" w:rsidR="00B16056">
        <w:t xml:space="preserve">performance over time, </w:t>
      </w:r>
      <w:r w:rsidRPr="00990D3B" w:rsidR="00935E58">
        <w:t xml:space="preserve">understand their impact on the Medicaid and CHIP populations, compare MCP performance, and </w:t>
      </w:r>
      <w:r w:rsidRPr="00990D3B" w:rsidR="00B16056">
        <w:t xml:space="preserve">inform the selection and evaluation of quality improvement activities. </w:t>
      </w:r>
      <w:hyperlink w:anchor="Protocol7" w:tooltip="Protocol 7" w:history="1">
        <w:r w:rsidRPr="00990D3B" w:rsidR="00A33BC2">
          <w:rPr>
            <w:rStyle w:val="Hyperlink"/>
          </w:rPr>
          <w:t>P</w:t>
        </w:r>
        <w:r w:rsidRPr="00990D3B" w:rsidR="00DE560D">
          <w:rPr>
            <w:rStyle w:val="Hyperlink"/>
          </w:rPr>
          <w:t>rotocol</w:t>
        </w:r>
        <w:r w:rsidRPr="00990D3B" w:rsidR="00A33BC2">
          <w:rPr>
            <w:rStyle w:val="Hyperlink"/>
          </w:rPr>
          <w:t xml:space="preserve"> 7</w:t>
        </w:r>
      </w:hyperlink>
      <w:r w:rsidRPr="00990D3B" w:rsidR="00B16056">
        <w:t xml:space="preserve"> specifies procedures for calculating MCP performance measures in accordance with </w:t>
      </w:r>
      <w:r w:rsidRPr="00990D3B" w:rsidR="00D42C6F">
        <w:t xml:space="preserve">the </w:t>
      </w:r>
      <w:r w:rsidRPr="00990D3B" w:rsidR="00B16056">
        <w:t>state</w:t>
      </w:r>
      <w:r w:rsidRPr="00990D3B" w:rsidR="0092626F">
        <w:t>’s</w:t>
      </w:r>
      <w:r w:rsidRPr="00990D3B" w:rsidR="00B16056">
        <w:t xml:space="preserve"> specifications. It also supplies information to the state </w:t>
      </w:r>
      <w:r w:rsidRPr="00990D3B" w:rsidR="00B16056">
        <w:t>on</w:t>
      </w:r>
      <w:r w:rsidRPr="00990D3B" w:rsidR="00B16056">
        <w:t xml:space="preserve"> the extent to which the MCP’s information system</w:t>
      </w:r>
      <w:r w:rsidRPr="00990D3B" w:rsidR="00807A58">
        <w:t xml:space="preserve"> (IS)</w:t>
      </w:r>
      <w:r w:rsidRPr="00990D3B" w:rsidR="00B16056">
        <w:t xml:space="preserve"> provides accurate and complete information necessary </w:t>
      </w:r>
      <w:r w:rsidRPr="00990D3B" w:rsidR="00D02A41">
        <w:t>to calculate</w:t>
      </w:r>
      <w:r w:rsidRPr="00990D3B" w:rsidR="00787037">
        <w:t xml:space="preserve"> performance measures.</w:t>
      </w:r>
    </w:p>
    <w:p w:rsidR="00A93C95" w:rsidRPr="00990D3B" w:rsidP="00BD1FC3" w14:paraId="4A6A9301" w14:textId="67E232E3">
      <w:pPr>
        <w:pStyle w:val="TOC1Headingblock"/>
        <w:tabs>
          <w:tab w:val="right" w:pos="8550"/>
        </w:tabs>
        <w:spacing w:before="0"/>
        <w:rPr>
          <w:spacing w:val="-2"/>
        </w:rPr>
      </w:pPr>
      <w:r w:rsidRPr="00990D3B">
        <w:rPr>
          <w:noProof/>
        </w:rPr>
        <w:drawing>
          <wp:anchor distT="0" distB="0" distL="114300" distR="114300" simplePos="0" relativeHeight="251664384" behindDoc="0" locked="1" layoutInCell="1" allowOverlap="1">
            <wp:simplePos x="0" y="0"/>
            <wp:positionH relativeFrom="column">
              <wp:posOffset>5527040</wp:posOffset>
            </wp:positionH>
            <wp:positionV relativeFrom="paragraph">
              <wp:posOffset>-50165</wp:posOffset>
            </wp:positionV>
            <wp:extent cx="599440" cy="640080"/>
            <wp:effectExtent l="0" t="0" r="0" b="7620"/>
            <wp:wrapNone/>
            <wp:docPr id="25" name="Picture 25" descr="go now - protocol 8">
              <a:hlinkClick xmlns:a="http://schemas.openxmlformats.org/drawingml/2006/main" xmlns:r="http://schemas.openxmlformats.org/officeDocument/2006/relationships" r:id="rId79" tooltip="This is the go now! button for Protocol 8. Click on the image to navigate to the Protocol 8 section within this docum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o now - protocol 8">
                      <a:hlinkClick xmlns:a="http://schemas.openxmlformats.org/drawingml/2006/main" xmlns:r="http://schemas.openxmlformats.org/officeDocument/2006/relationships" r:id="rId79" tooltip="This is the go now! button for Protocol 8. Click on the image to navigate to the Protocol 8 section within this document."/>
                    </pic:cNvPr>
                    <pic:cNvPicPr/>
                  </pic:nvPicPr>
                  <pic:blipFill>
                    <a:blip xmlns:r="http://schemas.openxmlformats.org/officeDocument/2006/relationships" r:embed="rId8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9440" cy="640080"/>
                    </a:xfrm>
                    <a:prstGeom prst="rect">
                      <a:avLst/>
                    </a:prstGeom>
                  </pic:spPr>
                </pic:pic>
              </a:graphicData>
            </a:graphic>
            <wp14:sizeRelH relativeFrom="margin">
              <wp14:pctWidth>0</wp14:pctWidth>
            </wp14:sizeRelH>
            <wp14:sizeRelV relativeFrom="margin">
              <wp14:pctHeight>0</wp14:pctHeight>
            </wp14:sizeRelV>
          </wp:anchor>
        </w:drawing>
      </w:r>
      <w:r w:rsidRPr="00990D3B">
        <w:t xml:space="preserve">Protocol </w:t>
      </w:r>
      <w:r w:rsidRPr="00990D3B" w:rsidR="00363DAA">
        <w:t>8</w:t>
      </w:r>
      <w:r w:rsidRPr="00990D3B" w:rsidR="00787037">
        <w:t xml:space="preserve"> –</w:t>
      </w:r>
      <w:r w:rsidRPr="00990D3B" w:rsidR="00787037">
        <w:rPr>
          <w:spacing w:val="-2"/>
        </w:rPr>
        <w:t xml:space="preserve"> </w:t>
      </w:r>
      <w:r w:rsidRPr="00990D3B" w:rsidR="00787037">
        <w:t>Implementation</w:t>
      </w:r>
      <w:r w:rsidRPr="00990D3B" w:rsidR="00787037">
        <w:rPr>
          <w:spacing w:val="-2"/>
        </w:rPr>
        <w:t xml:space="preserve"> of </w:t>
      </w:r>
      <w:r w:rsidRPr="00990D3B" w:rsidR="001A7272">
        <w:rPr>
          <w:spacing w:val="-2"/>
        </w:rPr>
        <w:t xml:space="preserve">Additional </w:t>
      </w:r>
      <w:r w:rsidRPr="00990D3B" w:rsidR="00787037">
        <w:rPr>
          <w:spacing w:val="-2"/>
        </w:rPr>
        <w:t xml:space="preserve">Performance </w:t>
      </w:r>
      <w:r w:rsidRPr="00990D3B" w:rsidR="006A79A2">
        <w:rPr>
          <w:spacing w:val="-2"/>
        </w:rPr>
        <w:br/>
      </w:r>
      <w:r w:rsidRPr="00990D3B" w:rsidR="00787037">
        <w:rPr>
          <w:spacing w:val="-2"/>
        </w:rPr>
        <w:t xml:space="preserve">Improvement </w:t>
      </w:r>
      <w:r w:rsidRPr="00990D3B" w:rsidR="00514553">
        <w:rPr>
          <w:spacing w:val="-2"/>
        </w:rPr>
        <w:t xml:space="preserve">Projects </w:t>
      </w:r>
      <w:r w:rsidRPr="00990D3B" w:rsidR="006A79A2">
        <w:rPr>
          <w:spacing w:val="-2"/>
        </w:rPr>
        <w:tab/>
        <w:t>Page 3</w:t>
      </w:r>
      <w:r w:rsidR="00A067BE">
        <w:rPr>
          <w:spacing w:val="-2"/>
        </w:rPr>
        <w:t>6</w:t>
      </w:r>
      <w:r w:rsidR="00641671">
        <w:rPr>
          <w:spacing w:val="-2"/>
        </w:rPr>
        <w:t>1</w:t>
      </w:r>
    </w:p>
    <w:p w:rsidR="00787037" w:rsidRPr="00990D3B" w:rsidP="00BD1FC3" w14:paraId="052F86D4" w14:textId="59D6E0F9">
      <w:pPr>
        <w:pStyle w:val="ParagraphContinued"/>
      </w:pPr>
      <w:r w:rsidRPr="00990D3B">
        <w:t>The s</w:t>
      </w:r>
      <w:r w:rsidRPr="00990D3B">
        <w:t>tate may conduct—or request an EQRO conduct—a PIP</w:t>
      </w:r>
      <w:r w:rsidRPr="00990D3B" w:rsidR="00A33BC2">
        <w:t xml:space="preserve"> in addition to those </w:t>
      </w:r>
      <w:r w:rsidRPr="00990D3B" w:rsidR="00A54BF8">
        <w:t>MCPs</w:t>
      </w:r>
      <w:r w:rsidRPr="00990D3B" w:rsidR="00A33BC2">
        <w:t xml:space="preserve"> are required to conduct as part of their QAPI programs</w:t>
      </w:r>
      <w:r w:rsidRPr="00990D3B">
        <w:t xml:space="preserve">. </w:t>
      </w:r>
      <w:hyperlink w:anchor="Protocol8" w:tooltip="Protocol 8" w:history="1">
        <w:r w:rsidRPr="00990D3B">
          <w:rPr>
            <w:rStyle w:val="Hyperlink"/>
          </w:rPr>
          <w:t xml:space="preserve">Protocol </w:t>
        </w:r>
        <w:r w:rsidRPr="00990D3B" w:rsidR="00A33BC2">
          <w:rPr>
            <w:rStyle w:val="Hyperlink"/>
          </w:rPr>
          <w:t>8</w:t>
        </w:r>
      </w:hyperlink>
      <w:r w:rsidRPr="00990D3B" w:rsidR="00A33BC2">
        <w:t xml:space="preserve"> </w:t>
      </w:r>
      <w:r w:rsidRPr="00990D3B">
        <w:t xml:space="preserve">specifies procedures for implementing </w:t>
      </w:r>
      <w:r w:rsidRPr="00990D3B" w:rsidR="009A0F15">
        <w:t>additional</w:t>
      </w:r>
      <w:r w:rsidRPr="00990D3B">
        <w:t xml:space="preserve"> PIPs. </w:t>
      </w:r>
    </w:p>
    <w:p w:rsidR="00A93C95" w:rsidRPr="00990D3B" w:rsidP="00BD1FC3" w14:paraId="7ADAE484" w14:textId="629FAF90">
      <w:pPr>
        <w:pStyle w:val="TOC1Headingblock"/>
        <w:tabs>
          <w:tab w:val="right" w:pos="8550"/>
        </w:tabs>
        <w:spacing w:before="0"/>
      </w:pPr>
      <w:r w:rsidRPr="00990D3B">
        <w:rPr>
          <w:noProof/>
        </w:rPr>
        <w:drawing>
          <wp:anchor distT="0" distB="0" distL="114300" distR="114300" simplePos="0" relativeHeight="251665408" behindDoc="0" locked="1" layoutInCell="1" allowOverlap="1">
            <wp:simplePos x="0" y="0"/>
            <wp:positionH relativeFrom="column">
              <wp:posOffset>5488940</wp:posOffset>
            </wp:positionH>
            <wp:positionV relativeFrom="paragraph">
              <wp:posOffset>-142240</wp:posOffset>
            </wp:positionV>
            <wp:extent cx="591466" cy="640080"/>
            <wp:effectExtent l="0" t="0" r="0" b="7620"/>
            <wp:wrapNone/>
            <wp:docPr id="24" name="Picture 24" descr="go now - protocol 9">
              <a:hlinkClick xmlns:a="http://schemas.openxmlformats.org/drawingml/2006/main" xmlns:r="http://schemas.openxmlformats.org/officeDocument/2006/relationships" r:id="rId81" tooltip="This is the go now! button for Protocol 9. Click on the image to navigate to the Protocol 9 section within this docum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o now - protocol 9">
                      <a:hlinkClick xmlns:a="http://schemas.openxmlformats.org/drawingml/2006/main" xmlns:r="http://schemas.openxmlformats.org/officeDocument/2006/relationships" r:id="rId81" tooltip="This is the go now! button for Protocol 9. Click on the image to navigate to the Protocol 9 section within this document."/>
                    </pic:cNvPr>
                    <pic:cNvPicPr/>
                  </pic:nvPicPr>
                  <pic:blipFill>
                    <a:blip xmlns:r="http://schemas.openxmlformats.org/officeDocument/2006/relationships" r:embed="rId8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1466" cy="640080"/>
                    </a:xfrm>
                    <a:prstGeom prst="rect">
                      <a:avLst/>
                    </a:prstGeom>
                  </pic:spPr>
                </pic:pic>
              </a:graphicData>
            </a:graphic>
            <wp14:sizeRelH relativeFrom="margin">
              <wp14:pctWidth>0</wp14:pctWidth>
            </wp14:sizeRelH>
            <wp14:sizeRelV relativeFrom="margin">
              <wp14:pctHeight>0</wp14:pctHeight>
            </wp14:sizeRelV>
          </wp:anchor>
        </w:drawing>
      </w:r>
      <w:r w:rsidRPr="00990D3B">
        <w:t xml:space="preserve">Protocol </w:t>
      </w:r>
      <w:r w:rsidRPr="00990D3B" w:rsidR="00363DAA">
        <w:t>9</w:t>
      </w:r>
      <w:r w:rsidRPr="00990D3B" w:rsidR="00501AB5">
        <w:t xml:space="preserve"> </w:t>
      </w:r>
      <w:r w:rsidRPr="00990D3B" w:rsidR="00EE732B">
        <w:t>–</w:t>
      </w:r>
      <w:r w:rsidRPr="00990D3B" w:rsidR="00827F26">
        <w:t xml:space="preserve"> Conducting Focus </w:t>
      </w:r>
      <w:r w:rsidRPr="00990D3B" w:rsidR="00827F26">
        <w:rPr>
          <w:spacing w:val="-2"/>
        </w:rPr>
        <w:t>Studies</w:t>
      </w:r>
      <w:r w:rsidRPr="00990D3B" w:rsidR="00827F26">
        <w:t xml:space="preserve"> of Health Care Quality</w:t>
      </w:r>
      <w:r w:rsidRPr="00990D3B" w:rsidR="00EE732B">
        <w:t xml:space="preserve"> </w:t>
      </w:r>
      <w:r w:rsidRPr="00990D3B" w:rsidR="006A79A2">
        <w:tab/>
        <w:t>Page 3</w:t>
      </w:r>
      <w:r w:rsidR="00A067BE">
        <w:t>7</w:t>
      </w:r>
      <w:r w:rsidR="00317E54">
        <w:t>0</w:t>
      </w:r>
    </w:p>
    <w:p w:rsidR="00A93C95" w:rsidRPr="00990D3B" w:rsidP="00BD1FC3" w14:paraId="7F6F4130" w14:textId="2B957A1B">
      <w:pPr>
        <w:pStyle w:val="ParagraphContinued"/>
      </w:pPr>
      <w:r w:rsidRPr="00990D3B">
        <w:t>The s</w:t>
      </w:r>
      <w:r w:rsidRPr="00990D3B" w:rsidR="00EE732B">
        <w:t>tate may choose to conduct a</w:t>
      </w:r>
      <w:r w:rsidRPr="00990D3B" w:rsidR="00C577A6">
        <w:t xml:space="preserve"> study on a particular aspect of clinical and/or non-clinical services</w:t>
      </w:r>
      <w:r w:rsidRPr="00990D3B" w:rsidR="00EE732B">
        <w:t xml:space="preserve"> provided by its MCPs. </w:t>
      </w:r>
      <w:hyperlink w:anchor="Protocol9" w:tooltip="Protocol 9" w:history="1">
        <w:r w:rsidRPr="00990D3B" w:rsidR="00EE732B">
          <w:rPr>
            <w:rStyle w:val="Hyperlink"/>
          </w:rPr>
          <w:t>Protocol 9</w:t>
        </w:r>
      </w:hyperlink>
      <w:r w:rsidRPr="00990D3B" w:rsidR="00EE732B">
        <w:t xml:space="preserve"> specifies procedures </w:t>
      </w:r>
      <w:r w:rsidRPr="00990D3B" w:rsidR="00C12882">
        <w:t>for planning and carrying</w:t>
      </w:r>
      <w:r w:rsidRPr="00990D3B" w:rsidR="00EE732B">
        <w:t xml:space="preserve"> out a </w:t>
      </w:r>
      <w:r w:rsidRPr="00990D3B" w:rsidR="00972D60">
        <w:t>focus</w:t>
      </w:r>
      <w:r w:rsidRPr="00990D3B" w:rsidR="00EE732B">
        <w:t xml:space="preserve"> study. </w:t>
      </w:r>
    </w:p>
    <w:p w:rsidR="0043281C" w:rsidRPr="00990D3B" w:rsidP="00BD1FC3" w14:paraId="546EAAFE" w14:textId="675BDAFD">
      <w:pPr>
        <w:pStyle w:val="TOC1Headingblock"/>
        <w:tabs>
          <w:tab w:val="right" w:pos="8550"/>
        </w:tabs>
        <w:spacing w:before="0"/>
        <w:rPr>
          <w:sz w:val="19"/>
          <w:szCs w:val="19"/>
        </w:rPr>
      </w:pPr>
      <w:r w:rsidRPr="00990D3B">
        <w:rPr>
          <w:noProof/>
          <w:szCs w:val="20"/>
        </w:rPr>
        <w:drawing>
          <wp:anchor distT="0" distB="0" distL="114300" distR="114300" simplePos="0" relativeHeight="251674624" behindDoc="0" locked="0" layoutInCell="1" allowOverlap="1">
            <wp:simplePos x="0" y="0"/>
            <wp:positionH relativeFrom="column">
              <wp:posOffset>5568315</wp:posOffset>
            </wp:positionH>
            <wp:positionV relativeFrom="paragraph">
              <wp:posOffset>-38100</wp:posOffset>
            </wp:positionV>
            <wp:extent cx="594360" cy="640080"/>
            <wp:effectExtent l="0" t="0" r="0" b="7620"/>
            <wp:wrapNone/>
            <wp:docPr id="49" name="Picture 49" descr="go now - protocol 10">
              <a:hlinkClick xmlns:a="http://schemas.openxmlformats.org/drawingml/2006/main" xmlns:r="http://schemas.openxmlformats.org/officeDocument/2006/relationships" r:id="rId83" tooltip="This is the go now! button for Protocol 10. Click on the image to navigate to the Protocol 10 section within this docum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o now - protocol 10">
                      <a:hlinkClick xmlns:a="http://schemas.openxmlformats.org/drawingml/2006/main" xmlns:r="http://schemas.openxmlformats.org/officeDocument/2006/relationships" r:id="rId83" tooltip="This is the go now! button for Protocol 10. Click on the image to navigate to the Protocol 10 section within this document."/>
                    </pic:cNvPr>
                    <pic:cNvPicPr/>
                  </pic:nvPicPr>
                  <pic:blipFill>
                    <a:blip xmlns:r="http://schemas.openxmlformats.org/officeDocument/2006/relationships" r:embed="rId8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 cy="640080"/>
                    </a:xfrm>
                    <a:prstGeom prst="rect">
                      <a:avLst/>
                    </a:prstGeom>
                  </pic:spPr>
                </pic:pic>
              </a:graphicData>
            </a:graphic>
            <wp14:sizeRelH relativeFrom="margin">
              <wp14:pctWidth>0</wp14:pctWidth>
            </wp14:sizeRelH>
            <wp14:sizeRelV relativeFrom="margin">
              <wp14:pctHeight>0</wp14:pctHeight>
            </wp14:sizeRelV>
          </wp:anchor>
        </w:drawing>
      </w:r>
      <w:r w:rsidRPr="00990D3B" w:rsidR="009E7C03">
        <w:rPr>
          <w:szCs w:val="20"/>
        </w:rPr>
        <w:t xml:space="preserve">Protocol 10 – </w:t>
      </w:r>
      <w:r w:rsidRPr="00990D3B" w:rsidR="009E7C03">
        <w:rPr>
          <w:spacing w:val="-2"/>
          <w:szCs w:val="20"/>
        </w:rPr>
        <w:t>Assist</w:t>
      </w:r>
      <w:r w:rsidRPr="00990D3B" w:rsidR="009E7C03">
        <w:rPr>
          <w:szCs w:val="20"/>
        </w:rPr>
        <w:t xml:space="preserve"> with the Quality Rating </w:t>
      </w:r>
      <w:r w:rsidRPr="00990D3B" w:rsidR="00B073C7">
        <w:rPr>
          <w:szCs w:val="20"/>
        </w:rPr>
        <w:t>for</w:t>
      </w:r>
      <w:r w:rsidRPr="00990D3B" w:rsidR="00D27C1F">
        <w:rPr>
          <w:szCs w:val="20"/>
        </w:rPr>
        <w:br/>
      </w:r>
      <w:r w:rsidRPr="00990D3B" w:rsidR="00F00F0A">
        <w:rPr>
          <w:szCs w:val="20"/>
        </w:rPr>
        <w:t xml:space="preserve">Medicaid and CHIP </w:t>
      </w:r>
      <w:r w:rsidRPr="00990D3B" w:rsidR="00B073C7">
        <w:rPr>
          <w:szCs w:val="20"/>
        </w:rPr>
        <w:t xml:space="preserve">Quality Rating System </w:t>
      </w:r>
      <w:r w:rsidRPr="00990D3B" w:rsidR="006A79A2">
        <w:rPr>
          <w:szCs w:val="20"/>
        </w:rPr>
        <w:tab/>
      </w:r>
      <w:r w:rsidRPr="00990D3B" w:rsidR="00A1375A">
        <w:rPr>
          <w:sz w:val="19"/>
          <w:szCs w:val="19"/>
        </w:rPr>
        <w:t xml:space="preserve"> </w:t>
      </w:r>
      <w:r w:rsidRPr="00990D3B" w:rsidR="006A79A2">
        <w:rPr>
          <w:szCs w:val="20"/>
        </w:rPr>
        <w:t>Page 3</w:t>
      </w:r>
      <w:r w:rsidR="00A067BE">
        <w:rPr>
          <w:szCs w:val="20"/>
        </w:rPr>
        <w:t>8</w:t>
      </w:r>
      <w:r w:rsidR="00317E54">
        <w:rPr>
          <w:szCs w:val="20"/>
        </w:rPr>
        <w:t>1</w:t>
      </w:r>
    </w:p>
    <w:p w:rsidR="00597CE8" w:rsidRPr="00990D3B" w:rsidP="00BD1FC3" w14:paraId="4FE93695" w14:textId="2D9A9B35">
      <w:pPr>
        <w:pStyle w:val="ParagraphContinued"/>
        <w:rPr>
          <w:sz w:val="20"/>
        </w:rPr>
      </w:pPr>
      <w:r w:rsidRPr="00990D3B">
        <w:rPr>
          <w:noProof/>
        </w:rPr>
        <w:drawing>
          <wp:anchor distT="0" distB="0" distL="114300" distR="114300" simplePos="0" relativeHeight="251959296" behindDoc="0" locked="0" layoutInCell="1" allowOverlap="1">
            <wp:simplePos x="0" y="0"/>
            <wp:positionH relativeFrom="column">
              <wp:posOffset>5525770</wp:posOffset>
            </wp:positionH>
            <wp:positionV relativeFrom="paragraph">
              <wp:posOffset>740410</wp:posOffset>
            </wp:positionV>
            <wp:extent cx="685800" cy="685800"/>
            <wp:effectExtent l="0" t="0" r="0" b="0"/>
            <wp:wrapNone/>
            <wp:docPr id="1564682127" name="Picture 3" descr="go now - protocol 11">
              <a:hlinkClick xmlns:a="http://schemas.openxmlformats.org/drawingml/2006/main" xmlns:r="http://schemas.openxmlformats.org/officeDocument/2006/relationships"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82127" name="Picture 3" descr="go now - protocol 11">
                      <a:hlinkClick xmlns:a="http://schemas.openxmlformats.org/drawingml/2006/main" xmlns:r="http://schemas.openxmlformats.org/officeDocument/2006/relationships" r:id="rId85"/>
                    </pic:cNvPr>
                    <pic:cNvPicPr>
                      <a:picLocks noChangeAspect="1" noChangeArrowheads="1"/>
                    </pic:cNvPicPr>
                  </pic:nvPicPr>
                  <pic:blipFill>
                    <a:blip xmlns:r="http://schemas.openxmlformats.org/officeDocument/2006/relationships" r:embed="rId86">
                      <a:extLst>
                        <a:ext xmlns:a="http://schemas.openxmlformats.org/drawingml/2006/main" uri="{28A0092B-C50C-407E-A947-70E740481C1C}">
                          <a14:useLocalDpi xmlns:a14="http://schemas.microsoft.com/office/drawing/2010/main" val="0"/>
                        </a:ext>
                      </a:extLst>
                    </a:blip>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90D3B" w:rsidR="00B073C7">
        <w:t>The state may choose to have its EQRO assist with the quality rating</w:t>
      </w:r>
      <w:r w:rsidRPr="00990D3B" w:rsidR="00C349FE">
        <w:t>s</w:t>
      </w:r>
      <w:r w:rsidRPr="00990D3B" w:rsidR="00B073C7">
        <w:t xml:space="preserve"> </w:t>
      </w:r>
      <w:r w:rsidRPr="00990D3B" w:rsidR="00C349FE">
        <w:t xml:space="preserve">for Medicaid and CHIP </w:t>
      </w:r>
      <w:r w:rsidRPr="00990D3B" w:rsidR="00F72753">
        <w:t xml:space="preserve">QRS. </w:t>
      </w:r>
      <w:hyperlink w:anchor="Protocol10" w:tooltip="Protocol 10" w:history="1">
        <w:r w:rsidRPr="00990D3B" w:rsidR="00C349FE">
          <w:rPr>
            <w:rStyle w:val="Hyperlink"/>
          </w:rPr>
          <w:t>P</w:t>
        </w:r>
        <w:r w:rsidRPr="00990D3B" w:rsidR="00B073C7">
          <w:rPr>
            <w:rStyle w:val="Hyperlink"/>
          </w:rPr>
          <w:t>rotocol 10</w:t>
        </w:r>
      </w:hyperlink>
      <w:r w:rsidRPr="00990D3B" w:rsidR="00B073C7">
        <w:t xml:space="preserve"> specifies procedures for validating data and calculating performance rates for the </w:t>
      </w:r>
      <w:r w:rsidRPr="00990D3B" w:rsidR="00C349FE">
        <w:t xml:space="preserve">MAC QRS. </w:t>
      </w:r>
    </w:p>
    <w:p w:rsidR="007B2744" w:rsidRPr="00990D3B" w:rsidP="00BD1FC3" w14:paraId="107D172D" w14:textId="10F9D3FE">
      <w:pPr>
        <w:pStyle w:val="TOC1Headingblock"/>
        <w:tabs>
          <w:tab w:val="right" w:pos="8550"/>
        </w:tabs>
        <w:spacing w:before="0"/>
        <w:rPr>
          <w:sz w:val="19"/>
          <w:szCs w:val="19"/>
        </w:rPr>
      </w:pPr>
      <w:r w:rsidRPr="00990D3B">
        <w:rPr>
          <w:szCs w:val="20"/>
        </w:rPr>
        <w:t xml:space="preserve">Protocol 11 – </w:t>
      </w:r>
      <w:r w:rsidRPr="00990D3B" w:rsidR="00BC036B">
        <w:rPr>
          <w:spacing w:val="-2"/>
          <w:szCs w:val="20"/>
        </w:rPr>
        <w:t xml:space="preserve">Assist with </w:t>
      </w:r>
      <w:r w:rsidRPr="00990D3B">
        <w:rPr>
          <w:spacing w:val="-2"/>
          <w:szCs w:val="20"/>
        </w:rPr>
        <w:t>Evaluation</w:t>
      </w:r>
      <w:r w:rsidRPr="00990D3B" w:rsidR="00BC036B">
        <w:rPr>
          <w:spacing w:val="-2"/>
          <w:szCs w:val="20"/>
        </w:rPr>
        <w:t xml:space="preserve"> of Managed Care Quality Strategies, </w:t>
      </w:r>
      <w:r w:rsidRPr="00990D3B" w:rsidR="00D27C1F">
        <w:rPr>
          <w:spacing w:val="-2"/>
          <w:szCs w:val="20"/>
        </w:rPr>
        <w:br/>
      </w:r>
      <w:r w:rsidRPr="00990D3B" w:rsidR="00BC036B">
        <w:rPr>
          <w:spacing w:val="-2"/>
          <w:szCs w:val="20"/>
        </w:rPr>
        <w:t>State Directed Payments, and In</w:t>
      </w:r>
      <w:r w:rsidRPr="00990D3B" w:rsidR="006801B1">
        <w:rPr>
          <w:spacing w:val="-2"/>
          <w:szCs w:val="20"/>
        </w:rPr>
        <w:t xml:space="preserve"> </w:t>
      </w:r>
      <w:r w:rsidRPr="00990D3B" w:rsidR="00BC036B">
        <w:rPr>
          <w:spacing w:val="-2"/>
          <w:szCs w:val="20"/>
        </w:rPr>
        <w:t>Lieu of Services and Settings</w:t>
      </w:r>
      <w:r w:rsidRPr="00990D3B">
        <w:rPr>
          <w:sz w:val="19"/>
          <w:szCs w:val="19"/>
        </w:rPr>
        <w:tab/>
      </w:r>
      <w:r w:rsidRPr="00990D3B" w:rsidR="008528A8">
        <w:rPr>
          <w:sz w:val="19"/>
          <w:szCs w:val="19"/>
        </w:rPr>
        <w:t xml:space="preserve"> </w:t>
      </w:r>
      <w:r w:rsidRPr="00990D3B">
        <w:rPr>
          <w:szCs w:val="20"/>
        </w:rPr>
        <w:t>Page</w:t>
      </w:r>
      <w:r w:rsidRPr="00990D3B" w:rsidR="00793B06">
        <w:rPr>
          <w:szCs w:val="20"/>
        </w:rPr>
        <w:t xml:space="preserve"> 4</w:t>
      </w:r>
      <w:r w:rsidR="00A067BE">
        <w:rPr>
          <w:szCs w:val="20"/>
        </w:rPr>
        <w:t>1</w:t>
      </w:r>
      <w:r w:rsidR="00317E54">
        <w:rPr>
          <w:szCs w:val="20"/>
        </w:rPr>
        <w:t>1</w:t>
      </w:r>
    </w:p>
    <w:p w:rsidR="004A5C07" w:rsidRPr="00990D3B" w:rsidP="00BD1FC3" w14:paraId="01CDDE80" w14:textId="67AEEF6A">
      <w:pPr>
        <w:pStyle w:val="ParagraphContinued"/>
      </w:pPr>
      <w:bookmarkStart w:id="86" w:name="_Toc183005564"/>
      <w:r w:rsidRPr="00990D3B">
        <w:t xml:space="preserve">The state may engage its EQRO to assist with evaluating its managed care </w:t>
      </w:r>
      <w:r w:rsidRPr="00990D3B" w:rsidR="00F72753">
        <w:t>QSs</w:t>
      </w:r>
      <w:r w:rsidRPr="00990D3B">
        <w:t xml:space="preserve">, </w:t>
      </w:r>
      <w:r w:rsidRPr="00990D3B" w:rsidR="00F72753">
        <w:t xml:space="preserve">SDPs, </w:t>
      </w:r>
      <w:r w:rsidRPr="00990D3B">
        <w:t xml:space="preserve">and in lieu of services and settings (ILOSs). </w:t>
      </w:r>
      <w:hyperlink w:anchor="Protocol11" w:tooltip="Protocol 11" w:history="1">
        <w:r w:rsidRPr="00990D3B">
          <w:rPr>
            <w:rStyle w:val="Hyperlink"/>
          </w:rPr>
          <w:t>Protocol 11</w:t>
        </w:r>
      </w:hyperlink>
      <w:r w:rsidRPr="00990D3B">
        <w:rPr>
          <w:rStyle w:val="Hyperlink"/>
        </w:rPr>
        <w:t xml:space="preserve"> </w:t>
      </w:r>
      <w:r w:rsidRPr="00990D3B">
        <w:t>outlines procedures for assessing the effectiveness of these approaches in advancing quality</w:t>
      </w:r>
      <w:r w:rsidRPr="00990D3B" w:rsidR="00B5009E">
        <w:t xml:space="preserve"> and</w:t>
      </w:r>
      <w:r w:rsidRPr="00990D3B">
        <w:t xml:space="preserve"> access in Medicaid and CHIP managed care programs.</w:t>
      </w:r>
    </w:p>
    <w:p w:rsidR="00A93C95" w:rsidRPr="00990D3B" w:rsidP="00BD1FC3" w14:paraId="75118530" w14:textId="70F3C3CE">
      <w:pPr>
        <w:pStyle w:val="H2"/>
      </w:pPr>
      <w:bookmarkStart w:id="87" w:name="_Toc201751335"/>
      <w:r w:rsidRPr="00990D3B">
        <w:t>A</w:t>
      </w:r>
      <w:r w:rsidRPr="00990D3B" w:rsidR="006D5707">
        <w:t>ppendices</w:t>
      </w:r>
      <w:bookmarkEnd w:id="86"/>
      <w:bookmarkEnd w:id="87"/>
    </w:p>
    <w:p w:rsidR="00071539" w:rsidRPr="00990D3B" w:rsidP="00C729CB" w14:paraId="1B55C5F6" w14:textId="3779EFB1">
      <w:pPr>
        <w:pStyle w:val="Paragraph0"/>
      </w:pPr>
      <w:r w:rsidRPr="00990D3B">
        <w:t xml:space="preserve">The EQR </w:t>
      </w:r>
      <w:r w:rsidRPr="00990D3B" w:rsidR="0071375D">
        <w:t>P</w:t>
      </w:r>
      <w:r w:rsidRPr="00990D3B">
        <w:t>rotocol</w:t>
      </w:r>
      <w:r w:rsidRPr="00990D3B" w:rsidR="00C12882">
        <w:t>s</w:t>
      </w:r>
      <w:r w:rsidRPr="00990D3B">
        <w:t xml:space="preserve"> include </w:t>
      </w:r>
      <w:r w:rsidRPr="00990D3B" w:rsidR="00D02A41">
        <w:t>five</w:t>
      </w:r>
      <w:r w:rsidRPr="00990D3B">
        <w:t xml:space="preserve"> appendices </w:t>
      </w:r>
      <w:r w:rsidRPr="00990D3B" w:rsidR="00C12882">
        <w:t xml:space="preserve">supplementing </w:t>
      </w:r>
      <w:r w:rsidRPr="00990D3B" w:rsidR="005416DE">
        <w:t xml:space="preserve">the </w:t>
      </w:r>
      <w:r w:rsidRPr="00990D3B">
        <w:t>information contained in the protocols. Use the “Go Now</w:t>
      </w:r>
      <w:r w:rsidRPr="00990D3B" w:rsidR="003F121D">
        <w:t>!</w:t>
      </w:r>
      <w:r w:rsidRPr="00990D3B">
        <w:t>” buttons to navigate to the appendices.</w:t>
      </w:r>
    </w:p>
    <w:p w:rsidR="00D02A41" w:rsidRPr="00990D3B" w:rsidP="00BD1FC3" w14:paraId="44AB493A" w14:textId="4AA2001D">
      <w:pPr>
        <w:pStyle w:val="TOC1Headingblock"/>
        <w:tabs>
          <w:tab w:val="right" w:pos="8550"/>
        </w:tabs>
        <w:spacing w:before="0"/>
      </w:pPr>
      <w:r w:rsidRPr="00990D3B">
        <w:rPr>
          <w:noProof/>
        </w:rPr>
        <w:drawing>
          <wp:anchor distT="0" distB="0" distL="114300" distR="114300" simplePos="0" relativeHeight="251972608" behindDoc="0" locked="1" layoutInCell="1" allowOverlap="1">
            <wp:simplePos x="0" y="0"/>
            <wp:positionH relativeFrom="column">
              <wp:posOffset>5527040</wp:posOffset>
            </wp:positionH>
            <wp:positionV relativeFrom="paragraph">
              <wp:posOffset>-146050</wp:posOffset>
            </wp:positionV>
            <wp:extent cx="599440" cy="640080"/>
            <wp:effectExtent l="0" t="0" r="0" b="7620"/>
            <wp:wrapNone/>
            <wp:docPr id="1750182278" name="Picture 1750182278" descr="go now - appendix A">
              <a:hlinkClick xmlns:a="http://schemas.openxmlformats.org/drawingml/2006/main" xmlns:r="http://schemas.openxmlformats.org/officeDocument/2006/relationships" r:id="rId87" tooltip="This is the go now! button for Appendix A. Click on the image to navigate to Appendix A within this docum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182278" name="Picture 1750182278" descr="go now - appendix A">
                      <a:hlinkClick xmlns:a="http://schemas.openxmlformats.org/drawingml/2006/main" xmlns:r="http://schemas.openxmlformats.org/officeDocument/2006/relationships" r:id="rId87" tooltip="This is the go now! button for Appendix A. Click on the image to navigate to Appendix A within this document."/>
                    </pic:cNvPr>
                    <pic:cNvPicPr/>
                  </pic:nvPicPr>
                  <pic:blipFill>
                    <a:blip xmlns:r="http://schemas.openxmlformats.org/officeDocument/2006/relationships" r:embed="rId88"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9440" cy="640080"/>
                    </a:xfrm>
                    <a:prstGeom prst="rect">
                      <a:avLst/>
                    </a:prstGeom>
                  </pic:spPr>
                </pic:pic>
              </a:graphicData>
            </a:graphic>
            <wp14:sizeRelH relativeFrom="margin">
              <wp14:pctWidth>0</wp14:pctWidth>
            </wp14:sizeRelH>
            <wp14:sizeRelV relativeFrom="margin">
              <wp14:pctHeight>0</wp14:pctHeight>
            </wp14:sizeRelV>
          </wp:anchor>
        </w:drawing>
      </w:r>
      <w:r w:rsidRPr="00990D3B">
        <w:t xml:space="preserve">Appendix A. EQR Reporting Tools </w:t>
      </w:r>
      <w:r w:rsidRPr="00990D3B">
        <w:tab/>
        <w:t>Page A.1</w:t>
      </w:r>
    </w:p>
    <w:p w:rsidR="00B570E1" w:rsidRPr="00990D3B" w:rsidP="00C729CB" w14:paraId="3E48E6E4" w14:textId="7E6DBFF4">
      <w:pPr>
        <w:pStyle w:val="ParagraphContinued"/>
      </w:pPr>
      <w:r w:rsidRPr="00990D3B">
        <w:t>This appendix provides tools to help states and EQROs create comprehensive, high-quality, compliant EQR technical reports.</w:t>
      </w:r>
    </w:p>
    <w:p w:rsidR="00B570E1" w:rsidRPr="00990D3B" w14:paraId="5369F724" w14:textId="77777777">
      <w:pPr>
        <w:spacing w:line="240" w:lineRule="auto"/>
      </w:pPr>
      <w:r w:rsidRPr="00990D3B">
        <w:br w:type="page"/>
      </w:r>
    </w:p>
    <w:p w:rsidR="00A93C95" w:rsidRPr="00990D3B" w:rsidP="00BD1FC3" w14:paraId="25A54F61" w14:textId="2F379B22">
      <w:pPr>
        <w:pStyle w:val="TOC1Headingblock"/>
        <w:tabs>
          <w:tab w:val="right" w:pos="8550"/>
        </w:tabs>
        <w:spacing w:before="0"/>
      </w:pPr>
      <w:r w:rsidRPr="00990D3B">
        <w:t>Appendix B</w:t>
      </w:r>
      <w:r w:rsidRPr="00990D3B">
        <w:t>.</w:t>
      </w:r>
      <w:r w:rsidRPr="00990D3B" w:rsidR="007D7A48">
        <w:t xml:space="preserve"> </w:t>
      </w:r>
      <w:r w:rsidRPr="00990D3B" w:rsidR="006C2AC5">
        <w:t>Information Systems Capabilities Assessment</w:t>
      </w:r>
      <w:r w:rsidRPr="00990D3B" w:rsidR="006A79A2">
        <w:tab/>
        <w:t xml:space="preserve">Page </w:t>
      </w:r>
      <w:r w:rsidRPr="00990D3B" w:rsidR="00935E58">
        <w:t>B</w:t>
      </w:r>
      <w:r w:rsidRPr="00990D3B" w:rsidR="006A79A2">
        <w:t>.1</w:t>
      </w:r>
    </w:p>
    <w:p w:rsidR="004A4AED" w:rsidRPr="00990D3B" w:rsidP="00BD1FC3" w14:paraId="785FB656" w14:textId="57973336">
      <w:pPr>
        <w:pStyle w:val="ParagraphContinued"/>
      </w:pPr>
      <w:r w:rsidRPr="00990D3B">
        <w:t xml:space="preserve">Protocols </w:t>
      </w:r>
      <w:hyperlink w:anchor="Protocol1" w:tooltip="1" w:history="1">
        <w:r w:rsidRPr="00990D3B">
          <w:rPr>
            <w:rStyle w:val="Hyperlink"/>
          </w:rPr>
          <w:t>1</w:t>
        </w:r>
      </w:hyperlink>
      <w:r w:rsidRPr="00990D3B">
        <w:t xml:space="preserve">, </w:t>
      </w:r>
      <w:hyperlink w:anchor="Protocol2" w:tooltip="2" w:history="1">
        <w:r w:rsidRPr="00990D3B">
          <w:rPr>
            <w:rStyle w:val="Hyperlink"/>
          </w:rPr>
          <w:t>2</w:t>
        </w:r>
      </w:hyperlink>
      <w:r w:rsidRPr="00990D3B">
        <w:t xml:space="preserve">, </w:t>
      </w:r>
      <w:hyperlink w:anchor="Protocol3" w:tooltip="3" w:history="1">
        <w:r w:rsidRPr="00990D3B">
          <w:rPr>
            <w:rStyle w:val="Hyperlink"/>
          </w:rPr>
          <w:t>3</w:t>
        </w:r>
      </w:hyperlink>
      <w:r w:rsidRPr="00990D3B">
        <w:t>,</w:t>
      </w:r>
      <w:r w:rsidRPr="00990D3B" w:rsidR="00466C4F">
        <w:t xml:space="preserve"> and</w:t>
      </w:r>
      <w:r w:rsidRPr="00990D3B">
        <w:t xml:space="preserve"> </w:t>
      </w:r>
      <w:hyperlink w:anchor="Protocol4" w:tooltip="4" w:history="1">
        <w:r w:rsidRPr="00990D3B">
          <w:rPr>
            <w:rStyle w:val="Hyperlink"/>
          </w:rPr>
          <w:t>4</w:t>
        </w:r>
      </w:hyperlink>
      <w:r w:rsidRPr="00990D3B" w:rsidR="002C5B84">
        <w:t xml:space="preserve"> </w:t>
      </w:r>
      <w:r w:rsidRPr="00990D3B">
        <w:t xml:space="preserve">require </w:t>
      </w:r>
      <w:r w:rsidRPr="00990D3B" w:rsidR="005416DE">
        <w:t xml:space="preserve">the </w:t>
      </w:r>
      <w:r w:rsidRPr="00990D3B">
        <w:t xml:space="preserve">state to assess their MCPs’ IS capabilities. </w:t>
      </w:r>
      <w:r w:rsidRPr="00990D3B" w:rsidR="00466C4F">
        <w:t>The state may also perf</w:t>
      </w:r>
      <w:r w:rsidRPr="00990D3B" w:rsidR="00D84C24">
        <w:t>o</w:t>
      </w:r>
      <w:r w:rsidRPr="00990D3B" w:rsidR="00466C4F">
        <w:t xml:space="preserve">rm this activity </w:t>
      </w:r>
      <w:r w:rsidRPr="00990D3B" w:rsidR="002C5B84">
        <w:t>for</w:t>
      </w:r>
      <w:r w:rsidRPr="00990D3B" w:rsidR="00466C4F">
        <w:t xml:space="preserve"> Protocols </w:t>
      </w:r>
      <w:hyperlink w:anchor="Protocol5" w:tooltip="5" w:history="1">
        <w:r w:rsidRPr="00990D3B" w:rsidR="00466C4F">
          <w:rPr>
            <w:rStyle w:val="Hyperlink"/>
          </w:rPr>
          <w:t>5</w:t>
        </w:r>
      </w:hyperlink>
      <w:r w:rsidRPr="00990D3B" w:rsidR="00466C4F">
        <w:t xml:space="preserve">, </w:t>
      </w:r>
      <w:hyperlink w:anchor="Protocol7" w:tooltip="7" w:history="1">
        <w:r w:rsidRPr="00990D3B" w:rsidR="00466C4F">
          <w:rPr>
            <w:rStyle w:val="Hyperlink"/>
          </w:rPr>
          <w:t>7</w:t>
        </w:r>
      </w:hyperlink>
      <w:r w:rsidRPr="00990D3B" w:rsidR="00466C4F">
        <w:t xml:space="preserve">, and </w:t>
      </w:r>
      <w:hyperlink w:anchor="Protocol10" w:tooltip="10" w:history="1">
        <w:r w:rsidRPr="00990D3B" w:rsidR="00466C4F">
          <w:rPr>
            <w:rStyle w:val="Hyperlink"/>
          </w:rPr>
          <w:t>10</w:t>
        </w:r>
      </w:hyperlink>
      <w:r w:rsidRPr="00990D3B" w:rsidR="00466C4F">
        <w:t>.</w:t>
      </w:r>
      <w:r w:rsidRPr="00990D3B">
        <w:t xml:space="preserve">The regulations at </w:t>
      </w:r>
      <w:r w:rsidRPr="00990D3B" w:rsidR="001C7FC0">
        <w:t>42 C.F.R.</w:t>
      </w:r>
      <w:r w:rsidRPr="00990D3B" w:rsidR="007854DF">
        <w:t xml:space="preserve"> </w:t>
      </w:r>
      <w:r w:rsidRPr="00990D3B">
        <w:t xml:space="preserve">438.242 and 457.1233(d) also require the state to ensure that each MCP maintains a health </w:t>
      </w:r>
      <w:r w:rsidRPr="00990D3B" w:rsidR="008271DC">
        <w:t>IS</w:t>
      </w:r>
      <w:r w:rsidRPr="00990D3B">
        <w:t xml:space="preserve"> that collects, analyzes, integrates, and reports data for areas including, but not limited to, utilization, grievances and appeals, and </w:t>
      </w:r>
      <w:r w:rsidRPr="00990D3B" w:rsidR="005416DE">
        <w:t xml:space="preserve">disenrollment </w:t>
      </w:r>
      <w:r w:rsidRPr="00990D3B">
        <w:t xml:space="preserve">for reasons other than the loss of Medicaid </w:t>
      </w:r>
      <w:r w:rsidRPr="00990D3B" w:rsidR="009107D6">
        <w:t xml:space="preserve">and CHIP </w:t>
      </w:r>
      <w:r w:rsidRPr="00990D3B">
        <w:t xml:space="preserve">eligibility. Portions of the ISCA are voluntary; however, </w:t>
      </w:r>
      <w:r w:rsidRPr="00990D3B" w:rsidR="00935E58">
        <w:t>some components relate</w:t>
      </w:r>
      <w:r w:rsidRPr="00990D3B">
        <w:t xml:space="preserve"> directly to the mandatory </w:t>
      </w:r>
      <w:r w:rsidRPr="00990D3B" w:rsidR="00A33BC2">
        <w:t xml:space="preserve">EQR-related activity </w:t>
      </w:r>
      <w:r w:rsidRPr="00990D3B">
        <w:t xml:space="preserve">protocols. </w:t>
      </w:r>
      <w:r w:rsidRPr="00990D3B" w:rsidR="008271DC">
        <w:t xml:space="preserve">This appendix </w:t>
      </w:r>
      <w:r w:rsidRPr="00990D3B">
        <w:t xml:space="preserve">defines the recommended capabilities of an MCP’s </w:t>
      </w:r>
      <w:r w:rsidRPr="00990D3B" w:rsidR="005416DE">
        <w:t>IS</w:t>
      </w:r>
      <w:r w:rsidRPr="00990D3B">
        <w:t xml:space="preserve"> to meet the </w:t>
      </w:r>
      <w:r w:rsidRPr="00990D3B" w:rsidR="005416DE">
        <w:t>above-noted</w:t>
      </w:r>
      <w:r w:rsidRPr="00990D3B">
        <w:t xml:space="preserve"> regulatory requirements, as well as how to assess the strength of the MCP’s </w:t>
      </w:r>
      <w:r w:rsidRPr="00990D3B" w:rsidR="008271DC">
        <w:t>IS</w:t>
      </w:r>
      <w:r w:rsidRPr="00990D3B">
        <w:t xml:space="preserve"> capabilities. It includes an overview of the processes for collecting, processing, and reporting data and guidance for:</w:t>
      </w:r>
    </w:p>
    <w:p w:rsidR="006C2AC5" w:rsidRPr="00990D3B" w:rsidP="00FB7CAF" w14:paraId="3DA4CB27" w14:textId="77777777">
      <w:pPr>
        <w:pStyle w:val="EQRBulletBLUE"/>
      </w:pPr>
      <w:r w:rsidRPr="00990D3B">
        <w:t>Completing the ISCA assessment (by MCPs)</w:t>
      </w:r>
    </w:p>
    <w:p w:rsidR="006C2AC5" w:rsidRPr="00990D3B" w:rsidP="00FB7CAF" w14:paraId="76126EFB" w14:textId="77777777">
      <w:pPr>
        <w:pStyle w:val="EQRBulletBLUE"/>
      </w:pPr>
      <w:r w:rsidRPr="00990D3B">
        <w:t>Reviewing ISCA and accompanying documents</w:t>
      </w:r>
    </w:p>
    <w:p w:rsidR="006C2AC5" w:rsidRPr="00990D3B" w:rsidP="00FB7CAF" w14:paraId="3C388EE4" w14:textId="22DFC509">
      <w:pPr>
        <w:pStyle w:val="EQRBulletBLUE"/>
      </w:pPr>
      <w:r w:rsidRPr="00990D3B">
        <w:t>Interviewing MCP staff</w:t>
      </w:r>
    </w:p>
    <w:p w:rsidR="006C2AC5" w:rsidRPr="00990D3B" w:rsidP="00FB7CAF" w14:paraId="60CE9678" w14:textId="77777777">
      <w:pPr>
        <w:pStyle w:val="EQRBulletBLUE"/>
      </w:pPr>
      <w:r w:rsidRPr="00990D3B">
        <w:t>Analyzing ISCA findings</w:t>
      </w:r>
    </w:p>
    <w:p w:rsidR="00E80D36" w:rsidRPr="00990D3B" w:rsidP="00BD1FC3" w14:paraId="2A5DF2B8" w14:textId="545205CA">
      <w:pPr>
        <w:pStyle w:val="TOC1Headingblock"/>
        <w:tabs>
          <w:tab w:val="right" w:pos="8550"/>
        </w:tabs>
        <w:spacing w:before="0"/>
      </w:pPr>
      <w:r w:rsidRPr="00990D3B">
        <w:rPr>
          <w:noProof/>
        </w:rPr>
        <w:drawing>
          <wp:anchor distT="0" distB="0" distL="114300" distR="114300" simplePos="0" relativeHeight="251667456" behindDoc="0" locked="1" layoutInCell="1" allowOverlap="1">
            <wp:simplePos x="0" y="0"/>
            <wp:positionH relativeFrom="column">
              <wp:posOffset>5584190</wp:posOffset>
            </wp:positionH>
            <wp:positionV relativeFrom="paragraph">
              <wp:posOffset>-3808095</wp:posOffset>
            </wp:positionV>
            <wp:extent cx="599440" cy="640080"/>
            <wp:effectExtent l="0" t="0" r="0" b="7620"/>
            <wp:wrapNone/>
            <wp:docPr id="462" name="Picture 462" descr="go now - appendix B">
              <a:hlinkClick xmlns:a="http://schemas.openxmlformats.org/drawingml/2006/main" xmlns:r="http://schemas.openxmlformats.org/officeDocument/2006/relationships" r:id="rId89" tooltip="This is the go now! button for Appendix B. Click on the image to navigate to Appendix B within this docum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descr="go now - appendix B">
                      <a:hlinkClick xmlns:a="http://schemas.openxmlformats.org/drawingml/2006/main" xmlns:r="http://schemas.openxmlformats.org/officeDocument/2006/relationships" r:id="rId89" tooltip="This is the go now! button for Appendix B. Click on the image to navigate to Appendix B within this document."/>
                    </pic:cNvPr>
                    <pic:cNvPicPr/>
                  </pic:nvPicPr>
                  <pic:blipFill>
                    <a:blip xmlns:r="http://schemas.openxmlformats.org/officeDocument/2006/relationships" r:embed="rId9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9440" cy="640080"/>
                    </a:xfrm>
                    <a:prstGeom prst="rect">
                      <a:avLst/>
                    </a:prstGeom>
                  </pic:spPr>
                </pic:pic>
              </a:graphicData>
            </a:graphic>
            <wp14:sizeRelH relativeFrom="margin">
              <wp14:pctWidth>0</wp14:pctWidth>
            </wp14:sizeRelH>
            <wp14:sizeRelV relativeFrom="margin">
              <wp14:pctHeight>0</wp14:pctHeight>
            </wp14:sizeRelV>
          </wp:anchor>
        </w:drawing>
      </w:r>
      <w:r w:rsidRPr="00990D3B" w:rsidR="005A290F">
        <w:t xml:space="preserve">Appendix </w:t>
      </w:r>
      <w:r w:rsidRPr="00990D3B" w:rsidR="00935E58">
        <w:t>C</w:t>
      </w:r>
      <w:r w:rsidRPr="00990D3B" w:rsidR="00A93C95">
        <w:t>.</w:t>
      </w:r>
      <w:r w:rsidRPr="00990D3B" w:rsidR="007D7A48">
        <w:t xml:space="preserve"> </w:t>
      </w:r>
      <w:r w:rsidRPr="00990D3B" w:rsidR="006C2AC5">
        <w:t xml:space="preserve">Sampling Approaches for EQR Data Collection </w:t>
      </w:r>
      <w:r w:rsidRPr="00990D3B" w:rsidR="006A18E0">
        <w:br/>
      </w:r>
      <w:r w:rsidRPr="00990D3B" w:rsidR="006C2AC5">
        <w:t>Activities</w:t>
      </w:r>
      <w:r w:rsidRPr="00990D3B" w:rsidR="006A79A2">
        <w:tab/>
        <w:t xml:space="preserve">Page </w:t>
      </w:r>
      <w:r w:rsidRPr="00990D3B" w:rsidR="00935E58">
        <w:t>C</w:t>
      </w:r>
      <w:r w:rsidRPr="00990D3B" w:rsidR="006A79A2">
        <w:t>.1</w:t>
      </w:r>
    </w:p>
    <w:p w:rsidR="006C2AC5" w:rsidRPr="00990D3B" w:rsidP="00BD1FC3" w14:paraId="6139E2F1" w14:textId="2B96E4AB">
      <w:pPr>
        <w:pStyle w:val="ParagraphContinued"/>
      </w:pPr>
      <w:r w:rsidRPr="00990D3B">
        <w:t xml:space="preserve">This appendix provides an overview of sampling </w:t>
      </w:r>
      <w:r w:rsidRPr="00990D3B" w:rsidR="00F42974">
        <w:t>approaches</w:t>
      </w:r>
      <w:r w:rsidRPr="00990D3B">
        <w:t xml:space="preserve"> that can be used in Protocols </w:t>
      </w:r>
      <w:hyperlink w:anchor="Protocol1" w:tooltip="1" w:history="1">
        <w:r w:rsidRPr="00990D3B" w:rsidR="007E1343">
          <w:rPr>
            <w:rStyle w:val="Hyperlink"/>
          </w:rPr>
          <w:t>1</w:t>
        </w:r>
      </w:hyperlink>
      <w:r w:rsidRPr="00990D3B" w:rsidR="007E1343">
        <w:t xml:space="preserve">, </w:t>
      </w:r>
      <w:hyperlink w:anchor="Protocol2" w:tooltip="2" w:history="1">
        <w:r w:rsidRPr="00990D3B" w:rsidR="007E1343">
          <w:rPr>
            <w:rStyle w:val="Hyperlink"/>
          </w:rPr>
          <w:t>2</w:t>
        </w:r>
      </w:hyperlink>
      <w:r w:rsidRPr="00990D3B" w:rsidR="007E1343">
        <w:t xml:space="preserve">, </w:t>
      </w:r>
      <w:hyperlink w:anchor="Protocol5" w:tooltip="5" w:history="1">
        <w:r w:rsidRPr="00990D3B" w:rsidR="007E1343">
          <w:rPr>
            <w:rStyle w:val="Hyperlink"/>
          </w:rPr>
          <w:t>5</w:t>
        </w:r>
      </w:hyperlink>
      <w:r w:rsidRPr="00990D3B" w:rsidR="007E1343">
        <w:t xml:space="preserve">, </w:t>
      </w:r>
      <w:hyperlink w:anchor="Protocol6" w:tooltip="6" w:history="1">
        <w:r w:rsidRPr="00990D3B" w:rsidR="007E1343">
          <w:rPr>
            <w:rStyle w:val="Hyperlink"/>
          </w:rPr>
          <w:t>6</w:t>
        </w:r>
      </w:hyperlink>
      <w:r w:rsidRPr="00990D3B" w:rsidR="007E1343">
        <w:t xml:space="preserve">, </w:t>
      </w:r>
      <w:hyperlink w:anchor="Protocol7" w:tooltip="7" w:history="1">
        <w:r w:rsidRPr="00990D3B" w:rsidR="007E1343">
          <w:rPr>
            <w:rStyle w:val="Hyperlink"/>
          </w:rPr>
          <w:t>7</w:t>
        </w:r>
      </w:hyperlink>
      <w:r w:rsidRPr="00990D3B" w:rsidR="007E1343">
        <w:t xml:space="preserve">, </w:t>
      </w:r>
      <w:hyperlink w:anchor="Protocol8" w:tooltip="8" w:history="1">
        <w:r w:rsidRPr="00990D3B">
          <w:rPr>
            <w:rStyle w:val="Hyperlink"/>
          </w:rPr>
          <w:t>8</w:t>
        </w:r>
      </w:hyperlink>
      <w:r w:rsidRPr="00990D3B">
        <w:t xml:space="preserve">, and </w:t>
      </w:r>
      <w:hyperlink w:anchor="Protocol9" w:tooltip="9" w:history="1">
        <w:r w:rsidRPr="00990D3B">
          <w:rPr>
            <w:rStyle w:val="Hyperlink"/>
          </w:rPr>
          <w:t>9</w:t>
        </w:r>
      </w:hyperlink>
      <w:r w:rsidRPr="00990D3B">
        <w:t>.</w:t>
      </w:r>
    </w:p>
    <w:p w:rsidR="007F2E18" w:rsidRPr="00990D3B" w:rsidP="00BD1FC3" w14:paraId="7DA1A691" w14:textId="19AB245B">
      <w:pPr>
        <w:pStyle w:val="TOC1Headingblock"/>
        <w:tabs>
          <w:tab w:val="right" w:pos="8550"/>
        </w:tabs>
        <w:spacing w:before="0"/>
      </w:pPr>
      <w:r w:rsidRPr="00990D3B">
        <w:rPr>
          <w:noProof/>
        </w:rPr>
        <w:drawing>
          <wp:anchor distT="0" distB="0" distL="114300" distR="114300" simplePos="0" relativeHeight="251666432" behindDoc="0" locked="1" layoutInCell="1" allowOverlap="1">
            <wp:simplePos x="0" y="0"/>
            <wp:positionH relativeFrom="column">
              <wp:posOffset>5520690</wp:posOffset>
            </wp:positionH>
            <wp:positionV relativeFrom="paragraph">
              <wp:posOffset>-1263650</wp:posOffset>
            </wp:positionV>
            <wp:extent cx="599440" cy="640080"/>
            <wp:effectExtent l="0" t="0" r="0" b="7620"/>
            <wp:wrapNone/>
            <wp:docPr id="29" name="Picture 29" descr="go now - appendix C">
              <a:hlinkClick xmlns:a="http://schemas.openxmlformats.org/drawingml/2006/main" xmlns:r="http://schemas.openxmlformats.org/officeDocument/2006/relationships" r:id="rId91" tooltip="This is the go now! button for Appendix C. Click on the image to navigate to Appendix C within this docum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o now - appendix C">
                      <a:hlinkClick xmlns:a="http://schemas.openxmlformats.org/drawingml/2006/main" xmlns:r="http://schemas.openxmlformats.org/officeDocument/2006/relationships" r:id="rId91" tooltip="This is the go now! button for Appendix C. Click on the image to navigate to Appendix C within this document."/>
                    </pic:cNvPr>
                    <pic:cNvPicPr/>
                  </pic:nvPicPr>
                  <pic:blipFill>
                    <a:blip xmlns:r="http://schemas.openxmlformats.org/officeDocument/2006/relationships" r:embed="rId9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9440" cy="640080"/>
                    </a:xfrm>
                    <a:prstGeom prst="rect">
                      <a:avLst/>
                    </a:prstGeom>
                  </pic:spPr>
                </pic:pic>
              </a:graphicData>
            </a:graphic>
            <wp14:sizeRelH relativeFrom="page">
              <wp14:pctWidth>0</wp14:pctWidth>
            </wp14:sizeRelH>
            <wp14:sizeRelV relativeFrom="page">
              <wp14:pctHeight>0</wp14:pctHeight>
            </wp14:sizeRelV>
          </wp:anchor>
        </w:drawing>
      </w:r>
      <w:r w:rsidRPr="00990D3B" w:rsidR="006C2AC5">
        <w:t xml:space="preserve">Appendix </w:t>
      </w:r>
      <w:r w:rsidRPr="00990D3B" w:rsidR="00935E58">
        <w:t>D</w:t>
      </w:r>
      <w:r w:rsidRPr="00990D3B" w:rsidR="00F42974">
        <w:t>. Acronyms Used in the Protocols</w:t>
      </w:r>
      <w:r w:rsidRPr="00990D3B" w:rsidR="006A79A2">
        <w:tab/>
        <w:t xml:space="preserve">Page </w:t>
      </w:r>
      <w:r w:rsidRPr="00990D3B" w:rsidR="00935E58">
        <w:t>D</w:t>
      </w:r>
      <w:r w:rsidRPr="00990D3B" w:rsidR="006A79A2">
        <w:t>.1</w:t>
      </w:r>
    </w:p>
    <w:p w:rsidR="00F42974" w:rsidRPr="00990D3B" w:rsidP="00BD1FC3" w14:paraId="4448C893" w14:textId="1F389B10">
      <w:pPr>
        <w:pStyle w:val="ParagraphContinued"/>
      </w:pPr>
      <w:r w:rsidRPr="00990D3B">
        <w:t xml:space="preserve">This appendix defines acronyms used in the </w:t>
      </w:r>
      <w:r w:rsidRPr="00990D3B" w:rsidR="00FC5666">
        <w:t>p</w:t>
      </w:r>
      <w:r w:rsidRPr="00990D3B">
        <w:t>rotocols.</w:t>
      </w:r>
    </w:p>
    <w:p w:rsidR="007F2E18" w:rsidRPr="00990D3B" w:rsidP="00BD1FC3" w14:paraId="3D800847" w14:textId="79CCEAB4">
      <w:pPr>
        <w:pStyle w:val="TOC1Headingblock"/>
        <w:tabs>
          <w:tab w:val="right" w:pos="8550"/>
        </w:tabs>
        <w:spacing w:before="0"/>
      </w:pPr>
      <w:r w:rsidRPr="00990D3B">
        <w:rPr>
          <w:noProof/>
        </w:rPr>
        <w:drawing>
          <wp:anchor distT="0" distB="0" distL="114300" distR="114300" simplePos="0" relativeHeight="251668480" behindDoc="0" locked="1" layoutInCell="1" allowOverlap="1">
            <wp:simplePos x="0" y="0"/>
            <wp:positionH relativeFrom="column">
              <wp:posOffset>5523230</wp:posOffset>
            </wp:positionH>
            <wp:positionV relativeFrom="paragraph">
              <wp:posOffset>-1024255</wp:posOffset>
            </wp:positionV>
            <wp:extent cx="599569" cy="640080"/>
            <wp:effectExtent l="0" t="0" r="0" b="7620"/>
            <wp:wrapNone/>
            <wp:docPr id="463" name="Picture 463" descr="go now - appendix D">
              <a:hlinkClick xmlns:a="http://schemas.openxmlformats.org/drawingml/2006/main" xmlns:r="http://schemas.openxmlformats.org/officeDocument/2006/relationships" r:id="rId93" tooltip="This is the go now! button for Appendix D. Click on the image to navigate to Appendix D within this docum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Picture 463" descr="go now - appendix D">
                      <a:hlinkClick xmlns:a="http://schemas.openxmlformats.org/drawingml/2006/main" xmlns:r="http://schemas.openxmlformats.org/officeDocument/2006/relationships" r:id="rId93" tooltip="This is the go now! button for Appendix D. Click on the image to navigate to Appendix D within this document."/>
                    </pic:cNvPr>
                    <pic:cNvPicPr/>
                  </pic:nvPicPr>
                  <pic:blipFill>
                    <a:blip xmlns:r="http://schemas.openxmlformats.org/officeDocument/2006/relationships" r:embed="rId9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9569" cy="640080"/>
                    </a:xfrm>
                    <a:prstGeom prst="rect">
                      <a:avLst/>
                    </a:prstGeom>
                  </pic:spPr>
                </pic:pic>
              </a:graphicData>
            </a:graphic>
            <wp14:sizeRelH relativeFrom="margin">
              <wp14:pctWidth>0</wp14:pctWidth>
            </wp14:sizeRelH>
            <wp14:sizeRelV relativeFrom="margin">
              <wp14:pctHeight>0</wp14:pctHeight>
            </wp14:sizeRelV>
          </wp:anchor>
        </w:drawing>
      </w:r>
      <w:r w:rsidRPr="00990D3B">
        <w:t xml:space="preserve">Appendix </w:t>
      </w:r>
      <w:r w:rsidRPr="00990D3B" w:rsidR="00CB2A55">
        <w:t>E</w:t>
      </w:r>
      <w:r w:rsidRPr="00990D3B" w:rsidR="00A93C95">
        <w:t>.</w:t>
      </w:r>
      <w:r w:rsidRPr="00990D3B" w:rsidR="000C05BB">
        <w:t xml:space="preserve"> </w:t>
      </w:r>
      <w:r w:rsidRPr="00990D3B" w:rsidR="005416DE">
        <w:t>EQR</w:t>
      </w:r>
      <w:r w:rsidRPr="00990D3B" w:rsidR="00EA0F1A">
        <w:t xml:space="preserve"> Glossary of Terms</w:t>
      </w:r>
      <w:r w:rsidRPr="00990D3B" w:rsidR="006A18E0">
        <w:tab/>
        <w:t xml:space="preserve">Page </w:t>
      </w:r>
      <w:r w:rsidRPr="00990D3B" w:rsidR="00C754BA">
        <w:t>E</w:t>
      </w:r>
      <w:r w:rsidRPr="00990D3B" w:rsidR="006A18E0">
        <w:t>.1</w:t>
      </w:r>
      <w:r w:rsidRPr="00990D3B" w:rsidR="00D20B68">
        <w:rPr>
          <w:noProof/>
        </w:rPr>
        <w:drawing>
          <wp:anchor distT="0" distB="0" distL="114300" distR="114300" simplePos="0" relativeHeight="252014592" behindDoc="0" locked="1" layoutInCell="1" allowOverlap="1">
            <wp:simplePos x="0" y="0"/>
            <wp:positionH relativeFrom="column">
              <wp:posOffset>5495290</wp:posOffset>
            </wp:positionH>
            <wp:positionV relativeFrom="paragraph">
              <wp:posOffset>-220345</wp:posOffset>
            </wp:positionV>
            <wp:extent cx="685800" cy="685800"/>
            <wp:effectExtent l="0" t="0" r="0" b="0"/>
            <wp:wrapNone/>
            <wp:docPr id="234680015" name="Picture 234680015" descr="go now - appendix E">
              <a:hlinkClick xmlns:a="http://schemas.openxmlformats.org/drawingml/2006/main" xmlns:r="http://schemas.openxmlformats.org/officeDocument/2006/relationships" r:id="rId95" tooltip="This is the go now! button for Appendix E. Click on the image to navigate to Appendix E within this docum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80015" name="Picture 234680015" descr="go now - appendix E">
                      <a:hlinkClick xmlns:a="http://schemas.openxmlformats.org/drawingml/2006/main" xmlns:r="http://schemas.openxmlformats.org/officeDocument/2006/relationships" r:id="rId95" tooltip="This is the go now! button for Appendix E. Click on the image to navigate to Appendix E within this document."/>
                    </pic:cNvPr>
                    <pic:cNvPicPr/>
                  </pic:nvPicPr>
                  <pic:blipFill>
                    <a:blip xmlns:r="http://schemas.openxmlformats.org/officeDocument/2006/relationships" r:embed="rId96"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rsidR="00F42974" w:rsidRPr="00990D3B" w:rsidP="00BD1FC3" w14:paraId="276C67E5" w14:textId="4A5DC1CE">
      <w:pPr>
        <w:pStyle w:val="ParagraphContinued"/>
      </w:pPr>
      <w:bookmarkStart w:id="88" w:name="_Toc493246352"/>
      <w:r w:rsidRPr="00990D3B">
        <w:t xml:space="preserve">This appendix defines </w:t>
      </w:r>
      <w:r w:rsidRPr="00990D3B" w:rsidR="00FC4648">
        <w:t xml:space="preserve">the </w:t>
      </w:r>
      <w:r w:rsidRPr="00990D3B">
        <w:t xml:space="preserve">terms used in the </w:t>
      </w:r>
      <w:r w:rsidRPr="00990D3B" w:rsidR="005416DE">
        <w:t>p</w:t>
      </w:r>
      <w:r w:rsidRPr="00990D3B">
        <w:t>rotocols.</w:t>
      </w:r>
    </w:p>
    <w:p w:rsidR="007F1BA1" w:rsidRPr="00990D3B" w:rsidP="00BD1FC3" w14:paraId="7DB20389" w14:textId="00AA6644">
      <w:pPr>
        <w:pStyle w:val="H2"/>
      </w:pPr>
      <w:bookmarkStart w:id="89" w:name="_Toc496116357"/>
      <w:bookmarkStart w:id="90" w:name="_Toc14777677"/>
      <w:bookmarkStart w:id="91" w:name="_Toc183005565"/>
      <w:bookmarkStart w:id="92" w:name="_Toc201751336"/>
      <w:r w:rsidRPr="00990D3B">
        <w:t>F</w:t>
      </w:r>
      <w:r w:rsidRPr="00990D3B" w:rsidR="006D5707">
        <w:t>or</w:t>
      </w:r>
      <w:r w:rsidRPr="00990D3B">
        <w:t xml:space="preserve"> </w:t>
      </w:r>
      <w:r w:rsidRPr="00990D3B" w:rsidR="009A1709">
        <w:t>F</w:t>
      </w:r>
      <w:r w:rsidRPr="00990D3B" w:rsidR="006D5707">
        <w:t>urther Information</w:t>
      </w:r>
      <w:bookmarkEnd w:id="88"/>
      <w:bookmarkEnd w:id="89"/>
      <w:bookmarkEnd w:id="90"/>
      <w:bookmarkEnd w:id="91"/>
      <w:bookmarkEnd w:id="92"/>
    </w:p>
    <w:p w:rsidR="007F1BA1" w:rsidRPr="00990D3B" w:rsidP="00C729CB" w14:paraId="313E8C64" w14:textId="236B581D">
      <w:pPr>
        <w:pStyle w:val="Paragraph0"/>
      </w:pPr>
      <w:r w:rsidRPr="00990D3B">
        <w:t>Technical assistance resources related to EQR</w:t>
      </w:r>
      <w:r w:rsidRPr="00990D3B" w:rsidR="00B51E34">
        <w:t>, including the EQR protocols,</w:t>
      </w:r>
      <w:r w:rsidRPr="00990D3B">
        <w:t xml:space="preserve"> are available on Medicaid.gov at</w:t>
      </w:r>
      <w:r w:rsidRPr="00990D3B">
        <w:rPr>
          <w:b/>
          <w:bCs/>
        </w:rPr>
        <w:t xml:space="preserve"> </w:t>
      </w:r>
      <w:hyperlink r:id="rId97" w:history="1">
        <w:r w:rsidRPr="00990D3B" w:rsidR="00AC189A">
          <w:rPr>
            <w:rStyle w:val="Hyperlink"/>
            <w:b/>
            <w:bCs/>
          </w:rPr>
          <w:t>https://www.medicaid.gov/medicaid/quality-of-care/medicaid-managed-care-quality/quality-of-care-external-quality-review</w:t>
        </w:r>
      </w:hyperlink>
      <w:r w:rsidRPr="00990D3B" w:rsidR="00AC189A">
        <w:t>.</w:t>
      </w:r>
      <w:r w:rsidRPr="00990D3B" w:rsidR="005B5C0F">
        <w:rPr>
          <w:rStyle w:val="Hyperlink"/>
          <w:b/>
          <w:bCs/>
        </w:rPr>
        <w:t xml:space="preserve"> </w:t>
      </w:r>
    </w:p>
    <w:p w:rsidR="0087315D" w:rsidRPr="00990D3B" w:rsidP="00BD1FC3" w14:paraId="20453E95" w14:textId="3A2591AD">
      <w:pPr>
        <w:pStyle w:val="Paragraph0"/>
      </w:pPr>
      <w:r w:rsidRPr="00990D3B">
        <w:t xml:space="preserve">Please submit any questions or requests for technical assistance related to EQR to </w:t>
      </w:r>
      <w:hyperlink r:id="rId97" w:tooltip="Managed Care Quality TA email address." w:history="1">
        <w:r w:rsidRPr="00990D3B">
          <w:rPr>
            <w:rStyle w:val="Hyperlink"/>
            <w:b/>
            <w:szCs w:val="22"/>
          </w:rPr>
          <w:t>ManagedCareQualityTA@cms.hhs.gov</w:t>
        </w:r>
      </w:hyperlink>
      <w:r w:rsidRPr="00990D3B">
        <w:t>.</w:t>
      </w:r>
    </w:p>
    <w:p w:rsidR="00D17C9D" w:rsidRPr="00990D3B" w:rsidP="00BD1FC3" w14:paraId="3A04BA3A" w14:textId="77777777">
      <w:pPr>
        <w:pStyle w:val="BLANKPAGE"/>
        <w:sectPr w:rsidSect="00A65C6B">
          <w:headerReference w:type="even" r:id="rId98"/>
          <w:headerReference w:type="default" r:id="rId99"/>
          <w:footerReference w:type="even" r:id="rId100"/>
          <w:footerReference w:type="default" r:id="rId101"/>
          <w:headerReference w:type="first" r:id="rId102"/>
          <w:footerReference w:type="first" r:id="rId103"/>
          <w:pgSz w:w="12240" w:h="15840" w:code="1"/>
          <w:pgMar w:top="1440" w:right="1440" w:bottom="1440" w:left="1440" w:header="720" w:footer="720" w:gutter="0"/>
          <w:cols w:space="720"/>
          <w:titlePg/>
          <w:docGrid w:linePitch="360"/>
        </w:sectPr>
      </w:pPr>
    </w:p>
    <w:p w:rsidR="00A128D2" w:rsidRPr="00990D3B" w:rsidP="00BD1FC3" w14:paraId="0F7799FF" w14:textId="3F3D79D6">
      <w:pPr>
        <w:pStyle w:val="H1"/>
      </w:pPr>
      <w:bookmarkStart w:id="93" w:name="Protocol1"/>
      <w:bookmarkStart w:id="94" w:name="_Toc493246353"/>
      <w:bookmarkStart w:id="95" w:name="_Toc14777678"/>
      <w:bookmarkStart w:id="96" w:name="_Toc183005566"/>
      <w:bookmarkStart w:id="97" w:name="_Toc201751337"/>
      <w:bookmarkEnd w:id="93"/>
      <w:r w:rsidRPr="00990D3B">
        <w:t xml:space="preserve">Protocol 1. Validation </w:t>
      </w:r>
      <w:r w:rsidRPr="00990D3B" w:rsidR="00394F7B">
        <w:t>o</w:t>
      </w:r>
      <w:r w:rsidRPr="00990D3B">
        <w:t>f</w:t>
      </w:r>
      <w:r w:rsidRPr="00990D3B" w:rsidR="00394F7B">
        <w:t xml:space="preserve"> </w:t>
      </w:r>
      <w:r w:rsidRPr="00990D3B">
        <w:t>Performance Improvement Projects</w:t>
      </w:r>
      <w:bookmarkEnd w:id="94"/>
      <w:bookmarkEnd w:id="95"/>
      <w:bookmarkEnd w:id="96"/>
      <w:bookmarkEnd w:id="97"/>
    </w:p>
    <w:p w:rsidR="00AA3C06" w:rsidRPr="00990D3B" w:rsidP="00BD1FC3" w14:paraId="6B55A8BD" w14:textId="020C3C58">
      <w:pPr>
        <w:pStyle w:val="EQRMANDATORYorOPTIONAL"/>
      </w:pPr>
      <w:r w:rsidRPr="00990D3B">
        <w:t>A Mandatory EQR-Related Activity</w:t>
      </w:r>
    </w:p>
    <w:tbl>
      <w:tblPr>
        <w:tblW w:w="7200" w:type="dxa"/>
        <w:tblBorders>
          <w:insideV w:val="single" w:sz="2" w:space="0" w:color="00559D"/>
        </w:tblBorders>
        <w:tblLayout w:type="fixed"/>
        <w:tblLook w:val="04A0"/>
      </w:tblPr>
      <w:tblGrid>
        <w:gridCol w:w="7200"/>
      </w:tblGrid>
      <w:tr w14:paraId="39F75850" w14:textId="77777777" w:rsidTr="00BD1FC3">
        <w:tblPrEx>
          <w:tblW w:w="7200" w:type="dxa"/>
          <w:tblBorders>
            <w:insideV w:val="single" w:sz="2" w:space="0" w:color="00559D"/>
          </w:tblBorders>
          <w:tblLayout w:type="fixed"/>
          <w:tblLook w:val="04A0"/>
        </w:tblPrEx>
        <w:trPr>
          <w:trHeight w:val="144"/>
          <w:tblHeader/>
        </w:trPr>
        <w:tc>
          <w:tcPr>
            <w:tcW w:w="7200" w:type="dxa"/>
            <w:shd w:val="clear" w:color="auto" w:fill="1CA8B7"/>
            <w:vAlign w:val="bottom"/>
          </w:tcPr>
          <w:p w:rsidR="00F91F4A" w:rsidRPr="00BF4A2F" w:rsidP="00C2571C" w14:paraId="3242710A" w14:textId="0644CE54">
            <w:pPr>
              <w:pStyle w:val="EQRACTIVITY"/>
              <w:rPr>
                <w:color w:val="auto"/>
              </w:rPr>
            </w:pPr>
          </w:p>
        </w:tc>
      </w:tr>
      <w:tr w14:paraId="6706298A" w14:textId="77777777" w:rsidTr="00BD1FC3">
        <w:tblPrEx>
          <w:tblW w:w="7200" w:type="dxa"/>
          <w:tblLayout w:type="fixed"/>
          <w:tblLook w:val="04A0"/>
        </w:tblPrEx>
        <w:trPr>
          <w:trHeight w:val="20"/>
        </w:trPr>
        <w:tc>
          <w:tcPr>
            <w:tcW w:w="7200" w:type="dxa"/>
            <w:shd w:val="clear" w:color="auto" w:fill="EEF5F8"/>
          </w:tcPr>
          <w:p w:rsidR="00F91F4A" w:rsidRPr="00990D3B" w:rsidP="008544E6" w14:paraId="6103BA12" w14:textId="31A2CCB0">
            <w:pPr>
              <w:pStyle w:val="EQRACTIVITY"/>
            </w:pPr>
            <w:hyperlink w:anchor="P1A1" w:tooltip="ACTIVITY 1: ASSESS THE PIP METHODOLOGY" w:history="1">
              <w:r w:rsidRPr="00990D3B">
                <w:rPr>
                  <w:rStyle w:val="Hyperlink"/>
                </w:rPr>
                <w:t xml:space="preserve">ACTIVITY 1: ASSESS THE </w:t>
              </w:r>
              <w:r w:rsidRPr="00990D3B" w:rsidR="008544E6">
                <w:rPr>
                  <w:rStyle w:val="Hyperlink"/>
                </w:rPr>
                <w:t xml:space="preserve">PIP </w:t>
              </w:r>
              <w:r w:rsidRPr="00990D3B">
                <w:rPr>
                  <w:rStyle w:val="Hyperlink"/>
                </w:rPr>
                <w:t>METHODOLOGY</w:t>
              </w:r>
            </w:hyperlink>
          </w:p>
        </w:tc>
      </w:tr>
      <w:tr w14:paraId="7C6AA5BD" w14:textId="77777777" w:rsidTr="00BD1FC3">
        <w:tblPrEx>
          <w:tblW w:w="7200" w:type="dxa"/>
          <w:tblLayout w:type="fixed"/>
          <w:tblLook w:val="04A0"/>
        </w:tblPrEx>
        <w:trPr>
          <w:trHeight w:val="20"/>
        </w:trPr>
        <w:tc>
          <w:tcPr>
            <w:tcW w:w="7200" w:type="dxa"/>
          </w:tcPr>
          <w:p w:rsidR="00F91F4A" w:rsidRPr="00990D3B" w:rsidP="00FF3C9A" w14:paraId="72748DA3" w14:textId="117DBAC7">
            <w:pPr>
              <w:pStyle w:val="EQRACTIVITY"/>
              <w:rPr>
                <w:rStyle w:val="Hyperlink"/>
              </w:rPr>
            </w:pPr>
            <w:hyperlink w:anchor="P1A2" w:tooltip="ACTIVITY 2: PERFORM OVERALL VALIDATION AND REPORTING OF PIP RESULTS" w:history="1">
              <w:r w:rsidRPr="00990D3B">
                <w:rPr>
                  <w:rStyle w:val="Hyperlink"/>
                </w:rPr>
                <w:t xml:space="preserve">ACTIVITY 2: </w:t>
              </w:r>
              <w:r w:rsidRPr="00990D3B" w:rsidR="004C1ED3">
                <w:rPr>
                  <w:rStyle w:val="Hyperlink"/>
                </w:rPr>
                <w:t>PERFORM OVERALL VALIDATION</w:t>
              </w:r>
              <w:r w:rsidRPr="00990D3B" w:rsidR="00781BD2">
                <w:rPr>
                  <w:rStyle w:val="Hyperlink"/>
                </w:rPr>
                <w:t xml:space="preserve"> AND REPORTING</w:t>
              </w:r>
              <w:r w:rsidRPr="00990D3B" w:rsidR="004C1ED3">
                <w:rPr>
                  <w:rStyle w:val="Hyperlink"/>
                </w:rPr>
                <w:t xml:space="preserve"> OF PIP RESULTS</w:t>
              </w:r>
            </w:hyperlink>
          </w:p>
        </w:tc>
      </w:tr>
      <w:tr w14:paraId="22CF3CB0" w14:textId="77777777" w:rsidTr="00BD1FC3">
        <w:tblPrEx>
          <w:tblW w:w="7200" w:type="dxa"/>
          <w:tblLayout w:type="fixed"/>
          <w:tblLook w:val="04A0"/>
        </w:tblPrEx>
        <w:trPr>
          <w:trHeight w:val="20"/>
        </w:trPr>
        <w:tc>
          <w:tcPr>
            <w:tcW w:w="7200" w:type="dxa"/>
            <w:shd w:val="clear" w:color="auto" w:fill="EEF5F8"/>
          </w:tcPr>
          <w:p w:rsidR="00F91F4A" w:rsidRPr="00990D3B" w:rsidP="008544E6" w14:paraId="226549DC" w14:textId="1AE4881D">
            <w:pPr>
              <w:pStyle w:val="EQRACTIVITY"/>
            </w:pPr>
            <w:hyperlink w:anchor="P1A3" w:tooltip="ACTIVITY 3: VERIFY PIP FINDINGS (OPTIONAL)" w:history="1">
              <w:r w:rsidRPr="00990D3B">
                <w:rPr>
                  <w:rStyle w:val="Hyperlink"/>
                </w:rPr>
                <w:t xml:space="preserve">ACTIVITY 3: </w:t>
              </w:r>
              <w:r w:rsidRPr="00990D3B" w:rsidR="004C1ED3">
                <w:rPr>
                  <w:rStyle w:val="Hyperlink"/>
                </w:rPr>
                <w:t>VERIFY PIP FINDINGS (OPTIONAL)</w:t>
              </w:r>
            </w:hyperlink>
          </w:p>
        </w:tc>
      </w:tr>
      <w:tr w14:paraId="0F7587AA" w14:textId="77777777" w:rsidTr="00BD1FC3">
        <w:tblPrEx>
          <w:tblW w:w="7200" w:type="dxa"/>
          <w:tblLayout w:type="fixed"/>
          <w:tblLook w:val="04A0"/>
        </w:tblPrEx>
        <w:trPr>
          <w:trHeight w:val="20"/>
        </w:trPr>
        <w:tc>
          <w:tcPr>
            <w:tcW w:w="7200" w:type="dxa"/>
            <w:tcBorders>
              <w:bottom w:val="nil"/>
            </w:tcBorders>
            <w:shd w:val="clear" w:color="auto" w:fill="EEF5F8"/>
          </w:tcPr>
          <w:p w:rsidR="009351D1" w:rsidRPr="00990D3B" w:rsidP="009351D1" w14:paraId="7357EEEA" w14:textId="420FFC7D">
            <w:pPr>
              <w:pStyle w:val="EQRACTIVITY"/>
            </w:pPr>
            <w:hyperlink w:anchor="P1A4" w:history="1">
              <w:r w:rsidRPr="00990D3B">
                <w:rPr>
                  <w:rStyle w:val="Hyperlink"/>
                </w:rPr>
                <w:t>ACTIVITY 4: REPORT RESULTS TO THE STATE</w:t>
              </w:r>
            </w:hyperlink>
          </w:p>
        </w:tc>
      </w:tr>
    </w:tbl>
    <w:p w:rsidR="00F91F4A" w:rsidRPr="00990D3B" w:rsidP="00BD1FC3" w14:paraId="69887020" w14:textId="01E84F1E">
      <w:pPr>
        <w:pStyle w:val="H2"/>
      </w:pPr>
      <w:bookmarkStart w:id="98" w:name="_Toc493246354"/>
      <w:bookmarkStart w:id="99" w:name="_Toc496116358"/>
      <w:bookmarkStart w:id="100" w:name="_Toc14777679"/>
      <w:bookmarkStart w:id="101" w:name="_Toc183005567"/>
      <w:bookmarkStart w:id="102" w:name="_Toc201751338"/>
      <w:r w:rsidRPr="00990D3B">
        <w:t>Background</w:t>
      </w:r>
      <w:bookmarkEnd w:id="98"/>
      <w:bookmarkEnd w:id="99"/>
      <w:bookmarkEnd w:id="100"/>
      <w:bookmarkEnd w:id="101"/>
      <w:bookmarkEnd w:id="102"/>
    </w:p>
    <w:p w:rsidR="00452A5C" w:rsidRPr="00990D3B" w:rsidP="00637811" w14:paraId="318DA362" w14:textId="7563417E">
      <w:pPr>
        <w:pStyle w:val="ParagraphContinued"/>
      </w:pPr>
      <w:r w:rsidRPr="00990D3B">
        <w:t xml:space="preserve">States must require their </w:t>
      </w:r>
      <w:r w:rsidRPr="00990D3B" w:rsidR="002D1DA9">
        <w:t xml:space="preserve">Medicaid and </w:t>
      </w:r>
      <w:r w:rsidRPr="00990D3B" w:rsidR="00671C1F">
        <w:t>Children’s Health Insurance Program (</w:t>
      </w:r>
      <w:r w:rsidRPr="00990D3B" w:rsidR="002D1DA9">
        <w:t>CHIP</w:t>
      </w:r>
      <w:r w:rsidRPr="00990D3B" w:rsidR="00671C1F">
        <w:t>)</w:t>
      </w:r>
      <w:r w:rsidRPr="00990D3B" w:rsidR="002D1DA9">
        <w:t xml:space="preserve"> </w:t>
      </w:r>
      <w:r w:rsidRPr="00990D3B">
        <w:t>m</w:t>
      </w:r>
      <w:r w:rsidRPr="00990D3B" w:rsidR="002D1DA9">
        <w:t xml:space="preserve">anaged </w:t>
      </w:r>
      <w:r w:rsidRPr="00990D3B">
        <w:t>c</w:t>
      </w:r>
      <w:r w:rsidRPr="00990D3B" w:rsidR="002D1DA9">
        <w:t xml:space="preserve">are </w:t>
      </w:r>
      <w:r w:rsidRPr="00990D3B">
        <w:t>p</w:t>
      </w:r>
      <w:r w:rsidRPr="00990D3B" w:rsidR="002D1DA9">
        <w:t>lans (MCPs) to conduct performance improvement project</w:t>
      </w:r>
      <w:r w:rsidRPr="00990D3B">
        <w:t>s</w:t>
      </w:r>
      <w:r w:rsidRPr="00990D3B" w:rsidR="002D1DA9">
        <w:t xml:space="preserve"> (PIP</w:t>
      </w:r>
      <w:r w:rsidRPr="00990D3B">
        <w:t>s</w:t>
      </w:r>
      <w:r w:rsidRPr="00990D3B" w:rsidR="002D1DA9">
        <w:t xml:space="preserve">) </w:t>
      </w:r>
      <w:r w:rsidRPr="00990D3B">
        <w:t xml:space="preserve">that focus on both clinical and </w:t>
      </w:r>
      <w:r w:rsidRPr="00990D3B" w:rsidR="00BD2B37">
        <w:t xml:space="preserve">non-clinical </w:t>
      </w:r>
      <w:r w:rsidRPr="00990D3B">
        <w:t xml:space="preserve">areas </w:t>
      </w:r>
      <w:r w:rsidRPr="00990D3B" w:rsidR="002D1DA9">
        <w:t xml:space="preserve">each year as a part of the plan’s quality assessment and performance improvement (QAPI) program, per </w:t>
      </w:r>
      <w:r w:rsidRPr="00990D3B" w:rsidR="001C7FC0">
        <w:t>42 C.F.R.</w:t>
      </w:r>
      <w:r w:rsidRPr="00990D3B" w:rsidR="007854DF">
        <w:t xml:space="preserve"> </w:t>
      </w:r>
      <w:r w:rsidRPr="00990D3B" w:rsidR="002D1DA9">
        <w:t>438.330 and 457.1240(b)</w:t>
      </w:r>
      <w:r w:rsidRPr="00990D3B" w:rsidR="00986AFD">
        <w:t>.</w:t>
      </w:r>
      <w:r>
        <w:rPr>
          <w:rStyle w:val="FootnoteReference"/>
        </w:rPr>
        <w:footnoteReference w:id="28"/>
      </w:r>
      <w:r w:rsidRPr="00E57997" w:rsidR="00AF2457">
        <w:rPr>
          <w:vertAlign w:val="superscript"/>
        </w:rPr>
        <w:t>,</w:t>
      </w:r>
      <w:r w:rsidRPr="00990D3B" w:rsidR="003162DF">
        <w:rPr>
          <w:rFonts w:ascii="ZWAdobeF" w:hAnsi="ZWAdobeF" w:cs="ZWAdobeF"/>
          <w:sz w:val="2"/>
          <w:szCs w:val="2"/>
        </w:rPr>
        <w:t>25F</w:t>
      </w:r>
      <w:r>
        <w:rPr>
          <w:rStyle w:val="FootnoteReference"/>
        </w:rPr>
        <w:footnoteReference w:id="29"/>
      </w:r>
      <w:r w:rsidRPr="00BD2F46" w:rsidR="00E7625A">
        <w:rPr>
          <w:vertAlign w:val="superscript"/>
        </w:rPr>
        <w:t>,</w:t>
      </w:r>
      <w:r>
        <w:rPr>
          <w:rStyle w:val="FootnoteReference"/>
        </w:rPr>
        <w:footnoteReference w:id="30"/>
      </w:r>
      <w:r w:rsidR="00E7625A">
        <w:t xml:space="preserve"> </w:t>
      </w:r>
      <w:r w:rsidRPr="00990D3B" w:rsidR="00951E4F">
        <w:t xml:space="preserve">See </w:t>
      </w:r>
      <w:hyperlink w:anchor="Box1n1" w:tooltip="Box 1.1" w:history="1">
        <w:r w:rsidRPr="00990D3B" w:rsidR="00951E4F">
          <w:rPr>
            <w:rStyle w:val="Hyperlink"/>
          </w:rPr>
          <w:t>Box 1.1</w:t>
        </w:r>
      </w:hyperlink>
      <w:r w:rsidRPr="00990D3B" w:rsidR="00951E4F">
        <w:t xml:space="preserve"> for the definition of a PIP.</w:t>
      </w:r>
      <w:r w:rsidRPr="00990D3B">
        <w:t xml:space="preserve"> </w:t>
      </w:r>
    </w:p>
    <w:p w:rsidR="00FA76C9" w:rsidRPr="00990D3B" w:rsidP="00BD1FC3" w14:paraId="5FC7AA53" w14:textId="3FE92E77">
      <w:pPr>
        <w:pStyle w:val="Paragraph0"/>
      </w:pPr>
      <w:r w:rsidRPr="00990D3B">
        <w:rPr>
          <w:noProof/>
        </w:rPr>
        <mc:AlternateContent>
          <mc:Choice Requires="wps">
            <w:drawing>
              <wp:inline distT="0" distB="0" distL="0" distR="0">
                <wp:extent cx="4692650" cy="1143000"/>
                <wp:effectExtent l="19050" t="19050" r="0" b="0"/>
                <wp:docPr id="1249454690" name="Text Box 220" descr="Box 1.1. What is a PIP? &#10;A PIP is a project conducted by the MCP that is designed to achieve significant improvement, sustained over time, in health outcomes and enrollee experience. A PIP may be designed to change behavior at a member, provider, and/or MCP/system level. The topic should target improvement in relevant areas of clinical and non-clinical services.&#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4692650" cy="1143000"/>
                        </a:xfrm>
                        <a:prstGeom prst="rect">
                          <a:avLst/>
                        </a:prstGeom>
                        <a:solidFill>
                          <a:srgbClr val="EEF5F8"/>
                        </a:solidFill>
                        <a:ln w="28575" cap="rnd">
                          <a:solidFill>
                            <a:srgbClr val="A5DAD9"/>
                          </a:solidFill>
                          <a:prstDash val="solid"/>
                          <a:miter lim="800000"/>
                          <a:headEnd/>
                          <a:tailEnd/>
                        </a:ln>
                      </wps:spPr>
                      <wps:txbx>
                        <w:txbxContent>
                          <w:p w:rsidR="00ED33C3" w:rsidP="00FA76C9" w14:textId="77777777">
                            <w:pPr>
                              <w:pStyle w:val="EQRTextboxheading"/>
                              <w:rPr>
                                <w:rFonts w:eastAsia="Times New Roman" w:asciiTheme="minorHAnsi" w:hAnsiTheme="minorHAnsi" w:cs="Times New Roman"/>
                                <w:color w:val="auto"/>
                                <w:sz w:val="24"/>
                                <w:szCs w:val="20"/>
                              </w:rPr>
                            </w:pPr>
                            <w:bookmarkStart w:id="103" w:name="Box1i"/>
                            <w:bookmarkStart w:id="104" w:name="Box1n1"/>
                            <w:bookmarkEnd w:id="103"/>
                            <w:r w:rsidRPr="00614528">
                              <w:t>Box 1.1.</w:t>
                            </w:r>
                            <w:bookmarkEnd w:id="104"/>
                            <w:r w:rsidRPr="00614528">
                              <w:t xml:space="preserve"> What is a PIP?</w:t>
                            </w:r>
                            <w:r w:rsidRPr="00614528">
                              <w:rPr>
                                <w:rFonts w:eastAsia="Times New Roman" w:asciiTheme="minorHAnsi" w:hAnsiTheme="minorHAnsi" w:cs="Times New Roman"/>
                                <w:color w:val="auto"/>
                                <w:sz w:val="24"/>
                                <w:szCs w:val="20"/>
                              </w:rPr>
                              <w:t xml:space="preserve"> </w:t>
                            </w:r>
                          </w:p>
                          <w:p w:rsidR="00ED33C3" w:rsidRPr="004C5B2B" w:rsidP="00614528" w14:textId="690761C2">
                            <w:pPr>
                              <w:pStyle w:val="EQRTextboxbody"/>
                            </w:pPr>
                            <w:r w:rsidRPr="00614528">
                              <w:t>A PIP is a project conducted by the MCP that is designed to achieve significant improvement, sustained over time, in health outcomes and enrollee experience. A PIP may be designed to change behavior at a member, provider, and/or MCP/system level. The topic should target improvement in relevant areas of clinical and non-clinical services.</w:t>
                            </w:r>
                          </w:p>
                        </w:txbxContent>
                      </wps:txbx>
                      <wps:bodyPr rot="0" vert="horz" wrap="square" lIns="109728" tIns="45720" rIns="109728" bIns="45720" anchor="t" anchorCtr="0" upright="1"/>
                    </wps:wsp>
                  </a:graphicData>
                </a:graphic>
              </wp:inline>
            </w:drawing>
          </mc:Choice>
          <mc:Fallback>
            <w:pict>
              <v:shape id="Text Box 220" o:spid="_x0000_i1048" type="#_x0000_t202" alt="Box 1.1. What is a PIP? &#10;A PIP is a project conducted by the MCP that is designed to achieve significant improvement, sustained over time, in health outcomes and enrollee experience. A PIP may be designed to change behavior at a member, provider, and/or MCP/system level. The topic should target improvement in relevant areas of clinical and non-clinical services.&#10;" style="width:369.5pt;height:90pt;flip:y;mso-left-percent:-10001;mso-position-horizontal-relative:char;mso-position-vertical-relative:line;mso-top-percent:-10001;mso-wrap-style:square;rotation:180;visibility:visible;v-text-anchor:top" fillcolor="#eef5f8" strokecolor="#a5dad9" strokeweight="2.25pt">
                <v:stroke endcap="round"/>
                <v:textbox inset="8.64pt,,8.64pt">
                  <w:txbxContent>
                    <w:p w:rsidR="00ED33C3" w:rsidP="00FA76C9" w14:paraId="5B3E4004" w14:textId="77777777">
                      <w:pPr>
                        <w:pStyle w:val="EQRTextboxheading"/>
                        <w:rPr>
                          <w:rFonts w:eastAsia="Times New Roman" w:asciiTheme="minorHAnsi" w:hAnsiTheme="minorHAnsi" w:cs="Times New Roman"/>
                          <w:color w:val="auto"/>
                          <w:sz w:val="24"/>
                          <w:szCs w:val="20"/>
                        </w:rPr>
                      </w:pPr>
                      <w:bookmarkStart w:id="103" w:name="Box1i"/>
                      <w:bookmarkStart w:id="104" w:name="Box1n1"/>
                      <w:bookmarkEnd w:id="103"/>
                      <w:r w:rsidRPr="00614528">
                        <w:t>Box 1.1.</w:t>
                      </w:r>
                      <w:bookmarkEnd w:id="104"/>
                      <w:r w:rsidRPr="00614528">
                        <w:t xml:space="preserve"> What is a PIP?</w:t>
                      </w:r>
                      <w:r w:rsidRPr="00614528">
                        <w:rPr>
                          <w:rFonts w:eastAsia="Times New Roman" w:asciiTheme="minorHAnsi" w:hAnsiTheme="minorHAnsi" w:cs="Times New Roman"/>
                          <w:color w:val="auto"/>
                          <w:sz w:val="24"/>
                          <w:szCs w:val="20"/>
                        </w:rPr>
                        <w:t xml:space="preserve"> </w:t>
                      </w:r>
                    </w:p>
                    <w:p w:rsidR="00ED33C3" w:rsidRPr="004C5B2B" w:rsidP="00614528" w14:paraId="09DE19DB" w14:textId="690761C2">
                      <w:pPr>
                        <w:pStyle w:val="EQRTextboxbody"/>
                      </w:pPr>
                      <w:r w:rsidRPr="00614528">
                        <w:t>A PIP is a project conducted by the MCP that is designed to achieve significant improvement, sustained over time, in health outcomes and enrollee experience. A PIP may be designed to change behavior at a member, provider, and/or MCP/system level. The topic should target improvement in relevant areas of clinical and non-clinical services.</w:t>
                      </w:r>
                    </w:p>
                  </w:txbxContent>
                </v:textbox>
                <w10:wrap type="none"/>
                <w10:anchorlock/>
              </v:shape>
            </w:pict>
          </mc:Fallback>
        </mc:AlternateContent>
      </w:r>
    </w:p>
    <w:p w:rsidR="004C1ED3" w:rsidRPr="00990D3B" w:rsidP="00BD1FC3" w14:paraId="07B44541" w14:textId="51B4EF40">
      <w:pPr>
        <w:pStyle w:val="Paragraph0"/>
        <w:spacing w:before="240"/>
        <w:rPr>
          <w:spacing w:val="2"/>
        </w:rPr>
      </w:pPr>
      <w:r w:rsidRPr="00990D3B">
        <w:t>This</w:t>
      </w:r>
      <w:r w:rsidRPr="00990D3B">
        <w:t xml:space="preserve"> </w:t>
      </w:r>
      <w:r w:rsidRPr="00990D3B" w:rsidR="00C57416">
        <w:t>external quality review (</w:t>
      </w:r>
      <w:r w:rsidRPr="00990D3B">
        <w:t>EQR</w:t>
      </w:r>
      <w:r w:rsidRPr="00990D3B" w:rsidR="00C57416">
        <w:t>)</w:t>
      </w:r>
      <w:r w:rsidRPr="00990D3B">
        <w:t>-related activity validates the PIPs that the MCP was required to conduct as part of its QAPI program.</w:t>
      </w:r>
      <w:r w:rsidRPr="00990D3B" w:rsidR="00372A2D">
        <w:t xml:space="preserve"> The PIP validation activity should </w:t>
      </w:r>
      <w:r w:rsidRPr="00990D3B" w:rsidR="008260E8">
        <w:t xml:space="preserve">include PIPs underway in the </w:t>
      </w:r>
      <w:r w:rsidRPr="00990D3B" w:rsidR="00372A2D">
        <w:t>12</w:t>
      </w:r>
      <w:r w:rsidRPr="00990D3B" w:rsidR="008322A9">
        <w:t xml:space="preserve"> </w:t>
      </w:r>
      <w:r w:rsidRPr="00990D3B" w:rsidR="00372A2D">
        <w:t xml:space="preserve">months </w:t>
      </w:r>
      <w:r w:rsidRPr="00990D3B" w:rsidR="008260E8">
        <w:t xml:space="preserve">preceding the </w:t>
      </w:r>
      <w:r w:rsidR="00F014B5">
        <w:t xml:space="preserve">period the </w:t>
      </w:r>
      <w:r w:rsidRPr="00990D3B" w:rsidR="008260E8">
        <w:t xml:space="preserve">EQR </w:t>
      </w:r>
      <w:r w:rsidR="00E76F18">
        <w:t xml:space="preserve">activity </w:t>
      </w:r>
      <w:r w:rsidR="00F014B5">
        <w:t>is conducted</w:t>
      </w:r>
      <w:r w:rsidRPr="00990D3B" w:rsidR="008260E8">
        <w:t xml:space="preserve">, </w:t>
      </w:r>
      <w:r w:rsidRPr="00990D3B" w:rsidR="00FC4648">
        <w:t>which begins</w:t>
      </w:r>
      <w:r w:rsidRPr="00990D3B" w:rsidR="00372A2D">
        <w:t xml:space="preserve"> on the first day of the most recently concluded contract year or calendar year, whichever is nearest to the </w:t>
      </w:r>
      <w:r w:rsidR="00B12F2C">
        <w:t xml:space="preserve">date the </w:t>
      </w:r>
      <w:r w:rsidR="00F014B5">
        <w:t>EQR activity beg</w:t>
      </w:r>
      <w:r w:rsidR="0026404E">
        <w:t>an</w:t>
      </w:r>
      <w:r w:rsidRPr="00990D3B" w:rsidR="00372A2D">
        <w:t>.</w:t>
      </w:r>
      <w:r w:rsidRPr="00990D3B">
        <w:t xml:space="preserve"> The </w:t>
      </w:r>
      <w:r w:rsidRPr="00990D3B" w:rsidR="00C57416">
        <w:t>external quality review organization (</w:t>
      </w:r>
      <w:r w:rsidRPr="00990D3B">
        <w:t>EQRO</w:t>
      </w:r>
      <w:r w:rsidRPr="00990D3B" w:rsidR="00C57416">
        <w:t>)</w:t>
      </w:r>
      <w:r w:rsidRPr="00990D3B">
        <w:t xml:space="preserve"> reviews the PIP design and implementation using documents provided by the MCP, which may be supplemented with interviews of MCP staff.</w:t>
      </w:r>
      <w:r w:rsidRPr="00990D3B">
        <w:t xml:space="preserve"> </w:t>
      </w:r>
      <w:r w:rsidRPr="00990D3B" w:rsidR="009351D1">
        <w:t xml:space="preserve">It also assesses the improvement strategies and the likelihood that they may lead to sustained improvement. </w:t>
      </w:r>
      <w:r w:rsidRPr="00990D3B" w:rsidR="00176604">
        <w:t>The EQRO then reports to the state on its findings from reviewing and validating the PIP(s) in the EQR technical report.</w:t>
      </w:r>
      <w:r w:rsidRPr="00990D3B" w:rsidR="00176604">
        <w:rPr>
          <w:rFonts w:ascii="Times New Roman" w:hAnsi="Times New Roman"/>
        </w:rPr>
        <w:t xml:space="preserve"> </w:t>
      </w:r>
      <w:r w:rsidRPr="00990D3B" w:rsidR="00176604">
        <w:rPr>
          <w:spacing w:val="2"/>
        </w:rPr>
        <w:t>As noted in the</w:t>
      </w:r>
      <w:r w:rsidRPr="00990D3B" w:rsidR="00176604">
        <w:t xml:space="preserve"> </w:t>
      </w:r>
      <w:hyperlink w:anchor="Introduction" w:tooltip="Introduction" w:history="1">
        <w:r w:rsidRPr="00990D3B" w:rsidR="00176604">
          <w:rPr>
            <w:rStyle w:val="Hyperlink"/>
          </w:rPr>
          <w:t>Introduction</w:t>
        </w:r>
      </w:hyperlink>
      <w:r w:rsidRPr="00990D3B" w:rsidR="00176604">
        <w:t>,</w:t>
      </w:r>
      <w:r w:rsidRPr="00990D3B" w:rsidR="00176604">
        <w:rPr>
          <w:spacing w:val="2"/>
        </w:rPr>
        <w:t xml:space="preserve"> states have the option to use information from a Medicare or private accreditation review of an MCP to provide information for the </w:t>
      </w:r>
      <w:r w:rsidRPr="00990D3B" w:rsidR="00176604">
        <w:rPr>
          <w:spacing w:val="-4"/>
        </w:rPr>
        <w:t>annual EQR instead of conducting this mandatory EQR-related activity.</w:t>
      </w:r>
      <w:r w:rsidRPr="00990D3B" w:rsidR="003162DF">
        <w:rPr>
          <w:rFonts w:ascii="ZWAdobeF" w:hAnsi="ZWAdobeF" w:cs="ZWAdobeF"/>
          <w:sz w:val="2"/>
          <w:szCs w:val="2"/>
        </w:rPr>
        <w:t>26F</w:t>
      </w:r>
      <w:r>
        <w:rPr>
          <w:spacing w:val="-4"/>
          <w:vertAlign w:val="superscript"/>
        </w:rPr>
        <w:footnoteReference w:id="31"/>
      </w:r>
      <w:r w:rsidRPr="00990D3B" w:rsidR="00A609F7">
        <w:rPr>
          <w:spacing w:val="-4"/>
          <w:vertAlign w:val="superscript"/>
        </w:rPr>
        <w:t xml:space="preserve">, </w:t>
      </w:r>
      <w:r w:rsidRPr="00990D3B" w:rsidR="003162DF">
        <w:rPr>
          <w:rFonts w:ascii="ZWAdobeF" w:hAnsi="ZWAdobeF" w:cs="ZWAdobeF"/>
          <w:sz w:val="2"/>
          <w:szCs w:val="2"/>
        </w:rPr>
        <w:t>27F</w:t>
      </w:r>
      <w:r>
        <w:rPr>
          <w:rStyle w:val="FootnoteReference"/>
          <w:spacing w:val="-4"/>
        </w:rPr>
        <w:footnoteReference w:id="32"/>
      </w:r>
    </w:p>
    <w:p w:rsidR="002B206B" w:rsidRPr="00990D3B" w:rsidP="00D65EE8" w14:paraId="0426CD1C" w14:textId="64B4149B">
      <w:pPr>
        <w:pStyle w:val="Paragraph0"/>
      </w:pPr>
      <w:bookmarkStart w:id="105" w:name="_Toc493246355"/>
      <w:bookmarkStart w:id="106" w:name="_Toc496116359"/>
      <w:r w:rsidRPr="00990D3B">
        <w:rPr>
          <w:spacing w:val="-2"/>
        </w:rPr>
        <w:t>A related protocol</w:t>
      </w:r>
      <w:r w:rsidRPr="00990D3B" w:rsidR="008260E8">
        <w:t xml:space="preserve"> (</w:t>
      </w:r>
      <w:hyperlink w:anchor="Protocol8" w:tooltip="Protocol 8. Implementation of Additional Performance Improvement Projects" w:history="1">
        <w:r w:rsidRPr="00990D3B">
          <w:rPr>
            <w:rStyle w:val="Hyperlink"/>
          </w:rPr>
          <w:t>Protocol 8</w:t>
        </w:r>
        <w:r w:rsidRPr="00990D3B" w:rsidR="008260E8">
          <w:rPr>
            <w:rStyle w:val="Hyperlink"/>
            <w:color w:val="auto"/>
            <w:spacing w:val="-2"/>
          </w:rPr>
          <w:t>)</w:t>
        </w:r>
        <w:r w:rsidRPr="00990D3B" w:rsidR="008260E8">
          <w:rPr>
            <w:rStyle w:val="Hyperlink"/>
            <w:spacing w:val="-2"/>
          </w:rPr>
          <w:t xml:space="preserve"> </w:t>
        </w:r>
      </w:hyperlink>
      <w:r w:rsidRPr="00990D3B" w:rsidR="00B61203">
        <w:t>specifies</w:t>
      </w:r>
      <w:r w:rsidRPr="00990D3B">
        <w:t xml:space="preserve"> procedures for implement</w:t>
      </w:r>
      <w:r w:rsidRPr="00990D3B" w:rsidR="00AC07D7">
        <w:t>ing</w:t>
      </w:r>
      <w:r w:rsidRPr="00990D3B" w:rsidR="009C6251">
        <w:t xml:space="preserve"> additional</w:t>
      </w:r>
      <w:r w:rsidRPr="00990D3B">
        <w:t xml:space="preserve"> PIPs</w:t>
      </w:r>
      <w:r w:rsidRPr="00990D3B" w:rsidR="009C6251">
        <w:t xml:space="preserve"> in accordance with state specifications</w:t>
      </w:r>
      <w:r w:rsidRPr="00990D3B">
        <w:t xml:space="preserve">. </w:t>
      </w:r>
    </w:p>
    <w:p w:rsidR="007C6A23" w:rsidRPr="00990D3B" w:rsidP="00BD1FC3" w14:paraId="5827B721" w14:textId="2CBD3028">
      <w:pPr>
        <w:pStyle w:val="H2"/>
      </w:pPr>
      <w:bookmarkStart w:id="107" w:name="_Toc14777680"/>
      <w:bookmarkStart w:id="108" w:name="_Toc183005568"/>
      <w:bookmarkStart w:id="109" w:name="_Toc201751339"/>
      <w:r w:rsidRPr="00990D3B">
        <w:t>G</w:t>
      </w:r>
      <w:r w:rsidRPr="00990D3B" w:rsidR="000F4331">
        <w:t>etting</w:t>
      </w:r>
      <w:r w:rsidRPr="00990D3B">
        <w:t xml:space="preserve"> S</w:t>
      </w:r>
      <w:r w:rsidRPr="00990D3B" w:rsidR="000F4331">
        <w:t>tarted</w:t>
      </w:r>
      <w:r w:rsidRPr="00990D3B">
        <w:t xml:space="preserve"> </w:t>
      </w:r>
      <w:r w:rsidRPr="00990D3B" w:rsidR="000F4331">
        <w:t>on Protocol 1</w:t>
      </w:r>
      <w:bookmarkEnd w:id="105"/>
      <w:bookmarkEnd w:id="106"/>
      <w:bookmarkEnd w:id="107"/>
      <w:bookmarkEnd w:id="108"/>
      <w:bookmarkEnd w:id="109"/>
    </w:p>
    <w:p w:rsidR="000477EB" w:rsidRPr="00990D3B" w:rsidP="00637811" w14:paraId="26416C2B" w14:textId="63CA5472">
      <w:pPr>
        <w:pStyle w:val="ParagraphContinued"/>
      </w:pPr>
      <w:r w:rsidRPr="00990D3B">
        <w:t xml:space="preserve">To complete this protocol, the EQRO undertakes </w:t>
      </w:r>
      <w:r w:rsidRPr="00990D3B" w:rsidR="001D30C6">
        <w:t xml:space="preserve">three </w:t>
      </w:r>
      <w:r w:rsidRPr="00990D3B" w:rsidR="00F77E0C">
        <w:t xml:space="preserve">required </w:t>
      </w:r>
      <w:r w:rsidRPr="00990D3B">
        <w:t xml:space="preserve">activities </w:t>
      </w:r>
      <w:r w:rsidRPr="00990D3B" w:rsidR="00F77E0C">
        <w:t xml:space="preserve">and one optional activity </w:t>
      </w:r>
      <w:r w:rsidRPr="00990D3B" w:rsidR="00FC4648">
        <w:t>to validate the PIPs for each MCP (</w:t>
      </w:r>
      <w:hyperlink w:anchor="Figure1i" w:tooltip="Figure 1.1" w:history="1">
        <w:r w:rsidRPr="00990D3B" w:rsidR="00FC4648">
          <w:rPr>
            <w:rStyle w:val="Hyperlink"/>
          </w:rPr>
          <w:t>Figure 1.1</w:t>
        </w:r>
      </w:hyperlink>
      <w:r w:rsidRPr="00990D3B" w:rsidR="00FC4648">
        <w:t xml:space="preserve">). All these activities </w:t>
      </w:r>
      <w:r w:rsidR="0026404E">
        <w:t>must</w:t>
      </w:r>
      <w:r w:rsidRPr="00990D3B" w:rsidR="0026404E">
        <w:t xml:space="preserve"> </w:t>
      </w:r>
      <w:r w:rsidRPr="00990D3B" w:rsidR="00FC4648">
        <w:t xml:space="preserve">be completed 12 months </w:t>
      </w:r>
      <w:r w:rsidR="0026404E">
        <w:t>preceding</w:t>
      </w:r>
      <w:r w:rsidRPr="00990D3B" w:rsidR="0026404E">
        <w:t xml:space="preserve"> </w:t>
      </w:r>
      <w:r w:rsidRPr="00990D3B" w:rsidR="00D77A09">
        <w:t>the finalization of the annual EQR technical report</w:t>
      </w:r>
      <w:r w:rsidRPr="00990D3B">
        <w:t>.</w:t>
      </w:r>
      <w:r w:rsidRPr="0026404E" w:rsidR="0026404E">
        <w:rPr>
          <w:rStyle w:val="FootnoteReference"/>
        </w:rPr>
        <w:t xml:space="preserve"> </w:t>
      </w:r>
      <w:r>
        <w:rPr>
          <w:rStyle w:val="FootnoteReference"/>
        </w:rPr>
        <w:footnoteReference w:id="33"/>
      </w:r>
    </w:p>
    <w:p w:rsidR="000477EB" w:rsidRPr="00990D3B" w:rsidP="00BD1FC3" w14:paraId="5E52D696" w14:textId="67277E4E">
      <w:pPr>
        <w:pStyle w:val="MarkforFigureHeading"/>
      </w:pPr>
      <w:bookmarkStart w:id="110" w:name="Figure1i"/>
      <w:bookmarkStart w:id="111" w:name="_Hlk181268531"/>
      <w:bookmarkEnd w:id="110"/>
      <w:r w:rsidRPr="00990D3B">
        <w:t>Figure 1.1. Protocol 1 Activities</w:t>
      </w:r>
    </w:p>
    <w:p w:rsidR="009404D2" w:rsidRPr="00990D3B" w:rsidP="00BA3740" w14:paraId="4B5657F1" w14:textId="30C38D12">
      <w:pPr>
        <w:pStyle w:val="TableSource"/>
        <w:spacing w:before="0" w:after="0"/>
      </w:pPr>
      <w:r w:rsidRPr="00990D3B">
        <w:rPr>
          <w:noProof/>
        </w:rPr>
        <w:drawing>
          <wp:inline distT="0" distB="0" distL="0" distR="0">
            <wp:extent cx="5778499" cy="3111500"/>
            <wp:effectExtent l="0" t="0" r="0" b="0"/>
            <wp:docPr id="2081174804" name="Picture 3" descr="This graphic shows the activities and steps included in Protoco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174804" name="Picture 3" descr="This graphic shows the activities and steps included in Protocol 1."/>
                    <pic:cNvPicPr/>
                  </pic:nvPicPr>
                  <pic:blipFill>
                    <a:blip xmlns:r="http://schemas.openxmlformats.org/officeDocument/2006/relationships" r:embed="rId104">
                      <a:extLst>
                        <a:ext xmlns:a="http://schemas.openxmlformats.org/drawingml/2006/main" uri="{28A0092B-C50C-407E-A947-70E740481C1C}">
                          <a14:useLocalDpi xmlns:a14="http://schemas.microsoft.com/office/drawing/2010/main" val="0"/>
                        </a:ext>
                      </a:extLst>
                    </a:blip>
                    <a:stretch>
                      <a:fillRect/>
                    </a:stretch>
                  </pic:blipFill>
                  <pic:spPr>
                    <a:xfrm>
                      <a:off x="0" y="0"/>
                      <a:ext cx="5784811" cy="3114899"/>
                    </a:xfrm>
                    <a:prstGeom prst="rect">
                      <a:avLst/>
                    </a:prstGeom>
                  </pic:spPr>
                </pic:pic>
              </a:graphicData>
            </a:graphic>
          </wp:inline>
        </w:drawing>
      </w:r>
    </w:p>
    <w:p w:rsidR="000F1F96" w:rsidRPr="00990D3B" w:rsidP="00BD1FC3" w14:paraId="70A7D428" w14:textId="37ADEDFF">
      <w:pPr>
        <w:pStyle w:val="ParagraphContinued"/>
        <w:keepNext/>
      </w:pPr>
      <w:bookmarkStart w:id="112" w:name="_Hlk180659438"/>
      <w:bookmarkEnd w:id="111"/>
      <w:r w:rsidRPr="00990D3B">
        <w:t>Two</w:t>
      </w:r>
      <w:r w:rsidRPr="00990D3B">
        <w:t xml:space="preserve"> supplemental resources are available to help EQROs validate </w:t>
      </w:r>
      <w:r w:rsidRPr="00990D3B" w:rsidR="00283E04">
        <w:t>PIP</w:t>
      </w:r>
      <w:r w:rsidRPr="00990D3B">
        <w:t xml:space="preserve">s, including: </w:t>
      </w:r>
    </w:p>
    <w:p w:rsidR="000F1F96" w:rsidRPr="00990D3B" w:rsidP="00FB7CAF" w14:paraId="71830727" w14:textId="64615BF5">
      <w:pPr>
        <w:pStyle w:val="EQRBulletBLUE"/>
      </w:pPr>
      <w:hyperlink w:anchor="WSp1" w:tooltip="Worksheets for Protocol 1. PIP Validation Tools and Reporting Framework" w:history="1">
        <w:r w:rsidRPr="00990D3B">
          <w:rPr>
            <w:rStyle w:val="Hyperlink"/>
          </w:rPr>
          <w:t>Worksheets for Protocol 1. PIP Validation Tool</w:t>
        </w:r>
        <w:r w:rsidRPr="00990D3B" w:rsidR="001B619D">
          <w:rPr>
            <w:rStyle w:val="Hyperlink"/>
          </w:rPr>
          <w:t>s</w:t>
        </w:r>
        <w:r w:rsidRPr="00990D3B">
          <w:rPr>
            <w:rStyle w:val="Hyperlink"/>
          </w:rPr>
          <w:t xml:space="preserve"> and Reporting Framework</w:t>
        </w:r>
      </w:hyperlink>
      <w:r w:rsidRPr="009451AC">
        <w:t xml:space="preserve">, </w:t>
      </w:r>
      <w:r w:rsidRPr="00990D3B">
        <w:t>a set of worksheets that can be used to guide and record answers for the validation of PIPs</w:t>
      </w:r>
      <w:r w:rsidRPr="00990D3B" w:rsidR="006C48DD">
        <w:t xml:space="preserve"> and reporting of summary PIP information</w:t>
      </w:r>
      <w:r w:rsidRPr="00990D3B">
        <w:t xml:space="preserve"> based </w:t>
      </w:r>
      <w:r w:rsidRPr="00990D3B" w:rsidR="00A04068">
        <w:t>on</w:t>
      </w:r>
      <w:r w:rsidRPr="00990D3B" w:rsidR="0010037F">
        <w:t xml:space="preserve"> activities and</w:t>
      </w:r>
      <w:r w:rsidRPr="00990D3B">
        <w:t xml:space="preserve"> as</w:t>
      </w:r>
      <w:r w:rsidRPr="00990D3B" w:rsidR="009D5E39">
        <w:t>sociated steps in this protocol</w:t>
      </w:r>
    </w:p>
    <w:p w:rsidR="000F1F96" w:rsidRPr="00990D3B" w:rsidP="00FB7CAF" w14:paraId="4F3AA5D9" w14:textId="6C35ABF7">
      <w:pPr>
        <w:pStyle w:val="EQRBulletBLUE"/>
      </w:pPr>
      <w:hyperlink w:anchor="AppC" w:tooltip="Appendix C. Sampling Approaches for EQR Data Collection Activities" w:history="1">
        <w:r w:rsidRPr="00990D3B">
          <w:rPr>
            <w:rStyle w:val="Hyperlink"/>
          </w:rPr>
          <w:t xml:space="preserve">Appendix </w:t>
        </w:r>
        <w:r w:rsidRPr="00990D3B" w:rsidR="00CB0D1B">
          <w:rPr>
            <w:rStyle w:val="Hyperlink"/>
          </w:rPr>
          <w:t>C</w:t>
        </w:r>
        <w:r w:rsidRPr="00990D3B">
          <w:rPr>
            <w:rStyle w:val="Hyperlink"/>
          </w:rPr>
          <w:t>. Sampling Approaches for EQR Data Collection Activities</w:t>
        </w:r>
      </w:hyperlink>
      <w:r w:rsidRPr="00990D3B" w:rsidR="00E71C78">
        <w:t xml:space="preserve">, </w:t>
      </w:r>
      <w:r w:rsidRPr="00990D3B">
        <w:t>which provides an overview of sampling methods that</w:t>
      </w:r>
      <w:r w:rsidRPr="00990D3B" w:rsidR="009D5E39">
        <w:t xml:space="preserve"> could be used in this protocol</w:t>
      </w:r>
    </w:p>
    <w:p w:rsidR="000F1F96" w:rsidRPr="00990D3B" w:rsidP="00BD1FC3" w14:paraId="7EB18B23" w14:textId="70276F3D">
      <w:pPr>
        <w:pStyle w:val="ParagraphContinued"/>
      </w:pPr>
      <w:r w:rsidRPr="00990D3B">
        <w:t xml:space="preserve">The remainder of this protocol outlines the steps associated with Activities 1 through </w:t>
      </w:r>
      <w:r w:rsidRPr="00990D3B" w:rsidR="0010037F">
        <w:t>4</w:t>
      </w:r>
      <w:r w:rsidRPr="00990D3B">
        <w:t>.</w:t>
      </w:r>
    </w:p>
    <w:bookmarkEnd w:id="112"/>
    <w:p w:rsidR="001F01C5" w:rsidRPr="00990D3B" w:rsidP="00BD1FC3" w14:paraId="472D0ADF" w14:textId="0DB9FB25">
      <w:pPr>
        <w:pStyle w:val="EQRFigure"/>
      </w:pPr>
      <w:r w:rsidRPr="00990D3B">
        <w:drawing>
          <wp:inline distT="0" distB="0" distL="0" distR="0">
            <wp:extent cx="5236475" cy="1191770"/>
            <wp:effectExtent l="0" t="0" r="2540" b="8890"/>
            <wp:docPr id="687" name="Picture 687" descr="TIP: Navigate to the corresponding worksheet by clicking the WORKSHEET box under each section. An image of a sample WORKSHEET box is included in the TIP text. Worksheet boxes are single lines of hyperlinked text with a box border that read &quot;Worksheet X.X&quot; with the first number representing the protocol number, and second number representing the worksheet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Picture 687" descr="TIP: Navigate to the corresponding worksheet by clicking the WORKSHEET box under each section. An image of a sample WORKSHEET box is included in the TIP text. Worksheet boxes are single lines of hyperlinked text with a box border that read &quot;Worksheet X.X&quot; with the first number representing the protocol number, and second number representing the worksheet number."/>
                    <pic:cNvPicPr/>
                  </pic:nvPicPr>
                  <pic:blipFill>
                    <a:blip xmlns:r="http://schemas.openxmlformats.org/officeDocument/2006/relationships" r:embed="rId10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36475" cy="1191770"/>
                    </a:xfrm>
                    <a:prstGeom prst="rect">
                      <a:avLst/>
                    </a:prstGeom>
                  </pic:spPr>
                </pic:pic>
              </a:graphicData>
            </a:graphic>
          </wp:inline>
        </w:drawing>
      </w:r>
    </w:p>
    <w:p w:rsidR="007C6A23" w:rsidRPr="00990D3B" w:rsidP="00BD1FC3" w14:paraId="5CA67CD6" w14:textId="7E2F80B7">
      <w:pPr>
        <w:pStyle w:val="H2"/>
        <w:rPr>
          <w:noProof/>
        </w:rPr>
      </w:pPr>
      <w:bookmarkStart w:id="113" w:name="P1A1"/>
      <w:bookmarkStart w:id="114" w:name="_Toc493246356"/>
      <w:bookmarkStart w:id="115" w:name="_Toc496116360"/>
      <w:bookmarkStart w:id="116" w:name="_Toc14777681"/>
      <w:bookmarkStart w:id="117" w:name="_Toc183005569"/>
      <w:bookmarkStart w:id="118" w:name="_Toc201751340"/>
      <w:r w:rsidRPr="00990D3B">
        <w:t>A</w:t>
      </w:r>
      <w:r w:rsidRPr="00990D3B" w:rsidR="008D37B3">
        <w:t>ctivity</w:t>
      </w:r>
      <w:r w:rsidRPr="00990D3B">
        <w:t xml:space="preserve"> 1</w:t>
      </w:r>
      <w:bookmarkEnd w:id="113"/>
      <w:r w:rsidRPr="00990D3B">
        <w:t>: A</w:t>
      </w:r>
      <w:r w:rsidRPr="00990D3B" w:rsidR="007A3018">
        <w:t>ssess</w:t>
      </w:r>
      <w:r w:rsidRPr="00990D3B">
        <w:t xml:space="preserve"> </w:t>
      </w:r>
      <w:r w:rsidRPr="00990D3B" w:rsidR="007A3018">
        <w:t>the</w:t>
      </w:r>
      <w:r w:rsidRPr="00990D3B">
        <w:t xml:space="preserve"> </w:t>
      </w:r>
      <w:r w:rsidRPr="00990D3B" w:rsidR="007C7129">
        <w:t xml:space="preserve">PIP </w:t>
      </w:r>
      <w:r w:rsidRPr="00990D3B">
        <w:t>M</w:t>
      </w:r>
      <w:bookmarkEnd w:id="114"/>
      <w:bookmarkEnd w:id="115"/>
      <w:r w:rsidRPr="00990D3B" w:rsidR="007A3018">
        <w:t>ethodology</w:t>
      </w:r>
      <w:bookmarkEnd w:id="116"/>
      <w:bookmarkEnd w:id="117"/>
      <w:bookmarkEnd w:id="118"/>
    </w:p>
    <w:p w:rsidR="0033713E" w:rsidRPr="00990D3B" w:rsidP="00637811" w14:paraId="731DC19C" w14:textId="3A5A6870">
      <w:pPr>
        <w:pStyle w:val="ParagraphContinued"/>
      </w:pPr>
      <w:r w:rsidRPr="00990D3B">
        <w:t>The EQRO should complete the nine steps in Activity 1, listed below, and answer the questions posed in each step</w:t>
      </w:r>
      <w:r w:rsidRPr="00990D3B" w:rsidR="004F3343">
        <w:t>.</w:t>
      </w:r>
    </w:p>
    <w:p w:rsidR="007C6A23" w:rsidRPr="00990D3B" w:rsidP="00BD1FC3" w14:paraId="510187A8" w14:textId="70449E3B">
      <w:pPr>
        <w:pStyle w:val="H3"/>
      </w:pPr>
      <w:bookmarkStart w:id="119" w:name="P1A1Step1"/>
      <w:bookmarkStart w:id="120" w:name="_Toc493246357"/>
      <w:bookmarkStart w:id="121" w:name="_Toc496116361"/>
      <w:bookmarkEnd w:id="119"/>
      <w:r w:rsidRPr="00990D3B">
        <w:t>S</w:t>
      </w:r>
      <w:r w:rsidRPr="00990D3B" w:rsidR="0008536C">
        <w:t>tep</w:t>
      </w:r>
      <w:r w:rsidRPr="00990D3B">
        <w:t xml:space="preserve"> 1: </w:t>
      </w:r>
      <w:r w:rsidRPr="00990D3B">
        <w:t>Re</w:t>
      </w:r>
      <w:r w:rsidRPr="00990D3B" w:rsidR="002B3929">
        <w:t>view</w:t>
      </w:r>
      <w:r w:rsidRPr="00990D3B" w:rsidR="002B3929">
        <w:t xml:space="preserve"> the Selected </w:t>
      </w:r>
      <w:r w:rsidRPr="00990D3B" w:rsidR="007C7129">
        <w:t xml:space="preserve">PIP </w:t>
      </w:r>
      <w:r w:rsidRPr="00990D3B" w:rsidR="002B3929">
        <w:t>Topic</w:t>
      </w:r>
      <w:bookmarkEnd w:id="120"/>
      <w:bookmarkEnd w:id="121"/>
    </w:p>
    <w:p w:rsidR="00A430C8" w:rsidRPr="00990D3B" w:rsidP="00637811" w14:paraId="7BB2D890" w14:textId="10371B1B">
      <w:pPr>
        <w:pStyle w:val="ParagraphContinued"/>
      </w:pPr>
      <w:r w:rsidRPr="00990D3B">
        <w:rPr>
          <w:noProof/>
        </w:rPr>
        <mc:AlternateContent>
          <mc:Choice Requires="wps">
            <w:drawing>
              <wp:anchor distT="0" distB="0" distL="114300" distR="114300" simplePos="0" relativeHeight="251697152" behindDoc="0" locked="0" layoutInCell="1" allowOverlap="1">
                <wp:simplePos x="0" y="0"/>
                <wp:positionH relativeFrom="column">
                  <wp:posOffset>3725545</wp:posOffset>
                </wp:positionH>
                <wp:positionV relativeFrom="paragraph">
                  <wp:posOffset>376877</wp:posOffset>
                </wp:positionV>
                <wp:extent cx="2195195" cy="1910715"/>
                <wp:effectExtent l="19050" t="19050" r="14605" b="13970"/>
                <wp:wrapTight wrapText="bothSides">
                  <wp:wrapPolygon>
                    <wp:start x="21787" y="21815"/>
                    <wp:lineTo x="21787" y="57"/>
                    <wp:lineTo x="44" y="57"/>
                    <wp:lineTo x="44" y="21815"/>
                    <wp:lineTo x="21787" y="21815"/>
                  </wp:wrapPolygon>
                </wp:wrapTight>
                <wp:docPr id="919402495" name="Text Box 219" descr="Resource for Activity 1, Step 1 &#10;Worksheet 1.1. Review the Selected PIP Topic&#10;• Provides a template for assessing the appropriateness of the PIP topic, including how the PIP topic was selected, the consideration of the CMS Child and Adult Core Set measures, and input from enrollees or providers&#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910715"/>
                        </a:xfrm>
                        <a:prstGeom prst="rect">
                          <a:avLst/>
                        </a:prstGeom>
                        <a:solidFill>
                          <a:srgbClr val="EEF5F8"/>
                        </a:solidFill>
                        <a:ln w="28575" cap="rnd">
                          <a:solidFill>
                            <a:srgbClr val="A5DAD9"/>
                          </a:solidFill>
                          <a:prstDash val="solid"/>
                          <a:miter lim="800000"/>
                          <a:headEnd/>
                          <a:tailEnd/>
                        </a:ln>
                      </wps:spPr>
                      <wps:txbx>
                        <w:txbxContent>
                          <w:p w:rsidR="00ED33C3" w:rsidP="003D4607" w14:textId="34FDA4A5">
                            <w:pPr>
                              <w:pStyle w:val="EQRTextboxheading"/>
                            </w:pPr>
                            <w:r>
                              <w:t>Resource for Activity 1, Step 1</w:t>
                            </w:r>
                            <w:r w:rsidRPr="00DE7C40">
                              <w:t xml:space="preserve"> </w:t>
                            </w:r>
                          </w:p>
                          <w:p w:rsidR="00ED33C3" w:rsidP="00DE7C40" w14:textId="0A42DC88">
                            <w:pPr>
                              <w:pStyle w:val="EQRTextboxbody"/>
                            </w:pPr>
                            <w:hyperlink w:anchor="WSp1n1" w:tooltip="Worksheet 1.1. Review the Selected PIP Topic" w:history="1">
                              <w:r w:rsidRPr="00B05E35">
                                <w:rPr>
                                  <w:rStyle w:val="Hyperlink"/>
                                </w:rPr>
                                <w:t>Worksheet 1.1. Review the Selected PIP Topic</w:t>
                              </w:r>
                            </w:hyperlink>
                          </w:p>
                          <w:p w:rsidR="00ED33C3" w:rsidRPr="0090682E" w:rsidP="00DE7C40" w14:textId="12A6F7F0">
                            <w:pPr>
                              <w:pStyle w:val="EQRTextboxbullet"/>
                              <w:rPr>
                                <w:spacing w:val="-2"/>
                              </w:rPr>
                            </w:pPr>
                            <w:r>
                              <w:t>Provides a template for assessing the appropriateness of the PIP topic, including how the PIP topic was selected, the consideration of the CMS Child and Adult Core Set measures, and input from enrollees or providers</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9" o:spid="_x0000_s1049" type="#_x0000_t202" alt="Resource for Activity 1, Step 1 &#10;Worksheet 1.1. Review the Selected PIP Topic&#10;• Provides a template for assessing the appropriateness of the PIP topic, including how the PIP topic was selected, the consideration of the CMS Child and Adult Core Set measures, and input from enrollees or providers&#10;" style="width:172.85pt;height:150.45pt;margin-top:29.7pt;margin-left:293.35pt;flip:y;mso-height-percent:0;mso-height-relative:page;mso-width-percent:0;mso-width-relative:page;mso-wrap-distance-bottom:0;mso-wrap-distance-left:9pt;mso-wrap-distance-right:9pt;mso-wrap-distance-top:0;mso-wrap-style:square;position:absolute;rotation:180;visibility:visible;v-text-anchor:top;z-index:251698176" fillcolor="#eef5f8" strokecolor="#a5dad9" strokeweight="2.25pt">
                <v:stroke endcap="round"/>
                <v:textbox style="mso-fit-shape-to-text:t" inset="8.64pt,,8.64pt">
                  <w:txbxContent>
                    <w:p w:rsidR="00ED33C3" w:rsidP="003D4607" w14:paraId="645777B1" w14:textId="34FDA4A5">
                      <w:pPr>
                        <w:pStyle w:val="EQRTextboxheading"/>
                      </w:pPr>
                      <w:r>
                        <w:t>Resource for Activity 1, Step 1</w:t>
                      </w:r>
                      <w:r w:rsidRPr="00DE7C40">
                        <w:t xml:space="preserve"> </w:t>
                      </w:r>
                    </w:p>
                    <w:p w:rsidR="00ED33C3" w:rsidP="00DE7C40" w14:paraId="68299A11" w14:textId="0A42DC88">
                      <w:pPr>
                        <w:pStyle w:val="EQRTextboxbody"/>
                      </w:pPr>
                      <w:hyperlink w:anchor="WSp1n1" w:tooltip="Worksheet 1.1. Review the Selected PIP Topic" w:history="1">
                        <w:r w:rsidRPr="00B05E35">
                          <w:rPr>
                            <w:rStyle w:val="Hyperlink"/>
                          </w:rPr>
                          <w:t>Worksheet 1.1. Review the Selected PIP Topic</w:t>
                        </w:r>
                      </w:hyperlink>
                    </w:p>
                    <w:p w:rsidR="00ED33C3" w:rsidRPr="0090682E" w:rsidP="00DE7C40" w14:paraId="741DD376" w14:textId="12A6F7F0">
                      <w:pPr>
                        <w:pStyle w:val="EQRTextboxbullet"/>
                        <w:rPr>
                          <w:spacing w:val="-2"/>
                        </w:rPr>
                      </w:pPr>
                      <w:r>
                        <w:t>Provides a template for assessing the appropriateness of the PIP topic, including how the PIP topic was selected, the consideration of the CMS Child and Adult Core Set measures, and input from enrollees or providers</w:t>
                      </w:r>
                    </w:p>
                  </w:txbxContent>
                </v:textbox>
                <w10:wrap type="tight"/>
              </v:shape>
            </w:pict>
          </mc:Fallback>
        </mc:AlternateContent>
      </w:r>
      <w:r w:rsidRPr="00990D3B">
        <w:rPr>
          <w:noProof/>
        </w:rPr>
        <mc:AlternateContent>
          <mc:Choice Requires="wps">
            <w:drawing>
              <wp:anchor distT="0" distB="0" distL="114300" distR="114300" simplePos="0" relativeHeight="251699200" behindDoc="0" locked="0" layoutInCell="1" allowOverlap="1">
                <wp:simplePos x="0" y="0"/>
                <wp:positionH relativeFrom="column">
                  <wp:posOffset>3726256</wp:posOffset>
                </wp:positionH>
                <wp:positionV relativeFrom="paragraph">
                  <wp:posOffset>26671</wp:posOffset>
                </wp:positionV>
                <wp:extent cx="2194560" cy="297815"/>
                <wp:effectExtent l="19050" t="19050" r="0" b="7620"/>
                <wp:wrapTight wrapText="bothSides">
                  <wp:wrapPolygon>
                    <wp:start x="21788" y="22985"/>
                    <wp:lineTo x="21788" y="-554"/>
                    <wp:lineTo x="38" y="-554"/>
                    <wp:lineTo x="38" y="22985"/>
                    <wp:lineTo x="21788" y="22985"/>
                  </wp:wrapPolygon>
                </wp:wrapTight>
                <wp:docPr id="874869875" name="Text Box 21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3B633B" w14:textId="36DFBB5A">
                            <w:pPr>
                              <w:pStyle w:val="EQRWORKSHEETText"/>
                              <w:rPr>
                                <w:spacing w:val="-2"/>
                              </w:rPr>
                            </w:pPr>
                            <w:hyperlink w:anchor="WSp1n1" w:tooltip="WORKSHEET 1.1" w:history="1">
                              <w:r>
                                <w:rPr>
                                  <w:rStyle w:val="Hyperlink"/>
                                  <w:color w:val="006981"/>
                                </w:rPr>
                                <w:t>WORKSHEET 1.1</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8" o:spid="_x0000_s1050" type="#_x0000_t202" alt="&quot;&quot;" style="width:172.8pt;height:23.45pt;margin-top:2.1pt;margin-left:293.4pt;flip:y;mso-height-percent:0;mso-height-relative:page;mso-width-percent:0;mso-width-relative:page;mso-wrap-distance-bottom:0;mso-wrap-distance-left:9pt;mso-wrap-distance-right:9pt;mso-wrap-distance-top:0;mso-wrap-style:square;position:absolute;rotation:180;visibility:visible;v-text-anchor:top;z-index:251700224" fillcolor="#eef5f8" strokecolor="#a5dad9" strokeweight="2.25pt">
                <v:stroke endcap="round"/>
                <v:textbox style="mso-fit-shape-to-text:t" inset="8.64pt,,8.64pt">
                  <w:txbxContent>
                    <w:p w:rsidR="00ED33C3" w:rsidRPr="0090682E" w:rsidP="003B633B" w14:paraId="219FD402" w14:textId="36DFBB5A">
                      <w:pPr>
                        <w:pStyle w:val="EQRWORKSHEETText"/>
                        <w:rPr>
                          <w:spacing w:val="-2"/>
                        </w:rPr>
                      </w:pPr>
                      <w:hyperlink w:anchor="WSp1n1" w:tooltip="WORKSHEET 1.1" w:history="1">
                        <w:r>
                          <w:rPr>
                            <w:rStyle w:val="Hyperlink"/>
                            <w:color w:val="006981"/>
                          </w:rPr>
                          <w:t>WORKSHEET 1.1</w:t>
                        </w:r>
                      </w:hyperlink>
                    </w:p>
                  </w:txbxContent>
                </v:textbox>
                <w10:wrap type="tight"/>
              </v:shape>
            </w:pict>
          </mc:Fallback>
        </mc:AlternateContent>
      </w:r>
      <w:r w:rsidRPr="00990D3B" w:rsidR="00A430C8">
        <w:t xml:space="preserve">PIP topics should target improvement in relevant areas of clinical and non-clinical services. In this step, the EQRO determines the appropriateness of the </w:t>
      </w:r>
      <w:r w:rsidRPr="00990D3B" w:rsidR="007C7129">
        <w:t>PIP</w:t>
      </w:r>
      <w:r w:rsidRPr="00990D3B" w:rsidR="00A430C8">
        <w:t xml:space="preserve"> topic(s)</w:t>
      </w:r>
      <w:r w:rsidRPr="00990D3B" w:rsidR="00B23556">
        <w:t>, including how the PIP topic was selected and input from enrollees or providers</w:t>
      </w:r>
      <w:r w:rsidRPr="00990D3B" w:rsidR="00A430C8">
        <w:t xml:space="preserve">. </w:t>
      </w:r>
      <w:r w:rsidRPr="00990D3B" w:rsidR="00671C1F">
        <w:t>The Centers for Medicare &amp; Medicaid Services (</w:t>
      </w:r>
      <w:r w:rsidRPr="00990D3B" w:rsidR="007D6DF7">
        <w:t>CMS</w:t>
      </w:r>
      <w:r w:rsidRPr="00990D3B" w:rsidR="00671C1F">
        <w:t>)</w:t>
      </w:r>
      <w:r w:rsidRPr="00990D3B" w:rsidR="007D6DF7">
        <w:t xml:space="preserve"> suggests that PIP topics align with CMS-identified priorities</w:t>
      </w:r>
      <w:r w:rsidRPr="00990D3B" w:rsidR="005D0D3B">
        <w:t xml:space="preserve"> for quality improvement</w:t>
      </w:r>
      <w:r w:rsidRPr="00990D3B" w:rsidR="00D0414A">
        <w:t xml:space="preserve"> (QI)</w:t>
      </w:r>
      <w:r w:rsidRPr="00990D3B" w:rsidR="003162DF">
        <w:rPr>
          <w:rFonts w:ascii="ZWAdobeF" w:hAnsi="ZWAdobeF" w:cs="ZWAdobeF"/>
          <w:sz w:val="2"/>
          <w:szCs w:val="2"/>
        </w:rPr>
        <w:t>28F</w:t>
      </w:r>
      <w:r>
        <w:rPr>
          <w:rStyle w:val="FootnoteReference"/>
        </w:rPr>
        <w:footnoteReference w:id="34"/>
      </w:r>
      <w:r w:rsidRPr="00990D3B" w:rsidR="007D6DF7">
        <w:t xml:space="preserve"> </w:t>
      </w:r>
      <w:r w:rsidRPr="00990D3B" w:rsidR="00A430C8">
        <w:t>In addition, the state should review its performance on the</w:t>
      </w:r>
      <w:r w:rsidRPr="00990D3B" w:rsidR="00FF35EC">
        <w:t xml:space="preserve"> CMS</w:t>
      </w:r>
      <w:r w:rsidRPr="00990D3B" w:rsidR="00A430C8">
        <w:t xml:space="preserve"> </w:t>
      </w:r>
      <w:r w:rsidRPr="00990D3B" w:rsidR="00B23556">
        <w:t>Child and Adult Core Set</w:t>
      </w:r>
      <w:r w:rsidRPr="00990D3B" w:rsidR="00A253B2">
        <w:t xml:space="preserve"> measure</w:t>
      </w:r>
      <w:r w:rsidRPr="00990D3B" w:rsidR="00334414">
        <w:t>s</w:t>
      </w:r>
      <w:r w:rsidRPr="00990D3B" w:rsidR="003162DF">
        <w:rPr>
          <w:rFonts w:ascii="ZWAdobeF" w:hAnsi="ZWAdobeF" w:cs="ZWAdobeF"/>
          <w:sz w:val="2"/>
          <w:szCs w:val="2"/>
        </w:rPr>
        <w:t>30F</w:t>
      </w:r>
      <w:r>
        <w:rPr>
          <w:rStyle w:val="FootnoteReference"/>
        </w:rPr>
        <w:footnoteReference w:id="35"/>
      </w:r>
      <w:r w:rsidRPr="00990D3B" w:rsidR="00A430C8">
        <w:t xml:space="preserve"> to identify opportunities to improve performance through a managed care PIP</w:t>
      </w:r>
      <w:r w:rsidRPr="00990D3B" w:rsidR="0086105B">
        <w:t>.</w:t>
      </w:r>
    </w:p>
    <w:p w:rsidR="000F0308" w:rsidRPr="00990D3B" w:rsidP="00BD1FC3" w14:paraId="1FA08D18" w14:textId="195B7534">
      <w:pPr>
        <w:pStyle w:val="H3"/>
      </w:pPr>
      <w:bookmarkStart w:id="122" w:name="P1A1Step2"/>
      <w:bookmarkStart w:id="123" w:name="_Toc493246358"/>
      <w:bookmarkStart w:id="124" w:name="_Toc496116362"/>
      <w:bookmarkEnd w:id="122"/>
      <w:r w:rsidRPr="00990D3B">
        <w:t>Step</w:t>
      </w:r>
      <w:r w:rsidRPr="00990D3B" w:rsidR="004F602A">
        <w:t xml:space="preserve"> 2: </w:t>
      </w:r>
      <w:r w:rsidRPr="00990D3B" w:rsidR="004F602A">
        <w:t>Review</w:t>
      </w:r>
      <w:r w:rsidRPr="00990D3B" w:rsidR="004F602A">
        <w:t xml:space="preserve"> the </w:t>
      </w:r>
      <w:r w:rsidRPr="00990D3B" w:rsidR="007C7129">
        <w:t>PIP</w:t>
      </w:r>
      <w:r w:rsidRPr="00990D3B" w:rsidR="00EA0596">
        <w:t xml:space="preserve"> Aim Statement</w:t>
      </w:r>
      <w:r w:rsidRPr="00990D3B" w:rsidR="004F602A">
        <w:t xml:space="preserve"> </w:t>
      </w:r>
      <w:bookmarkEnd w:id="123"/>
      <w:bookmarkEnd w:id="124"/>
    </w:p>
    <w:p w:rsidR="009E1B57" w:rsidRPr="00990D3B" w:rsidP="00637811" w14:paraId="2065C605" w14:textId="0DF2D82C">
      <w:pPr>
        <w:pStyle w:val="ParagraphContinued"/>
      </w:pPr>
      <w:r w:rsidRPr="00990D3B">
        <w:rPr>
          <w:noProof/>
        </w:rPr>
        <mc:AlternateContent>
          <mc:Choice Requires="wps">
            <w:drawing>
              <wp:anchor distT="0" distB="0" distL="114300" distR="114300" simplePos="0" relativeHeight="251703296" behindDoc="0" locked="0" layoutInCell="1" allowOverlap="1">
                <wp:simplePos x="0" y="0"/>
                <wp:positionH relativeFrom="column">
                  <wp:posOffset>3739515</wp:posOffset>
                </wp:positionH>
                <wp:positionV relativeFrom="paragraph">
                  <wp:posOffset>60325</wp:posOffset>
                </wp:positionV>
                <wp:extent cx="2194560" cy="297815"/>
                <wp:effectExtent l="19050" t="19050" r="0" b="7620"/>
                <wp:wrapTight wrapText="bothSides">
                  <wp:wrapPolygon>
                    <wp:start x="21788" y="22985"/>
                    <wp:lineTo x="21788" y="-554"/>
                    <wp:lineTo x="38" y="-554"/>
                    <wp:lineTo x="38" y="22985"/>
                    <wp:lineTo x="21788" y="22985"/>
                  </wp:wrapPolygon>
                </wp:wrapTight>
                <wp:docPr id="1306170079" name="Text Box 21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6C7AE0" w14:textId="7FC2B162">
                            <w:pPr>
                              <w:pStyle w:val="EQRWORKSHEETText"/>
                              <w:rPr>
                                <w:spacing w:val="-2"/>
                              </w:rPr>
                            </w:pPr>
                            <w:hyperlink w:anchor="WSp1n2" w:tooltip="WORKSHEET 1.2" w:history="1">
                              <w:r>
                                <w:rPr>
                                  <w:rStyle w:val="Hyperlink"/>
                                  <w:color w:val="006981"/>
                                </w:rPr>
                                <w:t>WORKSHEET 1.2</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6" o:spid="_x0000_s1051" type="#_x0000_t202" alt="&quot;&quot;" style="width:172.8pt;height:23.45pt;margin-top:4.75pt;margin-left:294.45pt;flip:y;mso-height-percent:0;mso-height-relative:page;mso-width-percent:0;mso-width-relative:page;mso-wrap-distance-bottom:0;mso-wrap-distance-left:9pt;mso-wrap-distance-right:9pt;mso-wrap-distance-top:0;mso-wrap-style:square;position:absolute;rotation:180;visibility:visible;v-text-anchor:top;z-index:251704320" fillcolor="#eef5f8" strokecolor="#a5dad9" strokeweight="2.25pt">
                <v:stroke endcap="round"/>
                <v:textbox style="mso-fit-shape-to-text:t" inset="8.64pt,,8.64pt">
                  <w:txbxContent>
                    <w:p w:rsidR="00ED33C3" w:rsidRPr="0090682E" w:rsidP="006C7AE0" w14:paraId="2A66EE4F" w14:textId="7FC2B162">
                      <w:pPr>
                        <w:pStyle w:val="EQRWORKSHEETText"/>
                        <w:rPr>
                          <w:spacing w:val="-2"/>
                        </w:rPr>
                      </w:pPr>
                      <w:hyperlink w:anchor="WSp1n2" w:tooltip="WORKSHEET 1.2" w:history="1">
                        <w:r>
                          <w:rPr>
                            <w:rStyle w:val="Hyperlink"/>
                            <w:color w:val="006981"/>
                          </w:rPr>
                          <w:t>WORKSHEET 1.2</w:t>
                        </w:r>
                      </w:hyperlink>
                    </w:p>
                  </w:txbxContent>
                </v:textbox>
                <w10:wrap type="tight"/>
              </v:shape>
            </w:pict>
          </mc:Fallback>
        </mc:AlternateContent>
      </w:r>
      <w:r w:rsidRPr="00990D3B">
        <w:rPr>
          <w:noProof/>
        </w:rPr>
        <mc:AlternateContent>
          <mc:Choice Requires="wps">
            <w:drawing>
              <wp:anchor distT="0" distB="0" distL="114300" distR="114300" simplePos="0" relativeHeight="251701248" behindDoc="0" locked="0" layoutInCell="1" allowOverlap="1">
                <wp:simplePos x="0" y="0"/>
                <wp:positionH relativeFrom="margin">
                  <wp:align>right</wp:align>
                </wp:positionH>
                <wp:positionV relativeFrom="paragraph">
                  <wp:posOffset>412379</wp:posOffset>
                </wp:positionV>
                <wp:extent cx="2195195" cy="1148715"/>
                <wp:effectExtent l="19050" t="19050" r="14605" b="13970"/>
                <wp:wrapTight wrapText="bothSides">
                  <wp:wrapPolygon>
                    <wp:start x="21787" y="21958"/>
                    <wp:lineTo x="21787" y="96"/>
                    <wp:lineTo x="44" y="96"/>
                    <wp:lineTo x="44" y="21958"/>
                    <wp:lineTo x="21787" y="21958"/>
                  </wp:wrapPolygon>
                </wp:wrapTight>
                <wp:docPr id="9678971" name="Text Box 217" descr="Resource for Activity 1, Step 2 &#10;Worksheet 1.2. Review the PIP Aim Statement&#10;• Provides a template for reviewing the PIP Aim Statement&#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148715"/>
                        </a:xfrm>
                        <a:prstGeom prst="rect">
                          <a:avLst/>
                        </a:prstGeom>
                        <a:solidFill>
                          <a:srgbClr val="EEF5F8"/>
                        </a:solidFill>
                        <a:ln w="28575" cap="rnd">
                          <a:solidFill>
                            <a:srgbClr val="A5DAD9"/>
                          </a:solidFill>
                          <a:prstDash val="solid"/>
                          <a:miter lim="800000"/>
                          <a:headEnd/>
                          <a:tailEnd/>
                        </a:ln>
                      </wps:spPr>
                      <wps:txbx>
                        <w:txbxContent>
                          <w:p w:rsidR="00ED33C3" w:rsidP="003D4607" w14:textId="45A32F23">
                            <w:pPr>
                              <w:pStyle w:val="EQRTextboxheading"/>
                            </w:pPr>
                            <w:r>
                              <w:t>Resource for Activity 1, Step 2</w:t>
                            </w:r>
                            <w:r w:rsidRPr="00DE7C40">
                              <w:t xml:space="preserve"> </w:t>
                            </w:r>
                          </w:p>
                          <w:p w:rsidR="00ED33C3" w:rsidP="00EA79E3" w14:textId="0DC4F2D0">
                            <w:pPr>
                              <w:pStyle w:val="EQRTextboxbody"/>
                            </w:pPr>
                            <w:hyperlink w:anchor="WSp1n2" w:tooltip="Worksheet 1.2. Review the PIP Aim Statement" w:history="1">
                              <w:r w:rsidRPr="00B05E35">
                                <w:rPr>
                                  <w:rStyle w:val="Hyperlink"/>
                                </w:rPr>
                                <w:t>Worksheet 1.2. Review the PIP Aim Statement</w:t>
                              </w:r>
                            </w:hyperlink>
                          </w:p>
                          <w:p w:rsidR="00ED33C3" w:rsidRPr="0090682E" w:rsidP="00EA79E3" w14:textId="3F290D10">
                            <w:pPr>
                              <w:pStyle w:val="EQRTextboxbullet"/>
                              <w:rPr>
                                <w:spacing w:val="-2"/>
                              </w:rPr>
                            </w:pPr>
                            <w:r>
                              <w:t>Provides a template for reviewing the PIP Aim Statement</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7" o:spid="_x0000_s1052" type="#_x0000_t202" alt="Resource for Activity 1, Step 2 &#10;Worksheet 1.2. Review the PIP Aim Statement&#10;• Provides a template for reviewing the PIP Aim Statement&#10;" style="width:172.85pt;height:90.45pt;margin-top:32.45pt;margin-left:121.65pt;flip:y;mso-height-percent:0;mso-height-relative:page;mso-position-horizontal:right;mso-position-horizontal-relative:margin;mso-width-percent:0;mso-width-relative:page;mso-wrap-distance-bottom:0;mso-wrap-distance-left:9pt;mso-wrap-distance-right:9pt;mso-wrap-distance-top:0;mso-wrap-style:square;position:absolute;rotation:180;visibility:visible;v-text-anchor:top;z-index:251702272" fillcolor="#eef5f8" strokecolor="#a5dad9" strokeweight="2.25pt">
                <v:stroke endcap="round"/>
                <v:textbox style="mso-fit-shape-to-text:t" inset="8.64pt,,8.64pt">
                  <w:txbxContent>
                    <w:p w:rsidR="00ED33C3" w:rsidP="003D4607" w14:paraId="4434EEEA" w14:textId="45A32F23">
                      <w:pPr>
                        <w:pStyle w:val="EQRTextboxheading"/>
                      </w:pPr>
                      <w:r>
                        <w:t>Resource for Activity 1, Step 2</w:t>
                      </w:r>
                      <w:r w:rsidRPr="00DE7C40">
                        <w:t xml:space="preserve"> </w:t>
                      </w:r>
                    </w:p>
                    <w:p w:rsidR="00ED33C3" w:rsidP="00EA79E3" w14:paraId="41C721D2" w14:textId="0DC4F2D0">
                      <w:pPr>
                        <w:pStyle w:val="EQRTextboxbody"/>
                      </w:pPr>
                      <w:hyperlink w:anchor="WSp1n2" w:tooltip="Worksheet 1.2. Review the PIP Aim Statement" w:history="1">
                        <w:r w:rsidRPr="00B05E35">
                          <w:rPr>
                            <w:rStyle w:val="Hyperlink"/>
                          </w:rPr>
                          <w:t>Worksheet 1.2. Review the PIP Aim Statement</w:t>
                        </w:r>
                      </w:hyperlink>
                    </w:p>
                    <w:p w:rsidR="00ED33C3" w:rsidRPr="0090682E" w:rsidP="00EA79E3" w14:paraId="4B0F1C95" w14:textId="3F290D10">
                      <w:pPr>
                        <w:pStyle w:val="EQRTextboxbullet"/>
                        <w:rPr>
                          <w:spacing w:val="-2"/>
                        </w:rPr>
                      </w:pPr>
                      <w:r>
                        <w:t>Provides a template for reviewing the PIP Aim Statement</w:t>
                      </w:r>
                    </w:p>
                  </w:txbxContent>
                </v:textbox>
                <w10:wrap type="tight"/>
              </v:shape>
            </w:pict>
          </mc:Fallback>
        </mc:AlternateContent>
      </w:r>
      <w:r w:rsidRPr="00990D3B" w:rsidR="004F602A">
        <w:t xml:space="preserve">In this step, the EQRO assesses the appropriateness and adequacy of the </w:t>
      </w:r>
      <w:r w:rsidRPr="00990D3B" w:rsidR="008C211B">
        <w:t>aim statement</w:t>
      </w:r>
      <w:r w:rsidRPr="00990D3B" w:rsidR="004F602A">
        <w:t xml:space="preserve">. The </w:t>
      </w:r>
      <w:r w:rsidRPr="00990D3B" w:rsidR="007C7129">
        <w:t>PIP</w:t>
      </w:r>
      <w:r w:rsidRPr="00990D3B" w:rsidR="004F602A">
        <w:t xml:space="preserve"> </w:t>
      </w:r>
      <w:r w:rsidRPr="00990D3B" w:rsidR="008C211B">
        <w:t xml:space="preserve">aim statement </w:t>
      </w:r>
      <w:r w:rsidRPr="00990D3B" w:rsidR="004F602A">
        <w:t xml:space="preserve">identifies the focus of the </w:t>
      </w:r>
      <w:r w:rsidRPr="00990D3B" w:rsidR="007C7129">
        <w:t>PIP</w:t>
      </w:r>
      <w:r w:rsidRPr="00990D3B" w:rsidR="004F602A">
        <w:t xml:space="preserve"> and establishes the framework for data collection and analysis. The </w:t>
      </w:r>
      <w:r w:rsidRPr="00990D3B" w:rsidR="007C7129">
        <w:t>PIP</w:t>
      </w:r>
      <w:r w:rsidRPr="00990D3B" w:rsidR="004F602A">
        <w:t xml:space="preserve"> </w:t>
      </w:r>
      <w:r w:rsidRPr="00990D3B" w:rsidR="008C211B">
        <w:t>aim</w:t>
      </w:r>
      <w:r w:rsidRPr="00990D3B" w:rsidR="00C24FD8">
        <w:t xml:space="preserve"> </w:t>
      </w:r>
      <w:r w:rsidRPr="00990D3B" w:rsidR="008C211B">
        <w:t xml:space="preserve">statement </w:t>
      </w:r>
      <w:r w:rsidRPr="00990D3B" w:rsidR="004F602A">
        <w:t xml:space="preserve">should define the improvement strategy, population, and </w:t>
      </w:r>
      <w:r w:rsidRPr="00990D3B" w:rsidR="004F602A">
        <w:t>time period</w:t>
      </w:r>
      <w:r w:rsidRPr="00990D3B" w:rsidR="004F602A">
        <w:t xml:space="preserve">. It should be clear, concise, </w:t>
      </w:r>
      <w:r w:rsidRPr="00990D3B" w:rsidR="00B5292F">
        <w:t xml:space="preserve">measurable, </w:t>
      </w:r>
      <w:r w:rsidRPr="00990D3B" w:rsidR="004F602A">
        <w:t>and answerable</w:t>
      </w:r>
      <w:r w:rsidRPr="00990D3B" w:rsidR="00977792">
        <w:t xml:space="preserve">. </w:t>
      </w:r>
      <w:hyperlink w:anchor="Box12" w:tooltip="Box 1.2" w:history="1">
        <w:r w:rsidRPr="00990D3B" w:rsidR="00C503AC">
          <w:rPr>
            <w:rStyle w:val="Hyperlink"/>
          </w:rPr>
          <w:t>Box 1.2</w:t>
        </w:r>
      </w:hyperlink>
      <w:r w:rsidRPr="00990D3B" w:rsidR="00977792">
        <w:t xml:space="preserve"> </w:t>
      </w:r>
      <w:r w:rsidRPr="00990D3B" w:rsidR="001048D7">
        <w:t xml:space="preserve">identifies </w:t>
      </w:r>
      <w:r w:rsidRPr="00990D3B" w:rsidR="00977792">
        <w:t xml:space="preserve">considerations for </w:t>
      </w:r>
      <w:r w:rsidRPr="00990D3B" w:rsidR="004F6ACA">
        <w:t>developing a</w:t>
      </w:r>
      <w:r w:rsidRPr="00990D3B" w:rsidR="00977792">
        <w:t xml:space="preserve"> PIP aim statement</w:t>
      </w:r>
      <w:r w:rsidRPr="00990D3B" w:rsidR="009F5D6B">
        <w:t>,</w:t>
      </w:r>
      <w:r w:rsidRPr="00990D3B" w:rsidR="00607491">
        <w:t xml:space="preserve"> and</w:t>
      </w:r>
      <w:r w:rsidRPr="00990D3B" w:rsidR="00977792">
        <w:t xml:space="preserve"> </w:t>
      </w:r>
      <w:hyperlink w:anchor="Table1i" w:tooltip="Table 1.1" w:history="1">
        <w:r w:rsidRPr="00990D3B" w:rsidR="004F602A">
          <w:rPr>
            <w:rStyle w:val="Hyperlink"/>
          </w:rPr>
          <w:t>Table 1.1</w:t>
        </w:r>
      </w:hyperlink>
      <w:r w:rsidRPr="00990D3B" w:rsidR="004F602A">
        <w:t xml:space="preserve"> provides a critique of illustrative PIP </w:t>
      </w:r>
      <w:r w:rsidRPr="00990D3B" w:rsidR="008C211B">
        <w:t>aim</w:t>
      </w:r>
      <w:r w:rsidRPr="00990D3B" w:rsidR="00C5741D">
        <w:t> </w:t>
      </w:r>
      <w:r w:rsidRPr="00990D3B" w:rsidR="008C211B">
        <w:t>statements</w:t>
      </w:r>
      <w:r w:rsidRPr="00990D3B" w:rsidR="00A430C8">
        <w:t>.</w:t>
      </w:r>
    </w:p>
    <w:p w:rsidR="00DE7C40" w:rsidRPr="00990D3B" w:rsidP="00BD1FC3" w14:paraId="116E2A3D" w14:textId="2C9C2E27">
      <w:pPr>
        <w:pStyle w:val="Paragraph0"/>
      </w:pPr>
      <w:bookmarkStart w:id="125" w:name="_Toc83134596"/>
      <w:r w:rsidRPr="00990D3B">
        <w:rPr>
          <w:noProof/>
        </w:rPr>
        <mc:AlternateContent>
          <mc:Choice Requires="wps">
            <w:drawing>
              <wp:inline distT="0" distB="0" distL="0" distR="0">
                <wp:extent cx="5897880" cy="1567180"/>
                <wp:effectExtent l="19050" t="19050" r="7620" b="0"/>
                <wp:docPr id="1787425184" name="Text Box 215" descr="Box 1.2. Considerations for Developing a PIP Aim Statement that is Clear, Concise, Measurable, and Answerable&#10;A PIP aim statement is clear, concise, measurable, and answerable if the statement specifies measurable variables and analytics for a defined improvement strategy, population, and time period. Potential sources of information to help form the PIP aim statement include:&#10;• State data relevant to the topic being studied.&#10;• MCP data relevant to the topic being studied.&#10;• CMS Child and Adult Core Set measures.&#10;• Enrollee focus groups or surveys.&#10;• Relevant clinical literature on recommended care and external benchmarks.&#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897880" cy="1567180"/>
                        </a:xfrm>
                        <a:prstGeom prst="rect">
                          <a:avLst/>
                        </a:prstGeom>
                        <a:solidFill>
                          <a:srgbClr val="EEF5F8"/>
                        </a:solidFill>
                        <a:ln w="28575" cap="rnd">
                          <a:solidFill>
                            <a:srgbClr val="A5DAD9"/>
                          </a:solidFill>
                          <a:prstDash val="solid"/>
                          <a:miter lim="800000"/>
                          <a:headEnd/>
                          <a:tailEnd/>
                        </a:ln>
                      </wps:spPr>
                      <wps:txbx>
                        <w:txbxContent>
                          <w:p w:rsidR="00ED33C3" w:rsidRPr="004C5B2B" w:rsidP="0091147D" w14:textId="4AB50ACB">
                            <w:pPr>
                              <w:pStyle w:val="EQRTextboxheading"/>
                            </w:pPr>
                            <w:bookmarkStart w:id="126" w:name="Box12"/>
                            <w:bookmarkEnd w:id="126"/>
                            <w:r w:rsidRPr="0091147D">
                              <w:t>Box 1.2. Considerations for Developing a PIP Aim Statement that is Clear, Concise, Measurable, and Answerable</w:t>
                            </w:r>
                          </w:p>
                          <w:p w:rsidR="00ED33C3" w:rsidP="0091147D" w14:textId="77777777">
                            <w:pPr>
                              <w:pStyle w:val="EQRTextboxbody"/>
                            </w:pPr>
                            <w:r w:rsidRPr="00403245">
                              <w:t xml:space="preserve">A PIP </w:t>
                            </w:r>
                            <w:r>
                              <w:t>aim statement</w:t>
                            </w:r>
                            <w:r w:rsidRPr="00403245">
                              <w:t xml:space="preserve"> is clear, concise, measurable, and answerable if the </w:t>
                            </w:r>
                            <w:r>
                              <w:t>statement</w:t>
                            </w:r>
                            <w:r w:rsidRPr="00403245">
                              <w:t xml:space="preserve"> specifies measurable </w:t>
                            </w:r>
                            <w:r>
                              <w:t>variables</w:t>
                            </w:r>
                            <w:r w:rsidRPr="00403245">
                              <w:t xml:space="preserve"> and</w:t>
                            </w:r>
                            <w:r>
                              <w:t xml:space="preserve"> analytics for a defined improvement strategy, population, and </w:t>
                            </w:r>
                            <w:r>
                              <w:t>time period</w:t>
                            </w:r>
                            <w:r>
                              <w:t>. Potential sources of information to help form the PIP aim statement include:</w:t>
                            </w:r>
                          </w:p>
                          <w:p w:rsidR="00ED33C3" w:rsidRPr="0091147D" w:rsidP="0091147D" w14:textId="224BDE07">
                            <w:pPr>
                              <w:pStyle w:val="EQRTextboxbullet"/>
                            </w:pPr>
                            <w:r w:rsidRPr="00360138">
                              <w:t>State</w:t>
                            </w:r>
                            <w:r w:rsidRPr="00321E9B">
                              <w:t xml:space="preserve"> data rele</w:t>
                            </w:r>
                            <w:r w:rsidRPr="0091147D">
                              <w:t>vant to the topic being studied</w:t>
                            </w:r>
                            <w:r w:rsidR="00807A58">
                              <w:t>.</w:t>
                            </w:r>
                          </w:p>
                          <w:p w:rsidR="00ED33C3" w:rsidRPr="0091147D" w:rsidP="0091147D" w14:textId="58B43EB6">
                            <w:pPr>
                              <w:pStyle w:val="EQRTextboxbullet"/>
                            </w:pPr>
                            <w:r w:rsidRPr="0091147D">
                              <w:t>MCP data relevant to the topic being studied</w:t>
                            </w:r>
                            <w:r w:rsidR="00807A58">
                              <w:t>.</w:t>
                            </w:r>
                          </w:p>
                          <w:p w:rsidR="00ED33C3" w:rsidRPr="0091147D" w:rsidP="0091147D" w14:textId="0BC63C29">
                            <w:pPr>
                              <w:pStyle w:val="EQRTextboxbullet"/>
                            </w:pPr>
                            <w:r w:rsidRPr="0091147D">
                              <w:t>CMS Child and Adult Core Set measures</w:t>
                            </w:r>
                            <w:r w:rsidR="00807A58">
                              <w:t>.</w:t>
                            </w:r>
                          </w:p>
                          <w:p w:rsidR="00ED33C3" w:rsidRPr="0091147D" w:rsidP="0091147D" w14:textId="69974024">
                            <w:pPr>
                              <w:pStyle w:val="EQRTextboxbullet"/>
                            </w:pPr>
                            <w:r w:rsidRPr="0091147D">
                              <w:t>Enrollee</w:t>
                            </w:r>
                            <w:r w:rsidRPr="0091147D">
                              <w:t xml:space="preserve"> focus groups or surveys</w:t>
                            </w:r>
                            <w:r w:rsidR="00807A58">
                              <w:t>.</w:t>
                            </w:r>
                          </w:p>
                          <w:p w:rsidR="00ED33C3" w:rsidRPr="0091147D" w:rsidP="0091147D" w14:textId="49C77D54">
                            <w:pPr>
                              <w:pStyle w:val="EQRTextboxbullet"/>
                            </w:pPr>
                            <w:r w:rsidRPr="0091147D">
                              <w:t>Relevant clinical literature on recommended care and external benchmarks</w:t>
                            </w:r>
                            <w:r w:rsidR="00807A58">
                              <w:t>.</w:t>
                            </w:r>
                          </w:p>
                        </w:txbxContent>
                      </wps:txbx>
                      <wps:bodyPr rot="0" vert="horz" wrap="square" lIns="109728" tIns="45720" rIns="109728" bIns="45720" anchor="t" anchorCtr="0" upright="1">
                        <a:spAutoFit/>
                      </wps:bodyPr>
                    </wps:wsp>
                  </a:graphicData>
                </a:graphic>
              </wp:inline>
            </w:drawing>
          </mc:Choice>
          <mc:Fallback>
            <w:pict>
              <v:shape id="Text Box 215" o:spid="_x0000_i1053" type="#_x0000_t202" alt="Box 1.2. Considerations for Developing a PIP Aim Statement that is Clear, Concise, Measurable, and Answerable&#10;A PIP aim statement is clear, concise, measurable, and answerable if the statement specifies measurable variables and analytics for a defined improvement strategy, population, and time period. Potential sources of information to help form the PIP aim statement include:&#10;• State data relevant to the topic being studied.&#10;• MCP data relevant to the topic being studied.&#10;• CMS Child and Adult Core Set measures.&#10;• Enrollee focus groups or surveys.&#10;• Relevant clinical literature on recommended care and external benchmarks.&#10;" style="width:464.4pt;height:123.4pt;flip:y;mso-left-percent:-10001;mso-position-horizontal-relative:char;mso-position-vertical-relative:line;mso-top-percent:-10001;mso-wrap-style:square;rotation:180;visibility:visible;v-text-anchor:top" fillcolor="#eef5f8" strokecolor="#a5dad9" strokeweight="2.25pt">
                <v:stroke endcap="round"/>
                <v:textbox style="mso-fit-shape-to-text:t" inset="8.64pt,,8.64pt">
                  <w:txbxContent>
                    <w:p w:rsidR="00ED33C3" w:rsidRPr="004C5B2B" w:rsidP="0091147D" w14:paraId="2342589F" w14:textId="4AB50ACB">
                      <w:pPr>
                        <w:pStyle w:val="EQRTextboxheading"/>
                      </w:pPr>
                      <w:bookmarkStart w:id="126" w:name="Box12"/>
                      <w:bookmarkEnd w:id="126"/>
                      <w:r w:rsidRPr="0091147D">
                        <w:t>Box 1.2. Considerations for Developing a PIP Aim Statement that is Clear, Concise, Measurable, and Answerable</w:t>
                      </w:r>
                    </w:p>
                    <w:p w:rsidR="00ED33C3" w:rsidP="0091147D" w14:paraId="49B48B95" w14:textId="77777777">
                      <w:pPr>
                        <w:pStyle w:val="EQRTextboxbody"/>
                      </w:pPr>
                      <w:r w:rsidRPr="00403245">
                        <w:t xml:space="preserve">A PIP </w:t>
                      </w:r>
                      <w:r>
                        <w:t>aim statement</w:t>
                      </w:r>
                      <w:r w:rsidRPr="00403245">
                        <w:t xml:space="preserve"> is clear, concise, measurable, and answerable if the </w:t>
                      </w:r>
                      <w:r>
                        <w:t>statement</w:t>
                      </w:r>
                      <w:r w:rsidRPr="00403245">
                        <w:t xml:space="preserve"> specifies measurable </w:t>
                      </w:r>
                      <w:r>
                        <w:t>variables</w:t>
                      </w:r>
                      <w:r w:rsidRPr="00403245">
                        <w:t xml:space="preserve"> and</w:t>
                      </w:r>
                      <w:r>
                        <w:t xml:space="preserve"> analytics for a defined improvement strategy, population, and </w:t>
                      </w:r>
                      <w:r>
                        <w:t>time period</w:t>
                      </w:r>
                      <w:r>
                        <w:t>. Potential sources of information to help form the PIP aim statement include:</w:t>
                      </w:r>
                    </w:p>
                    <w:p w:rsidR="00ED33C3" w:rsidRPr="0091147D" w:rsidP="0091147D" w14:paraId="2E5B9F53" w14:textId="224BDE07">
                      <w:pPr>
                        <w:pStyle w:val="EQRTextboxbullet"/>
                      </w:pPr>
                      <w:r w:rsidRPr="00360138">
                        <w:t>State</w:t>
                      </w:r>
                      <w:r w:rsidRPr="00321E9B">
                        <w:t xml:space="preserve"> data rele</w:t>
                      </w:r>
                      <w:r w:rsidRPr="0091147D">
                        <w:t>vant to the topic being studied</w:t>
                      </w:r>
                      <w:r w:rsidR="00807A58">
                        <w:t>.</w:t>
                      </w:r>
                    </w:p>
                    <w:p w:rsidR="00ED33C3" w:rsidRPr="0091147D" w:rsidP="0091147D" w14:paraId="0BFBF34B" w14:textId="58B43EB6">
                      <w:pPr>
                        <w:pStyle w:val="EQRTextboxbullet"/>
                      </w:pPr>
                      <w:r w:rsidRPr="0091147D">
                        <w:t>MCP data relevant to the topic being studied</w:t>
                      </w:r>
                      <w:r w:rsidR="00807A58">
                        <w:t>.</w:t>
                      </w:r>
                    </w:p>
                    <w:p w:rsidR="00ED33C3" w:rsidRPr="0091147D" w:rsidP="0091147D" w14:paraId="5BB14A4D" w14:textId="0BC63C29">
                      <w:pPr>
                        <w:pStyle w:val="EQRTextboxbullet"/>
                      </w:pPr>
                      <w:r w:rsidRPr="0091147D">
                        <w:t>CMS Child and Adult Core Set measures</w:t>
                      </w:r>
                      <w:r w:rsidR="00807A58">
                        <w:t>.</w:t>
                      </w:r>
                    </w:p>
                    <w:p w:rsidR="00ED33C3" w:rsidRPr="0091147D" w:rsidP="0091147D" w14:paraId="3B7C65CF" w14:textId="69974024">
                      <w:pPr>
                        <w:pStyle w:val="EQRTextboxbullet"/>
                      </w:pPr>
                      <w:r w:rsidRPr="0091147D">
                        <w:t>Enrollee</w:t>
                      </w:r>
                      <w:r w:rsidRPr="0091147D">
                        <w:t xml:space="preserve"> focus groups or surveys</w:t>
                      </w:r>
                      <w:r w:rsidR="00807A58">
                        <w:t>.</w:t>
                      </w:r>
                    </w:p>
                    <w:p w:rsidR="00ED33C3" w:rsidRPr="0091147D" w:rsidP="0091147D" w14:paraId="0C404604" w14:textId="49C77D54">
                      <w:pPr>
                        <w:pStyle w:val="EQRTextboxbullet"/>
                      </w:pPr>
                      <w:r w:rsidRPr="0091147D">
                        <w:t>Relevant clinical literature on recommended care and external benchmarks</w:t>
                      </w:r>
                      <w:r w:rsidR="00807A58">
                        <w:t>.</w:t>
                      </w:r>
                    </w:p>
                  </w:txbxContent>
                </v:textbox>
                <w10:wrap type="none"/>
                <w10:anchorlock/>
              </v:shape>
            </w:pict>
          </mc:Fallback>
        </mc:AlternateContent>
      </w:r>
    </w:p>
    <w:p w:rsidR="0095153B" w:rsidRPr="00990D3B" w:rsidP="00BD1FC3" w14:paraId="73FC5B38" w14:textId="77777777">
      <w:pPr>
        <w:pStyle w:val="Paragraph0"/>
      </w:pPr>
    </w:p>
    <w:p w:rsidR="00E22161" w:rsidRPr="00990D3B" w:rsidP="00BD1FC3" w14:paraId="7421BA70" w14:textId="0D9E6AA6">
      <w:pPr>
        <w:pStyle w:val="MarkforTableHeading"/>
        <w:spacing w:before="240"/>
      </w:pPr>
      <w:bookmarkStart w:id="127" w:name="Table1i"/>
      <w:bookmarkEnd w:id="127"/>
      <w:r w:rsidRPr="00990D3B">
        <w:t xml:space="preserve">Table 1.1. Critique of </w:t>
      </w:r>
      <w:r w:rsidRPr="00990D3B" w:rsidR="007D6DF7">
        <w:t>E</w:t>
      </w:r>
      <w:r w:rsidRPr="00990D3B" w:rsidR="00F43058">
        <w:t xml:space="preserve">xample </w:t>
      </w:r>
      <w:r w:rsidRPr="00990D3B">
        <w:t xml:space="preserve">PIP </w:t>
      </w:r>
      <w:r w:rsidRPr="00990D3B" w:rsidR="007D6DF7">
        <w:t>A</w:t>
      </w:r>
      <w:r w:rsidRPr="00990D3B" w:rsidR="008C211B">
        <w:t xml:space="preserve">im </w:t>
      </w:r>
      <w:r w:rsidRPr="00990D3B" w:rsidR="007D6DF7">
        <w:t>S</w:t>
      </w:r>
      <w:r w:rsidRPr="00990D3B" w:rsidR="008C211B">
        <w:t>tatements</w:t>
      </w:r>
      <w:bookmarkEnd w:id="125"/>
    </w:p>
    <w:tbl>
      <w:tblPr>
        <w:tblStyle w:val="CORESETTable"/>
        <w:tblW w:w="5000" w:type="pct"/>
        <w:tblLook w:val="0420"/>
      </w:tblPr>
      <w:tblGrid>
        <w:gridCol w:w="1015"/>
        <w:gridCol w:w="4406"/>
        <w:gridCol w:w="3929"/>
      </w:tblGrid>
      <w:tr w14:paraId="2BBBD248" w14:textId="23BBD79C" w:rsidTr="00BD1FC3">
        <w:tblPrEx>
          <w:tblW w:w="5000" w:type="pct"/>
          <w:tblLook w:val="0420"/>
        </w:tblPrEx>
        <w:trPr>
          <w:tblHeader/>
        </w:trPr>
        <w:tc>
          <w:tcPr>
            <w:tcW w:w="543" w:type="pct"/>
          </w:tcPr>
          <w:p w:rsidR="00232741" w:rsidRPr="00990D3B" w:rsidP="007F3A3E" w14:paraId="1045E6D0" w14:textId="3FC6E8DB">
            <w:pPr>
              <w:pStyle w:val="EQRTableHeaderCenter"/>
              <w:rPr>
                <w:b/>
                <w:bCs/>
              </w:rPr>
            </w:pPr>
            <w:r w:rsidRPr="00990D3B">
              <w:rPr>
                <w:b/>
                <w:bCs/>
              </w:rPr>
              <w:t> </w:t>
            </w:r>
          </w:p>
        </w:tc>
        <w:tc>
          <w:tcPr>
            <w:tcW w:w="2356" w:type="pct"/>
          </w:tcPr>
          <w:p w:rsidR="00232741" w:rsidRPr="00990D3B" w:rsidP="007F3A3E" w14:paraId="7C8626A3" w14:textId="4C8FF522">
            <w:pPr>
              <w:pStyle w:val="EQRTableHeaderCenter"/>
              <w:rPr>
                <w:b/>
                <w:bCs/>
              </w:rPr>
            </w:pPr>
            <w:r w:rsidRPr="00990D3B">
              <w:rPr>
                <w:b/>
                <w:bCs/>
              </w:rPr>
              <w:t xml:space="preserve">Example </w:t>
            </w:r>
            <w:r w:rsidRPr="00990D3B" w:rsidR="00086392">
              <w:rPr>
                <w:b/>
                <w:bCs/>
              </w:rPr>
              <w:t xml:space="preserve">PIP </w:t>
            </w:r>
            <w:r w:rsidRPr="00990D3B" w:rsidR="007D6DF7">
              <w:rPr>
                <w:b/>
                <w:bCs/>
              </w:rPr>
              <w:t>A</w:t>
            </w:r>
            <w:r w:rsidRPr="00990D3B" w:rsidR="008C211B">
              <w:rPr>
                <w:b/>
                <w:bCs/>
              </w:rPr>
              <w:t xml:space="preserve">im </w:t>
            </w:r>
            <w:r w:rsidRPr="00990D3B" w:rsidR="007D6DF7">
              <w:rPr>
                <w:b/>
                <w:bCs/>
              </w:rPr>
              <w:t>S</w:t>
            </w:r>
            <w:r w:rsidRPr="00990D3B" w:rsidR="008C211B">
              <w:rPr>
                <w:b/>
                <w:bCs/>
              </w:rPr>
              <w:t>tatements</w:t>
            </w:r>
          </w:p>
        </w:tc>
        <w:tc>
          <w:tcPr>
            <w:tcW w:w="2101" w:type="pct"/>
          </w:tcPr>
          <w:p w:rsidR="00232741" w:rsidRPr="00990D3B" w:rsidP="007F3A3E" w14:paraId="784B4506" w14:textId="6B06A4E4">
            <w:pPr>
              <w:pStyle w:val="EQRTableHeaderCenter"/>
              <w:rPr>
                <w:b/>
                <w:bCs/>
              </w:rPr>
            </w:pPr>
            <w:r w:rsidRPr="00990D3B">
              <w:rPr>
                <w:b/>
                <w:bCs/>
              </w:rPr>
              <w:t>Critique</w:t>
            </w:r>
          </w:p>
        </w:tc>
      </w:tr>
      <w:tr w14:paraId="08C5F754" w14:textId="7AA3F0B6" w:rsidTr="00BD1FC3">
        <w:tblPrEx>
          <w:tblW w:w="5000" w:type="pct"/>
          <w:tblLook w:val="0420"/>
        </w:tblPrEx>
        <w:tc>
          <w:tcPr>
            <w:tcW w:w="543" w:type="pct"/>
            <w:shd w:val="clear" w:color="auto" w:fill="EEF5F5"/>
          </w:tcPr>
          <w:p w:rsidR="00232741" w:rsidRPr="00990D3B" w:rsidP="008C211B" w14:paraId="3AF1163C" w14:textId="0E159740">
            <w:pPr>
              <w:pStyle w:val="EQRTableText"/>
              <w:rPr>
                <w:rFonts w:cs="Arial"/>
                <w:szCs w:val="18"/>
              </w:rPr>
            </w:pPr>
            <w:r w:rsidRPr="00990D3B">
              <w:rPr>
                <w:rFonts w:cs="Arial"/>
                <w:szCs w:val="18"/>
              </w:rPr>
              <w:t xml:space="preserve">Poor </w:t>
            </w:r>
            <w:r w:rsidRPr="00990D3B" w:rsidR="00086392">
              <w:t>PIP</w:t>
            </w:r>
            <w:r w:rsidRPr="00990D3B">
              <w:rPr>
                <w:rFonts w:cs="Arial"/>
                <w:szCs w:val="18"/>
              </w:rPr>
              <w:t xml:space="preserve"> </w:t>
            </w:r>
            <w:r w:rsidRPr="00990D3B" w:rsidR="008C211B">
              <w:rPr>
                <w:rFonts w:cs="Arial"/>
                <w:szCs w:val="18"/>
              </w:rPr>
              <w:t>Aim Statement</w:t>
            </w:r>
          </w:p>
        </w:tc>
        <w:tc>
          <w:tcPr>
            <w:tcW w:w="2356" w:type="pct"/>
            <w:shd w:val="clear" w:color="auto" w:fill="EEF5F5"/>
          </w:tcPr>
          <w:p w:rsidR="00232741" w:rsidRPr="00990D3B" w:rsidP="00741F01" w14:paraId="2FDBA868" w14:textId="63D6EE6D">
            <w:pPr>
              <w:pStyle w:val="EQRTableText"/>
              <w:rPr>
                <w:rFonts w:cs="Arial"/>
                <w:szCs w:val="18"/>
              </w:rPr>
            </w:pPr>
            <w:r w:rsidRPr="00990D3B">
              <w:rPr>
                <w:rFonts w:cs="Arial"/>
                <w:szCs w:val="18"/>
              </w:rPr>
              <w:t>Does the MCP adequately address psychological problems in patients recovering from myocardial infarction?</w:t>
            </w:r>
          </w:p>
        </w:tc>
        <w:tc>
          <w:tcPr>
            <w:tcW w:w="2101" w:type="pct"/>
            <w:shd w:val="clear" w:color="auto" w:fill="EEF5F5"/>
          </w:tcPr>
          <w:p w:rsidR="00232741" w:rsidRPr="00990D3B" w:rsidP="00827DA4" w14:paraId="7689D49A" w14:textId="77777777">
            <w:pPr>
              <w:pStyle w:val="TableListBullet"/>
            </w:pPr>
            <w:r w:rsidRPr="00990D3B">
              <w:t>The PIP intervention is not specified</w:t>
            </w:r>
          </w:p>
          <w:p w:rsidR="00232741" w:rsidRPr="00990D3B" w:rsidP="00827DA4" w14:paraId="3B27F9EC" w14:textId="77777777">
            <w:pPr>
              <w:pStyle w:val="TableListBullet"/>
            </w:pPr>
            <w:r w:rsidRPr="00990D3B">
              <w:t>It is unclear how impact will be measured</w:t>
            </w:r>
          </w:p>
          <w:p w:rsidR="00232741" w:rsidRPr="00990D3B" w:rsidP="00827DA4" w14:paraId="7E5667EE" w14:textId="07AB9580">
            <w:pPr>
              <w:pStyle w:val="TableListBullet"/>
            </w:pPr>
            <w:r w:rsidRPr="00990D3B">
              <w:t xml:space="preserve">The population and </w:t>
            </w:r>
            <w:r w:rsidRPr="00990D3B">
              <w:t>time period</w:t>
            </w:r>
            <w:r w:rsidRPr="00990D3B">
              <w:t xml:space="preserve"> are not clearly defined</w:t>
            </w:r>
          </w:p>
        </w:tc>
      </w:tr>
      <w:tr w14:paraId="2F1E8A8D" w14:textId="1A4FDEA2" w:rsidTr="00BD1FC3">
        <w:tblPrEx>
          <w:tblW w:w="5000" w:type="pct"/>
          <w:tblLook w:val="0420"/>
        </w:tblPrEx>
        <w:tc>
          <w:tcPr>
            <w:tcW w:w="543" w:type="pct"/>
            <w:shd w:val="clear" w:color="auto" w:fill="EEF5F5"/>
          </w:tcPr>
          <w:p w:rsidR="00232741" w:rsidRPr="00990D3B" w:rsidP="008C211B" w14:paraId="4081D8E9" w14:textId="6C6F426D">
            <w:pPr>
              <w:pStyle w:val="EQRTableText"/>
              <w:rPr>
                <w:rFonts w:cs="Arial"/>
                <w:szCs w:val="18"/>
              </w:rPr>
            </w:pPr>
            <w:r w:rsidRPr="00990D3B">
              <w:rPr>
                <w:rFonts w:cs="Arial"/>
                <w:szCs w:val="18"/>
              </w:rPr>
              <w:t xml:space="preserve">Good </w:t>
            </w:r>
            <w:r w:rsidRPr="00990D3B" w:rsidR="00086392">
              <w:t>PIP</w:t>
            </w:r>
            <w:r w:rsidRPr="00990D3B">
              <w:rPr>
                <w:rFonts w:cs="Arial"/>
                <w:szCs w:val="18"/>
              </w:rPr>
              <w:t xml:space="preserve"> </w:t>
            </w:r>
            <w:r w:rsidRPr="00990D3B" w:rsidR="008C211B">
              <w:rPr>
                <w:rFonts w:cs="Arial"/>
                <w:szCs w:val="18"/>
              </w:rPr>
              <w:t>Aim Statement</w:t>
            </w:r>
          </w:p>
        </w:tc>
        <w:tc>
          <w:tcPr>
            <w:tcW w:w="2356" w:type="pct"/>
            <w:shd w:val="clear" w:color="auto" w:fill="EEF5F5"/>
          </w:tcPr>
          <w:p w:rsidR="00232741" w:rsidRPr="00990D3B" w:rsidP="00741F01" w14:paraId="7B12144B" w14:textId="09A5E696">
            <w:pPr>
              <w:pStyle w:val="EQRTableText"/>
              <w:rPr>
                <w:rFonts w:cs="Arial"/>
                <w:szCs w:val="18"/>
              </w:rPr>
            </w:pPr>
            <w:r w:rsidRPr="00990D3B">
              <w:rPr>
                <w:rFonts w:cs="Arial"/>
                <w:szCs w:val="18"/>
              </w:rPr>
              <w:t>Will the use of cognitive behavioral therapy in patients with depression and obesity improve depressive symptoms over a six-month period during 20</w:t>
            </w:r>
            <w:r w:rsidRPr="00990D3B" w:rsidR="00FA77AC">
              <w:rPr>
                <w:rFonts w:cs="Arial"/>
                <w:szCs w:val="18"/>
              </w:rPr>
              <w:t>2</w:t>
            </w:r>
            <w:r w:rsidRPr="00990D3B" w:rsidR="00D820BD">
              <w:rPr>
                <w:rFonts w:cs="Arial"/>
                <w:szCs w:val="18"/>
              </w:rPr>
              <w:t>8</w:t>
            </w:r>
            <w:r w:rsidRPr="00990D3B" w:rsidR="00DA6D05">
              <w:rPr>
                <w:rFonts w:cs="Arial"/>
                <w:szCs w:val="18"/>
              </w:rPr>
              <w:t>?</w:t>
            </w:r>
          </w:p>
        </w:tc>
        <w:tc>
          <w:tcPr>
            <w:tcW w:w="2101" w:type="pct"/>
            <w:shd w:val="clear" w:color="auto" w:fill="EEF5F5"/>
          </w:tcPr>
          <w:p w:rsidR="00232741" w:rsidRPr="00990D3B" w:rsidP="00827DA4" w14:paraId="7594168B" w14:textId="77777777">
            <w:pPr>
              <w:pStyle w:val="TableListBullet"/>
            </w:pPr>
            <w:r w:rsidRPr="00990D3B">
              <w:t>Specifies the PIP intervention (cognitive behavioral therapy)</w:t>
            </w:r>
          </w:p>
          <w:p w:rsidR="00232741" w:rsidRPr="00990D3B" w:rsidP="00827DA4" w14:paraId="4D31D685" w14:textId="56275CBE">
            <w:pPr>
              <w:pStyle w:val="TableListBullet"/>
            </w:pPr>
            <w:r w:rsidRPr="00990D3B">
              <w:t xml:space="preserve">Defines the population (patients with depression and obesity) and </w:t>
            </w:r>
            <w:r w:rsidRPr="00990D3B" w:rsidR="00C57416">
              <w:t xml:space="preserve">the </w:t>
            </w:r>
            <w:r w:rsidRPr="00990D3B">
              <w:t>time period</w:t>
            </w:r>
            <w:r w:rsidRPr="00990D3B">
              <w:t xml:space="preserve"> (six-month period during 20</w:t>
            </w:r>
            <w:r w:rsidRPr="00990D3B" w:rsidR="00FA77AC">
              <w:t>2</w:t>
            </w:r>
            <w:r w:rsidRPr="00990D3B" w:rsidR="00D820BD">
              <w:t>8</w:t>
            </w:r>
            <w:r w:rsidRPr="00990D3B">
              <w:t>)</w:t>
            </w:r>
          </w:p>
          <w:p w:rsidR="00232741" w:rsidRPr="00990D3B" w:rsidP="00827DA4" w14:paraId="051CA713" w14:textId="0BFF8842">
            <w:pPr>
              <w:pStyle w:val="TableListBullet"/>
            </w:pPr>
            <w:r w:rsidRPr="00990D3B">
              <w:t>Specifies the measurable impact (improve depressive symptoms)</w:t>
            </w:r>
          </w:p>
        </w:tc>
      </w:tr>
    </w:tbl>
    <w:p w:rsidR="00B25E70" w:rsidRPr="00990D3B" w:rsidP="00BD1FC3" w14:paraId="00F9AC46" w14:textId="54E49796">
      <w:pPr>
        <w:pStyle w:val="H3"/>
      </w:pPr>
      <w:bookmarkStart w:id="128" w:name="P1A1Step3"/>
      <w:bookmarkStart w:id="129" w:name="_Toc493246359"/>
      <w:bookmarkStart w:id="130" w:name="_Toc496116363"/>
      <w:bookmarkEnd w:id="128"/>
      <w:r w:rsidRPr="00990D3B">
        <w:t xml:space="preserve">Step 3. </w:t>
      </w:r>
      <w:r w:rsidRPr="00990D3B">
        <w:t>Review</w:t>
      </w:r>
      <w:r w:rsidRPr="00990D3B">
        <w:t xml:space="preserve"> the Identified PIP Population</w:t>
      </w:r>
    </w:p>
    <w:p w:rsidR="000E0266" w:rsidRPr="00990D3B" w:rsidP="00637811" w14:paraId="5019F435" w14:textId="6BFC46BB">
      <w:pPr>
        <w:pStyle w:val="ParagraphContinued"/>
        <w:rPr>
          <w:b/>
        </w:rPr>
      </w:pPr>
      <w:r w:rsidRPr="00990D3B">
        <w:rPr>
          <w:noProof/>
        </w:rPr>
        <mc:AlternateContent>
          <mc:Choice Requires="wps">
            <w:drawing>
              <wp:anchor distT="0" distB="0" distL="114300" distR="114300" simplePos="0" relativeHeight="251709440" behindDoc="0" locked="0" layoutInCell="1" allowOverlap="1">
                <wp:simplePos x="0" y="0"/>
                <wp:positionH relativeFrom="column">
                  <wp:posOffset>3733800</wp:posOffset>
                </wp:positionH>
                <wp:positionV relativeFrom="paragraph">
                  <wp:posOffset>421640</wp:posOffset>
                </wp:positionV>
                <wp:extent cx="2195195" cy="1301115"/>
                <wp:effectExtent l="19050" t="19050" r="0" b="0"/>
                <wp:wrapTight wrapText="bothSides">
                  <wp:wrapPolygon>
                    <wp:start x="21787" y="21916"/>
                    <wp:lineTo x="21787" y="84"/>
                    <wp:lineTo x="44" y="84"/>
                    <wp:lineTo x="44" y="21916"/>
                    <wp:lineTo x="21787" y="21916"/>
                  </wp:wrapPolygon>
                </wp:wrapTight>
                <wp:docPr id="2021107325" name="Text Box 2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301115"/>
                        </a:xfrm>
                        <a:prstGeom prst="rect">
                          <a:avLst/>
                        </a:prstGeom>
                        <a:solidFill>
                          <a:srgbClr val="EEF5F8"/>
                        </a:solidFill>
                        <a:ln w="28575" cap="rnd">
                          <a:solidFill>
                            <a:srgbClr val="A5DAD9"/>
                          </a:solidFill>
                          <a:prstDash val="solid"/>
                          <a:miter lim="800000"/>
                          <a:headEnd/>
                          <a:tailEnd/>
                        </a:ln>
                      </wps:spPr>
                      <wps:txbx>
                        <w:txbxContent>
                          <w:p w:rsidR="00ED33C3" w:rsidP="003D4607" w14:textId="205E5627">
                            <w:pPr>
                              <w:pStyle w:val="EQRTextboxheading"/>
                            </w:pPr>
                            <w:r>
                              <w:t>Resource for Activity 1, Step 3</w:t>
                            </w:r>
                            <w:r w:rsidRPr="00DE7C40">
                              <w:t xml:space="preserve"> </w:t>
                            </w:r>
                          </w:p>
                          <w:p w:rsidR="00ED33C3" w:rsidP="007F3A3E" w14:textId="13B00A54">
                            <w:pPr>
                              <w:pStyle w:val="EQRTextboxbody"/>
                            </w:pPr>
                            <w:hyperlink w:anchor="WSp1n3" w:tooltip="Worksheet 1.3. Review the Identified PIP Population" w:history="1">
                              <w:r w:rsidRPr="00A77042">
                                <w:rPr>
                                  <w:rStyle w:val="Hyperlink"/>
                                </w:rPr>
                                <w:t>Worksheet 1.3. Review the Identified PIP Population</w:t>
                              </w:r>
                            </w:hyperlink>
                          </w:p>
                          <w:p w:rsidR="00ED33C3" w:rsidRPr="0090682E" w:rsidP="007F3A3E" w14:textId="5E656E2E">
                            <w:pPr>
                              <w:pStyle w:val="EQRTextboxbullet"/>
                              <w:rPr>
                                <w:spacing w:val="-2"/>
                              </w:rPr>
                            </w:pPr>
                            <w:r>
                              <w:t>Provides a template for assessing whether the PIP population was appropriately identified</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4" o:spid="_x0000_s1054" type="#_x0000_t202" style="width:172.85pt;height:102.45pt;margin-top:33.2pt;margin-left:294pt;flip:y;mso-height-percent:0;mso-height-relative:page;mso-width-percent:0;mso-width-relative:page;mso-wrap-distance-bottom:0;mso-wrap-distance-left:9pt;mso-wrap-distance-right:9pt;mso-wrap-distance-top:0;mso-wrap-style:square;position:absolute;rotation:180;visibility:visible;v-text-anchor:top;z-index:251710464" fillcolor="#eef5f8" strokecolor="#a5dad9" strokeweight="2.25pt">
                <v:stroke endcap="round"/>
                <v:textbox style="mso-fit-shape-to-text:t" inset="8.64pt,,8.64pt">
                  <w:txbxContent>
                    <w:p w:rsidR="00ED33C3" w:rsidP="003D4607" w14:paraId="18A78B2F" w14:textId="205E5627">
                      <w:pPr>
                        <w:pStyle w:val="EQRTextboxheading"/>
                      </w:pPr>
                      <w:r>
                        <w:t>Resource for Activity 1, Step 3</w:t>
                      </w:r>
                      <w:r w:rsidRPr="00DE7C40">
                        <w:t xml:space="preserve"> </w:t>
                      </w:r>
                    </w:p>
                    <w:p w:rsidR="00ED33C3" w:rsidP="007F3A3E" w14:paraId="2B555FE7" w14:textId="13B00A54">
                      <w:pPr>
                        <w:pStyle w:val="EQRTextboxbody"/>
                      </w:pPr>
                      <w:hyperlink w:anchor="WSp1n3" w:tooltip="Worksheet 1.3. Review the Identified PIP Population" w:history="1">
                        <w:r w:rsidRPr="00A77042">
                          <w:rPr>
                            <w:rStyle w:val="Hyperlink"/>
                          </w:rPr>
                          <w:t>Worksheet 1.3. Review the Identified PIP Population</w:t>
                        </w:r>
                      </w:hyperlink>
                    </w:p>
                    <w:p w:rsidR="00ED33C3" w:rsidRPr="0090682E" w:rsidP="007F3A3E" w14:paraId="2270931A" w14:textId="5E656E2E">
                      <w:pPr>
                        <w:pStyle w:val="EQRTextboxbullet"/>
                        <w:rPr>
                          <w:spacing w:val="-2"/>
                        </w:rPr>
                      </w:pPr>
                      <w:r>
                        <w:t>Provides a template for assessing whether the PIP population was appropriately identified</w:t>
                      </w:r>
                    </w:p>
                  </w:txbxContent>
                </v:textbox>
                <w10:wrap type="tight"/>
              </v:shape>
            </w:pict>
          </mc:Fallback>
        </mc:AlternateContent>
      </w:r>
      <w:r w:rsidRPr="00990D3B">
        <w:rPr>
          <w:noProof/>
        </w:rPr>
        <mc:AlternateContent>
          <mc:Choice Requires="wps">
            <w:drawing>
              <wp:anchor distT="0" distB="0" distL="114300" distR="114300" simplePos="0" relativeHeight="251711488" behindDoc="0" locked="0" layoutInCell="1" allowOverlap="1">
                <wp:simplePos x="0" y="0"/>
                <wp:positionH relativeFrom="column">
                  <wp:posOffset>3733800</wp:posOffset>
                </wp:positionH>
                <wp:positionV relativeFrom="paragraph">
                  <wp:posOffset>60960</wp:posOffset>
                </wp:positionV>
                <wp:extent cx="2194560" cy="297815"/>
                <wp:effectExtent l="19050" t="19050" r="0" b="7620"/>
                <wp:wrapTight wrapText="bothSides">
                  <wp:wrapPolygon>
                    <wp:start x="21788" y="22985"/>
                    <wp:lineTo x="21788" y="-554"/>
                    <wp:lineTo x="38" y="-554"/>
                    <wp:lineTo x="38" y="22985"/>
                    <wp:lineTo x="21788" y="22985"/>
                  </wp:wrapPolygon>
                </wp:wrapTight>
                <wp:docPr id="852058977" name="Text Box 2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7F3A3E" w14:textId="7E1C1ABA">
                            <w:pPr>
                              <w:pStyle w:val="EQRWORKSHEETText"/>
                              <w:rPr>
                                <w:spacing w:val="-2"/>
                              </w:rPr>
                            </w:pPr>
                            <w:hyperlink w:anchor="WSp1n3" w:tooltip="WORKSHEET 1.3" w:history="1">
                              <w:r>
                                <w:rPr>
                                  <w:rStyle w:val="Hyperlink"/>
                                  <w:color w:val="006981"/>
                                </w:rPr>
                                <w:t>WORKSHEET 1.3</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3" o:spid="_x0000_s1055" type="#_x0000_t202" style="width:172.8pt;height:23.45pt;margin-top:4.8pt;margin-left:294pt;flip:y;mso-height-percent:0;mso-height-relative:page;mso-width-percent:0;mso-width-relative:page;mso-wrap-distance-bottom:0;mso-wrap-distance-left:9pt;mso-wrap-distance-right:9pt;mso-wrap-distance-top:0;mso-wrap-style:square;position:absolute;rotation:180;visibility:visible;v-text-anchor:top;z-index:251712512" fillcolor="#eef5f8" strokecolor="#a5dad9" strokeweight="2.25pt">
                <v:stroke endcap="round"/>
                <v:textbox style="mso-fit-shape-to-text:t" inset="8.64pt,,8.64pt">
                  <w:txbxContent>
                    <w:p w:rsidR="00ED33C3" w:rsidRPr="0090682E" w:rsidP="007F3A3E" w14:paraId="3EA5A4E2" w14:textId="7E1C1ABA">
                      <w:pPr>
                        <w:pStyle w:val="EQRWORKSHEETText"/>
                        <w:rPr>
                          <w:spacing w:val="-2"/>
                        </w:rPr>
                      </w:pPr>
                      <w:hyperlink w:anchor="WSp1n3" w:tooltip="WORKSHEET 1.3" w:history="1">
                        <w:r>
                          <w:rPr>
                            <w:rStyle w:val="Hyperlink"/>
                            <w:color w:val="006981"/>
                          </w:rPr>
                          <w:t>WORKSHEET 1.3</w:t>
                        </w:r>
                      </w:hyperlink>
                    </w:p>
                  </w:txbxContent>
                </v:textbox>
                <w10:wrap type="tight"/>
              </v:shape>
            </w:pict>
          </mc:Fallback>
        </mc:AlternateContent>
      </w:r>
      <w:r w:rsidRPr="00990D3B" w:rsidR="00B25E70">
        <w:t xml:space="preserve">In this step, the EQRO assesses whether the MCP clearly identified the population for the PIP in relation to the PIP aim statement (such as age, length of enrollment, diagnoses, procedures, and other characteristics). Depending on the nature of the PIP aim statement, PIP population, and available data, the PIP may include the entire population or a sample of the population. PIPs that rely on existing administrative data, such as claims and encounter data, registry data, or vital records, are typically based on the universe of the PIP population. PIPs that rely on either medical record review or the hybrid method (which uses a combination of administrative data and medical record review) typically include a representative sample of the identified population. If a sample was used for the PIP, go to Step 4. If the entire population was studied, skip Step 4 and go to Step 5. If </w:t>
      </w:r>
      <w:r w:rsidRPr="00990D3B" w:rsidR="00467B7C">
        <w:t>Healthcare Effectiveness Data and Information Set (</w:t>
      </w:r>
      <w:r w:rsidRPr="00990D3B" w:rsidR="00B25E70">
        <w:t>HEDIS®</w:t>
      </w:r>
      <w:r w:rsidRPr="00990D3B" w:rsidR="00467B7C">
        <w:t>)</w:t>
      </w:r>
      <w:r w:rsidRPr="00990D3B" w:rsidR="00B25E70">
        <w:t xml:space="preserve"> measures and sampling methodology are used, go to Step 5.</w:t>
      </w:r>
      <w:bookmarkStart w:id="131" w:name="_Toc493246360"/>
      <w:bookmarkStart w:id="132" w:name="_Toc496116364"/>
      <w:bookmarkEnd w:id="129"/>
      <w:bookmarkEnd w:id="130"/>
    </w:p>
    <w:p w:rsidR="007C6A23" w:rsidRPr="00990D3B" w:rsidP="00BD1FC3" w14:paraId="11B48289" w14:textId="30D6F502">
      <w:pPr>
        <w:pStyle w:val="H3"/>
      </w:pPr>
      <w:bookmarkStart w:id="133" w:name="P1A1Step4"/>
      <w:bookmarkEnd w:id="133"/>
      <w:r w:rsidRPr="00990D3B">
        <w:t>Step</w:t>
      </w:r>
      <w:r w:rsidRPr="00990D3B">
        <w:t xml:space="preserve"> 4: </w:t>
      </w:r>
      <w:r w:rsidRPr="00990D3B" w:rsidR="009176F0">
        <w:t>Review the Sampling Method</w:t>
      </w:r>
      <w:bookmarkEnd w:id="131"/>
      <w:bookmarkEnd w:id="132"/>
    </w:p>
    <w:p w:rsidR="00FE6CC5" w:rsidRPr="00990D3B" w:rsidP="00637811" w14:paraId="4BC7DC8E" w14:textId="0670527F">
      <w:pPr>
        <w:pStyle w:val="ParagraphContinued"/>
      </w:pPr>
      <w:r w:rsidRPr="00990D3B">
        <w:rPr>
          <w:noProof/>
        </w:rPr>
        <mc:AlternateContent>
          <mc:Choice Requires="wps">
            <w:drawing>
              <wp:anchor distT="0" distB="0" distL="114300" distR="114300" simplePos="0" relativeHeight="251713536" behindDoc="0" locked="0" layoutInCell="1" allowOverlap="1">
                <wp:simplePos x="0" y="0"/>
                <wp:positionH relativeFrom="column">
                  <wp:posOffset>3733800</wp:posOffset>
                </wp:positionH>
                <wp:positionV relativeFrom="paragraph">
                  <wp:posOffset>407832</wp:posOffset>
                </wp:positionV>
                <wp:extent cx="2195195" cy="1453515"/>
                <wp:effectExtent l="19050" t="19050" r="14605" b="13970"/>
                <wp:wrapTight wrapText="bothSides">
                  <wp:wrapPolygon>
                    <wp:start x="21787" y="21883"/>
                    <wp:lineTo x="21787" y="76"/>
                    <wp:lineTo x="44" y="76"/>
                    <wp:lineTo x="44" y="21883"/>
                    <wp:lineTo x="21787" y="21883"/>
                  </wp:wrapPolygon>
                </wp:wrapTight>
                <wp:docPr id="527225637" name="Text Box 2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453515"/>
                        </a:xfrm>
                        <a:prstGeom prst="rect">
                          <a:avLst/>
                        </a:prstGeom>
                        <a:solidFill>
                          <a:srgbClr val="EEF5F8"/>
                        </a:solidFill>
                        <a:ln w="28575" cap="rnd">
                          <a:solidFill>
                            <a:srgbClr val="A5DAD9"/>
                          </a:solidFill>
                          <a:prstDash val="solid"/>
                          <a:miter lim="800000"/>
                          <a:headEnd/>
                          <a:tailEnd/>
                        </a:ln>
                      </wps:spPr>
                      <wps:txbx>
                        <w:txbxContent>
                          <w:p w:rsidR="00ED33C3" w:rsidP="003D4607" w14:textId="26841A9C">
                            <w:pPr>
                              <w:pStyle w:val="EQRTextboxheading"/>
                            </w:pPr>
                            <w:r>
                              <w:t>Resource for Activity 1, Step 4</w:t>
                            </w:r>
                          </w:p>
                          <w:p w:rsidR="00ED33C3" w:rsidRPr="006D534C" w:rsidP="006D534C" w14:textId="679D848D">
                            <w:pPr>
                              <w:pStyle w:val="EQRTextboxbody"/>
                            </w:pPr>
                            <w:hyperlink w:anchor="WSp1n4" w:tooltip="Worksheet 1.4. Review the Sampling Method" w:history="1">
                              <w:r w:rsidRPr="00A77042">
                                <w:rPr>
                                  <w:rStyle w:val="Hyperlink"/>
                                </w:rPr>
                                <w:t>Worksheet 1.4. Review the Sampling Method</w:t>
                              </w:r>
                            </w:hyperlink>
                          </w:p>
                          <w:p w:rsidR="00ED33C3" w:rsidRPr="0090682E" w:rsidP="006D534C" w14:textId="77A1F037">
                            <w:pPr>
                              <w:pStyle w:val="EQRTextboxbullet"/>
                              <w:rPr>
                                <w:spacing w:val="-2"/>
                              </w:rPr>
                            </w:pPr>
                            <w:r w:rsidRPr="006D534C">
                              <w:t>Provides a template for reviewing the suitability of the sampling method based on the PIP aim statement and population</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2" o:spid="_x0000_s1056" type="#_x0000_t202" style="width:172.85pt;height:114.45pt;margin-top:32.1pt;margin-left:294pt;flip:y;mso-height-percent:0;mso-height-relative:page;mso-width-percent:0;mso-width-relative:page;mso-wrap-distance-bottom:0;mso-wrap-distance-left:9pt;mso-wrap-distance-right:9pt;mso-wrap-distance-top:0;mso-wrap-style:square;position:absolute;rotation:180;visibility:visible;v-text-anchor:top;z-index:251714560" fillcolor="#eef5f8" strokecolor="#a5dad9" strokeweight="2.25pt">
                <v:stroke endcap="round"/>
                <v:textbox style="mso-fit-shape-to-text:t" inset="8.64pt,,8.64pt">
                  <w:txbxContent>
                    <w:p w:rsidR="00ED33C3" w:rsidP="003D4607" w14:paraId="681CF7E6" w14:textId="26841A9C">
                      <w:pPr>
                        <w:pStyle w:val="EQRTextboxheading"/>
                      </w:pPr>
                      <w:r>
                        <w:t>Resource for Activity 1, Step 4</w:t>
                      </w:r>
                    </w:p>
                    <w:p w:rsidR="00ED33C3" w:rsidRPr="006D534C" w:rsidP="006D534C" w14:paraId="637E196A" w14:textId="679D848D">
                      <w:pPr>
                        <w:pStyle w:val="EQRTextboxbody"/>
                      </w:pPr>
                      <w:hyperlink w:anchor="WSp1n4" w:tooltip="Worksheet 1.4. Review the Sampling Method" w:history="1">
                        <w:r w:rsidRPr="00A77042">
                          <w:rPr>
                            <w:rStyle w:val="Hyperlink"/>
                          </w:rPr>
                          <w:t>Worksheet 1.4. Review the Sampling Method</w:t>
                        </w:r>
                      </w:hyperlink>
                    </w:p>
                    <w:p w:rsidR="00ED33C3" w:rsidRPr="0090682E" w:rsidP="006D534C" w14:paraId="6C7F43F2" w14:textId="77A1F037">
                      <w:pPr>
                        <w:pStyle w:val="EQRTextboxbullet"/>
                        <w:rPr>
                          <w:spacing w:val="-2"/>
                        </w:rPr>
                      </w:pPr>
                      <w:r w:rsidRPr="006D534C">
                        <w:t>Provides a template for reviewing the suitability of the sampling method based on the PIP aim statement and population</w:t>
                      </w:r>
                    </w:p>
                  </w:txbxContent>
                </v:textbox>
                <w10:wrap type="tight"/>
              </v:shape>
            </w:pict>
          </mc:Fallback>
        </mc:AlternateContent>
      </w:r>
      <w:r w:rsidRPr="00990D3B">
        <w:rPr>
          <w:noProof/>
        </w:rPr>
        <mc:AlternateContent>
          <mc:Choice Requires="wps">
            <w:drawing>
              <wp:anchor distT="0" distB="0" distL="114300" distR="114300" simplePos="0" relativeHeight="251715584" behindDoc="0" locked="0" layoutInCell="1" allowOverlap="1">
                <wp:simplePos x="0" y="0"/>
                <wp:positionH relativeFrom="column">
                  <wp:posOffset>3733800</wp:posOffset>
                </wp:positionH>
                <wp:positionV relativeFrom="paragraph">
                  <wp:posOffset>57947</wp:posOffset>
                </wp:positionV>
                <wp:extent cx="2193925" cy="297815"/>
                <wp:effectExtent l="19050" t="19050" r="15875" b="26670"/>
                <wp:wrapTight wrapText="bothSides">
                  <wp:wrapPolygon>
                    <wp:start x="21788" y="22985"/>
                    <wp:lineTo x="21788" y="-554"/>
                    <wp:lineTo x="31" y="-554"/>
                    <wp:lineTo x="31" y="22985"/>
                    <wp:lineTo x="21788" y="22985"/>
                  </wp:wrapPolygon>
                </wp:wrapTight>
                <wp:docPr id="1437286348" name="Text Box 2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7F3A3E" w14:textId="559293F6">
                            <w:pPr>
                              <w:pStyle w:val="EQRWORKSHEETText"/>
                              <w:rPr>
                                <w:spacing w:val="-2"/>
                              </w:rPr>
                            </w:pPr>
                            <w:hyperlink w:anchor="WSp1n4" w:tooltip="WORKSHEET 1.4" w:history="1">
                              <w:r>
                                <w:rPr>
                                  <w:rStyle w:val="Hyperlink"/>
                                  <w:color w:val="006981"/>
                                </w:rPr>
                                <w:t>WORKSHEET 1.4</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1" o:spid="_x0000_s1057" type="#_x0000_t202" style="width:172.75pt;height:23.45pt;margin-top:4.55pt;margin-left:294pt;flip:y;mso-height-percent:0;mso-height-relative:page;mso-width-percent:0;mso-width-relative:page;mso-wrap-distance-bottom:0;mso-wrap-distance-left:9pt;mso-wrap-distance-right:9pt;mso-wrap-distance-top:0;mso-wrap-style:square;position:absolute;rotation:180;visibility:visible;v-text-anchor:top;z-index:251716608" fillcolor="#eef5f8" strokecolor="#a5dad9" strokeweight="2.25pt">
                <v:stroke endcap="round"/>
                <v:textbox style="mso-fit-shape-to-text:t" inset="8.64pt,,8.64pt">
                  <w:txbxContent>
                    <w:p w:rsidR="00ED33C3" w:rsidRPr="0090682E" w:rsidP="007F3A3E" w14:paraId="6B94751C" w14:textId="559293F6">
                      <w:pPr>
                        <w:pStyle w:val="EQRWORKSHEETText"/>
                        <w:rPr>
                          <w:spacing w:val="-2"/>
                        </w:rPr>
                      </w:pPr>
                      <w:hyperlink w:anchor="WSp1n4" w:tooltip="WORKSHEET 1.4" w:history="1">
                        <w:r>
                          <w:rPr>
                            <w:rStyle w:val="Hyperlink"/>
                            <w:color w:val="006981"/>
                          </w:rPr>
                          <w:t>WORKSHEET 1.4</w:t>
                        </w:r>
                      </w:hyperlink>
                    </w:p>
                  </w:txbxContent>
                </v:textbox>
                <w10:wrap type="tight"/>
              </v:shape>
            </w:pict>
          </mc:Fallback>
        </mc:AlternateContent>
      </w:r>
      <w:r w:rsidRPr="00990D3B" w:rsidR="00FE6CC5">
        <w:t>In this step, the EQRO assesses the appropriateness of the PIP’s sampling methods. Appropriate sampling methods are necessary to ensure</w:t>
      </w:r>
      <w:r w:rsidRPr="00990D3B" w:rsidR="00F77E0C">
        <w:t xml:space="preserve"> that</w:t>
      </w:r>
      <w:r w:rsidRPr="00990D3B" w:rsidR="00FE6CC5">
        <w:t xml:space="preserve"> the collection of information produces valid and reliable results. Please refer to </w:t>
      </w:r>
      <w:hyperlink w:anchor="AppC" w:tooltip="Appendix C" w:history="1">
        <w:r w:rsidRPr="00990D3B" w:rsidR="00875181">
          <w:rPr>
            <w:rStyle w:val="Hyperlink"/>
          </w:rPr>
          <w:t>Appendix C</w:t>
        </w:r>
      </w:hyperlink>
      <w:r w:rsidRPr="00990D3B" w:rsidR="00FE6CC5">
        <w:t xml:space="preserve"> for an overview of sampling methodologies applicable to PIPs. When HEDIS® measures are used</w:t>
      </w:r>
      <w:r w:rsidRPr="00990D3B" w:rsidR="008260E8">
        <w:t>,</w:t>
      </w:r>
      <w:r w:rsidRPr="00990D3B" w:rsidR="00FE6CC5">
        <w:t xml:space="preserve"> and sampling is required (for example, for measures calculated using the hybrid method), HEDIS® sampling methodology should be used. </w:t>
      </w:r>
    </w:p>
    <w:p w:rsidR="007C6A23" w:rsidRPr="00990D3B" w:rsidP="00BD1FC3" w14:paraId="204AAB16" w14:textId="1E817302">
      <w:pPr>
        <w:pStyle w:val="H3"/>
      </w:pPr>
      <w:bookmarkStart w:id="134" w:name="P1A1Step5"/>
      <w:bookmarkStart w:id="135" w:name="_Toc493246361"/>
      <w:bookmarkStart w:id="136" w:name="_Toc496116365"/>
      <w:bookmarkEnd w:id="134"/>
      <w:r w:rsidRPr="00990D3B">
        <w:t>Step</w:t>
      </w:r>
      <w:r w:rsidRPr="00990D3B">
        <w:t xml:space="preserve"> 5: </w:t>
      </w:r>
      <w:r w:rsidRPr="00990D3B">
        <w:t>Revie</w:t>
      </w:r>
      <w:r w:rsidRPr="00990D3B" w:rsidR="009176F0">
        <w:t>w</w:t>
      </w:r>
      <w:r w:rsidRPr="00990D3B" w:rsidR="009176F0">
        <w:t xml:space="preserve"> the Selected </w:t>
      </w:r>
      <w:r w:rsidRPr="00990D3B" w:rsidR="0069531E">
        <w:t xml:space="preserve">PIP </w:t>
      </w:r>
      <w:r w:rsidRPr="00990D3B" w:rsidR="009176F0">
        <w:t>Variables</w:t>
      </w:r>
      <w:bookmarkEnd w:id="135"/>
      <w:bookmarkEnd w:id="136"/>
      <w:r w:rsidRPr="00990D3B" w:rsidR="008B6169">
        <w:t xml:space="preserve"> and Performance Measures</w:t>
      </w:r>
    </w:p>
    <w:p w:rsidR="00B32222" w:rsidRPr="00990D3B" w:rsidP="00637811" w14:paraId="2DCF5720" w14:textId="4C186EB1">
      <w:pPr>
        <w:pStyle w:val="ParagraphContinued"/>
      </w:pPr>
      <w:r w:rsidRPr="00990D3B">
        <w:rPr>
          <w:noProof/>
        </w:rPr>
        <mc:AlternateContent>
          <mc:Choice Requires="wps">
            <w:drawing>
              <wp:anchor distT="0" distB="0" distL="114300" distR="114300" simplePos="0" relativeHeight="251705344" behindDoc="0" locked="0" layoutInCell="1" allowOverlap="1">
                <wp:simplePos x="0" y="0"/>
                <wp:positionH relativeFrom="column">
                  <wp:posOffset>3771900</wp:posOffset>
                </wp:positionH>
                <wp:positionV relativeFrom="paragraph">
                  <wp:posOffset>415290</wp:posOffset>
                </wp:positionV>
                <wp:extent cx="2195195" cy="1301115"/>
                <wp:effectExtent l="19050" t="19050" r="0" b="0"/>
                <wp:wrapTight wrapText="bothSides">
                  <wp:wrapPolygon>
                    <wp:start x="21787" y="21916"/>
                    <wp:lineTo x="21787" y="84"/>
                    <wp:lineTo x="44" y="84"/>
                    <wp:lineTo x="44" y="21916"/>
                    <wp:lineTo x="21787" y="21916"/>
                  </wp:wrapPolygon>
                </wp:wrapTight>
                <wp:docPr id="785271028" name="Text Box 2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301115"/>
                        </a:xfrm>
                        <a:prstGeom prst="rect">
                          <a:avLst/>
                        </a:prstGeom>
                        <a:solidFill>
                          <a:srgbClr val="EEF5F8"/>
                        </a:solidFill>
                        <a:ln w="28575" cap="rnd">
                          <a:solidFill>
                            <a:srgbClr val="A5DAD9"/>
                          </a:solidFill>
                          <a:prstDash val="solid"/>
                          <a:miter lim="800000"/>
                          <a:headEnd/>
                          <a:tailEnd/>
                        </a:ln>
                      </wps:spPr>
                      <wps:txbx>
                        <w:txbxContent>
                          <w:p w:rsidR="00ED33C3" w:rsidP="003D4607" w14:textId="24B051D4">
                            <w:pPr>
                              <w:pStyle w:val="EQRTextboxheading"/>
                            </w:pPr>
                            <w:r>
                              <w:t>Resource for Activity 1, Step 5</w:t>
                            </w:r>
                            <w:r w:rsidRPr="00DE7C40">
                              <w:t xml:space="preserve"> </w:t>
                            </w:r>
                          </w:p>
                          <w:p w:rsidR="00ED33C3" w:rsidRPr="00B4449F" w:rsidP="00B4449F" w14:textId="0215981D">
                            <w:pPr>
                              <w:pStyle w:val="EQRTextboxbody"/>
                            </w:pPr>
                            <w:hyperlink w:anchor="WSp1n5" w:tooltip="Worksheet 1.5. Review the Selected PIP Variables and Performance Measures" w:history="1">
                              <w:r w:rsidRPr="00A77042">
                                <w:rPr>
                                  <w:rStyle w:val="Hyperlink"/>
                                </w:rPr>
                                <w:t>Worksheet 1.5. Review the Selected PIP Variables and Performance Measures</w:t>
                              </w:r>
                            </w:hyperlink>
                          </w:p>
                          <w:p w:rsidR="00ED33C3" w:rsidRPr="0090682E" w:rsidP="00B4449F" w14:textId="71168A93">
                            <w:pPr>
                              <w:pStyle w:val="EQRTextboxbullet"/>
                              <w:rPr>
                                <w:spacing w:val="-2"/>
                              </w:rPr>
                            </w:pPr>
                            <w:r w:rsidRPr="00B4449F">
                              <w:t>Provides a template for assessing the appropriateness of selected PIP variables and performance measures</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0" o:spid="_x0000_s1058" type="#_x0000_t202" style="width:172.85pt;height:102.45pt;margin-top:32.7pt;margin-left:297pt;flip:y;mso-height-percent:0;mso-height-relative:page;mso-width-percent:0;mso-width-relative:page;mso-wrap-distance-bottom:0;mso-wrap-distance-left:9pt;mso-wrap-distance-right:9pt;mso-wrap-distance-top:0;mso-wrap-style:square;position:absolute;rotation:180;visibility:visible;v-text-anchor:top;z-index:251706368" fillcolor="#eef5f8" strokecolor="#a5dad9" strokeweight="2.25pt">
                <v:stroke endcap="round"/>
                <v:textbox style="mso-fit-shape-to-text:t" inset="8.64pt,,8.64pt">
                  <w:txbxContent>
                    <w:p w:rsidR="00ED33C3" w:rsidP="003D4607" w14:paraId="3AA80516" w14:textId="24B051D4">
                      <w:pPr>
                        <w:pStyle w:val="EQRTextboxheading"/>
                      </w:pPr>
                      <w:r>
                        <w:t>Resource for Activity 1, Step 5</w:t>
                      </w:r>
                      <w:r w:rsidRPr="00DE7C40">
                        <w:t xml:space="preserve"> </w:t>
                      </w:r>
                    </w:p>
                    <w:p w:rsidR="00ED33C3" w:rsidRPr="00B4449F" w:rsidP="00B4449F" w14:paraId="46C0E4CE" w14:textId="0215981D">
                      <w:pPr>
                        <w:pStyle w:val="EQRTextboxbody"/>
                      </w:pPr>
                      <w:hyperlink w:anchor="WSp1n5" w:tooltip="Worksheet 1.5. Review the Selected PIP Variables and Performance Measures" w:history="1">
                        <w:r w:rsidRPr="00A77042">
                          <w:rPr>
                            <w:rStyle w:val="Hyperlink"/>
                          </w:rPr>
                          <w:t>Worksheet 1.5. Review the Selected PIP Variables and Performance Measures</w:t>
                        </w:r>
                      </w:hyperlink>
                    </w:p>
                    <w:p w:rsidR="00ED33C3" w:rsidRPr="0090682E" w:rsidP="00B4449F" w14:paraId="26BB425E" w14:textId="71168A93">
                      <w:pPr>
                        <w:pStyle w:val="EQRTextboxbullet"/>
                        <w:rPr>
                          <w:spacing w:val="-2"/>
                        </w:rPr>
                      </w:pPr>
                      <w:r w:rsidRPr="00B4449F">
                        <w:t>Provides a template for assessing the appropriateness of selected PIP variables and performance measures</w:t>
                      </w:r>
                    </w:p>
                  </w:txbxContent>
                </v:textbox>
                <w10:wrap type="tight"/>
              </v:shape>
            </w:pict>
          </mc:Fallback>
        </mc:AlternateContent>
      </w:r>
      <w:r w:rsidRPr="00990D3B">
        <w:rPr>
          <w:noProof/>
        </w:rPr>
        <mc:AlternateContent>
          <mc:Choice Requires="wps">
            <w:drawing>
              <wp:anchor distT="0" distB="0" distL="114300" distR="114300" simplePos="0" relativeHeight="251707392" behindDoc="0" locked="0" layoutInCell="1" allowOverlap="1">
                <wp:simplePos x="0" y="0"/>
                <wp:positionH relativeFrom="column">
                  <wp:posOffset>3771900</wp:posOffset>
                </wp:positionH>
                <wp:positionV relativeFrom="paragraph">
                  <wp:posOffset>54610</wp:posOffset>
                </wp:positionV>
                <wp:extent cx="2194560" cy="297815"/>
                <wp:effectExtent l="19050" t="19050" r="0" b="7620"/>
                <wp:wrapTight wrapText="bothSides">
                  <wp:wrapPolygon>
                    <wp:start x="21788" y="22985"/>
                    <wp:lineTo x="21788" y="-554"/>
                    <wp:lineTo x="38" y="-554"/>
                    <wp:lineTo x="38" y="22985"/>
                    <wp:lineTo x="21788" y="22985"/>
                  </wp:wrapPolygon>
                </wp:wrapTight>
                <wp:docPr id="1264425013" name="Text Box 20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7F3A3E" w14:textId="5F8A8DD0">
                            <w:pPr>
                              <w:pStyle w:val="EQRWORKSHEETText"/>
                              <w:rPr>
                                <w:spacing w:val="-2"/>
                              </w:rPr>
                            </w:pPr>
                            <w:hyperlink w:anchor="WSp1n5" w:tooltip="WORKSHEET 1.5" w:history="1">
                              <w:r>
                                <w:rPr>
                                  <w:rStyle w:val="Hyperlink"/>
                                  <w:color w:val="006981"/>
                                </w:rPr>
                                <w:t>WORKSHEET 1.5</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9" o:spid="_x0000_s1059" type="#_x0000_t202" style="width:172.8pt;height:23.45pt;margin-top:4.3pt;margin-left:297pt;flip:y;mso-height-percent:0;mso-height-relative:page;mso-width-percent:0;mso-width-relative:page;mso-wrap-distance-bottom:0;mso-wrap-distance-left:9pt;mso-wrap-distance-right:9pt;mso-wrap-distance-top:0;mso-wrap-style:square;position:absolute;rotation:180;visibility:visible;v-text-anchor:top;z-index:251708416" fillcolor="#eef5f8" strokecolor="#a5dad9" strokeweight="2.25pt">
                <v:stroke endcap="round"/>
                <v:textbox style="mso-fit-shape-to-text:t" inset="8.64pt,,8.64pt">
                  <w:txbxContent>
                    <w:p w:rsidR="00ED33C3" w:rsidRPr="0090682E" w:rsidP="007F3A3E" w14:paraId="582B381E" w14:textId="5F8A8DD0">
                      <w:pPr>
                        <w:pStyle w:val="EQRWORKSHEETText"/>
                        <w:rPr>
                          <w:spacing w:val="-2"/>
                        </w:rPr>
                      </w:pPr>
                      <w:hyperlink w:anchor="WSp1n5" w:tooltip="WORKSHEET 1.5" w:history="1">
                        <w:r>
                          <w:rPr>
                            <w:rStyle w:val="Hyperlink"/>
                            <w:color w:val="006981"/>
                          </w:rPr>
                          <w:t>WORKSHEET 1.5</w:t>
                        </w:r>
                      </w:hyperlink>
                    </w:p>
                  </w:txbxContent>
                </v:textbox>
                <w10:wrap type="tight"/>
              </v:shape>
            </w:pict>
          </mc:Fallback>
        </mc:AlternateContent>
      </w:r>
      <w:r w:rsidRPr="00990D3B" w:rsidR="00FE6CC5">
        <w:t>In this step, the EQRO assesses the variables selected for a PIP</w:t>
      </w:r>
      <w:r w:rsidRPr="00990D3B" w:rsidR="008260E8">
        <w:t xml:space="preserve">. </w:t>
      </w:r>
      <w:r w:rsidRPr="00990D3B" w:rsidR="00212ED3">
        <w:t>V</w:t>
      </w:r>
      <w:r w:rsidRPr="00990D3B" w:rsidR="00FE6CC5">
        <w:t>ariables</w:t>
      </w:r>
      <w:r w:rsidRPr="00990D3B" w:rsidR="00212ED3">
        <w:t xml:space="preserve"> in PIPs</w:t>
      </w:r>
      <w:r w:rsidRPr="00990D3B" w:rsidR="00FE6CC5">
        <w:t xml:space="preserve"> can take </w:t>
      </w:r>
      <w:r w:rsidRPr="00990D3B" w:rsidR="00D77AF2">
        <w:t>various</w:t>
      </w:r>
      <w:r w:rsidRPr="00990D3B" w:rsidR="00FE6CC5">
        <w:t xml:space="preserve"> forms as long as the selected variables identify the MCP’s performance on the </w:t>
      </w:r>
      <w:r w:rsidRPr="00990D3B" w:rsidR="00152A14">
        <w:t>PIP</w:t>
      </w:r>
      <w:r w:rsidRPr="00990D3B" w:rsidR="00FE6CC5">
        <w:t xml:space="preserve"> questions objectively and reliably and use clearly defined indicators of performance</w:t>
      </w:r>
      <w:r w:rsidRPr="00990D3B" w:rsidR="00E63B0C">
        <w:t xml:space="preserve"> (</w:t>
      </w:r>
      <w:r w:rsidRPr="00990D3B" w:rsidR="00736D4B">
        <w:t xml:space="preserve">See </w:t>
      </w:r>
      <w:hyperlink w:anchor="Box1n3" w:tooltip="Box 1.3" w:history="1">
        <w:r w:rsidRPr="00990D3B" w:rsidR="00736D4B">
          <w:rPr>
            <w:rStyle w:val="Hyperlink"/>
          </w:rPr>
          <w:t>Box 1.3</w:t>
        </w:r>
      </w:hyperlink>
      <w:r w:rsidRPr="00990D3B" w:rsidR="00736D4B">
        <w:rPr>
          <w:rStyle w:val="Hyperlink"/>
          <w:color w:val="auto"/>
        </w:rPr>
        <w:t>)</w:t>
      </w:r>
      <w:r w:rsidRPr="00990D3B" w:rsidR="00FE6CC5">
        <w:t xml:space="preserve">. </w:t>
      </w:r>
    </w:p>
    <w:p w:rsidR="0066541F" w:rsidRPr="00990D3B" w:rsidP="00637811" w14:paraId="3B50E3E2" w14:textId="5FB4C6F8">
      <w:pPr>
        <w:pStyle w:val="Paragraph0"/>
      </w:pPr>
      <w:r w:rsidRPr="00990D3B">
        <w:t>The PIP should include the number and types of variables that are adequate to answer the PIP question and for which appropriate and reliable data are available to measure performance and track improvement over time. Variables used in PIPs may be continuous, categorical, or discrete (</w:t>
      </w:r>
      <w:hyperlink w:anchor="Table1n2" w:tooltip="Table 1.2" w:history="1">
        <w:r w:rsidRPr="00990D3B">
          <w:rPr>
            <w:rStyle w:val="Hyperlink"/>
          </w:rPr>
          <w:t>Table 1.2</w:t>
        </w:r>
      </w:hyperlink>
      <w:r w:rsidRPr="00990D3B">
        <w:t xml:space="preserve">), and </w:t>
      </w:r>
      <w:r w:rsidRPr="00990D3B" w:rsidR="00D77AF2">
        <w:t xml:space="preserve">various measurement scales may be used </w:t>
      </w:r>
      <w:r w:rsidRPr="00990D3B">
        <w:t>to assess performance (</w:t>
      </w:r>
      <w:hyperlink w:anchor="Table1n3" w:tooltip="Table 1.3" w:history="1">
        <w:r w:rsidRPr="00990D3B">
          <w:rPr>
            <w:rStyle w:val="Hyperlink"/>
          </w:rPr>
          <w:t>Table 1.3</w:t>
        </w:r>
      </w:hyperlink>
      <w:r w:rsidRPr="00990D3B">
        <w:t xml:space="preserve">). </w:t>
      </w:r>
    </w:p>
    <w:p w:rsidR="00DC31A5" w:rsidRPr="00990D3B" w:rsidP="00BD1FC3" w14:paraId="26683C02" w14:textId="18ABFEF6">
      <w:pPr>
        <w:pStyle w:val="Paragraph0"/>
      </w:pPr>
      <w:r w:rsidRPr="00990D3B">
        <w:rPr>
          <w:noProof/>
        </w:rPr>
        <mc:AlternateContent>
          <mc:Choice Requires="wps">
            <w:drawing>
              <wp:inline distT="0" distB="0" distL="0" distR="0">
                <wp:extent cx="5897880" cy="1567180"/>
                <wp:effectExtent l="19050" t="19050" r="7620" b="0"/>
                <wp:docPr id="1463350119" name="Text Box 20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897880" cy="1567180"/>
                        </a:xfrm>
                        <a:prstGeom prst="rect">
                          <a:avLst/>
                        </a:prstGeom>
                        <a:solidFill>
                          <a:srgbClr val="EEF5F8"/>
                        </a:solidFill>
                        <a:ln w="28575" cap="rnd">
                          <a:solidFill>
                            <a:srgbClr val="A5DAD9"/>
                          </a:solidFill>
                          <a:prstDash val="solid"/>
                          <a:miter lim="800000"/>
                          <a:headEnd/>
                          <a:tailEnd/>
                        </a:ln>
                      </wps:spPr>
                      <wps:txbx>
                        <w:txbxContent>
                          <w:p w:rsidR="00AE497E" w:rsidRPr="004C5B2B" w:rsidP="00AE497E" w14:textId="77777777">
                            <w:pPr>
                              <w:pStyle w:val="EQRTextboxheading"/>
                            </w:pPr>
                            <w:bookmarkStart w:id="137" w:name="Box1n3"/>
                            <w:bookmarkEnd w:id="137"/>
                            <w:r w:rsidRPr="0091147D">
                              <w:t>Box 1.</w:t>
                            </w:r>
                            <w:r>
                              <w:t>3</w:t>
                            </w:r>
                            <w:r w:rsidRPr="0091147D">
                              <w:t xml:space="preserve">. </w:t>
                            </w:r>
                            <w:r w:rsidRPr="009270A7">
                              <w:t>Considerations for Selecting Variables for a PIP</w:t>
                            </w:r>
                          </w:p>
                          <w:p w:rsidR="00AE497E" w:rsidRPr="0091147D" w:rsidP="009D1C68" w14:textId="47B122FF">
                            <w:pPr>
                              <w:pStyle w:val="EQRTextboxbody"/>
                            </w:pPr>
                            <w:r>
                              <w:t xml:space="preserve">A </w:t>
                            </w:r>
                            <w:r w:rsidRPr="009270A7">
                              <w:t>variable is a measurable characteristic, quality, trait, or attribute of a particular individual, object, or situation being studied (see</w:t>
                            </w:r>
                            <w:r w:rsidRPr="000E1F61">
                              <w:t xml:space="preserve"> </w:t>
                            </w:r>
                            <w:hyperlink w:anchor="Table1n2" w:tooltip="Table 1.2" w:history="1">
                              <w:r w:rsidRPr="009270A7">
                                <w:rPr>
                                  <w:rStyle w:val="Hyperlink"/>
                                </w:rPr>
                                <w:t>Table 1.2</w:t>
                              </w:r>
                            </w:hyperlink>
                            <w:r w:rsidRPr="000E1F61">
                              <w:t xml:space="preserve"> </w:t>
                            </w:r>
                            <w:r w:rsidRPr="009270A7">
                              <w:t>for types of variables).</w:t>
                            </w:r>
                            <w:r w:rsidR="009D1C68">
                              <w:t xml:space="preserve"> </w:t>
                            </w:r>
                            <w:r w:rsidRPr="009270A7">
                              <w:t>When choosing variables, consider different types of variables and choose the variables and measurement scales that are best suited to the available data, resources, and PIP aim statement (see</w:t>
                            </w:r>
                            <w:r w:rsidRPr="000E1F61">
                              <w:t xml:space="preserve"> </w:t>
                            </w:r>
                            <w:hyperlink w:anchor="Table1n3" w:tooltip="Table 1.3" w:history="1">
                              <w:r w:rsidRPr="009270A7">
                                <w:rPr>
                                  <w:rStyle w:val="Hyperlink"/>
                                </w:rPr>
                                <w:t>Table 1.3</w:t>
                              </w:r>
                            </w:hyperlink>
                            <w:r w:rsidRPr="000E1F61">
                              <w:t xml:space="preserve"> </w:t>
                            </w:r>
                            <w:r w:rsidRPr="009270A7">
                              <w:t>for types of measure scales). CMS encourages MCPs to choose variables that reflect health outcomes or that can be linked to health outcomes and that can be examined on at least a semi-annual basis.</w:t>
                            </w:r>
                          </w:p>
                        </w:txbxContent>
                      </wps:txbx>
                      <wps:bodyPr rot="0" vert="horz" wrap="square" lIns="109728" tIns="45720" rIns="109728" bIns="45720" anchor="t" anchorCtr="0" upright="1">
                        <a:spAutoFit/>
                      </wps:bodyPr>
                    </wps:wsp>
                  </a:graphicData>
                </a:graphic>
              </wp:inline>
            </w:drawing>
          </mc:Choice>
          <mc:Fallback>
            <w:pict>
              <v:shape id="Text Box 208" o:spid="_x0000_i1060" type="#_x0000_t202" style="width:464.4pt;height:123.4pt;flip:y;mso-left-percent:-10001;mso-position-horizontal-relative:char;mso-position-vertical-relative:line;mso-top-percent:-10001;mso-wrap-style:square;rotation:180;visibility:visible;v-text-anchor:top" fillcolor="#eef5f8" strokecolor="#a5dad9" strokeweight="2.25pt">
                <v:stroke endcap="round"/>
                <v:textbox style="mso-fit-shape-to-text:t" inset="8.64pt,,8.64pt">
                  <w:txbxContent>
                    <w:p w:rsidR="00AE497E" w:rsidRPr="004C5B2B" w:rsidP="00AE497E" w14:paraId="69E9A50C" w14:textId="77777777">
                      <w:pPr>
                        <w:pStyle w:val="EQRTextboxheading"/>
                      </w:pPr>
                      <w:bookmarkStart w:id="137" w:name="Box1n3"/>
                      <w:bookmarkEnd w:id="137"/>
                      <w:r w:rsidRPr="0091147D">
                        <w:t>Box 1.</w:t>
                      </w:r>
                      <w:r>
                        <w:t>3</w:t>
                      </w:r>
                      <w:r w:rsidRPr="0091147D">
                        <w:t xml:space="preserve">. </w:t>
                      </w:r>
                      <w:r w:rsidRPr="009270A7">
                        <w:t>Considerations for Selecting Variables for a PIP</w:t>
                      </w:r>
                    </w:p>
                    <w:p w:rsidR="00AE497E" w:rsidRPr="0091147D" w:rsidP="009D1C68" w14:paraId="5FB04DC8" w14:textId="47B122FF">
                      <w:pPr>
                        <w:pStyle w:val="EQRTextboxbody"/>
                      </w:pPr>
                      <w:r>
                        <w:t xml:space="preserve">A </w:t>
                      </w:r>
                      <w:r w:rsidRPr="009270A7">
                        <w:t>variable is a measurable characteristic, quality, trait, or attribute of a particular individual, object, or situation being studied (see</w:t>
                      </w:r>
                      <w:r w:rsidRPr="000E1F61">
                        <w:t xml:space="preserve"> </w:t>
                      </w:r>
                      <w:hyperlink w:anchor="Table1n2" w:tooltip="Table 1.2" w:history="1">
                        <w:r w:rsidRPr="009270A7">
                          <w:rPr>
                            <w:rStyle w:val="Hyperlink"/>
                          </w:rPr>
                          <w:t>Table 1.2</w:t>
                        </w:r>
                      </w:hyperlink>
                      <w:r w:rsidRPr="000E1F61">
                        <w:t xml:space="preserve"> </w:t>
                      </w:r>
                      <w:r w:rsidRPr="009270A7">
                        <w:t>for types of variables).</w:t>
                      </w:r>
                      <w:r w:rsidR="009D1C68">
                        <w:t xml:space="preserve"> </w:t>
                      </w:r>
                      <w:r w:rsidRPr="009270A7">
                        <w:t>When choosing variables, consider different types of variables and choose the variables and measurement scales that are best suited to the available data, resources, and PIP aim statement (see</w:t>
                      </w:r>
                      <w:r w:rsidRPr="000E1F61">
                        <w:t xml:space="preserve"> </w:t>
                      </w:r>
                      <w:hyperlink w:anchor="Table1n3" w:tooltip="Table 1.3" w:history="1">
                        <w:r w:rsidRPr="009270A7">
                          <w:rPr>
                            <w:rStyle w:val="Hyperlink"/>
                          </w:rPr>
                          <w:t>Table 1.3</w:t>
                        </w:r>
                      </w:hyperlink>
                      <w:r w:rsidRPr="000E1F61">
                        <w:t xml:space="preserve"> </w:t>
                      </w:r>
                      <w:r w:rsidRPr="009270A7">
                        <w:t>for types of measure scales). CMS encourages MCPs to choose variables that reflect health outcomes or that can be linked to health outcomes and that can be examined on at least a semi-annual basis.</w:t>
                      </w:r>
                    </w:p>
                  </w:txbxContent>
                </v:textbox>
                <w10:wrap type="none"/>
                <w10:anchorlock/>
              </v:shape>
            </w:pict>
          </mc:Fallback>
        </mc:AlternateContent>
      </w:r>
    </w:p>
    <w:p w:rsidR="00F34F53" w14:paraId="025BA635" w14:textId="1B91D2FD">
      <w:pPr>
        <w:spacing w:line="240" w:lineRule="auto"/>
      </w:pPr>
      <w:r>
        <w:br w:type="page"/>
      </w:r>
    </w:p>
    <w:p w:rsidR="00174C33" w:rsidRPr="00990D3B" w:rsidP="00BD1FC3" w14:paraId="4FF656B5" w14:textId="77777777">
      <w:pPr>
        <w:pStyle w:val="MarkforTableHeading"/>
      </w:pPr>
      <w:bookmarkStart w:id="138" w:name="Table1n2"/>
      <w:bookmarkStart w:id="139" w:name="_Toc83134597"/>
      <w:bookmarkEnd w:id="138"/>
      <w:r w:rsidRPr="00990D3B">
        <w:t>Table 1.2. Types of Variables for PIPs</w:t>
      </w:r>
      <w:bookmarkEnd w:id="139"/>
    </w:p>
    <w:tbl>
      <w:tblPr>
        <w:tblStyle w:val="CORESETTable"/>
        <w:tblW w:w="5000" w:type="pct"/>
        <w:tblLook w:val="0420"/>
      </w:tblPr>
      <w:tblGrid>
        <w:gridCol w:w="1438"/>
        <w:gridCol w:w="4406"/>
        <w:gridCol w:w="3506"/>
      </w:tblGrid>
      <w:tr w14:paraId="4EA39CEC" w14:textId="77777777" w:rsidTr="00BD1FC3">
        <w:tblPrEx>
          <w:tblW w:w="5000" w:type="pct"/>
          <w:tblLook w:val="0420"/>
        </w:tblPrEx>
        <w:tc>
          <w:tcPr>
            <w:tcW w:w="769" w:type="pct"/>
          </w:tcPr>
          <w:p w:rsidR="00174C33" w:rsidRPr="00990D3B" w:rsidP="00AB2255" w14:paraId="38693BCA" w14:textId="77777777">
            <w:pPr>
              <w:pStyle w:val="TableHeaderLeft"/>
              <w:rPr>
                <w:b/>
                <w:bCs/>
              </w:rPr>
            </w:pPr>
            <w:r w:rsidRPr="00990D3B">
              <w:rPr>
                <w:b/>
                <w:bCs/>
              </w:rPr>
              <w:t>Variable Type</w:t>
            </w:r>
          </w:p>
        </w:tc>
        <w:tc>
          <w:tcPr>
            <w:tcW w:w="2356" w:type="pct"/>
          </w:tcPr>
          <w:p w:rsidR="00174C33" w:rsidRPr="00990D3B" w:rsidP="00AB2255" w14:paraId="38278CA6" w14:textId="77777777">
            <w:pPr>
              <w:pStyle w:val="TableHeaderCenter"/>
              <w:rPr>
                <w:b/>
                <w:bCs/>
              </w:rPr>
            </w:pPr>
            <w:r w:rsidRPr="00990D3B">
              <w:rPr>
                <w:b/>
                <w:bCs/>
              </w:rPr>
              <w:t>Definition</w:t>
            </w:r>
          </w:p>
        </w:tc>
        <w:tc>
          <w:tcPr>
            <w:tcW w:w="1875" w:type="pct"/>
          </w:tcPr>
          <w:p w:rsidR="00174C33" w:rsidRPr="00990D3B" w:rsidP="00AB2255" w14:paraId="604B9518" w14:textId="36194E58">
            <w:pPr>
              <w:pStyle w:val="TableHeaderCenter"/>
              <w:rPr>
                <w:b/>
                <w:bCs/>
              </w:rPr>
            </w:pPr>
            <w:r w:rsidRPr="00990D3B">
              <w:rPr>
                <w:b/>
                <w:bCs/>
              </w:rPr>
              <w:t>Examples</w:t>
            </w:r>
          </w:p>
        </w:tc>
      </w:tr>
      <w:tr w14:paraId="1BD6137B" w14:textId="77777777" w:rsidTr="00BD1FC3">
        <w:tblPrEx>
          <w:tblW w:w="5000" w:type="pct"/>
          <w:tblLook w:val="0420"/>
        </w:tblPrEx>
        <w:tc>
          <w:tcPr>
            <w:tcW w:w="769" w:type="pct"/>
            <w:shd w:val="clear" w:color="auto" w:fill="EEF5F5"/>
          </w:tcPr>
          <w:p w:rsidR="00174C33" w:rsidRPr="00990D3B" w:rsidP="00AB2255" w14:paraId="75C7F674" w14:textId="77777777">
            <w:pPr>
              <w:pStyle w:val="TableTextLeft"/>
            </w:pPr>
            <w:r w:rsidRPr="00990D3B">
              <w:t>Continuous</w:t>
            </w:r>
          </w:p>
        </w:tc>
        <w:tc>
          <w:tcPr>
            <w:tcW w:w="2356" w:type="pct"/>
            <w:shd w:val="clear" w:color="auto" w:fill="EEF5F5"/>
          </w:tcPr>
          <w:p w:rsidR="00174C33" w:rsidRPr="00990D3B" w:rsidP="00AB2255" w14:paraId="1346AF7D" w14:textId="7BF1ED44">
            <w:pPr>
              <w:pStyle w:val="TableTextLeft"/>
            </w:pPr>
            <w:r w:rsidRPr="00990D3B">
              <w:t>Have a range of numerical values</w:t>
            </w:r>
            <w:r w:rsidRPr="00990D3B" w:rsidR="00B32222">
              <w:t>.</w:t>
            </w:r>
          </w:p>
          <w:p w:rsidR="00174C33" w:rsidRPr="00990D3B" w:rsidP="00AB2255" w14:paraId="19C6FEE4" w14:textId="654F7DC3">
            <w:pPr>
              <w:pStyle w:val="TableTextLeft"/>
            </w:pPr>
            <w:r w:rsidRPr="00990D3B">
              <w:t>Note: Data collected for a continuous variable can be recoded as a discrete variable (e.g., an enrollee’s blood pressure is above or below a specified level)</w:t>
            </w:r>
            <w:r w:rsidRPr="00990D3B" w:rsidR="00B32222">
              <w:t>.</w:t>
            </w:r>
          </w:p>
        </w:tc>
        <w:tc>
          <w:tcPr>
            <w:tcW w:w="1875" w:type="pct"/>
            <w:shd w:val="clear" w:color="auto" w:fill="EEF5F5"/>
          </w:tcPr>
          <w:p w:rsidR="00174C33" w:rsidRPr="00990D3B" w:rsidP="00B32222" w14:paraId="022D3850" w14:textId="573BC117">
            <w:pPr>
              <w:pStyle w:val="TableListBullet"/>
              <w:numPr>
                <w:ilvl w:val="0"/>
                <w:numId w:val="0"/>
              </w:numPr>
            </w:pPr>
            <w:r w:rsidRPr="00990D3B">
              <w:t>Age, blood pressure, temperature, height/weight, body mass index, birthweight</w:t>
            </w:r>
            <w:r w:rsidRPr="00990D3B" w:rsidR="00B32222">
              <w:t>.</w:t>
            </w:r>
          </w:p>
        </w:tc>
      </w:tr>
      <w:tr w14:paraId="43F25D69" w14:textId="77777777" w:rsidTr="00BD1FC3">
        <w:tblPrEx>
          <w:tblW w:w="5000" w:type="pct"/>
          <w:tblLook w:val="0420"/>
        </w:tblPrEx>
        <w:tc>
          <w:tcPr>
            <w:tcW w:w="769" w:type="pct"/>
            <w:shd w:val="clear" w:color="auto" w:fill="EEF5F5"/>
          </w:tcPr>
          <w:p w:rsidR="00174C33" w:rsidRPr="00990D3B" w:rsidP="00AB2255" w14:paraId="7EB614EC" w14:textId="77777777">
            <w:pPr>
              <w:pStyle w:val="TableTextLeft"/>
            </w:pPr>
            <w:r w:rsidRPr="00990D3B">
              <w:t>Categorical</w:t>
            </w:r>
          </w:p>
        </w:tc>
        <w:tc>
          <w:tcPr>
            <w:tcW w:w="2356" w:type="pct"/>
            <w:shd w:val="clear" w:color="auto" w:fill="EEF5F5"/>
          </w:tcPr>
          <w:p w:rsidR="00174C33" w:rsidRPr="00990D3B" w:rsidP="00AB2255" w14:paraId="2A4D9E44" w14:textId="0BD0C6C3">
            <w:pPr>
              <w:pStyle w:val="TableTextLeft"/>
            </w:pPr>
            <w:r w:rsidRPr="00990D3B">
              <w:t>Have a range of non-ordered, qualitative values (or categories)</w:t>
            </w:r>
            <w:r w:rsidRPr="00990D3B" w:rsidR="00B32222">
              <w:t>.</w:t>
            </w:r>
          </w:p>
        </w:tc>
        <w:tc>
          <w:tcPr>
            <w:tcW w:w="1875" w:type="pct"/>
            <w:shd w:val="clear" w:color="auto" w:fill="EEF5F5"/>
          </w:tcPr>
          <w:p w:rsidR="00174C33" w:rsidRPr="00990D3B" w:rsidP="00B32222" w14:paraId="7EBD6C58" w14:textId="7F7169BD">
            <w:pPr>
              <w:pStyle w:val="TableListBullet"/>
              <w:numPr>
                <w:ilvl w:val="0"/>
                <w:numId w:val="0"/>
              </w:numPr>
            </w:pPr>
            <w:r w:rsidRPr="00990D3B">
              <w:t>An enrollee survey question that asks enrollees to identify the most important among a list of incentives offered to improve well-care visit rates</w:t>
            </w:r>
            <w:r w:rsidRPr="00990D3B" w:rsidR="00B32222">
              <w:t>.</w:t>
            </w:r>
          </w:p>
        </w:tc>
      </w:tr>
      <w:tr w14:paraId="54B29BE8" w14:textId="77777777" w:rsidTr="00BD1FC3">
        <w:tblPrEx>
          <w:tblW w:w="5000" w:type="pct"/>
          <w:tblLook w:val="0420"/>
        </w:tblPrEx>
        <w:tc>
          <w:tcPr>
            <w:tcW w:w="769" w:type="pct"/>
            <w:shd w:val="clear" w:color="auto" w:fill="EEF5F5"/>
          </w:tcPr>
          <w:p w:rsidR="00174C33" w:rsidRPr="00990D3B" w:rsidP="00AB2255" w14:paraId="43F65F49" w14:textId="77777777">
            <w:pPr>
              <w:pStyle w:val="TableTextLeft"/>
            </w:pPr>
            <w:r w:rsidRPr="00990D3B">
              <w:t>Discrete</w:t>
            </w:r>
          </w:p>
        </w:tc>
        <w:tc>
          <w:tcPr>
            <w:tcW w:w="2356" w:type="pct"/>
            <w:shd w:val="clear" w:color="auto" w:fill="EEF5F5"/>
          </w:tcPr>
          <w:p w:rsidR="00174C33" w:rsidRPr="00990D3B" w:rsidP="00AB2255" w14:paraId="5DB23AB3" w14:textId="1ACE236C">
            <w:pPr>
              <w:pStyle w:val="TableTextLeft"/>
            </w:pPr>
            <w:r w:rsidRPr="00990D3B">
              <w:t>Have a limited number of possible categories</w:t>
            </w:r>
            <w:r w:rsidRPr="00990D3B" w:rsidR="00B32222">
              <w:t>.</w:t>
            </w:r>
          </w:p>
          <w:p w:rsidR="00174C33" w:rsidRPr="00990D3B" w:rsidP="00AB2255" w14:paraId="1982D44C" w14:textId="5F2E0C08">
            <w:pPr>
              <w:pStyle w:val="TableTextLeft"/>
            </w:pPr>
            <w:r w:rsidRPr="00990D3B">
              <w:t xml:space="preserve">Note: </w:t>
            </w:r>
            <w:r w:rsidRPr="00990D3B" w:rsidR="00B32222">
              <w:t>B</w:t>
            </w:r>
            <w:r w:rsidRPr="00990D3B">
              <w:t>inary variables have two categories</w:t>
            </w:r>
            <w:r w:rsidRPr="00990D3B" w:rsidR="00B32222">
              <w:t>.</w:t>
            </w:r>
          </w:p>
        </w:tc>
        <w:tc>
          <w:tcPr>
            <w:tcW w:w="1875" w:type="pct"/>
            <w:shd w:val="clear" w:color="auto" w:fill="EEF5F5"/>
          </w:tcPr>
          <w:p w:rsidR="00174C33" w:rsidRPr="00990D3B" w:rsidP="00B32222" w14:paraId="4B173755" w14:textId="6269636C">
            <w:pPr>
              <w:pStyle w:val="TableListBullet"/>
              <w:numPr>
                <w:ilvl w:val="0"/>
                <w:numId w:val="0"/>
              </w:numPr>
            </w:pPr>
            <w:r w:rsidRPr="00990D3B">
              <w:t>An enrollee has/has not received a flu shot in the past 12 months</w:t>
            </w:r>
            <w:r w:rsidRPr="00990D3B" w:rsidR="00B32222">
              <w:t>.</w:t>
            </w:r>
          </w:p>
        </w:tc>
      </w:tr>
    </w:tbl>
    <w:p w:rsidR="00C5741D" w:rsidRPr="00990D3B" w:rsidP="00437B34" w14:paraId="1380EC2B" w14:textId="77777777">
      <w:pPr>
        <w:pStyle w:val="Paragraph0"/>
      </w:pPr>
      <w:bookmarkStart w:id="140" w:name="Table1n3"/>
      <w:bookmarkStart w:id="141" w:name="_Toc83134598"/>
      <w:bookmarkEnd w:id="140"/>
    </w:p>
    <w:p w:rsidR="00174C33" w:rsidRPr="00990D3B" w:rsidP="00BD1FC3" w14:paraId="6313FFED" w14:textId="6C037D95">
      <w:pPr>
        <w:pStyle w:val="MarkforTableHeading"/>
      </w:pPr>
      <w:r w:rsidRPr="00990D3B">
        <w:t>Table 1.3</w:t>
      </w:r>
      <w:r w:rsidRPr="00990D3B" w:rsidR="009A4B3B">
        <w:t>.</w:t>
      </w:r>
      <w:r w:rsidRPr="00990D3B">
        <w:t xml:space="preserve"> Types of Measurement Scales for PIP Variables</w:t>
      </w:r>
      <w:bookmarkEnd w:id="141"/>
    </w:p>
    <w:tbl>
      <w:tblPr>
        <w:tblStyle w:val="CORESETTable"/>
        <w:tblW w:w="5000" w:type="pct"/>
        <w:tblLook w:val="0420"/>
      </w:tblPr>
      <w:tblGrid>
        <w:gridCol w:w="1435"/>
        <w:gridCol w:w="4409"/>
        <w:gridCol w:w="3506"/>
      </w:tblGrid>
      <w:tr w14:paraId="231387B4" w14:textId="77777777" w:rsidTr="00BD1FC3">
        <w:tblPrEx>
          <w:tblW w:w="5000" w:type="pct"/>
          <w:tblLook w:val="0420"/>
        </w:tblPrEx>
        <w:trPr>
          <w:tblHeader/>
        </w:trPr>
        <w:tc>
          <w:tcPr>
            <w:tcW w:w="767" w:type="pct"/>
          </w:tcPr>
          <w:p w:rsidR="00174C33" w:rsidRPr="00990D3B" w:rsidP="00AB2255" w14:paraId="114E0F7A" w14:textId="77777777">
            <w:pPr>
              <w:pStyle w:val="TableHeaderLeft"/>
            </w:pPr>
            <w:r w:rsidRPr="00990D3B">
              <w:t>Measurement Scales</w:t>
            </w:r>
          </w:p>
        </w:tc>
        <w:tc>
          <w:tcPr>
            <w:tcW w:w="2358" w:type="pct"/>
          </w:tcPr>
          <w:p w:rsidR="00174C33" w:rsidRPr="00990D3B" w:rsidP="00AB2255" w14:paraId="7AB46FC4" w14:textId="77777777">
            <w:pPr>
              <w:pStyle w:val="TableHeaderCenter"/>
            </w:pPr>
            <w:r w:rsidRPr="00990D3B">
              <w:t>Definition</w:t>
            </w:r>
          </w:p>
        </w:tc>
        <w:tc>
          <w:tcPr>
            <w:tcW w:w="1875" w:type="pct"/>
          </w:tcPr>
          <w:p w:rsidR="00174C33" w:rsidRPr="00990D3B" w:rsidP="00AB2255" w14:paraId="7730B819" w14:textId="77777777">
            <w:pPr>
              <w:pStyle w:val="TableHeaderCenter"/>
            </w:pPr>
            <w:r w:rsidRPr="00990D3B">
              <w:t>Example</w:t>
            </w:r>
          </w:p>
        </w:tc>
      </w:tr>
      <w:tr w14:paraId="2B6E83C0" w14:textId="77777777" w:rsidTr="00BD1FC3">
        <w:tblPrEx>
          <w:tblW w:w="5000" w:type="pct"/>
          <w:tblLook w:val="0420"/>
        </w:tblPrEx>
        <w:tc>
          <w:tcPr>
            <w:tcW w:w="767" w:type="pct"/>
            <w:shd w:val="clear" w:color="auto" w:fill="EEF5F5"/>
          </w:tcPr>
          <w:p w:rsidR="00174C33" w:rsidRPr="00990D3B" w:rsidP="00AB2255" w14:paraId="3F49B82B" w14:textId="77777777">
            <w:pPr>
              <w:pStyle w:val="TableTextLeft"/>
            </w:pPr>
            <w:r w:rsidRPr="00990D3B">
              <w:t>Interval</w:t>
            </w:r>
          </w:p>
        </w:tc>
        <w:tc>
          <w:tcPr>
            <w:tcW w:w="2358" w:type="pct"/>
            <w:shd w:val="clear" w:color="auto" w:fill="EEF5F5"/>
          </w:tcPr>
          <w:p w:rsidR="00174C33" w:rsidRPr="00990D3B" w:rsidP="001B74BD" w14:paraId="0A2B10CE" w14:textId="60A81FF4">
            <w:pPr>
              <w:pStyle w:val="TableTextLeft"/>
            </w:pPr>
            <w:r w:rsidRPr="00990D3B">
              <w:t>The distances between numbers denote significant and interpretable differences (e.g., dollars, degrees, inches, pounds)</w:t>
            </w:r>
            <w:r w:rsidRPr="00990D3B" w:rsidR="00C50B0C">
              <w:t>,</w:t>
            </w:r>
            <w:r w:rsidRPr="00990D3B">
              <w:t xml:space="preserve"> and the differences are interpretable as higher or lower.</w:t>
            </w:r>
          </w:p>
        </w:tc>
        <w:tc>
          <w:tcPr>
            <w:tcW w:w="1875" w:type="pct"/>
            <w:shd w:val="clear" w:color="auto" w:fill="EEF5F5"/>
          </w:tcPr>
          <w:p w:rsidR="00174C33" w:rsidRPr="00990D3B" w:rsidP="001B74BD" w14:paraId="313077BE" w14:textId="2962EE13">
            <w:pPr>
              <w:pStyle w:val="TableTextLeft"/>
            </w:pPr>
            <w:r w:rsidRPr="00990D3B">
              <w:t>The interval between an annual income of $40,000 and $30,000 = $10,00</w:t>
            </w:r>
            <w:r w:rsidRPr="00990D3B" w:rsidR="00B32222">
              <w:t>0.</w:t>
            </w:r>
          </w:p>
        </w:tc>
      </w:tr>
      <w:tr w14:paraId="73F8784E" w14:textId="77777777" w:rsidTr="00BD1FC3">
        <w:tblPrEx>
          <w:tblW w:w="5000" w:type="pct"/>
          <w:tblLook w:val="0420"/>
        </w:tblPrEx>
        <w:tc>
          <w:tcPr>
            <w:tcW w:w="767" w:type="pct"/>
            <w:shd w:val="clear" w:color="auto" w:fill="EEF5F5"/>
          </w:tcPr>
          <w:p w:rsidR="00174C33" w:rsidRPr="00990D3B" w:rsidP="00AB2255" w14:paraId="49C11A6A" w14:textId="77777777">
            <w:pPr>
              <w:pStyle w:val="TableTextLeft"/>
            </w:pPr>
            <w:r w:rsidRPr="00990D3B">
              <w:t>Ordinal</w:t>
            </w:r>
          </w:p>
        </w:tc>
        <w:tc>
          <w:tcPr>
            <w:tcW w:w="2358" w:type="pct"/>
            <w:shd w:val="clear" w:color="auto" w:fill="EEF5F5"/>
          </w:tcPr>
          <w:p w:rsidR="00174C33" w:rsidRPr="00990D3B" w:rsidP="001B74BD" w14:paraId="101F4128" w14:textId="0ED05629">
            <w:pPr>
              <w:pStyle w:val="TableTextLeft"/>
            </w:pPr>
            <w:r w:rsidRPr="00990D3B">
              <w:t>Can be treated as quantitative in some circumstances and qualitative in others</w:t>
            </w:r>
            <w:r w:rsidRPr="00990D3B" w:rsidR="00B32222">
              <w:t>.</w:t>
            </w:r>
          </w:p>
        </w:tc>
        <w:tc>
          <w:tcPr>
            <w:tcW w:w="1875" w:type="pct"/>
            <w:shd w:val="clear" w:color="auto" w:fill="EEF5F5"/>
          </w:tcPr>
          <w:p w:rsidR="00174C33" w:rsidRPr="00990D3B" w:rsidP="001B74BD" w14:paraId="1A135D8C" w14:textId="302A8E61">
            <w:pPr>
              <w:pStyle w:val="TableTextLeft"/>
            </w:pPr>
            <w:r w:rsidRPr="00990D3B">
              <w:t xml:space="preserve">An enrollee survey question that asks </w:t>
            </w:r>
            <w:r w:rsidRPr="00990D3B">
              <w:t>enrollees</w:t>
            </w:r>
            <w:r w:rsidRPr="00990D3B">
              <w:t xml:space="preserve"> to rank their experience of care on a scale from 1 (poor experience) to 5 (excellent experience)</w:t>
            </w:r>
            <w:r w:rsidRPr="00990D3B" w:rsidR="00B32222">
              <w:t>.</w:t>
            </w:r>
          </w:p>
        </w:tc>
      </w:tr>
      <w:tr w14:paraId="3062AF99" w14:textId="77777777" w:rsidTr="00BD1FC3">
        <w:tblPrEx>
          <w:tblW w:w="5000" w:type="pct"/>
          <w:tblLook w:val="0420"/>
        </w:tblPrEx>
        <w:tc>
          <w:tcPr>
            <w:tcW w:w="767" w:type="pct"/>
            <w:shd w:val="clear" w:color="auto" w:fill="EEF5F5"/>
          </w:tcPr>
          <w:p w:rsidR="00174C33" w:rsidRPr="00990D3B" w:rsidP="00AB2255" w14:paraId="1E2C4E3C" w14:textId="77777777">
            <w:pPr>
              <w:pStyle w:val="TableTextLeft"/>
            </w:pPr>
            <w:r w:rsidRPr="00990D3B">
              <w:t>Nominal</w:t>
            </w:r>
          </w:p>
        </w:tc>
        <w:tc>
          <w:tcPr>
            <w:tcW w:w="2358" w:type="pct"/>
            <w:shd w:val="clear" w:color="auto" w:fill="EEF5F5"/>
          </w:tcPr>
          <w:p w:rsidR="00174C33" w:rsidRPr="00990D3B" w:rsidP="001B74BD" w14:paraId="24C21E0E" w14:textId="2DF7217D">
            <w:pPr>
              <w:pStyle w:val="TableTextLeft"/>
            </w:pPr>
            <w:r w:rsidRPr="00990D3B">
              <w:t>The set of categories for a qualitative variable</w:t>
            </w:r>
            <w:r w:rsidRPr="00990D3B" w:rsidR="00B32222">
              <w:t>.</w:t>
            </w:r>
          </w:p>
        </w:tc>
        <w:tc>
          <w:tcPr>
            <w:tcW w:w="1875" w:type="pct"/>
            <w:shd w:val="clear" w:color="auto" w:fill="EEF5F5"/>
          </w:tcPr>
          <w:p w:rsidR="00174C33" w:rsidRPr="00990D3B" w:rsidP="001B74BD" w14:paraId="4607B2C9" w14:textId="34448524">
            <w:pPr>
              <w:pStyle w:val="TableTextLeft"/>
            </w:pPr>
            <w:r w:rsidRPr="00990D3B">
              <w:t>Mode of transportation to work (car, bus, subway, bicycle, walk)</w:t>
            </w:r>
            <w:r w:rsidRPr="00990D3B" w:rsidR="00B32222">
              <w:t>.</w:t>
            </w:r>
          </w:p>
        </w:tc>
      </w:tr>
    </w:tbl>
    <w:p w:rsidR="006C15A0" w:rsidRPr="00990D3B" w:rsidP="00BD1FC3" w14:paraId="4D1A9739" w14:textId="60398204">
      <w:pPr>
        <w:pStyle w:val="ParagraphContinued"/>
      </w:pPr>
      <w:r w:rsidRPr="00990D3B">
        <w:t xml:space="preserve">Data availability should be considered when selecting variables for PIPs, as more frequent access to data, such as on a monthly, quarterly, or semi-annual basis, supports continuous QI and Plan Do Study Act (PDSA) efforts and can allow an MCP or state to correct or revise course more quickly if needed. If </w:t>
      </w:r>
      <w:r w:rsidRPr="00990D3B" w:rsidR="005F436F">
        <w:t xml:space="preserve">MCPs </w:t>
      </w:r>
      <w:r w:rsidRPr="00990D3B">
        <w:t xml:space="preserve">collect monthly, quarterly, or semi-annual data, the </w:t>
      </w:r>
      <w:r w:rsidRPr="00990D3B" w:rsidR="006B7847">
        <w:t xml:space="preserve">MCP </w:t>
      </w:r>
      <w:r w:rsidRPr="00990D3B">
        <w:t xml:space="preserve">should use a methodology to ensure comparability, such as a rolling 12-month methodology. CMS encourages states to select PIP variables and performance measures that can be examined on at least a semi-annual basis. </w:t>
      </w:r>
    </w:p>
    <w:p w:rsidR="007C6A23" w:rsidRPr="00990D3B" w:rsidP="00BD1FC3" w14:paraId="455A1998" w14:textId="3A4E1575">
      <w:pPr>
        <w:pStyle w:val="Paragraph0"/>
      </w:pPr>
      <w:r w:rsidRPr="00990D3B">
        <w:rPr>
          <w:b/>
          <w:bCs/>
        </w:rPr>
        <w:t>To the extent possible, CMS encourages MCPs to choose variables for PIPs that reflect health outcomes.</w:t>
      </w:r>
      <w:r w:rsidRPr="00990D3B">
        <w:t xml:space="preserve"> Performance measures are then used to measure these outcomes. For this protocol, performance measures are used to monitor the performance of individual MCPs at a point in time, to track MCP performance over time, to compare performance among MCPs, and to inform the selection and evaluation of quality improvement activities. </w:t>
      </w:r>
      <w:bookmarkStart w:id="142" w:name="_Hlk181701273"/>
      <w:r w:rsidRPr="00990D3B">
        <w:t xml:space="preserve">In addition, for this protocol, “outcomes” are defined as changes in patient health, functional status, satisfaction, or </w:t>
      </w:r>
      <w:r w:rsidRPr="00990D3B">
        <w:t>goal achievement that result from health care or supportive services.</w:t>
      </w:r>
      <w:r w:rsidRPr="00990D3B" w:rsidR="003162DF">
        <w:rPr>
          <w:rFonts w:ascii="ZWAdobeF" w:hAnsi="ZWAdobeF" w:cs="ZWAdobeF"/>
          <w:sz w:val="2"/>
          <w:szCs w:val="2"/>
        </w:rPr>
        <w:t>31F</w:t>
      </w:r>
      <w:bookmarkEnd w:id="142"/>
      <w:r>
        <w:rPr>
          <w:rStyle w:val="FootnoteReference"/>
        </w:rPr>
        <w:footnoteReference w:id="36"/>
      </w:r>
      <w:r w:rsidRPr="00990D3B">
        <w:t xml:space="preserve"> For example, measures of avoidable hospitalizations or emergency department visits can demonstrate the adequacy of access to preventive and primary care and </w:t>
      </w:r>
      <w:r w:rsidRPr="00990D3B" w:rsidR="00C50B0C">
        <w:t xml:space="preserve">the </w:t>
      </w:r>
      <w:r w:rsidRPr="00990D3B">
        <w:t>effectiveness of care for acute and chronic conditions. CMS recognizes that standardized performance measures addressing outcomes may be limited because of the lag in observing changes in population health relative to the time</w:t>
      </w:r>
      <w:r w:rsidRPr="00990D3B" w:rsidR="00566F1D">
        <w:t xml:space="preserve"> </w:t>
      </w:r>
      <w:r w:rsidRPr="00990D3B">
        <w:t xml:space="preserve">frame for the PIP measurement period. Moreover, health outcomes may be influenced by factors outside of the organization’s control, such as poverty, genetics, and environmental factors. For these reasons, PIP outcomes do not always need to be </w:t>
      </w:r>
      <w:r w:rsidRPr="00990D3B">
        <w:t>health</w:t>
      </w:r>
      <w:r w:rsidRPr="00990D3B">
        <w:t xml:space="preserve"> outcomes per se but should be linked to health outcomes.</w:t>
      </w:r>
    </w:p>
    <w:p w:rsidR="00171DF2" w:rsidRPr="00990D3B" w:rsidP="00BD1FC3" w14:paraId="54B7D049" w14:textId="7F244D33">
      <w:pPr>
        <w:pStyle w:val="Paragraph0"/>
      </w:pPr>
      <w:hyperlink w:anchor="Figure1n2" w:tooltip="Figure 1.2" w:history="1">
        <w:r w:rsidRPr="00990D3B">
          <w:rPr>
            <w:rStyle w:val="Hyperlink"/>
          </w:rPr>
          <w:t>Figure 1.2</w:t>
        </w:r>
      </w:hyperlink>
      <w:r w:rsidRPr="00990D3B">
        <w:t xml:space="preserve"> </w:t>
      </w:r>
      <w:r w:rsidRPr="00990D3B" w:rsidR="00D0414A">
        <w:t xml:space="preserve">(next page) </w:t>
      </w:r>
      <w:r w:rsidRPr="00990D3B">
        <w:t xml:space="preserve">provides guidance for </w:t>
      </w:r>
      <w:bookmarkStart w:id="143" w:name="_Hlk181701335"/>
      <w:r w:rsidRPr="00990D3B">
        <w:t xml:space="preserve">selecting PIP </w:t>
      </w:r>
      <w:r w:rsidRPr="00990D3B" w:rsidR="008348FE">
        <w:t xml:space="preserve">performance </w:t>
      </w:r>
      <w:r w:rsidRPr="00990D3B">
        <w:t xml:space="preserve">measures for tracking performance and improvement </w:t>
      </w:r>
      <w:r w:rsidRPr="00990D3B" w:rsidR="008348FE">
        <w:t xml:space="preserve">in outcomes </w:t>
      </w:r>
      <w:r w:rsidRPr="00990D3B">
        <w:t>over time</w:t>
      </w:r>
      <w:bookmarkEnd w:id="143"/>
      <w:r w:rsidRPr="00990D3B">
        <w:t>.</w:t>
      </w:r>
      <w:r w:rsidRPr="00990D3B" w:rsidR="0090647A">
        <w:t xml:space="preserve"> When selecting performance measures for a PIP, the MCP should first consider existing measures because the specifications for these measures often have been refined over time, may reflect current clinical guidance, and may have benchmarks for assessing MCP performance. CMS encourages </w:t>
      </w:r>
      <w:r w:rsidRPr="00990D3B" w:rsidR="00D77AF2">
        <w:t xml:space="preserve">the </w:t>
      </w:r>
      <w:r w:rsidRPr="00990D3B" w:rsidR="0090647A">
        <w:t>use of the CMS Child and Adult Core Set</w:t>
      </w:r>
      <w:r w:rsidRPr="00990D3B" w:rsidR="003D6A7E">
        <w:t>s</w:t>
      </w:r>
      <w:r w:rsidRPr="00990D3B" w:rsidR="0090647A">
        <w:t>, Core Quality Measure Collaborative, and certified community behavioral health clinics (CCBHC) measures.</w:t>
      </w:r>
      <w:r w:rsidRPr="00990D3B" w:rsidR="003162DF">
        <w:rPr>
          <w:rFonts w:ascii="ZWAdobeF" w:hAnsi="ZWAdobeF" w:cs="ZWAdobeF"/>
          <w:sz w:val="2"/>
          <w:szCs w:val="2"/>
        </w:rPr>
        <w:t>32F</w:t>
      </w:r>
      <w:r>
        <w:rPr>
          <w:rStyle w:val="FootnoteReference"/>
        </w:rPr>
        <w:footnoteReference w:id="37"/>
      </w:r>
      <w:r w:rsidRPr="00990D3B" w:rsidR="0090647A">
        <w:t xml:space="preserve"> Additional examples of existing measures include </w:t>
      </w:r>
      <w:r w:rsidRPr="00990D3B" w:rsidR="00467B7C">
        <w:t>the National Committee for Quality Assurance’s (</w:t>
      </w:r>
      <w:r w:rsidRPr="00990D3B" w:rsidR="0090647A">
        <w:t>NCQA’s</w:t>
      </w:r>
      <w:r w:rsidRPr="00990D3B" w:rsidR="00467B7C">
        <w:t>)</w:t>
      </w:r>
      <w:r w:rsidRPr="00990D3B" w:rsidR="0090647A">
        <w:t xml:space="preserve"> HEDIS® or measures developed by the Agency of Healthcare Research and Quality (AHRQ), such as the prevention quality indicators, inpatient quality indicators, patient safety indicators, and pediatric quality indicators.</w:t>
      </w:r>
      <w:r w:rsidRPr="00990D3B" w:rsidR="003162DF">
        <w:rPr>
          <w:rFonts w:ascii="ZWAdobeF" w:hAnsi="ZWAdobeF" w:cs="ZWAdobeF"/>
          <w:sz w:val="2"/>
          <w:szCs w:val="2"/>
        </w:rPr>
        <w:t>33F</w:t>
      </w:r>
      <w:r>
        <w:rPr>
          <w:rStyle w:val="FootnoteReference"/>
        </w:rPr>
        <w:footnoteReference w:id="38"/>
      </w:r>
    </w:p>
    <w:p w:rsidR="00763BD2" w:rsidRPr="00990D3B" w:rsidP="00BD1FC3" w14:paraId="2FCDDBF0" w14:textId="25F8F3A4">
      <w:pPr>
        <w:pStyle w:val="MarkforFigureHeading"/>
        <w:spacing w:before="240"/>
      </w:pPr>
      <w:bookmarkStart w:id="144" w:name="Figure1n2"/>
      <w:bookmarkEnd w:id="144"/>
      <w:r w:rsidRPr="00990D3B">
        <w:t xml:space="preserve">Figure 1.2. Guidance for </w:t>
      </w:r>
      <w:r w:rsidRPr="00990D3B" w:rsidR="000357D2">
        <w:t>S</w:t>
      </w:r>
      <w:r w:rsidRPr="00990D3B">
        <w:t xml:space="preserve">electing PIP </w:t>
      </w:r>
      <w:r w:rsidRPr="00990D3B" w:rsidR="000357D2">
        <w:t>P</w:t>
      </w:r>
      <w:r w:rsidRPr="00990D3B" w:rsidR="00776C60">
        <w:t xml:space="preserve">erformance </w:t>
      </w:r>
      <w:r w:rsidRPr="00990D3B" w:rsidR="000357D2">
        <w:t>M</w:t>
      </w:r>
      <w:r w:rsidRPr="00990D3B">
        <w:t>easures</w:t>
      </w:r>
    </w:p>
    <w:p w:rsidR="00053F3F" w:rsidRPr="00990D3B" w:rsidP="00D20DD1" w14:paraId="7281AE59" w14:textId="15D52DC3">
      <w:pPr>
        <w:pStyle w:val="TableSource"/>
      </w:pPr>
      <w:r w:rsidRPr="00990D3B">
        <w:rPr>
          <w:noProof/>
        </w:rPr>
        <w:drawing>
          <wp:inline distT="0" distB="0" distL="0" distR="0">
            <wp:extent cx="5962182" cy="4115435"/>
            <wp:effectExtent l="0" t="0" r="635" b="0"/>
            <wp:docPr id="32" name="Picture 32" descr="This figure shows three circular arrows. The first arrow states that PIP performance measures should be (1) objective and measureable, (2) clearly defined, (3) based on current clinical knowledge or health services research, (4) collected at least semi-annually, and (5) enrollee outcomes (for example, health or function status), or indicators of outcomes (avoidable hospitalizations, emergency department use, enrollee satisfaction/experience). The first arrow then extends to the second arrow, which states the number and complexity of PIP performance measures may depend on, (1) the study question, (2) the complexity of existing practice guidelines for a clinical condition, and (3) availability of data and resources to gather data. The second arrow then extends to the third arrow, which states that potential sources of supporting information may be (1) clinical and non-clinical practice guidelines, (2) administrative data, such as claims/ encounter, registries, vital records, and (3) medical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his figure shows three circular arrows. The first arrow states that PIP performance measures should be (1) objective and measureable, (2) clearly defined, (3) based on current clinical knowledge or health services research, (4) collected at least semi-annually, and (5) enrollee outcomes (for example, health or function status), or indicators of outcomes (avoidable hospitalizations, emergency department use, enrollee satisfaction/experience). The first arrow then extends to the second arrow, which states the number and complexity of PIP performance measures may depend on, (1) the study question, (2) the complexity of existing practice guidelines for a clinical condition, and (3) availability of data and resources to gather data. The second arrow then extends to the third arrow, which states that potential sources of supporting information may be (1) clinical and non-clinical practice guidelines, (2) administrative data, such as claims/ encounter, registries, vital records, and (3) medical records."/>
                    <pic:cNvPicPr>
                      <a:picLocks noChangeAspect="1" noChangeArrowheads="1"/>
                    </pic:cNvPicPr>
                  </pic:nvPicPr>
                  <pic:blipFill>
                    <a:blip xmlns:r="http://schemas.openxmlformats.org/officeDocument/2006/relationships" r:embed="rId10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62182" cy="4115435"/>
                    </a:xfrm>
                    <a:prstGeom prst="rect">
                      <a:avLst/>
                    </a:prstGeom>
                    <a:noFill/>
                  </pic:spPr>
                </pic:pic>
              </a:graphicData>
            </a:graphic>
          </wp:inline>
        </w:drawing>
      </w:r>
    </w:p>
    <w:p w:rsidR="001C7418" w:rsidRPr="00990D3B" w:rsidP="00BD1FC3" w14:paraId="5B9C012C" w14:textId="55611F62">
      <w:pPr>
        <w:pStyle w:val="ParagraphContinued"/>
      </w:pPr>
      <w:r w:rsidRPr="00990D3B">
        <w:t>When there are gaps in existing measures, the MCP may develop new measures based on current clinical practice guidelines or health services research. The MCP should consider the following</w:t>
      </w:r>
      <w:r w:rsidRPr="00990D3B" w:rsidR="00D20DD1">
        <w:t> </w:t>
      </w:r>
      <w:r w:rsidRPr="00990D3B">
        <w:t>questions:</w:t>
      </w:r>
    </w:p>
    <w:p w:rsidR="001C7418" w:rsidRPr="00990D3B" w:rsidP="00FB7CAF" w14:paraId="0AE5CEAD" w14:textId="1514E3B0">
      <w:pPr>
        <w:pStyle w:val="EQRBulletBLUE"/>
      </w:pPr>
      <w:r w:rsidRPr="00990D3B">
        <w:t xml:space="preserve">Does the measure address accepted clinical guidelines relevant to the </w:t>
      </w:r>
      <w:r w:rsidRPr="00990D3B" w:rsidR="00972D60">
        <w:t>focus</w:t>
      </w:r>
      <w:r w:rsidRPr="00990D3B">
        <w:t xml:space="preserve"> study question?</w:t>
      </w:r>
    </w:p>
    <w:p w:rsidR="001C7418" w:rsidRPr="00990D3B" w:rsidP="00FB7CAF" w14:paraId="2D368696" w14:textId="15C80A7E">
      <w:pPr>
        <w:pStyle w:val="EQRBulletBLUE"/>
      </w:pPr>
      <w:r w:rsidRPr="00990D3B">
        <w:t xml:space="preserve">Does the measure address an important aspect of care or operations that is meaningful to MCP </w:t>
      </w:r>
      <w:r w:rsidRPr="00990D3B">
        <w:t>enrollees</w:t>
      </w:r>
      <w:r w:rsidRPr="00990D3B">
        <w:t>?</w:t>
      </w:r>
    </w:p>
    <w:p w:rsidR="001C7418" w:rsidRPr="00990D3B" w:rsidP="00FB7CAF" w14:paraId="1FD5E3C3" w14:textId="6EB0B714">
      <w:pPr>
        <w:pStyle w:val="EQRBulletBLUE"/>
      </w:pPr>
      <w:r w:rsidRPr="00990D3B">
        <w:t xml:space="preserve">Do the available data sources allow the MCP to </w:t>
      </w:r>
      <w:r w:rsidRPr="00990D3B" w:rsidR="008309F6">
        <w:t>calculate the measure reliably and accurately</w:t>
      </w:r>
      <w:r w:rsidRPr="00990D3B">
        <w:t>? Are there any limitations on the ability to collect valid and reliable data?</w:t>
      </w:r>
    </w:p>
    <w:p w:rsidR="00BC6734" w:rsidRPr="00990D3B" w:rsidP="00FB7CAF" w14:paraId="099D7F6F" w14:textId="6447CD9F">
      <w:pPr>
        <w:pStyle w:val="EQRBulletBLUE"/>
      </w:pPr>
      <w:r w:rsidRPr="00990D3B">
        <w:t>Are all criteria used in the measure defined clearly (e.g., time periods, characteristics of eligible enrollees, services to be assessed, and exclusion criteria)?</w:t>
      </w:r>
    </w:p>
    <w:p w:rsidR="007C6A23" w:rsidRPr="00990D3B" w:rsidP="00BD1FC3" w14:paraId="68FB23DD" w14:textId="2F9B47F3">
      <w:pPr>
        <w:pStyle w:val="H3"/>
      </w:pPr>
      <w:bookmarkStart w:id="145" w:name="P1A1Step6"/>
      <w:bookmarkStart w:id="146" w:name="_Toc493246362"/>
      <w:bookmarkStart w:id="147" w:name="_Toc496116366"/>
      <w:bookmarkEnd w:id="145"/>
      <w:r w:rsidRPr="00990D3B">
        <w:t>Step</w:t>
      </w:r>
      <w:r w:rsidRPr="00990D3B">
        <w:t xml:space="preserve"> 6: </w:t>
      </w:r>
      <w:r w:rsidRPr="00990D3B">
        <w:t>Review</w:t>
      </w:r>
      <w:r w:rsidRPr="00990D3B">
        <w:t xml:space="preserve"> the </w:t>
      </w:r>
      <w:r w:rsidRPr="00990D3B" w:rsidR="005E3EEE">
        <w:t xml:space="preserve">PIP </w:t>
      </w:r>
      <w:r w:rsidRPr="00990D3B">
        <w:t>Data Collection Procedures</w:t>
      </w:r>
      <w:bookmarkEnd w:id="146"/>
      <w:bookmarkEnd w:id="147"/>
    </w:p>
    <w:p w:rsidR="00B17FE8" w:rsidRPr="00990D3B" w:rsidP="00637811" w14:paraId="7F9E44E4" w14:textId="7770B1D2">
      <w:pPr>
        <w:pStyle w:val="ParagraphContinued"/>
      </w:pPr>
      <w:r w:rsidRPr="00990D3B">
        <w:rPr>
          <w:noProof/>
        </w:rPr>
        <mc:AlternateContent>
          <mc:Choice Requires="wps">
            <w:drawing>
              <wp:anchor distT="0" distB="0" distL="114300" distR="114300" simplePos="0" relativeHeight="251955200" behindDoc="0" locked="0" layoutInCell="1" allowOverlap="1">
                <wp:simplePos x="0" y="0"/>
                <wp:positionH relativeFrom="column">
                  <wp:posOffset>3816512</wp:posOffset>
                </wp:positionH>
                <wp:positionV relativeFrom="paragraph">
                  <wp:posOffset>420370</wp:posOffset>
                </wp:positionV>
                <wp:extent cx="2195195" cy="2101215"/>
                <wp:effectExtent l="19050" t="19050" r="14605" b="13970"/>
                <wp:wrapTight wrapText="bothSides">
                  <wp:wrapPolygon>
                    <wp:start x="21787" y="21796"/>
                    <wp:lineTo x="21787" y="52"/>
                    <wp:lineTo x="44" y="52"/>
                    <wp:lineTo x="44" y="21796"/>
                    <wp:lineTo x="21787" y="21796"/>
                  </wp:wrapPolygon>
                </wp:wrapTight>
                <wp:docPr id="1657233796" name="Text Box 20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2101215"/>
                        </a:xfrm>
                        <a:prstGeom prst="rect">
                          <a:avLst/>
                        </a:prstGeom>
                        <a:solidFill>
                          <a:srgbClr val="EEF5F8"/>
                        </a:solidFill>
                        <a:ln w="28575" cap="rnd">
                          <a:solidFill>
                            <a:srgbClr val="A5DAD9"/>
                          </a:solidFill>
                          <a:prstDash val="solid"/>
                          <a:miter lim="800000"/>
                          <a:headEnd/>
                          <a:tailEnd/>
                        </a:ln>
                      </wps:spPr>
                      <wps:txbx>
                        <w:txbxContent>
                          <w:p w:rsidR="0062588F" w:rsidP="0062588F" w14:textId="77777777">
                            <w:pPr>
                              <w:pStyle w:val="EQRTextboxheading"/>
                            </w:pPr>
                            <w:r>
                              <w:t>Resource for Activity 1, Step 6</w:t>
                            </w:r>
                          </w:p>
                          <w:p w:rsidR="0062588F" w:rsidRPr="00CB020C" w:rsidP="0062588F" w14:textId="4482FC37">
                            <w:pPr>
                              <w:pStyle w:val="EQRTextboxbody"/>
                            </w:pPr>
                            <w:hyperlink w:anchor="WSp1n6" w:tooltip="Worksheet 1.6. Review the Data Collection Procedures" w:history="1">
                              <w:r w:rsidRPr="00106AA5">
                                <w:rPr>
                                  <w:rStyle w:val="Hyperlink"/>
                                </w:rPr>
                                <w:t xml:space="preserve">Worksheet 1.6. Review the </w:t>
                              </w:r>
                              <w:r w:rsidR="00290B35">
                                <w:rPr>
                                  <w:rStyle w:val="Hyperlink"/>
                                </w:rPr>
                                <w:t xml:space="preserve">PIP </w:t>
                              </w:r>
                              <w:r w:rsidRPr="00106AA5">
                                <w:rPr>
                                  <w:rStyle w:val="Hyperlink"/>
                                </w:rPr>
                                <w:t>Data Collection Procedures</w:t>
                              </w:r>
                            </w:hyperlink>
                          </w:p>
                          <w:p w:rsidR="0062588F" w:rsidRPr="00CB020C" w:rsidP="0062588F" w14:textId="77777777">
                            <w:pPr>
                              <w:pStyle w:val="EQRTextboxbullet"/>
                            </w:pPr>
                            <w:r w:rsidRPr="00CB020C">
                              <w:t>Provides a template for reviewing the appropriateness of study variables and performance measures to track improvement</w:t>
                            </w:r>
                          </w:p>
                          <w:p w:rsidR="0062588F" w:rsidRPr="0090682E" w:rsidP="0062588F" w14:textId="77777777">
                            <w:pPr>
                              <w:pStyle w:val="EQRTextboxbullet"/>
                              <w:rPr>
                                <w:spacing w:val="-2"/>
                              </w:rPr>
                            </w:pPr>
                            <w:r w:rsidRPr="00CB020C">
                              <w:t>Includes an assessment of data collection procedures overall and for administrative and medical record review</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7" o:spid="_x0000_s1061" type="#_x0000_t202" style="width:172.85pt;height:165.45pt;margin-top:33.1pt;margin-left:300.5pt;flip:y;mso-height-percent:0;mso-height-relative:page;mso-width-percent:0;mso-width-relative:page;mso-wrap-distance-bottom:0;mso-wrap-distance-left:9pt;mso-wrap-distance-right:9pt;mso-wrap-distance-top:0;mso-wrap-style:square;position:absolute;rotation:180;visibility:visible;v-text-anchor:top;z-index:251956224" fillcolor="#eef5f8" strokecolor="#a5dad9" strokeweight="2.25pt">
                <v:stroke endcap="round"/>
                <v:textbox style="mso-fit-shape-to-text:t" inset="8.64pt,,8.64pt">
                  <w:txbxContent>
                    <w:p w:rsidR="0062588F" w:rsidP="0062588F" w14:paraId="3B2BBB3E" w14:textId="77777777">
                      <w:pPr>
                        <w:pStyle w:val="EQRTextboxheading"/>
                      </w:pPr>
                      <w:r>
                        <w:t>Resource for Activity 1, Step 6</w:t>
                      </w:r>
                    </w:p>
                    <w:p w:rsidR="0062588F" w:rsidRPr="00CB020C" w:rsidP="0062588F" w14:paraId="17BB0DE5" w14:textId="4482FC37">
                      <w:pPr>
                        <w:pStyle w:val="EQRTextboxbody"/>
                      </w:pPr>
                      <w:hyperlink w:anchor="WSp1n6" w:tooltip="Worksheet 1.6. Review the Data Collection Procedures" w:history="1">
                        <w:r w:rsidRPr="00106AA5">
                          <w:rPr>
                            <w:rStyle w:val="Hyperlink"/>
                          </w:rPr>
                          <w:t xml:space="preserve">Worksheet 1.6. Review the </w:t>
                        </w:r>
                        <w:r w:rsidR="00290B35">
                          <w:rPr>
                            <w:rStyle w:val="Hyperlink"/>
                          </w:rPr>
                          <w:t xml:space="preserve">PIP </w:t>
                        </w:r>
                        <w:r w:rsidRPr="00106AA5">
                          <w:rPr>
                            <w:rStyle w:val="Hyperlink"/>
                          </w:rPr>
                          <w:t>Data Collection Procedures</w:t>
                        </w:r>
                      </w:hyperlink>
                    </w:p>
                    <w:p w:rsidR="0062588F" w:rsidRPr="00CB020C" w:rsidP="0062588F" w14:paraId="7E10D1E5" w14:textId="77777777">
                      <w:pPr>
                        <w:pStyle w:val="EQRTextboxbullet"/>
                      </w:pPr>
                      <w:r w:rsidRPr="00CB020C">
                        <w:t>Provides a template for reviewing the appropriateness of study variables and performance measures to track improvement</w:t>
                      </w:r>
                    </w:p>
                    <w:p w:rsidR="0062588F" w:rsidRPr="0090682E" w:rsidP="0062588F" w14:paraId="665137DF" w14:textId="77777777">
                      <w:pPr>
                        <w:pStyle w:val="EQRTextboxbullet"/>
                        <w:rPr>
                          <w:spacing w:val="-2"/>
                        </w:rPr>
                      </w:pPr>
                      <w:r w:rsidRPr="00CB020C">
                        <w:t>Includes an assessment of data collection procedures overall and for administrative and medical record review</w:t>
                      </w:r>
                    </w:p>
                  </w:txbxContent>
                </v:textbox>
                <w10:wrap type="tight"/>
              </v:shape>
            </w:pict>
          </mc:Fallback>
        </mc:AlternateContent>
      </w:r>
      <w:r w:rsidRPr="00990D3B">
        <w:rPr>
          <w:noProof/>
        </w:rPr>
        <mc:AlternateContent>
          <mc:Choice Requires="wps">
            <w:drawing>
              <wp:anchor distT="0" distB="0" distL="114300" distR="114300" simplePos="0" relativeHeight="251957248" behindDoc="0" locked="0" layoutInCell="1" allowOverlap="1">
                <wp:simplePos x="0" y="0"/>
                <wp:positionH relativeFrom="column">
                  <wp:posOffset>3817074</wp:posOffset>
                </wp:positionH>
                <wp:positionV relativeFrom="paragraph">
                  <wp:posOffset>67088</wp:posOffset>
                </wp:positionV>
                <wp:extent cx="2194560" cy="297815"/>
                <wp:effectExtent l="19050" t="19050" r="0" b="7620"/>
                <wp:wrapTight wrapText="bothSides">
                  <wp:wrapPolygon>
                    <wp:start x="21788" y="22985"/>
                    <wp:lineTo x="21788" y="-554"/>
                    <wp:lineTo x="38" y="-554"/>
                    <wp:lineTo x="38" y="22985"/>
                    <wp:lineTo x="21788" y="22985"/>
                  </wp:wrapPolygon>
                </wp:wrapTight>
                <wp:docPr id="972658967" name="Text Box 20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62588F" w:rsidRPr="0090682E" w:rsidP="0062588F" w14:textId="72FB1D92">
                            <w:pPr>
                              <w:pStyle w:val="EQRWORKSHEETText"/>
                              <w:rPr>
                                <w:spacing w:val="-2"/>
                              </w:rPr>
                            </w:pPr>
                            <w:hyperlink w:anchor="WSp1n6" w:tooltip="WORKSHEET 1.6" w:history="1">
                              <w:r>
                                <w:rPr>
                                  <w:rStyle w:val="Hyperlink"/>
                                  <w:color w:val="006981"/>
                                </w:rPr>
                                <w:t>WORKSHEET 1.6</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6" o:spid="_x0000_s1062" type="#_x0000_t202" style="width:172.8pt;height:23.45pt;margin-top:5.3pt;margin-left:300.55pt;flip:y;mso-height-percent:0;mso-height-relative:page;mso-width-percent:0;mso-width-relative:page;mso-wrap-distance-bottom:0;mso-wrap-distance-left:9pt;mso-wrap-distance-right:9pt;mso-wrap-distance-top:0;mso-wrap-style:square;position:absolute;rotation:180;visibility:visible;v-text-anchor:top;z-index:251958272" fillcolor="#eef5f8" strokecolor="#a5dad9" strokeweight="2.25pt">
                <v:stroke endcap="round"/>
                <v:textbox style="mso-fit-shape-to-text:t" inset="8.64pt,,8.64pt">
                  <w:txbxContent>
                    <w:p w:rsidR="0062588F" w:rsidRPr="0090682E" w:rsidP="0062588F" w14:paraId="54D9659D" w14:textId="72FB1D92">
                      <w:pPr>
                        <w:pStyle w:val="EQRWORKSHEETText"/>
                        <w:rPr>
                          <w:spacing w:val="-2"/>
                        </w:rPr>
                      </w:pPr>
                      <w:hyperlink w:anchor="WSp1n6" w:tooltip="WORKSHEET 1.6" w:history="1">
                        <w:r>
                          <w:rPr>
                            <w:rStyle w:val="Hyperlink"/>
                            <w:color w:val="006981"/>
                          </w:rPr>
                          <w:t>WORKSHEET 1.6</w:t>
                        </w:r>
                      </w:hyperlink>
                    </w:p>
                  </w:txbxContent>
                </v:textbox>
                <w10:wrap type="tight"/>
              </v:shape>
            </w:pict>
          </mc:Fallback>
        </mc:AlternateContent>
      </w:r>
      <w:r w:rsidRPr="00990D3B" w:rsidR="00B17FE8">
        <w:t xml:space="preserve">In this step, the EQRO assesses the validity and reliability of the procedures the MCP used to collect the data that </w:t>
      </w:r>
      <w:r w:rsidRPr="00990D3B" w:rsidR="00B17FE8">
        <w:t>inform</w:t>
      </w:r>
      <w:r w:rsidRPr="00990D3B" w:rsidR="00B17FE8">
        <w:t xml:space="preserve"> the PIP measurements. Validity means that the data </w:t>
      </w:r>
      <w:r w:rsidRPr="00990D3B" w:rsidR="00C50B0C">
        <w:t>measure what is intended to be measured, and reliability means that the data produce</w:t>
      </w:r>
      <w:r w:rsidRPr="00990D3B" w:rsidR="00B17FE8">
        <w:t xml:space="preserve"> consistent results. </w:t>
      </w:r>
    </w:p>
    <w:p w:rsidR="00B17FE8" w:rsidRPr="00990D3B" w:rsidP="00D20DD1" w14:paraId="75C5E4F2" w14:textId="4B5E3053">
      <w:pPr>
        <w:pStyle w:val="Paragraph0"/>
        <w:rPr>
          <w:rFonts w:eastAsia="Calibri"/>
        </w:rPr>
      </w:pPr>
      <w:r w:rsidRPr="00990D3B">
        <w:rPr>
          <w:rFonts w:eastAsia="Calibri"/>
        </w:rPr>
        <w:t xml:space="preserve">To ensure </w:t>
      </w:r>
      <w:r w:rsidRPr="00990D3B" w:rsidR="00C50B0C">
        <w:rPr>
          <w:rFonts w:eastAsia="Calibri"/>
        </w:rPr>
        <w:t xml:space="preserve">the </w:t>
      </w:r>
      <w:r w:rsidRPr="00990D3B">
        <w:rPr>
          <w:rFonts w:eastAsia="Calibri"/>
        </w:rPr>
        <w:t>validity and reliability of the data collected as part of the PIP, the MCP should develop a data collection plan that specifies:</w:t>
      </w:r>
    </w:p>
    <w:p w:rsidR="00B17FE8" w:rsidRPr="00990D3B" w:rsidP="00FB7CAF" w14:paraId="43ED1D83" w14:textId="48CF715A">
      <w:pPr>
        <w:pStyle w:val="EQRBulletBLUE"/>
      </w:pPr>
      <w:r w:rsidRPr="00990D3B">
        <w:t>The data sources for the PIP</w:t>
      </w:r>
    </w:p>
    <w:p w:rsidR="00B17FE8" w:rsidRPr="00990D3B" w:rsidP="00FB7CAF" w14:paraId="7A91FF55" w14:textId="15054D37">
      <w:pPr>
        <w:pStyle w:val="EQRBulletBLUE"/>
      </w:pPr>
      <w:r w:rsidRPr="00990D3B">
        <w:t>The data to be collected</w:t>
      </w:r>
    </w:p>
    <w:p w:rsidR="00FB570D" w:rsidRPr="00990D3B" w:rsidP="00FB7CAF" w14:paraId="28FD6A45" w14:textId="22C2263B">
      <w:pPr>
        <w:pStyle w:val="EQRBulletBLUE"/>
      </w:pPr>
      <w:r w:rsidRPr="00990D3B">
        <w:t xml:space="preserve">How and when the data </w:t>
      </w:r>
      <w:r w:rsidRPr="00990D3B">
        <w:t>are</w:t>
      </w:r>
      <w:r w:rsidRPr="00990D3B">
        <w:t xml:space="preserve"> to be collected</w:t>
      </w:r>
    </w:p>
    <w:p w:rsidR="00B17FE8" w:rsidRPr="00990D3B" w:rsidP="00FB7CAF" w14:paraId="4DFD4A6D" w14:textId="7696A159">
      <w:pPr>
        <w:pStyle w:val="EQRBulletBLUE"/>
      </w:pPr>
      <w:r w:rsidRPr="00990D3B">
        <w:t>F</w:t>
      </w:r>
      <w:r w:rsidRPr="00990D3B" w:rsidR="00585955">
        <w:t>requency of data collection</w:t>
      </w:r>
    </w:p>
    <w:p w:rsidR="00B17FE8" w:rsidRPr="00990D3B" w:rsidP="00FB7CAF" w14:paraId="091D1CD4" w14:textId="277A1F4F">
      <w:pPr>
        <w:pStyle w:val="EQRBulletBLUE"/>
      </w:pPr>
      <w:r w:rsidRPr="00990D3B">
        <w:t xml:space="preserve">Who will collect the data </w:t>
      </w:r>
    </w:p>
    <w:p w:rsidR="00B17FE8" w:rsidRPr="00990D3B" w:rsidP="00FB7CAF" w14:paraId="3CE7B3B4" w14:textId="419E6D26">
      <w:pPr>
        <w:pStyle w:val="EQRBulletBLUE"/>
      </w:pPr>
      <w:r w:rsidRPr="00990D3B">
        <w:t xml:space="preserve">Instruments used to collect </w:t>
      </w:r>
      <w:r w:rsidRPr="00990D3B">
        <w:t>the data</w:t>
      </w:r>
    </w:p>
    <w:p w:rsidR="00B17FE8" w:rsidRPr="00990D3B" w:rsidP="00BD1FC3" w14:paraId="1FE5CD32" w14:textId="37515F5F">
      <w:pPr>
        <w:pStyle w:val="ParagraphContinued"/>
      </w:pPr>
      <w:r w:rsidRPr="00990D3B">
        <w:t xml:space="preserve">This step may involve </w:t>
      </w:r>
      <w:r w:rsidRPr="00990D3B" w:rsidR="0086202E">
        <w:t xml:space="preserve">three </w:t>
      </w:r>
      <w:r w:rsidRPr="00990D3B">
        <w:t>main kinds of data collection: administrative data sources</w:t>
      </w:r>
      <w:r w:rsidRPr="00990D3B" w:rsidR="0086202E">
        <w:t xml:space="preserve">, </w:t>
      </w:r>
      <w:r w:rsidRPr="00990D3B">
        <w:t>medical record review</w:t>
      </w:r>
      <w:r w:rsidRPr="00990D3B" w:rsidR="0086202E">
        <w:t>, and a hybrid method</w:t>
      </w:r>
      <w:r w:rsidRPr="00990D3B">
        <w:t xml:space="preserve">. </w:t>
      </w:r>
      <w:r w:rsidRPr="00990D3B" w:rsidR="009C6E9A">
        <w:t xml:space="preserve">The hybrid method uses a mix of both </w:t>
      </w:r>
      <w:r w:rsidRPr="00990D3B" w:rsidR="00952333">
        <w:t>types</w:t>
      </w:r>
      <w:r w:rsidRPr="00990D3B" w:rsidR="009C6E9A">
        <w:t xml:space="preserve"> of data collection. </w:t>
      </w:r>
      <w:r w:rsidRPr="00990D3B">
        <w:t xml:space="preserve">Procedures to collect data from administrative data systems will </w:t>
      </w:r>
      <w:r w:rsidRPr="00990D3B" w:rsidR="00952333">
        <w:t>differ</w:t>
      </w:r>
      <w:r w:rsidRPr="00990D3B">
        <w:t xml:space="preserve"> from procedures for visual inspection of medical records or other primary source documents. However, both types of data collection require assurances that data are valid and reliable.</w:t>
      </w:r>
      <w:r w:rsidRPr="00990D3B" w:rsidR="00171DF2">
        <w:t xml:space="preserve"> </w:t>
      </w:r>
      <w:r w:rsidRPr="00990D3B" w:rsidR="00233801">
        <w:t xml:space="preserve">CMS encourages states to </w:t>
      </w:r>
      <w:r w:rsidRPr="00990D3B" w:rsidR="0077489C">
        <w:t xml:space="preserve">utilize data sources </w:t>
      </w:r>
      <w:r w:rsidRPr="00990D3B" w:rsidR="00952333">
        <w:t>from which they can collect data regularly</w:t>
      </w:r>
      <w:r w:rsidRPr="00990D3B" w:rsidR="0077489C">
        <w:t xml:space="preserve"> (</w:t>
      </w:r>
      <w:r w:rsidRPr="00990D3B" w:rsidR="00E33C11">
        <w:t xml:space="preserve">e.g., monthly, quarterly, </w:t>
      </w:r>
      <w:r w:rsidRPr="00990D3B" w:rsidR="00600DD3">
        <w:t>and semi</w:t>
      </w:r>
      <w:r w:rsidRPr="00990D3B" w:rsidR="0077489C">
        <w:t>-annually)</w:t>
      </w:r>
      <w:r w:rsidRPr="00990D3B" w:rsidR="00233801">
        <w:t>.</w:t>
      </w:r>
    </w:p>
    <w:p w:rsidR="009D1C68" w:rsidRPr="00990D3B" w:rsidP="002716A5" w14:paraId="621ED06D" w14:textId="77777777">
      <w:pPr>
        <w:pStyle w:val="H4"/>
      </w:pPr>
      <w:r w:rsidRPr="00990D3B">
        <w:t>Administrative data collection</w:t>
      </w:r>
    </w:p>
    <w:p w:rsidR="00B17FE8" w:rsidRPr="00990D3B" w:rsidP="00637811" w14:paraId="4DFDB19C" w14:textId="68CF94CA">
      <w:pPr>
        <w:pStyle w:val="ParagraphContinued"/>
      </w:pPr>
      <w:r w:rsidRPr="00990D3B">
        <w:t xml:space="preserve">Evaluating an administrative data collection methodology emphasizes the system that stores the data and should focus on </w:t>
      </w:r>
      <w:r w:rsidRPr="00990D3B" w:rsidR="00C50B0C">
        <w:t>estimating</w:t>
      </w:r>
      <w:r w:rsidRPr="00990D3B">
        <w:t xml:space="preserve"> the degree of completeness of the administrative data used to measure performance and track improvement. See Section 2 of </w:t>
      </w:r>
      <w:hyperlink w:anchor="WSp1n6" w:tooltip="Worksheet 1.6" w:history="1">
        <w:r w:rsidRPr="00990D3B">
          <w:rPr>
            <w:rStyle w:val="Hyperlink"/>
          </w:rPr>
          <w:t>Worksheet 1.6</w:t>
        </w:r>
      </w:hyperlink>
      <w:r w:rsidRPr="00990D3B">
        <w:t xml:space="preserve"> for a checklist of administrative data assessment questions. In addition, refer to</w:t>
      </w:r>
      <w:r w:rsidRPr="00990D3B" w:rsidR="00A51C2F">
        <w:t xml:space="preserve"> </w:t>
      </w:r>
      <w:hyperlink w:anchor="Protocol5" w:tooltip="Protocol 5, Validation of Encounter Data Reported by the Managed Care Plan" w:history="1">
        <w:r w:rsidRPr="00990D3B" w:rsidR="00A51C2F">
          <w:rPr>
            <w:rStyle w:val="Hyperlink"/>
            <w:szCs w:val="22"/>
          </w:rPr>
          <w:t>Protocol 5</w:t>
        </w:r>
      </w:hyperlink>
      <w:r w:rsidRPr="00990D3B">
        <w:t xml:space="preserve"> for more information on assuring the validity and reliability of encounter data. </w:t>
      </w:r>
    </w:p>
    <w:p w:rsidR="009D1C68" w:rsidRPr="00990D3B" w:rsidP="002716A5" w14:paraId="14402DD0" w14:textId="77777777">
      <w:pPr>
        <w:pStyle w:val="H4"/>
      </w:pPr>
      <w:r w:rsidRPr="00990D3B">
        <w:t>Medical record review</w:t>
      </w:r>
    </w:p>
    <w:p w:rsidR="009176F0" w:rsidRPr="00990D3B" w:rsidP="00637811" w14:paraId="4810D5C7" w14:textId="2E679606">
      <w:pPr>
        <w:pStyle w:val="ParagraphContinued"/>
      </w:pPr>
      <w:r w:rsidRPr="00990D3B">
        <w:t>Medical record review may be the only valid and reliable data source for some variables</w:t>
      </w:r>
      <w:r w:rsidRPr="00990D3B" w:rsidR="00B17FE8">
        <w:t xml:space="preserve">. (Note that medical records may include other sources besides the individual patient medical record, such as clinical tracking logs, manual registries, case management records, and the like.) If the PIP requires medical record reviews, special attention should be given to the qualifications of the medical record reviewers, the specificity of the guidelines for data collection, and plans for </w:t>
      </w:r>
      <w:r w:rsidRPr="00990D3B" w:rsidR="00B17FE8">
        <w:t xml:space="preserve">ensuring inter- and intra-rater reliability. The reviewers should have a standard protocol for reviewing records, have the knowledge to interpret the records, and have been trained to identify and code the information in the records using consistent decision rules. See Section 3 of </w:t>
      </w:r>
      <w:hyperlink w:anchor="WSp1n6" w:tooltip="Worksheet 1.6" w:history="1">
        <w:r w:rsidRPr="00990D3B" w:rsidR="00B17FE8">
          <w:rPr>
            <w:rStyle w:val="Hyperlink"/>
          </w:rPr>
          <w:t>Worksheet 1.6</w:t>
        </w:r>
      </w:hyperlink>
      <w:r w:rsidRPr="00990D3B" w:rsidR="00B17FE8">
        <w:t xml:space="preserve"> for a </w:t>
      </w:r>
      <w:r w:rsidRPr="00990D3B">
        <w:t>medical record review assessment questions checklist</w:t>
      </w:r>
      <w:r w:rsidRPr="00990D3B" w:rsidR="00B17FE8">
        <w:t xml:space="preserve">. </w:t>
      </w:r>
    </w:p>
    <w:p w:rsidR="009D1C68" w:rsidRPr="00990D3B" w:rsidP="002716A5" w14:paraId="67EA98A5" w14:textId="77777777">
      <w:pPr>
        <w:pStyle w:val="H4"/>
      </w:pPr>
      <w:r w:rsidRPr="00990D3B">
        <w:t>Hybrid data collection</w:t>
      </w:r>
    </w:p>
    <w:p w:rsidR="00B37ACA" w:rsidRPr="00990D3B" w:rsidP="00637811" w14:paraId="4564F520" w14:textId="2BB55E2C">
      <w:pPr>
        <w:pStyle w:val="ParagraphContinued"/>
      </w:pPr>
      <w:r w:rsidRPr="00990D3B">
        <w:t xml:space="preserve">The hybrid method uses both administrative and medical record data. The hybrid method, when available, should be used when administrative data </w:t>
      </w:r>
      <w:r w:rsidRPr="00990D3B" w:rsidR="008B2151">
        <w:t xml:space="preserve">or </w:t>
      </w:r>
      <w:r w:rsidRPr="00990D3B">
        <w:t xml:space="preserve">electronic health record (EHR) data are incomplete or may be of poor quality, or the data elements for the measure are not captured in administrative data. </w:t>
      </w:r>
    </w:p>
    <w:p w:rsidR="00102B29" w:rsidRPr="00990D3B" w:rsidP="00BD1FC3" w14:paraId="784111E9" w14:textId="6C569B36">
      <w:pPr>
        <w:pStyle w:val="H3"/>
      </w:pPr>
      <w:bookmarkStart w:id="148" w:name="P1A1Step7"/>
      <w:bookmarkStart w:id="149" w:name="_Toc493246363"/>
      <w:bookmarkStart w:id="150" w:name="_Toc496116367"/>
      <w:bookmarkEnd w:id="148"/>
      <w:r w:rsidRPr="00990D3B">
        <w:t>Step</w:t>
      </w:r>
      <w:r w:rsidRPr="00990D3B">
        <w:t xml:space="preserve"> 7: Review Data Analysis and Interpretation of </w:t>
      </w:r>
      <w:r w:rsidRPr="00990D3B" w:rsidR="003A57D3">
        <w:t>PIP</w:t>
      </w:r>
      <w:r w:rsidRPr="00990D3B">
        <w:t xml:space="preserve"> Results</w:t>
      </w:r>
      <w:bookmarkEnd w:id="149"/>
      <w:bookmarkEnd w:id="150"/>
    </w:p>
    <w:p w:rsidR="009176F0" w:rsidRPr="00990D3B" w:rsidP="00637811" w14:paraId="18C861FA" w14:textId="333C1902">
      <w:pPr>
        <w:pStyle w:val="ParagraphContinued"/>
      </w:pPr>
      <w:r w:rsidRPr="00990D3B">
        <w:rPr>
          <w:noProof/>
        </w:rPr>
        <mc:AlternateContent>
          <mc:Choice Requires="wps">
            <w:drawing>
              <wp:anchor distT="0" distB="0" distL="114300" distR="114300" simplePos="0" relativeHeight="251719680" behindDoc="0" locked="0" layoutInCell="1" allowOverlap="1">
                <wp:simplePos x="0" y="0"/>
                <wp:positionH relativeFrom="column">
                  <wp:posOffset>3708400</wp:posOffset>
                </wp:positionH>
                <wp:positionV relativeFrom="paragraph">
                  <wp:posOffset>52705</wp:posOffset>
                </wp:positionV>
                <wp:extent cx="2194560" cy="297815"/>
                <wp:effectExtent l="19050" t="19050" r="15240" b="26670"/>
                <wp:wrapTight wrapText="bothSides">
                  <wp:wrapPolygon>
                    <wp:start x="21788" y="22985"/>
                    <wp:lineTo x="21788" y="-554"/>
                    <wp:lineTo x="38" y="-554"/>
                    <wp:lineTo x="38" y="22985"/>
                    <wp:lineTo x="21788" y="22985"/>
                  </wp:wrapPolygon>
                </wp:wrapTight>
                <wp:docPr id="389407985" name="Text Box 20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A978CE" w14:textId="36FB742B">
                            <w:pPr>
                              <w:pStyle w:val="EQRWORKSHEETText"/>
                              <w:rPr>
                                <w:spacing w:val="-2"/>
                              </w:rPr>
                            </w:pPr>
                            <w:hyperlink w:anchor="WSp1n7" w:tooltip="WORKSHEET 1.7" w:history="1">
                              <w:r>
                                <w:rPr>
                                  <w:rStyle w:val="Hyperlink"/>
                                  <w:color w:val="006981"/>
                                </w:rPr>
                                <w:t>WORKSHEET 1.7</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4" o:spid="_x0000_s1063" type="#_x0000_t202" style="width:172.8pt;height:23.45pt;margin-top:4.15pt;margin-left:292pt;flip:y;mso-height-percent:0;mso-height-relative:page;mso-width-percent:0;mso-width-relative:page;mso-wrap-distance-bottom:0;mso-wrap-distance-left:9pt;mso-wrap-distance-right:9pt;mso-wrap-distance-top:0;mso-wrap-style:square;position:absolute;rotation:180;visibility:visible;v-text-anchor:top;z-index:251720704" fillcolor="#eef5f8" strokecolor="#a5dad9" strokeweight="2.25pt">
                <v:stroke endcap="round"/>
                <v:textbox style="mso-fit-shape-to-text:t" inset="8.64pt,,8.64pt">
                  <w:txbxContent>
                    <w:p w:rsidR="00ED33C3" w:rsidRPr="0090682E" w:rsidP="00A978CE" w14:paraId="6C1AC77F" w14:textId="36FB742B">
                      <w:pPr>
                        <w:pStyle w:val="EQRWORKSHEETText"/>
                        <w:rPr>
                          <w:spacing w:val="-2"/>
                        </w:rPr>
                      </w:pPr>
                      <w:hyperlink w:anchor="WSp1n7" w:tooltip="WORKSHEET 1.7" w:history="1">
                        <w:r>
                          <w:rPr>
                            <w:rStyle w:val="Hyperlink"/>
                            <w:color w:val="006981"/>
                          </w:rPr>
                          <w:t>WORKSHEET 1.7</w:t>
                        </w:r>
                      </w:hyperlink>
                    </w:p>
                  </w:txbxContent>
                </v:textbox>
                <w10:wrap type="tight"/>
              </v:shape>
            </w:pict>
          </mc:Fallback>
        </mc:AlternateContent>
      </w:r>
      <w:r w:rsidRPr="00990D3B">
        <w:rPr>
          <w:noProof/>
        </w:rPr>
        <mc:AlternateContent>
          <mc:Choice Requires="wps">
            <w:drawing>
              <wp:anchor distT="0" distB="0" distL="114300" distR="114300" simplePos="0" relativeHeight="251717632" behindDoc="0" locked="0" layoutInCell="1" allowOverlap="1">
                <wp:simplePos x="0" y="0"/>
                <wp:positionH relativeFrom="column">
                  <wp:posOffset>3708400</wp:posOffset>
                </wp:positionH>
                <wp:positionV relativeFrom="paragraph">
                  <wp:posOffset>413858</wp:posOffset>
                </wp:positionV>
                <wp:extent cx="2195195" cy="1301115"/>
                <wp:effectExtent l="19050" t="19050" r="14605" b="13970"/>
                <wp:wrapTight wrapText="bothSides">
                  <wp:wrapPolygon>
                    <wp:start x="21787" y="21916"/>
                    <wp:lineTo x="21787" y="84"/>
                    <wp:lineTo x="44" y="84"/>
                    <wp:lineTo x="44" y="21916"/>
                    <wp:lineTo x="21787" y="21916"/>
                  </wp:wrapPolygon>
                </wp:wrapTight>
                <wp:docPr id="1371548745" name="Text Box 20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301115"/>
                        </a:xfrm>
                        <a:prstGeom prst="rect">
                          <a:avLst/>
                        </a:prstGeom>
                        <a:solidFill>
                          <a:srgbClr val="EEF5F8"/>
                        </a:solidFill>
                        <a:ln w="28575" cap="rnd">
                          <a:solidFill>
                            <a:srgbClr val="A5DAD9"/>
                          </a:solidFill>
                          <a:prstDash val="solid"/>
                          <a:miter lim="800000"/>
                          <a:headEnd/>
                          <a:tailEnd/>
                        </a:ln>
                      </wps:spPr>
                      <wps:txbx>
                        <w:txbxContent>
                          <w:p w:rsidR="00ED33C3" w:rsidP="003D4607" w14:textId="1CF8967D">
                            <w:pPr>
                              <w:pStyle w:val="EQRTextboxheading"/>
                            </w:pPr>
                            <w:r w:rsidRPr="003D4607">
                              <w:t>Resource for Activity 1, Step 7</w:t>
                            </w:r>
                            <w:r w:rsidRPr="00DE7C40">
                              <w:t xml:space="preserve"> </w:t>
                            </w:r>
                          </w:p>
                          <w:p w:rsidR="00ED33C3" w:rsidRPr="003D4607" w:rsidP="003D4607" w14:textId="482065ED">
                            <w:pPr>
                              <w:pStyle w:val="EQRTextboxbody"/>
                            </w:pPr>
                            <w:hyperlink w:anchor="WSp1n7" w:tooltip="Worksheet 1.7. Review Data Analysis and Interpretation of PIP Results" w:history="1">
                              <w:r w:rsidRPr="00B05E35">
                                <w:rPr>
                                  <w:rStyle w:val="Hyperlink"/>
                                </w:rPr>
                                <w:t>Worksheet 1.7. Review Data Analysis and Interpretation of PIP Results</w:t>
                              </w:r>
                            </w:hyperlink>
                          </w:p>
                          <w:p w:rsidR="00ED33C3" w:rsidRPr="0090682E" w:rsidP="003D4607" w14:textId="149A6202">
                            <w:pPr>
                              <w:pStyle w:val="EQRTextboxbullet"/>
                              <w:rPr>
                                <w:spacing w:val="-2"/>
                              </w:rPr>
                            </w:pPr>
                            <w:r w:rsidRPr="003D4607">
                              <w:t>Provides a template for assessing the quality and completeness of the analysis</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5" o:spid="_x0000_s1064" type="#_x0000_t202" style="width:172.85pt;height:102.45pt;margin-top:32.6pt;margin-left:292pt;flip:y;mso-height-percent:0;mso-height-relative:page;mso-width-percent:0;mso-width-relative:page;mso-wrap-distance-bottom:0;mso-wrap-distance-left:9pt;mso-wrap-distance-right:9pt;mso-wrap-distance-top:0;mso-wrap-style:square;position:absolute;rotation:180;visibility:visible;v-text-anchor:top;z-index:251718656" fillcolor="#eef5f8" strokecolor="#a5dad9" strokeweight="2.25pt">
                <v:stroke endcap="round"/>
                <v:textbox style="mso-fit-shape-to-text:t" inset="8.64pt,,8.64pt">
                  <w:txbxContent>
                    <w:p w:rsidR="00ED33C3" w:rsidP="003D4607" w14:paraId="55D6B950" w14:textId="1CF8967D">
                      <w:pPr>
                        <w:pStyle w:val="EQRTextboxheading"/>
                      </w:pPr>
                      <w:r w:rsidRPr="003D4607">
                        <w:t>Resource for Activity 1, Step 7</w:t>
                      </w:r>
                      <w:r w:rsidRPr="00DE7C40">
                        <w:t xml:space="preserve"> </w:t>
                      </w:r>
                    </w:p>
                    <w:p w:rsidR="00ED33C3" w:rsidRPr="003D4607" w:rsidP="003D4607" w14:paraId="0BBE0A36" w14:textId="482065ED">
                      <w:pPr>
                        <w:pStyle w:val="EQRTextboxbody"/>
                      </w:pPr>
                      <w:hyperlink w:anchor="WSp1n7" w:tooltip="Worksheet 1.7. Review Data Analysis and Interpretation of PIP Results" w:history="1">
                        <w:r w:rsidRPr="00B05E35">
                          <w:rPr>
                            <w:rStyle w:val="Hyperlink"/>
                          </w:rPr>
                          <w:t>Worksheet 1.7. Review Data Analysis and Interpretation of PIP Results</w:t>
                        </w:r>
                      </w:hyperlink>
                    </w:p>
                    <w:p w:rsidR="00ED33C3" w:rsidRPr="0090682E" w:rsidP="003D4607" w14:paraId="1A27A06C" w14:textId="149A6202">
                      <w:pPr>
                        <w:pStyle w:val="EQRTextboxbullet"/>
                        <w:rPr>
                          <w:spacing w:val="-2"/>
                        </w:rPr>
                      </w:pPr>
                      <w:r w:rsidRPr="003D4607">
                        <w:t>Provides a template for assessing the quality and completeness of the analysis</w:t>
                      </w:r>
                    </w:p>
                  </w:txbxContent>
                </v:textbox>
                <w10:wrap type="tight"/>
              </v:shape>
            </w:pict>
          </mc:Fallback>
        </mc:AlternateContent>
      </w:r>
      <w:r w:rsidRPr="00990D3B" w:rsidR="009176F0">
        <w:t xml:space="preserve">In this step, the EQRO assesses the quality of the data analysis and interpretation of </w:t>
      </w:r>
      <w:r w:rsidRPr="00990D3B" w:rsidR="003A57D3">
        <w:t>PIP</w:t>
      </w:r>
      <w:r w:rsidRPr="00990D3B" w:rsidR="009176F0">
        <w:t xml:space="preserve"> results. The review assesses whether the appropriate techniques were used and </w:t>
      </w:r>
      <w:r w:rsidRPr="00990D3B" w:rsidR="0092073D">
        <w:t xml:space="preserve">if </w:t>
      </w:r>
      <w:r w:rsidRPr="00990D3B" w:rsidR="009176F0">
        <w:t xml:space="preserve">the analysis and interpretation was accurate. In addition, analysis and interpretation of the </w:t>
      </w:r>
      <w:r w:rsidRPr="00990D3B" w:rsidR="003A57D3">
        <w:t xml:space="preserve">PIP </w:t>
      </w:r>
      <w:r w:rsidRPr="00990D3B" w:rsidR="009176F0">
        <w:t>data should be based on a continuous</w:t>
      </w:r>
      <w:r w:rsidRPr="00990D3B" w:rsidR="004C7AC6">
        <w:t xml:space="preserve"> quality</w:t>
      </w:r>
      <w:r w:rsidRPr="00990D3B" w:rsidR="009176F0">
        <w:t xml:space="preserve"> improvement philosophy</w:t>
      </w:r>
      <w:r w:rsidRPr="00990D3B" w:rsidR="003162DF">
        <w:rPr>
          <w:rFonts w:ascii="ZWAdobeF" w:hAnsi="ZWAdobeF" w:cs="ZWAdobeF"/>
          <w:sz w:val="2"/>
          <w:szCs w:val="2"/>
        </w:rPr>
        <w:t>34F</w:t>
      </w:r>
      <w:r>
        <w:rPr>
          <w:rStyle w:val="FootnoteReference"/>
        </w:rPr>
        <w:footnoteReference w:id="39"/>
      </w:r>
      <w:r w:rsidRPr="00990D3B" w:rsidR="009176F0">
        <w:t xml:space="preserve"> and reflect an understanding of lessons learned and opportunities for improvement. </w:t>
      </w:r>
      <w:r w:rsidRPr="00990D3B" w:rsidR="00952333">
        <w:t>Interpreting</w:t>
      </w:r>
      <w:r w:rsidRPr="00990D3B" w:rsidR="009176F0">
        <w:t xml:space="preserve"> the </w:t>
      </w:r>
      <w:r w:rsidRPr="00990D3B" w:rsidR="003A57D3">
        <w:t>PIP</w:t>
      </w:r>
      <w:r w:rsidRPr="00990D3B" w:rsidR="009176F0">
        <w:t xml:space="preserve"> results should involve assessing the causes of less-than-optimal performance and collecting data to support the assessment. </w:t>
      </w:r>
    </w:p>
    <w:p w:rsidR="009176F0" w:rsidRPr="00990D3B" w:rsidP="002716A5" w14:paraId="5A6368F1" w14:textId="6ADFAB7F">
      <w:pPr>
        <w:pStyle w:val="Paragraph0"/>
      </w:pPr>
      <w:r w:rsidRPr="00990D3B">
        <w:t xml:space="preserve">Accurate data analysis is essential because the state or MCP may implement changes based on the results. The primary source for the assessment should be analytic reports of PIP results prepared by the MCP, including both baseline and repeat measurements of </w:t>
      </w:r>
      <w:r w:rsidRPr="00990D3B" w:rsidR="003A57D3">
        <w:t>PIP</w:t>
      </w:r>
      <w:r w:rsidRPr="00990D3B">
        <w:t xml:space="preserve"> outcomes. In addition, the EQRO may assess the reasonableness of individual MCP results in relation to existing state-level data, data from other MCPs, or industry benchmarks. </w:t>
      </w:r>
    </w:p>
    <w:p w:rsidR="00B73061" w:rsidRPr="00990D3B" w:rsidP="002716A5" w14:paraId="307651C8" w14:textId="4DD54BBA">
      <w:pPr>
        <w:pStyle w:val="Paragraph0"/>
      </w:pPr>
      <w:r w:rsidRPr="00990D3B">
        <w:t xml:space="preserve">This protocol requires </w:t>
      </w:r>
      <w:r w:rsidRPr="00990D3B" w:rsidR="00596280">
        <w:t>EQROs</w:t>
      </w:r>
      <w:r w:rsidRPr="00990D3B">
        <w:t xml:space="preserve"> to assess the extent to which any change in performance is statistically significant; however, it does not specify a level of statistical significance that must be met. MCPs should indicate the level of statistical significance used in the analysis and which findings were statistically significant.</w:t>
      </w:r>
    </w:p>
    <w:p w:rsidR="00102B29" w:rsidRPr="00990D3B" w:rsidP="00BD1FC3" w14:paraId="13AFDC7A" w14:textId="6B9503B3">
      <w:pPr>
        <w:pStyle w:val="H3"/>
      </w:pPr>
      <w:bookmarkStart w:id="151" w:name="P1A1Step8"/>
      <w:bookmarkStart w:id="152" w:name="_Toc493246364"/>
      <w:bookmarkStart w:id="153" w:name="_Toc496116368"/>
      <w:bookmarkEnd w:id="151"/>
      <w:r w:rsidRPr="00990D3B">
        <w:t>Step</w:t>
      </w:r>
      <w:r w:rsidRPr="00990D3B">
        <w:t xml:space="preserve"> 8: </w:t>
      </w:r>
      <w:r w:rsidRPr="00990D3B" w:rsidR="00AD79CC">
        <w:t xml:space="preserve">Assess the </w:t>
      </w:r>
      <w:r w:rsidRPr="00990D3B" w:rsidR="005E3EEE">
        <w:t xml:space="preserve">PIP </w:t>
      </w:r>
      <w:r w:rsidRPr="00990D3B" w:rsidR="00AD79CC">
        <w:t>Improvement Strategies</w:t>
      </w:r>
      <w:bookmarkEnd w:id="152"/>
      <w:bookmarkEnd w:id="153"/>
    </w:p>
    <w:p w:rsidR="009176F0" w:rsidRPr="00990D3B" w:rsidP="00637811" w14:paraId="2675F13E" w14:textId="4C82D079">
      <w:pPr>
        <w:pStyle w:val="ParagraphContinued"/>
      </w:pPr>
      <w:r w:rsidRPr="00990D3B">
        <w:rPr>
          <w:noProof/>
        </w:rPr>
        <mc:AlternateContent>
          <mc:Choice Requires="wps">
            <w:drawing>
              <wp:anchor distT="0" distB="0" distL="114300" distR="114300" simplePos="0" relativeHeight="251721728" behindDoc="0" locked="0" layoutInCell="1" allowOverlap="1">
                <wp:simplePos x="0" y="0"/>
                <wp:positionH relativeFrom="column">
                  <wp:posOffset>3549650</wp:posOffset>
                </wp:positionH>
                <wp:positionV relativeFrom="paragraph">
                  <wp:posOffset>407670</wp:posOffset>
                </wp:positionV>
                <wp:extent cx="2195195" cy="1453515"/>
                <wp:effectExtent l="19050" t="19050" r="0" b="0"/>
                <wp:wrapTight wrapText="bothSides">
                  <wp:wrapPolygon>
                    <wp:start x="21787" y="21883"/>
                    <wp:lineTo x="21787" y="76"/>
                    <wp:lineTo x="44" y="76"/>
                    <wp:lineTo x="44" y="21883"/>
                    <wp:lineTo x="21787" y="21883"/>
                  </wp:wrapPolygon>
                </wp:wrapTight>
                <wp:docPr id="1502264574" name="Text Box 20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453515"/>
                        </a:xfrm>
                        <a:prstGeom prst="rect">
                          <a:avLst/>
                        </a:prstGeom>
                        <a:solidFill>
                          <a:srgbClr val="EEF5F8"/>
                        </a:solidFill>
                        <a:ln w="28575" cap="rnd">
                          <a:solidFill>
                            <a:srgbClr val="A5DAD9"/>
                          </a:solidFill>
                          <a:prstDash val="solid"/>
                          <a:miter lim="800000"/>
                          <a:headEnd/>
                          <a:tailEnd/>
                        </a:ln>
                      </wps:spPr>
                      <wps:txbx>
                        <w:txbxContent>
                          <w:p w:rsidR="00ED33C3" w:rsidP="003D4607" w14:textId="77777777">
                            <w:pPr>
                              <w:pStyle w:val="EQRTextboxheading"/>
                            </w:pPr>
                            <w:r w:rsidRPr="003D4607">
                              <w:t>Resource for Activity 1, Step 8</w:t>
                            </w:r>
                          </w:p>
                          <w:p w:rsidR="00ED33C3" w:rsidRPr="003D4607" w:rsidP="003D4607" w14:textId="0AE84463">
                            <w:pPr>
                              <w:pStyle w:val="EQRTextboxbody"/>
                            </w:pPr>
                            <w:hyperlink w:anchor="WSp1n8" w:history="1">
                              <w:r w:rsidRPr="001C6D28">
                                <w:rPr>
                                  <w:rStyle w:val="Hyperlink"/>
                                </w:rPr>
                                <w:t>Worksheet 1.8. Assess the Improvement Strategies</w:t>
                              </w:r>
                            </w:hyperlink>
                          </w:p>
                          <w:p w:rsidR="00ED33C3" w:rsidRPr="0090682E" w:rsidP="003D4607" w14:textId="2C291147">
                            <w:pPr>
                              <w:pStyle w:val="EQRTextboxbullet"/>
                              <w:rPr>
                                <w:spacing w:val="-2"/>
                              </w:rPr>
                            </w:pPr>
                            <w:r w:rsidRPr="003D4607">
                              <w:t>Provides a template for assessing whether the selected improvement strategies were appropriate for achieving improvement</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3" o:spid="_x0000_s1065" type="#_x0000_t202" style="width:172.85pt;height:114.45pt;margin-top:32.1pt;margin-left:279.5pt;flip:y;mso-height-percent:0;mso-height-relative:page;mso-width-percent:0;mso-width-relative:page;mso-wrap-distance-bottom:0;mso-wrap-distance-left:9pt;mso-wrap-distance-right:9pt;mso-wrap-distance-top:0;mso-wrap-style:square;position:absolute;rotation:180;visibility:visible;v-text-anchor:top;z-index:251722752" fillcolor="#eef5f8" strokecolor="#a5dad9" strokeweight="2.25pt">
                <v:stroke endcap="round"/>
                <v:textbox style="mso-fit-shape-to-text:t" inset="8.64pt,,8.64pt">
                  <w:txbxContent>
                    <w:p w:rsidR="00ED33C3" w:rsidP="003D4607" w14:paraId="3C668622" w14:textId="77777777">
                      <w:pPr>
                        <w:pStyle w:val="EQRTextboxheading"/>
                      </w:pPr>
                      <w:r w:rsidRPr="003D4607">
                        <w:t>Resource for Activity 1, Step 8</w:t>
                      </w:r>
                    </w:p>
                    <w:p w:rsidR="00ED33C3" w:rsidRPr="003D4607" w:rsidP="003D4607" w14:paraId="1242B5BD" w14:textId="0AE84463">
                      <w:pPr>
                        <w:pStyle w:val="EQRTextboxbody"/>
                      </w:pPr>
                      <w:hyperlink w:anchor="WSp1n8" w:history="1">
                        <w:r w:rsidRPr="001C6D28">
                          <w:rPr>
                            <w:rStyle w:val="Hyperlink"/>
                          </w:rPr>
                          <w:t>Worksheet 1.8. Assess the Improvement Strategies</w:t>
                        </w:r>
                      </w:hyperlink>
                    </w:p>
                    <w:p w:rsidR="00ED33C3" w:rsidRPr="0090682E" w:rsidP="003D4607" w14:paraId="115C6D38" w14:textId="2C291147">
                      <w:pPr>
                        <w:pStyle w:val="EQRTextboxbullet"/>
                        <w:rPr>
                          <w:spacing w:val="-2"/>
                        </w:rPr>
                      </w:pPr>
                      <w:r w:rsidRPr="003D4607">
                        <w:t>Provides a template for assessing whether the selected improvement strategies were appropriate for achieving improvement</w:t>
                      </w:r>
                    </w:p>
                  </w:txbxContent>
                </v:textbox>
                <w10:wrap type="tight"/>
              </v:shape>
            </w:pict>
          </mc:Fallback>
        </mc:AlternateContent>
      </w:r>
      <w:r w:rsidRPr="00990D3B">
        <w:rPr>
          <w:noProof/>
        </w:rPr>
        <mc:AlternateContent>
          <mc:Choice Requires="wps">
            <w:drawing>
              <wp:anchor distT="0" distB="0" distL="114300" distR="114300" simplePos="0" relativeHeight="251723776" behindDoc="0" locked="0" layoutInCell="1" allowOverlap="1">
                <wp:simplePos x="0" y="0"/>
                <wp:positionH relativeFrom="column">
                  <wp:posOffset>3549650</wp:posOffset>
                </wp:positionH>
                <wp:positionV relativeFrom="paragraph">
                  <wp:posOffset>46990</wp:posOffset>
                </wp:positionV>
                <wp:extent cx="2194560" cy="297815"/>
                <wp:effectExtent l="19050" t="19050" r="0" b="7620"/>
                <wp:wrapTight wrapText="bothSides">
                  <wp:wrapPolygon>
                    <wp:start x="21788" y="22985"/>
                    <wp:lineTo x="21788" y="-554"/>
                    <wp:lineTo x="38" y="-554"/>
                    <wp:lineTo x="38" y="22985"/>
                    <wp:lineTo x="21788" y="22985"/>
                  </wp:wrapPolygon>
                </wp:wrapTight>
                <wp:docPr id="2085464160" name="Text Box 20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A978CE" w14:textId="3D0E43F7">
                            <w:pPr>
                              <w:pStyle w:val="EQRWORKSHEETText"/>
                              <w:rPr>
                                <w:spacing w:val="-2"/>
                              </w:rPr>
                            </w:pPr>
                            <w:hyperlink w:anchor="WSp1n8" w:tooltip="WORKSHEET 1.8" w:history="1">
                              <w:r>
                                <w:rPr>
                                  <w:rStyle w:val="Hyperlink"/>
                                  <w:color w:val="006981"/>
                                </w:rPr>
                                <w:t>WORKSHEET 1.8</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2" o:spid="_x0000_s1066" type="#_x0000_t202" style="width:172.8pt;height:23.45pt;margin-top:3.7pt;margin-left:279.5pt;flip:y;mso-height-percent:0;mso-height-relative:page;mso-width-percent:0;mso-width-relative:page;mso-wrap-distance-bottom:0;mso-wrap-distance-left:9pt;mso-wrap-distance-right:9pt;mso-wrap-distance-top:0;mso-wrap-style:square;position:absolute;rotation:180;visibility:visible;v-text-anchor:top;z-index:251724800" fillcolor="#eef5f8" strokecolor="#a5dad9" strokeweight="2.25pt">
                <v:stroke endcap="round"/>
                <v:textbox style="mso-fit-shape-to-text:t" inset="8.64pt,,8.64pt">
                  <w:txbxContent>
                    <w:p w:rsidR="00ED33C3" w:rsidRPr="0090682E" w:rsidP="00A978CE" w14:paraId="435E8491" w14:textId="3D0E43F7">
                      <w:pPr>
                        <w:pStyle w:val="EQRWORKSHEETText"/>
                        <w:rPr>
                          <w:spacing w:val="-2"/>
                        </w:rPr>
                      </w:pPr>
                      <w:hyperlink w:anchor="WSp1n8" w:tooltip="WORKSHEET 1.8" w:history="1">
                        <w:r>
                          <w:rPr>
                            <w:rStyle w:val="Hyperlink"/>
                            <w:color w:val="006981"/>
                          </w:rPr>
                          <w:t>WORKSHEET 1.8</w:t>
                        </w:r>
                      </w:hyperlink>
                    </w:p>
                  </w:txbxContent>
                </v:textbox>
                <w10:wrap type="tight"/>
              </v:shape>
            </w:pict>
          </mc:Fallback>
        </mc:AlternateContent>
      </w:r>
      <w:r w:rsidRPr="00990D3B" w:rsidR="009176F0">
        <w:t xml:space="preserve">In this step, the EQRO assesses the appropriateness of the interventions for achieving improvement. This assessment builds on </w:t>
      </w:r>
      <w:r w:rsidRPr="00990D3B" w:rsidR="00806BE6">
        <w:t>the interpretation of PIP results</w:t>
      </w:r>
      <w:r w:rsidRPr="00990D3B" w:rsidR="009176F0">
        <w:t xml:space="preserve"> in </w:t>
      </w:r>
      <w:hyperlink w:anchor="P1A1Step7" w:tooltip="Step 7" w:history="1">
        <w:r w:rsidRPr="00990D3B" w:rsidR="009176F0">
          <w:rPr>
            <w:rStyle w:val="Hyperlink"/>
            <w:color w:val="auto"/>
          </w:rPr>
          <w:t>Step 7</w:t>
        </w:r>
      </w:hyperlink>
      <w:r w:rsidRPr="00990D3B" w:rsidR="009176F0">
        <w:t xml:space="preserve">. Significant, sustained improvement results from developing and implementing effective improvement strategies (including </w:t>
      </w:r>
      <w:r w:rsidRPr="00990D3B" w:rsidR="00952333">
        <w:t xml:space="preserve">culturally and linguistically appropriate strategies </w:t>
      </w:r>
      <w:r w:rsidRPr="00990D3B" w:rsidR="009176F0">
        <w:t xml:space="preserve">for the target population). Selected strategies should be evidence-based, that is, there should be existing evidence (published or unpublished) suggesting that the test of change would be likely to lead to the desired improvement in processes or outcomes (as measured by the variables). </w:t>
      </w:r>
      <w:r w:rsidRPr="00990D3B" w:rsidR="00084737">
        <w:t xml:space="preserve">Using the criteria in </w:t>
      </w:r>
      <w:hyperlink w:anchor="WSp1n8" w:tooltip="Worksheet 1.8" w:history="1">
        <w:r w:rsidRPr="00990D3B" w:rsidR="00084737">
          <w:rPr>
            <w:rStyle w:val="Hyperlink"/>
          </w:rPr>
          <w:t>Worksheet 1.8</w:t>
        </w:r>
      </w:hyperlink>
      <w:r w:rsidRPr="00990D3B" w:rsidR="00084737">
        <w:t>, the EQRO should assess whether the</w:t>
      </w:r>
      <w:r w:rsidRPr="00990D3B" w:rsidR="0034525A">
        <w:t>re is evidence that the</w:t>
      </w:r>
      <w:r w:rsidRPr="00990D3B" w:rsidR="00084737">
        <w:t xml:space="preserve"> </w:t>
      </w:r>
      <w:r w:rsidRPr="00990D3B" w:rsidR="00022B54">
        <w:t>selected interventions were appropriate to achieve the aim of the PIP.</w:t>
      </w:r>
    </w:p>
    <w:p w:rsidR="004C3660" w:rsidRPr="00990D3B" w:rsidP="002716A5" w14:paraId="46707460" w14:textId="7A21D9BF">
      <w:pPr>
        <w:pStyle w:val="Paragraph0"/>
      </w:pPr>
      <w:r w:rsidRPr="00990D3B">
        <w:t xml:space="preserve">A common approach to guide </w:t>
      </w:r>
      <w:r w:rsidRPr="00990D3B" w:rsidR="00C57416">
        <w:t xml:space="preserve">quality </w:t>
      </w:r>
      <w:r w:rsidRPr="00990D3B">
        <w:t xml:space="preserve">improvement work </w:t>
      </w:r>
      <w:r w:rsidRPr="00990D3B" w:rsidR="00890EAD">
        <w:t>is</w:t>
      </w:r>
      <w:r w:rsidRPr="00990D3B" w:rsidR="00AC0306">
        <w:t xml:space="preserve"> the Institute for Healthcare Improvemen</w:t>
      </w:r>
      <w:r w:rsidRPr="00990D3B" w:rsidR="00890EAD">
        <w:t>t</w:t>
      </w:r>
      <w:r w:rsidRPr="00990D3B" w:rsidR="00C715F2">
        <w:t>’s</w:t>
      </w:r>
      <w:r w:rsidRPr="00990D3B" w:rsidR="00890EAD">
        <w:t xml:space="preserve"> (IHI) Model for Improvement</w:t>
      </w:r>
      <w:r w:rsidRPr="00990D3B" w:rsidR="00FE06D8">
        <w:t xml:space="preserve"> (</w:t>
      </w:r>
      <w:r w:rsidRPr="00990D3B" w:rsidR="005F411F">
        <w:t xml:space="preserve">see </w:t>
      </w:r>
      <w:hyperlink w:anchor="Box1n4" w:tooltip="Box 1.4" w:history="1">
        <w:r w:rsidRPr="00990D3B" w:rsidR="005F411F">
          <w:rPr>
            <w:rStyle w:val="Hyperlink"/>
          </w:rPr>
          <w:t>Box 1.</w:t>
        </w:r>
        <w:r w:rsidRPr="00990D3B" w:rsidR="00187BAA">
          <w:rPr>
            <w:rStyle w:val="Hyperlink"/>
          </w:rPr>
          <w:t>4</w:t>
        </w:r>
      </w:hyperlink>
      <w:r w:rsidRPr="00990D3B" w:rsidR="00D0414A">
        <w:rPr>
          <w:rStyle w:val="Hyperlink"/>
          <w:color w:val="auto"/>
        </w:rPr>
        <w:t>, next page</w:t>
      </w:r>
      <w:r w:rsidRPr="00990D3B" w:rsidR="00187BAA">
        <w:t>)</w:t>
      </w:r>
      <w:r w:rsidRPr="00990D3B" w:rsidR="00AC0306">
        <w:t xml:space="preserve">. </w:t>
      </w:r>
      <w:r w:rsidRPr="00990D3B" w:rsidR="00632539">
        <w:t>After using this model to define the parameters for the improvement effort, t</w:t>
      </w:r>
      <w:r w:rsidRPr="00990D3B" w:rsidR="00AC0306">
        <w:t xml:space="preserve">he </w:t>
      </w:r>
      <w:r w:rsidRPr="00990D3B" w:rsidR="00947745">
        <w:t xml:space="preserve">MCP </w:t>
      </w:r>
      <w:r w:rsidRPr="00990D3B" w:rsidR="00AC0306">
        <w:t>may test changes on a small scale using PDSA cycles</w:t>
      </w:r>
      <w:r w:rsidRPr="00990D3B" w:rsidR="007B511C">
        <w:t xml:space="preserve">. </w:t>
      </w:r>
      <w:r w:rsidRPr="00990D3B" w:rsidR="00632539">
        <w:t xml:space="preserve">PDSA cycles provide a methodology to test changes on a small scale and </w:t>
      </w:r>
      <w:r w:rsidRPr="00990D3B" w:rsidR="003D7E52">
        <w:t>apply rapid-cycle learning principles to adjust intervention strategies throughout</w:t>
      </w:r>
      <w:r w:rsidRPr="00990D3B" w:rsidR="00632539">
        <w:t xml:space="preserve"> the improvement. </w:t>
      </w:r>
      <w:r w:rsidRPr="00990D3B" w:rsidR="00AC0306">
        <w:t>Th</w:t>
      </w:r>
      <w:r w:rsidRPr="00990D3B" w:rsidR="00632539">
        <w:t>is</w:t>
      </w:r>
      <w:r w:rsidRPr="00990D3B" w:rsidR="00AC0306">
        <w:t xml:space="preserve"> approach </w:t>
      </w:r>
      <w:r w:rsidRPr="00990D3B" w:rsidR="00632539">
        <w:t xml:space="preserve">involves </w:t>
      </w:r>
      <w:r w:rsidRPr="00990D3B" w:rsidR="00AC0306">
        <w:t xml:space="preserve">a continuous cycle of measuring and analyzing performance and requires frequent review and adjustment. Data </w:t>
      </w:r>
      <w:r w:rsidRPr="00990D3B" w:rsidR="00AC0306">
        <w:t>are</w:t>
      </w:r>
      <w:r w:rsidRPr="00990D3B" w:rsidR="00AC0306">
        <w:t xml:space="preserve"> evaluated </w:t>
      </w:r>
      <w:r w:rsidRPr="00990D3B" w:rsidR="005E3EEE">
        <w:t>regularly,</w:t>
      </w:r>
      <w:r w:rsidRPr="00990D3B" w:rsidR="00AC0306">
        <w:t xml:space="preserve"> and interventions are adapted based on what was learned. </w:t>
      </w:r>
      <w:r w:rsidRPr="00990D3B" w:rsidR="00632539">
        <w:t>Interventions can then be scaled to larger settings or populations if found effective.</w:t>
      </w:r>
      <w:r w:rsidRPr="00990D3B" w:rsidR="00EF7941">
        <w:t xml:space="preserve"> </w:t>
      </w:r>
      <w:r w:rsidRPr="00990D3B" w:rsidR="00AC0306">
        <w:t>PIPs based on the Model for Improvement</w:t>
      </w:r>
      <w:r w:rsidRPr="00990D3B" w:rsidR="00632539">
        <w:t xml:space="preserve"> and PDSA process</w:t>
      </w:r>
      <w:r w:rsidRPr="00990D3B" w:rsidR="00AC0306">
        <w:t xml:space="preserve"> </w:t>
      </w:r>
      <w:r w:rsidRPr="00990D3B" w:rsidR="00632539">
        <w:t xml:space="preserve">are </w:t>
      </w:r>
      <w:r w:rsidRPr="00990D3B" w:rsidR="00AC0306">
        <w:t xml:space="preserve">sometimes </w:t>
      </w:r>
      <w:r w:rsidRPr="00990D3B" w:rsidR="005E3EEE">
        <w:t>called</w:t>
      </w:r>
      <w:r w:rsidRPr="00990D3B" w:rsidR="00AC0306">
        <w:t xml:space="preserve"> rapid-cycle PIPs</w:t>
      </w:r>
      <w:r w:rsidRPr="00990D3B" w:rsidR="00632539">
        <w:t>.</w:t>
      </w:r>
      <w:r w:rsidRPr="00990D3B" w:rsidR="00AC0306">
        <w:t xml:space="preserve"> </w:t>
      </w:r>
      <w:r w:rsidRPr="00990D3B" w:rsidR="00ED37C7">
        <w:t xml:space="preserve">The EQRO can use </w:t>
      </w:r>
      <w:r w:rsidRPr="00990D3B" w:rsidR="00F02FA9">
        <w:t>results</w:t>
      </w:r>
      <w:r w:rsidRPr="00990D3B" w:rsidR="00ED37C7">
        <w:t xml:space="preserve"> from </w:t>
      </w:r>
      <w:r w:rsidRPr="00990D3B" w:rsidR="00F02FA9">
        <w:t xml:space="preserve">PDSA cycles to </w:t>
      </w:r>
      <w:r w:rsidRPr="00990D3B" w:rsidR="002002DF">
        <w:t>inform its assessment of the appropriateness of interventions to achieve the aim of the PIP.</w:t>
      </w:r>
    </w:p>
    <w:p w:rsidR="00A978CE" w:rsidRPr="00990D3B" w:rsidP="00BD1FC3" w14:paraId="53093FA1" w14:textId="09A8B9B5">
      <w:pPr>
        <w:pStyle w:val="Paragraph0"/>
      </w:pPr>
      <w:r w:rsidRPr="00990D3B">
        <w:rPr>
          <w:noProof/>
        </w:rPr>
        <mc:AlternateContent>
          <mc:Choice Requires="wps">
            <w:drawing>
              <wp:inline distT="0" distB="0" distL="0" distR="0">
                <wp:extent cx="5897880" cy="1567180"/>
                <wp:effectExtent l="19050" t="19050" r="7620" b="0"/>
                <wp:docPr id="607414765" name="Text Box 20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897880" cy="1567180"/>
                        </a:xfrm>
                        <a:prstGeom prst="rect">
                          <a:avLst/>
                        </a:prstGeom>
                        <a:solidFill>
                          <a:srgbClr val="EEF5F8"/>
                        </a:solidFill>
                        <a:ln w="28575" cap="rnd">
                          <a:solidFill>
                            <a:srgbClr val="A5DAD9"/>
                          </a:solidFill>
                          <a:prstDash val="solid"/>
                          <a:miter lim="800000"/>
                          <a:headEnd/>
                          <a:tailEnd/>
                        </a:ln>
                      </wps:spPr>
                      <wps:txbx>
                        <w:txbxContent>
                          <w:p w:rsidR="00ED33C3" w:rsidRPr="00886C98" w:rsidP="00886C98" w14:textId="77777777">
                            <w:pPr>
                              <w:pStyle w:val="EQRTextboxheading"/>
                              <w:rPr>
                                <w:rFonts w:ascii="Arial" w:hAnsi="Arial"/>
                              </w:rPr>
                            </w:pPr>
                            <w:bookmarkStart w:id="154" w:name="Box1n4"/>
                            <w:bookmarkEnd w:id="154"/>
                            <w:r w:rsidRPr="00886C98">
                              <w:t xml:space="preserve">Box 1.4. Using the IHI Model for Improvement to Assess Improvement Strategies </w:t>
                            </w:r>
                          </w:p>
                          <w:p w:rsidR="00ED33C3" w:rsidRPr="00F711A9" w:rsidP="00977167" w14:textId="77777777">
                            <w:pPr>
                              <w:pStyle w:val="EQRTextboxbody"/>
                              <w:rPr>
                                <w:b/>
                              </w:rPr>
                            </w:pPr>
                            <w:r w:rsidRPr="00F711A9">
                              <w:t xml:space="preserve">The </w:t>
                            </w:r>
                            <w:r w:rsidRPr="006F4774">
                              <w:rPr>
                                <w:b/>
                                <w:bCs/>
                              </w:rPr>
                              <w:t>IHI Model for Improvement</w:t>
                            </w:r>
                            <w:r w:rsidRPr="00F711A9">
                              <w:t xml:space="preserve"> provides a framework for conducting improvement work. The Model asks three questions:</w:t>
                            </w:r>
                          </w:p>
                          <w:p w:rsidR="00ED33C3" w:rsidP="00977167" w14:textId="77777777">
                            <w:pPr>
                              <w:pStyle w:val="EQRTextboxbullet"/>
                            </w:pPr>
                            <w:r>
                              <w:t>What is your aim, and by when do you want to accomplish the aim?</w:t>
                            </w:r>
                          </w:p>
                          <w:p w:rsidR="00ED33C3" w:rsidP="00977167" w14:textId="77777777">
                            <w:pPr>
                              <w:pStyle w:val="EQRTextboxbullet"/>
                            </w:pPr>
                            <w:r>
                              <w:t>How will you know that a change is an improvement?</w:t>
                            </w:r>
                          </w:p>
                          <w:p w:rsidR="00ED33C3" w:rsidP="00977167" w14:textId="77777777">
                            <w:pPr>
                              <w:pStyle w:val="EQRTextboxbullet"/>
                            </w:pPr>
                            <w:r>
                              <w:t>What changes can you put in place to achieve your aim?</w:t>
                            </w:r>
                          </w:p>
                          <w:p w:rsidR="00ED33C3" w:rsidRPr="00C46C30" w:rsidP="00977167" w14:textId="77777777">
                            <w:pPr>
                              <w:pStyle w:val="EQRTextboxbody"/>
                            </w:pPr>
                            <w:r>
                              <w:t xml:space="preserve">A </w:t>
                            </w:r>
                            <w:r>
                              <w:rPr>
                                <w:b/>
                                <w:bCs/>
                              </w:rPr>
                              <w:t>PDSA</w:t>
                            </w:r>
                            <w:r>
                              <w:t xml:space="preserve"> cycle is used to structure the testing</w:t>
                            </w:r>
                            <w:r>
                              <w:rPr>
                                <w:b/>
                              </w:rPr>
                              <w:t xml:space="preserve"> </w:t>
                            </w:r>
                            <w:r w:rsidRPr="00F231C2">
                              <w:rPr>
                                <w:bCs/>
                              </w:rPr>
                              <w:t>of</w:t>
                            </w:r>
                            <w:r>
                              <w:rPr>
                                <w:b/>
                              </w:rPr>
                              <w:t xml:space="preserve"> </w:t>
                            </w:r>
                            <w:r>
                              <w:rPr>
                                <w:bCs/>
                              </w:rPr>
                              <w:t>improvement strategies</w:t>
                            </w:r>
                            <w:r>
                              <w:rPr>
                                <w:b/>
                              </w:rPr>
                              <w:t xml:space="preserve">. </w:t>
                            </w:r>
                            <w:r w:rsidRPr="00C46C30">
                              <w:t>The</w:t>
                            </w:r>
                            <w:r w:rsidRPr="00A771AF">
                              <w:t xml:space="preserve"> steps in the PDSA cycle a</w:t>
                            </w:r>
                            <w:r w:rsidRPr="00C46C30">
                              <w:t>re to:</w:t>
                            </w:r>
                          </w:p>
                          <w:p w:rsidR="00ED33C3" w:rsidRPr="00C46C30" w:rsidP="00977167" w14:textId="77777777">
                            <w:pPr>
                              <w:pStyle w:val="EQRTextboxbullet"/>
                            </w:pPr>
                            <w:r w:rsidRPr="002F2418">
                              <w:rPr>
                                <w:b/>
                                <w:bCs/>
                              </w:rPr>
                              <w:t>Plan.</w:t>
                            </w:r>
                            <w:r w:rsidRPr="001349C0">
                              <w:t xml:space="preserve"> Plan t</w:t>
                            </w:r>
                            <w:r w:rsidRPr="00C46C30">
                              <w:t>he test or observation, including a plan for collecting data, and interpreting results</w:t>
                            </w:r>
                          </w:p>
                          <w:p w:rsidR="00ED33C3" w:rsidP="000F67F7" w14:textId="77777777">
                            <w:pPr>
                              <w:pStyle w:val="EQRTextboxbullet"/>
                            </w:pPr>
                            <w:r w:rsidRPr="006F4774">
                              <w:rPr>
                                <w:b/>
                                <w:bCs/>
                              </w:rPr>
                              <w:t>Do.</w:t>
                            </w:r>
                            <w:r w:rsidRPr="001349C0">
                              <w:t xml:space="preserve"> Try o</w:t>
                            </w:r>
                            <w:r w:rsidRPr="00C46C30">
                              <w:t>ut the test on a small scale</w:t>
                            </w:r>
                          </w:p>
                          <w:p w:rsidR="00ED33C3" w:rsidP="000F67F7" w14:textId="77777777">
                            <w:pPr>
                              <w:pStyle w:val="EQRTextboxbullet"/>
                            </w:pPr>
                            <w:r w:rsidRPr="006F4774">
                              <w:rPr>
                                <w:b/>
                                <w:bCs/>
                              </w:rPr>
                              <w:t>Study.</w:t>
                            </w:r>
                            <w:r w:rsidRPr="001349C0">
                              <w:t xml:space="preserve"> Set asi</w:t>
                            </w:r>
                            <w:r w:rsidRPr="00C46C30">
                              <w:t>de time to analyze the data and assess the results</w:t>
                            </w:r>
                          </w:p>
                          <w:p w:rsidR="00ED33C3" w:rsidP="000F67F7" w14:textId="10523C96">
                            <w:pPr>
                              <w:pStyle w:val="EQRTextboxbullet"/>
                            </w:pPr>
                            <w:r w:rsidRPr="006F4774">
                              <w:rPr>
                                <w:b/>
                                <w:bCs/>
                              </w:rPr>
                              <w:t>Act.</w:t>
                            </w:r>
                            <w:r w:rsidRPr="001349C0">
                              <w:t xml:space="preserve"> Refine the cha</w:t>
                            </w:r>
                            <w:r w:rsidRPr="00C46C30">
                              <w:t>nge, based on what was learned from the test. Determine how to sustain the intervention, if successful</w:t>
                            </w:r>
                          </w:p>
                          <w:p w:rsidR="00ED33C3" w:rsidRPr="00865483" w:rsidP="006F4774" w14:textId="47581C29">
                            <w:pPr>
                              <w:pStyle w:val="EQRTextboxbody"/>
                            </w:pPr>
                            <w:r w:rsidRPr="00D85531">
                              <w:t>Th</w:t>
                            </w:r>
                            <w:r>
                              <w:t>is</w:t>
                            </w:r>
                            <w:r w:rsidRPr="00D85531">
                              <w:t xml:space="preserve"> information about the Model for </w:t>
                            </w:r>
                            <w:r w:rsidRPr="00865483">
                              <w:t xml:space="preserve">Improvement and PDSA approach was adapted from the Institute for Healthcare Improvement, available at </w:t>
                            </w:r>
                            <w:hyperlink r:id="rId62" w:tooltip="Science of Improvement: Testing Changes" w:history="1">
                              <w:r w:rsidRPr="00865483" w:rsidR="008A0B7A">
                                <w:rPr>
                                  <w:rStyle w:val="Hyperlink"/>
                                </w:rPr>
                                <w:t>https://www.ihi.org/resources/how-improve-model-improvement</w:t>
                              </w:r>
                            </w:hyperlink>
                            <w:r w:rsidRPr="00865483">
                              <w:t xml:space="preserve">. </w:t>
                            </w:r>
                          </w:p>
                          <w:p w:rsidR="00ED33C3" w:rsidRPr="0091147D" w:rsidP="00977167" w14:textId="491A8D5D">
                            <w:pPr>
                              <w:pStyle w:val="EQRTextboxbody"/>
                            </w:pPr>
                            <w:r w:rsidRPr="00865483">
                              <w:t xml:space="preserve">An additional source of information is the Agency for Healthcare Research and Quality’s Health Care Innovations Exchange, available at </w:t>
                            </w:r>
                            <w:hyperlink r:id="rId107" w:history="1">
                              <w:r w:rsidRPr="00865483" w:rsidR="008A0B7A">
                                <w:rPr>
                                  <w:rStyle w:val="Hyperlink"/>
                                </w:rPr>
                                <w:t>https://www.ahrq.gov/health-literacy/improve/precautions/tool2b.html</w:t>
                              </w:r>
                            </w:hyperlink>
                            <w:r w:rsidRPr="00865483">
                              <w:t>.</w:t>
                            </w:r>
                          </w:p>
                        </w:txbxContent>
                      </wps:txbx>
                      <wps:bodyPr rot="0" vert="horz" wrap="square" lIns="109728" tIns="45720" rIns="109728" bIns="45720" anchor="t" anchorCtr="0" upright="1">
                        <a:spAutoFit/>
                      </wps:bodyPr>
                    </wps:wsp>
                  </a:graphicData>
                </a:graphic>
              </wp:inline>
            </w:drawing>
          </mc:Choice>
          <mc:Fallback>
            <w:pict>
              <v:shape id="Text Box 201" o:spid="_x0000_i1067" type="#_x0000_t202" style="width:464.4pt;height:123.4pt;flip:y;mso-left-percent:-10001;mso-position-horizontal-relative:char;mso-position-vertical-relative:line;mso-top-percent:-10001;mso-wrap-style:square;rotation:180;visibility:visible;v-text-anchor:top" fillcolor="#eef5f8" strokecolor="#a5dad9" strokeweight="2.25pt">
                <v:stroke endcap="round"/>
                <v:textbox style="mso-fit-shape-to-text:t" inset="8.64pt,,8.64pt">
                  <w:txbxContent>
                    <w:p w:rsidR="00ED33C3" w:rsidRPr="00886C98" w:rsidP="00886C98" w14:paraId="16DE517D" w14:textId="77777777">
                      <w:pPr>
                        <w:pStyle w:val="EQRTextboxheading"/>
                        <w:rPr>
                          <w:rFonts w:ascii="Arial" w:hAnsi="Arial"/>
                        </w:rPr>
                      </w:pPr>
                      <w:bookmarkStart w:id="154" w:name="Box1n4"/>
                      <w:bookmarkEnd w:id="154"/>
                      <w:r w:rsidRPr="00886C98">
                        <w:t xml:space="preserve">Box 1.4. Using the IHI Model for Improvement to Assess Improvement Strategies </w:t>
                      </w:r>
                    </w:p>
                    <w:p w:rsidR="00ED33C3" w:rsidRPr="00F711A9" w:rsidP="00977167" w14:paraId="4B9381B4" w14:textId="77777777">
                      <w:pPr>
                        <w:pStyle w:val="EQRTextboxbody"/>
                        <w:rPr>
                          <w:b/>
                        </w:rPr>
                      </w:pPr>
                      <w:r w:rsidRPr="00F711A9">
                        <w:t xml:space="preserve">The </w:t>
                      </w:r>
                      <w:r w:rsidRPr="006F4774">
                        <w:rPr>
                          <w:b/>
                          <w:bCs/>
                        </w:rPr>
                        <w:t>IHI Model for Improvement</w:t>
                      </w:r>
                      <w:r w:rsidRPr="00F711A9">
                        <w:t xml:space="preserve"> provides a framework for conducting improvement work. The Model asks three questions:</w:t>
                      </w:r>
                    </w:p>
                    <w:p w:rsidR="00ED33C3" w:rsidP="00977167" w14:paraId="74E3BA0B" w14:textId="77777777">
                      <w:pPr>
                        <w:pStyle w:val="EQRTextboxbullet"/>
                      </w:pPr>
                      <w:r>
                        <w:t>What is your aim, and by when do you want to accomplish the aim?</w:t>
                      </w:r>
                    </w:p>
                    <w:p w:rsidR="00ED33C3" w:rsidP="00977167" w14:paraId="5F65282A" w14:textId="77777777">
                      <w:pPr>
                        <w:pStyle w:val="EQRTextboxbullet"/>
                      </w:pPr>
                      <w:r>
                        <w:t>How will you know that a change is an improvement?</w:t>
                      </w:r>
                    </w:p>
                    <w:p w:rsidR="00ED33C3" w:rsidP="00977167" w14:paraId="46C2A9F3" w14:textId="77777777">
                      <w:pPr>
                        <w:pStyle w:val="EQRTextboxbullet"/>
                      </w:pPr>
                      <w:r>
                        <w:t>What changes can you put in place to achieve your aim?</w:t>
                      </w:r>
                    </w:p>
                    <w:p w:rsidR="00ED33C3" w:rsidRPr="00C46C30" w:rsidP="00977167" w14:paraId="34FEAF30" w14:textId="77777777">
                      <w:pPr>
                        <w:pStyle w:val="EQRTextboxbody"/>
                      </w:pPr>
                      <w:r>
                        <w:t xml:space="preserve">A </w:t>
                      </w:r>
                      <w:r>
                        <w:rPr>
                          <w:b/>
                          <w:bCs/>
                        </w:rPr>
                        <w:t>PDSA</w:t>
                      </w:r>
                      <w:r>
                        <w:t xml:space="preserve"> cycle is used to structure the testing</w:t>
                      </w:r>
                      <w:r>
                        <w:rPr>
                          <w:b/>
                        </w:rPr>
                        <w:t xml:space="preserve"> </w:t>
                      </w:r>
                      <w:r w:rsidRPr="00F231C2">
                        <w:rPr>
                          <w:bCs/>
                        </w:rPr>
                        <w:t>of</w:t>
                      </w:r>
                      <w:r>
                        <w:rPr>
                          <w:b/>
                        </w:rPr>
                        <w:t xml:space="preserve"> </w:t>
                      </w:r>
                      <w:r>
                        <w:rPr>
                          <w:bCs/>
                        </w:rPr>
                        <w:t>improvement strategies</w:t>
                      </w:r>
                      <w:r>
                        <w:rPr>
                          <w:b/>
                        </w:rPr>
                        <w:t xml:space="preserve">. </w:t>
                      </w:r>
                      <w:r w:rsidRPr="00C46C30">
                        <w:t>The</w:t>
                      </w:r>
                      <w:r w:rsidRPr="00A771AF">
                        <w:t xml:space="preserve"> steps in the PDSA cycle a</w:t>
                      </w:r>
                      <w:r w:rsidRPr="00C46C30">
                        <w:t>re to:</w:t>
                      </w:r>
                    </w:p>
                    <w:p w:rsidR="00ED33C3" w:rsidRPr="00C46C30" w:rsidP="00977167" w14:paraId="29938B19" w14:textId="77777777">
                      <w:pPr>
                        <w:pStyle w:val="EQRTextboxbullet"/>
                      </w:pPr>
                      <w:r w:rsidRPr="002F2418">
                        <w:rPr>
                          <w:b/>
                          <w:bCs/>
                        </w:rPr>
                        <w:t>Plan.</w:t>
                      </w:r>
                      <w:r w:rsidRPr="001349C0">
                        <w:t xml:space="preserve"> Plan t</w:t>
                      </w:r>
                      <w:r w:rsidRPr="00C46C30">
                        <w:t>he test or observation, including a plan for collecting data, and interpreting results</w:t>
                      </w:r>
                    </w:p>
                    <w:p w:rsidR="00ED33C3" w:rsidP="000F67F7" w14:paraId="3904D472" w14:textId="77777777">
                      <w:pPr>
                        <w:pStyle w:val="EQRTextboxbullet"/>
                      </w:pPr>
                      <w:r w:rsidRPr="006F4774">
                        <w:rPr>
                          <w:b/>
                          <w:bCs/>
                        </w:rPr>
                        <w:t>Do.</w:t>
                      </w:r>
                      <w:r w:rsidRPr="001349C0">
                        <w:t xml:space="preserve"> Try o</w:t>
                      </w:r>
                      <w:r w:rsidRPr="00C46C30">
                        <w:t>ut the test on a small scale</w:t>
                      </w:r>
                    </w:p>
                    <w:p w:rsidR="00ED33C3" w:rsidP="000F67F7" w14:paraId="3DEAFF10" w14:textId="77777777">
                      <w:pPr>
                        <w:pStyle w:val="EQRTextboxbullet"/>
                      </w:pPr>
                      <w:r w:rsidRPr="006F4774">
                        <w:rPr>
                          <w:b/>
                          <w:bCs/>
                        </w:rPr>
                        <w:t>Study.</w:t>
                      </w:r>
                      <w:r w:rsidRPr="001349C0">
                        <w:t xml:space="preserve"> Set asi</w:t>
                      </w:r>
                      <w:r w:rsidRPr="00C46C30">
                        <w:t>de time to analyze the data and assess the results</w:t>
                      </w:r>
                    </w:p>
                    <w:p w:rsidR="00ED33C3" w:rsidP="000F67F7" w14:paraId="75EB9713" w14:textId="10523C96">
                      <w:pPr>
                        <w:pStyle w:val="EQRTextboxbullet"/>
                      </w:pPr>
                      <w:r w:rsidRPr="006F4774">
                        <w:rPr>
                          <w:b/>
                          <w:bCs/>
                        </w:rPr>
                        <w:t>Act.</w:t>
                      </w:r>
                      <w:r w:rsidRPr="001349C0">
                        <w:t xml:space="preserve"> Refine the cha</w:t>
                      </w:r>
                      <w:r w:rsidRPr="00C46C30">
                        <w:t>nge, based on what was learned from the test. Determine how to sustain the intervention, if successful</w:t>
                      </w:r>
                    </w:p>
                    <w:p w:rsidR="00ED33C3" w:rsidRPr="00865483" w:rsidP="006F4774" w14:paraId="6A0FB933" w14:textId="47581C29">
                      <w:pPr>
                        <w:pStyle w:val="EQRTextboxbody"/>
                      </w:pPr>
                      <w:r w:rsidRPr="00D85531">
                        <w:t>Th</w:t>
                      </w:r>
                      <w:r>
                        <w:t>is</w:t>
                      </w:r>
                      <w:r w:rsidRPr="00D85531">
                        <w:t xml:space="preserve"> information about the Model for </w:t>
                      </w:r>
                      <w:r w:rsidRPr="00865483">
                        <w:t xml:space="preserve">Improvement and PDSA approach was adapted from the Institute for Healthcare Improvement, available at </w:t>
                      </w:r>
                      <w:hyperlink r:id="rId62" w:tooltip="Science of Improvement: Testing Changes" w:history="1">
                        <w:r w:rsidRPr="00865483" w:rsidR="008A0B7A">
                          <w:rPr>
                            <w:rStyle w:val="Hyperlink"/>
                          </w:rPr>
                          <w:t>https://www.ihi.org/resources/how-improve-model-improvement</w:t>
                        </w:r>
                      </w:hyperlink>
                      <w:r w:rsidRPr="00865483">
                        <w:t xml:space="preserve">. </w:t>
                      </w:r>
                    </w:p>
                    <w:p w:rsidR="00ED33C3" w:rsidRPr="0091147D" w:rsidP="00977167" w14:paraId="5FC01E18" w14:textId="491A8D5D">
                      <w:pPr>
                        <w:pStyle w:val="EQRTextboxbody"/>
                      </w:pPr>
                      <w:r w:rsidRPr="00865483">
                        <w:t xml:space="preserve">An additional source of information is the Agency for Healthcare Research and Quality’s Health Care Innovations Exchange, available at </w:t>
                      </w:r>
                      <w:hyperlink r:id="rId107" w:history="1">
                        <w:r w:rsidRPr="00865483" w:rsidR="008A0B7A">
                          <w:rPr>
                            <w:rStyle w:val="Hyperlink"/>
                          </w:rPr>
                          <w:t>https://www.ahrq.gov/health-literacy/improve/precautions/tool2b.html</w:t>
                        </w:r>
                      </w:hyperlink>
                      <w:r w:rsidRPr="00865483">
                        <w:t>.</w:t>
                      </w:r>
                    </w:p>
                  </w:txbxContent>
                </v:textbox>
                <w10:wrap type="none"/>
                <w10:anchorlock/>
              </v:shape>
            </w:pict>
          </mc:Fallback>
        </mc:AlternateContent>
      </w:r>
    </w:p>
    <w:p w:rsidR="00102B29" w:rsidRPr="00990D3B" w:rsidP="00BD1FC3" w14:paraId="264613A5" w14:textId="7246CFC1">
      <w:pPr>
        <w:pStyle w:val="H3"/>
      </w:pPr>
      <w:bookmarkStart w:id="155" w:name="P1A1Step9"/>
      <w:bookmarkStart w:id="156" w:name="_Toc493246365"/>
      <w:bookmarkStart w:id="157" w:name="_Toc496116369"/>
      <w:bookmarkEnd w:id="155"/>
      <w:r w:rsidRPr="00990D3B">
        <w:t>Step</w:t>
      </w:r>
      <w:r w:rsidRPr="00990D3B">
        <w:t xml:space="preserve"> 9: </w:t>
      </w:r>
      <w:r w:rsidRPr="00990D3B" w:rsidR="00AD79CC">
        <w:t xml:space="preserve">Assess the Likelihood that Significant </w:t>
      </w:r>
      <w:r w:rsidRPr="00990D3B" w:rsidR="00A548E8">
        <w:t xml:space="preserve">and Sustained </w:t>
      </w:r>
      <w:r w:rsidRPr="00990D3B" w:rsidR="00AD79CC">
        <w:t>Improvement Occurred</w:t>
      </w:r>
      <w:bookmarkEnd w:id="156"/>
      <w:bookmarkEnd w:id="157"/>
    </w:p>
    <w:p w:rsidR="006833AE" w:rsidRPr="00990D3B" w:rsidP="00637811" w14:paraId="2D71817B" w14:textId="766EE237">
      <w:pPr>
        <w:pStyle w:val="ParagraphContinued"/>
      </w:pPr>
      <w:r w:rsidRPr="00990D3B">
        <w:rPr>
          <w:noProof/>
        </w:rPr>
        <mc:AlternateContent>
          <mc:Choice Requires="wps">
            <w:drawing>
              <wp:anchor distT="0" distB="0" distL="114300" distR="114300" simplePos="0" relativeHeight="251725824" behindDoc="0" locked="0" layoutInCell="1" allowOverlap="1">
                <wp:simplePos x="0" y="0"/>
                <wp:positionH relativeFrom="column">
                  <wp:posOffset>3723005</wp:posOffset>
                </wp:positionH>
                <wp:positionV relativeFrom="paragraph">
                  <wp:posOffset>450215</wp:posOffset>
                </wp:positionV>
                <wp:extent cx="2195195" cy="1301115"/>
                <wp:effectExtent l="19050" t="19050" r="0" b="0"/>
                <wp:wrapTight wrapText="bothSides">
                  <wp:wrapPolygon>
                    <wp:start x="21787" y="21916"/>
                    <wp:lineTo x="21787" y="84"/>
                    <wp:lineTo x="44" y="84"/>
                    <wp:lineTo x="44" y="21916"/>
                    <wp:lineTo x="21787" y="21916"/>
                  </wp:wrapPolygon>
                </wp:wrapTight>
                <wp:docPr id="1321942030" name="Text Box 20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301115"/>
                        </a:xfrm>
                        <a:prstGeom prst="rect">
                          <a:avLst/>
                        </a:prstGeom>
                        <a:solidFill>
                          <a:srgbClr val="EEF5F8"/>
                        </a:solidFill>
                        <a:ln w="28575" cap="rnd">
                          <a:solidFill>
                            <a:srgbClr val="A5DAD9"/>
                          </a:solidFill>
                          <a:prstDash val="solid"/>
                          <a:miter lim="800000"/>
                          <a:headEnd/>
                          <a:tailEnd/>
                        </a:ln>
                      </wps:spPr>
                      <wps:txbx>
                        <w:txbxContent>
                          <w:p w:rsidR="00ED33C3" w:rsidP="00A978CE" w14:textId="77777777">
                            <w:pPr>
                              <w:pStyle w:val="EQRTextboxbody"/>
                              <w:rPr>
                                <w:rFonts w:ascii="Arial Black" w:hAnsi="Arial Black" w:cs="Arial"/>
                                <w:szCs w:val="17"/>
                              </w:rPr>
                            </w:pPr>
                            <w:r w:rsidRPr="006F4774">
                              <w:rPr>
                                <w:rFonts w:ascii="Arial Black" w:hAnsi="Arial Black" w:cs="Arial"/>
                                <w:szCs w:val="17"/>
                              </w:rPr>
                              <w:t>Resource for Activity 1, Step 9</w:t>
                            </w:r>
                          </w:p>
                          <w:p w:rsidR="00ED33C3" w:rsidRPr="00157DDB" w:rsidP="006F4774" w14:textId="1E5FAE7D">
                            <w:pPr>
                              <w:pStyle w:val="EQRTextboxbody"/>
                            </w:pPr>
                            <w:hyperlink w:anchor="WSp1n9" w:tooltip="Worksheet 1.9. Assess the Likelihood that Significant and Sustained Improvement Occurred" w:history="1">
                              <w:r w:rsidRPr="00157DDB">
                                <w:rPr>
                                  <w:rStyle w:val="Hyperlink"/>
                                </w:rPr>
                                <w:t xml:space="preserve">Worksheet 1.9. Assess the Likelihood that </w:t>
                              </w:r>
                              <w:r w:rsidRPr="00157DDB" w:rsidR="003F4A10">
                                <w:rPr>
                                  <w:rStyle w:val="Hyperlink"/>
                                </w:rPr>
                                <w:t xml:space="preserve">a PIP Resulted in </w:t>
                              </w:r>
                              <w:r w:rsidRPr="00157DDB">
                                <w:rPr>
                                  <w:rStyle w:val="Hyperlink"/>
                                </w:rPr>
                                <w:t xml:space="preserve">Significant and Sustained Improvement </w:t>
                              </w:r>
                            </w:hyperlink>
                          </w:p>
                          <w:p w:rsidR="00ED33C3" w:rsidRPr="00157DDB" w:rsidP="006F4774" w14:textId="03643123">
                            <w:pPr>
                              <w:pStyle w:val="EQRTextboxbullet"/>
                              <w:rPr>
                                <w:spacing w:val="-2"/>
                              </w:rPr>
                            </w:pPr>
                            <w:r w:rsidRPr="00157DDB">
                              <w:t xml:space="preserve">Provides a template for assessing improvement </w:t>
                            </w:r>
                            <w:r w:rsidRPr="00157DDB">
                              <w:t>as a result of</w:t>
                            </w:r>
                            <w:r w:rsidRPr="00157DDB">
                              <w:t xml:space="preserve"> the PIP</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0" o:spid="_x0000_s1068" type="#_x0000_t202" style="width:172.85pt;height:102.45pt;margin-top:35.45pt;margin-left:293.15pt;flip:y;mso-height-percent:0;mso-height-relative:page;mso-width-percent:0;mso-width-relative:page;mso-wrap-distance-bottom:0;mso-wrap-distance-left:9pt;mso-wrap-distance-right:9pt;mso-wrap-distance-top:0;mso-wrap-style:square;position:absolute;rotation:180;visibility:visible;v-text-anchor:top;z-index:251726848" fillcolor="#eef5f8" strokecolor="#a5dad9" strokeweight="2.25pt">
                <v:stroke endcap="round"/>
                <v:textbox style="mso-fit-shape-to-text:t" inset="8.64pt,,8.64pt">
                  <w:txbxContent>
                    <w:p w:rsidR="00ED33C3" w:rsidP="00A978CE" w14:paraId="29CBEC57" w14:textId="77777777">
                      <w:pPr>
                        <w:pStyle w:val="EQRTextboxbody"/>
                        <w:rPr>
                          <w:rFonts w:ascii="Arial Black" w:hAnsi="Arial Black" w:cs="Arial"/>
                          <w:szCs w:val="17"/>
                        </w:rPr>
                      </w:pPr>
                      <w:r w:rsidRPr="006F4774">
                        <w:rPr>
                          <w:rFonts w:ascii="Arial Black" w:hAnsi="Arial Black" w:cs="Arial"/>
                          <w:szCs w:val="17"/>
                        </w:rPr>
                        <w:t>Resource for Activity 1, Step 9</w:t>
                      </w:r>
                    </w:p>
                    <w:p w:rsidR="00ED33C3" w:rsidRPr="00157DDB" w:rsidP="006F4774" w14:paraId="48F89475" w14:textId="1E5FAE7D">
                      <w:pPr>
                        <w:pStyle w:val="EQRTextboxbody"/>
                      </w:pPr>
                      <w:hyperlink w:anchor="WSp1n9" w:tooltip="Worksheet 1.9. Assess the Likelihood that Significant and Sustained Improvement Occurred" w:history="1">
                        <w:r w:rsidRPr="00157DDB">
                          <w:rPr>
                            <w:rStyle w:val="Hyperlink"/>
                          </w:rPr>
                          <w:t xml:space="preserve">Worksheet 1.9. Assess the Likelihood that </w:t>
                        </w:r>
                        <w:r w:rsidRPr="00157DDB" w:rsidR="003F4A10">
                          <w:rPr>
                            <w:rStyle w:val="Hyperlink"/>
                          </w:rPr>
                          <w:t xml:space="preserve">a PIP Resulted in </w:t>
                        </w:r>
                        <w:r w:rsidRPr="00157DDB">
                          <w:rPr>
                            <w:rStyle w:val="Hyperlink"/>
                          </w:rPr>
                          <w:t xml:space="preserve">Significant and Sustained Improvement </w:t>
                        </w:r>
                      </w:hyperlink>
                    </w:p>
                    <w:p w:rsidR="00ED33C3" w:rsidRPr="00157DDB" w:rsidP="006F4774" w14:paraId="13C6A478" w14:textId="03643123">
                      <w:pPr>
                        <w:pStyle w:val="EQRTextboxbullet"/>
                        <w:rPr>
                          <w:spacing w:val="-2"/>
                        </w:rPr>
                      </w:pPr>
                      <w:r w:rsidRPr="00157DDB">
                        <w:t xml:space="preserve">Provides a template for assessing improvement </w:t>
                      </w:r>
                      <w:r w:rsidRPr="00157DDB">
                        <w:t>as a result of</w:t>
                      </w:r>
                      <w:r w:rsidRPr="00157DDB">
                        <w:t xml:space="preserve"> the PIP</w:t>
                      </w:r>
                    </w:p>
                  </w:txbxContent>
                </v:textbox>
                <w10:wrap type="tight"/>
              </v:shape>
            </w:pict>
          </mc:Fallback>
        </mc:AlternateContent>
      </w:r>
      <w:r w:rsidRPr="00990D3B">
        <w:rPr>
          <w:noProof/>
        </w:rPr>
        <mc:AlternateContent>
          <mc:Choice Requires="wps">
            <w:drawing>
              <wp:anchor distT="0" distB="0" distL="114300" distR="114300" simplePos="0" relativeHeight="251727872" behindDoc="0" locked="0" layoutInCell="1" allowOverlap="1">
                <wp:simplePos x="0" y="0"/>
                <wp:positionH relativeFrom="column">
                  <wp:posOffset>3723277</wp:posOffset>
                </wp:positionH>
                <wp:positionV relativeFrom="paragraph">
                  <wp:posOffset>89988</wp:posOffset>
                </wp:positionV>
                <wp:extent cx="2194560" cy="297815"/>
                <wp:effectExtent l="19050" t="19050" r="0" b="7620"/>
                <wp:wrapTight wrapText="bothSides">
                  <wp:wrapPolygon>
                    <wp:start x="21788" y="22985"/>
                    <wp:lineTo x="21788" y="-554"/>
                    <wp:lineTo x="38" y="-554"/>
                    <wp:lineTo x="38" y="22985"/>
                    <wp:lineTo x="21788" y="22985"/>
                  </wp:wrapPolygon>
                </wp:wrapTight>
                <wp:docPr id="2043169039" name="Text Box 19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A978CE" w14:textId="1A6C8D2B">
                            <w:pPr>
                              <w:pStyle w:val="EQRWORKSHEETText"/>
                              <w:rPr>
                                <w:spacing w:val="-2"/>
                              </w:rPr>
                            </w:pPr>
                            <w:hyperlink w:anchor="WSp1n9" w:tooltip="WORKSHEET 1.9" w:history="1">
                              <w:r>
                                <w:rPr>
                                  <w:rStyle w:val="Hyperlink"/>
                                  <w:color w:val="006981"/>
                                </w:rPr>
                                <w:t>WORKSHEET 1.9</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9" o:spid="_x0000_s1069" type="#_x0000_t202" style="width:172.8pt;height:23.45pt;margin-top:7.1pt;margin-left:293.15pt;flip:y;mso-height-percent:0;mso-height-relative:page;mso-width-percent:0;mso-width-relative:page;mso-wrap-distance-bottom:0;mso-wrap-distance-left:9pt;mso-wrap-distance-right:9pt;mso-wrap-distance-top:0;mso-wrap-style:square;position:absolute;rotation:180;visibility:visible;v-text-anchor:top;z-index:251728896" fillcolor="#eef5f8" strokecolor="#a5dad9" strokeweight="2.25pt">
                <v:stroke endcap="round"/>
                <v:textbox style="mso-fit-shape-to-text:t" inset="8.64pt,,8.64pt">
                  <w:txbxContent>
                    <w:p w:rsidR="00ED33C3" w:rsidRPr="0090682E" w:rsidP="00A978CE" w14:paraId="0E846C57" w14:textId="1A6C8D2B">
                      <w:pPr>
                        <w:pStyle w:val="EQRWORKSHEETText"/>
                        <w:rPr>
                          <w:spacing w:val="-2"/>
                        </w:rPr>
                      </w:pPr>
                      <w:hyperlink w:anchor="WSp1n9" w:tooltip="WORKSHEET 1.9" w:history="1">
                        <w:r>
                          <w:rPr>
                            <w:rStyle w:val="Hyperlink"/>
                            <w:color w:val="006981"/>
                          </w:rPr>
                          <w:t>WORKSHEET 1.9</w:t>
                        </w:r>
                      </w:hyperlink>
                    </w:p>
                  </w:txbxContent>
                </v:textbox>
                <w10:wrap type="tight"/>
              </v:shape>
            </w:pict>
          </mc:Fallback>
        </mc:AlternateContent>
      </w:r>
      <w:r w:rsidRPr="00990D3B" w:rsidR="006833AE">
        <w:t xml:space="preserve">In this step, the EQRO assesses the likelihood that significant and sustained improvement occurred </w:t>
      </w:r>
      <w:r w:rsidRPr="00990D3B" w:rsidR="003D7E52">
        <w:t>due to</w:t>
      </w:r>
      <w:r w:rsidRPr="00990D3B" w:rsidR="006833AE">
        <w:t xml:space="preserve"> the PIP. This assessment builds on findings from the two previous steps</w:t>
      </w:r>
      <w:r w:rsidRPr="00990D3B" w:rsidR="00C54147">
        <w:t xml:space="preserve">. </w:t>
      </w:r>
      <w:hyperlink w:anchor="Box1n5" w:tooltip="Box 1.5" w:history="1">
        <w:r w:rsidRPr="00990D3B" w:rsidR="00C54147">
          <w:rPr>
            <w:rStyle w:val="Hyperlink"/>
          </w:rPr>
          <w:t>Box 1.</w:t>
        </w:r>
        <w:r w:rsidRPr="00990D3B" w:rsidR="00B64E4F">
          <w:rPr>
            <w:rStyle w:val="Hyperlink"/>
          </w:rPr>
          <w:t>5</w:t>
        </w:r>
      </w:hyperlink>
      <w:r w:rsidRPr="00990D3B" w:rsidR="00B64E4F">
        <w:t xml:space="preserve"> suggests potential sources of information for this assessment</w:t>
      </w:r>
      <w:r w:rsidRPr="00990D3B" w:rsidR="006833AE">
        <w:t xml:space="preserve">. </w:t>
      </w:r>
      <w:r w:rsidRPr="00990D3B" w:rsidR="007C2BAB">
        <w:t xml:space="preserve">The EQRO should review the PIP methods and findings to assess whether there is evidence of statistically significant improvement that may be associated with the intervention implemented as part of the PIP. </w:t>
      </w:r>
    </w:p>
    <w:p w:rsidR="007C2BAB" w:rsidRPr="00990D3B" w:rsidP="00BD1FC3" w14:paraId="4D4B9F54" w14:textId="06C9878E">
      <w:pPr>
        <w:pStyle w:val="Paragraph0"/>
      </w:pPr>
      <w:r w:rsidRPr="00990D3B">
        <w:rPr>
          <w:noProof/>
        </w:rPr>
        <mc:AlternateContent>
          <mc:Choice Requires="wps">
            <w:drawing>
              <wp:inline distT="0" distB="0" distL="0" distR="0">
                <wp:extent cx="5897880" cy="1681481"/>
                <wp:effectExtent l="19050" t="19050" r="26670" b="13970"/>
                <wp:docPr id="1886846526" name="Text Box 19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897880" cy="1681481"/>
                        </a:xfrm>
                        <a:prstGeom prst="rect">
                          <a:avLst/>
                        </a:prstGeom>
                        <a:solidFill>
                          <a:srgbClr val="EEF5F8"/>
                        </a:solidFill>
                        <a:ln w="28575" cap="rnd">
                          <a:solidFill>
                            <a:srgbClr val="A5DAD9"/>
                          </a:solidFill>
                          <a:prstDash val="solid"/>
                          <a:miter lim="800000"/>
                          <a:headEnd/>
                          <a:tailEnd/>
                        </a:ln>
                      </wps:spPr>
                      <wps:txbx>
                        <w:txbxContent>
                          <w:p w:rsidR="007C2BAB" w:rsidP="007C2BAB" w14:textId="77777777">
                            <w:pPr>
                              <w:pStyle w:val="EQRTextboxheading"/>
                            </w:pPr>
                            <w:bookmarkStart w:id="158" w:name="Box1n5"/>
                            <w:bookmarkEnd w:id="158"/>
                            <w:r>
                              <w:t>Box 1.5. Potential Sources of Supporting Information</w:t>
                            </w:r>
                          </w:p>
                          <w:p w:rsidR="009D1C68" w:rsidP="009D1C68" w14:textId="5ACFA468">
                            <w:pPr>
                              <w:pStyle w:val="EQRTextboxbody"/>
                            </w:pPr>
                            <w:r w:rsidRPr="00805A22">
                              <w:t>When validating a PIP, EQROs should consider a variety of supporting information to assess the credibility of findings and the impact of the intervention. The examples below illustrate common sources that can strengthen validation ratings and provide important context for interpreting results:</w:t>
                            </w:r>
                          </w:p>
                          <w:p w:rsidR="007C2BAB" w:rsidRPr="00945262" w:rsidP="007C2BAB" w14:textId="77777777">
                            <w:pPr>
                              <w:pStyle w:val="EQRTextboxbullet"/>
                            </w:pPr>
                            <w:r>
                              <w:t>Statistical significance testing calculated on baseline and repeat indicator measurements (clarify that the appropriate test was used, suc</w:t>
                            </w:r>
                            <w:r w:rsidRPr="00945262">
                              <w:t>h as a t-test for small samples)</w:t>
                            </w:r>
                          </w:p>
                          <w:p w:rsidR="007C2BAB" w:rsidP="007C2BAB" w14:textId="77777777">
                            <w:pPr>
                              <w:pStyle w:val="EQRTextboxbullet"/>
                            </w:pPr>
                            <w:r w:rsidRPr="00945262">
                              <w:t>Benchmarks for qu</w:t>
                            </w:r>
                            <w:r>
                              <w:t>ality specified by the state Medicaid program or found in industry standards</w:t>
                            </w:r>
                          </w:p>
                          <w:p w:rsidR="007C2BAB" w:rsidRPr="0091147D" w:rsidP="007C2BAB" w14:textId="77777777">
                            <w:pPr>
                              <w:pStyle w:val="EQRTextboxbullet"/>
                            </w:pPr>
                            <w:r>
                              <w:t>Interviews with MCP staff and providers about the implementation and results of the PIP intervention</w:t>
                            </w:r>
                          </w:p>
                        </w:txbxContent>
                      </wps:txbx>
                      <wps:bodyPr rot="0" vert="horz" wrap="square" lIns="109728" tIns="45720" rIns="109728" bIns="45720" anchor="t" anchorCtr="0" upright="1"/>
                    </wps:wsp>
                  </a:graphicData>
                </a:graphic>
              </wp:inline>
            </w:drawing>
          </mc:Choice>
          <mc:Fallback>
            <w:pict>
              <v:shape id="Text Box 198" o:spid="_x0000_i1070" type="#_x0000_t202" style="width:464.4pt;height:132.4pt;flip:y;mso-left-percent:-10001;mso-position-horizontal-relative:char;mso-position-vertical-relative:line;mso-top-percent:-10001;mso-wrap-style:square;rotation:180;visibility:visible;v-text-anchor:top" fillcolor="#eef5f8" strokecolor="#a5dad9" strokeweight="2.25pt">
                <v:stroke endcap="round"/>
                <v:textbox inset="8.64pt,,8.64pt">
                  <w:txbxContent>
                    <w:p w:rsidR="007C2BAB" w:rsidP="007C2BAB" w14:paraId="6D38A612" w14:textId="77777777">
                      <w:pPr>
                        <w:pStyle w:val="EQRTextboxheading"/>
                      </w:pPr>
                      <w:bookmarkStart w:id="158" w:name="Box1n5"/>
                      <w:bookmarkEnd w:id="158"/>
                      <w:r>
                        <w:t>Box 1.5. Potential Sources of Supporting Information</w:t>
                      </w:r>
                    </w:p>
                    <w:p w:rsidR="009D1C68" w:rsidP="009D1C68" w14:paraId="0DBE4706" w14:textId="5ACFA468">
                      <w:pPr>
                        <w:pStyle w:val="EQRTextboxbody"/>
                      </w:pPr>
                      <w:r w:rsidRPr="00805A22">
                        <w:t>When validating a PIP, EQROs should consider a variety of supporting information to assess the credibility of findings and the impact of the intervention. The examples below illustrate common sources that can strengthen validation ratings and provide important context for interpreting results:</w:t>
                      </w:r>
                    </w:p>
                    <w:p w:rsidR="007C2BAB" w:rsidRPr="00945262" w:rsidP="007C2BAB" w14:paraId="3147EC23" w14:textId="77777777">
                      <w:pPr>
                        <w:pStyle w:val="EQRTextboxbullet"/>
                      </w:pPr>
                      <w:r>
                        <w:t>Statistical significance testing calculated on baseline and repeat indicator measurements (clarify that the appropriate test was used, suc</w:t>
                      </w:r>
                      <w:r w:rsidRPr="00945262">
                        <w:t>h as a t-test for small samples)</w:t>
                      </w:r>
                    </w:p>
                    <w:p w:rsidR="007C2BAB" w:rsidP="007C2BAB" w14:paraId="2F3ACE43" w14:textId="77777777">
                      <w:pPr>
                        <w:pStyle w:val="EQRTextboxbullet"/>
                      </w:pPr>
                      <w:r w:rsidRPr="00945262">
                        <w:t>Benchmarks for qu</w:t>
                      </w:r>
                      <w:r>
                        <w:t>ality specified by the state Medicaid program or found in industry standards</w:t>
                      </w:r>
                    </w:p>
                    <w:p w:rsidR="007C2BAB" w:rsidRPr="0091147D" w:rsidP="007C2BAB" w14:paraId="7E07A81E" w14:textId="77777777">
                      <w:pPr>
                        <w:pStyle w:val="EQRTextboxbullet"/>
                      </w:pPr>
                      <w:r>
                        <w:t>Interviews with MCP staff and providers about the implementation and results of the PIP intervention</w:t>
                      </w:r>
                    </w:p>
                  </w:txbxContent>
                </v:textbox>
                <w10:wrap type="none"/>
                <w10:anchorlock/>
              </v:shape>
            </w:pict>
          </mc:Fallback>
        </mc:AlternateContent>
      </w:r>
    </w:p>
    <w:p w:rsidR="00945262" w:rsidRPr="00990D3B" w:rsidP="00BD1FC3" w14:paraId="63052529" w14:textId="713520EA">
      <w:pPr>
        <w:pStyle w:val="ParagraphContinued"/>
      </w:pPr>
      <w:bookmarkStart w:id="159" w:name="_Hlk181701401"/>
      <w:r w:rsidRPr="00990D3B">
        <w:t>In addition, the EQRO may supplement the quantitative assessment with information gathered through interviews with MCP staff and/or providers about the implementation and results of the PIP intervention.</w:t>
      </w:r>
      <w:bookmarkEnd w:id="159"/>
      <w:r w:rsidRPr="00990D3B">
        <w:t xml:space="preserve"> Qualitative information may inform the assessment of whether observed changes were likely attributable to the PIP intervention, as opposed to a short-term event unrelated to the intervention or random chance. </w:t>
      </w:r>
    </w:p>
    <w:p w:rsidR="00945262" w:rsidRPr="00990D3B" w:rsidP="00BD1FC3" w14:paraId="07800EC0" w14:textId="4FFD1FD2">
      <w:pPr>
        <w:pStyle w:val="Paragraph0"/>
      </w:pPr>
      <w:r w:rsidRPr="00990D3B">
        <w:t xml:space="preserve">An important </w:t>
      </w:r>
      <w:r w:rsidRPr="00990D3B" w:rsidR="004473BE">
        <w:t>goal</w:t>
      </w:r>
      <w:r w:rsidRPr="00990D3B">
        <w:t xml:space="preserve"> of a PIP is to demonstrate sustained improvement. The EQRO should assess whether repeated measurements were conducted</w:t>
      </w:r>
      <w:r w:rsidRPr="00990D3B" w:rsidR="003D7E52">
        <w:t xml:space="preserve"> and,</w:t>
      </w:r>
      <w:r w:rsidRPr="00990D3B">
        <w:t xml:space="preserve"> if so, whether </w:t>
      </w:r>
      <w:r w:rsidRPr="00990D3B" w:rsidR="003D7E52">
        <w:t xml:space="preserve">a </w:t>
      </w:r>
      <w:r w:rsidRPr="00990D3B">
        <w:t>significant change in performance relative to baseline measurement was observed. The repeat measurement should use the same methodology as the baseline measurement. Any deviations in methodology (such as sampling, data source, or variable definition) must be thoroughly documented. If the PIP is in the early stages of implementation, and repeated measurements are not yet available, the analysis plan should describe the methodology for subsequent measurement. The EQRO should state in its final report which findings were found to be significant</w:t>
      </w:r>
      <w:r w:rsidRPr="00990D3B" w:rsidR="0000285C">
        <w:t xml:space="preserve"> from a clinical and/or programmatic perspective</w:t>
      </w:r>
      <w:r w:rsidRPr="00990D3B" w:rsidR="009B3890">
        <w:t xml:space="preserve">. </w:t>
      </w:r>
    </w:p>
    <w:p w:rsidR="00FC2336" w:rsidRPr="00990D3B" w:rsidP="00BD1FC3" w14:paraId="74AD73CF" w14:textId="0BFFFA49">
      <w:pPr>
        <w:pStyle w:val="H2"/>
      </w:pPr>
      <w:bookmarkStart w:id="160" w:name="P1A2"/>
      <w:bookmarkStart w:id="161" w:name="_Toc183005570"/>
      <w:bookmarkStart w:id="162" w:name="_Toc201751341"/>
      <w:bookmarkStart w:id="163" w:name="_Toc493246366"/>
      <w:bookmarkStart w:id="164" w:name="_Toc496116370"/>
      <w:bookmarkStart w:id="165" w:name="_Toc14777682"/>
      <w:r w:rsidRPr="00990D3B">
        <w:t>A</w:t>
      </w:r>
      <w:r w:rsidRPr="00990D3B" w:rsidR="008D37B3">
        <w:t>ctivity</w:t>
      </w:r>
      <w:r w:rsidRPr="00990D3B">
        <w:t xml:space="preserve"> 2</w:t>
      </w:r>
      <w:bookmarkEnd w:id="160"/>
      <w:r w:rsidRPr="00990D3B">
        <w:t>: P</w:t>
      </w:r>
      <w:r w:rsidRPr="00990D3B" w:rsidR="007A3018">
        <w:t>erform</w:t>
      </w:r>
      <w:r w:rsidRPr="00990D3B">
        <w:t xml:space="preserve"> O</w:t>
      </w:r>
      <w:r w:rsidRPr="00990D3B" w:rsidR="007A3018">
        <w:t xml:space="preserve">verall </w:t>
      </w:r>
      <w:r w:rsidRPr="00990D3B">
        <w:t>V</w:t>
      </w:r>
      <w:r w:rsidRPr="00990D3B" w:rsidR="007A3018">
        <w:t>alidation</w:t>
      </w:r>
      <w:bookmarkEnd w:id="161"/>
      <w:bookmarkEnd w:id="162"/>
      <w:r w:rsidRPr="00990D3B" w:rsidR="007A3018">
        <w:t xml:space="preserve"> </w:t>
      </w:r>
      <w:bookmarkEnd w:id="163"/>
      <w:bookmarkEnd w:id="164"/>
      <w:bookmarkEnd w:id="165"/>
    </w:p>
    <w:p w:rsidR="00B24FB1" w:rsidRPr="00990D3B" w:rsidP="00637811" w14:paraId="44EB48C0" w14:textId="39DA6C56">
      <w:pPr>
        <w:pStyle w:val="ParagraphContinued"/>
      </w:pPr>
      <w:r w:rsidRPr="00990D3B">
        <w:rPr>
          <w:noProof/>
        </w:rPr>
        <mc:AlternateContent>
          <mc:Choice Requires="wps">
            <w:drawing>
              <wp:anchor distT="0" distB="0" distL="114300" distR="114300" simplePos="0" relativeHeight="251731968" behindDoc="0" locked="0" layoutInCell="1" allowOverlap="1">
                <wp:simplePos x="0" y="0"/>
                <wp:positionH relativeFrom="column">
                  <wp:posOffset>3967480</wp:posOffset>
                </wp:positionH>
                <wp:positionV relativeFrom="paragraph">
                  <wp:posOffset>372110</wp:posOffset>
                </wp:positionV>
                <wp:extent cx="2194560" cy="2672715"/>
                <wp:effectExtent l="19050" t="19050" r="15240" b="13970"/>
                <wp:wrapTight wrapText="bothSides">
                  <wp:wrapPolygon>
                    <wp:start x="21788" y="21883"/>
                    <wp:lineTo x="21788" y="76"/>
                    <wp:lineTo x="38" y="76"/>
                    <wp:lineTo x="38" y="21883"/>
                    <wp:lineTo x="21788" y="21883"/>
                  </wp:wrapPolygon>
                </wp:wrapTight>
                <wp:docPr id="1258436496" name="Text Box 19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672715"/>
                        </a:xfrm>
                        <a:prstGeom prst="rect">
                          <a:avLst/>
                        </a:prstGeom>
                        <a:solidFill>
                          <a:srgbClr val="EEF5F8"/>
                        </a:solidFill>
                        <a:ln w="28575" cap="rnd">
                          <a:solidFill>
                            <a:srgbClr val="A5DAD9"/>
                          </a:solidFill>
                          <a:prstDash val="solid"/>
                          <a:miter lim="800000"/>
                          <a:headEnd/>
                          <a:tailEnd/>
                        </a:ln>
                      </wps:spPr>
                      <wps:txbx>
                        <w:txbxContent>
                          <w:p w:rsidR="00ED33C3" w:rsidP="00881F60" w14:textId="77777777">
                            <w:pPr>
                              <w:pStyle w:val="EQRTextboxheading"/>
                              <w:rPr>
                                <w:b/>
                                <w:position w:val="6"/>
                              </w:rPr>
                            </w:pPr>
                            <w:r w:rsidRPr="009C4858">
                              <w:t xml:space="preserve">Resources for Activity </w:t>
                            </w:r>
                            <w:r>
                              <w:t>2</w:t>
                            </w:r>
                          </w:p>
                          <w:p w:rsidR="00ED33C3" w:rsidP="00881F60" w14:textId="4C2EBFD3">
                            <w:pPr>
                              <w:pStyle w:val="EQRTextboxbody"/>
                            </w:pPr>
                            <w:hyperlink w:anchor="WSp1n10" w:tooltip="Worksheet 1.10. Perform Overall Validation of PIP Results" w:history="1">
                              <w:r w:rsidRPr="00833861">
                                <w:rPr>
                                  <w:rStyle w:val="Hyperlink"/>
                                </w:rPr>
                                <w:t>Worksheet 1.10. Perform Overall Validation of PIP Results</w:t>
                              </w:r>
                            </w:hyperlink>
                          </w:p>
                          <w:p w:rsidR="00ED33C3" w:rsidP="00881F60" w14:textId="33C5CD14">
                            <w:pPr>
                              <w:pStyle w:val="EQRTextboxbullet"/>
                            </w:pPr>
                            <w:r>
                              <w:t>Provides a template to provide a validation rating (high confidence, moderate confidence, low confidence, or no confidence)</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5" o:spid="_x0000_s1071" type="#_x0000_t202" style="width:172.8pt;height:210.45pt;margin-top:29.3pt;margin-left:312.4pt;flip:y;mso-height-percent:0;mso-height-relative:page;mso-width-percent:0;mso-width-relative:page;mso-wrap-distance-bottom:0;mso-wrap-distance-left:9pt;mso-wrap-distance-right:9pt;mso-wrap-distance-top:0;mso-wrap-style:square;position:absolute;rotation:180;visibility:visible;v-text-anchor:top;z-index:251732992" fillcolor="#eef5f8" strokecolor="#a5dad9" strokeweight="2.25pt">
                <v:stroke endcap="round"/>
                <v:textbox style="mso-fit-shape-to-text:t" inset="8.64pt,,8.64pt">
                  <w:txbxContent>
                    <w:p w:rsidR="00ED33C3" w:rsidP="00881F60" w14:paraId="053F50DC" w14:textId="77777777">
                      <w:pPr>
                        <w:pStyle w:val="EQRTextboxheading"/>
                        <w:rPr>
                          <w:b/>
                          <w:position w:val="6"/>
                        </w:rPr>
                      </w:pPr>
                      <w:r w:rsidRPr="009C4858">
                        <w:t xml:space="preserve">Resources for Activity </w:t>
                      </w:r>
                      <w:r>
                        <w:t>2</w:t>
                      </w:r>
                    </w:p>
                    <w:p w:rsidR="00ED33C3" w:rsidP="00881F60" w14:paraId="46594152" w14:textId="4C2EBFD3">
                      <w:pPr>
                        <w:pStyle w:val="EQRTextboxbody"/>
                      </w:pPr>
                      <w:hyperlink w:anchor="WSp1n10" w:tooltip="Worksheet 1.10. Perform Overall Validation of PIP Results" w:history="1">
                        <w:r w:rsidRPr="00833861">
                          <w:rPr>
                            <w:rStyle w:val="Hyperlink"/>
                          </w:rPr>
                          <w:t>Worksheet 1.10. Perform Overall Validation of PIP Results</w:t>
                        </w:r>
                      </w:hyperlink>
                    </w:p>
                    <w:p w:rsidR="00ED33C3" w:rsidP="00881F60" w14:paraId="4F1A46E1" w14:textId="33C5CD14">
                      <w:pPr>
                        <w:pStyle w:val="EQRTextboxbullet"/>
                      </w:pPr>
                      <w:r>
                        <w:t>Provides a template to provide a validation rating (high confidence, moderate confidence, low confidence, or no confidence)</w:t>
                      </w:r>
                    </w:p>
                  </w:txbxContent>
                </v:textbox>
                <w10:wrap type="tight"/>
              </v:shape>
            </w:pict>
          </mc:Fallback>
        </mc:AlternateContent>
      </w:r>
      <w:r w:rsidRPr="00990D3B">
        <w:rPr>
          <w:noProof/>
        </w:rPr>
        <mc:AlternateContent>
          <mc:Choice Requires="wps">
            <w:drawing>
              <wp:anchor distT="0" distB="0" distL="114300" distR="114300" simplePos="0" relativeHeight="251729920" behindDoc="0" locked="0" layoutInCell="1" allowOverlap="1">
                <wp:simplePos x="0" y="0"/>
                <wp:positionH relativeFrom="column">
                  <wp:posOffset>3968115</wp:posOffset>
                </wp:positionH>
                <wp:positionV relativeFrom="paragraph">
                  <wp:posOffset>16037</wp:posOffset>
                </wp:positionV>
                <wp:extent cx="2193925" cy="297815"/>
                <wp:effectExtent l="19050" t="19050" r="15875" b="26670"/>
                <wp:wrapTight wrapText="bothSides">
                  <wp:wrapPolygon>
                    <wp:start x="21788" y="22985"/>
                    <wp:lineTo x="21788" y="-554"/>
                    <wp:lineTo x="31" y="-554"/>
                    <wp:lineTo x="31" y="22985"/>
                    <wp:lineTo x="21788" y="22985"/>
                  </wp:wrapPolygon>
                </wp:wrapTight>
                <wp:docPr id="845443827" name="Text Box 1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211C15" w14:textId="5DFB2B90">
                            <w:pPr>
                              <w:pStyle w:val="EQRWORKSHEETText"/>
                              <w:rPr>
                                <w:spacing w:val="-2"/>
                              </w:rPr>
                            </w:pPr>
                            <w:hyperlink w:anchor="WSp1n10" w:tooltip="WORKSHEET 1.10" w:history="1">
                              <w:r>
                                <w:rPr>
                                  <w:rStyle w:val="Hyperlink"/>
                                  <w:color w:val="006981"/>
                                </w:rPr>
                                <w:t>WORKSHEET 1.10</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7" o:spid="_x0000_s1072" type="#_x0000_t202" style="width:172.75pt;height:23.45pt;margin-top:1.25pt;margin-left:312.45pt;flip:y;mso-height-percent:0;mso-height-relative:page;mso-width-percent:0;mso-width-relative:page;mso-wrap-distance-bottom:0;mso-wrap-distance-left:9pt;mso-wrap-distance-right:9pt;mso-wrap-distance-top:0;mso-wrap-style:square;position:absolute;rotation:180;visibility:visible;v-text-anchor:top;z-index:251730944" fillcolor="#eef5f8" strokecolor="#a5dad9" strokeweight="2.25pt">
                <v:stroke endcap="round"/>
                <v:textbox style="mso-fit-shape-to-text:t" inset="8.64pt,,8.64pt">
                  <w:txbxContent>
                    <w:p w:rsidR="00ED33C3" w:rsidRPr="0090682E" w:rsidP="00211C15" w14:paraId="5A882032" w14:textId="5DFB2B90">
                      <w:pPr>
                        <w:pStyle w:val="EQRWORKSHEETText"/>
                        <w:rPr>
                          <w:spacing w:val="-2"/>
                        </w:rPr>
                      </w:pPr>
                      <w:hyperlink w:anchor="WSp1n10" w:tooltip="WORKSHEET 1.10" w:history="1">
                        <w:r>
                          <w:rPr>
                            <w:rStyle w:val="Hyperlink"/>
                            <w:color w:val="006981"/>
                          </w:rPr>
                          <w:t>WORKSHEET 1.10</w:t>
                        </w:r>
                      </w:hyperlink>
                    </w:p>
                  </w:txbxContent>
                </v:textbox>
                <w10:wrap type="tight"/>
              </v:shape>
            </w:pict>
          </mc:Fallback>
        </mc:AlternateContent>
      </w:r>
      <w:r w:rsidRPr="00990D3B" w:rsidR="00B24FB1">
        <w:t xml:space="preserve">In this activity, the EQRO assesses the overall validity and reliability of the PIP methods and findings to determine </w:t>
      </w:r>
      <w:r w:rsidRPr="00990D3B" w:rsidR="00424084">
        <w:t>whether</w:t>
      </w:r>
      <w:r w:rsidRPr="00990D3B" w:rsidR="00B24FB1">
        <w:t xml:space="preserve"> it has confidence in the results. The EQRO will assign </w:t>
      </w:r>
      <w:r w:rsidRPr="00990D3B" w:rsidR="005827C1">
        <w:rPr>
          <w:b/>
          <w:bCs/>
        </w:rPr>
        <w:t xml:space="preserve">two </w:t>
      </w:r>
      <w:r w:rsidRPr="00990D3B" w:rsidR="00B24FB1">
        <w:rPr>
          <w:b/>
          <w:bCs/>
        </w:rPr>
        <w:t>validation rating</w:t>
      </w:r>
      <w:r w:rsidRPr="00990D3B" w:rsidR="005827C1">
        <w:rPr>
          <w:b/>
          <w:bCs/>
        </w:rPr>
        <w:t>s</w:t>
      </w:r>
      <w:r w:rsidRPr="00990D3B" w:rsidR="00B24FB1">
        <w:t xml:space="preserve"> based on the EQRO’s assessment of </w:t>
      </w:r>
      <w:r w:rsidRPr="00990D3B" w:rsidR="00276409">
        <w:t xml:space="preserve">whether the PIP </w:t>
      </w:r>
      <w:r w:rsidRPr="00990D3B" w:rsidR="005C48E9">
        <w:t xml:space="preserve">(1) </w:t>
      </w:r>
      <w:r w:rsidRPr="00990D3B" w:rsidR="00B24FB1">
        <w:t xml:space="preserve">adhered to </w:t>
      </w:r>
      <w:r w:rsidRPr="00990D3B" w:rsidR="00C50B0C">
        <w:t xml:space="preserve">an </w:t>
      </w:r>
      <w:r w:rsidRPr="00990D3B" w:rsidR="00B24FB1">
        <w:t xml:space="preserve">acceptable methodology for all phases of design and data collection, conducted accurate data analysis and interpretation of </w:t>
      </w:r>
      <w:r w:rsidRPr="00990D3B" w:rsidR="00D07BF2">
        <w:t>PIP</w:t>
      </w:r>
      <w:r w:rsidRPr="00990D3B" w:rsidR="00B24FB1">
        <w:t xml:space="preserve"> results, and </w:t>
      </w:r>
      <w:r w:rsidRPr="00990D3B" w:rsidR="005C48E9">
        <w:t xml:space="preserve">(2) </w:t>
      </w:r>
      <w:r w:rsidRPr="00990D3B" w:rsidR="00B24FB1">
        <w:t xml:space="preserve">produced evidence of improvement. </w:t>
      </w:r>
    </w:p>
    <w:p w:rsidR="00B24FB1" w:rsidRPr="00990D3B" w:rsidP="00BD1FC3" w14:paraId="1152CF4F" w14:textId="53C69E2B">
      <w:pPr>
        <w:pStyle w:val="Paragraph0"/>
      </w:pPr>
      <w:r w:rsidRPr="00990D3B">
        <w:t>To assign the validation rating</w:t>
      </w:r>
      <w:r w:rsidRPr="00990D3B" w:rsidR="00FB476D">
        <w:t>s</w:t>
      </w:r>
      <w:r w:rsidRPr="00990D3B">
        <w:t xml:space="preserve">, the EQRO will review the assessments conducted as part of the nine steps in Activity 1, and recorded </w:t>
      </w:r>
      <w:r w:rsidRPr="00990D3B" w:rsidR="00EB04CF">
        <w:t>in the</w:t>
      </w:r>
      <w:r w:rsidRPr="00990D3B">
        <w:t xml:space="preserve"> </w:t>
      </w:r>
      <w:hyperlink w:anchor="WSp1" w:tooltip="Worksheets for Protocol 1: PIP Validation Tools and Reporting Framework" w:history="1">
        <w:r w:rsidRPr="00990D3B" w:rsidR="00EB04CF">
          <w:rPr>
            <w:rStyle w:val="Hyperlink"/>
          </w:rPr>
          <w:t>Worksheets for Protocol 1</w:t>
        </w:r>
      </w:hyperlink>
      <w:r w:rsidRPr="00990D3B" w:rsidR="00EB04CF">
        <w:t xml:space="preserve">, </w:t>
      </w:r>
      <w:r w:rsidRPr="00990D3B">
        <w:t xml:space="preserve">or a similar tool. As studies always have weaknesses, the EQRO will need to assess the relative strengths and weaknesses and the extent to which they affect the confidence in the generalizability and usefulness of the PIP’s findings. CMS suggests using the following validation rating to facilitate comparisons across PIPs and states: </w:t>
      </w:r>
      <w:r w:rsidRPr="00990D3B" w:rsidR="00D8094C">
        <w:t>high confidence, moderate confidence, low confidence, and no confidence.</w:t>
      </w:r>
    </w:p>
    <w:p w:rsidR="00164A0E" w:rsidRPr="00990D3B" w:rsidP="00BD1FC3" w14:paraId="0198936C" w14:textId="143D8657">
      <w:pPr>
        <w:pStyle w:val="H2"/>
      </w:pPr>
      <w:bookmarkStart w:id="166" w:name="P1A3"/>
      <w:bookmarkStart w:id="167" w:name="_Toc493246367"/>
      <w:bookmarkStart w:id="168" w:name="_Toc496116371"/>
      <w:bookmarkStart w:id="169" w:name="_Toc14777683"/>
      <w:bookmarkStart w:id="170" w:name="_Toc183005571"/>
      <w:bookmarkStart w:id="171" w:name="_Toc201751342"/>
      <w:r w:rsidRPr="00990D3B">
        <w:t>A</w:t>
      </w:r>
      <w:r w:rsidRPr="00990D3B" w:rsidR="008D37B3">
        <w:t>ctivity</w:t>
      </w:r>
      <w:r w:rsidRPr="00990D3B">
        <w:t xml:space="preserve"> 3</w:t>
      </w:r>
      <w:bookmarkEnd w:id="166"/>
      <w:r w:rsidRPr="00990D3B">
        <w:t>: V</w:t>
      </w:r>
      <w:r w:rsidRPr="00990D3B" w:rsidR="007A3018">
        <w:t xml:space="preserve">erify </w:t>
      </w:r>
      <w:r w:rsidRPr="00990D3B">
        <w:t>PIP</w:t>
      </w:r>
      <w:r w:rsidRPr="00990D3B" w:rsidR="007A3018">
        <w:t xml:space="preserve"> </w:t>
      </w:r>
      <w:r w:rsidRPr="00990D3B">
        <w:t>F</w:t>
      </w:r>
      <w:r w:rsidRPr="00990D3B" w:rsidR="007A3018">
        <w:t xml:space="preserve">indings </w:t>
      </w:r>
      <w:r w:rsidRPr="00990D3B">
        <w:t>(O</w:t>
      </w:r>
      <w:r w:rsidRPr="00990D3B" w:rsidR="007A3018">
        <w:t>ptional</w:t>
      </w:r>
      <w:r w:rsidRPr="00990D3B">
        <w:t>)</w:t>
      </w:r>
      <w:bookmarkEnd w:id="167"/>
      <w:bookmarkEnd w:id="168"/>
      <w:bookmarkEnd w:id="169"/>
      <w:bookmarkEnd w:id="170"/>
      <w:bookmarkEnd w:id="171"/>
    </w:p>
    <w:p w:rsidR="00C8570D" w:rsidP="00C8570D" w14:paraId="10E40B8E" w14:textId="57E0D1D0">
      <w:pPr>
        <w:pStyle w:val="ParagraphContinued"/>
      </w:pPr>
      <w:r w:rsidRPr="00990D3B">
        <w:t xml:space="preserve">A state may request that the EQRO verify the data produced by the MCP to determine if the baseline and repeated measurements are accurate. While the validation </w:t>
      </w:r>
      <w:r w:rsidRPr="00990D3B" w:rsidR="0072673A">
        <w:t xml:space="preserve">and reporting </w:t>
      </w:r>
      <w:r w:rsidRPr="00990D3B">
        <w:t xml:space="preserve">of the PIP methodology and findings </w:t>
      </w:r>
      <w:r w:rsidRPr="00990D3B" w:rsidR="0072673A">
        <w:t>are</w:t>
      </w:r>
      <w:r w:rsidRPr="00990D3B">
        <w:t xml:space="preserve"> mandatory activit</w:t>
      </w:r>
      <w:r w:rsidRPr="00990D3B" w:rsidR="0072673A">
        <w:t>ies</w:t>
      </w:r>
      <w:r w:rsidRPr="00990D3B">
        <w:t xml:space="preserve">, the verification of data or performance measures used in the PIP is optional for EQROs. </w:t>
      </w:r>
      <w:r w:rsidRPr="00A92AFD" w:rsidR="00A92AFD">
        <w:t xml:space="preserve">When conducted, verification of PIP findings should align with established expectations described in </w:t>
      </w:r>
      <w:hyperlink w:anchor="Box1n6" w:history="1">
        <w:r w:rsidRPr="00A92AFD" w:rsidR="00A92AFD">
          <w:rPr>
            <w:rStyle w:val="Hyperlink"/>
          </w:rPr>
          <w:t>Box 1.6</w:t>
        </w:r>
      </w:hyperlink>
      <w:r w:rsidRPr="00A92AFD" w:rsidR="00A92AFD">
        <w:t xml:space="preserve"> (next page).</w:t>
      </w:r>
    </w:p>
    <w:p w:rsidR="003F1423" w:rsidP="00C8570D" w14:paraId="1F252F82" w14:textId="2D32CCB5">
      <w:pPr>
        <w:pStyle w:val="ParagraphContinued"/>
      </w:pPr>
      <w:r w:rsidRPr="00990D3B">
        <w:rPr>
          <w:noProof/>
        </w:rPr>
        <mc:AlternateContent>
          <mc:Choice Requires="wps">
            <w:drawing>
              <wp:anchor distT="0" distB="0" distL="114300" distR="114300" simplePos="0" relativeHeight="252017664" behindDoc="1" locked="0" layoutInCell="1" allowOverlap="1">
                <wp:simplePos x="0" y="0"/>
                <wp:positionH relativeFrom="margin">
                  <wp:align>left</wp:align>
                </wp:positionH>
                <wp:positionV relativeFrom="paragraph">
                  <wp:posOffset>19050</wp:posOffset>
                </wp:positionV>
                <wp:extent cx="5916930" cy="1878330"/>
                <wp:effectExtent l="19050" t="19050" r="26670" b="26670"/>
                <wp:wrapTight wrapText="bothSides">
                  <wp:wrapPolygon>
                    <wp:start x="21670" y="21819"/>
                    <wp:lineTo x="21670" y="-88"/>
                    <wp:lineTo x="-28" y="-88"/>
                    <wp:lineTo x="-28" y="21819"/>
                    <wp:lineTo x="21670" y="21819"/>
                  </wp:wrapPolygon>
                </wp:wrapTight>
                <wp:docPr id="11149608" name="Text Box 2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916930" cy="1878330"/>
                        </a:xfrm>
                        <a:prstGeom prst="rect">
                          <a:avLst/>
                        </a:prstGeom>
                        <a:solidFill>
                          <a:srgbClr val="EEF5F8"/>
                        </a:solidFill>
                        <a:ln w="28575" cap="rnd">
                          <a:solidFill>
                            <a:srgbClr val="A5DAD9"/>
                          </a:solidFill>
                          <a:prstDash val="solid"/>
                          <a:miter lim="800000"/>
                          <a:headEnd/>
                          <a:tailEnd/>
                        </a:ln>
                      </wps:spPr>
                      <wps:txbx>
                        <w:txbxContent>
                          <w:p w:rsidR="00A92AFD" w:rsidRPr="00961B9C" w:rsidP="00A92AFD" w14:textId="77777777">
                            <w:pPr>
                              <w:pStyle w:val="EQRTextboxheading"/>
                            </w:pPr>
                            <w:bookmarkStart w:id="172" w:name="Box1n6"/>
                            <w:r w:rsidRPr="001B5577">
                              <w:t>Box 1.6</w:t>
                            </w:r>
                            <w:bookmarkEnd w:id="172"/>
                            <w:r w:rsidRPr="001B5577">
                              <w:t>. Expectations for Verification of PIP Findings</w:t>
                            </w:r>
                          </w:p>
                          <w:p w:rsidR="00A92AFD" w:rsidP="00A92AFD" w14:textId="77777777">
                            <w:pPr>
                              <w:pStyle w:val="EQRTextboxbody"/>
                            </w:pPr>
                            <w:r>
                              <w:t xml:space="preserve">Activity 3 (Verification of PIP Findings) is an optional PIP Validation activity that a state may elect to have its EQRO conduct. If implemented, the annual EQR technical report must describe the EQRO’s methodology and findings. </w:t>
                            </w:r>
                          </w:p>
                          <w:p w:rsidR="00A92AFD" w:rsidRPr="00E35D96" w:rsidP="00A92AFD" w14:textId="77777777">
                            <w:pPr>
                              <w:pStyle w:val="EQRTextboxbody"/>
                              <w:rPr>
                                <w:rFonts w:asciiTheme="majorHAnsi" w:hAnsiTheme="majorHAnsi" w:cstheme="majorHAnsi"/>
                              </w:rPr>
                            </w:pPr>
                            <w:r w:rsidRPr="00C14846">
                              <w:t xml:space="preserve">If the EQRO elects to validate measures, it is not required to validate all measures included in the PIP. </w:t>
                            </w:r>
                            <w:r w:rsidRPr="00357364">
                              <w:t xml:space="preserve">For example, the EQRO may validate performance or outcome measures while relying on reported process measures (e.g., measures assessing implementation progress, intervention uptake, or participation rates) without independently validating them. </w:t>
                            </w:r>
                            <w:r>
                              <w:t xml:space="preserve">If </w:t>
                            </w:r>
                            <w:r w:rsidRPr="00357364">
                              <w:t>PIP measures are validated</w:t>
                            </w:r>
                            <w:r>
                              <w:t xml:space="preserve">- whether outcome or process measures- </w:t>
                            </w:r>
                            <w:r w:rsidRPr="00357364">
                              <w:t xml:space="preserve">the EQR technical report must </w:t>
                            </w:r>
                            <w:r>
                              <w:t>include (1) a description of the measures validated, (2) the data sources, (3) the criteria or thresholds used to assess their validity and performance, and (4) the EQRO’s</w:t>
                            </w:r>
                            <w:r w:rsidRPr="00357364">
                              <w:t xml:space="preserve"> validation </w:t>
                            </w:r>
                            <w:r>
                              <w:t xml:space="preserve">findings and conclusions. </w:t>
                            </w:r>
                          </w:p>
                          <w:p w:rsidR="005108C5" w:rsidRPr="00E35D96" w:rsidP="005B7C78" w14:textId="46A34ABC">
                            <w:pPr>
                              <w:pStyle w:val="EQRTextboxbullet"/>
                              <w:numPr>
                                <w:ilvl w:val="0"/>
                                <w:numId w:val="0"/>
                              </w:numPr>
                              <w:ind w:left="216" w:hanging="216"/>
                              <w:rPr>
                                <w:rFonts w:asciiTheme="majorHAnsi" w:hAnsiTheme="majorHAnsi" w:cstheme="majorHAnsi"/>
                              </w:rPr>
                            </w:pPr>
                          </w:p>
                        </w:txbxContent>
                      </wps:txbx>
                      <wps:bodyPr rot="0" vert="horz" wrap="square" lIns="109728" tIns="45720" rIns="109728" bIns="45720" anchor="t" anchorCtr="0" upright="1"/>
                    </wps:wsp>
                  </a:graphicData>
                </a:graphic>
                <wp14:sizeRelH relativeFrom="margin">
                  <wp14:pctWidth>0</wp14:pctWidth>
                </wp14:sizeRelH>
                <wp14:sizeRelV relativeFrom="margin">
                  <wp14:pctHeight>0</wp14:pctHeight>
                </wp14:sizeRelV>
              </wp:anchor>
            </w:drawing>
          </mc:Choice>
          <mc:Fallback>
            <w:pict>
              <v:shape id="_x0000_s1073" type="#_x0000_t202" style="width:465.9pt;height:147.9pt;margin-top:1.5pt;margin-left:0;flip:y;mso-height-percent:0;mso-height-relative:margin;mso-position-horizontal:left;mso-position-horizontal-relative:margin;mso-width-percent:0;mso-width-relative:margin;mso-wrap-distance-bottom:0;mso-wrap-distance-left:9pt;mso-wrap-distance-right:9pt;mso-wrap-distance-top:0;mso-wrap-style:square;position:absolute;rotation:180;visibility:visible;v-text-anchor:top;z-index:-251297792" fillcolor="#eef5f8" strokecolor="#a5dad9" strokeweight="2.25pt">
                <v:stroke endcap="round"/>
                <v:textbox inset="8.64pt,,8.64pt">
                  <w:txbxContent>
                    <w:p w:rsidR="00A92AFD" w:rsidRPr="00961B9C" w:rsidP="00A92AFD" w14:paraId="48FC3084" w14:textId="77777777">
                      <w:pPr>
                        <w:pStyle w:val="EQRTextboxheading"/>
                      </w:pPr>
                      <w:bookmarkStart w:id="172" w:name="Box1n6"/>
                      <w:r w:rsidRPr="001B5577">
                        <w:t>Box 1.6</w:t>
                      </w:r>
                      <w:bookmarkEnd w:id="172"/>
                      <w:r w:rsidRPr="001B5577">
                        <w:t>. Expectations for Verification of PIP Findings</w:t>
                      </w:r>
                    </w:p>
                    <w:p w:rsidR="00A92AFD" w:rsidP="00A92AFD" w14:paraId="0DDE08A7" w14:textId="77777777">
                      <w:pPr>
                        <w:pStyle w:val="EQRTextboxbody"/>
                      </w:pPr>
                      <w:r>
                        <w:t xml:space="preserve">Activity 3 (Verification of PIP Findings) is an optional PIP Validation activity that a state may elect to have its EQRO conduct. If implemented, the annual EQR technical report must describe the EQRO’s methodology and findings. </w:t>
                      </w:r>
                    </w:p>
                    <w:p w:rsidR="00A92AFD" w:rsidRPr="00E35D96" w:rsidP="00A92AFD" w14:paraId="19FEBA33" w14:textId="77777777">
                      <w:pPr>
                        <w:pStyle w:val="EQRTextboxbody"/>
                        <w:rPr>
                          <w:rFonts w:asciiTheme="majorHAnsi" w:hAnsiTheme="majorHAnsi" w:cstheme="majorHAnsi"/>
                        </w:rPr>
                      </w:pPr>
                      <w:r w:rsidRPr="00C14846">
                        <w:t xml:space="preserve">If the EQRO elects to validate measures, it is not required to validate all measures included in the PIP. </w:t>
                      </w:r>
                      <w:r w:rsidRPr="00357364">
                        <w:t xml:space="preserve">For example, the EQRO may validate performance or outcome measures while relying on reported process measures (e.g., measures assessing implementation progress, intervention uptake, or participation rates) without independently validating them. </w:t>
                      </w:r>
                      <w:r>
                        <w:t xml:space="preserve">If </w:t>
                      </w:r>
                      <w:r w:rsidRPr="00357364">
                        <w:t>PIP measures are validated</w:t>
                      </w:r>
                      <w:r>
                        <w:t xml:space="preserve">- whether outcome or process measures- </w:t>
                      </w:r>
                      <w:r w:rsidRPr="00357364">
                        <w:t xml:space="preserve">the EQR technical report must </w:t>
                      </w:r>
                      <w:r>
                        <w:t>include (1) a description of the measures validated, (2) the data sources, (3) the criteria or thresholds used to assess their validity and performance, and (4) the EQRO’s</w:t>
                      </w:r>
                      <w:r w:rsidRPr="00357364">
                        <w:t xml:space="preserve"> validation </w:t>
                      </w:r>
                      <w:r>
                        <w:t xml:space="preserve">findings and conclusions. </w:t>
                      </w:r>
                    </w:p>
                    <w:p w:rsidR="005108C5" w:rsidRPr="00E35D96" w:rsidP="005B7C78" w14:paraId="567A7F6B" w14:textId="46A34ABC">
                      <w:pPr>
                        <w:pStyle w:val="EQRTextboxbullet"/>
                        <w:numPr>
                          <w:ilvl w:val="0"/>
                          <w:numId w:val="0"/>
                        </w:numPr>
                        <w:ind w:left="216" w:hanging="216"/>
                        <w:rPr>
                          <w:rFonts w:asciiTheme="majorHAnsi" w:hAnsiTheme="majorHAnsi" w:cstheme="majorHAnsi"/>
                        </w:rPr>
                      </w:pPr>
                    </w:p>
                  </w:txbxContent>
                </v:textbox>
                <w10:wrap type="tight"/>
              </v:shape>
            </w:pict>
          </mc:Fallback>
        </mc:AlternateContent>
      </w:r>
    </w:p>
    <w:p w:rsidR="005B2039" w:rsidRPr="00990D3B" w:rsidP="00C8570D" w14:paraId="76F7E710" w14:textId="315B85B5">
      <w:pPr>
        <w:pStyle w:val="ParagraphContinued"/>
        <w:spacing w:before="120"/>
      </w:pPr>
      <w:r w:rsidRPr="00990D3B">
        <w:t xml:space="preserve">Verification activities can provide added confidence in reported PIP results as they provide greater evidence that the findings are accurate. </w:t>
      </w:r>
      <w:r w:rsidRPr="00990D3B">
        <w:t xml:space="preserve">However, verification is a resource-intensive activity that may not be necessary. For example, </w:t>
      </w:r>
      <w:r w:rsidRPr="00990D3B" w:rsidR="001762D9">
        <w:t>verification may not be needed if the PIP uses HEDIS® measures certified by a third party</w:t>
      </w:r>
      <w:r w:rsidRPr="00990D3B">
        <w:t>. Additionally, the Information System Capabilities Assessment (ISCA) may provide assurances that the processes used to develop measures for the PIP are valid and reliable (</w:t>
      </w:r>
      <w:r w:rsidRPr="00990D3B" w:rsidR="000C32A5">
        <w:t>s</w:t>
      </w:r>
      <w:r w:rsidRPr="00990D3B">
        <w:t xml:space="preserve">ee </w:t>
      </w:r>
      <w:hyperlink w:anchor="AppB" w:tooltip="Appendix B" w:history="1">
        <w:r w:rsidRPr="00990D3B" w:rsidR="00CF5AB3">
          <w:rPr>
            <w:rStyle w:val="Hyperlink"/>
          </w:rPr>
          <w:t>Appendix B</w:t>
        </w:r>
      </w:hyperlink>
      <w:r w:rsidRPr="00990D3B">
        <w:t xml:space="preserve">). Similarly, if the PIP relies on encounter data and the EQRO has conducted encounter data validation, </w:t>
      </w:r>
      <w:r w:rsidRPr="00990D3B" w:rsidR="00A42A28">
        <w:t xml:space="preserve">the </w:t>
      </w:r>
      <w:r w:rsidRPr="00990D3B">
        <w:t xml:space="preserve">optional </w:t>
      </w:r>
      <w:r w:rsidRPr="00990D3B" w:rsidR="00A42A28">
        <w:t xml:space="preserve">EQR-related </w:t>
      </w:r>
      <w:r w:rsidRPr="00990D3B">
        <w:t xml:space="preserve">activity described in </w:t>
      </w:r>
      <w:hyperlink w:anchor="Protocol5" w:tooltip="Protocol 5" w:history="1">
        <w:r w:rsidRPr="00990D3B">
          <w:rPr>
            <w:rStyle w:val="Hyperlink"/>
          </w:rPr>
          <w:t>Protocol 5</w:t>
        </w:r>
      </w:hyperlink>
      <w:r w:rsidRPr="00990D3B">
        <w:t>, further assurances may be provided about the accuracy and completeness of the data used in the PIP.</w:t>
      </w:r>
    </w:p>
    <w:p w:rsidR="005B2039" w:rsidRPr="00990D3B" w:rsidP="00BD1FC3" w14:paraId="1F683991" w14:textId="2338438E">
      <w:pPr>
        <w:pStyle w:val="Paragraph0"/>
      </w:pPr>
      <w:r w:rsidRPr="00990D3B">
        <w:t xml:space="preserve">If a state opts to have the EQRO verify the accuracy of the baseline and repeated measurements, </w:t>
      </w:r>
      <w:r w:rsidRPr="00990D3B" w:rsidR="0093441B">
        <w:t xml:space="preserve">the </w:t>
      </w:r>
      <w:r w:rsidRPr="00990D3B">
        <w:t>EQRO should focus on the processes through which data for the PIP were obtained, processed, and analyzed. The verification process should begin with a thorough review of existing resources:</w:t>
      </w:r>
    </w:p>
    <w:p w:rsidR="005B2039" w:rsidRPr="00990D3B" w:rsidP="00FB7CAF" w14:paraId="7C7520C0" w14:textId="2525C4F0">
      <w:pPr>
        <w:pStyle w:val="EQRBulletBLUE"/>
      </w:pPr>
      <w:r w:rsidRPr="00990D3B">
        <w:t xml:space="preserve">Documentation produced by the MCP about the data, algorithms, and testing (e.g., code reviews) related to </w:t>
      </w:r>
      <w:r w:rsidRPr="00990D3B">
        <w:t>the PIP</w:t>
      </w:r>
      <w:r w:rsidRPr="00990D3B">
        <w:t xml:space="preserve"> data analysis</w:t>
      </w:r>
      <w:r w:rsidRPr="00990D3B" w:rsidR="007C2BAB">
        <w:t>.</w:t>
      </w:r>
    </w:p>
    <w:p w:rsidR="005B2039" w:rsidRPr="00990D3B" w:rsidP="00FB7CAF" w14:paraId="347664FB" w14:textId="4F8DB2DB">
      <w:pPr>
        <w:pStyle w:val="EQRBulletBLUE"/>
      </w:pPr>
      <w:r w:rsidRPr="00990D3B">
        <w:t>The assessment of the MCP’s information system produced as part of the ISCA</w:t>
      </w:r>
      <w:r w:rsidRPr="00990D3B" w:rsidR="007C2BAB">
        <w:t>.</w:t>
      </w:r>
    </w:p>
    <w:p w:rsidR="005B2039" w:rsidRPr="00990D3B" w:rsidP="00FB7CAF" w14:paraId="3D0CB525" w14:textId="648284D9">
      <w:pPr>
        <w:pStyle w:val="EQRBulletBLUE"/>
      </w:pPr>
      <w:r w:rsidRPr="00990D3B">
        <w:t>Any external validations of the accuracy and completeness of MCP encounter data (such as the optional EQR</w:t>
      </w:r>
      <w:r w:rsidRPr="00990D3B" w:rsidR="00A42A28">
        <w:t>-related</w:t>
      </w:r>
      <w:r w:rsidRPr="00990D3B">
        <w:t xml:space="preserve"> activity)</w:t>
      </w:r>
      <w:r w:rsidRPr="00990D3B" w:rsidR="007C2BAB">
        <w:t>.</w:t>
      </w:r>
    </w:p>
    <w:p w:rsidR="005B2039" w:rsidRPr="00990D3B" w:rsidP="00FB7CAF" w14:paraId="2B8E1C9E" w14:textId="267529C6">
      <w:pPr>
        <w:pStyle w:val="EQRBulletBLUE"/>
      </w:pPr>
      <w:r w:rsidRPr="00990D3B">
        <w:t>Results of other EQR</w:t>
      </w:r>
      <w:r w:rsidRPr="00990D3B" w:rsidR="00A42A28">
        <w:t>-related</w:t>
      </w:r>
      <w:r w:rsidRPr="00990D3B">
        <w:t xml:space="preserve"> activities, such as performance measure validation or compliance reviews</w:t>
      </w:r>
      <w:r w:rsidRPr="00990D3B" w:rsidR="007C2BAB">
        <w:t>.</w:t>
      </w:r>
    </w:p>
    <w:p w:rsidR="005B2039" w:rsidRPr="00990D3B" w:rsidP="00FB7CAF" w14:paraId="05EC9A84" w14:textId="4760E970">
      <w:pPr>
        <w:pStyle w:val="EQRBulletBLUE"/>
      </w:pPr>
      <w:r w:rsidRPr="00990D3B">
        <w:t xml:space="preserve">Results of private accreditation reviews or state Medicaid </w:t>
      </w:r>
      <w:r w:rsidRPr="00990D3B" w:rsidR="000D6CA0">
        <w:t xml:space="preserve">and CHIP </w:t>
      </w:r>
      <w:r w:rsidRPr="00990D3B" w:rsidR="00EE29E0">
        <w:t xml:space="preserve">program </w:t>
      </w:r>
      <w:r w:rsidRPr="00990D3B">
        <w:t>audits</w:t>
      </w:r>
      <w:r w:rsidRPr="00990D3B" w:rsidR="007C2BAB">
        <w:t>.</w:t>
      </w:r>
      <w:r w:rsidRPr="00990D3B">
        <w:t xml:space="preserve"> </w:t>
      </w:r>
    </w:p>
    <w:p w:rsidR="005B2039" w:rsidRPr="00990D3B" w:rsidP="00C8570D" w14:paraId="01BFD0DB" w14:textId="31EE2251">
      <w:pPr>
        <w:pStyle w:val="ParagraphContinued"/>
      </w:pPr>
      <w:r w:rsidRPr="00990D3B">
        <w:t>If</w:t>
      </w:r>
      <w:r w:rsidRPr="00990D3B">
        <w:t xml:space="preserve"> no current assessment of an MCP’s information system or encounter data exists, the state may choose to contract this function to </w:t>
      </w:r>
      <w:r w:rsidRPr="00990D3B">
        <w:t>verify the PIP</w:t>
      </w:r>
      <w:r w:rsidRPr="00990D3B" w:rsidR="00937012">
        <w:t>’</w:t>
      </w:r>
      <w:r w:rsidRPr="00990D3B">
        <w:t>s accuracy</w:t>
      </w:r>
      <w:r w:rsidRPr="00990D3B">
        <w:t>.</w:t>
      </w:r>
      <w:r w:rsidR="00C8570D">
        <w:t xml:space="preserve"> </w:t>
      </w:r>
      <w:r w:rsidRPr="00990D3B">
        <w:t>Next, the EQRO should review specific algorithms and results related to the PIP measures. Questions include:</w:t>
      </w:r>
    </w:p>
    <w:p w:rsidR="005B2039" w:rsidRPr="00990D3B" w:rsidP="00FB7CAF" w14:paraId="36BC00E1" w14:textId="1893E1C2">
      <w:pPr>
        <w:pStyle w:val="EQRBulletBLUE"/>
      </w:pPr>
      <w:r w:rsidRPr="00990D3B">
        <w:t>Was the algorithm used to produce the PIP measures sound (that is, does the algorithm measure what it is intended to measure, are the results consistent, and is the code well documented)?</w:t>
      </w:r>
    </w:p>
    <w:p w:rsidR="005B2039" w:rsidRPr="00990D3B" w:rsidP="00FB7CAF" w14:paraId="657A8EBB" w14:textId="1FB663C6">
      <w:pPr>
        <w:pStyle w:val="EQRBulletBLUE"/>
      </w:pPr>
      <w:r w:rsidRPr="00990D3B">
        <w:t xml:space="preserve">For measures calculated using administrative data: Did the MCP’s information system capture enrollee information completely and accurately? To answer this question, the EQRO may need to validate a sample of records to ensure </w:t>
      </w:r>
      <w:r w:rsidRPr="00990D3B" w:rsidR="009D5E39">
        <w:t xml:space="preserve">the encounter data </w:t>
      </w:r>
      <w:r w:rsidRPr="00990D3B" w:rsidR="009D5E39">
        <w:t>are</w:t>
      </w:r>
      <w:r w:rsidRPr="00990D3B" w:rsidR="009D5E39">
        <w:t xml:space="preserve"> complete</w:t>
      </w:r>
      <w:r w:rsidRPr="00990D3B" w:rsidR="007C2BAB">
        <w:t>.</w:t>
      </w:r>
    </w:p>
    <w:p w:rsidR="005B2039" w:rsidRPr="00990D3B" w:rsidP="00FB7CAF" w14:paraId="29C2885B" w14:textId="7A8F4BAB">
      <w:pPr>
        <w:pStyle w:val="EQRBulletBLUE"/>
      </w:pPr>
      <w:r w:rsidRPr="00990D3B">
        <w:t xml:space="preserve">For measures produced through medical record review: Did the MCP </w:t>
      </w:r>
      <w:r w:rsidRPr="00990D3B" w:rsidR="001762D9">
        <w:t>re-abstraction</w:t>
      </w:r>
      <w:r w:rsidRPr="00990D3B">
        <w:t xml:space="preserve"> a small subset (validation sample) of the reviewed </w:t>
      </w:r>
      <w:r w:rsidRPr="00990D3B">
        <w:t>records to</w:t>
      </w:r>
      <w:r w:rsidRPr="00990D3B">
        <w:t xml:space="preserve"> ensure the abstraction was complete and accurate? Data retrieval and analysis should be conducted on a small scale, with the validation sample following the same rules as the origi</w:t>
      </w:r>
      <w:r w:rsidRPr="00990D3B" w:rsidR="009D5E39">
        <w:t xml:space="preserve">nal </w:t>
      </w:r>
      <w:r w:rsidRPr="00990D3B" w:rsidR="00455EFF">
        <w:t>PIP.</w:t>
      </w:r>
    </w:p>
    <w:p w:rsidR="00E25EAE" w:rsidRPr="00990D3B" w:rsidP="00BD1FC3" w14:paraId="529BF6CB" w14:textId="3E166761">
      <w:pPr>
        <w:pStyle w:val="ParagraphContinued"/>
      </w:pPr>
      <w:r w:rsidRPr="00990D3B">
        <w:t xml:space="preserve">If validation of a sample of records is performed, the EQRO should perform statistical correlations between the validation sample and the original </w:t>
      </w:r>
      <w:r w:rsidRPr="00990D3B" w:rsidR="00455EFF">
        <w:t xml:space="preserve">PIP </w:t>
      </w:r>
      <w:r w:rsidRPr="00990D3B">
        <w:t xml:space="preserve">data. A variety of statistical methods can be applied to assess the degree of correlation between the </w:t>
      </w:r>
      <w:r w:rsidRPr="00990D3B" w:rsidR="00455EFF">
        <w:t xml:space="preserve">PIP </w:t>
      </w:r>
      <w:r w:rsidRPr="00990D3B">
        <w:t xml:space="preserve">and validation measures. Two recommended methods are the Pearson correlation coefficient for continuous data (e.g., age, income) and the Kappa statistic for categorical data (e.g., </w:t>
      </w:r>
      <w:r w:rsidRPr="00990D3B" w:rsidR="00A27E6A">
        <w:t>sex</w:t>
      </w:r>
      <w:r w:rsidRPr="00990D3B">
        <w:t>, race). Assessing the algorithm together with the integrity of the data will provide a strong indication of the accuracy of the PIP</w:t>
      </w:r>
      <w:r w:rsidRPr="00990D3B" w:rsidR="00961B9C">
        <w:t>’</w:t>
      </w:r>
      <w:r w:rsidRPr="00990D3B">
        <w:t xml:space="preserve">s findings. </w:t>
      </w:r>
    </w:p>
    <w:p w:rsidR="006764F3" w:rsidRPr="00990D3B" w:rsidP="00BD1FC3" w14:paraId="45DF79AA" w14:textId="7EE3BE41">
      <w:pPr>
        <w:pStyle w:val="H2"/>
      </w:pPr>
      <w:bookmarkStart w:id="173" w:name="P1A4"/>
      <w:bookmarkStart w:id="174" w:name="_Toc183005572"/>
      <w:bookmarkStart w:id="175" w:name="_Toc201751343"/>
      <w:r w:rsidRPr="00990D3B">
        <w:t>Activity 4:</w:t>
      </w:r>
      <w:bookmarkEnd w:id="173"/>
      <w:r w:rsidRPr="00990D3B">
        <w:t xml:space="preserve"> Report Results to the State</w:t>
      </w:r>
      <w:bookmarkEnd w:id="174"/>
      <w:bookmarkEnd w:id="175"/>
    </w:p>
    <w:p w:rsidR="00BD3E44" w:rsidP="00637811" w14:paraId="02E30F70" w14:textId="4583A14A">
      <w:pPr>
        <w:pStyle w:val="ParagraphContinued"/>
      </w:pPr>
      <w:r w:rsidRPr="00990D3B" w:rsidR="00A076FF">
        <w:t>In this activity, the EQRO reports its findings to the state</w:t>
      </w:r>
      <w:r w:rsidRPr="00990D3B" w:rsidR="00AD4BFF">
        <w:t>.</w:t>
      </w:r>
      <w:r w:rsidRPr="00990D3B" w:rsidR="00A076FF">
        <w:rPr>
          <w:rFonts w:ascii="ZWAdobeF" w:hAnsi="ZWAdobeF" w:cs="ZWAdobeF"/>
          <w:sz w:val="2"/>
          <w:szCs w:val="2"/>
        </w:rPr>
        <w:t>35F</w:t>
      </w:r>
      <w:r w:rsidRPr="00990D3B" w:rsidR="00AD4BFF">
        <w:rPr>
          <w:rFonts w:ascii="ZWAdobeF" w:hAnsi="ZWAdobeF" w:cs="ZWAdobeF"/>
          <w:sz w:val="2"/>
          <w:szCs w:val="2"/>
        </w:rPr>
        <w:t xml:space="preserve"> </w:t>
      </w:r>
      <w:r>
        <w:rPr>
          <w:rStyle w:val="FootnoteReference"/>
        </w:rPr>
        <w:footnoteReference w:id="40"/>
      </w:r>
      <w:r w:rsidRPr="00990D3B" w:rsidR="00AD4BFF">
        <w:rPr>
          <w:rFonts w:ascii="ZWAdobeF" w:hAnsi="ZWAdobeF" w:cs="ZWAdobeF"/>
          <w:sz w:val="2"/>
          <w:szCs w:val="2"/>
        </w:rPr>
        <w:t xml:space="preserve">  </w:t>
      </w:r>
      <w:r w:rsidRPr="00990D3B" w:rsidR="00AD4BFF">
        <w:t>When sharing findings, the EQRO should</w:t>
      </w:r>
      <w:r w:rsidRPr="00990D3B" w:rsidR="00A076FF">
        <w:t xml:space="preserve"> include a description of the PIPs that were validated</w:t>
      </w:r>
      <w:r w:rsidRPr="00990D3B" w:rsidR="008A3144">
        <w:t xml:space="preserve"> </w:t>
      </w:r>
      <w:r w:rsidRPr="00990D3B" w:rsidR="00A076FF">
        <w:t>and</w:t>
      </w:r>
      <w:r w:rsidRPr="00990D3B" w:rsidR="008A3144">
        <w:t xml:space="preserve"> </w:t>
      </w:r>
      <w:r w:rsidRPr="00990D3B" w:rsidR="00A076FF">
        <w:t>the findings of the EQRO’s validation review. The EQRO must include the validation results in the final EQR technical report</w:t>
      </w:r>
      <w:r w:rsidRPr="00990D3B" w:rsidR="00AD4BFF">
        <w:t xml:space="preserve">, as well as </w:t>
      </w:r>
      <w:r w:rsidRPr="00990D3B" w:rsidR="00A076FF">
        <w:t xml:space="preserve">the performance measurement data </w:t>
      </w:r>
      <w:r w:rsidRPr="00990D3B" w:rsidR="00AD4BFF">
        <w:t xml:space="preserve">(such as the PIP variable rates) and findings from quantitative assessments </w:t>
      </w:r>
      <w:r w:rsidRPr="00990D3B" w:rsidR="00A076FF">
        <w:t>conducted as part of th</w:t>
      </w:r>
      <w:r w:rsidRPr="00990D3B" w:rsidR="00AD4BFF">
        <w:t>e PIP validation activity</w:t>
      </w:r>
      <w:r w:rsidRPr="00990D3B" w:rsidR="00A076FF">
        <w:t>.</w:t>
      </w:r>
      <w:r w:rsidRPr="00990D3B" w:rsidR="00A076FF">
        <w:rPr>
          <w:rFonts w:ascii="ZWAdobeF" w:hAnsi="ZWAdobeF" w:cs="ZWAdobeF"/>
          <w:sz w:val="2"/>
          <w:szCs w:val="2"/>
        </w:rPr>
        <w:t>3</w:t>
      </w:r>
      <w:r>
        <w:rPr>
          <w:rStyle w:val="FootnoteReference"/>
        </w:rPr>
        <w:footnoteReference w:id="41"/>
      </w:r>
      <w:r w:rsidRPr="00990D3B" w:rsidR="00A076FF">
        <w:t xml:space="preserve"> </w:t>
      </w:r>
      <w:hyperlink w:anchor="Box1n7" w:tooltip="Box 1.6" w:history="1">
        <w:r w:rsidR="00F34F53">
          <w:rPr>
            <w:rStyle w:val="Hyperlink"/>
          </w:rPr>
          <w:t>Box 1.7</w:t>
        </w:r>
      </w:hyperlink>
      <w:r w:rsidRPr="00A3358C" w:rsidR="00A44228">
        <w:rPr>
          <w:color w:val="005968"/>
        </w:rPr>
        <w:t xml:space="preserve"> </w:t>
      </w:r>
      <w:r w:rsidRPr="00A3358C" w:rsidR="00DB5A7C">
        <w:rPr>
          <w:color w:val="005968"/>
        </w:rPr>
        <w:t xml:space="preserve">(next page) </w:t>
      </w:r>
      <w:r w:rsidRPr="00990D3B" w:rsidR="00A44228">
        <w:t>shares additional guidance on these requirements.</w:t>
      </w:r>
      <w:bookmarkStart w:id="176" w:name="_Hlk188624390"/>
      <w:r w:rsidRPr="00990D3B" w:rsidR="0018310F">
        <w:t xml:space="preserve"> S</w:t>
      </w:r>
      <w:r w:rsidRPr="00990D3B" w:rsidR="00A076FF">
        <w:t>ee “</w:t>
      </w:r>
      <w:r w:rsidRPr="00990D3B" w:rsidR="00D307D3">
        <w:t>EQR Reporting</w:t>
      </w:r>
      <w:r w:rsidRPr="00990D3B" w:rsidR="00A076FF">
        <w:t xml:space="preserve">” in the </w:t>
      </w:r>
      <w:hyperlink w:anchor="Introduction" w:tooltip="Introduction" w:history="1">
        <w:r w:rsidRPr="00990D3B" w:rsidR="00A076FF">
          <w:rPr>
            <w:rStyle w:val="Hyperlink"/>
          </w:rPr>
          <w:t>Introduction</w:t>
        </w:r>
      </w:hyperlink>
      <w:r w:rsidRPr="00990D3B" w:rsidR="00A076FF">
        <w:t xml:space="preserve"> for further guidance </w:t>
      </w:r>
      <w:r w:rsidRPr="00990D3B" w:rsidR="006801B1">
        <w:t>on producing</w:t>
      </w:r>
      <w:r w:rsidRPr="00990D3B" w:rsidR="00A076FF">
        <w:t xml:space="preserve"> a clear and concise report</w:t>
      </w:r>
      <w:bookmarkEnd w:id="176"/>
      <w:r w:rsidRPr="00990D3B" w:rsidR="00A076FF">
        <w:t xml:space="preserve">. </w:t>
      </w:r>
    </w:p>
    <w:p w:rsidR="00BD3E44" w:rsidP="00BD1FC3" w14:paraId="14FD682C" w14:textId="7DE02EB9">
      <w:pPr>
        <w:pStyle w:val="Paragraph0"/>
      </w:pPr>
      <w:r w:rsidRPr="001B5577">
        <w:t xml:space="preserve">EQR technical reports must include all PIPs underway during the 12 months preceding the EQR activity. As a result, reports may need to address </w:t>
      </w:r>
      <w:r w:rsidRPr="001B5577">
        <w:t>a large number of</w:t>
      </w:r>
      <w:r w:rsidRPr="001B5577">
        <w:t xml:space="preserve"> PIPs. See </w:t>
      </w:r>
      <w:hyperlink w:anchor="Box1n8" w:history="1">
        <w:r w:rsidRPr="001B5577">
          <w:rPr>
            <w:rStyle w:val="Hyperlink"/>
          </w:rPr>
          <w:t>Box 1.8</w:t>
        </w:r>
      </w:hyperlink>
      <w:r w:rsidRPr="001B5577">
        <w:t xml:space="preserve"> for guidance on reporting on high-volume PIPs</w:t>
      </w:r>
      <w:r w:rsidRPr="00A22586" w:rsidR="00824EA7">
        <w:rPr>
          <w:noProof/>
          <w:highlight w:val="yellow"/>
        </w:rPr>
        <mc:AlternateContent>
          <mc:Choice Requires="wps">
            <w:drawing>
              <wp:anchor distT="0" distB="0" distL="114300" distR="114300" simplePos="0" relativeHeight="252023808" behindDoc="1" locked="0" layoutInCell="1" allowOverlap="1">
                <wp:simplePos x="0" y="0"/>
                <wp:positionH relativeFrom="margin">
                  <wp:posOffset>-6985</wp:posOffset>
                </wp:positionH>
                <wp:positionV relativeFrom="paragraph">
                  <wp:posOffset>915670</wp:posOffset>
                </wp:positionV>
                <wp:extent cx="3945890" cy="5268595"/>
                <wp:effectExtent l="19050" t="19050" r="16510" b="27305"/>
                <wp:wrapTight wrapText="bothSides">
                  <wp:wrapPolygon>
                    <wp:start x="21704" y="21678"/>
                    <wp:lineTo x="21704" y="-34"/>
                    <wp:lineTo x="14" y="-34"/>
                    <wp:lineTo x="14" y="21678"/>
                    <wp:lineTo x="21704" y="21678"/>
                  </wp:wrapPolygon>
                </wp:wrapTight>
                <wp:docPr id="728373523" name="Text Box 2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3945890" cy="5268595"/>
                        </a:xfrm>
                        <a:prstGeom prst="rect">
                          <a:avLst/>
                        </a:prstGeom>
                        <a:solidFill>
                          <a:srgbClr val="EEF5F8"/>
                        </a:solidFill>
                        <a:ln w="28575" cap="rnd">
                          <a:solidFill>
                            <a:srgbClr val="A5DAD9"/>
                          </a:solidFill>
                          <a:prstDash val="solid"/>
                          <a:miter lim="800000"/>
                          <a:headEnd/>
                          <a:tailEnd/>
                        </a:ln>
                      </wps:spPr>
                      <wps:txbx>
                        <w:txbxContent>
                          <w:p w:rsidR="00592622" w14:textId="6E019167">
                            <w:pPr>
                              <w:pStyle w:val="EQRTextboxheading"/>
                            </w:pPr>
                            <w:bookmarkStart w:id="177" w:name="Box1n8"/>
                            <w:r w:rsidRPr="00592622">
                              <w:rPr>
                                <w:highlight w:val="none"/>
                              </w:rPr>
                              <w:t>Box 1.8</w:t>
                            </w:r>
                            <w:bookmarkEnd w:id="177"/>
                            <w:r w:rsidRPr="00592622">
                              <w:rPr>
                                <w:highlight w:val="none"/>
                              </w:rPr>
                              <w:t>. Considerations for Reporting on High-Volume PIPs</w:t>
                            </w:r>
                          </w:p>
                          <w:p w:rsidR="00592622" w:rsidP="00592622" w14:textId="77777777">
                            <w:pPr>
                              <w:pStyle w:val="EQRTextboxbody"/>
                            </w:pPr>
                            <w:r>
                              <w:t>When reporting on a high volume of concurrent PIPs, the EQR technical report should prioritize sharing validation findings and progress toward improvement while maintaining compliance with federal reporting requirements. The following approaches may be used to streamline reporting:</w:t>
                            </w:r>
                          </w:p>
                          <w:p w:rsidR="00592622" w:rsidP="00592622" w14:textId="77777777">
                            <w:pPr>
                              <w:pStyle w:val="EQRTextboxbullet"/>
                            </w:pPr>
                            <w:r w:rsidRPr="00C14846">
                              <w:rPr>
                                <w:b/>
                                <w:bCs/>
                              </w:rPr>
                              <w:t>Tier reporting by PIP phase.</w:t>
                            </w:r>
                            <w:r>
                              <w:t xml:space="preserve"> Tailor the level of detail to the PIP phase. For example, planning-phase PIPs may focus on design validation findings; implementation-phase PIPs could focus on progress, barriers, and recommendations; and completed PIPs should include full outcomes analysis, statistical results, and final conclusions regarding effectiveness and sustainability. Note when data are unavailable due to PIP phase.</w:t>
                            </w:r>
                          </w:p>
                          <w:p w:rsidR="00592622" w:rsidP="00592622" w14:textId="77777777">
                            <w:pPr>
                              <w:pStyle w:val="EQRTextboxbullet"/>
                            </w:pPr>
                            <w:r w:rsidRPr="00C14846">
                              <w:rPr>
                                <w:b/>
                                <w:bCs/>
                              </w:rPr>
                              <w:t>Cross-reference previously reported information and focus on updates.</w:t>
                            </w:r>
                            <w:r>
                              <w:t xml:space="preserve"> Background elements (e.g., rationale, baseline data, intervention descriptions) that were fully described in a prior EQR technical report need not be restated. Instead, reference and link to earlier reports and summarize updates, new findings and recommendations. For ongoing PIPs, emphasize validation determinations, key recommendations, and progress toward improvement, rather than reproducing detailed PIP documentation.  </w:t>
                            </w:r>
                          </w:p>
                          <w:p w:rsidR="00592622" w:rsidP="00592622" w14:textId="77777777">
                            <w:pPr>
                              <w:pStyle w:val="EQRTextboxbullet"/>
                            </w:pPr>
                            <w:r w:rsidRPr="00C14846">
                              <w:rPr>
                                <w:b/>
                                <w:bCs/>
                              </w:rPr>
                              <w:t>Use appendices for detailed PIP data.</w:t>
                            </w:r>
                            <w:r>
                              <w:t xml:space="preserve"> Include detailed PIP documentation in appendices while keeping the main body of the EQR technical report focused on validation conclusions, cross-cutting trends, and recommendations.</w:t>
                            </w:r>
                          </w:p>
                          <w:p w:rsidR="00592622" w:rsidP="00592622" w14:textId="77777777">
                            <w:pPr>
                              <w:pStyle w:val="EQRTextboxbullet"/>
                            </w:pPr>
                            <w:r>
                              <w:rPr>
                                <w:b/>
                                <w:bCs/>
                              </w:rPr>
                              <w:t>O</w:t>
                            </w:r>
                            <w:r w:rsidRPr="00C14846">
                              <w:rPr>
                                <w:b/>
                                <w:bCs/>
                              </w:rPr>
                              <w:t>rganize PIPs strategically.</w:t>
                            </w:r>
                            <w:r>
                              <w:t xml:space="preserve"> Group PIPs by line of business, topic area, or shared intervention focus to streamline presentation and reduce duplicative narrative.</w:t>
                            </w:r>
                          </w:p>
                          <w:p w:rsidR="00592622" w:rsidP="00592622" w14:textId="77777777">
                            <w:pPr>
                              <w:pStyle w:val="EQRTextboxbullet"/>
                              <w:rPr>
                                <w:rFonts w:asciiTheme="majorHAnsi" w:hAnsiTheme="majorHAnsi" w:cstheme="majorHAnsi"/>
                              </w:rPr>
                            </w:pPr>
                            <w:r w:rsidRPr="00C14846">
                              <w:rPr>
                                <w:b/>
                                <w:bCs/>
                              </w:rPr>
                              <w:t>Avoid duplicating publicly available MCP reports.</w:t>
                            </w:r>
                            <w:r>
                              <w:t xml:space="preserve"> If MCP-submitted PIP reports are publicly available, the EQR technical report need not reproduce the content. Instead, provide a link to PIP documentation and summarize key validation findings, conclusions, and recommendations.</w:t>
                            </w:r>
                            <w:r w:rsidRPr="00961B9C">
                              <w:rPr>
                                <w:rFonts w:asciiTheme="majorHAnsi" w:hAnsiTheme="majorHAnsi" w:cstheme="majorHAnsi"/>
                              </w:rPr>
                              <w:t xml:space="preserve"> </w:t>
                            </w:r>
                          </w:p>
                          <w:p w:rsidR="00C8570D" w:rsidRPr="00E35D96" w:rsidP="00C8570D" w14:textId="77777777">
                            <w:pPr>
                              <w:pStyle w:val="EQRTextboxheading"/>
                              <w:rPr>
                                <w:rFonts w:asciiTheme="majorHAnsi" w:hAnsiTheme="majorHAnsi" w:cstheme="majorHAnsi"/>
                              </w:rPr>
                            </w:pPr>
                          </w:p>
                        </w:txbxContent>
                      </wps:txbx>
                      <wps:bodyPr rot="0" vert="horz" wrap="square" lIns="109728" tIns="45720" rIns="109728" bIns="45720" anchor="t" anchorCtr="0" upright="1"/>
                    </wps:wsp>
                  </a:graphicData>
                </a:graphic>
                <wp14:sizeRelH relativeFrom="margin">
                  <wp14:pctWidth>0</wp14:pctWidth>
                </wp14:sizeRelH>
                <wp14:sizeRelV relativeFrom="margin">
                  <wp14:pctHeight>0</wp14:pctHeight>
                </wp14:sizeRelV>
              </wp:anchor>
            </w:drawing>
          </mc:Choice>
          <mc:Fallback>
            <w:pict>
              <v:shape id="_x0000_s1074" type="#_x0000_t202" style="width:310.7pt;height:414.85pt;margin-top:72.1pt;margin-left:-0.55pt;flip:y;mso-height-percent:0;mso-height-relative:margin;mso-position-horizontal-relative:margin;mso-width-percent:0;mso-width-relative:margin;mso-wrap-distance-bottom:0;mso-wrap-distance-left:9pt;mso-wrap-distance-right:9pt;mso-wrap-distance-top:0;mso-wrap-style:square;position:absolute;rotation:180;visibility:visible;v-text-anchor:top;z-index:-251291648" fillcolor="#eef5f8" strokecolor="#a5dad9" strokeweight="2.25pt">
                <v:stroke endcap="round"/>
                <v:textbox inset="8.64pt,,8.64pt">
                  <w:txbxContent>
                    <w:p w:rsidR="00592622" w14:paraId="07EA3C6E" w14:textId="6E019167">
                      <w:pPr>
                        <w:pStyle w:val="EQRTextboxheading"/>
                      </w:pPr>
                      <w:bookmarkStart w:id="177" w:name="Box1n8"/>
                      <w:r w:rsidRPr="00592622">
                        <w:rPr>
                          <w:highlight w:val="none"/>
                        </w:rPr>
                        <w:t>Box 1.8</w:t>
                      </w:r>
                      <w:bookmarkEnd w:id="177"/>
                      <w:r w:rsidRPr="00592622">
                        <w:rPr>
                          <w:highlight w:val="none"/>
                        </w:rPr>
                        <w:t>. Considerations for Reporting on High-Volume PIPs</w:t>
                      </w:r>
                    </w:p>
                    <w:p w:rsidR="00592622" w:rsidP="00592622" w14:paraId="5CD860AD" w14:textId="77777777">
                      <w:pPr>
                        <w:pStyle w:val="EQRTextboxbody"/>
                      </w:pPr>
                      <w:r>
                        <w:t>When reporting on a high volume of concurrent PIPs, the EQR technical report should prioritize sharing validation findings and progress toward improvement while maintaining compliance with federal reporting requirements. The following approaches may be used to streamline reporting:</w:t>
                      </w:r>
                    </w:p>
                    <w:p w:rsidR="00592622" w:rsidP="00592622" w14:paraId="7401B7FE" w14:textId="77777777">
                      <w:pPr>
                        <w:pStyle w:val="EQRTextboxbullet"/>
                      </w:pPr>
                      <w:r w:rsidRPr="00C14846">
                        <w:rPr>
                          <w:b/>
                          <w:bCs/>
                        </w:rPr>
                        <w:t>Tier reporting by PIP phase.</w:t>
                      </w:r>
                      <w:r>
                        <w:t xml:space="preserve"> Tailor the level of detail to the PIP phase. For example, planning-phase PIPs may focus on design validation findings; implementation-phase PIPs could focus on progress, barriers, and recommendations; and completed PIPs should include full outcomes analysis, statistical results, and final conclusions regarding effectiveness and sustainability. Note when data are unavailable due to PIP phase.</w:t>
                      </w:r>
                    </w:p>
                    <w:p w:rsidR="00592622" w:rsidP="00592622" w14:paraId="00FC81BD" w14:textId="77777777">
                      <w:pPr>
                        <w:pStyle w:val="EQRTextboxbullet"/>
                      </w:pPr>
                      <w:r w:rsidRPr="00C14846">
                        <w:rPr>
                          <w:b/>
                          <w:bCs/>
                        </w:rPr>
                        <w:t>Cross-reference previously reported information and focus on updates.</w:t>
                      </w:r>
                      <w:r>
                        <w:t xml:space="preserve"> Background elements (e.g., rationale, baseline data, intervention descriptions) that were fully described in a prior EQR technical report need not be restated. Instead, reference and link to earlier reports and summarize updates, new findings and recommendations. For ongoing PIPs, emphasize validation determinations, key recommendations, and progress toward improvement, rather than reproducing detailed PIP documentation.  </w:t>
                      </w:r>
                    </w:p>
                    <w:p w:rsidR="00592622" w:rsidP="00592622" w14:paraId="7209E9E0" w14:textId="77777777">
                      <w:pPr>
                        <w:pStyle w:val="EQRTextboxbullet"/>
                      </w:pPr>
                      <w:r w:rsidRPr="00C14846">
                        <w:rPr>
                          <w:b/>
                          <w:bCs/>
                        </w:rPr>
                        <w:t>Use appendices for detailed PIP data.</w:t>
                      </w:r>
                      <w:r>
                        <w:t xml:space="preserve"> Include detailed PIP documentation in appendices while keeping the main body of the EQR technical report focused on validation conclusions, cross-cutting trends, and recommendations.</w:t>
                      </w:r>
                    </w:p>
                    <w:p w:rsidR="00592622" w:rsidP="00592622" w14:paraId="015E3BC1" w14:textId="77777777">
                      <w:pPr>
                        <w:pStyle w:val="EQRTextboxbullet"/>
                      </w:pPr>
                      <w:r>
                        <w:rPr>
                          <w:b/>
                          <w:bCs/>
                        </w:rPr>
                        <w:t>O</w:t>
                      </w:r>
                      <w:r w:rsidRPr="00C14846">
                        <w:rPr>
                          <w:b/>
                          <w:bCs/>
                        </w:rPr>
                        <w:t>rganize PIPs strategically.</w:t>
                      </w:r>
                      <w:r>
                        <w:t xml:space="preserve"> Group PIPs by line of business, topic area, or shared intervention focus to streamline presentation and reduce duplicative narrative.</w:t>
                      </w:r>
                    </w:p>
                    <w:p w:rsidR="00592622" w:rsidP="00592622" w14:paraId="1727000E" w14:textId="77777777">
                      <w:pPr>
                        <w:pStyle w:val="EQRTextboxbullet"/>
                        <w:rPr>
                          <w:rFonts w:asciiTheme="majorHAnsi" w:hAnsiTheme="majorHAnsi" w:cstheme="majorHAnsi"/>
                        </w:rPr>
                      </w:pPr>
                      <w:r w:rsidRPr="00C14846">
                        <w:rPr>
                          <w:b/>
                          <w:bCs/>
                        </w:rPr>
                        <w:t>Avoid duplicating publicly available MCP reports.</w:t>
                      </w:r>
                      <w:r>
                        <w:t xml:space="preserve"> If MCP-submitted PIP reports are publicly available, the EQR technical report need not reproduce the content. Instead, provide a link to PIP documentation and summarize key validation findings, conclusions, and recommendations.</w:t>
                      </w:r>
                      <w:r w:rsidRPr="00961B9C">
                        <w:rPr>
                          <w:rFonts w:asciiTheme="majorHAnsi" w:hAnsiTheme="majorHAnsi" w:cstheme="majorHAnsi"/>
                        </w:rPr>
                        <w:t xml:space="preserve"> </w:t>
                      </w:r>
                    </w:p>
                    <w:p w:rsidR="00C8570D" w:rsidRPr="00E35D96" w:rsidP="00C8570D" w14:paraId="3F731916" w14:textId="77777777">
                      <w:pPr>
                        <w:pStyle w:val="EQRTextboxheading"/>
                        <w:rPr>
                          <w:rFonts w:asciiTheme="majorHAnsi" w:hAnsiTheme="majorHAnsi" w:cstheme="majorHAnsi"/>
                        </w:rPr>
                      </w:pPr>
                    </w:p>
                  </w:txbxContent>
                </v:textbox>
                <w10:wrap type="tight"/>
              </v:shape>
            </w:pict>
          </mc:Fallback>
        </mc:AlternateContent>
      </w:r>
      <w:r w:rsidRPr="00A22586" w:rsidR="00A22586">
        <w:rPr>
          <w:noProof/>
          <w:highlight w:val="yellow"/>
        </w:rPr>
        <mc:AlternateContent>
          <mc:Choice Requires="wps">
            <w:drawing>
              <wp:anchor distT="0" distB="0" distL="114300" distR="114300" simplePos="0" relativeHeight="252021760" behindDoc="0" locked="0" layoutInCell="1" allowOverlap="1">
                <wp:simplePos x="0" y="0"/>
                <wp:positionH relativeFrom="margin">
                  <wp:posOffset>4209942</wp:posOffset>
                </wp:positionH>
                <wp:positionV relativeFrom="paragraph">
                  <wp:posOffset>1079261</wp:posOffset>
                </wp:positionV>
                <wp:extent cx="2193925" cy="3138170"/>
                <wp:effectExtent l="19050" t="19050" r="15875" b="24130"/>
                <wp:wrapTight wrapText="bothSides">
                  <wp:wrapPolygon>
                    <wp:start x="21788" y="21731"/>
                    <wp:lineTo x="21788" y="-35"/>
                    <wp:lineTo x="31" y="-35"/>
                    <wp:lineTo x="31" y="21731"/>
                    <wp:lineTo x="21788" y="21731"/>
                  </wp:wrapPolygon>
                </wp:wrapTight>
                <wp:docPr id="592013596" name="Text Box 19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3138170"/>
                        </a:xfrm>
                        <a:prstGeom prst="rect">
                          <a:avLst/>
                        </a:prstGeom>
                        <a:solidFill>
                          <a:srgbClr val="EEF5F8"/>
                        </a:solidFill>
                        <a:ln w="28575" cap="rnd">
                          <a:solidFill>
                            <a:srgbClr val="A5DAD9"/>
                          </a:solidFill>
                          <a:prstDash val="solid"/>
                          <a:miter lim="800000"/>
                          <a:headEnd/>
                          <a:tailEnd/>
                        </a:ln>
                      </wps:spPr>
                      <wps:txbx>
                        <w:txbxContent>
                          <w:p w:rsidR="00C8570D" w:rsidRPr="00961B9C" w:rsidP="00C8570D" w14:textId="77777777">
                            <w:pPr>
                              <w:pStyle w:val="EQRTextboxheading"/>
                              <w:rPr>
                                <w:b/>
                                <w:position w:val="6"/>
                              </w:rPr>
                            </w:pPr>
                            <w:r w:rsidRPr="00865483">
                              <w:t>Resources for Activity 4</w:t>
                            </w:r>
                          </w:p>
                          <w:p w:rsidR="00C8570D" w:rsidRPr="00961B9C" w:rsidP="00C8570D" w14:textId="77777777">
                            <w:pPr>
                              <w:pStyle w:val="EQRTextboxbody"/>
                              <w:suppressOverlap/>
                            </w:pPr>
                            <w:hyperlink w:anchor="WSp1n11" w:tooltip="Worksheet 1.11. Framework for Summarizing Information about PIPs" w:history="1">
                              <w:r w:rsidRPr="00961B9C">
                                <w:rPr>
                                  <w:rStyle w:val="Hyperlink"/>
                                </w:rPr>
                                <w:t>Worksheet 1.11. Framework for Summarizing Information about PIPs</w:t>
                              </w:r>
                            </w:hyperlink>
                          </w:p>
                          <w:p w:rsidR="00C8570D" w:rsidRPr="00961B9C" w:rsidP="00C8570D" w14:textId="05586708">
                            <w:pPr>
                              <w:pStyle w:val="EQRTextboxbullet"/>
                              <w:suppressOverlap/>
                              <w:rPr>
                                <w:spacing w:val="-2"/>
                              </w:rPr>
                            </w:pPr>
                            <w:r w:rsidRPr="00961B9C">
                              <w:t xml:space="preserve">Provides a structure for reporting </w:t>
                            </w:r>
                            <w:r>
                              <w:t>PIP-</w:t>
                            </w:r>
                            <w:r w:rsidR="00824EA7">
                              <w:t xml:space="preserve">level </w:t>
                            </w:r>
                            <w:r w:rsidRPr="00961B9C" w:rsidR="00824EA7">
                              <w:t>information</w:t>
                            </w:r>
                            <w:r w:rsidRPr="00961B9C">
                              <w:t xml:space="preserve"> </w:t>
                            </w:r>
                            <w:r>
                              <w:t xml:space="preserve">assessed during the PIP validation activity </w:t>
                            </w:r>
                          </w:p>
                          <w:p w:rsidR="00C8570D" w:rsidRPr="00961B9C" w:rsidP="00C8570D" w14:textId="77777777">
                            <w:pPr>
                              <w:pStyle w:val="EQRTextboxbody"/>
                              <w:suppressOverlap/>
                            </w:pPr>
                            <w:hyperlink w:anchor="WSp1n12" w:tooltip="Worksheet 1.12. PIP Validation Reporting Template" w:history="1">
                              <w:r w:rsidRPr="00961B9C">
                                <w:rPr>
                                  <w:rStyle w:val="Hyperlink"/>
                                </w:rPr>
                                <w:t>Worksheet 1.12. PIP Validation Reporting Template</w:t>
                              </w:r>
                            </w:hyperlink>
                          </w:p>
                          <w:p w:rsidR="00C8570D" w:rsidRPr="00961B9C" w:rsidP="00C8570D" w14:textId="77777777">
                            <w:pPr>
                              <w:pStyle w:val="EQRTextboxbullet"/>
                              <w:suppressOverlap/>
                              <w:rPr>
                                <w:spacing w:val="-2"/>
                              </w:rPr>
                            </w:pPr>
                            <w:r w:rsidRPr="00961B9C">
                              <w:t xml:space="preserve">Provides a template for reporting </w:t>
                            </w:r>
                            <w:r>
                              <w:t xml:space="preserve">PIP </w:t>
                            </w:r>
                            <w:r w:rsidRPr="00961B9C">
                              <w:t xml:space="preserve">validation findings </w:t>
                            </w:r>
                            <w:r>
                              <w:t xml:space="preserve">across multiple MCPs </w:t>
                            </w:r>
                          </w:p>
                          <w:p w:rsidR="00C8570D" w:rsidRPr="004806D2" w:rsidP="00C8570D" w14:textId="77777777">
                            <w:pPr>
                              <w:pStyle w:val="EQRTextboxbody"/>
                              <w:suppressOverlap/>
                            </w:pPr>
                            <w:hyperlink w:anchor="WSp1n13" w:tooltip="Worksheet 1.13 PIP Summary Reporting Template" w:history="1">
                              <w:r w:rsidRPr="004806D2">
                                <w:rPr>
                                  <w:rStyle w:val="Hyperlink"/>
                                </w:rPr>
                                <w:t>Worksheet 1.1</w:t>
                              </w:r>
                              <w:r>
                                <w:rPr>
                                  <w:rStyle w:val="Hyperlink"/>
                                </w:rPr>
                                <w:t>3</w:t>
                              </w:r>
                              <w:r w:rsidRPr="004806D2">
                                <w:rPr>
                                  <w:rStyle w:val="Hyperlink"/>
                                </w:rPr>
                                <w:t xml:space="preserve"> PIP </w:t>
                              </w:r>
                              <w:r>
                                <w:rPr>
                                  <w:rStyle w:val="Hyperlink"/>
                                </w:rPr>
                                <w:t>Summary</w:t>
                              </w:r>
                              <w:r w:rsidRPr="004806D2">
                                <w:rPr>
                                  <w:rStyle w:val="Hyperlink"/>
                                </w:rPr>
                                <w:t xml:space="preserve"> Reporting Template</w:t>
                              </w:r>
                            </w:hyperlink>
                          </w:p>
                          <w:p w:rsidR="00C8570D" w:rsidRPr="00961B9C" w:rsidP="00C8570D" w14:textId="77777777">
                            <w:pPr>
                              <w:pStyle w:val="EQRTextboxbullet"/>
                              <w:suppressOverlap/>
                              <w:rPr>
                                <w:spacing w:val="-2"/>
                              </w:rPr>
                            </w:pPr>
                            <w:r w:rsidRPr="004806D2">
                              <w:t xml:space="preserve">Provides a template for reporting </w:t>
                            </w:r>
                            <w:r>
                              <w:t xml:space="preserve">key PIP information within the body of an EQR technical report </w:t>
                            </w:r>
                          </w:p>
                        </w:txbxContent>
                      </wps:txbx>
                      <wps:bodyPr rot="0" vert="horz" wrap="square" lIns="109728" tIns="45720" rIns="109728" bIns="45720" anchor="t" anchorCtr="0" upright="1"/>
                    </wps:wsp>
                  </a:graphicData>
                </a:graphic>
                <wp14:sizeRelH relativeFrom="page">
                  <wp14:pctWidth>0</wp14:pctWidth>
                </wp14:sizeRelH>
                <wp14:sizeRelV relativeFrom="page">
                  <wp14:pctHeight>0</wp14:pctHeight>
                </wp14:sizeRelV>
              </wp:anchor>
            </w:drawing>
          </mc:Choice>
          <mc:Fallback>
            <w:pict>
              <v:shape id="Text Box 194" o:spid="_x0000_s1075" type="#_x0000_t202" style="width:172.75pt;height:247.1pt;margin-top:85pt;margin-left:331.5pt;flip:y;mso-height-percent:0;mso-height-relative:page;mso-position-horizontal-relative:margin;mso-width-percent:0;mso-width-relative:page;mso-wrap-distance-bottom:0;mso-wrap-distance-left:9pt;mso-wrap-distance-right:9pt;mso-wrap-distance-top:0;mso-wrap-style:square;position:absolute;rotation:180;visibility:visible;v-text-anchor:top;z-index:252022784" fillcolor="#eef5f8" strokecolor="#a5dad9" strokeweight="2.25pt">
                <v:stroke endcap="round"/>
                <v:textbox inset="8.64pt,,8.64pt">
                  <w:txbxContent>
                    <w:p w:rsidR="00C8570D" w:rsidRPr="00961B9C" w:rsidP="00C8570D" w14:paraId="210224A8" w14:textId="77777777">
                      <w:pPr>
                        <w:pStyle w:val="EQRTextboxheading"/>
                        <w:rPr>
                          <w:b/>
                          <w:position w:val="6"/>
                        </w:rPr>
                      </w:pPr>
                      <w:r w:rsidRPr="00865483">
                        <w:t>Resources for Activity 4</w:t>
                      </w:r>
                    </w:p>
                    <w:p w:rsidR="00C8570D" w:rsidRPr="00961B9C" w:rsidP="00C8570D" w14:paraId="6A450237" w14:textId="77777777">
                      <w:pPr>
                        <w:pStyle w:val="EQRTextboxbody"/>
                        <w:suppressOverlap/>
                      </w:pPr>
                      <w:hyperlink w:anchor="WSp1n11" w:tooltip="Worksheet 1.11. Framework for Summarizing Information about PIPs" w:history="1">
                        <w:r w:rsidRPr="00961B9C">
                          <w:rPr>
                            <w:rStyle w:val="Hyperlink"/>
                          </w:rPr>
                          <w:t>Worksheet 1.11. Framework for Summarizing Information about PIPs</w:t>
                        </w:r>
                      </w:hyperlink>
                    </w:p>
                    <w:p w:rsidR="00C8570D" w:rsidRPr="00961B9C" w:rsidP="00C8570D" w14:paraId="7472F93B" w14:textId="05586708">
                      <w:pPr>
                        <w:pStyle w:val="EQRTextboxbullet"/>
                        <w:suppressOverlap/>
                        <w:rPr>
                          <w:spacing w:val="-2"/>
                        </w:rPr>
                      </w:pPr>
                      <w:r w:rsidRPr="00961B9C">
                        <w:t xml:space="preserve">Provides a structure for reporting </w:t>
                      </w:r>
                      <w:r>
                        <w:t>PIP-</w:t>
                      </w:r>
                      <w:r w:rsidR="00824EA7">
                        <w:t xml:space="preserve">level </w:t>
                      </w:r>
                      <w:r w:rsidRPr="00961B9C" w:rsidR="00824EA7">
                        <w:t>information</w:t>
                      </w:r>
                      <w:r w:rsidRPr="00961B9C">
                        <w:t xml:space="preserve"> </w:t>
                      </w:r>
                      <w:r>
                        <w:t xml:space="preserve">assessed during the PIP validation activity </w:t>
                      </w:r>
                    </w:p>
                    <w:p w:rsidR="00C8570D" w:rsidRPr="00961B9C" w:rsidP="00C8570D" w14:paraId="79D032EF" w14:textId="77777777">
                      <w:pPr>
                        <w:pStyle w:val="EQRTextboxbody"/>
                        <w:suppressOverlap/>
                      </w:pPr>
                      <w:hyperlink w:anchor="WSp1n12" w:tooltip="Worksheet 1.12. PIP Validation Reporting Template" w:history="1">
                        <w:r w:rsidRPr="00961B9C">
                          <w:rPr>
                            <w:rStyle w:val="Hyperlink"/>
                          </w:rPr>
                          <w:t>Worksheet 1.12. PIP Validation Reporting Template</w:t>
                        </w:r>
                      </w:hyperlink>
                    </w:p>
                    <w:p w:rsidR="00C8570D" w:rsidRPr="00961B9C" w:rsidP="00C8570D" w14:paraId="433EE73F" w14:textId="77777777">
                      <w:pPr>
                        <w:pStyle w:val="EQRTextboxbullet"/>
                        <w:suppressOverlap/>
                        <w:rPr>
                          <w:spacing w:val="-2"/>
                        </w:rPr>
                      </w:pPr>
                      <w:r w:rsidRPr="00961B9C">
                        <w:t xml:space="preserve">Provides a template for reporting </w:t>
                      </w:r>
                      <w:r>
                        <w:t xml:space="preserve">PIP </w:t>
                      </w:r>
                      <w:r w:rsidRPr="00961B9C">
                        <w:t xml:space="preserve">validation findings </w:t>
                      </w:r>
                      <w:r>
                        <w:t xml:space="preserve">across multiple MCPs </w:t>
                      </w:r>
                    </w:p>
                    <w:p w:rsidR="00C8570D" w:rsidRPr="004806D2" w:rsidP="00C8570D" w14:paraId="5F3A2F6E" w14:textId="77777777">
                      <w:pPr>
                        <w:pStyle w:val="EQRTextboxbody"/>
                        <w:suppressOverlap/>
                      </w:pPr>
                      <w:hyperlink w:anchor="WSp1n13" w:tooltip="Worksheet 1.13 PIP Summary Reporting Template" w:history="1">
                        <w:r w:rsidRPr="004806D2">
                          <w:rPr>
                            <w:rStyle w:val="Hyperlink"/>
                          </w:rPr>
                          <w:t>Worksheet 1.1</w:t>
                        </w:r>
                        <w:r>
                          <w:rPr>
                            <w:rStyle w:val="Hyperlink"/>
                          </w:rPr>
                          <w:t>3</w:t>
                        </w:r>
                        <w:r w:rsidRPr="004806D2">
                          <w:rPr>
                            <w:rStyle w:val="Hyperlink"/>
                          </w:rPr>
                          <w:t xml:space="preserve"> PIP </w:t>
                        </w:r>
                        <w:r>
                          <w:rPr>
                            <w:rStyle w:val="Hyperlink"/>
                          </w:rPr>
                          <w:t>Summary</w:t>
                        </w:r>
                        <w:r w:rsidRPr="004806D2">
                          <w:rPr>
                            <w:rStyle w:val="Hyperlink"/>
                          </w:rPr>
                          <w:t xml:space="preserve"> Reporting Template</w:t>
                        </w:r>
                      </w:hyperlink>
                    </w:p>
                    <w:p w:rsidR="00C8570D" w:rsidRPr="00961B9C" w:rsidP="00C8570D" w14:paraId="563A7D1B" w14:textId="77777777">
                      <w:pPr>
                        <w:pStyle w:val="EQRTextboxbullet"/>
                        <w:suppressOverlap/>
                        <w:rPr>
                          <w:spacing w:val="-2"/>
                        </w:rPr>
                      </w:pPr>
                      <w:r w:rsidRPr="004806D2">
                        <w:t xml:space="preserve">Provides a template for reporting </w:t>
                      </w:r>
                      <w:r>
                        <w:t xml:space="preserve">key PIP information within the body of an EQR technical report </w:t>
                      </w:r>
                    </w:p>
                  </w:txbxContent>
                </v:textbox>
                <w10:wrap type="tight"/>
              </v:shape>
            </w:pict>
          </mc:Fallback>
        </mc:AlternateContent>
      </w:r>
      <w:r w:rsidRPr="00A22586" w:rsidR="00A22586">
        <w:rPr>
          <w:noProof/>
          <w:highlight w:val="yellow"/>
        </w:rPr>
        <mc:AlternateContent>
          <mc:Choice Requires="wps">
            <w:drawing>
              <wp:anchor distT="0" distB="0" distL="114300" distR="114300" simplePos="0" relativeHeight="252025856" behindDoc="0" locked="0" layoutInCell="1" allowOverlap="1">
                <wp:simplePos x="0" y="0"/>
                <wp:positionH relativeFrom="margin">
                  <wp:posOffset>4218305</wp:posOffset>
                </wp:positionH>
                <wp:positionV relativeFrom="paragraph">
                  <wp:posOffset>34290</wp:posOffset>
                </wp:positionV>
                <wp:extent cx="2193925" cy="297815"/>
                <wp:effectExtent l="19050" t="19050" r="15875" b="26670"/>
                <wp:wrapTight wrapText="bothSides">
                  <wp:wrapPolygon>
                    <wp:start x="21788" y="22985"/>
                    <wp:lineTo x="21788" y="-554"/>
                    <wp:lineTo x="31" y="-554"/>
                    <wp:lineTo x="31" y="22985"/>
                    <wp:lineTo x="21788" y="22985"/>
                  </wp:wrapPolygon>
                </wp:wrapTight>
                <wp:docPr id="553989964" name="Text Box 1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A22586" w:rsidRPr="0090682E" w:rsidP="00A22586" w14:textId="77777777">
                            <w:pPr>
                              <w:pStyle w:val="EQRWORKSHEETText"/>
                              <w:rPr>
                                <w:spacing w:val="-2"/>
                              </w:rPr>
                            </w:pPr>
                            <w:hyperlink w:anchor="WSp1n11" w:tooltip="WORKSHEET 1.11" w:history="1">
                              <w:r>
                                <w:rPr>
                                  <w:rStyle w:val="Hyperlink"/>
                                  <w:color w:val="006981"/>
                                </w:rPr>
                                <w:t>WORKSHEET 1.1</w:t>
                              </w:r>
                            </w:hyperlink>
                            <w:r>
                              <w:rPr>
                                <w:rStyle w:val="Hyperlink"/>
                                <w:color w:val="006981"/>
                              </w:rPr>
                              <w:t>1</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76" type="#_x0000_t202" style="width:172.75pt;height:23.45pt;margin-top:2.7pt;margin-left:332.15pt;flip:y;mso-height-percent:0;mso-height-relative:page;mso-position-horizontal-relative:margin;mso-width-percent:0;mso-width-relative:page;mso-wrap-distance-bottom:0;mso-wrap-distance-left:9pt;mso-wrap-distance-right:9pt;mso-wrap-distance-top:0;mso-wrap-style:square;position:absolute;rotation:180;visibility:visible;v-text-anchor:top;z-index:252026880" fillcolor="#eef5f8" strokecolor="#a5dad9" strokeweight="2.25pt">
                <v:stroke endcap="round"/>
                <v:textbox style="mso-fit-shape-to-text:t" inset="8.64pt,,8.64pt">
                  <w:txbxContent>
                    <w:p w:rsidR="00A22586" w:rsidRPr="0090682E" w:rsidP="00A22586" w14:paraId="0206CF82" w14:textId="77777777">
                      <w:pPr>
                        <w:pStyle w:val="EQRWORKSHEETText"/>
                        <w:rPr>
                          <w:spacing w:val="-2"/>
                        </w:rPr>
                      </w:pPr>
                      <w:hyperlink w:anchor="WSp1n11" w:tooltip="WORKSHEET 1.11" w:history="1">
                        <w:r>
                          <w:rPr>
                            <w:rStyle w:val="Hyperlink"/>
                            <w:color w:val="006981"/>
                          </w:rPr>
                          <w:t>WORKSHEET 1.1</w:t>
                        </w:r>
                      </w:hyperlink>
                      <w:r>
                        <w:rPr>
                          <w:rStyle w:val="Hyperlink"/>
                          <w:color w:val="006981"/>
                        </w:rPr>
                        <w:t>1</w:t>
                      </w:r>
                    </w:p>
                  </w:txbxContent>
                </v:textbox>
                <w10:wrap type="tight"/>
              </v:shape>
            </w:pict>
          </mc:Fallback>
        </mc:AlternateContent>
      </w:r>
      <w:r w:rsidRPr="00A22586">
        <w:rPr>
          <w:noProof/>
          <w:highlight w:val="yellow"/>
        </w:rPr>
        <mc:AlternateContent>
          <mc:Choice Requires="wps">
            <w:drawing>
              <wp:anchor distT="0" distB="0" distL="114300" distR="114300" simplePos="0" relativeHeight="252027904" behindDoc="0" locked="0" layoutInCell="1" allowOverlap="1">
                <wp:simplePos x="0" y="0"/>
                <wp:positionH relativeFrom="margin">
                  <wp:posOffset>4218305</wp:posOffset>
                </wp:positionH>
                <wp:positionV relativeFrom="paragraph">
                  <wp:posOffset>371475</wp:posOffset>
                </wp:positionV>
                <wp:extent cx="2193925" cy="297815"/>
                <wp:effectExtent l="19050" t="19050" r="15875" b="26670"/>
                <wp:wrapTight wrapText="bothSides">
                  <wp:wrapPolygon>
                    <wp:start x="21788" y="22985"/>
                    <wp:lineTo x="21788" y="-554"/>
                    <wp:lineTo x="31" y="-554"/>
                    <wp:lineTo x="31" y="22985"/>
                    <wp:lineTo x="21788" y="22985"/>
                  </wp:wrapPolygon>
                </wp:wrapTight>
                <wp:docPr id="2060749962" name="Text Box 1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A22586" w:rsidRPr="0090682E" w:rsidP="00A22586" w14:textId="77777777">
                            <w:pPr>
                              <w:pStyle w:val="EQRWORKSHEETText"/>
                              <w:rPr>
                                <w:spacing w:val="-2"/>
                              </w:rPr>
                            </w:pPr>
                            <w:hyperlink w:anchor="WSp1n12" w:tooltip="WORKSHEET 1.12" w:history="1">
                              <w:r>
                                <w:rPr>
                                  <w:rStyle w:val="Hyperlink"/>
                                  <w:color w:val="006981"/>
                                </w:rPr>
                                <w:t>WORKSHEET 1.12</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77" type="#_x0000_t202" style="width:172.75pt;height:23.45pt;margin-top:29.25pt;margin-left:332.15pt;flip:y;mso-height-percent:0;mso-height-relative:page;mso-position-horizontal-relative:margin;mso-width-percent:0;mso-width-relative:page;mso-wrap-distance-bottom:0;mso-wrap-distance-left:9pt;mso-wrap-distance-right:9pt;mso-wrap-distance-top:0;mso-wrap-style:square;position:absolute;rotation:180;visibility:visible;v-text-anchor:top;z-index:252028928" fillcolor="#eef5f8" strokecolor="#a5dad9" strokeweight="2.25pt">
                <v:stroke endcap="round"/>
                <v:textbox style="mso-fit-shape-to-text:t" inset="8.64pt,,8.64pt">
                  <w:txbxContent>
                    <w:p w:rsidR="00A22586" w:rsidRPr="0090682E" w:rsidP="00A22586" w14:paraId="5A53667F" w14:textId="77777777">
                      <w:pPr>
                        <w:pStyle w:val="EQRWORKSHEETText"/>
                        <w:rPr>
                          <w:spacing w:val="-2"/>
                        </w:rPr>
                      </w:pPr>
                      <w:hyperlink w:anchor="WSp1n12" w:tooltip="WORKSHEET 1.12" w:history="1">
                        <w:r>
                          <w:rPr>
                            <w:rStyle w:val="Hyperlink"/>
                            <w:color w:val="006981"/>
                          </w:rPr>
                          <w:t>WORKSHEET 1.12</w:t>
                        </w:r>
                      </w:hyperlink>
                    </w:p>
                  </w:txbxContent>
                </v:textbox>
                <w10:wrap type="tight"/>
              </v:shape>
            </w:pict>
          </mc:Fallback>
        </mc:AlternateContent>
      </w:r>
      <w:r w:rsidRPr="00A22586">
        <w:rPr>
          <w:noProof/>
          <w:highlight w:val="yellow"/>
        </w:rPr>
        <mc:AlternateContent>
          <mc:Choice Requires="wps">
            <w:drawing>
              <wp:anchor distT="0" distB="0" distL="114300" distR="114300" simplePos="0" relativeHeight="252029952" behindDoc="0" locked="0" layoutInCell="1" allowOverlap="1">
                <wp:simplePos x="0" y="0"/>
                <wp:positionH relativeFrom="margin">
                  <wp:posOffset>4222750</wp:posOffset>
                </wp:positionH>
                <wp:positionV relativeFrom="paragraph">
                  <wp:posOffset>718185</wp:posOffset>
                </wp:positionV>
                <wp:extent cx="2193925" cy="297815"/>
                <wp:effectExtent l="19050" t="19050" r="15875" b="26670"/>
                <wp:wrapTight wrapText="bothSides">
                  <wp:wrapPolygon>
                    <wp:start x="21788" y="22985"/>
                    <wp:lineTo x="21788" y="-554"/>
                    <wp:lineTo x="31" y="-554"/>
                    <wp:lineTo x="31" y="22985"/>
                    <wp:lineTo x="21788" y="22985"/>
                  </wp:wrapPolygon>
                </wp:wrapTight>
                <wp:docPr id="418012295" name="Text Box 1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A22586" w:rsidRPr="0090682E" w:rsidP="00A22586" w14:textId="77777777">
                            <w:pPr>
                              <w:pStyle w:val="EQRWORKSHEETText"/>
                              <w:rPr>
                                <w:spacing w:val="-2"/>
                              </w:rPr>
                            </w:pPr>
                            <w:hyperlink w:anchor="WSp1n13" w:tooltip="WORKSHEET 1.13" w:history="1">
                              <w:r>
                                <w:rPr>
                                  <w:rStyle w:val="Hyperlink"/>
                                  <w:color w:val="006981"/>
                                </w:rPr>
                                <w:t>WORKSHEET 1.13</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78" type="#_x0000_t202" style="width:172.75pt;height:23.45pt;margin-top:56.55pt;margin-left:332.5pt;flip:y;mso-height-percent:0;mso-height-relative:page;mso-position-horizontal-relative:margin;mso-width-percent:0;mso-width-relative:page;mso-wrap-distance-bottom:0;mso-wrap-distance-left:9pt;mso-wrap-distance-right:9pt;mso-wrap-distance-top:0;mso-wrap-style:square;position:absolute;rotation:180;visibility:visible;v-text-anchor:top;z-index:252030976" fillcolor="#eef5f8" strokecolor="#a5dad9" strokeweight="2.25pt">
                <v:stroke endcap="round"/>
                <v:textbox style="mso-fit-shape-to-text:t" inset="8.64pt,,8.64pt">
                  <w:txbxContent>
                    <w:p w:rsidR="00A22586" w:rsidRPr="0090682E" w:rsidP="00A22586" w14:paraId="4C8FFFCA" w14:textId="77777777">
                      <w:pPr>
                        <w:pStyle w:val="EQRWORKSHEETText"/>
                        <w:rPr>
                          <w:spacing w:val="-2"/>
                        </w:rPr>
                      </w:pPr>
                      <w:hyperlink w:anchor="WSp1n13" w:tooltip="WORKSHEET 1.13" w:history="1">
                        <w:r>
                          <w:rPr>
                            <w:rStyle w:val="Hyperlink"/>
                            <w:color w:val="006981"/>
                          </w:rPr>
                          <w:t>WORKSHEET 1.13</w:t>
                        </w:r>
                      </w:hyperlink>
                    </w:p>
                  </w:txbxContent>
                </v:textbox>
                <w10:wrap type="tight"/>
              </v:shape>
            </w:pict>
          </mc:Fallback>
        </mc:AlternateContent>
      </w:r>
      <w:r w:rsidRPr="003F1423" w:rsidR="003F1423">
        <w:t>.</w:t>
      </w:r>
    </w:p>
    <w:p w:rsidR="003F1423" w:rsidP="00BD1FC3" w14:paraId="18F6DCBC" w14:textId="41007A58">
      <w:pPr>
        <w:pStyle w:val="Paragraph0"/>
      </w:pPr>
    </w:p>
    <w:p w:rsidR="003F1423" w:rsidP="00BD1FC3" w14:paraId="6C524C2A" w14:textId="567BF43F">
      <w:pPr>
        <w:pStyle w:val="Paragraph0"/>
      </w:pPr>
    </w:p>
    <w:p w:rsidR="003F1423" w:rsidP="00BD1FC3" w14:paraId="38CE714D" w14:textId="434ACFEF">
      <w:pPr>
        <w:pStyle w:val="Paragraph0"/>
      </w:pPr>
    </w:p>
    <w:p w:rsidR="003F1423" w:rsidP="00BD1FC3" w14:paraId="64B387EE" w14:textId="77777777">
      <w:pPr>
        <w:pStyle w:val="Paragraph0"/>
      </w:pPr>
    </w:p>
    <w:p w:rsidR="00371063" w:rsidP="00BD1FC3" w14:paraId="1528A391" w14:textId="3C979E94">
      <w:pPr>
        <w:pStyle w:val="Paragraph0"/>
      </w:pPr>
    </w:p>
    <w:p w:rsidR="00371063" w:rsidP="00BD1FC3" w14:paraId="4BC78BE3" w14:textId="28AA3522">
      <w:pPr>
        <w:pStyle w:val="Paragraph0"/>
      </w:pPr>
    </w:p>
    <w:p w:rsidR="00371063" w:rsidP="00BD1FC3" w14:paraId="150510EB" w14:textId="23D7C8AB">
      <w:pPr>
        <w:pStyle w:val="Paragraph0"/>
      </w:pPr>
    </w:p>
    <w:p w:rsidR="00771D2D" w:rsidRPr="00990D3B" w:rsidP="00BD1FC3" w14:paraId="1E815B32" w14:textId="1CE3438C">
      <w:pPr>
        <w:pStyle w:val="Paragraph0"/>
      </w:pPr>
    </w:p>
    <w:p w:rsidR="00736A27" w:rsidRPr="00990D3B" w:rsidP="00BD1FC3" w14:paraId="1A43E268" w14:textId="00D80B10">
      <w:pPr>
        <w:pStyle w:val="Paragraph0"/>
        <w:jc w:val="center"/>
      </w:pPr>
      <w:r w:rsidRPr="00990D3B">
        <w:t>END OF PROTOCOL 1</w:t>
      </w:r>
    </w:p>
    <w:p w:rsidR="00B70436" w:rsidRPr="00990D3B" w:rsidP="00BD1FC3" w14:paraId="0C0F95CC" w14:textId="79D35D8E">
      <w:pPr>
        <w:pStyle w:val="Paragraph0"/>
        <w:sectPr w:rsidSect="00A65C6B">
          <w:headerReference w:type="even" r:id="rId108"/>
          <w:headerReference w:type="default" r:id="rId109"/>
          <w:footerReference w:type="even" r:id="rId110"/>
          <w:footerReference w:type="default" r:id="rId111"/>
          <w:headerReference w:type="first" r:id="rId112"/>
          <w:footerReference w:type="first" r:id="rId113"/>
          <w:pgSz w:w="12240" w:h="15840" w:code="1"/>
          <w:pgMar w:top="1440" w:right="1440" w:bottom="1440" w:left="1440" w:header="720" w:footer="720" w:gutter="0"/>
          <w:cols w:space="720"/>
          <w:titlePg/>
          <w:docGrid w:linePitch="360"/>
        </w:sectPr>
      </w:pPr>
    </w:p>
    <w:p w:rsidR="00AB6BA6" w:rsidRPr="00990D3B" w:rsidP="00BD1FC3" w14:paraId="35D5E74F" w14:textId="6FF535DD">
      <w:pPr>
        <w:pStyle w:val="H2"/>
      </w:pPr>
      <w:bookmarkStart w:id="178" w:name="WSp1"/>
      <w:bookmarkStart w:id="179" w:name="_Toc80717509"/>
      <w:bookmarkStart w:id="180" w:name="_Toc496116372"/>
      <w:bookmarkStart w:id="181" w:name="_Toc14777684"/>
      <w:bookmarkStart w:id="182" w:name="_Toc183005573"/>
      <w:bookmarkStart w:id="183" w:name="_Toc201751344"/>
      <w:r w:rsidRPr="00990D3B">
        <w:t>Worksheets for Protocol 1</w:t>
      </w:r>
      <w:bookmarkEnd w:id="178"/>
      <w:r w:rsidRPr="00990D3B">
        <w:t>:</w:t>
      </w:r>
      <w:r w:rsidRPr="00990D3B" w:rsidR="00796413">
        <w:t xml:space="preserve"> </w:t>
      </w:r>
      <w:r w:rsidRPr="00990D3B">
        <w:t>PIP Validation Tools and Reporting Framework</w:t>
      </w:r>
      <w:bookmarkEnd w:id="179"/>
      <w:bookmarkEnd w:id="180"/>
      <w:bookmarkEnd w:id="181"/>
      <w:bookmarkEnd w:id="182"/>
      <w:bookmarkEnd w:id="183"/>
    </w:p>
    <w:p w:rsidR="00AB6BA6" w:rsidRPr="00990D3B" w:rsidP="00BD1FC3" w14:paraId="6A178E93" w14:textId="6B33FE85">
      <w:pPr>
        <w:pStyle w:val="EQRNormalSSWORKSHEET"/>
      </w:pPr>
      <w:r w:rsidRPr="00990D3B">
        <w:rPr>
          <w:b/>
        </w:rPr>
        <w:t xml:space="preserve">Instructions. </w:t>
      </w:r>
      <w:r w:rsidRPr="00990D3B">
        <w:t xml:space="preserve">Use these or similar worksheets to assist in validating PIPs conducted by the MCP. These worksheets provide templates for validating PIPs and a framework for </w:t>
      </w:r>
      <w:r w:rsidRPr="00990D3B" w:rsidR="00824EA7">
        <w:t>reporting</w:t>
      </w:r>
      <w:r w:rsidRPr="00990D3B">
        <w:t xml:space="preserve"> validated PIPs in the EQR technical report. This tool includes the following worksheets </w:t>
      </w:r>
      <w:r w:rsidRPr="00990D3B">
        <w:t>crosswalked</w:t>
      </w:r>
      <w:r w:rsidRPr="00990D3B">
        <w:t xml:space="preserve"> to the applicable Activity and Step: </w:t>
      </w:r>
    </w:p>
    <w:tbl>
      <w:tblPr>
        <w:tblStyle w:val="TableGrid"/>
        <w:tblW w:w="5000" w:type="pct"/>
        <w:tblLook w:val="04A0"/>
      </w:tblPr>
      <w:tblGrid>
        <w:gridCol w:w="4675"/>
        <w:gridCol w:w="4675"/>
      </w:tblGrid>
      <w:tr w14:paraId="4A52E237" w14:textId="77777777" w:rsidTr="00BD1FC3">
        <w:tblPrEx>
          <w:tblW w:w="5000" w:type="pct"/>
          <w:tblLook w:val="04A0"/>
        </w:tblPrEx>
        <w:trPr>
          <w:tblHeader/>
        </w:trPr>
        <w:tc>
          <w:tcPr>
            <w:tcW w:w="4675" w:type="dxa"/>
          </w:tcPr>
          <w:p w:rsidR="00AB6BA6" w:rsidRPr="00990D3B" w:rsidP="00037FF4" w14:paraId="24C5852E" w14:textId="032E0063">
            <w:pPr>
              <w:pStyle w:val="EQRTableHeaderLeft"/>
              <w:rPr>
                <w:color w:val="auto"/>
              </w:rPr>
            </w:pPr>
            <w:r w:rsidRPr="00990D3B">
              <w:rPr>
                <w:color w:val="auto"/>
              </w:rPr>
              <w:t xml:space="preserve">Worksheet </w:t>
            </w:r>
            <w:r w:rsidRPr="00990D3B" w:rsidR="00BE34D5">
              <w:rPr>
                <w:color w:val="auto"/>
              </w:rPr>
              <w:t>N</w:t>
            </w:r>
            <w:r w:rsidRPr="00990D3B">
              <w:rPr>
                <w:color w:val="auto"/>
              </w:rPr>
              <w:t>ame</w:t>
            </w:r>
          </w:p>
        </w:tc>
        <w:tc>
          <w:tcPr>
            <w:tcW w:w="4675" w:type="dxa"/>
          </w:tcPr>
          <w:p w:rsidR="00AB6BA6" w:rsidRPr="00990D3B" w:rsidP="00037FF4" w14:paraId="4892FF24" w14:textId="7F16EB48">
            <w:pPr>
              <w:pStyle w:val="EQRTableHeaderCenter"/>
              <w:rPr>
                <w:color w:val="auto"/>
              </w:rPr>
            </w:pPr>
            <w:r w:rsidRPr="00990D3B">
              <w:rPr>
                <w:color w:val="auto"/>
              </w:rPr>
              <w:t xml:space="preserve">Protocol </w:t>
            </w:r>
            <w:r w:rsidRPr="00990D3B" w:rsidR="00BE34D5">
              <w:rPr>
                <w:color w:val="auto"/>
              </w:rPr>
              <w:t>A</w:t>
            </w:r>
            <w:r w:rsidRPr="00990D3B">
              <w:rPr>
                <w:color w:val="auto"/>
              </w:rPr>
              <w:t xml:space="preserve">ctivity and </w:t>
            </w:r>
            <w:r w:rsidRPr="00990D3B" w:rsidR="00BE34D5">
              <w:rPr>
                <w:color w:val="auto"/>
              </w:rPr>
              <w:t>S</w:t>
            </w:r>
            <w:r w:rsidRPr="00990D3B">
              <w:rPr>
                <w:color w:val="auto"/>
              </w:rPr>
              <w:t>tep</w:t>
            </w:r>
          </w:p>
        </w:tc>
      </w:tr>
      <w:tr w14:paraId="502D7E00" w14:textId="77777777" w:rsidTr="00BD1FC3">
        <w:tblPrEx>
          <w:tblW w:w="5000" w:type="pct"/>
          <w:tblLook w:val="04A0"/>
        </w:tblPrEx>
        <w:tc>
          <w:tcPr>
            <w:tcW w:w="4675" w:type="dxa"/>
          </w:tcPr>
          <w:p w:rsidR="00AB6BA6" w:rsidRPr="00990D3B" w:rsidP="00BD6EA6" w14:paraId="68BD4586" w14:textId="09A992C4">
            <w:pPr>
              <w:pStyle w:val="EQRTableText"/>
            </w:pPr>
            <w:hyperlink w:anchor="WSp1n1" w:tooltip="Worksheet 1.1. Review the PIP Topic" w:history="1">
              <w:r w:rsidRPr="00990D3B">
                <w:rPr>
                  <w:rStyle w:val="Hyperlink"/>
                </w:rPr>
                <w:t>Worksheet 1.1. Review the PIP Topic</w:t>
              </w:r>
            </w:hyperlink>
          </w:p>
        </w:tc>
        <w:tc>
          <w:tcPr>
            <w:tcW w:w="4675" w:type="dxa"/>
          </w:tcPr>
          <w:p w:rsidR="00AB6BA6" w:rsidRPr="00990D3B" w:rsidP="00771A00" w14:paraId="402114F3" w14:textId="5E4C5C07">
            <w:pPr>
              <w:pStyle w:val="EQRTableText"/>
            </w:pPr>
            <w:hyperlink w:anchor="P1A1Step1" w:tooltip="Activity 1. Step 1. Review the Selected PIP Topic" w:history="1">
              <w:r w:rsidRPr="00990D3B">
                <w:rPr>
                  <w:rStyle w:val="Hyperlink"/>
                </w:rPr>
                <w:t xml:space="preserve">Activity 1. Step 1. </w:t>
              </w:r>
              <w:r w:rsidRPr="00990D3B">
                <w:rPr>
                  <w:rStyle w:val="Hyperlink"/>
                </w:rPr>
                <w:t>Review</w:t>
              </w:r>
              <w:r w:rsidRPr="00990D3B">
                <w:rPr>
                  <w:rStyle w:val="Hyperlink"/>
                </w:rPr>
                <w:t xml:space="preserve"> the Selected PIP Topic</w:t>
              </w:r>
            </w:hyperlink>
            <w:r w:rsidRPr="00990D3B">
              <w:t xml:space="preserve"> </w:t>
            </w:r>
          </w:p>
        </w:tc>
      </w:tr>
      <w:tr w14:paraId="54E408F6" w14:textId="77777777" w:rsidTr="00BD1FC3">
        <w:tblPrEx>
          <w:tblW w:w="5000" w:type="pct"/>
          <w:tblLook w:val="04A0"/>
        </w:tblPrEx>
        <w:tc>
          <w:tcPr>
            <w:tcW w:w="4675" w:type="dxa"/>
          </w:tcPr>
          <w:p w:rsidR="00AB6BA6" w:rsidRPr="00990D3B" w:rsidP="003E139A" w14:paraId="7C47AA07" w14:textId="7621CA4E">
            <w:pPr>
              <w:pStyle w:val="EQRTableText"/>
            </w:pPr>
            <w:hyperlink w:anchor="WSp1n2" w:tooltip="Worksheet 1.2. Review the PIP Aim Statement" w:history="1">
              <w:r w:rsidRPr="00990D3B">
                <w:rPr>
                  <w:rStyle w:val="Hyperlink"/>
                </w:rPr>
                <w:t xml:space="preserve">Worksheet 1.2. </w:t>
              </w:r>
              <w:r w:rsidRPr="00990D3B">
                <w:rPr>
                  <w:rStyle w:val="Hyperlink"/>
                </w:rPr>
                <w:t>Review</w:t>
              </w:r>
              <w:r w:rsidRPr="00990D3B">
                <w:rPr>
                  <w:rStyle w:val="Hyperlink"/>
                </w:rPr>
                <w:t xml:space="preserve"> the PIP Aim Statement</w:t>
              </w:r>
            </w:hyperlink>
          </w:p>
        </w:tc>
        <w:tc>
          <w:tcPr>
            <w:tcW w:w="4675" w:type="dxa"/>
          </w:tcPr>
          <w:p w:rsidR="00AB6BA6" w:rsidRPr="00990D3B" w:rsidP="003E139A" w14:paraId="6452BB30" w14:textId="7DCF28A7">
            <w:pPr>
              <w:pStyle w:val="EQRTableText"/>
            </w:pPr>
            <w:hyperlink w:anchor="P1A1Step2" w:tooltip="Activity 1. Step. 2. Review the PIP Aim Statement" w:history="1">
              <w:r w:rsidRPr="00990D3B">
                <w:rPr>
                  <w:rStyle w:val="Hyperlink"/>
                </w:rPr>
                <w:t>Activity 1. Step. 2. Review the PIP Aim Statement</w:t>
              </w:r>
            </w:hyperlink>
          </w:p>
        </w:tc>
      </w:tr>
      <w:tr w14:paraId="3D1AFEBB" w14:textId="77777777" w:rsidTr="00BD1FC3">
        <w:tblPrEx>
          <w:tblW w:w="5000" w:type="pct"/>
          <w:tblLook w:val="04A0"/>
        </w:tblPrEx>
        <w:tc>
          <w:tcPr>
            <w:tcW w:w="4675" w:type="dxa"/>
          </w:tcPr>
          <w:p w:rsidR="00AB6BA6" w:rsidRPr="00990D3B" w:rsidP="00BD6EA6" w14:paraId="4B38AE1E" w14:textId="566D6D6F">
            <w:pPr>
              <w:pStyle w:val="EQRTableText"/>
            </w:pPr>
            <w:hyperlink w:anchor="WSp1n3" w:tooltip="Worksheet 1.3. Review the Identified PIP Population" w:history="1">
              <w:r w:rsidRPr="00990D3B">
                <w:rPr>
                  <w:rStyle w:val="Hyperlink"/>
                </w:rPr>
                <w:t xml:space="preserve">Worksheet 1.3. </w:t>
              </w:r>
              <w:r w:rsidRPr="00990D3B">
                <w:rPr>
                  <w:rStyle w:val="Hyperlink"/>
                </w:rPr>
                <w:t>Review</w:t>
              </w:r>
              <w:r w:rsidRPr="00990D3B">
                <w:rPr>
                  <w:rStyle w:val="Hyperlink"/>
                </w:rPr>
                <w:t xml:space="preserve"> the Identified PIP Population</w:t>
              </w:r>
            </w:hyperlink>
          </w:p>
        </w:tc>
        <w:tc>
          <w:tcPr>
            <w:tcW w:w="4675" w:type="dxa"/>
          </w:tcPr>
          <w:p w:rsidR="00AB6BA6" w:rsidRPr="00990D3B" w:rsidP="00037FF4" w14:paraId="587C8C30" w14:textId="5641F0DC">
            <w:pPr>
              <w:pStyle w:val="EQRTableText"/>
            </w:pPr>
            <w:hyperlink w:anchor="P1A1Step3" w:tooltip="Activity 1. Step 3. Review the Identified PIP Population" w:history="1">
              <w:r w:rsidRPr="00990D3B">
                <w:rPr>
                  <w:rStyle w:val="Hyperlink"/>
                </w:rPr>
                <w:t xml:space="preserve">Activity 1. Step 3. </w:t>
              </w:r>
              <w:r w:rsidRPr="00990D3B">
                <w:rPr>
                  <w:rStyle w:val="Hyperlink"/>
                </w:rPr>
                <w:t>Review</w:t>
              </w:r>
              <w:r w:rsidRPr="00990D3B">
                <w:rPr>
                  <w:rStyle w:val="Hyperlink"/>
                </w:rPr>
                <w:t xml:space="preserve"> the Identified PIP Population</w:t>
              </w:r>
            </w:hyperlink>
          </w:p>
        </w:tc>
      </w:tr>
      <w:tr w14:paraId="08364775" w14:textId="77777777" w:rsidTr="00BD1FC3">
        <w:tblPrEx>
          <w:tblW w:w="5000" w:type="pct"/>
          <w:tblLook w:val="04A0"/>
        </w:tblPrEx>
        <w:tc>
          <w:tcPr>
            <w:tcW w:w="4675" w:type="dxa"/>
          </w:tcPr>
          <w:p w:rsidR="00AB6BA6" w:rsidRPr="00990D3B" w:rsidP="00BD6EA6" w14:paraId="4FAB17FC" w14:textId="242F44BD">
            <w:pPr>
              <w:pStyle w:val="EQRTableText"/>
            </w:pPr>
            <w:hyperlink w:anchor="WSp1n4" w:tooltip="Worksheet 1.4. Review the Sampling Method" w:history="1">
              <w:r w:rsidRPr="00990D3B">
                <w:rPr>
                  <w:rStyle w:val="Hyperlink"/>
                </w:rPr>
                <w:t xml:space="preserve">Worksheet 1.4. </w:t>
              </w:r>
              <w:r w:rsidRPr="00990D3B">
                <w:rPr>
                  <w:rStyle w:val="Hyperlink"/>
                </w:rPr>
                <w:t>Review</w:t>
              </w:r>
              <w:r w:rsidRPr="00990D3B">
                <w:rPr>
                  <w:rStyle w:val="Hyperlink"/>
                </w:rPr>
                <w:t xml:space="preserve"> the Sampling Method</w:t>
              </w:r>
            </w:hyperlink>
          </w:p>
        </w:tc>
        <w:tc>
          <w:tcPr>
            <w:tcW w:w="4675" w:type="dxa"/>
          </w:tcPr>
          <w:p w:rsidR="00AB6BA6" w:rsidRPr="00990D3B" w:rsidP="00037FF4" w14:paraId="71C40665" w14:textId="68AFFD44">
            <w:pPr>
              <w:pStyle w:val="EQRTableText"/>
            </w:pPr>
            <w:hyperlink w:anchor="P1A1Step4" w:tooltip="Activity 1. Step 4. Review the Sampling Method" w:history="1">
              <w:r w:rsidRPr="00990D3B">
                <w:rPr>
                  <w:rStyle w:val="Hyperlink"/>
                </w:rPr>
                <w:t xml:space="preserve">Activity 1. Step 4. </w:t>
              </w:r>
              <w:r w:rsidRPr="00990D3B">
                <w:rPr>
                  <w:rStyle w:val="Hyperlink"/>
                </w:rPr>
                <w:t>Review</w:t>
              </w:r>
              <w:r w:rsidRPr="00990D3B">
                <w:rPr>
                  <w:rStyle w:val="Hyperlink"/>
                </w:rPr>
                <w:t xml:space="preserve"> the Sampling Method</w:t>
              </w:r>
            </w:hyperlink>
          </w:p>
        </w:tc>
      </w:tr>
      <w:tr w14:paraId="25E5A86B" w14:textId="77777777" w:rsidTr="00BD1FC3">
        <w:tblPrEx>
          <w:tblW w:w="5000" w:type="pct"/>
          <w:tblLook w:val="04A0"/>
        </w:tblPrEx>
        <w:tc>
          <w:tcPr>
            <w:tcW w:w="4675" w:type="dxa"/>
          </w:tcPr>
          <w:p w:rsidR="00AB6BA6" w:rsidRPr="00990D3B" w:rsidP="00BD6EA6" w14:paraId="2560033C" w14:textId="33EF5B45">
            <w:pPr>
              <w:pStyle w:val="EQRTableText"/>
            </w:pPr>
            <w:hyperlink w:anchor="WSp1n5" w:tooltip="Worksheet 1.5. Review the Selected PIP Variables" w:history="1">
              <w:r w:rsidRPr="00990D3B">
                <w:rPr>
                  <w:rStyle w:val="Hyperlink"/>
                </w:rPr>
                <w:t xml:space="preserve">Worksheet 1.5. </w:t>
              </w:r>
              <w:r w:rsidRPr="00990D3B">
                <w:rPr>
                  <w:rStyle w:val="Hyperlink"/>
                </w:rPr>
                <w:t>Review</w:t>
              </w:r>
              <w:r w:rsidRPr="00990D3B">
                <w:rPr>
                  <w:rStyle w:val="Hyperlink"/>
                </w:rPr>
                <w:t xml:space="preserve"> the Selected PIP Variables</w:t>
              </w:r>
            </w:hyperlink>
          </w:p>
        </w:tc>
        <w:tc>
          <w:tcPr>
            <w:tcW w:w="4675" w:type="dxa"/>
          </w:tcPr>
          <w:p w:rsidR="00AB6BA6" w:rsidRPr="00990D3B" w:rsidP="00037FF4" w14:paraId="6F68E352" w14:textId="1F9D6372">
            <w:pPr>
              <w:pStyle w:val="EQRTableText"/>
            </w:pPr>
            <w:hyperlink w:anchor="P1A1Step5" w:tooltip="Activity 1. Step 5. Review the Selected PIP Variables" w:history="1">
              <w:r w:rsidRPr="00990D3B">
                <w:rPr>
                  <w:rStyle w:val="Hyperlink"/>
                </w:rPr>
                <w:t xml:space="preserve">Activity 1. Step 5. </w:t>
              </w:r>
              <w:r w:rsidRPr="00990D3B">
                <w:rPr>
                  <w:rStyle w:val="Hyperlink"/>
                </w:rPr>
                <w:t>Review</w:t>
              </w:r>
              <w:r w:rsidRPr="00990D3B">
                <w:rPr>
                  <w:rStyle w:val="Hyperlink"/>
                </w:rPr>
                <w:t xml:space="preserve"> the Selected PIP Variables</w:t>
              </w:r>
            </w:hyperlink>
          </w:p>
        </w:tc>
      </w:tr>
      <w:tr w14:paraId="404A1818" w14:textId="77777777" w:rsidTr="00BD1FC3">
        <w:tblPrEx>
          <w:tblW w:w="5000" w:type="pct"/>
          <w:tblLook w:val="04A0"/>
        </w:tblPrEx>
        <w:tc>
          <w:tcPr>
            <w:tcW w:w="4675" w:type="dxa"/>
          </w:tcPr>
          <w:p w:rsidR="00AB6BA6" w:rsidRPr="00990D3B" w:rsidP="00BD6EA6" w14:paraId="767ACC70" w14:textId="390B9780">
            <w:pPr>
              <w:pStyle w:val="EQRTableText"/>
            </w:pPr>
            <w:hyperlink w:anchor="WSp1n6" w:tooltip="Worksheet 1.6. Review the Data Collection Procedures" w:history="1">
              <w:r w:rsidRPr="00990D3B">
                <w:rPr>
                  <w:rStyle w:val="Hyperlink"/>
                </w:rPr>
                <w:t xml:space="preserve">Worksheet 1.6. </w:t>
              </w:r>
              <w:r w:rsidRPr="00990D3B">
                <w:rPr>
                  <w:rStyle w:val="Hyperlink"/>
                </w:rPr>
                <w:t>Review</w:t>
              </w:r>
              <w:r w:rsidRPr="00990D3B">
                <w:rPr>
                  <w:rStyle w:val="Hyperlink"/>
                </w:rPr>
                <w:t xml:space="preserve"> the</w:t>
              </w:r>
              <w:r w:rsidRPr="00990D3B" w:rsidR="005E3EEE">
                <w:rPr>
                  <w:rStyle w:val="Hyperlink"/>
                </w:rPr>
                <w:t xml:space="preserve"> PIP</w:t>
              </w:r>
              <w:r w:rsidRPr="00990D3B">
                <w:rPr>
                  <w:rStyle w:val="Hyperlink"/>
                </w:rPr>
                <w:t xml:space="preserve"> Data Collection Procedures</w:t>
              </w:r>
            </w:hyperlink>
          </w:p>
        </w:tc>
        <w:tc>
          <w:tcPr>
            <w:tcW w:w="4675" w:type="dxa"/>
          </w:tcPr>
          <w:p w:rsidR="00AB6BA6" w:rsidRPr="00990D3B" w:rsidP="00037FF4" w14:paraId="6001CE09" w14:textId="4AE0AC71">
            <w:pPr>
              <w:pStyle w:val="EQRTableText"/>
            </w:pPr>
            <w:hyperlink w:anchor="P1A1Step6" w:tooltip="Activity 1. Step 6. Review the Data Collection Procedures" w:history="1">
              <w:r w:rsidRPr="00990D3B">
                <w:rPr>
                  <w:rStyle w:val="Hyperlink"/>
                </w:rPr>
                <w:t xml:space="preserve">Activity 1. Step 6. </w:t>
              </w:r>
              <w:r w:rsidRPr="00990D3B">
                <w:rPr>
                  <w:rStyle w:val="Hyperlink"/>
                </w:rPr>
                <w:t>Review</w:t>
              </w:r>
              <w:r w:rsidRPr="00990D3B">
                <w:rPr>
                  <w:rStyle w:val="Hyperlink"/>
                </w:rPr>
                <w:t xml:space="preserve"> the </w:t>
              </w:r>
              <w:r w:rsidRPr="00990D3B" w:rsidR="005E3EEE">
                <w:rPr>
                  <w:rStyle w:val="Hyperlink"/>
                </w:rPr>
                <w:t xml:space="preserve">PIP </w:t>
              </w:r>
              <w:r w:rsidRPr="00990D3B">
                <w:rPr>
                  <w:rStyle w:val="Hyperlink"/>
                </w:rPr>
                <w:t>Data Collection Procedures</w:t>
              </w:r>
            </w:hyperlink>
          </w:p>
        </w:tc>
      </w:tr>
      <w:tr w14:paraId="546FF1C6" w14:textId="77777777" w:rsidTr="00BD1FC3">
        <w:tblPrEx>
          <w:tblW w:w="5000" w:type="pct"/>
          <w:tblLook w:val="04A0"/>
        </w:tblPrEx>
        <w:tc>
          <w:tcPr>
            <w:tcW w:w="4675" w:type="dxa"/>
          </w:tcPr>
          <w:p w:rsidR="00AB6BA6" w:rsidRPr="00990D3B" w:rsidP="00BD6EA6" w14:paraId="758B2EFA" w14:textId="0F4FE613">
            <w:pPr>
              <w:pStyle w:val="EQRTableText"/>
            </w:pPr>
            <w:hyperlink w:anchor="WSp1n7" w:tooltip="Worksheet 1.7. Review Data Analysis and Interpretation of PIP Results" w:history="1">
              <w:r w:rsidRPr="00990D3B">
                <w:rPr>
                  <w:rStyle w:val="Hyperlink"/>
                </w:rPr>
                <w:t xml:space="preserve">Worksheet 1.7. </w:t>
              </w:r>
              <w:r w:rsidRPr="00990D3B">
                <w:rPr>
                  <w:rStyle w:val="Hyperlink"/>
                </w:rPr>
                <w:t>Review</w:t>
              </w:r>
              <w:r w:rsidRPr="00990D3B">
                <w:rPr>
                  <w:rStyle w:val="Hyperlink"/>
                </w:rPr>
                <w:t xml:space="preserve"> Data Analysis and Interpretation of PIP Results</w:t>
              </w:r>
            </w:hyperlink>
          </w:p>
        </w:tc>
        <w:tc>
          <w:tcPr>
            <w:tcW w:w="4675" w:type="dxa"/>
          </w:tcPr>
          <w:p w:rsidR="00AB6BA6" w:rsidRPr="00990D3B" w:rsidP="00781BD2" w14:paraId="779619FD" w14:textId="09CF9AE9">
            <w:pPr>
              <w:pStyle w:val="EQRTableText"/>
            </w:pPr>
            <w:hyperlink w:anchor="P1A1Step7" w:tooltip="Activity 1. Step 7. Review Data Analysis and Interpretation of PIP Results" w:history="1">
              <w:r w:rsidRPr="00990D3B">
                <w:rPr>
                  <w:rStyle w:val="Hyperlink"/>
                </w:rPr>
                <w:t xml:space="preserve">Activity 1. Step 7. </w:t>
              </w:r>
              <w:r w:rsidRPr="00990D3B">
                <w:rPr>
                  <w:rStyle w:val="Hyperlink"/>
                </w:rPr>
                <w:t>Review</w:t>
              </w:r>
              <w:r w:rsidRPr="00990D3B">
                <w:rPr>
                  <w:rStyle w:val="Hyperlink"/>
                </w:rPr>
                <w:t xml:space="preserve"> Data Analysis and Interpretation of PIP Results</w:t>
              </w:r>
            </w:hyperlink>
          </w:p>
        </w:tc>
      </w:tr>
      <w:tr w14:paraId="3FC984F7" w14:textId="77777777" w:rsidTr="00BD1FC3">
        <w:tblPrEx>
          <w:tblW w:w="5000" w:type="pct"/>
          <w:tblLook w:val="04A0"/>
        </w:tblPrEx>
        <w:tc>
          <w:tcPr>
            <w:tcW w:w="4675" w:type="dxa"/>
          </w:tcPr>
          <w:p w:rsidR="00AB6BA6" w:rsidRPr="00990D3B" w:rsidP="00BD6EA6" w14:paraId="659B244D" w14:textId="4FD1F5EF">
            <w:pPr>
              <w:pStyle w:val="EQRTableText"/>
            </w:pPr>
            <w:hyperlink w:anchor="WSp1n8" w:tooltip="Worksheet 1.8. Assess the Improvement Strategies" w:history="1">
              <w:r w:rsidRPr="00990D3B">
                <w:rPr>
                  <w:rStyle w:val="Hyperlink"/>
                </w:rPr>
                <w:t xml:space="preserve">Worksheet 1.8. Assess the </w:t>
              </w:r>
              <w:r w:rsidRPr="00990D3B" w:rsidR="005E3EEE">
                <w:rPr>
                  <w:rStyle w:val="Hyperlink"/>
                </w:rPr>
                <w:t xml:space="preserve">PIP </w:t>
              </w:r>
              <w:r w:rsidRPr="00990D3B">
                <w:rPr>
                  <w:rStyle w:val="Hyperlink"/>
                </w:rPr>
                <w:t>Improvement Strategies</w:t>
              </w:r>
            </w:hyperlink>
          </w:p>
        </w:tc>
        <w:tc>
          <w:tcPr>
            <w:tcW w:w="4675" w:type="dxa"/>
          </w:tcPr>
          <w:p w:rsidR="00AB6BA6" w:rsidRPr="00990D3B" w:rsidP="00781BD2" w14:paraId="0BCC82FB" w14:textId="7A65ABB1">
            <w:pPr>
              <w:pStyle w:val="EQRTableText"/>
            </w:pPr>
            <w:hyperlink w:anchor="P1A1Step8" w:tooltip="Activity 1. Step 8. Assess the Improvement Strategies" w:history="1">
              <w:r w:rsidRPr="00990D3B">
                <w:rPr>
                  <w:rStyle w:val="Hyperlink"/>
                </w:rPr>
                <w:t xml:space="preserve">Activity 1. Step 8. Assess the </w:t>
              </w:r>
              <w:r w:rsidRPr="00990D3B" w:rsidR="005E3EEE">
                <w:rPr>
                  <w:rStyle w:val="Hyperlink"/>
                </w:rPr>
                <w:t xml:space="preserve">PIP </w:t>
              </w:r>
              <w:r w:rsidRPr="00990D3B">
                <w:rPr>
                  <w:rStyle w:val="Hyperlink"/>
                </w:rPr>
                <w:t>Improvement Strategies</w:t>
              </w:r>
            </w:hyperlink>
          </w:p>
        </w:tc>
      </w:tr>
      <w:tr w14:paraId="4414297E" w14:textId="77777777" w:rsidTr="00BD1FC3">
        <w:tblPrEx>
          <w:tblW w:w="5000" w:type="pct"/>
          <w:tblLook w:val="04A0"/>
        </w:tblPrEx>
        <w:tc>
          <w:tcPr>
            <w:tcW w:w="4675" w:type="dxa"/>
          </w:tcPr>
          <w:p w:rsidR="00AB6BA6" w:rsidRPr="00990D3B" w:rsidP="00BD6EA6" w14:paraId="30FED0E5" w14:textId="1A668EAC">
            <w:pPr>
              <w:pStyle w:val="EQRTableText"/>
            </w:pPr>
            <w:hyperlink w:anchor="WSp1n9" w:tooltip="Worksheet 1.9. Assess the Likelihood that a PIP Resulted in Significant and Sustained Improvement Occurred" w:history="1">
              <w:r w:rsidRPr="00990D3B">
                <w:rPr>
                  <w:rStyle w:val="Hyperlink"/>
                </w:rPr>
                <w:t>Worksheet 1.9. Assess the Likelihood that</w:t>
              </w:r>
              <w:r w:rsidRPr="00990D3B" w:rsidR="003F4A10">
                <w:rPr>
                  <w:rStyle w:val="Hyperlink"/>
                </w:rPr>
                <w:t xml:space="preserve"> a PIP Resulted in</w:t>
              </w:r>
              <w:r w:rsidRPr="00990D3B">
                <w:rPr>
                  <w:rStyle w:val="Hyperlink"/>
                </w:rPr>
                <w:t xml:space="preserve"> Significant and Sustained Improvement </w:t>
              </w:r>
            </w:hyperlink>
          </w:p>
        </w:tc>
        <w:tc>
          <w:tcPr>
            <w:tcW w:w="4675" w:type="dxa"/>
          </w:tcPr>
          <w:p w:rsidR="00AB6BA6" w:rsidRPr="00990D3B" w:rsidP="00037FF4" w14:paraId="3AA0C0E0" w14:textId="7636989C">
            <w:pPr>
              <w:pStyle w:val="EQRTableText"/>
            </w:pPr>
            <w:hyperlink w:anchor="P1A1Step9" w:tooltip="Activity 1. Step 9. Assess the Likelihood that Significant and Sustained Improvement Occurred" w:history="1">
              <w:r w:rsidRPr="00990D3B">
                <w:rPr>
                  <w:rStyle w:val="Hyperlink"/>
                </w:rPr>
                <w:t>Activity 1. Step 9.</w:t>
              </w:r>
              <w:r w:rsidRPr="00990D3B">
                <w:rPr>
                  <w:rStyle w:val="Hyperlink"/>
                  <w:rFonts w:ascii="Times New Roman" w:hAnsi="Times New Roman"/>
                  <w:sz w:val="24"/>
                </w:rPr>
                <w:t xml:space="preserve"> </w:t>
              </w:r>
              <w:r w:rsidRPr="00990D3B">
                <w:rPr>
                  <w:rStyle w:val="Hyperlink"/>
                </w:rPr>
                <w:t>Assess the Likelihood that Significant and Sustained Improvement Occurred</w:t>
              </w:r>
            </w:hyperlink>
            <w:r w:rsidRPr="00990D3B" w:rsidR="003F4A10">
              <w:t xml:space="preserve"> </w:t>
            </w:r>
          </w:p>
        </w:tc>
      </w:tr>
      <w:tr w14:paraId="52CED703" w14:textId="77777777" w:rsidTr="00BD1FC3">
        <w:tblPrEx>
          <w:tblW w:w="5000" w:type="pct"/>
          <w:tblLook w:val="04A0"/>
        </w:tblPrEx>
        <w:tc>
          <w:tcPr>
            <w:tcW w:w="4675" w:type="dxa"/>
          </w:tcPr>
          <w:p w:rsidR="00AB6BA6" w:rsidRPr="00990D3B" w:rsidP="00BD6EA6" w14:paraId="548891A0" w14:textId="1F61121F">
            <w:pPr>
              <w:pStyle w:val="EQRTableText"/>
            </w:pPr>
            <w:hyperlink w:anchor="WSp1n10" w:tooltip="Worksheet 1.10. Perform Overall Validation of PIP Results" w:history="1">
              <w:r w:rsidRPr="00990D3B">
                <w:rPr>
                  <w:rStyle w:val="Hyperlink"/>
                </w:rPr>
                <w:t>Worksheet 1.10. Perform Overall Validation of PIP Results</w:t>
              </w:r>
            </w:hyperlink>
          </w:p>
        </w:tc>
        <w:tc>
          <w:tcPr>
            <w:tcW w:w="4675" w:type="dxa"/>
          </w:tcPr>
          <w:p w:rsidR="00AB6BA6" w:rsidRPr="00990D3B" w:rsidP="00781BD2" w14:paraId="16479293" w14:textId="312372FA">
            <w:pPr>
              <w:pStyle w:val="EQRTableText"/>
            </w:pPr>
            <w:hyperlink w:anchor="P1A2" w:tooltip="Activity 2. Perform Overall Validation and Reporting of PIP Results" w:history="1">
              <w:r w:rsidRPr="00990D3B">
                <w:rPr>
                  <w:rStyle w:val="Hyperlink"/>
                </w:rPr>
                <w:t>Activity 2. Perform Overall Validation and Reporting of PIP Results</w:t>
              </w:r>
            </w:hyperlink>
          </w:p>
        </w:tc>
      </w:tr>
      <w:tr w14:paraId="6D9DAD10" w14:textId="77777777" w:rsidTr="00BD1FC3">
        <w:tblPrEx>
          <w:tblW w:w="5000" w:type="pct"/>
          <w:tblLook w:val="04A0"/>
        </w:tblPrEx>
        <w:tc>
          <w:tcPr>
            <w:tcW w:w="4675" w:type="dxa"/>
          </w:tcPr>
          <w:p w:rsidR="00AB6BA6" w:rsidRPr="00990D3B" w:rsidP="00762869" w14:paraId="641B5E1D" w14:textId="6F8075D1">
            <w:pPr>
              <w:pStyle w:val="EQRTableText"/>
              <w:ind w:right="-108"/>
            </w:pPr>
            <w:hyperlink w:anchor="WSp1n11" w:tooltip="Worksheet 1.11. Framework for Summarizing Information about Performance Improvement Projects (PIPs)" w:history="1">
              <w:r w:rsidRPr="00990D3B">
                <w:rPr>
                  <w:rStyle w:val="Hyperlink"/>
                </w:rPr>
                <w:t xml:space="preserve">Worksheet 1.11. </w:t>
              </w:r>
              <w:r w:rsidRPr="00990D3B">
                <w:rPr>
                  <w:rStyle w:val="Hyperlink"/>
                  <w:spacing w:val="-2"/>
                </w:rPr>
                <w:t>Framework for Summarizing Information about PIPs</w:t>
              </w:r>
            </w:hyperlink>
          </w:p>
        </w:tc>
        <w:tc>
          <w:tcPr>
            <w:tcW w:w="4675" w:type="dxa"/>
          </w:tcPr>
          <w:p w:rsidR="008F6617" w:rsidRPr="00990D3B" w:rsidP="00037FF4" w14:paraId="08F65814" w14:textId="0FA50C7D">
            <w:pPr>
              <w:pStyle w:val="EQRTableText"/>
            </w:pPr>
            <w:hyperlink w:anchor="P1A4" w:tooltip="Activity 4. Report Results to the State" w:history="1">
              <w:r w:rsidRPr="00990D3B">
                <w:rPr>
                  <w:rStyle w:val="Hyperlink"/>
                </w:rPr>
                <w:t>Activity 4. Report Results to the State</w:t>
              </w:r>
            </w:hyperlink>
          </w:p>
        </w:tc>
      </w:tr>
      <w:tr w14:paraId="1A60E15A" w14:textId="77777777" w:rsidTr="00BD1FC3">
        <w:tblPrEx>
          <w:tblW w:w="5000" w:type="pct"/>
          <w:tblLook w:val="04A0"/>
        </w:tblPrEx>
        <w:tc>
          <w:tcPr>
            <w:tcW w:w="4675" w:type="dxa"/>
          </w:tcPr>
          <w:p w:rsidR="000D6CA0" w:rsidRPr="00990D3B" w:rsidP="00762869" w14:paraId="00B60C27" w14:textId="6EED5ED7">
            <w:pPr>
              <w:pStyle w:val="EQRTableText"/>
              <w:ind w:right="-108"/>
            </w:pPr>
            <w:hyperlink w:anchor="WSp1n12" w:tooltip="Worksheet 1.12 PIP Validation Reporting Template" w:history="1">
              <w:r w:rsidRPr="00990D3B">
                <w:rPr>
                  <w:rStyle w:val="Hyperlink"/>
                </w:rPr>
                <w:t>Worksheet 1.12 PIP Validation Reporting Template</w:t>
              </w:r>
            </w:hyperlink>
          </w:p>
        </w:tc>
        <w:tc>
          <w:tcPr>
            <w:tcW w:w="4675" w:type="dxa"/>
          </w:tcPr>
          <w:p w:rsidR="000D6CA0" w:rsidRPr="00990D3B" w:rsidP="00037FF4" w14:paraId="62FCE16C" w14:textId="7724C9AB">
            <w:pPr>
              <w:pStyle w:val="EQRTableText"/>
            </w:pPr>
            <w:hyperlink w:anchor="P1A4" w:tooltip="Activity 4. Report Results to the State" w:history="1">
              <w:r w:rsidRPr="00990D3B">
                <w:rPr>
                  <w:rStyle w:val="Hyperlink"/>
                </w:rPr>
                <w:t>Activity 4. Report Results to the State</w:t>
              </w:r>
            </w:hyperlink>
          </w:p>
        </w:tc>
      </w:tr>
      <w:tr w14:paraId="07BA342D" w14:textId="77777777" w:rsidTr="00BD1FC3">
        <w:tblPrEx>
          <w:tblW w:w="5000" w:type="pct"/>
          <w:tblLook w:val="04A0"/>
        </w:tblPrEx>
        <w:tc>
          <w:tcPr>
            <w:tcW w:w="4675" w:type="dxa"/>
          </w:tcPr>
          <w:p w:rsidR="00642D15" w:rsidRPr="00990D3B" w:rsidP="00642D15" w14:paraId="3F618E2B" w14:textId="5B020D0E">
            <w:pPr>
              <w:pStyle w:val="EQRTableText"/>
              <w:ind w:right="-108"/>
              <w:rPr>
                <w:color w:val="1CA8B7"/>
              </w:rPr>
            </w:pPr>
            <w:hyperlink w:anchor="WSp1n13" w:tooltip="Worksheet 1.13 PIP Summary Reporting Template" w:history="1">
              <w:r w:rsidRPr="00990D3B">
                <w:rPr>
                  <w:rStyle w:val="Hyperlink"/>
                </w:rPr>
                <w:t>Worksheet 1.13 PIP Summary Reporting Template</w:t>
              </w:r>
            </w:hyperlink>
          </w:p>
        </w:tc>
        <w:tc>
          <w:tcPr>
            <w:tcW w:w="4675" w:type="dxa"/>
          </w:tcPr>
          <w:p w:rsidR="00642D15" w:rsidRPr="00990D3B" w:rsidP="00642D15" w14:paraId="1C97D45A" w14:textId="55568403">
            <w:pPr>
              <w:pStyle w:val="EQRTableText"/>
            </w:pPr>
            <w:hyperlink w:anchor="P1A4" w:tooltip="Activity 4. Report Results to the State" w:history="1">
              <w:r w:rsidRPr="00990D3B">
                <w:rPr>
                  <w:rStyle w:val="Hyperlink"/>
                </w:rPr>
                <w:t>Activity 4. Report Results to the State</w:t>
              </w:r>
            </w:hyperlink>
          </w:p>
        </w:tc>
      </w:tr>
    </w:tbl>
    <w:p w:rsidR="00347C3A" w:rsidRPr="00990D3B" w:rsidP="00BD1FC3" w14:paraId="4FD686E0" w14:textId="77777777">
      <w:pPr>
        <w:pStyle w:val="EQRNormalSSWORKSHEET"/>
        <w:spacing w:after="120"/>
      </w:pPr>
    </w:p>
    <w:p w:rsidR="00AB6BA6" w:rsidRPr="00990D3B" w:rsidP="00BD1FC3" w14:paraId="56BF8739" w14:textId="10605608">
      <w:pPr>
        <w:spacing w:line="240" w:lineRule="auto"/>
      </w:pPr>
      <w:r w:rsidRPr="00990D3B">
        <w:br w:type="page"/>
      </w:r>
    </w:p>
    <w:p w:rsidR="00AB6BA6" w:rsidRPr="00990D3B" w:rsidP="00BD1FC3" w14:paraId="0CB37BFD" w14:textId="77777777">
      <w:pPr>
        <w:pStyle w:val="EQRMarkforExhibitWORKSHEET"/>
      </w:pPr>
      <w:bookmarkStart w:id="184" w:name="WSp1n1"/>
      <w:bookmarkStart w:id="185" w:name="_Toc125619133"/>
      <w:bookmarkStart w:id="186" w:name="_Toc201751478"/>
      <w:bookmarkEnd w:id="184"/>
      <w:r w:rsidRPr="00990D3B">
        <w:t xml:space="preserve">Worksheet 1.1. </w:t>
      </w:r>
      <w:r w:rsidRPr="00990D3B">
        <w:t>Review</w:t>
      </w:r>
      <w:r w:rsidRPr="00990D3B">
        <w:t xml:space="preserve"> the Selected PIP Topic</w:t>
      </w:r>
      <w:bookmarkEnd w:id="185"/>
      <w:bookmarkEnd w:id="186"/>
    </w:p>
    <w:p w:rsidR="00AB6BA6" w:rsidRPr="00990D3B" w:rsidP="00BD1FC3" w14:paraId="5CA84A10" w14:textId="77777777">
      <w:pPr>
        <w:pStyle w:val="EQRNormalSSWORKSHEET"/>
        <w:rPr>
          <w:b/>
        </w:rPr>
      </w:pPr>
      <w:r w:rsidRPr="00990D3B">
        <w:rPr>
          <w:b/>
        </w:rPr>
        <w:t>PIP Topic ______________________________________________________________________________</w:t>
      </w:r>
    </w:p>
    <w:p w:rsidR="00AB6BA6" w:rsidRPr="00990D3B" w:rsidP="00BD1FC3" w14:paraId="3F2E27A5" w14:textId="39B98A39">
      <w:pPr>
        <w:pStyle w:val="EQRNormalSSWORKSHEET"/>
      </w:pPr>
      <w:r w:rsidRPr="00990D3B">
        <w:rPr>
          <w:b/>
          <w:bCs/>
        </w:rPr>
        <w:t xml:space="preserve">Instructions. </w:t>
      </w:r>
      <w:r w:rsidRPr="00990D3B">
        <w:t xml:space="preserve">Assess the appropriateness of the selected PIP topic by answering the following questions about the MCP and PIP. Insert comments to explain “No” and “Not </w:t>
      </w:r>
      <w:r w:rsidRPr="00990D3B" w:rsidR="00507D5D">
        <w:t>A</w:t>
      </w:r>
      <w:r w:rsidRPr="00990D3B">
        <w:t>pplicable” responses.</w:t>
      </w:r>
    </w:p>
    <w:p w:rsidR="00FC0CEF" w:rsidRPr="00990D3B" w:rsidP="00DE6DCE" w14:paraId="403B7B20" w14:textId="12966F4F">
      <w:pPr>
        <w:pStyle w:val="EQRNormalSSWORKSHEET"/>
      </w:pPr>
      <w:r w:rsidRPr="00990D3B">
        <w:t>Acronyms: CMS = Centers for Medicare &amp; Medicaid Services; HHS = Department of Health and Human Services; IPA = Independent Practice Association; LTSS = Long-Term Services and Supports; MCP= Managed Care Plan; NA = Not Applicable; PIP = Performance Improvement Project.</w:t>
      </w:r>
    </w:p>
    <w:tbl>
      <w:tblPr>
        <w:tblStyle w:val="TableGrid"/>
        <w:tblW w:w="5000" w:type="pct"/>
        <w:tblLayout w:type="fixed"/>
        <w:tblLook w:val="04A0"/>
      </w:tblPr>
      <w:tblGrid>
        <w:gridCol w:w="4765"/>
        <w:gridCol w:w="720"/>
        <w:gridCol w:w="720"/>
        <w:gridCol w:w="720"/>
        <w:gridCol w:w="2425"/>
      </w:tblGrid>
      <w:tr w14:paraId="58EB0DE9" w14:textId="77777777" w:rsidTr="00BD1FC3">
        <w:tblPrEx>
          <w:tblW w:w="5000" w:type="pct"/>
          <w:tblLayout w:type="fixed"/>
          <w:tblLook w:val="04A0"/>
        </w:tblPrEx>
        <w:trPr>
          <w:cantSplit/>
          <w:tblHeader/>
        </w:trPr>
        <w:tc>
          <w:tcPr>
            <w:tcW w:w="4765" w:type="dxa"/>
            <w:vAlign w:val="bottom"/>
          </w:tcPr>
          <w:p w:rsidR="00AB6BA6" w:rsidRPr="00990D3B" w:rsidP="009B3CAB" w14:paraId="68B3CAFE" w14:textId="77777777">
            <w:pPr>
              <w:pStyle w:val="EQRTableHeaderLeft"/>
              <w:rPr>
                <w:color w:val="auto"/>
              </w:rPr>
            </w:pPr>
            <w:r w:rsidRPr="00990D3B">
              <w:rPr>
                <w:color w:val="auto"/>
              </w:rPr>
              <w:t xml:space="preserve">Question </w:t>
            </w:r>
          </w:p>
        </w:tc>
        <w:tc>
          <w:tcPr>
            <w:tcW w:w="720" w:type="dxa"/>
            <w:vAlign w:val="bottom"/>
          </w:tcPr>
          <w:p w:rsidR="00AB6BA6" w:rsidRPr="00990D3B" w:rsidP="009B3CAB" w14:paraId="547F5B3F" w14:textId="77777777">
            <w:pPr>
              <w:pStyle w:val="EQRTableHeaderCenter"/>
              <w:rPr>
                <w:color w:val="auto"/>
              </w:rPr>
            </w:pPr>
            <w:r w:rsidRPr="00990D3B">
              <w:rPr>
                <w:color w:val="auto"/>
              </w:rPr>
              <w:t>Yes</w:t>
            </w:r>
          </w:p>
        </w:tc>
        <w:tc>
          <w:tcPr>
            <w:tcW w:w="720" w:type="dxa"/>
            <w:vAlign w:val="bottom"/>
          </w:tcPr>
          <w:p w:rsidR="00AB6BA6" w:rsidRPr="00990D3B" w:rsidP="009B3CAB" w14:paraId="34DC6C16" w14:textId="77777777">
            <w:pPr>
              <w:pStyle w:val="EQRTableHeaderCenter"/>
              <w:rPr>
                <w:color w:val="auto"/>
              </w:rPr>
            </w:pPr>
            <w:r w:rsidRPr="00990D3B">
              <w:rPr>
                <w:color w:val="auto"/>
              </w:rPr>
              <w:t>No</w:t>
            </w:r>
          </w:p>
        </w:tc>
        <w:tc>
          <w:tcPr>
            <w:tcW w:w="720" w:type="dxa"/>
            <w:vAlign w:val="bottom"/>
          </w:tcPr>
          <w:p w:rsidR="00AB6BA6" w:rsidRPr="00990D3B" w:rsidP="009B3CAB" w14:paraId="072B4690" w14:textId="77777777">
            <w:pPr>
              <w:pStyle w:val="EQRTableHeaderCenter"/>
              <w:rPr>
                <w:color w:val="auto"/>
              </w:rPr>
            </w:pPr>
            <w:r w:rsidRPr="00990D3B">
              <w:rPr>
                <w:color w:val="auto"/>
              </w:rPr>
              <w:t>NA</w:t>
            </w:r>
          </w:p>
        </w:tc>
        <w:tc>
          <w:tcPr>
            <w:tcW w:w="2425" w:type="dxa"/>
            <w:vAlign w:val="bottom"/>
          </w:tcPr>
          <w:p w:rsidR="00AB6BA6" w:rsidRPr="00990D3B" w:rsidP="009B3CAB" w14:paraId="223EA921" w14:textId="77777777">
            <w:pPr>
              <w:pStyle w:val="EQRTableHeaderCenter"/>
              <w:rPr>
                <w:color w:val="auto"/>
              </w:rPr>
            </w:pPr>
            <w:r w:rsidRPr="00990D3B">
              <w:rPr>
                <w:color w:val="auto"/>
              </w:rPr>
              <w:t>Comments</w:t>
            </w:r>
          </w:p>
        </w:tc>
      </w:tr>
      <w:tr w14:paraId="34D824D8" w14:textId="77777777" w:rsidTr="00BD1FC3">
        <w:tblPrEx>
          <w:tblW w:w="5000" w:type="pct"/>
          <w:tblLayout w:type="fixed"/>
          <w:tblLook w:val="04A0"/>
        </w:tblPrEx>
        <w:trPr>
          <w:cantSplit/>
        </w:trPr>
        <w:tc>
          <w:tcPr>
            <w:tcW w:w="4765" w:type="dxa"/>
          </w:tcPr>
          <w:p w:rsidR="00AB6BA6" w:rsidRPr="00990D3B" w:rsidP="009B3CAB" w14:paraId="4C8182F4" w14:textId="3B4F79C2">
            <w:pPr>
              <w:pStyle w:val="EQRTableText"/>
            </w:pPr>
            <w:r w:rsidRPr="00990D3B">
              <w:t xml:space="preserve">1.1 Was the PIP topic selected through a comprehensive analysis of MCP enrollee needs, care, and services (e.g., consistent with demographic characteristics and health risks, prevalence of conditions, or the need for a specific service by enrollees)? (If </w:t>
            </w:r>
            <w:r w:rsidRPr="00990D3B" w:rsidR="008E006D">
              <w:t>the state required the PIP topic</w:t>
            </w:r>
            <w:r w:rsidRPr="00990D3B">
              <w:t>, please check “</w:t>
            </w:r>
            <w:r w:rsidRPr="00990D3B" w:rsidR="00507D5D">
              <w:t>N</w:t>
            </w:r>
            <w:r w:rsidRPr="00990D3B">
              <w:t xml:space="preserve">ot </w:t>
            </w:r>
            <w:r w:rsidRPr="00990D3B" w:rsidR="00507D5D">
              <w:t>A</w:t>
            </w:r>
            <w:r w:rsidRPr="00990D3B">
              <w:t>pplicable” and note in comments.)</w:t>
            </w:r>
          </w:p>
        </w:tc>
        <w:tc>
          <w:tcPr>
            <w:tcW w:w="720" w:type="dxa"/>
          </w:tcPr>
          <w:p w:rsidR="00AB6BA6" w:rsidRPr="00990D3B" w:rsidP="009B3CAB" w14:paraId="1F89A648" w14:textId="77777777">
            <w:pPr>
              <w:pStyle w:val="EQRTableText"/>
            </w:pPr>
            <w:r w:rsidRPr="00990D3B">
              <w:t> </w:t>
            </w:r>
          </w:p>
        </w:tc>
        <w:tc>
          <w:tcPr>
            <w:tcW w:w="720" w:type="dxa"/>
          </w:tcPr>
          <w:p w:rsidR="00AB6BA6" w:rsidRPr="00990D3B" w:rsidP="009B3CAB" w14:paraId="7EBCD140" w14:textId="77777777">
            <w:pPr>
              <w:pStyle w:val="EQRTableText"/>
            </w:pPr>
            <w:r w:rsidRPr="00990D3B">
              <w:t> </w:t>
            </w:r>
          </w:p>
        </w:tc>
        <w:tc>
          <w:tcPr>
            <w:tcW w:w="720" w:type="dxa"/>
          </w:tcPr>
          <w:p w:rsidR="00AB6BA6" w:rsidRPr="00990D3B" w:rsidP="009B3CAB" w14:paraId="2CB46DD3" w14:textId="77777777">
            <w:pPr>
              <w:pStyle w:val="EQRTableText"/>
            </w:pPr>
            <w:r w:rsidRPr="00990D3B">
              <w:t> </w:t>
            </w:r>
          </w:p>
        </w:tc>
        <w:tc>
          <w:tcPr>
            <w:tcW w:w="2425" w:type="dxa"/>
          </w:tcPr>
          <w:p w:rsidR="00AB6BA6" w:rsidRPr="00990D3B" w:rsidP="009B3CAB" w14:paraId="20E60EF2" w14:textId="77777777">
            <w:pPr>
              <w:pStyle w:val="EQRTableText"/>
            </w:pPr>
            <w:r w:rsidRPr="00990D3B">
              <w:t> </w:t>
            </w:r>
          </w:p>
        </w:tc>
      </w:tr>
      <w:tr w14:paraId="0120875C" w14:textId="77777777" w:rsidTr="00BD1FC3">
        <w:tblPrEx>
          <w:tblW w:w="5000" w:type="pct"/>
          <w:tblLayout w:type="fixed"/>
          <w:tblLook w:val="04A0"/>
        </w:tblPrEx>
        <w:trPr>
          <w:cantSplit/>
        </w:trPr>
        <w:tc>
          <w:tcPr>
            <w:tcW w:w="4765" w:type="dxa"/>
          </w:tcPr>
          <w:p w:rsidR="00AB6BA6" w:rsidRPr="00990D3B" w:rsidP="009B3815" w14:paraId="630A3E85" w14:textId="77777777">
            <w:pPr>
              <w:pStyle w:val="EQRTableText"/>
            </w:pPr>
            <w:r w:rsidRPr="00990D3B">
              <w:t xml:space="preserve">1.2 Did selection of the PIP topic consider performance on the CMS Child and Adult Core Set measures? </w:t>
            </w:r>
          </w:p>
        </w:tc>
        <w:tc>
          <w:tcPr>
            <w:tcW w:w="720" w:type="dxa"/>
          </w:tcPr>
          <w:p w:rsidR="00AB6BA6" w:rsidRPr="00990D3B" w:rsidP="009B3CAB" w14:paraId="1B0D5C2B" w14:textId="77777777">
            <w:pPr>
              <w:pStyle w:val="EQRTableText"/>
            </w:pPr>
            <w:r w:rsidRPr="00990D3B">
              <w:t> </w:t>
            </w:r>
          </w:p>
        </w:tc>
        <w:tc>
          <w:tcPr>
            <w:tcW w:w="720" w:type="dxa"/>
          </w:tcPr>
          <w:p w:rsidR="00AB6BA6" w:rsidRPr="00990D3B" w:rsidP="009B3CAB" w14:paraId="6A95AE04" w14:textId="77777777">
            <w:pPr>
              <w:pStyle w:val="EQRTableText"/>
            </w:pPr>
            <w:r w:rsidRPr="00990D3B">
              <w:t> </w:t>
            </w:r>
          </w:p>
        </w:tc>
        <w:tc>
          <w:tcPr>
            <w:tcW w:w="720" w:type="dxa"/>
          </w:tcPr>
          <w:p w:rsidR="00AB6BA6" w:rsidRPr="00990D3B" w:rsidP="009B3CAB" w14:paraId="0B41CBD6" w14:textId="77777777">
            <w:pPr>
              <w:pStyle w:val="EQRTableText"/>
            </w:pPr>
            <w:r w:rsidRPr="00990D3B">
              <w:t> </w:t>
            </w:r>
          </w:p>
        </w:tc>
        <w:tc>
          <w:tcPr>
            <w:tcW w:w="2425" w:type="dxa"/>
          </w:tcPr>
          <w:p w:rsidR="00AB6BA6" w:rsidRPr="00990D3B" w:rsidP="009B3CAB" w14:paraId="7635984C" w14:textId="77777777">
            <w:pPr>
              <w:pStyle w:val="EQRTableText"/>
            </w:pPr>
            <w:r w:rsidRPr="00990D3B">
              <w:t> </w:t>
            </w:r>
          </w:p>
        </w:tc>
      </w:tr>
      <w:tr w14:paraId="58B5F1A9" w14:textId="77777777" w:rsidTr="00BD1FC3">
        <w:tblPrEx>
          <w:tblW w:w="5000" w:type="pct"/>
          <w:tblLayout w:type="fixed"/>
          <w:tblLook w:val="04A0"/>
        </w:tblPrEx>
        <w:trPr>
          <w:cantSplit/>
        </w:trPr>
        <w:tc>
          <w:tcPr>
            <w:tcW w:w="4765" w:type="dxa"/>
          </w:tcPr>
          <w:p w:rsidR="00AB6BA6" w:rsidRPr="00990D3B" w:rsidP="009B3CAB" w14:paraId="57F58FB0" w14:textId="5D3AD12D">
            <w:pPr>
              <w:pStyle w:val="EQRTableText"/>
              <w:rPr>
                <w:rFonts w:eastAsia="Arial"/>
              </w:rPr>
            </w:pPr>
            <w:r w:rsidRPr="00990D3B">
              <w:t xml:space="preserve">1.3 </w:t>
            </w:r>
            <w:r w:rsidRPr="00990D3B">
              <w:rPr>
                <w:rFonts w:eastAsia="Arial"/>
                <w:spacing w:val="-1"/>
              </w:rPr>
              <w:t>Di</w:t>
            </w:r>
            <w:r w:rsidRPr="00990D3B">
              <w:rPr>
                <w:rFonts w:eastAsia="Arial"/>
              </w:rPr>
              <w:t>d</w:t>
            </w:r>
            <w:r w:rsidRPr="00990D3B">
              <w:rPr>
                <w:rFonts w:eastAsia="Arial"/>
                <w:spacing w:val="1"/>
              </w:rPr>
              <w:t xml:space="preserve"> t</w:t>
            </w:r>
            <w:r w:rsidRPr="00990D3B">
              <w:rPr>
                <w:rFonts w:eastAsia="Arial"/>
              </w:rPr>
              <w:t>he</w:t>
            </w:r>
            <w:r w:rsidRPr="00990D3B">
              <w:rPr>
                <w:rFonts w:eastAsia="Arial"/>
                <w:spacing w:val="1"/>
              </w:rPr>
              <w:t xml:space="preserve"> selection of the PIP topic consider </w:t>
            </w:r>
            <w:r w:rsidRPr="00990D3B">
              <w:rPr>
                <w:rFonts w:eastAsia="Arial"/>
                <w:spacing w:val="-1"/>
              </w:rPr>
              <w:t>i</w:t>
            </w:r>
            <w:r w:rsidRPr="00990D3B">
              <w:rPr>
                <w:rFonts w:eastAsia="Arial"/>
              </w:rPr>
              <w:t>n</w:t>
            </w:r>
            <w:r w:rsidRPr="00990D3B">
              <w:rPr>
                <w:rFonts w:eastAsia="Arial"/>
                <w:spacing w:val="-3"/>
              </w:rPr>
              <w:t>p</w:t>
            </w:r>
            <w:r w:rsidRPr="00990D3B">
              <w:rPr>
                <w:rFonts w:eastAsia="Arial"/>
              </w:rPr>
              <w:t xml:space="preserve">ut </w:t>
            </w:r>
            <w:r w:rsidRPr="00990D3B">
              <w:rPr>
                <w:rFonts w:eastAsia="Arial"/>
                <w:spacing w:val="1"/>
              </w:rPr>
              <w:t>fr</w:t>
            </w:r>
            <w:r w:rsidRPr="00990D3B">
              <w:rPr>
                <w:rFonts w:eastAsia="Arial"/>
                <w:spacing w:val="-3"/>
              </w:rPr>
              <w:t>o</w:t>
            </w:r>
            <w:r w:rsidRPr="00990D3B">
              <w:rPr>
                <w:rFonts w:eastAsia="Arial"/>
              </w:rPr>
              <w:t>m</w:t>
            </w:r>
            <w:r w:rsidRPr="00990D3B">
              <w:rPr>
                <w:rFonts w:eastAsia="Arial"/>
                <w:spacing w:val="2"/>
              </w:rPr>
              <w:t xml:space="preserve"> </w:t>
            </w:r>
            <w:r w:rsidRPr="00990D3B">
              <w:rPr>
                <w:rFonts w:eastAsia="Arial"/>
              </w:rPr>
              <w:t>e</w:t>
            </w:r>
            <w:r w:rsidRPr="00990D3B">
              <w:rPr>
                <w:rFonts w:eastAsia="Arial"/>
                <w:spacing w:val="-3"/>
              </w:rPr>
              <w:t>n</w:t>
            </w:r>
            <w:r w:rsidRPr="00990D3B">
              <w:rPr>
                <w:rFonts w:eastAsia="Arial"/>
                <w:spacing w:val="1"/>
              </w:rPr>
              <w:t>r</w:t>
            </w:r>
            <w:r w:rsidRPr="00990D3B">
              <w:rPr>
                <w:rFonts w:eastAsia="Arial"/>
              </w:rPr>
              <w:t>o</w:t>
            </w:r>
            <w:r w:rsidRPr="00990D3B">
              <w:rPr>
                <w:rFonts w:eastAsia="Arial"/>
                <w:spacing w:val="-1"/>
              </w:rPr>
              <w:t>ll</w:t>
            </w:r>
            <w:r w:rsidRPr="00990D3B">
              <w:rPr>
                <w:rFonts w:eastAsia="Arial"/>
              </w:rPr>
              <w:t xml:space="preserve">ees or providers who are users of, or concerned </w:t>
            </w:r>
            <w:r w:rsidRPr="00990D3B">
              <w:rPr>
                <w:rFonts w:eastAsia="Arial"/>
                <w:spacing w:val="-1"/>
              </w:rPr>
              <w:t>wi</w:t>
            </w:r>
            <w:r w:rsidRPr="00990D3B">
              <w:rPr>
                <w:rFonts w:eastAsia="Arial"/>
                <w:spacing w:val="1"/>
              </w:rPr>
              <w:t>t</w:t>
            </w:r>
            <w:r w:rsidRPr="00990D3B">
              <w:rPr>
                <w:rFonts w:eastAsia="Arial"/>
              </w:rPr>
              <w:t xml:space="preserve">h, specific service areas? (If </w:t>
            </w:r>
            <w:r w:rsidRPr="00990D3B" w:rsidR="008E006D">
              <w:rPr>
                <w:rFonts w:eastAsia="Arial"/>
              </w:rPr>
              <w:t>the state required the PIP topic</w:t>
            </w:r>
            <w:r w:rsidRPr="00990D3B">
              <w:rPr>
                <w:rFonts w:eastAsia="Arial"/>
              </w:rPr>
              <w:t>, please check “</w:t>
            </w:r>
            <w:r w:rsidRPr="00990D3B" w:rsidR="00507D5D">
              <w:rPr>
                <w:rFonts w:eastAsia="Arial"/>
              </w:rPr>
              <w:t>N</w:t>
            </w:r>
            <w:r w:rsidRPr="00990D3B">
              <w:rPr>
                <w:rFonts w:eastAsia="Arial"/>
              </w:rPr>
              <w:t xml:space="preserve">ot </w:t>
            </w:r>
            <w:r w:rsidRPr="00990D3B" w:rsidR="00507D5D">
              <w:rPr>
                <w:rFonts w:eastAsia="Arial"/>
              </w:rPr>
              <w:t>A</w:t>
            </w:r>
            <w:r w:rsidRPr="00990D3B">
              <w:rPr>
                <w:rFonts w:eastAsia="Arial"/>
              </w:rPr>
              <w:t>pplicable” and note in comments.)</w:t>
            </w:r>
          </w:p>
          <w:p w:rsidR="00AB6BA6" w:rsidRPr="00990D3B" w:rsidP="00AB6BA6" w14:paraId="029646C8" w14:textId="144FCF44">
            <w:pPr>
              <w:pStyle w:val="EQRTableTextbullet"/>
              <w:spacing w:line="240" w:lineRule="auto"/>
              <w:ind w:left="216" w:hanging="216"/>
            </w:pPr>
            <w:r w:rsidRPr="00990D3B">
              <w:t xml:space="preserve">To the extent feasible, input from enrollees who are users of, or concerned with, specific </w:t>
            </w:r>
            <w:r w:rsidRPr="00990D3B" w:rsidR="008E006D">
              <w:t>service</w:t>
            </w:r>
            <w:r w:rsidRPr="00990D3B">
              <w:t xml:space="preserve"> areas should be obtained.</w:t>
            </w:r>
          </w:p>
        </w:tc>
        <w:tc>
          <w:tcPr>
            <w:tcW w:w="720" w:type="dxa"/>
          </w:tcPr>
          <w:p w:rsidR="00AB6BA6" w:rsidRPr="00990D3B" w:rsidP="009B3CAB" w14:paraId="5A261E8D" w14:textId="77777777">
            <w:pPr>
              <w:pStyle w:val="EQRTableText"/>
            </w:pPr>
            <w:r w:rsidRPr="00990D3B">
              <w:t> </w:t>
            </w:r>
          </w:p>
        </w:tc>
        <w:tc>
          <w:tcPr>
            <w:tcW w:w="720" w:type="dxa"/>
          </w:tcPr>
          <w:p w:rsidR="00AB6BA6" w:rsidRPr="00990D3B" w:rsidP="009B3CAB" w14:paraId="036EF466" w14:textId="77777777">
            <w:pPr>
              <w:pStyle w:val="EQRTableText"/>
            </w:pPr>
            <w:r w:rsidRPr="00990D3B">
              <w:t> </w:t>
            </w:r>
          </w:p>
        </w:tc>
        <w:tc>
          <w:tcPr>
            <w:tcW w:w="720" w:type="dxa"/>
          </w:tcPr>
          <w:p w:rsidR="00AB6BA6" w:rsidRPr="00990D3B" w:rsidP="009B3CAB" w14:paraId="52A2AA1F" w14:textId="77777777">
            <w:pPr>
              <w:pStyle w:val="EQRTableText"/>
            </w:pPr>
            <w:r w:rsidRPr="00990D3B">
              <w:t> </w:t>
            </w:r>
          </w:p>
        </w:tc>
        <w:tc>
          <w:tcPr>
            <w:tcW w:w="2425" w:type="dxa"/>
          </w:tcPr>
          <w:p w:rsidR="00AB6BA6" w:rsidRPr="00990D3B" w:rsidP="009B3CAB" w14:paraId="45654286" w14:textId="77777777">
            <w:pPr>
              <w:pStyle w:val="EQRTableText"/>
            </w:pPr>
            <w:r w:rsidRPr="00990D3B">
              <w:t> </w:t>
            </w:r>
          </w:p>
        </w:tc>
      </w:tr>
      <w:tr w14:paraId="0E716815" w14:textId="77777777" w:rsidTr="00BD1FC3">
        <w:tblPrEx>
          <w:tblW w:w="5000" w:type="pct"/>
          <w:tblLayout w:type="fixed"/>
          <w:tblLook w:val="04A0"/>
        </w:tblPrEx>
        <w:trPr>
          <w:cantSplit/>
        </w:trPr>
        <w:tc>
          <w:tcPr>
            <w:tcW w:w="4765" w:type="dxa"/>
          </w:tcPr>
          <w:p w:rsidR="00AB6BA6" w:rsidRPr="00990D3B" w:rsidP="009B3CAB" w14:paraId="5704B836" w14:textId="77777777">
            <w:pPr>
              <w:pStyle w:val="EQRTableText"/>
              <w:rPr>
                <w:rFonts w:eastAsia="Arial"/>
              </w:rPr>
            </w:pPr>
            <w:r w:rsidRPr="00990D3B">
              <w:t xml:space="preserve">1.4 </w:t>
            </w:r>
            <w:r w:rsidRPr="00990D3B">
              <w:rPr>
                <w:rFonts w:eastAsia="Arial"/>
                <w:spacing w:val="-1"/>
              </w:rPr>
              <w:t>Di</w:t>
            </w:r>
            <w:r w:rsidRPr="00990D3B">
              <w:rPr>
                <w:rFonts w:eastAsia="Arial"/>
              </w:rPr>
              <w:t>d</w:t>
            </w:r>
            <w:r w:rsidRPr="00990D3B">
              <w:rPr>
                <w:rFonts w:eastAsia="Arial"/>
                <w:spacing w:val="1"/>
              </w:rPr>
              <w:t xml:space="preserve"> t</w:t>
            </w:r>
            <w:r w:rsidRPr="00990D3B">
              <w:rPr>
                <w:rFonts w:eastAsia="Arial"/>
              </w:rPr>
              <w:t>he</w:t>
            </w:r>
            <w:r w:rsidRPr="00990D3B">
              <w:rPr>
                <w:rFonts w:eastAsia="Arial"/>
                <w:spacing w:val="1"/>
              </w:rPr>
              <w:t xml:space="preserve"> </w:t>
            </w:r>
            <w:r w:rsidRPr="00990D3B">
              <w:rPr>
                <w:rFonts w:eastAsia="Arial"/>
                <w:spacing w:val="-1"/>
              </w:rPr>
              <w:t>P</w:t>
            </w:r>
            <w:r w:rsidRPr="00990D3B">
              <w:rPr>
                <w:rFonts w:eastAsia="Arial"/>
                <w:spacing w:val="1"/>
              </w:rPr>
              <w:t>I</w:t>
            </w:r>
            <w:r w:rsidRPr="00990D3B">
              <w:rPr>
                <w:rFonts w:eastAsia="Arial"/>
                <w:spacing w:val="-3"/>
              </w:rPr>
              <w:t>P</w:t>
            </w:r>
            <w:r w:rsidRPr="00990D3B">
              <w:rPr>
                <w:rFonts w:eastAsia="Arial"/>
                <w:spacing w:val="2"/>
              </w:rPr>
              <w:t xml:space="preserve"> topic </w:t>
            </w:r>
            <w:r w:rsidRPr="00990D3B">
              <w:rPr>
                <w:rFonts w:eastAsia="Arial"/>
                <w:spacing w:val="-3"/>
              </w:rPr>
              <w:t>a</w:t>
            </w:r>
            <w:r w:rsidRPr="00990D3B">
              <w:rPr>
                <w:rFonts w:eastAsia="Arial"/>
              </w:rPr>
              <w:t>dd</w:t>
            </w:r>
            <w:r w:rsidRPr="00990D3B">
              <w:rPr>
                <w:rFonts w:eastAsia="Arial"/>
                <w:spacing w:val="1"/>
              </w:rPr>
              <w:t>r</w:t>
            </w:r>
            <w:r w:rsidRPr="00990D3B">
              <w:rPr>
                <w:rFonts w:eastAsia="Arial"/>
              </w:rPr>
              <w:t>ess</w:t>
            </w:r>
            <w:r w:rsidRPr="00990D3B">
              <w:rPr>
                <w:rFonts w:eastAsia="Arial"/>
                <w:spacing w:val="1"/>
              </w:rPr>
              <w:t xml:space="preserve"> </w:t>
            </w:r>
            <w:r w:rsidRPr="00990D3B">
              <w:rPr>
                <w:rFonts w:eastAsia="Arial"/>
              </w:rPr>
              <w:t>care of special populations or high priority services, such as:</w:t>
            </w:r>
          </w:p>
          <w:p w:rsidR="00AB6BA6" w:rsidRPr="00990D3B" w:rsidP="00AB6BA6" w14:paraId="6B1BC4F5" w14:textId="77777777">
            <w:pPr>
              <w:pStyle w:val="EQRTableTextbullet"/>
              <w:spacing w:line="240" w:lineRule="auto"/>
              <w:ind w:left="216" w:hanging="216"/>
            </w:pPr>
            <w:r w:rsidRPr="00990D3B">
              <w:t>Children with special health care needs</w:t>
            </w:r>
          </w:p>
          <w:p w:rsidR="00AB6BA6" w:rsidRPr="00990D3B" w:rsidP="00AB6BA6" w14:paraId="235FE6F0" w14:textId="77777777">
            <w:pPr>
              <w:pStyle w:val="EQRTableTextbullet"/>
              <w:spacing w:line="240" w:lineRule="auto"/>
              <w:ind w:left="216" w:hanging="216"/>
            </w:pPr>
            <w:r w:rsidRPr="00990D3B">
              <w:t>Adults with physical disabilities</w:t>
            </w:r>
          </w:p>
          <w:p w:rsidR="00AB6BA6" w:rsidRPr="00990D3B" w:rsidP="00AB6BA6" w14:paraId="312B4973" w14:textId="77777777">
            <w:pPr>
              <w:pStyle w:val="EQRTableTextbullet"/>
              <w:spacing w:line="240" w:lineRule="auto"/>
              <w:ind w:left="216" w:hanging="216"/>
            </w:pPr>
            <w:r w:rsidRPr="00990D3B">
              <w:t>Children or adults with behavioral health issues</w:t>
            </w:r>
          </w:p>
          <w:p w:rsidR="00AB6BA6" w:rsidRPr="00990D3B" w:rsidP="00AB6BA6" w14:paraId="64AD8675" w14:textId="77777777">
            <w:pPr>
              <w:pStyle w:val="EQRTableTextbullet"/>
              <w:spacing w:line="240" w:lineRule="auto"/>
              <w:ind w:left="216" w:hanging="216"/>
            </w:pPr>
            <w:r w:rsidRPr="00990D3B">
              <w:t>People with intellectual and developmental disabilities</w:t>
            </w:r>
          </w:p>
          <w:p w:rsidR="00AB6BA6" w:rsidRPr="00990D3B" w:rsidP="00AB6BA6" w14:paraId="700C33DB" w14:textId="68590E02">
            <w:pPr>
              <w:pStyle w:val="EQRTableTextbullet"/>
              <w:spacing w:line="240" w:lineRule="auto"/>
              <w:ind w:left="216" w:hanging="216"/>
            </w:pPr>
            <w:r w:rsidRPr="00990D3B">
              <w:t xml:space="preserve">People with </w:t>
            </w:r>
            <w:r w:rsidRPr="00990D3B" w:rsidR="000C1D03">
              <w:t xml:space="preserve">Medicare and Medicaid </w:t>
            </w:r>
            <w:r w:rsidRPr="00990D3B">
              <w:t>dual eligibility who use LTSS</w:t>
            </w:r>
          </w:p>
          <w:p w:rsidR="00AB6BA6" w:rsidRPr="00990D3B" w:rsidP="00AB6BA6" w14:paraId="1F2E5458" w14:textId="77777777">
            <w:pPr>
              <w:pStyle w:val="EQRTableTextbullet"/>
              <w:spacing w:line="240" w:lineRule="auto"/>
              <w:ind w:left="216" w:hanging="216"/>
            </w:pPr>
            <w:r w:rsidRPr="00990D3B">
              <w:t>Preventive care</w:t>
            </w:r>
          </w:p>
          <w:p w:rsidR="00AB6BA6" w:rsidRPr="00990D3B" w:rsidP="00AB6BA6" w14:paraId="4F666A24" w14:textId="77777777">
            <w:pPr>
              <w:pStyle w:val="EQRTableTextbullet"/>
              <w:spacing w:line="240" w:lineRule="auto"/>
              <w:ind w:left="216" w:hanging="216"/>
            </w:pPr>
            <w:r w:rsidRPr="00990D3B">
              <w:t>Acute and chronic care</w:t>
            </w:r>
          </w:p>
          <w:p w:rsidR="00AB6BA6" w:rsidRPr="00990D3B" w:rsidP="00AB6BA6" w14:paraId="2702CD6F" w14:textId="77777777">
            <w:pPr>
              <w:pStyle w:val="EQRTableTextbullet"/>
              <w:spacing w:line="240" w:lineRule="auto"/>
              <w:ind w:left="216" w:hanging="216"/>
            </w:pPr>
            <w:r w:rsidRPr="00990D3B">
              <w:t>High-volume or high-risk services</w:t>
            </w:r>
          </w:p>
          <w:p w:rsidR="00AB6BA6" w:rsidRPr="00990D3B" w:rsidP="00AB6BA6" w14:paraId="318FD372" w14:textId="77777777">
            <w:pPr>
              <w:pStyle w:val="EQRTableTextbullet"/>
              <w:spacing w:line="240" w:lineRule="auto"/>
              <w:ind w:left="216" w:hanging="216"/>
            </w:pPr>
            <w:r w:rsidRPr="00990D3B">
              <w:t>Care received from specialized centers (e.g., burn, transplant, cardiac surgery)</w:t>
            </w:r>
          </w:p>
          <w:p w:rsidR="00AB6BA6" w:rsidRPr="00990D3B" w:rsidP="00AB6BA6" w14:paraId="75AF9820" w14:textId="77777777">
            <w:pPr>
              <w:pStyle w:val="EQRTableTextbullet"/>
              <w:spacing w:line="240" w:lineRule="auto"/>
              <w:ind w:left="216" w:hanging="216"/>
            </w:pPr>
            <w:r w:rsidRPr="00990D3B">
              <w:t>Continuity or coordination of care from multiple providers and over multiple episodes</w:t>
            </w:r>
          </w:p>
          <w:p w:rsidR="00AB6BA6" w:rsidRPr="00990D3B" w:rsidP="00AB6BA6" w14:paraId="6C6BEA0D" w14:textId="77777777">
            <w:pPr>
              <w:pStyle w:val="EQRTableTextbullet"/>
              <w:spacing w:line="240" w:lineRule="auto"/>
              <w:ind w:left="216" w:hanging="216"/>
            </w:pPr>
            <w:r w:rsidRPr="00990D3B">
              <w:t>Appeals and grievances</w:t>
            </w:r>
          </w:p>
          <w:p w:rsidR="00AB6BA6" w:rsidRPr="00990D3B" w:rsidP="00AB6BA6" w14:paraId="02FEDA41" w14:textId="77777777">
            <w:pPr>
              <w:pStyle w:val="EQRTableTextbullet"/>
              <w:spacing w:line="240" w:lineRule="auto"/>
              <w:ind w:left="216" w:hanging="216"/>
            </w:pPr>
            <w:r w:rsidRPr="00990D3B">
              <w:t xml:space="preserve">Access to and availability of care </w:t>
            </w:r>
          </w:p>
        </w:tc>
        <w:tc>
          <w:tcPr>
            <w:tcW w:w="720" w:type="dxa"/>
          </w:tcPr>
          <w:p w:rsidR="00AB6BA6" w:rsidRPr="00990D3B" w:rsidP="009B3CAB" w14:paraId="0607A7E3" w14:textId="77777777">
            <w:pPr>
              <w:pStyle w:val="EQRTableText"/>
            </w:pPr>
            <w:r w:rsidRPr="00990D3B">
              <w:t> </w:t>
            </w:r>
          </w:p>
        </w:tc>
        <w:tc>
          <w:tcPr>
            <w:tcW w:w="720" w:type="dxa"/>
          </w:tcPr>
          <w:p w:rsidR="00AB6BA6" w:rsidRPr="00990D3B" w:rsidP="009B3CAB" w14:paraId="6EC072C0" w14:textId="77777777">
            <w:pPr>
              <w:pStyle w:val="EQRTableText"/>
            </w:pPr>
            <w:r w:rsidRPr="00990D3B">
              <w:t> </w:t>
            </w:r>
          </w:p>
        </w:tc>
        <w:tc>
          <w:tcPr>
            <w:tcW w:w="720" w:type="dxa"/>
          </w:tcPr>
          <w:p w:rsidR="00AB6BA6" w:rsidRPr="00990D3B" w:rsidP="009B3CAB" w14:paraId="67FF24ED" w14:textId="77777777">
            <w:pPr>
              <w:pStyle w:val="EQRTableText"/>
            </w:pPr>
            <w:r w:rsidRPr="00990D3B">
              <w:t> </w:t>
            </w:r>
          </w:p>
        </w:tc>
        <w:tc>
          <w:tcPr>
            <w:tcW w:w="2425" w:type="dxa"/>
          </w:tcPr>
          <w:p w:rsidR="00AB6BA6" w:rsidRPr="00990D3B" w:rsidP="009B3CAB" w14:paraId="42388C76" w14:textId="77777777">
            <w:pPr>
              <w:pStyle w:val="EQRTableText"/>
            </w:pPr>
            <w:r w:rsidRPr="00990D3B">
              <w:t> </w:t>
            </w:r>
          </w:p>
        </w:tc>
      </w:tr>
      <w:tr w14:paraId="55AE1EC3" w14:textId="77777777" w:rsidTr="00BD1FC3">
        <w:tblPrEx>
          <w:tblW w:w="5000" w:type="pct"/>
          <w:tblLayout w:type="fixed"/>
          <w:tblLook w:val="04A0"/>
        </w:tblPrEx>
        <w:trPr>
          <w:cantSplit/>
        </w:trPr>
        <w:tc>
          <w:tcPr>
            <w:tcW w:w="4765" w:type="dxa"/>
          </w:tcPr>
          <w:p w:rsidR="00AB6BA6" w:rsidRPr="00990D3B" w:rsidP="0082412E" w14:paraId="2FB29F9B" w14:textId="77777777">
            <w:pPr>
              <w:pStyle w:val="EQRTableText"/>
            </w:pPr>
            <w:r w:rsidRPr="00990D3B">
              <w:t xml:space="preserve">1.5 Did the PIP topic align with priority areas identified by HHS and/or CMS? </w:t>
            </w:r>
          </w:p>
        </w:tc>
        <w:tc>
          <w:tcPr>
            <w:tcW w:w="720" w:type="dxa"/>
          </w:tcPr>
          <w:p w:rsidR="00AB6BA6" w:rsidRPr="00990D3B" w:rsidP="009B3CAB" w14:paraId="72A1DD10" w14:textId="77777777">
            <w:pPr>
              <w:pStyle w:val="EQRTableText"/>
            </w:pPr>
            <w:r w:rsidRPr="00990D3B">
              <w:t> </w:t>
            </w:r>
          </w:p>
        </w:tc>
        <w:tc>
          <w:tcPr>
            <w:tcW w:w="720" w:type="dxa"/>
          </w:tcPr>
          <w:p w:rsidR="00AB6BA6" w:rsidRPr="00990D3B" w:rsidP="009B3CAB" w14:paraId="46AAB442" w14:textId="77777777">
            <w:pPr>
              <w:pStyle w:val="EQRTableText"/>
            </w:pPr>
            <w:r w:rsidRPr="00990D3B">
              <w:t> </w:t>
            </w:r>
          </w:p>
        </w:tc>
        <w:tc>
          <w:tcPr>
            <w:tcW w:w="720" w:type="dxa"/>
          </w:tcPr>
          <w:p w:rsidR="00AB6BA6" w:rsidRPr="00990D3B" w:rsidP="009B3CAB" w14:paraId="1DD23526" w14:textId="77777777">
            <w:pPr>
              <w:pStyle w:val="EQRTableText"/>
            </w:pPr>
            <w:r w:rsidRPr="00990D3B">
              <w:t> </w:t>
            </w:r>
          </w:p>
        </w:tc>
        <w:tc>
          <w:tcPr>
            <w:tcW w:w="2425" w:type="dxa"/>
          </w:tcPr>
          <w:p w:rsidR="00AB6BA6" w:rsidRPr="00990D3B" w:rsidP="009B3CAB" w14:paraId="244DBF3C" w14:textId="77777777">
            <w:pPr>
              <w:pStyle w:val="EQRTableText"/>
            </w:pPr>
            <w:r w:rsidRPr="00990D3B">
              <w:t> </w:t>
            </w:r>
          </w:p>
        </w:tc>
      </w:tr>
      <w:tr w14:paraId="1A02F8DC" w14:textId="77777777" w:rsidTr="00BD1FC3">
        <w:tblPrEx>
          <w:tblW w:w="5000" w:type="pct"/>
          <w:tblLayout w:type="fixed"/>
          <w:tblLook w:val="04A0"/>
        </w:tblPrEx>
        <w:trPr>
          <w:cantSplit/>
        </w:trPr>
        <w:tc>
          <w:tcPr>
            <w:tcW w:w="4765" w:type="dxa"/>
          </w:tcPr>
          <w:p w:rsidR="00AB6BA6" w:rsidRPr="00990D3B" w:rsidP="0082412E" w14:paraId="13DF0100" w14:textId="77777777">
            <w:pPr>
              <w:pStyle w:val="EQRTableText"/>
            </w:pPr>
            <w:r w:rsidRPr="00990D3B">
              <w:t>1.6 Overall assessment: In the comments section, note any recommendations for improving the PIP topic.</w:t>
            </w:r>
          </w:p>
        </w:tc>
        <w:tc>
          <w:tcPr>
            <w:tcW w:w="720" w:type="dxa"/>
            <w:shd w:val="clear" w:color="auto" w:fill="BFBFBF" w:themeFill="background1" w:themeFillShade="BF"/>
          </w:tcPr>
          <w:p w:rsidR="00AB6BA6" w:rsidRPr="00990D3B" w:rsidP="009B3CAB" w14:paraId="6D360E86" w14:textId="77777777">
            <w:pPr>
              <w:pStyle w:val="EQRTableText"/>
            </w:pPr>
            <w:r w:rsidRPr="00990D3B">
              <w:t> </w:t>
            </w:r>
          </w:p>
        </w:tc>
        <w:tc>
          <w:tcPr>
            <w:tcW w:w="720" w:type="dxa"/>
            <w:shd w:val="clear" w:color="auto" w:fill="BFBFBF" w:themeFill="background1" w:themeFillShade="BF"/>
          </w:tcPr>
          <w:p w:rsidR="00AB6BA6" w:rsidRPr="00990D3B" w:rsidP="009B3CAB" w14:paraId="4DD82D5B" w14:textId="77777777">
            <w:pPr>
              <w:pStyle w:val="EQRTableText"/>
            </w:pPr>
            <w:r w:rsidRPr="00990D3B">
              <w:t> </w:t>
            </w:r>
          </w:p>
        </w:tc>
        <w:tc>
          <w:tcPr>
            <w:tcW w:w="720" w:type="dxa"/>
            <w:shd w:val="clear" w:color="auto" w:fill="BFBFBF" w:themeFill="background1" w:themeFillShade="BF"/>
          </w:tcPr>
          <w:p w:rsidR="00AB6BA6" w:rsidRPr="00990D3B" w:rsidP="009B3CAB" w14:paraId="7950CD81" w14:textId="77777777">
            <w:pPr>
              <w:pStyle w:val="EQRTableText"/>
            </w:pPr>
            <w:r w:rsidRPr="00990D3B">
              <w:t> </w:t>
            </w:r>
          </w:p>
        </w:tc>
        <w:tc>
          <w:tcPr>
            <w:tcW w:w="2425" w:type="dxa"/>
          </w:tcPr>
          <w:p w:rsidR="00AB6BA6" w:rsidRPr="00990D3B" w:rsidP="009B3CAB" w14:paraId="2BE8B8B6" w14:textId="77777777">
            <w:pPr>
              <w:pStyle w:val="EQRTableText"/>
            </w:pPr>
            <w:r w:rsidRPr="00990D3B">
              <w:t> </w:t>
            </w:r>
          </w:p>
        </w:tc>
      </w:tr>
    </w:tbl>
    <w:p w:rsidR="00AB6BA6" w:rsidRPr="00990D3B" w:rsidP="00BD1FC3" w14:paraId="2C763DE5" w14:textId="77777777">
      <w:pPr>
        <w:pStyle w:val="EQRMarkforExhibitWORKSHEET"/>
      </w:pPr>
      <w:bookmarkStart w:id="187" w:name="WSp1n2"/>
      <w:bookmarkStart w:id="188" w:name="_Toc125619134"/>
      <w:bookmarkStart w:id="189" w:name="_Toc201751479"/>
      <w:r w:rsidRPr="00990D3B">
        <w:t>Worksheet 1.2</w:t>
      </w:r>
      <w:bookmarkEnd w:id="187"/>
      <w:r w:rsidRPr="00990D3B">
        <w:t xml:space="preserve">. </w:t>
      </w:r>
      <w:r w:rsidRPr="00990D3B">
        <w:t>Review</w:t>
      </w:r>
      <w:r w:rsidRPr="00990D3B">
        <w:t xml:space="preserve"> the PIP Aim Statement</w:t>
      </w:r>
      <w:bookmarkEnd w:id="188"/>
      <w:bookmarkEnd w:id="189"/>
    </w:p>
    <w:p w:rsidR="00AB6BA6" w:rsidRPr="00990D3B" w:rsidP="00BD1FC3" w14:paraId="4F314904" w14:textId="77777777">
      <w:pPr>
        <w:pStyle w:val="EQRNormalSSWORKSHEET"/>
        <w:rPr>
          <w:b/>
        </w:rPr>
      </w:pPr>
      <w:r w:rsidRPr="00990D3B">
        <w:rPr>
          <w:b/>
        </w:rPr>
        <w:t>PIP Aim Statement ______________________________</w:t>
      </w:r>
    </w:p>
    <w:p w:rsidR="00AB6BA6" w:rsidRPr="00990D3B" w:rsidP="00BD1FC3" w14:paraId="30CAFB97" w14:textId="61DA5956">
      <w:pPr>
        <w:pStyle w:val="EQRNormalSSWORKSHEET"/>
      </w:pPr>
      <w:r w:rsidRPr="00990D3B">
        <w:rPr>
          <w:b/>
          <w:bCs/>
        </w:rPr>
        <w:t xml:space="preserve">Instructions. </w:t>
      </w:r>
      <w:r w:rsidRPr="00990D3B">
        <w:t>Assess the appropriateness of the selected PIP topic by answering the following questions. Insert comments to explain “No” and “Not Applicable” responses.</w:t>
      </w:r>
    </w:p>
    <w:p w:rsidR="00FC0CEF" w:rsidRPr="00990D3B" w:rsidP="00DE6DCE" w14:paraId="55230127" w14:textId="77777777">
      <w:pPr>
        <w:pStyle w:val="EQRNormalSSWORKSHEET"/>
      </w:pPr>
      <w:r w:rsidRPr="00990D3B">
        <w:t>Acronyms: NA = Not Applicable; PIP = Performance Improvement Project.</w:t>
      </w:r>
    </w:p>
    <w:tbl>
      <w:tblPr>
        <w:tblStyle w:val="TableGrid"/>
        <w:tblW w:w="5000" w:type="pct"/>
        <w:tblLook w:val="04A0"/>
      </w:tblPr>
      <w:tblGrid>
        <w:gridCol w:w="2714"/>
        <w:gridCol w:w="568"/>
        <w:gridCol w:w="556"/>
        <w:gridCol w:w="560"/>
        <w:gridCol w:w="4952"/>
      </w:tblGrid>
      <w:tr w14:paraId="47368EA5" w14:textId="77777777" w:rsidTr="00BD1FC3">
        <w:tblPrEx>
          <w:tblW w:w="5000" w:type="pct"/>
          <w:tblLook w:val="04A0"/>
        </w:tblPrEx>
        <w:trPr>
          <w:tblHeader/>
        </w:trPr>
        <w:tc>
          <w:tcPr>
            <w:tcW w:w="2714" w:type="dxa"/>
            <w:vAlign w:val="bottom"/>
          </w:tcPr>
          <w:p w:rsidR="00AB6BA6" w:rsidRPr="00990D3B" w:rsidP="00BB7A0D" w14:paraId="7622A13A" w14:textId="77777777">
            <w:pPr>
              <w:pStyle w:val="EQRTableHeaderLeft"/>
              <w:rPr>
                <w:color w:val="auto"/>
              </w:rPr>
            </w:pPr>
            <w:r w:rsidRPr="00990D3B">
              <w:rPr>
                <w:color w:val="auto"/>
              </w:rPr>
              <w:t xml:space="preserve">Question </w:t>
            </w:r>
          </w:p>
        </w:tc>
        <w:tc>
          <w:tcPr>
            <w:tcW w:w="568" w:type="dxa"/>
            <w:vAlign w:val="bottom"/>
          </w:tcPr>
          <w:p w:rsidR="00AB6BA6" w:rsidRPr="00990D3B" w:rsidP="00BB7A0D" w14:paraId="299011F4" w14:textId="77777777">
            <w:pPr>
              <w:pStyle w:val="EQRTableHeaderCenter"/>
              <w:rPr>
                <w:color w:val="auto"/>
              </w:rPr>
            </w:pPr>
            <w:r w:rsidRPr="00990D3B">
              <w:rPr>
                <w:color w:val="auto"/>
              </w:rPr>
              <w:t>Yes</w:t>
            </w:r>
          </w:p>
        </w:tc>
        <w:tc>
          <w:tcPr>
            <w:tcW w:w="556" w:type="dxa"/>
            <w:vAlign w:val="bottom"/>
          </w:tcPr>
          <w:p w:rsidR="00AB6BA6" w:rsidRPr="00990D3B" w:rsidP="00BB7A0D" w14:paraId="170D7611" w14:textId="77777777">
            <w:pPr>
              <w:pStyle w:val="EQRTableHeaderCenter"/>
              <w:rPr>
                <w:color w:val="auto"/>
              </w:rPr>
            </w:pPr>
            <w:r w:rsidRPr="00990D3B">
              <w:rPr>
                <w:color w:val="auto"/>
              </w:rPr>
              <w:t>No</w:t>
            </w:r>
          </w:p>
        </w:tc>
        <w:tc>
          <w:tcPr>
            <w:tcW w:w="560" w:type="dxa"/>
            <w:vAlign w:val="bottom"/>
          </w:tcPr>
          <w:p w:rsidR="00AB6BA6" w:rsidRPr="00990D3B" w:rsidP="00BB7A0D" w14:paraId="7A771508" w14:textId="77777777">
            <w:pPr>
              <w:pStyle w:val="EQRTableHeaderCenter"/>
              <w:rPr>
                <w:color w:val="auto"/>
              </w:rPr>
            </w:pPr>
            <w:r w:rsidRPr="00990D3B">
              <w:rPr>
                <w:color w:val="auto"/>
              </w:rPr>
              <w:t>NA</w:t>
            </w:r>
          </w:p>
        </w:tc>
        <w:tc>
          <w:tcPr>
            <w:tcW w:w="4952" w:type="dxa"/>
            <w:vAlign w:val="bottom"/>
          </w:tcPr>
          <w:p w:rsidR="00AB6BA6" w:rsidRPr="00990D3B" w:rsidP="00BB7A0D" w14:paraId="456ED036" w14:textId="77777777">
            <w:pPr>
              <w:pStyle w:val="EQRTableHeaderCenter"/>
              <w:rPr>
                <w:color w:val="auto"/>
              </w:rPr>
            </w:pPr>
            <w:r w:rsidRPr="00990D3B">
              <w:rPr>
                <w:color w:val="auto"/>
              </w:rPr>
              <w:t>Comments</w:t>
            </w:r>
          </w:p>
        </w:tc>
      </w:tr>
      <w:tr w14:paraId="0561D7DC" w14:textId="77777777" w:rsidTr="00BD1FC3">
        <w:tblPrEx>
          <w:tblW w:w="5000" w:type="pct"/>
          <w:tblLook w:val="04A0"/>
        </w:tblPrEx>
        <w:tc>
          <w:tcPr>
            <w:tcW w:w="2714" w:type="dxa"/>
          </w:tcPr>
          <w:p w:rsidR="00AB6BA6" w:rsidRPr="00990D3B" w:rsidP="003E139A" w14:paraId="130B206B" w14:textId="77777777">
            <w:pPr>
              <w:pStyle w:val="EQRTableText"/>
            </w:pPr>
            <w:r w:rsidRPr="00990D3B">
              <w:t xml:space="preserve">2.1 Did the PIP aim statement clearly specify the improvement strategy, population, and </w:t>
            </w:r>
            <w:r w:rsidRPr="00990D3B">
              <w:t>time period</w:t>
            </w:r>
            <w:r w:rsidRPr="00990D3B">
              <w:t xml:space="preserve"> for the PIP?</w:t>
            </w:r>
          </w:p>
        </w:tc>
        <w:tc>
          <w:tcPr>
            <w:tcW w:w="568" w:type="dxa"/>
          </w:tcPr>
          <w:p w:rsidR="00AB6BA6" w:rsidRPr="00990D3B" w:rsidP="00BB7A0D" w14:paraId="2CE75F7F" w14:textId="77777777">
            <w:pPr>
              <w:pStyle w:val="EQRTableText"/>
            </w:pPr>
            <w:r w:rsidRPr="00990D3B">
              <w:t> </w:t>
            </w:r>
          </w:p>
        </w:tc>
        <w:tc>
          <w:tcPr>
            <w:tcW w:w="556" w:type="dxa"/>
          </w:tcPr>
          <w:p w:rsidR="00AB6BA6" w:rsidRPr="00990D3B" w:rsidP="00BB7A0D" w14:paraId="43474E93" w14:textId="77777777">
            <w:pPr>
              <w:pStyle w:val="EQRTableText"/>
            </w:pPr>
            <w:r w:rsidRPr="00990D3B">
              <w:t> </w:t>
            </w:r>
          </w:p>
        </w:tc>
        <w:tc>
          <w:tcPr>
            <w:tcW w:w="560" w:type="dxa"/>
          </w:tcPr>
          <w:p w:rsidR="00AB6BA6" w:rsidRPr="00990D3B" w:rsidP="00BB7A0D" w14:paraId="219E232A" w14:textId="77777777">
            <w:pPr>
              <w:pStyle w:val="EQRTableText"/>
            </w:pPr>
            <w:r w:rsidRPr="00990D3B">
              <w:t> </w:t>
            </w:r>
          </w:p>
        </w:tc>
        <w:tc>
          <w:tcPr>
            <w:tcW w:w="4952" w:type="dxa"/>
          </w:tcPr>
          <w:p w:rsidR="00AB6BA6" w:rsidRPr="00990D3B" w:rsidP="00BB7A0D" w14:paraId="4AB7B9DB" w14:textId="77777777">
            <w:pPr>
              <w:pStyle w:val="EQRTableText"/>
            </w:pPr>
            <w:r w:rsidRPr="00990D3B">
              <w:t> </w:t>
            </w:r>
          </w:p>
        </w:tc>
      </w:tr>
      <w:tr w14:paraId="46754099" w14:textId="77777777" w:rsidTr="00BD1FC3">
        <w:tblPrEx>
          <w:tblW w:w="5000" w:type="pct"/>
          <w:tblLook w:val="04A0"/>
        </w:tblPrEx>
        <w:tc>
          <w:tcPr>
            <w:tcW w:w="2714" w:type="dxa"/>
          </w:tcPr>
          <w:p w:rsidR="00AB6BA6" w:rsidRPr="00990D3B" w:rsidP="003E139A" w14:paraId="15A2C979" w14:textId="77777777">
            <w:pPr>
              <w:pStyle w:val="EQRTableText"/>
            </w:pPr>
            <w:r w:rsidRPr="00990D3B">
              <w:t>2.2 Did the PIP aim statement clearly specify the population for the PIP?</w:t>
            </w:r>
          </w:p>
        </w:tc>
        <w:tc>
          <w:tcPr>
            <w:tcW w:w="568" w:type="dxa"/>
          </w:tcPr>
          <w:p w:rsidR="00AB6BA6" w:rsidRPr="00990D3B" w:rsidP="00BB7A0D" w14:paraId="2117E36D" w14:textId="77777777">
            <w:pPr>
              <w:pStyle w:val="EQRTableText"/>
            </w:pPr>
            <w:r w:rsidRPr="00990D3B">
              <w:t> </w:t>
            </w:r>
          </w:p>
        </w:tc>
        <w:tc>
          <w:tcPr>
            <w:tcW w:w="556" w:type="dxa"/>
          </w:tcPr>
          <w:p w:rsidR="00AB6BA6" w:rsidRPr="00990D3B" w:rsidP="00BB7A0D" w14:paraId="2C7C967A" w14:textId="77777777">
            <w:pPr>
              <w:pStyle w:val="EQRTableText"/>
            </w:pPr>
            <w:r w:rsidRPr="00990D3B">
              <w:t> </w:t>
            </w:r>
          </w:p>
        </w:tc>
        <w:tc>
          <w:tcPr>
            <w:tcW w:w="560" w:type="dxa"/>
          </w:tcPr>
          <w:p w:rsidR="00AB6BA6" w:rsidRPr="00990D3B" w:rsidP="00BB7A0D" w14:paraId="42A5A3E8" w14:textId="77777777">
            <w:pPr>
              <w:pStyle w:val="EQRTableText"/>
            </w:pPr>
            <w:r w:rsidRPr="00990D3B">
              <w:t> </w:t>
            </w:r>
          </w:p>
        </w:tc>
        <w:tc>
          <w:tcPr>
            <w:tcW w:w="4952" w:type="dxa"/>
          </w:tcPr>
          <w:p w:rsidR="00AB6BA6" w:rsidRPr="00990D3B" w:rsidP="00BB7A0D" w14:paraId="678DD019" w14:textId="77777777">
            <w:pPr>
              <w:pStyle w:val="EQRTableText"/>
            </w:pPr>
            <w:r w:rsidRPr="00990D3B">
              <w:t> </w:t>
            </w:r>
          </w:p>
        </w:tc>
      </w:tr>
      <w:tr w14:paraId="7EBCF819" w14:textId="77777777" w:rsidTr="00BD1FC3">
        <w:tblPrEx>
          <w:tblW w:w="5000" w:type="pct"/>
          <w:tblLook w:val="04A0"/>
        </w:tblPrEx>
        <w:tc>
          <w:tcPr>
            <w:tcW w:w="2714" w:type="dxa"/>
          </w:tcPr>
          <w:p w:rsidR="00AB6BA6" w:rsidRPr="00990D3B" w:rsidP="00BB7A0D" w14:paraId="1B3C0E8B" w14:textId="77777777">
            <w:pPr>
              <w:pStyle w:val="EQRTableText"/>
            </w:pPr>
            <w:r w:rsidRPr="00990D3B">
              <w:t xml:space="preserve">2.3 Did the PIP aim statement clearly specify the </w:t>
            </w:r>
            <w:r w:rsidRPr="00990D3B">
              <w:t>time period</w:t>
            </w:r>
            <w:r w:rsidRPr="00990D3B">
              <w:t xml:space="preserve"> for the PIP? </w:t>
            </w:r>
          </w:p>
        </w:tc>
        <w:tc>
          <w:tcPr>
            <w:tcW w:w="568" w:type="dxa"/>
          </w:tcPr>
          <w:p w:rsidR="00AB6BA6" w:rsidRPr="00990D3B" w:rsidP="00BB7A0D" w14:paraId="6A069F9E" w14:textId="77777777">
            <w:pPr>
              <w:pStyle w:val="EQRTableText"/>
            </w:pPr>
            <w:r w:rsidRPr="00990D3B">
              <w:t> </w:t>
            </w:r>
          </w:p>
        </w:tc>
        <w:tc>
          <w:tcPr>
            <w:tcW w:w="556" w:type="dxa"/>
          </w:tcPr>
          <w:p w:rsidR="00AB6BA6" w:rsidRPr="00990D3B" w:rsidP="00BB7A0D" w14:paraId="1B266849" w14:textId="77777777">
            <w:pPr>
              <w:pStyle w:val="EQRTableText"/>
            </w:pPr>
            <w:r w:rsidRPr="00990D3B">
              <w:t> </w:t>
            </w:r>
          </w:p>
        </w:tc>
        <w:tc>
          <w:tcPr>
            <w:tcW w:w="560" w:type="dxa"/>
          </w:tcPr>
          <w:p w:rsidR="00AB6BA6" w:rsidRPr="00990D3B" w:rsidP="00BB7A0D" w14:paraId="2B7B83F9" w14:textId="77777777">
            <w:pPr>
              <w:pStyle w:val="EQRTableText"/>
            </w:pPr>
            <w:r w:rsidRPr="00990D3B">
              <w:t> </w:t>
            </w:r>
          </w:p>
        </w:tc>
        <w:tc>
          <w:tcPr>
            <w:tcW w:w="4952" w:type="dxa"/>
          </w:tcPr>
          <w:p w:rsidR="00AB6BA6" w:rsidRPr="00990D3B" w:rsidP="00BB7A0D" w14:paraId="3C82BDED" w14:textId="77777777">
            <w:pPr>
              <w:pStyle w:val="EQRTableText"/>
            </w:pPr>
            <w:r w:rsidRPr="00990D3B">
              <w:t> </w:t>
            </w:r>
          </w:p>
        </w:tc>
      </w:tr>
      <w:tr w14:paraId="271BEAE2" w14:textId="77777777" w:rsidTr="00BD1FC3">
        <w:tblPrEx>
          <w:tblW w:w="5000" w:type="pct"/>
          <w:tblLook w:val="04A0"/>
        </w:tblPrEx>
        <w:tc>
          <w:tcPr>
            <w:tcW w:w="2714" w:type="dxa"/>
          </w:tcPr>
          <w:p w:rsidR="00AB6BA6" w:rsidRPr="00990D3B" w:rsidP="00BB7A0D" w14:paraId="3286D078" w14:textId="77777777">
            <w:pPr>
              <w:pStyle w:val="EQRTableText"/>
            </w:pPr>
            <w:r w:rsidRPr="00990D3B">
              <w:t>2.4 Was the PIP aim statement concise?</w:t>
            </w:r>
          </w:p>
        </w:tc>
        <w:tc>
          <w:tcPr>
            <w:tcW w:w="568" w:type="dxa"/>
          </w:tcPr>
          <w:p w:rsidR="00AB6BA6" w:rsidRPr="00990D3B" w:rsidP="00BB7A0D" w14:paraId="78F848F5" w14:textId="77777777">
            <w:pPr>
              <w:pStyle w:val="EQRTableText"/>
            </w:pPr>
            <w:r w:rsidRPr="00990D3B">
              <w:t> </w:t>
            </w:r>
          </w:p>
        </w:tc>
        <w:tc>
          <w:tcPr>
            <w:tcW w:w="556" w:type="dxa"/>
          </w:tcPr>
          <w:p w:rsidR="00AB6BA6" w:rsidRPr="00990D3B" w:rsidP="00BB7A0D" w14:paraId="6813D623" w14:textId="77777777">
            <w:pPr>
              <w:pStyle w:val="EQRTableText"/>
            </w:pPr>
            <w:r w:rsidRPr="00990D3B">
              <w:t> </w:t>
            </w:r>
          </w:p>
        </w:tc>
        <w:tc>
          <w:tcPr>
            <w:tcW w:w="560" w:type="dxa"/>
          </w:tcPr>
          <w:p w:rsidR="00AB6BA6" w:rsidRPr="00990D3B" w:rsidP="00BB7A0D" w14:paraId="5C0AF5B9" w14:textId="77777777">
            <w:pPr>
              <w:pStyle w:val="EQRTableText"/>
            </w:pPr>
            <w:r w:rsidRPr="00990D3B">
              <w:t> </w:t>
            </w:r>
          </w:p>
        </w:tc>
        <w:tc>
          <w:tcPr>
            <w:tcW w:w="4952" w:type="dxa"/>
          </w:tcPr>
          <w:p w:rsidR="00AB6BA6" w:rsidRPr="00990D3B" w:rsidP="00BB7A0D" w14:paraId="2B81A176" w14:textId="77777777">
            <w:pPr>
              <w:pStyle w:val="EQRTableText"/>
            </w:pPr>
            <w:r w:rsidRPr="00990D3B">
              <w:t> </w:t>
            </w:r>
          </w:p>
        </w:tc>
      </w:tr>
      <w:tr w14:paraId="59833FD4" w14:textId="77777777" w:rsidTr="00BD1FC3">
        <w:tblPrEx>
          <w:tblW w:w="5000" w:type="pct"/>
          <w:tblLook w:val="04A0"/>
        </w:tblPrEx>
        <w:tc>
          <w:tcPr>
            <w:tcW w:w="2714" w:type="dxa"/>
          </w:tcPr>
          <w:p w:rsidR="00AB6BA6" w:rsidRPr="00990D3B" w:rsidP="00BB7A0D" w14:paraId="750EB0B9" w14:textId="77777777">
            <w:pPr>
              <w:pStyle w:val="EQRTableText"/>
            </w:pPr>
            <w:r w:rsidRPr="00990D3B">
              <w:t xml:space="preserve">2.5 Was the PIP aim statement answerable? </w:t>
            </w:r>
          </w:p>
        </w:tc>
        <w:tc>
          <w:tcPr>
            <w:tcW w:w="568" w:type="dxa"/>
          </w:tcPr>
          <w:p w:rsidR="00AB6BA6" w:rsidRPr="00990D3B" w:rsidP="00BB7A0D" w14:paraId="4F9E9421" w14:textId="77777777">
            <w:pPr>
              <w:pStyle w:val="EQRTableText"/>
            </w:pPr>
            <w:r w:rsidRPr="00990D3B">
              <w:t> </w:t>
            </w:r>
          </w:p>
        </w:tc>
        <w:tc>
          <w:tcPr>
            <w:tcW w:w="556" w:type="dxa"/>
          </w:tcPr>
          <w:p w:rsidR="00AB6BA6" w:rsidRPr="00990D3B" w:rsidP="00BB7A0D" w14:paraId="11A5979F" w14:textId="77777777">
            <w:pPr>
              <w:pStyle w:val="EQRTableText"/>
            </w:pPr>
            <w:r w:rsidRPr="00990D3B">
              <w:t> </w:t>
            </w:r>
          </w:p>
        </w:tc>
        <w:tc>
          <w:tcPr>
            <w:tcW w:w="560" w:type="dxa"/>
          </w:tcPr>
          <w:p w:rsidR="00AB6BA6" w:rsidRPr="00990D3B" w:rsidP="00BB7A0D" w14:paraId="18B67C3E" w14:textId="77777777">
            <w:pPr>
              <w:pStyle w:val="EQRTableText"/>
            </w:pPr>
            <w:r w:rsidRPr="00990D3B">
              <w:t> </w:t>
            </w:r>
          </w:p>
        </w:tc>
        <w:tc>
          <w:tcPr>
            <w:tcW w:w="4952" w:type="dxa"/>
          </w:tcPr>
          <w:p w:rsidR="00AB6BA6" w:rsidRPr="00990D3B" w:rsidP="00BB7A0D" w14:paraId="2BC902F5" w14:textId="77777777">
            <w:pPr>
              <w:pStyle w:val="EQRTableText"/>
            </w:pPr>
            <w:r w:rsidRPr="00990D3B">
              <w:t> </w:t>
            </w:r>
          </w:p>
        </w:tc>
      </w:tr>
      <w:tr w14:paraId="6BC280A2" w14:textId="77777777" w:rsidTr="00BD1FC3">
        <w:tblPrEx>
          <w:tblW w:w="5000" w:type="pct"/>
          <w:tblLook w:val="04A0"/>
        </w:tblPrEx>
        <w:tc>
          <w:tcPr>
            <w:tcW w:w="2714" w:type="dxa"/>
          </w:tcPr>
          <w:p w:rsidR="00AB6BA6" w:rsidRPr="00990D3B" w:rsidP="000A6DDB" w14:paraId="1B348527" w14:textId="77777777">
            <w:pPr>
              <w:pStyle w:val="EQRTableText"/>
            </w:pPr>
            <w:r w:rsidRPr="00990D3B">
              <w:t xml:space="preserve">2.6 Was the PIP aim statement measurable? </w:t>
            </w:r>
          </w:p>
        </w:tc>
        <w:tc>
          <w:tcPr>
            <w:tcW w:w="568" w:type="dxa"/>
          </w:tcPr>
          <w:p w:rsidR="00AB6BA6" w:rsidRPr="00990D3B" w:rsidP="00BB7A0D" w14:paraId="48E4FA8A" w14:textId="77777777">
            <w:pPr>
              <w:pStyle w:val="EQRTableText"/>
            </w:pPr>
            <w:r w:rsidRPr="00990D3B">
              <w:t> </w:t>
            </w:r>
          </w:p>
        </w:tc>
        <w:tc>
          <w:tcPr>
            <w:tcW w:w="556" w:type="dxa"/>
          </w:tcPr>
          <w:p w:rsidR="00AB6BA6" w:rsidRPr="00990D3B" w:rsidP="00BB7A0D" w14:paraId="136C6404" w14:textId="77777777">
            <w:pPr>
              <w:pStyle w:val="EQRTableText"/>
            </w:pPr>
            <w:r w:rsidRPr="00990D3B">
              <w:t> </w:t>
            </w:r>
          </w:p>
        </w:tc>
        <w:tc>
          <w:tcPr>
            <w:tcW w:w="560" w:type="dxa"/>
          </w:tcPr>
          <w:p w:rsidR="00AB6BA6" w:rsidRPr="00990D3B" w:rsidP="00BB7A0D" w14:paraId="4045A5CD" w14:textId="77777777">
            <w:pPr>
              <w:pStyle w:val="EQRTableText"/>
            </w:pPr>
            <w:r w:rsidRPr="00990D3B">
              <w:t> </w:t>
            </w:r>
          </w:p>
        </w:tc>
        <w:tc>
          <w:tcPr>
            <w:tcW w:w="4952" w:type="dxa"/>
          </w:tcPr>
          <w:p w:rsidR="00AB6BA6" w:rsidRPr="00990D3B" w:rsidP="00BB7A0D" w14:paraId="4AF673BA" w14:textId="77777777">
            <w:pPr>
              <w:pStyle w:val="EQRTableText"/>
            </w:pPr>
            <w:r w:rsidRPr="00990D3B">
              <w:t> </w:t>
            </w:r>
          </w:p>
        </w:tc>
      </w:tr>
      <w:tr w14:paraId="1492FA7C" w14:textId="77777777" w:rsidTr="00BD1FC3">
        <w:tblPrEx>
          <w:tblW w:w="5000" w:type="pct"/>
          <w:tblLook w:val="04A0"/>
        </w:tblPrEx>
        <w:tc>
          <w:tcPr>
            <w:tcW w:w="2714" w:type="dxa"/>
          </w:tcPr>
          <w:p w:rsidR="00AB6BA6" w:rsidRPr="00990D3B" w:rsidP="0089242A" w14:paraId="1FCDAD6E" w14:textId="77777777">
            <w:pPr>
              <w:pStyle w:val="EQRTableText"/>
            </w:pPr>
            <w:r w:rsidRPr="00990D3B">
              <w:t>2.7 Overall assessment: In the comments section, note any recommendations for improving the PIP aim statement.</w:t>
            </w:r>
          </w:p>
        </w:tc>
        <w:tc>
          <w:tcPr>
            <w:tcW w:w="568" w:type="dxa"/>
            <w:shd w:val="clear" w:color="auto" w:fill="BFBFBF" w:themeFill="background1" w:themeFillShade="BF"/>
          </w:tcPr>
          <w:p w:rsidR="00AB6BA6" w:rsidRPr="00990D3B" w:rsidP="00BB7A0D" w14:paraId="30832210" w14:textId="77777777">
            <w:pPr>
              <w:pStyle w:val="EQRTableText"/>
            </w:pPr>
            <w:r w:rsidRPr="00990D3B">
              <w:t> </w:t>
            </w:r>
          </w:p>
        </w:tc>
        <w:tc>
          <w:tcPr>
            <w:tcW w:w="556" w:type="dxa"/>
            <w:shd w:val="clear" w:color="auto" w:fill="BFBFBF" w:themeFill="background1" w:themeFillShade="BF"/>
          </w:tcPr>
          <w:p w:rsidR="00AB6BA6" w:rsidRPr="00990D3B" w:rsidP="00BB7A0D" w14:paraId="31BE9622" w14:textId="77777777">
            <w:pPr>
              <w:pStyle w:val="EQRTableText"/>
            </w:pPr>
            <w:r w:rsidRPr="00990D3B">
              <w:t> </w:t>
            </w:r>
          </w:p>
        </w:tc>
        <w:tc>
          <w:tcPr>
            <w:tcW w:w="560" w:type="dxa"/>
            <w:shd w:val="clear" w:color="auto" w:fill="BFBFBF" w:themeFill="background1" w:themeFillShade="BF"/>
          </w:tcPr>
          <w:p w:rsidR="00AB6BA6" w:rsidRPr="00990D3B" w:rsidP="00BB7A0D" w14:paraId="7792536A" w14:textId="77777777">
            <w:pPr>
              <w:pStyle w:val="EQRTableText"/>
            </w:pPr>
            <w:r w:rsidRPr="00990D3B">
              <w:t> </w:t>
            </w:r>
          </w:p>
        </w:tc>
        <w:tc>
          <w:tcPr>
            <w:tcW w:w="4952" w:type="dxa"/>
          </w:tcPr>
          <w:p w:rsidR="00AB6BA6" w:rsidRPr="00990D3B" w:rsidP="00BB7A0D" w14:paraId="43970B22" w14:textId="77777777">
            <w:pPr>
              <w:pStyle w:val="EQRTableText"/>
            </w:pPr>
            <w:r w:rsidRPr="00990D3B">
              <w:t> </w:t>
            </w:r>
          </w:p>
        </w:tc>
      </w:tr>
    </w:tbl>
    <w:p w:rsidR="00FC0CEF" w:rsidRPr="00990D3B" w:rsidP="00B5252D" w14:paraId="72DB6E14" w14:textId="77777777">
      <w:pPr>
        <w:pStyle w:val="ParagraphContinued"/>
      </w:pPr>
    </w:p>
    <w:p w:rsidR="00DE6DCE" w:rsidRPr="00990D3B" w14:paraId="5CD56CA7" w14:textId="6C3E0110">
      <w:pPr>
        <w:spacing w:line="240" w:lineRule="auto"/>
        <w:rPr>
          <w:rFonts w:ascii="Arial" w:eastAsia="Calibri" w:hAnsi="Arial"/>
          <w:sz w:val="22"/>
          <w:szCs w:val="23"/>
        </w:rPr>
      </w:pPr>
      <w:r w:rsidRPr="00990D3B">
        <w:br w:type="page"/>
      </w:r>
    </w:p>
    <w:p w:rsidR="00AB6BA6" w:rsidRPr="00990D3B" w:rsidP="00BD1FC3" w14:paraId="39D412B3" w14:textId="204417FD">
      <w:pPr>
        <w:pStyle w:val="EQRMarkforExhibitWORKSHEET"/>
      </w:pPr>
      <w:bookmarkStart w:id="190" w:name="WSp1n3"/>
      <w:bookmarkStart w:id="191" w:name="_Toc125619135"/>
      <w:bookmarkStart w:id="192" w:name="_Toc201751480"/>
      <w:r w:rsidRPr="00990D3B">
        <w:t>W</w:t>
      </w:r>
      <w:r w:rsidRPr="00990D3B">
        <w:t>orksheet 1.3</w:t>
      </w:r>
      <w:bookmarkEnd w:id="190"/>
      <w:r w:rsidRPr="00990D3B">
        <w:t xml:space="preserve">. </w:t>
      </w:r>
      <w:r w:rsidRPr="00990D3B">
        <w:t>Review</w:t>
      </w:r>
      <w:r w:rsidRPr="00990D3B">
        <w:t xml:space="preserve"> the Identified PIP Population</w:t>
      </w:r>
      <w:bookmarkEnd w:id="191"/>
      <w:bookmarkEnd w:id="192"/>
    </w:p>
    <w:p w:rsidR="00AB6BA6" w:rsidRPr="00990D3B" w:rsidP="00BD1FC3" w14:paraId="17DE4076" w14:textId="77777777">
      <w:pPr>
        <w:pStyle w:val="EQRNormalSSWORKSHEET"/>
        <w:rPr>
          <w:b/>
        </w:rPr>
      </w:pPr>
      <w:r w:rsidRPr="00990D3B">
        <w:rPr>
          <w:b/>
        </w:rPr>
        <w:t>PIP Population _______________________________</w:t>
      </w:r>
    </w:p>
    <w:p w:rsidR="00AB6BA6" w:rsidRPr="00990D3B" w:rsidP="00BD1FC3" w14:paraId="445BA3C4" w14:textId="7A2926D4">
      <w:pPr>
        <w:pStyle w:val="EQRNormalSSWORKSHEET"/>
      </w:pPr>
      <w:r w:rsidRPr="00990D3B">
        <w:rPr>
          <w:b/>
          <w:bCs/>
        </w:rPr>
        <w:t xml:space="preserve">Instructions. </w:t>
      </w:r>
      <w:r w:rsidRPr="00990D3B">
        <w:t xml:space="preserve">Assess whether the study population was clearly identified by answering the following questions. Insert comments to explain “No” and “Not </w:t>
      </w:r>
      <w:r w:rsidRPr="00990D3B" w:rsidR="00507D5D">
        <w:t>A</w:t>
      </w:r>
      <w:r w:rsidRPr="00990D3B">
        <w:t>pplicable” responses.</w:t>
      </w:r>
    </w:p>
    <w:p w:rsidR="00FC0CEF" w:rsidRPr="00990D3B" w:rsidP="00DE6DCE" w14:paraId="065D4E0F" w14:textId="60104D52">
      <w:pPr>
        <w:pStyle w:val="EQRNormalSSWORKSHEET"/>
        <w:rPr>
          <w:b/>
        </w:rPr>
      </w:pPr>
      <w:r w:rsidRPr="00990D3B">
        <w:t>Acronyms: MCP= Managed Care Plan; NA = Not Applicable; PIP = Performance Improvement Project.</w:t>
      </w:r>
    </w:p>
    <w:tbl>
      <w:tblPr>
        <w:tblStyle w:val="TableGrid"/>
        <w:tblpPr w:leftFromText="180" w:rightFromText="180" w:vertAnchor="text" w:horzAnchor="margin" w:tblpY="52"/>
        <w:tblW w:w="0" w:type="auto"/>
        <w:tblLook w:val="04A0"/>
      </w:tblPr>
      <w:tblGrid>
        <w:gridCol w:w="3517"/>
        <w:gridCol w:w="705"/>
        <w:gridCol w:w="563"/>
        <w:gridCol w:w="610"/>
        <w:gridCol w:w="3955"/>
      </w:tblGrid>
      <w:tr w14:paraId="66F56584" w14:textId="77777777" w:rsidTr="00BD1FC3">
        <w:tblPrEx>
          <w:tblW w:w="0" w:type="auto"/>
          <w:tblLook w:val="04A0"/>
        </w:tblPrEx>
        <w:trPr>
          <w:tblHeader/>
        </w:trPr>
        <w:tc>
          <w:tcPr>
            <w:tcW w:w="3517" w:type="dxa"/>
            <w:vAlign w:val="bottom"/>
          </w:tcPr>
          <w:p w:rsidR="00AB6BA6" w:rsidRPr="00990D3B" w:rsidP="009B3CAB" w14:paraId="0AA67930" w14:textId="77777777">
            <w:pPr>
              <w:pStyle w:val="EQRTableHeaderLeft"/>
              <w:rPr>
                <w:color w:val="auto"/>
              </w:rPr>
            </w:pPr>
            <w:r w:rsidRPr="00990D3B">
              <w:rPr>
                <w:color w:val="auto"/>
              </w:rPr>
              <w:t>Question</w:t>
            </w:r>
          </w:p>
        </w:tc>
        <w:tc>
          <w:tcPr>
            <w:tcW w:w="705" w:type="dxa"/>
            <w:vAlign w:val="bottom"/>
          </w:tcPr>
          <w:p w:rsidR="00AB6BA6" w:rsidRPr="00990D3B" w:rsidP="009B3CAB" w14:paraId="2F83D7E4" w14:textId="77777777">
            <w:pPr>
              <w:pStyle w:val="EQRTableHeaderCenter"/>
              <w:rPr>
                <w:color w:val="auto"/>
              </w:rPr>
            </w:pPr>
            <w:r w:rsidRPr="00990D3B">
              <w:rPr>
                <w:color w:val="auto"/>
              </w:rPr>
              <w:t>Yes</w:t>
            </w:r>
          </w:p>
        </w:tc>
        <w:tc>
          <w:tcPr>
            <w:tcW w:w="563" w:type="dxa"/>
            <w:vAlign w:val="bottom"/>
          </w:tcPr>
          <w:p w:rsidR="00AB6BA6" w:rsidRPr="00990D3B" w:rsidP="009B3CAB" w14:paraId="6FFE1B2B" w14:textId="77777777">
            <w:pPr>
              <w:pStyle w:val="EQRTableHeaderCenter"/>
              <w:rPr>
                <w:color w:val="auto"/>
              </w:rPr>
            </w:pPr>
            <w:r w:rsidRPr="00990D3B">
              <w:rPr>
                <w:color w:val="auto"/>
              </w:rPr>
              <w:t>No</w:t>
            </w:r>
          </w:p>
        </w:tc>
        <w:tc>
          <w:tcPr>
            <w:tcW w:w="610" w:type="dxa"/>
            <w:vAlign w:val="bottom"/>
          </w:tcPr>
          <w:p w:rsidR="00AB6BA6" w:rsidRPr="00990D3B" w:rsidP="009B3CAB" w14:paraId="02653C8E" w14:textId="77777777">
            <w:pPr>
              <w:pStyle w:val="EQRTableHeaderCenter"/>
              <w:rPr>
                <w:color w:val="auto"/>
              </w:rPr>
            </w:pPr>
            <w:r w:rsidRPr="00990D3B">
              <w:rPr>
                <w:color w:val="auto"/>
              </w:rPr>
              <w:t>NA</w:t>
            </w:r>
          </w:p>
        </w:tc>
        <w:tc>
          <w:tcPr>
            <w:tcW w:w="3955" w:type="dxa"/>
            <w:vAlign w:val="bottom"/>
          </w:tcPr>
          <w:p w:rsidR="00AB6BA6" w:rsidRPr="00990D3B" w:rsidP="009B3CAB" w14:paraId="00D0D7DA" w14:textId="77777777">
            <w:pPr>
              <w:pStyle w:val="EQRTableHeaderCenter"/>
              <w:rPr>
                <w:color w:val="auto"/>
              </w:rPr>
            </w:pPr>
            <w:r w:rsidRPr="00990D3B">
              <w:rPr>
                <w:color w:val="auto"/>
              </w:rPr>
              <w:t>Comments</w:t>
            </w:r>
          </w:p>
        </w:tc>
      </w:tr>
      <w:tr w14:paraId="3EA68261" w14:textId="77777777" w:rsidTr="00BD1FC3">
        <w:tblPrEx>
          <w:tblW w:w="0" w:type="auto"/>
          <w:tblLook w:val="04A0"/>
        </w:tblPrEx>
        <w:trPr>
          <w:cantSplit/>
        </w:trPr>
        <w:tc>
          <w:tcPr>
            <w:tcW w:w="3517" w:type="dxa"/>
          </w:tcPr>
          <w:p w:rsidR="00AB6BA6" w:rsidRPr="00990D3B" w:rsidP="009B3CAB" w14:paraId="6F4466F0" w14:textId="77777777">
            <w:pPr>
              <w:pStyle w:val="EQRTableText"/>
            </w:pPr>
            <w:r w:rsidRPr="00990D3B">
              <w:t>3.1 Was the project population clearly defined in terms of the identified study question (e.g., age, length of the study population’s enrollment, diagnoses, procedures, other characteristics)?</w:t>
            </w:r>
          </w:p>
          <w:p w:rsidR="00AB6BA6" w:rsidRPr="00990D3B" w:rsidP="00AB6BA6" w14:paraId="2E2E0B29" w14:textId="4516CCBF">
            <w:pPr>
              <w:pStyle w:val="EQRTableTextbullet"/>
              <w:spacing w:line="240" w:lineRule="auto"/>
              <w:ind w:left="216" w:hanging="216"/>
            </w:pPr>
            <w:r w:rsidRPr="00990D3B">
              <w:t>The required length of time will vary depending on the PIP topic and performance measures</w:t>
            </w:r>
            <w:r w:rsidRPr="00990D3B" w:rsidR="00BB6227">
              <w:t>.</w:t>
            </w:r>
          </w:p>
        </w:tc>
        <w:tc>
          <w:tcPr>
            <w:tcW w:w="705" w:type="dxa"/>
          </w:tcPr>
          <w:p w:rsidR="00AB6BA6" w:rsidRPr="00990D3B" w:rsidP="009B3CAB" w14:paraId="376EF50B" w14:textId="77777777">
            <w:pPr>
              <w:pStyle w:val="EQRTableText"/>
            </w:pPr>
            <w:r w:rsidRPr="00990D3B">
              <w:t> </w:t>
            </w:r>
          </w:p>
        </w:tc>
        <w:tc>
          <w:tcPr>
            <w:tcW w:w="563" w:type="dxa"/>
          </w:tcPr>
          <w:p w:rsidR="00AB6BA6" w:rsidRPr="00990D3B" w:rsidP="009B3CAB" w14:paraId="36BB75F9" w14:textId="77777777">
            <w:pPr>
              <w:pStyle w:val="EQRTableText"/>
            </w:pPr>
            <w:r w:rsidRPr="00990D3B">
              <w:t> </w:t>
            </w:r>
          </w:p>
        </w:tc>
        <w:tc>
          <w:tcPr>
            <w:tcW w:w="610" w:type="dxa"/>
          </w:tcPr>
          <w:p w:rsidR="00AB6BA6" w:rsidRPr="00990D3B" w:rsidP="009B3CAB" w14:paraId="50A9962A" w14:textId="77777777">
            <w:pPr>
              <w:pStyle w:val="EQRTableText"/>
            </w:pPr>
            <w:r w:rsidRPr="00990D3B">
              <w:t> </w:t>
            </w:r>
          </w:p>
        </w:tc>
        <w:tc>
          <w:tcPr>
            <w:tcW w:w="3955" w:type="dxa"/>
          </w:tcPr>
          <w:p w:rsidR="00AB6BA6" w:rsidRPr="00990D3B" w:rsidP="009B3CAB" w14:paraId="14F2B8C1" w14:textId="77777777">
            <w:pPr>
              <w:pStyle w:val="EQRTableText"/>
            </w:pPr>
            <w:r w:rsidRPr="00990D3B">
              <w:t> </w:t>
            </w:r>
          </w:p>
        </w:tc>
      </w:tr>
      <w:tr w14:paraId="3C5E7C3C" w14:textId="77777777" w:rsidTr="00BD1FC3">
        <w:tblPrEx>
          <w:tblW w:w="0" w:type="auto"/>
          <w:tblLook w:val="04A0"/>
        </w:tblPrEx>
        <w:tc>
          <w:tcPr>
            <w:tcW w:w="3517" w:type="dxa"/>
          </w:tcPr>
          <w:p w:rsidR="00AB6BA6" w:rsidRPr="00990D3B" w:rsidP="009B3CAB" w14:paraId="14E49AE8" w14:textId="77777777">
            <w:pPr>
              <w:pStyle w:val="EQRTableText"/>
            </w:pPr>
            <w:r w:rsidRPr="00990D3B">
              <w:t xml:space="preserve">3.2 Was the entire MCP population included in the PIP? </w:t>
            </w:r>
          </w:p>
        </w:tc>
        <w:tc>
          <w:tcPr>
            <w:tcW w:w="705" w:type="dxa"/>
          </w:tcPr>
          <w:p w:rsidR="00AB6BA6" w:rsidRPr="00990D3B" w:rsidP="009B3CAB" w14:paraId="21177DB1" w14:textId="77777777">
            <w:pPr>
              <w:pStyle w:val="EQRTableText"/>
            </w:pPr>
            <w:r w:rsidRPr="00990D3B">
              <w:t> </w:t>
            </w:r>
          </w:p>
        </w:tc>
        <w:tc>
          <w:tcPr>
            <w:tcW w:w="563" w:type="dxa"/>
          </w:tcPr>
          <w:p w:rsidR="00AB6BA6" w:rsidRPr="00990D3B" w:rsidP="009B3CAB" w14:paraId="1D3DA6C0" w14:textId="77777777">
            <w:pPr>
              <w:pStyle w:val="EQRTableText"/>
            </w:pPr>
            <w:r w:rsidRPr="00990D3B">
              <w:t> </w:t>
            </w:r>
          </w:p>
        </w:tc>
        <w:tc>
          <w:tcPr>
            <w:tcW w:w="610" w:type="dxa"/>
          </w:tcPr>
          <w:p w:rsidR="00AB6BA6" w:rsidRPr="00990D3B" w:rsidP="009B3CAB" w14:paraId="6132D71C" w14:textId="77777777">
            <w:pPr>
              <w:pStyle w:val="EQRTableText"/>
            </w:pPr>
            <w:r w:rsidRPr="00990D3B">
              <w:t> </w:t>
            </w:r>
          </w:p>
        </w:tc>
        <w:tc>
          <w:tcPr>
            <w:tcW w:w="3955" w:type="dxa"/>
          </w:tcPr>
          <w:p w:rsidR="00AB6BA6" w:rsidRPr="00990D3B" w:rsidP="009B3CAB" w14:paraId="76733252" w14:textId="77777777">
            <w:pPr>
              <w:pStyle w:val="EQRTableText"/>
            </w:pPr>
            <w:r w:rsidRPr="00990D3B">
              <w:t> </w:t>
            </w:r>
          </w:p>
        </w:tc>
      </w:tr>
      <w:tr w14:paraId="5C4C20F0" w14:textId="77777777" w:rsidTr="00BD1FC3">
        <w:tblPrEx>
          <w:tblW w:w="0" w:type="auto"/>
          <w:tblLook w:val="04A0"/>
        </w:tblPrEx>
        <w:tc>
          <w:tcPr>
            <w:tcW w:w="3517" w:type="dxa"/>
          </w:tcPr>
          <w:p w:rsidR="00AB6BA6" w:rsidRPr="00990D3B" w:rsidP="009B3CAB" w14:paraId="0FD0DACC" w14:textId="77777777">
            <w:pPr>
              <w:pStyle w:val="EQRTableText"/>
            </w:pPr>
            <w:r w:rsidRPr="00990D3B">
              <w:t xml:space="preserve">3.3 If the entire population was included in the PIP, did the data collection approach capture all enrollees to whom the PIP question applied?  </w:t>
            </w:r>
          </w:p>
          <w:p w:rsidR="00AB6BA6" w:rsidRPr="00990D3B" w:rsidP="00AB6BA6" w14:paraId="5A668525" w14:textId="3D19B966">
            <w:pPr>
              <w:pStyle w:val="EQRTableTextbullet"/>
              <w:spacing w:line="240" w:lineRule="auto"/>
              <w:ind w:left="216" w:hanging="216"/>
            </w:pPr>
            <w:r w:rsidRPr="00990D3B">
              <w:t xml:space="preserve">If data can be collected and analyzed through an administrative data system, it may be possible to study the whole population. For more guidance on administrative data collection, see </w:t>
            </w:r>
            <w:hyperlink w:anchor="WSp1n6" w:tooltip="Worksheet 1.6" w:history="1">
              <w:r w:rsidRPr="00990D3B">
                <w:rPr>
                  <w:rStyle w:val="Hyperlink"/>
                </w:rPr>
                <w:t>Worksheet 1.6</w:t>
              </w:r>
            </w:hyperlink>
            <w:r w:rsidRPr="00990D3B">
              <w:t>.</w:t>
            </w:r>
          </w:p>
        </w:tc>
        <w:tc>
          <w:tcPr>
            <w:tcW w:w="705" w:type="dxa"/>
          </w:tcPr>
          <w:p w:rsidR="00AB6BA6" w:rsidRPr="00990D3B" w:rsidP="009B3CAB" w14:paraId="2A0ECFC2" w14:textId="77777777">
            <w:pPr>
              <w:pStyle w:val="EQRTableText"/>
            </w:pPr>
            <w:r w:rsidRPr="00990D3B">
              <w:t> </w:t>
            </w:r>
          </w:p>
        </w:tc>
        <w:tc>
          <w:tcPr>
            <w:tcW w:w="563" w:type="dxa"/>
          </w:tcPr>
          <w:p w:rsidR="00AB6BA6" w:rsidRPr="00990D3B" w:rsidP="009B3CAB" w14:paraId="15450DDC" w14:textId="77777777">
            <w:pPr>
              <w:pStyle w:val="EQRTableText"/>
            </w:pPr>
            <w:r w:rsidRPr="00990D3B">
              <w:t> </w:t>
            </w:r>
          </w:p>
        </w:tc>
        <w:tc>
          <w:tcPr>
            <w:tcW w:w="610" w:type="dxa"/>
          </w:tcPr>
          <w:p w:rsidR="00AB6BA6" w:rsidRPr="00990D3B" w:rsidP="009B3CAB" w14:paraId="1531763C" w14:textId="77777777">
            <w:pPr>
              <w:pStyle w:val="EQRTableText"/>
            </w:pPr>
            <w:r w:rsidRPr="00990D3B">
              <w:t> </w:t>
            </w:r>
          </w:p>
        </w:tc>
        <w:tc>
          <w:tcPr>
            <w:tcW w:w="3955" w:type="dxa"/>
          </w:tcPr>
          <w:p w:rsidR="00AB6BA6" w:rsidRPr="00990D3B" w:rsidP="009B3CAB" w14:paraId="25918FF3" w14:textId="77777777">
            <w:pPr>
              <w:pStyle w:val="EQRTableText"/>
            </w:pPr>
            <w:r w:rsidRPr="00990D3B">
              <w:t> </w:t>
            </w:r>
          </w:p>
        </w:tc>
      </w:tr>
      <w:tr w14:paraId="0AB3DB00" w14:textId="77777777" w:rsidTr="00BD1FC3">
        <w:tblPrEx>
          <w:tblW w:w="0" w:type="auto"/>
          <w:tblLook w:val="04A0"/>
        </w:tblPrEx>
        <w:tc>
          <w:tcPr>
            <w:tcW w:w="3517" w:type="dxa"/>
          </w:tcPr>
          <w:p w:rsidR="00AB6BA6" w:rsidRPr="00990D3B" w:rsidP="009B3CAB" w14:paraId="6F9871D9" w14:textId="7E7685F3">
            <w:pPr>
              <w:pStyle w:val="EQRTableText"/>
            </w:pPr>
            <w:r w:rsidRPr="00990D3B">
              <w:t xml:space="preserve">3.4 Was a sample used? (If yes, use </w:t>
            </w:r>
            <w:hyperlink w:anchor="WSp1n4" w:tooltip="Worksheet 1.4" w:history="1">
              <w:r w:rsidRPr="00990D3B">
                <w:rPr>
                  <w:rStyle w:val="Hyperlink"/>
                </w:rPr>
                <w:t>Worksheet 1.4</w:t>
              </w:r>
            </w:hyperlink>
            <w:r w:rsidRPr="00990D3B">
              <w:t xml:space="preserve"> to review sampling methods).</w:t>
            </w:r>
          </w:p>
          <w:p w:rsidR="00AB6BA6" w:rsidRPr="00990D3B" w:rsidP="00AB6BA6" w14:paraId="465489CB" w14:textId="1D5D30C3">
            <w:pPr>
              <w:pStyle w:val="EQRTableTextbullet"/>
              <w:spacing w:line="240" w:lineRule="auto"/>
              <w:ind w:left="216" w:hanging="216"/>
            </w:pPr>
            <w:r w:rsidRPr="00990D3B">
              <w:t xml:space="preserve">If the data </w:t>
            </w:r>
            <w:r w:rsidRPr="00990D3B">
              <w:t>will be</w:t>
            </w:r>
            <w:r w:rsidRPr="00990D3B">
              <w:t xml:space="preserve"> collected manually (such as through medical record review), sampling may be necessary</w:t>
            </w:r>
            <w:r w:rsidRPr="00990D3B" w:rsidR="00BB6227">
              <w:t>.</w:t>
            </w:r>
          </w:p>
        </w:tc>
        <w:tc>
          <w:tcPr>
            <w:tcW w:w="705" w:type="dxa"/>
          </w:tcPr>
          <w:p w:rsidR="00AB6BA6" w:rsidRPr="00990D3B" w:rsidP="009B3CAB" w14:paraId="3437033E" w14:textId="77777777">
            <w:pPr>
              <w:pStyle w:val="EQRTableText"/>
            </w:pPr>
            <w:r w:rsidRPr="00990D3B">
              <w:t> </w:t>
            </w:r>
          </w:p>
        </w:tc>
        <w:tc>
          <w:tcPr>
            <w:tcW w:w="563" w:type="dxa"/>
          </w:tcPr>
          <w:p w:rsidR="00AB6BA6" w:rsidRPr="00990D3B" w:rsidP="009B3CAB" w14:paraId="3D843AD7" w14:textId="77777777">
            <w:pPr>
              <w:pStyle w:val="EQRTableText"/>
            </w:pPr>
            <w:r w:rsidRPr="00990D3B">
              <w:t> </w:t>
            </w:r>
          </w:p>
        </w:tc>
        <w:tc>
          <w:tcPr>
            <w:tcW w:w="610" w:type="dxa"/>
          </w:tcPr>
          <w:p w:rsidR="00AB6BA6" w:rsidRPr="00990D3B" w:rsidP="009B3CAB" w14:paraId="14D2115E" w14:textId="77777777">
            <w:pPr>
              <w:pStyle w:val="EQRTableText"/>
            </w:pPr>
            <w:r w:rsidRPr="00990D3B">
              <w:t> </w:t>
            </w:r>
          </w:p>
        </w:tc>
        <w:tc>
          <w:tcPr>
            <w:tcW w:w="3955" w:type="dxa"/>
          </w:tcPr>
          <w:p w:rsidR="00AB6BA6" w:rsidRPr="00990D3B" w:rsidP="009B3CAB" w14:paraId="59F0ECA8" w14:textId="77777777">
            <w:pPr>
              <w:pStyle w:val="EQRTableText"/>
            </w:pPr>
            <w:r w:rsidRPr="00990D3B">
              <w:t> </w:t>
            </w:r>
          </w:p>
        </w:tc>
      </w:tr>
      <w:tr w14:paraId="07AAF1C3" w14:textId="77777777" w:rsidTr="00BD1FC3">
        <w:tblPrEx>
          <w:tblW w:w="0" w:type="auto"/>
          <w:tblLook w:val="04A0"/>
        </w:tblPrEx>
        <w:tc>
          <w:tcPr>
            <w:tcW w:w="3517" w:type="dxa"/>
          </w:tcPr>
          <w:p w:rsidR="00AB6BA6" w:rsidRPr="00990D3B" w:rsidP="00343A04" w14:paraId="30E54D0B" w14:textId="77777777">
            <w:pPr>
              <w:pStyle w:val="EQRTableText"/>
            </w:pPr>
            <w:r w:rsidRPr="00990D3B">
              <w:t>3.5 Overall assessment: In the comments section, note any recommendations for identifying the project population.</w:t>
            </w:r>
          </w:p>
        </w:tc>
        <w:tc>
          <w:tcPr>
            <w:tcW w:w="705" w:type="dxa"/>
            <w:shd w:val="clear" w:color="auto" w:fill="BFBFBF" w:themeFill="background1" w:themeFillShade="BF"/>
          </w:tcPr>
          <w:p w:rsidR="00AB6BA6" w:rsidRPr="00990D3B" w:rsidP="009B3CAB" w14:paraId="67C961C1" w14:textId="77777777">
            <w:pPr>
              <w:pStyle w:val="EQRTableText"/>
            </w:pPr>
            <w:r w:rsidRPr="00990D3B">
              <w:t> </w:t>
            </w:r>
          </w:p>
        </w:tc>
        <w:tc>
          <w:tcPr>
            <w:tcW w:w="563" w:type="dxa"/>
            <w:shd w:val="clear" w:color="auto" w:fill="BFBFBF" w:themeFill="background1" w:themeFillShade="BF"/>
          </w:tcPr>
          <w:p w:rsidR="00AB6BA6" w:rsidRPr="00990D3B" w:rsidP="009B3CAB" w14:paraId="33B8233F" w14:textId="77777777">
            <w:pPr>
              <w:pStyle w:val="EQRTableText"/>
            </w:pPr>
            <w:r w:rsidRPr="00990D3B">
              <w:t> </w:t>
            </w:r>
          </w:p>
        </w:tc>
        <w:tc>
          <w:tcPr>
            <w:tcW w:w="610" w:type="dxa"/>
            <w:shd w:val="clear" w:color="auto" w:fill="BFBFBF" w:themeFill="background1" w:themeFillShade="BF"/>
          </w:tcPr>
          <w:p w:rsidR="00AB6BA6" w:rsidRPr="00990D3B" w:rsidP="009B3CAB" w14:paraId="3A2D0493" w14:textId="77777777">
            <w:pPr>
              <w:pStyle w:val="EQRTableText"/>
            </w:pPr>
            <w:r w:rsidRPr="00990D3B">
              <w:t> </w:t>
            </w:r>
          </w:p>
        </w:tc>
        <w:tc>
          <w:tcPr>
            <w:tcW w:w="3955" w:type="dxa"/>
          </w:tcPr>
          <w:p w:rsidR="00AB6BA6" w:rsidRPr="00990D3B" w:rsidP="009B3CAB" w14:paraId="6C154953" w14:textId="77777777">
            <w:pPr>
              <w:pStyle w:val="EQRTableText"/>
            </w:pPr>
            <w:r w:rsidRPr="00990D3B">
              <w:t> </w:t>
            </w:r>
          </w:p>
        </w:tc>
      </w:tr>
    </w:tbl>
    <w:p w:rsidR="00FC0CEF" w:rsidRPr="00990D3B" w:rsidP="00B5252D" w14:paraId="3E259659" w14:textId="77777777">
      <w:pPr>
        <w:pStyle w:val="ParagraphContinued"/>
      </w:pPr>
    </w:p>
    <w:p w:rsidR="00DE6DCE" w:rsidRPr="00990D3B" w14:paraId="23FC9FDC" w14:textId="6C733D12">
      <w:pPr>
        <w:spacing w:line="240" w:lineRule="auto"/>
        <w:rPr>
          <w:rFonts w:ascii="Arial" w:eastAsia="Calibri" w:hAnsi="Arial"/>
          <w:sz w:val="22"/>
          <w:szCs w:val="23"/>
        </w:rPr>
      </w:pPr>
      <w:r w:rsidRPr="00990D3B">
        <w:br w:type="page"/>
      </w:r>
    </w:p>
    <w:p w:rsidR="00AB6BA6" w:rsidRPr="00990D3B" w:rsidP="00BD1FC3" w14:paraId="5A2B7E89" w14:textId="77777777">
      <w:pPr>
        <w:pStyle w:val="EQRMarkforExhibitWORKSHEET"/>
      </w:pPr>
      <w:bookmarkStart w:id="193" w:name="WSp1n4"/>
      <w:bookmarkStart w:id="194" w:name="_Toc125619136"/>
      <w:bookmarkStart w:id="195" w:name="_Toc201751481"/>
      <w:r w:rsidRPr="00990D3B">
        <w:t>Worksheet 1.4</w:t>
      </w:r>
      <w:bookmarkEnd w:id="193"/>
      <w:r w:rsidRPr="00990D3B">
        <w:t xml:space="preserve">. </w:t>
      </w:r>
      <w:r w:rsidRPr="00990D3B">
        <w:t>Review</w:t>
      </w:r>
      <w:r w:rsidRPr="00990D3B">
        <w:t xml:space="preserve"> the Sampling Method</w:t>
      </w:r>
      <w:bookmarkEnd w:id="194"/>
      <w:bookmarkEnd w:id="195"/>
      <w:r w:rsidRPr="00990D3B">
        <w:t xml:space="preserve"> </w:t>
      </w:r>
    </w:p>
    <w:p w:rsidR="00AB6BA6" w:rsidRPr="00990D3B" w:rsidP="00BD1FC3" w14:paraId="03A829A1" w14:textId="076D174C">
      <w:pPr>
        <w:pStyle w:val="EQRNormalSSWORKSHEET"/>
      </w:pPr>
      <w:r w:rsidRPr="00990D3B">
        <w:rPr>
          <w:b/>
          <w:bCs/>
        </w:rPr>
        <w:t xml:space="preserve">Instructions. </w:t>
      </w:r>
      <w:r w:rsidRPr="00990D3B">
        <w:t xml:space="preserve">Assess whether the sampling method was appropriate by answering the following questions. Insert comments to explain “No” and “Not Applicable” responses. Refer to </w:t>
      </w:r>
      <w:hyperlink w:anchor="AppC" w:tooltip="Appendix C" w:history="1">
        <w:r w:rsidRPr="00990D3B" w:rsidR="00875181">
          <w:rPr>
            <w:rStyle w:val="Hyperlink"/>
          </w:rPr>
          <w:t>Appendix C</w:t>
        </w:r>
      </w:hyperlink>
      <w:r w:rsidRPr="00990D3B">
        <w:t xml:space="preserve"> for an overview of sampling approaches for EQR data collection activities. </w:t>
      </w:r>
    </w:p>
    <w:p w:rsidR="00FC0CEF" w:rsidRPr="00990D3B" w:rsidP="00BD1FC3" w14:paraId="1354563E" w14:textId="3D387880">
      <w:pPr>
        <w:pStyle w:val="EQRNormalSSWORKSHEET"/>
      </w:pPr>
      <w:r w:rsidRPr="00990D3B">
        <w:t>Acronyms: HEDIS® = Healthcare Effectiveness Data and Information Set; NA = Not Applicable; PIP = Performance Improvement Project.</w:t>
      </w:r>
    </w:p>
    <w:p w:rsidR="00BB6227" w:rsidRPr="00990D3B" w:rsidP="00BD1FC3" w14:paraId="32E4C68F" w14:textId="77777777">
      <w:pPr>
        <w:pStyle w:val="EQRNormalSSWORKSHEET"/>
        <w:rPr>
          <w:b/>
        </w:rPr>
      </w:pPr>
      <w:r w:rsidRPr="00990D3B">
        <w:rPr>
          <w:b/>
        </w:rPr>
        <w:t>Overview of Sampling Method _________________________________________________</w:t>
      </w:r>
    </w:p>
    <w:p w:rsidR="00BB6227" w:rsidRPr="00990D3B" w:rsidP="00BD1FC3" w14:paraId="570C0A01" w14:textId="7F13A959">
      <w:pPr>
        <w:pStyle w:val="EQRNormalSSWORKSHEET"/>
        <w:rPr>
          <w:b/>
        </w:rPr>
      </w:pPr>
      <w:r w:rsidRPr="00990D3B">
        <w:rPr>
          <w:b/>
        </w:rPr>
        <w:t>If HEDIS</w:t>
      </w:r>
      <w:r w:rsidRPr="00990D3B">
        <w:rPr>
          <w:rFonts w:cs="Arial"/>
          <w:b/>
        </w:rPr>
        <w:t>®</w:t>
      </w:r>
      <w:r w:rsidRPr="00990D3B">
        <w:rPr>
          <w:b/>
        </w:rPr>
        <w:t xml:space="preserve"> sampling is used, check here and skip the rest of this worksheet. </w:t>
      </w:r>
      <w:r w:rsidRPr="00990D3B">
        <w:rPr>
          <w:b/>
        </w:rPr>
        <w:fldChar w:fldCharType="begin">
          <w:ffData>
            <w:name w:val="Check3"/>
            <w:enabled/>
            <w:calcOnExit w:val="0"/>
            <w:checkBox>
              <w:sizeAuto/>
              <w:default w:val="0"/>
            </w:checkBox>
          </w:ffData>
        </w:fldChar>
      </w:r>
      <w:r w:rsidRPr="00990D3B">
        <w:rPr>
          <w:b/>
        </w:rPr>
        <w:instrText xml:space="preserve"> FORMCHECKBOX </w:instrText>
      </w:r>
      <w:r w:rsidRPr="00990D3B">
        <w:rPr>
          <w:b/>
        </w:rPr>
        <w:fldChar w:fldCharType="separate"/>
      </w:r>
      <w:r w:rsidRPr="00990D3B">
        <w:rPr>
          <w:b/>
        </w:rPr>
        <w:fldChar w:fldCharType="end"/>
      </w:r>
    </w:p>
    <w:tbl>
      <w:tblPr>
        <w:tblStyle w:val="TableGrid"/>
        <w:tblW w:w="5003" w:type="pct"/>
        <w:tblLook w:val="04A0"/>
      </w:tblPr>
      <w:tblGrid>
        <w:gridCol w:w="3275"/>
        <w:gridCol w:w="630"/>
        <w:gridCol w:w="545"/>
        <w:gridCol w:w="652"/>
        <w:gridCol w:w="4254"/>
      </w:tblGrid>
      <w:tr w14:paraId="20BFBE7B" w14:textId="77777777" w:rsidTr="00DE6DCE">
        <w:tblPrEx>
          <w:tblW w:w="5003" w:type="pct"/>
          <w:tblLook w:val="04A0"/>
        </w:tblPrEx>
        <w:trPr>
          <w:cantSplit/>
          <w:tblHeader/>
        </w:trPr>
        <w:tc>
          <w:tcPr>
            <w:tcW w:w="3274" w:type="dxa"/>
            <w:vAlign w:val="bottom"/>
          </w:tcPr>
          <w:p w:rsidR="00AB6BA6" w:rsidRPr="00990D3B" w:rsidP="005274DE" w14:paraId="6551B6B7" w14:textId="77777777">
            <w:pPr>
              <w:pStyle w:val="EQRTableHeaderLeft"/>
              <w:rPr>
                <w:color w:val="auto"/>
              </w:rPr>
            </w:pPr>
            <w:r w:rsidRPr="00990D3B">
              <w:rPr>
                <w:color w:val="auto"/>
              </w:rPr>
              <w:t>Question</w:t>
            </w:r>
          </w:p>
        </w:tc>
        <w:tc>
          <w:tcPr>
            <w:tcW w:w="630" w:type="dxa"/>
            <w:vAlign w:val="bottom"/>
          </w:tcPr>
          <w:p w:rsidR="00AB6BA6" w:rsidRPr="00990D3B" w:rsidP="005274DE" w14:paraId="0ADB7149" w14:textId="77777777">
            <w:pPr>
              <w:pStyle w:val="EQRTableHeaderCenter"/>
              <w:rPr>
                <w:color w:val="auto"/>
              </w:rPr>
            </w:pPr>
            <w:r w:rsidRPr="00990D3B">
              <w:rPr>
                <w:color w:val="auto"/>
              </w:rPr>
              <w:t>Yes</w:t>
            </w:r>
          </w:p>
        </w:tc>
        <w:tc>
          <w:tcPr>
            <w:tcW w:w="545" w:type="dxa"/>
            <w:vAlign w:val="bottom"/>
          </w:tcPr>
          <w:p w:rsidR="00AB6BA6" w:rsidRPr="00990D3B" w:rsidP="005274DE" w14:paraId="1F95B917" w14:textId="77777777">
            <w:pPr>
              <w:pStyle w:val="EQRTableHeaderCenter"/>
              <w:rPr>
                <w:color w:val="auto"/>
              </w:rPr>
            </w:pPr>
            <w:r w:rsidRPr="00990D3B">
              <w:rPr>
                <w:color w:val="auto"/>
              </w:rPr>
              <w:t>No</w:t>
            </w:r>
          </w:p>
        </w:tc>
        <w:tc>
          <w:tcPr>
            <w:tcW w:w="652" w:type="dxa"/>
            <w:vAlign w:val="bottom"/>
          </w:tcPr>
          <w:p w:rsidR="00AB6BA6" w:rsidRPr="00990D3B" w:rsidP="005274DE" w14:paraId="4DEA6A57" w14:textId="77777777">
            <w:pPr>
              <w:pStyle w:val="EQRTableHeaderCenter"/>
              <w:rPr>
                <w:color w:val="auto"/>
              </w:rPr>
            </w:pPr>
            <w:r w:rsidRPr="00990D3B">
              <w:rPr>
                <w:color w:val="auto"/>
              </w:rPr>
              <w:t>NA</w:t>
            </w:r>
          </w:p>
        </w:tc>
        <w:tc>
          <w:tcPr>
            <w:tcW w:w="4249" w:type="dxa"/>
            <w:vAlign w:val="bottom"/>
          </w:tcPr>
          <w:p w:rsidR="00AB6BA6" w:rsidRPr="00990D3B" w:rsidP="005274DE" w14:paraId="34FE7448" w14:textId="77777777">
            <w:pPr>
              <w:pStyle w:val="EQRTableHeaderCenter"/>
              <w:rPr>
                <w:color w:val="auto"/>
              </w:rPr>
            </w:pPr>
            <w:r w:rsidRPr="00990D3B">
              <w:rPr>
                <w:color w:val="auto"/>
              </w:rPr>
              <w:t>Comments</w:t>
            </w:r>
          </w:p>
        </w:tc>
      </w:tr>
      <w:tr w14:paraId="3BEAFF9C" w14:textId="77777777" w:rsidTr="00DE6DCE">
        <w:tblPrEx>
          <w:tblW w:w="5003" w:type="pct"/>
          <w:tblLook w:val="04A0"/>
        </w:tblPrEx>
        <w:tc>
          <w:tcPr>
            <w:tcW w:w="3274" w:type="dxa"/>
          </w:tcPr>
          <w:p w:rsidR="00AB6BA6" w:rsidRPr="00990D3B" w:rsidP="005274DE" w14:paraId="76FB43BB" w14:textId="77777777">
            <w:pPr>
              <w:pStyle w:val="EQRTableText"/>
            </w:pPr>
            <w:r w:rsidRPr="00990D3B">
              <w:t>4.1 Did the sampling frame contain a complete, recent, and accurate list of the target PIP population?</w:t>
            </w:r>
          </w:p>
          <w:p w:rsidR="00AB6BA6" w:rsidRPr="00990D3B" w:rsidP="00AB6BA6" w14:paraId="20624EFA" w14:textId="7C931164">
            <w:pPr>
              <w:pStyle w:val="EQRTableTextbullet"/>
              <w:spacing w:line="240" w:lineRule="auto"/>
              <w:ind w:left="216" w:hanging="216"/>
            </w:pPr>
            <w:r w:rsidRPr="00990D3B">
              <w:t>A sampling frame is the list from which the sample is drawn. It includes the universe of members of the target PIP population, such as individuals, caregivers, households, encounters, providers, or other population units eligible to be included in the PIP. The completeness, recency, and accuracy of the sampling frame are key to the representativeness of the sample</w:t>
            </w:r>
            <w:r w:rsidRPr="00990D3B" w:rsidR="00BB6227">
              <w:t>.</w:t>
            </w:r>
          </w:p>
        </w:tc>
        <w:tc>
          <w:tcPr>
            <w:tcW w:w="630" w:type="dxa"/>
          </w:tcPr>
          <w:p w:rsidR="00AB6BA6" w:rsidRPr="00990D3B" w:rsidP="005274DE" w14:paraId="767C91FA" w14:textId="77777777">
            <w:pPr>
              <w:pStyle w:val="EQRTableText"/>
            </w:pPr>
            <w:r w:rsidRPr="00990D3B">
              <w:t> </w:t>
            </w:r>
          </w:p>
        </w:tc>
        <w:tc>
          <w:tcPr>
            <w:tcW w:w="545" w:type="dxa"/>
          </w:tcPr>
          <w:p w:rsidR="00AB6BA6" w:rsidRPr="00990D3B" w:rsidP="005274DE" w14:paraId="23F916C3" w14:textId="77777777">
            <w:pPr>
              <w:pStyle w:val="EQRTableText"/>
            </w:pPr>
            <w:r w:rsidRPr="00990D3B">
              <w:t> </w:t>
            </w:r>
          </w:p>
        </w:tc>
        <w:tc>
          <w:tcPr>
            <w:tcW w:w="652" w:type="dxa"/>
          </w:tcPr>
          <w:p w:rsidR="00AB6BA6" w:rsidRPr="00990D3B" w:rsidP="005274DE" w14:paraId="25EB02E5" w14:textId="77777777">
            <w:pPr>
              <w:pStyle w:val="EQRTableText"/>
            </w:pPr>
            <w:r w:rsidRPr="00990D3B">
              <w:t> </w:t>
            </w:r>
          </w:p>
        </w:tc>
        <w:tc>
          <w:tcPr>
            <w:tcW w:w="4249" w:type="dxa"/>
          </w:tcPr>
          <w:p w:rsidR="00AB6BA6" w:rsidRPr="00990D3B" w:rsidP="005274DE" w14:paraId="43DACCAE" w14:textId="77777777">
            <w:pPr>
              <w:pStyle w:val="EQRTableText"/>
            </w:pPr>
            <w:r w:rsidRPr="00990D3B">
              <w:t> </w:t>
            </w:r>
          </w:p>
        </w:tc>
      </w:tr>
      <w:tr w14:paraId="78ABE70D" w14:textId="77777777" w:rsidTr="00DE6DCE">
        <w:tblPrEx>
          <w:tblW w:w="5003" w:type="pct"/>
          <w:tblLook w:val="04A0"/>
        </w:tblPrEx>
        <w:tc>
          <w:tcPr>
            <w:tcW w:w="3274" w:type="dxa"/>
          </w:tcPr>
          <w:p w:rsidR="00AB6BA6" w:rsidRPr="00990D3B" w:rsidP="005274DE" w14:paraId="415CD9B1" w14:textId="77777777">
            <w:pPr>
              <w:pStyle w:val="EQRTableText"/>
            </w:pPr>
            <w:r w:rsidRPr="00990D3B">
              <w:t>4.2 Did the sampling method consider and specify the true or estimated frequency of the event, the confidence interval to be used, and the acceptable margin of error?</w:t>
            </w:r>
          </w:p>
        </w:tc>
        <w:tc>
          <w:tcPr>
            <w:tcW w:w="630" w:type="dxa"/>
          </w:tcPr>
          <w:p w:rsidR="00AB6BA6" w:rsidRPr="00990D3B" w:rsidP="005274DE" w14:paraId="221822DC" w14:textId="77777777">
            <w:pPr>
              <w:pStyle w:val="EQRTableText"/>
            </w:pPr>
            <w:r w:rsidRPr="00990D3B">
              <w:t> </w:t>
            </w:r>
          </w:p>
        </w:tc>
        <w:tc>
          <w:tcPr>
            <w:tcW w:w="545" w:type="dxa"/>
          </w:tcPr>
          <w:p w:rsidR="00AB6BA6" w:rsidRPr="00990D3B" w:rsidP="005274DE" w14:paraId="12FE174F" w14:textId="77777777">
            <w:pPr>
              <w:pStyle w:val="EQRTableText"/>
            </w:pPr>
            <w:r w:rsidRPr="00990D3B">
              <w:t> </w:t>
            </w:r>
          </w:p>
        </w:tc>
        <w:tc>
          <w:tcPr>
            <w:tcW w:w="652" w:type="dxa"/>
          </w:tcPr>
          <w:p w:rsidR="00AB6BA6" w:rsidRPr="00990D3B" w:rsidP="005274DE" w14:paraId="38D0ECD2" w14:textId="77777777">
            <w:pPr>
              <w:pStyle w:val="EQRTableText"/>
            </w:pPr>
            <w:r w:rsidRPr="00990D3B">
              <w:t> </w:t>
            </w:r>
          </w:p>
        </w:tc>
        <w:tc>
          <w:tcPr>
            <w:tcW w:w="4249" w:type="dxa"/>
          </w:tcPr>
          <w:p w:rsidR="00AB6BA6" w:rsidRPr="00990D3B" w:rsidP="005274DE" w14:paraId="4219F3D4" w14:textId="77777777">
            <w:pPr>
              <w:pStyle w:val="EQRTableText"/>
            </w:pPr>
            <w:r w:rsidRPr="00990D3B">
              <w:t> </w:t>
            </w:r>
          </w:p>
        </w:tc>
      </w:tr>
      <w:tr w14:paraId="4FFF6C0B" w14:textId="77777777" w:rsidTr="00DE6DCE">
        <w:tblPrEx>
          <w:tblW w:w="5003" w:type="pct"/>
          <w:tblLook w:val="04A0"/>
        </w:tblPrEx>
        <w:tc>
          <w:tcPr>
            <w:tcW w:w="3274" w:type="dxa"/>
          </w:tcPr>
          <w:p w:rsidR="00AB6BA6" w:rsidRPr="00990D3B" w:rsidP="005274DE" w14:paraId="75CBD229" w14:textId="3A6DCCD5">
            <w:pPr>
              <w:pStyle w:val="EQRTableText"/>
            </w:pPr>
            <w:r w:rsidRPr="00990D3B">
              <w:t xml:space="preserve">4.3 Did the sample contain </w:t>
            </w:r>
            <w:r w:rsidRPr="00990D3B">
              <w:t>a sufficient number of</w:t>
            </w:r>
            <w:r w:rsidRPr="00990D3B">
              <w:t xml:space="preserve"> enrollees</w:t>
            </w:r>
            <w:r w:rsidRPr="00990D3B" w:rsidR="008B4BF5">
              <w:t>,</w:t>
            </w:r>
            <w:r w:rsidRPr="00990D3B">
              <w:t xml:space="preserve"> </w:t>
            </w:r>
            <w:r w:rsidRPr="00990D3B">
              <w:t>taking into account</w:t>
            </w:r>
            <w:r w:rsidRPr="00990D3B">
              <w:t xml:space="preserve"> non-response?</w:t>
            </w:r>
          </w:p>
        </w:tc>
        <w:tc>
          <w:tcPr>
            <w:tcW w:w="630" w:type="dxa"/>
          </w:tcPr>
          <w:p w:rsidR="00AB6BA6" w:rsidRPr="00990D3B" w:rsidP="005274DE" w14:paraId="274A533A" w14:textId="77777777">
            <w:pPr>
              <w:pStyle w:val="EQRTableText"/>
            </w:pPr>
            <w:r w:rsidRPr="00990D3B">
              <w:t> </w:t>
            </w:r>
          </w:p>
        </w:tc>
        <w:tc>
          <w:tcPr>
            <w:tcW w:w="545" w:type="dxa"/>
          </w:tcPr>
          <w:p w:rsidR="00AB6BA6" w:rsidRPr="00990D3B" w:rsidP="005274DE" w14:paraId="696793F0" w14:textId="77777777">
            <w:pPr>
              <w:pStyle w:val="EQRTableText"/>
            </w:pPr>
            <w:r w:rsidRPr="00990D3B">
              <w:t> </w:t>
            </w:r>
          </w:p>
        </w:tc>
        <w:tc>
          <w:tcPr>
            <w:tcW w:w="652" w:type="dxa"/>
          </w:tcPr>
          <w:p w:rsidR="00AB6BA6" w:rsidRPr="00990D3B" w:rsidP="005274DE" w14:paraId="45A33D0C" w14:textId="77777777">
            <w:pPr>
              <w:pStyle w:val="EQRTableText"/>
            </w:pPr>
            <w:r w:rsidRPr="00990D3B">
              <w:t> </w:t>
            </w:r>
          </w:p>
        </w:tc>
        <w:tc>
          <w:tcPr>
            <w:tcW w:w="4254" w:type="dxa"/>
          </w:tcPr>
          <w:p w:rsidR="00AB6BA6" w:rsidRPr="00990D3B" w:rsidP="005274DE" w14:paraId="2269CD8D" w14:textId="77777777">
            <w:pPr>
              <w:pStyle w:val="EQRTableText"/>
            </w:pPr>
            <w:r w:rsidRPr="00990D3B">
              <w:t> </w:t>
            </w:r>
          </w:p>
        </w:tc>
      </w:tr>
      <w:tr w14:paraId="24B618E6" w14:textId="77777777" w:rsidTr="00DE6DCE">
        <w:tblPrEx>
          <w:tblW w:w="5003" w:type="pct"/>
          <w:tblLook w:val="04A0"/>
        </w:tblPrEx>
        <w:tc>
          <w:tcPr>
            <w:tcW w:w="3274" w:type="dxa"/>
          </w:tcPr>
          <w:p w:rsidR="00AB6BA6" w:rsidRPr="00990D3B" w:rsidP="005274DE" w14:paraId="14E0C953" w14:textId="77777777">
            <w:pPr>
              <w:pStyle w:val="EQRTableText"/>
            </w:pPr>
            <w:r w:rsidRPr="00990D3B">
              <w:t>4.4 Did the method assess the representativeness of the sample according to subgroups, such as those defined by age, geographic location, or health status?</w:t>
            </w:r>
          </w:p>
        </w:tc>
        <w:tc>
          <w:tcPr>
            <w:tcW w:w="630" w:type="dxa"/>
          </w:tcPr>
          <w:p w:rsidR="00AB6BA6" w:rsidRPr="00990D3B" w:rsidP="005274DE" w14:paraId="0E983B24" w14:textId="77777777">
            <w:pPr>
              <w:pStyle w:val="EQRTableText"/>
            </w:pPr>
            <w:r w:rsidRPr="00990D3B">
              <w:t> </w:t>
            </w:r>
          </w:p>
        </w:tc>
        <w:tc>
          <w:tcPr>
            <w:tcW w:w="545" w:type="dxa"/>
          </w:tcPr>
          <w:p w:rsidR="00AB6BA6" w:rsidRPr="00990D3B" w:rsidP="005274DE" w14:paraId="01217A39" w14:textId="77777777">
            <w:pPr>
              <w:pStyle w:val="EQRTableText"/>
            </w:pPr>
            <w:r w:rsidRPr="00990D3B">
              <w:t> </w:t>
            </w:r>
          </w:p>
        </w:tc>
        <w:tc>
          <w:tcPr>
            <w:tcW w:w="652" w:type="dxa"/>
          </w:tcPr>
          <w:p w:rsidR="00AB6BA6" w:rsidRPr="00990D3B" w:rsidP="005274DE" w14:paraId="7C5A7B46" w14:textId="77777777">
            <w:pPr>
              <w:pStyle w:val="EQRTableText"/>
            </w:pPr>
            <w:r w:rsidRPr="00990D3B">
              <w:t> </w:t>
            </w:r>
          </w:p>
        </w:tc>
        <w:tc>
          <w:tcPr>
            <w:tcW w:w="4254" w:type="dxa"/>
          </w:tcPr>
          <w:p w:rsidR="00AB6BA6" w:rsidRPr="00990D3B" w:rsidP="005274DE" w14:paraId="363830D5" w14:textId="77777777">
            <w:pPr>
              <w:pStyle w:val="EQRTableText"/>
            </w:pPr>
            <w:r w:rsidRPr="00990D3B">
              <w:t> </w:t>
            </w:r>
          </w:p>
        </w:tc>
      </w:tr>
      <w:tr w14:paraId="599C5088" w14:textId="77777777" w:rsidTr="00DE6DCE">
        <w:tblPrEx>
          <w:tblW w:w="5003" w:type="pct"/>
          <w:tblLook w:val="04A0"/>
        </w:tblPrEx>
        <w:tc>
          <w:tcPr>
            <w:tcW w:w="3274" w:type="dxa"/>
          </w:tcPr>
          <w:p w:rsidR="00AB6BA6" w:rsidRPr="00990D3B" w:rsidP="005274DE" w14:paraId="78E5E7E6" w14:textId="77777777">
            <w:pPr>
              <w:pStyle w:val="EQRTableText"/>
            </w:pPr>
            <w:r w:rsidRPr="00990D3B">
              <w:t>4.5 Were valid sampling techniques used to protect against bias? Specify the type of sampling used in the “comments” field.</w:t>
            </w:r>
          </w:p>
        </w:tc>
        <w:tc>
          <w:tcPr>
            <w:tcW w:w="630" w:type="dxa"/>
          </w:tcPr>
          <w:p w:rsidR="00AB6BA6" w:rsidRPr="00990D3B" w:rsidP="005274DE" w14:paraId="26FE532C" w14:textId="77777777">
            <w:pPr>
              <w:pStyle w:val="EQRTableText"/>
            </w:pPr>
            <w:r w:rsidRPr="00990D3B">
              <w:t> </w:t>
            </w:r>
          </w:p>
        </w:tc>
        <w:tc>
          <w:tcPr>
            <w:tcW w:w="545" w:type="dxa"/>
          </w:tcPr>
          <w:p w:rsidR="00AB6BA6" w:rsidRPr="00990D3B" w:rsidP="005274DE" w14:paraId="05C99921" w14:textId="77777777">
            <w:pPr>
              <w:pStyle w:val="EQRTableText"/>
            </w:pPr>
            <w:r w:rsidRPr="00990D3B">
              <w:t> </w:t>
            </w:r>
          </w:p>
        </w:tc>
        <w:tc>
          <w:tcPr>
            <w:tcW w:w="652" w:type="dxa"/>
          </w:tcPr>
          <w:p w:rsidR="00AB6BA6" w:rsidRPr="00990D3B" w:rsidP="005274DE" w14:paraId="220427CF" w14:textId="77777777">
            <w:pPr>
              <w:pStyle w:val="EQRTableText"/>
            </w:pPr>
            <w:r w:rsidRPr="00990D3B">
              <w:t> </w:t>
            </w:r>
          </w:p>
        </w:tc>
        <w:tc>
          <w:tcPr>
            <w:tcW w:w="4254" w:type="dxa"/>
          </w:tcPr>
          <w:p w:rsidR="00AB6BA6" w:rsidRPr="00990D3B" w:rsidP="005274DE" w14:paraId="1477F91C" w14:textId="77777777">
            <w:pPr>
              <w:pStyle w:val="EQRTableText"/>
            </w:pPr>
            <w:r w:rsidRPr="00990D3B">
              <w:t> </w:t>
            </w:r>
          </w:p>
        </w:tc>
      </w:tr>
      <w:tr w14:paraId="6E0B6D9A" w14:textId="77777777" w:rsidTr="00DE6DCE">
        <w:tblPrEx>
          <w:tblW w:w="5003" w:type="pct"/>
          <w:tblLook w:val="04A0"/>
        </w:tblPrEx>
        <w:tc>
          <w:tcPr>
            <w:tcW w:w="3274" w:type="dxa"/>
          </w:tcPr>
          <w:p w:rsidR="00AB6BA6" w:rsidRPr="00990D3B" w:rsidP="005274DE" w14:paraId="5CCA556F" w14:textId="77777777">
            <w:pPr>
              <w:pStyle w:val="EQRTableText"/>
            </w:pPr>
            <w:r w:rsidRPr="00990D3B">
              <w:t>4.6 Overall assessment: In the comments section, note any recommendations for improving the sampling method.</w:t>
            </w:r>
          </w:p>
        </w:tc>
        <w:tc>
          <w:tcPr>
            <w:tcW w:w="630" w:type="dxa"/>
            <w:shd w:val="clear" w:color="auto" w:fill="D9D9D9" w:themeFill="background1" w:themeFillShade="D9"/>
          </w:tcPr>
          <w:p w:rsidR="00AB6BA6" w:rsidRPr="00990D3B" w:rsidP="005274DE" w14:paraId="593C6FF8" w14:textId="77777777">
            <w:pPr>
              <w:pStyle w:val="EQRTableText"/>
            </w:pPr>
            <w:r w:rsidRPr="00990D3B">
              <w:t> </w:t>
            </w:r>
          </w:p>
        </w:tc>
        <w:tc>
          <w:tcPr>
            <w:tcW w:w="545" w:type="dxa"/>
            <w:shd w:val="clear" w:color="auto" w:fill="D9D9D9" w:themeFill="background1" w:themeFillShade="D9"/>
          </w:tcPr>
          <w:p w:rsidR="00AB6BA6" w:rsidRPr="00990D3B" w:rsidP="005274DE" w14:paraId="7EA06577" w14:textId="77777777">
            <w:pPr>
              <w:pStyle w:val="EQRTableText"/>
            </w:pPr>
            <w:r w:rsidRPr="00990D3B">
              <w:t> </w:t>
            </w:r>
          </w:p>
        </w:tc>
        <w:tc>
          <w:tcPr>
            <w:tcW w:w="652" w:type="dxa"/>
            <w:shd w:val="clear" w:color="auto" w:fill="D9D9D9" w:themeFill="background1" w:themeFillShade="D9"/>
          </w:tcPr>
          <w:p w:rsidR="00AB6BA6" w:rsidRPr="00990D3B" w:rsidP="005274DE" w14:paraId="6A618768" w14:textId="77777777">
            <w:pPr>
              <w:pStyle w:val="EQRTableText"/>
            </w:pPr>
            <w:r w:rsidRPr="00990D3B">
              <w:t> </w:t>
            </w:r>
          </w:p>
        </w:tc>
        <w:tc>
          <w:tcPr>
            <w:tcW w:w="4254" w:type="dxa"/>
          </w:tcPr>
          <w:p w:rsidR="00AB6BA6" w:rsidRPr="00990D3B" w:rsidP="005274DE" w14:paraId="3A948051" w14:textId="77777777">
            <w:pPr>
              <w:pStyle w:val="EQRTableText"/>
            </w:pPr>
            <w:r w:rsidRPr="00990D3B">
              <w:t> </w:t>
            </w:r>
          </w:p>
        </w:tc>
      </w:tr>
    </w:tbl>
    <w:p w:rsidR="00812664" w:rsidRPr="00990D3B" w:rsidP="00B5252D" w14:paraId="625E20BF" w14:textId="77777777">
      <w:pPr>
        <w:pStyle w:val="ParagraphContinued"/>
        <w:sectPr w:rsidSect="00A65C6B">
          <w:footerReference w:type="even" r:id="rId114"/>
          <w:footerReference w:type="default" r:id="rId115"/>
          <w:headerReference w:type="first" r:id="rId116"/>
          <w:footerReference w:type="first" r:id="rId117"/>
          <w:pgSz w:w="12240" w:h="15840" w:code="1"/>
          <w:pgMar w:top="1440" w:right="1440" w:bottom="1440" w:left="1440" w:header="720" w:footer="720" w:gutter="0"/>
          <w:cols w:space="720"/>
          <w:titlePg/>
          <w:docGrid w:linePitch="360"/>
        </w:sectPr>
      </w:pPr>
    </w:p>
    <w:p w:rsidR="00AB6BA6" w:rsidRPr="00990D3B" w:rsidP="00BD1FC3" w14:paraId="3405336C" w14:textId="77777777">
      <w:pPr>
        <w:pStyle w:val="EQRMarkforExhibitWORKSHEET"/>
      </w:pPr>
      <w:bookmarkStart w:id="196" w:name="WSp1n5"/>
      <w:bookmarkStart w:id="197" w:name="_Toc125619137"/>
      <w:bookmarkStart w:id="198" w:name="_Toc201751482"/>
      <w:r w:rsidRPr="00990D3B">
        <w:t>Worksheet 1.5</w:t>
      </w:r>
      <w:bookmarkEnd w:id="196"/>
      <w:r w:rsidRPr="00990D3B">
        <w:t xml:space="preserve">. </w:t>
      </w:r>
      <w:r w:rsidRPr="00990D3B">
        <w:t>Review</w:t>
      </w:r>
      <w:r w:rsidRPr="00990D3B">
        <w:t xml:space="preserve"> the Selected PIP Variables and Performance Measures</w:t>
      </w:r>
      <w:bookmarkEnd w:id="197"/>
      <w:bookmarkEnd w:id="198"/>
      <w:r w:rsidRPr="00990D3B">
        <w:t xml:space="preserve"> </w:t>
      </w:r>
    </w:p>
    <w:p w:rsidR="00AB6BA6" w:rsidRPr="00990D3B" w:rsidP="00BD1FC3" w14:paraId="7E048DB6" w14:textId="14A909E6">
      <w:pPr>
        <w:pStyle w:val="EQRNormalSSWORKSHEET"/>
      </w:pPr>
      <w:r w:rsidRPr="00990D3B">
        <w:rPr>
          <w:b/>
          <w:bCs/>
        </w:rPr>
        <w:t xml:space="preserve">Instructions. </w:t>
      </w:r>
      <w:r w:rsidRPr="00990D3B">
        <w:t xml:space="preserve">Assess whether the selected PIP variables were appropriate for measuring performance and tracking improvement by answering the following questions. Insert comments to explain “No” and “Not Applicable” responses. </w:t>
      </w:r>
    </w:p>
    <w:p w:rsidR="00AB6BA6" w:rsidRPr="00990D3B" w:rsidP="00BD1FC3" w14:paraId="0FBD7AFA" w14:textId="7F7C0B2E">
      <w:pPr>
        <w:pStyle w:val="EQRNormalSSWORKSHEET"/>
      </w:pPr>
      <w:r w:rsidRPr="00990D3B">
        <w:t>Recall that CMS encourages MCPs to choose variables for PIPs that reflect health outcomes. Performance measures are then used to measure these health outcomes. When selecting variables, the MCP should consider existing performance measures.</w:t>
      </w:r>
    </w:p>
    <w:p w:rsidR="00FC0CEF" w:rsidRPr="00990D3B" w:rsidP="00053BDB" w14:paraId="7581493D" w14:textId="77777777">
      <w:pPr>
        <w:pStyle w:val="EQRNormalSSWORKSHEET"/>
      </w:pPr>
      <w:r w:rsidRPr="00990D3B">
        <w:t>Acronyms: AHRQ = Agency for Healthcare Research and Quality; CCBHC = Certified Community Behavioral Health Clinics; CMS = Centers for Medicare &amp; Medicaid Services; HEDIS® = Healthcare Effectiveness Data and Information Set; MCP= Managed Care Plan; NA = Not Applicable; PIP = Performance Improvement Project.</w:t>
      </w:r>
    </w:p>
    <w:p w:rsidR="00BB6227" w:rsidRPr="00990D3B" w:rsidP="00BD1FC3" w14:paraId="3D466596" w14:textId="7C2EE26A">
      <w:pPr>
        <w:pStyle w:val="EQRNormalSSWORKSHEET"/>
      </w:pPr>
      <w:r w:rsidRPr="00990D3B">
        <w:rPr>
          <w:b/>
        </w:rPr>
        <w:t>Selected PIP</w:t>
      </w:r>
      <w:r w:rsidRPr="00990D3B">
        <w:rPr>
          <w:b/>
        </w:rPr>
        <w:t xml:space="preserve"> </w:t>
      </w:r>
      <w:r w:rsidRPr="00990D3B">
        <w:rPr>
          <w:b/>
        </w:rPr>
        <w:t>Variables and Performance Measures:</w:t>
      </w:r>
      <w:r w:rsidRPr="00990D3B">
        <w:t xml:space="preserve"> ____________________________________________________________</w:t>
      </w:r>
    </w:p>
    <w:tbl>
      <w:tblPr>
        <w:tblStyle w:val="TableGrid"/>
        <w:tblW w:w="0" w:type="auto"/>
        <w:tblLook w:val="04A0"/>
      </w:tblPr>
      <w:tblGrid>
        <w:gridCol w:w="4117"/>
        <w:gridCol w:w="639"/>
        <w:gridCol w:w="705"/>
        <w:gridCol w:w="564"/>
        <w:gridCol w:w="3325"/>
      </w:tblGrid>
      <w:tr w14:paraId="1013D148" w14:textId="77777777" w:rsidTr="00BD1FC3">
        <w:tblPrEx>
          <w:tblW w:w="0" w:type="auto"/>
          <w:tblLook w:val="04A0"/>
        </w:tblPrEx>
        <w:trPr>
          <w:cantSplit/>
          <w:tblHeader/>
        </w:trPr>
        <w:tc>
          <w:tcPr>
            <w:tcW w:w="4117" w:type="dxa"/>
            <w:tcBorders>
              <w:bottom w:val="single" w:sz="4" w:space="0" w:color="auto"/>
            </w:tcBorders>
            <w:vAlign w:val="bottom"/>
          </w:tcPr>
          <w:p w:rsidR="00AB6BA6" w:rsidRPr="00990D3B" w:rsidP="005274DE" w14:paraId="73238609" w14:textId="77777777">
            <w:pPr>
              <w:pStyle w:val="EQRTableHeaderLeft"/>
              <w:rPr>
                <w:color w:val="auto"/>
              </w:rPr>
            </w:pPr>
            <w:r w:rsidRPr="00990D3B">
              <w:rPr>
                <w:color w:val="auto"/>
              </w:rPr>
              <w:t>Question</w:t>
            </w:r>
          </w:p>
        </w:tc>
        <w:tc>
          <w:tcPr>
            <w:tcW w:w="639" w:type="dxa"/>
            <w:tcBorders>
              <w:bottom w:val="single" w:sz="4" w:space="0" w:color="auto"/>
            </w:tcBorders>
            <w:vAlign w:val="bottom"/>
          </w:tcPr>
          <w:p w:rsidR="00AB6BA6" w:rsidRPr="00990D3B" w:rsidP="005274DE" w14:paraId="34D9F078" w14:textId="77777777">
            <w:pPr>
              <w:pStyle w:val="EQRTableHeaderCenter"/>
              <w:rPr>
                <w:color w:val="auto"/>
              </w:rPr>
            </w:pPr>
            <w:r w:rsidRPr="00990D3B">
              <w:rPr>
                <w:color w:val="auto"/>
              </w:rPr>
              <w:t>Yes</w:t>
            </w:r>
          </w:p>
        </w:tc>
        <w:tc>
          <w:tcPr>
            <w:tcW w:w="705" w:type="dxa"/>
            <w:tcBorders>
              <w:bottom w:val="single" w:sz="4" w:space="0" w:color="auto"/>
            </w:tcBorders>
            <w:vAlign w:val="bottom"/>
          </w:tcPr>
          <w:p w:rsidR="00AB6BA6" w:rsidRPr="00990D3B" w:rsidP="005274DE" w14:paraId="27EB0655" w14:textId="77777777">
            <w:pPr>
              <w:pStyle w:val="EQRTableHeaderCenter"/>
              <w:rPr>
                <w:color w:val="auto"/>
              </w:rPr>
            </w:pPr>
            <w:r w:rsidRPr="00990D3B">
              <w:rPr>
                <w:color w:val="auto"/>
              </w:rPr>
              <w:t>No</w:t>
            </w:r>
          </w:p>
        </w:tc>
        <w:tc>
          <w:tcPr>
            <w:tcW w:w="564" w:type="dxa"/>
            <w:tcBorders>
              <w:bottom w:val="single" w:sz="4" w:space="0" w:color="auto"/>
            </w:tcBorders>
            <w:vAlign w:val="bottom"/>
          </w:tcPr>
          <w:p w:rsidR="00AB6BA6" w:rsidRPr="00990D3B" w:rsidP="005274DE" w14:paraId="7E5EC371" w14:textId="77777777">
            <w:pPr>
              <w:pStyle w:val="EQRTableHeaderCenter"/>
              <w:rPr>
                <w:color w:val="auto"/>
              </w:rPr>
            </w:pPr>
            <w:r w:rsidRPr="00990D3B">
              <w:rPr>
                <w:color w:val="auto"/>
              </w:rPr>
              <w:t>NA</w:t>
            </w:r>
          </w:p>
        </w:tc>
        <w:tc>
          <w:tcPr>
            <w:tcW w:w="3325" w:type="dxa"/>
            <w:tcBorders>
              <w:bottom w:val="single" w:sz="4" w:space="0" w:color="auto"/>
            </w:tcBorders>
            <w:vAlign w:val="bottom"/>
          </w:tcPr>
          <w:p w:rsidR="00AB6BA6" w:rsidRPr="00990D3B" w:rsidP="005274DE" w14:paraId="147CBAB8" w14:textId="77777777">
            <w:pPr>
              <w:pStyle w:val="EQRTableHeaderCenter"/>
              <w:rPr>
                <w:color w:val="auto"/>
              </w:rPr>
            </w:pPr>
            <w:r w:rsidRPr="00990D3B">
              <w:rPr>
                <w:color w:val="auto"/>
              </w:rPr>
              <w:t>Comments</w:t>
            </w:r>
          </w:p>
        </w:tc>
      </w:tr>
      <w:tr w14:paraId="668139BB" w14:textId="77777777" w:rsidTr="00BD1FC3">
        <w:tblPrEx>
          <w:tblW w:w="0" w:type="auto"/>
          <w:tblLook w:val="04A0"/>
        </w:tblPrEx>
        <w:trPr>
          <w:cantSplit/>
        </w:trPr>
        <w:tc>
          <w:tcPr>
            <w:tcW w:w="4117" w:type="dxa"/>
            <w:tcBorders>
              <w:right w:val="nil"/>
            </w:tcBorders>
          </w:tcPr>
          <w:p w:rsidR="00AB6BA6" w:rsidRPr="00990D3B" w:rsidP="006E5DD8" w14:paraId="63505F9E" w14:textId="22533C20">
            <w:pPr>
              <w:pStyle w:val="EQRTableText"/>
              <w:rPr>
                <w:b/>
                <w:bCs/>
              </w:rPr>
            </w:pPr>
            <w:r w:rsidRPr="00990D3B">
              <w:rPr>
                <w:b/>
                <w:bCs/>
              </w:rPr>
              <w:t xml:space="preserve">PIP </w:t>
            </w:r>
            <w:r w:rsidRPr="00990D3B" w:rsidR="00BB6227">
              <w:rPr>
                <w:b/>
                <w:bCs/>
              </w:rPr>
              <w:t>V</w:t>
            </w:r>
            <w:r w:rsidRPr="00990D3B">
              <w:rPr>
                <w:b/>
                <w:bCs/>
              </w:rPr>
              <w:t>ariables</w:t>
            </w:r>
          </w:p>
        </w:tc>
        <w:tc>
          <w:tcPr>
            <w:tcW w:w="639" w:type="dxa"/>
            <w:tcBorders>
              <w:left w:val="nil"/>
              <w:right w:val="nil"/>
            </w:tcBorders>
          </w:tcPr>
          <w:p w:rsidR="00AB6BA6" w:rsidRPr="00990D3B" w:rsidP="005274DE" w14:paraId="1D710D89" w14:textId="77777777">
            <w:pPr>
              <w:pStyle w:val="EQRTableText"/>
            </w:pPr>
            <w:r w:rsidRPr="00990D3B">
              <w:t> </w:t>
            </w:r>
          </w:p>
        </w:tc>
        <w:tc>
          <w:tcPr>
            <w:tcW w:w="705" w:type="dxa"/>
            <w:tcBorders>
              <w:left w:val="nil"/>
              <w:right w:val="nil"/>
            </w:tcBorders>
          </w:tcPr>
          <w:p w:rsidR="00AB6BA6" w:rsidRPr="00990D3B" w:rsidP="005274DE" w14:paraId="15211225" w14:textId="77777777">
            <w:pPr>
              <w:pStyle w:val="EQRTableText"/>
            </w:pPr>
            <w:r w:rsidRPr="00990D3B">
              <w:t> </w:t>
            </w:r>
          </w:p>
        </w:tc>
        <w:tc>
          <w:tcPr>
            <w:tcW w:w="564" w:type="dxa"/>
            <w:tcBorders>
              <w:left w:val="nil"/>
              <w:right w:val="nil"/>
            </w:tcBorders>
          </w:tcPr>
          <w:p w:rsidR="00AB6BA6" w:rsidRPr="00990D3B" w:rsidP="005274DE" w14:paraId="30C1D2F5" w14:textId="77777777">
            <w:pPr>
              <w:pStyle w:val="EQRTableText"/>
            </w:pPr>
            <w:r w:rsidRPr="00990D3B">
              <w:t> </w:t>
            </w:r>
          </w:p>
        </w:tc>
        <w:tc>
          <w:tcPr>
            <w:tcW w:w="3325" w:type="dxa"/>
            <w:tcBorders>
              <w:left w:val="nil"/>
            </w:tcBorders>
          </w:tcPr>
          <w:p w:rsidR="00AB6BA6" w:rsidRPr="00990D3B" w:rsidP="005274DE" w14:paraId="16C6DFB7" w14:textId="77777777">
            <w:pPr>
              <w:pStyle w:val="EQRTableText"/>
            </w:pPr>
            <w:r w:rsidRPr="00990D3B">
              <w:t> </w:t>
            </w:r>
          </w:p>
        </w:tc>
      </w:tr>
      <w:tr w14:paraId="0CD11525" w14:textId="77777777" w:rsidTr="00BD1FC3">
        <w:tblPrEx>
          <w:tblW w:w="0" w:type="auto"/>
          <w:tblLook w:val="04A0"/>
        </w:tblPrEx>
        <w:trPr>
          <w:cantSplit/>
        </w:trPr>
        <w:tc>
          <w:tcPr>
            <w:tcW w:w="4117" w:type="dxa"/>
          </w:tcPr>
          <w:p w:rsidR="00AB6BA6" w:rsidRPr="00990D3B" w:rsidP="006E5DD8" w14:paraId="0690BB5D" w14:textId="77777777">
            <w:pPr>
              <w:pStyle w:val="EQRTableText"/>
            </w:pPr>
            <w:r w:rsidRPr="00990D3B">
              <w:t>5.1 Were the variables adequate to answer the PIP question?</w:t>
            </w:r>
          </w:p>
          <w:p w:rsidR="00AB6BA6" w:rsidRPr="00990D3B" w:rsidP="00AB6BA6" w14:paraId="79709EFF" w14:textId="77777777">
            <w:pPr>
              <w:pStyle w:val="EQRTableTextbullet"/>
              <w:spacing w:line="240" w:lineRule="auto"/>
              <w:ind w:left="216" w:hanging="216"/>
            </w:pPr>
            <w:r w:rsidRPr="00990D3B">
              <w:t>Did the PIP use objective, clearly defined, time-specific variables (e.g., an event or status that can be measured)?</w:t>
            </w:r>
          </w:p>
          <w:p w:rsidR="00AB6BA6" w:rsidRPr="00990D3B" w:rsidP="00AB6BA6" w14:paraId="70909006" w14:textId="77777777">
            <w:pPr>
              <w:pStyle w:val="EQRTableTextbullet"/>
              <w:spacing w:line="240" w:lineRule="auto"/>
              <w:ind w:left="216" w:hanging="216"/>
            </w:pPr>
            <w:r w:rsidRPr="00990D3B">
              <w:t>Were the variables available to measure performance and track improvement over time? (CMS encourages states to select variables that can be examined on at least a semi-annual basis</w:t>
            </w:r>
          </w:p>
        </w:tc>
        <w:tc>
          <w:tcPr>
            <w:tcW w:w="639" w:type="dxa"/>
          </w:tcPr>
          <w:p w:rsidR="00AB6BA6" w:rsidRPr="00990D3B" w:rsidP="005274DE" w14:paraId="74F22BE4" w14:textId="77777777">
            <w:pPr>
              <w:pStyle w:val="EQRTableText"/>
            </w:pPr>
            <w:r w:rsidRPr="00990D3B">
              <w:t> </w:t>
            </w:r>
          </w:p>
        </w:tc>
        <w:tc>
          <w:tcPr>
            <w:tcW w:w="705" w:type="dxa"/>
          </w:tcPr>
          <w:p w:rsidR="00AB6BA6" w:rsidRPr="00990D3B" w:rsidP="005274DE" w14:paraId="098AB175" w14:textId="77777777">
            <w:pPr>
              <w:pStyle w:val="EQRTableText"/>
            </w:pPr>
            <w:r w:rsidRPr="00990D3B">
              <w:t> </w:t>
            </w:r>
          </w:p>
        </w:tc>
        <w:tc>
          <w:tcPr>
            <w:tcW w:w="564" w:type="dxa"/>
          </w:tcPr>
          <w:p w:rsidR="00AB6BA6" w:rsidRPr="00990D3B" w:rsidP="005274DE" w14:paraId="28C69113" w14:textId="77777777">
            <w:pPr>
              <w:pStyle w:val="EQRTableText"/>
            </w:pPr>
            <w:r w:rsidRPr="00990D3B">
              <w:t> </w:t>
            </w:r>
          </w:p>
        </w:tc>
        <w:tc>
          <w:tcPr>
            <w:tcW w:w="3325" w:type="dxa"/>
          </w:tcPr>
          <w:p w:rsidR="00AB6BA6" w:rsidRPr="00990D3B" w:rsidP="005274DE" w14:paraId="64B848E3" w14:textId="77777777">
            <w:pPr>
              <w:pStyle w:val="EQRTableText"/>
            </w:pPr>
            <w:r w:rsidRPr="00990D3B">
              <w:t> </w:t>
            </w:r>
          </w:p>
        </w:tc>
      </w:tr>
      <w:tr w14:paraId="61EEA472" w14:textId="77777777" w:rsidTr="00BD1FC3">
        <w:tblPrEx>
          <w:tblW w:w="0" w:type="auto"/>
          <w:tblLook w:val="04A0"/>
        </w:tblPrEx>
        <w:trPr>
          <w:cantSplit/>
        </w:trPr>
        <w:tc>
          <w:tcPr>
            <w:tcW w:w="4117" w:type="dxa"/>
            <w:tcBorders>
              <w:right w:val="nil"/>
            </w:tcBorders>
          </w:tcPr>
          <w:p w:rsidR="00AB6BA6" w:rsidRPr="00990D3B" w:rsidP="006E5DD8" w14:paraId="4C24D667" w14:textId="6338BE2D">
            <w:pPr>
              <w:pStyle w:val="EQRTableText"/>
              <w:rPr>
                <w:b/>
                <w:bCs/>
              </w:rPr>
            </w:pPr>
            <w:r w:rsidRPr="00990D3B">
              <w:rPr>
                <w:b/>
                <w:bCs/>
              </w:rPr>
              <w:t xml:space="preserve">Performance </w:t>
            </w:r>
            <w:r w:rsidRPr="00990D3B" w:rsidR="00BB6227">
              <w:rPr>
                <w:b/>
                <w:bCs/>
              </w:rPr>
              <w:t>M</w:t>
            </w:r>
            <w:r w:rsidRPr="00990D3B">
              <w:rPr>
                <w:b/>
                <w:bCs/>
              </w:rPr>
              <w:t>easures</w:t>
            </w:r>
          </w:p>
        </w:tc>
        <w:tc>
          <w:tcPr>
            <w:tcW w:w="639" w:type="dxa"/>
            <w:tcBorders>
              <w:left w:val="nil"/>
              <w:right w:val="nil"/>
            </w:tcBorders>
          </w:tcPr>
          <w:p w:rsidR="00AB6BA6" w:rsidRPr="00990D3B" w:rsidP="005274DE" w14:paraId="3C41FC78" w14:textId="77777777">
            <w:pPr>
              <w:pStyle w:val="EQRTableText"/>
            </w:pPr>
            <w:r w:rsidRPr="00990D3B">
              <w:t> </w:t>
            </w:r>
          </w:p>
        </w:tc>
        <w:tc>
          <w:tcPr>
            <w:tcW w:w="705" w:type="dxa"/>
            <w:tcBorders>
              <w:left w:val="nil"/>
              <w:right w:val="nil"/>
            </w:tcBorders>
          </w:tcPr>
          <w:p w:rsidR="00AB6BA6" w:rsidRPr="00990D3B" w:rsidP="005274DE" w14:paraId="4A7F5345" w14:textId="77777777">
            <w:pPr>
              <w:pStyle w:val="EQRTableText"/>
            </w:pPr>
            <w:r w:rsidRPr="00990D3B">
              <w:t> </w:t>
            </w:r>
          </w:p>
        </w:tc>
        <w:tc>
          <w:tcPr>
            <w:tcW w:w="564" w:type="dxa"/>
            <w:tcBorders>
              <w:left w:val="nil"/>
              <w:right w:val="nil"/>
            </w:tcBorders>
          </w:tcPr>
          <w:p w:rsidR="00AB6BA6" w:rsidRPr="00990D3B" w:rsidP="005274DE" w14:paraId="11AA6971" w14:textId="77777777">
            <w:pPr>
              <w:pStyle w:val="EQRTableText"/>
            </w:pPr>
            <w:r w:rsidRPr="00990D3B">
              <w:t> </w:t>
            </w:r>
          </w:p>
        </w:tc>
        <w:tc>
          <w:tcPr>
            <w:tcW w:w="3325" w:type="dxa"/>
            <w:tcBorders>
              <w:left w:val="nil"/>
            </w:tcBorders>
          </w:tcPr>
          <w:p w:rsidR="00AB6BA6" w:rsidRPr="00990D3B" w:rsidP="005274DE" w14:paraId="519BD2B1" w14:textId="77777777">
            <w:pPr>
              <w:pStyle w:val="EQRTableText"/>
            </w:pPr>
            <w:r w:rsidRPr="00990D3B">
              <w:t> </w:t>
            </w:r>
          </w:p>
        </w:tc>
      </w:tr>
      <w:tr w14:paraId="30E9DA06" w14:textId="77777777" w:rsidTr="00BD1FC3">
        <w:tblPrEx>
          <w:tblW w:w="0" w:type="auto"/>
          <w:tblLook w:val="04A0"/>
        </w:tblPrEx>
        <w:trPr>
          <w:cantSplit/>
        </w:trPr>
        <w:tc>
          <w:tcPr>
            <w:tcW w:w="4117" w:type="dxa"/>
          </w:tcPr>
          <w:p w:rsidR="00AB6BA6" w:rsidRPr="00990D3B" w:rsidP="0000105A" w14:paraId="1B278295" w14:textId="77777777">
            <w:pPr>
              <w:pStyle w:val="EQRTableText"/>
            </w:pPr>
            <w:r w:rsidRPr="00990D3B">
              <w:t xml:space="preserve">5.2 Did the performance measure assess an important aspect of care that will make a difference to enrollees’ health or functional status? </w:t>
            </w:r>
          </w:p>
        </w:tc>
        <w:tc>
          <w:tcPr>
            <w:tcW w:w="639" w:type="dxa"/>
          </w:tcPr>
          <w:p w:rsidR="00AB6BA6" w:rsidRPr="00990D3B" w:rsidP="005274DE" w14:paraId="55C94773" w14:textId="77777777">
            <w:pPr>
              <w:pStyle w:val="EQRTableText"/>
            </w:pPr>
            <w:r w:rsidRPr="00990D3B">
              <w:t> </w:t>
            </w:r>
          </w:p>
        </w:tc>
        <w:tc>
          <w:tcPr>
            <w:tcW w:w="705" w:type="dxa"/>
          </w:tcPr>
          <w:p w:rsidR="00AB6BA6" w:rsidRPr="00990D3B" w:rsidP="005274DE" w14:paraId="25C6DEE5" w14:textId="77777777">
            <w:pPr>
              <w:pStyle w:val="EQRTableText"/>
            </w:pPr>
            <w:r w:rsidRPr="00990D3B">
              <w:t> </w:t>
            </w:r>
          </w:p>
        </w:tc>
        <w:tc>
          <w:tcPr>
            <w:tcW w:w="564" w:type="dxa"/>
          </w:tcPr>
          <w:p w:rsidR="00AB6BA6" w:rsidRPr="00990D3B" w:rsidP="005274DE" w14:paraId="5961C20B" w14:textId="77777777">
            <w:pPr>
              <w:pStyle w:val="EQRTableText"/>
            </w:pPr>
            <w:r w:rsidRPr="00990D3B">
              <w:t> </w:t>
            </w:r>
          </w:p>
        </w:tc>
        <w:tc>
          <w:tcPr>
            <w:tcW w:w="3325" w:type="dxa"/>
          </w:tcPr>
          <w:p w:rsidR="00AB6BA6" w:rsidRPr="00990D3B" w:rsidP="005274DE" w14:paraId="165E0B72" w14:textId="77777777">
            <w:pPr>
              <w:pStyle w:val="EQRTableText"/>
            </w:pPr>
            <w:r w:rsidRPr="00990D3B">
              <w:t> </w:t>
            </w:r>
          </w:p>
        </w:tc>
      </w:tr>
      <w:tr w14:paraId="482552C3" w14:textId="77777777" w:rsidTr="00BD1FC3">
        <w:tblPrEx>
          <w:tblW w:w="0" w:type="auto"/>
          <w:tblLook w:val="04A0"/>
        </w:tblPrEx>
        <w:trPr>
          <w:cantSplit/>
        </w:trPr>
        <w:tc>
          <w:tcPr>
            <w:tcW w:w="4117" w:type="dxa"/>
          </w:tcPr>
          <w:p w:rsidR="00AB6BA6" w:rsidRPr="00990D3B" w:rsidP="00C94012" w14:paraId="165DE835" w14:textId="77777777">
            <w:pPr>
              <w:pStyle w:val="EQRTableText"/>
            </w:pPr>
            <w:r w:rsidRPr="00990D3B">
              <w:t>5.3 Were the performance measures appropriate based on the availability of data and resources to collect the data (administrative data, medical records, or other sources)?</w:t>
            </w:r>
          </w:p>
        </w:tc>
        <w:tc>
          <w:tcPr>
            <w:tcW w:w="639" w:type="dxa"/>
          </w:tcPr>
          <w:p w:rsidR="00AB6BA6" w:rsidRPr="00990D3B" w:rsidP="005274DE" w14:paraId="2BA1EC6E" w14:textId="77777777">
            <w:pPr>
              <w:pStyle w:val="EQRTableText"/>
            </w:pPr>
            <w:r w:rsidRPr="00990D3B">
              <w:t> </w:t>
            </w:r>
          </w:p>
        </w:tc>
        <w:tc>
          <w:tcPr>
            <w:tcW w:w="705" w:type="dxa"/>
          </w:tcPr>
          <w:p w:rsidR="00AB6BA6" w:rsidRPr="00990D3B" w:rsidP="005274DE" w14:paraId="7DF8141F" w14:textId="77777777">
            <w:pPr>
              <w:pStyle w:val="EQRTableText"/>
            </w:pPr>
            <w:r w:rsidRPr="00990D3B">
              <w:t> </w:t>
            </w:r>
          </w:p>
        </w:tc>
        <w:tc>
          <w:tcPr>
            <w:tcW w:w="564" w:type="dxa"/>
          </w:tcPr>
          <w:p w:rsidR="00AB6BA6" w:rsidRPr="00990D3B" w:rsidP="005274DE" w14:paraId="3128D323" w14:textId="77777777">
            <w:pPr>
              <w:pStyle w:val="EQRTableText"/>
            </w:pPr>
            <w:r w:rsidRPr="00990D3B">
              <w:t> </w:t>
            </w:r>
          </w:p>
        </w:tc>
        <w:tc>
          <w:tcPr>
            <w:tcW w:w="3325" w:type="dxa"/>
          </w:tcPr>
          <w:p w:rsidR="00AB6BA6" w:rsidRPr="00990D3B" w:rsidP="005274DE" w14:paraId="0638B285" w14:textId="77777777">
            <w:pPr>
              <w:pStyle w:val="EQRTableText"/>
            </w:pPr>
            <w:r w:rsidRPr="00990D3B">
              <w:t> </w:t>
            </w:r>
          </w:p>
        </w:tc>
      </w:tr>
      <w:tr w14:paraId="77AB873F" w14:textId="77777777" w:rsidTr="00BD1FC3">
        <w:tblPrEx>
          <w:tblW w:w="0" w:type="auto"/>
          <w:tblLook w:val="04A0"/>
        </w:tblPrEx>
        <w:trPr>
          <w:cantSplit/>
        </w:trPr>
        <w:tc>
          <w:tcPr>
            <w:tcW w:w="4117" w:type="dxa"/>
          </w:tcPr>
          <w:p w:rsidR="00AB6BA6" w:rsidRPr="00990D3B" w:rsidP="005274DE" w14:paraId="5AE4D064" w14:textId="77777777">
            <w:pPr>
              <w:pStyle w:val="EQRTableText"/>
            </w:pPr>
            <w:r w:rsidRPr="00990D3B">
              <w:t>5.4 Were the measures based on current clinical knowledge or health services research?</w:t>
            </w:r>
          </w:p>
          <w:p w:rsidR="00AB6BA6" w:rsidRPr="00990D3B" w:rsidP="00AB6BA6" w14:paraId="171B6618" w14:textId="77777777">
            <w:pPr>
              <w:pStyle w:val="EQRTableTextbullet"/>
              <w:spacing w:line="240" w:lineRule="auto"/>
              <w:ind w:left="216" w:hanging="216"/>
            </w:pPr>
            <w:r w:rsidRPr="00990D3B">
              <w:t>Examples may include:</w:t>
            </w:r>
          </w:p>
          <w:p w:rsidR="00AB6BA6" w:rsidRPr="00990D3B" w:rsidP="00F96E5F" w14:paraId="1128716D" w14:textId="77777777">
            <w:pPr>
              <w:pStyle w:val="EQRTableTextbullet2ndlevel"/>
            </w:pPr>
            <w:r w:rsidRPr="00990D3B">
              <w:t>Recommended procedures</w:t>
            </w:r>
          </w:p>
          <w:p w:rsidR="00AB6BA6" w:rsidRPr="00990D3B" w:rsidP="00F96E5F" w14:paraId="579419BE" w14:textId="77777777">
            <w:pPr>
              <w:pStyle w:val="EQRTableTextbullet2ndlevel"/>
            </w:pPr>
            <w:r w:rsidRPr="00990D3B">
              <w:t>Appropriate utilization (hospital admissions, emergency department visits)</w:t>
            </w:r>
          </w:p>
          <w:p w:rsidR="00AB6BA6" w:rsidRPr="00990D3B" w:rsidP="00F96E5F" w14:paraId="67AC823C" w14:textId="77777777">
            <w:pPr>
              <w:pStyle w:val="EQRTableTextbullet2ndlevel"/>
            </w:pPr>
            <w:r w:rsidRPr="00990D3B">
              <w:t>Adverse incidents (such as death, avoidable readmission)</w:t>
            </w:r>
          </w:p>
          <w:p w:rsidR="00AB6BA6" w:rsidRPr="00990D3B" w:rsidP="00F96E5F" w14:paraId="600D2D6F" w14:textId="77777777">
            <w:pPr>
              <w:pStyle w:val="EQRTableTextbullet2ndlevel"/>
            </w:pPr>
            <w:r w:rsidRPr="00990D3B">
              <w:t>Referral patterns</w:t>
            </w:r>
          </w:p>
          <w:p w:rsidR="00AB6BA6" w:rsidRPr="00990D3B" w:rsidP="00F96E5F" w14:paraId="7494DBE7" w14:textId="77777777">
            <w:pPr>
              <w:pStyle w:val="EQRTableTextbullet2ndlevel"/>
            </w:pPr>
            <w:r w:rsidRPr="00990D3B">
              <w:t>Authorization requests</w:t>
            </w:r>
          </w:p>
          <w:p w:rsidR="00AB6BA6" w:rsidRPr="00990D3B" w:rsidP="00F96E5F" w14:paraId="0DC5324B" w14:textId="77777777">
            <w:pPr>
              <w:pStyle w:val="EQRTableTextbullet2ndlevel"/>
            </w:pPr>
            <w:r w:rsidRPr="00990D3B">
              <w:t>Appropriate medication use</w:t>
            </w:r>
          </w:p>
        </w:tc>
        <w:tc>
          <w:tcPr>
            <w:tcW w:w="639" w:type="dxa"/>
          </w:tcPr>
          <w:p w:rsidR="00AB6BA6" w:rsidRPr="00990D3B" w:rsidP="005274DE" w14:paraId="61272702" w14:textId="77777777">
            <w:pPr>
              <w:pStyle w:val="EQRTableText"/>
            </w:pPr>
            <w:r w:rsidRPr="00990D3B">
              <w:t> </w:t>
            </w:r>
          </w:p>
        </w:tc>
        <w:tc>
          <w:tcPr>
            <w:tcW w:w="705" w:type="dxa"/>
          </w:tcPr>
          <w:p w:rsidR="00AB6BA6" w:rsidRPr="00990D3B" w:rsidP="005274DE" w14:paraId="361067AC" w14:textId="77777777">
            <w:pPr>
              <w:pStyle w:val="EQRTableText"/>
            </w:pPr>
            <w:r w:rsidRPr="00990D3B">
              <w:t> </w:t>
            </w:r>
          </w:p>
        </w:tc>
        <w:tc>
          <w:tcPr>
            <w:tcW w:w="564" w:type="dxa"/>
          </w:tcPr>
          <w:p w:rsidR="00AB6BA6" w:rsidRPr="00990D3B" w:rsidP="005274DE" w14:paraId="2E65F333" w14:textId="77777777">
            <w:pPr>
              <w:pStyle w:val="EQRTableText"/>
            </w:pPr>
            <w:r w:rsidRPr="00990D3B">
              <w:t> </w:t>
            </w:r>
          </w:p>
        </w:tc>
        <w:tc>
          <w:tcPr>
            <w:tcW w:w="3325" w:type="dxa"/>
          </w:tcPr>
          <w:p w:rsidR="00AB6BA6" w:rsidRPr="00990D3B" w:rsidP="005274DE" w14:paraId="182FAA78" w14:textId="77777777">
            <w:pPr>
              <w:pStyle w:val="EQRTableText"/>
            </w:pPr>
            <w:r w:rsidRPr="00990D3B">
              <w:t> </w:t>
            </w:r>
          </w:p>
        </w:tc>
      </w:tr>
      <w:tr w14:paraId="7B77B99C" w14:textId="77777777" w:rsidTr="00BD1FC3">
        <w:tblPrEx>
          <w:tblW w:w="0" w:type="auto"/>
          <w:tblLook w:val="04A0"/>
        </w:tblPrEx>
        <w:trPr>
          <w:cantSplit/>
        </w:trPr>
        <w:tc>
          <w:tcPr>
            <w:tcW w:w="4117" w:type="dxa"/>
          </w:tcPr>
          <w:p w:rsidR="00AB6BA6" w:rsidRPr="00990D3B" w:rsidP="00AB639E" w14:paraId="0A706AEF" w14:textId="77777777">
            <w:pPr>
              <w:pStyle w:val="EQRTableText"/>
            </w:pPr>
            <w:r w:rsidRPr="00990D3B">
              <w:t xml:space="preserve">5.5 Did the performance measures: </w:t>
            </w:r>
          </w:p>
          <w:p w:rsidR="00AB6BA6" w:rsidRPr="00990D3B" w:rsidP="00AB6BA6" w14:paraId="15C30DCC" w14:textId="77777777">
            <w:pPr>
              <w:pStyle w:val="EQRTableTextbullet"/>
              <w:spacing w:line="240" w:lineRule="auto"/>
              <w:ind w:left="216" w:hanging="216"/>
            </w:pPr>
            <w:r w:rsidRPr="00990D3B">
              <w:t>Monitor the performance of MCPs at a point in time?</w:t>
            </w:r>
          </w:p>
          <w:p w:rsidR="00AB6BA6" w:rsidRPr="00990D3B" w:rsidP="00AB6BA6" w14:paraId="76F4FCB5" w14:textId="77777777">
            <w:pPr>
              <w:pStyle w:val="EQRTableTextbullet"/>
              <w:spacing w:line="240" w:lineRule="auto"/>
              <w:ind w:left="216" w:hanging="216"/>
            </w:pPr>
            <w:r w:rsidRPr="00990D3B">
              <w:t>Track MCP performance over time?</w:t>
            </w:r>
          </w:p>
          <w:p w:rsidR="00AB6BA6" w:rsidRPr="00990D3B" w:rsidP="00AB6BA6" w14:paraId="2F8FB566" w14:textId="77777777">
            <w:pPr>
              <w:pStyle w:val="EQRTableTextbullet"/>
              <w:spacing w:line="240" w:lineRule="auto"/>
              <w:ind w:left="216" w:hanging="216"/>
            </w:pPr>
            <w:r w:rsidRPr="00990D3B">
              <w:t>Compare performance among MCPs over time?</w:t>
            </w:r>
          </w:p>
          <w:p w:rsidR="00AB6BA6" w:rsidRPr="00990D3B" w:rsidP="00AB6BA6" w14:paraId="372ED775" w14:textId="77777777">
            <w:pPr>
              <w:pStyle w:val="EQRTableTextbullet"/>
              <w:spacing w:line="240" w:lineRule="auto"/>
              <w:ind w:left="216" w:hanging="216"/>
            </w:pPr>
            <w:r w:rsidRPr="00990D3B">
              <w:t>Inform the selection and evaluation of quality improvement activities?</w:t>
            </w:r>
          </w:p>
        </w:tc>
        <w:tc>
          <w:tcPr>
            <w:tcW w:w="639" w:type="dxa"/>
          </w:tcPr>
          <w:p w:rsidR="00AB6BA6" w:rsidRPr="00990D3B" w:rsidP="005274DE" w14:paraId="1B0C6F55" w14:textId="77777777">
            <w:pPr>
              <w:pStyle w:val="EQRTableText"/>
            </w:pPr>
            <w:r w:rsidRPr="00990D3B">
              <w:t> </w:t>
            </w:r>
          </w:p>
        </w:tc>
        <w:tc>
          <w:tcPr>
            <w:tcW w:w="705" w:type="dxa"/>
          </w:tcPr>
          <w:p w:rsidR="00AB6BA6" w:rsidRPr="00990D3B" w:rsidP="005274DE" w14:paraId="4717E2D3" w14:textId="77777777">
            <w:pPr>
              <w:pStyle w:val="EQRTableText"/>
            </w:pPr>
            <w:r w:rsidRPr="00990D3B">
              <w:t> </w:t>
            </w:r>
          </w:p>
        </w:tc>
        <w:tc>
          <w:tcPr>
            <w:tcW w:w="564" w:type="dxa"/>
          </w:tcPr>
          <w:p w:rsidR="00AB6BA6" w:rsidRPr="00990D3B" w:rsidP="005274DE" w14:paraId="7A659569" w14:textId="77777777">
            <w:pPr>
              <w:pStyle w:val="EQRTableText"/>
            </w:pPr>
            <w:r w:rsidRPr="00990D3B">
              <w:t> </w:t>
            </w:r>
          </w:p>
        </w:tc>
        <w:tc>
          <w:tcPr>
            <w:tcW w:w="3325" w:type="dxa"/>
          </w:tcPr>
          <w:p w:rsidR="00AB6BA6" w:rsidRPr="00990D3B" w:rsidP="005274DE" w14:paraId="2621D867" w14:textId="77777777">
            <w:pPr>
              <w:pStyle w:val="EQRTableText"/>
            </w:pPr>
            <w:r w:rsidRPr="00990D3B">
              <w:t> </w:t>
            </w:r>
          </w:p>
        </w:tc>
      </w:tr>
      <w:tr w14:paraId="7C8FF7EF" w14:textId="77777777" w:rsidTr="00BD1FC3">
        <w:tblPrEx>
          <w:tblW w:w="0" w:type="auto"/>
          <w:tblLook w:val="04A0"/>
        </w:tblPrEx>
        <w:trPr>
          <w:cantSplit/>
        </w:trPr>
        <w:tc>
          <w:tcPr>
            <w:tcW w:w="4117" w:type="dxa"/>
          </w:tcPr>
          <w:p w:rsidR="00AB6BA6" w:rsidRPr="00990D3B" w:rsidP="00F81228" w14:paraId="3B189FD7" w14:textId="167E7243">
            <w:pPr>
              <w:pStyle w:val="EQRTableText"/>
            </w:pPr>
            <w:r w:rsidRPr="00990D3B">
              <w:t>5.6 Did the MCP consider existing measures, such as CMS Child and Adult Core Set</w:t>
            </w:r>
            <w:r w:rsidRPr="00990D3B" w:rsidR="00E07527">
              <w:t>s</w:t>
            </w:r>
            <w:r w:rsidRPr="00990D3B">
              <w:t>, Core Quality Measure Collaborative, CCBHC measures, HEDIS</w:t>
            </w:r>
            <w:r w:rsidRPr="00990D3B">
              <w:rPr>
                <w:rFonts w:cs="Arial"/>
              </w:rPr>
              <w:t>®</w:t>
            </w:r>
            <w:r w:rsidRPr="00990D3B">
              <w:t xml:space="preserve">, or AHRQ measures? </w:t>
            </w:r>
          </w:p>
        </w:tc>
        <w:tc>
          <w:tcPr>
            <w:tcW w:w="639" w:type="dxa"/>
          </w:tcPr>
          <w:p w:rsidR="00AB6BA6" w:rsidRPr="00990D3B" w:rsidP="005274DE" w14:paraId="3AB8D2D9" w14:textId="77777777">
            <w:pPr>
              <w:spacing w:before="60" w:after="60"/>
              <w:rPr>
                <w:rFonts w:ascii="Arial" w:hAnsi="Arial" w:cs="Arial"/>
                <w:sz w:val="18"/>
                <w:szCs w:val="18"/>
              </w:rPr>
            </w:pPr>
            <w:r w:rsidRPr="00990D3B">
              <w:rPr>
                <w:rFonts w:ascii="Arial" w:hAnsi="Arial" w:cs="Arial"/>
                <w:sz w:val="18"/>
                <w:szCs w:val="18"/>
              </w:rPr>
              <w:t> </w:t>
            </w:r>
          </w:p>
        </w:tc>
        <w:tc>
          <w:tcPr>
            <w:tcW w:w="705" w:type="dxa"/>
          </w:tcPr>
          <w:p w:rsidR="00AB6BA6" w:rsidRPr="00990D3B" w:rsidP="005274DE" w14:paraId="5F7D9D35" w14:textId="77777777">
            <w:pPr>
              <w:spacing w:before="60" w:after="60"/>
              <w:rPr>
                <w:rFonts w:ascii="Arial" w:hAnsi="Arial" w:cs="Arial"/>
                <w:sz w:val="18"/>
                <w:szCs w:val="18"/>
              </w:rPr>
            </w:pPr>
            <w:r w:rsidRPr="00990D3B">
              <w:rPr>
                <w:rFonts w:ascii="Arial" w:hAnsi="Arial" w:cs="Arial"/>
                <w:sz w:val="18"/>
                <w:szCs w:val="18"/>
              </w:rPr>
              <w:t> </w:t>
            </w:r>
          </w:p>
        </w:tc>
        <w:tc>
          <w:tcPr>
            <w:tcW w:w="564" w:type="dxa"/>
          </w:tcPr>
          <w:p w:rsidR="00AB6BA6" w:rsidRPr="00990D3B" w:rsidP="005274DE" w14:paraId="7104D3F1" w14:textId="77777777">
            <w:pPr>
              <w:spacing w:before="60" w:after="60"/>
              <w:rPr>
                <w:rFonts w:ascii="Arial" w:hAnsi="Arial" w:cs="Arial"/>
                <w:sz w:val="18"/>
                <w:szCs w:val="18"/>
              </w:rPr>
            </w:pPr>
            <w:r w:rsidRPr="00990D3B">
              <w:rPr>
                <w:rFonts w:ascii="Arial" w:hAnsi="Arial" w:cs="Arial"/>
                <w:sz w:val="18"/>
                <w:szCs w:val="18"/>
              </w:rPr>
              <w:t> </w:t>
            </w:r>
          </w:p>
        </w:tc>
        <w:tc>
          <w:tcPr>
            <w:tcW w:w="3325" w:type="dxa"/>
          </w:tcPr>
          <w:p w:rsidR="00AB6BA6" w:rsidRPr="00990D3B" w:rsidP="005274DE" w14:paraId="6143AEA6" w14:textId="77777777">
            <w:pPr>
              <w:spacing w:before="60" w:after="60"/>
              <w:rPr>
                <w:rFonts w:ascii="Arial" w:hAnsi="Arial" w:cs="Arial"/>
                <w:sz w:val="18"/>
                <w:szCs w:val="18"/>
              </w:rPr>
            </w:pPr>
            <w:r w:rsidRPr="00990D3B">
              <w:rPr>
                <w:rFonts w:ascii="Arial" w:hAnsi="Arial" w:cs="Arial"/>
                <w:sz w:val="18"/>
                <w:szCs w:val="18"/>
              </w:rPr>
              <w:t> </w:t>
            </w:r>
          </w:p>
        </w:tc>
      </w:tr>
      <w:tr w14:paraId="3E7A2D73" w14:textId="77777777" w:rsidTr="00BD1FC3">
        <w:tblPrEx>
          <w:tblW w:w="0" w:type="auto"/>
          <w:tblLook w:val="04A0"/>
        </w:tblPrEx>
        <w:trPr>
          <w:cantSplit/>
        </w:trPr>
        <w:tc>
          <w:tcPr>
            <w:tcW w:w="4117" w:type="dxa"/>
          </w:tcPr>
          <w:p w:rsidR="00AB6BA6" w:rsidRPr="00990D3B" w:rsidP="008E08D0" w14:paraId="3A277FAA" w14:textId="77777777">
            <w:pPr>
              <w:pStyle w:val="EQRTableText"/>
            </w:pPr>
            <w:r w:rsidRPr="00990D3B">
              <w:t>5.7 If there were gaps in existing measures, did the MCP consider the following when developing new measures based on current clinical practice guidelines or health services research?</w:t>
            </w:r>
          </w:p>
          <w:p w:rsidR="00AB6BA6" w:rsidRPr="00990D3B" w:rsidP="00AB6BA6" w14:paraId="18596FB5" w14:textId="77777777">
            <w:pPr>
              <w:pStyle w:val="EQRTableTextbullet"/>
              <w:spacing w:line="240" w:lineRule="auto"/>
              <w:ind w:left="216" w:hanging="216"/>
            </w:pPr>
            <w:r w:rsidRPr="00990D3B">
              <w:t xml:space="preserve">Did the measure address </w:t>
            </w:r>
            <w:r w:rsidRPr="00990D3B">
              <w:t>accepted</w:t>
            </w:r>
            <w:r w:rsidRPr="00990D3B">
              <w:t xml:space="preserve"> clinical guidelines relevant to the PIP question?</w:t>
            </w:r>
          </w:p>
          <w:p w:rsidR="00AB6BA6" w:rsidRPr="00990D3B" w:rsidP="00AB6BA6" w14:paraId="3A1F2927" w14:textId="77777777">
            <w:pPr>
              <w:pStyle w:val="EQRTableTextbullet"/>
              <w:spacing w:line="240" w:lineRule="auto"/>
              <w:ind w:left="216" w:hanging="216"/>
            </w:pPr>
            <w:r w:rsidRPr="00990D3B">
              <w:t>Did the measure address an important aspect of care or operations that was meaningful to MCP enrollees?</w:t>
            </w:r>
          </w:p>
          <w:p w:rsidR="00AB6BA6" w:rsidRPr="00990D3B" w:rsidP="00AB6BA6" w14:paraId="587A9210" w14:textId="38B45E91">
            <w:pPr>
              <w:pStyle w:val="EQRTableTextbullet"/>
              <w:spacing w:line="240" w:lineRule="auto"/>
              <w:ind w:left="216" w:hanging="216"/>
            </w:pPr>
            <w:r w:rsidRPr="00990D3B">
              <w:t xml:space="preserve">Did available data sources allow the MCP to </w:t>
            </w:r>
            <w:r w:rsidRPr="00990D3B" w:rsidR="008309F6">
              <w:t>calculate the measure reliably and accurately</w:t>
            </w:r>
            <w:r w:rsidRPr="00990D3B">
              <w:t>?</w:t>
            </w:r>
          </w:p>
          <w:p w:rsidR="00AB6BA6" w:rsidRPr="00990D3B" w:rsidP="00AB6BA6" w14:paraId="714241EE" w14:textId="77777777">
            <w:pPr>
              <w:pStyle w:val="EQRTableTextbullet"/>
              <w:spacing w:line="240" w:lineRule="auto"/>
              <w:ind w:left="216" w:hanging="216"/>
            </w:pPr>
            <w:r w:rsidRPr="00990D3B">
              <w:t>Were all criteria used in the measure defined clearly (such as time periods, characteristics of eligible enrollees, services to be assessed, and exclusion criteria)?</w:t>
            </w:r>
          </w:p>
        </w:tc>
        <w:tc>
          <w:tcPr>
            <w:tcW w:w="639" w:type="dxa"/>
          </w:tcPr>
          <w:p w:rsidR="00AB6BA6" w:rsidRPr="00990D3B" w:rsidP="005274DE" w14:paraId="15E84AAA" w14:textId="77777777">
            <w:pPr>
              <w:spacing w:before="60" w:after="60"/>
              <w:rPr>
                <w:rFonts w:ascii="Arial" w:hAnsi="Arial" w:cs="Arial"/>
                <w:sz w:val="18"/>
                <w:szCs w:val="18"/>
              </w:rPr>
            </w:pPr>
            <w:r w:rsidRPr="00990D3B">
              <w:rPr>
                <w:rFonts w:ascii="Arial" w:hAnsi="Arial" w:cs="Arial"/>
                <w:sz w:val="18"/>
                <w:szCs w:val="18"/>
              </w:rPr>
              <w:t> </w:t>
            </w:r>
          </w:p>
        </w:tc>
        <w:tc>
          <w:tcPr>
            <w:tcW w:w="705" w:type="dxa"/>
          </w:tcPr>
          <w:p w:rsidR="00AB6BA6" w:rsidRPr="00990D3B" w:rsidP="005274DE" w14:paraId="0B851156" w14:textId="77777777">
            <w:pPr>
              <w:spacing w:before="60" w:after="60"/>
              <w:rPr>
                <w:rFonts w:ascii="Arial" w:hAnsi="Arial" w:cs="Arial"/>
                <w:sz w:val="18"/>
                <w:szCs w:val="18"/>
              </w:rPr>
            </w:pPr>
            <w:r w:rsidRPr="00990D3B">
              <w:rPr>
                <w:rFonts w:ascii="Arial" w:hAnsi="Arial" w:cs="Arial"/>
                <w:sz w:val="18"/>
                <w:szCs w:val="18"/>
              </w:rPr>
              <w:t> </w:t>
            </w:r>
          </w:p>
        </w:tc>
        <w:tc>
          <w:tcPr>
            <w:tcW w:w="564" w:type="dxa"/>
          </w:tcPr>
          <w:p w:rsidR="00AB6BA6" w:rsidRPr="00990D3B" w:rsidP="005274DE" w14:paraId="0AF6BEDA" w14:textId="77777777">
            <w:pPr>
              <w:spacing w:before="60" w:after="60"/>
              <w:rPr>
                <w:rFonts w:ascii="Arial" w:hAnsi="Arial" w:cs="Arial"/>
                <w:sz w:val="18"/>
                <w:szCs w:val="18"/>
              </w:rPr>
            </w:pPr>
            <w:r w:rsidRPr="00990D3B">
              <w:rPr>
                <w:rFonts w:ascii="Arial" w:hAnsi="Arial" w:cs="Arial"/>
                <w:sz w:val="18"/>
                <w:szCs w:val="18"/>
              </w:rPr>
              <w:t> </w:t>
            </w:r>
          </w:p>
        </w:tc>
        <w:tc>
          <w:tcPr>
            <w:tcW w:w="3325" w:type="dxa"/>
          </w:tcPr>
          <w:p w:rsidR="00AB6BA6" w:rsidRPr="00990D3B" w:rsidP="005274DE" w14:paraId="370463EC" w14:textId="77777777">
            <w:pPr>
              <w:spacing w:before="60" w:after="60"/>
              <w:rPr>
                <w:rFonts w:ascii="Arial" w:hAnsi="Arial" w:cs="Arial"/>
                <w:sz w:val="18"/>
                <w:szCs w:val="18"/>
              </w:rPr>
            </w:pPr>
            <w:r w:rsidRPr="00990D3B">
              <w:rPr>
                <w:rFonts w:ascii="Arial" w:hAnsi="Arial" w:cs="Arial"/>
                <w:sz w:val="18"/>
                <w:szCs w:val="18"/>
              </w:rPr>
              <w:t> </w:t>
            </w:r>
          </w:p>
        </w:tc>
      </w:tr>
      <w:tr w14:paraId="71A425B7" w14:textId="77777777" w:rsidTr="00BD1FC3">
        <w:tblPrEx>
          <w:tblW w:w="0" w:type="auto"/>
          <w:tblLook w:val="04A0"/>
        </w:tblPrEx>
        <w:trPr>
          <w:cantSplit/>
        </w:trPr>
        <w:tc>
          <w:tcPr>
            <w:tcW w:w="4117" w:type="dxa"/>
          </w:tcPr>
          <w:p w:rsidR="00AB6BA6" w:rsidRPr="00990D3B" w:rsidP="005274DE" w14:paraId="702E7103" w14:textId="77777777">
            <w:pPr>
              <w:pStyle w:val="EQRTableText"/>
            </w:pPr>
            <w:r w:rsidRPr="00990D3B">
              <w:t>5.8 Did the measures capture changes in enrollee satisfaction or experience of care?</w:t>
            </w:r>
          </w:p>
          <w:p w:rsidR="00AB6BA6" w:rsidRPr="00990D3B" w:rsidP="00AB6BA6" w14:paraId="40B270EF" w14:textId="77777777">
            <w:pPr>
              <w:pStyle w:val="EQRTableTextbullet"/>
              <w:spacing w:line="240" w:lineRule="auto"/>
              <w:ind w:left="216" w:hanging="216"/>
            </w:pPr>
            <w:r w:rsidRPr="00990D3B">
              <w:t>Although enrollee satisfaction/experience is an important outcome of care in clinical areas, improvement in satisfaction should not be the only measured outcome of a clinical project. Some improvement in health or functional status should also be addressed</w:t>
            </w:r>
          </w:p>
          <w:p w:rsidR="00AB6BA6" w:rsidRPr="00990D3B" w:rsidP="00AB6BA6" w14:paraId="18A34995" w14:textId="0BF21FE0">
            <w:pPr>
              <w:pStyle w:val="EQRTableTextbullet"/>
              <w:spacing w:line="240" w:lineRule="auto"/>
              <w:ind w:left="216" w:hanging="216"/>
            </w:pPr>
            <w:r w:rsidRPr="00990D3B">
              <w:t xml:space="preserve">For projects in </w:t>
            </w:r>
            <w:r w:rsidRPr="00990D3B" w:rsidR="00D72373">
              <w:t>non-clinical</w:t>
            </w:r>
            <w:r w:rsidRPr="00990D3B">
              <w:t xml:space="preserve"> areas (such as addressing access or availability of services), measurement of health or functional status is preferred</w:t>
            </w:r>
          </w:p>
        </w:tc>
        <w:tc>
          <w:tcPr>
            <w:tcW w:w="639" w:type="dxa"/>
          </w:tcPr>
          <w:p w:rsidR="00AB6BA6" w:rsidRPr="00990D3B" w:rsidP="005274DE" w14:paraId="4B4A9AEA" w14:textId="77777777">
            <w:pPr>
              <w:spacing w:before="60" w:after="60"/>
              <w:rPr>
                <w:rFonts w:ascii="Arial" w:hAnsi="Arial" w:cs="Arial"/>
                <w:sz w:val="18"/>
                <w:szCs w:val="18"/>
              </w:rPr>
            </w:pPr>
            <w:r w:rsidRPr="00990D3B">
              <w:rPr>
                <w:rFonts w:ascii="Arial" w:hAnsi="Arial" w:cs="Arial"/>
                <w:sz w:val="18"/>
                <w:szCs w:val="18"/>
              </w:rPr>
              <w:t> </w:t>
            </w:r>
          </w:p>
        </w:tc>
        <w:tc>
          <w:tcPr>
            <w:tcW w:w="705" w:type="dxa"/>
          </w:tcPr>
          <w:p w:rsidR="00AB6BA6" w:rsidRPr="00990D3B" w:rsidP="005274DE" w14:paraId="0825EF48" w14:textId="77777777">
            <w:pPr>
              <w:spacing w:before="60" w:after="60"/>
              <w:rPr>
                <w:rFonts w:ascii="Arial" w:hAnsi="Arial" w:cs="Arial"/>
                <w:sz w:val="18"/>
                <w:szCs w:val="18"/>
              </w:rPr>
            </w:pPr>
            <w:r w:rsidRPr="00990D3B">
              <w:rPr>
                <w:rFonts w:ascii="Arial" w:hAnsi="Arial" w:cs="Arial"/>
                <w:sz w:val="18"/>
                <w:szCs w:val="18"/>
              </w:rPr>
              <w:t> </w:t>
            </w:r>
          </w:p>
        </w:tc>
        <w:tc>
          <w:tcPr>
            <w:tcW w:w="564" w:type="dxa"/>
          </w:tcPr>
          <w:p w:rsidR="00AB6BA6" w:rsidRPr="00990D3B" w:rsidP="005274DE" w14:paraId="325962B1" w14:textId="77777777">
            <w:pPr>
              <w:spacing w:before="60" w:after="60"/>
              <w:rPr>
                <w:rFonts w:ascii="Arial" w:hAnsi="Arial" w:cs="Arial"/>
                <w:sz w:val="18"/>
                <w:szCs w:val="18"/>
              </w:rPr>
            </w:pPr>
            <w:r w:rsidRPr="00990D3B">
              <w:rPr>
                <w:rFonts w:ascii="Arial" w:hAnsi="Arial" w:cs="Arial"/>
                <w:sz w:val="18"/>
                <w:szCs w:val="18"/>
              </w:rPr>
              <w:t> </w:t>
            </w:r>
          </w:p>
        </w:tc>
        <w:tc>
          <w:tcPr>
            <w:tcW w:w="3325" w:type="dxa"/>
          </w:tcPr>
          <w:p w:rsidR="00AB6BA6" w:rsidRPr="00990D3B" w:rsidP="005274DE" w14:paraId="2A2BE95C" w14:textId="77777777">
            <w:pPr>
              <w:spacing w:before="60" w:after="60"/>
              <w:rPr>
                <w:rFonts w:ascii="Arial" w:hAnsi="Arial" w:cs="Arial"/>
                <w:sz w:val="18"/>
                <w:szCs w:val="18"/>
              </w:rPr>
            </w:pPr>
            <w:r w:rsidRPr="00990D3B">
              <w:rPr>
                <w:rFonts w:ascii="Arial" w:hAnsi="Arial" w:cs="Arial"/>
                <w:sz w:val="18"/>
                <w:szCs w:val="18"/>
              </w:rPr>
              <w:t> </w:t>
            </w:r>
          </w:p>
        </w:tc>
      </w:tr>
      <w:tr w14:paraId="10A6571B" w14:textId="77777777" w:rsidTr="00BD1FC3">
        <w:tblPrEx>
          <w:tblW w:w="0" w:type="auto"/>
          <w:tblLook w:val="04A0"/>
        </w:tblPrEx>
        <w:trPr>
          <w:cantSplit/>
        </w:trPr>
        <w:tc>
          <w:tcPr>
            <w:tcW w:w="4117" w:type="dxa"/>
          </w:tcPr>
          <w:p w:rsidR="00AB6BA6" w:rsidRPr="00990D3B" w:rsidP="00736376" w14:paraId="4147DFA2" w14:textId="77777777">
            <w:pPr>
              <w:pStyle w:val="EQRTableText"/>
            </w:pPr>
            <w:r w:rsidRPr="00990D3B">
              <w:t>5.9 Did the measures include a strategy to ensure inter-rater reliability (if applicable)?</w:t>
            </w:r>
          </w:p>
        </w:tc>
        <w:tc>
          <w:tcPr>
            <w:tcW w:w="639" w:type="dxa"/>
          </w:tcPr>
          <w:p w:rsidR="00AB6BA6" w:rsidRPr="00990D3B" w:rsidP="005274DE" w14:paraId="7D5B10F5" w14:textId="77777777">
            <w:pPr>
              <w:spacing w:before="60" w:after="60"/>
              <w:rPr>
                <w:rFonts w:ascii="Arial" w:hAnsi="Arial" w:cs="Arial"/>
                <w:sz w:val="18"/>
                <w:szCs w:val="18"/>
              </w:rPr>
            </w:pPr>
            <w:r w:rsidRPr="00990D3B">
              <w:rPr>
                <w:rFonts w:ascii="Arial" w:hAnsi="Arial" w:cs="Arial"/>
                <w:sz w:val="18"/>
                <w:szCs w:val="18"/>
              </w:rPr>
              <w:t> </w:t>
            </w:r>
          </w:p>
        </w:tc>
        <w:tc>
          <w:tcPr>
            <w:tcW w:w="705" w:type="dxa"/>
          </w:tcPr>
          <w:p w:rsidR="00AB6BA6" w:rsidRPr="00990D3B" w:rsidP="005274DE" w14:paraId="29A66F4E" w14:textId="77777777">
            <w:pPr>
              <w:spacing w:before="60" w:after="60"/>
              <w:rPr>
                <w:rFonts w:ascii="Arial" w:hAnsi="Arial" w:cs="Arial"/>
                <w:sz w:val="18"/>
                <w:szCs w:val="18"/>
              </w:rPr>
            </w:pPr>
            <w:r w:rsidRPr="00990D3B">
              <w:rPr>
                <w:rFonts w:ascii="Arial" w:hAnsi="Arial" w:cs="Arial"/>
                <w:sz w:val="18"/>
                <w:szCs w:val="18"/>
              </w:rPr>
              <w:t> </w:t>
            </w:r>
          </w:p>
        </w:tc>
        <w:tc>
          <w:tcPr>
            <w:tcW w:w="564" w:type="dxa"/>
          </w:tcPr>
          <w:p w:rsidR="00AB6BA6" w:rsidRPr="00990D3B" w:rsidP="005274DE" w14:paraId="7108D72E" w14:textId="77777777">
            <w:pPr>
              <w:spacing w:before="60" w:after="60"/>
              <w:rPr>
                <w:rFonts w:ascii="Arial" w:hAnsi="Arial" w:cs="Arial"/>
                <w:sz w:val="18"/>
                <w:szCs w:val="18"/>
              </w:rPr>
            </w:pPr>
            <w:r w:rsidRPr="00990D3B">
              <w:rPr>
                <w:rFonts w:ascii="Arial" w:hAnsi="Arial" w:cs="Arial"/>
                <w:sz w:val="18"/>
                <w:szCs w:val="18"/>
              </w:rPr>
              <w:t> </w:t>
            </w:r>
          </w:p>
        </w:tc>
        <w:tc>
          <w:tcPr>
            <w:tcW w:w="3325" w:type="dxa"/>
          </w:tcPr>
          <w:p w:rsidR="00AB6BA6" w:rsidRPr="00990D3B" w:rsidP="005274DE" w14:paraId="7B33E35D" w14:textId="77777777">
            <w:pPr>
              <w:spacing w:before="60" w:after="60"/>
              <w:rPr>
                <w:rFonts w:ascii="Arial" w:hAnsi="Arial" w:cs="Arial"/>
                <w:sz w:val="18"/>
                <w:szCs w:val="18"/>
              </w:rPr>
            </w:pPr>
            <w:r w:rsidRPr="00990D3B">
              <w:rPr>
                <w:rFonts w:ascii="Arial" w:hAnsi="Arial" w:cs="Arial"/>
                <w:sz w:val="18"/>
                <w:szCs w:val="18"/>
              </w:rPr>
              <w:t> </w:t>
            </w:r>
          </w:p>
        </w:tc>
      </w:tr>
      <w:tr w14:paraId="5CAD6165" w14:textId="77777777" w:rsidTr="00BD1FC3">
        <w:tblPrEx>
          <w:tblW w:w="0" w:type="auto"/>
          <w:tblLook w:val="04A0"/>
        </w:tblPrEx>
        <w:trPr>
          <w:cantSplit/>
        </w:trPr>
        <w:tc>
          <w:tcPr>
            <w:tcW w:w="4117" w:type="dxa"/>
          </w:tcPr>
          <w:p w:rsidR="00AB6BA6" w:rsidRPr="00990D3B" w:rsidP="005274DE" w14:paraId="58686513" w14:textId="77777777">
            <w:pPr>
              <w:pStyle w:val="EQRTableText"/>
            </w:pPr>
            <w:r w:rsidRPr="00990D3B">
              <w:t>5.9 If process measures were used, is there strong clinical evidence indicating that the process being measured is meaningfully associated with outcomes?</w:t>
            </w:r>
          </w:p>
          <w:p w:rsidR="00AB6BA6" w:rsidRPr="00990D3B" w:rsidP="00AB6BA6" w14:paraId="37FA6192" w14:textId="3A945B39">
            <w:pPr>
              <w:pStyle w:val="EQRTableTextbullet"/>
              <w:spacing w:line="240" w:lineRule="auto"/>
              <w:ind w:left="216" w:hanging="216"/>
            </w:pPr>
            <w:r w:rsidRPr="00990D3B">
              <w:t>This determination should be based on published guidelines, including citations from randomized clinical trials, case</w:t>
            </w:r>
            <w:r w:rsidRPr="00990D3B" w:rsidR="008B4BF5">
              <w:t>-</w:t>
            </w:r>
            <w:r w:rsidRPr="00990D3B">
              <w:t>control studies, or cohort studies</w:t>
            </w:r>
          </w:p>
          <w:p w:rsidR="00AB6BA6" w:rsidRPr="00990D3B" w:rsidP="00AB6BA6" w14:paraId="1B7DE573" w14:textId="77777777">
            <w:pPr>
              <w:pStyle w:val="EQRTableTextbullet"/>
              <w:spacing w:line="240" w:lineRule="auto"/>
              <w:ind w:left="216" w:hanging="216"/>
            </w:pPr>
            <w:r w:rsidRPr="00990D3B">
              <w:t>At a minimum, the PIP should be able to demonstrate a consensus among relevant practitioners with expertise in the defined area who attest to the importance of a given process</w:t>
            </w:r>
          </w:p>
        </w:tc>
        <w:tc>
          <w:tcPr>
            <w:tcW w:w="639" w:type="dxa"/>
          </w:tcPr>
          <w:p w:rsidR="00AB6BA6" w:rsidRPr="00990D3B" w:rsidP="005274DE" w14:paraId="47D82439" w14:textId="77777777">
            <w:pPr>
              <w:spacing w:before="60" w:after="60"/>
              <w:rPr>
                <w:rFonts w:ascii="Arial" w:hAnsi="Arial" w:cs="Arial"/>
                <w:sz w:val="18"/>
                <w:szCs w:val="18"/>
              </w:rPr>
            </w:pPr>
            <w:r w:rsidRPr="00990D3B">
              <w:rPr>
                <w:rFonts w:ascii="Arial" w:hAnsi="Arial" w:cs="Arial"/>
                <w:sz w:val="18"/>
                <w:szCs w:val="18"/>
              </w:rPr>
              <w:t> </w:t>
            </w:r>
          </w:p>
        </w:tc>
        <w:tc>
          <w:tcPr>
            <w:tcW w:w="705" w:type="dxa"/>
          </w:tcPr>
          <w:p w:rsidR="00AB6BA6" w:rsidRPr="00990D3B" w:rsidP="005274DE" w14:paraId="49F2886E" w14:textId="77777777">
            <w:pPr>
              <w:spacing w:before="60" w:after="60"/>
              <w:rPr>
                <w:rFonts w:ascii="Arial" w:hAnsi="Arial" w:cs="Arial"/>
                <w:sz w:val="18"/>
                <w:szCs w:val="18"/>
              </w:rPr>
            </w:pPr>
            <w:r w:rsidRPr="00990D3B">
              <w:rPr>
                <w:rFonts w:ascii="Arial" w:hAnsi="Arial" w:cs="Arial"/>
                <w:sz w:val="18"/>
                <w:szCs w:val="18"/>
              </w:rPr>
              <w:t> </w:t>
            </w:r>
          </w:p>
        </w:tc>
        <w:tc>
          <w:tcPr>
            <w:tcW w:w="564" w:type="dxa"/>
          </w:tcPr>
          <w:p w:rsidR="00AB6BA6" w:rsidRPr="00990D3B" w:rsidP="005274DE" w14:paraId="7868C91C" w14:textId="77777777">
            <w:pPr>
              <w:spacing w:before="60" w:after="60"/>
              <w:rPr>
                <w:rFonts w:ascii="Arial" w:hAnsi="Arial" w:cs="Arial"/>
                <w:sz w:val="18"/>
                <w:szCs w:val="18"/>
              </w:rPr>
            </w:pPr>
            <w:r w:rsidRPr="00990D3B">
              <w:rPr>
                <w:rFonts w:ascii="Arial" w:hAnsi="Arial" w:cs="Arial"/>
                <w:sz w:val="18"/>
                <w:szCs w:val="18"/>
              </w:rPr>
              <w:t> </w:t>
            </w:r>
          </w:p>
        </w:tc>
        <w:tc>
          <w:tcPr>
            <w:tcW w:w="3325" w:type="dxa"/>
          </w:tcPr>
          <w:p w:rsidR="00AB6BA6" w:rsidRPr="00990D3B" w:rsidP="005274DE" w14:paraId="66F83F9D" w14:textId="77777777">
            <w:pPr>
              <w:spacing w:before="60" w:after="60"/>
              <w:rPr>
                <w:rFonts w:ascii="Arial" w:hAnsi="Arial" w:cs="Arial"/>
                <w:sz w:val="18"/>
                <w:szCs w:val="18"/>
              </w:rPr>
            </w:pPr>
            <w:r w:rsidRPr="00990D3B">
              <w:rPr>
                <w:rFonts w:ascii="Arial" w:hAnsi="Arial" w:cs="Arial"/>
                <w:sz w:val="18"/>
                <w:szCs w:val="18"/>
              </w:rPr>
              <w:t> </w:t>
            </w:r>
          </w:p>
        </w:tc>
      </w:tr>
      <w:tr w14:paraId="6FA56268" w14:textId="77777777" w:rsidTr="00BD1FC3">
        <w:tblPrEx>
          <w:tblW w:w="0" w:type="auto"/>
          <w:tblLook w:val="04A0"/>
        </w:tblPrEx>
        <w:trPr>
          <w:cantSplit/>
        </w:trPr>
        <w:tc>
          <w:tcPr>
            <w:tcW w:w="4117" w:type="dxa"/>
          </w:tcPr>
          <w:p w:rsidR="00AB6BA6" w:rsidRPr="00990D3B" w:rsidP="005274DE" w14:paraId="027E4719" w14:textId="77777777">
            <w:pPr>
              <w:pStyle w:val="EQRTableText"/>
            </w:pPr>
            <w:r w:rsidRPr="00990D3B">
              <w:t>5.10 Overall assessment: In the comments section, note any recommendations for improving the selected PIP variables and performance measures.</w:t>
            </w:r>
          </w:p>
        </w:tc>
        <w:tc>
          <w:tcPr>
            <w:tcW w:w="639" w:type="dxa"/>
            <w:shd w:val="clear" w:color="auto" w:fill="D9D9D9" w:themeFill="background1" w:themeFillShade="D9"/>
          </w:tcPr>
          <w:p w:rsidR="00AB6BA6" w:rsidRPr="00990D3B" w:rsidP="005274DE" w14:paraId="417A30AC" w14:textId="77777777">
            <w:pPr>
              <w:pStyle w:val="EQRTableText"/>
            </w:pPr>
            <w:r w:rsidRPr="00990D3B">
              <w:t> </w:t>
            </w:r>
          </w:p>
        </w:tc>
        <w:tc>
          <w:tcPr>
            <w:tcW w:w="705" w:type="dxa"/>
            <w:shd w:val="clear" w:color="auto" w:fill="D9D9D9" w:themeFill="background1" w:themeFillShade="D9"/>
          </w:tcPr>
          <w:p w:rsidR="00AB6BA6" w:rsidRPr="00990D3B" w:rsidP="005274DE" w14:paraId="07A9FEDF" w14:textId="77777777">
            <w:pPr>
              <w:pStyle w:val="EQRTableText"/>
            </w:pPr>
            <w:r w:rsidRPr="00990D3B">
              <w:t> </w:t>
            </w:r>
          </w:p>
        </w:tc>
        <w:tc>
          <w:tcPr>
            <w:tcW w:w="564" w:type="dxa"/>
            <w:shd w:val="clear" w:color="auto" w:fill="D9D9D9" w:themeFill="background1" w:themeFillShade="D9"/>
          </w:tcPr>
          <w:p w:rsidR="00AB6BA6" w:rsidRPr="00990D3B" w:rsidP="005274DE" w14:paraId="1FA366F6" w14:textId="77777777">
            <w:pPr>
              <w:pStyle w:val="EQRTableText"/>
            </w:pPr>
            <w:r w:rsidRPr="00990D3B">
              <w:t> </w:t>
            </w:r>
          </w:p>
        </w:tc>
        <w:tc>
          <w:tcPr>
            <w:tcW w:w="3325" w:type="dxa"/>
          </w:tcPr>
          <w:p w:rsidR="00AB6BA6" w:rsidRPr="00990D3B" w:rsidP="005274DE" w14:paraId="5AB1BCD0" w14:textId="77777777">
            <w:pPr>
              <w:pStyle w:val="EQRTableText"/>
            </w:pPr>
            <w:r w:rsidRPr="00990D3B">
              <w:t> </w:t>
            </w:r>
          </w:p>
        </w:tc>
      </w:tr>
    </w:tbl>
    <w:p w:rsidR="00FC0CEF" w:rsidRPr="00990D3B" w:rsidP="00B5252D" w14:paraId="4D3C4356" w14:textId="77777777">
      <w:pPr>
        <w:pStyle w:val="ParagraphContinued"/>
      </w:pPr>
    </w:p>
    <w:p w:rsidR="00053BDB" w:rsidRPr="00990D3B" w14:paraId="31AC726D" w14:textId="6E256884">
      <w:pPr>
        <w:spacing w:line="240" w:lineRule="auto"/>
        <w:rPr>
          <w:rFonts w:ascii="Arial" w:eastAsia="Calibri" w:hAnsi="Arial"/>
          <w:sz w:val="22"/>
          <w:szCs w:val="23"/>
        </w:rPr>
      </w:pPr>
      <w:r w:rsidRPr="00990D3B">
        <w:br w:type="page"/>
      </w:r>
    </w:p>
    <w:p w:rsidR="00AB6BA6" w:rsidRPr="00990D3B" w:rsidP="00BD1FC3" w14:paraId="13036701" w14:textId="798933C7">
      <w:pPr>
        <w:pStyle w:val="EQRMarkforExhibitWORKSHEET"/>
      </w:pPr>
      <w:bookmarkStart w:id="199" w:name="WSp1n6"/>
      <w:bookmarkStart w:id="200" w:name="_Toc125619138"/>
      <w:bookmarkStart w:id="201" w:name="_Toc201751483"/>
      <w:r w:rsidRPr="00990D3B">
        <w:t>Worksheet 1.6</w:t>
      </w:r>
      <w:bookmarkEnd w:id="199"/>
      <w:r w:rsidRPr="00990D3B">
        <w:t xml:space="preserve">. </w:t>
      </w:r>
      <w:r w:rsidRPr="00990D3B">
        <w:t>Review</w:t>
      </w:r>
      <w:r w:rsidRPr="00990D3B">
        <w:t xml:space="preserve"> the </w:t>
      </w:r>
      <w:r w:rsidRPr="00990D3B" w:rsidR="007D5CC7">
        <w:t xml:space="preserve">PIP </w:t>
      </w:r>
      <w:r w:rsidRPr="00990D3B">
        <w:t>Data Collection Procedures</w:t>
      </w:r>
      <w:bookmarkEnd w:id="200"/>
      <w:bookmarkEnd w:id="201"/>
    </w:p>
    <w:p w:rsidR="00AB6BA6" w:rsidRPr="00990D3B" w:rsidP="00BD1FC3" w14:paraId="04934884" w14:textId="58755583">
      <w:pPr>
        <w:pStyle w:val="EQRNormalSSWORKSHEET"/>
      </w:pPr>
      <w:r w:rsidRPr="00990D3B">
        <w:rPr>
          <w:b/>
          <w:bCs/>
        </w:rPr>
        <w:t xml:space="preserve">Instructions. </w:t>
      </w:r>
      <w:r w:rsidRPr="00990D3B">
        <w:t xml:space="preserve">Assess whether the </w:t>
      </w:r>
      <w:r w:rsidRPr="00990D3B" w:rsidR="007D5CC7">
        <w:t xml:space="preserve">PIP </w:t>
      </w:r>
      <w:r w:rsidRPr="00990D3B">
        <w:t xml:space="preserve">data collection procedures were valid and reliable by answering the following questions. This worksheet includes three sections: (1) overall data collection procedures, (2) data collection procedures for administrative data sources, and (3) data collection procedures for medical record review. Insert comments to explain “No” and “Not Applicable” responses. </w:t>
      </w:r>
    </w:p>
    <w:p w:rsidR="00FC0CEF" w:rsidRPr="00990D3B" w:rsidP="00BD1FC3" w14:paraId="581A770D" w14:textId="0AA8F3AB">
      <w:pPr>
        <w:rPr>
          <w:rFonts w:ascii="Arial" w:hAnsi="Arial" w:cs="Arial"/>
          <w:sz w:val="20"/>
        </w:rPr>
      </w:pPr>
      <w:r w:rsidRPr="00990D3B">
        <w:rPr>
          <w:rFonts w:asciiTheme="majorHAnsi" w:hAnsiTheme="majorHAnsi" w:cstheme="majorHAnsi"/>
          <w:sz w:val="18"/>
          <w:szCs w:val="18"/>
        </w:rPr>
        <w:t>Acronyms: EHR = Electronic Health Record; EVV = Electronic Visit Verification; LTSS = Long-Term Services and Supports; NA = Not Applicable; PIP = Performance Improvement Project.</w:t>
      </w:r>
    </w:p>
    <w:p w:rsidR="00AB6BA6" w:rsidRPr="00990D3B" w:rsidP="002B40CC" w14:paraId="21519771" w14:textId="0B65B697">
      <w:pPr>
        <w:pStyle w:val="H2EQRWorksheet"/>
      </w:pPr>
      <w:r w:rsidRPr="00990D3B">
        <w:t>Section 1: Assessment of Overall Data Collection Procedures</w:t>
      </w:r>
    </w:p>
    <w:tbl>
      <w:tblPr>
        <w:tblStyle w:val="TableGrid"/>
        <w:tblW w:w="0" w:type="auto"/>
        <w:tblLook w:val="04A0"/>
      </w:tblPr>
      <w:tblGrid>
        <w:gridCol w:w="4113"/>
        <w:gridCol w:w="646"/>
        <w:gridCol w:w="613"/>
        <w:gridCol w:w="653"/>
        <w:gridCol w:w="3325"/>
      </w:tblGrid>
      <w:tr w14:paraId="64C3456C" w14:textId="77777777" w:rsidTr="00BD1FC3">
        <w:tblPrEx>
          <w:tblW w:w="0" w:type="auto"/>
          <w:tblLook w:val="04A0"/>
        </w:tblPrEx>
        <w:trPr>
          <w:cantSplit/>
          <w:tblHeader/>
        </w:trPr>
        <w:tc>
          <w:tcPr>
            <w:tcW w:w="4113" w:type="dxa"/>
            <w:vAlign w:val="bottom"/>
          </w:tcPr>
          <w:p w:rsidR="00AB6BA6" w:rsidRPr="00990D3B" w:rsidP="005274DE" w14:paraId="522B9953" w14:textId="77777777">
            <w:pPr>
              <w:pStyle w:val="EQRTableHeaderLeft"/>
              <w:rPr>
                <w:color w:val="auto"/>
              </w:rPr>
            </w:pPr>
            <w:r w:rsidRPr="00990D3B">
              <w:rPr>
                <w:color w:val="auto"/>
              </w:rPr>
              <w:t>Question</w:t>
            </w:r>
          </w:p>
        </w:tc>
        <w:tc>
          <w:tcPr>
            <w:tcW w:w="646" w:type="dxa"/>
            <w:vAlign w:val="bottom"/>
          </w:tcPr>
          <w:p w:rsidR="00AB6BA6" w:rsidRPr="00990D3B" w:rsidP="005274DE" w14:paraId="6DA5E5BC" w14:textId="77777777">
            <w:pPr>
              <w:pStyle w:val="EQRTableHeaderCenter"/>
              <w:rPr>
                <w:color w:val="auto"/>
              </w:rPr>
            </w:pPr>
            <w:r w:rsidRPr="00990D3B">
              <w:rPr>
                <w:color w:val="auto"/>
              </w:rPr>
              <w:t>Yes</w:t>
            </w:r>
          </w:p>
        </w:tc>
        <w:tc>
          <w:tcPr>
            <w:tcW w:w="613" w:type="dxa"/>
            <w:vAlign w:val="bottom"/>
          </w:tcPr>
          <w:p w:rsidR="00AB6BA6" w:rsidRPr="00990D3B" w:rsidP="005274DE" w14:paraId="106B3C4F" w14:textId="77777777">
            <w:pPr>
              <w:pStyle w:val="EQRTableHeaderCenter"/>
              <w:rPr>
                <w:color w:val="auto"/>
              </w:rPr>
            </w:pPr>
            <w:r w:rsidRPr="00990D3B">
              <w:rPr>
                <w:color w:val="auto"/>
              </w:rPr>
              <w:t>No</w:t>
            </w:r>
          </w:p>
        </w:tc>
        <w:tc>
          <w:tcPr>
            <w:tcW w:w="653" w:type="dxa"/>
            <w:vAlign w:val="bottom"/>
          </w:tcPr>
          <w:p w:rsidR="00AB6BA6" w:rsidRPr="00990D3B" w:rsidP="005274DE" w14:paraId="7CF56276" w14:textId="77777777">
            <w:pPr>
              <w:pStyle w:val="EQRTableHeaderCenter"/>
              <w:rPr>
                <w:color w:val="auto"/>
              </w:rPr>
            </w:pPr>
            <w:r w:rsidRPr="00990D3B">
              <w:rPr>
                <w:color w:val="auto"/>
              </w:rPr>
              <w:t>NA</w:t>
            </w:r>
          </w:p>
        </w:tc>
        <w:tc>
          <w:tcPr>
            <w:tcW w:w="3325" w:type="dxa"/>
            <w:vAlign w:val="bottom"/>
          </w:tcPr>
          <w:p w:rsidR="00AB6BA6" w:rsidRPr="00990D3B" w:rsidP="005274DE" w14:paraId="6CCF38CF" w14:textId="77777777">
            <w:pPr>
              <w:pStyle w:val="EQRTableHeaderCenter"/>
              <w:rPr>
                <w:color w:val="auto"/>
              </w:rPr>
            </w:pPr>
            <w:r w:rsidRPr="00990D3B">
              <w:rPr>
                <w:color w:val="auto"/>
              </w:rPr>
              <w:t>Comments</w:t>
            </w:r>
          </w:p>
        </w:tc>
      </w:tr>
      <w:tr w14:paraId="47C3E8C9" w14:textId="77777777" w:rsidTr="00BD1FC3">
        <w:tblPrEx>
          <w:tblW w:w="0" w:type="auto"/>
          <w:tblLook w:val="04A0"/>
        </w:tblPrEx>
        <w:trPr>
          <w:cantSplit/>
        </w:trPr>
        <w:tc>
          <w:tcPr>
            <w:tcW w:w="4113" w:type="dxa"/>
          </w:tcPr>
          <w:p w:rsidR="00AB6BA6" w:rsidRPr="00990D3B" w:rsidP="005274DE" w14:paraId="324B338D" w14:textId="713C7008">
            <w:pPr>
              <w:pStyle w:val="EQRTableText"/>
            </w:pPr>
            <w:r w:rsidRPr="00990D3B">
              <w:t xml:space="preserve">6.1 Did the PIP design specify a systematic method for collecting valid and reliable data </w:t>
            </w:r>
            <w:r w:rsidRPr="00990D3B" w:rsidR="005776AD">
              <w:t>representing</w:t>
            </w:r>
            <w:r w:rsidRPr="00990D3B">
              <w:t xml:space="preserve"> the population in the PIP?</w:t>
            </w:r>
          </w:p>
        </w:tc>
        <w:tc>
          <w:tcPr>
            <w:tcW w:w="646" w:type="dxa"/>
          </w:tcPr>
          <w:p w:rsidR="00AB6BA6" w:rsidRPr="00990D3B" w:rsidP="005274DE" w14:paraId="0A05709B" w14:textId="77777777">
            <w:pPr>
              <w:pStyle w:val="EQRTableText"/>
            </w:pPr>
            <w:r w:rsidRPr="00990D3B">
              <w:t> </w:t>
            </w:r>
          </w:p>
        </w:tc>
        <w:tc>
          <w:tcPr>
            <w:tcW w:w="613" w:type="dxa"/>
          </w:tcPr>
          <w:p w:rsidR="00AB6BA6" w:rsidRPr="00990D3B" w:rsidP="005274DE" w14:paraId="0DBDAF9F" w14:textId="77777777">
            <w:pPr>
              <w:pStyle w:val="EQRTableText"/>
            </w:pPr>
            <w:r w:rsidRPr="00990D3B">
              <w:t> </w:t>
            </w:r>
          </w:p>
        </w:tc>
        <w:tc>
          <w:tcPr>
            <w:tcW w:w="653" w:type="dxa"/>
          </w:tcPr>
          <w:p w:rsidR="00AB6BA6" w:rsidRPr="00990D3B" w:rsidP="005274DE" w14:paraId="41071AE9" w14:textId="77777777">
            <w:pPr>
              <w:pStyle w:val="EQRTableText"/>
            </w:pPr>
            <w:r w:rsidRPr="00990D3B">
              <w:t> </w:t>
            </w:r>
          </w:p>
        </w:tc>
        <w:tc>
          <w:tcPr>
            <w:tcW w:w="3325" w:type="dxa"/>
          </w:tcPr>
          <w:p w:rsidR="00AB6BA6" w:rsidRPr="00990D3B" w:rsidP="005274DE" w14:paraId="48A046AB" w14:textId="77777777">
            <w:pPr>
              <w:pStyle w:val="EQRTableText"/>
            </w:pPr>
            <w:r w:rsidRPr="00990D3B">
              <w:t> </w:t>
            </w:r>
          </w:p>
        </w:tc>
      </w:tr>
      <w:tr w14:paraId="1D653ADC" w14:textId="77777777" w:rsidTr="00BD1FC3">
        <w:tblPrEx>
          <w:tblW w:w="0" w:type="auto"/>
          <w:tblLook w:val="04A0"/>
        </w:tblPrEx>
        <w:trPr>
          <w:cantSplit/>
        </w:trPr>
        <w:tc>
          <w:tcPr>
            <w:tcW w:w="4113" w:type="dxa"/>
          </w:tcPr>
          <w:p w:rsidR="00AB6BA6" w:rsidRPr="00990D3B" w:rsidP="00E5187E" w14:paraId="41C6389E" w14:textId="77777777">
            <w:pPr>
              <w:pStyle w:val="EQRTableText"/>
            </w:pPr>
            <w:r w:rsidRPr="00990D3B">
              <w:t xml:space="preserve">6.2 Did the PIP design specify the frequency of data collection? If yes, what was the frequency (for example, semi-annually)? </w:t>
            </w:r>
          </w:p>
        </w:tc>
        <w:tc>
          <w:tcPr>
            <w:tcW w:w="646" w:type="dxa"/>
          </w:tcPr>
          <w:p w:rsidR="00AB6BA6" w:rsidRPr="00990D3B" w:rsidP="005274DE" w14:paraId="6C76D7D1" w14:textId="77777777">
            <w:pPr>
              <w:pStyle w:val="EQRTableText"/>
            </w:pPr>
            <w:r w:rsidRPr="00990D3B">
              <w:t> </w:t>
            </w:r>
          </w:p>
        </w:tc>
        <w:tc>
          <w:tcPr>
            <w:tcW w:w="613" w:type="dxa"/>
          </w:tcPr>
          <w:p w:rsidR="00AB6BA6" w:rsidRPr="00990D3B" w:rsidP="005274DE" w14:paraId="264265A3" w14:textId="77777777">
            <w:pPr>
              <w:pStyle w:val="EQRTableText"/>
            </w:pPr>
            <w:r w:rsidRPr="00990D3B">
              <w:t> </w:t>
            </w:r>
          </w:p>
        </w:tc>
        <w:tc>
          <w:tcPr>
            <w:tcW w:w="653" w:type="dxa"/>
          </w:tcPr>
          <w:p w:rsidR="00AB6BA6" w:rsidRPr="00990D3B" w:rsidP="005274DE" w14:paraId="5C41E9AB" w14:textId="77777777">
            <w:pPr>
              <w:pStyle w:val="EQRTableText"/>
            </w:pPr>
            <w:r w:rsidRPr="00990D3B">
              <w:t> </w:t>
            </w:r>
          </w:p>
        </w:tc>
        <w:tc>
          <w:tcPr>
            <w:tcW w:w="3325" w:type="dxa"/>
          </w:tcPr>
          <w:p w:rsidR="00AB6BA6" w:rsidRPr="00990D3B" w:rsidP="005274DE" w14:paraId="67AE1B96" w14:textId="77777777">
            <w:pPr>
              <w:pStyle w:val="EQRTableText"/>
            </w:pPr>
            <w:r w:rsidRPr="00990D3B">
              <w:t> </w:t>
            </w:r>
          </w:p>
        </w:tc>
      </w:tr>
      <w:tr w14:paraId="216642FB" w14:textId="77777777" w:rsidTr="00BD1FC3">
        <w:tblPrEx>
          <w:tblW w:w="0" w:type="auto"/>
          <w:tblLook w:val="04A0"/>
        </w:tblPrEx>
        <w:trPr>
          <w:cantSplit/>
        </w:trPr>
        <w:tc>
          <w:tcPr>
            <w:tcW w:w="4113" w:type="dxa"/>
          </w:tcPr>
          <w:p w:rsidR="00AB6BA6" w:rsidRPr="00990D3B" w:rsidP="005274DE" w14:paraId="4F8FDCF1" w14:textId="77777777">
            <w:pPr>
              <w:pStyle w:val="EQRTableText"/>
            </w:pPr>
            <w:r w:rsidRPr="00990D3B">
              <w:t>6.3 Did the PIP design clearly specify the data sources?</w:t>
            </w:r>
          </w:p>
          <w:p w:rsidR="00AB6BA6" w:rsidRPr="00990D3B" w:rsidP="00AB6BA6" w14:paraId="5D1BED47" w14:textId="77777777">
            <w:pPr>
              <w:pStyle w:val="EQRTableTextbullet"/>
              <w:spacing w:line="240" w:lineRule="auto"/>
              <w:ind w:left="216" w:hanging="216"/>
            </w:pPr>
            <w:r w:rsidRPr="00990D3B">
              <w:t>Data sources may include:</w:t>
            </w:r>
          </w:p>
          <w:p w:rsidR="00AB6BA6" w:rsidRPr="00990D3B" w:rsidP="00F96E5F" w14:paraId="136AB3EF" w14:textId="77777777">
            <w:pPr>
              <w:pStyle w:val="EQRTableTextbullet2ndlevel"/>
            </w:pPr>
            <w:r w:rsidRPr="00990D3B">
              <w:t>Encounter and claims systems</w:t>
            </w:r>
          </w:p>
          <w:p w:rsidR="00AB6BA6" w:rsidRPr="00990D3B" w:rsidP="00F96E5F" w14:paraId="7F8583F4" w14:textId="77777777">
            <w:pPr>
              <w:pStyle w:val="EQRTableTextbullet2ndlevel"/>
            </w:pPr>
            <w:r w:rsidRPr="00990D3B">
              <w:t>Medical records</w:t>
            </w:r>
          </w:p>
          <w:p w:rsidR="00AB6BA6" w:rsidRPr="00990D3B" w:rsidP="00F96E5F" w14:paraId="40242752" w14:textId="77777777">
            <w:pPr>
              <w:pStyle w:val="EQRTableTextbullet2ndlevel"/>
            </w:pPr>
            <w:r w:rsidRPr="00990D3B">
              <w:t xml:space="preserve">Case management or electronic visit verification systems </w:t>
            </w:r>
          </w:p>
          <w:p w:rsidR="00AB6BA6" w:rsidRPr="00990D3B" w:rsidP="00F96E5F" w14:paraId="46053C0C" w14:textId="77777777">
            <w:pPr>
              <w:pStyle w:val="EQRTableTextbullet2ndlevel"/>
            </w:pPr>
            <w:r w:rsidRPr="00990D3B">
              <w:t>Tracking logs</w:t>
            </w:r>
          </w:p>
          <w:p w:rsidR="00AB6BA6" w:rsidRPr="00990D3B" w:rsidP="00F96E5F" w14:paraId="51DD683B" w14:textId="77777777">
            <w:pPr>
              <w:pStyle w:val="EQRTableTextbullet2ndlevel"/>
            </w:pPr>
            <w:r w:rsidRPr="00990D3B">
              <w:t>Surveys</w:t>
            </w:r>
          </w:p>
          <w:p w:rsidR="00AB6BA6" w:rsidRPr="00990D3B" w:rsidP="00F96E5F" w14:paraId="35F49167" w14:textId="77777777">
            <w:pPr>
              <w:pStyle w:val="EQRTableTextbullet2ndlevel"/>
            </w:pPr>
            <w:r w:rsidRPr="00990D3B">
              <w:t xml:space="preserve">Provider and/or enrollee interviews </w:t>
            </w:r>
          </w:p>
        </w:tc>
        <w:tc>
          <w:tcPr>
            <w:tcW w:w="646" w:type="dxa"/>
          </w:tcPr>
          <w:p w:rsidR="00AB6BA6" w:rsidRPr="00990D3B" w:rsidP="005274DE" w14:paraId="027ADA76" w14:textId="77777777">
            <w:pPr>
              <w:pStyle w:val="EQRTableText"/>
            </w:pPr>
            <w:r w:rsidRPr="00990D3B">
              <w:t> </w:t>
            </w:r>
          </w:p>
        </w:tc>
        <w:tc>
          <w:tcPr>
            <w:tcW w:w="613" w:type="dxa"/>
          </w:tcPr>
          <w:p w:rsidR="00AB6BA6" w:rsidRPr="00990D3B" w:rsidP="005274DE" w14:paraId="3E1BA3A1" w14:textId="77777777">
            <w:pPr>
              <w:pStyle w:val="EQRTableText"/>
            </w:pPr>
            <w:r w:rsidRPr="00990D3B">
              <w:t> </w:t>
            </w:r>
          </w:p>
        </w:tc>
        <w:tc>
          <w:tcPr>
            <w:tcW w:w="653" w:type="dxa"/>
          </w:tcPr>
          <w:p w:rsidR="00AB6BA6" w:rsidRPr="00990D3B" w:rsidP="005274DE" w14:paraId="45612B43" w14:textId="77777777">
            <w:pPr>
              <w:pStyle w:val="EQRTableText"/>
            </w:pPr>
            <w:r w:rsidRPr="00990D3B">
              <w:t> </w:t>
            </w:r>
          </w:p>
        </w:tc>
        <w:tc>
          <w:tcPr>
            <w:tcW w:w="3325" w:type="dxa"/>
          </w:tcPr>
          <w:p w:rsidR="00AB6BA6" w:rsidRPr="00990D3B" w:rsidP="005274DE" w14:paraId="3BC576AB" w14:textId="77777777">
            <w:pPr>
              <w:pStyle w:val="EQRTableText"/>
            </w:pPr>
            <w:r w:rsidRPr="00990D3B">
              <w:t> </w:t>
            </w:r>
          </w:p>
        </w:tc>
      </w:tr>
      <w:tr w14:paraId="7E4253C3" w14:textId="77777777" w:rsidTr="00BD1FC3">
        <w:tblPrEx>
          <w:tblW w:w="0" w:type="auto"/>
          <w:tblLook w:val="04A0"/>
        </w:tblPrEx>
        <w:trPr>
          <w:cantSplit/>
        </w:trPr>
        <w:tc>
          <w:tcPr>
            <w:tcW w:w="4113" w:type="dxa"/>
          </w:tcPr>
          <w:p w:rsidR="00AB6BA6" w:rsidRPr="00990D3B" w:rsidP="005274DE" w14:paraId="6B246E3F" w14:textId="77777777">
            <w:pPr>
              <w:pStyle w:val="EQRTableText"/>
            </w:pPr>
            <w:r w:rsidRPr="00990D3B">
              <w:t xml:space="preserve">6.4 Did the PIP design clearly define the data elements to be collected? </w:t>
            </w:r>
          </w:p>
          <w:p w:rsidR="00AB6BA6" w:rsidRPr="00990D3B" w:rsidP="00AB6BA6" w14:paraId="6FA669A2" w14:textId="77777777">
            <w:pPr>
              <w:pStyle w:val="EQRTableTextbullet"/>
              <w:spacing w:line="240" w:lineRule="auto"/>
              <w:ind w:left="216" w:hanging="216"/>
            </w:pPr>
            <w:r w:rsidRPr="00990D3B">
              <w:t>Accurate measurement depends on clear and concise definitions of data elements (including numerical definitions and units of measure)</w:t>
            </w:r>
          </w:p>
        </w:tc>
        <w:tc>
          <w:tcPr>
            <w:tcW w:w="646" w:type="dxa"/>
          </w:tcPr>
          <w:p w:rsidR="00AB6BA6" w:rsidRPr="00990D3B" w:rsidP="005274DE" w14:paraId="5E2F6AB4" w14:textId="77777777">
            <w:pPr>
              <w:pStyle w:val="EQRTableText"/>
            </w:pPr>
            <w:r w:rsidRPr="00990D3B">
              <w:t> </w:t>
            </w:r>
          </w:p>
        </w:tc>
        <w:tc>
          <w:tcPr>
            <w:tcW w:w="613" w:type="dxa"/>
          </w:tcPr>
          <w:p w:rsidR="00AB6BA6" w:rsidRPr="00990D3B" w:rsidP="005274DE" w14:paraId="5C1D6929" w14:textId="77777777">
            <w:pPr>
              <w:pStyle w:val="EQRTableText"/>
            </w:pPr>
            <w:r w:rsidRPr="00990D3B">
              <w:t> </w:t>
            </w:r>
          </w:p>
        </w:tc>
        <w:tc>
          <w:tcPr>
            <w:tcW w:w="653" w:type="dxa"/>
          </w:tcPr>
          <w:p w:rsidR="00AB6BA6" w:rsidRPr="00990D3B" w:rsidP="005274DE" w14:paraId="6F5827B4" w14:textId="77777777">
            <w:pPr>
              <w:pStyle w:val="EQRTableText"/>
            </w:pPr>
            <w:r w:rsidRPr="00990D3B">
              <w:t> </w:t>
            </w:r>
          </w:p>
        </w:tc>
        <w:tc>
          <w:tcPr>
            <w:tcW w:w="3325" w:type="dxa"/>
          </w:tcPr>
          <w:p w:rsidR="00AB6BA6" w:rsidRPr="00990D3B" w:rsidP="005274DE" w14:paraId="23F80E1E" w14:textId="77777777">
            <w:pPr>
              <w:pStyle w:val="EQRTableText"/>
            </w:pPr>
            <w:r w:rsidRPr="00990D3B">
              <w:t> </w:t>
            </w:r>
          </w:p>
        </w:tc>
      </w:tr>
      <w:tr w14:paraId="168DDFD7" w14:textId="77777777" w:rsidTr="00BD1FC3">
        <w:tblPrEx>
          <w:tblW w:w="0" w:type="auto"/>
          <w:tblLook w:val="04A0"/>
        </w:tblPrEx>
        <w:trPr>
          <w:cantSplit/>
        </w:trPr>
        <w:tc>
          <w:tcPr>
            <w:tcW w:w="4113" w:type="dxa"/>
          </w:tcPr>
          <w:p w:rsidR="00AB6BA6" w:rsidRPr="00990D3B" w:rsidP="0064101C" w14:paraId="519448E3" w14:textId="0BA6CB89">
            <w:pPr>
              <w:pStyle w:val="EQRTableText"/>
            </w:pPr>
            <w:r w:rsidRPr="00990D3B">
              <w:t>6.5 Did the data collection plan link to the data analysis plan to ensure appropriate data would be available for the PIP?</w:t>
            </w:r>
          </w:p>
        </w:tc>
        <w:tc>
          <w:tcPr>
            <w:tcW w:w="646" w:type="dxa"/>
          </w:tcPr>
          <w:p w:rsidR="00AB6BA6" w:rsidRPr="00990D3B" w:rsidP="005274DE" w14:paraId="40BD1FC8" w14:textId="77777777">
            <w:pPr>
              <w:pStyle w:val="EQRTableText"/>
            </w:pPr>
            <w:r w:rsidRPr="00990D3B">
              <w:t> </w:t>
            </w:r>
          </w:p>
        </w:tc>
        <w:tc>
          <w:tcPr>
            <w:tcW w:w="613" w:type="dxa"/>
          </w:tcPr>
          <w:p w:rsidR="00AB6BA6" w:rsidRPr="00990D3B" w:rsidP="005274DE" w14:paraId="3279040A" w14:textId="77777777">
            <w:pPr>
              <w:pStyle w:val="EQRTableText"/>
            </w:pPr>
            <w:r w:rsidRPr="00990D3B">
              <w:t> </w:t>
            </w:r>
          </w:p>
        </w:tc>
        <w:tc>
          <w:tcPr>
            <w:tcW w:w="653" w:type="dxa"/>
          </w:tcPr>
          <w:p w:rsidR="00AB6BA6" w:rsidRPr="00990D3B" w:rsidP="005274DE" w14:paraId="679CB8F0" w14:textId="77777777">
            <w:pPr>
              <w:pStyle w:val="EQRTableText"/>
            </w:pPr>
            <w:r w:rsidRPr="00990D3B">
              <w:t> </w:t>
            </w:r>
          </w:p>
        </w:tc>
        <w:tc>
          <w:tcPr>
            <w:tcW w:w="3325" w:type="dxa"/>
          </w:tcPr>
          <w:p w:rsidR="00AB6BA6" w:rsidRPr="00990D3B" w:rsidP="005274DE" w14:paraId="026FD011" w14:textId="77777777">
            <w:pPr>
              <w:pStyle w:val="EQRTableText"/>
            </w:pPr>
            <w:r w:rsidRPr="00990D3B">
              <w:t> </w:t>
            </w:r>
          </w:p>
        </w:tc>
      </w:tr>
      <w:tr w14:paraId="48D1D117" w14:textId="77777777" w:rsidTr="00BD1FC3">
        <w:tblPrEx>
          <w:tblW w:w="0" w:type="auto"/>
          <w:tblLook w:val="04A0"/>
        </w:tblPrEx>
        <w:trPr>
          <w:cantSplit/>
        </w:trPr>
        <w:tc>
          <w:tcPr>
            <w:tcW w:w="4113" w:type="dxa"/>
          </w:tcPr>
          <w:p w:rsidR="00AB6BA6" w:rsidRPr="00990D3B" w:rsidP="0064101C" w14:paraId="5BD0EF68" w14:textId="77777777">
            <w:pPr>
              <w:pStyle w:val="EQRTableText"/>
            </w:pPr>
            <w:r w:rsidRPr="00990D3B">
              <w:t xml:space="preserve">6.6 Did the data collection instruments allow for consistent and accurate data collection over the time periods studied? </w:t>
            </w:r>
          </w:p>
        </w:tc>
        <w:tc>
          <w:tcPr>
            <w:tcW w:w="646" w:type="dxa"/>
          </w:tcPr>
          <w:p w:rsidR="00AB6BA6" w:rsidRPr="00990D3B" w:rsidP="005274DE" w14:paraId="797D5161" w14:textId="77777777">
            <w:pPr>
              <w:pStyle w:val="EQRTableText"/>
            </w:pPr>
            <w:r w:rsidRPr="00990D3B">
              <w:t> </w:t>
            </w:r>
          </w:p>
        </w:tc>
        <w:tc>
          <w:tcPr>
            <w:tcW w:w="613" w:type="dxa"/>
          </w:tcPr>
          <w:p w:rsidR="00AB6BA6" w:rsidRPr="00990D3B" w:rsidP="005274DE" w14:paraId="57A7E5F5" w14:textId="77777777">
            <w:pPr>
              <w:pStyle w:val="EQRTableText"/>
            </w:pPr>
            <w:r w:rsidRPr="00990D3B">
              <w:t> </w:t>
            </w:r>
          </w:p>
        </w:tc>
        <w:tc>
          <w:tcPr>
            <w:tcW w:w="653" w:type="dxa"/>
          </w:tcPr>
          <w:p w:rsidR="00AB6BA6" w:rsidRPr="00990D3B" w:rsidP="005274DE" w14:paraId="5F2DBB3F" w14:textId="77777777">
            <w:pPr>
              <w:pStyle w:val="EQRTableText"/>
            </w:pPr>
            <w:r w:rsidRPr="00990D3B">
              <w:t> </w:t>
            </w:r>
          </w:p>
        </w:tc>
        <w:tc>
          <w:tcPr>
            <w:tcW w:w="3325" w:type="dxa"/>
          </w:tcPr>
          <w:p w:rsidR="00AB6BA6" w:rsidRPr="00990D3B" w:rsidP="005274DE" w14:paraId="78755885" w14:textId="77777777">
            <w:pPr>
              <w:pStyle w:val="EQRTableText"/>
            </w:pPr>
            <w:r w:rsidRPr="00990D3B">
              <w:t> </w:t>
            </w:r>
          </w:p>
        </w:tc>
      </w:tr>
      <w:tr w14:paraId="59EF31F7" w14:textId="77777777" w:rsidTr="00BD1FC3">
        <w:tblPrEx>
          <w:tblW w:w="0" w:type="auto"/>
          <w:tblLook w:val="04A0"/>
        </w:tblPrEx>
        <w:trPr>
          <w:cantSplit/>
        </w:trPr>
        <w:tc>
          <w:tcPr>
            <w:tcW w:w="4113" w:type="dxa"/>
          </w:tcPr>
          <w:p w:rsidR="00AB6BA6" w:rsidRPr="00990D3B" w:rsidP="0064101C" w14:paraId="344F330D" w14:textId="77777777">
            <w:pPr>
              <w:pStyle w:val="EQRTableText"/>
              <w:rPr>
                <w:shd w:val="clear" w:color="auto" w:fill="D9D9D9" w:themeFill="background1" w:themeFillShade="D9"/>
              </w:rPr>
            </w:pPr>
            <w:r w:rsidRPr="00990D3B">
              <w:t>6.7 If qualitative data collection methods were used (such as interviews or focus groups), were the methods well-defined and designed to collect meaningful and useful information from respondents?</w:t>
            </w:r>
          </w:p>
        </w:tc>
        <w:tc>
          <w:tcPr>
            <w:tcW w:w="646" w:type="dxa"/>
          </w:tcPr>
          <w:p w:rsidR="00AB6BA6" w:rsidRPr="00990D3B" w:rsidP="005274DE" w14:paraId="5D664F70" w14:textId="77777777">
            <w:pPr>
              <w:pStyle w:val="EQRTableText"/>
            </w:pPr>
            <w:r w:rsidRPr="00990D3B">
              <w:t> </w:t>
            </w:r>
          </w:p>
        </w:tc>
        <w:tc>
          <w:tcPr>
            <w:tcW w:w="613" w:type="dxa"/>
          </w:tcPr>
          <w:p w:rsidR="00AB6BA6" w:rsidRPr="00990D3B" w:rsidP="005274DE" w14:paraId="39027419" w14:textId="77777777">
            <w:pPr>
              <w:pStyle w:val="EQRTableText"/>
            </w:pPr>
            <w:r w:rsidRPr="00990D3B">
              <w:t> </w:t>
            </w:r>
          </w:p>
        </w:tc>
        <w:tc>
          <w:tcPr>
            <w:tcW w:w="653" w:type="dxa"/>
          </w:tcPr>
          <w:p w:rsidR="00AB6BA6" w:rsidRPr="00990D3B" w:rsidP="005274DE" w14:paraId="2E2CB8F4" w14:textId="77777777">
            <w:pPr>
              <w:pStyle w:val="EQRTableText"/>
            </w:pPr>
            <w:r w:rsidRPr="00990D3B">
              <w:t> </w:t>
            </w:r>
          </w:p>
        </w:tc>
        <w:tc>
          <w:tcPr>
            <w:tcW w:w="3325" w:type="dxa"/>
          </w:tcPr>
          <w:p w:rsidR="00AB6BA6" w:rsidRPr="00990D3B" w:rsidP="005274DE" w14:paraId="04C02244" w14:textId="77777777">
            <w:pPr>
              <w:pStyle w:val="EQRTableText"/>
            </w:pPr>
            <w:r w:rsidRPr="00990D3B">
              <w:t> </w:t>
            </w:r>
          </w:p>
        </w:tc>
      </w:tr>
      <w:tr w14:paraId="38C55EB7" w14:textId="77777777" w:rsidTr="00BD1FC3">
        <w:tblPrEx>
          <w:tblW w:w="0" w:type="auto"/>
          <w:tblLook w:val="04A0"/>
        </w:tblPrEx>
        <w:trPr>
          <w:cantSplit/>
        </w:trPr>
        <w:tc>
          <w:tcPr>
            <w:tcW w:w="4113" w:type="dxa"/>
          </w:tcPr>
          <w:p w:rsidR="00AB6BA6" w:rsidRPr="00990D3B" w:rsidP="005274DE" w14:paraId="485CB176" w14:textId="77777777">
            <w:pPr>
              <w:pStyle w:val="EQRTableText"/>
            </w:pPr>
            <w:r w:rsidRPr="00990D3B">
              <w:t xml:space="preserve">6.8 Overall assessment: In the comments section, note any recommendations for improving the data collection procedures. </w:t>
            </w:r>
          </w:p>
          <w:p w:rsidR="00AB6BA6" w:rsidRPr="00990D3B" w:rsidP="0082412E" w14:paraId="2710E8D1" w14:textId="45BBC174">
            <w:pPr>
              <w:pStyle w:val="EQRTableText"/>
            </w:pPr>
            <w:r w:rsidRPr="00990D3B">
              <w:rPr>
                <w:b/>
              </w:rPr>
              <w:t>Note:</w:t>
            </w:r>
            <w:r w:rsidRPr="00990D3B">
              <w:t xml:space="preserve"> Include </w:t>
            </w:r>
            <w:r w:rsidRPr="00990D3B" w:rsidR="005776AD">
              <w:t xml:space="preserve">an </w:t>
            </w:r>
            <w:r w:rsidRPr="00990D3B">
              <w:t>assessment of data collection procedures for administrative data sources and medical record review noted below.</w:t>
            </w:r>
          </w:p>
        </w:tc>
        <w:tc>
          <w:tcPr>
            <w:tcW w:w="646" w:type="dxa"/>
            <w:shd w:val="clear" w:color="auto" w:fill="D9D9D9" w:themeFill="background1" w:themeFillShade="D9"/>
          </w:tcPr>
          <w:p w:rsidR="00AB6BA6" w:rsidRPr="00990D3B" w:rsidP="005274DE" w14:paraId="4EC05172" w14:textId="77777777">
            <w:pPr>
              <w:pStyle w:val="EQRTableText"/>
            </w:pPr>
            <w:r w:rsidRPr="00990D3B">
              <w:t> </w:t>
            </w:r>
          </w:p>
        </w:tc>
        <w:tc>
          <w:tcPr>
            <w:tcW w:w="613" w:type="dxa"/>
            <w:shd w:val="clear" w:color="auto" w:fill="D9D9D9" w:themeFill="background1" w:themeFillShade="D9"/>
          </w:tcPr>
          <w:p w:rsidR="00AB6BA6" w:rsidRPr="00990D3B" w:rsidP="005274DE" w14:paraId="4301731B" w14:textId="77777777">
            <w:pPr>
              <w:pStyle w:val="EQRTableText"/>
            </w:pPr>
            <w:r w:rsidRPr="00990D3B">
              <w:t> </w:t>
            </w:r>
          </w:p>
        </w:tc>
        <w:tc>
          <w:tcPr>
            <w:tcW w:w="653" w:type="dxa"/>
            <w:shd w:val="clear" w:color="auto" w:fill="D9D9D9" w:themeFill="background1" w:themeFillShade="D9"/>
          </w:tcPr>
          <w:p w:rsidR="00AB6BA6" w:rsidRPr="00990D3B" w:rsidP="005274DE" w14:paraId="29A9B3D8" w14:textId="77777777">
            <w:pPr>
              <w:pStyle w:val="EQRTableText"/>
            </w:pPr>
            <w:r w:rsidRPr="00990D3B">
              <w:t> </w:t>
            </w:r>
          </w:p>
        </w:tc>
        <w:tc>
          <w:tcPr>
            <w:tcW w:w="3325" w:type="dxa"/>
          </w:tcPr>
          <w:p w:rsidR="00AB6BA6" w:rsidRPr="00990D3B" w:rsidP="005274DE" w14:paraId="6E65218F" w14:textId="77777777">
            <w:pPr>
              <w:pStyle w:val="EQRTableText"/>
            </w:pPr>
            <w:r w:rsidRPr="00990D3B">
              <w:t> </w:t>
            </w:r>
          </w:p>
        </w:tc>
      </w:tr>
    </w:tbl>
    <w:p w:rsidR="00AB6BA6" w:rsidRPr="00990D3B" w:rsidP="00BB59B7" w14:paraId="06CF5E63" w14:textId="6EC1DD9A">
      <w:pPr>
        <w:pStyle w:val="NoSpacing"/>
      </w:pPr>
    </w:p>
    <w:p w:rsidR="00AB6BA6" w:rsidRPr="00990D3B" w:rsidP="002B40CC" w14:paraId="5C64AF84" w14:textId="77777777">
      <w:pPr>
        <w:pStyle w:val="H2EQRWorksheet"/>
      </w:pPr>
      <w:r w:rsidRPr="00990D3B">
        <w:t>Section 2: Assessment of Data Collection Procedures for Administrative Data Sources</w:t>
      </w:r>
    </w:p>
    <w:tbl>
      <w:tblPr>
        <w:tblStyle w:val="TableGrid"/>
        <w:tblW w:w="0" w:type="auto"/>
        <w:tblLook w:val="04A0"/>
      </w:tblPr>
      <w:tblGrid>
        <w:gridCol w:w="4005"/>
        <w:gridCol w:w="693"/>
        <w:gridCol w:w="762"/>
        <w:gridCol w:w="745"/>
        <w:gridCol w:w="3145"/>
      </w:tblGrid>
      <w:tr w14:paraId="2CFDBA70" w14:textId="77777777" w:rsidTr="00BD1FC3">
        <w:tblPrEx>
          <w:tblW w:w="0" w:type="auto"/>
          <w:tblLook w:val="04A0"/>
        </w:tblPrEx>
        <w:trPr>
          <w:tblHeader/>
        </w:trPr>
        <w:tc>
          <w:tcPr>
            <w:tcW w:w="4005" w:type="dxa"/>
            <w:vAlign w:val="bottom"/>
          </w:tcPr>
          <w:p w:rsidR="00AB6BA6" w:rsidRPr="00990D3B" w:rsidP="006D6FE0" w14:paraId="1DAE3399" w14:textId="77777777">
            <w:pPr>
              <w:pStyle w:val="EQRTableHeaderLeft"/>
              <w:rPr>
                <w:color w:val="auto"/>
              </w:rPr>
            </w:pPr>
            <w:r w:rsidRPr="00990D3B">
              <w:rPr>
                <w:color w:val="auto"/>
              </w:rPr>
              <w:t>Question</w:t>
            </w:r>
          </w:p>
        </w:tc>
        <w:tc>
          <w:tcPr>
            <w:tcW w:w="693" w:type="dxa"/>
            <w:vAlign w:val="bottom"/>
          </w:tcPr>
          <w:p w:rsidR="00AB6BA6" w:rsidRPr="00990D3B" w:rsidP="006D6FE0" w14:paraId="3EFE237D" w14:textId="77777777">
            <w:pPr>
              <w:pStyle w:val="EQRTableHeaderCenter"/>
              <w:rPr>
                <w:color w:val="auto"/>
              </w:rPr>
            </w:pPr>
            <w:r w:rsidRPr="00990D3B">
              <w:rPr>
                <w:color w:val="auto"/>
              </w:rPr>
              <w:t>Yes</w:t>
            </w:r>
          </w:p>
        </w:tc>
        <w:tc>
          <w:tcPr>
            <w:tcW w:w="762" w:type="dxa"/>
            <w:vAlign w:val="bottom"/>
          </w:tcPr>
          <w:p w:rsidR="00AB6BA6" w:rsidRPr="00990D3B" w:rsidP="006D6FE0" w14:paraId="36A44103" w14:textId="77777777">
            <w:pPr>
              <w:pStyle w:val="EQRTableHeaderCenter"/>
              <w:rPr>
                <w:color w:val="auto"/>
              </w:rPr>
            </w:pPr>
            <w:r w:rsidRPr="00990D3B">
              <w:rPr>
                <w:color w:val="auto"/>
              </w:rPr>
              <w:t>No</w:t>
            </w:r>
          </w:p>
        </w:tc>
        <w:tc>
          <w:tcPr>
            <w:tcW w:w="745" w:type="dxa"/>
            <w:vAlign w:val="bottom"/>
          </w:tcPr>
          <w:p w:rsidR="00AB6BA6" w:rsidRPr="00990D3B" w:rsidP="006D6FE0" w14:paraId="565ED852" w14:textId="77777777">
            <w:pPr>
              <w:pStyle w:val="EQRTableHeaderCenter"/>
              <w:rPr>
                <w:color w:val="auto"/>
              </w:rPr>
            </w:pPr>
            <w:r w:rsidRPr="00990D3B">
              <w:rPr>
                <w:color w:val="auto"/>
              </w:rPr>
              <w:t>NA</w:t>
            </w:r>
          </w:p>
        </w:tc>
        <w:tc>
          <w:tcPr>
            <w:tcW w:w="3145" w:type="dxa"/>
            <w:vAlign w:val="bottom"/>
          </w:tcPr>
          <w:p w:rsidR="00AB6BA6" w:rsidRPr="00990D3B" w:rsidP="006D6FE0" w14:paraId="0F9D9F87" w14:textId="77777777">
            <w:pPr>
              <w:pStyle w:val="EQRTableHeaderCenter"/>
              <w:rPr>
                <w:color w:val="auto"/>
              </w:rPr>
            </w:pPr>
            <w:r w:rsidRPr="00990D3B">
              <w:rPr>
                <w:color w:val="auto"/>
              </w:rPr>
              <w:t>Comments</w:t>
            </w:r>
          </w:p>
        </w:tc>
      </w:tr>
      <w:tr w14:paraId="1D99806F" w14:textId="77777777" w:rsidTr="00BD1FC3">
        <w:tblPrEx>
          <w:tblW w:w="0" w:type="auto"/>
          <w:tblLook w:val="04A0"/>
        </w:tblPrEx>
        <w:tc>
          <w:tcPr>
            <w:tcW w:w="4005" w:type="dxa"/>
          </w:tcPr>
          <w:p w:rsidR="00AB6BA6" w:rsidRPr="00990D3B" w:rsidP="0064101C" w14:paraId="1CE61D9A" w14:textId="5BD036C9">
            <w:pPr>
              <w:pStyle w:val="EQRTableText"/>
            </w:pPr>
            <w:r w:rsidRPr="00990D3B">
              <w:t xml:space="preserve">6.9 If inpatient data </w:t>
            </w:r>
            <w:r w:rsidRPr="00990D3B" w:rsidR="00BD2E8F">
              <w:t xml:space="preserve">were </w:t>
            </w:r>
            <w:r w:rsidRPr="00990D3B">
              <w:t>used, did the data system capture all inpatient admissions/discharges?</w:t>
            </w:r>
          </w:p>
        </w:tc>
        <w:tc>
          <w:tcPr>
            <w:tcW w:w="693" w:type="dxa"/>
          </w:tcPr>
          <w:p w:rsidR="00AB6BA6" w:rsidRPr="00990D3B" w:rsidP="006D6FE0" w14:paraId="430A584A" w14:textId="77777777">
            <w:pPr>
              <w:pStyle w:val="EQRTableText"/>
            </w:pPr>
            <w:r w:rsidRPr="00990D3B">
              <w:t> </w:t>
            </w:r>
          </w:p>
        </w:tc>
        <w:tc>
          <w:tcPr>
            <w:tcW w:w="762" w:type="dxa"/>
          </w:tcPr>
          <w:p w:rsidR="00AB6BA6" w:rsidRPr="00990D3B" w:rsidP="006D6FE0" w14:paraId="7EE9E353" w14:textId="77777777">
            <w:pPr>
              <w:pStyle w:val="EQRTableText"/>
            </w:pPr>
            <w:r w:rsidRPr="00990D3B">
              <w:t> </w:t>
            </w:r>
          </w:p>
        </w:tc>
        <w:tc>
          <w:tcPr>
            <w:tcW w:w="745" w:type="dxa"/>
          </w:tcPr>
          <w:p w:rsidR="00AB6BA6" w:rsidRPr="00990D3B" w:rsidP="006D6FE0" w14:paraId="6DC2DC30" w14:textId="77777777">
            <w:pPr>
              <w:pStyle w:val="EQRTableText"/>
            </w:pPr>
            <w:r w:rsidRPr="00990D3B">
              <w:t> </w:t>
            </w:r>
          </w:p>
        </w:tc>
        <w:tc>
          <w:tcPr>
            <w:tcW w:w="3145" w:type="dxa"/>
          </w:tcPr>
          <w:p w:rsidR="00AB6BA6" w:rsidRPr="00990D3B" w:rsidP="006D6FE0" w14:paraId="67861326" w14:textId="77777777">
            <w:pPr>
              <w:pStyle w:val="EQRTableText"/>
            </w:pPr>
            <w:r w:rsidRPr="00990D3B">
              <w:t> </w:t>
            </w:r>
          </w:p>
        </w:tc>
      </w:tr>
      <w:tr w14:paraId="3F9866C8" w14:textId="77777777" w:rsidTr="00BD1FC3">
        <w:tblPrEx>
          <w:tblW w:w="0" w:type="auto"/>
          <w:tblLook w:val="04A0"/>
        </w:tblPrEx>
        <w:tc>
          <w:tcPr>
            <w:tcW w:w="4005" w:type="dxa"/>
          </w:tcPr>
          <w:p w:rsidR="00AB6BA6" w:rsidRPr="00990D3B" w:rsidP="0064101C" w14:paraId="24E0DDD2" w14:textId="5DD292E3">
            <w:pPr>
              <w:pStyle w:val="EQRTableText"/>
            </w:pPr>
            <w:r w:rsidRPr="00990D3B">
              <w:t xml:space="preserve">6.10 If primary care data </w:t>
            </w:r>
            <w:r w:rsidRPr="00990D3B" w:rsidR="00BD2E8F">
              <w:t xml:space="preserve">were </w:t>
            </w:r>
            <w:r w:rsidRPr="00990D3B">
              <w:t xml:space="preserve">used, did primary care providers submit encounter or utilization data for all encounters? </w:t>
            </w:r>
          </w:p>
        </w:tc>
        <w:tc>
          <w:tcPr>
            <w:tcW w:w="693" w:type="dxa"/>
          </w:tcPr>
          <w:p w:rsidR="00AB6BA6" w:rsidRPr="00990D3B" w:rsidP="006D6FE0" w14:paraId="61AA7D4E" w14:textId="77777777">
            <w:pPr>
              <w:pStyle w:val="EQRTableText"/>
            </w:pPr>
            <w:r w:rsidRPr="00990D3B">
              <w:t> </w:t>
            </w:r>
          </w:p>
        </w:tc>
        <w:tc>
          <w:tcPr>
            <w:tcW w:w="762" w:type="dxa"/>
          </w:tcPr>
          <w:p w:rsidR="00AB6BA6" w:rsidRPr="00990D3B" w:rsidP="006D6FE0" w14:paraId="64960621" w14:textId="77777777">
            <w:pPr>
              <w:pStyle w:val="EQRTableText"/>
            </w:pPr>
            <w:r w:rsidRPr="00990D3B">
              <w:t> </w:t>
            </w:r>
          </w:p>
        </w:tc>
        <w:tc>
          <w:tcPr>
            <w:tcW w:w="745" w:type="dxa"/>
          </w:tcPr>
          <w:p w:rsidR="00AB6BA6" w:rsidRPr="00990D3B" w:rsidP="006D6FE0" w14:paraId="6A76164C" w14:textId="77777777">
            <w:pPr>
              <w:pStyle w:val="EQRTableText"/>
            </w:pPr>
            <w:r w:rsidRPr="00990D3B">
              <w:t> </w:t>
            </w:r>
          </w:p>
        </w:tc>
        <w:tc>
          <w:tcPr>
            <w:tcW w:w="3145" w:type="dxa"/>
          </w:tcPr>
          <w:p w:rsidR="00AB6BA6" w:rsidRPr="00990D3B" w:rsidP="006D6FE0" w14:paraId="4F425A8B" w14:textId="77777777">
            <w:pPr>
              <w:pStyle w:val="EQRTableText"/>
            </w:pPr>
            <w:r w:rsidRPr="00990D3B">
              <w:t> </w:t>
            </w:r>
          </w:p>
        </w:tc>
      </w:tr>
      <w:tr w14:paraId="1DA0DDEE" w14:textId="77777777" w:rsidTr="00BD1FC3">
        <w:tblPrEx>
          <w:tblW w:w="0" w:type="auto"/>
          <w:tblLook w:val="04A0"/>
        </w:tblPrEx>
        <w:tc>
          <w:tcPr>
            <w:tcW w:w="4005" w:type="dxa"/>
          </w:tcPr>
          <w:p w:rsidR="00AB6BA6" w:rsidRPr="00990D3B" w:rsidP="0064101C" w14:paraId="54ABC9CB" w14:textId="7259EE72">
            <w:pPr>
              <w:pStyle w:val="EQRTableText"/>
            </w:pPr>
            <w:r w:rsidRPr="00990D3B">
              <w:t xml:space="preserve">6.11 If specialty care data </w:t>
            </w:r>
            <w:r w:rsidRPr="00990D3B" w:rsidR="00BD2E8F">
              <w:t xml:space="preserve">were </w:t>
            </w:r>
            <w:r w:rsidRPr="00990D3B">
              <w:t xml:space="preserve">used, did specialty care providers submit encounter or utilization data for all encounters? </w:t>
            </w:r>
          </w:p>
        </w:tc>
        <w:tc>
          <w:tcPr>
            <w:tcW w:w="693" w:type="dxa"/>
          </w:tcPr>
          <w:p w:rsidR="00AB6BA6" w:rsidRPr="00990D3B" w:rsidP="006D6FE0" w14:paraId="5D6940FE" w14:textId="77777777">
            <w:pPr>
              <w:pStyle w:val="EQRTableText"/>
            </w:pPr>
            <w:r w:rsidRPr="00990D3B">
              <w:t> </w:t>
            </w:r>
          </w:p>
        </w:tc>
        <w:tc>
          <w:tcPr>
            <w:tcW w:w="762" w:type="dxa"/>
          </w:tcPr>
          <w:p w:rsidR="00AB6BA6" w:rsidRPr="00990D3B" w:rsidP="006D6FE0" w14:paraId="29EF3EB8" w14:textId="77777777">
            <w:pPr>
              <w:pStyle w:val="EQRTableText"/>
            </w:pPr>
            <w:r w:rsidRPr="00990D3B">
              <w:t> </w:t>
            </w:r>
          </w:p>
        </w:tc>
        <w:tc>
          <w:tcPr>
            <w:tcW w:w="745" w:type="dxa"/>
          </w:tcPr>
          <w:p w:rsidR="00AB6BA6" w:rsidRPr="00990D3B" w:rsidP="006D6FE0" w14:paraId="5A45E8A4" w14:textId="77777777">
            <w:pPr>
              <w:pStyle w:val="EQRTableText"/>
            </w:pPr>
            <w:r w:rsidRPr="00990D3B">
              <w:t> </w:t>
            </w:r>
          </w:p>
        </w:tc>
        <w:tc>
          <w:tcPr>
            <w:tcW w:w="3145" w:type="dxa"/>
          </w:tcPr>
          <w:p w:rsidR="00AB6BA6" w:rsidRPr="00990D3B" w:rsidP="006D6FE0" w14:paraId="46FAC693" w14:textId="77777777">
            <w:pPr>
              <w:pStyle w:val="EQRTableText"/>
            </w:pPr>
            <w:r w:rsidRPr="00990D3B">
              <w:t> </w:t>
            </w:r>
          </w:p>
        </w:tc>
      </w:tr>
      <w:tr w14:paraId="0802C3BA" w14:textId="77777777" w:rsidTr="00BD1FC3">
        <w:tblPrEx>
          <w:tblW w:w="0" w:type="auto"/>
          <w:tblLook w:val="04A0"/>
        </w:tblPrEx>
        <w:tc>
          <w:tcPr>
            <w:tcW w:w="4005" w:type="dxa"/>
          </w:tcPr>
          <w:p w:rsidR="00AB6BA6" w:rsidRPr="00990D3B" w:rsidP="006D6FE0" w14:paraId="3F6EB5D9" w14:textId="7F1D7F66">
            <w:pPr>
              <w:pStyle w:val="EQRTableText"/>
            </w:pPr>
            <w:r w:rsidRPr="00990D3B">
              <w:t xml:space="preserve">6.12 If ancillary data </w:t>
            </w:r>
            <w:r w:rsidRPr="00990D3B" w:rsidR="00BD2E8F">
              <w:t xml:space="preserve">were </w:t>
            </w:r>
            <w:r w:rsidRPr="00990D3B">
              <w:t xml:space="preserve">used, did ancillary service providers submit encounter or utilization data for all services provided? </w:t>
            </w:r>
          </w:p>
        </w:tc>
        <w:tc>
          <w:tcPr>
            <w:tcW w:w="693" w:type="dxa"/>
          </w:tcPr>
          <w:p w:rsidR="00AB6BA6" w:rsidRPr="00990D3B" w:rsidP="006D6FE0" w14:paraId="15431D20" w14:textId="77777777">
            <w:pPr>
              <w:pStyle w:val="EQRTableText"/>
            </w:pPr>
            <w:r w:rsidRPr="00990D3B">
              <w:t> </w:t>
            </w:r>
          </w:p>
        </w:tc>
        <w:tc>
          <w:tcPr>
            <w:tcW w:w="762" w:type="dxa"/>
          </w:tcPr>
          <w:p w:rsidR="00AB6BA6" w:rsidRPr="00990D3B" w:rsidP="006D6FE0" w14:paraId="4AC11F8E" w14:textId="77777777">
            <w:pPr>
              <w:pStyle w:val="EQRTableText"/>
            </w:pPr>
            <w:r w:rsidRPr="00990D3B">
              <w:t> </w:t>
            </w:r>
          </w:p>
        </w:tc>
        <w:tc>
          <w:tcPr>
            <w:tcW w:w="745" w:type="dxa"/>
          </w:tcPr>
          <w:p w:rsidR="00AB6BA6" w:rsidRPr="00990D3B" w:rsidP="006D6FE0" w14:paraId="6DE456A3" w14:textId="77777777">
            <w:pPr>
              <w:pStyle w:val="EQRTableText"/>
            </w:pPr>
            <w:r w:rsidRPr="00990D3B">
              <w:t> </w:t>
            </w:r>
          </w:p>
        </w:tc>
        <w:tc>
          <w:tcPr>
            <w:tcW w:w="3145" w:type="dxa"/>
          </w:tcPr>
          <w:p w:rsidR="00AB6BA6" w:rsidRPr="00990D3B" w:rsidP="006D6FE0" w14:paraId="6BDC9310" w14:textId="77777777">
            <w:pPr>
              <w:pStyle w:val="EQRTableText"/>
            </w:pPr>
            <w:r w:rsidRPr="00990D3B">
              <w:t> </w:t>
            </w:r>
          </w:p>
        </w:tc>
      </w:tr>
      <w:tr w14:paraId="1EB21DCC" w14:textId="77777777" w:rsidTr="00BD1FC3">
        <w:tblPrEx>
          <w:tblW w:w="0" w:type="auto"/>
          <w:tblLook w:val="04A0"/>
        </w:tblPrEx>
        <w:tc>
          <w:tcPr>
            <w:tcW w:w="4005" w:type="dxa"/>
          </w:tcPr>
          <w:p w:rsidR="00AB6BA6" w:rsidRPr="00990D3B" w:rsidP="0064101C" w14:paraId="6D1B743C" w14:textId="487A3481">
            <w:pPr>
              <w:pStyle w:val="EQRTableText"/>
            </w:pPr>
            <w:r w:rsidRPr="00990D3B">
              <w:t xml:space="preserve">6.13 If LTSS data </w:t>
            </w:r>
            <w:r w:rsidRPr="00990D3B" w:rsidR="00BD2E8F">
              <w:t xml:space="preserve">were </w:t>
            </w:r>
            <w:r w:rsidRPr="00990D3B">
              <w:t>used, were all relevant LTSS provider services included (for example, through encounter data, case management systems, or EVV systems)?</w:t>
            </w:r>
          </w:p>
        </w:tc>
        <w:tc>
          <w:tcPr>
            <w:tcW w:w="693" w:type="dxa"/>
          </w:tcPr>
          <w:p w:rsidR="00AB6BA6" w:rsidRPr="00990D3B" w:rsidP="006D6FE0" w14:paraId="51470E71" w14:textId="77777777">
            <w:pPr>
              <w:pStyle w:val="EQRTableText"/>
            </w:pPr>
            <w:r w:rsidRPr="00990D3B">
              <w:t> </w:t>
            </w:r>
          </w:p>
        </w:tc>
        <w:tc>
          <w:tcPr>
            <w:tcW w:w="762" w:type="dxa"/>
          </w:tcPr>
          <w:p w:rsidR="00AB6BA6" w:rsidRPr="00990D3B" w:rsidP="006D6FE0" w14:paraId="2E01ED94" w14:textId="77777777">
            <w:pPr>
              <w:pStyle w:val="EQRTableText"/>
            </w:pPr>
            <w:r w:rsidRPr="00990D3B">
              <w:t> </w:t>
            </w:r>
          </w:p>
        </w:tc>
        <w:tc>
          <w:tcPr>
            <w:tcW w:w="745" w:type="dxa"/>
          </w:tcPr>
          <w:p w:rsidR="00AB6BA6" w:rsidRPr="00990D3B" w:rsidP="006D6FE0" w14:paraId="1B040928" w14:textId="77777777">
            <w:pPr>
              <w:pStyle w:val="EQRTableText"/>
            </w:pPr>
            <w:r w:rsidRPr="00990D3B">
              <w:t> </w:t>
            </w:r>
          </w:p>
        </w:tc>
        <w:tc>
          <w:tcPr>
            <w:tcW w:w="3145" w:type="dxa"/>
          </w:tcPr>
          <w:p w:rsidR="00AB6BA6" w:rsidRPr="00990D3B" w:rsidP="006D6FE0" w14:paraId="04DFF477" w14:textId="77777777">
            <w:pPr>
              <w:pStyle w:val="EQRTableText"/>
            </w:pPr>
            <w:r w:rsidRPr="00990D3B">
              <w:t> </w:t>
            </w:r>
          </w:p>
        </w:tc>
      </w:tr>
      <w:tr w14:paraId="3874172F" w14:textId="77777777" w:rsidTr="00BD1FC3">
        <w:tblPrEx>
          <w:tblW w:w="0" w:type="auto"/>
          <w:tblLook w:val="04A0"/>
        </w:tblPrEx>
        <w:tc>
          <w:tcPr>
            <w:tcW w:w="4005" w:type="dxa"/>
          </w:tcPr>
          <w:p w:rsidR="00AB6BA6" w:rsidRPr="00990D3B" w:rsidP="0064101C" w14:paraId="322DE72A" w14:textId="2358536D">
            <w:pPr>
              <w:pStyle w:val="EQRTableText"/>
            </w:pPr>
            <w:r w:rsidRPr="00990D3B">
              <w:t xml:space="preserve">6.14 If EHR data </w:t>
            </w:r>
            <w:r w:rsidRPr="00990D3B" w:rsidR="00BD2E8F">
              <w:t xml:space="preserve">were </w:t>
            </w:r>
            <w:r w:rsidRPr="00990D3B">
              <w:t>used, were patient, clinical, service, or quality metrics validated for accuracy</w:t>
            </w:r>
            <w:r w:rsidRPr="00990D3B" w:rsidR="005776AD">
              <w:t>, completeness, and</w:t>
            </w:r>
            <w:r w:rsidRPr="00990D3B">
              <w:t xml:space="preserve"> comparability across systems? </w:t>
            </w:r>
          </w:p>
        </w:tc>
        <w:tc>
          <w:tcPr>
            <w:tcW w:w="693" w:type="dxa"/>
          </w:tcPr>
          <w:p w:rsidR="00AB6BA6" w:rsidRPr="00990D3B" w:rsidP="006D6FE0" w14:paraId="2609F7BF" w14:textId="77777777">
            <w:pPr>
              <w:pStyle w:val="EQRTableText"/>
            </w:pPr>
            <w:r w:rsidRPr="00990D3B">
              <w:t> </w:t>
            </w:r>
          </w:p>
        </w:tc>
        <w:tc>
          <w:tcPr>
            <w:tcW w:w="762" w:type="dxa"/>
          </w:tcPr>
          <w:p w:rsidR="00AB6BA6" w:rsidRPr="00990D3B" w:rsidP="006D6FE0" w14:paraId="67722AC8" w14:textId="77777777">
            <w:pPr>
              <w:pStyle w:val="EQRTableText"/>
            </w:pPr>
            <w:r w:rsidRPr="00990D3B">
              <w:t> </w:t>
            </w:r>
          </w:p>
        </w:tc>
        <w:tc>
          <w:tcPr>
            <w:tcW w:w="745" w:type="dxa"/>
          </w:tcPr>
          <w:p w:rsidR="00AB6BA6" w:rsidRPr="00990D3B" w:rsidP="006D6FE0" w14:paraId="21E0370A" w14:textId="77777777">
            <w:pPr>
              <w:pStyle w:val="EQRTableText"/>
            </w:pPr>
            <w:r w:rsidRPr="00990D3B">
              <w:t> </w:t>
            </w:r>
          </w:p>
        </w:tc>
        <w:tc>
          <w:tcPr>
            <w:tcW w:w="3145" w:type="dxa"/>
          </w:tcPr>
          <w:p w:rsidR="00AB6BA6" w:rsidRPr="00990D3B" w:rsidP="006D6FE0" w14:paraId="31AC4231" w14:textId="77777777">
            <w:pPr>
              <w:pStyle w:val="EQRTableText"/>
            </w:pPr>
            <w:r w:rsidRPr="00990D3B">
              <w:t> </w:t>
            </w:r>
          </w:p>
        </w:tc>
      </w:tr>
    </w:tbl>
    <w:p w:rsidR="00396847" w:rsidRPr="00990D3B" w:rsidP="00BB59B7" w14:paraId="45277058" w14:textId="77777777">
      <w:pPr>
        <w:pStyle w:val="NoSpacing"/>
      </w:pPr>
    </w:p>
    <w:p w:rsidR="00AB6BA6" w:rsidRPr="00990D3B" w:rsidP="002B40CC" w14:paraId="58AA478E" w14:textId="142485E8">
      <w:pPr>
        <w:pStyle w:val="H2EQRWorksheet"/>
      </w:pPr>
      <w:r w:rsidRPr="00990D3B">
        <w:t>Section 3: Assessment of Data Collection Procedures for Medical Record Review</w:t>
      </w:r>
    </w:p>
    <w:tbl>
      <w:tblPr>
        <w:tblStyle w:val="TableGrid"/>
        <w:tblW w:w="0" w:type="auto"/>
        <w:tblLook w:val="04A0"/>
      </w:tblPr>
      <w:tblGrid>
        <w:gridCol w:w="4045"/>
        <w:gridCol w:w="630"/>
        <w:gridCol w:w="810"/>
        <w:gridCol w:w="720"/>
        <w:gridCol w:w="3145"/>
      </w:tblGrid>
      <w:tr w14:paraId="5F37F5DA" w14:textId="77777777" w:rsidTr="00BD1FC3">
        <w:tblPrEx>
          <w:tblW w:w="0" w:type="auto"/>
          <w:tblLook w:val="04A0"/>
        </w:tblPrEx>
        <w:trPr>
          <w:tblHeader/>
        </w:trPr>
        <w:tc>
          <w:tcPr>
            <w:tcW w:w="4045" w:type="dxa"/>
            <w:vAlign w:val="bottom"/>
          </w:tcPr>
          <w:p w:rsidR="00AB6BA6" w:rsidRPr="00990D3B" w:rsidP="006D6FE0" w14:paraId="1787F87E" w14:textId="77777777">
            <w:pPr>
              <w:pStyle w:val="EQRTableHeaderLeft"/>
              <w:rPr>
                <w:color w:val="auto"/>
              </w:rPr>
            </w:pPr>
            <w:r w:rsidRPr="00990D3B">
              <w:rPr>
                <w:color w:val="auto"/>
              </w:rPr>
              <w:t>Question</w:t>
            </w:r>
          </w:p>
        </w:tc>
        <w:tc>
          <w:tcPr>
            <w:tcW w:w="630" w:type="dxa"/>
            <w:vAlign w:val="bottom"/>
          </w:tcPr>
          <w:p w:rsidR="00AB6BA6" w:rsidRPr="00990D3B" w:rsidP="006D6FE0" w14:paraId="5654AE72" w14:textId="77777777">
            <w:pPr>
              <w:pStyle w:val="EQRTableHeaderCenter"/>
              <w:rPr>
                <w:color w:val="auto"/>
              </w:rPr>
            </w:pPr>
            <w:r w:rsidRPr="00990D3B">
              <w:rPr>
                <w:color w:val="auto"/>
              </w:rPr>
              <w:t>Yes</w:t>
            </w:r>
          </w:p>
        </w:tc>
        <w:tc>
          <w:tcPr>
            <w:tcW w:w="810" w:type="dxa"/>
            <w:vAlign w:val="bottom"/>
          </w:tcPr>
          <w:p w:rsidR="00AB6BA6" w:rsidRPr="00990D3B" w:rsidP="006D6FE0" w14:paraId="09B53FDB" w14:textId="77777777">
            <w:pPr>
              <w:pStyle w:val="EQRTableHeaderCenter"/>
              <w:rPr>
                <w:color w:val="auto"/>
              </w:rPr>
            </w:pPr>
            <w:r w:rsidRPr="00990D3B">
              <w:rPr>
                <w:color w:val="auto"/>
              </w:rPr>
              <w:t>No</w:t>
            </w:r>
          </w:p>
        </w:tc>
        <w:tc>
          <w:tcPr>
            <w:tcW w:w="720" w:type="dxa"/>
            <w:vAlign w:val="bottom"/>
          </w:tcPr>
          <w:p w:rsidR="00AB6BA6" w:rsidRPr="00990D3B" w:rsidP="006D6FE0" w14:paraId="095F7261" w14:textId="77777777">
            <w:pPr>
              <w:pStyle w:val="EQRTableHeaderCenter"/>
              <w:rPr>
                <w:color w:val="auto"/>
              </w:rPr>
            </w:pPr>
            <w:r w:rsidRPr="00990D3B">
              <w:rPr>
                <w:color w:val="auto"/>
              </w:rPr>
              <w:t>NA</w:t>
            </w:r>
          </w:p>
        </w:tc>
        <w:tc>
          <w:tcPr>
            <w:tcW w:w="3145" w:type="dxa"/>
            <w:vAlign w:val="bottom"/>
          </w:tcPr>
          <w:p w:rsidR="00AB6BA6" w:rsidRPr="00990D3B" w:rsidP="006D6FE0" w14:paraId="2DB3A119" w14:textId="77777777">
            <w:pPr>
              <w:pStyle w:val="EQRTableHeaderCenter"/>
              <w:rPr>
                <w:color w:val="auto"/>
              </w:rPr>
            </w:pPr>
            <w:r w:rsidRPr="00990D3B">
              <w:rPr>
                <w:color w:val="auto"/>
              </w:rPr>
              <w:t>Comments</w:t>
            </w:r>
          </w:p>
        </w:tc>
      </w:tr>
      <w:tr w14:paraId="765AC9E9" w14:textId="77777777" w:rsidTr="00BD1FC3">
        <w:tblPrEx>
          <w:tblW w:w="0" w:type="auto"/>
          <w:tblLook w:val="04A0"/>
        </w:tblPrEx>
        <w:tc>
          <w:tcPr>
            <w:tcW w:w="4045" w:type="dxa"/>
            <w:vAlign w:val="center"/>
          </w:tcPr>
          <w:p w:rsidR="00AB6BA6" w:rsidRPr="00990D3B" w:rsidP="00B0052C" w14:paraId="00DF87C3" w14:textId="77777777">
            <w:pPr>
              <w:pStyle w:val="EQRTableText"/>
            </w:pPr>
            <w:r w:rsidRPr="00990D3B">
              <w:t>6.15 Was a list of data collection personnel and their relevant qualifications provided?</w:t>
            </w:r>
          </w:p>
          <w:p w:rsidR="00AB6BA6" w:rsidRPr="00990D3B" w:rsidP="00AB6BA6" w14:paraId="1A67F5F8" w14:textId="77777777">
            <w:pPr>
              <w:pStyle w:val="EQRTableTextbullet"/>
              <w:spacing w:line="240" w:lineRule="auto"/>
              <w:ind w:left="216" w:hanging="216"/>
            </w:pPr>
            <w:r w:rsidRPr="00990D3B">
              <w:t xml:space="preserve">Data collection personnel require </w:t>
            </w:r>
            <w:r w:rsidRPr="00990D3B">
              <w:t>the conceptual</w:t>
            </w:r>
            <w:r w:rsidRPr="00990D3B">
              <w:t xml:space="preserve"> and organizational skills to abstract data. These skills will vary depending on the nature of the data and the degree of professional judgment required. For example, trained medical assistants or medical records clerks may collect data if the abstraction involves verifying the presence of a diagnostic test report. However, experienced clinical staff (such as registered nurses) should be used to extract data to support a judgment about whether clinical criteria are met</w:t>
            </w:r>
          </w:p>
        </w:tc>
        <w:tc>
          <w:tcPr>
            <w:tcW w:w="630" w:type="dxa"/>
          </w:tcPr>
          <w:p w:rsidR="00AB6BA6" w:rsidRPr="00990D3B" w:rsidP="006D6FE0" w14:paraId="2153F26E" w14:textId="77777777">
            <w:pPr>
              <w:pStyle w:val="EQRTableText"/>
            </w:pPr>
            <w:r w:rsidRPr="00990D3B">
              <w:t> </w:t>
            </w:r>
          </w:p>
        </w:tc>
        <w:tc>
          <w:tcPr>
            <w:tcW w:w="810" w:type="dxa"/>
          </w:tcPr>
          <w:p w:rsidR="00AB6BA6" w:rsidRPr="00990D3B" w:rsidP="006D6FE0" w14:paraId="2C8821F1" w14:textId="77777777">
            <w:pPr>
              <w:pStyle w:val="EQRTableText"/>
            </w:pPr>
            <w:r w:rsidRPr="00990D3B">
              <w:t> </w:t>
            </w:r>
          </w:p>
        </w:tc>
        <w:tc>
          <w:tcPr>
            <w:tcW w:w="720" w:type="dxa"/>
          </w:tcPr>
          <w:p w:rsidR="00AB6BA6" w:rsidRPr="00990D3B" w:rsidP="006D6FE0" w14:paraId="7D8AF0AD" w14:textId="77777777">
            <w:pPr>
              <w:pStyle w:val="EQRTableText"/>
            </w:pPr>
            <w:r w:rsidRPr="00990D3B">
              <w:t> </w:t>
            </w:r>
          </w:p>
        </w:tc>
        <w:tc>
          <w:tcPr>
            <w:tcW w:w="3145" w:type="dxa"/>
          </w:tcPr>
          <w:p w:rsidR="00AB6BA6" w:rsidRPr="00990D3B" w:rsidP="006D6FE0" w14:paraId="56402867" w14:textId="77777777">
            <w:pPr>
              <w:pStyle w:val="EQRTableText"/>
            </w:pPr>
            <w:r w:rsidRPr="00990D3B">
              <w:t> </w:t>
            </w:r>
          </w:p>
        </w:tc>
      </w:tr>
      <w:tr w14:paraId="4B677FCA" w14:textId="77777777" w:rsidTr="00BD1FC3">
        <w:tblPrEx>
          <w:tblW w:w="0" w:type="auto"/>
          <w:tblLook w:val="04A0"/>
        </w:tblPrEx>
        <w:tc>
          <w:tcPr>
            <w:tcW w:w="4045" w:type="dxa"/>
            <w:vAlign w:val="center"/>
          </w:tcPr>
          <w:p w:rsidR="00AB6BA6" w:rsidRPr="00990D3B" w:rsidP="00B0052C" w14:paraId="1400EF53" w14:textId="390C0A46">
            <w:pPr>
              <w:pStyle w:val="EQRTableText"/>
            </w:pPr>
            <w:r w:rsidRPr="00990D3B">
              <w:t xml:space="preserve">6.16 For medical record review, </w:t>
            </w:r>
            <w:r w:rsidRPr="00990D3B" w:rsidR="005776AD">
              <w:t>were</w:t>
            </w:r>
            <w:r w:rsidRPr="00990D3B">
              <w:t xml:space="preserve"> inter-rater and intra-rater reliability described? </w:t>
            </w:r>
          </w:p>
          <w:p w:rsidR="00AB6BA6" w:rsidRPr="00990D3B" w:rsidP="00AB6BA6" w14:paraId="02EA0A6A" w14:textId="77777777">
            <w:pPr>
              <w:pStyle w:val="EQRTableTextbullet"/>
              <w:spacing w:line="240" w:lineRule="auto"/>
              <w:ind w:left="216" w:hanging="216"/>
            </w:pPr>
            <w:r w:rsidRPr="00990D3B">
              <w:t>The PIP should also consider and address intra-rater reliability (i.e., reproducibility of judgments by the same abstractor at a different time)</w:t>
            </w:r>
          </w:p>
        </w:tc>
        <w:tc>
          <w:tcPr>
            <w:tcW w:w="630" w:type="dxa"/>
          </w:tcPr>
          <w:p w:rsidR="00AB6BA6" w:rsidRPr="00990D3B" w:rsidP="006D6FE0" w14:paraId="679E2E04" w14:textId="77777777">
            <w:pPr>
              <w:pStyle w:val="EQRTableText"/>
            </w:pPr>
            <w:r w:rsidRPr="00990D3B">
              <w:t> </w:t>
            </w:r>
          </w:p>
        </w:tc>
        <w:tc>
          <w:tcPr>
            <w:tcW w:w="810" w:type="dxa"/>
          </w:tcPr>
          <w:p w:rsidR="00AB6BA6" w:rsidRPr="00990D3B" w:rsidP="006D6FE0" w14:paraId="3A58416C" w14:textId="77777777">
            <w:pPr>
              <w:pStyle w:val="EQRTableText"/>
            </w:pPr>
            <w:r w:rsidRPr="00990D3B">
              <w:t> </w:t>
            </w:r>
          </w:p>
        </w:tc>
        <w:tc>
          <w:tcPr>
            <w:tcW w:w="720" w:type="dxa"/>
          </w:tcPr>
          <w:p w:rsidR="00AB6BA6" w:rsidRPr="00990D3B" w:rsidP="006D6FE0" w14:paraId="66D2A147" w14:textId="77777777">
            <w:pPr>
              <w:pStyle w:val="EQRTableText"/>
            </w:pPr>
            <w:r w:rsidRPr="00990D3B">
              <w:t> </w:t>
            </w:r>
          </w:p>
        </w:tc>
        <w:tc>
          <w:tcPr>
            <w:tcW w:w="3145" w:type="dxa"/>
          </w:tcPr>
          <w:p w:rsidR="00AB6BA6" w:rsidRPr="00990D3B" w:rsidP="006D6FE0" w14:paraId="398200DA" w14:textId="77777777">
            <w:pPr>
              <w:pStyle w:val="EQRTableText"/>
            </w:pPr>
            <w:r w:rsidRPr="00990D3B">
              <w:t> </w:t>
            </w:r>
          </w:p>
        </w:tc>
      </w:tr>
      <w:tr w14:paraId="601F313C" w14:textId="77777777" w:rsidTr="00BD1FC3">
        <w:tblPrEx>
          <w:tblW w:w="0" w:type="auto"/>
          <w:tblLook w:val="04A0"/>
        </w:tblPrEx>
        <w:trPr>
          <w:cantSplit/>
        </w:trPr>
        <w:tc>
          <w:tcPr>
            <w:tcW w:w="4045" w:type="dxa"/>
            <w:vAlign w:val="center"/>
          </w:tcPr>
          <w:p w:rsidR="00AB6BA6" w:rsidRPr="00990D3B" w:rsidP="00B0052C" w14:paraId="5C9E44FE" w14:textId="77777777">
            <w:pPr>
              <w:pStyle w:val="EQRTableText"/>
            </w:pPr>
            <w:r w:rsidRPr="00990D3B">
              <w:t xml:space="preserve">6.17 For medical record review, were guidelines for obtaining and recording the data developed? </w:t>
            </w:r>
          </w:p>
          <w:p w:rsidR="00AB6BA6" w:rsidRPr="00990D3B" w:rsidP="00AB6BA6" w14:paraId="3EC9B198" w14:textId="77777777">
            <w:pPr>
              <w:pStyle w:val="EQRTableTextbullet"/>
              <w:spacing w:line="240" w:lineRule="auto"/>
              <w:ind w:left="216" w:hanging="216"/>
            </w:pPr>
            <w:r w:rsidRPr="00990D3B">
              <w:t>A glossary of terms for each project should be developed before data collection begins to ensure consistent interpretation among and between data collection staff</w:t>
            </w:r>
          </w:p>
          <w:p w:rsidR="00AB6BA6" w:rsidRPr="00990D3B" w:rsidP="00AB6BA6" w14:paraId="5AAEEE95" w14:textId="363C77A1">
            <w:pPr>
              <w:pStyle w:val="EQRTableTextbullet"/>
              <w:spacing w:line="240" w:lineRule="auto"/>
              <w:ind w:left="216" w:hanging="216"/>
            </w:pPr>
            <w:r w:rsidRPr="00990D3B">
              <w:t>Data collection staff should have clear, written instructions, including an overview of the PIP, how to complete each section of the form or instrument</w:t>
            </w:r>
            <w:r w:rsidRPr="00990D3B" w:rsidR="005776AD">
              <w:t>,</w:t>
            </w:r>
            <w:r w:rsidRPr="00990D3B">
              <w:t xml:space="preserve"> and general guidance on </w:t>
            </w:r>
            <w:r w:rsidRPr="00990D3B" w:rsidR="005776AD">
              <w:t>handling</w:t>
            </w:r>
            <w:r w:rsidRPr="00990D3B">
              <w:t xml:space="preserve"> situations not covered by the instructions. This is particularly important when multiple reviewers are collecting data</w:t>
            </w:r>
          </w:p>
        </w:tc>
        <w:tc>
          <w:tcPr>
            <w:tcW w:w="630" w:type="dxa"/>
          </w:tcPr>
          <w:p w:rsidR="00AB6BA6" w:rsidRPr="00990D3B" w:rsidP="006D6FE0" w14:paraId="0403A638" w14:textId="77777777">
            <w:pPr>
              <w:pStyle w:val="EQRTableText"/>
            </w:pPr>
            <w:r w:rsidRPr="00990D3B">
              <w:t> </w:t>
            </w:r>
          </w:p>
        </w:tc>
        <w:tc>
          <w:tcPr>
            <w:tcW w:w="810" w:type="dxa"/>
          </w:tcPr>
          <w:p w:rsidR="00AB6BA6" w:rsidRPr="00990D3B" w:rsidP="006D6FE0" w14:paraId="1B0C6EE3" w14:textId="77777777">
            <w:pPr>
              <w:pStyle w:val="EQRTableText"/>
            </w:pPr>
            <w:r w:rsidRPr="00990D3B">
              <w:t> </w:t>
            </w:r>
          </w:p>
        </w:tc>
        <w:tc>
          <w:tcPr>
            <w:tcW w:w="720" w:type="dxa"/>
          </w:tcPr>
          <w:p w:rsidR="00AB6BA6" w:rsidRPr="00990D3B" w:rsidP="006D6FE0" w14:paraId="4706CB50" w14:textId="77777777">
            <w:pPr>
              <w:pStyle w:val="EQRTableText"/>
            </w:pPr>
            <w:r w:rsidRPr="00990D3B">
              <w:t> </w:t>
            </w:r>
          </w:p>
        </w:tc>
        <w:tc>
          <w:tcPr>
            <w:tcW w:w="3145" w:type="dxa"/>
          </w:tcPr>
          <w:p w:rsidR="00AB6BA6" w:rsidRPr="00990D3B" w:rsidP="006D6FE0" w14:paraId="6AB29586" w14:textId="77777777">
            <w:pPr>
              <w:pStyle w:val="EQRTableText"/>
            </w:pPr>
            <w:r w:rsidRPr="00990D3B">
              <w:t> </w:t>
            </w:r>
          </w:p>
        </w:tc>
      </w:tr>
    </w:tbl>
    <w:p w:rsidR="00FC0CEF" w:rsidRPr="00990D3B" w:rsidP="00B5252D" w14:paraId="72B13BAF" w14:textId="77777777">
      <w:pPr>
        <w:pStyle w:val="ParagraphContinued"/>
      </w:pPr>
    </w:p>
    <w:p w:rsidR="002B40CC" w:rsidRPr="00990D3B" w14:paraId="19F9D0C8" w14:textId="0612A7FB">
      <w:pPr>
        <w:spacing w:line="240" w:lineRule="auto"/>
        <w:rPr>
          <w:rFonts w:ascii="Arial" w:eastAsia="Calibri" w:hAnsi="Arial"/>
          <w:sz w:val="22"/>
          <w:szCs w:val="23"/>
        </w:rPr>
      </w:pPr>
      <w:r w:rsidRPr="00990D3B">
        <w:br w:type="page"/>
      </w:r>
    </w:p>
    <w:p w:rsidR="00AB6BA6" w:rsidRPr="00990D3B" w:rsidP="00BD1FC3" w14:paraId="41AE1019" w14:textId="1185C58C">
      <w:pPr>
        <w:pStyle w:val="EQRMarkforExhibitWORKSHEET"/>
      </w:pPr>
      <w:bookmarkStart w:id="202" w:name="WSp1n7"/>
      <w:bookmarkStart w:id="203" w:name="_Toc125619139"/>
      <w:bookmarkStart w:id="204" w:name="_Toc201751484"/>
      <w:r w:rsidRPr="00990D3B">
        <w:t>W</w:t>
      </w:r>
      <w:r w:rsidRPr="00990D3B">
        <w:t>orksheet 1.7</w:t>
      </w:r>
      <w:bookmarkEnd w:id="202"/>
      <w:r w:rsidRPr="00990D3B">
        <w:t>. Review Data Analysis and Interpretation of PIP Results</w:t>
      </w:r>
      <w:bookmarkEnd w:id="203"/>
      <w:bookmarkEnd w:id="204"/>
    </w:p>
    <w:p w:rsidR="00AB6BA6" w:rsidRPr="00990D3B" w:rsidP="00BD1FC3" w14:paraId="4DAC6C71" w14:textId="1F441FA5">
      <w:pPr>
        <w:pStyle w:val="EQRNormalSSWORKSHEET"/>
      </w:pPr>
      <w:r w:rsidRPr="00990D3B">
        <w:rPr>
          <w:b/>
          <w:bCs/>
        </w:rPr>
        <w:t xml:space="preserve">Instructions. </w:t>
      </w:r>
      <w:r w:rsidRPr="00990D3B">
        <w:t>Assess whether the data analysis and interpretation w</w:t>
      </w:r>
      <w:r w:rsidRPr="00990D3B" w:rsidR="005776AD">
        <w:t>ere</w:t>
      </w:r>
      <w:r w:rsidRPr="00990D3B">
        <w:t xml:space="preserve"> appropriate by answering the following questions. Insert comments to explain “No” and “Not Applicable” responses. </w:t>
      </w:r>
    </w:p>
    <w:p w:rsidR="00FC0CEF" w:rsidRPr="00990D3B" w:rsidP="00B257C0" w14:paraId="5D7DCF00" w14:textId="6F866BEF">
      <w:pPr>
        <w:pStyle w:val="EQRNormalSSWORKSHEET"/>
      </w:pPr>
      <w:r w:rsidRPr="00990D3B">
        <w:t>Acronyms: MCP= Managed Care Plan; NA = Not Applicable; PIP = Performance Improvement Project.</w:t>
      </w:r>
    </w:p>
    <w:tbl>
      <w:tblPr>
        <w:tblStyle w:val="TableGrid"/>
        <w:tblW w:w="0" w:type="auto"/>
        <w:tblLook w:val="04A0"/>
      </w:tblPr>
      <w:tblGrid>
        <w:gridCol w:w="3841"/>
        <w:gridCol w:w="697"/>
        <w:gridCol w:w="769"/>
        <w:gridCol w:w="718"/>
        <w:gridCol w:w="3325"/>
      </w:tblGrid>
      <w:tr w14:paraId="02544E8E" w14:textId="77777777" w:rsidTr="00BD1FC3">
        <w:tblPrEx>
          <w:tblW w:w="0" w:type="auto"/>
          <w:tblLook w:val="04A0"/>
        </w:tblPrEx>
        <w:trPr>
          <w:tblHeader/>
        </w:trPr>
        <w:tc>
          <w:tcPr>
            <w:tcW w:w="3841" w:type="dxa"/>
            <w:vAlign w:val="bottom"/>
          </w:tcPr>
          <w:p w:rsidR="00AB6BA6" w:rsidRPr="00990D3B" w:rsidP="00D46E46" w14:paraId="6AC91153" w14:textId="77777777">
            <w:pPr>
              <w:pStyle w:val="EQRTableHeaderLeft"/>
              <w:rPr>
                <w:color w:val="auto"/>
              </w:rPr>
            </w:pPr>
            <w:r w:rsidRPr="00990D3B">
              <w:rPr>
                <w:color w:val="auto"/>
              </w:rPr>
              <w:t>Question</w:t>
            </w:r>
          </w:p>
        </w:tc>
        <w:tc>
          <w:tcPr>
            <w:tcW w:w="697" w:type="dxa"/>
            <w:vAlign w:val="bottom"/>
          </w:tcPr>
          <w:p w:rsidR="00AB6BA6" w:rsidRPr="00990D3B" w:rsidP="00D46E46" w14:paraId="3EAA9B08" w14:textId="77777777">
            <w:pPr>
              <w:pStyle w:val="EQRTableHeaderCenter"/>
              <w:rPr>
                <w:color w:val="auto"/>
              </w:rPr>
            </w:pPr>
            <w:r w:rsidRPr="00990D3B">
              <w:rPr>
                <w:color w:val="auto"/>
              </w:rPr>
              <w:t>Yes</w:t>
            </w:r>
          </w:p>
        </w:tc>
        <w:tc>
          <w:tcPr>
            <w:tcW w:w="769" w:type="dxa"/>
            <w:vAlign w:val="bottom"/>
          </w:tcPr>
          <w:p w:rsidR="00AB6BA6" w:rsidRPr="00990D3B" w:rsidP="00D46E46" w14:paraId="320A61BE" w14:textId="77777777">
            <w:pPr>
              <w:pStyle w:val="EQRTableHeaderCenter"/>
              <w:rPr>
                <w:color w:val="auto"/>
              </w:rPr>
            </w:pPr>
            <w:r w:rsidRPr="00990D3B">
              <w:rPr>
                <w:color w:val="auto"/>
              </w:rPr>
              <w:t>No</w:t>
            </w:r>
          </w:p>
        </w:tc>
        <w:tc>
          <w:tcPr>
            <w:tcW w:w="718" w:type="dxa"/>
            <w:vAlign w:val="bottom"/>
          </w:tcPr>
          <w:p w:rsidR="00AB6BA6" w:rsidRPr="00990D3B" w:rsidP="00D46E46" w14:paraId="535475B6" w14:textId="77777777">
            <w:pPr>
              <w:pStyle w:val="EQRTableHeaderCenter"/>
              <w:rPr>
                <w:color w:val="auto"/>
              </w:rPr>
            </w:pPr>
            <w:r w:rsidRPr="00990D3B">
              <w:rPr>
                <w:color w:val="auto"/>
              </w:rPr>
              <w:t>NA</w:t>
            </w:r>
          </w:p>
        </w:tc>
        <w:tc>
          <w:tcPr>
            <w:tcW w:w="3325" w:type="dxa"/>
            <w:vAlign w:val="bottom"/>
          </w:tcPr>
          <w:p w:rsidR="00AB6BA6" w:rsidRPr="00990D3B" w:rsidP="00D46E46" w14:paraId="6A34B017" w14:textId="77777777">
            <w:pPr>
              <w:pStyle w:val="EQRTableHeaderCenter"/>
              <w:rPr>
                <w:color w:val="auto"/>
              </w:rPr>
            </w:pPr>
            <w:r w:rsidRPr="00990D3B">
              <w:rPr>
                <w:color w:val="auto"/>
              </w:rPr>
              <w:t>Comments</w:t>
            </w:r>
          </w:p>
        </w:tc>
      </w:tr>
      <w:tr w14:paraId="379BED6C" w14:textId="77777777" w:rsidTr="00BD1FC3">
        <w:tblPrEx>
          <w:tblW w:w="0" w:type="auto"/>
          <w:tblLook w:val="04A0"/>
        </w:tblPrEx>
        <w:trPr>
          <w:cantSplit/>
        </w:trPr>
        <w:tc>
          <w:tcPr>
            <w:tcW w:w="3841" w:type="dxa"/>
            <w:vAlign w:val="center"/>
          </w:tcPr>
          <w:p w:rsidR="00AB6BA6" w:rsidRPr="00990D3B" w:rsidP="002628BB" w14:paraId="77565C26" w14:textId="77777777">
            <w:pPr>
              <w:pStyle w:val="EQRTableText"/>
            </w:pPr>
            <w:r w:rsidRPr="00990D3B">
              <w:t xml:space="preserve">7.1 Was the analysis conducted in accordance with the data analysis plan? </w:t>
            </w:r>
          </w:p>
        </w:tc>
        <w:tc>
          <w:tcPr>
            <w:tcW w:w="697" w:type="dxa"/>
          </w:tcPr>
          <w:p w:rsidR="00AB6BA6" w:rsidRPr="00990D3B" w:rsidP="00D46E46" w14:paraId="471A1159" w14:textId="77777777">
            <w:pPr>
              <w:pStyle w:val="EQRTableText"/>
            </w:pPr>
            <w:r w:rsidRPr="00990D3B">
              <w:t> </w:t>
            </w:r>
          </w:p>
        </w:tc>
        <w:tc>
          <w:tcPr>
            <w:tcW w:w="769" w:type="dxa"/>
          </w:tcPr>
          <w:p w:rsidR="00AB6BA6" w:rsidRPr="00990D3B" w:rsidP="00D46E46" w14:paraId="4E185155" w14:textId="77777777">
            <w:pPr>
              <w:pStyle w:val="EQRTableText"/>
            </w:pPr>
            <w:r w:rsidRPr="00990D3B">
              <w:t> </w:t>
            </w:r>
          </w:p>
        </w:tc>
        <w:tc>
          <w:tcPr>
            <w:tcW w:w="718" w:type="dxa"/>
          </w:tcPr>
          <w:p w:rsidR="00AB6BA6" w:rsidRPr="00990D3B" w:rsidP="00D46E46" w14:paraId="15F50718" w14:textId="77777777">
            <w:pPr>
              <w:pStyle w:val="EQRTableText"/>
            </w:pPr>
            <w:r w:rsidRPr="00990D3B">
              <w:t> </w:t>
            </w:r>
          </w:p>
        </w:tc>
        <w:tc>
          <w:tcPr>
            <w:tcW w:w="3325" w:type="dxa"/>
          </w:tcPr>
          <w:p w:rsidR="00AB6BA6" w:rsidRPr="00990D3B" w:rsidP="00D46E46" w14:paraId="741DD5B1" w14:textId="77777777">
            <w:pPr>
              <w:pStyle w:val="EQRTableText"/>
            </w:pPr>
            <w:r w:rsidRPr="00990D3B">
              <w:t> </w:t>
            </w:r>
          </w:p>
        </w:tc>
      </w:tr>
      <w:tr w14:paraId="6AFCA601" w14:textId="77777777" w:rsidTr="00BD1FC3">
        <w:tblPrEx>
          <w:tblW w:w="0" w:type="auto"/>
          <w:tblLook w:val="04A0"/>
        </w:tblPrEx>
        <w:tc>
          <w:tcPr>
            <w:tcW w:w="3841" w:type="dxa"/>
            <w:vAlign w:val="center"/>
          </w:tcPr>
          <w:p w:rsidR="00AB6BA6" w:rsidRPr="00990D3B" w:rsidP="002628BB" w14:paraId="73F02777" w14:textId="77777777">
            <w:pPr>
              <w:pStyle w:val="EQRTableText"/>
            </w:pPr>
            <w:r w:rsidRPr="00990D3B">
              <w:t>7.2 Did the analysis include baseline and repeat measurements of project outcomes?</w:t>
            </w:r>
          </w:p>
        </w:tc>
        <w:tc>
          <w:tcPr>
            <w:tcW w:w="697" w:type="dxa"/>
          </w:tcPr>
          <w:p w:rsidR="00AB6BA6" w:rsidRPr="00990D3B" w:rsidP="00D46E46" w14:paraId="5F26FB43" w14:textId="77777777">
            <w:pPr>
              <w:pStyle w:val="EQRTableText"/>
            </w:pPr>
            <w:r w:rsidRPr="00990D3B">
              <w:t> </w:t>
            </w:r>
          </w:p>
        </w:tc>
        <w:tc>
          <w:tcPr>
            <w:tcW w:w="769" w:type="dxa"/>
          </w:tcPr>
          <w:p w:rsidR="00AB6BA6" w:rsidRPr="00990D3B" w:rsidP="00D46E46" w14:paraId="75821D11" w14:textId="77777777">
            <w:pPr>
              <w:pStyle w:val="EQRTableText"/>
            </w:pPr>
            <w:r w:rsidRPr="00990D3B">
              <w:t> </w:t>
            </w:r>
          </w:p>
        </w:tc>
        <w:tc>
          <w:tcPr>
            <w:tcW w:w="718" w:type="dxa"/>
          </w:tcPr>
          <w:p w:rsidR="00AB6BA6" w:rsidRPr="00990D3B" w:rsidP="00D46E46" w14:paraId="1BA20C50" w14:textId="77777777">
            <w:pPr>
              <w:pStyle w:val="EQRTableText"/>
            </w:pPr>
            <w:r w:rsidRPr="00990D3B">
              <w:t> </w:t>
            </w:r>
          </w:p>
        </w:tc>
        <w:tc>
          <w:tcPr>
            <w:tcW w:w="3325" w:type="dxa"/>
          </w:tcPr>
          <w:p w:rsidR="00AB6BA6" w:rsidRPr="00990D3B" w:rsidP="00D46E46" w14:paraId="32BF2BB6" w14:textId="77777777">
            <w:pPr>
              <w:pStyle w:val="EQRTableText"/>
            </w:pPr>
            <w:r w:rsidRPr="00990D3B">
              <w:t> </w:t>
            </w:r>
          </w:p>
        </w:tc>
      </w:tr>
      <w:tr w14:paraId="5AE0F24F" w14:textId="77777777" w:rsidTr="00BD1FC3">
        <w:tblPrEx>
          <w:tblW w:w="0" w:type="auto"/>
          <w:tblLook w:val="04A0"/>
        </w:tblPrEx>
        <w:tc>
          <w:tcPr>
            <w:tcW w:w="3841" w:type="dxa"/>
            <w:vAlign w:val="center"/>
          </w:tcPr>
          <w:p w:rsidR="00AB6BA6" w:rsidRPr="00990D3B" w:rsidP="002628BB" w14:paraId="797959BD" w14:textId="77777777">
            <w:pPr>
              <w:pStyle w:val="EQRTableText"/>
            </w:pPr>
            <w:r w:rsidRPr="00990D3B">
              <w:t>7.3 Did the analysis assess the statistical significance of any differences between the initial and repeat measurements?</w:t>
            </w:r>
          </w:p>
        </w:tc>
        <w:tc>
          <w:tcPr>
            <w:tcW w:w="697" w:type="dxa"/>
          </w:tcPr>
          <w:p w:rsidR="00AB6BA6" w:rsidRPr="00990D3B" w:rsidP="00D46E46" w14:paraId="3F749EB9" w14:textId="77777777">
            <w:pPr>
              <w:pStyle w:val="EQRTableText"/>
            </w:pPr>
            <w:r w:rsidRPr="00990D3B">
              <w:t> </w:t>
            </w:r>
          </w:p>
        </w:tc>
        <w:tc>
          <w:tcPr>
            <w:tcW w:w="769" w:type="dxa"/>
          </w:tcPr>
          <w:p w:rsidR="00AB6BA6" w:rsidRPr="00990D3B" w:rsidP="00D46E46" w14:paraId="77F9EACE" w14:textId="77777777">
            <w:pPr>
              <w:pStyle w:val="EQRTableText"/>
            </w:pPr>
            <w:r w:rsidRPr="00990D3B">
              <w:t> </w:t>
            </w:r>
          </w:p>
        </w:tc>
        <w:tc>
          <w:tcPr>
            <w:tcW w:w="718" w:type="dxa"/>
          </w:tcPr>
          <w:p w:rsidR="00AB6BA6" w:rsidRPr="00990D3B" w:rsidP="00D46E46" w14:paraId="49B1EB9A" w14:textId="77777777">
            <w:pPr>
              <w:pStyle w:val="EQRTableText"/>
            </w:pPr>
            <w:r w:rsidRPr="00990D3B">
              <w:t> </w:t>
            </w:r>
          </w:p>
        </w:tc>
        <w:tc>
          <w:tcPr>
            <w:tcW w:w="3325" w:type="dxa"/>
          </w:tcPr>
          <w:p w:rsidR="00AB6BA6" w:rsidRPr="00990D3B" w:rsidP="00D46E46" w14:paraId="49A85C12" w14:textId="77777777">
            <w:pPr>
              <w:pStyle w:val="EQRTableText"/>
            </w:pPr>
            <w:r w:rsidRPr="00990D3B">
              <w:t> </w:t>
            </w:r>
          </w:p>
        </w:tc>
      </w:tr>
      <w:tr w14:paraId="78DF49A3" w14:textId="77777777" w:rsidTr="00BD1FC3">
        <w:tblPrEx>
          <w:tblW w:w="0" w:type="auto"/>
          <w:tblLook w:val="04A0"/>
        </w:tblPrEx>
        <w:tc>
          <w:tcPr>
            <w:tcW w:w="3841" w:type="dxa"/>
            <w:vAlign w:val="center"/>
          </w:tcPr>
          <w:p w:rsidR="00AB6BA6" w:rsidRPr="00990D3B" w:rsidP="002628BB" w14:paraId="02BC9D64" w14:textId="77777777">
            <w:pPr>
              <w:pStyle w:val="EQRTableText"/>
            </w:pPr>
            <w:r w:rsidRPr="00990D3B">
              <w:t xml:space="preserve">7.4 Did the analysis account for factors that may influence the comparability of initial and repeat measurements? </w:t>
            </w:r>
          </w:p>
        </w:tc>
        <w:tc>
          <w:tcPr>
            <w:tcW w:w="697" w:type="dxa"/>
          </w:tcPr>
          <w:p w:rsidR="00AB6BA6" w:rsidRPr="00990D3B" w:rsidP="00D46E46" w14:paraId="18EEACE5" w14:textId="77777777">
            <w:pPr>
              <w:pStyle w:val="EQRTableText"/>
            </w:pPr>
            <w:r w:rsidRPr="00990D3B">
              <w:t> </w:t>
            </w:r>
          </w:p>
        </w:tc>
        <w:tc>
          <w:tcPr>
            <w:tcW w:w="769" w:type="dxa"/>
          </w:tcPr>
          <w:p w:rsidR="00AB6BA6" w:rsidRPr="00990D3B" w:rsidP="00D46E46" w14:paraId="176B7D13" w14:textId="77777777">
            <w:pPr>
              <w:pStyle w:val="EQRTableText"/>
            </w:pPr>
            <w:r w:rsidRPr="00990D3B">
              <w:t> </w:t>
            </w:r>
          </w:p>
        </w:tc>
        <w:tc>
          <w:tcPr>
            <w:tcW w:w="718" w:type="dxa"/>
          </w:tcPr>
          <w:p w:rsidR="00AB6BA6" w:rsidRPr="00990D3B" w:rsidP="00D46E46" w14:paraId="11AA0F02" w14:textId="77777777">
            <w:pPr>
              <w:pStyle w:val="EQRTableText"/>
            </w:pPr>
            <w:r w:rsidRPr="00990D3B">
              <w:t> </w:t>
            </w:r>
          </w:p>
        </w:tc>
        <w:tc>
          <w:tcPr>
            <w:tcW w:w="3325" w:type="dxa"/>
          </w:tcPr>
          <w:p w:rsidR="00AB6BA6" w:rsidRPr="00990D3B" w:rsidP="00D46E46" w14:paraId="440E6FAE" w14:textId="77777777">
            <w:pPr>
              <w:pStyle w:val="EQRTableText"/>
            </w:pPr>
            <w:r w:rsidRPr="00990D3B">
              <w:t> </w:t>
            </w:r>
          </w:p>
        </w:tc>
      </w:tr>
      <w:tr w14:paraId="180D9C07" w14:textId="77777777" w:rsidTr="00BD1FC3">
        <w:tblPrEx>
          <w:tblW w:w="0" w:type="auto"/>
          <w:tblLook w:val="04A0"/>
        </w:tblPrEx>
        <w:tc>
          <w:tcPr>
            <w:tcW w:w="3841" w:type="dxa"/>
            <w:vAlign w:val="center"/>
          </w:tcPr>
          <w:p w:rsidR="00AB6BA6" w:rsidRPr="00990D3B" w:rsidP="002628BB" w14:paraId="2918F3D8" w14:textId="77777777">
            <w:pPr>
              <w:pStyle w:val="EQRTableText"/>
            </w:pPr>
            <w:r w:rsidRPr="00990D3B">
              <w:t xml:space="preserve">7.5 Did the analysis account for factors that may threaten the internal or external validity of the findings? </w:t>
            </w:r>
          </w:p>
        </w:tc>
        <w:tc>
          <w:tcPr>
            <w:tcW w:w="697" w:type="dxa"/>
          </w:tcPr>
          <w:p w:rsidR="00AB6BA6" w:rsidRPr="00990D3B" w:rsidP="00D46E46" w14:paraId="3D4F623C" w14:textId="77777777">
            <w:pPr>
              <w:pStyle w:val="EQRTableText"/>
            </w:pPr>
            <w:r w:rsidRPr="00990D3B">
              <w:t> </w:t>
            </w:r>
          </w:p>
        </w:tc>
        <w:tc>
          <w:tcPr>
            <w:tcW w:w="769" w:type="dxa"/>
          </w:tcPr>
          <w:p w:rsidR="00AB6BA6" w:rsidRPr="00990D3B" w:rsidP="00D46E46" w14:paraId="29787D8D" w14:textId="77777777">
            <w:pPr>
              <w:pStyle w:val="EQRTableText"/>
            </w:pPr>
            <w:r w:rsidRPr="00990D3B">
              <w:t> </w:t>
            </w:r>
          </w:p>
        </w:tc>
        <w:tc>
          <w:tcPr>
            <w:tcW w:w="718" w:type="dxa"/>
          </w:tcPr>
          <w:p w:rsidR="00AB6BA6" w:rsidRPr="00990D3B" w:rsidP="00D46E46" w14:paraId="0E755754" w14:textId="77777777">
            <w:pPr>
              <w:pStyle w:val="EQRTableText"/>
            </w:pPr>
            <w:r w:rsidRPr="00990D3B">
              <w:t> </w:t>
            </w:r>
          </w:p>
        </w:tc>
        <w:tc>
          <w:tcPr>
            <w:tcW w:w="3325" w:type="dxa"/>
          </w:tcPr>
          <w:p w:rsidR="00AB6BA6" w:rsidRPr="00990D3B" w:rsidP="00D46E46" w14:paraId="46A3E178" w14:textId="77777777">
            <w:pPr>
              <w:pStyle w:val="EQRTableText"/>
            </w:pPr>
            <w:r w:rsidRPr="00990D3B">
              <w:t> </w:t>
            </w:r>
          </w:p>
        </w:tc>
      </w:tr>
      <w:tr w14:paraId="77DD316E" w14:textId="77777777" w:rsidTr="00BD1FC3">
        <w:tblPrEx>
          <w:tblW w:w="0" w:type="auto"/>
          <w:tblLook w:val="04A0"/>
        </w:tblPrEx>
        <w:tc>
          <w:tcPr>
            <w:tcW w:w="3841" w:type="dxa"/>
            <w:vAlign w:val="center"/>
          </w:tcPr>
          <w:p w:rsidR="00AB6BA6" w:rsidRPr="00990D3B" w:rsidP="002628BB" w14:paraId="5D276D71" w14:textId="77F973E8">
            <w:pPr>
              <w:pStyle w:val="EQRTableText"/>
            </w:pPr>
            <w:r w:rsidRPr="00990D3B">
              <w:t xml:space="preserve">7.6 Did the PIP compare the results across multiple entities, such as patient subgroups, provider sites, or MCPs? </w:t>
            </w:r>
          </w:p>
          <w:p w:rsidR="00AB6BA6" w:rsidRPr="00990D3B" w:rsidP="00AB6BA6" w14:paraId="4C9E6B08" w14:textId="63C2F78F">
            <w:pPr>
              <w:pStyle w:val="EQRTableTextbullet"/>
              <w:spacing w:line="240" w:lineRule="auto"/>
              <w:ind w:left="216" w:hanging="216"/>
            </w:pPr>
            <w:r w:rsidRPr="00990D3B">
              <w:t xml:space="preserve">Comparing the performance across multiple entities involves greater statistical design and analytical considerations than those required for a project assessing </w:t>
            </w:r>
            <w:r w:rsidRPr="00990D3B" w:rsidR="00736863">
              <w:t xml:space="preserve">the </w:t>
            </w:r>
            <w:r w:rsidRPr="00990D3B">
              <w:t>performance of a single entity, such as an MCP, over time</w:t>
            </w:r>
            <w:r w:rsidRPr="00990D3B" w:rsidR="00662403">
              <w:t>.</w:t>
            </w:r>
          </w:p>
        </w:tc>
        <w:tc>
          <w:tcPr>
            <w:tcW w:w="697" w:type="dxa"/>
          </w:tcPr>
          <w:p w:rsidR="00AB6BA6" w:rsidRPr="00990D3B" w:rsidP="00D46E46" w14:paraId="747CE9B8" w14:textId="77777777">
            <w:pPr>
              <w:pStyle w:val="EQRTableText"/>
            </w:pPr>
            <w:r w:rsidRPr="00990D3B">
              <w:t> </w:t>
            </w:r>
          </w:p>
        </w:tc>
        <w:tc>
          <w:tcPr>
            <w:tcW w:w="769" w:type="dxa"/>
          </w:tcPr>
          <w:p w:rsidR="00AB6BA6" w:rsidRPr="00990D3B" w:rsidP="00D46E46" w14:paraId="771F338C" w14:textId="77777777">
            <w:pPr>
              <w:pStyle w:val="EQRTableText"/>
            </w:pPr>
            <w:r w:rsidRPr="00990D3B">
              <w:t> </w:t>
            </w:r>
          </w:p>
        </w:tc>
        <w:tc>
          <w:tcPr>
            <w:tcW w:w="718" w:type="dxa"/>
          </w:tcPr>
          <w:p w:rsidR="00AB6BA6" w:rsidRPr="00990D3B" w:rsidP="00D46E46" w14:paraId="03097DDF" w14:textId="77777777">
            <w:pPr>
              <w:pStyle w:val="EQRTableText"/>
            </w:pPr>
            <w:r w:rsidRPr="00990D3B">
              <w:t> </w:t>
            </w:r>
          </w:p>
        </w:tc>
        <w:tc>
          <w:tcPr>
            <w:tcW w:w="3325" w:type="dxa"/>
          </w:tcPr>
          <w:p w:rsidR="00AB6BA6" w:rsidRPr="00990D3B" w:rsidP="00D46E46" w14:paraId="1E2E78CE" w14:textId="77777777">
            <w:pPr>
              <w:pStyle w:val="EQRTableText"/>
            </w:pPr>
            <w:r w:rsidRPr="00990D3B">
              <w:t> </w:t>
            </w:r>
          </w:p>
        </w:tc>
      </w:tr>
      <w:tr w14:paraId="50FF0536" w14:textId="77777777" w:rsidTr="00BD1FC3">
        <w:tblPrEx>
          <w:tblW w:w="0" w:type="auto"/>
          <w:tblLook w:val="04A0"/>
        </w:tblPrEx>
        <w:tc>
          <w:tcPr>
            <w:tcW w:w="3841" w:type="dxa"/>
            <w:vAlign w:val="center"/>
          </w:tcPr>
          <w:p w:rsidR="00AB6BA6" w:rsidRPr="00990D3B" w:rsidP="002628BB" w14:paraId="7BBE3B73" w14:textId="608F70D2">
            <w:pPr>
              <w:pStyle w:val="EQRTableText"/>
            </w:pPr>
            <w:r w:rsidRPr="00990D3B">
              <w:t xml:space="preserve">7.7 Were PIP results and findings presented </w:t>
            </w:r>
            <w:r w:rsidRPr="00990D3B" w:rsidR="00736863">
              <w:t>concisely and easily understood</w:t>
            </w:r>
            <w:r w:rsidRPr="00990D3B">
              <w:t>?</w:t>
            </w:r>
          </w:p>
        </w:tc>
        <w:tc>
          <w:tcPr>
            <w:tcW w:w="697" w:type="dxa"/>
          </w:tcPr>
          <w:p w:rsidR="00AB6BA6" w:rsidRPr="00990D3B" w:rsidP="00D46E46" w14:paraId="4BFB9999" w14:textId="77777777">
            <w:pPr>
              <w:pStyle w:val="EQRTableText"/>
            </w:pPr>
            <w:r w:rsidRPr="00990D3B">
              <w:t> </w:t>
            </w:r>
          </w:p>
        </w:tc>
        <w:tc>
          <w:tcPr>
            <w:tcW w:w="769" w:type="dxa"/>
          </w:tcPr>
          <w:p w:rsidR="00AB6BA6" w:rsidRPr="00990D3B" w:rsidP="00D46E46" w14:paraId="0E404EF0" w14:textId="77777777">
            <w:pPr>
              <w:pStyle w:val="EQRTableText"/>
            </w:pPr>
            <w:r w:rsidRPr="00990D3B">
              <w:t> </w:t>
            </w:r>
          </w:p>
        </w:tc>
        <w:tc>
          <w:tcPr>
            <w:tcW w:w="718" w:type="dxa"/>
          </w:tcPr>
          <w:p w:rsidR="00AB6BA6" w:rsidRPr="00990D3B" w:rsidP="00D46E46" w14:paraId="5421042F" w14:textId="77777777">
            <w:pPr>
              <w:pStyle w:val="EQRTableText"/>
            </w:pPr>
            <w:r w:rsidRPr="00990D3B">
              <w:t> </w:t>
            </w:r>
          </w:p>
        </w:tc>
        <w:tc>
          <w:tcPr>
            <w:tcW w:w="3325" w:type="dxa"/>
          </w:tcPr>
          <w:p w:rsidR="00AB6BA6" w:rsidRPr="00990D3B" w:rsidP="00D46E46" w14:paraId="11AA655B" w14:textId="77777777">
            <w:pPr>
              <w:pStyle w:val="EQRTableText"/>
            </w:pPr>
            <w:r w:rsidRPr="00990D3B">
              <w:t> </w:t>
            </w:r>
          </w:p>
        </w:tc>
      </w:tr>
      <w:tr w14:paraId="50C92207" w14:textId="77777777" w:rsidTr="00BD1FC3">
        <w:tblPrEx>
          <w:tblW w:w="0" w:type="auto"/>
          <w:tblLook w:val="04A0"/>
        </w:tblPrEx>
        <w:tc>
          <w:tcPr>
            <w:tcW w:w="3841" w:type="dxa"/>
            <w:vAlign w:val="center"/>
          </w:tcPr>
          <w:p w:rsidR="00AB6BA6" w:rsidRPr="00990D3B" w:rsidP="002628BB" w14:paraId="6277C873" w14:textId="77777777">
            <w:pPr>
              <w:pStyle w:val="EQRTableText"/>
            </w:pPr>
            <w:r w:rsidRPr="00990D3B">
              <w:t>7.8 To foster continuous quality improvement, did the analysis and interpretation of the PIP data include lessons learned about less-than-optimal performance?</w:t>
            </w:r>
          </w:p>
          <w:p w:rsidR="00AB6BA6" w:rsidRPr="00990D3B" w:rsidP="00AB6BA6" w14:paraId="2851C9D5" w14:textId="77777777">
            <w:pPr>
              <w:pStyle w:val="EQRTableTextbullet"/>
              <w:spacing w:line="240" w:lineRule="auto"/>
              <w:ind w:left="216" w:hanging="216"/>
            </w:pPr>
            <w:r w:rsidRPr="00990D3B">
              <w:t>Analysis and interpretation of the PIP data should be based on a continuous improvement philosophy and reflect on lessons learned and opportunities for improvement</w:t>
            </w:r>
          </w:p>
        </w:tc>
        <w:tc>
          <w:tcPr>
            <w:tcW w:w="697" w:type="dxa"/>
          </w:tcPr>
          <w:p w:rsidR="00AB6BA6" w:rsidRPr="00990D3B" w:rsidP="00D46E46" w14:paraId="64B8B2FD" w14:textId="77777777">
            <w:pPr>
              <w:pStyle w:val="EQRTableText"/>
            </w:pPr>
            <w:r w:rsidRPr="00990D3B">
              <w:t> </w:t>
            </w:r>
          </w:p>
        </w:tc>
        <w:tc>
          <w:tcPr>
            <w:tcW w:w="769" w:type="dxa"/>
          </w:tcPr>
          <w:p w:rsidR="00AB6BA6" w:rsidRPr="00990D3B" w:rsidP="00D46E46" w14:paraId="1CB7801C" w14:textId="77777777">
            <w:pPr>
              <w:pStyle w:val="EQRTableText"/>
            </w:pPr>
            <w:r w:rsidRPr="00990D3B">
              <w:t> </w:t>
            </w:r>
          </w:p>
        </w:tc>
        <w:tc>
          <w:tcPr>
            <w:tcW w:w="718" w:type="dxa"/>
          </w:tcPr>
          <w:p w:rsidR="00AB6BA6" w:rsidRPr="00990D3B" w:rsidP="00D46E46" w14:paraId="46BA70BD" w14:textId="77777777">
            <w:pPr>
              <w:pStyle w:val="EQRTableText"/>
            </w:pPr>
            <w:r w:rsidRPr="00990D3B">
              <w:t> </w:t>
            </w:r>
          </w:p>
        </w:tc>
        <w:tc>
          <w:tcPr>
            <w:tcW w:w="3325" w:type="dxa"/>
          </w:tcPr>
          <w:p w:rsidR="00AB6BA6" w:rsidRPr="00990D3B" w:rsidP="00D46E46" w14:paraId="7983CFD5" w14:textId="77777777">
            <w:pPr>
              <w:pStyle w:val="EQRTableText"/>
            </w:pPr>
            <w:r w:rsidRPr="00990D3B">
              <w:t> </w:t>
            </w:r>
          </w:p>
        </w:tc>
      </w:tr>
      <w:tr w14:paraId="7DD9DECE" w14:textId="77777777" w:rsidTr="00BD1FC3">
        <w:tblPrEx>
          <w:tblW w:w="0" w:type="auto"/>
          <w:tblLook w:val="04A0"/>
        </w:tblPrEx>
        <w:tc>
          <w:tcPr>
            <w:tcW w:w="3841" w:type="dxa"/>
            <w:vAlign w:val="center"/>
          </w:tcPr>
          <w:p w:rsidR="00AB6BA6" w:rsidRPr="00990D3B" w:rsidP="002628BB" w14:paraId="4F2B45ED" w14:textId="3DC7800E">
            <w:pPr>
              <w:pStyle w:val="EQRTableText"/>
            </w:pPr>
            <w:r w:rsidRPr="00990D3B">
              <w:t>7.9 Overall assessment: In the comments section, note any recommendations for improving the analysis and interpretation of PIP results</w:t>
            </w:r>
            <w:r w:rsidRPr="00990D3B" w:rsidR="00662403">
              <w:t>.</w:t>
            </w:r>
          </w:p>
        </w:tc>
        <w:tc>
          <w:tcPr>
            <w:tcW w:w="697" w:type="dxa"/>
            <w:shd w:val="clear" w:color="auto" w:fill="D9D9D9" w:themeFill="background1" w:themeFillShade="D9"/>
          </w:tcPr>
          <w:p w:rsidR="00AB6BA6" w:rsidRPr="00990D3B" w:rsidP="00D46E46" w14:paraId="4A2677B4" w14:textId="77777777">
            <w:pPr>
              <w:pStyle w:val="EQRTableText"/>
            </w:pPr>
            <w:r w:rsidRPr="00990D3B">
              <w:t> </w:t>
            </w:r>
          </w:p>
        </w:tc>
        <w:tc>
          <w:tcPr>
            <w:tcW w:w="769" w:type="dxa"/>
            <w:shd w:val="clear" w:color="auto" w:fill="D9D9D9" w:themeFill="background1" w:themeFillShade="D9"/>
          </w:tcPr>
          <w:p w:rsidR="00AB6BA6" w:rsidRPr="00990D3B" w:rsidP="00D46E46" w14:paraId="40CB0FBA" w14:textId="77777777">
            <w:pPr>
              <w:pStyle w:val="EQRTableText"/>
            </w:pPr>
            <w:r w:rsidRPr="00990D3B">
              <w:t> </w:t>
            </w:r>
          </w:p>
        </w:tc>
        <w:tc>
          <w:tcPr>
            <w:tcW w:w="718" w:type="dxa"/>
            <w:shd w:val="clear" w:color="auto" w:fill="D9D9D9" w:themeFill="background1" w:themeFillShade="D9"/>
          </w:tcPr>
          <w:p w:rsidR="00AB6BA6" w:rsidRPr="00990D3B" w:rsidP="00D46E46" w14:paraId="49273C85" w14:textId="77777777">
            <w:pPr>
              <w:pStyle w:val="EQRTableText"/>
            </w:pPr>
            <w:r w:rsidRPr="00990D3B">
              <w:t> </w:t>
            </w:r>
          </w:p>
        </w:tc>
        <w:tc>
          <w:tcPr>
            <w:tcW w:w="3325" w:type="dxa"/>
          </w:tcPr>
          <w:p w:rsidR="00AB6BA6" w:rsidRPr="00990D3B" w:rsidP="00D46E46" w14:paraId="01498E04" w14:textId="77777777">
            <w:pPr>
              <w:pStyle w:val="EQRTableText"/>
            </w:pPr>
            <w:r w:rsidRPr="00990D3B">
              <w:t> </w:t>
            </w:r>
          </w:p>
        </w:tc>
      </w:tr>
    </w:tbl>
    <w:p w:rsidR="00FC0CEF" w:rsidRPr="00990D3B" w:rsidP="00B5252D" w14:paraId="0D692FA4" w14:textId="77777777">
      <w:pPr>
        <w:pStyle w:val="ParagraphContinued"/>
      </w:pPr>
    </w:p>
    <w:p w:rsidR="00347C3A" w:rsidRPr="00990D3B" w:rsidP="00BD1FC3" w14:paraId="2C3E5440" w14:textId="5958079A">
      <w:pPr>
        <w:spacing w:line="240" w:lineRule="auto"/>
        <w:rPr>
          <w:rFonts w:ascii="Arial Black" w:eastAsia="Arial" w:hAnsi="Arial Black" w:cs="Arial"/>
          <w:color w:val="000000" w:themeColor="text1"/>
          <w:sz w:val="19"/>
          <w:szCs w:val="19"/>
        </w:rPr>
      </w:pPr>
      <w:bookmarkStart w:id="205" w:name="WSp1n8"/>
      <w:r w:rsidRPr="00990D3B">
        <w:br w:type="page"/>
      </w:r>
    </w:p>
    <w:p w:rsidR="00AB6BA6" w:rsidRPr="00990D3B" w:rsidP="00BD1FC3" w14:paraId="46E2BB5E" w14:textId="33FC6D69">
      <w:pPr>
        <w:pStyle w:val="EQRMarkforExhibitWORKSHEET"/>
      </w:pPr>
      <w:bookmarkStart w:id="206" w:name="_Toc125619140"/>
      <w:bookmarkStart w:id="207" w:name="_Toc201751485"/>
      <w:r w:rsidRPr="00990D3B">
        <w:t>Worksheet 1.8</w:t>
      </w:r>
      <w:bookmarkEnd w:id="205"/>
      <w:r w:rsidRPr="00990D3B">
        <w:t xml:space="preserve">. Assess the </w:t>
      </w:r>
      <w:r w:rsidRPr="00990D3B" w:rsidR="007D5CC7">
        <w:t xml:space="preserve">PIP </w:t>
      </w:r>
      <w:r w:rsidRPr="00990D3B">
        <w:t>Improvement Strategies</w:t>
      </w:r>
      <w:bookmarkEnd w:id="206"/>
      <w:bookmarkEnd w:id="207"/>
    </w:p>
    <w:p w:rsidR="00AB6BA6" w:rsidRPr="00990D3B" w:rsidP="00BD1FC3" w14:paraId="033AEB0E" w14:textId="6E53EE3E">
      <w:pPr>
        <w:pStyle w:val="EQRNormalSSWORKSHEET"/>
      </w:pPr>
      <w:r w:rsidRPr="00990D3B">
        <w:rPr>
          <w:b/>
          <w:bCs/>
        </w:rPr>
        <w:t xml:space="preserve">Instructions. </w:t>
      </w:r>
      <w:r w:rsidRPr="00990D3B">
        <w:t xml:space="preserve">Assess whether the selected improvement strategies were appropriate for achieving improvement by answering the following questions. Insert comments to explain “No” and “Not Applicable” responses. </w:t>
      </w:r>
    </w:p>
    <w:p w:rsidR="00FC0CEF" w:rsidRPr="00990D3B" w:rsidP="00BD1FC3" w14:paraId="5A2B2A75" w14:textId="45089DAD">
      <w:pPr>
        <w:pStyle w:val="EQRNormalSSWORKSHEET"/>
        <w:rPr>
          <w:sz w:val="20"/>
          <w:szCs w:val="20"/>
        </w:rPr>
      </w:pPr>
      <w:r w:rsidRPr="00990D3B">
        <w:rPr>
          <w:rFonts w:asciiTheme="majorHAnsi" w:hAnsiTheme="majorHAnsi" w:cstheme="majorHAnsi"/>
        </w:rPr>
        <w:t>Acronyms: NA = Not Applicable; PDSA = Plan Do Study Act; PIP = Performance Improvement Project.</w:t>
      </w:r>
    </w:p>
    <w:tbl>
      <w:tblPr>
        <w:tblStyle w:val="TableGrid"/>
        <w:tblW w:w="5000" w:type="pct"/>
        <w:tblLayout w:type="fixed"/>
        <w:tblLook w:val="04A0"/>
      </w:tblPr>
      <w:tblGrid>
        <w:gridCol w:w="4405"/>
        <w:gridCol w:w="540"/>
        <w:gridCol w:w="540"/>
        <w:gridCol w:w="720"/>
        <w:gridCol w:w="3145"/>
      </w:tblGrid>
      <w:tr w14:paraId="068B481F" w14:textId="77777777" w:rsidTr="00BD1FC3">
        <w:tblPrEx>
          <w:tblW w:w="5000" w:type="pct"/>
          <w:tblLayout w:type="fixed"/>
          <w:tblLook w:val="04A0"/>
        </w:tblPrEx>
        <w:trPr>
          <w:cantSplit/>
          <w:tblHeader/>
        </w:trPr>
        <w:tc>
          <w:tcPr>
            <w:tcW w:w="4405" w:type="dxa"/>
            <w:vAlign w:val="bottom"/>
          </w:tcPr>
          <w:p w:rsidR="00AB6BA6" w:rsidRPr="00990D3B" w:rsidP="006D6FE0" w14:paraId="06582CC4" w14:textId="77777777">
            <w:pPr>
              <w:pStyle w:val="EQRTableHeaderLeft"/>
              <w:rPr>
                <w:color w:val="auto"/>
              </w:rPr>
            </w:pPr>
            <w:r w:rsidRPr="00990D3B">
              <w:rPr>
                <w:color w:val="auto"/>
              </w:rPr>
              <w:t>Question</w:t>
            </w:r>
          </w:p>
        </w:tc>
        <w:tc>
          <w:tcPr>
            <w:tcW w:w="540" w:type="dxa"/>
            <w:vAlign w:val="bottom"/>
          </w:tcPr>
          <w:p w:rsidR="00AB6BA6" w:rsidRPr="00990D3B" w:rsidP="006D6FE0" w14:paraId="7FBA02EA" w14:textId="77777777">
            <w:pPr>
              <w:pStyle w:val="EQRTableHeaderCenter"/>
              <w:rPr>
                <w:color w:val="auto"/>
              </w:rPr>
            </w:pPr>
            <w:r w:rsidRPr="00990D3B">
              <w:rPr>
                <w:color w:val="auto"/>
              </w:rPr>
              <w:t>Yes</w:t>
            </w:r>
          </w:p>
        </w:tc>
        <w:tc>
          <w:tcPr>
            <w:tcW w:w="540" w:type="dxa"/>
            <w:vAlign w:val="bottom"/>
          </w:tcPr>
          <w:p w:rsidR="00AB6BA6" w:rsidRPr="00990D3B" w:rsidP="006D6FE0" w14:paraId="1E0EC62F" w14:textId="77777777">
            <w:pPr>
              <w:pStyle w:val="EQRTableHeaderCenter"/>
              <w:rPr>
                <w:color w:val="auto"/>
              </w:rPr>
            </w:pPr>
            <w:r w:rsidRPr="00990D3B">
              <w:rPr>
                <w:color w:val="auto"/>
              </w:rPr>
              <w:t>No</w:t>
            </w:r>
          </w:p>
        </w:tc>
        <w:tc>
          <w:tcPr>
            <w:tcW w:w="720" w:type="dxa"/>
            <w:vAlign w:val="bottom"/>
          </w:tcPr>
          <w:p w:rsidR="00AB6BA6" w:rsidRPr="00990D3B" w:rsidP="006D6FE0" w14:paraId="37D5B518" w14:textId="77777777">
            <w:pPr>
              <w:pStyle w:val="EQRTableHeaderCenter"/>
              <w:rPr>
                <w:color w:val="auto"/>
              </w:rPr>
            </w:pPr>
            <w:r w:rsidRPr="00990D3B">
              <w:rPr>
                <w:color w:val="auto"/>
              </w:rPr>
              <w:t>NA</w:t>
            </w:r>
          </w:p>
        </w:tc>
        <w:tc>
          <w:tcPr>
            <w:tcW w:w="3145" w:type="dxa"/>
            <w:vAlign w:val="bottom"/>
          </w:tcPr>
          <w:p w:rsidR="00AB6BA6" w:rsidRPr="00990D3B" w:rsidP="006D6FE0" w14:paraId="1C912027" w14:textId="77777777">
            <w:pPr>
              <w:pStyle w:val="EQRTableHeaderCenter"/>
              <w:rPr>
                <w:color w:val="auto"/>
              </w:rPr>
            </w:pPr>
            <w:r w:rsidRPr="00990D3B">
              <w:rPr>
                <w:color w:val="auto"/>
              </w:rPr>
              <w:t>Comments</w:t>
            </w:r>
          </w:p>
        </w:tc>
      </w:tr>
      <w:tr w14:paraId="3E66960E" w14:textId="77777777" w:rsidTr="00BD1FC3">
        <w:tblPrEx>
          <w:tblW w:w="5000" w:type="pct"/>
          <w:tblLayout w:type="fixed"/>
          <w:tblLook w:val="04A0"/>
        </w:tblPrEx>
        <w:trPr>
          <w:cantSplit/>
        </w:trPr>
        <w:tc>
          <w:tcPr>
            <w:tcW w:w="4405" w:type="dxa"/>
          </w:tcPr>
          <w:p w:rsidR="00AB6BA6" w:rsidRPr="00990D3B" w:rsidP="00D46E46" w14:paraId="285A7979" w14:textId="5BB8E2F8">
            <w:pPr>
              <w:pStyle w:val="EQRTableText"/>
            </w:pPr>
            <w:r w:rsidRPr="00990D3B">
              <w:t>8.1 Was the selected improvement strategy evidence-based</w:t>
            </w:r>
            <w:r w:rsidRPr="00990D3B" w:rsidR="00736863">
              <w:t>? Was</w:t>
            </w:r>
            <w:r w:rsidRPr="00990D3B">
              <w:t xml:space="preserve"> there existing evidence (published or unpublished) suggesting that the test of change would be likely to lead to the desired improvement in processes or outcomes (as measured by the PIP variables)? </w:t>
            </w:r>
          </w:p>
        </w:tc>
        <w:tc>
          <w:tcPr>
            <w:tcW w:w="540" w:type="dxa"/>
          </w:tcPr>
          <w:p w:rsidR="00AB6BA6" w:rsidRPr="00990D3B" w:rsidP="00D46E46" w14:paraId="31F2D0E1" w14:textId="77777777">
            <w:pPr>
              <w:pStyle w:val="EQRTableText"/>
            </w:pPr>
            <w:r w:rsidRPr="00990D3B">
              <w:t> </w:t>
            </w:r>
          </w:p>
        </w:tc>
        <w:tc>
          <w:tcPr>
            <w:tcW w:w="540" w:type="dxa"/>
          </w:tcPr>
          <w:p w:rsidR="00AB6BA6" w:rsidRPr="00990D3B" w:rsidP="00D46E46" w14:paraId="4B440AE0" w14:textId="77777777">
            <w:pPr>
              <w:pStyle w:val="EQRTableText"/>
            </w:pPr>
            <w:r w:rsidRPr="00990D3B">
              <w:t> </w:t>
            </w:r>
          </w:p>
        </w:tc>
        <w:tc>
          <w:tcPr>
            <w:tcW w:w="720" w:type="dxa"/>
          </w:tcPr>
          <w:p w:rsidR="00AB6BA6" w:rsidRPr="00990D3B" w:rsidP="00D46E46" w14:paraId="0C6203A0" w14:textId="77777777">
            <w:pPr>
              <w:pStyle w:val="EQRTableText"/>
            </w:pPr>
            <w:r w:rsidRPr="00990D3B">
              <w:t> </w:t>
            </w:r>
          </w:p>
        </w:tc>
        <w:tc>
          <w:tcPr>
            <w:tcW w:w="3145" w:type="dxa"/>
          </w:tcPr>
          <w:p w:rsidR="00AB6BA6" w:rsidRPr="00990D3B" w:rsidP="00D46E46" w14:paraId="2731D935" w14:textId="77777777">
            <w:pPr>
              <w:pStyle w:val="EQRTableText"/>
            </w:pPr>
            <w:r w:rsidRPr="00990D3B">
              <w:t> </w:t>
            </w:r>
          </w:p>
        </w:tc>
      </w:tr>
      <w:tr w14:paraId="6064953E" w14:textId="77777777" w:rsidTr="00BD1FC3">
        <w:tblPrEx>
          <w:tblW w:w="5000" w:type="pct"/>
          <w:tblLayout w:type="fixed"/>
          <w:tblLook w:val="04A0"/>
        </w:tblPrEx>
        <w:trPr>
          <w:cantSplit/>
        </w:trPr>
        <w:tc>
          <w:tcPr>
            <w:tcW w:w="4405" w:type="dxa"/>
            <w:vAlign w:val="center"/>
          </w:tcPr>
          <w:p w:rsidR="00AB6BA6" w:rsidRPr="00990D3B" w:rsidP="00F7032D" w14:paraId="00975BB9" w14:textId="77777777">
            <w:pPr>
              <w:spacing w:before="60" w:after="60"/>
              <w:rPr>
                <w:rFonts w:ascii="Arial" w:hAnsi="Arial" w:cs="Arial"/>
                <w:sz w:val="18"/>
                <w:szCs w:val="18"/>
              </w:rPr>
            </w:pPr>
            <w:r w:rsidRPr="00990D3B">
              <w:rPr>
                <w:rFonts w:ascii="Arial" w:hAnsi="Arial" w:cs="Arial"/>
                <w:sz w:val="18"/>
                <w:szCs w:val="18"/>
              </w:rPr>
              <w:t xml:space="preserve">8.2 Was the strategy designed to address root causes or barriers identified through data analysis and quality improvement processes? </w:t>
            </w:r>
          </w:p>
          <w:p w:rsidR="00AB6BA6" w:rsidRPr="00990D3B" w:rsidP="00AB6BA6" w14:paraId="49A68A5E" w14:textId="5EE82AD2">
            <w:pPr>
              <w:pStyle w:val="EQRTableTextbullet"/>
              <w:spacing w:line="240" w:lineRule="auto"/>
              <w:ind w:left="216" w:hanging="216"/>
            </w:pPr>
            <w:r w:rsidRPr="00990D3B">
              <w:t>Interventions that might have a short-term effect but that are unlikely to generate long-term change (such as a one-time reminder letter to enrollees or providers) are insufficient</w:t>
            </w:r>
          </w:p>
          <w:p w:rsidR="00AB6BA6" w:rsidRPr="00990D3B" w:rsidP="00AB6BA6" w14:paraId="151720E7" w14:textId="77777777">
            <w:pPr>
              <w:pStyle w:val="EQRTableTextbullet"/>
              <w:spacing w:line="240" w:lineRule="auto"/>
              <w:ind w:left="216" w:hanging="216"/>
            </w:pPr>
            <w:r w:rsidRPr="00990D3B">
              <w:t xml:space="preserve">It is expected that interventions associated with significant improvement will be system interventions (such as educational efforts, policy changes, or targeting of additional resources) </w:t>
            </w:r>
          </w:p>
          <w:p w:rsidR="00AB6BA6" w:rsidRPr="00990D3B" w:rsidP="00AB6BA6" w14:paraId="3355FA50" w14:textId="77777777">
            <w:pPr>
              <w:pStyle w:val="EQRTableTextbullet"/>
              <w:spacing w:line="240" w:lineRule="auto"/>
              <w:ind w:left="216" w:hanging="216"/>
            </w:pPr>
            <w:r w:rsidRPr="00990D3B">
              <w:t>It is expected that interventions should be measurable on an ongoing basis (e.g., quarterly, monthly) to monitor intervention progress</w:t>
            </w:r>
          </w:p>
        </w:tc>
        <w:tc>
          <w:tcPr>
            <w:tcW w:w="540" w:type="dxa"/>
          </w:tcPr>
          <w:p w:rsidR="00AB6BA6" w:rsidRPr="00990D3B" w:rsidP="00D46E46" w14:paraId="047091FA" w14:textId="77777777">
            <w:pPr>
              <w:pStyle w:val="EQRTableText"/>
            </w:pPr>
            <w:r w:rsidRPr="00990D3B">
              <w:t> </w:t>
            </w:r>
          </w:p>
        </w:tc>
        <w:tc>
          <w:tcPr>
            <w:tcW w:w="540" w:type="dxa"/>
          </w:tcPr>
          <w:p w:rsidR="00AB6BA6" w:rsidRPr="00990D3B" w:rsidP="00D46E46" w14:paraId="6D9CDF29" w14:textId="77777777">
            <w:pPr>
              <w:pStyle w:val="EQRTableText"/>
            </w:pPr>
            <w:r w:rsidRPr="00990D3B">
              <w:t> </w:t>
            </w:r>
          </w:p>
        </w:tc>
        <w:tc>
          <w:tcPr>
            <w:tcW w:w="720" w:type="dxa"/>
          </w:tcPr>
          <w:p w:rsidR="00AB6BA6" w:rsidRPr="00990D3B" w:rsidP="00D46E46" w14:paraId="362A22B4" w14:textId="77777777">
            <w:pPr>
              <w:pStyle w:val="EQRTableText"/>
            </w:pPr>
            <w:r w:rsidRPr="00990D3B">
              <w:t> </w:t>
            </w:r>
          </w:p>
        </w:tc>
        <w:tc>
          <w:tcPr>
            <w:tcW w:w="3145" w:type="dxa"/>
          </w:tcPr>
          <w:p w:rsidR="00AB6BA6" w:rsidRPr="00990D3B" w:rsidP="00D46E46" w14:paraId="09822225" w14:textId="77777777">
            <w:pPr>
              <w:pStyle w:val="EQRTableText"/>
            </w:pPr>
            <w:r w:rsidRPr="00990D3B">
              <w:t> </w:t>
            </w:r>
          </w:p>
        </w:tc>
      </w:tr>
      <w:tr w14:paraId="37057E34" w14:textId="77777777" w:rsidTr="00BD1FC3">
        <w:tblPrEx>
          <w:tblW w:w="5000" w:type="pct"/>
          <w:tblLayout w:type="fixed"/>
          <w:tblLook w:val="04A0"/>
        </w:tblPrEx>
        <w:trPr>
          <w:cantSplit/>
        </w:trPr>
        <w:tc>
          <w:tcPr>
            <w:tcW w:w="4405" w:type="dxa"/>
            <w:vAlign w:val="center"/>
          </w:tcPr>
          <w:p w:rsidR="00AB6BA6" w:rsidRPr="00990D3B" w:rsidP="00D46E46" w14:paraId="0DBE6762" w14:textId="77777777">
            <w:pPr>
              <w:pStyle w:val="EQRTableText"/>
            </w:pPr>
            <w:r w:rsidRPr="00990D3B">
              <w:t xml:space="preserve">8.3 Was the rapid-cycle PDSA approach used to test the selected improvement strategy? </w:t>
            </w:r>
          </w:p>
          <w:p w:rsidR="00AB6BA6" w:rsidRPr="00990D3B" w:rsidP="00AB6BA6" w14:paraId="5C90D7BE" w14:textId="31EB945F">
            <w:pPr>
              <w:pStyle w:val="EQRTableTextbullet"/>
              <w:spacing w:line="240" w:lineRule="auto"/>
              <w:ind w:left="216" w:hanging="216"/>
            </w:pPr>
            <w:r w:rsidRPr="00990D3B">
              <w:t>The steps in the PDSA cycle</w:t>
            </w:r>
            <w:r w:rsidRPr="00990D3B" w:rsidR="003162DF">
              <w:rPr>
                <w:rFonts w:ascii="ZWAdobeF" w:hAnsi="ZWAdobeF" w:cs="ZWAdobeF"/>
                <w:sz w:val="2"/>
                <w:szCs w:val="2"/>
              </w:rPr>
              <w:t>37F</w:t>
            </w:r>
            <w:r>
              <w:rPr>
                <w:rStyle w:val="FootnoteReference"/>
              </w:rPr>
              <w:footnoteReference w:id="42"/>
            </w:r>
            <w:r w:rsidRPr="00990D3B">
              <w:t xml:space="preserve"> are to:</w:t>
            </w:r>
          </w:p>
          <w:p w:rsidR="00AB6BA6" w:rsidRPr="00990D3B" w:rsidP="00F96E5F" w14:paraId="3BB17641" w14:textId="0BBF9541">
            <w:pPr>
              <w:pStyle w:val="EQRTableTextbullet2ndlevel"/>
            </w:pPr>
            <w:r w:rsidRPr="00990D3B">
              <w:rPr>
                <w:b/>
              </w:rPr>
              <w:t>Plan.</w:t>
            </w:r>
            <w:r w:rsidRPr="00990D3B">
              <w:t xml:space="preserve"> Plan the test or observation, including a plan for collecting data and interpreting the results</w:t>
            </w:r>
          </w:p>
          <w:p w:rsidR="00AB6BA6" w:rsidRPr="00990D3B" w:rsidP="00F96E5F" w14:paraId="22127A7A" w14:textId="77777777">
            <w:pPr>
              <w:pStyle w:val="EQRTableTextbullet2ndlevel"/>
            </w:pPr>
            <w:r w:rsidRPr="00990D3B">
              <w:rPr>
                <w:b/>
              </w:rPr>
              <w:t>Do.</w:t>
            </w:r>
            <w:r w:rsidRPr="00990D3B">
              <w:t xml:space="preserve"> Try out the test on a small scale</w:t>
            </w:r>
          </w:p>
          <w:p w:rsidR="00AB6BA6" w:rsidRPr="00990D3B" w:rsidP="00F96E5F" w14:paraId="39F14C26" w14:textId="77777777">
            <w:pPr>
              <w:pStyle w:val="EQRTableTextbullet2ndlevel"/>
            </w:pPr>
            <w:r w:rsidRPr="00990D3B">
              <w:rPr>
                <w:b/>
              </w:rPr>
              <w:t>Study.</w:t>
            </w:r>
            <w:r w:rsidRPr="00990D3B">
              <w:t xml:space="preserve"> Set aside time to analyze the data and assess the results</w:t>
            </w:r>
          </w:p>
          <w:p w:rsidR="00AB6BA6" w:rsidRPr="00990D3B" w:rsidP="00F96E5F" w14:paraId="79031FA0" w14:textId="1F5B6C25">
            <w:pPr>
              <w:pStyle w:val="EQRTableTextbullet2ndlevel"/>
            </w:pPr>
            <w:r w:rsidRPr="00990D3B">
              <w:rPr>
                <w:b/>
              </w:rPr>
              <w:t>Act.</w:t>
            </w:r>
            <w:r w:rsidRPr="00990D3B">
              <w:t xml:space="preserve"> Refine the change based on what was learned from the test. Determine how to sustain the intervention, if </w:t>
            </w:r>
            <w:r w:rsidRPr="00990D3B" w:rsidR="00736863">
              <w:t xml:space="preserve">it is </w:t>
            </w:r>
            <w:r w:rsidRPr="00990D3B">
              <w:t>successful</w:t>
            </w:r>
          </w:p>
          <w:p w:rsidR="00AB6BA6" w:rsidRPr="00990D3B" w:rsidP="00AB6BA6" w14:paraId="07E12474" w14:textId="77777777">
            <w:pPr>
              <w:pStyle w:val="EQRTableTextbullet"/>
              <w:spacing w:line="240" w:lineRule="auto"/>
              <w:ind w:left="216" w:hanging="216"/>
            </w:pPr>
            <w:r w:rsidRPr="00990D3B">
              <w:t>If tests of change were not successful (i.e., did not achieve significant improvement), a process to identify possible causes and implement solutions should be identified</w:t>
            </w:r>
          </w:p>
        </w:tc>
        <w:tc>
          <w:tcPr>
            <w:tcW w:w="540" w:type="dxa"/>
          </w:tcPr>
          <w:p w:rsidR="00AB6BA6" w:rsidRPr="00990D3B" w:rsidP="00D46E46" w14:paraId="63403C32" w14:textId="77777777">
            <w:pPr>
              <w:pStyle w:val="EQRTableText"/>
            </w:pPr>
            <w:r w:rsidRPr="00990D3B">
              <w:t> </w:t>
            </w:r>
          </w:p>
        </w:tc>
        <w:tc>
          <w:tcPr>
            <w:tcW w:w="540" w:type="dxa"/>
          </w:tcPr>
          <w:p w:rsidR="00AB6BA6" w:rsidRPr="00990D3B" w:rsidP="00D46E46" w14:paraId="32524400" w14:textId="77777777">
            <w:pPr>
              <w:pStyle w:val="EQRTableText"/>
            </w:pPr>
            <w:r w:rsidRPr="00990D3B">
              <w:t> </w:t>
            </w:r>
          </w:p>
        </w:tc>
        <w:tc>
          <w:tcPr>
            <w:tcW w:w="720" w:type="dxa"/>
          </w:tcPr>
          <w:p w:rsidR="00AB6BA6" w:rsidRPr="00990D3B" w:rsidP="00D46E46" w14:paraId="190774D1" w14:textId="77777777">
            <w:pPr>
              <w:pStyle w:val="EQRTableText"/>
            </w:pPr>
            <w:r w:rsidRPr="00990D3B">
              <w:t> </w:t>
            </w:r>
          </w:p>
        </w:tc>
        <w:tc>
          <w:tcPr>
            <w:tcW w:w="3145" w:type="dxa"/>
          </w:tcPr>
          <w:p w:rsidR="00AB6BA6" w:rsidRPr="00990D3B" w:rsidP="00D46E46" w14:paraId="4E192DF9" w14:textId="77777777">
            <w:pPr>
              <w:pStyle w:val="EQRTableText"/>
            </w:pPr>
            <w:r w:rsidRPr="00990D3B">
              <w:t> </w:t>
            </w:r>
          </w:p>
        </w:tc>
      </w:tr>
      <w:tr w14:paraId="1B03902B" w14:textId="77777777" w:rsidTr="00BD1FC3">
        <w:tblPrEx>
          <w:tblW w:w="5000" w:type="pct"/>
          <w:tblLayout w:type="fixed"/>
          <w:tblLook w:val="04A0"/>
        </w:tblPrEx>
        <w:trPr>
          <w:cantSplit/>
        </w:trPr>
        <w:tc>
          <w:tcPr>
            <w:tcW w:w="4405" w:type="dxa"/>
          </w:tcPr>
          <w:p w:rsidR="00AB6BA6" w:rsidRPr="00990D3B" w:rsidP="004A6484" w14:paraId="68C75513" w14:textId="35A7D64E">
            <w:pPr>
              <w:pStyle w:val="EQRTableText"/>
            </w:pPr>
            <w:r w:rsidRPr="00990D3B">
              <w:t>8.4 Was the strategy culturally and linguistically appropriate?</w:t>
            </w:r>
            <w:r w:rsidRPr="00990D3B" w:rsidR="003162DF">
              <w:rPr>
                <w:rFonts w:ascii="ZWAdobeF" w:hAnsi="ZWAdobeF" w:cs="ZWAdobeF"/>
                <w:sz w:val="2"/>
                <w:szCs w:val="2"/>
              </w:rPr>
              <w:t>38F</w:t>
            </w:r>
            <w:r>
              <w:rPr>
                <w:rStyle w:val="FootnoteReference"/>
              </w:rPr>
              <w:footnoteReference w:id="43"/>
            </w:r>
            <w:r w:rsidRPr="00990D3B">
              <w:t xml:space="preserve"> </w:t>
            </w:r>
          </w:p>
        </w:tc>
        <w:tc>
          <w:tcPr>
            <w:tcW w:w="540" w:type="dxa"/>
          </w:tcPr>
          <w:p w:rsidR="00AB6BA6" w:rsidRPr="00990D3B" w:rsidP="00D46E46" w14:paraId="42179EFB" w14:textId="77777777">
            <w:pPr>
              <w:pStyle w:val="EQRTableText"/>
            </w:pPr>
            <w:r w:rsidRPr="00990D3B">
              <w:t> </w:t>
            </w:r>
          </w:p>
        </w:tc>
        <w:tc>
          <w:tcPr>
            <w:tcW w:w="540" w:type="dxa"/>
          </w:tcPr>
          <w:p w:rsidR="00AB6BA6" w:rsidRPr="00990D3B" w:rsidP="00D46E46" w14:paraId="1F3ADE4C" w14:textId="77777777">
            <w:pPr>
              <w:pStyle w:val="EQRTableText"/>
            </w:pPr>
            <w:r w:rsidRPr="00990D3B">
              <w:t> </w:t>
            </w:r>
          </w:p>
        </w:tc>
        <w:tc>
          <w:tcPr>
            <w:tcW w:w="720" w:type="dxa"/>
          </w:tcPr>
          <w:p w:rsidR="00AB6BA6" w:rsidRPr="00990D3B" w:rsidP="00D46E46" w14:paraId="306EDEA7" w14:textId="77777777">
            <w:pPr>
              <w:pStyle w:val="EQRTableText"/>
            </w:pPr>
            <w:r w:rsidRPr="00990D3B">
              <w:t> </w:t>
            </w:r>
          </w:p>
        </w:tc>
        <w:tc>
          <w:tcPr>
            <w:tcW w:w="3145" w:type="dxa"/>
          </w:tcPr>
          <w:p w:rsidR="00AB6BA6" w:rsidRPr="00990D3B" w:rsidP="00D46E46" w14:paraId="28608CBA" w14:textId="77777777">
            <w:pPr>
              <w:pStyle w:val="EQRTableText"/>
            </w:pPr>
            <w:r w:rsidRPr="00990D3B">
              <w:t> </w:t>
            </w:r>
          </w:p>
        </w:tc>
      </w:tr>
      <w:tr w14:paraId="5FBEB4E3" w14:textId="77777777" w:rsidTr="00BD1FC3">
        <w:tblPrEx>
          <w:tblW w:w="5000" w:type="pct"/>
          <w:tblLayout w:type="fixed"/>
          <w:tblLook w:val="04A0"/>
        </w:tblPrEx>
        <w:trPr>
          <w:cantSplit/>
        </w:trPr>
        <w:tc>
          <w:tcPr>
            <w:tcW w:w="4405" w:type="dxa"/>
          </w:tcPr>
          <w:p w:rsidR="00AB6BA6" w:rsidRPr="00990D3B" w:rsidP="00D46E46" w14:paraId="72BE77DE" w14:textId="5BCE039C">
            <w:pPr>
              <w:pStyle w:val="EQRTableText"/>
            </w:pPr>
            <w:r w:rsidRPr="00990D3B">
              <w:t xml:space="preserve">8.5 Was the implementation of the strategy designed to account or adjust for any major confounding variables that could have </w:t>
            </w:r>
            <w:r w:rsidRPr="00990D3B" w:rsidR="002142A8">
              <w:t>a noticeable</w:t>
            </w:r>
            <w:r w:rsidRPr="00990D3B">
              <w:t xml:space="preserve"> impact on PIP outcomes (e.g., patient risk factors, Medicaid </w:t>
            </w:r>
            <w:r w:rsidRPr="00990D3B" w:rsidR="007D5CC7">
              <w:t xml:space="preserve">and CHIP </w:t>
            </w:r>
            <w:r w:rsidRPr="00990D3B">
              <w:t>program changes, provider education, clinic policies or practices)?</w:t>
            </w:r>
          </w:p>
        </w:tc>
        <w:tc>
          <w:tcPr>
            <w:tcW w:w="540" w:type="dxa"/>
          </w:tcPr>
          <w:p w:rsidR="00AB6BA6" w:rsidRPr="00990D3B" w:rsidP="00D46E46" w14:paraId="10096CF9" w14:textId="77777777">
            <w:pPr>
              <w:pStyle w:val="EQRTableText"/>
            </w:pPr>
            <w:r w:rsidRPr="00990D3B">
              <w:t> </w:t>
            </w:r>
          </w:p>
        </w:tc>
        <w:tc>
          <w:tcPr>
            <w:tcW w:w="540" w:type="dxa"/>
          </w:tcPr>
          <w:p w:rsidR="00AB6BA6" w:rsidRPr="00990D3B" w:rsidP="00D46E46" w14:paraId="54A64088" w14:textId="77777777">
            <w:pPr>
              <w:pStyle w:val="EQRTableText"/>
            </w:pPr>
            <w:r w:rsidRPr="00990D3B">
              <w:t> </w:t>
            </w:r>
          </w:p>
        </w:tc>
        <w:tc>
          <w:tcPr>
            <w:tcW w:w="720" w:type="dxa"/>
          </w:tcPr>
          <w:p w:rsidR="00AB6BA6" w:rsidRPr="00990D3B" w:rsidP="00D46E46" w14:paraId="09068477" w14:textId="77777777">
            <w:pPr>
              <w:pStyle w:val="EQRTableText"/>
            </w:pPr>
            <w:r w:rsidRPr="00990D3B">
              <w:t> </w:t>
            </w:r>
          </w:p>
        </w:tc>
        <w:tc>
          <w:tcPr>
            <w:tcW w:w="3145" w:type="dxa"/>
          </w:tcPr>
          <w:p w:rsidR="00AB6BA6" w:rsidRPr="00990D3B" w:rsidP="00D46E46" w14:paraId="5A1481A6" w14:textId="77777777">
            <w:pPr>
              <w:pStyle w:val="EQRTableText"/>
            </w:pPr>
            <w:r w:rsidRPr="00990D3B">
              <w:t> </w:t>
            </w:r>
          </w:p>
        </w:tc>
      </w:tr>
      <w:tr w14:paraId="41A4D82E" w14:textId="77777777" w:rsidTr="00BD1FC3">
        <w:tblPrEx>
          <w:tblW w:w="5000" w:type="pct"/>
          <w:tblLayout w:type="fixed"/>
          <w:tblLook w:val="04A0"/>
        </w:tblPrEx>
        <w:trPr>
          <w:cantSplit/>
        </w:trPr>
        <w:tc>
          <w:tcPr>
            <w:tcW w:w="4405" w:type="dxa"/>
          </w:tcPr>
          <w:p w:rsidR="00AB6BA6" w:rsidRPr="00990D3B" w:rsidP="00D46E46" w14:paraId="322E64C6" w14:textId="77777777">
            <w:pPr>
              <w:pStyle w:val="EQRTableText"/>
            </w:pPr>
            <w:r w:rsidRPr="00990D3B">
              <w:t>8.6 Building on the findings from the data analysis and interpretation of PIP results (Step 7), did the PIP assess the extent to which the improvement strategy was successful and identify potential follow-up activities?</w:t>
            </w:r>
          </w:p>
        </w:tc>
        <w:tc>
          <w:tcPr>
            <w:tcW w:w="540" w:type="dxa"/>
          </w:tcPr>
          <w:p w:rsidR="00AB6BA6" w:rsidRPr="00990D3B" w:rsidP="00D46E46" w14:paraId="38DCC085" w14:textId="77777777">
            <w:pPr>
              <w:pStyle w:val="EQRTableText"/>
            </w:pPr>
            <w:r w:rsidRPr="00990D3B">
              <w:t> </w:t>
            </w:r>
          </w:p>
        </w:tc>
        <w:tc>
          <w:tcPr>
            <w:tcW w:w="540" w:type="dxa"/>
          </w:tcPr>
          <w:p w:rsidR="00AB6BA6" w:rsidRPr="00990D3B" w:rsidP="00D46E46" w14:paraId="07D277D3" w14:textId="77777777">
            <w:pPr>
              <w:pStyle w:val="EQRTableText"/>
            </w:pPr>
            <w:r w:rsidRPr="00990D3B">
              <w:t> </w:t>
            </w:r>
          </w:p>
        </w:tc>
        <w:tc>
          <w:tcPr>
            <w:tcW w:w="720" w:type="dxa"/>
          </w:tcPr>
          <w:p w:rsidR="00AB6BA6" w:rsidRPr="00990D3B" w:rsidP="00D46E46" w14:paraId="304B9466" w14:textId="77777777">
            <w:pPr>
              <w:pStyle w:val="EQRTableText"/>
            </w:pPr>
            <w:r w:rsidRPr="00990D3B">
              <w:t> </w:t>
            </w:r>
          </w:p>
        </w:tc>
        <w:tc>
          <w:tcPr>
            <w:tcW w:w="3145" w:type="dxa"/>
          </w:tcPr>
          <w:p w:rsidR="00AB6BA6" w:rsidRPr="00990D3B" w:rsidP="00D46E46" w14:paraId="5E88D01D" w14:textId="77777777">
            <w:pPr>
              <w:pStyle w:val="EQRTableText"/>
            </w:pPr>
            <w:r w:rsidRPr="00990D3B">
              <w:t> </w:t>
            </w:r>
          </w:p>
        </w:tc>
      </w:tr>
      <w:tr w14:paraId="574E7091" w14:textId="77777777" w:rsidTr="00BD1FC3">
        <w:tblPrEx>
          <w:tblW w:w="5000" w:type="pct"/>
          <w:tblLayout w:type="fixed"/>
          <w:tblLook w:val="04A0"/>
        </w:tblPrEx>
        <w:trPr>
          <w:cantSplit/>
        </w:trPr>
        <w:tc>
          <w:tcPr>
            <w:tcW w:w="4405" w:type="dxa"/>
          </w:tcPr>
          <w:p w:rsidR="00AB6BA6" w:rsidRPr="00990D3B" w:rsidP="00D46E46" w14:paraId="6C0628E9" w14:textId="77777777">
            <w:pPr>
              <w:pStyle w:val="EQRTableText"/>
            </w:pPr>
            <w:r w:rsidRPr="00990D3B">
              <w:t>8.7 Overall assessment: In the comments section, note any recommendations for improving the implementation strategies.</w:t>
            </w:r>
          </w:p>
        </w:tc>
        <w:tc>
          <w:tcPr>
            <w:tcW w:w="540" w:type="dxa"/>
            <w:shd w:val="clear" w:color="auto" w:fill="D9D9D9" w:themeFill="background1" w:themeFillShade="D9"/>
          </w:tcPr>
          <w:p w:rsidR="00AB6BA6" w:rsidRPr="00990D3B" w:rsidP="00D46E46" w14:paraId="435C686F" w14:textId="77777777">
            <w:pPr>
              <w:pStyle w:val="EQRTableText"/>
            </w:pPr>
            <w:r w:rsidRPr="00990D3B">
              <w:t> </w:t>
            </w:r>
          </w:p>
        </w:tc>
        <w:tc>
          <w:tcPr>
            <w:tcW w:w="540" w:type="dxa"/>
            <w:shd w:val="clear" w:color="auto" w:fill="D9D9D9" w:themeFill="background1" w:themeFillShade="D9"/>
          </w:tcPr>
          <w:p w:rsidR="00AB6BA6" w:rsidRPr="00990D3B" w:rsidP="00D46E46" w14:paraId="4B1F327B" w14:textId="77777777">
            <w:pPr>
              <w:pStyle w:val="EQRTableText"/>
            </w:pPr>
            <w:r w:rsidRPr="00990D3B">
              <w:t> </w:t>
            </w:r>
          </w:p>
        </w:tc>
        <w:tc>
          <w:tcPr>
            <w:tcW w:w="720" w:type="dxa"/>
            <w:shd w:val="clear" w:color="auto" w:fill="D9D9D9" w:themeFill="background1" w:themeFillShade="D9"/>
          </w:tcPr>
          <w:p w:rsidR="00AB6BA6" w:rsidRPr="00990D3B" w:rsidP="00D46E46" w14:paraId="06E06F74" w14:textId="77777777">
            <w:pPr>
              <w:pStyle w:val="EQRTableText"/>
            </w:pPr>
            <w:r w:rsidRPr="00990D3B">
              <w:t> </w:t>
            </w:r>
          </w:p>
        </w:tc>
        <w:tc>
          <w:tcPr>
            <w:tcW w:w="3145" w:type="dxa"/>
          </w:tcPr>
          <w:p w:rsidR="00AB6BA6" w:rsidRPr="00990D3B" w:rsidP="00D46E46" w14:paraId="6B2075A7" w14:textId="77777777">
            <w:pPr>
              <w:pStyle w:val="EQRTableText"/>
            </w:pPr>
            <w:r w:rsidRPr="00990D3B">
              <w:t> </w:t>
            </w:r>
          </w:p>
        </w:tc>
      </w:tr>
    </w:tbl>
    <w:p w:rsidR="00AB6BA6" w:rsidRPr="00990D3B" w:rsidP="00BD1FC3" w14:paraId="1FA339F8" w14:textId="3BEC3F27">
      <w:pPr>
        <w:pStyle w:val="EQRNormalSSWORKSHEET"/>
        <w:spacing w:before="0" w:line="240" w:lineRule="auto"/>
      </w:pPr>
      <w:r w:rsidRPr="00990D3B">
        <w:br w:type="page"/>
      </w:r>
    </w:p>
    <w:p w:rsidR="00AB6BA6" w:rsidRPr="00990D3B" w:rsidP="00BD1FC3" w14:paraId="53F3AC0B" w14:textId="626D3C38">
      <w:pPr>
        <w:pStyle w:val="EQRMarkforExhibitWORKSHEET"/>
      </w:pPr>
      <w:bookmarkStart w:id="208" w:name="WSp1n9"/>
      <w:bookmarkStart w:id="209" w:name="_Toc201751486"/>
      <w:bookmarkStart w:id="210" w:name="_Toc125619141"/>
      <w:r w:rsidRPr="00990D3B">
        <w:t>Worksheet 1.9</w:t>
      </w:r>
      <w:bookmarkEnd w:id="208"/>
      <w:r w:rsidRPr="00990D3B">
        <w:t xml:space="preserve">. Assess the Likelihood that </w:t>
      </w:r>
      <w:r w:rsidRPr="00990D3B" w:rsidR="007D5CC7">
        <w:t xml:space="preserve">a PIP Resulted in </w:t>
      </w:r>
      <w:r w:rsidRPr="00990D3B">
        <w:t>Significant and Sustained Improvement</w:t>
      </w:r>
      <w:bookmarkEnd w:id="209"/>
      <w:r w:rsidRPr="00990D3B">
        <w:t xml:space="preserve"> </w:t>
      </w:r>
      <w:bookmarkEnd w:id="210"/>
    </w:p>
    <w:p w:rsidR="00AB6BA6" w:rsidRPr="00990D3B" w:rsidP="00BD1FC3" w14:paraId="461C10BD" w14:textId="28A6D357">
      <w:pPr>
        <w:pStyle w:val="EQRNormalSSWORKSHEET"/>
      </w:pPr>
      <w:r w:rsidRPr="00990D3B">
        <w:rPr>
          <w:b/>
          <w:bCs/>
        </w:rPr>
        <w:t xml:space="preserve">Instructions. </w:t>
      </w:r>
      <w:r w:rsidRPr="00990D3B">
        <w:t xml:space="preserve">Assess the likelihood that significant and sustained </w:t>
      </w:r>
      <w:r w:rsidRPr="00990D3B">
        <w:t>improvement</w:t>
      </w:r>
      <w:r w:rsidRPr="00990D3B">
        <w:t xml:space="preserve"> occurred by answering the following questions. Insert comments to explain “No” and “Not Applicable” responses. </w:t>
      </w:r>
    </w:p>
    <w:p w:rsidR="00FC0CEF" w:rsidRPr="00990D3B" w:rsidP="00B257C0" w14:paraId="330AB7CB" w14:textId="0CD158CE">
      <w:pPr>
        <w:pStyle w:val="EQRNormalSSWORKSHEET"/>
      </w:pPr>
      <w:r w:rsidRPr="00990D3B">
        <w:t>Acronyms: NA = Not Applicable; PIP = Performance Improvement Project.</w:t>
      </w:r>
    </w:p>
    <w:tbl>
      <w:tblPr>
        <w:tblStyle w:val="TableGrid"/>
        <w:tblW w:w="5000" w:type="pct"/>
        <w:tblLook w:val="04A0"/>
      </w:tblPr>
      <w:tblGrid>
        <w:gridCol w:w="4335"/>
        <w:gridCol w:w="551"/>
        <w:gridCol w:w="559"/>
        <w:gridCol w:w="760"/>
        <w:gridCol w:w="3145"/>
      </w:tblGrid>
      <w:tr w14:paraId="42F7EB3D" w14:textId="77777777" w:rsidTr="00BD1FC3">
        <w:tblPrEx>
          <w:tblW w:w="5000" w:type="pct"/>
          <w:tblLook w:val="04A0"/>
        </w:tblPrEx>
        <w:trPr>
          <w:tblHeader/>
        </w:trPr>
        <w:tc>
          <w:tcPr>
            <w:tcW w:w="4335" w:type="dxa"/>
            <w:vAlign w:val="bottom"/>
          </w:tcPr>
          <w:p w:rsidR="00AB6BA6" w:rsidRPr="00990D3B" w:rsidP="00836806" w14:paraId="3DBB0E55" w14:textId="77777777">
            <w:pPr>
              <w:pStyle w:val="EQRTableHeaderLeft"/>
              <w:rPr>
                <w:color w:val="auto"/>
              </w:rPr>
            </w:pPr>
            <w:r w:rsidRPr="00990D3B">
              <w:rPr>
                <w:color w:val="auto"/>
              </w:rPr>
              <w:t>Question</w:t>
            </w:r>
          </w:p>
        </w:tc>
        <w:tc>
          <w:tcPr>
            <w:tcW w:w="551" w:type="dxa"/>
            <w:vAlign w:val="bottom"/>
          </w:tcPr>
          <w:p w:rsidR="00AB6BA6" w:rsidRPr="00990D3B" w:rsidP="00836806" w14:paraId="4C21AD64" w14:textId="77777777">
            <w:pPr>
              <w:pStyle w:val="EQRTableHeaderCenter"/>
              <w:rPr>
                <w:color w:val="auto"/>
              </w:rPr>
            </w:pPr>
            <w:r w:rsidRPr="00990D3B">
              <w:rPr>
                <w:color w:val="auto"/>
              </w:rPr>
              <w:t>Yes</w:t>
            </w:r>
          </w:p>
        </w:tc>
        <w:tc>
          <w:tcPr>
            <w:tcW w:w="559" w:type="dxa"/>
            <w:vAlign w:val="bottom"/>
          </w:tcPr>
          <w:p w:rsidR="00AB6BA6" w:rsidRPr="00990D3B" w:rsidP="00836806" w14:paraId="4305BF5A" w14:textId="77777777">
            <w:pPr>
              <w:pStyle w:val="EQRTableHeaderCenter"/>
              <w:rPr>
                <w:color w:val="auto"/>
              </w:rPr>
            </w:pPr>
            <w:r w:rsidRPr="00990D3B">
              <w:rPr>
                <w:color w:val="auto"/>
              </w:rPr>
              <w:t>No</w:t>
            </w:r>
          </w:p>
        </w:tc>
        <w:tc>
          <w:tcPr>
            <w:tcW w:w="760" w:type="dxa"/>
            <w:vAlign w:val="bottom"/>
          </w:tcPr>
          <w:p w:rsidR="00AB6BA6" w:rsidRPr="00990D3B" w:rsidP="00836806" w14:paraId="4E8ABA5C" w14:textId="77777777">
            <w:pPr>
              <w:pStyle w:val="EQRTableHeaderCenter"/>
              <w:rPr>
                <w:color w:val="auto"/>
              </w:rPr>
            </w:pPr>
            <w:r w:rsidRPr="00990D3B">
              <w:rPr>
                <w:color w:val="auto"/>
              </w:rPr>
              <w:t>NA</w:t>
            </w:r>
          </w:p>
        </w:tc>
        <w:tc>
          <w:tcPr>
            <w:tcW w:w="3145" w:type="dxa"/>
            <w:vAlign w:val="bottom"/>
          </w:tcPr>
          <w:p w:rsidR="00AB6BA6" w:rsidRPr="00990D3B" w:rsidP="00836806" w14:paraId="3B1C2D05" w14:textId="77777777">
            <w:pPr>
              <w:pStyle w:val="EQRTableHeaderCenter"/>
              <w:rPr>
                <w:color w:val="auto"/>
              </w:rPr>
            </w:pPr>
            <w:r w:rsidRPr="00990D3B">
              <w:rPr>
                <w:color w:val="auto"/>
              </w:rPr>
              <w:t>Comments</w:t>
            </w:r>
          </w:p>
        </w:tc>
      </w:tr>
      <w:tr w14:paraId="0373EB5D" w14:textId="77777777" w:rsidTr="00BD1FC3">
        <w:tblPrEx>
          <w:tblW w:w="5000" w:type="pct"/>
          <w:tblLook w:val="04A0"/>
        </w:tblPrEx>
        <w:tc>
          <w:tcPr>
            <w:tcW w:w="4335" w:type="dxa"/>
          </w:tcPr>
          <w:p w:rsidR="00AB6BA6" w:rsidRPr="00990D3B" w:rsidP="00836806" w14:paraId="3C085582" w14:textId="77777777">
            <w:pPr>
              <w:spacing w:before="60" w:after="60"/>
              <w:rPr>
                <w:rFonts w:ascii="Arial" w:hAnsi="Arial" w:cs="Arial"/>
                <w:sz w:val="18"/>
                <w:szCs w:val="18"/>
              </w:rPr>
            </w:pPr>
            <w:r w:rsidRPr="00990D3B">
              <w:rPr>
                <w:rFonts w:ascii="Arial" w:hAnsi="Arial" w:cs="Arial"/>
                <w:sz w:val="18"/>
                <w:szCs w:val="18"/>
              </w:rPr>
              <w:t>9.1 Was the same methodology used for baseline and repeat measurements?</w:t>
            </w:r>
          </w:p>
        </w:tc>
        <w:tc>
          <w:tcPr>
            <w:tcW w:w="551" w:type="dxa"/>
          </w:tcPr>
          <w:p w:rsidR="00AB6BA6" w:rsidRPr="00990D3B" w:rsidP="00836806" w14:paraId="26C5279B" w14:textId="77777777">
            <w:pPr>
              <w:spacing w:before="60" w:after="60"/>
              <w:rPr>
                <w:rFonts w:ascii="Arial" w:hAnsi="Arial" w:cs="Arial"/>
                <w:sz w:val="18"/>
                <w:szCs w:val="18"/>
              </w:rPr>
            </w:pPr>
            <w:r w:rsidRPr="00990D3B">
              <w:rPr>
                <w:rFonts w:ascii="Arial" w:hAnsi="Arial" w:cs="Arial"/>
                <w:sz w:val="18"/>
                <w:szCs w:val="18"/>
              </w:rPr>
              <w:t> </w:t>
            </w:r>
          </w:p>
        </w:tc>
        <w:tc>
          <w:tcPr>
            <w:tcW w:w="559" w:type="dxa"/>
          </w:tcPr>
          <w:p w:rsidR="00AB6BA6" w:rsidRPr="00990D3B" w:rsidP="00836806" w14:paraId="748D34CE" w14:textId="77777777">
            <w:pPr>
              <w:spacing w:before="60" w:after="60"/>
              <w:rPr>
                <w:rFonts w:ascii="Arial" w:hAnsi="Arial" w:cs="Arial"/>
                <w:sz w:val="18"/>
                <w:szCs w:val="18"/>
              </w:rPr>
            </w:pPr>
            <w:r w:rsidRPr="00990D3B">
              <w:rPr>
                <w:rFonts w:ascii="Arial" w:hAnsi="Arial" w:cs="Arial"/>
                <w:sz w:val="18"/>
                <w:szCs w:val="18"/>
              </w:rPr>
              <w:t> </w:t>
            </w:r>
          </w:p>
        </w:tc>
        <w:tc>
          <w:tcPr>
            <w:tcW w:w="760" w:type="dxa"/>
          </w:tcPr>
          <w:p w:rsidR="00AB6BA6" w:rsidRPr="00990D3B" w:rsidP="00836806" w14:paraId="682FB852" w14:textId="77777777">
            <w:pPr>
              <w:spacing w:before="60" w:after="60"/>
              <w:rPr>
                <w:rFonts w:ascii="Arial" w:hAnsi="Arial" w:cs="Arial"/>
                <w:sz w:val="18"/>
                <w:szCs w:val="18"/>
              </w:rPr>
            </w:pPr>
            <w:r w:rsidRPr="00990D3B">
              <w:rPr>
                <w:rFonts w:ascii="Arial" w:hAnsi="Arial" w:cs="Arial"/>
                <w:sz w:val="18"/>
                <w:szCs w:val="18"/>
              </w:rPr>
              <w:t> </w:t>
            </w:r>
          </w:p>
        </w:tc>
        <w:tc>
          <w:tcPr>
            <w:tcW w:w="3145" w:type="dxa"/>
          </w:tcPr>
          <w:p w:rsidR="00AB6BA6" w:rsidRPr="00990D3B" w:rsidP="00836806" w14:paraId="09BF1ACD" w14:textId="77777777">
            <w:pPr>
              <w:spacing w:before="60" w:after="60"/>
              <w:rPr>
                <w:rFonts w:ascii="Arial" w:hAnsi="Arial" w:cs="Arial"/>
                <w:sz w:val="18"/>
                <w:szCs w:val="18"/>
              </w:rPr>
            </w:pPr>
            <w:r w:rsidRPr="00990D3B">
              <w:rPr>
                <w:rFonts w:ascii="Arial" w:hAnsi="Arial" w:cs="Arial"/>
                <w:sz w:val="18"/>
                <w:szCs w:val="18"/>
              </w:rPr>
              <w:t> </w:t>
            </w:r>
          </w:p>
        </w:tc>
      </w:tr>
      <w:tr w14:paraId="293A80A0" w14:textId="77777777" w:rsidTr="00BD1FC3">
        <w:tblPrEx>
          <w:tblW w:w="5000" w:type="pct"/>
          <w:tblLook w:val="04A0"/>
        </w:tblPrEx>
        <w:tc>
          <w:tcPr>
            <w:tcW w:w="4335" w:type="dxa"/>
          </w:tcPr>
          <w:p w:rsidR="00AB6BA6" w:rsidRPr="00990D3B" w:rsidP="00836806" w14:paraId="11190DCE" w14:textId="77777777">
            <w:pPr>
              <w:spacing w:before="60" w:after="60"/>
              <w:rPr>
                <w:rFonts w:ascii="Arial" w:hAnsi="Arial" w:cs="Arial"/>
                <w:sz w:val="18"/>
                <w:szCs w:val="18"/>
              </w:rPr>
            </w:pPr>
            <w:r w:rsidRPr="00990D3B">
              <w:rPr>
                <w:rFonts w:ascii="Arial" w:hAnsi="Arial" w:cs="Arial"/>
                <w:sz w:val="18"/>
                <w:szCs w:val="18"/>
              </w:rPr>
              <w:t xml:space="preserve">9.2 Was there any quantitative evidence of improvement in processes or outcomes of care? </w:t>
            </w:r>
          </w:p>
        </w:tc>
        <w:tc>
          <w:tcPr>
            <w:tcW w:w="551" w:type="dxa"/>
          </w:tcPr>
          <w:p w:rsidR="00AB6BA6" w:rsidRPr="00990D3B" w:rsidP="00836806" w14:paraId="09334219" w14:textId="77777777">
            <w:pPr>
              <w:spacing w:before="60" w:after="60"/>
              <w:rPr>
                <w:rFonts w:ascii="Arial" w:hAnsi="Arial" w:cs="Arial"/>
                <w:sz w:val="18"/>
                <w:szCs w:val="18"/>
              </w:rPr>
            </w:pPr>
            <w:r w:rsidRPr="00990D3B">
              <w:rPr>
                <w:rFonts w:ascii="Arial" w:hAnsi="Arial" w:cs="Arial"/>
                <w:sz w:val="18"/>
                <w:szCs w:val="18"/>
              </w:rPr>
              <w:t> </w:t>
            </w:r>
          </w:p>
        </w:tc>
        <w:tc>
          <w:tcPr>
            <w:tcW w:w="559" w:type="dxa"/>
          </w:tcPr>
          <w:p w:rsidR="00AB6BA6" w:rsidRPr="00990D3B" w:rsidP="00836806" w14:paraId="0E7B7DA5" w14:textId="77777777">
            <w:pPr>
              <w:spacing w:before="60" w:after="60"/>
              <w:rPr>
                <w:rFonts w:ascii="Arial" w:hAnsi="Arial" w:cs="Arial"/>
                <w:sz w:val="18"/>
                <w:szCs w:val="18"/>
              </w:rPr>
            </w:pPr>
            <w:r w:rsidRPr="00990D3B">
              <w:rPr>
                <w:rFonts w:ascii="Arial" w:hAnsi="Arial" w:cs="Arial"/>
                <w:sz w:val="18"/>
                <w:szCs w:val="18"/>
              </w:rPr>
              <w:t> </w:t>
            </w:r>
          </w:p>
        </w:tc>
        <w:tc>
          <w:tcPr>
            <w:tcW w:w="760" w:type="dxa"/>
          </w:tcPr>
          <w:p w:rsidR="00AB6BA6" w:rsidRPr="00990D3B" w:rsidP="00836806" w14:paraId="328FDE23" w14:textId="77777777">
            <w:pPr>
              <w:spacing w:before="60" w:after="60"/>
              <w:rPr>
                <w:rFonts w:ascii="Arial" w:hAnsi="Arial" w:cs="Arial"/>
                <w:sz w:val="18"/>
                <w:szCs w:val="18"/>
              </w:rPr>
            </w:pPr>
            <w:r w:rsidRPr="00990D3B">
              <w:rPr>
                <w:rFonts w:ascii="Arial" w:hAnsi="Arial" w:cs="Arial"/>
                <w:sz w:val="18"/>
                <w:szCs w:val="18"/>
              </w:rPr>
              <w:t> </w:t>
            </w:r>
          </w:p>
        </w:tc>
        <w:tc>
          <w:tcPr>
            <w:tcW w:w="3145" w:type="dxa"/>
          </w:tcPr>
          <w:p w:rsidR="00AB6BA6" w:rsidRPr="00990D3B" w:rsidP="00836806" w14:paraId="5449AB39" w14:textId="77777777">
            <w:pPr>
              <w:spacing w:before="60" w:after="60"/>
              <w:rPr>
                <w:rFonts w:ascii="Arial" w:hAnsi="Arial" w:cs="Arial"/>
                <w:sz w:val="18"/>
                <w:szCs w:val="18"/>
              </w:rPr>
            </w:pPr>
            <w:r w:rsidRPr="00990D3B">
              <w:rPr>
                <w:rFonts w:ascii="Arial" w:hAnsi="Arial" w:cs="Arial"/>
                <w:sz w:val="18"/>
                <w:szCs w:val="18"/>
              </w:rPr>
              <w:t> </w:t>
            </w:r>
          </w:p>
        </w:tc>
      </w:tr>
      <w:tr w14:paraId="3AFE5499" w14:textId="77777777" w:rsidTr="00BD1FC3">
        <w:tblPrEx>
          <w:tblW w:w="5000" w:type="pct"/>
          <w:tblLook w:val="04A0"/>
        </w:tblPrEx>
        <w:tc>
          <w:tcPr>
            <w:tcW w:w="4335" w:type="dxa"/>
          </w:tcPr>
          <w:p w:rsidR="00AB6BA6" w:rsidRPr="00990D3B" w:rsidP="00836806" w14:paraId="44654893" w14:textId="5BE52584">
            <w:pPr>
              <w:spacing w:before="60" w:after="60"/>
              <w:rPr>
                <w:rFonts w:ascii="Arial" w:hAnsi="Arial" w:cs="Arial"/>
                <w:sz w:val="18"/>
                <w:szCs w:val="18"/>
              </w:rPr>
            </w:pPr>
            <w:r w:rsidRPr="00990D3B">
              <w:rPr>
                <w:rFonts w:ascii="Arial" w:hAnsi="Arial" w:cs="Arial"/>
                <w:sz w:val="18"/>
                <w:szCs w:val="18"/>
              </w:rPr>
              <w:t xml:space="preserve">9.3 Was the reported </w:t>
            </w:r>
            <w:r w:rsidRPr="00990D3B" w:rsidR="002142A8">
              <w:rPr>
                <w:rFonts w:ascii="Arial" w:hAnsi="Arial" w:cs="Arial"/>
                <w:sz w:val="18"/>
                <w:szCs w:val="18"/>
              </w:rPr>
              <w:t>performance improvement likely to result from</w:t>
            </w:r>
            <w:r w:rsidRPr="00990D3B">
              <w:rPr>
                <w:rFonts w:ascii="Arial" w:hAnsi="Arial" w:cs="Arial"/>
                <w:sz w:val="18"/>
                <w:szCs w:val="18"/>
              </w:rPr>
              <w:t xml:space="preserve"> the selected intervention? </w:t>
            </w:r>
          </w:p>
          <w:p w:rsidR="00AB6BA6" w:rsidRPr="00990D3B" w:rsidP="00AB6BA6" w14:paraId="7C9E100E" w14:textId="4E70469A">
            <w:pPr>
              <w:pStyle w:val="EQRTableTextbullet"/>
              <w:spacing w:line="240" w:lineRule="auto"/>
              <w:ind w:left="216" w:hanging="216"/>
            </w:pPr>
            <w:r w:rsidRPr="00990D3B">
              <w:t>It is not necessary to demonstrate conclusively (e.g., through controlled studies) that a change is an effect of the intervention; it is sufficient to show that the change might reasonably be expected to result from the intervention</w:t>
            </w:r>
            <w:r w:rsidRPr="00990D3B" w:rsidR="00662403">
              <w:t>.</w:t>
            </w:r>
          </w:p>
          <w:p w:rsidR="00AB6BA6" w:rsidRPr="00990D3B" w:rsidP="00AB6BA6" w14:paraId="56DAF56D" w14:textId="1AB48037">
            <w:pPr>
              <w:pStyle w:val="EQRTableTextbullet"/>
              <w:spacing w:line="240" w:lineRule="auto"/>
              <w:ind w:left="216" w:hanging="216"/>
            </w:pPr>
            <w:r w:rsidRPr="00990D3B">
              <w:t xml:space="preserve">It is </w:t>
            </w:r>
            <w:r w:rsidRPr="00990D3B" w:rsidR="00736863">
              <w:t>unnecessary</w:t>
            </w:r>
            <w:r w:rsidRPr="00990D3B">
              <w:t xml:space="preserve"> to undertake data analysis to correct for secular trends (e.g., changes that reflect continuing growth or decline in a measure because of external forces over an extended period). The </w:t>
            </w:r>
            <w:r w:rsidRPr="00990D3B">
              <w:t>measured improvement</w:t>
            </w:r>
            <w:r w:rsidRPr="00990D3B">
              <w:t xml:space="preserve"> should reasonably be determined to have resulted from the intervention</w:t>
            </w:r>
            <w:r w:rsidRPr="00990D3B" w:rsidR="00662403">
              <w:t>.</w:t>
            </w:r>
          </w:p>
        </w:tc>
        <w:tc>
          <w:tcPr>
            <w:tcW w:w="551" w:type="dxa"/>
          </w:tcPr>
          <w:p w:rsidR="00AB6BA6" w:rsidRPr="00990D3B" w:rsidP="00836806" w14:paraId="290638AE" w14:textId="77777777">
            <w:pPr>
              <w:spacing w:before="60" w:after="60"/>
              <w:rPr>
                <w:rFonts w:ascii="Arial" w:hAnsi="Arial" w:cs="Arial"/>
                <w:sz w:val="18"/>
                <w:szCs w:val="18"/>
              </w:rPr>
            </w:pPr>
            <w:r w:rsidRPr="00990D3B">
              <w:rPr>
                <w:rFonts w:ascii="Arial" w:hAnsi="Arial" w:cs="Arial"/>
                <w:sz w:val="18"/>
                <w:szCs w:val="18"/>
              </w:rPr>
              <w:t> </w:t>
            </w:r>
          </w:p>
        </w:tc>
        <w:tc>
          <w:tcPr>
            <w:tcW w:w="559" w:type="dxa"/>
          </w:tcPr>
          <w:p w:rsidR="00AB6BA6" w:rsidRPr="00990D3B" w:rsidP="00836806" w14:paraId="6EB93C22" w14:textId="77777777">
            <w:pPr>
              <w:spacing w:before="60" w:after="60"/>
              <w:rPr>
                <w:rFonts w:ascii="Arial" w:hAnsi="Arial" w:cs="Arial"/>
                <w:sz w:val="18"/>
                <w:szCs w:val="18"/>
              </w:rPr>
            </w:pPr>
            <w:r w:rsidRPr="00990D3B">
              <w:rPr>
                <w:rFonts w:ascii="Arial" w:hAnsi="Arial" w:cs="Arial"/>
                <w:sz w:val="18"/>
                <w:szCs w:val="18"/>
              </w:rPr>
              <w:t> </w:t>
            </w:r>
          </w:p>
        </w:tc>
        <w:tc>
          <w:tcPr>
            <w:tcW w:w="760" w:type="dxa"/>
          </w:tcPr>
          <w:p w:rsidR="00AB6BA6" w:rsidRPr="00990D3B" w:rsidP="00836806" w14:paraId="5344C4C9" w14:textId="77777777">
            <w:pPr>
              <w:spacing w:before="60" w:after="60"/>
              <w:rPr>
                <w:rFonts w:ascii="Arial" w:hAnsi="Arial" w:cs="Arial"/>
                <w:sz w:val="18"/>
                <w:szCs w:val="18"/>
              </w:rPr>
            </w:pPr>
            <w:r w:rsidRPr="00990D3B">
              <w:rPr>
                <w:rFonts w:ascii="Arial" w:hAnsi="Arial" w:cs="Arial"/>
                <w:sz w:val="18"/>
                <w:szCs w:val="18"/>
              </w:rPr>
              <w:t> </w:t>
            </w:r>
          </w:p>
        </w:tc>
        <w:tc>
          <w:tcPr>
            <w:tcW w:w="3145" w:type="dxa"/>
          </w:tcPr>
          <w:p w:rsidR="00AB6BA6" w:rsidRPr="00990D3B" w:rsidP="00836806" w14:paraId="103E242C" w14:textId="77777777">
            <w:pPr>
              <w:spacing w:before="60" w:after="60"/>
              <w:rPr>
                <w:rFonts w:ascii="Arial" w:hAnsi="Arial" w:cs="Arial"/>
                <w:sz w:val="18"/>
                <w:szCs w:val="18"/>
              </w:rPr>
            </w:pPr>
            <w:r w:rsidRPr="00990D3B">
              <w:rPr>
                <w:rFonts w:ascii="Arial" w:hAnsi="Arial" w:cs="Arial"/>
                <w:sz w:val="18"/>
                <w:szCs w:val="18"/>
              </w:rPr>
              <w:t> </w:t>
            </w:r>
          </w:p>
        </w:tc>
      </w:tr>
      <w:tr w14:paraId="05C76460" w14:textId="77777777" w:rsidTr="00BD1FC3">
        <w:tblPrEx>
          <w:tblW w:w="5000" w:type="pct"/>
          <w:tblLook w:val="04A0"/>
        </w:tblPrEx>
        <w:tc>
          <w:tcPr>
            <w:tcW w:w="4335" w:type="dxa"/>
          </w:tcPr>
          <w:p w:rsidR="00AB6BA6" w:rsidRPr="00990D3B" w:rsidP="00836806" w14:paraId="4A00364A" w14:textId="77777777">
            <w:pPr>
              <w:spacing w:before="60" w:after="60"/>
              <w:rPr>
                <w:rFonts w:ascii="Arial" w:hAnsi="Arial" w:cs="Arial"/>
                <w:sz w:val="18"/>
                <w:szCs w:val="18"/>
              </w:rPr>
            </w:pPr>
            <w:r w:rsidRPr="00990D3B">
              <w:rPr>
                <w:rFonts w:ascii="Arial" w:hAnsi="Arial" w:cs="Arial"/>
                <w:sz w:val="18"/>
                <w:szCs w:val="18"/>
              </w:rPr>
              <w:t xml:space="preserve">9.4 Is </w:t>
            </w:r>
            <w:r w:rsidRPr="00990D3B">
              <w:rPr>
                <w:rFonts w:ascii="Arial" w:hAnsi="Arial" w:cs="Arial"/>
                <w:sz w:val="18"/>
                <w:szCs w:val="18"/>
              </w:rPr>
              <w:t>there</w:t>
            </w:r>
            <w:r w:rsidRPr="00990D3B">
              <w:rPr>
                <w:rFonts w:ascii="Arial" w:hAnsi="Arial" w:cs="Arial"/>
                <w:sz w:val="18"/>
                <w:szCs w:val="18"/>
              </w:rPr>
              <w:t xml:space="preserve"> statistical evidence (e.g., significance tests) that any observed improvement is the result of the intervention?</w:t>
            </w:r>
          </w:p>
        </w:tc>
        <w:tc>
          <w:tcPr>
            <w:tcW w:w="551" w:type="dxa"/>
          </w:tcPr>
          <w:p w:rsidR="00AB6BA6" w:rsidRPr="00990D3B" w:rsidP="00836806" w14:paraId="052FA461" w14:textId="77777777">
            <w:pPr>
              <w:spacing w:before="60" w:after="60"/>
              <w:rPr>
                <w:rFonts w:ascii="Arial" w:hAnsi="Arial" w:cs="Arial"/>
                <w:sz w:val="18"/>
                <w:szCs w:val="18"/>
              </w:rPr>
            </w:pPr>
            <w:r w:rsidRPr="00990D3B">
              <w:rPr>
                <w:rFonts w:ascii="Arial" w:hAnsi="Arial" w:cs="Arial"/>
                <w:sz w:val="18"/>
                <w:szCs w:val="18"/>
              </w:rPr>
              <w:t> </w:t>
            </w:r>
          </w:p>
        </w:tc>
        <w:tc>
          <w:tcPr>
            <w:tcW w:w="559" w:type="dxa"/>
          </w:tcPr>
          <w:p w:rsidR="00AB6BA6" w:rsidRPr="00990D3B" w:rsidP="00836806" w14:paraId="0FC1DB82" w14:textId="77777777">
            <w:pPr>
              <w:spacing w:before="60" w:after="60"/>
              <w:rPr>
                <w:rFonts w:ascii="Arial" w:hAnsi="Arial" w:cs="Arial"/>
                <w:sz w:val="18"/>
                <w:szCs w:val="18"/>
              </w:rPr>
            </w:pPr>
            <w:r w:rsidRPr="00990D3B">
              <w:rPr>
                <w:rFonts w:ascii="Arial" w:hAnsi="Arial" w:cs="Arial"/>
                <w:sz w:val="18"/>
                <w:szCs w:val="18"/>
              </w:rPr>
              <w:t> </w:t>
            </w:r>
          </w:p>
        </w:tc>
        <w:tc>
          <w:tcPr>
            <w:tcW w:w="760" w:type="dxa"/>
          </w:tcPr>
          <w:p w:rsidR="00AB6BA6" w:rsidRPr="00990D3B" w:rsidP="00836806" w14:paraId="1B0EBB88" w14:textId="77777777">
            <w:pPr>
              <w:spacing w:before="60" w:after="60"/>
              <w:rPr>
                <w:rFonts w:ascii="Arial" w:hAnsi="Arial" w:cs="Arial"/>
                <w:sz w:val="18"/>
                <w:szCs w:val="18"/>
              </w:rPr>
            </w:pPr>
            <w:r w:rsidRPr="00990D3B">
              <w:rPr>
                <w:rFonts w:ascii="Arial" w:hAnsi="Arial" w:cs="Arial"/>
                <w:sz w:val="18"/>
                <w:szCs w:val="18"/>
              </w:rPr>
              <w:t> </w:t>
            </w:r>
          </w:p>
        </w:tc>
        <w:tc>
          <w:tcPr>
            <w:tcW w:w="3145" w:type="dxa"/>
          </w:tcPr>
          <w:p w:rsidR="00AB6BA6" w:rsidRPr="00990D3B" w:rsidP="00836806" w14:paraId="1F3D17D1" w14:textId="77777777">
            <w:pPr>
              <w:spacing w:before="60" w:after="60"/>
              <w:rPr>
                <w:rFonts w:ascii="Arial" w:hAnsi="Arial" w:cs="Arial"/>
                <w:sz w:val="18"/>
                <w:szCs w:val="18"/>
              </w:rPr>
            </w:pPr>
            <w:r w:rsidRPr="00990D3B">
              <w:rPr>
                <w:rFonts w:ascii="Arial" w:hAnsi="Arial" w:cs="Arial"/>
                <w:sz w:val="18"/>
                <w:szCs w:val="18"/>
              </w:rPr>
              <w:t> </w:t>
            </w:r>
          </w:p>
        </w:tc>
      </w:tr>
      <w:tr w14:paraId="5F6DEA7D" w14:textId="77777777" w:rsidTr="00BD1FC3">
        <w:tblPrEx>
          <w:tblW w:w="5000" w:type="pct"/>
          <w:tblLook w:val="04A0"/>
        </w:tblPrEx>
        <w:tc>
          <w:tcPr>
            <w:tcW w:w="4335" w:type="dxa"/>
          </w:tcPr>
          <w:p w:rsidR="00AB6BA6" w:rsidRPr="00990D3B" w:rsidP="00836806" w14:paraId="4D627A3C" w14:textId="77777777">
            <w:pPr>
              <w:spacing w:before="60" w:after="60"/>
              <w:rPr>
                <w:rFonts w:ascii="Arial" w:hAnsi="Arial" w:cs="Arial"/>
                <w:sz w:val="18"/>
                <w:szCs w:val="18"/>
              </w:rPr>
            </w:pPr>
            <w:r w:rsidRPr="00990D3B">
              <w:rPr>
                <w:rFonts w:ascii="Arial" w:hAnsi="Arial" w:cs="Arial"/>
                <w:sz w:val="18"/>
                <w:szCs w:val="18"/>
              </w:rPr>
              <w:t>9.5 Was sustained improvement demonstrated through repeated measurements over time?</w:t>
            </w:r>
          </w:p>
        </w:tc>
        <w:tc>
          <w:tcPr>
            <w:tcW w:w="551" w:type="dxa"/>
          </w:tcPr>
          <w:p w:rsidR="00AB6BA6" w:rsidRPr="00990D3B" w:rsidP="00836806" w14:paraId="55F834F3" w14:textId="77777777">
            <w:pPr>
              <w:spacing w:before="60" w:after="60"/>
              <w:rPr>
                <w:rFonts w:ascii="Arial" w:hAnsi="Arial" w:cs="Arial"/>
                <w:sz w:val="18"/>
                <w:szCs w:val="18"/>
              </w:rPr>
            </w:pPr>
            <w:r w:rsidRPr="00990D3B">
              <w:rPr>
                <w:rFonts w:ascii="Arial" w:hAnsi="Arial" w:cs="Arial"/>
                <w:sz w:val="18"/>
                <w:szCs w:val="18"/>
              </w:rPr>
              <w:t> </w:t>
            </w:r>
          </w:p>
        </w:tc>
        <w:tc>
          <w:tcPr>
            <w:tcW w:w="559" w:type="dxa"/>
          </w:tcPr>
          <w:p w:rsidR="00AB6BA6" w:rsidRPr="00990D3B" w:rsidP="00836806" w14:paraId="2E14305C" w14:textId="77777777">
            <w:pPr>
              <w:spacing w:before="60" w:after="60"/>
              <w:rPr>
                <w:rFonts w:ascii="Arial" w:hAnsi="Arial" w:cs="Arial"/>
                <w:sz w:val="18"/>
                <w:szCs w:val="18"/>
              </w:rPr>
            </w:pPr>
            <w:r w:rsidRPr="00990D3B">
              <w:rPr>
                <w:rFonts w:ascii="Arial" w:hAnsi="Arial" w:cs="Arial"/>
                <w:sz w:val="18"/>
                <w:szCs w:val="18"/>
              </w:rPr>
              <w:t> </w:t>
            </w:r>
          </w:p>
        </w:tc>
        <w:tc>
          <w:tcPr>
            <w:tcW w:w="760" w:type="dxa"/>
          </w:tcPr>
          <w:p w:rsidR="00AB6BA6" w:rsidRPr="00990D3B" w:rsidP="00836806" w14:paraId="57900A58" w14:textId="77777777">
            <w:pPr>
              <w:spacing w:before="60" w:after="60"/>
              <w:rPr>
                <w:rFonts w:ascii="Arial" w:hAnsi="Arial" w:cs="Arial"/>
                <w:sz w:val="18"/>
                <w:szCs w:val="18"/>
              </w:rPr>
            </w:pPr>
            <w:r w:rsidRPr="00990D3B">
              <w:rPr>
                <w:rFonts w:ascii="Arial" w:hAnsi="Arial" w:cs="Arial"/>
                <w:sz w:val="18"/>
                <w:szCs w:val="18"/>
              </w:rPr>
              <w:t> </w:t>
            </w:r>
          </w:p>
        </w:tc>
        <w:tc>
          <w:tcPr>
            <w:tcW w:w="3145" w:type="dxa"/>
          </w:tcPr>
          <w:p w:rsidR="00AB6BA6" w:rsidRPr="00990D3B" w:rsidP="00836806" w14:paraId="4BE9B267" w14:textId="77777777">
            <w:pPr>
              <w:spacing w:before="60" w:after="60"/>
              <w:rPr>
                <w:rFonts w:ascii="Arial" w:hAnsi="Arial" w:cs="Arial"/>
                <w:sz w:val="18"/>
                <w:szCs w:val="18"/>
              </w:rPr>
            </w:pPr>
            <w:r w:rsidRPr="00990D3B">
              <w:rPr>
                <w:rFonts w:ascii="Arial" w:hAnsi="Arial" w:cs="Arial"/>
                <w:sz w:val="18"/>
                <w:szCs w:val="18"/>
              </w:rPr>
              <w:t> </w:t>
            </w:r>
          </w:p>
        </w:tc>
      </w:tr>
      <w:tr w14:paraId="0C0397B3" w14:textId="77777777" w:rsidTr="00BD1FC3">
        <w:tblPrEx>
          <w:tblW w:w="5000" w:type="pct"/>
          <w:tblLook w:val="04A0"/>
        </w:tblPrEx>
        <w:tc>
          <w:tcPr>
            <w:tcW w:w="4335" w:type="dxa"/>
          </w:tcPr>
          <w:p w:rsidR="00AB6BA6" w:rsidRPr="00990D3B" w:rsidP="00836806" w14:paraId="16C9ABC8" w14:textId="77777777">
            <w:pPr>
              <w:spacing w:before="60" w:after="60"/>
              <w:rPr>
                <w:rFonts w:ascii="Arial" w:hAnsi="Arial" w:cs="Arial"/>
                <w:sz w:val="18"/>
                <w:szCs w:val="18"/>
              </w:rPr>
            </w:pPr>
            <w:r w:rsidRPr="00990D3B">
              <w:rPr>
                <w:rFonts w:ascii="Arial" w:hAnsi="Arial" w:cs="Arial"/>
                <w:sz w:val="18"/>
                <w:szCs w:val="18"/>
              </w:rPr>
              <w:t xml:space="preserve">9.6 Overall assessment: In the comments section, note any recommendations for improving the significance and sustainability of improvement </w:t>
            </w:r>
            <w:r w:rsidRPr="00990D3B">
              <w:rPr>
                <w:rFonts w:ascii="Arial" w:hAnsi="Arial" w:cs="Arial"/>
                <w:sz w:val="18"/>
                <w:szCs w:val="18"/>
              </w:rPr>
              <w:t>as a result of</w:t>
            </w:r>
            <w:r w:rsidRPr="00990D3B">
              <w:rPr>
                <w:rFonts w:ascii="Arial" w:hAnsi="Arial" w:cs="Arial"/>
                <w:sz w:val="18"/>
                <w:szCs w:val="18"/>
              </w:rPr>
              <w:t xml:space="preserve"> the PIP.</w:t>
            </w:r>
          </w:p>
        </w:tc>
        <w:tc>
          <w:tcPr>
            <w:tcW w:w="551" w:type="dxa"/>
            <w:shd w:val="clear" w:color="auto" w:fill="D9D9D9" w:themeFill="background1" w:themeFillShade="D9"/>
          </w:tcPr>
          <w:p w:rsidR="00AB6BA6" w:rsidRPr="00990D3B" w:rsidP="00836806" w14:paraId="51CFE07C" w14:textId="77777777">
            <w:pPr>
              <w:spacing w:before="60" w:after="60"/>
              <w:rPr>
                <w:rFonts w:ascii="Arial" w:hAnsi="Arial" w:cs="Arial"/>
                <w:sz w:val="18"/>
                <w:szCs w:val="18"/>
              </w:rPr>
            </w:pPr>
            <w:r w:rsidRPr="00990D3B">
              <w:rPr>
                <w:rFonts w:ascii="Arial" w:hAnsi="Arial" w:cs="Arial"/>
                <w:sz w:val="18"/>
                <w:szCs w:val="18"/>
              </w:rPr>
              <w:t> </w:t>
            </w:r>
          </w:p>
        </w:tc>
        <w:tc>
          <w:tcPr>
            <w:tcW w:w="559" w:type="dxa"/>
            <w:shd w:val="clear" w:color="auto" w:fill="D9D9D9" w:themeFill="background1" w:themeFillShade="D9"/>
          </w:tcPr>
          <w:p w:rsidR="00AB6BA6" w:rsidRPr="00990D3B" w:rsidP="00836806" w14:paraId="2EE3E42B" w14:textId="77777777">
            <w:pPr>
              <w:spacing w:before="60" w:after="60"/>
              <w:rPr>
                <w:rFonts w:ascii="Arial" w:hAnsi="Arial" w:cs="Arial"/>
                <w:sz w:val="18"/>
                <w:szCs w:val="18"/>
              </w:rPr>
            </w:pPr>
            <w:r w:rsidRPr="00990D3B">
              <w:rPr>
                <w:rFonts w:ascii="Arial" w:hAnsi="Arial" w:cs="Arial"/>
                <w:sz w:val="18"/>
                <w:szCs w:val="18"/>
              </w:rPr>
              <w:t> </w:t>
            </w:r>
          </w:p>
        </w:tc>
        <w:tc>
          <w:tcPr>
            <w:tcW w:w="760" w:type="dxa"/>
            <w:shd w:val="clear" w:color="auto" w:fill="D9D9D9" w:themeFill="background1" w:themeFillShade="D9"/>
          </w:tcPr>
          <w:p w:rsidR="00AB6BA6" w:rsidRPr="00990D3B" w:rsidP="00836806" w14:paraId="77B50768" w14:textId="77777777">
            <w:pPr>
              <w:spacing w:before="60" w:after="60"/>
              <w:rPr>
                <w:rFonts w:ascii="Arial" w:hAnsi="Arial" w:cs="Arial"/>
                <w:sz w:val="18"/>
                <w:szCs w:val="18"/>
              </w:rPr>
            </w:pPr>
            <w:r w:rsidRPr="00990D3B">
              <w:rPr>
                <w:rFonts w:ascii="Arial" w:hAnsi="Arial" w:cs="Arial"/>
                <w:sz w:val="18"/>
                <w:szCs w:val="18"/>
              </w:rPr>
              <w:t> </w:t>
            </w:r>
          </w:p>
        </w:tc>
        <w:tc>
          <w:tcPr>
            <w:tcW w:w="3145" w:type="dxa"/>
          </w:tcPr>
          <w:p w:rsidR="00AB6BA6" w:rsidRPr="00990D3B" w:rsidP="00836806" w14:paraId="76EA0D0D" w14:textId="77777777">
            <w:pPr>
              <w:spacing w:before="60" w:after="60"/>
              <w:rPr>
                <w:rFonts w:ascii="Arial" w:hAnsi="Arial" w:cs="Arial"/>
                <w:sz w:val="18"/>
                <w:szCs w:val="18"/>
              </w:rPr>
            </w:pPr>
            <w:r w:rsidRPr="00990D3B">
              <w:rPr>
                <w:rFonts w:ascii="Arial" w:hAnsi="Arial" w:cs="Arial"/>
                <w:sz w:val="18"/>
                <w:szCs w:val="18"/>
              </w:rPr>
              <w:t> </w:t>
            </w:r>
          </w:p>
        </w:tc>
      </w:tr>
    </w:tbl>
    <w:p w:rsidR="00FC0CEF" w:rsidRPr="00990D3B" w:rsidP="00B5252D" w14:paraId="4CEC7DDA" w14:textId="77777777">
      <w:pPr>
        <w:pStyle w:val="ParagraphContinued"/>
      </w:pPr>
    </w:p>
    <w:p w:rsidR="00B257C0" w:rsidRPr="00990D3B" w14:paraId="0152646F" w14:textId="19E62520">
      <w:pPr>
        <w:spacing w:line="240" w:lineRule="auto"/>
        <w:rPr>
          <w:rFonts w:ascii="Arial" w:eastAsia="Calibri" w:hAnsi="Arial"/>
          <w:sz w:val="22"/>
          <w:szCs w:val="23"/>
        </w:rPr>
      </w:pPr>
      <w:r w:rsidRPr="00990D3B">
        <w:br w:type="page"/>
      </w:r>
    </w:p>
    <w:p w:rsidR="00AB6BA6" w:rsidRPr="00990D3B" w:rsidP="00BD1FC3" w14:paraId="34B19260" w14:textId="77777777">
      <w:pPr>
        <w:pStyle w:val="EQRMarkforExhibitWORKSHEET"/>
      </w:pPr>
      <w:bookmarkStart w:id="211" w:name="WSp1n10"/>
      <w:bookmarkStart w:id="212" w:name="_Toc125619142"/>
      <w:bookmarkStart w:id="213" w:name="_Toc201751487"/>
      <w:bookmarkStart w:id="214" w:name="_Hlk82768301"/>
      <w:r w:rsidRPr="00990D3B">
        <w:t>Worksheet 1.10</w:t>
      </w:r>
      <w:bookmarkEnd w:id="211"/>
      <w:r w:rsidRPr="00990D3B">
        <w:t>. Perform Overall Validation of PIP Results</w:t>
      </w:r>
      <w:bookmarkEnd w:id="212"/>
      <w:bookmarkEnd w:id="213"/>
      <w:r w:rsidRPr="00990D3B">
        <w:t xml:space="preserve"> </w:t>
      </w:r>
    </w:p>
    <w:p w:rsidR="00AB6BA6" w:rsidRPr="00990D3B" w:rsidP="00B257C0" w14:paraId="1B493C44" w14:textId="21358E96">
      <w:pPr>
        <w:pStyle w:val="EQRNormalSSWORKSHEET"/>
      </w:pPr>
      <w:r w:rsidRPr="00990D3B">
        <w:rPr>
          <w:b/>
          <w:bCs/>
        </w:rPr>
        <w:t xml:space="preserve">Instructions. </w:t>
      </w:r>
      <w:r w:rsidRPr="00990D3B">
        <w:t xml:space="preserve">Provide </w:t>
      </w:r>
      <w:r w:rsidRPr="00990D3B" w:rsidR="00B05E34">
        <w:t>two</w:t>
      </w:r>
      <w:r w:rsidRPr="00990D3B">
        <w:t xml:space="preserve"> overall validation rating</w:t>
      </w:r>
      <w:r w:rsidRPr="00990D3B" w:rsidR="00B05E34">
        <w:t>s</w:t>
      </w:r>
      <w:r w:rsidRPr="00990D3B">
        <w:t xml:space="preserve"> of the PIP results. The </w:t>
      </w:r>
      <w:r w:rsidRPr="00990D3B" w:rsidR="00B05E34">
        <w:t>first rating</w:t>
      </w:r>
      <w:r w:rsidRPr="00990D3B">
        <w:t xml:space="preserve"> refers to the EQRO’s overall confidence that the PIP adhered to acceptable methodology for all phases of design and data collection </w:t>
      </w:r>
      <w:r w:rsidRPr="00990D3B" w:rsidR="009B7197">
        <w:t xml:space="preserve">and </w:t>
      </w:r>
      <w:r w:rsidRPr="00990D3B">
        <w:t>conducted accurate data analysis and interpretation of PIP results</w:t>
      </w:r>
      <w:r w:rsidRPr="00990D3B" w:rsidR="009B7197">
        <w:t>. The second rating refers to the EQRO’s overall confiden</w:t>
      </w:r>
      <w:r w:rsidRPr="00990D3B" w:rsidR="003A58F7">
        <w:t>ce</w:t>
      </w:r>
      <w:r w:rsidRPr="00990D3B" w:rsidR="009B7197">
        <w:t xml:space="preserve"> that </w:t>
      </w:r>
      <w:r w:rsidRPr="00990D3B" w:rsidR="003A58F7">
        <w:t>the PIP</w:t>
      </w:r>
      <w:r w:rsidRPr="00990D3B">
        <w:t xml:space="preserve"> produced evidence of significant improvement. Insert comments to explain the rating</w:t>
      </w:r>
      <w:r w:rsidRPr="00990D3B" w:rsidR="003A58F7">
        <w:t>s</w:t>
      </w:r>
      <w:r w:rsidRPr="00990D3B">
        <w:t>.</w:t>
      </w:r>
      <w:r w:rsidRPr="00990D3B" w:rsidR="00CB0BED">
        <w:t xml:space="preserve"> Provide comments to justify the ratings.</w:t>
      </w:r>
    </w:p>
    <w:p w:rsidR="00FC0CEF" w:rsidRPr="00990D3B" w:rsidP="00B257C0" w14:paraId="70591924" w14:textId="2B69FE9A">
      <w:pPr>
        <w:pStyle w:val="EQRNormalSSWORKSHEET"/>
        <w:rPr>
          <w:sz w:val="24"/>
          <w:szCs w:val="24"/>
        </w:rPr>
      </w:pPr>
      <w:r w:rsidRPr="00990D3B">
        <w:rPr>
          <w:rFonts w:eastAsia="Times New Roman" w:asciiTheme="majorHAnsi" w:hAnsiTheme="majorHAnsi" w:cstheme="majorHAnsi"/>
        </w:rPr>
        <w:t>Acronyms: EQRO = External Quality Review Organization; PIP = Performance Improvement Project.</w:t>
      </w:r>
    </w:p>
    <w:tbl>
      <w:tblPr>
        <w:tblStyle w:val="TableGrid"/>
        <w:tblW w:w="5000" w:type="pct"/>
        <w:tblLook w:val="04A0"/>
      </w:tblPr>
      <w:tblGrid>
        <w:gridCol w:w="4188"/>
        <w:gridCol w:w="5162"/>
      </w:tblGrid>
      <w:tr w14:paraId="6E99E0D9" w14:textId="77777777" w:rsidTr="00BD1FC3">
        <w:tblPrEx>
          <w:tblW w:w="5000" w:type="pct"/>
          <w:tblLook w:val="04A0"/>
        </w:tblPrEx>
        <w:trPr>
          <w:tblHeader/>
        </w:trPr>
        <w:tc>
          <w:tcPr>
            <w:tcW w:w="4188" w:type="dxa"/>
            <w:vAlign w:val="bottom"/>
          </w:tcPr>
          <w:p w:rsidR="00AB6BA6" w:rsidRPr="00990D3B" w:rsidP="009E1FEA" w14:paraId="6399AE31" w14:textId="1A0DAB58">
            <w:pPr>
              <w:pStyle w:val="EQRTableHeaderLeft"/>
              <w:rPr>
                <w:color w:val="auto"/>
              </w:rPr>
            </w:pPr>
            <w:r w:rsidRPr="00990D3B">
              <w:rPr>
                <w:color w:val="auto"/>
              </w:rPr>
              <w:t>PIP Validation Rating</w:t>
            </w:r>
            <w:r w:rsidRPr="00990D3B" w:rsidR="004365C8">
              <w:rPr>
                <w:color w:val="auto"/>
              </w:rPr>
              <w:t>s</w:t>
            </w:r>
            <w:r w:rsidRPr="00990D3B">
              <w:rPr>
                <w:color w:val="auto"/>
              </w:rPr>
              <w:t xml:space="preserve"> (check one box)</w:t>
            </w:r>
          </w:p>
        </w:tc>
        <w:tc>
          <w:tcPr>
            <w:tcW w:w="5162" w:type="dxa"/>
            <w:vAlign w:val="bottom"/>
          </w:tcPr>
          <w:p w:rsidR="00AB6BA6" w:rsidRPr="00990D3B" w:rsidP="009E1FEA" w14:paraId="19BC79D0" w14:textId="77777777">
            <w:pPr>
              <w:pStyle w:val="EQRTableHeaderCenter"/>
              <w:rPr>
                <w:color w:val="auto"/>
              </w:rPr>
            </w:pPr>
            <w:r w:rsidRPr="00990D3B">
              <w:rPr>
                <w:color w:val="auto"/>
              </w:rPr>
              <w:t>Comments</w:t>
            </w:r>
          </w:p>
        </w:tc>
      </w:tr>
      <w:tr w14:paraId="5CD5C373" w14:textId="77777777" w:rsidTr="00BD1FC3">
        <w:tblPrEx>
          <w:tblW w:w="5000" w:type="pct"/>
          <w:tblLook w:val="04A0"/>
        </w:tblPrEx>
        <w:tc>
          <w:tcPr>
            <w:tcW w:w="4188" w:type="dxa"/>
          </w:tcPr>
          <w:p w:rsidR="00716C2C" w:rsidRPr="00990D3B" w:rsidP="009E1FEA" w14:paraId="10B916ED" w14:textId="77777777">
            <w:pPr>
              <w:pStyle w:val="EQRTableText"/>
            </w:pPr>
            <w:r w:rsidRPr="00990D3B">
              <w:t>Rating 1: EQRO’s Overall Confidence that the PIP Adhered to Acceptable Methodology for All Phases</w:t>
            </w:r>
          </w:p>
          <w:p w:rsidR="00716C2C" w:rsidRPr="00990D3B" w:rsidP="00114AB8" w14:paraId="4E1ED287" w14:textId="77777777">
            <w:pPr>
              <w:pStyle w:val="EQRTableText"/>
            </w:pPr>
            <w:r w:rsidRPr="00990D3B">
              <w:fldChar w:fldCharType="begin">
                <w:ffData>
                  <w:name w:val="Check3"/>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High confidence</w:t>
            </w:r>
          </w:p>
          <w:p w:rsidR="00716C2C" w:rsidRPr="00990D3B" w:rsidP="00114AB8" w14:paraId="0F7F57D8" w14:textId="77777777">
            <w:pPr>
              <w:pStyle w:val="EQRTableText"/>
            </w:pPr>
            <w:r w:rsidRPr="00990D3B">
              <w:fldChar w:fldCharType="begin">
                <w:ffData>
                  <w:name w:val="Check4"/>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Moderate confidence  </w:t>
            </w:r>
          </w:p>
          <w:p w:rsidR="00716C2C" w:rsidRPr="00990D3B" w:rsidP="00114AB8" w14:paraId="2359A1EF" w14:textId="77777777">
            <w:pPr>
              <w:pStyle w:val="EQRTableText"/>
            </w:pPr>
            <w:r w:rsidRPr="00990D3B">
              <w:fldChar w:fldCharType="begin">
                <w:ffData>
                  <w:name w:val="Check4"/>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Low confidence </w:t>
            </w:r>
          </w:p>
          <w:p w:rsidR="00716C2C" w:rsidRPr="00990D3B" w:rsidP="00716C2C" w14:paraId="606B351B" w14:textId="40A60499">
            <w:pPr>
              <w:pStyle w:val="EQRTableText"/>
            </w:pPr>
            <w:r w:rsidRPr="00990D3B">
              <w:fldChar w:fldCharType="begin">
                <w:ffData>
                  <w:name w:val="Check4"/>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 confidence</w:t>
            </w:r>
          </w:p>
        </w:tc>
        <w:tc>
          <w:tcPr>
            <w:tcW w:w="5162" w:type="dxa"/>
          </w:tcPr>
          <w:p w:rsidR="00716C2C" w:rsidRPr="00990D3B" w:rsidP="009E1FEA" w14:paraId="0BE149B8" w14:textId="77777777">
            <w:pPr>
              <w:pStyle w:val="EQRTableText"/>
            </w:pPr>
          </w:p>
        </w:tc>
      </w:tr>
      <w:tr w14:paraId="2EAB2688" w14:textId="77777777" w:rsidTr="00BD1FC3">
        <w:tblPrEx>
          <w:tblW w:w="5000" w:type="pct"/>
          <w:tblLook w:val="04A0"/>
        </w:tblPrEx>
        <w:tc>
          <w:tcPr>
            <w:tcW w:w="4188" w:type="dxa"/>
          </w:tcPr>
          <w:p w:rsidR="003A58F7" w:rsidRPr="00990D3B" w:rsidP="009E1FEA" w14:paraId="0E9CD474" w14:textId="77777777">
            <w:pPr>
              <w:pStyle w:val="EQRTableText"/>
            </w:pPr>
            <w:r w:rsidRPr="00990D3B">
              <w:t xml:space="preserve">Rating 2: EQRO’s Overall Confidence </w:t>
            </w:r>
            <w:r w:rsidRPr="00990D3B" w:rsidR="00716C2C">
              <w:t>that the PIP Produced Evidence of Significant Improvement</w:t>
            </w:r>
          </w:p>
          <w:p w:rsidR="00716C2C" w:rsidRPr="00990D3B" w:rsidP="00716C2C" w14:paraId="3C0B32F4" w14:textId="77777777">
            <w:pPr>
              <w:pStyle w:val="EQRTableText"/>
            </w:pPr>
            <w:r w:rsidRPr="00990D3B">
              <w:fldChar w:fldCharType="begin">
                <w:ffData>
                  <w:name w:val="Check3"/>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High confidence</w:t>
            </w:r>
          </w:p>
          <w:p w:rsidR="00716C2C" w:rsidRPr="00990D3B" w:rsidP="00114AB8" w14:paraId="14AE9E86" w14:textId="77777777">
            <w:pPr>
              <w:pStyle w:val="EQRTableText"/>
            </w:pPr>
            <w:r w:rsidRPr="00990D3B">
              <w:fldChar w:fldCharType="begin">
                <w:ffData>
                  <w:name w:val="Check4"/>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Moderate confidence  </w:t>
            </w:r>
          </w:p>
          <w:p w:rsidR="00716C2C" w:rsidRPr="00990D3B" w:rsidP="00716C2C" w14:paraId="0A043308" w14:textId="77777777">
            <w:pPr>
              <w:pStyle w:val="EQRTableText"/>
            </w:pPr>
            <w:r w:rsidRPr="00990D3B">
              <w:fldChar w:fldCharType="begin">
                <w:ffData>
                  <w:name w:val="Check4"/>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Low confidence </w:t>
            </w:r>
          </w:p>
          <w:p w:rsidR="00716C2C" w:rsidRPr="00990D3B" w:rsidP="00716C2C" w14:paraId="1D099D94" w14:textId="5E265DCC">
            <w:pPr>
              <w:pStyle w:val="EQRTableText"/>
            </w:pPr>
            <w:r w:rsidRPr="00990D3B">
              <w:fldChar w:fldCharType="begin">
                <w:ffData>
                  <w:name w:val="Check4"/>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 confidence</w:t>
            </w:r>
          </w:p>
        </w:tc>
        <w:tc>
          <w:tcPr>
            <w:tcW w:w="5162" w:type="dxa"/>
          </w:tcPr>
          <w:p w:rsidR="003A58F7" w:rsidRPr="00990D3B" w:rsidP="009E1FEA" w14:paraId="14EEF7F5" w14:textId="77777777">
            <w:pPr>
              <w:pStyle w:val="EQRTableText"/>
            </w:pPr>
          </w:p>
        </w:tc>
      </w:tr>
    </w:tbl>
    <w:p w:rsidR="00812664" w:rsidRPr="00990D3B" w:rsidP="00B5252D" w14:paraId="13DAF8EA" w14:textId="77777777">
      <w:pPr>
        <w:pStyle w:val="ParagraphContinued"/>
        <w:sectPr w:rsidSect="00A65C6B">
          <w:pgSz w:w="12240" w:h="15840" w:code="1"/>
          <w:pgMar w:top="1440" w:right="1440" w:bottom="1440" w:left="1440" w:header="720" w:footer="720" w:gutter="0"/>
          <w:cols w:space="720"/>
          <w:titlePg/>
          <w:docGrid w:linePitch="360"/>
        </w:sectPr>
      </w:pPr>
    </w:p>
    <w:p w:rsidR="00AB6BA6" w:rsidRPr="00990D3B" w:rsidP="00BD1FC3" w14:paraId="21F00FDB" w14:textId="41E078A7">
      <w:pPr>
        <w:pStyle w:val="EQRMarkforExhibitWORKSHEET"/>
      </w:pPr>
      <w:bookmarkStart w:id="215" w:name="WSp1n11"/>
      <w:bookmarkStart w:id="216" w:name="_Toc125619143"/>
      <w:bookmarkStart w:id="217" w:name="_Toc201751488"/>
      <w:bookmarkEnd w:id="214"/>
      <w:r w:rsidRPr="00990D3B">
        <w:t>Worksheet 1.11</w:t>
      </w:r>
      <w:bookmarkEnd w:id="215"/>
      <w:r w:rsidRPr="00990D3B">
        <w:t>. Framework for Summarizing Information about PIPs</w:t>
      </w:r>
      <w:bookmarkEnd w:id="216"/>
      <w:bookmarkEnd w:id="217"/>
    </w:p>
    <w:p w:rsidR="0086202E" w:rsidRPr="00990D3B" w:rsidP="00BD1FC3" w14:paraId="32E5269B" w14:textId="775C9830">
      <w:pPr>
        <w:pStyle w:val="EQRNormalSSWORKSHEET"/>
      </w:pPr>
      <w:r w:rsidRPr="00990D3B">
        <w:rPr>
          <w:b/>
          <w:bCs/>
        </w:rPr>
        <w:t xml:space="preserve">Instructions. </w:t>
      </w:r>
      <w:r w:rsidRPr="00990D3B" w:rsidR="00B4600A">
        <w:t>To assist with the analysis portion of the EQR technical report requirement</w:t>
      </w:r>
      <w:r w:rsidRPr="00990D3B">
        <w:t xml:space="preserve">, </w:t>
      </w:r>
      <w:r w:rsidRPr="00990D3B" w:rsidR="001F01C9">
        <w:t>complete the table below in its</w:t>
      </w:r>
      <w:r w:rsidRPr="00990D3B">
        <w:t xml:space="preserve"> entirety</w:t>
      </w:r>
      <w:r w:rsidRPr="00990D3B" w:rsidR="00B4600A">
        <w:t xml:space="preserve"> for all PIPs</w:t>
      </w:r>
      <w:r w:rsidRPr="00990D3B">
        <w:t xml:space="preserve">. </w:t>
      </w:r>
      <w:r w:rsidRPr="00990D3B" w:rsidR="002142A8">
        <w:t>Doing so</w:t>
      </w:r>
      <w:r w:rsidRPr="00990D3B">
        <w:t xml:space="preserve"> </w:t>
      </w:r>
      <w:r w:rsidRPr="00990D3B" w:rsidR="001F01C9">
        <w:t>ensures</w:t>
      </w:r>
      <w:r w:rsidRPr="00990D3B">
        <w:t xml:space="preserve"> </w:t>
      </w:r>
      <w:r w:rsidRPr="00990D3B" w:rsidR="00B4600A">
        <w:t>the EQRO</w:t>
      </w:r>
      <w:r w:rsidRPr="00990D3B" w:rsidR="001F01C9">
        <w:t>s</w:t>
      </w:r>
      <w:r w:rsidRPr="00990D3B">
        <w:t xml:space="preserve"> </w:t>
      </w:r>
      <w:r w:rsidRPr="00990D3B" w:rsidR="00B4600A">
        <w:t>generate</w:t>
      </w:r>
      <w:r w:rsidRPr="00990D3B" w:rsidR="001F01C9">
        <w:t>s</w:t>
      </w:r>
      <w:r w:rsidRPr="00990D3B" w:rsidR="00B4600A">
        <w:t xml:space="preserve"> </w:t>
      </w:r>
      <w:r w:rsidRPr="00990D3B">
        <w:t xml:space="preserve">comparable </w:t>
      </w:r>
      <w:r w:rsidRPr="00990D3B" w:rsidR="00B4600A">
        <w:t>information for all PIPs</w:t>
      </w:r>
      <w:r w:rsidRPr="00990D3B">
        <w:t>.</w:t>
      </w:r>
      <w:r w:rsidRPr="00990D3B" w:rsidR="003725D7">
        <w:t xml:space="preserve"> </w:t>
      </w:r>
      <w:r w:rsidRPr="00990D3B" w:rsidR="001F01C9">
        <w:t>These tables</w:t>
      </w:r>
      <w:r w:rsidRPr="00990D3B" w:rsidR="003725D7">
        <w:t xml:space="preserve"> can be included within an EQR technical report as </w:t>
      </w:r>
      <w:r w:rsidRPr="00990D3B" w:rsidR="00542955">
        <w:t xml:space="preserve">a </w:t>
      </w:r>
      <w:r w:rsidRPr="00990D3B" w:rsidR="003725D7">
        <w:t xml:space="preserve">PIP appendix. </w:t>
      </w:r>
    </w:p>
    <w:p w:rsidR="00FC0CEF" w:rsidRPr="00990D3B" w:rsidP="00BD1FC3" w14:paraId="7142C32A" w14:textId="1BFC71FF">
      <w:pPr>
        <w:pStyle w:val="EQRNormalSSWORKSHEET"/>
        <w:rPr>
          <w:sz w:val="20"/>
          <w:szCs w:val="20"/>
        </w:rPr>
      </w:pPr>
      <w:r w:rsidRPr="00990D3B">
        <w:rPr>
          <w:rFonts w:asciiTheme="majorHAnsi" w:hAnsiTheme="majorHAnsi" w:cstheme="majorHAnsi"/>
        </w:rPr>
        <w:t>Acronyms: CHIP = Children’s Health Insurance Program; EQR = External Quality Review; EQRO = External Quality Review Organization; LTSS = Long-Term Services and Supports; MCP= Managed Care Plan; NQF = National Quality Forum; PIP = Performance Improvement Project.</w:t>
      </w:r>
    </w:p>
    <w:p w:rsidR="00AB6BA6" w:rsidRPr="00990D3B" w:rsidP="002B40CC" w14:paraId="119CFABC" w14:textId="77777777">
      <w:pPr>
        <w:pStyle w:val="H2EQRWorksheet"/>
      </w:pPr>
      <w:r w:rsidRPr="00990D3B">
        <w:t>1. General PIP Information</w:t>
      </w:r>
    </w:p>
    <w:tbl>
      <w:tblPr>
        <w:tblStyle w:val="TableGrid"/>
        <w:tblW w:w="5002" w:type="pct"/>
        <w:tblLook w:val="04A0"/>
      </w:tblPr>
      <w:tblGrid>
        <w:gridCol w:w="12955"/>
      </w:tblGrid>
      <w:tr w14:paraId="4ACFD501" w14:textId="77777777" w:rsidTr="000A0E9D">
        <w:tblPrEx>
          <w:tblW w:w="5002" w:type="pct"/>
          <w:tblLook w:val="04A0"/>
        </w:tblPrEx>
        <w:tc>
          <w:tcPr>
            <w:tcW w:w="12950" w:type="dxa"/>
          </w:tcPr>
          <w:p w:rsidR="00AB6BA6" w:rsidRPr="00990D3B" w:rsidP="009422B9" w14:paraId="4E4BBE49" w14:textId="5C3C3818">
            <w:pPr>
              <w:pStyle w:val="EQRTableText"/>
              <w:rPr>
                <w:b/>
              </w:rPr>
            </w:pPr>
            <w:r w:rsidRPr="00990D3B">
              <w:rPr>
                <w:b/>
              </w:rPr>
              <w:t xml:space="preserve">MCP </w:t>
            </w:r>
            <w:r w:rsidRPr="00990D3B" w:rsidR="00FB6B4B">
              <w:rPr>
                <w:b/>
              </w:rPr>
              <w:t>n</w:t>
            </w:r>
            <w:r w:rsidRPr="00990D3B">
              <w:rPr>
                <w:b/>
              </w:rPr>
              <w:t xml:space="preserve">ame:  </w:t>
            </w:r>
          </w:p>
        </w:tc>
      </w:tr>
      <w:tr w14:paraId="7584B654" w14:textId="77777777" w:rsidTr="000A0E9D">
        <w:tblPrEx>
          <w:tblW w:w="5002" w:type="pct"/>
          <w:tblLook w:val="04A0"/>
        </w:tblPrEx>
        <w:tc>
          <w:tcPr>
            <w:tcW w:w="12950" w:type="dxa"/>
          </w:tcPr>
          <w:p w:rsidR="00AB6BA6" w:rsidRPr="00990D3B" w:rsidP="009422B9" w14:paraId="222B6314" w14:textId="76880C34">
            <w:pPr>
              <w:pStyle w:val="EQRTableText"/>
              <w:rPr>
                <w:b/>
              </w:rPr>
            </w:pPr>
            <w:r w:rsidRPr="00990D3B">
              <w:rPr>
                <w:b/>
              </w:rPr>
              <w:t xml:space="preserve">PIP </w:t>
            </w:r>
            <w:r w:rsidRPr="00990D3B" w:rsidR="00FB6B4B">
              <w:rPr>
                <w:b/>
              </w:rPr>
              <w:t>t</w:t>
            </w:r>
            <w:r w:rsidRPr="00990D3B">
              <w:rPr>
                <w:b/>
              </w:rPr>
              <w:t xml:space="preserve">itle: </w:t>
            </w:r>
          </w:p>
        </w:tc>
      </w:tr>
      <w:tr w14:paraId="454696D6" w14:textId="77777777" w:rsidTr="000A0E9D">
        <w:tblPrEx>
          <w:tblW w:w="5002" w:type="pct"/>
          <w:tblLook w:val="04A0"/>
        </w:tblPrEx>
        <w:tc>
          <w:tcPr>
            <w:tcW w:w="12950" w:type="dxa"/>
          </w:tcPr>
          <w:p w:rsidR="00AB6BA6" w:rsidRPr="00990D3B" w:rsidP="009422B9" w14:paraId="7F5399F7" w14:textId="2B8D467E">
            <w:pPr>
              <w:pStyle w:val="EQRTableText"/>
              <w:rPr>
                <w:b/>
              </w:rPr>
            </w:pPr>
            <w:r w:rsidRPr="00990D3B">
              <w:rPr>
                <w:b/>
              </w:rPr>
              <w:t xml:space="preserve">PIP </w:t>
            </w:r>
            <w:r w:rsidRPr="00990D3B" w:rsidR="00FB6B4B">
              <w:rPr>
                <w:b/>
              </w:rPr>
              <w:t>a</w:t>
            </w:r>
            <w:r w:rsidRPr="00990D3B">
              <w:rPr>
                <w:b/>
              </w:rPr>
              <w:t xml:space="preserve">im </w:t>
            </w:r>
            <w:r w:rsidRPr="00990D3B" w:rsidR="00FB6B4B">
              <w:rPr>
                <w:b/>
              </w:rPr>
              <w:t>s</w:t>
            </w:r>
            <w:r w:rsidRPr="00990D3B">
              <w:rPr>
                <w:b/>
              </w:rPr>
              <w:t>tatement:</w:t>
            </w:r>
          </w:p>
        </w:tc>
      </w:tr>
      <w:tr w14:paraId="0646662C" w14:textId="77777777" w:rsidTr="000A0E9D">
        <w:tblPrEx>
          <w:tblW w:w="5002" w:type="pct"/>
          <w:tblLook w:val="04A0"/>
        </w:tblPrEx>
        <w:tc>
          <w:tcPr>
            <w:tcW w:w="12950" w:type="dxa"/>
          </w:tcPr>
          <w:p w:rsidR="00AB6BA6" w:rsidRPr="00990D3B" w:rsidP="009422B9" w14:paraId="40155E31" w14:textId="5A54E2B4">
            <w:pPr>
              <w:pStyle w:val="EQRTableText"/>
              <w:rPr>
                <w:b/>
              </w:rPr>
            </w:pPr>
            <w:r w:rsidRPr="00990D3B">
              <w:rPr>
                <w:b/>
              </w:rPr>
              <w:t xml:space="preserve">Was the PIP state-mandated, collaborative, statewide, </w:t>
            </w:r>
            <w:r w:rsidRPr="00990D3B" w:rsidR="00542955">
              <w:rPr>
                <w:b/>
              </w:rPr>
              <w:t>and/</w:t>
            </w:r>
            <w:r w:rsidRPr="00990D3B">
              <w:rPr>
                <w:b/>
              </w:rPr>
              <w:t>or plan choice? (check all that apply)</w:t>
            </w:r>
          </w:p>
          <w:p w:rsidR="00AB6BA6" w:rsidRPr="00990D3B" w:rsidP="009422B9" w14:paraId="0ECB5E76" w14:textId="6082501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State-mandated (state required </w:t>
            </w:r>
            <w:r w:rsidRPr="00990D3B" w:rsidR="005F436F">
              <w:t xml:space="preserve">MCPs </w:t>
            </w:r>
            <w:r w:rsidRPr="00990D3B">
              <w:t>to conduct a PIP on this specific topic)</w:t>
            </w:r>
          </w:p>
          <w:p w:rsidR="00AB6BA6" w:rsidRPr="00990D3B" w:rsidP="009422B9" w14:paraId="2AF3947C" w14:textId="0247778C">
            <w:pPr>
              <w:pStyle w:val="EQRTableText"/>
            </w:pPr>
            <w:r w:rsidRPr="00990D3B">
              <w:fldChar w:fldCharType="begin">
                <w:ffData>
                  <w:name w:val="Check2"/>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Collaborative (</w:t>
            </w:r>
            <w:r w:rsidRPr="00990D3B" w:rsidR="005F436F">
              <w:t xml:space="preserve">MCPs </w:t>
            </w:r>
            <w:r w:rsidRPr="00990D3B">
              <w:t>worked together during the planning or implementation phases)</w:t>
            </w:r>
          </w:p>
          <w:p w:rsidR="00AB6BA6" w:rsidRPr="00990D3B" w:rsidP="009422B9" w14:paraId="5D9414B0" w14:textId="0AC1ECA3">
            <w:pPr>
              <w:pStyle w:val="EQRTableText"/>
            </w:pPr>
            <w:r w:rsidRPr="00990D3B">
              <w:fldChar w:fldCharType="begin">
                <w:ffData>
                  <w:name w:val=""/>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Statewide (the PIP was conducted by all </w:t>
            </w:r>
            <w:r w:rsidRPr="00990D3B" w:rsidR="0021290C">
              <w:t>MCPs</w:t>
            </w:r>
            <w:r w:rsidRPr="00990D3B">
              <w:t xml:space="preserve"> within the state)  </w:t>
            </w:r>
          </w:p>
          <w:p w:rsidR="00AB6BA6" w:rsidRPr="00990D3B" w:rsidP="009422B9" w14:paraId="14EA9442" w14:textId="4C9FD43A">
            <w:pPr>
              <w:pStyle w:val="EQRTableText"/>
            </w:pPr>
            <w:r w:rsidRPr="00990D3B">
              <w:fldChar w:fldCharType="begin">
                <w:ffData>
                  <w:name w:val=""/>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Plan choice (state allowed the </w:t>
            </w:r>
            <w:r w:rsidRPr="00990D3B" w:rsidR="00C73417">
              <w:t xml:space="preserve">MCPs </w:t>
            </w:r>
            <w:r w:rsidRPr="00990D3B">
              <w:t>to identify the PIP topic)</w:t>
            </w:r>
          </w:p>
        </w:tc>
      </w:tr>
      <w:tr w14:paraId="4AE8F22B" w14:textId="77777777" w:rsidTr="000A0E9D">
        <w:tblPrEx>
          <w:tblW w:w="5002" w:type="pct"/>
          <w:tblLook w:val="04A0"/>
        </w:tblPrEx>
        <w:tc>
          <w:tcPr>
            <w:tcW w:w="12955" w:type="dxa"/>
          </w:tcPr>
          <w:p w:rsidR="00AB6BA6" w:rsidRPr="00990D3B" w:rsidP="009422B9" w14:paraId="55CA5051" w14:textId="77777777">
            <w:pPr>
              <w:pStyle w:val="EQRTableText"/>
            </w:pPr>
            <w:r w:rsidRPr="00990D3B">
              <w:rPr>
                <w:b/>
              </w:rPr>
              <w:t>Target age group (check one):</w:t>
            </w:r>
            <w:r w:rsidRPr="00990D3B">
              <w:t xml:space="preserve">  </w:t>
            </w:r>
          </w:p>
          <w:p w:rsidR="00AB6BA6" w:rsidRPr="00990D3B" w:rsidP="009422B9" w14:paraId="4D782551"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Children only (ages 0–</w:t>
            </w:r>
            <w:r w:rsidRPr="00990D3B">
              <w:t>17)*</w:t>
            </w:r>
            <w:r w:rsidRPr="00990D3B">
              <w:t xml:space="preserve">    </w:t>
            </w: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Adults only (age 18 and </w:t>
            </w:r>
            <w:r w:rsidRPr="00990D3B">
              <w:t xml:space="preserve">over)   </w:t>
            </w: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Both adults and children</w:t>
            </w:r>
          </w:p>
          <w:p w:rsidR="00AB6BA6" w:rsidRPr="00990D3B" w:rsidP="009422B9" w14:paraId="153C71DD" w14:textId="765CBCE2">
            <w:pPr>
              <w:pStyle w:val="EQRTableText"/>
            </w:pPr>
            <w:r w:rsidRPr="00990D3B">
              <w:t xml:space="preserve">*If PIP uses </w:t>
            </w:r>
            <w:r w:rsidRPr="00990D3B" w:rsidR="002142A8">
              <w:t xml:space="preserve">a </w:t>
            </w:r>
            <w:r w:rsidRPr="00990D3B">
              <w:t xml:space="preserve">different age threshold for children, specify </w:t>
            </w:r>
            <w:r w:rsidRPr="00990D3B" w:rsidR="002142A8">
              <w:t xml:space="preserve">the </w:t>
            </w:r>
            <w:r w:rsidRPr="00990D3B">
              <w:t xml:space="preserve">age range here:  </w:t>
            </w:r>
          </w:p>
        </w:tc>
      </w:tr>
      <w:tr w14:paraId="26DB8CAA" w14:textId="77777777" w:rsidTr="000A0E9D">
        <w:tblPrEx>
          <w:tblW w:w="5002" w:type="pct"/>
          <w:tblLook w:val="04A0"/>
        </w:tblPrEx>
        <w:tc>
          <w:tcPr>
            <w:tcW w:w="12955" w:type="dxa"/>
          </w:tcPr>
          <w:p w:rsidR="00AB6BA6" w:rsidRPr="00990D3B" w:rsidP="009B3815" w14:paraId="659F2F04" w14:textId="5C7C4E78">
            <w:pPr>
              <w:pStyle w:val="EQRTableText"/>
              <w:rPr>
                <w:b/>
              </w:rPr>
            </w:pPr>
            <w:r w:rsidRPr="00990D3B">
              <w:rPr>
                <w:b/>
              </w:rPr>
              <w:t xml:space="preserve">Target </w:t>
            </w:r>
            <w:r w:rsidRPr="00990D3B" w:rsidR="00FB6B4B">
              <w:rPr>
                <w:b/>
              </w:rPr>
              <w:t>p</w:t>
            </w:r>
            <w:r w:rsidRPr="00990D3B">
              <w:rPr>
                <w:b/>
              </w:rPr>
              <w:t xml:space="preserve">opulation </w:t>
            </w:r>
            <w:r w:rsidRPr="00990D3B" w:rsidR="00FB6B4B">
              <w:rPr>
                <w:b/>
              </w:rPr>
              <w:t>d</w:t>
            </w:r>
            <w:r w:rsidRPr="00990D3B">
              <w:rPr>
                <w:b/>
              </w:rPr>
              <w:t>escription, such as</w:t>
            </w:r>
            <w:r w:rsidRPr="00990D3B" w:rsidR="000C1D03">
              <w:t xml:space="preserve"> </w:t>
            </w:r>
            <w:r w:rsidRPr="00990D3B" w:rsidR="0090723C">
              <w:rPr>
                <w:b/>
                <w:bCs/>
              </w:rPr>
              <w:t>beneficiaries who are dually eligible for Medicare and Medicaid</w:t>
            </w:r>
            <w:r w:rsidRPr="00990D3B">
              <w:rPr>
                <w:b/>
              </w:rPr>
              <w:t>, LTSS</w:t>
            </w:r>
            <w:r w:rsidRPr="00990D3B" w:rsidR="002142A8">
              <w:rPr>
                <w:b/>
              </w:rPr>
              <w:t>,</w:t>
            </w:r>
            <w:r w:rsidRPr="00990D3B">
              <w:rPr>
                <w:b/>
              </w:rPr>
              <w:t xml:space="preserve"> or </w:t>
            </w:r>
            <w:r w:rsidRPr="00990D3B" w:rsidR="00E07527">
              <w:rPr>
                <w:b/>
              </w:rPr>
              <w:t>P</w:t>
            </w:r>
            <w:r w:rsidRPr="00990D3B">
              <w:rPr>
                <w:b/>
              </w:rPr>
              <w:t xml:space="preserve">regnant </w:t>
            </w:r>
            <w:r w:rsidRPr="00990D3B" w:rsidR="00E07527">
              <w:rPr>
                <w:b/>
              </w:rPr>
              <w:t>W</w:t>
            </w:r>
            <w:r w:rsidRPr="00990D3B">
              <w:rPr>
                <w:b/>
              </w:rPr>
              <w:t>omen (please specify):</w:t>
            </w:r>
          </w:p>
        </w:tc>
      </w:tr>
      <w:tr w14:paraId="30AC8578" w14:textId="77777777" w:rsidTr="000A0E9D">
        <w:tblPrEx>
          <w:tblW w:w="5002" w:type="pct"/>
          <w:tblLook w:val="04A0"/>
        </w:tblPrEx>
        <w:tc>
          <w:tcPr>
            <w:tcW w:w="12955" w:type="dxa"/>
          </w:tcPr>
          <w:p w:rsidR="00AB6BA6" w:rsidRPr="00990D3B" w:rsidP="009422B9" w14:paraId="4FB011ED" w14:textId="77777777">
            <w:pPr>
              <w:pStyle w:val="EQRTableText"/>
            </w:pPr>
            <w:r w:rsidRPr="00990D3B">
              <w:rPr>
                <w:b/>
              </w:rPr>
              <w:t>Programs:</w:t>
            </w:r>
            <w:r w:rsidRPr="00990D3B">
              <w:t xml:space="preserve"> </w:t>
            </w: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Medicaid (Title XIX) only    </w:t>
            </w: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CHIP (Title XXI) only   </w:t>
            </w: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Medicaid and CHIP</w:t>
            </w:r>
          </w:p>
        </w:tc>
      </w:tr>
    </w:tbl>
    <w:p w:rsidR="000A0E9D" w:rsidRPr="00990D3B" w:rsidP="00F30FAD" w14:paraId="33DDC240" w14:textId="1FEE874C">
      <w:pPr>
        <w:pStyle w:val="NoSpacing"/>
      </w:pPr>
    </w:p>
    <w:p w:rsidR="000A0E9D" w:rsidRPr="00990D3B" w14:paraId="1CC923A9" w14:textId="77777777">
      <w:pPr>
        <w:spacing w:line="240" w:lineRule="auto"/>
        <w:rPr>
          <w:rFonts w:eastAsiaTheme="minorEastAsia" w:cstheme="minorBidi"/>
          <w:szCs w:val="22"/>
        </w:rPr>
      </w:pPr>
      <w:r w:rsidRPr="00990D3B">
        <w:br w:type="page"/>
      </w:r>
    </w:p>
    <w:p w:rsidR="00AB6BA6" w:rsidRPr="00990D3B" w:rsidP="002B40CC" w14:paraId="6589144C" w14:textId="67E53A0C">
      <w:pPr>
        <w:pStyle w:val="H2EQRWorksheet"/>
      </w:pPr>
      <w:r w:rsidRPr="00990D3B">
        <w:t>2. Improvement Strategies or Interventions (</w:t>
      </w:r>
      <w:r w:rsidRPr="00990D3B" w:rsidR="00A1272B">
        <w:t>c</w:t>
      </w:r>
      <w:r w:rsidRPr="00990D3B">
        <w:t xml:space="preserve">hanges </w:t>
      </w:r>
      <w:r w:rsidRPr="00990D3B" w:rsidR="00A1272B">
        <w:t>t</w:t>
      </w:r>
      <w:r w:rsidRPr="00990D3B">
        <w:t xml:space="preserve">ested in the </w:t>
      </w:r>
      <w:r w:rsidRPr="00990D3B" w:rsidR="00A1272B">
        <w:t>P</w:t>
      </w:r>
      <w:r w:rsidRPr="00990D3B">
        <w:t>IP)</w:t>
      </w:r>
    </w:p>
    <w:tbl>
      <w:tblPr>
        <w:tblStyle w:val="TableGrid"/>
        <w:tblW w:w="5000" w:type="pct"/>
        <w:tblLook w:val="04A0"/>
      </w:tblPr>
      <w:tblGrid>
        <w:gridCol w:w="12950"/>
      </w:tblGrid>
      <w:tr w14:paraId="6924937C" w14:textId="77777777" w:rsidTr="00BD1FC3">
        <w:tblPrEx>
          <w:tblW w:w="5000" w:type="pct"/>
          <w:tblLook w:val="04A0"/>
        </w:tblPrEx>
        <w:trPr>
          <w:trHeight w:val="1106"/>
        </w:trPr>
        <w:tc>
          <w:tcPr>
            <w:tcW w:w="13714" w:type="dxa"/>
          </w:tcPr>
          <w:p w:rsidR="00AB6BA6" w:rsidRPr="00990D3B" w:rsidP="00A05EA6" w14:paraId="56DCA14B" w14:textId="06C1C795">
            <w:pPr>
              <w:pStyle w:val="EQRTableText"/>
              <w:rPr>
                <w:b/>
                <w:bCs/>
                <w:sz w:val="20"/>
              </w:rPr>
            </w:pPr>
            <w:r w:rsidRPr="00990D3B">
              <w:rPr>
                <w:b/>
                <w:bCs/>
              </w:rPr>
              <w:t>Enrollee</w:t>
            </w:r>
            <w:r w:rsidRPr="00990D3B">
              <w:rPr>
                <w:b/>
                <w:bCs/>
              </w:rPr>
              <w:t>-focused interventions (</w:t>
            </w:r>
            <w:r w:rsidRPr="00990D3B" w:rsidR="002707A3">
              <w:rPr>
                <w:b/>
                <w:bCs/>
              </w:rPr>
              <w:t>enrollee</w:t>
            </w:r>
            <w:r w:rsidRPr="00990D3B">
              <w:rPr>
                <w:b/>
                <w:bCs/>
              </w:rPr>
              <w:t xml:space="preserve"> interventions are those aimed at changing </w:t>
            </w:r>
            <w:r w:rsidRPr="00990D3B" w:rsidR="002707A3">
              <w:rPr>
                <w:b/>
                <w:bCs/>
              </w:rPr>
              <w:t>enrollee</w:t>
            </w:r>
            <w:r w:rsidRPr="00990D3B">
              <w:rPr>
                <w:b/>
                <w:bCs/>
              </w:rPr>
              <w:t xml:space="preserve"> practices or behaviors, such as financial or non-financial incentives, education, and outreach)</w:t>
            </w:r>
            <w:r w:rsidRPr="00990D3B" w:rsidR="00EA69F8">
              <w:rPr>
                <w:b/>
                <w:bCs/>
              </w:rPr>
              <w:t>:</w:t>
            </w:r>
          </w:p>
        </w:tc>
      </w:tr>
      <w:tr w14:paraId="5D17C105" w14:textId="77777777" w:rsidTr="00BD1FC3">
        <w:tblPrEx>
          <w:tblW w:w="5000" w:type="pct"/>
          <w:tblLook w:val="04A0"/>
        </w:tblPrEx>
        <w:trPr>
          <w:trHeight w:val="1088"/>
        </w:trPr>
        <w:tc>
          <w:tcPr>
            <w:tcW w:w="13714" w:type="dxa"/>
          </w:tcPr>
          <w:p w:rsidR="00AB6BA6" w:rsidRPr="00990D3B" w:rsidP="009422B9" w14:paraId="3B3AE2B3" w14:textId="53124F62">
            <w:pPr>
              <w:pStyle w:val="EQRTableText"/>
              <w:rPr>
                <w:b/>
                <w:bCs/>
              </w:rPr>
            </w:pPr>
            <w:r w:rsidRPr="00990D3B">
              <w:rPr>
                <w:b/>
                <w:bCs/>
              </w:rPr>
              <w:t>Provider-focused interventions (provider interventions are those aimed at changing provider practices or behaviors, such as financial or non-financial incentives, education, and outreach)</w:t>
            </w:r>
            <w:r w:rsidRPr="00990D3B" w:rsidR="00EA69F8">
              <w:rPr>
                <w:b/>
                <w:bCs/>
              </w:rPr>
              <w:t>:</w:t>
            </w:r>
          </w:p>
        </w:tc>
      </w:tr>
      <w:tr w14:paraId="177F53B6" w14:textId="77777777" w:rsidTr="00BD1FC3">
        <w:tblPrEx>
          <w:tblW w:w="5000" w:type="pct"/>
          <w:tblLook w:val="04A0"/>
        </w:tblPrEx>
        <w:trPr>
          <w:trHeight w:val="1070"/>
        </w:trPr>
        <w:tc>
          <w:tcPr>
            <w:tcW w:w="13714" w:type="dxa"/>
          </w:tcPr>
          <w:p w:rsidR="00AB6BA6" w:rsidRPr="00990D3B" w:rsidP="009422B9" w14:paraId="7354CE68" w14:textId="007C3B8C">
            <w:pPr>
              <w:pStyle w:val="EQRTableText"/>
              <w:rPr>
                <w:b/>
                <w:bCs/>
              </w:rPr>
            </w:pPr>
            <w:r w:rsidRPr="00990D3B">
              <w:rPr>
                <w:b/>
                <w:bCs/>
              </w:rPr>
              <w:t>MCP-focused interventions/</w:t>
            </w:r>
            <w:r w:rsidRPr="00990D3B" w:rsidR="005D489C">
              <w:rPr>
                <w:b/>
                <w:bCs/>
              </w:rPr>
              <w:t>s</w:t>
            </w:r>
            <w:r w:rsidRPr="00990D3B">
              <w:rPr>
                <w:b/>
                <w:bCs/>
              </w:rPr>
              <w:t>ystem changes (MCP/system change interventions are aimed at changing MCP operations; they may include new programs, practices, or infrastructure, such as new patient registries or data tools</w:t>
            </w:r>
            <w:r w:rsidRPr="00990D3B">
              <w:rPr>
                <w:b/>
                <w:bCs/>
              </w:rPr>
              <w:t xml:space="preserve">) </w:t>
            </w:r>
            <w:r w:rsidRPr="00990D3B" w:rsidR="00EA69F8">
              <w:rPr>
                <w:b/>
                <w:bCs/>
              </w:rPr>
              <w:t>:</w:t>
            </w:r>
          </w:p>
        </w:tc>
      </w:tr>
    </w:tbl>
    <w:p w:rsidR="000A0E9D" w:rsidRPr="00990D3B" w:rsidP="000A0E9D" w14:paraId="561B3DDA" w14:textId="77777777">
      <w:pPr>
        <w:pStyle w:val="NoSpacing"/>
      </w:pPr>
    </w:p>
    <w:p w:rsidR="00AB6BA6" w:rsidRPr="00990D3B" w:rsidP="002B40CC" w14:paraId="0ABB1E33" w14:textId="6B69D4F2">
      <w:pPr>
        <w:pStyle w:val="H2EQRWorksheet"/>
      </w:pPr>
      <w:r w:rsidRPr="00990D3B">
        <w:t>3. Performance Measures and Results (</w:t>
      </w:r>
      <w:r w:rsidRPr="00990D3B" w:rsidR="00A1272B">
        <w:t>a</w:t>
      </w:r>
      <w:r w:rsidRPr="00990D3B">
        <w:t xml:space="preserve">dd </w:t>
      </w:r>
      <w:r w:rsidRPr="00990D3B" w:rsidR="00A1272B">
        <w:t>r</w:t>
      </w:r>
      <w:r w:rsidRPr="00990D3B">
        <w:t xml:space="preserve">ows as </w:t>
      </w:r>
      <w:r w:rsidRPr="00990D3B" w:rsidR="00A1272B">
        <w:t>n</w:t>
      </w:r>
      <w:r w:rsidRPr="00990D3B">
        <w:t>ecessary)</w:t>
      </w:r>
    </w:p>
    <w:tbl>
      <w:tblPr>
        <w:tblStyle w:val="TableGrid"/>
        <w:tblW w:w="5000" w:type="pct"/>
        <w:tblLayout w:type="fixed"/>
        <w:tblLook w:val="04A0"/>
      </w:tblPr>
      <w:tblGrid>
        <w:gridCol w:w="2065"/>
        <w:gridCol w:w="958"/>
        <w:gridCol w:w="1334"/>
        <w:gridCol w:w="2388"/>
        <w:gridCol w:w="1974"/>
        <w:gridCol w:w="1745"/>
        <w:gridCol w:w="2486"/>
      </w:tblGrid>
      <w:tr w14:paraId="30C7D9D9" w14:textId="77777777" w:rsidTr="005F4B0A">
        <w:tblPrEx>
          <w:tblW w:w="5000" w:type="pct"/>
          <w:tblLayout w:type="fixed"/>
          <w:tblLook w:val="04A0"/>
        </w:tblPrEx>
        <w:trPr>
          <w:cantSplit/>
          <w:trHeight w:val="971"/>
          <w:tblHeader/>
        </w:trPr>
        <w:tc>
          <w:tcPr>
            <w:tcW w:w="2065" w:type="dxa"/>
            <w:vAlign w:val="bottom"/>
          </w:tcPr>
          <w:p w:rsidR="00AB6BA6" w:rsidRPr="00990D3B" w:rsidP="00FB6B4B" w14:paraId="47823D07" w14:textId="77777777">
            <w:pPr>
              <w:pStyle w:val="EQRTableHeaderLeft"/>
              <w:rPr>
                <w:color w:val="auto"/>
                <w:szCs w:val="18"/>
              </w:rPr>
            </w:pPr>
            <w:r w:rsidRPr="00990D3B">
              <w:rPr>
                <w:color w:val="auto"/>
                <w:szCs w:val="18"/>
              </w:rPr>
              <w:t>Performance measures (be specific and indicate measure steward and NQF number if applicable):</w:t>
            </w:r>
          </w:p>
        </w:tc>
        <w:tc>
          <w:tcPr>
            <w:tcW w:w="958" w:type="dxa"/>
            <w:vAlign w:val="bottom"/>
          </w:tcPr>
          <w:p w:rsidR="00AB6BA6" w:rsidRPr="00990D3B" w:rsidP="00FB6B4B" w14:paraId="6A6C1FB7" w14:textId="77777777">
            <w:pPr>
              <w:pStyle w:val="EQRTableHeaderCenter"/>
              <w:rPr>
                <w:color w:val="auto"/>
                <w:szCs w:val="18"/>
              </w:rPr>
            </w:pPr>
            <w:r w:rsidRPr="00990D3B">
              <w:rPr>
                <w:color w:val="auto"/>
                <w:szCs w:val="18"/>
              </w:rPr>
              <w:t xml:space="preserve">Baseline year </w:t>
            </w:r>
          </w:p>
        </w:tc>
        <w:tc>
          <w:tcPr>
            <w:tcW w:w="1334" w:type="dxa"/>
            <w:vAlign w:val="bottom"/>
          </w:tcPr>
          <w:p w:rsidR="00AB6BA6" w:rsidRPr="00990D3B" w:rsidP="00FB6B4B" w14:paraId="51099814" w14:textId="77777777">
            <w:pPr>
              <w:pStyle w:val="EQRTableHeaderCenter"/>
              <w:rPr>
                <w:color w:val="auto"/>
                <w:szCs w:val="18"/>
              </w:rPr>
            </w:pPr>
            <w:r w:rsidRPr="00990D3B">
              <w:rPr>
                <w:color w:val="auto"/>
                <w:szCs w:val="18"/>
              </w:rPr>
              <w:t>Baseline sample size and rate</w:t>
            </w:r>
          </w:p>
        </w:tc>
        <w:tc>
          <w:tcPr>
            <w:tcW w:w="2388" w:type="dxa"/>
            <w:vAlign w:val="bottom"/>
          </w:tcPr>
          <w:p w:rsidR="00AB6BA6" w:rsidRPr="00990D3B" w:rsidP="00FB6B4B" w14:paraId="781C26FB" w14:textId="77777777">
            <w:pPr>
              <w:pStyle w:val="EQRTableHeaderCenter"/>
              <w:rPr>
                <w:color w:val="auto"/>
                <w:szCs w:val="18"/>
              </w:rPr>
            </w:pPr>
            <w:r w:rsidRPr="00990D3B">
              <w:rPr>
                <w:color w:val="auto"/>
                <w:szCs w:val="18"/>
              </w:rPr>
              <w:t xml:space="preserve">Most recent remeasurement year </w:t>
            </w:r>
            <w:r w:rsidRPr="00990D3B">
              <w:rPr>
                <w:color w:val="auto"/>
                <w:szCs w:val="18"/>
              </w:rPr>
              <w:br/>
              <w:t>(if applicable)</w:t>
            </w:r>
          </w:p>
        </w:tc>
        <w:tc>
          <w:tcPr>
            <w:tcW w:w="1974" w:type="dxa"/>
            <w:vAlign w:val="bottom"/>
          </w:tcPr>
          <w:p w:rsidR="00AB6BA6" w:rsidRPr="00990D3B" w:rsidP="00FB6B4B" w14:paraId="6B1064B7" w14:textId="77777777">
            <w:pPr>
              <w:pStyle w:val="EQRTableHeaderCenter"/>
              <w:ind w:left="-58" w:right="-58"/>
              <w:rPr>
                <w:color w:val="auto"/>
                <w:szCs w:val="18"/>
              </w:rPr>
            </w:pPr>
            <w:r w:rsidRPr="00990D3B">
              <w:rPr>
                <w:color w:val="auto"/>
                <w:szCs w:val="18"/>
              </w:rPr>
              <w:t xml:space="preserve">Most recent remeasurement sample size and rate </w:t>
            </w:r>
            <w:r w:rsidRPr="00990D3B">
              <w:rPr>
                <w:color w:val="auto"/>
                <w:szCs w:val="18"/>
              </w:rPr>
              <w:br/>
              <w:t>(if applicable)</w:t>
            </w:r>
          </w:p>
        </w:tc>
        <w:tc>
          <w:tcPr>
            <w:tcW w:w="1745" w:type="dxa"/>
            <w:vAlign w:val="bottom"/>
          </w:tcPr>
          <w:p w:rsidR="00AB6BA6" w:rsidRPr="00990D3B" w:rsidP="00FB6B4B" w14:paraId="6EF4B24B" w14:textId="77777777">
            <w:pPr>
              <w:pStyle w:val="EQRTableHeaderCenter"/>
              <w:ind w:left="-58" w:right="-58"/>
              <w:rPr>
                <w:color w:val="auto"/>
                <w:szCs w:val="18"/>
              </w:rPr>
            </w:pPr>
            <w:r w:rsidRPr="00990D3B">
              <w:rPr>
                <w:color w:val="auto"/>
                <w:szCs w:val="18"/>
              </w:rPr>
              <w:t>Demonstrated performance improvement (Yes/No)</w:t>
            </w:r>
          </w:p>
        </w:tc>
        <w:tc>
          <w:tcPr>
            <w:tcW w:w="2486" w:type="dxa"/>
            <w:vAlign w:val="bottom"/>
          </w:tcPr>
          <w:p w:rsidR="00AB6BA6" w:rsidRPr="00990D3B" w:rsidP="00FB6B4B" w14:paraId="3C68E427" w14:textId="77777777">
            <w:pPr>
              <w:pStyle w:val="EQRTableHeaderCenter"/>
              <w:rPr>
                <w:color w:val="auto"/>
                <w:szCs w:val="18"/>
              </w:rPr>
            </w:pPr>
            <w:r w:rsidRPr="00990D3B">
              <w:rPr>
                <w:color w:val="auto"/>
                <w:szCs w:val="18"/>
              </w:rPr>
              <w:t>Statistically significant change in performance (Yes/No)</w:t>
            </w:r>
          </w:p>
          <w:p w:rsidR="00AB6BA6" w:rsidRPr="00990D3B" w:rsidP="00FB6B4B" w14:paraId="1F057E37" w14:textId="77777777">
            <w:pPr>
              <w:pStyle w:val="EQRTableHeaderCenter"/>
              <w:rPr>
                <w:color w:val="auto"/>
                <w:szCs w:val="18"/>
              </w:rPr>
            </w:pPr>
            <w:r w:rsidRPr="00990D3B">
              <w:rPr>
                <w:color w:val="auto"/>
                <w:szCs w:val="18"/>
              </w:rPr>
              <w:t>Specify P-value</w:t>
            </w:r>
          </w:p>
        </w:tc>
      </w:tr>
      <w:tr w14:paraId="15D93F56" w14:textId="77777777" w:rsidTr="005F4B0A">
        <w:tblPrEx>
          <w:tblW w:w="5000" w:type="pct"/>
          <w:tblLayout w:type="fixed"/>
          <w:tblLook w:val="04A0"/>
        </w:tblPrEx>
        <w:trPr>
          <w:cantSplit/>
          <w:trHeight w:val="412"/>
        </w:trPr>
        <w:tc>
          <w:tcPr>
            <w:tcW w:w="2065" w:type="dxa"/>
          </w:tcPr>
          <w:p w:rsidR="00AB6BA6" w:rsidRPr="00990D3B" w:rsidP="009422B9" w14:paraId="7DFD39D0" w14:textId="77777777">
            <w:pPr>
              <w:pStyle w:val="EQRTableText"/>
              <w:rPr>
                <w:szCs w:val="18"/>
              </w:rPr>
            </w:pPr>
            <w:r w:rsidRPr="00990D3B">
              <w:rPr>
                <w:szCs w:val="18"/>
              </w:rPr>
              <w:t> </w:t>
            </w:r>
          </w:p>
        </w:tc>
        <w:tc>
          <w:tcPr>
            <w:tcW w:w="958" w:type="dxa"/>
          </w:tcPr>
          <w:p w:rsidR="00AB6BA6" w:rsidRPr="00990D3B" w:rsidP="009422B9" w14:paraId="769FD48C" w14:textId="77777777">
            <w:pPr>
              <w:pStyle w:val="EQRTableText"/>
              <w:rPr>
                <w:szCs w:val="18"/>
              </w:rPr>
            </w:pPr>
            <w:r w:rsidRPr="00990D3B">
              <w:rPr>
                <w:szCs w:val="18"/>
              </w:rPr>
              <w:t> </w:t>
            </w:r>
          </w:p>
        </w:tc>
        <w:tc>
          <w:tcPr>
            <w:tcW w:w="1334" w:type="dxa"/>
          </w:tcPr>
          <w:p w:rsidR="00AB6BA6" w:rsidRPr="00990D3B" w:rsidP="009422B9" w14:paraId="6CAA05F4" w14:textId="77777777">
            <w:pPr>
              <w:pStyle w:val="EQRTableText"/>
              <w:rPr>
                <w:szCs w:val="18"/>
              </w:rPr>
            </w:pPr>
            <w:r w:rsidRPr="00990D3B">
              <w:rPr>
                <w:szCs w:val="18"/>
              </w:rPr>
              <w:t> </w:t>
            </w:r>
          </w:p>
        </w:tc>
        <w:tc>
          <w:tcPr>
            <w:tcW w:w="2388" w:type="dxa"/>
          </w:tcPr>
          <w:p w:rsidR="00AB6BA6" w:rsidRPr="00990D3B" w:rsidP="009422B9" w14:paraId="66DD8E52" w14:textId="4E318B02">
            <w:pPr>
              <w:pStyle w:val="EQRTableText"/>
              <w:rPr>
                <w:szCs w:val="18"/>
              </w:rPr>
            </w:pPr>
            <w:r w:rsidRPr="00990D3B">
              <w:rPr>
                <w:szCs w:val="18"/>
              </w:rPr>
              <w:fldChar w:fldCharType="begin">
                <w:ffData>
                  <w:name w:val="Check9"/>
                  <w:enabled/>
                  <w:calcOnExit w:val="0"/>
                  <w:checkBox>
                    <w:sizeAuto/>
                    <w:default w:val="0"/>
                  </w:checkBox>
                </w:ffData>
              </w:fldChar>
            </w:r>
            <w:r w:rsidRPr="00990D3B">
              <w:rPr>
                <w:szCs w:val="18"/>
              </w:rPr>
              <w:instrText xml:space="preserve"> FORMCHECKBOX </w:instrText>
            </w:r>
            <w:r w:rsidRPr="00990D3B">
              <w:rPr>
                <w:szCs w:val="18"/>
              </w:rPr>
              <w:fldChar w:fldCharType="separate"/>
            </w:r>
            <w:r w:rsidRPr="00990D3B">
              <w:rPr>
                <w:szCs w:val="18"/>
              </w:rPr>
              <w:fldChar w:fldCharType="end"/>
            </w:r>
            <w:r w:rsidRPr="00990D3B">
              <w:rPr>
                <w:szCs w:val="18"/>
              </w:rPr>
              <w:t xml:space="preserve"> Not </w:t>
            </w:r>
            <w:r w:rsidRPr="00990D3B" w:rsidR="00507D5D">
              <w:rPr>
                <w:szCs w:val="18"/>
              </w:rPr>
              <w:t>A</w:t>
            </w:r>
            <w:r w:rsidRPr="00990D3B">
              <w:rPr>
                <w:szCs w:val="18"/>
              </w:rPr>
              <w:t>pplicable—PIP is in planning or implementation phase, results not available</w:t>
            </w:r>
          </w:p>
        </w:tc>
        <w:tc>
          <w:tcPr>
            <w:tcW w:w="1974" w:type="dxa"/>
          </w:tcPr>
          <w:p w:rsidR="00AB6BA6" w:rsidRPr="00990D3B" w:rsidP="009422B9" w14:paraId="5CA9D354" w14:textId="77777777">
            <w:pPr>
              <w:pStyle w:val="EQRTableText"/>
              <w:rPr>
                <w:szCs w:val="18"/>
              </w:rPr>
            </w:pPr>
            <w:r w:rsidRPr="00990D3B">
              <w:rPr>
                <w:szCs w:val="18"/>
              </w:rPr>
              <w:t> </w:t>
            </w:r>
          </w:p>
        </w:tc>
        <w:tc>
          <w:tcPr>
            <w:tcW w:w="1745" w:type="dxa"/>
          </w:tcPr>
          <w:p w:rsidR="00AB6BA6" w:rsidRPr="00990D3B" w:rsidP="009422B9" w14:paraId="7A1D1ACC" w14:textId="77777777">
            <w:pPr>
              <w:pStyle w:val="EQRTableText"/>
              <w:rPr>
                <w:szCs w:val="18"/>
              </w:rPr>
            </w:pPr>
            <w:r w:rsidRPr="00990D3B">
              <w:rPr>
                <w:szCs w:val="18"/>
              </w:rPr>
              <w:fldChar w:fldCharType="begin">
                <w:ffData>
                  <w:name w:val="Check9"/>
                  <w:enabled/>
                  <w:calcOnExit w:val="0"/>
                  <w:checkBox>
                    <w:sizeAuto/>
                    <w:default w:val="0"/>
                  </w:checkBox>
                </w:ffData>
              </w:fldChar>
            </w:r>
            <w:r w:rsidRPr="00990D3B">
              <w:rPr>
                <w:szCs w:val="18"/>
              </w:rPr>
              <w:instrText xml:space="preserve"> FORMCHECKBOX </w:instrText>
            </w:r>
            <w:r w:rsidRPr="00990D3B">
              <w:rPr>
                <w:szCs w:val="18"/>
              </w:rPr>
              <w:fldChar w:fldCharType="separate"/>
            </w:r>
            <w:r w:rsidRPr="00990D3B">
              <w:rPr>
                <w:szCs w:val="18"/>
              </w:rPr>
              <w:fldChar w:fldCharType="end"/>
            </w:r>
            <w:r w:rsidRPr="00990D3B">
              <w:rPr>
                <w:szCs w:val="18"/>
              </w:rPr>
              <w:t xml:space="preserve"> Yes </w:t>
            </w:r>
          </w:p>
          <w:p w:rsidR="00AB6BA6" w:rsidRPr="00990D3B" w:rsidP="004B5F48" w14:paraId="499A09C8" w14:textId="77777777">
            <w:pPr>
              <w:pStyle w:val="EQRTableText"/>
              <w:rPr>
                <w:szCs w:val="18"/>
              </w:rPr>
            </w:pPr>
            <w:r w:rsidRPr="00990D3B">
              <w:rPr>
                <w:szCs w:val="18"/>
              </w:rPr>
              <w:fldChar w:fldCharType="begin">
                <w:ffData>
                  <w:name w:val="Check9"/>
                  <w:enabled/>
                  <w:calcOnExit w:val="0"/>
                  <w:checkBox>
                    <w:sizeAuto/>
                    <w:default w:val="0"/>
                  </w:checkBox>
                </w:ffData>
              </w:fldChar>
            </w:r>
            <w:r w:rsidRPr="00990D3B">
              <w:rPr>
                <w:szCs w:val="18"/>
              </w:rPr>
              <w:instrText xml:space="preserve"> FORMCHECKBOX </w:instrText>
            </w:r>
            <w:r w:rsidRPr="00990D3B">
              <w:rPr>
                <w:szCs w:val="18"/>
              </w:rPr>
              <w:fldChar w:fldCharType="separate"/>
            </w:r>
            <w:r w:rsidRPr="00990D3B">
              <w:rPr>
                <w:szCs w:val="18"/>
              </w:rPr>
              <w:fldChar w:fldCharType="end"/>
            </w:r>
            <w:r w:rsidRPr="00990D3B">
              <w:rPr>
                <w:szCs w:val="18"/>
              </w:rPr>
              <w:t xml:space="preserve"> No  </w:t>
            </w:r>
          </w:p>
        </w:tc>
        <w:tc>
          <w:tcPr>
            <w:tcW w:w="2486" w:type="dxa"/>
          </w:tcPr>
          <w:p w:rsidR="00AB6BA6" w:rsidRPr="00990D3B" w:rsidP="004B5F48" w14:paraId="3576194B" w14:textId="77777777">
            <w:pPr>
              <w:pStyle w:val="EQRTableText"/>
              <w:spacing w:after="120"/>
              <w:rPr>
                <w:szCs w:val="18"/>
              </w:rPr>
            </w:pPr>
            <w:r w:rsidRPr="00990D3B">
              <w:rPr>
                <w:szCs w:val="18"/>
              </w:rPr>
              <w:fldChar w:fldCharType="begin">
                <w:ffData>
                  <w:name w:val="Check9"/>
                  <w:enabled/>
                  <w:calcOnExit w:val="0"/>
                  <w:checkBox>
                    <w:sizeAuto/>
                    <w:default w:val="0"/>
                  </w:checkBox>
                </w:ffData>
              </w:fldChar>
            </w:r>
            <w:r w:rsidRPr="00990D3B">
              <w:rPr>
                <w:szCs w:val="18"/>
              </w:rPr>
              <w:instrText xml:space="preserve"> FORMCHECKBOX </w:instrText>
            </w:r>
            <w:r w:rsidRPr="00990D3B">
              <w:rPr>
                <w:szCs w:val="18"/>
              </w:rPr>
              <w:fldChar w:fldCharType="separate"/>
            </w:r>
            <w:r w:rsidRPr="00990D3B">
              <w:rPr>
                <w:szCs w:val="18"/>
              </w:rPr>
              <w:fldChar w:fldCharType="end"/>
            </w:r>
            <w:r w:rsidRPr="00990D3B">
              <w:rPr>
                <w:szCs w:val="18"/>
              </w:rPr>
              <w:t xml:space="preserve"> Yes  </w:t>
            </w:r>
            <w:r w:rsidRPr="00990D3B">
              <w:rPr>
                <w:szCs w:val="18"/>
              </w:rPr>
              <w:fldChar w:fldCharType="begin">
                <w:ffData>
                  <w:name w:val="Check9"/>
                  <w:enabled/>
                  <w:calcOnExit w:val="0"/>
                  <w:checkBox>
                    <w:sizeAuto/>
                    <w:default w:val="0"/>
                  </w:checkBox>
                </w:ffData>
              </w:fldChar>
            </w:r>
            <w:r w:rsidRPr="00990D3B">
              <w:rPr>
                <w:szCs w:val="18"/>
              </w:rPr>
              <w:instrText xml:space="preserve"> FORMCHECKBOX </w:instrText>
            </w:r>
            <w:r w:rsidRPr="00990D3B">
              <w:rPr>
                <w:szCs w:val="18"/>
              </w:rPr>
              <w:fldChar w:fldCharType="separate"/>
            </w:r>
            <w:r w:rsidRPr="00990D3B">
              <w:rPr>
                <w:szCs w:val="18"/>
              </w:rPr>
              <w:fldChar w:fldCharType="end"/>
            </w:r>
            <w:r w:rsidRPr="00990D3B">
              <w:rPr>
                <w:szCs w:val="18"/>
              </w:rPr>
              <w:t xml:space="preserve"> No </w:t>
            </w:r>
          </w:p>
          <w:p w:rsidR="00AB6BA6" w:rsidRPr="00990D3B" w:rsidP="004B5F48" w14:paraId="0EB531B5" w14:textId="77777777">
            <w:pPr>
              <w:pStyle w:val="EQRTableText"/>
              <w:spacing w:after="0"/>
              <w:rPr>
                <w:szCs w:val="18"/>
              </w:rPr>
            </w:pPr>
            <w:r w:rsidRPr="00990D3B">
              <w:rPr>
                <w:szCs w:val="18"/>
              </w:rPr>
              <w:t xml:space="preserve">Specify P-value: </w:t>
            </w:r>
          </w:p>
          <w:p w:rsidR="00AB6BA6" w:rsidRPr="00990D3B" w:rsidP="004B5F48" w14:paraId="5840AFF7" w14:textId="77777777">
            <w:pPr>
              <w:pStyle w:val="EQRTableText"/>
              <w:spacing w:after="120"/>
              <w:rPr>
                <w:szCs w:val="18"/>
              </w:rPr>
            </w:pPr>
            <w:r w:rsidRPr="00990D3B">
              <w:rPr>
                <w:szCs w:val="18"/>
              </w:rPr>
              <w:fldChar w:fldCharType="begin">
                <w:ffData>
                  <w:name w:val="Check6"/>
                  <w:enabled/>
                  <w:calcOnExit w:val="0"/>
                  <w:checkBox>
                    <w:sizeAuto/>
                    <w:default w:val="0"/>
                  </w:checkBox>
                </w:ffData>
              </w:fldChar>
            </w:r>
            <w:r w:rsidRPr="00990D3B">
              <w:rPr>
                <w:szCs w:val="18"/>
              </w:rPr>
              <w:instrText xml:space="preserve"> FORMCHECKBOX </w:instrText>
            </w:r>
            <w:r w:rsidRPr="00990D3B">
              <w:rPr>
                <w:szCs w:val="18"/>
              </w:rPr>
              <w:fldChar w:fldCharType="separate"/>
            </w:r>
            <w:r w:rsidRPr="00990D3B">
              <w:rPr>
                <w:szCs w:val="18"/>
              </w:rPr>
              <w:fldChar w:fldCharType="end"/>
            </w:r>
            <w:r w:rsidRPr="00990D3B">
              <w:rPr>
                <w:szCs w:val="18"/>
              </w:rPr>
              <w:t xml:space="preserve"> &lt;.01  </w:t>
            </w:r>
            <w:r w:rsidRPr="00990D3B">
              <w:rPr>
                <w:szCs w:val="18"/>
              </w:rPr>
              <w:fldChar w:fldCharType="begin">
                <w:ffData>
                  <w:name w:val="Check9"/>
                  <w:enabled/>
                  <w:calcOnExit w:val="0"/>
                  <w:checkBox>
                    <w:sizeAuto/>
                    <w:default w:val="0"/>
                  </w:checkBox>
                </w:ffData>
              </w:fldChar>
            </w:r>
            <w:r w:rsidRPr="00990D3B">
              <w:rPr>
                <w:szCs w:val="18"/>
              </w:rPr>
              <w:instrText xml:space="preserve"> FORMCHECKBOX </w:instrText>
            </w:r>
            <w:r w:rsidRPr="00990D3B">
              <w:rPr>
                <w:szCs w:val="18"/>
              </w:rPr>
              <w:fldChar w:fldCharType="separate"/>
            </w:r>
            <w:r w:rsidRPr="00990D3B">
              <w:rPr>
                <w:szCs w:val="18"/>
              </w:rPr>
              <w:fldChar w:fldCharType="end"/>
            </w:r>
            <w:r w:rsidRPr="00990D3B">
              <w:rPr>
                <w:szCs w:val="18"/>
              </w:rPr>
              <w:t xml:space="preserve"> &lt;.05</w:t>
            </w:r>
          </w:p>
          <w:p w:rsidR="00AB6BA6" w:rsidRPr="00990D3B" w:rsidP="005F4B0A" w14:paraId="7FA5C73C" w14:textId="148AF9FC">
            <w:pPr>
              <w:pStyle w:val="EQRTableText"/>
              <w:rPr>
                <w:szCs w:val="18"/>
              </w:rPr>
            </w:pPr>
            <w:r w:rsidRPr="00990D3B">
              <w:rPr>
                <w:szCs w:val="18"/>
              </w:rPr>
              <w:t>Other (specify):</w:t>
            </w:r>
          </w:p>
        </w:tc>
      </w:tr>
      <w:tr w14:paraId="20774693" w14:textId="77777777" w:rsidTr="005F4B0A">
        <w:tblPrEx>
          <w:tblW w:w="5000" w:type="pct"/>
          <w:tblLayout w:type="fixed"/>
          <w:tblLook w:val="04A0"/>
        </w:tblPrEx>
        <w:trPr>
          <w:cantSplit/>
          <w:trHeight w:val="412"/>
        </w:trPr>
        <w:tc>
          <w:tcPr>
            <w:tcW w:w="2065" w:type="dxa"/>
          </w:tcPr>
          <w:p w:rsidR="00AB6BA6" w:rsidRPr="00990D3B" w:rsidP="009422B9" w14:paraId="4A5F8781" w14:textId="77777777">
            <w:pPr>
              <w:pStyle w:val="EQRTableText"/>
              <w:rPr>
                <w:szCs w:val="18"/>
              </w:rPr>
            </w:pPr>
            <w:r w:rsidRPr="00990D3B">
              <w:rPr>
                <w:szCs w:val="18"/>
              </w:rPr>
              <w:t> </w:t>
            </w:r>
          </w:p>
        </w:tc>
        <w:tc>
          <w:tcPr>
            <w:tcW w:w="958" w:type="dxa"/>
          </w:tcPr>
          <w:p w:rsidR="00AB6BA6" w:rsidRPr="00990D3B" w:rsidP="009422B9" w14:paraId="4DDE41B8" w14:textId="77777777">
            <w:pPr>
              <w:pStyle w:val="EQRTableText"/>
              <w:rPr>
                <w:szCs w:val="18"/>
              </w:rPr>
            </w:pPr>
            <w:r w:rsidRPr="00990D3B">
              <w:rPr>
                <w:szCs w:val="18"/>
              </w:rPr>
              <w:t> </w:t>
            </w:r>
          </w:p>
        </w:tc>
        <w:tc>
          <w:tcPr>
            <w:tcW w:w="1334" w:type="dxa"/>
          </w:tcPr>
          <w:p w:rsidR="00AB6BA6" w:rsidRPr="00990D3B" w:rsidP="009422B9" w14:paraId="628C1239" w14:textId="77777777">
            <w:pPr>
              <w:pStyle w:val="EQRTableText"/>
              <w:rPr>
                <w:szCs w:val="18"/>
              </w:rPr>
            </w:pPr>
            <w:r w:rsidRPr="00990D3B">
              <w:rPr>
                <w:szCs w:val="18"/>
              </w:rPr>
              <w:t> </w:t>
            </w:r>
          </w:p>
        </w:tc>
        <w:tc>
          <w:tcPr>
            <w:tcW w:w="2388" w:type="dxa"/>
          </w:tcPr>
          <w:p w:rsidR="00AB6BA6" w:rsidRPr="00990D3B" w:rsidP="009422B9" w14:paraId="58DA81D0" w14:textId="5DAEB154">
            <w:pPr>
              <w:pStyle w:val="EQRTableText"/>
              <w:rPr>
                <w:szCs w:val="18"/>
              </w:rPr>
            </w:pPr>
            <w:r w:rsidRPr="00990D3B">
              <w:rPr>
                <w:szCs w:val="18"/>
              </w:rPr>
              <w:fldChar w:fldCharType="begin">
                <w:ffData>
                  <w:name w:val="Check9"/>
                  <w:enabled/>
                  <w:calcOnExit w:val="0"/>
                  <w:checkBox>
                    <w:sizeAuto/>
                    <w:default w:val="0"/>
                  </w:checkBox>
                </w:ffData>
              </w:fldChar>
            </w:r>
            <w:r w:rsidRPr="00990D3B">
              <w:rPr>
                <w:szCs w:val="18"/>
              </w:rPr>
              <w:instrText xml:space="preserve"> FORMCHECKBOX </w:instrText>
            </w:r>
            <w:r w:rsidRPr="00990D3B">
              <w:rPr>
                <w:szCs w:val="18"/>
              </w:rPr>
              <w:fldChar w:fldCharType="separate"/>
            </w:r>
            <w:r w:rsidRPr="00990D3B">
              <w:rPr>
                <w:szCs w:val="18"/>
              </w:rPr>
              <w:fldChar w:fldCharType="end"/>
            </w:r>
            <w:r w:rsidRPr="00990D3B">
              <w:rPr>
                <w:szCs w:val="18"/>
              </w:rPr>
              <w:t xml:space="preserve"> Not </w:t>
            </w:r>
            <w:r w:rsidRPr="00990D3B" w:rsidR="00507D5D">
              <w:rPr>
                <w:szCs w:val="18"/>
              </w:rPr>
              <w:t>A</w:t>
            </w:r>
            <w:r w:rsidRPr="00990D3B">
              <w:rPr>
                <w:szCs w:val="18"/>
              </w:rPr>
              <w:t>pplicable—PIP is in planning or implementation phase, results not available</w:t>
            </w:r>
          </w:p>
        </w:tc>
        <w:tc>
          <w:tcPr>
            <w:tcW w:w="1974" w:type="dxa"/>
          </w:tcPr>
          <w:p w:rsidR="00AB6BA6" w:rsidRPr="00990D3B" w:rsidP="009422B9" w14:paraId="51B2DB22" w14:textId="77777777">
            <w:pPr>
              <w:pStyle w:val="EQRTableText"/>
              <w:rPr>
                <w:szCs w:val="18"/>
              </w:rPr>
            </w:pPr>
            <w:r w:rsidRPr="00990D3B">
              <w:rPr>
                <w:szCs w:val="18"/>
              </w:rPr>
              <w:t> </w:t>
            </w:r>
          </w:p>
        </w:tc>
        <w:tc>
          <w:tcPr>
            <w:tcW w:w="1745" w:type="dxa"/>
          </w:tcPr>
          <w:p w:rsidR="00AB6BA6" w:rsidRPr="00990D3B" w:rsidP="009422B9" w14:paraId="558D87A2" w14:textId="77777777">
            <w:pPr>
              <w:pStyle w:val="EQRTableText"/>
              <w:rPr>
                <w:szCs w:val="18"/>
              </w:rPr>
            </w:pPr>
            <w:r w:rsidRPr="00990D3B">
              <w:rPr>
                <w:szCs w:val="18"/>
              </w:rPr>
              <w:fldChar w:fldCharType="begin">
                <w:ffData>
                  <w:name w:val="Check9"/>
                  <w:enabled/>
                  <w:calcOnExit w:val="0"/>
                  <w:checkBox>
                    <w:sizeAuto/>
                    <w:default w:val="0"/>
                  </w:checkBox>
                </w:ffData>
              </w:fldChar>
            </w:r>
            <w:r w:rsidRPr="00990D3B">
              <w:rPr>
                <w:szCs w:val="18"/>
              </w:rPr>
              <w:instrText xml:space="preserve"> FORMCHECKBOX </w:instrText>
            </w:r>
            <w:r w:rsidRPr="00990D3B">
              <w:rPr>
                <w:szCs w:val="18"/>
              </w:rPr>
              <w:fldChar w:fldCharType="separate"/>
            </w:r>
            <w:r w:rsidRPr="00990D3B">
              <w:rPr>
                <w:szCs w:val="18"/>
              </w:rPr>
              <w:fldChar w:fldCharType="end"/>
            </w:r>
            <w:r w:rsidRPr="00990D3B">
              <w:rPr>
                <w:szCs w:val="18"/>
              </w:rPr>
              <w:t xml:space="preserve"> Yes </w:t>
            </w:r>
          </w:p>
          <w:p w:rsidR="00AB6BA6" w:rsidRPr="00990D3B" w:rsidP="004B5F48" w14:paraId="31993B5A" w14:textId="77777777">
            <w:pPr>
              <w:pStyle w:val="EQRTableText"/>
              <w:rPr>
                <w:szCs w:val="18"/>
              </w:rPr>
            </w:pPr>
            <w:r w:rsidRPr="00990D3B">
              <w:rPr>
                <w:szCs w:val="18"/>
              </w:rPr>
              <w:fldChar w:fldCharType="begin">
                <w:ffData>
                  <w:name w:val="Check9"/>
                  <w:enabled/>
                  <w:calcOnExit w:val="0"/>
                  <w:checkBox>
                    <w:sizeAuto/>
                    <w:default w:val="0"/>
                  </w:checkBox>
                </w:ffData>
              </w:fldChar>
            </w:r>
            <w:r w:rsidRPr="00990D3B">
              <w:rPr>
                <w:szCs w:val="18"/>
              </w:rPr>
              <w:instrText xml:space="preserve"> FORMCHECKBOX </w:instrText>
            </w:r>
            <w:r w:rsidRPr="00990D3B">
              <w:rPr>
                <w:szCs w:val="18"/>
              </w:rPr>
              <w:fldChar w:fldCharType="separate"/>
            </w:r>
            <w:r w:rsidRPr="00990D3B">
              <w:rPr>
                <w:szCs w:val="18"/>
              </w:rPr>
              <w:fldChar w:fldCharType="end"/>
            </w:r>
            <w:r w:rsidRPr="00990D3B">
              <w:rPr>
                <w:szCs w:val="18"/>
              </w:rPr>
              <w:t xml:space="preserve"> No </w:t>
            </w:r>
          </w:p>
        </w:tc>
        <w:tc>
          <w:tcPr>
            <w:tcW w:w="2486" w:type="dxa"/>
          </w:tcPr>
          <w:p w:rsidR="00AB6BA6" w:rsidRPr="00990D3B" w:rsidP="004B5F48" w14:paraId="5E86BBF1" w14:textId="77777777">
            <w:pPr>
              <w:pStyle w:val="EQRTableText"/>
              <w:spacing w:after="120"/>
              <w:rPr>
                <w:szCs w:val="18"/>
              </w:rPr>
            </w:pPr>
            <w:r w:rsidRPr="00990D3B">
              <w:rPr>
                <w:szCs w:val="18"/>
              </w:rPr>
              <w:fldChar w:fldCharType="begin">
                <w:ffData>
                  <w:name w:val="Check9"/>
                  <w:enabled/>
                  <w:calcOnExit w:val="0"/>
                  <w:checkBox>
                    <w:sizeAuto/>
                    <w:default w:val="0"/>
                  </w:checkBox>
                </w:ffData>
              </w:fldChar>
            </w:r>
            <w:r w:rsidRPr="00990D3B">
              <w:rPr>
                <w:szCs w:val="18"/>
              </w:rPr>
              <w:instrText xml:space="preserve"> FORMCHECKBOX </w:instrText>
            </w:r>
            <w:r w:rsidRPr="00990D3B">
              <w:rPr>
                <w:szCs w:val="18"/>
              </w:rPr>
              <w:fldChar w:fldCharType="separate"/>
            </w:r>
            <w:r w:rsidRPr="00990D3B">
              <w:rPr>
                <w:szCs w:val="18"/>
              </w:rPr>
              <w:fldChar w:fldCharType="end"/>
            </w:r>
            <w:r w:rsidRPr="00990D3B">
              <w:rPr>
                <w:szCs w:val="18"/>
              </w:rPr>
              <w:t xml:space="preserve"> Yes  </w:t>
            </w:r>
            <w:r w:rsidRPr="00990D3B">
              <w:rPr>
                <w:szCs w:val="18"/>
              </w:rPr>
              <w:fldChar w:fldCharType="begin">
                <w:ffData>
                  <w:name w:val="Check9"/>
                  <w:enabled/>
                  <w:calcOnExit w:val="0"/>
                  <w:checkBox>
                    <w:sizeAuto/>
                    <w:default w:val="0"/>
                  </w:checkBox>
                </w:ffData>
              </w:fldChar>
            </w:r>
            <w:r w:rsidRPr="00990D3B">
              <w:rPr>
                <w:szCs w:val="18"/>
              </w:rPr>
              <w:instrText xml:space="preserve"> FORMCHECKBOX </w:instrText>
            </w:r>
            <w:r w:rsidRPr="00990D3B">
              <w:rPr>
                <w:szCs w:val="18"/>
              </w:rPr>
              <w:fldChar w:fldCharType="separate"/>
            </w:r>
            <w:r w:rsidRPr="00990D3B">
              <w:rPr>
                <w:szCs w:val="18"/>
              </w:rPr>
              <w:fldChar w:fldCharType="end"/>
            </w:r>
            <w:r w:rsidRPr="00990D3B">
              <w:rPr>
                <w:szCs w:val="18"/>
              </w:rPr>
              <w:t xml:space="preserve"> No</w:t>
            </w:r>
          </w:p>
          <w:p w:rsidR="00AB6BA6" w:rsidRPr="00990D3B" w:rsidP="009422B9" w14:paraId="71E4FAFE" w14:textId="77777777">
            <w:pPr>
              <w:pStyle w:val="EQRTableText"/>
              <w:rPr>
                <w:szCs w:val="18"/>
              </w:rPr>
            </w:pPr>
            <w:r w:rsidRPr="00990D3B">
              <w:rPr>
                <w:szCs w:val="18"/>
              </w:rPr>
              <w:t xml:space="preserve">Specify P-value: </w:t>
            </w:r>
          </w:p>
          <w:p w:rsidR="00AB6BA6" w:rsidRPr="00990D3B" w:rsidP="004B5F48" w14:paraId="787DD86F" w14:textId="77777777">
            <w:pPr>
              <w:pStyle w:val="EQRTableText"/>
              <w:spacing w:after="120"/>
              <w:rPr>
                <w:szCs w:val="18"/>
              </w:rPr>
            </w:pPr>
            <w:r w:rsidRPr="00990D3B">
              <w:rPr>
                <w:szCs w:val="18"/>
              </w:rPr>
              <w:fldChar w:fldCharType="begin">
                <w:ffData>
                  <w:name w:val="Check6"/>
                  <w:enabled/>
                  <w:calcOnExit w:val="0"/>
                  <w:checkBox>
                    <w:sizeAuto/>
                    <w:default w:val="0"/>
                  </w:checkBox>
                </w:ffData>
              </w:fldChar>
            </w:r>
            <w:r w:rsidRPr="00990D3B">
              <w:rPr>
                <w:szCs w:val="18"/>
              </w:rPr>
              <w:instrText xml:space="preserve"> FORMCHECKBOX </w:instrText>
            </w:r>
            <w:r w:rsidRPr="00990D3B">
              <w:rPr>
                <w:szCs w:val="18"/>
              </w:rPr>
              <w:fldChar w:fldCharType="separate"/>
            </w:r>
            <w:r w:rsidRPr="00990D3B">
              <w:rPr>
                <w:szCs w:val="18"/>
              </w:rPr>
              <w:fldChar w:fldCharType="end"/>
            </w:r>
            <w:r w:rsidRPr="00990D3B">
              <w:rPr>
                <w:szCs w:val="18"/>
              </w:rPr>
              <w:t xml:space="preserve"> &lt;.01  </w:t>
            </w:r>
            <w:r w:rsidRPr="00990D3B">
              <w:rPr>
                <w:szCs w:val="18"/>
              </w:rPr>
              <w:fldChar w:fldCharType="begin">
                <w:ffData>
                  <w:name w:val=""/>
                  <w:enabled/>
                  <w:calcOnExit w:val="0"/>
                  <w:checkBox>
                    <w:sizeAuto/>
                    <w:default w:val="0"/>
                  </w:checkBox>
                </w:ffData>
              </w:fldChar>
            </w:r>
            <w:r w:rsidRPr="00990D3B">
              <w:rPr>
                <w:szCs w:val="18"/>
              </w:rPr>
              <w:instrText xml:space="preserve"> FORMCHECKBOX </w:instrText>
            </w:r>
            <w:r w:rsidRPr="00990D3B">
              <w:rPr>
                <w:szCs w:val="18"/>
              </w:rPr>
              <w:fldChar w:fldCharType="separate"/>
            </w:r>
            <w:r w:rsidRPr="00990D3B">
              <w:rPr>
                <w:szCs w:val="18"/>
              </w:rPr>
              <w:fldChar w:fldCharType="end"/>
            </w:r>
            <w:r w:rsidRPr="00990D3B">
              <w:rPr>
                <w:szCs w:val="18"/>
              </w:rPr>
              <w:t xml:space="preserve"> &lt;.05</w:t>
            </w:r>
          </w:p>
          <w:p w:rsidR="00AB6BA6" w:rsidRPr="00990D3B" w:rsidP="005F4B0A" w14:paraId="030CE344" w14:textId="32A4FB29">
            <w:pPr>
              <w:pStyle w:val="EQRTableText"/>
              <w:rPr>
                <w:szCs w:val="18"/>
              </w:rPr>
            </w:pPr>
            <w:r w:rsidRPr="00990D3B">
              <w:rPr>
                <w:szCs w:val="18"/>
              </w:rPr>
              <w:t>Other (specify):</w:t>
            </w:r>
          </w:p>
        </w:tc>
      </w:tr>
    </w:tbl>
    <w:p w:rsidR="00EA69F8" w:rsidRPr="00990D3B" w:rsidP="003C7571" w14:paraId="120177EA" w14:textId="77777777">
      <w:pPr>
        <w:pStyle w:val="NoSpacing"/>
      </w:pPr>
    </w:p>
    <w:p w:rsidR="00AB6BA6" w:rsidRPr="00990D3B" w:rsidP="002B40CC" w14:paraId="2C5311A5" w14:textId="39050E46">
      <w:pPr>
        <w:pStyle w:val="H2EQRWorksheet"/>
      </w:pPr>
      <w:r w:rsidRPr="00990D3B">
        <w:t>4. PIP Validation Information</w:t>
      </w:r>
    </w:p>
    <w:tbl>
      <w:tblPr>
        <w:tblStyle w:val="TableGrid"/>
        <w:tblW w:w="5000" w:type="pct"/>
        <w:tblLook w:val="04A0"/>
      </w:tblPr>
      <w:tblGrid>
        <w:gridCol w:w="12950"/>
      </w:tblGrid>
      <w:tr w14:paraId="19AE2363" w14:textId="77777777" w:rsidTr="00BD1FC3">
        <w:tblPrEx>
          <w:tblW w:w="5000" w:type="pct"/>
          <w:tblLook w:val="04A0"/>
        </w:tblPrEx>
        <w:trPr>
          <w:trHeight w:val="881"/>
        </w:trPr>
        <w:tc>
          <w:tcPr>
            <w:tcW w:w="9350" w:type="dxa"/>
          </w:tcPr>
          <w:p w:rsidR="00AB6BA6" w:rsidRPr="00990D3B" w:rsidP="006636E5" w14:paraId="09D8B8EB" w14:textId="398EBE74">
            <w:pPr>
              <w:pStyle w:val="EQRTableText"/>
            </w:pPr>
            <w:r w:rsidRPr="00990D3B">
              <w:rPr>
                <w:b/>
              </w:rPr>
              <w:t xml:space="preserve">Was the PIP </w:t>
            </w:r>
            <w:r w:rsidRPr="00990D3B" w:rsidR="00FB6B4B">
              <w:rPr>
                <w:b/>
              </w:rPr>
              <w:t>v</w:t>
            </w:r>
            <w:r w:rsidRPr="00990D3B">
              <w:rPr>
                <w:b/>
              </w:rPr>
              <w:t>alidated?</w:t>
            </w:r>
            <w:r w:rsidRPr="00990D3B">
              <w:rPr>
                <w:rStyle w:val="FootnoteReference"/>
              </w:rPr>
              <w:t xml:space="preserve"> </w:t>
            </w:r>
            <w:r w:rsidRPr="00990D3B">
              <w:t xml:space="preserve">  </w:t>
            </w:r>
            <w:r w:rsidRPr="00990D3B">
              <w:fldChar w:fldCharType="begin">
                <w:ffData>
                  <w:name w:val="Check3"/>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Yes    </w:t>
            </w:r>
            <w:r w:rsidRPr="00990D3B">
              <w:fldChar w:fldCharType="begin">
                <w:ffData>
                  <w:name w:val="Check4"/>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 </w:t>
            </w:r>
          </w:p>
          <w:p w:rsidR="00AB6BA6" w:rsidRPr="00990D3B" w:rsidP="006636E5" w14:paraId="5A3AB7E8" w14:textId="1CB992D1">
            <w:pPr>
              <w:pStyle w:val="EQRTableText"/>
            </w:pPr>
            <w:r w:rsidRPr="00990D3B">
              <w:rPr>
                <w:sz w:val="16"/>
              </w:rPr>
              <w:t xml:space="preserve">“Validated” means that the EQRO reviewed all relevant </w:t>
            </w:r>
            <w:r w:rsidRPr="00990D3B" w:rsidR="00C2570A">
              <w:rPr>
                <w:sz w:val="16"/>
              </w:rPr>
              <w:t>parts of each PIP and determined</w:t>
            </w:r>
            <w:r w:rsidRPr="00990D3B">
              <w:rPr>
                <w:sz w:val="16"/>
              </w:rPr>
              <w:t xml:space="preserve"> its validity. In many cases, this will involve calculating a score for each relevant stage of the PIP and providing feedback and recommendations.</w:t>
            </w:r>
          </w:p>
        </w:tc>
      </w:tr>
      <w:tr w14:paraId="60DC586A" w14:textId="77777777" w:rsidTr="00BD1FC3">
        <w:tblPrEx>
          <w:tblW w:w="5000" w:type="pct"/>
          <w:tblLook w:val="04A0"/>
        </w:tblPrEx>
        <w:trPr>
          <w:trHeight w:val="1048"/>
        </w:trPr>
        <w:tc>
          <w:tcPr>
            <w:tcW w:w="9350" w:type="dxa"/>
          </w:tcPr>
          <w:p w:rsidR="00AB6BA6" w:rsidRPr="00990D3B" w:rsidP="006636E5" w14:paraId="48905A37" w14:textId="70738136">
            <w:pPr>
              <w:pStyle w:val="EQRTableText"/>
              <w:rPr>
                <w:b/>
              </w:rPr>
            </w:pPr>
            <w:r w:rsidRPr="00990D3B">
              <w:rPr>
                <w:b/>
              </w:rPr>
              <w:t xml:space="preserve">Validation </w:t>
            </w:r>
            <w:r w:rsidRPr="00990D3B" w:rsidR="00FB6B4B">
              <w:rPr>
                <w:b/>
              </w:rPr>
              <w:t>p</w:t>
            </w:r>
            <w:r w:rsidRPr="00990D3B">
              <w:rPr>
                <w:b/>
              </w:rPr>
              <w:t xml:space="preserve">hase (check all that apply): </w:t>
            </w:r>
          </w:p>
          <w:p w:rsidR="00AB6BA6" w:rsidRPr="00990D3B" w:rsidP="006636E5" w14:paraId="64E1D43C" w14:textId="77777777">
            <w:pPr>
              <w:pStyle w:val="EQRTableText"/>
            </w:pPr>
            <w:r w:rsidRPr="00990D3B">
              <w:rPr>
                <w:b/>
              </w:rPr>
              <w:fldChar w:fldCharType="begin">
                <w:ffData>
                  <w:name w:val="Check3"/>
                  <w:enabled/>
                  <w:calcOnExit w:val="0"/>
                  <w:checkBox>
                    <w:sizeAuto/>
                    <w:default w:val="0"/>
                  </w:checkBox>
                </w:ffData>
              </w:fldChar>
            </w:r>
            <w:r w:rsidRPr="00990D3B">
              <w:rPr>
                <w:b/>
              </w:rPr>
              <w:instrText xml:space="preserve"> FORMCHECKBOX </w:instrText>
            </w:r>
            <w:r w:rsidRPr="00990D3B">
              <w:rPr>
                <w:b/>
              </w:rPr>
              <w:fldChar w:fldCharType="separate"/>
            </w:r>
            <w:r w:rsidRPr="00990D3B">
              <w:rPr>
                <w:b/>
              </w:rPr>
              <w:fldChar w:fldCharType="end"/>
            </w:r>
            <w:r w:rsidRPr="00990D3B">
              <w:rPr>
                <w:b/>
              </w:rPr>
              <w:t xml:space="preserve"> </w:t>
            </w:r>
            <w:r w:rsidRPr="00990D3B">
              <w:t xml:space="preserve">PIP submitted for approval    </w:t>
            </w:r>
            <w:r w:rsidRPr="00990D3B">
              <w:fldChar w:fldCharType="begin">
                <w:ffData>
                  <w:name w:val="Check4"/>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Planning phase </w:t>
            </w:r>
            <w:r w:rsidRPr="00990D3B">
              <w:fldChar w:fldCharType="begin">
                <w:ffData>
                  <w:name w:val="Check3"/>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Implementation phase    </w:t>
            </w:r>
            <w:r w:rsidRPr="00990D3B">
              <w:fldChar w:fldCharType="begin">
                <w:ffData>
                  <w:name w:val="Check4"/>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Baseline year </w:t>
            </w:r>
          </w:p>
          <w:p w:rsidR="00AB6BA6" w:rsidRPr="00990D3B" w:rsidP="006636E5" w14:paraId="4B058B8F" w14:textId="18E8E345">
            <w:pPr>
              <w:pStyle w:val="EQRTableText"/>
            </w:pPr>
            <w:r w:rsidRPr="00990D3B">
              <w:fldChar w:fldCharType="begin">
                <w:ffData>
                  <w:name w:val="Check3"/>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First remeasurement    </w:t>
            </w:r>
            <w:r w:rsidRPr="00990D3B">
              <w:fldChar w:fldCharType="begin">
                <w:ffData>
                  <w:name w:val="Check3"/>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Second remeasurement   </w:t>
            </w:r>
            <w:r w:rsidRPr="00990D3B">
              <w:fldChar w:fldCharType="begin">
                <w:ffData>
                  <w:name w:val="Check4"/>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Other (specify):</w:t>
            </w:r>
          </w:p>
          <w:p w:rsidR="007120A1" w:rsidRPr="00990D3B" w:rsidP="00C33ACF" w14:paraId="3ED3D103" w14:textId="2DA5410B">
            <w:pPr>
              <w:pStyle w:val="EQRTableText"/>
              <w:spacing w:before="120"/>
              <w:rPr>
                <w:szCs w:val="18"/>
              </w:rPr>
            </w:pPr>
            <w:r w:rsidRPr="00990D3B">
              <w:rPr>
                <w:b/>
                <w:bCs/>
                <w:szCs w:val="18"/>
              </w:rPr>
              <w:t>Validation rating #1:</w:t>
            </w:r>
            <w:r w:rsidRPr="00990D3B">
              <w:rPr>
                <w:szCs w:val="18"/>
              </w:rPr>
              <w:t xml:space="preserve"> </w:t>
            </w:r>
            <w:r w:rsidRPr="00990D3B" w:rsidR="00B2489D">
              <w:rPr>
                <w:szCs w:val="18"/>
              </w:rPr>
              <w:t>EQRO’s o</w:t>
            </w:r>
            <w:r w:rsidRPr="00990D3B">
              <w:rPr>
                <w:szCs w:val="18"/>
              </w:rPr>
              <w:t>verall confidence that the PIP adhered to acceptable methodology for all phases of design and data collection, conducted accurate data analysis and interpretation of PIP results,</w:t>
            </w:r>
          </w:p>
          <w:p w:rsidR="00AB6BA6" w:rsidRPr="00990D3B" w:rsidP="006636E5" w14:paraId="2EC7C8E3" w14:textId="2106C763">
            <w:pPr>
              <w:pStyle w:val="EQRTableText"/>
              <w:rPr>
                <w:szCs w:val="18"/>
              </w:rPr>
            </w:pPr>
            <w:r w:rsidRPr="00990D3B">
              <w:rPr>
                <w:szCs w:val="18"/>
              </w:rPr>
              <w:fldChar w:fldCharType="begin">
                <w:ffData>
                  <w:name w:val="Check3"/>
                  <w:enabled/>
                  <w:calcOnExit w:val="0"/>
                  <w:checkBox>
                    <w:sizeAuto/>
                    <w:default w:val="0"/>
                  </w:checkBox>
                </w:ffData>
              </w:fldChar>
            </w:r>
            <w:r w:rsidRPr="00990D3B">
              <w:rPr>
                <w:szCs w:val="18"/>
              </w:rPr>
              <w:instrText xml:space="preserve"> FORMCHECKBOX </w:instrText>
            </w:r>
            <w:r w:rsidRPr="00990D3B">
              <w:rPr>
                <w:szCs w:val="18"/>
              </w:rPr>
              <w:fldChar w:fldCharType="separate"/>
            </w:r>
            <w:r w:rsidRPr="00990D3B">
              <w:rPr>
                <w:szCs w:val="18"/>
              </w:rPr>
              <w:fldChar w:fldCharType="end"/>
            </w:r>
            <w:r w:rsidRPr="00990D3B">
              <w:rPr>
                <w:szCs w:val="18"/>
              </w:rPr>
              <w:t xml:space="preserve"> High confidence   </w:t>
            </w:r>
            <w:r w:rsidRPr="00990D3B">
              <w:rPr>
                <w:szCs w:val="18"/>
              </w:rPr>
              <w:fldChar w:fldCharType="begin">
                <w:ffData>
                  <w:name w:val="Check4"/>
                  <w:enabled/>
                  <w:calcOnExit w:val="0"/>
                  <w:checkBox>
                    <w:sizeAuto/>
                    <w:default w:val="0"/>
                  </w:checkBox>
                </w:ffData>
              </w:fldChar>
            </w:r>
            <w:r w:rsidRPr="00990D3B">
              <w:rPr>
                <w:szCs w:val="18"/>
              </w:rPr>
              <w:instrText xml:space="preserve"> FORMCHECKBOX </w:instrText>
            </w:r>
            <w:r w:rsidRPr="00990D3B">
              <w:rPr>
                <w:szCs w:val="18"/>
              </w:rPr>
              <w:fldChar w:fldCharType="separate"/>
            </w:r>
            <w:r w:rsidRPr="00990D3B">
              <w:rPr>
                <w:szCs w:val="18"/>
              </w:rPr>
              <w:fldChar w:fldCharType="end"/>
            </w:r>
            <w:r w:rsidRPr="00990D3B">
              <w:rPr>
                <w:szCs w:val="18"/>
              </w:rPr>
              <w:t xml:space="preserve"> Moderate confidence  </w:t>
            </w:r>
            <w:r w:rsidRPr="00990D3B">
              <w:rPr>
                <w:szCs w:val="18"/>
              </w:rPr>
              <w:fldChar w:fldCharType="begin">
                <w:ffData>
                  <w:name w:val="Check4"/>
                  <w:enabled/>
                  <w:calcOnExit w:val="0"/>
                  <w:checkBox>
                    <w:sizeAuto/>
                    <w:default w:val="0"/>
                  </w:checkBox>
                </w:ffData>
              </w:fldChar>
            </w:r>
            <w:r w:rsidRPr="00990D3B">
              <w:rPr>
                <w:szCs w:val="18"/>
              </w:rPr>
              <w:instrText xml:space="preserve"> FORMCHECKBOX </w:instrText>
            </w:r>
            <w:r w:rsidRPr="00990D3B">
              <w:rPr>
                <w:szCs w:val="18"/>
              </w:rPr>
              <w:fldChar w:fldCharType="separate"/>
            </w:r>
            <w:r w:rsidRPr="00990D3B">
              <w:rPr>
                <w:szCs w:val="18"/>
              </w:rPr>
              <w:fldChar w:fldCharType="end"/>
            </w:r>
            <w:r w:rsidRPr="00990D3B">
              <w:rPr>
                <w:szCs w:val="18"/>
              </w:rPr>
              <w:t xml:space="preserve"> Low confidence </w:t>
            </w:r>
            <w:r w:rsidRPr="00990D3B">
              <w:rPr>
                <w:szCs w:val="18"/>
              </w:rPr>
              <w:fldChar w:fldCharType="begin">
                <w:ffData>
                  <w:name w:val="Check4"/>
                  <w:enabled/>
                  <w:calcOnExit w:val="0"/>
                  <w:checkBox>
                    <w:sizeAuto/>
                    <w:default w:val="0"/>
                  </w:checkBox>
                </w:ffData>
              </w:fldChar>
            </w:r>
            <w:r w:rsidRPr="00990D3B">
              <w:rPr>
                <w:szCs w:val="18"/>
              </w:rPr>
              <w:instrText xml:space="preserve"> FORMCHECKBOX </w:instrText>
            </w:r>
            <w:r w:rsidRPr="00990D3B">
              <w:rPr>
                <w:szCs w:val="18"/>
              </w:rPr>
              <w:fldChar w:fldCharType="separate"/>
            </w:r>
            <w:r w:rsidRPr="00990D3B">
              <w:rPr>
                <w:szCs w:val="18"/>
              </w:rPr>
              <w:fldChar w:fldCharType="end"/>
            </w:r>
            <w:r w:rsidRPr="00990D3B">
              <w:rPr>
                <w:szCs w:val="18"/>
              </w:rPr>
              <w:t xml:space="preserve"> No confidence</w:t>
            </w:r>
          </w:p>
          <w:p w:rsidR="007120A1" w:rsidRPr="00990D3B" w:rsidP="00C33ACF" w14:paraId="272A1E52" w14:textId="37BD1D5C">
            <w:pPr>
              <w:pStyle w:val="EQRTableText"/>
              <w:spacing w:before="120"/>
              <w:rPr>
                <w:szCs w:val="18"/>
              </w:rPr>
            </w:pPr>
            <w:r w:rsidRPr="00990D3B">
              <w:rPr>
                <w:b/>
                <w:bCs/>
                <w:szCs w:val="18"/>
              </w:rPr>
              <w:t>Validation rating #2:</w:t>
            </w:r>
            <w:r w:rsidRPr="00990D3B">
              <w:rPr>
                <w:szCs w:val="18"/>
              </w:rPr>
              <w:t xml:space="preserve"> </w:t>
            </w:r>
            <w:r w:rsidRPr="00990D3B" w:rsidR="00B2489D">
              <w:rPr>
                <w:szCs w:val="18"/>
              </w:rPr>
              <w:t>EQRO’s overall confidence that the PIP produced significant evidence of improvement.</w:t>
            </w:r>
          </w:p>
          <w:p w:rsidR="00B2489D" w:rsidRPr="00990D3B" w:rsidP="00B2489D" w14:paraId="167916B7" w14:textId="51147386">
            <w:pPr>
              <w:pStyle w:val="EQRTableText"/>
              <w:rPr>
                <w:szCs w:val="18"/>
              </w:rPr>
            </w:pPr>
            <w:r w:rsidRPr="00990D3B">
              <w:rPr>
                <w:szCs w:val="18"/>
              </w:rPr>
              <w:fldChar w:fldCharType="begin">
                <w:ffData>
                  <w:name w:val="Check3"/>
                  <w:enabled/>
                  <w:calcOnExit w:val="0"/>
                  <w:checkBox>
                    <w:sizeAuto/>
                    <w:default w:val="0"/>
                  </w:checkBox>
                </w:ffData>
              </w:fldChar>
            </w:r>
            <w:r w:rsidRPr="00990D3B">
              <w:rPr>
                <w:szCs w:val="18"/>
              </w:rPr>
              <w:instrText xml:space="preserve"> FORMCHECKBOX </w:instrText>
            </w:r>
            <w:r w:rsidRPr="00990D3B">
              <w:rPr>
                <w:szCs w:val="18"/>
              </w:rPr>
              <w:fldChar w:fldCharType="separate"/>
            </w:r>
            <w:r w:rsidRPr="00990D3B">
              <w:rPr>
                <w:szCs w:val="18"/>
              </w:rPr>
              <w:fldChar w:fldCharType="end"/>
            </w:r>
            <w:r w:rsidRPr="00990D3B">
              <w:rPr>
                <w:szCs w:val="18"/>
              </w:rPr>
              <w:t xml:space="preserve"> High confidence   </w:t>
            </w:r>
            <w:r w:rsidRPr="00990D3B">
              <w:rPr>
                <w:szCs w:val="18"/>
              </w:rPr>
              <w:fldChar w:fldCharType="begin">
                <w:ffData>
                  <w:name w:val="Check4"/>
                  <w:enabled/>
                  <w:calcOnExit w:val="0"/>
                  <w:checkBox>
                    <w:sizeAuto/>
                    <w:default w:val="0"/>
                  </w:checkBox>
                </w:ffData>
              </w:fldChar>
            </w:r>
            <w:r w:rsidRPr="00990D3B">
              <w:rPr>
                <w:szCs w:val="18"/>
              </w:rPr>
              <w:instrText xml:space="preserve"> FORMCHECKBOX </w:instrText>
            </w:r>
            <w:r w:rsidRPr="00990D3B">
              <w:rPr>
                <w:szCs w:val="18"/>
              </w:rPr>
              <w:fldChar w:fldCharType="separate"/>
            </w:r>
            <w:r w:rsidRPr="00990D3B">
              <w:rPr>
                <w:szCs w:val="18"/>
              </w:rPr>
              <w:fldChar w:fldCharType="end"/>
            </w:r>
            <w:r w:rsidRPr="00990D3B">
              <w:rPr>
                <w:szCs w:val="18"/>
              </w:rPr>
              <w:t xml:space="preserve"> Moderate confidence  </w:t>
            </w:r>
            <w:r w:rsidRPr="00990D3B">
              <w:rPr>
                <w:szCs w:val="18"/>
              </w:rPr>
              <w:fldChar w:fldCharType="begin">
                <w:ffData>
                  <w:name w:val="Check4"/>
                  <w:enabled/>
                  <w:calcOnExit w:val="0"/>
                  <w:checkBox>
                    <w:sizeAuto/>
                    <w:default w:val="0"/>
                  </w:checkBox>
                </w:ffData>
              </w:fldChar>
            </w:r>
            <w:r w:rsidRPr="00990D3B">
              <w:rPr>
                <w:szCs w:val="18"/>
              </w:rPr>
              <w:instrText xml:space="preserve"> FORMCHECKBOX </w:instrText>
            </w:r>
            <w:r w:rsidRPr="00990D3B">
              <w:rPr>
                <w:szCs w:val="18"/>
              </w:rPr>
              <w:fldChar w:fldCharType="separate"/>
            </w:r>
            <w:r w:rsidRPr="00990D3B">
              <w:rPr>
                <w:szCs w:val="18"/>
              </w:rPr>
              <w:fldChar w:fldCharType="end"/>
            </w:r>
            <w:r w:rsidRPr="00990D3B">
              <w:rPr>
                <w:szCs w:val="18"/>
              </w:rPr>
              <w:t xml:space="preserve"> Low confidence </w:t>
            </w:r>
            <w:r w:rsidRPr="00990D3B">
              <w:rPr>
                <w:szCs w:val="18"/>
              </w:rPr>
              <w:fldChar w:fldCharType="begin">
                <w:ffData>
                  <w:name w:val="Check4"/>
                  <w:enabled/>
                  <w:calcOnExit w:val="0"/>
                  <w:checkBox>
                    <w:sizeAuto/>
                    <w:default w:val="0"/>
                  </w:checkBox>
                </w:ffData>
              </w:fldChar>
            </w:r>
            <w:r w:rsidRPr="00990D3B">
              <w:rPr>
                <w:szCs w:val="18"/>
              </w:rPr>
              <w:instrText xml:space="preserve"> FORMCHECKBOX </w:instrText>
            </w:r>
            <w:r w:rsidRPr="00990D3B">
              <w:rPr>
                <w:szCs w:val="18"/>
              </w:rPr>
              <w:fldChar w:fldCharType="separate"/>
            </w:r>
            <w:r w:rsidRPr="00990D3B">
              <w:rPr>
                <w:szCs w:val="18"/>
              </w:rPr>
              <w:fldChar w:fldCharType="end"/>
            </w:r>
            <w:r w:rsidRPr="00990D3B">
              <w:rPr>
                <w:szCs w:val="18"/>
              </w:rPr>
              <w:t xml:space="preserve"> No confidence</w:t>
            </w:r>
          </w:p>
          <w:p w:rsidR="005A37D3" w:rsidRPr="00990D3B" w:rsidP="00B2489D" w14:paraId="18A0B43F" w14:textId="682FA32F">
            <w:pPr>
              <w:pStyle w:val="EQRTableText"/>
              <w:rPr>
                <w:szCs w:val="18"/>
              </w:rPr>
            </w:pPr>
          </w:p>
          <w:p w:rsidR="005A37D3" w:rsidRPr="00990D3B" w:rsidP="00B2489D" w14:paraId="029471D3" w14:textId="0EBA069E">
            <w:pPr>
              <w:pStyle w:val="EQRTableText"/>
              <w:rPr>
                <w:b/>
                <w:bCs/>
                <w:szCs w:val="18"/>
              </w:rPr>
            </w:pPr>
            <w:r w:rsidRPr="00990D3B">
              <w:rPr>
                <w:b/>
                <w:bCs/>
                <w:szCs w:val="18"/>
              </w:rPr>
              <w:t>EQRO comments on validation ratings</w:t>
            </w:r>
            <w:r w:rsidRPr="00990D3B" w:rsidR="00FB6B4B">
              <w:rPr>
                <w:b/>
                <w:bCs/>
                <w:szCs w:val="18"/>
              </w:rPr>
              <w:t>:</w:t>
            </w:r>
          </w:p>
          <w:p w:rsidR="00EA5C3E" w:rsidRPr="00990D3B" w:rsidP="00B2489D" w14:paraId="4172816F" w14:textId="32C9F9D2">
            <w:pPr>
              <w:pStyle w:val="EQRTableText"/>
              <w:rPr>
                <w:sz w:val="16"/>
              </w:rPr>
            </w:pPr>
          </w:p>
        </w:tc>
      </w:tr>
      <w:tr w14:paraId="1A406DF2" w14:textId="77777777" w:rsidTr="00BD1FC3">
        <w:tblPrEx>
          <w:tblW w:w="5000" w:type="pct"/>
          <w:tblLook w:val="04A0"/>
        </w:tblPrEx>
        <w:trPr>
          <w:trHeight w:val="971"/>
        </w:trPr>
        <w:tc>
          <w:tcPr>
            <w:tcW w:w="9350" w:type="dxa"/>
          </w:tcPr>
          <w:p w:rsidR="00AB6BA6" w:rsidRPr="00990D3B" w:rsidP="006636E5" w14:paraId="0038B33A" w14:textId="77777777">
            <w:pPr>
              <w:pStyle w:val="EQRTableText"/>
              <w:rPr>
                <w:b/>
              </w:rPr>
            </w:pPr>
            <w:r w:rsidRPr="00990D3B">
              <w:rPr>
                <w:b/>
              </w:rPr>
              <w:t>EQRO recommendations for improvement of PIP:</w:t>
            </w:r>
          </w:p>
        </w:tc>
      </w:tr>
    </w:tbl>
    <w:p w:rsidR="00812664" w:rsidRPr="00990D3B" w:rsidP="00BD1FC3" w14:paraId="3AE1C3F6" w14:textId="77777777">
      <w:pPr>
        <w:pStyle w:val="ParagraphContinued"/>
        <w:spacing w:before="0"/>
        <w:rPr>
          <w:rFonts w:asciiTheme="majorHAnsi" w:hAnsiTheme="majorHAnsi" w:cstheme="majorHAnsi"/>
          <w:sz w:val="16"/>
          <w:szCs w:val="16"/>
        </w:rPr>
        <w:sectPr w:rsidSect="00812664">
          <w:pgSz w:w="15840" w:h="12240" w:orient="landscape" w:code="1"/>
          <w:pgMar w:top="1440" w:right="1440" w:bottom="1440" w:left="1440" w:header="720" w:footer="720" w:gutter="0"/>
          <w:cols w:space="720"/>
          <w:titlePg/>
          <w:docGrid w:linePitch="360"/>
        </w:sectPr>
      </w:pPr>
    </w:p>
    <w:p w:rsidR="000D6CA0" w:rsidRPr="00990D3B" w:rsidP="00BD1FC3" w14:paraId="3C4570E7" w14:textId="1612D73A">
      <w:pPr>
        <w:pStyle w:val="EQRMarkforExhibitWORKSHEET"/>
      </w:pPr>
      <w:bookmarkStart w:id="218" w:name="WSp1n12"/>
      <w:bookmarkStart w:id="219" w:name="_Toc201751489"/>
      <w:bookmarkEnd w:id="218"/>
      <w:r w:rsidRPr="00990D3B">
        <w:t xml:space="preserve">Worksheet 1.12. PIP Validation </w:t>
      </w:r>
      <w:r w:rsidRPr="00990D3B" w:rsidR="005D684C">
        <w:t>Reporting</w:t>
      </w:r>
      <w:bookmarkEnd w:id="219"/>
      <w:r w:rsidRPr="00990D3B" w:rsidR="005D684C">
        <w:t xml:space="preserve"> </w:t>
      </w:r>
    </w:p>
    <w:p w:rsidR="00DF3A90" w:rsidRPr="00990D3B" w:rsidP="00823840" w14:paraId="5C5F3510" w14:textId="29622DD0">
      <w:pPr>
        <w:pStyle w:val="EQRNormalSSWORKSHEET"/>
      </w:pPr>
      <w:r w:rsidRPr="00990D3B">
        <w:rPr>
          <w:b/>
          <w:bCs/>
        </w:rPr>
        <w:t xml:space="preserve">Instructions. </w:t>
      </w:r>
      <w:r w:rsidRPr="00990D3B" w:rsidR="0043248E">
        <w:t>For each required validation rating, indicate the finding</w:t>
      </w:r>
      <w:r w:rsidRPr="00990D3B" w:rsidR="00FB6B4B">
        <w:t xml:space="preserve"> and p</w:t>
      </w:r>
      <w:r w:rsidRPr="00990D3B" w:rsidR="0043248E">
        <w:t>rovide comments to justify the rating</w:t>
      </w:r>
      <w:r w:rsidRPr="00990D3B" w:rsidR="00FB6B4B">
        <w:t xml:space="preserve">. Include </w:t>
      </w:r>
      <w:r w:rsidRPr="00990D3B" w:rsidR="0043248E">
        <w:t>recommendation</w:t>
      </w:r>
      <w:r w:rsidRPr="00990D3B" w:rsidR="0043248E">
        <w:t xml:space="preserve"> for improvement, if applicable. </w:t>
      </w:r>
      <w:r w:rsidRPr="00990D3B" w:rsidR="00391FED">
        <w:t>I</w:t>
      </w:r>
      <w:r w:rsidRPr="00990D3B" w:rsidR="0043248E">
        <w:t>f</w:t>
      </w:r>
      <w:r w:rsidRPr="00990D3B" w:rsidR="00E5353B">
        <w:t xml:space="preserve"> </w:t>
      </w:r>
      <w:r w:rsidRPr="00990D3B" w:rsidR="007C1D68">
        <w:t xml:space="preserve">a PIP </w:t>
      </w:r>
      <w:r w:rsidRPr="00990D3B" w:rsidR="00FB6B4B">
        <w:t xml:space="preserve">receives </w:t>
      </w:r>
      <w:r w:rsidRPr="00990D3B" w:rsidR="007C1D68">
        <w:t xml:space="preserve">a </w:t>
      </w:r>
      <w:r w:rsidRPr="00990D3B" w:rsidR="00100FD3">
        <w:t>“</w:t>
      </w:r>
      <w:r w:rsidRPr="00990D3B" w:rsidR="00FB6B4B">
        <w:t>N</w:t>
      </w:r>
      <w:r w:rsidRPr="00990D3B" w:rsidR="007C1D68">
        <w:t xml:space="preserve">o </w:t>
      </w:r>
      <w:r w:rsidRPr="00990D3B" w:rsidR="00FB6B4B">
        <w:t>c</w:t>
      </w:r>
      <w:r w:rsidRPr="00990D3B" w:rsidR="007C1D68">
        <w:t>onfidence</w:t>
      </w:r>
      <w:r w:rsidRPr="00990D3B" w:rsidR="00100FD3">
        <w:t>”</w:t>
      </w:r>
      <w:r w:rsidRPr="00990D3B" w:rsidR="007C1D68">
        <w:t xml:space="preserve"> validation rating, explain </w:t>
      </w:r>
      <w:r w:rsidRPr="00990D3B" w:rsidR="00FB6B4B">
        <w:t xml:space="preserve">the rationale and offer specific </w:t>
      </w:r>
      <w:r w:rsidRPr="00990D3B" w:rsidR="00100FD3">
        <w:t>recommendations for improvement.</w:t>
      </w:r>
      <w:r w:rsidRPr="00990D3B" w:rsidR="007C1D68">
        <w:t xml:space="preserve"> PIP</w:t>
      </w:r>
      <w:r w:rsidRPr="00990D3B" w:rsidR="00100FD3">
        <w:t xml:space="preserve">s </w:t>
      </w:r>
      <w:r w:rsidRPr="00990D3B" w:rsidR="00FB6B4B">
        <w:t>rate</w:t>
      </w:r>
      <w:r w:rsidRPr="00990D3B" w:rsidR="00BC2841">
        <w:t xml:space="preserve">d </w:t>
      </w:r>
      <w:r w:rsidRPr="00990D3B" w:rsidR="00100FD3">
        <w:t>“</w:t>
      </w:r>
      <w:r w:rsidRPr="00990D3B" w:rsidR="00FB6B4B">
        <w:t>N</w:t>
      </w:r>
      <w:r w:rsidRPr="00990D3B" w:rsidR="00100FD3">
        <w:t xml:space="preserve">o confidence” </w:t>
      </w:r>
      <w:r w:rsidRPr="00990D3B" w:rsidR="007C1D68">
        <w:t xml:space="preserve">should not be continued or repeated without </w:t>
      </w:r>
      <w:r w:rsidRPr="00990D3B" w:rsidR="00BC2841">
        <w:t xml:space="preserve">implementing </w:t>
      </w:r>
      <w:r w:rsidRPr="00990D3B" w:rsidR="007C1D68">
        <w:t>recommended improvements</w:t>
      </w:r>
      <w:r w:rsidRPr="00990D3B" w:rsidR="00A40DFA">
        <w:t>.</w:t>
      </w:r>
      <w:r w:rsidRPr="00990D3B" w:rsidR="0043248E">
        <w:t xml:space="preserve"> </w:t>
      </w:r>
      <w:r w:rsidRPr="00990D3B" w:rsidR="00A40DFA">
        <w:t xml:space="preserve">If </w:t>
      </w:r>
      <w:r w:rsidRPr="00990D3B" w:rsidR="0043248E">
        <w:t xml:space="preserve">a PIP is still </w:t>
      </w:r>
      <w:r w:rsidRPr="00990D3B" w:rsidR="00BC2841">
        <w:t>in progress</w:t>
      </w:r>
      <w:r w:rsidRPr="00990D3B" w:rsidR="0043248E">
        <w:t xml:space="preserve"> and a rating </w:t>
      </w:r>
      <w:r w:rsidRPr="00990D3B" w:rsidR="00BC2841">
        <w:t xml:space="preserve">cannot yet be assigned for </w:t>
      </w:r>
      <w:r w:rsidRPr="00990D3B" w:rsidR="0043248E">
        <w:t>the PIP improvement strategies</w:t>
      </w:r>
      <w:r w:rsidRPr="00990D3B" w:rsidR="00BC2841">
        <w:t xml:space="preserve">, </w:t>
      </w:r>
      <w:r w:rsidRPr="00990D3B" w:rsidR="0043248E">
        <w:t xml:space="preserve">select “Not Applicable” and </w:t>
      </w:r>
      <w:r w:rsidRPr="00990D3B" w:rsidR="00F209CE">
        <w:t xml:space="preserve">add </w:t>
      </w:r>
      <w:r w:rsidRPr="00990D3B" w:rsidR="0043248E">
        <w:t>a comment explaining</w:t>
      </w:r>
      <w:r w:rsidRPr="00990D3B" w:rsidR="00E7156E">
        <w:t> </w:t>
      </w:r>
      <w:r w:rsidRPr="00990D3B" w:rsidR="0043248E">
        <w:t xml:space="preserve">why. </w:t>
      </w:r>
    </w:p>
    <w:p w:rsidR="00BC2841" w:rsidRPr="00990D3B" w:rsidP="00823840" w14:paraId="5A12325A" w14:textId="77777777">
      <w:pPr>
        <w:pStyle w:val="EQRNormalSSWORKSHEET"/>
        <w:rPr>
          <w:szCs w:val="20"/>
        </w:rPr>
      </w:pPr>
      <w:r w:rsidRPr="00990D3B">
        <w:t xml:space="preserve">The table below provides example validation scoring approaches for assessing both the methodology and implementation of the PIP and the effectiveness of the PIP improvement strategy. </w:t>
      </w:r>
      <w:r w:rsidRPr="00990D3B">
        <w:rPr>
          <w:szCs w:val="20"/>
        </w:rPr>
        <w:t xml:space="preserve">If the EQRO prefers a different rating methodology, use </w:t>
      </w:r>
      <w:r w:rsidRPr="00990D3B">
        <w:rPr>
          <w:b/>
          <w:bCs/>
          <w:szCs w:val="20"/>
        </w:rPr>
        <w:t>Section 2</w:t>
      </w:r>
      <w:r w:rsidRPr="00990D3B">
        <w:rPr>
          <w:szCs w:val="20"/>
        </w:rPr>
        <w:t xml:space="preserve"> of this worksheet to provide those definitions. </w:t>
      </w:r>
    </w:p>
    <w:tbl>
      <w:tblPr>
        <w:tblStyle w:val="TableGrid"/>
        <w:tblW w:w="0" w:type="auto"/>
        <w:tblLook w:val="04A0"/>
      </w:tblPr>
      <w:tblGrid>
        <w:gridCol w:w="5125"/>
        <w:gridCol w:w="4225"/>
      </w:tblGrid>
      <w:tr w14:paraId="48454AC0" w14:textId="77777777" w:rsidTr="00195F0B">
        <w:tblPrEx>
          <w:tblW w:w="0" w:type="auto"/>
          <w:tblLook w:val="04A0"/>
        </w:tblPrEx>
        <w:tc>
          <w:tcPr>
            <w:tcW w:w="5125" w:type="dxa"/>
          </w:tcPr>
          <w:p w:rsidR="00BC2841" w:rsidRPr="00990D3B" w:rsidP="00823840" w14:paraId="072296F1" w14:textId="77777777">
            <w:pPr>
              <w:pStyle w:val="EQRTableHeaderCenter"/>
              <w:rPr>
                <w:color w:val="auto"/>
              </w:rPr>
            </w:pPr>
            <w:r w:rsidRPr="00990D3B">
              <w:rPr>
                <w:color w:val="auto"/>
              </w:rPr>
              <w:t xml:space="preserve">PIP methodology and implementation </w:t>
            </w:r>
          </w:p>
        </w:tc>
        <w:tc>
          <w:tcPr>
            <w:tcW w:w="4225" w:type="dxa"/>
          </w:tcPr>
          <w:p w:rsidR="00BC2841" w:rsidRPr="00990D3B" w:rsidP="00823840" w14:paraId="550552C6" w14:textId="77777777">
            <w:pPr>
              <w:pStyle w:val="EQRTableHeaderCenter"/>
              <w:rPr>
                <w:color w:val="auto"/>
              </w:rPr>
            </w:pPr>
            <w:r w:rsidRPr="00990D3B">
              <w:rPr>
                <w:color w:val="auto"/>
              </w:rPr>
              <w:t xml:space="preserve">PIP improvement strategy </w:t>
            </w:r>
          </w:p>
        </w:tc>
      </w:tr>
      <w:tr w14:paraId="42739E9E" w14:textId="77777777" w:rsidTr="00195F0B">
        <w:tblPrEx>
          <w:tblW w:w="0" w:type="auto"/>
          <w:tblLook w:val="04A0"/>
        </w:tblPrEx>
        <w:tc>
          <w:tcPr>
            <w:tcW w:w="5125" w:type="dxa"/>
          </w:tcPr>
          <w:p w:rsidR="00BC2841" w:rsidRPr="00990D3B" w:rsidP="00666AC0" w14:paraId="255172E8" w14:textId="77777777">
            <w:pPr>
              <w:pStyle w:val="EQRTableTextbullet"/>
              <w:rPr>
                <w:szCs w:val="18"/>
              </w:rPr>
            </w:pPr>
            <w:r w:rsidRPr="00990D3B">
              <w:rPr>
                <w:b/>
                <w:bCs/>
                <w:szCs w:val="18"/>
              </w:rPr>
              <w:t>High confidence.</w:t>
            </w:r>
            <w:r w:rsidRPr="00990D3B">
              <w:rPr>
                <w:szCs w:val="18"/>
              </w:rPr>
              <w:t xml:space="preserve"> The PIP: </w:t>
            </w:r>
          </w:p>
          <w:p w:rsidR="00BC2841" w:rsidRPr="00990D3B" w:rsidP="00F96E5F" w14:paraId="40B1E8E0" w14:textId="77777777">
            <w:pPr>
              <w:pStyle w:val="EQRTableTextbullet2ndlevel"/>
            </w:pPr>
            <w:r w:rsidRPr="00990D3B">
              <w:t xml:space="preserve">Adhered to an acceptable methodology for all design and data collection phases and, </w:t>
            </w:r>
          </w:p>
          <w:p w:rsidR="00BC2841" w:rsidRPr="00990D3B" w:rsidP="00F96E5F" w14:paraId="043FB4DE" w14:textId="77777777">
            <w:pPr>
              <w:pStyle w:val="EQRTableTextbullet2ndlevel"/>
            </w:pPr>
            <w:r w:rsidRPr="00990D3B">
              <w:t xml:space="preserve">Conducted accurate data analysis and interpretation of PIP results </w:t>
            </w:r>
          </w:p>
          <w:p w:rsidR="00BC2841" w:rsidRPr="00990D3B" w:rsidP="00666AC0" w14:paraId="1B0A53CF" w14:textId="77777777">
            <w:pPr>
              <w:pStyle w:val="EQRTableTextbullet"/>
              <w:rPr>
                <w:szCs w:val="18"/>
              </w:rPr>
            </w:pPr>
            <w:r w:rsidRPr="00990D3B">
              <w:rPr>
                <w:b/>
                <w:bCs/>
                <w:szCs w:val="18"/>
              </w:rPr>
              <w:t>Moderate confidence.</w:t>
            </w:r>
            <w:r w:rsidRPr="00990D3B">
              <w:rPr>
                <w:szCs w:val="18"/>
              </w:rPr>
              <w:t xml:space="preserve"> The PIP:</w:t>
            </w:r>
          </w:p>
          <w:p w:rsidR="00BC2841" w:rsidRPr="00990D3B" w:rsidP="00F96E5F" w14:paraId="763DF7A6" w14:textId="77777777">
            <w:pPr>
              <w:pStyle w:val="EQRTableTextbullet2ndlevel"/>
            </w:pPr>
            <w:r w:rsidRPr="00990D3B">
              <w:t>Generally adhered to an acceptable methodology, but with minor weaknesses or inconsistencies in the design or data collection phases and/or</w:t>
            </w:r>
          </w:p>
          <w:p w:rsidR="00BC2841" w:rsidRPr="00990D3B" w:rsidP="00F96E5F" w14:paraId="42529823" w14:textId="77777777">
            <w:pPr>
              <w:pStyle w:val="EQRTableTextbullet2ndlevel"/>
            </w:pPr>
            <w:r w:rsidRPr="00990D3B">
              <w:t xml:space="preserve">Conducted data analysis and interpretation that was mostly accurate but may have small flaws or gaps that slightly limit the reliability or generalizability of findings </w:t>
            </w:r>
          </w:p>
          <w:p w:rsidR="00BC2841" w:rsidRPr="00990D3B" w:rsidP="00666AC0" w14:paraId="75A341DD" w14:textId="77777777">
            <w:pPr>
              <w:pStyle w:val="EQRTableTextbullet"/>
              <w:rPr>
                <w:szCs w:val="18"/>
              </w:rPr>
            </w:pPr>
            <w:r w:rsidRPr="00990D3B">
              <w:rPr>
                <w:b/>
                <w:bCs/>
                <w:szCs w:val="18"/>
              </w:rPr>
              <w:t>Low confidence.</w:t>
            </w:r>
            <w:r w:rsidRPr="00990D3B">
              <w:rPr>
                <w:szCs w:val="18"/>
              </w:rPr>
              <w:t xml:space="preserve"> The PIP:</w:t>
            </w:r>
          </w:p>
          <w:p w:rsidR="00BC2841" w:rsidRPr="00990D3B" w:rsidP="00F96E5F" w14:paraId="1322C29C" w14:textId="77777777">
            <w:pPr>
              <w:pStyle w:val="EQRTableTextbullet2ndlevel"/>
            </w:pPr>
            <w:r w:rsidRPr="00990D3B">
              <w:t>Demonstrated significant weaknesses or inconsistencies in adhering to an acceptable methodology for design or data collection phases and/or</w:t>
            </w:r>
          </w:p>
          <w:p w:rsidR="00BC2841" w:rsidRPr="00990D3B" w:rsidP="00F96E5F" w14:paraId="37908FF2" w14:textId="77777777">
            <w:pPr>
              <w:pStyle w:val="EQRTableTextbullet2ndlevel"/>
            </w:pPr>
            <w:r w:rsidRPr="00990D3B">
              <w:t>Conducted data analysis or interpretation with notable errors, omissions, or assumptions that undermine the reliability of results or make findings less actionable</w:t>
            </w:r>
          </w:p>
          <w:p w:rsidR="00BC2841" w:rsidRPr="00990D3B" w:rsidP="00666AC0" w14:paraId="3FEF165F" w14:textId="77777777">
            <w:pPr>
              <w:pStyle w:val="EQRTableTextbullet"/>
              <w:rPr>
                <w:szCs w:val="18"/>
              </w:rPr>
            </w:pPr>
            <w:r w:rsidRPr="00990D3B">
              <w:rPr>
                <w:b/>
                <w:bCs/>
                <w:szCs w:val="18"/>
              </w:rPr>
              <w:t>No confidence.</w:t>
            </w:r>
            <w:r w:rsidRPr="00990D3B">
              <w:rPr>
                <w:szCs w:val="18"/>
              </w:rPr>
              <w:t xml:space="preserve"> The PIP: </w:t>
            </w:r>
          </w:p>
          <w:p w:rsidR="00BC2841" w:rsidRPr="00990D3B" w:rsidP="00F96E5F" w14:paraId="523A2416" w14:textId="77777777">
            <w:pPr>
              <w:pStyle w:val="EQRTableTextbullet2ndlevel"/>
            </w:pPr>
            <w:r w:rsidRPr="00990D3B">
              <w:t>Did not adhere to an acceptable methodology for design or data collection phases with critical flaws that invalidate the process and/or</w:t>
            </w:r>
          </w:p>
          <w:p w:rsidR="00BC2841" w:rsidRPr="00990D3B" w:rsidP="00F96E5F" w14:paraId="1B873736" w14:textId="77777777">
            <w:pPr>
              <w:pStyle w:val="EQRTableTextbullet2ndlevel"/>
            </w:pPr>
            <w:r w:rsidRPr="00990D3B">
              <w:t xml:space="preserve">Conducted inaccurate data analysis or interpretation, rendering the results unreliable, misleading, or unusable for improvement activities </w:t>
            </w:r>
          </w:p>
        </w:tc>
        <w:tc>
          <w:tcPr>
            <w:tcW w:w="4225" w:type="dxa"/>
          </w:tcPr>
          <w:p w:rsidR="00BC2841" w:rsidRPr="00990D3B" w:rsidP="00666AC0" w14:paraId="2D5DD694" w14:textId="77777777">
            <w:pPr>
              <w:pStyle w:val="EQRTableTextbullet"/>
              <w:rPr>
                <w:szCs w:val="18"/>
              </w:rPr>
            </w:pPr>
            <w:r w:rsidRPr="00990D3B">
              <w:rPr>
                <w:b/>
                <w:bCs/>
                <w:szCs w:val="18"/>
              </w:rPr>
              <w:t>High confidence.</w:t>
            </w:r>
            <w:r w:rsidRPr="00990D3B">
              <w:rPr>
                <w:szCs w:val="18"/>
              </w:rPr>
              <w:t xml:space="preserve"> The PIP produced evidence for significant, sustained improvement as evidenced by repeated measurements  </w:t>
            </w:r>
          </w:p>
          <w:p w:rsidR="00BC2841" w:rsidRPr="00990D3B" w:rsidP="00666AC0" w14:paraId="03FDBBF1" w14:textId="77777777">
            <w:pPr>
              <w:pStyle w:val="EQRTableTextbullet"/>
              <w:rPr>
                <w:szCs w:val="18"/>
              </w:rPr>
            </w:pPr>
            <w:r w:rsidRPr="00990D3B">
              <w:rPr>
                <w:b/>
                <w:bCs/>
                <w:szCs w:val="18"/>
              </w:rPr>
              <w:t>Moderate confidence</w:t>
            </w:r>
            <w:r w:rsidRPr="00990D3B">
              <w:rPr>
                <w:szCs w:val="18"/>
              </w:rPr>
              <w:t>. The PIP demonstrated some performance improvement, but:</w:t>
            </w:r>
          </w:p>
          <w:p w:rsidR="00BC2841" w:rsidRPr="00990D3B" w:rsidP="00F96E5F" w14:paraId="381FCDAA" w14:textId="77777777">
            <w:pPr>
              <w:pStyle w:val="EQRTableTextbullet2ndlevel"/>
            </w:pPr>
            <w:r w:rsidRPr="00990D3B">
              <w:t>Evidence of improvement was inconsistent or not sustained across measurement periods and/or</w:t>
            </w:r>
          </w:p>
          <w:p w:rsidR="00BC2841" w:rsidRPr="00990D3B" w:rsidP="00F96E5F" w14:paraId="3721C6AE" w14:textId="77777777">
            <w:pPr>
              <w:pStyle w:val="EQRTableTextbullet2ndlevel"/>
            </w:pPr>
            <w:r w:rsidRPr="00990D3B">
              <w:t>Improvement did not reach statistical significance, but trends suggest a potential positive impact</w:t>
            </w:r>
          </w:p>
          <w:p w:rsidR="00BC2841" w:rsidRPr="00990D3B" w:rsidP="00666AC0" w14:paraId="25CFC579" w14:textId="77777777">
            <w:pPr>
              <w:pStyle w:val="EQRTableTextbullet"/>
              <w:rPr>
                <w:szCs w:val="18"/>
              </w:rPr>
            </w:pPr>
            <w:r w:rsidRPr="00990D3B">
              <w:rPr>
                <w:b/>
                <w:bCs/>
                <w:szCs w:val="18"/>
              </w:rPr>
              <w:t>Low confidence.</w:t>
            </w:r>
            <w:r w:rsidRPr="00990D3B">
              <w:rPr>
                <w:szCs w:val="18"/>
              </w:rPr>
              <w:t xml:space="preserve"> The PIP showed minimal or inconsistent improvement with</w:t>
            </w:r>
          </w:p>
          <w:p w:rsidR="00BC2841" w:rsidRPr="00990D3B" w:rsidP="00F96E5F" w14:paraId="2ED778A4" w14:textId="77777777">
            <w:pPr>
              <w:pStyle w:val="EQRTableTextbullet2ndlevel"/>
            </w:pPr>
            <w:r w:rsidRPr="00990D3B">
              <w:t>Results that were not statistically significant and lacked clear trends and/or</w:t>
            </w:r>
          </w:p>
          <w:p w:rsidR="00BC2841" w:rsidRPr="00990D3B" w:rsidP="00F96E5F" w14:paraId="1B3C0293" w14:textId="77777777">
            <w:pPr>
              <w:pStyle w:val="EQRTableTextbullet2ndlevel"/>
            </w:pPr>
            <w:r w:rsidRPr="00990D3B">
              <w:t>Evidence of improvement was temporary or did not persist across measurement periods</w:t>
            </w:r>
          </w:p>
          <w:p w:rsidR="00BC2841" w:rsidRPr="00990D3B" w:rsidP="00666AC0" w14:paraId="683B7075" w14:textId="77777777">
            <w:pPr>
              <w:pStyle w:val="EQRTableTextbullet"/>
              <w:rPr>
                <w:szCs w:val="18"/>
              </w:rPr>
            </w:pPr>
            <w:r w:rsidRPr="00990D3B">
              <w:rPr>
                <w:b/>
                <w:bCs/>
                <w:szCs w:val="18"/>
              </w:rPr>
              <w:t>No confidence.</w:t>
            </w:r>
            <w:r w:rsidRPr="00990D3B">
              <w:rPr>
                <w:szCs w:val="18"/>
              </w:rPr>
              <w:t xml:space="preserve">  The PIP provided no evidence of meaningful improvement with</w:t>
            </w:r>
          </w:p>
          <w:p w:rsidR="00BC2841" w:rsidRPr="00990D3B" w:rsidP="00F96E5F" w14:paraId="4B56150A" w14:textId="77777777">
            <w:pPr>
              <w:pStyle w:val="EQRTableTextbullet2ndlevel"/>
            </w:pPr>
            <w:r w:rsidRPr="00990D3B">
              <w:t>Performance remaining stagnant or worsening, and/or</w:t>
            </w:r>
          </w:p>
          <w:p w:rsidR="00BC2841" w:rsidRPr="00990D3B" w:rsidP="00F96E5F" w14:paraId="7182D007" w14:textId="459A2E3F">
            <w:pPr>
              <w:pStyle w:val="EQRTableTextbullet2ndlevel"/>
              <w:rPr>
                <w:szCs w:val="18"/>
              </w:rPr>
            </w:pPr>
            <w:r w:rsidRPr="00990D3B">
              <w:t xml:space="preserve">No statistically significant results or positive trends </w:t>
            </w:r>
          </w:p>
        </w:tc>
      </w:tr>
    </w:tbl>
    <w:p w:rsidR="003B4621" w:rsidRPr="00990D3B" w:rsidP="00195F0B" w14:paraId="22C9E7D5" w14:textId="5BC0C242">
      <w:pPr>
        <w:pStyle w:val="EQRNormalSSWORKSHEET"/>
      </w:pPr>
      <w:r w:rsidRPr="00990D3B">
        <w:t>While th</w:t>
      </w:r>
      <w:r w:rsidRPr="00990D3B" w:rsidR="007620C5">
        <w:t>is</w:t>
      </w:r>
      <w:r w:rsidRPr="00990D3B">
        <w:t xml:space="preserve"> template </w:t>
      </w:r>
      <w:r w:rsidRPr="00990D3B">
        <w:rPr>
          <w:rFonts w:cs="Arial"/>
        </w:rPr>
        <w:t>encompass</w:t>
      </w:r>
      <w:r w:rsidRPr="00990D3B" w:rsidR="007620C5">
        <w:rPr>
          <w:rFonts w:cs="Arial"/>
        </w:rPr>
        <w:t>es</w:t>
      </w:r>
      <w:r w:rsidRPr="00990D3B">
        <w:rPr>
          <w:rFonts w:cs="Arial"/>
        </w:rPr>
        <w:t xml:space="preserve"> CMS’s expectations for what EQR technical reports share when reporting </w:t>
      </w:r>
      <w:r w:rsidRPr="00990D3B" w:rsidR="00DF3A90">
        <w:rPr>
          <w:rFonts w:cs="Arial"/>
        </w:rPr>
        <w:t>PIP validation</w:t>
      </w:r>
      <w:r w:rsidRPr="00990D3B">
        <w:rPr>
          <w:rFonts w:cs="Arial"/>
        </w:rPr>
        <w:t xml:space="preserve"> findings, </w:t>
      </w:r>
      <w:r w:rsidRPr="00990D3B" w:rsidR="00C2570A">
        <w:rPr>
          <w:rFonts w:cs="Arial"/>
        </w:rPr>
        <w:t>using</w:t>
      </w:r>
      <w:r w:rsidRPr="00990D3B">
        <w:t xml:space="preserve"> this template is voluntary. </w:t>
      </w:r>
      <w:r w:rsidRPr="00990D3B" w:rsidR="0006604B">
        <w:t>This template has a companion Excel workbook. It can be included in the EQR technical report or submitted to CMS as a separate document. If submitted separately, the document must be posted to the state’s website.</w:t>
      </w:r>
    </w:p>
    <w:p w:rsidR="00DE2DC9" w:rsidRPr="00990D3B" w:rsidP="00195F0B" w14:paraId="500FF40A" w14:textId="547BE3EE">
      <w:pPr>
        <w:pStyle w:val="EQRNormalSSWORKSHEET"/>
        <w:sectPr w:rsidSect="00A65C6B">
          <w:pgSz w:w="12240" w:h="15840" w:code="1"/>
          <w:pgMar w:top="1440" w:right="1440" w:bottom="1440" w:left="1440" w:header="720" w:footer="720" w:gutter="0"/>
          <w:cols w:space="720"/>
          <w:titlePg/>
          <w:docGrid w:linePitch="360"/>
        </w:sectPr>
      </w:pPr>
      <w:r w:rsidRPr="00990D3B">
        <w:rPr>
          <w:rFonts w:asciiTheme="majorHAnsi" w:hAnsiTheme="majorHAnsi" w:cstheme="majorHAnsi"/>
        </w:rPr>
        <w:t xml:space="preserve">Acronyms: </w:t>
      </w:r>
      <w:r w:rsidRPr="00990D3B">
        <w:t>MCP= Managed Care Plan; PIP = Performance Improvement Project; EQRO = External Quality Review Organizatio</w:t>
      </w:r>
      <w:r w:rsidRPr="00990D3B">
        <w:t>n</w:t>
      </w:r>
    </w:p>
    <w:p w:rsidR="00BD3E44" w:rsidRPr="00990D3B" w:rsidP="002B40CC" w14:paraId="5379CECF" w14:textId="5DD85CC6">
      <w:pPr>
        <w:pStyle w:val="H2EQRWorksheet"/>
      </w:pPr>
      <w:r w:rsidRPr="00990D3B">
        <w:t xml:space="preserve">Overall PIP Validation Ratings   </w:t>
      </w:r>
    </w:p>
    <w:tbl>
      <w:tblPr>
        <w:tblStyle w:val="TableGrid"/>
        <w:tblW w:w="5000" w:type="pct"/>
        <w:tblLook w:val="04A0"/>
      </w:tblPr>
      <w:tblGrid>
        <w:gridCol w:w="891"/>
        <w:gridCol w:w="2103"/>
        <w:gridCol w:w="2209"/>
        <w:gridCol w:w="2082"/>
        <w:gridCol w:w="2764"/>
        <w:gridCol w:w="2901"/>
      </w:tblGrid>
      <w:tr w14:paraId="7401E2C7" w14:textId="77777777" w:rsidTr="00E7156E">
        <w:tblPrEx>
          <w:tblW w:w="5000" w:type="pct"/>
          <w:tblLook w:val="04A0"/>
        </w:tblPrEx>
        <w:tc>
          <w:tcPr>
            <w:tcW w:w="344" w:type="pct"/>
            <w:vAlign w:val="bottom"/>
          </w:tcPr>
          <w:p w:rsidR="00EB34AE" w:rsidRPr="00990D3B" w:rsidP="00E7156E" w14:paraId="1F5A505D" w14:textId="77777777">
            <w:pPr>
              <w:pStyle w:val="TableHeaderLeft"/>
            </w:pPr>
            <w:bookmarkStart w:id="220" w:name="_Hlk158990838"/>
            <w:r w:rsidRPr="00990D3B">
              <w:t>MCP</w:t>
            </w:r>
          </w:p>
        </w:tc>
        <w:tc>
          <w:tcPr>
            <w:tcW w:w="812" w:type="pct"/>
            <w:vAlign w:val="bottom"/>
          </w:tcPr>
          <w:p w:rsidR="00EB34AE" w:rsidRPr="00990D3B" w:rsidP="00E7156E" w14:paraId="66C9B92E" w14:textId="77777777">
            <w:pPr>
              <w:pStyle w:val="TableHeaderCenter"/>
            </w:pPr>
            <w:r w:rsidRPr="00990D3B">
              <w:t xml:space="preserve">PIP </w:t>
            </w:r>
          </w:p>
        </w:tc>
        <w:tc>
          <w:tcPr>
            <w:tcW w:w="853" w:type="pct"/>
            <w:vAlign w:val="bottom"/>
          </w:tcPr>
          <w:p w:rsidR="00EB34AE" w:rsidRPr="00990D3B" w:rsidP="00E7156E" w14:paraId="63D1F8CB" w14:textId="0EE10ECB">
            <w:pPr>
              <w:pStyle w:val="TableHeaderCenter"/>
              <w:rPr>
                <w:vertAlign w:val="superscript"/>
              </w:rPr>
            </w:pPr>
            <w:r w:rsidRPr="00990D3B">
              <w:t xml:space="preserve">PIP </w:t>
            </w:r>
            <w:r w:rsidRPr="00990D3B" w:rsidR="00BC2841">
              <w:t>m</w:t>
            </w:r>
            <w:r w:rsidRPr="00990D3B">
              <w:t xml:space="preserve">ethodology and </w:t>
            </w:r>
            <w:r w:rsidRPr="00990D3B" w:rsidR="00BC2841">
              <w:t>i</w:t>
            </w:r>
            <w:r w:rsidRPr="00990D3B">
              <w:t xml:space="preserve">mplementation </w:t>
            </w:r>
            <w:r w:rsidRPr="00990D3B" w:rsidR="00BC2841">
              <w:t>v</w:t>
            </w:r>
            <w:r w:rsidRPr="00990D3B">
              <w:t xml:space="preserve">alidation </w:t>
            </w:r>
            <w:r w:rsidRPr="00990D3B" w:rsidR="00BC2841">
              <w:t>r</w:t>
            </w:r>
            <w:r w:rsidRPr="00990D3B">
              <w:t>ating</w:t>
            </w:r>
          </w:p>
        </w:tc>
        <w:tc>
          <w:tcPr>
            <w:tcW w:w="804" w:type="pct"/>
            <w:vAlign w:val="bottom"/>
          </w:tcPr>
          <w:p w:rsidR="00EB34AE" w:rsidRPr="00990D3B" w:rsidP="00E7156E" w14:paraId="094270D8" w14:textId="61015F07">
            <w:pPr>
              <w:pStyle w:val="TableHeaderCenter"/>
              <w:rPr>
                <w:vertAlign w:val="superscript"/>
              </w:rPr>
            </w:pPr>
            <w:r w:rsidRPr="00990D3B">
              <w:t xml:space="preserve">PIP </w:t>
            </w:r>
            <w:r w:rsidRPr="00990D3B" w:rsidR="00BC2841">
              <w:t>i</w:t>
            </w:r>
            <w:r w:rsidRPr="00990D3B">
              <w:t xml:space="preserve">mprovement </w:t>
            </w:r>
            <w:r w:rsidRPr="00990D3B" w:rsidR="00BC2841">
              <w:t>s</w:t>
            </w:r>
            <w:r w:rsidRPr="00990D3B">
              <w:t xml:space="preserve">trategies </w:t>
            </w:r>
            <w:r w:rsidRPr="00990D3B" w:rsidR="00BC2841">
              <w:t>v</w:t>
            </w:r>
            <w:r w:rsidRPr="00990D3B">
              <w:t xml:space="preserve">alidation </w:t>
            </w:r>
            <w:r w:rsidRPr="00990D3B" w:rsidR="00BC2841">
              <w:t>r</w:t>
            </w:r>
            <w:r w:rsidRPr="00990D3B">
              <w:t>ating</w:t>
            </w:r>
          </w:p>
        </w:tc>
        <w:tc>
          <w:tcPr>
            <w:tcW w:w="1067" w:type="pct"/>
            <w:vAlign w:val="bottom"/>
          </w:tcPr>
          <w:p w:rsidR="00EB34AE" w:rsidRPr="00990D3B" w:rsidP="00E7156E" w14:paraId="54EFD3ED" w14:textId="636F2E72">
            <w:pPr>
              <w:pStyle w:val="TableHeaderCenter"/>
            </w:pPr>
            <w:r w:rsidRPr="00990D3B">
              <w:t xml:space="preserve">EQRO </w:t>
            </w:r>
            <w:r w:rsidRPr="00990D3B" w:rsidR="00BC2841">
              <w:t>r</w:t>
            </w:r>
            <w:r w:rsidRPr="00990D3B">
              <w:t>ecommendations</w:t>
            </w:r>
          </w:p>
        </w:tc>
        <w:tc>
          <w:tcPr>
            <w:tcW w:w="1120" w:type="pct"/>
            <w:vAlign w:val="bottom"/>
          </w:tcPr>
          <w:p w:rsidR="00EB34AE" w:rsidRPr="00990D3B" w:rsidP="00E7156E" w14:paraId="657DEBAD" w14:textId="27696976">
            <w:pPr>
              <w:pStyle w:val="TableHeaderCenter"/>
            </w:pPr>
            <w:r w:rsidRPr="00990D3B">
              <w:t xml:space="preserve">EQRO </w:t>
            </w:r>
            <w:r w:rsidRPr="00990D3B" w:rsidR="00BC2841">
              <w:t>c</w:t>
            </w:r>
            <w:r w:rsidRPr="00990D3B">
              <w:t>omments</w:t>
            </w:r>
          </w:p>
        </w:tc>
      </w:tr>
      <w:tr w14:paraId="30F1EE06" w14:textId="77777777" w:rsidTr="00E7156E">
        <w:tblPrEx>
          <w:tblW w:w="5000" w:type="pct"/>
          <w:tblLook w:val="04A0"/>
        </w:tblPrEx>
        <w:tc>
          <w:tcPr>
            <w:tcW w:w="344" w:type="pct"/>
            <w:vMerge w:val="restart"/>
          </w:tcPr>
          <w:p w:rsidR="003B4621" w:rsidRPr="00990D3B" w:rsidP="00E7156E" w14:paraId="57D4C3A4" w14:textId="5A6616DD">
            <w:pPr>
              <w:pStyle w:val="EQRTableText"/>
            </w:pPr>
          </w:p>
        </w:tc>
        <w:tc>
          <w:tcPr>
            <w:tcW w:w="812" w:type="pct"/>
          </w:tcPr>
          <w:p w:rsidR="003B4621" w:rsidRPr="00990D3B" w:rsidP="00363B07" w14:paraId="186245FE" w14:textId="29C14645">
            <w:pPr>
              <w:keepNext/>
              <w:rPr>
                <w:rFonts w:asciiTheme="majorHAnsi" w:hAnsiTheme="majorHAnsi" w:cstheme="majorHAnsi"/>
                <w:i/>
                <w:iCs/>
                <w:sz w:val="18"/>
                <w:szCs w:val="18"/>
              </w:rPr>
            </w:pPr>
          </w:p>
        </w:tc>
        <w:tc>
          <w:tcPr>
            <w:tcW w:w="853" w:type="pct"/>
          </w:tcPr>
          <w:p w:rsidR="003B4621" w:rsidRPr="00990D3B" w:rsidP="00E7156E" w14:paraId="243E5A6E" w14:textId="59A08654">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High confidence</w:t>
            </w:r>
          </w:p>
          <w:p w:rsidR="00992D7E" w:rsidRPr="00990D3B" w:rsidP="00E7156E" w14:paraId="5B2CE8E8" w14:textId="195D8924">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Moderate confidence</w:t>
            </w:r>
          </w:p>
          <w:p w:rsidR="00992D7E" w:rsidRPr="00990D3B" w:rsidP="00E7156E" w14:paraId="54F12007" w14:textId="629D5DD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Low confidence</w:t>
            </w:r>
          </w:p>
          <w:p w:rsidR="00992D7E" w:rsidRPr="00990D3B" w:rsidP="00E7156E" w14:paraId="0D23EBD5" w14:textId="4CC9E34B">
            <w:pPr>
              <w:pStyle w:val="EQRTableText"/>
              <w:rPr>
                <w:i/>
                <w:iCs/>
              </w:rPr>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 confidence</w:t>
            </w:r>
          </w:p>
        </w:tc>
        <w:tc>
          <w:tcPr>
            <w:tcW w:w="804" w:type="pct"/>
          </w:tcPr>
          <w:p w:rsidR="00992D7E" w:rsidRPr="00990D3B" w:rsidP="00E7156E" w14:paraId="7CDBA504"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High confidence</w:t>
            </w:r>
          </w:p>
          <w:p w:rsidR="00992D7E" w:rsidRPr="00990D3B" w:rsidP="00E7156E" w14:paraId="115697EC"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Moderate confidence</w:t>
            </w:r>
          </w:p>
          <w:p w:rsidR="00992D7E" w:rsidRPr="00990D3B" w:rsidP="00E7156E" w14:paraId="420EE9D0"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Low confidence</w:t>
            </w:r>
          </w:p>
          <w:p w:rsidR="00992D7E" w:rsidRPr="00990D3B" w:rsidP="00E7156E" w14:paraId="2344F867"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 confidence</w:t>
            </w:r>
          </w:p>
          <w:p w:rsidR="00EB34AE" w:rsidRPr="00990D3B" w:rsidP="00E7156E" w14:paraId="361AF397" w14:textId="62B28B26">
            <w:pPr>
              <w:pStyle w:val="EQRTableText"/>
              <w:rPr>
                <w:i/>
                <w:iCs/>
              </w:rPr>
            </w:pPr>
            <w:r w:rsidRPr="00990D3B">
              <w:fldChar w:fldCharType="begin">
                <w:ffData>
                  <w:name w:val="Check9"/>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Not applicable—PIP is in </w:t>
            </w:r>
            <w:r w:rsidRPr="00990D3B" w:rsidR="00B45469">
              <w:t xml:space="preserve">the </w:t>
            </w:r>
            <w:r w:rsidRPr="00990D3B">
              <w:t xml:space="preserve">planning or implementation phase, </w:t>
            </w:r>
            <w:r w:rsidRPr="00990D3B" w:rsidR="00B45469">
              <w:t xml:space="preserve">and </w:t>
            </w:r>
            <w:r w:rsidRPr="00990D3B">
              <w:t>results not available</w:t>
            </w:r>
          </w:p>
        </w:tc>
        <w:tc>
          <w:tcPr>
            <w:tcW w:w="1067" w:type="pct"/>
          </w:tcPr>
          <w:p w:rsidR="003B4621" w:rsidRPr="00990D3B" w:rsidP="00363B07" w14:paraId="42FFBDF3" w14:textId="57B5CE53">
            <w:pPr>
              <w:keepNext/>
              <w:rPr>
                <w:rFonts w:asciiTheme="majorHAnsi" w:hAnsiTheme="majorHAnsi" w:cstheme="majorHAnsi"/>
                <w:i/>
                <w:iCs/>
                <w:sz w:val="18"/>
                <w:szCs w:val="18"/>
              </w:rPr>
            </w:pPr>
          </w:p>
        </w:tc>
        <w:tc>
          <w:tcPr>
            <w:tcW w:w="1120" w:type="pct"/>
          </w:tcPr>
          <w:p w:rsidR="003B4621" w:rsidRPr="00990D3B" w:rsidP="00363B07" w14:paraId="378185A4" w14:textId="77777777">
            <w:pPr>
              <w:keepNext/>
              <w:rPr>
                <w:rFonts w:asciiTheme="majorHAnsi" w:hAnsiTheme="majorHAnsi" w:cstheme="majorHAnsi"/>
                <w:i/>
                <w:iCs/>
                <w:sz w:val="18"/>
                <w:szCs w:val="18"/>
              </w:rPr>
            </w:pPr>
          </w:p>
        </w:tc>
      </w:tr>
      <w:tr w14:paraId="6450707D" w14:textId="77777777" w:rsidTr="00E7156E">
        <w:tblPrEx>
          <w:tblW w:w="5000" w:type="pct"/>
          <w:tblLook w:val="04A0"/>
        </w:tblPrEx>
        <w:tc>
          <w:tcPr>
            <w:tcW w:w="344" w:type="pct"/>
            <w:vMerge/>
            <w:tcBorders>
              <w:bottom w:val="single" w:sz="4" w:space="0" w:color="auto"/>
            </w:tcBorders>
          </w:tcPr>
          <w:p w:rsidR="00992D7E" w:rsidRPr="00990D3B" w:rsidP="00992D7E" w14:paraId="36B15D19" w14:textId="77777777">
            <w:pPr>
              <w:rPr>
                <w:rFonts w:asciiTheme="majorHAnsi" w:hAnsiTheme="majorHAnsi" w:cstheme="majorHAnsi"/>
                <w:sz w:val="18"/>
                <w:szCs w:val="18"/>
              </w:rPr>
            </w:pPr>
          </w:p>
        </w:tc>
        <w:tc>
          <w:tcPr>
            <w:tcW w:w="812" w:type="pct"/>
            <w:tcBorders>
              <w:bottom w:val="single" w:sz="4" w:space="0" w:color="auto"/>
            </w:tcBorders>
          </w:tcPr>
          <w:p w:rsidR="00992D7E" w:rsidRPr="00990D3B" w:rsidP="00992D7E" w14:paraId="4D4D69F0" w14:textId="0FDAB39C">
            <w:pPr>
              <w:rPr>
                <w:rFonts w:asciiTheme="majorHAnsi" w:hAnsiTheme="majorHAnsi" w:cstheme="majorHAnsi"/>
                <w:sz w:val="18"/>
                <w:szCs w:val="18"/>
              </w:rPr>
            </w:pPr>
          </w:p>
        </w:tc>
        <w:tc>
          <w:tcPr>
            <w:tcW w:w="853" w:type="pct"/>
            <w:tcBorders>
              <w:bottom w:val="single" w:sz="4" w:space="0" w:color="auto"/>
            </w:tcBorders>
          </w:tcPr>
          <w:p w:rsidR="00992D7E" w:rsidRPr="00990D3B" w:rsidP="00E7156E" w14:paraId="785F12E4"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High confidence</w:t>
            </w:r>
          </w:p>
          <w:p w:rsidR="00992D7E" w:rsidRPr="00990D3B" w:rsidP="00992D7E" w14:paraId="72649B8D" w14:textId="77777777">
            <w:pPr>
              <w:keepNext/>
              <w:rPr>
                <w:rFonts w:asciiTheme="majorHAnsi" w:hAnsiTheme="majorHAnsi" w:cstheme="majorHAnsi"/>
                <w:sz w:val="18"/>
                <w:szCs w:val="18"/>
              </w:rPr>
            </w:pPr>
            <w:r w:rsidRPr="00990D3B">
              <w:rPr>
                <w:rFonts w:asciiTheme="majorHAnsi" w:hAnsiTheme="majorHAnsi" w:cstheme="majorHAnsi"/>
                <w:sz w:val="18"/>
                <w:szCs w:val="18"/>
              </w:rPr>
              <w:fldChar w:fldCharType="begin">
                <w:ffData>
                  <w:name w:val="Check1"/>
                  <w:enabled/>
                  <w:calcOnExit w:val="0"/>
                  <w:checkBox>
                    <w:sizeAuto/>
                    <w:default w:val="0"/>
                  </w:checkBox>
                </w:ffData>
              </w:fldChar>
            </w:r>
            <w:r w:rsidRPr="00990D3B">
              <w:rPr>
                <w:rFonts w:asciiTheme="majorHAnsi" w:hAnsiTheme="majorHAnsi" w:cstheme="majorHAnsi"/>
                <w:sz w:val="18"/>
                <w:szCs w:val="18"/>
              </w:rPr>
              <w:instrText xml:space="preserve"> FORMCHECKBOX </w:instrText>
            </w:r>
            <w:r w:rsidRPr="00990D3B">
              <w:rPr>
                <w:rFonts w:asciiTheme="majorHAnsi" w:hAnsiTheme="majorHAnsi" w:cstheme="majorHAnsi"/>
                <w:sz w:val="18"/>
                <w:szCs w:val="18"/>
              </w:rPr>
              <w:fldChar w:fldCharType="separate"/>
            </w:r>
            <w:r w:rsidRPr="00990D3B">
              <w:rPr>
                <w:rFonts w:asciiTheme="majorHAnsi" w:hAnsiTheme="majorHAnsi" w:cstheme="majorHAnsi"/>
                <w:sz w:val="18"/>
                <w:szCs w:val="18"/>
              </w:rPr>
              <w:fldChar w:fldCharType="end"/>
            </w:r>
            <w:r w:rsidRPr="00990D3B">
              <w:rPr>
                <w:rFonts w:asciiTheme="majorHAnsi" w:hAnsiTheme="majorHAnsi" w:cstheme="majorHAnsi"/>
                <w:sz w:val="18"/>
                <w:szCs w:val="18"/>
              </w:rPr>
              <w:t>Moderate confidence</w:t>
            </w:r>
          </w:p>
          <w:p w:rsidR="00992D7E" w:rsidRPr="00990D3B" w:rsidP="00E7156E" w14:paraId="18B071A0"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Low confidence</w:t>
            </w:r>
          </w:p>
          <w:p w:rsidR="00992D7E" w:rsidRPr="00990D3B" w:rsidP="00E7156E" w14:paraId="2DE5FE92" w14:textId="4403D546">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 confidence</w:t>
            </w:r>
          </w:p>
        </w:tc>
        <w:tc>
          <w:tcPr>
            <w:tcW w:w="804" w:type="pct"/>
            <w:tcBorders>
              <w:bottom w:val="single" w:sz="4" w:space="0" w:color="auto"/>
            </w:tcBorders>
          </w:tcPr>
          <w:p w:rsidR="00992D7E" w:rsidRPr="00990D3B" w:rsidP="00E7156E" w14:paraId="2EB9D845"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High confidence</w:t>
            </w:r>
          </w:p>
          <w:p w:rsidR="00992D7E" w:rsidRPr="00990D3B" w:rsidP="00E7156E" w14:paraId="2AAA986C"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Moderate confidence</w:t>
            </w:r>
          </w:p>
          <w:p w:rsidR="00992D7E" w:rsidRPr="00990D3B" w:rsidP="00E7156E" w14:paraId="6DA63A67"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Low confidence</w:t>
            </w:r>
          </w:p>
          <w:p w:rsidR="00992D7E" w:rsidRPr="00990D3B" w:rsidP="00E7156E" w14:paraId="45781A7B"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 confidence</w:t>
            </w:r>
          </w:p>
          <w:p w:rsidR="00EB34AE" w:rsidRPr="00990D3B" w:rsidP="00E7156E" w14:paraId="6B63ED78" w14:textId="009F0726">
            <w:pPr>
              <w:pStyle w:val="EQRTableText"/>
              <w:rPr>
                <w:i/>
                <w:iCs/>
              </w:rPr>
            </w:pPr>
            <w:r w:rsidRPr="00990D3B">
              <w:fldChar w:fldCharType="begin">
                <w:ffData>
                  <w:name w:val="Check9"/>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Not applicable—PIP is in </w:t>
            </w:r>
            <w:r w:rsidRPr="00990D3B" w:rsidR="00B45469">
              <w:t xml:space="preserve">the </w:t>
            </w:r>
            <w:r w:rsidRPr="00990D3B">
              <w:t xml:space="preserve">planning or implementation phase, </w:t>
            </w:r>
            <w:r w:rsidRPr="00990D3B" w:rsidR="00B45469">
              <w:t xml:space="preserve">and </w:t>
            </w:r>
            <w:r w:rsidRPr="00990D3B">
              <w:t>results not available</w:t>
            </w:r>
          </w:p>
        </w:tc>
        <w:tc>
          <w:tcPr>
            <w:tcW w:w="1067" w:type="pct"/>
            <w:tcBorders>
              <w:bottom w:val="single" w:sz="4" w:space="0" w:color="auto"/>
            </w:tcBorders>
          </w:tcPr>
          <w:p w:rsidR="00992D7E" w:rsidRPr="00990D3B" w:rsidP="00992D7E" w14:paraId="739A0AE7" w14:textId="19880B55">
            <w:pPr>
              <w:rPr>
                <w:rFonts w:asciiTheme="majorHAnsi" w:hAnsiTheme="majorHAnsi" w:cstheme="majorHAnsi"/>
                <w:sz w:val="18"/>
                <w:szCs w:val="18"/>
              </w:rPr>
            </w:pPr>
          </w:p>
        </w:tc>
        <w:tc>
          <w:tcPr>
            <w:tcW w:w="1120" w:type="pct"/>
            <w:tcBorders>
              <w:bottom w:val="single" w:sz="4" w:space="0" w:color="auto"/>
            </w:tcBorders>
          </w:tcPr>
          <w:p w:rsidR="00992D7E" w:rsidRPr="00990D3B" w:rsidP="00992D7E" w14:paraId="7458A574" w14:textId="77777777">
            <w:pPr>
              <w:rPr>
                <w:rFonts w:asciiTheme="majorHAnsi" w:hAnsiTheme="majorHAnsi" w:cstheme="majorHAnsi"/>
                <w:i/>
                <w:iCs/>
                <w:sz w:val="18"/>
                <w:szCs w:val="18"/>
              </w:rPr>
            </w:pPr>
          </w:p>
        </w:tc>
      </w:tr>
    </w:tbl>
    <w:bookmarkEnd w:id="220"/>
    <w:p w:rsidR="00EB34AE" w:rsidRPr="00990D3B" w:rsidP="002B40CC" w14:paraId="2B628A05" w14:textId="4EDCD4AF">
      <w:pPr>
        <w:pStyle w:val="H2EQRWorksheet"/>
      </w:pPr>
      <w:r w:rsidRPr="00990D3B">
        <w:t xml:space="preserve">PIP Validation </w:t>
      </w:r>
      <w:r w:rsidRPr="00990D3B" w:rsidR="00B45469">
        <w:t>Rating</w:t>
      </w:r>
      <w:r w:rsidRPr="00990D3B" w:rsidR="004C1250">
        <w:t xml:space="preserve"> Definitions</w:t>
      </w:r>
      <w:r w:rsidRPr="00990D3B" w:rsidR="00FF3472">
        <w:t xml:space="preserve"> (</w:t>
      </w:r>
      <w:r w:rsidRPr="00990D3B" w:rsidR="00A1272B">
        <w:t>i</w:t>
      </w:r>
      <w:r w:rsidRPr="00990D3B" w:rsidR="00FF3472">
        <w:t xml:space="preserve">f </w:t>
      </w:r>
      <w:r w:rsidRPr="00990D3B" w:rsidR="00A1272B">
        <w:t>a</w:t>
      </w:r>
      <w:r w:rsidRPr="00990D3B" w:rsidR="00FF3472">
        <w:t xml:space="preserve">pplicable) </w:t>
      </w:r>
    </w:p>
    <w:tbl>
      <w:tblPr>
        <w:tblStyle w:val="TableGrid5"/>
        <w:tblW w:w="5051" w:type="pct"/>
        <w:tblLook w:val="04A0"/>
      </w:tblPr>
      <w:tblGrid>
        <w:gridCol w:w="3482"/>
        <w:gridCol w:w="9600"/>
      </w:tblGrid>
      <w:tr w14:paraId="3B18AA21" w14:textId="77777777" w:rsidTr="00BD1FC3">
        <w:tblPrEx>
          <w:tblW w:w="5051" w:type="pct"/>
          <w:tblLook w:val="04A0"/>
        </w:tblPrEx>
        <w:tc>
          <w:tcPr>
            <w:tcW w:w="1331" w:type="pct"/>
          </w:tcPr>
          <w:p w:rsidR="00EB34AE" w:rsidRPr="00990D3B" w:rsidP="00E7156E" w14:paraId="2F7C0768" w14:textId="43DC75FB">
            <w:pPr>
              <w:pStyle w:val="TableHeaderLeft"/>
            </w:pPr>
            <w:bookmarkStart w:id="221" w:name="_Hlk182900026"/>
            <w:r w:rsidRPr="00990D3B">
              <w:t xml:space="preserve">Validation </w:t>
            </w:r>
            <w:r w:rsidRPr="00990D3B" w:rsidR="00FF3472">
              <w:t>r</w:t>
            </w:r>
            <w:r w:rsidRPr="00990D3B">
              <w:t xml:space="preserve">ating </w:t>
            </w:r>
          </w:p>
        </w:tc>
        <w:tc>
          <w:tcPr>
            <w:tcW w:w="3669" w:type="pct"/>
          </w:tcPr>
          <w:p w:rsidR="00EB34AE" w:rsidRPr="00990D3B" w:rsidP="00E7156E" w14:paraId="4434DD40" w14:textId="77777777">
            <w:pPr>
              <w:pStyle w:val="TableHeaderCenter"/>
            </w:pPr>
            <w:r w:rsidRPr="00990D3B">
              <w:t>Description</w:t>
            </w:r>
          </w:p>
        </w:tc>
      </w:tr>
      <w:tr w14:paraId="0734893A" w14:textId="77777777" w:rsidTr="00BD1FC3">
        <w:tblPrEx>
          <w:tblW w:w="5051" w:type="pct"/>
          <w:tblLook w:val="04A0"/>
        </w:tblPrEx>
        <w:tc>
          <w:tcPr>
            <w:tcW w:w="5000" w:type="pct"/>
            <w:gridSpan w:val="2"/>
          </w:tcPr>
          <w:p w:rsidR="00EB34AE" w:rsidRPr="00990D3B" w:rsidP="00E7156E" w14:paraId="3C439193" w14:textId="77777777">
            <w:pPr>
              <w:pStyle w:val="TableRowHead"/>
            </w:pPr>
            <w:r w:rsidRPr="00990D3B">
              <w:t xml:space="preserve">PIP methodology and implementation </w:t>
            </w:r>
          </w:p>
        </w:tc>
      </w:tr>
      <w:tr w14:paraId="5175753A" w14:textId="77777777" w:rsidTr="00BD1FC3">
        <w:tblPrEx>
          <w:tblW w:w="5051" w:type="pct"/>
          <w:tblLook w:val="04A0"/>
        </w:tblPrEx>
        <w:tc>
          <w:tcPr>
            <w:tcW w:w="1331" w:type="pct"/>
          </w:tcPr>
          <w:p w:rsidR="00EB34AE" w:rsidRPr="00990D3B" w:rsidP="00E7156E" w14:paraId="05811ADD" w14:textId="6453308F">
            <w:pPr>
              <w:pStyle w:val="EQRTableText"/>
            </w:pPr>
          </w:p>
        </w:tc>
        <w:tc>
          <w:tcPr>
            <w:tcW w:w="3669" w:type="pct"/>
          </w:tcPr>
          <w:p w:rsidR="00EB34AE" w:rsidRPr="00990D3B" w:rsidP="00E7156E" w14:paraId="44F04AE1" w14:textId="7547F371">
            <w:pPr>
              <w:pStyle w:val="EQRTableText"/>
            </w:pPr>
          </w:p>
        </w:tc>
      </w:tr>
      <w:tr w14:paraId="2B4F01F4" w14:textId="77777777" w:rsidTr="00BD1FC3">
        <w:tblPrEx>
          <w:tblW w:w="5051" w:type="pct"/>
          <w:tblLook w:val="04A0"/>
        </w:tblPrEx>
        <w:tc>
          <w:tcPr>
            <w:tcW w:w="1331" w:type="pct"/>
          </w:tcPr>
          <w:p w:rsidR="00EB34AE" w:rsidRPr="00990D3B" w:rsidP="00E7156E" w14:paraId="221F0398" w14:textId="77777777">
            <w:pPr>
              <w:pStyle w:val="EQRTableText"/>
            </w:pPr>
          </w:p>
        </w:tc>
        <w:tc>
          <w:tcPr>
            <w:tcW w:w="3669" w:type="pct"/>
          </w:tcPr>
          <w:p w:rsidR="00EB34AE" w:rsidRPr="00990D3B" w:rsidP="00E7156E" w14:paraId="1AD9A9AD" w14:textId="77777777">
            <w:pPr>
              <w:pStyle w:val="EQRTableText"/>
            </w:pPr>
          </w:p>
        </w:tc>
      </w:tr>
      <w:tr w14:paraId="1DE01519" w14:textId="77777777" w:rsidTr="00BD1FC3">
        <w:tblPrEx>
          <w:tblW w:w="5051" w:type="pct"/>
          <w:tblLook w:val="04A0"/>
        </w:tblPrEx>
        <w:tc>
          <w:tcPr>
            <w:tcW w:w="1331" w:type="pct"/>
          </w:tcPr>
          <w:p w:rsidR="00EB34AE" w:rsidRPr="00990D3B" w:rsidP="00E7156E" w14:paraId="110AB8A6" w14:textId="77777777">
            <w:pPr>
              <w:pStyle w:val="EQRTableText"/>
            </w:pPr>
          </w:p>
        </w:tc>
        <w:tc>
          <w:tcPr>
            <w:tcW w:w="3669" w:type="pct"/>
          </w:tcPr>
          <w:p w:rsidR="00EB34AE" w:rsidRPr="00990D3B" w:rsidP="00E7156E" w14:paraId="635A64F6" w14:textId="77777777">
            <w:pPr>
              <w:pStyle w:val="EQRTableText"/>
            </w:pPr>
          </w:p>
        </w:tc>
      </w:tr>
      <w:tr w14:paraId="74DD140D" w14:textId="77777777" w:rsidTr="00BD1FC3">
        <w:tblPrEx>
          <w:tblW w:w="5051" w:type="pct"/>
          <w:tblLook w:val="04A0"/>
        </w:tblPrEx>
        <w:tc>
          <w:tcPr>
            <w:tcW w:w="5000" w:type="pct"/>
            <w:gridSpan w:val="2"/>
          </w:tcPr>
          <w:p w:rsidR="00EB34AE" w:rsidRPr="00990D3B" w:rsidP="00E7156E" w14:paraId="389630DB" w14:textId="77777777">
            <w:pPr>
              <w:pStyle w:val="TableRowHead"/>
            </w:pPr>
            <w:r w:rsidRPr="00990D3B">
              <w:t xml:space="preserve">PIP improvement strategies </w:t>
            </w:r>
          </w:p>
        </w:tc>
      </w:tr>
      <w:tr w14:paraId="75C1C0B8" w14:textId="77777777" w:rsidTr="00BD1FC3">
        <w:tblPrEx>
          <w:tblW w:w="5051" w:type="pct"/>
          <w:tblLook w:val="04A0"/>
        </w:tblPrEx>
        <w:tc>
          <w:tcPr>
            <w:tcW w:w="1331" w:type="pct"/>
          </w:tcPr>
          <w:p w:rsidR="00EB34AE" w:rsidRPr="00990D3B" w:rsidP="00E7156E" w14:paraId="60573666" w14:textId="6CB2162A">
            <w:pPr>
              <w:pStyle w:val="EQRTableText"/>
            </w:pPr>
          </w:p>
        </w:tc>
        <w:tc>
          <w:tcPr>
            <w:tcW w:w="3669" w:type="pct"/>
          </w:tcPr>
          <w:p w:rsidR="00EB34AE" w:rsidRPr="00990D3B" w:rsidP="00E7156E" w14:paraId="0CCED4AE" w14:textId="208D6D98">
            <w:pPr>
              <w:pStyle w:val="EQRTableText"/>
            </w:pPr>
          </w:p>
        </w:tc>
      </w:tr>
      <w:tr w14:paraId="21BCE5F1" w14:textId="77777777" w:rsidTr="00BD1FC3">
        <w:tblPrEx>
          <w:tblW w:w="5051" w:type="pct"/>
          <w:tblLook w:val="04A0"/>
        </w:tblPrEx>
        <w:tc>
          <w:tcPr>
            <w:tcW w:w="1331" w:type="pct"/>
          </w:tcPr>
          <w:p w:rsidR="00EB34AE" w:rsidRPr="00990D3B" w:rsidP="00E7156E" w14:paraId="250B44D0" w14:textId="77777777">
            <w:pPr>
              <w:pStyle w:val="EQRTableText"/>
            </w:pPr>
          </w:p>
        </w:tc>
        <w:tc>
          <w:tcPr>
            <w:tcW w:w="3669" w:type="pct"/>
          </w:tcPr>
          <w:p w:rsidR="00EB34AE" w:rsidRPr="00990D3B" w:rsidP="00E7156E" w14:paraId="3C5B9DAE" w14:textId="77777777">
            <w:pPr>
              <w:pStyle w:val="EQRTableText"/>
            </w:pPr>
          </w:p>
        </w:tc>
      </w:tr>
      <w:tr w14:paraId="42B7D642" w14:textId="77777777" w:rsidTr="00BD1FC3">
        <w:tblPrEx>
          <w:tblW w:w="5051" w:type="pct"/>
          <w:tblLook w:val="04A0"/>
        </w:tblPrEx>
        <w:tc>
          <w:tcPr>
            <w:tcW w:w="1331" w:type="pct"/>
          </w:tcPr>
          <w:p w:rsidR="00EB34AE" w:rsidRPr="00990D3B" w:rsidP="00E7156E" w14:paraId="66CE1E33" w14:textId="77777777">
            <w:pPr>
              <w:pStyle w:val="EQRTableText"/>
            </w:pPr>
          </w:p>
        </w:tc>
        <w:tc>
          <w:tcPr>
            <w:tcW w:w="3669" w:type="pct"/>
          </w:tcPr>
          <w:p w:rsidR="00EB34AE" w:rsidRPr="00990D3B" w:rsidP="00E7156E" w14:paraId="0C696797" w14:textId="77777777">
            <w:pPr>
              <w:pStyle w:val="EQRTableText"/>
            </w:pPr>
          </w:p>
        </w:tc>
      </w:tr>
    </w:tbl>
    <w:p w:rsidR="00735A11" w:rsidRPr="00990D3B" w:rsidP="00EE530D" w14:paraId="6BF3AB8C" w14:textId="56836C88">
      <w:pPr>
        <w:pStyle w:val="EQRMarkforExhibitWORKSHEET"/>
      </w:pPr>
      <w:bookmarkStart w:id="222" w:name="_Toc201751490"/>
      <w:bookmarkEnd w:id="221"/>
      <w:r w:rsidRPr="00990D3B">
        <w:t xml:space="preserve">Example </w:t>
      </w:r>
      <w:r w:rsidRPr="00990D3B" w:rsidR="000608D2">
        <w:t xml:space="preserve">of </w:t>
      </w:r>
      <w:r w:rsidRPr="00990D3B">
        <w:t>Worksheet 1.12. PIP Validation</w:t>
      </w:r>
      <w:bookmarkEnd w:id="222"/>
      <w:r w:rsidRPr="00990D3B">
        <w:t xml:space="preserve"> </w:t>
      </w:r>
    </w:p>
    <w:tbl>
      <w:tblPr>
        <w:tblStyle w:val="TableGrid"/>
        <w:tblW w:w="5000" w:type="pct"/>
        <w:tblLook w:val="04A0"/>
      </w:tblPr>
      <w:tblGrid>
        <w:gridCol w:w="715"/>
        <w:gridCol w:w="1906"/>
        <w:gridCol w:w="2466"/>
        <w:gridCol w:w="2199"/>
        <w:gridCol w:w="3149"/>
        <w:gridCol w:w="2515"/>
      </w:tblGrid>
      <w:tr w14:paraId="67E2D8AC" w14:textId="77777777" w:rsidTr="00E005DE">
        <w:tblPrEx>
          <w:tblW w:w="5000" w:type="pct"/>
          <w:tblLook w:val="04A0"/>
        </w:tblPrEx>
        <w:tc>
          <w:tcPr>
            <w:tcW w:w="276" w:type="pct"/>
            <w:vAlign w:val="bottom"/>
          </w:tcPr>
          <w:p w:rsidR="00DE2DC9" w:rsidRPr="00990D3B" w:rsidP="00E005DE" w14:paraId="49825FA9" w14:textId="20CBDA15">
            <w:pPr>
              <w:pStyle w:val="TableHeaderLeft"/>
            </w:pPr>
            <w:r w:rsidRPr="00990D3B">
              <w:t>MCP</w:t>
            </w:r>
          </w:p>
        </w:tc>
        <w:tc>
          <w:tcPr>
            <w:tcW w:w="736" w:type="pct"/>
            <w:vAlign w:val="bottom"/>
          </w:tcPr>
          <w:p w:rsidR="00DE2DC9" w:rsidRPr="00990D3B" w:rsidP="00E005DE" w14:paraId="299CB914" w14:textId="326D20EF">
            <w:pPr>
              <w:pStyle w:val="TableHeaderCenter"/>
            </w:pPr>
            <w:r w:rsidRPr="00990D3B">
              <w:t xml:space="preserve">PIP </w:t>
            </w:r>
          </w:p>
        </w:tc>
        <w:tc>
          <w:tcPr>
            <w:tcW w:w="952" w:type="pct"/>
            <w:vAlign w:val="bottom"/>
          </w:tcPr>
          <w:p w:rsidR="00DE2DC9" w:rsidRPr="00990D3B" w:rsidP="00E005DE" w14:paraId="7C74F034" w14:textId="3DFC4651">
            <w:pPr>
              <w:pStyle w:val="TableHeaderCenter"/>
              <w:rPr>
                <w:vertAlign w:val="superscript"/>
              </w:rPr>
            </w:pPr>
            <w:r w:rsidRPr="00990D3B">
              <w:t>PIP methodology and implementation validation rating</w:t>
            </w:r>
          </w:p>
        </w:tc>
        <w:tc>
          <w:tcPr>
            <w:tcW w:w="849" w:type="pct"/>
            <w:vAlign w:val="bottom"/>
          </w:tcPr>
          <w:p w:rsidR="00DE2DC9" w:rsidRPr="00990D3B" w:rsidP="00E005DE" w14:paraId="2D300715" w14:textId="4DEFBC12">
            <w:pPr>
              <w:pStyle w:val="TableHeaderCenter"/>
              <w:rPr>
                <w:vertAlign w:val="superscript"/>
              </w:rPr>
            </w:pPr>
            <w:r w:rsidRPr="00990D3B">
              <w:t>PIP improvement strategies validation rating</w:t>
            </w:r>
          </w:p>
        </w:tc>
        <w:tc>
          <w:tcPr>
            <w:tcW w:w="1216" w:type="pct"/>
            <w:vAlign w:val="bottom"/>
          </w:tcPr>
          <w:p w:rsidR="00DE2DC9" w:rsidRPr="00990D3B" w:rsidP="00E005DE" w14:paraId="268C84C6" w14:textId="34EB4C3E">
            <w:pPr>
              <w:pStyle w:val="TableHeaderCenter"/>
            </w:pPr>
            <w:r w:rsidRPr="00990D3B">
              <w:t>EQRO recommendations</w:t>
            </w:r>
          </w:p>
        </w:tc>
        <w:tc>
          <w:tcPr>
            <w:tcW w:w="971" w:type="pct"/>
            <w:vAlign w:val="bottom"/>
          </w:tcPr>
          <w:p w:rsidR="00DE2DC9" w:rsidRPr="00990D3B" w:rsidP="00E005DE" w14:paraId="77CE7917" w14:textId="3297F5A0">
            <w:pPr>
              <w:pStyle w:val="TableHeaderCenter"/>
            </w:pPr>
            <w:r w:rsidRPr="00990D3B">
              <w:t>EQRO comments</w:t>
            </w:r>
          </w:p>
        </w:tc>
      </w:tr>
      <w:tr w14:paraId="4E691FBB" w14:textId="77777777" w:rsidTr="00E005DE">
        <w:tblPrEx>
          <w:tblW w:w="5000" w:type="pct"/>
          <w:tblLook w:val="04A0"/>
        </w:tblPrEx>
        <w:tc>
          <w:tcPr>
            <w:tcW w:w="276" w:type="pct"/>
            <w:vMerge w:val="restart"/>
          </w:tcPr>
          <w:p w:rsidR="00EB34AE" w:rsidRPr="00990D3B" w:rsidP="00756F6B" w14:paraId="2959E09C" w14:textId="15EE5B76">
            <w:pPr>
              <w:pStyle w:val="EQRTableText"/>
            </w:pPr>
            <w:r w:rsidRPr="00990D3B">
              <w:t xml:space="preserve">Plan </w:t>
            </w:r>
            <w:r w:rsidRPr="00990D3B">
              <w:t>A</w:t>
            </w:r>
          </w:p>
        </w:tc>
        <w:tc>
          <w:tcPr>
            <w:tcW w:w="736" w:type="pct"/>
          </w:tcPr>
          <w:p w:rsidR="00EB34AE" w:rsidRPr="00990D3B" w:rsidP="00756F6B" w14:paraId="780A927E" w14:textId="77777777">
            <w:pPr>
              <w:pStyle w:val="EQRTableText"/>
            </w:pPr>
            <w:r w:rsidRPr="00990D3B">
              <w:t>Clinical PIP: Comprehensive Diabetes Care</w:t>
            </w:r>
          </w:p>
        </w:tc>
        <w:tc>
          <w:tcPr>
            <w:tcW w:w="952" w:type="pct"/>
          </w:tcPr>
          <w:p w:rsidR="00EB34AE" w:rsidRPr="00990D3B" w:rsidP="00756F6B" w14:paraId="48A2D319" w14:textId="77777777">
            <w:pPr>
              <w:pStyle w:val="EQRTableText"/>
            </w:pPr>
            <w:r w:rsidRPr="00990D3B">
              <w:fldChar w:fldCharType="begin">
                <w:ffData>
                  <w:name w:val=""/>
                  <w:enabled/>
                  <w:calcOnExit w:val="0"/>
                  <w:checkBox>
                    <w:sizeAuto/>
                    <w:default w:val="1"/>
                  </w:checkBox>
                </w:ffData>
              </w:fldChar>
            </w:r>
            <w:r w:rsidRPr="00990D3B">
              <w:instrText xml:space="preserve"> FORMCHECKBOX </w:instrText>
            </w:r>
            <w:r w:rsidRPr="00990D3B">
              <w:fldChar w:fldCharType="separate"/>
            </w:r>
            <w:r w:rsidRPr="00990D3B">
              <w:fldChar w:fldCharType="end"/>
            </w:r>
            <w:r w:rsidRPr="00990D3B">
              <w:t xml:space="preserve"> High confidence</w:t>
            </w:r>
          </w:p>
          <w:p w:rsidR="00EB34AE" w:rsidRPr="00990D3B" w:rsidP="00756F6B" w14:paraId="29895281"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Moderate confidence</w:t>
            </w:r>
          </w:p>
          <w:p w:rsidR="00EB34AE" w:rsidRPr="00990D3B" w:rsidP="00756F6B" w14:paraId="142EF256"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Low confidence</w:t>
            </w:r>
          </w:p>
          <w:p w:rsidR="00EB34AE" w:rsidRPr="00990D3B" w:rsidP="00756F6B" w14:paraId="68138E0E"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 confidence</w:t>
            </w:r>
          </w:p>
        </w:tc>
        <w:tc>
          <w:tcPr>
            <w:tcW w:w="849" w:type="pct"/>
          </w:tcPr>
          <w:p w:rsidR="00EB34AE" w:rsidRPr="00990D3B" w:rsidP="00756F6B" w14:paraId="513D8D7F"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High confidence</w:t>
            </w:r>
          </w:p>
          <w:p w:rsidR="00EB34AE" w:rsidRPr="00990D3B" w:rsidP="00756F6B" w14:paraId="416A15E1" w14:textId="77777777">
            <w:pPr>
              <w:pStyle w:val="EQRTableText"/>
            </w:pPr>
            <w:r w:rsidRPr="00990D3B">
              <w:fldChar w:fldCharType="begin">
                <w:ffData>
                  <w:name w:val=""/>
                  <w:enabled/>
                  <w:calcOnExit w:val="0"/>
                  <w:checkBox>
                    <w:sizeAuto/>
                    <w:default w:val="1"/>
                  </w:checkBox>
                </w:ffData>
              </w:fldChar>
            </w:r>
            <w:r w:rsidRPr="00990D3B">
              <w:instrText xml:space="preserve"> FORMCHECKBOX </w:instrText>
            </w:r>
            <w:r w:rsidRPr="00990D3B">
              <w:fldChar w:fldCharType="separate"/>
            </w:r>
            <w:r w:rsidRPr="00990D3B">
              <w:fldChar w:fldCharType="end"/>
            </w:r>
            <w:r w:rsidRPr="00990D3B">
              <w:t>Moderate confidence</w:t>
            </w:r>
          </w:p>
          <w:p w:rsidR="00EB34AE" w:rsidRPr="00990D3B" w:rsidP="00756F6B" w14:paraId="1DD6434A"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Low confidence</w:t>
            </w:r>
          </w:p>
          <w:p w:rsidR="00EB34AE" w:rsidRPr="00990D3B" w:rsidP="00756F6B" w14:paraId="7BCC9150"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 confidence</w:t>
            </w:r>
          </w:p>
          <w:p w:rsidR="00EB34AE" w:rsidRPr="00990D3B" w:rsidP="00756F6B" w14:paraId="3FE02C99" w14:textId="48866C06">
            <w:pPr>
              <w:pStyle w:val="EQRTableText"/>
            </w:pPr>
            <w:r w:rsidRPr="00990D3B">
              <w:fldChar w:fldCharType="begin">
                <w:ffData>
                  <w:name w:val="Check9"/>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Not applicable—PIP is in </w:t>
            </w:r>
            <w:r w:rsidRPr="00990D3B" w:rsidR="00B45469">
              <w:t xml:space="preserve">the </w:t>
            </w:r>
            <w:r w:rsidRPr="00990D3B">
              <w:t xml:space="preserve">planning or implementation phase, </w:t>
            </w:r>
            <w:r w:rsidRPr="00990D3B" w:rsidR="00B45469">
              <w:t xml:space="preserve">and </w:t>
            </w:r>
            <w:r w:rsidRPr="00990D3B">
              <w:t>results not available</w:t>
            </w:r>
          </w:p>
        </w:tc>
        <w:tc>
          <w:tcPr>
            <w:tcW w:w="1216" w:type="pct"/>
          </w:tcPr>
          <w:p w:rsidR="00D55795" w:rsidRPr="00990D3B" w:rsidP="00EB34AE" w14:paraId="1B44E5AE" w14:textId="3D2C9DAE">
            <w:pPr>
              <w:pStyle w:val="EQRTableTextbullet"/>
              <w:rPr>
                <w:rFonts w:asciiTheme="majorHAnsi" w:hAnsiTheme="majorHAnsi" w:cstheme="majorHAnsi"/>
                <w:szCs w:val="18"/>
              </w:rPr>
            </w:pPr>
            <w:r w:rsidRPr="00990D3B">
              <w:rPr>
                <w:rFonts w:asciiTheme="majorHAnsi" w:hAnsiTheme="majorHAnsi" w:cstheme="majorHAnsi"/>
                <w:szCs w:val="18"/>
              </w:rPr>
              <w:t>Introduce</w:t>
            </w:r>
            <w:r w:rsidRPr="00990D3B">
              <w:rPr>
                <w:rFonts w:asciiTheme="majorHAnsi" w:hAnsiTheme="majorHAnsi" w:cstheme="majorHAnsi"/>
                <w:szCs w:val="18"/>
              </w:rPr>
              <w:t xml:space="preserve"> real-time monitoring tools like clinical dashboards to track key indicators </w:t>
            </w:r>
          </w:p>
          <w:p w:rsidR="00D55795" w:rsidRPr="00990D3B" w:rsidP="00EB34AE" w14:paraId="338C8171" w14:textId="3F68761B">
            <w:pPr>
              <w:pStyle w:val="EQRTableTextbullet"/>
              <w:rPr>
                <w:rFonts w:asciiTheme="majorHAnsi" w:hAnsiTheme="majorHAnsi" w:cstheme="majorHAnsi"/>
                <w:szCs w:val="18"/>
              </w:rPr>
            </w:pPr>
            <w:r w:rsidRPr="00990D3B">
              <w:rPr>
                <w:rFonts w:asciiTheme="majorHAnsi" w:hAnsiTheme="majorHAnsi" w:cstheme="majorHAnsi"/>
                <w:szCs w:val="18"/>
              </w:rPr>
              <w:t xml:space="preserve">Establish regular feedback loops with providers to evaluate implementation fidelity </w:t>
            </w:r>
          </w:p>
          <w:p w:rsidR="00D55795" w:rsidRPr="00990D3B" w:rsidP="00EB34AE" w14:paraId="5F48534C" w14:textId="312D6486">
            <w:pPr>
              <w:pStyle w:val="EQRTableTextbullet"/>
              <w:rPr>
                <w:rFonts w:asciiTheme="majorHAnsi" w:hAnsiTheme="majorHAnsi" w:cstheme="majorHAnsi"/>
                <w:szCs w:val="18"/>
              </w:rPr>
            </w:pPr>
            <w:r w:rsidRPr="00990D3B">
              <w:rPr>
                <w:rFonts w:asciiTheme="majorHAnsi" w:hAnsiTheme="majorHAnsi" w:cstheme="majorHAnsi"/>
                <w:szCs w:val="18"/>
              </w:rPr>
              <w:t xml:space="preserve">Monitor patient-specific barriers to </w:t>
            </w:r>
            <w:r w:rsidRPr="00990D3B" w:rsidR="005A3430">
              <w:rPr>
                <w:rFonts w:asciiTheme="majorHAnsi" w:hAnsiTheme="majorHAnsi" w:cstheme="majorHAnsi"/>
                <w:szCs w:val="18"/>
              </w:rPr>
              <w:t xml:space="preserve">accessing </w:t>
            </w:r>
            <w:r w:rsidRPr="00990D3B">
              <w:rPr>
                <w:rFonts w:asciiTheme="majorHAnsi" w:hAnsiTheme="majorHAnsi" w:cstheme="majorHAnsi"/>
                <w:szCs w:val="18"/>
              </w:rPr>
              <w:t xml:space="preserve">care, such as transportation to appointments and health literacy </w:t>
            </w:r>
          </w:p>
          <w:p w:rsidR="00EB34AE" w:rsidRPr="00990D3B" w:rsidP="00EB34AE" w14:paraId="1F2CBA7E" w14:textId="43046935">
            <w:pPr>
              <w:pStyle w:val="EQRTableTextbullet"/>
              <w:rPr>
                <w:rFonts w:asciiTheme="majorHAnsi" w:hAnsiTheme="majorHAnsi" w:cstheme="majorHAnsi"/>
                <w:szCs w:val="18"/>
              </w:rPr>
            </w:pPr>
            <w:r w:rsidRPr="00990D3B">
              <w:rPr>
                <w:rFonts w:asciiTheme="majorHAnsi" w:hAnsiTheme="majorHAnsi" w:cstheme="majorHAnsi"/>
                <w:szCs w:val="18"/>
              </w:rPr>
              <w:t>Incorporate evidence-based diabetes care strategies such as a medication management program to support continued progress</w:t>
            </w:r>
          </w:p>
          <w:p w:rsidR="00D55795" w:rsidRPr="00990D3B" w:rsidP="00493BDA" w14:paraId="161BC4B3" w14:textId="043D90A9">
            <w:pPr>
              <w:pStyle w:val="EQRTableTextbullet"/>
              <w:rPr>
                <w:rFonts w:asciiTheme="majorHAnsi" w:hAnsiTheme="majorHAnsi" w:cstheme="majorHAnsi"/>
                <w:szCs w:val="18"/>
              </w:rPr>
            </w:pPr>
            <w:r w:rsidRPr="00990D3B">
              <w:rPr>
                <w:rFonts w:asciiTheme="majorHAnsi" w:hAnsiTheme="majorHAnsi" w:cstheme="majorHAnsi"/>
                <w:szCs w:val="18"/>
              </w:rPr>
              <w:t>Conduct subgroup analyses by stratifying data by race and ethnicity</w:t>
            </w:r>
            <w:r w:rsidRPr="00990D3B" w:rsidR="005A3430">
              <w:rPr>
                <w:rFonts w:asciiTheme="majorHAnsi" w:hAnsiTheme="majorHAnsi" w:cstheme="majorHAnsi"/>
                <w:szCs w:val="18"/>
              </w:rPr>
              <w:t xml:space="preserve"> or geography</w:t>
            </w:r>
            <w:r w:rsidRPr="00990D3B">
              <w:rPr>
                <w:rFonts w:asciiTheme="majorHAnsi" w:hAnsiTheme="majorHAnsi" w:cstheme="majorHAnsi"/>
                <w:szCs w:val="18"/>
              </w:rPr>
              <w:t xml:space="preserve"> to identify potential </w:t>
            </w:r>
            <w:r w:rsidRPr="00990D3B" w:rsidR="005A3430">
              <w:rPr>
                <w:rFonts w:asciiTheme="majorHAnsi" w:hAnsiTheme="majorHAnsi" w:cstheme="majorHAnsi"/>
                <w:szCs w:val="18"/>
              </w:rPr>
              <w:t>disparities</w:t>
            </w:r>
          </w:p>
        </w:tc>
        <w:tc>
          <w:tcPr>
            <w:tcW w:w="971" w:type="pct"/>
          </w:tcPr>
          <w:p w:rsidR="00EB34AE" w:rsidRPr="00990D3B" w:rsidP="00756F6B" w14:paraId="4255B5B5" w14:textId="659C875F">
            <w:pPr>
              <w:pStyle w:val="EQRTableText"/>
            </w:pPr>
            <w:r w:rsidRPr="00990D3B">
              <w:t xml:space="preserve">Methodology for all phases of design and data collection adhered to acceptable standards. Data analysis and interpretation of results were accurate. The interventions produced some evidence of improvement from baseline to </w:t>
            </w:r>
            <w:r w:rsidRPr="00990D3B" w:rsidR="00B45469">
              <w:t xml:space="preserve">the </w:t>
            </w:r>
            <w:r w:rsidRPr="00990D3B">
              <w:t xml:space="preserve">first remeasurement, but this was not sustained in the second remeasurement period. </w:t>
            </w:r>
          </w:p>
        </w:tc>
      </w:tr>
      <w:tr w14:paraId="27FA8514" w14:textId="77777777" w:rsidTr="00E005DE">
        <w:tblPrEx>
          <w:tblW w:w="5000" w:type="pct"/>
          <w:tblLook w:val="04A0"/>
        </w:tblPrEx>
        <w:tc>
          <w:tcPr>
            <w:tcW w:w="276" w:type="pct"/>
            <w:vMerge/>
            <w:tcBorders>
              <w:bottom w:val="single" w:sz="4" w:space="0" w:color="auto"/>
            </w:tcBorders>
          </w:tcPr>
          <w:p w:rsidR="00EB34AE" w:rsidRPr="00990D3B" w:rsidP="00363B07" w14:paraId="4F79C028" w14:textId="77777777">
            <w:pPr>
              <w:rPr>
                <w:rFonts w:asciiTheme="majorHAnsi" w:hAnsiTheme="majorHAnsi" w:cstheme="majorHAnsi"/>
                <w:sz w:val="18"/>
                <w:szCs w:val="18"/>
              </w:rPr>
            </w:pPr>
          </w:p>
        </w:tc>
        <w:tc>
          <w:tcPr>
            <w:tcW w:w="736" w:type="pct"/>
            <w:tcBorders>
              <w:bottom w:val="single" w:sz="4" w:space="0" w:color="auto"/>
            </w:tcBorders>
          </w:tcPr>
          <w:p w:rsidR="00EB34AE" w:rsidRPr="00990D3B" w:rsidP="00756F6B" w14:paraId="0CCD9B39" w14:textId="67EB0455">
            <w:pPr>
              <w:pStyle w:val="EQRTableText"/>
            </w:pPr>
            <w:r w:rsidRPr="00990D3B">
              <w:t xml:space="preserve">Non-clinical PIP: </w:t>
            </w:r>
            <w:r w:rsidRPr="00990D3B" w:rsidR="00D55795">
              <w:t xml:space="preserve">Increase Enrollment in </w:t>
            </w:r>
            <w:r w:rsidRPr="00990D3B" w:rsidR="00B45469">
              <w:t xml:space="preserve">the </w:t>
            </w:r>
            <w:r w:rsidRPr="00990D3B" w:rsidR="00D55795">
              <w:t>Wellness Program</w:t>
            </w:r>
          </w:p>
        </w:tc>
        <w:tc>
          <w:tcPr>
            <w:tcW w:w="952" w:type="pct"/>
            <w:tcBorders>
              <w:bottom w:val="single" w:sz="4" w:space="0" w:color="auto"/>
            </w:tcBorders>
          </w:tcPr>
          <w:p w:rsidR="00EB34AE" w:rsidRPr="00990D3B" w:rsidP="00756F6B" w14:paraId="46C88145" w14:textId="77777777">
            <w:pPr>
              <w:pStyle w:val="EQRTableText"/>
            </w:pPr>
            <w:r w:rsidRPr="00990D3B">
              <w:fldChar w:fldCharType="begin">
                <w:ffData>
                  <w:name w:val=""/>
                  <w:enabled/>
                  <w:calcOnExit w:val="0"/>
                  <w:checkBox>
                    <w:sizeAuto/>
                    <w:default w:val="1"/>
                  </w:checkBox>
                </w:ffData>
              </w:fldChar>
            </w:r>
            <w:r w:rsidRPr="00990D3B">
              <w:instrText xml:space="preserve"> FORMCHECKBOX </w:instrText>
            </w:r>
            <w:r w:rsidRPr="00990D3B">
              <w:fldChar w:fldCharType="separate"/>
            </w:r>
            <w:r w:rsidRPr="00990D3B">
              <w:fldChar w:fldCharType="end"/>
            </w:r>
            <w:r w:rsidRPr="00990D3B">
              <w:t xml:space="preserve"> High confidence</w:t>
            </w:r>
          </w:p>
          <w:p w:rsidR="00EB34AE" w:rsidRPr="00990D3B" w:rsidP="00756F6B" w14:paraId="15140A50"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Moderate confidence</w:t>
            </w:r>
          </w:p>
          <w:p w:rsidR="00EB34AE" w:rsidRPr="00990D3B" w:rsidP="00756F6B" w14:paraId="3CDC5529"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Low confidence</w:t>
            </w:r>
          </w:p>
          <w:p w:rsidR="00EB34AE" w:rsidRPr="00990D3B" w:rsidP="00756F6B" w14:paraId="6BBBE547"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 confidence</w:t>
            </w:r>
          </w:p>
        </w:tc>
        <w:tc>
          <w:tcPr>
            <w:tcW w:w="849" w:type="pct"/>
            <w:tcBorders>
              <w:bottom w:val="single" w:sz="4" w:space="0" w:color="auto"/>
            </w:tcBorders>
          </w:tcPr>
          <w:p w:rsidR="00EB34AE" w:rsidRPr="00990D3B" w:rsidP="00756F6B" w14:paraId="2257B767" w14:textId="77777777">
            <w:pPr>
              <w:pStyle w:val="EQRTableText"/>
            </w:pPr>
            <w:r w:rsidRPr="00990D3B">
              <w:fldChar w:fldCharType="begin">
                <w:ffData>
                  <w:name w:val=""/>
                  <w:enabled/>
                  <w:calcOnExit w:val="0"/>
                  <w:checkBox>
                    <w:sizeAuto/>
                    <w:default w:val="1"/>
                  </w:checkBox>
                </w:ffData>
              </w:fldChar>
            </w:r>
            <w:r w:rsidRPr="00990D3B">
              <w:instrText xml:space="preserve"> FORMCHECKBOX </w:instrText>
            </w:r>
            <w:r w:rsidRPr="00990D3B">
              <w:fldChar w:fldCharType="separate"/>
            </w:r>
            <w:r w:rsidRPr="00990D3B">
              <w:fldChar w:fldCharType="end"/>
            </w:r>
            <w:r w:rsidRPr="00990D3B">
              <w:t xml:space="preserve"> High confidence</w:t>
            </w:r>
          </w:p>
          <w:p w:rsidR="00EB34AE" w:rsidRPr="00990D3B" w:rsidP="00756F6B" w14:paraId="1A239F65"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Moderate confidence</w:t>
            </w:r>
          </w:p>
          <w:p w:rsidR="00EB34AE" w:rsidRPr="00990D3B" w:rsidP="00756F6B" w14:paraId="63A6A946"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Low confidence</w:t>
            </w:r>
          </w:p>
          <w:p w:rsidR="00EB34AE" w:rsidRPr="00990D3B" w:rsidP="00756F6B" w14:paraId="16D7A298"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 confidence</w:t>
            </w:r>
          </w:p>
          <w:p w:rsidR="00EB34AE" w:rsidRPr="00990D3B" w:rsidP="00756F6B" w14:paraId="0BB8DC7E" w14:textId="584D1322">
            <w:pPr>
              <w:pStyle w:val="EQRTableText"/>
            </w:pPr>
            <w:r w:rsidRPr="00990D3B">
              <w:fldChar w:fldCharType="begin">
                <w:ffData>
                  <w:name w:val="Check9"/>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Not applicable—PIP is in planning or implementation phase, results not available</w:t>
            </w:r>
          </w:p>
        </w:tc>
        <w:tc>
          <w:tcPr>
            <w:tcW w:w="1216" w:type="pct"/>
            <w:tcBorders>
              <w:bottom w:val="single" w:sz="4" w:space="0" w:color="auto"/>
            </w:tcBorders>
          </w:tcPr>
          <w:p w:rsidR="00EB34AE" w:rsidRPr="00990D3B" w:rsidP="00D55795" w14:paraId="1FE45DCD" w14:textId="06AFF556">
            <w:pPr>
              <w:pStyle w:val="EQRTableTextbullet"/>
              <w:rPr>
                <w:rFonts w:asciiTheme="majorHAnsi" w:hAnsiTheme="majorHAnsi" w:cstheme="majorHAnsi"/>
                <w:szCs w:val="18"/>
              </w:rPr>
            </w:pPr>
            <w:r w:rsidRPr="00990D3B">
              <w:rPr>
                <w:rFonts w:asciiTheme="majorHAnsi" w:hAnsiTheme="majorHAnsi" w:cstheme="majorHAnsi"/>
                <w:szCs w:val="18"/>
              </w:rPr>
              <w:t xml:space="preserve">Develop a sustainability plan that includes </w:t>
            </w:r>
            <w:r w:rsidRPr="00990D3B" w:rsidR="00F6244A">
              <w:rPr>
                <w:rFonts w:asciiTheme="majorHAnsi" w:hAnsiTheme="majorHAnsi" w:cstheme="majorHAnsi"/>
                <w:szCs w:val="18"/>
              </w:rPr>
              <w:t>periodic reviews to assess sustained progress</w:t>
            </w:r>
          </w:p>
          <w:p w:rsidR="00F6244A" w:rsidRPr="00990D3B" w:rsidP="00D55795" w14:paraId="1612525D" w14:textId="17BA6861">
            <w:pPr>
              <w:pStyle w:val="EQRTableTextbullet"/>
              <w:rPr>
                <w:rFonts w:asciiTheme="majorHAnsi" w:hAnsiTheme="majorHAnsi" w:cstheme="majorHAnsi"/>
                <w:szCs w:val="18"/>
              </w:rPr>
            </w:pPr>
            <w:r w:rsidRPr="00990D3B">
              <w:rPr>
                <w:rFonts w:asciiTheme="majorHAnsi" w:hAnsiTheme="majorHAnsi" w:cstheme="majorHAnsi"/>
                <w:szCs w:val="18"/>
              </w:rPr>
              <w:t>Standardize</w:t>
            </w:r>
            <w:r w:rsidRPr="00990D3B">
              <w:rPr>
                <w:rFonts w:asciiTheme="majorHAnsi" w:hAnsiTheme="majorHAnsi" w:cstheme="majorHAnsi"/>
                <w:szCs w:val="18"/>
              </w:rPr>
              <w:t xml:space="preserve"> processes by developing and documenting clear workflows for outreach, enrollment, and engagement </w:t>
            </w:r>
          </w:p>
          <w:p w:rsidR="00D55795" w:rsidRPr="00990D3B" w:rsidP="00493BDA" w14:paraId="4DEF7D21" w14:textId="3E122F22">
            <w:pPr>
              <w:pStyle w:val="EQRTableTextbullet"/>
              <w:rPr>
                <w:rFonts w:asciiTheme="majorHAnsi" w:hAnsiTheme="majorHAnsi" w:cstheme="majorHAnsi"/>
                <w:szCs w:val="18"/>
              </w:rPr>
            </w:pPr>
            <w:r w:rsidRPr="00990D3B">
              <w:rPr>
                <w:rFonts w:asciiTheme="majorHAnsi" w:hAnsiTheme="majorHAnsi" w:cstheme="majorHAnsi"/>
                <w:szCs w:val="18"/>
              </w:rPr>
              <w:t xml:space="preserve">Introduce periodic check-ins to re-engage </w:t>
            </w:r>
            <w:r w:rsidRPr="00990D3B" w:rsidR="00727834">
              <w:rPr>
                <w:rFonts w:asciiTheme="majorHAnsi" w:hAnsiTheme="majorHAnsi" w:cstheme="majorHAnsi"/>
                <w:szCs w:val="18"/>
              </w:rPr>
              <w:t>enrollees</w:t>
            </w:r>
            <w:r w:rsidRPr="00990D3B">
              <w:rPr>
                <w:rFonts w:asciiTheme="majorHAnsi" w:hAnsiTheme="majorHAnsi" w:cstheme="majorHAnsi"/>
                <w:szCs w:val="18"/>
              </w:rPr>
              <w:t xml:space="preserve"> who may have dropped out </w:t>
            </w:r>
          </w:p>
        </w:tc>
        <w:tc>
          <w:tcPr>
            <w:tcW w:w="971" w:type="pct"/>
            <w:tcBorders>
              <w:bottom w:val="single" w:sz="4" w:space="0" w:color="auto"/>
            </w:tcBorders>
          </w:tcPr>
          <w:p w:rsidR="00EB34AE" w:rsidRPr="00990D3B" w:rsidP="00756F6B" w14:paraId="77A02D08" w14:textId="73820572">
            <w:pPr>
              <w:pStyle w:val="EQRTableText"/>
            </w:pPr>
            <w:r w:rsidRPr="00990D3B">
              <w:t xml:space="preserve">Methodology for all phases of design and data collection adhered to acceptable standards. Data analysis and interpretation of results were accurate. Interventions were linked to </w:t>
            </w:r>
            <w:r w:rsidRPr="00990D3B" w:rsidR="00C2570A">
              <w:t xml:space="preserve">the </w:t>
            </w:r>
            <w:r w:rsidRPr="00990D3B">
              <w:t xml:space="preserve">stated problem and provided evidence of clinically significant and sustained improvement in outcomes. </w:t>
            </w:r>
          </w:p>
        </w:tc>
      </w:tr>
    </w:tbl>
    <w:p w:rsidR="00735A11" w:rsidRPr="00990D3B" w:rsidP="00B5252D" w14:paraId="40239414" w14:textId="77777777">
      <w:pPr>
        <w:pStyle w:val="ParagraphContinued"/>
      </w:pPr>
    </w:p>
    <w:p w:rsidR="00FF3472" w:rsidRPr="00990D3B" w:rsidP="00BD1FC3" w14:paraId="25C28B33" w14:textId="292CCF9E">
      <w:pPr>
        <w:spacing w:line="240" w:lineRule="auto"/>
        <w:sectPr w:rsidSect="00195F0B">
          <w:headerReference w:type="even" r:id="rId118"/>
          <w:pgSz w:w="15840" w:h="12240" w:orient="landscape" w:code="1"/>
          <w:pgMar w:top="1440" w:right="1440" w:bottom="1440" w:left="1440" w:header="720" w:footer="720" w:gutter="0"/>
          <w:cols w:space="720"/>
          <w:titlePg/>
          <w:docGrid w:linePitch="360"/>
        </w:sectPr>
      </w:pPr>
    </w:p>
    <w:p w:rsidR="003725D7" w:rsidRPr="00990D3B" w:rsidP="00BD1FC3" w14:paraId="7C6ABF8D" w14:textId="35753BB3">
      <w:pPr>
        <w:pStyle w:val="EQRMarkforExhibitWORKSHEET"/>
      </w:pPr>
      <w:bookmarkStart w:id="223" w:name="WSp1n13"/>
      <w:bookmarkStart w:id="224" w:name="_Toc201751491"/>
      <w:r w:rsidRPr="00990D3B">
        <w:t>Worksheet 1.13</w:t>
      </w:r>
      <w:bookmarkEnd w:id="223"/>
      <w:r w:rsidRPr="00990D3B">
        <w:t>. PIP Summary Reporting</w:t>
      </w:r>
      <w:bookmarkEnd w:id="224"/>
      <w:r w:rsidRPr="00990D3B">
        <w:t xml:space="preserve"> </w:t>
      </w:r>
    </w:p>
    <w:p w:rsidR="00FE1429" w:rsidRPr="00990D3B" w:rsidP="00E005DE" w14:paraId="444DF5D7" w14:textId="5F3EAAB1">
      <w:pPr>
        <w:pStyle w:val="EQRNormalSSWORKSHEET"/>
      </w:pPr>
      <w:r w:rsidRPr="00990D3B">
        <w:rPr>
          <w:b/>
          <w:bCs/>
        </w:rPr>
        <w:t>Instructions</w:t>
      </w:r>
      <w:r w:rsidRPr="00990D3B" w:rsidR="000C5CF7">
        <w:rPr>
          <w:b/>
          <w:bCs/>
        </w:rPr>
        <w:t xml:space="preserve">: </w:t>
      </w:r>
      <w:r w:rsidRPr="00990D3B" w:rsidR="00B7156B">
        <w:t>S</w:t>
      </w:r>
      <w:r w:rsidRPr="00990D3B" w:rsidR="00F007E5">
        <w:t>hare each</w:t>
      </w:r>
      <w:r w:rsidRPr="00990D3B" w:rsidR="0043248E">
        <w:t xml:space="preserve"> PIP</w:t>
      </w:r>
      <w:r w:rsidRPr="00990D3B" w:rsidR="000C5CF7">
        <w:t>’s</w:t>
      </w:r>
      <w:r w:rsidRPr="00990D3B" w:rsidR="0043248E">
        <w:t xml:space="preserve"> aim, interventions (improvement strategies), target population(s), performance measure</w:t>
      </w:r>
      <w:r w:rsidRPr="00990D3B" w:rsidR="008D4FC6">
        <w:t>(s)</w:t>
      </w:r>
      <w:r w:rsidRPr="00990D3B" w:rsidR="0043248E">
        <w:t xml:space="preserve">, and baseline and remeasurement data, as available. If remeasurement data </w:t>
      </w:r>
      <w:r w:rsidRPr="00990D3B" w:rsidR="00A1551F">
        <w:t>are</w:t>
      </w:r>
      <w:r w:rsidRPr="00990D3B" w:rsidR="0043248E">
        <w:t xml:space="preserve"> unavailable, note “Not Available”</w:t>
      </w:r>
      <w:r w:rsidRPr="00990D3B" w:rsidR="00F71FA5">
        <w:t xml:space="preserve"> and provide explanations for why data cannot be reported</w:t>
      </w:r>
      <w:r w:rsidRPr="00990D3B" w:rsidR="009A3CC3">
        <w:t>.</w:t>
      </w:r>
      <w:r w:rsidRPr="00990D3B" w:rsidR="00850A0C">
        <w:t xml:space="preserve"> </w:t>
      </w:r>
      <w:r w:rsidRPr="00990D3B" w:rsidR="0043248E">
        <w:t xml:space="preserve"> </w:t>
      </w:r>
      <w:r w:rsidRPr="00990D3B" w:rsidR="006F1706">
        <w:t xml:space="preserve">In the “EQRO </w:t>
      </w:r>
      <w:r w:rsidR="00005E1A">
        <w:t>comments</w:t>
      </w:r>
      <w:r w:rsidRPr="00990D3B" w:rsidR="006F1706">
        <w:t>” column, share observations on the PIP,</w:t>
      </w:r>
      <w:r w:rsidRPr="00990D3B" w:rsidR="00F007E5">
        <w:t xml:space="preserve"> such as p</w:t>
      </w:r>
      <w:r w:rsidRPr="00990D3B" w:rsidR="006F1706">
        <w:t>romising practices that show potential for broader application</w:t>
      </w:r>
      <w:r w:rsidRPr="00990D3B" w:rsidR="00F007E5">
        <w:t xml:space="preserve"> or </w:t>
      </w:r>
      <w:r w:rsidRPr="00990D3B" w:rsidR="006F1706">
        <w:t xml:space="preserve">lessons learned from interventions that had minimal impact. These </w:t>
      </w:r>
      <w:r w:rsidR="00005E1A">
        <w:t>comments</w:t>
      </w:r>
      <w:r w:rsidRPr="00990D3B" w:rsidR="00FF59F2">
        <w:t xml:space="preserve"> </w:t>
      </w:r>
      <w:r w:rsidRPr="00990D3B" w:rsidR="006F1706">
        <w:t>can provide valuable insights into the effectiveness of various strategies, highlight opportunities for refinement, and guide future quality improvement efforts.</w:t>
      </w:r>
      <w:r w:rsidRPr="00990D3B">
        <w:t xml:space="preserve"> Colors, shading, or icons can be used to indicate how MCPs are performing relative to the state’s goal or benchmark for a</w:t>
      </w:r>
      <w:r w:rsidRPr="00990D3B" w:rsidR="00823840">
        <w:t> </w:t>
      </w:r>
      <w:r w:rsidRPr="00990D3B">
        <w:t>measure.</w:t>
      </w:r>
    </w:p>
    <w:p w:rsidR="00E35EAE" w:rsidRPr="00990D3B" w:rsidP="00E005DE" w14:paraId="24428771" w14:textId="3D8AE531">
      <w:pPr>
        <w:pStyle w:val="EQRNormalSSWORKSHEET"/>
      </w:pPr>
      <w:r w:rsidRPr="00990D3B">
        <w:t>For PIPs in the planning phase during the 12 months before the finalization of the final report, include a note</w:t>
      </w:r>
      <w:r w:rsidRPr="00990D3B" w:rsidR="00C93F95">
        <w:t xml:space="preserve"> in the “EQRO </w:t>
      </w:r>
      <w:r w:rsidR="00005E1A">
        <w:t>comments</w:t>
      </w:r>
      <w:r w:rsidRPr="00005E1A" w:rsidR="00C93F95">
        <w:t>”</w:t>
      </w:r>
      <w:r w:rsidRPr="00990D3B" w:rsidR="00C93F95">
        <w:t xml:space="preserve"> column</w:t>
      </w:r>
      <w:r w:rsidRPr="00990D3B">
        <w:t xml:space="preserve"> stating that the MCP PIP is still in the design phase and provide a brief description of the proposed focus and goals, if available. This note should clarify that the PIP is not yet active but is expected to address [specific quality or performance areas] once implemented</w:t>
      </w:r>
      <w:r w:rsidRPr="00990D3B" w:rsidR="00C93F95">
        <w:t xml:space="preserve"> and provide an expected implementation date. </w:t>
      </w:r>
    </w:p>
    <w:p w:rsidR="0043248E" w:rsidRPr="00990D3B" w:rsidP="00E005DE" w14:paraId="0869CD21" w14:textId="70837D23">
      <w:pPr>
        <w:pStyle w:val="EQRNormalSSWORKSHEET"/>
      </w:pPr>
      <w:r w:rsidRPr="00990D3B">
        <w:t xml:space="preserve">For states with multiple managed care programs, </w:t>
      </w:r>
      <w:r w:rsidRPr="00990D3B" w:rsidR="00FE1429">
        <w:t>complete one</w:t>
      </w:r>
      <w:r w:rsidRPr="00990D3B">
        <w:t xml:space="preserve"> table for each program. For states </w:t>
      </w:r>
      <w:r w:rsidRPr="00990D3B" w:rsidR="00431C26">
        <w:t>with</w:t>
      </w:r>
      <w:r w:rsidRPr="00990D3B">
        <w:t xml:space="preserve"> multiple MCPs </w:t>
      </w:r>
      <w:r w:rsidRPr="00990D3B" w:rsidR="00FE1429">
        <w:t>conducting PIPs on the same topic (e.g., diabetes care, infant well-child visits)</w:t>
      </w:r>
      <w:r w:rsidRPr="00990D3B">
        <w:t xml:space="preserve">, </w:t>
      </w:r>
      <w:r w:rsidRPr="00990D3B" w:rsidR="00FE1429">
        <w:t xml:space="preserve">complete one table with all MCPs. </w:t>
      </w:r>
      <w:r w:rsidRPr="00990D3B">
        <w:t xml:space="preserve"> </w:t>
      </w:r>
    </w:p>
    <w:p w:rsidR="0043248E" w:rsidRPr="00990D3B" w:rsidP="00E005DE" w14:paraId="367EE9EB" w14:textId="7F649F5F">
      <w:pPr>
        <w:pStyle w:val="EQRNormalSSWORKSHEET"/>
      </w:pPr>
      <w:r w:rsidRPr="00990D3B">
        <w:t>While th</w:t>
      </w:r>
      <w:r w:rsidRPr="00990D3B" w:rsidR="00381997">
        <w:t>is</w:t>
      </w:r>
      <w:r w:rsidRPr="00990D3B">
        <w:t xml:space="preserve"> template </w:t>
      </w:r>
      <w:r w:rsidRPr="00990D3B">
        <w:rPr>
          <w:rFonts w:cs="Arial"/>
        </w:rPr>
        <w:t xml:space="preserve">encompasses CMS’s expectations for what EQR technical reports share when reporting </w:t>
      </w:r>
      <w:r w:rsidRPr="00990D3B" w:rsidR="00DF3A90">
        <w:rPr>
          <w:rFonts w:cs="Arial"/>
        </w:rPr>
        <w:t>PIP</w:t>
      </w:r>
      <w:r w:rsidRPr="00990D3B">
        <w:rPr>
          <w:rFonts w:cs="Arial"/>
        </w:rPr>
        <w:t xml:space="preserve"> findings, </w:t>
      </w:r>
      <w:r w:rsidRPr="00990D3B" w:rsidR="000C0E0A">
        <w:rPr>
          <w:rFonts w:cs="Arial"/>
        </w:rPr>
        <w:t xml:space="preserve">the </w:t>
      </w:r>
      <w:r w:rsidRPr="00990D3B">
        <w:rPr>
          <w:rFonts w:cs="Arial"/>
        </w:rPr>
        <w:t>u</w:t>
      </w:r>
      <w:r w:rsidRPr="00990D3B">
        <w:t>se of this template is voluntary.</w:t>
      </w:r>
      <w:r w:rsidRPr="00990D3B" w:rsidR="00CF6A5C">
        <w:t xml:space="preserve"> </w:t>
      </w:r>
      <w:r w:rsidRPr="00990D3B" w:rsidR="0006604B">
        <w:t>This template has a companion Excel workbook. It can be included in the EQR technical report or submitted to CMS as a separate document. If submitted separately, the document must be posted to the state’s website.</w:t>
      </w:r>
    </w:p>
    <w:p w:rsidR="006C592C" w:rsidRPr="00990D3B" w:rsidP="00E005DE" w14:paraId="522FCD96" w14:textId="5A6E18BA">
      <w:pPr>
        <w:pStyle w:val="EQRNormalSSWORKSHEET"/>
      </w:pPr>
      <w:r w:rsidRPr="00990D3B">
        <w:rPr>
          <w:rFonts w:asciiTheme="majorHAnsi" w:hAnsiTheme="majorHAnsi" w:cstheme="majorHAnsi"/>
        </w:rPr>
        <w:t xml:space="preserve">Acronyms: </w:t>
      </w:r>
      <w:r w:rsidRPr="00990D3B">
        <w:t>MCP= Managed Care Plan; PIP = Performance Improvement Project</w:t>
      </w:r>
      <w:r w:rsidRPr="00990D3B" w:rsidR="00384BF7">
        <w:t>.</w:t>
      </w:r>
    </w:p>
    <w:tbl>
      <w:tblPr>
        <w:tblStyle w:val="TableGrid"/>
        <w:tblW w:w="5000" w:type="pct"/>
        <w:tblLook w:val="04A0"/>
      </w:tblPr>
      <w:tblGrid>
        <w:gridCol w:w="572"/>
        <w:gridCol w:w="831"/>
        <w:gridCol w:w="2434"/>
        <w:gridCol w:w="1493"/>
        <w:gridCol w:w="1217"/>
        <w:gridCol w:w="1221"/>
        <w:gridCol w:w="1674"/>
        <w:gridCol w:w="1581"/>
        <w:gridCol w:w="1927"/>
      </w:tblGrid>
      <w:tr w14:paraId="4CD637BA" w14:textId="230DE13A" w:rsidTr="00223C66">
        <w:tblPrEx>
          <w:tblW w:w="5000" w:type="pct"/>
          <w:tblLook w:val="04A0"/>
        </w:tblPrEx>
        <w:trPr>
          <w:trHeight w:val="670"/>
        </w:trPr>
        <w:tc>
          <w:tcPr>
            <w:tcW w:w="236" w:type="pct"/>
            <w:vAlign w:val="bottom"/>
          </w:tcPr>
          <w:p w:rsidR="00DE2DC9" w:rsidRPr="00990D3B" w:rsidP="00223C66" w14:paraId="2D31D74F" w14:textId="77777777">
            <w:pPr>
              <w:pStyle w:val="TableHeaderLeft"/>
            </w:pPr>
            <w:r w:rsidRPr="00990D3B">
              <w:t>MCP</w:t>
            </w:r>
          </w:p>
        </w:tc>
        <w:tc>
          <w:tcPr>
            <w:tcW w:w="336" w:type="pct"/>
            <w:vAlign w:val="bottom"/>
          </w:tcPr>
          <w:p w:rsidR="00DE2DC9" w:rsidRPr="00990D3B" w:rsidP="00223C66" w14:paraId="12569426" w14:textId="42CDC491">
            <w:pPr>
              <w:pStyle w:val="TableHeaderCenter"/>
            </w:pPr>
            <w:r w:rsidRPr="00990D3B">
              <w:t>PIP aim</w:t>
            </w:r>
          </w:p>
        </w:tc>
        <w:tc>
          <w:tcPr>
            <w:tcW w:w="955" w:type="pct"/>
            <w:vAlign w:val="bottom"/>
          </w:tcPr>
          <w:p w:rsidR="00DE2DC9" w:rsidRPr="00990D3B" w:rsidP="00223C66" w14:paraId="6C1DA9E5" w14:textId="09086292">
            <w:pPr>
              <w:pStyle w:val="TableHeaderCenter"/>
            </w:pPr>
            <w:r w:rsidRPr="00990D3B">
              <w:t>PIP interventions</w:t>
            </w:r>
          </w:p>
        </w:tc>
        <w:tc>
          <w:tcPr>
            <w:tcW w:w="591" w:type="pct"/>
            <w:vAlign w:val="bottom"/>
          </w:tcPr>
          <w:p w:rsidR="00DE2DC9" w:rsidRPr="00990D3B" w:rsidP="00223C66" w14:paraId="5CF48564" w14:textId="3D593ED4">
            <w:pPr>
              <w:pStyle w:val="TableHeaderCenter"/>
            </w:pPr>
            <w:r w:rsidRPr="00990D3B">
              <w:t>Target population</w:t>
            </w:r>
          </w:p>
        </w:tc>
        <w:tc>
          <w:tcPr>
            <w:tcW w:w="417" w:type="pct"/>
            <w:vAlign w:val="bottom"/>
          </w:tcPr>
          <w:p w:rsidR="00DE2DC9" w:rsidRPr="00990D3B" w:rsidP="00223C66" w14:paraId="2BAE3A20" w14:textId="258E56FF">
            <w:pPr>
              <w:pStyle w:val="TableHeaderCenter"/>
            </w:pPr>
            <w:r w:rsidRPr="00990D3B">
              <w:t>Performance measure</w:t>
            </w:r>
          </w:p>
        </w:tc>
        <w:tc>
          <w:tcPr>
            <w:tcW w:w="486" w:type="pct"/>
            <w:vAlign w:val="bottom"/>
          </w:tcPr>
          <w:p w:rsidR="00DE2DC9" w:rsidRPr="00990D3B" w:rsidP="00223C66" w14:paraId="4027B2F9" w14:textId="767B272A">
            <w:pPr>
              <w:pStyle w:val="TableHeaderCenter"/>
            </w:pPr>
            <w:r w:rsidRPr="00990D3B">
              <w:t>Baseline rate</w:t>
            </w:r>
            <w:r w:rsidRPr="00990D3B" w:rsidR="00223C66">
              <w:t xml:space="preserve"> </w:t>
            </w:r>
            <w:r w:rsidRPr="00990D3B" w:rsidR="00223C66">
              <w:br/>
            </w:r>
            <w:r w:rsidRPr="00990D3B">
              <w:t>(Baseline Year)</w:t>
            </w:r>
          </w:p>
        </w:tc>
        <w:tc>
          <w:tcPr>
            <w:tcW w:w="661" w:type="pct"/>
            <w:vAlign w:val="bottom"/>
          </w:tcPr>
          <w:p w:rsidR="00DE2DC9" w:rsidRPr="00990D3B" w:rsidP="00223C66" w14:paraId="6B196E28" w14:textId="1EC67B7E">
            <w:pPr>
              <w:pStyle w:val="TableHeaderCenter"/>
            </w:pPr>
            <w:r w:rsidRPr="00990D3B">
              <w:t>Remeasurement 1</w:t>
            </w:r>
            <w:r w:rsidRPr="00990D3B" w:rsidR="00223C66">
              <w:t> </w:t>
            </w:r>
            <w:r w:rsidRPr="00990D3B">
              <w:t>(Year)</w:t>
            </w:r>
          </w:p>
        </w:tc>
        <w:tc>
          <w:tcPr>
            <w:tcW w:w="625" w:type="pct"/>
            <w:vAlign w:val="bottom"/>
          </w:tcPr>
          <w:p w:rsidR="00DE2DC9" w:rsidRPr="00990D3B" w:rsidP="00223C66" w14:paraId="3080B299" w14:textId="694B70F9">
            <w:pPr>
              <w:pStyle w:val="TableHeaderCenter"/>
              <w:rPr>
                <w:vertAlign w:val="superscript"/>
              </w:rPr>
            </w:pPr>
            <w:r w:rsidRPr="00990D3B">
              <w:t>Remeasurement 2</w:t>
            </w:r>
            <w:r w:rsidRPr="00990D3B" w:rsidR="00223C66">
              <w:t xml:space="preserve"> </w:t>
            </w:r>
            <w:r w:rsidRPr="00990D3B">
              <w:t>(Year)</w:t>
            </w:r>
          </w:p>
        </w:tc>
        <w:tc>
          <w:tcPr>
            <w:tcW w:w="693" w:type="pct"/>
            <w:vAlign w:val="bottom"/>
          </w:tcPr>
          <w:p w:rsidR="00DE2DC9" w:rsidRPr="00990D3B" w:rsidP="00223C66" w14:paraId="668635ED" w14:textId="65C9D630">
            <w:pPr>
              <w:pStyle w:val="TableHeaderCenter"/>
            </w:pPr>
            <w:r w:rsidRPr="00005E1A">
              <w:t xml:space="preserve">EQRO </w:t>
            </w:r>
            <w:r w:rsidR="00005E1A">
              <w:t>comments</w:t>
            </w:r>
          </w:p>
        </w:tc>
      </w:tr>
      <w:tr w14:paraId="6EAAC8FF" w14:textId="45CFA65B" w:rsidTr="00223C66">
        <w:tblPrEx>
          <w:tblW w:w="5000" w:type="pct"/>
          <w:tblLook w:val="04A0"/>
        </w:tblPrEx>
        <w:trPr>
          <w:trHeight w:val="206"/>
        </w:trPr>
        <w:tc>
          <w:tcPr>
            <w:tcW w:w="236" w:type="pct"/>
            <w:vMerge w:val="restart"/>
          </w:tcPr>
          <w:p w:rsidR="00DE2DC9" w:rsidRPr="00990D3B" w:rsidP="00223C66" w14:paraId="5926FA65" w14:textId="6EC3961A">
            <w:pPr>
              <w:pStyle w:val="EQRTableText"/>
            </w:pPr>
          </w:p>
        </w:tc>
        <w:tc>
          <w:tcPr>
            <w:tcW w:w="336" w:type="pct"/>
          </w:tcPr>
          <w:p w:rsidR="00DE2DC9" w:rsidRPr="00990D3B" w:rsidP="00223C66" w14:paraId="6BCE40A0" w14:textId="77777777">
            <w:pPr>
              <w:pStyle w:val="EQRTableText"/>
            </w:pPr>
          </w:p>
        </w:tc>
        <w:tc>
          <w:tcPr>
            <w:tcW w:w="955" w:type="pct"/>
          </w:tcPr>
          <w:p w:rsidR="00DE2DC9" w:rsidRPr="00990D3B" w:rsidP="00223C66" w14:paraId="4760DDD1" w14:textId="1E7E3BF1">
            <w:pPr>
              <w:pStyle w:val="EQRTableText"/>
            </w:pPr>
          </w:p>
        </w:tc>
        <w:tc>
          <w:tcPr>
            <w:tcW w:w="591" w:type="pct"/>
          </w:tcPr>
          <w:p w:rsidR="00DE2DC9" w:rsidRPr="00990D3B" w:rsidP="00223C66" w14:paraId="78E57F59" w14:textId="36AAA697">
            <w:pPr>
              <w:pStyle w:val="EQRTableText"/>
            </w:pPr>
          </w:p>
        </w:tc>
        <w:tc>
          <w:tcPr>
            <w:tcW w:w="417" w:type="pct"/>
          </w:tcPr>
          <w:p w:rsidR="00DE2DC9" w:rsidRPr="00990D3B" w:rsidP="00223C66" w14:paraId="17536DA0" w14:textId="0389D98B">
            <w:pPr>
              <w:pStyle w:val="EQRTableText"/>
            </w:pPr>
          </w:p>
        </w:tc>
        <w:tc>
          <w:tcPr>
            <w:tcW w:w="486" w:type="pct"/>
          </w:tcPr>
          <w:p w:rsidR="00DE2DC9" w:rsidRPr="00990D3B" w:rsidP="00223C66" w14:paraId="239459D4" w14:textId="73AFA9F9">
            <w:pPr>
              <w:pStyle w:val="EQRTableText"/>
            </w:pPr>
          </w:p>
        </w:tc>
        <w:tc>
          <w:tcPr>
            <w:tcW w:w="661" w:type="pct"/>
          </w:tcPr>
          <w:p w:rsidR="00DE2DC9" w:rsidRPr="00990D3B" w:rsidP="00223C66" w14:paraId="0C0B5A7F" w14:textId="0DB3F163">
            <w:pPr>
              <w:pStyle w:val="EQRTableText"/>
            </w:pPr>
          </w:p>
        </w:tc>
        <w:tc>
          <w:tcPr>
            <w:tcW w:w="625" w:type="pct"/>
            <w:vAlign w:val="center"/>
          </w:tcPr>
          <w:p w:rsidR="00DE2DC9" w:rsidRPr="00990D3B" w:rsidP="00223C66" w14:paraId="2A9B7E8C" w14:textId="50C7AA7A">
            <w:pPr>
              <w:pStyle w:val="EQRTableText"/>
            </w:pPr>
          </w:p>
        </w:tc>
        <w:tc>
          <w:tcPr>
            <w:tcW w:w="693" w:type="pct"/>
          </w:tcPr>
          <w:p w:rsidR="00DE2DC9" w:rsidRPr="00990D3B" w:rsidP="00223C66" w14:paraId="4A2DC20E" w14:textId="77777777">
            <w:pPr>
              <w:pStyle w:val="EQRTableText"/>
            </w:pPr>
          </w:p>
        </w:tc>
      </w:tr>
      <w:tr w14:paraId="2FF4FD35" w14:textId="587A7A7C" w:rsidTr="00223C66">
        <w:tblPrEx>
          <w:tblW w:w="5000" w:type="pct"/>
          <w:tblLook w:val="04A0"/>
        </w:tblPrEx>
        <w:trPr>
          <w:trHeight w:val="139"/>
        </w:trPr>
        <w:tc>
          <w:tcPr>
            <w:tcW w:w="236" w:type="pct"/>
            <w:vMerge/>
          </w:tcPr>
          <w:p w:rsidR="00DE2DC9" w:rsidRPr="00990D3B" w:rsidP="00223C66" w14:paraId="3D17016F" w14:textId="77777777">
            <w:pPr>
              <w:pStyle w:val="EQRTableText"/>
              <w:rPr>
                <w:b/>
                <w:bCs/>
              </w:rPr>
            </w:pPr>
          </w:p>
        </w:tc>
        <w:tc>
          <w:tcPr>
            <w:tcW w:w="336" w:type="pct"/>
          </w:tcPr>
          <w:p w:rsidR="00DE2DC9" w:rsidRPr="00990D3B" w:rsidP="00223C66" w14:paraId="1A764CA6" w14:textId="77777777">
            <w:pPr>
              <w:pStyle w:val="EQRTableText"/>
            </w:pPr>
          </w:p>
        </w:tc>
        <w:tc>
          <w:tcPr>
            <w:tcW w:w="955" w:type="pct"/>
          </w:tcPr>
          <w:p w:rsidR="00DE2DC9" w:rsidRPr="00990D3B" w:rsidP="00223C66" w14:paraId="369ED57E" w14:textId="62921D2E">
            <w:pPr>
              <w:pStyle w:val="EQRTableText"/>
            </w:pPr>
          </w:p>
        </w:tc>
        <w:tc>
          <w:tcPr>
            <w:tcW w:w="591" w:type="pct"/>
          </w:tcPr>
          <w:p w:rsidR="00DE2DC9" w:rsidRPr="00990D3B" w:rsidP="00223C66" w14:paraId="3BBCCC35" w14:textId="77777777">
            <w:pPr>
              <w:pStyle w:val="EQRTableText"/>
            </w:pPr>
          </w:p>
        </w:tc>
        <w:tc>
          <w:tcPr>
            <w:tcW w:w="417" w:type="pct"/>
          </w:tcPr>
          <w:p w:rsidR="00DE2DC9" w:rsidRPr="00990D3B" w:rsidP="00223C66" w14:paraId="54F2EF7C" w14:textId="65B1F8EB">
            <w:pPr>
              <w:pStyle w:val="EQRTableText"/>
            </w:pPr>
          </w:p>
        </w:tc>
        <w:tc>
          <w:tcPr>
            <w:tcW w:w="486" w:type="pct"/>
          </w:tcPr>
          <w:p w:rsidR="00DE2DC9" w:rsidRPr="00990D3B" w:rsidP="00223C66" w14:paraId="7EDF0A78" w14:textId="5B1441A4">
            <w:pPr>
              <w:pStyle w:val="EQRTableText"/>
            </w:pPr>
          </w:p>
        </w:tc>
        <w:tc>
          <w:tcPr>
            <w:tcW w:w="661" w:type="pct"/>
          </w:tcPr>
          <w:p w:rsidR="00DE2DC9" w:rsidRPr="00990D3B" w:rsidP="00223C66" w14:paraId="3AFECBBF" w14:textId="28D22E6F">
            <w:pPr>
              <w:pStyle w:val="EQRTableText"/>
            </w:pPr>
          </w:p>
        </w:tc>
        <w:tc>
          <w:tcPr>
            <w:tcW w:w="625" w:type="pct"/>
            <w:vAlign w:val="center"/>
          </w:tcPr>
          <w:p w:rsidR="00DE2DC9" w:rsidRPr="00990D3B" w:rsidP="00223C66" w14:paraId="5BDB2AE3" w14:textId="52A85D52">
            <w:pPr>
              <w:pStyle w:val="EQRTableText"/>
            </w:pPr>
          </w:p>
        </w:tc>
        <w:tc>
          <w:tcPr>
            <w:tcW w:w="693" w:type="pct"/>
          </w:tcPr>
          <w:p w:rsidR="00DE2DC9" w:rsidRPr="00990D3B" w:rsidP="00223C66" w14:paraId="6DB9DA5C" w14:textId="77777777">
            <w:pPr>
              <w:pStyle w:val="EQRTableText"/>
            </w:pPr>
          </w:p>
        </w:tc>
      </w:tr>
      <w:tr w14:paraId="4504F0B0" w14:textId="0DFAEA2B" w:rsidTr="00223C66">
        <w:tblPrEx>
          <w:tblW w:w="5000" w:type="pct"/>
          <w:tblLook w:val="04A0"/>
        </w:tblPrEx>
        <w:trPr>
          <w:trHeight w:val="139"/>
        </w:trPr>
        <w:tc>
          <w:tcPr>
            <w:tcW w:w="236" w:type="pct"/>
            <w:vMerge/>
            <w:vAlign w:val="bottom"/>
          </w:tcPr>
          <w:p w:rsidR="00DE2DC9" w:rsidRPr="00990D3B" w:rsidP="00223C66" w14:paraId="35C6E3E0" w14:textId="77777777">
            <w:pPr>
              <w:pStyle w:val="EQRTableText"/>
              <w:rPr>
                <w:b/>
                <w:bCs/>
              </w:rPr>
            </w:pPr>
          </w:p>
        </w:tc>
        <w:tc>
          <w:tcPr>
            <w:tcW w:w="336" w:type="pct"/>
          </w:tcPr>
          <w:p w:rsidR="00DE2DC9" w:rsidRPr="00990D3B" w:rsidP="00223C66" w14:paraId="5D6CF425" w14:textId="77777777">
            <w:pPr>
              <w:pStyle w:val="EQRTableText"/>
            </w:pPr>
          </w:p>
        </w:tc>
        <w:tc>
          <w:tcPr>
            <w:tcW w:w="955" w:type="pct"/>
          </w:tcPr>
          <w:p w:rsidR="00DE2DC9" w:rsidRPr="00990D3B" w:rsidP="00223C66" w14:paraId="2A20E0A5" w14:textId="4767351A">
            <w:pPr>
              <w:pStyle w:val="EQRTableText"/>
            </w:pPr>
          </w:p>
        </w:tc>
        <w:tc>
          <w:tcPr>
            <w:tcW w:w="591" w:type="pct"/>
          </w:tcPr>
          <w:p w:rsidR="00DE2DC9" w:rsidRPr="00990D3B" w:rsidP="00223C66" w14:paraId="025D8DA8" w14:textId="77777777">
            <w:pPr>
              <w:pStyle w:val="EQRTableText"/>
            </w:pPr>
          </w:p>
        </w:tc>
        <w:tc>
          <w:tcPr>
            <w:tcW w:w="417" w:type="pct"/>
          </w:tcPr>
          <w:p w:rsidR="00DE2DC9" w:rsidRPr="00990D3B" w:rsidP="00223C66" w14:paraId="5A1006D9" w14:textId="6506F5B7">
            <w:pPr>
              <w:pStyle w:val="EQRTableText"/>
            </w:pPr>
          </w:p>
        </w:tc>
        <w:tc>
          <w:tcPr>
            <w:tcW w:w="486" w:type="pct"/>
          </w:tcPr>
          <w:p w:rsidR="00DE2DC9" w:rsidRPr="00990D3B" w:rsidP="00223C66" w14:paraId="3ECEA62C" w14:textId="1C1FB42C">
            <w:pPr>
              <w:pStyle w:val="EQRTableText"/>
              <w:rPr>
                <w:b/>
                <w:bCs/>
              </w:rPr>
            </w:pPr>
          </w:p>
        </w:tc>
        <w:tc>
          <w:tcPr>
            <w:tcW w:w="661" w:type="pct"/>
          </w:tcPr>
          <w:p w:rsidR="00DE2DC9" w:rsidRPr="00990D3B" w:rsidP="00223C66" w14:paraId="726824E6" w14:textId="61067D01">
            <w:pPr>
              <w:pStyle w:val="EQRTableText"/>
              <w:rPr>
                <w:b/>
                <w:bCs/>
              </w:rPr>
            </w:pPr>
          </w:p>
        </w:tc>
        <w:tc>
          <w:tcPr>
            <w:tcW w:w="625" w:type="pct"/>
            <w:vAlign w:val="center"/>
          </w:tcPr>
          <w:p w:rsidR="00DE2DC9" w:rsidRPr="00990D3B" w:rsidP="00223C66" w14:paraId="205C85C4" w14:textId="51BA3776">
            <w:pPr>
              <w:pStyle w:val="EQRTableText"/>
            </w:pPr>
          </w:p>
        </w:tc>
        <w:tc>
          <w:tcPr>
            <w:tcW w:w="693" w:type="pct"/>
          </w:tcPr>
          <w:p w:rsidR="00DE2DC9" w:rsidRPr="00990D3B" w:rsidP="00223C66" w14:paraId="6DF63914" w14:textId="77777777">
            <w:pPr>
              <w:pStyle w:val="EQRTableText"/>
            </w:pPr>
          </w:p>
        </w:tc>
      </w:tr>
      <w:tr w14:paraId="56B04340" w14:textId="19F89CB8" w:rsidTr="00223C66">
        <w:tblPrEx>
          <w:tblW w:w="5000" w:type="pct"/>
          <w:tblLook w:val="04A0"/>
        </w:tblPrEx>
        <w:trPr>
          <w:trHeight w:val="206"/>
        </w:trPr>
        <w:tc>
          <w:tcPr>
            <w:tcW w:w="236" w:type="pct"/>
            <w:vMerge w:val="restart"/>
          </w:tcPr>
          <w:p w:rsidR="00DE2DC9" w:rsidRPr="00990D3B" w:rsidP="00223C66" w14:paraId="2B6C4AD0" w14:textId="10D00518">
            <w:pPr>
              <w:pStyle w:val="EQRTableText"/>
              <w:rPr>
                <w:b/>
                <w:bCs/>
              </w:rPr>
            </w:pPr>
          </w:p>
        </w:tc>
        <w:tc>
          <w:tcPr>
            <w:tcW w:w="336" w:type="pct"/>
          </w:tcPr>
          <w:p w:rsidR="00DE2DC9" w:rsidRPr="00990D3B" w:rsidP="00223C66" w14:paraId="0487A8E8" w14:textId="77777777">
            <w:pPr>
              <w:pStyle w:val="EQRTableText"/>
            </w:pPr>
          </w:p>
        </w:tc>
        <w:tc>
          <w:tcPr>
            <w:tcW w:w="955" w:type="pct"/>
          </w:tcPr>
          <w:p w:rsidR="00DE2DC9" w:rsidRPr="00990D3B" w:rsidP="00223C66" w14:paraId="747EE00E" w14:textId="37DF1725">
            <w:pPr>
              <w:pStyle w:val="EQRTableText"/>
            </w:pPr>
          </w:p>
        </w:tc>
        <w:tc>
          <w:tcPr>
            <w:tcW w:w="591" w:type="pct"/>
          </w:tcPr>
          <w:p w:rsidR="00DE2DC9" w:rsidRPr="00990D3B" w:rsidP="00223C66" w14:paraId="7033BE75" w14:textId="77777777">
            <w:pPr>
              <w:pStyle w:val="EQRTableText"/>
            </w:pPr>
          </w:p>
        </w:tc>
        <w:tc>
          <w:tcPr>
            <w:tcW w:w="417" w:type="pct"/>
          </w:tcPr>
          <w:p w:rsidR="00DE2DC9" w:rsidRPr="00990D3B" w:rsidP="00223C66" w14:paraId="0C1E84BF" w14:textId="36C8C02E">
            <w:pPr>
              <w:pStyle w:val="EQRTableText"/>
            </w:pPr>
          </w:p>
        </w:tc>
        <w:tc>
          <w:tcPr>
            <w:tcW w:w="486" w:type="pct"/>
          </w:tcPr>
          <w:p w:rsidR="00DE2DC9" w:rsidRPr="00990D3B" w:rsidP="00223C66" w14:paraId="20A9F646" w14:textId="3C04AE20">
            <w:pPr>
              <w:pStyle w:val="EQRTableText"/>
            </w:pPr>
          </w:p>
        </w:tc>
        <w:tc>
          <w:tcPr>
            <w:tcW w:w="661" w:type="pct"/>
          </w:tcPr>
          <w:p w:rsidR="00DE2DC9" w:rsidRPr="00990D3B" w:rsidP="00223C66" w14:paraId="6A99EAC0" w14:textId="0839E12B">
            <w:pPr>
              <w:pStyle w:val="EQRTableText"/>
            </w:pPr>
          </w:p>
        </w:tc>
        <w:tc>
          <w:tcPr>
            <w:tcW w:w="625" w:type="pct"/>
            <w:vAlign w:val="center"/>
          </w:tcPr>
          <w:p w:rsidR="00DE2DC9" w:rsidRPr="00990D3B" w:rsidP="00223C66" w14:paraId="2DCFB931" w14:textId="14DB68AC">
            <w:pPr>
              <w:pStyle w:val="EQRTableText"/>
            </w:pPr>
          </w:p>
        </w:tc>
        <w:tc>
          <w:tcPr>
            <w:tcW w:w="693" w:type="pct"/>
          </w:tcPr>
          <w:p w:rsidR="00DE2DC9" w:rsidRPr="00990D3B" w:rsidP="00223C66" w14:paraId="71A0FA69" w14:textId="77777777">
            <w:pPr>
              <w:pStyle w:val="EQRTableText"/>
            </w:pPr>
          </w:p>
        </w:tc>
      </w:tr>
      <w:tr w14:paraId="24644E6C" w14:textId="47B3777E" w:rsidTr="00223C66">
        <w:tblPrEx>
          <w:tblW w:w="5000" w:type="pct"/>
          <w:tblLook w:val="04A0"/>
        </w:tblPrEx>
        <w:trPr>
          <w:trHeight w:val="139"/>
        </w:trPr>
        <w:tc>
          <w:tcPr>
            <w:tcW w:w="236" w:type="pct"/>
            <w:vMerge/>
          </w:tcPr>
          <w:p w:rsidR="00DE2DC9" w:rsidRPr="00990D3B" w:rsidP="00223C66" w14:paraId="4B7432FE" w14:textId="77777777">
            <w:pPr>
              <w:pStyle w:val="EQRTableText"/>
            </w:pPr>
          </w:p>
        </w:tc>
        <w:tc>
          <w:tcPr>
            <w:tcW w:w="336" w:type="pct"/>
          </w:tcPr>
          <w:p w:rsidR="00DE2DC9" w:rsidRPr="00990D3B" w:rsidP="00223C66" w14:paraId="15469F85" w14:textId="77777777">
            <w:pPr>
              <w:pStyle w:val="EQRTableText"/>
            </w:pPr>
          </w:p>
        </w:tc>
        <w:tc>
          <w:tcPr>
            <w:tcW w:w="955" w:type="pct"/>
          </w:tcPr>
          <w:p w:rsidR="00DE2DC9" w:rsidRPr="00990D3B" w:rsidP="00223C66" w14:paraId="43D50B6C" w14:textId="6367842D">
            <w:pPr>
              <w:pStyle w:val="EQRTableText"/>
            </w:pPr>
          </w:p>
        </w:tc>
        <w:tc>
          <w:tcPr>
            <w:tcW w:w="591" w:type="pct"/>
          </w:tcPr>
          <w:p w:rsidR="00DE2DC9" w:rsidRPr="00990D3B" w:rsidP="00223C66" w14:paraId="02B5C555" w14:textId="77777777">
            <w:pPr>
              <w:pStyle w:val="EQRTableText"/>
            </w:pPr>
          </w:p>
        </w:tc>
        <w:tc>
          <w:tcPr>
            <w:tcW w:w="417" w:type="pct"/>
          </w:tcPr>
          <w:p w:rsidR="00DE2DC9" w:rsidRPr="00990D3B" w:rsidP="00223C66" w14:paraId="125FF0A6" w14:textId="59FA6C38">
            <w:pPr>
              <w:pStyle w:val="EQRTableText"/>
            </w:pPr>
          </w:p>
        </w:tc>
        <w:tc>
          <w:tcPr>
            <w:tcW w:w="486" w:type="pct"/>
          </w:tcPr>
          <w:p w:rsidR="00DE2DC9" w:rsidRPr="00990D3B" w:rsidP="00223C66" w14:paraId="5EC4A5B5" w14:textId="239BE2FA">
            <w:pPr>
              <w:pStyle w:val="EQRTableText"/>
            </w:pPr>
          </w:p>
        </w:tc>
        <w:tc>
          <w:tcPr>
            <w:tcW w:w="661" w:type="pct"/>
          </w:tcPr>
          <w:p w:rsidR="00DE2DC9" w:rsidRPr="00990D3B" w:rsidP="00223C66" w14:paraId="1A766824" w14:textId="5F5F5376">
            <w:pPr>
              <w:pStyle w:val="EQRTableText"/>
            </w:pPr>
          </w:p>
        </w:tc>
        <w:tc>
          <w:tcPr>
            <w:tcW w:w="625" w:type="pct"/>
            <w:vAlign w:val="center"/>
          </w:tcPr>
          <w:p w:rsidR="00DE2DC9" w:rsidRPr="00990D3B" w:rsidP="00223C66" w14:paraId="4B85F05D" w14:textId="17602A62">
            <w:pPr>
              <w:pStyle w:val="EQRTableText"/>
            </w:pPr>
          </w:p>
        </w:tc>
        <w:tc>
          <w:tcPr>
            <w:tcW w:w="693" w:type="pct"/>
          </w:tcPr>
          <w:p w:rsidR="00DE2DC9" w:rsidRPr="00990D3B" w:rsidP="00223C66" w14:paraId="4AFC0599" w14:textId="77777777">
            <w:pPr>
              <w:pStyle w:val="EQRTableText"/>
            </w:pPr>
          </w:p>
        </w:tc>
      </w:tr>
      <w:tr w14:paraId="53AEE722" w14:textId="416F9CD8" w:rsidTr="00223C66">
        <w:tblPrEx>
          <w:tblW w:w="5000" w:type="pct"/>
          <w:tblLook w:val="04A0"/>
        </w:tblPrEx>
        <w:trPr>
          <w:trHeight w:val="139"/>
        </w:trPr>
        <w:tc>
          <w:tcPr>
            <w:tcW w:w="236" w:type="pct"/>
            <w:vMerge/>
            <w:vAlign w:val="bottom"/>
          </w:tcPr>
          <w:p w:rsidR="00DE2DC9" w:rsidRPr="00990D3B" w:rsidP="00223C66" w14:paraId="2CB5F94C" w14:textId="77777777">
            <w:pPr>
              <w:pStyle w:val="EQRTableText"/>
            </w:pPr>
          </w:p>
        </w:tc>
        <w:tc>
          <w:tcPr>
            <w:tcW w:w="336" w:type="pct"/>
          </w:tcPr>
          <w:p w:rsidR="00DE2DC9" w:rsidRPr="00990D3B" w:rsidP="00223C66" w14:paraId="4A7EC65A" w14:textId="77777777">
            <w:pPr>
              <w:pStyle w:val="EQRTableText"/>
            </w:pPr>
          </w:p>
        </w:tc>
        <w:tc>
          <w:tcPr>
            <w:tcW w:w="955" w:type="pct"/>
          </w:tcPr>
          <w:p w:rsidR="00DE2DC9" w:rsidRPr="00990D3B" w:rsidP="00223C66" w14:paraId="5C29A928" w14:textId="51627DBE">
            <w:pPr>
              <w:pStyle w:val="EQRTableText"/>
            </w:pPr>
          </w:p>
        </w:tc>
        <w:tc>
          <w:tcPr>
            <w:tcW w:w="591" w:type="pct"/>
          </w:tcPr>
          <w:p w:rsidR="00DE2DC9" w:rsidRPr="00990D3B" w:rsidP="00223C66" w14:paraId="740245B9" w14:textId="77777777">
            <w:pPr>
              <w:pStyle w:val="EQRTableText"/>
            </w:pPr>
          </w:p>
        </w:tc>
        <w:tc>
          <w:tcPr>
            <w:tcW w:w="417" w:type="pct"/>
          </w:tcPr>
          <w:p w:rsidR="00DE2DC9" w:rsidRPr="00990D3B" w:rsidP="00223C66" w14:paraId="1639B6B5" w14:textId="3700903A">
            <w:pPr>
              <w:pStyle w:val="EQRTableText"/>
            </w:pPr>
          </w:p>
        </w:tc>
        <w:tc>
          <w:tcPr>
            <w:tcW w:w="486" w:type="pct"/>
          </w:tcPr>
          <w:p w:rsidR="00DE2DC9" w:rsidRPr="00990D3B" w:rsidP="00223C66" w14:paraId="3AA43512" w14:textId="467BA6D6">
            <w:pPr>
              <w:pStyle w:val="EQRTableText"/>
            </w:pPr>
          </w:p>
        </w:tc>
        <w:tc>
          <w:tcPr>
            <w:tcW w:w="661" w:type="pct"/>
          </w:tcPr>
          <w:p w:rsidR="00DE2DC9" w:rsidRPr="00990D3B" w:rsidP="00223C66" w14:paraId="3CD0B7D1" w14:textId="57D48633">
            <w:pPr>
              <w:pStyle w:val="EQRTableText"/>
            </w:pPr>
          </w:p>
        </w:tc>
        <w:tc>
          <w:tcPr>
            <w:tcW w:w="625" w:type="pct"/>
            <w:vAlign w:val="center"/>
          </w:tcPr>
          <w:p w:rsidR="00DE2DC9" w:rsidRPr="00990D3B" w:rsidP="00223C66" w14:paraId="2E28B3E1" w14:textId="35C2EB6D">
            <w:pPr>
              <w:pStyle w:val="EQRTableText"/>
            </w:pPr>
          </w:p>
        </w:tc>
        <w:tc>
          <w:tcPr>
            <w:tcW w:w="693" w:type="pct"/>
          </w:tcPr>
          <w:p w:rsidR="00DE2DC9" w:rsidRPr="00990D3B" w:rsidP="00223C66" w14:paraId="71E0D146" w14:textId="77777777">
            <w:pPr>
              <w:pStyle w:val="EQRTableText"/>
            </w:pPr>
          </w:p>
        </w:tc>
      </w:tr>
    </w:tbl>
    <w:p w:rsidR="00431C26" w:rsidRPr="00990D3B" w:rsidP="00BD1FC3" w14:paraId="0A5F8509" w14:textId="77777777">
      <w:pPr>
        <w:rPr>
          <w:rFonts w:eastAsia="Calibri" w:asciiTheme="majorHAnsi" w:hAnsiTheme="majorHAnsi" w:cstheme="majorHAnsi"/>
          <w:b/>
          <w:bCs/>
          <w:sz w:val="18"/>
          <w:szCs w:val="18"/>
        </w:rPr>
      </w:pPr>
    </w:p>
    <w:p w:rsidR="00B565EF" w:rsidRPr="00990D3B" w14:paraId="2A8B2E02" w14:textId="61777B38">
      <w:pPr>
        <w:spacing w:line="240" w:lineRule="auto"/>
      </w:pPr>
      <w:r w:rsidRPr="00990D3B">
        <w:br w:type="page"/>
      </w:r>
    </w:p>
    <w:p w:rsidR="00766B40" w:rsidRPr="00990D3B" w:rsidP="00EE530D" w14:paraId="0B84E2F4" w14:textId="347BE082">
      <w:pPr>
        <w:pStyle w:val="EQRMarkforExhibitWORKSHEET"/>
      </w:pPr>
      <w:bookmarkStart w:id="225" w:name="_Toc201751492"/>
      <w:bookmarkStart w:id="226" w:name="_Hlk187329193"/>
      <w:r w:rsidRPr="00990D3B">
        <w:t>Example Worksheet 1.13. PIP Summary</w:t>
      </w:r>
      <w:bookmarkEnd w:id="225"/>
      <w:r w:rsidRPr="00990D3B">
        <w:t xml:space="preserve"> </w:t>
      </w:r>
      <w:bookmarkEnd w:id="226"/>
    </w:p>
    <w:tbl>
      <w:tblPr>
        <w:tblStyle w:val="TableGrid"/>
        <w:tblW w:w="5106" w:type="pct"/>
        <w:tblLayout w:type="fixed"/>
        <w:tblLook w:val="04A0"/>
      </w:tblPr>
      <w:tblGrid>
        <w:gridCol w:w="834"/>
        <w:gridCol w:w="1651"/>
        <w:gridCol w:w="2277"/>
        <w:gridCol w:w="1108"/>
        <w:gridCol w:w="1217"/>
        <w:gridCol w:w="1457"/>
        <w:gridCol w:w="1531"/>
        <w:gridCol w:w="1531"/>
        <w:gridCol w:w="1619"/>
      </w:tblGrid>
      <w:tr w14:paraId="4ABA8749" w14:textId="5EF2071E" w:rsidTr="009F2EE6">
        <w:tblPrEx>
          <w:tblW w:w="5106" w:type="pct"/>
          <w:tblLayout w:type="fixed"/>
          <w:tblLook w:val="04A0"/>
        </w:tblPrEx>
        <w:trPr>
          <w:cantSplit/>
          <w:tblHeader/>
        </w:trPr>
        <w:tc>
          <w:tcPr>
            <w:tcW w:w="315" w:type="pct"/>
            <w:vAlign w:val="bottom"/>
          </w:tcPr>
          <w:p w:rsidR="00C93F95" w:rsidRPr="00990D3B" w:rsidP="00B565EF" w14:paraId="25523CBB" w14:textId="246D0514">
            <w:pPr>
              <w:pStyle w:val="TableHeaderLeft"/>
              <w:rPr>
                <w:sz w:val="17"/>
                <w:szCs w:val="17"/>
              </w:rPr>
            </w:pPr>
            <w:r w:rsidRPr="00990D3B">
              <w:rPr>
                <w:sz w:val="17"/>
                <w:szCs w:val="17"/>
              </w:rPr>
              <w:t>MCP</w:t>
            </w:r>
          </w:p>
        </w:tc>
        <w:tc>
          <w:tcPr>
            <w:tcW w:w="624" w:type="pct"/>
            <w:vAlign w:val="bottom"/>
          </w:tcPr>
          <w:p w:rsidR="00C93F95" w:rsidRPr="00990D3B" w:rsidP="00B565EF" w14:paraId="5EF09871" w14:textId="16BFBF4F">
            <w:pPr>
              <w:pStyle w:val="TableHeaderCenter"/>
              <w:rPr>
                <w:sz w:val="17"/>
                <w:szCs w:val="17"/>
              </w:rPr>
            </w:pPr>
            <w:r w:rsidRPr="00990D3B">
              <w:rPr>
                <w:sz w:val="17"/>
                <w:szCs w:val="17"/>
              </w:rPr>
              <w:t>PIP aim</w:t>
            </w:r>
          </w:p>
        </w:tc>
        <w:tc>
          <w:tcPr>
            <w:tcW w:w="861" w:type="pct"/>
            <w:vAlign w:val="bottom"/>
          </w:tcPr>
          <w:p w:rsidR="00C93F95" w:rsidRPr="00990D3B" w:rsidP="00B565EF" w14:paraId="4F14FDF8" w14:textId="07F22787">
            <w:pPr>
              <w:pStyle w:val="TableHeaderCenter"/>
              <w:rPr>
                <w:sz w:val="17"/>
                <w:szCs w:val="17"/>
              </w:rPr>
            </w:pPr>
            <w:r w:rsidRPr="00990D3B">
              <w:rPr>
                <w:sz w:val="17"/>
                <w:szCs w:val="17"/>
              </w:rPr>
              <w:t>PIP interventions</w:t>
            </w:r>
          </w:p>
        </w:tc>
        <w:tc>
          <w:tcPr>
            <w:tcW w:w="419" w:type="pct"/>
            <w:vAlign w:val="bottom"/>
          </w:tcPr>
          <w:p w:rsidR="00C93F95" w:rsidRPr="00990D3B" w:rsidP="00B565EF" w14:paraId="735FE18A" w14:textId="774B29FE">
            <w:pPr>
              <w:pStyle w:val="TableHeaderCenter"/>
              <w:rPr>
                <w:sz w:val="17"/>
                <w:szCs w:val="17"/>
              </w:rPr>
            </w:pPr>
            <w:r w:rsidRPr="00990D3B">
              <w:rPr>
                <w:sz w:val="17"/>
                <w:szCs w:val="17"/>
              </w:rPr>
              <w:t>Target population</w:t>
            </w:r>
          </w:p>
        </w:tc>
        <w:tc>
          <w:tcPr>
            <w:tcW w:w="460" w:type="pct"/>
            <w:vAlign w:val="bottom"/>
          </w:tcPr>
          <w:p w:rsidR="00C93F95" w:rsidRPr="00990D3B" w:rsidP="00B565EF" w14:paraId="405C7227" w14:textId="4E852461">
            <w:pPr>
              <w:pStyle w:val="TableHeaderCenter"/>
              <w:rPr>
                <w:sz w:val="17"/>
                <w:szCs w:val="17"/>
              </w:rPr>
            </w:pPr>
            <w:r w:rsidRPr="00990D3B">
              <w:rPr>
                <w:sz w:val="17"/>
                <w:szCs w:val="17"/>
              </w:rPr>
              <w:t>Performance measure</w:t>
            </w:r>
          </w:p>
        </w:tc>
        <w:tc>
          <w:tcPr>
            <w:tcW w:w="551" w:type="pct"/>
            <w:vAlign w:val="bottom"/>
          </w:tcPr>
          <w:p w:rsidR="00C93F95" w:rsidRPr="00990D3B" w:rsidP="00B565EF" w14:paraId="0FDAB531" w14:textId="5C126E79">
            <w:pPr>
              <w:pStyle w:val="TableHeaderCenter"/>
              <w:rPr>
                <w:sz w:val="17"/>
                <w:szCs w:val="17"/>
              </w:rPr>
            </w:pPr>
            <w:r w:rsidRPr="00990D3B">
              <w:rPr>
                <w:sz w:val="17"/>
                <w:szCs w:val="17"/>
              </w:rPr>
              <w:t>Baseline rate</w:t>
            </w:r>
            <w:r w:rsidRPr="00990D3B" w:rsidR="000A0F27">
              <w:rPr>
                <w:sz w:val="17"/>
                <w:szCs w:val="17"/>
              </w:rPr>
              <w:t xml:space="preserve"> </w:t>
            </w:r>
            <w:r w:rsidRPr="00990D3B">
              <w:rPr>
                <w:sz w:val="17"/>
                <w:szCs w:val="17"/>
              </w:rPr>
              <w:t>(Baseline Year)</w:t>
            </w:r>
          </w:p>
        </w:tc>
        <w:tc>
          <w:tcPr>
            <w:tcW w:w="579" w:type="pct"/>
            <w:vAlign w:val="bottom"/>
          </w:tcPr>
          <w:p w:rsidR="00C93F95" w:rsidRPr="00990D3B" w:rsidP="00B565EF" w14:paraId="627CB8E4" w14:textId="159FC7A6">
            <w:pPr>
              <w:pStyle w:val="TableHeaderCenter"/>
              <w:rPr>
                <w:sz w:val="17"/>
                <w:szCs w:val="17"/>
              </w:rPr>
            </w:pPr>
            <w:r w:rsidRPr="00990D3B">
              <w:rPr>
                <w:sz w:val="17"/>
                <w:szCs w:val="17"/>
              </w:rPr>
              <w:t>Remeasurement 1 (Year)</w:t>
            </w:r>
          </w:p>
        </w:tc>
        <w:tc>
          <w:tcPr>
            <w:tcW w:w="579" w:type="pct"/>
            <w:vAlign w:val="bottom"/>
          </w:tcPr>
          <w:p w:rsidR="00C93F95" w:rsidRPr="00990D3B" w:rsidP="00B565EF" w14:paraId="28EA3784" w14:textId="109A9701">
            <w:pPr>
              <w:pStyle w:val="TableHeaderCenter"/>
              <w:rPr>
                <w:sz w:val="17"/>
                <w:szCs w:val="17"/>
              </w:rPr>
            </w:pPr>
            <w:r w:rsidRPr="00990D3B">
              <w:rPr>
                <w:sz w:val="17"/>
                <w:szCs w:val="17"/>
              </w:rPr>
              <w:t>Remeasurement 2</w:t>
            </w:r>
            <w:r w:rsidRPr="00990D3B" w:rsidR="000F1E09">
              <w:rPr>
                <w:sz w:val="17"/>
                <w:szCs w:val="17"/>
              </w:rPr>
              <w:t xml:space="preserve"> </w:t>
            </w:r>
            <w:r w:rsidRPr="00990D3B">
              <w:rPr>
                <w:sz w:val="17"/>
                <w:szCs w:val="17"/>
              </w:rPr>
              <w:t>(Year)</w:t>
            </w:r>
          </w:p>
        </w:tc>
        <w:tc>
          <w:tcPr>
            <w:tcW w:w="612" w:type="pct"/>
            <w:vAlign w:val="bottom"/>
          </w:tcPr>
          <w:p w:rsidR="00C93F95" w:rsidRPr="00990D3B" w:rsidP="00B565EF" w14:paraId="0608023D" w14:textId="44DA23F8">
            <w:pPr>
              <w:pStyle w:val="TableHeaderCenter"/>
              <w:rPr>
                <w:sz w:val="17"/>
                <w:szCs w:val="17"/>
              </w:rPr>
            </w:pPr>
            <w:r w:rsidRPr="00005E1A">
              <w:rPr>
                <w:sz w:val="17"/>
                <w:szCs w:val="17"/>
              </w:rPr>
              <w:t xml:space="preserve">EQRO </w:t>
            </w:r>
            <w:r w:rsidR="00005E1A">
              <w:rPr>
                <w:sz w:val="17"/>
                <w:szCs w:val="17"/>
              </w:rPr>
              <w:t>comments</w:t>
            </w:r>
          </w:p>
        </w:tc>
      </w:tr>
      <w:tr w14:paraId="2E074887" w14:textId="7C4A86B1" w:rsidTr="00B565EF">
        <w:tblPrEx>
          <w:tblW w:w="5106" w:type="pct"/>
          <w:tblLayout w:type="fixed"/>
          <w:tblLook w:val="04A0"/>
        </w:tblPrEx>
        <w:trPr>
          <w:cantSplit/>
        </w:trPr>
        <w:tc>
          <w:tcPr>
            <w:tcW w:w="5000" w:type="pct"/>
            <w:gridSpan w:val="9"/>
          </w:tcPr>
          <w:p w:rsidR="006F1706" w:rsidRPr="00990D3B" w:rsidP="00B565EF" w14:paraId="521E3EC4" w14:textId="59ED68EC">
            <w:pPr>
              <w:pStyle w:val="TableRowHead"/>
              <w:rPr>
                <w:sz w:val="17"/>
                <w:szCs w:val="17"/>
              </w:rPr>
            </w:pPr>
            <w:r w:rsidRPr="00990D3B">
              <w:rPr>
                <w:sz w:val="17"/>
                <w:szCs w:val="17"/>
              </w:rPr>
              <w:t xml:space="preserve">Comprehensive Diabetes Care PIPs </w:t>
            </w:r>
          </w:p>
        </w:tc>
      </w:tr>
      <w:tr w14:paraId="5D88D948" w14:textId="6D5AD8D1" w:rsidTr="00B565EF">
        <w:tblPrEx>
          <w:tblW w:w="5106" w:type="pct"/>
          <w:tblLayout w:type="fixed"/>
          <w:tblLook w:val="04A0"/>
        </w:tblPrEx>
        <w:trPr>
          <w:cantSplit/>
        </w:trPr>
        <w:tc>
          <w:tcPr>
            <w:tcW w:w="315" w:type="pct"/>
            <w:vMerge w:val="restart"/>
          </w:tcPr>
          <w:p w:rsidR="006F1706" w:rsidRPr="00990D3B" w:rsidP="00B565EF" w14:paraId="68762F9E" w14:textId="0A30BAC5">
            <w:pPr>
              <w:pStyle w:val="EQRTableText"/>
              <w:rPr>
                <w:sz w:val="17"/>
                <w:szCs w:val="17"/>
              </w:rPr>
            </w:pPr>
            <w:r w:rsidRPr="00990D3B">
              <w:rPr>
                <w:sz w:val="17"/>
                <w:szCs w:val="17"/>
              </w:rPr>
              <w:t>Plan A</w:t>
            </w:r>
          </w:p>
        </w:tc>
        <w:tc>
          <w:tcPr>
            <w:tcW w:w="624" w:type="pct"/>
          </w:tcPr>
          <w:p w:rsidR="006F1706" w:rsidRPr="00990D3B" w:rsidP="00B565EF" w14:paraId="190DB2AB" w14:textId="77777777">
            <w:pPr>
              <w:pStyle w:val="EQRTableText"/>
              <w:rPr>
                <w:sz w:val="17"/>
                <w:szCs w:val="17"/>
              </w:rPr>
            </w:pPr>
            <w:r w:rsidRPr="00990D3B">
              <w:rPr>
                <w:sz w:val="17"/>
                <w:szCs w:val="17"/>
              </w:rPr>
              <w:t>Increase Blood Pressure Control to 73%</w:t>
            </w:r>
          </w:p>
        </w:tc>
        <w:tc>
          <w:tcPr>
            <w:tcW w:w="861" w:type="pct"/>
          </w:tcPr>
          <w:p w:rsidR="006F1706" w:rsidRPr="00990D3B" w:rsidP="00B565EF" w14:paraId="37EF0321" w14:textId="2C0451BE">
            <w:pPr>
              <w:pStyle w:val="EQRTableText"/>
              <w:rPr>
                <w:sz w:val="17"/>
                <w:szCs w:val="17"/>
              </w:rPr>
            </w:pPr>
            <w:r w:rsidRPr="00990D3B">
              <w:rPr>
                <w:sz w:val="17"/>
                <w:szCs w:val="17"/>
              </w:rPr>
              <w:t>Provided glucose monitors to enrollees, and related education classes, to improve self-management.</w:t>
            </w:r>
          </w:p>
          <w:p w:rsidR="006F1706" w:rsidRPr="00990D3B" w:rsidP="00B565EF" w14:paraId="3D8BFDAC" w14:textId="3CC0B167">
            <w:pPr>
              <w:pStyle w:val="EQRTableText"/>
              <w:rPr>
                <w:sz w:val="17"/>
                <w:szCs w:val="17"/>
              </w:rPr>
            </w:pPr>
            <w:r w:rsidRPr="00990D3B">
              <w:rPr>
                <w:sz w:val="17"/>
                <w:szCs w:val="17"/>
              </w:rPr>
              <w:t>Sent performance reports on diabetes care metrics to providers to identify gaps and drive improvement</w:t>
            </w:r>
          </w:p>
        </w:tc>
        <w:tc>
          <w:tcPr>
            <w:tcW w:w="419" w:type="pct"/>
          </w:tcPr>
          <w:p w:rsidR="006F1706" w:rsidRPr="00990D3B" w:rsidP="00B565EF" w14:paraId="3E8F8820" w14:textId="3F45B66A">
            <w:pPr>
              <w:pStyle w:val="EQRTableText"/>
              <w:rPr>
                <w:sz w:val="17"/>
                <w:szCs w:val="17"/>
              </w:rPr>
            </w:pPr>
            <w:r w:rsidRPr="00990D3B">
              <w:rPr>
                <w:sz w:val="17"/>
                <w:szCs w:val="17"/>
              </w:rPr>
              <w:t>Ages 18-39 with type 1 or type 2 diabetes</w:t>
            </w:r>
          </w:p>
        </w:tc>
        <w:tc>
          <w:tcPr>
            <w:tcW w:w="460" w:type="pct"/>
          </w:tcPr>
          <w:p w:rsidR="006F1706" w:rsidRPr="00990D3B" w:rsidP="00B565EF" w14:paraId="236608E5" w14:textId="77777777">
            <w:pPr>
              <w:pStyle w:val="EQRTableText"/>
              <w:rPr>
                <w:sz w:val="17"/>
                <w:szCs w:val="17"/>
              </w:rPr>
            </w:pPr>
            <w:r w:rsidRPr="00990D3B">
              <w:rPr>
                <w:sz w:val="17"/>
                <w:szCs w:val="17"/>
              </w:rPr>
              <w:t>Blood Pressure Control</w:t>
            </w:r>
          </w:p>
        </w:tc>
        <w:tc>
          <w:tcPr>
            <w:tcW w:w="551" w:type="pct"/>
          </w:tcPr>
          <w:p w:rsidR="006F1706" w:rsidRPr="00990D3B" w:rsidP="00B565EF" w14:paraId="1C7007CB" w14:textId="77777777">
            <w:pPr>
              <w:pStyle w:val="EQRTableText"/>
              <w:rPr>
                <w:sz w:val="17"/>
                <w:szCs w:val="17"/>
              </w:rPr>
            </w:pPr>
            <w:r w:rsidRPr="00990D3B">
              <w:rPr>
                <w:sz w:val="17"/>
                <w:szCs w:val="17"/>
              </w:rPr>
              <w:t>68%</w:t>
            </w:r>
          </w:p>
          <w:p w:rsidR="006F1706" w:rsidRPr="00990D3B" w:rsidP="00B565EF" w14:paraId="10E7BEFB" w14:textId="13F75894">
            <w:pPr>
              <w:pStyle w:val="EQRTableText"/>
              <w:rPr>
                <w:sz w:val="17"/>
                <w:szCs w:val="17"/>
              </w:rPr>
            </w:pPr>
            <w:r w:rsidRPr="00990D3B">
              <w:rPr>
                <w:sz w:val="17"/>
                <w:szCs w:val="17"/>
              </w:rPr>
              <w:t>(2023)</w:t>
            </w:r>
          </w:p>
        </w:tc>
        <w:tc>
          <w:tcPr>
            <w:tcW w:w="579" w:type="pct"/>
          </w:tcPr>
          <w:p w:rsidR="006F1706" w:rsidRPr="00990D3B" w:rsidP="00B565EF" w14:paraId="25965A8F" w14:textId="77777777">
            <w:pPr>
              <w:pStyle w:val="EQRTableText"/>
              <w:rPr>
                <w:sz w:val="17"/>
                <w:szCs w:val="17"/>
              </w:rPr>
            </w:pPr>
            <w:r w:rsidRPr="00990D3B">
              <w:rPr>
                <w:sz w:val="17"/>
                <w:szCs w:val="17"/>
              </w:rPr>
              <w:t>72%</w:t>
            </w:r>
          </w:p>
          <w:p w:rsidR="006F1706" w:rsidRPr="00990D3B" w:rsidP="00B565EF" w14:paraId="141CDC58" w14:textId="77777777">
            <w:pPr>
              <w:pStyle w:val="EQRTableText"/>
              <w:rPr>
                <w:sz w:val="17"/>
                <w:szCs w:val="17"/>
              </w:rPr>
            </w:pPr>
            <w:r w:rsidRPr="00990D3B">
              <w:rPr>
                <w:sz w:val="17"/>
                <w:szCs w:val="17"/>
              </w:rPr>
              <w:t>↑</w:t>
            </w:r>
          </w:p>
          <w:p w:rsidR="006F1706" w:rsidRPr="00990D3B" w:rsidP="00B565EF" w14:paraId="323DDEE2" w14:textId="130DF1E5">
            <w:pPr>
              <w:pStyle w:val="EQRTableText"/>
              <w:rPr>
                <w:sz w:val="17"/>
                <w:szCs w:val="17"/>
              </w:rPr>
            </w:pPr>
            <w:r w:rsidRPr="00990D3B">
              <w:rPr>
                <w:sz w:val="17"/>
                <w:szCs w:val="17"/>
              </w:rPr>
              <w:t>(2024)</w:t>
            </w:r>
          </w:p>
        </w:tc>
        <w:tc>
          <w:tcPr>
            <w:tcW w:w="579" w:type="pct"/>
            <w:vAlign w:val="center"/>
          </w:tcPr>
          <w:p w:rsidR="006F1706" w:rsidRPr="00990D3B" w:rsidP="00B565EF" w14:paraId="0A9C3F73" w14:textId="77777777">
            <w:pPr>
              <w:pStyle w:val="EQRTableText"/>
              <w:rPr>
                <w:sz w:val="17"/>
                <w:szCs w:val="17"/>
              </w:rPr>
            </w:pPr>
            <w:r w:rsidRPr="00990D3B">
              <w:rPr>
                <w:sz w:val="17"/>
                <w:szCs w:val="17"/>
              </w:rPr>
              <w:t>-</w:t>
            </w:r>
          </w:p>
        </w:tc>
        <w:tc>
          <w:tcPr>
            <w:tcW w:w="612" w:type="pct"/>
          </w:tcPr>
          <w:p w:rsidR="006F1706" w:rsidRPr="00990D3B" w:rsidP="00B565EF" w14:paraId="513CAE2E" w14:textId="1914A9B1">
            <w:pPr>
              <w:pStyle w:val="EQRTableText"/>
              <w:rPr>
                <w:sz w:val="17"/>
                <w:szCs w:val="17"/>
              </w:rPr>
            </w:pPr>
            <w:r w:rsidRPr="00990D3B">
              <w:rPr>
                <w:sz w:val="17"/>
                <w:szCs w:val="17"/>
              </w:rPr>
              <w:t xml:space="preserve">Providers reported that access to individualized performance reports helped identify patients who needed closer follow-up care </w:t>
            </w:r>
          </w:p>
        </w:tc>
      </w:tr>
      <w:tr w14:paraId="7DE4BA9F" w14:textId="1FF2F60D" w:rsidTr="00B565EF">
        <w:tblPrEx>
          <w:tblW w:w="5106" w:type="pct"/>
          <w:tblLayout w:type="fixed"/>
          <w:tblLook w:val="04A0"/>
        </w:tblPrEx>
        <w:trPr>
          <w:cantSplit/>
        </w:trPr>
        <w:tc>
          <w:tcPr>
            <w:tcW w:w="315" w:type="pct"/>
            <w:vMerge/>
          </w:tcPr>
          <w:p w:rsidR="00947C70" w:rsidRPr="00990D3B" w:rsidP="00947C70" w14:paraId="15D1E299" w14:textId="77777777">
            <w:pPr>
              <w:pStyle w:val="EQRTableText"/>
              <w:rPr>
                <w:sz w:val="17"/>
                <w:szCs w:val="17"/>
              </w:rPr>
            </w:pPr>
          </w:p>
        </w:tc>
        <w:tc>
          <w:tcPr>
            <w:tcW w:w="624" w:type="pct"/>
          </w:tcPr>
          <w:p w:rsidR="00947C70" w:rsidRPr="00990D3B" w:rsidP="00947C70" w14:paraId="2FEED6C8" w14:textId="152B96D6">
            <w:pPr>
              <w:pStyle w:val="EQRTableText"/>
              <w:rPr>
                <w:sz w:val="17"/>
                <w:szCs w:val="17"/>
              </w:rPr>
            </w:pPr>
            <w:r w:rsidRPr="00990D3B">
              <w:rPr>
                <w:sz w:val="17"/>
                <w:szCs w:val="17"/>
              </w:rPr>
              <w:t xml:space="preserve">Increase HbA1c Testing to 74% </w:t>
            </w:r>
          </w:p>
        </w:tc>
        <w:tc>
          <w:tcPr>
            <w:tcW w:w="861" w:type="pct"/>
          </w:tcPr>
          <w:p w:rsidR="00947C70" w:rsidRPr="00990D3B" w:rsidP="00947C70" w14:paraId="23D5C9E3" w14:textId="77777777">
            <w:pPr>
              <w:pStyle w:val="EQRTableText"/>
              <w:rPr>
                <w:sz w:val="17"/>
                <w:szCs w:val="17"/>
              </w:rPr>
            </w:pPr>
            <w:r w:rsidRPr="00990D3B">
              <w:rPr>
                <w:sz w:val="17"/>
                <w:szCs w:val="17"/>
              </w:rPr>
              <w:t>Provided glucose monitors to enrollees, and related education classes, to improve self-management.</w:t>
            </w:r>
          </w:p>
          <w:p w:rsidR="00947C70" w:rsidRPr="00990D3B" w:rsidP="00947C70" w14:paraId="78B29044" w14:textId="5BAEC99A">
            <w:pPr>
              <w:pStyle w:val="EQRTableText"/>
              <w:rPr>
                <w:sz w:val="17"/>
                <w:szCs w:val="17"/>
              </w:rPr>
            </w:pPr>
            <w:r w:rsidRPr="00990D3B">
              <w:rPr>
                <w:sz w:val="17"/>
                <w:szCs w:val="17"/>
              </w:rPr>
              <w:t>Sent performance reports on diabetes care metrics to providers to identify gaps and drive improvement</w:t>
            </w:r>
          </w:p>
        </w:tc>
        <w:tc>
          <w:tcPr>
            <w:tcW w:w="419" w:type="pct"/>
          </w:tcPr>
          <w:p w:rsidR="00947C70" w:rsidRPr="00990D3B" w:rsidP="00947C70" w14:paraId="75558A32" w14:textId="64C9CA3A">
            <w:pPr>
              <w:pStyle w:val="EQRTableText"/>
              <w:rPr>
                <w:sz w:val="17"/>
                <w:szCs w:val="17"/>
              </w:rPr>
            </w:pPr>
            <w:r w:rsidRPr="00990D3B">
              <w:rPr>
                <w:sz w:val="17"/>
                <w:szCs w:val="17"/>
              </w:rPr>
              <w:t>Ages 18-39 with type 1 or type 2 diabetes</w:t>
            </w:r>
          </w:p>
        </w:tc>
        <w:tc>
          <w:tcPr>
            <w:tcW w:w="460" w:type="pct"/>
          </w:tcPr>
          <w:p w:rsidR="00947C70" w:rsidRPr="00990D3B" w:rsidP="00947C70" w14:paraId="6DA385FD" w14:textId="77777777">
            <w:pPr>
              <w:pStyle w:val="EQRTableText"/>
              <w:rPr>
                <w:sz w:val="17"/>
                <w:szCs w:val="17"/>
              </w:rPr>
            </w:pPr>
            <w:r w:rsidRPr="00990D3B">
              <w:rPr>
                <w:sz w:val="17"/>
                <w:szCs w:val="17"/>
              </w:rPr>
              <w:t xml:space="preserve">HbA1c Testing </w:t>
            </w:r>
          </w:p>
        </w:tc>
        <w:tc>
          <w:tcPr>
            <w:tcW w:w="551" w:type="pct"/>
          </w:tcPr>
          <w:p w:rsidR="00947C70" w:rsidRPr="00990D3B" w:rsidP="00947C70" w14:paraId="2956FE51" w14:textId="77777777">
            <w:pPr>
              <w:pStyle w:val="EQRTableText"/>
              <w:rPr>
                <w:sz w:val="17"/>
                <w:szCs w:val="17"/>
              </w:rPr>
            </w:pPr>
            <w:r w:rsidRPr="00990D3B">
              <w:rPr>
                <w:sz w:val="17"/>
                <w:szCs w:val="17"/>
              </w:rPr>
              <w:t>51%</w:t>
            </w:r>
          </w:p>
          <w:p w:rsidR="00947C70" w:rsidRPr="00990D3B" w:rsidP="00947C70" w14:paraId="1406231D" w14:textId="09673029">
            <w:pPr>
              <w:pStyle w:val="EQRTableText"/>
              <w:rPr>
                <w:sz w:val="17"/>
                <w:szCs w:val="17"/>
              </w:rPr>
            </w:pPr>
            <w:r w:rsidRPr="00990D3B">
              <w:rPr>
                <w:sz w:val="17"/>
                <w:szCs w:val="17"/>
              </w:rPr>
              <w:t>(2023)</w:t>
            </w:r>
          </w:p>
        </w:tc>
        <w:tc>
          <w:tcPr>
            <w:tcW w:w="579" w:type="pct"/>
          </w:tcPr>
          <w:p w:rsidR="00947C70" w:rsidRPr="00990D3B" w:rsidP="00947C70" w14:paraId="202A1726" w14:textId="77777777">
            <w:pPr>
              <w:pStyle w:val="EQRTableText"/>
              <w:rPr>
                <w:sz w:val="17"/>
                <w:szCs w:val="17"/>
              </w:rPr>
            </w:pPr>
            <w:r w:rsidRPr="00990D3B">
              <w:rPr>
                <w:sz w:val="17"/>
                <w:szCs w:val="17"/>
              </w:rPr>
              <w:t>42%</w:t>
            </w:r>
          </w:p>
          <w:p w:rsidR="00947C70" w:rsidRPr="00990D3B" w:rsidP="00947C70" w14:paraId="09C6C83A" w14:textId="77777777">
            <w:pPr>
              <w:pStyle w:val="EQRTableText"/>
              <w:rPr>
                <w:sz w:val="17"/>
                <w:szCs w:val="17"/>
              </w:rPr>
            </w:pPr>
            <w:r w:rsidRPr="00990D3B">
              <w:rPr>
                <w:sz w:val="17"/>
                <w:szCs w:val="17"/>
              </w:rPr>
              <w:t>↓</w:t>
            </w:r>
          </w:p>
          <w:p w:rsidR="00947C70" w:rsidRPr="00990D3B" w:rsidP="00947C70" w14:paraId="62D19C88" w14:textId="29FC0E1F">
            <w:pPr>
              <w:pStyle w:val="EQRTableText"/>
              <w:rPr>
                <w:sz w:val="17"/>
                <w:szCs w:val="17"/>
              </w:rPr>
            </w:pPr>
            <w:r w:rsidRPr="00990D3B">
              <w:rPr>
                <w:sz w:val="17"/>
                <w:szCs w:val="17"/>
              </w:rPr>
              <w:t>(2024)</w:t>
            </w:r>
          </w:p>
        </w:tc>
        <w:tc>
          <w:tcPr>
            <w:tcW w:w="579" w:type="pct"/>
            <w:vAlign w:val="center"/>
          </w:tcPr>
          <w:p w:rsidR="00947C70" w:rsidRPr="00990D3B" w:rsidP="00947C70" w14:paraId="1E6EF556" w14:textId="77777777">
            <w:pPr>
              <w:pStyle w:val="EQRTableText"/>
              <w:rPr>
                <w:sz w:val="17"/>
                <w:szCs w:val="17"/>
              </w:rPr>
            </w:pPr>
            <w:r w:rsidRPr="00990D3B">
              <w:rPr>
                <w:sz w:val="17"/>
                <w:szCs w:val="17"/>
              </w:rPr>
              <w:t>-</w:t>
            </w:r>
          </w:p>
        </w:tc>
        <w:tc>
          <w:tcPr>
            <w:tcW w:w="612" w:type="pct"/>
          </w:tcPr>
          <w:p w:rsidR="00947C70" w:rsidRPr="00990D3B" w:rsidP="00947C70" w14:paraId="46D6144F" w14:textId="502A4D4E">
            <w:pPr>
              <w:pStyle w:val="EQRTableText"/>
              <w:rPr>
                <w:sz w:val="17"/>
                <w:szCs w:val="17"/>
              </w:rPr>
            </w:pPr>
            <w:r w:rsidRPr="00990D3B">
              <w:rPr>
                <w:sz w:val="17"/>
                <w:szCs w:val="17"/>
              </w:rPr>
              <w:t>Providers reported that access to individualized performance reports helped identify patients who needed closer follow-up care</w:t>
            </w:r>
          </w:p>
        </w:tc>
      </w:tr>
      <w:tr w14:paraId="010323AF" w14:textId="0AC38432" w:rsidTr="00B565EF">
        <w:tblPrEx>
          <w:tblW w:w="5106" w:type="pct"/>
          <w:tblLayout w:type="fixed"/>
          <w:tblLook w:val="04A0"/>
        </w:tblPrEx>
        <w:trPr>
          <w:cantSplit/>
        </w:trPr>
        <w:tc>
          <w:tcPr>
            <w:tcW w:w="315" w:type="pct"/>
            <w:vMerge w:val="restart"/>
          </w:tcPr>
          <w:p w:rsidR="00947C70" w:rsidRPr="00990D3B" w:rsidP="00947C70" w14:paraId="61626752" w14:textId="287B3761">
            <w:pPr>
              <w:pStyle w:val="EQRTableText"/>
              <w:rPr>
                <w:sz w:val="17"/>
                <w:szCs w:val="17"/>
              </w:rPr>
            </w:pPr>
            <w:r w:rsidRPr="00990D3B">
              <w:rPr>
                <w:sz w:val="17"/>
                <w:szCs w:val="17"/>
              </w:rPr>
              <w:t>Plan B</w:t>
            </w:r>
          </w:p>
        </w:tc>
        <w:tc>
          <w:tcPr>
            <w:tcW w:w="624" w:type="pct"/>
          </w:tcPr>
          <w:p w:rsidR="00947C70" w:rsidRPr="00990D3B" w:rsidP="00947C70" w14:paraId="17228F9B" w14:textId="77777777">
            <w:pPr>
              <w:pStyle w:val="EQRTableText"/>
              <w:rPr>
                <w:sz w:val="17"/>
                <w:szCs w:val="17"/>
              </w:rPr>
            </w:pPr>
            <w:r w:rsidRPr="00990D3B">
              <w:rPr>
                <w:sz w:val="17"/>
                <w:szCs w:val="17"/>
              </w:rPr>
              <w:t>Increase Blood Pressure Control to 68%</w:t>
            </w:r>
          </w:p>
        </w:tc>
        <w:tc>
          <w:tcPr>
            <w:tcW w:w="861" w:type="pct"/>
          </w:tcPr>
          <w:p w:rsidR="00947C70" w:rsidRPr="00990D3B" w:rsidP="00947C70" w14:paraId="23EBE67B" w14:textId="63934419">
            <w:pPr>
              <w:pStyle w:val="EQRTableText"/>
              <w:rPr>
                <w:sz w:val="17"/>
                <w:szCs w:val="17"/>
              </w:rPr>
            </w:pPr>
            <w:r w:rsidRPr="00990D3B">
              <w:rPr>
                <w:sz w:val="17"/>
                <w:szCs w:val="17"/>
              </w:rPr>
              <w:t xml:space="preserve">Provided members with self-management education pamphlets  </w:t>
            </w:r>
          </w:p>
        </w:tc>
        <w:tc>
          <w:tcPr>
            <w:tcW w:w="419" w:type="pct"/>
          </w:tcPr>
          <w:p w:rsidR="00947C70" w:rsidRPr="00990D3B" w:rsidP="00947C70" w14:paraId="2BF5C6DD" w14:textId="3FC83821">
            <w:pPr>
              <w:pStyle w:val="EQRTableText"/>
              <w:rPr>
                <w:sz w:val="17"/>
                <w:szCs w:val="17"/>
              </w:rPr>
            </w:pPr>
            <w:r w:rsidRPr="00990D3B">
              <w:rPr>
                <w:sz w:val="17"/>
                <w:szCs w:val="17"/>
              </w:rPr>
              <w:t>Ages 18-39 with type 1 or type 2 diabetes</w:t>
            </w:r>
          </w:p>
        </w:tc>
        <w:tc>
          <w:tcPr>
            <w:tcW w:w="460" w:type="pct"/>
          </w:tcPr>
          <w:p w:rsidR="00947C70" w:rsidRPr="00990D3B" w:rsidP="00947C70" w14:paraId="0EDADF62" w14:textId="77777777">
            <w:pPr>
              <w:pStyle w:val="EQRTableText"/>
              <w:rPr>
                <w:sz w:val="17"/>
                <w:szCs w:val="17"/>
              </w:rPr>
            </w:pPr>
            <w:r w:rsidRPr="00990D3B">
              <w:rPr>
                <w:sz w:val="17"/>
                <w:szCs w:val="17"/>
              </w:rPr>
              <w:t>Blood Pressure Control</w:t>
            </w:r>
          </w:p>
        </w:tc>
        <w:tc>
          <w:tcPr>
            <w:tcW w:w="551" w:type="pct"/>
          </w:tcPr>
          <w:p w:rsidR="00947C70" w:rsidRPr="00990D3B" w:rsidP="00947C70" w14:paraId="7DB876EF" w14:textId="77777777">
            <w:pPr>
              <w:pStyle w:val="EQRTableText"/>
              <w:rPr>
                <w:sz w:val="17"/>
                <w:szCs w:val="17"/>
              </w:rPr>
            </w:pPr>
            <w:r w:rsidRPr="00990D3B">
              <w:rPr>
                <w:sz w:val="17"/>
                <w:szCs w:val="17"/>
              </w:rPr>
              <w:t>63%</w:t>
            </w:r>
          </w:p>
          <w:p w:rsidR="00947C70" w:rsidRPr="00990D3B" w:rsidP="00947C70" w14:paraId="28B7A1D7" w14:textId="1E4797A0">
            <w:pPr>
              <w:pStyle w:val="EQRTableText"/>
              <w:rPr>
                <w:sz w:val="17"/>
                <w:szCs w:val="17"/>
              </w:rPr>
            </w:pPr>
            <w:r w:rsidRPr="00990D3B">
              <w:rPr>
                <w:sz w:val="17"/>
                <w:szCs w:val="17"/>
              </w:rPr>
              <w:t>(2023)</w:t>
            </w:r>
          </w:p>
        </w:tc>
        <w:tc>
          <w:tcPr>
            <w:tcW w:w="579" w:type="pct"/>
          </w:tcPr>
          <w:p w:rsidR="00947C70" w:rsidRPr="00990D3B" w:rsidP="00947C70" w14:paraId="27C8880E" w14:textId="77777777">
            <w:pPr>
              <w:pStyle w:val="EQRTableText"/>
              <w:rPr>
                <w:sz w:val="17"/>
                <w:szCs w:val="17"/>
              </w:rPr>
            </w:pPr>
            <w:r w:rsidRPr="00990D3B">
              <w:rPr>
                <w:sz w:val="17"/>
                <w:szCs w:val="17"/>
              </w:rPr>
              <w:t>64%</w:t>
            </w:r>
          </w:p>
          <w:p w:rsidR="00947C70" w:rsidRPr="00990D3B" w:rsidP="00947C70" w14:paraId="5318377C" w14:textId="77777777">
            <w:pPr>
              <w:pStyle w:val="EQRTableText"/>
              <w:rPr>
                <w:sz w:val="17"/>
                <w:szCs w:val="17"/>
              </w:rPr>
            </w:pPr>
            <w:r w:rsidRPr="00990D3B">
              <w:rPr>
                <w:sz w:val="17"/>
                <w:szCs w:val="17"/>
              </w:rPr>
              <w:t>↑</w:t>
            </w:r>
          </w:p>
          <w:p w:rsidR="00947C70" w:rsidRPr="00990D3B" w:rsidP="00947C70" w14:paraId="631564F0" w14:textId="3B90921E">
            <w:pPr>
              <w:pStyle w:val="EQRTableText"/>
              <w:rPr>
                <w:sz w:val="17"/>
                <w:szCs w:val="17"/>
              </w:rPr>
            </w:pPr>
            <w:r w:rsidRPr="00990D3B">
              <w:rPr>
                <w:sz w:val="17"/>
                <w:szCs w:val="17"/>
              </w:rPr>
              <w:t>(2024)</w:t>
            </w:r>
          </w:p>
        </w:tc>
        <w:tc>
          <w:tcPr>
            <w:tcW w:w="579" w:type="pct"/>
            <w:vAlign w:val="center"/>
          </w:tcPr>
          <w:p w:rsidR="00947C70" w:rsidRPr="00990D3B" w:rsidP="00947C70" w14:paraId="46CE43AC" w14:textId="77777777">
            <w:pPr>
              <w:pStyle w:val="EQRTableText"/>
              <w:rPr>
                <w:sz w:val="17"/>
                <w:szCs w:val="17"/>
              </w:rPr>
            </w:pPr>
            <w:r w:rsidRPr="00990D3B">
              <w:rPr>
                <w:sz w:val="17"/>
                <w:szCs w:val="17"/>
              </w:rPr>
              <w:t>-</w:t>
            </w:r>
          </w:p>
        </w:tc>
        <w:tc>
          <w:tcPr>
            <w:tcW w:w="612" w:type="pct"/>
          </w:tcPr>
          <w:p w:rsidR="00947C70" w:rsidRPr="00990D3B" w:rsidP="00947C70" w14:paraId="09B321AC" w14:textId="6C7B73E8">
            <w:pPr>
              <w:pStyle w:val="EQRTableText"/>
              <w:rPr>
                <w:sz w:val="17"/>
                <w:szCs w:val="17"/>
              </w:rPr>
            </w:pPr>
            <w:r w:rsidRPr="00990D3B">
              <w:rPr>
                <w:sz w:val="17"/>
                <w:szCs w:val="17"/>
              </w:rPr>
              <w:t>Passive nature of this intervention failed to engage enrollees actively in their care</w:t>
            </w:r>
          </w:p>
        </w:tc>
      </w:tr>
      <w:tr w14:paraId="64BDF021" w14:textId="381F7D1B" w:rsidTr="00B565EF">
        <w:tblPrEx>
          <w:tblW w:w="5106" w:type="pct"/>
          <w:tblLayout w:type="fixed"/>
          <w:tblLook w:val="04A0"/>
        </w:tblPrEx>
        <w:trPr>
          <w:cantSplit/>
        </w:trPr>
        <w:tc>
          <w:tcPr>
            <w:tcW w:w="315" w:type="pct"/>
            <w:vMerge/>
          </w:tcPr>
          <w:p w:rsidR="009F2EE6" w:rsidRPr="00990D3B" w:rsidP="009F2EE6" w14:paraId="10BDF7A8" w14:textId="77777777">
            <w:pPr>
              <w:pStyle w:val="EQRTableText"/>
              <w:rPr>
                <w:sz w:val="17"/>
                <w:szCs w:val="17"/>
              </w:rPr>
            </w:pPr>
          </w:p>
        </w:tc>
        <w:tc>
          <w:tcPr>
            <w:tcW w:w="624" w:type="pct"/>
          </w:tcPr>
          <w:p w:rsidR="009F2EE6" w:rsidRPr="00990D3B" w:rsidP="009F2EE6" w14:paraId="62D28FD1" w14:textId="2CF6925D">
            <w:pPr>
              <w:pStyle w:val="EQRTableText"/>
              <w:rPr>
                <w:sz w:val="17"/>
                <w:szCs w:val="17"/>
              </w:rPr>
            </w:pPr>
            <w:r w:rsidRPr="00990D3B">
              <w:rPr>
                <w:sz w:val="17"/>
                <w:szCs w:val="17"/>
              </w:rPr>
              <w:t xml:space="preserve">Increase HbA1c Testing to 77% </w:t>
            </w:r>
          </w:p>
        </w:tc>
        <w:tc>
          <w:tcPr>
            <w:tcW w:w="861" w:type="pct"/>
          </w:tcPr>
          <w:p w:rsidR="009F2EE6" w:rsidRPr="00990D3B" w:rsidP="009F2EE6" w14:paraId="42E43013" w14:textId="6650362E">
            <w:pPr>
              <w:pStyle w:val="EQRTableText"/>
              <w:rPr>
                <w:sz w:val="17"/>
                <w:szCs w:val="17"/>
              </w:rPr>
            </w:pPr>
            <w:r w:rsidRPr="00990D3B">
              <w:rPr>
                <w:sz w:val="17"/>
                <w:szCs w:val="17"/>
              </w:rPr>
              <w:t xml:space="preserve">Provided members with self-management education pamphlets  </w:t>
            </w:r>
          </w:p>
        </w:tc>
        <w:tc>
          <w:tcPr>
            <w:tcW w:w="419" w:type="pct"/>
          </w:tcPr>
          <w:p w:rsidR="009F2EE6" w:rsidRPr="00990D3B" w:rsidP="009F2EE6" w14:paraId="47151900" w14:textId="0812CF59">
            <w:pPr>
              <w:pStyle w:val="EQRTableText"/>
              <w:rPr>
                <w:sz w:val="17"/>
                <w:szCs w:val="17"/>
              </w:rPr>
            </w:pPr>
            <w:r w:rsidRPr="00990D3B">
              <w:rPr>
                <w:sz w:val="17"/>
                <w:szCs w:val="17"/>
              </w:rPr>
              <w:t>Ages 18-39 with type 1 or type 2 diabetes</w:t>
            </w:r>
          </w:p>
        </w:tc>
        <w:tc>
          <w:tcPr>
            <w:tcW w:w="460" w:type="pct"/>
          </w:tcPr>
          <w:p w:rsidR="009F2EE6" w:rsidRPr="00990D3B" w:rsidP="009F2EE6" w14:paraId="0F6CF583" w14:textId="77777777">
            <w:pPr>
              <w:pStyle w:val="EQRTableText"/>
              <w:rPr>
                <w:sz w:val="17"/>
                <w:szCs w:val="17"/>
              </w:rPr>
            </w:pPr>
            <w:r w:rsidRPr="00990D3B">
              <w:rPr>
                <w:sz w:val="17"/>
                <w:szCs w:val="17"/>
              </w:rPr>
              <w:t xml:space="preserve">HbA1c Testing </w:t>
            </w:r>
          </w:p>
        </w:tc>
        <w:tc>
          <w:tcPr>
            <w:tcW w:w="551" w:type="pct"/>
          </w:tcPr>
          <w:p w:rsidR="009F2EE6" w:rsidRPr="00990D3B" w:rsidP="009F2EE6" w14:paraId="62135444" w14:textId="77777777">
            <w:pPr>
              <w:pStyle w:val="EQRTableText"/>
              <w:rPr>
                <w:sz w:val="17"/>
                <w:szCs w:val="17"/>
              </w:rPr>
            </w:pPr>
            <w:r w:rsidRPr="00990D3B">
              <w:rPr>
                <w:sz w:val="17"/>
                <w:szCs w:val="17"/>
              </w:rPr>
              <w:t>72%</w:t>
            </w:r>
          </w:p>
          <w:p w:rsidR="009F2EE6" w:rsidRPr="00990D3B" w:rsidP="009F2EE6" w14:paraId="1A949EF4" w14:textId="34425D32">
            <w:pPr>
              <w:pStyle w:val="EQRTableText"/>
              <w:rPr>
                <w:sz w:val="17"/>
                <w:szCs w:val="17"/>
              </w:rPr>
            </w:pPr>
            <w:r w:rsidRPr="00990D3B">
              <w:rPr>
                <w:sz w:val="17"/>
                <w:szCs w:val="17"/>
              </w:rPr>
              <w:t>(2023)</w:t>
            </w:r>
          </w:p>
        </w:tc>
        <w:tc>
          <w:tcPr>
            <w:tcW w:w="579" w:type="pct"/>
          </w:tcPr>
          <w:p w:rsidR="009F2EE6" w:rsidRPr="00990D3B" w:rsidP="009F2EE6" w14:paraId="52A2BFD8" w14:textId="77777777">
            <w:pPr>
              <w:pStyle w:val="EQRTableText"/>
              <w:rPr>
                <w:sz w:val="17"/>
                <w:szCs w:val="17"/>
              </w:rPr>
            </w:pPr>
            <w:r w:rsidRPr="00990D3B">
              <w:rPr>
                <w:sz w:val="17"/>
                <w:szCs w:val="17"/>
              </w:rPr>
              <w:t>72%</w:t>
            </w:r>
          </w:p>
          <w:p w:rsidR="009F2EE6" w:rsidRPr="00990D3B" w:rsidP="009F2EE6" w14:paraId="48A6AD11" w14:textId="70FE07E6">
            <w:pPr>
              <w:pStyle w:val="EQRTableText"/>
              <w:rPr>
                <w:sz w:val="17"/>
                <w:szCs w:val="17"/>
              </w:rPr>
            </w:pPr>
            <w:r w:rsidRPr="00990D3B">
              <w:rPr>
                <w:sz w:val="17"/>
                <w:szCs w:val="17"/>
              </w:rPr>
              <w:t>(2024)</w:t>
            </w:r>
          </w:p>
        </w:tc>
        <w:tc>
          <w:tcPr>
            <w:tcW w:w="579" w:type="pct"/>
            <w:vAlign w:val="center"/>
          </w:tcPr>
          <w:p w:rsidR="009F2EE6" w:rsidRPr="00990D3B" w:rsidP="009F2EE6" w14:paraId="3D4A38B9" w14:textId="77777777">
            <w:pPr>
              <w:pStyle w:val="EQRTableText"/>
              <w:rPr>
                <w:sz w:val="17"/>
                <w:szCs w:val="17"/>
              </w:rPr>
            </w:pPr>
            <w:r w:rsidRPr="00990D3B">
              <w:rPr>
                <w:sz w:val="17"/>
                <w:szCs w:val="17"/>
              </w:rPr>
              <w:t>-</w:t>
            </w:r>
          </w:p>
        </w:tc>
        <w:tc>
          <w:tcPr>
            <w:tcW w:w="612" w:type="pct"/>
          </w:tcPr>
          <w:p w:rsidR="009F2EE6" w:rsidRPr="00990D3B" w:rsidP="009F2EE6" w14:paraId="2B0F4270" w14:textId="0410E9F7">
            <w:pPr>
              <w:pStyle w:val="EQRTableText"/>
              <w:rPr>
                <w:sz w:val="17"/>
                <w:szCs w:val="17"/>
              </w:rPr>
            </w:pPr>
            <w:r w:rsidRPr="00990D3B">
              <w:rPr>
                <w:sz w:val="17"/>
                <w:szCs w:val="17"/>
              </w:rPr>
              <w:t>Passive nature of this intervention failed to engage enrollees actively in their care</w:t>
            </w:r>
          </w:p>
        </w:tc>
      </w:tr>
      <w:tr w14:paraId="2430B89D" w14:textId="03747D10" w:rsidTr="00B565EF">
        <w:tblPrEx>
          <w:tblW w:w="5106" w:type="pct"/>
          <w:tblLayout w:type="fixed"/>
          <w:tblLook w:val="04A0"/>
        </w:tblPrEx>
        <w:trPr>
          <w:cantSplit/>
        </w:trPr>
        <w:tc>
          <w:tcPr>
            <w:tcW w:w="315" w:type="pct"/>
            <w:vMerge/>
            <w:vAlign w:val="bottom"/>
          </w:tcPr>
          <w:p w:rsidR="009F2EE6" w:rsidRPr="00990D3B" w:rsidP="009F2EE6" w14:paraId="2E873C33" w14:textId="77777777">
            <w:pPr>
              <w:pStyle w:val="EQRTableText"/>
              <w:rPr>
                <w:sz w:val="17"/>
                <w:szCs w:val="17"/>
              </w:rPr>
            </w:pPr>
          </w:p>
        </w:tc>
        <w:tc>
          <w:tcPr>
            <w:tcW w:w="624" w:type="pct"/>
          </w:tcPr>
          <w:p w:rsidR="009F2EE6" w:rsidRPr="00990D3B" w:rsidP="009F2EE6" w14:paraId="151D45A6" w14:textId="77777777">
            <w:pPr>
              <w:pStyle w:val="EQRTableText"/>
              <w:rPr>
                <w:sz w:val="17"/>
                <w:szCs w:val="17"/>
              </w:rPr>
            </w:pPr>
            <w:r w:rsidRPr="00990D3B">
              <w:rPr>
                <w:sz w:val="17"/>
                <w:szCs w:val="17"/>
              </w:rPr>
              <w:t>Increase Eye Exam Performed to 55%</w:t>
            </w:r>
          </w:p>
        </w:tc>
        <w:tc>
          <w:tcPr>
            <w:tcW w:w="861" w:type="pct"/>
          </w:tcPr>
          <w:p w:rsidR="009F2EE6" w:rsidRPr="00990D3B" w:rsidP="009F2EE6" w14:paraId="1F05B1F8" w14:textId="3A044193">
            <w:pPr>
              <w:pStyle w:val="EQRTableText"/>
              <w:rPr>
                <w:sz w:val="17"/>
                <w:szCs w:val="17"/>
              </w:rPr>
            </w:pPr>
            <w:r w:rsidRPr="00990D3B">
              <w:rPr>
                <w:sz w:val="17"/>
                <w:szCs w:val="17"/>
              </w:rPr>
              <w:t xml:space="preserve">Provided members with self-management education pamphlets  </w:t>
            </w:r>
          </w:p>
        </w:tc>
        <w:tc>
          <w:tcPr>
            <w:tcW w:w="419" w:type="pct"/>
          </w:tcPr>
          <w:p w:rsidR="009F2EE6" w:rsidRPr="00990D3B" w:rsidP="009F2EE6" w14:paraId="38894791" w14:textId="5BA117D5">
            <w:pPr>
              <w:pStyle w:val="EQRTableText"/>
              <w:rPr>
                <w:sz w:val="17"/>
                <w:szCs w:val="17"/>
              </w:rPr>
            </w:pPr>
            <w:r w:rsidRPr="00990D3B">
              <w:rPr>
                <w:sz w:val="17"/>
                <w:szCs w:val="17"/>
              </w:rPr>
              <w:t>Ages 18-39 with type 1 or type 2 diabetes</w:t>
            </w:r>
          </w:p>
        </w:tc>
        <w:tc>
          <w:tcPr>
            <w:tcW w:w="460" w:type="pct"/>
          </w:tcPr>
          <w:p w:rsidR="009F2EE6" w:rsidRPr="00990D3B" w:rsidP="009F2EE6" w14:paraId="058B62AA" w14:textId="77777777">
            <w:pPr>
              <w:pStyle w:val="EQRTableText"/>
              <w:rPr>
                <w:sz w:val="17"/>
                <w:szCs w:val="17"/>
              </w:rPr>
            </w:pPr>
            <w:r w:rsidRPr="00990D3B">
              <w:rPr>
                <w:sz w:val="17"/>
                <w:szCs w:val="17"/>
              </w:rPr>
              <w:t xml:space="preserve">Eye Exam (Retinal) Performed </w:t>
            </w:r>
          </w:p>
        </w:tc>
        <w:tc>
          <w:tcPr>
            <w:tcW w:w="551" w:type="pct"/>
          </w:tcPr>
          <w:p w:rsidR="009F2EE6" w:rsidRPr="00990D3B" w:rsidP="009F2EE6" w14:paraId="4F54D731" w14:textId="77777777">
            <w:pPr>
              <w:pStyle w:val="EQRTableText"/>
              <w:rPr>
                <w:sz w:val="17"/>
                <w:szCs w:val="17"/>
              </w:rPr>
            </w:pPr>
            <w:r w:rsidRPr="00990D3B">
              <w:rPr>
                <w:sz w:val="17"/>
                <w:szCs w:val="17"/>
              </w:rPr>
              <w:t>50%</w:t>
            </w:r>
          </w:p>
          <w:p w:rsidR="009F2EE6" w:rsidRPr="00990D3B" w:rsidP="009F2EE6" w14:paraId="04D05EED" w14:textId="5C82005C">
            <w:pPr>
              <w:pStyle w:val="EQRTableText"/>
              <w:rPr>
                <w:sz w:val="17"/>
                <w:szCs w:val="17"/>
              </w:rPr>
            </w:pPr>
            <w:r w:rsidRPr="00990D3B">
              <w:rPr>
                <w:sz w:val="17"/>
                <w:szCs w:val="17"/>
              </w:rPr>
              <w:t>(2023)</w:t>
            </w:r>
          </w:p>
        </w:tc>
        <w:tc>
          <w:tcPr>
            <w:tcW w:w="579" w:type="pct"/>
          </w:tcPr>
          <w:p w:rsidR="009F2EE6" w:rsidRPr="00990D3B" w:rsidP="009F2EE6" w14:paraId="48D661B2" w14:textId="21FB80C1">
            <w:pPr>
              <w:pStyle w:val="EQRTableText"/>
              <w:rPr>
                <w:sz w:val="17"/>
                <w:szCs w:val="17"/>
              </w:rPr>
            </w:pPr>
            <w:r w:rsidRPr="00990D3B">
              <w:rPr>
                <w:sz w:val="17"/>
                <w:szCs w:val="17"/>
              </w:rPr>
              <w:t>52%</w:t>
            </w:r>
          </w:p>
          <w:p w:rsidR="009F2EE6" w:rsidRPr="00990D3B" w:rsidP="009F2EE6" w14:paraId="636EBAF6" w14:textId="77777777">
            <w:pPr>
              <w:pStyle w:val="EQRTableText"/>
              <w:rPr>
                <w:sz w:val="17"/>
                <w:szCs w:val="17"/>
              </w:rPr>
            </w:pPr>
            <w:r w:rsidRPr="00990D3B">
              <w:rPr>
                <w:sz w:val="17"/>
                <w:szCs w:val="17"/>
              </w:rPr>
              <w:t>↑</w:t>
            </w:r>
          </w:p>
          <w:p w:rsidR="009F2EE6" w:rsidRPr="00990D3B" w:rsidP="009F2EE6" w14:paraId="2A074C48" w14:textId="0254A25E">
            <w:pPr>
              <w:pStyle w:val="EQRTableText"/>
              <w:rPr>
                <w:sz w:val="17"/>
                <w:szCs w:val="17"/>
              </w:rPr>
            </w:pPr>
            <w:r w:rsidRPr="00990D3B">
              <w:rPr>
                <w:sz w:val="17"/>
                <w:szCs w:val="17"/>
              </w:rPr>
              <w:t>(2024)</w:t>
            </w:r>
          </w:p>
        </w:tc>
        <w:tc>
          <w:tcPr>
            <w:tcW w:w="579" w:type="pct"/>
            <w:vAlign w:val="center"/>
          </w:tcPr>
          <w:p w:rsidR="009F2EE6" w:rsidRPr="00990D3B" w:rsidP="009F2EE6" w14:paraId="7506229F" w14:textId="77777777">
            <w:pPr>
              <w:pStyle w:val="EQRTableText"/>
              <w:rPr>
                <w:sz w:val="17"/>
                <w:szCs w:val="17"/>
              </w:rPr>
            </w:pPr>
            <w:r w:rsidRPr="00990D3B">
              <w:rPr>
                <w:sz w:val="17"/>
                <w:szCs w:val="17"/>
              </w:rPr>
              <w:t>-</w:t>
            </w:r>
          </w:p>
        </w:tc>
        <w:tc>
          <w:tcPr>
            <w:tcW w:w="612" w:type="pct"/>
          </w:tcPr>
          <w:p w:rsidR="009F2EE6" w:rsidRPr="00990D3B" w:rsidP="009F2EE6" w14:paraId="26EE6F09" w14:textId="20AB0A0E">
            <w:pPr>
              <w:pStyle w:val="EQRTableText"/>
              <w:rPr>
                <w:sz w:val="17"/>
                <w:szCs w:val="17"/>
              </w:rPr>
            </w:pPr>
            <w:r w:rsidRPr="00990D3B">
              <w:rPr>
                <w:sz w:val="17"/>
                <w:szCs w:val="17"/>
              </w:rPr>
              <w:t>Passive nature of this intervention failed to engage enrollees actively in their care</w:t>
            </w:r>
          </w:p>
        </w:tc>
      </w:tr>
      <w:tr w14:paraId="3C49D56B" w14:textId="77777777" w:rsidTr="00B565EF">
        <w:tblPrEx>
          <w:tblW w:w="5106" w:type="pct"/>
          <w:tblLayout w:type="fixed"/>
          <w:tblLook w:val="04A0"/>
        </w:tblPrEx>
        <w:trPr>
          <w:cantSplit/>
        </w:trPr>
        <w:tc>
          <w:tcPr>
            <w:tcW w:w="315" w:type="pct"/>
            <w:vMerge w:val="restart"/>
          </w:tcPr>
          <w:p w:rsidR="009F2EE6" w:rsidRPr="00990D3B" w:rsidP="009F2EE6" w14:paraId="437E7460" w14:textId="055A156E">
            <w:pPr>
              <w:pStyle w:val="EQRTableText"/>
              <w:rPr>
                <w:sz w:val="17"/>
                <w:szCs w:val="17"/>
              </w:rPr>
            </w:pPr>
            <w:r w:rsidRPr="00990D3B">
              <w:rPr>
                <w:sz w:val="17"/>
                <w:szCs w:val="17"/>
              </w:rPr>
              <w:t>Plan C</w:t>
            </w:r>
          </w:p>
        </w:tc>
        <w:tc>
          <w:tcPr>
            <w:tcW w:w="624" w:type="pct"/>
          </w:tcPr>
          <w:p w:rsidR="009F2EE6" w:rsidRPr="00990D3B" w:rsidP="009F2EE6" w14:paraId="654370D2" w14:textId="7EF9B889">
            <w:pPr>
              <w:pStyle w:val="EQRTableText"/>
              <w:rPr>
                <w:sz w:val="17"/>
                <w:szCs w:val="17"/>
              </w:rPr>
            </w:pPr>
            <w:r w:rsidRPr="00990D3B">
              <w:rPr>
                <w:sz w:val="17"/>
                <w:szCs w:val="17"/>
              </w:rPr>
              <w:t>Increase Blood Pressure Control to 75%</w:t>
            </w:r>
          </w:p>
        </w:tc>
        <w:tc>
          <w:tcPr>
            <w:tcW w:w="861" w:type="pct"/>
          </w:tcPr>
          <w:p w:rsidR="009F2EE6" w:rsidRPr="00990D3B" w:rsidP="009F2EE6" w14:paraId="674C2258" w14:textId="3F2D6969">
            <w:pPr>
              <w:pStyle w:val="EQRTableText"/>
              <w:rPr>
                <w:sz w:val="17"/>
                <w:szCs w:val="17"/>
              </w:rPr>
            </w:pPr>
            <w:r w:rsidRPr="00990D3B">
              <w:rPr>
                <w:sz w:val="17"/>
                <w:szCs w:val="17"/>
              </w:rPr>
              <w:t>PIP in the design phase</w:t>
            </w:r>
          </w:p>
        </w:tc>
        <w:tc>
          <w:tcPr>
            <w:tcW w:w="419" w:type="pct"/>
          </w:tcPr>
          <w:p w:rsidR="009F2EE6" w:rsidRPr="00990D3B" w:rsidP="009F2EE6" w14:paraId="6ECE860C" w14:textId="165AF34B">
            <w:pPr>
              <w:pStyle w:val="EQRTableText"/>
              <w:rPr>
                <w:sz w:val="17"/>
                <w:szCs w:val="17"/>
              </w:rPr>
            </w:pPr>
            <w:r w:rsidRPr="00990D3B">
              <w:rPr>
                <w:sz w:val="17"/>
                <w:szCs w:val="17"/>
              </w:rPr>
              <w:t>Ages 18-39 with type 1 or type 2 diabetes</w:t>
            </w:r>
          </w:p>
        </w:tc>
        <w:tc>
          <w:tcPr>
            <w:tcW w:w="460" w:type="pct"/>
          </w:tcPr>
          <w:p w:rsidR="009F2EE6" w:rsidRPr="00990D3B" w:rsidP="009F2EE6" w14:paraId="03F972C6" w14:textId="3E22D50E">
            <w:pPr>
              <w:pStyle w:val="EQRTableText"/>
              <w:rPr>
                <w:sz w:val="17"/>
                <w:szCs w:val="17"/>
              </w:rPr>
            </w:pPr>
            <w:r w:rsidRPr="00990D3B">
              <w:rPr>
                <w:sz w:val="17"/>
                <w:szCs w:val="17"/>
              </w:rPr>
              <w:t>Blood Pressure Control</w:t>
            </w:r>
          </w:p>
        </w:tc>
        <w:tc>
          <w:tcPr>
            <w:tcW w:w="551" w:type="pct"/>
          </w:tcPr>
          <w:p w:rsidR="009F2EE6" w:rsidRPr="00990D3B" w:rsidP="009F2EE6" w14:paraId="59545246" w14:textId="4CA11F9C">
            <w:pPr>
              <w:pStyle w:val="EQRTableText"/>
              <w:rPr>
                <w:sz w:val="17"/>
                <w:szCs w:val="17"/>
              </w:rPr>
            </w:pPr>
            <w:r w:rsidRPr="00990D3B">
              <w:rPr>
                <w:sz w:val="17"/>
                <w:szCs w:val="17"/>
              </w:rPr>
              <w:t>70%</w:t>
            </w:r>
          </w:p>
          <w:p w:rsidR="009F2EE6" w:rsidRPr="00990D3B" w:rsidP="009F2EE6" w14:paraId="13B4C583" w14:textId="357E0C88">
            <w:pPr>
              <w:pStyle w:val="EQRTableText"/>
              <w:rPr>
                <w:sz w:val="17"/>
                <w:szCs w:val="17"/>
              </w:rPr>
            </w:pPr>
            <w:r w:rsidRPr="00990D3B">
              <w:rPr>
                <w:sz w:val="17"/>
                <w:szCs w:val="17"/>
              </w:rPr>
              <w:t>(2024)</w:t>
            </w:r>
          </w:p>
        </w:tc>
        <w:tc>
          <w:tcPr>
            <w:tcW w:w="579" w:type="pct"/>
          </w:tcPr>
          <w:p w:rsidR="009F2EE6" w:rsidRPr="00990D3B" w:rsidP="009F2EE6" w14:paraId="1909F32E" w14:textId="49517052">
            <w:pPr>
              <w:pStyle w:val="EQRTableText"/>
              <w:rPr>
                <w:sz w:val="17"/>
                <w:szCs w:val="17"/>
              </w:rPr>
            </w:pPr>
            <w:r w:rsidRPr="00990D3B">
              <w:rPr>
                <w:sz w:val="17"/>
                <w:szCs w:val="17"/>
              </w:rPr>
              <w:t>-</w:t>
            </w:r>
          </w:p>
        </w:tc>
        <w:tc>
          <w:tcPr>
            <w:tcW w:w="579" w:type="pct"/>
          </w:tcPr>
          <w:p w:rsidR="009F2EE6" w:rsidRPr="00990D3B" w:rsidP="009F2EE6" w14:paraId="2DC2F538" w14:textId="1224C713">
            <w:pPr>
              <w:pStyle w:val="EQRTableText"/>
              <w:rPr>
                <w:sz w:val="17"/>
                <w:szCs w:val="17"/>
              </w:rPr>
            </w:pPr>
            <w:r w:rsidRPr="00990D3B">
              <w:rPr>
                <w:sz w:val="17"/>
                <w:szCs w:val="17"/>
              </w:rPr>
              <w:t>-</w:t>
            </w:r>
          </w:p>
        </w:tc>
        <w:tc>
          <w:tcPr>
            <w:tcW w:w="612" w:type="pct"/>
          </w:tcPr>
          <w:p w:rsidR="009F2EE6" w:rsidRPr="00990D3B" w:rsidP="009F2EE6" w14:paraId="4DFEF71C" w14:textId="5A74D2CD">
            <w:pPr>
              <w:pStyle w:val="EQRTableText"/>
              <w:rPr>
                <w:sz w:val="17"/>
                <w:szCs w:val="17"/>
              </w:rPr>
            </w:pPr>
            <w:r w:rsidRPr="00990D3B">
              <w:rPr>
                <w:sz w:val="17"/>
                <w:szCs w:val="17"/>
              </w:rPr>
              <w:t xml:space="preserve">Not applicable.  </w:t>
            </w:r>
          </w:p>
          <w:p w:rsidR="009F2EE6" w:rsidRPr="00990D3B" w:rsidP="009F2EE6" w14:paraId="2B462017" w14:textId="54DB684B">
            <w:pPr>
              <w:pStyle w:val="EQRTableText"/>
              <w:rPr>
                <w:sz w:val="17"/>
                <w:szCs w:val="17"/>
              </w:rPr>
            </w:pPr>
            <w:r w:rsidRPr="00990D3B">
              <w:rPr>
                <w:sz w:val="17"/>
                <w:szCs w:val="17"/>
              </w:rPr>
              <w:t xml:space="preserve">PIP implementation </w:t>
            </w:r>
            <w:r w:rsidRPr="00990D3B">
              <w:rPr>
                <w:sz w:val="17"/>
                <w:szCs w:val="17"/>
              </w:rPr>
              <w:t>begins</w:t>
            </w:r>
            <w:r w:rsidRPr="00990D3B">
              <w:rPr>
                <w:sz w:val="17"/>
                <w:szCs w:val="17"/>
              </w:rPr>
              <w:t xml:space="preserve"> April 2024, and results will be included in the next report</w:t>
            </w:r>
          </w:p>
        </w:tc>
      </w:tr>
      <w:tr w14:paraId="1906CEF3" w14:textId="77777777" w:rsidTr="00B565EF">
        <w:tblPrEx>
          <w:tblW w:w="5106" w:type="pct"/>
          <w:tblLayout w:type="fixed"/>
          <w:tblLook w:val="04A0"/>
        </w:tblPrEx>
        <w:trPr>
          <w:cantSplit/>
        </w:trPr>
        <w:tc>
          <w:tcPr>
            <w:tcW w:w="315" w:type="pct"/>
            <w:vMerge/>
            <w:vAlign w:val="bottom"/>
          </w:tcPr>
          <w:p w:rsidR="009F2EE6" w:rsidRPr="00990D3B" w:rsidP="009F2EE6" w14:paraId="7CA5E11F" w14:textId="77777777">
            <w:pPr>
              <w:pStyle w:val="EQRTableText"/>
              <w:rPr>
                <w:sz w:val="17"/>
                <w:szCs w:val="17"/>
              </w:rPr>
            </w:pPr>
          </w:p>
        </w:tc>
        <w:tc>
          <w:tcPr>
            <w:tcW w:w="624" w:type="pct"/>
          </w:tcPr>
          <w:p w:rsidR="009F2EE6" w:rsidRPr="00990D3B" w:rsidP="009F2EE6" w14:paraId="02BA7008" w14:textId="12F8AF18">
            <w:pPr>
              <w:pStyle w:val="EQRTableText"/>
              <w:rPr>
                <w:sz w:val="17"/>
                <w:szCs w:val="17"/>
              </w:rPr>
            </w:pPr>
            <w:r w:rsidRPr="00990D3B">
              <w:rPr>
                <w:sz w:val="17"/>
                <w:szCs w:val="17"/>
              </w:rPr>
              <w:t xml:space="preserve">Increase HbA1c Testing to 77% </w:t>
            </w:r>
          </w:p>
        </w:tc>
        <w:tc>
          <w:tcPr>
            <w:tcW w:w="861" w:type="pct"/>
          </w:tcPr>
          <w:p w:rsidR="009F2EE6" w:rsidRPr="00990D3B" w:rsidP="009F2EE6" w14:paraId="4568897F" w14:textId="4667BFA8">
            <w:pPr>
              <w:pStyle w:val="EQRTableText"/>
              <w:rPr>
                <w:sz w:val="17"/>
                <w:szCs w:val="17"/>
              </w:rPr>
            </w:pPr>
            <w:r w:rsidRPr="00990D3B">
              <w:rPr>
                <w:sz w:val="17"/>
                <w:szCs w:val="17"/>
              </w:rPr>
              <w:t>PIP in the design phase</w:t>
            </w:r>
          </w:p>
        </w:tc>
        <w:tc>
          <w:tcPr>
            <w:tcW w:w="419" w:type="pct"/>
          </w:tcPr>
          <w:p w:rsidR="009F2EE6" w:rsidRPr="00990D3B" w:rsidP="009F2EE6" w14:paraId="566F9585" w14:textId="3B83664F">
            <w:pPr>
              <w:pStyle w:val="EQRTableText"/>
              <w:rPr>
                <w:sz w:val="17"/>
                <w:szCs w:val="17"/>
              </w:rPr>
            </w:pPr>
            <w:r w:rsidRPr="00990D3B">
              <w:rPr>
                <w:sz w:val="17"/>
                <w:szCs w:val="17"/>
              </w:rPr>
              <w:t>Ages 18-39 with type 1 or type 2 diabetes</w:t>
            </w:r>
          </w:p>
        </w:tc>
        <w:tc>
          <w:tcPr>
            <w:tcW w:w="460" w:type="pct"/>
          </w:tcPr>
          <w:p w:rsidR="009F2EE6" w:rsidRPr="00990D3B" w:rsidP="009F2EE6" w14:paraId="11C7EBA2" w14:textId="7FC6515C">
            <w:pPr>
              <w:pStyle w:val="EQRTableText"/>
              <w:rPr>
                <w:sz w:val="17"/>
                <w:szCs w:val="17"/>
              </w:rPr>
            </w:pPr>
            <w:r w:rsidRPr="00990D3B">
              <w:rPr>
                <w:sz w:val="17"/>
                <w:szCs w:val="17"/>
              </w:rPr>
              <w:t xml:space="preserve">HbA1c Testing </w:t>
            </w:r>
          </w:p>
        </w:tc>
        <w:tc>
          <w:tcPr>
            <w:tcW w:w="551" w:type="pct"/>
          </w:tcPr>
          <w:p w:rsidR="009F2EE6" w:rsidRPr="00990D3B" w:rsidP="009F2EE6" w14:paraId="762C22C4" w14:textId="12183ED8">
            <w:pPr>
              <w:pStyle w:val="EQRTableText"/>
              <w:rPr>
                <w:sz w:val="17"/>
                <w:szCs w:val="17"/>
              </w:rPr>
            </w:pPr>
            <w:r w:rsidRPr="00990D3B">
              <w:rPr>
                <w:sz w:val="17"/>
                <w:szCs w:val="17"/>
              </w:rPr>
              <w:t>72%</w:t>
            </w:r>
          </w:p>
          <w:p w:rsidR="009F2EE6" w:rsidRPr="00990D3B" w:rsidP="009F2EE6" w14:paraId="3DA750F0" w14:textId="6905CED0">
            <w:pPr>
              <w:pStyle w:val="EQRTableText"/>
              <w:rPr>
                <w:sz w:val="17"/>
                <w:szCs w:val="17"/>
              </w:rPr>
            </w:pPr>
            <w:r w:rsidRPr="00990D3B">
              <w:rPr>
                <w:sz w:val="17"/>
                <w:szCs w:val="17"/>
              </w:rPr>
              <w:t>(2024)</w:t>
            </w:r>
          </w:p>
        </w:tc>
        <w:tc>
          <w:tcPr>
            <w:tcW w:w="579" w:type="pct"/>
          </w:tcPr>
          <w:p w:rsidR="009F2EE6" w:rsidRPr="00990D3B" w:rsidP="009F2EE6" w14:paraId="56D8CBAC" w14:textId="544EC910">
            <w:pPr>
              <w:pStyle w:val="EQRTableText"/>
              <w:rPr>
                <w:sz w:val="17"/>
                <w:szCs w:val="17"/>
              </w:rPr>
            </w:pPr>
            <w:r w:rsidRPr="00990D3B">
              <w:rPr>
                <w:sz w:val="17"/>
                <w:szCs w:val="17"/>
              </w:rPr>
              <w:t>-</w:t>
            </w:r>
          </w:p>
        </w:tc>
        <w:tc>
          <w:tcPr>
            <w:tcW w:w="579" w:type="pct"/>
          </w:tcPr>
          <w:p w:rsidR="009F2EE6" w:rsidRPr="00990D3B" w:rsidP="009F2EE6" w14:paraId="560A6012" w14:textId="27F5E731">
            <w:pPr>
              <w:pStyle w:val="EQRTableText"/>
              <w:rPr>
                <w:sz w:val="17"/>
                <w:szCs w:val="17"/>
              </w:rPr>
            </w:pPr>
            <w:r w:rsidRPr="00990D3B">
              <w:rPr>
                <w:sz w:val="17"/>
                <w:szCs w:val="17"/>
              </w:rPr>
              <w:t>-</w:t>
            </w:r>
          </w:p>
        </w:tc>
        <w:tc>
          <w:tcPr>
            <w:tcW w:w="612" w:type="pct"/>
          </w:tcPr>
          <w:p w:rsidR="009F2EE6" w:rsidRPr="00990D3B" w:rsidP="009F2EE6" w14:paraId="3CA4C30C" w14:textId="77777777">
            <w:pPr>
              <w:pStyle w:val="EQRTableText"/>
              <w:rPr>
                <w:sz w:val="17"/>
                <w:szCs w:val="17"/>
              </w:rPr>
            </w:pPr>
            <w:r w:rsidRPr="00990D3B">
              <w:rPr>
                <w:sz w:val="17"/>
                <w:szCs w:val="17"/>
              </w:rPr>
              <w:t xml:space="preserve">Not applicable.  </w:t>
            </w:r>
          </w:p>
          <w:p w:rsidR="009F2EE6" w:rsidRPr="00990D3B" w:rsidP="009F2EE6" w14:paraId="67148387" w14:textId="17DB6BBE">
            <w:pPr>
              <w:pStyle w:val="EQRTableText"/>
              <w:rPr>
                <w:sz w:val="17"/>
                <w:szCs w:val="17"/>
              </w:rPr>
            </w:pPr>
            <w:r w:rsidRPr="00990D3B">
              <w:rPr>
                <w:sz w:val="17"/>
                <w:szCs w:val="17"/>
              </w:rPr>
              <w:t xml:space="preserve">PIP implementation </w:t>
            </w:r>
            <w:r w:rsidRPr="00990D3B">
              <w:rPr>
                <w:sz w:val="17"/>
                <w:szCs w:val="17"/>
              </w:rPr>
              <w:t>begins</w:t>
            </w:r>
            <w:r w:rsidRPr="00990D3B">
              <w:rPr>
                <w:sz w:val="17"/>
                <w:szCs w:val="17"/>
              </w:rPr>
              <w:t xml:space="preserve"> April 2024, and results will be included in the next report</w:t>
            </w:r>
          </w:p>
        </w:tc>
      </w:tr>
    </w:tbl>
    <w:p w:rsidR="00A17A15" w:rsidRPr="00990D3B" w:rsidP="00B565EF" w14:paraId="62F57752" w14:textId="77777777">
      <w:pPr>
        <w:pStyle w:val="EQRTableFootnoteCaption"/>
      </w:pPr>
      <w:r w:rsidRPr="00990D3B">
        <w:t xml:space="preserve">Notes: </w:t>
      </w:r>
    </w:p>
    <w:p w:rsidR="00A17A15" w:rsidRPr="00990D3B" w:rsidP="00B565EF" w14:paraId="7DEF6D03" w14:textId="77777777">
      <w:pPr>
        <w:pStyle w:val="EQRTableFootnoteCaption"/>
      </w:pPr>
      <w:r w:rsidRPr="00990D3B">
        <w:t xml:space="preserve">- indicates that an MCP does not have data for this remeasurement period. </w:t>
      </w:r>
    </w:p>
    <w:p w:rsidR="00A17A15" w:rsidRPr="00990D3B" w:rsidP="00B565EF" w14:paraId="6535FF54" w14:textId="77777777">
      <w:pPr>
        <w:pStyle w:val="EQRTableFootnoteCaption"/>
      </w:pPr>
      <w:r w:rsidRPr="00990D3B">
        <w:t>↑ indicates that MCP's performance on the measure is improving.</w:t>
      </w:r>
    </w:p>
    <w:p w:rsidR="00A17A15" w:rsidRPr="00990D3B" w:rsidP="00B565EF" w14:paraId="63912170" w14:textId="77777777">
      <w:pPr>
        <w:pStyle w:val="EQRTableFootnoteCaption"/>
      </w:pPr>
      <w:r w:rsidRPr="00990D3B">
        <w:t xml:space="preserve">↓ indicates that MCP’s performance on the measure is declining. </w:t>
      </w:r>
    </w:p>
    <w:p w:rsidR="00B565EF" w:rsidRPr="00990D3B" w:rsidP="00B565EF" w14:paraId="603750FE" w14:textId="77777777">
      <w:pPr>
        <w:pStyle w:val="EQRTableFootnoteCaption"/>
      </w:pPr>
    </w:p>
    <w:p w:rsidR="00FF3472" w:rsidRPr="00990D3B" w:rsidP="00BD1FC3" w14:paraId="66AF6EF3" w14:textId="74FCCCA3">
      <w:pPr>
        <w:pStyle w:val="ParagraphContinued"/>
        <w:jc w:val="center"/>
        <w:sectPr w:rsidSect="00FF3472">
          <w:pgSz w:w="15840" w:h="12240" w:orient="landscape" w:code="1"/>
          <w:pgMar w:top="1440" w:right="1440" w:bottom="1440" w:left="1440" w:header="720" w:footer="720" w:gutter="0"/>
          <w:cols w:space="720"/>
          <w:titlePg/>
          <w:docGrid w:linePitch="360"/>
        </w:sectPr>
      </w:pPr>
      <w:r w:rsidRPr="00990D3B">
        <w:t>END OF WORKSHEETS FOR PROTOCOL 1</w:t>
      </w:r>
    </w:p>
    <w:p w:rsidR="00C85D38" w:rsidRPr="00990D3B" w:rsidP="00BD1FC3" w14:paraId="6F83136C" w14:textId="7D62B686">
      <w:pPr>
        <w:pStyle w:val="H1"/>
      </w:pPr>
      <w:bookmarkStart w:id="227" w:name="Protocol2"/>
      <w:bookmarkStart w:id="228" w:name="_Toc493246368"/>
      <w:bookmarkStart w:id="229" w:name="_Toc14777685"/>
      <w:bookmarkStart w:id="230" w:name="_Toc183005574"/>
      <w:bookmarkStart w:id="231" w:name="_Toc201751345"/>
      <w:r w:rsidRPr="00990D3B">
        <w:t>Protocol 2</w:t>
      </w:r>
      <w:bookmarkEnd w:id="227"/>
      <w:r w:rsidRPr="00990D3B">
        <w:t>. Validation of Performance Measures</w:t>
      </w:r>
      <w:bookmarkEnd w:id="228"/>
      <w:bookmarkEnd w:id="229"/>
      <w:bookmarkEnd w:id="230"/>
      <w:bookmarkEnd w:id="231"/>
    </w:p>
    <w:p w:rsidR="009A4B3B" w:rsidRPr="00990D3B" w:rsidP="00BD1FC3" w14:paraId="6A550718" w14:textId="06F28F1E">
      <w:pPr>
        <w:pStyle w:val="EQRMANDATORYorOPTIONAL"/>
      </w:pPr>
      <w:r w:rsidRPr="00990D3B">
        <w:t>A MANDATORY EQR-RELATED ACTIVITY</w:t>
      </w:r>
    </w:p>
    <w:bookmarkEnd w:id="5"/>
    <w:tbl>
      <w:tblPr>
        <w:tblW w:w="7200" w:type="dxa"/>
        <w:tblBorders>
          <w:insideV w:val="single" w:sz="2" w:space="0" w:color="00559D"/>
        </w:tblBorders>
        <w:tblLayout w:type="fixed"/>
        <w:tblLook w:val="04A0"/>
      </w:tblPr>
      <w:tblGrid>
        <w:gridCol w:w="7200"/>
      </w:tblGrid>
      <w:tr w14:paraId="411673AB" w14:textId="77777777" w:rsidTr="00BD1FC3">
        <w:tblPrEx>
          <w:tblW w:w="7200" w:type="dxa"/>
          <w:tblBorders>
            <w:insideV w:val="single" w:sz="2" w:space="0" w:color="00559D"/>
          </w:tblBorders>
          <w:tblLayout w:type="fixed"/>
          <w:tblLook w:val="04A0"/>
        </w:tblPrEx>
        <w:trPr>
          <w:trHeight w:val="144"/>
          <w:tblHeader/>
        </w:trPr>
        <w:tc>
          <w:tcPr>
            <w:tcW w:w="9360" w:type="dxa"/>
            <w:shd w:val="clear" w:color="auto" w:fill="1CA8B7"/>
            <w:vAlign w:val="bottom"/>
          </w:tcPr>
          <w:p w:rsidR="00B84C5A" w:rsidRPr="00BF4A2F" w:rsidP="00DE5DAC" w14:paraId="4773D09A" w14:textId="5D5DDAF0">
            <w:pPr>
              <w:pStyle w:val="EQRACTIVITY"/>
              <w:rPr>
                <w:color w:val="auto"/>
              </w:rPr>
            </w:pPr>
          </w:p>
        </w:tc>
      </w:tr>
      <w:tr w14:paraId="2A2FDD74" w14:textId="77777777" w:rsidTr="00BD1FC3">
        <w:tblPrEx>
          <w:tblW w:w="7200" w:type="dxa"/>
          <w:tblLayout w:type="fixed"/>
          <w:tblLook w:val="04A0"/>
        </w:tblPrEx>
        <w:trPr>
          <w:trHeight w:val="20"/>
        </w:trPr>
        <w:tc>
          <w:tcPr>
            <w:tcW w:w="9360" w:type="dxa"/>
            <w:shd w:val="clear" w:color="auto" w:fill="EEF5F8"/>
          </w:tcPr>
          <w:p w:rsidR="00B84C5A" w:rsidRPr="00990D3B" w:rsidP="00A02854" w14:paraId="15604B27" w14:textId="0B10DFBB">
            <w:pPr>
              <w:pStyle w:val="EQRACTIVITY"/>
              <w:rPr>
                <w:rStyle w:val="Hyperlink"/>
              </w:rPr>
            </w:pPr>
            <w:hyperlink w:anchor="P2A1" w:tooltip="ACTIVITY 1: CONDUCT PRE-SITE VISIT ACTIVITIES" w:history="1">
              <w:r w:rsidRPr="00990D3B">
                <w:rPr>
                  <w:rStyle w:val="Hyperlink"/>
                </w:rPr>
                <w:t xml:space="preserve">ACTIVITY 1: </w:t>
              </w:r>
              <w:r w:rsidRPr="00990D3B" w:rsidR="00827F26">
                <w:rPr>
                  <w:rStyle w:val="Hyperlink"/>
                </w:rPr>
                <w:t xml:space="preserve">CONDUCT </w:t>
              </w:r>
              <w:r w:rsidRPr="00990D3B">
                <w:rPr>
                  <w:rStyle w:val="Hyperlink"/>
                </w:rPr>
                <w:t>PRE-SITE VISIT ACTIVITIES</w:t>
              </w:r>
            </w:hyperlink>
          </w:p>
        </w:tc>
      </w:tr>
      <w:tr w14:paraId="471B4BFB" w14:textId="77777777" w:rsidTr="00BD1FC3">
        <w:tblPrEx>
          <w:tblW w:w="7200" w:type="dxa"/>
          <w:tblLayout w:type="fixed"/>
          <w:tblLook w:val="04A0"/>
        </w:tblPrEx>
        <w:trPr>
          <w:trHeight w:val="20"/>
        </w:trPr>
        <w:tc>
          <w:tcPr>
            <w:tcW w:w="9360" w:type="dxa"/>
          </w:tcPr>
          <w:p w:rsidR="00B84C5A" w:rsidRPr="00990D3B" w:rsidP="00A02854" w14:paraId="094F6D28" w14:textId="39916C66">
            <w:pPr>
              <w:pStyle w:val="EQRACTIVITY"/>
            </w:pPr>
            <w:hyperlink w:anchor="P2A2" w:tooltip="ACTIVITY 2: CONDUCT SITE VISIT ACTIVITIES" w:history="1">
              <w:r w:rsidRPr="00990D3B">
                <w:rPr>
                  <w:rStyle w:val="Hyperlink"/>
                </w:rPr>
                <w:t xml:space="preserve">ACTIVITY 2: </w:t>
              </w:r>
              <w:r w:rsidRPr="00990D3B" w:rsidR="00827F26">
                <w:rPr>
                  <w:rStyle w:val="Hyperlink"/>
                </w:rPr>
                <w:t xml:space="preserve">CONDUCT </w:t>
              </w:r>
              <w:r w:rsidRPr="00990D3B" w:rsidR="00405422">
                <w:rPr>
                  <w:rStyle w:val="Hyperlink"/>
                </w:rPr>
                <w:t xml:space="preserve">SITE </w:t>
              </w:r>
              <w:r w:rsidRPr="00990D3B">
                <w:rPr>
                  <w:rStyle w:val="Hyperlink"/>
                </w:rPr>
                <w:t>VISIT ACTIVITIES</w:t>
              </w:r>
            </w:hyperlink>
          </w:p>
        </w:tc>
      </w:tr>
      <w:tr w14:paraId="6AB44C05" w14:textId="77777777" w:rsidTr="00BD1FC3">
        <w:tblPrEx>
          <w:tblW w:w="7200" w:type="dxa"/>
          <w:tblLayout w:type="fixed"/>
          <w:tblLook w:val="04A0"/>
        </w:tblPrEx>
        <w:trPr>
          <w:trHeight w:val="20"/>
        </w:trPr>
        <w:tc>
          <w:tcPr>
            <w:tcW w:w="9360" w:type="dxa"/>
            <w:shd w:val="clear" w:color="auto" w:fill="EEF5F8"/>
          </w:tcPr>
          <w:p w:rsidR="00B84C5A" w:rsidRPr="00990D3B" w:rsidP="00A02854" w14:paraId="7D3EBBB7" w14:textId="6AA59182">
            <w:pPr>
              <w:pStyle w:val="EQRACTIVITY"/>
            </w:pPr>
            <w:hyperlink w:anchor="P2Act3" w:tooltip="ACTIVITY 3: CONDUCT POST-SITE VISIT ACTIVITIES" w:history="1">
              <w:r w:rsidRPr="00990D3B">
                <w:rPr>
                  <w:rStyle w:val="Hyperlink"/>
                </w:rPr>
                <w:t xml:space="preserve">ACTIVITY 3: </w:t>
              </w:r>
              <w:r w:rsidRPr="00990D3B" w:rsidR="00827F26">
                <w:rPr>
                  <w:rStyle w:val="Hyperlink"/>
                </w:rPr>
                <w:t xml:space="preserve">CONDUCT </w:t>
              </w:r>
              <w:r w:rsidRPr="00990D3B">
                <w:rPr>
                  <w:rStyle w:val="Hyperlink"/>
                </w:rPr>
                <w:t>POST-SITE VISIT ACTIVITIES</w:t>
              </w:r>
            </w:hyperlink>
          </w:p>
        </w:tc>
      </w:tr>
      <w:tr w14:paraId="3A4020F8" w14:textId="77777777" w:rsidTr="00BD1FC3">
        <w:tblPrEx>
          <w:tblW w:w="7200" w:type="dxa"/>
          <w:tblLayout w:type="fixed"/>
          <w:tblLook w:val="04A0"/>
        </w:tblPrEx>
        <w:trPr>
          <w:trHeight w:val="20"/>
        </w:trPr>
        <w:tc>
          <w:tcPr>
            <w:tcW w:w="9360" w:type="dxa"/>
            <w:shd w:val="clear" w:color="auto" w:fill="EEF5F8"/>
          </w:tcPr>
          <w:p w:rsidR="00A764F5" w:rsidRPr="00990D3B" w:rsidP="00A02854" w14:paraId="2904DA86" w14:textId="6C642536">
            <w:pPr>
              <w:pStyle w:val="EQRACTIVITY"/>
            </w:pPr>
            <w:hyperlink w:anchor="P2A4" w:tooltip="ACTIVITY 4: REPORT RESULTS TO THE STATE" w:history="1">
              <w:r w:rsidRPr="00990D3B">
                <w:rPr>
                  <w:rStyle w:val="Hyperlink"/>
                </w:rPr>
                <w:t xml:space="preserve">ACTIVITY 4: </w:t>
              </w:r>
              <w:r w:rsidRPr="00990D3B" w:rsidR="000F5C87">
                <w:rPr>
                  <w:rStyle w:val="Hyperlink"/>
                </w:rPr>
                <w:t>REPORT</w:t>
              </w:r>
              <w:r w:rsidRPr="00990D3B">
                <w:rPr>
                  <w:rStyle w:val="Hyperlink"/>
                </w:rPr>
                <w:t xml:space="preserve"> RESULTS TO THE STATE</w:t>
              </w:r>
            </w:hyperlink>
          </w:p>
        </w:tc>
      </w:tr>
    </w:tbl>
    <w:p w:rsidR="00630F42" w:rsidRPr="00990D3B" w:rsidP="00BD1FC3" w14:paraId="59AAB63E" w14:textId="77777777">
      <w:pPr>
        <w:pStyle w:val="H2"/>
      </w:pPr>
      <w:bookmarkStart w:id="232" w:name="_Toc493246369"/>
      <w:bookmarkStart w:id="233" w:name="_Toc496116373"/>
      <w:bookmarkStart w:id="234" w:name="_Toc14777686"/>
      <w:bookmarkStart w:id="235" w:name="_Toc183005575"/>
      <w:bookmarkStart w:id="236" w:name="_Toc201751346"/>
      <w:r w:rsidRPr="00990D3B">
        <w:t>Background</w:t>
      </w:r>
      <w:bookmarkEnd w:id="232"/>
      <w:bookmarkEnd w:id="233"/>
      <w:bookmarkEnd w:id="234"/>
      <w:bookmarkEnd w:id="235"/>
      <w:bookmarkEnd w:id="236"/>
    </w:p>
    <w:p w:rsidR="00DE5DAC" w:rsidRPr="00990D3B" w:rsidP="00823840" w14:paraId="7389CD6F" w14:textId="7F7EE832">
      <w:pPr>
        <w:pStyle w:val="ParagraphContinued"/>
      </w:pPr>
      <w:r w:rsidRPr="00990D3B">
        <w:t xml:space="preserve">States use performance measures to monitor the performance of individual managed care plans (MCPs) at a point in time, to track performance over time, to compare performance among MCPs, and to inform the selection and evaluation of quality improvement activities. States </w:t>
      </w:r>
      <w:r w:rsidRPr="00990D3B" w:rsidR="001D11C1">
        <w:t xml:space="preserve">specify standard performance measures </w:t>
      </w:r>
      <w:r w:rsidRPr="00990D3B" w:rsidR="00BE0BD7">
        <w:t>that</w:t>
      </w:r>
      <w:r w:rsidRPr="00990D3B">
        <w:t xml:space="preserve"> the MCPs </w:t>
      </w:r>
      <w:r w:rsidRPr="00990D3B" w:rsidR="001D11C1">
        <w:t>must</w:t>
      </w:r>
      <w:r w:rsidRPr="00990D3B">
        <w:t xml:space="preserve"> include in their </w:t>
      </w:r>
      <w:r w:rsidRPr="00990D3B" w:rsidR="001D11C1">
        <w:t>q</w:t>
      </w:r>
      <w:r w:rsidRPr="00990D3B">
        <w:t xml:space="preserve">uality </w:t>
      </w:r>
      <w:r w:rsidRPr="00990D3B" w:rsidR="001D11C1">
        <w:t>a</w:t>
      </w:r>
      <w:r w:rsidRPr="00990D3B">
        <w:t xml:space="preserve">ssessment and </w:t>
      </w:r>
      <w:r w:rsidRPr="00990D3B" w:rsidR="001D11C1">
        <w:t>p</w:t>
      </w:r>
      <w:r w:rsidRPr="00990D3B">
        <w:t xml:space="preserve">erformance </w:t>
      </w:r>
      <w:r w:rsidRPr="00990D3B" w:rsidR="001D11C1">
        <w:t>i</w:t>
      </w:r>
      <w:r w:rsidRPr="00990D3B">
        <w:t>mprovement (QAPI) program.</w:t>
      </w:r>
      <w:r w:rsidRPr="00990D3B" w:rsidR="003162DF">
        <w:rPr>
          <w:rFonts w:ascii="ZWAdobeF" w:hAnsi="ZWAdobeF" w:cs="ZWAdobeF"/>
          <w:sz w:val="2"/>
          <w:szCs w:val="2"/>
        </w:rPr>
        <w:t>39F</w:t>
      </w:r>
      <w:r>
        <w:rPr>
          <w:vertAlign w:val="superscript"/>
        </w:rPr>
        <w:footnoteReference w:id="44"/>
      </w:r>
    </w:p>
    <w:p w:rsidR="00DE5DAC" w:rsidRPr="00990D3B" w:rsidP="00BD1FC3" w14:paraId="089B1F6D" w14:textId="6375673F">
      <w:pPr>
        <w:pStyle w:val="Paragraph0"/>
      </w:pPr>
      <w:r w:rsidRPr="00990D3B">
        <w:t>S</w:t>
      </w:r>
      <w:r w:rsidRPr="00990D3B">
        <w:t xml:space="preserve">tates and MCPs </w:t>
      </w:r>
      <w:r w:rsidRPr="00990D3B">
        <w:t xml:space="preserve">often </w:t>
      </w:r>
      <w:r w:rsidRPr="00990D3B">
        <w:t>use measures included in the</w:t>
      </w:r>
      <w:r w:rsidRPr="00990D3B" w:rsidR="00FF35EC">
        <w:t xml:space="preserve"> </w:t>
      </w:r>
      <w:r w:rsidRPr="00990D3B" w:rsidR="00AB3278">
        <w:t>Centers for Medicare &amp; Medicaid Services (</w:t>
      </w:r>
      <w:r w:rsidRPr="00990D3B" w:rsidR="00FF35EC">
        <w:t>CMS</w:t>
      </w:r>
      <w:r w:rsidRPr="00990D3B" w:rsidR="00AB3278">
        <w:t>)</w:t>
      </w:r>
      <w:r w:rsidRPr="00990D3B">
        <w:t xml:space="preserve"> </w:t>
      </w:r>
      <w:r w:rsidRPr="00990D3B" w:rsidR="00CD536E">
        <w:t xml:space="preserve">Child and Adult Core Sets </w:t>
      </w:r>
      <w:r w:rsidRPr="00990D3B" w:rsidR="00C36F48">
        <w:t xml:space="preserve">to monitor and track </w:t>
      </w:r>
      <w:r w:rsidRPr="00990D3B" w:rsidR="00BE0BD7">
        <w:t xml:space="preserve">the </w:t>
      </w:r>
      <w:r w:rsidRPr="00990D3B" w:rsidR="00C36F48">
        <w:t xml:space="preserve">quality of care in Medicaid and </w:t>
      </w:r>
      <w:r w:rsidRPr="00990D3B" w:rsidR="00EF797B">
        <w:t xml:space="preserve">the </w:t>
      </w:r>
      <w:r w:rsidRPr="00990D3B" w:rsidR="00AB3278">
        <w:t>Children’s Health Insurance Program (</w:t>
      </w:r>
      <w:r w:rsidRPr="00990D3B">
        <w:t>CHIP</w:t>
      </w:r>
      <w:r w:rsidRPr="00990D3B" w:rsidR="00AB3278">
        <w:t>)</w:t>
      </w:r>
      <w:r w:rsidRPr="00990D3B">
        <w:t>.</w:t>
      </w:r>
      <w:r w:rsidRPr="00990D3B" w:rsidR="003162DF">
        <w:rPr>
          <w:rFonts w:ascii="ZWAdobeF" w:hAnsi="ZWAdobeF" w:cs="ZWAdobeF"/>
          <w:sz w:val="2"/>
          <w:szCs w:val="2"/>
        </w:rPr>
        <w:t>0F</w:t>
      </w:r>
      <w:r>
        <w:rPr>
          <w:rStyle w:val="FootnoteReference"/>
        </w:rPr>
        <w:footnoteReference w:id="45"/>
      </w:r>
      <w:r w:rsidRPr="00990D3B">
        <w:rPr>
          <w:vertAlign w:val="superscript"/>
        </w:rPr>
        <w:t xml:space="preserve"> </w:t>
      </w:r>
      <w:r w:rsidRPr="00990D3B">
        <w:t xml:space="preserve">While </w:t>
      </w:r>
      <w:r w:rsidRPr="00990D3B" w:rsidR="00BE0BD7">
        <w:t xml:space="preserve">states' use of these measures </w:t>
      </w:r>
      <w:r w:rsidRPr="00990D3B">
        <w:t xml:space="preserve">for monitoring </w:t>
      </w:r>
      <w:r w:rsidRPr="00990D3B">
        <w:t xml:space="preserve">is voluntary, CMS encourages states to adopt and use the Child and Adult Core Set measures to support their managed care quality measurement and improvement initiatives. Many Core Set measures are part of </w:t>
      </w:r>
      <w:r w:rsidRPr="00990D3B" w:rsidR="004E52D7">
        <w:t>the Healthcare Effectiveness Data and Information Set (HEDIS®)</w:t>
      </w:r>
      <w:r w:rsidRPr="00990D3B">
        <w:t xml:space="preserve"> and have national and regional benchmarks.</w:t>
      </w:r>
    </w:p>
    <w:p w:rsidR="00752B1D" w:rsidRPr="00990D3B" w:rsidP="00BD1FC3" w14:paraId="26A698B5" w14:textId="63A9BFDE">
      <w:pPr>
        <w:pStyle w:val="Paragraph0"/>
      </w:pPr>
      <w:r w:rsidRPr="00990D3B">
        <w:t xml:space="preserve">As states continue to refine their quality improvement efforts, another key area to consider is </w:t>
      </w:r>
      <w:r w:rsidRPr="00990D3B" w:rsidR="00F07DB3">
        <w:t>using</w:t>
      </w:r>
      <w:r w:rsidRPr="00990D3B">
        <w:t xml:space="preserve"> performance data to address </w:t>
      </w:r>
      <w:r w:rsidRPr="00990D3B" w:rsidR="00761765">
        <w:t>differences in access, quality, and outcomes</w:t>
      </w:r>
      <w:r w:rsidRPr="00990D3B">
        <w:t xml:space="preserve">. </w:t>
      </w:r>
      <w:r w:rsidRPr="00990D3B">
        <w:t>Standardized data stratifica</w:t>
      </w:r>
      <w:r w:rsidRPr="00990D3B" w:rsidR="00BD5CD1">
        <w:t xml:space="preserve">tion is an important first step </w:t>
      </w:r>
      <w:r w:rsidRPr="00990D3B" w:rsidR="0050797C">
        <w:t>toward</w:t>
      </w:r>
      <w:r w:rsidRPr="00990D3B" w:rsidR="00BD5CD1">
        <w:t xml:space="preserve"> improving the health of Medicaid and CHIP beneficiaries. To best monitor </w:t>
      </w:r>
      <w:r w:rsidRPr="00990D3B" w:rsidR="00964569">
        <w:t>differences in access, quality, and outcomes</w:t>
      </w:r>
      <w:r w:rsidRPr="00990D3B" w:rsidR="00BD5CD1">
        <w:t xml:space="preserve">, states could consider stratifying </w:t>
      </w:r>
      <w:r w:rsidRPr="00990D3B" w:rsidR="001F2847">
        <w:t xml:space="preserve">performance measures </w:t>
      </w:r>
      <w:r w:rsidRPr="00990D3B" w:rsidR="00BD5CD1">
        <w:t xml:space="preserve">by </w:t>
      </w:r>
      <w:r w:rsidRPr="00990D3B" w:rsidR="00780582">
        <w:t xml:space="preserve">age, </w:t>
      </w:r>
      <w:r w:rsidRPr="00990D3B" w:rsidR="00BD5CD1">
        <w:t>race, ethnicity,</w:t>
      </w:r>
      <w:r w:rsidRPr="00990D3B" w:rsidR="00EC5F95">
        <w:t xml:space="preserve"> sex, </w:t>
      </w:r>
      <w:r w:rsidRPr="00990D3B" w:rsidR="008C0632">
        <w:t>geograph</w:t>
      </w:r>
      <w:r w:rsidRPr="00990D3B" w:rsidR="00F912AB">
        <w:t>y,</w:t>
      </w:r>
      <w:r w:rsidRPr="00990D3B" w:rsidR="008C0632">
        <w:t xml:space="preserve"> </w:t>
      </w:r>
      <w:r w:rsidRPr="00990D3B" w:rsidR="00EC5F95">
        <w:t>primary language, disability status</w:t>
      </w:r>
      <w:r w:rsidRPr="00990D3B" w:rsidR="000D5D12">
        <w:t xml:space="preserve">, </w:t>
      </w:r>
      <w:r w:rsidRPr="00990D3B" w:rsidR="00BD5CD1">
        <w:t xml:space="preserve">or other demographics of interest. </w:t>
      </w:r>
      <w:r w:rsidRPr="00990D3B">
        <w:t xml:space="preserve">See </w:t>
      </w:r>
      <w:hyperlink w:anchor="Box2n1" w:tooltip="Box 2.1" w:history="1">
        <w:r w:rsidRPr="00990D3B" w:rsidR="00AB3278">
          <w:rPr>
            <w:rStyle w:val="Hyperlink"/>
          </w:rPr>
          <w:t>Box 2.1</w:t>
        </w:r>
      </w:hyperlink>
      <w:r w:rsidRPr="00990D3B">
        <w:t xml:space="preserve"> for considerations when stratifying performance measures. </w:t>
      </w:r>
    </w:p>
    <w:p w:rsidR="0075618C" w:rsidRPr="00990D3B" w:rsidP="00BD1FC3" w14:paraId="1C84EF8F" w14:textId="2248BD2F">
      <w:pPr>
        <w:pStyle w:val="Paragraph0"/>
      </w:pPr>
      <w:r w:rsidRPr="00990D3B">
        <w:rPr>
          <w:noProof/>
        </w:rPr>
        <mc:AlternateContent>
          <mc:Choice Requires="wps">
            <w:drawing>
              <wp:inline distT="0" distB="0" distL="0" distR="0">
                <wp:extent cx="5553075" cy="2490233"/>
                <wp:effectExtent l="19050" t="19050" r="28575" b="24765"/>
                <wp:docPr id="782803069" name="Text Box 19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553075" cy="2490233"/>
                        </a:xfrm>
                        <a:prstGeom prst="rect">
                          <a:avLst/>
                        </a:prstGeom>
                        <a:solidFill>
                          <a:srgbClr val="EEF5F8"/>
                        </a:solidFill>
                        <a:ln w="28575" cap="rnd">
                          <a:solidFill>
                            <a:srgbClr val="A5DAD9"/>
                          </a:solidFill>
                          <a:prstDash val="solid"/>
                          <a:miter lim="800000"/>
                          <a:headEnd/>
                          <a:tailEnd/>
                        </a:ln>
                      </wps:spPr>
                      <wps:txbx>
                        <w:txbxContent>
                          <w:p w:rsidR="0075618C" w:rsidRPr="00865483" w:rsidP="0075618C" w14:textId="2EC17A65">
                            <w:pPr>
                              <w:pStyle w:val="EQRTextboxheading"/>
                              <w:rPr>
                                <w:rFonts w:eastAsia="Times New Roman" w:asciiTheme="minorHAnsi" w:hAnsiTheme="minorHAnsi" w:cs="Times New Roman"/>
                                <w:color w:val="auto"/>
                                <w:sz w:val="24"/>
                                <w:szCs w:val="20"/>
                              </w:rPr>
                            </w:pPr>
                            <w:bookmarkStart w:id="237" w:name="Box2n1"/>
                            <w:r w:rsidRPr="00865483">
                              <w:t>Box 2.1</w:t>
                            </w:r>
                            <w:bookmarkEnd w:id="237"/>
                            <w:r w:rsidRPr="00865483">
                              <w:t xml:space="preserve">. Considerations when </w:t>
                            </w:r>
                            <w:r w:rsidRPr="00865483" w:rsidR="004E52D7">
                              <w:t>Stratifying Performance Measures</w:t>
                            </w:r>
                            <w:r w:rsidRPr="00865483">
                              <w:rPr>
                                <w:rFonts w:eastAsia="Times New Roman" w:asciiTheme="minorHAnsi" w:hAnsiTheme="minorHAnsi" w:cs="Times New Roman"/>
                                <w:color w:val="auto"/>
                                <w:sz w:val="24"/>
                                <w:szCs w:val="20"/>
                              </w:rPr>
                              <w:t xml:space="preserve"> </w:t>
                            </w:r>
                          </w:p>
                          <w:p w:rsidR="00C74ECB" w:rsidRPr="00865483" w:rsidP="00C74ECB" w14:textId="5D7116BA">
                            <w:pPr>
                              <w:pStyle w:val="EQRTextboxbody"/>
                            </w:pPr>
                            <w:r w:rsidRPr="00865483">
                              <w:t xml:space="preserve">When planning to stratify performance measures by factors such as race, ethnicity, or other sociodemographic characteristics, states and their EQROs should consider the following steps to ensure alignment with federal guidance, data quality standards, and state priorities. </w:t>
                            </w:r>
                          </w:p>
                          <w:p w:rsidR="00B83BB6" w:rsidRPr="00865483" w:rsidP="00C74ECB" w14:textId="53737DB8">
                            <w:pPr>
                              <w:pStyle w:val="EQRTextboxbullet"/>
                            </w:pPr>
                            <w:r w:rsidRPr="00865483">
                              <w:t>Review the state's managed care quality strategy to identify the disparity factors into which the state would like additional insights</w:t>
                            </w:r>
                            <w:r w:rsidRPr="00865483">
                              <w:t>.</w:t>
                            </w:r>
                          </w:p>
                          <w:p w:rsidR="00B83BB6" w:rsidRPr="00865483" w:rsidP="00C74ECB" w14:textId="0EF97DD9">
                            <w:pPr>
                              <w:pStyle w:val="EQRTextboxbullet"/>
                            </w:pPr>
                            <w:r w:rsidRPr="00865483">
                              <w:t xml:space="preserve">Review the </w:t>
                            </w:r>
                            <w:hyperlink r:id="rId119" w:history="1">
                              <w:r w:rsidRPr="00865483">
                                <w:rPr>
                                  <w:rStyle w:val="Hyperlink"/>
                                  <w:color w:val="00559D"/>
                                </w:rPr>
                                <w:t>Office of Management and Budget standards</w:t>
                              </w:r>
                            </w:hyperlink>
                            <w:r w:rsidRPr="00865483">
                              <w:t xml:space="preserve"> for best practices on stratifying data for race and ethnicity categories</w:t>
                            </w:r>
                            <w:r w:rsidRPr="00865483" w:rsidR="00080103">
                              <w:t xml:space="preserve">, available at </w:t>
                            </w:r>
                            <w:hyperlink r:id="rId56" w:history="1">
                              <w:r w:rsidRPr="00865483" w:rsidR="00080103">
                                <w:rPr>
                                  <w:rStyle w:val="Hyperlink"/>
                                </w:rPr>
                                <w:t>https://www.federalregister.gov/d/2024-06469</w:t>
                              </w:r>
                            </w:hyperlink>
                            <w:r w:rsidRPr="00865483">
                              <w:t>.</w:t>
                            </w:r>
                          </w:p>
                          <w:p w:rsidR="00B83BB6" w:rsidRPr="00865483" w:rsidP="00C74ECB" w14:textId="1595FDD9">
                            <w:pPr>
                              <w:pStyle w:val="EQRTextboxbullet"/>
                            </w:pPr>
                            <w:r w:rsidRPr="00865483">
                              <w:t xml:space="preserve">Consider aligning </w:t>
                            </w:r>
                            <w:r w:rsidRPr="00865483" w:rsidR="004E52D7">
                              <w:t xml:space="preserve">the stratification </w:t>
                            </w:r>
                            <w:r w:rsidRPr="00865483">
                              <w:t xml:space="preserve">approach with </w:t>
                            </w:r>
                            <w:r w:rsidRPr="00865483" w:rsidR="003A5601">
                              <w:t xml:space="preserve">HEDIS®, </w:t>
                            </w:r>
                            <w:hyperlink r:id="rId120" w:history="1">
                              <w:r w:rsidRPr="00865483">
                                <w:rPr>
                                  <w:rStyle w:val="Hyperlink"/>
                                  <w:color w:val="00559D"/>
                                </w:rPr>
                                <w:t>mandatory Core Sets reporting</w:t>
                              </w:r>
                              <w:r w:rsidRPr="00865483" w:rsidR="003A5601">
                                <w:rPr>
                                  <w:rStyle w:val="Hyperlink"/>
                                  <w:color w:val="00559D"/>
                                </w:rPr>
                                <w:t>,</w:t>
                              </w:r>
                              <w:r w:rsidRPr="00865483" w:rsidR="006045C2">
                                <w:rPr>
                                  <w:rStyle w:val="Hyperlink"/>
                                  <w:color w:val="00559D"/>
                                </w:rPr>
                                <w:t xml:space="preserve"> </w:t>
                              </w:r>
                              <w:r w:rsidRPr="00865483">
                                <w:rPr>
                                  <w:rStyle w:val="Hyperlink"/>
                                  <w:color w:val="00559D"/>
                                </w:rPr>
                                <w:t>and Medicaid and CHIP Quality Rating System requirements</w:t>
                              </w:r>
                            </w:hyperlink>
                            <w:r w:rsidRPr="00865483">
                              <w:t xml:space="preserve">. </w:t>
                            </w:r>
                          </w:p>
                          <w:p w:rsidR="00B83BB6" w:rsidRPr="00865483" w:rsidP="00C74ECB" w14:textId="38F5F045">
                            <w:pPr>
                              <w:pStyle w:val="EQRTextboxbullet"/>
                            </w:pPr>
                            <w:r w:rsidRPr="00865483">
                              <w:t xml:space="preserve">Review </w:t>
                            </w:r>
                            <w:hyperlink r:id="rId56" w:history="1">
                              <w:r w:rsidRPr="00865483">
                                <w:rPr>
                                  <w:rStyle w:val="Hyperlink"/>
                                  <w:color w:val="00559D"/>
                                </w:rPr>
                                <w:t xml:space="preserve">CMS’s </w:t>
                              </w:r>
                              <w:r w:rsidRPr="00865483" w:rsidR="004E52D7">
                                <w:rPr>
                                  <w:rStyle w:val="Hyperlink"/>
                                  <w:color w:val="00559D"/>
                                </w:rPr>
                                <w:t>r</w:t>
                              </w:r>
                              <w:r w:rsidRPr="00865483">
                                <w:rPr>
                                  <w:rStyle w:val="Hyperlink"/>
                                  <w:color w:val="00559D"/>
                                </w:rPr>
                                <w:t>esource of health equity-related data definition, standards, and stratification practices</w:t>
                              </w:r>
                            </w:hyperlink>
                            <w:r w:rsidRPr="00865483">
                              <w:t xml:space="preserve"> for suggested practices for sociodemographic element</w:t>
                            </w:r>
                            <w:r w:rsidRPr="00865483" w:rsidR="004E52D7">
                              <w:t xml:space="preserve">s, available at </w:t>
                            </w:r>
                            <w:hyperlink r:id="rId121" w:history="1">
                              <w:r w:rsidRPr="00865483" w:rsidR="00B53996">
                                <w:rPr>
                                  <w:rStyle w:val="Hyperlink"/>
                                </w:rPr>
                                <w:t>https://www.cms.gov/files/document/cms-2024-omh-data-definitions.pdf</w:t>
                              </w:r>
                            </w:hyperlink>
                            <w:r w:rsidRPr="006847EB" w:rsidR="00B53996">
                              <w:rPr>
                                <w:color w:val="006068" w:themeColor="accent1" w:themeShade="BF"/>
                              </w:rPr>
                              <w:t xml:space="preserve">. </w:t>
                            </w:r>
                          </w:p>
                          <w:p w:rsidR="00B83BB6" w:rsidRPr="0050797C" w:rsidP="002D35CF" w14:textId="6CFD5FD9">
                            <w:pPr>
                              <w:pStyle w:val="EQRTextboxbody"/>
                              <w:numPr>
                                <w:ilvl w:val="0"/>
                                <w:numId w:val="65"/>
                              </w:numPr>
                              <w:spacing w:before="0" w:after="0"/>
                            </w:pPr>
                            <w:r w:rsidRPr="0050797C">
                              <w:t>Identify potential updates needed to the state’s data infrastructure to collect reliable, accurate stratified data</w:t>
                            </w:r>
                            <w:r w:rsidRPr="0050797C" w:rsidR="008C0632">
                              <w:t xml:space="preserve">, giving preference to </w:t>
                            </w:r>
                            <w:r w:rsidRPr="0050797C" w:rsidR="004E52D7">
                              <w:t>self-reported data over data</w:t>
                            </w:r>
                            <w:r w:rsidRPr="0050797C" w:rsidR="008C0632">
                              <w:t xml:space="preserve"> collected by proxy</w:t>
                            </w:r>
                            <w:r w:rsidRPr="0050797C">
                              <w:t xml:space="preserve">. Consider a phased approach with pre-validated subsets of data. </w:t>
                            </w:r>
                          </w:p>
                          <w:p w:rsidR="0075618C" w:rsidRPr="004C5B2B" w:rsidP="0075618C" w14:textId="24EB0BB3">
                            <w:pPr>
                              <w:pStyle w:val="EQRTextboxbody"/>
                            </w:pPr>
                          </w:p>
                        </w:txbxContent>
                      </wps:txbx>
                      <wps:bodyPr rot="0" vert="horz" wrap="square" lIns="109728" tIns="45720" rIns="109728" bIns="45720" anchor="t" anchorCtr="0" upright="1"/>
                    </wps:wsp>
                  </a:graphicData>
                </a:graphic>
              </wp:inline>
            </w:drawing>
          </mc:Choice>
          <mc:Fallback>
            <w:pict>
              <v:shape id="Text Box 193" o:spid="_x0000_i1079" type="#_x0000_t202" style="width:437.25pt;height:196.1pt;flip:y;mso-left-percent:-10001;mso-position-horizontal-relative:char;mso-position-vertical-relative:line;mso-top-percent:-10001;mso-wrap-style:square;rotation:180;visibility:visible;v-text-anchor:top" fillcolor="#eef5f8" strokecolor="#a5dad9" strokeweight="2.25pt">
                <v:stroke endcap="round"/>
                <v:textbox inset="8.64pt,,8.64pt">
                  <w:txbxContent>
                    <w:p w:rsidR="0075618C" w:rsidRPr="00865483" w:rsidP="0075618C" w14:paraId="32E6F028" w14:textId="2EC17A65">
                      <w:pPr>
                        <w:pStyle w:val="EQRTextboxheading"/>
                        <w:rPr>
                          <w:rFonts w:eastAsia="Times New Roman" w:asciiTheme="minorHAnsi" w:hAnsiTheme="minorHAnsi" w:cs="Times New Roman"/>
                          <w:color w:val="auto"/>
                          <w:sz w:val="24"/>
                          <w:szCs w:val="20"/>
                        </w:rPr>
                      </w:pPr>
                      <w:bookmarkStart w:id="237" w:name="Box2n1"/>
                      <w:r w:rsidRPr="00865483">
                        <w:t>Box 2.1</w:t>
                      </w:r>
                      <w:bookmarkEnd w:id="237"/>
                      <w:r w:rsidRPr="00865483">
                        <w:t xml:space="preserve">. Considerations when </w:t>
                      </w:r>
                      <w:r w:rsidRPr="00865483" w:rsidR="004E52D7">
                        <w:t>Stratifying Performance Measures</w:t>
                      </w:r>
                      <w:r w:rsidRPr="00865483">
                        <w:rPr>
                          <w:rFonts w:eastAsia="Times New Roman" w:asciiTheme="minorHAnsi" w:hAnsiTheme="minorHAnsi" w:cs="Times New Roman"/>
                          <w:color w:val="auto"/>
                          <w:sz w:val="24"/>
                          <w:szCs w:val="20"/>
                        </w:rPr>
                        <w:t xml:space="preserve"> </w:t>
                      </w:r>
                    </w:p>
                    <w:p w:rsidR="00C74ECB" w:rsidRPr="00865483" w:rsidP="00C74ECB" w14:paraId="0F8B5ABB" w14:textId="5D7116BA">
                      <w:pPr>
                        <w:pStyle w:val="EQRTextboxbody"/>
                      </w:pPr>
                      <w:r w:rsidRPr="00865483">
                        <w:t xml:space="preserve">When planning to stratify performance measures by factors such as race, ethnicity, or other sociodemographic characteristics, states and their EQROs should consider the following steps to ensure alignment with federal guidance, data quality standards, and state priorities. </w:t>
                      </w:r>
                    </w:p>
                    <w:p w:rsidR="00B83BB6" w:rsidRPr="00865483" w:rsidP="00C74ECB" w14:paraId="6F37C760" w14:textId="53737DB8">
                      <w:pPr>
                        <w:pStyle w:val="EQRTextboxbullet"/>
                      </w:pPr>
                      <w:r w:rsidRPr="00865483">
                        <w:t>Review the state's managed care quality strategy to identify the disparity factors into which the state would like additional insights</w:t>
                      </w:r>
                      <w:r w:rsidRPr="00865483">
                        <w:t>.</w:t>
                      </w:r>
                    </w:p>
                    <w:p w:rsidR="00B83BB6" w:rsidRPr="00865483" w:rsidP="00C74ECB" w14:paraId="49E89CD8" w14:textId="0EF97DD9">
                      <w:pPr>
                        <w:pStyle w:val="EQRTextboxbullet"/>
                      </w:pPr>
                      <w:r w:rsidRPr="00865483">
                        <w:t xml:space="preserve">Review the </w:t>
                      </w:r>
                      <w:hyperlink r:id="rId119" w:history="1">
                        <w:r w:rsidRPr="00865483">
                          <w:rPr>
                            <w:rStyle w:val="Hyperlink"/>
                            <w:color w:val="00559D"/>
                          </w:rPr>
                          <w:t>Office of Management and Budget standards</w:t>
                        </w:r>
                      </w:hyperlink>
                      <w:r w:rsidRPr="00865483">
                        <w:t xml:space="preserve"> for best practices on stratifying data for race and ethnicity categories</w:t>
                      </w:r>
                      <w:r w:rsidRPr="00865483" w:rsidR="00080103">
                        <w:t xml:space="preserve">, available at </w:t>
                      </w:r>
                      <w:hyperlink r:id="rId56" w:history="1">
                        <w:r w:rsidRPr="00865483" w:rsidR="00080103">
                          <w:rPr>
                            <w:rStyle w:val="Hyperlink"/>
                          </w:rPr>
                          <w:t>https://www.federalregister.gov/d/2024-06469</w:t>
                        </w:r>
                      </w:hyperlink>
                      <w:r w:rsidRPr="00865483">
                        <w:t>.</w:t>
                      </w:r>
                    </w:p>
                    <w:p w:rsidR="00B83BB6" w:rsidRPr="00865483" w:rsidP="00C74ECB" w14:paraId="7BD5F04B" w14:textId="1595FDD9">
                      <w:pPr>
                        <w:pStyle w:val="EQRTextboxbullet"/>
                      </w:pPr>
                      <w:r w:rsidRPr="00865483">
                        <w:t xml:space="preserve">Consider aligning </w:t>
                      </w:r>
                      <w:r w:rsidRPr="00865483" w:rsidR="004E52D7">
                        <w:t xml:space="preserve">the stratification </w:t>
                      </w:r>
                      <w:r w:rsidRPr="00865483">
                        <w:t xml:space="preserve">approach with </w:t>
                      </w:r>
                      <w:r w:rsidRPr="00865483" w:rsidR="003A5601">
                        <w:t xml:space="preserve">HEDIS®, </w:t>
                      </w:r>
                      <w:hyperlink r:id="rId120" w:history="1">
                        <w:r w:rsidRPr="00865483">
                          <w:rPr>
                            <w:rStyle w:val="Hyperlink"/>
                            <w:color w:val="00559D"/>
                          </w:rPr>
                          <w:t>mandatory Core Sets reporting</w:t>
                        </w:r>
                        <w:r w:rsidRPr="00865483" w:rsidR="003A5601">
                          <w:rPr>
                            <w:rStyle w:val="Hyperlink"/>
                            <w:color w:val="00559D"/>
                          </w:rPr>
                          <w:t>,</w:t>
                        </w:r>
                        <w:r w:rsidRPr="00865483" w:rsidR="006045C2">
                          <w:rPr>
                            <w:rStyle w:val="Hyperlink"/>
                            <w:color w:val="00559D"/>
                          </w:rPr>
                          <w:t xml:space="preserve"> </w:t>
                        </w:r>
                        <w:r w:rsidRPr="00865483">
                          <w:rPr>
                            <w:rStyle w:val="Hyperlink"/>
                            <w:color w:val="00559D"/>
                          </w:rPr>
                          <w:t>and Medicaid and CHIP Quality Rating System requirements</w:t>
                        </w:r>
                      </w:hyperlink>
                      <w:r w:rsidRPr="00865483">
                        <w:t xml:space="preserve">. </w:t>
                      </w:r>
                    </w:p>
                    <w:p w:rsidR="00B83BB6" w:rsidRPr="00865483" w:rsidP="00C74ECB" w14:paraId="597067AD" w14:textId="38F5F045">
                      <w:pPr>
                        <w:pStyle w:val="EQRTextboxbullet"/>
                      </w:pPr>
                      <w:r w:rsidRPr="00865483">
                        <w:t xml:space="preserve">Review </w:t>
                      </w:r>
                      <w:hyperlink r:id="rId56" w:history="1">
                        <w:r w:rsidRPr="00865483">
                          <w:rPr>
                            <w:rStyle w:val="Hyperlink"/>
                            <w:color w:val="00559D"/>
                          </w:rPr>
                          <w:t xml:space="preserve">CMS’s </w:t>
                        </w:r>
                        <w:r w:rsidRPr="00865483" w:rsidR="004E52D7">
                          <w:rPr>
                            <w:rStyle w:val="Hyperlink"/>
                            <w:color w:val="00559D"/>
                          </w:rPr>
                          <w:t>r</w:t>
                        </w:r>
                        <w:r w:rsidRPr="00865483">
                          <w:rPr>
                            <w:rStyle w:val="Hyperlink"/>
                            <w:color w:val="00559D"/>
                          </w:rPr>
                          <w:t>esource of health equity-related data definition, standards, and stratification practices</w:t>
                        </w:r>
                      </w:hyperlink>
                      <w:r w:rsidRPr="00865483">
                        <w:t xml:space="preserve"> for suggested practices for sociodemographic element</w:t>
                      </w:r>
                      <w:r w:rsidRPr="00865483" w:rsidR="004E52D7">
                        <w:t xml:space="preserve">s, available at </w:t>
                      </w:r>
                      <w:hyperlink r:id="rId121" w:history="1">
                        <w:r w:rsidRPr="00865483" w:rsidR="00B53996">
                          <w:rPr>
                            <w:rStyle w:val="Hyperlink"/>
                          </w:rPr>
                          <w:t>https://www.cms.gov/files/document/cms-2024-omh-data-definitions.pdf</w:t>
                        </w:r>
                      </w:hyperlink>
                      <w:r w:rsidRPr="006847EB" w:rsidR="00B53996">
                        <w:rPr>
                          <w:color w:val="006068" w:themeColor="accent1" w:themeShade="BF"/>
                        </w:rPr>
                        <w:t xml:space="preserve">. </w:t>
                      </w:r>
                    </w:p>
                    <w:p w:rsidR="00B83BB6" w:rsidRPr="0050797C" w:rsidP="002D35CF" w14:paraId="4846508F" w14:textId="6CFD5FD9">
                      <w:pPr>
                        <w:pStyle w:val="EQRTextboxbody"/>
                        <w:numPr>
                          <w:ilvl w:val="0"/>
                          <w:numId w:val="65"/>
                        </w:numPr>
                        <w:spacing w:before="0" w:after="0"/>
                      </w:pPr>
                      <w:r w:rsidRPr="0050797C">
                        <w:t>Identify potential updates needed to the state’s data infrastructure to collect reliable, accurate stratified data</w:t>
                      </w:r>
                      <w:r w:rsidRPr="0050797C" w:rsidR="008C0632">
                        <w:t xml:space="preserve">, giving preference to </w:t>
                      </w:r>
                      <w:r w:rsidRPr="0050797C" w:rsidR="004E52D7">
                        <w:t>self-reported data over data</w:t>
                      </w:r>
                      <w:r w:rsidRPr="0050797C" w:rsidR="008C0632">
                        <w:t xml:space="preserve"> collected by proxy</w:t>
                      </w:r>
                      <w:r w:rsidRPr="0050797C">
                        <w:t xml:space="preserve">. Consider a phased approach with pre-validated subsets of data. </w:t>
                      </w:r>
                    </w:p>
                    <w:p w:rsidR="0075618C" w:rsidRPr="004C5B2B" w:rsidP="0075618C" w14:paraId="6097F2A4" w14:textId="24EB0BB3">
                      <w:pPr>
                        <w:pStyle w:val="EQRTextboxbody"/>
                      </w:pPr>
                    </w:p>
                  </w:txbxContent>
                </v:textbox>
                <w10:wrap type="none"/>
                <w10:anchorlock/>
              </v:shape>
            </w:pict>
          </mc:Fallback>
        </mc:AlternateContent>
      </w:r>
    </w:p>
    <w:p w:rsidR="00F949DE" w:rsidRPr="00990D3B" w:rsidP="006B1DA8" w14:paraId="4BA7F006" w14:textId="79210824">
      <w:pPr>
        <w:pStyle w:val="ParagraphContinued"/>
      </w:pPr>
      <w:r w:rsidRPr="00990D3B">
        <w:t xml:space="preserve">Federal regulations at </w:t>
      </w:r>
      <w:r w:rsidRPr="00990D3B" w:rsidR="001C7FC0">
        <w:t>42 C.F.R.</w:t>
      </w:r>
      <w:r w:rsidRPr="00990D3B">
        <w:t xml:space="preserve"> 438.330(c) require states to specify standard performance measures for MCPs to include in their comprehensive QAPI programs.</w:t>
      </w:r>
      <w:r w:rsidRPr="00990D3B" w:rsidR="003162DF">
        <w:rPr>
          <w:rFonts w:ascii="ZWAdobeF" w:hAnsi="ZWAdobeF" w:cs="ZWAdobeF"/>
          <w:sz w:val="2"/>
          <w:szCs w:val="2"/>
        </w:rPr>
        <w:t>41F</w:t>
      </w:r>
      <w:r>
        <w:rPr>
          <w:vertAlign w:val="superscript"/>
          <w:lang w:bidi="en-US"/>
        </w:rPr>
        <w:footnoteReference w:id="46"/>
      </w:r>
      <w:r w:rsidRPr="00990D3B">
        <w:t xml:space="preserve"> Each year, the MCPs must (1) measure and report to the state the standard performance measures specified by the state; (2) submit specified data to the state which enables the state to calculate the standard performance measures; or (3) </w:t>
      </w:r>
      <w:r w:rsidRPr="00990D3B" w:rsidR="00C74ECB">
        <w:t xml:space="preserve">use </w:t>
      </w:r>
      <w:r w:rsidRPr="00990D3B">
        <w:t>a combination of</w:t>
      </w:r>
      <w:r w:rsidRPr="00990D3B" w:rsidR="00A13E22">
        <w:t xml:space="preserve"> these approaches.</w:t>
      </w:r>
      <w:r w:rsidRPr="005745A3" w:rsidR="005745A3">
        <w:rPr>
          <w:rStyle w:val="FootnoteReference"/>
        </w:rPr>
        <w:t xml:space="preserve"> </w:t>
      </w:r>
    </w:p>
    <w:p w:rsidR="003E54C5" w:rsidRPr="00990D3B" w:rsidP="00BD1FC3" w14:paraId="0C710845" w14:textId="76EFCF79">
      <w:pPr>
        <w:pStyle w:val="Paragraph0"/>
      </w:pPr>
      <w:r w:rsidRPr="00990D3B">
        <w:t xml:space="preserve">This protocol is used to guide the validation of </w:t>
      </w:r>
      <w:r w:rsidRPr="00990D3B" w:rsidR="00F949DE">
        <w:t xml:space="preserve">the </w:t>
      </w:r>
      <w:r w:rsidRPr="00990D3B">
        <w:t xml:space="preserve">performance measures </w:t>
      </w:r>
      <w:r w:rsidRPr="00990D3B" w:rsidR="00600C74">
        <w:t xml:space="preserve">specified by </w:t>
      </w:r>
      <w:r w:rsidRPr="00990D3B">
        <w:t xml:space="preserve">states for </w:t>
      </w:r>
      <w:r w:rsidRPr="00990D3B" w:rsidR="00600C74">
        <w:t xml:space="preserve">inclusion in MCPs’ </w:t>
      </w:r>
      <w:r w:rsidRPr="00990D3B">
        <w:t>QAPI programs.</w:t>
      </w:r>
      <w:r w:rsidRPr="00990D3B" w:rsidR="00F949DE">
        <w:t xml:space="preserve"> It applies both when the </w:t>
      </w:r>
      <w:r w:rsidRPr="00990D3B" w:rsidR="009E42AD">
        <w:t xml:space="preserve">QAPI </w:t>
      </w:r>
      <w:r w:rsidRPr="00990D3B" w:rsidR="00F949DE">
        <w:t>performance measure is calculated by the MCP and when it is calculated by the state.</w:t>
      </w:r>
      <w:r w:rsidRPr="00990D3B" w:rsidR="004B71CB">
        <w:t xml:space="preserve"> </w:t>
      </w:r>
      <w:r w:rsidRPr="00990D3B">
        <w:t>All QAPI measures must be validated. However, the scope of this protocol is not limited to QAPI measures and can also be applied to other performance measures as necessary</w:t>
      </w:r>
      <w:r w:rsidRPr="00990D3B" w:rsidR="00D976B2">
        <w:t>.</w:t>
      </w:r>
    </w:p>
    <w:p w:rsidR="00523D43" w:rsidRPr="00990D3B" w:rsidP="00BD1FC3" w14:paraId="44B39458" w14:textId="7FEAD0B3">
      <w:pPr>
        <w:pStyle w:val="Paragraph0"/>
      </w:pPr>
      <w:r w:rsidRPr="00990D3B">
        <w:t xml:space="preserve">In general, the </w:t>
      </w:r>
      <w:r w:rsidRPr="00990D3B" w:rsidR="001E07DC">
        <w:t>external quality review organization (</w:t>
      </w:r>
      <w:r w:rsidRPr="00990D3B">
        <w:t>EQRO</w:t>
      </w:r>
      <w:r w:rsidRPr="00990D3B" w:rsidR="001E07DC">
        <w:t>)</w:t>
      </w:r>
      <w:r w:rsidRPr="00990D3B">
        <w:t xml:space="preserve"> must assess whether the performance measures calculated by the MCP</w:t>
      </w:r>
      <w:r w:rsidRPr="00990D3B" w:rsidR="003162DF">
        <w:rPr>
          <w:rFonts w:ascii="ZWAdobeF" w:hAnsi="ZWAdobeF" w:cs="ZWAdobeF"/>
          <w:sz w:val="2"/>
          <w:szCs w:val="2"/>
        </w:rPr>
        <w:t>42F</w:t>
      </w:r>
      <w:r w:rsidRPr="00990D3B">
        <w:t>are accurate based on</w:t>
      </w:r>
      <w:r w:rsidRPr="00990D3B" w:rsidR="00600C74">
        <w:t xml:space="preserve"> </w:t>
      </w:r>
      <w:r w:rsidRPr="00990D3B">
        <w:t>the measure specifications and state reporting requirements (</w:t>
      </w:r>
      <w:r w:rsidRPr="00990D3B" w:rsidR="001C7FC0">
        <w:t>42 C.F.R.</w:t>
      </w:r>
      <w:r w:rsidRPr="00990D3B" w:rsidR="007854DF">
        <w:t xml:space="preserve"> </w:t>
      </w:r>
      <w:r w:rsidRPr="00990D3B">
        <w:t>438.330(b)(2)).</w:t>
      </w:r>
      <w:r w:rsidRPr="005745A3" w:rsidR="005745A3">
        <w:rPr>
          <w:rStyle w:val="FootnoteReference"/>
          <w:spacing w:val="-4"/>
        </w:rPr>
        <w:t xml:space="preserve"> </w:t>
      </w:r>
      <w:r>
        <w:rPr>
          <w:rStyle w:val="FootnoteReference"/>
          <w:spacing w:val="-4"/>
        </w:rPr>
        <w:footnoteReference w:id="47"/>
      </w:r>
      <w:r w:rsidRPr="00990D3B" w:rsidR="005745A3">
        <w:t xml:space="preserve"> </w:t>
      </w:r>
      <w:r w:rsidRPr="00990D3B" w:rsidR="00600C74">
        <w:t xml:space="preserve"> </w:t>
      </w:r>
      <w:r w:rsidRPr="00990D3B">
        <w:rPr>
          <w:spacing w:val="-2"/>
        </w:rPr>
        <w:t xml:space="preserve">The state provides the list of performance measures to be validated, the specifications for the </w:t>
      </w:r>
      <w:r w:rsidRPr="00990D3B">
        <w:t xml:space="preserve">measures, and the requirements for reporting. </w:t>
      </w:r>
      <w:r w:rsidRPr="00990D3B" w:rsidR="003E54C5">
        <w:t xml:space="preserve">The state must ensure that the EQRO is provided with </w:t>
      </w:r>
      <w:r w:rsidRPr="00990D3B" w:rsidR="00937012">
        <w:t xml:space="preserve">a </w:t>
      </w:r>
      <w:r w:rsidRPr="00990D3B" w:rsidR="003E54C5">
        <w:t xml:space="preserve">complete list of each </w:t>
      </w:r>
      <w:r w:rsidRPr="00990D3B" w:rsidR="003E54C5">
        <w:t xml:space="preserve">MCP’s QAPI performance measures and that </w:t>
      </w:r>
      <w:r w:rsidRPr="00990D3B" w:rsidR="0050797C">
        <w:t>the EQRO validates each measure</w:t>
      </w:r>
      <w:r w:rsidRPr="00990D3B" w:rsidR="003E54C5">
        <w:t xml:space="preserve"> as part of the performance measure validation activity. </w:t>
      </w:r>
    </w:p>
    <w:p w:rsidR="00523D43" w:rsidRPr="00990D3B" w:rsidP="00BD1FC3" w14:paraId="218AD52D" w14:textId="1978673F">
      <w:pPr>
        <w:pStyle w:val="Paragraph0"/>
      </w:pPr>
      <w:r w:rsidRPr="00990D3B">
        <w:t xml:space="preserve">As noted in the </w:t>
      </w:r>
      <w:hyperlink w:anchor="IntroNonDuplication" w:tooltip="Introduction" w:history="1">
        <w:r w:rsidRPr="00990D3B">
          <w:rPr>
            <w:rStyle w:val="Hyperlink"/>
            <w:spacing w:val="-4"/>
          </w:rPr>
          <w:t>Introduction</w:t>
        </w:r>
      </w:hyperlink>
      <w:r w:rsidRPr="00990D3B">
        <w:t xml:space="preserve">, </w:t>
      </w:r>
      <w:r w:rsidRPr="00990D3B">
        <w:rPr>
          <w:szCs w:val="17"/>
        </w:rPr>
        <w:t xml:space="preserve">states have the option to use information from a Medicare or private accreditation review of an MCP to provide information for the annual </w:t>
      </w:r>
      <w:r w:rsidRPr="00990D3B" w:rsidR="001E07DC">
        <w:rPr>
          <w:szCs w:val="17"/>
        </w:rPr>
        <w:t>external quality review (</w:t>
      </w:r>
      <w:r w:rsidRPr="00990D3B">
        <w:rPr>
          <w:szCs w:val="17"/>
        </w:rPr>
        <w:t>EQR</w:t>
      </w:r>
      <w:r w:rsidRPr="00990D3B" w:rsidR="001E07DC">
        <w:rPr>
          <w:szCs w:val="17"/>
        </w:rPr>
        <w:t>)</w:t>
      </w:r>
      <w:r w:rsidRPr="00990D3B">
        <w:rPr>
          <w:szCs w:val="17"/>
        </w:rPr>
        <w:t xml:space="preserve"> instead of conducting this mandatory EQR-related activity.</w:t>
      </w:r>
      <w:r w:rsidRPr="00990D3B" w:rsidR="003162DF">
        <w:rPr>
          <w:rFonts w:ascii="ZWAdobeF" w:hAnsi="ZWAdobeF" w:cs="ZWAdobeF"/>
          <w:sz w:val="2"/>
          <w:szCs w:val="2"/>
        </w:rPr>
        <w:t>43F</w:t>
      </w:r>
      <w:r>
        <w:rPr>
          <w:szCs w:val="17"/>
          <w:vertAlign w:val="superscript"/>
        </w:rPr>
        <w:footnoteReference w:id="48"/>
      </w:r>
      <w:r w:rsidRPr="00990D3B" w:rsidR="004A6471">
        <w:rPr>
          <w:szCs w:val="17"/>
          <w:vertAlign w:val="superscript"/>
        </w:rPr>
        <w:t>,</w:t>
      </w:r>
      <w:r w:rsidRPr="00990D3B" w:rsidR="003162DF">
        <w:rPr>
          <w:rFonts w:ascii="ZWAdobeF" w:hAnsi="ZWAdobeF" w:cs="ZWAdobeF"/>
          <w:sz w:val="2"/>
          <w:szCs w:val="2"/>
        </w:rPr>
        <w:t>44F</w:t>
      </w:r>
      <w:r>
        <w:rPr>
          <w:rStyle w:val="FootnoteReference"/>
          <w:spacing w:val="-4"/>
          <w:szCs w:val="17"/>
        </w:rPr>
        <w:footnoteReference w:id="49"/>
      </w:r>
      <w:r w:rsidRPr="00990D3B" w:rsidR="00341322">
        <w:t xml:space="preserve"> </w:t>
      </w:r>
      <w:r w:rsidRPr="00990D3B" w:rsidR="00B64D16">
        <w:t>Should the state have its EQRO leverage</w:t>
      </w:r>
      <w:r w:rsidRPr="00990D3B">
        <w:t xml:space="preserve"> this information, such as</w:t>
      </w:r>
      <w:r w:rsidRPr="00990D3B" w:rsidR="00B64D16">
        <w:t xml:space="preserve"> </w:t>
      </w:r>
      <w:r w:rsidRPr="00990D3B" w:rsidR="00C74ECB">
        <w:t>HEDIS®</w:t>
      </w:r>
      <w:r w:rsidRPr="00990D3B" w:rsidR="00E87DC0">
        <w:t xml:space="preserve"> Compliance Audits</w:t>
      </w:r>
      <w:r w:rsidRPr="00990D3B" w:rsidR="00C74ECB">
        <w:t>,</w:t>
      </w:r>
      <w:r w:rsidRPr="00990D3B" w:rsidR="004C7CC8">
        <w:t xml:space="preserve"> the EQRO must review the</w:t>
      </w:r>
      <w:r w:rsidRPr="00990D3B" w:rsidR="004044AF">
        <w:t xml:space="preserve"> validation findings and</w:t>
      </w:r>
      <w:r w:rsidRPr="00990D3B" w:rsidR="004C7CC8">
        <w:t xml:space="preserve"> validated </w:t>
      </w:r>
      <w:r w:rsidRPr="00990D3B" w:rsidR="00810360">
        <w:t>performance measure</w:t>
      </w:r>
      <w:r w:rsidRPr="00990D3B" w:rsidR="004C7CC8">
        <w:t xml:space="preserve"> data and include th</w:t>
      </w:r>
      <w:r w:rsidRPr="00990D3B" w:rsidR="004044AF">
        <w:t xml:space="preserve">ese results and </w:t>
      </w:r>
      <w:r w:rsidRPr="00990D3B" w:rsidR="004C7CC8">
        <w:t xml:space="preserve">data in the EQR technical report. </w:t>
      </w:r>
    </w:p>
    <w:p w:rsidR="003E54C5" w:rsidRPr="00990D3B" w:rsidP="00BD1FC3" w14:paraId="5DE0C313" w14:textId="135EC0D9">
      <w:pPr>
        <w:pStyle w:val="Paragraph0"/>
        <w:rPr>
          <w:spacing w:val="-2"/>
        </w:rPr>
      </w:pPr>
      <w:r w:rsidRPr="00990D3B">
        <w:t xml:space="preserve">A related protocol, </w:t>
      </w:r>
      <w:hyperlink w:anchor="Protocol7" w:tooltip="Protocol 7. Calculation of Additional Performance Measures" w:history="1">
        <w:r w:rsidRPr="00990D3B">
          <w:rPr>
            <w:rStyle w:val="Hyperlink"/>
            <w:spacing w:val="-4"/>
          </w:rPr>
          <w:t>Protocol 7</w:t>
        </w:r>
      </w:hyperlink>
      <w:r w:rsidRPr="00990D3B">
        <w:t xml:space="preserve">, may be used by EQROs to calculate </w:t>
      </w:r>
      <w:r w:rsidRPr="00990D3B">
        <w:rPr>
          <w:spacing w:val="-2"/>
        </w:rPr>
        <w:t>additional performance measures in accordance with state specifications.</w:t>
      </w:r>
    </w:p>
    <w:p w:rsidR="00632288" w:rsidRPr="00990D3B" w:rsidP="00BD1FC3" w14:paraId="400FD03A" w14:textId="29643DA3">
      <w:pPr>
        <w:pStyle w:val="H2"/>
      </w:pPr>
      <w:bookmarkStart w:id="238" w:name="_Toc14777687"/>
      <w:bookmarkStart w:id="239" w:name="_Toc183005576"/>
      <w:bookmarkStart w:id="240" w:name="_Toc201751347"/>
      <w:r w:rsidRPr="00990D3B">
        <w:t>Getting Started on Protocol 2</w:t>
      </w:r>
      <w:bookmarkEnd w:id="238"/>
      <w:bookmarkEnd w:id="239"/>
      <w:bookmarkEnd w:id="240"/>
    </w:p>
    <w:p w:rsidR="00730B84" w:rsidRPr="00990D3B" w:rsidP="00823840" w14:paraId="78B1BFE6" w14:textId="6FF2E1F9">
      <w:pPr>
        <w:pStyle w:val="ParagraphContinued"/>
      </w:pPr>
      <w:r w:rsidRPr="00990D3B">
        <w:t xml:space="preserve">To complete this protocol, the EQRO must undertake </w:t>
      </w:r>
      <w:r w:rsidRPr="00990D3B" w:rsidR="00530BC9">
        <w:t>four activities</w:t>
      </w:r>
      <w:r w:rsidRPr="00990D3B" w:rsidR="001E07DC">
        <w:t xml:space="preserve"> </w:t>
      </w:r>
      <w:r w:rsidRPr="00990D3B" w:rsidR="00632288">
        <w:t>(</w:t>
      </w:r>
      <w:hyperlink w:anchor="Figure2i" w:tooltip="Figure 2.1" w:history="1">
        <w:r w:rsidRPr="00990D3B" w:rsidR="00632288">
          <w:rPr>
            <w:rStyle w:val="Hyperlink"/>
          </w:rPr>
          <w:t>Figure 2.1</w:t>
        </w:r>
      </w:hyperlink>
      <w:r w:rsidRPr="00990D3B" w:rsidR="00C74ECB">
        <w:rPr>
          <w:rStyle w:val="Hyperlink"/>
          <w:color w:val="auto"/>
        </w:rPr>
        <w:t>, next page</w:t>
      </w:r>
      <w:r w:rsidRPr="00990D3B" w:rsidR="00632288">
        <w:t>)</w:t>
      </w:r>
      <w:r w:rsidRPr="00990D3B" w:rsidR="0050797C">
        <w:t>, all of which should be completed within</w:t>
      </w:r>
      <w:r w:rsidRPr="00990D3B" w:rsidR="00681204">
        <w:t xml:space="preserve"> </w:t>
      </w:r>
      <w:r w:rsidRPr="00990D3B" w:rsidR="0050797C">
        <w:t xml:space="preserve">the </w:t>
      </w:r>
      <w:r w:rsidRPr="00990D3B" w:rsidR="00681204">
        <w:t>12</w:t>
      </w:r>
      <w:r w:rsidRPr="00990D3B" w:rsidR="006A6CCE">
        <w:t xml:space="preserve"> </w:t>
      </w:r>
      <w:r w:rsidRPr="00990D3B" w:rsidR="00681204">
        <w:t xml:space="preserve">months </w:t>
      </w:r>
      <w:r w:rsidR="0026404E">
        <w:t>preceding</w:t>
      </w:r>
      <w:r w:rsidRPr="00990D3B" w:rsidR="00681204">
        <w:t xml:space="preserve"> the finalization of the annual EQR technical report</w:t>
      </w:r>
      <w:r w:rsidRPr="00990D3B" w:rsidR="00632288">
        <w:t>.</w:t>
      </w:r>
      <w:r w:rsidRPr="005745A3" w:rsidR="005745A3">
        <w:rPr>
          <w:rStyle w:val="FootnoteReference"/>
        </w:rPr>
        <w:t xml:space="preserve"> </w:t>
      </w:r>
      <w:r>
        <w:rPr>
          <w:rStyle w:val="FootnoteReference"/>
        </w:rPr>
        <w:footnoteReference w:id="50"/>
      </w:r>
      <w:r w:rsidRPr="00990D3B" w:rsidR="003162DF">
        <w:rPr>
          <w:rFonts w:ascii="ZWAdobeF" w:hAnsi="ZWAdobeF" w:cs="ZWAdobeF"/>
          <w:sz w:val="2"/>
          <w:szCs w:val="2"/>
        </w:rPr>
        <w:t>45F</w:t>
      </w:r>
      <w:r w:rsidR="002A37FE">
        <w:rPr>
          <w:rFonts w:ascii="ZWAdobeF" w:hAnsi="ZWAdobeF" w:cs="ZWAdobeF"/>
          <w:sz w:val="2"/>
          <w:szCs w:val="2"/>
        </w:rPr>
        <w:t>,</w:t>
      </w:r>
      <w:r>
        <w:rPr>
          <w:rStyle w:val="FootnoteReference"/>
        </w:rPr>
        <w:footnoteReference w:id="51"/>
      </w:r>
      <w:r w:rsidRPr="00990D3B" w:rsidR="00632288">
        <w:t xml:space="preserve"> </w:t>
      </w:r>
      <w:r w:rsidRPr="00990D3B" w:rsidR="00632288">
        <w:rPr>
          <w:spacing w:val="-2"/>
        </w:rPr>
        <w:t>The validation process is interactive and concurrent with MCP performance measure calculation</w:t>
      </w:r>
      <w:r w:rsidRPr="00990D3B" w:rsidR="005D2E18">
        <w:rPr>
          <w:spacing w:val="-2"/>
        </w:rPr>
        <w:t xml:space="preserve">. </w:t>
      </w:r>
      <w:r w:rsidRPr="00990D3B" w:rsidR="005D2E18">
        <w:t>E</w:t>
      </w:r>
      <w:r w:rsidRPr="00990D3B" w:rsidR="00B83BB6">
        <w:t>ach phase is designed to support activities that may be conducted on-site or remotely.</w:t>
      </w:r>
    </w:p>
    <w:p w:rsidR="001C2E36" w:rsidRPr="00990D3B" w:rsidP="00BD1FC3" w14:paraId="5C644363" w14:textId="561BCE9E">
      <w:pPr>
        <w:pStyle w:val="MarkforFigureHeading"/>
      </w:pPr>
      <w:bookmarkStart w:id="241" w:name="Figure2i"/>
      <w:bookmarkStart w:id="242" w:name="_Hlk181268443"/>
      <w:bookmarkEnd w:id="241"/>
      <w:r w:rsidRPr="00990D3B">
        <w:t>Figure 2.1. Protocol 2 Activities</w:t>
      </w:r>
    </w:p>
    <w:p w:rsidR="00CD3C27" w:rsidRPr="00990D3B" w:rsidP="00BD1FC3" w14:paraId="11D6FC6C" w14:textId="59D40A62">
      <w:pPr>
        <w:pStyle w:val="EQRFigure"/>
        <w:spacing w:after="0"/>
      </w:pPr>
      <w:r w:rsidRPr="00990D3B">
        <w:drawing>
          <wp:inline distT="0" distB="0" distL="0" distR="0">
            <wp:extent cx="5943600" cy="3364992"/>
            <wp:effectExtent l="0" t="0" r="0" b="6985"/>
            <wp:docPr id="633241995" name="Picture 2" descr="This graphic shows the activities and steps included in Protoco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241995" name="Picture 2" descr="This graphic shows the activities and steps included in Protocol 2"/>
                    <pic:cNvPicPr/>
                  </pic:nvPicPr>
                  <pic:blipFill>
                    <a:blip xmlns:r="http://schemas.openxmlformats.org/officeDocument/2006/relationships" r:embed="rId122">
                      <a:extLst>
                        <a:ext xmlns:a="http://schemas.openxmlformats.org/drawingml/2006/main" uri="{28A0092B-C50C-407E-A947-70E740481C1C}">
                          <a14:useLocalDpi xmlns:a14="http://schemas.microsoft.com/office/drawing/2010/main" val="0"/>
                        </a:ext>
                      </a:extLst>
                    </a:blip>
                    <a:stretch>
                      <a:fillRect/>
                    </a:stretch>
                  </pic:blipFill>
                  <pic:spPr>
                    <a:xfrm>
                      <a:off x="0" y="0"/>
                      <a:ext cx="5943600" cy="3364992"/>
                    </a:xfrm>
                    <a:prstGeom prst="rect">
                      <a:avLst/>
                    </a:prstGeom>
                  </pic:spPr>
                </pic:pic>
              </a:graphicData>
            </a:graphic>
          </wp:inline>
        </w:drawing>
      </w:r>
    </w:p>
    <w:p w:rsidR="00632288" w:rsidRPr="00990D3B" w:rsidP="00BD1FC3" w14:paraId="69E24C2A" w14:textId="77777777">
      <w:pPr>
        <w:pStyle w:val="ParagraphContinued"/>
      </w:pPr>
      <w:r w:rsidRPr="00990D3B">
        <w:t>Two supplemental resources are available to help EQROs validate performance measures:</w:t>
      </w:r>
    </w:p>
    <w:bookmarkEnd w:id="242"/>
    <w:p w:rsidR="00632288" w:rsidRPr="00990D3B" w:rsidP="00FB7CAF" w14:paraId="2990CC7D" w14:textId="05AF0251">
      <w:pPr>
        <w:pStyle w:val="EQRBulletBLUE"/>
      </w:pPr>
      <w:r w:rsidRPr="00990D3B">
        <w:fldChar w:fldCharType="begin"/>
      </w:r>
      <w:r w:rsidRPr="00990D3B" w:rsidR="00645DC4">
        <w:instrText>HYPERLINK  \l "WSp2" \o "Worksheets for Protocol 2. Performance Measurement Validation Tools"</w:instrText>
      </w:r>
      <w:r w:rsidRPr="00990D3B">
        <w:fldChar w:fldCharType="separate"/>
      </w:r>
      <w:r w:rsidRPr="00990D3B">
        <w:rPr>
          <w:rStyle w:val="Hyperlink"/>
        </w:rPr>
        <w:t>Worksheets for Protocol 2. Performance Measurement Validation Tools</w:t>
      </w:r>
      <w:r w:rsidRPr="00990D3B">
        <w:rPr>
          <w:rStyle w:val="Hyperlink"/>
        </w:rPr>
        <w:fldChar w:fldCharType="end"/>
      </w:r>
      <w:r w:rsidRPr="00990D3B">
        <w:t>, which can be used to prepare for</w:t>
      </w:r>
      <w:r w:rsidRPr="00990D3B" w:rsidR="0051576E">
        <w:t>,</w:t>
      </w:r>
      <w:r w:rsidRPr="00990D3B" w:rsidR="00843F9E">
        <w:t xml:space="preserve"> conduct</w:t>
      </w:r>
      <w:r w:rsidRPr="00990D3B" w:rsidR="00E07F1D">
        <w:t>,</w:t>
      </w:r>
      <w:r w:rsidRPr="00990D3B" w:rsidR="00843F9E">
        <w:t xml:space="preserve"> and summarize the performance measure validation</w:t>
      </w:r>
    </w:p>
    <w:p w:rsidR="00632288" w:rsidRPr="00990D3B" w:rsidP="00FB7CAF" w14:paraId="33019A19" w14:textId="2BA8549B">
      <w:pPr>
        <w:pStyle w:val="EQRBulletBLUE"/>
      </w:pPr>
      <w:hyperlink w:anchor="AppB" w:tooltip="Appendix B. Information System Capabilities Assessment" w:history="1">
        <w:r w:rsidRPr="00990D3B">
          <w:rPr>
            <w:rStyle w:val="Hyperlink"/>
          </w:rPr>
          <w:t>Appendix B</w:t>
        </w:r>
        <w:r w:rsidRPr="00990D3B">
          <w:rPr>
            <w:rStyle w:val="Hyperlink"/>
          </w:rPr>
          <w:t>. Information System Capabilities Assessment</w:t>
        </w:r>
      </w:hyperlink>
      <w:r w:rsidRPr="00990D3B">
        <w:t>, which is used to assess the MCP’s data collection, process</w:t>
      </w:r>
      <w:r w:rsidRPr="00990D3B" w:rsidR="00FB4800">
        <w:t>ing, and reporting systems</w:t>
      </w:r>
    </w:p>
    <w:p w:rsidR="00632288" w:rsidRPr="00990D3B" w:rsidP="00BD1FC3" w14:paraId="5F817DE2" w14:textId="6ED12D38">
      <w:pPr>
        <w:pStyle w:val="ParagraphContinued"/>
      </w:pPr>
      <w:r w:rsidRPr="00990D3B">
        <w:t>The remainder of this protocol outlines the steps associat</w:t>
      </w:r>
      <w:r w:rsidRPr="00990D3B" w:rsidR="00FF051F">
        <w:t xml:space="preserve">ed with Activities </w:t>
      </w:r>
      <w:hyperlink w:anchor="P2A1" w:tooltip="1" w:history="1">
        <w:r w:rsidRPr="00990D3B" w:rsidR="00FF051F">
          <w:rPr>
            <w:rStyle w:val="Hyperlink"/>
            <w:color w:val="auto"/>
          </w:rPr>
          <w:t>1</w:t>
        </w:r>
      </w:hyperlink>
      <w:r w:rsidRPr="00990D3B" w:rsidR="00FF051F">
        <w:t xml:space="preserve"> through </w:t>
      </w:r>
      <w:r w:rsidRPr="00990D3B" w:rsidR="00843F9E">
        <w:t>4</w:t>
      </w:r>
      <w:r w:rsidRPr="00990D3B" w:rsidR="00FF051F">
        <w:t>.</w:t>
      </w:r>
    </w:p>
    <w:p w:rsidR="00FF051F" w:rsidRPr="00990D3B" w:rsidP="00BD1FC3" w14:paraId="30E78512" w14:textId="454258E3">
      <w:pPr>
        <w:pStyle w:val="EQRFigure"/>
      </w:pPr>
      <w:r w:rsidRPr="00990D3B">
        <w:drawing>
          <wp:inline distT="0" distB="0" distL="0" distR="0">
            <wp:extent cx="5236475" cy="1191770"/>
            <wp:effectExtent l="0" t="0" r="2540" b="8890"/>
            <wp:docPr id="689" name="Picture 689" descr="TIP: Navigate to the corresponding worksheet by clicking the WORKSHEET box under each section. An image of a sample WORKSHEET box is included in the TIP text. Worksheet boxes are single lines of hyperlinked text with a box border that read &quot;Worksheet X.X&quot; with the first number representing the protocol number, and second number representing the worksheet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Picture 689" descr="TIP: Navigate to the corresponding worksheet by clicking the WORKSHEET box under each section. An image of a sample WORKSHEET box is included in the TIP text. Worksheet boxes are single lines of hyperlinked text with a box border that read &quot;Worksheet X.X&quot; with the first number representing the protocol number, and second number representing the worksheet number."/>
                    <pic:cNvPicPr/>
                  </pic:nvPicPr>
                  <pic:blipFill>
                    <a:blip xmlns:r="http://schemas.openxmlformats.org/officeDocument/2006/relationships" r:embed="rId10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36475" cy="1191770"/>
                    </a:xfrm>
                    <a:prstGeom prst="rect">
                      <a:avLst/>
                    </a:prstGeom>
                  </pic:spPr>
                </pic:pic>
              </a:graphicData>
            </a:graphic>
          </wp:inline>
        </w:drawing>
      </w:r>
    </w:p>
    <w:p w:rsidR="00A1321B" w:rsidRPr="00990D3B" w:rsidP="00BD1FC3" w14:paraId="47E27C84" w14:textId="77777777">
      <w:bookmarkStart w:id="243" w:name="_Toc14777688"/>
      <w:r w:rsidRPr="00990D3B">
        <w:br w:type="page"/>
      </w:r>
    </w:p>
    <w:p w:rsidR="00632288" w:rsidRPr="00990D3B" w:rsidP="00BD1FC3" w14:paraId="05C727EA" w14:textId="46FA7343">
      <w:pPr>
        <w:pStyle w:val="H2"/>
      </w:pPr>
      <w:bookmarkStart w:id="244" w:name="P2A1"/>
      <w:bookmarkStart w:id="245" w:name="_Toc183005577"/>
      <w:bookmarkStart w:id="246" w:name="_Toc201751348"/>
      <w:bookmarkEnd w:id="244"/>
      <w:r w:rsidRPr="00990D3B">
        <w:t>A</w:t>
      </w:r>
      <w:r w:rsidRPr="00990D3B" w:rsidR="008414D2">
        <w:t>ctivity</w:t>
      </w:r>
      <w:r w:rsidRPr="00990D3B">
        <w:t xml:space="preserve"> 1: </w:t>
      </w:r>
      <w:bookmarkEnd w:id="243"/>
      <w:r w:rsidRPr="00990D3B" w:rsidR="0091583D">
        <w:t>P</w:t>
      </w:r>
      <w:r w:rsidRPr="00990D3B" w:rsidR="006D56C5">
        <w:t>er</w:t>
      </w:r>
      <w:r w:rsidRPr="00990D3B" w:rsidR="0091583D">
        <w:t>form Preliminary Review (Pre-Site Visit)</w:t>
      </w:r>
      <w:bookmarkEnd w:id="245"/>
      <w:bookmarkEnd w:id="246"/>
    </w:p>
    <w:p w:rsidR="00632288" w:rsidRPr="00990D3B" w:rsidP="00BD1FC3" w14:paraId="4452E332" w14:textId="77777777">
      <w:pPr>
        <w:pStyle w:val="H3"/>
      </w:pPr>
      <w:bookmarkStart w:id="247" w:name="P2A1Step1"/>
      <w:bookmarkEnd w:id="247"/>
      <w:r w:rsidRPr="00990D3B">
        <w:t>Step 1: Define the Scope of the Validation</w:t>
      </w:r>
    </w:p>
    <w:p w:rsidR="00632288" w:rsidRPr="00990D3B" w:rsidP="00540341" w14:paraId="3AE2CEEE" w14:textId="37F37A21">
      <w:pPr>
        <w:pStyle w:val="ParagraphContinued"/>
      </w:pPr>
      <w:r w:rsidRPr="00990D3B">
        <w:rPr>
          <w:noProof/>
        </w:rPr>
        <mc:AlternateContent>
          <mc:Choice Requires="wps">
            <w:drawing>
              <wp:anchor distT="0" distB="0" distL="114300" distR="114300" simplePos="0" relativeHeight="251734016" behindDoc="0" locked="0" layoutInCell="1" allowOverlap="1">
                <wp:simplePos x="0" y="0"/>
                <wp:positionH relativeFrom="column">
                  <wp:posOffset>3737610</wp:posOffset>
                </wp:positionH>
                <wp:positionV relativeFrom="paragraph">
                  <wp:posOffset>875665</wp:posOffset>
                </wp:positionV>
                <wp:extent cx="2194560" cy="3281680"/>
                <wp:effectExtent l="19050" t="19050" r="0" b="0"/>
                <wp:wrapTight wrapText="bothSides">
                  <wp:wrapPolygon>
                    <wp:start x="21788" y="21725"/>
                    <wp:lineTo x="21788" y="33"/>
                    <wp:lineTo x="38" y="33"/>
                    <wp:lineTo x="38" y="21725"/>
                    <wp:lineTo x="21788" y="21725"/>
                  </wp:wrapPolygon>
                </wp:wrapTight>
                <wp:docPr id="1771934686" name="Text Box 19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3281680"/>
                        </a:xfrm>
                        <a:prstGeom prst="rect">
                          <a:avLst/>
                        </a:prstGeom>
                        <a:solidFill>
                          <a:srgbClr val="EEF5F8"/>
                        </a:solidFill>
                        <a:ln w="28575" cap="rnd">
                          <a:solidFill>
                            <a:srgbClr val="A5DAD9"/>
                          </a:solidFill>
                          <a:prstDash val="solid"/>
                          <a:miter lim="800000"/>
                          <a:headEnd/>
                          <a:tailEnd/>
                        </a:ln>
                      </wps:spPr>
                      <wps:txbx>
                        <w:txbxContent>
                          <w:p w:rsidR="00ED33C3" w:rsidP="00930EC9" w14:textId="77777777">
                            <w:pPr>
                              <w:pStyle w:val="EQRTextboxheading"/>
                              <w:rPr>
                                <w:b/>
                                <w:position w:val="6"/>
                              </w:rPr>
                            </w:pPr>
                            <w:r>
                              <w:t>Resources for Activity 1, Step 1</w:t>
                            </w:r>
                          </w:p>
                          <w:p w:rsidR="00ED33C3" w:rsidRPr="00E9206C" w:rsidP="00930EC9" w14:textId="44423C6C">
                            <w:pPr>
                              <w:pStyle w:val="EQRTextboxbody"/>
                            </w:pPr>
                            <w:hyperlink w:anchor="WSp2n1" w:tooltip="Worksheet 2.1. List of Performance Measures to be Validated" w:history="1">
                              <w:r w:rsidRPr="00E9206C">
                                <w:rPr>
                                  <w:rStyle w:val="Hyperlink"/>
                                </w:rPr>
                                <w:t>Worksheet 2.1. List of Performance Measures to be Validated</w:t>
                              </w:r>
                            </w:hyperlink>
                          </w:p>
                          <w:p w:rsidR="00ED33C3" w:rsidP="00930EC9" w14:textId="77777777">
                            <w:pPr>
                              <w:pStyle w:val="EQRTextboxbullet"/>
                            </w:pPr>
                            <w:r>
                              <w:t>Provides a template for identifying the measures the EQRO will validate for the state, including the source, how frequently to calculate each measure, and when each measure is due to the state</w:t>
                            </w:r>
                          </w:p>
                          <w:p w:rsidR="00ED33C3" w:rsidRPr="00E9206C" w:rsidP="00930EC9" w14:textId="61F6944E">
                            <w:pPr>
                              <w:pStyle w:val="EQRTextboxbody"/>
                            </w:pPr>
                            <w:hyperlink w:anchor="WSp2n2" w:tooltip="Worksheet 2.2. Performance Measure Validation Template" w:history="1">
                              <w:r w:rsidRPr="00E9206C">
                                <w:rPr>
                                  <w:rStyle w:val="Hyperlink"/>
                                </w:rPr>
                                <w:t>Worksheet 2.2. Performance Measure Validation Template</w:t>
                              </w:r>
                            </w:hyperlink>
                          </w:p>
                          <w:p w:rsidR="00ED33C3" w:rsidRPr="00881F60" w:rsidP="00930EC9" w14:textId="1DEEA7CE">
                            <w:pPr>
                              <w:pStyle w:val="EQRTextboxbullet"/>
                              <w:rPr>
                                <w:spacing w:val="-2"/>
                              </w:rPr>
                            </w:pPr>
                            <w:r>
                              <w:t>Provides a template for documenting audit specifications for the validation components of each performance measure listed in</w:t>
                            </w:r>
                            <w:r w:rsidRPr="000E1F61">
                              <w:t xml:space="preserve"> </w:t>
                            </w:r>
                            <w:hyperlink w:anchor="WSp2n1" w:tooltip="Worksheet 2.1" w:history="1">
                              <w:r w:rsidRPr="005B711E">
                                <w:rPr>
                                  <w:rStyle w:val="Hyperlink"/>
                                </w:rPr>
                                <w:t>Worksheet 2.1</w:t>
                              </w:r>
                            </w:hyperlink>
                            <w:r w:rsidRPr="000E1F61">
                              <w:t>.</w:t>
                            </w:r>
                            <w:r>
                              <w:t>, and to assess the MCP’s measurement and reporting process for each component</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2" o:spid="_x0000_s1080" type="#_x0000_t202" style="width:172.8pt;height:258.4pt;margin-top:68.95pt;margin-left:294.3pt;flip:y;mso-height-percent:0;mso-height-relative:page;mso-width-percent:0;mso-width-relative:page;mso-wrap-distance-bottom:0;mso-wrap-distance-left:9pt;mso-wrap-distance-right:9pt;mso-wrap-distance-top:0;mso-wrap-style:square;position:absolute;rotation:180;visibility:visible;v-text-anchor:top;z-index:251735040" fillcolor="#eef5f8" strokecolor="#a5dad9" strokeweight="2.25pt">
                <v:stroke endcap="round"/>
                <v:textbox style="mso-fit-shape-to-text:t" inset="8.64pt,,8.64pt">
                  <w:txbxContent>
                    <w:p w:rsidR="00ED33C3" w:rsidP="00930EC9" w14:paraId="64A21F3F" w14:textId="77777777">
                      <w:pPr>
                        <w:pStyle w:val="EQRTextboxheading"/>
                        <w:rPr>
                          <w:b/>
                          <w:position w:val="6"/>
                        </w:rPr>
                      </w:pPr>
                      <w:r>
                        <w:t>Resources for Activity 1, Step 1</w:t>
                      </w:r>
                    </w:p>
                    <w:p w:rsidR="00ED33C3" w:rsidRPr="00E9206C" w:rsidP="00930EC9" w14:paraId="3A95AC13" w14:textId="44423C6C">
                      <w:pPr>
                        <w:pStyle w:val="EQRTextboxbody"/>
                      </w:pPr>
                      <w:hyperlink w:anchor="WSp2n1" w:tooltip="Worksheet 2.1. List of Performance Measures to be Validated" w:history="1">
                        <w:r w:rsidRPr="00E9206C">
                          <w:rPr>
                            <w:rStyle w:val="Hyperlink"/>
                          </w:rPr>
                          <w:t>Worksheet 2.1. List of Performance Measures to be Validated</w:t>
                        </w:r>
                      </w:hyperlink>
                    </w:p>
                    <w:p w:rsidR="00ED33C3" w:rsidP="00930EC9" w14:paraId="1AF715DE" w14:textId="77777777">
                      <w:pPr>
                        <w:pStyle w:val="EQRTextboxbullet"/>
                      </w:pPr>
                      <w:r>
                        <w:t>Provides a template for identifying the measures the EQRO will validate for the state, including the source, how frequently to calculate each measure, and when each measure is due to the state</w:t>
                      </w:r>
                    </w:p>
                    <w:p w:rsidR="00ED33C3" w:rsidRPr="00E9206C" w:rsidP="00930EC9" w14:paraId="140EABA2" w14:textId="61F6944E">
                      <w:pPr>
                        <w:pStyle w:val="EQRTextboxbody"/>
                      </w:pPr>
                      <w:hyperlink w:anchor="WSp2n2" w:tooltip="Worksheet 2.2. Performance Measure Validation Template" w:history="1">
                        <w:r w:rsidRPr="00E9206C">
                          <w:rPr>
                            <w:rStyle w:val="Hyperlink"/>
                          </w:rPr>
                          <w:t>Worksheet 2.2. Performance Measure Validation Template</w:t>
                        </w:r>
                      </w:hyperlink>
                    </w:p>
                    <w:p w:rsidR="00ED33C3" w:rsidRPr="00881F60" w:rsidP="00930EC9" w14:paraId="38A2F3C7" w14:textId="1DEEA7CE">
                      <w:pPr>
                        <w:pStyle w:val="EQRTextboxbullet"/>
                        <w:rPr>
                          <w:spacing w:val="-2"/>
                        </w:rPr>
                      </w:pPr>
                      <w:r>
                        <w:t>Provides a template for documenting audit specifications for the validation components of each performance measure listed in</w:t>
                      </w:r>
                      <w:r w:rsidRPr="000E1F61">
                        <w:t xml:space="preserve"> </w:t>
                      </w:r>
                      <w:hyperlink w:anchor="WSp2n1" w:tooltip="Worksheet 2.1" w:history="1">
                        <w:r w:rsidRPr="005B711E">
                          <w:rPr>
                            <w:rStyle w:val="Hyperlink"/>
                          </w:rPr>
                          <w:t>Worksheet 2.1</w:t>
                        </w:r>
                      </w:hyperlink>
                      <w:r w:rsidRPr="000E1F61">
                        <w:t>.</w:t>
                      </w:r>
                      <w:r>
                        <w:t>, and to assess the MCP’s measurement and reporting process for each component</w:t>
                      </w:r>
                    </w:p>
                  </w:txbxContent>
                </v:textbox>
                <w10:wrap type="tight"/>
              </v:shape>
            </w:pict>
          </mc:Fallback>
        </mc:AlternateContent>
      </w:r>
      <w:r w:rsidRPr="00990D3B">
        <w:rPr>
          <w:noProof/>
        </w:rPr>
        <mc:AlternateContent>
          <mc:Choice Requires="wps">
            <w:drawing>
              <wp:anchor distT="0" distB="0" distL="114300" distR="114300" simplePos="0" relativeHeight="251736064" behindDoc="0" locked="0" layoutInCell="1" allowOverlap="1">
                <wp:simplePos x="0" y="0"/>
                <wp:positionH relativeFrom="column">
                  <wp:posOffset>3737610</wp:posOffset>
                </wp:positionH>
                <wp:positionV relativeFrom="paragraph">
                  <wp:posOffset>146050</wp:posOffset>
                </wp:positionV>
                <wp:extent cx="2193925" cy="297180"/>
                <wp:effectExtent l="19050" t="19050" r="0" b="7620"/>
                <wp:wrapTight wrapText="bothSides">
                  <wp:wrapPolygon>
                    <wp:start x="21788" y="22985"/>
                    <wp:lineTo x="21788" y="-554"/>
                    <wp:lineTo x="31" y="-554"/>
                    <wp:lineTo x="31" y="22985"/>
                    <wp:lineTo x="21788" y="22985"/>
                  </wp:wrapPolygon>
                </wp:wrapTight>
                <wp:docPr id="1909620181" name="Text Box 19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180"/>
                        </a:xfrm>
                        <a:prstGeom prst="rect">
                          <a:avLst/>
                        </a:prstGeom>
                        <a:solidFill>
                          <a:srgbClr val="EEF5F8"/>
                        </a:solidFill>
                        <a:ln w="28575" cap="rnd">
                          <a:solidFill>
                            <a:srgbClr val="A5DAD9"/>
                          </a:solidFill>
                          <a:prstDash val="solid"/>
                          <a:miter lim="800000"/>
                          <a:headEnd/>
                          <a:tailEnd/>
                        </a:ln>
                      </wps:spPr>
                      <wps:txbx>
                        <w:txbxContent>
                          <w:p w:rsidR="00ED33C3" w:rsidRPr="0090682E" w:rsidP="00930EC9" w14:textId="10B69419">
                            <w:pPr>
                              <w:pStyle w:val="EQRWORKSHEETText"/>
                              <w:rPr>
                                <w:spacing w:val="-2"/>
                              </w:rPr>
                            </w:pPr>
                            <w:hyperlink w:anchor="WSp2n1" w:tooltip="WORKSHEET 2.1" w:history="1">
                              <w:r>
                                <w:rPr>
                                  <w:rStyle w:val="Hyperlink"/>
                                  <w:color w:val="006981"/>
                                </w:rPr>
                                <w:t>WORKSHEET 2.1</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1" o:spid="_x0000_s1081" type="#_x0000_t202" style="width:172.75pt;height:23.4pt;margin-top:11.5pt;margin-left:294.3pt;flip:y;mso-height-percent:0;mso-height-relative:page;mso-width-percent:0;mso-width-relative:page;mso-wrap-distance-bottom:0;mso-wrap-distance-left:9pt;mso-wrap-distance-right:9pt;mso-wrap-distance-top:0;mso-wrap-style:square;position:absolute;rotation:180;visibility:visible;v-text-anchor:top;z-index:251737088" fillcolor="#eef5f8" strokecolor="#a5dad9" strokeweight="2.25pt">
                <v:stroke endcap="round"/>
                <v:textbox style="mso-fit-shape-to-text:t" inset="8.64pt,,8.64pt">
                  <w:txbxContent>
                    <w:p w:rsidR="00ED33C3" w:rsidRPr="0090682E" w:rsidP="00930EC9" w14:paraId="606F7CA9" w14:textId="10B69419">
                      <w:pPr>
                        <w:pStyle w:val="EQRWORKSHEETText"/>
                        <w:rPr>
                          <w:spacing w:val="-2"/>
                        </w:rPr>
                      </w:pPr>
                      <w:hyperlink w:anchor="WSp2n1" w:tooltip="WORKSHEET 2.1" w:history="1">
                        <w:r>
                          <w:rPr>
                            <w:rStyle w:val="Hyperlink"/>
                            <w:color w:val="006981"/>
                          </w:rPr>
                          <w:t>WORKSHEET 2.1</w:t>
                        </w:r>
                      </w:hyperlink>
                    </w:p>
                  </w:txbxContent>
                </v:textbox>
                <w10:wrap type="tight"/>
              </v:shape>
            </w:pict>
          </mc:Fallback>
        </mc:AlternateContent>
      </w:r>
      <w:r w:rsidRPr="00990D3B">
        <w:rPr>
          <w:noProof/>
        </w:rPr>
        <mc:AlternateContent>
          <mc:Choice Requires="wps">
            <w:drawing>
              <wp:anchor distT="0" distB="0" distL="114300" distR="114300" simplePos="0" relativeHeight="251738112" behindDoc="0" locked="0" layoutInCell="1" allowOverlap="1">
                <wp:simplePos x="0" y="0"/>
                <wp:positionH relativeFrom="column">
                  <wp:posOffset>3737610</wp:posOffset>
                </wp:positionH>
                <wp:positionV relativeFrom="paragraph">
                  <wp:posOffset>507365</wp:posOffset>
                </wp:positionV>
                <wp:extent cx="2193925" cy="297180"/>
                <wp:effectExtent l="19050" t="19050" r="0" b="7620"/>
                <wp:wrapTight wrapText="bothSides">
                  <wp:wrapPolygon>
                    <wp:start x="21788" y="22985"/>
                    <wp:lineTo x="21788" y="-554"/>
                    <wp:lineTo x="31" y="-554"/>
                    <wp:lineTo x="31" y="22985"/>
                    <wp:lineTo x="21788" y="22985"/>
                  </wp:wrapPolygon>
                </wp:wrapTight>
                <wp:docPr id="1427101558" name="Text Box 19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180"/>
                        </a:xfrm>
                        <a:prstGeom prst="rect">
                          <a:avLst/>
                        </a:prstGeom>
                        <a:solidFill>
                          <a:srgbClr val="EEF5F8"/>
                        </a:solidFill>
                        <a:ln w="28575" cap="rnd">
                          <a:solidFill>
                            <a:srgbClr val="A5DAD9"/>
                          </a:solidFill>
                          <a:prstDash val="solid"/>
                          <a:miter lim="800000"/>
                          <a:headEnd/>
                          <a:tailEnd/>
                        </a:ln>
                      </wps:spPr>
                      <wps:txbx>
                        <w:txbxContent>
                          <w:p w:rsidR="00ED33C3" w:rsidRPr="0090682E" w:rsidP="00930EC9" w14:textId="4AC7B310">
                            <w:pPr>
                              <w:pStyle w:val="EQRWORKSHEETText"/>
                              <w:rPr>
                                <w:spacing w:val="-2"/>
                              </w:rPr>
                            </w:pPr>
                            <w:hyperlink w:anchor="WSp2n2" w:tooltip="WORKSHEET 2.2" w:history="1">
                              <w:r>
                                <w:rPr>
                                  <w:rStyle w:val="Hyperlink"/>
                                  <w:color w:val="006981"/>
                                </w:rPr>
                                <w:t>WORKSHEET 2.2</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0" o:spid="_x0000_s1082" type="#_x0000_t202" style="width:172.75pt;height:23.4pt;margin-top:39.95pt;margin-left:294.3pt;flip:y;mso-height-percent:0;mso-height-relative:page;mso-width-percent:0;mso-width-relative:page;mso-wrap-distance-bottom:0;mso-wrap-distance-left:9pt;mso-wrap-distance-right:9pt;mso-wrap-distance-top:0;mso-wrap-style:square;position:absolute;rotation:180;visibility:visible;v-text-anchor:top;z-index:251739136" fillcolor="#eef5f8" strokecolor="#a5dad9" strokeweight="2.25pt">
                <v:stroke endcap="round"/>
                <v:textbox style="mso-fit-shape-to-text:t" inset="8.64pt,,8.64pt">
                  <w:txbxContent>
                    <w:p w:rsidR="00ED33C3" w:rsidRPr="0090682E" w:rsidP="00930EC9" w14:paraId="307C5904" w14:textId="4AC7B310">
                      <w:pPr>
                        <w:pStyle w:val="EQRWORKSHEETText"/>
                        <w:rPr>
                          <w:spacing w:val="-2"/>
                        </w:rPr>
                      </w:pPr>
                      <w:hyperlink w:anchor="WSp2n2" w:tooltip="WORKSHEET 2.2" w:history="1">
                        <w:r>
                          <w:rPr>
                            <w:rStyle w:val="Hyperlink"/>
                            <w:color w:val="006981"/>
                          </w:rPr>
                          <w:t>WORKSHEET 2.2</w:t>
                        </w:r>
                      </w:hyperlink>
                    </w:p>
                  </w:txbxContent>
                </v:textbox>
                <w10:wrap type="tight"/>
              </v:shape>
            </w:pict>
          </mc:Fallback>
        </mc:AlternateContent>
      </w:r>
      <w:r w:rsidRPr="00990D3B" w:rsidR="00632288">
        <w:t xml:space="preserve">The performance measures each state requires will depend on the </w:t>
      </w:r>
      <w:r w:rsidRPr="00990D3B" w:rsidR="0050797C">
        <w:t>state's specific needs</w:t>
      </w:r>
      <w:r w:rsidRPr="00990D3B" w:rsidR="00632288">
        <w:t xml:space="preserve">. </w:t>
      </w:r>
      <w:r w:rsidRPr="00990D3B" w:rsidR="004C1326">
        <w:t xml:space="preserve">In this step, the </w:t>
      </w:r>
      <w:r w:rsidRPr="00990D3B" w:rsidR="00632288">
        <w:t>state provide</w:t>
      </w:r>
      <w:r w:rsidRPr="00990D3B" w:rsidR="004C1326">
        <w:t>s</w:t>
      </w:r>
      <w:r w:rsidRPr="00990D3B" w:rsidR="00632288">
        <w:t xml:space="preserve"> the EQRO with a list of </w:t>
      </w:r>
      <w:r w:rsidRPr="00990D3B" w:rsidR="00843F9E">
        <w:t xml:space="preserve">all the MCP QAPI </w:t>
      </w:r>
      <w:r w:rsidRPr="00990D3B" w:rsidR="00632288">
        <w:t>performance measures</w:t>
      </w:r>
      <w:r w:rsidRPr="00990D3B" w:rsidR="00843F9E">
        <w:t xml:space="preserve">, as well as any additional measures the state requires, </w:t>
      </w:r>
      <w:r w:rsidRPr="00990D3B" w:rsidR="00632288">
        <w:t xml:space="preserve">along with requirements for data collection and reporting (e.g., sampling guidelines and instructions for calculating numerators and denominators). </w:t>
      </w:r>
      <w:r w:rsidRPr="00990D3B" w:rsidR="00C10BAE">
        <w:t xml:space="preserve">This activity should begin from </w:t>
      </w:r>
      <w:r w:rsidRPr="00990D3B" w:rsidR="009B4D8B">
        <w:t>two</w:t>
      </w:r>
      <w:r w:rsidRPr="00990D3B" w:rsidR="00C10BAE">
        <w:t xml:space="preserve"> to </w:t>
      </w:r>
      <w:r w:rsidRPr="00990D3B" w:rsidR="009B4D8B">
        <w:t>six</w:t>
      </w:r>
      <w:r w:rsidRPr="00990D3B" w:rsidR="00C10BAE">
        <w:t xml:space="preserve"> months </w:t>
      </w:r>
      <w:r w:rsidRPr="00990D3B" w:rsidR="0050797C">
        <w:t>before</w:t>
      </w:r>
      <w:r w:rsidRPr="00990D3B" w:rsidR="00C10BAE">
        <w:t xml:space="preserve"> the planned</w:t>
      </w:r>
      <w:r w:rsidRPr="00990D3B" w:rsidR="009914AE">
        <w:t> </w:t>
      </w:r>
      <w:r w:rsidRPr="00990D3B" w:rsidR="00C10BAE">
        <w:t>visit.</w:t>
      </w:r>
    </w:p>
    <w:p w:rsidR="00632288" w:rsidRPr="00990D3B" w:rsidP="00BD1FC3" w14:paraId="2A294B2B" w14:textId="03E25BE7">
      <w:pPr>
        <w:pStyle w:val="Paragraph0"/>
      </w:pPr>
      <w:r w:rsidRPr="00990D3B">
        <w:t xml:space="preserve">The EQRO should use </w:t>
      </w:r>
      <w:hyperlink w:anchor="WSp2n1" w:tooltip="Worksheet 2.1" w:history="1">
        <w:r w:rsidRPr="00990D3B">
          <w:rPr>
            <w:rStyle w:val="Hyperlink"/>
          </w:rPr>
          <w:t>Worksheet 2.1</w:t>
        </w:r>
      </w:hyperlink>
      <w:r w:rsidRPr="00990D3B">
        <w:t xml:space="preserve"> to enumerate the performance measures to be validated under </w:t>
      </w:r>
      <w:hyperlink w:anchor="Protocol2" w:tooltip="Protocol 2" w:history="1">
        <w:r w:rsidRPr="00990D3B">
          <w:rPr>
            <w:rStyle w:val="Hyperlink"/>
            <w:color w:val="auto"/>
          </w:rPr>
          <w:t>Protocol 2</w:t>
        </w:r>
      </w:hyperlink>
      <w:r w:rsidRPr="00990D3B">
        <w:t>, including their data source, reporting frequency, and format. Five data sources are used to produce MCP performance measures:</w:t>
      </w:r>
      <w:r w:rsidRPr="00990D3B" w:rsidR="008414D2">
        <w:rPr>
          <w:noProof/>
        </w:rPr>
        <w:t xml:space="preserve"> </w:t>
      </w:r>
    </w:p>
    <w:p w:rsidR="00632288" w:rsidRPr="00990D3B" w:rsidP="00BA007D" w14:paraId="0D3567C6" w14:textId="1240F38F">
      <w:pPr>
        <w:pStyle w:val="ListNumber"/>
      </w:pPr>
      <w:r w:rsidRPr="00990D3B">
        <w:t>Administrative data</w:t>
      </w:r>
      <w:r w:rsidRPr="00990D3B" w:rsidR="00FD30A8">
        <w:t>, such as claims/encounter data, registries, or vital records</w:t>
      </w:r>
      <w:r w:rsidRPr="00990D3B" w:rsidR="000C32A5">
        <w:t>.</w:t>
      </w:r>
    </w:p>
    <w:p w:rsidR="00632288" w:rsidRPr="00990D3B" w:rsidP="00BA007D" w14:paraId="54DABE6A" w14:textId="4974B091">
      <w:pPr>
        <w:pStyle w:val="ListNumber"/>
      </w:pPr>
      <w:r w:rsidRPr="00990D3B">
        <w:t>Medical record review</w:t>
      </w:r>
      <w:r w:rsidRPr="00990D3B" w:rsidR="000C32A5">
        <w:t>.</w:t>
      </w:r>
    </w:p>
    <w:p w:rsidR="00632288" w:rsidRPr="00990D3B" w:rsidP="00BA007D" w14:paraId="66C7DE25" w14:textId="75497107">
      <w:pPr>
        <w:pStyle w:val="ListNumber"/>
      </w:pPr>
      <w:r w:rsidRPr="00990D3B">
        <w:t>Administrative data supplemented by medical record review, referred to as the “hybrid” method</w:t>
      </w:r>
      <w:r w:rsidRPr="00990D3B" w:rsidR="000C32A5">
        <w:t>.</w:t>
      </w:r>
    </w:p>
    <w:p w:rsidR="00632288" w:rsidRPr="00990D3B" w:rsidP="00BA007D" w14:paraId="1CA21207" w14:textId="0A1D79DF">
      <w:pPr>
        <w:pStyle w:val="ListNumber"/>
      </w:pPr>
      <w:r w:rsidRPr="00990D3B">
        <w:t>Electronic health records</w:t>
      </w:r>
      <w:r w:rsidRPr="00990D3B" w:rsidR="0049272D">
        <w:t xml:space="preserve"> (EHR</w:t>
      </w:r>
      <w:r w:rsidRPr="00990D3B" w:rsidR="00D117DD">
        <w:t>s</w:t>
      </w:r>
      <w:r w:rsidRPr="00990D3B" w:rsidR="0049272D">
        <w:t>)</w:t>
      </w:r>
      <w:r w:rsidRPr="00990D3B" w:rsidR="000C32A5">
        <w:t>.</w:t>
      </w:r>
    </w:p>
    <w:p w:rsidR="00632288" w:rsidRPr="00990D3B" w:rsidP="00BA007D" w14:paraId="109A4F31" w14:textId="11CB3664">
      <w:pPr>
        <w:pStyle w:val="ListNumber"/>
      </w:pPr>
      <w:r w:rsidRPr="00990D3B">
        <w:t xml:space="preserve">Surveys (survey administration and validation is addressed in </w:t>
      </w:r>
      <w:hyperlink w:anchor="Protocol6" w:tooltip="Protocol 6" w:history="1">
        <w:r w:rsidRPr="00990D3B">
          <w:rPr>
            <w:rStyle w:val="Hyperlink"/>
          </w:rPr>
          <w:t>Protocol 6</w:t>
        </w:r>
      </w:hyperlink>
      <w:r w:rsidRPr="00990D3B">
        <w:t>)</w:t>
      </w:r>
      <w:r w:rsidRPr="00990D3B" w:rsidR="000C32A5">
        <w:t>.</w:t>
      </w:r>
    </w:p>
    <w:p w:rsidR="00632288" w:rsidRPr="00990D3B" w:rsidP="00BD1FC3" w14:paraId="0ADCCA91" w14:textId="7D3EE571">
      <w:pPr>
        <w:pStyle w:val="ParagraphContinued"/>
      </w:pPr>
      <w:r w:rsidRPr="00990D3B">
        <w:t xml:space="preserve">For each </w:t>
      </w:r>
      <w:r w:rsidRPr="00990D3B" w:rsidR="0050797C">
        <w:t>measure</w:t>
      </w:r>
      <w:r w:rsidRPr="00990D3B">
        <w:t xml:space="preserve"> to be validated, the EQRO should complete </w:t>
      </w:r>
      <w:hyperlink w:anchor="WSp2n2" w:tooltip="Worksheet 2.2" w:history="1">
        <w:r w:rsidRPr="00990D3B">
          <w:rPr>
            <w:rStyle w:val="Hyperlink"/>
          </w:rPr>
          <w:t>Worksheet 2.2</w:t>
        </w:r>
      </w:hyperlink>
      <w:r w:rsidRPr="00990D3B" w:rsidR="00363ED3">
        <w:t xml:space="preserve"> </w:t>
      </w:r>
      <w:r w:rsidRPr="00990D3B">
        <w:t>(or a similar tool). The worksheet is used to systematically gather information about the validation components and audit specifications based on existing documentation about the measure. Elements include:</w:t>
      </w:r>
    </w:p>
    <w:p w:rsidR="00632288" w:rsidRPr="00990D3B" w:rsidP="00FB7CAF" w14:paraId="5353E641" w14:textId="04BCB8BE">
      <w:pPr>
        <w:pStyle w:val="EQRBulletBLUE"/>
      </w:pPr>
      <w:r w:rsidRPr="00990D3B">
        <w:t>Documentation related to the data collection and calculation method</w:t>
      </w:r>
      <w:r w:rsidRPr="00990D3B" w:rsidR="00F4610F">
        <w:t>.</w:t>
      </w:r>
    </w:p>
    <w:p w:rsidR="00632288" w:rsidRPr="00990D3B" w:rsidP="00FB7CAF" w14:paraId="54B533B0" w14:textId="78F9BA1B">
      <w:pPr>
        <w:pStyle w:val="EQRBulletBLUE"/>
      </w:pPr>
      <w:r w:rsidRPr="00990D3B">
        <w:t xml:space="preserve">Denominator </w:t>
      </w:r>
      <w:r w:rsidRPr="00990D3B">
        <w:t>calculation(s), including</w:t>
      </w:r>
      <w:r w:rsidRPr="00990D3B">
        <w:t xml:space="preserve"> adequacy of the data sources to calculate the denominator, operationalization of the measure-specific eligibility criteria, and adherence to the measurement period</w:t>
      </w:r>
      <w:r w:rsidRPr="00990D3B" w:rsidR="00F4610F">
        <w:t>.</w:t>
      </w:r>
    </w:p>
    <w:p w:rsidR="00632288" w:rsidRPr="00990D3B" w:rsidP="00FB7CAF" w14:paraId="468CCC3E" w14:textId="0964BEFB">
      <w:pPr>
        <w:pStyle w:val="EQRBulletBLUE"/>
      </w:pPr>
      <w:r w:rsidRPr="00990D3B">
        <w:t xml:space="preserve">Numerator </w:t>
      </w:r>
      <w:r w:rsidRPr="00990D3B">
        <w:t>calculation</w:t>
      </w:r>
      <w:r w:rsidRPr="00990D3B">
        <w:t>(s), including adequacy of the data sources to calculate the numerator, appropriateness of codes used to identify numerator compliance, avoidance of double counting, and adherence to the measurement period</w:t>
      </w:r>
      <w:r w:rsidRPr="00990D3B" w:rsidR="00F4610F">
        <w:t>.</w:t>
      </w:r>
    </w:p>
    <w:p w:rsidR="00632288" w:rsidRPr="00990D3B" w:rsidP="00FB7CAF" w14:paraId="2284302E" w14:textId="347174A8">
      <w:pPr>
        <w:pStyle w:val="EQRBulletBLUE"/>
      </w:pPr>
      <w:r w:rsidRPr="00990D3B">
        <w:t>Sampling methodology (if used)</w:t>
      </w:r>
      <w:r w:rsidRPr="00990D3B" w:rsidR="00F4610F">
        <w:t>.</w:t>
      </w:r>
    </w:p>
    <w:p w:rsidR="00632288" w:rsidRPr="00990D3B" w:rsidP="00FB7CAF" w14:paraId="44391D64" w14:textId="4398E34C">
      <w:pPr>
        <w:pStyle w:val="EQRBulletBLUE"/>
      </w:pPr>
      <w:r w:rsidRPr="00990D3B">
        <w:t>Reporting of</w:t>
      </w:r>
      <w:r w:rsidRPr="00990D3B">
        <w:t xml:space="preserve"> rates and other supporting information, including documentation of deviations (if any)</w:t>
      </w:r>
      <w:r w:rsidRPr="00990D3B" w:rsidR="00F4610F">
        <w:t>.</w:t>
      </w:r>
    </w:p>
    <w:p w:rsidR="00632288" w:rsidRPr="00990D3B" w:rsidP="000C32A5" w14:paraId="29257059" w14:textId="0EDCDCC6">
      <w:pPr>
        <w:pStyle w:val="ParagraphContinued"/>
      </w:pPr>
      <w:hyperlink w:anchor="WSp2n2" w:tooltip="Worksheet 2.2" w:history="1">
        <w:r w:rsidRPr="00990D3B">
          <w:rPr>
            <w:rStyle w:val="Hyperlink"/>
          </w:rPr>
          <w:t>Worksheet 2.2</w:t>
        </w:r>
      </w:hyperlink>
      <w:r w:rsidRPr="00990D3B">
        <w:t xml:space="preserve"> also contains an example of a completed performance measure validation worksheet</w:t>
      </w:r>
      <w:r w:rsidRPr="00990D3B" w:rsidR="00843F9E">
        <w:t>.</w:t>
      </w:r>
      <w:r w:rsidRPr="00990D3B">
        <w:t xml:space="preserve"> The illustrative template is for Chlamydia Screening in </w:t>
      </w:r>
      <w:r w:rsidRPr="00990D3B" w:rsidR="00600DD3">
        <w:t>Women (</w:t>
      </w:r>
      <w:r w:rsidRPr="00990D3B" w:rsidR="001B6FAF">
        <w:t xml:space="preserve">CHL-CH, </w:t>
      </w:r>
      <w:r w:rsidRPr="00990D3B" w:rsidR="00BE3E3B">
        <w:t xml:space="preserve">Measure Steward: </w:t>
      </w:r>
      <w:r w:rsidRPr="00990D3B" w:rsidR="001B6FAF">
        <w:t>National Committee for Quality Assurance</w:t>
      </w:r>
      <w:r w:rsidRPr="00990D3B" w:rsidR="00EC759B">
        <w:t xml:space="preserve">, National Quality Forum </w:t>
      </w:r>
      <w:r w:rsidRPr="00990D3B" w:rsidR="00E0729D">
        <w:t>[</w:t>
      </w:r>
      <w:r w:rsidRPr="00990D3B" w:rsidR="00EC759B">
        <w:t>NQF</w:t>
      </w:r>
      <w:r w:rsidRPr="00990D3B" w:rsidR="00E0729D">
        <w:t>]</w:t>
      </w:r>
      <w:r w:rsidRPr="00990D3B" w:rsidR="00EC759B">
        <w:t xml:space="preserve"> </w:t>
      </w:r>
      <w:r w:rsidRPr="00990D3B" w:rsidR="00BE3E3B">
        <w:t>#</w:t>
      </w:r>
      <w:r w:rsidRPr="00990D3B" w:rsidR="001B6FAF">
        <w:t xml:space="preserve"> 0033)</w:t>
      </w:r>
      <w:r w:rsidRPr="00990D3B">
        <w:t xml:space="preserve">, which is included in both the Child and Adult Core Sets and calculated using the administrative method. During Activity 1, Step 1, the EQRO should begin to populate the audit specifications based on the available </w:t>
      </w:r>
      <w:r w:rsidRPr="00990D3B">
        <w:t>measure</w:t>
      </w:r>
      <w:r w:rsidRPr="00990D3B">
        <w:t xml:space="preserve"> documentation. Note that the worksheet is intended to serve as a “living document” for the measure validation process</w:t>
      </w:r>
      <w:r w:rsidRPr="00990D3B" w:rsidR="0063559A">
        <w:t>,</w:t>
      </w:r>
      <w:r w:rsidRPr="00990D3B">
        <w:t xml:space="preserve"> and the EQRO can adapt the template if necessary.</w:t>
      </w:r>
    </w:p>
    <w:p w:rsidR="00112139" w:rsidRPr="00990D3B" w:rsidP="00BD1FC3" w14:paraId="05FEF7D9" w14:textId="77777777">
      <w:pPr>
        <w:pStyle w:val="H3"/>
      </w:pPr>
      <w:bookmarkStart w:id="248" w:name="P2A1Step2"/>
      <w:bookmarkEnd w:id="248"/>
      <w:r w:rsidRPr="00990D3B">
        <w:t>Step 2: Assess the Integrity of the MCP’s Information System</w:t>
      </w:r>
    </w:p>
    <w:p w:rsidR="00112139" w:rsidRPr="00990D3B" w:rsidP="004F7010" w14:paraId="2176F09D" w14:textId="6FEE1CCC">
      <w:pPr>
        <w:pStyle w:val="ParagraphContinued"/>
      </w:pPr>
      <w:r w:rsidRPr="00990D3B">
        <w:rPr>
          <w:noProof/>
        </w:rPr>
        <mc:AlternateContent>
          <mc:Choice Requires="wps">
            <w:drawing>
              <wp:anchor distT="0" distB="0" distL="114300" distR="114300" simplePos="0" relativeHeight="251740160" behindDoc="0" locked="0" layoutInCell="1" allowOverlap="1">
                <wp:simplePos x="0" y="0"/>
                <wp:positionH relativeFrom="column">
                  <wp:posOffset>3816350</wp:posOffset>
                </wp:positionH>
                <wp:positionV relativeFrom="paragraph">
                  <wp:posOffset>843915</wp:posOffset>
                </wp:positionV>
                <wp:extent cx="2195195" cy="3968115"/>
                <wp:effectExtent l="19050" t="19050" r="0" b="0"/>
                <wp:wrapTight wrapText="bothSides">
                  <wp:wrapPolygon>
                    <wp:start x="21787" y="21704"/>
                    <wp:lineTo x="21787" y="28"/>
                    <wp:lineTo x="44" y="28"/>
                    <wp:lineTo x="44" y="21704"/>
                    <wp:lineTo x="21787" y="21704"/>
                  </wp:wrapPolygon>
                </wp:wrapTight>
                <wp:docPr id="947973853" name="Text Box 18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3968115"/>
                        </a:xfrm>
                        <a:prstGeom prst="rect">
                          <a:avLst/>
                        </a:prstGeom>
                        <a:solidFill>
                          <a:srgbClr val="EEF5F8"/>
                        </a:solidFill>
                        <a:ln w="28575" cap="rnd">
                          <a:solidFill>
                            <a:srgbClr val="A5DAD9"/>
                          </a:solidFill>
                          <a:prstDash val="solid"/>
                          <a:miter lim="800000"/>
                          <a:headEnd/>
                          <a:tailEnd/>
                        </a:ln>
                      </wps:spPr>
                      <wps:txbx>
                        <w:txbxContent>
                          <w:p w:rsidR="00ED33C3" w:rsidRPr="00620616" w:rsidP="00620616" w14:textId="175BFE00">
                            <w:pPr>
                              <w:pStyle w:val="EQRTextboxheading"/>
                            </w:pPr>
                            <w:r w:rsidRPr="00620616">
                              <w:t>Resources to Conduct an ISCA</w:t>
                            </w:r>
                          </w:p>
                          <w:p w:rsidR="00ED33C3" w:rsidRPr="00620616" w:rsidP="00620616" w14:textId="77777777">
                            <w:pPr>
                              <w:pStyle w:val="EQRTextboxbody"/>
                            </w:pPr>
                            <w:r w:rsidRPr="00620616">
                              <w:t>The ISCA is used to validate MCP information systems, processes, and data. The ISCA provides a foundation for the validation of performance measures.</w:t>
                            </w:r>
                          </w:p>
                          <w:p w:rsidR="00ED33C3" w:rsidRPr="00E9206C" w:rsidP="00620616" w14:textId="37F9CF8E">
                            <w:pPr>
                              <w:pStyle w:val="EQRTextboxbody"/>
                              <w:rPr>
                                <w:rStyle w:val="Hyperlink"/>
                              </w:rPr>
                            </w:pPr>
                            <w:r w:rsidRPr="00E9206C">
                              <w:fldChar w:fldCharType="begin"/>
                            </w:r>
                            <w:r w:rsidR="00DE6521">
                              <w:instrText>HYPERLINK  \l "AppB" \o "Appendix B"</w:instrText>
                            </w:r>
                            <w:r w:rsidRPr="00E9206C">
                              <w:fldChar w:fldCharType="separate"/>
                            </w:r>
                            <w:r w:rsidRPr="00E9206C" w:rsidR="00CF5AB3">
                              <w:rPr>
                                <w:rStyle w:val="Hyperlink"/>
                              </w:rPr>
                              <w:t>Appendix B</w:t>
                            </w:r>
                            <w:r w:rsidRPr="00E9206C" w:rsidR="002C45C0">
                              <w:rPr>
                                <w:rStyle w:val="Hyperlink"/>
                              </w:rPr>
                              <w:t xml:space="preserve"> ISCA Capabilities Assessment</w:t>
                            </w:r>
                          </w:p>
                          <w:p w:rsidR="00ED33C3" w:rsidRPr="00620616" w:rsidP="00620616" w14:textId="0FEB5A68">
                            <w:pPr>
                              <w:pStyle w:val="EQRTextboxbullet"/>
                            </w:pPr>
                            <w:r w:rsidRPr="00E9206C">
                              <w:rPr>
                                <w:rFonts w:cs="Times New Roman"/>
                                <w:szCs w:val="19"/>
                              </w:rPr>
                              <w:fldChar w:fldCharType="end"/>
                            </w:r>
                            <w:r w:rsidRPr="00620616">
                              <w:t>Explains how to conduct the ISCA</w:t>
                            </w:r>
                          </w:p>
                          <w:p w:rsidR="00ED33C3" w:rsidRPr="00E9206C" w:rsidP="00620616" w14:textId="052F5D76">
                            <w:pPr>
                              <w:pStyle w:val="EQRTextboxbody"/>
                            </w:pPr>
                            <w:hyperlink w:anchor="WSB1" w:tooltip="Worksheet B.1. ISCA Tool" w:history="1">
                              <w:r w:rsidRPr="00E9206C">
                                <w:rPr>
                                  <w:rStyle w:val="Hyperlink"/>
                                </w:rPr>
                                <w:t xml:space="preserve">Worksheet </w:t>
                              </w:r>
                              <w:r w:rsidRPr="00E9206C" w:rsidR="00A15459">
                                <w:rPr>
                                  <w:rStyle w:val="Hyperlink"/>
                                </w:rPr>
                                <w:t>B</w:t>
                              </w:r>
                              <w:r w:rsidRPr="00E9206C">
                                <w:rPr>
                                  <w:rStyle w:val="Hyperlink"/>
                                </w:rPr>
                                <w:t>.1. ISCA Tool</w:t>
                              </w:r>
                            </w:hyperlink>
                          </w:p>
                          <w:p w:rsidR="00ED33C3" w:rsidRPr="00620616" w:rsidP="00620616" w14:textId="77777777">
                            <w:pPr>
                              <w:pStyle w:val="EQRTextboxbullet"/>
                            </w:pPr>
                            <w:r w:rsidRPr="00620616">
                              <w:t>Provides a template for MCPs to document the capabilities of the information systems, processes, and data</w:t>
                            </w:r>
                          </w:p>
                          <w:p w:rsidR="00ED33C3" w:rsidRPr="00E9206C" w:rsidP="00620616" w14:textId="48F528FC">
                            <w:pPr>
                              <w:pStyle w:val="EQRTextboxbody"/>
                            </w:pPr>
                            <w:hyperlink w:anchor="WSB2" w:tooltip="Worksheet B.2. ISCA Interview Guide" w:history="1">
                              <w:r w:rsidRPr="00E9206C">
                                <w:rPr>
                                  <w:rStyle w:val="Hyperlink"/>
                                </w:rPr>
                                <w:t xml:space="preserve">Worksheet </w:t>
                              </w:r>
                              <w:r w:rsidRPr="00E9206C" w:rsidR="00A15459">
                                <w:rPr>
                                  <w:rStyle w:val="Hyperlink"/>
                                </w:rPr>
                                <w:t>B</w:t>
                              </w:r>
                              <w:r w:rsidRPr="00E9206C">
                                <w:rPr>
                                  <w:rStyle w:val="Hyperlink"/>
                                </w:rPr>
                                <w:t>.2. ISCA Interview Guide</w:t>
                              </w:r>
                            </w:hyperlink>
                          </w:p>
                          <w:p w:rsidR="00ED33C3" w:rsidRPr="00881F60" w:rsidP="00620616" w14:textId="000566A3">
                            <w:pPr>
                              <w:pStyle w:val="EQRTextboxbullet"/>
                              <w:rPr>
                                <w:spacing w:val="-2"/>
                              </w:rPr>
                            </w:pPr>
                            <w:r w:rsidRPr="00620616">
                              <w:t>Provides a guide to EQROs for conducting follow-up interviews with MCP staff to record responses and document specific issues based on findings from</w:t>
                            </w:r>
                            <w:r w:rsidRPr="000E1F61">
                              <w:t xml:space="preserve"> </w:t>
                            </w:r>
                            <w:hyperlink w:anchor="WSB1" w:tooltip="Worksheet B.1" w:history="1">
                              <w:r w:rsidRPr="00E96462">
                                <w:rPr>
                                  <w:rStyle w:val="Hyperlink"/>
                                </w:rPr>
                                <w:t xml:space="preserve">Worksheet </w:t>
                              </w:r>
                              <w:r w:rsidR="00A15459">
                                <w:rPr>
                                  <w:rStyle w:val="Hyperlink"/>
                                </w:rPr>
                                <w:t>B</w:t>
                              </w:r>
                              <w:r w:rsidRPr="00E96462">
                                <w:rPr>
                                  <w:rStyle w:val="Hyperlink"/>
                                </w:rPr>
                                <w:t>.1</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9" o:spid="_x0000_s1083" type="#_x0000_t202" style="width:172.85pt;height:312.45pt;margin-top:66.45pt;margin-left:300.5pt;flip:y;mso-height-percent:0;mso-height-relative:page;mso-width-percent:0;mso-width-relative:page;mso-wrap-distance-bottom:0;mso-wrap-distance-left:9pt;mso-wrap-distance-right:9pt;mso-wrap-distance-top:0;mso-wrap-style:square;position:absolute;rotation:180;visibility:visible;v-text-anchor:top;z-index:251741184" fillcolor="#eef5f8" strokecolor="#a5dad9" strokeweight="2.25pt">
                <v:stroke endcap="round"/>
                <v:textbox style="mso-fit-shape-to-text:t" inset="8.64pt,,8.64pt">
                  <w:txbxContent>
                    <w:p w:rsidR="00ED33C3" w:rsidRPr="00620616" w:rsidP="00620616" w14:paraId="3B944022" w14:textId="175BFE00">
                      <w:pPr>
                        <w:pStyle w:val="EQRTextboxheading"/>
                      </w:pPr>
                      <w:r w:rsidRPr="00620616">
                        <w:t>Resources to Conduct an ISCA</w:t>
                      </w:r>
                    </w:p>
                    <w:p w:rsidR="00ED33C3" w:rsidRPr="00620616" w:rsidP="00620616" w14:paraId="416D3530" w14:textId="77777777">
                      <w:pPr>
                        <w:pStyle w:val="EQRTextboxbody"/>
                      </w:pPr>
                      <w:r w:rsidRPr="00620616">
                        <w:t>The ISCA is used to validate MCP information systems, processes, and data. The ISCA provides a foundation for the validation of performance measures.</w:t>
                      </w:r>
                    </w:p>
                    <w:p w:rsidR="00ED33C3" w:rsidRPr="00E9206C" w:rsidP="00620616" w14:paraId="159E4E4D" w14:textId="37F9CF8E">
                      <w:pPr>
                        <w:pStyle w:val="EQRTextboxbody"/>
                        <w:rPr>
                          <w:rStyle w:val="Hyperlink"/>
                        </w:rPr>
                      </w:pPr>
                      <w:r w:rsidRPr="00E9206C">
                        <w:fldChar w:fldCharType="begin"/>
                      </w:r>
                      <w:r w:rsidR="00DE6521">
                        <w:instrText>HYPERLINK  \l "AppB" \o "Appendix B"</w:instrText>
                      </w:r>
                      <w:r w:rsidRPr="00E9206C">
                        <w:fldChar w:fldCharType="separate"/>
                      </w:r>
                      <w:r w:rsidRPr="00E9206C" w:rsidR="00CF5AB3">
                        <w:rPr>
                          <w:rStyle w:val="Hyperlink"/>
                        </w:rPr>
                        <w:t>Appendix B</w:t>
                      </w:r>
                      <w:r w:rsidRPr="00E9206C" w:rsidR="002C45C0">
                        <w:rPr>
                          <w:rStyle w:val="Hyperlink"/>
                        </w:rPr>
                        <w:t xml:space="preserve"> ISCA Capabilities Assessment</w:t>
                      </w:r>
                    </w:p>
                    <w:p w:rsidR="00ED33C3" w:rsidRPr="00620616" w:rsidP="00620616" w14:paraId="752EADF8" w14:textId="0FEB5A68">
                      <w:pPr>
                        <w:pStyle w:val="EQRTextboxbullet"/>
                      </w:pPr>
                      <w:r w:rsidRPr="00E9206C">
                        <w:rPr>
                          <w:rFonts w:cs="Times New Roman"/>
                          <w:szCs w:val="19"/>
                        </w:rPr>
                        <w:fldChar w:fldCharType="end"/>
                      </w:r>
                      <w:r w:rsidRPr="00620616">
                        <w:t>Explains how to conduct the ISCA</w:t>
                      </w:r>
                    </w:p>
                    <w:p w:rsidR="00ED33C3" w:rsidRPr="00E9206C" w:rsidP="00620616" w14:paraId="1AD506AC" w14:textId="052F5D76">
                      <w:pPr>
                        <w:pStyle w:val="EQRTextboxbody"/>
                      </w:pPr>
                      <w:hyperlink w:anchor="WSB1" w:tooltip="Worksheet B.1. ISCA Tool" w:history="1">
                        <w:r w:rsidRPr="00E9206C">
                          <w:rPr>
                            <w:rStyle w:val="Hyperlink"/>
                          </w:rPr>
                          <w:t xml:space="preserve">Worksheet </w:t>
                        </w:r>
                        <w:r w:rsidRPr="00E9206C" w:rsidR="00A15459">
                          <w:rPr>
                            <w:rStyle w:val="Hyperlink"/>
                          </w:rPr>
                          <w:t>B</w:t>
                        </w:r>
                        <w:r w:rsidRPr="00E9206C">
                          <w:rPr>
                            <w:rStyle w:val="Hyperlink"/>
                          </w:rPr>
                          <w:t>.1. ISCA Tool</w:t>
                        </w:r>
                      </w:hyperlink>
                    </w:p>
                    <w:p w:rsidR="00ED33C3" w:rsidRPr="00620616" w:rsidP="00620616" w14:paraId="796DA675" w14:textId="77777777">
                      <w:pPr>
                        <w:pStyle w:val="EQRTextboxbullet"/>
                      </w:pPr>
                      <w:r w:rsidRPr="00620616">
                        <w:t>Provides a template for MCPs to document the capabilities of the information systems, processes, and data</w:t>
                      </w:r>
                    </w:p>
                    <w:p w:rsidR="00ED33C3" w:rsidRPr="00E9206C" w:rsidP="00620616" w14:paraId="7E97DC9F" w14:textId="48F528FC">
                      <w:pPr>
                        <w:pStyle w:val="EQRTextboxbody"/>
                      </w:pPr>
                      <w:hyperlink w:anchor="WSB2" w:tooltip="Worksheet B.2. ISCA Interview Guide" w:history="1">
                        <w:r w:rsidRPr="00E9206C">
                          <w:rPr>
                            <w:rStyle w:val="Hyperlink"/>
                          </w:rPr>
                          <w:t xml:space="preserve">Worksheet </w:t>
                        </w:r>
                        <w:r w:rsidRPr="00E9206C" w:rsidR="00A15459">
                          <w:rPr>
                            <w:rStyle w:val="Hyperlink"/>
                          </w:rPr>
                          <w:t>B</w:t>
                        </w:r>
                        <w:r w:rsidRPr="00E9206C">
                          <w:rPr>
                            <w:rStyle w:val="Hyperlink"/>
                          </w:rPr>
                          <w:t>.2. ISCA Interview Guide</w:t>
                        </w:r>
                      </w:hyperlink>
                    </w:p>
                    <w:p w:rsidR="00ED33C3" w:rsidRPr="00881F60" w:rsidP="00620616" w14:paraId="09A6E76F" w14:textId="000566A3">
                      <w:pPr>
                        <w:pStyle w:val="EQRTextboxbullet"/>
                        <w:rPr>
                          <w:spacing w:val="-2"/>
                        </w:rPr>
                      </w:pPr>
                      <w:r w:rsidRPr="00620616">
                        <w:t>Provides a guide to EQROs for conducting follow-up interviews with MCP staff to record responses and document specific issues based on findings from</w:t>
                      </w:r>
                      <w:r w:rsidRPr="000E1F61">
                        <w:t xml:space="preserve"> </w:t>
                      </w:r>
                      <w:hyperlink w:anchor="WSB1" w:tooltip="Worksheet B.1" w:history="1">
                        <w:r w:rsidRPr="00E96462">
                          <w:rPr>
                            <w:rStyle w:val="Hyperlink"/>
                          </w:rPr>
                          <w:t xml:space="preserve">Worksheet </w:t>
                        </w:r>
                        <w:r w:rsidR="00A15459">
                          <w:rPr>
                            <w:rStyle w:val="Hyperlink"/>
                          </w:rPr>
                          <w:t>B</w:t>
                        </w:r>
                        <w:r w:rsidRPr="00E96462">
                          <w:rPr>
                            <w:rStyle w:val="Hyperlink"/>
                          </w:rPr>
                          <w:t>.1</w:t>
                        </w:r>
                      </w:hyperlink>
                    </w:p>
                  </w:txbxContent>
                </v:textbox>
                <w10:wrap type="tight"/>
              </v:shape>
            </w:pict>
          </mc:Fallback>
        </mc:AlternateContent>
      </w:r>
      <w:r w:rsidRPr="00990D3B">
        <w:rPr>
          <w:noProof/>
        </w:rPr>
        <mc:AlternateContent>
          <mc:Choice Requires="wps">
            <w:drawing>
              <wp:anchor distT="0" distB="0" distL="114300" distR="114300" simplePos="0" relativeHeight="251742208" behindDoc="0" locked="0" layoutInCell="1" allowOverlap="1">
                <wp:simplePos x="0" y="0"/>
                <wp:positionH relativeFrom="column">
                  <wp:posOffset>3816350</wp:posOffset>
                </wp:positionH>
                <wp:positionV relativeFrom="paragraph">
                  <wp:posOffset>114300</wp:posOffset>
                </wp:positionV>
                <wp:extent cx="2193925" cy="297815"/>
                <wp:effectExtent l="19050" t="19050" r="0" b="7620"/>
                <wp:wrapTight wrapText="bothSides">
                  <wp:wrapPolygon>
                    <wp:start x="21788" y="22985"/>
                    <wp:lineTo x="21788" y="-554"/>
                    <wp:lineTo x="31" y="-554"/>
                    <wp:lineTo x="31" y="22985"/>
                    <wp:lineTo x="21788" y="22985"/>
                  </wp:wrapPolygon>
                </wp:wrapTight>
                <wp:docPr id="379098474" name="Text Box 18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620616" w14:textId="316E521C">
                            <w:pPr>
                              <w:pStyle w:val="EQRWORKSHEETText"/>
                              <w:rPr>
                                <w:spacing w:val="-2"/>
                              </w:rPr>
                            </w:pPr>
                            <w:hyperlink w:anchor="WSB1" w:tooltip="WORKSHEET B.1" w:history="1">
                              <w:r>
                                <w:rPr>
                                  <w:rStyle w:val="Hyperlink"/>
                                  <w:color w:val="006981"/>
                                </w:rPr>
                                <w:t xml:space="preserve">WORKSHEET </w:t>
                              </w:r>
                              <w:r w:rsidR="00D117DD">
                                <w:rPr>
                                  <w:rStyle w:val="Hyperlink"/>
                                  <w:color w:val="006981"/>
                                </w:rPr>
                                <w:t>B</w:t>
                              </w:r>
                              <w:r>
                                <w:rPr>
                                  <w:rStyle w:val="Hyperlink"/>
                                  <w:color w:val="006981"/>
                                </w:rPr>
                                <w:t>.1</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8" o:spid="_x0000_s1084" type="#_x0000_t202" style="width:172.75pt;height:23.45pt;margin-top:9pt;margin-left:300.5pt;flip:y;mso-height-percent:0;mso-height-relative:page;mso-width-percent:0;mso-width-relative:page;mso-wrap-distance-bottom:0;mso-wrap-distance-left:9pt;mso-wrap-distance-right:9pt;mso-wrap-distance-top:0;mso-wrap-style:square;position:absolute;rotation:180;visibility:visible;v-text-anchor:top;z-index:251743232" fillcolor="#eef5f8" strokecolor="#a5dad9" strokeweight="2.25pt">
                <v:stroke endcap="round"/>
                <v:textbox style="mso-fit-shape-to-text:t" inset="8.64pt,,8.64pt">
                  <w:txbxContent>
                    <w:p w:rsidR="00ED33C3" w:rsidRPr="0090682E" w:rsidP="00620616" w14:paraId="752768B8" w14:textId="316E521C">
                      <w:pPr>
                        <w:pStyle w:val="EQRWORKSHEETText"/>
                        <w:rPr>
                          <w:spacing w:val="-2"/>
                        </w:rPr>
                      </w:pPr>
                      <w:hyperlink w:anchor="WSB1" w:tooltip="WORKSHEET B.1" w:history="1">
                        <w:r>
                          <w:rPr>
                            <w:rStyle w:val="Hyperlink"/>
                            <w:color w:val="006981"/>
                          </w:rPr>
                          <w:t xml:space="preserve">WORKSHEET </w:t>
                        </w:r>
                        <w:r w:rsidR="00D117DD">
                          <w:rPr>
                            <w:rStyle w:val="Hyperlink"/>
                            <w:color w:val="006981"/>
                          </w:rPr>
                          <w:t>B</w:t>
                        </w:r>
                        <w:r>
                          <w:rPr>
                            <w:rStyle w:val="Hyperlink"/>
                            <w:color w:val="006981"/>
                          </w:rPr>
                          <w:t>.1</w:t>
                        </w:r>
                      </w:hyperlink>
                    </w:p>
                  </w:txbxContent>
                </v:textbox>
                <w10:wrap type="tight"/>
              </v:shape>
            </w:pict>
          </mc:Fallback>
        </mc:AlternateContent>
      </w:r>
      <w:r w:rsidRPr="00990D3B">
        <w:rPr>
          <w:noProof/>
        </w:rPr>
        <mc:AlternateContent>
          <mc:Choice Requires="wps">
            <w:drawing>
              <wp:anchor distT="0" distB="0" distL="114300" distR="114300" simplePos="0" relativeHeight="251744256" behindDoc="0" locked="0" layoutInCell="1" allowOverlap="1">
                <wp:simplePos x="0" y="0"/>
                <wp:positionH relativeFrom="column">
                  <wp:posOffset>3816350</wp:posOffset>
                </wp:positionH>
                <wp:positionV relativeFrom="paragraph">
                  <wp:posOffset>476250</wp:posOffset>
                </wp:positionV>
                <wp:extent cx="2194560" cy="297815"/>
                <wp:effectExtent l="19050" t="19050" r="0" b="7620"/>
                <wp:wrapTight wrapText="bothSides">
                  <wp:wrapPolygon>
                    <wp:start x="21788" y="22985"/>
                    <wp:lineTo x="21788" y="-554"/>
                    <wp:lineTo x="38" y="-554"/>
                    <wp:lineTo x="38" y="22985"/>
                    <wp:lineTo x="21788" y="22985"/>
                  </wp:wrapPolygon>
                </wp:wrapTight>
                <wp:docPr id="18543897" name="Text Box 18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620616" w14:textId="47D30ABE">
                            <w:pPr>
                              <w:pStyle w:val="EQRWORKSHEETText"/>
                              <w:rPr>
                                <w:spacing w:val="-2"/>
                              </w:rPr>
                            </w:pPr>
                            <w:hyperlink w:anchor="WSB2" w:tooltip="WORKSHEET B.2" w:history="1">
                              <w:r>
                                <w:rPr>
                                  <w:rStyle w:val="Hyperlink"/>
                                  <w:color w:val="006981"/>
                                </w:rPr>
                                <w:t xml:space="preserve">WORKSHEET </w:t>
                              </w:r>
                              <w:r w:rsidR="00D117DD">
                                <w:rPr>
                                  <w:rStyle w:val="Hyperlink"/>
                                  <w:color w:val="006981"/>
                                </w:rPr>
                                <w:t>B</w:t>
                              </w:r>
                              <w:r>
                                <w:rPr>
                                  <w:rStyle w:val="Hyperlink"/>
                                  <w:color w:val="006981"/>
                                </w:rPr>
                                <w:t>.2</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7" o:spid="_x0000_s1085" type="#_x0000_t202" style="width:172.8pt;height:23.45pt;margin-top:37.5pt;margin-left:300.5pt;flip:y;mso-height-percent:0;mso-height-relative:page;mso-width-percent:0;mso-width-relative:page;mso-wrap-distance-bottom:0;mso-wrap-distance-left:9pt;mso-wrap-distance-right:9pt;mso-wrap-distance-top:0;mso-wrap-style:square;position:absolute;rotation:180;visibility:visible;v-text-anchor:top;z-index:251745280" fillcolor="#eef5f8" strokecolor="#a5dad9" strokeweight="2.25pt">
                <v:stroke endcap="round"/>
                <v:textbox style="mso-fit-shape-to-text:t" inset="8.64pt,,8.64pt">
                  <w:txbxContent>
                    <w:p w:rsidR="00ED33C3" w:rsidRPr="0090682E" w:rsidP="00620616" w14:paraId="293A19D6" w14:textId="47D30ABE">
                      <w:pPr>
                        <w:pStyle w:val="EQRWORKSHEETText"/>
                        <w:rPr>
                          <w:spacing w:val="-2"/>
                        </w:rPr>
                      </w:pPr>
                      <w:hyperlink w:anchor="WSB2" w:tooltip="WORKSHEET B.2" w:history="1">
                        <w:r>
                          <w:rPr>
                            <w:rStyle w:val="Hyperlink"/>
                            <w:color w:val="006981"/>
                          </w:rPr>
                          <w:t xml:space="preserve">WORKSHEET </w:t>
                        </w:r>
                        <w:r w:rsidR="00D117DD">
                          <w:rPr>
                            <w:rStyle w:val="Hyperlink"/>
                            <w:color w:val="006981"/>
                          </w:rPr>
                          <w:t>B</w:t>
                        </w:r>
                        <w:r>
                          <w:rPr>
                            <w:rStyle w:val="Hyperlink"/>
                            <w:color w:val="006981"/>
                          </w:rPr>
                          <w:t>.2</w:t>
                        </w:r>
                      </w:hyperlink>
                    </w:p>
                  </w:txbxContent>
                </v:textbox>
                <w10:wrap type="tight"/>
              </v:shape>
            </w:pict>
          </mc:Fallback>
        </mc:AlternateContent>
      </w:r>
      <w:r w:rsidRPr="00990D3B" w:rsidR="00112139">
        <w:t>This step helps focus the validation activities on aspects of the MCP’s information system that are most likely to be an issue in the validation process. Before validating individual performance measures, the EQRO must assess (1) the integrity of the MCP’s information system, (2) the completeness and accuracy of the data produced, and (3) the readiness of the MCPs’ data systems for calculating performance measures. As part of this step, the EQRO conducts an Information Systems Capabilities Assessment (ISCA) for each MCP</w:t>
      </w:r>
      <w:r w:rsidRPr="00990D3B" w:rsidR="00E07F1D">
        <w:t>,</w:t>
      </w:r>
      <w:r w:rsidRPr="00990D3B" w:rsidR="00112139">
        <w:t xml:space="preserve"> as described in the following</w:t>
      </w:r>
      <w:r w:rsidRPr="00990D3B" w:rsidR="00D7596D">
        <w:t> </w:t>
      </w:r>
      <w:r w:rsidRPr="00990D3B" w:rsidR="00112139">
        <w:t xml:space="preserve">sections. </w:t>
      </w:r>
    </w:p>
    <w:p w:rsidR="00112139" w:rsidRPr="00990D3B" w:rsidP="00811CA2" w14:paraId="6AF97406" w14:textId="56B52524">
      <w:pPr>
        <w:pStyle w:val="H4"/>
      </w:pPr>
      <w:r w:rsidRPr="00990D3B">
        <w:t xml:space="preserve">Conduct an </w:t>
      </w:r>
      <w:r w:rsidRPr="00990D3B" w:rsidR="00851970">
        <w:t>ISCA</w:t>
      </w:r>
    </w:p>
    <w:p w:rsidR="00112139" w:rsidRPr="00990D3B" w:rsidP="00810CFB" w14:paraId="7EE504D5" w14:textId="168E5281">
      <w:pPr>
        <w:pStyle w:val="Paragraph0"/>
      </w:pPr>
      <w:r w:rsidRPr="00990D3B">
        <w:t xml:space="preserve">Before conducting the site visit, the EQRO should provide the MCP with information on the ISCA process, including </w:t>
      </w:r>
      <w:hyperlink w:anchor="WSB1" w:tooltip="Worksheet B.1" w:history="1">
        <w:r w:rsidRPr="00990D3B">
          <w:rPr>
            <w:rStyle w:val="Hyperlink"/>
          </w:rPr>
          <w:t xml:space="preserve">Worksheet </w:t>
        </w:r>
        <w:r w:rsidRPr="00990D3B" w:rsidR="00E07F1D">
          <w:rPr>
            <w:rStyle w:val="Hyperlink"/>
          </w:rPr>
          <w:t>B</w:t>
        </w:r>
        <w:r w:rsidRPr="00990D3B">
          <w:rPr>
            <w:rStyle w:val="Hyperlink"/>
          </w:rPr>
          <w:t>.1</w:t>
        </w:r>
      </w:hyperlink>
      <w:r w:rsidRPr="00990D3B">
        <w:t>. The ISCA is used to validate MCP information systems, processes, and data. The ISCA corresponds to the objectives identified in this protocol and addresses key components of calculating performance measures including:</w:t>
      </w:r>
    </w:p>
    <w:p w:rsidR="00112139" w:rsidRPr="00990D3B" w:rsidP="00FB7CAF" w14:paraId="32F76CEB" w14:textId="3EC1AB08">
      <w:pPr>
        <w:pStyle w:val="EQRBulletBLUE"/>
      </w:pPr>
      <w:r w:rsidRPr="00990D3B">
        <w:t>General information about the MCP</w:t>
      </w:r>
      <w:r w:rsidRPr="00990D3B" w:rsidR="0053636E">
        <w:t>.</w:t>
      </w:r>
    </w:p>
    <w:p w:rsidR="00112139" w:rsidRPr="00990D3B" w:rsidP="00FB7CAF" w14:paraId="591A51DB" w14:textId="26CB3484">
      <w:pPr>
        <w:pStyle w:val="EQRBulletBLUE"/>
      </w:pPr>
      <w:r w:rsidRPr="00990D3B">
        <w:t>Membership/enrollment data systems</w:t>
      </w:r>
      <w:r w:rsidRPr="00990D3B" w:rsidR="0053636E">
        <w:t>.</w:t>
      </w:r>
    </w:p>
    <w:p w:rsidR="00112139" w:rsidRPr="00990D3B" w:rsidP="00FB7CAF" w14:paraId="61C31A45" w14:textId="5CAA60ED">
      <w:pPr>
        <w:pStyle w:val="EQRBulletBLUE"/>
      </w:pPr>
      <w:r w:rsidRPr="00990D3B">
        <w:t>Claims/encounter data processing</w:t>
      </w:r>
      <w:r w:rsidRPr="00990D3B" w:rsidR="0053636E">
        <w:t>.</w:t>
      </w:r>
    </w:p>
    <w:p w:rsidR="00112139" w:rsidRPr="00990D3B" w:rsidP="00FB7CAF" w14:paraId="14D3AF7F" w14:textId="0F554E0D">
      <w:pPr>
        <w:pStyle w:val="EQRBulletBLUE"/>
      </w:pPr>
      <w:r w:rsidRPr="00990D3B">
        <w:t>Provider data</w:t>
      </w:r>
      <w:r w:rsidRPr="00990D3B" w:rsidR="0053636E">
        <w:t>.</w:t>
      </w:r>
    </w:p>
    <w:p w:rsidR="00112139" w:rsidRPr="00990D3B" w:rsidP="00FB7CAF" w14:paraId="18005A3B" w14:textId="569FF60E">
      <w:pPr>
        <w:pStyle w:val="EQRBulletBLUE"/>
      </w:pPr>
      <w:r w:rsidRPr="00990D3B">
        <w:t>Data completeness</w:t>
      </w:r>
      <w:r w:rsidRPr="00990D3B" w:rsidR="0053636E">
        <w:t>.</w:t>
      </w:r>
    </w:p>
    <w:p w:rsidR="00112139" w:rsidRPr="00990D3B" w:rsidP="00FB7CAF" w14:paraId="60923AA9" w14:textId="51AF4CCE">
      <w:pPr>
        <w:pStyle w:val="EQRBulletBLUE"/>
      </w:pPr>
      <w:r w:rsidRPr="00990D3B">
        <w:t>Integration of data for performance measure calculation</w:t>
      </w:r>
      <w:r w:rsidRPr="00990D3B" w:rsidR="0053636E">
        <w:t>.</w:t>
      </w:r>
    </w:p>
    <w:p w:rsidR="00112139" w:rsidRPr="00990D3B" w:rsidP="00BD1FC3" w14:paraId="64E14C32" w14:textId="74B1D29B">
      <w:pPr>
        <w:pStyle w:val="ParagraphContinued"/>
      </w:pPr>
      <w:r w:rsidRPr="00990D3B">
        <w:t>The ISCA provides information about the timing of any other recent, independent, documented assessment</w:t>
      </w:r>
      <w:r w:rsidRPr="00990D3B" w:rsidR="00E07F1D">
        <w:t>,</w:t>
      </w:r>
      <w:r w:rsidRPr="00990D3B">
        <w:t xml:space="preserve"> such as a </w:t>
      </w:r>
      <w:r w:rsidRPr="00990D3B" w:rsidR="00F4610F">
        <w:t xml:space="preserve">HEDIS® </w:t>
      </w:r>
      <w:r w:rsidRPr="00990D3B">
        <w:t xml:space="preserve">Compliance </w:t>
      </w:r>
      <w:r w:rsidRPr="00990D3B" w:rsidR="00BC7648">
        <w:t>Audit</w:t>
      </w:r>
      <w:r w:rsidRPr="00990D3B" w:rsidR="00BC7648">
        <w:rPr>
          <w:rFonts w:cs="Arial"/>
        </w:rPr>
        <w:t>™</w:t>
      </w:r>
      <w:r w:rsidRPr="00990D3B" w:rsidR="00F4610F">
        <w:rPr>
          <w:rFonts w:cs="Arial"/>
        </w:rPr>
        <w:t xml:space="preserve">. </w:t>
      </w:r>
      <w:r w:rsidRPr="00990D3B">
        <w:t>If the MCP recently had a comprehensive, independent assessment of its information systems, the EQRO may review those results. If the MCP has not had an ISCA within a time</w:t>
      </w:r>
      <w:r w:rsidRPr="00990D3B" w:rsidR="00566F1D">
        <w:t xml:space="preserve"> </w:t>
      </w:r>
      <w:r w:rsidRPr="00990D3B">
        <w:t>frame determined by the state,</w:t>
      </w:r>
      <w:r w:rsidRPr="00990D3B" w:rsidR="003162DF">
        <w:rPr>
          <w:rFonts w:ascii="ZWAdobeF" w:hAnsi="ZWAdobeF" w:cs="ZWAdobeF"/>
          <w:sz w:val="2"/>
          <w:szCs w:val="2"/>
        </w:rPr>
        <w:t>46F</w:t>
      </w:r>
      <w:r>
        <w:rPr>
          <w:vertAlign w:val="superscript"/>
        </w:rPr>
        <w:footnoteReference w:id="52"/>
      </w:r>
      <w:r w:rsidRPr="00990D3B">
        <w:t xml:space="preserve"> the EQRO will conduct an ISCA as part of this protocol. It is recommended that EQROs request that MCPs provide any assessments of their </w:t>
      </w:r>
      <w:r w:rsidRPr="00990D3B" w:rsidR="00347A96">
        <w:t>information technology (</w:t>
      </w:r>
      <w:r w:rsidRPr="00990D3B">
        <w:t>IT</w:t>
      </w:r>
      <w:r w:rsidRPr="00990D3B" w:rsidR="00347A96">
        <w:t>)</w:t>
      </w:r>
      <w:r w:rsidRPr="00990D3B">
        <w:t xml:space="preserve"> systems conducted in the previous two years. The EQRO should document the strengths and weaknesses of the MCP information system relevant to the types of data used by the MCP in calculating performance measures. The EQRO should </w:t>
      </w:r>
      <w:r w:rsidRPr="00990D3B">
        <w:t>take into account</w:t>
      </w:r>
      <w:r w:rsidRPr="00990D3B">
        <w:t xml:space="preserve"> systems issues (such as missing data), when validating individual performance measures and determining whether they are reportable.</w:t>
      </w:r>
    </w:p>
    <w:p w:rsidR="00112139" w:rsidRPr="00990D3B" w:rsidP="00811CA2" w14:paraId="3234FC19" w14:textId="77777777">
      <w:pPr>
        <w:pStyle w:val="H4"/>
      </w:pPr>
      <w:r w:rsidRPr="00990D3B">
        <w:t>Assess MCP Data Systems and Types</w:t>
      </w:r>
    </w:p>
    <w:p w:rsidR="00112139" w:rsidRPr="00990D3B" w:rsidP="004F7010" w14:paraId="35B80E12" w14:textId="1E845213">
      <w:pPr>
        <w:pStyle w:val="ParagraphContinued"/>
      </w:pPr>
      <w:r w:rsidRPr="00990D3B">
        <w:t xml:space="preserve">The EQRO should assess every data system and type of data the MCP processes to ensure the required data are current and accurate, particularly at the time it extracts data for its performance measures. The EQRO should assess changes in the MCP’s data systems that might affect the production of </w:t>
      </w:r>
      <w:r w:rsidRPr="00990D3B">
        <w:t>the performance</w:t>
      </w:r>
      <w:r w:rsidRPr="00990D3B">
        <w:t xml:space="preserve"> measures. Major changes, upgrades, or consolidations within the system, or acquisitions/mergers with other MCPs may impact the accuracy or completeness of required data elements. Elements that should be assessed for each MCP data system and type</w:t>
      </w:r>
      <w:r w:rsidRPr="00990D3B" w:rsidR="00D7596D">
        <w:t> </w:t>
      </w:r>
      <w:r w:rsidRPr="00990D3B">
        <w:t>include:</w:t>
      </w:r>
    </w:p>
    <w:p w:rsidR="00112139" w:rsidRPr="00990D3B" w:rsidP="00FB7CAF" w14:paraId="71008AD9" w14:textId="4D224CE2">
      <w:pPr>
        <w:pStyle w:val="EQRBulletBLUE"/>
      </w:pPr>
      <w:r w:rsidRPr="00990D3B">
        <w:t>Membership/enrollment data</w:t>
      </w:r>
      <w:r w:rsidRPr="00990D3B" w:rsidR="0053636E">
        <w:t>.</w:t>
      </w:r>
    </w:p>
    <w:p w:rsidR="00112139" w:rsidRPr="00990D3B" w:rsidP="00FB7CAF" w14:paraId="3CDB9D85" w14:textId="37EC4FF8">
      <w:pPr>
        <w:pStyle w:val="EQRBulletBLUE"/>
      </w:pPr>
      <w:r w:rsidRPr="00990D3B">
        <w:t>Provider data</w:t>
      </w:r>
      <w:r w:rsidRPr="00990D3B" w:rsidR="0053636E">
        <w:t>.</w:t>
      </w:r>
    </w:p>
    <w:p w:rsidR="00112139" w:rsidRPr="00990D3B" w:rsidP="00FB7CAF" w14:paraId="5036C65D" w14:textId="7FC4BD13">
      <w:pPr>
        <w:pStyle w:val="EQRBulletBLUE"/>
      </w:pPr>
      <w:r w:rsidRPr="00990D3B">
        <w:t>Claims and encounter data</w:t>
      </w:r>
      <w:r w:rsidRPr="00990D3B" w:rsidR="0053636E">
        <w:t>.</w:t>
      </w:r>
    </w:p>
    <w:p w:rsidR="00112139" w:rsidRPr="00990D3B" w:rsidP="00FB7CAF" w14:paraId="6064CFD3" w14:textId="399675E4">
      <w:pPr>
        <w:pStyle w:val="EQRBulletBLUE"/>
      </w:pPr>
      <w:r w:rsidRPr="00990D3B">
        <w:t>Medical records data</w:t>
      </w:r>
      <w:r w:rsidRPr="00990D3B" w:rsidR="0053636E">
        <w:t>.</w:t>
      </w:r>
    </w:p>
    <w:p w:rsidR="00112139" w:rsidRPr="00990D3B" w:rsidP="00FB7CAF" w14:paraId="1685BD07" w14:textId="5C358C8F">
      <w:pPr>
        <w:pStyle w:val="EQRBulletBLUE"/>
      </w:pPr>
      <w:r w:rsidRPr="00990D3B">
        <w:t xml:space="preserve">Pharmacy, laboratory, and other ancillary </w:t>
      </w:r>
      <w:r w:rsidRPr="00990D3B">
        <w:t xml:space="preserve">data </w:t>
      </w:r>
      <w:r w:rsidRPr="00990D3B" w:rsidR="0053636E">
        <w:t>.</w:t>
      </w:r>
      <w:r w:rsidRPr="00990D3B">
        <w:t xml:space="preserve"> </w:t>
      </w:r>
    </w:p>
    <w:p w:rsidR="00112139" w:rsidRPr="00990D3B" w:rsidP="00811CA2" w14:paraId="23B1742F" w14:textId="50EB6028">
      <w:pPr>
        <w:pStyle w:val="H4"/>
        <w:spacing w:before="240"/>
        <w:ind w:left="0" w:firstLine="0"/>
      </w:pPr>
      <w:r w:rsidRPr="00990D3B">
        <w:t>Membership/Enrollment Data</w:t>
      </w:r>
    </w:p>
    <w:p w:rsidR="00112139" w:rsidRPr="00990D3B" w:rsidP="004F7010" w14:paraId="69C30337" w14:textId="77777777">
      <w:pPr>
        <w:pStyle w:val="ParagraphContinued"/>
      </w:pPr>
      <w:r w:rsidRPr="00990D3B">
        <w:t>The EQRO should assess:</w:t>
      </w:r>
    </w:p>
    <w:p w:rsidR="00112139" w:rsidRPr="00990D3B" w:rsidP="00FB7CAF" w14:paraId="795F5481" w14:textId="4AD23F12">
      <w:pPr>
        <w:pStyle w:val="EQRBulletBLUE"/>
      </w:pPr>
      <w:r w:rsidRPr="00990D3B">
        <w:t xml:space="preserve">The MCP’s ability to track </w:t>
      </w:r>
      <w:r w:rsidRPr="00990D3B" w:rsidR="00727834">
        <w:t>enrollees</w:t>
      </w:r>
      <w:r w:rsidRPr="00990D3B">
        <w:t xml:space="preserve"> over time, changes in enrollment, name changes, and changes in coverage</w:t>
      </w:r>
      <w:r w:rsidRPr="00990D3B" w:rsidR="003B5E7D">
        <w:t>.</w:t>
      </w:r>
    </w:p>
    <w:p w:rsidR="00112139" w:rsidRPr="00990D3B" w:rsidP="00FB7CAF" w14:paraId="5939DEE9" w14:textId="631E6F3E">
      <w:pPr>
        <w:pStyle w:val="EQRBulletBLUE"/>
      </w:pPr>
      <w:r w:rsidRPr="00990D3B">
        <w:t>The MCP’s processes to ensure membership/enrollment data are current and accurate</w:t>
      </w:r>
      <w:r w:rsidRPr="00990D3B" w:rsidR="003B5E7D">
        <w:t>.</w:t>
      </w:r>
    </w:p>
    <w:p w:rsidR="00112139" w:rsidRPr="00990D3B" w:rsidP="00FB7CAF" w14:paraId="1C2968D6" w14:textId="0A3D0D28">
      <w:pPr>
        <w:pStyle w:val="EQRBulletBLUE"/>
      </w:pPr>
      <w:r w:rsidRPr="00990D3B">
        <w:t xml:space="preserve">Changes in the MCP’s membership data systems that might affect the production of </w:t>
      </w:r>
      <w:r w:rsidRPr="00990D3B">
        <w:t>the performance</w:t>
      </w:r>
      <w:r w:rsidRPr="00990D3B">
        <w:t xml:space="preserve"> measures</w:t>
      </w:r>
      <w:r w:rsidRPr="00990D3B" w:rsidR="003B5E7D">
        <w:t>.</w:t>
      </w:r>
    </w:p>
    <w:p w:rsidR="00112139" w:rsidRPr="00990D3B" w:rsidP="00FB7CAF" w14:paraId="7BA7AB90" w14:textId="13071D63">
      <w:pPr>
        <w:pStyle w:val="EQRBulletBLUE"/>
      </w:pPr>
      <w:r w:rsidRPr="00990D3B">
        <w:t>Whether transactions between the MCP and state data systems (such as state eligibility files) affect measure calculation through updating, correcting, or overwriting source data (e.g., race or ethnicity information)</w:t>
      </w:r>
      <w:r w:rsidRPr="00990D3B" w:rsidR="003B5E7D">
        <w:t>.</w:t>
      </w:r>
    </w:p>
    <w:p w:rsidR="00112139" w:rsidRPr="00990D3B" w:rsidP="00BD1FC3" w14:paraId="6A6D9AA3" w14:textId="7471F9B1">
      <w:pPr>
        <w:pStyle w:val="ParagraphContinued"/>
      </w:pPr>
      <w:r w:rsidRPr="00990D3B">
        <w:t xml:space="preserve">The EQRO should </w:t>
      </w:r>
      <w:r w:rsidRPr="00990D3B" w:rsidR="00811CA2">
        <w:t xml:space="preserve">also </w:t>
      </w:r>
      <w:r w:rsidRPr="00990D3B">
        <w:t xml:space="preserve">determine whether each MCP </w:t>
      </w:r>
      <w:r w:rsidRPr="00990D3B" w:rsidR="002F4DD4">
        <w:t>enrollee</w:t>
      </w:r>
      <w:r w:rsidRPr="00990D3B">
        <w:t xml:space="preserve"> is uniquely identifiable and can be linked to the state’s </w:t>
      </w:r>
      <w:r w:rsidRPr="00990D3B" w:rsidR="00832946">
        <w:t>Medicaid and CHIP</w:t>
      </w:r>
      <w:r w:rsidRPr="00990D3B">
        <w:t xml:space="preserve"> eligibility file. The membership/enrollment database </w:t>
      </w:r>
      <w:r w:rsidRPr="00990D3B" w:rsidR="000C338A">
        <w:t xml:space="preserve">may </w:t>
      </w:r>
      <w:r w:rsidRPr="00990D3B">
        <w:t xml:space="preserve">capture the following information for every </w:t>
      </w:r>
      <w:r w:rsidRPr="00990D3B" w:rsidR="002F4DD4">
        <w:t>enrollee</w:t>
      </w:r>
      <w:r w:rsidRPr="00990D3B">
        <w:t>:</w:t>
      </w:r>
    </w:p>
    <w:p w:rsidR="00112139" w:rsidRPr="00990D3B" w:rsidP="00FB7CAF" w14:paraId="09D24BA4" w14:textId="0D5E36E6">
      <w:pPr>
        <w:pStyle w:val="EQRBulletBLUE"/>
      </w:pPr>
      <w:r w:rsidRPr="00990D3B">
        <w:t xml:space="preserve">Unique </w:t>
      </w:r>
      <w:r w:rsidRPr="00990D3B" w:rsidR="002F4DD4">
        <w:t>enrollee</w:t>
      </w:r>
      <w:r w:rsidRPr="00990D3B">
        <w:t xml:space="preserve"> identifier (ID), including state-issued </w:t>
      </w:r>
      <w:r w:rsidRPr="00990D3B" w:rsidR="00832946">
        <w:t>Medicaid and CHIP</w:t>
      </w:r>
      <w:r w:rsidRPr="00990D3B">
        <w:t xml:space="preserve"> ID and CMS-issued Medicare number (if applicable)</w:t>
      </w:r>
      <w:r w:rsidRPr="00990D3B" w:rsidR="0053636E">
        <w:t>.</w:t>
      </w:r>
    </w:p>
    <w:p w:rsidR="00AA06A1" w:rsidRPr="00990D3B" w:rsidP="00FB7CAF" w14:paraId="7C2D9C55" w14:textId="726CCD13">
      <w:pPr>
        <w:pStyle w:val="EQRBulletBLUE"/>
      </w:pPr>
      <w:r w:rsidRPr="00990D3B">
        <w:t>Eligibility category</w:t>
      </w:r>
      <w:r w:rsidRPr="00990D3B" w:rsidR="0053636E">
        <w:t>.</w:t>
      </w:r>
    </w:p>
    <w:p w:rsidR="00112139" w:rsidRPr="00990D3B" w:rsidP="00FB7CAF" w14:paraId="63AC7FAF" w14:textId="53044298">
      <w:pPr>
        <w:pStyle w:val="EQRBulletBLUE"/>
      </w:pPr>
      <w:r w:rsidRPr="00990D3B">
        <w:t>Date of birth</w:t>
      </w:r>
      <w:r w:rsidRPr="00990D3B" w:rsidR="0053636E">
        <w:t>.</w:t>
      </w:r>
    </w:p>
    <w:p w:rsidR="00112139" w:rsidRPr="00990D3B" w:rsidP="00FB7CAF" w14:paraId="6BAB43C0" w14:textId="657BA240">
      <w:pPr>
        <w:pStyle w:val="EQRBulletBLUE"/>
      </w:pPr>
      <w:r w:rsidRPr="00990D3B">
        <w:t>Sex</w:t>
      </w:r>
      <w:r w:rsidRPr="00990D3B" w:rsidR="0053636E">
        <w:t>.</w:t>
      </w:r>
    </w:p>
    <w:p w:rsidR="00112139" w:rsidRPr="00990D3B" w:rsidP="00FB7CAF" w14:paraId="2452FB29" w14:textId="530C53B4">
      <w:pPr>
        <w:pStyle w:val="EQRBulletBLUE"/>
      </w:pPr>
      <w:r w:rsidRPr="00990D3B">
        <w:t>Race and ethnicity</w:t>
      </w:r>
      <w:r w:rsidRPr="00990D3B" w:rsidR="0053636E">
        <w:t>.</w:t>
      </w:r>
    </w:p>
    <w:p w:rsidR="00112139" w:rsidRPr="00990D3B" w:rsidP="00FB7CAF" w14:paraId="1E7A28A4" w14:textId="1AF41428">
      <w:pPr>
        <w:pStyle w:val="EQRBulletBLUE"/>
      </w:pPr>
      <w:r w:rsidRPr="00990D3B">
        <w:t>Primary language</w:t>
      </w:r>
      <w:r w:rsidRPr="00990D3B" w:rsidR="0053636E">
        <w:t>.</w:t>
      </w:r>
    </w:p>
    <w:p w:rsidR="00112139" w:rsidRPr="00990D3B" w:rsidP="00FB7CAF" w14:paraId="4F75DFC3" w14:textId="20B60E5C">
      <w:pPr>
        <w:pStyle w:val="EQRBulletBLUE"/>
      </w:pPr>
      <w:r w:rsidRPr="00990D3B">
        <w:t>Disability status</w:t>
      </w:r>
      <w:r w:rsidRPr="00990D3B" w:rsidR="0053636E">
        <w:t>.</w:t>
      </w:r>
    </w:p>
    <w:p w:rsidR="00112139" w:rsidRPr="00990D3B" w:rsidP="00FB7CAF" w14:paraId="781620EA" w14:textId="0351B25F">
      <w:pPr>
        <w:pStyle w:val="EQRBulletBLUE"/>
      </w:pPr>
      <w:r w:rsidRPr="00990D3B">
        <w:t>Enrollment and/or termination dates, including multiple enrollment and termination dates within and across programs (preferably exact dates rather than monthly indicators)</w:t>
      </w:r>
      <w:r w:rsidRPr="00990D3B" w:rsidR="0053636E">
        <w:t>.</w:t>
      </w:r>
    </w:p>
    <w:p w:rsidR="00112139" w:rsidRPr="00990D3B" w:rsidP="00FB7CAF" w14:paraId="03F9B27D" w14:textId="70349CE8">
      <w:pPr>
        <w:pStyle w:val="EQRBulletBLUE"/>
      </w:pPr>
      <w:r w:rsidRPr="00990D3B">
        <w:t>Primary care provider (e.g., provider name, provider ID number, provider location)</w:t>
      </w:r>
      <w:r w:rsidRPr="00990D3B" w:rsidR="0053636E">
        <w:t>.</w:t>
      </w:r>
    </w:p>
    <w:p w:rsidR="00112139" w:rsidRPr="00990D3B" w:rsidP="00BD1FC3" w14:paraId="1D411418" w14:textId="51760CC8">
      <w:pPr>
        <w:pStyle w:val="ParagraphContinued"/>
      </w:pPr>
      <w:r w:rsidRPr="00990D3B">
        <w:t xml:space="preserve">Collecting and assessing membership and enrollment data </w:t>
      </w:r>
      <w:r w:rsidRPr="00990D3B" w:rsidR="00A1551F">
        <w:t xml:space="preserve">are </w:t>
      </w:r>
      <w:r w:rsidRPr="00990D3B">
        <w:t xml:space="preserve">increasingly important due to the requirement </w:t>
      </w:r>
      <w:r w:rsidRPr="00990D3B" w:rsidR="00A1692D">
        <w:t xml:space="preserve">that each state’s managed care quality strategy </w:t>
      </w:r>
      <w:r w:rsidRPr="00990D3B" w:rsidR="002A2B16">
        <w:t xml:space="preserve">include a plan </w:t>
      </w:r>
      <w:r w:rsidRPr="00990D3B">
        <w:t>for identifying, evaluating, and reducing health disparities based on age, race, ethnicity, sex, primary language, and disability status (</w:t>
      </w:r>
      <w:r w:rsidRPr="00990D3B" w:rsidR="001C7FC0">
        <w:t>42 C.F.R.</w:t>
      </w:r>
      <w:r w:rsidRPr="00990D3B" w:rsidR="007854DF">
        <w:t xml:space="preserve"> </w:t>
      </w:r>
      <w:r w:rsidRPr="00990D3B">
        <w:t xml:space="preserve">438.340(b)(6)). Under this requirement, states must identify </w:t>
      </w:r>
      <w:r w:rsidRPr="00990D3B" w:rsidR="00934EBE">
        <w:t xml:space="preserve">this </w:t>
      </w:r>
      <w:r w:rsidRPr="00990D3B">
        <w:t>demographic information for each Medicaid enrollee and provide it to the MCP at the time of</w:t>
      </w:r>
      <w:r w:rsidRPr="00990D3B" w:rsidR="004F7010">
        <w:t> </w:t>
      </w:r>
      <w:r w:rsidRPr="00990D3B">
        <w:t>enrollment.</w:t>
      </w:r>
    </w:p>
    <w:p w:rsidR="00112139" w:rsidRPr="00990D3B" w:rsidP="00BD1FC3" w14:paraId="64AC9669" w14:textId="77777777">
      <w:pPr>
        <w:pStyle w:val="Paragraph0"/>
      </w:pPr>
      <w:r w:rsidRPr="00990D3B">
        <w:t xml:space="preserve">In addition, to facilitate geographic stratification of performance (such as analyses of access and timeliness of care), complete and accurate information on the household’s location of residence (e.g., ZIP code) is also desirable. </w:t>
      </w:r>
    </w:p>
    <w:p w:rsidR="00112139" w:rsidRPr="00990D3B" w:rsidP="00BD1FC3" w14:paraId="4C13351A" w14:textId="5A4484A1">
      <w:pPr>
        <w:pStyle w:val="Paragraph0"/>
      </w:pPr>
      <w:r w:rsidRPr="00990D3B">
        <w:t xml:space="preserve">Finally, to facilitate surveys of patient experience, complete contact information is essential. At a minimum, name and address are required; phone numbers and email addresses are highly desirable. See </w:t>
      </w:r>
      <w:hyperlink w:anchor="Protocol6" w:tooltip="Protocol 6. Administration or Validation of Quality of Care Surveys" w:history="1">
        <w:r w:rsidRPr="00990D3B">
          <w:rPr>
            <w:rStyle w:val="Hyperlink"/>
          </w:rPr>
          <w:t>Protocol 6</w:t>
        </w:r>
      </w:hyperlink>
      <w:r w:rsidRPr="00990D3B">
        <w:t xml:space="preserve"> for more information. </w:t>
      </w:r>
    </w:p>
    <w:p w:rsidR="00112139" w:rsidRPr="00990D3B" w:rsidP="00BD1FC3" w14:paraId="17E9030F" w14:textId="1CD5A265">
      <w:pPr>
        <w:pStyle w:val="H5Lower"/>
      </w:pPr>
      <w:r w:rsidRPr="00990D3B">
        <w:t>Provider Data</w:t>
      </w:r>
    </w:p>
    <w:p w:rsidR="00112139" w:rsidRPr="00990D3B" w:rsidP="004F6BE0" w14:paraId="61271D68" w14:textId="23BEDC32">
      <w:pPr>
        <w:pStyle w:val="ParagraphContinued"/>
      </w:pPr>
      <w:r w:rsidRPr="00990D3B">
        <w:t xml:space="preserve">The EQRO should review </w:t>
      </w:r>
      <w:r w:rsidRPr="00990D3B">
        <w:t>an MCP’s</w:t>
      </w:r>
      <w:r w:rsidRPr="00990D3B">
        <w:t xml:space="preserve"> provider data system(s) to assess the MCP’s ability to track providers over time, across multiple office locations, and through changes in participation. In addition, the EQRO should assess how many contracted providers use electronic health records </w:t>
      </w:r>
      <w:r w:rsidRPr="00990D3B">
        <w:t>(EHRs) and the extent to which EHRs are used in the calculation of an MCP’s performance</w:t>
      </w:r>
      <w:r w:rsidRPr="00990D3B" w:rsidR="00425688">
        <w:t> </w:t>
      </w:r>
      <w:r w:rsidRPr="00990D3B">
        <w:t>measures.</w:t>
      </w:r>
    </w:p>
    <w:p w:rsidR="00112139" w:rsidRPr="00990D3B" w:rsidP="00BD1FC3" w14:paraId="349FF925" w14:textId="5377AEB1">
      <w:pPr>
        <w:pStyle w:val="H5Lower"/>
      </w:pPr>
      <w:r w:rsidRPr="00990D3B">
        <w:t>Claims and Encounter Data</w:t>
      </w:r>
    </w:p>
    <w:p w:rsidR="00112139" w:rsidRPr="00990D3B" w:rsidP="004F7010" w14:paraId="7825DC86" w14:textId="06C2FF5F">
      <w:pPr>
        <w:pStyle w:val="ParagraphContinued"/>
      </w:pPr>
      <w:r w:rsidRPr="00990D3B">
        <w:t>Claims and encounter data should cover all types of services offered by the MCP and not separately contracted by the state, such as hospital</w:t>
      </w:r>
      <w:r w:rsidRPr="00990D3B" w:rsidR="00F14492">
        <w:t xml:space="preserve"> inpatient, hospital outpatient</w:t>
      </w:r>
      <w:r w:rsidRPr="00990D3B">
        <w:t xml:space="preserve">, primary care, </w:t>
      </w:r>
      <w:r w:rsidRPr="00990D3B" w:rsidR="00EC59DB">
        <w:t xml:space="preserve">skilled nursing facility, nursing facility (custodial care), </w:t>
      </w:r>
      <w:r w:rsidRPr="00990D3B">
        <w:t xml:space="preserve">specialty care, behavioral health care, family planning services, home health care, radiology, laboratory, pharmacy, dental care, and vision care. The EQRO should note the following for each type of claim/encounter data captured: </w:t>
      </w:r>
    </w:p>
    <w:p w:rsidR="00112139" w:rsidRPr="00990D3B" w:rsidP="00FB7CAF" w14:paraId="5F8A09F2" w14:textId="4BEEA956">
      <w:pPr>
        <w:pStyle w:val="EQRBulletBLUE"/>
      </w:pPr>
      <w:r w:rsidRPr="00990D3B">
        <w:t>Total number of diagnosis and procedure codes</w:t>
      </w:r>
      <w:r w:rsidRPr="00990D3B" w:rsidR="006E31CC">
        <w:t xml:space="preserve"> (such as Healthcare Common Procedure Coding System (HCPCS) codes and Current Procedural Terminology (CPT)® codes,</w:t>
      </w:r>
      <w:r w:rsidRPr="00990D3B" w:rsidR="00F118A2">
        <w:t xml:space="preserve"> the American Dental Association’s Common Dental Terminology (CDT)</w:t>
      </w:r>
      <w:r w:rsidRPr="00990D3B" w:rsidR="00FF35EC">
        <w:t>©</w:t>
      </w:r>
      <w:r w:rsidRPr="00990D3B" w:rsidR="00F118A2">
        <w:t xml:space="preserve"> codes, and </w:t>
      </w:r>
      <w:r w:rsidRPr="00990D3B" w:rsidR="00851970">
        <w:t>International Classification of Diseases (</w:t>
      </w:r>
      <w:r w:rsidRPr="00990D3B" w:rsidR="006E31CC">
        <w:t>ICD</w:t>
      </w:r>
      <w:r w:rsidRPr="00990D3B" w:rsidR="00851970">
        <w:t>)</w:t>
      </w:r>
      <w:r w:rsidRPr="00990D3B" w:rsidR="006E31CC">
        <w:t>-10 Procedure Coding System codes),</w:t>
      </w:r>
      <w:r w:rsidRPr="00990D3B">
        <w:t xml:space="preserve"> captured by the system</w:t>
      </w:r>
      <w:r w:rsidRPr="00990D3B" w:rsidR="003B5E7D">
        <w:t>.</w:t>
      </w:r>
    </w:p>
    <w:p w:rsidR="00112139" w:rsidRPr="00990D3B" w:rsidP="00FB7CAF" w14:paraId="4DAC8020" w14:textId="45873B7A">
      <w:pPr>
        <w:pStyle w:val="EQRBulletBLUE"/>
      </w:pPr>
      <w:r w:rsidRPr="00990D3B">
        <w:t>Whether the principal diagnosis, secondary diagnoses, and procedure codes can be accurately distinguished in the system</w:t>
      </w:r>
      <w:r w:rsidRPr="00990D3B" w:rsidR="003B5E7D">
        <w:t>.</w:t>
      </w:r>
    </w:p>
    <w:p w:rsidR="00112139" w:rsidRPr="00990D3B" w:rsidP="00FB7CAF" w14:paraId="6DBC2516" w14:textId="65111777">
      <w:pPr>
        <w:pStyle w:val="EQRBulletBLUE"/>
      </w:pPr>
      <w:r w:rsidRPr="00990D3B">
        <w:t>Maximum number of digits/characters captured for each data field in each type of claim or encounter</w:t>
      </w:r>
      <w:r w:rsidRPr="00990D3B" w:rsidR="003B5E7D">
        <w:t>.</w:t>
      </w:r>
    </w:p>
    <w:p w:rsidR="00112139" w:rsidRPr="00990D3B" w:rsidP="00BD1FC3" w14:paraId="65E7B88C" w14:textId="517A1961">
      <w:pPr>
        <w:pStyle w:val="ParagraphContinued"/>
      </w:pPr>
      <w:r w:rsidRPr="00990D3B">
        <w:t xml:space="preserve">The accuracy and validity of measures may be adversely affected if the </w:t>
      </w:r>
      <w:r w:rsidRPr="00990D3B" w:rsidR="00C20033">
        <w:t>information system (</w:t>
      </w:r>
      <w:r w:rsidRPr="00990D3B" w:rsidR="009E5D19">
        <w:t>IS</w:t>
      </w:r>
      <w:r w:rsidRPr="00990D3B" w:rsidR="00C20033">
        <w:t>)</w:t>
      </w:r>
      <w:r w:rsidRPr="00990D3B">
        <w:t xml:space="preserve"> truncates codes or is unable to collect and/or differentiate among </w:t>
      </w:r>
      <w:r w:rsidRPr="00990D3B">
        <w:t>a sufficient number of</w:t>
      </w:r>
      <w:r w:rsidRPr="00990D3B">
        <w:t xml:space="preserve"> codes. The EQRO should understand the various coding systems and forms used by the MCP and its vendors to capture and process clinical information through its claims </w:t>
      </w:r>
      <w:r w:rsidRPr="00990D3B">
        <w:t>and encounter</w:t>
      </w:r>
      <w:r w:rsidRPr="00990D3B">
        <w:t xml:space="preserve"> databases. The EQRO should assess how well the </w:t>
      </w:r>
      <w:r w:rsidRPr="00990D3B" w:rsidR="009E5D19">
        <w:t>IS</w:t>
      </w:r>
      <w:r w:rsidRPr="00990D3B">
        <w:t xml:space="preserve"> translates or maps these codes back to </w:t>
      </w:r>
      <w:r w:rsidRPr="00990D3B" w:rsidR="00F6379F">
        <w:t xml:space="preserve">the criteria </w:t>
      </w:r>
      <w:r w:rsidRPr="00990D3B">
        <w:t>for MCP performance measure reporting, and how it ensures the accuracy of these translation</w:t>
      </w:r>
      <w:r w:rsidRPr="00990D3B" w:rsidR="00277D4D">
        <w:t> </w:t>
      </w:r>
      <w:r w:rsidRPr="00990D3B">
        <w:t>processes.</w:t>
      </w:r>
    </w:p>
    <w:p w:rsidR="00112139" w:rsidRPr="00990D3B" w:rsidP="00BD1FC3" w14:paraId="059FC0EF" w14:textId="77777777">
      <w:pPr>
        <w:pStyle w:val="Paragraph0"/>
      </w:pPr>
      <w:r w:rsidRPr="00990D3B">
        <w:t xml:space="preserve">The EQRO should also determine, through review of existing documentation or in consultation with the MCP, whether certain diagnosis or procedure codes required for performance measurement are not accurately or completely captured in the claims and encounter data systems, such as maternity or dental care, behavioral health care, and preventive care services. </w:t>
      </w:r>
    </w:p>
    <w:p w:rsidR="00112139" w:rsidRPr="00990D3B" w:rsidP="00BD1FC3" w14:paraId="5CB93DC8" w14:textId="4AC3C55F">
      <w:pPr>
        <w:pStyle w:val="H5Lower"/>
      </w:pPr>
      <w:r w:rsidRPr="00990D3B">
        <w:t>Medical Record Data</w:t>
      </w:r>
    </w:p>
    <w:p w:rsidR="00112139" w:rsidRPr="00990D3B" w:rsidP="004F7010" w14:paraId="4983FAE5" w14:textId="77777777">
      <w:pPr>
        <w:pStyle w:val="ParagraphContinued"/>
      </w:pPr>
      <w:r w:rsidRPr="00990D3B">
        <w:t xml:space="preserve">The EQRO should use medical record data to review: </w:t>
      </w:r>
    </w:p>
    <w:p w:rsidR="00112139" w:rsidRPr="00990D3B" w:rsidP="00FB7CAF" w14:paraId="673D09D7" w14:textId="0AC35AA9">
      <w:pPr>
        <w:pStyle w:val="EQRBulletBLUE"/>
      </w:pPr>
      <w:r w:rsidRPr="00990D3B">
        <w:t>Methods used to retrieve information from medical records</w:t>
      </w:r>
      <w:r w:rsidRPr="00990D3B" w:rsidR="003B5E7D">
        <w:t>.</w:t>
      </w:r>
    </w:p>
    <w:p w:rsidR="00FB7879" w:rsidRPr="00990D3B" w:rsidP="00FB7CAF" w14:paraId="001D00C7" w14:textId="7FA20A54">
      <w:pPr>
        <w:pStyle w:val="EQRBulletBLUE"/>
      </w:pPr>
      <w:r w:rsidRPr="00990D3B">
        <w:t>Training and tools that medical record review staff receive</w:t>
      </w:r>
      <w:r w:rsidRPr="00990D3B" w:rsidR="003B5E7D">
        <w:t>.</w:t>
      </w:r>
    </w:p>
    <w:p w:rsidR="00112139" w:rsidRPr="00990D3B" w:rsidP="00FB7CAF" w14:paraId="0586DB76" w14:textId="6C230947">
      <w:pPr>
        <w:pStyle w:val="EQRBulletBLUE"/>
      </w:pPr>
      <w:r w:rsidRPr="00990D3B">
        <w:t>Processes used to ensure accurate data retrieval, inter-rater reliability, and data entry into a database used to produce performance measures</w:t>
      </w:r>
      <w:r w:rsidRPr="00990D3B" w:rsidR="003B5E7D">
        <w:t>.</w:t>
      </w:r>
    </w:p>
    <w:p w:rsidR="00112139" w:rsidRPr="00990D3B" w:rsidP="00BD1FC3" w14:paraId="219DFF6E" w14:textId="120467E6">
      <w:pPr>
        <w:pStyle w:val="ParagraphContinued"/>
      </w:pPr>
      <w:r w:rsidRPr="00990D3B">
        <w:t>With increasing adoption of EHRs and state use of Health Information Exchanges</w:t>
      </w:r>
      <w:r w:rsidRPr="00990D3B" w:rsidR="00851970">
        <w:t xml:space="preserve"> (HIEs)</w:t>
      </w:r>
      <w:r w:rsidRPr="00990D3B">
        <w:t>, MCPs and provider practices may use newer methods to extract information from the medical record. As noted earlier, the EQRO should assess how electronic records are used in performance measure calculation and whether there are any special considerations in the validity and reliability of these records for accurate measurement.</w:t>
      </w:r>
    </w:p>
    <w:p w:rsidR="00112139" w:rsidRPr="00990D3B" w:rsidP="00BD1FC3" w14:paraId="455CF654" w14:textId="3175ACB2">
      <w:pPr>
        <w:pStyle w:val="H5Lower"/>
      </w:pPr>
      <w:r w:rsidRPr="00990D3B">
        <w:t>Pharmacy, Laboratory, and Other Ancillary Data</w:t>
      </w:r>
    </w:p>
    <w:p w:rsidR="00112139" w:rsidRPr="00990D3B" w:rsidP="00D7596D" w14:paraId="1A62C66A" w14:textId="2DA50A12">
      <w:pPr>
        <w:pStyle w:val="ParagraphContinued"/>
      </w:pPr>
      <w:r w:rsidRPr="00990D3B">
        <w:t>Pharmacy data use standardized codes for prescription drugs such as those promulgated by the National Council for Prescription Drug Programs (NCPDP)</w:t>
      </w:r>
      <w:r w:rsidRPr="00990D3B" w:rsidR="003162DF">
        <w:rPr>
          <w:rFonts w:ascii="ZWAdobeF" w:hAnsi="ZWAdobeF" w:cs="ZWAdobeF"/>
          <w:sz w:val="2"/>
          <w:szCs w:val="2"/>
        </w:rPr>
        <w:t>47F</w:t>
      </w:r>
      <w:r>
        <w:rPr>
          <w:rStyle w:val="FootnoteReference"/>
        </w:rPr>
        <w:footnoteReference w:id="53"/>
      </w:r>
      <w:r w:rsidRPr="00990D3B">
        <w:t xml:space="preserve"> Laboratory services frequently use a similar, nationally recognized system of coding (known as LOINC®).</w:t>
      </w:r>
      <w:r w:rsidRPr="00990D3B" w:rsidR="003162DF">
        <w:rPr>
          <w:rFonts w:ascii="ZWAdobeF" w:hAnsi="ZWAdobeF" w:cs="ZWAdobeF"/>
          <w:sz w:val="2"/>
          <w:szCs w:val="2"/>
        </w:rPr>
        <w:t>48F</w:t>
      </w:r>
      <w:r>
        <w:rPr>
          <w:rStyle w:val="FootnoteReference"/>
        </w:rPr>
        <w:footnoteReference w:id="54"/>
      </w:r>
    </w:p>
    <w:p w:rsidR="00112139" w:rsidRPr="00990D3B" w:rsidP="00BD1FC3" w14:paraId="5A629870" w14:textId="157D854C">
      <w:pPr>
        <w:pStyle w:val="Paragraph0"/>
      </w:pPr>
      <w:r w:rsidRPr="00990D3B">
        <w:t xml:space="preserve">Due to the diversity in the size, type, and ownership of </w:t>
      </w:r>
      <w:r w:rsidRPr="00990D3B" w:rsidR="007D790E">
        <w:t>pharmacies, laboratories</w:t>
      </w:r>
      <w:r w:rsidRPr="00990D3B">
        <w:t>, and other ancillary providers, non-standard codes should be examined. When found, the EQRO should assess the MCP’s system for cross-walking these codes to store the necessary information in its performance measure database. The EQRO should understand the MCP’s mapping system of non-standard codes to standardized codes and the mechanism used to ensure the accuracy of these translation processes.</w:t>
      </w:r>
    </w:p>
    <w:p w:rsidR="00112139" w:rsidRPr="00990D3B" w:rsidP="00BD1FC3" w14:paraId="137EE8EA" w14:textId="20010579">
      <w:pPr>
        <w:pStyle w:val="Paragraph0"/>
      </w:pPr>
      <w:r w:rsidRPr="00990D3B">
        <w:t xml:space="preserve">If the MCP does not collect pharmacy, laboratory, or other ancillary data through an administrative or claims database, it may retrieve these data from medical records. However, medical records </w:t>
      </w:r>
      <w:r w:rsidRPr="00990D3B" w:rsidR="007D790E">
        <w:t>are often unreliable</w:t>
      </w:r>
      <w:r w:rsidRPr="00990D3B">
        <w:t xml:space="preserve"> due to non-standard coding and terminology, poor coordination of records, and insufficient record linkages between primary care and specialist providers. These issues should be addressed during the claims/encounter data review and the medical record review and, if necessary, reflected on any corrective action plan.</w:t>
      </w:r>
    </w:p>
    <w:p w:rsidR="00112139" w:rsidRPr="00990D3B" w:rsidP="00BD1FC3" w14:paraId="06BA25E3" w14:textId="1F75DBFF">
      <w:pPr>
        <w:pStyle w:val="Paragraph0"/>
      </w:pPr>
      <w:r w:rsidRPr="00990D3B">
        <w:t xml:space="preserve">The EQRO must assess the ability of the information system to link these different </w:t>
      </w:r>
      <w:r w:rsidRPr="00990D3B" w:rsidR="007D790E">
        <w:t>data sources</w:t>
      </w:r>
      <w:r w:rsidRPr="00990D3B">
        <w:t xml:space="preserve">. For example, to identify enrollees with diabetes, </w:t>
      </w:r>
      <w:r w:rsidRPr="00990D3B" w:rsidR="007D790E">
        <w:t>an</w:t>
      </w:r>
      <w:r w:rsidRPr="00990D3B">
        <w:t xml:space="preserve"> MCP may need to combine diagnosis code data from inpatient or ambulatory encounters (not all ongoing conditions are reported at every encounter) with pharmacy data, lab data, and/or a disease registry</w:t>
      </w:r>
      <w:r w:rsidRPr="00990D3B" w:rsidR="00032513">
        <w:t>,</w:t>
      </w:r>
      <w:r w:rsidRPr="00990D3B" w:rsidR="006E31CC">
        <w:t xml:space="preserve"> an MCP’s disease management </w:t>
      </w:r>
      <w:r w:rsidRPr="00990D3B" w:rsidR="00032513">
        <w:t xml:space="preserve">system, </w:t>
      </w:r>
      <w:r w:rsidRPr="00990D3B" w:rsidR="006E31CC">
        <w:t>or</w:t>
      </w:r>
      <w:r w:rsidRPr="00990D3B" w:rsidR="00032513">
        <w:t xml:space="preserve"> a</w:t>
      </w:r>
      <w:r w:rsidRPr="00990D3B" w:rsidR="006E31CC">
        <w:t xml:space="preserve"> medical management system used by MCP staff, </w:t>
      </w:r>
      <w:r w:rsidRPr="00990D3B">
        <w:t>if one exists. Thus, to determine whether enrollees with diabetes have received a retinal examination from an ophthalmologist or optometrist within the previous year, the MCP would have to link diagnosis and procedure code data from encounter forms, medical records, and/or claims data with information about the specialty of the providers that performed the examinations for these</w:t>
      </w:r>
      <w:r w:rsidRPr="00990D3B" w:rsidR="00277D4D">
        <w:t> </w:t>
      </w:r>
      <w:r w:rsidRPr="00990D3B" w:rsidR="00727834">
        <w:t>enrollees</w:t>
      </w:r>
      <w:r w:rsidRPr="00990D3B">
        <w:t>.</w:t>
      </w:r>
    </w:p>
    <w:p w:rsidR="00112139" w:rsidRPr="00990D3B" w:rsidP="00BD1FC3" w14:paraId="2E4C36E1" w14:textId="0A6EEDD4">
      <w:pPr>
        <w:pStyle w:val="H5Lower"/>
      </w:pPr>
      <w:r w:rsidRPr="00990D3B">
        <w:t>Synthesis of Findings</w:t>
      </w:r>
    </w:p>
    <w:p w:rsidR="00112139" w:rsidRPr="00990D3B" w:rsidP="004B141C" w14:paraId="3CE21F2B" w14:textId="3D34B924">
      <w:pPr>
        <w:pStyle w:val="ParagraphContinued"/>
      </w:pPr>
      <w:r w:rsidRPr="00990D3B">
        <w:t xml:space="preserve">The EQRO will review the findings from the ISCA across each of the data systems and types. The EQRO should note any problem areas related to the adequacy of the MCP’s data systems to calculate and report the required performance measures. Where a response is incomplete, indicates an inadequate process, or requires clarification, the EQRO should flag the issue for follow-up and further review during the site </w:t>
      </w:r>
      <w:r w:rsidRPr="00990D3B" w:rsidR="00E0729D">
        <w:t>visit</w:t>
      </w:r>
      <w:r w:rsidRPr="00990D3B">
        <w:t xml:space="preserve">. </w:t>
      </w:r>
    </w:p>
    <w:p w:rsidR="00FC3335" w:rsidRPr="00990D3B" w:rsidP="00BD1FC3" w14:paraId="37197E8D" w14:textId="77777777">
      <w:pPr>
        <w:pStyle w:val="H3"/>
      </w:pPr>
      <w:bookmarkStart w:id="249" w:name="P2A1Step3"/>
      <w:bookmarkEnd w:id="249"/>
      <w:r w:rsidRPr="00990D3B">
        <w:t>Step 3: Conduct Detailed Review of Measures</w:t>
      </w:r>
    </w:p>
    <w:p w:rsidR="00112139" w:rsidRPr="00990D3B" w:rsidP="004B141C" w14:paraId="74492310" w14:textId="42ACF781">
      <w:pPr>
        <w:pStyle w:val="ParagraphContinued"/>
      </w:pPr>
      <w:r w:rsidRPr="00990D3B">
        <w:rPr>
          <w:noProof/>
        </w:rPr>
        <mc:AlternateContent>
          <mc:Choice Requires="wps">
            <w:drawing>
              <wp:anchor distT="0" distB="0" distL="114300" distR="114300" simplePos="0" relativeHeight="251760640" behindDoc="0" locked="0" layoutInCell="1" allowOverlap="1">
                <wp:simplePos x="0" y="0"/>
                <wp:positionH relativeFrom="column">
                  <wp:posOffset>3709983</wp:posOffset>
                </wp:positionH>
                <wp:positionV relativeFrom="paragraph">
                  <wp:posOffset>80645</wp:posOffset>
                </wp:positionV>
                <wp:extent cx="2193925" cy="297180"/>
                <wp:effectExtent l="19050" t="19050" r="15875" b="26670"/>
                <wp:wrapTight wrapText="bothSides">
                  <wp:wrapPolygon>
                    <wp:start x="21788" y="22985"/>
                    <wp:lineTo x="21788" y="-554"/>
                    <wp:lineTo x="31" y="-554"/>
                    <wp:lineTo x="31" y="22985"/>
                    <wp:lineTo x="21788" y="22985"/>
                  </wp:wrapPolygon>
                </wp:wrapTight>
                <wp:docPr id="2143900021" name="Text Box 18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180"/>
                        </a:xfrm>
                        <a:prstGeom prst="rect">
                          <a:avLst/>
                        </a:prstGeom>
                        <a:solidFill>
                          <a:srgbClr val="EEF5F8"/>
                        </a:solidFill>
                        <a:ln w="28575" cap="rnd">
                          <a:solidFill>
                            <a:srgbClr val="A5DAD9"/>
                          </a:solidFill>
                          <a:prstDash val="solid"/>
                          <a:miter lim="800000"/>
                          <a:headEnd/>
                          <a:tailEnd/>
                        </a:ln>
                      </wps:spPr>
                      <wps:txbx>
                        <w:txbxContent>
                          <w:p w:rsidR="00ED33C3" w:rsidRPr="0090682E" w:rsidP="00CB297D" w14:textId="68000944">
                            <w:pPr>
                              <w:pStyle w:val="EQRWORKSHEETText"/>
                              <w:rPr>
                                <w:spacing w:val="-2"/>
                              </w:rPr>
                            </w:pPr>
                            <w:hyperlink w:anchor="WSp2n2" w:tooltip="WORKSHEET 2.2" w:history="1">
                              <w:r>
                                <w:rPr>
                                  <w:rStyle w:val="Hyperlink"/>
                                  <w:color w:val="006981"/>
                                </w:rPr>
                                <w:t>WORKSHEET 2.2</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5" o:spid="_x0000_s1086" type="#_x0000_t202" style="width:172.75pt;height:23.4pt;margin-top:6.35pt;margin-left:292.1pt;flip:y;mso-height-percent:0;mso-height-relative:page;mso-width-percent:0;mso-width-relative:page;mso-wrap-distance-bottom:0;mso-wrap-distance-left:9pt;mso-wrap-distance-right:9pt;mso-wrap-distance-top:0;mso-wrap-style:square;position:absolute;rotation:180;visibility:visible;v-text-anchor:top;z-index:251761664" fillcolor="#eef5f8" strokecolor="#a5dad9" strokeweight="2.25pt">
                <v:stroke endcap="round"/>
                <v:textbox style="mso-fit-shape-to-text:t" inset="8.64pt,,8.64pt">
                  <w:txbxContent>
                    <w:p w:rsidR="00ED33C3" w:rsidRPr="0090682E" w:rsidP="00CB297D" w14:paraId="78A82C15" w14:textId="68000944">
                      <w:pPr>
                        <w:pStyle w:val="EQRWORKSHEETText"/>
                        <w:rPr>
                          <w:spacing w:val="-2"/>
                        </w:rPr>
                      </w:pPr>
                      <w:hyperlink w:anchor="WSp2n2" w:tooltip="WORKSHEET 2.2" w:history="1">
                        <w:r>
                          <w:rPr>
                            <w:rStyle w:val="Hyperlink"/>
                            <w:color w:val="006981"/>
                          </w:rPr>
                          <w:t>WORKSHEET 2.2</w:t>
                        </w:r>
                      </w:hyperlink>
                    </w:p>
                  </w:txbxContent>
                </v:textbox>
                <w10:wrap type="tight"/>
              </v:shape>
            </w:pict>
          </mc:Fallback>
        </mc:AlternateContent>
      </w:r>
      <w:r w:rsidRPr="00990D3B">
        <w:rPr>
          <w:noProof/>
        </w:rPr>
        <mc:AlternateContent>
          <mc:Choice Requires="wps">
            <w:drawing>
              <wp:anchor distT="0" distB="0" distL="114300" distR="114300" simplePos="0" relativeHeight="251758592" behindDoc="0" locked="0" layoutInCell="1" allowOverlap="1">
                <wp:simplePos x="0" y="0"/>
                <wp:positionH relativeFrom="column">
                  <wp:posOffset>3697605</wp:posOffset>
                </wp:positionH>
                <wp:positionV relativeFrom="paragraph">
                  <wp:posOffset>437515</wp:posOffset>
                </wp:positionV>
                <wp:extent cx="2194560" cy="3738880"/>
                <wp:effectExtent l="19050" t="19050" r="15240" b="13970"/>
                <wp:wrapTight wrapText="bothSides">
                  <wp:wrapPolygon>
                    <wp:start x="21788" y="21710"/>
                    <wp:lineTo x="21788" y="29"/>
                    <wp:lineTo x="38" y="29"/>
                    <wp:lineTo x="38" y="21710"/>
                    <wp:lineTo x="21788" y="21710"/>
                  </wp:wrapPolygon>
                </wp:wrapTight>
                <wp:docPr id="579564480" name="Text Box 18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3738880"/>
                        </a:xfrm>
                        <a:prstGeom prst="rect">
                          <a:avLst/>
                        </a:prstGeom>
                        <a:solidFill>
                          <a:srgbClr val="EEF5F8"/>
                        </a:solidFill>
                        <a:ln w="28575" cap="rnd">
                          <a:solidFill>
                            <a:srgbClr val="A5DAD9"/>
                          </a:solidFill>
                          <a:prstDash val="solid"/>
                          <a:miter lim="800000"/>
                          <a:headEnd/>
                          <a:tailEnd/>
                        </a:ln>
                      </wps:spPr>
                      <wps:txbx>
                        <w:txbxContent>
                          <w:p w:rsidR="00ED33C3" w:rsidRPr="00CB297D" w:rsidP="00CB297D" w14:textId="580F6D67">
                            <w:pPr>
                              <w:pStyle w:val="EQRTextboxheading"/>
                            </w:pPr>
                            <w:r w:rsidRPr="00CB297D">
                              <w:t>Resource for Detailed Review of Measures</w:t>
                            </w:r>
                          </w:p>
                          <w:p w:rsidR="00ED33C3" w:rsidRPr="00CB297D" w:rsidP="00CB297D" w14:textId="77777777">
                            <w:pPr>
                              <w:pStyle w:val="EQRTextboxbody"/>
                            </w:pPr>
                            <w:r w:rsidRPr="00CB297D">
                              <w:t>A detailed review of each measure includes the following:</w:t>
                            </w:r>
                          </w:p>
                          <w:p w:rsidR="00ED33C3" w:rsidRPr="00CB297D" w:rsidP="00CB297D" w14:textId="77777777">
                            <w:pPr>
                              <w:pStyle w:val="EQRTextboxbullet"/>
                            </w:pPr>
                            <w:r w:rsidRPr="00CB297D">
                              <w:t>Source code for the measure</w:t>
                            </w:r>
                          </w:p>
                          <w:p w:rsidR="00ED33C3" w:rsidRPr="00CB297D" w:rsidP="00CB297D" w14:textId="77777777">
                            <w:pPr>
                              <w:pStyle w:val="EQRTextboxbullet"/>
                            </w:pPr>
                            <w:r w:rsidRPr="00CB297D">
                              <w:t>Data mapping, if applicable</w:t>
                            </w:r>
                          </w:p>
                          <w:p w:rsidR="00ED33C3" w:rsidRPr="00CB297D" w:rsidP="00CB297D" w14:textId="77777777">
                            <w:pPr>
                              <w:pStyle w:val="EQRTextboxbullet"/>
                            </w:pPr>
                            <w:r w:rsidRPr="00CB297D">
                              <w:t>Measure workflow</w:t>
                            </w:r>
                          </w:p>
                          <w:p w:rsidR="00ED33C3" w:rsidRPr="00CB297D" w:rsidP="00CB297D" w14:textId="77777777">
                            <w:pPr>
                              <w:pStyle w:val="EQRTextboxbullet"/>
                            </w:pPr>
                            <w:r w:rsidRPr="00CB297D">
                              <w:t>Data output at each stage of the measure calculation</w:t>
                            </w:r>
                          </w:p>
                          <w:p w:rsidR="00ED33C3" w:rsidRPr="00CB297D" w:rsidP="00CB297D" w14:textId="77777777">
                            <w:pPr>
                              <w:pStyle w:val="EQRTextboxbullet"/>
                            </w:pPr>
                            <w:r w:rsidRPr="00CB297D">
                              <w:t>Record-level numerator and denominator data</w:t>
                            </w:r>
                          </w:p>
                          <w:p w:rsidR="00ED33C3" w:rsidRPr="004F6BE0" w:rsidP="00CB297D" w14:textId="64146EFD">
                            <w:pPr>
                              <w:pStyle w:val="EQRTextboxbody"/>
                              <w:suppressOverlap/>
                            </w:pPr>
                            <w:hyperlink w:anchor="WSp2n2" w:tooltip="Worksheet 2.2. Performance Measure Validation Template" w:history="1">
                              <w:r w:rsidRPr="004F6BE0">
                                <w:rPr>
                                  <w:rStyle w:val="Hyperlink"/>
                                </w:rPr>
                                <w:t>Worksheet 2.2. Performance Measure Validation Template</w:t>
                              </w:r>
                            </w:hyperlink>
                          </w:p>
                          <w:p w:rsidR="00ED33C3" w:rsidRPr="0090682E" w:rsidP="00CB297D" w14:textId="317DAD8B">
                            <w:pPr>
                              <w:pStyle w:val="EQRTextboxbullet"/>
                              <w:rPr>
                                <w:spacing w:val="-2"/>
                              </w:rPr>
                            </w:pPr>
                            <w:r w:rsidRPr="00CB297D">
                              <w:t>Provide</w:t>
                            </w:r>
                            <w:r w:rsidR="002C45C0">
                              <w:t>s</w:t>
                            </w:r>
                            <w:r w:rsidRPr="00CB297D">
                              <w:t xml:space="preserve"> a template for documenting audit specifications for the validation components of each performance measure listed in</w:t>
                            </w:r>
                            <w:r w:rsidRPr="000E1F61">
                              <w:t xml:space="preserve"> </w:t>
                            </w:r>
                            <w:hyperlink w:anchor="WSp2n1" w:tooltip="Worksheet 2.1." w:history="1">
                              <w:r w:rsidR="005B492C">
                                <w:rPr>
                                  <w:rStyle w:val="Hyperlink"/>
                                </w:rPr>
                                <w:t>Worksheet 2.1.</w:t>
                              </w:r>
                            </w:hyperlink>
                            <w:r w:rsidRPr="000E1F61">
                              <w:t>,</w:t>
                            </w:r>
                            <w:r w:rsidRPr="00CB297D">
                              <w:t xml:space="preserve"> and to assess the MCP’s measurement and reporting process for each component</w:t>
                            </w:r>
                          </w:p>
                        </w:txbxContent>
                      </wps:txbx>
                      <wps:bodyPr rot="0" vert="horz" wrap="square" lIns="109728" tIns="45720" rIns="109728" bIns="45720" anchor="t" anchorCtr="0" upright="1"/>
                    </wps:wsp>
                  </a:graphicData>
                </a:graphic>
                <wp14:sizeRelH relativeFrom="page">
                  <wp14:pctWidth>0</wp14:pctWidth>
                </wp14:sizeRelH>
                <wp14:sizeRelV relativeFrom="page">
                  <wp14:pctHeight>0</wp14:pctHeight>
                </wp14:sizeRelV>
              </wp:anchor>
            </w:drawing>
          </mc:Choice>
          <mc:Fallback>
            <w:pict>
              <v:shape id="Text Box 186" o:spid="_x0000_s1087" type="#_x0000_t202" style="width:172.8pt;height:294.4pt;margin-top:34.45pt;margin-left:291.15pt;flip:y;mso-height-percent:0;mso-height-relative:page;mso-width-percent:0;mso-width-relative:page;mso-wrap-distance-bottom:0;mso-wrap-distance-left:9pt;mso-wrap-distance-right:9pt;mso-wrap-distance-top:0;mso-wrap-style:square;position:absolute;rotation:180;visibility:visible;v-text-anchor:top;z-index:251759616" fillcolor="#eef5f8" strokecolor="#a5dad9" strokeweight="2.25pt">
                <v:stroke endcap="round"/>
                <v:textbox inset="8.64pt,,8.64pt">
                  <w:txbxContent>
                    <w:p w:rsidR="00ED33C3" w:rsidRPr="00CB297D" w:rsidP="00CB297D" w14:paraId="6E6ACFCE" w14:textId="580F6D67">
                      <w:pPr>
                        <w:pStyle w:val="EQRTextboxheading"/>
                      </w:pPr>
                      <w:r w:rsidRPr="00CB297D">
                        <w:t>Resource for Detailed Review of Measures</w:t>
                      </w:r>
                    </w:p>
                    <w:p w:rsidR="00ED33C3" w:rsidRPr="00CB297D" w:rsidP="00CB297D" w14:paraId="12B3121E" w14:textId="77777777">
                      <w:pPr>
                        <w:pStyle w:val="EQRTextboxbody"/>
                      </w:pPr>
                      <w:r w:rsidRPr="00CB297D">
                        <w:t>A detailed review of each measure includes the following:</w:t>
                      </w:r>
                    </w:p>
                    <w:p w:rsidR="00ED33C3" w:rsidRPr="00CB297D" w:rsidP="00CB297D" w14:paraId="7ACABB2C" w14:textId="77777777">
                      <w:pPr>
                        <w:pStyle w:val="EQRTextboxbullet"/>
                      </w:pPr>
                      <w:r w:rsidRPr="00CB297D">
                        <w:t>Source code for the measure</w:t>
                      </w:r>
                    </w:p>
                    <w:p w:rsidR="00ED33C3" w:rsidRPr="00CB297D" w:rsidP="00CB297D" w14:paraId="4E7B829E" w14:textId="77777777">
                      <w:pPr>
                        <w:pStyle w:val="EQRTextboxbullet"/>
                      </w:pPr>
                      <w:r w:rsidRPr="00CB297D">
                        <w:t>Data mapping, if applicable</w:t>
                      </w:r>
                    </w:p>
                    <w:p w:rsidR="00ED33C3" w:rsidRPr="00CB297D" w:rsidP="00CB297D" w14:paraId="734EB625" w14:textId="77777777">
                      <w:pPr>
                        <w:pStyle w:val="EQRTextboxbullet"/>
                      </w:pPr>
                      <w:r w:rsidRPr="00CB297D">
                        <w:t>Measure workflow</w:t>
                      </w:r>
                    </w:p>
                    <w:p w:rsidR="00ED33C3" w:rsidRPr="00CB297D" w:rsidP="00CB297D" w14:paraId="2DAEA5F9" w14:textId="77777777">
                      <w:pPr>
                        <w:pStyle w:val="EQRTextboxbullet"/>
                      </w:pPr>
                      <w:r w:rsidRPr="00CB297D">
                        <w:t>Data output at each stage of the measure calculation</w:t>
                      </w:r>
                    </w:p>
                    <w:p w:rsidR="00ED33C3" w:rsidRPr="00CB297D" w:rsidP="00CB297D" w14:paraId="2022171A" w14:textId="77777777">
                      <w:pPr>
                        <w:pStyle w:val="EQRTextboxbullet"/>
                      </w:pPr>
                      <w:r w:rsidRPr="00CB297D">
                        <w:t>Record-level numerator and denominator data</w:t>
                      </w:r>
                    </w:p>
                    <w:p w:rsidR="00ED33C3" w:rsidRPr="004F6BE0" w:rsidP="00CB297D" w14:paraId="56DD0B86" w14:textId="64146EFD">
                      <w:pPr>
                        <w:pStyle w:val="EQRTextboxbody"/>
                        <w:suppressOverlap/>
                      </w:pPr>
                      <w:hyperlink w:anchor="WSp2n2" w:tooltip="Worksheet 2.2. Performance Measure Validation Template" w:history="1">
                        <w:r w:rsidRPr="004F6BE0">
                          <w:rPr>
                            <w:rStyle w:val="Hyperlink"/>
                          </w:rPr>
                          <w:t>Worksheet 2.2. Performance Measure Validation Template</w:t>
                        </w:r>
                      </w:hyperlink>
                    </w:p>
                    <w:p w:rsidR="00ED33C3" w:rsidRPr="0090682E" w:rsidP="00CB297D" w14:paraId="060FBA00" w14:textId="317DAD8B">
                      <w:pPr>
                        <w:pStyle w:val="EQRTextboxbullet"/>
                        <w:rPr>
                          <w:spacing w:val="-2"/>
                        </w:rPr>
                      </w:pPr>
                      <w:r w:rsidRPr="00CB297D">
                        <w:t>Provide</w:t>
                      </w:r>
                      <w:r w:rsidR="002C45C0">
                        <w:t>s</w:t>
                      </w:r>
                      <w:r w:rsidRPr="00CB297D">
                        <w:t xml:space="preserve"> a template for documenting audit specifications for the validation components of each performance measure listed in</w:t>
                      </w:r>
                      <w:r w:rsidRPr="000E1F61">
                        <w:t xml:space="preserve"> </w:t>
                      </w:r>
                      <w:hyperlink w:anchor="WSp2n1" w:tooltip="Worksheet 2.1." w:history="1">
                        <w:r w:rsidR="005B492C">
                          <w:rPr>
                            <w:rStyle w:val="Hyperlink"/>
                          </w:rPr>
                          <w:t>Worksheet 2.1.</w:t>
                        </w:r>
                      </w:hyperlink>
                      <w:r w:rsidRPr="000E1F61">
                        <w:t>,</w:t>
                      </w:r>
                      <w:r w:rsidRPr="00CB297D">
                        <w:t xml:space="preserve"> and to assess the MCP’s measurement and reporting process for each component</w:t>
                      </w:r>
                    </w:p>
                  </w:txbxContent>
                </v:textbox>
                <w10:wrap type="tight"/>
              </v:shape>
            </w:pict>
          </mc:Fallback>
        </mc:AlternateContent>
      </w:r>
      <w:r w:rsidRPr="00990D3B" w:rsidR="004C1326">
        <w:t xml:space="preserve">In this step, the EQRO </w:t>
      </w:r>
      <w:r w:rsidRPr="00990D3B" w:rsidR="00112139">
        <w:t>conduct</w:t>
      </w:r>
      <w:r w:rsidRPr="00990D3B" w:rsidR="004C1326">
        <w:t>s</w:t>
      </w:r>
      <w:r w:rsidRPr="00990D3B" w:rsidR="00112139">
        <w:t xml:space="preserve"> a detailed review of measures, incorporating findings from the ISCA. In its detailed review, the EQRO should identify measures most vulnerable to inaccurate results based on its knowledge of the MCP’s data systems and processes. For example, if the MCP uses global billing for maternity care, </w:t>
      </w:r>
      <w:r w:rsidRPr="00990D3B" w:rsidR="00DE7082">
        <w:t xml:space="preserve">the </w:t>
      </w:r>
      <w:r w:rsidRPr="00990D3B" w:rsidR="00112139">
        <w:t>calculation of maternity measures could be affected by the lack of separate claims for prenatal and postpartum</w:t>
      </w:r>
      <w:r w:rsidRPr="00990D3B" w:rsidR="00032513">
        <w:t xml:space="preserve"> care</w:t>
      </w:r>
      <w:r w:rsidRPr="00990D3B" w:rsidR="00112139">
        <w:t xml:space="preserve">, and thus, performance measurement results for such measures could be significantly under-reported. Similarly, the EQRO should identify certain types of claims that may require linkage from other data sources (such as laboratory, behavioral health, or dental) because the necessary codes may not be available for all </w:t>
      </w:r>
      <w:r w:rsidRPr="00990D3B" w:rsidR="00727834">
        <w:t>enrollees</w:t>
      </w:r>
      <w:r w:rsidRPr="00990D3B" w:rsidR="00112139">
        <w:t xml:space="preserve">. </w:t>
      </w:r>
    </w:p>
    <w:p w:rsidR="0071119A" w:rsidRPr="00990D3B" w:rsidP="00BD1FC3" w14:paraId="4D76DC6A" w14:textId="0A7C90C0">
      <w:pPr>
        <w:pStyle w:val="Paragraph0"/>
      </w:pPr>
      <w:r w:rsidRPr="00990D3B">
        <w:t xml:space="preserve">The detailed review of each measure involves a systematic assessment of the code and output to assess adherence to the specifications </w:t>
      </w:r>
      <w:r w:rsidRPr="00990D3B" w:rsidR="00DE7082">
        <w:t>and</w:t>
      </w:r>
      <w:r w:rsidRPr="00990D3B">
        <w:t xml:space="preserve"> the impact of any systems issues on the accuracy and completeness of the data. In addition, the EQRO should pay special attention to </w:t>
      </w:r>
      <w:r w:rsidRPr="00990D3B" w:rsidR="00DE7082">
        <w:t xml:space="preserve">issues </w:t>
      </w:r>
      <w:r w:rsidRPr="00990D3B" w:rsidR="002A37FE">
        <w:t>frequently encountered</w:t>
      </w:r>
      <w:r w:rsidRPr="00990D3B">
        <w:t xml:space="preserve"> in developing its audit specifications based on findings from the ISCA</w:t>
      </w:r>
      <w:r w:rsidRPr="00990D3B" w:rsidR="00EF2F86">
        <w:t>:</w:t>
      </w:r>
      <w:r w:rsidRPr="00990D3B">
        <w:t xml:space="preserve"> </w:t>
      </w:r>
    </w:p>
    <w:p w:rsidR="00112139" w:rsidRPr="00990D3B" w:rsidP="00FB7CAF" w14:paraId="20CB02B0" w14:textId="2D746B8B">
      <w:pPr>
        <w:pStyle w:val="EQRBulletBLUE"/>
      </w:pPr>
      <w:r w:rsidRPr="00990D3B">
        <w:t>Claims</w:t>
      </w:r>
      <w:r w:rsidRPr="00990D3B">
        <w:t>-dependent denominators</w:t>
      </w:r>
      <w:r w:rsidRPr="00990D3B" w:rsidR="0053636E">
        <w:t>.</w:t>
      </w:r>
      <w:r w:rsidRPr="00990D3B">
        <w:t xml:space="preserve"> </w:t>
      </w:r>
    </w:p>
    <w:p w:rsidR="00112139" w:rsidRPr="00990D3B" w:rsidP="00FB7CAF" w14:paraId="2732D522" w14:textId="664E7641">
      <w:pPr>
        <w:pStyle w:val="EQRBulletBLUE"/>
      </w:pPr>
      <w:r w:rsidRPr="00990D3B">
        <w:t>Complex continuous enrollment criteria</w:t>
      </w:r>
      <w:r w:rsidRPr="00990D3B" w:rsidR="0053636E">
        <w:t>.</w:t>
      </w:r>
    </w:p>
    <w:p w:rsidR="00112139" w:rsidRPr="00990D3B" w:rsidP="00FB7CAF" w14:paraId="64273FDB" w14:textId="6B1B95BE">
      <w:pPr>
        <w:pStyle w:val="EQRBulletBLUE"/>
      </w:pPr>
      <w:r w:rsidRPr="00990D3B">
        <w:t>Use of global billing</w:t>
      </w:r>
      <w:r w:rsidRPr="00990D3B" w:rsidR="0053636E">
        <w:t>.</w:t>
      </w:r>
    </w:p>
    <w:p w:rsidR="00112139" w:rsidRPr="00990D3B" w:rsidP="00FB7CAF" w14:paraId="50C9B1D7" w14:textId="1C4C9D13">
      <w:pPr>
        <w:pStyle w:val="EQRBulletBLUE"/>
      </w:pPr>
      <w:r w:rsidRPr="00990D3B">
        <w:t>Identification of live births (including linkage of mother and infant records)</w:t>
      </w:r>
      <w:r w:rsidRPr="00990D3B" w:rsidR="0053636E">
        <w:t>.</w:t>
      </w:r>
    </w:p>
    <w:p w:rsidR="00112139" w:rsidRPr="00990D3B" w:rsidP="00FB7CAF" w14:paraId="64B8538E" w14:textId="2D930E21">
      <w:pPr>
        <w:pStyle w:val="EQRBulletBLUE"/>
      </w:pPr>
      <w:r w:rsidRPr="00990D3B">
        <w:t xml:space="preserve">Procedure codes that are infrequently billed by providers (such as developmental screening, documentation of </w:t>
      </w:r>
      <w:r w:rsidRPr="00990D3B" w:rsidR="005B3F4D">
        <w:t>B</w:t>
      </w:r>
      <w:r w:rsidRPr="00990D3B" w:rsidR="0046704D">
        <w:t xml:space="preserve">ody Mass Index </w:t>
      </w:r>
      <w:r w:rsidRPr="00990D3B" w:rsidR="005B3F4D">
        <w:t>[</w:t>
      </w:r>
      <w:r w:rsidRPr="00990D3B" w:rsidR="0046704D">
        <w:t>B</w:t>
      </w:r>
      <w:r w:rsidRPr="00990D3B">
        <w:t>MI</w:t>
      </w:r>
      <w:r w:rsidRPr="00990D3B" w:rsidR="005B3F4D">
        <w:t>]</w:t>
      </w:r>
      <w:r w:rsidRPr="00990D3B" w:rsidR="009B1E21">
        <w:t>,</w:t>
      </w:r>
      <w:r w:rsidRPr="00990D3B">
        <w:t xml:space="preserve"> or BMI percentile in the medical record)</w:t>
      </w:r>
      <w:r w:rsidRPr="00990D3B" w:rsidR="0053636E">
        <w:t>.</w:t>
      </w:r>
    </w:p>
    <w:p w:rsidR="00112139" w:rsidRPr="00990D3B" w:rsidP="00FB7CAF" w14:paraId="0E6A4F3F" w14:textId="7D91E053">
      <w:pPr>
        <w:pStyle w:val="EQRBulletBLUE"/>
      </w:pPr>
      <w:r w:rsidRPr="00990D3B">
        <w:t>Ability to link claims and pharmacy data</w:t>
      </w:r>
      <w:r w:rsidRPr="00990D3B" w:rsidR="0053636E">
        <w:t>.</w:t>
      </w:r>
    </w:p>
    <w:p w:rsidR="00112139" w:rsidRPr="00990D3B" w:rsidP="00FB7CAF" w14:paraId="1F6EE381" w14:textId="6057D646">
      <w:pPr>
        <w:pStyle w:val="EQRBulletBLUE"/>
      </w:pPr>
      <w:r w:rsidRPr="00990D3B">
        <w:t>Identification of practitioner type (especially mental health providers)</w:t>
      </w:r>
      <w:r w:rsidRPr="00990D3B" w:rsidR="0053636E">
        <w:t>.</w:t>
      </w:r>
    </w:p>
    <w:p w:rsidR="00112139" w:rsidRPr="00990D3B" w:rsidP="00FB7CAF" w14:paraId="7C1A8781" w14:textId="24C41AAA">
      <w:pPr>
        <w:pStyle w:val="EQRBulletBLUE"/>
      </w:pPr>
      <w:r w:rsidRPr="00990D3B">
        <w:t>Multiple numerator events</w:t>
      </w:r>
      <w:r w:rsidRPr="00990D3B" w:rsidR="0053636E">
        <w:t>.</w:t>
      </w:r>
      <w:r w:rsidRPr="00990D3B">
        <w:t xml:space="preserve"> </w:t>
      </w:r>
    </w:p>
    <w:p w:rsidR="00112139" w:rsidRPr="00990D3B" w:rsidP="00FB7CAF" w14:paraId="20CD502F" w14:textId="32C5F92E">
      <w:pPr>
        <w:pStyle w:val="EQRBulletBLUE"/>
      </w:pPr>
      <w:r w:rsidRPr="00990D3B">
        <w:t>Vendor-supplied data</w:t>
      </w:r>
      <w:r w:rsidRPr="00990D3B" w:rsidR="0053636E">
        <w:t>.</w:t>
      </w:r>
    </w:p>
    <w:p w:rsidR="00112139" w:rsidRPr="00990D3B" w:rsidP="00BD1FC3" w14:paraId="7F89D956" w14:textId="145A4FF1">
      <w:pPr>
        <w:pStyle w:val="ParagraphContinued"/>
      </w:pPr>
      <w:r w:rsidRPr="00990D3B">
        <w:t xml:space="preserve">During the detailed measure review, the EQRO should develop targeted audit specifications for each measure to account for potential systems issues. The EQRO should record its audit specifications and interim findings on </w:t>
      </w:r>
      <w:hyperlink w:anchor="WSp2n2" w:tooltip="Worksheet 2.2" w:history="1">
        <w:r w:rsidRPr="00990D3B">
          <w:rPr>
            <w:rStyle w:val="Hyperlink"/>
          </w:rPr>
          <w:t>Worksheet 2.2</w:t>
        </w:r>
      </w:hyperlink>
      <w:r w:rsidRPr="00990D3B" w:rsidR="00FC3335">
        <w:t xml:space="preserve"> or a similar worksheet.</w:t>
      </w:r>
      <w:r w:rsidRPr="00990D3B" w:rsidR="00085700">
        <w:t xml:space="preserve"> </w:t>
      </w:r>
      <w:hyperlink w:anchor="Box2n2" w:tooltip="Box 2.2" w:history="1">
        <w:r w:rsidRPr="00990D3B" w:rsidR="007E604E">
          <w:rPr>
            <w:rStyle w:val="Hyperlink"/>
          </w:rPr>
          <w:t>Box 2.2</w:t>
        </w:r>
      </w:hyperlink>
      <w:r w:rsidRPr="00990D3B" w:rsidR="00085700">
        <w:t xml:space="preserve"> provides additional information on </w:t>
      </w:r>
      <w:r w:rsidRPr="00990D3B" w:rsidR="00DE7082">
        <w:t>validating</w:t>
      </w:r>
      <w:r w:rsidRPr="00990D3B" w:rsidR="00C366C9">
        <w:t xml:space="preserve"> </w:t>
      </w:r>
      <w:r w:rsidRPr="00990D3B" w:rsidR="00085700">
        <w:t xml:space="preserve">HEDIS® measures </w:t>
      </w:r>
      <w:r w:rsidRPr="00990D3B" w:rsidR="00C366C9">
        <w:t>calculated with</w:t>
      </w:r>
      <w:r w:rsidRPr="00990D3B" w:rsidR="00085700">
        <w:t xml:space="preserve"> HEDIS®-certified</w:t>
      </w:r>
      <w:r w:rsidRPr="00990D3B" w:rsidR="004B141C">
        <w:t> </w:t>
      </w:r>
      <w:r w:rsidRPr="00990D3B" w:rsidR="00085700">
        <w:t>software.</w:t>
      </w:r>
      <w:r w:rsidRPr="00990D3B" w:rsidR="00B64D16">
        <w:t xml:space="preserve"> </w:t>
      </w:r>
    </w:p>
    <w:p w:rsidR="00AD06FB" w:rsidRPr="00990D3B" w:rsidP="00BD1FC3" w14:paraId="16609570" w14:textId="5FC127F9">
      <w:pPr>
        <w:pStyle w:val="Paragraph0"/>
      </w:pPr>
      <w:r w:rsidRPr="00990D3B">
        <w:rPr>
          <w:noProof/>
        </w:rPr>
        <mc:AlternateContent>
          <mc:Choice Requires="wps">
            <w:drawing>
              <wp:inline distT="0" distB="0" distL="0" distR="0">
                <wp:extent cx="5897880" cy="3767947"/>
                <wp:effectExtent l="19050" t="19050" r="26670" b="23495"/>
                <wp:docPr id="29406558" name="Text Box 18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897880" cy="3767947"/>
                        </a:xfrm>
                        <a:prstGeom prst="rect">
                          <a:avLst/>
                        </a:prstGeom>
                        <a:solidFill>
                          <a:srgbClr val="EEF5F8"/>
                        </a:solidFill>
                        <a:ln w="28575" cap="rnd">
                          <a:solidFill>
                            <a:srgbClr val="A5DAD9"/>
                          </a:solidFill>
                          <a:prstDash val="solid"/>
                          <a:miter lim="800000"/>
                          <a:headEnd/>
                          <a:tailEnd/>
                        </a:ln>
                      </wps:spPr>
                      <wps:txbx>
                        <w:txbxContent>
                          <w:p w:rsidR="00ED33C3" w:rsidP="00AD06FB" w14:textId="7FB06CCF">
                            <w:pPr>
                              <w:pStyle w:val="EQRTextboxheading"/>
                            </w:pPr>
                            <w:bookmarkStart w:id="250" w:name="Box2n2"/>
                            <w:r w:rsidRPr="00363ED3">
                              <w:t xml:space="preserve">Box </w:t>
                            </w:r>
                            <w:r w:rsidRPr="00AE4319">
                              <w:t>2.</w:t>
                            </w:r>
                            <w:r w:rsidRPr="00AE4319" w:rsidR="008F75C7">
                              <w:t>2</w:t>
                            </w:r>
                            <w:bookmarkEnd w:id="250"/>
                            <w:r w:rsidRPr="00363ED3">
                              <w:t>. Review of HEDIS® Measures Calculated with HEDIS®-certified Software</w:t>
                            </w:r>
                          </w:p>
                          <w:p w:rsidR="00ED33C3" w:rsidP="00BF3758" w14:textId="7FD610CB">
                            <w:pPr>
                              <w:pStyle w:val="EQRTextboxbody"/>
                            </w:pPr>
                            <w:r>
                              <w:t xml:space="preserve">If the state requires HEDIS® measures and the MCP used HEDIS®-certified software to calculate the measures, the EQRO does not need to review source code for those measures. However, the EQRO is required to verify that the measures were calculated as specified by the software and that systems issues did not compromise the accuracy and completeness of the performance measures. As an example, when an MCP pays for prenatal and postpartum care as part of a bundled maternity care payment, HEDIS® measures may be calculated according to the </w:t>
                            </w:r>
                            <w:r>
                              <w:t>specifications</w:t>
                            </w:r>
                            <w:r>
                              <w:t xml:space="preserve"> but the rates may be significantly under-reported using administrative data due to the lack of separate claims for prenatal and postpartum care. </w:t>
                            </w:r>
                            <w:r w:rsidRPr="006B6779">
                              <w:t xml:space="preserve">Thus, the EQRO is required to review and validate the accuracy and completeness of HEDIS® measures based on findings from the ISCA. </w:t>
                            </w:r>
                            <w:r w:rsidRPr="006B6779" w:rsidR="008F75C7">
                              <w:t>The EQRO should also share the validation findings and performance rates for these measures in the EQR technical report.</w:t>
                            </w:r>
                            <w:r w:rsidR="008F75C7">
                              <w:t xml:space="preserve"> </w:t>
                            </w:r>
                          </w:p>
                          <w:p w:rsidR="00B63282" w:rsidRPr="00B63282" w:rsidP="00B63282" w14:textId="77777777">
                            <w:pPr>
                              <w:pStyle w:val="EQRTextboxbody"/>
                            </w:pPr>
                            <w:r w:rsidRPr="00B63282">
                              <w:t>Some performance measures requiring medical record review (i.e., hybrid measures) are audited by an NCQA-certified HEDIS Compliance Auditor. When a hybrid measure has undergone such an audit and the state has received the final audit report and attestation, the EQRO is not required to independently revalidate the medical record review results under Activity 2, Step 4. In these circumstances:</w:t>
                            </w:r>
                          </w:p>
                          <w:p w:rsidR="00B63282" w:rsidRPr="00B63282" w:rsidP="00B63282" w14:textId="77777777">
                            <w:pPr>
                              <w:pStyle w:val="EQRTextboxbullet"/>
                            </w:pPr>
                            <w:r w:rsidRPr="00B63282">
                              <w:rPr>
                                <w:b/>
                                <w:bCs/>
                              </w:rPr>
                              <w:t>The state must provide documentation</w:t>
                            </w:r>
                            <w:r w:rsidRPr="00B63282">
                              <w:t>. The state must provide the EQRO with the final audit report, attestation, and any related findings or corrective action documentation.</w:t>
                            </w:r>
                          </w:p>
                          <w:p w:rsidR="00B63282" w:rsidRPr="00B63282" w:rsidP="00B63282" w14:textId="34C6E316">
                            <w:pPr>
                              <w:pStyle w:val="EQRTextboxbullet"/>
                            </w:pPr>
                            <w:r w:rsidRPr="00B63282">
                              <w:rPr>
                                <w:b/>
                                <w:bCs/>
                              </w:rPr>
                              <w:t xml:space="preserve">The EQRO </w:t>
                            </w:r>
                            <w:r w:rsidR="000E21D6">
                              <w:rPr>
                                <w:b/>
                                <w:bCs/>
                              </w:rPr>
                              <w:t xml:space="preserve">must </w:t>
                            </w:r>
                            <w:r w:rsidRPr="00B63282">
                              <w:rPr>
                                <w:b/>
                                <w:bCs/>
                              </w:rPr>
                              <w:t>incorporate audit results into the EQR technical report.</w:t>
                            </w:r>
                            <w:r w:rsidRPr="00B63282">
                              <w:t xml:space="preserve"> The EQRO must review these materials and describe in the EQR technical report how the audit informed its validation conclusions, including any noted limitations.</w:t>
                            </w:r>
                          </w:p>
                          <w:p w:rsidR="00B63282" w:rsidRPr="00B63282" w:rsidP="00B63282" w14:textId="77777777">
                            <w:pPr>
                              <w:pStyle w:val="EQRTextboxbullet"/>
                            </w:pPr>
                            <w:r w:rsidRPr="00B63282">
                              <w:rPr>
                                <w:b/>
                                <w:bCs/>
                              </w:rPr>
                              <w:t>The EQRO must identify audited measures.</w:t>
                            </w:r>
                            <w:r w:rsidRPr="00B63282">
                              <w:t xml:space="preserve"> The EQR technical report must clearly indicate the measures subject to NCQA-certified audit.</w:t>
                            </w:r>
                          </w:p>
                          <w:p w:rsidR="00CD2E15" w:rsidRPr="002A37FE" w:rsidP="00B63282" w14:textId="7E4961E3">
                            <w:pPr>
                              <w:pStyle w:val="EQRTextboxbody"/>
                              <w:rPr>
                                <w:highlight w:val="yellow"/>
                              </w:rPr>
                            </w:pPr>
                          </w:p>
                        </w:txbxContent>
                      </wps:txbx>
                      <wps:bodyPr rot="0" vert="horz" wrap="square" lIns="109728" tIns="45720" rIns="109728" bIns="45720" anchor="t" anchorCtr="0" upright="1"/>
                    </wps:wsp>
                  </a:graphicData>
                </a:graphic>
              </wp:inline>
            </w:drawing>
          </mc:Choice>
          <mc:Fallback>
            <w:pict>
              <v:shape id="Text Box 184" o:spid="_x0000_i1088" type="#_x0000_t202" style="width:464.4pt;height:296.7pt;flip:y;mso-left-percent:-10001;mso-position-horizontal-relative:char;mso-position-vertical-relative:line;mso-top-percent:-10001;mso-wrap-style:square;rotation:180;visibility:visible;v-text-anchor:top" fillcolor="#eef5f8" strokecolor="#a5dad9" strokeweight="2.25pt">
                <v:stroke endcap="round"/>
                <v:textbox inset="8.64pt,,8.64pt">
                  <w:txbxContent>
                    <w:p w:rsidR="00ED33C3" w:rsidP="00AD06FB" w14:paraId="10567DDE" w14:textId="7FB06CCF">
                      <w:pPr>
                        <w:pStyle w:val="EQRTextboxheading"/>
                      </w:pPr>
                      <w:bookmarkStart w:id="250" w:name="Box2n2"/>
                      <w:r w:rsidRPr="00363ED3">
                        <w:t xml:space="preserve">Box </w:t>
                      </w:r>
                      <w:r w:rsidRPr="00AE4319">
                        <w:t>2.</w:t>
                      </w:r>
                      <w:r w:rsidRPr="00AE4319" w:rsidR="008F75C7">
                        <w:t>2</w:t>
                      </w:r>
                      <w:bookmarkEnd w:id="250"/>
                      <w:r w:rsidRPr="00363ED3">
                        <w:t>. Review of HEDIS® Measures Calculated with HEDIS®-certified Software</w:t>
                      </w:r>
                    </w:p>
                    <w:p w:rsidR="00ED33C3" w:rsidP="00BF3758" w14:paraId="0338B4A2" w14:textId="7FD610CB">
                      <w:pPr>
                        <w:pStyle w:val="EQRTextboxbody"/>
                      </w:pPr>
                      <w:r>
                        <w:t xml:space="preserve">If the state requires HEDIS® measures and the MCP used HEDIS®-certified software to calculate the measures, the EQRO does not need to review source code for those measures. However, the EQRO is required to verify that the measures were calculated as specified by the software and that systems issues did not compromise the accuracy and completeness of the performance measures. As an example, when an MCP pays for prenatal and postpartum care as part of a bundled maternity care payment, HEDIS® measures may be calculated according to the </w:t>
                      </w:r>
                      <w:r>
                        <w:t>specifications</w:t>
                      </w:r>
                      <w:r>
                        <w:t xml:space="preserve"> but the rates may be significantly under-reported using administrative data due to the lack of separate claims for prenatal and postpartum care. </w:t>
                      </w:r>
                      <w:r w:rsidRPr="006B6779">
                        <w:t xml:space="preserve">Thus, the EQRO is required to review and validate the accuracy and completeness of HEDIS® measures based on findings from the ISCA. </w:t>
                      </w:r>
                      <w:r w:rsidRPr="006B6779" w:rsidR="008F75C7">
                        <w:t>The EQRO should also share the validation findings and performance rates for these measures in the EQR technical report.</w:t>
                      </w:r>
                      <w:r w:rsidR="008F75C7">
                        <w:t xml:space="preserve"> </w:t>
                      </w:r>
                    </w:p>
                    <w:p w:rsidR="00B63282" w:rsidRPr="00B63282" w:rsidP="00B63282" w14:paraId="23949860" w14:textId="77777777">
                      <w:pPr>
                        <w:pStyle w:val="EQRTextboxbody"/>
                      </w:pPr>
                      <w:r w:rsidRPr="00B63282">
                        <w:t>Some performance measures requiring medical record review (i.e., hybrid measures) are audited by an NCQA-certified HEDIS Compliance Auditor. When a hybrid measure has undergone such an audit and the state has received the final audit report and attestation, the EQRO is not required to independently revalidate the medical record review results under Activity 2, Step 4. In these circumstances:</w:t>
                      </w:r>
                    </w:p>
                    <w:p w:rsidR="00B63282" w:rsidRPr="00B63282" w:rsidP="00B63282" w14:paraId="16A6558C" w14:textId="77777777">
                      <w:pPr>
                        <w:pStyle w:val="EQRTextboxbullet"/>
                      </w:pPr>
                      <w:r w:rsidRPr="00B63282">
                        <w:rPr>
                          <w:b/>
                          <w:bCs/>
                        </w:rPr>
                        <w:t>The state must provide documentation</w:t>
                      </w:r>
                      <w:r w:rsidRPr="00B63282">
                        <w:t>. The state must provide the EQRO with the final audit report, attestation, and any related findings or corrective action documentation.</w:t>
                      </w:r>
                    </w:p>
                    <w:p w:rsidR="00B63282" w:rsidRPr="00B63282" w:rsidP="00B63282" w14:paraId="062C97F5" w14:textId="34C6E316">
                      <w:pPr>
                        <w:pStyle w:val="EQRTextboxbullet"/>
                      </w:pPr>
                      <w:r w:rsidRPr="00B63282">
                        <w:rPr>
                          <w:b/>
                          <w:bCs/>
                        </w:rPr>
                        <w:t xml:space="preserve">The EQRO </w:t>
                      </w:r>
                      <w:r w:rsidR="000E21D6">
                        <w:rPr>
                          <w:b/>
                          <w:bCs/>
                        </w:rPr>
                        <w:t xml:space="preserve">must </w:t>
                      </w:r>
                      <w:r w:rsidRPr="00B63282">
                        <w:rPr>
                          <w:b/>
                          <w:bCs/>
                        </w:rPr>
                        <w:t>incorporate audit results into the EQR technical report.</w:t>
                      </w:r>
                      <w:r w:rsidRPr="00B63282">
                        <w:t xml:space="preserve"> The EQRO must review these materials and describe in the EQR technical report how the audit informed its validation conclusions, including any noted limitations.</w:t>
                      </w:r>
                    </w:p>
                    <w:p w:rsidR="00B63282" w:rsidRPr="00B63282" w:rsidP="00B63282" w14:paraId="77CE390A" w14:textId="77777777">
                      <w:pPr>
                        <w:pStyle w:val="EQRTextboxbullet"/>
                      </w:pPr>
                      <w:r w:rsidRPr="00B63282">
                        <w:rPr>
                          <w:b/>
                          <w:bCs/>
                        </w:rPr>
                        <w:t>The EQRO must identify audited measures.</w:t>
                      </w:r>
                      <w:r w:rsidRPr="00B63282">
                        <w:t xml:space="preserve"> The EQR technical report must clearly indicate the measures subject to NCQA-certified audit.</w:t>
                      </w:r>
                    </w:p>
                    <w:p w:rsidR="00CD2E15" w:rsidRPr="002A37FE" w:rsidP="00B63282" w14:paraId="4A41426E" w14:textId="7E4961E3">
                      <w:pPr>
                        <w:pStyle w:val="EQRTextboxbody"/>
                        <w:rPr>
                          <w:highlight w:val="yellow"/>
                        </w:rPr>
                      </w:pPr>
                    </w:p>
                  </w:txbxContent>
                </v:textbox>
                <w10:wrap type="none"/>
                <w10:anchorlock/>
              </v:shape>
            </w:pict>
          </mc:Fallback>
        </mc:AlternateContent>
      </w:r>
    </w:p>
    <w:p w:rsidR="00D0663E" w:rsidRPr="00990D3B" w:rsidP="00BD1FC3" w14:paraId="1DC7EBA5" w14:textId="77777777">
      <w:pPr>
        <w:pStyle w:val="H3"/>
      </w:pPr>
      <w:bookmarkStart w:id="251" w:name="P2A1Step4"/>
      <w:bookmarkEnd w:id="251"/>
      <w:r w:rsidRPr="00990D3B">
        <w:t>Step 4: Initiate Review of</w:t>
      </w:r>
      <w:r w:rsidRPr="00990D3B" w:rsidR="00A45D96">
        <w:t xml:space="preserve"> Medical Record Data Collection</w:t>
      </w:r>
    </w:p>
    <w:p w:rsidR="00112139" w:rsidRPr="00990D3B" w:rsidP="004B141C" w14:paraId="3266494B" w14:textId="3A65F853">
      <w:pPr>
        <w:pStyle w:val="ParagraphContinued"/>
      </w:pPr>
      <w:r w:rsidRPr="00990D3B">
        <w:rPr>
          <w:noProof/>
        </w:rPr>
        <mc:AlternateContent>
          <mc:Choice Requires="wps">
            <w:drawing>
              <wp:anchor distT="0" distB="0" distL="114300" distR="114300" simplePos="0" relativeHeight="251756544" behindDoc="0" locked="0" layoutInCell="1" allowOverlap="1">
                <wp:simplePos x="0" y="0"/>
                <wp:positionH relativeFrom="column">
                  <wp:posOffset>3719830</wp:posOffset>
                </wp:positionH>
                <wp:positionV relativeFrom="paragraph">
                  <wp:posOffset>50165</wp:posOffset>
                </wp:positionV>
                <wp:extent cx="2193925" cy="297815"/>
                <wp:effectExtent l="19050" t="19050" r="15875" b="26670"/>
                <wp:wrapTight wrapText="bothSides">
                  <wp:wrapPolygon>
                    <wp:start x="21788" y="22985"/>
                    <wp:lineTo x="21788" y="-554"/>
                    <wp:lineTo x="31" y="-554"/>
                    <wp:lineTo x="31" y="22985"/>
                    <wp:lineTo x="21788" y="22985"/>
                  </wp:wrapPolygon>
                </wp:wrapTight>
                <wp:docPr id="1838762014" name="Text Box 18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CB297D" w14:textId="0571C6D3">
                            <w:pPr>
                              <w:pStyle w:val="EQRWORKSHEETText"/>
                              <w:rPr>
                                <w:spacing w:val="-2"/>
                              </w:rPr>
                            </w:pPr>
                            <w:hyperlink w:anchor="WSp2n3" w:tooltip="WORKSHEET 2.3" w:history="1">
                              <w:r>
                                <w:rPr>
                                  <w:rStyle w:val="Hyperlink"/>
                                  <w:color w:val="006981"/>
                                </w:rPr>
                                <w:t>WORKSHEET 2.3</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2" o:spid="_x0000_s1089" type="#_x0000_t202" style="width:172.75pt;height:23.45pt;margin-top:3.95pt;margin-left:292.9pt;flip:y;mso-height-percent:0;mso-height-relative:page;mso-width-percent:0;mso-width-relative:page;mso-wrap-distance-bottom:0;mso-wrap-distance-left:9pt;mso-wrap-distance-right:9pt;mso-wrap-distance-top:0;mso-wrap-style:square;position:absolute;rotation:180;visibility:visible;v-text-anchor:top;z-index:251757568" fillcolor="#eef5f8" strokecolor="#a5dad9" strokeweight="2.25pt">
                <v:stroke endcap="round"/>
                <v:textbox style="mso-fit-shape-to-text:t" inset="8.64pt,,8.64pt">
                  <w:txbxContent>
                    <w:p w:rsidR="00ED33C3" w:rsidRPr="0090682E" w:rsidP="00CB297D" w14:paraId="5738E356" w14:textId="0571C6D3">
                      <w:pPr>
                        <w:pStyle w:val="EQRWORKSHEETText"/>
                        <w:rPr>
                          <w:spacing w:val="-2"/>
                        </w:rPr>
                      </w:pPr>
                      <w:hyperlink w:anchor="WSp2n3" w:tooltip="WORKSHEET 2.3" w:history="1">
                        <w:r>
                          <w:rPr>
                            <w:rStyle w:val="Hyperlink"/>
                            <w:color w:val="006981"/>
                          </w:rPr>
                          <w:t>WORKSHEET 2.3</w:t>
                        </w:r>
                      </w:hyperlink>
                    </w:p>
                  </w:txbxContent>
                </v:textbox>
                <w10:wrap type="tight"/>
              </v:shape>
            </w:pict>
          </mc:Fallback>
        </mc:AlternateContent>
      </w:r>
      <w:r w:rsidRPr="00990D3B">
        <w:rPr>
          <w:noProof/>
        </w:rPr>
        <mc:AlternateContent>
          <mc:Choice Requires="wps">
            <w:drawing>
              <wp:anchor distT="0" distB="0" distL="114300" distR="114300" simplePos="0" relativeHeight="251754496" behindDoc="0" locked="0" layoutInCell="1" allowOverlap="1">
                <wp:simplePos x="0" y="0"/>
                <wp:positionH relativeFrom="column">
                  <wp:posOffset>3719830</wp:posOffset>
                </wp:positionH>
                <wp:positionV relativeFrom="paragraph">
                  <wp:posOffset>410845</wp:posOffset>
                </wp:positionV>
                <wp:extent cx="2194560" cy="1910080"/>
                <wp:effectExtent l="19050" t="19050" r="15240" b="13970"/>
                <wp:wrapTight wrapText="bothSides">
                  <wp:wrapPolygon>
                    <wp:start x="21788" y="21815"/>
                    <wp:lineTo x="21788" y="57"/>
                    <wp:lineTo x="38" y="57"/>
                    <wp:lineTo x="38" y="21815"/>
                    <wp:lineTo x="21788" y="21815"/>
                  </wp:wrapPolygon>
                </wp:wrapTight>
                <wp:docPr id="237501468" name="Text Box 18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1910080"/>
                        </a:xfrm>
                        <a:prstGeom prst="rect">
                          <a:avLst/>
                        </a:prstGeom>
                        <a:solidFill>
                          <a:srgbClr val="EEF5F8"/>
                        </a:solidFill>
                        <a:ln w="28575" cap="rnd">
                          <a:solidFill>
                            <a:srgbClr val="A5DAD9"/>
                          </a:solidFill>
                          <a:prstDash val="solid"/>
                          <a:miter lim="800000"/>
                          <a:headEnd/>
                          <a:tailEnd/>
                        </a:ln>
                      </wps:spPr>
                      <wps:txbx>
                        <w:txbxContent>
                          <w:p w:rsidR="00ED33C3" w:rsidRPr="00897E0C" w:rsidP="00897E0C" w14:textId="77777777">
                            <w:pPr>
                              <w:pStyle w:val="EQRTextboxheading"/>
                            </w:pPr>
                            <w:r w:rsidRPr="00897E0C">
                              <w:t>Resource for Activity 1, Step 4</w:t>
                            </w:r>
                          </w:p>
                          <w:p w:rsidR="00ED33C3" w:rsidRPr="00897E0C" w:rsidP="00897E0C" w14:textId="4E4F194D">
                            <w:pPr>
                              <w:pStyle w:val="EQRTextboxbody"/>
                            </w:pPr>
                            <w:hyperlink w:anchor="WSp2n3" w:tooltip="Worksheet 2.3. Medical Review Validation Template" w:history="1">
                              <w:r w:rsidRPr="00AA70E2">
                                <w:rPr>
                                  <w:rStyle w:val="Hyperlink"/>
                                </w:rPr>
                                <w:t>Worksheet 2.3. Medical Review Validation Template</w:t>
                              </w:r>
                            </w:hyperlink>
                          </w:p>
                          <w:p w:rsidR="00ED33C3" w:rsidRPr="0090682E" w:rsidP="00897E0C" w14:textId="3DB98500">
                            <w:pPr>
                              <w:pStyle w:val="EQRTextboxbullet"/>
                              <w:rPr>
                                <w:spacing w:val="-2"/>
                              </w:rPr>
                            </w:pPr>
                            <w:r w:rsidRPr="00897E0C">
                              <w:t xml:space="preserve">Provides instructions for conducting the medical record review and worksheets to summarize re-abstraction findings from the review </w:t>
                            </w:r>
                            <w:r w:rsidRPr="000E1F61">
                              <w:t>(</w:t>
                            </w:r>
                            <w:hyperlink w:anchor="P2WSTable1" w:tooltip="Worksheet 2.3, Table 1" w:history="1">
                              <w:r w:rsidRPr="005D412D">
                                <w:rPr>
                                  <w:rStyle w:val="Hyperlink"/>
                                </w:rPr>
                                <w:t>Worksheet 2.3, Table 1</w:t>
                              </w:r>
                            </w:hyperlink>
                            <w:r w:rsidRPr="000E1F61">
                              <w:t>)</w:t>
                            </w:r>
                            <w:r w:rsidRPr="00897E0C">
                              <w:t xml:space="preserve"> and to record the impact of findings from the review </w:t>
                            </w:r>
                            <w:r w:rsidRPr="000E1F61">
                              <w:t>(</w:t>
                            </w:r>
                            <w:hyperlink w:anchor="P2WSTable2" w:tooltip="Worksheet 2.3, Table 2" w:history="1">
                              <w:r w:rsidRPr="005D412D">
                                <w:rPr>
                                  <w:rStyle w:val="Hyperlink"/>
                                </w:rPr>
                                <w:t>Worksheet 2.3, Table 2</w:t>
                              </w:r>
                            </w:hyperlink>
                            <w:r w:rsidRPr="000E1F61">
                              <w:t>)</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3" o:spid="_x0000_s1090" type="#_x0000_t202" style="width:172.8pt;height:150.4pt;margin-top:32.35pt;margin-left:292.9pt;flip:y;mso-height-percent:0;mso-height-relative:page;mso-width-percent:0;mso-width-relative:page;mso-wrap-distance-bottom:0;mso-wrap-distance-left:9pt;mso-wrap-distance-right:9pt;mso-wrap-distance-top:0;mso-wrap-style:square;position:absolute;rotation:180;visibility:visible;v-text-anchor:top;z-index:251755520" fillcolor="#eef5f8" strokecolor="#a5dad9" strokeweight="2.25pt">
                <v:stroke endcap="round"/>
                <v:textbox style="mso-fit-shape-to-text:t" inset="8.64pt,,8.64pt">
                  <w:txbxContent>
                    <w:p w:rsidR="00ED33C3" w:rsidRPr="00897E0C" w:rsidP="00897E0C" w14:paraId="559A10FA" w14:textId="77777777">
                      <w:pPr>
                        <w:pStyle w:val="EQRTextboxheading"/>
                      </w:pPr>
                      <w:r w:rsidRPr="00897E0C">
                        <w:t>Resource for Activity 1, Step 4</w:t>
                      </w:r>
                    </w:p>
                    <w:p w:rsidR="00ED33C3" w:rsidRPr="00897E0C" w:rsidP="00897E0C" w14:paraId="128A3485" w14:textId="4E4F194D">
                      <w:pPr>
                        <w:pStyle w:val="EQRTextboxbody"/>
                      </w:pPr>
                      <w:hyperlink w:anchor="WSp2n3" w:tooltip="Worksheet 2.3. Medical Review Validation Template" w:history="1">
                        <w:r w:rsidRPr="00AA70E2">
                          <w:rPr>
                            <w:rStyle w:val="Hyperlink"/>
                          </w:rPr>
                          <w:t>Worksheet 2.3. Medical Review Validation Template</w:t>
                        </w:r>
                      </w:hyperlink>
                    </w:p>
                    <w:p w:rsidR="00ED33C3" w:rsidRPr="0090682E" w:rsidP="00897E0C" w14:paraId="4F1D7CB6" w14:textId="3DB98500">
                      <w:pPr>
                        <w:pStyle w:val="EQRTextboxbullet"/>
                        <w:rPr>
                          <w:spacing w:val="-2"/>
                        </w:rPr>
                      </w:pPr>
                      <w:r w:rsidRPr="00897E0C">
                        <w:t xml:space="preserve">Provides instructions for conducting the medical record review and worksheets to summarize re-abstraction findings from the review </w:t>
                      </w:r>
                      <w:r w:rsidRPr="000E1F61">
                        <w:t>(</w:t>
                      </w:r>
                      <w:hyperlink w:anchor="P2WSTable1" w:tooltip="Worksheet 2.3, Table 1" w:history="1">
                        <w:r w:rsidRPr="005D412D">
                          <w:rPr>
                            <w:rStyle w:val="Hyperlink"/>
                          </w:rPr>
                          <w:t>Worksheet 2.3, Table 1</w:t>
                        </w:r>
                      </w:hyperlink>
                      <w:r w:rsidRPr="000E1F61">
                        <w:t>)</w:t>
                      </w:r>
                      <w:r w:rsidRPr="00897E0C">
                        <w:t xml:space="preserve"> and to record the impact of findings from the review </w:t>
                      </w:r>
                      <w:r w:rsidRPr="000E1F61">
                        <w:t>(</w:t>
                      </w:r>
                      <w:hyperlink w:anchor="P2WSTable2" w:tooltip="Worksheet 2.3, Table 2" w:history="1">
                        <w:r w:rsidRPr="005D412D">
                          <w:rPr>
                            <w:rStyle w:val="Hyperlink"/>
                          </w:rPr>
                          <w:t>Worksheet 2.3, Table 2</w:t>
                        </w:r>
                      </w:hyperlink>
                      <w:r w:rsidRPr="000E1F61">
                        <w:t>)</w:t>
                      </w:r>
                    </w:p>
                  </w:txbxContent>
                </v:textbox>
                <w10:wrap type="tight"/>
              </v:shape>
            </w:pict>
          </mc:Fallback>
        </mc:AlternateContent>
      </w:r>
      <w:r w:rsidRPr="00990D3B" w:rsidR="00112139">
        <w:t xml:space="preserve">The purpose of this step is to verify the accuracy of the medical record review conducted by the MCP when medical record data are used to calculate and report performance measures. </w:t>
      </w:r>
      <w:r w:rsidRPr="00990D3B" w:rsidR="006E31CC">
        <w:t xml:space="preserve">If a plan only </w:t>
      </w:r>
      <w:r w:rsidRPr="00990D3B" w:rsidR="00B255D7">
        <w:t>uses</w:t>
      </w:r>
      <w:r w:rsidRPr="00990D3B" w:rsidR="006E31CC">
        <w:t xml:space="preserve"> administrative data, this step is not necessary. </w:t>
      </w:r>
    </w:p>
    <w:p w:rsidR="006E31CC" w:rsidRPr="00990D3B" w:rsidP="00BD1FC3" w14:paraId="2E031DA7" w14:textId="6ACC062B">
      <w:pPr>
        <w:pStyle w:val="Paragraph0"/>
      </w:pPr>
      <w:r w:rsidRPr="00990D3B">
        <w:t xml:space="preserve">To validate the integrity of the medical record review processes, the EQRO </w:t>
      </w:r>
      <w:r w:rsidRPr="00990D3B" w:rsidR="00180B86">
        <w:t xml:space="preserve">conducts the validation in two phases: the first phase assesses </w:t>
      </w:r>
      <w:r w:rsidRPr="00990D3B">
        <w:t xml:space="preserve">the </w:t>
      </w:r>
      <w:r w:rsidRPr="00990D3B" w:rsidR="00180B86">
        <w:t xml:space="preserve">initial </w:t>
      </w:r>
      <w:r w:rsidRPr="00990D3B">
        <w:t xml:space="preserve">implementation </w:t>
      </w:r>
      <w:r w:rsidRPr="00990D3B" w:rsidR="00180B86">
        <w:t xml:space="preserve">of the process to allow corrections at an early stage; the </w:t>
      </w:r>
      <w:r w:rsidRPr="00990D3B" w:rsidR="00180B86">
        <w:t xml:space="preserve">second phase is a retrospective review of the </w:t>
      </w:r>
      <w:r w:rsidRPr="00990D3B">
        <w:t xml:space="preserve">accuracy of the medical record review abstraction process. </w:t>
      </w:r>
    </w:p>
    <w:p w:rsidR="00112139" w:rsidRPr="00990D3B" w:rsidP="00BD1FC3" w14:paraId="1493FC7A" w14:textId="772DEC59">
      <w:pPr>
        <w:pStyle w:val="H5Lower"/>
      </w:pPr>
      <w:r w:rsidRPr="00990D3B">
        <w:t>Review of Implementation of Medical Record Review</w:t>
      </w:r>
    </w:p>
    <w:p w:rsidR="00112139" w:rsidRPr="00990D3B" w:rsidP="0057445C" w14:paraId="0C498900" w14:textId="77777777">
      <w:pPr>
        <w:pStyle w:val="ParagraphContinued"/>
      </w:pPr>
      <w:r w:rsidRPr="00990D3B">
        <w:t xml:space="preserve">During the early implementation of the medical record abstraction process, the EQRO will confirm the following about MCP activities:  </w:t>
      </w:r>
    </w:p>
    <w:p w:rsidR="00657F63" w:rsidRPr="00990D3B" w:rsidP="00FB7CAF" w14:paraId="763D6597" w14:textId="3599BB1E">
      <w:pPr>
        <w:pStyle w:val="EQRBulletBLUE"/>
      </w:pPr>
      <w:r w:rsidRPr="00990D3B">
        <w:t>Selection of staff with appropriate experience and credentials</w:t>
      </w:r>
      <w:r w:rsidRPr="00990D3B" w:rsidR="003B5E7D">
        <w:t>.</w:t>
      </w:r>
    </w:p>
    <w:p w:rsidR="00657F63" w:rsidRPr="00990D3B" w:rsidP="00FB7CAF" w14:paraId="5BB52927" w14:textId="307A910A">
      <w:pPr>
        <w:pStyle w:val="EQRBulletBLUE"/>
      </w:pPr>
      <w:r w:rsidRPr="00990D3B">
        <w:t>Development of high-quality abstraction tools to collect the required information</w:t>
      </w:r>
      <w:r w:rsidRPr="00990D3B" w:rsidR="003B5E7D">
        <w:t>.</w:t>
      </w:r>
    </w:p>
    <w:p w:rsidR="00657F63" w:rsidRPr="00990D3B" w:rsidP="00FB7CAF" w14:paraId="11C0D0F4" w14:textId="11B5A2F9">
      <w:pPr>
        <w:pStyle w:val="EQRBulletBLUE"/>
      </w:pPr>
      <w:r w:rsidRPr="00990D3B">
        <w:t xml:space="preserve">Provision of effective staff training </w:t>
      </w:r>
      <w:r w:rsidRPr="00990D3B">
        <w:t>about</w:t>
      </w:r>
      <w:r w:rsidRPr="00990D3B">
        <w:t xml:space="preserve"> the review process</w:t>
      </w:r>
      <w:r w:rsidRPr="00990D3B" w:rsidR="003B5E7D">
        <w:t>.</w:t>
      </w:r>
    </w:p>
    <w:p w:rsidR="00112139" w:rsidRPr="00990D3B" w:rsidP="00FB7CAF" w14:paraId="278F9619" w14:textId="3FF08332">
      <w:pPr>
        <w:pStyle w:val="EQRBulletBLUE"/>
      </w:pPr>
      <w:r w:rsidRPr="00990D3B">
        <w:t>Implementation of sound oversight procedures to assess reviewer performance (such as validation of a sample of records or tests of inter-rater reliability)</w:t>
      </w:r>
      <w:r w:rsidRPr="00990D3B" w:rsidR="003B5E7D">
        <w:t>.</w:t>
      </w:r>
    </w:p>
    <w:p w:rsidR="00112139" w:rsidRPr="00990D3B" w:rsidP="0057445C" w14:paraId="4A7DF521" w14:textId="58D509DF">
      <w:pPr>
        <w:pStyle w:val="ParagraphContinued"/>
      </w:pPr>
      <w:r w:rsidRPr="00990D3B">
        <w:t xml:space="preserve">The EQRO </w:t>
      </w:r>
      <w:r w:rsidRPr="00990D3B" w:rsidR="00173819">
        <w:t xml:space="preserve">may </w:t>
      </w:r>
      <w:r w:rsidRPr="00990D3B">
        <w:t xml:space="preserve">review a convenience sample of records across measures to identify potential problems for MCP correction. </w:t>
      </w:r>
      <w:r w:rsidRPr="00990D3B" w:rsidR="007E604E">
        <w:t>National Committee for Quality Assurance’s (</w:t>
      </w:r>
      <w:r w:rsidRPr="00990D3B">
        <w:t>NCQA’s</w:t>
      </w:r>
      <w:r w:rsidRPr="00990D3B" w:rsidR="007E604E">
        <w:t>)</w:t>
      </w:r>
      <w:r w:rsidRPr="00990D3B">
        <w:t xml:space="preserve"> </w:t>
      </w:r>
      <w:r w:rsidRPr="00990D3B" w:rsidR="00F4610F">
        <w:t xml:space="preserve">HEDIS® </w:t>
      </w:r>
      <w:r w:rsidRPr="00990D3B">
        <w:t>Compliance Audit</w:t>
      </w:r>
      <w:r w:rsidRPr="00990D3B" w:rsidR="00FB7879">
        <w:rPr>
          <w:rFonts w:cs="Arial"/>
        </w:rPr>
        <w:t>™</w:t>
      </w:r>
      <w:r w:rsidRPr="00990D3B">
        <w:t xml:space="preserve"> recommends selecting up to </w:t>
      </w:r>
      <w:r w:rsidRPr="00990D3B" w:rsidR="00DE7082">
        <w:t>ten</w:t>
      </w:r>
      <w:r w:rsidRPr="00990D3B">
        <w:t xml:space="preserve"> difficult-to-review measures and obtain copies of at least </w:t>
      </w:r>
      <w:r w:rsidRPr="00990D3B" w:rsidR="00DE7082">
        <w:t>two</w:t>
      </w:r>
      <w:r w:rsidRPr="00990D3B">
        <w:t xml:space="preserve"> complete medical record review tools and charts per measure. If the state requires fewer than 10 measures that rely on medical record data, the EQRO should conduct the sample review for all medical record-dependent measures. Completing this step early in the process allows the MCP to address identified issues and resolve them during the initial stages of data collection. </w:t>
      </w:r>
    </w:p>
    <w:p w:rsidR="00112139" w:rsidRPr="00990D3B" w:rsidP="00BD1FC3" w14:paraId="5D31C7BB" w14:textId="77777777">
      <w:pPr>
        <w:pStyle w:val="H5Lower"/>
      </w:pPr>
      <w:r w:rsidRPr="00990D3B">
        <w:t>Re-abstraction and Validation of Medical Record Review</w:t>
      </w:r>
    </w:p>
    <w:p w:rsidR="00112139" w:rsidRPr="00990D3B" w:rsidP="0057445C" w14:paraId="59C83B7B" w14:textId="4CEC5855">
      <w:pPr>
        <w:pStyle w:val="ParagraphContinued"/>
      </w:pPr>
      <w:r w:rsidRPr="00990D3B">
        <w:t xml:space="preserve">The EQRO will conduct a retrospective medical record review for at least two measures that include medical record review either alone or in combination with administrative data (known as the hybrid method). The EQRO should target statistical validation to measures that are new, complex, and dependent on the medical record data or those with previously identified issues. For each measure, the EQRO will request a sample of 30 medical records with positive numerator events and compare the completed abstraction information to the medical record to determine the rate of agreement. If the agreement rate is less than 100 percent, the EQRO will assess the degree of bias. </w:t>
      </w:r>
      <w:hyperlink w:anchor="WSp2n3" w:tooltip="Worksheet 2.3" w:history="1">
        <w:r w:rsidRPr="00990D3B">
          <w:rPr>
            <w:rStyle w:val="Hyperlink"/>
          </w:rPr>
          <w:t>Worksheet 2.3</w:t>
        </w:r>
      </w:hyperlink>
      <w:r w:rsidRPr="00990D3B" w:rsidR="00363ED3">
        <w:t xml:space="preserve"> </w:t>
      </w:r>
      <w:r w:rsidRPr="00990D3B">
        <w:t xml:space="preserve">provides a detailed description of the medical record review process and validation tool. The EQRO should summarize findings for the MCP from the medical record review validation, including error rates for the </w:t>
      </w:r>
      <w:r w:rsidRPr="00990D3B" w:rsidR="0008694C">
        <w:t>validated measures</w:t>
      </w:r>
      <w:r w:rsidRPr="00990D3B">
        <w:t xml:space="preserve"> (see </w:t>
      </w:r>
      <w:hyperlink w:anchor="P2WSTable2" w:tooltip="Table 2" w:history="1">
        <w:r w:rsidRPr="00990D3B">
          <w:rPr>
            <w:rStyle w:val="Hyperlink"/>
          </w:rPr>
          <w:t>Table 2</w:t>
        </w:r>
      </w:hyperlink>
      <w:r w:rsidRPr="00990D3B">
        <w:t xml:space="preserve"> in </w:t>
      </w:r>
      <w:hyperlink w:anchor="WSp2n3" w:tooltip="Worksheet 2.3" w:history="1">
        <w:r w:rsidRPr="00990D3B">
          <w:rPr>
            <w:rStyle w:val="Hyperlink"/>
          </w:rPr>
          <w:t>Worksheet 2.3</w:t>
        </w:r>
      </w:hyperlink>
      <w:r w:rsidRPr="00990D3B">
        <w:t>) and recommendations for improving the medical record review process.</w:t>
      </w:r>
    </w:p>
    <w:p w:rsidR="00D0663E" w:rsidRPr="00990D3B" w:rsidP="00BD1FC3" w14:paraId="72754437" w14:textId="475EDA1E">
      <w:pPr>
        <w:pStyle w:val="H3"/>
      </w:pPr>
      <w:bookmarkStart w:id="252" w:name="P2A1Step5"/>
      <w:bookmarkEnd w:id="252"/>
      <w:r w:rsidRPr="00990D3B">
        <w:t>Step 5: P</w:t>
      </w:r>
      <w:r w:rsidRPr="00990D3B" w:rsidR="00FD24DE">
        <w:t xml:space="preserve">repare for the MCP </w:t>
      </w:r>
      <w:r w:rsidRPr="00990D3B" w:rsidR="00DC4F04">
        <w:t>S</w:t>
      </w:r>
      <w:r w:rsidRPr="00990D3B" w:rsidR="00FD24DE">
        <w:t>ite Visit</w:t>
      </w:r>
    </w:p>
    <w:p w:rsidR="00112139" w:rsidRPr="00990D3B" w:rsidP="00A4348B" w14:paraId="72A28DF3" w14:textId="02F9554F">
      <w:pPr>
        <w:pStyle w:val="Paragraph0"/>
      </w:pPr>
      <w:r w:rsidRPr="00990D3B">
        <w:rPr>
          <w:noProof/>
        </w:rPr>
        <mc:AlternateContent>
          <mc:Choice Requires="wps">
            <w:drawing>
              <wp:anchor distT="0" distB="0" distL="114300" distR="114300" simplePos="0" relativeHeight="251762688" behindDoc="0" locked="0" layoutInCell="1" allowOverlap="1">
                <wp:simplePos x="0" y="0"/>
                <wp:positionH relativeFrom="column">
                  <wp:posOffset>3740150</wp:posOffset>
                </wp:positionH>
                <wp:positionV relativeFrom="paragraph">
                  <wp:posOffset>447040</wp:posOffset>
                </wp:positionV>
                <wp:extent cx="2195195" cy="1453515"/>
                <wp:effectExtent l="19050" t="19050" r="0" b="0"/>
                <wp:wrapTight wrapText="bothSides">
                  <wp:wrapPolygon>
                    <wp:start x="21787" y="21883"/>
                    <wp:lineTo x="21787" y="76"/>
                    <wp:lineTo x="44" y="76"/>
                    <wp:lineTo x="44" y="21883"/>
                    <wp:lineTo x="21787" y="21883"/>
                  </wp:wrapPolygon>
                </wp:wrapTight>
                <wp:docPr id="726963566" name="Text Box 18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453515"/>
                        </a:xfrm>
                        <a:prstGeom prst="rect">
                          <a:avLst/>
                        </a:prstGeom>
                        <a:solidFill>
                          <a:srgbClr val="EEF5F8"/>
                        </a:solidFill>
                        <a:ln w="28575" cap="rnd">
                          <a:solidFill>
                            <a:srgbClr val="A5DAD9"/>
                          </a:solidFill>
                          <a:prstDash val="solid"/>
                          <a:miter lim="800000"/>
                          <a:headEnd/>
                          <a:tailEnd/>
                        </a:ln>
                      </wps:spPr>
                      <wps:txbx>
                        <w:txbxContent>
                          <w:p w:rsidR="00ED33C3" w:rsidRPr="00C57C8F" w:rsidP="00C57C8F" w14:textId="77777777">
                            <w:pPr>
                              <w:pStyle w:val="EQRTextboxheading"/>
                            </w:pPr>
                            <w:r w:rsidRPr="00C57C8F">
                              <w:t>Resource for Activity 1, Step 5</w:t>
                            </w:r>
                          </w:p>
                          <w:p w:rsidR="00ED33C3" w:rsidRPr="00C57C8F" w:rsidP="00C57C8F" w14:textId="1B86E899">
                            <w:pPr>
                              <w:pStyle w:val="EQRTextboxbody"/>
                            </w:pPr>
                            <w:hyperlink w:anchor="WSp2n4" w:tooltip="Worksheet 2.4. Potential Documents and Process for Review" w:history="1">
                              <w:r>
                                <w:rPr>
                                  <w:rStyle w:val="Hyperlink"/>
                                </w:rPr>
                                <w:t>Worksheet 2.4. Potential Documents and Process for Review</w:t>
                              </w:r>
                            </w:hyperlink>
                          </w:p>
                          <w:p w:rsidR="00ED33C3" w:rsidRPr="0090682E" w:rsidP="00C57C8F" w14:textId="46588C9A">
                            <w:pPr>
                              <w:pStyle w:val="EQRTextboxbullet"/>
                              <w:rPr>
                                <w:spacing w:val="-2"/>
                              </w:rPr>
                            </w:pPr>
                            <w:r w:rsidRPr="00C57C8F">
                              <w:t>Provides a checklist of documents, data, and procedures the MCP should make available before or during the site visit</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1" o:spid="_x0000_s1091" type="#_x0000_t202" style="width:172.85pt;height:114.45pt;margin-top:35.2pt;margin-left:294.5pt;flip:y;mso-height-percent:0;mso-height-relative:page;mso-width-percent:0;mso-width-relative:page;mso-wrap-distance-bottom:0;mso-wrap-distance-left:9pt;mso-wrap-distance-right:9pt;mso-wrap-distance-top:0;mso-wrap-style:square;position:absolute;rotation:180;visibility:visible;v-text-anchor:top;z-index:251763712" fillcolor="#eef5f8" strokecolor="#a5dad9" strokeweight="2.25pt">
                <v:stroke endcap="round"/>
                <v:textbox style="mso-fit-shape-to-text:t" inset="8.64pt,,8.64pt">
                  <w:txbxContent>
                    <w:p w:rsidR="00ED33C3" w:rsidRPr="00C57C8F" w:rsidP="00C57C8F" w14:paraId="186A9FF2" w14:textId="77777777">
                      <w:pPr>
                        <w:pStyle w:val="EQRTextboxheading"/>
                      </w:pPr>
                      <w:r w:rsidRPr="00C57C8F">
                        <w:t>Resource for Activity 1, Step 5</w:t>
                      </w:r>
                    </w:p>
                    <w:p w:rsidR="00ED33C3" w:rsidRPr="00C57C8F" w:rsidP="00C57C8F" w14:paraId="4D86C5A1" w14:textId="1B86E899">
                      <w:pPr>
                        <w:pStyle w:val="EQRTextboxbody"/>
                      </w:pPr>
                      <w:hyperlink w:anchor="WSp2n4" w:tooltip="Worksheet 2.4. Potential Documents and Process for Review" w:history="1">
                        <w:r>
                          <w:rPr>
                            <w:rStyle w:val="Hyperlink"/>
                          </w:rPr>
                          <w:t>Worksheet 2.4. Potential Documents and Process for Review</w:t>
                        </w:r>
                      </w:hyperlink>
                    </w:p>
                    <w:p w:rsidR="00ED33C3" w:rsidRPr="0090682E" w:rsidP="00C57C8F" w14:paraId="7C276BB7" w14:textId="46588C9A">
                      <w:pPr>
                        <w:pStyle w:val="EQRTextboxbullet"/>
                        <w:rPr>
                          <w:spacing w:val="-2"/>
                        </w:rPr>
                      </w:pPr>
                      <w:r w:rsidRPr="00C57C8F">
                        <w:t>Provides a checklist of documents, data, and procedures the MCP should make available before or during the site visit</w:t>
                      </w:r>
                    </w:p>
                  </w:txbxContent>
                </v:textbox>
                <w10:wrap type="tight"/>
              </v:shape>
            </w:pict>
          </mc:Fallback>
        </mc:AlternateContent>
      </w:r>
      <w:r w:rsidRPr="00990D3B">
        <w:rPr>
          <w:noProof/>
        </w:rPr>
        <mc:AlternateContent>
          <mc:Choice Requires="wps">
            <w:drawing>
              <wp:anchor distT="0" distB="0" distL="114300" distR="114300" simplePos="0" relativeHeight="251764736" behindDoc="0" locked="0" layoutInCell="1" allowOverlap="1">
                <wp:simplePos x="0" y="0"/>
                <wp:positionH relativeFrom="column">
                  <wp:posOffset>3740150</wp:posOffset>
                </wp:positionH>
                <wp:positionV relativeFrom="paragraph">
                  <wp:posOffset>86360</wp:posOffset>
                </wp:positionV>
                <wp:extent cx="2194560" cy="297815"/>
                <wp:effectExtent l="19050" t="19050" r="0" b="7620"/>
                <wp:wrapTight wrapText="bothSides">
                  <wp:wrapPolygon>
                    <wp:start x="21788" y="22985"/>
                    <wp:lineTo x="21788" y="-554"/>
                    <wp:lineTo x="38" y="-554"/>
                    <wp:lineTo x="38" y="22985"/>
                    <wp:lineTo x="21788" y="22985"/>
                  </wp:wrapPolygon>
                </wp:wrapTight>
                <wp:docPr id="1650793489" name="Text Box 18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C57C8F" w14:textId="0B5A0424">
                            <w:pPr>
                              <w:pStyle w:val="EQRWORKSHEETText"/>
                              <w:rPr>
                                <w:spacing w:val="-2"/>
                              </w:rPr>
                            </w:pPr>
                            <w:hyperlink w:anchor="WSp2n4" w:tooltip="WORKSHEET 2.4" w:history="1">
                              <w:r>
                                <w:rPr>
                                  <w:rStyle w:val="Hyperlink"/>
                                  <w:color w:val="006981"/>
                                </w:rPr>
                                <w:t>WORKSHEET 2.4</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0" o:spid="_x0000_s1092" type="#_x0000_t202" style="width:172.8pt;height:23.45pt;margin-top:6.8pt;margin-left:294.5pt;flip:y;mso-height-percent:0;mso-height-relative:page;mso-width-percent:0;mso-width-relative:page;mso-wrap-distance-bottom:0;mso-wrap-distance-left:9pt;mso-wrap-distance-right:9pt;mso-wrap-distance-top:0;mso-wrap-style:square;position:absolute;rotation:180;visibility:visible;v-text-anchor:top;z-index:251765760" fillcolor="#eef5f8" strokecolor="#a5dad9" strokeweight="2.25pt">
                <v:stroke endcap="round"/>
                <v:textbox style="mso-fit-shape-to-text:t" inset="8.64pt,,8.64pt">
                  <w:txbxContent>
                    <w:p w:rsidR="00ED33C3" w:rsidRPr="0090682E" w:rsidP="00C57C8F" w14:paraId="63CD3EF0" w14:textId="0B5A0424">
                      <w:pPr>
                        <w:pStyle w:val="EQRWORKSHEETText"/>
                        <w:rPr>
                          <w:spacing w:val="-2"/>
                        </w:rPr>
                      </w:pPr>
                      <w:hyperlink w:anchor="WSp2n4" w:tooltip="WORKSHEET 2.4" w:history="1">
                        <w:r>
                          <w:rPr>
                            <w:rStyle w:val="Hyperlink"/>
                            <w:color w:val="006981"/>
                          </w:rPr>
                          <w:t>WORKSHEET 2.4</w:t>
                        </w:r>
                      </w:hyperlink>
                    </w:p>
                  </w:txbxContent>
                </v:textbox>
                <w10:wrap type="tight"/>
              </v:shape>
            </w:pict>
          </mc:Fallback>
        </mc:AlternateContent>
      </w:r>
      <w:r w:rsidRPr="00990D3B" w:rsidR="003A35EB">
        <w:t>In this step, the EQRO contacts the MCP, b</w:t>
      </w:r>
      <w:r w:rsidRPr="00990D3B" w:rsidR="00112139">
        <w:t xml:space="preserve">efore conducting </w:t>
      </w:r>
      <w:r w:rsidRPr="00990D3B" w:rsidR="00E0729D">
        <w:t xml:space="preserve">the </w:t>
      </w:r>
      <w:r w:rsidRPr="00990D3B" w:rsidR="00112139">
        <w:t xml:space="preserve">site </w:t>
      </w:r>
      <w:r w:rsidRPr="00990D3B" w:rsidR="00E0729D">
        <w:t>visit</w:t>
      </w:r>
      <w:r w:rsidRPr="00990D3B" w:rsidR="00112139">
        <w:t xml:space="preserve"> to:</w:t>
      </w:r>
      <w:r w:rsidRPr="00990D3B" w:rsidR="008F7A5B">
        <w:rPr>
          <w:noProof/>
        </w:rPr>
        <w:t xml:space="preserve"> </w:t>
      </w:r>
    </w:p>
    <w:p w:rsidR="00112139" w:rsidRPr="00990D3B" w:rsidP="00FB7CAF" w14:paraId="612C9EAF" w14:textId="6C33B879">
      <w:pPr>
        <w:pStyle w:val="EQRBulletBLUE"/>
      </w:pPr>
      <w:r w:rsidRPr="00990D3B">
        <w:t>Explain the procedures and timeline for performance measure validation activities</w:t>
      </w:r>
      <w:r w:rsidRPr="00990D3B" w:rsidR="00D107B2">
        <w:t>.</w:t>
      </w:r>
    </w:p>
    <w:p w:rsidR="00112139" w:rsidRPr="00990D3B" w:rsidP="00FB7CAF" w14:paraId="07D07FB6" w14:textId="1738F9CA">
      <w:pPr>
        <w:pStyle w:val="EQRBulletBLUE"/>
      </w:pPr>
      <w:r w:rsidRPr="00990D3B">
        <w:t>Communicate the EQRO’s policies and procedures for safeguarding confidential information and signed confidentiality agreements</w:t>
      </w:r>
      <w:r w:rsidRPr="00990D3B" w:rsidR="00D107B2">
        <w:t>.</w:t>
      </w:r>
    </w:p>
    <w:p w:rsidR="00C051D1" w:rsidRPr="00990D3B" w:rsidP="00FB7CAF" w14:paraId="56F69CDB" w14:textId="60243BEC">
      <w:pPr>
        <w:pStyle w:val="EQRBulletBLUE"/>
      </w:pPr>
      <w:r w:rsidRPr="00990D3B">
        <w:t>Organize the site visit to ensure the availability of necessary documentation and staff</w:t>
      </w:r>
      <w:r w:rsidRPr="00990D3B" w:rsidR="00C366C9">
        <w:t xml:space="preserve"> (see </w:t>
      </w:r>
      <w:hyperlink w:anchor="Box2n3" w:tooltip="Box 2.3" w:history="1">
        <w:r w:rsidRPr="00990D3B" w:rsidR="003A35EB">
          <w:rPr>
            <w:rStyle w:val="Hyperlink"/>
          </w:rPr>
          <w:t>Box 2.3</w:t>
        </w:r>
      </w:hyperlink>
      <w:r w:rsidRPr="00990D3B" w:rsidR="00C366C9">
        <w:t>)</w:t>
      </w:r>
      <w:r w:rsidRPr="00990D3B" w:rsidR="00085700">
        <w:t>.</w:t>
      </w:r>
    </w:p>
    <w:p w:rsidR="00ED2F63" w:rsidRPr="00990D3B" w:rsidP="00BD1FC3" w14:paraId="323B95C9" w14:textId="1950A505">
      <w:pPr>
        <w:pStyle w:val="Paragraph0"/>
      </w:pPr>
      <w:r w:rsidRPr="00990D3B">
        <w:rPr>
          <w:noProof/>
        </w:rPr>
        <mc:AlternateContent>
          <mc:Choice Requires="wps">
            <w:drawing>
              <wp:inline distT="0" distB="0" distL="0" distR="0">
                <wp:extent cx="5897880" cy="1567180"/>
                <wp:effectExtent l="19050" t="19050" r="7620" b="0"/>
                <wp:docPr id="1739758194" name="Text Box 17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897880" cy="1567180"/>
                        </a:xfrm>
                        <a:prstGeom prst="rect">
                          <a:avLst/>
                        </a:prstGeom>
                        <a:solidFill>
                          <a:srgbClr val="EEF5F8"/>
                        </a:solidFill>
                        <a:ln w="28575" cap="rnd">
                          <a:solidFill>
                            <a:srgbClr val="A5DAD9"/>
                          </a:solidFill>
                          <a:prstDash val="solid"/>
                          <a:miter lim="800000"/>
                          <a:headEnd/>
                          <a:tailEnd/>
                        </a:ln>
                      </wps:spPr>
                      <wps:txbx>
                        <w:txbxContent>
                          <w:p w:rsidR="00ED33C3" w:rsidP="00ED2F63" w14:textId="2E4B4560">
                            <w:pPr>
                              <w:pStyle w:val="EQRTextboxheading"/>
                            </w:pPr>
                            <w:bookmarkStart w:id="253" w:name="Box2n3"/>
                            <w:r w:rsidRPr="00363ED3">
                              <w:t xml:space="preserve">Box </w:t>
                            </w:r>
                            <w:r w:rsidRPr="00AE4319">
                              <w:t>2.</w:t>
                            </w:r>
                            <w:r w:rsidRPr="00AE4319" w:rsidR="003A35EB">
                              <w:t>3</w:t>
                            </w:r>
                            <w:r w:rsidRPr="00363ED3">
                              <w:t xml:space="preserve">. </w:t>
                            </w:r>
                            <w:bookmarkEnd w:id="253"/>
                            <w:r w:rsidRPr="00363ED3">
                              <w:t>Potential Site Visit Participants</w:t>
                            </w:r>
                          </w:p>
                          <w:p w:rsidR="00ED33C3" w:rsidP="00ED2F63" w14:textId="1AC1BB59">
                            <w:pPr>
                              <w:pStyle w:val="EQRTextboxbody"/>
                            </w:pPr>
                            <w:r>
                              <w:t xml:space="preserve">During the site visit, the MCP should arrange for staff and vendors to meet with the EQRO to provide information about the processes to processes to calculate or report performance measures. </w:t>
                            </w:r>
                            <w:r w:rsidRPr="00D85531">
                              <w:t xml:space="preserve">The EQRO may want to </w:t>
                            </w:r>
                            <w:r>
                              <w:t>suggest to</w:t>
                            </w:r>
                            <w:r w:rsidRPr="00D85531">
                              <w:t xml:space="preserve"> the MCP that corporate staff—particularly IS staff—</w:t>
                            </w:r>
                            <w:r>
                              <w:t xml:space="preserve">be included in the site visit as corporate staff </w:t>
                            </w:r>
                            <w:r w:rsidRPr="00D85531">
                              <w:t xml:space="preserve">may </w:t>
                            </w:r>
                            <w:r>
                              <w:t xml:space="preserve">provide additional </w:t>
                            </w:r>
                            <w:r w:rsidRPr="00D85531">
                              <w:t>insight into some interview questions</w:t>
                            </w:r>
                            <w:r>
                              <w:t>. Participants may include:</w:t>
                            </w:r>
                          </w:p>
                          <w:p w:rsidR="00ED33C3" w:rsidP="00ED2F63" w14:textId="77777777">
                            <w:pPr>
                              <w:pStyle w:val="EQRTextboxbullet"/>
                            </w:pPr>
                            <w:r>
                              <w:t>The Director of Health/Medical Information Systems</w:t>
                            </w:r>
                          </w:p>
                          <w:p w:rsidR="00ED33C3" w:rsidP="00ED2F63" w14:textId="77777777">
                            <w:pPr>
                              <w:pStyle w:val="EQRTextboxbullet"/>
                            </w:pPr>
                            <w:r>
                              <w:t>Information system programmers or operators</w:t>
                            </w:r>
                          </w:p>
                          <w:p w:rsidR="00ED33C3" w:rsidP="00ED2F63" w14:textId="77777777">
                            <w:pPr>
                              <w:pStyle w:val="EQRTextboxbullet"/>
                            </w:pPr>
                            <w:r>
                              <w:t>Director of Member/Patient Services and staff</w:t>
                            </w:r>
                          </w:p>
                          <w:p w:rsidR="00ED33C3" w:rsidP="00ED2F63" w14:textId="77777777">
                            <w:pPr>
                              <w:pStyle w:val="EQRTextboxbullet"/>
                            </w:pPr>
                            <w:r>
                              <w:t>Director of Utilization Management and staff</w:t>
                            </w:r>
                          </w:p>
                          <w:p w:rsidR="00ED33C3" w:rsidRPr="0091147D" w:rsidP="00ED2F63" w14:textId="0E9F0AB2">
                            <w:pPr>
                              <w:pStyle w:val="EQRTextboxbullet"/>
                            </w:pPr>
                            <w:r>
                              <w:t>Director of Quality Improvement and staff</w:t>
                            </w:r>
                          </w:p>
                        </w:txbxContent>
                      </wps:txbx>
                      <wps:bodyPr rot="0" vert="horz" wrap="square" lIns="109728" tIns="45720" rIns="109728" bIns="45720" anchor="t" anchorCtr="0" upright="1">
                        <a:spAutoFit/>
                      </wps:bodyPr>
                    </wps:wsp>
                  </a:graphicData>
                </a:graphic>
              </wp:inline>
            </w:drawing>
          </mc:Choice>
          <mc:Fallback>
            <w:pict>
              <v:shape id="Text Box 179" o:spid="_x0000_i1093" type="#_x0000_t202" style="width:464.4pt;height:123.4pt;flip:y;mso-left-percent:-10001;mso-position-horizontal-relative:char;mso-position-vertical-relative:line;mso-top-percent:-10001;mso-wrap-style:square;rotation:180;visibility:visible;v-text-anchor:top" fillcolor="#eef5f8" strokecolor="#a5dad9" strokeweight="2.25pt">
                <v:stroke endcap="round"/>
                <v:textbox style="mso-fit-shape-to-text:t" inset="8.64pt,,8.64pt">
                  <w:txbxContent>
                    <w:p w:rsidR="00ED33C3" w:rsidP="00ED2F63" w14:paraId="0BFA31F1" w14:textId="2E4B4560">
                      <w:pPr>
                        <w:pStyle w:val="EQRTextboxheading"/>
                      </w:pPr>
                      <w:bookmarkStart w:id="253" w:name="Box2n3"/>
                      <w:r w:rsidRPr="00363ED3">
                        <w:t xml:space="preserve">Box </w:t>
                      </w:r>
                      <w:r w:rsidRPr="00AE4319">
                        <w:t>2.</w:t>
                      </w:r>
                      <w:r w:rsidRPr="00AE4319" w:rsidR="003A35EB">
                        <w:t>3</w:t>
                      </w:r>
                      <w:r w:rsidRPr="00363ED3">
                        <w:t xml:space="preserve">. </w:t>
                      </w:r>
                      <w:bookmarkEnd w:id="253"/>
                      <w:r w:rsidRPr="00363ED3">
                        <w:t>Potential Site Visit Participants</w:t>
                      </w:r>
                    </w:p>
                    <w:p w:rsidR="00ED33C3" w:rsidP="00ED2F63" w14:paraId="112E7737" w14:textId="1AC1BB59">
                      <w:pPr>
                        <w:pStyle w:val="EQRTextboxbody"/>
                      </w:pPr>
                      <w:r>
                        <w:t xml:space="preserve">During the site visit, the MCP should arrange for staff and vendors to meet with the EQRO to provide information about the processes to processes to calculate or report performance measures. </w:t>
                      </w:r>
                      <w:r w:rsidRPr="00D85531">
                        <w:t xml:space="preserve">The EQRO may want to </w:t>
                      </w:r>
                      <w:r>
                        <w:t>suggest to</w:t>
                      </w:r>
                      <w:r w:rsidRPr="00D85531">
                        <w:t xml:space="preserve"> the MCP that corporate staff—particularly IS staff—</w:t>
                      </w:r>
                      <w:r>
                        <w:t xml:space="preserve">be included in the site visit as corporate staff </w:t>
                      </w:r>
                      <w:r w:rsidRPr="00D85531">
                        <w:t xml:space="preserve">may </w:t>
                      </w:r>
                      <w:r>
                        <w:t xml:space="preserve">provide additional </w:t>
                      </w:r>
                      <w:r w:rsidRPr="00D85531">
                        <w:t>insight into some interview questions</w:t>
                      </w:r>
                      <w:r>
                        <w:t>. Participants may include:</w:t>
                      </w:r>
                    </w:p>
                    <w:p w:rsidR="00ED33C3" w:rsidP="00ED2F63" w14:paraId="3EA02CC2" w14:textId="77777777">
                      <w:pPr>
                        <w:pStyle w:val="EQRTextboxbullet"/>
                      </w:pPr>
                      <w:r>
                        <w:t>The Director of Health/Medical Information Systems</w:t>
                      </w:r>
                    </w:p>
                    <w:p w:rsidR="00ED33C3" w:rsidP="00ED2F63" w14:paraId="21E1D5A9" w14:textId="77777777">
                      <w:pPr>
                        <w:pStyle w:val="EQRTextboxbullet"/>
                      </w:pPr>
                      <w:r>
                        <w:t>Information system programmers or operators</w:t>
                      </w:r>
                    </w:p>
                    <w:p w:rsidR="00ED33C3" w:rsidP="00ED2F63" w14:paraId="6FCE7D4C" w14:textId="77777777">
                      <w:pPr>
                        <w:pStyle w:val="EQRTextboxbullet"/>
                      </w:pPr>
                      <w:r>
                        <w:t>Director of Member/Patient Services and staff</w:t>
                      </w:r>
                    </w:p>
                    <w:p w:rsidR="00ED33C3" w:rsidP="00ED2F63" w14:paraId="5FA9C2B2" w14:textId="77777777">
                      <w:pPr>
                        <w:pStyle w:val="EQRTextboxbullet"/>
                      </w:pPr>
                      <w:r>
                        <w:t>Director of Utilization Management and staff</w:t>
                      </w:r>
                    </w:p>
                    <w:p w:rsidR="00ED33C3" w:rsidRPr="0091147D" w:rsidP="00ED2F63" w14:paraId="185AAF90" w14:textId="0E9F0AB2">
                      <w:pPr>
                        <w:pStyle w:val="EQRTextboxbullet"/>
                      </w:pPr>
                      <w:r>
                        <w:t>Director of Quality Improvement and staff</w:t>
                      </w:r>
                    </w:p>
                  </w:txbxContent>
                </v:textbox>
                <w10:wrap type="none"/>
                <w10:anchorlock/>
              </v:shape>
            </w:pict>
          </mc:Fallback>
        </mc:AlternateContent>
      </w:r>
    </w:p>
    <w:p w:rsidR="00112139" w:rsidRPr="00990D3B" w:rsidP="00BD1FC3" w14:paraId="3957E1EB" w14:textId="5C8F3D6A">
      <w:pPr>
        <w:pStyle w:val="ParagraphContinued"/>
      </w:pPr>
      <w:r w:rsidRPr="00990D3B">
        <w:t xml:space="preserve">At this stage, the EQRO should also request confirmation of the list and description of state-required performance measures. The EQRO will provide the </w:t>
      </w:r>
      <w:r w:rsidRPr="00990D3B">
        <w:t>MCP</w:t>
      </w:r>
      <w:r w:rsidRPr="00990D3B">
        <w:t xml:space="preserve"> a list of documents, data, and procedures that may be reviewed before or during </w:t>
      </w:r>
      <w:r w:rsidRPr="00990D3B" w:rsidR="00E0729D">
        <w:t>the site visit</w:t>
      </w:r>
      <w:r w:rsidRPr="00990D3B">
        <w:t xml:space="preserve">. </w:t>
      </w:r>
    </w:p>
    <w:p w:rsidR="00112139" w:rsidRPr="00990D3B" w:rsidP="00BD1FC3" w14:paraId="6167BF3B" w14:textId="2560FEC9">
      <w:pPr>
        <w:pStyle w:val="H2"/>
      </w:pPr>
      <w:bookmarkStart w:id="254" w:name="P2Act2"/>
      <w:bookmarkStart w:id="255" w:name="P2A2"/>
      <w:bookmarkStart w:id="256" w:name="_Toc201751349"/>
      <w:bookmarkStart w:id="257" w:name="_Toc278836033"/>
      <w:bookmarkStart w:id="258" w:name="_Toc14777689"/>
      <w:bookmarkStart w:id="259" w:name="_Toc183005578"/>
      <w:bookmarkEnd w:id="254"/>
      <w:r w:rsidRPr="00990D3B">
        <w:t>A</w:t>
      </w:r>
      <w:r w:rsidRPr="00990D3B" w:rsidR="00065223">
        <w:t>ctivity</w:t>
      </w:r>
      <w:r w:rsidRPr="00990D3B">
        <w:t xml:space="preserve"> 2</w:t>
      </w:r>
      <w:bookmarkEnd w:id="255"/>
      <w:r w:rsidRPr="00990D3B">
        <w:t xml:space="preserve">: </w:t>
      </w:r>
      <w:r w:rsidRPr="00990D3B" w:rsidR="009601BC">
        <w:t>Conduct</w:t>
      </w:r>
      <w:r w:rsidRPr="00990D3B" w:rsidR="00827F26">
        <w:t xml:space="preserve"> </w:t>
      </w:r>
      <w:r w:rsidRPr="00990D3B" w:rsidR="0091583D">
        <w:t xml:space="preserve">MCP Site </w:t>
      </w:r>
      <w:r w:rsidRPr="00990D3B">
        <w:t>V</w:t>
      </w:r>
      <w:r w:rsidRPr="00990D3B" w:rsidR="00065223">
        <w:t>isit</w:t>
      </w:r>
      <w:bookmarkEnd w:id="256"/>
      <w:r w:rsidRPr="00990D3B" w:rsidR="00065223">
        <w:t xml:space="preserve"> </w:t>
      </w:r>
      <w:bookmarkEnd w:id="257"/>
      <w:bookmarkEnd w:id="258"/>
      <w:bookmarkEnd w:id="259"/>
    </w:p>
    <w:p w:rsidR="00112139" w:rsidRPr="00990D3B" w:rsidP="0057445C" w14:paraId="6420285A" w14:textId="53E7576B">
      <w:pPr>
        <w:pStyle w:val="ParagraphContinued"/>
      </w:pPr>
      <w:r w:rsidRPr="00990D3B">
        <w:t>S</w:t>
      </w:r>
      <w:r w:rsidRPr="00990D3B">
        <w:t xml:space="preserve">ite visit activities provide an opportunity for the EQRO to follow up on findings from the pre-site </w:t>
      </w:r>
      <w:r w:rsidRPr="00990D3B" w:rsidR="00A348C7">
        <w:t>IS</w:t>
      </w:r>
      <w:r w:rsidRPr="00990D3B">
        <w:t xml:space="preserve"> assessment and to confirm or clarify information about the production and reporting of performance measures through document review or </w:t>
      </w:r>
      <w:r w:rsidRPr="00990D3B" w:rsidR="00203831">
        <w:t>discussions</w:t>
      </w:r>
      <w:r w:rsidRPr="00990D3B">
        <w:t xml:space="preserve"> (</w:t>
      </w:r>
      <w:r w:rsidRPr="00990D3B" w:rsidR="00D353E6">
        <w:t>s</w:t>
      </w:r>
      <w:r w:rsidRPr="00990D3B">
        <w:t xml:space="preserve">ee </w:t>
      </w:r>
      <w:hyperlink w:anchor="Box2n4" w:tooltip="Box 2.4" w:history="1">
        <w:r w:rsidRPr="00990D3B" w:rsidR="003A35EB">
          <w:rPr>
            <w:rStyle w:val="Hyperlink"/>
          </w:rPr>
          <w:t>Box 2.4</w:t>
        </w:r>
      </w:hyperlink>
      <w:r w:rsidR="00F65AFF">
        <w:t>, next page</w:t>
      </w:r>
      <w:r w:rsidRPr="00990D3B">
        <w:t>).</w:t>
      </w:r>
    </w:p>
    <w:p w:rsidR="00ED2F63" w:rsidRPr="00990D3B" w:rsidP="00BD1FC3" w14:paraId="07E61C26" w14:textId="76D76A39">
      <w:pPr>
        <w:pStyle w:val="Paragraph0"/>
      </w:pPr>
      <w:r w:rsidRPr="00990D3B">
        <w:rPr>
          <w:noProof/>
        </w:rPr>
        <mc:AlternateContent>
          <mc:Choice Requires="wps">
            <w:drawing>
              <wp:inline distT="0" distB="0" distL="0" distR="0">
                <wp:extent cx="5897880" cy="1567180"/>
                <wp:effectExtent l="19050" t="19050" r="7620" b="0"/>
                <wp:docPr id="1089380382" name="Text Box 17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897880" cy="1567180"/>
                        </a:xfrm>
                        <a:prstGeom prst="rect">
                          <a:avLst/>
                        </a:prstGeom>
                        <a:solidFill>
                          <a:srgbClr val="EEF5F8"/>
                        </a:solidFill>
                        <a:ln w="28575" cap="rnd">
                          <a:solidFill>
                            <a:srgbClr val="A5DAD9"/>
                          </a:solidFill>
                          <a:prstDash val="solid"/>
                          <a:miter lim="800000"/>
                          <a:headEnd/>
                          <a:tailEnd/>
                        </a:ln>
                      </wps:spPr>
                      <wps:txbx>
                        <w:txbxContent>
                          <w:p w:rsidR="00ED33C3" w:rsidP="00EE7DA5" w14:textId="153CFF68">
                            <w:pPr>
                              <w:pStyle w:val="EQRTextboxheading"/>
                            </w:pPr>
                            <w:bookmarkStart w:id="260" w:name="Box2n4"/>
                            <w:bookmarkEnd w:id="260"/>
                            <w:r w:rsidRPr="00EE7DA5">
                              <w:t>Box 2.</w:t>
                            </w:r>
                            <w:r w:rsidR="003A35EB">
                              <w:t>4</w:t>
                            </w:r>
                            <w:r w:rsidRPr="00EE7DA5">
                              <w:t>. Purpose of the Site Visit</w:t>
                            </w:r>
                          </w:p>
                          <w:p w:rsidR="00316B58" w:rsidRPr="00EE7DA5" w:rsidP="00316B58" w14:textId="19E1FACC">
                            <w:pPr>
                              <w:pStyle w:val="EQRTextboxbody"/>
                            </w:pPr>
                            <w:r w:rsidRPr="00E8607F">
                              <w:t>Site visits play a critical role in the performance measure validation process by allowing reviewers to directly assess the data systems and processes used by managed care plans. The following activities illustrate the key purposes of a site visit and how it supports a comprehensive validation review:</w:t>
                            </w:r>
                          </w:p>
                          <w:p w:rsidR="00ED33C3" w:rsidRPr="00EE7DA5" w:rsidP="00EE7DA5" w14:textId="3439BFEA">
                            <w:pPr>
                              <w:pStyle w:val="EQRTextboxbullet"/>
                            </w:pPr>
                            <w:r w:rsidRPr="00EE7DA5">
                              <w:t>Confirm, observe, and query systems used to produce performance measure results, including membership, medical, pharmacy, provider, and other ancillary or supplemental data sources</w:t>
                            </w:r>
                            <w:r w:rsidR="00316B58">
                              <w:t>.</w:t>
                            </w:r>
                          </w:p>
                          <w:p w:rsidR="00ED33C3" w:rsidRPr="00EE7DA5" w:rsidP="00EE7DA5" w14:textId="0E600465">
                            <w:pPr>
                              <w:pStyle w:val="EQRTextboxbullet"/>
                            </w:pPr>
                            <w:r w:rsidRPr="00EE7DA5">
                              <w:t>Investigate and follow up on issues identified from the ISCA</w:t>
                            </w:r>
                            <w:r w:rsidR="00316B58">
                              <w:t>.</w:t>
                            </w:r>
                          </w:p>
                          <w:p w:rsidR="00ED33C3" w:rsidRPr="00EE7DA5" w:rsidP="00EE7DA5" w14:textId="45B1557F">
                            <w:pPr>
                              <w:pStyle w:val="EQRTextboxbullet"/>
                            </w:pPr>
                            <w:r w:rsidRPr="00EE7DA5">
                              <w:t>Assess data integration and control procedures for accurate production of the performance measures</w:t>
                            </w:r>
                            <w:r w:rsidR="00316B58">
                              <w:t>.</w:t>
                            </w:r>
                          </w:p>
                          <w:p w:rsidR="00ED33C3" w:rsidRPr="00EE7DA5" w:rsidP="00EE7DA5" w14:textId="42ED8E46">
                            <w:pPr>
                              <w:pStyle w:val="EQRTextboxbullet"/>
                            </w:pPr>
                            <w:r w:rsidRPr="00EE7DA5">
                              <w:t>Assess data completeness</w:t>
                            </w:r>
                            <w:r w:rsidR="00316B58">
                              <w:t>.</w:t>
                            </w:r>
                            <w:r w:rsidRPr="00EE7DA5">
                              <w:t xml:space="preserve"> </w:t>
                            </w:r>
                          </w:p>
                          <w:p w:rsidR="00ED33C3" w:rsidRPr="0091147D" w:rsidP="00EE7DA5" w14:textId="45BF2A79">
                            <w:pPr>
                              <w:pStyle w:val="EQRTextboxbullet"/>
                            </w:pPr>
                            <w:r w:rsidRPr="00EE7DA5">
                              <w:t>Confirm processes for calculating and reporting the performance measures</w:t>
                            </w:r>
                            <w:r w:rsidR="00316B58">
                              <w:t>.</w:t>
                            </w:r>
                          </w:p>
                        </w:txbxContent>
                      </wps:txbx>
                      <wps:bodyPr rot="0" vert="horz" wrap="square" lIns="109728" tIns="45720" rIns="109728" bIns="45720" anchor="t" anchorCtr="0" upright="1">
                        <a:spAutoFit/>
                      </wps:bodyPr>
                    </wps:wsp>
                  </a:graphicData>
                </a:graphic>
              </wp:inline>
            </w:drawing>
          </mc:Choice>
          <mc:Fallback>
            <w:pict>
              <v:shape id="Text Box 178" o:spid="_x0000_i1094" type="#_x0000_t202" style="width:464.4pt;height:123.4pt;flip:y;mso-left-percent:-10001;mso-position-horizontal-relative:char;mso-position-vertical-relative:line;mso-top-percent:-10001;mso-wrap-style:square;rotation:180;visibility:visible;v-text-anchor:top" fillcolor="#eef5f8" strokecolor="#a5dad9" strokeweight="2.25pt">
                <v:stroke endcap="round"/>
                <v:textbox style="mso-fit-shape-to-text:t" inset="8.64pt,,8.64pt">
                  <w:txbxContent>
                    <w:p w:rsidR="00ED33C3" w:rsidP="00EE7DA5" w14:paraId="5FE5D843" w14:textId="153CFF68">
                      <w:pPr>
                        <w:pStyle w:val="EQRTextboxheading"/>
                      </w:pPr>
                      <w:bookmarkStart w:id="260" w:name="Box2n4"/>
                      <w:bookmarkEnd w:id="260"/>
                      <w:r w:rsidRPr="00EE7DA5">
                        <w:t>Box 2.</w:t>
                      </w:r>
                      <w:r w:rsidR="003A35EB">
                        <w:t>4</w:t>
                      </w:r>
                      <w:r w:rsidRPr="00EE7DA5">
                        <w:t>. Purpose of the Site Visit</w:t>
                      </w:r>
                    </w:p>
                    <w:p w:rsidR="00316B58" w:rsidRPr="00EE7DA5" w:rsidP="00316B58" w14:paraId="0607565E" w14:textId="19E1FACC">
                      <w:pPr>
                        <w:pStyle w:val="EQRTextboxbody"/>
                      </w:pPr>
                      <w:r w:rsidRPr="00E8607F">
                        <w:t>Site visits play a critical role in the performance measure validation process by allowing reviewers to directly assess the data systems and processes used by managed care plans. The following activities illustrate the key purposes of a site visit and how it supports a comprehensive validation review:</w:t>
                      </w:r>
                    </w:p>
                    <w:p w:rsidR="00ED33C3" w:rsidRPr="00EE7DA5" w:rsidP="00EE7DA5" w14:paraId="0FA67B34" w14:textId="3439BFEA">
                      <w:pPr>
                        <w:pStyle w:val="EQRTextboxbullet"/>
                      </w:pPr>
                      <w:r w:rsidRPr="00EE7DA5">
                        <w:t>Confirm, observe, and query systems used to produce performance measure results, including membership, medical, pharmacy, provider, and other ancillary or supplemental data sources</w:t>
                      </w:r>
                      <w:r w:rsidR="00316B58">
                        <w:t>.</w:t>
                      </w:r>
                    </w:p>
                    <w:p w:rsidR="00ED33C3" w:rsidRPr="00EE7DA5" w:rsidP="00EE7DA5" w14:paraId="00D12CD9" w14:textId="0E600465">
                      <w:pPr>
                        <w:pStyle w:val="EQRTextboxbullet"/>
                      </w:pPr>
                      <w:r w:rsidRPr="00EE7DA5">
                        <w:t>Investigate and follow up on issues identified from the ISCA</w:t>
                      </w:r>
                      <w:r w:rsidR="00316B58">
                        <w:t>.</w:t>
                      </w:r>
                    </w:p>
                    <w:p w:rsidR="00ED33C3" w:rsidRPr="00EE7DA5" w:rsidP="00EE7DA5" w14:paraId="73B221B9" w14:textId="45B1557F">
                      <w:pPr>
                        <w:pStyle w:val="EQRTextboxbullet"/>
                      </w:pPr>
                      <w:r w:rsidRPr="00EE7DA5">
                        <w:t>Assess data integration and control procedures for accurate production of the performance measures</w:t>
                      </w:r>
                      <w:r w:rsidR="00316B58">
                        <w:t>.</w:t>
                      </w:r>
                    </w:p>
                    <w:p w:rsidR="00ED33C3" w:rsidRPr="00EE7DA5" w:rsidP="00EE7DA5" w14:paraId="13C4AC73" w14:textId="42ED8E46">
                      <w:pPr>
                        <w:pStyle w:val="EQRTextboxbullet"/>
                      </w:pPr>
                      <w:r w:rsidRPr="00EE7DA5">
                        <w:t>Assess data completeness</w:t>
                      </w:r>
                      <w:r w:rsidR="00316B58">
                        <w:t>.</w:t>
                      </w:r>
                      <w:r w:rsidRPr="00EE7DA5">
                        <w:t xml:space="preserve"> </w:t>
                      </w:r>
                    </w:p>
                    <w:p w:rsidR="00ED33C3" w:rsidRPr="0091147D" w:rsidP="00EE7DA5" w14:paraId="42B71B85" w14:textId="45BF2A79">
                      <w:pPr>
                        <w:pStyle w:val="EQRTextboxbullet"/>
                      </w:pPr>
                      <w:r w:rsidRPr="00EE7DA5">
                        <w:t>Confirm processes for calculating and reporting the performance measures</w:t>
                      </w:r>
                      <w:r w:rsidR="00316B58">
                        <w:t>.</w:t>
                      </w:r>
                    </w:p>
                  </w:txbxContent>
                </v:textbox>
                <w10:wrap type="none"/>
                <w10:anchorlock/>
              </v:shape>
            </w:pict>
          </mc:Fallback>
        </mc:AlternateContent>
      </w:r>
    </w:p>
    <w:p w:rsidR="00112139" w:rsidRPr="00990D3B" w:rsidP="001527A4" w14:paraId="40B8F071" w14:textId="0DBC0F94">
      <w:pPr>
        <w:pStyle w:val="ParagraphContinued"/>
      </w:pPr>
      <w:r w:rsidRPr="00990D3B">
        <w:t xml:space="preserve">During the </w:t>
      </w:r>
      <w:r w:rsidRPr="00990D3B" w:rsidR="00E0729D">
        <w:t>s</w:t>
      </w:r>
      <w:r w:rsidRPr="00990D3B">
        <w:t>ite visit</w:t>
      </w:r>
      <w:r w:rsidRPr="00990D3B" w:rsidR="00E25DF5">
        <w:t>, whether onsite or virtual</w:t>
      </w:r>
      <w:r w:rsidRPr="00990D3B">
        <w:t>, the EQRO will complete the following steps</w:t>
      </w:r>
      <w:r w:rsidRPr="00990D3B" w:rsidR="0039621B">
        <w:t>, which are described below</w:t>
      </w:r>
      <w:r w:rsidRPr="00990D3B">
        <w:t>:</w:t>
      </w:r>
    </w:p>
    <w:p w:rsidR="00112139" w:rsidRPr="00990D3B" w:rsidP="002D35CF" w14:paraId="11ED0089" w14:textId="3825C73E">
      <w:pPr>
        <w:pStyle w:val="ListNumber"/>
        <w:numPr>
          <w:ilvl w:val="0"/>
          <w:numId w:val="60"/>
        </w:numPr>
        <w:tabs>
          <w:tab w:val="num" w:pos="360"/>
          <w:tab w:val="clear" w:pos="630"/>
        </w:tabs>
        <w:ind w:left="360"/>
      </w:pPr>
      <w:r w:rsidRPr="00990D3B">
        <w:t xml:space="preserve">Review the </w:t>
      </w:r>
      <w:r w:rsidRPr="00990D3B" w:rsidR="00A348C7">
        <w:t>IS</w:t>
      </w:r>
      <w:r w:rsidRPr="00990D3B">
        <w:t xml:space="preserve"> underlying performance measurement</w:t>
      </w:r>
      <w:r w:rsidRPr="00990D3B" w:rsidR="003B5E7D">
        <w:t>.</w:t>
      </w:r>
      <w:r w:rsidRPr="00990D3B">
        <w:t xml:space="preserve"> </w:t>
      </w:r>
    </w:p>
    <w:p w:rsidR="00112139" w:rsidRPr="00990D3B" w:rsidP="00BA007D" w14:paraId="4C3A474F" w14:textId="45A6711A">
      <w:pPr>
        <w:pStyle w:val="ListNumber"/>
      </w:pPr>
      <w:r w:rsidRPr="00990D3B">
        <w:t>Assess data integration and control for performance measure calculation</w:t>
      </w:r>
      <w:r w:rsidRPr="00990D3B" w:rsidR="003B5E7D">
        <w:t>.</w:t>
      </w:r>
    </w:p>
    <w:p w:rsidR="00112139" w:rsidRPr="00990D3B" w:rsidP="00BA007D" w14:paraId="72CE7CBC" w14:textId="15CF57D7">
      <w:pPr>
        <w:pStyle w:val="ListNumber"/>
      </w:pPr>
      <w:r w:rsidRPr="00990D3B">
        <w:t>Review performance measurement production</w:t>
      </w:r>
      <w:r w:rsidRPr="00990D3B" w:rsidR="003B5E7D">
        <w:t>.</w:t>
      </w:r>
    </w:p>
    <w:p w:rsidR="00065223" w:rsidRPr="00990D3B" w:rsidP="00BA007D" w14:paraId="4A9643CB" w14:textId="497E91CF">
      <w:pPr>
        <w:pStyle w:val="ListNumber"/>
      </w:pPr>
      <w:r w:rsidRPr="00990D3B">
        <w:t>Complete the detailed review of measures</w:t>
      </w:r>
      <w:r w:rsidRPr="00990D3B" w:rsidR="003B5E7D">
        <w:t>.</w:t>
      </w:r>
    </w:p>
    <w:p w:rsidR="00112139" w:rsidRPr="00990D3B" w:rsidP="00BA007D" w14:paraId="2D850CA1" w14:textId="6748B830">
      <w:pPr>
        <w:pStyle w:val="ListNumber"/>
      </w:pPr>
      <w:r w:rsidRPr="00990D3B">
        <w:t>Assess the sampling process</w:t>
      </w:r>
      <w:r w:rsidRPr="00990D3B" w:rsidR="003B5E7D">
        <w:t>.</w:t>
      </w:r>
    </w:p>
    <w:p w:rsidR="004D06D6" w:rsidRPr="00990D3B" w:rsidP="00BA007D" w14:paraId="2C333A43" w14:textId="745D83B6">
      <w:pPr>
        <w:pStyle w:val="ListNumber"/>
      </w:pPr>
      <w:r w:rsidRPr="00990D3B">
        <w:t>Communicate</w:t>
      </w:r>
      <w:r w:rsidRPr="00990D3B" w:rsidR="00112139">
        <w:t xml:space="preserve"> preliminary findings and outstanding items</w:t>
      </w:r>
      <w:r w:rsidRPr="00990D3B" w:rsidR="003B5E7D">
        <w:t>.</w:t>
      </w:r>
    </w:p>
    <w:p w:rsidR="00D0663E" w:rsidRPr="00990D3B" w:rsidP="00BD1FC3" w14:paraId="5AB600B7" w14:textId="4774159B">
      <w:pPr>
        <w:pStyle w:val="H3"/>
        <w:spacing w:before="240"/>
      </w:pPr>
      <w:bookmarkStart w:id="261" w:name="P2Act2Step1"/>
      <w:bookmarkEnd w:id="261"/>
      <w:r w:rsidRPr="00990D3B">
        <w:t xml:space="preserve">Step 1: Review </w:t>
      </w:r>
      <w:r w:rsidRPr="00990D3B" w:rsidR="000673BE">
        <w:t>IS</w:t>
      </w:r>
      <w:r w:rsidRPr="00990D3B">
        <w:t xml:space="preserve"> Underlying Performance Measurement</w:t>
      </w:r>
    </w:p>
    <w:p w:rsidR="00112139" w:rsidRPr="00990D3B" w:rsidP="0057445C" w14:paraId="464CE490" w14:textId="4F97454D">
      <w:pPr>
        <w:pStyle w:val="ParagraphContinued"/>
      </w:pPr>
      <w:r w:rsidRPr="00990D3B">
        <w:rPr>
          <w:noProof/>
        </w:rPr>
        <mc:AlternateContent>
          <mc:Choice Requires="wps">
            <w:drawing>
              <wp:anchor distT="0" distB="0" distL="114300" distR="114300" simplePos="0" relativeHeight="251746304" behindDoc="0" locked="0" layoutInCell="1" allowOverlap="1">
                <wp:simplePos x="0" y="0"/>
                <wp:positionH relativeFrom="column">
                  <wp:posOffset>3714750</wp:posOffset>
                </wp:positionH>
                <wp:positionV relativeFrom="paragraph">
                  <wp:posOffset>497840</wp:posOffset>
                </wp:positionV>
                <wp:extent cx="2195195" cy="1910715"/>
                <wp:effectExtent l="19050" t="19050" r="0" b="0"/>
                <wp:wrapTight wrapText="bothSides">
                  <wp:wrapPolygon>
                    <wp:start x="21787" y="21815"/>
                    <wp:lineTo x="21787" y="57"/>
                    <wp:lineTo x="44" y="57"/>
                    <wp:lineTo x="44" y="21815"/>
                    <wp:lineTo x="21787" y="21815"/>
                  </wp:wrapPolygon>
                </wp:wrapTight>
                <wp:docPr id="872330414" name="Text Box 17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910715"/>
                        </a:xfrm>
                        <a:prstGeom prst="rect">
                          <a:avLst/>
                        </a:prstGeom>
                        <a:solidFill>
                          <a:srgbClr val="EEF5F8"/>
                        </a:solidFill>
                        <a:ln w="28575" cap="rnd">
                          <a:solidFill>
                            <a:srgbClr val="A5DAD9"/>
                          </a:solidFill>
                          <a:prstDash val="solid"/>
                          <a:miter lim="800000"/>
                          <a:headEnd/>
                          <a:tailEnd/>
                        </a:ln>
                      </wps:spPr>
                      <wps:txbx>
                        <w:txbxContent>
                          <w:p w:rsidR="00ED33C3" w:rsidP="00CB297D" w14:textId="1B2EAAA8">
                            <w:pPr>
                              <w:pStyle w:val="EQRTextboxheading"/>
                            </w:pPr>
                            <w:r>
                              <w:t>Resource for Activity 2, Step 1</w:t>
                            </w:r>
                            <w:r w:rsidRPr="00DE7C40">
                              <w:t xml:space="preserve"> </w:t>
                            </w:r>
                          </w:p>
                          <w:p w:rsidR="00ED33C3" w:rsidP="002B04B6" w14:textId="7BED494C">
                            <w:pPr>
                              <w:pStyle w:val="EQRTextboxbody"/>
                              <w:suppressOverlap/>
                            </w:pPr>
                            <w:hyperlink w:anchor="WSp2n5" w:tooltip="Worksheet 2.5. Interview Guide for MCP Data Integration and Control Personnel" w:history="1">
                              <w:r w:rsidRPr="00BF1B43">
                                <w:rPr>
                                  <w:rStyle w:val="Hyperlink"/>
                                </w:rPr>
                                <w:t>Worksheet 2.5. Interview Guide for MCP Data Integration and Control Personnel</w:t>
                              </w:r>
                            </w:hyperlink>
                          </w:p>
                          <w:p w:rsidR="00ED33C3" w:rsidRPr="0090682E" w:rsidP="002B04B6" w14:textId="46078291">
                            <w:pPr>
                              <w:pStyle w:val="EQRTextboxbullet"/>
                              <w:rPr>
                                <w:spacing w:val="-2"/>
                              </w:rPr>
                            </w:pPr>
                            <w:r w:rsidRPr="00E84907">
                              <w:t>Provides a list of interview questions for key staff involved in the production of performance measures using questions tailored to the MCP’s processes for producing these measures. Tailor the questions as appropriate</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7" o:spid="_x0000_s1095" type="#_x0000_t202" style="width:172.85pt;height:150.45pt;margin-top:39.2pt;margin-left:292.5pt;flip:y;mso-height-percent:0;mso-height-relative:page;mso-width-percent:0;mso-width-relative:page;mso-wrap-distance-bottom:0;mso-wrap-distance-left:9pt;mso-wrap-distance-right:9pt;mso-wrap-distance-top:0;mso-wrap-style:square;position:absolute;rotation:180;visibility:visible;v-text-anchor:top;z-index:251747328" fillcolor="#eef5f8" strokecolor="#a5dad9" strokeweight="2.25pt">
                <v:stroke endcap="round"/>
                <v:textbox style="mso-fit-shape-to-text:t" inset="8.64pt,,8.64pt">
                  <w:txbxContent>
                    <w:p w:rsidR="00ED33C3" w:rsidP="00CB297D" w14:paraId="7D34D6BC" w14:textId="1B2EAAA8">
                      <w:pPr>
                        <w:pStyle w:val="EQRTextboxheading"/>
                      </w:pPr>
                      <w:r>
                        <w:t>Resource for Activity 2, Step 1</w:t>
                      </w:r>
                      <w:r w:rsidRPr="00DE7C40">
                        <w:t xml:space="preserve"> </w:t>
                      </w:r>
                    </w:p>
                    <w:p w:rsidR="00ED33C3" w:rsidP="002B04B6" w14:paraId="688F75B7" w14:textId="7BED494C">
                      <w:pPr>
                        <w:pStyle w:val="EQRTextboxbody"/>
                        <w:suppressOverlap/>
                      </w:pPr>
                      <w:hyperlink w:anchor="WSp2n5" w:tooltip="Worksheet 2.5. Interview Guide for MCP Data Integration and Control Personnel" w:history="1">
                        <w:r w:rsidRPr="00BF1B43">
                          <w:rPr>
                            <w:rStyle w:val="Hyperlink"/>
                          </w:rPr>
                          <w:t>Worksheet 2.5. Interview Guide for MCP Data Integration and Control Personnel</w:t>
                        </w:r>
                      </w:hyperlink>
                    </w:p>
                    <w:p w:rsidR="00ED33C3" w:rsidRPr="0090682E" w:rsidP="002B04B6" w14:paraId="113C350F" w14:textId="46078291">
                      <w:pPr>
                        <w:pStyle w:val="EQRTextboxbullet"/>
                        <w:rPr>
                          <w:spacing w:val="-2"/>
                        </w:rPr>
                      </w:pPr>
                      <w:r w:rsidRPr="00E84907">
                        <w:t>Provides a list of interview questions for key staff involved in the production of performance measures using questions tailored to the MCP’s processes for producing these measures. Tailor the questions as appropriate</w:t>
                      </w:r>
                    </w:p>
                  </w:txbxContent>
                </v:textbox>
                <w10:wrap type="tight"/>
              </v:shape>
            </w:pict>
          </mc:Fallback>
        </mc:AlternateContent>
      </w:r>
      <w:r w:rsidRPr="00990D3B">
        <w:rPr>
          <w:noProof/>
        </w:rPr>
        <mc:AlternateContent>
          <mc:Choice Requires="wps">
            <w:drawing>
              <wp:anchor distT="0" distB="0" distL="114300" distR="114300" simplePos="0" relativeHeight="251748352" behindDoc="0" locked="0" layoutInCell="1" allowOverlap="1">
                <wp:simplePos x="0" y="0"/>
                <wp:positionH relativeFrom="column">
                  <wp:posOffset>3714750</wp:posOffset>
                </wp:positionH>
                <wp:positionV relativeFrom="paragraph">
                  <wp:posOffset>137160</wp:posOffset>
                </wp:positionV>
                <wp:extent cx="2194560" cy="297815"/>
                <wp:effectExtent l="19050" t="19050" r="0" b="7620"/>
                <wp:wrapTight wrapText="bothSides">
                  <wp:wrapPolygon>
                    <wp:start x="21788" y="22985"/>
                    <wp:lineTo x="21788" y="-554"/>
                    <wp:lineTo x="38" y="-554"/>
                    <wp:lineTo x="38" y="22985"/>
                    <wp:lineTo x="21788" y="22985"/>
                  </wp:wrapPolygon>
                </wp:wrapTight>
                <wp:docPr id="1749340620" name="Text Box 17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CB297D" w14:textId="2DCB0855">
                            <w:pPr>
                              <w:pStyle w:val="EQRWORKSHEETText"/>
                              <w:rPr>
                                <w:spacing w:val="-2"/>
                              </w:rPr>
                            </w:pPr>
                            <w:hyperlink w:anchor="WSp2n5" w:tooltip="WORKSHEET 2.5" w:history="1">
                              <w:r>
                                <w:rPr>
                                  <w:rStyle w:val="Hyperlink"/>
                                  <w:color w:val="006981"/>
                                </w:rPr>
                                <w:t>WORKSHEET 2.5</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6" o:spid="_x0000_s1096" type="#_x0000_t202" style="width:172.8pt;height:23.45pt;margin-top:10.8pt;margin-left:292.5pt;flip:y;mso-height-percent:0;mso-height-relative:page;mso-width-percent:0;mso-width-relative:page;mso-wrap-distance-bottom:0;mso-wrap-distance-left:9pt;mso-wrap-distance-right:9pt;mso-wrap-distance-top:0;mso-wrap-style:square;position:absolute;rotation:180;visibility:visible;v-text-anchor:top;z-index:251749376" fillcolor="#eef5f8" strokecolor="#a5dad9" strokeweight="2.25pt">
                <v:stroke endcap="round"/>
                <v:textbox style="mso-fit-shape-to-text:t" inset="8.64pt,,8.64pt">
                  <w:txbxContent>
                    <w:p w:rsidR="00ED33C3" w:rsidRPr="0090682E" w:rsidP="00CB297D" w14:paraId="2F2D0E8C" w14:textId="2DCB0855">
                      <w:pPr>
                        <w:pStyle w:val="EQRWORKSHEETText"/>
                        <w:rPr>
                          <w:spacing w:val="-2"/>
                        </w:rPr>
                      </w:pPr>
                      <w:hyperlink w:anchor="WSp2n5" w:tooltip="WORKSHEET 2.5" w:history="1">
                        <w:r>
                          <w:rPr>
                            <w:rStyle w:val="Hyperlink"/>
                            <w:color w:val="006981"/>
                          </w:rPr>
                          <w:t>WORKSHEET 2.5</w:t>
                        </w:r>
                      </w:hyperlink>
                    </w:p>
                  </w:txbxContent>
                </v:textbox>
                <w10:wrap type="tight"/>
              </v:shape>
            </w:pict>
          </mc:Fallback>
        </mc:AlternateContent>
      </w:r>
      <w:r w:rsidRPr="00990D3B" w:rsidR="00112139">
        <w:t>The review of the ISCA</w:t>
      </w:r>
      <w:r w:rsidRPr="00990D3B" w:rsidR="0008694C">
        <w:t>, which had begun during the pre-site phase,</w:t>
      </w:r>
      <w:r w:rsidRPr="00990D3B" w:rsidR="00112139">
        <w:t xml:space="preserve"> continues </w:t>
      </w:r>
      <w:r w:rsidRPr="00990D3B" w:rsidR="00E0729D">
        <w:t>during the site visit</w:t>
      </w:r>
      <w:r w:rsidRPr="00990D3B" w:rsidR="00112139">
        <w:t xml:space="preserve">. During this </w:t>
      </w:r>
      <w:r w:rsidRPr="00990D3B" w:rsidR="00A348C7">
        <w:t>step</w:t>
      </w:r>
      <w:r w:rsidRPr="00990D3B" w:rsidR="00112139">
        <w:t xml:space="preserve">, the EQRO reviews the </w:t>
      </w:r>
      <w:r w:rsidRPr="00990D3B" w:rsidR="00A348C7">
        <w:t>IS</w:t>
      </w:r>
      <w:r w:rsidRPr="00990D3B" w:rsidR="00112139">
        <w:t xml:space="preserve"> components that the MCP uses to produce performance measures via (1) staff interviews, (2) primary source documents, (3) systems and processes used to calculate performance measures, (4) data entry observation, and (5) data files. These sources are described below.</w:t>
      </w:r>
      <w:r w:rsidRPr="00990D3B" w:rsidR="008F7A5B">
        <w:rPr>
          <w:noProof/>
        </w:rPr>
        <w:t xml:space="preserve"> </w:t>
      </w:r>
    </w:p>
    <w:p w:rsidR="00112139" w:rsidRPr="00990D3B" w:rsidP="00811CA2" w14:paraId="0EE93A23" w14:textId="56203A59">
      <w:pPr>
        <w:pStyle w:val="H4"/>
      </w:pPr>
      <w:r w:rsidRPr="00990D3B">
        <w:t>Staff Interviews</w:t>
      </w:r>
    </w:p>
    <w:p w:rsidR="00112139" w:rsidRPr="00990D3B" w:rsidP="0057445C" w14:paraId="246811AE" w14:textId="477C6955">
      <w:pPr>
        <w:pStyle w:val="ParagraphContinued"/>
      </w:pPr>
      <w:r w:rsidRPr="00990D3B">
        <w:t xml:space="preserve">The EQRO will interview key staff (scheduled and confirmed ahead of the visit) involved in </w:t>
      </w:r>
      <w:r w:rsidRPr="00990D3B" w:rsidR="0008694C">
        <w:t>producing</w:t>
      </w:r>
      <w:r w:rsidRPr="00990D3B">
        <w:t xml:space="preserve"> performance measures using questions tailored to the MCP’s processes for producing performance measures based on findings from the ISCA. These interviews also provide an opportunity to supplement the review of information system policies, procedures, and data (described below). </w:t>
      </w:r>
    </w:p>
    <w:p w:rsidR="00112139" w:rsidRPr="00990D3B" w:rsidP="00811CA2" w14:paraId="477B0632" w14:textId="61BC49D1">
      <w:pPr>
        <w:pStyle w:val="H4"/>
      </w:pPr>
      <w:r w:rsidRPr="00990D3B">
        <w:t>Primary Source Verification</w:t>
      </w:r>
    </w:p>
    <w:p w:rsidR="00112139" w:rsidRPr="00990D3B" w:rsidP="0057445C" w14:paraId="55A978AA" w14:textId="0D3C52E6">
      <w:pPr>
        <w:pStyle w:val="ParagraphContinued"/>
      </w:pPr>
      <w:r w:rsidRPr="00990D3B">
        <w:t>The EQRO will review the primary source documents, including paper forms and other input to the MCP systems, and confirm that the information from the primary source matches the information used for performance measurement. In addition, the EQRO will review the processes used to input, confirm entry, and identify errors</w:t>
      </w:r>
      <w:r w:rsidRPr="00990D3B" w:rsidR="00F15198">
        <w:t xml:space="preserve"> and</w:t>
      </w:r>
      <w:r w:rsidRPr="00990D3B">
        <w:t xml:space="preserve"> processes used to transmit and track the data through systems. Typical forms the EQRO will review include:</w:t>
      </w:r>
    </w:p>
    <w:p w:rsidR="00112139" w:rsidRPr="00990D3B" w:rsidP="00FB7CAF" w14:paraId="6186FD0E" w14:textId="7FD3695C">
      <w:pPr>
        <w:pStyle w:val="EQRBulletBLUE"/>
      </w:pPr>
      <w:r w:rsidRPr="00990D3B">
        <w:t>Enrollee</w:t>
      </w:r>
      <w:r w:rsidRPr="00990D3B">
        <w:t>-initiated enrollment data</w:t>
      </w:r>
      <w:r w:rsidRPr="00990D3B" w:rsidR="00D107B2">
        <w:t>.</w:t>
      </w:r>
    </w:p>
    <w:p w:rsidR="00112139" w:rsidRPr="00990D3B" w:rsidP="00FB7CAF" w14:paraId="12A6E020" w14:textId="6C7DEA5A">
      <w:pPr>
        <w:pStyle w:val="EQRBulletBLUE"/>
      </w:pPr>
      <w:r w:rsidRPr="00990D3B">
        <w:t>Hospital claims/encounters</w:t>
      </w:r>
      <w:r w:rsidRPr="00990D3B" w:rsidR="00D107B2">
        <w:t>.</w:t>
      </w:r>
    </w:p>
    <w:p w:rsidR="00112139" w:rsidRPr="00990D3B" w:rsidP="00FB7CAF" w14:paraId="26F0DD87" w14:textId="35946952">
      <w:pPr>
        <w:pStyle w:val="EQRBulletBLUE"/>
      </w:pPr>
      <w:r w:rsidRPr="00990D3B">
        <w:t>Ambulatory claims/encounters</w:t>
      </w:r>
      <w:r w:rsidRPr="00990D3B" w:rsidR="00D107B2">
        <w:t>.</w:t>
      </w:r>
    </w:p>
    <w:p w:rsidR="00112139" w:rsidRPr="00990D3B" w:rsidP="00FB7CAF" w14:paraId="016F5CD6" w14:textId="1999348D">
      <w:pPr>
        <w:pStyle w:val="EQRBulletBLUE"/>
      </w:pPr>
      <w:r w:rsidRPr="00990D3B">
        <w:t>Prescription data</w:t>
      </w:r>
      <w:r w:rsidRPr="00990D3B" w:rsidR="00D107B2">
        <w:t>.</w:t>
      </w:r>
    </w:p>
    <w:p w:rsidR="00112139" w:rsidRPr="00990D3B" w:rsidP="00FB7CAF" w14:paraId="28493A96" w14:textId="2581BCD2">
      <w:pPr>
        <w:pStyle w:val="EQRBulletBLUE"/>
      </w:pPr>
      <w:r w:rsidRPr="00990D3B">
        <w:t>Practitioner demographic forms</w:t>
      </w:r>
      <w:r w:rsidRPr="00990D3B" w:rsidR="00D107B2">
        <w:t>.</w:t>
      </w:r>
    </w:p>
    <w:p w:rsidR="00112139" w:rsidRPr="00990D3B" w:rsidP="00FB7CAF" w14:paraId="1C5952DB" w14:textId="7D359595">
      <w:pPr>
        <w:pStyle w:val="EQRBulletBLUE"/>
      </w:pPr>
      <w:r w:rsidRPr="00990D3B">
        <w:t>Practitioner credentialing forms</w:t>
      </w:r>
      <w:r w:rsidRPr="00990D3B" w:rsidR="00D107B2">
        <w:t>.</w:t>
      </w:r>
    </w:p>
    <w:p w:rsidR="00112139" w:rsidRPr="00990D3B" w:rsidP="00FB7CAF" w14:paraId="29CC49AE" w14:textId="0BB87868">
      <w:pPr>
        <w:pStyle w:val="EQRBulletBLUE"/>
      </w:pPr>
      <w:r w:rsidRPr="00990D3B">
        <w:t>Claims logs</w:t>
      </w:r>
      <w:r w:rsidRPr="00990D3B" w:rsidR="00D107B2">
        <w:t>.</w:t>
      </w:r>
    </w:p>
    <w:p w:rsidR="00112139" w:rsidRPr="00990D3B" w:rsidP="00FB7CAF" w14:paraId="1D335731" w14:textId="3EEFEA40">
      <w:pPr>
        <w:pStyle w:val="EQRBulletBLUE"/>
      </w:pPr>
      <w:r w:rsidRPr="00990D3B">
        <w:t>Lab results</w:t>
      </w:r>
      <w:r w:rsidRPr="00990D3B" w:rsidR="00D107B2">
        <w:t>.</w:t>
      </w:r>
    </w:p>
    <w:p w:rsidR="00112139" w:rsidRPr="00990D3B" w:rsidP="00811CA2" w14:paraId="55A4ACC2" w14:textId="7E28D8D8">
      <w:pPr>
        <w:pStyle w:val="H4"/>
        <w:spacing w:before="240"/>
        <w:ind w:left="0" w:firstLine="0"/>
      </w:pPr>
      <w:r w:rsidRPr="00990D3B">
        <w:t>System and Process Review</w:t>
      </w:r>
    </w:p>
    <w:p w:rsidR="00112139" w:rsidRPr="00990D3B" w:rsidP="0057445C" w14:paraId="29846848" w14:textId="3EC1531E">
      <w:pPr>
        <w:pStyle w:val="ParagraphContinued"/>
      </w:pPr>
      <w:r w:rsidRPr="00990D3B">
        <w:t xml:space="preserve">The EQRO will review the MCP’s documentation describing the systems and processes used to calculate performance measures to confirm </w:t>
      </w:r>
      <w:r w:rsidRPr="00990D3B" w:rsidR="0008694C">
        <w:t xml:space="preserve">that </w:t>
      </w:r>
      <w:r w:rsidRPr="00990D3B">
        <w:t>they adhere to state policies and procedures. These include systems and processes for collecting, storing, and reporting data. All documentation received and examined must be recorded.</w:t>
      </w:r>
    </w:p>
    <w:p w:rsidR="00112139" w:rsidRPr="00990D3B" w:rsidP="00811CA2" w14:paraId="57A14D33" w14:textId="764E6EE5">
      <w:pPr>
        <w:pStyle w:val="H4"/>
      </w:pPr>
      <w:r w:rsidRPr="00990D3B">
        <w:t xml:space="preserve">Observation </w:t>
      </w:r>
    </w:p>
    <w:p w:rsidR="00112139" w:rsidRPr="00990D3B" w:rsidP="0057445C" w14:paraId="621B7C76" w14:textId="4DA356F6">
      <w:pPr>
        <w:pStyle w:val="ParagraphContinued"/>
      </w:pPr>
      <w:r w:rsidRPr="00990D3B">
        <w:t>The EQRO will observe key MCP processes required for performance measure calculation to assess data entry and other data manipulations. Examples include:</w:t>
      </w:r>
    </w:p>
    <w:p w:rsidR="00112139" w:rsidRPr="00990D3B" w:rsidP="00FB7CAF" w14:paraId="53829A06" w14:textId="24229993">
      <w:pPr>
        <w:pStyle w:val="EQRBulletBLUE"/>
      </w:pPr>
      <w:r w:rsidRPr="00990D3B">
        <w:t>Data entry of membership updates, claims/encounter data, and practitioner data (e.g., confirm that mandatory fields are required and invalid data elements are identified, such as invalid birth dates or invalid service dates)</w:t>
      </w:r>
      <w:r w:rsidRPr="00990D3B" w:rsidR="003B5E7D">
        <w:t>.</w:t>
      </w:r>
    </w:p>
    <w:p w:rsidR="00112139" w:rsidRPr="00990D3B" w:rsidP="00FB7CAF" w14:paraId="545BCC3E" w14:textId="7BD4A6D2">
      <w:pPr>
        <w:pStyle w:val="EQRBulletBLUE"/>
      </w:pPr>
      <w:r w:rsidRPr="00990D3B">
        <w:t>Claims operations</w:t>
      </w:r>
      <w:r w:rsidRPr="00990D3B" w:rsidR="0008694C">
        <w:t>,</w:t>
      </w:r>
      <w:r w:rsidRPr="00990D3B">
        <w:t xml:space="preserve"> including overrides or exceptions</w:t>
      </w:r>
      <w:r w:rsidRPr="00990D3B" w:rsidR="003B5E7D">
        <w:t>.</w:t>
      </w:r>
    </w:p>
    <w:p w:rsidR="00112139" w:rsidRPr="00990D3B" w:rsidP="00FB7CAF" w14:paraId="60B74E39" w14:textId="3CE0A112">
      <w:pPr>
        <w:pStyle w:val="EQRBulletBLUE"/>
      </w:pPr>
      <w:r w:rsidRPr="00990D3B">
        <w:t>Computer operations and security plans to confirm procedures are followed</w:t>
      </w:r>
      <w:r w:rsidRPr="00990D3B" w:rsidR="003B5E7D">
        <w:t>.</w:t>
      </w:r>
    </w:p>
    <w:p w:rsidR="00112139" w:rsidRPr="00990D3B" w:rsidP="00BD1FC3" w14:paraId="7340C987" w14:textId="269264F9">
      <w:pPr>
        <w:pStyle w:val="ParagraphContinued"/>
      </w:pPr>
      <w:r w:rsidRPr="00990D3B">
        <w:t xml:space="preserve">The EQRO will directly observe </w:t>
      </w:r>
      <w:r w:rsidRPr="00990D3B" w:rsidR="00BB7A0D">
        <w:t>the Extract, Transform, and Load (ETL) process</w:t>
      </w:r>
      <w:r w:rsidRPr="00990D3B" w:rsidR="003162DF">
        <w:rPr>
          <w:rFonts w:ascii="ZWAdobeF" w:hAnsi="ZWAdobeF" w:cs="ZWAdobeF"/>
          <w:sz w:val="2"/>
          <w:szCs w:val="2"/>
        </w:rPr>
        <w:t>49F</w:t>
      </w:r>
      <w:r>
        <w:rPr>
          <w:rStyle w:val="FootnoteReference"/>
        </w:rPr>
        <w:footnoteReference w:id="55"/>
      </w:r>
      <w:r w:rsidRPr="00990D3B" w:rsidR="00BB7A0D">
        <w:t xml:space="preserve"> and its replicatio</w:t>
      </w:r>
      <w:r w:rsidRPr="00990D3B" w:rsidR="00DA7B0A">
        <w:t xml:space="preserve">n by two separate operators </w:t>
      </w:r>
      <w:r w:rsidRPr="00990D3B">
        <w:t xml:space="preserve">through the process using an observation guide to confirm </w:t>
      </w:r>
      <w:r w:rsidRPr="00990D3B">
        <w:t xml:space="preserve">the activities, as well as the process where data are incomplete (e.g., a claim without a provider identification number). </w:t>
      </w:r>
    </w:p>
    <w:p w:rsidR="00112139" w:rsidRPr="00990D3B" w:rsidP="00811CA2" w14:paraId="178044AB" w14:textId="6840B256">
      <w:pPr>
        <w:pStyle w:val="H4"/>
      </w:pPr>
      <w:r w:rsidRPr="00990D3B">
        <w:t>Data File Review</w:t>
      </w:r>
    </w:p>
    <w:p w:rsidR="00112139" w:rsidRPr="00990D3B" w:rsidP="0057445C" w14:paraId="2ED71B14" w14:textId="51FDBAAC">
      <w:pPr>
        <w:pStyle w:val="ParagraphContinued"/>
      </w:pPr>
      <w:r w:rsidRPr="00990D3B">
        <w:t xml:space="preserve">The EQRO will directly examine data files to confirm </w:t>
      </w:r>
      <w:r w:rsidRPr="00990D3B" w:rsidR="0008694C">
        <w:t xml:space="preserve">that </w:t>
      </w:r>
      <w:r w:rsidRPr="00990D3B">
        <w:t>the data are stored and processed according to the documentation provided. Examples of files to review include:</w:t>
      </w:r>
    </w:p>
    <w:p w:rsidR="00112139" w:rsidRPr="00990D3B" w:rsidP="00FB7CAF" w14:paraId="0D36A8A2" w14:textId="2AA401EA">
      <w:pPr>
        <w:pStyle w:val="EQRBulletBLUE"/>
      </w:pPr>
      <w:r w:rsidRPr="00990D3B">
        <w:t>Transaction files for clinical services, membership, and practitioner changes</w:t>
      </w:r>
      <w:r w:rsidRPr="00990D3B" w:rsidR="003B5E7D">
        <w:t>.</w:t>
      </w:r>
    </w:p>
    <w:p w:rsidR="00112139" w:rsidRPr="00990D3B" w:rsidP="00FB7CAF" w14:paraId="04F00494" w14:textId="01577C24">
      <w:pPr>
        <w:pStyle w:val="EQRBulletBLUE"/>
      </w:pPr>
      <w:r w:rsidRPr="00990D3B">
        <w:t>Intermediate files created by extracts, queries, and analysis applications</w:t>
      </w:r>
      <w:r w:rsidRPr="00990D3B" w:rsidR="003B5E7D">
        <w:t>.</w:t>
      </w:r>
    </w:p>
    <w:p w:rsidR="008868F1" w:rsidRPr="00990D3B" w:rsidP="00FB7CAF" w14:paraId="0D6BFFC6" w14:textId="41082F61">
      <w:pPr>
        <w:pStyle w:val="EQRBulletBLUE"/>
      </w:pPr>
      <w:r w:rsidRPr="00990D3B">
        <w:t>Data repository files</w:t>
      </w:r>
      <w:r w:rsidRPr="00990D3B" w:rsidR="003B5E7D">
        <w:t>.</w:t>
      </w:r>
      <w:bookmarkStart w:id="262" w:name="P2Act2Step2"/>
      <w:bookmarkEnd w:id="262"/>
    </w:p>
    <w:p w:rsidR="003A3000" w:rsidRPr="00990D3B" w:rsidP="00BD1FC3" w14:paraId="0FC4E50A" w14:textId="5B87AD99">
      <w:pPr>
        <w:pStyle w:val="H3"/>
        <w:spacing w:before="240"/>
      </w:pPr>
      <w:r w:rsidRPr="00990D3B">
        <w:t>Step 2:</w:t>
      </w:r>
      <w:r w:rsidRPr="00990D3B" w:rsidR="00177675">
        <w:tab/>
      </w:r>
      <w:r w:rsidRPr="00990D3B">
        <w:t>Assess Data Integration and Control for Perform</w:t>
      </w:r>
      <w:r w:rsidRPr="00990D3B" w:rsidR="0077338A">
        <w:t>ance Measure Calculation</w:t>
      </w:r>
    </w:p>
    <w:p w:rsidR="00112139" w:rsidRPr="00990D3B" w:rsidP="0057445C" w14:paraId="2EDC4D53" w14:textId="20074954">
      <w:pPr>
        <w:pStyle w:val="ParagraphContinued"/>
      </w:pPr>
      <w:r w:rsidRPr="00990D3B">
        <w:rPr>
          <w:noProof/>
        </w:rPr>
        <mc:AlternateContent>
          <mc:Choice Requires="wps">
            <w:drawing>
              <wp:anchor distT="0" distB="0" distL="114300" distR="114300" simplePos="0" relativeHeight="251752448" behindDoc="0" locked="0" layoutInCell="1" allowOverlap="1">
                <wp:simplePos x="0" y="0"/>
                <wp:positionH relativeFrom="column">
                  <wp:posOffset>3730625</wp:posOffset>
                </wp:positionH>
                <wp:positionV relativeFrom="paragraph">
                  <wp:posOffset>48895</wp:posOffset>
                </wp:positionV>
                <wp:extent cx="2193925" cy="297815"/>
                <wp:effectExtent l="19050" t="19050" r="0" b="7620"/>
                <wp:wrapTight wrapText="bothSides">
                  <wp:wrapPolygon>
                    <wp:start x="21788" y="22985"/>
                    <wp:lineTo x="21788" y="-554"/>
                    <wp:lineTo x="31" y="-554"/>
                    <wp:lineTo x="31" y="22985"/>
                    <wp:lineTo x="21788" y="22985"/>
                  </wp:wrapPolygon>
                </wp:wrapTight>
                <wp:docPr id="1626348095" name="Text Box 17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CB297D" w14:textId="2CD01113">
                            <w:pPr>
                              <w:pStyle w:val="EQRWORKSHEETText"/>
                              <w:rPr>
                                <w:spacing w:val="-2"/>
                              </w:rPr>
                            </w:pPr>
                            <w:hyperlink w:anchor="WSp2n6" w:tooltip="WORKSHEET 2.6" w:history="1">
                              <w:r>
                                <w:rPr>
                                  <w:rStyle w:val="Hyperlink"/>
                                  <w:color w:val="006981"/>
                                </w:rPr>
                                <w:t>WORKSHEET 2.6</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4" o:spid="_x0000_s1097" type="#_x0000_t202" style="width:172.75pt;height:23.45pt;margin-top:3.85pt;margin-left:293.75pt;flip:y;mso-height-percent:0;mso-height-relative:page;mso-width-percent:0;mso-width-relative:page;mso-wrap-distance-bottom:0;mso-wrap-distance-left:9pt;mso-wrap-distance-right:9pt;mso-wrap-distance-top:0;mso-wrap-style:square;position:absolute;rotation:180;visibility:visible;v-text-anchor:top;z-index:251753472" fillcolor="#eef5f8" strokecolor="#a5dad9" strokeweight="2.25pt">
                <v:stroke endcap="round"/>
                <v:textbox style="mso-fit-shape-to-text:t" inset="8.64pt,,8.64pt">
                  <w:txbxContent>
                    <w:p w:rsidR="00ED33C3" w:rsidRPr="0090682E" w:rsidP="00CB297D" w14:paraId="29FF2690" w14:textId="2CD01113">
                      <w:pPr>
                        <w:pStyle w:val="EQRWORKSHEETText"/>
                        <w:rPr>
                          <w:spacing w:val="-2"/>
                        </w:rPr>
                      </w:pPr>
                      <w:hyperlink w:anchor="WSp2n6" w:tooltip="WORKSHEET 2.6" w:history="1">
                        <w:r>
                          <w:rPr>
                            <w:rStyle w:val="Hyperlink"/>
                            <w:color w:val="006981"/>
                          </w:rPr>
                          <w:t>WORKSHEET 2.6</w:t>
                        </w:r>
                      </w:hyperlink>
                    </w:p>
                  </w:txbxContent>
                </v:textbox>
                <w10:wrap type="tight"/>
              </v:shape>
            </w:pict>
          </mc:Fallback>
        </mc:AlternateContent>
      </w:r>
      <w:r w:rsidRPr="00990D3B">
        <w:rPr>
          <w:noProof/>
        </w:rPr>
        <mc:AlternateContent>
          <mc:Choice Requires="wps">
            <w:drawing>
              <wp:anchor distT="0" distB="0" distL="114300" distR="114300" simplePos="0" relativeHeight="251750400" behindDoc="0" locked="0" layoutInCell="1" allowOverlap="1">
                <wp:simplePos x="0" y="0"/>
                <wp:positionH relativeFrom="column">
                  <wp:posOffset>3730128</wp:posOffset>
                </wp:positionH>
                <wp:positionV relativeFrom="paragraph">
                  <wp:posOffset>401569</wp:posOffset>
                </wp:positionV>
                <wp:extent cx="2194560" cy="1300480"/>
                <wp:effectExtent l="19050" t="19050" r="0" b="0"/>
                <wp:wrapTight wrapText="bothSides">
                  <wp:wrapPolygon>
                    <wp:start x="21788" y="21916"/>
                    <wp:lineTo x="21788" y="84"/>
                    <wp:lineTo x="38" y="84"/>
                    <wp:lineTo x="38" y="21916"/>
                    <wp:lineTo x="21788" y="21916"/>
                  </wp:wrapPolygon>
                </wp:wrapTight>
                <wp:docPr id="45680442" name="Text Box 17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1300480"/>
                        </a:xfrm>
                        <a:prstGeom prst="rect">
                          <a:avLst/>
                        </a:prstGeom>
                        <a:solidFill>
                          <a:srgbClr val="EEF5F8"/>
                        </a:solidFill>
                        <a:ln w="28575" cap="rnd">
                          <a:solidFill>
                            <a:srgbClr val="A5DAD9"/>
                          </a:solidFill>
                          <a:prstDash val="solid"/>
                          <a:miter lim="800000"/>
                          <a:headEnd/>
                          <a:tailEnd/>
                        </a:ln>
                      </wps:spPr>
                      <wps:txbx>
                        <w:txbxContent>
                          <w:p w:rsidR="00ED33C3" w:rsidP="00CB297D" w14:textId="5DC74C41">
                            <w:pPr>
                              <w:pStyle w:val="EQRTextboxheading"/>
                            </w:pPr>
                            <w:r>
                              <w:t>Resource for Activity 2, Step 2</w:t>
                            </w:r>
                            <w:r w:rsidRPr="00DE7C40">
                              <w:t xml:space="preserve"> </w:t>
                            </w:r>
                          </w:p>
                          <w:p w:rsidR="00ED33C3" w:rsidP="00534127" w14:textId="1FD5C19E">
                            <w:pPr>
                              <w:pStyle w:val="EQRTextboxbody"/>
                            </w:pPr>
                            <w:hyperlink w:anchor="WSp2n6" w:tooltip="Worksheet 2.6 Data Integration and Control Findings Tool" w:history="1">
                              <w:r w:rsidRPr="00941DA6">
                                <w:rPr>
                                  <w:rStyle w:val="Hyperlink"/>
                                </w:rPr>
                                <w:t>Worksheet 2.6 Data Integration and Control Findings Tool</w:t>
                              </w:r>
                            </w:hyperlink>
                          </w:p>
                          <w:p w:rsidR="00ED33C3" w:rsidRPr="0090682E" w:rsidP="00534127" w14:textId="18545868">
                            <w:pPr>
                              <w:pStyle w:val="EQRTextboxbullet"/>
                              <w:rPr>
                                <w:spacing w:val="-2"/>
                              </w:rPr>
                            </w:pPr>
                            <w:r>
                              <w:t>Guides the EQRO’s review of data integration and control elements during the site visit</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5" o:spid="_x0000_s1098" type="#_x0000_t202" style="width:172.8pt;height:102.4pt;margin-top:31.6pt;margin-left:293.7pt;flip:y;mso-height-percent:0;mso-height-relative:page;mso-width-percent:0;mso-width-relative:page;mso-wrap-distance-bottom:0;mso-wrap-distance-left:9pt;mso-wrap-distance-right:9pt;mso-wrap-distance-top:0;mso-wrap-style:square;position:absolute;rotation:180;visibility:visible;v-text-anchor:top;z-index:251751424" fillcolor="#eef5f8" strokecolor="#a5dad9" strokeweight="2.25pt">
                <v:stroke endcap="round"/>
                <v:textbox style="mso-fit-shape-to-text:t" inset="8.64pt,,8.64pt">
                  <w:txbxContent>
                    <w:p w:rsidR="00ED33C3" w:rsidP="00CB297D" w14:paraId="618118F1" w14:textId="5DC74C41">
                      <w:pPr>
                        <w:pStyle w:val="EQRTextboxheading"/>
                      </w:pPr>
                      <w:r>
                        <w:t>Resource for Activity 2, Step 2</w:t>
                      </w:r>
                      <w:r w:rsidRPr="00DE7C40">
                        <w:t xml:space="preserve"> </w:t>
                      </w:r>
                    </w:p>
                    <w:p w:rsidR="00ED33C3" w:rsidP="00534127" w14:paraId="3B24421B" w14:textId="1FD5C19E">
                      <w:pPr>
                        <w:pStyle w:val="EQRTextboxbody"/>
                      </w:pPr>
                      <w:hyperlink w:anchor="WSp2n6" w:tooltip="Worksheet 2.6 Data Integration and Control Findings Tool" w:history="1">
                        <w:r w:rsidRPr="00941DA6">
                          <w:rPr>
                            <w:rStyle w:val="Hyperlink"/>
                          </w:rPr>
                          <w:t>Worksheet 2.6 Data Integration and Control Findings Tool</w:t>
                        </w:r>
                      </w:hyperlink>
                    </w:p>
                    <w:p w:rsidR="00ED33C3" w:rsidRPr="0090682E" w:rsidP="00534127" w14:paraId="074CCDDD" w14:textId="18545868">
                      <w:pPr>
                        <w:pStyle w:val="EQRTextboxbullet"/>
                        <w:rPr>
                          <w:spacing w:val="-2"/>
                        </w:rPr>
                      </w:pPr>
                      <w:r>
                        <w:t>Guides the EQRO’s review of data integration and control elements during the site visit</w:t>
                      </w:r>
                    </w:p>
                  </w:txbxContent>
                </v:textbox>
                <w10:wrap type="tight"/>
              </v:shape>
            </w:pict>
          </mc:Fallback>
        </mc:AlternateContent>
      </w:r>
      <w:r w:rsidRPr="00990D3B" w:rsidR="00112139">
        <w:t>In this step, the EQRO assess</w:t>
      </w:r>
      <w:r w:rsidRPr="00990D3B" w:rsidR="003A35EB">
        <w:t>es</w:t>
      </w:r>
      <w:r w:rsidRPr="00990D3B" w:rsidR="00112139">
        <w:t xml:space="preserve"> the MCP’s ability to link data from multiple sources and the extent to which the MCP has created systems and processes to ensure the accuracy of the calculated performance measures. </w:t>
      </w:r>
      <w:hyperlink w:anchor="WSp2n6" w:tooltip="Worksheet 2.6" w:history="1">
        <w:r w:rsidRPr="00990D3B" w:rsidR="00112139">
          <w:rPr>
            <w:rStyle w:val="Hyperlink"/>
          </w:rPr>
          <w:t>Worksheet 2.6</w:t>
        </w:r>
      </w:hyperlink>
      <w:r w:rsidRPr="00990D3B" w:rsidR="00112139">
        <w:t xml:space="preserve"> helps the EQRO review:</w:t>
      </w:r>
      <w:r w:rsidRPr="00990D3B" w:rsidR="00E84907">
        <w:rPr>
          <w:noProof/>
        </w:rPr>
        <w:t xml:space="preserve"> </w:t>
      </w:r>
    </w:p>
    <w:p w:rsidR="00112139" w:rsidRPr="00990D3B" w:rsidP="00FB7CAF" w14:paraId="548F3E58" w14:textId="4EE364A5">
      <w:pPr>
        <w:pStyle w:val="EQRBulletBLUE"/>
      </w:pPr>
      <w:r w:rsidRPr="00990D3B">
        <w:t>Accuracy of data transfers to the assigned performance measure repository</w:t>
      </w:r>
      <w:r w:rsidRPr="00990D3B" w:rsidR="003B5E7D">
        <w:t>.</w:t>
      </w:r>
    </w:p>
    <w:p w:rsidR="00112139" w:rsidRPr="00990D3B" w:rsidP="00FB7CAF" w14:paraId="1657A3F7" w14:textId="28DEDCF9">
      <w:pPr>
        <w:pStyle w:val="EQRBulletBLUE"/>
      </w:pPr>
      <w:r w:rsidRPr="00990D3B">
        <w:t>Accuracy of file consolidations, extracts, and derivations</w:t>
      </w:r>
      <w:r w:rsidRPr="00990D3B" w:rsidR="003B5E7D">
        <w:t>.</w:t>
      </w:r>
    </w:p>
    <w:p w:rsidR="00112139" w:rsidRPr="00990D3B" w:rsidP="00FB7CAF" w14:paraId="3B3A0715" w14:textId="3E80BFAB">
      <w:pPr>
        <w:pStyle w:val="EQRBulletBLUE"/>
      </w:pPr>
      <w:r w:rsidRPr="00990D3B">
        <w:t>Adequacy of the performance measure data repository to calculate and report performance measures</w:t>
      </w:r>
      <w:r w:rsidRPr="00990D3B" w:rsidR="003B5E7D">
        <w:t>.</w:t>
      </w:r>
    </w:p>
    <w:p w:rsidR="00112139" w:rsidRPr="00990D3B" w:rsidP="00FB7CAF" w14:paraId="3C2E8DFD" w14:textId="61E634CE">
      <w:pPr>
        <w:pStyle w:val="EQRBulletBLUE"/>
      </w:pPr>
      <w:r w:rsidRPr="00990D3B">
        <w:t>Management of report production and reporting software</w:t>
      </w:r>
      <w:r w:rsidRPr="00990D3B" w:rsidR="003B5E7D">
        <w:t>.</w:t>
      </w:r>
    </w:p>
    <w:p w:rsidR="003A3000" w:rsidRPr="00990D3B" w:rsidP="00BD1FC3" w14:paraId="1016E6DB" w14:textId="7600AB1C">
      <w:pPr>
        <w:pStyle w:val="H3"/>
      </w:pPr>
      <w:bookmarkStart w:id="263" w:name="P2Act2Step3"/>
      <w:bookmarkEnd w:id="263"/>
      <w:r w:rsidRPr="00990D3B">
        <w:t>Step 3:</w:t>
      </w:r>
      <w:r w:rsidRPr="00990D3B" w:rsidR="00177675">
        <w:tab/>
      </w:r>
      <w:r w:rsidRPr="00990D3B">
        <w:t>Review</w:t>
      </w:r>
      <w:r w:rsidRPr="00990D3B" w:rsidR="0077338A">
        <w:t xml:space="preserve"> Performance Measure Production</w:t>
      </w:r>
    </w:p>
    <w:p w:rsidR="00112139" w:rsidRPr="00990D3B" w:rsidP="0057445C" w14:paraId="590F4DF4" w14:textId="2C607AC5">
      <w:pPr>
        <w:pStyle w:val="ParagraphContinued"/>
      </w:pPr>
      <w:r w:rsidRPr="00990D3B">
        <w:rPr>
          <w:noProof/>
        </w:rPr>
        <mc:AlternateContent>
          <mc:Choice Requires="wps">
            <w:drawing>
              <wp:anchor distT="0" distB="0" distL="114300" distR="114300" simplePos="0" relativeHeight="251770880" behindDoc="0" locked="0" layoutInCell="1" allowOverlap="1">
                <wp:simplePos x="0" y="0"/>
                <wp:positionH relativeFrom="column">
                  <wp:posOffset>3672205</wp:posOffset>
                </wp:positionH>
                <wp:positionV relativeFrom="paragraph">
                  <wp:posOffset>778510</wp:posOffset>
                </wp:positionV>
                <wp:extent cx="2194560" cy="2976880"/>
                <wp:effectExtent l="19050" t="19050" r="0" b="0"/>
                <wp:wrapTight wrapText="bothSides">
                  <wp:wrapPolygon>
                    <wp:start x="21788" y="21738"/>
                    <wp:lineTo x="21788" y="37"/>
                    <wp:lineTo x="38" y="37"/>
                    <wp:lineTo x="38" y="21738"/>
                    <wp:lineTo x="21788" y="21738"/>
                  </wp:wrapPolygon>
                </wp:wrapTight>
                <wp:docPr id="1301209047" name="Text Box 17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6880"/>
                        </a:xfrm>
                        <a:prstGeom prst="rect">
                          <a:avLst/>
                        </a:prstGeom>
                        <a:solidFill>
                          <a:srgbClr val="EEF5F8"/>
                        </a:solidFill>
                        <a:ln w="28575" cap="rnd">
                          <a:solidFill>
                            <a:srgbClr val="A5DAD9"/>
                          </a:solidFill>
                          <a:prstDash val="solid"/>
                          <a:miter lim="800000"/>
                          <a:headEnd/>
                          <a:tailEnd/>
                        </a:ln>
                      </wps:spPr>
                      <wps:txbx>
                        <w:txbxContent>
                          <w:p w:rsidR="00ED33C3" w:rsidP="00D004BC" w14:textId="2579484A">
                            <w:pPr>
                              <w:pStyle w:val="EQRTextboxheading"/>
                            </w:pPr>
                            <w:r>
                              <w:t>Resource</w:t>
                            </w:r>
                            <w:r w:rsidR="00BA5BE3">
                              <w:t>s</w:t>
                            </w:r>
                            <w:r>
                              <w:t xml:space="preserve"> for Activity 2, Step 3</w:t>
                            </w:r>
                            <w:r w:rsidRPr="00DE7C40">
                              <w:t xml:space="preserve"> </w:t>
                            </w:r>
                          </w:p>
                          <w:p w:rsidR="00ED33C3" w:rsidRPr="004950C9" w:rsidP="004950C9" w14:textId="76B82D1E">
                            <w:pPr>
                              <w:pStyle w:val="EQRTextboxbody"/>
                            </w:pPr>
                            <w:hyperlink w:anchor="WSp2n7" w:tooltip="Worksheet 2.7. Data and Processes Used to Produce Performance Measures: Documentation and Review Checklist" w:history="1">
                              <w:r w:rsidRPr="00941DA6">
                                <w:rPr>
                                  <w:rStyle w:val="Hyperlink"/>
                                </w:rPr>
                                <w:t>Worksheet 2.7. Data and Processes Used to Produce Performance Measures: Documentation and Review Checklist</w:t>
                              </w:r>
                            </w:hyperlink>
                          </w:p>
                          <w:p w:rsidR="00ED33C3" w:rsidRPr="004950C9" w:rsidP="004950C9" w14:textId="77777777">
                            <w:pPr>
                              <w:pStyle w:val="EQRTextboxbullet"/>
                            </w:pPr>
                            <w:r w:rsidRPr="004950C9">
                              <w:t>Helps the EQRO check the documentation of steps taken in the production of the performance measures</w:t>
                            </w:r>
                          </w:p>
                          <w:p w:rsidR="00ED33C3" w:rsidRPr="004950C9" w:rsidP="004950C9" w14:textId="168501BD">
                            <w:pPr>
                              <w:pStyle w:val="EQRTextboxbody"/>
                            </w:pPr>
                            <w:hyperlink w:anchor="WSp2n8" w:tooltip="Worksheet 2.8. Data and Processes Used to Produce Performance Measures: Findings" w:history="1">
                              <w:r w:rsidRPr="00941DA6">
                                <w:rPr>
                                  <w:rStyle w:val="Hyperlink"/>
                                </w:rPr>
                                <w:t>Worksheet 2.8. Data and Processes Used to Produce Performance Measures: Findings</w:t>
                              </w:r>
                            </w:hyperlink>
                          </w:p>
                          <w:p w:rsidR="00ED33C3" w:rsidRPr="0090682E" w:rsidP="004950C9" w14:textId="38437318">
                            <w:pPr>
                              <w:pStyle w:val="EQRTextboxbullet"/>
                              <w:rPr>
                                <w:spacing w:val="-2"/>
                              </w:rPr>
                            </w:pPr>
                            <w:r w:rsidRPr="004950C9">
                              <w:t xml:space="preserve">Provides a template for </w:t>
                            </w:r>
                            <w:r w:rsidRPr="004950C9">
                              <w:t>recording  findings</w:t>
                            </w:r>
                            <w:r w:rsidRPr="004950C9">
                              <w:t xml:space="preserve"> based on measurement plans, policies, and programming specifications</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1" o:spid="_x0000_s1099" type="#_x0000_t202" style="width:172.8pt;height:234.4pt;margin-top:61.3pt;margin-left:289.15pt;flip:y;mso-height-percent:0;mso-height-relative:page;mso-width-percent:0;mso-width-relative:page;mso-wrap-distance-bottom:0;mso-wrap-distance-left:9pt;mso-wrap-distance-right:9pt;mso-wrap-distance-top:0;mso-wrap-style:square;position:absolute;rotation:180;visibility:visible;v-text-anchor:top;z-index:251771904" fillcolor="#eef5f8" strokecolor="#a5dad9" strokeweight="2.25pt">
                <v:stroke endcap="round"/>
                <v:textbox style="mso-fit-shape-to-text:t" inset="8.64pt,,8.64pt">
                  <w:txbxContent>
                    <w:p w:rsidR="00ED33C3" w:rsidP="00D004BC" w14:paraId="394352C7" w14:textId="2579484A">
                      <w:pPr>
                        <w:pStyle w:val="EQRTextboxheading"/>
                      </w:pPr>
                      <w:r>
                        <w:t>Resource</w:t>
                      </w:r>
                      <w:r w:rsidR="00BA5BE3">
                        <w:t>s</w:t>
                      </w:r>
                      <w:r>
                        <w:t xml:space="preserve"> for Activity 2, Step 3</w:t>
                      </w:r>
                      <w:r w:rsidRPr="00DE7C40">
                        <w:t xml:space="preserve"> </w:t>
                      </w:r>
                    </w:p>
                    <w:p w:rsidR="00ED33C3" w:rsidRPr="004950C9" w:rsidP="004950C9" w14:paraId="698EDAF0" w14:textId="76B82D1E">
                      <w:pPr>
                        <w:pStyle w:val="EQRTextboxbody"/>
                      </w:pPr>
                      <w:hyperlink w:anchor="WSp2n7" w:tooltip="Worksheet 2.7. Data and Processes Used to Produce Performance Measures: Documentation and Review Checklist" w:history="1">
                        <w:r w:rsidRPr="00941DA6">
                          <w:rPr>
                            <w:rStyle w:val="Hyperlink"/>
                          </w:rPr>
                          <w:t>Worksheet 2.7. Data and Processes Used to Produce Performance Measures: Documentation and Review Checklist</w:t>
                        </w:r>
                      </w:hyperlink>
                    </w:p>
                    <w:p w:rsidR="00ED33C3" w:rsidRPr="004950C9" w:rsidP="004950C9" w14:paraId="28720EDE" w14:textId="77777777">
                      <w:pPr>
                        <w:pStyle w:val="EQRTextboxbullet"/>
                      </w:pPr>
                      <w:r w:rsidRPr="004950C9">
                        <w:t>Helps the EQRO check the documentation of steps taken in the production of the performance measures</w:t>
                      </w:r>
                    </w:p>
                    <w:p w:rsidR="00ED33C3" w:rsidRPr="004950C9" w:rsidP="004950C9" w14:paraId="3AB120C8" w14:textId="168501BD">
                      <w:pPr>
                        <w:pStyle w:val="EQRTextboxbody"/>
                      </w:pPr>
                      <w:hyperlink w:anchor="WSp2n8" w:tooltip="Worksheet 2.8. Data and Processes Used to Produce Performance Measures: Findings" w:history="1">
                        <w:r w:rsidRPr="00941DA6">
                          <w:rPr>
                            <w:rStyle w:val="Hyperlink"/>
                          </w:rPr>
                          <w:t>Worksheet 2.8. Data and Processes Used to Produce Performance Measures: Findings</w:t>
                        </w:r>
                      </w:hyperlink>
                    </w:p>
                    <w:p w:rsidR="00ED33C3" w:rsidRPr="0090682E" w:rsidP="004950C9" w14:paraId="26910740" w14:textId="38437318">
                      <w:pPr>
                        <w:pStyle w:val="EQRTextboxbullet"/>
                        <w:rPr>
                          <w:spacing w:val="-2"/>
                        </w:rPr>
                      </w:pPr>
                      <w:r w:rsidRPr="004950C9">
                        <w:t xml:space="preserve">Provides a template for </w:t>
                      </w:r>
                      <w:r w:rsidRPr="004950C9">
                        <w:t>recording  findings</w:t>
                      </w:r>
                      <w:r w:rsidRPr="004950C9">
                        <w:t xml:space="preserve"> based on measurement plans, policies, and programming specifications</w:t>
                      </w:r>
                    </w:p>
                  </w:txbxContent>
                </v:textbox>
                <w10:wrap type="tight"/>
              </v:shape>
            </w:pict>
          </mc:Fallback>
        </mc:AlternateContent>
      </w:r>
      <w:r w:rsidRPr="00990D3B">
        <w:rPr>
          <w:noProof/>
        </w:rPr>
        <mc:AlternateContent>
          <mc:Choice Requires="wps">
            <w:drawing>
              <wp:anchor distT="0" distB="0" distL="114300" distR="114300" simplePos="0" relativeHeight="251766784" behindDoc="0" locked="0" layoutInCell="1" allowOverlap="1">
                <wp:simplePos x="0" y="0"/>
                <wp:positionH relativeFrom="column">
                  <wp:posOffset>3672840</wp:posOffset>
                </wp:positionH>
                <wp:positionV relativeFrom="paragraph">
                  <wp:posOffset>85090</wp:posOffset>
                </wp:positionV>
                <wp:extent cx="2193925" cy="297180"/>
                <wp:effectExtent l="19050" t="19050" r="0" b="7620"/>
                <wp:wrapTight wrapText="bothSides">
                  <wp:wrapPolygon>
                    <wp:start x="21788" y="22985"/>
                    <wp:lineTo x="21788" y="-554"/>
                    <wp:lineTo x="31" y="-554"/>
                    <wp:lineTo x="31" y="22985"/>
                    <wp:lineTo x="21788" y="22985"/>
                  </wp:wrapPolygon>
                </wp:wrapTight>
                <wp:docPr id="1366282790" name="Text Box 17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180"/>
                        </a:xfrm>
                        <a:prstGeom prst="rect">
                          <a:avLst/>
                        </a:prstGeom>
                        <a:solidFill>
                          <a:srgbClr val="EEF5F8"/>
                        </a:solidFill>
                        <a:ln w="28575" cap="rnd">
                          <a:solidFill>
                            <a:srgbClr val="A5DAD9"/>
                          </a:solidFill>
                          <a:prstDash val="solid"/>
                          <a:miter lim="800000"/>
                          <a:headEnd/>
                          <a:tailEnd/>
                        </a:ln>
                      </wps:spPr>
                      <wps:txbx>
                        <w:txbxContent>
                          <w:p w:rsidR="00ED33C3" w:rsidRPr="0090682E" w:rsidP="00D004BC" w14:textId="46B6E071">
                            <w:pPr>
                              <w:pStyle w:val="EQRWORKSHEETText"/>
                              <w:rPr>
                                <w:spacing w:val="-2"/>
                              </w:rPr>
                            </w:pPr>
                            <w:hyperlink w:anchor="WSp2n7" w:tooltip="WORKSHEET 2.7" w:history="1">
                              <w:r>
                                <w:rPr>
                                  <w:rStyle w:val="Hyperlink"/>
                                  <w:color w:val="006981"/>
                                </w:rPr>
                                <w:t>WORKSHEET 2.7</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2" o:spid="_x0000_s1100" type="#_x0000_t202" style="width:172.75pt;height:23.4pt;margin-top:6.7pt;margin-left:289.2pt;flip:y;mso-height-percent:0;mso-height-relative:page;mso-width-percent:0;mso-width-relative:page;mso-wrap-distance-bottom:0;mso-wrap-distance-left:9pt;mso-wrap-distance-right:9pt;mso-wrap-distance-top:0;mso-wrap-style:square;position:absolute;rotation:180;visibility:visible;v-text-anchor:top;z-index:251767808" fillcolor="#eef5f8" strokecolor="#a5dad9" strokeweight="2.25pt">
                <v:stroke endcap="round"/>
                <v:textbox style="mso-fit-shape-to-text:t" inset="8.64pt,,8.64pt">
                  <w:txbxContent>
                    <w:p w:rsidR="00ED33C3" w:rsidRPr="0090682E" w:rsidP="00D004BC" w14:paraId="5640FB7B" w14:textId="46B6E071">
                      <w:pPr>
                        <w:pStyle w:val="EQRWORKSHEETText"/>
                        <w:rPr>
                          <w:spacing w:val="-2"/>
                        </w:rPr>
                      </w:pPr>
                      <w:hyperlink w:anchor="WSp2n7" w:tooltip="WORKSHEET 2.7" w:history="1">
                        <w:r>
                          <w:rPr>
                            <w:rStyle w:val="Hyperlink"/>
                            <w:color w:val="006981"/>
                          </w:rPr>
                          <w:t>WORKSHEET 2.7</w:t>
                        </w:r>
                      </w:hyperlink>
                    </w:p>
                  </w:txbxContent>
                </v:textbox>
                <w10:wrap type="tight"/>
              </v:shape>
            </w:pict>
          </mc:Fallback>
        </mc:AlternateContent>
      </w:r>
      <w:r w:rsidRPr="00990D3B">
        <w:rPr>
          <w:noProof/>
        </w:rPr>
        <mc:AlternateContent>
          <mc:Choice Requires="wps">
            <w:drawing>
              <wp:anchor distT="0" distB="0" distL="114300" distR="114300" simplePos="0" relativeHeight="251768832" behindDoc="0" locked="0" layoutInCell="1" allowOverlap="1">
                <wp:simplePos x="0" y="0"/>
                <wp:positionH relativeFrom="column">
                  <wp:posOffset>3673060</wp:posOffset>
                </wp:positionH>
                <wp:positionV relativeFrom="paragraph">
                  <wp:posOffset>434974</wp:posOffset>
                </wp:positionV>
                <wp:extent cx="2193925" cy="297180"/>
                <wp:effectExtent l="19050" t="19050" r="0" b="7620"/>
                <wp:wrapTight wrapText="bothSides">
                  <wp:wrapPolygon>
                    <wp:start x="21788" y="22985"/>
                    <wp:lineTo x="21788" y="-554"/>
                    <wp:lineTo x="31" y="-554"/>
                    <wp:lineTo x="31" y="22985"/>
                    <wp:lineTo x="21788" y="22985"/>
                  </wp:wrapPolygon>
                </wp:wrapTight>
                <wp:docPr id="1576532366" name="Text Box 17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180"/>
                        </a:xfrm>
                        <a:prstGeom prst="rect">
                          <a:avLst/>
                        </a:prstGeom>
                        <a:solidFill>
                          <a:srgbClr val="EEF5F8"/>
                        </a:solidFill>
                        <a:ln w="28575" cap="rnd">
                          <a:solidFill>
                            <a:srgbClr val="A5DAD9"/>
                          </a:solidFill>
                          <a:prstDash val="solid"/>
                          <a:miter lim="800000"/>
                          <a:headEnd/>
                          <a:tailEnd/>
                        </a:ln>
                      </wps:spPr>
                      <wps:txbx>
                        <w:txbxContent>
                          <w:p w:rsidR="00ED33C3" w:rsidRPr="0090682E" w:rsidP="00D004BC" w14:textId="4CB3D179">
                            <w:pPr>
                              <w:pStyle w:val="EQRWORKSHEETText"/>
                              <w:rPr>
                                <w:spacing w:val="-2"/>
                              </w:rPr>
                            </w:pPr>
                            <w:hyperlink w:anchor="WSp2n8" w:tooltip="WORKSHEET 2.8" w:history="1">
                              <w:r>
                                <w:rPr>
                                  <w:rStyle w:val="Hyperlink"/>
                                  <w:color w:val="006981"/>
                                </w:rPr>
                                <w:t>WORKSHEET 2.8</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3" o:spid="_x0000_s1101" type="#_x0000_t202" style="width:172.75pt;height:23.4pt;margin-top:34.25pt;margin-left:289.2pt;flip:y;mso-height-percent:0;mso-height-relative:page;mso-width-percent:0;mso-width-relative:page;mso-wrap-distance-bottom:0;mso-wrap-distance-left:9pt;mso-wrap-distance-right:9pt;mso-wrap-distance-top:0;mso-wrap-style:square;position:absolute;rotation:180;visibility:visible;v-text-anchor:top;z-index:251769856" fillcolor="#eef5f8" strokecolor="#a5dad9" strokeweight="2.25pt">
                <v:stroke endcap="round"/>
                <v:textbox style="mso-fit-shape-to-text:t" inset="8.64pt,,8.64pt">
                  <w:txbxContent>
                    <w:p w:rsidR="00ED33C3" w:rsidRPr="0090682E" w:rsidP="00D004BC" w14:paraId="6DFF253F" w14:textId="4CB3D179">
                      <w:pPr>
                        <w:pStyle w:val="EQRWORKSHEETText"/>
                        <w:rPr>
                          <w:spacing w:val="-2"/>
                        </w:rPr>
                      </w:pPr>
                      <w:hyperlink w:anchor="WSp2n8" w:tooltip="WORKSHEET 2.8" w:history="1">
                        <w:r>
                          <w:rPr>
                            <w:rStyle w:val="Hyperlink"/>
                            <w:color w:val="006981"/>
                          </w:rPr>
                          <w:t>WORKSHEET 2.8</w:t>
                        </w:r>
                      </w:hyperlink>
                    </w:p>
                  </w:txbxContent>
                </v:textbox>
                <w10:wrap type="tight"/>
              </v:shape>
            </w:pict>
          </mc:Fallback>
        </mc:AlternateContent>
      </w:r>
      <w:r w:rsidRPr="00990D3B" w:rsidR="004C1326">
        <w:t>In this step, t</w:t>
      </w:r>
      <w:r w:rsidRPr="00990D3B" w:rsidR="00112139">
        <w:t>he EQRO review</w:t>
      </w:r>
      <w:r w:rsidRPr="00990D3B" w:rsidR="002A538C">
        <w:t>s</w:t>
      </w:r>
      <w:r w:rsidRPr="00990D3B" w:rsidR="00112139">
        <w:t xml:space="preserve"> the MCP’s documentation of </w:t>
      </w:r>
      <w:r w:rsidRPr="00990D3B" w:rsidR="004C1326">
        <w:t>the entire process</w:t>
      </w:r>
      <w:r w:rsidRPr="00990D3B" w:rsidR="00113F31">
        <w:t xml:space="preserve"> </w:t>
      </w:r>
      <w:r w:rsidRPr="00990D3B" w:rsidR="00112139">
        <w:t xml:space="preserve">undertaken in the production of the performance measures, including: </w:t>
      </w:r>
    </w:p>
    <w:p w:rsidR="00112139" w:rsidRPr="00990D3B" w:rsidP="00FB7CAF" w14:paraId="3B2E6979" w14:textId="678311F4">
      <w:pPr>
        <w:pStyle w:val="EQRBulletBLUE"/>
      </w:pPr>
      <w:r w:rsidRPr="00990D3B">
        <w:t>Data collection from various sources (e.g., membership, enrollment, provider, claims, or encounter files; medical records; laboratory, pharmacy, or other ancillary records)</w:t>
      </w:r>
      <w:r w:rsidRPr="00990D3B" w:rsidR="003B5E7D">
        <w:t>.</w:t>
      </w:r>
    </w:p>
    <w:p w:rsidR="00112139" w:rsidRPr="00990D3B" w:rsidP="00FB7CAF" w14:paraId="7E912D02" w14:textId="0ABC44EB">
      <w:pPr>
        <w:pStyle w:val="EQRBulletBLUE"/>
      </w:pPr>
      <w:r w:rsidRPr="00990D3B">
        <w:t>Steps taken to integrate the required data into a performance measure data set or repository</w:t>
      </w:r>
      <w:r w:rsidRPr="00990D3B" w:rsidR="003B5E7D">
        <w:t>.</w:t>
      </w:r>
    </w:p>
    <w:p w:rsidR="002C2B15" w:rsidRPr="00990D3B" w:rsidP="00FB7CAF" w14:paraId="4D72DAE2" w14:textId="2719B219">
      <w:pPr>
        <w:pStyle w:val="EQRBulletBLUE"/>
        <w:rPr>
          <w:b/>
          <w:color w:val="000000" w:themeColor="text1"/>
        </w:rPr>
      </w:pPr>
      <w:r w:rsidRPr="00990D3B">
        <w:t xml:space="preserve">Procedures or programs to query the data set/repository to identify denominators, generate appropriate samples, determine numerators, and apply proper algorithms to the data </w:t>
      </w:r>
      <w:r w:rsidRPr="00990D3B" w:rsidR="00F15198">
        <w:t>to</w:t>
      </w:r>
      <w:r w:rsidRPr="00990D3B">
        <w:t xml:space="preserve"> produce valid and reliable performance measures</w:t>
      </w:r>
      <w:r w:rsidRPr="00990D3B" w:rsidR="003B5E7D">
        <w:t>.</w:t>
      </w:r>
      <w:r w:rsidRPr="00990D3B">
        <w:br w:type="page"/>
      </w:r>
    </w:p>
    <w:p w:rsidR="002C2B15" w:rsidRPr="00990D3B" w:rsidP="00BD1FC3" w14:paraId="1B040EC7" w14:textId="5FB57C33">
      <w:pPr>
        <w:pStyle w:val="H3"/>
      </w:pPr>
      <w:bookmarkStart w:id="264" w:name="P2Act2Step4"/>
      <w:bookmarkEnd w:id="264"/>
      <w:r w:rsidRPr="00990D3B">
        <w:t xml:space="preserve">Step 4: Complete the </w:t>
      </w:r>
      <w:r w:rsidRPr="00990D3B" w:rsidR="00152CFD">
        <w:t>Detailed Review of Measures</w:t>
      </w:r>
    </w:p>
    <w:p w:rsidR="00112139" w:rsidRPr="00990D3B" w:rsidP="00C34DBC" w14:paraId="71782CB6" w14:textId="52838B07">
      <w:pPr>
        <w:pStyle w:val="ParagraphContinued"/>
      </w:pPr>
      <w:r w:rsidRPr="00990D3B">
        <w:rPr>
          <w:noProof/>
        </w:rPr>
        <mc:AlternateContent>
          <mc:Choice Requires="wps">
            <w:drawing>
              <wp:anchor distT="0" distB="0" distL="114300" distR="114300" simplePos="0" relativeHeight="251774976" behindDoc="0" locked="0" layoutInCell="1" allowOverlap="1">
                <wp:simplePos x="0" y="0"/>
                <wp:positionH relativeFrom="column">
                  <wp:posOffset>3733800</wp:posOffset>
                </wp:positionH>
                <wp:positionV relativeFrom="paragraph">
                  <wp:posOffset>1130773</wp:posOffset>
                </wp:positionV>
                <wp:extent cx="2193925" cy="297815"/>
                <wp:effectExtent l="19050" t="19050" r="15875" b="26670"/>
                <wp:wrapTight wrapText="bothSides">
                  <wp:wrapPolygon>
                    <wp:start x="21788" y="22985"/>
                    <wp:lineTo x="21788" y="-554"/>
                    <wp:lineTo x="31" y="-554"/>
                    <wp:lineTo x="31" y="22985"/>
                    <wp:lineTo x="21788" y="22985"/>
                  </wp:wrapPolygon>
                </wp:wrapTight>
                <wp:docPr id="428203514" name="Text Box 16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4950C9" w14:textId="43EE611E">
                            <w:pPr>
                              <w:pStyle w:val="EQRWORKSHEETText"/>
                              <w:rPr>
                                <w:spacing w:val="-2"/>
                              </w:rPr>
                            </w:pPr>
                            <w:hyperlink w:anchor="WSp2n11" w:tooltip="WORKSHEET 2.11" w:history="1">
                              <w:r>
                                <w:rPr>
                                  <w:rStyle w:val="Hyperlink"/>
                                  <w:color w:val="006981"/>
                                </w:rPr>
                                <w:t>WORKSHEET 2.11</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9" o:spid="_x0000_s1102" type="#_x0000_t202" style="width:172.75pt;height:23.45pt;margin-top:89.05pt;margin-left:294pt;flip:y;mso-height-percent:0;mso-height-relative:page;mso-width-percent:0;mso-width-relative:page;mso-wrap-distance-bottom:0;mso-wrap-distance-left:9pt;mso-wrap-distance-right:9pt;mso-wrap-distance-top:0;mso-wrap-style:square;position:absolute;rotation:180;visibility:visible;v-text-anchor:top;z-index:251776000" fillcolor="#eef5f8" strokecolor="#a5dad9" strokeweight="2.25pt">
                <v:stroke endcap="round"/>
                <v:textbox style="mso-fit-shape-to-text:t" inset="8.64pt,,8.64pt">
                  <w:txbxContent>
                    <w:p w:rsidR="00ED33C3" w:rsidRPr="0090682E" w:rsidP="004950C9" w14:paraId="611F0E88" w14:textId="43EE611E">
                      <w:pPr>
                        <w:pStyle w:val="EQRWORKSHEETText"/>
                        <w:rPr>
                          <w:spacing w:val="-2"/>
                        </w:rPr>
                      </w:pPr>
                      <w:hyperlink w:anchor="WSp2n11" w:tooltip="WORKSHEET 2.11" w:history="1">
                        <w:r>
                          <w:rPr>
                            <w:rStyle w:val="Hyperlink"/>
                            <w:color w:val="006981"/>
                          </w:rPr>
                          <w:t>WORKSHEET 2.11</w:t>
                        </w:r>
                      </w:hyperlink>
                    </w:p>
                  </w:txbxContent>
                </v:textbox>
                <w10:wrap type="tight"/>
              </v:shape>
            </w:pict>
          </mc:Fallback>
        </mc:AlternateContent>
      </w:r>
      <w:r w:rsidRPr="00990D3B">
        <w:rPr>
          <w:noProof/>
        </w:rPr>
        <mc:AlternateContent>
          <mc:Choice Requires="wps">
            <w:drawing>
              <wp:anchor distT="0" distB="0" distL="114300" distR="114300" simplePos="0" relativeHeight="251779072" behindDoc="0" locked="0" layoutInCell="1" allowOverlap="1">
                <wp:simplePos x="0" y="0"/>
                <wp:positionH relativeFrom="margin">
                  <wp:posOffset>3733800</wp:posOffset>
                </wp:positionH>
                <wp:positionV relativeFrom="paragraph">
                  <wp:posOffset>781685</wp:posOffset>
                </wp:positionV>
                <wp:extent cx="2193925" cy="297815"/>
                <wp:effectExtent l="19050" t="19050" r="15875" b="26670"/>
                <wp:wrapTight wrapText="bothSides">
                  <wp:wrapPolygon>
                    <wp:start x="21788" y="22985"/>
                    <wp:lineTo x="21788" y="-554"/>
                    <wp:lineTo x="31" y="-554"/>
                    <wp:lineTo x="31" y="22985"/>
                    <wp:lineTo x="21788" y="22985"/>
                  </wp:wrapPolygon>
                </wp:wrapTight>
                <wp:docPr id="7498850" name="Text Box 16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543516" w14:textId="1441B5E5">
                            <w:pPr>
                              <w:pStyle w:val="EQRWORKSHEETText"/>
                              <w:rPr>
                                <w:spacing w:val="-2"/>
                              </w:rPr>
                            </w:pPr>
                            <w:hyperlink w:anchor="WSp2n10" w:tooltip="WORKSHEET 2.10" w:history="1">
                              <w:r>
                                <w:rPr>
                                  <w:rStyle w:val="Hyperlink"/>
                                  <w:color w:val="006981"/>
                                </w:rPr>
                                <w:t>WORKSHEET 2.10</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7" o:spid="_x0000_s1103" type="#_x0000_t202" style="width:172.75pt;height:23.45pt;margin-top:61.55pt;margin-left:294pt;flip:y;mso-height-percent:0;mso-height-relative:page;mso-position-horizontal-relative:margin;mso-width-percent:0;mso-width-relative:page;mso-wrap-distance-bottom:0;mso-wrap-distance-left:9pt;mso-wrap-distance-right:9pt;mso-wrap-distance-top:0;mso-wrap-style:square;position:absolute;rotation:180;visibility:visible;v-text-anchor:top;z-index:251780096" fillcolor="#eef5f8" strokecolor="#a5dad9" strokeweight="2.25pt">
                <v:stroke endcap="round"/>
                <v:textbox style="mso-fit-shape-to-text:t" inset="8.64pt,,8.64pt">
                  <w:txbxContent>
                    <w:p w:rsidR="00ED33C3" w:rsidRPr="0090682E" w:rsidP="00543516" w14:paraId="23A9DFFF" w14:textId="1441B5E5">
                      <w:pPr>
                        <w:pStyle w:val="EQRWORKSHEETText"/>
                        <w:rPr>
                          <w:spacing w:val="-2"/>
                        </w:rPr>
                      </w:pPr>
                      <w:hyperlink w:anchor="WSp2n10" w:tooltip="WORKSHEET 2.10" w:history="1">
                        <w:r>
                          <w:rPr>
                            <w:rStyle w:val="Hyperlink"/>
                            <w:color w:val="006981"/>
                          </w:rPr>
                          <w:t>WORKSHEET 2.10</w:t>
                        </w:r>
                      </w:hyperlink>
                    </w:p>
                  </w:txbxContent>
                </v:textbox>
                <w10:wrap type="tight"/>
              </v:shape>
            </w:pict>
          </mc:Fallback>
        </mc:AlternateContent>
      </w:r>
      <w:r w:rsidRPr="00990D3B">
        <w:rPr>
          <w:noProof/>
        </w:rPr>
        <mc:AlternateContent>
          <mc:Choice Requires="wps">
            <w:drawing>
              <wp:anchor distT="0" distB="0" distL="114300" distR="114300" simplePos="0" relativeHeight="251772928" behindDoc="0" locked="0" layoutInCell="1" allowOverlap="1">
                <wp:simplePos x="0" y="0"/>
                <wp:positionH relativeFrom="margin">
                  <wp:posOffset>3733800</wp:posOffset>
                </wp:positionH>
                <wp:positionV relativeFrom="paragraph">
                  <wp:posOffset>63500</wp:posOffset>
                </wp:positionV>
                <wp:extent cx="2193925" cy="297815"/>
                <wp:effectExtent l="19050" t="19050" r="15875" b="26670"/>
                <wp:wrapTight wrapText="bothSides">
                  <wp:wrapPolygon>
                    <wp:start x="21788" y="22985"/>
                    <wp:lineTo x="21788" y="-554"/>
                    <wp:lineTo x="31" y="-554"/>
                    <wp:lineTo x="31" y="22985"/>
                    <wp:lineTo x="21788" y="22985"/>
                  </wp:wrapPolygon>
                </wp:wrapTight>
                <wp:docPr id="1780781106" name="Text Box 17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4950C9" w14:textId="58DAD8C6">
                            <w:pPr>
                              <w:pStyle w:val="EQRWORKSHEETText"/>
                              <w:rPr>
                                <w:spacing w:val="-2"/>
                              </w:rPr>
                            </w:pPr>
                            <w:hyperlink w:anchor="WSp2n2" w:tooltip="WORKSHEET 2.2" w:history="1">
                              <w:r>
                                <w:rPr>
                                  <w:rStyle w:val="Hyperlink"/>
                                  <w:color w:val="006981"/>
                                </w:rPr>
                                <w:t>WORKSHEET 2.2</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0" o:spid="_x0000_s1104" type="#_x0000_t202" style="width:172.75pt;height:23.45pt;margin-top:5pt;margin-left:294pt;flip:y;mso-height-percent:0;mso-height-relative:page;mso-position-horizontal-relative:margin;mso-width-percent:0;mso-width-relative:page;mso-wrap-distance-bottom:0;mso-wrap-distance-left:9pt;mso-wrap-distance-right:9pt;mso-wrap-distance-top:0;mso-wrap-style:square;position:absolute;rotation:180;visibility:visible;v-text-anchor:top;z-index:251773952" fillcolor="#eef5f8" strokecolor="#a5dad9" strokeweight="2.25pt">
                <v:stroke endcap="round"/>
                <v:textbox style="mso-fit-shape-to-text:t" inset="8.64pt,,8.64pt">
                  <w:txbxContent>
                    <w:p w:rsidR="00ED33C3" w:rsidRPr="0090682E" w:rsidP="004950C9" w14:paraId="1068E4FB" w14:textId="58DAD8C6">
                      <w:pPr>
                        <w:pStyle w:val="EQRWORKSHEETText"/>
                        <w:rPr>
                          <w:spacing w:val="-2"/>
                        </w:rPr>
                      </w:pPr>
                      <w:hyperlink w:anchor="WSp2n2" w:tooltip="WORKSHEET 2.2" w:history="1">
                        <w:r>
                          <w:rPr>
                            <w:rStyle w:val="Hyperlink"/>
                            <w:color w:val="006981"/>
                          </w:rPr>
                          <w:t>WORKSHEET 2.2</w:t>
                        </w:r>
                      </w:hyperlink>
                    </w:p>
                  </w:txbxContent>
                </v:textbox>
                <w10:wrap type="tight"/>
              </v:shape>
            </w:pict>
          </mc:Fallback>
        </mc:AlternateContent>
      </w:r>
      <w:r w:rsidRPr="00990D3B">
        <w:rPr>
          <w:noProof/>
        </w:rPr>
        <mc:AlternateContent>
          <mc:Choice Requires="wps">
            <w:drawing>
              <wp:anchor distT="0" distB="0" distL="114300" distR="114300" simplePos="0" relativeHeight="251777024" behindDoc="0" locked="0" layoutInCell="1" allowOverlap="1">
                <wp:simplePos x="0" y="0"/>
                <wp:positionH relativeFrom="column">
                  <wp:posOffset>3735070</wp:posOffset>
                </wp:positionH>
                <wp:positionV relativeFrom="paragraph">
                  <wp:posOffset>411953</wp:posOffset>
                </wp:positionV>
                <wp:extent cx="2193925" cy="297815"/>
                <wp:effectExtent l="19050" t="19050" r="15875" b="26670"/>
                <wp:wrapTight wrapText="bothSides">
                  <wp:wrapPolygon>
                    <wp:start x="21788" y="22985"/>
                    <wp:lineTo x="21788" y="-554"/>
                    <wp:lineTo x="31" y="-554"/>
                    <wp:lineTo x="31" y="22985"/>
                    <wp:lineTo x="21788" y="22985"/>
                  </wp:wrapPolygon>
                </wp:wrapTight>
                <wp:docPr id="1537226347" name="Text Box 16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543516" w14:textId="6DD232FB">
                            <w:pPr>
                              <w:pStyle w:val="EQRWORKSHEETText"/>
                              <w:rPr>
                                <w:spacing w:val="-2"/>
                              </w:rPr>
                            </w:pPr>
                            <w:hyperlink w:anchor="WSp2n9" w:tooltip="WORKSHEET 2.9" w:history="1">
                              <w:r>
                                <w:rPr>
                                  <w:rStyle w:val="Hyperlink"/>
                                  <w:color w:val="006981"/>
                                </w:rPr>
                                <w:t>WORKSHEET 2.9</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8" o:spid="_x0000_s1105" type="#_x0000_t202" style="width:172.75pt;height:23.45pt;margin-top:32.45pt;margin-left:294.1pt;flip:y;mso-height-percent:0;mso-height-relative:page;mso-width-percent:0;mso-width-relative:page;mso-wrap-distance-bottom:0;mso-wrap-distance-left:9pt;mso-wrap-distance-right:9pt;mso-wrap-distance-top:0;mso-wrap-style:square;position:absolute;rotation:180;visibility:visible;v-text-anchor:top;z-index:251778048" fillcolor="#eef5f8" strokecolor="#a5dad9" strokeweight="2.25pt">
                <v:stroke endcap="round"/>
                <v:textbox style="mso-fit-shape-to-text:t" inset="8.64pt,,8.64pt">
                  <w:txbxContent>
                    <w:p w:rsidR="00ED33C3" w:rsidRPr="0090682E" w:rsidP="00543516" w14:paraId="01693E21" w14:textId="6DD232FB">
                      <w:pPr>
                        <w:pStyle w:val="EQRWORKSHEETText"/>
                        <w:rPr>
                          <w:spacing w:val="-2"/>
                        </w:rPr>
                      </w:pPr>
                      <w:hyperlink w:anchor="WSp2n9" w:tooltip="WORKSHEET 2.9" w:history="1">
                        <w:r>
                          <w:rPr>
                            <w:rStyle w:val="Hyperlink"/>
                            <w:color w:val="006981"/>
                          </w:rPr>
                          <w:t>WORKSHEET 2.9</w:t>
                        </w:r>
                      </w:hyperlink>
                    </w:p>
                  </w:txbxContent>
                </v:textbox>
                <w10:wrap type="tight"/>
              </v:shape>
            </w:pict>
          </mc:Fallback>
        </mc:AlternateContent>
      </w:r>
      <w:r w:rsidRPr="00990D3B" w:rsidR="00112139">
        <w:t xml:space="preserve">In </w:t>
      </w:r>
      <w:r w:rsidRPr="00990D3B" w:rsidR="004C1326">
        <w:t>this step,</w:t>
      </w:r>
      <w:r w:rsidRPr="00990D3B" w:rsidR="00112139">
        <w:t xml:space="preserve"> the EQRO determines the extent to which the MCP correctly used the technical specifications to produce accurate performance measure results. All validation components should be addressed during this step using </w:t>
      </w:r>
      <w:hyperlink w:anchor="WSp2n2" w:tooltip="Worksheet 2.2" w:history="1">
        <w:r w:rsidRPr="00990D3B" w:rsidR="00112139">
          <w:rPr>
            <w:rStyle w:val="Hyperlink"/>
          </w:rPr>
          <w:t>Worksheet 2.2</w:t>
        </w:r>
      </w:hyperlink>
      <w:r w:rsidRPr="00990D3B" w:rsidR="00112139">
        <w:t xml:space="preserve"> (or similar tool). </w:t>
      </w:r>
    </w:p>
    <w:p w:rsidR="00BB7A0D" w:rsidRPr="00990D3B" w:rsidP="00BD1FC3" w14:paraId="1652EEC5" w14:textId="160155A7">
      <w:pPr>
        <w:pStyle w:val="Paragraph0"/>
      </w:pPr>
      <w:r w:rsidRPr="00990D3B">
        <w:rPr>
          <w:noProof/>
        </w:rPr>
        <mc:AlternateContent>
          <mc:Choice Requires="wps">
            <w:drawing>
              <wp:anchor distT="0" distB="0" distL="114300" distR="114300" simplePos="0" relativeHeight="251781120" behindDoc="0" locked="0" layoutInCell="1" allowOverlap="1">
                <wp:simplePos x="0" y="0"/>
                <wp:positionH relativeFrom="margin">
                  <wp:posOffset>3726815</wp:posOffset>
                </wp:positionH>
                <wp:positionV relativeFrom="paragraph">
                  <wp:posOffset>322580</wp:posOffset>
                </wp:positionV>
                <wp:extent cx="2195195" cy="5562600"/>
                <wp:effectExtent l="19050" t="19050" r="14605" b="19050"/>
                <wp:wrapTight wrapText="bothSides">
                  <wp:wrapPolygon>
                    <wp:start x="21787" y="21674"/>
                    <wp:lineTo x="21787" y="0"/>
                    <wp:lineTo x="44" y="0"/>
                    <wp:lineTo x="44" y="21674"/>
                    <wp:lineTo x="21787" y="21674"/>
                  </wp:wrapPolygon>
                </wp:wrapTight>
                <wp:docPr id="418456381" name="Text Box 16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5562600"/>
                        </a:xfrm>
                        <a:prstGeom prst="rect">
                          <a:avLst/>
                        </a:prstGeom>
                        <a:solidFill>
                          <a:srgbClr val="EEF5F8"/>
                        </a:solidFill>
                        <a:ln w="28575" cap="rnd">
                          <a:solidFill>
                            <a:srgbClr val="A5DAD9"/>
                          </a:solidFill>
                          <a:prstDash val="solid"/>
                          <a:miter lim="800000"/>
                          <a:headEnd/>
                          <a:tailEnd/>
                        </a:ln>
                      </wps:spPr>
                      <wps:txbx>
                        <w:txbxContent>
                          <w:p w:rsidR="00ED33C3" w:rsidP="005666A5" w14:textId="62C525A7">
                            <w:pPr>
                              <w:pStyle w:val="EQRTextboxheading"/>
                              <w:spacing w:before="0" w:after="60" w:line="200" w:lineRule="exact"/>
                            </w:pPr>
                            <w:r>
                              <w:t>Resource</w:t>
                            </w:r>
                            <w:r w:rsidR="00BA5BE3">
                              <w:t>s</w:t>
                            </w:r>
                            <w:r>
                              <w:t xml:space="preserve"> for Activity 2, Step 4</w:t>
                            </w:r>
                          </w:p>
                          <w:p w:rsidR="00ED33C3" w:rsidRPr="00543516" w:rsidP="005666A5" w14:textId="629EAB07">
                            <w:pPr>
                              <w:pStyle w:val="EQRTextboxbody"/>
                              <w:spacing w:before="0" w:after="60" w:line="200" w:lineRule="exact"/>
                            </w:pPr>
                            <w:hyperlink w:anchor="WSp2n2" w:tooltip="Worksheet 2.2. Performance Measure Validation Template" w:history="1">
                              <w:r>
                                <w:rPr>
                                  <w:rStyle w:val="Hyperlink"/>
                                </w:rPr>
                                <w:t>Worksheet 2.2. Performance Measure Validation Template</w:t>
                              </w:r>
                            </w:hyperlink>
                          </w:p>
                          <w:p w:rsidR="00ED33C3" w:rsidP="005666A5" w14:textId="50BC76C4">
                            <w:pPr>
                              <w:pStyle w:val="EQRTextboxbullet"/>
                              <w:spacing w:line="200" w:lineRule="exact"/>
                            </w:pPr>
                            <w:r w:rsidRPr="00543516">
                              <w:t>Provide</w:t>
                            </w:r>
                            <w:r w:rsidR="00BA5BE3">
                              <w:t>s</w:t>
                            </w:r>
                            <w:r w:rsidRPr="00543516">
                              <w:t xml:space="preserve"> a template for documenting audit specifications for the validation components of each performance measure, and to assess the MCP’s measurement and reporting process for each component</w:t>
                            </w:r>
                          </w:p>
                          <w:p w:rsidR="00ED33C3" w:rsidRPr="00543516" w:rsidP="005666A5" w14:textId="6ABFFAE8">
                            <w:pPr>
                              <w:pStyle w:val="EQRTextboxbody"/>
                              <w:spacing w:before="0" w:after="60" w:line="200" w:lineRule="exact"/>
                            </w:pPr>
                            <w:hyperlink w:anchor="WSp2n9" w:tooltip="Worksheet 2.9. Policies, Data, and Information Used to Produce Measures: Review Checklist" w:history="1">
                              <w:r w:rsidRPr="00941DA6">
                                <w:rPr>
                                  <w:rStyle w:val="Hyperlink"/>
                                </w:rPr>
                                <w:t>Worksheet 2.9. Policies, Data, and Information Used to Produce Measures: Review Checklist</w:t>
                              </w:r>
                            </w:hyperlink>
                          </w:p>
                          <w:p w:rsidR="00ED33C3" w:rsidP="005666A5" w14:textId="199BDA38">
                            <w:pPr>
                              <w:pStyle w:val="EQRTextboxbullet"/>
                              <w:spacing w:line="200" w:lineRule="exact"/>
                            </w:pPr>
                            <w:r w:rsidRPr="00543516">
                              <w:t xml:space="preserve">Provides a checklist </w:t>
                            </w:r>
                            <w:r w:rsidR="00B60DEC">
                              <w:t>to</w:t>
                            </w:r>
                            <w:r w:rsidRPr="00543516">
                              <w:t xml:space="preserve"> tracks documents and data used to assess the accuracy of the MCP’s performance measure calculations</w:t>
                            </w:r>
                          </w:p>
                          <w:p w:rsidR="00ED33C3" w:rsidRPr="00543516" w:rsidP="005666A5" w14:textId="0F24C519">
                            <w:pPr>
                              <w:pStyle w:val="EQRTextboxbody"/>
                              <w:spacing w:before="0" w:after="60" w:line="200" w:lineRule="exact"/>
                            </w:pPr>
                            <w:hyperlink w:anchor="WSp2n10" w:tooltip="Worksheet 2.10. Measure Validation Findings" w:history="1">
                              <w:r w:rsidRPr="00941DA6">
                                <w:rPr>
                                  <w:rStyle w:val="Hyperlink"/>
                                </w:rPr>
                                <w:t>Worksheet 2.10. Measure Validation Findings</w:t>
                              </w:r>
                            </w:hyperlink>
                          </w:p>
                          <w:p w:rsidR="00ED33C3" w:rsidP="005666A5" w14:textId="10FA812C">
                            <w:pPr>
                              <w:pStyle w:val="EQRTextboxbullet"/>
                              <w:spacing w:line="200" w:lineRule="exact"/>
                            </w:pPr>
                            <w:r w:rsidRPr="00543516">
                              <w:t xml:space="preserve">Provides a template for </w:t>
                            </w:r>
                            <w:r w:rsidRPr="00543516">
                              <w:t>documenting  adherence</w:t>
                            </w:r>
                            <w:r w:rsidRPr="00543516">
                              <w:t xml:space="preserve"> to denominator</w:t>
                            </w:r>
                            <w:r w:rsidR="00B60DEC">
                              <w:t xml:space="preserve"> specifications</w:t>
                            </w:r>
                            <w:r w:rsidRPr="00543516">
                              <w:t>; programming logic, source code, and calculations; identifying medical events; exclusion criteria; population estimates; identifying the at-risk population; inclusion of qualifying events in the numerator; and medical record data in the numerator</w:t>
                            </w:r>
                          </w:p>
                          <w:p w:rsidR="00ED33C3" w:rsidRPr="00543516" w:rsidP="005666A5" w14:textId="6E20950E">
                            <w:pPr>
                              <w:pStyle w:val="EQRTextboxbody"/>
                              <w:spacing w:before="0" w:after="60" w:line="200" w:lineRule="exact"/>
                            </w:pPr>
                            <w:hyperlink w:anchor="WSp2n11" w:tooltip="Worksheet 2.11. Interview Guide for Assessing Processes and Procedures Used to Produce Numerators and Denominators" w:history="1">
                              <w:r>
                                <w:rPr>
                                  <w:rStyle w:val="Hyperlink"/>
                                </w:rPr>
                                <w:t>Worksheet 2.11. Interview Guide for Assessing Processes and Procedures Used to Produce Numerators and Denominators</w:t>
                              </w:r>
                            </w:hyperlink>
                          </w:p>
                          <w:p w:rsidR="00ED33C3" w:rsidP="005666A5" w14:textId="77777777">
                            <w:pPr>
                              <w:pStyle w:val="EQRTextboxbullet"/>
                              <w:spacing w:line="200" w:lineRule="exact"/>
                            </w:pPr>
                            <w:r w:rsidRPr="00543516">
                              <w:t>Provides a list of interview questions that can be tailored to supplement findings recorded in Worksheet 2.10</w:t>
                            </w:r>
                          </w:p>
                          <w:p w:rsidR="00ED33C3" w:rsidRPr="0090682E" w:rsidP="00DF225B" w14:textId="35A665B2">
                            <w:pPr>
                              <w:pStyle w:val="EQRTextboxbody"/>
                              <w:rPr>
                                <w:spacing w:val="-2"/>
                              </w:rPr>
                            </w:pPr>
                            <w:r w:rsidRPr="00543516">
                              <w:t>For performance measures requiring medical record review, use</w:t>
                            </w:r>
                            <w:r w:rsidRPr="000E1F61">
                              <w:t xml:space="preserve"> </w:t>
                            </w:r>
                            <w:hyperlink w:anchor="WSp2n3" w:tooltip="Worksheet 2.3. Medical Record Review Validation Tool" w:history="1">
                              <w:r w:rsidRPr="00941DA6">
                                <w:rPr>
                                  <w:rStyle w:val="Hyperlink"/>
                                </w:rPr>
                                <w:t>Worksheet 2.3. Medical Record Review Validation Tool</w:t>
                              </w:r>
                            </w:hyperlink>
                            <w:r w:rsidRPr="000E1F61">
                              <w:t>.</w:t>
                            </w:r>
                            <w:r w:rsidRPr="00543516">
                              <w:t xml:space="preserve"> </w:t>
                            </w:r>
                          </w:p>
                        </w:txbxContent>
                      </wps:txbx>
                      <wps:bodyPr rot="0" vert="horz" wrap="square" lIns="109728" tIns="45720" rIns="109728" bIns="45720" anchor="t" anchorCtr="0" upright="1"/>
                    </wps:wsp>
                  </a:graphicData>
                </a:graphic>
                <wp14:sizeRelH relativeFrom="page">
                  <wp14:pctWidth>0</wp14:pctWidth>
                </wp14:sizeRelH>
                <wp14:sizeRelV relativeFrom="page">
                  <wp14:pctHeight>0</wp14:pctHeight>
                </wp14:sizeRelV>
              </wp:anchor>
            </w:drawing>
          </mc:Choice>
          <mc:Fallback>
            <w:pict>
              <v:shape id="Text Box 166" o:spid="_x0000_s1106" type="#_x0000_t202" style="width:172.85pt;height:438pt;margin-top:25.4pt;margin-left:293.45pt;flip:y;mso-height-percent:0;mso-height-relative:page;mso-position-horizontal-relative:margin;mso-width-percent:0;mso-width-relative:page;mso-wrap-distance-bottom:0;mso-wrap-distance-left:9pt;mso-wrap-distance-right:9pt;mso-wrap-distance-top:0;mso-wrap-style:square;position:absolute;rotation:180;visibility:visible;v-text-anchor:top;z-index:251782144" fillcolor="#eef5f8" strokecolor="#a5dad9" strokeweight="2.25pt">
                <v:stroke endcap="round"/>
                <v:textbox inset="8.64pt,,8.64pt">
                  <w:txbxContent>
                    <w:p w:rsidR="00ED33C3" w:rsidP="005666A5" w14:paraId="06CF75F2" w14:textId="62C525A7">
                      <w:pPr>
                        <w:pStyle w:val="EQRTextboxheading"/>
                        <w:spacing w:before="0" w:after="60" w:line="200" w:lineRule="exact"/>
                      </w:pPr>
                      <w:r>
                        <w:t>Resource</w:t>
                      </w:r>
                      <w:r w:rsidR="00BA5BE3">
                        <w:t>s</w:t>
                      </w:r>
                      <w:r>
                        <w:t xml:space="preserve"> for Activity 2, Step 4</w:t>
                      </w:r>
                    </w:p>
                    <w:p w:rsidR="00ED33C3" w:rsidRPr="00543516" w:rsidP="005666A5" w14:paraId="3844CF29" w14:textId="629EAB07">
                      <w:pPr>
                        <w:pStyle w:val="EQRTextboxbody"/>
                        <w:spacing w:before="0" w:after="60" w:line="200" w:lineRule="exact"/>
                      </w:pPr>
                      <w:hyperlink w:anchor="WSp2n2" w:tooltip="Worksheet 2.2. Performance Measure Validation Template" w:history="1">
                        <w:r>
                          <w:rPr>
                            <w:rStyle w:val="Hyperlink"/>
                          </w:rPr>
                          <w:t>Worksheet 2.2. Performance Measure Validation Template</w:t>
                        </w:r>
                      </w:hyperlink>
                    </w:p>
                    <w:p w:rsidR="00ED33C3" w:rsidP="005666A5" w14:paraId="42CC1DBA" w14:textId="50BC76C4">
                      <w:pPr>
                        <w:pStyle w:val="EQRTextboxbullet"/>
                        <w:spacing w:line="200" w:lineRule="exact"/>
                      </w:pPr>
                      <w:r w:rsidRPr="00543516">
                        <w:t>Provide</w:t>
                      </w:r>
                      <w:r w:rsidR="00BA5BE3">
                        <w:t>s</w:t>
                      </w:r>
                      <w:r w:rsidRPr="00543516">
                        <w:t xml:space="preserve"> a template for documenting audit specifications for the validation components of each performance measure, and to assess the MCP’s measurement and reporting process for each component</w:t>
                      </w:r>
                    </w:p>
                    <w:p w:rsidR="00ED33C3" w:rsidRPr="00543516" w:rsidP="005666A5" w14:paraId="2B9D4D80" w14:textId="6ABFFAE8">
                      <w:pPr>
                        <w:pStyle w:val="EQRTextboxbody"/>
                        <w:spacing w:before="0" w:after="60" w:line="200" w:lineRule="exact"/>
                      </w:pPr>
                      <w:hyperlink w:anchor="WSp2n9" w:tooltip="Worksheet 2.9. Policies, Data, and Information Used to Produce Measures: Review Checklist" w:history="1">
                        <w:r w:rsidRPr="00941DA6">
                          <w:rPr>
                            <w:rStyle w:val="Hyperlink"/>
                          </w:rPr>
                          <w:t>Worksheet 2.9. Policies, Data, and Information Used to Produce Measures: Review Checklist</w:t>
                        </w:r>
                      </w:hyperlink>
                    </w:p>
                    <w:p w:rsidR="00ED33C3" w:rsidP="005666A5" w14:paraId="4CB2F4AD" w14:textId="199BDA38">
                      <w:pPr>
                        <w:pStyle w:val="EQRTextboxbullet"/>
                        <w:spacing w:line="200" w:lineRule="exact"/>
                      </w:pPr>
                      <w:r w:rsidRPr="00543516">
                        <w:t xml:space="preserve">Provides a checklist </w:t>
                      </w:r>
                      <w:r w:rsidR="00B60DEC">
                        <w:t>to</w:t>
                      </w:r>
                      <w:r w:rsidRPr="00543516">
                        <w:t xml:space="preserve"> tracks documents and data used to assess the accuracy of the MCP’s performance measure calculations</w:t>
                      </w:r>
                    </w:p>
                    <w:p w:rsidR="00ED33C3" w:rsidRPr="00543516" w:rsidP="005666A5" w14:paraId="08616E23" w14:textId="0F24C519">
                      <w:pPr>
                        <w:pStyle w:val="EQRTextboxbody"/>
                        <w:spacing w:before="0" w:after="60" w:line="200" w:lineRule="exact"/>
                      </w:pPr>
                      <w:hyperlink w:anchor="WSp2n10" w:tooltip="Worksheet 2.10. Measure Validation Findings" w:history="1">
                        <w:r w:rsidRPr="00941DA6">
                          <w:rPr>
                            <w:rStyle w:val="Hyperlink"/>
                          </w:rPr>
                          <w:t>Worksheet 2.10. Measure Validation Findings</w:t>
                        </w:r>
                      </w:hyperlink>
                    </w:p>
                    <w:p w:rsidR="00ED33C3" w:rsidP="005666A5" w14:paraId="1CCAEDAA" w14:textId="10FA812C">
                      <w:pPr>
                        <w:pStyle w:val="EQRTextboxbullet"/>
                        <w:spacing w:line="200" w:lineRule="exact"/>
                      </w:pPr>
                      <w:r w:rsidRPr="00543516">
                        <w:t xml:space="preserve">Provides a template for </w:t>
                      </w:r>
                      <w:r w:rsidRPr="00543516">
                        <w:t>documenting  adherence</w:t>
                      </w:r>
                      <w:r w:rsidRPr="00543516">
                        <w:t xml:space="preserve"> to denominator</w:t>
                      </w:r>
                      <w:r w:rsidR="00B60DEC">
                        <w:t xml:space="preserve"> specifications</w:t>
                      </w:r>
                      <w:r w:rsidRPr="00543516">
                        <w:t>; programming logic, source code, and calculations; identifying medical events; exclusion criteria; population estimates; identifying the at-risk population; inclusion of qualifying events in the numerator; and medical record data in the numerator</w:t>
                      </w:r>
                    </w:p>
                    <w:p w:rsidR="00ED33C3" w:rsidRPr="00543516" w:rsidP="005666A5" w14:paraId="300C4808" w14:textId="6E20950E">
                      <w:pPr>
                        <w:pStyle w:val="EQRTextboxbody"/>
                        <w:spacing w:before="0" w:after="60" w:line="200" w:lineRule="exact"/>
                      </w:pPr>
                      <w:hyperlink w:anchor="WSp2n11" w:tooltip="Worksheet 2.11. Interview Guide for Assessing Processes and Procedures Used to Produce Numerators and Denominators" w:history="1">
                        <w:r>
                          <w:rPr>
                            <w:rStyle w:val="Hyperlink"/>
                          </w:rPr>
                          <w:t>Worksheet 2.11. Interview Guide for Assessing Processes and Procedures Used to Produce Numerators and Denominators</w:t>
                        </w:r>
                      </w:hyperlink>
                    </w:p>
                    <w:p w:rsidR="00ED33C3" w:rsidP="005666A5" w14:paraId="62343A5D" w14:textId="77777777">
                      <w:pPr>
                        <w:pStyle w:val="EQRTextboxbullet"/>
                        <w:spacing w:line="200" w:lineRule="exact"/>
                      </w:pPr>
                      <w:r w:rsidRPr="00543516">
                        <w:t>Provides a list of interview questions that can be tailored to supplement findings recorded in Worksheet 2.10</w:t>
                      </w:r>
                    </w:p>
                    <w:p w:rsidR="00ED33C3" w:rsidRPr="0090682E" w:rsidP="00DF225B" w14:paraId="0DB28836" w14:textId="35A665B2">
                      <w:pPr>
                        <w:pStyle w:val="EQRTextboxbody"/>
                        <w:rPr>
                          <w:spacing w:val="-2"/>
                        </w:rPr>
                      </w:pPr>
                      <w:r w:rsidRPr="00543516">
                        <w:t>For performance measures requiring medical record review, use</w:t>
                      </w:r>
                      <w:r w:rsidRPr="000E1F61">
                        <w:t xml:space="preserve"> </w:t>
                      </w:r>
                      <w:hyperlink w:anchor="WSp2n3" w:tooltip="Worksheet 2.3. Medical Record Review Validation Tool" w:history="1">
                        <w:r w:rsidRPr="00941DA6">
                          <w:rPr>
                            <w:rStyle w:val="Hyperlink"/>
                          </w:rPr>
                          <w:t>Worksheet 2.3. Medical Record Review Validation Tool</w:t>
                        </w:r>
                      </w:hyperlink>
                      <w:r w:rsidRPr="000E1F61">
                        <w:t>.</w:t>
                      </w:r>
                      <w:r w:rsidRPr="00543516">
                        <w:t xml:space="preserve"> </w:t>
                      </w:r>
                    </w:p>
                  </w:txbxContent>
                </v:textbox>
                <w10:wrap type="tight"/>
              </v:shape>
            </w:pict>
          </mc:Fallback>
        </mc:AlternateContent>
      </w:r>
      <w:r w:rsidRPr="00990D3B" w:rsidR="00112139">
        <w:t xml:space="preserve">To ensure the integrity and comparability of the performance measures, the EQRO should pay special attention to factors affecting the accuracy and completeness of the denominators and numerators. For example, the EQRO should assess whether the MCP used the appropriate data and methods to identify the entire eligible population for the denominator (including linkage of data from separate sources, application of inclusions and exclusions, and creation of complex episodes, where applicable). In addition, the EQRO should determine whether the MCP correctly identified and assessed qualifying medical events for the numerator to include all appropriate events, while excluding events that do not qualify. The EQRO should determine whether the numerators and denominators were calculated appropriately based on all applicable codes (such as diagnoses, procedures, and prescription drugs) and all available data sources (such as membership/enrollment data, claim/encounter data, provider data, </w:t>
      </w:r>
      <w:r w:rsidRPr="00990D3B" w:rsidR="00194D36">
        <w:t>utilization or medical management information systems data</w:t>
      </w:r>
      <w:r w:rsidRPr="00990D3B" w:rsidR="00E23921">
        <w:t>,</w:t>
      </w:r>
      <w:r w:rsidRPr="00990D3B" w:rsidR="00194D36">
        <w:t xml:space="preserve"> </w:t>
      </w:r>
      <w:r w:rsidRPr="00990D3B" w:rsidR="00112139">
        <w:t>or data ex</w:t>
      </w:r>
      <w:r w:rsidRPr="00990D3B" w:rsidR="00BB7A0D">
        <w:t xml:space="preserve">tracted from medical records). </w:t>
      </w:r>
    </w:p>
    <w:p w:rsidR="00B60DEC" w:rsidRPr="00990D3B" w:rsidP="00BD1FC3" w14:paraId="12F575F3" w14:textId="3847AA19">
      <w:pPr>
        <w:pStyle w:val="Paragraph0"/>
        <w:rPr>
          <w:spacing w:val="-2"/>
        </w:rPr>
      </w:pPr>
      <w:r w:rsidRPr="00990D3B">
        <w:t>For performance measures requiring medical record review</w:t>
      </w:r>
      <w:r w:rsidRPr="00990D3B" w:rsidR="002C45C0">
        <w:t>, t</w:t>
      </w:r>
      <w:r w:rsidRPr="00990D3B">
        <w:t xml:space="preserve">he EQRO should validate the results of the medical record review for 30 enrollees who met the numerator requirements for at least two measures. For more information, refer to </w:t>
      </w:r>
      <w:hyperlink w:anchor="P2A1Step4" w:tooltip="Activity 1, Step 4" w:history="1">
        <w:r w:rsidRPr="00990D3B">
          <w:rPr>
            <w:rStyle w:val="Hyperlink"/>
            <w:color w:val="auto"/>
          </w:rPr>
          <w:t>Activity 1, Step 4</w:t>
        </w:r>
      </w:hyperlink>
      <w:r w:rsidRPr="00990D3B">
        <w:t>.</w:t>
      </w:r>
    </w:p>
    <w:p w:rsidR="00B60DEC" w:rsidRPr="00990D3B" w:rsidP="00BD1FC3" w14:paraId="37A1CE80" w14:textId="77777777">
      <w:pPr>
        <w:pStyle w:val="Paragraph0"/>
      </w:pPr>
    </w:p>
    <w:p w:rsidR="005666A5" w:rsidRPr="00990D3B" w:rsidP="00BD1FC3" w14:paraId="044A7F2D" w14:textId="77777777">
      <w:pPr>
        <w:spacing w:line="240" w:lineRule="auto"/>
        <w:rPr>
          <w:b/>
          <w:sz w:val="28"/>
        </w:rPr>
      </w:pPr>
      <w:r w:rsidRPr="00990D3B">
        <w:br w:type="page"/>
      </w:r>
    </w:p>
    <w:p w:rsidR="002C2B15" w:rsidRPr="00990D3B" w:rsidP="00BD1FC3" w14:paraId="662015F7" w14:textId="461DE798">
      <w:pPr>
        <w:pStyle w:val="H3"/>
      </w:pPr>
      <w:bookmarkStart w:id="265" w:name="P2Act2Step5"/>
      <w:bookmarkEnd w:id="265"/>
      <w:r w:rsidRPr="00990D3B">
        <w:t>Step 5: Assess the S</w:t>
      </w:r>
      <w:r w:rsidRPr="00990D3B" w:rsidR="00434DEE">
        <w:t>ampling Process (if applicable)</w:t>
      </w:r>
    </w:p>
    <w:p w:rsidR="0002279E" w:rsidRPr="00990D3B" w:rsidP="00C34DBC" w14:paraId="41767EAB" w14:textId="1A02150B">
      <w:pPr>
        <w:pStyle w:val="ParagraphContinued"/>
      </w:pPr>
      <w:r w:rsidRPr="00990D3B">
        <w:rPr>
          <w:noProof/>
        </w:rPr>
        <mc:AlternateContent>
          <mc:Choice Requires="wpg">
            <w:drawing>
              <wp:anchor distT="0" distB="0" distL="114300" distR="114300" simplePos="0" relativeHeight="252008448" behindDoc="0" locked="0" layoutInCell="1" allowOverlap="1">
                <wp:simplePos x="0" y="0"/>
                <wp:positionH relativeFrom="column">
                  <wp:posOffset>3670300</wp:posOffset>
                </wp:positionH>
                <wp:positionV relativeFrom="paragraph">
                  <wp:posOffset>143510</wp:posOffset>
                </wp:positionV>
                <wp:extent cx="2195195" cy="6158230"/>
                <wp:effectExtent l="19050" t="19050" r="0" b="0"/>
                <wp:wrapTight wrapText="bothSides">
                  <wp:wrapPolygon>
                    <wp:start x="-187" y="-67"/>
                    <wp:lineTo x="-187" y="21582"/>
                    <wp:lineTo x="21556" y="21582"/>
                    <wp:lineTo x="21556" y="-67"/>
                    <wp:lineTo x="-187" y="-67"/>
                  </wp:wrapPolygon>
                </wp:wrapTight>
                <wp:docPr id="2064287763" name="Group 165"/>
                <wp:cNvGraphicFramePr/>
                <a:graphic xmlns:a="http://schemas.openxmlformats.org/drawingml/2006/main">
                  <a:graphicData uri="http://schemas.microsoft.com/office/word/2010/wordprocessingGroup">
                    <wpg:wgp xmlns:wpg="http://schemas.microsoft.com/office/word/2010/wordprocessingGroup">
                      <wpg:cNvGrpSpPr/>
                      <wpg:grpSpPr>
                        <a:xfrm>
                          <a:off x="0" y="0"/>
                          <a:ext cx="2195195" cy="6158230"/>
                          <a:chOff x="0" y="0"/>
                          <a:chExt cx="2194940" cy="6158362"/>
                        </a:xfrm>
                      </wpg:grpSpPr>
                      <wps:wsp xmlns:wps="http://schemas.microsoft.com/office/word/2010/wordprocessingShape">
                        <wps:cNvPr id="1900871508" name="Text Box 603"/>
                        <wps:cNvSpPr txBox="1">
                          <a:spLocks noChangeArrowheads="1"/>
                        </wps:cNvSpPr>
                        <wps:spPr bwMode="auto">
                          <a:xfrm rot="10800000" flipV="1">
                            <a:off x="0" y="704348"/>
                            <a:ext cx="2194940" cy="5454014"/>
                          </a:xfrm>
                          <a:prstGeom prst="rect">
                            <a:avLst/>
                          </a:prstGeom>
                          <a:solidFill>
                            <a:srgbClr val="EEF5F8"/>
                          </a:solidFill>
                          <a:ln w="28575" cap="rnd">
                            <a:solidFill>
                              <a:srgbClr val="A5DAD9"/>
                            </a:solidFill>
                            <a:prstDash val="solid"/>
                            <a:miter lim="800000"/>
                            <a:headEnd/>
                            <a:tailEnd/>
                          </a:ln>
                        </wps:spPr>
                        <wps:txbx>
                          <w:txbxContent>
                            <w:p w:rsidR="00ED33C3" w:rsidP="00F96EC2" w14:textId="56C12470">
                              <w:pPr>
                                <w:pStyle w:val="EQRTextboxheading"/>
                              </w:pPr>
                              <w:r>
                                <w:t>Resource</w:t>
                              </w:r>
                              <w:r w:rsidR="00BA5BE3">
                                <w:t>s</w:t>
                              </w:r>
                              <w:r>
                                <w:t xml:space="preserve"> for Activity 2, Step 5</w:t>
                              </w:r>
                            </w:p>
                            <w:p w:rsidR="00ED33C3" w:rsidRPr="006327FF" w:rsidP="006327FF" w14:textId="6C4A4DD7">
                              <w:pPr>
                                <w:pStyle w:val="EQRTextboxbody"/>
                              </w:pPr>
                              <w:hyperlink w:anchor="WSp2n12" w:tooltip="Worksheet 2.12. Policies, Procedures, and Data Used to Implement Sampling: Review Checklist" w:history="1">
                                <w:r w:rsidRPr="00941DA6">
                                  <w:rPr>
                                    <w:rStyle w:val="Hyperlink"/>
                                  </w:rPr>
                                  <w:t>Worksheet 2.12. Policies, Procedures, and Data Used to Implement Sampling: Review Checklist</w:t>
                                </w:r>
                              </w:hyperlink>
                            </w:p>
                            <w:p w:rsidR="00ED33C3" w:rsidRPr="006327FF" w:rsidP="006327FF" w14:textId="77777777">
                              <w:pPr>
                                <w:pStyle w:val="EQRTextboxbullet"/>
                              </w:pPr>
                              <w:r w:rsidRPr="006327FF">
                                <w:t>Guides this review by providing a list of documents, data, and procedures to assess the sampling process</w:t>
                              </w:r>
                            </w:p>
                            <w:p w:rsidR="00ED33C3" w:rsidRPr="006327FF" w:rsidP="006327FF" w14:textId="37E7DA8F">
                              <w:pPr>
                                <w:pStyle w:val="EQRTextboxbody"/>
                              </w:pPr>
                              <w:hyperlink w:anchor="WSp2n13" w:tooltip="Worksheet 2.13. Sampling Validation Findings" w:history="1">
                                <w:r>
                                  <w:rPr>
                                    <w:rStyle w:val="Hyperlink"/>
                                  </w:rPr>
                                  <w:t>Worksheet 2.13. Sampling Validation Findings</w:t>
                                </w:r>
                              </w:hyperlink>
                            </w:p>
                            <w:p w:rsidR="00ED33C3" w:rsidRPr="006327FF" w:rsidP="006327FF" w14:textId="77777777">
                              <w:pPr>
                                <w:pStyle w:val="EQRTextboxbullet"/>
                              </w:pPr>
                              <w:r w:rsidRPr="006327FF">
                                <w:t xml:space="preserve">For each measure involving a sample, this worksheet helps assess the extent to which: </w:t>
                              </w:r>
                            </w:p>
                            <w:p w:rsidR="00ED33C3" w:rsidRPr="006327FF" w:rsidP="006327FF" w14:textId="77777777">
                              <w:pPr>
                                <w:pStyle w:val="EQRTextboxbullet2ndlevel"/>
                              </w:pPr>
                              <w:r w:rsidRPr="006327FF">
                                <w:t>The MCP followed the specified sampling method to produce an unbiased sample representative of the entire included population</w:t>
                              </w:r>
                            </w:p>
                            <w:p w:rsidR="00ED33C3" w:rsidRPr="006327FF" w:rsidP="006327FF" w14:textId="77777777">
                              <w:pPr>
                                <w:pStyle w:val="EQRTextboxbullet2ndlevel"/>
                              </w:pPr>
                              <w:r w:rsidRPr="006327FF">
                                <w:t>The MCP maintains its performance measurement population sample frame to allow for a sample to be re-drawn or used as a source for replacement</w:t>
                              </w:r>
                            </w:p>
                            <w:p w:rsidR="00ED33C3" w:rsidRPr="006327FF" w:rsidP="006327FF" w14:textId="77777777">
                              <w:pPr>
                                <w:pStyle w:val="EQRTextboxbullet2ndlevel"/>
                              </w:pPr>
                              <w:r w:rsidRPr="006327FF">
                                <w:t>Sample sizes collected conform to the methodology in the performance measure specifications</w:t>
                              </w:r>
                            </w:p>
                            <w:p w:rsidR="00ED33C3" w:rsidRPr="006327FF" w:rsidP="006327FF" w14:textId="77777777">
                              <w:pPr>
                                <w:pStyle w:val="EQRTextboxbullet2ndlevel"/>
                              </w:pPr>
                              <w:r w:rsidRPr="006327FF">
                                <w:t>The sample is representative of the entire population</w:t>
                              </w:r>
                            </w:p>
                            <w:p w:rsidR="00ED33C3" w:rsidRPr="0090682E" w:rsidP="006327FF" w14:textId="36209D77">
                              <w:pPr>
                                <w:pStyle w:val="EQRTextboxbullet2ndlevel"/>
                                <w:rPr>
                                  <w:spacing w:val="-2"/>
                                </w:rPr>
                              </w:pPr>
                              <w:r w:rsidRPr="006327FF">
                                <w:t>Proper substitution methodology is followed for performance measures that include medical record reviews</w:t>
                              </w:r>
                            </w:p>
                          </w:txbxContent>
                        </wps:txbx>
                        <wps:bodyPr rot="0" vert="horz" wrap="square" lIns="109728" tIns="45720" rIns="109728" bIns="45720" anchor="t" anchorCtr="0" upright="1">
                          <a:spAutoFit/>
                        </wps:bodyPr>
                      </wps:wsp>
                      <wps:wsp xmlns:wps="http://schemas.microsoft.com/office/word/2010/wordprocessingShape">
                        <wps:cNvPr id="1346809000" name="Text Box 604"/>
                        <wps:cNvSpPr txBox="1">
                          <a:spLocks noChangeArrowheads="1"/>
                        </wps:cNvSpPr>
                        <wps:spPr bwMode="auto">
                          <a:xfrm rot="10800000" flipV="1">
                            <a:off x="0" y="0"/>
                            <a:ext cx="2193925" cy="297808"/>
                          </a:xfrm>
                          <a:prstGeom prst="rect">
                            <a:avLst/>
                          </a:prstGeom>
                          <a:solidFill>
                            <a:srgbClr val="EEF5F8"/>
                          </a:solidFill>
                          <a:ln w="28575" cap="rnd">
                            <a:solidFill>
                              <a:srgbClr val="A5DAD9"/>
                            </a:solidFill>
                            <a:prstDash val="solid"/>
                            <a:miter lim="800000"/>
                            <a:headEnd/>
                            <a:tailEnd/>
                          </a:ln>
                        </wps:spPr>
                        <wps:txbx>
                          <w:txbxContent>
                            <w:p w:rsidR="00ED33C3" w:rsidRPr="0090682E" w:rsidP="00F96EC2" w14:textId="201FAE02">
                              <w:pPr>
                                <w:pStyle w:val="EQRWORKSHEETText"/>
                                <w:rPr>
                                  <w:spacing w:val="-2"/>
                                </w:rPr>
                              </w:pPr>
                              <w:hyperlink w:anchor="WSp2n12" w:tooltip="WORKSHEET 2.12" w:history="1">
                                <w:r>
                                  <w:rPr>
                                    <w:rStyle w:val="Hyperlink"/>
                                    <w:color w:val="006981"/>
                                  </w:rPr>
                                  <w:t>WORKSHEET 2.12</w:t>
                                </w:r>
                              </w:hyperlink>
                            </w:p>
                          </w:txbxContent>
                        </wps:txbx>
                        <wps:bodyPr rot="0" vert="horz" wrap="square" lIns="109728" tIns="45720" rIns="109728" bIns="45720" anchor="t" anchorCtr="0" upright="1">
                          <a:spAutoFit/>
                        </wps:bodyPr>
                      </wps:wsp>
                      <wps:wsp xmlns:wps="http://schemas.microsoft.com/office/word/2010/wordprocessingShape">
                        <wps:cNvPr id="1366500862" name="Text Box 605"/>
                        <wps:cNvSpPr txBox="1">
                          <a:spLocks noChangeArrowheads="1"/>
                        </wps:cNvSpPr>
                        <wps:spPr bwMode="auto">
                          <a:xfrm rot="10800000" flipV="1">
                            <a:off x="0" y="349250"/>
                            <a:ext cx="2193925" cy="297808"/>
                          </a:xfrm>
                          <a:prstGeom prst="rect">
                            <a:avLst/>
                          </a:prstGeom>
                          <a:solidFill>
                            <a:srgbClr val="EEF5F8"/>
                          </a:solidFill>
                          <a:ln w="28575" cap="rnd">
                            <a:solidFill>
                              <a:srgbClr val="A5DAD9"/>
                            </a:solidFill>
                            <a:prstDash val="solid"/>
                            <a:miter lim="800000"/>
                            <a:headEnd/>
                            <a:tailEnd/>
                          </a:ln>
                        </wps:spPr>
                        <wps:txbx>
                          <w:txbxContent>
                            <w:p w:rsidR="00ED33C3" w:rsidRPr="0090682E" w:rsidP="00F96EC2" w14:textId="67BDA21B">
                              <w:pPr>
                                <w:pStyle w:val="EQRWORKSHEETText"/>
                                <w:rPr>
                                  <w:spacing w:val="-2"/>
                                </w:rPr>
                              </w:pPr>
                              <w:hyperlink w:anchor="WSp2n13" w:tooltip="WORKSHEET 2.13" w:history="1">
                                <w:r>
                                  <w:rPr>
                                    <w:rStyle w:val="Hyperlink"/>
                                    <w:color w:val="006981"/>
                                  </w:rPr>
                                  <w:t>WORKSHEET 2.13</w:t>
                                </w:r>
                              </w:hyperlink>
                            </w:p>
                          </w:txbxContent>
                        </wps:txbx>
                        <wps:bodyPr rot="0" vert="horz" wrap="square" lIns="109728" tIns="45720" rIns="109728"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65" o:spid="_x0000_s1107" style="width:172.85pt;height:484.9pt;margin-top:11.3pt;margin-left:289pt;position:absolute;z-index:252009472" coordsize="21949,61583">
                <v:shape id="Text Box 603" o:spid="_x0000_s1108" type="#_x0000_t202" style="width:21949;height:54540;flip:y;mso-wrap-style:square;position:absolute;rotation:180;top:7043;visibility:visible;v-text-anchor:top" fillcolor="#eef5f8" strokecolor="#a5dad9" strokeweight="2.25pt">
                  <v:stroke endcap="round"/>
                  <v:textbox style="mso-fit-shape-to-text:t" inset="8.64pt,,8.64pt">
                    <w:txbxContent>
                      <w:p w:rsidR="00ED33C3" w:rsidP="00F96EC2" w14:paraId="3A5FF3E1" w14:textId="56C12470">
                        <w:pPr>
                          <w:pStyle w:val="EQRTextboxheading"/>
                        </w:pPr>
                        <w:r>
                          <w:t>Resource</w:t>
                        </w:r>
                        <w:r w:rsidR="00BA5BE3">
                          <w:t>s</w:t>
                        </w:r>
                        <w:r>
                          <w:t xml:space="preserve"> for Activity 2, Step 5</w:t>
                        </w:r>
                      </w:p>
                      <w:p w:rsidR="00ED33C3" w:rsidRPr="006327FF" w:rsidP="006327FF" w14:paraId="2CB33FA5" w14:textId="6C4A4DD7">
                        <w:pPr>
                          <w:pStyle w:val="EQRTextboxbody"/>
                        </w:pPr>
                        <w:hyperlink w:anchor="WSp2n12" w:tooltip="Worksheet 2.12. Policies, Procedures, and Data Used to Implement Sampling: Review Checklist" w:history="1">
                          <w:r w:rsidRPr="00941DA6">
                            <w:rPr>
                              <w:rStyle w:val="Hyperlink"/>
                            </w:rPr>
                            <w:t>Worksheet 2.12. Policies, Procedures, and Data Used to Implement Sampling: Review Checklist</w:t>
                          </w:r>
                        </w:hyperlink>
                      </w:p>
                      <w:p w:rsidR="00ED33C3" w:rsidRPr="006327FF" w:rsidP="006327FF" w14:paraId="739D5F06" w14:textId="77777777">
                        <w:pPr>
                          <w:pStyle w:val="EQRTextboxbullet"/>
                        </w:pPr>
                        <w:r w:rsidRPr="006327FF">
                          <w:t>Guides this review by providing a list of documents, data, and procedures to assess the sampling process</w:t>
                        </w:r>
                      </w:p>
                      <w:p w:rsidR="00ED33C3" w:rsidRPr="006327FF" w:rsidP="006327FF" w14:paraId="77537152" w14:textId="37E7DA8F">
                        <w:pPr>
                          <w:pStyle w:val="EQRTextboxbody"/>
                        </w:pPr>
                        <w:hyperlink w:anchor="WSp2n13" w:tooltip="Worksheet 2.13. Sampling Validation Findings" w:history="1">
                          <w:r>
                            <w:rPr>
                              <w:rStyle w:val="Hyperlink"/>
                            </w:rPr>
                            <w:t>Worksheet 2.13. Sampling Validation Findings</w:t>
                          </w:r>
                        </w:hyperlink>
                      </w:p>
                      <w:p w:rsidR="00ED33C3" w:rsidRPr="006327FF" w:rsidP="006327FF" w14:paraId="572F58A4" w14:textId="77777777">
                        <w:pPr>
                          <w:pStyle w:val="EQRTextboxbullet"/>
                        </w:pPr>
                        <w:r w:rsidRPr="006327FF">
                          <w:t xml:space="preserve">For each measure involving a sample, this worksheet helps assess the extent to which: </w:t>
                        </w:r>
                      </w:p>
                      <w:p w:rsidR="00ED33C3" w:rsidRPr="006327FF" w:rsidP="006327FF" w14:paraId="4E685D2D" w14:textId="77777777">
                        <w:pPr>
                          <w:pStyle w:val="EQRTextboxbullet2ndlevel"/>
                        </w:pPr>
                        <w:r w:rsidRPr="006327FF">
                          <w:t>The MCP followed the specified sampling method to produce an unbiased sample representative of the entire included population</w:t>
                        </w:r>
                      </w:p>
                      <w:p w:rsidR="00ED33C3" w:rsidRPr="006327FF" w:rsidP="006327FF" w14:paraId="14CB59C6" w14:textId="77777777">
                        <w:pPr>
                          <w:pStyle w:val="EQRTextboxbullet2ndlevel"/>
                        </w:pPr>
                        <w:r w:rsidRPr="006327FF">
                          <w:t>The MCP maintains its performance measurement population sample frame to allow for a sample to be re-drawn or used as a source for replacement</w:t>
                        </w:r>
                      </w:p>
                      <w:p w:rsidR="00ED33C3" w:rsidRPr="006327FF" w:rsidP="006327FF" w14:paraId="583FACE9" w14:textId="77777777">
                        <w:pPr>
                          <w:pStyle w:val="EQRTextboxbullet2ndlevel"/>
                        </w:pPr>
                        <w:r w:rsidRPr="006327FF">
                          <w:t>Sample sizes collected conform to the methodology in the performance measure specifications</w:t>
                        </w:r>
                      </w:p>
                      <w:p w:rsidR="00ED33C3" w:rsidRPr="006327FF" w:rsidP="006327FF" w14:paraId="1DD95863" w14:textId="77777777">
                        <w:pPr>
                          <w:pStyle w:val="EQRTextboxbullet2ndlevel"/>
                        </w:pPr>
                        <w:r w:rsidRPr="006327FF">
                          <w:t>The sample is representative of the entire population</w:t>
                        </w:r>
                      </w:p>
                      <w:p w:rsidR="00ED33C3" w:rsidRPr="0090682E" w:rsidP="006327FF" w14:paraId="7FF5210D" w14:textId="36209D77">
                        <w:pPr>
                          <w:pStyle w:val="EQRTextboxbullet2ndlevel"/>
                          <w:rPr>
                            <w:spacing w:val="-2"/>
                          </w:rPr>
                        </w:pPr>
                        <w:r w:rsidRPr="006327FF">
                          <w:t>Proper substitution methodology is followed for performance measures that include medical record reviews</w:t>
                        </w:r>
                      </w:p>
                    </w:txbxContent>
                  </v:textbox>
                </v:shape>
                <v:shape id="Text Box 604" o:spid="_x0000_s1109" type="#_x0000_t202" style="width:21939;height:2978;flip:y;mso-wrap-style:square;position:absolute;rotation:180;visibility:visible;v-text-anchor:top" fillcolor="#eef5f8" strokecolor="#a5dad9" strokeweight="2.25pt">
                  <v:stroke endcap="round"/>
                  <v:textbox style="mso-fit-shape-to-text:t" inset="8.64pt,,8.64pt">
                    <w:txbxContent>
                      <w:p w:rsidR="00ED33C3" w:rsidRPr="0090682E" w:rsidP="00F96EC2" w14:paraId="351C62EA" w14:textId="201FAE02">
                        <w:pPr>
                          <w:pStyle w:val="EQRWORKSHEETText"/>
                          <w:rPr>
                            <w:spacing w:val="-2"/>
                          </w:rPr>
                        </w:pPr>
                        <w:hyperlink w:anchor="WSp2n12" w:tooltip="WORKSHEET 2.12" w:history="1">
                          <w:r>
                            <w:rPr>
                              <w:rStyle w:val="Hyperlink"/>
                              <w:color w:val="006981"/>
                            </w:rPr>
                            <w:t>WORKSHEET 2.12</w:t>
                          </w:r>
                        </w:hyperlink>
                      </w:p>
                    </w:txbxContent>
                  </v:textbox>
                </v:shape>
                <v:shape id="Text Box 605" o:spid="_x0000_s1110" type="#_x0000_t202" style="width:21939;height:2978;flip:y;mso-wrap-style:square;position:absolute;rotation:180;top:3492;visibility:visible;v-text-anchor:top" fillcolor="#eef5f8" strokecolor="#a5dad9" strokeweight="2.25pt">
                  <v:stroke endcap="round"/>
                  <v:textbox style="mso-fit-shape-to-text:t" inset="8.64pt,,8.64pt">
                    <w:txbxContent>
                      <w:p w:rsidR="00ED33C3" w:rsidRPr="0090682E" w:rsidP="00F96EC2" w14:paraId="5DA3CE20" w14:textId="67BDA21B">
                        <w:pPr>
                          <w:pStyle w:val="EQRWORKSHEETText"/>
                          <w:rPr>
                            <w:spacing w:val="-2"/>
                          </w:rPr>
                        </w:pPr>
                        <w:hyperlink w:anchor="WSp2n13" w:tooltip="WORKSHEET 2.13" w:history="1">
                          <w:r>
                            <w:rPr>
                              <w:rStyle w:val="Hyperlink"/>
                              <w:color w:val="006981"/>
                            </w:rPr>
                            <w:t>WORKSHEET 2.13</w:t>
                          </w:r>
                        </w:hyperlink>
                      </w:p>
                    </w:txbxContent>
                  </v:textbox>
                </v:shape>
                <w10:wrap type="tight"/>
              </v:group>
            </w:pict>
          </mc:Fallback>
        </mc:AlternateContent>
      </w:r>
      <w:r w:rsidRPr="00990D3B" w:rsidR="004C1326">
        <w:rPr>
          <w:noProof/>
        </w:rPr>
        <w:t>In this step, if applicable,</w:t>
      </w:r>
      <w:r w:rsidRPr="00990D3B" w:rsidR="00313F9C">
        <w:rPr>
          <w:noProof/>
        </w:rPr>
        <w:t xml:space="preserve"> </w:t>
      </w:r>
      <w:r w:rsidRPr="00990D3B" w:rsidR="004C1326">
        <w:rPr>
          <w:noProof/>
        </w:rPr>
        <w:t>t</w:t>
      </w:r>
      <w:r w:rsidRPr="00990D3B" w:rsidR="0002279E">
        <w:rPr>
          <w:noProof/>
        </w:rPr>
        <w:t>he EQRO determine</w:t>
      </w:r>
      <w:r w:rsidRPr="00990D3B" w:rsidR="004C1326">
        <w:rPr>
          <w:noProof/>
        </w:rPr>
        <w:t>s</w:t>
      </w:r>
      <w:r w:rsidRPr="00990D3B" w:rsidR="0002279E">
        <w:rPr>
          <w:noProof/>
        </w:rPr>
        <w:t xml:space="preserve"> whether the sample represents the entire eligible population in all relevant dimensions. The MCP’s sampling method should not exclude any population subgroups to which the performance measure applies. For example, when assessing well-child care, the sample should not exclude children with special health care needs whose primary care provider is a specialist other than a pediatrician or family practitioner. </w:t>
      </w:r>
    </w:p>
    <w:p w:rsidR="00112139" w:rsidRPr="00990D3B" w:rsidP="00BD1FC3" w14:paraId="29B1F0D1" w14:textId="721AE795">
      <w:pPr>
        <w:pStyle w:val="H3"/>
      </w:pPr>
      <w:r w:rsidRPr="00990D3B">
        <w:t xml:space="preserve">Step 6: Communicate Preliminary Findings and Outstanding Items </w:t>
      </w:r>
    </w:p>
    <w:p w:rsidR="00112139" w:rsidRPr="00990D3B" w:rsidP="00C34DBC" w14:paraId="2A703A93" w14:textId="60408BF8">
      <w:pPr>
        <w:pStyle w:val="ParagraphContinued"/>
      </w:pPr>
      <w:r w:rsidRPr="00990D3B">
        <w:t>At the conclusion of the site visit, the EQRO will communicate preliminary findings to the MCP, including any outstanding items for follow-up. The information communicated during the closing conference will appear in the EQRO’s subsequent preliminary report to the MCP. In addition, the EQRO should provide a list of outstanding items before completing the preliminary report to allow the MCP the maximum time to resolve identifi</w:t>
      </w:r>
      <w:r w:rsidRPr="00990D3B" w:rsidR="005C0EAF">
        <w:t>ed issues.</w:t>
      </w:r>
    </w:p>
    <w:p w:rsidR="000913BD" w:rsidRPr="00990D3B" w:rsidP="0010376B" w14:paraId="4DD93D5E" w14:textId="4FDDF0CA">
      <w:bookmarkStart w:id="266" w:name="_Toc278836040"/>
      <w:bookmarkStart w:id="267" w:name="_Toc14777690"/>
      <w:r w:rsidRPr="00990D3B">
        <w:br w:type="page"/>
      </w:r>
    </w:p>
    <w:p w:rsidR="00495569" w:rsidRPr="00990D3B" w:rsidP="00BD1FC3" w14:paraId="68FAEDB8" w14:textId="7A17756B">
      <w:pPr>
        <w:pStyle w:val="H2"/>
      </w:pPr>
      <w:bookmarkStart w:id="268" w:name="P2Act3"/>
      <w:bookmarkStart w:id="269" w:name="_Toc183005579"/>
      <w:bookmarkStart w:id="270" w:name="_Toc201751350"/>
      <w:bookmarkStart w:id="271" w:name="_Hlk180668976"/>
      <w:bookmarkEnd w:id="268"/>
      <w:r w:rsidRPr="00990D3B">
        <w:t>A</w:t>
      </w:r>
      <w:r w:rsidRPr="00990D3B" w:rsidR="005C0EAF">
        <w:t xml:space="preserve">ctivity 3: </w:t>
      </w:r>
      <w:bookmarkEnd w:id="266"/>
      <w:r w:rsidRPr="00990D3B" w:rsidR="002A538C">
        <w:t>Perform Overall Validation (Post-Site Visit)</w:t>
      </w:r>
      <w:bookmarkEnd w:id="267"/>
      <w:bookmarkEnd w:id="269"/>
      <w:bookmarkEnd w:id="270"/>
      <w:r w:rsidRPr="00990D3B" w:rsidR="002A538C">
        <w:t xml:space="preserve"> </w:t>
      </w:r>
    </w:p>
    <w:bookmarkEnd w:id="271"/>
    <w:p w:rsidR="00112139" w:rsidRPr="00990D3B" w:rsidP="00C34DBC" w14:paraId="132F1034" w14:textId="716473EA">
      <w:pPr>
        <w:pStyle w:val="ParagraphContinued"/>
      </w:pPr>
      <w:r w:rsidRPr="00990D3B">
        <w:rPr>
          <w:noProof/>
        </w:rPr>
        <mc:AlternateContent>
          <mc:Choice Requires="wpg">
            <w:drawing>
              <wp:anchor distT="0" distB="0" distL="114300" distR="114300" simplePos="0" relativeHeight="252010496" behindDoc="0" locked="0" layoutInCell="1" allowOverlap="1">
                <wp:simplePos x="0" y="0"/>
                <wp:positionH relativeFrom="column">
                  <wp:posOffset>3755863</wp:posOffset>
                </wp:positionH>
                <wp:positionV relativeFrom="paragraph">
                  <wp:posOffset>75565</wp:posOffset>
                </wp:positionV>
                <wp:extent cx="2195195" cy="6215380"/>
                <wp:effectExtent l="19050" t="19050" r="14605" b="13970"/>
                <wp:wrapTight wrapText="bothSides">
                  <wp:wrapPolygon>
                    <wp:start x="-187" y="-66"/>
                    <wp:lineTo x="-187" y="21582"/>
                    <wp:lineTo x="21556" y="21582"/>
                    <wp:lineTo x="21556" y="-66"/>
                    <wp:lineTo x="-187" y="-66"/>
                  </wp:wrapPolygon>
                </wp:wrapTight>
                <wp:docPr id="648452466" name="Group 164"/>
                <wp:cNvGraphicFramePr/>
                <a:graphic xmlns:a="http://schemas.openxmlformats.org/drawingml/2006/main">
                  <a:graphicData uri="http://schemas.microsoft.com/office/word/2010/wordprocessingGroup">
                    <wpg:wgp xmlns:wpg="http://schemas.microsoft.com/office/word/2010/wordprocessingGroup">
                      <wpg:cNvGrpSpPr/>
                      <wpg:grpSpPr>
                        <a:xfrm>
                          <a:off x="0" y="0"/>
                          <a:ext cx="2195195" cy="6215380"/>
                          <a:chOff x="0" y="0"/>
                          <a:chExt cx="2195320" cy="6215383"/>
                        </a:xfrm>
                      </wpg:grpSpPr>
                      <wps:wsp xmlns:wps="http://schemas.microsoft.com/office/word/2010/wordprocessingShape">
                        <wps:cNvPr id="605315968" name="Text Box 607"/>
                        <wps:cNvSpPr txBox="1">
                          <a:spLocks noChangeArrowheads="1"/>
                        </wps:cNvSpPr>
                        <wps:spPr bwMode="auto">
                          <a:xfrm rot="10800000" flipV="1">
                            <a:off x="0" y="1434468"/>
                            <a:ext cx="2195320" cy="4780915"/>
                          </a:xfrm>
                          <a:prstGeom prst="rect">
                            <a:avLst/>
                          </a:prstGeom>
                          <a:solidFill>
                            <a:srgbClr val="EEF5F8"/>
                          </a:solidFill>
                          <a:ln w="28575" cap="rnd">
                            <a:solidFill>
                              <a:srgbClr val="A5DAD9"/>
                            </a:solidFill>
                            <a:prstDash val="solid"/>
                            <a:miter lim="800000"/>
                            <a:headEnd/>
                            <a:tailEnd/>
                          </a:ln>
                        </wps:spPr>
                        <wps:txbx>
                          <w:txbxContent>
                            <w:p w:rsidR="00ED33C3" w:rsidP="003B656C" w14:textId="13504D23">
                              <w:pPr>
                                <w:pStyle w:val="EQRTextboxheading"/>
                                <w:spacing w:before="0" w:after="60" w:line="200" w:lineRule="exact"/>
                              </w:pPr>
                              <w:r>
                                <w:t>Resource</w:t>
                              </w:r>
                              <w:r w:rsidR="002C45C0">
                                <w:t>s</w:t>
                              </w:r>
                              <w:r>
                                <w:t xml:space="preserve"> for Activity 3</w:t>
                              </w:r>
                            </w:p>
                            <w:p w:rsidR="00ED33C3" w:rsidRPr="00324218" w:rsidP="00324218" w14:textId="3A929BD8">
                              <w:pPr>
                                <w:pStyle w:val="EQRTextboxbody"/>
                              </w:pPr>
                              <w:r>
                                <w:t>I</w:t>
                              </w:r>
                              <w:r w:rsidRPr="00324218">
                                <w:t>nformation gathered in Activities 1 and 2 using the following worksheets and tools may be helpful when preparing the final validation report:</w:t>
                              </w:r>
                            </w:p>
                            <w:p w:rsidR="00ED33C3" w:rsidRPr="00324218" w:rsidP="00324218" w14:textId="4AB59823">
                              <w:pPr>
                                <w:pStyle w:val="EQRTextboxbody"/>
                              </w:pPr>
                              <w:hyperlink w:anchor="WSp2n3" w:tooltip="Worksheet 2.3. Medical Record Review Validation Template" w:history="1">
                                <w:r w:rsidRPr="00A66B95">
                                  <w:rPr>
                                    <w:rStyle w:val="Hyperlink"/>
                                  </w:rPr>
                                  <w:t>Worksheet 2.3. Medical Record Review Validation Template</w:t>
                                </w:r>
                              </w:hyperlink>
                            </w:p>
                            <w:p w:rsidR="00ED33C3" w:rsidRPr="00324218" w:rsidP="00324218" w14:textId="77777777">
                              <w:pPr>
                                <w:pStyle w:val="EQRTextboxbullet"/>
                              </w:pPr>
                              <w:r w:rsidRPr="00324218">
                                <w:t>Describes procedures and sample tools for validating medical review findings</w:t>
                              </w:r>
                            </w:p>
                            <w:p w:rsidR="00ED33C3" w:rsidRPr="00324218" w:rsidP="00324218" w14:textId="71450A94">
                              <w:pPr>
                                <w:pStyle w:val="EQRTextboxbody"/>
                              </w:pPr>
                              <w:hyperlink w:anchor="WSp2n6" w:tooltip="Worksheet 2.6. Data Integration and Control Findings Tool" w:history="1">
                                <w:r w:rsidRPr="00A66B95">
                                  <w:rPr>
                                    <w:rStyle w:val="Hyperlink"/>
                                  </w:rPr>
                                  <w:t>Worksheet 2.6. Data Integration and Control Findings Tool</w:t>
                                </w:r>
                              </w:hyperlink>
                            </w:p>
                            <w:p w:rsidR="00ED33C3" w:rsidRPr="00324218" w:rsidP="00324218" w14:textId="77777777">
                              <w:pPr>
                                <w:pStyle w:val="EQRTextboxbullet"/>
                              </w:pPr>
                              <w:r w:rsidRPr="00324218">
                                <w:t>Provides a template for recording findings from interviews with data integration and control MCP personnel</w:t>
                              </w:r>
                            </w:p>
                            <w:p w:rsidR="00ED33C3" w:rsidRPr="00324218" w:rsidP="00324218" w14:textId="184A9F5E">
                              <w:pPr>
                                <w:pStyle w:val="EQRTextboxbody"/>
                              </w:pPr>
                              <w:hyperlink w:anchor="WSp2n10" w:tooltip="Worksheet 2.10. Measure Validation Findings" w:history="1">
                                <w:r w:rsidRPr="00A66B95">
                                  <w:rPr>
                                    <w:rStyle w:val="Hyperlink"/>
                                  </w:rPr>
                                  <w:t>Worksheet 2.10. Measure Validation Findings</w:t>
                                </w:r>
                              </w:hyperlink>
                            </w:p>
                            <w:p w:rsidR="00ED33C3" w:rsidRPr="00324218" w:rsidP="00324218" w14:textId="77777777">
                              <w:pPr>
                                <w:pStyle w:val="EQRTextboxbullet"/>
                              </w:pPr>
                              <w:r w:rsidRPr="00324218">
                                <w:t>Provides a template for recording findings from the measures record validation review</w:t>
                              </w:r>
                            </w:p>
                            <w:p w:rsidR="00ED33C3" w:rsidRPr="00324218" w:rsidP="00324218" w14:textId="2679CF56">
                              <w:pPr>
                                <w:pStyle w:val="EQRTextboxbody"/>
                              </w:pPr>
                              <w:hyperlink w:anchor="WSp2n13" w:tooltip="Worksheet 2.13. Sampling Validation Findings" w:history="1">
                                <w:r w:rsidRPr="007D6ADB">
                                  <w:rPr>
                                    <w:rStyle w:val="Hyperlink"/>
                                  </w:rPr>
                                  <w:t>Worksheet 2.13. Sampling Validation Findings</w:t>
                                </w:r>
                              </w:hyperlink>
                            </w:p>
                            <w:p w:rsidR="00ED33C3" w:rsidRPr="00324218" w:rsidP="00324218" w14:textId="77777777">
                              <w:pPr>
                                <w:pStyle w:val="EQRTextboxbullet"/>
                              </w:pPr>
                              <w:r w:rsidRPr="00324218">
                                <w:t>Provides a template to record findings from the sampling assessment process</w:t>
                              </w:r>
                            </w:p>
                          </w:txbxContent>
                        </wps:txbx>
                        <wps:bodyPr rot="0" vert="horz" wrap="square" lIns="109728" tIns="45720" rIns="109728" bIns="45720" anchor="t" anchorCtr="0" upright="1">
                          <a:spAutoFit/>
                        </wps:bodyPr>
                      </wps:wsp>
                      <wps:wsp xmlns:wps="http://schemas.microsoft.com/office/word/2010/wordprocessingShape">
                        <wps:cNvPr id="1215107708" name="Text Box 608"/>
                        <wps:cNvSpPr txBox="1">
                          <a:spLocks noChangeArrowheads="1"/>
                        </wps:cNvSpPr>
                        <wps:spPr bwMode="auto">
                          <a:xfrm rot="10800000" flipV="1">
                            <a:off x="0" y="0"/>
                            <a:ext cx="2193925" cy="297808"/>
                          </a:xfrm>
                          <a:prstGeom prst="rect">
                            <a:avLst/>
                          </a:prstGeom>
                          <a:solidFill>
                            <a:srgbClr val="EEF5F8"/>
                          </a:solidFill>
                          <a:ln w="28575" cap="rnd">
                            <a:solidFill>
                              <a:srgbClr val="A5DAD9"/>
                            </a:solidFill>
                            <a:prstDash val="solid"/>
                            <a:miter lim="800000"/>
                            <a:headEnd/>
                            <a:tailEnd/>
                          </a:ln>
                        </wps:spPr>
                        <wps:txbx>
                          <w:txbxContent>
                            <w:p w:rsidR="00ED33C3" w:rsidRPr="0090682E" w:rsidP="003B656C" w14:textId="5BD2D0B3">
                              <w:pPr>
                                <w:pStyle w:val="EQRWORKSHEETText"/>
                                <w:rPr>
                                  <w:spacing w:val="-2"/>
                                </w:rPr>
                              </w:pPr>
                              <w:hyperlink w:anchor="WSp2n3" w:tooltip="WORKSHEET 2.3" w:history="1">
                                <w:r>
                                  <w:rPr>
                                    <w:rStyle w:val="Hyperlink"/>
                                    <w:color w:val="006981"/>
                                  </w:rPr>
                                  <w:t>WORKSHEET 2.3</w:t>
                                </w:r>
                              </w:hyperlink>
                            </w:p>
                          </w:txbxContent>
                        </wps:txbx>
                        <wps:bodyPr rot="0" vert="horz" wrap="square" lIns="109728" tIns="45720" rIns="109728" bIns="45720" anchor="t" anchorCtr="0" upright="1">
                          <a:spAutoFit/>
                        </wps:bodyPr>
                      </wps:wsp>
                      <wps:wsp xmlns:wps="http://schemas.microsoft.com/office/word/2010/wordprocessingShape">
                        <wps:cNvPr id="682778903" name="Text Box 609"/>
                        <wps:cNvSpPr txBox="1">
                          <a:spLocks noChangeArrowheads="1"/>
                        </wps:cNvSpPr>
                        <wps:spPr bwMode="auto">
                          <a:xfrm rot="10800000" flipV="1">
                            <a:off x="0" y="1073150"/>
                            <a:ext cx="2193925" cy="297808"/>
                          </a:xfrm>
                          <a:prstGeom prst="rect">
                            <a:avLst/>
                          </a:prstGeom>
                          <a:solidFill>
                            <a:srgbClr val="EEF5F8"/>
                          </a:solidFill>
                          <a:ln w="28575" cap="rnd">
                            <a:solidFill>
                              <a:srgbClr val="A5DAD9"/>
                            </a:solidFill>
                            <a:prstDash val="solid"/>
                            <a:miter lim="800000"/>
                            <a:headEnd/>
                            <a:tailEnd/>
                          </a:ln>
                        </wps:spPr>
                        <wps:txbx>
                          <w:txbxContent>
                            <w:p w:rsidR="00ED33C3" w:rsidRPr="0090682E" w:rsidP="003B656C" w14:textId="216B6735">
                              <w:pPr>
                                <w:pStyle w:val="EQRWORKSHEETText"/>
                                <w:rPr>
                                  <w:spacing w:val="-2"/>
                                </w:rPr>
                              </w:pPr>
                              <w:hyperlink w:anchor="WSp2n13" w:tooltip="WORKSHEET 2.13" w:history="1">
                                <w:r>
                                  <w:rPr>
                                    <w:rStyle w:val="Hyperlink"/>
                                    <w:color w:val="006981"/>
                                  </w:rPr>
                                  <w:t>WORKSHEET 2.13</w:t>
                                </w:r>
                              </w:hyperlink>
                            </w:p>
                          </w:txbxContent>
                        </wps:txbx>
                        <wps:bodyPr rot="0" vert="horz" wrap="square" lIns="109728" tIns="45720" rIns="109728" bIns="45720" anchor="t" anchorCtr="0" upright="1">
                          <a:spAutoFit/>
                        </wps:bodyPr>
                      </wps:wsp>
                      <wps:wsp xmlns:wps="http://schemas.microsoft.com/office/word/2010/wordprocessingShape">
                        <wps:cNvPr id="340317675" name="Text Box 610"/>
                        <wps:cNvSpPr txBox="1">
                          <a:spLocks noChangeArrowheads="1"/>
                        </wps:cNvSpPr>
                        <wps:spPr bwMode="auto">
                          <a:xfrm rot="10800000" flipV="1">
                            <a:off x="0" y="355600"/>
                            <a:ext cx="2193925" cy="297808"/>
                          </a:xfrm>
                          <a:prstGeom prst="rect">
                            <a:avLst/>
                          </a:prstGeom>
                          <a:solidFill>
                            <a:srgbClr val="EEF5F8"/>
                          </a:solidFill>
                          <a:ln w="28575" cap="rnd">
                            <a:solidFill>
                              <a:srgbClr val="A5DAD9"/>
                            </a:solidFill>
                            <a:prstDash val="solid"/>
                            <a:miter lim="800000"/>
                            <a:headEnd/>
                            <a:tailEnd/>
                          </a:ln>
                        </wps:spPr>
                        <wps:txbx>
                          <w:txbxContent>
                            <w:p w:rsidR="00ED33C3" w:rsidRPr="0090682E" w:rsidP="003B656C" w14:textId="60A19208">
                              <w:pPr>
                                <w:pStyle w:val="EQRWORKSHEETText"/>
                                <w:rPr>
                                  <w:spacing w:val="-2"/>
                                </w:rPr>
                              </w:pPr>
                              <w:hyperlink w:anchor="WSp2n6" w:tooltip="WORKSHEET 2.6" w:history="1">
                                <w:r>
                                  <w:rPr>
                                    <w:rStyle w:val="Hyperlink"/>
                                    <w:color w:val="006981"/>
                                  </w:rPr>
                                  <w:t>WORKSHEET 2.6</w:t>
                                </w:r>
                              </w:hyperlink>
                            </w:p>
                          </w:txbxContent>
                        </wps:txbx>
                        <wps:bodyPr rot="0" vert="horz" wrap="square" lIns="109728" tIns="45720" rIns="109728" bIns="45720" anchor="t" anchorCtr="0" upright="1">
                          <a:spAutoFit/>
                        </wps:bodyPr>
                      </wps:wsp>
                      <wps:wsp xmlns:wps="http://schemas.microsoft.com/office/word/2010/wordprocessingShape">
                        <wps:cNvPr id="1316887605" name="Text Box 611"/>
                        <wps:cNvSpPr txBox="1">
                          <a:spLocks noChangeArrowheads="1"/>
                        </wps:cNvSpPr>
                        <wps:spPr bwMode="auto">
                          <a:xfrm rot="10800000" flipV="1">
                            <a:off x="0" y="717550"/>
                            <a:ext cx="2193925" cy="297808"/>
                          </a:xfrm>
                          <a:prstGeom prst="rect">
                            <a:avLst/>
                          </a:prstGeom>
                          <a:solidFill>
                            <a:srgbClr val="EEF5F8"/>
                          </a:solidFill>
                          <a:ln w="28575" cap="rnd">
                            <a:solidFill>
                              <a:srgbClr val="A5DAD9"/>
                            </a:solidFill>
                            <a:prstDash val="solid"/>
                            <a:miter lim="800000"/>
                            <a:headEnd/>
                            <a:tailEnd/>
                          </a:ln>
                        </wps:spPr>
                        <wps:txbx>
                          <w:txbxContent>
                            <w:p w:rsidR="00ED33C3" w:rsidRPr="0090682E" w:rsidP="003B656C" w14:textId="45CD8A95">
                              <w:pPr>
                                <w:pStyle w:val="EQRWORKSHEETText"/>
                                <w:rPr>
                                  <w:spacing w:val="-2"/>
                                </w:rPr>
                              </w:pPr>
                              <w:hyperlink w:anchor="WSp2n10" w:tooltip="WORKSHEET 2.10" w:history="1">
                                <w:r>
                                  <w:rPr>
                                    <w:rStyle w:val="Hyperlink"/>
                                    <w:color w:val="006981"/>
                                  </w:rPr>
                                  <w:t>WORKSHEET 2.10</w:t>
                                </w:r>
                              </w:hyperlink>
                            </w:p>
                          </w:txbxContent>
                        </wps:txbx>
                        <wps:bodyPr rot="0" vert="horz" wrap="square" lIns="109728" tIns="45720" rIns="109728" bIns="4572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id="Group 164" o:spid="_x0000_s1111" style="width:172.85pt;height:489.4pt;margin-top:5.95pt;margin-left:295.75pt;mso-height-relative:margin;mso-width-relative:margin;position:absolute;z-index:252011520" coordsize="21953,62153">
                <v:shape id="Text Box 607" o:spid="_x0000_s1112" type="#_x0000_t202" style="width:21953;height:47809;flip:y;mso-wrap-style:square;position:absolute;rotation:180;top:14344;visibility:visible;v-text-anchor:top" fillcolor="#eef5f8" strokecolor="#a5dad9" strokeweight="2.25pt">
                  <v:stroke endcap="round"/>
                  <v:textbox style="mso-fit-shape-to-text:t" inset="8.64pt,,8.64pt">
                    <w:txbxContent>
                      <w:p w:rsidR="00ED33C3" w:rsidP="003B656C" w14:paraId="79947802" w14:textId="13504D23">
                        <w:pPr>
                          <w:pStyle w:val="EQRTextboxheading"/>
                          <w:spacing w:before="0" w:after="60" w:line="200" w:lineRule="exact"/>
                        </w:pPr>
                        <w:r>
                          <w:t>Resource</w:t>
                        </w:r>
                        <w:r w:rsidR="002C45C0">
                          <w:t>s</w:t>
                        </w:r>
                        <w:r>
                          <w:t xml:space="preserve"> for Activity 3</w:t>
                        </w:r>
                      </w:p>
                      <w:p w:rsidR="00ED33C3" w:rsidRPr="00324218" w:rsidP="00324218" w14:paraId="45624F01" w14:textId="3A929BD8">
                        <w:pPr>
                          <w:pStyle w:val="EQRTextboxbody"/>
                        </w:pPr>
                        <w:r>
                          <w:t>I</w:t>
                        </w:r>
                        <w:r w:rsidRPr="00324218">
                          <w:t>nformation gathered in Activities 1 and 2 using the following worksheets and tools may be helpful when preparing the final validation report:</w:t>
                        </w:r>
                      </w:p>
                      <w:p w:rsidR="00ED33C3" w:rsidRPr="00324218" w:rsidP="00324218" w14:paraId="677DB2D3" w14:textId="4AB59823">
                        <w:pPr>
                          <w:pStyle w:val="EQRTextboxbody"/>
                        </w:pPr>
                        <w:hyperlink w:anchor="WSp2n3" w:tooltip="Worksheet 2.3. Medical Record Review Validation Template" w:history="1">
                          <w:r w:rsidRPr="00A66B95">
                            <w:rPr>
                              <w:rStyle w:val="Hyperlink"/>
                            </w:rPr>
                            <w:t>Worksheet 2.3. Medical Record Review Validation Template</w:t>
                          </w:r>
                        </w:hyperlink>
                      </w:p>
                      <w:p w:rsidR="00ED33C3" w:rsidRPr="00324218" w:rsidP="00324218" w14:paraId="5C424435" w14:textId="77777777">
                        <w:pPr>
                          <w:pStyle w:val="EQRTextboxbullet"/>
                        </w:pPr>
                        <w:r w:rsidRPr="00324218">
                          <w:t>Describes procedures and sample tools for validating medical review findings</w:t>
                        </w:r>
                      </w:p>
                      <w:p w:rsidR="00ED33C3" w:rsidRPr="00324218" w:rsidP="00324218" w14:paraId="753F933F" w14:textId="71450A94">
                        <w:pPr>
                          <w:pStyle w:val="EQRTextboxbody"/>
                        </w:pPr>
                        <w:hyperlink w:anchor="WSp2n6" w:tooltip="Worksheet 2.6. Data Integration and Control Findings Tool" w:history="1">
                          <w:r w:rsidRPr="00A66B95">
                            <w:rPr>
                              <w:rStyle w:val="Hyperlink"/>
                            </w:rPr>
                            <w:t>Worksheet 2.6. Data Integration and Control Findings Tool</w:t>
                          </w:r>
                        </w:hyperlink>
                      </w:p>
                      <w:p w:rsidR="00ED33C3" w:rsidRPr="00324218" w:rsidP="00324218" w14:paraId="2300CA9B" w14:textId="77777777">
                        <w:pPr>
                          <w:pStyle w:val="EQRTextboxbullet"/>
                        </w:pPr>
                        <w:r w:rsidRPr="00324218">
                          <w:t>Provides a template for recording findings from interviews with data integration and control MCP personnel</w:t>
                        </w:r>
                      </w:p>
                      <w:p w:rsidR="00ED33C3" w:rsidRPr="00324218" w:rsidP="00324218" w14:paraId="70695361" w14:textId="184A9F5E">
                        <w:pPr>
                          <w:pStyle w:val="EQRTextboxbody"/>
                        </w:pPr>
                        <w:hyperlink w:anchor="WSp2n10" w:tooltip="Worksheet 2.10. Measure Validation Findings" w:history="1">
                          <w:r w:rsidRPr="00A66B95">
                            <w:rPr>
                              <w:rStyle w:val="Hyperlink"/>
                            </w:rPr>
                            <w:t>Worksheet 2.10. Measure Validation Findings</w:t>
                          </w:r>
                        </w:hyperlink>
                      </w:p>
                      <w:p w:rsidR="00ED33C3" w:rsidRPr="00324218" w:rsidP="00324218" w14:paraId="13B09D7D" w14:textId="77777777">
                        <w:pPr>
                          <w:pStyle w:val="EQRTextboxbullet"/>
                        </w:pPr>
                        <w:r w:rsidRPr="00324218">
                          <w:t>Provides a template for recording findings from the measures record validation review</w:t>
                        </w:r>
                      </w:p>
                      <w:p w:rsidR="00ED33C3" w:rsidRPr="00324218" w:rsidP="00324218" w14:paraId="79967197" w14:textId="2679CF56">
                        <w:pPr>
                          <w:pStyle w:val="EQRTextboxbody"/>
                        </w:pPr>
                        <w:hyperlink w:anchor="WSp2n13" w:tooltip="Worksheet 2.13. Sampling Validation Findings" w:history="1">
                          <w:r w:rsidRPr="007D6ADB">
                            <w:rPr>
                              <w:rStyle w:val="Hyperlink"/>
                            </w:rPr>
                            <w:t>Worksheet 2.13. Sampling Validation Findings</w:t>
                          </w:r>
                        </w:hyperlink>
                      </w:p>
                      <w:p w:rsidR="00ED33C3" w:rsidRPr="00324218" w:rsidP="00324218" w14:paraId="1B909C01" w14:textId="77777777">
                        <w:pPr>
                          <w:pStyle w:val="EQRTextboxbullet"/>
                        </w:pPr>
                        <w:r w:rsidRPr="00324218">
                          <w:t>Provides a template to record findings from the sampling assessment process</w:t>
                        </w:r>
                      </w:p>
                    </w:txbxContent>
                  </v:textbox>
                </v:shape>
                <v:shape id="Text Box 608" o:spid="_x0000_s1113" type="#_x0000_t202" style="width:21939;height:2978;flip:y;mso-wrap-style:square;position:absolute;rotation:180;visibility:visible;v-text-anchor:top" fillcolor="#eef5f8" strokecolor="#a5dad9" strokeweight="2.25pt">
                  <v:stroke endcap="round"/>
                  <v:textbox style="mso-fit-shape-to-text:t" inset="8.64pt,,8.64pt">
                    <w:txbxContent>
                      <w:p w:rsidR="00ED33C3" w:rsidRPr="0090682E" w:rsidP="003B656C" w14:paraId="28A3CA49" w14:textId="5BD2D0B3">
                        <w:pPr>
                          <w:pStyle w:val="EQRWORKSHEETText"/>
                          <w:rPr>
                            <w:spacing w:val="-2"/>
                          </w:rPr>
                        </w:pPr>
                        <w:hyperlink w:anchor="WSp2n3" w:tooltip="WORKSHEET 2.3" w:history="1">
                          <w:r>
                            <w:rPr>
                              <w:rStyle w:val="Hyperlink"/>
                              <w:color w:val="006981"/>
                            </w:rPr>
                            <w:t>WORKSHEET 2.3</w:t>
                          </w:r>
                        </w:hyperlink>
                      </w:p>
                    </w:txbxContent>
                  </v:textbox>
                </v:shape>
                <v:shape id="Text Box 609" o:spid="_x0000_s1114" type="#_x0000_t202" style="width:21939;height:2978;flip:y;mso-wrap-style:square;position:absolute;rotation:180;top:10731;visibility:visible;v-text-anchor:top" fillcolor="#eef5f8" strokecolor="#a5dad9" strokeweight="2.25pt">
                  <v:stroke endcap="round"/>
                  <v:textbox style="mso-fit-shape-to-text:t" inset="8.64pt,,8.64pt">
                    <w:txbxContent>
                      <w:p w:rsidR="00ED33C3" w:rsidRPr="0090682E" w:rsidP="003B656C" w14:paraId="05769719" w14:textId="216B6735">
                        <w:pPr>
                          <w:pStyle w:val="EQRWORKSHEETText"/>
                          <w:rPr>
                            <w:spacing w:val="-2"/>
                          </w:rPr>
                        </w:pPr>
                        <w:hyperlink w:anchor="WSp2n13" w:tooltip="WORKSHEET 2.13" w:history="1">
                          <w:r>
                            <w:rPr>
                              <w:rStyle w:val="Hyperlink"/>
                              <w:color w:val="006981"/>
                            </w:rPr>
                            <w:t>WORKSHEET 2.13</w:t>
                          </w:r>
                        </w:hyperlink>
                      </w:p>
                    </w:txbxContent>
                  </v:textbox>
                </v:shape>
                <v:shape id="Text Box 610" o:spid="_x0000_s1115" type="#_x0000_t202" style="width:21939;height:2978;flip:y;mso-wrap-style:square;position:absolute;rotation:180;top:3556;visibility:visible;v-text-anchor:top" fillcolor="#eef5f8" strokecolor="#a5dad9" strokeweight="2.25pt">
                  <v:stroke endcap="round"/>
                  <v:textbox style="mso-fit-shape-to-text:t" inset="8.64pt,,8.64pt">
                    <w:txbxContent>
                      <w:p w:rsidR="00ED33C3" w:rsidRPr="0090682E" w:rsidP="003B656C" w14:paraId="618DF965" w14:textId="60A19208">
                        <w:pPr>
                          <w:pStyle w:val="EQRWORKSHEETText"/>
                          <w:rPr>
                            <w:spacing w:val="-2"/>
                          </w:rPr>
                        </w:pPr>
                        <w:hyperlink w:anchor="WSp2n6" w:tooltip="WORKSHEET 2.6" w:history="1">
                          <w:r>
                            <w:rPr>
                              <w:rStyle w:val="Hyperlink"/>
                              <w:color w:val="006981"/>
                            </w:rPr>
                            <w:t>WORKSHEET 2.6</w:t>
                          </w:r>
                        </w:hyperlink>
                      </w:p>
                    </w:txbxContent>
                  </v:textbox>
                </v:shape>
                <v:shape id="Text Box 611" o:spid="_x0000_s1116" type="#_x0000_t202" style="width:21939;height:2978;flip:y;mso-wrap-style:square;position:absolute;rotation:180;top:7175;visibility:visible;v-text-anchor:top" fillcolor="#eef5f8" strokecolor="#a5dad9" strokeweight="2.25pt">
                  <v:stroke endcap="round"/>
                  <v:textbox style="mso-fit-shape-to-text:t" inset="8.64pt,,8.64pt">
                    <w:txbxContent>
                      <w:p w:rsidR="00ED33C3" w:rsidRPr="0090682E" w:rsidP="003B656C" w14:paraId="4FA4962D" w14:textId="45CD8A95">
                        <w:pPr>
                          <w:pStyle w:val="EQRWORKSHEETText"/>
                          <w:rPr>
                            <w:spacing w:val="-2"/>
                          </w:rPr>
                        </w:pPr>
                        <w:hyperlink w:anchor="WSp2n10" w:tooltip="WORKSHEET 2.10" w:history="1">
                          <w:r>
                            <w:rPr>
                              <w:rStyle w:val="Hyperlink"/>
                              <w:color w:val="006981"/>
                            </w:rPr>
                            <w:t>WORKSHEET 2.10</w:t>
                          </w:r>
                        </w:hyperlink>
                      </w:p>
                    </w:txbxContent>
                  </v:textbox>
                </v:shape>
                <w10:wrap type="tight"/>
              </v:group>
            </w:pict>
          </mc:Fallback>
        </mc:AlternateContent>
      </w:r>
      <w:r w:rsidRPr="00990D3B" w:rsidR="00A076FF">
        <w:t>Following the site visit, t</w:t>
      </w:r>
      <w:r w:rsidRPr="00990D3B" w:rsidR="00112139">
        <w:t>he EQRO will:</w:t>
      </w:r>
    </w:p>
    <w:p w:rsidR="00112139" w:rsidRPr="00990D3B" w:rsidP="00FB7CAF" w14:paraId="0F8D5C9B" w14:textId="1F7E486C">
      <w:pPr>
        <w:pStyle w:val="EQRBulletBLUE"/>
      </w:pPr>
      <w:r w:rsidRPr="00990D3B">
        <w:t>Analyze all data and submit a preliminary report to the MCP detailing areas of concern, suggested methods for correction, and a timeline for the MCP to make corrections</w:t>
      </w:r>
      <w:r w:rsidRPr="00990D3B" w:rsidR="00901408">
        <w:t>,</w:t>
      </w:r>
    </w:p>
    <w:p w:rsidR="00112139" w:rsidRPr="00990D3B" w:rsidP="00FB7CAF" w14:paraId="3D266540" w14:textId="3190C37C">
      <w:pPr>
        <w:pStyle w:val="EQRBulletBLUE"/>
      </w:pPr>
      <w:r w:rsidRPr="00990D3B">
        <w:t>Re-validate selected performance measures</w:t>
      </w:r>
      <w:r w:rsidRPr="00990D3B" w:rsidR="00F15198">
        <w:t>,</w:t>
      </w:r>
      <w:r w:rsidRPr="00990D3B">
        <w:t xml:space="preserve"> and the measurement processes the MCP used to make corrections</w:t>
      </w:r>
      <w:r w:rsidRPr="00990D3B" w:rsidR="00901408">
        <w:t>,</w:t>
      </w:r>
    </w:p>
    <w:p w:rsidR="00112139" w:rsidRPr="00990D3B" w:rsidP="00FB7CAF" w14:paraId="050711E9" w14:textId="49DBFAC0">
      <w:pPr>
        <w:pStyle w:val="EQRBulletBLUE"/>
      </w:pPr>
      <w:r w:rsidRPr="00990D3B">
        <w:t>Re-evaluate the corrected information and submit a report of validation findings to the state</w:t>
      </w:r>
      <w:r w:rsidRPr="00990D3B" w:rsidR="00901408">
        <w:t>,</w:t>
      </w:r>
    </w:p>
    <w:p w:rsidR="00112139" w:rsidRPr="00990D3B" w:rsidP="00FB7CAF" w14:paraId="7B46B9F5" w14:textId="5FDB26B9">
      <w:pPr>
        <w:pStyle w:val="EQRBulletBLUE"/>
      </w:pPr>
      <w:r w:rsidRPr="00990D3B">
        <w:t>Determine preliminary validation findings for each measure</w:t>
      </w:r>
      <w:r w:rsidRPr="00990D3B" w:rsidR="00901408">
        <w:t>, and</w:t>
      </w:r>
    </w:p>
    <w:p w:rsidR="00112139" w:rsidRPr="00990D3B" w:rsidP="00FB7CAF" w14:paraId="6358F38C" w14:textId="3473BCFF">
      <w:pPr>
        <w:pStyle w:val="EQRBulletBLUE"/>
      </w:pPr>
      <w:r w:rsidRPr="00990D3B">
        <w:t xml:space="preserve">Assess </w:t>
      </w:r>
      <w:r w:rsidRPr="00990D3B" w:rsidR="00F15198">
        <w:t xml:space="preserve">the </w:t>
      </w:r>
      <w:r w:rsidRPr="00990D3B">
        <w:t>accuracy of MCP’s performance measure reports to the state</w:t>
      </w:r>
      <w:r w:rsidRPr="00990D3B" w:rsidR="00901408">
        <w:t>.</w:t>
      </w:r>
    </w:p>
    <w:p w:rsidR="009B5579" w:rsidRPr="00990D3B" w:rsidP="00BD1FC3" w14:paraId="2AE25F02" w14:textId="31FFBE6F">
      <w:pPr>
        <w:pStyle w:val="ParagraphContinued"/>
      </w:pPr>
      <w:r w:rsidRPr="00990D3B">
        <w:t>Note that throughout this EQR-related activity or during any part of an EQR, the state may decide that immediate corrective action is required.</w:t>
      </w:r>
    </w:p>
    <w:p w:rsidR="00112139" w:rsidRPr="00990D3B" w:rsidP="00BD1FC3" w14:paraId="28F53B69" w14:textId="263844BE">
      <w:pPr>
        <w:pStyle w:val="H3"/>
      </w:pPr>
      <w:bookmarkStart w:id="272" w:name="P2Act3Step1"/>
      <w:bookmarkEnd w:id="272"/>
      <w:r w:rsidRPr="00990D3B">
        <w:t>Step 1:</w:t>
      </w:r>
      <w:r w:rsidRPr="00990D3B" w:rsidR="00177675">
        <w:tab/>
      </w:r>
      <w:r w:rsidRPr="00990D3B">
        <w:t xml:space="preserve">Determine Preliminary Validation Findings for Each Measure </w:t>
      </w:r>
    </w:p>
    <w:p w:rsidR="00112139" w:rsidRPr="00990D3B" w:rsidP="00C34DBC" w14:paraId="62F4E224" w14:textId="5428240D">
      <w:pPr>
        <w:pStyle w:val="ParagraphContinued"/>
      </w:pPr>
      <w:r w:rsidRPr="00990D3B">
        <w:t>In the preliminary validation findings report, the EQRO will document findings, identify areas of concern, and make suggestions for corrective action or long-term improvement for each of the performance measures the EQRO validated. The report should indicate which MCP performance measures and elements of the measures were invalid and</w:t>
      </w:r>
      <w:r w:rsidRPr="00990D3B" w:rsidR="00F15198">
        <w:t>,</w:t>
      </w:r>
      <w:r w:rsidRPr="00990D3B">
        <w:t xml:space="preserve"> therefore, should not be reported (if any). The report should also provide the MCP with correctional guidance for improving the </w:t>
      </w:r>
      <w:r w:rsidRPr="00990D3B">
        <w:t>overall measure</w:t>
      </w:r>
      <w:r w:rsidRPr="00990D3B">
        <w:t xml:space="preserve"> production process. In addition to communicating written findings, the EQRO may participate in meetings with key MCP personnel responsible for </w:t>
      </w:r>
      <w:r w:rsidRPr="00990D3B" w:rsidR="00636167">
        <w:t>calculating and reporting</w:t>
      </w:r>
      <w:r w:rsidRPr="00990D3B">
        <w:t xml:space="preserve"> performance measures to assist the MCP with implementing recommended corrective action.</w:t>
      </w:r>
    </w:p>
    <w:p w:rsidR="00112139" w:rsidRPr="00990D3B" w:rsidP="00BD1FC3" w14:paraId="6794655A" w14:textId="1B53A929">
      <w:pPr>
        <w:pStyle w:val="Paragraph0"/>
      </w:pPr>
      <w:r w:rsidRPr="00990D3B">
        <w:t xml:space="preserve">Once the EQRO has submitted its preliminary findings to the MCP, the MCP may offer comments and documentation to correct errors and omissions in the EQRO’s preliminary report. </w:t>
      </w:r>
      <w:r w:rsidRPr="00990D3B" w:rsidR="00636167">
        <w:t xml:space="preserve">The MCP may recalculate performance measures at the state's discretion </w:t>
      </w:r>
      <w:r w:rsidRPr="00990D3B">
        <w:t xml:space="preserve">based on the findings. </w:t>
      </w:r>
      <w:r w:rsidRPr="00990D3B">
        <w:t>The EQRO must then revalidate the revised performance measure(s) and incorporate the MCP’s comments or revised performance measure validation findings. If the state chooses not to allow measure re-validation, the recommendations will be reviewed in the following year as part of the MCP assessment of progress toward recommended improvements.</w:t>
      </w:r>
      <w:bookmarkStart w:id="273" w:name="_Toc278836042"/>
    </w:p>
    <w:p w:rsidR="00112139" w:rsidRPr="00990D3B" w:rsidP="00BD1FC3" w14:paraId="43012B93" w14:textId="5F2C3297">
      <w:pPr>
        <w:pStyle w:val="H3"/>
      </w:pPr>
      <w:bookmarkStart w:id="274" w:name="P2Act3Step2"/>
      <w:bookmarkEnd w:id="273"/>
      <w:bookmarkEnd w:id="274"/>
      <w:r w:rsidRPr="00990D3B">
        <w:t>Step 2:</w:t>
      </w:r>
      <w:r w:rsidRPr="00990D3B" w:rsidR="00177675">
        <w:tab/>
      </w:r>
      <w:r w:rsidRPr="00990D3B">
        <w:t xml:space="preserve">Assess and Document the Accuracy of Performance Measure Reports </w:t>
      </w:r>
    </w:p>
    <w:p w:rsidR="00112139" w:rsidRPr="00990D3B" w:rsidP="00C34DBC" w14:paraId="1EF1863D" w14:textId="0F4D6F67">
      <w:pPr>
        <w:pStyle w:val="ParagraphContinued"/>
      </w:pPr>
      <w:r w:rsidRPr="00990D3B">
        <w:t>The EQRO will assess and document the extent to which the MCP reported the calculated performance measures correctly in its final report to the state and verify the reporting of each performance measure by reviewing</w:t>
      </w:r>
      <w:r w:rsidRPr="00990D3B" w:rsidR="00636167">
        <w:t xml:space="preserve"> the following</w:t>
      </w:r>
      <w:r w:rsidRPr="00990D3B">
        <w:t>:</w:t>
      </w:r>
    </w:p>
    <w:p w:rsidR="00112139" w:rsidRPr="00990D3B" w:rsidP="00FB7CAF" w14:paraId="32B791DA" w14:textId="4DEAD3A1">
      <w:pPr>
        <w:pStyle w:val="EQRBulletBLUE"/>
      </w:pPr>
      <w:r w:rsidRPr="00990D3B">
        <w:t>Procedures for submitting reports that meet state requirements (such as specified format, supporting documentation, and timing)</w:t>
      </w:r>
      <w:r w:rsidRPr="00990D3B" w:rsidR="00D351C1">
        <w:t>.</w:t>
      </w:r>
    </w:p>
    <w:p w:rsidR="00A076FF" w:rsidRPr="00990D3B" w:rsidP="00FB7CAF" w14:paraId="0DBA713A" w14:textId="50E623DE">
      <w:pPr>
        <w:pStyle w:val="EQRBulletBLUE"/>
      </w:pPr>
      <w:r w:rsidRPr="00990D3B">
        <w:t>Documentation that the MCP appropriately implemented procedures to properly sub</w:t>
      </w:r>
      <w:r w:rsidRPr="00990D3B" w:rsidR="006E71DF">
        <w:t xml:space="preserve">mit required reports to </w:t>
      </w:r>
      <w:r w:rsidRPr="00990D3B" w:rsidR="00636167">
        <w:t xml:space="preserve">the </w:t>
      </w:r>
      <w:r w:rsidRPr="00990D3B" w:rsidR="006E71DF">
        <w:t>state</w:t>
      </w:r>
      <w:r w:rsidRPr="00990D3B" w:rsidR="00D351C1">
        <w:t>.</w:t>
      </w:r>
    </w:p>
    <w:p w:rsidR="00A076FF" w:rsidRPr="00990D3B" w:rsidP="00520449" w14:paraId="17D6654D" w14:textId="5F546068">
      <w:pPr>
        <w:pStyle w:val="ParagraphContinued"/>
      </w:pPr>
      <w:bookmarkStart w:id="275" w:name="P2Act3Step3"/>
      <w:bookmarkEnd w:id="275"/>
      <w:r w:rsidRPr="00990D3B">
        <w:t xml:space="preserve">The EQRO will always use the state’s decision rules for determining the degree to which each of the MCP’s reported performance measures </w:t>
      </w:r>
      <w:r w:rsidRPr="00990D3B" w:rsidR="00636167">
        <w:t>is</w:t>
      </w:r>
      <w:r w:rsidRPr="00990D3B">
        <w:t xml:space="preserve"> accurate and complete. The decision rules for compliance should be consistent across MCPs within the state.</w:t>
      </w:r>
    </w:p>
    <w:p w:rsidR="00A076FF" w:rsidRPr="00990D3B" w:rsidP="00BD1FC3" w14:paraId="59B52B76" w14:textId="77854841">
      <w:pPr>
        <w:pStyle w:val="H2"/>
      </w:pPr>
      <w:bookmarkStart w:id="276" w:name="P2A4"/>
      <w:bookmarkStart w:id="277" w:name="_Toc183005580"/>
      <w:bookmarkStart w:id="278" w:name="_Toc201751351"/>
      <w:r w:rsidRPr="00990D3B">
        <w:rPr>
          <w:noProof/>
        </w:rPr>
        <mc:AlternateContent>
          <mc:Choice Requires="wps">
            <w:drawing>
              <wp:anchor distT="0" distB="0" distL="114300" distR="114300" simplePos="0" relativeHeight="251960320" behindDoc="0" locked="0" layoutInCell="1" allowOverlap="1">
                <wp:simplePos x="0" y="0"/>
                <wp:positionH relativeFrom="column">
                  <wp:posOffset>4072890</wp:posOffset>
                </wp:positionH>
                <wp:positionV relativeFrom="paragraph">
                  <wp:posOffset>287655</wp:posOffset>
                </wp:positionV>
                <wp:extent cx="2318385" cy="297815"/>
                <wp:effectExtent l="19050" t="19050" r="24765" b="26670"/>
                <wp:wrapTight wrapText="bothSides">
                  <wp:wrapPolygon>
                    <wp:start x="21777" y="22985"/>
                    <wp:lineTo x="21777" y="-554"/>
                    <wp:lineTo x="-53" y="-554"/>
                    <wp:lineTo x="-53" y="22985"/>
                    <wp:lineTo x="21777" y="22985"/>
                  </wp:wrapPolygon>
                </wp:wrapTight>
                <wp:docPr id="2002935899" name="Text Box 16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318385" cy="297815"/>
                        </a:xfrm>
                        <a:prstGeom prst="rect">
                          <a:avLst/>
                        </a:prstGeom>
                        <a:solidFill>
                          <a:srgbClr val="EEF5F8"/>
                        </a:solidFill>
                        <a:ln w="28575" cap="rnd">
                          <a:solidFill>
                            <a:srgbClr val="A5DAD9"/>
                          </a:solidFill>
                          <a:prstDash val="solid"/>
                          <a:miter lim="800000"/>
                          <a:headEnd/>
                          <a:tailEnd/>
                        </a:ln>
                      </wps:spPr>
                      <wps:txbx>
                        <w:txbxContent>
                          <w:p w:rsidR="00680EC9" w:rsidRPr="0090682E" w:rsidP="00680EC9" w14:textId="77777777">
                            <w:pPr>
                              <w:pStyle w:val="EQRWORKSHEETText"/>
                              <w:rPr>
                                <w:spacing w:val="-2"/>
                              </w:rPr>
                            </w:pPr>
                            <w:hyperlink w:anchor="WSp2n14" w:tooltip="WORKSHEET 2.14" w:history="1">
                              <w:r>
                                <w:rPr>
                                  <w:rStyle w:val="Hyperlink"/>
                                  <w:color w:val="006981"/>
                                </w:rPr>
                                <w:t>WORKSHEET 2.14</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2" o:spid="_x0000_s1117" type="#_x0000_t202" style="width:182.55pt;height:23.45pt;margin-top:22.65pt;margin-left:320.7pt;flip:y;mso-height-percent:0;mso-height-relative:page;mso-width-percent:0;mso-width-relative:page;mso-wrap-distance-bottom:0;mso-wrap-distance-left:9pt;mso-wrap-distance-right:9pt;mso-wrap-distance-top:0;mso-wrap-style:square;position:absolute;rotation:180;visibility:visible;v-text-anchor:top;z-index:251961344" fillcolor="#eef5f8" strokecolor="#a5dad9" strokeweight="2.25pt">
                <v:stroke endcap="round"/>
                <v:textbox style="mso-fit-shape-to-text:t" inset="8.64pt,,8.64pt">
                  <w:txbxContent>
                    <w:p w:rsidR="00680EC9" w:rsidRPr="0090682E" w:rsidP="00680EC9" w14:paraId="6D92C14F" w14:textId="77777777">
                      <w:pPr>
                        <w:pStyle w:val="EQRWORKSHEETText"/>
                        <w:rPr>
                          <w:spacing w:val="-2"/>
                        </w:rPr>
                      </w:pPr>
                      <w:hyperlink w:anchor="WSp2n14" w:tooltip="WORKSHEET 2.14" w:history="1">
                        <w:r>
                          <w:rPr>
                            <w:rStyle w:val="Hyperlink"/>
                            <w:color w:val="006981"/>
                          </w:rPr>
                          <w:t>WORKSHEET 2.14</w:t>
                        </w:r>
                      </w:hyperlink>
                    </w:p>
                  </w:txbxContent>
                </v:textbox>
                <w10:wrap type="tight"/>
              </v:shape>
            </w:pict>
          </mc:Fallback>
        </mc:AlternateContent>
      </w:r>
      <w:r w:rsidRPr="00990D3B" w:rsidR="00A076FF">
        <w:t xml:space="preserve">Activity 4: </w:t>
      </w:r>
      <w:bookmarkEnd w:id="276"/>
      <w:r w:rsidRPr="00990D3B" w:rsidR="00A076FF">
        <w:t xml:space="preserve">Report </w:t>
      </w:r>
      <w:r w:rsidRPr="00990D3B" w:rsidR="00261846">
        <w:t>Results</w:t>
      </w:r>
      <w:r w:rsidRPr="00990D3B" w:rsidR="00A076FF">
        <w:t xml:space="preserve"> to the State</w:t>
      </w:r>
      <w:bookmarkEnd w:id="277"/>
      <w:bookmarkEnd w:id="278"/>
      <w:r w:rsidRPr="00990D3B" w:rsidR="00A076FF">
        <w:t xml:space="preserve"> </w:t>
      </w:r>
    </w:p>
    <w:p w:rsidR="00112139" w:rsidRPr="00990D3B" w:rsidP="00C34DBC" w14:paraId="171A40D6" w14:textId="759BDD4A">
      <w:pPr>
        <w:pStyle w:val="ParagraphContinued"/>
      </w:pPr>
      <w:r w:rsidRPr="00990D3B">
        <w:rPr>
          <w:noProof/>
        </w:rPr>
        <mc:AlternateContent>
          <mc:Choice Requires="wps">
            <w:drawing>
              <wp:anchor distT="0" distB="0" distL="114300" distR="114300" simplePos="0" relativeHeight="251973632" behindDoc="0" locked="0" layoutInCell="1" allowOverlap="1">
                <wp:simplePos x="0" y="0"/>
                <wp:positionH relativeFrom="column">
                  <wp:posOffset>4069715</wp:posOffset>
                </wp:positionH>
                <wp:positionV relativeFrom="paragraph">
                  <wp:posOffset>685327</wp:posOffset>
                </wp:positionV>
                <wp:extent cx="2318385" cy="297815"/>
                <wp:effectExtent l="19050" t="19050" r="24765" b="26035"/>
                <wp:wrapSquare wrapText="bothSides"/>
                <wp:docPr id="2058210794" name="Text Box 16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318385" cy="297815"/>
                        </a:xfrm>
                        <a:prstGeom prst="rect">
                          <a:avLst/>
                        </a:prstGeom>
                        <a:solidFill>
                          <a:srgbClr val="EEF5F8"/>
                        </a:solidFill>
                        <a:ln w="28575" cap="rnd">
                          <a:solidFill>
                            <a:srgbClr val="A5DAD9"/>
                          </a:solidFill>
                          <a:prstDash val="solid"/>
                          <a:miter lim="800000"/>
                          <a:headEnd/>
                          <a:tailEnd/>
                        </a:ln>
                      </wps:spPr>
                      <wps:txbx>
                        <w:txbxContent>
                          <w:p w:rsidR="00BC7648" w:rsidRPr="0090682E" w:rsidP="00BC7648" w14:textId="17191A67">
                            <w:pPr>
                              <w:pStyle w:val="EQRWORKSHEETText"/>
                              <w:rPr>
                                <w:spacing w:val="-2"/>
                              </w:rPr>
                            </w:pPr>
                            <w:hyperlink w:anchor="WSp2n16" w:tooltip="WORKSHEET 2.16" w:history="1">
                              <w:r w:rsidRPr="006A1F37">
                                <w:rPr>
                                  <w:rStyle w:val="Hyperlink"/>
                                </w:rPr>
                                <w:t>WORKSHEET 2.16</w:t>
                              </w:r>
                            </w:hyperlink>
                          </w:p>
                        </w:txbxContent>
                      </wps:txbx>
                      <wps:bodyPr rot="0" vert="horz" wrap="square" lIns="109728" tIns="45720" rIns="109728" bIns="45720" anchor="t" anchorCtr="0" upright="1"/>
                    </wps:wsp>
                  </a:graphicData>
                </a:graphic>
                <wp14:sizeRelH relativeFrom="page">
                  <wp14:pctWidth>0</wp14:pctWidth>
                </wp14:sizeRelH>
                <wp14:sizeRelV relativeFrom="page">
                  <wp14:pctHeight>0</wp14:pctHeight>
                </wp14:sizeRelV>
              </wp:anchor>
            </w:drawing>
          </mc:Choice>
          <mc:Fallback>
            <w:pict>
              <v:shape id="_x0000_s1118" type="#_x0000_t202" style="width:182.55pt;height:23.45pt;margin-top:53.95pt;margin-left:320.45pt;flip:y;mso-height-percent:0;mso-height-relative:page;mso-width-percent:0;mso-width-relative:page;mso-wrap-distance-bottom:0;mso-wrap-distance-left:9pt;mso-wrap-distance-right:9pt;mso-wrap-distance-top:0;mso-wrap-style:square;position:absolute;rotation:180;visibility:visible;v-text-anchor:top;z-index:251974656" fillcolor="#eef5f8" strokecolor="#a5dad9" strokeweight="2.25pt">
                <v:stroke endcap="round"/>
                <v:textbox inset="8.64pt,,8.64pt">
                  <w:txbxContent>
                    <w:p w:rsidR="00BC7648" w:rsidRPr="0090682E" w:rsidP="00BC7648" w14:paraId="75F2ECF8" w14:textId="17191A67">
                      <w:pPr>
                        <w:pStyle w:val="EQRWORKSHEETText"/>
                        <w:rPr>
                          <w:spacing w:val="-2"/>
                        </w:rPr>
                      </w:pPr>
                      <w:hyperlink w:anchor="WSp2n16" w:tooltip="WORKSHEET 2.16" w:history="1">
                        <w:r w:rsidRPr="006A1F37">
                          <w:rPr>
                            <w:rStyle w:val="Hyperlink"/>
                          </w:rPr>
                          <w:t>WORKSHEET 2.16</w:t>
                        </w:r>
                      </w:hyperlink>
                    </w:p>
                  </w:txbxContent>
                </v:textbox>
                <w10:wrap type="square"/>
              </v:shape>
            </w:pict>
          </mc:Fallback>
        </mc:AlternateContent>
      </w:r>
      <w:r w:rsidRPr="00990D3B">
        <w:rPr>
          <w:noProof/>
        </w:rPr>
        <mc:AlternateContent>
          <mc:Choice Requires="wps">
            <w:drawing>
              <wp:anchor distT="0" distB="0" distL="114300" distR="114300" simplePos="0" relativeHeight="251962368" behindDoc="0" locked="0" layoutInCell="1" allowOverlap="1">
                <wp:simplePos x="0" y="0"/>
                <wp:positionH relativeFrom="column">
                  <wp:posOffset>4069715</wp:posOffset>
                </wp:positionH>
                <wp:positionV relativeFrom="paragraph">
                  <wp:posOffset>345602</wp:posOffset>
                </wp:positionV>
                <wp:extent cx="2318385" cy="297815"/>
                <wp:effectExtent l="19050" t="19050" r="24765" b="26035"/>
                <wp:wrapSquare wrapText="bothSides"/>
                <wp:docPr id="1382209919" name="Text Box 16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318385" cy="297815"/>
                        </a:xfrm>
                        <a:prstGeom prst="rect">
                          <a:avLst/>
                        </a:prstGeom>
                        <a:solidFill>
                          <a:srgbClr val="EEF5F8"/>
                        </a:solidFill>
                        <a:ln w="28575" cap="rnd">
                          <a:solidFill>
                            <a:srgbClr val="A5DAD9"/>
                          </a:solidFill>
                          <a:prstDash val="solid"/>
                          <a:miter lim="800000"/>
                          <a:headEnd/>
                          <a:tailEnd/>
                        </a:ln>
                      </wps:spPr>
                      <wps:txbx>
                        <w:txbxContent>
                          <w:p w:rsidR="00680EC9" w:rsidRPr="0090682E" w:rsidP="00680EC9" w14:textId="52A71985">
                            <w:pPr>
                              <w:pStyle w:val="EQRWORKSHEETText"/>
                              <w:rPr>
                                <w:spacing w:val="-2"/>
                              </w:rPr>
                            </w:pPr>
                            <w:hyperlink w:anchor="WSp2n15" w:tooltip="WORKSHEET 2.15" w:history="1">
                              <w:r w:rsidRPr="006A1F37">
                                <w:rPr>
                                  <w:rStyle w:val="Hyperlink"/>
                                </w:rPr>
                                <w:t>WORKSHEET 2.15</w:t>
                              </w:r>
                            </w:hyperlink>
                          </w:p>
                        </w:txbxContent>
                      </wps:txbx>
                      <wps:bodyPr rot="0" vert="horz" wrap="square" lIns="109728" tIns="45720" rIns="109728" bIns="45720" anchor="t" anchorCtr="0" upright="1"/>
                    </wps:wsp>
                  </a:graphicData>
                </a:graphic>
                <wp14:sizeRelH relativeFrom="page">
                  <wp14:pctWidth>0</wp14:pctWidth>
                </wp14:sizeRelH>
                <wp14:sizeRelV relativeFrom="page">
                  <wp14:pctHeight>0</wp14:pctHeight>
                </wp14:sizeRelV>
              </wp:anchor>
            </w:drawing>
          </mc:Choice>
          <mc:Fallback>
            <w:pict>
              <v:shape id="_x0000_s1119" type="#_x0000_t202" style="width:182.55pt;height:23.45pt;margin-top:27.2pt;margin-left:320.45pt;flip:y;mso-height-percent:0;mso-height-relative:page;mso-width-percent:0;mso-width-relative:page;mso-wrap-distance-bottom:0;mso-wrap-distance-left:9pt;mso-wrap-distance-right:9pt;mso-wrap-distance-top:0;mso-wrap-style:square;position:absolute;rotation:180;visibility:visible;v-text-anchor:top;z-index:251963392" fillcolor="#eef5f8" strokecolor="#a5dad9" strokeweight="2.25pt">
                <v:stroke endcap="round"/>
                <v:textbox inset="8.64pt,,8.64pt">
                  <w:txbxContent>
                    <w:p w:rsidR="00680EC9" w:rsidRPr="0090682E" w:rsidP="00680EC9" w14:paraId="02597A8C" w14:textId="52A71985">
                      <w:pPr>
                        <w:pStyle w:val="EQRWORKSHEETText"/>
                        <w:rPr>
                          <w:spacing w:val="-2"/>
                        </w:rPr>
                      </w:pPr>
                      <w:hyperlink w:anchor="WSp2n15" w:tooltip="WORKSHEET 2.15" w:history="1">
                        <w:r w:rsidRPr="006A1F37">
                          <w:rPr>
                            <w:rStyle w:val="Hyperlink"/>
                          </w:rPr>
                          <w:t>WORKSHEET 2.15</w:t>
                        </w:r>
                      </w:hyperlink>
                    </w:p>
                  </w:txbxContent>
                </v:textbox>
                <w10:wrap type="square"/>
              </v:shape>
            </w:pict>
          </mc:Fallback>
        </mc:AlternateContent>
      </w:r>
      <w:r w:rsidRPr="00990D3B" w:rsidR="00A076FF">
        <w:t xml:space="preserve">In this activity, </w:t>
      </w:r>
      <w:r w:rsidRPr="00990D3B" w:rsidR="00A076FF">
        <w:t>the EQRO</w:t>
      </w:r>
      <w:r w:rsidRPr="00990D3B" w:rsidR="00A076FF">
        <w:t xml:space="preserve"> reports its findings to the state</w:t>
      </w:r>
      <w:r w:rsidRPr="00990D3B" w:rsidR="00636167">
        <w:t>,</w:t>
      </w:r>
      <w:r w:rsidRPr="00990D3B" w:rsidR="00A076FF">
        <w:t xml:space="preserve"> and the state will submit the final technical report to CMS</w:t>
      </w:r>
      <w:r w:rsidRPr="00990D3B" w:rsidR="00C3472A">
        <w:t>.</w:t>
      </w:r>
      <w:r w:rsidRPr="00990D3B" w:rsidR="00C3472A">
        <w:rPr>
          <w:rStyle w:val="CommentReference"/>
        </w:rPr>
        <w:t xml:space="preserve"> </w:t>
      </w:r>
      <w:r w:rsidRPr="00990D3B" w:rsidR="00C3472A">
        <w:t>The</w:t>
      </w:r>
      <w:r w:rsidRPr="00990D3B" w:rsidR="00112139">
        <w:t xml:space="preserve"> final report should follow the state’s required format and include the following elements:</w:t>
      </w:r>
    </w:p>
    <w:p w:rsidR="00112139" w:rsidRPr="00990D3B" w:rsidP="00FB7CAF" w14:paraId="65361EEB" w14:textId="14FA6322">
      <w:pPr>
        <w:pStyle w:val="EQRBulletBLUE"/>
      </w:pPr>
      <w:r w:rsidRPr="00990D3B">
        <w:rPr>
          <w:noProof/>
        </w:rPr>
        <mc:AlternateContent>
          <mc:Choice Requires="wps">
            <w:drawing>
              <wp:anchor distT="0" distB="0" distL="114300" distR="114300" simplePos="0" relativeHeight="251783168" behindDoc="0" locked="0" layoutInCell="1" allowOverlap="1">
                <wp:simplePos x="0" y="0"/>
                <wp:positionH relativeFrom="column">
                  <wp:posOffset>4069420</wp:posOffset>
                </wp:positionH>
                <wp:positionV relativeFrom="paragraph">
                  <wp:posOffset>104851</wp:posOffset>
                </wp:positionV>
                <wp:extent cx="2336165" cy="2947035"/>
                <wp:effectExtent l="19050" t="19050" r="26035" b="24765"/>
                <wp:wrapTight wrapText="bothSides">
                  <wp:wrapPolygon>
                    <wp:start x="21776" y="21740"/>
                    <wp:lineTo x="21776" y="-42"/>
                    <wp:lineTo x="-65" y="-42"/>
                    <wp:lineTo x="-65" y="21740"/>
                    <wp:lineTo x="21776" y="21740"/>
                  </wp:wrapPolygon>
                </wp:wrapTight>
                <wp:docPr id="604568455" name="Text Box 16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336165" cy="2947035"/>
                        </a:xfrm>
                        <a:prstGeom prst="rect">
                          <a:avLst/>
                        </a:prstGeom>
                        <a:solidFill>
                          <a:srgbClr val="EEF5F8"/>
                        </a:solidFill>
                        <a:ln w="28575" cap="rnd">
                          <a:solidFill>
                            <a:srgbClr val="A5DAD9"/>
                          </a:solidFill>
                          <a:prstDash val="solid"/>
                          <a:miter lim="800000"/>
                          <a:headEnd/>
                          <a:tailEnd/>
                        </a:ln>
                      </wps:spPr>
                      <wps:txbx>
                        <w:txbxContent>
                          <w:p w:rsidR="00ED33C3" w:rsidP="00627276" w14:textId="6F7EC7DB">
                            <w:pPr>
                              <w:pStyle w:val="EQRTextboxheading"/>
                            </w:pPr>
                            <w:r w:rsidRPr="00DF45A9">
                              <w:t>Resource</w:t>
                            </w:r>
                            <w:r w:rsidRPr="00DF45A9" w:rsidR="003A5601">
                              <w:t>s</w:t>
                            </w:r>
                            <w:r w:rsidRPr="00DF45A9">
                              <w:t xml:space="preserve"> for Activity </w:t>
                            </w:r>
                            <w:r w:rsidRPr="00DF45A9" w:rsidR="00A076FF">
                              <w:t>4</w:t>
                            </w:r>
                          </w:p>
                          <w:p w:rsidR="00ED33C3" w:rsidRPr="00FB5D2F" w:rsidP="00FB5D2F" w14:textId="49908F42">
                            <w:pPr>
                              <w:pStyle w:val="EQRTextboxbody"/>
                            </w:pPr>
                            <w:hyperlink w:anchor="WSp2n14" w:tooltip="Worksheet 2.14. Framework for Summarizing Information About Performance Measures" w:history="1">
                              <w:r w:rsidRPr="00D62CE9">
                                <w:rPr>
                                  <w:rStyle w:val="Hyperlink"/>
                                </w:rPr>
                                <w:t>Worksheet 2.14. Framework for Summarizing Information About Performance Measures</w:t>
                              </w:r>
                            </w:hyperlink>
                          </w:p>
                          <w:p w:rsidR="00ED33C3" w:rsidRPr="003A5601" w:rsidP="00FB5D2F" w14:textId="031F8EA7">
                            <w:pPr>
                              <w:pStyle w:val="EQRTextboxbullet"/>
                              <w:rPr>
                                <w:spacing w:val="-2"/>
                              </w:rPr>
                            </w:pPr>
                            <w:r w:rsidRPr="00FB5D2F">
                              <w:t xml:space="preserve">Provides a </w:t>
                            </w:r>
                            <w:r w:rsidR="009B6557">
                              <w:t>structure</w:t>
                            </w:r>
                            <w:r w:rsidRPr="00FB5D2F" w:rsidR="009B6557">
                              <w:t xml:space="preserve"> </w:t>
                            </w:r>
                            <w:r w:rsidRPr="00FB5D2F">
                              <w:t xml:space="preserve">for summarizing </w:t>
                            </w:r>
                            <w:r w:rsidR="009B6557">
                              <w:t xml:space="preserve">performance measure-level </w:t>
                            </w:r>
                            <w:r w:rsidRPr="00FB5D2F">
                              <w:t xml:space="preserve">information </w:t>
                            </w:r>
                          </w:p>
                          <w:p w:rsidR="00C2463A" w:rsidRPr="008420CE" w:rsidP="00C2463A" w14:textId="1D2B5A32">
                            <w:pPr>
                              <w:pStyle w:val="EQRTextboxbody"/>
                            </w:pPr>
                            <w:hyperlink w:anchor="WSp2n15" w:tooltip="Worksheet 2.15. Performance Measure Validation Reporting Template" w:history="1">
                              <w:r w:rsidRPr="006B6779">
                                <w:rPr>
                                  <w:rStyle w:val="Hyperlink"/>
                                </w:rPr>
                                <w:t>Worksheet 2.15. Performance Measure Validation Reporting Template</w:t>
                              </w:r>
                            </w:hyperlink>
                          </w:p>
                          <w:p w:rsidR="003A5601" w:rsidRPr="008420CE" w:rsidP="00826FA1" w14:textId="11D7F96E">
                            <w:pPr>
                              <w:pStyle w:val="EQRTextboxbullet"/>
                              <w:rPr>
                                <w:spacing w:val="-2"/>
                              </w:rPr>
                            </w:pPr>
                            <w:r w:rsidRPr="008420CE">
                              <w:t xml:space="preserve">Provides a template for </w:t>
                            </w:r>
                            <w:r w:rsidRPr="008420CE">
                              <w:t xml:space="preserve">reporting </w:t>
                            </w:r>
                            <w:r w:rsidRPr="008420CE" w:rsidR="009B6557">
                              <w:t xml:space="preserve"> validation</w:t>
                            </w:r>
                            <w:r w:rsidRPr="008420CE" w:rsidR="009B6557">
                              <w:t xml:space="preserve"> findings for multiple measures </w:t>
                            </w:r>
                            <w:r w:rsidRPr="008420CE" w:rsidR="00680EC9">
                              <w:t>and MCPs</w:t>
                            </w:r>
                          </w:p>
                          <w:p w:rsidR="00680EC9" w:rsidRPr="00C04ABB" w:rsidP="00680EC9" w14:textId="305A292C">
                            <w:pPr>
                              <w:pStyle w:val="EQRTextboxbullet"/>
                              <w:numPr>
                                <w:ilvl w:val="0"/>
                                <w:numId w:val="0"/>
                              </w:numPr>
                              <w:rPr>
                                <w:color w:val="1CA8B7"/>
                                <w:spacing w:val="-2"/>
                              </w:rPr>
                            </w:pPr>
                            <w:hyperlink w:anchor="WSp2n16" w:history="1">
                              <w:r w:rsidRPr="006B6779">
                                <w:rPr>
                                  <w:rStyle w:val="Hyperlink"/>
                                  <w:spacing w:val="-2"/>
                                </w:rPr>
                                <w:t>Worksheet 2.16 Performance Measure Reporting Template</w:t>
                              </w:r>
                            </w:hyperlink>
                            <w:r w:rsidRPr="00C04ABB">
                              <w:rPr>
                                <w:color w:val="1CA8B7"/>
                                <w:spacing w:val="-2"/>
                              </w:rPr>
                              <w:t xml:space="preserve"> </w:t>
                            </w:r>
                          </w:p>
                          <w:p w:rsidR="00680EC9" w:rsidRPr="00C04ABB" w:rsidP="00680EC9" w14:textId="4BD1C853">
                            <w:pPr>
                              <w:pStyle w:val="EQRTextboxbullet"/>
                            </w:pPr>
                            <w:r>
                              <w:t xml:space="preserve">Provides a template for reporting comparison performance measure data </w:t>
                            </w:r>
                          </w:p>
                        </w:txbxContent>
                      </wps:txbx>
                      <wps:bodyPr rot="0" vert="horz" wrap="square" lIns="109728" tIns="45720" rIns="109728" bIns="45720" anchor="t" anchorCtr="0" upright="1"/>
                    </wps:wsp>
                  </a:graphicData>
                </a:graphic>
                <wp14:sizeRelH relativeFrom="page">
                  <wp14:pctWidth>0</wp14:pctWidth>
                </wp14:sizeRelH>
                <wp14:sizeRelV relativeFrom="page">
                  <wp14:pctHeight>0</wp14:pctHeight>
                </wp14:sizeRelV>
              </wp:anchor>
            </w:drawing>
          </mc:Choice>
          <mc:Fallback>
            <w:pict>
              <v:shape id="Text Box 163" o:spid="_x0000_s1120" type="#_x0000_t202" style="width:183.95pt;height:232.05pt;margin-top:8.25pt;margin-left:320.45pt;flip:y;mso-height-percent:0;mso-height-relative:page;mso-width-percent:0;mso-width-relative:page;mso-wrap-distance-bottom:0;mso-wrap-distance-left:9pt;mso-wrap-distance-right:9pt;mso-wrap-distance-top:0;mso-wrap-style:square;position:absolute;rotation:180;visibility:visible;v-text-anchor:top;z-index:251784192" fillcolor="#eef5f8" strokecolor="#a5dad9" strokeweight="2.25pt">
                <v:stroke endcap="round"/>
                <v:textbox inset="8.64pt,,8.64pt">
                  <w:txbxContent>
                    <w:p w:rsidR="00ED33C3" w:rsidP="00627276" w14:paraId="1E0F0668" w14:textId="6F7EC7DB">
                      <w:pPr>
                        <w:pStyle w:val="EQRTextboxheading"/>
                      </w:pPr>
                      <w:r w:rsidRPr="00DF45A9">
                        <w:t>Resource</w:t>
                      </w:r>
                      <w:r w:rsidRPr="00DF45A9" w:rsidR="003A5601">
                        <w:t>s</w:t>
                      </w:r>
                      <w:r w:rsidRPr="00DF45A9">
                        <w:t xml:space="preserve"> for Activity </w:t>
                      </w:r>
                      <w:r w:rsidRPr="00DF45A9" w:rsidR="00A076FF">
                        <w:t>4</w:t>
                      </w:r>
                    </w:p>
                    <w:p w:rsidR="00ED33C3" w:rsidRPr="00FB5D2F" w:rsidP="00FB5D2F" w14:paraId="3215ABF7" w14:textId="49908F42">
                      <w:pPr>
                        <w:pStyle w:val="EQRTextboxbody"/>
                      </w:pPr>
                      <w:hyperlink w:anchor="WSp2n14" w:tooltip="Worksheet 2.14. Framework for Summarizing Information About Performance Measures" w:history="1">
                        <w:r w:rsidRPr="00D62CE9">
                          <w:rPr>
                            <w:rStyle w:val="Hyperlink"/>
                          </w:rPr>
                          <w:t>Worksheet 2.14. Framework for Summarizing Information About Performance Measures</w:t>
                        </w:r>
                      </w:hyperlink>
                    </w:p>
                    <w:p w:rsidR="00ED33C3" w:rsidRPr="003A5601" w:rsidP="00FB5D2F" w14:paraId="526CF0A6" w14:textId="031F8EA7">
                      <w:pPr>
                        <w:pStyle w:val="EQRTextboxbullet"/>
                        <w:rPr>
                          <w:spacing w:val="-2"/>
                        </w:rPr>
                      </w:pPr>
                      <w:r w:rsidRPr="00FB5D2F">
                        <w:t xml:space="preserve">Provides a </w:t>
                      </w:r>
                      <w:r w:rsidR="009B6557">
                        <w:t>structure</w:t>
                      </w:r>
                      <w:r w:rsidRPr="00FB5D2F" w:rsidR="009B6557">
                        <w:t xml:space="preserve"> </w:t>
                      </w:r>
                      <w:r w:rsidRPr="00FB5D2F">
                        <w:t xml:space="preserve">for summarizing </w:t>
                      </w:r>
                      <w:r w:rsidR="009B6557">
                        <w:t xml:space="preserve">performance measure-level </w:t>
                      </w:r>
                      <w:r w:rsidRPr="00FB5D2F">
                        <w:t xml:space="preserve">information </w:t>
                      </w:r>
                    </w:p>
                    <w:p w:rsidR="00C2463A" w:rsidRPr="008420CE" w:rsidP="00C2463A" w14:paraId="3BB14745" w14:textId="1D2B5A32">
                      <w:pPr>
                        <w:pStyle w:val="EQRTextboxbody"/>
                      </w:pPr>
                      <w:hyperlink w:anchor="WSp2n15" w:tooltip="Worksheet 2.15. Performance Measure Validation Reporting Template" w:history="1">
                        <w:r w:rsidRPr="006B6779">
                          <w:rPr>
                            <w:rStyle w:val="Hyperlink"/>
                          </w:rPr>
                          <w:t>Worksheet 2.15. Performance Measure Validation Reporting Template</w:t>
                        </w:r>
                      </w:hyperlink>
                    </w:p>
                    <w:p w:rsidR="003A5601" w:rsidRPr="008420CE" w:rsidP="00826FA1" w14:paraId="564DEB10" w14:textId="11D7F96E">
                      <w:pPr>
                        <w:pStyle w:val="EQRTextboxbullet"/>
                        <w:rPr>
                          <w:spacing w:val="-2"/>
                        </w:rPr>
                      </w:pPr>
                      <w:r w:rsidRPr="008420CE">
                        <w:t xml:space="preserve">Provides a template for </w:t>
                      </w:r>
                      <w:r w:rsidRPr="008420CE">
                        <w:t xml:space="preserve">reporting </w:t>
                      </w:r>
                      <w:r w:rsidRPr="008420CE" w:rsidR="009B6557">
                        <w:t xml:space="preserve"> validation</w:t>
                      </w:r>
                      <w:r w:rsidRPr="008420CE" w:rsidR="009B6557">
                        <w:t xml:space="preserve"> findings for multiple measures </w:t>
                      </w:r>
                      <w:r w:rsidRPr="008420CE" w:rsidR="00680EC9">
                        <w:t>and MCPs</w:t>
                      </w:r>
                    </w:p>
                    <w:p w:rsidR="00680EC9" w:rsidRPr="00C04ABB" w:rsidP="00680EC9" w14:paraId="0DFD4631" w14:textId="305A292C">
                      <w:pPr>
                        <w:pStyle w:val="EQRTextboxbullet"/>
                        <w:numPr>
                          <w:ilvl w:val="0"/>
                          <w:numId w:val="0"/>
                        </w:numPr>
                        <w:rPr>
                          <w:color w:val="1CA8B7"/>
                          <w:spacing w:val="-2"/>
                        </w:rPr>
                      </w:pPr>
                      <w:hyperlink w:anchor="WSp2n16" w:history="1">
                        <w:r w:rsidRPr="006B6779">
                          <w:rPr>
                            <w:rStyle w:val="Hyperlink"/>
                            <w:spacing w:val="-2"/>
                          </w:rPr>
                          <w:t>Worksheet 2.16 Performance Measure Reporting Template</w:t>
                        </w:r>
                      </w:hyperlink>
                      <w:r w:rsidRPr="00C04ABB">
                        <w:rPr>
                          <w:color w:val="1CA8B7"/>
                          <w:spacing w:val="-2"/>
                        </w:rPr>
                        <w:t xml:space="preserve"> </w:t>
                      </w:r>
                    </w:p>
                    <w:p w:rsidR="00680EC9" w:rsidRPr="00C04ABB" w:rsidP="00680EC9" w14:paraId="550121EE" w14:textId="4BD1C853">
                      <w:pPr>
                        <w:pStyle w:val="EQRTextboxbullet"/>
                      </w:pPr>
                      <w:r>
                        <w:t xml:space="preserve">Provides a template for reporting comparison performance measure data </w:t>
                      </w:r>
                    </w:p>
                  </w:txbxContent>
                </v:textbox>
                <w10:wrap type="tight"/>
              </v:shape>
            </w:pict>
          </mc:Fallback>
        </mc:AlternateContent>
      </w:r>
      <w:r w:rsidRPr="00990D3B" w:rsidR="00112139">
        <w:t xml:space="preserve">A list of </w:t>
      </w:r>
      <w:r w:rsidRPr="00990D3B" w:rsidR="00112139">
        <w:t>the</w:t>
      </w:r>
      <w:r w:rsidRPr="00990D3B" w:rsidR="00E1294E">
        <w:t xml:space="preserve"> </w:t>
      </w:r>
      <w:r w:rsidRPr="00990D3B" w:rsidR="00112139">
        <w:t>measures</w:t>
      </w:r>
      <w:r w:rsidRPr="00990D3B" w:rsidR="00112139">
        <w:t xml:space="preserve"> validated by the EQRO</w:t>
      </w:r>
      <w:r w:rsidRPr="00990D3B">
        <w:t>.</w:t>
      </w:r>
    </w:p>
    <w:p w:rsidR="00BC7648" w:rsidRPr="00990D3B" w:rsidP="00FB7CAF" w14:paraId="0CCA2F53" w14:textId="0D00CD55">
      <w:pPr>
        <w:pStyle w:val="EQRBulletBLUE"/>
      </w:pPr>
      <w:r w:rsidRPr="00990D3B">
        <w:t>A list of non-QAPI measures validated by the EQRO</w:t>
      </w:r>
      <w:r w:rsidRPr="00990D3B" w:rsidR="00BA5BE3">
        <w:t>.</w:t>
      </w:r>
    </w:p>
    <w:p w:rsidR="001006E8" w:rsidRPr="00990D3B" w:rsidP="00FB7CAF" w14:paraId="31C8A244" w14:textId="03AE926A">
      <w:pPr>
        <w:pStyle w:val="EQRBulletBLUE"/>
      </w:pPr>
      <w:r w:rsidRPr="00990D3B">
        <w:t xml:space="preserve">A list of QAPI measures </w:t>
      </w:r>
      <w:r w:rsidRPr="00990D3B" w:rsidR="00A70183">
        <w:t>and i</w:t>
      </w:r>
      <w:r w:rsidRPr="00990D3B" w:rsidR="00ED3152">
        <w:t xml:space="preserve">nformation from a Medicare or private accreditation review </w:t>
      </w:r>
      <w:r w:rsidRPr="00990D3B" w:rsidR="00E1294E">
        <w:t xml:space="preserve">to </w:t>
      </w:r>
      <w:r w:rsidRPr="00990D3B" w:rsidR="00A6753E">
        <w:t>satisfy</w:t>
      </w:r>
      <w:r w:rsidRPr="00990D3B" w:rsidR="00E1294E">
        <w:t xml:space="preserve"> non</w:t>
      </w:r>
      <w:r w:rsidRPr="00990D3B" w:rsidR="00E1294E">
        <w:t>duplication</w:t>
      </w:r>
      <w:r w:rsidRPr="00990D3B" w:rsidR="00BA5BE3">
        <w:t>.</w:t>
      </w:r>
      <w:r w:rsidRPr="00990D3B" w:rsidR="00E1294E">
        <w:t xml:space="preserve"> </w:t>
      </w:r>
    </w:p>
    <w:p w:rsidR="00811CA2" w:rsidRPr="00990D3B" w:rsidP="00FB7CAF" w14:paraId="28D77D05" w14:textId="77777777">
      <w:pPr>
        <w:pStyle w:val="EQRBulletBLUE"/>
      </w:pPr>
      <w:r w:rsidRPr="00990D3B">
        <w:t>A description of the EQRO’s validation activities</w:t>
      </w:r>
      <w:r w:rsidRPr="00990D3B" w:rsidR="009E5D76">
        <w:t>,</w:t>
      </w:r>
      <w:r w:rsidRPr="00990D3B">
        <w:t xml:space="preserve"> including:</w:t>
      </w:r>
    </w:p>
    <w:p w:rsidR="00811CA2" w:rsidRPr="00990D3B" w:rsidP="00FB7CAF" w14:paraId="1B299C03" w14:textId="101C8525">
      <w:pPr>
        <w:pStyle w:val="EQRBulletBLUE"/>
      </w:pPr>
      <w:r w:rsidRPr="00990D3B">
        <w:t xml:space="preserve">The EQRO team members </w:t>
      </w:r>
      <w:r w:rsidRPr="00990D3B">
        <w:t>involved</w:t>
      </w:r>
      <w:r w:rsidRPr="00990D3B">
        <w:t xml:space="preserve"> in </w:t>
      </w:r>
      <w:r w:rsidRPr="00990D3B">
        <w:t>the validation</w:t>
      </w:r>
      <w:r w:rsidRPr="00990D3B">
        <w:t>.</w:t>
      </w:r>
    </w:p>
    <w:p w:rsidR="00811CA2" w:rsidRPr="00990D3B" w:rsidP="00FB7CAF" w14:paraId="1C1FE3A9" w14:textId="603EDF27">
      <w:pPr>
        <w:pStyle w:val="EQRBulletBLUE"/>
      </w:pPr>
      <w:r w:rsidRPr="00990D3B">
        <w:t>A summary of the validation strategy</w:t>
      </w:r>
      <w:r w:rsidRPr="00990D3B">
        <w:t>.</w:t>
      </w:r>
    </w:p>
    <w:p w:rsidR="00811CA2" w:rsidRPr="00990D3B" w:rsidP="00FB7CAF" w14:paraId="50F19D57" w14:textId="36E39C75">
      <w:pPr>
        <w:pStyle w:val="EQRBulletBLUE"/>
      </w:pPr>
      <w:r w:rsidRPr="00990D3B">
        <w:t>The data collection methods and analysis</w:t>
      </w:r>
      <w:r w:rsidRPr="00990D3B">
        <w:t>.</w:t>
      </w:r>
    </w:p>
    <w:p w:rsidR="00811CA2" w:rsidRPr="00990D3B" w:rsidP="00FB7CAF" w14:paraId="558472EF" w14:textId="7C1047ED">
      <w:pPr>
        <w:pStyle w:val="EQRBulletBLUE"/>
      </w:pPr>
      <w:r w:rsidRPr="00990D3B">
        <w:t xml:space="preserve">List of site </w:t>
      </w:r>
      <w:r w:rsidRPr="00990D3B" w:rsidR="00E0729D">
        <w:t xml:space="preserve">visit </w:t>
      </w:r>
      <w:r w:rsidRPr="00990D3B">
        <w:t>participants (EQRO, MCP, and vendor)</w:t>
      </w:r>
      <w:r w:rsidRPr="00990D3B">
        <w:t>.</w:t>
      </w:r>
    </w:p>
    <w:p w:rsidR="00112139" w:rsidRPr="00990D3B" w:rsidP="00FB7CAF" w14:paraId="1F82E996" w14:textId="730085C4">
      <w:pPr>
        <w:pStyle w:val="EQRBulletBLUE"/>
      </w:pPr>
      <w:r w:rsidRPr="00990D3B">
        <w:t>Other considerations relevant to the site visit process</w:t>
      </w:r>
      <w:r w:rsidRPr="00990D3B" w:rsidR="003524DA">
        <w:t>.</w:t>
      </w:r>
    </w:p>
    <w:p w:rsidR="00112139" w:rsidRPr="00990D3B" w:rsidP="00FB7CAF" w14:paraId="7C47E3D3" w14:textId="3F486D62">
      <w:pPr>
        <w:pStyle w:val="EQRBulletBLUE"/>
      </w:pPr>
      <w:r w:rsidRPr="00990D3B">
        <w:t>Worksheets, tools, and other supporting documentation</w:t>
      </w:r>
      <w:r w:rsidRPr="00990D3B" w:rsidR="00BA5BE3">
        <w:t>.</w:t>
      </w:r>
    </w:p>
    <w:p w:rsidR="00BA5BE3" w:rsidRPr="00990D3B" w:rsidP="00FB7CAF" w14:paraId="4B6626F6" w14:textId="77777777">
      <w:pPr>
        <w:pStyle w:val="EQRBulletBLUE"/>
      </w:pPr>
      <w:r w:rsidRPr="00990D3B">
        <w:t>Analyses and conclusions based on the validation process for each performance measure</w:t>
      </w:r>
      <w:r w:rsidRPr="00990D3B" w:rsidR="009E5D76">
        <w:t>,</w:t>
      </w:r>
      <w:r w:rsidRPr="00990D3B">
        <w:t xml:space="preserve"> including</w:t>
      </w:r>
      <w:r w:rsidRPr="00990D3B">
        <w:t xml:space="preserve"> t</w:t>
      </w:r>
      <w:r w:rsidRPr="00990D3B">
        <w:t>he validation status of each performance measure (including the results of the medical record review)</w:t>
      </w:r>
      <w:r w:rsidRPr="00990D3B">
        <w:t>.</w:t>
      </w:r>
    </w:p>
    <w:p w:rsidR="001006E8" w:rsidRPr="00990D3B" w:rsidP="00FB7CAF" w14:paraId="28182E33" w14:textId="0F267B47">
      <w:pPr>
        <w:pStyle w:val="EQRBulletBLUE"/>
      </w:pPr>
      <w:r w:rsidRPr="00990D3B">
        <w:t xml:space="preserve">Findings on the MCP’s </w:t>
      </w:r>
      <w:r w:rsidRPr="00990D3B" w:rsidR="00087072">
        <w:t>IS</w:t>
      </w:r>
      <w:r w:rsidRPr="00990D3B">
        <w:t xml:space="preserve"> capabilities and data integration</w:t>
      </w:r>
      <w:r w:rsidRPr="00990D3B" w:rsidR="00CC58AE">
        <w:t>, including documentation of the timing of the state’s most recent ISCA</w:t>
      </w:r>
      <w:r w:rsidRPr="00990D3B" w:rsidR="004762F5">
        <w:t xml:space="preserve"> and a description of what documentation was reviewed by the EQRO</w:t>
      </w:r>
      <w:r w:rsidRPr="00990D3B" w:rsidR="00BA5BE3">
        <w:t>.</w:t>
      </w:r>
    </w:p>
    <w:p w:rsidR="001006E8" w:rsidRPr="00990D3B" w:rsidP="00F50A6D" w14:paraId="11FF6912" w14:textId="131D2A90">
      <w:pPr>
        <w:pStyle w:val="EQRBulletBLUE"/>
      </w:pPr>
      <w:r w:rsidRPr="00990D3B">
        <w:t>P</w:t>
      </w:r>
      <w:r w:rsidRPr="00990D3B">
        <w:t xml:space="preserve">erformance measure results (not </w:t>
      </w:r>
      <w:r w:rsidRPr="00990D3B" w:rsidR="007267FE">
        <w:t>only</w:t>
      </w:r>
      <w:r w:rsidRPr="00990D3B">
        <w:t xml:space="preserve"> the results of the validation</w:t>
      </w:r>
      <w:r w:rsidRPr="00F50A6D">
        <w:t>)</w:t>
      </w:r>
      <w:r w:rsidRPr="00F50A6D" w:rsidR="00F50A6D">
        <w:t>,</w:t>
      </w:r>
      <w:r w:rsidRPr="00F50A6D" w:rsidR="00C74498">
        <w:t xml:space="preserve"> </w:t>
      </w:r>
      <w:r w:rsidRPr="00F50A6D" w:rsidR="00F50A6D">
        <w:t xml:space="preserve">as well as the results from any quantitative assessments. </w:t>
      </w:r>
      <w:hyperlink w:anchor="Box2n5" w:history="1">
        <w:r w:rsidRPr="00F50A6D" w:rsidR="00F50A6D">
          <w:rPr>
            <w:rStyle w:val="Hyperlink"/>
          </w:rPr>
          <w:t>Box 2.5</w:t>
        </w:r>
      </w:hyperlink>
      <w:r w:rsidRPr="00F50A6D" w:rsidR="00F50A6D">
        <w:t xml:space="preserve"> shares additional guidance on reporting performance measure results. </w:t>
      </w:r>
    </w:p>
    <w:p w:rsidR="00043F39" w:rsidRPr="00990D3B" w:rsidP="00043F39" w14:paraId="77230D0B" w14:textId="5A761D04">
      <w:pPr>
        <w:pStyle w:val="EQRBulletBLUE"/>
      </w:pPr>
      <w:r w:rsidRPr="00990D3B">
        <w:t>Recommendations for improving the process for calculating and reporting performance measures, including implications for the MCP’s data systems, methods, and staffing (e.g., programming and analytic capacity)</w:t>
      </w:r>
      <w:r w:rsidRPr="00990D3B" w:rsidR="00BA5BE3">
        <w:t>.</w:t>
      </w:r>
    </w:p>
    <w:p w:rsidR="00A076FF" w:rsidRPr="00990D3B" w:rsidP="00520449" w14:paraId="4B17570F" w14:textId="0044018B">
      <w:pPr>
        <w:pStyle w:val="ParagraphContinued"/>
      </w:pPr>
      <w:r w:rsidRPr="00990D3B">
        <w:rPr>
          <w:noProof/>
        </w:rPr>
        <mc:AlternateContent>
          <mc:Choice Requires="wps">
            <w:drawing>
              <wp:anchor distT="0" distB="0" distL="114300" distR="114300" simplePos="0" relativeHeight="252015616" behindDoc="1" locked="0" layoutInCell="1" allowOverlap="1">
                <wp:simplePos x="0" y="0"/>
                <wp:positionH relativeFrom="margin">
                  <wp:align>left</wp:align>
                </wp:positionH>
                <wp:positionV relativeFrom="paragraph">
                  <wp:posOffset>1052783</wp:posOffset>
                </wp:positionV>
                <wp:extent cx="5883275" cy="1663065"/>
                <wp:effectExtent l="19050" t="19050" r="22225" b="13335"/>
                <wp:wrapTight wrapText="bothSides">
                  <wp:wrapPolygon>
                    <wp:start x="21670" y="21847"/>
                    <wp:lineTo x="21670" y="74"/>
                    <wp:lineTo x="-12" y="74"/>
                    <wp:lineTo x="-12" y="21847"/>
                    <wp:lineTo x="21670" y="21847"/>
                  </wp:wrapPolygon>
                </wp:wrapTight>
                <wp:docPr id="1520750038" name="Text Box 2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883275" cy="1663065"/>
                        </a:xfrm>
                        <a:prstGeom prst="rect">
                          <a:avLst/>
                        </a:prstGeom>
                        <a:solidFill>
                          <a:srgbClr val="EEF5F8"/>
                        </a:solidFill>
                        <a:ln w="28575" cap="rnd">
                          <a:solidFill>
                            <a:srgbClr val="A5DAD9"/>
                          </a:solidFill>
                          <a:prstDash val="solid"/>
                          <a:miter lim="800000"/>
                          <a:headEnd/>
                          <a:tailEnd/>
                        </a:ln>
                      </wps:spPr>
                      <wps:txbx>
                        <w:txbxContent>
                          <w:p w:rsidR="00F50A6D" w:rsidRPr="00961B9C" w:rsidP="00F50A6D" w14:textId="77777777">
                            <w:pPr>
                              <w:pStyle w:val="EQRTextboxheading"/>
                            </w:pPr>
                            <w:bookmarkStart w:id="279" w:name="Box2n5"/>
                            <w:r w:rsidRPr="005C5955">
                              <w:t>Box 2.5</w:t>
                            </w:r>
                            <w:bookmarkEnd w:id="279"/>
                            <w:r w:rsidRPr="005C5955">
                              <w:t>. Reporting Performance Measure Outcome Data and Quantitative Assessments Results</w:t>
                            </w:r>
                          </w:p>
                          <w:p w:rsidR="00F50A6D" w:rsidRPr="00E35D96" w:rsidP="00F50A6D" w14:textId="77777777">
                            <w:pPr>
                              <w:pStyle w:val="EQRTextboxbody"/>
                              <w:rPr>
                                <w:rFonts w:asciiTheme="majorHAnsi" w:hAnsiTheme="majorHAnsi" w:cstheme="majorHAnsi"/>
                              </w:rPr>
                            </w:pPr>
                            <w:r w:rsidRPr="001A18F1">
                              <w:t xml:space="preserve">In the 2024 final rule, CMS clarified that </w:t>
                            </w:r>
                            <w:r>
                              <w:t xml:space="preserve">for the mandatory validation activities, </w:t>
                            </w:r>
                            <w:r w:rsidRPr="001A18F1">
                              <w:t xml:space="preserve">states must </w:t>
                            </w:r>
                            <w:r>
                              <w:t>report</w:t>
                            </w:r>
                            <w:r w:rsidRPr="001A18F1">
                              <w:t xml:space="preserve"> outcomes data and results from quantitative assessments in addition to </w:t>
                            </w:r>
                            <w:r>
                              <w:t>validation</w:t>
                            </w:r>
                            <w:r w:rsidRPr="001A18F1">
                              <w:t xml:space="preserve"> findings</w:t>
                            </w:r>
                            <w:r>
                              <w:t xml:space="preserve"> </w:t>
                            </w:r>
                            <w:r w:rsidRPr="00043F39">
                              <w:t>For</w:t>
                            </w:r>
                            <w:r>
                              <w:t xml:space="preserve"> performance measure validation, </w:t>
                            </w:r>
                            <w:r w:rsidRPr="00043F39">
                              <w:t xml:space="preserve">this may include quantitative analyses of managed care plan </w:t>
                            </w:r>
                            <w:r>
                              <w:t xml:space="preserve">(MCP) </w:t>
                            </w:r>
                            <w:r w:rsidRPr="00043F39">
                              <w:t xml:space="preserve">performance using state-selected performance measures, trends over time, and comparisons across MCPs and/or populations. Quantitative assessments may include analyzing </w:t>
                            </w:r>
                            <w:r>
                              <w:t>performance measure</w:t>
                            </w:r>
                            <w:r w:rsidRPr="00043F39">
                              <w:t xml:space="preserve"> results relative to established targets or benchmarks; statistical analyses to determine whether observed differences or changes are statistically significant; stratified analyses to assess variation across subpopulations (e.g., eligibility groups, geography); and assessments of data completeness and validity for measures used in performance monitoring.</w:t>
                            </w:r>
                          </w:p>
                          <w:p w:rsidR="00F96648" w:rsidRPr="00E35D96" w:rsidP="00F96648" w14:textId="0D677F14">
                            <w:pPr>
                              <w:pStyle w:val="EQRTextboxbody"/>
                              <w:rPr>
                                <w:rFonts w:asciiTheme="majorHAnsi" w:hAnsiTheme="majorHAnsi" w:cstheme="majorHAnsi"/>
                              </w:rPr>
                            </w:pPr>
                          </w:p>
                        </w:txbxContent>
                      </wps:txbx>
                      <wps:bodyPr rot="0" vert="horz" wrap="square" lIns="109728" tIns="45720" rIns="109728" bIns="45720" anchor="t" anchorCtr="0" upright="1"/>
                    </wps:wsp>
                  </a:graphicData>
                </a:graphic>
                <wp14:sizeRelH relativeFrom="margin">
                  <wp14:pctWidth>0</wp14:pctWidth>
                </wp14:sizeRelH>
                <wp14:sizeRelV relativeFrom="margin">
                  <wp14:pctHeight>0</wp14:pctHeight>
                </wp14:sizeRelV>
              </wp:anchor>
            </w:drawing>
          </mc:Choice>
          <mc:Fallback>
            <w:pict>
              <v:shape id="_x0000_s1121" type="#_x0000_t202" style="width:463.25pt;height:130.95pt;margin-top:82.9pt;margin-left:0;flip:y;mso-height-percent:0;mso-height-relative:margin;mso-position-horizontal:left;mso-position-horizontal-relative:margin;mso-width-percent:0;mso-width-relative:margin;mso-wrap-distance-bottom:0;mso-wrap-distance-left:9pt;mso-wrap-distance-right:9pt;mso-wrap-distance-top:0;mso-wrap-style:square;position:absolute;rotation:180;visibility:visible;v-text-anchor:top;z-index:-251299840" fillcolor="#eef5f8" strokecolor="#a5dad9" strokeweight="2.25pt">
                <v:stroke endcap="round"/>
                <v:textbox inset="8.64pt,,8.64pt">
                  <w:txbxContent>
                    <w:p w:rsidR="00F50A6D" w:rsidRPr="00961B9C" w:rsidP="00F50A6D" w14:paraId="20A08FE3" w14:textId="77777777">
                      <w:pPr>
                        <w:pStyle w:val="EQRTextboxheading"/>
                      </w:pPr>
                      <w:bookmarkStart w:id="279" w:name="Box2n5"/>
                      <w:r w:rsidRPr="005C5955">
                        <w:t>Box 2.5</w:t>
                      </w:r>
                      <w:bookmarkEnd w:id="279"/>
                      <w:r w:rsidRPr="005C5955">
                        <w:t>. Reporting Performance Measure Outcome Data and Quantitative Assessments Results</w:t>
                      </w:r>
                    </w:p>
                    <w:p w:rsidR="00F50A6D" w:rsidRPr="00E35D96" w:rsidP="00F50A6D" w14:paraId="4ABCB043" w14:textId="77777777">
                      <w:pPr>
                        <w:pStyle w:val="EQRTextboxbody"/>
                        <w:rPr>
                          <w:rFonts w:asciiTheme="majorHAnsi" w:hAnsiTheme="majorHAnsi" w:cstheme="majorHAnsi"/>
                        </w:rPr>
                      </w:pPr>
                      <w:r w:rsidRPr="001A18F1">
                        <w:t xml:space="preserve">In the 2024 final rule, CMS clarified that </w:t>
                      </w:r>
                      <w:r>
                        <w:t xml:space="preserve">for the mandatory validation activities, </w:t>
                      </w:r>
                      <w:r w:rsidRPr="001A18F1">
                        <w:t xml:space="preserve">states must </w:t>
                      </w:r>
                      <w:r>
                        <w:t>report</w:t>
                      </w:r>
                      <w:r w:rsidRPr="001A18F1">
                        <w:t xml:space="preserve"> outcomes data and results from quantitative assessments in addition to </w:t>
                      </w:r>
                      <w:r>
                        <w:t>validation</w:t>
                      </w:r>
                      <w:r w:rsidRPr="001A18F1">
                        <w:t xml:space="preserve"> findings</w:t>
                      </w:r>
                      <w:r>
                        <w:t xml:space="preserve"> </w:t>
                      </w:r>
                      <w:r w:rsidRPr="00043F39">
                        <w:t>For</w:t>
                      </w:r>
                      <w:r>
                        <w:t xml:space="preserve"> performance measure validation, </w:t>
                      </w:r>
                      <w:r w:rsidRPr="00043F39">
                        <w:t xml:space="preserve">this may include quantitative analyses of managed care plan </w:t>
                      </w:r>
                      <w:r>
                        <w:t xml:space="preserve">(MCP) </w:t>
                      </w:r>
                      <w:r w:rsidRPr="00043F39">
                        <w:t xml:space="preserve">performance using state-selected performance measures, trends over time, and comparisons across MCPs and/or populations. Quantitative assessments may include analyzing </w:t>
                      </w:r>
                      <w:r>
                        <w:t>performance measure</w:t>
                      </w:r>
                      <w:r w:rsidRPr="00043F39">
                        <w:t xml:space="preserve"> results relative to established targets or benchmarks; statistical analyses to determine whether observed differences or changes are statistically significant; stratified analyses to assess variation across subpopulations (e.g., eligibility groups, geography); and assessments of data completeness and validity for measures used in performance monitoring.</w:t>
                      </w:r>
                    </w:p>
                    <w:p w:rsidR="00F96648" w:rsidRPr="00E35D96" w:rsidP="00F96648" w14:paraId="724A4637" w14:textId="0D677F14">
                      <w:pPr>
                        <w:pStyle w:val="EQRTextboxbody"/>
                        <w:rPr>
                          <w:rFonts w:asciiTheme="majorHAnsi" w:hAnsiTheme="majorHAnsi" w:cstheme="majorHAnsi"/>
                        </w:rPr>
                      </w:pPr>
                    </w:p>
                  </w:txbxContent>
                </v:textbox>
                <w10:wrap type="tight"/>
              </v:shape>
            </w:pict>
          </mc:Fallback>
        </mc:AlternateContent>
      </w:r>
      <w:r w:rsidRPr="00990D3B" w:rsidR="00112139">
        <w:t>When</w:t>
      </w:r>
      <w:r w:rsidRPr="00990D3B" w:rsidR="00112139">
        <w:t xml:space="preserve"> possible, the report should also identify recommendations from the previous year’s report submitted to the state and discuss progress made on these recommendations over the past year based on information gathered during the validation process. </w:t>
      </w:r>
      <w:r w:rsidRPr="00990D3B" w:rsidR="0018310F">
        <w:t>S</w:t>
      </w:r>
      <w:r w:rsidRPr="00990D3B" w:rsidR="00A076FF">
        <w:t>ee “</w:t>
      </w:r>
      <w:r w:rsidRPr="00990D3B" w:rsidR="00D307D3">
        <w:t>EQR Reporting</w:t>
      </w:r>
      <w:r w:rsidRPr="00990D3B" w:rsidR="00A076FF">
        <w:t xml:space="preserve">” in the </w:t>
      </w:r>
      <w:hyperlink w:anchor="Introduction" w:tooltip="Introduction" w:history="1">
        <w:r w:rsidRPr="00990D3B" w:rsidR="00A076FF">
          <w:rPr>
            <w:rStyle w:val="Hyperlink"/>
          </w:rPr>
          <w:t>Introduction</w:t>
        </w:r>
      </w:hyperlink>
      <w:r w:rsidRPr="00990D3B" w:rsidR="00A076FF">
        <w:t xml:space="preserve"> for further guidance </w:t>
      </w:r>
      <w:r w:rsidRPr="00990D3B" w:rsidR="009E5D76">
        <w:t>on producing</w:t>
      </w:r>
      <w:r w:rsidRPr="00990D3B" w:rsidR="00A076FF">
        <w:t xml:space="preserve"> a clear and concise report. </w:t>
      </w:r>
    </w:p>
    <w:p w:rsidR="00A076FF" w:rsidRPr="00990D3B" w:rsidP="00BD1FC3" w14:paraId="7648E6BC" w14:textId="02CF9384">
      <w:pPr>
        <w:pStyle w:val="Paragraph0"/>
      </w:pPr>
    </w:p>
    <w:p w:rsidR="00A46439" w:rsidRPr="00990D3B" w:rsidP="00BD1FC3" w14:paraId="6CAA824E" w14:textId="77777777">
      <w:pPr>
        <w:pStyle w:val="Paragraph0"/>
        <w:jc w:val="center"/>
      </w:pPr>
      <w:r w:rsidRPr="00990D3B">
        <w:t>END OF PROTOCOL 2</w:t>
      </w:r>
    </w:p>
    <w:p w:rsidR="00F73EFE" w:rsidRPr="00990D3B" w:rsidP="00BD1FC3" w14:paraId="633CBE7E" w14:textId="77777777">
      <w:pPr>
        <w:pStyle w:val="Paragraph0"/>
        <w:sectPr w:rsidSect="00A65C6B">
          <w:headerReference w:type="default" r:id="rId123"/>
          <w:footerReference w:type="even" r:id="rId124"/>
          <w:footerReference w:type="default" r:id="rId125"/>
          <w:headerReference w:type="first" r:id="rId126"/>
          <w:footerReference w:type="first" r:id="rId127"/>
          <w:pgSz w:w="12240" w:h="15840" w:code="1"/>
          <w:pgMar w:top="1440" w:right="1440" w:bottom="1440" w:left="1440" w:header="720" w:footer="720" w:gutter="0"/>
          <w:cols w:space="720"/>
          <w:titlePg/>
          <w:docGrid w:linePitch="360"/>
        </w:sectPr>
      </w:pPr>
    </w:p>
    <w:p w:rsidR="00F931A4" w:rsidRPr="00990D3B" w:rsidP="00BD1FC3" w14:paraId="6BCED56E" w14:textId="795EC956">
      <w:pPr>
        <w:pStyle w:val="H2"/>
      </w:pPr>
      <w:bookmarkStart w:id="280" w:name="WSp2"/>
      <w:bookmarkStart w:id="281" w:name="_Toc14777691"/>
      <w:bookmarkStart w:id="282" w:name="_Toc183005581"/>
      <w:bookmarkStart w:id="283" w:name="_Toc201751352"/>
      <w:r w:rsidRPr="00990D3B">
        <w:t>Worksheets for Protocol 2</w:t>
      </w:r>
      <w:bookmarkEnd w:id="280"/>
      <w:r w:rsidRPr="00990D3B">
        <w:t>:</w:t>
      </w:r>
      <w:r w:rsidRPr="00990D3B" w:rsidR="00ED24C6">
        <w:t xml:space="preserve"> </w:t>
      </w:r>
      <w:r w:rsidRPr="00990D3B">
        <w:t>Performance Measure Validation Tools</w:t>
      </w:r>
      <w:bookmarkEnd w:id="281"/>
      <w:bookmarkEnd w:id="282"/>
      <w:bookmarkEnd w:id="283"/>
    </w:p>
    <w:p w:rsidR="00F931A4" w:rsidRPr="00990D3B" w:rsidP="00BD1FC3" w14:paraId="78DED01F" w14:textId="0C26ABC5">
      <w:pPr>
        <w:pStyle w:val="EQRNormalSSWORKSHEET"/>
      </w:pPr>
      <w:r w:rsidRPr="00990D3B">
        <w:rPr>
          <w:b/>
        </w:rPr>
        <w:t xml:space="preserve">Instructions. </w:t>
      </w:r>
      <w:r w:rsidRPr="00990D3B">
        <w:t xml:space="preserve">Use these or similar worksheets to assist in validating performance measures reported by the MCP. These worksheets </w:t>
      </w:r>
      <w:r w:rsidRPr="00990D3B" w:rsidR="00EF2F86">
        <w:t>provide templates for validating pe</w:t>
      </w:r>
      <w:r w:rsidRPr="00990D3B">
        <w:t>rformance measure</w:t>
      </w:r>
      <w:r w:rsidRPr="00990D3B" w:rsidR="00EF2F86">
        <w:t>s</w:t>
      </w:r>
      <w:r w:rsidRPr="00990D3B">
        <w:t xml:space="preserve"> and </w:t>
      </w:r>
      <w:r w:rsidRPr="00990D3B" w:rsidR="00CF405D">
        <w:t>a framework for summarizing information about performance measures in the EQR technical report</w:t>
      </w:r>
      <w:r w:rsidRPr="00990D3B">
        <w:t xml:space="preserve">. This tool includes the following worksheets </w:t>
      </w:r>
      <w:r w:rsidRPr="00990D3B">
        <w:t>crosswalked</w:t>
      </w:r>
      <w:r w:rsidRPr="00990D3B">
        <w:t xml:space="preserve"> to the applicable Activity and Step: </w:t>
      </w:r>
    </w:p>
    <w:tbl>
      <w:tblPr>
        <w:tblStyle w:val="TableGrid"/>
        <w:tblW w:w="5000" w:type="pct"/>
        <w:tblLook w:val="04A0"/>
      </w:tblPr>
      <w:tblGrid>
        <w:gridCol w:w="4675"/>
        <w:gridCol w:w="4675"/>
      </w:tblGrid>
      <w:tr w14:paraId="415923E7" w14:textId="77777777" w:rsidTr="00BD1FC3">
        <w:tblPrEx>
          <w:tblW w:w="5000" w:type="pct"/>
          <w:tblLook w:val="04A0"/>
        </w:tblPrEx>
        <w:trPr>
          <w:tblHeader/>
        </w:trPr>
        <w:tc>
          <w:tcPr>
            <w:tcW w:w="4675" w:type="dxa"/>
          </w:tcPr>
          <w:p w:rsidR="00F931A4" w:rsidRPr="00990D3B" w:rsidP="00D87C0E" w14:paraId="16E33C83" w14:textId="4E124E61">
            <w:pPr>
              <w:pStyle w:val="EQRTableHeaderLeft"/>
              <w:rPr>
                <w:color w:val="auto"/>
              </w:rPr>
            </w:pPr>
            <w:r w:rsidRPr="00990D3B">
              <w:rPr>
                <w:color w:val="auto"/>
              </w:rPr>
              <w:t xml:space="preserve">Worksheet </w:t>
            </w:r>
            <w:r w:rsidRPr="00990D3B" w:rsidR="00BE34D5">
              <w:rPr>
                <w:color w:val="auto"/>
              </w:rPr>
              <w:t>N</w:t>
            </w:r>
            <w:r w:rsidRPr="00990D3B">
              <w:rPr>
                <w:color w:val="auto"/>
              </w:rPr>
              <w:t>ame</w:t>
            </w:r>
          </w:p>
        </w:tc>
        <w:tc>
          <w:tcPr>
            <w:tcW w:w="4675" w:type="dxa"/>
          </w:tcPr>
          <w:p w:rsidR="00F931A4" w:rsidRPr="00990D3B" w:rsidP="00D87C0E" w14:paraId="26951BD3" w14:textId="069306FA">
            <w:pPr>
              <w:pStyle w:val="EQRTableHeaderCenter"/>
              <w:rPr>
                <w:color w:val="auto"/>
              </w:rPr>
            </w:pPr>
            <w:r w:rsidRPr="00990D3B">
              <w:rPr>
                <w:color w:val="auto"/>
              </w:rPr>
              <w:t xml:space="preserve">Protocol </w:t>
            </w:r>
            <w:r w:rsidRPr="00990D3B" w:rsidR="00BE34D5">
              <w:rPr>
                <w:color w:val="auto"/>
              </w:rPr>
              <w:t>A</w:t>
            </w:r>
            <w:r w:rsidRPr="00990D3B">
              <w:rPr>
                <w:color w:val="auto"/>
              </w:rPr>
              <w:t xml:space="preserve">ctivity and </w:t>
            </w:r>
            <w:r w:rsidRPr="00990D3B" w:rsidR="00BE34D5">
              <w:rPr>
                <w:color w:val="auto"/>
              </w:rPr>
              <w:t>S</w:t>
            </w:r>
            <w:r w:rsidRPr="00990D3B">
              <w:rPr>
                <w:color w:val="auto"/>
              </w:rPr>
              <w:t>tep</w:t>
            </w:r>
          </w:p>
        </w:tc>
      </w:tr>
      <w:tr w14:paraId="130740C0" w14:textId="77777777" w:rsidTr="00BD1FC3">
        <w:tblPrEx>
          <w:tblW w:w="5000" w:type="pct"/>
          <w:tblLook w:val="04A0"/>
        </w:tblPrEx>
        <w:tc>
          <w:tcPr>
            <w:tcW w:w="4675" w:type="dxa"/>
          </w:tcPr>
          <w:p w:rsidR="00F931A4" w:rsidRPr="00990D3B" w:rsidP="00D87C0E" w14:paraId="13C31BE1" w14:textId="241E4632">
            <w:pPr>
              <w:pStyle w:val="EQRTableText"/>
            </w:pPr>
            <w:hyperlink w:anchor="WSp2n1" w:tooltip="Worksheet 2.1. List of Performance Measures to be Validated" w:history="1">
              <w:r w:rsidRPr="00990D3B">
                <w:rPr>
                  <w:rStyle w:val="Hyperlink"/>
                </w:rPr>
                <w:t>Worksheet 2.1. List of Performance Measures to be Validated</w:t>
              </w:r>
            </w:hyperlink>
          </w:p>
        </w:tc>
        <w:tc>
          <w:tcPr>
            <w:tcW w:w="4675" w:type="dxa"/>
          </w:tcPr>
          <w:p w:rsidR="00F931A4" w:rsidRPr="00990D3B" w:rsidP="00D87C0E" w14:paraId="3F113ABD" w14:textId="6EFCAEB0">
            <w:pPr>
              <w:pStyle w:val="EQRTableText"/>
            </w:pPr>
            <w:hyperlink w:anchor="P2A1Step1" w:tooltip="Activity 1. Step 1. Define the Scope of the Validation" w:history="1">
              <w:r w:rsidRPr="00990D3B">
                <w:rPr>
                  <w:rStyle w:val="Hyperlink"/>
                </w:rPr>
                <w:t>Activity 1. Step 1. Define the Scope of the Validation</w:t>
              </w:r>
            </w:hyperlink>
            <w:r w:rsidRPr="00990D3B">
              <w:t xml:space="preserve"> </w:t>
            </w:r>
          </w:p>
        </w:tc>
      </w:tr>
      <w:tr w14:paraId="43F2A8B3" w14:textId="77777777" w:rsidTr="00BD1FC3">
        <w:tblPrEx>
          <w:tblW w:w="5000" w:type="pct"/>
          <w:tblLook w:val="04A0"/>
        </w:tblPrEx>
        <w:tc>
          <w:tcPr>
            <w:tcW w:w="4675" w:type="dxa"/>
          </w:tcPr>
          <w:p w:rsidR="00F931A4" w:rsidRPr="00990D3B" w:rsidP="00D87C0E" w14:paraId="184BC24B" w14:textId="4DB097E3">
            <w:pPr>
              <w:pStyle w:val="EQRTableText"/>
            </w:pPr>
            <w:hyperlink w:anchor="WSp2n2" w:tooltip="Worksheet 2.2. Performance Measure Validation Template" w:history="1">
              <w:r w:rsidRPr="00990D3B">
                <w:rPr>
                  <w:rStyle w:val="Hyperlink"/>
                </w:rPr>
                <w:t>Worksheet 2.2. Performance Measure Validation Template</w:t>
              </w:r>
            </w:hyperlink>
          </w:p>
        </w:tc>
        <w:tc>
          <w:tcPr>
            <w:tcW w:w="4675" w:type="dxa"/>
          </w:tcPr>
          <w:p w:rsidR="00F931A4" w:rsidRPr="00990D3B" w:rsidP="00D87C0E" w14:paraId="2D698818" w14:textId="6AFF3892">
            <w:pPr>
              <w:pStyle w:val="EQRTableText"/>
            </w:pPr>
            <w:hyperlink w:anchor="P2A1Step1" w:tooltip="Activity 1. Step. 1. Define the Scope of the Validation" w:history="1">
              <w:r w:rsidRPr="00990D3B">
                <w:rPr>
                  <w:rStyle w:val="Hyperlink"/>
                </w:rPr>
                <w:t>Activity 1. Step. 1. Define the Scope of the Validation</w:t>
              </w:r>
            </w:hyperlink>
            <w:r w:rsidRPr="00990D3B">
              <w:t xml:space="preserve"> </w:t>
            </w:r>
          </w:p>
          <w:p w:rsidR="00F931A4" w:rsidRPr="00990D3B" w:rsidP="00D87C0E" w14:paraId="4496DA2F" w14:textId="10140996">
            <w:pPr>
              <w:pStyle w:val="EQRTableText"/>
            </w:pPr>
            <w:hyperlink w:anchor="P2A1Step3" w:tooltip="Activity 1. Step 3. Conduct Detailed Review of Measures" w:history="1">
              <w:r w:rsidRPr="00990D3B">
                <w:rPr>
                  <w:rStyle w:val="Hyperlink"/>
                </w:rPr>
                <w:t>Activity 1. Step 3. Conduct Detailed Review of Measures</w:t>
              </w:r>
            </w:hyperlink>
          </w:p>
          <w:p w:rsidR="00F931A4" w:rsidRPr="00990D3B" w:rsidP="00D87C0E" w14:paraId="6A3D1244" w14:textId="2ADB695E">
            <w:pPr>
              <w:pStyle w:val="EQRTableText"/>
            </w:pPr>
            <w:hyperlink w:anchor="P2Act2Step4" w:tooltip="Activity 2. Step 4. Complete the Detailed Review of Measures" w:history="1">
              <w:r w:rsidRPr="00990D3B">
                <w:rPr>
                  <w:rStyle w:val="Hyperlink"/>
                </w:rPr>
                <w:t>Activity 2. Step 4. Complete the Detailed Review of Measures</w:t>
              </w:r>
            </w:hyperlink>
          </w:p>
        </w:tc>
      </w:tr>
      <w:tr w14:paraId="0905CF71" w14:textId="77777777" w:rsidTr="00BD1FC3">
        <w:tblPrEx>
          <w:tblW w:w="5000" w:type="pct"/>
          <w:tblLook w:val="04A0"/>
        </w:tblPrEx>
        <w:tc>
          <w:tcPr>
            <w:tcW w:w="4675" w:type="dxa"/>
          </w:tcPr>
          <w:p w:rsidR="00F931A4" w:rsidRPr="00990D3B" w:rsidP="00D87C0E" w14:paraId="4F3EA761" w14:textId="5830783F">
            <w:pPr>
              <w:pStyle w:val="EQRTableText"/>
            </w:pPr>
            <w:hyperlink w:anchor="WSp2n3" w:tooltip="Worksheet 2.3. Medical Review Validation Template" w:history="1">
              <w:r w:rsidRPr="00990D3B">
                <w:rPr>
                  <w:rStyle w:val="Hyperlink"/>
                </w:rPr>
                <w:t>Worksheet 2.3. Medical Review Validation Template</w:t>
              </w:r>
            </w:hyperlink>
          </w:p>
        </w:tc>
        <w:tc>
          <w:tcPr>
            <w:tcW w:w="4675" w:type="dxa"/>
          </w:tcPr>
          <w:p w:rsidR="00F931A4" w:rsidRPr="00990D3B" w:rsidP="00D87C0E" w14:paraId="31A8119A" w14:textId="20F3DAE8">
            <w:pPr>
              <w:pStyle w:val="EQRTableText"/>
            </w:pPr>
            <w:hyperlink w:anchor="P2A1Step4" w:tooltip="Activity 1. Step 4. Initiate Review of Medical Record Data Collection" w:history="1">
              <w:r w:rsidRPr="00990D3B">
                <w:rPr>
                  <w:rStyle w:val="Hyperlink"/>
                </w:rPr>
                <w:t>Activity 1. Step 4. Initiate Review of Medical Record Data Collection</w:t>
              </w:r>
            </w:hyperlink>
          </w:p>
          <w:p w:rsidR="00F931A4" w:rsidRPr="00990D3B" w:rsidP="00D87C0E" w14:paraId="17B800DD" w14:textId="2F76BB26">
            <w:pPr>
              <w:pStyle w:val="EQRTableText"/>
            </w:pPr>
            <w:hyperlink w:anchor="P2Act3" w:tooltip="Activity 3. Conduct Post-Site Visit Activities" w:history="1">
              <w:r w:rsidRPr="00990D3B">
                <w:rPr>
                  <w:rStyle w:val="Hyperlink"/>
                </w:rPr>
                <w:t>Activity 3. Conduct Post-Site Visit Activities</w:t>
              </w:r>
            </w:hyperlink>
          </w:p>
        </w:tc>
      </w:tr>
      <w:tr w14:paraId="30A5F620" w14:textId="77777777" w:rsidTr="00BD1FC3">
        <w:tblPrEx>
          <w:tblW w:w="5000" w:type="pct"/>
          <w:tblLook w:val="04A0"/>
        </w:tblPrEx>
        <w:tc>
          <w:tcPr>
            <w:tcW w:w="4675" w:type="dxa"/>
          </w:tcPr>
          <w:p w:rsidR="00F931A4" w:rsidRPr="00990D3B" w:rsidP="00D87C0E" w14:paraId="3EF3DB85" w14:textId="58CBD634">
            <w:pPr>
              <w:pStyle w:val="EQRTableText"/>
            </w:pPr>
            <w:hyperlink w:anchor="WSp2n4" w:tooltip="Worksheet 2.4. Potential Documents and Process for Review" w:history="1">
              <w:r w:rsidRPr="00990D3B">
                <w:rPr>
                  <w:rStyle w:val="Hyperlink"/>
                </w:rPr>
                <w:t>Worksheet 2.4. Potential Documents and Process for Review</w:t>
              </w:r>
            </w:hyperlink>
          </w:p>
        </w:tc>
        <w:tc>
          <w:tcPr>
            <w:tcW w:w="4675" w:type="dxa"/>
          </w:tcPr>
          <w:p w:rsidR="00F931A4" w:rsidRPr="00990D3B" w:rsidP="00D87C0E" w14:paraId="2C39635F" w14:textId="52093578">
            <w:pPr>
              <w:pStyle w:val="EQRTableText"/>
            </w:pPr>
            <w:hyperlink w:anchor="P2A1Step5" w:tooltip="Activity 1. Step 5. Prepare for the MCP Site Visit" w:history="1">
              <w:r w:rsidRPr="00990D3B">
                <w:rPr>
                  <w:rStyle w:val="Hyperlink"/>
                </w:rPr>
                <w:t xml:space="preserve">Activity 1. Step 5. Prepare for the MCP </w:t>
              </w:r>
              <w:r w:rsidRPr="00990D3B" w:rsidR="00ED4DF2">
                <w:rPr>
                  <w:rStyle w:val="Hyperlink"/>
                </w:rPr>
                <w:t>S</w:t>
              </w:r>
              <w:r w:rsidRPr="00990D3B">
                <w:rPr>
                  <w:rStyle w:val="Hyperlink"/>
                </w:rPr>
                <w:t>ite Visit</w:t>
              </w:r>
            </w:hyperlink>
          </w:p>
        </w:tc>
      </w:tr>
      <w:tr w14:paraId="3E9EAF80" w14:textId="77777777" w:rsidTr="00BD1FC3">
        <w:tblPrEx>
          <w:tblW w:w="5000" w:type="pct"/>
          <w:tblLook w:val="04A0"/>
        </w:tblPrEx>
        <w:tc>
          <w:tcPr>
            <w:tcW w:w="4675" w:type="dxa"/>
          </w:tcPr>
          <w:p w:rsidR="00F931A4" w:rsidRPr="00990D3B" w:rsidP="00D87C0E" w14:paraId="69DFEF75" w14:textId="27E0819D">
            <w:pPr>
              <w:pStyle w:val="EQRTableText"/>
            </w:pPr>
            <w:hyperlink w:anchor="WSp2n5" w:tooltip="Worksheet 2.5. Interview Guide for MCP Data Integration and Control Personne" w:history="1">
              <w:r w:rsidRPr="00990D3B">
                <w:rPr>
                  <w:rStyle w:val="Hyperlink"/>
                </w:rPr>
                <w:t>Worksheet 2.5. Interview Guide for MCP Data Integration and Control Personne</w:t>
              </w:r>
            </w:hyperlink>
            <w:r w:rsidRPr="00990D3B">
              <w:rPr>
                <w:rStyle w:val="Hyperlink"/>
              </w:rPr>
              <w:t>l</w:t>
            </w:r>
          </w:p>
        </w:tc>
        <w:tc>
          <w:tcPr>
            <w:tcW w:w="4675" w:type="dxa"/>
          </w:tcPr>
          <w:p w:rsidR="00F931A4" w:rsidRPr="00990D3B" w:rsidP="00D87C0E" w14:paraId="4EF2406F" w14:textId="58337579">
            <w:pPr>
              <w:pStyle w:val="EQRTableText"/>
            </w:pPr>
            <w:hyperlink w:anchor="P2Act2Step1" w:tooltip="Activity 2. Step 1. Review Information Systems Underlying Performance Measurement" w:history="1">
              <w:r w:rsidRPr="00990D3B">
                <w:rPr>
                  <w:rStyle w:val="Hyperlink"/>
                </w:rPr>
                <w:t xml:space="preserve">Activity 2. Step 1. </w:t>
              </w:r>
              <w:r w:rsidRPr="00990D3B">
                <w:rPr>
                  <w:rStyle w:val="Hyperlink"/>
                </w:rPr>
                <w:t>Review</w:t>
              </w:r>
              <w:r w:rsidRPr="00990D3B">
                <w:rPr>
                  <w:rStyle w:val="Hyperlink"/>
                </w:rPr>
                <w:t xml:space="preserve"> Information Systems Underlying Performance Measurement</w:t>
              </w:r>
            </w:hyperlink>
          </w:p>
        </w:tc>
      </w:tr>
      <w:tr w14:paraId="47B2A5A0" w14:textId="77777777" w:rsidTr="00BD1FC3">
        <w:tblPrEx>
          <w:tblW w:w="5000" w:type="pct"/>
          <w:tblLook w:val="04A0"/>
        </w:tblPrEx>
        <w:tc>
          <w:tcPr>
            <w:tcW w:w="4675" w:type="dxa"/>
          </w:tcPr>
          <w:p w:rsidR="00F931A4" w:rsidRPr="00990D3B" w:rsidP="00D87C0E" w14:paraId="68BF9EC9" w14:textId="59704373">
            <w:pPr>
              <w:pStyle w:val="EQRTableText"/>
            </w:pPr>
            <w:hyperlink w:anchor="WSp2n6" w:tooltip="Worksheet 2.6. Data Integration and Control Findings Tool" w:history="1">
              <w:r w:rsidRPr="00990D3B">
                <w:rPr>
                  <w:rStyle w:val="Hyperlink"/>
                </w:rPr>
                <w:t>Worksheet 2.6. Data Integration and Control Findings Tool</w:t>
              </w:r>
            </w:hyperlink>
          </w:p>
        </w:tc>
        <w:tc>
          <w:tcPr>
            <w:tcW w:w="4675" w:type="dxa"/>
          </w:tcPr>
          <w:p w:rsidR="00F931A4" w:rsidRPr="00990D3B" w:rsidP="00D87C0E" w14:paraId="1A3B6455" w14:textId="1DCD94CE">
            <w:pPr>
              <w:pStyle w:val="EQRTableText"/>
            </w:pPr>
            <w:hyperlink w:anchor="P2Act2Step2" w:tooltip="Activity 2. Step 2. Assess Data Integration and Control for Performance Measure Calculation" w:history="1">
              <w:r w:rsidRPr="00990D3B">
                <w:rPr>
                  <w:rStyle w:val="Hyperlink"/>
                </w:rPr>
                <w:t>Activity 2. Step 2. Assess Data Integration and Control for Performance Measure Calculation</w:t>
              </w:r>
            </w:hyperlink>
          </w:p>
          <w:p w:rsidR="00F931A4" w:rsidRPr="00990D3B" w:rsidP="00D87C0E" w14:paraId="7384C626" w14:textId="3DFE4C6A">
            <w:pPr>
              <w:pStyle w:val="EQRTableText"/>
            </w:pPr>
            <w:hyperlink w:anchor="P2Act3" w:tooltip="Activity 3. Conduct Post-Site Visit Activities" w:history="1">
              <w:r w:rsidRPr="00990D3B">
                <w:rPr>
                  <w:rStyle w:val="Hyperlink"/>
                </w:rPr>
                <w:t>Activity 3. Conduct Post-Site Visit Activities</w:t>
              </w:r>
            </w:hyperlink>
          </w:p>
        </w:tc>
      </w:tr>
      <w:tr w14:paraId="173A3EA1" w14:textId="77777777" w:rsidTr="00BD1FC3">
        <w:tblPrEx>
          <w:tblW w:w="5000" w:type="pct"/>
          <w:tblLook w:val="04A0"/>
        </w:tblPrEx>
        <w:tc>
          <w:tcPr>
            <w:tcW w:w="4675" w:type="dxa"/>
          </w:tcPr>
          <w:p w:rsidR="00F931A4" w:rsidRPr="00990D3B" w:rsidP="00D87C0E" w14:paraId="2B88D4DA" w14:textId="5B7A3559">
            <w:pPr>
              <w:pStyle w:val="EQRTableText"/>
            </w:pPr>
            <w:hyperlink w:anchor="WSp2n7" w:tooltip="Worksheet 2.7. Data Processes Used to Produce Performance Measures: Documentation and Review Checklist" w:history="1">
              <w:r w:rsidRPr="00990D3B">
                <w:rPr>
                  <w:rStyle w:val="Hyperlink"/>
                </w:rPr>
                <w:t>Worksheet 2.7. Data Processes Used to Produce Performance Measures: Documentation and Review Checklist</w:t>
              </w:r>
            </w:hyperlink>
          </w:p>
        </w:tc>
        <w:tc>
          <w:tcPr>
            <w:tcW w:w="4675" w:type="dxa"/>
          </w:tcPr>
          <w:p w:rsidR="00F931A4" w:rsidRPr="00990D3B" w:rsidP="00D87C0E" w14:paraId="3B5A6DFC" w14:textId="788609D4">
            <w:pPr>
              <w:pStyle w:val="EQRTableText"/>
            </w:pPr>
            <w:hyperlink w:anchor="P2Act2Step3" w:tooltip="Activity 2. Step 3. Review Performance Measure Production" w:history="1">
              <w:r w:rsidRPr="00990D3B">
                <w:rPr>
                  <w:rStyle w:val="Hyperlink"/>
                </w:rPr>
                <w:t>Activity 2. Step 3. Revie</w:t>
              </w:r>
              <w:r w:rsidRPr="00990D3B" w:rsidR="00D52438">
                <w:rPr>
                  <w:rStyle w:val="Hyperlink"/>
                </w:rPr>
                <w:t>w</w:t>
              </w:r>
              <w:r w:rsidRPr="00990D3B">
                <w:rPr>
                  <w:rStyle w:val="Hyperlink"/>
                </w:rPr>
                <w:t xml:space="preserve"> Performance Measure Production</w:t>
              </w:r>
            </w:hyperlink>
          </w:p>
        </w:tc>
      </w:tr>
      <w:tr w14:paraId="273119D7" w14:textId="77777777" w:rsidTr="00BD1FC3">
        <w:tblPrEx>
          <w:tblW w:w="5000" w:type="pct"/>
          <w:tblLook w:val="04A0"/>
        </w:tblPrEx>
        <w:tc>
          <w:tcPr>
            <w:tcW w:w="4675" w:type="dxa"/>
          </w:tcPr>
          <w:p w:rsidR="00F931A4" w:rsidRPr="00990D3B" w:rsidP="00D87C0E" w14:paraId="30817769" w14:textId="059F6637">
            <w:pPr>
              <w:pStyle w:val="EQRTableText"/>
            </w:pPr>
            <w:hyperlink w:anchor="WSp2n8" w:tooltip="Worksheet 2.8. Data and Processes Used to Produce Performance Measures: Findings" w:history="1">
              <w:r w:rsidRPr="00990D3B">
                <w:rPr>
                  <w:rStyle w:val="Hyperlink"/>
                </w:rPr>
                <w:t>Worksheet 2.8. Data and Processes Used to Produce Performance Measures: Findings</w:t>
              </w:r>
            </w:hyperlink>
          </w:p>
        </w:tc>
        <w:tc>
          <w:tcPr>
            <w:tcW w:w="4675" w:type="dxa"/>
          </w:tcPr>
          <w:p w:rsidR="00F931A4" w:rsidRPr="00990D3B" w:rsidP="00D87C0E" w14:paraId="71CED793" w14:textId="2E58D83C">
            <w:pPr>
              <w:pStyle w:val="EQRTableText"/>
            </w:pPr>
            <w:hyperlink w:anchor="P2Act2Step3" w:tooltip="Activity 2. Step 3. Review Performance Measure Production" w:history="1">
              <w:r w:rsidRPr="00990D3B">
                <w:rPr>
                  <w:rStyle w:val="Hyperlink"/>
                </w:rPr>
                <w:t>Activity 2. Step 3. Review Performance Measure Production</w:t>
              </w:r>
            </w:hyperlink>
          </w:p>
        </w:tc>
      </w:tr>
      <w:tr w14:paraId="21992CB0" w14:textId="77777777" w:rsidTr="00BD1FC3">
        <w:tblPrEx>
          <w:tblW w:w="5000" w:type="pct"/>
          <w:tblLook w:val="04A0"/>
        </w:tblPrEx>
        <w:tc>
          <w:tcPr>
            <w:tcW w:w="4675" w:type="dxa"/>
          </w:tcPr>
          <w:p w:rsidR="00F931A4" w:rsidRPr="00990D3B" w:rsidP="00D87C0E" w14:paraId="21B91543" w14:textId="5B8E483F">
            <w:pPr>
              <w:pStyle w:val="EQRTableText"/>
            </w:pPr>
            <w:hyperlink w:anchor="WSp2n9" w:tooltip="Worksheet 2.9. Polices, Data, and Information Used to Produce Measures: Checklis" w:history="1">
              <w:r w:rsidRPr="00990D3B">
                <w:rPr>
                  <w:rStyle w:val="Hyperlink"/>
                </w:rPr>
                <w:t xml:space="preserve">Worksheet 2.9. </w:t>
              </w:r>
              <w:r w:rsidRPr="00990D3B">
                <w:rPr>
                  <w:rStyle w:val="Hyperlink"/>
                </w:rPr>
                <w:t>Polices</w:t>
              </w:r>
              <w:r w:rsidRPr="00990D3B">
                <w:rPr>
                  <w:rStyle w:val="Hyperlink"/>
                </w:rPr>
                <w:t>, Data, and Information Used to Produce Measures: Checklist</w:t>
              </w:r>
            </w:hyperlink>
          </w:p>
        </w:tc>
        <w:tc>
          <w:tcPr>
            <w:tcW w:w="4675" w:type="dxa"/>
          </w:tcPr>
          <w:p w:rsidR="00F931A4" w:rsidRPr="00990D3B" w:rsidP="00D87C0E" w14:paraId="5471821B" w14:textId="11B4534D">
            <w:pPr>
              <w:pStyle w:val="EQRTableText"/>
            </w:pPr>
            <w:hyperlink w:anchor="P2Act2Step4" w:tooltip="Activity 2. Step 4. Complete the Detailed Review of Measures" w:history="1">
              <w:r w:rsidRPr="00990D3B">
                <w:rPr>
                  <w:rStyle w:val="Hyperlink"/>
                </w:rPr>
                <w:t>Activity 2. Step 4. Complete the Detailed Review of Measures</w:t>
              </w:r>
            </w:hyperlink>
          </w:p>
        </w:tc>
      </w:tr>
      <w:tr w14:paraId="0325516E" w14:textId="77777777" w:rsidTr="00BD1FC3">
        <w:tblPrEx>
          <w:tblW w:w="5000" w:type="pct"/>
          <w:tblLook w:val="04A0"/>
        </w:tblPrEx>
        <w:tc>
          <w:tcPr>
            <w:tcW w:w="4675" w:type="dxa"/>
          </w:tcPr>
          <w:p w:rsidR="00F931A4" w:rsidRPr="00990D3B" w:rsidP="00D87C0E" w14:paraId="0C541E7A" w14:textId="4FA811B1">
            <w:pPr>
              <w:pStyle w:val="EQRTableText"/>
            </w:pPr>
            <w:hyperlink w:anchor="WSp2n10" w:tooltip="Worksheet 2.10. Measure Validation Findings" w:history="1">
              <w:r w:rsidRPr="00990D3B">
                <w:rPr>
                  <w:rStyle w:val="Hyperlink"/>
                </w:rPr>
                <w:t>Worksheet 2.10. Measure Validation Findings</w:t>
              </w:r>
            </w:hyperlink>
          </w:p>
        </w:tc>
        <w:tc>
          <w:tcPr>
            <w:tcW w:w="4675" w:type="dxa"/>
          </w:tcPr>
          <w:p w:rsidR="00D52438" w:rsidRPr="00990D3B" w:rsidP="00D87C0E" w14:paraId="31411394" w14:textId="1CD8DEA7">
            <w:pPr>
              <w:pStyle w:val="EQRTableText"/>
            </w:pPr>
            <w:hyperlink w:anchor="P2Act2Step4" w:tooltip="Activity 2. Step 4. Complete the Detailed Review of Measures" w:history="1">
              <w:r w:rsidRPr="00990D3B">
                <w:rPr>
                  <w:rStyle w:val="Hyperlink"/>
                </w:rPr>
                <w:t>Activity 2. Step 4. Complete the Detailed Review of Measures</w:t>
              </w:r>
            </w:hyperlink>
          </w:p>
          <w:p w:rsidR="00F931A4" w:rsidRPr="00990D3B" w:rsidP="00D87C0E" w14:paraId="3A950D20" w14:textId="6916047B">
            <w:pPr>
              <w:pStyle w:val="EQRTableText"/>
            </w:pPr>
            <w:hyperlink w:anchor="P2Act3" w:tooltip="Activity 3. Conduct Post-Site Visit Activities" w:history="1">
              <w:r w:rsidRPr="00990D3B">
                <w:rPr>
                  <w:rStyle w:val="Hyperlink"/>
                </w:rPr>
                <w:t>Activity 3. Perform Overall Validation (Post-Site Visit)</w:t>
              </w:r>
            </w:hyperlink>
          </w:p>
        </w:tc>
      </w:tr>
      <w:tr w14:paraId="49EB9FA5" w14:textId="77777777" w:rsidTr="00BD1FC3">
        <w:tblPrEx>
          <w:tblW w:w="5000" w:type="pct"/>
          <w:tblLook w:val="04A0"/>
        </w:tblPrEx>
        <w:tc>
          <w:tcPr>
            <w:tcW w:w="4675" w:type="dxa"/>
          </w:tcPr>
          <w:p w:rsidR="00F931A4" w:rsidRPr="00990D3B" w:rsidP="00D87C0E" w14:paraId="49B1A368" w14:textId="049F9983">
            <w:pPr>
              <w:pStyle w:val="EQRTableText"/>
            </w:pPr>
            <w:hyperlink w:anchor="WSp2n11" w:tooltip="Worksheet 2.11. Interview Guide for Assessing Processes Used to Produce Numerators and Denominators" w:history="1">
              <w:r w:rsidRPr="00990D3B">
                <w:rPr>
                  <w:rStyle w:val="Hyperlink"/>
                </w:rPr>
                <w:t>Worksheet 2.11. Interview Guide for Assessing Processes Used to Produce Numerators and Denominators</w:t>
              </w:r>
            </w:hyperlink>
          </w:p>
        </w:tc>
        <w:tc>
          <w:tcPr>
            <w:tcW w:w="4675" w:type="dxa"/>
          </w:tcPr>
          <w:p w:rsidR="00F931A4" w:rsidRPr="00990D3B" w:rsidP="00D87C0E" w14:paraId="3ED69A56" w14:textId="2B701260">
            <w:pPr>
              <w:pStyle w:val="EQRTableText"/>
            </w:pPr>
            <w:hyperlink w:anchor="P2Act2Step4" w:tooltip="Activity 2. Step 4. Complete the Detailed Review of Measures" w:history="1">
              <w:r w:rsidRPr="00990D3B">
                <w:rPr>
                  <w:rStyle w:val="Hyperlink"/>
                </w:rPr>
                <w:t>Activity 2. Step 4. Complete the Detailed Review of Measures</w:t>
              </w:r>
            </w:hyperlink>
          </w:p>
        </w:tc>
      </w:tr>
      <w:tr w14:paraId="0B768552" w14:textId="77777777" w:rsidTr="00BD1FC3">
        <w:tblPrEx>
          <w:tblW w:w="5000" w:type="pct"/>
          <w:tblLook w:val="04A0"/>
        </w:tblPrEx>
        <w:tc>
          <w:tcPr>
            <w:tcW w:w="4675" w:type="dxa"/>
          </w:tcPr>
          <w:p w:rsidR="00F931A4" w:rsidRPr="00990D3B" w:rsidP="00D87C0E" w14:paraId="6F5864F0" w14:textId="10672A4F">
            <w:pPr>
              <w:pStyle w:val="EQRTableText"/>
            </w:pPr>
            <w:hyperlink w:anchor="WSp2n12" w:tooltip="Worksheet 2.12. Policies, Procedures, and Data Used to Implement Sampling: Review Checklist" w:history="1">
              <w:r w:rsidRPr="00990D3B">
                <w:rPr>
                  <w:rStyle w:val="Hyperlink"/>
                </w:rPr>
                <w:t>Worksheet 2.12. Policies, Procedures, and Data Used to Implement Sampling: Review Checklist</w:t>
              </w:r>
            </w:hyperlink>
          </w:p>
        </w:tc>
        <w:tc>
          <w:tcPr>
            <w:tcW w:w="4675" w:type="dxa"/>
          </w:tcPr>
          <w:p w:rsidR="00F931A4" w:rsidRPr="00990D3B" w:rsidP="00D87C0E" w14:paraId="2D254FE3" w14:textId="5343ED1E">
            <w:pPr>
              <w:pStyle w:val="EQRTableText"/>
            </w:pPr>
            <w:hyperlink w:anchor="P2Act2Step5" w:tooltip="Activity 2. Step 5. Assess the Sampling Process (if applicable)" w:history="1">
              <w:r w:rsidRPr="00990D3B">
                <w:rPr>
                  <w:rStyle w:val="Hyperlink"/>
                </w:rPr>
                <w:t>Activity 2. Step 5. Assess the Sampling Process (if applicable)</w:t>
              </w:r>
            </w:hyperlink>
          </w:p>
        </w:tc>
      </w:tr>
      <w:tr w14:paraId="2CD0B657" w14:textId="77777777" w:rsidTr="00BD1FC3">
        <w:tblPrEx>
          <w:tblW w:w="5000" w:type="pct"/>
          <w:tblLook w:val="04A0"/>
        </w:tblPrEx>
        <w:tc>
          <w:tcPr>
            <w:tcW w:w="4675" w:type="dxa"/>
          </w:tcPr>
          <w:p w:rsidR="00F931A4" w:rsidRPr="00990D3B" w:rsidP="00E914B8" w14:paraId="5CE543B3" w14:textId="3F7CCB27">
            <w:pPr>
              <w:pStyle w:val="EQRTableText"/>
            </w:pPr>
            <w:hyperlink w:anchor="WSp2n13" w:tooltip="Worksheet 2.13. Sampling Validation Findings" w:history="1">
              <w:r w:rsidRPr="00990D3B">
                <w:rPr>
                  <w:rStyle w:val="Hyperlink"/>
                </w:rPr>
                <w:t>Worksheet 2.13. Sampling Validation Findings</w:t>
              </w:r>
            </w:hyperlink>
          </w:p>
        </w:tc>
        <w:tc>
          <w:tcPr>
            <w:tcW w:w="4675" w:type="dxa"/>
          </w:tcPr>
          <w:p w:rsidR="00896BCC" w:rsidRPr="00990D3B" w:rsidP="000A5FF2" w14:paraId="6F62F589" w14:textId="202CB6C0">
            <w:pPr>
              <w:pStyle w:val="EQRTableText"/>
            </w:pPr>
            <w:hyperlink w:anchor="P2Act2Step5" w:tooltip="Activity 2. Step 5. Assess the Sampling Process (if applicable)" w:history="1">
              <w:r w:rsidRPr="00990D3B">
                <w:rPr>
                  <w:rStyle w:val="Hyperlink"/>
                </w:rPr>
                <w:t>Activity 2. Step 5. Assess the Sampling Process (if applicable)</w:t>
              </w:r>
            </w:hyperlink>
          </w:p>
          <w:p w:rsidR="00F931A4" w:rsidRPr="00990D3B" w:rsidP="000A5FF2" w14:paraId="0C9AE1AF" w14:textId="59E9ACA9">
            <w:pPr>
              <w:pStyle w:val="EQRTableText"/>
            </w:pPr>
            <w:hyperlink w:anchor="P2Act3" w:tooltip="Activity 3. Conduct Post-Site Visit Activities" w:history="1">
              <w:r w:rsidRPr="00990D3B">
                <w:rPr>
                  <w:rStyle w:val="Hyperlink"/>
                </w:rPr>
                <w:t xml:space="preserve">Activity 3. </w:t>
              </w:r>
              <w:r w:rsidRPr="00990D3B" w:rsidR="006D6A30">
                <w:rPr>
                  <w:rStyle w:val="Hyperlink"/>
                </w:rPr>
                <w:t>Perform Overall Validation (</w:t>
              </w:r>
              <w:r w:rsidRPr="00990D3B">
                <w:rPr>
                  <w:rStyle w:val="Hyperlink"/>
                </w:rPr>
                <w:t>Post-Site Visit</w:t>
              </w:r>
              <w:r w:rsidRPr="00990D3B" w:rsidR="006D6A30">
                <w:rPr>
                  <w:rStyle w:val="Hyperlink"/>
                </w:rPr>
                <w:t>)</w:t>
              </w:r>
            </w:hyperlink>
          </w:p>
        </w:tc>
      </w:tr>
      <w:tr w14:paraId="1CB5171C" w14:textId="77777777" w:rsidTr="00BD1FC3">
        <w:tblPrEx>
          <w:tblW w:w="5000" w:type="pct"/>
          <w:tblLook w:val="04A0"/>
        </w:tblPrEx>
        <w:tc>
          <w:tcPr>
            <w:tcW w:w="4675" w:type="dxa"/>
          </w:tcPr>
          <w:p w:rsidR="00F931A4" w:rsidRPr="00990D3B" w:rsidP="00E914B8" w14:paraId="5DEFF12F" w14:textId="384AE4C5">
            <w:pPr>
              <w:pStyle w:val="EQRTextboxbody"/>
              <w:spacing w:before="60" w:after="60"/>
            </w:pPr>
            <w:hyperlink w:anchor="WSp2n14" w:tooltip="Worksheet 2.14. Framework for Summarizing Information about Performance Measure" w:history="1">
              <w:r w:rsidRPr="00990D3B">
                <w:rPr>
                  <w:rStyle w:val="Hyperlink"/>
                  <w:rFonts w:eastAsia="Times New Roman"/>
                  <w:sz w:val="18"/>
                  <w:szCs w:val="20"/>
                </w:rPr>
                <w:t>Worksheet 2.14. Framework for Summarizing Information about Performance Measures</w:t>
              </w:r>
            </w:hyperlink>
          </w:p>
        </w:tc>
        <w:tc>
          <w:tcPr>
            <w:tcW w:w="4675" w:type="dxa"/>
          </w:tcPr>
          <w:p w:rsidR="00F931A4" w:rsidRPr="00990D3B" w:rsidP="000A5FF2" w14:paraId="59048026" w14:textId="32EAE483">
            <w:pPr>
              <w:pStyle w:val="EQRTableText"/>
            </w:pPr>
            <w:hyperlink w:anchor="P2A4" w:tooltip="Activity 4. Report Results to State" w:history="1">
              <w:r w:rsidRPr="00990D3B">
                <w:rPr>
                  <w:rStyle w:val="Hyperlink"/>
                </w:rPr>
                <w:t xml:space="preserve">Activity 4. </w:t>
              </w:r>
              <w:r w:rsidRPr="00990D3B">
                <w:rPr>
                  <w:rStyle w:val="Hyperlink"/>
                </w:rPr>
                <w:t>Report</w:t>
              </w:r>
              <w:r w:rsidRPr="00990D3B">
                <w:rPr>
                  <w:rStyle w:val="Hyperlink"/>
                </w:rPr>
                <w:t xml:space="preserve"> Results to State</w:t>
              </w:r>
            </w:hyperlink>
          </w:p>
        </w:tc>
      </w:tr>
      <w:tr w14:paraId="68EEF786" w14:textId="77777777" w:rsidTr="00BD1FC3">
        <w:tblPrEx>
          <w:tblW w:w="5000" w:type="pct"/>
          <w:tblLook w:val="04A0"/>
        </w:tblPrEx>
        <w:tc>
          <w:tcPr>
            <w:tcW w:w="4675" w:type="dxa"/>
          </w:tcPr>
          <w:p w:rsidR="00113F31" w:rsidRPr="00990D3B" w:rsidP="00E914B8" w14:paraId="31D2D05F" w14:textId="0A6145FC">
            <w:pPr>
              <w:pStyle w:val="EQRTextboxbody"/>
              <w:spacing w:before="60" w:after="60"/>
            </w:pPr>
            <w:hyperlink w:anchor="WSp2n15" w:tooltip="Worksheet 2.15. Performance Measure Validation Reporting Template" w:history="1">
              <w:r w:rsidRPr="00990D3B">
                <w:rPr>
                  <w:rStyle w:val="Hyperlink"/>
                  <w:rFonts w:eastAsia="Times New Roman"/>
                  <w:sz w:val="18"/>
                  <w:szCs w:val="20"/>
                </w:rPr>
                <w:t>Worksheet 2.15. Performance Measure Validation Reporting Template</w:t>
              </w:r>
            </w:hyperlink>
          </w:p>
        </w:tc>
        <w:tc>
          <w:tcPr>
            <w:tcW w:w="4675" w:type="dxa"/>
          </w:tcPr>
          <w:p w:rsidR="00113F31" w:rsidRPr="00990D3B" w:rsidP="000A5FF2" w14:paraId="7F90969D" w14:textId="629D7BD8">
            <w:pPr>
              <w:pStyle w:val="EQRTableText"/>
            </w:pPr>
            <w:hyperlink w:anchor="P2A4" w:tooltip="Activity 4. Report Results to State" w:history="1">
              <w:r w:rsidRPr="00990D3B">
                <w:rPr>
                  <w:rStyle w:val="Hyperlink"/>
                </w:rPr>
                <w:t xml:space="preserve">Activity 4. </w:t>
              </w:r>
              <w:r w:rsidRPr="00990D3B">
                <w:rPr>
                  <w:rStyle w:val="Hyperlink"/>
                </w:rPr>
                <w:t>Report</w:t>
              </w:r>
              <w:r w:rsidRPr="00990D3B">
                <w:rPr>
                  <w:rStyle w:val="Hyperlink"/>
                </w:rPr>
                <w:t xml:space="preserve"> Results to State</w:t>
              </w:r>
            </w:hyperlink>
          </w:p>
        </w:tc>
      </w:tr>
      <w:tr w14:paraId="220323CC" w14:textId="77777777" w:rsidTr="00BD1FC3">
        <w:tblPrEx>
          <w:tblW w:w="5000" w:type="pct"/>
          <w:tblLook w:val="04A0"/>
        </w:tblPrEx>
        <w:tc>
          <w:tcPr>
            <w:tcW w:w="4675" w:type="dxa"/>
          </w:tcPr>
          <w:p w:rsidR="00680EC9" w:rsidRPr="00990D3B" w:rsidP="00680EC9" w14:paraId="4202E758" w14:textId="2FD5FEC6">
            <w:pPr>
              <w:pStyle w:val="EQRTextboxbody"/>
              <w:spacing w:before="60" w:after="60"/>
            </w:pPr>
            <w:hyperlink w:anchor="WSp2n16" w:tooltip="Worksheet 2.16 Performance Measure Reporting Template" w:history="1">
              <w:r w:rsidRPr="00990D3B">
                <w:rPr>
                  <w:rStyle w:val="Hyperlink"/>
                  <w:rFonts w:eastAsia="Times New Roman"/>
                  <w:sz w:val="18"/>
                  <w:szCs w:val="20"/>
                </w:rPr>
                <w:t>Worksheet 2.16 Performance Measure Reporting Template</w:t>
              </w:r>
            </w:hyperlink>
            <w:r w:rsidRPr="00990D3B">
              <w:rPr>
                <w:color w:val="auto"/>
              </w:rPr>
              <w:t xml:space="preserve"> </w:t>
            </w:r>
          </w:p>
        </w:tc>
        <w:tc>
          <w:tcPr>
            <w:tcW w:w="4675" w:type="dxa"/>
          </w:tcPr>
          <w:p w:rsidR="00680EC9" w:rsidRPr="00990D3B" w:rsidP="00680EC9" w14:paraId="0471EFA4" w14:textId="430A1390">
            <w:pPr>
              <w:pStyle w:val="EQRTableText"/>
            </w:pPr>
            <w:hyperlink w:anchor="P2A4" w:tooltip="Activity 4. Report Results to State" w:history="1">
              <w:r w:rsidRPr="00990D3B">
                <w:rPr>
                  <w:rStyle w:val="Hyperlink"/>
                </w:rPr>
                <w:t xml:space="preserve">Activity 4. </w:t>
              </w:r>
              <w:r w:rsidRPr="00990D3B">
                <w:rPr>
                  <w:rStyle w:val="Hyperlink"/>
                </w:rPr>
                <w:t>Report</w:t>
              </w:r>
              <w:r w:rsidRPr="00990D3B">
                <w:rPr>
                  <w:rStyle w:val="Hyperlink"/>
                </w:rPr>
                <w:t xml:space="preserve"> Results to State</w:t>
              </w:r>
            </w:hyperlink>
          </w:p>
        </w:tc>
      </w:tr>
    </w:tbl>
    <w:p w:rsidR="00F931A4" w:rsidRPr="00990D3B" w:rsidP="00BD1FC3" w14:paraId="2DDFDF5B" w14:textId="34342F72">
      <w:pPr>
        <w:pStyle w:val="EQRNormalSSWORKSHEET"/>
        <w:spacing w:before="0" w:line="240" w:lineRule="auto"/>
        <w:rPr>
          <w:sz w:val="16"/>
          <w:szCs w:val="16"/>
        </w:rPr>
      </w:pPr>
      <w:r w:rsidRPr="00990D3B">
        <w:rPr>
          <w:sz w:val="16"/>
          <w:szCs w:val="16"/>
        </w:rPr>
        <w:br w:type="page"/>
      </w:r>
    </w:p>
    <w:p w:rsidR="00F931A4" w:rsidRPr="00990D3B" w:rsidP="00BD1FC3" w14:paraId="00887842" w14:textId="77777777">
      <w:pPr>
        <w:pStyle w:val="EQRMarkforExhibitWORKSHEET"/>
      </w:pPr>
      <w:bookmarkStart w:id="284" w:name="WSp2n1"/>
      <w:bookmarkStart w:id="285" w:name="_Toc125619144"/>
      <w:bookmarkStart w:id="286" w:name="_Toc201751493"/>
      <w:bookmarkEnd w:id="284"/>
      <w:r w:rsidRPr="00990D3B">
        <w:t>Worksheet 2.1. List of Performance Measures to be Validated</w:t>
      </w:r>
      <w:bookmarkEnd w:id="285"/>
      <w:bookmarkEnd w:id="286"/>
    </w:p>
    <w:p w:rsidR="00F931A4" w:rsidRPr="00990D3B" w:rsidP="00BD1FC3" w14:paraId="0E7A396C" w14:textId="2B746438">
      <w:pPr>
        <w:pStyle w:val="EQRNormalSSWORKSHEET"/>
      </w:pPr>
      <w:r w:rsidRPr="00990D3B">
        <w:rPr>
          <w:b/>
        </w:rPr>
        <w:t>Instructions.</w:t>
      </w:r>
      <w:r w:rsidRPr="00990D3B">
        <w:t xml:space="preserve"> </w:t>
      </w:r>
      <w:r w:rsidRPr="00990D3B" w:rsidR="001F01C9">
        <w:t xml:space="preserve">In the table below, </w:t>
      </w:r>
      <w:r w:rsidRPr="00990D3B">
        <w:t xml:space="preserve">identify the </w:t>
      </w:r>
      <w:r w:rsidRPr="00990D3B" w:rsidR="001F01C9">
        <w:t xml:space="preserve">performance </w:t>
      </w:r>
      <w:r w:rsidRPr="00990D3B">
        <w:t xml:space="preserve">measures to be validated, the data source, reporting frequency, and format as described in </w:t>
      </w:r>
      <w:hyperlink w:anchor="P2A1Step1" w:tooltip="Activity 1. Step 1" w:history="1">
        <w:r w:rsidRPr="00990D3B">
          <w:rPr>
            <w:rStyle w:val="Hyperlink"/>
          </w:rPr>
          <w:t>Activity 1. Step 1</w:t>
        </w:r>
      </w:hyperlink>
      <w:r w:rsidRPr="00990D3B">
        <w:t>. Complete the worksheet for each measure to be validated</w:t>
      </w:r>
      <w:r w:rsidRPr="00990D3B" w:rsidR="001F01C9">
        <w:t xml:space="preserve">, </w:t>
      </w:r>
      <w:r w:rsidRPr="00990D3B">
        <w:t>adapt</w:t>
      </w:r>
      <w:r w:rsidRPr="00990D3B" w:rsidR="001F01C9">
        <w:t xml:space="preserve">ing </w:t>
      </w:r>
      <w:r w:rsidRPr="00990D3B">
        <w:t xml:space="preserve">as needed. </w:t>
      </w:r>
    </w:p>
    <w:p w:rsidR="006C592C" w:rsidRPr="00990D3B" w:rsidP="00BD1FC3" w14:paraId="22D2E905" w14:textId="247D47EE">
      <w:pPr>
        <w:pStyle w:val="EQRNormalSSWORKSHEET"/>
        <w:spacing w:before="0" w:line="240" w:lineRule="auto"/>
      </w:pPr>
      <w:r w:rsidRPr="00990D3B">
        <w:t>Acronyms: CMIT = CMS Measures Inventory Tool; MRR = Medical Record Review; NCQA = National Committee for Quality Assurance.</w:t>
      </w:r>
    </w:p>
    <w:tbl>
      <w:tblPr>
        <w:tblStyle w:val="TableGrid1"/>
        <w:tblW w:w="5000" w:type="pct"/>
        <w:tblLayout w:type="fixed"/>
        <w:tblLook w:val="04A0"/>
      </w:tblPr>
      <w:tblGrid>
        <w:gridCol w:w="1358"/>
        <w:gridCol w:w="797"/>
        <w:gridCol w:w="990"/>
        <w:gridCol w:w="900"/>
        <w:gridCol w:w="900"/>
        <w:gridCol w:w="1080"/>
        <w:gridCol w:w="990"/>
        <w:gridCol w:w="1260"/>
        <w:gridCol w:w="1075"/>
      </w:tblGrid>
      <w:tr w14:paraId="3664F48A" w14:textId="77777777" w:rsidTr="00BD1FC3">
        <w:tblPrEx>
          <w:tblW w:w="5000" w:type="pct"/>
          <w:tblLayout w:type="fixed"/>
          <w:tblLook w:val="04A0"/>
        </w:tblPrEx>
        <w:trPr>
          <w:tblHeader/>
        </w:trPr>
        <w:tc>
          <w:tcPr>
            <w:tcW w:w="1358" w:type="dxa"/>
            <w:vAlign w:val="bottom"/>
          </w:tcPr>
          <w:p w:rsidR="00F931A4" w:rsidRPr="00990D3B" w:rsidP="00D87C0E" w14:paraId="01F9959E" w14:textId="75255CB9">
            <w:pPr>
              <w:pStyle w:val="EQRTableHeaderLeft"/>
              <w:rPr>
                <w:bCs/>
                <w:color w:val="auto"/>
              </w:rPr>
            </w:pPr>
            <w:r w:rsidRPr="00990D3B">
              <w:rPr>
                <w:bCs/>
                <w:color w:val="auto"/>
              </w:rPr>
              <w:t xml:space="preserve">Performance </w:t>
            </w:r>
            <w:r w:rsidRPr="00990D3B" w:rsidR="00164082">
              <w:rPr>
                <w:bCs/>
                <w:color w:val="auto"/>
              </w:rPr>
              <w:t>m</w:t>
            </w:r>
            <w:r w:rsidRPr="00990D3B">
              <w:rPr>
                <w:bCs/>
                <w:color w:val="auto"/>
              </w:rPr>
              <w:t xml:space="preserve">easures </w:t>
            </w:r>
          </w:p>
        </w:tc>
        <w:tc>
          <w:tcPr>
            <w:tcW w:w="797" w:type="dxa"/>
            <w:vAlign w:val="bottom"/>
          </w:tcPr>
          <w:p w:rsidR="00F931A4" w:rsidRPr="00990D3B" w:rsidP="00D87C0E" w14:paraId="5EED81E9" w14:textId="4C795CFF">
            <w:pPr>
              <w:pStyle w:val="EQRTableHeaderCenter"/>
              <w:rPr>
                <w:bCs/>
                <w:color w:val="auto"/>
              </w:rPr>
            </w:pPr>
            <w:r w:rsidRPr="00990D3B">
              <w:rPr>
                <w:bCs/>
                <w:color w:val="auto"/>
              </w:rPr>
              <w:t xml:space="preserve">CMIT </w:t>
            </w:r>
            <w:r w:rsidRPr="00990D3B">
              <w:rPr>
                <w:bCs/>
                <w:color w:val="auto"/>
              </w:rPr>
              <w:t>#</w:t>
            </w:r>
          </w:p>
        </w:tc>
        <w:tc>
          <w:tcPr>
            <w:tcW w:w="990" w:type="dxa"/>
            <w:vAlign w:val="bottom"/>
          </w:tcPr>
          <w:p w:rsidR="00F931A4" w:rsidRPr="00990D3B" w:rsidP="00D87C0E" w14:paraId="589DAFFC" w14:textId="0158196F">
            <w:pPr>
              <w:pStyle w:val="EQRTableHeaderCenter"/>
              <w:rPr>
                <w:bCs/>
                <w:color w:val="auto"/>
              </w:rPr>
            </w:pPr>
            <w:r w:rsidRPr="00990D3B">
              <w:rPr>
                <w:bCs/>
                <w:color w:val="auto"/>
              </w:rPr>
              <w:t xml:space="preserve">Admin. </w:t>
            </w:r>
            <w:r w:rsidRPr="00990D3B" w:rsidR="00164082">
              <w:rPr>
                <w:bCs/>
                <w:color w:val="auto"/>
              </w:rPr>
              <w:t>d</w:t>
            </w:r>
            <w:r w:rsidRPr="00990D3B">
              <w:rPr>
                <w:bCs/>
                <w:color w:val="auto"/>
              </w:rPr>
              <w:t>ata</w:t>
            </w:r>
          </w:p>
        </w:tc>
        <w:tc>
          <w:tcPr>
            <w:tcW w:w="900" w:type="dxa"/>
            <w:vAlign w:val="bottom"/>
          </w:tcPr>
          <w:p w:rsidR="00F931A4" w:rsidRPr="00990D3B" w:rsidP="00D87C0E" w14:paraId="347531A9" w14:textId="66F173EF">
            <w:pPr>
              <w:pStyle w:val="EQRTableHeaderCenter"/>
              <w:rPr>
                <w:bCs/>
                <w:color w:val="auto"/>
              </w:rPr>
            </w:pPr>
            <w:r w:rsidRPr="00990D3B">
              <w:rPr>
                <w:bCs/>
                <w:color w:val="auto"/>
              </w:rPr>
              <w:t>MR</w:t>
            </w:r>
            <w:r w:rsidRPr="00990D3B" w:rsidR="000767A5">
              <w:rPr>
                <w:bCs/>
                <w:color w:val="auto"/>
              </w:rPr>
              <w:t>R</w:t>
            </w:r>
          </w:p>
        </w:tc>
        <w:tc>
          <w:tcPr>
            <w:tcW w:w="900" w:type="dxa"/>
            <w:vAlign w:val="bottom"/>
          </w:tcPr>
          <w:p w:rsidR="00F931A4" w:rsidRPr="00990D3B" w:rsidP="00D87C0E" w14:paraId="0EFEF571" w14:textId="49224966">
            <w:pPr>
              <w:pStyle w:val="EQRTableHeaderCenter"/>
              <w:rPr>
                <w:bCs/>
                <w:color w:val="auto"/>
              </w:rPr>
            </w:pPr>
            <w:r w:rsidRPr="00990D3B">
              <w:rPr>
                <w:bCs/>
                <w:color w:val="auto"/>
              </w:rPr>
              <w:t>Hybrid (</w:t>
            </w:r>
            <w:r w:rsidRPr="00990D3B" w:rsidR="00164082">
              <w:rPr>
                <w:bCs/>
                <w:color w:val="auto"/>
              </w:rPr>
              <w:t>a</w:t>
            </w:r>
            <w:r w:rsidRPr="00990D3B">
              <w:rPr>
                <w:bCs/>
                <w:color w:val="auto"/>
              </w:rPr>
              <w:t xml:space="preserve">dmin. </w:t>
            </w:r>
            <w:r w:rsidRPr="00990D3B" w:rsidR="00164082">
              <w:rPr>
                <w:bCs/>
                <w:color w:val="auto"/>
              </w:rPr>
              <w:t>d</w:t>
            </w:r>
            <w:r w:rsidRPr="00990D3B">
              <w:rPr>
                <w:bCs/>
                <w:color w:val="auto"/>
              </w:rPr>
              <w:t>ata and MRR)</w:t>
            </w:r>
          </w:p>
        </w:tc>
        <w:tc>
          <w:tcPr>
            <w:tcW w:w="1080" w:type="dxa"/>
            <w:vAlign w:val="bottom"/>
          </w:tcPr>
          <w:p w:rsidR="00F931A4" w:rsidRPr="00990D3B" w:rsidP="00D87C0E" w14:paraId="661AA9BE" w14:textId="77777777">
            <w:pPr>
              <w:pStyle w:val="EQRTableHeaderCenter"/>
              <w:rPr>
                <w:bCs/>
                <w:color w:val="auto"/>
              </w:rPr>
            </w:pPr>
            <w:r w:rsidRPr="00990D3B">
              <w:rPr>
                <w:bCs/>
                <w:color w:val="auto"/>
              </w:rPr>
              <w:t>Electronic Health Record</w:t>
            </w:r>
          </w:p>
        </w:tc>
        <w:tc>
          <w:tcPr>
            <w:tcW w:w="990" w:type="dxa"/>
            <w:vAlign w:val="bottom"/>
          </w:tcPr>
          <w:p w:rsidR="00F931A4" w:rsidRPr="00990D3B" w:rsidP="00D87C0E" w14:paraId="27EED8FC" w14:textId="77777777">
            <w:pPr>
              <w:pStyle w:val="EQRTableHeaderCenter"/>
              <w:rPr>
                <w:bCs/>
                <w:color w:val="auto"/>
              </w:rPr>
            </w:pPr>
            <w:r w:rsidRPr="00990D3B">
              <w:rPr>
                <w:bCs/>
                <w:color w:val="auto"/>
              </w:rPr>
              <w:t>Survey</w:t>
            </w:r>
          </w:p>
        </w:tc>
        <w:tc>
          <w:tcPr>
            <w:tcW w:w="1260" w:type="dxa"/>
            <w:vAlign w:val="bottom"/>
          </w:tcPr>
          <w:p w:rsidR="00F931A4" w:rsidRPr="00990D3B" w:rsidP="00D87C0E" w14:paraId="1106F1CC" w14:textId="169E06E8">
            <w:pPr>
              <w:pStyle w:val="EQRTableHeaderCenter"/>
              <w:rPr>
                <w:bCs/>
                <w:color w:val="auto"/>
              </w:rPr>
            </w:pPr>
            <w:r w:rsidRPr="00990D3B">
              <w:rPr>
                <w:bCs/>
                <w:color w:val="auto"/>
              </w:rPr>
              <w:t xml:space="preserve">Reporting </w:t>
            </w:r>
            <w:r w:rsidRPr="00990D3B" w:rsidR="00164082">
              <w:rPr>
                <w:bCs/>
                <w:color w:val="auto"/>
              </w:rPr>
              <w:t>f</w:t>
            </w:r>
            <w:r w:rsidRPr="00990D3B">
              <w:rPr>
                <w:bCs/>
                <w:color w:val="auto"/>
              </w:rPr>
              <w:t xml:space="preserve">requency and </w:t>
            </w:r>
            <w:r w:rsidRPr="00990D3B" w:rsidR="00164082">
              <w:rPr>
                <w:bCs/>
                <w:color w:val="auto"/>
              </w:rPr>
              <w:t>f</w:t>
            </w:r>
            <w:r w:rsidRPr="00990D3B">
              <w:rPr>
                <w:bCs/>
                <w:color w:val="auto"/>
              </w:rPr>
              <w:t>ormat</w:t>
            </w:r>
          </w:p>
        </w:tc>
        <w:tc>
          <w:tcPr>
            <w:tcW w:w="1075" w:type="dxa"/>
            <w:vAlign w:val="bottom"/>
          </w:tcPr>
          <w:p w:rsidR="00F931A4" w:rsidRPr="00990D3B" w:rsidP="00D87C0E" w14:paraId="5276E611" w14:textId="77777777">
            <w:pPr>
              <w:pStyle w:val="EQRTableHeaderCenter"/>
              <w:rPr>
                <w:bCs/>
                <w:color w:val="auto"/>
              </w:rPr>
            </w:pPr>
            <w:r w:rsidRPr="00990D3B">
              <w:rPr>
                <w:bCs/>
                <w:color w:val="auto"/>
              </w:rPr>
              <w:t>Comments</w:t>
            </w:r>
          </w:p>
        </w:tc>
      </w:tr>
      <w:tr w14:paraId="50729B85" w14:textId="77777777" w:rsidTr="00BD1FC3">
        <w:tblPrEx>
          <w:tblW w:w="5000" w:type="pct"/>
          <w:tblLayout w:type="fixed"/>
          <w:tblLook w:val="04A0"/>
        </w:tblPrEx>
        <w:tc>
          <w:tcPr>
            <w:tcW w:w="1358" w:type="dxa"/>
          </w:tcPr>
          <w:p w:rsidR="00F931A4" w:rsidRPr="00990D3B" w:rsidP="00924459" w14:paraId="5A062E38" w14:textId="77D0BC38">
            <w:pPr>
              <w:pStyle w:val="EQRTableText"/>
            </w:pPr>
          </w:p>
        </w:tc>
        <w:tc>
          <w:tcPr>
            <w:tcW w:w="797" w:type="dxa"/>
          </w:tcPr>
          <w:p w:rsidR="00F931A4" w:rsidRPr="00990D3B" w:rsidP="00924459" w14:paraId="3A27FD40" w14:textId="76FD8B2A">
            <w:pPr>
              <w:pStyle w:val="EQRTableText"/>
            </w:pPr>
          </w:p>
        </w:tc>
        <w:tc>
          <w:tcPr>
            <w:tcW w:w="990" w:type="dxa"/>
          </w:tcPr>
          <w:p w:rsidR="00F931A4" w:rsidRPr="00990D3B" w:rsidP="00924459" w14:paraId="2B2B5119" w14:textId="3CFDFDC7">
            <w:pPr>
              <w:pStyle w:val="EQRTableText"/>
            </w:pPr>
          </w:p>
        </w:tc>
        <w:tc>
          <w:tcPr>
            <w:tcW w:w="900" w:type="dxa"/>
          </w:tcPr>
          <w:p w:rsidR="00F931A4" w:rsidRPr="00990D3B" w:rsidP="00924459" w14:paraId="37D3058C" w14:textId="41CEFE49">
            <w:pPr>
              <w:pStyle w:val="EQRTableText"/>
            </w:pPr>
          </w:p>
        </w:tc>
        <w:tc>
          <w:tcPr>
            <w:tcW w:w="900" w:type="dxa"/>
          </w:tcPr>
          <w:p w:rsidR="00F931A4" w:rsidRPr="00990D3B" w:rsidP="00924459" w14:paraId="3588A10E" w14:textId="74858868">
            <w:pPr>
              <w:pStyle w:val="EQRTableText"/>
            </w:pPr>
          </w:p>
        </w:tc>
        <w:tc>
          <w:tcPr>
            <w:tcW w:w="1080" w:type="dxa"/>
          </w:tcPr>
          <w:p w:rsidR="00F931A4" w:rsidRPr="00990D3B" w:rsidP="00924459" w14:paraId="55975DB7" w14:textId="75DE8447">
            <w:pPr>
              <w:pStyle w:val="EQRTableText"/>
            </w:pPr>
          </w:p>
        </w:tc>
        <w:tc>
          <w:tcPr>
            <w:tcW w:w="990" w:type="dxa"/>
          </w:tcPr>
          <w:p w:rsidR="00F931A4" w:rsidRPr="00990D3B" w:rsidP="00924459" w14:paraId="2AF32833" w14:textId="41E47EBA">
            <w:pPr>
              <w:pStyle w:val="EQRTableText"/>
            </w:pPr>
          </w:p>
        </w:tc>
        <w:tc>
          <w:tcPr>
            <w:tcW w:w="1260" w:type="dxa"/>
          </w:tcPr>
          <w:p w:rsidR="00F931A4" w:rsidRPr="00990D3B" w:rsidP="00924459" w14:paraId="4D59E386" w14:textId="40BD86AD">
            <w:pPr>
              <w:pStyle w:val="EQRTableText"/>
            </w:pPr>
          </w:p>
        </w:tc>
        <w:tc>
          <w:tcPr>
            <w:tcW w:w="1075" w:type="dxa"/>
          </w:tcPr>
          <w:p w:rsidR="00F931A4" w:rsidRPr="00990D3B" w:rsidP="00924459" w14:paraId="0C7A71F6" w14:textId="422FD9A6">
            <w:pPr>
              <w:pStyle w:val="EQRTableText"/>
            </w:pPr>
          </w:p>
        </w:tc>
      </w:tr>
      <w:tr w14:paraId="0882493E" w14:textId="77777777" w:rsidTr="00BD1FC3">
        <w:tblPrEx>
          <w:tblW w:w="5000" w:type="pct"/>
          <w:tblLayout w:type="fixed"/>
          <w:tblLook w:val="04A0"/>
        </w:tblPrEx>
        <w:tc>
          <w:tcPr>
            <w:tcW w:w="1358" w:type="dxa"/>
          </w:tcPr>
          <w:p w:rsidR="00F931A4" w:rsidRPr="00990D3B" w:rsidP="00924459" w14:paraId="57C51D26" w14:textId="2D6A7A94">
            <w:pPr>
              <w:pStyle w:val="EQRTableText"/>
            </w:pPr>
          </w:p>
        </w:tc>
        <w:tc>
          <w:tcPr>
            <w:tcW w:w="797" w:type="dxa"/>
          </w:tcPr>
          <w:p w:rsidR="00F931A4" w:rsidRPr="00990D3B" w:rsidP="00924459" w14:paraId="3FFC20DB" w14:textId="516867FF">
            <w:pPr>
              <w:pStyle w:val="EQRTableText"/>
            </w:pPr>
          </w:p>
        </w:tc>
        <w:tc>
          <w:tcPr>
            <w:tcW w:w="990" w:type="dxa"/>
          </w:tcPr>
          <w:p w:rsidR="00F931A4" w:rsidRPr="00990D3B" w:rsidP="00924459" w14:paraId="46855A88" w14:textId="4B63DED5">
            <w:pPr>
              <w:pStyle w:val="EQRTableText"/>
            </w:pPr>
          </w:p>
        </w:tc>
        <w:tc>
          <w:tcPr>
            <w:tcW w:w="900" w:type="dxa"/>
          </w:tcPr>
          <w:p w:rsidR="00F931A4" w:rsidRPr="00990D3B" w:rsidP="00924459" w14:paraId="04EEFF9B" w14:textId="30A52AB3">
            <w:pPr>
              <w:pStyle w:val="EQRTableText"/>
            </w:pPr>
          </w:p>
        </w:tc>
        <w:tc>
          <w:tcPr>
            <w:tcW w:w="900" w:type="dxa"/>
          </w:tcPr>
          <w:p w:rsidR="00F931A4" w:rsidRPr="00990D3B" w:rsidP="00924459" w14:paraId="5FD09BDF" w14:textId="7E918B97">
            <w:pPr>
              <w:pStyle w:val="EQRTableText"/>
            </w:pPr>
          </w:p>
        </w:tc>
        <w:tc>
          <w:tcPr>
            <w:tcW w:w="1080" w:type="dxa"/>
          </w:tcPr>
          <w:p w:rsidR="00F931A4" w:rsidRPr="00990D3B" w:rsidP="00924459" w14:paraId="60F8AD8D" w14:textId="1331F505">
            <w:pPr>
              <w:pStyle w:val="EQRTableText"/>
            </w:pPr>
          </w:p>
        </w:tc>
        <w:tc>
          <w:tcPr>
            <w:tcW w:w="990" w:type="dxa"/>
          </w:tcPr>
          <w:p w:rsidR="00F931A4" w:rsidRPr="00990D3B" w:rsidP="00924459" w14:paraId="3F26D782" w14:textId="2E552324">
            <w:pPr>
              <w:pStyle w:val="EQRTableText"/>
            </w:pPr>
          </w:p>
        </w:tc>
        <w:tc>
          <w:tcPr>
            <w:tcW w:w="1260" w:type="dxa"/>
          </w:tcPr>
          <w:p w:rsidR="00F931A4" w:rsidRPr="00990D3B" w:rsidP="00924459" w14:paraId="50267589" w14:textId="1206EA3F">
            <w:pPr>
              <w:pStyle w:val="EQRTableText"/>
            </w:pPr>
          </w:p>
        </w:tc>
        <w:tc>
          <w:tcPr>
            <w:tcW w:w="1075" w:type="dxa"/>
          </w:tcPr>
          <w:p w:rsidR="00F931A4" w:rsidRPr="00990D3B" w:rsidP="00924459" w14:paraId="6E77E468" w14:textId="1DD1BB30">
            <w:pPr>
              <w:pStyle w:val="EQRTableText"/>
            </w:pPr>
          </w:p>
        </w:tc>
      </w:tr>
      <w:tr w14:paraId="617E4130" w14:textId="77777777" w:rsidTr="00BD1FC3">
        <w:tblPrEx>
          <w:tblW w:w="5000" w:type="pct"/>
          <w:tblLayout w:type="fixed"/>
          <w:tblLook w:val="04A0"/>
        </w:tblPrEx>
        <w:tc>
          <w:tcPr>
            <w:tcW w:w="1358" w:type="dxa"/>
          </w:tcPr>
          <w:p w:rsidR="007E2C2D" w:rsidRPr="00990D3B" w:rsidP="00924459" w14:paraId="1AF3D114" w14:textId="72519AF9">
            <w:pPr>
              <w:pStyle w:val="EQRTableText"/>
            </w:pPr>
          </w:p>
        </w:tc>
        <w:tc>
          <w:tcPr>
            <w:tcW w:w="797" w:type="dxa"/>
          </w:tcPr>
          <w:p w:rsidR="007E2C2D" w:rsidRPr="00990D3B" w:rsidP="00924459" w14:paraId="16A8B8D8" w14:textId="68ED4A8B">
            <w:pPr>
              <w:pStyle w:val="EQRTableText"/>
            </w:pPr>
          </w:p>
        </w:tc>
        <w:tc>
          <w:tcPr>
            <w:tcW w:w="990" w:type="dxa"/>
          </w:tcPr>
          <w:p w:rsidR="007E2C2D" w:rsidRPr="00990D3B" w:rsidP="00924459" w14:paraId="61C8025F" w14:textId="77777777">
            <w:pPr>
              <w:pStyle w:val="EQRTableText"/>
            </w:pPr>
          </w:p>
        </w:tc>
        <w:tc>
          <w:tcPr>
            <w:tcW w:w="900" w:type="dxa"/>
          </w:tcPr>
          <w:p w:rsidR="007E2C2D" w:rsidRPr="00990D3B" w:rsidP="00924459" w14:paraId="510FD06D" w14:textId="77777777">
            <w:pPr>
              <w:pStyle w:val="EQRTableText"/>
            </w:pPr>
          </w:p>
        </w:tc>
        <w:tc>
          <w:tcPr>
            <w:tcW w:w="900" w:type="dxa"/>
          </w:tcPr>
          <w:p w:rsidR="007E2C2D" w:rsidRPr="00990D3B" w:rsidP="00924459" w14:paraId="66BBBE3C" w14:textId="77777777">
            <w:pPr>
              <w:pStyle w:val="EQRTableText"/>
            </w:pPr>
          </w:p>
        </w:tc>
        <w:tc>
          <w:tcPr>
            <w:tcW w:w="1080" w:type="dxa"/>
          </w:tcPr>
          <w:p w:rsidR="007E2C2D" w:rsidRPr="00990D3B" w:rsidP="00924459" w14:paraId="4B7DFF6E" w14:textId="77777777">
            <w:pPr>
              <w:pStyle w:val="EQRTableText"/>
            </w:pPr>
          </w:p>
        </w:tc>
        <w:tc>
          <w:tcPr>
            <w:tcW w:w="990" w:type="dxa"/>
          </w:tcPr>
          <w:p w:rsidR="007E2C2D" w:rsidRPr="00990D3B" w:rsidP="00924459" w14:paraId="3BBCED90" w14:textId="77777777">
            <w:pPr>
              <w:pStyle w:val="EQRTableText"/>
            </w:pPr>
          </w:p>
        </w:tc>
        <w:tc>
          <w:tcPr>
            <w:tcW w:w="1260" w:type="dxa"/>
          </w:tcPr>
          <w:p w:rsidR="007E2C2D" w:rsidRPr="00990D3B" w:rsidP="00924459" w14:paraId="59F2758B" w14:textId="77777777">
            <w:pPr>
              <w:pStyle w:val="EQRTableText"/>
            </w:pPr>
          </w:p>
        </w:tc>
        <w:tc>
          <w:tcPr>
            <w:tcW w:w="1075" w:type="dxa"/>
          </w:tcPr>
          <w:p w:rsidR="007E2C2D" w:rsidRPr="00990D3B" w:rsidP="00924459" w14:paraId="4594333B" w14:textId="77777777">
            <w:pPr>
              <w:pStyle w:val="EQRTableText"/>
            </w:pPr>
          </w:p>
        </w:tc>
      </w:tr>
    </w:tbl>
    <w:p w:rsidR="002753A7" w:rsidRPr="00990D3B" w:rsidP="00BD1FC3" w14:paraId="0C170304" w14:textId="77777777">
      <w:pPr>
        <w:rPr>
          <w:rFonts w:eastAsia="Calibri"/>
        </w:rPr>
        <w:sectPr w:rsidSect="00A65C6B">
          <w:footerReference w:type="even" r:id="rId128"/>
          <w:footerReference w:type="default" r:id="rId129"/>
          <w:headerReference w:type="first" r:id="rId130"/>
          <w:footerReference w:type="first" r:id="rId131"/>
          <w:pgSz w:w="12240" w:h="15840" w:code="1"/>
          <w:pgMar w:top="1440" w:right="1440" w:bottom="1440" w:left="1440" w:header="720" w:footer="720" w:gutter="0"/>
          <w:cols w:space="720"/>
          <w:titlePg/>
          <w:docGrid w:linePitch="360"/>
        </w:sectPr>
      </w:pPr>
    </w:p>
    <w:p w:rsidR="00F931A4" w:rsidRPr="00990D3B" w:rsidP="00BD1FC3" w14:paraId="5D5FC6D4" w14:textId="77777777">
      <w:pPr>
        <w:pStyle w:val="EQRMarkforExhibitWORKSHEET"/>
      </w:pPr>
      <w:bookmarkStart w:id="287" w:name="WSp2n2"/>
      <w:bookmarkStart w:id="288" w:name="_Toc125619145"/>
      <w:bookmarkStart w:id="289" w:name="_Toc201751494"/>
      <w:bookmarkEnd w:id="287"/>
      <w:r w:rsidRPr="00990D3B">
        <w:t>Worksheet 2.2. Performance Measure Validation Template</w:t>
      </w:r>
      <w:bookmarkEnd w:id="288"/>
      <w:bookmarkEnd w:id="289"/>
    </w:p>
    <w:p w:rsidR="00F931A4" w:rsidRPr="00990D3B" w:rsidP="00BD1FC3" w14:paraId="3E5B9060" w14:textId="4A554015">
      <w:pPr>
        <w:pStyle w:val="EQRNormalSSWORKSHEET"/>
      </w:pPr>
      <w:r w:rsidRPr="00990D3B">
        <w:rPr>
          <w:b/>
        </w:rPr>
        <w:t>Instructions.</w:t>
      </w:r>
      <w:r w:rsidRPr="00990D3B">
        <w:t xml:space="preserve"> For each performance measure, use this template to gather audit specifications for the validation components (as described in </w:t>
      </w:r>
      <w:hyperlink w:anchor="P2A1Step1" w:tooltip="1" w:history="1">
        <w:r w:rsidRPr="00990D3B">
          <w:rPr>
            <w:rStyle w:val="Hyperlink"/>
          </w:rPr>
          <w:t>Activity 1. Steps 1</w:t>
        </w:r>
      </w:hyperlink>
      <w:r w:rsidRPr="00990D3B">
        <w:rPr>
          <w:color w:val="00828C" w:themeColor="accent1"/>
        </w:rPr>
        <w:t xml:space="preserve"> </w:t>
      </w:r>
      <w:r w:rsidRPr="00990D3B">
        <w:t>and</w:t>
      </w:r>
      <w:r w:rsidRPr="00990D3B">
        <w:rPr>
          <w:color w:val="00828C" w:themeColor="accent1"/>
        </w:rPr>
        <w:t xml:space="preserve"> </w:t>
      </w:r>
      <w:hyperlink w:anchor="P2A1Step3" w:tooltip="3" w:history="1">
        <w:r w:rsidRPr="00990D3B">
          <w:rPr>
            <w:rStyle w:val="Hyperlink"/>
            <w:color w:val="00828C" w:themeColor="accent1"/>
          </w:rPr>
          <w:t>3</w:t>
        </w:r>
      </w:hyperlink>
      <w:r w:rsidRPr="00990D3B">
        <w:rPr>
          <w:color w:val="00828C" w:themeColor="accent1"/>
        </w:rPr>
        <w:t xml:space="preserve">, </w:t>
      </w:r>
      <w:r w:rsidRPr="00990D3B">
        <w:t>and</w:t>
      </w:r>
      <w:r w:rsidRPr="00990D3B">
        <w:rPr>
          <w:color w:val="00828C" w:themeColor="accent1"/>
        </w:rPr>
        <w:t xml:space="preserve"> </w:t>
      </w:r>
      <w:hyperlink w:anchor="P2Act2Step4" w:tooltip="Activity 2. Step 4" w:history="1">
        <w:r w:rsidRPr="00990D3B">
          <w:rPr>
            <w:rStyle w:val="Hyperlink"/>
          </w:rPr>
          <w:t>Activity 2. Step 4</w:t>
        </w:r>
      </w:hyperlink>
      <w:r w:rsidRPr="00990D3B">
        <w:t xml:space="preserve">) and to assess the MCP’s measurement and reporting process for each component. </w:t>
      </w:r>
    </w:p>
    <w:p w:rsidR="00F931A4" w:rsidRPr="00990D3B" w:rsidP="00BD1FC3" w14:paraId="59BE9927" w14:textId="1EC18CC9">
      <w:pPr>
        <w:pStyle w:val="EQRNormalSSWORKSHEET"/>
      </w:pPr>
      <w:r w:rsidRPr="00990D3B">
        <w:t xml:space="preserve">For each validation component, indicate whether the measure meets validation requirements by </w:t>
      </w:r>
      <w:r w:rsidRPr="00990D3B">
        <w:rPr>
          <w:bCs/>
        </w:rPr>
        <w:t xml:space="preserve">checking “Yes,” “No,” or “Not </w:t>
      </w:r>
      <w:r w:rsidRPr="00990D3B" w:rsidR="004000C5">
        <w:rPr>
          <w:bCs/>
        </w:rPr>
        <w:t>A</w:t>
      </w:r>
      <w:r w:rsidRPr="00990D3B">
        <w:rPr>
          <w:bCs/>
        </w:rPr>
        <w:t xml:space="preserve">pplicable.” </w:t>
      </w:r>
      <w:r w:rsidRPr="00990D3B">
        <w:t>Insert comments to explain “No</w:t>
      </w:r>
      <w:r w:rsidRPr="00990D3B" w:rsidR="00064983">
        <w:t>”</w:t>
      </w:r>
      <w:r w:rsidRPr="00990D3B">
        <w:t xml:space="preserve"> and “</w:t>
      </w:r>
      <w:r w:rsidRPr="00990D3B" w:rsidR="00064983">
        <w:t>N</w:t>
      </w:r>
      <w:r w:rsidRPr="00990D3B" w:rsidR="006C592C">
        <w:t xml:space="preserve">ot </w:t>
      </w:r>
      <w:r w:rsidRPr="00990D3B" w:rsidR="004000C5">
        <w:t>A</w:t>
      </w:r>
      <w:r w:rsidRPr="00990D3B" w:rsidR="006C592C">
        <w:t>pplicable</w:t>
      </w:r>
      <w:r w:rsidRPr="00990D3B" w:rsidR="00064983">
        <w:t>”</w:t>
      </w:r>
      <w:r w:rsidRPr="00990D3B">
        <w:t xml:space="preserve"> responses.</w:t>
      </w:r>
      <w:r w:rsidRPr="00990D3B">
        <w:rPr>
          <w:bCs/>
        </w:rPr>
        <w:t xml:space="preserve"> Use the following guidance to assess each component.</w:t>
      </w:r>
    </w:p>
    <w:p w:rsidR="00F931A4" w:rsidRPr="00990D3B" w:rsidP="00C12970" w14:paraId="000644B0" w14:textId="77777777">
      <w:pPr>
        <w:pStyle w:val="EQRNormalSSWSbullet"/>
      </w:pPr>
      <w:r w:rsidRPr="00990D3B">
        <w:rPr>
          <w:b/>
        </w:rPr>
        <w:t>Yes:</w:t>
      </w:r>
      <w:r w:rsidRPr="00990D3B">
        <w:t xml:space="preserve"> The MCP’s measurement and reporting process was fully compliant with state specifications</w:t>
      </w:r>
    </w:p>
    <w:p w:rsidR="00F931A4" w:rsidRPr="00990D3B" w:rsidP="00C12970" w14:paraId="0B85CD69" w14:textId="77777777">
      <w:pPr>
        <w:pStyle w:val="EQRNormalSSWSbullet"/>
      </w:pPr>
      <w:r w:rsidRPr="00990D3B">
        <w:rPr>
          <w:b/>
        </w:rPr>
        <w:t>No:</w:t>
      </w:r>
      <w:r w:rsidRPr="00990D3B">
        <w:t xml:space="preserve"> The MCP’s measurement and reporting process was not fully compliant with state specifications. This designation should be used for any validation component that deviates from the state specifications, regardless of the impact of the deviation on the final rate. All components with this designation must include an explanation of the deviation in the comments section</w:t>
      </w:r>
    </w:p>
    <w:p w:rsidR="00F931A4" w:rsidRPr="00990D3B" w:rsidP="00C12970" w14:paraId="2725F4D6" w14:textId="3A65B450">
      <w:pPr>
        <w:pStyle w:val="EQRNormalSSWSbullet"/>
      </w:pPr>
      <w:r w:rsidRPr="00990D3B">
        <w:rPr>
          <w:b/>
        </w:rPr>
        <w:t>NA</w:t>
      </w:r>
      <w:r w:rsidRPr="00990D3B">
        <w:rPr>
          <w:b/>
        </w:rPr>
        <w:t>:</w:t>
      </w:r>
      <w:r w:rsidRPr="00990D3B">
        <w:t xml:space="preserve"> The validation component was not applicable. Include an explanation in the comments section (e.g.,</w:t>
      </w:r>
      <w:r w:rsidRPr="00990D3B" w:rsidR="00C12970">
        <w:t> </w:t>
      </w:r>
      <w:r w:rsidRPr="00990D3B">
        <w:t>sampling not required, medical record review not included)</w:t>
      </w:r>
    </w:p>
    <w:p w:rsidR="006C592C" w:rsidRPr="00990D3B" w:rsidP="00C12970" w14:paraId="4E0D18F6" w14:textId="160F625E">
      <w:pPr>
        <w:pStyle w:val="EQRNormalSSWORKSHEET"/>
      </w:pPr>
      <w:r w:rsidRPr="00990D3B">
        <w:t>Acronyms: CPT = Current Procedural Terminology; DRG= Diagnosis Related Group; EHR = Electronic Health Record; ICD = International Classification of Diseases; ID = Identification Number; LOINC = Logical Observation Identifiers, Names, and Codes; MCP= Managed Care Plan; MRR = Medical Record Review; NA = Not Applicable; NR</w:t>
      </w:r>
      <w:r w:rsidRPr="00990D3B" w:rsidR="00C12970">
        <w:t> </w:t>
      </w:r>
      <w:r w:rsidRPr="00990D3B">
        <w:t xml:space="preserve">= Not Reported. </w:t>
      </w:r>
    </w:p>
    <w:p w:rsidR="00F931A4" w:rsidRPr="00990D3B" w:rsidP="00BD1FC3" w14:paraId="762E8602" w14:textId="2E42186A">
      <w:pPr>
        <w:pStyle w:val="EQRNormalSSWORKSHEET"/>
      </w:pPr>
      <w:r w:rsidRPr="00990D3B">
        <w:rPr>
          <w:b/>
        </w:rPr>
        <w:t>MCP</w:t>
      </w:r>
      <w:r w:rsidRPr="00990D3B" w:rsidR="001F01C9">
        <w:rPr>
          <w:b/>
        </w:rPr>
        <w:t xml:space="preserve"> name:</w:t>
      </w:r>
      <w:r w:rsidRPr="00990D3B">
        <w:rPr>
          <w:b/>
        </w:rPr>
        <w:t xml:space="preserve"> </w:t>
      </w:r>
      <w:r w:rsidRPr="00990D3B">
        <w:t>__________________________________________________________________</w:t>
      </w:r>
    </w:p>
    <w:p w:rsidR="00F931A4" w:rsidRPr="00990D3B" w:rsidP="00BD1FC3" w14:paraId="71D7E14D" w14:textId="15098F69">
      <w:pPr>
        <w:pStyle w:val="EQRNormalSSWORKSHEET"/>
      </w:pPr>
      <w:r w:rsidRPr="00990D3B">
        <w:rPr>
          <w:b/>
        </w:rPr>
        <w:t xml:space="preserve">Performance </w:t>
      </w:r>
      <w:r w:rsidRPr="00990D3B" w:rsidR="001F01C9">
        <w:rPr>
          <w:b/>
        </w:rPr>
        <w:t>m</w:t>
      </w:r>
      <w:r w:rsidRPr="00990D3B">
        <w:rPr>
          <w:b/>
        </w:rPr>
        <w:t>easure</w:t>
      </w:r>
      <w:r w:rsidRPr="00990D3B" w:rsidR="001F01C9">
        <w:rPr>
          <w:b/>
        </w:rPr>
        <w:t>:</w:t>
      </w:r>
      <w:r w:rsidRPr="00990D3B">
        <w:rPr>
          <w:b/>
        </w:rPr>
        <w:t xml:space="preserve"> </w:t>
      </w:r>
      <w:r w:rsidRPr="00990D3B">
        <w:t>__________________________________________________________</w:t>
      </w:r>
    </w:p>
    <w:p w:rsidR="00F931A4" w:rsidRPr="00990D3B" w:rsidP="00BD1FC3" w14:paraId="01EB3A71" w14:textId="33DE68C6">
      <w:pPr>
        <w:pStyle w:val="EQRNormalSSWORKSHEET"/>
      </w:pPr>
      <w:r w:rsidRPr="00990D3B">
        <w:rPr>
          <w:b/>
        </w:rPr>
        <w:t>Method for</w:t>
      </w:r>
      <w:r w:rsidRPr="00990D3B" w:rsidR="001F01C9">
        <w:rPr>
          <w:b/>
        </w:rPr>
        <w:t xml:space="preserve"> c</w:t>
      </w:r>
      <w:r w:rsidRPr="00990D3B">
        <w:rPr>
          <w:b/>
        </w:rPr>
        <w:t xml:space="preserve">alculating </w:t>
      </w:r>
      <w:r w:rsidRPr="00990D3B" w:rsidR="001F01C9">
        <w:rPr>
          <w:b/>
        </w:rPr>
        <w:t>m</w:t>
      </w:r>
      <w:r w:rsidRPr="00990D3B">
        <w:rPr>
          <w:b/>
        </w:rPr>
        <w:t>easure</w:t>
      </w:r>
      <w:r w:rsidRPr="00990D3B">
        <w:rPr>
          <w:b/>
        </w:rPr>
        <w:t>:</w:t>
      </w:r>
      <w:r w:rsidRPr="00990D3B">
        <w:t xml:space="preserve"> </w:t>
      </w:r>
      <w:r w:rsidRPr="00990D3B">
        <w:t>[  ]</w:t>
      </w:r>
      <w:r w:rsidRPr="00990D3B">
        <w:t xml:space="preserve">  Admin </w:t>
      </w:r>
      <w:r w:rsidRPr="00990D3B">
        <w:t xml:space="preserve">   [  ]</w:t>
      </w:r>
      <w:r w:rsidRPr="00990D3B">
        <w:t xml:space="preserve">  </w:t>
      </w:r>
      <w:r w:rsidRPr="00990D3B" w:rsidR="000767A5">
        <w:t>MRR</w:t>
      </w:r>
      <w:r w:rsidRPr="00990D3B">
        <w:t xml:space="preserve">   [  ]</w:t>
      </w:r>
      <w:r w:rsidRPr="00990D3B">
        <w:t xml:space="preserve">  Hybrid</w:t>
      </w:r>
      <w:r w:rsidRPr="00990D3B">
        <w:t xml:space="preserve">   [  ]</w:t>
      </w:r>
      <w:r w:rsidRPr="00990D3B">
        <w:t xml:space="preserve"> EH</w:t>
      </w:r>
      <w:r w:rsidRPr="00990D3B" w:rsidR="007854DF">
        <w:t xml:space="preserve">R </w:t>
      </w:r>
      <w:r w:rsidRPr="00990D3B">
        <w:t>[  ]</w:t>
      </w:r>
      <w:r w:rsidRPr="00990D3B">
        <w:t xml:space="preserve">  Survey</w:t>
      </w:r>
    </w:p>
    <w:p w:rsidR="00164082" w:rsidRPr="00990D3B" w:rsidP="002B40CC" w14:paraId="11F78039" w14:textId="7CB7FAF5">
      <w:pPr>
        <w:pStyle w:val="H2EQRWorksheet"/>
      </w:pPr>
      <w:r w:rsidRPr="00990D3B">
        <w:t>Validation Findings</w:t>
      </w:r>
    </w:p>
    <w:tbl>
      <w:tblPr>
        <w:tblStyle w:val="TableGrid"/>
        <w:tblW w:w="5000" w:type="pct"/>
        <w:tblLook w:val="04A0"/>
      </w:tblPr>
      <w:tblGrid>
        <w:gridCol w:w="4894"/>
        <w:gridCol w:w="1824"/>
        <w:gridCol w:w="1083"/>
        <w:gridCol w:w="896"/>
        <w:gridCol w:w="1019"/>
        <w:gridCol w:w="3234"/>
      </w:tblGrid>
      <w:tr w14:paraId="7E4218AD" w14:textId="77777777" w:rsidTr="00BD1FC3">
        <w:tblPrEx>
          <w:tblW w:w="5000" w:type="pct"/>
          <w:tblLook w:val="04A0"/>
        </w:tblPrEx>
        <w:trPr>
          <w:cantSplit/>
          <w:tblHeader/>
        </w:trPr>
        <w:tc>
          <w:tcPr>
            <w:tcW w:w="3533" w:type="dxa"/>
            <w:vAlign w:val="bottom"/>
          </w:tcPr>
          <w:p w:rsidR="00F931A4" w:rsidRPr="00990D3B" w:rsidP="00D126CF" w14:paraId="382DB115" w14:textId="1D09AE40">
            <w:pPr>
              <w:pStyle w:val="EQRTableHeaderLeft"/>
              <w:rPr>
                <w:color w:val="auto"/>
              </w:rPr>
            </w:pPr>
            <w:r w:rsidRPr="00990D3B">
              <w:rPr>
                <w:color w:val="auto"/>
              </w:rPr>
              <w:t xml:space="preserve">Validation </w:t>
            </w:r>
            <w:r w:rsidRPr="00990D3B" w:rsidR="00164082">
              <w:rPr>
                <w:color w:val="auto"/>
              </w:rPr>
              <w:t>c</w:t>
            </w:r>
            <w:r w:rsidRPr="00990D3B">
              <w:rPr>
                <w:color w:val="auto"/>
              </w:rPr>
              <w:t xml:space="preserve">omponent </w:t>
            </w:r>
          </w:p>
        </w:tc>
        <w:tc>
          <w:tcPr>
            <w:tcW w:w="1317" w:type="dxa"/>
            <w:vAlign w:val="bottom"/>
          </w:tcPr>
          <w:p w:rsidR="00F931A4" w:rsidRPr="00990D3B" w:rsidP="00D126CF" w14:paraId="4BEF36AA" w14:textId="58BF8B49">
            <w:pPr>
              <w:pStyle w:val="EQRTableHeaderCenter"/>
              <w:rPr>
                <w:color w:val="auto"/>
              </w:rPr>
            </w:pPr>
            <w:r w:rsidRPr="00990D3B">
              <w:rPr>
                <w:color w:val="auto"/>
              </w:rPr>
              <w:t xml:space="preserve">Audit </w:t>
            </w:r>
            <w:r w:rsidRPr="00990D3B" w:rsidR="00164082">
              <w:rPr>
                <w:color w:val="auto"/>
              </w:rPr>
              <w:t>s</w:t>
            </w:r>
            <w:r w:rsidRPr="00990D3B">
              <w:rPr>
                <w:color w:val="auto"/>
              </w:rPr>
              <w:t>pecifications</w:t>
            </w:r>
          </w:p>
        </w:tc>
        <w:tc>
          <w:tcPr>
            <w:tcW w:w="782" w:type="dxa"/>
            <w:vAlign w:val="bottom"/>
          </w:tcPr>
          <w:p w:rsidR="00F931A4" w:rsidRPr="00990D3B" w:rsidP="00D126CF" w14:paraId="331105E7" w14:textId="77777777">
            <w:pPr>
              <w:pStyle w:val="EQRTableHeaderCenter"/>
              <w:rPr>
                <w:color w:val="auto"/>
              </w:rPr>
            </w:pPr>
            <w:r w:rsidRPr="00990D3B">
              <w:rPr>
                <w:color w:val="auto"/>
              </w:rPr>
              <w:t>Yes</w:t>
            </w:r>
          </w:p>
        </w:tc>
        <w:tc>
          <w:tcPr>
            <w:tcW w:w="647" w:type="dxa"/>
            <w:vAlign w:val="bottom"/>
          </w:tcPr>
          <w:p w:rsidR="00F931A4" w:rsidRPr="00990D3B" w:rsidP="00D126CF" w14:paraId="2F1C4935" w14:textId="77777777">
            <w:pPr>
              <w:pStyle w:val="EQRTableHeaderCenter"/>
              <w:rPr>
                <w:color w:val="auto"/>
              </w:rPr>
            </w:pPr>
            <w:r w:rsidRPr="00990D3B">
              <w:rPr>
                <w:color w:val="auto"/>
              </w:rPr>
              <w:t>No</w:t>
            </w:r>
          </w:p>
        </w:tc>
        <w:tc>
          <w:tcPr>
            <w:tcW w:w="736" w:type="dxa"/>
            <w:vAlign w:val="bottom"/>
          </w:tcPr>
          <w:p w:rsidR="00F931A4" w:rsidRPr="00990D3B" w:rsidP="00D126CF" w14:paraId="6B314B5F" w14:textId="05AC562B">
            <w:pPr>
              <w:pStyle w:val="EQRTableHeaderCenter"/>
              <w:rPr>
                <w:color w:val="auto"/>
              </w:rPr>
            </w:pPr>
            <w:r w:rsidRPr="00990D3B">
              <w:rPr>
                <w:color w:val="auto"/>
              </w:rPr>
              <w:t>NA</w:t>
            </w:r>
          </w:p>
        </w:tc>
        <w:tc>
          <w:tcPr>
            <w:tcW w:w="2335" w:type="dxa"/>
            <w:vAlign w:val="bottom"/>
          </w:tcPr>
          <w:p w:rsidR="00F931A4" w:rsidRPr="00990D3B" w:rsidP="00D126CF" w14:paraId="5D256289" w14:textId="77777777">
            <w:pPr>
              <w:pStyle w:val="EQRTableHeaderCenter"/>
              <w:rPr>
                <w:color w:val="auto"/>
              </w:rPr>
            </w:pPr>
            <w:r w:rsidRPr="00990D3B">
              <w:rPr>
                <w:color w:val="auto"/>
              </w:rPr>
              <w:t>Comments</w:t>
            </w:r>
          </w:p>
        </w:tc>
      </w:tr>
      <w:tr w14:paraId="308D912E" w14:textId="77777777" w:rsidTr="00BD1FC3">
        <w:tblPrEx>
          <w:tblW w:w="5000" w:type="pct"/>
          <w:tblLook w:val="04A0"/>
        </w:tblPrEx>
        <w:trPr>
          <w:cantSplit/>
        </w:trPr>
        <w:tc>
          <w:tcPr>
            <w:tcW w:w="3533" w:type="dxa"/>
          </w:tcPr>
          <w:p w:rsidR="00F931A4" w:rsidRPr="00990D3B" w:rsidP="002404DD" w14:paraId="48B9AF2A" w14:textId="77777777">
            <w:pPr>
              <w:pStyle w:val="EQRTableText"/>
              <w:keepNext/>
              <w:rPr>
                <w:b/>
              </w:rPr>
            </w:pPr>
            <w:r w:rsidRPr="00990D3B">
              <w:rPr>
                <w:b/>
              </w:rPr>
              <w:t>Documentation:</w:t>
            </w:r>
          </w:p>
        </w:tc>
        <w:tc>
          <w:tcPr>
            <w:tcW w:w="1317" w:type="dxa"/>
            <w:shd w:val="clear" w:color="auto" w:fill="BFBFBF" w:themeFill="background1" w:themeFillShade="BF"/>
          </w:tcPr>
          <w:p w:rsidR="00F931A4" w:rsidRPr="00990D3B" w:rsidP="002404DD" w14:paraId="1681C417" w14:textId="77777777">
            <w:pPr>
              <w:pStyle w:val="EQRTableText"/>
            </w:pPr>
            <w:r w:rsidRPr="00990D3B">
              <w:t> </w:t>
            </w:r>
          </w:p>
        </w:tc>
        <w:tc>
          <w:tcPr>
            <w:tcW w:w="782" w:type="dxa"/>
            <w:tcBorders>
              <w:bottom w:val="single" w:sz="4" w:space="0" w:color="000000" w:themeColor="text1"/>
            </w:tcBorders>
            <w:shd w:val="clear" w:color="auto" w:fill="BFBFBF" w:themeFill="background1" w:themeFillShade="BF"/>
          </w:tcPr>
          <w:p w:rsidR="00F931A4" w:rsidRPr="00990D3B" w:rsidP="002404DD" w14:paraId="0B4C5411" w14:textId="77777777">
            <w:pPr>
              <w:pStyle w:val="EQRTableText"/>
            </w:pPr>
            <w:r w:rsidRPr="00990D3B">
              <w:t> </w:t>
            </w:r>
          </w:p>
        </w:tc>
        <w:tc>
          <w:tcPr>
            <w:tcW w:w="647" w:type="dxa"/>
            <w:tcBorders>
              <w:bottom w:val="single" w:sz="4" w:space="0" w:color="000000" w:themeColor="text1"/>
            </w:tcBorders>
            <w:shd w:val="clear" w:color="auto" w:fill="BFBFBF" w:themeFill="background1" w:themeFillShade="BF"/>
          </w:tcPr>
          <w:p w:rsidR="00F931A4" w:rsidRPr="00990D3B" w:rsidP="002404DD" w14:paraId="0A41BC03" w14:textId="77777777">
            <w:pPr>
              <w:pStyle w:val="EQRTableText"/>
            </w:pPr>
            <w:r w:rsidRPr="00990D3B">
              <w:t> </w:t>
            </w:r>
          </w:p>
        </w:tc>
        <w:tc>
          <w:tcPr>
            <w:tcW w:w="736" w:type="dxa"/>
            <w:tcBorders>
              <w:bottom w:val="single" w:sz="4" w:space="0" w:color="000000" w:themeColor="text1"/>
            </w:tcBorders>
            <w:shd w:val="clear" w:color="auto" w:fill="BFBFBF" w:themeFill="background1" w:themeFillShade="BF"/>
          </w:tcPr>
          <w:p w:rsidR="00F931A4" w:rsidRPr="00990D3B" w:rsidP="002404DD" w14:paraId="16D67C89" w14:textId="77777777">
            <w:pPr>
              <w:pStyle w:val="EQRTableText"/>
            </w:pPr>
            <w:r w:rsidRPr="00990D3B">
              <w:t> </w:t>
            </w:r>
          </w:p>
        </w:tc>
        <w:tc>
          <w:tcPr>
            <w:tcW w:w="2335" w:type="dxa"/>
            <w:shd w:val="clear" w:color="auto" w:fill="BFBFBF" w:themeFill="background1" w:themeFillShade="BF"/>
          </w:tcPr>
          <w:p w:rsidR="00F931A4" w:rsidRPr="00990D3B" w:rsidP="002404DD" w14:paraId="3D744526" w14:textId="77777777">
            <w:pPr>
              <w:pStyle w:val="EQRTableText"/>
            </w:pPr>
            <w:r w:rsidRPr="00990D3B">
              <w:t> </w:t>
            </w:r>
          </w:p>
        </w:tc>
      </w:tr>
      <w:tr w14:paraId="6C0698B4" w14:textId="77777777" w:rsidTr="00BD1FC3">
        <w:tblPrEx>
          <w:tblW w:w="5000" w:type="pct"/>
          <w:tblLook w:val="04A0"/>
        </w:tblPrEx>
        <w:trPr>
          <w:cantSplit/>
        </w:trPr>
        <w:tc>
          <w:tcPr>
            <w:tcW w:w="3533" w:type="dxa"/>
          </w:tcPr>
          <w:p w:rsidR="00F931A4" w:rsidRPr="00990D3B" w:rsidP="002404DD" w14:paraId="42076B66" w14:textId="77777777">
            <w:pPr>
              <w:pStyle w:val="EQRTableText"/>
              <w:rPr>
                <w:b/>
              </w:rPr>
            </w:pPr>
            <w:r w:rsidRPr="00990D3B">
              <w:t>Did appropriate and complete measurement plans and programming specifications exist, including data sources, programming logic, and computer source code?</w:t>
            </w:r>
          </w:p>
        </w:tc>
        <w:tc>
          <w:tcPr>
            <w:tcW w:w="1317" w:type="dxa"/>
          </w:tcPr>
          <w:p w:rsidR="00F931A4" w:rsidRPr="00990D3B" w:rsidP="002404DD" w14:paraId="31B01228" w14:textId="77777777">
            <w:pPr>
              <w:pStyle w:val="EQRTableText"/>
            </w:pPr>
            <w:r w:rsidRPr="00990D3B">
              <w:t> </w:t>
            </w:r>
          </w:p>
        </w:tc>
        <w:tc>
          <w:tcPr>
            <w:tcW w:w="782" w:type="dxa"/>
            <w:tcBorders>
              <w:bottom w:val="single" w:sz="4" w:space="0" w:color="000000" w:themeColor="text1"/>
            </w:tcBorders>
          </w:tcPr>
          <w:p w:rsidR="00F931A4" w:rsidRPr="00990D3B" w:rsidP="002404DD" w14:paraId="4AB543CD" w14:textId="77777777">
            <w:pPr>
              <w:pStyle w:val="EQRTableText"/>
            </w:pPr>
            <w:r w:rsidRPr="00990D3B">
              <w:t> </w:t>
            </w:r>
          </w:p>
        </w:tc>
        <w:tc>
          <w:tcPr>
            <w:tcW w:w="647" w:type="dxa"/>
            <w:tcBorders>
              <w:bottom w:val="single" w:sz="4" w:space="0" w:color="000000" w:themeColor="text1"/>
            </w:tcBorders>
          </w:tcPr>
          <w:p w:rsidR="00F931A4" w:rsidRPr="00990D3B" w:rsidP="002404DD" w14:paraId="26F6DCF3" w14:textId="77777777">
            <w:pPr>
              <w:pStyle w:val="EQRTableText"/>
            </w:pPr>
            <w:r w:rsidRPr="00990D3B">
              <w:t> </w:t>
            </w:r>
          </w:p>
        </w:tc>
        <w:tc>
          <w:tcPr>
            <w:tcW w:w="736" w:type="dxa"/>
            <w:tcBorders>
              <w:bottom w:val="single" w:sz="4" w:space="0" w:color="000000" w:themeColor="text1"/>
            </w:tcBorders>
          </w:tcPr>
          <w:p w:rsidR="00F931A4" w:rsidRPr="00990D3B" w:rsidP="002404DD" w14:paraId="67872912" w14:textId="77777777">
            <w:pPr>
              <w:pStyle w:val="EQRTableText"/>
            </w:pPr>
            <w:r w:rsidRPr="00990D3B">
              <w:t> </w:t>
            </w:r>
          </w:p>
        </w:tc>
        <w:tc>
          <w:tcPr>
            <w:tcW w:w="2335" w:type="dxa"/>
          </w:tcPr>
          <w:p w:rsidR="00F931A4" w:rsidRPr="00990D3B" w:rsidP="002404DD" w14:paraId="473F8CBA" w14:textId="77777777">
            <w:pPr>
              <w:pStyle w:val="EQRTableText"/>
            </w:pPr>
            <w:r w:rsidRPr="00990D3B">
              <w:t> </w:t>
            </w:r>
          </w:p>
        </w:tc>
      </w:tr>
      <w:tr w14:paraId="422CB4DB" w14:textId="77777777" w:rsidTr="00BD1FC3">
        <w:tblPrEx>
          <w:tblW w:w="5000" w:type="pct"/>
          <w:tblLook w:val="04A0"/>
        </w:tblPrEx>
        <w:trPr>
          <w:cantSplit/>
        </w:trPr>
        <w:tc>
          <w:tcPr>
            <w:tcW w:w="3533" w:type="dxa"/>
          </w:tcPr>
          <w:p w:rsidR="00F931A4" w:rsidRPr="00990D3B" w:rsidP="002404DD" w14:paraId="541D2920" w14:textId="77777777">
            <w:pPr>
              <w:pStyle w:val="EQRTableText"/>
            </w:pPr>
            <w:r w:rsidRPr="00990D3B">
              <w:t>Were internally developed codes used?</w:t>
            </w:r>
          </w:p>
        </w:tc>
        <w:tc>
          <w:tcPr>
            <w:tcW w:w="1317" w:type="dxa"/>
          </w:tcPr>
          <w:p w:rsidR="00F931A4" w:rsidRPr="00990D3B" w:rsidP="002404DD" w14:paraId="7DBF94A7" w14:textId="77777777">
            <w:pPr>
              <w:pStyle w:val="EQRTableText"/>
            </w:pPr>
            <w:r w:rsidRPr="00990D3B">
              <w:t> </w:t>
            </w:r>
          </w:p>
        </w:tc>
        <w:tc>
          <w:tcPr>
            <w:tcW w:w="782" w:type="dxa"/>
            <w:tcBorders>
              <w:bottom w:val="single" w:sz="4" w:space="0" w:color="000000" w:themeColor="text1"/>
            </w:tcBorders>
          </w:tcPr>
          <w:p w:rsidR="00F931A4" w:rsidRPr="00990D3B" w:rsidP="002404DD" w14:paraId="39B6B751" w14:textId="77777777">
            <w:pPr>
              <w:pStyle w:val="EQRTableText"/>
            </w:pPr>
            <w:r w:rsidRPr="00990D3B">
              <w:t> </w:t>
            </w:r>
          </w:p>
        </w:tc>
        <w:tc>
          <w:tcPr>
            <w:tcW w:w="647" w:type="dxa"/>
            <w:tcBorders>
              <w:bottom w:val="single" w:sz="4" w:space="0" w:color="000000" w:themeColor="text1"/>
            </w:tcBorders>
          </w:tcPr>
          <w:p w:rsidR="00F931A4" w:rsidRPr="00990D3B" w:rsidP="002404DD" w14:paraId="31A36097" w14:textId="77777777">
            <w:pPr>
              <w:pStyle w:val="EQRTableText"/>
            </w:pPr>
            <w:r w:rsidRPr="00990D3B">
              <w:t> </w:t>
            </w:r>
          </w:p>
        </w:tc>
        <w:tc>
          <w:tcPr>
            <w:tcW w:w="736" w:type="dxa"/>
            <w:tcBorders>
              <w:bottom w:val="single" w:sz="4" w:space="0" w:color="000000" w:themeColor="text1"/>
            </w:tcBorders>
          </w:tcPr>
          <w:p w:rsidR="00F931A4" w:rsidRPr="00990D3B" w:rsidP="002404DD" w14:paraId="63BD433D" w14:textId="77777777">
            <w:pPr>
              <w:pStyle w:val="EQRTableText"/>
            </w:pPr>
            <w:r w:rsidRPr="00990D3B">
              <w:t> </w:t>
            </w:r>
          </w:p>
        </w:tc>
        <w:tc>
          <w:tcPr>
            <w:tcW w:w="2335" w:type="dxa"/>
          </w:tcPr>
          <w:p w:rsidR="00F931A4" w:rsidRPr="00990D3B" w:rsidP="002404DD" w14:paraId="6EC978D0" w14:textId="77777777">
            <w:pPr>
              <w:pStyle w:val="EQRTableText"/>
            </w:pPr>
            <w:r w:rsidRPr="00990D3B">
              <w:t> </w:t>
            </w:r>
          </w:p>
        </w:tc>
      </w:tr>
      <w:tr w14:paraId="43474938" w14:textId="77777777" w:rsidTr="00BD1FC3">
        <w:tblPrEx>
          <w:tblW w:w="5000" w:type="pct"/>
          <w:tblLook w:val="04A0"/>
        </w:tblPrEx>
        <w:trPr>
          <w:cantSplit/>
        </w:trPr>
        <w:tc>
          <w:tcPr>
            <w:tcW w:w="3533" w:type="dxa"/>
          </w:tcPr>
          <w:p w:rsidR="00F931A4" w:rsidRPr="00990D3B" w:rsidP="002404DD" w14:paraId="4823019C" w14:textId="77777777">
            <w:pPr>
              <w:pStyle w:val="EQRTableText"/>
              <w:keepNext/>
              <w:rPr>
                <w:b/>
              </w:rPr>
            </w:pPr>
            <w:r w:rsidRPr="00990D3B">
              <w:rPr>
                <w:b/>
              </w:rPr>
              <w:t>Denominator:</w:t>
            </w:r>
          </w:p>
        </w:tc>
        <w:tc>
          <w:tcPr>
            <w:tcW w:w="1317" w:type="dxa"/>
            <w:shd w:val="clear" w:color="auto" w:fill="BFBFBF" w:themeFill="background1" w:themeFillShade="BF"/>
          </w:tcPr>
          <w:p w:rsidR="00F931A4" w:rsidRPr="00990D3B" w:rsidP="002404DD" w14:paraId="0201A587" w14:textId="77777777">
            <w:pPr>
              <w:pStyle w:val="EQRTableText"/>
            </w:pPr>
            <w:r w:rsidRPr="00990D3B">
              <w:t> </w:t>
            </w:r>
          </w:p>
        </w:tc>
        <w:tc>
          <w:tcPr>
            <w:tcW w:w="782" w:type="dxa"/>
            <w:shd w:val="clear" w:color="auto" w:fill="BFBFBF" w:themeFill="background1" w:themeFillShade="BF"/>
          </w:tcPr>
          <w:p w:rsidR="00F931A4" w:rsidRPr="00990D3B" w:rsidP="002404DD" w14:paraId="1437D615" w14:textId="77777777">
            <w:pPr>
              <w:pStyle w:val="EQRTableText"/>
            </w:pPr>
            <w:r w:rsidRPr="00990D3B">
              <w:t> </w:t>
            </w:r>
          </w:p>
        </w:tc>
        <w:tc>
          <w:tcPr>
            <w:tcW w:w="647" w:type="dxa"/>
            <w:shd w:val="clear" w:color="auto" w:fill="BFBFBF" w:themeFill="background1" w:themeFillShade="BF"/>
          </w:tcPr>
          <w:p w:rsidR="00F931A4" w:rsidRPr="00990D3B" w:rsidP="002404DD" w14:paraId="3D1C9349" w14:textId="77777777">
            <w:pPr>
              <w:pStyle w:val="EQRTableText"/>
            </w:pPr>
            <w:r w:rsidRPr="00990D3B">
              <w:t> </w:t>
            </w:r>
          </w:p>
        </w:tc>
        <w:tc>
          <w:tcPr>
            <w:tcW w:w="736" w:type="dxa"/>
            <w:shd w:val="clear" w:color="auto" w:fill="BFBFBF" w:themeFill="background1" w:themeFillShade="BF"/>
          </w:tcPr>
          <w:p w:rsidR="00F931A4" w:rsidRPr="00990D3B" w:rsidP="002404DD" w14:paraId="0C4B3615" w14:textId="77777777">
            <w:pPr>
              <w:pStyle w:val="EQRTableText"/>
            </w:pPr>
            <w:r w:rsidRPr="00990D3B">
              <w:t> </w:t>
            </w:r>
          </w:p>
        </w:tc>
        <w:tc>
          <w:tcPr>
            <w:tcW w:w="2335" w:type="dxa"/>
            <w:shd w:val="clear" w:color="auto" w:fill="BFBFBF" w:themeFill="background1" w:themeFillShade="BF"/>
          </w:tcPr>
          <w:p w:rsidR="00F931A4" w:rsidRPr="00990D3B" w:rsidP="002404DD" w14:paraId="3C667FF2" w14:textId="77777777">
            <w:pPr>
              <w:pStyle w:val="EQRTableText"/>
            </w:pPr>
            <w:r w:rsidRPr="00990D3B">
              <w:t> </w:t>
            </w:r>
          </w:p>
        </w:tc>
      </w:tr>
      <w:tr w14:paraId="472F60B3" w14:textId="77777777" w:rsidTr="00BD1FC3">
        <w:tblPrEx>
          <w:tblW w:w="5000" w:type="pct"/>
          <w:tblLook w:val="04A0"/>
        </w:tblPrEx>
        <w:trPr>
          <w:cantSplit/>
        </w:trPr>
        <w:tc>
          <w:tcPr>
            <w:tcW w:w="3533" w:type="dxa"/>
          </w:tcPr>
          <w:p w:rsidR="00F931A4" w:rsidRPr="00990D3B" w:rsidP="002404DD" w14:paraId="20D0CF2C" w14:textId="3F72663F">
            <w:pPr>
              <w:pStyle w:val="EQRTableText"/>
            </w:pPr>
            <w:r w:rsidRPr="00990D3B">
              <w:t xml:space="preserve">Were all the data sources used to calculate the denominator complete and accurate (e.g., eligibility files, claims files/encounter data, medical records, provider files, pharmacy records, including those for </w:t>
            </w:r>
            <w:r w:rsidRPr="00990D3B" w:rsidR="00727834">
              <w:t>enrollees</w:t>
            </w:r>
            <w:r w:rsidRPr="00990D3B">
              <w:t xml:space="preserve"> who received services outside the MCP’s network)?</w:t>
            </w:r>
          </w:p>
        </w:tc>
        <w:tc>
          <w:tcPr>
            <w:tcW w:w="1317" w:type="dxa"/>
          </w:tcPr>
          <w:p w:rsidR="00F931A4" w:rsidRPr="00990D3B" w:rsidP="002404DD" w14:paraId="05A89F0F" w14:textId="77777777">
            <w:pPr>
              <w:pStyle w:val="EQRTableText"/>
            </w:pPr>
            <w:r w:rsidRPr="00990D3B">
              <w:t> </w:t>
            </w:r>
          </w:p>
        </w:tc>
        <w:tc>
          <w:tcPr>
            <w:tcW w:w="782" w:type="dxa"/>
          </w:tcPr>
          <w:p w:rsidR="00F931A4" w:rsidRPr="00990D3B" w:rsidP="002404DD" w14:paraId="30EAAE49" w14:textId="77777777">
            <w:pPr>
              <w:pStyle w:val="EQRTableText"/>
            </w:pPr>
            <w:r w:rsidRPr="00990D3B">
              <w:t> </w:t>
            </w:r>
          </w:p>
        </w:tc>
        <w:tc>
          <w:tcPr>
            <w:tcW w:w="647" w:type="dxa"/>
          </w:tcPr>
          <w:p w:rsidR="00F931A4" w:rsidRPr="00990D3B" w:rsidP="002404DD" w14:paraId="362CE3F6" w14:textId="77777777">
            <w:pPr>
              <w:pStyle w:val="EQRTableText"/>
            </w:pPr>
            <w:r w:rsidRPr="00990D3B">
              <w:t> </w:t>
            </w:r>
          </w:p>
        </w:tc>
        <w:tc>
          <w:tcPr>
            <w:tcW w:w="736" w:type="dxa"/>
          </w:tcPr>
          <w:p w:rsidR="00F931A4" w:rsidRPr="00990D3B" w:rsidP="002404DD" w14:paraId="73322C1B" w14:textId="77777777">
            <w:pPr>
              <w:pStyle w:val="EQRTableText"/>
            </w:pPr>
            <w:r w:rsidRPr="00990D3B">
              <w:t> </w:t>
            </w:r>
          </w:p>
        </w:tc>
        <w:tc>
          <w:tcPr>
            <w:tcW w:w="2335" w:type="dxa"/>
          </w:tcPr>
          <w:p w:rsidR="00F931A4" w:rsidRPr="00990D3B" w:rsidP="002404DD" w14:paraId="66D2FC8B" w14:textId="77777777">
            <w:pPr>
              <w:pStyle w:val="EQRTableText"/>
            </w:pPr>
            <w:r w:rsidRPr="00990D3B">
              <w:t> </w:t>
            </w:r>
          </w:p>
        </w:tc>
      </w:tr>
      <w:tr w14:paraId="5ACB3075" w14:textId="77777777" w:rsidTr="00BD1FC3">
        <w:tblPrEx>
          <w:tblW w:w="5000" w:type="pct"/>
          <w:tblLook w:val="04A0"/>
        </w:tblPrEx>
        <w:trPr>
          <w:cantSplit/>
        </w:trPr>
        <w:tc>
          <w:tcPr>
            <w:tcW w:w="3533" w:type="dxa"/>
          </w:tcPr>
          <w:p w:rsidR="00F931A4" w:rsidRPr="00990D3B" w:rsidP="002404DD" w14:paraId="7F9D84B2" w14:textId="750C1054">
            <w:pPr>
              <w:pStyle w:val="EQRTableText"/>
            </w:pPr>
            <w:r w:rsidRPr="00990D3B">
              <w:t xml:space="preserve">Did the calculation of the performance measure adhere to the specifications for all components of the denominator (e.g., </w:t>
            </w:r>
            <w:r w:rsidRPr="00990D3B" w:rsidR="002F4DD4">
              <w:t>enrollee</w:t>
            </w:r>
            <w:r w:rsidRPr="00990D3B">
              <w:t xml:space="preserve"> ID, age, sex, continuous enrollment, clinical codes such as ICD-10, CPT</w:t>
            </w:r>
            <w:r w:rsidRPr="00990D3B">
              <w:rPr>
                <w:rFonts w:cs="Arial"/>
              </w:rPr>
              <w:t>®</w:t>
            </w:r>
            <w:r w:rsidRPr="00990D3B" w:rsidR="003162DF">
              <w:rPr>
                <w:rFonts w:ascii="ZWAdobeF" w:hAnsi="ZWAdobeF" w:cs="ZWAdobeF"/>
                <w:sz w:val="2"/>
                <w:szCs w:val="2"/>
              </w:rPr>
              <w:t>50F</w:t>
            </w:r>
            <w:r>
              <w:rPr>
                <w:rStyle w:val="FootnoteReference"/>
                <w:rFonts w:cs="Arial"/>
              </w:rPr>
              <w:footnoteReference w:id="56"/>
            </w:r>
            <w:r w:rsidRPr="00990D3B">
              <w:t>, DRGs, member months/member years, and adherence to the measurement period)?</w:t>
            </w:r>
          </w:p>
        </w:tc>
        <w:tc>
          <w:tcPr>
            <w:tcW w:w="1317" w:type="dxa"/>
          </w:tcPr>
          <w:p w:rsidR="00F931A4" w:rsidRPr="00990D3B" w:rsidP="002404DD" w14:paraId="58F8A06A" w14:textId="77777777">
            <w:pPr>
              <w:pStyle w:val="EQRTableText"/>
            </w:pPr>
            <w:r w:rsidRPr="00990D3B">
              <w:t> </w:t>
            </w:r>
          </w:p>
        </w:tc>
        <w:tc>
          <w:tcPr>
            <w:tcW w:w="782" w:type="dxa"/>
            <w:tcBorders>
              <w:bottom w:val="single" w:sz="4" w:space="0" w:color="000000" w:themeColor="text1"/>
            </w:tcBorders>
          </w:tcPr>
          <w:p w:rsidR="00F931A4" w:rsidRPr="00990D3B" w:rsidP="002404DD" w14:paraId="552EF72C" w14:textId="77777777">
            <w:pPr>
              <w:pStyle w:val="EQRTableText"/>
            </w:pPr>
            <w:r w:rsidRPr="00990D3B">
              <w:t> </w:t>
            </w:r>
          </w:p>
        </w:tc>
        <w:tc>
          <w:tcPr>
            <w:tcW w:w="647" w:type="dxa"/>
            <w:tcBorders>
              <w:bottom w:val="single" w:sz="4" w:space="0" w:color="000000" w:themeColor="text1"/>
            </w:tcBorders>
          </w:tcPr>
          <w:p w:rsidR="00F931A4" w:rsidRPr="00990D3B" w:rsidP="002404DD" w14:paraId="05CD25B6" w14:textId="77777777">
            <w:pPr>
              <w:pStyle w:val="EQRTableText"/>
            </w:pPr>
            <w:r w:rsidRPr="00990D3B">
              <w:t> </w:t>
            </w:r>
          </w:p>
        </w:tc>
        <w:tc>
          <w:tcPr>
            <w:tcW w:w="736" w:type="dxa"/>
            <w:tcBorders>
              <w:bottom w:val="single" w:sz="4" w:space="0" w:color="000000" w:themeColor="text1"/>
            </w:tcBorders>
          </w:tcPr>
          <w:p w:rsidR="00F931A4" w:rsidRPr="00990D3B" w:rsidP="002404DD" w14:paraId="2A2C589D" w14:textId="77777777">
            <w:pPr>
              <w:pStyle w:val="EQRTableText"/>
            </w:pPr>
            <w:r w:rsidRPr="00990D3B">
              <w:t> </w:t>
            </w:r>
          </w:p>
        </w:tc>
        <w:tc>
          <w:tcPr>
            <w:tcW w:w="2335" w:type="dxa"/>
          </w:tcPr>
          <w:p w:rsidR="00F931A4" w:rsidRPr="00990D3B" w:rsidP="002404DD" w14:paraId="025039EF" w14:textId="77777777">
            <w:pPr>
              <w:pStyle w:val="EQRTableText"/>
            </w:pPr>
            <w:r w:rsidRPr="00990D3B">
              <w:t> </w:t>
            </w:r>
          </w:p>
        </w:tc>
      </w:tr>
      <w:tr w14:paraId="38332B13" w14:textId="77777777" w:rsidTr="00BD1FC3">
        <w:tblPrEx>
          <w:tblW w:w="5000" w:type="pct"/>
          <w:tblLook w:val="04A0"/>
        </w:tblPrEx>
        <w:trPr>
          <w:cantSplit/>
        </w:trPr>
        <w:tc>
          <w:tcPr>
            <w:tcW w:w="3533" w:type="dxa"/>
          </w:tcPr>
          <w:p w:rsidR="00F931A4" w:rsidRPr="00990D3B" w:rsidP="002404DD" w14:paraId="400EDFE8" w14:textId="77777777">
            <w:pPr>
              <w:pStyle w:val="EQRTableText"/>
              <w:keepNext/>
              <w:rPr>
                <w:b/>
              </w:rPr>
            </w:pPr>
            <w:r w:rsidRPr="00990D3B">
              <w:rPr>
                <w:b/>
              </w:rPr>
              <w:t xml:space="preserve">Numerator: </w:t>
            </w:r>
          </w:p>
        </w:tc>
        <w:tc>
          <w:tcPr>
            <w:tcW w:w="1317" w:type="dxa"/>
            <w:shd w:val="clear" w:color="auto" w:fill="BFBFBF" w:themeFill="background1" w:themeFillShade="BF"/>
          </w:tcPr>
          <w:p w:rsidR="00F931A4" w:rsidRPr="00990D3B" w:rsidP="002404DD" w14:paraId="15B0AB3D" w14:textId="77777777">
            <w:pPr>
              <w:pStyle w:val="EQRTableText"/>
            </w:pPr>
            <w:r w:rsidRPr="00990D3B">
              <w:t> </w:t>
            </w:r>
          </w:p>
        </w:tc>
        <w:tc>
          <w:tcPr>
            <w:tcW w:w="782" w:type="dxa"/>
            <w:shd w:val="clear" w:color="auto" w:fill="BFBFBF" w:themeFill="background1" w:themeFillShade="BF"/>
          </w:tcPr>
          <w:p w:rsidR="00F931A4" w:rsidRPr="00990D3B" w:rsidP="002404DD" w14:paraId="35A6027A" w14:textId="77777777">
            <w:pPr>
              <w:pStyle w:val="EQRTableText"/>
            </w:pPr>
            <w:r w:rsidRPr="00990D3B">
              <w:t> </w:t>
            </w:r>
          </w:p>
        </w:tc>
        <w:tc>
          <w:tcPr>
            <w:tcW w:w="647" w:type="dxa"/>
            <w:shd w:val="clear" w:color="auto" w:fill="BFBFBF" w:themeFill="background1" w:themeFillShade="BF"/>
          </w:tcPr>
          <w:p w:rsidR="00F931A4" w:rsidRPr="00990D3B" w:rsidP="002404DD" w14:paraId="3CB9C874" w14:textId="77777777">
            <w:pPr>
              <w:pStyle w:val="EQRTableText"/>
            </w:pPr>
            <w:r w:rsidRPr="00990D3B">
              <w:t> </w:t>
            </w:r>
          </w:p>
        </w:tc>
        <w:tc>
          <w:tcPr>
            <w:tcW w:w="736" w:type="dxa"/>
            <w:shd w:val="clear" w:color="auto" w:fill="BFBFBF" w:themeFill="background1" w:themeFillShade="BF"/>
          </w:tcPr>
          <w:p w:rsidR="00F931A4" w:rsidRPr="00990D3B" w:rsidP="002404DD" w14:paraId="3E4BE494" w14:textId="77777777">
            <w:pPr>
              <w:pStyle w:val="EQRTableText"/>
            </w:pPr>
            <w:r w:rsidRPr="00990D3B">
              <w:t> </w:t>
            </w:r>
          </w:p>
        </w:tc>
        <w:tc>
          <w:tcPr>
            <w:tcW w:w="2335" w:type="dxa"/>
            <w:shd w:val="clear" w:color="auto" w:fill="BFBFBF" w:themeFill="background1" w:themeFillShade="BF"/>
          </w:tcPr>
          <w:p w:rsidR="00F931A4" w:rsidRPr="00990D3B" w:rsidP="002404DD" w14:paraId="008CE4D3" w14:textId="77777777">
            <w:pPr>
              <w:pStyle w:val="EQRTableText"/>
            </w:pPr>
            <w:r w:rsidRPr="00990D3B">
              <w:t> </w:t>
            </w:r>
          </w:p>
        </w:tc>
      </w:tr>
      <w:tr w14:paraId="378F0EB9" w14:textId="77777777" w:rsidTr="00BD1FC3">
        <w:tblPrEx>
          <w:tblW w:w="5000" w:type="pct"/>
          <w:tblLook w:val="04A0"/>
        </w:tblPrEx>
        <w:trPr>
          <w:cantSplit/>
        </w:trPr>
        <w:tc>
          <w:tcPr>
            <w:tcW w:w="3533" w:type="dxa"/>
          </w:tcPr>
          <w:p w:rsidR="00F931A4" w:rsidRPr="00990D3B" w:rsidP="002404DD" w14:paraId="1E084921" w14:textId="6ADB5C4D">
            <w:pPr>
              <w:pStyle w:val="EQRTableText"/>
            </w:pPr>
            <w:r w:rsidRPr="00990D3B">
              <w:t xml:space="preserve">Were the data sources used to calculate the numerator complete and accurate (e.g., claims files, medical records, provider files, pharmacy records, including those for </w:t>
            </w:r>
            <w:r w:rsidRPr="00990D3B" w:rsidR="006266C5">
              <w:t>enrollees</w:t>
            </w:r>
            <w:r w:rsidRPr="00990D3B">
              <w:t xml:space="preserve"> who received services outside the MCP’s network)?</w:t>
            </w:r>
          </w:p>
        </w:tc>
        <w:tc>
          <w:tcPr>
            <w:tcW w:w="1317" w:type="dxa"/>
          </w:tcPr>
          <w:p w:rsidR="00F931A4" w:rsidRPr="00990D3B" w:rsidP="002404DD" w14:paraId="3EEA3208" w14:textId="77777777">
            <w:pPr>
              <w:pStyle w:val="EQRTableText"/>
            </w:pPr>
            <w:r w:rsidRPr="00990D3B">
              <w:t> </w:t>
            </w:r>
          </w:p>
        </w:tc>
        <w:tc>
          <w:tcPr>
            <w:tcW w:w="782" w:type="dxa"/>
          </w:tcPr>
          <w:p w:rsidR="00F931A4" w:rsidRPr="00990D3B" w:rsidP="002404DD" w14:paraId="398E3BD7" w14:textId="77777777">
            <w:pPr>
              <w:pStyle w:val="EQRTableText"/>
            </w:pPr>
            <w:r w:rsidRPr="00990D3B">
              <w:t> </w:t>
            </w:r>
          </w:p>
        </w:tc>
        <w:tc>
          <w:tcPr>
            <w:tcW w:w="647" w:type="dxa"/>
          </w:tcPr>
          <w:p w:rsidR="00F931A4" w:rsidRPr="00990D3B" w:rsidP="002404DD" w14:paraId="209A8644" w14:textId="77777777">
            <w:pPr>
              <w:pStyle w:val="EQRTableText"/>
            </w:pPr>
            <w:r w:rsidRPr="00990D3B">
              <w:t> </w:t>
            </w:r>
          </w:p>
        </w:tc>
        <w:tc>
          <w:tcPr>
            <w:tcW w:w="736" w:type="dxa"/>
          </w:tcPr>
          <w:p w:rsidR="00F931A4" w:rsidRPr="00990D3B" w:rsidP="002404DD" w14:paraId="631DAC67" w14:textId="77777777">
            <w:pPr>
              <w:pStyle w:val="EQRTableText"/>
            </w:pPr>
            <w:r w:rsidRPr="00990D3B">
              <w:t> </w:t>
            </w:r>
          </w:p>
        </w:tc>
        <w:tc>
          <w:tcPr>
            <w:tcW w:w="2335" w:type="dxa"/>
          </w:tcPr>
          <w:p w:rsidR="00F931A4" w:rsidRPr="00990D3B" w:rsidP="002404DD" w14:paraId="046BD31F" w14:textId="77777777">
            <w:pPr>
              <w:pStyle w:val="EQRTableText"/>
            </w:pPr>
            <w:r w:rsidRPr="00990D3B">
              <w:t> </w:t>
            </w:r>
          </w:p>
        </w:tc>
      </w:tr>
      <w:tr w14:paraId="51559388" w14:textId="77777777" w:rsidTr="00BD1FC3">
        <w:tblPrEx>
          <w:tblW w:w="5000" w:type="pct"/>
          <w:tblLook w:val="04A0"/>
        </w:tblPrEx>
        <w:trPr>
          <w:cantSplit/>
        </w:trPr>
        <w:tc>
          <w:tcPr>
            <w:tcW w:w="3533" w:type="dxa"/>
          </w:tcPr>
          <w:p w:rsidR="00F931A4" w:rsidRPr="00990D3B" w:rsidP="002404DD" w14:paraId="0634AD78" w14:textId="7C70E47D">
            <w:pPr>
              <w:pStyle w:val="EQRTableText"/>
            </w:pPr>
            <w:r w:rsidRPr="00990D3B">
              <w:t xml:space="preserve">Did the calculation of the performance measure adhere to the specifications for all components of the numerator (e.g., </w:t>
            </w:r>
            <w:r w:rsidRPr="00990D3B" w:rsidR="002F4DD4">
              <w:t>enrollee</w:t>
            </w:r>
            <w:r w:rsidRPr="00990D3B">
              <w:t xml:space="preserve"> ID, clinical codes such as ICD-10, CPT</w:t>
            </w:r>
            <w:r w:rsidRPr="00990D3B">
              <w:rPr>
                <w:rFonts w:cs="Arial"/>
              </w:rPr>
              <w:t>®</w:t>
            </w:r>
            <w:r w:rsidRPr="00990D3B">
              <w:t>, LOINC, DRGs, pharmacy data, relevant time parameters such as admission/discharge dates or treatment start and stop dates, adherence to the measurement period, number or type of provider)?</w:t>
            </w:r>
          </w:p>
        </w:tc>
        <w:tc>
          <w:tcPr>
            <w:tcW w:w="1317" w:type="dxa"/>
          </w:tcPr>
          <w:p w:rsidR="00F931A4" w:rsidRPr="00990D3B" w:rsidP="002404DD" w14:paraId="2DEF9B67" w14:textId="77777777">
            <w:pPr>
              <w:pStyle w:val="EQRTableText"/>
            </w:pPr>
            <w:r w:rsidRPr="00990D3B">
              <w:t> </w:t>
            </w:r>
          </w:p>
        </w:tc>
        <w:tc>
          <w:tcPr>
            <w:tcW w:w="782" w:type="dxa"/>
          </w:tcPr>
          <w:p w:rsidR="00F931A4" w:rsidRPr="00990D3B" w:rsidP="002404DD" w14:paraId="5C298AD8" w14:textId="77777777">
            <w:pPr>
              <w:pStyle w:val="EQRTableText"/>
            </w:pPr>
            <w:r w:rsidRPr="00990D3B">
              <w:t> </w:t>
            </w:r>
          </w:p>
        </w:tc>
        <w:tc>
          <w:tcPr>
            <w:tcW w:w="647" w:type="dxa"/>
          </w:tcPr>
          <w:p w:rsidR="00F931A4" w:rsidRPr="00990D3B" w:rsidP="002404DD" w14:paraId="40C064CC" w14:textId="77777777">
            <w:pPr>
              <w:pStyle w:val="EQRTableText"/>
            </w:pPr>
            <w:r w:rsidRPr="00990D3B">
              <w:t> </w:t>
            </w:r>
          </w:p>
        </w:tc>
        <w:tc>
          <w:tcPr>
            <w:tcW w:w="736" w:type="dxa"/>
          </w:tcPr>
          <w:p w:rsidR="00F931A4" w:rsidRPr="00990D3B" w:rsidP="002404DD" w14:paraId="2FE7C844" w14:textId="77777777">
            <w:pPr>
              <w:pStyle w:val="EQRTableText"/>
            </w:pPr>
            <w:r w:rsidRPr="00990D3B">
              <w:t> </w:t>
            </w:r>
          </w:p>
        </w:tc>
        <w:tc>
          <w:tcPr>
            <w:tcW w:w="2335" w:type="dxa"/>
          </w:tcPr>
          <w:p w:rsidR="00F931A4" w:rsidRPr="00990D3B" w:rsidP="002404DD" w14:paraId="69FAB097" w14:textId="77777777">
            <w:pPr>
              <w:pStyle w:val="EQRTableText"/>
            </w:pPr>
            <w:r w:rsidRPr="00990D3B">
              <w:t> </w:t>
            </w:r>
          </w:p>
        </w:tc>
      </w:tr>
      <w:tr w14:paraId="093DFF1A" w14:textId="77777777" w:rsidTr="00BD1FC3">
        <w:tblPrEx>
          <w:tblW w:w="5000" w:type="pct"/>
          <w:tblLook w:val="04A0"/>
        </w:tblPrEx>
        <w:trPr>
          <w:cantSplit/>
        </w:trPr>
        <w:tc>
          <w:tcPr>
            <w:tcW w:w="3533" w:type="dxa"/>
          </w:tcPr>
          <w:p w:rsidR="00F931A4" w:rsidRPr="00990D3B" w:rsidP="002404DD" w14:paraId="5B0999DA" w14:textId="77777777">
            <w:pPr>
              <w:pStyle w:val="EQRTableText"/>
            </w:pPr>
            <w:r w:rsidRPr="00990D3B">
              <w:t>If medical record abstraction was used, were the abstraction tools adequate?</w:t>
            </w:r>
          </w:p>
        </w:tc>
        <w:tc>
          <w:tcPr>
            <w:tcW w:w="1317" w:type="dxa"/>
          </w:tcPr>
          <w:p w:rsidR="00F931A4" w:rsidRPr="00990D3B" w:rsidP="002404DD" w14:paraId="1A602B0C" w14:textId="77777777">
            <w:pPr>
              <w:pStyle w:val="EQRTableText"/>
            </w:pPr>
            <w:r w:rsidRPr="00990D3B">
              <w:t> </w:t>
            </w:r>
          </w:p>
        </w:tc>
        <w:tc>
          <w:tcPr>
            <w:tcW w:w="782" w:type="dxa"/>
          </w:tcPr>
          <w:p w:rsidR="00F931A4" w:rsidRPr="00990D3B" w:rsidP="002404DD" w14:paraId="76601F95" w14:textId="77777777">
            <w:pPr>
              <w:pStyle w:val="EQRTableText"/>
            </w:pPr>
            <w:r w:rsidRPr="00990D3B">
              <w:t> </w:t>
            </w:r>
          </w:p>
        </w:tc>
        <w:tc>
          <w:tcPr>
            <w:tcW w:w="647" w:type="dxa"/>
          </w:tcPr>
          <w:p w:rsidR="00F931A4" w:rsidRPr="00990D3B" w:rsidP="002404DD" w14:paraId="60A8881E" w14:textId="77777777">
            <w:pPr>
              <w:pStyle w:val="EQRTableText"/>
            </w:pPr>
            <w:r w:rsidRPr="00990D3B">
              <w:t> </w:t>
            </w:r>
          </w:p>
        </w:tc>
        <w:tc>
          <w:tcPr>
            <w:tcW w:w="736" w:type="dxa"/>
          </w:tcPr>
          <w:p w:rsidR="00F931A4" w:rsidRPr="00990D3B" w:rsidP="002404DD" w14:paraId="3C7AE3CE" w14:textId="77777777">
            <w:pPr>
              <w:pStyle w:val="EQRTableText"/>
            </w:pPr>
            <w:r w:rsidRPr="00990D3B">
              <w:t> </w:t>
            </w:r>
          </w:p>
        </w:tc>
        <w:tc>
          <w:tcPr>
            <w:tcW w:w="2335" w:type="dxa"/>
          </w:tcPr>
          <w:p w:rsidR="00F931A4" w:rsidRPr="00990D3B" w:rsidP="002404DD" w14:paraId="518227CF" w14:textId="77777777">
            <w:pPr>
              <w:pStyle w:val="EQRTableText"/>
            </w:pPr>
            <w:r w:rsidRPr="00990D3B">
              <w:t> </w:t>
            </w:r>
          </w:p>
        </w:tc>
      </w:tr>
      <w:tr w14:paraId="112F7775" w14:textId="77777777" w:rsidTr="00BD1FC3">
        <w:tblPrEx>
          <w:tblW w:w="5000" w:type="pct"/>
          <w:tblLook w:val="04A0"/>
        </w:tblPrEx>
        <w:trPr>
          <w:cantSplit/>
        </w:trPr>
        <w:tc>
          <w:tcPr>
            <w:tcW w:w="3533" w:type="dxa"/>
          </w:tcPr>
          <w:p w:rsidR="00F931A4" w:rsidRPr="00990D3B" w:rsidP="002404DD" w14:paraId="2A704630" w14:textId="77777777">
            <w:pPr>
              <w:pStyle w:val="EQRTableText"/>
            </w:pPr>
            <w:r w:rsidRPr="00990D3B">
              <w:t>If the hybrid method was used, was the integration of administrative and medical record data adequate?</w:t>
            </w:r>
          </w:p>
        </w:tc>
        <w:tc>
          <w:tcPr>
            <w:tcW w:w="1317" w:type="dxa"/>
          </w:tcPr>
          <w:p w:rsidR="00F931A4" w:rsidRPr="00990D3B" w:rsidP="002404DD" w14:paraId="30416CB1" w14:textId="77777777">
            <w:pPr>
              <w:pStyle w:val="EQRTableText"/>
            </w:pPr>
            <w:r w:rsidRPr="00990D3B">
              <w:t> </w:t>
            </w:r>
          </w:p>
        </w:tc>
        <w:tc>
          <w:tcPr>
            <w:tcW w:w="782" w:type="dxa"/>
          </w:tcPr>
          <w:p w:rsidR="00F931A4" w:rsidRPr="00990D3B" w:rsidP="002404DD" w14:paraId="58F38031" w14:textId="77777777">
            <w:pPr>
              <w:pStyle w:val="EQRTableText"/>
            </w:pPr>
            <w:r w:rsidRPr="00990D3B">
              <w:t> </w:t>
            </w:r>
          </w:p>
        </w:tc>
        <w:tc>
          <w:tcPr>
            <w:tcW w:w="647" w:type="dxa"/>
          </w:tcPr>
          <w:p w:rsidR="00F931A4" w:rsidRPr="00990D3B" w:rsidP="002404DD" w14:paraId="1089B2FE" w14:textId="77777777">
            <w:pPr>
              <w:pStyle w:val="EQRTableText"/>
            </w:pPr>
            <w:r w:rsidRPr="00990D3B">
              <w:t> </w:t>
            </w:r>
          </w:p>
        </w:tc>
        <w:tc>
          <w:tcPr>
            <w:tcW w:w="736" w:type="dxa"/>
          </w:tcPr>
          <w:p w:rsidR="00F931A4" w:rsidRPr="00990D3B" w:rsidP="002404DD" w14:paraId="0DA46FED" w14:textId="77777777">
            <w:pPr>
              <w:pStyle w:val="EQRTableText"/>
            </w:pPr>
            <w:r w:rsidRPr="00990D3B">
              <w:t> </w:t>
            </w:r>
          </w:p>
        </w:tc>
        <w:tc>
          <w:tcPr>
            <w:tcW w:w="2335" w:type="dxa"/>
          </w:tcPr>
          <w:p w:rsidR="00F931A4" w:rsidRPr="00990D3B" w:rsidP="002404DD" w14:paraId="78668CAB" w14:textId="77777777">
            <w:pPr>
              <w:pStyle w:val="EQRTableText"/>
            </w:pPr>
            <w:r w:rsidRPr="00990D3B">
              <w:t> </w:t>
            </w:r>
          </w:p>
        </w:tc>
      </w:tr>
      <w:tr w14:paraId="45E19586" w14:textId="77777777" w:rsidTr="00BD1FC3">
        <w:tblPrEx>
          <w:tblW w:w="5000" w:type="pct"/>
          <w:tblLook w:val="04A0"/>
        </w:tblPrEx>
        <w:trPr>
          <w:cantSplit/>
        </w:trPr>
        <w:tc>
          <w:tcPr>
            <w:tcW w:w="3533" w:type="dxa"/>
          </w:tcPr>
          <w:p w:rsidR="00F931A4" w:rsidRPr="00990D3B" w:rsidP="002404DD" w14:paraId="65067661" w14:textId="77777777">
            <w:pPr>
              <w:pStyle w:val="EQRTableText"/>
            </w:pPr>
            <w:r w:rsidRPr="00990D3B">
              <w:t>If the hybrid method or medical record review was used, did the results of the medical record review validation substantiate the reported numerator?</w:t>
            </w:r>
          </w:p>
        </w:tc>
        <w:tc>
          <w:tcPr>
            <w:tcW w:w="1317" w:type="dxa"/>
          </w:tcPr>
          <w:p w:rsidR="00F931A4" w:rsidRPr="00990D3B" w:rsidP="002404DD" w14:paraId="43F84DE4" w14:textId="77777777">
            <w:pPr>
              <w:pStyle w:val="EQRTableText"/>
            </w:pPr>
            <w:r w:rsidRPr="00990D3B">
              <w:t> </w:t>
            </w:r>
          </w:p>
        </w:tc>
        <w:tc>
          <w:tcPr>
            <w:tcW w:w="782" w:type="dxa"/>
            <w:tcBorders>
              <w:bottom w:val="single" w:sz="4" w:space="0" w:color="000000" w:themeColor="text1"/>
            </w:tcBorders>
          </w:tcPr>
          <w:p w:rsidR="00F931A4" w:rsidRPr="00990D3B" w:rsidP="002404DD" w14:paraId="27D0F7D3" w14:textId="77777777">
            <w:pPr>
              <w:pStyle w:val="EQRTableText"/>
            </w:pPr>
            <w:r w:rsidRPr="00990D3B">
              <w:t> </w:t>
            </w:r>
          </w:p>
        </w:tc>
        <w:tc>
          <w:tcPr>
            <w:tcW w:w="647" w:type="dxa"/>
            <w:tcBorders>
              <w:bottom w:val="single" w:sz="4" w:space="0" w:color="000000" w:themeColor="text1"/>
            </w:tcBorders>
          </w:tcPr>
          <w:p w:rsidR="00F931A4" w:rsidRPr="00990D3B" w:rsidP="002404DD" w14:paraId="16C024E2" w14:textId="77777777">
            <w:pPr>
              <w:pStyle w:val="EQRTableText"/>
            </w:pPr>
            <w:r w:rsidRPr="00990D3B">
              <w:t> </w:t>
            </w:r>
          </w:p>
        </w:tc>
        <w:tc>
          <w:tcPr>
            <w:tcW w:w="736" w:type="dxa"/>
            <w:tcBorders>
              <w:bottom w:val="single" w:sz="4" w:space="0" w:color="000000" w:themeColor="text1"/>
            </w:tcBorders>
          </w:tcPr>
          <w:p w:rsidR="00F931A4" w:rsidRPr="00990D3B" w:rsidP="002404DD" w14:paraId="6453B3A9" w14:textId="77777777">
            <w:pPr>
              <w:pStyle w:val="EQRTableText"/>
            </w:pPr>
            <w:r w:rsidRPr="00990D3B">
              <w:t> </w:t>
            </w:r>
          </w:p>
        </w:tc>
        <w:tc>
          <w:tcPr>
            <w:tcW w:w="2335" w:type="dxa"/>
          </w:tcPr>
          <w:p w:rsidR="00F931A4" w:rsidRPr="00990D3B" w:rsidP="002404DD" w14:paraId="7A20581F" w14:textId="77777777">
            <w:pPr>
              <w:pStyle w:val="EQRTableText"/>
            </w:pPr>
            <w:r w:rsidRPr="00990D3B">
              <w:t> </w:t>
            </w:r>
          </w:p>
        </w:tc>
      </w:tr>
      <w:tr w14:paraId="696D47AC" w14:textId="77777777" w:rsidTr="00BD1FC3">
        <w:tblPrEx>
          <w:tblW w:w="5000" w:type="pct"/>
          <w:tblLook w:val="04A0"/>
        </w:tblPrEx>
        <w:trPr>
          <w:cantSplit/>
        </w:trPr>
        <w:tc>
          <w:tcPr>
            <w:tcW w:w="3533" w:type="dxa"/>
          </w:tcPr>
          <w:p w:rsidR="00F931A4" w:rsidRPr="00990D3B" w:rsidP="002404DD" w14:paraId="7A31FDAF" w14:textId="77777777">
            <w:pPr>
              <w:pStyle w:val="EQRTableText"/>
              <w:keepNext/>
              <w:rPr>
                <w:b/>
              </w:rPr>
            </w:pPr>
            <w:r w:rsidRPr="00990D3B">
              <w:rPr>
                <w:b/>
              </w:rPr>
              <w:t xml:space="preserve">Sampling: </w:t>
            </w:r>
          </w:p>
        </w:tc>
        <w:tc>
          <w:tcPr>
            <w:tcW w:w="1317" w:type="dxa"/>
            <w:shd w:val="clear" w:color="auto" w:fill="BFBFBF" w:themeFill="background1" w:themeFillShade="BF"/>
          </w:tcPr>
          <w:p w:rsidR="00F931A4" w:rsidRPr="00990D3B" w:rsidP="002404DD" w14:paraId="6ADE11C4" w14:textId="77777777">
            <w:pPr>
              <w:pStyle w:val="EQRTableText"/>
            </w:pPr>
            <w:r w:rsidRPr="00990D3B">
              <w:t> </w:t>
            </w:r>
          </w:p>
        </w:tc>
        <w:tc>
          <w:tcPr>
            <w:tcW w:w="782" w:type="dxa"/>
            <w:shd w:val="clear" w:color="auto" w:fill="BFBFBF" w:themeFill="background1" w:themeFillShade="BF"/>
          </w:tcPr>
          <w:p w:rsidR="00F931A4" w:rsidRPr="00990D3B" w:rsidP="002404DD" w14:paraId="645C7B52" w14:textId="77777777">
            <w:pPr>
              <w:pStyle w:val="EQRTableText"/>
            </w:pPr>
            <w:r w:rsidRPr="00990D3B">
              <w:t> </w:t>
            </w:r>
          </w:p>
        </w:tc>
        <w:tc>
          <w:tcPr>
            <w:tcW w:w="647" w:type="dxa"/>
            <w:shd w:val="clear" w:color="auto" w:fill="BFBFBF" w:themeFill="background1" w:themeFillShade="BF"/>
          </w:tcPr>
          <w:p w:rsidR="00F931A4" w:rsidRPr="00990D3B" w:rsidP="002404DD" w14:paraId="4AF3E104" w14:textId="77777777">
            <w:pPr>
              <w:pStyle w:val="EQRTableText"/>
            </w:pPr>
            <w:r w:rsidRPr="00990D3B">
              <w:t> </w:t>
            </w:r>
          </w:p>
        </w:tc>
        <w:tc>
          <w:tcPr>
            <w:tcW w:w="736" w:type="dxa"/>
            <w:shd w:val="clear" w:color="auto" w:fill="BFBFBF" w:themeFill="background1" w:themeFillShade="BF"/>
          </w:tcPr>
          <w:p w:rsidR="00F931A4" w:rsidRPr="00990D3B" w:rsidP="002404DD" w14:paraId="090C2355" w14:textId="77777777">
            <w:pPr>
              <w:pStyle w:val="EQRTableText"/>
            </w:pPr>
            <w:r w:rsidRPr="00990D3B">
              <w:t> </w:t>
            </w:r>
          </w:p>
        </w:tc>
        <w:tc>
          <w:tcPr>
            <w:tcW w:w="2335" w:type="dxa"/>
            <w:shd w:val="clear" w:color="auto" w:fill="BFBFBF" w:themeFill="background1" w:themeFillShade="BF"/>
          </w:tcPr>
          <w:p w:rsidR="00F931A4" w:rsidRPr="00990D3B" w:rsidP="002404DD" w14:paraId="31B4354B" w14:textId="77777777">
            <w:pPr>
              <w:pStyle w:val="EQRTableText"/>
            </w:pPr>
            <w:r w:rsidRPr="00990D3B">
              <w:t> </w:t>
            </w:r>
          </w:p>
        </w:tc>
      </w:tr>
      <w:tr w14:paraId="18AE430E" w14:textId="77777777" w:rsidTr="00BD1FC3">
        <w:tblPrEx>
          <w:tblW w:w="5000" w:type="pct"/>
          <w:tblLook w:val="04A0"/>
        </w:tblPrEx>
        <w:trPr>
          <w:cantSplit/>
        </w:trPr>
        <w:tc>
          <w:tcPr>
            <w:tcW w:w="3533" w:type="dxa"/>
          </w:tcPr>
          <w:p w:rsidR="00F931A4" w:rsidRPr="00990D3B" w:rsidP="002404DD" w14:paraId="206391FD" w14:textId="77777777">
            <w:pPr>
              <w:pStyle w:val="EQRTableText"/>
            </w:pPr>
            <w:r w:rsidRPr="00990D3B">
              <w:t>Was the sample unbiased?</w:t>
            </w:r>
          </w:p>
        </w:tc>
        <w:tc>
          <w:tcPr>
            <w:tcW w:w="1317" w:type="dxa"/>
          </w:tcPr>
          <w:p w:rsidR="00F931A4" w:rsidRPr="00990D3B" w:rsidP="002404DD" w14:paraId="26E45E18" w14:textId="77777777">
            <w:pPr>
              <w:pStyle w:val="EQRTableText"/>
            </w:pPr>
            <w:r w:rsidRPr="00990D3B">
              <w:t> </w:t>
            </w:r>
          </w:p>
        </w:tc>
        <w:tc>
          <w:tcPr>
            <w:tcW w:w="782" w:type="dxa"/>
          </w:tcPr>
          <w:p w:rsidR="00F931A4" w:rsidRPr="00990D3B" w:rsidP="002404DD" w14:paraId="21FA87A0" w14:textId="77777777">
            <w:pPr>
              <w:pStyle w:val="EQRTableText"/>
            </w:pPr>
            <w:r w:rsidRPr="00990D3B">
              <w:t> </w:t>
            </w:r>
          </w:p>
        </w:tc>
        <w:tc>
          <w:tcPr>
            <w:tcW w:w="647" w:type="dxa"/>
          </w:tcPr>
          <w:p w:rsidR="00F931A4" w:rsidRPr="00990D3B" w:rsidP="002404DD" w14:paraId="2331D4DA" w14:textId="77777777">
            <w:pPr>
              <w:pStyle w:val="EQRTableText"/>
            </w:pPr>
            <w:r w:rsidRPr="00990D3B">
              <w:t> </w:t>
            </w:r>
          </w:p>
        </w:tc>
        <w:tc>
          <w:tcPr>
            <w:tcW w:w="736" w:type="dxa"/>
          </w:tcPr>
          <w:p w:rsidR="00F931A4" w:rsidRPr="00990D3B" w:rsidP="002404DD" w14:paraId="49BF6CDC" w14:textId="77777777">
            <w:pPr>
              <w:pStyle w:val="EQRTableText"/>
            </w:pPr>
            <w:r w:rsidRPr="00990D3B">
              <w:t> </w:t>
            </w:r>
          </w:p>
        </w:tc>
        <w:tc>
          <w:tcPr>
            <w:tcW w:w="2335" w:type="dxa"/>
          </w:tcPr>
          <w:p w:rsidR="00F931A4" w:rsidRPr="00990D3B" w:rsidP="002404DD" w14:paraId="4FC02091" w14:textId="77777777">
            <w:pPr>
              <w:pStyle w:val="EQRTableText"/>
            </w:pPr>
            <w:r w:rsidRPr="00990D3B">
              <w:t> </w:t>
            </w:r>
          </w:p>
        </w:tc>
      </w:tr>
      <w:tr w14:paraId="70F11AAF" w14:textId="77777777" w:rsidTr="00BD1FC3">
        <w:tblPrEx>
          <w:tblW w:w="5000" w:type="pct"/>
          <w:tblLook w:val="04A0"/>
        </w:tblPrEx>
        <w:trPr>
          <w:cantSplit/>
        </w:trPr>
        <w:tc>
          <w:tcPr>
            <w:tcW w:w="3533" w:type="dxa"/>
          </w:tcPr>
          <w:p w:rsidR="00F931A4" w:rsidRPr="00990D3B" w:rsidP="002404DD" w14:paraId="704F2488" w14:textId="77777777">
            <w:pPr>
              <w:pStyle w:val="EQRTableText"/>
            </w:pPr>
            <w:r w:rsidRPr="00990D3B">
              <w:t>Did the sample treat all measures independently?</w:t>
            </w:r>
          </w:p>
        </w:tc>
        <w:tc>
          <w:tcPr>
            <w:tcW w:w="1317" w:type="dxa"/>
          </w:tcPr>
          <w:p w:rsidR="00F931A4" w:rsidRPr="00990D3B" w:rsidP="002404DD" w14:paraId="27397B4E" w14:textId="77777777">
            <w:pPr>
              <w:pStyle w:val="EQRTableText"/>
            </w:pPr>
            <w:r w:rsidRPr="00990D3B">
              <w:t> </w:t>
            </w:r>
          </w:p>
        </w:tc>
        <w:tc>
          <w:tcPr>
            <w:tcW w:w="782" w:type="dxa"/>
          </w:tcPr>
          <w:p w:rsidR="00F931A4" w:rsidRPr="00990D3B" w:rsidP="002404DD" w14:paraId="633C2997" w14:textId="77777777">
            <w:pPr>
              <w:pStyle w:val="EQRTableText"/>
            </w:pPr>
            <w:r w:rsidRPr="00990D3B">
              <w:t> </w:t>
            </w:r>
          </w:p>
        </w:tc>
        <w:tc>
          <w:tcPr>
            <w:tcW w:w="647" w:type="dxa"/>
          </w:tcPr>
          <w:p w:rsidR="00F931A4" w:rsidRPr="00990D3B" w:rsidP="002404DD" w14:paraId="16145FEC" w14:textId="77777777">
            <w:pPr>
              <w:pStyle w:val="EQRTableText"/>
            </w:pPr>
            <w:r w:rsidRPr="00990D3B">
              <w:t> </w:t>
            </w:r>
          </w:p>
        </w:tc>
        <w:tc>
          <w:tcPr>
            <w:tcW w:w="736" w:type="dxa"/>
          </w:tcPr>
          <w:p w:rsidR="00F931A4" w:rsidRPr="00990D3B" w:rsidP="002404DD" w14:paraId="26B0A0F3" w14:textId="77777777">
            <w:pPr>
              <w:pStyle w:val="EQRTableText"/>
            </w:pPr>
            <w:r w:rsidRPr="00990D3B">
              <w:t> </w:t>
            </w:r>
          </w:p>
        </w:tc>
        <w:tc>
          <w:tcPr>
            <w:tcW w:w="2335" w:type="dxa"/>
          </w:tcPr>
          <w:p w:rsidR="00F931A4" w:rsidRPr="00990D3B" w:rsidP="002404DD" w14:paraId="611B574D" w14:textId="77777777">
            <w:pPr>
              <w:pStyle w:val="EQRTableText"/>
            </w:pPr>
            <w:r w:rsidRPr="00990D3B">
              <w:t> </w:t>
            </w:r>
          </w:p>
        </w:tc>
      </w:tr>
      <w:tr w14:paraId="5E8BE90B" w14:textId="77777777" w:rsidTr="00BD1FC3">
        <w:tblPrEx>
          <w:tblW w:w="5000" w:type="pct"/>
          <w:tblLook w:val="04A0"/>
        </w:tblPrEx>
        <w:trPr>
          <w:cantSplit/>
        </w:trPr>
        <w:tc>
          <w:tcPr>
            <w:tcW w:w="3533" w:type="dxa"/>
          </w:tcPr>
          <w:p w:rsidR="00F931A4" w:rsidRPr="00990D3B" w:rsidP="002404DD" w14:paraId="6C99931F" w14:textId="77777777">
            <w:pPr>
              <w:pStyle w:val="EQRTableText"/>
            </w:pPr>
            <w:r w:rsidRPr="00990D3B">
              <w:t>Did the sample size and replacement methodologies meet specifications?</w:t>
            </w:r>
          </w:p>
        </w:tc>
        <w:tc>
          <w:tcPr>
            <w:tcW w:w="1317" w:type="dxa"/>
          </w:tcPr>
          <w:p w:rsidR="00F931A4" w:rsidRPr="00990D3B" w:rsidP="002404DD" w14:paraId="5AAE0DA9" w14:textId="77777777">
            <w:pPr>
              <w:pStyle w:val="EQRTableText"/>
            </w:pPr>
            <w:r w:rsidRPr="00990D3B">
              <w:t> </w:t>
            </w:r>
          </w:p>
        </w:tc>
        <w:tc>
          <w:tcPr>
            <w:tcW w:w="782" w:type="dxa"/>
            <w:tcBorders>
              <w:bottom w:val="single" w:sz="4" w:space="0" w:color="000000" w:themeColor="text1"/>
            </w:tcBorders>
          </w:tcPr>
          <w:p w:rsidR="00F931A4" w:rsidRPr="00990D3B" w:rsidP="002404DD" w14:paraId="624F00E8" w14:textId="77777777">
            <w:pPr>
              <w:pStyle w:val="EQRTableText"/>
            </w:pPr>
            <w:r w:rsidRPr="00990D3B">
              <w:t> </w:t>
            </w:r>
          </w:p>
        </w:tc>
        <w:tc>
          <w:tcPr>
            <w:tcW w:w="647" w:type="dxa"/>
            <w:tcBorders>
              <w:bottom w:val="single" w:sz="4" w:space="0" w:color="000000" w:themeColor="text1"/>
            </w:tcBorders>
          </w:tcPr>
          <w:p w:rsidR="00F931A4" w:rsidRPr="00990D3B" w:rsidP="002404DD" w14:paraId="0BE2AF6F" w14:textId="77777777">
            <w:pPr>
              <w:pStyle w:val="EQRTableText"/>
            </w:pPr>
            <w:r w:rsidRPr="00990D3B">
              <w:t> </w:t>
            </w:r>
          </w:p>
        </w:tc>
        <w:tc>
          <w:tcPr>
            <w:tcW w:w="736" w:type="dxa"/>
            <w:tcBorders>
              <w:bottom w:val="single" w:sz="4" w:space="0" w:color="000000" w:themeColor="text1"/>
            </w:tcBorders>
          </w:tcPr>
          <w:p w:rsidR="00F931A4" w:rsidRPr="00990D3B" w:rsidP="002404DD" w14:paraId="1270DF10" w14:textId="77777777">
            <w:pPr>
              <w:pStyle w:val="EQRTableText"/>
            </w:pPr>
            <w:r w:rsidRPr="00990D3B">
              <w:t> </w:t>
            </w:r>
          </w:p>
        </w:tc>
        <w:tc>
          <w:tcPr>
            <w:tcW w:w="2335" w:type="dxa"/>
          </w:tcPr>
          <w:p w:rsidR="00F931A4" w:rsidRPr="00990D3B" w:rsidP="002404DD" w14:paraId="0F2A22F6" w14:textId="77777777">
            <w:pPr>
              <w:pStyle w:val="EQRTableText"/>
            </w:pPr>
            <w:r w:rsidRPr="00990D3B">
              <w:t> </w:t>
            </w:r>
          </w:p>
        </w:tc>
      </w:tr>
      <w:tr w14:paraId="436AE2F8" w14:textId="77777777" w:rsidTr="00BD1FC3">
        <w:tblPrEx>
          <w:tblW w:w="5000" w:type="pct"/>
          <w:tblLook w:val="04A0"/>
        </w:tblPrEx>
        <w:trPr>
          <w:cantSplit/>
        </w:trPr>
        <w:tc>
          <w:tcPr>
            <w:tcW w:w="3533" w:type="dxa"/>
          </w:tcPr>
          <w:p w:rsidR="00F931A4" w:rsidRPr="00990D3B" w:rsidP="002404DD" w14:paraId="3878353F" w14:textId="77777777">
            <w:pPr>
              <w:pStyle w:val="EQRTableText"/>
              <w:keepNext/>
              <w:rPr>
                <w:b/>
              </w:rPr>
            </w:pPr>
            <w:r w:rsidRPr="00990D3B">
              <w:rPr>
                <w:b/>
              </w:rPr>
              <w:t xml:space="preserve">Reporting: </w:t>
            </w:r>
          </w:p>
        </w:tc>
        <w:tc>
          <w:tcPr>
            <w:tcW w:w="1317" w:type="dxa"/>
            <w:shd w:val="clear" w:color="auto" w:fill="BFBFBF" w:themeFill="background1" w:themeFillShade="BF"/>
          </w:tcPr>
          <w:p w:rsidR="00F931A4" w:rsidRPr="00990D3B" w:rsidP="002404DD" w14:paraId="769F7B17" w14:textId="77777777">
            <w:pPr>
              <w:pStyle w:val="EQRTableText"/>
            </w:pPr>
            <w:r w:rsidRPr="00990D3B">
              <w:t> </w:t>
            </w:r>
          </w:p>
        </w:tc>
        <w:tc>
          <w:tcPr>
            <w:tcW w:w="782" w:type="dxa"/>
            <w:shd w:val="clear" w:color="auto" w:fill="BFBFBF" w:themeFill="background1" w:themeFillShade="BF"/>
          </w:tcPr>
          <w:p w:rsidR="00F931A4" w:rsidRPr="00990D3B" w:rsidP="002404DD" w14:paraId="5F420CF3" w14:textId="77777777">
            <w:pPr>
              <w:pStyle w:val="EQRTableText"/>
            </w:pPr>
            <w:r w:rsidRPr="00990D3B">
              <w:t> </w:t>
            </w:r>
          </w:p>
        </w:tc>
        <w:tc>
          <w:tcPr>
            <w:tcW w:w="647" w:type="dxa"/>
            <w:shd w:val="clear" w:color="auto" w:fill="BFBFBF" w:themeFill="background1" w:themeFillShade="BF"/>
          </w:tcPr>
          <w:p w:rsidR="00F931A4" w:rsidRPr="00990D3B" w:rsidP="002404DD" w14:paraId="03F7C031" w14:textId="77777777">
            <w:pPr>
              <w:pStyle w:val="EQRTableText"/>
            </w:pPr>
            <w:r w:rsidRPr="00990D3B">
              <w:t> </w:t>
            </w:r>
          </w:p>
        </w:tc>
        <w:tc>
          <w:tcPr>
            <w:tcW w:w="736" w:type="dxa"/>
            <w:shd w:val="clear" w:color="auto" w:fill="BFBFBF" w:themeFill="background1" w:themeFillShade="BF"/>
          </w:tcPr>
          <w:p w:rsidR="00F931A4" w:rsidRPr="00990D3B" w:rsidP="002404DD" w14:paraId="5294B938" w14:textId="77777777">
            <w:pPr>
              <w:pStyle w:val="EQRTableText"/>
            </w:pPr>
            <w:r w:rsidRPr="00990D3B">
              <w:t> </w:t>
            </w:r>
          </w:p>
        </w:tc>
        <w:tc>
          <w:tcPr>
            <w:tcW w:w="2335" w:type="dxa"/>
            <w:shd w:val="clear" w:color="auto" w:fill="BFBFBF" w:themeFill="background1" w:themeFillShade="BF"/>
          </w:tcPr>
          <w:p w:rsidR="00F931A4" w:rsidRPr="00990D3B" w:rsidP="002404DD" w14:paraId="2E9273A2" w14:textId="77777777">
            <w:pPr>
              <w:pStyle w:val="EQRTableText"/>
            </w:pPr>
            <w:r w:rsidRPr="00990D3B">
              <w:t> </w:t>
            </w:r>
          </w:p>
        </w:tc>
      </w:tr>
      <w:tr w14:paraId="251DCE61" w14:textId="77777777" w:rsidTr="00BD1FC3">
        <w:tblPrEx>
          <w:tblW w:w="5000" w:type="pct"/>
          <w:tblLook w:val="04A0"/>
        </w:tblPrEx>
        <w:trPr>
          <w:cantSplit/>
        </w:trPr>
        <w:tc>
          <w:tcPr>
            <w:tcW w:w="3533" w:type="dxa"/>
          </w:tcPr>
          <w:p w:rsidR="00F931A4" w:rsidRPr="00990D3B" w:rsidP="002404DD" w14:paraId="76922B1E" w14:textId="77777777">
            <w:pPr>
              <w:pStyle w:val="EQRTableText"/>
            </w:pPr>
            <w:r w:rsidRPr="00990D3B">
              <w:t>Were the state specifications for reporting performance measures followed?</w:t>
            </w:r>
          </w:p>
        </w:tc>
        <w:tc>
          <w:tcPr>
            <w:tcW w:w="1317" w:type="dxa"/>
          </w:tcPr>
          <w:p w:rsidR="00F931A4" w:rsidRPr="00990D3B" w:rsidP="002404DD" w14:paraId="608D14BC" w14:textId="77777777">
            <w:pPr>
              <w:pStyle w:val="EQRTableText"/>
            </w:pPr>
            <w:r w:rsidRPr="00990D3B">
              <w:t> </w:t>
            </w:r>
          </w:p>
        </w:tc>
        <w:tc>
          <w:tcPr>
            <w:tcW w:w="782" w:type="dxa"/>
            <w:tcBorders>
              <w:bottom w:val="single" w:sz="4" w:space="0" w:color="000000" w:themeColor="text1"/>
            </w:tcBorders>
          </w:tcPr>
          <w:p w:rsidR="00F931A4" w:rsidRPr="00990D3B" w:rsidP="002404DD" w14:paraId="1F614D6F" w14:textId="77777777">
            <w:pPr>
              <w:pStyle w:val="EQRTableText"/>
            </w:pPr>
            <w:r w:rsidRPr="00990D3B">
              <w:t> </w:t>
            </w:r>
          </w:p>
        </w:tc>
        <w:tc>
          <w:tcPr>
            <w:tcW w:w="647" w:type="dxa"/>
            <w:tcBorders>
              <w:bottom w:val="single" w:sz="4" w:space="0" w:color="000000" w:themeColor="text1"/>
            </w:tcBorders>
          </w:tcPr>
          <w:p w:rsidR="00F931A4" w:rsidRPr="00990D3B" w:rsidP="002404DD" w14:paraId="72E46CB2" w14:textId="77777777">
            <w:pPr>
              <w:pStyle w:val="EQRTableText"/>
            </w:pPr>
            <w:r w:rsidRPr="00990D3B">
              <w:t> </w:t>
            </w:r>
          </w:p>
        </w:tc>
        <w:tc>
          <w:tcPr>
            <w:tcW w:w="736" w:type="dxa"/>
            <w:tcBorders>
              <w:bottom w:val="single" w:sz="4" w:space="0" w:color="000000" w:themeColor="text1"/>
            </w:tcBorders>
          </w:tcPr>
          <w:p w:rsidR="00F931A4" w:rsidRPr="00990D3B" w:rsidP="002404DD" w14:paraId="402ACC8B" w14:textId="77777777">
            <w:pPr>
              <w:pStyle w:val="EQRTableText"/>
            </w:pPr>
            <w:r w:rsidRPr="00990D3B">
              <w:t> </w:t>
            </w:r>
          </w:p>
        </w:tc>
        <w:tc>
          <w:tcPr>
            <w:tcW w:w="2335" w:type="dxa"/>
          </w:tcPr>
          <w:p w:rsidR="00F931A4" w:rsidRPr="00990D3B" w:rsidP="002404DD" w14:paraId="44F5CF48" w14:textId="77777777">
            <w:pPr>
              <w:pStyle w:val="EQRTableText"/>
            </w:pPr>
            <w:r w:rsidRPr="00990D3B">
              <w:t> </w:t>
            </w:r>
          </w:p>
        </w:tc>
      </w:tr>
      <w:tr w14:paraId="3930D351" w14:textId="77777777" w:rsidTr="00BD1FC3">
        <w:tblPrEx>
          <w:tblW w:w="5000" w:type="pct"/>
          <w:tblLook w:val="04A0"/>
        </w:tblPrEx>
        <w:trPr>
          <w:cantSplit/>
        </w:trPr>
        <w:tc>
          <w:tcPr>
            <w:tcW w:w="3533" w:type="dxa"/>
          </w:tcPr>
          <w:p w:rsidR="00F931A4" w:rsidRPr="00990D3B" w:rsidP="002404DD" w14:paraId="0383352F" w14:textId="77777777">
            <w:pPr>
              <w:pStyle w:val="EQRTableText"/>
            </w:pPr>
            <w:r w:rsidRPr="00990D3B">
              <w:rPr>
                <w:b/>
              </w:rPr>
              <w:t>Overall assessment:</w:t>
            </w:r>
            <w:r w:rsidRPr="00990D3B">
              <w:t xml:space="preserve"> In the comments section, note any recommendations for the MCP’s measurement and reporting process</w:t>
            </w:r>
          </w:p>
        </w:tc>
        <w:tc>
          <w:tcPr>
            <w:tcW w:w="1317" w:type="dxa"/>
            <w:shd w:val="clear" w:color="auto" w:fill="BFBFBF" w:themeFill="background1" w:themeFillShade="BF"/>
          </w:tcPr>
          <w:p w:rsidR="00F931A4" w:rsidRPr="00990D3B" w:rsidP="002404DD" w14:paraId="5B9C0CA9" w14:textId="77777777">
            <w:pPr>
              <w:pStyle w:val="EQRTableText"/>
            </w:pPr>
            <w:r w:rsidRPr="00990D3B">
              <w:t> </w:t>
            </w:r>
          </w:p>
        </w:tc>
        <w:tc>
          <w:tcPr>
            <w:tcW w:w="782" w:type="dxa"/>
            <w:shd w:val="clear" w:color="auto" w:fill="BFBFBF" w:themeFill="background1" w:themeFillShade="BF"/>
          </w:tcPr>
          <w:p w:rsidR="00F931A4" w:rsidRPr="00990D3B" w:rsidP="002404DD" w14:paraId="0C9E9F44" w14:textId="77777777">
            <w:pPr>
              <w:pStyle w:val="EQRTableText"/>
            </w:pPr>
            <w:r w:rsidRPr="00990D3B">
              <w:t> </w:t>
            </w:r>
          </w:p>
        </w:tc>
        <w:tc>
          <w:tcPr>
            <w:tcW w:w="647" w:type="dxa"/>
            <w:shd w:val="clear" w:color="auto" w:fill="BFBFBF" w:themeFill="background1" w:themeFillShade="BF"/>
          </w:tcPr>
          <w:p w:rsidR="00F931A4" w:rsidRPr="00990D3B" w:rsidP="002404DD" w14:paraId="3C50AE73" w14:textId="77777777">
            <w:pPr>
              <w:pStyle w:val="EQRTableText"/>
            </w:pPr>
            <w:r w:rsidRPr="00990D3B">
              <w:t> </w:t>
            </w:r>
          </w:p>
        </w:tc>
        <w:tc>
          <w:tcPr>
            <w:tcW w:w="736" w:type="dxa"/>
            <w:shd w:val="clear" w:color="auto" w:fill="BFBFBF" w:themeFill="background1" w:themeFillShade="BF"/>
          </w:tcPr>
          <w:p w:rsidR="00F931A4" w:rsidRPr="00990D3B" w:rsidP="002404DD" w14:paraId="7E4134D6" w14:textId="77777777">
            <w:pPr>
              <w:pStyle w:val="EQRTableText"/>
            </w:pPr>
            <w:r w:rsidRPr="00990D3B">
              <w:t> </w:t>
            </w:r>
          </w:p>
        </w:tc>
        <w:tc>
          <w:tcPr>
            <w:tcW w:w="2335" w:type="dxa"/>
          </w:tcPr>
          <w:p w:rsidR="00F931A4" w:rsidRPr="00990D3B" w:rsidP="002404DD" w14:paraId="2694E563" w14:textId="77777777">
            <w:pPr>
              <w:pStyle w:val="EQRTableText"/>
            </w:pPr>
            <w:r w:rsidRPr="00990D3B">
              <w:t> </w:t>
            </w:r>
          </w:p>
        </w:tc>
      </w:tr>
    </w:tbl>
    <w:p w:rsidR="00F931A4" w:rsidRPr="00990D3B" w:rsidP="00A76BD7" w14:paraId="2127A7CA" w14:textId="77777777">
      <w:pPr>
        <w:pStyle w:val="NoSpacing"/>
      </w:pPr>
    </w:p>
    <w:p w:rsidR="00164082" w:rsidRPr="00990D3B" w:rsidP="002B40CC" w14:paraId="147ADB19" w14:textId="50BBE0FA">
      <w:pPr>
        <w:pStyle w:val="H2EQRWorksheet"/>
      </w:pPr>
      <w:r w:rsidRPr="00990D3B">
        <w:t>Additional Audit Questions</w:t>
      </w:r>
    </w:p>
    <w:tbl>
      <w:tblPr>
        <w:tblW w:w="5000" w:type="pct"/>
        <w:tblLayout w:type="fixed"/>
        <w:tblCellMar>
          <w:left w:w="115" w:type="dxa"/>
          <w:right w:w="115" w:type="dxa"/>
        </w:tblCellMar>
        <w:tblLook w:val="0000"/>
      </w:tblPr>
      <w:tblGrid>
        <w:gridCol w:w="7469"/>
        <w:gridCol w:w="3833"/>
        <w:gridCol w:w="1642"/>
      </w:tblGrid>
      <w:tr w14:paraId="66D0508E" w14:textId="77777777" w:rsidTr="00BD1FC3">
        <w:tblPrEx>
          <w:tblW w:w="5000" w:type="pct"/>
          <w:tblLayout w:type="fixed"/>
          <w:tblCellMar>
            <w:left w:w="115" w:type="dxa"/>
            <w:right w:w="115" w:type="dxa"/>
          </w:tblCellMar>
          <w:tblLook w:val="0000"/>
        </w:tblPrEx>
        <w:trPr>
          <w:cantSplit/>
          <w:trHeight w:val="318"/>
          <w:tblHeader/>
        </w:trPr>
        <w:tc>
          <w:tcPr>
            <w:tcW w:w="5392"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BD18FC" w14:paraId="095CB04D" w14:textId="60F9BC35">
            <w:pPr>
              <w:pStyle w:val="EQRTableText"/>
              <w:rPr>
                <w:b/>
                <w:bCs/>
              </w:rPr>
            </w:pPr>
            <w:r w:rsidRPr="00990D3B">
              <w:rPr>
                <w:b/>
                <w:bCs/>
              </w:rPr>
              <w:t>Q</w:t>
            </w:r>
            <w:r w:rsidRPr="00990D3B">
              <w:rPr>
                <w:b/>
                <w:bCs/>
              </w:rPr>
              <w:t>uestions</w:t>
            </w:r>
          </w:p>
        </w:tc>
        <w:tc>
          <w:tcPr>
            <w:tcW w:w="2767"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064983" w14:paraId="43E42B20" w14:textId="3A1A14FE">
            <w:pPr>
              <w:pStyle w:val="EQRTableText"/>
              <w:rPr>
                <w:b/>
                <w:bCs/>
              </w:rPr>
            </w:pPr>
            <w:r w:rsidRPr="00990D3B">
              <w:rPr>
                <w:b/>
                <w:bCs/>
              </w:rPr>
              <w:t>Yes (</w:t>
            </w:r>
            <w:r w:rsidRPr="00990D3B" w:rsidR="00164082">
              <w:rPr>
                <w:b/>
                <w:bCs/>
              </w:rPr>
              <w:t>p</w:t>
            </w:r>
            <w:r w:rsidRPr="00990D3B">
              <w:rPr>
                <w:b/>
                <w:bCs/>
              </w:rPr>
              <w:t xml:space="preserve">lease </w:t>
            </w:r>
            <w:r w:rsidRPr="00990D3B" w:rsidR="00164082">
              <w:rPr>
                <w:b/>
                <w:bCs/>
              </w:rPr>
              <w:t>e</w:t>
            </w:r>
            <w:r w:rsidRPr="00990D3B">
              <w:rPr>
                <w:b/>
                <w:bCs/>
              </w:rPr>
              <w:t>xplain)</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064983" w14:paraId="23574A76" w14:textId="77777777">
            <w:pPr>
              <w:pStyle w:val="EQRTableText"/>
              <w:rPr>
                <w:b/>
                <w:bCs/>
              </w:rPr>
            </w:pPr>
            <w:r w:rsidRPr="00990D3B">
              <w:rPr>
                <w:b/>
                <w:bCs/>
              </w:rPr>
              <w:t>No</w:t>
            </w:r>
          </w:p>
        </w:tc>
      </w:tr>
      <w:tr w14:paraId="0B44A3B1" w14:textId="77777777" w:rsidTr="00BD1FC3">
        <w:tblPrEx>
          <w:tblW w:w="5000" w:type="pct"/>
          <w:tblLayout w:type="fixed"/>
          <w:tblCellMar>
            <w:left w:w="115" w:type="dxa"/>
            <w:right w:w="115" w:type="dxa"/>
          </w:tblCellMar>
          <w:tblLook w:val="0000"/>
        </w:tblPrEx>
        <w:trPr>
          <w:cantSplit/>
          <w:trHeight w:val="318"/>
        </w:trPr>
        <w:tc>
          <w:tcPr>
            <w:tcW w:w="5392" w:type="dxa"/>
            <w:tcBorders>
              <w:top w:val="single" w:sz="6" w:space="0" w:color="000000"/>
              <w:left w:val="single" w:sz="6" w:space="0" w:color="000000"/>
              <w:bottom w:val="single" w:sz="6" w:space="0" w:color="000000"/>
              <w:right w:val="single" w:sz="6" w:space="0" w:color="000000"/>
            </w:tcBorders>
          </w:tcPr>
          <w:p w:rsidR="00F931A4" w:rsidRPr="00990D3B" w:rsidP="00BD18FC" w14:paraId="60AF408F" w14:textId="39462CB2">
            <w:pPr>
              <w:pStyle w:val="EQRTableText"/>
            </w:pPr>
            <w:r w:rsidRPr="00990D3B">
              <w:t xml:space="preserve">Were any </w:t>
            </w:r>
            <w:r w:rsidRPr="00990D3B" w:rsidR="00727834">
              <w:t>enrollees</w:t>
            </w:r>
            <w:r w:rsidRPr="00990D3B">
              <w:t xml:space="preserve"> excluded for contraindications found in the administrative data?</w:t>
            </w:r>
          </w:p>
        </w:tc>
        <w:tc>
          <w:tcPr>
            <w:tcW w:w="2767" w:type="dxa"/>
            <w:tcBorders>
              <w:top w:val="single" w:sz="6" w:space="0" w:color="000000"/>
              <w:left w:val="single" w:sz="6" w:space="0" w:color="000000"/>
              <w:bottom w:val="single" w:sz="6" w:space="0" w:color="000000"/>
              <w:right w:val="single" w:sz="6" w:space="0" w:color="000000"/>
            </w:tcBorders>
          </w:tcPr>
          <w:p w:rsidR="00F931A4" w:rsidRPr="00990D3B" w:rsidP="00BD18FC" w14:paraId="3E4C9A25" w14:textId="77777777">
            <w:pPr>
              <w:pStyle w:val="EQRTableText"/>
            </w:pPr>
            <w:r w:rsidRPr="00990D3B">
              <w:t> </w:t>
            </w:r>
          </w:p>
        </w:tc>
        <w:tc>
          <w:tcPr>
            <w:tcW w:w="1185" w:type="dxa"/>
            <w:tcBorders>
              <w:top w:val="single" w:sz="6" w:space="0" w:color="000000"/>
              <w:left w:val="single" w:sz="6" w:space="0" w:color="000000"/>
              <w:bottom w:val="single" w:sz="6" w:space="0" w:color="000000"/>
              <w:right w:val="single" w:sz="6" w:space="0" w:color="000000"/>
            </w:tcBorders>
          </w:tcPr>
          <w:p w:rsidR="00F931A4" w:rsidRPr="00990D3B" w:rsidP="00BD18FC" w14:paraId="1BC2625F" w14:textId="77777777">
            <w:pPr>
              <w:pStyle w:val="EQRTableText"/>
            </w:pPr>
            <w:r w:rsidRPr="00990D3B">
              <w:t> </w:t>
            </w:r>
          </w:p>
        </w:tc>
      </w:tr>
      <w:tr w14:paraId="3E6E50E4" w14:textId="77777777" w:rsidTr="00BD1FC3">
        <w:tblPrEx>
          <w:tblW w:w="5000" w:type="pct"/>
          <w:tblLayout w:type="fixed"/>
          <w:tblCellMar>
            <w:left w:w="115" w:type="dxa"/>
            <w:right w:w="115" w:type="dxa"/>
          </w:tblCellMar>
          <w:tblLook w:val="0000"/>
        </w:tblPrEx>
        <w:trPr>
          <w:cantSplit/>
          <w:trHeight w:val="318"/>
        </w:trPr>
        <w:tc>
          <w:tcPr>
            <w:tcW w:w="5392" w:type="dxa"/>
            <w:tcBorders>
              <w:top w:val="single" w:sz="6" w:space="0" w:color="000000"/>
              <w:left w:val="single" w:sz="6" w:space="0" w:color="000000"/>
              <w:bottom w:val="single" w:sz="6" w:space="0" w:color="000000"/>
              <w:right w:val="single" w:sz="6" w:space="0" w:color="000000"/>
            </w:tcBorders>
          </w:tcPr>
          <w:p w:rsidR="00F931A4" w:rsidRPr="00990D3B" w:rsidP="00BD18FC" w14:paraId="63487439" w14:textId="542D6B46">
            <w:pPr>
              <w:pStyle w:val="EQRTableText"/>
            </w:pPr>
            <w:r w:rsidRPr="00990D3B">
              <w:t xml:space="preserve">Were any </w:t>
            </w:r>
            <w:r w:rsidRPr="00990D3B" w:rsidR="00727834">
              <w:t>enrollees</w:t>
            </w:r>
            <w:r w:rsidRPr="00990D3B">
              <w:t xml:space="preserve"> excluded for contraindications found during the medical record review?</w:t>
            </w:r>
          </w:p>
        </w:tc>
        <w:tc>
          <w:tcPr>
            <w:tcW w:w="2767" w:type="dxa"/>
            <w:tcBorders>
              <w:top w:val="single" w:sz="6" w:space="0" w:color="000000"/>
              <w:left w:val="single" w:sz="6" w:space="0" w:color="000000"/>
              <w:bottom w:val="single" w:sz="6" w:space="0" w:color="000000"/>
              <w:right w:val="single" w:sz="6" w:space="0" w:color="000000"/>
            </w:tcBorders>
          </w:tcPr>
          <w:p w:rsidR="00F931A4" w:rsidRPr="00990D3B" w:rsidP="00BD18FC" w14:paraId="6D9F8E03" w14:textId="77777777">
            <w:pPr>
              <w:pStyle w:val="EQRTableText"/>
            </w:pPr>
            <w:r w:rsidRPr="00990D3B">
              <w:t> </w:t>
            </w:r>
          </w:p>
        </w:tc>
        <w:tc>
          <w:tcPr>
            <w:tcW w:w="1185" w:type="dxa"/>
            <w:tcBorders>
              <w:top w:val="single" w:sz="6" w:space="0" w:color="000000"/>
              <w:left w:val="single" w:sz="6" w:space="0" w:color="000000"/>
              <w:bottom w:val="single" w:sz="6" w:space="0" w:color="000000"/>
              <w:right w:val="single" w:sz="6" w:space="0" w:color="000000"/>
            </w:tcBorders>
          </w:tcPr>
          <w:p w:rsidR="00F931A4" w:rsidRPr="00990D3B" w:rsidP="00BD18FC" w14:paraId="1D180B18" w14:textId="77777777">
            <w:pPr>
              <w:pStyle w:val="EQRTableText"/>
            </w:pPr>
            <w:r w:rsidRPr="00990D3B">
              <w:t> </w:t>
            </w:r>
          </w:p>
        </w:tc>
      </w:tr>
      <w:tr w14:paraId="1FA0C090" w14:textId="77777777" w:rsidTr="00BD1FC3">
        <w:tblPrEx>
          <w:tblW w:w="5000" w:type="pct"/>
          <w:tblLayout w:type="fixed"/>
          <w:tblCellMar>
            <w:left w:w="115" w:type="dxa"/>
            <w:right w:w="115" w:type="dxa"/>
          </w:tblCellMar>
          <w:tblLook w:val="0000"/>
        </w:tblPrEx>
        <w:trPr>
          <w:cantSplit/>
          <w:trHeight w:val="318"/>
        </w:trPr>
        <w:tc>
          <w:tcPr>
            <w:tcW w:w="5392" w:type="dxa"/>
            <w:tcBorders>
              <w:top w:val="single" w:sz="6" w:space="0" w:color="000000"/>
              <w:left w:val="single" w:sz="6" w:space="0" w:color="000000"/>
              <w:bottom w:val="single" w:sz="6" w:space="0" w:color="000000"/>
              <w:right w:val="single" w:sz="6" w:space="0" w:color="000000"/>
            </w:tcBorders>
          </w:tcPr>
          <w:p w:rsidR="00F931A4" w:rsidRPr="00990D3B" w:rsidP="00BD18FC" w14:paraId="29220502" w14:textId="77777777">
            <w:pPr>
              <w:pStyle w:val="EQRTableText"/>
            </w:pPr>
            <w:r w:rsidRPr="00990D3B">
              <w:t>Were internally developed codes used?</w:t>
            </w:r>
          </w:p>
        </w:tc>
        <w:tc>
          <w:tcPr>
            <w:tcW w:w="2767" w:type="dxa"/>
            <w:tcBorders>
              <w:top w:val="single" w:sz="6" w:space="0" w:color="000000"/>
              <w:left w:val="single" w:sz="6" w:space="0" w:color="000000"/>
              <w:bottom w:val="single" w:sz="6" w:space="0" w:color="000000"/>
              <w:right w:val="single" w:sz="6" w:space="0" w:color="000000"/>
            </w:tcBorders>
          </w:tcPr>
          <w:p w:rsidR="00F931A4" w:rsidRPr="00990D3B" w:rsidP="00BD18FC" w14:paraId="1926F0D3" w14:textId="77777777">
            <w:pPr>
              <w:pStyle w:val="EQRTableText"/>
            </w:pPr>
            <w:r w:rsidRPr="00990D3B">
              <w:t> </w:t>
            </w:r>
          </w:p>
        </w:tc>
        <w:tc>
          <w:tcPr>
            <w:tcW w:w="1185" w:type="dxa"/>
            <w:tcBorders>
              <w:top w:val="single" w:sz="6" w:space="0" w:color="000000"/>
              <w:left w:val="single" w:sz="6" w:space="0" w:color="000000"/>
              <w:bottom w:val="single" w:sz="6" w:space="0" w:color="000000"/>
              <w:right w:val="single" w:sz="6" w:space="0" w:color="000000"/>
            </w:tcBorders>
          </w:tcPr>
          <w:p w:rsidR="00F931A4" w:rsidRPr="00990D3B" w:rsidP="00BD18FC" w14:paraId="05F192FE" w14:textId="77777777">
            <w:pPr>
              <w:pStyle w:val="EQRTableText"/>
            </w:pPr>
            <w:r w:rsidRPr="00990D3B">
              <w:t> </w:t>
            </w:r>
          </w:p>
        </w:tc>
      </w:tr>
    </w:tbl>
    <w:p w:rsidR="00F931A4" w:rsidRPr="00990D3B" w:rsidP="00A76BD7" w14:paraId="7508272E" w14:textId="77777777">
      <w:pPr>
        <w:pStyle w:val="NoSpacing"/>
      </w:pPr>
    </w:p>
    <w:tbl>
      <w:tblPr>
        <w:tblW w:w="5000" w:type="pct"/>
        <w:tblLayout w:type="fixed"/>
        <w:tblCellMar>
          <w:left w:w="115" w:type="dxa"/>
          <w:right w:w="115" w:type="dxa"/>
        </w:tblCellMar>
        <w:tblLook w:val="0000"/>
      </w:tblPr>
      <w:tblGrid>
        <w:gridCol w:w="6840"/>
        <w:gridCol w:w="1495"/>
        <w:gridCol w:w="4609"/>
      </w:tblGrid>
      <w:tr w14:paraId="7CCBDA1C" w14:textId="77777777" w:rsidTr="009232C1">
        <w:tblPrEx>
          <w:tblW w:w="5000" w:type="pct"/>
          <w:tblLayout w:type="fixed"/>
          <w:tblCellMar>
            <w:left w:w="115" w:type="dxa"/>
            <w:right w:w="115" w:type="dxa"/>
          </w:tblCellMar>
          <w:tblLook w:val="0000"/>
        </w:tblPrEx>
        <w:trPr>
          <w:cantSplit/>
          <w:tblHeader/>
        </w:trPr>
        <w:tc>
          <w:tcPr>
            <w:tcW w:w="4938" w:type="dxa"/>
            <w:tcBorders>
              <w:top w:val="single" w:sz="6" w:space="0" w:color="000000"/>
              <w:left w:val="single" w:sz="6" w:space="0" w:color="000000"/>
              <w:bottom w:val="single" w:sz="6" w:space="0" w:color="000000"/>
              <w:right w:val="single" w:sz="4" w:space="0" w:color="auto"/>
            </w:tcBorders>
            <w:shd w:val="clear" w:color="auto" w:fill="FFFFFF" w:themeFill="background1"/>
            <w:vAlign w:val="bottom"/>
          </w:tcPr>
          <w:p w:rsidR="00F931A4" w:rsidRPr="00990D3B" w:rsidP="00164082" w14:paraId="54D40BDE" w14:textId="2D6DC6ED">
            <w:pPr>
              <w:pStyle w:val="EQRTableText"/>
              <w:rPr>
                <w:b/>
                <w:bCs/>
              </w:rPr>
            </w:pPr>
            <w:r w:rsidRPr="00990D3B">
              <w:rPr>
                <w:b/>
                <w:bCs/>
              </w:rPr>
              <w:t>What is the estimated impact of data incompleteness on the rate(s) calculated for this measure?</w:t>
            </w:r>
          </w:p>
        </w:tc>
        <w:tc>
          <w:tcPr>
            <w:tcW w:w="1079" w:type="dxa"/>
            <w:tcBorders>
              <w:top w:val="single" w:sz="6" w:space="0" w:color="000000"/>
              <w:left w:val="single" w:sz="4" w:space="0" w:color="auto"/>
              <w:bottom w:val="single" w:sz="6" w:space="0" w:color="000000"/>
              <w:right w:val="single" w:sz="6" w:space="0" w:color="000000"/>
            </w:tcBorders>
            <w:shd w:val="clear" w:color="auto" w:fill="FFFFFF" w:themeFill="background1"/>
            <w:vAlign w:val="bottom"/>
          </w:tcPr>
          <w:p w:rsidR="00F931A4" w:rsidRPr="00990D3B" w:rsidP="00164082" w14:paraId="65D81CBC" w14:textId="77777777">
            <w:pPr>
              <w:pStyle w:val="EQRTableText"/>
              <w:jc w:val="center"/>
              <w:rPr>
                <w:b/>
                <w:bCs/>
              </w:rPr>
            </w:pPr>
            <w:r w:rsidRPr="00990D3B">
              <w:rPr>
                <w:b/>
                <w:bCs/>
              </w:rPr>
              <w:t>Check one</w:t>
            </w:r>
          </w:p>
        </w:tc>
        <w:tc>
          <w:tcPr>
            <w:tcW w:w="3327" w:type="dxa"/>
            <w:tcBorders>
              <w:top w:val="single" w:sz="6" w:space="0" w:color="000000"/>
              <w:left w:val="single" w:sz="4" w:space="0" w:color="auto"/>
              <w:bottom w:val="single" w:sz="6" w:space="0" w:color="000000"/>
              <w:right w:val="single" w:sz="6" w:space="0" w:color="000000"/>
            </w:tcBorders>
            <w:shd w:val="clear" w:color="auto" w:fill="FFFFFF" w:themeFill="background1"/>
            <w:vAlign w:val="bottom"/>
          </w:tcPr>
          <w:p w:rsidR="00F931A4" w:rsidRPr="00990D3B" w:rsidP="00164082" w14:paraId="2ED35760" w14:textId="77777777">
            <w:pPr>
              <w:pStyle w:val="EQRTableText"/>
              <w:jc w:val="center"/>
              <w:rPr>
                <w:b/>
                <w:bCs/>
              </w:rPr>
            </w:pPr>
            <w:r w:rsidRPr="00990D3B">
              <w:rPr>
                <w:b/>
                <w:bCs/>
              </w:rPr>
              <w:t>Comments</w:t>
            </w:r>
          </w:p>
        </w:tc>
      </w:tr>
      <w:tr w14:paraId="3191CBB1" w14:textId="77777777" w:rsidTr="00BD1FC3">
        <w:tblPrEx>
          <w:tblW w:w="5000" w:type="pct"/>
          <w:tblLayout w:type="fixed"/>
          <w:tblCellMar>
            <w:left w:w="115" w:type="dxa"/>
            <w:right w:w="115" w:type="dxa"/>
          </w:tblCellMar>
          <w:tblLook w:val="0000"/>
        </w:tblPrEx>
        <w:trPr>
          <w:cantSplit/>
        </w:trPr>
        <w:tc>
          <w:tcPr>
            <w:tcW w:w="4938" w:type="dxa"/>
            <w:tcBorders>
              <w:top w:val="single" w:sz="6" w:space="0" w:color="000000"/>
              <w:left w:val="single" w:sz="6" w:space="0" w:color="000000"/>
              <w:bottom w:val="dashSmallGap" w:sz="4" w:space="0" w:color="000000"/>
              <w:right w:val="single" w:sz="4" w:space="0" w:color="auto"/>
            </w:tcBorders>
          </w:tcPr>
          <w:p w:rsidR="00F931A4" w:rsidRPr="00990D3B" w:rsidP="00F931A4" w14:paraId="337B5504" w14:textId="77777777">
            <w:pPr>
              <w:pStyle w:val="EQRTableTextbullet"/>
              <w:spacing w:line="240" w:lineRule="auto"/>
              <w:ind w:left="216" w:hanging="216"/>
            </w:pPr>
            <w:r w:rsidRPr="00990D3B">
              <w:t>0–5 percentage points</w:t>
            </w:r>
          </w:p>
        </w:tc>
        <w:tc>
          <w:tcPr>
            <w:tcW w:w="1079" w:type="dxa"/>
            <w:tcBorders>
              <w:top w:val="single" w:sz="6" w:space="0" w:color="000000"/>
              <w:left w:val="single" w:sz="4" w:space="0" w:color="auto"/>
              <w:bottom w:val="dashSmallGap" w:sz="4" w:space="0" w:color="000000"/>
              <w:right w:val="single" w:sz="6" w:space="0" w:color="000000"/>
            </w:tcBorders>
          </w:tcPr>
          <w:p w:rsidR="00F931A4" w:rsidRPr="00990D3B" w:rsidP="002404DD" w14:paraId="1D794336" w14:textId="77777777">
            <w:pPr>
              <w:pStyle w:val="EQRTableText"/>
            </w:pPr>
            <w:r w:rsidRPr="00990D3B">
              <w:t> </w:t>
            </w:r>
          </w:p>
        </w:tc>
        <w:tc>
          <w:tcPr>
            <w:tcW w:w="3327" w:type="dxa"/>
            <w:tcBorders>
              <w:top w:val="single" w:sz="6" w:space="0" w:color="000000"/>
              <w:left w:val="single" w:sz="4" w:space="0" w:color="auto"/>
              <w:bottom w:val="dashSmallGap" w:sz="4" w:space="0" w:color="000000"/>
              <w:right w:val="single" w:sz="6" w:space="0" w:color="000000"/>
            </w:tcBorders>
          </w:tcPr>
          <w:p w:rsidR="00F931A4" w:rsidRPr="00990D3B" w:rsidP="002404DD" w14:paraId="50143067" w14:textId="77777777">
            <w:pPr>
              <w:pStyle w:val="EQRTableText"/>
            </w:pPr>
            <w:r w:rsidRPr="00990D3B">
              <w:t> </w:t>
            </w:r>
          </w:p>
        </w:tc>
      </w:tr>
      <w:tr w14:paraId="11A5105B" w14:textId="77777777" w:rsidTr="00BD1FC3">
        <w:tblPrEx>
          <w:tblW w:w="5000" w:type="pct"/>
          <w:tblLayout w:type="fixed"/>
          <w:tblCellMar>
            <w:left w:w="115" w:type="dxa"/>
            <w:right w:w="115" w:type="dxa"/>
          </w:tblCellMar>
          <w:tblLook w:val="0000"/>
        </w:tblPrEx>
        <w:trPr>
          <w:cantSplit/>
        </w:trPr>
        <w:tc>
          <w:tcPr>
            <w:tcW w:w="4938" w:type="dxa"/>
            <w:tcBorders>
              <w:top w:val="dashSmallGap" w:sz="4" w:space="0" w:color="000000"/>
              <w:left w:val="single" w:sz="6" w:space="0" w:color="000000"/>
              <w:bottom w:val="dashSmallGap" w:sz="4" w:space="0" w:color="000000"/>
              <w:right w:val="single" w:sz="6" w:space="0" w:color="000000"/>
            </w:tcBorders>
          </w:tcPr>
          <w:p w:rsidR="00F931A4" w:rsidRPr="00990D3B" w:rsidP="00F931A4" w14:paraId="41400AD6" w14:textId="77777777">
            <w:pPr>
              <w:pStyle w:val="EQRTableTextbullet"/>
              <w:spacing w:line="240" w:lineRule="auto"/>
              <w:ind w:left="216" w:hanging="216"/>
            </w:pPr>
            <w:r w:rsidRPr="00990D3B">
              <w:t>&gt;5–10 percentage points</w:t>
            </w:r>
          </w:p>
        </w:tc>
        <w:tc>
          <w:tcPr>
            <w:tcW w:w="1079" w:type="dxa"/>
            <w:tcBorders>
              <w:top w:val="dashSmallGap" w:sz="4" w:space="0" w:color="000000"/>
              <w:left w:val="single" w:sz="6" w:space="0" w:color="000000"/>
              <w:bottom w:val="dashSmallGap" w:sz="4" w:space="0" w:color="000000"/>
              <w:right w:val="single" w:sz="6" w:space="0" w:color="000000"/>
            </w:tcBorders>
          </w:tcPr>
          <w:p w:rsidR="00F931A4" w:rsidRPr="00990D3B" w:rsidP="002404DD" w14:paraId="50EC7CCC" w14:textId="77777777">
            <w:pPr>
              <w:pStyle w:val="EQRTableText"/>
            </w:pPr>
            <w:r w:rsidRPr="00990D3B">
              <w:t> </w:t>
            </w:r>
          </w:p>
        </w:tc>
        <w:tc>
          <w:tcPr>
            <w:tcW w:w="3327" w:type="dxa"/>
            <w:tcBorders>
              <w:top w:val="dashSmallGap" w:sz="4" w:space="0" w:color="000000"/>
              <w:left w:val="single" w:sz="6" w:space="0" w:color="000000"/>
              <w:bottom w:val="dashSmallGap" w:sz="4" w:space="0" w:color="000000"/>
              <w:right w:val="single" w:sz="6" w:space="0" w:color="000000"/>
            </w:tcBorders>
          </w:tcPr>
          <w:p w:rsidR="00F931A4" w:rsidRPr="00990D3B" w:rsidP="002404DD" w14:paraId="1B7C7BC6" w14:textId="77777777">
            <w:pPr>
              <w:pStyle w:val="EQRTableText"/>
            </w:pPr>
            <w:r w:rsidRPr="00990D3B">
              <w:t> </w:t>
            </w:r>
          </w:p>
        </w:tc>
      </w:tr>
      <w:tr w14:paraId="5E36C932" w14:textId="77777777" w:rsidTr="00BD1FC3">
        <w:tblPrEx>
          <w:tblW w:w="5000" w:type="pct"/>
          <w:tblLayout w:type="fixed"/>
          <w:tblCellMar>
            <w:left w:w="115" w:type="dxa"/>
            <w:right w:w="115" w:type="dxa"/>
          </w:tblCellMar>
          <w:tblLook w:val="0000"/>
        </w:tblPrEx>
        <w:trPr>
          <w:cantSplit/>
        </w:trPr>
        <w:tc>
          <w:tcPr>
            <w:tcW w:w="4938" w:type="dxa"/>
            <w:tcBorders>
              <w:top w:val="dashSmallGap" w:sz="4" w:space="0" w:color="000000"/>
              <w:left w:val="single" w:sz="6" w:space="0" w:color="000000"/>
              <w:bottom w:val="dashSmallGap" w:sz="4" w:space="0" w:color="000000"/>
              <w:right w:val="single" w:sz="6" w:space="0" w:color="000000"/>
            </w:tcBorders>
          </w:tcPr>
          <w:p w:rsidR="00F931A4" w:rsidRPr="00990D3B" w:rsidP="00F931A4" w14:paraId="04713A18" w14:textId="77777777">
            <w:pPr>
              <w:pStyle w:val="EQRTableTextbullet"/>
              <w:spacing w:line="240" w:lineRule="auto"/>
              <w:ind w:left="216" w:hanging="216"/>
            </w:pPr>
            <w:r w:rsidRPr="00990D3B">
              <w:t>&gt;10–20 percentage points</w:t>
            </w:r>
          </w:p>
        </w:tc>
        <w:tc>
          <w:tcPr>
            <w:tcW w:w="1079" w:type="dxa"/>
            <w:tcBorders>
              <w:top w:val="dashSmallGap" w:sz="4" w:space="0" w:color="000000"/>
              <w:left w:val="single" w:sz="6" w:space="0" w:color="000000"/>
              <w:bottom w:val="dashSmallGap" w:sz="4" w:space="0" w:color="000000"/>
              <w:right w:val="single" w:sz="6" w:space="0" w:color="000000"/>
            </w:tcBorders>
          </w:tcPr>
          <w:p w:rsidR="00F931A4" w:rsidRPr="00990D3B" w:rsidP="002404DD" w14:paraId="06CE65B1" w14:textId="77777777">
            <w:pPr>
              <w:pStyle w:val="EQRTableText"/>
            </w:pPr>
            <w:r w:rsidRPr="00990D3B">
              <w:t> </w:t>
            </w:r>
          </w:p>
        </w:tc>
        <w:tc>
          <w:tcPr>
            <w:tcW w:w="3327" w:type="dxa"/>
            <w:tcBorders>
              <w:top w:val="dashSmallGap" w:sz="4" w:space="0" w:color="000000"/>
              <w:left w:val="single" w:sz="6" w:space="0" w:color="000000"/>
              <w:bottom w:val="dashSmallGap" w:sz="4" w:space="0" w:color="000000"/>
              <w:right w:val="single" w:sz="6" w:space="0" w:color="000000"/>
            </w:tcBorders>
          </w:tcPr>
          <w:p w:rsidR="00F931A4" w:rsidRPr="00990D3B" w:rsidP="002404DD" w14:paraId="371FE8E7" w14:textId="77777777">
            <w:pPr>
              <w:pStyle w:val="EQRTableText"/>
            </w:pPr>
            <w:r w:rsidRPr="00990D3B">
              <w:t> </w:t>
            </w:r>
          </w:p>
        </w:tc>
      </w:tr>
      <w:tr w14:paraId="5E9ACA71" w14:textId="77777777" w:rsidTr="00BD1FC3">
        <w:tblPrEx>
          <w:tblW w:w="5000" w:type="pct"/>
          <w:tblLayout w:type="fixed"/>
          <w:tblCellMar>
            <w:left w:w="115" w:type="dxa"/>
            <w:right w:w="115" w:type="dxa"/>
          </w:tblCellMar>
          <w:tblLook w:val="0000"/>
        </w:tblPrEx>
        <w:trPr>
          <w:cantSplit/>
          <w:trHeight w:val="332"/>
        </w:trPr>
        <w:tc>
          <w:tcPr>
            <w:tcW w:w="4938" w:type="dxa"/>
            <w:tcBorders>
              <w:top w:val="dashSmallGap" w:sz="4" w:space="0" w:color="000000"/>
              <w:left w:val="single" w:sz="6" w:space="0" w:color="000000"/>
              <w:bottom w:val="dashSmallGap" w:sz="4" w:space="0" w:color="000000"/>
              <w:right w:val="single" w:sz="6" w:space="0" w:color="000000"/>
            </w:tcBorders>
          </w:tcPr>
          <w:p w:rsidR="00F931A4" w:rsidRPr="00990D3B" w:rsidP="00F931A4" w14:paraId="76D176DA" w14:textId="77777777">
            <w:pPr>
              <w:pStyle w:val="EQRTableTextbullet"/>
              <w:spacing w:line="240" w:lineRule="auto"/>
              <w:ind w:left="216" w:hanging="216"/>
            </w:pPr>
            <w:r w:rsidRPr="00990D3B">
              <w:t>&gt;20–40 percentage points</w:t>
            </w:r>
          </w:p>
        </w:tc>
        <w:tc>
          <w:tcPr>
            <w:tcW w:w="1079" w:type="dxa"/>
            <w:tcBorders>
              <w:top w:val="dashSmallGap" w:sz="4" w:space="0" w:color="000000"/>
              <w:left w:val="single" w:sz="6" w:space="0" w:color="000000"/>
              <w:bottom w:val="dashSmallGap" w:sz="4" w:space="0" w:color="000000"/>
              <w:right w:val="single" w:sz="6" w:space="0" w:color="000000"/>
            </w:tcBorders>
          </w:tcPr>
          <w:p w:rsidR="00F931A4" w:rsidRPr="00990D3B" w:rsidP="002404DD" w14:paraId="5CC9746B" w14:textId="77777777">
            <w:pPr>
              <w:pStyle w:val="EQRTableText"/>
            </w:pPr>
            <w:r w:rsidRPr="00990D3B">
              <w:t> </w:t>
            </w:r>
          </w:p>
        </w:tc>
        <w:tc>
          <w:tcPr>
            <w:tcW w:w="3327" w:type="dxa"/>
            <w:tcBorders>
              <w:top w:val="dashSmallGap" w:sz="4" w:space="0" w:color="000000"/>
              <w:left w:val="single" w:sz="6" w:space="0" w:color="000000"/>
              <w:bottom w:val="dashSmallGap" w:sz="4" w:space="0" w:color="000000"/>
              <w:right w:val="single" w:sz="6" w:space="0" w:color="000000"/>
            </w:tcBorders>
          </w:tcPr>
          <w:p w:rsidR="00F931A4" w:rsidRPr="00990D3B" w:rsidP="002404DD" w14:paraId="37840403" w14:textId="77777777">
            <w:pPr>
              <w:pStyle w:val="EQRTableText"/>
            </w:pPr>
            <w:r w:rsidRPr="00990D3B">
              <w:t> </w:t>
            </w:r>
          </w:p>
        </w:tc>
      </w:tr>
      <w:tr w14:paraId="4ED66ADD" w14:textId="77777777" w:rsidTr="00BD1FC3">
        <w:tblPrEx>
          <w:tblW w:w="5000" w:type="pct"/>
          <w:tblLayout w:type="fixed"/>
          <w:tblCellMar>
            <w:left w:w="115" w:type="dxa"/>
            <w:right w:w="115" w:type="dxa"/>
          </w:tblCellMar>
          <w:tblLook w:val="0000"/>
        </w:tblPrEx>
        <w:trPr>
          <w:cantSplit/>
        </w:trPr>
        <w:tc>
          <w:tcPr>
            <w:tcW w:w="4938" w:type="dxa"/>
            <w:tcBorders>
              <w:top w:val="dashSmallGap" w:sz="4" w:space="0" w:color="000000"/>
              <w:left w:val="single" w:sz="6" w:space="0" w:color="000000"/>
              <w:bottom w:val="dashSmallGap" w:sz="4" w:space="0" w:color="000000"/>
              <w:right w:val="single" w:sz="6" w:space="0" w:color="000000"/>
            </w:tcBorders>
          </w:tcPr>
          <w:p w:rsidR="00F931A4" w:rsidRPr="00990D3B" w:rsidP="00F931A4" w14:paraId="73554BB5" w14:textId="77777777">
            <w:pPr>
              <w:pStyle w:val="EQRTableTextbullet"/>
              <w:spacing w:line="240" w:lineRule="auto"/>
              <w:ind w:left="216" w:hanging="216"/>
            </w:pPr>
            <w:r w:rsidRPr="00990D3B">
              <w:t>&gt;40 percentage points</w:t>
            </w:r>
          </w:p>
        </w:tc>
        <w:tc>
          <w:tcPr>
            <w:tcW w:w="1079" w:type="dxa"/>
            <w:tcBorders>
              <w:top w:val="dashSmallGap" w:sz="4" w:space="0" w:color="000000"/>
              <w:left w:val="single" w:sz="6" w:space="0" w:color="000000"/>
              <w:bottom w:val="dashSmallGap" w:sz="4" w:space="0" w:color="000000"/>
              <w:right w:val="single" w:sz="6" w:space="0" w:color="000000"/>
            </w:tcBorders>
          </w:tcPr>
          <w:p w:rsidR="00F931A4" w:rsidRPr="00990D3B" w:rsidP="002404DD" w14:paraId="2A4645DB" w14:textId="77777777">
            <w:pPr>
              <w:pStyle w:val="EQRTableText"/>
            </w:pPr>
            <w:r w:rsidRPr="00990D3B">
              <w:t> </w:t>
            </w:r>
          </w:p>
        </w:tc>
        <w:tc>
          <w:tcPr>
            <w:tcW w:w="3327" w:type="dxa"/>
            <w:tcBorders>
              <w:top w:val="dashSmallGap" w:sz="4" w:space="0" w:color="000000"/>
              <w:left w:val="single" w:sz="6" w:space="0" w:color="000000"/>
              <w:bottom w:val="dashSmallGap" w:sz="4" w:space="0" w:color="000000"/>
              <w:right w:val="single" w:sz="6" w:space="0" w:color="000000"/>
            </w:tcBorders>
          </w:tcPr>
          <w:p w:rsidR="00F931A4" w:rsidRPr="00990D3B" w:rsidP="002404DD" w14:paraId="64F2B9FF" w14:textId="77777777">
            <w:pPr>
              <w:pStyle w:val="EQRTableText"/>
            </w:pPr>
            <w:r w:rsidRPr="00990D3B">
              <w:t> </w:t>
            </w:r>
          </w:p>
        </w:tc>
      </w:tr>
      <w:tr w14:paraId="7AFAEA6D" w14:textId="77777777" w:rsidTr="00BD1FC3">
        <w:tblPrEx>
          <w:tblW w:w="5000" w:type="pct"/>
          <w:tblLayout w:type="fixed"/>
          <w:tblCellMar>
            <w:left w:w="115" w:type="dxa"/>
            <w:right w:w="115" w:type="dxa"/>
          </w:tblCellMar>
          <w:tblLook w:val="0000"/>
        </w:tblPrEx>
        <w:trPr>
          <w:cantSplit/>
          <w:trHeight w:val="345"/>
        </w:trPr>
        <w:tc>
          <w:tcPr>
            <w:tcW w:w="4938" w:type="dxa"/>
            <w:tcBorders>
              <w:top w:val="dashSmallGap" w:sz="4" w:space="0" w:color="000000"/>
              <w:left w:val="single" w:sz="6" w:space="0" w:color="000000"/>
              <w:bottom w:val="single" w:sz="4" w:space="0" w:color="auto"/>
              <w:right w:val="single" w:sz="6" w:space="0" w:color="000000"/>
            </w:tcBorders>
          </w:tcPr>
          <w:p w:rsidR="00F931A4" w:rsidRPr="00990D3B" w:rsidP="00F931A4" w14:paraId="12CE8A76" w14:textId="77777777">
            <w:pPr>
              <w:pStyle w:val="EQRTableTextbullet"/>
              <w:spacing w:line="240" w:lineRule="auto"/>
              <w:ind w:left="216" w:hanging="216"/>
            </w:pPr>
            <w:r w:rsidRPr="00990D3B">
              <w:t>Unable to determine</w:t>
            </w:r>
          </w:p>
        </w:tc>
        <w:tc>
          <w:tcPr>
            <w:tcW w:w="1079" w:type="dxa"/>
            <w:tcBorders>
              <w:top w:val="dashSmallGap" w:sz="4" w:space="0" w:color="000000"/>
              <w:left w:val="single" w:sz="6" w:space="0" w:color="000000"/>
              <w:bottom w:val="single" w:sz="4" w:space="0" w:color="auto"/>
              <w:right w:val="single" w:sz="6" w:space="0" w:color="000000"/>
            </w:tcBorders>
          </w:tcPr>
          <w:p w:rsidR="00F931A4" w:rsidRPr="00990D3B" w:rsidP="002404DD" w14:paraId="18A2931B" w14:textId="77777777">
            <w:pPr>
              <w:pStyle w:val="EQRTableText"/>
            </w:pPr>
            <w:r w:rsidRPr="00990D3B">
              <w:t> </w:t>
            </w:r>
          </w:p>
        </w:tc>
        <w:tc>
          <w:tcPr>
            <w:tcW w:w="3327" w:type="dxa"/>
            <w:tcBorders>
              <w:top w:val="dashSmallGap" w:sz="4" w:space="0" w:color="000000"/>
              <w:left w:val="single" w:sz="6" w:space="0" w:color="000000"/>
              <w:bottom w:val="single" w:sz="4" w:space="0" w:color="auto"/>
              <w:right w:val="single" w:sz="6" w:space="0" w:color="000000"/>
            </w:tcBorders>
          </w:tcPr>
          <w:p w:rsidR="00F931A4" w:rsidRPr="00990D3B" w:rsidP="002404DD" w14:paraId="2FF23C2A" w14:textId="77777777">
            <w:pPr>
              <w:pStyle w:val="EQRTableText"/>
            </w:pPr>
            <w:r w:rsidRPr="00990D3B">
              <w:t> </w:t>
            </w:r>
          </w:p>
        </w:tc>
      </w:tr>
    </w:tbl>
    <w:p w:rsidR="00164082" w:rsidRPr="00990D3B" w:rsidP="00A76BD7" w14:paraId="3D9D86C5" w14:textId="6F830C73">
      <w:pPr>
        <w:pStyle w:val="NoSpacing"/>
      </w:pPr>
    </w:p>
    <w:tbl>
      <w:tblPr>
        <w:tblW w:w="5000" w:type="pct"/>
        <w:tblLayout w:type="fixed"/>
        <w:tblCellMar>
          <w:left w:w="115" w:type="dxa"/>
          <w:right w:w="115" w:type="dxa"/>
        </w:tblCellMar>
        <w:tblLook w:val="0000"/>
      </w:tblPr>
      <w:tblGrid>
        <w:gridCol w:w="6840"/>
        <w:gridCol w:w="1495"/>
        <w:gridCol w:w="4609"/>
      </w:tblGrid>
      <w:tr w14:paraId="02BD97DA" w14:textId="77777777" w:rsidTr="00BD1FC3">
        <w:tblPrEx>
          <w:tblW w:w="5000" w:type="pct"/>
          <w:tblLayout w:type="fixed"/>
          <w:tblCellMar>
            <w:left w:w="115" w:type="dxa"/>
            <w:right w:w="115" w:type="dxa"/>
          </w:tblCellMar>
          <w:tblLook w:val="0000"/>
        </w:tblPrEx>
        <w:trPr>
          <w:cantSplit/>
          <w:trHeight w:val="345"/>
        </w:trPr>
        <w:tc>
          <w:tcPr>
            <w:tcW w:w="4938" w:type="dxa"/>
            <w:tcBorders>
              <w:top w:val="single" w:sz="4" w:space="0" w:color="auto"/>
              <w:left w:val="single" w:sz="6" w:space="0" w:color="000000"/>
              <w:bottom w:val="single" w:sz="4" w:space="0" w:color="auto"/>
              <w:right w:val="single" w:sz="6" w:space="0" w:color="000000"/>
            </w:tcBorders>
            <w:shd w:val="clear" w:color="auto" w:fill="FFFFFF" w:themeFill="background1"/>
            <w:vAlign w:val="bottom"/>
          </w:tcPr>
          <w:p w:rsidR="00164082" w:rsidRPr="00990D3B" w:rsidP="00164082" w14:paraId="5F4816B2" w14:textId="6872B39D">
            <w:pPr>
              <w:pStyle w:val="EQRTableText"/>
              <w:rPr>
                <w:b/>
                <w:bCs/>
              </w:rPr>
            </w:pPr>
            <w:r w:rsidRPr="00990D3B">
              <w:rPr>
                <w:b/>
                <w:bCs/>
              </w:rPr>
              <w:t>What is the direction of the bias?</w:t>
            </w:r>
          </w:p>
        </w:tc>
        <w:tc>
          <w:tcPr>
            <w:tcW w:w="1079" w:type="dxa"/>
            <w:tcBorders>
              <w:top w:val="single" w:sz="4" w:space="0" w:color="auto"/>
              <w:left w:val="single" w:sz="6" w:space="0" w:color="000000"/>
              <w:bottom w:val="single" w:sz="4" w:space="0" w:color="auto"/>
              <w:right w:val="single" w:sz="6" w:space="0" w:color="000000"/>
            </w:tcBorders>
            <w:shd w:val="clear" w:color="auto" w:fill="FFFFFF" w:themeFill="background1"/>
            <w:vAlign w:val="bottom"/>
          </w:tcPr>
          <w:p w:rsidR="00164082" w:rsidRPr="00990D3B" w:rsidP="00164082" w14:paraId="6B9B906A" w14:textId="751AC3C6">
            <w:pPr>
              <w:pStyle w:val="EQRTableText"/>
              <w:jc w:val="center"/>
            </w:pPr>
            <w:r w:rsidRPr="00990D3B">
              <w:rPr>
                <w:b/>
                <w:bCs/>
              </w:rPr>
              <w:t>Check one</w:t>
            </w:r>
          </w:p>
        </w:tc>
        <w:tc>
          <w:tcPr>
            <w:tcW w:w="3327" w:type="dxa"/>
            <w:tcBorders>
              <w:top w:val="single" w:sz="4" w:space="0" w:color="auto"/>
              <w:left w:val="single" w:sz="6" w:space="0" w:color="000000"/>
              <w:bottom w:val="single" w:sz="4" w:space="0" w:color="auto"/>
              <w:right w:val="single" w:sz="6" w:space="0" w:color="000000"/>
            </w:tcBorders>
            <w:shd w:val="clear" w:color="auto" w:fill="FFFFFF" w:themeFill="background1"/>
            <w:vAlign w:val="bottom"/>
          </w:tcPr>
          <w:p w:rsidR="00164082" w:rsidRPr="00990D3B" w:rsidP="00164082" w14:paraId="4A0025F9" w14:textId="13618A1F">
            <w:pPr>
              <w:pStyle w:val="EQRTableText"/>
              <w:jc w:val="center"/>
            </w:pPr>
            <w:r w:rsidRPr="00990D3B">
              <w:rPr>
                <w:b/>
                <w:bCs/>
              </w:rPr>
              <w:t>Comments</w:t>
            </w:r>
          </w:p>
        </w:tc>
      </w:tr>
      <w:tr w14:paraId="28A77112" w14:textId="77777777" w:rsidTr="00BD1FC3">
        <w:tblPrEx>
          <w:tblW w:w="5000" w:type="pct"/>
          <w:tblLayout w:type="fixed"/>
          <w:tblCellMar>
            <w:left w:w="115" w:type="dxa"/>
            <w:right w:w="115" w:type="dxa"/>
          </w:tblCellMar>
          <w:tblLook w:val="0000"/>
        </w:tblPrEx>
        <w:trPr>
          <w:cantSplit/>
          <w:trHeight w:val="345"/>
        </w:trPr>
        <w:tc>
          <w:tcPr>
            <w:tcW w:w="4938" w:type="dxa"/>
            <w:tcBorders>
              <w:top w:val="single" w:sz="4" w:space="0" w:color="auto"/>
              <w:left w:val="single" w:sz="6" w:space="0" w:color="000000"/>
              <w:bottom w:val="dashSmallGap" w:sz="4" w:space="0" w:color="000000"/>
              <w:right w:val="single" w:sz="6" w:space="0" w:color="000000"/>
            </w:tcBorders>
          </w:tcPr>
          <w:p w:rsidR="00164082" w:rsidRPr="00990D3B" w:rsidP="00164082" w14:paraId="3E774A3B" w14:textId="77777777">
            <w:pPr>
              <w:pStyle w:val="EQRTableTextbullet"/>
              <w:spacing w:line="240" w:lineRule="auto"/>
              <w:ind w:left="216" w:hanging="216"/>
            </w:pPr>
            <w:r w:rsidRPr="00990D3B">
              <w:t>Over-reporting</w:t>
            </w:r>
          </w:p>
        </w:tc>
        <w:tc>
          <w:tcPr>
            <w:tcW w:w="1079" w:type="dxa"/>
            <w:tcBorders>
              <w:top w:val="single" w:sz="4" w:space="0" w:color="auto"/>
              <w:left w:val="single" w:sz="6" w:space="0" w:color="000000"/>
              <w:bottom w:val="dashSmallGap" w:sz="4" w:space="0" w:color="000000"/>
              <w:right w:val="single" w:sz="6" w:space="0" w:color="000000"/>
            </w:tcBorders>
          </w:tcPr>
          <w:p w:rsidR="00164082" w:rsidRPr="00990D3B" w:rsidP="00164082" w14:paraId="01679095" w14:textId="77777777">
            <w:pPr>
              <w:pStyle w:val="EQRTableText"/>
            </w:pPr>
            <w:r w:rsidRPr="00990D3B">
              <w:t> </w:t>
            </w:r>
          </w:p>
        </w:tc>
        <w:tc>
          <w:tcPr>
            <w:tcW w:w="3327" w:type="dxa"/>
            <w:tcBorders>
              <w:top w:val="single" w:sz="4" w:space="0" w:color="auto"/>
              <w:left w:val="single" w:sz="6" w:space="0" w:color="000000"/>
              <w:bottom w:val="dashSmallGap" w:sz="4" w:space="0" w:color="000000"/>
              <w:right w:val="single" w:sz="6" w:space="0" w:color="000000"/>
            </w:tcBorders>
          </w:tcPr>
          <w:p w:rsidR="00164082" w:rsidRPr="00990D3B" w:rsidP="00164082" w14:paraId="7D2251C2" w14:textId="77777777">
            <w:pPr>
              <w:pStyle w:val="EQRTableText"/>
            </w:pPr>
            <w:r w:rsidRPr="00990D3B">
              <w:t> </w:t>
            </w:r>
          </w:p>
        </w:tc>
      </w:tr>
      <w:tr w14:paraId="4196C006" w14:textId="77777777" w:rsidTr="00BD1FC3">
        <w:tblPrEx>
          <w:tblW w:w="5000" w:type="pct"/>
          <w:tblLayout w:type="fixed"/>
          <w:tblCellMar>
            <w:left w:w="115" w:type="dxa"/>
            <w:right w:w="115" w:type="dxa"/>
          </w:tblCellMar>
          <w:tblLook w:val="0000"/>
        </w:tblPrEx>
        <w:trPr>
          <w:cantSplit/>
          <w:trHeight w:val="345"/>
        </w:trPr>
        <w:tc>
          <w:tcPr>
            <w:tcW w:w="4938" w:type="dxa"/>
            <w:tcBorders>
              <w:top w:val="dashSmallGap" w:sz="4" w:space="0" w:color="000000"/>
              <w:left w:val="single" w:sz="6" w:space="0" w:color="000000"/>
              <w:bottom w:val="single" w:sz="4" w:space="0" w:color="000000"/>
              <w:right w:val="single" w:sz="6" w:space="0" w:color="000000"/>
            </w:tcBorders>
          </w:tcPr>
          <w:p w:rsidR="00164082" w:rsidRPr="00990D3B" w:rsidP="00164082" w14:paraId="3AA98CA4" w14:textId="77777777">
            <w:pPr>
              <w:pStyle w:val="EQRTableTextbullet"/>
              <w:spacing w:line="240" w:lineRule="auto"/>
              <w:ind w:left="216" w:hanging="216"/>
            </w:pPr>
            <w:r w:rsidRPr="00990D3B">
              <w:t>Under-reporting</w:t>
            </w:r>
          </w:p>
        </w:tc>
        <w:tc>
          <w:tcPr>
            <w:tcW w:w="1079" w:type="dxa"/>
            <w:tcBorders>
              <w:top w:val="dashSmallGap" w:sz="4" w:space="0" w:color="000000"/>
              <w:left w:val="single" w:sz="6" w:space="0" w:color="000000"/>
              <w:bottom w:val="single" w:sz="4" w:space="0" w:color="000000"/>
              <w:right w:val="single" w:sz="6" w:space="0" w:color="000000"/>
            </w:tcBorders>
          </w:tcPr>
          <w:p w:rsidR="00164082" w:rsidRPr="00990D3B" w:rsidP="00164082" w14:paraId="158545E6" w14:textId="77777777">
            <w:pPr>
              <w:pStyle w:val="EQRTableText"/>
            </w:pPr>
            <w:r w:rsidRPr="00990D3B">
              <w:t> </w:t>
            </w:r>
          </w:p>
        </w:tc>
        <w:tc>
          <w:tcPr>
            <w:tcW w:w="3327" w:type="dxa"/>
            <w:tcBorders>
              <w:top w:val="dashSmallGap" w:sz="4" w:space="0" w:color="000000"/>
              <w:left w:val="single" w:sz="6" w:space="0" w:color="000000"/>
              <w:bottom w:val="single" w:sz="4" w:space="0" w:color="000000"/>
              <w:right w:val="single" w:sz="6" w:space="0" w:color="000000"/>
            </w:tcBorders>
          </w:tcPr>
          <w:p w:rsidR="00164082" w:rsidRPr="00990D3B" w:rsidP="00164082" w14:paraId="34D7459F" w14:textId="77777777">
            <w:pPr>
              <w:pStyle w:val="EQRTableText"/>
            </w:pPr>
            <w:r w:rsidRPr="00990D3B">
              <w:t> </w:t>
            </w:r>
          </w:p>
        </w:tc>
      </w:tr>
      <w:tr w14:paraId="6145DC6F" w14:textId="77777777" w:rsidTr="00BD1FC3">
        <w:tblPrEx>
          <w:tblW w:w="5000" w:type="pct"/>
          <w:tblLayout w:type="fixed"/>
          <w:tblCellMar>
            <w:left w:w="115" w:type="dxa"/>
            <w:right w:w="115" w:type="dxa"/>
          </w:tblCellMar>
          <w:tblLook w:val="0000"/>
        </w:tblPrEx>
        <w:trPr>
          <w:cantSplit/>
          <w:trHeight w:val="345"/>
        </w:trPr>
        <w:tc>
          <w:tcPr>
            <w:tcW w:w="4938" w:type="dxa"/>
            <w:tcBorders>
              <w:top w:val="dashSmallGap" w:sz="4" w:space="0" w:color="000000"/>
              <w:left w:val="single" w:sz="6" w:space="0" w:color="000000"/>
              <w:bottom w:val="single" w:sz="4" w:space="0" w:color="000000"/>
              <w:right w:val="single" w:sz="6" w:space="0" w:color="000000"/>
            </w:tcBorders>
          </w:tcPr>
          <w:p w:rsidR="00164082" w:rsidRPr="00990D3B" w:rsidP="00164082" w14:paraId="4F518929" w14:textId="77777777">
            <w:pPr>
              <w:pStyle w:val="EQRTableTextbullet"/>
              <w:spacing w:line="240" w:lineRule="auto"/>
              <w:ind w:left="216" w:hanging="216"/>
            </w:pPr>
            <w:r w:rsidRPr="00990D3B">
              <w:t>NA (no bias detected)</w:t>
            </w:r>
          </w:p>
        </w:tc>
        <w:tc>
          <w:tcPr>
            <w:tcW w:w="1079" w:type="dxa"/>
            <w:tcBorders>
              <w:top w:val="dashSmallGap" w:sz="4" w:space="0" w:color="000000"/>
              <w:left w:val="single" w:sz="6" w:space="0" w:color="000000"/>
              <w:bottom w:val="single" w:sz="4" w:space="0" w:color="000000"/>
              <w:right w:val="single" w:sz="6" w:space="0" w:color="000000"/>
            </w:tcBorders>
          </w:tcPr>
          <w:p w:rsidR="00164082" w:rsidRPr="00990D3B" w:rsidP="00164082" w14:paraId="0607C1B7" w14:textId="77777777">
            <w:pPr>
              <w:pStyle w:val="EQRTableText"/>
            </w:pPr>
            <w:r w:rsidRPr="00990D3B">
              <w:t> </w:t>
            </w:r>
          </w:p>
        </w:tc>
        <w:tc>
          <w:tcPr>
            <w:tcW w:w="3327" w:type="dxa"/>
            <w:tcBorders>
              <w:top w:val="dashSmallGap" w:sz="4" w:space="0" w:color="000000"/>
              <w:left w:val="single" w:sz="6" w:space="0" w:color="000000"/>
              <w:bottom w:val="single" w:sz="4" w:space="0" w:color="000000"/>
              <w:right w:val="single" w:sz="6" w:space="0" w:color="000000"/>
            </w:tcBorders>
          </w:tcPr>
          <w:p w:rsidR="00164082" w:rsidRPr="00990D3B" w:rsidP="00164082" w14:paraId="729F3875" w14:textId="77777777">
            <w:pPr>
              <w:pStyle w:val="EQRTableText"/>
            </w:pPr>
            <w:r w:rsidRPr="00990D3B">
              <w:t> </w:t>
            </w:r>
          </w:p>
        </w:tc>
      </w:tr>
      <w:tr w14:paraId="1DB241EB" w14:textId="77777777" w:rsidTr="00BD1FC3">
        <w:tblPrEx>
          <w:tblW w:w="5000" w:type="pct"/>
          <w:tblLayout w:type="fixed"/>
          <w:tblCellMar>
            <w:left w:w="115" w:type="dxa"/>
            <w:right w:w="115" w:type="dxa"/>
          </w:tblCellMar>
          <w:tblLook w:val="0000"/>
        </w:tblPrEx>
        <w:trPr>
          <w:cantSplit/>
          <w:trHeight w:val="345"/>
        </w:trPr>
        <w:tc>
          <w:tcPr>
            <w:tcW w:w="4938" w:type="dxa"/>
            <w:tcBorders>
              <w:top w:val="single" w:sz="4" w:space="0" w:color="000000"/>
              <w:left w:val="single" w:sz="6" w:space="0" w:color="000000"/>
              <w:bottom w:val="single" w:sz="6" w:space="0" w:color="000000"/>
              <w:right w:val="single" w:sz="6" w:space="0" w:color="000000"/>
            </w:tcBorders>
          </w:tcPr>
          <w:p w:rsidR="00164082" w:rsidRPr="00990D3B" w:rsidP="00164082" w14:paraId="502678F2" w14:textId="77777777">
            <w:pPr>
              <w:pStyle w:val="EQRTableText"/>
            </w:pPr>
            <w:r w:rsidRPr="00990D3B">
              <w:t>What documentation was used to estimate the above percentage (e.g., internal reports, studies, comparison to medical records)?</w:t>
            </w:r>
          </w:p>
        </w:tc>
        <w:tc>
          <w:tcPr>
            <w:tcW w:w="1079" w:type="dxa"/>
            <w:tcBorders>
              <w:top w:val="single" w:sz="4" w:space="0" w:color="000000"/>
              <w:left w:val="single" w:sz="6" w:space="0" w:color="000000"/>
              <w:bottom w:val="single" w:sz="6" w:space="0" w:color="000000"/>
              <w:right w:val="single" w:sz="6" w:space="0" w:color="000000"/>
            </w:tcBorders>
          </w:tcPr>
          <w:p w:rsidR="00164082" w:rsidRPr="00990D3B" w:rsidP="00164082" w14:paraId="6EFAC7F5" w14:textId="77777777">
            <w:pPr>
              <w:pStyle w:val="EQRTableText"/>
            </w:pPr>
            <w:r w:rsidRPr="00990D3B">
              <w:t> </w:t>
            </w:r>
          </w:p>
        </w:tc>
        <w:tc>
          <w:tcPr>
            <w:tcW w:w="3327" w:type="dxa"/>
            <w:tcBorders>
              <w:top w:val="single" w:sz="4" w:space="0" w:color="000000"/>
              <w:left w:val="single" w:sz="6" w:space="0" w:color="000000"/>
              <w:bottom w:val="single" w:sz="6" w:space="0" w:color="000000"/>
              <w:right w:val="single" w:sz="6" w:space="0" w:color="000000"/>
            </w:tcBorders>
          </w:tcPr>
          <w:p w:rsidR="00164082" w:rsidRPr="00990D3B" w:rsidP="00164082" w14:paraId="25D5FF5C" w14:textId="77777777">
            <w:pPr>
              <w:pStyle w:val="EQRTableText"/>
            </w:pPr>
            <w:r w:rsidRPr="00990D3B">
              <w:t> </w:t>
            </w:r>
          </w:p>
        </w:tc>
      </w:tr>
    </w:tbl>
    <w:p w:rsidR="00164082" w:rsidRPr="00990D3B" w:rsidP="00A76BD7" w14:paraId="13A73FEF" w14:textId="77777777">
      <w:pPr>
        <w:pStyle w:val="NoSpacing"/>
      </w:pPr>
    </w:p>
    <w:p w:rsidR="00F931A4" w:rsidRPr="00990D3B" w:rsidP="002B40CC" w14:paraId="0FCD34D6" w14:textId="6D6D42C4">
      <w:pPr>
        <w:pStyle w:val="H2EQRWorksheet"/>
      </w:pPr>
      <w:r w:rsidRPr="00990D3B">
        <w:t>Overall Validation Finding</w:t>
      </w:r>
    </w:p>
    <w:p w:rsidR="00F931A4" w:rsidRPr="00990D3B" w:rsidP="00BD1FC3" w14:paraId="4E70B8BA" w14:textId="77777777">
      <w:pPr>
        <w:pStyle w:val="EQRNormalSSWORKSHEET"/>
      </w:pPr>
      <w:r w:rsidRPr="00990D3B">
        <w:t xml:space="preserve">Provide an overall validation finding for each performance measure. The validation finding is determined by the magnitude of the errors detected for the audit elements, not by the number of audit elements determined as “NO.” Consequently, it is possible that an error for a single audit element may result in a designation of “Do Not Report” (DNR) because the impact of the error materially biased the reported performance measure. Conversely, it is also possible that several audit element errors may have little impact on the reported rate and, thus the measure is “Reportable” (R). </w:t>
      </w:r>
    </w:p>
    <w:tbl>
      <w:tblPr>
        <w:tblStyle w:val="TableGrid"/>
        <w:tblW w:w="5000" w:type="pct"/>
        <w:tblLook w:val="04A0"/>
      </w:tblPr>
      <w:tblGrid>
        <w:gridCol w:w="7740"/>
        <w:gridCol w:w="5210"/>
      </w:tblGrid>
      <w:tr w14:paraId="267123AB" w14:textId="77777777" w:rsidTr="00BD1FC3">
        <w:tblPrEx>
          <w:tblW w:w="5000" w:type="pct"/>
          <w:tblLook w:val="04A0"/>
        </w:tblPrEx>
        <w:trPr>
          <w:cantSplit/>
          <w:tblHeader/>
        </w:trPr>
        <w:tc>
          <w:tcPr>
            <w:tcW w:w="5588" w:type="dxa"/>
            <w:tcBorders>
              <w:bottom w:val="single" w:sz="4" w:space="0" w:color="auto"/>
            </w:tcBorders>
            <w:shd w:val="clear" w:color="auto" w:fill="FFFFFF" w:themeFill="background1"/>
            <w:vAlign w:val="bottom"/>
          </w:tcPr>
          <w:p w:rsidR="00F931A4" w:rsidRPr="00990D3B" w:rsidP="002404DD" w14:paraId="556BA03F" w14:textId="71B78AEE">
            <w:pPr>
              <w:pStyle w:val="EQRTableText"/>
              <w:rPr>
                <w:b/>
                <w:bCs/>
              </w:rPr>
            </w:pPr>
            <w:r w:rsidRPr="00990D3B">
              <w:rPr>
                <w:b/>
                <w:bCs/>
              </w:rPr>
              <w:t xml:space="preserve">Performance </w:t>
            </w:r>
            <w:r w:rsidRPr="00990D3B" w:rsidR="00FC1887">
              <w:rPr>
                <w:b/>
                <w:bCs/>
              </w:rPr>
              <w:t>m</w:t>
            </w:r>
            <w:r w:rsidRPr="00990D3B">
              <w:rPr>
                <w:b/>
                <w:bCs/>
              </w:rPr>
              <w:t xml:space="preserve">easure </w:t>
            </w:r>
            <w:r w:rsidRPr="00990D3B" w:rsidR="00FC1887">
              <w:rPr>
                <w:b/>
                <w:bCs/>
              </w:rPr>
              <w:t>v</w:t>
            </w:r>
            <w:r w:rsidRPr="00990D3B">
              <w:rPr>
                <w:b/>
                <w:bCs/>
              </w:rPr>
              <w:t xml:space="preserve">alidation </w:t>
            </w:r>
            <w:r w:rsidRPr="00990D3B" w:rsidR="00FC1887">
              <w:rPr>
                <w:b/>
                <w:bCs/>
              </w:rPr>
              <w:t>f</w:t>
            </w:r>
            <w:r w:rsidRPr="00990D3B">
              <w:rPr>
                <w:b/>
                <w:bCs/>
              </w:rPr>
              <w:t>inding (check one)</w:t>
            </w:r>
          </w:p>
        </w:tc>
        <w:tc>
          <w:tcPr>
            <w:tcW w:w="3762" w:type="dxa"/>
            <w:tcBorders>
              <w:bottom w:val="single" w:sz="4" w:space="0" w:color="auto"/>
            </w:tcBorders>
            <w:shd w:val="clear" w:color="auto" w:fill="FFFFFF" w:themeFill="background1"/>
            <w:vAlign w:val="bottom"/>
          </w:tcPr>
          <w:p w:rsidR="00F931A4" w:rsidRPr="00990D3B" w:rsidP="002404DD" w14:paraId="1CEF6136" w14:textId="77777777">
            <w:pPr>
              <w:pStyle w:val="EQRTableText"/>
              <w:rPr>
                <w:b/>
                <w:bCs/>
              </w:rPr>
            </w:pPr>
            <w:r w:rsidRPr="00990D3B">
              <w:rPr>
                <w:b/>
                <w:bCs/>
              </w:rPr>
              <w:t>Comments</w:t>
            </w:r>
          </w:p>
        </w:tc>
      </w:tr>
      <w:tr w14:paraId="05BF6B4E" w14:textId="77777777" w:rsidTr="00BD1FC3">
        <w:tblPrEx>
          <w:tblW w:w="5000" w:type="pct"/>
          <w:tblLook w:val="04A0"/>
        </w:tblPrEx>
        <w:trPr>
          <w:cantSplit/>
          <w:tblHeader/>
        </w:trPr>
        <w:tc>
          <w:tcPr>
            <w:tcW w:w="5588" w:type="dxa"/>
            <w:vAlign w:val="bottom"/>
          </w:tcPr>
          <w:p w:rsidR="00F931A4" w:rsidRPr="00990D3B" w:rsidP="00C11962" w14:paraId="5D7222CC" w14:textId="77777777">
            <w:pPr>
              <w:pStyle w:val="EQRTableText"/>
            </w:pPr>
            <w:r w:rsidRPr="00990D3B">
              <w:t xml:space="preserve">[  </w:t>
            </w:r>
            <w:r w:rsidRPr="00990D3B">
              <w:t xml:space="preserve">  ]</w:t>
            </w:r>
            <w:r w:rsidRPr="00990D3B">
              <w:t xml:space="preserve">   R = Reportable; measure was compliant with state specifications</w:t>
            </w:r>
          </w:p>
          <w:p w:rsidR="00F931A4" w:rsidRPr="00990D3B" w:rsidP="00C11962" w14:paraId="7EADD77A" w14:textId="77777777">
            <w:pPr>
              <w:pStyle w:val="EQRTableText"/>
            </w:pPr>
            <w:r w:rsidRPr="00990D3B">
              <w:t xml:space="preserve">[  </w:t>
            </w:r>
            <w:r w:rsidRPr="00990D3B">
              <w:t xml:space="preserve">  ]</w:t>
            </w:r>
            <w:r w:rsidRPr="00990D3B">
              <w:t xml:space="preserve">   DNR = Do not report; MCP rate was materially biased and should not be reported</w:t>
            </w:r>
          </w:p>
          <w:p w:rsidR="00F931A4" w:rsidRPr="00990D3B" w:rsidP="00C11962" w14:paraId="6E306EAF" w14:textId="11F66265">
            <w:pPr>
              <w:pStyle w:val="EQRTableText"/>
            </w:pPr>
            <w:r w:rsidRPr="00990D3B">
              <w:t xml:space="preserve">[  </w:t>
            </w:r>
            <w:r w:rsidRPr="00990D3B">
              <w:t xml:space="preserve">  ]</w:t>
            </w:r>
            <w:r w:rsidRPr="00990D3B">
              <w:t xml:space="preserve">   NA = Not </w:t>
            </w:r>
            <w:r w:rsidRPr="00990D3B" w:rsidR="00F07BB9">
              <w:t>A</w:t>
            </w:r>
            <w:r w:rsidRPr="00990D3B">
              <w:t>pplicable; the MCP was not required to report the measure</w:t>
            </w:r>
          </w:p>
          <w:p w:rsidR="00F931A4" w:rsidRPr="00990D3B" w:rsidP="00C11962" w14:paraId="53132A15" w14:textId="77777777">
            <w:pPr>
              <w:pStyle w:val="EQRTableText"/>
              <w:rPr>
                <w:b/>
              </w:rPr>
            </w:pPr>
            <w:r w:rsidRPr="00990D3B">
              <w:t xml:space="preserve">[  </w:t>
            </w:r>
            <w:r w:rsidRPr="00990D3B">
              <w:t xml:space="preserve">  ]</w:t>
            </w:r>
            <w:r w:rsidRPr="00990D3B">
              <w:t xml:space="preserve">   NR = Measure was not reported because the MCP did not offer the required benefit</w:t>
            </w:r>
          </w:p>
        </w:tc>
        <w:tc>
          <w:tcPr>
            <w:tcW w:w="3762" w:type="dxa"/>
            <w:vAlign w:val="bottom"/>
          </w:tcPr>
          <w:p w:rsidR="00F931A4" w:rsidRPr="00990D3B" w:rsidP="002404DD" w14:paraId="214240DF" w14:textId="77777777">
            <w:pPr>
              <w:pStyle w:val="EQRTableText"/>
            </w:pPr>
            <w:r w:rsidRPr="00990D3B">
              <w:t> </w:t>
            </w:r>
          </w:p>
        </w:tc>
      </w:tr>
      <w:tr w14:paraId="65BC4EB6" w14:textId="77777777" w:rsidTr="00BD1FC3">
        <w:tblPrEx>
          <w:tblW w:w="5000" w:type="pct"/>
          <w:tblLook w:val="04A0"/>
        </w:tblPrEx>
        <w:trPr>
          <w:cantSplit/>
        </w:trPr>
        <w:tc>
          <w:tcPr>
            <w:tcW w:w="5588" w:type="dxa"/>
          </w:tcPr>
          <w:p w:rsidR="00F931A4" w:rsidRPr="00990D3B" w:rsidP="002404DD" w14:paraId="1B843CF8" w14:textId="77777777">
            <w:pPr>
              <w:pStyle w:val="EQRTableText"/>
            </w:pPr>
            <w:r w:rsidRPr="00990D3B">
              <w:rPr>
                <w:b/>
              </w:rPr>
              <w:t>Overall assessment</w:t>
            </w:r>
            <w:r w:rsidRPr="00990D3B">
              <w:t>: In the comments section, note justification and recommendations for the validation finding.</w:t>
            </w:r>
          </w:p>
        </w:tc>
        <w:tc>
          <w:tcPr>
            <w:tcW w:w="3762" w:type="dxa"/>
          </w:tcPr>
          <w:p w:rsidR="00F931A4" w:rsidRPr="00990D3B" w:rsidP="002404DD" w14:paraId="3B23C153" w14:textId="77777777">
            <w:pPr>
              <w:pStyle w:val="EQRTableText"/>
            </w:pPr>
            <w:r w:rsidRPr="00990D3B">
              <w:t> </w:t>
            </w:r>
          </w:p>
        </w:tc>
      </w:tr>
    </w:tbl>
    <w:p w:rsidR="00F931A4" w:rsidRPr="00990D3B" w:rsidP="00BD1FC3" w14:paraId="0B2EEBBB" w14:textId="77777777">
      <w:pPr>
        <w:pStyle w:val="EQRNormalSSWORKSHEET"/>
      </w:pPr>
      <w:r w:rsidRPr="00990D3B">
        <w:br w:type="page"/>
      </w:r>
    </w:p>
    <w:p w:rsidR="00F931A4" w:rsidRPr="00990D3B" w:rsidP="00BD1FC3" w14:paraId="22162CDE" w14:textId="77777777">
      <w:pPr>
        <w:pStyle w:val="EQRMarkforExhibitWORKSHEET"/>
      </w:pPr>
      <w:bookmarkStart w:id="290" w:name="_Toc125619146"/>
      <w:bookmarkStart w:id="291" w:name="_Toc201751495"/>
      <w:r w:rsidRPr="00990D3B">
        <w:t>Example of Worksheet 2.2. Performance Measure Validation Template</w:t>
      </w:r>
      <w:bookmarkEnd w:id="290"/>
      <w:bookmarkEnd w:id="291"/>
    </w:p>
    <w:p w:rsidR="00F931A4" w:rsidRPr="00990D3B" w:rsidP="00BD1FC3" w14:paraId="47C40283" w14:textId="5920468D">
      <w:pPr>
        <w:pStyle w:val="EQRNormalSSWORKSHEET"/>
      </w:pPr>
      <w:r w:rsidRPr="00990D3B">
        <w:t xml:space="preserve">Below is an example of a completed, customized performance measure validation worksheet </w:t>
      </w:r>
      <w:r w:rsidRPr="00990D3B">
        <w:t>similar to</w:t>
      </w:r>
      <w:r w:rsidRPr="00990D3B">
        <w:t xml:space="preserve"> what an EQRO would prepare before its site visit. This </w:t>
      </w:r>
      <w:r w:rsidRPr="00990D3B" w:rsidR="00422FC0">
        <w:t xml:space="preserve">example </w:t>
      </w:r>
      <w:r w:rsidRPr="00990D3B">
        <w:t>is based on the Child and Adult Core Set specifications for the performance measure.</w:t>
      </w:r>
    </w:p>
    <w:p w:rsidR="001F01C9" w:rsidRPr="00990D3B" w:rsidP="00BD1FC3" w14:paraId="6FF97A14" w14:textId="69ABAA02">
      <w:pPr>
        <w:pStyle w:val="EQRNormalSSWORKSHEET"/>
        <w:rPr>
          <w:bCs/>
        </w:rPr>
      </w:pPr>
      <w:r w:rsidRPr="00990D3B">
        <w:rPr>
          <w:b/>
        </w:rPr>
        <w:t>MCP name</w:t>
      </w:r>
      <w:r w:rsidRPr="00990D3B">
        <w:rPr>
          <w:bCs/>
        </w:rPr>
        <w:t xml:space="preserve">: </w:t>
      </w:r>
      <w:r w:rsidRPr="00990D3B">
        <w:rPr>
          <w:bCs/>
          <w:u w:val="single"/>
        </w:rPr>
        <w:t>Plan A</w:t>
      </w:r>
    </w:p>
    <w:p w:rsidR="00F931A4" w:rsidRPr="00990D3B" w:rsidP="00BD1FC3" w14:paraId="45A12877" w14:textId="69940E67">
      <w:pPr>
        <w:pStyle w:val="EQRNormalSSWORKSHEET"/>
        <w:rPr>
          <w:u w:val="single"/>
        </w:rPr>
      </w:pPr>
      <w:r w:rsidRPr="00990D3B">
        <w:rPr>
          <w:b/>
        </w:rPr>
        <w:t xml:space="preserve">Performance </w:t>
      </w:r>
      <w:r w:rsidRPr="00990D3B" w:rsidR="001F01C9">
        <w:rPr>
          <w:b/>
        </w:rPr>
        <w:t>m</w:t>
      </w:r>
      <w:r w:rsidRPr="00990D3B">
        <w:rPr>
          <w:b/>
        </w:rPr>
        <w:t>easure</w:t>
      </w:r>
      <w:r w:rsidRPr="00990D3B" w:rsidR="002F429C">
        <w:rPr>
          <w:b/>
          <w:u w:val="single"/>
        </w:rPr>
        <w:t>:</w:t>
      </w:r>
      <w:r w:rsidRPr="00990D3B">
        <w:rPr>
          <w:u w:val="single"/>
        </w:rPr>
        <w:t xml:space="preserve"> Chlamydia Screening in Women </w:t>
      </w:r>
      <w:r w:rsidRPr="00990D3B" w:rsidR="002F429C">
        <w:rPr>
          <w:u w:val="single"/>
        </w:rPr>
        <w:t xml:space="preserve">Ages 16 to 20 (CHL-CH) and </w:t>
      </w:r>
      <w:r w:rsidRPr="00990D3B">
        <w:rPr>
          <w:u w:val="single"/>
        </w:rPr>
        <w:t xml:space="preserve">Ages 21 </w:t>
      </w:r>
      <w:r w:rsidRPr="00990D3B" w:rsidR="002F429C">
        <w:rPr>
          <w:u w:val="single"/>
        </w:rPr>
        <w:t>to</w:t>
      </w:r>
      <w:r w:rsidRPr="00990D3B">
        <w:rPr>
          <w:u w:val="single"/>
        </w:rPr>
        <w:t xml:space="preserve"> 24 (CHL-AD) (NCQA)</w:t>
      </w:r>
    </w:p>
    <w:p w:rsidR="00F931A4" w:rsidRPr="00990D3B" w:rsidP="00BD1FC3" w14:paraId="529A4501" w14:textId="5430C91C">
      <w:pPr>
        <w:pStyle w:val="EQRNormalSSWORKSHEET"/>
      </w:pPr>
      <w:r w:rsidRPr="00990D3B">
        <w:rPr>
          <w:b/>
        </w:rPr>
        <w:t xml:space="preserve">Method for </w:t>
      </w:r>
      <w:r w:rsidRPr="00990D3B" w:rsidR="001F01C9">
        <w:rPr>
          <w:b/>
        </w:rPr>
        <w:t>c</w:t>
      </w:r>
      <w:r w:rsidRPr="00990D3B">
        <w:rPr>
          <w:b/>
        </w:rPr>
        <w:t xml:space="preserve">alculating </w:t>
      </w:r>
      <w:r w:rsidRPr="00990D3B" w:rsidR="001F01C9">
        <w:rPr>
          <w:b/>
        </w:rPr>
        <w:t>m</w:t>
      </w:r>
      <w:r w:rsidRPr="00990D3B">
        <w:rPr>
          <w:b/>
        </w:rPr>
        <w:t xml:space="preserve">easure: </w:t>
      </w:r>
      <w:r w:rsidRPr="00990D3B">
        <w:t xml:space="preserve"> [</w:t>
      </w:r>
      <w:r w:rsidRPr="00990D3B">
        <w:t xml:space="preserve"> </w:t>
      </w:r>
      <w:r w:rsidRPr="00990D3B">
        <w:t>X  ]</w:t>
      </w:r>
      <w:r w:rsidRPr="00990D3B">
        <w:t xml:space="preserve">  Admin </w:t>
      </w:r>
      <w:r w:rsidRPr="00990D3B">
        <w:t xml:space="preserve">   [  ]</w:t>
      </w:r>
      <w:r w:rsidRPr="00990D3B">
        <w:t xml:space="preserve">  Medical Record Review</w:t>
      </w:r>
      <w:r w:rsidRPr="00990D3B">
        <w:t xml:space="preserve">   [  ]</w:t>
      </w:r>
      <w:r w:rsidRPr="00990D3B">
        <w:t xml:space="preserve">  Hybrid</w:t>
      </w:r>
      <w:r w:rsidRPr="00990D3B">
        <w:t xml:space="preserve">   [  ]</w:t>
      </w:r>
      <w:r w:rsidRPr="00990D3B">
        <w:t xml:space="preserve"> EH</w:t>
      </w:r>
      <w:r w:rsidRPr="00990D3B" w:rsidR="007854DF">
        <w:t xml:space="preserve">R </w:t>
      </w:r>
      <w:r w:rsidRPr="00990D3B">
        <w:t>[  ]</w:t>
      </w:r>
      <w:r w:rsidRPr="00990D3B">
        <w:t xml:space="preserve">  Survey</w:t>
      </w:r>
    </w:p>
    <w:tbl>
      <w:tblPr>
        <w:tblStyle w:val="TableGrid"/>
        <w:tblW w:w="5000" w:type="pct"/>
        <w:tblLayout w:type="fixed"/>
        <w:tblLook w:val="04A0"/>
      </w:tblPr>
      <w:tblGrid>
        <w:gridCol w:w="4315"/>
        <w:gridCol w:w="4950"/>
        <w:gridCol w:w="720"/>
        <w:gridCol w:w="630"/>
        <w:gridCol w:w="630"/>
        <w:gridCol w:w="1705"/>
      </w:tblGrid>
      <w:tr w14:paraId="2BF8E395" w14:textId="77777777" w:rsidTr="00651D5A">
        <w:tblPrEx>
          <w:tblW w:w="5000" w:type="pct"/>
          <w:tblLayout w:type="fixed"/>
          <w:tblLook w:val="04A0"/>
        </w:tblPrEx>
        <w:trPr>
          <w:cantSplit/>
          <w:tblHeader/>
        </w:trPr>
        <w:tc>
          <w:tcPr>
            <w:tcW w:w="4315" w:type="dxa"/>
            <w:vAlign w:val="bottom"/>
          </w:tcPr>
          <w:p w:rsidR="00FC1887" w:rsidRPr="00990D3B" w:rsidP="00FC1887" w14:paraId="03562729" w14:textId="2D9D5291">
            <w:pPr>
              <w:pStyle w:val="EQRTableText"/>
              <w:rPr>
                <w:b/>
                <w:bCs/>
              </w:rPr>
            </w:pPr>
            <w:r w:rsidRPr="00990D3B">
              <w:rPr>
                <w:b/>
                <w:bCs/>
              </w:rPr>
              <w:t xml:space="preserve">Validation component </w:t>
            </w:r>
          </w:p>
        </w:tc>
        <w:tc>
          <w:tcPr>
            <w:tcW w:w="4950" w:type="dxa"/>
            <w:vAlign w:val="bottom"/>
          </w:tcPr>
          <w:p w:rsidR="00FC1887" w:rsidRPr="00990D3B" w:rsidP="00FC1887" w14:paraId="1B2903AC" w14:textId="3B44F04F">
            <w:pPr>
              <w:pStyle w:val="EQRTableText"/>
              <w:rPr>
                <w:b/>
                <w:bCs/>
              </w:rPr>
            </w:pPr>
            <w:r w:rsidRPr="00990D3B">
              <w:rPr>
                <w:b/>
                <w:bCs/>
              </w:rPr>
              <w:t>Audit specifications</w:t>
            </w:r>
          </w:p>
        </w:tc>
        <w:tc>
          <w:tcPr>
            <w:tcW w:w="720" w:type="dxa"/>
            <w:vAlign w:val="bottom"/>
          </w:tcPr>
          <w:p w:rsidR="00FC1887" w:rsidRPr="00990D3B" w:rsidP="00FC1887" w14:paraId="0F7EA4AB" w14:textId="1AA6CA06">
            <w:pPr>
              <w:pStyle w:val="EQRTableText"/>
              <w:jc w:val="center"/>
              <w:rPr>
                <w:b/>
                <w:bCs/>
              </w:rPr>
            </w:pPr>
            <w:r w:rsidRPr="00990D3B">
              <w:rPr>
                <w:b/>
                <w:bCs/>
              </w:rPr>
              <w:t>Yes</w:t>
            </w:r>
          </w:p>
        </w:tc>
        <w:tc>
          <w:tcPr>
            <w:tcW w:w="630" w:type="dxa"/>
            <w:vAlign w:val="bottom"/>
          </w:tcPr>
          <w:p w:rsidR="00FC1887" w:rsidRPr="00990D3B" w:rsidP="00FC1887" w14:paraId="087FFD08" w14:textId="3C9DAE47">
            <w:pPr>
              <w:pStyle w:val="EQRTableText"/>
              <w:jc w:val="center"/>
              <w:rPr>
                <w:b/>
                <w:bCs/>
              </w:rPr>
            </w:pPr>
            <w:r w:rsidRPr="00990D3B">
              <w:rPr>
                <w:b/>
                <w:bCs/>
              </w:rPr>
              <w:t>No</w:t>
            </w:r>
          </w:p>
        </w:tc>
        <w:tc>
          <w:tcPr>
            <w:tcW w:w="630" w:type="dxa"/>
            <w:vAlign w:val="bottom"/>
          </w:tcPr>
          <w:p w:rsidR="00FC1887" w:rsidRPr="00990D3B" w:rsidP="00FC1887" w14:paraId="311AC545" w14:textId="41D58727">
            <w:pPr>
              <w:pStyle w:val="EQRTableText"/>
              <w:jc w:val="center"/>
              <w:rPr>
                <w:b/>
                <w:bCs/>
              </w:rPr>
            </w:pPr>
            <w:r w:rsidRPr="00990D3B">
              <w:rPr>
                <w:b/>
                <w:bCs/>
              </w:rPr>
              <w:t>NA</w:t>
            </w:r>
          </w:p>
        </w:tc>
        <w:tc>
          <w:tcPr>
            <w:tcW w:w="1705" w:type="dxa"/>
            <w:vAlign w:val="bottom"/>
          </w:tcPr>
          <w:p w:rsidR="00FC1887" w:rsidRPr="00990D3B" w:rsidP="00FC1887" w14:paraId="6B0EA5BB" w14:textId="4775D1CD">
            <w:pPr>
              <w:pStyle w:val="EQRTableText"/>
              <w:jc w:val="center"/>
              <w:rPr>
                <w:b/>
                <w:bCs/>
              </w:rPr>
            </w:pPr>
            <w:r w:rsidRPr="00990D3B">
              <w:rPr>
                <w:b/>
                <w:bCs/>
              </w:rPr>
              <w:t>Comments</w:t>
            </w:r>
          </w:p>
        </w:tc>
      </w:tr>
      <w:tr w14:paraId="654E73A8" w14:textId="77777777" w:rsidTr="00651D5A">
        <w:tblPrEx>
          <w:tblW w:w="5000" w:type="pct"/>
          <w:tblLayout w:type="fixed"/>
          <w:tblLook w:val="04A0"/>
        </w:tblPrEx>
        <w:trPr>
          <w:cantSplit/>
        </w:trPr>
        <w:tc>
          <w:tcPr>
            <w:tcW w:w="4315" w:type="dxa"/>
          </w:tcPr>
          <w:p w:rsidR="00F931A4" w:rsidRPr="00990D3B" w:rsidP="00E55180" w14:paraId="063F8D4B" w14:textId="77777777">
            <w:pPr>
              <w:pStyle w:val="EQRTableText"/>
              <w:keepNext/>
              <w:rPr>
                <w:b/>
              </w:rPr>
            </w:pPr>
            <w:r w:rsidRPr="00990D3B">
              <w:rPr>
                <w:b/>
              </w:rPr>
              <w:t>Documentation:</w:t>
            </w:r>
          </w:p>
        </w:tc>
        <w:tc>
          <w:tcPr>
            <w:tcW w:w="4950" w:type="dxa"/>
            <w:shd w:val="clear" w:color="auto" w:fill="BFBFBF" w:themeFill="background1" w:themeFillShade="BF"/>
          </w:tcPr>
          <w:p w:rsidR="00F931A4" w:rsidRPr="00990D3B" w:rsidP="00E55180" w14:paraId="4F1C38A2" w14:textId="77777777">
            <w:pPr>
              <w:pStyle w:val="EQRTableText"/>
            </w:pPr>
            <w:r w:rsidRPr="00990D3B">
              <w:t> </w:t>
            </w:r>
          </w:p>
        </w:tc>
        <w:tc>
          <w:tcPr>
            <w:tcW w:w="720" w:type="dxa"/>
            <w:tcBorders>
              <w:bottom w:val="single" w:sz="4" w:space="0" w:color="000000" w:themeColor="text1"/>
            </w:tcBorders>
            <w:shd w:val="clear" w:color="auto" w:fill="BFBFBF" w:themeFill="background1" w:themeFillShade="BF"/>
          </w:tcPr>
          <w:p w:rsidR="00F931A4" w:rsidRPr="00990D3B" w:rsidP="00E55180" w14:paraId="08B57626" w14:textId="77777777">
            <w:pPr>
              <w:pStyle w:val="EQRTableText"/>
            </w:pPr>
            <w:r w:rsidRPr="00990D3B">
              <w:t> </w:t>
            </w:r>
          </w:p>
        </w:tc>
        <w:tc>
          <w:tcPr>
            <w:tcW w:w="630" w:type="dxa"/>
            <w:tcBorders>
              <w:bottom w:val="single" w:sz="4" w:space="0" w:color="000000" w:themeColor="text1"/>
            </w:tcBorders>
            <w:shd w:val="clear" w:color="auto" w:fill="BFBFBF" w:themeFill="background1" w:themeFillShade="BF"/>
          </w:tcPr>
          <w:p w:rsidR="00F931A4" w:rsidRPr="00990D3B" w:rsidP="00E55180" w14:paraId="3482345F" w14:textId="77777777">
            <w:pPr>
              <w:pStyle w:val="EQRTableText"/>
            </w:pPr>
            <w:r w:rsidRPr="00990D3B">
              <w:t> </w:t>
            </w:r>
          </w:p>
        </w:tc>
        <w:tc>
          <w:tcPr>
            <w:tcW w:w="630" w:type="dxa"/>
            <w:tcBorders>
              <w:bottom w:val="single" w:sz="4" w:space="0" w:color="000000" w:themeColor="text1"/>
            </w:tcBorders>
            <w:shd w:val="clear" w:color="auto" w:fill="BFBFBF" w:themeFill="background1" w:themeFillShade="BF"/>
          </w:tcPr>
          <w:p w:rsidR="00F931A4" w:rsidRPr="00990D3B" w:rsidP="00E55180" w14:paraId="021FEC91" w14:textId="77777777">
            <w:pPr>
              <w:pStyle w:val="EQRTableText"/>
            </w:pPr>
            <w:r w:rsidRPr="00990D3B">
              <w:t> </w:t>
            </w:r>
          </w:p>
        </w:tc>
        <w:tc>
          <w:tcPr>
            <w:tcW w:w="1705" w:type="dxa"/>
            <w:shd w:val="clear" w:color="auto" w:fill="BFBFBF" w:themeFill="background1" w:themeFillShade="BF"/>
          </w:tcPr>
          <w:p w:rsidR="00F931A4" w:rsidRPr="00990D3B" w:rsidP="00E55180" w14:paraId="1DC3382A" w14:textId="77777777">
            <w:pPr>
              <w:pStyle w:val="EQRTableText"/>
            </w:pPr>
            <w:r w:rsidRPr="00990D3B">
              <w:t> </w:t>
            </w:r>
          </w:p>
        </w:tc>
      </w:tr>
      <w:tr w14:paraId="68BE8DD4" w14:textId="77777777" w:rsidTr="00651D5A">
        <w:tblPrEx>
          <w:tblW w:w="5000" w:type="pct"/>
          <w:tblLayout w:type="fixed"/>
          <w:tblLook w:val="04A0"/>
        </w:tblPrEx>
        <w:trPr>
          <w:cantSplit/>
        </w:trPr>
        <w:tc>
          <w:tcPr>
            <w:tcW w:w="4315" w:type="dxa"/>
          </w:tcPr>
          <w:p w:rsidR="00F931A4" w:rsidRPr="00990D3B" w:rsidP="00E55180" w14:paraId="0DB7E10E" w14:textId="77777777">
            <w:pPr>
              <w:pStyle w:val="EQRTableText"/>
            </w:pPr>
            <w:r w:rsidRPr="00990D3B">
              <w:t>Did appropriate and complete measurement plans and programming specifications exist, including data sources, programming logic, and computer source code?</w:t>
            </w:r>
          </w:p>
        </w:tc>
        <w:tc>
          <w:tcPr>
            <w:tcW w:w="4950" w:type="dxa"/>
          </w:tcPr>
          <w:p w:rsidR="00F931A4" w:rsidRPr="00990D3B" w:rsidP="00F931A4" w14:paraId="62419493" w14:textId="77777777">
            <w:pPr>
              <w:pStyle w:val="EQRTableTextbullet"/>
              <w:spacing w:line="240" w:lineRule="auto"/>
              <w:ind w:left="216" w:hanging="216"/>
            </w:pPr>
            <w:r w:rsidRPr="00990D3B">
              <w:t>Obtain and review all file layouts, code, documentation</w:t>
            </w:r>
          </w:p>
          <w:p w:rsidR="00F931A4" w:rsidRPr="00990D3B" w:rsidP="00F931A4" w14:paraId="08EDB7FA" w14:textId="77777777">
            <w:pPr>
              <w:pStyle w:val="EQRTableTextbullet"/>
              <w:spacing w:line="240" w:lineRule="auto"/>
              <w:ind w:left="216" w:hanging="216"/>
            </w:pPr>
            <w:r w:rsidRPr="00990D3B">
              <w:t>Code and documentation mapped to measure specification</w:t>
            </w:r>
          </w:p>
        </w:tc>
        <w:tc>
          <w:tcPr>
            <w:tcW w:w="720" w:type="dxa"/>
            <w:tcBorders>
              <w:bottom w:val="single" w:sz="4" w:space="0" w:color="000000" w:themeColor="text1"/>
            </w:tcBorders>
          </w:tcPr>
          <w:p w:rsidR="00F931A4" w:rsidRPr="00990D3B" w:rsidP="00FC1887" w14:paraId="22B7ACDE" w14:textId="77777777">
            <w:pPr>
              <w:pStyle w:val="EQRTableText"/>
              <w:jc w:val="center"/>
            </w:pPr>
            <w:r w:rsidRPr="00990D3B">
              <w:t>X</w:t>
            </w:r>
          </w:p>
        </w:tc>
        <w:tc>
          <w:tcPr>
            <w:tcW w:w="630" w:type="dxa"/>
            <w:tcBorders>
              <w:bottom w:val="single" w:sz="4" w:space="0" w:color="000000" w:themeColor="text1"/>
            </w:tcBorders>
          </w:tcPr>
          <w:p w:rsidR="00F931A4" w:rsidRPr="00990D3B" w:rsidP="00E55180" w14:paraId="7B6F7937" w14:textId="77777777">
            <w:pPr>
              <w:pStyle w:val="EQRTableText"/>
            </w:pPr>
            <w:r w:rsidRPr="00990D3B">
              <w:t> </w:t>
            </w:r>
          </w:p>
        </w:tc>
        <w:tc>
          <w:tcPr>
            <w:tcW w:w="630" w:type="dxa"/>
            <w:tcBorders>
              <w:bottom w:val="single" w:sz="4" w:space="0" w:color="000000" w:themeColor="text1"/>
            </w:tcBorders>
          </w:tcPr>
          <w:p w:rsidR="00F931A4" w:rsidRPr="00990D3B" w:rsidP="00E55180" w14:paraId="7E8A3880" w14:textId="77777777">
            <w:pPr>
              <w:pStyle w:val="EQRTableText"/>
            </w:pPr>
            <w:r w:rsidRPr="00990D3B">
              <w:t> </w:t>
            </w:r>
          </w:p>
        </w:tc>
        <w:tc>
          <w:tcPr>
            <w:tcW w:w="1705" w:type="dxa"/>
          </w:tcPr>
          <w:p w:rsidR="00F931A4" w:rsidRPr="00990D3B" w:rsidP="00E55180" w14:paraId="17A67AB7" w14:textId="77777777">
            <w:pPr>
              <w:pStyle w:val="EQRTableText"/>
            </w:pPr>
            <w:r w:rsidRPr="00990D3B">
              <w:t> </w:t>
            </w:r>
          </w:p>
        </w:tc>
      </w:tr>
      <w:tr w14:paraId="07A2406C" w14:textId="77777777" w:rsidTr="00651D5A">
        <w:tblPrEx>
          <w:tblW w:w="5000" w:type="pct"/>
          <w:tblLayout w:type="fixed"/>
          <w:tblLook w:val="04A0"/>
        </w:tblPrEx>
        <w:trPr>
          <w:cantSplit/>
        </w:trPr>
        <w:tc>
          <w:tcPr>
            <w:tcW w:w="4315" w:type="dxa"/>
          </w:tcPr>
          <w:p w:rsidR="00F931A4" w:rsidRPr="00990D3B" w:rsidP="00E55180" w14:paraId="7153E590" w14:textId="77777777">
            <w:pPr>
              <w:pStyle w:val="EQRTableText"/>
              <w:keepNext/>
              <w:rPr>
                <w:b/>
              </w:rPr>
            </w:pPr>
            <w:r w:rsidRPr="00990D3B">
              <w:rPr>
                <w:b/>
              </w:rPr>
              <w:t>Denominator:</w:t>
            </w:r>
          </w:p>
        </w:tc>
        <w:tc>
          <w:tcPr>
            <w:tcW w:w="4950" w:type="dxa"/>
            <w:shd w:val="clear" w:color="auto" w:fill="BFBFBF" w:themeFill="background1" w:themeFillShade="BF"/>
          </w:tcPr>
          <w:p w:rsidR="00F931A4" w:rsidRPr="00990D3B" w:rsidP="00E55180" w14:paraId="3A9AC691" w14:textId="77777777">
            <w:pPr>
              <w:pStyle w:val="EQRTableText"/>
            </w:pPr>
            <w:r w:rsidRPr="00990D3B">
              <w:t> </w:t>
            </w:r>
          </w:p>
        </w:tc>
        <w:tc>
          <w:tcPr>
            <w:tcW w:w="720" w:type="dxa"/>
            <w:shd w:val="clear" w:color="auto" w:fill="BFBFBF" w:themeFill="background1" w:themeFillShade="BF"/>
          </w:tcPr>
          <w:p w:rsidR="00F931A4" w:rsidRPr="00990D3B" w:rsidP="00FC1887" w14:paraId="5EC068E3" w14:textId="5F9E0988">
            <w:pPr>
              <w:pStyle w:val="EQRTableText"/>
              <w:jc w:val="center"/>
            </w:pPr>
          </w:p>
        </w:tc>
        <w:tc>
          <w:tcPr>
            <w:tcW w:w="630" w:type="dxa"/>
            <w:shd w:val="clear" w:color="auto" w:fill="BFBFBF" w:themeFill="background1" w:themeFillShade="BF"/>
          </w:tcPr>
          <w:p w:rsidR="00F931A4" w:rsidRPr="00990D3B" w:rsidP="00E55180" w14:paraId="1684BFDB" w14:textId="77777777">
            <w:pPr>
              <w:pStyle w:val="EQRTableText"/>
            </w:pPr>
            <w:r w:rsidRPr="00990D3B">
              <w:t> </w:t>
            </w:r>
          </w:p>
        </w:tc>
        <w:tc>
          <w:tcPr>
            <w:tcW w:w="630" w:type="dxa"/>
            <w:shd w:val="clear" w:color="auto" w:fill="BFBFBF" w:themeFill="background1" w:themeFillShade="BF"/>
          </w:tcPr>
          <w:p w:rsidR="00F931A4" w:rsidRPr="00990D3B" w:rsidP="00E55180" w14:paraId="7DC103E7" w14:textId="77777777">
            <w:pPr>
              <w:pStyle w:val="EQRTableText"/>
            </w:pPr>
            <w:r w:rsidRPr="00990D3B">
              <w:t> </w:t>
            </w:r>
          </w:p>
        </w:tc>
        <w:tc>
          <w:tcPr>
            <w:tcW w:w="1705" w:type="dxa"/>
            <w:shd w:val="clear" w:color="auto" w:fill="BFBFBF" w:themeFill="background1" w:themeFillShade="BF"/>
          </w:tcPr>
          <w:p w:rsidR="00F931A4" w:rsidRPr="00990D3B" w:rsidP="00E55180" w14:paraId="70BFC2D4" w14:textId="77777777">
            <w:pPr>
              <w:pStyle w:val="EQRTableText"/>
            </w:pPr>
            <w:r w:rsidRPr="00990D3B">
              <w:t> </w:t>
            </w:r>
          </w:p>
        </w:tc>
      </w:tr>
      <w:tr w14:paraId="5912E2A9" w14:textId="77777777" w:rsidTr="00651D5A">
        <w:tblPrEx>
          <w:tblW w:w="5000" w:type="pct"/>
          <w:tblLayout w:type="fixed"/>
          <w:tblLook w:val="04A0"/>
        </w:tblPrEx>
        <w:trPr>
          <w:cantSplit/>
        </w:trPr>
        <w:tc>
          <w:tcPr>
            <w:tcW w:w="4315" w:type="dxa"/>
          </w:tcPr>
          <w:p w:rsidR="00F931A4" w:rsidRPr="00990D3B" w:rsidP="00E55180" w14:paraId="768E1705" w14:textId="77777777">
            <w:pPr>
              <w:pStyle w:val="EQRTableText"/>
            </w:pPr>
            <w:r w:rsidRPr="00990D3B">
              <w:t>Were all the data sources used to calculate the denominator complete and accurate (e.g., eligibility files, claims files, provider files, pharmacy records)?</w:t>
            </w:r>
          </w:p>
        </w:tc>
        <w:tc>
          <w:tcPr>
            <w:tcW w:w="4950" w:type="dxa"/>
          </w:tcPr>
          <w:p w:rsidR="00F931A4" w:rsidRPr="00990D3B" w:rsidP="00E55180" w14:paraId="441605F7" w14:textId="77777777">
            <w:pPr>
              <w:pStyle w:val="EQRTableText"/>
            </w:pPr>
            <w:r w:rsidRPr="00990D3B">
              <w:t> </w:t>
            </w:r>
          </w:p>
        </w:tc>
        <w:tc>
          <w:tcPr>
            <w:tcW w:w="720" w:type="dxa"/>
          </w:tcPr>
          <w:p w:rsidR="00F931A4" w:rsidRPr="00990D3B" w:rsidP="00FC1887" w14:paraId="1BEFA4FB" w14:textId="77777777">
            <w:pPr>
              <w:pStyle w:val="EQRTableText"/>
              <w:jc w:val="center"/>
            </w:pPr>
            <w:r w:rsidRPr="00990D3B">
              <w:t>X</w:t>
            </w:r>
          </w:p>
        </w:tc>
        <w:tc>
          <w:tcPr>
            <w:tcW w:w="630" w:type="dxa"/>
          </w:tcPr>
          <w:p w:rsidR="00F931A4" w:rsidRPr="00990D3B" w:rsidP="00E55180" w14:paraId="5398F944" w14:textId="77777777">
            <w:pPr>
              <w:pStyle w:val="EQRTableText"/>
            </w:pPr>
            <w:r w:rsidRPr="00990D3B">
              <w:t> </w:t>
            </w:r>
          </w:p>
        </w:tc>
        <w:tc>
          <w:tcPr>
            <w:tcW w:w="630" w:type="dxa"/>
          </w:tcPr>
          <w:p w:rsidR="00F931A4" w:rsidRPr="00990D3B" w:rsidP="00E55180" w14:paraId="2E9F7581" w14:textId="77777777">
            <w:pPr>
              <w:pStyle w:val="EQRTableText"/>
            </w:pPr>
            <w:r w:rsidRPr="00990D3B">
              <w:t> </w:t>
            </w:r>
          </w:p>
        </w:tc>
        <w:tc>
          <w:tcPr>
            <w:tcW w:w="1705" w:type="dxa"/>
          </w:tcPr>
          <w:p w:rsidR="00F931A4" w:rsidRPr="00990D3B" w:rsidP="00E55180" w14:paraId="366B9A80" w14:textId="77777777">
            <w:pPr>
              <w:pStyle w:val="EQRTableText"/>
            </w:pPr>
            <w:r w:rsidRPr="00990D3B">
              <w:t> </w:t>
            </w:r>
          </w:p>
        </w:tc>
      </w:tr>
      <w:tr w14:paraId="44F6292F" w14:textId="77777777" w:rsidTr="00651D5A">
        <w:tblPrEx>
          <w:tblW w:w="5000" w:type="pct"/>
          <w:tblLayout w:type="fixed"/>
          <w:tblLook w:val="04A0"/>
        </w:tblPrEx>
        <w:trPr>
          <w:cantSplit/>
        </w:trPr>
        <w:tc>
          <w:tcPr>
            <w:tcW w:w="4315" w:type="dxa"/>
          </w:tcPr>
          <w:p w:rsidR="00F931A4" w:rsidRPr="00990D3B" w:rsidP="00E55180" w14:paraId="448E5625" w14:textId="45ADD9AE">
            <w:pPr>
              <w:pStyle w:val="EQRTableText"/>
            </w:pPr>
            <w:r w:rsidRPr="00990D3B">
              <w:t xml:space="preserve">Did the calculation of the performance measure adhere to the specifications for all components of the denominator (e.g., </w:t>
            </w:r>
            <w:r w:rsidRPr="00990D3B" w:rsidR="002F4DD4">
              <w:t>enrollee</w:t>
            </w:r>
            <w:r w:rsidRPr="00990D3B">
              <w:t xml:space="preserve"> ID, age, sex, continuous enrollment, clinical codes such as ICD-10, CPT</w:t>
            </w:r>
            <w:r w:rsidRPr="00990D3B">
              <w:rPr>
                <w:rFonts w:cs="Arial"/>
              </w:rPr>
              <w:t>®</w:t>
            </w:r>
            <w:r w:rsidRPr="00990D3B">
              <w:t xml:space="preserve">, DRGs, </w:t>
            </w:r>
            <w:r w:rsidRPr="00990D3B" w:rsidR="002F4DD4">
              <w:t>enrollee</w:t>
            </w:r>
            <w:r w:rsidRPr="00990D3B">
              <w:t xml:space="preserve"> months/</w:t>
            </w:r>
            <w:r w:rsidRPr="00990D3B" w:rsidR="002F4DD4">
              <w:t>enrollee</w:t>
            </w:r>
            <w:r w:rsidRPr="00990D3B">
              <w:t xml:space="preserve"> years, and adherence to the measurement period)?</w:t>
            </w:r>
          </w:p>
        </w:tc>
        <w:tc>
          <w:tcPr>
            <w:tcW w:w="4950" w:type="dxa"/>
          </w:tcPr>
          <w:p w:rsidR="00F931A4" w:rsidRPr="00990D3B" w:rsidP="00F931A4" w14:paraId="238BA0BC" w14:textId="6B951103">
            <w:pPr>
              <w:pStyle w:val="EQRTableTextbullet"/>
              <w:spacing w:line="240" w:lineRule="auto"/>
              <w:ind w:left="216" w:hanging="216"/>
            </w:pPr>
            <w:r w:rsidRPr="00990D3B">
              <w:t xml:space="preserve">Medicaid population </w:t>
            </w:r>
            <w:r w:rsidRPr="00990D3B">
              <w:t>appropriate</w:t>
            </w:r>
            <w:r w:rsidRPr="00990D3B" w:rsidR="00916BCA">
              <w:t>ly</w:t>
            </w:r>
            <w:r w:rsidRPr="00990D3B">
              <w:t xml:space="preserve"> segregated from commercial</w:t>
            </w:r>
            <w:r w:rsidRPr="00990D3B" w:rsidR="00916BCA">
              <w:t xml:space="preserve"> and </w:t>
            </w:r>
            <w:r w:rsidRPr="00990D3B">
              <w:t>Medicare</w:t>
            </w:r>
          </w:p>
          <w:p w:rsidR="00F931A4" w:rsidRPr="00990D3B" w:rsidP="00F931A4" w14:paraId="3EA2173A" w14:textId="77777777">
            <w:pPr>
              <w:pStyle w:val="EQRTableTextbullet"/>
              <w:spacing w:line="240" w:lineRule="auto"/>
              <w:ind w:left="216" w:hanging="216"/>
            </w:pPr>
            <w:r w:rsidRPr="00990D3B">
              <w:t xml:space="preserve">Population </w:t>
            </w:r>
            <w:r w:rsidRPr="00990D3B">
              <w:t>defined as</w:t>
            </w:r>
            <w:r w:rsidRPr="00990D3B">
              <w:t xml:space="preserve"> active Medicaid enrollment as of 12/31 of measurement year</w:t>
            </w:r>
          </w:p>
          <w:p w:rsidR="00F931A4" w:rsidRPr="00990D3B" w:rsidP="00F931A4" w14:paraId="6B61D81F" w14:textId="50BA82EB">
            <w:pPr>
              <w:pStyle w:val="EQRTableTextbullet"/>
              <w:spacing w:line="240" w:lineRule="auto"/>
              <w:ind w:left="216" w:hanging="216"/>
            </w:pPr>
            <w:r w:rsidRPr="00990D3B">
              <w:t xml:space="preserve">Members </w:t>
            </w:r>
            <w:r w:rsidRPr="00990D3B">
              <w:t>ages</w:t>
            </w:r>
            <w:r w:rsidRPr="00990D3B">
              <w:t xml:space="preserve"> </w:t>
            </w:r>
            <w:r w:rsidRPr="00990D3B" w:rsidR="00916BCA">
              <w:t>21</w:t>
            </w:r>
            <w:r w:rsidRPr="00990D3B">
              <w:t>-24 as of 12/31 of the measurement year</w:t>
            </w:r>
          </w:p>
          <w:p w:rsidR="00F931A4" w:rsidRPr="00990D3B" w:rsidP="00F931A4" w14:paraId="23AD051D" w14:textId="77777777">
            <w:pPr>
              <w:pStyle w:val="EQRTableTextbullet"/>
              <w:spacing w:line="240" w:lineRule="auto"/>
              <w:ind w:left="216" w:hanging="216"/>
            </w:pPr>
            <w:r w:rsidRPr="00990D3B">
              <w:t>Only females selected</w:t>
            </w:r>
          </w:p>
          <w:p w:rsidR="00F931A4" w:rsidRPr="00990D3B" w:rsidP="00F931A4" w14:paraId="3FA9FA15" w14:textId="1E3D61B1">
            <w:pPr>
              <w:pStyle w:val="EQRTableTextbullet"/>
              <w:spacing w:line="240" w:lineRule="auto"/>
              <w:ind w:left="216" w:hanging="216"/>
            </w:pPr>
            <w:r w:rsidRPr="00990D3B">
              <w:t>Members enrolled in MCP on 12/31 of the measurement year</w:t>
            </w:r>
          </w:p>
          <w:p w:rsidR="00F931A4" w:rsidRPr="00990D3B" w:rsidP="00F931A4" w14:paraId="76EBDB95" w14:textId="33D9817E">
            <w:pPr>
              <w:pStyle w:val="EQRTableTextbullet"/>
              <w:spacing w:line="240" w:lineRule="auto"/>
              <w:ind w:left="216" w:hanging="216"/>
            </w:pPr>
            <w:r w:rsidRPr="00990D3B">
              <w:t>Continuously enrolled from 1/1 to 12/31 of the measurement year with no more than one break of up to 45 days allowed</w:t>
            </w:r>
          </w:p>
          <w:p w:rsidR="00F931A4" w:rsidRPr="00990D3B" w:rsidP="00F931A4" w14:paraId="5153C8CE" w14:textId="3A498F79">
            <w:pPr>
              <w:pStyle w:val="EQRTableTextbullet"/>
              <w:spacing w:line="240" w:lineRule="auto"/>
              <w:ind w:left="216" w:hanging="216"/>
            </w:pPr>
            <w:r w:rsidRPr="00990D3B">
              <w:t xml:space="preserve">Shifts between Medicaid and CHIP enrollment were not counted as breaks; shifts between </w:t>
            </w:r>
            <w:r w:rsidRPr="00990D3B" w:rsidR="00832946">
              <w:t>Medicaid and CHIP</w:t>
            </w:r>
            <w:r w:rsidRPr="00990D3B">
              <w:t xml:space="preserve"> and commercial enrollment were counted as breaks.</w:t>
            </w:r>
          </w:p>
        </w:tc>
        <w:tc>
          <w:tcPr>
            <w:tcW w:w="720" w:type="dxa"/>
            <w:tcBorders>
              <w:bottom w:val="single" w:sz="4" w:space="0" w:color="000000" w:themeColor="text1"/>
            </w:tcBorders>
          </w:tcPr>
          <w:p w:rsidR="00F931A4" w:rsidRPr="00990D3B" w:rsidP="00FC1887" w14:paraId="164B7369" w14:textId="77777777">
            <w:pPr>
              <w:pStyle w:val="EQRTableText"/>
              <w:jc w:val="center"/>
            </w:pPr>
            <w:r w:rsidRPr="00990D3B">
              <w:t>X</w:t>
            </w:r>
          </w:p>
        </w:tc>
        <w:tc>
          <w:tcPr>
            <w:tcW w:w="630" w:type="dxa"/>
            <w:tcBorders>
              <w:bottom w:val="single" w:sz="4" w:space="0" w:color="000000" w:themeColor="text1"/>
            </w:tcBorders>
          </w:tcPr>
          <w:p w:rsidR="00F931A4" w:rsidRPr="00990D3B" w:rsidP="00E55180" w14:paraId="67973E30" w14:textId="77777777">
            <w:pPr>
              <w:pStyle w:val="EQRTableText"/>
            </w:pPr>
            <w:r w:rsidRPr="00990D3B">
              <w:t> </w:t>
            </w:r>
          </w:p>
        </w:tc>
        <w:tc>
          <w:tcPr>
            <w:tcW w:w="630" w:type="dxa"/>
            <w:tcBorders>
              <w:bottom w:val="single" w:sz="4" w:space="0" w:color="000000" w:themeColor="text1"/>
            </w:tcBorders>
          </w:tcPr>
          <w:p w:rsidR="00F931A4" w:rsidRPr="00990D3B" w:rsidP="00E55180" w14:paraId="3039965F" w14:textId="77777777">
            <w:pPr>
              <w:pStyle w:val="EQRTableText"/>
            </w:pPr>
            <w:r w:rsidRPr="00990D3B">
              <w:t> </w:t>
            </w:r>
          </w:p>
        </w:tc>
        <w:tc>
          <w:tcPr>
            <w:tcW w:w="1705" w:type="dxa"/>
          </w:tcPr>
          <w:p w:rsidR="00F931A4" w:rsidRPr="00990D3B" w:rsidP="00E55180" w14:paraId="2C4A99AC" w14:textId="77777777">
            <w:pPr>
              <w:pStyle w:val="EQRTableText"/>
            </w:pPr>
            <w:r w:rsidRPr="00990D3B">
              <w:t> </w:t>
            </w:r>
          </w:p>
        </w:tc>
      </w:tr>
      <w:tr w14:paraId="712BBCAB" w14:textId="77777777" w:rsidTr="00651D5A">
        <w:tblPrEx>
          <w:tblW w:w="5000" w:type="pct"/>
          <w:tblLayout w:type="fixed"/>
          <w:tblLook w:val="04A0"/>
        </w:tblPrEx>
        <w:trPr>
          <w:cantSplit/>
        </w:trPr>
        <w:tc>
          <w:tcPr>
            <w:tcW w:w="4315" w:type="dxa"/>
          </w:tcPr>
          <w:p w:rsidR="00F931A4" w:rsidRPr="00990D3B" w:rsidP="00E55180" w14:paraId="3296D7C7" w14:textId="77777777">
            <w:pPr>
              <w:pStyle w:val="EQRTableText"/>
              <w:keepNext/>
              <w:rPr>
                <w:b/>
              </w:rPr>
            </w:pPr>
            <w:r w:rsidRPr="00990D3B">
              <w:rPr>
                <w:b/>
              </w:rPr>
              <w:t xml:space="preserve">Numerator: </w:t>
            </w:r>
          </w:p>
        </w:tc>
        <w:tc>
          <w:tcPr>
            <w:tcW w:w="4950" w:type="dxa"/>
            <w:shd w:val="clear" w:color="auto" w:fill="BFBFBF" w:themeFill="background1" w:themeFillShade="BF"/>
          </w:tcPr>
          <w:p w:rsidR="00F931A4" w:rsidRPr="00990D3B" w:rsidP="00E55180" w14:paraId="5FE0AFC1" w14:textId="77777777">
            <w:pPr>
              <w:pStyle w:val="EQRTableText"/>
            </w:pPr>
            <w:r w:rsidRPr="00990D3B">
              <w:t> </w:t>
            </w:r>
          </w:p>
        </w:tc>
        <w:tc>
          <w:tcPr>
            <w:tcW w:w="720" w:type="dxa"/>
            <w:shd w:val="clear" w:color="auto" w:fill="BFBFBF" w:themeFill="background1" w:themeFillShade="BF"/>
          </w:tcPr>
          <w:p w:rsidR="00F931A4" w:rsidRPr="00990D3B" w:rsidP="00E55180" w14:paraId="49C35D5F" w14:textId="77777777">
            <w:pPr>
              <w:pStyle w:val="EQRTableText"/>
            </w:pPr>
            <w:r w:rsidRPr="00990D3B">
              <w:t> </w:t>
            </w:r>
          </w:p>
        </w:tc>
        <w:tc>
          <w:tcPr>
            <w:tcW w:w="630" w:type="dxa"/>
            <w:shd w:val="clear" w:color="auto" w:fill="BFBFBF" w:themeFill="background1" w:themeFillShade="BF"/>
          </w:tcPr>
          <w:p w:rsidR="00F931A4" w:rsidRPr="00990D3B" w:rsidP="00E55180" w14:paraId="66E1F2AE" w14:textId="77777777">
            <w:pPr>
              <w:pStyle w:val="EQRTableText"/>
            </w:pPr>
            <w:r w:rsidRPr="00990D3B">
              <w:t> </w:t>
            </w:r>
          </w:p>
        </w:tc>
        <w:tc>
          <w:tcPr>
            <w:tcW w:w="630" w:type="dxa"/>
            <w:shd w:val="clear" w:color="auto" w:fill="BFBFBF" w:themeFill="background1" w:themeFillShade="BF"/>
          </w:tcPr>
          <w:p w:rsidR="00F931A4" w:rsidRPr="00990D3B" w:rsidP="00E55180" w14:paraId="0527F001" w14:textId="77777777">
            <w:pPr>
              <w:pStyle w:val="EQRTableText"/>
            </w:pPr>
            <w:r w:rsidRPr="00990D3B">
              <w:t> </w:t>
            </w:r>
          </w:p>
        </w:tc>
        <w:tc>
          <w:tcPr>
            <w:tcW w:w="1705" w:type="dxa"/>
            <w:shd w:val="clear" w:color="auto" w:fill="BFBFBF" w:themeFill="background1" w:themeFillShade="BF"/>
          </w:tcPr>
          <w:p w:rsidR="00F931A4" w:rsidRPr="00990D3B" w:rsidP="00E55180" w14:paraId="682F1454" w14:textId="77777777">
            <w:pPr>
              <w:pStyle w:val="EQRTableText"/>
            </w:pPr>
            <w:r w:rsidRPr="00990D3B">
              <w:t> </w:t>
            </w:r>
          </w:p>
        </w:tc>
      </w:tr>
      <w:tr w14:paraId="3EB35D5E" w14:textId="77777777" w:rsidTr="00651D5A">
        <w:tblPrEx>
          <w:tblW w:w="5000" w:type="pct"/>
          <w:tblLayout w:type="fixed"/>
          <w:tblLook w:val="04A0"/>
        </w:tblPrEx>
        <w:trPr>
          <w:cantSplit/>
        </w:trPr>
        <w:tc>
          <w:tcPr>
            <w:tcW w:w="4315" w:type="dxa"/>
          </w:tcPr>
          <w:p w:rsidR="00F931A4" w:rsidRPr="00990D3B" w:rsidP="00E55180" w14:paraId="35F1EA60" w14:textId="22B3FE99">
            <w:pPr>
              <w:pStyle w:val="EQRTableText"/>
            </w:pPr>
            <w:r w:rsidRPr="00990D3B">
              <w:t xml:space="preserve">Were the data sources used to calculate the numerator complete and accurate (e.g., claims files, medical records, provider files, pharmacy records, including those for </w:t>
            </w:r>
            <w:r w:rsidRPr="00990D3B" w:rsidR="00727834">
              <w:t>enrollees</w:t>
            </w:r>
            <w:r w:rsidRPr="00990D3B">
              <w:t xml:space="preserve"> who received services outside the MCP’s network)?</w:t>
            </w:r>
          </w:p>
        </w:tc>
        <w:tc>
          <w:tcPr>
            <w:tcW w:w="4950" w:type="dxa"/>
          </w:tcPr>
          <w:p w:rsidR="00F931A4" w:rsidRPr="00990D3B" w:rsidP="00F931A4" w14:paraId="1CB94144" w14:textId="77777777">
            <w:pPr>
              <w:pStyle w:val="EQRTableTextbullet"/>
              <w:spacing w:line="240" w:lineRule="auto"/>
              <w:ind w:left="216" w:hanging="216"/>
            </w:pPr>
            <w:r w:rsidRPr="00990D3B">
              <w:t>Sexually active based on pharmacy and claims/encounter data</w:t>
            </w:r>
          </w:p>
          <w:p w:rsidR="00F931A4" w:rsidRPr="00990D3B" w:rsidP="00F931A4" w14:paraId="0A097FC2" w14:textId="77777777">
            <w:pPr>
              <w:pStyle w:val="EQRTableTextbullet"/>
              <w:spacing w:line="240" w:lineRule="auto"/>
              <w:ind w:left="216" w:hanging="216"/>
            </w:pPr>
            <w:r w:rsidRPr="00990D3B">
              <w:t xml:space="preserve">Properly identified </w:t>
            </w:r>
            <w:r w:rsidRPr="00990D3B">
              <w:t>enrollees</w:t>
            </w:r>
            <w:r w:rsidRPr="00990D3B">
              <w:t>. Based on the ISCA findings, the data sources used for the numerator were accurate</w:t>
            </w:r>
          </w:p>
        </w:tc>
        <w:tc>
          <w:tcPr>
            <w:tcW w:w="720" w:type="dxa"/>
          </w:tcPr>
          <w:p w:rsidR="00F931A4" w:rsidRPr="00990D3B" w:rsidP="00FC1887" w14:paraId="2976F5D7" w14:textId="77777777">
            <w:pPr>
              <w:pStyle w:val="EQRTableText"/>
              <w:jc w:val="center"/>
            </w:pPr>
            <w:r w:rsidRPr="00990D3B">
              <w:t>X</w:t>
            </w:r>
          </w:p>
        </w:tc>
        <w:tc>
          <w:tcPr>
            <w:tcW w:w="630" w:type="dxa"/>
          </w:tcPr>
          <w:p w:rsidR="00F931A4" w:rsidRPr="00990D3B" w:rsidP="00E55180" w14:paraId="53C21411" w14:textId="77777777">
            <w:pPr>
              <w:pStyle w:val="EQRTableText"/>
            </w:pPr>
            <w:r w:rsidRPr="00990D3B">
              <w:t> </w:t>
            </w:r>
          </w:p>
        </w:tc>
        <w:tc>
          <w:tcPr>
            <w:tcW w:w="630" w:type="dxa"/>
          </w:tcPr>
          <w:p w:rsidR="00F931A4" w:rsidRPr="00990D3B" w:rsidP="00E55180" w14:paraId="5788BDA5" w14:textId="77777777">
            <w:pPr>
              <w:pStyle w:val="EQRTableText"/>
            </w:pPr>
            <w:r w:rsidRPr="00990D3B">
              <w:t> </w:t>
            </w:r>
          </w:p>
        </w:tc>
        <w:tc>
          <w:tcPr>
            <w:tcW w:w="1705" w:type="dxa"/>
          </w:tcPr>
          <w:p w:rsidR="00F931A4" w:rsidRPr="00990D3B" w:rsidP="00E55180" w14:paraId="33E04B3E" w14:textId="77777777">
            <w:pPr>
              <w:pStyle w:val="EQRTableText"/>
            </w:pPr>
            <w:r w:rsidRPr="00990D3B">
              <w:t> </w:t>
            </w:r>
          </w:p>
        </w:tc>
      </w:tr>
      <w:tr w14:paraId="163BFA16" w14:textId="77777777" w:rsidTr="00651D5A">
        <w:tblPrEx>
          <w:tblW w:w="5000" w:type="pct"/>
          <w:tblLayout w:type="fixed"/>
          <w:tblLook w:val="04A0"/>
        </w:tblPrEx>
        <w:trPr>
          <w:cantSplit/>
        </w:trPr>
        <w:tc>
          <w:tcPr>
            <w:tcW w:w="4315" w:type="dxa"/>
          </w:tcPr>
          <w:p w:rsidR="00F931A4" w:rsidRPr="00990D3B" w:rsidP="00E55180" w14:paraId="0211C2CF" w14:textId="23B86E17">
            <w:pPr>
              <w:pStyle w:val="EQRTableText"/>
            </w:pPr>
            <w:r w:rsidRPr="00990D3B">
              <w:t xml:space="preserve">Did the calculation of the performance measure adhere to the specifications for all components of the numerator (e.g., </w:t>
            </w:r>
            <w:r w:rsidRPr="00990D3B" w:rsidR="002F4DD4">
              <w:t>enrollee</w:t>
            </w:r>
            <w:r w:rsidRPr="00990D3B">
              <w:t xml:space="preserve"> ID, clinical codes such as ICD-10, CPT</w:t>
            </w:r>
            <w:r w:rsidRPr="00990D3B">
              <w:rPr>
                <w:rFonts w:cs="Arial"/>
              </w:rPr>
              <w:t>®</w:t>
            </w:r>
            <w:r w:rsidRPr="00990D3B">
              <w:t>, LOINC, DRGs, pharmacy data, relevant time parameters such as admission/discharge dates or treatment start and stop dates, adherence to the measurement period, number or type of provider)?</w:t>
            </w:r>
          </w:p>
        </w:tc>
        <w:tc>
          <w:tcPr>
            <w:tcW w:w="4950" w:type="dxa"/>
          </w:tcPr>
          <w:p w:rsidR="00F931A4" w:rsidRPr="00990D3B" w:rsidP="00F931A4" w14:paraId="7E6B22A3" w14:textId="77777777">
            <w:pPr>
              <w:pStyle w:val="EQRTableTextbullet"/>
              <w:spacing w:line="240" w:lineRule="auto"/>
              <w:ind w:left="216" w:hanging="216"/>
            </w:pPr>
            <w:r w:rsidRPr="00990D3B">
              <w:t>Exclusions were performed according to state specifications</w:t>
            </w:r>
          </w:p>
          <w:p w:rsidR="00F931A4" w:rsidRPr="00990D3B" w:rsidP="00F931A4" w14:paraId="6F1CC432" w14:textId="77777777">
            <w:pPr>
              <w:pStyle w:val="EQRTableTextbullet"/>
              <w:spacing w:line="240" w:lineRule="auto"/>
              <w:ind w:left="216" w:hanging="216"/>
            </w:pPr>
            <w:r w:rsidRPr="00990D3B">
              <w:t>Only the codes listed in specifications as defined by state were counted as exclusions</w:t>
            </w:r>
          </w:p>
          <w:p w:rsidR="00F931A4" w:rsidRPr="00990D3B" w:rsidP="00F931A4" w14:paraId="3D9FA22F" w14:textId="77777777">
            <w:pPr>
              <w:pStyle w:val="EQRTableTextbullet"/>
              <w:spacing w:line="240" w:lineRule="auto"/>
              <w:ind w:left="216" w:hanging="216"/>
            </w:pPr>
            <w:r w:rsidRPr="00990D3B">
              <w:t xml:space="preserve">Standard codes listed in state specifications (and/or properly mapped internally developed codes) were used </w:t>
            </w:r>
          </w:p>
          <w:p w:rsidR="00F931A4" w:rsidRPr="00990D3B" w:rsidP="00F931A4" w14:paraId="301DADD5" w14:textId="77777777">
            <w:pPr>
              <w:pStyle w:val="EQRTableTextbullet"/>
              <w:spacing w:line="240" w:lineRule="auto"/>
              <w:ind w:left="216" w:hanging="216"/>
            </w:pPr>
            <w:r w:rsidRPr="00990D3B">
              <w:t>Members were counted only once; double counting was prevented</w:t>
            </w:r>
          </w:p>
          <w:p w:rsidR="00F931A4" w:rsidRPr="00990D3B" w:rsidP="00F931A4" w14:paraId="7DA2862A" w14:textId="77777777">
            <w:pPr>
              <w:pStyle w:val="EQRTableTextbullet"/>
              <w:spacing w:line="240" w:lineRule="auto"/>
              <w:ind w:left="216" w:hanging="216"/>
            </w:pPr>
            <w:r w:rsidRPr="00990D3B">
              <w:t>Service performed between 1/1 and 12/31 of the measurement year</w:t>
            </w:r>
          </w:p>
        </w:tc>
        <w:tc>
          <w:tcPr>
            <w:tcW w:w="720" w:type="dxa"/>
          </w:tcPr>
          <w:p w:rsidR="00F931A4" w:rsidRPr="00990D3B" w:rsidP="00FC1887" w14:paraId="5F01E587" w14:textId="77777777">
            <w:pPr>
              <w:pStyle w:val="EQRTableText"/>
              <w:jc w:val="center"/>
            </w:pPr>
            <w:r w:rsidRPr="00990D3B">
              <w:t>X</w:t>
            </w:r>
          </w:p>
        </w:tc>
        <w:tc>
          <w:tcPr>
            <w:tcW w:w="630" w:type="dxa"/>
          </w:tcPr>
          <w:p w:rsidR="00F931A4" w:rsidRPr="00990D3B" w:rsidP="00FC1887" w14:paraId="66CF5803" w14:textId="039D1284">
            <w:pPr>
              <w:pStyle w:val="EQRTableText"/>
              <w:jc w:val="center"/>
            </w:pPr>
          </w:p>
        </w:tc>
        <w:tc>
          <w:tcPr>
            <w:tcW w:w="630" w:type="dxa"/>
          </w:tcPr>
          <w:p w:rsidR="00F931A4" w:rsidRPr="00990D3B" w:rsidP="00FC1887" w14:paraId="3B70617A" w14:textId="3BDBF878">
            <w:pPr>
              <w:pStyle w:val="EQRTableText"/>
              <w:jc w:val="center"/>
            </w:pPr>
          </w:p>
        </w:tc>
        <w:tc>
          <w:tcPr>
            <w:tcW w:w="1705" w:type="dxa"/>
          </w:tcPr>
          <w:p w:rsidR="00F931A4" w:rsidRPr="00990D3B" w:rsidP="00E55180" w14:paraId="61585EDC" w14:textId="77777777">
            <w:pPr>
              <w:pStyle w:val="EQRTableText"/>
            </w:pPr>
            <w:r w:rsidRPr="00990D3B">
              <w:t> </w:t>
            </w:r>
          </w:p>
        </w:tc>
      </w:tr>
      <w:tr w14:paraId="61B69E04" w14:textId="77777777" w:rsidTr="00651D5A">
        <w:tblPrEx>
          <w:tblW w:w="5000" w:type="pct"/>
          <w:tblLayout w:type="fixed"/>
          <w:tblLook w:val="04A0"/>
        </w:tblPrEx>
        <w:trPr>
          <w:cantSplit/>
        </w:trPr>
        <w:tc>
          <w:tcPr>
            <w:tcW w:w="4315" w:type="dxa"/>
          </w:tcPr>
          <w:p w:rsidR="00F931A4" w:rsidRPr="00990D3B" w:rsidP="00E55180" w14:paraId="15F5E181" w14:textId="77777777">
            <w:pPr>
              <w:pStyle w:val="EQRTableText"/>
            </w:pPr>
            <w:r w:rsidRPr="00990D3B">
              <w:t>If medical record abstraction was used, were the abstraction tools adequate?</w:t>
            </w:r>
          </w:p>
        </w:tc>
        <w:tc>
          <w:tcPr>
            <w:tcW w:w="4950" w:type="dxa"/>
          </w:tcPr>
          <w:p w:rsidR="00F931A4" w:rsidRPr="00990D3B" w:rsidP="00E55180" w14:paraId="14D8DE98" w14:textId="77777777">
            <w:pPr>
              <w:pStyle w:val="EQRTableText"/>
            </w:pPr>
            <w:r w:rsidRPr="00990D3B">
              <w:t> </w:t>
            </w:r>
          </w:p>
        </w:tc>
        <w:tc>
          <w:tcPr>
            <w:tcW w:w="720" w:type="dxa"/>
            <w:tcBorders>
              <w:bottom w:val="single" w:sz="4" w:space="0" w:color="000000" w:themeColor="text1"/>
            </w:tcBorders>
          </w:tcPr>
          <w:p w:rsidR="00F931A4" w:rsidRPr="00990D3B" w:rsidP="00FC1887" w14:paraId="5EE020B1" w14:textId="00D7D503">
            <w:pPr>
              <w:pStyle w:val="EQRTableText"/>
              <w:jc w:val="center"/>
            </w:pPr>
          </w:p>
        </w:tc>
        <w:tc>
          <w:tcPr>
            <w:tcW w:w="630" w:type="dxa"/>
            <w:tcBorders>
              <w:bottom w:val="single" w:sz="4" w:space="0" w:color="000000" w:themeColor="text1"/>
            </w:tcBorders>
          </w:tcPr>
          <w:p w:rsidR="00F931A4" w:rsidRPr="00990D3B" w:rsidP="00FC1887" w14:paraId="57531E56" w14:textId="73137727">
            <w:pPr>
              <w:pStyle w:val="EQRTableText"/>
              <w:jc w:val="center"/>
            </w:pPr>
          </w:p>
        </w:tc>
        <w:tc>
          <w:tcPr>
            <w:tcW w:w="630" w:type="dxa"/>
            <w:tcBorders>
              <w:bottom w:val="single" w:sz="4" w:space="0" w:color="000000" w:themeColor="text1"/>
            </w:tcBorders>
          </w:tcPr>
          <w:p w:rsidR="00F931A4" w:rsidRPr="00990D3B" w:rsidP="00FC1887" w14:paraId="2ABFA2A2" w14:textId="77777777">
            <w:pPr>
              <w:pStyle w:val="EQRTableText"/>
              <w:jc w:val="center"/>
            </w:pPr>
            <w:r w:rsidRPr="00990D3B">
              <w:t>X</w:t>
            </w:r>
          </w:p>
        </w:tc>
        <w:tc>
          <w:tcPr>
            <w:tcW w:w="1705" w:type="dxa"/>
          </w:tcPr>
          <w:p w:rsidR="00F931A4" w:rsidRPr="00990D3B" w:rsidP="00E55180" w14:paraId="14CEEF14" w14:textId="14C154EA">
            <w:pPr>
              <w:pStyle w:val="EQRTableText"/>
            </w:pPr>
            <w:r w:rsidRPr="00990D3B">
              <w:t>N</w:t>
            </w:r>
            <w:r w:rsidRPr="00990D3B">
              <w:t>o medical record abstraction</w:t>
            </w:r>
          </w:p>
        </w:tc>
      </w:tr>
      <w:tr w14:paraId="7E05A313" w14:textId="77777777" w:rsidTr="00651D5A">
        <w:tblPrEx>
          <w:tblW w:w="5000" w:type="pct"/>
          <w:tblLayout w:type="fixed"/>
          <w:tblLook w:val="04A0"/>
        </w:tblPrEx>
        <w:trPr>
          <w:cantSplit/>
        </w:trPr>
        <w:tc>
          <w:tcPr>
            <w:tcW w:w="4315" w:type="dxa"/>
          </w:tcPr>
          <w:p w:rsidR="00F931A4" w:rsidRPr="00990D3B" w:rsidP="00E55180" w14:paraId="35D8F1CB" w14:textId="77777777">
            <w:pPr>
              <w:pStyle w:val="EQRTableText"/>
              <w:rPr>
                <w:b/>
              </w:rPr>
            </w:pPr>
            <w:r w:rsidRPr="00990D3B">
              <w:t>If the hybrid method was used, was the integration of administrative and medical record data adequate?</w:t>
            </w:r>
          </w:p>
        </w:tc>
        <w:tc>
          <w:tcPr>
            <w:tcW w:w="4950" w:type="dxa"/>
          </w:tcPr>
          <w:p w:rsidR="00F931A4" w:rsidRPr="00990D3B" w:rsidP="00E55180" w14:paraId="5EC0D9A0" w14:textId="77777777">
            <w:pPr>
              <w:pStyle w:val="EQRTableText"/>
            </w:pPr>
            <w:r w:rsidRPr="00990D3B">
              <w:t> </w:t>
            </w:r>
          </w:p>
        </w:tc>
        <w:tc>
          <w:tcPr>
            <w:tcW w:w="720" w:type="dxa"/>
            <w:tcBorders>
              <w:bottom w:val="single" w:sz="4" w:space="0" w:color="000000" w:themeColor="text1"/>
            </w:tcBorders>
          </w:tcPr>
          <w:p w:rsidR="00F931A4" w:rsidRPr="00990D3B" w:rsidP="00FC1887" w14:paraId="2769CA02" w14:textId="4CCF13AC">
            <w:pPr>
              <w:pStyle w:val="EQRTableText"/>
              <w:jc w:val="center"/>
            </w:pPr>
          </w:p>
        </w:tc>
        <w:tc>
          <w:tcPr>
            <w:tcW w:w="630" w:type="dxa"/>
            <w:tcBorders>
              <w:bottom w:val="single" w:sz="4" w:space="0" w:color="000000" w:themeColor="text1"/>
            </w:tcBorders>
          </w:tcPr>
          <w:p w:rsidR="00F931A4" w:rsidRPr="00990D3B" w:rsidP="00FC1887" w14:paraId="2077845F" w14:textId="3F328048">
            <w:pPr>
              <w:pStyle w:val="EQRTableText"/>
              <w:jc w:val="center"/>
            </w:pPr>
          </w:p>
        </w:tc>
        <w:tc>
          <w:tcPr>
            <w:tcW w:w="630" w:type="dxa"/>
            <w:tcBorders>
              <w:bottom w:val="single" w:sz="4" w:space="0" w:color="000000" w:themeColor="text1"/>
            </w:tcBorders>
          </w:tcPr>
          <w:p w:rsidR="00F931A4" w:rsidRPr="00990D3B" w:rsidP="00FC1887" w14:paraId="241DFB98" w14:textId="77777777">
            <w:pPr>
              <w:pStyle w:val="EQRTableText"/>
              <w:jc w:val="center"/>
            </w:pPr>
            <w:r w:rsidRPr="00990D3B">
              <w:t>X</w:t>
            </w:r>
          </w:p>
        </w:tc>
        <w:tc>
          <w:tcPr>
            <w:tcW w:w="1705" w:type="dxa"/>
          </w:tcPr>
          <w:p w:rsidR="00F931A4" w:rsidRPr="00990D3B" w:rsidP="00E55180" w14:paraId="2D49A9D9" w14:textId="4D783D5F">
            <w:pPr>
              <w:pStyle w:val="EQRTableText"/>
            </w:pPr>
            <w:r w:rsidRPr="00990D3B">
              <w:t>H</w:t>
            </w:r>
            <w:r w:rsidRPr="00990D3B">
              <w:t xml:space="preserve">ybrid </w:t>
            </w:r>
            <w:r w:rsidRPr="00990D3B" w:rsidR="00916BCA">
              <w:t>method not specified for this measure</w:t>
            </w:r>
          </w:p>
        </w:tc>
      </w:tr>
      <w:tr w14:paraId="35C8AA1A" w14:textId="77777777" w:rsidTr="00651D5A">
        <w:tblPrEx>
          <w:tblW w:w="5000" w:type="pct"/>
          <w:tblLayout w:type="fixed"/>
          <w:tblLook w:val="04A0"/>
        </w:tblPrEx>
        <w:trPr>
          <w:cantSplit/>
        </w:trPr>
        <w:tc>
          <w:tcPr>
            <w:tcW w:w="4315" w:type="dxa"/>
          </w:tcPr>
          <w:p w:rsidR="00FC1887" w:rsidRPr="00990D3B" w:rsidP="00FC1887" w14:paraId="394E076A" w14:textId="77777777">
            <w:pPr>
              <w:pStyle w:val="EQRTableText"/>
            </w:pPr>
            <w:r w:rsidRPr="00990D3B">
              <w:t>If the hybrid method or medical record review was used, did the results of the medical record review validation substantiate the reported numerator?</w:t>
            </w:r>
          </w:p>
        </w:tc>
        <w:tc>
          <w:tcPr>
            <w:tcW w:w="4950" w:type="dxa"/>
          </w:tcPr>
          <w:p w:rsidR="00FC1887" w:rsidRPr="00990D3B" w:rsidP="00FC1887" w14:paraId="017F3C90" w14:textId="77777777">
            <w:pPr>
              <w:pStyle w:val="EQRTableText"/>
            </w:pPr>
            <w:r w:rsidRPr="00990D3B">
              <w:t> </w:t>
            </w:r>
          </w:p>
        </w:tc>
        <w:tc>
          <w:tcPr>
            <w:tcW w:w="720" w:type="dxa"/>
          </w:tcPr>
          <w:p w:rsidR="00FC1887" w:rsidRPr="00990D3B" w:rsidP="00FC1887" w14:paraId="094305A1" w14:textId="0F7018FC">
            <w:pPr>
              <w:pStyle w:val="EQRTableText"/>
              <w:jc w:val="center"/>
            </w:pPr>
          </w:p>
        </w:tc>
        <w:tc>
          <w:tcPr>
            <w:tcW w:w="630" w:type="dxa"/>
          </w:tcPr>
          <w:p w:rsidR="00FC1887" w:rsidRPr="00990D3B" w:rsidP="00FC1887" w14:paraId="6B3BB67F" w14:textId="5A7B3251">
            <w:pPr>
              <w:pStyle w:val="EQRTableText"/>
              <w:jc w:val="center"/>
            </w:pPr>
          </w:p>
        </w:tc>
        <w:tc>
          <w:tcPr>
            <w:tcW w:w="630" w:type="dxa"/>
          </w:tcPr>
          <w:p w:rsidR="00FC1887" w:rsidRPr="00990D3B" w:rsidP="00FC1887" w14:paraId="6CD516A4" w14:textId="77777777">
            <w:pPr>
              <w:pStyle w:val="EQRTableText"/>
              <w:jc w:val="center"/>
            </w:pPr>
            <w:r w:rsidRPr="00990D3B">
              <w:t>X</w:t>
            </w:r>
          </w:p>
        </w:tc>
        <w:tc>
          <w:tcPr>
            <w:tcW w:w="1705" w:type="dxa"/>
          </w:tcPr>
          <w:p w:rsidR="00FC1887" w:rsidRPr="00990D3B" w:rsidP="00FC1887" w14:paraId="45D27469" w14:textId="3C1B9948">
            <w:pPr>
              <w:pStyle w:val="EQRTableText"/>
            </w:pPr>
            <w:r w:rsidRPr="00990D3B">
              <w:t>Hybrid method not specified for this measure</w:t>
            </w:r>
          </w:p>
        </w:tc>
      </w:tr>
      <w:tr w14:paraId="6C71D6E5" w14:textId="77777777" w:rsidTr="00651D5A">
        <w:tblPrEx>
          <w:tblW w:w="5000" w:type="pct"/>
          <w:tblLayout w:type="fixed"/>
          <w:tblLook w:val="04A0"/>
        </w:tblPrEx>
        <w:trPr>
          <w:cantSplit/>
        </w:trPr>
        <w:tc>
          <w:tcPr>
            <w:tcW w:w="4315" w:type="dxa"/>
          </w:tcPr>
          <w:p w:rsidR="00F931A4" w:rsidRPr="00990D3B" w:rsidP="00E55180" w14:paraId="6E3265A2" w14:textId="77777777">
            <w:pPr>
              <w:pStyle w:val="EQRTableText"/>
              <w:keepNext/>
              <w:rPr>
                <w:b/>
              </w:rPr>
            </w:pPr>
            <w:r w:rsidRPr="00990D3B">
              <w:rPr>
                <w:b/>
              </w:rPr>
              <w:t>Sampling:</w:t>
            </w:r>
          </w:p>
        </w:tc>
        <w:tc>
          <w:tcPr>
            <w:tcW w:w="4950" w:type="dxa"/>
            <w:shd w:val="clear" w:color="auto" w:fill="BFBFBF" w:themeFill="background1" w:themeFillShade="BF"/>
          </w:tcPr>
          <w:p w:rsidR="00F931A4" w:rsidRPr="00990D3B" w:rsidP="00E55180" w14:paraId="1E71EEEA" w14:textId="77777777">
            <w:pPr>
              <w:pStyle w:val="EQRTableText"/>
            </w:pPr>
            <w:r w:rsidRPr="00990D3B">
              <w:t> </w:t>
            </w:r>
          </w:p>
        </w:tc>
        <w:tc>
          <w:tcPr>
            <w:tcW w:w="720" w:type="dxa"/>
            <w:shd w:val="clear" w:color="auto" w:fill="BFBFBF" w:themeFill="background1" w:themeFillShade="BF"/>
          </w:tcPr>
          <w:p w:rsidR="00F931A4" w:rsidRPr="00990D3B" w:rsidP="00E55180" w14:paraId="13E7529D" w14:textId="77777777">
            <w:pPr>
              <w:pStyle w:val="EQRTableText"/>
            </w:pPr>
            <w:r w:rsidRPr="00990D3B">
              <w:t> </w:t>
            </w:r>
          </w:p>
        </w:tc>
        <w:tc>
          <w:tcPr>
            <w:tcW w:w="630" w:type="dxa"/>
            <w:shd w:val="clear" w:color="auto" w:fill="BFBFBF" w:themeFill="background1" w:themeFillShade="BF"/>
          </w:tcPr>
          <w:p w:rsidR="00F931A4" w:rsidRPr="00990D3B" w:rsidP="00E55180" w14:paraId="2C590F14" w14:textId="77777777">
            <w:pPr>
              <w:pStyle w:val="EQRTableText"/>
            </w:pPr>
            <w:r w:rsidRPr="00990D3B">
              <w:t> </w:t>
            </w:r>
          </w:p>
        </w:tc>
        <w:tc>
          <w:tcPr>
            <w:tcW w:w="630" w:type="dxa"/>
            <w:shd w:val="clear" w:color="auto" w:fill="BFBFBF" w:themeFill="background1" w:themeFillShade="BF"/>
          </w:tcPr>
          <w:p w:rsidR="00F931A4" w:rsidRPr="00990D3B" w:rsidP="00E55180" w14:paraId="6FA43506" w14:textId="77777777">
            <w:pPr>
              <w:pStyle w:val="EQRTableText"/>
            </w:pPr>
            <w:r w:rsidRPr="00990D3B">
              <w:t> </w:t>
            </w:r>
          </w:p>
        </w:tc>
        <w:tc>
          <w:tcPr>
            <w:tcW w:w="1705" w:type="dxa"/>
            <w:shd w:val="clear" w:color="auto" w:fill="BFBFBF" w:themeFill="background1" w:themeFillShade="BF"/>
          </w:tcPr>
          <w:p w:rsidR="00F931A4" w:rsidRPr="00990D3B" w:rsidP="00E55180" w14:paraId="09932151" w14:textId="77777777">
            <w:pPr>
              <w:pStyle w:val="EQRTableText"/>
            </w:pPr>
            <w:r w:rsidRPr="00990D3B">
              <w:t> </w:t>
            </w:r>
          </w:p>
        </w:tc>
      </w:tr>
      <w:tr w14:paraId="1D6A6318" w14:textId="77777777" w:rsidTr="00651D5A">
        <w:tblPrEx>
          <w:tblW w:w="5000" w:type="pct"/>
          <w:tblLayout w:type="fixed"/>
          <w:tblLook w:val="04A0"/>
        </w:tblPrEx>
        <w:trPr>
          <w:cantSplit/>
        </w:trPr>
        <w:tc>
          <w:tcPr>
            <w:tcW w:w="4315" w:type="dxa"/>
          </w:tcPr>
          <w:p w:rsidR="00F931A4" w:rsidRPr="00990D3B" w:rsidP="00E55180" w14:paraId="664E116A" w14:textId="77777777">
            <w:pPr>
              <w:pStyle w:val="EQRTableText"/>
            </w:pPr>
            <w:r w:rsidRPr="00990D3B">
              <w:t>Did the sample treat all measures independently?</w:t>
            </w:r>
          </w:p>
        </w:tc>
        <w:tc>
          <w:tcPr>
            <w:tcW w:w="4950" w:type="dxa"/>
          </w:tcPr>
          <w:p w:rsidR="00F931A4" w:rsidRPr="00990D3B" w:rsidP="00E55180" w14:paraId="5BFF0405" w14:textId="77777777">
            <w:pPr>
              <w:pStyle w:val="EQRTableText"/>
            </w:pPr>
            <w:r w:rsidRPr="00990D3B">
              <w:t> </w:t>
            </w:r>
          </w:p>
        </w:tc>
        <w:tc>
          <w:tcPr>
            <w:tcW w:w="720" w:type="dxa"/>
          </w:tcPr>
          <w:p w:rsidR="00F931A4" w:rsidRPr="00990D3B" w:rsidP="00E55180" w14:paraId="614A1EF6" w14:textId="77777777">
            <w:pPr>
              <w:pStyle w:val="EQRTableText"/>
            </w:pPr>
            <w:r w:rsidRPr="00990D3B">
              <w:t> </w:t>
            </w:r>
          </w:p>
        </w:tc>
        <w:tc>
          <w:tcPr>
            <w:tcW w:w="630" w:type="dxa"/>
          </w:tcPr>
          <w:p w:rsidR="00F931A4" w:rsidRPr="00990D3B" w:rsidP="00E55180" w14:paraId="7392B9D3" w14:textId="77777777">
            <w:pPr>
              <w:pStyle w:val="EQRTableText"/>
            </w:pPr>
            <w:r w:rsidRPr="00990D3B">
              <w:t> </w:t>
            </w:r>
          </w:p>
        </w:tc>
        <w:tc>
          <w:tcPr>
            <w:tcW w:w="630" w:type="dxa"/>
          </w:tcPr>
          <w:p w:rsidR="00F931A4" w:rsidRPr="00990D3B" w:rsidP="00E55180" w14:paraId="5EEFDA86" w14:textId="77777777">
            <w:pPr>
              <w:pStyle w:val="EQRTableText"/>
            </w:pPr>
            <w:r w:rsidRPr="00990D3B">
              <w:t>X</w:t>
            </w:r>
          </w:p>
        </w:tc>
        <w:tc>
          <w:tcPr>
            <w:tcW w:w="1705" w:type="dxa"/>
          </w:tcPr>
          <w:p w:rsidR="00F931A4" w:rsidRPr="00990D3B" w:rsidP="00E55180" w14:paraId="329F1EB9" w14:textId="6C0753FF">
            <w:pPr>
              <w:pStyle w:val="EQRTableText"/>
            </w:pPr>
            <w:r w:rsidRPr="00990D3B">
              <w:t>N</w:t>
            </w:r>
            <w:r w:rsidRPr="00990D3B">
              <w:t>o sampling</w:t>
            </w:r>
          </w:p>
        </w:tc>
      </w:tr>
      <w:tr w14:paraId="2815E4EC" w14:textId="77777777" w:rsidTr="00651D5A">
        <w:tblPrEx>
          <w:tblW w:w="5000" w:type="pct"/>
          <w:tblLayout w:type="fixed"/>
          <w:tblLook w:val="04A0"/>
        </w:tblPrEx>
        <w:trPr>
          <w:cantSplit/>
        </w:trPr>
        <w:tc>
          <w:tcPr>
            <w:tcW w:w="4315" w:type="dxa"/>
          </w:tcPr>
          <w:p w:rsidR="00FC1887" w:rsidRPr="00990D3B" w:rsidP="00FC1887" w14:paraId="156858ED" w14:textId="77777777">
            <w:pPr>
              <w:pStyle w:val="EQRTableText"/>
            </w:pPr>
            <w:r w:rsidRPr="00990D3B">
              <w:t>Did the sample size and replacement methodologies meet specifications?</w:t>
            </w:r>
          </w:p>
        </w:tc>
        <w:tc>
          <w:tcPr>
            <w:tcW w:w="4950" w:type="dxa"/>
          </w:tcPr>
          <w:p w:rsidR="00FC1887" w:rsidRPr="00990D3B" w:rsidP="00FC1887" w14:paraId="5F284154" w14:textId="77777777">
            <w:pPr>
              <w:pStyle w:val="EQRTableText"/>
            </w:pPr>
            <w:r w:rsidRPr="00990D3B">
              <w:t> </w:t>
            </w:r>
          </w:p>
        </w:tc>
        <w:tc>
          <w:tcPr>
            <w:tcW w:w="720" w:type="dxa"/>
          </w:tcPr>
          <w:p w:rsidR="00FC1887" w:rsidRPr="00990D3B" w:rsidP="00FC1887" w14:paraId="265F2D6D" w14:textId="77777777">
            <w:pPr>
              <w:pStyle w:val="EQRTableText"/>
            </w:pPr>
            <w:r w:rsidRPr="00990D3B">
              <w:t> </w:t>
            </w:r>
          </w:p>
        </w:tc>
        <w:tc>
          <w:tcPr>
            <w:tcW w:w="630" w:type="dxa"/>
          </w:tcPr>
          <w:p w:rsidR="00FC1887" w:rsidRPr="00990D3B" w:rsidP="00FC1887" w14:paraId="2C5E7661" w14:textId="77777777">
            <w:pPr>
              <w:pStyle w:val="EQRTableText"/>
            </w:pPr>
            <w:r w:rsidRPr="00990D3B">
              <w:t> </w:t>
            </w:r>
          </w:p>
        </w:tc>
        <w:tc>
          <w:tcPr>
            <w:tcW w:w="630" w:type="dxa"/>
          </w:tcPr>
          <w:p w:rsidR="00FC1887" w:rsidRPr="00990D3B" w:rsidP="00FC1887" w14:paraId="3EF04187" w14:textId="77777777">
            <w:pPr>
              <w:pStyle w:val="EQRTableText"/>
            </w:pPr>
            <w:r w:rsidRPr="00990D3B">
              <w:t>X</w:t>
            </w:r>
          </w:p>
        </w:tc>
        <w:tc>
          <w:tcPr>
            <w:tcW w:w="1705" w:type="dxa"/>
          </w:tcPr>
          <w:p w:rsidR="00FC1887" w:rsidRPr="00990D3B" w:rsidP="00FC1887" w14:paraId="220EAD2A" w14:textId="70BE11E3">
            <w:pPr>
              <w:pStyle w:val="EQRTableText"/>
            </w:pPr>
            <w:r w:rsidRPr="00990D3B">
              <w:t>No sampling</w:t>
            </w:r>
          </w:p>
        </w:tc>
      </w:tr>
      <w:tr w14:paraId="7CB59DA9" w14:textId="77777777" w:rsidTr="00651D5A">
        <w:tblPrEx>
          <w:tblW w:w="5000" w:type="pct"/>
          <w:tblLayout w:type="fixed"/>
          <w:tblLook w:val="04A0"/>
        </w:tblPrEx>
        <w:trPr>
          <w:cantSplit/>
        </w:trPr>
        <w:tc>
          <w:tcPr>
            <w:tcW w:w="4315" w:type="dxa"/>
          </w:tcPr>
          <w:p w:rsidR="00F931A4" w:rsidRPr="00990D3B" w:rsidP="00E55180" w14:paraId="6AFC0234" w14:textId="77777777">
            <w:pPr>
              <w:pStyle w:val="EQRTableText"/>
              <w:keepNext/>
            </w:pPr>
            <w:r w:rsidRPr="00990D3B">
              <w:rPr>
                <w:b/>
              </w:rPr>
              <w:t xml:space="preserve">Reporting: </w:t>
            </w:r>
          </w:p>
        </w:tc>
        <w:tc>
          <w:tcPr>
            <w:tcW w:w="4950" w:type="dxa"/>
            <w:shd w:val="clear" w:color="auto" w:fill="BFBFBF" w:themeFill="background1" w:themeFillShade="BF"/>
          </w:tcPr>
          <w:p w:rsidR="00F931A4" w:rsidRPr="00990D3B" w:rsidP="00E55180" w14:paraId="60ED883D" w14:textId="77777777">
            <w:pPr>
              <w:pStyle w:val="EQRTableText"/>
            </w:pPr>
            <w:r w:rsidRPr="00990D3B">
              <w:t> </w:t>
            </w:r>
          </w:p>
        </w:tc>
        <w:tc>
          <w:tcPr>
            <w:tcW w:w="720" w:type="dxa"/>
            <w:shd w:val="clear" w:color="auto" w:fill="BFBFBF" w:themeFill="background1" w:themeFillShade="BF"/>
          </w:tcPr>
          <w:p w:rsidR="00F931A4" w:rsidRPr="00990D3B" w:rsidP="00E55180" w14:paraId="13907609" w14:textId="77777777">
            <w:pPr>
              <w:pStyle w:val="EQRTableText"/>
            </w:pPr>
            <w:r w:rsidRPr="00990D3B">
              <w:t> </w:t>
            </w:r>
          </w:p>
        </w:tc>
        <w:tc>
          <w:tcPr>
            <w:tcW w:w="630" w:type="dxa"/>
            <w:shd w:val="clear" w:color="auto" w:fill="BFBFBF" w:themeFill="background1" w:themeFillShade="BF"/>
          </w:tcPr>
          <w:p w:rsidR="00F931A4" w:rsidRPr="00990D3B" w:rsidP="00E55180" w14:paraId="280D03FF" w14:textId="77777777">
            <w:pPr>
              <w:pStyle w:val="EQRTableText"/>
            </w:pPr>
            <w:r w:rsidRPr="00990D3B">
              <w:t> </w:t>
            </w:r>
          </w:p>
        </w:tc>
        <w:tc>
          <w:tcPr>
            <w:tcW w:w="630" w:type="dxa"/>
            <w:shd w:val="clear" w:color="auto" w:fill="BFBFBF" w:themeFill="background1" w:themeFillShade="BF"/>
          </w:tcPr>
          <w:p w:rsidR="00F931A4" w:rsidRPr="00990D3B" w:rsidP="00E55180" w14:paraId="165F277B" w14:textId="77777777">
            <w:pPr>
              <w:pStyle w:val="EQRTableText"/>
            </w:pPr>
            <w:r w:rsidRPr="00990D3B">
              <w:t> </w:t>
            </w:r>
          </w:p>
        </w:tc>
        <w:tc>
          <w:tcPr>
            <w:tcW w:w="1705" w:type="dxa"/>
            <w:shd w:val="clear" w:color="auto" w:fill="BFBFBF" w:themeFill="background1" w:themeFillShade="BF"/>
          </w:tcPr>
          <w:p w:rsidR="00F931A4" w:rsidRPr="00990D3B" w:rsidP="00E55180" w14:paraId="5B7A44FE" w14:textId="77777777">
            <w:pPr>
              <w:pStyle w:val="EQRTableText"/>
            </w:pPr>
            <w:r w:rsidRPr="00990D3B">
              <w:t> </w:t>
            </w:r>
          </w:p>
        </w:tc>
      </w:tr>
      <w:tr w14:paraId="193A95B3" w14:textId="77777777" w:rsidTr="00651D5A">
        <w:tblPrEx>
          <w:tblW w:w="5000" w:type="pct"/>
          <w:tblLayout w:type="fixed"/>
          <w:tblLook w:val="04A0"/>
        </w:tblPrEx>
        <w:trPr>
          <w:cantSplit/>
        </w:trPr>
        <w:tc>
          <w:tcPr>
            <w:tcW w:w="4315" w:type="dxa"/>
          </w:tcPr>
          <w:p w:rsidR="00F931A4" w:rsidRPr="00990D3B" w:rsidP="00E55180" w14:paraId="5E6E50FB" w14:textId="77777777">
            <w:pPr>
              <w:pStyle w:val="EQRTableText"/>
            </w:pPr>
            <w:r w:rsidRPr="00990D3B">
              <w:t>Were the state specifications for reporting performance measures followed?</w:t>
            </w:r>
          </w:p>
        </w:tc>
        <w:tc>
          <w:tcPr>
            <w:tcW w:w="4950" w:type="dxa"/>
          </w:tcPr>
          <w:p w:rsidR="00F931A4" w:rsidRPr="00990D3B" w:rsidP="00F931A4" w14:paraId="49259F4D" w14:textId="77777777">
            <w:pPr>
              <w:pStyle w:val="EQRTableTextbullet"/>
              <w:spacing w:line="240" w:lineRule="auto"/>
              <w:ind w:left="216" w:hanging="216"/>
            </w:pPr>
            <w:r w:rsidRPr="00990D3B">
              <w:t>Measure-eligible population is accurate and documented (inclusions, exclusions)</w:t>
            </w:r>
          </w:p>
          <w:p w:rsidR="00F931A4" w:rsidRPr="00990D3B" w:rsidP="00F931A4" w14:paraId="435D18F3" w14:textId="77777777">
            <w:pPr>
              <w:pStyle w:val="EQRTableTextbullet"/>
              <w:spacing w:line="240" w:lineRule="auto"/>
              <w:ind w:left="216" w:hanging="216"/>
            </w:pPr>
            <w:r w:rsidRPr="00990D3B">
              <w:t>Method is accurate and documented (measurement period, data source)</w:t>
            </w:r>
          </w:p>
          <w:p w:rsidR="00F931A4" w:rsidRPr="00990D3B" w:rsidP="00F931A4" w14:paraId="65930328" w14:textId="77777777">
            <w:pPr>
              <w:pStyle w:val="EQRTableTextbullet"/>
              <w:spacing w:line="240" w:lineRule="auto"/>
              <w:ind w:left="216" w:hanging="216"/>
            </w:pPr>
            <w:r w:rsidRPr="00990D3B">
              <w:t>Information on numerator, denominator, rate is accurate and documented</w:t>
            </w:r>
          </w:p>
          <w:p w:rsidR="00F931A4" w:rsidRPr="00990D3B" w:rsidP="00F931A4" w14:paraId="53ED106A" w14:textId="77777777">
            <w:pPr>
              <w:pStyle w:val="EQRTableTextbullet"/>
              <w:spacing w:line="240" w:lineRule="auto"/>
              <w:ind w:left="216" w:hanging="216"/>
            </w:pPr>
            <w:r w:rsidRPr="00990D3B">
              <w:t>Deviations (if any) are accurate and documented</w:t>
            </w:r>
          </w:p>
        </w:tc>
        <w:tc>
          <w:tcPr>
            <w:tcW w:w="720" w:type="dxa"/>
          </w:tcPr>
          <w:p w:rsidR="00F931A4" w:rsidRPr="00990D3B" w:rsidP="00FC1887" w14:paraId="489B8827" w14:textId="77777777">
            <w:pPr>
              <w:pStyle w:val="EQRTableText"/>
              <w:jc w:val="center"/>
            </w:pPr>
            <w:r w:rsidRPr="00990D3B">
              <w:t>X</w:t>
            </w:r>
          </w:p>
        </w:tc>
        <w:tc>
          <w:tcPr>
            <w:tcW w:w="630" w:type="dxa"/>
          </w:tcPr>
          <w:p w:rsidR="00F931A4" w:rsidRPr="00990D3B" w:rsidP="00E55180" w14:paraId="11C30B40" w14:textId="77777777">
            <w:pPr>
              <w:pStyle w:val="EQRTableText"/>
            </w:pPr>
            <w:r w:rsidRPr="00990D3B">
              <w:t> </w:t>
            </w:r>
          </w:p>
        </w:tc>
        <w:tc>
          <w:tcPr>
            <w:tcW w:w="630" w:type="dxa"/>
          </w:tcPr>
          <w:p w:rsidR="00F931A4" w:rsidRPr="00990D3B" w:rsidP="00E55180" w14:paraId="029349E1" w14:textId="77777777">
            <w:pPr>
              <w:pStyle w:val="EQRTableText"/>
            </w:pPr>
            <w:r w:rsidRPr="00990D3B">
              <w:t> </w:t>
            </w:r>
          </w:p>
        </w:tc>
        <w:tc>
          <w:tcPr>
            <w:tcW w:w="1705" w:type="dxa"/>
          </w:tcPr>
          <w:p w:rsidR="00F931A4" w:rsidRPr="00990D3B" w:rsidP="00E55180" w14:paraId="6785F5FB" w14:textId="77777777">
            <w:pPr>
              <w:pStyle w:val="EQRTableText"/>
            </w:pPr>
            <w:r w:rsidRPr="00990D3B">
              <w:t> </w:t>
            </w:r>
          </w:p>
        </w:tc>
      </w:tr>
      <w:tr w14:paraId="25E7CCDE" w14:textId="77777777" w:rsidTr="00651D5A">
        <w:tblPrEx>
          <w:tblW w:w="5000" w:type="pct"/>
          <w:tblLayout w:type="fixed"/>
          <w:tblLook w:val="04A0"/>
        </w:tblPrEx>
        <w:trPr>
          <w:cantSplit/>
        </w:trPr>
        <w:tc>
          <w:tcPr>
            <w:tcW w:w="4315" w:type="dxa"/>
          </w:tcPr>
          <w:p w:rsidR="00F931A4" w:rsidRPr="00990D3B" w:rsidP="00E55180" w14:paraId="778DB3A3" w14:textId="77777777">
            <w:pPr>
              <w:pStyle w:val="EQRTableText"/>
            </w:pPr>
            <w:r w:rsidRPr="00990D3B">
              <w:rPr>
                <w:b/>
              </w:rPr>
              <w:t>Overall assessment:</w:t>
            </w:r>
            <w:r w:rsidRPr="00990D3B">
              <w:t xml:space="preserve"> In the comments section, note any recommendations for the MCP’s measurement and reporting process</w:t>
            </w:r>
          </w:p>
        </w:tc>
        <w:tc>
          <w:tcPr>
            <w:tcW w:w="4950" w:type="dxa"/>
            <w:shd w:val="clear" w:color="auto" w:fill="BFBFBF" w:themeFill="background1" w:themeFillShade="BF"/>
          </w:tcPr>
          <w:p w:rsidR="00F931A4" w:rsidRPr="00990D3B" w:rsidP="00E55180" w14:paraId="12317C96" w14:textId="77777777">
            <w:pPr>
              <w:pStyle w:val="EQRTableText"/>
            </w:pPr>
            <w:r w:rsidRPr="00990D3B">
              <w:t> </w:t>
            </w:r>
          </w:p>
        </w:tc>
        <w:tc>
          <w:tcPr>
            <w:tcW w:w="720" w:type="dxa"/>
            <w:shd w:val="clear" w:color="auto" w:fill="BFBFBF" w:themeFill="background1" w:themeFillShade="BF"/>
          </w:tcPr>
          <w:p w:rsidR="00F931A4" w:rsidRPr="00990D3B" w:rsidP="00E55180" w14:paraId="0F855073" w14:textId="77777777">
            <w:pPr>
              <w:pStyle w:val="EQRTableText"/>
            </w:pPr>
            <w:r w:rsidRPr="00990D3B">
              <w:t> </w:t>
            </w:r>
          </w:p>
        </w:tc>
        <w:tc>
          <w:tcPr>
            <w:tcW w:w="630" w:type="dxa"/>
            <w:shd w:val="clear" w:color="auto" w:fill="BFBFBF" w:themeFill="background1" w:themeFillShade="BF"/>
          </w:tcPr>
          <w:p w:rsidR="00F931A4" w:rsidRPr="00990D3B" w:rsidP="00E55180" w14:paraId="086C09F9" w14:textId="77777777">
            <w:pPr>
              <w:pStyle w:val="EQRTableText"/>
            </w:pPr>
            <w:r w:rsidRPr="00990D3B">
              <w:t> </w:t>
            </w:r>
          </w:p>
        </w:tc>
        <w:tc>
          <w:tcPr>
            <w:tcW w:w="630" w:type="dxa"/>
            <w:shd w:val="clear" w:color="auto" w:fill="BFBFBF" w:themeFill="background1" w:themeFillShade="BF"/>
          </w:tcPr>
          <w:p w:rsidR="00F931A4" w:rsidRPr="00990D3B" w:rsidP="00E55180" w14:paraId="33C73FCB" w14:textId="77777777">
            <w:pPr>
              <w:pStyle w:val="EQRTableText"/>
            </w:pPr>
            <w:r w:rsidRPr="00990D3B">
              <w:t> </w:t>
            </w:r>
          </w:p>
        </w:tc>
        <w:tc>
          <w:tcPr>
            <w:tcW w:w="1705" w:type="dxa"/>
          </w:tcPr>
          <w:p w:rsidR="00F931A4" w:rsidRPr="00990D3B" w:rsidP="00E55180" w14:paraId="7DE71A45" w14:textId="77777777">
            <w:pPr>
              <w:pStyle w:val="EQRTableText"/>
            </w:pPr>
            <w:r w:rsidRPr="00990D3B">
              <w:t>Measure meets all audit specifications and is reportable by the state</w:t>
            </w:r>
          </w:p>
        </w:tc>
      </w:tr>
    </w:tbl>
    <w:p w:rsidR="00F931A4" w:rsidRPr="00990D3B" w:rsidP="00A76BD7" w14:paraId="48AB279B" w14:textId="77777777">
      <w:pPr>
        <w:pStyle w:val="NoSpacing"/>
      </w:pPr>
    </w:p>
    <w:p w:rsidR="00FC1887" w:rsidRPr="00990D3B" w:rsidP="002B40CC" w14:paraId="7927A3DB" w14:textId="77777777">
      <w:pPr>
        <w:pStyle w:val="H2EQRWorksheet"/>
      </w:pPr>
      <w:r w:rsidRPr="00990D3B">
        <w:t>Additional Audit Questions</w:t>
      </w:r>
    </w:p>
    <w:tbl>
      <w:tblPr>
        <w:tblW w:w="5000" w:type="pct"/>
        <w:tblLayout w:type="fixed"/>
        <w:tblCellMar>
          <w:left w:w="115" w:type="dxa"/>
          <w:right w:w="115" w:type="dxa"/>
        </w:tblCellMar>
        <w:tblLook w:val="0000"/>
      </w:tblPr>
      <w:tblGrid>
        <w:gridCol w:w="7469"/>
        <w:gridCol w:w="3503"/>
        <w:gridCol w:w="1972"/>
      </w:tblGrid>
      <w:tr w14:paraId="0CE6E890" w14:textId="77777777" w:rsidTr="007944D0">
        <w:tblPrEx>
          <w:tblW w:w="5000" w:type="pct"/>
          <w:tblLayout w:type="fixed"/>
          <w:tblCellMar>
            <w:left w:w="115" w:type="dxa"/>
            <w:right w:w="115" w:type="dxa"/>
          </w:tblCellMar>
          <w:tblLook w:val="0000"/>
        </w:tblPrEx>
        <w:trPr>
          <w:cantSplit/>
          <w:trHeight w:val="318"/>
          <w:tblHeader/>
        </w:trPr>
        <w:tc>
          <w:tcPr>
            <w:tcW w:w="7469"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C1887" w:rsidRPr="00990D3B" w:rsidP="00666AC0" w14:paraId="00C5F86E" w14:textId="77777777">
            <w:pPr>
              <w:pStyle w:val="EQRTableText"/>
              <w:rPr>
                <w:b/>
                <w:bCs/>
              </w:rPr>
            </w:pPr>
            <w:r w:rsidRPr="00990D3B">
              <w:rPr>
                <w:b/>
                <w:bCs/>
              </w:rPr>
              <w:t>Questions</w:t>
            </w:r>
          </w:p>
        </w:tc>
        <w:tc>
          <w:tcPr>
            <w:tcW w:w="3503"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C1887" w:rsidRPr="00990D3B" w:rsidP="00666AC0" w14:paraId="45D84EC8" w14:textId="77777777">
            <w:pPr>
              <w:pStyle w:val="EQRTableText"/>
              <w:rPr>
                <w:b/>
                <w:bCs/>
              </w:rPr>
            </w:pPr>
            <w:r w:rsidRPr="00990D3B">
              <w:rPr>
                <w:b/>
                <w:bCs/>
              </w:rPr>
              <w:t>Yes (please explain)</w:t>
            </w:r>
          </w:p>
        </w:tc>
        <w:tc>
          <w:tcPr>
            <w:tcW w:w="1972"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C1887" w:rsidRPr="00990D3B" w:rsidP="00666AC0" w14:paraId="165318B0" w14:textId="77777777">
            <w:pPr>
              <w:pStyle w:val="EQRTableText"/>
              <w:rPr>
                <w:b/>
                <w:bCs/>
              </w:rPr>
            </w:pPr>
            <w:r w:rsidRPr="00990D3B">
              <w:rPr>
                <w:b/>
                <w:bCs/>
              </w:rPr>
              <w:t>No</w:t>
            </w:r>
          </w:p>
        </w:tc>
      </w:tr>
      <w:tr w14:paraId="33650B84" w14:textId="77777777" w:rsidTr="007944D0">
        <w:tblPrEx>
          <w:tblW w:w="5000" w:type="pct"/>
          <w:tblLayout w:type="fixed"/>
          <w:tblCellMar>
            <w:left w:w="115" w:type="dxa"/>
            <w:right w:w="115" w:type="dxa"/>
          </w:tblCellMar>
          <w:tblLook w:val="0000"/>
        </w:tblPrEx>
        <w:trPr>
          <w:cantSplit/>
          <w:trHeight w:val="318"/>
          <w:tblHeader/>
        </w:trPr>
        <w:tc>
          <w:tcPr>
            <w:tcW w:w="746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C1887" w:rsidRPr="00990D3B" w:rsidP="00FC1887" w14:paraId="34EC6B55" w14:textId="60724C3E">
            <w:pPr>
              <w:pStyle w:val="EQRTableText"/>
              <w:rPr>
                <w:b/>
                <w:bCs/>
              </w:rPr>
            </w:pPr>
            <w:r w:rsidRPr="00990D3B">
              <w:t>Were any enrollees excluded for contraindications found in the administrative data?</w:t>
            </w:r>
          </w:p>
        </w:tc>
        <w:tc>
          <w:tcPr>
            <w:tcW w:w="3503"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C1887" w:rsidRPr="00990D3B" w:rsidP="00FC1887" w14:paraId="6CDE5DAA" w14:textId="1BE3D5F2">
            <w:pPr>
              <w:pStyle w:val="EQRTableText"/>
              <w:rPr>
                <w:b/>
                <w:bCs/>
              </w:rPr>
            </w:pPr>
            <w:r w:rsidRPr="00990D3B">
              <w:t> </w:t>
            </w:r>
          </w:p>
        </w:tc>
        <w:tc>
          <w:tcPr>
            <w:tcW w:w="1972"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C1887" w:rsidRPr="00990D3B" w:rsidP="00FC1887" w14:paraId="29BC2F08" w14:textId="0E935C37">
            <w:pPr>
              <w:pStyle w:val="EQRTableText"/>
              <w:rPr>
                <w:b/>
                <w:bCs/>
              </w:rPr>
            </w:pPr>
            <w:r w:rsidRPr="00990D3B">
              <w:t>X</w:t>
            </w:r>
          </w:p>
        </w:tc>
      </w:tr>
      <w:tr w14:paraId="6DFFBCD9" w14:textId="77777777" w:rsidTr="007944D0">
        <w:tblPrEx>
          <w:tblW w:w="5000" w:type="pct"/>
          <w:tblLayout w:type="fixed"/>
          <w:tblCellMar>
            <w:left w:w="115" w:type="dxa"/>
            <w:right w:w="115" w:type="dxa"/>
          </w:tblCellMar>
          <w:tblLook w:val="0000"/>
        </w:tblPrEx>
        <w:trPr>
          <w:cantSplit/>
          <w:trHeight w:val="318"/>
          <w:tblHeader/>
        </w:trPr>
        <w:tc>
          <w:tcPr>
            <w:tcW w:w="746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C1887" w:rsidRPr="00990D3B" w:rsidP="00FC1887" w14:paraId="26FDFE73" w14:textId="46455F67">
            <w:pPr>
              <w:pStyle w:val="EQRTableText"/>
              <w:rPr>
                <w:b/>
                <w:bCs/>
              </w:rPr>
            </w:pPr>
            <w:r w:rsidRPr="00990D3B">
              <w:t xml:space="preserve">Were any </w:t>
            </w:r>
            <w:r w:rsidRPr="00990D3B">
              <w:t>enrollees</w:t>
            </w:r>
            <w:r w:rsidRPr="00990D3B">
              <w:t xml:space="preserve"> excluded for contraindications found during the medical record review?</w:t>
            </w:r>
          </w:p>
        </w:tc>
        <w:tc>
          <w:tcPr>
            <w:tcW w:w="3503"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C1887" w:rsidRPr="00990D3B" w:rsidP="00FC1887" w14:paraId="7917425D" w14:textId="6E69DFD0">
            <w:pPr>
              <w:pStyle w:val="EQRTableText"/>
              <w:rPr>
                <w:b/>
                <w:bCs/>
              </w:rPr>
            </w:pPr>
            <w:r w:rsidRPr="00990D3B">
              <w:t> </w:t>
            </w:r>
          </w:p>
        </w:tc>
        <w:tc>
          <w:tcPr>
            <w:tcW w:w="1972"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C1887" w:rsidRPr="00990D3B" w:rsidP="00FC1887" w14:paraId="0C59D9A8" w14:textId="6EBC0FE4">
            <w:pPr>
              <w:pStyle w:val="EQRTableText"/>
              <w:rPr>
                <w:b/>
                <w:bCs/>
              </w:rPr>
            </w:pPr>
            <w:r w:rsidRPr="00990D3B">
              <w:t>X (Not applicable)</w:t>
            </w:r>
          </w:p>
        </w:tc>
      </w:tr>
      <w:tr w14:paraId="31158CD0" w14:textId="77777777" w:rsidTr="007944D0">
        <w:tblPrEx>
          <w:tblW w:w="5000" w:type="pct"/>
          <w:tblLayout w:type="fixed"/>
          <w:tblCellMar>
            <w:left w:w="115" w:type="dxa"/>
            <w:right w:w="115" w:type="dxa"/>
          </w:tblCellMar>
          <w:tblLook w:val="0000"/>
        </w:tblPrEx>
        <w:trPr>
          <w:cantSplit/>
          <w:trHeight w:val="318"/>
          <w:tblHeader/>
        </w:trPr>
        <w:tc>
          <w:tcPr>
            <w:tcW w:w="746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C1887" w:rsidRPr="00990D3B" w:rsidP="00FC1887" w14:paraId="7AD36E21" w14:textId="3FBA9C3C">
            <w:pPr>
              <w:pStyle w:val="EQRTableText"/>
              <w:rPr>
                <w:b/>
                <w:bCs/>
              </w:rPr>
            </w:pPr>
            <w:r w:rsidRPr="00990D3B">
              <w:t>Were internally developed codes used?</w:t>
            </w:r>
          </w:p>
        </w:tc>
        <w:tc>
          <w:tcPr>
            <w:tcW w:w="3503"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C1887" w:rsidRPr="00990D3B" w:rsidP="00FC1887" w14:paraId="1C34D323" w14:textId="75086DC1">
            <w:pPr>
              <w:pStyle w:val="EQRTableText"/>
              <w:rPr>
                <w:b/>
                <w:bCs/>
              </w:rPr>
            </w:pPr>
            <w:r w:rsidRPr="00990D3B">
              <w:t> </w:t>
            </w:r>
          </w:p>
        </w:tc>
        <w:tc>
          <w:tcPr>
            <w:tcW w:w="1972"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FC1887" w:rsidRPr="00990D3B" w:rsidP="00FC1887" w14:paraId="3194B5F7" w14:textId="5F677BA6">
            <w:pPr>
              <w:pStyle w:val="EQRTableText"/>
              <w:rPr>
                <w:b/>
                <w:bCs/>
              </w:rPr>
            </w:pPr>
            <w:r w:rsidRPr="00990D3B">
              <w:t>X</w:t>
            </w:r>
          </w:p>
        </w:tc>
      </w:tr>
    </w:tbl>
    <w:p w:rsidR="00FC1887" w:rsidRPr="00990D3B" w:rsidP="006101BE" w14:paraId="36965990" w14:textId="77777777">
      <w:pPr>
        <w:pStyle w:val="NoSpacing"/>
      </w:pPr>
    </w:p>
    <w:tbl>
      <w:tblPr>
        <w:tblW w:w="5000" w:type="pct"/>
        <w:tblLayout w:type="fixed"/>
        <w:tblCellMar>
          <w:left w:w="115" w:type="dxa"/>
          <w:right w:w="115" w:type="dxa"/>
        </w:tblCellMar>
        <w:tblLook w:val="0000"/>
      </w:tblPr>
      <w:tblGrid>
        <w:gridCol w:w="8452"/>
        <w:gridCol w:w="1350"/>
        <w:gridCol w:w="3142"/>
      </w:tblGrid>
      <w:tr w14:paraId="10C5BC07" w14:textId="77777777" w:rsidTr="007944D0">
        <w:tblPrEx>
          <w:tblW w:w="5000" w:type="pct"/>
          <w:tblLayout w:type="fixed"/>
          <w:tblCellMar>
            <w:left w:w="115" w:type="dxa"/>
            <w:right w:w="115" w:type="dxa"/>
          </w:tblCellMar>
          <w:tblLook w:val="0000"/>
        </w:tblPrEx>
        <w:trPr>
          <w:cantSplit/>
        </w:trPr>
        <w:tc>
          <w:tcPr>
            <w:tcW w:w="8452" w:type="dxa"/>
            <w:tcBorders>
              <w:top w:val="single" w:sz="6" w:space="0" w:color="000000"/>
              <w:left w:val="single" w:sz="6" w:space="0" w:color="000000"/>
              <w:bottom w:val="single" w:sz="6" w:space="0" w:color="000000"/>
              <w:right w:val="single" w:sz="4" w:space="0" w:color="auto"/>
            </w:tcBorders>
            <w:shd w:val="clear" w:color="auto" w:fill="FFFFFF" w:themeFill="background1"/>
            <w:vAlign w:val="bottom"/>
          </w:tcPr>
          <w:p w:rsidR="00FC1887" w:rsidRPr="00990D3B" w:rsidP="00666AC0" w14:paraId="40F6B49E" w14:textId="77777777">
            <w:pPr>
              <w:pStyle w:val="EQRTableText"/>
              <w:rPr>
                <w:b/>
                <w:bCs/>
              </w:rPr>
            </w:pPr>
            <w:r w:rsidRPr="00990D3B">
              <w:rPr>
                <w:b/>
                <w:bCs/>
              </w:rPr>
              <w:t>What is the estimated impact of data incompleteness on the rate(s) calculated for this measure?</w:t>
            </w:r>
          </w:p>
        </w:tc>
        <w:tc>
          <w:tcPr>
            <w:tcW w:w="1350" w:type="dxa"/>
            <w:tcBorders>
              <w:top w:val="single" w:sz="6" w:space="0" w:color="000000"/>
              <w:left w:val="single" w:sz="4" w:space="0" w:color="auto"/>
              <w:bottom w:val="single" w:sz="6" w:space="0" w:color="000000"/>
              <w:right w:val="single" w:sz="6" w:space="0" w:color="000000"/>
            </w:tcBorders>
            <w:shd w:val="clear" w:color="auto" w:fill="FFFFFF" w:themeFill="background1"/>
            <w:vAlign w:val="bottom"/>
          </w:tcPr>
          <w:p w:rsidR="00FC1887" w:rsidRPr="00990D3B" w:rsidP="00666AC0" w14:paraId="537BD9EE" w14:textId="77777777">
            <w:pPr>
              <w:pStyle w:val="EQRTableText"/>
              <w:jc w:val="center"/>
              <w:rPr>
                <w:b/>
                <w:bCs/>
              </w:rPr>
            </w:pPr>
            <w:r w:rsidRPr="00990D3B">
              <w:rPr>
                <w:b/>
                <w:bCs/>
              </w:rPr>
              <w:t>Check one</w:t>
            </w:r>
          </w:p>
        </w:tc>
        <w:tc>
          <w:tcPr>
            <w:tcW w:w="3142" w:type="dxa"/>
            <w:tcBorders>
              <w:top w:val="single" w:sz="6" w:space="0" w:color="000000"/>
              <w:left w:val="single" w:sz="4" w:space="0" w:color="auto"/>
              <w:bottom w:val="single" w:sz="6" w:space="0" w:color="000000"/>
              <w:right w:val="single" w:sz="6" w:space="0" w:color="000000"/>
            </w:tcBorders>
            <w:shd w:val="clear" w:color="auto" w:fill="FFFFFF" w:themeFill="background1"/>
            <w:vAlign w:val="bottom"/>
          </w:tcPr>
          <w:p w:rsidR="00FC1887" w:rsidRPr="00990D3B" w:rsidP="00666AC0" w14:paraId="516452B5" w14:textId="77777777">
            <w:pPr>
              <w:pStyle w:val="EQRTableText"/>
              <w:jc w:val="center"/>
              <w:rPr>
                <w:b/>
                <w:bCs/>
              </w:rPr>
            </w:pPr>
            <w:r w:rsidRPr="00990D3B">
              <w:rPr>
                <w:b/>
                <w:bCs/>
              </w:rPr>
              <w:t>Comments</w:t>
            </w:r>
          </w:p>
        </w:tc>
      </w:tr>
      <w:tr w14:paraId="45062D86" w14:textId="77777777" w:rsidTr="007944D0">
        <w:tblPrEx>
          <w:tblW w:w="5000" w:type="pct"/>
          <w:tblLayout w:type="fixed"/>
          <w:tblCellMar>
            <w:left w:w="115" w:type="dxa"/>
            <w:right w:w="115" w:type="dxa"/>
          </w:tblCellMar>
          <w:tblLook w:val="0000"/>
        </w:tblPrEx>
        <w:trPr>
          <w:cantSplit/>
        </w:trPr>
        <w:tc>
          <w:tcPr>
            <w:tcW w:w="8452" w:type="dxa"/>
            <w:tcBorders>
              <w:top w:val="single" w:sz="6" w:space="0" w:color="000000"/>
              <w:left w:val="single" w:sz="6" w:space="0" w:color="000000"/>
              <w:bottom w:val="dashSmallGap" w:sz="4" w:space="0" w:color="000000"/>
              <w:right w:val="single" w:sz="4" w:space="0" w:color="auto"/>
            </w:tcBorders>
          </w:tcPr>
          <w:p w:rsidR="00FC1887" w:rsidRPr="00990D3B" w:rsidP="00666AC0" w14:paraId="0CCB1CF5" w14:textId="77777777">
            <w:pPr>
              <w:pStyle w:val="EQRTableTextbullet"/>
              <w:spacing w:line="240" w:lineRule="auto"/>
              <w:ind w:left="216" w:hanging="216"/>
            </w:pPr>
            <w:r w:rsidRPr="00990D3B">
              <w:t>0–5 percentage points</w:t>
            </w:r>
          </w:p>
        </w:tc>
        <w:tc>
          <w:tcPr>
            <w:tcW w:w="1350" w:type="dxa"/>
            <w:tcBorders>
              <w:top w:val="single" w:sz="6" w:space="0" w:color="000000"/>
              <w:left w:val="single" w:sz="4" w:space="0" w:color="auto"/>
              <w:bottom w:val="dashSmallGap" w:sz="4" w:space="0" w:color="000000"/>
              <w:right w:val="single" w:sz="6" w:space="0" w:color="000000"/>
            </w:tcBorders>
          </w:tcPr>
          <w:p w:rsidR="00FC1887" w:rsidRPr="00990D3B" w:rsidP="00666AC0" w14:paraId="67229042" w14:textId="13ED02A1">
            <w:pPr>
              <w:pStyle w:val="EQRTableText"/>
            </w:pPr>
            <w:r w:rsidRPr="00990D3B">
              <w:t> X</w:t>
            </w:r>
          </w:p>
        </w:tc>
        <w:tc>
          <w:tcPr>
            <w:tcW w:w="3142" w:type="dxa"/>
            <w:tcBorders>
              <w:top w:val="single" w:sz="6" w:space="0" w:color="000000"/>
              <w:left w:val="single" w:sz="4" w:space="0" w:color="auto"/>
              <w:bottom w:val="dashSmallGap" w:sz="4" w:space="0" w:color="000000"/>
              <w:right w:val="single" w:sz="6" w:space="0" w:color="000000"/>
            </w:tcBorders>
          </w:tcPr>
          <w:p w:rsidR="00FC1887" w:rsidRPr="00990D3B" w:rsidP="00666AC0" w14:paraId="34052917" w14:textId="77777777">
            <w:pPr>
              <w:pStyle w:val="EQRTableText"/>
            </w:pPr>
            <w:r w:rsidRPr="00990D3B">
              <w:t> </w:t>
            </w:r>
          </w:p>
        </w:tc>
      </w:tr>
      <w:tr w14:paraId="22A45D71" w14:textId="77777777" w:rsidTr="007944D0">
        <w:tblPrEx>
          <w:tblW w:w="5000" w:type="pct"/>
          <w:tblLayout w:type="fixed"/>
          <w:tblCellMar>
            <w:left w:w="115" w:type="dxa"/>
            <w:right w:w="115" w:type="dxa"/>
          </w:tblCellMar>
          <w:tblLook w:val="0000"/>
        </w:tblPrEx>
        <w:trPr>
          <w:cantSplit/>
        </w:trPr>
        <w:tc>
          <w:tcPr>
            <w:tcW w:w="8452" w:type="dxa"/>
            <w:tcBorders>
              <w:top w:val="dashSmallGap" w:sz="4" w:space="0" w:color="000000"/>
              <w:left w:val="single" w:sz="6" w:space="0" w:color="000000"/>
              <w:bottom w:val="dashSmallGap" w:sz="4" w:space="0" w:color="000000"/>
              <w:right w:val="single" w:sz="6" w:space="0" w:color="000000"/>
            </w:tcBorders>
          </w:tcPr>
          <w:p w:rsidR="00FC1887" w:rsidRPr="00990D3B" w:rsidP="00666AC0" w14:paraId="190D432D" w14:textId="77777777">
            <w:pPr>
              <w:pStyle w:val="EQRTableTextbullet"/>
              <w:spacing w:line="240" w:lineRule="auto"/>
              <w:ind w:left="216" w:hanging="216"/>
            </w:pPr>
            <w:r w:rsidRPr="00990D3B">
              <w:t>&gt;5–10 percentage points</w:t>
            </w:r>
          </w:p>
        </w:tc>
        <w:tc>
          <w:tcPr>
            <w:tcW w:w="1350" w:type="dxa"/>
            <w:tcBorders>
              <w:top w:val="dashSmallGap" w:sz="4" w:space="0" w:color="000000"/>
              <w:left w:val="single" w:sz="6" w:space="0" w:color="000000"/>
              <w:bottom w:val="dashSmallGap" w:sz="4" w:space="0" w:color="000000"/>
              <w:right w:val="single" w:sz="6" w:space="0" w:color="000000"/>
            </w:tcBorders>
          </w:tcPr>
          <w:p w:rsidR="00FC1887" w:rsidRPr="00990D3B" w:rsidP="00666AC0" w14:paraId="2CD6D27E" w14:textId="77777777">
            <w:pPr>
              <w:pStyle w:val="EQRTableText"/>
            </w:pPr>
            <w:r w:rsidRPr="00990D3B">
              <w:t> </w:t>
            </w:r>
          </w:p>
        </w:tc>
        <w:tc>
          <w:tcPr>
            <w:tcW w:w="3142" w:type="dxa"/>
            <w:tcBorders>
              <w:top w:val="dashSmallGap" w:sz="4" w:space="0" w:color="000000"/>
              <w:left w:val="single" w:sz="6" w:space="0" w:color="000000"/>
              <w:bottom w:val="dashSmallGap" w:sz="4" w:space="0" w:color="000000"/>
              <w:right w:val="single" w:sz="6" w:space="0" w:color="000000"/>
            </w:tcBorders>
          </w:tcPr>
          <w:p w:rsidR="00FC1887" w:rsidRPr="00990D3B" w:rsidP="00666AC0" w14:paraId="4855E7A4" w14:textId="77777777">
            <w:pPr>
              <w:pStyle w:val="EQRTableText"/>
            </w:pPr>
            <w:r w:rsidRPr="00990D3B">
              <w:t> </w:t>
            </w:r>
          </w:p>
        </w:tc>
      </w:tr>
      <w:tr w14:paraId="0F0BE8C8" w14:textId="77777777" w:rsidTr="007944D0">
        <w:tblPrEx>
          <w:tblW w:w="5000" w:type="pct"/>
          <w:tblLayout w:type="fixed"/>
          <w:tblCellMar>
            <w:left w:w="115" w:type="dxa"/>
            <w:right w:w="115" w:type="dxa"/>
          </w:tblCellMar>
          <w:tblLook w:val="0000"/>
        </w:tblPrEx>
        <w:trPr>
          <w:cantSplit/>
        </w:trPr>
        <w:tc>
          <w:tcPr>
            <w:tcW w:w="8452" w:type="dxa"/>
            <w:tcBorders>
              <w:top w:val="dashSmallGap" w:sz="4" w:space="0" w:color="000000"/>
              <w:left w:val="single" w:sz="6" w:space="0" w:color="000000"/>
              <w:bottom w:val="dashSmallGap" w:sz="4" w:space="0" w:color="000000"/>
              <w:right w:val="single" w:sz="6" w:space="0" w:color="000000"/>
            </w:tcBorders>
          </w:tcPr>
          <w:p w:rsidR="00FC1887" w:rsidRPr="00990D3B" w:rsidP="00666AC0" w14:paraId="16A169E2" w14:textId="77777777">
            <w:pPr>
              <w:pStyle w:val="EQRTableTextbullet"/>
              <w:spacing w:line="240" w:lineRule="auto"/>
              <w:ind w:left="216" w:hanging="216"/>
            </w:pPr>
            <w:r w:rsidRPr="00990D3B">
              <w:t>&gt;10–20 percentage points</w:t>
            </w:r>
          </w:p>
        </w:tc>
        <w:tc>
          <w:tcPr>
            <w:tcW w:w="1350" w:type="dxa"/>
            <w:tcBorders>
              <w:top w:val="dashSmallGap" w:sz="4" w:space="0" w:color="000000"/>
              <w:left w:val="single" w:sz="6" w:space="0" w:color="000000"/>
              <w:bottom w:val="dashSmallGap" w:sz="4" w:space="0" w:color="000000"/>
              <w:right w:val="single" w:sz="6" w:space="0" w:color="000000"/>
            </w:tcBorders>
          </w:tcPr>
          <w:p w:rsidR="00FC1887" w:rsidRPr="00990D3B" w:rsidP="00666AC0" w14:paraId="4967AE8F" w14:textId="77777777">
            <w:pPr>
              <w:pStyle w:val="EQRTableText"/>
            </w:pPr>
            <w:r w:rsidRPr="00990D3B">
              <w:t> </w:t>
            </w:r>
          </w:p>
        </w:tc>
        <w:tc>
          <w:tcPr>
            <w:tcW w:w="3142" w:type="dxa"/>
            <w:tcBorders>
              <w:top w:val="dashSmallGap" w:sz="4" w:space="0" w:color="000000"/>
              <w:left w:val="single" w:sz="6" w:space="0" w:color="000000"/>
              <w:bottom w:val="dashSmallGap" w:sz="4" w:space="0" w:color="000000"/>
              <w:right w:val="single" w:sz="6" w:space="0" w:color="000000"/>
            </w:tcBorders>
          </w:tcPr>
          <w:p w:rsidR="00FC1887" w:rsidRPr="00990D3B" w:rsidP="00666AC0" w14:paraId="29A08B47" w14:textId="77777777">
            <w:pPr>
              <w:pStyle w:val="EQRTableText"/>
            </w:pPr>
            <w:r w:rsidRPr="00990D3B">
              <w:t> </w:t>
            </w:r>
          </w:p>
        </w:tc>
      </w:tr>
      <w:tr w14:paraId="7483CC3E" w14:textId="77777777" w:rsidTr="007944D0">
        <w:tblPrEx>
          <w:tblW w:w="5000" w:type="pct"/>
          <w:tblLayout w:type="fixed"/>
          <w:tblCellMar>
            <w:left w:w="115" w:type="dxa"/>
            <w:right w:w="115" w:type="dxa"/>
          </w:tblCellMar>
          <w:tblLook w:val="0000"/>
        </w:tblPrEx>
        <w:trPr>
          <w:cantSplit/>
          <w:trHeight w:val="332"/>
        </w:trPr>
        <w:tc>
          <w:tcPr>
            <w:tcW w:w="8452" w:type="dxa"/>
            <w:tcBorders>
              <w:top w:val="dashSmallGap" w:sz="4" w:space="0" w:color="000000"/>
              <w:left w:val="single" w:sz="6" w:space="0" w:color="000000"/>
              <w:bottom w:val="dashSmallGap" w:sz="4" w:space="0" w:color="000000"/>
              <w:right w:val="single" w:sz="6" w:space="0" w:color="000000"/>
            </w:tcBorders>
          </w:tcPr>
          <w:p w:rsidR="00FC1887" w:rsidRPr="00990D3B" w:rsidP="00666AC0" w14:paraId="56EDE6CB" w14:textId="77777777">
            <w:pPr>
              <w:pStyle w:val="EQRTableTextbullet"/>
              <w:spacing w:line="240" w:lineRule="auto"/>
              <w:ind w:left="216" w:hanging="216"/>
            </w:pPr>
            <w:r w:rsidRPr="00990D3B">
              <w:t>&gt;20–40 percentage points</w:t>
            </w:r>
          </w:p>
        </w:tc>
        <w:tc>
          <w:tcPr>
            <w:tcW w:w="1350" w:type="dxa"/>
            <w:tcBorders>
              <w:top w:val="dashSmallGap" w:sz="4" w:space="0" w:color="000000"/>
              <w:left w:val="single" w:sz="6" w:space="0" w:color="000000"/>
              <w:bottom w:val="dashSmallGap" w:sz="4" w:space="0" w:color="000000"/>
              <w:right w:val="single" w:sz="6" w:space="0" w:color="000000"/>
            </w:tcBorders>
          </w:tcPr>
          <w:p w:rsidR="00FC1887" w:rsidRPr="00990D3B" w:rsidP="00666AC0" w14:paraId="7FBBE50A" w14:textId="77777777">
            <w:pPr>
              <w:pStyle w:val="EQRTableText"/>
            </w:pPr>
            <w:r w:rsidRPr="00990D3B">
              <w:t> </w:t>
            </w:r>
          </w:p>
        </w:tc>
        <w:tc>
          <w:tcPr>
            <w:tcW w:w="3142" w:type="dxa"/>
            <w:tcBorders>
              <w:top w:val="dashSmallGap" w:sz="4" w:space="0" w:color="000000"/>
              <w:left w:val="single" w:sz="6" w:space="0" w:color="000000"/>
              <w:bottom w:val="dashSmallGap" w:sz="4" w:space="0" w:color="000000"/>
              <w:right w:val="single" w:sz="6" w:space="0" w:color="000000"/>
            </w:tcBorders>
          </w:tcPr>
          <w:p w:rsidR="00FC1887" w:rsidRPr="00990D3B" w:rsidP="00666AC0" w14:paraId="664EB507" w14:textId="77777777">
            <w:pPr>
              <w:pStyle w:val="EQRTableText"/>
            </w:pPr>
            <w:r w:rsidRPr="00990D3B">
              <w:t> </w:t>
            </w:r>
          </w:p>
        </w:tc>
      </w:tr>
      <w:tr w14:paraId="1F1600E8" w14:textId="77777777" w:rsidTr="007944D0">
        <w:tblPrEx>
          <w:tblW w:w="5000" w:type="pct"/>
          <w:tblLayout w:type="fixed"/>
          <w:tblCellMar>
            <w:left w:w="115" w:type="dxa"/>
            <w:right w:w="115" w:type="dxa"/>
          </w:tblCellMar>
          <w:tblLook w:val="0000"/>
        </w:tblPrEx>
        <w:trPr>
          <w:cantSplit/>
        </w:trPr>
        <w:tc>
          <w:tcPr>
            <w:tcW w:w="8452" w:type="dxa"/>
            <w:tcBorders>
              <w:top w:val="dashSmallGap" w:sz="4" w:space="0" w:color="000000"/>
              <w:left w:val="single" w:sz="6" w:space="0" w:color="000000"/>
              <w:bottom w:val="dashSmallGap" w:sz="4" w:space="0" w:color="000000"/>
              <w:right w:val="single" w:sz="6" w:space="0" w:color="000000"/>
            </w:tcBorders>
          </w:tcPr>
          <w:p w:rsidR="00FC1887" w:rsidRPr="00990D3B" w:rsidP="00666AC0" w14:paraId="7F3F6CA4" w14:textId="77777777">
            <w:pPr>
              <w:pStyle w:val="EQRTableTextbullet"/>
              <w:spacing w:line="240" w:lineRule="auto"/>
              <w:ind w:left="216" w:hanging="216"/>
            </w:pPr>
            <w:r w:rsidRPr="00990D3B">
              <w:t>&gt;40 percentage points</w:t>
            </w:r>
          </w:p>
        </w:tc>
        <w:tc>
          <w:tcPr>
            <w:tcW w:w="1350" w:type="dxa"/>
            <w:tcBorders>
              <w:top w:val="dashSmallGap" w:sz="4" w:space="0" w:color="000000"/>
              <w:left w:val="single" w:sz="6" w:space="0" w:color="000000"/>
              <w:bottom w:val="dashSmallGap" w:sz="4" w:space="0" w:color="000000"/>
              <w:right w:val="single" w:sz="6" w:space="0" w:color="000000"/>
            </w:tcBorders>
          </w:tcPr>
          <w:p w:rsidR="00FC1887" w:rsidRPr="00990D3B" w:rsidP="00666AC0" w14:paraId="3F37D52D" w14:textId="77777777">
            <w:pPr>
              <w:pStyle w:val="EQRTableText"/>
            </w:pPr>
            <w:r w:rsidRPr="00990D3B">
              <w:t> </w:t>
            </w:r>
          </w:p>
        </w:tc>
        <w:tc>
          <w:tcPr>
            <w:tcW w:w="3142" w:type="dxa"/>
            <w:tcBorders>
              <w:top w:val="dashSmallGap" w:sz="4" w:space="0" w:color="000000"/>
              <w:left w:val="single" w:sz="6" w:space="0" w:color="000000"/>
              <w:bottom w:val="dashSmallGap" w:sz="4" w:space="0" w:color="000000"/>
              <w:right w:val="single" w:sz="6" w:space="0" w:color="000000"/>
            </w:tcBorders>
          </w:tcPr>
          <w:p w:rsidR="00FC1887" w:rsidRPr="00990D3B" w:rsidP="00666AC0" w14:paraId="5BF9F417" w14:textId="77777777">
            <w:pPr>
              <w:pStyle w:val="EQRTableText"/>
            </w:pPr>
            <w:r w:rsidRPr="00990D3B">
              <w:t> </w:t>
            </w:r>
          </w:p>
        </w:tc>
      </w:tr>
      <w:tr w14:paraId="6A3D20CD" w14:textId="77777777" w:rsidTr="007944D0">
        <w:tblPrEx>
          <w:tblW w:w="5000" w:type="pct"/>
          <w:tblLayout w:type="fixed"/>
          <w:tblCellMar>
            <w:left w:w="115" w:type="dxa"/>
            <w:right w:w="115" w:type="dxa"/>
          </w:tblCellMar>
          <w:tblLook w:val="0000"/>
        </w:tblPrEx>
        <w:trPr>
          <w:cantSplit/>
          <w:trHeight w:val="345"/>
        </w:trPr>
        <w:tc>
          <w:tcPr>
            <w:tcW w:w="8452" w:type="dxa"/>
            <w:tcBorders>
              <w:top w:val="dashSmallGap" w:sz="4" w:space="0" w:color="000000"/>
              <w:left w:val="single" w:sz="6" w:space="0" w:color="000000"/>
              <w:bottom w:val="single" w:sz="4" w:space="0" w:color="auto"/>
              <w:right w:val="single" w:sz="6" w:space="0" w:color="000000"/>
            </w:tcBorders>
          </w:tcPr>
          <w:p w:rsidR="00FC1887" w:rsidRPr="00990D3B" w:rsidP="00666AC0" w14:paraId="2A2D82FF" w14:textId="77777777">
            <w:pPr>
              <w:pStyle w:val="EQRTableTextbullet"/>
              <w:spacing w:line="240" w:lineRule="auto"/>
              <w:ind w:left="216" w:hanging="216"/>
            </w:pPr>
            <w:r w:rsidRPr="00990D3B">
              <w:t>Unable to determine</w:t>
            </w:r>
          </w:p>
        </w:tc>
        <w:tc>
          <w:tcPr>
            <w:tcW w:w="1350" w:type="dxa"/>
            <w:tcBorders>
              <w:top w:val="dashSmallGap" w:sz="4" w:space="0" w:color="000000"/>
              <w:left w:val="single" w:sz="6" w:space="0" w:color="000000"/>
              <w:bottom w:val="single" w:sz="4" w:space="0" w:color="auto"/>
              <w:right w:val="single" w:sz="6" w:space="0" w:color="000000"/>
            </w:tcBorders>
          </w:tcPr>
          <w:p w:rsidR="00FC1887" w:rsidRPr="00990D3B" w:rsidP="00666AC0" w14:paraId="2F074BC0" w14:textId="77777777">
            <w:pPr>
              <w:pStyle w:val="EQRTableText"/>
            </w:pPr>
            <w:r w:rsidRPr="00990D3B">
              <w:t> </w:t>
            </w:r>
          </w:p>
        </w:tc>
        <w:tc>
          <w:tcPr>
            <w:tcW w:w="3142" w:type="dxa"/>
            <w:tcBorders>
              <w:top w:val="dashSmallGap" w:sz="4" w:space="0" w:color="000000"/>
              <w:left w:val="single" w:sz="6" w:space="0" w:color="000000"/>
              <w:bottom w:val="single" w:sz="4" w:space="0" w:color="auto"/>
              <w:right w:val="single" w:sz="6" w:space="0" w:color="000000"/>
            </w:tcBorders>
          </w:tcPr>
          <w:p w:rsidR="00FC1887" w:rsidRPr="00990D3B" w:rsidP="00666AC0" w14:paraId="45F1D9CB" w14:textId="77777777">
            <w:pPr>
              <w:pStyle w:val="EQRTableText"/>
            </w:pPr>
            <w:r w:rsidRPr="00990D3B">
              <w:t> </w:t>
            </w:r>
          </w:p>
        </w:tc>
      </w:tr>
    </w:tbl>
    <w:p w:rsidR="00FC1887" w:rsidRPr="00990D3B" w:rsidP="006101BE" w14:paraId="4620536E" w14:textId="77777777">
      <w:pPr>
        <w:pStyle w:val="NoSpacing"/>
      </w:pPr>
    </w:p>
    <w:tbl>
      <w:tblPr>
        <w:tblW w:w="5000" w:type="pct"/>
        <w:tblLayout w:type="fixed"/>
        <w:tblCellMar>
          <w:left w:w="115" w:type="dxa"/>
          <w:right w:w="115" w:type="dxa"/>
        </w:tblCellMar>
        <w:tblLook w:val="0000"/>
      </w:tblPr>
      <w:tblGrid>
        <w:gridCol w:w="8362"/>
        <w:gridCol w:w="1440"/>
        <w:gridCol w:w="3142"/>
      </w:tblGrid>
      <w:tr w14:paraId="388F6B1B" w14:textId="77777777" w:rsidTr="007944D0">
        <w:tblPrEx>
          <w:tblW w:w="5000" w:type="pct"/>
          <w:tblLayout w:type="fixed"/>
          <w:tblCellMar>
            <w:left w:w="115" w:type="dxa"/>
            <w:right w:w="115" w:type="dxa"/>
          </w:tblCellMar>
          <w:tblLook w:val="0000"/>
        </w:tblPrEx>
        <w:trPr>
          <w:cantSplit/>
          <w:trHeight w:val="345"/>
        </w:trPr>
        <w:tc>
          <w:tcPr>
            <w:tcW w:w="8362" w:type="dxa"/>
            <w:tcBorders>
              <w:top w:val="single" w:sz="4" w:space="0" w:color="auto"/>
              <w:left w:val="single" w:sz="6" w:space="0" w:color="000000"/>
              <w:bottom w:val="single" w:sz="4" w:space="0" w:color="auto"/>
              <w:right w:val="single" w:sz="6" w:space="0" w:color="000000"/>
            </w:tcBorders>
            <w:shd w:val="clear" w:color="auto" w:fill="FFFFFF" w:themeFill="background1"/>
            <w:vAlign w:val="bottom"/>
          </w:tcPr>
          <w:p w:rsidR="00FC1887" w:rsidRPr="00990D3B" w:rsidP="00FC1887" w14:paraId="612D7F92" w14:textId="77777777">
            <w:pPr>
              <w:pStyle w:val="EQRTableText"/>
              <w:keepNext/>
              <w:rPr>
                <w:b/>
                <w:bCs/>
              </w:rPr>
            </w:pPr>
            <w:r w:rsidRPr="00990D3B">
              <w:rPr>
                <w:b/>
                <w:bCs/>
              </w:rPr>
              <w:t>What is the direction of the bias?</w:t>
            </w:r>
          </w:p>
        </w:tc>
        <w:tc>
          <w:tcPr>
            <w:tcW w:w="1440" w:type="dxa"/>
            <w:tcBorders>
              <w:top w:val="single" w:sz="4" w:space="0" w:color="auto"/>
              <w:left w:val="single" w:sz="6" w:space="0" w:color="000000"/>
              <w:bottom w:val="single" w:sz="4" w:space="0" w:color="auto"/>
              <w:right w:val="single" w:sz="6" w:space="0" w:color="000000"/>
            </w:tcBorders>
            <w:shd w:val="clear" w:color="auto" w:fill="FFFFFF" w:themeFill="background1"/>
            <w:vAlign w:val="bottom"/>
          </w:tcPr>
          <w:p w:rsidR="00FC1887" w:rsidRPr="00990D3B" w:rsidP="00FC1887" w14:paraId="2983F15C" w14:textId="77777777">
            <w:pPr>
              <w:pStyle w:val="EQRTableText"/>
              <w:keepNext/>
              <w:jc w:val="center"/>
            </w:pPr>
            <w:r w:rsidRPr="00990D3B">
              <w:rPr>
                <w:b/>
                <w:bCs/>
              </w:rPr>
              <w:t>Check one</w:t>
            </w:r>
          </w:p>
        </w:tc>
        <w:tc>
          <w:tcPr>
            <w:tcW w:w="3142" w:type="dxa"/>
            <w:tcBorders>
              <w:top w:val="single" w:sz="4" w:space="0" w:color="auto"/>
              <w:left w:val="single" w:sz="6" w:space="0" w:color="000000"/>
              <w:bottom w:val="single" w:sz="4" w:space="0" w:color="auto"/>
              <w:right w:val="single" w:sz="6" w:space="0" w:color="000000"/>
            </w:tcBorders>
            <w:shd w:val="clear" w:color="auto" w:fill="FFFFFF" w:themeFill="background1"/>
            <w:vAlign w:val="bottom"/>
          </w:tcPr>
          <w:p w:rsidR="00FC1887" w:rsidRPr="00990D3B" w:rsidP="00FC1887" w14:paraId="45CF30C9" w14:textId="77777777">
            <w:pPr>
              <w:pStyle w:val="EQRTableText"/>
              <w:keepNext/>
              <w:jc w:val="center"/>
            </w:pPr>
            <w:r w:rsidRPr="00990D3B">
              <w:rPr>
                <w:b/>
                <w:bCs/>
              </w:rPr>
              <w:t>Comments</w:t>
            </w:r>
          </w:p>
        </w:tc>
      </w:tr>
      <w:tr w14:paraId="70F58B3F" w14:textId="77777777" w:rsidTr="007944D0">
        <w:tblPrEx>
          <w:tblW w:w="5000" w:type="pct"/>
          <w:tblLayout w:type="fixed"/>
          <w:tblCellMar>
            <w:left w:w="115" w:type="dxa"/>
            <w:right w:w="115" w:type="dxa"/>
          </w:tblCellMar>
          <w:tblLook w:val="0000"/>
        </w:tblPrEx>
        <w:trPr>
          <w:cantSplit/>
          <w:trHeight w:val="345"/>
        </w:trPr>
        <w:tc>
          <w:tcPr>
            <w:tcW w:w="8362" w:type="dxa"/>
            <w:tcBorders>
              <w:top w:val="single" w:sz="4" w:space="0" w:color="auto"/>
              <w:left w:val="single" w:sz="6" w:space="0" w:color="000000"/>
              <w:bottom w:val="dashSmallGap" w:sz="4" w:space="0" w:color="000000"/>
              <w:right w:val="single" w:sz="6" w:space="0" w:color="000000"/>
            </w:tcBorders>
          </w:tcPr>
          <w:p w:rsidR="00FC1887" w:rsidRPr="00990D3B" w:rsidP="00666AC0" w14:paraId="710CCDB6" w14:textId="77777777">
            <w:pPr>
              <w:pStyle w:val="EQRTableTextbullet"/>
              <w:spacing w:line="240" w:lineRule="auto"/>
              <w:ind w:left="216" w:hanging="216"/>
            </w:pPr>
            <w:r w:rsidRPr="00990D3B">
              <w:t>Over-reporting</w:t>
            </w:r>
          </w:p>
        </w:tc>
        <w:tc>
          <w:tcPr>
            <w:tcW w:w="1440" w:type="dxa"/>
            <w:tcBorders>
              <w:top w:val="single" w:sz="4" w:space="0" w:color="auto"/>
              <w:left w:val="single" w:sz="6" w:space="0" w:color="000000"/>
              <w:bottom w:val="dashSmallGap" w:sz="4" w:space="0" w:color="000000"/>
              <w:right w:val="single" w:sz="6" w:space="0" w:color="000000"/>
            </w:tcBorders>
          </w:tcPr>
          <w:p w:rsidR="00FC1887" w:rsidRPr="00990D3B" w:rsidP="00666AC0" w14:paraId="133CB655" w14:textId="77777777">
            <w:pPr>
              <w:pStyle w:val="EQRTableText"/>
            </w:pPr>
            <w:r w:rsidRPr="00990D3B">
              <w:t> </w:t>
            </w:r>
          </w:p>
        </w:tc>
        <w:tc>
          <w:tcPr>
            <w:tcW w:w="3142" w:type="dxa"/>
            <w:tcBorders>
              <w:top w:val="single" w:sz="4" w:space="0" w:color="auto"/>
              <w:left w:val="single" w:sz="6" w:space="0" w:color="000000"/>
              <w:bottom w:val="dashSmallGap" w:sz="4" w:space="0" w:color="000000"/>
              <w:right w:val="single" w:sz="6" w:space="0" w:color="000000"/>
            </w:tcBorders>
          </w:tcPr>
          <w:p w:rsidR="00FC1887" w:rsidRPr="00990D3B" w:rsidP="00666AC0" w14:paraId="1B2B8E0F" w14:textId="77777777">
            <w:pPr>
              <w:pStyle w:val="EQRTableText"/>
            </w:pPr>
            <w:r w:rsidRPr="00990D3B">
              <w:t> </w:t>
            </w:r>
          </w:p>
        </w:tc>
      </w:tr>
      <w:tr w14:paraId="2AC0F184" w14:textId="77777777" w:rsidTr="007944D0">
        <w:tblPrEx>
          <w:tblW w:w="5000" w:type="pct"/>
          <w:tblLayout w:type="fixed"/>
          <w:tblCellMar>
            <w:left w:w="115" w:type="dxa"/>
            <w:right w:w="115" w:type="dxa"/>
          </w:tblCellMar>
          <w:tblLook w:val="0000"/>
        </w:tblPrEx>
        <w:trPr>
          <w:cantSplit/>
          <w:trHeight w:val="345"/>
        </w:trPr>
        <w:tc>
          <w:tcPr>
            <w:tcW w:w="8362" w:type="dxa"/>
            <w:tcBorders>
              <w:top w:val="dashSmallGap" w:sz="4" w:space="0" w:color="000000"/>
              <w:left w:val="single" w:sz="6" w:space="0" w:color="000000"/>
              <w:bottom w:val="single" w:sz="4" w:space="0" w:color="000000"/>
              <w:right w:val="single" w:sz="6" w:space="0" w:color="000000"/>
            </w:tcBorders>
          </w:tcPr>
          <w:p w:rsidR="00FC1887" w:rsidRPr="00990D3B" w:rsidP="00666AC0" w14:paraId="16EBD9C3" w14:textId="77777777">
            <w:pPr>
              <w:pStyle w:val="EQRTableTextbullet"/>
              <w:spacing w:line="240" w:lineRule="auto"/>
              <w:ind w:left="216" w:hanging="216"/>
            </w:pPr>
            <w:r w:rsidRPr="00990D3B">
              <w:t>Under-reporting</w:t>
            </w:r>
          </w:p>
        </w:tc>
        <w:tc>
          <w:tcPr>
            <w:tcW w:w="1440" w:type="dxa"/>
            <w:tcBorders>
              <w:top w:val="dashSmallGap" w:sz="4" w:space="0" w:color="000000"/>
              <w:left w:val="single" w:sz="6" w:space="0" w:color="000000"/>
              <w:bottom w:val="single" w:sz="4" w:space="0" w:color="000000"/>
              <w:right w:val="single" w:sz="6" w:space="0" w:color="000000"/>
            </w:tcBorders>
          </w:tcPr>
          <w:p w:rsidR="00FC1887" w:rsidRPr="00990D3B" w:rsidP="00666AC0" w14:paraId="710DDAA4" w14:textId="77777777">
            <w:pPr>
              <w:pStyle w:val="EQRTableText"/>
            </w:pPr>
            <w:r w:rsidRPr="00990D3B">
              <w:t> </w:t>
            </w:r>
          </w:p>
        </w:tc>
        <w:tc>
          <w:tcPr>
            <w:tcW w:w="3142" w:type="dxa"/>
            <w:tcBorders>
              <w:top w:val="dashSmallGap" w:sz="4" w:space="0" w:color="000000"/>
              <w:left w:val="single" w:sz="6" w:space="0" w:color="000000"/>
              <w:bottom w:val="single" w:sz="4" w:space="0" w:color="000000"/>
              <w:right w:val="single" w:sz="6" w:space="0" w:color="000000"/>
            </w:tcBorders>
          </w:tcPr>
          <w:p w:rsidR="00FC1887" w:rsidRPr="00990D3B" w:rsidP="00666AC0" w14:paraId="3B89A663" w14:textId="77777777">
            <w:pPr>
              <w:pStyle w:val="EQRTableText"/>
            </w:pPr>
            <w:r w:rsidRPr="00990D3B">
              <w:t> </w:t>
            </w:r>
          </w:p>
        </w:tc>
      </w:tr>
      <w:tr w14:paraId="5FB76D5C" w14:textId="77777777" w:rsidTr="007944D0">
        <w:tblPrEx>
          <w:tblW w:w="5000" w:type="pct"/>
          <w:tblLayout w:type="fixed"/>
          <w:tblCellMar>
            <w:left w:w="115" w:type="dxa"/>
            <w:right w:w="115" w:type="dxa"/>
          </w:tblCellMar>
          <w:tblLook w:val="0000"/>
        </w:tblPrEx>
        <w:trPr>
          <w:cantSplit/>
          <w:trHeight w:val="345"/>
        </w:trPr>
        <w:tc>
          <w:tcPr>
            <w:tcW w:w="8362" w:type="dxa"/>
            <w:tcBorders>
              <w:top w:val="dashSmallGap" w:sz="4" w:space="0" w:color="000000"/>
              <w:left w:val="single" w:sz="6" w:space="0" w:color="000000"/>
              <w:bottom w:val="single" w:sz="4" w:space="0" w:color="000000"/>
              <w:right w:val="single" w:sz="6" w:space="0" w:color="000000"/>
            </w:tcBorders>
          </w:tcPr>
          <w:p w:rsidR="00FC1887" w:rsidRPr="00990D3B" w:rsidP="00666AC0" w14:paraId="46FE2EB8" w14:textId="77777777">
            <w:pPr>
              <w:pStyle w:val="EQRTableTextbullet"/>
              <w:spacing w:line="240" w:lineRule="auto"/>
              <w:ind w:left="216" w:hanging="216"/>
            </w:pPr>
            <w:r w:rsidRPr="00990D3B">
              <w:t>NA (no bias detected)</w:t>
            </w:r>
          </w:p>
        </w:tc>
        <w:tc>
          <w:tcPr>
            <w:tcW w:w="1440" w:type="dxa"/>
            <w:tcBorders>
              <w:top w:val="dashSmallGap" w:sz="4" w:space="0" w:color="000000"/>
              <w:left w:val="single" w:sz="6" w:space="0" w:color="000000"/>
              <w:bottom w:val="single" w:sz="4" w:space="0" w:color="000000"/>
              <w:right w:val="single" w:sz="6" w:space="0" w:color="000000"/>
            </w:tcBorders>
          </w:tcPr>
          <w:p w:rsidR="00FC1887" w:rsidRPr="00990D3B" w:rsidP="00666AC0" w14:paraId="2053138D" w14:textId="2014C0EA">
            <w:pPr>
              <w:pStyle w:val="EQRTableText"/>
            </w:pPr>
            <w:r w:rsidRPr="00990D3B">
              <w:t> X</w:t>
            </w:r>
          </w:p>
        </w:tc>
        <w:tc>
          <w:tcPr>
            <w:tcW w:w="3142" w:type="dxa"/>
            <w:tcBorders>
              <w:top w:val="dashSmallGap" w:sz="4" w:space="0" w:color="000000"/>
              <w:left w:val="single" w:sz="6" w:space="0" w:color="000000"/>
              <w:bottom w:val="single" w:sz="4" w:space="0" w:color="000000"/>
              <w:right w:val="single" w:sz="6" w:space="0" w:color="000000"/>
            </w:tcBorders>
          </w:tcPr>
          <w:p w:rsidR="00FC1887" w:rsidRPr="00990D3B" w:rsidP="00666AC0" w14:paraId="2E21BF5F" w14:textId="77777777">
            <w:pPr>
              <w:pStyle w:val="EQRTableText"/>
            </w:pPr>
            <w:r w:rsidRPr="00990D3B">
              <w:t> </w:t>
            </w:r>
          </w:p>
        </w:tc>
      </w:tr>
      <w:tr w14:paraId="3AAAFC23" w14:textId="77777777" w:rsidTr="007944D0">
        <w:tblPrEx>
          <w:tblW w:w="5000" w:type="pct"/>
          <w:tblLayout w:type="fixed"/>
          <w:tblCellMar>
            <w:left w:w="115" w:type="dxa"/>
            <w:right w:w="115" w:type="dxa"/>
          </w:tblCellMar>
          <w:tblLook w:val="0000"/>
        </w:tblPrEx>
        <w:trPr>
          <w:cantSplit/>
          <w:trHeight w:val="345"/>
        </w:trPr>
        <w:tc>
          <w:tcPr>
            <w:tcW w:w="8362" w:type="dxa"/>
            <w:tcBorders>
              <w:top w:val="single" w:sz="4" w:space="0" w:color="000000"/>
              <w:left w:val="single" w:sz="6" w:space="0" w:color="000000"/>
              <w:bottom w:val="single" w:sz="6" w:space="0" w:color="000000"/>
              <w:right w:val="single" w:sz="6" w:space="0" w:color="000000"/>
            </w:tcBorders>
          </w:tcPr>
          <w:p w:rsidR="00FC1887" w:rsidRPr="00990D3B" w:rsidP="00666AC0" w14:paraId="1AEB5810" w14:textId="77777777">
            <w:pPr>
              <w:pStyle w:val="EQRTableText"/>
            </w:pPr>
            <w:r w:rsidRPr="00990D3B">
              <w:t>What documentation was used to estimate the above percentage (e.g., internal reports, studies, comparison to medical records)?</w:t>
            </w:r>
          </w:p>
        </w:tc>
        <w:tc>
          <w:tcPr>
            <w:tcW w:w="1440" w:type="dxa"/>
            <w:tcBorders>
              <w:top w:val="single" w:sz="4" w:space="0" w:color="000000"/>
              <w:left w:val="single" w:sz="6" w:space="0" w:color="000000"/>
              <w:bottom w:val="single" w:sz="6" w:space="0" w:color="000000"/>
              <w:right w:val="single" w:sz="6" w:space="0" w:color="000000"/>
            </w:tcBorders>
          </w:tcPr>
          <w:p w:rsidR="00FC1887" w:rsidRPr="00990D3B" w:rsidP="00666AC0" w14:paraId="519E1808" w14:textId="77777777">
            <w:pPr>
              <w:pStyle w:val="EQRTableText"/>
            </w:pPr>
            <w:r w:rsidRPr="00990D3B">
              <w:t> </w:t>
            </w:r>
          </w:p>
        </w:tc>
        <w:tc>
          <w:tcPr>
            <w:tcW w:w="3142" w:type="dxa"/>
            <w:tcBorders>
              <w:top w:val="single" w:sz="4" w:space="0" w:color="000000"/>
              <w:left w:val="single" w:sz="6" w:space="0" w:color="000000"/>
              <w:bottom w:val="single" w:sz="6" w:space="0" w:color="000000"/>
              <w:right w:val="single" w:sz="6" w:space="0" w:color="000000"/>
            </w:tcBorders>
          </w:tcPr>
          <w:p w:rsidR="00FC1887" w:rsidRPr="00990D3B" w:rsidP="00666AC0" w14:paraId="390CC9EB" w14:textId="6B82D365">
            <w:pPr>
              <w:pStyle w:val="EQRTableText"/>
            </w:pPr>
            <w:r w:rsidRPr="00990D3B">
              <w:t> </w:t>
            </w:r>
            <w:r w:rsidRPr="00990D3B">
              <w:rPr>
                <w:rFonts w:cs="Arial"/>
                <w:szCs w:val="18"/>
              </w:rPr>
              <w:t>Internal reports</w:t>
            </w:r>
          </w:p>
        </w:tc>
      </w:tr>
    </w:tbl>
    <w:p w:rsidR="00FC1887" w:rsidRPr="00990D3B" w:rsidP="0024445D" w14:paraId="4C97944B" w14:textId="77777777">
      <w:pPr>
        <w:pStyle w:val="NoSpacing"/>
      </w:pPr>
    </w:p>
    <w:p w:rsidR="00F931A4" w:rsidRPr="00990D3B" w:rsidP="002B40CC" w14:paraId="2D41DEB8" w14:textId="12DFBAE8">
      <w:pPr>
        <w:pStyle w:val="H2EQRWorksheet"/>
      </w:pPr>
      <w:r w:rsidRPr="00990D3B">
        <w:t>Overall Validation Finding</w:t>
      </w:r>
    </w:p>
    <w:p w:rsidR="00F931A4" w:rsidRPr="00990D3B" w:rsidP="00BD1FC3" w14:paraId="4350A2B2" w14:textId="5AA89299">
      <w:pPr>
        <w:pStyle w:val="EQRNormalSSWORKSHEET"/>
        <w:spacing w:after="120"/>
      </w:pPr>
      <w:r w:rsidRPr="00990D3B">
        <w:t xml:space="preserve">Provide an overall validation finding for each performance measure. The validation finding is determined by the magnitude of the errors detected for the audit elements, not by the number of audit elements determined as “NO.” Consequently, it is possible that an error for a single audit element may result in a designation of “Do Not Report” (DNR) because the impact of the error materially biased the reported performance measure. Conversely, it is also possible that several audit element errors may have little impact on the reported rate and, thus the measure is “Reportable” (R). </w:t>
      </w:r>
    </w:p>
    <w:tbl>
      <w:tblPr>
        <w:tblStyle w:val="TableGrid"/>
        <w:tblW w:w="5000" w:type="pct"/>
        <w:tblLook w:val="04A0"/>
      </w:tblPr>
      <w:tblGrid>
        <w:gridCol w:w="7740"/>
        <w:gridCol w:w="5210"/>
      </w:tblGrid>
      <w:tr w14:paraId="5D1A7A31" w14:textId="77777777" w:rsidTr="00BD1FC3">
        <w:tblPrEx>
          <w:tblW w:w="5000" w:type="pct"/>
          <w:tblLook w:val="04A0"/>
        </w:tblPrEx>
        <w:tc>
          <w:tcPr>
            <w:tcW w:w="5588" w:type="dxa"/>
            <w:shd w:val="clear" w:color="auto" w:fill="FFFFFF" w:themeFill="background1"/>
            <w:vAlign w:val="bottom"/>
          </w:tcPr>
          <w:p w:rsidR="00FC1887" w:rsidRPr="00990D3B" w:rsidP="00FC1887" w14:paraId="077E66A7" w14:textId="5BBF2187">
            <w:pPr>
              <w:pStyle w:val="EQRTableText"/>
              <w:rPr>
                <w:b/>
                <w:bCs/>
              </w:rPr>
            </w:pPr>
            <w:r w:rsidRPr="00990D3B">
              <w:rPr>
                <w:b/>
                <w:bCs/>
              </w:rPr>
              <w:t>Performance measure validation finding (check one)</w:t>
            </w:r>
          </w:p>
        </w:tc>
        <w:tc>
          <w:tcPr>
            <w:tcW w:w="3762" w:type="dxa"/>
            <w:shd w:val="clear" w:color="auto" w:fill="FFFFFF" w:themeFill="background1"/>
            <w:vAlign w:val="bottom"/>
          </w:tcPr>
          <w:p w:rsidR="00FC1887" w:rsidRPr="00990D3B" w:rsidP="00FC1887" w14:paraId="1734BBEF" w14:textId="263C32E0">
            <w:pPr>
              <w:pStyle w:val="EQRTableText"/>
              <w:rPr>
                <w:b/>
                <w:bCs/>
              </w:rPr>
            </w:pPr>
            <w:r w:rsidRPr="00990D3B">
              <w:rPr>
                <w:b/>
                <w:bCs/>
              </w:rPr>
              <w:t>Comments</w:t>
            </w:r>
          </w:p>
        </w:tc>
      </w:tr>
      <w:tr w14:paraId="3F8CE920" w14:textId="77777777" w:rsidTr="00BD1FC3">
        <w:tblPrEx>
          <w:tblW w:w="5000" w:type="pct"/>
          <w:tblLook w:val="04A0"/>
        </w:tblPrEx>
        <w:tc>
          <w:tcPr>
            <w:tcW w:w="5588" w:type="dxa"/>
          </w:tcPr>
          <w:p w:rsidR="00F931A4" w:rsidRPr="00990D3B" w:rsidP="008B7862" w14:paraId="5BCE96BF" w14:textId="219132D2">
            <w:pPr>
              <w:pStyle w:val="EQRTableText"/>
            </w:pPr>
            <w:r w:rsidRPr="00990D3B">
              <w:t xml:space="preserve">[   </w:t>
            </w:r>
            <w:r w:rsidRPr="00990D3B" w:rsidR="00916BCA">
              <w:t>X</w:t>
            </w:r>
            <w:r w:rsidRPr="00990D3B">
              <w:t xml:space="preserve"> ]</w:t>
            </w:r>
            <w:r w:rsidRPr="00990D3B">
              <w:t xml:space="preserve">   R = Reportable; measure was compliant with state specifications</w:t>
            </w:r>
          </w:p>
          <w:p w:rsidR="00F931A4" w:rsidRPr="00990D3B" w:rsidP="008B7862" w14:paraId="1F79FB46" w14:textId="77777777">
            <w:pPr>
              <w:pStyle w:val="EQRTableText"/>
            </w:pPr>
            <w:r w:rsidRPr="00990D3B">
              <w:t xml:space="preserve">[  </w:t>
            </w:r>
            <w:r w:rsidRPr="00990D3B">
              <w:t xml:space="preserve">  ]</w:t>
            </w:r>
            <w:r w:rsidRPr="00990D3B">
              <w:t xml:space="preserve">   DNR = Do not report; MCP rate was materially biased and should not be reported</w:t>
            </w:r>
          </w:p>
          <w:p w:rsidR="00F931A4" w:rsidRPr="00990D3B" w:rsidP="008B7862" w14:paraId="25A976C3" w14:textId="5F7536AC">
            <w:pPr>
              <w:pStyle w:val="EQRTableText"/>
            </w:pPr>
            <w:r w:rsidRPr="00990D3B">
              <w:t xml:space="preserve">[  </w:t>
            </w:r>
            <w:r w:rsidRPr="00990D3B">
              <w:t xml:space="preserve">  ]</w:t>
            </w:r>
            <w:r w:rsidRPr="00990D3B">
              <w:t xml:space="preserve">   NA = Not </w:t>
            </w:r>
            <w:r w:rsidRPr="00990D3B" w:rsidR="00F07BB9">
              <w:t>A</w:t>
            </w:r>
            <w:r w:rsidRPr="00990D3B">
              <w:t>pplicable; the MCP was not required to report the measure</w:t>
            </w:r>
          </w:p>
          <w:p w:rsidR="00F931A4" w:rsidRPr="00990D3B" w:rsidP="008B7862" w14:paraId="713DD182" w14:textId="77777777">
            <w:pPr>
              <w:pStyle w:val="EQRTableText"/>
              <w:rPr>
                <w:b/>
              </w:rPr>
            </w:pPr>
            <w:r w:rsidRPr="00990D3B">
              <w:t xml:space="preserve">[  </w:t>
            </w:r>
            <w:r w:rsidRPr="00990D3B">
              <w:t xml:space="preserve">  ]</w:t>
            </w:r>
            <w:r w:rsidRPr="00990D3B">
              <w:t xml:space="preserve">   NR = Measure was not reported because the MCP did not offer the required benefit</w:t>
            </w:r>
          </w:p>
        </w:tc>
        <w:tc>
          <w:tcPr>
            <w:tcW w:w="3762" w:type="dxa"/>
          </w:tcPr>
          <w:p w:rsidR="00F931A4" w:rsidRPr="00990D3B" w:rsidP="008B7862" w14:paraId="6B9B4AAE" w14:textId="77777777">
            <w:pPr>
              <w:pStyle w:val="EQRTableText"/>
            </w:pPr>
            <w:r w:rsidRPr="00990D3B">
              <w:t> </w:t>
            </w:r>
          </w:p>
        </w:tc>
      </w:tr>
      <w:tr w14:paraId="4369DF4F" w14:textId="77777777" w:rsidTr="00BD1FC3">
        <w:tblPrEx>
          <w:tblW w:w="5000" w:type="pct"/>
          <w:tblLook w:val="04A0"/>
        </w:tblPrEx>
        <w:tc>
          <w:tcPr>
            <w:tcW w:w="5588" w:type="dxa"/>
          </w:tcPr>
          <w:p w:rsidR="00346226" w:rsidRPr="00990D3B" w:rsidP="00346226" w14:paraId="1BD84A77" w14:textId="77777777">
            <w:pPr>
              <w:pStyle w:val="EQRTableText"/>
            </w:pPr>
            <w:r w:rsidRPr="00990D3B">
              <w:rPr>
                <w:b/>
              </w:rPr>
              <w:t>Overall assessment</w:t>
            </w:r>
            <w:r w:rsidRPr="00990D3B">
              <w:t>: In the comments section, note justification and recommendations for the validation finding.</w:t>
            </w:r>
          </w:p>
        </w:tc>
        <w:tc>
          <w:tcPr>
            <w:tcW w:w="3762" w:type="dxa"/>
          </w:tcPr>
          <w:p w:rsidR="00346226" w:rsidRPr="00990D3B" w:rsidP="00346226" w14:paraId="53AD88E7" w14:textId="7A63E03A">
            <w:pPr>
              <w:pStyle w:val="EQRTableText"/>
            </w:pPr>
            <w:r w:rsidRPr="00990D3B">
              <w:t>Adhered to all specifications and no data concerns detected.</w:t>
            </w:r>
          </w:p>
        </w:tc>
      </w:tr>
    </w:tbl>
    <w:p w:rsidR="002753A7" w:rsidRPr="00990D3B" w:rsidP="00BD1FC3" w14:paraId="229ADBDB" w14:textId="77777777">
      <w:pPr>
        <w:pStyle w:val="EQRNormalSSWORKSHEET"/>
        <w:sectPr w:rsidSect="0024445D">
          <w:pgSz w:w="15840" w:h="12240" w:orient="landscape" w:code="1"/>
          <w:pgMar w:top="1440" w:right="1440" w:bottom="1440" w:left="1440" w:header="720" w:footer="720" w:gutter="0"/>
          <w:cols w:space="720"/>
          <w:titlePg/>
          <w:docGrid w:linePitch="360"/>
        </w:sectPr>
      </w:pPr>
    </w:p>
    <w:p w:rsidR="00F931A4" w:rsidRPr="00990D3B" w:rsidP="00BD1FC3" w14:paraId="3C450144" w14:textId="77777777">
      <w:pPr>
        <w:pStyle w:val="EQRMarkforExhibitWORKSHEET"/>
      </w:pPr>
      <w:bookmarkStart w:id="292" w:name="WSp2n3"/>
      <w:bookmarkStart w:id="293" w:name="_Toc125619147"/>
      <w:bookmarkStart w:id="294" w:name="_Toc201751496"/>
      <w:bookmarkEnd w:id="292"/>
      <w:r w:rsidRPr="00990D3B">
        <w:t>Worksheet 2.3. Medical Record Review Validation Template</w:t>
      </w:r>
      <w:bookmarkEnd w:id="293"/>
      <w:bookmarkEnd w:id="294"/>
    </w:p>
    <w:p w:rsidR="00F931A4" w:rsidRPr="00990D3B" w:rsidP="00BD1FC3" w14:paraId="3E4E58C8" w14:textId="351B8B66">
      <w:pPr>
        <w:pStyle w:val="EQRNormalSSWORKSHEET"/>
      </w:pPr>
      <w:r w:rsidRPr="00990D3B">
        <w:rPr>
          <w:b/>
        </w:rPr>
        <w:t>Instructions.</w:t>
      </w:r>
      <w:r w:rsidRPr="00990D3B">
        <w:t xml:space="preserve"> This template provides instructions for conducting the medical record review (as described in </w:t>
      </w:r>
      <w:hyperlink w:anchor="P2A1Step4" w:tooltip="1" w:history="1">
        <w:r w:rsidRPr="00990D3B">
          <w:rPr>
            <w:rStyle w:val="Hyperlink"/>
          </w:rPr>
          <w:t>Activity 1. Step 4</w:t>
        </w:r>
      </w:hyperlink>
      <w:r w:rsidRPr="00990D3B">
        <w:t xml:space="preserve"> and </w:t>
      </w:r>
      <w:hyperlink w:anchor="P2A3" w:tooltip="Activity 3" w:history="1">
        <w:r w:rsidRPr="00990D3B">
          <w:rPr>
            <w:rStyle w:val="Hyperlink"/>
          </w:rPr>
          <w:t>Activity 3</w:t>
        </w:r>
      </w:hyperlink>
      <w:r w:rsidRPr="00990D3B">
        <w:t>) and two tables to summarize re-abstraction findings from the review (</w:t>
      </w:r>
      <w:hyperlink w:anchor="P2WSTable1" w:tooltip="Table 1" w:history="1">
        <w:r w:rsidRPr="00990D3B">
          <w:rPr>
            <w:rStyle w:val="Hyperlink"/>
          </w:rPr>
          <w:t>Table 1</w:t>
        </w:r>
      </w:hyperlink>
      <w:r w:rsidRPr="00990D3B">
        <w:t>) and record the impact of findings from the review (</w:t>
      </w:r>
      <w:hyperlink w:anchor="P2WSTable2" w:tooltip="Table 2" w:history="1">
        <w:r w:rsidRPr="00990D3B">
          <w:rPr>
            <w:rStyle w:val="Hyperlink"/>
          </w:rPr>
          <w:t>Table 2</w:t>
        </w:r>
      </w:hyperlink>
      <w:r w:rsidRPr="00990D3B">
        <w:t xml:space="preserve">). </w:t>
      </w:r>
    </w:p>
    <w:p w:rsidR="00F931A4" w:rsidRPr="00990D3B" w:rsidP="00BD1FC3" w14:paraId="5EB0CAA5" w14:textId="0FD2DCE4">
      <w:pPr>
        <w:pStyle w:val="EQRNormalSSWORKSHEET"/>
      </w:pPr>
      <w:r w:rsidRPr="00990D3B">
        <w:t xml:space="preserve">The purpose of MRR validation is to verify the accuracy of the MRR conducted by each MCP. For each of at least two measures that included </w:t>
      </w:r>
      <w:r w:rsidRPr="00990D3B" w:rsidR="00A11B8A">
        <w:t>MRR</w:t>
      </w:r>
      <w:r w:rsidRPr="00990D3B">
        <w:t xml:space="preserve">, </w:t>
      </w:r>
      <w:r w:rsidRPr="00990D3B">
        <w:t>validate</w:t>
      </w:r>
      <w:r w:rsidRPr="00990D3B">
        <w:t xml:space="preserve"> the medical records of 30 enrollees found to meet numerator requirements. In states with separate Medicaid and CHIP programs, review 30 enrollees in each CHIP MCP and 30 enrollees in each Medicaid MCP for each of at least two measures that included medical record review. Only those </w:t>
      </w:r>
      <w:r w:rsidRPr="00990D3B" w:rsidR="00727834">
        <w:t>enrollees</w:t>
      </w:r>
      <w:r w:rsidRPr="00990D3B">
        <w:t xml:space="preserve"> included in a hybrid sample will be selected—</w:t>
      </w:r>
      <w:r w:rsidRPr="00990D3B" w:rsidR="00AF6EEC">
        <w:t>do</w:t>
      </w:r>
      <w:r w:rsidRPr="00990D3B">
        <w:t xml:space="preserve"> not conduct medical record audits to validate administrative data.</w:t>
      </w:r>
    </w:p>
    <w:p w:rsidR="00F931A4" w:rsidRPr="00990D3B" w:rsidP="00BD1FC3" w14:paraId="3F5AFB8D" w14:textId="0A19E9B9">
      <w:pPr>
        <w:pStyle w:val="EQRNormalSSWSbullet"/>
        <w:numPr>
          <w:ilvl w:val="0"/>
          <w:numId w:val="0"/>
        </w:numPr>
        <w:spacing w:before="120"/>
      </w:pPr>
      <w:r w:rsidRPr="00990D3B">
        <w:t xml:space="preserve">For each measure in which medical record review was used, request a list of </w:t>
      </w:r>
      <w:r w:rsidRPr="00990D3B">
        <w:t>all of</w:t>
      </w:r>
      <w:r w:rsidRPr="00990D3B">
        <w:t xml:space="preserve"> the </w:t>
      </w:r>
      <w:r w:rsidRPr="00990D3B" w:rsidR="00727834">
        <w:t>enrollees</w:t>
      </w:r>
      <w:r w:rsidRPr="00990D3B">
        <w:t xml:space="preserve"> in the MCP’s MRR sample. From that list:</w:t>
      </w:r>
    </w:p>
    <w:p w:rsidR="00F931A4" w:rsidRPr="00990D3B" w:rsidP="00520A8F" w14:paraId="2071215F" w14:textId="119123EE">
      <w:pPr>
        <w:pStyle w:val="EQRNormalSSWSbullet"/>
      </w:pPr>
      <w:r w:rsidRPr="00990D3B">
        <w:t>I</w:t>
      </w:r>
      <w:r w:rsidRPr="00990D3B">
        <w:t xml:space="preserve">dentify a sample of 30 </w:t>
      </w:r>
      <w:r w:rsidRPr="00990D3B" w:rsidR="00727834">
        <w:t>enrollees</w:t>
      </w:r>
      <w:r w:rsidRPr="00990D3B">
        <w:t xml:space="preserve"> who meet numerator requirements</w:t>
      </w:r>
      <w:r w:rsidRPr="00990D3B">
        <w:t>.</w:t>
      </w:r>
    </w:p>
    <w:p w:rsidR="00F931A4" w:rsidRPr="00990D3B" w:rsidP="00520A8F" w14:paraId="2F1A087D" w14:textId="1801B6B0">
      <w:pPr>
        <w:pStyle w:val="EQRNormalSSWSbullet"/>
      </w:pPr>
      <w:r w:rsidRPr="00990D3B">
        <w:t>Ask the MCP</w:t>
      </w:r>
      <w:r w:rsidRPr="00990D3B">
        <w:t xml:space="preserve"> to provide access to or copies of medical records </w:t>
      </w:r>
      <w:r w:rsidRPr="00990D3B">
        <w:t>and</w:t>
      </w:r>
      <w:r w:rsidRPr="00990D3B">
        <w:t xml:space="preserve"> verify that each </w:t>
      </w:r>
      <w:r w:rsidRPr="00990D3B" w:rsidR="002F4DD4">
        <w:t>enrollee</w:t>
      </w:r>
      <w:r w:rsidRPr="00990D3B">
        <w:t xml:space="preserve"> was appropriately included in the denominator and received the required numerator service(s)</w:t>
      </w:r>
      <w:r w:rsidRPr="00990D3B">
        <w:t>.</w:t>
      </w:r>
    </w:p>
    <w:p w:rsidR="00F931A4" w:rsidRPr="00990D3B" w:rsidP="00520A8F" w14:paraId="14C4681F" w14:textId="3719B468">
      <w:pPr>
        <w:pStyle w:val="EQRNormalSSWSbullet"/>
      </w:pPr>
      <w:r w:rsidRPr="00990D3B">
        <w:t>In cases where there are fewer than 30 numerator positives, review all records for that measure</w:t>
      </w:r>
      <w:r w:rsidRPr="00990D3B" w:rsidR="00AF6EEC">
        <w:t>.</w:t>
      </w:r>
    </w:p>
    <w:p w:rsidR="00F931A4" w:rsidRPr="00990D3B" w:rsidP="00520A8F" w14:paraId="4DDB3664" w14:textId="43D70A33">
      <w:pPr>
        <w:pStyle w:val="EQRNormalSSWSbullet"/>
      </w:pPr>
      <w:r w:rsidRPr="00990D3B">
        <w:t xml:space="preserve">To provide sufficient time for each MCP to gather the required medical record documentation, direct the MCPs to submit their lists of </w:t>
      </w:r>
      <w:r w:rsidRPr="00990D3B" w:rsidR="00727834">
        <w:t>enrollees</w:t>
      </w:r>
      <w:r w:rsidRPr="00990D3B">
        <w:t xml:space="preserve"> in their hybrid sample twice— the first list as a preliminary submission and the second list as a final submission:</w:t>
      </w:r>
    </w:p>
    <w:p w:rsidR="00F931A4" w:rsidRPr="00990D3B" w:rsidP="00520A8F" w14:paraId="6DC27EF4" w14:textId="0A4FA764">
      <w:pPr>
        <w:pStyle w:val="EQRNormalSSWSbullet"/>
      </w:pPr>
      <w:r w:rsidRPr="00990D3B">
        <w:t>Submitting a first list before completion of the MRR process allow</w:t>
      </w:r>
      <w:r w:rsidRPr="00990D3B" w:rsidR="00AF6EEC">
        <w:t>s</w:t>
      </w:r>
      <w:r w:rsidRPr="00990D3B">
        <w:t xml:space="preserve"> an MCP additional time to retrieve medical record documentation</w:t>
      </w:r>
      <w:r w:rsidRPr="00990D3B" w:rsidR="00AF6EEC">
        <w:t>.</w:t>
      </w:r>
    </w:p>
    <w:p w:rsidR="00F931A4" w:rsidRPr="00990D3B" w:rsidP="00520A8F" w14:paraId="598D54AB" w14:textId="23193C60">
      <w:pPr>
        <w:pStyle w:val="EQRNormalSSWSbullet"/>
      </w:pPr>
      <w:r w:rsidRPr="00990D3B">
        <w:t>Soon after receipt of the first list, provide the MCP with the list of medical records for which documentation must be submitted</w:t>
      </w:r>
      <w:r w:rsidRPr="00990D3B" w:rsidR="00AF6EEC">
        <w:t>.</w:t>
      </w:r>
    </w:p>
    <w:p w:rsidR="00F931A4" w:rsidRPr="00990D3B" w:rsidP="00520A8F" w14:paraId="1DF6120B" w14:textId="721FB35F">
      <w:pPr>
        <w:pStyle w:val="EQRNormalSSWSbullet"/>
      </w:pPr>
      <w:r w:rsidRPr="00990D3B">
        <w:t xml:space="preserve">Only a portion of the 30 medical records for the validation sample </w:t>
      </w:r>
      <w:r w:rsidRPr="00990D3B" w:rsidR="00AF6EEC">
        <w:t>should b</w:t>
      </w:r>
      <w:r w:rsidRPr="00990D3B">
        <w:t>e included in the first sample request</w:t>
      </w:r>
      <w:r w:rsidRPr="00990D3B" w:rsidR="009232C1">
        <w:t> </w:t>
      </w:r>
      <w:r w:rsidRPr="00990D3B">
        <w:t>list</w:t>
      </w:r>
      <w:r w:rsidRPr="00990D3B" w:rsidR="00AF6EEC">
        <w:t>.</w:t>
      </w:r>
    </w:p>
    <w:p w:rsidR="00F931A4" w:rsidRPr="00990D3B" w:rsidP="00520A8F" w14:paraId="041EF562" w14:textId="7BE81A3F">
      <w:pPr>
        <w:pStyle w:val="EQRNormalSSWSbullet"/>
      </w:pPr>
      <w:r w:rsidRPr="00990D3B">
        <w:t>The remainder of the 30 records will be selected from the final list. While the first submission of MRR findings is optional, it is recommended</w:t>
      </w:r>
      <w:r w:rsidRPr="00990D3B" w:rsidR="00AF6EEC">
        <w:t>.</w:t>
      </w:r>
    </w:p>
    <w:p w:rsidR="00F931A4" w:rsidRPr="00990D3B" w:rsidP="00BD1FC3" w14:paraId="32B86BB9" w14:textId="41046C2F">
      <w:pPr>
        <w:pStyle w:val="EQRNormalSSWORKSHEET"/>
      </w:pPr>
      <w:r w:rsidRPr="00990D3B">
        <w:t>A</w:t>
      </w:r>
      <w:r w:rsidRPr="00990D3B">
        <w:t>ccept the first list submission approximately one month before the scheduled audit or another time specified by the EQRO. If an MCP chooses to submit a first list of medical records, it must still submit a final listing sufficiently in advance of the scheduled audit as directed by the EQRO. For each submission:</w:t>
      </w:r>
    </w:p>
    <w:p w:rsidR="00F931A4" w:rsidRPr="00990D3B" w:rsidP="00520A8F" w14:paraId="680957BE" w14:textId="68B70B85">
      <w:pPr>
        <w:pStyle w:val="EQRNormalSSWSbullet"/>
      </w:pPr>
      <w:r w:rsidRPr="00990D3B">
        <w:t xml:space="preserve">MCPs will need to identify all </w:t>
      </w:r>
      <w:r w:rsidRPr="00990D3B" w:rsidR="00727834">
        <w:t>enrollees</w:t>
      </w:r>
      <w:r w:rsidRPr="00990D3B">
        <w:t xml:space="preserve"> for whom MRR has been conducted and indicate which </w:t>
      </w:r>
      <w:r w:rsidRPr="00990D3B" w:rsidR="00727834">
        <w:t>enrollees</w:t>
      </w:r>
      <w:r w:rsidRPr="00990D3B">
        <w:t xml:space="preserve"> have been found to be numerator positives through MRR</w:t>
      </w:r>
      <w:r w:rsidRPr="00990D3B" w:rsidR="00AF6EEC">
        <w:t>.</w:t>
      </w:r>
    </w:p>
    <w:p w:rsidR="00F931A4" w:rsidRPr="00990D3B" w:rsidP="00520A8F" w14:paraId="4978156D" w14:textId="30B1FEA4">
      <w:pPr>
        <w:pStyle w:val="EQRNormalSSWSbullet"/>
      </w:pPr>
      <w:r w:rsidRPr="00990D3B">
        <w:t xml:space="preserve">The final list must reflect the MCP’s final medical record review findings, with </w:t>
      </w:r>
      <w:r w:rsidRPr="00990D3B" w:rsidR="00727834">
        <w:t>enrollees</w:t>
      </w:r>
      <w:r w:rsidRPr="00990D3B">
        <w:t xml:space="preserve"> for whom a medical record was never found identified as not having met the numerator requirements</w:t>
      </w:r>
      <w:r w:rsidRPr="00990D3B" w:rsidR="00AF6EEC">
        <w:t>.</w:t>
      </w:r>
    </w:p>
    <w:p w:rsidR="00F931A4" w:rsidRPr="00990D3B" w:rsidP="00BD1FC3" w14:paraId="1EDAC4AD" w14:textId="7D712364">
      <w:pPr>
        <w:pStyle w:val="EQRNormalSSWORKSHEET"/>
      </w:pPr>
      <w:r w:rsidRPr="00990D3B">
        <w:t xml:space="preserve">No predetermined “passing” grade is set for the medical record audit. Rather, use the MRR results to determine if the hybrid rate (or solely MRR rate if applicable) is biased, and to what extent that bias affects the final reported rate for that measure. </w:t>
      </w:r>
      <w:r w:rsidRPr="00990D3B" w:rsidR="00AF6EEC">
        <w:t>Report</w:t>
      </w:r>
      <w:r w:rsidRPr="00990D3B">
        <w:t xml:space="preserve"> to the state what effects bias, as well as incomplete data, will have on the MCP’s calculation of the performance measure. For each of the evaluated measures, determine the impact of the findings from the MRR validation process on the MCP’s Final Audit Designation.</w:t>
      </w:r>
    </w:p>
    <w:p w:rsidR="006C592C" w:rsidRPr="00990D3B" w:rsidP="00BD1FC3" w14:paraId="5FB6CD5E" w14:textId="77777777">
      <w:pPr>
        <w:pStyle w:val="EQRNormalSSWSbullet"/>
        <w:numPr>
          <w:ilvl w:val="0"/>
          <w:numId w:val="0"/>
        </w:numPr>
        <w:spacing w:before="0" w:after="0" w:line="240" w:lineRule="auto"/>
      </w:pPr>
      <w:r w:rsidRPr="00990D3B">
        <w:t>Acronyms: CHIP = Children’s Health Insurance Program; EQRO = External Quality Review Organization; ISCA = Information System Capabilities Assessment; MCP= Managed Care Plan; MRR = Medical Record Review.</w:t>
      </w:r>
    </w:p>
    <w:p w:rsidR="00F931A4" w:rsidRPr="00990D3B" w:rsidP="002B40CC" w14:paraId="2DE5F3FB" w14:textId="11ABF259">
      <w:pPr>
        <w:pStyle w:val="H2EQRWorksheet"/>
      </w:pPr>
      <w:r w:rsidRPr="00990D3B">
        <w:br w:type="page"/>
      </w:r>
      <w:r w:rsidRPr="00990D3B">
        <w:t>Step 1: Calculate the Medical Record Review Error Rate</w:t>
      </w:r>
    </w:p>
    <w:p w:rsidR="00F931A4" w:rsidRPr="00990D3B" w:rsidP="00BD1FC3" w14:paraId="69CD9DF3" w14:textId="70666FF4">
      <w:pPr>
        <w:pStyle w:val="EQRNormalSSWORKSHEET"/>
      </w:pPr>
      <w:r w:rsidRPr="00990D3B">
        <w:t>R</w:t>
      </w:r>
      <w:r w:rsidRPr="00990D3B">
        <w:t>eview up to 30 records identified by the MCP as meeting numerator requirements (as determined through MRR) for the measures audited. Records are randomly selected from the entire population of MRR numerator positives identified by the plan, as indicated on the MRR numerator listings submitted to the EQRO:</w:t>
      </w:r>
    </w:p>
    <w:p w:rsidR="00F931A4" w:rsidRPr="00990D3B" w:rsidP="00FF25B5" w14:paraId="10317535" w14:textId="1998E5EC">
      <w:pPr>
        <w:pStyle w:val="EQRNormalSSWSbullet"/>
      </w:pPr>
      <w:r w:rsidRPr="00990D3B">
        <w:t>If fewer than 30 medical records are found to meet numerator requirements, all records are reviewed</w:t>
      </w:r>
      <w:r w:rsidRPr="00990D3B" w:rsidR="00AF6EEC">
        <w:t>.</w:t>
      </w:r>
    </w:p>
    <w:p w:rsidR="00F931A4" w:rsidRPr="00990D3B" w:rsidP="00FF25B5" w14:paraId="546A2461" w14:textId="6422D520">
      <w:pPr>
        <w:pStyle w:val="EQRNormalSSWSbullet"/>
      </w:pPr>
      <w:r w:rsidRPr="00990D3B">
        <w:t>Administrative numerator positives are not included as part of this validation process</w:t>
      </w:r>
      <w:r w:rsidRPr="00990D3B" w:rsidR="00AF6EEC">
        <w:t xml:space="preserve">. </w:t>
      </w:r>
    </w:p>
    <w:p w:rsidR="00F931A4" w:rsidRPr="00990D3B" w:rsidP="00BD1FC3" w14:paraId="07028AF0" w14:textId="3ECF059D">
      <w:pPr>
        <w:pStyle w:val="EQRNormalSSWORKSHEET"/>
      </w:pPr>
      <w:r w:rsidRPr="00990D3B">
        <w:t>C</w:t>
      </w:r>
      <w:r w:rsidRPr="00990D3B">
        <w:t xml:space="preserve">alculate a MRR error rate for each performance measure calculated by the hybrid method or solely from MRR as illustrated in Table 1. </w:t>
      </w:r>
    </w:p>
    <w:p w:rsidR="00F931A4" w:rsidRPr="00990D3B" w:rsidP="00BD1FC3" w14:paraId="0798C9AB" w14:textId="300F51B2">
      <w:pPr>
        <w:pStyle w:val="EQRNormalSSWORKSHEET"/>
        <w:spacing w:after="120"/>
        <w:rPr>
          <w:b/>
        </w:rPr>
      </w:pPr>
      <w:bookmarkStart w:id="295" w:name="P2WSTable1"/>
      <w:bookmarkEnd w:id="295"/>
      <w:r w:rsidRPr="00990D3B">
        <w:rPr>
          <w:b/>
        </w:rPr>
        <w:t xml:space="preserve">Table 1. </w:t>
      </w:r>
      <w:r w:rsidRPr="00990D3B">
        <w:rPr>
          <w:b/>
        </w:rPr>
        <w:t>Summary of Medical Record Review Re-</w:t>
      </w:r>
      <w:r w:rsidRPr="00990D3B">
        <w:rPr>
          <w:b/>
        </w:rPr>
        <w:t>abstraction</w:t>
      </w:r>
      <w:r w:rsidRPr="00990D3B">
        <w:rPr>
          <w:b/>
        </w:rPr>
        <w:t xml:space="preserve"> Findings</w:t>
      </w:r>
    </w:p>
    <w:tbl>
      <w:tblPr>
        <w:tblStyle w:val="TableGrid"/>
        <w:tblW w:w="5000" w:type="pct"/>
        <w:tblCellMar>
          <w:left w:w="115" w:type="dxa"/>
          <w:right w:w="115" w:type="dxa"/>
        </w:tblCellMar>
        <w:tblLook w:val="04A0"/>
      </w:tblPr>
      <w:tblGrid>
        <w:gridCol w:w="1558"/>
        <w:gridCol w:w="1558"/>
        <w:gridCol w:w="1559"/>
        <w:gridCol w:w="1558"/>
        <w:gridCol w:w="1558"/>
        <w:gridCol w:w="1559"/>
      </w:tblGrid>
      <w:tr w14:paraId="77564F98" w14:textId="77777777" w:rsidTr="00C72B5E">
        <w:tblPrEx>
          <w:tblW w:w="5000" w:type="pct"/>
          <w:tblCellMar>
            <w:left w:w="115" w:type="dxa"/>
            <w:right w:w="115" w:type="dxa"/>
          </w:tblCellMar>
          <w:tblLook w:val="04A0"/>
        </w:tblPrEx>
        <w:trPr>
          <w:cantSplit/>
          <w:tblHeader/>
        </w:trPr>
        <w:tc>
          <w:tcPr>
            <w:tcW w:w="1558" w:type="dxa"/>
            <w:shd w:val="clear" w:color="auto" w:fill="FFFFFF" w:themeFill="background1"/>
            <w:vAlign w:val="bottom"/>
          </w:tcPr>
          <w:p w:rsidR="00F931A4" w:rsidRPr="00990D3B" w:rsidP="00651D5A" w14:paraId="0B7D6C9B" w14:textId="77777777">
            <w:pPr>
              <w:pStyle w:val="EQRTableHeaderCenter"/>
              <w:rPr>
                <w:color w:val="auto"/>
              </w:rPr>
            </w:pPr>
            <w:r w:rsidRPr="00990D3B">
              <w:rPr>
                <w:color w:val="auto"/>
              </w:rPr>
              <w:t>Column A</w:t>
            </w:r>
          </w:p>
        </w:tc>
        <w:tc>
          <w:tcPr>
            <w:tcW w:w="1558" w:type="dxa"/>
            <w:shd w:val="clear" w:color="auto" w:fill="FFFFFF" w:themeFill="background1"/>
            <w:vAlign w:val="bottom"/>
          </w:tcPr>
          <w:p w:rsidR="00F931A4" w:rsidRPr="00990D3B" w:rsidP="00651D5A" w14:paraId="65BC34B9" w14:textId="77777777">
            <w:pPr>
              <w:pStyle w:val="EQRTableHeaderCenter"/>
              <w:rPr>
                <w:color w:val="auto"/>
              </w:rPr>
            </w:pPr>
            <w:r w:rsidRPr="00990D3B">
              <w:rPr>
                <w:color w:val="auto"/>
              </w:rPr>
              <w:t>Column B</w:t>
            </w:r>
          </w:p>
        </w:tc>
        <w:tc>
          <w:tcPr>
            <w:tcW w:w="1559" w:type="dxa"/>
            <w:shd w:val="clear" w:color="auto" w:fill="FFFFFF" w:themeFill="background1"/>
            <w:vAlign w:val="bottom"/>
          </w:tcPr>
          <w:p w:rsidR="00F931A4" w:rsidRPr="00990D3B" w:rsidP="00651D5A" w14:paraId="003F82D0" w14:textId="77777777">
            <w:pPr>
              <w:pStyle w:val="EQRTableHeaderCenter"/>
              <w:rPr>
                <w:color w:val="auto"/>
              </w:rPr>
            </w:pPr>
            <w:r w:rsidRPr="00990D3B">
              <w:rPr>
                <w:color w:val="auto"/>
              </w:rPr>
              <w:t>Column C</w:t>
            </w:r>
          </w:p>
        </w:tc>
        <w:tc>
          <w:tcPr>
            <w:tcW w:w="1558" w:type="dxa"/>
            <w:shd w:val="clear" w:color="auto" w:fill="FFFFFF" w:themeFill="background1"/>
            <w:vAlign w:val="bottom"/>
          </w:tcPr>
          <w:p w:rsidR="00F931A4" w:rsidRPr="00990D3B" w:rsidP="00651D5A" w14:paraId="1F8A24BB" w14:textId="77777777">
            <w:pPr>
              <w:pStyle w:val="EQRTableHeaderCenter"/>
              <w:rPr>
                <w:color w:val="auto"/>
              </w:rPr>
            </w:pPr>
            <w:r w:rsidRPr="00990D3B">
              <w:rPr>
                <w:color w:val="auto"/>
              </w:rPr>
              <w:t>Column D</w:t>
            </w:r>
          </w:p>
        </w:tc>
        <w:tc>
          <w:tcPr>
            <w:tcW w:w="1558" w:type="dxa"/>
            <w:shd w:val="clear" w:color="auto" w:fill="FFFFFF" w:themeFill="background1"/>
            <w:vAlign w:val="bottom"/>
          </w:tcPr>
          <w:p w:rsidR="00F931A4" w:rsidRPr="00990D3B" w:rsidP="00651D5A" w14:paraId="11AFD222" w14:textId="77777777">
            <w:pPr>
              <w:pStyle w:val="EQRTableHeaderCenter"/>
              <w:rPr>
                <w:color w:val="auto"/>
              </w:rPr>
            </w:pPr>
            <w:r w:rsidRPr="00990D3B">
              <w:rPr>
                <w:color w:val="auto"/>
              </w:rPr>
              <w:t>Column E</w:t>
            </w:r>
          </w:p>
        </w:tc>
        <w:tc>
          <w:tcPr>
            <w:tcW w:w="1559" w:type="dxa"/>
            <w:shd w:val="clear" w:color="auto" w:fill="FFFFFF" w:themeFill="background1"/>
            <w:vAlign w:val="bottom"/>
          </w:tcPr>
          <w:p w:rsidR="00F931A4" w:rsidRPr="00990D3B" w:rsidP="00651D5A" w14:paraId="211D2D0F" w14:textId="77777777">
            <w:pPr>
              <w:pStyle w:val="EQRTableHeaderCenter"/>
              <w:rPr>
                <w:color w:val="auto"/>
              </w:rPr>
            </w:pPr>
            <w:r w:rsidRPr="00990D3B">
              <w:rPr>
                <w:color w:val="auto"/>
              </w:rPr>
              <w:t>Column F</w:t>
            </w:r>
          </w:p>
        </w:tc>
      </w:tr>
      <w:tr w14:paraId="5266EF9E" w14:textId="77777777" w:rsidTr="00C72B5E">
        <w:tblPrEx>
          <w:tblW w:w="5000" w:type="pct"/>
          <w:tblCellMar>
            <w:left w:w="115" w:type="dxa"/>
            <w:right w:w="115" w:type="dxa"/>
          </w:tblCellMar>
          <w:tblLook w:val="04A0"/>
        </w:tblPrEx>
        <w:trPr>
          <w:cantSplit/>
          <w:tblHeader/>
        </w:trPr>
        <w:tc>
          <w:tcPr>
            <w:tcW w:w="1558" w:type="dxa"/>
            <w:shd w:val="clear" w:color="auto" w:fill="FFFFFF" w:themeFill="background1"/>
            <w:vAlign w:val="bottom"/>
          </w:tcPr>
          <w:p w:rsidR="00F931A4" w:rsidRPr="00990D3B" w:rsidP="00651D5A" w14:paraId="45386E6F" w14:textId="77777777">
            <w:pPr>
              <w:pStyle w:val="EQRTableHeaderLeft"/>
              <w:rPr>
                <w:color w:val="auto"/>
              </w:rPr>
            </w:pPr>
            <w:r w:rsidRPr="00990D3B">
              <w:rPr>
                <w:color w:val="auto"/>
              </w:rPr>
              <w:t>Performance measure</w:t>
            </w:r>
          </w:p>
        </w:tc>
        <w:tc>
          <w:tcPr>
            <w:tcW w:w="1558" w:type="dxa"/>
            <w:shd w:val="clear" w:color="auto" w:fill="FFFFFF" w:themeFill="background1"/>
            <w:vAlign w:val="bottom"/>
          </w:tcPr>
          <w:p w:rsidR="00F931A4" w:rsidRPr="00990D3B" w:rsidP="00651D5A" w14:paraId="20F167AD" w14:textId="77777777">
            <w:pPr>
              <w:pStyle w:val="EQRTableHeaderCenter"/>
              <w:rPr>
                <w:color w:val="auto"/>
              </w:rPr>
            </w:pPr>
            <w:r w:rsidRPr="00990D3B">
              <w:rPr>
                <w:color w:val="auto"/>
              </w:rPr>
              <w:t>Number of MMR positives selected for audit</w:t>
            </w:r>
          </w:p>
        </w:tc>
        <w:tc>
          <w:tcPr>
            <w:tcW w:w="1559" w:type="dxa"/>
            <w:shd w:val="clear" w:color="auto" w:fill="FFFFFF" w:themeFill="background1"/>
            <w:vAlign w:val="bottom"/>
          </w:tcPr>
          <w:p w:rsidR="00F931A4" w:rsidRPr="00990D3B" w:rsidP="00651D5A" w14:paraId="68231908" w14:textId="77777777">
            <w:pPr>
              <w:pStyle w:val="EQRTableHeaderCenter"/>
              <w:rPr>
                <w:color w:val="auto"/>
              </w:rPr>
            </w:pPr>
            <w:r w:rsidRPr="00990D3B">
              <w:rPr>
                <w:color w:val="auto"/>
              </w:rPr>
              <w:t>Number of medical records received</w:t>
            </w:r>
          </w:p>
        </w:tc>
        <w:tc>
          <w:tcPr>
            <w:tcW w:w="1558" w:type="dxa"/>
            <w:shd w:val="clear" w:color="auto" w:fill="FFFFFF" w:themeFill="background1"/>
            <w:vAlign w:val="bottom"/>
          </w:tcPr>
          <w:p w:rsidR="00F931A4" w:rsidRPr="00990D3B" w:rsidP="00651D5A" w14:paraId="25844929" w14:textId="77777777">
            <w:pPr>
              <w:pStyle w:val="EQRTableHeaderCenter"/>
              <w:rPr>
                <w:color w:val="auto"/>
              </w:rPr>
            </w:pPr>
            <w:r w:rsidRPr="00990D3B">
              <w:rPr>
                <w:color w:val="auto"/>
              </w:rPr>
              <w:t>Number of medical records found compliant</w:t>
            </w:r>
          </w:p>
        </w:tc>
        <w:tc>
          <w:tcPr>
            <w:tcW w:w="1558" w:type="dxa"/>
            <w:shd w:val="clear" w:color="auto" w:fill="FFFFFF" w:themeFill="background1"/>
            <w:vAlign w:val="bottom"/>
          </w:tcPr>
          <w:p w:rsidR="00F931A4" w:rsidRPr="00990D3B" w:rsidP="00651D5A" w14:paraId="54ABA154" w14:textId="7E41736A">
            <w:pPr>
              <w:pStyle w:val="EQRTableHeaderCenter"/>
              <w:rPr>
                <w:color w:val="auto"/>
              </w:rPr>
            </w:pPr>
            <w:r w:rsidRPr="00990D3B">
              <w:rPr>
                <w:color w:val="auto"/>
              </w:rPr>
              <w:t>Accuracy rate (%)</w:t>
            </w:r>
            <w:r w:rsidRPr="00990D3B" w:rsidR="00651D5A">
              <w:rPr>
                <w:color w:val="auto"/>
              </w:rPr>
              <w:t xml:space="preserve"> </w:t>
            </w:r>
            <w:r w:rsidRPr="00990D3B" w:rsidR="00651D5A">
              <w:rPr>
                <w:color w:val="auto"/>
              </w:rPr>
              <w:br/>
            </w:r>
            <w:r w:rsidRPr="00990D3B">
              <w:rPr>
                <w:color w:val="auto"/>
              </w:rPr>
              <w:t>(col. D/col. B)</w:t>
            </w:r>
          </w:p>
        </w:tc>
        <w:tc>
          <w:tcPr>
            <w:tcW w:w="1559" w:type="dxa"/>
            <w:shd w:val="clear" w:color="auto" w:fill="FFFFFF" w:themeFill="background1"/>
            <w:vAlign w:val="bottom"/>
          </w:tcPr>
          <w:p w:rsidR="00F931A4" w:rsidRPr="00990D3B" w:rsidP="00651D5A" w14:paraId="08A238BA" w14:textId="7F0F1657">
            <w:pPr>
              <w:pStyle w:val="EQRTableHeaderCenter"/>
              <w:rPr>
                <w:color w:val="auto"/>
              </w:rPr>
            </w:pPr>
            <w:r w:rsidRPr="00990D3B">
              <w:rPr>
                <w:color w:val="auto"/>
              </w:rPr>
              <w:t>Error rate (%)</w:t>
            </w:r>
            <w:r w:rsidRPr="00990D3B" w:rsidR="00651D5A">
              <w:rPr>
                <w:color w:val="auto"/>
              </w:rPr>
              <w:br/>
            </w:r>
            <w:r w:rsidRPr="00990D3B">
              <w:rPr>
                <w:color w:val="auto"/>
              </w:rPr>
              <w:t>(100% - col. E)</w:t>
            </w:r>
          </w:p>
        </w:tc>
      </w:tr>
      <w:tr w14:paraId="33A65DB3" w14:textId="77777777" w:rsidTr="00C72B5E">
        <w:tblPrEx>
          <w:tblW w:w="5000" w:type="pct"/>
          <w:tblCellMar>
            <w:left w:w="115" w:type="dxa"/>
            <w:right w:w="115" w:type="dxa"/>
          </w:tblCellMar>
          <w:tblLook w:val="04A0"/>
        </w:tblPrEx>
        <w:trPr>
          <w:cantSplit/>
        </w:trPr>
        <w:tc>
          <w:tcPr>
            <w:tcW w:w="1558" w:type="dxa"/>
          </w:tcPr>
          <w:p w:rsidR="00F931A4" w:rsidRPr="00990D3B" w:rsidP="00971514" w14:paraId="52035524" w14:textId="77777777">
            <w:pPr>
              <w:pStyle w:val="EQRTableText"/>
            </w:pPr>
            <w:r w:rsidRPr="00990D3B">
              <w:t> </w:t>
            </w:r>
          </w:p>
        </w:tc>
        <w:tc>
          <w:tcPr>
            <w:tcW w:w="1558" w:type="dxa"/>
          </w:tcPr>
          <w:p w:rsidR="00F931A4" w:rsidRPr="00990D3B" w:rsidP="00971514" w14:paraId="64E630A0" w14:textId="77777777">
            <w:pPr>
              <w:pStyle w:val="EQRTableText"/>
            </w:pPr>
            <w:r w:rsidRPr="00990D3B">
              <w:t> </w:t>
            </w:r>
          </w:p>
        </w:tc>
        <w:tc>
          <w:tcPr>
            <w:tcW w:w="1559" w:type="dxa"/>
          </w:tcPr>
          <w:p w:rsidR="00F931A4" w:rsidRPr="00990D3B" w:rsidP="00971514" w14:paraId="6DE44F33" w14:textId="77777777">
            <w:pPr>
              <w:pStyle w:val="EQRTableText"/>
            </w:pPr>
            <w:r w:rsidRPr="00990D3B">
              <w:t> </w:t>
            </w:r>
          </w:p>
        </w:tc>
        <w:tc>
          <w:tcPr>
            <w:tcW w:w="1558" w:type="dxa"/>
          </w:tcPr>
          <w:p w:rsidR="00F931A4" w:rsidRPr="00990D3B" w:rsidP="00971514" w14:paraId="6ABF5900" w14:textId="77777777">
            <w:pPr>
              <w:pStyle w:val="EQRTableText"/>
            </w:pPr>
            <w:r w:rsidRPr="00990D3B">
              <w:t> </w:t>
            </w:r>
          </w:p>
        </w:tc>
        <w:tc>
          <w:tcPr>
            <w:tcW w:w="1558" w:type="dxa"/>
          </w:tcPr>
          <w:p w:rsidR="00F931A4" w:rsidRPr="00990D3B" w:rsidP="00971514" w14:paraId="49C65068" w14:textId="77777777">
            <w:pPr>
              <w:pStyle w:val="EQRTableText"/>
            </w:pPr>
            <w:r w:rsidRPr="00990D3B">
              <w:t> </w:t>
            </w:r>
          </w:p>
        </w:tc>
        <w:tc>
          <w:tcPr>
            <w:tcW w:w="1559" w:type="dxa"/>
          </w:tcPr>
          <w:p w:rsidR="00F931A4" w:rsidRPr="00990D3B" w:rsidP="00971514" w14:paraId="580785D7" w14:textId="77777777">
            <w:pPr>
              <w:pStyle w:val="EQRTableText"/>
            </w:pPr>
            <w:r w:rsidRPr="00990D3B">
              <w:t> </w:t>
            </w:r>
          </w:p>
        </w:tc>
      </w:tr>
      <w:tr w14:paraId="23D5B0A4" w14:textId="77777777" w:rsidTr="00C72B5E">
        <w:tblPrEx>
          <w:tblW w:w="5000" w:type="pct"/>
          <w:tblCellMar>
            <w:left w:w="115" w:type="dxa"/>
            <w:right w:w="115" w:type="dxa"/>
          </w:tblCellMar>
          <w:tblLook w:val="04A0"/>
        </w:tblPrEx>
        <w:trPr>
          <w:cantSplit/>
        </w:trPr>
        <w:tc>
          <w:tcPr>
            <w:tcW w:w="1558" w:type="dxa"/>
          </w:tcPr>
          <w:p w:rsidR="00F931A4" w:rsidRPr="00990D3B" w:rsidP="00971514" w14:paraId="106578A4" w14:textId="77777777">
            <w:pPr>
              <w:pStyle w:val="EQRTableText"/>
            </w:pPr>
            <w:r w:rsidRPr="00990D3B">
              <w:t> </w:t>
            </w:r>
          </w:p>
        </w:tc>
        <w:tc>
          <w:tcPr>
            <w:tcW w:w="1558" w:type="dxa"/>
          </w:tcPr>
          <w:p w:rsidR="00F931A4" w:rsidRPr="00990D3B" w:rsidP="00971514" w14:paraId="1FD1F28A" w14:textId="77777777">
            <w:pPr>
              <w:pStyle w:val="EQRTableText"/>
            </w:pPr>
            <w:r w:rsidRPr="00990D3B">
              <w:t> </w:t>
            </w:r>
          </w:p>
        </w:tc>
        <w:tc>
          <w:tcPr>
            <w:tcW w:w="1559" w:type="dxa"/>
          </w:tcPr>
          <w:p w:rsidR="00F931A4" w:rsidRPr="00990D3B" w:rsidP="00971514" w14:paraId="54524C22" w14:textId="77777777">
            <w:pPr>
              <w:pStyle w:val="EQRTableText"/>
            </w:pPr>
            <w:r w:rsidRPr="00990D3B">
              <w:t> </w:t>
            </w:r>
          </w:p>
        </w:tc>
        <w:tc>
          <w:tcPr>
            <w:tcW w:w="1558" w:type="dxa"/>
          </w:tcPr>
          <w:p w:rsidR="00F931A4" w:rsidRPr="00990D3B" w:rsidP="00971514" w14:paraId="743F9070" w14:textId="77777777">
            <w:pPr>
              <w:pStyle w:val="EQRTableText"/>
            </w:pPr>
            <w:r w:rsidRPr="00990D3B">
              <w:t> </w:t>
            </w:r>
          </w:p>
        </w:tc>
        <w:tc>
          <w:tcPr>
            <w:tcW w:w="1558" w:type="dxa"/>
          </w:tcPr>
          <w:p w:rsidR="00F931A4" w:rsidRPr="00990D3B" w:rsidP="00971514" w14:paraId="4594FB98" w14:textId="77777777">
            <w:pPr>
              <w:pStyle w:val="EQRTableText"/>
            </w:pPr>
            <w:r w:rsidRPr="00990D3B">
              <w:t> </w:t>
            </w:r>
          </w:p>
        </w:tc>
        <w:tc>
          <w:tcPr>
            <w:tcW w:w="1559" w:type="dxa"/>
          </w:tcPr>
          <w:p w:rsidR="00F931A4" w:rsidRPr="00990D3B" w:rsidP="00971514" w14:paraId="7F84C710" w14:textId="77777777">
            <w:pPr>
              <w:pStyle w:val="EQRTableText"/>
            </w:pPr>
            <w:r w:rsidRPr="00990D3B">
              <w:t> </w:t>
            </w:r>
          </w:p>
        </w:tc>
      </w:tr>
      <w:tr w14:paraId="60F30E93" w14:textId="77777777" w:rsidTr="00C72B5E">
        <w:tblPrEx>
          <w:tblW w:w="5000" w:type="pct"/>
          <w:tblCellMar>
            <w:left w:w="115" w:type="dxa"/>
            <w:right w:w="115" w:type="dxa"/>
          </w:tblCellMar>
          <w:tblLook w:val="04A0"/>
        </w:tblPrEx>
        <w:trPr>
          <w:cantSplit/>
        </w:trPr>
        <w:tc>
          <w:tcPr>
            <w:tcW w:w="1558" w:type="dxa"/>
          </w:tcPr>
          <w:p w:rsidR="00F931A4" w:rsidRPr="00990D3B" w:rsidP="00971514" w14:paraId="57E658EC" w14:textId="77777777">
            <w:pPr>
              <w:pStyle w:val="EQRTableText"/>
            </w:pPr>
            <w:r w:rsidRPr="00990D3B">
              <w:t> </w:t>
            </w:r>
          </w:p>
        </w:tc>
        <w:tc>
          <w:tcPr>
            <w:tcW w:w="1558" w:type="dxa"/>
          </w:tcPr>
          <w:p w:rsidR="00F931A4" w:rsidRPr="00990D3B" w:rsidP="00971514" w14:paraId="3AEE2B4E" w14:textId="77777777">
            <w:pPr>
              <w:pStyle w:val="EQRTableText"/>
            </w:pPr>
            <w:r w:rsidRPr="00990D3B">
              <w:t> </w:t>
            </w:r>
          </w:p>
        </w:tc>
        <w:tc>
          <w:tcPr>
            <w:tcW w:w="1559" w:type="dxa"/>
          </w:tcPr>
          <w:p w:rsidR="00F931A4" w:rsidRPr="00990D3B" w:rsidP="00971514" w14:paraId="5E001372" w14:textId="77777777">
            <w:pPr>
              <w:pStyle w:val="EQRTableText"/>
            </w:pPr>
            <w:r w:rsidRPr="00990D3B">
              <w:t> </w:t>
            </w:r>
          </w:p>
        </w:tc>
        <w:tc>
          <w:tcPr>
            <w:tcW w:w="1558" w:type="dxa"/>
          </w:tcPr>
          <w:p w:rsidR="00F931A4" w:rsidRPr="00990D3B" w:rsidP="00971514" w14:paraId="43F6DA86" w14:textId="77777777">
            <w:pPr>
              <w:pStyle w:val="EQRTableText"/>
            </w:pPr>
            <w:r w:rsidRPr="00990D3B">
              <w:t> </w:t>
            </w:r>
          </w:p>
        </w:tc>
        <w:tc>
          <w:tcPr>
            <w:tcW w:w="1558" w:type="dxa"/>
          </w:tcPr>
          <w:p w:rsidR="00F931A4" w:rsidRPr="00990D3B" w:rsidP="00971514" w14:paraId="702A25E9" w14:textId="77777777">
            <w:pPr>
              <w:pStyle w:val="EQRTableText"/>
            </w:pPr>
            <w:r w:rsidRPr="00990D3B">
              <w:t> </w:t>
            </w:r>
          </w:p>
        </w:tc>
        <w:tc>
          <w:tcPr>
            <w:tcW w:w="1559" w:type="dxa"/>
          </w:tcPr>
          <w:p w:rsidR="00F931A4" w:rsidRPr="00990D3B" w:rsidP="00971514" w14:paraId="1BFD56AE" w14:textId="77777777">
            <w:pPr>
              <w:pStyle w:val="EQRTableText"/>
            </w:pPr>
            <w:r w:rsidRPr="00990D3B">
              <w:t> </w:t>
            </w:r>
          </w:p>
        </w:tc>
      </w:tr>
    </w:tbl>
    <w:p w:rsidR="00F931A4" w:rsidRPr="00990D3B" w:rsidP="00FF25B5" w14:paraId="67831489" w14:textId="77777777">
      <w:pPr>
        <w:pStyle w:val="EQRNormalSSWORKSHEET"/>
      </w:pPr>
      <w:r w:rsidRPr="00990D3B">
        <w:t>Column A:</w:t>
      </w:r>
      <w:r w:rsidRPr="00990D3B">
        <w:tab/>
        <w:t xml:space="preserve">Name of performance measure </w:t>
      </w:r>
    </w:p>
    <w:p w:rsidR="00F931A4" w:rsidRPr="00990D3B" w:rsidP="00FF25B5" w14:paraId="2AB7C4A1" w14:textId="77777777">
      <w:pPr>
        <w:pStyle w:val="EQRNormalSSWORKSHEET"/>
      </w:pPr>
      <w:r w:rsidRPr="00990D3B">
        <w:t>Column B:</w:t>
      </w:r>
      <w:r w:rsidRPr="00990D3B">
        <w:tab/>
        <w:t>Total number of MRR numerator positive records re-abstracted by EQRO as part of the medical record review validation process (i.e., 30, or the total population if less than 30 MRR numerator positives were reported)</w:t>
      </w:r>
    </w:p>
    <w:p w:rsidR="00F931A4" w:rsidRPr="00990D3B" w:rsidP="00FF25B5" w14:paraId="66FF2DCD" w14:textId="77777777">
      <w:pPr>
        <w:pStyle w:val="EQRNormalSSWORKSHEET"/>
      </w:pPr>
      <w:r w:rsidRPr="00990D3B">
        <w:t>Column C:</w:t>
      </w:r>
      <w:r w:rsidRPr="00990D3B">
        <w:tab/>
        <w:t>Total number of medical records submitted to EQRO as part of the medical record review validation process (i.e., should be equal to Column B or less than Column B if one or more records were not submitted on time)</w:t>
      </w:r>
    </w:p>
    <w:p w:rsidR="00F931A4" w:rsidRPr="00990D3B" w:rsidP="00FF25B5" w14:paraId="668CFF17" w14:textId="77777777">
      <w:pPr>
        <w:pStyle w:val="EQRNormalSSWORKSHEET"/>
      </w:pPr>
      <w:r w:rsidRPr="00990D3B">
        <w:t>Column D:</w:t>
      </w:r>
      <w:r w:rsidRPr="00990D3B">
        <w:tab/>
        <w:t>Total number of medical records reviewed by EQRO and identified as meeting numerator requirements</w:t>
      </w:r>
    </w:p>
    <w:p w:rsidR="00F931A4" w:rsidRPr="00990D3B" w:rsidP="00FF25B5" w14:paraId="4A230B98" w14:textId="77777777">
      <w:pPr>
        <w:pStyle w:val="EQRNormalSSWORKSHEET"/>
      </w:pPr>
      <w:r w:rsidRPr="00990D3B">
        <w:t>Column E:</w:t>
      </w:r>
      <w:r w:rsidRPr="00990D3B">
        <w:tab/>
        <w:t>Accuracy rate = percent of records selected for audit that were identified as meeting numerator requirements (Column D/Column B)</w:t>
      </w:r>
    </w:p>
    <w:p w:rsidR="00F931A4" w:rsidRPr="00990D3B" w:rsidP="00FF25B5" w14:paraId="3D8091D2" w14:textId="77777777">
      <w:pPr>
        <w:pStyle w:val="EQRNormalSSWORKSHEET"/>
      </w:pPr>
      <w:r w:rsidRPr="00990D3B">
        <w:t>Column F:</w:t>
      </w:r>
      <w:r w:rsidRPr="00990D3B">
        <w:tab/>
        <w:t>Error rate = percent of records selected for audit that were identified as not meeting numerator requirements (100% - Column E)</w:t>
      </w:r>
    </w:p>
    <w:p w:rsidR="00F931A4" w:rsidRPr="00990D3B" w:rsidP="00E90D8C" w14:paraId="086709B2" w14:textId="77777777">
      <w:pPr>
        <w:pStyle w:val="H2EQRWorksheet"/>
      </w:pPr>
      <w:r w:rsidRPr="00990D3B">
        <w:t xml:space="preserve">Step 2: Determining the Potential Impact of Medical </w:t>
      </w:r>
      <w:r w:rsidRPr="00990D3B">
        <w:t>Record Review</w:t>
      </w:r>
      <w:r w:rsidRPr="00990D3B">
        <w:t xml:space="preserve"> Re-</w:t>
      </w:r>
      <w:r w:rsidRPr="00990D3B">
        <w:t>abstraction</w:t>
      </w:r>
      <w:r w:rsidRPr="00990D3B">
        <w:t xml:space="preserve"> Findings on Final Audit Designations </w:t>
      </w:r>
    </w:p>
    <w:p w:rsidR="00F931A4" w:rsidRPr="00990D3B" w:rsidP="00BD1FC3" w14:paraId="73EBB46C" w14:textId="73B1B194">
      <w:pPr>
        <w:pStyle w:val="EQRNormalSSWORKSHEET"/>
      </w:pPr>
      <w:r w:rsidRPr="00990D3B">
        <w:t>The next step in MRR validation is to determine whether any medical record review errors significantly biased the final reported rate for a given performance measure. To make this determination, as directed by the state, develop and follow decision rules such as the following:</w:t>
      </w:r>
    </w:p>
    <w:p w:rsidR="00F931A4" w:rsidRPr="00990D3B" w:rsidP="00BD1FC3" w14:paraId="34758D5E" w14:textId="77777777">
      <w:pPr>
        <w:pStyle w:val="EQRNormalSSWORKSHEET"/>
        <w:rPr>
          <w:b/>
          <w:bCs/>
        </w:rPr>
      </w:pPr>
      <w:r w:rsidRPr="00990D3B">
        <w:rPr>
          <w:b/>
          <w:bCs/>
        </w:rPr>
        <w:t xml:space="preserve">Sample Decision Rules: </w:t>
      </w:r>
    </w:p>
    <w:p w:rsidR="00F931A4" w:rsidRPr="00990D3B" w:rsidP="00FF25B5" w14:paraId="1CBD2BFD" w14:textId="246A93B3">
      <w:pPr>
        <w:pStyle w:val="EQRNormalSSWSbullet"/>
      </w:pPr>
      <w:r w:rsidRPr="00990D3B">
        <w:rPr>
          <w:b/>
        </w:rPr>
        <w:t>Error Rate of 10 Percent or Less.</w:t>
      </w:r>
      <w:r w:rsidRPr="00990D3B">
        <w:t xml:space="preserve"> If the error rate (Table 1, column F) is 10 percent or less, then the measure automatically passes the MRR validation. The Final Audit Designation is then determined based on the auditors’ findings from the ISCA conducted as Pre-</w:t>
      </w:r>
      <w:r w:rsidRPr="00990D3B" w:rsidR="00ED4DF2">
        <w:t>S</w:t>
      </w:r>
      <w:r w:rsidRPr="00990D3B">
        <w:t xml:space="preserve">ite Visit Activity 3 and </w:t>
      </w:r>
      <w:r w:rsidRPr="00990D3B" w:rsidR="00ED4DF2">
        <w:t>S</w:t>
      </w:r>
      <w:r w:rsidRPr="00990D3B">
        <w:t xml:space="preserve">ite Visit Activity 1. </w:t>
      </w:r>
      <w:r w:rsidRPr="00990D3B">
        <w:t>As long as</w:t>
      </w:r>
      <w:r w:rsidRPr="00990D3B">
        <w:t xml:space="preserve"> </w:t>
      </w:r>
      <w:r w:rsidRPr="00990D3B">
        <w:t>no errors leading to significant bias are discovered during the other components of the audit process, the final rate is considered as having met the validation standards</w:t>
      </w:r>
    </w:p>
    <w:p w:rsidR="00F931A4" w:rsidRPr="00990D3B" w:rsidP="00FF25B5" w14:paraId="204D3E69" w14:textId="77777777">
      <w:pPr>
        <w:pStyle w:val="EQRNormalSSWSbullet"/>
      </w:pPr>
      <w:r w:rsidRPr="00990D3B">
        <w:rPr>
          <w:b/>
        </w:rPr>
        <w:t>Error Rate of Greater than 10 Percent.</w:t>
      </w:r>
      <w:r w:rsidRPr="00990D3B">
        <w:t xml:space="preserve"> If the error rate (Table 1, column F) is greater than 10 percent, then the auditors determine the impact of the MRR validation findings on the final reported rate for the measure. For each of the measures under review, auditors evaluate the impact of the MCP’s MRR processes on its final reported rate by extrapolating findings from the audited medical record sample to the universe of all MRR positives. Details </w:t>
      </w:r>
      <w:r w:rsidRPr="00990D3B">
        <w:t>on</w:t>
      </w:r>
      <w:r w:rsidRPr="00990D3B">
        <w:t xml:space="preserve"> this process are in Table 2 </w:t>
      </w:r>
    </w:p>
    <w:p w:rsidR="00F931A4" w:rsidRPr="00990D3B" w:rsidP="00FF25B5" w14:paraId="4E601025" w14:textId="77777777">
      <w:pPr>
        <w:pStyle w:val="EQRNormalSSWSbullet"/>
      </w:pPr>
      <w:r w:rsidRPr="00990D3B">
        <w:rPr>
          <w:b/>
          <w:bCs/>
        </w:rPr>
        <w:t xml:space="preserve">The maximum amount of bias allowed for the final rate to be considered reportable is “X” percentage points (to be determined by each state). </w:t>
      </w:r>
      <w:r w:rsidRPr="00990D3B">
        <w:t xml:space="preserve">If the amount of </w:t>
      </w:r>
      <w:r w:rsidRPr="00990D3B">
        <w:t>error</w:t>
      </w:r>
      <w:r w:rsidRPr="00990D3B">
        <w:t xml:space="preserve"> in the MCP’s MRR process (Table 2, line 8) does not cause the final reported rate to be biased by more than X percentage points, then the measure passes the MRR validation. The compliance designation is then determined based solely on the auditors’ findings from the ISCA. </w:t>
      </w:r>
      <w:r w:rsidRPr="00990D3B">
        <w:t>As long as</w:t>
      </w:r>
      <w:r w:rsidRPr="00990D3B">
        <w:t xml:space="preserve"> no errors leading to significant bias are discovered during the other components of the performance measure audit process, the final rate is considered valid</w:t>
      </w:r>
    </w:p>
    <w:p w:rsidR="00F931A4" w:rsidRPr="00990D3B" w:rsidP="00FF25B5" w14:paraId="565838A7" w14:textId="77777777">
      <w:pPr>
        <w:pStyle w:val="EQRNormalSSWSbullet"/>
      </w:pPr>
      <w:r w:rsidRPr="00990D3B">
        <w:rPr>
          <w:b/>
          <w:bCs/>
        </w:rPr>
        <w:t xml:space="preserve">If the amount of </w:t>
      </w:r>
      <w:r w:rsidRPr="00990D3B">
        <w:rPr>
          <w:b/>
          <w:bCs/>
        </w:rPr>
        <w:t>error</w:t>
      </w:r>
      <w:r w:rsidRPr="00990D3B">
        <w:rPr>
          <w:b/>
          <w:bCs/>
        </w:rPr>
        <w:t xml:space="preserve"> in the MCP’s medical review process (Table 2, line 8) ultimately causes the final reported rate to be biased by more than X percentage points, the rate is automatically considered invalid.</w:t>
      </w:r>
      <w:r w:rsidRPr="00990D3B">
        <w:t xml:space="preserve"> The performance measure is then designated as invalid</w:t>
      </w:r>
    </w:p>
    <w:p w:rsidR="00F931A4" w:rsidRPr="00990D3B" w:rsidP="00BD1FC3" w14:paraId="11823703" w14:textId="347A7693">
      <w:pPr>
        <w:pStyle w:val="EQRNormalSSWORKSHEET"/>
        <w:spacing w:after="120"/>
      </w:pPr>
      <w:bookmarkStart w:id="296" w:name="P2Table2"/>
      <w:bookmarkStart w:id="297" w:name="P2WSTable2"/>
      <w:bookmarkEnd w:id="296"/>
      <w:bookmarkEnd w:id="297"/>
      <w:r w:rsidRPr="00990D3B">
        <w:rPr>
          <w:b/>
        </w:rPr>
        <w:t xml:space="preserve">Table 2. </w:t>
      </w:r>
      <w:r w:rsidRPr="00990D3B">
        <w:rPr>
          <w:b/>
        </w:rPr>
        <w:t>Impact of MRR Findings</w:t>
      </w:r>
    </w:p>
    <w:tbl>
      <w:tblPr>
        <w:tblStyle w:val="TableGrid"/>
        <w:tblW w:w="5000" w:type="pct"/>
        <w:tblCellMar>
          <w:left w:w="115" w:type="dxa"/>
          <w:right w:w="115" w:type="dxa"/>
        </w:tblCellMar>
        <w:tblLook w:val="04A0"/>
      </w:tblPr>
      <w:tblGrid>
        <w:gridCol w:w="805"/>
        <w:gridCol w:w="4257"/>
        <w:gridCol w:w="1429"/>
        <w:gridCol w:w="1429"/>
        <w:gridCol w:w="1430"/>
      </w:tblGrid>
      <w:tr w14:paraId="055F29DB" w14:textId="77777777" w:rsidTr="00BD1FC3">
        <w:tblPrEx>
          <w:tblW w:w="5000" w:type="pct"/>
          <w:tblCellMar>
            <w:left w:w="115" w:type="dxa"/>
            <w:right w:w="115" w:type="dxa"/>
          </w:tblCellMar>
          <w:tblLook w:val="04A0"/>
        </w:tblPrEx>
        <w:trPr>
          <w:cantSplit/>
          <w:trHeight w:val="144"/>
          <w:tblHeader/>
        </w:trPr>
        <w:tc>
          <w:tcPr>
            <w:tcW w:w="805" w:type="dxa"/>
            <w:shd w:val="clear" w:color="auto" w:fill="FFFFFF" w:themeFill="background1"/>
          </w:tcPr>
          <w:p w:rsidR="00F931A4" w:rsidRPr="00990D3B" w:rsidP="00E90D8C" w14:paraId="4B85277C" w14:textId="77777777">
            <w:pPr>
              <w:pStyle w:val="EQRTableHeaderLeft"/>
              <w:rPr>
                <w:color w:val="auto"/>
              </w:rPr>
            </w:pPr>
            <w:r w:rsidRPr="00990D3B">
              <w:rPr>
                <w:color w:val="auto"/>
              </w:rPr>
              <w:t>Line #</w:t>
            </w:r>
          </w:p>
        </w:tc>
        <w:tc>
          <w:tcPr>
            <w:tcW w:w="4257" w:type="dxa"/>
            <w:shd w:val="clear" w:color="auto" w:fill="FFFFFF" w:themeFill="background1"/>
            <w:vAlign w:val="bottom"/>
          </w:tcPr>
          <w:p w:rsidR="00F931A4" w:rsidRPr="00990D3B" w:rsidP="00E90D8C" w14:paraId="4E489F21" w14:textId="77777777">
            <w:pPr>
              <w:pStyle w:val="EQRTableHeaderCenter"/>
              <w:rPr>
                <w:color w:val="auto"/>
              </w:rPr>
            </w:pPr>
            <w:r w:rsidRPr="00990D3B">
              <w:rPr>
                <w:color w:val="auto"/>
              </w:rPr>
              <w:t>Description</w:t>
            </w:r>
          </w:p>
        </w:tc>
        <w:tc>
          <w:tcPr>
            <w:tcW w:w="1429" w:type="dxa"/>
            <w:shd w:val="clear" w:color="auto" w:fill="FFFFFF" w:themeFill="background1"/>
            <w:vAlign w:val="bottom"/>
          </w:tcPr>
          <w:p w:rsidR="00F931A4" w:rsidRPr="00990D3B" w:rsidP="00E90D8C" w14:paraId="530DA215" w14:textId="77777777">
            <w:pPr>
              <w:pStyle w:val="EQRTableHeaderCenter"/>
              <w:rPr>
                <w:color w:val="auto"/>
              </w:rPr>
            </w:pPr>
            <w:r w:rsidRPr="00990D3B">
              <w:rPr>
                <w:color w:val="auto"/>
              </w:rPr>
              <w:t>Measure A</w:t>
            </w:r>
          </w:p>
        </w:tc>
        <w:tc>
          <w:tcPr>
            <w:tcW w:w="1429" w:type="dxa"/>
            <w:shd w:val="clear" w:color="auto" w:fill="FFFFFF" w:themeFill="background1"/>
            <w:vAlign w:val="bottom"/>
          </w:tcPr>
          <w:p w:rsidR="00F931A4" w:rsidRPr="00990D3B" w:rsidP="00E90D8C" w14:paraId="4D0FEB73" w14:textId="77777777">
            <w:pPr>
              <w:pStyle w:val="EQRTableHeaderCenter"/>
              <w:rPr>
                <w:color w:val="auto"/>
              </w:rPr>
            </w:pPr>
            <w:r w:rsidRPr="00990D3B">
              <w:rPr>
                <w:color w:val="auto"/>
              </w:rPr>
              <w:t>Measure B</w:t>
            </w:r>
          </w:p>
        </w:tc>
        <w:tc>
          <w:tcPr>
            <w:tcW w:w="1430" w:type="dxa"/>
            <w:shd w:val="clear" w:color="auto" w:fill="FFFFFF" w:themeFill="background1"/>
            <w:vAlign w:val="bottom"/>
          </w:tcPr>
          <w:p w:rsidR="00F931A4" w:rsidRPr="00990D3B" w:rsidP="00E90D8C" w14:paraId="76C88339" w14:textId="77777777">
            <w:pPr>
              <w:pStyle w:val="EQRTableHeaderCenter"/>
              <w:rPr>
                <w:color w:val="auto"/>
              </w:rPr>
            </w:pPr>
            <w:r w:rsidRPr="00990D3B">
              <w:rPr>
                <w:color w:val="auto"/>
              </w:rPr>
              <w:t>Measure C</w:t>
            </w:r>
          </w:p>
        </w:tc>
      </w:tr>
      <w:tr w14:paraId="06BB3B06" w14:textId="77777777" w:rsidTr="00BD1FC3">
        <w:tblPrEx>
          <w:tblW w:w="5000" w:type="pct"/>
          <w:tblCellMar>
            <w:left w:w="115" w:type="dxa"/>
            <w:right w:w="115" w:type="dxa"/>
          </w:tblCellMar>
          <w:tblLook w:val="04A0"/>
        </w:tblPrEx>
        <w:trPr>
          <w:cantSplit/>
        </w:trPr>
        <w:tc>
          <w:tcPr>
            <w:tcW w:w="805" w:type="dxa"/>
          </w:tcPr>
          <w:p w:rsidR="00F931A4" w:rsidRPr="00990D3B" w:rsidP="00895952" w14:paraId="2ED56BAF" w14:textId="77777777">
            <w:pPr>
              <w:pStyle w:val="EQRTableText"/>
            </w:pPr>
            <w:r w:rsidRPr="00990D3B">
              <w:t>1</w:t>
            </w:r>
          </w:p>
        </w:tc>
        <w:tc>
          <w:tcPr>
            <w:tcW w:w="4257" w:type="dxa"/>
          </w:tcPr>
          <w:p w:rsidR="00F931A4" w:rsidRPr="00990D3B" w:rsidP="00895952" w14:paraId="4C90EA19" w14:textId="77777777">
            <w:pPr>
              <w:pStyle w:val="EQRTableText"/>
            </w:pPr>
            <w:r w:rsidRPr="00990D3B">
              <w:t>Final data collection method used (e.g., MRR, hybrid)</w:t>
            </w:r>
          </w:p>
        </w:tc>
        <w:tc>
          <w:tcPr>
            <w:tcW w:w="1429" w:type="dxa"/>
          </w:tcPr>
          <w:p w:rsidR="00F931A4" w:rsidRPr="00990D3B" w:rsidP="00895952" w14:paraId="6E718C88" w14:textId="77777777">
            <w:pPr>
              <w:pStyle w:val="EQRTableText"/>
            </w:pPr>
            <w:r w:rsidRPr="00990D3B">
              <w:t> </w:t>
            </w:r>
          </w:p>
        </w:tc>
        <w:tc>
          <w:tcPr>
            <w:tcW w:w="1429" w:type="dxa"/>
          </w:tcPr>
          <w:p w:rsidR="00F931A4" w:rsidRPr="00990D3B" w:rsidP="00895952" w14:paraId="15293A3D" w14:textId="77777777">
            <w:pPr>
              <w:pStyle w:val="EQRTableText"/>
            </w:pPr>
            <w:r w:rsidRPr="00990D3B">
              <w:t> </w:t>
            </w:r>
          </w:p>
        </w:tc>
        <w:tc>
          <w:tcPr>
            <w:tcW w:w="1430" w:type="dxa"/>
          </w:tcPr>
          <w:p w:rsidR="00F931A4" w:rsidRPr="00990D3B" w:rsidP="00895952" w14:paraId="69AC0150" w14:textId="77777777">
            <w:pPr>
              <w:pStyle w:val="EQRTableText"/>
            </w:pPr>
            <w:r w:rsidRPr="00990D3B">
              <w:t> </w:t>
            </w:r>
          </w:p>
        </w:tc>
      </w:tr>
      <w:tr w14:paraId="14438285" w14:textId="77777777" w:rsidTr="00BD1FC3">
        <w:tblPrEx>
          <w:tblW w:w="5000" w:type="pct"/>
          <w:tblCellMar>
            <w:left w:w="115" w:type="dxa"/>
            <w:right w:w="115" w:type="dxa"/>
          </w:tblCellMar>
          <w:tblLook w:val="04A0"/>
        </w:tblPrEx>
        <w:trPr>
          <w:cantSplit/>
        </w:trPr>
        <w:tc>
          <w:tcPr>
            <w:tcW w:w="805" w:type="dxa"/>
          </w:tcPr>
          <w:p w:rsidR="00F931A4" w:rsidRPr="00990D3B" w:rsidP="00895952" w14:paraId="57D40A4D" w14:textId="77777777">
            <w:pPr>
              <w:pStyle w:val="EQRTableText"/>
            </w:pPr>
            <w:r w:rsidRPr="00990D3B">
              <w:t>2</w:t>
            </w:r>
          </w:p>
        </w:tc>
        <w:tc>
          <w:tcPr>
            <w:tcW w:w="4257" w:type="dxa"/>
          </w:tcPr>
          <w:p w:rsidR="00F931A4" w:rsidRPr="00990D3B" w:rsidP="00895952" w14:paraId="7C9C23DB" w14:textId="77777777">
            <w:pPr>
              <w:pStyle w:val="EQRTableText"/>
            </w:pPr>
            <w:r w:rsidRPr="00990D3B">
              <w:t>Error rate (percentage of records selected for audit that were identified as not meeting numerator requirements, as shown in Table 1, column F)</w:t>
            </w:r>
          </w:p>
        </w:tc>
        <w:tc>
          <w:tcPr>
            <w:tcW w:w="1429" w:type="dxa"/>
          </w:tcPr>
          <w:p w:rsidR="00F931A4" w:rsidRPr="00990D3B" w:rsidP="00895952" w14:paraId="0D187A61" w14:textId="77777777">
            <w:pPr>
              <w:pStyle w:val="EQRTableText"/>
            </w:pPr>
            <w:r w:rsidRPr="00990D3B">
              <w:t> </w:t>
            </w:r>
          </w:p>
        </w:tc>
        <w:tc>
          <w:tcPr>
            <w:tcW w:w="1429" w:type="dxa"/>
          </w:tcPr>
          <w:p w:rsidR="00F931A4" w:rsidRPr="00990D3B" w:rsidP="00895952" w14:paraId="7F1B8B6A" w14:textId="77777777">
            <w:pPr>
              <w:pStyle w:val="EQRTableText"/>
            </w:pPr>
            <w:r w:rsidRPr="00990D3B">
              <w:t> </w:t>
            </w:r>
          </w:p>
        </w:tc>
        <w:tc>
          <w:tcPr>
            <w:tcW w:w="1430" w:type="dxa"/>
          </w:tcPr>
          <w:p w:rsidR="00F931A4" w:rsidRPr="00990D3B" w:rsidP="00895952" w14:paraId="5EC059D7" w14:textId="77777777">
            <w:pPr>
              <w:pStyle w:val="EQRTableText"/>
            </w:pPr>
            <w:r w:rsidRPr="00990D3B">
              <w:t> </w:t>
            </w:r>
          </w:p>
        </w:tc>
      </w:tr>
      <w:tr w14:paraId="715D4B20" w14:textId="77777777" w:rsidTr="00BD1FC3">
        <w:tblPrEx>
          <w:tblW w:w="5000" w:type="pct"/>
          <w:tblCellMar>
            <w:left w:w="115" w:type="dxa"/>
            <w:right w:w="115" w:type="dxa"/>
          </w:tblCellMar>
          <w:tblLook w:val="04A0"/>
        </w:tblPrEx>
        <w:trPr>
          <w:cantSplit/>
        </w:trPr>
        <w:tc>
          <w:tcPr>
            <w:tcW w:w="805" w:type="dxa"/>
          </w:tcPr>
          <w:p w:rsidR="00F931A4" w:rsidRPr="00990D3B" w:rsidP="00895952" w14:paraId="7CF2F3FE" w14:textId="77777777">
            <w:pPr>
              <w:pStyle w:val="EQRTableText"/>
            </w:pPr>
            <w:r w:rsidRPr="00990D3B">
              <w:t>3</w:t>
            </w:r>
          </w:p>
        </w:tc>
        <w:tc>
          <w:tcPr>
            <w:tcW w:w="4257" w:type="dxa"/>
          </w:tcPr>
          <w:p w:rsidR="00F931A4" w:rsidRPr="00990D3B" w:rsidP="00895952" w14:paraId="0F8742A6" w14:textId="77777777">
            <w:pPr>
              <w:pStyle w:val="EQRTableText"/>
            </w:pPr>
            <w:r w:rsidRPr="00990D3B">
              <w:t xml:space="preserve">Is error rate &lt;10%? (Yes or </w:t>
            </w:r>
            <w:r w:rsidRPr="00990D3B">
              <w:t>No</w:t>
            </w:r>
            <w:r w:rsidRPr="00990D3B">
              <w:t>)</w:t>
            </w:r>
          </w:p>
          <w:p w:rsidR="00F931A4" w:rsidRPr="00990D3B" w:rsidP="00F931A4" w14:paraId="53149905" w14:textId="77777777">
            <w:pPr>
              <w:pStyle w:val="EQRTableTextbullet"/>
              <w:spacing w:line="240" w:lineRule="auto"/>
              <w:ind w:left="216" w:hanging="216"/>
            </w:pPr>
            <w:r w:rsidRPr="00990D3B">
              <w:t xml:space="preserve">If yes, MCP passes MRR validation; no further MRR calculations </w:t>
            </w:r>
            <w:r w:rsidRPr="00990D3B">
              <w:t>necessary</w:t>
            </w:r>
          </w:p>
          <w:p w:rsidR="00F931A4" w:rsidRPr="00990D3B" w:rsidP="00F931A4" w14:paraId="583F2FEE" w14:textId="77777777">
            <w:pPr>
              <w:pStyle w:val="EQRTableTextbullet"/>
              <w:spacing w:line="240" w:lineRule="auto"/>
              <w:ind w:left="216" w:hanging="216"/>
            </w:pPr>
            <w:r w:rsidRPr="00990D3B">
              <w:t>If no, the full table must be completed to determine the impact on the final rate</w:t>
            </w:r>
          </w:p>
        </w:tc>
        <w:tc>
          <w:tcPr>
            <w:tcW w:w="1429" w:type="dxa"/>
          </w:tcPr>
          <w:p w:rsidR="00F931A4" w:rsidRPr="00990D3B" w:rsidP="00895952" w14:paraId="0B1E9282" w14:textId="77777777">
            <w:pPr>
              <w:pStyle w:val="EQRTableText"/>
            </w:pPr>
            <w:r w:rsidRPr="00990D3B">
              <w:t> </w:t>
            </w:r>
          </w:p>
        </w:tc>
        <w:tc>
          <w:tcPr>
            <w:tcW w:w="1429" w:type="dxa"/>
          </w:tcPr>
          <w:p w:rsidR="00F931A4" w:rsidRPr="00990D3B" w:rsidP="00895952" w14:paraId="2EE73EEC" w14:textId="77777777">
            <w:pPr>
              <w:pStyle w:val="EQRTableText"/>
            </w:pPr>
            <w:r w:rsidRPr="00990D3B">
              <w:t> </w:t>
            </w:r>
          </w:p>
        </w:tc>
        <w:tc>
          <w:tcPr>
            <w:tcW w:w="1430" w:type="dxa"/>
          </w:tcPr>
          <w:p w:rsidR="00F931A4" w:rsidRPr="00990D3B" w:rsidP="00895952" w14:paraId="7865B853" w14:textId="77777777">
            <w:pPr>
              <w:pStyle w:val="EQRTableText"/>
            </w:pPr>
            <w:r w:rsidRPr="00990D3B">
              <w:t> </w:t>
            </w:r>
          </w:p>
        </w:tc>
      </w:tr>
      <w:tr w14:paraId="74A0A637" w14:textId="77777777" w:rsidTr="00BD1FC3">
        <w:tblPrEx>
          <w:tblW w:w="5000" w:type="pct"/>
          <w:tblCellMar>
            <w:left w:w="115" w:type="dxa"/>
            <w:right w:w="115" w:type="dxa"/>
          </w:tblCellMar>
          <w:tblLook w:val="04A0"/>
        </w:tblPrEx>
        <w:trPr>
          <w:cantSplit/>
        </w:trPr>
        <w:tc>
          <w:tcPr>
            <w:tcW w:w="805" w:type="dxa"/>
          </w:tcPr>
          <w:p w:rsidR="00F931A4" w:rsidRPr="00990D3B" w:rsidP="00895952" w14:paraId="2317F7F3" w14:textId="77777777">
            <w:pPr>
              <w:pStyle w:val="EQRTableText"/>
            </w:pPr>
            <w:r w:rsidRPr="00990D3B">
              <w:t>4</w:t>
            </w:r>
          </w:p>
        </w:tc>
        <w:tc>
          <w:tcPr>
            <w:tcW w:w="4257" w:type="dxa"/>
          </w:tcPr>
          <w:p w:rsidR="00F931A4" w:rsidRPr="00990D3B" w:rsidP="00895952" w14:paraId="698FD95A" w14:textId="5436473B">
            <w:pPr>
              <w:pStyle w:val="EQRTableText"/>
            </w:pPr>
            <w:r w:rsidRPr="00990D3B">
              <w:t xml:space="preserve">Denominator (the total number of </w:t>
            </w:r>
            <w:r w:rsidRPr="00990D3B" w:rsidR="00727834">
              <w:t>enrollees</w:t>
            </w:r>
            <w:r w:rsidRPr="00990D3B">
              <w:t xml:space="preserve"> identified for the denominator of this measure, as identified by the MCP)</w:t>
            </w:r>
          </w:p>
        </w:tc>
        <w:tc>
          <w:tcPr>
            <w:tcW w:w="1429" w:type="dxa"/>
          </w:tcPr>
          <w:p w:rsidR="00F931A4" w:rsidRPr="00990D3B" w:rsidP="00895952" w14:paraId="4E9234C0" w14:textId="77777777">
            <w:pPr>
              <w:pStyle w:val="EQRTableText"/>
            </w:pPr>
            <w:r w:rsidRPr="00990D3B">
              <w:t> </w:t>
            </w:r>
          </w:p>
        </w:tc>
        <w:tc>
          <w:tcPr>
            <w:tcW w:w="1429" w:type="dxa"/>
          </w:tcPr>
          <w:p w:rsidR="00F931A4" w:rsidRPr="00990D3B" w:rsidP="00895952" w14:paraId="59FE8888" w14:textId="77777777">
            <w:pPr>
              <w:pStyle w:val="EQRTableText"/>
            </w:pPr>
            <w:r w:rsidRPr="00990D3B">
              <w:t> </w:t>
            </w:r>
          </w:p>
        </w:tc>
        <w:tc>
          <w:tcPr>
            <w:tcW w:w="1430" w:type="dxa"/>
          </w:tcPr>
          <w:p w:rsidR="00F931A4" w:rsidRPr="00990D3B" w:rsidP="00895952" w14:paraId="14C8C0FF" w14:textId="77777777">
            <w:pPr>
              <w:pStyle w:val="EQRTableText"/>
            </w:pPr>
            <w:r w:rsidRPr="00990D3B">
              <w:t> </w:t>
            </w:r>
          </w:p>
        </w:tc>
      </w:tr>
      <w:tr w14:paraId="23D6DBC9" w14:textId="77777777" w:rsidTr="00BD1FC3">
        <w:tblPrEx>
          <w:tblW w:w="5000" w:type="pct"/>
          <w:tblCellMar>
            <w:left w:w="115" w:type="dxa"/>
            <w:right w:w="115" w:type="dxa"/>
          </w:tblCellMar>
          <w:tblLook w:val="04A0"/>
        </w:tblPrEx>
        <w:trPr>
          <w:cantSplit/>
        </w:trPr>
        <w:tc>
          <w:tcPr>
            <w:tcW w:w="805" w:type="dxa"/>
          </w:tcPr>
          <w:p w:rsidR="00F931A4" w:rsidRPr="00990D3B" w:rsidP="00895952" w14:paraId="521572EE" w14:textId="77777777">
            <w:pPr>
              <w:pStyle w:val="EQRTableText"/>
            </w:pPr>
            <w:r w:rsidRPr="00990D3B">
              <w:t>5</w:t>
            </w:r>
          </w:p>
        </w:tc>
        <w:tc>
          <w:tcPr>
            <w:tcW w:w="4257" w:type="dxa"/>
          </w:tcPr>
          <w:p w:rsidR="00F931A4" w:rsidRPr="00990D3B" w:rsidP="00895952" w14:paraId="1BE7047B" w14:textId="77777777">
            <w:pPr>
              <w:pStyle w:val="EQRTableText"/>
            </w:pPr>
            <w:r w:rsidRPr="00990D3B">
              <w:t>Weight of each medical record (impact of each medical record on the final overall rate; determined by dividing 100% by the denominator in line 4)</w:t>
            </w:r>
          </w:p>
        </w:tc>
        <w:tc>
          <w:tcPr>
            <w:tcW w:w="1429" w:type="dxa"/>
          </w:tcPr>
          <w:p w:rsidR="00F931A4" w:rsidRPr="00990D3B" w:rsidP="00895952" w14:paraId="08A3AB5E" w14:textId="77777777">
            <w:pPr>
              <w:pStyle w:val="EQRTableText"/>
            </w:pPr>
            <w:r w:rsidRPr="00990D3B">
              <w:t> </w:t>
            </w:r>
          </w:p>
        </w:tc>
        <w:tc>
          <w:tcPr>
            <w:tcW w:w="1429" w:type="dxa"/>
          </w:tcPr>
          <w:p w:rsidR="00F931A4" w:rsidRPr="00990D3B" w:rsidP="00895952" w14:paraId="09F1EFF9" w14:textId="77777777">
            <w:pPr>
              <w:pStyle w:val="EQRTableText"/>
            </w:pPr>
            <w:r w:rsidRPr="00990D3B">
              <w:t> </w:t>
            </w:r>
          </w:p>
        </w:tc>
        <w:tc>
          <w:tcPr>
            <w:tcW w:w="1430" w:type="dxa"/>
          </w:tcPr>
          <w:p w:rsidR="00F931A4" w:rsidRPr="00990D3B" w:rsidP="00895952" w14:paraId="218FC720" w14:textId="77777777">
            <w:pPr>
              <w:pStyle w:val="EQRTableText"/>
            </w:pPr>
            <w:r w:rsidRPr="00990D3B">
              <w:t> </w:t>
            </w:r>
          </w:p>
        </w:tc>
      </w:tr>
      <w:tr w14:paraId="605E4562" w14:textId="77777777" w:rsidTr="00BD1FC3">
        <w:tblPrEx>
          <w:tblW w:w="5000" w:type="pct"/>
          <w:tblCellMar>
            <w:left w:w="115" w:type="dxa"/>
            <w:right w:w="115" w:type="dxa"/>
          </w:tblCellMar>
          <w:tblLook w:val="04A0"/>
        </w:tblPrEx>
        <w:trPr>
          <w:cantSplit/>
        </w:trPr>
        <w:tc>
          <w:tcPr>
            <w:tcW w:w="805" w:type="dxa"/>
          </w:tcPr>
          <w:p w:rsidR="00F931A4" w:rsidRPr="00990D3B" w:rsidP="00895952" w14:paraId="04BA7A9A" w14:textId="77777777">
            <w:pPr>
              <w:pStyle w:val="EQRTableText"/>
            </w:pPr>
            <w:r w:rsidRPr="00990D3B">
              <w:t>6</w:t>
            </w:r>
          </w:p>
        </w:tc>
        <w:tc>
          <w:tcPr>
            <w:tcW w:w="4257" w:type="dxa"/>
          </w:tcPr>
          <w:p w:rsidR="00F931A4" w:rsidRPr="00990D3B" w:rsidP="00895952" w14:paraId="00FE0B7D" w14:textId="77777777">
            <w:pPr>
              <w:pStyle w:val="EQRTableText"/>
            </w:pPr>
            <w:r w:rsidRPr="00990D3B">
              <w:t>Total number of MRR numerator positives identified by the MCP using MRR</w:t>
            </w:r>
          </w:p>
        </w:tc>
        <w:tc>
          <w:tcPr>
            <w:tcW w:w="1429" w:type="dxa"/>
          </w:tcPr>
          <w:p w:rsidR="00F931A4" w:rsidRPr="00990D3B" w:rsidP="00895952" w14:paraId="2D0B6DF6" w14:textId="77777777">
            <w:pPr>
              <w:pStyle w:val="EQRTableText"/>
            </w:pPr>
            <w:r w:rsidRPr="00990D3B">
              <w:t> </w:t>
            </w:r>
          </w:p>
        </w:tc>
        <w:tc>
          <w:tcPr>
            <w:tcW w:w="1429" w:type="dxa"/>
          </w:tcPr>
          <w:p w:rsidR="00F931A4" w:rsidRPr="00990D3B" w:rsidP="00895952" w14:paraId="2A864F03" w14:textId="77777777">
            <w:pPr>
              <w:pStyle w:val="EQRTableText"/>
            </w:pPr>
            <w:r w:rsidRPr="00990D3B">
              <w:t> </w:t>
            </w:r>
          </w:p>
        </w:tc>
        <w:tc>
          <w:tcPr>
            <w:tcW w:w="1430" w:type="dxa"/>
          </w:tcPr>
          <w:p w:rsidR="00F931A4" w:rsidRPr="00990D3B" w:rsidP="00895952" w14:paraId="7D91E07E" w14:textId="77777777">
            <w:pPr>
              <w:pStyle w:val="EQRTableText"/>
            </w:pPr>
            <w:r w:rsidRPr="00990D3B">
              <w:t> </w:t>
            </w:r>
          </w:p>
        </w:tc>
      </w:tr>
      <w:tr w14:paraId="2EF01926" w14:textId="77777777" w:rsidTr="00BD1FC3">
        <w:tblPrEx>
          <w:tblW w:w="5000" w:type="pct"/>
          <w:tblCellMar>
            <w:left w:w="115" w:type="dxa"/>
            <w:right w:w="115" w:type="dxa"/>
          </w:tblCellMar>
          <w:tblLook w:val="04A0"/>
        </w:tblPrEx>
        <w:trPr>
          <w:cantSplit/>
        </w:trPr>
        <w:tc>
          <w:tcPr>
            <w:tcW w:w="805" w:type="dxa"/>
          </w:tcPr>
          <w:p w:rsidR="00F931A4" w:rsidRPr="00990D3B" w:rsidP="00895952" w14:paraId="1B98AFB9" w14:textId="77777777">
            <w:pPr>
              <w:pStyle w:val="EQRTableText"/>
            </w:pPr>
            <w:r w:rsidRPr="00990D3B">
              <w:t>7</w:t>
            </w:r>
          </w:p>
        </w:tc>
        <w:tc>
          <w:tcPr>
            <w:tcW w:w="4257" w:type="dxa"/>
          </w:tcPr>
          <w:p w:rsidR="00F931A4" w:rsidRPr="00990D3B" w:rsidP="00895952" w14:paraId="4B9A0DFE" w14:textId="77777777">
            <w:pPr>
              <w:pStyle w:val="EQRTableText"/>
            </w:pPr>
            <w:r w:rsidRPr="00990D3B">
              <w:t>Expected number of false positives</w:t>
            </w:r>
          </w:p>
          <w:p w:rsidR="00F931A4" w:rsidRPr="00990D3B" w:rsidP="00895952" w14:paraId="7017B58B" w14:textId="77777777">
            <w:pPr>
              <w:pStyle w:val="EQRTableText"/>
            </w:pPr>
            <w:r w:rsidRPr="00990D3B">
              <w:t>(Estimated number of medical records inappropriately counted as numerator positives; determined by multiplying the error rate in line 2 by line 6, the total number of MRR numerator positives reported)</w:t>
            </w:r>
          </w:p>
        </w:tc>
        <w:tc>
          <w:tcPr>
            <w:tcW w:w="1429" w:type="dxa"/>
          </w:tcPr>
          <w:p w:rsidR="00F931A4" w:rsidRPr="00990D3B" w:rsidP="00895952" w14:paraId="589C8164" w14:textId="77777777">
            <w:pPr>
              <w:pStyle w:val="EQRTableText"/>
            </w:pPr>
            <w:r w:rsidRPr="00990D3B">
              <w:t> </w:t>
            </w:r>
          </w:p>
        </w:tc>
        <w:tc>
          <w:tcPr>
            <w:tcW w:w="1429" w:type="dxa"/>
          </w:tcPr>
          <w:p w:rsidR="00F931A4" w:rsidRPr="00990D3B" w:rsidP="00895952" w14:paraId="071CC8C0" w14:textId="77777777">
            <w:pPr>
              <w:pStyle w:val="EQRTableText"/>
            </w:pPr>
            <w:r w:rsidRPr="00990D3B">
              <w:t> </w:t>
            </w:r>
          </w:p>
        </w:tc>
        <w:tc>
          <w:tcPr>
            <w:tcW w:w="1430" w:type="dxa"/>
          </w:tcPr>
          <w:p w:rsidR="00F931A4" w:rsidRPr="00990D3B" w:rsidP="00895952" w14:paraId="764E250B" w14:textId="77777777">
            <w:pPr>
              <w:pStyle w:val="EQRTableText"/>
            </w:pPr>
            <w:r w:rsidRPr="00990D3B">
              <w:t> </w:t>
            </w:r>
          </w:p>
        </w:tc>
      </w:tr>
      <w:tr w14:paraId="2D4388F4" w14:textId="77777777" w:rsidTr="00BD1FC3">
        <w:tblPrEx>
          <w:tblW w:w="5000" w:type="pct"/>
          <w:tblCellMar>
            <w:left w:w="115" w:type="dxa"/>
            <w:right w:w="115" w:type="dxa"/>
          </w:tblCellMar>
          <w:tblLook w:val="04A0"/>
        </w:tblPrEx>
        <w:trPr>
          <w:cantSplit/>
        </w:trPr>
        <w:tc>
          <w:tcPr>
            <w:tcW w:w="805" w:type="dxa"/>
          </w:tcPr>
          <w:p w:rsidR="00F931A4" w:rsidRPr="00990D3B" w:rsidP="00895952" w14:paraId="4C018DE9" w14:textId="77777777">
            <w:pPr>
              <w:pStyle w:val="EQRTableText"/>
            </w:pPr>
            <w:r w:rsidRPr="00990D3B">
              <w:t>8</w:t>
            </w:r>
          </w:p>
        </w:tc>
        <w:tc>
          <w:tcPr>
            <w:tcW w:w="4257" w:type="dxa"/>
          </w:tcPr>
          <w:p w:rsidR="00F931A4" w:rsidRPr="00990D3B" w:rsidP="00895952" w14:paraId="72AE0BF1" w14:textId="77777777">
            <w:pPr>
              <w:pStyle w:val="EQRTableText"/>
            </w:pPr>
            <w:r w:rsidRPr="00990D3B">
              <w:t>Estimated bias in final rate</w:t>
            </w:r>
          </w:p>
          <w:p w:rsidR="00F931A4" w:rsidRPr="00990D3B" w:rsidP="00895952" w14:paraId="1A0D16C3" w14:textId="77777777">
            <w:pPr>
              <w:pStyle w:val="EQRTableText"/>
            </w:pPr>
            <w:r w:rsidRPr="00990D3B">
              <w:t>(The amount of bias caused by medical record review, measured in percentage points; determined by multiplying the expected number of false positives in line 7 by line 5, the weight of each medical record)</w:t>
            </w:r>
          </w:p>
        </w:tc>
        <w:tc>
          <w:tcPr>
            <w:tcW w:w="1429" w:type="dxa"/>
          </w:tcPr>
          <w:p w:rsidR="00F931A4" w:rsidRPr="00990D3B" w:rsidP="00895952" w14:paraId="032EF436" w14:textId="77777777">
            <w:pPr>
              <w:pStyle w:val="EQRTableText"/>
            </w:pPr>
            <w:r w:rsidRPr="00990D3B">
              <w:t> </w:t>
            </w:r>
          </w:p>
        </w:tc>
        <w:tc>
          <w:tcPr>
            <w:tcW w:w="1429" w:type="dxa"/>
          </w:tcPr>
          <w:p w:rsidR="00F931A4" w:rsidRPr="00990D3B" w:rsidP="00895952" w14:paraId="3B5B6607" w14:textId="77777777">
            <w:pPr>
              <w:pStyle w:val="EQRTableText"/>
            </w:pPr>
            <w:r w:rsidRPr="00990D3B">
              <w:t> </w:t>
            </w:r>
          </w:p>
        </w:tc>
        <w:tc>
          <w:tcPr>
            <w:tcW w:w="1430" w:type="dxa"/>
          </w:tcPr>
          <w:p w:rsidR="00F931A4" w:rsidRPr="00990D3B" w:rsidP="00895952" w14:paraId="3C65ED0B" w14:textId="77777777">
            <w:pPr>
              <w:pStyle w:val="EQRTableText"/>
            </w:pPr>
            <w:r w:rsidRPr="00990D3B">
              <w:t> </w:t>
            </w:r>
          </w:p>
        </w:tc>
      </w:tr>
    </w:tbl>
    <w:p w:rsidR="00F931A4" w:rsidRPr="00990D3B" w:rsidP="00FF25B5" w14:paraId="12E9B6D6" w14:textId="77777777">
      <w:pPr>
        <w:pStyle w:val="EQRNormalSSWSbullet"/>
      </w:pPr>
      <w:r w:rsidRPr="00990D3B">
        <w:t>If line 8 is &lt;=X%, then the final rate is not considered to be significantly biased by MRR alone. If the other components of the audit process did not identify any other issues that would introduce bias into the rate, the rate will be considered valid</w:t>
      </w:r>
    </w:p>
    <w:p w:rsidR="00892C1A" w:rsidRPr="00990D3B" w:rsidP="00FF25B5" w14:paraId="6AB46897" w14:textId="7E23FE1C">
      <w:pPr>
        <w:pStyle w:val="EQRNormalSSWSbullet"/>
      </w:pPr>
      <w:r w:rsidRPr="00990D3B">
        <w:t xml:space="preserve">If line 8 is &gt;X%, then the final rate </w:t>
      </w:r>
      <w:r w:rsidRPr="00990D3B">
        <w:t>is considered to be</w:t>
      </w:r>
      <w:r w:rsidRPr="00990D3B">
        <w:t xml:space="preserve"> significantly biased. The measure will be considered invalid</w:t>
      </w:r>
    </w:p>
    <w:p w:rsidR="000E2BCC" w:rsidRPr="00990D3B" w14:paraId="3F9BACC0" w14:textId="77777777">
      <w:pPr>
        <w:spacing w:line="240" w:lineRule="auto"/>
        <w:sectPr w:rsidSect="00A65C6B">
          <w:pgSz w:w="12240" w:h="15840" w:code="1"/>
          <w:pgMar w:top="1440" w:right="1440" w:bottom="1440" w:left="1440" w:header="720" w:footer="720" w:gutter="0"/>
          <w:cols w:space="720"/>
          <w:titlePg/>
          <w:docGrid w:linePitch="360"/>
        </w:sectPr>
      </w:pPr>
    </w:p>
    <w:p w:rsidR="00F931A4" w:rsidRPr="00990D3B" w:rsidP="00BD1FC3" w14:paraId="4D15FCCB" w14:textId="77777777">
      <w:pPr>
        <w:pStyle w:val="EQRMarkforExhibitWORKSHEET"/>
      </w:pPr>
      <w:bookmarkStart w:id="298" w:name="WSp2n4"/>
      <w:bookmarkStart w:id="299" w:name="_Toc125619148"/>
      <w:bookmarkStart w:id="300" w:name="_Toc201751497"/>
      <w:bookmarkEnd w:id="298"/>
      <w:r w:rsidRPr="00990D3B">
        <w:t>Worksheet 2.4. Potential Documents and Processes for Review</w:t>
      </w:r>
      <w:bookmarkEnd w:id="299"/>
      <w:bookmarkEnd w:id="300"/>
      <w:r w:rsidRPr="00990D3B">
        <w:t xml:space="preserve"> </w:t>
      </w:r>
    </w:p>
    <w:p w:rsidR="00F931A4" w:rsidRPr="00990D3B" w:rsidP="00BD1FC3" w14:paraId="5F8FD52E" w14:textId="78A2D7A4">
      <w:pPr>
        <w:pStyle w:val="EQRNormalSSWORKSHEET"/>
      </w:pPr>
      <w:r w:rsidRPr="00990D3B">
        <w:rPr>
          <w:b/>
        </w:rPr>
        <w:t>Instructions.</w:t>
      </w:r>
      <w:r w:rsidRPr="00990D3B">
        <w:t xml:space="preserve"> </w:t>
      </w:r>
      <w:r w:rsidRPr="00990D3B" w:rsidR="001E1533">
        <w:t xml:space="preserve">This </w:t>
      </w:r>
      <w:r w:rsidRPr="00990D3B">
        <w:t>worksheet provides a checklist of documents, data, and procedures the MCP should make available before or during the site visit</w:t>
      </w:r>
      <w:r w:rsidRPr="00990D3B" w:rsidR="00E76E06">
        <w:t>, a</w:t>
      </w:r>
      <w:r w:rsidRPr="00990D3B">
        <w:t xml:space="preserve">s described in </w:t>
      </w:r>
      <w:hyperlink w:anchor="P2A1Step5" w:tooltip="Activity 1, Step 5" w:history="1">
        <w:r w:rsidRPr="00990D3B">
          <w:rPr>
            <w:rStyle w:val="Hyperlink"/>
          </w:rPr>
          <w:t>Activity 1, Step 5</w:t>
        </w:r>
      </w:hyperlink>
      <w:r w:rsidRPr="00990D3B">
        <w:t xml:space="preserve">. Record any questions or concerns raised by the review of documents and/or processes, and any specific checks or tests to conduct or have demonstrated during the site visit. The EQRO can use its discretion in selecting which ones to review. </w:t>
      </w:r>
    </w:p>
    <w:p w:rsidR="00F931A4" w:rsidRPr="00990D3B" w:rsidP="00BD1FC3" w14:paraId="2BF232F5" w14:textId="77777777">
      <w:pPr>
        <w:pStyle w:val="EQRNormalSSWORKSHEET"/>
      </w:pPr>
      <w:r w:rsidRPr="00990D3B">
        <w:t xml:space="preserve">For example: </w:t>
      </w:r>
    </w:p>
    <w:p w:rsidR="00F931A4" w:rsidRPr="00990D3B" w:rsidP="00A45992" w14:paraId="0599B467" w14:textId="34893D72">
      <w:pPr>
        <w:pStyle w:val="EQRNormalSSWSbullet"/>
      </w:pPr>
      <w:r w:rsidRPr="00990D3B">
        <w:t xml:space="preserve">Compare samples of data in the repository to transaction files. Are any </w:t>
      </w:r>
      <w:r w:rsidRPr="00990D3B" w:rsidR="00727834">
        <w:t>enrollees</w:t>
      </w:r>
      <w:r w:rsidRPr="00990D3B">
        <w:t>, providers, or services lost in the process?</w:t>
      </w:r>
    </w:p>
    <w:p w:rsidR="00F931A4" w:rsidRPr="00990D3B" w:rsidP="00A45992" w14:paraId="74AA8D42" w14:textId="77777777">
      <w:pPr>
        <w:pStyle w:val="EQRNormalSSWSbullet"/>
      </w:pPr>
      <w:r w:rsidRPr="00990D3B">
        <w:t>Is the required level of coding detail maintained (e.g., all significant digits, primary and secondary diagnoses remain)?</w:t>
      </w:r>
    </w:p>
    <w:p w:rsidR="00F931A4" w:rsidRPr="00990D3B" w:rsidP="00A45992" w14:paraId="4DFA25DF" w14:textId="52F8C47A">
      <w:pPr>
        <w:pStyle w:val="EQRNormalSSWSbullet"/>
      </w:pPr>
      <w:r w:rsidRPr="00990D3B">
        <w:t>If the MCP uses a performance measure repository, review the repository structure. Does it contain all the key information necessary for performance measure reporting?</w:t>
      </w:r>
    </w:p>
    <w:p w:rsidR="00F931A4" w:rsidRPr="00990D3B" w:rsidP="00A45992" w14:paraId="108BB076" w14:textId="77777777">
      <w:pPr>
        <w:pStyle w:val="EQRNormalSSWSbullet"/>
      </w:pPr>
      <w:r w:rsidRPr="00990D3B">
        <w:t>How does the MCP test the process used to create the performance measure reports?</w:t>
      </w:r>
    </w:p>
    <w:p w:rsidR="00F931A4" w:rsidRPr="00990D3B" w:rsidP="00A45992" w14:paraId="59FD472D" w14:textId="77777777">
      <w:pPr>
        <w:pStyle w:val="EQRNormalSSWSbullet"/>
      </w:pPr>
      <w:r w:rsidRPr="00990D3B">
        <w:t>Does the MCP use any algorithms to check the reasonableness of data integrated to report the MCP-level performance measures?</w:t>
      </w:r>
    </w:p>
    <w:p w:rsidR="00F931A4" w:rsidRPr="00990D3B" w:rsidP="00A45992" w14:paraId="64A07EE9" w14:textId="77777777">
      <w:pPr>
        <w:pStyle w:val="EQRNormalSSWSbullet"/>
      </w:pPr>
      <w:r w:rsidRPr="00990D3B">
        <w:t>Examine report</w:t>
      </w:r>
      <w:r w:rsidRPr="00990D3B">
        <w:t xml:space="preserve"> production logs and run controls. Is there adequate documentation of the performance measure report generation process? How are report generation programs documented? Is there version control in place?</w:t>
      </w:r>
    </w:p>
    <w:p w:rsidR="006C592C" w:rsidRPr="00990D3B" w:rsidP="00A45992" w14:paraId="662F6AD0" w14:textId="5035025D">
      <w:pPr>
        <w:pStyle w:val="EQRNormalSSWORKSHEET"/>
      </w:pPr>
      <w:r w:rsidRPr="00990D3B">
        <w:t>Acronyms: CHIP = Children’s Health Insurance Program; EQRO = External Quality Review Organization; MCP= Managed Care Plan.</w:t>
      </w:r>
    </w:p>
    <w:tbl>
      <w:tblPr>
        <w:tblStyle w:val="TableGrid"/>
        <w:tblW w:w="5000" w:type="pct"/>
        <w:tblLook w:val="04A0"/>
      </w:tblPr>
      <w:tblGrid>
        <w:gridCol w:w="8635"/>
        <w:gridCol w:w="1543"/>
        <w:gridCol w:w="2772"/>
      </w:tblGrid>
      <w:tr w14:paraId="61A7BF48" w14:textId="77777777" w:rsidTr="000E2BCC">
        <w:tblPrEx>
          <w:tblW w:w="5000" w:type="pct"/>
          <w:tblLook w:val="04A0"/>
        </w:tblPrEx>
        <w:trPr>
          <w:cantSplit/>
          <w:tblHeader/>
        </w:trPr>
        <w:tc>
          <w:tcPr>
            <w:tcW w:w="8635" w:type="dxa"/>
            <w:shd w:val="clear" w:color="auto" w:fill="FFFFFF" w:themeFill="background1"/>
            <w:vAlign w:val="bottom"/>
          </w:tcPr>
          <w:p w:rsidR="00F931A4" w:rsidRPr="00990D3B" w:rsidP="00E90D8C" w14:paraId="7C318A41" w14:textId="4AFC4F11">
            <w:pPr>
              <w:pStyle w:val="EQRTableHeaderLeft"/>
              <w:rPr>
                <w:color w:val="auto"/>
              </w:rPr>
            </w:pPr>
            <w:r w:rsidRPr="00990D3B">
              <w:rPr>
                <w:color w:val="auto"/>
              </w:rPr>
              <w:t xml:space="preserve">Checklist of </w:t>
            </w:r>
            <w:r w:rsidRPr="00990D3B" w:rsidR="00FF3472">
              <w:rPr>
                <w:color w:val="auto"/>
              </w:rPr>
              <w:t>d</w:t>
            </w:r>
            <w:r w:rsidRPr="00990D3B">
              <w:rPr>
                <w:color w:val="auto"/>
              </w:rPr>
              <w:t xml:space="preserve">ocuments and </w:t>
            </w:r>
            <w:r w:rsidRPr="00990D3B" w:rsidR="00FF3472">
              <w:rPr>
                <w:color w:val="auto"/>
              </w:rPr>
              <w:t>p</w:t>
            </w:r>
            <w:r w:rsidRPr="00990D3B">
              <w:rPr>
                <w:color w:val="auto"/>
              </w:rPr>
              <w:t xml:space="preserve">rocesses for </w:t>
            </w:r>
            <w:r w:rsidRPr="00990D3B" w:rsidR="00FF3472">
              <w:rPr>
                <w:color w:val="auto"/>
              </w:rPr>
              <w:t>r</w:t>
            </w:r>
            <w:r w:rsidRPr="00990D3B">
              <w:rPr>
                <w:color w:val="auto"/>
              </w:rPr>
              <w:t>eview</w:t>
            </w:r>
          </w:p>
        </w:tc>
        <w:tc>
          <w:tcPr>
            <w:tcW w:w="1543" w:type="dxa"/>
            <w:shd w:val="clear" w:color="auto" w:fill="FFFFFF" w:themeFill="background1"/>
            <w:vAlign w:val="bottom"/>
          </w:tcPr>
          <w:p w:rsidR="00F931A4" w:rsidRPr="00990D3B" w:rsidP="00E90D8C" w14:paraId="1391E91C" w14:textId="27E5FACB">
            <w:pPr>
              <w:pStyle w:val="EQRTableHeaderCenter"/>
              <w:rPr>
                <w:color w:val="auto"/>
              </w:rPr>
            </w:pPr>
            <w:r w:rsidRPr="00990D3B">
              <w:rPr>
                <w:color w:val="auto"/>
              </w:rPr>
              <w:t xml:space="preserve">Reviewed? </w:t>
            </w:r>
            <w:r w:rsidRPr="00990D3B" w:rsidR="00FF3472">
              <w:rPr>
                <w:color w:val="auto"/>
              </w:rPr>
              <w:t>(</w:t>
            </w:r>
            <w:r w:rsidRPr="00990D3B">
              <w:rPr>
                <w:color w:val="auto"/>
              </w:rPr>
              <w:t>Y/N</w:t>
            </w:r>
            <w:r w:rsidRPr="00990D3B" w:rsidR="00FF3472">
              <w:rPr>
                <w:color w:val="auto"/>
              </w:rPr>
              <w:t>)</w:t>
            </w:r>
          </w:p>
        </w:tc>
        <w:tc>
          <w:tcPr>
            <w:tcW w:w="2772" w:type="dxa"/>
            <w:shd w:val="clear" w:color="auto" w:fill="FFFFFF" w:themeFill="background1"/>
            <w:vAlign w:val="bottom"/>
          </w:tcPr>
          <w:p w:rsidR="00F931A4" w:rsidRPr="00990D3B" w:rsidP="00E90D8C" w14:paraId="5FA896A2" w14:textId="4D49F1E7">
            <w:pPr>
              <w:pStyle w:val="EQRTableHeaderCenter"/>
              <w:rPr>
                <w:color w:val="auto"/>
              </w:rPr>
            </w:pPr>
            <w:r w:rsidRPr="00990D3B">
              <w:rPr>
                <w:color w:val="auto"/>
              </w:rPr>
              <w:t xml:space="preserve">Comments </w:t>
            </w:r>
          </w:p>
        </w:tc>
      </w:tr>
      <w:tr w14:paraId="54F409CA" w14:textId="77777777" w:rsidTr="000E2BCC">
        <w:tblPrEx>
          <w:tblW w:w="5000" w:type="pct"/>
          <w:tblLook w:val="04A0"/>
        </w:tblPrEx>
        <w:trPr>
          <w:cantSplit/>
        </w:trPr>
        <w:tc>
          <w:tcPr>
            <w:tcW w:w="8635" w:type="dxa"/>
            <w:shd w:val="clear" w:color="auto" w:fill="D9D9D9" w:themeFill="background1" w:themeFillShade="D9"/>
          </w:tcPr>
          <w:p w:rsidR="00F931A4" w:rsidRPr="00990D3B" w:rsidP="00BD1FC3" w14:paraId="7B6225B6" w14:textId="60A7CCED">
            <w:pPr>
              <w:pStyle w:val="EQRTableText"/>
              <w:rPr>
                <w:b/>
                <w:bCs/>
              </w:rPr>
            </w:pPr>
            <w:r w:rsidRPr="00990D3B">
              <w:rPr>
                <w:b/>
                <w:bCs/>
              </w:rPr>
              <w:t>Data integration and control</w:t>
            </w:r>
          </w:p>
        </w:tc>
        <w:tc>
          <w:tcPr>
            <w:tcW w:w="1543" w:type="dxa"/>
            <w:shd w:val="clear" w:color="auto" w:fill="D9D9D9" w:themeFill="background1" w:themeFillShade="D9"/>
          </w:tcPr>
          <w:p w:rsidR="00F931A4" w:rsidRPr="00990D3B" w:rsidP="00BD1FC3" w14:paraId="7F4DC148" w14:textId="77777777">
            <w:pPr>
              <w:pStyle w:val="EQRTableText"/>
              <w:rPr>
                <w:b/>
                <w:bCs/>
              </w:rPr>
            </w:pPr>
            <w:r w:rsidRPr="00990D3B">
              <w:rPr>
                <w:b/>
                <w:bCs/>
              </w:rPr>
              <w:t> </w:t>
            </w:r>
          </w:p>
        </w:tc>
        <w:tc>
          <w:tcPr>
            <w:tcW w:w="2772" w:type="dxa"/>
            <w:shd w:val="clear" w:color="auto" w:fill="D9D9D9" w:themeFill="background1" w:themeFillShade="D9"/>
          </w:tcPr>
          <w:p w:rsidR="00F931A4" w:rsidRPr="00990D3B" w:rsidP="00BD1FC3" w14:paraId="64FCE542" w14:textId="77777777">
            <w:pPr>
              <w:pStyle w:val="EQRTableText"/>
              <w:rPr>
                <w:b/>
                <w:bCs/>
              </w:rPr>
            </w:pPr>
            <w:r w:rsidRPr="00990D3B">
              <w:rPr>
                <w:b/>
                <w:bCs/>
              </w:rPr>
              <w:t> </w:t>
            </w:r>
          </w:p>
        </w:tc>
      </w:tr>
      <w:tr w14:paraId="4D5F3B2A" w14:textId="77777777" w:rsidTr="000E2BCC">
        <w:tblPrEx>
          <w:tblW w:w="5000" w:type="pct"/>
          <w:tblLook w:val="04A0"/>
        </w:tblPrEx>
        <w:trPr>
          <w:cantSplit/>
        </w:trPr>
        <w:tc>
          <w:tcPr>
            <w:tcW w:w="8635" w:type="dxa"/>
          </w:tcPr>
          <w:p w:rsidR="00F931A4" w:rsidRPr="00990D3B" w:rsidP="00BD1FC3" w14:paraId="31286B0B" w14:textId="77777777">
            <w:pPr>
              <w:pStyle w:val="EQRTableText"/>
            </w:pPr>
            <w:r w:rsidRPr="00990D3B">
              <w:t>Procedures and standards for all aspects of the data repositories used in producing performance measures, including building, maintaining, managing, and testing performance measures</w:t>
            </w:r>
          </w:p>
        </w:tc>
        <w:tc>
          <w:tcPr>
            <w:tcW w:w="1543" w:type="dxa"/>
          </w:tcPr>
          <w:p w:rsidR="00F931A4" w:rsidRPr="00990D3B" w:rsidP="00BD1FC3" w14:paraId="769F449B" w14:textId="77777777">
            <w:pPr>
              <w:pStyle w:val="EQRTableText"/>
            </w:pPr>
            <w:r w:rsidRPr="00990D3B">
              <w:t> </w:t>
            </w:r>
          </w:p>
        </w:tc>
        <w:tc>
          <w:tcPr>
            <w:tcW w:w="2772" w:type="dxa"/>
          </w:tcPr>
          <w:p w:rsidR="00F931A4" w:rsidRPr="00990D3B" w:rsidP="00BD1FC3" w14:paraId="5717F6AD" w14:textId="77777777">
            <w:pPr>
              <w:pStyle w:val="EQRTableText"/>
            </w:pPr>
            <w:r w:rsidRPr="00990D3B">
              <w:t> </w:t>
            </w:r>
          </w:p>
        </w:tc>
      </w:tr>
      <w:tr w14:paraId="45407516" w14:textId="77777777" w:rsidTr="000E2BCC">
        <w:tblPrEx>
          <w:tblW w:w="5000" w:type="pct"/>
          <w:tblLook w:val="04A0"/>
        </w:tblPrEx>
        <w:trPr>
          <w:cantSplit/>
        </w:trPr>
        <w:tc>
          <w:tcPr>
            <w:tcW w:w="8635" w:type="dxa"/>
          </w:tcPr>
          <w:p w:rsidR="00F931A4" w:rsidRPr="00990D3B" w:rsidP="00BD1FC3" w14:paraId="596D9ECF" w14:textId="77777777">
            <w:pPr>
              <w:pStyle w:val="EQRTableText"/>
            </w:pPr>
            <w:r w:rsidRPr="00990D3B">
              <w:t>Manuals that include application system development methodology, database development, and design and decision support system utilization</w:t>
            </w:r>
          </w:p>
        </w:tc>
        <w:tc>
          <w:tcPr>
            <w:tcW w:w="1543" w:type="dxa"/>
          </w:tcPr>
          <w:p w:rsidR="00F931A4" w:rsidRPr="00990D3B" w:rsidP="00BD1FC3" w14:paraId="5D726242" w14:textId="77777777">
            <w:pPr>
              <w:pStyle w:val="EQRTableText"/>
            </w:pPr>
            <w:r w:rsidRPr="00990D3B">
              <w:t> </w:t>
            </w:r>
          </w:p>
        </w:tc>
        <w:tc>
          <w:tcPr>
            <w:tcW w:w="2772" w:type="dxa"/>
          </w:tcPr>
          <w:p w:rsidR="00F931A4" w:rsidRPr="00990D3B" w:rsidP="00BD1FC3" w14:paraId="08306FDF" w14:textId="77777777">
            <w:pPr>
              <w:pStyle w:val="EQRTableText"/>
            </w:pPr>
            <w:r w:rsidRPr="00990D3B">
              <w:t> </w:t>
            </w:r>
          </w:p>
        </w:tc>
      </w:tr>
      <w:tr w14:paraId="7BE2A275" w14:textId="77777777" w:rsidTr="000E2BCC">
        <w:tblPrEx>
          <w:tblW w:w="5000" w:type="pct"/>
          <w:tblLook w:val="04A0"/>
        </w:tblPrEx>
        <w:trPr>
          <w:cantSplit/>
        </w:trPr>
        <w:tc>
          <w:tcPr>
            <w:tcW w:w="8635" w:type="dxa"/>
          </w:tcPr>
          <w:p w:rsidR="00F931A4" w:rsidRPr="00990D3B" w:rsidP="00BD1FC3" w14:paraId="54D893E0" w14:textId="77777777">
            <w:pPr>
              <w:pStyle w:val="EQRTableText"/>
            </w:pPr>
            <w:r w:rsidRPr="00990D3B">
              <w:t>System documentation including flow charts and codes for backups, recovery, archiving, and other control functions</w:t>
            </w:r>
          </w:p>
        </w:tc>
        <w:tc>
          <w:tcPr>
            <w:tcW w:w="1543" w:type="dxa"/>
          </w:tcPr>
          <w:p w:rsidR="00F931A4" w:rsidRPr="00990D3B" w:rsidP="00BD1FC3" w14:paraId="13ADCBC6" w14:textId="77777777">
            <w:pPr>
              <w:pStyle w:val="EQRTableText"/>
            </w:pPr>
            <w:r w:rsidRPr="00990D3B">
              <w:t> </w:t>
            </w:r>
          </w:p>
        </w:tc>
        <w:tc>
          <w:tcPr>
            <w:tcW w:w="2772" w:type="dxa"/>
          </w:tcPr>
          <w:p w:rsidR="00F931A4" w:rsidRPr="00990D3B" w:rsidP="00BD1FC3" w14:paraId="0D6F24C7" w14:textId="77777777">
            <w:pPr>
              <w:pStyle w:val="EQRTableText"/>
            </w:pPr>
            <w:r w:rsidRPr="00990D3B">
              <w:t> </w:t>
            </w:r>
          </w:p>
        </w:tc>
      </w:tr>
      <w:tr w14:paraId="60C08643" w14:textId="77777777" w:rsidTr="000E2BCC">
        <w:tblPrEx>
          <w:tblW w:w="5000" w:type="pct"/>
          <w:tblLook w:val="04A0"/>
        </w:tblPrEx>
        <w:trPr>
          <w:cantSplit/>
        </w:trPr>
        <w:tc>
          <w:tcPr>
            <w:tcW w:w="8635" w:type="dxa"/>
          </w:tcPr>
          <w:p w:rsidR="00F931A4" w:rsidRPr="00990D3B" w:rsidP="00BD1FC3" w14:paraId="407F5D3D" w14:textId="77777777">
            <w:pPr>
              <w:pStyle w:val="EQRTableText"/>
            </w:pPr>
            <w:r w:rsidRPr="00990D3B">
              <w:t>Procedures to consolidate information from disparate transaction files</w:t>
            </w:r>
          </w:p>
        </w:tc>
        <w:tc>
          <w:tcPr>
            <w:tcW w:w="1543" w:type="dxa"/>
          </w:tcPr>
          <w:p w:rsidR="00F931A4" w:rsidRPr="00990D3B" w:rsidP="00BD1FC3" w14:paraId="7128B504" w14:textId="77777777">
            <w:pPr>
              <w:pStyle w:val="EQRTableText"/>
            </w:pPr>
            <w:r w:rsidRPr="00990D3B">
              <w:t> </w:t>
            </w:r>
          </w:p>
        </w:tc>
        <w:tc>
          <w:tcPr>
            <w:tcW w:w="2772" w:type="dxa"/>
          </w:tcPr>
          <w:p w:rsidR="00F931A4" w:rsidRPr="00990D3B" w:rsidP="00BD1FC3" w14:paraId="41B53BB6" w14:textId="77777777">
            <w:pPr>
              <w:pStyle w:val="EQRTableText"/>
            </w:pPr>
            <w:r w:rsidRPr="00990D3B">
              <w:t> </w:t>
            </w:r>
          </w:p>
        </w:tc>
      </w:tr>
      <w:tr w14:paraId="674C00E9" w14:textId="77777777" w:rsidTr="000E2BCC">
        <w:tblPrEx>
          <w:tblW w:w="5000" w:type="pct"/>
          <w:tblLook w:val="04A0"/>
        </w:tblPrEx>
        <w:trPr>
          <w:cantSplit/>
        </w:trPr>
        <w:tc>
          <w:tcPr>
            <w:tcW w:w="8635" w:type="dxa"/>
          </w:tcPr>
          <w:p w:rsidR="00F931A4" w:rsidRPr="00990D3B" w:rsidP="00BD1FC3" w14:paraId="54EBADAD" w14:textId="77777777">
            <w:pPr>
              <w:pStyle w:val="EQRTableText"/>
            </w:pPr>
            <w:r w:rsidRPr="00990D3B">
              <w:t>Record and file formats and descriptions, for entry, intermediate, and repository files</w:t>
            </w:r>
          </w:p>
        </w:tc>
        <w:tc>
          <w:tcPr>
            <w:tcW w:w="1543" w:type="dxa"/>
          </w:tcPr>
          <w:p w:rsidR="00F931A4" w:rsidRPr="00990D3B" w:rsidP="00BD1FC3" w14:paraId="7072B0EB" w14:textId="77777777">
            <w:pPr>
              <w:pStyle w:val="EQRTableText"/>
            </w:pPr>
            <w:r w:rsidRPr="00990D3B">
              <w:t> </w:t>
            </w:r>
          </w:p>
        </w:tc>
        <w:tc>
          <w:tcPr>
            <w:tcW w:w="2772" w:type="dxa"/>
          </w:tcPr>
          <w:p w:rsidR="00F931A4" w:rsidRPr="00990D3B" w:rsidP="00BD1FC3" w14:paraId="7AFA16DC" w14:textId="77777777">
            <w:pPr>
              <w:pStyle w:val="EQRTableText"/>
            </w:pPr>
            <w:r w:rsidRPr="00990D3B">
              <w:t> </w:t>
            </w:r>
          </w:p>
        </w:tc>
      </w:tr>
      <w:tr w14:paraId="1724942A" w14:textId="77777777" w:rsidTr="000E2BCC">
        <w:tblPrEx>
          <w:tblW w:w="5000" w:type="pct"/>
          <w:tblLook w:val="04A0"/>
        </w:tblPrEx>
        <w:trPr>
          <w:cantSplit/>
        </w:trPr>
        <w:tc>
          <w:tcPr>
            <w:tcW w:w="8635" w:type="dxa"/>
          </w:tcPr>
          <w:p w:rsidR="00F931A4" w:rsidRPr="00990D3B" w:rsidP="00BD1FC3" w14:paraId="69CBE8BF" w14:textId="77777777">
            <w:pPr>
              <w:pStyle w:val="EQRTableText"/>
            </w:pPr>
            <w:r w:rsidRPr="00990D3B">
              <w:t>Electronic formats and protocols</w:t>
            </w:r>
          </w:p>
        </w:tc>
        <w:tc>
          <w:tcPr>
            <w:tcW w:w="1543" w:type="dxa"/>
          </w:tcPr>
          <w:p w:rsidR="00F931A4" w:rsidRPr="00990D3B" w:rsidP="00BD1FC3" w14:paraId="4EACDC20" w14:textId="77777777">
            <w:pPr>
              <w:pStyle w:val="EQRTableText"/>
            </w:pPr>
            <w:r w:rsidRPr="00990D3B">
              <w:t> </w:t>
            </w:r>
          </w:p>
        </w:tc>
        <w:tc>
          <w:tcPr>
            <w:tcW w:w="2772" w:type="dxa"/>
          </w:tcPr>
          <w:p w:rsidR="00F931A4" w:rsidRPr="00990D3B" w:rsidP="00BD1FC3" w14:paraId="58859150" w14:textId="77777777">
            <w:pPr>
              <w:pStyle w:val="EQRTableText"/>
            </w:pPr>
            <w:r w:rsidRPr="00990D3B">
              <w:t> </w:t>
            </w:r>
          </w:p>
        </w:tc>
      </w:tr>
      <w:tr w14:paraId="6CF23E19" w14:textId="77777777" w:rsidTr="000E2BCC">
        <w:tblPrEx>
          <w:tblW w:w="5000" w:type="pct"/>
          <w:tblLook w:val="04A0"/>
        </w:tblPrEx>
        <w:trPr>
          <w:cantSplit/>
        </w:trPr>
        <w:tc>
          <w:tcPr>
            <w:tcW w:w="8635" w:type="dxa"/>
          </w:tcPr>
          <w:p w:rsidR="00F931A4" w:rsidRPr="00990D3B" w:rsidP="00BD1FC3" w14:paraId="7154CA86" w14:textId="77777777">
            <w:pPr>
              <w:pStyle w:val="EQRTableText"/>
            </w:pPr>
            <w:r w:rsidRPr="00990D3B">
              <w:t>Electronic transmission procedures documentation</w:t>
            </w:r>
          </w:p>
        </w:tc>
        <w:tc>
          <w:tcPr>
            <w:tcW w:w="1543" w:type="dxa"/>
          </w:tcPr>
          <w:p w:rsidR="00F931A4" w:rsidRPr="00990D3B" w:rsidP="00BD1FC3" w14:paraId="5CEA6A84" w14:textId="77777777">
            <w:pPr>
              <w:pStyle w:val="EQRTableText"/>
            </w:pPr>
            <w:r w:rsidRPr="00990D3B">
              <w:t> </w:t>
            </w:r>
          </w:p>
        </w:tc>
        <w:tc>
          <w:tcPr>
            <w:tcW w:w="2772" w:type="dxa"/>
          </w:tcPr>
          <w:p w:rsidR="00F931A4" w:rsidRPr="00990D3B" w:rsidP="00BD1FC3" w14:paraId="28054344" w14:textId="77777777">
            <w:pPr>
              <w:pStyle w:val="EQRTableText"/>
            </w:pPr>
            <w:r w:rsidRPr="00990D3B">
              <w:t> </w:t>
            </w:r>
          </w:p>
        </w:tc>
      </w:tr>
      <w:tr w14:paraId="456D5A89" w14:textId="77777777" w:rsidTr="000E2BCC">
        <w:tblPrEx>
          <w:tblW w:w="5000" w:type="pct"/>
          <w:tblLook w:val="04A0"/>
        </w:tblPrEx>
        <w:trPr>
          <w:cantSplit/>
        </w:trPr>
        <w:tc>
          <w:tcPr>
            <w:tcW w:w="8635" w:type="dxa"/>
          </w:tcPr>
          <w:p w:rsidR="00F931A4" w:rsidRPr="00990D3B" w:rsidP="00BD1FC3" w14:paraId="24454057" w14:textId="77777777">
            <w:pPr>
              <w:pStyle w:val="EQRTableText"/>
            </w:pPr>
            <w:r w:rsidRPr="00990D3B">
              <w:t>Processes to extract information from the repositories</w:t>
            </w:r>
          </w:p>
        </w:tc>
        <w:tc>
          <w:tcPr>
            <w:tcW w:w="1543" w:type="dxa"/>
          </w:tcPr>
          <w:p w:rsidR="00F931A4" w:rsidRPr="00990D3B" w:rsidP="00BD1FC3" w14:paraId="0FC21BCE" w14:textId="77777777">
            <w:pPr>
              <w:pStyle w:val="EQRTableText"/>
            </w:pPr>
            <w:r w:rsidRPr="00990D3B">
              <w:t> </w:t>
            </w:r>
          </w:p>
        </w:tc>
        <w:tc>
          <w:tcPr>
            <w:tcW w:w="2772" w:type="dxa"/>
          </w:tcPr>
          <w:p w:rsidR="00F931A4" w:rsidRPr="00990D3B" w:rsidP="00BD1FC3" w14:paraId="24B16B47" w14:textId="77777777">
            <w:pPr>
              <w:pStyle w:val="EQRTableText"/>
            </w:pPr>
            <w:r w:rsidRPr="00990D3B">
              <w:t> </w:t>
            </w:r>
          </w:p>
        </w:tc>
      </w:tr>
      <w:tr w14:paraId="2A8A8EA0" w14:textId="77777777" w:rsidTr="000E2BCC">
        <w:tblPrEx>
          <w:tblW w:w="5000" w:type="pct"/>
          <w:tblLook w:val="04A0"/>
        </w:tblPrEx>
        <w:trPr>
          <w:cantSplit/>
        </w:trPr>
        <w:tc>
          <w:tcPr>
            <w:tcW w:w="8635" w:type="dxa"/>
          </w:tcPr>
          <w:p w:rsidR="00F931A4" w:rsidRPr="00990D3B" w:rsidP="00BD1FC3" w14:paraId="0F370826" w14:textId="77777777">
            <w:pPr>
              <w:pStyle w:val="EQRTableText"/>
            </w:pPr>
            <w:r w:rsidRPr="00990D3B">
              <w:t>Source code data entry, data transfer, and data manipulation programs and processes</w:t>
            </w:r>
          </w:p>
        </w:tc>
        <w:tc>
          <w:tcPr>
            <w:tcW w:w="1543" w:type="dxa"/>
          </w:tcPr>
          <w:p w:rsidR="00F931A4" w:rsidRPr="00990D3B" w:rsidP="00BD1FC3" w14:paraId="4D404D21" w14:textId="77777777">
            <w:pPr>
              <w:pStyle w:val="EQRTableText"/>
            </w:pPr>
            <w:r w:rsidRPr="00990D3B">
              <w:t> </w:t>
            </w:r>
          </w:p>
        </w:tc>
        <w:tc>
          <w:tcPr>
            <w:tcW w:w="2772" w:type="dxa"/>
          </w:tcPr>
          <w:p w:rsidR="00F931A4" w:rsidRPr="00990D3B" w:rsidP="00BD1FC3" w14:paraId="36DBD516" w14:textId="77777777">
            <w:pPr>
              <w:pStyle w:val="EQRTableText"/>
            </w:pPr>
            <w:r w:rsidRPr="00990D3B">
              <w:t> </w:t>
            </w:r>
          </w:p>
        </w:tc>
      </w:tr>
      <w:tr w14:paraId="062393F9" w14:textId="77777777" w:rsidTr="000E2BCC">
        <w:tblPrEx>
          <w:tblW w:w="5000" w:type="pct"/>
          <w:tblLook w:val="04A0"/>
        </w:tblPrEx>
        <w:trPr>
          <w:cantSplit/>
        </w:trPr>
        <w:tc>
          <w:tcPr>
            <w:tcW w:w="8635" w:type="dxa"/>
          </w:tcPr>
          <w:p w:rsidR="00F931A4" w:rsidRPr="00990D3B" w:rsidP="00BD1FC3" w14:paraId="208E5D9A" w14:textId="77777777">
            <w:pPr>
              <w:pStyle w:val="EQRTableText"/>
            </w:pPr>
            <w:r w:rsidRPr="00990D3B">
              <w:t>Descriptive documentation for data entry, transfer, and manipulation programs and processes</w:t>
            </w:r>
          </w:p>
        </w:tc>
        <w:tc>
          <w:tcPr>
            <w:tcW w:w="1543" w:type="dxa"/>
          </w:tcPr>
          <w:p w:rsidR="00F931A4" w:rsidRPr="00990D3B" w:rsidP="00BD1FC3" w14:paraId="10A9AFBF" w14:textId="77777777">
            <w:pPr>
              <w:pStyle w:val="EQRTableText"/>
            </w:pPr>
            <w:r w:rsidRPr="00990D3B">
              <w:t> </w:t>
            </w:r>
          </w:p>
        </w:tc>
        <w:tc>
          <w:tcPr>
            <w:tcW w:w="2772" w:type="dxa"/>
          </w:tcPr>
          <w:p w:rsidR="00F931A4" w:rsidRPr="00990D3B" w:rsidP="00BD1FC3" w14:paraId="58C7DAD9" w14:textId="77777777">
            <w:pPr>
              <w:pStyle w:val="EQRTableText"/>
            </w:pPr>
            <w:r w:rsidRPr="00990D3B">
              <w:t> </w:t>
            </w:r>
          </w:p>
        </w:tc>
      </w:tr>
      <w:tr w14:paraId="21B7A35C" w14:textId="77777777" w:rsidTr="000E2BCC">
        <w:tblPrEx>
          <w:tblW w:w="5000" w:type="pct"/>
          <w:tblLook w:val="04A0"/>
        </w:tblPrEx>
        <w:trPr>
          <w:cantSplit/>
        </w:trPr>
        <w:tc>
          <w:tcPr>
            <w:tcW w:w="8635" w:type="dxa"/>
          </w:tcPr>
          <w:p w:rsidR="00F931A4" w:rsidRPr="00990D3B" w:rsidP="00BD1FC3" w14:paraId="1DF06278" w14:textId="77777777">
            <w:pPr>
              <w:pStyle w:val="EQRTableText"/>
            </w:pPr>
            <w:r w:rsidRPr="00990D3B">
              <w:t>If applicable, procedures for coordinating vendor activities to safeguard the integrity of the performance measurement data</w:t>
            </w:r>
          </w:p>
        </w:tc>
        <w:tc>
          <w:tcPr>
            <w:tcW w:w="1543" w:type="dxa"/>
          </w:tcPr>
          <w:p w:rsidR="00F931A4" w:rsidRPr="00990D3B" w:rsidP="00BD1FC3" w14:paraId="29FE531D" w14:textId="77777777">
            <w:pPr>
              <w:pStyle w:val="EQRTableText"/>
            </w:pPr>
            <w:r w:rsidRPr="00990D3B">
              <w:t> </w:t>
            </w:r>
          </w:p>
        </w:tc>
        <w:tc>
          <w:tcPr>
            <w:tcW w:w="2772" w:type="dxa"/>
          </w:tcPr>
          <w:p w:rsidR="00F931A4" w:rsidRPr="00990D3B" w:rsidP="00BD1FC3" w14:paraId="1CC737E2" w14:textId="77777777">
            <w:pPr>
              <w:pStyle w:val="EQRTableText"/>
            </w:pPr>
            <w:r w:rsidRPr="00990D3B">
              <w:t> </w:t>
            </w:r>
          </w:p>
        </w:tc>
      </w:tr>
      <w:tr w14:paraId="1C3D5FB4" w14:textId="77777777" w:rsidTr="000E2BCC">
        <w:tblPrEx>
          <w:tblW w:w="5000" w:type="pct"/>
          <w:tblLook w:val="04A0"/>
        </w:tblPrEx>
        <w:trPr>
          <w:cantSplit/>
        </w:trPr>
        <w:tc>
          <w:tcPr>
            <w:tcW w:w="8635" w:type="dxa"/>
          </w:tcPr>
          <w:p w:rsidR="00F931A4" w:rsidRPr="00990D3B" w:rsidP="00BD1FC3" w14:paraId="1D02B420" w14:textId="77777777">
            <w:pPr>
              <w:pStyle w:val="EQRTableText"/>
            </w:pPr>
            <w:r w:rsidRPr="00990D3B">
              <w:t>Samples of data from repository and transaction files to assess accuracy and completeness of the transfer process</w:t>
            </w:r>
          </w:p>
        </w:tc>
        <w:tc>
          <w:tcPr>
            <w:tcW w:w="1543" w:type="dxa"/>
          </w:tcPr>
          <w:p w:rsidR="00F931A4" w:rsidRPr="00990D3B" w:rsidP="00BD1FC3" w14:paraId="0BC4EFD8" w14:textId="77777777">
            <w:pPr>
              <w:pStyle w:val="EQRTableText"/>
            </w:pPr>
            <w:r w:rsidRPr="00990D3B">
              <w:t> </w:t>
            </w:r>
          </w:p>
        </w:tc>
        <w:tc>
          <w:tcPr>
            <w:tcW w:w="2772" w:type="dxa"/>
          </w:tcPr>
          <w:p w:rsidR="00F931A4" w:rsidRPr="00990D3B" w:rsidP="00BD1FC3" w14:paraId="1D31D822" w14:textId="77777777">
            <w:pPr>
              <w:pStyle w:val="EQRTableText"/>
            </w:pPr>
            <w:r w:rsidRPr="00990D3B">
              <w:t> </w:t>
            </w:r>
          </w:p>
        </w:tc>
      </w:tr>
      <w:tr w14:paraId="3ADECFEA" w14:textId="77777777" w:rsidTr="000E2BCC">
        <w:tblPrEx>
          <w:tblW w:w="5000" w:type="pct"/>
          <w:tblLook w:val="04A0"/>
        </w:tblPrEx>
        <w:trPr>
          <w:cantSplit/>
        </w:trPr>
        <w:tc>
          <w:tcPr>
            <w:tcW w:w="8635" w:type="dxa"/>
          </w:tcPr>
          <w:p w:rsidR="00F931A4" w:rsidRPr="00990D3B" w:rsidP="00BD1FC3" w14:paraId="798D3D93" w14:textId="77777777">
            <w:pPr>
              <w:pStyle w:val="EQRTableText"/>
            </w:pPr>
            <w:r w:rsidRPr="00990D3B">
              <w:t>Comparison of actual results from file consolidation and data abstracts to those which should have resulted according to documented algorithms</w:t>
            </w:r>
          </w:p>
        </w:tc>
        <w:tc>
          <w:tcPr>
            <w:tcW w:w="1543" w:type="dxa"/>
          </w:tcPr>
          <w:p w:rsidR="00F931A4" w:rsidRPr="00990D3B" w:rsidP="00BD1FC3" w14:paraId="3A8031A8" w14:textId="77777777">
            <w:pPr>
              <w:pStyle w:val="EQRTableText"/>
            </w:pPr>
            <w:r w:rsidRPr="00990D3B">
              <w:t> </w:t>
            </w:r>
          </w:p>
        </w:tc>
        <w:tc>
          <w:tcPr>
            <w:tcW w:w="2772" w:type="dxa"/>
          </w:tcPr>
          <w:p w:rsidR="00F931A4" w:rsidRPr="00990D3B" w:rsidP="00BD1FC3" w14:paraId="62FDBA3E" w14:textId="77777777">
            <w:pPr>
              <w:pStyle w:val="EQRTableText"/>
            </w:pPr>
            <w:r w:rsidRPr="00990D3B">
              <w:t> </w:t>
            </w:r>
          </w:p>
        </w:tc>
      </w:tr>
      <w:tr w14:paraId="51E57C73" w14:textId="77777777" w:rsidTr="000E2BCC">
        <w:tblPrEx>
          <w:tblW w:w="5000" w:type="pct"/>
          <w:tblLook w:val="04A0"/>
        </w:tblPrEx>
        <w:trPr>
          <w:cantSplit/>
        </w:trPr>
        <w:tc>
          <w:tcPr>
            <w:tcW w:w="8635" w:type="dxa"/>
          </w:tcPr>
          <w:p w:rsidR="00F931A4" w:rsidRPr="00990D3B" w:rsidP="00BD1FC3" w14:paraId="10DB135C" w14:textId="77777777">
            <w:pPr>
              <w:pStyle w:val="EQRTableText"/>
            </w:pPr>
            <w:r w:rsidRPr="00990D3B">
              <w:t>Documentation of data flow among vendors to assess the extent to which there was proper implementation of procedures to safeguard the integrity of the performance measure data</w:t>
            </w:r>
          </w:p>
        </w:tc>
        <w:tc>
          <w:tcPr>
            <w:tcW w:w="1543" w:type="dxa"/>
          </w:tcPr>
          <w:p w:rsidR="00F931A4" w:rsidRPr="00990D3B" w:rsidP="00BD1FC3" w14:paraId="3F82719C" w14:textId="77777777">
            <w:pPr>
              <w:pStyle w:val="EQRTableText"/>
            </w:pPr>
            <w:r w:rsidRPr="00990D3B">
              <w:t> </w:t>
            </w:r>
          </w:p>
        </w:tc>
        <w:tc>
          <w:tcPr>
            <w:tcW w:w="2772" w:type="dxa"/>
          </w:tcPr>
          <w:p w:rsidR="00F931A4" w:rsidRPr="00990D3B" w:rsidP="00BD1FC3" w14:paraId="0A4D4890" w14:textId="77777777">
            <w:pPr>
              <w:pStyle w:val="EQRTableText"/>
            </w:pPr>
            <w:r w:rsidRPr="00990D3B">
              <w:t> </w:t>
            </w:r>
          </w:p>
        </w:tc>
      </w:tr>
      <w:tr w14:paraId="7B12C5B6" w14:textId="77777777" w:rsidTr="000E2BCC">
        <w:tblPrEx>
          <w:tblW w:w="5000" w:type="pct"/>
          <w:tblLook w:val="04A0"/>
        </w:tblPrEx>
        <w:trPr>
          <w:cantSplit/>
        </w:trPr>
        <w:tc>
          <w:tcPr>
            <w:tcW w:w="8635" w:type="dxa"/>
          </w:tcPr>
          <w:p w:rsidR="00F931A4" w:rsidRPr="00990D3B" w:rsidP="00BD1FC3" w14:paraId="6BE43432" w14:textId="77777777">
            <w:pPr>
              <w:pStyle w:val="EQRTableText"/>
            </w:pPr>
            <w:r w:rsidRPr="00990D3B">
              <w:t>Documentation of data cut-off dates</w:t>
            </w:r>
          </w:p>
        </w:tc>
        <w:tc>
          <w:tcPr>
            <w:tcW w:w="1543" w:type="dxa"/>
          </w:tcPr>
          <w:p w:rsidR="00F931A4" w:rsidRPr="00990D3B" w:rsidP="00BD1FC3" w14:paraId="2CB35C00" w14:textId="77777777">
            <w:pPr>
              <w:pStyle w:val="EQRTableText"/>
            </w:pPr>
            <w:r w:rsidRPr="00990D3B">
              <w:t> </w:t>
            </w:r>
          </w:p>
        </w:tc>
        <w:tc>
          <w:tcPr>
            <w:tcW w:w="2772" w:type="dxa"/>
          </w:tcPr>
          <w:p w:rsidR="00F931A4" w:rsidRPr="00990D3B" w:rsidP="00BD1FC3" w14:paraId="77DD2CF6" w14:textId="77777777">
            <w:pPr>
              <w:pStyle w:val="EQRTableText"/>
            </w:pPr>
            <w:r w:rsidRPr="00990D3B">
              <w:t> </w:t>
            </w:r>
          </w:p>
        </w:tc>
      </w:tr>
      <w:tr w14:paraId="73E1C667" w14:textId="77777777" w:rsidTr="000E2BCC">
        <w:tblPrEx>
          <w:tblW w:w="5000" w:type="pct"/>
          <w:tblLook w:val="04A0"/>
        </w:tblPrEx>
        <w:trPr>
          <w:cantSplit/>
        </w:trPr>
        <w:tc>
          <w:tcPr>
            <w:tcW w:w="8635" w:type="dxa"/>
          </w:tcPr>
          <w:p w:rsidR="00F931A4" w:rsidRPr="00990D3B" w:rsidP="00BD1FC3" w14:paraId="1A37CA22" w14:textId="77777777">
            <w:pPr>
              <w:pStyle w:val="EQRTableText"/>
            </w:pPr>
            <w:r w:rsidRPr="00990D3B">
              <w:t>Documentation of proper run controls and of staff review of report runs</w:t>
            </w:r>
          </w:p>
        </w:tc>
        <w:tc>
          <w:tcPr>
            <w:tcW w:w="1543" w:type="dxa"/>
          </w:tcPr>
          <w:p w:rsidR="00F931A4" w:rsidRPr="00990D3B" w:rsidP="00BD1FC3" w14:paraId="69524D4C" w14:textId="77777777">
            <w:pPr>
              <w:pStyle w:val="EQRTableText"/>
            </w:pPr>
            <w:r w:rsidRPr="00990D3B">
              <w:t> </w:t>
            </w:r>
          </w:p>
        </w:tc>
        <w:tc>
          <w:tcPr>
            <w:tcW w:w="2772" w:type="dxa"/>
          </w:tcPr>
          <w:p w:rsidR="00F931A4" w:rsidRPr="00990D3B" w:rsidP="00BD1FC3" w14:paraId="156C3960" w14:textId="77777777">
            <w:pPr>
              <w:pStyle w:val="EQRTableText"/>
            </w:pPr>
            <w:r w:rsidRPr="00990D3B">
              <w:t> </w:t>
            </w:r>
          </w:p>
        </w:tc>
      </w:tr>
      <w:tr w14:paraId="674502D2" w14:textId="77777777" w:rsidTr="000E2BCC">
        <w:tblPrEx>
          <w:tblW w:w="5000" w:type="pct"/>
          <w:tblLook w:val="04A0"/>
        </w:tblPrEx>
        <w:trPr>
          <w:cantSplit/>
        </w:trPr>
        <w:tc>
          <w:tcPr>
            <w:tcW w:w="8635" w:type="dxa"/>
          </w:tcPr>
          <w:p w:rsidR="00F931A4" w:rsidRPr="00990D3B" w:rsidP="00BD1FC3" w14:paraId="378555E7" w14:textId="77777777">
            <w:pPr>
              <w:pStyle w:val="EQRTableText"/>
            </w:pPr>
            <w:r w:rsidRPr="00990D3B">
              <w:t>Copies of files and databases used for performance measure calculation and reporting</w:t>
            </w:r>
          </w:p>
        </w:tc>
        <w:tc>
          <w:tcPr>
            <w:tcW w:w="1543" w:type="dxa"/>
          </w:tcPr>
          <w:p w:rsidR="00F931A4" w:rsidRPr="00990D3B" w:rsidP="00BD1FC3" w14:paraId="113D5BC2" w14:textId="77777777">
            <w:pPr>
              <w:pStyle w:val="EQRTableText"/>
            </w:pPr>
            <w:r w:rsidRPr="00990D3B">
              <w:t> </w:t>
            </w:r>
          </w:p>
        </w:tc>
        <w:tc>
          <w:tcPr>
            <w:tcW w:w="2772" w:type="dxa"/>
          </w:tcPr>
          <w:p w:rsidR="00F931A4" w:rsidRPr="00990D3B" w:rsidP="00BD1FC3" w14:paraId="79F5D6F9" w14:textId="77777777">
            <w:pPr>
              <w:pStyle w:val="EQRTableText"/>
            </w:pPr>
            <w:r w:rsidRPr="00990D3B">
              <w:t> </w:t>
            </w:r>
          </w:p>
        </w:tc>
      </w:tr>
      <w:tr w14:paraId="2642A993" w14:textId="77777777" w:rsidTr="000E2BCC">
        <w:tblPrEx>
          <w:tblW w:w="5000" w:type="pct"/>
          <w:tblLook w:val="04A0"/>
        </w:tblPrEx>
        <w:trPr>
          <w:cantSplit/>
        </w:trPr>
        <w:tc>
          <w:tcPr>
            <w:tcW w:w="8635" w:type="dxa"/>
          </w:tcPr>
          <w:p w:rsidR="00F931A4" w:rsidRPr="00990D3B" w:rsidP="00BD1FC3" w14:paraId="5D8A0F93" w14:textId="77777777">
            <w:pPr>
              <w:pStyle w:val="EQRTableText"/>
            </w:pPr>
            <w:r w:rsidRPr="00990D3B">
              <w:t>Procedures governing production process for MCP performance measures, including standards and schedules</w:t>
            </w:r>
          </w:p>
        </w:tc>
        <w:tc>
          <w:tcPr>
            <w:tcW w:w="1543" w:type="dxa"/>
          </w:tcPr>
          <w:p w:rsidR="00F931A4" w:rsidRPr="00990D3B" w:rsidP="00BD1FC3" w14:paraId="148459B7" w14:textId="77777777">
            <w:pPr>
              <w:pStyle w:val="EQRTableText"/>
            </w:pPr>
            <w:r w:rsidRPr="00990D3B">
              <w:t> </w:t>
            </w:r>
          </w:p>
        </w:tc>
        <w:tc>
          <w:tcPr>
            <w:tcW w:w="2772" w:type="dxa"/>
          </w:tcPr>
          <w:p w:rsidR="00F931A4" w:rsidRPr="00990D3B" w:rsidP="00BD1FC3" w14:paraId="347276C1" w14:textId="77777777">
            <w:pPr>
              <w:pStyle w:val="EQRTableText"/>
            </w:pPr>
            <w:r w:rsidRPr="00990D3B">
              <w:t> </w:t>
            </w:r>
          </w:p>
        </w:tc>
      </w:tr>
      <w:tr w14:paraId="76526DA6" w14:textId="77777777" w:rsidTr="009D31CB">
        <w:tblPrEx>
          <w:tblW w:w="5000" w:type="pct"/>
          <w:tblLook w:val="04A0"/>
        </w:tblPrEx>
        <w:trPr>
          <w:cantSplit/>
        </w:trPr>
        <w:tc>
          <w:tcPr>
            <w:tcW w:w="8635" w:type="dxa"/>
            <w:shd w:val="clear" w:color="auto" w:fill="D9D9D9"/>
          </w:tcPr>
          <w:p w:rsidR="00F931A4" w:rsidRPr="00990D3B" w:rsidP="00BD1FC3" w14:paraId="66702F9C" w14:textId="7E1161F5">
            <w:pPr>
              <w:pStyle w:val="EQRTableText"/>
              <w:rPr>
                <w:b/>
                <w:bCs/>
              </w:rPr>
            </w:pPr>
            <w:r w:rsidRPr="00990D3B">
              <w:rPr>
                <w:b/>
                <w:bCs/>
              </w:rPr>
              <w:t>Collection, calculation, and documentation of performance measures</w:t>
            </w:r>
          </w:p>
        </w:tc>
        <w:tc>
          <w:tcPr>
            <w:tcW w:w="1543" w:type="dxa"/>
            <w:shd w:val="clear" w:color="auto" w:fill="D9D9D9"/>
          </w:tcPr>
          <w:p w:rsidR="00F931A4" w:rsidRPr="00990D3B" w:rsidP="00BD1FC3" w14:paraId="78DF7140" w14:textId="77777777">
            <w:pPr>
              <w:pStyle w:val="EQRTableText"/>
              <w:rPr>
                <w:b/>
                <w:bCs/>
              </w:rPr>
            </w:pPr>
            <w:r w:rsidRPr="00990D3B">
              <w:rPr>
                <w:b/>
                <w:bCs/>
              </w:rPr>
              <w:t> </w:t>
            </w:r>
          </w:p>
        </w:tc>
        <w:tc>
          <w:tcPr>
            <w:tcW w:w="2772" w:type="dxa"/>
            <w:shd w:val="clear" w:color="auto" w:fill="D9D9D9"/>
          </w:tcPr>
          <w:p w:rsidR="00F931A4" w:rsidRPr="00990D3B" w:rsidP="00BD1FC3" w14:paraId="2F088E93" w14:textId="77777777">
            <w:pPr>
              <w:pStyle w:val="EQRTableText"/>
              <w:rPr>
                <w:b/>
                <w:bCs/>
              </w:rPr>
            </w:pPr>
            <w:r w:rsidRPr="00990D3B">
              <w:rPr>
                <w:b/>
                <w:bCs/>
              </w:rPr>
              <w:t> </w:t>
            </w:r>
          </w:p>
        </w:tc>
      </w:tr>
      <w:tr w14:paraId="4A82BEDD" w14:textId="77777777" w:rsidTr="000E2BCC">
        <w:tblPrEx>
          <w:tblW w:w="5000" w:type="pct"/>
          <w:tblLook w:val="04A0"/>
        </w:tblPrEx>
        <w:trPr>
          <w:cantSplit/>
        </w:trPr>
        <w:tc>
          <w:tcPr>
            <w:tcW w:w="8635" w:type="dxa"/>
          </w:tcPr>
          <w:p w:rsidR="00F931A4" w:rsidRPr="00990D3B" w:rsidP="00BD1FC3" w14:paraId="534567C0" w14:textId="77777777">
            <w:pPr>
              <w:pStyle w:val="EQRTableText"/>
            </w:pPr>
            <w:r w:rsidRPr="00990D3B">
              <w:t>Policies for the documentation of data requirements, data issues, validation efforts, and results</w:t>
            </w:r>
          </w:p>
        </w:tc>
        <w:tc>
          <w:tcPr>
            <w:tcW w:w="1543" w:type="dxa"/>
          </w:tcPr>
          <w:p w:rsidR="00F931A4" w:rsidRPr="00990D3B" w:rsidP="00BD1FC3" w14:paraId="28AA00B3" w14:textId="77777777">
            <w:pPr>
              <w:pStyle w:val="EQRTableText"/>
            </w:pPr>
            <w:r w:rsidRPr="00990D3B">
              <w:t> </w:t>
            </w:r>
          </w:p>
        </w:tc>
        <w:tc>
          <w:tcPr>
            <w:tcW w:w="2772" w:type="dxa"/>
          </w:tcPr>
          <w:p w:rsidR="00F931A4" w:rsidRPr="00990D3B" w:rsidP="00BD1FC3" w14:paraId="1CE9A59A" w14:textId="77777777">
            <w:pPr>
              <w:pStyle w:val="EQRTableText"/>
            </w:pPr>
            <w:r w:rsidRPr="00990D3B">
              <w:t> </w:t>
            </w:r>
          </w:p>
        </w:tc>
      </w:tr>
      <w:tr w14:paraId="2AC8AC9B" w14:textId="77777777" w:rsidTr="000E2BCC">
        <w:tblPrEx>
          <w:tblW w:w="5000" w:type="pct"/>
          <w:tblLook w:val="04A0"/>
        </w:tblPrEx>
        <w:trPr>
          <w:cantSplit/>
        </w:trPr>
        <w:tc>
          <w:tcPr>
            <w:tcW w:w="8635" w:type="dxa"/>
          </w:tcPr>
          <w:p w:rsidR="00F931A4" w:rsidRPr="00990D3B" w:rsidP="00BD1FC3" w14:paraId="14E10DCA" w14:textId="77777777">
            <w:pPr>
              <w:pStyle w:val="EQRTableText"/>
            </w:pPr>
            <w:r w:rsidRPr="00990D3B">
              <w:t>A project or measurement plan for each performance measure</w:t>
            </w:r>
          </w:p>
        </w:tc>
        <w:tc>
          <w:tcPr>
            <w:tcW w:w="1543" w:type="dxa"/>
          </w:tcPr>
          <w:p w:rsidR="00F931A4" w:rsidRPr="00990D3B" w:rsidP="00BD1FC3" w14:paraId="18DAA845" w14:textId="77777777">
            <w:pPr>
              <w:pStyle w:val="EQRTableText"/>
            </w:pPr>
            <w:r w:rsidRPr="00990D3B">
              <w:t> </w:t>
            </w:r>
          </w:p>
        </w:tc>
        <w:tc>
          <w:tcPr>
            <w:tcW w:w="2772" w:type="dxa"/>
          </w:tcPr>
          <w:p w:rsidR="00F931A4" w:rsidRPr="00990D3B" w:rsidP="00BD1FC3" w14:paraId="17762726" w14:textId="77777777">
            <w:pPr>
              <w:pStyle w:val="EQRTableText"/>
            </w:pPr>
            <w:r w:rsidRPr="00990D3B">
              <w:t> </w:t>
            </w:r>
          </w:p>
        </w:tc>
      </w:tr>
      <w:tr w14:paraId="769FF2D4" w14:textId="77777777" w:rsidTr="000E2BCC">
        <w:tblPrEx>
          <w:tblW w:w="5000" w:type="pct"/>
          <w:tblLook w:val="04A0"/>
        </w:tblPrEx>
        <w:trPr>
          <w:cantSplit/>
        </w:trPr>
        <w:tc>
          <w:tcPr>
            <w:tcW w:w="8635" w:type="dxa"/>
          </w:tcPr>
          <w:p w:rsidR="00F931A4" w:rsidRPr="00990D3B" w:rsidP="00BD1FC3" w14:paraId="6F927AF1" w14:textId="77777777">
            <w:pPr>
              <w:pStyle w:val="EQRTableText"/>
            </w:pPr>
            <w:r w:rsidRPr="00990D3B">
              <w:t xml:space="preserve">Documentation of programming specifications, including </w:t>
            </w:r>
            <w:r w:rsidRPr="00990D3B">
              <w:t>work flow</w:t>
            </w:r>
            <w:r w:rsidRPr="00990D3B">
              <w:t>, data sources, and uses which include diagram or narrative descriptions</w:t>
            </w:r>
          </w:p>
        </w:tc>
        <w:tc>
          <w:tcPr>
            <w:tcW w:w="1543" w:type="dxa"/>
          </w:tcPr>
          <w:p w:rsidR="00F931A4" w:rsidRPr="00990D3B" w:rsidP="00BD1FC3" w14:paraId="61835813" w14:textId="77777777">
            <w:pPr>
              <w:pStyle w:val="EQRTableText"/>
            </w:pPr>
            <w:r w:rsidRPr="00990D3B">
              <w:t> </w:t>
            </w:r>
          </w:p>
        </w:tc>
        <w:tc>
          <w:tcPr>
            <w:tcW w:w="2772" w:type="dxa"/>
          </w:tcPr>
          <w:p w:rsidR="00F931A4" w:rsidRPr="00990D3B" w:rsidP="00BD1FC3" w14:paraId="06D6B9BB" w14:textId="77777777">
            <w:pPr>
              <w:pStyle w:val="EQRTableText"/>
            </w:pPr>
            <w:r w:rsidRPr="00990D3B">
              <w:t> </w:t>
            </w:r>
          </w:p>
        </w:tc>
      </w:tr>
      <w:tr w14:paraId="20CD1DF4" w14:textId="77777777" w:rsidTr="000E2BCC">
        <w:tblPrEx>
          <w:tblW w:w="5000" w:type="pct"/>
          <w:tblLook w:val="04A0"/>
        </w:tblPrEx>
        <w:trPr>
          <w:cantSplit/>
        </w:trPr>
        <w:tc>
          <w:tcPr>
            <w:tcW w:w="8635" w:type="dxa"/>
          </w:tcPr>
          <w:p w:rsidR="00F931A4" w:rsidRPr="00990D3B" w:rsidP="00BD1FC3" w14:paraId="71339C2F" w14:textId="77777777">
            <w:pPr>
              <w:pStyle w:val="EQRTableText"/>
            </w:pPr>
            <w:r w:rsidRPr="00990D3B">
              <w:t>Documentation of the original universe of data that includes record-level patient identifiers, which can be used to validate programming logic for creating denominators, numerators, and samples</w:t>
            </w:r>
          </w:p>
        </w:tc>
        <w:tc>
          <w:tcPr>
            <w:tcW w:w="1543" w:type="dxa"/>
          </w:tcPr>
          <w:p w:rsidR="00F931A4" w:rsidRPr="00990D3B" w:rsidP="00BD1FC3" w14:paraId="63FBA9F0" w14:textId="77777777">
            <w:pPr>
              <w:pStyle w:val="EQRTableText"/>
            </w:pPr>
            <w:r w:rsidRPr="00990D3B">
              <w:t> </w:t>
            </w:r>
          </w:p>
        </w:tc>
        <w:tc>
          <w:tcPr>
            <w:tcW w:w="2772" w:type="dxa"/>
          </w:tcPr>
          <w:p w:rsidR="00F931A4" w:rsidRPr="00990D3B" w:rsidP="00BD1FC3" w14:paraId="48B3478F" w14:textId="77777777">
            <w:pPr>
              <w:pStyle w:val="EQRTableText"/>
            </w:pPr>
            <w:r w:rsidRPr="00990D3B">
              <w:t> </w:t>
            </w:r>
          </w:p>
        </w:tc>
      </w:tr>
      <w:tr w14:paraId="74330555" w14:textId="77777777" w:rsidTr="000E2BCC">
        <w:tblPrEx>
          <w:tblW w:w="5000" w:type="pct"/>
          <w:tblLook w:val="04A0"/>
        </w:tblPrEx>
        <w:trPr>
          <w:cantSplit/>
        </w:trPr>
        <w:tc>
          <w:tcPr>
            <w:tcW w:w="8635" w:type="dxa"/>
          </w:tcPr>
          <w:p w:rsidR="00F931A4" w:rsidRPr="00990D3B" w:rsidP="00BD1FC3" w14:paraId="7802EDC8" w14:textId="77777777">
            <w:pPr>
              <w:pStyle w:val="EQRTableText"/>
            </w:pPr>
            <w:r w:rsidRPr="00990D3B">
              <w:t>Documentation of computer queries, programming logic, or source code used to create final denominators, numerators, and interim data files</w:t>
            </w:r>
          </w:p>
        </w:tc>
        <w:tc>
          <w:tcPr>
            <w:tcW w:w="1543" w:type="dxa"/>
          </w:tcPr>
          <w:p w:rsidR="00F931A4" w:rsidRPr="00990D3B" w:rsidP="00BD1FC3" w14:paraId="23691130" w14:textId="77777777">
            <w:pPr>
              <w:pStyle w:val="EQRTableText"/>
            </w:pPr>
            <w:r w:rsidRPr="00990D3B">
              <w:t> </w:t>
            </w:r>
          </w:p>
        </w:tc>
        <w:tc>
          <w:tcPr>
            <w:tcW w:w="2772" w:type="dxa"/>
          </w:tcPr>
          <w:p w:rsidR="00F931A4" w:rsidRPr="00990D3B" w:rsidP="00BD1FC3" w14:paraId="10C517E9" w14:textId="77777777">
            <w:pPr>
              <w:pStyle w:val="EQRTableText"/>
            </w:pPr>
            <w:r w:rsidRPr="00990D3B">
              <w:t> </w:t>
            </w:r>
          </w:p>
        </w:tc>
      </w:tr>
      <w:tr w14:paraId="423CB50B" w14:textId="77777777" w:rsidTr="000E2BCC">
        <w:tblPrEx>
          <w:tblW w:w="5000" w:type="pct"/>
          <w:tblLook w:val="04A0"/>
        </w:tblPrEx>
        <w:trPr>
          <w:cantSplit/>
        </w:trPr>
        <w:tc>
          <w:tcPr>
            <w:tcW w:w="8635" w:type="dxa"/>
          </w:tcPr>
          <w:p w:rsidR="00F931A4" w:rsidRPr="00990D3B" w:rsidP="00BD1FC3" w14:paraId="646076DA" w14:textId="77777777">
            <w:pPr>
              <w:pStyle w:val="EQRTableText"/>
            </w:pPr>
            <w:r w:rsidRPr="00990D3B">
              <w:t>Documentation that includes dated job log or computer run for denominators and numerators, with record counts for each programming step and iteration</w:t>
            </w:r>
          </w:p>
        </w:tc>
        <w:tc>
          <w:tcPr>
            <w:tcW w:w="1543" w:type="dxa"/>
          </w:tcPr>
          <w:p w:rsidR="00F931A4" w:rsidRPr="00990D3B" w:rsidP="00BD1FC3" w14:paraId="63BC7577" w14:textId="77777777">
            <w:pPr>
              <w:pStyle w:val="EQRTableText"/>
            </w:pPr>
            <w:r w:rsidRPr="00990D3B">
              <w:t> </w:t>
            </w:r>
          </w:p>
        </w:tc>
        <w:tc>
          <w:tcPr>
            <w:tcW w:w="2772" w:type="dxa"/>
          </w:tcPr>
          <w:p w:rsidR="00F931A4" w:rsidRPr="00990D3B" w:rsidP="00BD1FC3" w14:paraId="4FF34220" w14:textId="77777777">
            <w:pPr>
              <w:pStyle w:val="EQRTableText"/>
            </w:pPr>
            <w:r w:rsidRPr="00990D3B">
              <w:t> </w:t>
            </w:r>
          </w:p>
        </w:tc>
      </w:tr>
      <w:tr w14:paraId="4E09E2B3" w14:textId="77777777" w:rsidTr="000E2BCC">
        <w:tblPrEx>
          <w:tblW w:w="5000" w:type="pct"/>
          <w:tblLook w:val="04A0"/>
        </w:tblPrEx>
        <w:trPr>
          <w:cantSplit/>
        </w:trPr>
        <w:tc>
          <w:tcPr>
            <w:tcW w:w="8635" w:type="dxa"/>
          </w:tcPr>
          <w:p w:rsidR="00F931A4" w:rsidRPr="00990D3B" w:rsidP="00A45992" w14:paraId="2DFA44A8" w14:textId="77777777">
            <w:pPr>
              <w:pStyle w:val="EQRTableTextbullet"/>
            </w:pPr>
            <w:r w:rsidRPr="00990D3B">
              <w:t xml:space="preserve">Documentation of medical record review including: </w:t>
            </w:r>
          </w:p>
          <w:p w:rsidR="00F931A4" w:rsidRPr="00990D3B" w:rsidP="00A45992" w14:paraId="7528BCD1" w14:textId="77777777">
            <w:pPr>
              <w:pStyle w:val="EQRTableTextbullet"/>
            </w:pPr>
            <w:r w:rsidRPr="00990D3B">
              <w:t>Qualifications of medical record review supervisor and staff</w:t>
            </w:r>
          </w:p>
          <w:p w:rsidR="00F931A4" w:rsidRPr="00990D3B" w:rsidP="00A45992" w14:paraId="36E08B52" w14:textId="77777777">
            <w:pPr>
              <w:pStyle w:val="EQRTableTextbullet"/>
            </w:pPr>
            <w:r w:rsidRPr="00990D3B">
              <w:t>Reviewer training materials</w:t>
            </w:r>
          </w:p>
          <w:p w:rsidR="00F931A4" w:rsidRPr="00990D3B" w:rsidP="00A45992" w14:paraId="5F4DAA1F" w14:textId="77777777">
            <w:pPr>
              <w:pStyle w:val="EQRTableTextbullet"/>
            </w:pPr>
            <w:r w:rsidRPr="00990D3B">
              <w:t>The use of audit tools, including completed copies of each record-level reviewer determination</w:t>
            </w:r>
          </w:p>
          <w:p w:rsidR="00F931A4" w:rsidRPr="00990D3B" w:rsidP="00A45992" w14:paraId="41843F3A" w14:textId="77777777">
            <w:pPr>
              <w:pStyle w:val="EQRTableTextbullet"/>
            </w:pPr>
            <w:r w:rsidRPr="00990D3B">
              <w:t xml:space="preserve">All case-level critical performance measure data elements used to determine a positive or negative event or exclude a case, and </w:t>
            </w:r>
          </w:p>
          <w:p w:rsidR="00F931A4" w:rsidRPr="00990D3B" w:rsidP="00A45992" w14:paraId="097A775B" w14:textId="77777777">
            <w:pPr>
              <w:pStyle w:val="EQRTableTextbullet"/>
            </w:pPr>
            <w:r w:rsidRPr="00990D3B">
              <w:t>Interrater reliability testing procedures and results</w:t>
            </w:r>
          </w:p>
        </w:tc>
        <w:tc>
          <w:tcPr>
            <w:tcW w:w="1543" w:type="dxa"/>
          </w:tcPr>
          <w:p w:rsidR="00F931A4" w:rsidRPr="00990D3B" w:rsidP="00BD1FC3" w14:paraId="3A418506" w14:textId="77777777">
            <w:pPr>
              <w:pStyle w:val="EQRTableText"/>
            </w:pPr>
            <w:r w:rsidRPr="00990D3B">
              <w:t> </w:t>
            </w:r>
          </w:p>
        </w:tc>
        <w:tc>
          <w:tcPr>
            <w:tcW w:w="2772" w:type="dxa"/>
          </w:tcPr>
          <w:p w:rsidR="00F931A4" w:rsidRPr="00990D3B" w:rsidP="00BD1FC3" w14:paraId="7E98FC09" w14:textId="77777777">
            <w:pPr>
              <w:pStyle w:val="EQRTableText"/>
            </w:pPr>
            <w:r w:rsidRPr="00990D3B">
              <w:t> </w:t>
            </w:r>
          </w:p>
        </w:tc>
      </w:tr>
      <w:tr w14:paraId="26BB94FB" w14:textId="77777777" w:rsidTr="000E2BCC">
        <w:tblPrEx>
          <w:tblW w:w="5000" w:type="pct"/>
          <w:tblLook w:val="04A0"/>
        </w:tblPrEx>
        <w:trPr>
          <w:cantSplit/>
        </w:trPr>
        <w:tc>
          <w:tcPr>
            <w:tcW w:w="8635" w:type="dxa"/>
          </w:tcPr>
          <w:p w:rsidR="00F931A4" w:rsidRPr="00990D3B" w:rsidP="00BD1FC3" w14:paraId="6C4AC990" w14:textId="77777777">
            <w:pPr>
              <w:pStyle w:val="EQRTableText"/>
            </w:pPr>
            <w:r w:rsidRPr="00990D3B">
              <w:t>Documentation of statistical test results and any corrections or adjustments to data along with justification for such changes</w:t>
            </w:r>
          </w:p>
        </w:tc>
        <w:tc>
          <w:tcPr>
            <w:tcW w:w="1543" w:type="dxa"/>
          </w:tcPr>
          <w:p w:rsidR="00F931A4" w:rsidRPr="00990D3B" w:rsidP="00BD1FC3" w14:paraId="0C237FAB" w14:textId="77777777">
            <w:pPr>
              <w:pStyle w:val="EQRTableText"/>
            </w:pPr>
            <w:r w:rsidRPr="00990D3B">
              <w:t> </w:t>
            </w:r>
          </w:p>
        </w:tc>
        <w:tc>
          <w:tcPr>
            <w:tcW w:w="2772" w:type="dxa"/>
          </w:tcPr>
          <w:p w:rsidR="00F931A4" w:rsidRPr="00990D3B" w:rsidP="00BD1FC3" w14:paraId="48E57B64" w14:textId="77777777">
            <w:pPr>
              <w:pStyle w:val="EQRTableText"/>
            </w:pPr>
            <w:r w:rsidRPr="00990D3B">
              <w:t> </w:t>
            </w:r>
          </w:p>
        </w:tc>
      </w:tr>
      <w:tr w14:paraId="6B71D6A9" w14:textId="77777777" w:rsidTr="000E2BCC">
        <w:tblPrEx>
          <w:tblW w:w="5000" w:type="pct"/>
          <w:tblLook w:val="04A0"/>
        </w:tblPrEx>
        <w:trPr>
          <w:cantSplit/>
        </w:trPr>
        <w:tc>
          <w:tcPr>
            <w:tcW w:w="8635" w:type="dxa"/>
          </w:tcPr>
          <w:p w:rsidR="00F931A4" w:rsidRPr="00990D3B" w:rsidP="00BD1FC3" w14:paraId="054F1902" w14:textId="77777777">
            <w:pPr>
              <w:pStyle w:val="EQRTableText"/>
            </w:pPr>
            <w:r w:rsidRPr="00990D3B">
              <w:t>Documentation of sources of any supporting external data or prior years’ data used in reporting</w:t>
            </w:r>
          </w:p>
        </w:tc>
        <w:tc>
          <w:tcPr>
            <w:tcW w:w="1543" w:type="dxa"/>
          </w:tcPr>
          <w:p w:rsidR="00F931A4" w:rsidRPr="00990D3B" w:rsidP="00BD1FC3" w14:paraId="467F2191" w14:textId="77777777">
            <w:pPr>
              <w:pStyle w:val="EQRTableText"/>
            </w:pPr>
            <w:r w:rsidRPr="00990D3B">
              <w:t> </w:t>
            </w:r>
          </w:p>
        </w:tc>
        <w:tc>
          <w:tcPr>
            <w:tcW w:w="2772" w:type="dxa"/>
          </w:tcPr>
          <w:p w:rsidR="00F931A4" w:rsidRPr="00990D3B" w:rsidP="00BD1FC3" w14:paraId="1637883A" w14:textId="77777777">
            <w:pPr>
              <w:pStyle w:val="EQRTableText"/>
            </w:pPr>
            <w:r w:rsidRPr="00990D3B">
              <w:t> </w:t>
            </w:r>
          </w:p>
        </w:tc>
      </w:tr>
      <w:tr w14:paraId="06209DB4" w14:textId="77777777" w:rsidTr="000E2BCC">
        <w:tblPrEx>
          <w:tblW w:w="5000" w:type="pct"/>
          <w:tblLook w:val="04A0"/>
        </w:tblPrEx>
        <w:trPr>
          <w:cantSplit/>
        </w:trPr>
        <w:tc>
          <w:tcPr>
            <w:tcW w:w="8635" w:type="dxa"/>
          </w:tcPr>
          <w:p w:rsidR="00F931A4" w:rsidRPr="00990D3B" w:rsidP="00BD1FC3" w14:paraId="0944F713" w14:textId="77777777">
            <w:pPr>
              <w:pStyle w:val="EQRTableText"/>
            </w:pPr>
            <w:r w:rsidRPr="00990D3B">
              <w:t>Policies to assign unique membership ID that allows all services to be properly related to the specific appropriate enrollee, despite changes in status, periods of enrollment or disenrollment, or changes across product lines (e.g., CHIP and Medicaid).</w:t>
            </w:r>
          </w:p>
        </w:tc>
        <w:tc>
          <w:tcPr>
            <w:tcW w:w="1543" w:type="dxa"/>
          </w:tcPr>
          <w:p w:rsidR="00F931A4" w:rsidRPr="00990D3B" w:rsidP="00BD1FC3" w14:paraId="35C75A1C" w14:textId="77777777">
            <w:pPr>
              <w:pStyle w:val="EQRTableText"/>
            </w:pPr>
            <w:r w:rsidRPr="00990D3B">
              <w:t> </w:t>
            </w:r>
          </w:p>
        </w:tc>
        <w:tc>
          <w:tcPr>
            <w:tcW w:w="2772" w:type="dxa"/>
          </w:tcPr>
          <w:p w:rsidR="00F931A4" w:rsidRPr="00990D3B" w:rsidP="00BD1FC3" w14:paraId="3BD8C594" w14:textId="77777777">
            <w:pPr>
              <w:pStyle w:val="EQRTableText"/>
            </w:pPr>
            <w:r w:rsidRPr="00990D3B">
              <w:t> </w:t>
            </w:r>
          </w:p>
        </w:tc>
      </w:tr>
      <w:tr w14:paraId="69F07755" w14:textId="77777777" w:rsidTr="000E2BCC">
        <w:tblPrEx>
          <w:tblW w:w="5000" w:type="pct"/>
          <w:tblLook w:val="04A0"/>
        </w:tblPrEx>
        <w:trPr>
          <w:cantSplit/>
        </w:trPr>
        <w:tc>
          <w:tcPr>
            <w:tcW w:w="8635" w:type="dxa"/>
          </w:tcPr>
          <w:p w:rsidR="00F931A4" w:rsidRPr="00990D3B" w:rsidP="00BD1FC3" w14:paraId="2C4EBB30" w14:textId="77777777">
            <w:pPr>
              <w:pStyle w:val="EQRTableText"/>
            </w:pPr>
            <w:bookmarkStart w:id="301" w:name="_Hlk184986948"/>
            <w:r w:rsidRPr="00990D3B">
              <w:t xml:space="preserve">Procedures to identify, track, and link member enrollment by product line, </w:t>
            </w:r>
            <w:bookmarkEnd w:id="301"/>
            <w:r w:rsidRPr="00990D3B">
              <w:t>product, geographic area, age, sex, member months, and member years</w:t>
            </w:r>
          </w:p>
        </w:tc>
        <w:tc>
          <w:tcPr>
            <w:tcW w:w="1543" w:type="dxa"/>
          </w:tcPr>
          <w:p w:rsidR="00F931A4" w:rsidRPr="00990D3B" w:rsidP="00BD1FC3" w14:paraId="636FEE23" w14:textId="77777777">
            <w:pPr>
              <w:pStyle w:val="EQRTableText"/>
            </w:pPr>
            <w:r w:rsidRPr="00990D3B">
              <w:t> </w:t>
            </w:r>
          </w:p>
        </w:tc>
        <w:tc>
          <w:tcPr>
            <w:tcW w:w="2772" w:type="dxa"/>
          </w:tcPr>
          <w:p w:rsidR="00F931A4" w:rsidRPr="00990D3B" w:rsidP="00BD1FC3" w14:paraId="580F9C6A" w14:textId="77777777">
            <w:pPr>
              <w:pStyle w:val="EQRTableText"/>
            </w:pPr>
            <w:r w:rsidRPr="00990D3B">
              <w:t> </w:t>
            </w:r>
          </w:p>
        </w:tc>
      </w:tr>
      <w:tr w14:paraId="14DD9029" w14:textId="77777777" w:rsidTr="000E2BCC">
        <w:tblPrEx>
          <w:tblW w:w="5000" w:type="pct"/>
          <w:tblLook w:val="04A0"/>
        </w:tblPrEx>
        <w:trPr>
          <w:cantSplit/>
        </w:trPr>
        <w:tc>
          <w:tcPr>
            <w:tcW w:w="8635" w:type="dxa"/>
          </w:tcPr>
          <w:p w:rsidR="00F931A4" w:rsidRPr="00990D3B" w:rsidP="00BD1FC3" w14:paraId="491ED623" w14:textId="4438B0C2">
            <w:pPr>
              <w:pStyle w:val="EQRTableText"/>
            </w:pPr>
            <w:r w:rsidRPr="00990D3B">
              <w:t xml:space="preserve">Procedures to track individual </w:t>
            </w:r>
            <w:r w:rsidRPr="00990D3B" w:rsidR="00727834">
              <w:t>enrollees</w:t>
            </w:r>
            <w:r w:rsidRPr="00990D3B">
              <w:t xml:space="preserve"> through enrollment, disenrollment, and possible re-enrollment</w:t>
            </w:r>
          </w:p>
        </w:tc>
        <w:tc>
          <w:tcPr>
            <w:tcW w:w="1543" w:type="dxa"/>
          </w:tcPr>
          <w:p w:rsidR="00F931A4" w:rsidRPr="00990D3B" w:rsidP="00BD1FC3" w14:paraId="3F09E9E3" w14:textId="77777777">
            <w:pPr>
              <w:pStyle w:val="EQRTableText"/>
            </w:pPr>
            <w:r w:rsidRPr="00990D3B">
              <w:t> </w:t>
            </w:r>
          </w:p>
        </w:tc>
        <w:tc>
          <w:tcPr>
            <w:tcW w:w="2772" w:type="dxa"/>
          </w:tcPr>
          <w:p w:rsidR="00F931A4" w:rsidRPr="00990D3B" w:rsidP="00BD1FC3" w14:paraId="7A5E75E3" w14:textId="77777777">
            <w:pPr>
              <w:pStyle w:val="EQRTableText"/>
            </w:pPr>
            <w:r w:rsidRPr="00990D3B">
              <w:t> </w:t>
            </w:r>
          </w:p>
        </w:tc>
      </w:tr>
      <w:tr w14:paraId="0018542B" w14:textId="77777777" w:rsidTr="000E2BCC">
        <w:tblPrEx>
          <w:tblW w:w="5000" w:type="pct"/>
          <w:tblLook w:val="04A0"/>
        </w:tblPrEx>
        <w:trPr>
          <w:cantSplit/>
        </w:trPr>
        <w:tc>
          <w:tcPr>
            <w:tcW w:w="8635" w:type="dxa"/>
          </w:tcPr>
          <w:p w:rsidR="00F931A4" w:rsidRPr="00990D3B" w:rsidP="00BD1FC3" w14:paraId="12F030C4" w14:textId="4DE1D0B4">
            <w:pPr>
              <w:pStyle w:val="EQRTableText"/>
            </w:pPr>
            <w:r w:rsidRPr="00990D3B">
              <w:t xml:space="preserve">Procedures to track </w:t>
            </w:r>
            <w:r w:rsidRPr="00990D3B" w:rsidR="00727834">
              <w:t>enrollees</w:t>
            </w:r>
            <w:r w:rsidRPr="00990D3B">
              <w:t xml:space="preserve"> through changes in family status, changes in benefits or managed care type (if they switch between Medicaid coverage and another product within the same MCP)</w:t>
            </w:r>
          </w:p>
        </w:tc>
        <w:tc>
          <w:tcPr>
            <w:tcW w:w="1543" w:type="dxa"/>
          </w:tcPr>
          <w:p w:rsidR="00F931A4" w:rsidRPr="00990D3B" w:rsidP="00BD1FC3" w14:paraId="238B87B3" w14:textId="77777777">
            <w:pPr>
              <w:pStyle w:val="EQRTableText"/>
            </w:pPr>
            <w:r w:rsidRPr="00990D3B">
              <w:t> </w:t>
            </w:r>
          </w:p>
        </w:tc>
        <w:tc>
          <w:tcPr>
            <w:tcW w:w="2772" w:type="dxa"/>
          </w:tcPr>
          <w:p w:rsidR="00F931A4" w:rsidRPr="00990D3B" w:rsidP="00BD1FC3" w14:paraId="3AE1B638" w14:textId="77777777">
            <w:pPr>
              <w:pStyle w:val="EQRTableText"/>
            </w:pPr>
            <w:r w:rsidRPr="00990D3B">
              <w:t> </w:t>
            </w:r>
          </w:p>
        </w:tc>
      </w:tr>
      <w:tr w14:paraId="437F9E20" w14:textId="77777777" w:rsidTr="000E2BCC">
        <w:tblPrEx>
          <w:tblW w:w="5000" w:type="pct"/>
          <w:tblLook w:val="04A0"/>
        </w:tblPrEx>
        <w:trPr>
          <w:cantSplit/>
        </w:trPr>
        <w:tc>
          <w:tcPr>
            <w:tcW w:w="8635" w:type="dxa"/>
          </w:tcPr>
          <w:p w:rsidR="00F931A4" w:rsidRPr="00990D3B" w:rsidP="00BD1FC3" w14:paraId="4061B696" w14:textId="77777777">
            <w:pPr>
              <w:pStyle w:val="EQRTableText"/>
            </w:pPr>
            <w:r w:rsidRPr="00990D3B">
              <w:t>Methods to define start and cessation of coverage</w:t>
            </w:r>
          </w:p>
        </w:tc>
        <w:tc>
          <w:tcPr>
            <w:tcW w:w="1543" w:type="dxa"/>
          </w:tcPr>
          <w:p w:rsidR="00F931A4" w:rsidRPr="00990D3B" w:rsidP="00BD1FC3" w14:paraId="7FA65E79" w14:textId="77777777">
            <w:pPr>
              <w:pStyle w:val="EQRTableText"/>
            </w:pPr>
            <w:r w:rsidRPr="00990D3B">
              <w:t> </w:t>
            </w:r>
          </w:p>
        </w:tc>
        <w:tc>
          <w:tcPr>
            <w:tcW w:w="2772" w:type="dxa"/>
          </w:tcPr>
          <w:p w:rsidR="00F931A4" w:rsidRPr="00990D3B" w:rsidP="00BD1FC3" w14:paraId="2C834876" w14:textId="77777777">
            <w:pPr>
              <w:pStyle w:val="EQRTableText"/>
            </w:pPr>
            <w:r w:rsidRPr="00990D3B">
              <w:t> </w:t>
            </w:r>
          </w:p>
        </w:tc>
      </w:tr>
      <w:tr w14:paraId="18FBC1F6" w14:textId="77777777" w:rsidTr="000E2BCC">
        <w:tblPrEx>
          <w:tblW w:w="5000" w:type="pct"/>
          <w:tblLook w:val="04A0"/>
        </w:tblPrEx>
        <w:trPr>
          <w:cantSplit/>
        </w:trPr>
        <w:tc>
          <w:tcPr>
            <w:tcW w:w="8635" w:type="dxa"/>
          </w:tcPr>
          <w:p w:rsidR="00F931A4" w:rsidRPr="00990D3B" w:rsidP="00BD1FC3" w14:paraId="11E20180" w14:textId="77777777">
            <w:pPr>
              <w:pStyle w:val="EQRTableText"/>
            </w:pPr>
            <w:r w:rsidRPr="00990D3B">
              <w:t>Procedures to link member months to member age</w:t>
            </w:r>
          </w:p>
        </w:tc>
        <w:tc>
          <w:tcPr>
            <w:tcW w:w="1543" w:type="dxa"/>
          </w:tcPr>
          <w:p w:rsidR="00F931A4" w:rsidRPr="00990D3B" w:rsidP="00BD1FC3" w14:paraId="2660571B" w14:textId="77777777">
            <w:pPr>
              <w:pStyle w:val="EQRTableText"/>
            </w:pPr>
            <w:r w:rsidRPr="00990D3B">
              <w:t> </w:t>
            </w:r>
          </w:p>
        </w:tc>
        <w:tc>
          <w:tcPr>
            <w:tcW w:w="2772" w:type="dxa"/>
          </w:tcPr>
          <w:p w:rsidR="00F931A4" w:rsidRPr="00990D3B" w:rsidP="00BD1FC3" w14:paraId="58FA64D9" w14:textId="77777777">
            <w:pPr>
              <w:pStyle w:val="EQRTableText"/>
            </w:pPr>
            <w:r w:rsidRPr="00990D3B">
              <w:t> </w:t>
            </w:r>
          </w:p>
        </w:tc>
      </w:tr>
      <w:tr w14:paraId="5E600065" w14:textId="77777777" w:rsidTr="000E2BCC">
        <w:tblPrEx>
          <w:tblW w:w="5000" w:type="pct"/>
          <w:tblLook w:val="04A0"/>
        </w:tblPrEx>
        <w:trPr>
          <w:cantSplit/>
        </w:trPr>
        <w:tc>
          <w:tcPr>
            <w:tcW w:w="8635" w:type="dxa"/>
          </w:tcPr>
          <w:p w:rsidR="00F931A4" w:rsidRPr="00990D3B" w:rsidP="00BD1FC3" w14:paraId="0D4CA7C7" w14:textId="77777777">
            <w:pPr>
              <w:pStyle w:val="EQRTableText"/>
            </w:pPr>
            <w:r w:rsidRPr="00990D3B">
              <w:t>Description of software or programming languages used to query each database</w:t>
            </w:r>
          </w:p>
        </w:tc>
        <w:tc>
          <w:tcPr>
            <w:tcW w:w="1543" w:type="dxa"/>
          </w:tcPr>
          <w:p w:rsidR="00F931A4" w:rsidRPr="00990D3B" w:rsidP="00BD1FC3" w14:paraId="50CD339E" w14:textId="77777777">
            <w:pPr>
              <w:pStyle w:val="EQRTableText"/>
            </w:pPr>
            <w:r w:rsidRPr="00990D3B">
              <w:t> </w:t>
            </w:r>
          </w:p>
        </w:tc>
        <w:tc>
          <w:tcPr>
            <w:tcW w:w="2772" w:type="dxa"/>
          </w:tcPr>
          <w:p w:rsidR="00F931A4" w:rsidRPr="00990D3B" w:rsidP="00BD1FC3" w14:paraId="6B420252" w14:textId="77777777">
            <w:pPr>
              <w:pStyle w:val="EQRTableText"/>
            </w:pPr>
            <w:r w:rsidRPr="00990D3B">
              <w:t> </w:t>
            </w:r>
          </w:p>
        </w:tc>
      </w:tr>
      <w:tr w14:paraId="6236B18E" w14:textId="77777777" w:rsidTr="000E2BCC">
        <w:tblPrEx>
          <w:tblW w:w="5000" w:type="pct"/>
          <w:tblLook w:val="04A0"/>
        </w:tblPrEx>
        <w:trPr>
          <w:cantSplit/>
        </w:trPr>
        <w:tc>
          <w:tcPr>
            <w:tcW w:w="8635" w:type="dxa"/>
          </w:tcPr>
          <w:p w:rsidR="00F931A4" w:rsidRPr="00990D3B" w:rsidP="00BD1FC3" w14:paraId="23FBFF3B" w14:textId="77777777">
            <w:pPr>
              <w:pStyle w:val="EQRTableText"/>
            </w:pPr>
            <w:r w:rsidRPr="00990D3B">
              <w:t>Description of software used to execute sampling of population files when sampling is used</w:t>
            </w:r>
          </w:p>
        </w:tc>
        <w:tc>
          <w:tcPr>
            <w:tcW w:w="1543" w:type="dxa"/>
          </w:tcPr>
          <w:p w:rsidR="00F931A4" w:rsidRPr="00990D3B" w:rsidP="00BD1FC3" w14:paraId="157B3A6D" w14:textId="77777777">
            <w:pPr>
              <w:pStyle w:val="EQRTableText"/>
            </w:pPr>
            <w:r w:rsidRPr="00990D3B">
              <w:t> </w:t>
            </w:r>
          </w:p>
        </w:tc>
        <w:tc>
          <w:tcPr>
            <w:tcW w:w="2772" w:type="dxa"/>
          </w:tcPr>
          <w:p w:rsidR="00F931A4" w:rsidRPr="00990D3B" w:rsidP="00BD1FC3" w14:paraId="337D1FB8" w14:textId="77777777">
            <w:pPr>
              <w:pStyle w:val="EQRTableText"/>
            </w:pPr>
            <w:r w:rsidRPr="00990D3B">
              <w:t> </w:t>
            </w:r>
          </w:p>
        </w:tc>
      </w:tr>
      <w:tr w14:paraId="2ABE2DCC" w14:textId="77777777" w:rsidTr="000E2BCC">
        <w:tblPrEx>
          <w:tblW w:w="5000" w:type="pct"/>
          <w:tblLook w:val="04A0"/>
        </w:tblPrEx>
        <w:trPr>
          <w:cantSplit/>
        </w:trPr>
        <w:tc>
          <w:tcPr>
            <w:tcW w:w="8635" w:type="dxa"/>
          </w:tcPr>
          <w:p w:rsidR="00F931A4" w:rsidRPr="00990D3B" w:rsidP="00BD1FC3" w14:paraId="67467B03" w14:textId="6B105524">
            <w:pPr>
              <w:pStyle w:val="EQRTableText"/>
            </w:pPr>
            <w:r w:rsidRPr="00990D3B">
              <w:t>Enrollee</w:t>
            </w:r>
            <w:r w:rsidRPr="00990D3B">
              <w:t xml:space="preserve"> database</w:t>
            </w:r>
          </w:p>
        </w:tc>
        <w:tc>
          <w:tcPr>
            <w:tcW w:w="1543" w:type="dxa"/>
          </w:tcPr>
          <w:p w:rsidR="00F931A4" w:rsidRPr="00990D3B" w:rsidP="00BD1FC3" w14:paraId="15EA078C" w14:textId="77777777">
            <w:pPr>
              <w:pStyle w:val="EQRTableText"/>
            </w:pPr>
            <w:r w:rsidRPr="00990D3B">
              <w:t> </w:t>
            </w:r>
          </w:p>
        </w:tc>
        <w:tc>
          <w:tcPr>
            <w:tcW w:w="2772" w:type="dxa"/>
          </w:tcPr>
          <w:p w:rsidR="00F931A4" w:rsidRPr="00990D3B" w:rsidP="00BD1FC3" w14:paraId="4E303716" w14:textId="77777777">
            <w:pPr>
              <w:pStyle w:val="EQRTableText"/>
            </w:pPr>
            <w:r w:rsidRPr="00990D3B">
              <w:t> </w:t>
            </w:r>
          </w:p>
        </w:tc>
      </w:tr>
      <w:tr w14:paraId="7C945A80" w14:textId="77777777" w:rsidTr="000E2BCC">
        <w:tblPrEx>
          <w:tblW w:w="5000" w:type="pct"/>
          <w:tblLook w:val="04A0"/>
        </w:tblPrEx>
        <w:trPr>
          <w:cantSplit/>
        </w:trPr>
        <w:tc>
          <w:tcPr>
            <w:tcW w:w="8635" w:type="dxa"/>
          </w:tcPr>
          <w:p w:rsidR="00F931A4" w:rsidRPr="00990D3B" w:rsidP="00BD1FC3" w14:paraId="5CEFA6AD" w14:textId="77777777">
            <w:pPr>
              <w:pStyle w:val="EQRTableText"/>
            </w:pPr>
            <w:r w:rsidRPr="00990D3B">
              <w:t>Provider data (including facilities, labs, pharmacies, physicians, etc.)</w:t>
            </w:r>
          </w:p>
        </w:tc>
        <w:tc>
          <w:tcPr>
            <w:tcW w:w="1543" w:type="dxa"/>
          </w:tcPr>
          <w:p w:rsidR="00F931A4" w:rsidRPr="00990D3B" w:rsidP="00BD1FC3" w14:paraId="70DA2432" w14:textId="77777777">
            <w:pPr>
              <w:pStyle w:val="EQRTableText"/>
            </w:pPr>
            <w:r w:rsidRPr="00990D3B">
              <w:t> </w:t>
            </w:r>
          </w:p>
        </w:tc>
        <w:tc>
          <w:tcPr>
            <w:tcW w:w="2772" w:type="dxa"/>
          </w:tcPr>
          <w:p w:rsidR="00F931A4" w:rsidRPr="00990D3B" w:rsidP="00BD1FC3" w14:paraId="7BAB7AD6" w14:textId="77777777">
            <w:pPr>
              <w:pStyle w:val="EQRTableText"/>
            </w:pPr>
            <w:r w:rsidRPr="00990D3B">
              <w:t> </w:t>
            </w:r>
          </w:p>
        </w:tc>
      </w:tr>
      <w:tr w14:paraId="5F58FEDE" w14:textId="77777777" w:rsidTr="000E2BCC">
        <w:tblPrEx>
          <w:tblW w:w="5000" w:type="pct"/>
          <w:tblLook w:val="04A0"/>
        </w:tblPrEx>
        <w:trPr>
          <w:cantSplit/>
        </w:trPr>
        <w:tc>
          <w:tcPr>
            <w:tcW w:w="8635" w:type="dxa"/>
          </w:tcPr>
          <w:p w:rsidR="00F931A4" w:rsidRPr="00990D3B" w:rsidP="00BD1FC3" w14:paraId="6260DCF4" w14:textId="77777777">
            <w:pPr>
              <w:pStyle w:val="EQRTableText"/>
            </w:pPr>
            <w:r w:rsidRPr="00990D3B">
              <w:t>Database record layout and data dictionary</w:t>
            </w:r>
          </w:p>
        </w:tc>
        <w:tc>
          <w:tcPr>
            <w:tcW w:w="1543" w:type="dxa"/>
          </w:tcPr>
          <w:p w:rsidR="00F931A4" w:rsidRPr="00990D3B" w:rsidP="00BD1FC3" w14:paraId="3909719B" w14:textId="77777777">
            <w:pPr>
              <w:pStyle w:val="EQRTableText"/>
            </w:pPr>
            <w:r w:rsidRPr="00990D3B">
              <w:t> </w:t>
            </w:r>
          </w:p>
        </w:tc>
        <w:tc>
          <w:tcPr>
            <w:tcW w:w="2772" w:type="dxa"/>
          </w:tcPr>
          <w:p w:rsidR="00F931A4" w:rsidRPr="00990D3B" w:rsidP="00BD1FC3" w14:paraId="3A580F8A" w14:textId="77777777">
            <w:pPr>
              <w:pStyle w:val="EQRTableText"/>
            </w:pPr>
            <w:r w:rsidRPr="00990D3B">
              <w:t> </w:t>
            </w:r>
          </w:p>
        </w:tc>
      </w:tr>
      <w:tr w14:paraId="5142020A" w14:textId="77777777" w:rsidTr="000E2BCC">
        <w:tblPrEx>
          <w:tblW w:w="5000" w:type="pct"/>
          <w:tblLook w:val="04A0"/>
        </w:tblPrEx>
        <w:trPr>
          <w:cantSplit/>
        </w:trPr>
        <w:tc>
          <w:tcPr>
            <w:tcW w:w="8635" w:type="dxa"/>
          </w:tcPr>
          <w:p w:rsidR="00F931A4" w:rsidRPr="00990D3B" w:rsidP="00BD1FC3" w14:paraId="74366D67" w14:textId="77777777">
            <w:pPr>
              <w:pStyle w:val="EQRTableText"/>
            </w:pPr>
            <w:r w:rsidRPr="00990D3B">
              <w:t xml:space="preserve">Survey data used for performance measures (See </w:t>
            </w:r>
            <w:r w:rsidRPr="00990D3B">
              <w:rPr>
                <w:rStyle w:val="Hyperlink"/>
              </w:rPr>
              <w:t>Protocol 6</w:t>
            </w:r>
            <w:r w:rsidRPr="00990D3B">
              <w:t xml:space="preserve">) </w:t>
            </w:r>
          </w:p>
        </w:tc>
        <w:tc>
          <w:tcPr>
            <w:tcW w:w="1543" w:type="dxa"/>
          </w:tcPr>
          <w:p w:rsidR="00F931A4" w:rsidRPr="00990D3B" w:rsidP="00BD1FC3" w14:paraId="670FF1B1" w14:textId="77777777">
            <w:pPr>
              <w:pStyle w:val="EQRTableText"/>
            </w:pPr>
            <w:r w:rsidRPr="00990D3B">
              <w:t> </w:t>
            </w:r>
          </w:p>
        </w:tc>
        <w:tc>
          <w:tcPr>
            <w:tcW w:w="2772" w:type="dxa"/>
          </w:tcPr>
          <w:p w:rsidR="00F931A4" w:rsidRPr="00990D3B" w:rsidP="00BD1FC3" w14:paraId="69B7F514" w14:textId="77777777">
            <w:pPr>
              <w:pStyle w:val="EQRTableText"/>
            </w:pPr>
            <w:r w:rsidRPr="00990D3B">
              <w:t> </w:t>
            </w:r>
          </w:p>
        </w:tc>
      </w:tr>
      <w:tr w14:paraId="1B9E6329" w14:textId="77777777" w:rsidTr="000E2BCC">
        <w:tblPrEx>
          <w:tblW w:w="5000" w:type="pct"/>
          <w:tblLook w:val="04A0"/>
        </w:tblPrEx>
        <w:trPr>
          <w:cantSplit/>
        </w:trPr>
        <w:tc>
          <w:tcPr>
            <w:tcW w:w="8635" w:type="dxa"/>
          </w:tcPr>
          <w:p w:rsidR="00F931A4" w:rsidRPr="00990D3B" w:rsidP="00BD1FC3" w14:paraId="6C552A8C" w14:textId="77777777">
            <w:pPr>
              <w:pStyle w:val="EQRTableText"/>
            </w:pPr>
            <w:r w:rsidRPr="00990D3B">
              <w:t xml:space="preserve">Policies to maintain files from which the samples are drawn </w:t>
            </w:r>
            <w:r w:rsidRPr="00990D3B">
              <w:t>in order to</w:t>
            </w:r>
            <w:r w:rsidRPr="00990D3B">
              <w:t xml:space="preserve"> keep population intact </w:t>
            </w:r>
            <w:r w:rsidRPr="00990D3B">
              <w:t>in the event that</w:t>
            </w:r>
            <w:r w:rsidRPr="00990D3B">
              <w:t xml:space="preserve"> a sample must be re-drawn, or replacements made</w:t>
            </w:r>
          </w:p>
        </w:tc>
        <w:tc>
          <w:tcPr>
            <w:tcW w:w="1543" w:type="dxa"/>
          </w:tcPr>
          <w:p w:rsidR="00F931A4" w:rsidRPr="00990D3B" w:rsidP="00BD1FC3" w14:paraId="1A4E32CD" w14:textId="77777777">
            <w:pPr>
              <w:pStyle w:val="EQRTableText"/>
            </w:pPr>
            <w:r w:rsidRPr="00990D3B">
              <w:t> </w:t>
            </w:r>
          </w:p>
        </w:tc>
        <w:tc>
          <w:tcPr>
            <w:tcW w:w="2772" w:type="dxa"/>
          </w:tcPr>
          <w:p w:rsidR="00F931A4" w:rsidRPr="00990D3B" w:rsidP="00BD1FC3" w14:paraId="44FF925A" w14:textId="77777777">
            <w:pPr>
              <w:pStyle w:val="EQRTableText"/>
            </w:pPr>
            <w:r w:rsidRPr="00990D3B">
              <w:t> </w:t>
            </w:r>
          </w:p>
        </w:tc>
      </w:tr>
      <w:tr w14:paraId="7B15AF75" w14:textId="77777777" w:rsidTr="000E2BCC">
        <w:tblPrEx>
          <w:tblW w:w="5000" w:type="pct"/>
          <w:tblLook w:val="04A0"/>
        </w:tblPrEx>
        <w:trPr>
          <w:cantSplit/>
        </w:trPr>
        <w:tc>
          <w:tcPr>
            <w:tcW w:w="8635" w:type="dxa"/>
          </w:tcPr>
          <w:p w:rsidR="00F931A4" w:rsidRPr="00990D3B" w:rsidP="00BD1FC3" w14:paraId="264ED4EB" w14:textId="77777777">
            <w:pPr>
              <w:pStyle w:val="EQRTableText"/>
            </w:pPr>
            <w:r w:rsidRPr="00990D3B">
              <w:t>Computer source code or logic identifying specified sampling techniques and documentation that the logic matches the specifications set forth for each performance measure, including sample size and exclusion methodology</w:t>
            </w:r>
          </w:p>
        </w:tc>
        <w:tc>
          <w:tcPr>
            <w:tcW w:w="1543" w:type="dxa"/>
          </w:tcPr>
          <w:p w:rsidR="00F931A4" w:rsidRPr="00990D3B" w:rsidP="00BD1FC3" w14:paraId="394AF79D" w14:textId="77777777">
            <w:pPr>
              <w:pStyle w:val="EQRTableText"/>
            </w:pPr>
            <w:r w:rsidRPr="00990D3B">
              <w:t> </w:t>
            </w:r>
          </w:p>
        </w:tc>
        <w:tc>
          <w:tcPr>
            <w:tcW w:w="2772" w:type="dxa"/>
          </w:tcPr>
          <w:p w:rsidR="00F931A4" w:rsidRPr="00990D3B" w:rsidP="00BD1FC3" w14:paraId="0C0A1D60" w14:textId="77777777">
            <w:pPr>
              <w:pStyle w:val="EQRTableText"/>
            </w:pPr>
            <w:r w:rsidRPr="00990D3B">
              <w:t> </w:t>
            </w:r>
          </w:p>
        </w:tc>
      </w:tr>
      <w:tr w14:paraId="57B3E766" w14:textId="77777777" w:rsidTr="000E2BCC">
        <w:tblPrEx>
          <w:tblW w:w="5000" w:type="pct"/>
          <w:tblLook w:val="04A0"/>
        </w:tblPrEx>
        <w:trPr>
          <w:cantSplit/>
        </w:trPr>
        <w:tc>
          <w:tcPr>
            <w:tcW w:w="8635" w:type="dxa"/>
          </w:tcPr>
          <w:p w:rsidR="00F931A4" w:rsidRPr="00990D3B" w:rsidP="00BD1FC3" w14:paraId="09F91591" w14:textId="77777777">
            <w:pPr>
              <w:pStyle w:val="EQRTableText"/>
            </w:pPr>
            <w:r w:rsidRPr="00990D3B">
              <w:t>Methods used for sampling for measures calling for medical record or hybrid data</w:t>
            </w:r>
          </w:p>
        </w:tc>
        <w:tc>
          <w:tcPr>
            <w:tcW w:w="1543" w:type="dxa"/>
          </w:tcPr>
          <w:p w:rsidR="00F931A4" w:rsidRPr="00990D3B" w:rsidP="00BD1FC3" w14:paraId="33BD0B1B" w14:textId="77777777">
            <w:pPr>
              <w:pStyle w:val="EQRTableText"/>
            </w:pPr>
            <w:r w:rsidRPr="00990D3B">
              <w:t> </w:t>
            </w:r>
          </w:p>
        </w:tc>
        <w:tc>
          <w:tcPr>
            <w:tcW w:w="2772" w:type="dxa"/>
          </w:tcPr>
          <w:p w:rsidR="00F931A4" w:rsidRPr="00990D3B" w:rsidP="00BD1FC3" w14:paraId="765FE3D2" w14:textId="77777777">
            <w:pPr>
              <w:pStyle w:val="EQRTableText"/>
            </w:pPr>
            <w:r w:rsidRPr="00990D3B">
              <w:t> </w:t>
            </w:r>
          </w:p>
        </w:tc>
      </w:tr>
      <w:tr w14:paraId="55C7FAEA" w14:textId="77777777" w:rsidTr="000E2BCC">
        <w:tblPrEx>
          <w:tblW w:w="5000" w:type="pct"/>
          <w:tblLook w:val="04A0"/>
        </w:tblPrEx>
        <w:trPr>
          <w:cantSplit/>
        </w:trPr>
        <w:tc>
          <w:tcPr>
            <w:tcW w:w="8635" w:type="dxa"/>
          </w:tcPr>
          <w:p w:rsidR="00F931A4" w:rsidRPr="00990D3B" w:rsidP="00BD1FC3" w14:paraId="2BC1147D" w14:textId="77777777">
            <w:pPr>
              <w:pStyle w:val="EQRTableText"/>
            </w:pPr>
            <w:r w:rsidRPr="00990D3B">
              <w:t xml:space="preserve">Documentation </w:t>
            </w:r>
            <w:r w:rsidRPr="00990D3B">
              <w:t>assuring</w:t>
            </w:r>
            <w:r w:rsidRPr="00990D3B">
              <w:t xml:space="preserve"> that sampling methodology treats all measures independently and that there is no correlation between drawn samples</w:t>
            </w:r>
          </w:p>
        </w:tc>
        <w:tc>
          <w:tcPr>
            <w:tcW w:w="1543" w:type="dxa"/>
          </w:tcPr>
          <w:p w:rsidR="00F931A4" w:rsidRPr="00990D3B" w:rsidP="00BD1FC3" w14:paraId="293BD07C" w14:textId="77777777">
            <w:pPr>
              <w:pStyle w:val="EQRTableText"/>
            </w:pPr>
            <w:r w:rsidRPr="00990D3B">
              <w:t> </w:t>
            </w:r>
          </w:p>
        </w:tc>
        <w:tc>
          <w:tcPr>
            <w:tcW w:w="2772" w:type="dxa"/>
          </w:tcPr>
          <w:p w:rsidR="00F931A4" w:rsidRPr="00990D3B" w:rsidP="00BD1FC3" w14:paraId="76B9ED0D" w14:textId="77777777">
            <w:pPr>
              <w:pStyle w:val="EQRTableText"/>
            </w:pPr>
            <w:r w:rsidRPr="00990D3B">
              <w:t> </w:t>
            </w:r>
          </w:p>
        </w:tc>
      </w:tr>
      <w:tr w14:paraId="70F92D2A" w14:textId="77777777" w:rsidTr="000E2BCC">
        <w:tblPrEx>
          <w:tblW w:w="5000" w:type="pct"/>
          <w:tblLook w:val="04A0"/>
        </w:tblPrEx>
        <w:trPr>
          <w:cantSplit/>
        </w:trPr>
        <w:tc>
          <w:tcPr>
            <w:tcW w:w="8635" w:type="dxa"/>
          </w:tcPr>
          <w:p w:rsidR="00F931A4" w:rsidRPr="00990D3B" w:rsidP="00BD1FC3" w14:paraId="73F1D220" w14:textId="77777777">
            <w:pPr>
              <w:pStyle w:val="EQRTableText"/>
            </w:pPr>
            <w:r w:rsidRPr="00990D3B">
              <w:t>Observation or documentation of procedures in which a biased sample was identified and corrected</w:t>
            </w:r>
          </w:p>
        </w:tc>
        <w:tc>
          <w:tcPr>
            <w:tcW w:w="1543" w:type="dxa"/>
          </w:tcPr>
          <w:p w:rsidR="00F931A4" w:rsidRPr="00990D3B" w:rsidP="00BD1FC3" w14:paraId="1F16FDC7" w14:textId="77777777">
            <w:pPr>
              <w:pStyle w:val="EQRTableText"/>
            </w:pPr>
            <w:r w:rsidRPr="00990D3B">
              <w:t> </w:t>
            </w:r>
          </w:p>
        </w:tc>
        <w:tc>
          <w:tcPr>
            <w:tcW w:w="2772" w:type="dxa"/>
          </w:tcPr>
          <w:p w:rsidR="00F931A4" w:rsidRPr="00990D3B" w:rsidP="00BD1FC3" w14:paraId="5012815A" w14:textId="77777777">
            <w:pPr>
              <w:pStyle w:val="EQRTableText"/>
            </w:pPr>
            <w:r w:rsidRPr="00990D3B">
              <w:t> </w:t>
            </w:r>
          </w:p>
        </w:tc>
      </w:tr>
      <w:tr w14:paraId="68026812" w14:textId="77777777" w:rsidTr="000E2BCC">
        <w:tblPrEx>
          <w:tblW w:w="5000" w:type="pct"/>
          <w:tblLook w:val="04A0"/>
        </w:tblPrEx>
        <w:trPr>
          <w:cantSplit/>
        </w:trPr>
        <w:tc>
          <w:tcPr>
            <w:tcW w:w="8635" w:type="dxa"/>
          </w:tcPr>
          <w:p w:rsidR="00F931A4" w:rsidRPr="00990D3B" w:rsidP="00BD1FC3" w14:paraId="22468B70" w14:textId="77777777">
            <w:pPr>
              <w:pStyle w:val="EQRTableText"/>
            </w:pPr>
            <w:r w:rsidRPr="00990D3B">
              <w:t>Documentation of “frozen” or archived files from which the samples were drawn, and if applicable, documentation of the MCP’s process to re-draw a sample or obtain necessary replacements</w:t>
            </w:r>
          </w:p>
        </w:tc>
        <w:tc>
          <w:tcPr>
            <w:tcW w:w="1543" w:type="dxa"/>
          </w:tcPr>
          <w:p w:rsidR="00F931A4" w:rsidRPr="00990D3B" w:rsidP="00BD1FC3" w14:paraId="075FFFD0" w14:textId="77777777">
            <w:pPr>
              <w:pStyle w:val="EQRTableText"/>
            </w:pPr>
            <w:r w:rsidRPr="00990D3B">
              <w:t> </w:t>
            </w:r>
          </w:p>
        </w:tc>
        <w:tc>
          <w:tcPr>
            <w:tcW w:w="2772" w:type="dxa"/>
          </w:tcPr>
          <w:p w:rsidR="00F931A4" w:rsidRPr="00990D3B" w:rsidP="00BD1FC3" w14:paraId="08E583EA" w14:textId="77777777">
            <w:pPr>
              <w:pStyle w:val="EQRTableText"/>
            </w:pPr>
            <w:r w:rsidRPr="00990D3B">
              <w:t> </w:t>
            </w:r>
          </w:p>
        </w:tc>
      </w:tr>
      <w:tr w14:paraId="241D38ED" w14:textId="77777777" w:rsidTr="000E2BCC">
        <w:tblPrEx>
          <w:tblW w:w="5000" w:type="pct"/>
          <w:tblLook w:val="04A0"/>
        </w:tblPrEx>
        <w:trPr>
          <w:cantSplit/>
        </w:trPr>
        <w:tc>
          <w:tcPr>
            <w:tcW w:w="8635" w:type="dxa"/>
          </w:tcPr>
          <w:p w:rsidR="00F931A4" w:rsidRPr="00990D3B" w:rsidP="00BD1FC3" w14:paraId="3F5F5FFE" w14:textId="77777777">
            <w:pPr>
              <w:pStyle w:val="EQRTableText"/>
            </w:pPr>
            <w:r w:rsidRPr="00990D3B">
              <w:t>For performance measures that are easily under-reported, procedures to capture data that may reside outside the MCP’s datasets</w:t>
            </w:r>
          </w:p>
        </w:tc>
        <w:tc>
          <w:tcPr>
            <w:tcW w:w="1543" w:type="dxa"/>
          </w:tcPr>
          <w:p w:rsidR="00F931A4" w:rsidRPr="00990D3B" w:rsidP="00BD1FC3" w14:paraId="48F26ADD" w14:textId="77777777">
            <w:pPr>
              <w:pStyle w:val="EQRTableText"/>
            </w:pPr>
            <w:r w:rsidRPr="00990D3B">
              <w:t> </w:t>
            </w:r>
          </w:p>
        </w:tc>
        <w:tc>
          <w:tcPr>
            <w:tcW w:w="2772" w:type="dxa"/>
          </w:tcPr>
          <w:p w:rsidR="00F931A4" w:rsidRPr="00990D3B" w:rsidP="00BD1FC3" w14:paraId="16FA8717" w14:textId="77777777">
            <w:pPr>
              <w:pStyle w:val="EQRTableText"/>
            </w:pPr>
            <w:r w:rsidRPr="00990D3B">
              <w:t> </w:t>
            </w:r>
          </w:p>
        </w:tc>
      </w:tr>
      <w:tr w14:paraId="23C9BB72" w14:textId="77777777" w:rsidTr="000E2BCC">
        <w:tblPrEx>
          <w:tblW w:w="5000" w:type="pct"/>
          <w:tblLook w:val="04A0"/>
        </w:tblPrEx>
        <w:trPr>
          <w:cantSplit/>
        </w:trPr>
        <w:tc>
          <w:tcPr>
            <w:tcW w:w="8635" w:type="dxa"/>
          </w:tcPr>
          <w:p w:rsidR="00F931A4" w:rsidRPr="00990D3B" w:rsidP="00BD1FC3" w14:paraId="101D9F16" w14:textId="77777777">
            <w:pPr>
              <w:pStyle w:val="EQRTableText"/>
            </w:pPr>
            <w:r w:rsidRPr="00990D3B">
              <w:t>Procedures for mapping non-standard codes to standard coding</w:t>
            </w:r>
          </w:p>
        </w:tc>
        <w:tc>
          <w:tcPr>
            <w:tcW w:w="1543" w:type="dxa"/>
          </w:tcPr>
          <w:p w:rsidR="00F931A4" w:rsidRPr="00990D3B" w:rsidP="00BD1FC3" w14:paraId="5B6CD14D" w14:textId="77777777">
            <w:pPr>
              <w:pStyle w:val="EQRTableText"/>
            </w:pPr>
            <w:r w:rsidRPr="00990D3B">
              <w:t> </w:t>
            </w:r>
          </w:p>
        </w:tc>
        <w:tc>
          <w:tcPr>
            <w:tcW w:w="2772" w:type="dxa"/>
          </w:tcPr>
          <w:p w:rsidR="00F931A4" w:rsidRPr="00990D3B" w:rsidP="00BD1FC3" w14:paraId="78A66DA8" w14:textId="77777777">
            <w:pPr>
              <w:pStyle w:val="EQRTableText"/>
            </w:pPr>
            <w:r w:rsidRPr="00990D3B">
              <w:t> </w:t>
            </w:r>
          </w:p>
        </w:tc>
      </w:tr>
      <w:tr w14:paraId="552474D3" w14:textId="77777777" w:rsidTr="000E2BCC">
        <w:tblPrEx>
          <w:tblW w:w="5000" w:type="pct"/>
          <w:tblLook w:val="04A0"/>
        </w:tblPrEx>
        <w:trPr>
          <w:cantSplit/>
        </w:trPr>
        <w:tc>
          <w:tcPr>
            <w:tcW w:w="8635" w:type="dxa"/>
          </w:tcPr>
          <w:p w:rsidR="00F931A4" w:rsidRPr="00990D3B" w:rsidP="00BD1FC3" w14:paraId="0D28D02C" w14:textId="77777777">
            <w:pPr>
              <w:pStyle w:val="EQRTableText"/>
            </w:pPr>
            <w:r w:rsidRPr="00990D3B">
              <w:t>Policies, procedures, and materials that provide evidence of proper training, supervision, and adequate tools for medical record abstraction tasks (this may include medical record abstraction tools, training material, checks of inter-rater reliability, etc.)</w:t>
            </w:r>
          </w:p>
        </w:tc>
        <w:tc>
          <w:tcPr>
            <w:tcW w:w="1543" w:type="dxa"/>
          </w:tcPr>
          <w:p w:rsidR="00F931A4" w:rsidRPr="00990D3B" w:rsidP="00BD1FC3" w14:paraId="71C6CD98" w14:textId="77777777">
            <w:pPr>
              <w:pStyle w:val="EQRTableText"/>
            </w:pPr>
            <w:r w:rsidRPr="00990D3B">
              <w:t> </w:t>
            </w:r>
          </w:p>
        </w:tc>
        <w:tc>
          <w:tcPr>
            <w:tcW w:w="2772" w:type="dxa"/>
          </w:tcPr>
          <w:p w:rsidR="00F931A4" w:rsidRPr="00990D3B" w:rsidP="00BD1FC3" w14:paraId="72CA4776" w14:textId="77777777">
            <w:pPr>
              <w:pStyle w:val="EQRTableText"/>
            </w:pPr>
            <w:r w:rsidRPr="00990D3B">
              <w:t> </w:t>
            </w:r>
          </w:p>
        </w:tc>
      </w:tr>
      <w:tr w14:paraId="7ECAA1C3" w14:textId="77777777" w:rsidTr="000E2BCC">
        <w:tblPrEx>
          <w:tblW w:w="5000" w:type="pct"/>
          <w:tblLook w:val="04A0"/>
        </w:tblPrEx>
        <w:trPr>
          <w:cantSplit/>
        </w:trPr>
        <w:tc>
          <w:tcPr>
            <w:tcW w:w="8635" w:type="dxa"/>
          </w:tcPr>
          <w:p w:rsidR="00F931A4" w:rsidRPr="00990D3B" w:rsidP="00BD1FC3" w14:paraId="72A29F56" w14:textId="77777777">
            <w:pPr>
              <w:pStyle w:val="EQRTableText"/>
            </w:pPr>
            <w:r w:rsidRPr="00990D3B">
              <w:t>Procedures for assuring that combinations of record-review data with administratively determined data are consistent and verifiable</w:t>
            </w:r>
          </w:p>
        </w:tc>
        <w:tc>
          <w:tcPr>
            <w:tcW w:w="1543" w:type="dxa"/>
          </w:tcPr>
          <w:p w:rsidR="00F931A4" w:rsidRPr="00990D3B" w:rsidP="00BD1FC3" w14:paraId="63C79A87" w14:textId="77777777">
            <w:pPr>
              <w:pStyle w:val="EQRTableText"/>
            </w:pPr>
            <w:r w:rsidRPr="00990D3B">
              <w:t> </w:t>
            </w:r>
          </w:p>
        </w:tc>
        <w:tc>
          <w:tcPr>
            <w:tcW w:w="2772" w:type="dxa"/>
          </w:tcPr>
          <w:p w:rsidR="00F931A4" w:rsidRPr="00990D3B" w:rsidP="00BD1FC3" w14:paraId="7B8029A5" w14:textId="77777777">
            <w:pPr>
              <w:pStyle w:val="EQRTableText"/>
            </w:pPr>
            <w:r w:rsidRPr="00990D3B">
              <w:t> </w:t>
            </w:r>
          </w:p>
        </w:tc>
      </w:tr>
      <w:tr w14:paraId="75C49B1D" w14:textId="77777777" w:rsidTr="000E2BCC">
        <w:tblPrEx>
          <w:tblW w:w="5000" w:type="pct"/>
          <w:tblLook w:val="04A0"/>
        </w:tblPrEx>
        <w:trPr>
          <w:cantSplit/>
        </w:trPr>
        <w:tc>
          <w:tcPr>
            <w:tcW w:w="8635" w:type="dxa"/>
          </w:tcPr>
          <w:p w:rsidR="00F931A4" w:rsidRPr="00990D3B" w:rsidP="00BD1FC3" w14:paraId="3EACBBBD" w14:textId="3951E5E3">
            <w:pPr>
              <w:pStyle w:val="EQRTableText"/>
            </w:pPr>
            <w:r w:rsidRPr="00990D3B">
              <w:t xml:space="preserve">Evidence that MCP’s use of codes to identify medical events </w:t>
            </w:r>
            <w:r w:rsidRPr="00990D3B">
              <w:t>were</w:t>
            </w:r>
            <w:r w:rsidRPr="00990D3B">
              <w:t xml:space="preserve"> correctly evaluated when classifying </w:t>
            </w:r>
            <w:r w:rsidRPr="00990D3B" w:rsidR="00727834">
              <w:t>enrollees</w:t>
            </w:r>
            <w:r w:rsidRPr="00990D3B">
              <w:t xml:space="preserve"> for inclusion or exclusion in the numerator</w:t>
            </w:r>
          </w:p>
        </w:tc>
        <w:tc>
          <w:tcPr>
            <w:tcW w:w="1543" w:type="dxa"/>
          </w:tcPr>
          <w:p w:rsidR="00F931A4" w:rsidRPr="00990D3B" w:rsidP="00BD1FC3" w14:paraId="03AB0BEB" w14:textId="77777777">
            <w:pPr>
              <w:pStyle w:val="EQRTableText"/>
            </w:pPr>
            <w:r w:rsidRPr="00990D3B">
              <w:t> </w:t>
            </w:r>
          </w:p>
        </w:tc>
        <w:tc>
          <w:tcPr>
            <w:tcW w:w="2772" w:type="dxa"/>
          </w:tcPr>
          <w:p w:rsidR="00F931A4" w:rsidRPr="00990D3B" w:rsidP="00BD1FC3" w14:paraId="53F4EA12" w14:textId="77777777">
            <w:pPr>
              <w:pStyle w:val="EQRTableText"/>
            </w:pPr>
            <w:r w:rsidRPr="00990D3B">
              <w:t> </w:t>
            </w:r>
          </w:p>
        </w:tc>
      </w:tr>
      <w:tr w14:paraId="5684979E" w14:textId="77777777" w:rsidTr="000E2BCC">
        <w:tblPrEx>
          <w:tblW w:w="5000" w:type="pct"/>
          <w:tblLook w:val="04A0"/>
        </w:tblPrEx>
        <w:trPr>
          <w:cantSplit/>
        </w:trPr>
        <w:tc>
          <w:tcPr>
            <w:tcW w:w="8635" w:type="dxa"/>
          </w:tcPr>
          <w:p w:rsidR="00F931A4" w:rsidRPr="00990D3B" w:rsidP="00BD1FC3" w14:paraId="127F9AEE" w14:textId="15ECF5C2">
            <w:pPr>
              <w:pStyle w:val="EQRTableText"/>
            </w:pPr>
            <w:r w:rsidRPr="00990D3B">
              <w:t xml:space="preserve">Evidence that MCP has counted each </w:t>
            </w:r>
            <w:r w:rsidRPr="00990D3B" w:rsidR="002F4DD4">
              <w:t>enrollee</w:t>
            </w:r>
            <w:r w:rsidRPr="00990D3B">
              <w:t xml:space="preserve"> and/or event only once</w:t>
            </w:r>
          </w:p>
        </w:tc>
        <w:tc>
          <w:tcPr>
            <w:tcW w:w="1543" w:type="dxa"/>
          </w:tcPr>
          <w:p w:rsidR="00F931A4" w:rsidRPr="00990D3B" w:rsidP="00BD1FC3" w14:paraId="44674572" w14:textId="77777777">
            <w:pPr>
              <w:pStyle w:val="EQRTableText"/>
            </w:pPr>
            <w:r w:rsidRPr="00990D3B">
              <w:t> </w:t>
            </w:r>
          </w:p>
        </w:tc>
        <w:tc>
          <w:tcPr>
            <w:tcW w:w="2772" w:type="dxa"/>
          </w:tcPr>
          <w:p w:rsidR="00F931A4" w:rsidRPr="00990D3B" w:rsidP="00BD1FC3" w14:paraId="48E00DF7" w14:textId="77777777">
            <w:pPr>
              <w:pStyle w:val="EQRTableText"/>
            </w:pPr>
            <w:r w:rsidRPr="00990D3B">
              <w:t> </w:t>
            </w:r>
          </w:p>
        </w:tc>
      </w:tr>
      <w:tr w14:paraId="4333C10F" w14:textId="77777777" w:rsidTr="000E2BCC">
        <w:tblPrEx>
          <w:tblW w:w="5000" w:type="pct"/>
          <w:tblLook w:val="04A0"/>
        </w:tblPrEx>
        <w:trPr>
          <w:cantSplit/>
        </w:trPr>
        <w:tc>
          <w:tcPr>
            <w:tcW w:w="8635" w:type="dxa"/>
          </w:tcPr>
          <w:p w:rsidR="00F931A4" w:rsidRPr="00990D3B" w:rsidP="00BD1FC3" w14:paraId="37B96EE7" w14:textId="77777777">
            <w:pPr>
              <w:pStyle w:val="EQRTableText"/>
            </w:pPr>
            <w:r w:rsidRPr="00990D3B">
              <w:t>Programming logic or demonstration that confirms that any non-standard codes used in determining the numerator have been mapped to a standard coding scheme in a manner that is consistent, complete, and reproducible</w:t>
            </w:r>
          </w:p>
        </w:tc>
        <w:tc>
          <w:tcPr>
            <w:tcW w:w="1543" w:type="dxa"/>
          </w:tcPr>
          <w:p w:rsidR="00F931A4" w:rsidRPr="00990D3B" w:rsidP="00BD1FC3" w14:paraId="5FE059F9" w14:textId="77777777">
            <w:pPr>
              <w:pStyle w:val="EQRTableText"/>
            </w:pPr>
            <w:r w:rsidRPr="00990D3B">
              <w:t> </w:t>
            </w:r>
          </w:p>
        </w:tc>
        <w:tc>
          <w:tcPr>
            <w:tcW w:w="2772" w:type="dxa"/>
          </w:tcPr>
          <w:p w:rsidR="00F931A4" w:rsidRPr="00990D3B" w:rsidP="00BD1FC3" w14:paraId="3CE89F4A" w14:textId="77777777">
            <w:pPr>
              <w:pStyle w:val="EQRTableText"/>
            </w:pPr>
            <w:r w:rsidRPr="00990D3B">
              <w:t> </w:t>
            </w:r>
          </w:p>
        </w:tc>
      </w:tr>
      <w:tr w14:paraId="124F376B" w14:textId="77777777" w:rsidTr="000E2BCC">
        <w:tblPrEx>
          <w:tblW w:w="5000" w:type="pct"/>
          <w:tblLook w:val="04A0"/>
        </w:tblPrEx>
        <w:trPr>
          <w:cantSplit/>
        </w:trPr>
        <w:tc>
          <w:tcPr>
            <w:tcW w:w="8635" w:type="dxa"/>
          </w:tcPr>
          <w:p w:rsidR="00F931A4" w:rsidRPr="00990D3B" w:rsidP="00BD1FC3" w14:paraId="33823ADC" w14:textId="77777777">
            <w:pPr>
              <w:pStyle w:val="EQRTableText"/>
            </w:pPr>
            <w:r w:rsidRPr="00990D3B">
              <w:t>Programming logic or source code that identifies the process for integrating administrative and medical record data for numerator</w:t>
            </w:r>
          </w:p>
        </w:tc>
        <w:tc>
          <w:tcPr>
            <w:tcW w:w="1543" w:type="dxa"/>
          </w:tcPr>
          <w:p w:rsidR="00F931A4" w:rsidRPr="00990D3B" w:rsidP="00BD1FC3" w14:paraId="2618DEAB" w14:textId="77777777">
            <w:pPr>
              <w:pStyle w:val="EQRTableText"/>
            </w:pPr>
            <w:r w:rsidRPr="00990D3B">
              <w:t> </w:t>
            </w:r>
          </w:p>
        </w:tc>
        <w:tc>
          <w:tcPr>
            <w:tcW w:w="2772" w:type="dxa"/>
          </w:tcPr>
          <w:p w:rsidR="00F931A4" w:rsidRPr="00990D3B" w:rsidP="00BD1FC3" w14:paraId="23230A4F" w14:textId="77777777">
            <w:pPr>
              <w:pStyle w:val="EQRTableText"/>
            </w:pPr>
            <w:r w:rsidRPr="00990D3B">
              <w:t> </w:t>
            </w:r>
          </w:p>
        </w:tc>
      </w:tr>
      <w:tr w14:paraId="3A3E7280" w14:textId="77777777" w:rsidTr="000E2BCC">
        <w:tblPrEx>
          <w:tblW w:w="5000" w:type="pct"/>
          <w:tblLook w:val="04A0"/>
        </w:tblPrEx>
        <w:trPr>
          <w:cantSplit/>
        </w:trPr>
        <w:tc>
          <w:tcPr>
            <w:tcW w:w="8635" w:type="dxa"/>
          </w:tcPr>
          <w:p w:rsidR="00F931A4" w:rsidRPr="00990D3B" w:rsidP="00BD1FC3" w14:paraId="040DB8A0" w14:textId="77777777">
            <w:pPr>
              <w:pStyle w:val="EQRTableText"/>
            </w:pPr>
            <w:r w:rsidRPr="00990D3B">
              <w:t xml:space="preserve">Procedures for properly executing complex medical algorithms, such as </w:t>
            </w:r>
          </w:p>
          <w:p w:rsidR="00F931A4" w:rsidRPr="00990D3B" w:rsidP="00E90D8C" w14:paraId="1D7080CF" w14:textId="77777777">
            <w:pPr>
              <w:pStyle w:val="EQRTableTextbullet"/>
            </w:pPr>
            <w:r w:rsidRPr="00990D3B">
              <w:t>Claim-dependent events</w:t>
            </w:r>
          </w:p>
          <w:p w:rsidR="00F931A4" w:rsidRPr="00990D3B" w:rsidP="00E90D8C" w14:paraId="000A3EE6" w14:textId="77777777">
            <w:pPr>
              <w:pStyle w:val="EQRTableTextbullet"/>
            </w:pPr>
            <w:r w:rsidRPr="00990D3B">
              <w:t>Events that require matching claims and pharmacy data</w:t>
            </w:r>
          </w:p>
          <w:p w:rsidR="00F931A4" w:rsidRPr="00990D3B" w:rsidP="00E90D8C" w14:paraId="241BABCA" w14:textId="77777777">
            <w:pPr>
              <w:pStyle w:val="EQRTableTextbullet"/>
            </w:pPr>
            <w:r w:rsidRPr="00990D3B">
              <w:t xml:space="preserve">Events that require matching visit codes, and </w:t>
            </w:r>
          </w:p>
          <w:p w:rsidR="00F931A4" w:rsidRPr="00990D3B" w:rsidP="00E90D8C" w14:paraId="549A1AA2" w14:textId="77777777">
            <w:pPr>
              <w:pStyle w:val="EQRTableTextbullet"/>
            </w:pPr>
            <w:r w:rsidRPr="00990D3B">
              <w:t>Events that require accurately identifying and computing multiple numerator events</w:t>
            </w:r>
          </w:p>
        </w:tc>
        <w:tc>
          <w:tcPr>
            <w:tcW w:w="1543" w:type="dxa"/>
          </w:tcPr>
          <w:p w:rsidR="00F931A4" w:rsidRPr="00990D3B" w:rsidP="00BD1FC3" w14:paraId="36FC8D72" w14:textId="77777777">
            <w:pPr>
              <w:pStyle w:val="EQRTableText"/>
            </w:pPr>
            <w:r w:rsidRPr="00990D3B">
              <w:t> </w:t>
            </w:r>
          </w:p>
        </w:tc>
        <w:tc>
          <w:tcPr>
            <w:tcW w:w="2772" w:type="dxa"/>
          </w:tcPr>
          <w:p w:rsidR="00F931A4" w:rsidRPr="00990D3B" w:rsidP="00BD1FC3" w14:paraId="11CB2B07" w14:textId="77777777">
            <w:pPr>
              <w:pStyle w:val="EQRTableText"/>
            </w:pPr>
            <w:r w:rsidRPr="00990D3B">
              <w:t> </w:t>
            </w:r>
          </w:p>
        </w:tc>
      </w:tr>
      <w:tr w14:paraId="5BF5A0B8" w14:textId="77777777" w:rsidTr="000E2BCC">
        <w:tblPrEx>
          <w:tblW w:w="5000" w:type="pct"/>
          <w:tblLook w:val="04A0"/>
        </w:tblPrEx>
        <w:trPr>
          <w:cantSplit/>
        </w:trPr>
        <w:tc>
          <w:tcPr>
            <w:tcW w:w="8635" w:type="dxa"/>
          </w:tcPr>
          <w:p w:rsidR="00F931A4" w:rsidRPr="00990D3B" w:rsidP="00BD1FC3" w14:paraId="08BB72DE" w14:textId="77777777">
            <w:pPr>
              <w:pStyle w:val="EQRTableText"/>
            </w:pPr>
            <w:r w:rsidRPr="00990D3B">
              <w:t>Procedures for displaying denominator counts, numerator counts, precision levels, sums and cross-totals</w:t>
            </w:r>
          </w:p>
        </w:tc>
        <w:tc>
          <w:tcPr>
            <w:tcW w:w="1543" w:type="dxa"/>
          </w:tcPr>
          <w:p w:rsidR="00F931A4" w:rsidRPr="00990D3B" w:rsidP="00BD1FC3" w14:paraId="1A326460" w14:textId="77777777">
            <w:pPr>
              <w:pStyle w:val="EQRTableText"/>
            </w:pPr>
            <w:r w:rsidRPr="00990D3B">
              <w:t> </w:t>
            </w:r>
          </w:p>
        </w:tc>
        <w:tc>
          <w:tcPr>
            <w:tcW w:w="2772" w:type="dxa"/>
          </w:tcPr>
          <w:p w:rsidR="00F931A4" w:rsidRPr="00990D3B" w:rsidP="00BD1FC3" w14:paraId="1A41736B" w14:textId="77777777">
            <w:pPr>
              <w:pStyle w:val="EQRTableText"/>
            </w:pPr>
            <w:r w:rsidRPr="00990D3B">
              <w:t> </w:t>
            </w:r>
          </w:p>
        </w:tc>
      </w:tr>
      <w:tr w14:paraId="118A01E1" w14:textId="77777777" w:rsidTr="000E2BCC">
        <w:tblPrEx>
          <w:tblW w:w="5000" w:type="pct"/>
          <w:tblLook w:val="04A0"/>
        </w:tblPrEx>
        <w:trPr>
          <w:cantSplit/>
        </w:trPr>
        <w:tc>
          <w:tcPr>
            <w:tcW w:w="8635" w:type="dxa"/>
          </w:tcPr>
          <w:p w:rsidR="00F931A4" w:rsidRPr="00990D3B" w:rsidP="00BD1FC3" w14:paraId="79238C4E" w14:textId="77777777">
            <w:pPr>
              <w:pStyle w:val="EQRTableText"/>
            </w:pPr>
            <w:r w:rsidRPr="00990D3B">
              <w:t>Procedures for reporting small sample sizes (to be consistent with required methodology established by state)</w:t>
            </w:r>
          </w:p>
        </w:tc>
        <w:tc>
          <w:tcPr>
            <w:tcW w:w="1543" w:type="dxa"/>
          </w:tcPr>
          <w:p w:rsidR="00F931A4" w:rsidRPr="00990D3B" w:rsidP="00BD1FC3" w14:paraId="63CA87E4" w14:textId="77777777">
            <w:pPr>
              <w:pStyle w:val="EQRTableText"/>
            </w:pPr>
            <w:r w:rsidRPr="00990D3B">
              <w:t> </w:t>
            </w:r>
          </w:p>
        </w:tc>
        <w:tc>
          <w:tcPr>
            <w:tcW w:w="2772" w:type="dxa"/>
          </w:tcPr>
          <w:p w:rsidR="00F931A4" w:rsidRPr="00990D3B" w:rsidP="00BD1FC3" w14:paraId="6BCC23E5" w14:textId="77777777">
            <w:pPr>
              <w:pStyle w:val="EQRTableText"/>
            </w:pPr>
            <w:r w:rsidRPr="00990D3B">
              <w:t> </w:t>
            </w:r>
          </w:p>
        </w:tc>
      </w:tr>
      <w:tr w14:paraId="71E25ACA" w14:textId="77777777" w:rsidTr="000E2BCC">
        <w:tblPrEx>
          <w:tblW w:w="5000" w:type="pct"/>
          <w:tblLook w:val="04A0"/>
        </w:tblPrEx>
        <w:trPr>
          <w:cantSplit/>
        </w:trPr>
        <w:tc>
          <w:tcPr>
            <w:tcW w:w="8635" w:type="dxa"/>
          </w:tcPr>
          <w:p w:rsidR="00F931A4" w:rsidRPr="00990D3B" w:rsidP="00BD1FC3" w14:paraId="7676C79D" w14:textId="77777777">
            <w:pPr>
              <w:pStyle w:val="EQRTableText"/>
            </w:pPr>
            <w:r w:rsidRPr="00990D3B">
              <w:t>Programming logic and/or source code for arithmetic calculation of each measure</w:t>
            </w:r>
          </w:p>
        </w:tc>
        <w:tc>
          <w:tcPr>
            <w:tcW w:w="1543" w:type="dxa"/>
          </w:tcPr>
          <w:p w:rsidR="00F931A4" w:rsidRPr="00990D3B" w:rsidP="00BD1FC3" w14:paraId="45D4B8B0" w14:textId="77777777">
            <w:pPr>
              <w:pStyle w:val="EQRTableText"/>
            </w:pPr>
            <w:r w:rsidRPr="00990D3B">
              <w:t> </w:t>
            </w:r>
          </w:p>
        </w:tc>
        <w:tc>
          <w:tcPr>
            <w:tcW w:w="2772" w:type="dxa"/>
          </w:tcPr>
          <w:p w:rsidR="00F931A4" w:rsidRPr="00990D3B" w:rsidP="00BD1FC3" w14:paraId="0CBE0C16" w14:textId="77777777">
            <w:pPr>
              <w:pStyle w:val="EQRTableText"/>
            </w:pPr>
            <w:r w:rsidRPr="00990D3B">
              <w:t> </w:t>
            </w:r>
          </w:p>
        </w:tc>
      </w:tr>
      <w:tr w14:paraId="4A8D1B3C" w14:textId="77777777" w:rsidTr="000E2BCC">
        <w:tblPrEx>
          <w:tblW w:w="5000" w:type="pct"/>
          <w:tblLook w:val="04A0"/>
        </w:tblPrEx>
        <w:trPr>
          <w:cantSplit/>
        </w:trPr>
        <w:tc>
          <w:tcPr>
            <w:tcW w:w="8635" w:type="dxa"/>
          </w:tcPr>
          <w:p w:rsidR="00F931A4" w:rsidRPr="00990D3B" w:rsidP="00BD1FC3" w14:paraId="13C1FD6F" w14:textId="77777777">
            <w:pPr>
              <w:pStyle w:val="EQRTableText"/>
            </w:pPr>
            <w:r w:rsidRPr="00990D3B">
              <w:t>Review of reported measures to assess consistency of common elements (e.g., membership counts, number of pregnancies and births, etc.)</w:t>
            </w:r>
          </w:p>
        </w:tc>
        <w:tc>
          <w:tcPr>
            <w:tcW w:w="1543" w:type="dxa"/>
          </w:tcPr>
          <w:p w:rsidR="00F931A4" w:rsidRPr="00990D3B" w:rsidP="00BD1FC3" w14:paraId="14243D28" w14:textId="77777777">
            <w:pPr>
              <w:pStyle w:val="EQRTableText"/>
            </w:pPr>
            <w:r w:rsidRPr="00990D3B">
              <w:t> </w:t>
            </w:r>
          </w:p>
        </w:tc>
        <w:tc>
          <w:tcPr>
            <w:tcW w:w="2772" w:type="dxa"/>
          </w:tcPr>
          <w:p w:rsidR="00F931A4" w:rsidRPr="00990D3B" w:rsidP="00BD1FC3" w14:paraId="4D4AD2FD" w14:textId="77777777">
            <w:pPr>
              <w:pStyle w:val="EQRTableText"/>
            </w:pPr>
            <w:r w:rsidRPr="00990D3B">
              <w:t> </w:t>
            </w:r>
          </w:p>
        </w:tc>
      </w:tr>
      <w:tr w14:paraId="7F1C36DD" w14:textId="77777777" w:rsidTr="000E2BCC">
        <w:tblPrEx>
          <w:tblW w:w="5000" w:type="pct"/>
          <w:tblLook w:val="04A0"/>
        </w:tblPrEx>
        <w:trPr>
          <w:cantSplit/>
        </w:trPr>
        <w:tc>
          <w:tcPr>
            <w:tcW w:w="8635" w:type="dxa"/>
          </w:tcPr>
          <w:p w:rsidR="00F931A4" w:rsidRPr="00990D3B" w:rsidP="00BD1FC3" w14:paraId="225AB925" w14:textId="77777777">
            <w:pPr>
              <w:pStyle w:val="EQRTableText"/>
            </w:pPr>
            <w:r w:rsidRPr="00990D3B">
              <w:t>Programming logic and/or source code for measures with complex algorithms, to ensure adequate matching and linkage among different types of data</w:t>
            </w:r>
          </w:p>
        </w:tc>
        <w:tc>
          <w:tcPr>
            <w:tcW w:w="1543" w:type="dxa"/>
          </w:tcPr>
          <w:p w:rsidR="00F931A4" w:rsidRPr="00990D3B" w:rsidP="00BD1FC3" w14:paraId="0D7D8CF2" w14:textId="77777777">
            <w:pPr>
              <w:pStyle w:val="EQRTableText"/>
            </w:pPr>
            <w:r w:rsidRPr="00990D3B">
              <w:t> </w:t>
            </w:r>
          </w:p>
        </w:tc>
        <w:tc>
          <w:tcPr>
            <w:tcW w:w="2772" w:type="dxa"/>
          </w:tcPr>
          <w:p w:rsidR="00F931A4" w:rsidRPr="00990D3B" w:rsidP="00BD1FC3" w14:paraId="2494E4DA" w14:textId="77777777">
            <w:pPr>
              <w:pStyle w:val="EQRTableText"/>
            </w:pPr>
            <w:r w:rsidRPr="00990D3B">
              <w:t> </w:t>
            </w:r>
          </w:p>
        </w:tc>
      </w:tr>
      <w:tr w14:paraId="59FBB16F" w14:textId="77777777" w:rsidTr="000E2BCC">
        <w:tblPrEx>
          <w:tblW w:w="5000" w:type="pct"/>
          <w:tblLook w:val="04A0"/>
        </w:tblPrEx>
        <w:trPr>
          <w:cantSplit/>
        </w:trPr>
        <w:tc>
          <w:tcPr>
            <w:tcW w:w="8635" w:type="dxa"/>
          </w:tcPr>
          <w:p w:rsidR="00F931A4" w:rsidRPr="00990D3B" w:rsidP="00BD1FC3" w14:paraId="7871BAE9" w14:textId="77777777">
            <w:pPr>
              <w:pStyle w:val="EQRTableText"/>
            </w:pPr>
            <w:r w:rsidRPr="00990D3B">
              <w:t>Documentation showing confidence intervals of calculations when sampling methodology used</w:t>
            </w:r>
          </w:p>
        </w:tc>
        <w:tc>
          <w:tcPr>
            <w:tcW w:w="1543" w:type="dxa"/>
          </w:tcPr>
          <w:p w:rsidR="00F931A4" w:rsidRPr="00990D3B" w:rsidP="00BD1FC3" w14:paraId="3E1C7BF3" w14:textId="77777777">
            <w:pPr>
              <w:pStyle w:val="EQRTableText"/>
            </w:pPr>
            <w:r w:rsidRPr="00990D3B">
              <w:t> </w:t>
            </w:r>
          </w:p>
        </w:tc>
        <w:tc>
          <w:tcPr>
            <w:tcW w:w="2772" w:type="dxa"/>
          </w:tcPr>
          <w:p w:rsidR="00F931A4" w:rsidRPr="00990D3B" w:rsidP="00BD1FC3" w14:paraId="65CBE421" w14:textId="77777777">
            <w:pPr>
              <w:pStyle w:val="EQRTableText"/>
            </w:pPr>
            <w:r w:rsidRPr="00990D3B">
              <w:t> </w:t>
            </w:r>
          </w:p>
        </w:tc>
      </w:tr>
      <w:tr w14:paraId="2E35CA7E" w14:textId="77777777" w:rsidTr="000E2BCC">
        <w:tblPrEx>
          <w:tblW w:w="5000" w:type="pct"/>
          <w:tblLook w:val="04A0"/>
        </w:tblPrEx>
        <w:trPr>
          <w:cantSplit/>
        </w:trPr>
        <w:tc>
          <w:tcPr>
            <w:tcW w:w="8635" w:type="dxa"/>
          </w:tcPr>
          <w:p w:rsidR="00F931A4" w:rsidRPr="00990D3B" w:rsidP="00BD1FC3" w14:paraId="27D2DB4C" w14:textId="77777777">
            <w:pPr>
              <w:pStyle w:val="EQRTableText"/>
            </w:pPr>
            <w:r w:rsidRPr="00990D3B">
              <w:t>Documentation showing calculation of levels of significance of changes</w:t>
            </w:r>
          </w:p>
        </w:tc>
        <w:tc>
          <w:tcPr>
            <w:tcW w:w="1543" w:type="dxa"/>
          </w:tcPr>
          <w:p w:rsidR="00F931A4" w:rsidRPr="00990D3B" w:rsidP="00BD1FC3" w14:paraId="5F33C2A2" w14:textId="77777777">
            <w:pPr>
              <w:pStyle w:val="EQRTableText"/>
            </w:pPr>
            <w:r w:rsidRPr="00990D3B">
              <w:t> </w:t>
            </w:r>
          </w:p>
        </w:tc>
        <w:tc>
          <w:tcPr>
            <w:tcW w:w="2772" w:type="dxa"/>
          </w:tcPr>
          <w:p w:rsidR="00F931A4" w:rsidRPr="00990D3B" w:rsidP="00BD1FC3" w14:paraId="5FBE9A64" w14:textId="77777777">
            <w:pPr>
              <w:pStyle w:val="EQRTableText"/>
            </w:pPr>
            <w:r w:rsidRPr="00990D3B">
              <w:t> </w:t>
            </w:r>
          </w:p>
        </w:tc>
      </w:tr>
      <w:tr w14:paraId="6E201B3D" w14:textId="77777777" w:rsidTr="000E2BCC">
        <w:tblPrEx>
          <w:tblW w:w="5000" w:type="pct"/>
          <w:tblLook w:val="04A0"/>
        </w:tblPrEx>
        <w:trPr>
          <w:cantSplit/>
        </w:trPr>
        <w:tc>
          <w:tcPr>
            <w:tcW w:w="8635" w:type="dxa"/>
          </w:tcPr>
          <w:p w:rsidR="00F931A4" w:rsidRPr="00990D3B" w:rsidP="00BD1FC3" w14:paraId="60A60748" w14:textId="77777777">
            <w:pPr>
              <w:pStyle w:val="EQRTableText"/>
            </w:pPr>
            <w:r w:rsidRPr="00990D3B">
              <w:t>Procedures for submitting reports that meet state requirements (e.g., specified electronic format, supporting documentation, and timing)</w:t>
            </w:r>
          </w:p>
        </w:tc>
        <w:tc>
          <w:tcPr>
            <w:tcW w:w="1543" w:type="dxa"/>
          </w:tcPr>
          <w:p w:rsidR="00F931A4" w:rsidRPr="00990D3B" w:rsidP="00BD1FC3" w14:paraId="5C72483F" w14:textId="77777777">
            <w:pPr>
              <w:pStyle w:val="EQRTableText"/>
            </w:pPr>
            <w:r w:rsidRPr="00990D3B">
              <w:t> </w:t>
            </w:r>
          </w:p>
        </w:tc>
        <w:tc>
          <w:tcPr>
            <w:tcW w:w="2772" w:type="dxa"/>
          </w:tcPr>
          <w:p w:rsidR="00F931A4" w:rsidRPr="00990D3B" w:rsidP="00BD1FC3" w14:paraId="274A72BA" w14:textId="77777777">
            <w:pPr>
              <w:pStyle w:val="EQRTableText"/>
            </w:pPr>
            <w:r w:rsidRPr="00990D3B">
              <w:t> </w:t>
            </w:r>
          </w:p>
        </w:tc>
      </w:tr>
      <w:tr w14:paraId="0C3B2D18" w14:textId="77777777" w:rsidTr="000E2BCC">
        <w:tblPrEx>
          <w:tblW w:w="5000" w:type="pct"/>
          <w:tblLook w:val="04A0"/>
        </w:tblPrEx>
        <w:trPr>
          <w:cantSplit/>
        </w:trPr>
        <w:tc>
          <w:tcPr>
            <w:tcW w:w="8635" w:type="dxa"/>
          </w:tcPr>
          <w:p w:rsidR="00F931A4" w:rsidRPr="00990D3B" w:rsidP="00BD1FC3" w14:paraId="60C1F2E9" w14:textId="77777777">
            <w:pPr>
              <w:pStyle w:val="EQRTableText"/>
            </w:pPr>
            <w:r w:rsidRPr="00990D3B">
              <w:t>Documentation that procedures for properly submitting required reports to state were implemented appropriately</w:t>
            </w:r>
          </w:p>
        </w:tc>
        <w:tc>
          <w:tcPr>
            <w:tcW w:w="1543" w:type="dxa"/>
          </w:tcPr>
          <w:p w:rsidR="00F931A4" w:rsidRPr="00990D3B" w:rsidP="00BD1FC3" w14:paraId="0B90C950" w14:textId="77777777">
            <w:pPr>
              <w:pStyle w:val="EQRTableText"/>
            </w:pPr>
            <w:r w:rsidRPr="00990D3B">
              <w:t> </w:t>
            </w:r>
          </w:p>
        </w:tc>
        <w:tc>
          <w:tcPr>
            <w:tcW w:w="2772" w:type="dxa"/>
          </w:tcPr>
          <w:p w:rsidR="00F931A4" w:rsidRPr="00990D3B" w:rsidP="00BD1FC3" w14:paraId="4C87AE6B" w14:textId="77777777">
            <w:pPr>
              <w:pStyle w:val="EQRTableText"/>
            </w:pPr>
            <w:r w:rsidRPr="00990D3B">
              <w:t> </w:t>
            </w:r>
          </w:p>
        </w:tc>
      </w:tr>
    </w:tbl>
    <w:p w:rsidR="00F931A4" w:rsidRPr="00990D3B" w:rsidP="00BD1FC3" w14:paraId="3A13D409" w14:textId="77777777">
      <w:pPr>
        <w:pStyle w:val="EQRNormalSSWORKSHEET"/>
      </w:pPr>
      <w:r w:rsidRPr="00990D3B">
        <w:br w:type="page"/>
      </w:r>
    </w:p>
    <w:p w:rsidR="00F931A4" w:rsidRPr="00990D3B" w:rsidP="00BD1FC3" w14:paraId="25BA1E4F" w14:textId="77777777">
      <w:pPr>
        <w:pStyle w:val="EQRMarkforExhibitWORKSHEET"/>
      </w:pPr>
      <w:bookmarkStart w:id="302" w:name="WSp2n5"/>
      <w:bookmarkStart w:id="303" w:name="_Toc125619149"/>
      <w:bookmarkStart w:id="304" w:name="_Toc201751498"/>
      <w:bookmarkEnd w:id="302"/>
      <w:r w:rsidRPr="00990D3B">
        <w:t>Worksheet 2.5. Interview Guide for MCP Data Integration and Control Personnel</w:t>
      </w:r>
      <w:bookmarkEnd w:id="303"/>
      <w:bookmarkEnd w:id="304"/>
      <w:r w:rsidRPr="00990D3B">
        <w:t xml:space="preserve"> </w:t>
      </w:r>
    </w:p>
    <w:p w:rsidR="00F931A4" w:rsidRPr="00990D3B" w:rsidP="00BD1FC3" w14:paraId="702989A6" w14:textId="5446329E">
      <w:pPr>
        <w:pStyle w:val="EQRNormalSSWORKSHEET"/>
      </w:pPr>
      <w:r w:rsidRPr="00990D3B">
        <w:rPr>
          <w:b/>
        </w:rPr>
        <w:t>Instructions.</w:t>
      </w:r>
      <w:r w:rsidRPr="00990D3B">
        <w:t xml:space="preserve"> As part of the review of information system components the MCP uses to produce performance measures, interview key staff (including appropriate vendor staff) involved in the production of performance measures using questions tailored to the MCP’s processes for producing those measures. These interviews are an opportunity to supplement the review of information system policies, procedures, and data</w:t>
      </w:r>
      <w:r w:rsidRPr="00990D3B" w:rsidR="00B331C8">
        <w:t xml:space="preserve">, </w:t>
      </w:r>
      <w:r w:rsidRPr="00990D3B">
        <w:t xml:space="preserve">as described in </w:t>
      </w:r>
      <w:hyperlink w:anchor="P2Act2Step1" w:tooltip="Activity 2, Step 1" w:history="1">
        <w:r w:rsidRPr="00990D3B">
          <w:rPr>
            <w:rStyle w:val="Hyperlink"/>
          </w:rPr>
          <w:t>Activity 2, Step 1</w:t>
        </w:r>
      </w:hyperlink>
      <w:r w:rsidRPr="00990D3B">
        <w:t xml:space="preserve">. </w:t>
      </w:r>
      <w:r w:rsidRPr="00990D3B" w:rsidR="001E1533">
        <w:t>T</w:t>
      </w:r>
      <w:r w:rsidRPr="00990D3B">
        <w:t>ailor the questions below as appropriate.</w:t>
      </w:r>
    </w:p>
    <w:p w:rsidR="006C592C" w:rsidRPr="00990D3B" w:rsidP="00BD1FC3" w14:paraId="3174D8AC" w14:textId="77777777">
      <w:pPr>
        <w:pStyle w:val="EQRNormalSSWORKSHEET"/>
        <w:spacing w:line="240" w:lineRule="auto"/>
      </w:pPr>
      <w:r w:rsidRPr="00990D3B">
        <w:t>Acronyms: CHIP = Children’s Health Insurance Program; EQRO = External Quality Review Organization; MCP= Managed Care Plan.</w:t>
      </w:r>
    </w:p>
    <w:p w:rsidR="00F931A4" w:rsidRPr="00990D3B" w:rsidP="00BD1FC3" w14:paraId="0492940D" w14:textId="77777777">
      <w:pPr>
        <w:pStyle w:val="EQRNormalSSWORKSHEET"/>
        <w:rPr>
          <w:b/>
        </w:rPr>
      </w:pPr>
      <w:r w:rsidRPr="00990D3B">
        <w:rPr>
          <w:b/>
        </w:rPr>
        <w:t>MCP Contact and Background Information</w:t>
      </w:r>
    </w:p>
    <w:p w:rsidR="00F931A4" w:rsidRPr="00990D3B" w:rsidP="00BD1FC3" w14:paraId="06467C2F" w14:textId="13733B10">
      <w:pPr>
        <w:pStyle w:val="EQRNormalSSWORKSHEET"/>
      </w:pPr>
      <w:r w:rsidRPr="00990D3B">
        <w:t>I</w:t>
      </w:r>
      <w:r w:rsidRPr="00990D3B">
        <w:t>nsert or verify the MCP contact information below.</w:t>
      </w:r>
    </w:p>
    <w:tbl>
      <w:tblPr>
        <w:tblStyle w:val="TableGrid"/>
        <w:tblW w:w="5000" w:type="pct"/>
        <w:tblLook w:val="04A0"/>
      </w:tblPr>
      <w:tblGrid>
        <w:gridCol w:w="4417"/>
        <w:gridCol w:w="8533"/>
      </w:tblGrid>
      <w:tr w14:paraId="7C195742" w14:textId="77777777" w:rsidTr="00BD1FC3">
        <w:tblPrEx>
          <w:tblW w:w="5000" w:type="pct"/>
          <w:tblLook w:val="04A0"/>
        </w:tblPrEx>
        <w:trPr>
          <w:cantSplit/>
        </w:trPr>
        <w:tc>
          <w:tcPr>
            <w:tcW w:w="4495" w:type="dxa"/>
          </w:tcPr>
          <w:p w:rsidR="00F931A4" w:rsidRPr="00990D3B" w:rsidP="00BD1FC3" w14:paraId="5916D929" w14:textId="77777777">
            <w:pPr>
              <w:pStyle w:val="EQRTableText"/>
            </w:pPr>
            <w:r w:rsidRPr="00990D3B">
              <w:t>MCP name:</w:t>
            </w:r>
          </w:p>
        </w:tc>
        <w:tc>
          <w:tcPr>
            <w:tcW w:w="8730" w:type="dxa"/>
          </w:tcPr>
          <w:p w:rsidR="00F931A4" w:rsidRPr="00990D3B" w:rsidP="00BD1FC3" w14:paraId="5C95DBAD" w14:textId="77777777">
            <w:pPr>
              <w:pStyle w:val="EQRTableText"/>
            </w:pPr>
            <w:r w:rsidRPr="00990D3B">
              <w:t> </w:t>
            </w:r>
          </w:p>
        </w:tc>
      </w:tr>
      <w:tr w14:paraId="32F2DC3E" w14:textId="77777777" w:rsidTr="00BD1FC3">
        <w:tblPrEx>
          <w:tblW w:w="5000" w:type="pct"/>
          <w:tblLook w:val="04A0"/>
        </w:tblPrEx>
        <w:trPr>
          <w:cantSplit/>
        </w:trPr>
        <w:tc>
          <w:tcPr>
            <w:tcW w:w="4495" w:type="dxa"/>
          </w:tcPr>
          <w:p w:rsidR="00F931A4" w:rsidRPr="00990D3B" w:rsidP="00BD1FC3" w14:paraId="73356FE4" w14:textId="77777777">
            <w:pPr>
              <w:pStyle w:val="EQRTableText"/>
            </w:pPr>
            <w:r w:rsidRPr="00990D3B">
              <w:t>MCP contact name(s):</w:t>
            </w:r>
          </w:p>
        </w:tc>
        <w:tc>
          <w:tcPr>
            <w:tcW w:w="8730" w:type="dxa"/>
          </w:tcPr>
          <w:p w:rsidR="00F931A4" w:rsidRPr="00990D3B" w:rsidP="00BD1FC3" w14:paraId="641273D7" w14:textId="77777777">
            <w:pPr>
              <w:pStyle w:val="EQRTableText"/>
            </w:pPr>
            <w:r w:rsidRPr="00990D3B">
              <w:t> </w:t>
            </w:r>
          </w:p>
        </w:tc>
      </w:tr>
      <w:tr w14:paraId="46FC5140" w14:textId="77777777" w:rsidTr="00BD1FC3">
        <w:tblPrEx>
          <w:tblW w:w="5000" w:type="pct"/>
          <w:tblLook w:val="04A0"/>
        </w:tblPrEx>
        <w:trPr>
          <w:cantSplit/>
        </w:trPr>
        <w:tc>
          <w:tcPr>
            <w:tcW w:w="4495" w:type="dxa"/>
          </w:tcPr>
          <w:p w:rsidR="00F931A4" w:rsidRPr="00990D3B" w:rsidP="00BD1FC3" w14:paraId="29F807E6" w14:textId="77777777">
            <w:pPr>
              <w:pStyle w:val="EQRTableText"/>
            </w:pPr>
            <w:r w:rsidRPr="00990D3B">
              <w:t>Title(s):</w:t>
            </w:r>
          </w:p>
        </w:tc>
        <w:tc>
          <w:tcPr>
            <w:tcW w:w="8730" w:type="dxa"/>
          </w:tcPr>
          <w:p w:rsidR="00F931A4" w:rsidRPr="00990D3B" w:rsidP="00BD1FC3" w14:paraId="2B53C013" w14:textId="77777777">
            <w:pPr>
              <w:pStyle w:val="EQRTableText"/>
            </w:pPr>
            <w:r w:rsidRPr="00990D3B">
              <w:t> </w:t>
            </w:r>
          </w:p>
        </w:tc>
      </w:tr>
      <w:tr w14:paraId="2B19DEAD" w14:textId="77777777" w:rsidTr="00BD1FC3">
        <w:tblPrEx>
          <w:tblW w:w="5000" w:type="pct"/>
          <w:tblLook w:val="04A0"/>
        </w:tblPrEx>
        <w:trPr>
          <w:cantSplit/>
        </w:trPr>
        <w:tc>
          <w:tcPr>
            <w:tcW w:w="4495" w:type="dxa"/>
          </w:tcPr>
          <w:p w:rsidR="00F931A4" w:rsidRPr="00990D3B" w:rsidP="00BD1FC3" w14:paraId="58C5CE81" w14:textId="77777777">
            <w:pPr>
              <w:pStyle w:val="EQRTableText"/>
            </w:pPr>
            <w:r w:rsidRPr="00990D3B">
              <w:t>Mailing address:</w:t>
            </w:r>
          </w:p>
        </w:tc>
        <w:tc>
          <w:tcPr>
            <w:tcW w:w="8730" w:type="dxa"/>
          </w:tcPr>
          <w:p w:rsidR="00F931A4" w:rsidRPr="00990D3B" w:rsidP="00BD1FC3" w14:paraId="379004EE" w14:textId="77777777">
            <w:pPr>
              <w:pStyle w:val="EQRTableText"/>
            </w:pPr>
            <w:r w:rsidRPr="00990D3B">
              <w:t> </w:t>
            </w:r>
          </w:p>
        </w:tc>
      </w:tr>
      <w:tr w14:paraId="532F17C2" w14:textId="77777777" w:rsidTr="00BD1FC3">
        <w:tblPrEx>
          <w:tblW w:w="5000" w:type="pct"/>
          <w:tblLook w:val="04A0"/>
        </w:tblPrEx>
        <w:trPr>
          <w:cantSplit/>
        </w:trPr>
        <w:tc>
          <w:tcPr>
            <w:tcW w:w="4495" w:type="dxa"/>
          </w:tcPr>
          <w:p w:rsidR="00F931A4" w:rsidRPr="00990D3B" w:rsidP="00BD1FC3" w14:paraId="1A805FE0" w14:textId="77777777">
            <w:pPr>
              <w:pStyle w:val="EQRTableText"/>
            </w:pPr>
            <w:r w:rsidRPr="00990D3B">
              <w:t>Phone number(s):</w:t>
            </w:r>
          </w:p>
        </w:tc>
        <w:tc>
          <w:tcPr>
            <w:tcW w:w="8730" w:type="dxa"/>
          </w:tcPr>
          <w:p w:rsidR="00F931A4" w:rsidRPr="00990D3B" w:rsidP="00BD1FC3" w14:paraId="49EAE3B9" w14:textId="77777777">
            <w:pPr>
              <w:pStyle w:val="EQRTableText"/>
            </w:pPr>
            <w:r w:rsidRPr="00990D3B">
              <w:t> </w:t>
            </w:r>
          </w:p>
        </w:tc>
      </w:tr>
      <w:tr w14:paraId="696322F0" w14:textId="77777777" w:rsidTr="00BD1FC3">
        <w:tblPrEx>
          <w:tblW w:w="5000" w:type="pct"/>
          <w:tblLook w:val="04A0"/>
        </w:tblPrEx>
        <w:trPr>
          <w:cantSplit/>
        </w:trPr>
        <w:tc>
          <w:tcPr>
            <w:tcW w:w="4495" w:type="dxa"/>
          </w:tcPr>
          <w:p w:rsidR="00F931A4" w:rsidRPr="00990D3B" w:rsidP="00BD1FC3" w14:paraId="50AF485D" w14:textId="77777777">
            <w:pPr>
              <w:pStyle w:val="EQRTableText"/>
            </w:pPr>
            <w:r w:rsidRPr="00990D3B">
              <w:t>Email address:</w:t>
            </w:r>
          </w:p>
        </w:tc>
        <w:tc>
          <w:tcPr>
            <w:tcW w:w="8730" w:type="dxa"/>
          </w:tcPr>
          <w:p w:rsidR="00F931A4" w:rsidRPr="00990D3B" w:rsidP="00BD1FC3" w14:paraId="6F77FE49" w14:textId="77777777">
            <w:pPr>
              <w:pStyle w:val="EQRTableText"/>
            </w:pPr>
            <w:r w:rsidRPr="00990D3B">
              <w:t> </w:t>
            </w:r>
          </w:p>
        </w:tc>
      </w:tr>
      <w:tr w14:paraId="35EC8993" w14:textId="77777777" w:rsidTr="00BD1FC3">
        <w:tblPrEx>
          <w:tblW w:w="5000" w:type="pct"/>
          <w:tblLook w:val="04A0"/>
        </w:tblPrEx>
        <w:trPr>
          <w:cantSplit/>
        </w:trPr>
        <w:tc>
          <w:tcPr>
            <w:tcW w:w="4495" w:type="dxa"/>
          </w:tcPr>
          <w:p w:rsidR="00F931A4" w:rsidRPr="00990D3B" w:rsidP="00BD1FC3" w14:paraId="1B404B19" w14:textId="77777777">
            <w:pPr>
              <w:pStyle w:val="EQRTableText"/>
            </w:pPr>
            <w:r w:rsidRPr="00990D3B">
              <w:t>Interview Date:</w:t>
            </w:r>
          </w:p>
        </w:tc>
        <w:tc>
          <w:tcPr>
            <w:tcW w:w="8730" w:type="dxa"/>
          </w:tcPr>
          <w:p w:rsidR="00F931A4" w:rsidRPr="00990D3B" w:rsidP="00BD1FC3" w14:paraId="0C8DC5DE" w14:textId="77777777">
            <w:pPr>
              <w:pStyle w:val="EQRTableText"/>
            </w:pPr>
            <w:r w:rsidRPr="00990D3B">
              <w:t> </w:t>
            </w:r>
          </w:p>
        </w:tc>
      </w:tr>
      <w:tr w14:paraId="4816CA71" w14:textId="77777777" w:rsidTr="00BD1FC3">
        <w:tblPrEx>
          <w:tblW w:w="5000" w:type="pct"/>
          <w:tblLook w:val="04A0"/>
        </w:tblPrEx>
        <w:trPr>
          <w:cantSplit/>
        </w:trPr>
        <w:tc>
          <w:tcPr>
            <w:tcW w:w="4495" w:type="dxa"/>
          </w:tcPr>
          <w:p w:rsidR="00F931A4" w:rsidRPr="00990D3B" w:rsidP="00BD1FC3" w14:paraId="4E66A185" w14:textId="77777777">
            <w:pPr>
              <w:pStyle w:val="EQRTableText"/>
            </w:pPr>
            <w:r w:rsidRPr="00990D3B">
              <w:t xml:space="preserve">EQRO reviewers: </w:t>
            </w:r>
          </w:p>
        </w:tc>
        <w:tc>
          <w:tcPr>
            <w:tcW w:w="8730" w:type="dxa"/>
          </w:tcPr>
          <w:p w:rsidR="00F931A4" w:rsidRPr="00990D3B" w:rsidP="00BD1FC3" w14:paraId="524F5258" w14:textId="77777777">
            <w:pPr>
              <w:pStyle w:val="EQRTableText"/>
            </w:pPr>
            <w:r w:rsidRPr="00990D3B">
              <w:t> </w:t>
            </w:r>
          </w:p>
        </w:tc>
      </w:tr>
      <w:tr w14:paraId="3F72ED4C" w14:textId="77777777" w:rsidTr="00BD1FC3">
        <w:tblPrEx>
          <w:tblW w:w="5000" w:type="pct"/>
          <w:tblLook w:val="04A0"/>
        </w:tblPrEx>
        <w:trPr>
          <w:cantSplit/>
        </w:trPr>
        <w:tc>
          <w:tcPr>
            <w:tcW w:w="4495" w:type="dxa"/>
          </w:tcPr>
          <w:p w:rsidR="00F931A4" w:rsidRPr="00990D3B" w:rsidP="00BD1FC3" w14:paraId="2D612E0A" w14:textId="77777777">
            <w:pPr>
              <w:pStyle w:val="EQRTableText"/>
            </w:pPr>
            <w:r w:rsidRPr="00990D3B">
              <w:t>Year of first Medicaid enrollment:</w:t>
            </w:r>
          </w:p>
        </w:tc>
        <w:tc>
          <w:tcPr>
            <w:tcW w:w="8730" w:type="dxa"/>
          </w:tcPr>
          <w:p w:rsidR="00F931A4" w:rsidRPr="00990D3B" w:rsidP="00BD1FC3" w14:paraId="042FF912" w14:textId="77777777">
            <w:pPr>
              <w:pStyle w:val="EQRTableText"/>
            </w:pPr>
            <w:r w:rsidRPr="00990D3B">
              <w:t> </w:t>
            </w:r>
          </w:p>
        </w:tc>
      </w:tr>
      <w:tr w14:paraId="278F1428" w14:textId="77777777" w:rsidTr="00BD1FC3">
        <w:tblPrEx>
          <w:tblW w:w="5000" w:type="pct"/>
          <w:tblLook w:val="04A0"/>
        </w:tblPrEx>
        <w:trPr>
          <w:cantSplit/>
        </w:trPr>
        <w:tc>
          <w:tcPr>
            <w:tcW w:w="4495" w:type="dxa"/>
          </w:tcPr>
          <w:p w:rsidR="00F931A4" w:rsidRPr="00990D3B" w:rsidP="00BD1FC3" w14:paraId="37065A92" w14:textId="77777777">
            <w:pPr>
              <w:pStyle w:val="EQRTableText"/>
            </w:pPr>
            <w:r w:rsidRPr="00990D3B">
              <w:t xml:space="preserve">Year of first CHIP enrollment: </w:t>
            </w:r>
          </w:p>
        </w:tc>
        <w:tc>
          <w:tcPr>
            <w:tcW w:w="8730" w:type="dxa"/>
          </w:tcPr>
          <w:p w:rsidR="00F931A4" w:rsidRPr="00990D3B" w:rsidP="00BD1FC3" w14:paraId="09CD6457" w14:textId="77777777">
            <w:pPr>
              <w:pStyle w:val="EQRTableText"/>
            </w:pPr>
            <w:r w:rsidRPr="00990D3B">
              <w:t> </w:t>
            </w:r>
          </w:p>
        </w:tc>
      </w:tr>
      <w:tr w14:paraId="78D8D152" w14:textId="77777777" w:rsidTr="00BD1FC3">
        <w:tblPrEx>
          <w:tblW w:w="5000" w:type="pct"/>
          <w:tblLook w:val="04A0"/>
        </w:tblPrEx>
        <w:trPr>
          <w:cantSplit/>
        </w:trPr>
        <w:tc>
          <w:tcPr>
            <w:tcW w:w="4495" w:type="dxa"/>
          </w:tcPr>
          <w:p w:rsidR="00F931A4" w:rsidRPr="00990D3B" w:rsidP="00BD1FC3" w14:paraId="3704FF00" w14:textId="77777777">
            <w:pPr>
              <w:pStyle w:val="EQRTableText"/>
            </w:pPr>
            <w:r w:rsidRPr="00990D3B">
              <w:t>Year of first MCP performance report (any product line)</w:t>
            </w:r>
          </w:p>
        </w:tc>
        <w:tc>
          <w:tcPr>
            <w:tcW w:w="8730" w:type="dxa"/>
          </w:tcPr>
          <w:p w:rsidR="00F931A4" w:rsidRPr="00990D3B" w:rsidP="00BD1FC3" w14:paraId="55B76CE1" w14:textId="77777777">
            <w:pPr>
              <w:pStyle w:val="EQRTableText"/>
            </w:pPr>
            <w:r w:rsidRPr="00990D3B">
              <w:t> </w:t>
            </w:r>
          </w:p>
        </w:tc>
      </w:tr>
    </w:tbl>
    <w:p w:rsidR="00F931A4" w:rsidRPr="00990D3B" w:rsidP="00854363" w14:paraId="30E331F9" w14:textId="77777777">
      <w:pPr>
        <w:pStyle w:val="EQRNormalSSWSquestion"/>
      </w:pPr>
      <w:r w:rsidRPr="00990D3B">
        <w:t>1.</w:t>
      </w:r>
      <w:r w:rsidRPr="00990D3B">
        <w:tab/>
        <w:t xml:space="preserve">Has the MCP previously undergone validation of its state performance measure reporting process? If so, when did the validation take place and who conducted it? </w:t>
      </w:r>
    </w:p>
    <w:p w:rsidR="00F931A4" w:rsidRPr="00990D3B" w:rsidP="00854363" w14:paraId="1700E89D" w14:textId="77777777">
      <w:pPr>
        <w:pStyle w:val="EQRNormalSSWSquestionNUMBER"/>
      </w:pPr>
      <w:r w:rsidRPr="00990D3B">
        <w:t>2.</w:t>
      </w:r>
      <w:r w:rsidRPr="00990D3B">
        <w:tab/>
        <w:t xml:space="preserve">How is performance </w:t>
      </w:r>
      <w:r w:rsidRPr="00990D3B">
        <w:t>measure</w:t>
      </w:r>
      <w:r w:rsidRPr="00990D3B">
        <w:t xml:space="preserve"> data collection accomplished? (Check all that apply)</w:t>
      </w:r>
    </w:p>
    <w:p w:rsidR="00F931A4" w:rsidRPr="00990D3B" w:rsidP="00517D82" w14:paraId="18E889A2" w14:textId="77777777">
      <w:pPr>
        <w:pStyle w:val="EQRNormalSSWSbullet"/>
      </w:pPr>
      <w:r w:rsidRPr="00990D3B">
        <w:tab/>
        <w:t xml:space="preserve">[  </w:t>
      </w:r>
      <w:r w:rsidRPr="00990D3B">
        <w:t xml:space="preserve">  ]</w:t>
      </w:r>
      <w:r w:rsidRPr="00990D3B">
        <w:t xml:space="preserve">   By querying the applicable information system on-line</w:t>
      </w:r>
    </w:p>
    <w:p w:rsidR="00F931A4" w:rsidRPr="00990D3B" w:rsidP="00517D82" w14:paraId="2BF4C0FA" w14:textId="77777777">
      <w:pPr>
        <w:pStyle w:val="EQRNormalSSWSbullet"/>
        <w:rPr>
          <w:rFonts w:cs="Arial"/>
        </w:rPr>
      </w:pPr>
      <w:r w:rsidRPr="00990D3B">
        <w:tab/>
        <w:t xml:space="preserve">[  </w:t>
      </w:r>
      <w:r w:rsidRPr="00990D3B">
        <w:t xml:space="preserve">  ]</w:t>
      </w:r>
      <w:r w:rsidRPr="00990D3B">
        <w:t xml:space="preserve">   </w:t>
      </w:r>
      <w:r w:rsidRPr="00990D3B">
        <w:rPr>
          <w:rFonts w:cs="Arial"/>
        </w:rPr>
        <w:t xml:space="preserve">By using extract files created for analytical </w:t>
      </w:r>
      <w:r w:rsidRPr="00990D3B">
        <w:rPr>
          <w:rFonts w:cs="Arial"/>
        </w:rPr>
        <w:t>purposes?</w:t>
      </w:r>
      <w:r w:rsidRPr="00990D3B">
        <w:rPr>
          <w:rFonts w:cs="Arial"/>
        </w:rPr>
        <w:t xml:space="preserve"> If so, how frequently are the files updated? How do they account for claim/ encounter for accuracy?</w:t>
      </w:r>
    </w:p>
    <w:p w:rsidR="00F931A4" w:rsidRPr="00990D3B" w:rsidP="00517D82" w14:paraId="679C0857" w14:textId="77777777">
      <w:pPr>
        <w:pStyle w:val="EQRNormalSSWSbullet"/>
        <w:rPr>
          <w:rFonts w:cs="Arial"/>
        </w:rPr>
      </w:pPr>
      <w:r w:rsidRPr="00990D3B">
        <w:rPr>
          <w:rFonts w:cs="Arial"/>
        </w:rPr>
        <w:tab/>
      </w:r>
      <w:r w:rsidRPr="00990D3B">
        <w:t xml:space="preserve">[  </w:t>
      </w:r>
      <w:r w:rsidRPr="00990D3B">
        <w:t xml:space="preserve">  ]</w:t>
      </w:r>
      <w:r w:rsidRPr="00990D3B">
        <w:t xml:space="preserve">   </w:t>
      </w:r>
      <w:r w:rsidRPr="00990D3B">
        <w:rPr>
          <w:rFonts w:cs="Arial"/>
        </w:rPr>
        <w:t>By using a separate relational database or data warehouse?  If so, is this the same system from which all other reporting is produced?</w:t>
      </w:r>
    </w:p>
    <w:p w:rsidR="00F931A4" w:rsidRPr="00990D3B" w:rsidP="00517D82" w14:paraId="67F8E36B" w14:textId="77777777">
      <w:pPr>
        <w:pStyle w:val="EQRNormalSSWSbullet"/>
        <w:rPr>
          <w:rFonts w:cs="Arial"/>
        </w:rPr>
      </w:pPr>
      <w:r w:rsidRPr="00990D3B">
        <w:rPr>
          <w:rFonts w:cs="Arial"/>
        </w:rPr>
        <w:tab/>
      </w:r>
      <w:r w:rsidRPr="00990D3B">
        <w:t xml:space="preserve">[  </w:t>
      </w:r>
      <w:r w:rsidRPr="00990D3B">
        <w:t xml:space="preserve">  ]</w:t>
      </w:r>
      <w:r w:rsidRPr="00990D3B">
        <w:t xml:space="preserve">   </w:t>
      </w:r>
      <w:r w:rsidRPr="00990D3B">
        <w:rPr>
          <w:rFonts w:cs="Arial"/>
        </w:rPr>
        <w:t>Reports created from an NCQA-certified vendor software product?  If so, how frequently are the files updated?  How are reports checked for accuracy?</w:t>
      </w:r>
    </w:p>
    <w:p w:rsidR="00F931A4" w:rsidRPr="00990D3B" w:rsidP="00854363" w14:paraId="52397CB3" w14:textId="1EA91A67">
      <w:pPr>
        <w:pStyle w:val="EQRNormalSSWSquestion"/>
      </w:pPr>
      <w:r w:rsidRPr="00990D3B">
        <w:t>3.</w:t>
      </w:r>
      <w:r w:rsidRPr="00990D3B">
        <w:tab/>
        <w:t xml:space="preserve">Review the procedure(s) for consolidating claims/encounter, </w:t>
      </w:r>
      <w:r w:rsidRPr="00990D3B" w:rsidR="002F4DD4">
        <w:t>enrollee</w:t>
      </w:r>
      <w:r w:rsidRPr="00990D3B">
        <w:t>, provider, and other data necessary for performance reporting (whether it be into a relational database or file extracts on a measure-by-measure basis):</w:t>
      </w:r>
    </w:p>
    <w:p w:rsidR="00F931A4" w:rsidRPr="00990D3B" w:rsidP="00517D82" w14:paraId="0271D066" w14:textId="77777777">
      <w:pPr>
        <w:pStyle w:val="EQRNormalSSWSbullet"/>
      </w:pPr>
      <w:r w:rsidRPr="00990D3B">
        <w:t xml:space="preserve">How many different sources of data are </w:t>
      </w:r>
      <w:r w:rsidRPr="00990D3B">
        <w:t>merged together</w:t>
      </w:r>
      <w:r w:rsidRPr="00990D3B">
        <w:t xml:space="preserve"> to create reports?</w:t>
      </w:r>
    </w:p>
    <w:p w:rsidR="00F931A4" w:rsidRPr="00990D3B" w:rsidP="00517D82" w14:paraId="635485B6" w14:textId="77777777">
      <w:pPr>
        <w:pStyle w:val="EQRNormalSSWSbullet"/>
      </w:pPr>
      <w:r w:rsidRPr="00990D3B">
        <w:t>What control processes are in place to ensure that this merger is accurate and complete?</w:t>
      </w:r>
    </w:p>
    <w:p w:rsidR="00F931A4" w:rsidRPr="00990D3B" w:rsidP="00BD1FC3" w14:paraId="3C9A7ADA" w14:textId="77777777">
      <w:pPr>
        <w:pStyle w:val="EQRNormalSSWSquestion"/>
        <w:ind w:left="0"/>
      </w:pPr>
      <w:r w:rsidRPr="00990D3B">
        <w:t>4.</w:t>
      </w:r>
      <w:r w:rsidRPr="00990D3B">
        <w:tab/>
        <w:t>How does the MCP test the process used to create the performance measure reports?</w:t>
      </w:r>
    </w:p>
    <w:p w:rsidR="00F931A4" w:rsidRPr="00990D3B" w:rsidP="00BD1FC3" w14:paraId="0D67BE9C" w14:textId="77777777">
      <w:pPr>
        <w:pStyle w:val="EQRNormalSSWSquestion"/>
        <w:ind w:left="0"/>
      </w:pPr>
      <w:r w:rsidRPr="00990D3B">
        <w:t>5.</w:t>
      </w:r>
      <w:r w:rsidRPr="00990D3B">
        <w:tab/>
        <w:t>Does the MCP use any algorithms to check the reasonableness of data integrated to report the MCP performance measures?</w:t>
      </w:r>
    </w:p>
    <w:p w:rsidR="00F931A4" w:rsidRPr="00990D3B" w:rsidP="00BD1FC3" w14:paraId="6008301A" w14:textId="77777777">
      <w:pPr>
        <w:pStyle w:val="EQRNormalSSWSquestion"/>
        <w:ind w:left="0"/>
      </w:pPr>
      <w:r w:rsidRPr="00990D3B">
        <w:t>6.</w:t>
      </w:r>
      <w:r w:rsidRPr="00990D3B">
        <w:tab/>
        <w:t>Is performance measurement reporting programming reviewed by supervisory staff?</w:t>
      </w:r>
    </w:p>
    <w:p w:rsidR="00F931A4" w:rsidRPr="00990D3B" w:rsidP="00BD1FC3" w14:paraId="352A2F96" w14:textId="77777777">
      <w:pPr>
        <w:pStyle w:val="EQRNormalSSWSquestion"/>
        <w:ind w:left="0"/>
      </w:pPr>
      <w:r w:rsidRPr="00990D3B">
        <w:t>7.</w:t>
      </w:r>
      <w:r w:rsidRPr="00990D3B">
        <w:tab/>
        <w:t xml:space="preserve">Please describe any internal backup for </w:t>
      </w:r>
      <w:r w:rsidRPr="00990D3B">
        <w:t>performance measure</w:t>
      </w:r>
      <w:r w:rsidRPr="00990D3B">
        <w:t xml:space="preserve"> programmers, if one exists. Do others know the programming language and the structure of the actual programs? Please describe what documentation exists, if any. </w:t>
      </w:r>
    </w:p>
    <w:p w:rsidR="00F931A4" w:rsidRPr="00990D3B" w:rsidP="00BD1FC3" w14:paraId="2E7054AD" w14:textId="77777777">
      <w:pPr>
        <w:pStyle w:val="EQRNormalSSWSquestion"/>
        <w:ind w:left="0"/>
      </w:pPr>
      <w:r w:rsidRPr="00990D3B">
        <w:t>8.</w:t>
      </w:r>
      <w:r w:rsidRPr="00990D3B">
        <w:tab/>
        <w:t>How does the MCP prevent loss of claim and encounter data when systems fail?</w:t>
      </w:r>
    </w:p>
    <w:p w:rsidR="00F931A4" w:rsidRPr="00990D3B" w:rsidP="00BD1FC3" w14:paraId="266D39C1" w14:textId="77777777">
      <w:pPr>
        <w:pStyle w:val="EQRNormalSSWSquestion"/>
        <w:ind w:left="0"/>
      </w:pPr>
      <w:r w:rsidRPr="00990D3B">
        <w:t>9.</w:t>
      </w:r>
      <w:r w:rsidRPr="00990D3B">
        <w:tab/>
        <w:t>Please describe the administrative data backup systems are in place.</w:t>
      </w:r>
    </w:p>
    <w:p w:rsidR="00F931A4" w:rsidRPr="00990D3B" w:rsidP="00BD1FC3" w14:paraId="474D70D6" w14:textId="77777777">
      <w:pPr>
        <w:pStyle w:val="EQRNormalSSWSquestion"/>
        <w:ind w:left="0"/>
      </w:pPr>
      <w:r w:rsidRPr="00990D3B">
        <w:t>10.</w:t>
      </w:r>
      <w:r w:rsidRPr="00990D3B">
        <w:tab/>
        <w:t>What types of authorization are required to be able to access claims/</w:t>
      </w:r>
      <w:r w:rsidRPr="00990D3B">
        <w:t>encounter</w:t>
      </w:r>
      <w:r w:rsidRPr="00990D3B">
        <w:t xml:space="preserve">, </w:t>
      </w:r>
      <w:r w:rsidRPr="00990D3B">
        <w:t>provider</w:t>
      </w:r>
      <w:r w:rsidRPr="00990D3B">
        <w:t>, membership, and performance measure repository data?</w:t>
      </w:r>
    </w:p>
    <w:p w:rsidR="00F931A4" w:rsidRPr="00990D3B" w:rsidP="00BD1FC3" w14:paraId="00EEA5C7" w14:textId="77777777">
      <w:pPr>
        <w:pStyle w:val="EQRNormalSSWSquestion"/>
        <w:ind w:left="0"/>
      </w:pPr>
      <w:r w:rsidRPr="00990D3B">
        <w:t>11.</w:t>
      </w:r>
      <w:r w:rsidRPr="00990D3B">
        <w:tab/>
        <w:t>Please describe documentation review and demonstrations provided.</w:t>
      </w:r>
    </w:p>
    <w:p w:rsidR="00C82194" w:rsidRPr="00990D3B" w:rsidP="00BD1FC3" w14:paraId="64F1034C" w14:textId="77777777">
      <w:pPr>
        <w:pStyle w:val="EQRNormalSSWORKSHEET"/>
        <w:spacing w:line="240" w:lineRule="auto"/>
        <w:rPr>
          <w:sz w:val="16"/>
          <w:szCs w:val="16"/>
        </w:rPr>
      </w:pPr>
    </w:p>
    <w:p w:rsidR="00F931A4" w:rsidRPr="00990D3B" w:rsidP="00BD1FC3" w14:paraId="4C9CF6FE" w14:textId="77777777">
      <w:pPr>
        <w:pStyle w:val="EQRNormalSSWORKSHEET"/>
      </w:pPr>
      <w:r w:rsidRPr="00990D3B">
        <w:br w:type="page"/>
      </w:r>
    </w:p>
    <w:p w:rsidR="00F931A4" w:rsidRPr="00990D3B" w:rsidP="00BD1FC3" w14:paraId="3CBC548D" w14:textId="77777777">
      <w:pPr>
        <w:pStyle w:val="EQRMarkforExhibitWORKSHEET"/>
      </w:pPr>
      <w:bookmarkStart w:id="305" w:name="WSp2n6"/>
      <w:bookmarkStart w:id="306" w:name="_Toc125619150"/>
      <w:bookmarkStart w:id="307" w:name="_Toc201751499"/>
      <w:bookmarkEnd w:id="305"/>
      <w:r w:rsidRPr="00990D3B">
        <w:t>Worksheet 2.6. Data Integration and Control Findings Tool</w:t>
      </w:r>
      <w:bookmarkEnd w:id="306"/>
      <w:bookmarkEnd w:id="307"/>
      <w:r w:rsidRPr="00990D3B">
        <w:t xml:space="preserve"> </w:t>
      </w:r>
    </w:p>
    <w:p w:rsidR="00F931A4" w:rsidRPr="00990D3B" w:rsidP="00BD1FC3" w14:paraId="20047CBE" w14:textId="27C7E0E2">
      <w:pPr>
        <w:pStyle w:val="EQRNormalSSWORKSHEET"/>
      </w:pPr>
      <w:r w:rsidRPr="00990D3B">
        <w:rPr>
          <w:b/>
        </w:rPr>
        <w:t>Instructions.</w:t>
      </w:r>
      <w:r w:rsidRPr="00990D3B">
        <w:t xml:space="preserve"> During the site visit (described in </w:t>
      </w:r>
      <w:hyperlink w:anchor="P2Act2Step2" w:tooltip="Activity 2, Step 2" w:history="1">
        <w:r w:rsidRPr="00990D3B">
          <w:rPr>
            <w:rStyle w:val="Hyperlink"/>
          </w:rPr>
          <w:t>Activity 2, Step 2</w:t>
        </w:r>
      </w:hyperlink>
      <w:r w:rsidRPr="00990D3B">
        <w:t xml:space="preserve"> and </w:t>
      </w:r>
      <w:hyperlink w:anchor="P2Act3" w:tooltip="Activity 3" w:history="1">
        <w:r w:rsidRPr="00990D3B">
          <w:rPr>
            <w:rStyle w:val="Hyperlink"/>
          </w:rPr>
          <w:t>Activity 3</w:t>
        </w:r>
      </w:hyperlink>
      <w:r w:rsidRPr="00990D3B">
        <w:t xml:space="preserve">), </w:t>
      </w:r>
      <w:r w:rsidRPr="00990D3B" w:rsidR="001E1533">
        <w:t xml:space="preserve">use this tool to </w:t>
      </w:r>
      <w:r w:rsidRPr="00990D3B">
        <w:t xml:space="preserve">review the: </w:t>
      </w:r>
    </w:p>
    <w:p w:rsidR="00F931A4" w:rsidRPr="00990D3B" w:rsidP="000E2BCC" w14:paraId="67323E7E" w14:textId="77777777">
      <w:pPr>
        <w:pStyle w:val="EQRNormalSSWSbullet"/>
      </w:pPr>
      <w:r w:rsidRPr="00990D3B">
        <w:t>Accuracy of data transfers to the assigned performance measure repository</w:t>
      </w:r>
    </w:p>
    <w:p w:rsidR="00F931A4" w:rsidRPr="00990D3B" w:rsidP="000E2BCC" w14:paraId="0D944DD4" w14:textId="77777777">
      <w:pPr>
        <w:pStyle w:val="EQRNormalSSWSbullet"/>
      </w:pPr>
      <w:r w:rsidRPr="00990D3B">
        <w:t>Accuracy of file consolidations, extracts, and derivations</w:t>
      </w:r>
    </w:p>
    <w:p w:rsidR="00F931A4" w:rsidRPr="00990D3B" w:rsidP="000E2BCC" w14:paraId="0D7A80A1" w14:textId="77777777">
      <w:pPr>
        <w:pStyle w:val="EQRNormalSSWSbullet"/>
      </w:pPr>
      <w:r w:rsidRPr="00990D3B">
        <w:t xml:space="preserve">Adequacy of the performance measure data repository to calculate and report performance measures, and </w:t>
      </w:r>
    </w:p>
    <w:p w:rsidR="00F931A4" w:rsidRPr="00990D3B" w:rsidP="000E2BCC" w14:paraId="2FA56653" w14:textId="77777777">
      <w:pPr>
        <w:pStyle w:val="EQRNormalSSWSbullet"/>
      </w:pPr>
      <w:r w:rsidRPr="00990D3B">
        <w:t>Management of report production and reporting software</w:t>
      </w:r>
    </w:p>
    <w:p w:rsidR="00F931A4" w:rsidRPr="00990D3B" w:rsidP="00BD1FC3" w14:paraId="77533CB7" w14:textId="07165A22">
      <w:pPr>
        <w:pStyle w:val="EQRNormalSSWORKSHEET"/>
        <w:spacing w:line="280" w:lineRule="exact"/>
      </w:pPr>
      <w:r w:rsidRPr="00990D3B">
        <w:t xml:space="preserve">For each data integration and control element, indicate whether it was </w:t>
      </w:r>
      <w:r w:rsidRPr="00990D3B" w:rsidR="00B13203">
        <w:t>“M</w:t>
      </w:r>
      <w:r w:rsidRPr="00990D3B">
        <w:t>et</w:t>
      </w:r>
      <w:r w:rsidRPr="00990D3B" w:rsidR="00F07BB9">
        <w:t>,</w:t>
      </w:r>
      <w:r w:rsidRPr="00990D3B" w:rsidR="00B13203">
        <w:t>”</w:t>
      </w:r>
      <w:r w:rsidRPr="00990D3B">
        <w:t xml:space="preserve"> </w:t>
      </w:r>
      <w:r w:rsidRPr="00990D3B" w:rsidR="00B13203">
        <w:t>“N</w:t>
      </w:r>
      <w:r w:rsidRPr="00990D3B">
        <w:t xml:space="preserve">ot </w:t>
      </w:r>
      <w:r w:rsidRPr="00990D3B" w:rsidR="00B13203">
        <w:t>M</w:t>
      </w:r>
      <w:r w:rsidRPr="00990D3B">
        <w:t>et</w:t>
      </w:r>
      <w:r w:rsidRPr="00990D3B" w:rsidR="00F07BB9">
        <w:t>,</w:t>
      </w:r>
      <w:r w:rsidRPr="00990D3B" w:rsidR="00B13203">
        <w:t>”</w:t>
      </w:r>
      <w:r w:rsidRPr="00990D3B">
        <w:t xml:space="preserve"> or </w:t>
      </w:r>
      <w:r w:rsidRPr="00990D3B" w:rsidR="00B13203">
        <w:t>“N</w:t>
      </w:r>
      <w:r w:rsidRPr="00990D3B">
        <w:t xml:space="preserve">ot </w:t>
      </w:r>
      <w:r w:rsidRPr="00990D3B" w:rsidR="00F07BB9">
        <w:t>A</w:t>
      </w:r>
      <w:r w:rsidRPr="00990D3B">
        <w:t>pplicable</w:t>
      </w:r>
      <w:r w:rsidRPr="00990D3B" w:rsidR="00B13203">
        <w:t>”</w:t>
      </w:r>
      <w:r w:rsidRPr="00990D3B">
        <w:t xml:space="preserve">, and any relevant comments. </w:t>
      </w:r>
    </w:p>
    <w:p w:rsidR="00F07BB9" w:rsidRPr="00990D3B" w:rsidP="00BD1FC3" w14:paraId="08FDDC63" w14:textId="6E760A41">
      <w:pPr>
        <w:pStyle w:val="EQRNormalSSWORKSHEET"/>
      </w:pPr>
      <w:r w:rsidRPr="00990D3B">
        <w:t>Acronyms: EQRO = External Quality Review Organization; MCP= Managed Care Plan</w:t>
      </w:r>
      <w:r w:rsidRPr="00990D3B" w:rsidR="00DE2282">
        <w:t xml:space="preserve">; NA = Not Applicable. </w:t>
      </w:r>
    </w:p>
    <w:tbl>
      <w:tblPr>
        <w:tblStyle w:val="TableGrid"/>
        <w:tblW w:w="5000" w:type="pct"/>
        <w:tblLook w:val="04A0"/>
      </w:tblPr>
      <w:tblGrid>
        <w:gridCol w:w="6565"/>
        <w:gridCol w:w="900"/>
        <w:gridCol w:w="810"/>
        <w:gridCol w:w="810"/>
        <w:gridCol w:w="3865"/>
      </w:tblGrid>
      <w:tr w14:paraId="352B7691" w14:textId="77777777" w:rsidTr="00DA024E">
        <w:tblPrEx>
          <w:tblW w:w="5000" w:type="pct"/>
          <w:tblLook w:val="04A0"/>
        </w:tblPrEx>
        <w:trPr>
          <w:cantSplit/>
          <w:tblHeader/>
        </w:trPr>
        <w:tc>
          <w:tcPr>
            <w:tcW w:w="6565" w:type="dxa"/>
            <w:shd w:val="clear" w:color="auto" w:fill="FFFFFF" w:themeFill="background1"/>
            <w:vAlign w:val="bottom"/>
          </w:tcPr>
          <w:p w:rsidR="00F931A4" w:rsidRPr="00990D3B" w:rsidP="000E2BCC" w14:paraId="4F4D2C05" w14:textId="23A95F69">
            <w:pPr>
              <w:pStyle w:val="EQRTableHeaderLeft"/>
            </w:pPr>
            <w:r w:rsidRPr="00990D3B">
              <w:rPr>
                <w:color w:val="auto"/>
              </w:rPr>
              <w:t xml:space="preserve">Accuracy of data transfers to assigned performance measure repository </w:t>
            </w:r>
          </w:p>
        </w:tc>
        <w:tc>
          <w:tcPr>
            <w:tcW w:w="900" w:type="dxa"/>
            <w:shd w:val="clear" w:color="auto" w:fill="FFFFFF" w:themeFill="background1"/>
            <w:vAlign w:val="bottom"/>
          </w:tcPr>
          <w:p w:rsidR="00F931A4" w:rsidRPr="00990D3B" w:rsidP="000E2BCC" w14:paraId="5E9E9940" w14:textId="77777777">
            <w:pPr>
              <w:pStyle w:val="EQRTableHeaderCenter"/>
              <w:rPr>
                <w:color w:val="auto"/>
              </w:rPr>
            </w:pPr>
            <w:r w:rsidRPr="00990D3B">
              <w:rPr>
                <w:color w:val="auto"/>
              </w:rPr>
              <w:t>Met</w:t>
            </w:r>
          </w:p>
        </w:tc>
        <w:tc>
          <w:tcPr>
            <w:tcW w:w="810" w:type="dxa"/>
            <w:shd w:val="clear" w:color="auto" w:fill="FFFFFF" w:themeFill="background1"/>
            <w:vAlign w:val="bottom"/>
          </w:tcPr>
          <w:p w:rsidR="00F931A4" w:rsidRPr="00990D3B" w:rsidP="000E2BCC" w14:paraId="056A1980" w14:textId="618FA835">
            <w:pPr>
              <w:pStyle w:val="EQRTableHeaderCenter"/>
              <w:rPr>
                <w:color w:val="auto"/>
              </w:rPr>
            </w:pPr>
            <w:r w:rsidRPr="00990D3B">
              <w:rPr>
                <w:color w:val="auto"/>
              </w:rPr>
              <w:t xml:space="preserve">Not </w:t>
            </w:r>
            <w:r w:rsidRPr="00990D3B" w:rsidR="00B13203">
              <w:rPr>
                <w:color w:val="auto"/>
              </w:rPr>
              <w:t>M</w:t>
            </w:r>
            <w:r w:rsidRPr="00990D3B">
              <w:rPr>
                <w:color w:val="auto"/>
              </w:rPr>
              <w:t>et</w:t>
            </w:r>
          </w:p>
        </w:tc>
        <w:tc>
          <w:tcPr>
            <w:tcW w:w="810" w:type="dxa"/>
            <w:shd w:val="clear" w:color="auto" w:fill="FFFFFF" w:themeFill="background1"/>
            <w:vAlign w:val="bottom"/>
          </w:tcPr>
          <w:p w:rsidR="00F931A4" w:rsidRPr="00990D3B" w:rsidP="000E2BCC" w14:paraId="5260F088" w14:textId="078D7DA4">
            <w:pPr>
              <w:pStyle w:val="EQRTableHeaderCenter"/>
              <w:rPr>
                <w:color w:val="auto"/>
              </w:rPr>
            </w:pPr>
            <w:r w:rsidRPr="00990D3B">
              <w:rPr>
                <w:color w:val="auto"/>
              </w:rPr>
              <w:t>NA</w:t>
            </w:r>
          </w:p>
        </w:tc>
        <w:tc>
          <w:tcPr>
            <w:tcW w:w="3865" w:type="dxa"/>
            <w:shd w:val="clear" w:color="auto" w:fill="FFFFFF" w:themeFill="background1"/>
            <w:vAlign w:val="bottom"/>
          </w:tcPr>
          <w:p w:rsidR="00F931A4" w:rsidRPr="00990D3B" w:rsidP="000E2BCC" w14:paraId="6BF8719D" w14:textId="77777777">
            <w:pPr>
              <w:pStyle w:val="EQRTableHeaderCenter"/>
              <w:rPr>
                <w:color w:val="auto"/>
              </w:rPr>
            </w:pPr>
            <w:r w:rsidRPr="00990D3B">
              <w:rPr>
                <w:color w:val="auto"/>
              </w:rPr>
              <w:t>Comments</w:t>
            </w:r>
          </w:p>
        </w:tc>
      </w:tr>
      <w:tr w14:paraId="37CA81D6" w14:textId="77777777" w:rsidTr="00DA024E">
        <w:tblPrEx>
          <w:tblW w:w="5000" w:type="pct"/>
          <w:tblLook w:val="04A0"/>
        </w:tblPrEx>
        <w:trPr>
          <w:cantSplit/>
        </w:trPr>
        <w:tc>
          <w:tcPr>
            <w:tcW w:w="6565" w:type="dxa"/>
          </w:tcPr>
          <w:p w:rsidR="00F931A4" w:rsidRPr="00990D3B" w:rsidP="00BD1FC3" w14:paraId="5F706D1E" w14:textId="77777777">
            <w:pPr>
              <w:pStyle w:val="EQRTableText"/>
            </w:pPr>
            <w:r w:rsidRPr="00990D3B">
              <w:t>MCP processes accurately and completely transfer data from the transaction files (e.g., membership, provider, encounter/claims) into the repository used to keep the data until the calculations of the performance measures have been completed and validated</w:t>
            </w:r>
          </w:p>
        </w:tc>
        <w:tc>
          <w:tcPr>
            <w:tcW w:w="900" w:type="dxa"/>
          </w:tcPr>
          <w:p w:rsidR="00F931A4" w:rsidRPr="00990D3B" w:rsidP="00BD1FC3" w14:paraId="77170CEF" w14:textId="77777777">
            <w:pPr>
              <w:pStyle w:val="EQRTableText"/>
            </w:pPr>
            <w:r w:rsidRPr="00990D3B">
              <w:t> </w:t>
            </w:r>
          </w:p>
        </w:tc>
        <w:tc>
          <w:tcPr>
            <w:tcW w:w="810" w:type="dxa"/>
          </w:tcPr>
          <w:p w:rsidR="00F931A4" w:rsidRPr="00990D3B" w:rsidP="00BD1FC3" w14:paraId="4A582263" w14:textId="77777777">
            <w:pPr>
              <w:pStyle w:val="EQRTableText"/>
            </w:pPr>
            <w:r w:rsidRPr="00990D3B">
              <w:t> </w:t>
            </w:r>
          </w:p>
        </w:tc>
        <w:tc>
          <w:tcPr>
            <w:tcW w:w="810" w:type="dxa"/>
          </w:tcPr>
          <w:p w:rsidR="00F931A4" w:rsidRPr="00990D3B" w:rsidP="00BD1FC3" w14:paraId="322C09A8" w14:textId="77777777">
            <w:pPr>
              <w:pStyle w:val="EQRTableText"/>
            </w:pPr>
            <w:r w:rsidRPr="00990D3B">
              <w:t> </w:t>
            </w:r>
          </w:p>
        </w:tc>
        <w:tc>
          <w:tcPr>
            <w:tcW w:w="3865" w:type="dxa"/>
          </w:tcPr>
          <w:p w:rsidR="00F931A4" w:rsidRPr="00990D3B" w:rsidP="00BD1FC3" w14:paraId="5E7B35C4" w14:textId="77777777">
            <w:pPr>
              <w:pStyle w:val="EQRTableText"/>
            </w:pPr>
            <w:r w:rsidRPr="00990D3B">
              <w:t> </w:t>
            </w:r>
          </w:p>
        </w:tc>
      </w:tr>
      <w:tr w14:paraId="51334396" w14:textId="77777777" w:rsidTr="00DA024E">
        <w:tblPrEx>
          <w:tblW w:w="5000" w:type="pct"/>
          <w:tblLook w:val="04A0"/>
        </w:tblPrEx>
        <w:trPr>
          <w:cantSplit/>
        </w:trPr>
        <w:tc>
          <w:tcPr>
            <w:tcW w:w="6565" w:type="dxa"/>
          </w:tcPr>
          <w:p w:rsidR="00F931A4" w:rsidRPr="00990D3B" w:rsidP="00BD1FC3" w14:paraId="6EE3BC37" w14:textId="77777777">
            <w:pPr>
              <w:pStyle w:val="EQRTableText"/>
            </w:pPr>
            <w:r w:rsidRPr="00990D3B">
              <w:t>Samples of data from repository are complete and accurate</w:t>
            </w:r>
          </w:p>
        </w:tc>
        <w:tc>
          <w:tcPr>
            <w:tcW w:w="900" w:type="dxa"/>
          </w:tcPr>
          <w:p w:rsidR="00F931A4" w:rsidRPr="00990D3B" w:rsidP="00BD1FC3" w14:paraId="31B88324" w14:textId="77777777">
            <w:pPr>
              <w:pStyle w:val="EQRTableText"/>
            </w:pPr>
            <w:r w:rsidRPr="00990D3B">
              <w:t> </w:t>
            </w:r>
          </w:p>
        </w:tc>
        <w:tc>
          <w:tcPr>
            <w:tcW w:w="810" w:type="dxa"/>
          </w:tcPr>
          <w:p w:rsidR="00F931A4" w:rsidRPr="00990D3B" w:rsidP="00BD1FC3" w14:paraId="0E8BCAFB" w14:textId="77777777">
            <w:pPr>
              <w:pStyle w:val="EQRTableText"/>
            </w:pPr>
            <w:r w:rsidRPr="00990D3B">
              <w:t> </w:t>
            </w:r>
          </w:p>
        </w:tc>
        <w:tc>
          <w:tcPr>
            <w:tcW w:w="810" w:type="dxa"/>
          </w:tcPr>
          <w:p w:rsidR="00F931A4" w:rsidRPr="00990D3B" w:rsidP="00BD1FC3" w14:paraId="23F6BCED" w14:textId="77777777">
            <w:pPr>
              <w:pStyle w:val="EQRTableText"/>
            </w:pPr>
            <w:r w:rsidRPr="00990D3B">
              <w:t> </w:t>
            </w:r>
          </w:p>
        </w:tc>
        <w:tc>
          <w:tcPr>
            <w:tcW w:w="3865" w:type="dxa"/>
          </w:tcPr>
          <w:p w:rsidR="00F931A4" w:rsidRPr="00990D3B" w:rsidP="00BD1FC3" w14:paraId="4BBA9D59" w14:textId="77777777">
            <w:pPr>
              <w:pStyle w:val="EQRTableText"/>
            </w:pPr>
            <w:r w:rsidRPr="00990D3B">
              <w:t> </w:t>
            </w:r>
          </w:p>
        </w:tc>
      </w:tr>
    </w:tbl>
    <w:p w:rsidR="00F931A4" w:rsidRPr="00990D3B" w:rsidP="000E2BCC" w14:paraId="36B4ACAE" w14:textId="77777777">
      <w:pPr>
        <w:pStyle w:val="NoSpacing"/>
      </w:pPr>
    </w:p>
    <w:tbl>
      <w:tblPr>
        <w:tblStyle w:val="TableGrid"/>
        <w:tblW w:w="5000" w:type="pct"/>
        <w:tblLook w:val="04A0"/>
      </w:tblPr>
      <w:tblGrid>
        <w:gridCol w:w="6565"/>
        <w:gridCol w:w="900"/>
        <w:gridCol w:w="900"/>
        <w:gridCol w:w="720"/>
        <w:gridCol w:w="3865"/>
      </w:tblGrid>
      <w:tr w14:paraId="354E3646" w14:textId="77777777" w:rsidTr="00DA024E">
        <w:tblPrEx>
          <w:tblW w:w="5000" w:type="pct"/>
          <w:tblLook w:val="04A0"/>
        </w:tblPrEx>
        <w:trPr>
          <w:cantSplit/>
          <w:tblHeader/>
        </w:trPr>
        <w:tc>
          <w:tcPr>
            <w:tcW w:w="6565" w:type="dxa"/>
            <w:shd w:val="clear" w:color="auto" w:fill="FFFFFF" w:themeFill="background1"/>
            <w:vAlign w:val="bottom"/>
          </w:tcPr>
          <w:p w:rsidR="00F931A4" w:rsidRPr="00990D3B" w:rsidP="00DA024E" w14:paraId="4C516B39" w14:textId="26F38C17">
            <w:pPr>
              <w:pStyle w:val="EQRTableHeaderLeft"/>
              <w:rPr>
                <w:color w:val="auto"/>
              </w:rPr>
            </w:pPr>
            <w:r w:rsidRPr="00990D3B">
              <w:rPr>
                <w:color w:val="auto"/>
              </w:rPr>
              <w:t>Accuracy of file consolidations, extracts, and derivations</w:t>
            </w:r>
          </w:p>
        </w:tc>
        <w:tc>
          <w:tcPr>
            <w:tcW w:w="900" w:type="dxa"/>
            <w:shd w:val="clear" w:color="auto" w:fill="FFFFFF" w:themeFill="background1"/>
            <w:vAlign w:val="bottom"/>
          </w:tcPr>
          <w:p w:rsidR="00F931A4" w:rsidRPr="00990D3B" w:rsidP="00DA024E" w14:paraId="6A8B45A4" w14:textId="77777777">
            <w:pPr>
              <w:pStyle w:val="EQRTableHeaderCenter"/>
              <w:rPr>
                <w:color w:val="auto"/>
              </w:rPr>
            </w:pPr>
            <w:r w:rsidRPr="00990D3B">
              <w:rPr>
                <w:color w:val="auto"/>
              </w:rPr>
              <w:t>Met</w:t>
            </w:r>
          </w:p>
        </w:tc>
        <w:tc>
          <w:tcPr>
            <w:tcW w:w="900" w:type="dxa"/>
            <w:shd w:val="clear" w:color="auto" w:fill="FFFFFF" w:themeFill="background1"/>
            <w:vAlign w:val="bottom"/>
          </w:tcPr>
          <w:p w:rsidR="00F931A4" w:rsidRPr="00990D3B" w:rsidP="00DA024E" w14:paraId="7BFB9FE8" w14:textId="0A0BA074">
            <w:pPr>
              <w:pStyle w:val="EQRTableHeaderCenter"/>
              <w:rPr>
                <w:color w:val="auto"/>
              </w:rPr>
            </w:pPr>
            <w:r w:rsidRPr="00990D3B">
              <w:rPr>
                <w:color w:val="auto"/>
              </w:rPr>
              <w:t xml:space="preserve">Not </w:t>
            </w:r>
            <w:r w:rsidRPr="00990D3B" w:rsidR="00B13203">
              <w:rPr>
                <w:color w:val="auto"/>
              </w:rPr>
              <w:t>M</w:t>
            </w:r>
            <w:r w:rsidRPr="00990D3B">
              <w:rPr>
                <w:color w:val="auto"/>
              </w:rPr>
              <w:t>et</w:t>
            </w:r>
          </w:p>
        </w:tc>
        <w:tc>
          <w:tcPr>
            <w:tcW w:w="720" w:type="dxa"/>
            <w:shd w:val="clear" w:color="auto" w:fill="FFFFFF" w:themeFill="background1"/>
            <w:vAlign w:val="bottom"/>
          </w:tcPr>
          <w:p w:rsidR="00F931A4" w:rsidRPr="00990D3B" w:rsidP="00DA024E" w14:paraId="7F3286BB" w14:textId="5A19C15C">
            <w:pPr>
              <w:pStyle w:val="EQRTableHeaderCenter"/>
              <w:rPr>
                <w:color w:val="auto"/>
              </w:rPr>
            </w:pPr>
            <w:r w:rsidRPr="00990D3B">
              <w:rPr>
                <w:color w:val="auto"/>
              </w:rPr>
              <w:t>NA</w:t>
            </w:r>
          </w:p>
        </w:tc>
        <w:tc>
          <w:tcPr>
            <w:tcW w:w="3865" w:type="dxa"/>
            <w:shd w:val="clear" w:color="auto" w:fill="FFFFFF" w:themeFill="background1"/>
            <w:vAlign w:val="bottom"/>
          </w:tcPr>
          <w:p w:rsidR="00F931A4" w:rsidRPr="00990D3B" w:rsidP="00DA024E" w14:paraId="5067B316" w14:textId="77777777">
            <w:pPr>
              <w:pStyle w:val="EQRTableHeaderCenter"/>
              <w:rPr>
                <w:color w:val="auto"/>
              </w:rPr>
            </w:pPr>
            <w:r w:rsidRPr="00990D3B">
              <w:rPr>
                <w:color w:val="auto"/>
              </w:rPr>
              <w:t>Comments</w:t>
            </w:r>
          </w:p>
        </w:tc>
      </w:tr>
      <w:tr w14:paraId="7FC22382" w14:textId="77777777" w:rsidTr="00DA024E">
        <w:tblPrEx>
          <w:tblW w:w="5000" w:type="pct"/>
          <w:tblLook w:val="04A0"/>
        </w:tblPrEx>
        <w:trPr>
          <w:cantSplit/>
        </w:trPr>
        <w:tc>
          <w:tcPr>
            <w:tcW w:w="6565" w:type="dxa"/>
          </w:tcPr>
          <w:p w:rsidR="00F931A4" w:rsidRPr="00990D3B" w:rsidP="00BD1FC3" w14:paraId="1484E8C2" w14:textId="77777777">
            <w:pPr>
              <w:pStyle w:val="EQRTableText"/>
            </w:pPr>
            <w:r w:rsidRPr="00990D3B">
              <w:t>MCP’s processes to consolidate diversified files and to extract required information from the performance measure repository are appropriate</w:t>
            </w:r>
          </w:p>
        </w:tc>
        <w:tc>
          <w:tcPr>
            <w:tcW w:w="900" w:type="dxa"/>
          </w:tcPr>
          <w:p w:rsidR="00F931A4" w:rsidRPr="00990D3B" w:rsidP="00BD1FC3" w14:paraId="49E21F56" w14:textId="77777777">
            <w:pPr>
              <w:pStyle w:val="EQRTableText"/>
            </w:pPr>
            <w:r w:rsidRPr="00990D3B">
              <w:t> </w:t>
            </w:r>
          </w:p>
        </w:tc>
        <w:tc>
          <w:tcPr>
            <w:tcW w:w="900" w:type="dxa"/>
          </w:tcPr>
          <w:p w:rsidR="00F931A4" w:rsidRPr="00990D3B" w:rsidP="00BD1FC3" w14:paraId="02D8FD50" w14:textId="77777777">
            <w:pPr>
              <w:pStyle w:val="EQRTableText"/>
            </w:pPr>
            <w:r w:rsidRPr="00990D3B">
              <w:t> </w:t>
            </w:r>
          </w:p>
        </w:tc>
        <w:tc>
          <w:tcPr>
            <w:tcW w:w="720" w:type="dxa"/>
          </w:tcPr>
          <w:p w:rsidR="00F931A4" w:rsidRPr="00990D3B" w:rsidP="00BD1FC3" w14:paraId="597A9C16" w14:textId="77777777">
            <w:pPr>
              <w:pStyle w:val="EQRTableText"/>
            </w:pPr>
            <w:r w:rsidRPr="00990D3B">
              <w:t> </w:t>
            </w:r>
          </w:p>
        </w:tc>
        <w:tc>
          <w:tcPr>
            <w:tcW w:w="3865" w:type="dxa"/>
          </w:tcPr>
          <w:p w:rsidR="00F931A4" w:rsidRPr="00990D3B" w:rsidP="00BD1FC3" w14:paraId="4FC2D069" w14:textId="77777777">
            <w:pPr>
              <w:pStyle w:val="EQRTableText"/>
            </w:pPr>
            <w:r w:rsidRPr="00990D3B">
              <w:t> </w:t>
            </w:r>
          </w:p>
        </w:tc>
      </w:tr>
      <w:tr w14:paraId="19859048" w14:textId="77777777" w:rsidTr="00DA024E">
        <w:tblPrEx>
          <w:tblW w:w="5000" w:type="pct"/>
          <w:tblLook w:val="04A0"/>
        </w:tblPrEx>
        <w:trPr>
          <w:cantSplit/>
        </w:trPr>
        <w:tc>
          <w:tcPr>
            <w:tcW w:w="6565" w:type="dxa"/>
          </w:tcPr>
          <w:p w:rsidR="00F931A4" w:rsidRPr="00990D3B" w:rsidP="00BD1FC3" w14:paraId="55D92A7C" w14:textId="77777777">
            <w:pPr>
              <w:pStyle w:val="EQRTableText"/>
            </w:pPr>
            <w:r w:rsidRPr="00990D3B">
              <w:t>Actual results of file consolidations or extracts were consistent with those which should have resulted according to documented algorithms or specifications</w:t>
            </w:r>
          </w:p>
        </w:tc>
        <w:tc>
          <w:tcPr>
            <w:tcW w:w="900" w:type="dxa"/>
          </w:tcPr>
          <w:p w:rsidR="00F931A4" w:rsidRPr="00990D3B" w:rsidP="00BD1FC3" w14:paraId="073FC56C" w14:textId="77777777">
            <w:pPr>
              <w:pStyle w:val="EQRTableText"/>
            </w:pPr>
            <w:r w:rsidRPr="00990D3B">
              <w:t> </w:t>
            </w:r>
          </w:p>
        </w:tc>
        <w:tc>
          <w:tcPr>
            <w:tcW w:w="900" w:type="dxa"/>
          </w:tcPr>
          <w:p w:rsidR="00F931A4" w:rsidRPr="00990D3B" w:rsidP="00BD1FC3" w14:paraId="348562B4" w14:textId="77777777">
            <w:pPr>
              <w:pStyle w:val="EQRTableText"/>
            </w:pPr>
            <w:r w:rsidRPr="00990D3B">
              <w:t> </w:t>
            </w:r>
          </w:p>
        </w:tc>
        <w:tc>
          <w:tcPr>
            <w:tcW w:w="720" w:type="dxa"/>
          </w:tcPr>
          <w:p w:rsidR="00F931A4" w:rsidRPr="00990D3B" w:rsidP="00BD1FC3" w14:paraId="7C285C25" w14:textId="77777777">
            <w:pPr>
              <w:pStyle w:val="EQRTableText"/>
            </w:pPr>
            <w:r w:rsidRPr="00990D3B">
              <w:t> </w:t>
            </w:r>
          </w:p>
        </w:tc>
        <w:tc>
          <w:tcPr>
            <w:tcW w:w="3865" w:type="dxa"/>
          </w:tcPr>
          <w:p w:rsidR="00F931A4" w:rsidRPr="00990D3B" w:rsidP="00BD1FC3" w14:paraId="3363DF98" w14:textId="77777777">
            <w:pPr>
              <w:pStyle w:val="EQRTableText"/>
            </w:pPr>
            <w:r w:rsidRPr="00990D3B">
              <w:t> </w:t>
            </w:r>
          </w:p>
        </w:tc>
      </w:tr>
      <w:tr w14:paraId="019114F0" w14:textId="77777777" w:rsidTr="00DA024E">
        <w:tblPrEx>
          <w:tblW w:w="5000" w:type="pct"/>
          <w:tblLook w:val="04A0"/>
        </w:tblPrEx>
        <w:trPr>
          <w:cantSplit/>
        </w:trPr>
        <w:tc>
          <w:tcPr>
            <w:tcW w:w="6565" w:type="dxa"/>
          </w:tcPr>
          <w:p w:rsidR="00F931A4" w:rsidRPr="00990D3B" w:rsidP="00BD1FC3" w14:paraId="33FCC744" w14:textId="77777777">
            <w:pPr>
              <w:pStyle w:val="EQRTableText"/>
            </w:pPr>
            <w:r w:rsidRPr="00990D3B">
              <w:t>Procedures for coordinating the activities of vendors ensure the accurate, timely, and complete integration of data into the performance measure database</w:t>
            </w:r>
          </w:p>
        </w:tc>
        <w:tc>
          <w:tcPr>
            <w:tcW w:w="900" w:type="dxa"/>
          </w:tcPr>
          <w:p w:rsidR="00F931A4" w:rsidRPr="00990D3B" w:rsidP="00BD1FC3" w14:paraId="03753C85" w14:textId="77777777">
            <w:pPr>
              <w:pStyle w:val="EQRTableText"/>
            </w:pPr>
            <w:r w:rsidRPr="00990D3B">
              <w:t> </w:t>
            </w:r>
          </w:p>
        </w:tc>
        <w:tc>
          <w:tcPr>
            <w:tcW w:w="900" w:type="dxa"/>
          </w:tcPr>
          <w:p w:rsidR="00F931A4" w:rsidRPr="00990D3B" w:rsidP="00BD1FC3" w14:paraId="439F725D" w14:textId="77777777">
            <w:pPr>
              <w:pStyle w:val="EQRTableText"/>
            </w:pPr>
            <w:r w:rsidRPr="00990D3B">
              <w:t> </w:t>
            </w:r>
          </w:p>
        </w:tc>
        <w:tc>
          <w:tcPr>
            <w:tcW w:w="720" w:type="dxa"/>
          </w:tcPr>
          <w:p w:rsidR="00F931A4" w:rsidRPr="00990D3B" w:rsidP="00BD1FC3" w14:paraId="56F32E87" w14:textId="77777777">
            <w:pPr>
              <w:pStyle w:val="EQRTableText"/>
            </w:pPr>
            <w:r w:rsidRPr="00990D3B">
              <w:t> </w:t>
            </w:r>
          </w:p>
        </w:tc>
        <w:tc>
          <w:tcPr>
            <w:tcW w:w="3865" w:type="dxa"/>
          </w:tcPr>
          <w:p w:rsidR="00F931A4" w:rsidRPr="00990D3B" w:rsidP="00BD1FC3" w14:paraId="4A4CDB97" w14:textId="77777777">
            <w:pPr>
              <w:pStyle w:val="EQRTableText"/>
            </w:pPr>
            <w:r w:rsidRPr="00990D3B">
              <w:t> </w:t>
            </w:r>
          </w:p>
        </w:tc>
      </w:tr>
      <w:tr w14:paraId="11656A96" w14:textId="77777777" w:rsidTr="00DA024E">
        <w:tblPrEx>
          <w:tblW w:w="5000" w:type="pct"/>
          <w:tblLook w:val="04A0"/>
        </w:tblPrEx>
        <w:trPr>
          <w:cantSplit/>
        </w:trPr>
        <w:tc>
          <w:tcPr>
            <w:tcW w:w="6565" w:type="dxa"/>
          </w:tcPr>
          <w:p w:rsidR="00F931A4" w:rsidRPr="00990D3B" w:rsidP="00BD1FC3" w14:paraId="35DCEFF0" w14:textId="77777777">
            <w:pPr>
              <w:pStyle w:val="EQRTableText"/>
            </w:pPr>
            <w:r w:rsidRPr="00990D3B">
              <w:t>Computer program reports or documentation reflect vendor coordination activities, and no data elements needed for performance measure reporting are lost or inappropriately modified during transfer</w:t>
            </w:r>
          </w:p>
        </w:tc>
        <w:tc>
          <w:tcPr>
            <w:tcW w:w="900" w:type="dxa"/>
          </w:tcPr>
          <w:p w:rsidR="00F931A4" w:rsidRPr="00990D3B" w:rsidP="00BD1FC3" w14:paraId="77ED9F3B" w14:textId="77777777">
            <w:pPr>
              <w:pStyle w:val="EQRTableText"/>
            </w:pPr>
            <w:r w:rsidRPr="00990D3B">
              <w:t> </w:t>
            </w:r>
          </w:p>
        </w:tc>
        <w:tc>
          <w:tcPr>
            <w:tcW w:w="900" w:type="dxa"/>
          </w:tcPr>
          <w:p w:rsidR="00F931A4" w:rsidRPr="00990D3B" w:rsidP="00BD1FC3" w14:paraId="720285F4" w14:textId="77777777">
            <w:pPr>
              <w:pStyle w:val="EQRTableText"/>
            </w:pPr>
            <w:r w:rsidRPr="00990D3B">
              <w:t> </w:t>
            </w:r>
          </w:p>
        </w:tc>
        <w:tc>
          <w:tcPr>
            <w:tcW w:w="720" w:type="dxa"/>
          </w:tcPr>
          <w:p w:rsidR="00F931A4" w:rsidRPr="00990D3B" w:rsidP="00BD1FC3" w14:paraId="65D9D4A7" w14:textId="77777777">
            <w:pPr>
              <w:pStyle w:val="EQRTableText"/>
            </w:pPr>
            <w:r w:rsidRPr="00990D3B">
              <w:t> </w:t>
            </w:r>
          </w:p>
        </w:tc>
        <w:tc>
          <w:tcPr>
            <w:tcW w:w="3865" w:type="dxa"/>
          </w:tcPr>
          <w:p w:rsidR="00F931A4" w:rsidRPr="00990D3B" w:rsidP="00BD1FC3" w14:paraId="70C003F9" w14:textId="77777777">
            <w:pPr>
              <w:pStyle w:val="EQRTableText"/>
            </w:pPr>
            <w:r w:rsidRPr="00990D3B">
              <w:t> </w:t>
            </w:r>
          </w:p>
        </w:tc>
      </w:tr>
    </w:tbl>
    <w:p w:rsidR="00F931A4" w:rsidRPr="00990D3B" w:rsidP="00BD1FC3" w14:paraId="4CD1970B" w14:textId="77777777">
      <w:pPr>
        <w:pStyle w:val="EQRNormalSSWORKSHEET"/>
      </w:pPr>
      <w:r w:rsidRPr="00990D3B">
        <w:br w:type="page"/>
      </w:r>
    </w:p>
    <w:tbl>
      <w:tblPr>
        <w:tblStyle w:val="TableGrid"/>
        <w:tblW w:w="5000" w:type="pct"/>
        <w:tblLook w:val="04A0"/>
      </w:tblPr>
      <w:tblGrid>
        <w:gridCol w:w="6475"/>
        <w:gridCol w:w="990"/>
        <w:gridCol w:w="900"/>
        <w:gridCol w:w="810"/>
        <w:gridCol w:w="3775"/>
      </w:tblGrid>
      <w:tr w14:paraId="4C1B6F7C" w14:textId="77777777" w:rsidTr="00DA024E">
        <w:tblPrEx>
          <w:tblW w:w="5000" w:type="pct"/>
          <w:tblLook w:val="04A0"/>
        </w:tblPrEx>
        <w:trPr>
          <w:cantSplit/>
          <w:tblHeader/>
        </w:trPr>
        <w:tc>
          <w:tcPr>
            <w:tcW w:w="6475" w:type="dxa"/>
            <w:shd w:val="clear" w:color="auto" w:fill="FFFFFF" w:themeFill="background1"/>
            <w:vAlign w:val="bottom"/>
          </w:tcPr>
          <w:p w:rsidR="00F931A4" w:rsidRPr="00990D3B" w:rsidP="00DA024E" w14:paraId="1F9C55BE" w14:textId="59790E9C">
            <w:pPr>
              <w:pStyle w:val="EQRTableHeaderLeft"/>
              <w:rPr>
                <w:color w:val="auto"/>
              </w:rPr>
            </w:pPr>
            <w:r w:rsidRPr="00990D3B">
              <w:rPr>
                <w:color w:val="auto"/>
              </w:rPr>
              <w:t xml:space="preserve">If the MCP uses one, the structure and format of the performance measure data repository </w:t>
            </w:r>
            <w:r w:rsidRPr="00990D3B">
              <w:rPr>
                <w:color w:val="auto"/>
              </w:rPr>
              <w:t>facilitates</w:t>
            </w:r>
            <w:r w:rsidRPr="00990D3B">
              <w:rPr>
                <w:color w:val="auto"/>
              </w:rPr>
              <w:t xml:space="preserve"> any required programming necessary to calculate and report required performance measures </w:t>
            </w:r>
          </w:p>
        </w:tc>
        <w:tc>
          <w:tcPr>
            <w:tcW w:w="990" w:type="dxa"/>
            <w:shd w:val="clear" w:color="auto" w:fill="FFFFFF" w:themeFill="background1"/>
            <w:vAlign w:val="bottom"/>
          </w:tcPr>
          <w:p w:rsidR="00F931A4" w:rsidRPr="00990D3B" w:rsidP="00DA024E" w14:paraId="4B921E35" w14:textId="77777777">
            <w:pPr>
              <w:pStyle w:val="EQRTableHeaderCenter"/>
              <w:rPr>
                <w:color w:val="auto"/>
              </w:rPr>
            </w:pPr>
            <w:r w:rsidRPr="00990D3B">
              <w:rPr>
                <w:color w:val="auto"/>
              </w:rPr>
              <w:t>Met</w:t>
            </w:r>
          </w:p>
        </w:tc>
        <w:tc>
          <w:tcPr>
            <w:tcW w:w="900" w:type="dxa"/>
            <w:shd w:val="clear" w:color="auto" w:fill="FFFFFF" w:themeFill="background1"/>
            <w:vAlign w:val="bottom"/>
          </w:tcPr>
          <w:p w:rsidR="00F931A4" w:rsidRPr="00990D3B" w:rsidP="00DA024E" w14:paraId="3F9DBC55" w14:textId="43F525A2">
            <w:pPr>
              <w:pStyle w:val="EQRTableHeaderCenter"/>
              <w:rPr>
                <w:color w:val="auto"/>
              </w:rPr>
            </w:pPr>
            <w:r w:rsidRPr="00990D3B">
              <w:rPr>
                <w:color w:val="auto"/>
              </w:rPr>
              <w:t xml:space="preserve">Not </w:t>
            </w:r>
            <w:r w:rsidRPr="00990D3B" w:rsidR="00B13203">
              <w:rPr>
                <w:color w:val="auto"/>
              </w:rPr>
              <w:t>M</w:t>
            </w:r>
            <w:r w:rsidRPr="00990D3B">
              <w:rPr>
                <w:color w:val="auto"/>
              </w:rPr>
              <w:t>et</w:t>
            </w:r>
          </w:p>
        </w:tc>
        <w:tc>
          <w:tcPr>
            <w:tcW w:w="810" w:type="dxa"/>
            <w:shd w:val="clear" w:color="auto" w:fill="FFFFFF" w:themeFill="background1"/>
            <w:vAlign w:val="bottom"/>
          </w:tcPr>
          <w:p w:rsidR="00F931A4" w:rsidRPr="00990D3B" w:rsidP="00DA024E" w14:paraId="214EE3FE" w14:textId="291BDCE3">
            <w:pPr>
              <w:pStyle w:val="EQRTableHeaderCenter"/>
              <w:rPr>
                <w:color w:val="auto"/>
              </w:rPr>
            </w:pPr>
            <w:r w:rsidRPr="00990D3B">
              <w:rPr>
                <w:color w:val="auto"/>
              </w:rPr>
              <w:t>NA</w:t>
            </w:r>
          </w:p>
        </w:tc>
        <w:tc>
          <w:tcPr>
            <w:tcW w:w="3775" w:type="dxa"/>
            <w:shd w:val="clear" w:color="auto" w:fill="FFFFFF" w:themeFill="background1"/>
            <w:vAlign w:val="bottom"/>
          </w:tcPr>
          <w:p w:rsidR="00F931A4" w:rsidRPr="00990D3B" w:rsidP="00DA024E" w14:paraId="6A8D5C51" w14:textId="77777777">
            <w:pPr>
              <w:pStyle w:val="EQRTableHeaderCenter"/>
              <w:rPr>
                <w:color w:val="auto"/>
              </w:rPr>
            </w:pPr>
            <w:r w:rsidRPr="00990D3B">
              <w:rPr>
                <w:color w:val="auto"/>
              </w:rPr>
              <w:t>Comments</w:t>
            </w:r>
          </w:p>
        </w:tc>
      </w:tr>
      <w:tr w14:paraId="165C469A" w14:textId="77777777" w:rsidTr="00DA024E">
        <w:tblPrEx>
          <w:tblW w:w="5000" w:type="pct"/>
          <w:tblLook w:val="04A0"/>
        </w:tblPrEx>
        <w:trPr>
          <w:cantSplit/>
        </w:trPr>
        <w:tc>
          <w:tcPr>
            <w:tcW w:w="6475" w:type="dxa"/>
          </w:tcPr>
          <w:p w:rsidR="00F931A4" w:rsidRPr="00990D3B" w:rsidP="00BD1FC3" w14:paraId="5390BCA4" w14:textId="77777777">
            <w:pPr>
              <w:pStyle w:val="EQRTableText"/>
            </w:pPr>
            <w:r w:rsidRPr="00990D3B">
              <w:t>The repository’s design, program flow charts, and source codes enable analyses and reports</w:t>
            </w:r>
          </w:p>
        </w:tc>
        <w:tc>
          <w:tcPr>
            <w:tcW w:w="990" w:type="dxa"/>
          </w:tcPr>
          <w:p w:rsidR="00F931A4" w:rsidRPr="00990D3B" w:rsidP="00BD1FC3" w14:paraId="72A1BC30" w14:textId="77777777">
            <w:pPr>
              <w:pStyle w:val="EQRTableText"/>
            </w:pPr>
            <w:r w:rsidRPr="00990D3B">
              <w:t> </w:t>
            </w:r>
          </w:p>
        </w:tc>
        <w:tc>
          <w:tcPr>
            <w:tcW w:w="900" w:type="dxa"/>
          </w:tcPr>
          <w:p w:rsidR="00F931A4" w:rsidRPr="00990D3B" w:rsidP="00BD1FC3" w14:paraId="41BD6AC2" w14:textId="77777777">
            <w:pPr>
              <w:pStyle w:val="EQRTableText"/>
            </w:pPr>
            <w:r w:rsidRPr="00990D3B">
              <w:t> </w:t>
            </w:r>
          </w:p>
        </w:tc>
        <w:tc>
          <w:tcPr>
            <w:tcW w:w="810" w:type="dxa"/>
          </w:tcPr>
          <w:p w:rsidR="00F931A4" w:rsidRPr="00990D3B" w:rsidP="00BD1FC3" w14:paraId="1AB56EEB" w14:textId="77777777">
            <w:pPr>
              <w:pStyle w:val="EQRTableText"/>
            </w:pPr>
            <w:r w:rsidRPr="00990D3B">
              <w:t> </w:t>
            </w:r>
          </w:p>
        </w:tc>
        <w:tc>
          <w:tcPr>
            <w:tcW w:w="3775" w:type="dxa"/>
          </w:tcPr>
          <w:p w:rsidR="00F931A4" w:rsidRPr="00990D3B" w:rsidP="00BD1FC3" w14:paraId="3D6CEA10" w14:textId="77777777">
            <w:pPr>
              <w:pStyle w:val="EQRTableText"/>
            </w:pPr>
            <w:r w:rsidRPr="00990D3B">
              <w:t> </w:t>
            </w:r>
          </w:p>
        </w:tc>
      </w:tr>
      <w:tr w14:paraId="3E95FBF4" w14:textId="77777777" w:rsidTr="00DA024E">
        <w:tblPrEx>
          <w:tblW w:w="5000" w:type="pct"/>
          <w:tblLook w:val="04A0"/>
        </w:tblPrEx>
        <w:trPr>
          <w:cantSplit/>
        </w:trPr>
        <w:tc>
          <w:tcPr>
            <w:tcW w:w="6475" w:type="dxa"/>
          </w:tcPr>
          <w:p w:rsidR="00F931A4" w:rsidRPr="00990D3B" w:rsidP="00BD1FC3" w14:paraId="6D0D2CCD" w14:textId="2CF5AA9C">
            <w:pPr>
              <w:pStyle w:val="EQRTableText"/>
            </w:pPr>
            <w:r w:rsidRPr="00990D3B">
              <w:t xml:space="preserve">Proper linkage mechanisms have been employed to </w:t>
            </w:r>
            <w:r w:rsidRPr="00990D3B">
              <w:t>join</w:t>
            </w:r>
            <w:r w:rsidRPr="00990D3B">
              <w:t xml:space="preserve"> data from all necessary sources (e.g., identifying </w:t>
            </w:r>
            <w:r w:rsidRPr="00990D3B">
              <w:t>a</w:t>
            </w:r>
            <w:r w:rsidRPr="00990D3B">
              <w:t xml:space="preserve"> </w:t>
            </w:r>
            <w:r w:rsidRPr="00990D3B" w:rsidR="002F4DD4">
              <w:t>enrollee</w:t>
            </w:r>
            <w:r w:rsidRPr="00990D3B">
              <w:t xml:space="preserve"> with a given disease/condition)</w:t>
            </w:r>
          </w:p>
        </w:tc>
        <w:tc>
          <w:tcPr>
            <w:tcW w:w="990" w:type="dxa"/>
          </w:tcPr>
          <w:p w:rsidR="00F931A4" w:rsidRPr="00990D3B" w:rsidP="00BD1FC3" w14:paraId="2D7CB0C8" w14:textId="77777777">
            <w:pPr>
              <w:pStyle w:val="EQRTableText"/>
            </w:pPr>
            <w:r w:rsidRPr="00990D3B">
              <w:t> </w:t>
            </w:r>
          </w:p>
        </w:tc>
        <w:tc>
          <w:tcPr>
            <w:tcW w:w="900" w:type="dxa"/>
          </w:tcPr>
          <w:p w:rsidR="00F931A4" w:rsidRPr="00990D3B" w:rsidP="00BD1FC3" w14:paraId="2396A952" w14:textId="77777777">
            <w:pPr>
              <w:pStyle w:val="EQRTableText"/>
            </w:pPr>
            <w:r w:rsidRPr="00990D3B">
              <w:t> </w:t>
            </w:r>
          </w:p>
        </w:tc>
        <w:tc>
          <w:tcPr>
            <w:tcW w:w="810" w:type="dxa"/>
          </w:tcPr>
          <w:p w:rsidR="00F931A4" w:rsidRPr="00990D3B" w:rsidP="00BD1FC3" w14:paraId="65EA7F43" w14:textId="77777777">
            <w:pPr>
              <w:pStyle w:val="EQRTableText"/>
            </w:pPr>
            <w:r w:rsidRPr="00990D3B">
              <w:t> </w:t>
            </w:r>
          </w:p>
        </w:tc>
        <w:tc>
          <w:tcPr>
            <w:tcW w:w="3775" w:type="dxa"/>
          </w:tcPr>
          <w:p w:rsidR="00F931A4" w:rsidRPr="00990D3B" w:rsidP="00BD1FC3" w14:paraId="70210A53" w14:textId="77777777">
            <w:pPr>
              <w:pStyle w:val="EQRTableText"/>
            </w:pPr>
            <w:r w:rsidRPr="00990D3B">
              <w:t> </w:t>
            </w:r>
          </w:p>
        </w:tc>
      </w:tr>
    </w:tbl>
    <w:p w:rsidR="00F931A4" w:rsidRPr="00990D3B" w:rsidP="00DA024E" w14:paraId="1AEF8567" w14:textId="77777777">
      <w:pPr>
        <w:pStyle w:val="NoSpacing"/>
      </w:pPr>
    </w:p>
    <w:tbl>
      <w:tblPr>
        <w:tblStyle w:val="TableGrid"/>
        <w:tblW w:w="5000" w:type="pct"/>
        <w:tblLook w:val="04A0"/>
      </w:tblPr>
      <w:tblGrid>
        <w:gridCol w:w="6475"/>
        <w:gridCol w:w="990"/>
        <w:gridCol w:w="900"/>
        <w:gridCol w:w="810"/>
        <w:gridCol w:w="3775"/>
      </w:tblGrid>
      <w:tr w14:paraId="64671C10" w14:textId="77777777" w:rsidTr="00DA024E">
        <w:tblPrEx>
          <w:tblW w:w="5000" w:type="pct"/>
          <w:tblLook w:val="04A0"/>
        </w:tblPrEx>
        <w:trPr>
          <w:cantSplit/>
          <w:tblHeader/>
        </w:trPr>
        <w:tc>
          <w:tcPr>
            <w:tcW w:w="6475" w:type="dxa"/>
            <w:shd w:val="clear" w:color="auto" w:fill="FFFFFF" w:themeFill="background1"/>
            <w:vAlign w:val="bottom"/>
          </w:tcPr>
          <w:p w:rsidR="00F931A4" w:rsidRPr="00990D3B" w:rsidP="00DA024E" w14:paraId="71DD7803" w14:textId="6BBB7B7A">
            <w:pPr>
              <w:pStyle w:val="EQRTableHeaderLeft"/>
              <w:rPr>
                <w:color w:val="auto"/>
              </w:rPr>
            </w:pPr>
            <w:r w:rsidRPr="00990D3B">
              <w:rPr>
                <w:color w:val="auto"/>
              </w:rPr>
              <w:t>Assurance of effective management of report production and of the reporting software</w:t>
            </w:r>
          </w:p>
        </w:tc>
        <w:tc>
          <w:tcPr>
            <w:tcW w:w="990" w:type="dxa"/>
            <w:shd w:val="clear" w:color="auto" w:fill="FFFFFF" w:themeFill="background1"/>
            <w:vAlign w:val="bottom"/>
          </w:tcPr>
          <w:p w:rsidR="00F931A4" w:rsidRPr="00990D3B" w:rsidP="00DA024E" w14:paraId="585202C0" w14:textId="77777777">
            <w:pPr>
              <w:pStyle w:val="EQRTableHeaderCenter"/>
              <w:rPr>
                <w:color w:val="auto"/>
              </w:rPr>
            </w:pPr>
            <w:r w:rsidRPr="00990D3B">
              <w:rPr>
                <w:color w:val="auto"/>
              </w:rPr>
              <w:t>Met</w:t>
            </w:r>
          </w:p>
        </w:tc>
        <w:tc>
          <w:tcPr>
            <w:tcW w:w="900" w:type="dxa"/>
            <w:shd w:val="clear" w:color="auto" w:fill="FFFFFF" w:themeFill="background1"/>
            <w:vAlign w:val="bottom"/>
          </w:tcPr>
          <w:p w:rsidR="00F931A4" w:rsidRPr="00990D3B" w:rsidP="00DA024E" w14:paraId="5D405CBC" w14:textId="6AF01ED6">
            <w:pPr>
              <w:pStyle w:val="EQRTableHeaderCenter"/>
              <w:rPr>
                <w:color w:val="auto"/>
              </w:rPr>
            </w:pPr>
            <w:r w:rsidRPr="00990D3B">
              <w:rPr>
                <w:color w:val="auto"/>
              </w:rPr>
              <w:t xml:space="preserve">Not </w:t>
            </w:r>
            <w:r w:rsidRPr="00990D3B" w:rsidR="00B13203">
              <w:rPr>
                <w:color w:val="auto"/>
              </w:rPr>
              <w:t>M</w:t>
            </w:r>
            <w:r w:rsidRPr="00990D3B">
              <w:rPr>
                <w:color w:val="auto"/>
              </w:rPr>
              <w:t>et</w:t>
            </w:r>
          </w:p>
        </w:tc>
        <w:tc>
          <w:tcPr>
            <w:tcW w:w="810" w:type="dxa"/>
            <w:shd w:val="clear" w:color="auto" w:fill="FFFFFF" w:themeFill="background1"/>
            <w:vAlign w:val="bottom"/>
          </w:tcPr>
          <w:p w:rsidR="00F931A4" w:rsidRPr="00990D3B" w:rsidP="00DA024E" w14:paraId="09328219" w14:textId="679EFAB6">
            <w:pPr>
              <w:pStyle w:val="EQRTableHeaderCenter"/>
              <w:rPr>
                <w:color w:val="auto"/>
              </w:rPr>
            </w:pPr>
            <w:r w:rsidRPr="00990D3B">
              <w:rPr>
                <w:color w:val="auto"/>
              </w:rPr>
              <w:t>NA</w:t>
            </w:r>
          </w:p>
        </w:tc>
        <w:tc>
          <w:tcPr>
            <w:tcW w:w="3775" w:type="dxa"/>
            <w:shd w:val="clear" w:color="auto" w:fill="FFFFFF" w:themeFill="background1"/>
            <w:vAlign w:val="bottom"/>
          </w:tcPr>
          <w:p w:rsidR="00F931A4" w:rsidRPr="00990D3B" w:rsidP="00DA024E" w14:paraId="71B5BED6" w14:textId="77777777">
            <w:pPr>
              <w:pStyle w:val="EQRTableHeaderCenter"/>
              <w:rPr>
                <w:color w:val="auto"/>
              </w:rPr>
            </w:pPr>
            <w:r w:rsidRPr="00990D3B">
              <w:rPr>
                <w:color w:val="auto"/>
              </w:rPr>
              <w:t>Comments</w:t>
            </w:r>
          </w:p>
        </w:tc>
      </w:tr>
      <w:tr w14:paraId="0854CD31" w14:textId="77777777" w:rsidTr="00DA024E">
        <w:tblPrEx>
          <w:tblW w:w="5000" w:type="pct"/>
          <w:tblLook w:val="04A0"/>
        </w:tblPrEx>
        <w:trPr>
          <w:cantSplit/>
        </w:trPr>
        <w:tc>
          <w:tcPr>
            <w:tcW w:w="6475" w:type="dxa"/>
          </w:tcPr>
          <w:p w:rsidR="00F931A4" w:rsidRPr="00990D3B" w:rsidP="00BD1FC3" w14:paraId="62AC899F" w14:textId="77777777">
            <w:pPr>
              <w:pStyle w:val="EQRTableText"/>
            </w:pPr>
            <w:r w:rsidRPr="00990D3B">
              <w:t>Documentation governing the production process, including MCP production activity logs, and MCP staff review of report runs was adequate</w:t>
            </w:r>
          </w:p>
        </w:tc>
        <w:tc>
          <w:tcPr>
            <w:tcW w:w="990" w:type="dxa"/>
          </w:tcPr>
          <w:p w:rsidR="00F931A4" w:rsidRPr="00990D3B" w:rsidP="00BD1FC3" w14:paraId="1028839D" w14:textId="77777777">
            <w:pPr>
              <w:pStyle w:val="EQRTableText"/>
            </w:pPr>
            <w:r w:rsidRPr="00990D3B">
              <w:t> </w:t>
            </w:r>
          </w:p>
        </w:tc>
        <w:tc>
          <w:tcPr>
            <w:tcW w:w="900" w:type="dxa"/>
          </w:tcPr>
          <w:p w:rsidR="00F931A4" w:rsidRPr="00990D3B" w:rsidP="00BD1FC3" w14:paraId="7D4DD242" w14:textId="77777777">
            <w:pPr>
              <w:pStyle w:val="EQRTableText"/>
            </w:pPr>
            <w:r w:rsidRPr="00990D3B">
              <w:t> </w:t>
            </w:r>
          </w:p>
        </w:tc>
        <w:tc>
          <w:tcPr>
            <w:tcW w:w="810" w:type="dxa"/>
          </w:tcPr>
          <w:p w:rsidR="00F931A4" w:rsidRPr="00990D3B" w:rsidP="00BD1FC3" w14:paraId="2D881EF8" w14:textId="77777777">
            <w:pPr>
              <w:pStyle w:val="EQRTableText"/>
            </w:pPr>
            <w:r w:rsidRPr="00990D3B">
              <w:t> </w:t>
            </w:r>
          </w:p>
        </w:tc>
        <w:tc>
          <w:tcPr>
            <w:tcW w:w="3775" w:type="dxa"/>
          </w:tcPr>
          <w:p w:rsidR="00F931A4" w:rsidRPr="00990D3B" w:rsidP="00BD1FC3" w14:paraId="5A18E6A2" w14:textId="77777777">
            <w:pPr>
              <w:pStyle w:val="EQRTableText"/>
            </w:pPr>
            <w:r w:rsidRPr="00990D3B">
              <w:t> </w:t>
            </w:r>
          </w:p>
        </w:tc>
      </w:tr>
      <w:tr w14:paraId="496CDEB1" w14:textId="77777777" w:rsidTr="00DA024E">
        <w:tblPrEx>
          <w:tblW w:w="5000" w:type="pct"/>
          <w:tblLook w:val="04A0"/>
        </w:tblPrEx>
        <w:trPr>
          <w:cantSplit/>
        </w:trPr>
        <w:tc>
          <w:tcPr>
            <w:tcW w:w="6475" w:type="dxa"/>
          </w:tcPr>
          <w:p w:rsidR="00F931A4" w:rsidRPr="00990D3B" w:rsidP="00BD1FC3" w14:paraId="38507956" w14:textId="77777777">
            <w:pPr>
              <w:pStyle w:val="EQRTableText"/>
            </w:pPr>
            <w:r w:rsidRPr="00990D3B">
              <w:t>Prescribed data cutoff dates were followed</w:t>
            </w:r>
          </w:p>
        </w:tc>
        <w:tc>
          <w:tcPr>
            <w:tcW w:w="990" w:type="dxa"/>
          </w:tcPr>
          <w:p w:rsidR="00F931A4" w:rsidRPr="00990D3B" w:rsidP="00BD1FC3" w14:paraId="024BBC5A" w14:textId="77777777">
            <w:pPr>
              <w:pStyle w:val="EQRTableText"/>
            </w:pPr>
            <w:r w:rsidRPr="00990D3B">
              <w:t> </w:t>
            </w:r>
          </w:p>
        </w:tc>
        <w:tc>
          <w:tcPr>
            <w:tcW w:w="900" w:type="dxa"/>
          </w:tcPr>
          <w:p w:rsidR="00F931A4" w:rsidRPr="00990D3B" w:rsidP="00BD1FC3" w14:paraId="2E856F96" w14:textId="77777777">
            <w:pPr>
              <w:pStyle w:val="EQRTableText"/>
            </w:pPr>
            <w:r w:rsidRPr="00990D3B">
              <w:t> </w:t>
            </w:r>
          </w:p>
        </w:tc>
        <w:tc>
          <w:tcPr>
            <w:tcW w:w="810" w:type="dxa"/>
          </w:tcPr>
          <w:p w:rsidR="00F931A4" w:rsidRPr="00990D3B" w:rsidP="00BD1FC3" w14:paraId="50168B62" w14:textId="77777777">
            <w:pPr>
              <w:pStyle w:val="EQRTableText"/>
            </w:pPr>
            <w:r w:rsidRPr="00990D3B">
              <w:t> </w:t>
            </w:r>
          </w:p>
        </w:tc>
        <w:tc>
          <w:tcPr>
            <w:tcW w:w="3775" w:type="dxa"/>
          </w:tcPr>
          <w:p w:rsidR="00F931A4" w:rsidRPr="00990D3B" w:rsidP="00BD1FC3" w14:paraId="0BEE20CC" w14:textId="77777777">
            <w:pPr>
              <w:pStyle w:val="EQRTableText"/>
            </w:pPr>
            <w:r w:rsidRPr="00990D3B">
              <w:t> </w:t>
            </w:r>
          </w:p>
        </w:tc>
      </w:tr>
      <w:tr w14:paraId="570DDFA6" w14:textId="77777777" w:rsidTr="00DA024E">
        <w:tblPrEx>
          <w:tblW w:w="5000" w:type="pct"/>
          <w:tblLook w:val="04A0"/>
        </w:tblPrEx>
        <w:trPr>
          <w:cantSplit/>
        </w:trPr>
        <w:tc>
          <w:tcPr>
            <w:tcW w:w="6475" w:type="dxa"/>
          </w:tcPr>
          <w:p w:rsidR="00F931A4" w:rsidRPr="00990D3B" w:rsidP="00BD1FC3" w14:paraId="70A8090F" w14:textId="77777777">
            <w:pPr>
              <w:pStyle w:val="EQRTableText"/>
            </w:pPr>
            <w:r w:rsidRPr="00990D3B">
              <w:t xml:space="preserve">The MCP has retained copies of files or databases used for performance measure reporting, </w:t>
            </w:r>
            <w:r w:rsidRPr="00990D3B">
              <w:t>in the event that</w:t>
            </w:r>
            <w:r w:rsidRPr="00990D3B">
              <w:t xml:space="preserve"> results need to be reproduced</w:t>
            </w:r>
          </w:p>
        </w:tc>
        <w:tc>
          <w:tcPr>
            <w:tcW w:w="990" w:type="dxa"/>
          </w:tcPr>
          <w:p w:rsidR="00F931A4" w:rsidRPr="00990D3B" w:rsidP="00BD1FC3" w14:paraId="79707FB4" w14:textId="77777777">
            <w:pPr>
              <w:pStyle w:val="EQRTableText"/>
            </w:pPr>
            <w:r w:rsidRPr="00990D3B">
              <w:t> </w:t>
            </w:r>
          </w:p>
        </w:tc>
        <w:tc>
          <w:tcPr>
            <w:tcW w:w="900" w:type="dxa"/>
          </w:tcPr>
          <w:p w:rsidR="00F931A4" w:rsidRPr="00990D3B" w:rsidP="00BD1FC3" w14:paraId="6BE014F3" w14:textId="77777777">
            <w:pPr>
              <w:pStyle w:val="EQRTableText"/>
            </w:pPr>
            <w:r w:rsidRPr="00990D3B">
              <w:t> </w:t>
            </w:r>
          </w:p>
        </w:tc>
        <w:tc>
          <w:tcPr>
            <w:tcW w:w="810" w:type="dxa"/>
          </w:tcPr>
          <w:p w:rsidR="00F931A4" w:rsidRPr="00990D3B" w:rsidP="00BD1FC3" w14:paraId="0E909229" w14:textId="77777777">
            <w:pPr>
              <w:pStyle w:val="EQRTableText"/>
            </w:pPr>
            <w:r w:rsidRPr="00990D3B">
              <w:t> </w:t>
            </w:r>
          </w:p>
        </w:tc>
        <w:tc>
          <w:tcPr>
            <w:tcW w:w="3775" w:type="dxa"/>
          </w:tcPr>
          <w:p w:rsidR="00F931A4" w:rsidRPr="00990D3B" w:rsidP="00BD1FC3" w14:paraId="5B43E750" w14:textId="77777777">
            <w:pPr>
              <w:pStyle w:val="EQRTableText"/>
            </w:pPr>
            <w:r w:rsidRPr="00990D3B">
              <w:t> </w:t>
            </w:r>
          </w:p>
        </w:tc>
      </w:tr>
      <w:tr w14:paraId="09E7A521" w14:textId="77777777" w:rsidTr="00DA024E">
        <w:tblPrEx>
          <w:tblW w:w="5000" w:type="pct"/>
          <w:tblLook w:val="04A0"/>
        </w:tblPrEx>
        <w:trPr>
          <w:cantSplit/>
        </w:trPr>
        <w:tc>
          <w:tcPr>
            <w:tcW w:w="6475" w:type="dxa"/>
          </w:tcPr>
          <w:p w:rsidR="00F931A4" w:rsidRPr="00990D3B" w:rsidP="00BD1FC3" w14:paraId="4A49B93F" w14:textId="77777777">
            <w:pPr>
              <w:pStyle w:val="EQRTableText"/>
            </w:pPr>
            <w:r w:rsidRPr="00990D3B">
              <w:t>Reporting software program is properly documented with respect to every aspect of the performance measurement reporting repository, including building, maintaining, managing, testing, and report production</w:t>
            </w:r>
          </w:p>
        </w:tc>
        <w:tc>
          <w:tcPr>
            <w:tcW w:w="990" w:type="dxa"/>
          </w:tcPr>
          <w:p w:rsidR="00F931A4" w:rsidRPr="00990D3B" w:rsidP="00BD1FC3" w14:paraId="09548CD8" w14:textId="77777777">
            <w:pPr>
              <w:pStyle w:val="EQRTableText"/>
            </w:pPr>
            <w:r w:rsidRPr="00990D3B">
              <w:t> </w:t>
            </w:r>
          </w:p>
        </w:tc>
        <w:tc>
          <w:tcPr>
            <w:tcW w:w="900" w:type="dxa"/>
          </w:tcPr>
          <w:p w:rsidR="00F931A4" w:rsidRPr="00990D3B" w:rsidP="00BD1FC3" w14:paraId="0BABDD9D" w14:textId="77777777">
            <w:pPr>
              <w:pStyle w:val="EQRTableText"/>
            </w:pPr>
            <w:r w:rsidRPr="00990D3B">
              <w:t> </w:t>
            </w:r>
          </w:p>
        </w:tc>
        <w:tc>
          <w:tcPr>
            <w:tcW w:w="810" w:type="dxa"/>
          </w:tcPr>
          <w:p w:rsidR="00F931A4" w:rsidRPr="00990D3B" w:rsidP="00BD1FC3" w14:paraId="5B618AC7" w14:textId="77777777">
            <w:pPr>
              <w:pStyle w:val="EQRTableText"/>
            </w:pPr>
            <w:r w:rsidRPr="00990D3B">
              <w:t> </w:t>
            </w:r>
          </w:p>
        </w:tc>
        <w:tc>
          <w:tcPr>
            <w:tcW w:w="3775" w:type="dxa"/>
          </w:tcPr>
          <w:p w:rsidR="00F931A4" w:rsidRPr="00990D3B" w:rsidP="00BD1FC3" w14:paraId="4815DDB8" w14:textId="77777777">
            <w:pPr>
              <w:pStyle w:val="EQRTableText"/>
            </w:pPr>
            <w:r w:rsidRPr="00990D3B">
              <w:t> </w:t>
            </w:r>
          </w:p>
        </w:tc>
      </w:tr>
      <w:tr w14:paraId="6C597E17" w14:textId="77777777" w:rsidTr="00DA024E">
        <w:tblPrEx>
          <w:tblW w:w="5000" w:type="pct"/>
          <w:tblLook w:val="04A0"/>
        </w:tblPrEx>
        <w:trPr>
          <w:cantSplit/>
        </w:trPr>
        <w:tc>
          <w:tcPr>
            <w:tcW w:w="6475" w:type="dxa"/>
          </w:tcPr>
          <w:p w:rsidR="00F931A4" w:rsidRPr="00990D3B" w:rsidP="00BD1FC3" w14:paraId="16B688D4" w14:textId="77777777">
            <w:pPr>
              <w:pStyle w:val="EQRTableText"/>
            </w:pPr>
            <w:r w:rsidRPr="00990D3B">
              <w:t>MCP’s processes and documentation comply with the MCP standards associated with reporting program specifications, code review, and testing</w:t>
            </w:r>
          </w:p>
        </w:tc>
        <w:tc>
          <w:tcPr>
            <w:tcW w:w="990" w:type="dxa"/>
          </w:tcPr>
          <w:p w:rsidR="00F931A4" w:rsidRPr="00990D3B" w:rsidP="00BD1FC3" w14:paraId="73ABFC70" w14:textId="77777777">
            <w:pPr>
              <w:pStyle w:val="EQRTableText"/>
            </w:pPr>
            <w:r w:rsidRPr="00990D3B">
              <w:t> </w:t>
            </w:r>
          </w:p>
        </w:tc>
        <w:tc>
          <w:tcPr>
            <w:tcW w:w="900" w:type="dxa"/>
          </w:tcPr>
          <w:p w:rsidR="00F931A4" w:rsidRPr="00990D3B" w:rsidP="00BD1FC3" w14:paraId="28004335" w14:textId="77777777">
            <w:pPr>
              <w:pStyle w:val="EQRTableText"/>
            </w:pPr>
            <w:r w:rsidRPr="00990D3B">
              <w:t> </w:t>
            </w:r>
          </w:p>
        </w:tc>
        <w:tc>
          <w:tcPr>
            <w:tcW w:w="810" w:type="dxa"/>
          </w:tcPr>
          <w:p w:rsidR="00F931A4" w:rsidRPr="00990D3B" w:rsidP="00BD1FC3" w14:paraId="2D1F1F19" w14:textId="77777777">
            <w:pPr>
              <w:pStyle w:val="EQRTableText"/>
            </w:pPr>
            <w:r w:rsidRPr="00990D3B">
              <w:t> </w:t>
            </w:r>
          </w:p>
        </w:tc>
        <w:tc>
          <w:tcPr>
            <w:tcW w:w="3775" w:type="dxa"/>
          </w:tcPr>
          <w:p w:rsidR="00F931A4" w:rsidRPr="00990D3B" w:rsidP="00BD1FC3" w14:paraId="1DF8C991" w14:textId="77777777">
            <w:pPr>
              <w:pStyle w:val="EQRTableText"/>
            </w:pPr>
            <w:r w:rsidRPr="00990D3B">
              <w:t> </w:t>
            </w:r>
          </w:p>
        </w:tc>
      </w:tr>
    </w:tbl>
    <w:p w:rsidR="00F931A4" w:rsidRPr="00990D3B" w:rsidP="00BD1FC3" w14:paraId="03552589" w14:textId="77777777">
      <w:pPr>
        <w:pStyle w:val="EQRNormalSSWORKSHEET"/>
        <w:rPr>
          <w:rFonts w:eastAsiaTheme="minorHAnsi"/>
        </w:rPr>
      </w:pPr>
      <w:r w:rsidRPr="00990D3B">
        <w:rPr>
          <w:rFonts w:eastAsiaTheme="minorHAnsi"/>
        </w:rPr>
        <w:br w:type="page"/>
      </w:r>
    </w:p>
    <w:p w:rsidR="00F931A4" w:rsidRPr="00990D3B" w:rsidP="00BD1FC3" w14:paraId="748DB0F6" w14:textId="77777777">
      <w:pPr>
        <w:pStyle w:val="EQRMarkforExhibitWORKSHEET"/>
      </w:pPr>
      <w:bookmarkStart w:id="308" w:name="WSp2n7"/>
      <w:bookmarkStart w:id="309" w:name="_Toc125619151"/>
      <w:bookmarkStart w:id="310" w:name="_Toc201751500"/>
      <w:bookmarkEnd w:id="308"/>
      <w:r w:rsidRPr="00990D3B">
        <w:t>Worksheet 2.7. Data and Processes Used to Produce Performance Measures: Documentation Review Checklist</w:t>
      </w:r>
      <w:bookmarkEnd w:id="309"/>
      <w:bookmarkEnd w:id="310"/>
      <w:r w:rsidRPr="00990D3B">
        <w:t xml:space="preserve"> </w:t>
      </w:r>
    </w:p>
    <w:p w:rsidR="00B13203" w:rsidRPr="00990D3B" w:rsidP="00BD1FC3" w14:paraId="717CDC25" w14:textId="2CD2FECB">
      <w:pPr>
        <w:pStyle w:val="EQRNormalSSWORKSHEET"/>
      </w:pPr>
      <w:r w:rsidRPr="00990D3B">
        <w:rPr>
          <w:b/>
        </w:rPr>
        <w:t>Instructions.</w:t>
      </w:r>
      <w:r w:rsidRPr="00990D3B">
        <w:t xml:space="preserve"> During the site visit, </w:t>
      </w:r>
      <w:r w:rsidRPr="00990D3B" w:rsidR="001E1533">
        <w:t>use this tool to check</w:t>
      </w:r>
      <w:r w:rsidRPr="00990D3B">
        <w:t xml:space="preserve"> the documentation of steps taken in the production of the performance measures</w:t>
      </w:r>
      <w:r w:rsidRPr="00990D3B" w:rsidR="00B331C8">
        <w:t xml:space="preserve">, </w:t>
      </w:r>
      <w:r w:rsidRPr="00990D3B">
        <w:t xml:space="preserve">as described in </w:t>
      </w:r>
      <w:hyperlink w:anchor="P2Act2Step3" w:tooltip="Activity 2, Step 3" w:history="1">
        <w:r w:rsidRPr="00990D3B">
          <w:rPr>
            <w:rStyle w:val="Hyperlink"/>
          </w:rPr>
          <w:t>Activity</w:t>
        </w:r>
        <w:r w:rsidRPr="00990D3B" w:rsidR="00736290">
          <w:rPr>
            <w:rStyle w:val="Hyperlink"/>
          </w:rPr>
          <w:t> </w:t>
        </w:r>
        <w:r w:rsidRPr="00990D3B">
          <w:rPr>
            <w:rStyle w:val="Hyperlink"/>
          </w:rPr>
          <w:t>2, Step 3</w:t>
        </w:r>
      </w:hyperlink>
      <w:r w:rsidRPr="00990D3B">
        <w:t xml:space="preserve">. </w:t>
      </w:r>
      <w:r w:rsidRPr="00990D3B">
        <w:t xml:space="preserve">For each data and process used, indicate whether it was “Reviewed”, “Not Reviewed”, or “Not </w:t>
      </w:r>
      <w:r w:rsidRPr="00990D3B" w:rsidR="000523B6">
        <w:t>A</w:t>
      </w:r>
      <w:r w:rsidRPr="00990D3B">
        <w:t xml:space="preserve">pplicable”, and any relevant comments. </w:t>
      </w:r>
    </w:p>
    <w:p w:rsidR="006C592C" w:rsidRPr="00990D3B" w:rsidP="00BD1FC3" w14:paraId="6A04B4F2" w14:textId="77777777">
      <w:pPr>
        <w:pStyle w:val="EQRNormalSSWORKSHEET"/>
        <w:spacing w:before="0" w:line="240" w:lineRule="auto"/>
        <w:rPr>
          <w:rFonts w:eastAsiaTheme="minorHAnsi"/>
        </w:rPr>
      </w:pPr>
      <w:r w:rsidRPr="00990D3B">
        <w:rPr>
          <w:rFonts w:eastAsiaTheme="minorHAnsi"/>
        </w:rPr>
        <w:t>Acronyms: EQRO = External Quality Review Organization; MCP= Managed Care Plan; NA = Not Applicable.</w:t>
      </w:r>
    </w:p>
    <w:tbl>
      <w:tblPr>
        <w:tblStyle w:val="TableGrid"/>
        <w:tblW w:w="5000" w:type="pct"/>
        <w:tblLook w:val="04A0"/>
      </w:tblPr>
      <w:tblGrid>
        <w:gridCol w:w="6115"/>
        <w:gridCol w:w="1530"/>
        <w:gridCol w:w="1350"/>
        <w:gridCol w:w="990"/>
        <w:gridCol w:w="2965"/>
      </w:tblGrid>
      <w:tr w14:paraId="2A556161" w14:textId="77777777" w:rsidTr="00736290">
        <w:tblPrEx>
          <w:tblW w:w="5000" w:type="pct"/>
          <w:tblLook w:val="04A0"/>
        </w:tblPrEx>
        <w:trPr>
          <w:cantSplit/>
          <w:tblHeader/>
        </w:trPr>
        <w:tc>
          <w:tcPr>
            <w:tcW w:w="6115" w:type="dxa"/>
            <w:vAlign w:val="bottom"/>
          </w:tcPr>
          <w:p w:rsidR="00F931A4" w:rsidRPr="00990D3B" w:rsidP="00BD1FC3" w14:paraId="52907374" w14:textId="77777777">
            <w:pPr>
              <w:pStyle w:val="EQRTableText"/>
              <w:rPr>
                <w:b/>
                <w:bCs/>
              </w:rPr>
            </w:pPr>
            <w:r w:rsidRPr="00990D3B">
              <w:rPr>
                <w:b/>
                <w:bCs/>
              </w:rPr>
              <w:t>Documentation</w:t>
            </w:r>
          </w:p>
        </w:tc>
        <w:tc>
          <w:tcPr>
            <w:tcW w:w="1530" w:type="dxa"/>
            <w:vAlign w:val="bottom"/>
          </w:tcPr>
          <w:p w:rsidR="00F931A4" w:rsidRPr="00990D3B" w:rsidP="00BD1FC3" w14:paraId="0AAA05FB" w14:textId="77777777">
            <w:pPr>
              <w:pStyle w:val="EQRTableText"/>
              <w:jc w:val="center"/>
              <w:rPr>
                <w:b/>
                <w:bCs/>
              </w:rPr>
            </w:pPr>
            <w:r w:rsidRPr="00990D3B">
              <w:rPr>
                <w:b/>
                <w:bCs/>
              </w:rPr>
              <w:t>Reviewed</w:t>
            </w:r>
          </w:p>
        </w:tc>
        <w:tc>
          <w:tcPr>
            <w:tcW w:w="1350" w:type="dxa"/>
            <w:vAlign w:val="bottom"/>
          </w:tcPr>
          <w:p w:rsidR="00F931A4" w:rsidRPr="00990D3B" w:rsidP="00BD1FC3" w14:paraId="37B423AF" w14:textId="77777777">
            <w:pPr>
              <w:pStyle w:val="EQRTableText"/>
              <w:jc w:val="center"/>
              <w:rPr>
                <w:b/>
                <w:bCs/>
              </w:rPr>
            </w:pPr>
            <w:r w:rsidRPr="00990D3B">
              <w:rPr>
                <w:b/>
                <w:bCs/>
              </w:rPr>
              <w:t>Not Reviewed</w:t>
            </w:r>
          </w:p>
        </w:tc>
        <w:tc>
          <w:tcPr>
            <w:tcW w:w="990" w:type="dxa"/>
            <w:vAlign w:val="bottom"/>
          </w:tcPr>
          <w:p w:rsidR="00F931A4" w:rsidRPr="00990D3B" w:rsidP="00BD1FC3" w14:paraId="14C9BE94" w14:textId="77B48005">
            <w:pPr>
              <w:pStyle w:val="EQRTableText"/>
              <w:jc w:val="center"/>
              <w:rPr>
                <w:b/>
                <w:bCs/>
              </w:rPr>
            </w:pPr>
            <w:r w:rsidRPr="00990D3B">
              <w:rPr>
                <w:b/>
                <w:bCs/>
              </w:rPr>
              <w:t>NA</w:t>
            </w:r>
          </w:p>
        </w:tc>
        <w:tc>
          <w:tcPr>
            <w:tcW w:w="2965" w:type="dxa"/>
            <w:vAlign w:val="bottom"/>
          </w:tcPr>
          <w:p w:rsidR="00F931A4" w:rsidRPr="00990D3B" w:rsidP="00BD1FC3" w14:paraId="1AA0EA9E" w14:textId="77777777">
            <w:pPr>
              <w:pStyle w:val="EQRTableText"/>
              <w:jc w:val="center"/>
              <w:rPr>
                <w:b/>
                <w:bCs/>
              </w:rPr>
            </w:pPr>
            <w:r w:rsidRPr="00990D3B">
              <w:rPr>
                <w:b/>
                <w:bCs/>
              </w:rPr>
              <w:t>Comments</w:t>
            </w:r>
          </w:p>
        </w:tc>
      </w:tr>
      <w:tr w14:paraId="6F40AD07" w14:textId="77777777" w:rsidTr="009D31CB">
        <w:tblPrEx>
          <w:tblW w:w="5000" w:type="pct"/>
          <w:tblLook w:val="04A0"/>
        </w:tblPrEx>
        <w:trPr>
          <w:cantSplit/>
        </w:trPr>
        <w:tc>
          <w:tcPr>
            <w:tcW w:w="6115" w:type="dxa"/>
            <w:shd w:val="clear" w:color="auto" w:fill="D9D9D9"/>
          </w:tcPr>
          <w:p w:rsidR="00F931A4" w:rsidRPr="00990D3B" w:rsidP="00BD1FC3" w14:paraId="28857FA3" w14:textId="77777777">
            <w:pPr>
              <w:pStyle w:val="EQRTableText"/>
              <w:rPr>
                <w:b/>
                <w:bCs/>
              </w:rPr>
            </w:pPr>
            <w:r w:rsidRPr="00990D3B">
              <w:rPr>
                <w:b/>
                <w:bCs/>
              </w:rPr>
              <w:t>Documentation of overall policies and procedures</w:t>
            </w:r>
          </w:p>
        </w:tc>
        <w:tc>
          <w:tcPr>
            <w:tcW w:w="1530" w:type="dxa"/>
            <w:shd w:val="clear" w:color="auto" w:fill="D9D9D9"/>
          </w:tcPr>
          <w:p w:rsidR="00F931A4" w:rsidRPr="00990D3B" w:rsidP="00BD1FC3" w14:paraId="247E48F0" w14:textId="77777777">
            <w:pPr>
              <w:pStyle w:val="EQRTableText"/>
            </w:pPr>
            <w:r w:rsidRPr="00990D3B">
              <w:t> </w:t>
            </w:r>
          </w:p>
        </w:tc>
        <w:tc>
          <w:tcPr>
            <w:tcW w:w="1350" w:type="dxa"/>
            <w:shd w:val="clear" w:color="auto" w:fill="D9D9D9"/>
          </w:tcPr>
          <w:p w:rsidR="00F931A4" w:rsidRPr="00990D3B" w:rsidP="00BD1FC3" w14:paraId="1BC0E5EC" w14:textId="77777777">
            <w:pPr>
              <w:pStyle w:val="EQRTableText"/>
            </w:pPr>
            <w:r w:rsidRPr="00990D3B">
              <w:t> </w:t>
            </w:r>
          </w:p>
        </w:tc>
        <w:tc>
          <w:tcPr>
            <w:tcW w:w="990" w:type="dxa"/>
            <w:shd w:val="clear" w:color="auto" w:fill="D9D9D9"/>
          </w:tcPr>
          <w:p w:rsidR="00F931A4" w:rsidRPr="00990D3B" w:rsidP="00BD1FC3" w14:paraId="52415431" w14:textId="77777777">
            <w:pPr>
              <w:pStyle w:val="EQRTableText"/>
            </w:pPr>
            <w:r w:rsidRPr="00990D3B">
              <w:t> </w:t>
            </w:r>
          </w:p>
        </w:tc>
        <w:tc>
          <w:tcPr>
            <w:tcW w:w="2965" w:type="dxa"/>
            <w:shd w:val="clear" w:color="auto" w:fill="D9D9D9"/>
          </w:tcPr>
          <w:p w:rsidR="00F931A4" w:rsidRPr="00990D3B" w:rsidP="00BD1FC3" w14:paraId="2F47C441" w14:textId="77777777">
            <w:pPr>
              <w:pStyle w:val="EQRTableText"/>
            </w:pPr>
            <w:r w:rsidRPr="00990D3B">
              <w:t> </w:t>
            </w:r>
          </w:p>
        </w:tc>
      </w:tr>
      <w:tr w14:paraId="1ED067DE" w14:textId="77777777" w:rsidTr="00736290">
        <w:tblPrEx>
          <w:tblW w:w="5000" w:type="pct"/>
          <w:tblLook w:val="04A0"/>
        </w:tblPrEx>
        <w:trPr>
          <w:cantSplit/>
        </w:trPr>
        <w:tc>
          <w:tcPr>
            <w:tcW w:w="6115" w:type="dxa"/>
          </w:tcPr>
          <w:p w:rsidR="00F931A4" w:rsidRPr="00990D3B" w:rsidP="00BD1FC3" w14:paraId="1F3AE752" w14:textId="77777777">
            <w:pPr>
              <w:pStyle w:val="EQRTableText"/>
            </w:pPr>
            <w:r w:rsidRPr="00990D3B">
              <w:t>Policies which stipulate and enforce documentation of data requirements, issues, validation efforts and results</w:t>
            </w:r>
          </w:p>
        </w:tc>
        <w:tc>
          <w:tcPr>
            <w:tcW w:w="1530" w:type="dxa"/>
          </w:tcPr>
          <w:p w:rsidR="00F931A4" w:rsidRPr="00990D3B" w:rsidP="00BD1FC3" w14:paraId="31C8FF58" w14:textId="77777777">
            <w:pPr>
              <w:pStyle w:val="EQRTableText"/>
            </w:pPr>
            <w:r w:rsidRPr="00990D3B">
              <w:t> </w:t>
            </w:r>
          </w:p>
        </w:tc>
        <w:tc>
          <w:tcPr>
            <w:tcW w:w="1350" w:type="dxa"/>
          </w:tcPr>
          <w:p w:rsidR="00F931A4" w:rsidRPr="00990D3B" w:rsidP="00BD1FC3" w14:paraId="06F8A28C" w14:textId="77777777">
            <w:pPr>
              <w:pStyle w:val="EQRTableText"/>
            </w:pPr>
            <w:r w:rsidRPr="00990D3B">
              <w:t> </w:t>
            </w:r>
          </w:p>
        </w:tc>
        <w:tc>
          <w:tcPr>
            <w:tcW w:w="990" w:type="dxa"/>
          </w:tcPr>
          <w:p w:rsidR="00F931A4" w:rsidRPr="00990D3B" w:rsidP="00BD1FC3" w14:paraId="0B808498" w14:textId="77777777">
            <w:pPr>
              <w:pStyle w:val="EQRTableText"/>
            </w:pPr>
            <w:r w:rsidRPr="00990D3B">
              <w:t> </w:t>
            </w:r>
          </w:p>
        </w:tc>
        <w:tc>
          <w:tcPr>
            <w:tcW w:w="2965" w:type="dxa"/>
          </w:tcPr>
          <w:p w:rsidR="00F931A4" w:rsidRPr="00990D3B" w:rsidP="00BD1FC3" w14:paraId="5C6B6361" w14:textId="77777777">
            <w:pPr>
              <w:pStyle w:val="EQRTableText"/>
            </w:pPr>
            <w:r w:rsidRPr="00990D3B">
              <w:t> </w:t>
            </w:r>
          </w:p>
        </w:tc>
      </w:tr>
      <w:tr w14:paraId="2AAA309F" w14:textId="77777777" w:rsidTr="00736290">
        <w:tblPrEx>
          <w:tblW w:w="5000" w:type="pct"/>
          <w:tblLook w:val="04A0"/>
        </w:tblPrEx>
        <w:trPr>
          <w:cantSplit/>
        </w:trPr>
        <w:tc>
          <w:tcPr>
            <w:tcW w:w="6115" w:type="dxa"/>
          </w:tcPr>
          <w:p w:rsidR="00F931A4" w:rsidRPr="00990D3B" w:rsidP="00BD1FC3" w14:paraId="3C2D6B24" w14:textId="77777777">
            <w:pPr>
              <w:pStyle w:val="EQRTableText"/>
            </w:pPr>
            <w:r w:rsidRPr="00990D3B">
              <w:t>Procedures for displaying denominator counts, numerator counts, precision levels, and totals</w:t>
            </w:r>
          </w:p>
        </w:tc>
        <w:tc>
          <w:tcPr>
            <w:tcW w:w="1530" w:type="dxa"/>
          </w:tcPr>
          <w:p w:rsidR="00F931A4" w:rsidRPr="00990D3B" w:rsidP="00BD1FC3" w14:paraId="35742676" w14:textId="77777777">
            <w:pPr>
              <w:pStyle w:val="EQRTableText"/>
            </w:pPr>
            <w:r w:rsidRPr="00990D3B">
              <w:t> </w:t>
            </w:r>
          </w:p>
        </w:tc>
        <w:tc>
          <w:tcPr>
            <w:tcW w:w="1350" w:type="dxa"/>
          </w:tcPr>
          <w:p w:rsidR="00F931A4" w:rsidRPr="00990D3B" w:rsidP="00BD1FC3" w14:paraId="43F4434D" w14:textId="77777777">
            <w:pPr>
              <w:pStyle w:val="EQRTableText"/>
            </w:pPr>
            <w:r w:rsidRPr="00990D3B">
              <w:t> </w:t>
            </w:r>
          </w:p>
        </w:tc>
        <w:tc>
          <w:tcPr>
            <w:tcW w:w="990" w:type="dxa"/>
          </w:tcPr>
          <w:p w:rsidR="00F931A4" w:rsidRPr="00990D3B" w:rsidP="00BD1FC3" w14:paraId="0CC6B0ED" w14:textId="77777777">
            <w:pPr>
              <w:pStyle w:val="EQRTableText"/>
            </w:pPr>
            <w:r w:rsidRPr="00990D3B">
              <w:t> </w:t>
            </w:r>
          </w:p>
        </w:tc>
        <w:tc>
          <w:tcPr>
            <w:tcW w:w="2965" w:type="dxa"/>
          </w:tcPr>
          <w:p w:rsidR="00F931A4" w:rsidRPr="00990D3B" w:rsidP="00BD1FC3" w14:paraId="3D7E204E" w14:textId="77777777">
            <w:pPr>
              <w:pStyle w:val="EQRTableText"/>
            </w:pPr>
            <w:r w:rsidRPr="00990D3B">
              <w:t> </w:t>
            </w:r>
          </w:p>
        </w:tc>
      </w:tr>
      <w:tr w14:paraId="370F43ED" w14:textId="77777777" w:rsidTr="00736290">
        <w:tblPrEx>
          <w:tblW w:w="5000" w:type="pct"/>
          <w:tblLook w:val="04A0"/>
        </w:tblPrEx>
        <w:trPr>
          <w:cantSplit/>
        </w:trPr>
        <w:tc>
          <w:tcPr>
            <w:tcW w:w="6115" w:type="dxa"/>
          </w:tcPr>
          <w:p w:rsidR="00F931A4" w:rsidRPr="00990D3B" w:rsidP="00BD1FC3" w14:paraId="5E1806E5" w14:textId="77777777">
            <w:pPr>
              <w:pStyle w:val="EQRTableText"/>
            </w:pPr>
            <w:r w:rsidRPr="00990D3B">
              <w:t>Procedures for reporting small sample sizes (consistent with state’s required methodology)</w:t>
            </w:r>
          </w:p>
        </w:tc>
        <w:tc>
          <w:tcPr>
            <w:tcW w:w="1530" w:type="dxa"/>
          </w:tcPr>
          <w:p w:rsidR="00F931A4" w:rsidRPr="00990D3B" w:rsidP="00BD1FC3" w14:paraId="5ACD75CD" w14:textId="77777777">
            <w:pPr>
              <w:pStyle w:val="EQRTableText"/>
            </w:pPr>
            <w:r w:rsidRPr="00990D3B">
              <w:t> </w:t>
            </w:r>
          </w:p>
        </w:tc>
        <w:tc>
          <w:tcPr>
            <w:tcW w:w="1350" w:type="dxa"/>
          </w:tcPr>
          <w:p w:rsidR="00F931A4" w:rsidRPr="00990D3B" w:rsidP="00BD1FC3" w14:paraId="172D27EB" w14:textId="77777777">
            <w:pPr>
              <w:pStyle w:val="EQRTableText"/>
            </w:pPr>
            <w:r w:rsidRPr="00990D3B">
              <w:t> </w:t>
            </w:r>
          </w:p>
        </w:tc>
        <w:tc>
          <w:tcPr>
            <w:tcW w:w="990" w:type="dxa"/>
          </w:tcPr>
          <w:p w:rsidR="00F931A4" w:rsidRPr="00990D3B" w:rsidP="00BD1FC3" w14:paraId="3A61322C" w14:textId="77777777">
            <w:pPr>
              <w:pStyle w:val="EQRTableText"/>
            </w:pPr>
            <w:r w:rsidRPr="00990D3B">
              <w:t> </w:t>
            </w:r>
          </w:p>
        </w:tc>
        <w:tc>
          <w:tcPr>
            <w:tcW w:w="2965" w:type="dxa"/>
          </w:tcPr>
          <w:p w:rsidR="00F931A4" w:rsidRPr="00990D3B" w:rsidP="00BD1FC3" w14:paraId="3DCE869F" w14:textId="77777777">
            <w:pPr>
              <w:pStyle w:val="EQRTableText"/>
            </w:pPr>
            <w:r w:rsidRPr="00990D3B">
              <w:t> </w:t>
            </w:r>
          </w:p>
        </w:tc>
      </w:tr>
      <w:tr w14:paraId="6824E979" w14:textId="77777777" w:rsidTr="00736290">
        <w:tblPrEx>
          <w:tblW w:w="5000" w:type="pct"/>
          <w:tblLook w:val="04A0"/>
        </w:tblPrEx>
        <w:trPr>
          <w:cantSplit/>
        </w:trPr>
        <w:tc>
          <w:tcPr>
            <w:tcW w:w="6115" w:type="dxa"/>
          </w:tcPr>
          <w:p w:rsidR="00F931A4" w:rsidRPr="00990D3B" w:rsidP="00BD1FC3" w14:paraId="5FAD9D7C" w14:textId="77777777">
            <w:pPr>
              <w:pStyle w:val="EQRTableText"/>
            </w:pPr>
            <w:r w:rsidRPr="00990D3B">
              <w:t>All reported measures to assess consistency of common elements (e.g., membership counts, number of pregnancies and births, etc.)</w:t>
            </w:r>
          </w:p>
        </w:tc>
        <w:tc>
          <w:tcPr>
            <w:tcW w:w="1530" w:type="dxa"/>
          </w:tcPr>
          <w:p w:rsidR="00F931A4" w:rsidRPr="00990D3B" w:rsidP="00BD1FC3" w14:paraId="227F7557" w14:textId="77777777">
            <w:pPr>
              <w:pStyle w:val="EQRTableText"/>
            </w:pPr>
            <w:r w:rsidRPr="00990D3B">
              <w:t> </w:t>
            </w:r>
          </w:p>
        </w:tc>
        <w:tc>
          <w:tcPr>
            <w:tcW w:w="1350" w:type="dxa"/>
          </w:tcPr>
          <w:p w:rsidR="00F931A4" w:rsidRPr="00990D3B" w:rsidP="00BD1FC3" w14:paraId="0EC55589" w14:textId="77777777">
            <w:pPr>
              <w:pStyle w:val="EQRTableText"/>
            </w:pPr>
            <w:r w:rsidRPr="00990D3B">
              <w:t> </w:t>
            </w:r>
          </w:p>
        </w:tc>
        <w:tc>
          <w:tcPr>
            <w:tcW w:w="990" w:type="dxa"/>
          </w:tcPr>
          <w:p w:rsidR="00F931A4" w:rsidRPr="00990D3B" w:rsidP="00BD1FC3" w14:paraId="436F34D2" w14:textId="77777777">
            <w:pPr>
              <w:pStyle w:val="EQRTableText"/>
            </w:pPr>
            <w:r w:rsidRPr="00990D3B">
              <w:t> </w:t>
            </w:r>
          </w:p>
        </w:tc>
        <w:tc>
          <w:tcPr>
            <w:tcW w:w="2965" w:type="dxa"/>
          </w:tcPr>
          <w:p w:rsidR="00F931A4" w:rsidRPr="00990D3B" w:rsidP="00BD1FC3" w14:paraId="1C4A4424" w14:textId="77777777">
            <w:pPr>
              <w:pStyle w:val="EQRTableText"/>
            </w:pPr>
            <w:r w:rsidRPr="00990D3B">
              <w:t> </w:t>
            </w:r>
          </w:p>
        </w:tc>
      </w:tr>
      <w:tr w14:paraId="3240D7D4" w14:textId="77777777" w:rsidTr="009D31CB">
        <w:tblPrEx>
          <w:tblW w:w="5000" w:type="pct"/>
          <w:tblLook w:val="04A0"/>
        </w:tblPrEx>
        <w:trPr>
          <w:cantSplit/>
          <w:trHeight w:val="395"/>
        </w:trPr>
        <w:tc>
          <w:tcPr>
            <w:tcW w:w="6115" w:type="dxa"/>
            <w:shd w:val="clear" w:color="auto" w:fill="D9D9D9"/>
          </w:tcPr>
          <w:p w:rsidR="00F931A4" w:rsidRPr="00990D3B" w:rsidP="00BD1FC3" w14:paraId="6B1DC356" w14:textId="77777777">
            <w:pPr>
              <w:pStyle w:val="EQRTableText"/>
              <w:rPr>
                <w:b/>
                <w:bCs/>
              </w:rPr>
            </w:pPr>
            <w:r w:rsidRPr="00990D3B">
              <w:rPr>
                <w:b/>
                <w:bCs/>
              </w:rPr>
              <w:t>Documentation for each measure:</w:t>
            </w:r>
          </w:p>
        </w:tc>
        <w:tc>
          <w:tcPr>
            <w:tcW w:w="1530" w:type="dxa"/>
            <w:shd w:val="clear" w:color="auto" w:fill="D9D9D9"/>
          </w:tcPr>
          <w:p w:rsidR="00F931A4" w:rsidRPr="00990D3B" w:rsidP="00BD1FC3" w14:paraId="6FDBA829" w14:textId="77777777">
            <w:pPr>
              <w:pStyle w:val="EQRTableText"/>
            </w:pPr>
            <w:r w:rsidRPr="00990D3B">
              <w:t> </w:t>
            </w:r>
          </w:p>
        </w:tc>
        <w:tc>
          <w:tcPr>
            <w:tcW w:w="1350" w:type="dxa"/>
            <w:shd w:val="clear" w:color="auto" w:fill="D9D9D9"/>
          </w:tcPr>
          <w:p w:rsidR="00F931A4" w:rsidRPr="00990D3B" w:rsidP="00BD1FC3" w14:paraId="58CF18B7" w14:textId="77777777">
            <w:pPr>
              <w:pStyle w:val="EQRTableText"/>
            </w:pPr>
            <w:r w:rsidRPr="00990D3B">
              <w:t> </w:t>
            </w:r>
          </w:p>
        </w:tc>
        <w:tc>
          <w:tcPr>
            <w:tcW w:w="990" w:type="dxa"/>
            <w:shd w:val="clear" w:color="auto" w:fill="D9D9D9"/>
          </w:tcPr>
          <w:p w:rsidR="00F931A4" w:rsidRPr="00990D3B" w:rsidP="00BD1FC3" w14:paraId="1BF40D02" w14:textId="77777777">
            <w:pPr>
              <w:pStyle w:val="EQRTableText"/>
            </w:pPr>
            <w:r w:rsidRPr="00990D3B">
              <w:t> </w:t>
            </w:r>
          </w:p>
        </w:tc>
        <w:tc>
          <w:tcPr>
            <w:tcW w:w="2965" w:type="dxa"/>
            <w:shd w:val="clear" w:color="auto" w:fill="D9D9D9"/>
          </w:tcPr>
          <w:p w:rsidR="00F931A4" w:rsidRPr="00990D3B" w:rsidP="00BD1FC3" w14:paraId="7CA3C81C" w14:textId="77777777">
            <w:pPr>
              <w:pStyle w:val="EQRTableText"/>
            </w:pPr>
            <w:r w:rsidRPr="00990D3B">
              <w:t> </w:t>
            </w:r>
          </w:p>
        </w:tc>
      </w:tr>
      <w:tr w14:paraId="2920D905" w14:textId="77777777" w:rsidTr="00736290">
        <w:tblPrEx>
          <w:tblW w:w="5000" w:type="pct"/>
          <w:tblLook w:val="04A0"/>
        </w:tblPrEx>
        <w:trPr>
          <w:cantSplit/>
        </w:trPr>
        <w:tc>
          <w:tcPr>
            <w:tcW w:w="6115" w:type="dxa"/>
          </w:tcPr>
          <w:p w:rsidR="00F931A4" w:rsidRPr="00990D3B" w:rsidP="00BD1FC3" w14:paraId="7CA4AB04" w14:textId="77777777">
            <w:pPr>
              <w:pStyle w:val="EQRTableText"/>
            </w:pPr>
            <w:r w:rsidRPr="00990D3B">
              <w:t>Programming logic and/or source code for arithmetic calculation</w:t>
            </w:r>
          </w:p>
        </w:tc>
        <w:tc>
          <w:tcPr>
            <w:tcW w:w="1530" w:type="dxa"/>
          </w:tcPr>
          <w:p w:rsidR="00F931A4" w:rsidRPr="00990D3B" w:rsidP="00BD1FC3" w14:paraId="5441B1D6" w14:textId="77777777">
            <w:pPr>
              <w:pStyle w:val="EQRTableText"/>
            </w:pPr>
            <w:r w:rsidRPr="00990D3B">
              <w:t> </w:t>
            </w:r>
          </w:p>
        </w:tc>
        <w:tc>
          <w:tcPr>
            <w:tcW w:w="1350" w:type="dxa"/>
          </w:tcPr>
          <w:p w:rsidR="00F931A4" w:rsidRPr="00990D3B" w:rsidP="00BD1FC3" w14:paraId="77504278" w14:textId="77777777">
            <w:pPr>
              <w:pStyle w:val="EQRTableText"/>
            </w:pPr>
            <w:r w:rsidRPr="00990D3B">
              <w:t> </w:t>
            </w:r>
          </w:p>
        </w:tc>
        <w:tc>
          <w:tcPr>
            <w:tcW w:w="990" w:type="dxa"/>
          </w:tcPr>
          <w:p w:rsidR="00F931A4" w:rsidRPr="00990D3B" w:rsidP="00BD1FC3" w14:paraId="5D12ECBA" w14:textId="77777777">
            <w:pPr>
              <w:pStyle w:val="EQRTableText"/>
            </w:pPr>
            <w:r w:rsidRPr="00990D3B">
              <w:t> </w:t>
            </w:r>
          </w:p>
        </w:tc>
        <w:tc>
          <w:tcPr>
            <w:tcW w:w="2965" w:type="dxa"/>
          </w:tcPr>
          <w:p w:rsidR="00F931A4" w:rsidRPr="00990D3B" w:rsidP="00BD1FC3" w14:paraId="3A109495" w14:textId="77777777">
            <w:pPr>
              <w:pStyle w:val="EQRTableText"/>
            </w:pPr>
            <w:r w:rsidRPr="00990D3B">
              <w:t> </w:t>
            </w:r>
          </w:p>
        </w:tc>
      </w:tr>
      <w:tr w14:paraId="307E3608" w14:textId="77777777" w:rsidTr="00736290">
        <w:tblPrEx>
          <w:tblW w:w="5000" w:type="pct"/>
          <w:tblLook w:val="04A0"/>
        </w:tblPrEx>
        <w:trPr>
          <w:cantSplit/>
        </w:trPr>
        <w:tc>
          <w:tcPr>
            <w:tcW w:w="6115" w:type="dxa"/>
          </w:tcPr>
          <w:p w:rsidR="00F931A4" w:rsidRPr="00990D3B" w:rsidP="00BD1FC3" w14:paraId="6C3253D4" w14:textId="77777777">
            <w:pPr>
              <w:pStyle w:val="EQRTableText"/>
            </w:pPr>
            <w:r w:rsidRPr="00990D3B">
              <w:t xml:space="preserve">A project or measurement plan, including </w:t>
            </w:r>
            <w:r w:rsidRPr="00990D3B">
              <w:t>work flow</w:t>
            </w:r>
          </w:p>
        </w:tc>
        <w:tc>
          <w:tcPr>
            <w:tcW w:w="1530" w:type="dxa"/>
          </w:tcPr>
          <w:p w:rsidR="00F931A4" w:rsidRPr="00990D3B" w:rsidP="00BD1FC3" w14:paraId="61C6E300" w14:textId="77777777">
            <w:pPr>
              <w:pStyle w:val="EQRTableText"/>
            </w:pPr>
            <w:r w:rsidRPr="00990D3B">
              <w:t> </w:t>
            </w:r>
          </w:p>
        </w:tc>
        <w:tc>
          <w:tcPr>
            <w:tcW w:w="1350" w:type="dxa"/>
          </w:tcPr>
          <w:p w:rsidR="00F931A4" w:rsidRPr="00990D3B" w:rsidP="00BD1FC3" w14:paraId="25FF61ED" w14:textId="77777777">
            <w:pPr>
              <w:pStyle w:val="EQRTableText"/>
            </w:pPr>
            <w:r w:rsidRPr="00990D3B">
              <w:t> </w:t>
            </w:r>
          </w:p>
        </w:tc>
        <w:tc>
          <w:tcPr>
            <w:tcW w:w="990" w:type="dxa"/>
          </w:tcPr>
          <w:p w:rsidR="00F931A4" w:rsidRPr="00990D3B" w:rsidP="00BD1FC3" w14:paraId="515C7C4A" w14:textId="77777777">
            <w:pPr>
              <w:pStyle w:val="EQRTableText"/>
            </w:pPr>
            <w:r w:rsidRPr="00990D3B">
              <w:t> </w:t>
            </w:r>
          </w:p>
        </w:tc>
        <w:tc>
          <w:tcPr>
            <w:tcW w:w="2965" w:type="dxa"/>
          </w:tcPr>
          <w:p w:rsidR="00F931A4" w:rsidRPr="00990D3B" w:rsidP="00BD1FC3" w14:paraId="64190FC0" w14:textId="77777777">
            <w:pPr>
              <w:pStyle w:val="EQRTableText"/>
            </w:pPr>
            <w:r w:rsidRPr="00990D3B">
              <w:t> </w:t>
            </w:r>
          </w:p>
        </w:tc>
      </w:tr>
      <w:tr w14:paraId="43A03288" w14:textId="77777777" w:rsidTr="00736290">
        <w:tblPrEx>
          <w:tblW w:w="5000" w:type="pct"/>
          <w:tblLook w:val="04A0"/>
        </w:tblPrEx>
        <w:trPr>
          <w:cantSplit/>
        </w:trPr>
        <w:tc>
          <w:tcPr>
            <w:tcW w:w="6115" w:type="dxa"/>
          </w:tcPr>
          <w:p w:rsidR="00F931A4" w:rsidRPr="00990D3B" w:rsidP="00BD1FC3" w14:paraId="74EB9F5A" w14:textId="77777777">
            <w:pPr>
              <w:pStyle w:val="EQRTableText"/>
            </w:pPr>
            <w:r w:rsidRPr="00990D3B">
              <w:t>Documentation of programming specifications and data sources</w:t>
            </w:r>
          </w:p>
        </w:tc>
        <w:tc>
          <w:tcPr>
            <w:tcW w:w="1530" w:type="dxa"/>
          </w:tcPr>
          <w:p w:rsidR="00F931A4" w:rsidRPr="00990D3B" w:rsidP="00BD1FC3" w14:paraId="0E4D46B8" w14:textId="77777777">
            <w:pPr>
              <w:pStyle w:val="EQRTableText"/>
            </w:pPr>
            <w:r w:rsidRPr="00990D3B">
              <w:t> </w:t>
            </w:r>
          </w:p>
        </w:tc>
        <w:tc>
          <w:tcPr>
            <w:tcW w:w="1350" w:type="dxa"/>
          </w:tcPr>
          <w:p w:rsidR="00F931A4" w:rsidRPr="00990D3B" w:rsidP="00BD1FC3" w14:paraId="459EC09C" w14:textId="77777777">
            <w:pPr>
              <w:pStyle w:val="EQRTableText"/>
            </w:pPr>
            <w:r w:rsidRPr="00990D3B">
              <w:t> </w:t>
            </w:r>
          </w:p>
        </w:tc>
        <w:tc>
          <w:tcPr>
            <w:tcW w:w="990" w:type="dxa"/>
          </w:tcPr>
          <w:p w:rsidR="00F931A4" w:rsidRPr="00990D3B" w:rsidP="00BD1FC3" w14:paraId="764FEA40" w14:textId="77777777">
            <w:pPr>
              <w:pStyle w:val="EQRTableText"/>
            </w:pPr>
            <w:r w:rsidRPr="00990D3B">
              <w:t> </w:t>
            </w:r>
          </w:p>
        </w:tc>
        <w:tc>
          <w:tcPr>
            <w:tcW w:w="2965" w:type="dxa"/>
          </w:tcPr>
          <w:p w:rsidR="00F931A4" w:rsidRPr="00990D3B" w:rsidP="00BD1FC3" w14:paraId="72DA8153" w14:textId="77777777">
            <w:pPr>
              <w:pStyle w:val="EQRTableText"/>
            </w:pPr>
            <w:r w:rsidRPr="00990D3B">
              <w:t> </w:t>
            </w:r>
          </w:p>
        </w:tc>
      </w:tr>
      <w:tr w14:paraId="62FD11D1" w14:textId="77777777" w:rsidTr="00736290">
        <w:tblPrEx>
          <w:tblW w:w="5000" w:type="pct"/>
          <w:tblLook w:val="04A0"/>
        </w:tblPrEx>
        <w:trPr>
          <w:cantSplit/>
        </w:trPr>
        <w:tc>
          <w:tcPr>
            <w:tcW w:w="6115" w:type="dxa"/>
          </w:tcPr>
          <w:p w:rsidR="00F931A4" w:rsidRPr="00990D3B" w:rsidP="00BD1FC3" w14:paraId="73BF5C1A" w14:textId="77777777">
            <w:pPr>
              <w:pStyle w:val="EQRTableText"/>
            </w:pPr>
            <w:r w:rsidRPr="00990D3B">
              <w:t>Documentation of the original universe of data including record-level patient identifiers that can be used to validate entire programming logic for creating denominators, numerators, and samples</w:t>
            </w:r>
          </w:p>
        </w:tc>
        <w:tc>
          <w:tcPr>
            <w:tcW w:w="1530" w:type="dxa"/>
          </w:tcPr>
          <w:p w:rsidR="00F931A4" w:rsidRPr="00990D3B" w:rsidP="00BD1FC3" w14:paraId="0F3D4357" w14:textId="77777777">
            <w:pPr>
              <w:pStyle w:val="EQRTableText"/>
            </w:pPr>
            <w:r w:rsidRPr="00990D3B">
              <w:t> </w:t>
            </w:r>
          </w:p>
        </w:tc>
        <w:tc>
          <w:tcPr>
            <w:tcW w:w="1350" w:type="dxa"/>
          </w:tcPr>
          <w:p w:rsidR="00F931A4" w:rsidRPr="00990D3B" w:rsidP="00BD1FC3" w14:paraId="3C4D17AE" w14:textId="77777777">
            <w:pPr>
              <w:pStyle w:val="EQRTableText"/>
            </w:pPr>
            <w:r w:rsidRPr="00990D3B">
              <w:t> </w:t>
            </w:r>
          </w:p>
        </w:tc>
        <w:tc>
          <w:tcPr>
            <w:tcW w:w="990" w:type="dxa"/>
          </w:tcPr>
          <w:p w:rsidR="00F931A4" w:rsidRPr="00990D3B" w:rsidP="00BD1FC3" w14:paraId="74923517" w14:textId="77777777">
            <w:pPr>
              <w:pStyle w:val="EQRTableText"/>
            </w:pPr>
            <w:r w:rsidRPr="00990D3B">
              <w:t> </w:t>
            </w:r>
          </w:p>
        </w:tc>
        <w:tc>
          <w:tcPr>
            <w:tcW w:w="2965" w:type="dxa"/>
          </w:tcPr>
          <w:p w:rsidR="00F931A4" w:rsidRPr="00990D3B" w:rsidP="00BD1FC3" w14:paraId="280BAD1E" w14:textId="77777777">
            <w:pPr>
              <w:pStyle w:val="EQRTableText"/>
            </w:pPr>
            <w:r w:rsidRPr="00990D3B">
              <w:t> </w:t>
            </w:r>
          </w:p>
        </w:tc>
      </w:tr>
      <w:tr w14:paraId="31A291C7" w14:textId="77777777" w:rsidTr="00736290">
        <w:tblPrEx>
          <w:tblW w:w="5000" w:type="pct"/>
          <w:tblLook w:val="04A0"/>
        </w:tblPrEx>
        <w:trPr>
          <w:cantSplit/>
        </w:trPr>
        <w:tc>
          <w:tcPr>
            <w:tcW w:w="6115" w:type="dxa"/>
          </w:tcPr>
          <w:p w:rsidR="00F931A4" w:rsidRPr="00990D3B" w:rsidP="00BD1FC3" w14:paraId="21A1686D" w14:textId="77777777">
            <w:pPr>
              <w:pStyle w:val="EQRTableText"/>
            </w:pPr>
            <w:r w:rsidRPr="00990D3B">
              <w:t>Documentation of computer queries, programming logic, or source code used to create denominators, numerators, and interim data files</w:t>
            </w:r>
          </w:p>
        </w:tc>
        <w:tc>
          <w:tcPr>
            <w:tcW w:w="1530" w:type="dxa"/>
          </w:tcPr>
          <w:p w:rsidR="00F931A4" w:rsidRPr="00990D3B" w:rsidP="00BD1FC3" w14:paraId="482FEDD8" w14:textId="77777777">
            <w:pPr>
              <w:pStyle w:val="EQRTableText"/>
            </w:pPr>
            <w:r w:rsidRPr="00990D3B">
              <w:t> </w:t>
            </w:r>
          </w:p>
        </w:tc>
        <w:tc>
          <w:tcPr>
            <w:tcW w:w="1350" w:type="dxa"/>
          </w:tcPr>
          <w:p w:rsidR="00F931A4" w:rsidRPr="00990D3B" w:rsidP="00BD1FC3" w14:paraId="71C465E9" w14:textId="77777777">
            <w:pPr>
              <w:pStyle w:val="EQRTableText"/>
            </w:pPr>
            <w:r w:rsidRPr="00990D3B">
              <w:t> </w:t>
            </w:r>
          </w:p>
        </w:tc>
        <w:tc>
          <w:tcPr>
            <w:tcW w:w="990" w:type="dxa"/>
          </w:tcPr>
          <w:p w:rsidR="00F931A4" w:rsidRPr="00990D3B" w:rsidP="00BD1FC3" w14:paraId="168691CF" w14:textId="77777777">
            <w:pPr>
              <w:pStyle w:val="EQRTableText"/>
            </w:pPr>
            <w:r w:rsidRPr="00990D3B">
              <w:t> </w:t>
            </w:r>
          </w:p>
        </w:tc>
        <w:tc>
          <w:tcPr>
            <w:tcW w:w="2965" w:type="dxa"/>
          </w:tcPr>
          <w:p w:rsidR="00F931A4" w:rsidRPr="00990D3B" w:rsidP="00BD1FC3" w14:paraId="439476E9" w14:textId="77777777">
            <w:pPr>
              <w:pStyle w:val="EQRTableText"/>
            </w:pPr>
            <w:r w:rsidRPr="00990D3B">
              <w:t> </w:t>
            </w:r>
          </w:p>
        </w:tc>
      </w:tr>
      <w:tr w14:paraId="1A58ADCE" w14:textId="77777777" w:rsidTr="00736290">
        <w:tblPrEx>
          <w:tblW w:w="5000" w:type="pct"/>
          <w:tblLook w:val="04A0"/>
        </w:tblPrEx>
        <w:trPr>
          <w:cantSplit/>
        </w:trPr>
        <w:tc>
          <w:tcPr>
            <w:tcW w:w="6115" w:type="dxa"/>
          </w:tcPr>
          <w:p w:rsidR="00F931A4" w:rsidRPr="00990D3B" w:rsidP="00BD1FC3" w14:paraId="44BF3D8F" w14:textId="77777777">
            <w:pPr>
              <w:pStyle w:val="EQRTableText"/>
            </w:pPr>
            <w:r w:rsidRPr="00990D3B">
              <w:t>Documentation of medical record review for each measure, as appropriate, including: qualifications of medical record review supervisor and staff; reviewer training materials, audit tools used (including completed copies of each record-level reviewer determination), all case-level critical performance measure data elements used to determine a positive or negative event or exclude a case from same, and inter-rater reliability testing procedures and results</w:t>
            </w:r>
          </w:p>
        </w:tc>
        <w:tc>
          <w:tcPr>
            <w:tcW w:w="1530" w:type="dxa"/>
          </w:tcPr>
          <w:p w:rsidR="00F931A4" w:rsidRPr="00990D3B" w:rsidP="00BD1FC3" w14:paraId="77A96E9D" w14:textId="77777777">
            <w:pPr>
              <w:pStyle w:val="EQRTableText"/>
            </w:pPr>
            <w:r w:rsidRPr="00990D3B">
              <w:t> </w:t>
            </w:r>
          </w:p>
        </w:tc>
        <w:tc>
          <w:tcPr>
            <w:tcW w:w="1350" w:type="dxa"/>
          </w:tcPr>
          <w:p w:rsidR="00F931A4" w:rsidRPr="00990D3B" w:rsidP="00BD1FC3" w14:paraId="3A056ACE" w14:textId="77777777">
            <w:pPr>
              <w:pStyle w:val="EQRTableText"/>
            </w:pPr>
            <w:r w:rsidRPr="00990D3B">
              <w:t> </w:t>
            </w:r>
          </w:p>
        </w:tc>
        <w:tc>
          <w:tcPr>
            <w:tcW w:w="990" w:type="dxa"/>
          </w:tcPr>
          <w:p w:rsidR="00F931A4" w:rsidRPr="00990D3B" w:rsidP="00BD1FC3" w14:paraId="7CDF3EB8" w14:textId="77777777">
            <w:pPr>
              <w:pStyle w:val="EQRTableText"/>
            </w:pPr>
            <w:r w:rsidRPr="00990D3B">
              <w:t> </w:t>
            </w:r>
          </w:p>
        </w:tc>
        <w:tc>
          <w:tcPr>
            <w:tcW w:w="2965" w:type="dxa"/>
          </w:tcPr>
          <w:p w:rsidR="00F931A4" w:rsidRPr="00990D3B" w:rsidP="00BD1FC3" w14:paraId="1B76098A" w14:textId="77777777">
            <w:pPr>
              <w:pStyle w:val="EQRTableText"/>
            </w:pPr>
            <w:r w:rsidRPr="00990D3B">
              <w:t> </w:t>
            </w:r>
          </w:p>
        </w:tc>
      </w:tr>
      <w:tr w14:paraId="4CB0FC2E" w14:textId="77777777" w:rsidTr="00736290">
        <w:tblPrEx>
          <w:tblW w:w="5000" w:type="pct"/>
          <w:tblLook w:val="04A0"/>
        </w:tblPrEx>
        <w:trPr>
          <w:cantSplit/>
        </w:trPr>
        <w:tc>
          <w:tcPr>
            <w:tcW w:w="6115" w:type="dxa"/>
          </w:tcPr>
          <w:p w:rsidR="00F931A4" w:rsidRPr="00990D3B" w:rsidP="00BD1FC3" w14:paraId="571073ED" w14:textId="77777777">
            <w:pPr>
              <w:pStyle w:val="EQRTableText"/>
            </w:pPr>
            <w:r w:rsidRPr="00990D3B">
              <w:t>Documentation of results of statistical tests and any corrections or adjustments to data along with justification for such changes for each measure, as appropriate</w:t>
            </w:r>
          </w:p>
        </w:tc>
        <w:tc>
          <w:tcPr>
            <w:tcW w:w="1530" w:type="dxa"/>
          </w:tcPr>
          <w:p w:rsidR="00F931A4" w:rsidRPr="00990D3B" w:rsidP="00BD1FC3" w14:paraId="2D3C3EDD" w14:textId="77777777">
            <w:pPr>
              <w:pStyle w:val="EQRTableText"/>
            </w:pPr>
            <w:r w:rsidRPr="00990D3B">
              <w:t> </w:t>
            </w:r>
          </w:p>
        </w:tc>
        <w:tc>
          <w:tcPr>
            <w:tcW w:w="1350" w:type="dxa"/>
          </w:tcPr>
          <w:p w:rsidR="00F931A4" w:rsidRPr="00990D3B" w:rsidP="00BD1FC3" w14:paraId="7B44701C" w14:textId="77777777">
            <w:pPr>
              <w:pStyle w:val="EQRTableText"/>
            </w:pPr>
            <w:r w:rsidRPr="00990D3B">
              <w:t> </w:t>
            </w:r>
          </w:p>
        </w:tc>
        <w:tc>
          <w:tcPr>
            <w:tcW w:w="990" w:type="dxa"/>
          </w:tcPr>
          <w:p w:rsidR="00F931A4" w:rsidRPr="00990D3B" w:rsidP="00BD1FC3" w14:paraId="0B8DDB7C" w14:textId="77777777">
            <w:pPr>
              <w:pStyle w:val="EQRTableText"/>
            </w:pPr>
            <w:r w:rsidRPr="00990D3B">
              <w:t> </w:t>
            </w:r>
          </w:p>
        </w:tc>
        <w:tc>
          <w:tcPr>
            <w:tcW w:w="2965" w:type="dxa"/>
          </w:tcPr>
          <w:p w:rsidR="00F931A4" w:rsidRPr="00990D3B" w:rsidP="00BD1FC3" w14:paraId="5C29DA85" w14:textId="77777777">
            <w:pPr>
              <w:pStyle w:val="EQRTableText"/>
            </w:pPr>
            <w:r w:rsidRPr="00990D3B">
              <w:t> </w:t>
            </w:r>
          </w:p>
        </w:tc>
      </w:tr>
      <w:tr w14:paraId="465445C9" w14:textId="77777777" w:rsidTr="00736290">
        <w:tblPrEx>
          <w:tblW w:w="5000" w:type="pct"/>
          <w:tblLook w:val="04A0"/>
        </w:tblPrEx>
        <w:trPr>
          <w:cantSplit/>
        </w:trPr>
        <w:tc>
          <w:tcPr>
            <w:tcW w:w="6115" w:type="dxa"/>
          </w:tcPr>
          <w:p w:rsidR="00F931A4" w:rsidRPr="00990D3B" w:rsidP="00BD1FC3" w14:paraId="3CC73EB6" w14:textId="77777777">
            <w:pPr>
              <w:pStyle w:val="EQRTableText"/>
            </w:pPr>
            <w:r w:rsidRPr="00990D3B">
              <w:t>Documentation showing calculation of levels of significance of changes for each measure</w:t>
            </w:r>
          </w:p>
        </w:tc>
        <w:tc>
          <w:tcPr>
            <w:tcW w:w="1530" w:type="dxa"/>
          </w:tcPr>
          <w:p w:rsidR="00F931A4" w:rsidRPr="00990D3B" w:rsidP="00BD1FC3" w14:paraId="42BDA954" w14:textId="77777777">
            <w:pPr>
              <w:pStyle w:val="EQRTableText"/>
            </w:pPr>
            <w:r w:rsidRPr="00990D3B">
              <w:t> </w:t>
            </w:r>
          </w:p>
        </w:tc>
        <w:tc>
          <w:tcPr>
            <w:tcW w:w="1350" w:type="dxa"/>
          </w:tcPr>
          <w:p w:rsidR="00F931A4" w:rsidRPr="00990D3B" w:rsidP="00BD1FC3" w14:paraId="0115D3DC" w14:textId="77777777">
            <w:pPr>
              <w:pStyle w:val="EQRTableText"/>
            </w:pPr>
            <w:r w:rsidRPr="00990D3B">
              <w:t> </w:t>
            </w:r>
          </w:p>
        </w:tc>
        <w:tc>
          <w:tcPr>
            <w:tcW w:w="990" w:type="dxa"/>
          </w:tcPr>
          <w:p w:rsidR="00F931A4" w:rsidRPr="00990D3B" w:rsidP="00BD1FC3" w14:paraId="3D6D5851" w14:textId="77777777">
            <w:pPr>
              <w:pStyle w:val="EQRTableText"/>
            </w:pPr>
            <w:r w:rsidRPr="00990D3B">
              <w:t> </w:t>
            </w:r>
          </w:p>
        </w:tc>
        <w:tc>
          <w:tcPr>
            <w:tcW w:w="2965" w:type="dxa"/>
          </w:tcPr>
          <w:p w:rsidR="00F931A4" w:rsidRPr="00990D3B" w:rsidP="00BD1FC3" w14:paraId="26E1FA83" w14:textId="77777777">
            <w:pPr>
              <w:pStyle w:val="EQRTableText"/>
            </w:pPr>
            <w:r w:rsidRPr="00990D3B">
              <w:t> </w:t>
            </w:r>
          </w:p>
        </w:tc>
      </w:tr>
      <w:tr w14:paraId="60D9683B" w14:textId="77777777" w:rsidTr="00736290">
        <w:tblPrEx>
          <w:tblW w:w="5000" w:type="pct"/>
          <w:tblLook w:val="04A0"/>
        </w:tblPrEx>
        <w:trPr>
          <w:cantSplit/>
        </w:trPr>
        <w:tc>
          <w:tcPr>
            <w:tcW w:w="6115" w:type="dxa"/>
          </w:tcPr>
          <w:p w:rsidR="00F931A4" w:rsidRPr="00990D3B" w:rsidP="00BD1FC3" w14:paraId="2A0613D3" w14:textId="77777777">
            <w:pPr>
              <w:pStyle w:val="EQRTableText"/>
            </w:pPr>
            <w:r w:rsidRPr="00990D3B">
              <w:t>Documentation showing confidence intervals of calculations when sampling methodology used</w:t>
            </w:r>
          </w:p>
        </w:tc>
        <w:tc>
          <w:tcPr>
            <w:tcW w:w="1530" w:type="dxa"/>
          </w:tcPr>
          <w:p w:rsidR="00F931A4" w:rsidRPr="00990D3B" w:rsidP="00BD1FC3" w14:paraId="46335D65" w14:textId="77777777">
            <w:pPr>
              <w:pStyle w:val="EQRTableText"/>
            </w:pPr>
            <w:r w:rsidRPr="00990D3B">
              <w:t> </w:t>
            </w:r>
          </w:p>
        </w:tc>
        <w:tc>
          <w:tcPr>
            <w:tcW w:w="1350" w:type="dxa"/>
          </w:tcPr>
          <w:p w:rsidR="00F931A4" w:rsidRPr="00990D3B" w:rsidP="00BD1FC3" w14:paraId="3B92BA11" w14:textId="77777777">
            <w:pPr>
              <w:pStyle w:val="EQRTableText"/>
            </w:pPr>
            <w:r w:rsidRPr="00990D3B">
              <w:t> </w:t>
            </w:r>
          </w:p>
        </w:tc>
        <w:tc>
          <w:tcPr>
            <w:tcW w:w="990" w:type="dxa"/>
          </w:tcPr>
          <w:p w:rsidR="00F931A4" w:rsidRPr="00990D3B" w:rsidP="00BD1FC3" w14:paraId="06F8F7DE" w14:textId="77777777">
            <w:pPr>
              <w:pStyle w:val="EQRTableText"/>
            </w:pPr>
            <w:r w:rsidRPr="00990D3B">
              <w:t> </w:t>
            </w:r>
          </w:p>
        </w:tc>
        <w:tc>
          <w:tcPr>
            <w:tcW w:w="2965" w:type="dxa"/>
          </w:tcPr>
          <w:p w:rsidR="00F931A4" w:rsidRPr="00990D3B" w:rsidP="00BD1FC3" w14:paraId="1849C363" w14:textId="77777777">
            <w:pPr>
              <w:pStyle w:val="EQRTableText"/>
            </w:pPr>
            <w:r w:rsidRPr="00990D3B">
              <w:t> </w:t>
            </w:r>
          </w:p>
        </w:tc>
      </w:tr>
      <w:tr w14:paraId="668C5358" w14:textId="77777777" w:rsidTr="00736290">
        <w:tblPrEx>
          <w:tblW w:w="5000" w:type="pct"/>
          <w:tblLook w:val="04A0"/>
        </w:tblPrEx>
        <w:trPr>
          <w:cantSplit/>
        </w:trPr>
        <w:tc>
          <w:tcPr>
            <w:tcW w:w="6115" w:type="dxa"/>
          </w:tcPr>
          <w:p w:rsidR="00F931A4" w:rsidRPr="00990D3B" w:rsidP="00BD1FC3" w14:paraId="0F809347" w14:textId="77777777">
            <w:pPr>
              <w:pStyle w:val="EQRTableText"/>
            </w:pPr>
            <w:r w:rsidRPr="00990D3B">
              <w:t xml:space="preserve">Documentation of sources of any supporting external data or prior years’ data used in reporting </w:t>
            </w:r>
          </w:p>
        </w:tc>
        <w:tc>
          <w:tcPr>
            <w:tcW w:w="1530" w:type="dxa"/>
            <w:tcBorders>
              <w:bottom w:val="single" w:sz="4" w:space="0" w:color="000000" w:themeColor="text1"/>
            </w:tcBorders>
          </w:tcPr>
          <w:p w:rsidR="00F931A4" w:rsidRPr="00990D3B" w:rsidP="00BD1FC3" w14:paraId="529EB73A" w14:textId="77777777">
            <w:pPr>
              <w:pStyle w:val="EQRTableText"/>
            </w:pPr>
            <w:r w:rsidRPr="00990D3B">
              <w:t> </w:t>
            </w:r>
          </w:p>
        </w:tc>
        <w:tc>
          <w:tcPr>
            <w:tcW w:w="1350" w:type="dxa"/>
            <w:tcBorders>
              <w:bottom w:val="single" w:sz="4" w:space="0" w:color="000000" w:themeColor="text1"/>
            </w:tcBorders>
          </w:tcPr>
          <w:p w:rsidR="00F931A4" w:rsidRPr="00990D3B" w:rsidP="00BD1FC3" w14:paraId="2DE7FAE5" w14:textId="77777777">
            <w:pPr>
              <w:pStyle w:val="EQRTableText"/>
            </w:pPr>
            <w:r w:rsidRPr="00990D3B">
              <w:t> </w:t>
            </w:r>
          </w:p>
        </w:tc>
        <w:tc>
          <w:tcPr>
            <w:tcW w:w="990" w:type="dxa"/>
            <w:tcBorders>
              <w:bottom w:val="single" w:sz="4" w:space="0" w:color="000000" w:themeColor="text1"/>
            </w:tcBorders>
          </w:tcPr>
          <w:p w:rsidR="00F931A4" w:rsidRPr="00990D3B" w:rsidP="00BD1FC3" w14:paraId="37910054" w14:textId="77777777">
            <w:pPr>
              <w:pStyle w:val="EQRTableText"/>
            </w:pPr>
            <w:r w:rsidRPr="00990D3B">
              <w:t> </w:t>
            </w:r>
          </w:p>
        </w:tc>
        <w:tc>
          <w:tcPr>
            <w:tcW w:w="2965" w:type="dxa"/>
          </w:tcPr>
          <w:p w:rsidR="00F931A4" w:rsidRPr="00990D3B" w:rsidP="00BD1FC3" w14:paraId="50C667E3" w14:textId="77777777">
            <w:pPr>
              <w:pStyle w:val="EQRTableText"/>
            </w:pPr>
            <w:r w:rsidRPr="00990D3B">
              <w:t> </w:t>
            </w:r>
          </w:p>
        </w:tc>
      </w:tr>
      <w:tr w14:paraId="500B778B" w14:textId="77777777" w:rsidTr="00736290">
        <w:tblPrEx>
          <w:tblW w:w="5000" w:type="pct"/>
          <w:tblLook w:val="04A0"/>
        </w:tblPrEx>
        <w:trPr>
          <w:cantSplit/>
        </w:trPr>
        <w:tc>
          <w:tcPr>
            <w:tcW w:w="6115" w:type="dxa"/>
          </w:tcPr>
          <w:p w:rsidR="00F931A4" w:rsidRPr="00990D3B" w:rsidP="00BD1FC3" w14:paraId="306635AE" w14:textId="77777777">
            <w:pPr>
              <w:pStyle w:val="EQRTableText"/>
            </w:pPr>
            <w:r w:rsidRPr="00990D3B">
              <w:rPr>
                <w:b/>
              </w:rPr>
              <w:t>Overall assessment:</w:t>
            </w:r>
            <w:r w:rsidRPr="00990D3B">
              <w:t xml:space="preserve"> In the comments section, note:</w:t>
            </w:r>
          </w:p>
          <w:p w:rsidR="00F931A4" w:rsidRPr="00990D3B" w:rsidP="009B7CC5" w14:paraId="5C261E77" w14:textId="77777777">
            <w:pPr>
              <w:pStyle w:val="EQRTableTextbullet"/>
            </w:pPr>
            <w:r w:rsidRPr="00990D3B">
              <w:t>How are policies governing documentation of data requirements for performance measurement (e.g., data file and field definitions, mapping between standard and non-standard codes) updated and enforced? Who is responsible for this?</w:t>
            </w:r>
          </w:p>
          <w:p w:rsidR="00F931A4" w:rsidRPr="00990D3B" w:rsidP="009B7CC5" w14:paraId="3D6B954B" w14:textId="77777777">
            <w:pPr>
              <w:pStyle w:val="EQRTableTextbullet"/>
            </w:pPr>
            <w:r w:rsidRPr="00990D3B">
              <w:t>How are programming specifications for MCP performance measures documented? Who is responsible for this?</w:t>
            </w:r>
          </w:p>
          <w:p w:rsidR="00F931A4" w:rsidRPr="00990D3B" w:rsidP="009B7CC5" w14:paraId="634B44D2" w14:textId="77777777">
            <w:pPr>
              <w:pStyle w:val="EQRTableTextbullet"/>
            </w:pPr>
            <w:r w:rsidRPr="00990D3B">
              <w:t xml:space="preserve">Are documentation processes up to date? </w:t>
            </w:r>
          </w:p>
        </w:tc>
        <w:tc>
          <w:tcPr>
            <w:tcW w:w="1530" w:type="dxa"/>
            <w:shd w:val="clear" w:color="auto" w:fill="BFBFBF" w:themeFill="background1" w:themeFillShade="BF"/>
          </w:tcPr>
          <w:p w:rsidR="00F931A4" w:rsidRPr="00990D3B" w:rsidP="00BD1FC3" w14:paraId="599C1FAD" w14:textId="77777777">
            <w:pPr>
              <w:pStyle w:val="EQRTableText"/>
            </w:pPr>
            <w:r w:rsidRPr="00990D3B">
              <w:t> </w:t>
            </w:r>
          </w:p>
        </w:tc>
        <w:tc>
          <w:tcPr>
            <w:tcW w:w="1350" w:type="dxa"/>
            <w:shd w:val="clear" w:color="auto" w:fill="BFBFBF" w:themeFill="background1" w:themeFillShade="BF"/>
          </w:tcPr>
          <w:p w:rsidR="00F931A4" w:rsidRPr="00990D3B" w:rsidP="00BD1FC3" w14:paraId="5578258F" w14:textId="77777777">
            <w:pPr>
              <w:pStyle w:val="EQRTableText"/>
            </w:pPr>
            <w:r w:rsidRPr="00990D3B">
              <w:t> </w:t>
            </w:r>
          </w:p>
        </w:tc>
        <w:tc>
          <w:tcPr>
            <w:tcW w:w="990" w:type="dxa"/>
            <w:shd w:val="clear" w:color="auto" w:fill="BFBFBF" w:themeFill="background1" w:themeFillShade="BF"/>
          </w:tcPr>
          <w:p w:rsidR="00F931A4" w:rsidRPr="00990D3B" w:rsidP="00BD1FC3" w14:paraId="7D45C67F" w14:textId="77777777">
            <w:pPr>
              <w:pStyle w:val="EQRTableText"/>
            </w:pPr>
            <w:r w:rsidRPr="00990D3B">
              <w:t> </w:t>
            </w:r>
          </w:p>
        </w:tc>
        <w:tc>
          <w:tcPr>
            <w:tcW w:w="2965" w:type="dxa"/>
          </w:tcPr>
          <w:p w:rsidR="00F931A4" w:rsidRPr="00990D3B" w:rsidP="00BD1FC3" w14:paraId="78DCF763" w14:textId="77777777">
            <w:pPr>
              <w:pStyle w:val="EQRTableText"/>
            </w:pPr>
            <w:r w:rsidRPr="00990D3B">
              <w:t> </w:t>
            </w:r>
          </w:p>
        </w:tc>
      </w:tr>
    </w:tbl>
    <w:p w:rsidR="00F931A4" w:rsidRPr="00990D3B" w:rsidP="00BD1FC3" w14:paraId="0D1CAFE7" w14:textId="77777777">
      <w:pPr>
        <w:pStyle w:val="EQRNormalSSWORKSHEET"/>
        <w:rPr>
          <w:rFonts w:eastAsiaTheme="minorHAnsi"/>
        </w:rPr>
      </w:pPr>
      <w:r w:rsidRPr="00990D3B">
        <w:rPr>
          <w:rFonts w:eastAsiaTheme="minorHAnsi"/>
        </w:rPr>
        <w:br w:type="page"/>
      </w:r>
    </w:p>
    <w:p w:rsidR="00F931A4" w:rsidRPr="00990D3B" w:rsidP="00BD1FC3" w14:paraId="2094EDFD" w14:textId="77777777">
      <w:pPr>
        <w:pStyle w:val="EQRMarkforExhibitWORKSHEET"/>
      </w:pPr>
      <w:bookmarkStart w:id="311" w:name="WSp2n8"/>
      <w:bookmarkStart w:id="312" w:name="_Toc125619152"/>
      <w:bookmarkStart w:id="313" w:name="_Toc201751501"/>
      <w:bookmarkEnd w:id="311"/>
      <w:r w:rsidRPr="00990D3B">
        <w:t>Worksheet 2.8. Data and Processes Used to Produce Performance Measures: Findings</w:t>
      </w:r>
      <w:bookmarkEnd w:id="312"/>
      <w:bookmarkEnd w:id="313"/>
      <w:r w:rsidRPr="00990D3B">
        <w:t xml:space="preserve"> </w:t>
      </w:r>
    </w:p>
    <w:p w:rsidR="0093699D" w:rsidRPr="00990D3B" w:rsidP="00BD1FC3" w14:paraId="3E7F7B8C" w14:textId="2308A456">
      <w:pPr>
        <w:pStyle w:val="EQRNormalSSWORKSHEET"/>
      </w:pPr>
      <w:r w:rsidRPr="00990D3B">
        <w:rPr>
          <w:b/>
        </w:rPr>
        <w:t>Instructions.</w:t>
      </w:r>
      <w:r w:rsidRPr="00990D3B">
        <w:t xml:space="preserve"> </w:t>
      </w:r>
      <w:r w:rsidRPr="00990D3B" w:rsidR="00E67C30">
        <w:t>In the table below, r</w:t>
      </w:r>
      <w:r w:rsidRPr="00990D3B">
        <w:t xml:space="preserve">ecord findings based on measurement plans, policies, and programming specifications, as described in </w:t>
      </w:r>
      <w:hyperlink w:anchor="P2Act2Step3" w:tooltip="Activity 2, Step 3" w:history="1">
        <w:r w:rsidRPr="00990D3B">
          <w:rPr>
            <w:rStyle w:val="Hyperlink"/>
          </w:rPr>
          <w:t>Activity 2, Step 3</w:t>
        </w:r>
      </w:hyperlink>
      <w:r w:rsidRPr="00990D3B">
        <w:t>.</w:t>
      </w:r>
      <w:r w:rsidRPr="00990D3B">
        <w:t xml:space="preserve"> For each data and process used, indicate whether it was “Met”, “Not Met”, or “Not </w:t>
      </w:r>
      <w:r w:rsidRPr="00990D3B" w:rsidR="005525FF">
        <w:t>A</w:t>
      </w:r>
      <w:r w:rsidRPr="00990D3B">
        <w:t>pplicable ”</w:t>
      </w:r>
      <w:r w:rsidRPr="00990D3B">
        <w:t xml:space="preserve">, and any relevant comments. </w:t>
      </w:r>
    </w:p>
    <w:p w:rsidR="00294016" w:rsidRPr="00990D3B" w:rsidP="00BD1FC3" w14:paraId="2E51715D" w14:textId="56590805">
      <w:pPr>
        <w:pStyle w:val="EQRNormalSSWORKSHEET"/>
        <w:rPr>
          <w:sz w:val="20"/>
          <w:szCs w:val="20"/>
        </w:rPr>
      </w:pPr>
      <w:r w:rsidRPr="00990D3B">
        <w:rPr>
          <w:rFonts w:cs="Arial"/>
        </w:rPr>
        <w:t>Acronyms: NA = Not Applicable.</w:t>
      </w:r>
    </w:p>
    <w:tbl>
      <w:tblPr>
        <w:tblStyle w:val="TableGrid"/>
        <w:tblW w:w="5000" w:type="pct"/>
        <w:tblLook w:val="04A0"/>
      </w:tblPr>
      <w:tblGrid>
        <w:gridCol w:w="6945"/>
        <w:gridCol w:w="799"/>
        <w:gridCol w:w="886"/>
        <w:gridCol w:w="798"/>
        <w:gridCol w:w="3522"/>
      </w:tblGrid>
      <w:tr w14:paraId="4E3EF4E3" w14:textId="77777777" w:rsidTr="00BD1FC3">
        <w:tblPrEx>
          <w:tblW w:w="5000" w:type="pct"/>
          <w:tblLook w:val="04A0"/>
        </w:tblPrEx>
        <w:trPr>
          <w:cantSplit/>
          <w:tblHeader/>
        </w:trPr>
        <w:tc>
          <w:tcPr>
            <w:tcW w:w="7105" w:type="dxa"/>
            <w:shd w:val="clear" w:color="auto" w:fill="FFFFFF" w:themeFill="background1"/>
            <w:vAlign w:val="bottom"/>
          </w:tcPr>
          <w:p w:rsidR="00F931A4" w:rsidRPr="00990D3B" w:rsidP="00646691" w14:paraId="5AEA632E" w14:textId="6004A670">
            <w:pPr>
              <w:pStyle w:val="EQRTableHeaderLeft"/>
              <w:rPr>
                <w:color w:val="auto"/>
              </w:rPr>
            </w:pPr>
            <w:r w:rsidRPr="00990D3B">
              <w:rPr>
                <w:color w:val="auto"/>
              </w:rPr>
              <w:t>Measurement plans and policies that stipulate and enforce documentation of data requirements, issues, validation efforts, and results. These include the following audit elements</w:t>
            </w:r>
          </w:p>
        </w:tc>
        <w:tc>
          <w:tcPr>
            <w:tcW w:w="810" w:type="dxa"/>
            <w:shd w:val="clear" w:color="auto" w:fill="FFFFFF" w:themeFill="background1"/>
            <w:vAlign w:val="bottom"/>
          </w:tcPr>
          <w:p w:rsidR="00F931A4" w:rsidRPr="00990D3B" w:rsidP="00646691" w14:paraId="6CEBB386" w14:textId="77777777">
            <w:pPr>
              <w:pStyle w:val="EQRTableHeaderCenter"/>
              <w:rPr>
                <w:color w:val="auto"/>
              </w:rPr>
            </w:pPr>
            <w:r w:rsidRPr="00990D3B">
              <w:rPr>
                <w:color w:val="auto"/>
              </w:rPr>
              <w:t>Met</w:t>
            </w:r>
          </w:p>
        </w:tc>
        <w:tc>
          <w:tcPr>
            <w:tcW w:w="900" w:type="dxa"/>
            <w:shd w:val="clear" w:color="auto" w:fill="FFFFFF" w:themeFill="background1"/>
            <w:vAlign w:val="bottom"/>
          </w:tcPr>
          <w:p w:rsidR="00F931A4" w:rsidRPr="00990D3B" w:rsidP="00646691" w14:paraId="29531763" w14:textId="77777777">
            <w:pPr>
              <w:pStyle w:val="EQRTableHeaderCenter"/>
              <w:rPr>
                <w:color w:val="auto"/>
              </w:rPr>
            </w:pPr>
            <w:r w:rsidRPr="00990D3B">
              <w:rPr>
                <w:color w:val="auto"/>
              </w:rPr>
              <w:t>Not Met</w:t>
            </w:r>
          </w:p>
        </w:tc>
        <w:tc>
          <w:tcPr>
            <w:tcW w:w="810" w:type="dxa"/>
            <w:shd w:val="clear" w:color="auto" w:fill="FFFFFF" w:themeFill="background1"/>
            <w:vAlign w:val="bottom"/>
          </w:tcPr>
          <w:p w:rsidR="00F931A4" w:rsidRPr="00990D3B" w:rsidP="00646691" w14:paraId="73B5069B" w14:textId="1F0B0F58">
            <w:pPr>
              <w:pStyle w:val="EQRTableHeaderCenter"/>
              <w:rPr>
                <w:color w:val="auto"/>
              </w:rPr>
            </w:pPr>
            <w:r w:rsidRPr="00990D3B">
              <w:rPr>
                <w:color w:val="auto"/>
              </w:rPr>
              <w:t>NA</w:t>
            </w:r>
          </w:p>
        </w:tc>
        <w:tc>
          <w:tcPr>
            <w:tcW w:w="3595" w:type="dxa"/>
            <w:shd w:val="clear" w:color="auto" w:fill="FFFFFF" w:themeFill="background1"/>
            <w:vAlign w:val="bottom"/>
          </w:tcPr>
          <w:p w:rsidR="00F931A4" w:rsidRPr="00990D3B" w:rsidP="00646691" w14:paraId="02CB59C1" w14:textId="77777777">
            <w:pPr>
              <w:pStyle w:val="EQRTableHeaderCenter"/>
              <w:rPr>
                <w:color w:val="auto"/>
              </w:rPr>
            </w:pPr>
            <w:r w:rsidRPr="00990D3B">
              <w:rPr>
                <w:color w:val="auto"/>
              </w:rPr>
              <w:t>Comments</w:t>
            </w:r>
          </w:p>
        </w:tc>
      </w:tr>
      <w:tr w14:paraId="3C5BE1E4" w14:textId="77777777" w:rsidTr="00BD1FC3">
        <w:tblPrEx>
          <w:tblW w:w="5000" w:type="pct"/>
          <w:tblLook w:val="04A0"/>
        </w:tblPrEx>
        <w:trPr>
          <w:cantSplit/>
        </w:trPr>
        <w:tc>
          <w:tcPr>
            <w:tcW w:w="7105" w:type="dxa"/>
          </w:tcPr>
          <w:p w:rsidR="00F931A4" w:rsidRPr="00990D3B" w:rsidP="00BD1FC3" w14:paraId="60459603" w14:textId="77777777">
            <w:pPr>
              <w:pStyle w:val="EQRTableText"/>
            </w:pPr>
            <w:r w:rsidRPr="00990D3B">
              <w:t>Data file and field definitions used for each measure</w:t>
            </w:r>
          </w:p>
        </w:tc>
        <w:tc>
          <w:tcPr>
            <w:tcW w:w="810" w:type="dxa"/>
          </w:tcPr>
          <w:p w:rsidR="00F931A4" w:rsidRPr="00990D3B" w:rsidP="00BD1FC3" w14:paraId="6898D0FF" w14:textId="77777777">
            <w:pPr>
              <w:pStyle w:val="EQRTableText"/>
            </w:pPr>
            <w:r w:rsidRPr="00990D3B">
              <w:t> </w:t>
            </w:r>
          </w:p>
        </w:tc>
        <w:tc>
          <w:tcPr>
            <w:tcW w:w="900" w:type="dxa"/>
          </w:tcPr>
          <w:p w:rsidR="00F931A4" w:rsidRPr="00990D3B" w:rsidP="00BD1FC3" w14:paraId="4996B3A8" w14:textId="77777777">
            <w:pPr>
              <w:pStyle w:val="EQRTableText"/>
            </w:pPr>
            <w:r w:rsidRPr="00990D3B">
              <w:t> </w:t>
            </w:r>
          </w:p>
        </w:tc>
        <w:tc>
          <w:tcPr>
            <w:tcW w:w="810" w:type="dxa"/>
          </w:tcPr>
          <w:p w:rsidR="00F931A4" w:rsidRPr="00990D3B" w:rsidP="00BD1FC3" w14:paraId="357718E3" w14:textId="77777777">
            <w:pPr>
              <w:pStyle w:val="EQRTableText"/>
            </w:pPr>
            <w:r w:rsidRPr="00990D3B">
              <w:t> </w:t>
            </w:r>
          </w:p>
        </w:tc>
        <w:tc>
          <w:tcPr>
            <w:tcW w:w="3595" w:type="dxa"/>
          </w:tcPr>
          <w:p w:rsidR="00F931A4" w:rsidRPr="00990D3B" w:rsidP="00BD1FC3" w14:paraId="350282AC" w14:textId="77777777">
            <w:pPr>
              <w:pStyle w:val="EQRTableText"/>
            </w:pPr>
            <w:r w:rsidRPr="00990D3B">
              <w:t> </w:t>
            </w:r>
          </w:p>
        </w:tc>
      </w:tr>
      <w:tr w14:paraId="527D99F3" w14:textId="77777777" w:rsidTr="00BD1FC3">
        <w:tblPrEx>
          <w:tblW w:w="5000" w:type="pct"/>
          <w:tblLook w:val="04A0"/>
        </w:tblPrEx>
        <w:trPr>
          <w:cantSplit/>
        </w:trPr>
        <w:tc>
          <w:tcPr>
            <w:tcW w:w="7105" w:type="dxa"/>
          </w:tcPr>
          <w:p w:rsidR="00F931A4" w:rsidRPr="00990D3B" w:rsidP="00BD1FC3" w14:paraId="2BF5C6C4" w14:textId="77777777">
            <w:pPr>
              <w:pStyle w:val="EQRTableText"/>
            </w:pPr>
            <w:r w:rsidRPr="00990D3B">
              <w:t>Maps to standard coding if not used in original data collection</w:t>
            </w:r>
          </w:p>
        </w:tc>
        <w:tc>
          <w:tcPr>
            <w:tcW w:w="810" w:type="dxa"/>
          </w:tcPr>
          <w:p w:rsidR="00F931A4" w:rsidRPr="00990D3B" w:rsidP="00BD1FC3" w14:paraId="0ED70601" w14:textId="77777777">
            <w:pPr>
              <w:pStyle w:val="EQRTableText"/>
            </w:pPr>
            <w:r w:rsidRPr="00990D3B">
              <w:t> </w:t>
            </w:r>
          </w:p>
        </w:tc>
        <w:tc>
          <w:tcPr>
            <w:tcW w:w="900" w:type="dxa"/>
          </w:tcPr>
          <w:p w:rsidR="00F931A4" w:rsidRPr="00990D3B" w:rsidP="00BD1FC3" w14:paraId="6A0DFBB3" w14:textId="77777777">
            <w:pPr>
              <w:pStyle w:val="EQRTableText"/>
            </w:pPr>
            <w:r w:rsidRPr="00990D3B">
              <w:t> </w:t>
            </w:r>
          </w:p>
        </w:tc>
        <w:tc>
          <w:tcPr>
            <w:tcW w:w="810" w:type="dxa"/>
          </w:tcPr>
          <w:p w:rsidR="00F931A4" w:rsidRPr="00990D3B" w:rsidP="00BD1FC3" w14:paraId="357DE9BB" w14:textId="77777777">
            <w:pPr>
              <w:pStyle w:val="EQRTableText"/>
            </w:pPr>
            <w:r w:rsidRPr="00990D3B">
              <w:t> </w:t>
            </w:r>
          </w:p>
        </w:tc>
        <w:tc>
          <w:tcPr>
            <w:tcW w:w="3595" w:type="dxa"/>
          </w:tcPr>
          <w:p w:rsidR="00F931A4" w:rsidRPr="00990D3B" w:rsidP="00BD1FC3" w14:paraId="3A7C6D65" w14:textId="77777777">
            <w:pPr>
              <w:pStyle w:val="EQRTableText"/>
            </w:pPr>
            <w:r w:rsidRPr="00990D3B">
              <w:t> </w:t>
            </w:r>
          </w:p>
        </w:tc>
      </w:tr>
      <w:tr w14:paraId="1F4EB567" w14:textId="77777777" w:rsidTr="00BD1FC3">
        <w:tblPrEx>
          <w:tblW w:w="5000" w:type="pct"/>
          <w:tblLook w:val="04A0"/>
        </w:tblPrEx>
        <w:trPr>
          <w:cantSplit/>
        </w:trPr>
        <w:tc>
          <w:tcPr>
            <w:tcW w:w="7105" w:type="dxa"/>
          </w:tcPr>
          <w:p w:rsidR="00F931A4" w:rsidRPr="00990D3B" w:rsidP="00BD1FC3" w14:paraId="3787EC73" w14:textId="77777777">
            <w:pPr>
              <w:pStyle w:val="EQRTableText"/>
            </w:pPr>
            <w:r w:rsidRPr="00990D3B">
              <w:t>Statistical testing of results and any corrections or adjustments made after processing</w:t>
            </w:r>
          </w:p>
        </w:tc>
        <w:tc>
          <w:tcPr>
            <w:tcW w:w="810" w:type="dxa"/>
            <w:tcBorders>
              <w:bottom w:val="single" w:sz="4" w:space="0" w:color="000000" w:themeColor="text1"/>
            </w:tcBorders>
          </w:tcPr>
          <w:p w:rsidR="00F931A4" w:rsidRPr="00990D3B" w:rsidP="00BD1FC3" w14:paraId="7486C434" w14:textId="77777777">
            <w:pPr>
              <w:pStyle w:val="EQRTableText"/>
            </w:pPr>
            <w:r w:rsidRPr="00990D3B">
              <w:t> </w:t>
            </w:r>
          </w:p>
        </w:tc>
        <w:tc>
          <w:tcPr>
            <w:tcW w:w="900" w:type="dxa"/>
            <w:tcBorders>
              <w:bottom w:val="single" w:sz="4" w:space="0" w:color="000000" w:themeColor="text1"/>
            </w:tcBorders>
          </w:tcPr>
          <w:p w:rsidR="00F931A4" w:rsidRPr="00990D3B" w:rsidP="00BD1FC3" w14:paraId="7121E338" w14:textId="77777777">
            <w:pPr>
              <w:pStyle w:val="EQRTableText"/>
            </w:pPr>
            <w:r w:rsidRPr="00990D3B">
              <w:t> </w:t>
            </w:r>
          </w:p>
        </w:tc>
        <w:tc>
          <w:tcPr>
            <w:tcW w:w="810" w:type="dxa"/>
            <w:tcBorders>
              <w:bottom w:val="single" w:sz="4" w:space="0" w:color="000000" w:themeColor="text1"/>
            </w:tcBorders>
          </w:tcPr>
          <w:p w:rsidR="00F931A4" w:rsidRPr="00990D3B" w:rsidP="00BD1FC3" w14:paraId="3C16BD93" w14:textId="77777777">
            <w:pPr>
              <w:pStyle w:val="EQRTableText"/>
            </w:pPr>
            <w:r w:rsidRPr="00990D3B">
              <w:t> </w:t>
            </w:r>
          </w:p>
        </w:tc>
        <w:tc>
          <w:tcPr>
            <w:tcW w:w="3595" w:type="dxa"/>
          </w:tcPr>
          <w:p w:rsidR="00F931A4" w:rsidRPr="00990D3B" w:rsidP="00BD1FC3" w14:paraId="4F738F56" w14:textId="77777777">
            <w:pPr>
              <w:pStyle w:val="EQRTableText"/>
            </w:pPr>
            <w:r w:rsidRPr="00990D3B">
              <w:t> </w:t>
            </w:r>
          </w:p>
        </w:tc>
      </w:tr>
      <w:tr w14:paraId="03435502" w14:textId="77777777" w:rsidTr="00BD1FC3">
        <w:tblPrEx>
          <w:tblW w:w="5000" w:type="pct"/>
          <w:tblLook w:val="04A0"/>
        </w:tblPrEx>
        <w:trPr>
          <w:cantSplit/>
        </w:trPr>
        <w:tc>
          <w:tcPr>
            <w:tcW w:w="7105" w:type="dxa"/>
          </w:tcPr>
          <w:p w:rsidR="00F931A4" w:rsidRPr="00990D3B" w:rsidP="00BD1FC3" w14:paraId="2991FE1F" w14:textId="77777777">
            <w:pPr>
              <w:pStyle w:val="EQRTableText"/>
            </w:pPr>
            <w:r w:rsidRPr="00990D3B">
              <w:rPr>
                <w:b/>
              </w:rPr>
              <w:t>Overall assessment:</w:t>
            </w:r>
            <w:r w:rsidRPr="00990D3B">
              <w:t xml:space="preserve"> In the comments section, note any recommendations for improving measurement plans and policies</w:t>
            </w:r>
          </w:p>
        </w:tc>
        <w:tc>
          <w:tcPr>
            <w:tcW w:w="810" w:type="dxa"/>
            <w:shd w:val="clear" w:color="auto" w:fill="BFBFBF" w:themeFill="background1" w:themeFillShade="BF"/>
          </w:tcPr>
          <w:p w:rsidR="00F931A4" w:rsidRPr="00990D3B" w:rsidP="00BD1FC3" w14:paraId="60CEAC99" w14:textId="77777777">
            <w:pPr>
              <w:pStyle w:val="EQRTableText"/>
            </w:pPr>
            <w:r w:rsidRPr="00990D3B">
              <w:t> </w:t>
            </w:r>
          </w:p>
        </w:tc>
        <w:tc>
          <w:tcPr>
            <w:tcW w:w="900" w:type="dxa"/>
            <w:shd w:val="clear" w:color="auto" w:fill="BFBFBF" w:themeFill="background1" w:themeFillShade="BF"/>
          </w:tcPr>
          <w:p w:rsidR="00F931A4" w:rsidRPr="00990D3B" w:rsidP="00BD1FC3" w14:paraId="73C05267" w14:textId="77777777">
            <w:pPr>
              <w:pStyle w:val="EQRTableText"/>
            </w:pPr>
            <w:r w:rsidRPr="00990D3B">
              <w:t> </w:t>
            </w:r>
          </w:p>
        </w:tc>
        <w:tc>
          <w:tcPr>
            <w:tcW w:w="810" w:type="dxa"/>
            <w:shd w:val="clear" w:color="auto" w:fill="BFBFBF" w:themeFill="background1" w:themeFillShade="BF"/>
          </w:tcPr>
          <w:p w:rsidR="00F931A4" w:rsidRPr="00990D3B" w:rsidP="00BD1FC3" w14:paraId="34263E0B" w14:textId="77777777">
            <w:pPr>
              <w:pStyle w:val="EQRTableText"/>
            </w:pPr>
            <w:r w:rsidRPr="00990D3B">
              <w:t> </w:t>
            </w:r>
          </w:p>
        </w:tc>
        <w:tc>
          <w:tcPr>
            <w:tcW w:w="3595" w:type="dxa"/>
          </w:tcPr>
          <w:p w:rsidR="00F931A4" w:rsidRPr="00990D3B" w:rsidP="00BD1FC3" w14:paraId="3A26F2F4" w14:textId="77777777">
            <w:pPr>
              <w:pStyle w:val="EQRTableText"/>
            </w:pPr>
            <w:r w:rsidRPr="00990D3B">
              <w:t> </w:t>
            </w:r>
          </w:p>
        </w:tc>
      </w:tr>
    </w:tbl>
    <w:p w:rsidR="00F931A4" w:rsidRPr="00990D3B" w:rsidP="00646691" w14:paraId="0DC295B0" w14:textId="2AAC65CC">
      <w:pPr>
        <w:pStyle w:val="NoSpacing"/>
      </w:pPr>
    </w:p>
    <w:tbl>
      <w:tblPr>
        <w:tblStyle w:val="TableGrid"/>
        <w:tblW w:w="5000" w:type="pct"/>
        <w:tblLook w:val="04A0"/>
      </w:tblPr>
      <w:tblGrid>
        <w:gridCol w:w="6925"/>
        <w:gridCol w:w="810"/>
        <w:gridCol w:w="900"/>
        <w:gridCol w:w="854"/>
        <w:gridCol w:w="3461"/>
      </w:tblGrid>
      <w:tr w14:paraId="0EE682EC" w14:textId="77777777" w:rsidTr="00646691">
        <w:tblPrEx>
          <w:tblW w:w="5000" w:type="pct"/>
          <w:tblLook w:val="04A0"/>
        </w:tblPrEx>
        <w:trPr>
          <w:cantSplit/>
          <w:tblHeader/>
        </w:trPr>
        <w:tc>
          <w:tcPr>
            <w:tcW w:w="6925" w:type="dxa"/>
            <w:shd w:val="clear" w:color="auto" w:fill="FFFFFF" w:themeFill="background1"/>
            <w:vAlign w:val="bottom"/>
          </w:tcPr>
          <w:p w:rsidR="00F931A4" w:rsidRPr="00990D3B" w:rsidP="00646691" w14:paraId="7CF5426C" w14:textId="7D2CE62F">
            <w:pPr>
              <w:pStyle w:val="EQRTableHeaderLeft"/>
              <w:rPr>
                <w:color w:val="auto"/>
              </w:rPr>
            </w:pPr>
            <w:r w:rsidRPr="00990D3B">
              <w:rPr>
                <w:color w:val="auto"/>
              </w:rPr>
              <w:t>Documentation of programming specifications (which may be either a schematic diagram or in narrative form) for each measure includes at least the following audit elements:</w:t>
            </w:r>
          </w:p>
        </w:tc>
        <w:tc>
          <w:tcPr>
            <w:tcW w:w="810" w:type="dxa"/>
            <w:shd w:val="clear" w:color="auto" w:fill="FFFFFF" w:themeFill="background1"/>
            <w:vAlign w:val="bottom"/>
          </w:tcPr>
          <w:p w:rsidR="00F931A4" w:rsidRPr="00990D3B" w:rsidP="00646691" w14:paraId="68021FFE" w14:textId="77777777">
            <w:pPr>
              <w:pStyle w:val="EQRTableHeaderCenter"/>
              <w:rPr>
                <w:color w:val="auto"/>
              </w:rPr>
            </w:pPr>
            <w:r w:rsidRPr="00990D3B">
              <w:rPr>
                <w:color w:val="auto"/>
              </w:rPr>
              <w:t>Met</w:t>
            </w:r>
          </w:p>
        </w:tc>
        <w:tc>
          <w:tcPr>
            <w:tcW w:w="900" w:type="dxa"/>
            <w:shd w:val="clear" w:color="auto" w:fill="FFFFFF" w:themeFill="background1"/>
            <w:vAlign w:val="bottom"/>
          </w:tcPr>
          <w:p w:rsidR="00F931A4" w:rsidRPr="00990D3B" w:rsidP="00646691" w14:paraId="34924FBB" w14:textId="77777777">
            <w:pPr>
              <w:pStyle w:val="EQRTableHeaderCenter"/>
              <w:rPr>
                <w:color w:val="auto"/>
              </w:rPr>
            </w:pPr>
            <w:r w:rsidRPr="00990D3B">
              <w:rPr>
                <w:color w:val="auto"/>
              </w:rPr>
              <w:t>Not Met</w:t>
            </w:r>
          </w:p>
        </w:tc>
        <w:tc>
          <w:tcPr>
            <w:tcW w:w="854" w:type="dxa"/>
            <w:shd w:val="clear" w:color="auto" w:fill="FFFFFF" w:themeFill="background1"/>
            <w:vAlign w:val="bottom"/>
          </w:tcPr>
          <w:p w:rsidR="00F931A4" w:rsidRPr="00990D3B" w:rsidP="00646691" w14:paraId="6C098775" w14:textId="065853AD">
            <w:pPr>
              <w:pStyle w:val="EQRTableHeaderCenter"/>
              <w:rPr>
                <w:color w:val="auto"/>
              </w:rPr>
            </w:pPr>
            <w:r w:rsidRPr="00990D3B">
              <w:rPr>
                <w:color w:val="auto"/>
              </w:rPr>
              <w:t>NA</w:t>
            </w:r>
          </w:p>
        </w:tc>
        <w:tc>
          <w:tcPr>
            <w:tcW w:w="3461" w:type="dxa"/>
            <w:shd w:val="clear" w:color="auto" w:fill="FFFFFF" w:themeFill="background1"/>
            <w:vAlign w:val="bottom"/>
          </w:tcPr>
          <w:p w:rsidR="00F931A4" w:rsidRPr="00990D3B" w:rsidP="00646691" w14:paraId="449E7B21" w14:textId="77777777">
            <w:pPr>
              <w:pStyle w:val="EQRTableHeaderCenter"/>
              <w:rPr>
                <w:color w:val="auto"/>
              </w:rPr>
            </w:pPr>
            <w:r w:rsidRPr="00990D3B">
              <w:rPr>
                <w:color w:val="auto"/>
              </w:rPr>
              <w:t>Comments</w:t>
            </w:r>
          </w:p>
        </w:tc>
      </w:tr>
      <w:tr w14:paraId="110657C8" w14:textId="77777777" w:rsidTr="00646691">
        <w:tblPrEx>
          <w:tblW w:w="5000" w:type="pct"/>
          <w:tblLook w:val="04A0"/>
        </w:tblPrEx>
        <w:trPr>
          <w:cantSplit/>
        </w:trPr>
        <w:tc>
          <w:tcPr>
            <w:tcW w:w="6925" w:type="dxa"/>
          </w:tcPr>
          <w:p w:rsidR="00F931A4" w:rsidRPr="00990D3B" w:rsidP="00BD1FC3" w14:paraId="3C395AB9" w14:textId="77777777">
            <w:pPr>
              <w:pStyle w:val="EQRTableText"/>
            </w:pPr>
            <w:r w:rsidRPr="00990D3B">
              <w:t xml:space="preserve">All data sources, including external, supplemental data (whether from a vendor, public registry, or other outside </w:t>
            </w:r>
            <w:r w:rsidRPr="00990D3B">
              <w:t>source</w:t>
            </w:r>
            <w:r w:rsidRPr="00990D3B">
              <w:t>), and any prior year data, if applicable</w:t>
            </w:r>
          </w:p>
        </w:tc>
        <w:tc>
          <w:tcPr>
            <w:tcW w:w="810" w:type="dxa"/>
          </w:tcPr>
          <w:p w:rsidR="00F931A4" w:rsidRPr="00990D3B" w:rsidP="00BD1FC3" w14:paraId="7F5A2D84" w14:textId="77777777">
            <w:pPr>
              <w:pStyle w:val="EQRTableText"/>
            </w:pPr>
            <w:r w:rsidRPr="00990D3B">
              <w:t> </w:t>
            </w:r>
          </w:p>
        </w:tc>
        <w:tc>
          <w:tcPr>
            <w:tcW w:w="900" w:type="dxa"/>
          </w:tcPr>
          <w:p w:rsidR="00F931A4" w:rsidRPr="00990D3B" w:rsidP="00BD1FC3" w14:paraId="419117A4" w14:textId="77777777">
            <w:pPr>
              <w:pStyle w:val="EQRTableText"/>
            </w:pPr>
            <w:r w:rsidRPr="00990D3B">
              <w:t> </w:t>
            </w:r>
          </w:p>
        </w:tc>
        <w:tc>
          <w:tcPr>
            <w:tcW w:w="854" w:type="dxa"/>
          </w:tcPr>
          <w:p w:rsidR="00F931A4" w:rsidRPr="00990D3B" w:rsidP="00BD1FC3" w14:paraId="7644BDA0" w14:textId="77777777">
            <w:pPr>
              <w:pStyle w:val="EQRTableText"/>
            </w:pPr>
            <w:r w:rsidRPr="00990D3B">
              <w:t> </w:t>
            </w:r>
          </w:p>
        </w:tc>
        <w:tc>
          <w:tcPr>
            <w:tcW w:w="3461" w:type="dxa"/>
          </w:tcPr>
          <w:p w:rsidR="00F931A4" w:rsidRPr="00990D3B" w:rsidP="00BD1FC3" w14:paraId="462B952A" w14:textId="77777777">
            <w:pPr>
              <w:pStyle w:val="EQRTableText"/>
            </w:pPr>
            <w:r w:rsidRPr="00990D3B">
              <w:t> </w:t>
            </w:r>
          </w:p>
        </w:tc>
      </w:tr>
      <w:tr w14:paraId="3C825524" w14:textId="77777777" w:rsidTr="00646691">
        <w:tblPrEx>
          <w:tblW w:w="5000" w:type="pct"/>
          <w:tblLook w:val="04A0"/>
        </w:tblPrEx>
        <w:trPr>
          <w:cantSplit/>
        </w:trPr>
        <w:tc>
          <w:tcPr>
            <w:tcW w:w="6925" w:type="dxa"/>
          </w:tcPr>
          <w:p w:rsidR="00F931A4" w:rsidRPr="00990D3B" w:rsidP="00BD1FC3" w14:paraId="3B62603C" w14:textId="77777777">
            <w:pPr>
              <w:pStyle w:val="EQRTableText"/>
            </w:pPr>
            <w:r w:rsidRPr="00990D3B">
              <w:t>A project or measurement plan, including workflow</w:t>
            </w:r>
          </w:p>
        </w:tc>
        <w:tc>
          <w:tcPr>
            <w:tcW w:w="810" w:type="dxa"/>
          </w:tcPr>
          <w:p w:rsidR="00F931A4" w:rsidRPr="00990D3B" w:rsidP="00BD1FC3" w14:paraId="4812A9B3" w14:textId="77777777">
            <w:pPr>
              <w:pStyle w:val="EQRTableText"/>
            </w:pPr>
            <w:r w:rsidRPr="00990D3B">
              <w:t> </w:t>
            </w:r>
          </w:p>
        </w:tc>
        <w:tc>
          <w:tcPr>
            <w:tcW w:w="900" w:type="dxa"/>
          </w:tcPr>
          <w:p w:rsidR="00F931A4" w:rsidRPr="00990D3B" w:rsidP="00BD1FC3" w14:paraId="0F0511F2" w14:textId="77777777">
            <w:pPr>
              <w:pStyle w:val="EQRTableText"/>
            </w:pPr>
            <w:r w:rsidRPr="00990D3B">
              <w:t> </w:t>
            </w:r>
          </w:p>
        </w:tc>
        <w:tc>
          <w:tcPr>
            <w:tcW w:w="854" w:type="dxa"/>
          </w:tcPr>
          <w:p w:rsidR="00F931A4" w:rsidRPr="00990D3B" w:rsidP="00BD1FC3" w14:paraId="508E2331" w14:textId="77777777">
            <w:pPr>
              <w:pStyle w:val="EQRTableText"/>
            </w:pPr>
            <w:r w:rsidRPr="00990D3B">
              <w:t> </w:t>
            </w:r>
          </w:p>
        </w:tc>
        <w:tc>
          <w:tcPr>
            <w:tcW w:w="3461" w:type="dxa"/>
          </w:tcPr>
          <w:p w:rsidR="00F931A4" w:rsidRPr="00990D3B" w:rsidP="00BD1FC3" w14:paraId="77E8E411" w14:textId="77777777">
            <w:pPr>
              <w:pStyle w:val="EQRTableText"/>
            </w:pPr>
            <w:r w:rsidRPr="00990D3B">
              <w:t> </w:t>
            </w:r>
          </w:p>
        </w:tc>
      </w:tr>
      <w:tr w14:paraId="74AC5AB1" w14:textId="77777777" w:rsidTr="00646691">
        <w:tblPrEx>
          <w:tblW w:w="5000" w:type="pct"/>
          <w:tblLook w:val="04A0"/>
        </w:tblPrEx>
        <w:trPr>
          <w:cantSplit/>
        </w:trPr>
        <w:tc>
          <w:tcPr>
            <w:tcW w:w="6925" w:type="dxa"/>
          </w:tcPr>
          <w:p w:rsidR="00F931A4" w:rsidRPr="00990D3B" w:rsidP="00BD1FC3" w14:paraId="6F090E62" w14:textId="77777777">
            <w:pPr>
              <w:pStyle w:val="EQRTableText"/>
            </w:pPr>
            <w:r w:rsidRPr="00990D3B">
              <w:t>Detailed medical record review methods and practices, including:</w:t>
            </w:r>
          </w:p>
          <w:p w:rsidR="00F931A4" w:rsidRPr="00990D3B" w:rsidP="00356C31" w14:paraId="4979AA4E" w14:textId="77777777">
            <w:pPr>
              <w:pStyle w:val="EQRTableTextbullet"/>
            </w:pPr>
            <w:r w:rsidRPr="00990D3B">
              <w:t>The qualifications of medical record review supervisor and staff</w:t>
            </w:r>
          </w:p>
          <w:p w:rsidR="00F931A4" w:rsidRPr="00990D3B" w:rsidP="00356C31" w14:paraId="5B8750F8" w14:textId="77777777">
            <w:pPr>
              <w:pStyle w:val="EQRTableTextbullet"/>
            </w:pPr>
            <w:r w:rsidRPr="00990D3B">
              <w:t>Reviewer training materials</w:t>
            </w:r>
          </w:p>
          <w:p w:rsidR="00F931A4" w:rsidRPr="00990D3B" w:rsidP="00356C31" w14:paraId="713A23BD" w14:textId="77777777">
            <w:pPr>
              <w:pStyle w:val="EQRTableTextbullet"/>
            </w:pPr>
            <w:r w:rsidRPr="00990D3B">
              <w:t>Audit tools used (including completed copies of each record-level reviewer determination)</w:t>
            </w:r>
          </w:p>
          <w:p w:rsidR="00F931A4" w:rsidRPr="00990D3B" w:rsidP="00356C31" w14:paraId="5E7A0E35" w14:textId="77777777">
            <w:pPr>
              <w:pStyle w:val="EQRTableTextbullet"/>
            </w:pPr>
            <w:r w:rsidRPr="00990D3B">
              <w:t xml:space="preserve">All case-level critical performance measure data elements used to determine a positive or negative event or exclude a case from same, and </w:t>
            </w:r>
          </w:p>
          <w:p w:rsidR="00F931A4" w:rsidRPr="00990D3B" w:rsidP="00356C31" w14:paraId="0B7FED89" w14:textId="77777777">
            <w:pPr>
              <w:pStyle w:val="EQRTableTextbullet"/>
            </w:pPr>
            <w:r w:rsidRPr="00990D3B">
              <w:t>Inter-rater reliability testing procedures and results</w:t>
            </w:r>
          </w:p>
        </w:tc>
        <w:tc>
          <w:tcPr>
            <w:tcW w:w="810" w:type="dxa"/>
          </w:tcPr>
          <w:p w:rsidR="00F931A4" w:rsidRPr="00990D3B" w:rsidP="00BD1FC3" w14:paraId="45C851EC" w14:textId="77777777">
            <w:pPr>
              <w:pStyle w:val="EQRTableText"/>
            </w:pPr>
            <w:r w:rsidRPr="00990D3B">
              <w:t> </w:t>
            </w:r>
          </w:p>
        </w:tc>
        <w:tc>
          <w:tcPr>
            <w:tcW w:w="900" w:type="dxa"/>
          </w:tcPr>
          <w:p w:rsidR="00F931A4" w:rsidRPr="00990D3B" w:rsidP="00BD1FC3" w14:paraId="30FBAA92" w14:textId="77777777">
            <w:pPr>
              <w:pStyle w:val="EQRTableText"/>
            </w:pPr>
            <w:r w:rsidRPr="00990D3B">
              <w:t> </w:t>
            </w:r>
          </w:p>
        </w:tc>
        <w:tc>
          <w:tcPr>
            <w:tcW w:w="854" w:type="dxa"/>
          </w:tcPr>
          <w:p w:rsidR="00F931A4" w:rsidRPr="00990D3B" w:rsidP="00BD1FC3" w14:paraId="41CB62BA" w14:textId="77777777">
            <w:pPr>
              <w:pStyle w:val="EQRTableText"/>
            </w:pPr>
            <w:r w:rsidRPr="00990D3B">
              <w:t> </w:t>
            </w:r>
          </w:p>
        </w:tc>
        <w:tc>
          <w:tcPr>
            <w:tcW w:w="3461" w:type="dxa"/>
          </w:tcPr>
          <w:p w:rsidR="00F931A4" w:rsidRPr="00990D3B" w:rsidP="00BD1FC3" w14:paraId="3297628C" w14:textId="77777777">
            <w:pPr>
              <w:pStyle w:val="EQRTableText"/>
            </w:pPr>
            <w:r w:rsidRPr="00990D3B">
              <w:t> </w:t>
            </w:r>
          </w:p>
        </w:tc>
      </w:tr>
      <w:tr w14:paraId="7996B5DA" w14:textId="77777777" w:rsidTr="00646691">
        <w:tblPrEx>
          <w:tblW w:w="5000" w:type="pct"/>
          <w:tblLook w:val="04A0"/>
        </w:tblPrEx>
        <w:trPr>
          <w:cantSplit/>
        </w:trPr>
        <w:tc>
          <w:tcPr>
            <w:tcW w:w="6925" w:type="dxa"/>
          </w:tcPr>
          <w:p w:rsidR="00F931A4" w:rsidRPr="00990D3B" w:rsidP="00BD1FC3" w14:paraId="13201D3B" w14:textId="77777777">
            <w:pPr>
              <w:pStyle w:val="EQRTableText"/>
            </w:pPr>
            <w:r w:rsidRPr="00990D3B">
              <w:t>Detailed computer queries, programming logic, or source code used to identify the population or sample for the denominator and/or numerator</w:t>
            </w:r>
          </w:p>
        </w:tc>
        <w:tc>
          <w:tcPr>
            <w:tcW w:w="810" w:type="dxa"/>
          </w:tcPr>
          <w:p w:rsidR="00F931A4" w:rsidRPr="00990D3B" w:rsidP="00BD1FC3" w14:paraId="520E2DAF" w14:textId="77777777">
            <w:pPr>
              <w:pStyle w:val="EQRTableText"/>
            </w:pPr>
            <w:r w:rsidRPr="00990D3B">
              <w:t> </w:t>
            </w:r>
          </w:p>
        </w:tc>
        <w:tc>
          <w:tcPr>
            <w:tcW w:w="900" w:type="dxa"/>
          </w:tcPr>
          <w:p w:rsidR="00F931A4" w:rsidRPr="00990D3B" w:rsidP="00BD1FC3" w14:paraId="04FB76D5" w14:textId="77777777">
            <w:pPr>
              <w:pStyle w:val="EQRTableText"/>
            </w:pPr>
            <w:r w:rsidRPr="00990D3B">
              <w:t> </w:t>
            </w:r>
          </w:p>
        </w:tc>
        <w:tc>
          <w:tcPr>
            <w:tcW w:w="854" w:type="dxa"/>
          </w:tcPr>
          <w:p w:rsidR="00F931A4" w:rsidRPr="00990D3B" w:rsidP="00BD1FC3" w14:paraId="3E0A7E34" w14:textId="77777777">
            <w:pPr>
              <w:pStyle w:val="EQRTableText"/>
            </w:pPr>
            <w:r w:rsidRPr="00990D3B">
              <w:t> </w:t>
            </w:r>
          </w:p>
        </w:tc>
        <w:tc>
          <w:tcPr>
            <w:tcW w:w="3461" w:type="dxa"/>
          </w:tcPr>
          <w:p w:rsidR="00F931A4" w:rsidRPr="00990D3B" w:rsidP="00BD1FC3" w14:paraId="33986CE7" w14:textId="77777777">
            <w:pPr>
              <w:pStyle w:val="EQRTableText"/>
            </w:pPr>
            <w:r w:rsidRPr="00990D3B">
              <w:t> </w:t>
            </w:r>
          </w:p>
        </w:tc>
      </w:tr>
      <w:tr w14:paraId="7CE8E940" w14:textId="77777777" w:rsidTr="00646691">
        <w:tblPrEx>
          <w:tblW w:w="5000" w:type="pct"/>
          <w:tblLook w:val="04A0"/>
        </w:tblPrEx>
        <w:trPr>
          <w:cantSplit/>
        </w:trPr>
        <w:tc>
          <w:tcPr>
            <w:tcW w:w="6925" w:type="dxa"/>
          </w:tcPr>
          <w:p w:rsidR="00F931A4" w:rsidRPr="00990D3B" w:rsidP="00BD1FC3" w14:paraId="25CB6787" w14:textId="77777777">
            <w:pPr>
              <w:pStyle w:val="EQRTableText"/>
            </w:pPr>
            <w:r w:rsidRPr="00990D3B">
              <w:t>Documentation of the original universe of data including record-level patient identifiers that can be used to validate entire programming logic for creating denominators, numerators, and samples</w:t>
            </w:r>
          </w:p>
        </w:tc>
        <w:tc>
          <w:tcPr>
            <w:tcW w:w="810" w:type="dxa"/>
          </w:tcPr>
          <w:p w:rsidR="00F931A4" w:rsidRPr="00990D3B" w:rsidP="00BD1FC3" w14:paraId="074F7F49" w14:textId="77777777">
            <w:pPr>
              <w:pStyle w:val="EQRTableText"/>
            </w:pPr>
            <w:r w:rsidRPr="00990D3B">
              <w:t> </w:t>
            </w:r>
          </w:p>
        </w:tc>
        <w:tc>
          <w:tcPr>
            <w:tcW w:w="900" w:type="dxa"/>
          </w:tcPr>
          <w:p w:rsidR="00F931A4" w:rsidRPr="00990D3B" w:rsidP="00BD1FC3" w14:paraId="0FD2D3D0" w14:textId="77777777">
            <w:pPr>
              <w:pStyle w:val="EQRTableText"/>
            </w:pPr>
            <w:r w:rsidRPr="00990D3B">
              <w:t> </w:t>
            </w:r>
          </w:p>
        </w:tc>
        <w:tc>
          <w:tcPr>
            <w:tcW w:w="854" w:type="dxa"/>
          </w:tcPr>
          <w:p w:rsidR="00F931A4" w:rsidRPr="00990D3B" w:rsidP="00BD1FC3" w14:paraId="26148032" w14:textId="77777777">
            <w:pPr>
              <w:pStyle w:val="EQRTableText"/>
            </w:pPr>
            <w:r w:rsidRPr="00990D3B">
              <w:t> </w:t>
            </w:r>
          </w:p>
        </w:tc>
        <w:tc>
          <w:tcPr>
            <w:tcW w:w="3461" w:type="dxa"/>
          </w:tcPr>
          <w:p w:rsidR="00F931A4" w:rsidRPr="00990D3B" w:rsidP="00BD1FC3" w14:paraId="7B86C964" w14:textId="77777777">
            <w:pPr>
              <w:pStyle w:val="EQRTableText"/>
            </w:pPr>
            <w:r w:rsidRPr="00990D3B">
              <w:t> </w:t>
            </w:r>
          </w:p>
        </w:tc>
      </w:tr>
      <w:tr w14:paraId="643E96C2" w14:textId="77777777" w:rsidTr="00646691">
        <w:tblPrEx>
          <w:tblW w:w="5000" w:type="pct"/>
          <w:tblLook w:val="04A0"/>
        </w:tblPrEx>
        <w:trPr>
          <w:cantSplit/>
        </w:trPr>
        <w:tc>
          <w:tcPr>
            <w:tcW w:w="6925" w:type="dxa"/>
          </w:tcPr>
          <w:p w:rsidR="00F931A4" w:rsidRPr="00990D3B" w:rsidP="00BD1FC3" w14:paraId="0E493A0F" w14:textId="77777777">
            <w:pPr>
              <w:pStyle w:val="EQRTableText"/>
            </w:pPr>
            <w:r w:rsidRPr="00990D3B">
              <w:t xml:space="preserve">If sampling is used, a description of sampling techniques and documentation </w:t>
            </w:r>
            <w:r w:rsidRPr="00990D3B">
              <w:t>assuring</w:t>
            </w:r>
            <w:r w:rsidRPr="00990D3B">
              <w:t xml:space="preserve"> the reviewer that samples used for baseline and repeat measurements of the performance measures were chosen using the same sampling frame and methodology</w:t>
            </w:r>
          </w:p>
        </w:tc>
        <w:tc>
          <w:tcPr>
            <w:tcW w:w="810" w:type="dxa"/>
          </w:tcPr>
          <w:p w:rsidR="00F931A4" w:rsidRPr="00990D3B" w:rsidP="00BD1FC3" w14:paraId="2A450407" w14:textId="77777777">
            <w:pPr>
              <w:pStyle w:val="EQRTableText"/>
            </w:pPr>
            <w:r w:rsidRPr="00990D3B">
              <w:t> </w:t>
            </w:r>
          </w:p>
        </w:tc>
        <w:tc>
          <w:tcPr>
            <w:tcW w:w="900" w:type="dxa"/>
          </w:tcPr>
          <w:p w:rsidR="00F931A4" w:rsidRPr="00990D3B" w:rsidP="00BD1FC3" w14:paraId="34B84B53" w14:textId="77777777">
            <w:pPr>
              <w:pStyle w:val="EQRTableText"/>
            </w:pPr>
            <w:r w:rsidRPr="00990D3B">
              <w:t> </w:t>
            </w:r>
          </w:p>
        </w:tc>
        <w:tc>
          <w:tcPr>
            <w:tcW w:w="854" w:type="dxa"/>
          </w:tcPr>
          <w:p w:rsidR="00F931A4" w:rsidRPr="00990D3B" w:rsidP="00BD1FC3" w14:paraId="1D2E6D45" w14:textId="77777777">
            <w:pPr>
              <w:pStyle w:val="EQRTableText"/>
            </w:pPr>
            <w:r w:rsidRPr="00990D3B">
              <w:t> </w:t>
            </w:r>
          </w:p>
        </w:tc>
        <w:tc>
          <w:tcPr>
            <w:tcW w:w="3461" w:type="dxa"/>
          </w:tcPr>
          <w:p w:rsidR="00F931A4" w:rsidRPr="00990D3B" w:rsidP="00BD1FC3" w14:paraId="1922B9CC" w14:textId="77777777">
            <w:pPr>
              <w:pStyle w:val="EQRTableText"/>
            </w:pPr>
            <w:r w:rsidRPr="00990D3B">
              <w:t> </w:t>
            </w:r>
          </w:p>
        </w:tc>
      </w:tr>
      <w:tr w14:paraId="37EF1AF8" w14:textId="77777777" w:rsidTr="00646691">
        <w:tblPrEx>
          <w:tblW w:w="5000" w:type="pct"/>
          <w:tblLook w:val="04A0"/>
        </w:tblPrEx>
        <w:trPr>
          <w:cantSplit/>
        </w:trPr>
        <w:tc>
          <w:tcPr>
            <w:tcW w:w="6925" w:type="dxa"/>
          </w:tcPr>
          <w:p w:rsidR="00F931A4" w:rsidRPr="00990D3B" w:rsidP="00BD1FC3" w14:paraId="502A6D89" w14:textId="77777777">
            <w:pPr>
              <w:pStyle w:val="EQRTableText"/>
            </w:pPr>
            <w:r w:rsidRPr="00990D3B">
              <w:t>Documentation of calculation for changes in performance from previous periods, if applicable, including statistical tests of significance</w:t>
            </w:r>
          </w:p>
        </w:tc>
        <w:tc>
          <w:tcPr>
            <w:tcW w:w="810" w:type="dxa"/>
          </w:tcPr>
          <w:p w:rsidR="00F931A4" w:rsidRPr="00990D3B" w:rsidP="00BD1FC3" w14:paraId="06B9118A" w14:textId="77777777">
            <w:pPr>
              <w:pStyle w:val="EQRTableText"/>
            </w:pPr>
            <w:r w:rsidRPr="00990D3B">
              <w:t> </w:t>
            </w:r>
          </w:p>
        </w:tc>
        <w:tc>
          <w:tcPr>
            <w:tcW w:w="900" w:type="dxa"/>
          </w:tcPr>
          <w:p w:rsidR="00F931A4" w:rsidRPr="00990D3B" w:rsidP="00BD1FC3" w14:paraId="04E29CC6" w14:textId="77777777">
            <w:pPr>
              <w:pStyle w:val="EQRTableText"/>
            </w:pPr>
            <w:r w:rsidRPr="00990D3B">
              <w:t> </w:t>
            </w:r>
          </w:p>
        </w:tc>
        <w:tc>
          <w:tcPr>
            <w:tcW w:w="854" w:type="dxa"/>
          </w:tcPr>
          <w:p w:rsidR="00F931A4" w:rsidRPr="00990D3B" w:rsidP="00BD1FC3" w14:paraId="04A50FE8" w14:textId="77777777">
            <w:pPr>
              <w:pStyle w:val="EQRTableText"/>
            </w:pPr>
            <w:r w:rsidRPr="00990D3B">
              <w:t> </w:t>
            </w:r>
          </w:p>
        </w:tc>
        <w:tc>
          <w:tcPr>
            <w:tcW w:w="3461" w:type="dxa"/>
          </w:tcPr>
          <w:p w:rsidR="00F931A4" w:rsidRPr="00990D3B" w:rsidP="00BD1FC3" w14:paraId="4B5FDEB1" w14:textId="77777777">
            <w:pPr>
              <w:pStyle w:val="EQRTableText"/>
            </w:pPr>
            <w:r w:rsidRPr="00990D3B">
              <w:t> </w:t>
            </w:r>
          </w:p>
        </w:tc>
      </w:tr>
      <w:tr w14:paraId="63B69CA4" w14:textId="77777777" w:rsidTr="00646691">
        <w:tblPrEx>
          <w:tblW w:w="5000" w:type="pct"/>
          <w:tblLook w:val="04A0"/>
        </w:tblPrEx>
        <w:trPr>
          <w:cantSplit/>
        </w:trPr>
        <w:tc>
          <w:tcPr>
            <w:tcW w:w="6925" w:type="dxa"/>
          </w:tcPr>
          <w:p w:rsidR="00F931A4" w:rsidRPr="00990D3B" w:rsidP="00BD1FC3" w14:paraId="6AEA80CC" w14:textId="77777777">
            <w:pPr>
              <w:pStyle w:val="EQRTableText"/>
            </w:pPr>
            <w:r w:rsidRPr="00990D3B">
              <w:t>Data that are related from measure to measure are consistent (e.g., membership counts, provider totals, number pregnancies and births)</w:t>
            </w:r>
          </w:p>
        </w:tc>
        <w:tc>
          <w:tcPr>
            <w:tcW w:w="810" w:type="dxa"/>
          </w:tcPr>
          <w:p w:rsidR="00F931A4" w:rsidRPr="00990D3B" w:rsidP="00BD1FC3" w14:paraId="415BF0BE" w14:textId="77777777">
            <w:pPr>
              <w:pStyle w:val="EQRTableText"/>
            </w:pPr>
            <w:r w:rsidRPr="00990D3B">
              <w:t> </w:t>
            </w:r>
          </w:p>
        </w:tc>
        <w:tc>
          <w:tcPr>
            <w:tcW w:w="900" w:type="dxa"/>
          </w:tcPr>
          <w:p w:rsidR="00F931A4" w:rsidRPr="00990D3B" w:rsidP="00BD1FC3" w14:paraId="7F2F92BE" w14:textId="77777777">
            <w:pPr>
              <w:pStyle w:val="EQRTableText"/>
            </w:pPr>
            <w:r w:rsidRPr="00990D3B">
              <w:t> </w:t>
            </w:r>
          </w:p>
        </w:tc>
        <w:tc>
          <w:tcPr>
            <w:tcW w:w="854" w:type="dxa"/>
          </w:tcPr>
          <w:p w:rsidR="00F931A4" w:rsidRPr="00990D3B" w:rsidP="00BD1FC3" w14:paraId="5F1D8E8A" w14:textId="77777777">
            <w:pPr>
              <w:pStyle w:val="EQRTableText"/>
            </w:pPr>
            <w:r w:rsidRPr="00990D3B">
              <w:t> </w:t>
            </w:r>
          </w:p>
        </w:tc>
        <w:tc>
          <w:tcPr>
            <w:tcW w:w="3461" w:type="dxa"/>
          </w:tcPr>
          <w:p w:rsidR="00F931A4" w:rsidRPr="00990D3B" w:rsidP="00BD1FC3" w14:paraId="0BF2265E" w14:textId="77777777">
            <w:pPr>
              <w:pStyle w:val="EQRTableText"/>
            </w:pPr>
            <w:r w:rsidRPr="00990D3B">
              <w:t> </w:t>
            </w:r>
          </w:p>
        </w:tc>
      </w:tr>
      <w:tr w14:paraId="4068214B" w14:textId="77777777" w:rsidTr="00646691">
        <w:tblPrEx>
          <w:tblW w:w="5000" w:type="pct"/>
          <w:tblLook w:val="04A0"/>
        </w:tblPrEx>
        <w:trPr>
          <w:cantSplit/>
        </w:trPr>
        <w:tc>
          <w:tcPr>
            <w:tcW w:w="6925" w:type="dxa"/>
          </w:tcPr>
          <w:p w:rsidR="00F931A4" w:rsidRPr="00990D3B" w:rsidP="00BD1FC3" w14:paraId="6FA43E21" w14:textId="77777777">
            <w:pPr>
              <w:pStyle w:val="EQRTableText"/>
            </w:pPr>
            <w:r w:rsidRPr="00990D3B">
              <w:t>Appropriate statistical functions are used to determine confidence intervals when sampling is used in the measure</w:t>
            </w:r>
          </w:p>
        </w:tc>
        <w:tc>
          <w:tcPr>
            <w:tcW w:w="810" w:type="dxa"/>
          </w:tcPr>
          <w:p w:rsidR="00F931A4" w:rsidRPr="00990D3B" w:rsidP="00BD1FC3" w14:paraId="0AF0702D" w14:textId="77777777">
            <w:pPr>
              <w:pStyle w:val="EQRTableText"/>
            </w:pPr>
            <w:r w:rsidRPr="00990D3B">
              <w:t> </w:t>
            </w:r>
          </w:p>
        </w:tc>
        <w:tc>
          <w:tcPr>
            <w:tcW w:w="900" w:type="dxa"/>
          </w:tcPr>
          <w:p w:rsidR="00F931A4" w:rsidRPr="00990D3B" w:rsidP="00BD1FC3" w14:paraId="450C2F4F" w14:textId="77777777">
            <w:pPr>
              <w:pStyle w:val="EQRTableText"/>
            </w:pPr>
            <w:r w:rsidRPr="00990D3B">
              <w:t> </w:t>
            </w:r>
          </w:p>
        </w:tc>
        <w:tc>
          <w:tcPr>
            <w:tcW w:w="854" w:type="dxa"/>
          </w:tcPr>
          <w:p w:rsidR="00F931A4" w:rsidRPr="00990D3B" w:rsidP="00BD1FC3" w14:paraId="7F7FD60B" w14:textId="77777777">
            <w:pPr>
              <w:pStyle w:val="EQRTableText"/>
            </w:pPr>
            <w:r w:rsidRPr="00990D3B">
              <w:t> </w:t>
            </w:r>
          </w:p>
        </w:tc>
        <w:tc>
          <w:tcPr>
            <w:tcW w:w="3461" w:type="dxa"/>
          </w:tcPr>
          <w:p w:rsidR="00F931A4" w:rsidRPr="00990D3B" w:rsidP="00BD1FC3" w14:paraId="664356DC" w14:textId="77777777">
            <w:pPr>
              <w:pStyle w:val="EQRTableText"/>
            </w:pPr>
            <w:r w:rsidRPr="00990D3B">
              <w:t> </w:t>
            </w:r>
          </w:p>
        </w:tc>
      </w:tr>
      <w:tr w14:paraId="1B5DF6A3" w14:textId="77777777" w:rsidTr="00646691">
        <w:tblPrEx>
          <w:tblW w:w="5000" w:type="pct"/>
          <w:tblLook w:val="04A0"/>
        </w:tblPrEx>
        <w:trPr>
          <w:cantSplit/>
        </w:trPr>
        <w:tc>
          <w:tcPr>
            <w:tcW w:w="6925" w:type="dxa"/>
          </w:tcPr>
          <w:p w:rsidR="00F931A4" w:rsidRPr="00990D3B" w:rsidP="00BD1FC3" w14:paraId="75D21F3F" w14:textId="77777777">
            <w:pPr>
              <w:pStyle w:val="EQRTableText"/>
            </w:pPr>
            <w:r w:rsidRPr="00990D3B">
              <w:t>When determining improvement in performance between measurement periods, appropriate statistical methodology is applied to determine levels of significance of changes</w:t>
            </w:r>
          </w:p>
        </w:tc>
        <w:tc>
          <w:tcPr>
            <w:tcW w:w="810" w:type="dxa"/>
            <w:tcBorders>
              <w:bottom w:val="single" w:sz="4" w:space="0" w:color="000000" w:themeColor="text1"/>
            </w:tcBorders>
          </w:tcPr>
          <w:p w:rsidR="00F931A4" w:rsidRPr="00990D3B" w:rsidP="00BD1FC3" w14:paraId="1905AE66" w14:textId="77777777">
            <w:pPr>
              <w:pStyle w:val="EQRTableText"/>
            </w:pPr>
            <w:r w:rsidRPr="00990D3B">
              <w:t> </w:t>
            </w:r>
          </w:p>
        </w:tc>
        <w:tc>
          <w:tcPr>
            <w:tcW w:w="900" w:type="dxa"/>
            <w:tcBorders>
              <w:bottom w:val="single" w:sz="4" w:space="0" w:color="000000" w:themeColor="text1"/>
            </w:tcBorders>
          </w:tcPr>
          <w:p w:rsidR="00F931A4" w:rsidRPr="00990D3B" w:rsidP="00BD1FC3" w14:paraId="0A0031EF" w14:textId="77777777">
            <w:pPr>
              <w:pStyle w:val="EQRTableText"/>
            </w:pPr>
            <w:r w:rsidRPr="00990D3B">
              <w:t> </w:t>
            </w:r>
          </w:p>
        </w:tc>
        <w:tc>
          <w:tcPr>
            <w:tcW w:w="854" w:type="dxa"/>
            <w:tcBorders>
              <w:bottom w:val="single" w:sz="4" w:space="0" w:color="000000" w:themeColor="text1"/>
            </w:tcBorders>
          </w:tcPr>
          <w:p w:rsidR="00F931A4" w:rsidRPr="00990D3B" w:rsidP="00BD1FC3" w14:paraId="44885E1D" w14:textId="77777777">
            <w:pPr>
              <w:pStyle w:val="EQRTableText"/>
            </w:pPr>
            <w:r w:rsidRPr="00990D3B">
              <w:t> </w:t>
            </w:r>
          </w:p>
        </w:tc>
        <w:tc>
          <w:tcPr>
            <w:tcW w:w="3461" w:type="dxa"/>
          </w:tcPr>
          <w:p w:rsidR="00F931A4" w:rsidRPr="00990D3B" w:rsidP="00BD1FC3" w14:paraId="3E8F5288" w14:textId="77777777">
            <w:pPr>
              <w:pStyle w:val="EQRTableText"/>
            </w:pPr>
            <w:r w:rsidRPr="00990D3B">
              <w:t> </w:t>
            </w:r>
          </w:p>
        </w:tc>
      </w:tr>
      <w:tr w14:paraId="6FC9FDC2" w14:textId="77777777" w:rsidTr="00646691">
        <w:tblPrEx>
          <w:tblW w:w="5000" w:type="pct"/>
          <w:tblLook w:val="04A0"/>
        </w:tblPrEx>
        <w:trPr>
          <w:cantSplit/>
        </w:trPr>
        <w:tc>
          <w:tcPr>
            <w:tcW w:w="6925" w:type="dxa"/>
          </w:tcPr>
          <w:p w:rsidR="00F931A4" w:rsidRPr="00990D3B" w:rsidP="00BD1FC3" w14:paraId="7ECB8CC6" w14:textId="77777777">
            <w:pPr>
              <w:pStyle w:val="EQRTableText"/>
            </w:pPr>
            <w:r w:rsidRPr="00990D3B">
              <w:rPr>
                <w:b/>
              </w:rPr>
              <w:t>Overall assessment:</w:t>
            </w:r>
            <w:r w:rsidRPr="00990D3B">
              <w:t xml:space="preserve"> In the comments section, note any recommendations for improving programming specifications for each performance measure</w:t>
            </w:r>
          </w:p>
        </w:tc>
        <w:tc>
          <w:tcPr>
            <w:tcW w:w="810" w:type="dxa"/>
            <w:shd w:val="clear" w:color="auto" w:fill="BFBFBF" w:themeFill="background1" w:themeFillShade="BF"/>
          </w:tcPr>
          <w:p w:rsidR="00F931A4" w:rsidRPr="00990D3B" w:rsidP="00BD1FC3" w14:paraId="61E485A8" w14:textId="77777777">
            <w:pPr>
              <w:pStyle w:val="EQRTableText"/>
            </w:pPr>
            <w:r w:rsidRPr="00990D3B">
              <w:t> </w:t>
            </w:r>
          </w:p>
        </w:tc>
        <w:tc>
          <w:tcPr>
            <w:tcW w:w="900" w:type="dxa"/>
            <w:shd w:val="clear" w:color="auto" w:fill="BFBFBF" w:themeFill="background1" w:themeFillShade="BF"/>
          </w:tcPr>
          <w:p w:rsidR="00F931A4" w:rsidRPr="00990D3B" w:rsidP="00BD1FC3" w14:paraId="16E87672" w14:textId="77777777">
            <w:pPr>
              <w:pStyle w:val="EQRTableText"/>
            </w:pPr>
            <w:r w:rsidRPr="00990D3B">
              <w:t> </w:t>
            </w:r>
          </w:p>
        </w:tc>
        <w:tc>
          <w:tcPr>
            <w:tcW w:w="854" w:type="dxa"/>
            <w:shd w:val="clear" w:color="auto" w:fill="BFBFBF" w:themeFill="background1" w:themeFillShade="BF"/>
          </w:tcPr>
          <w:p w:rsidR="00F931A4" w:rsidRPr="00990D3B" w:rsidP="00BD1FC3" w14:paraId="6F14A2EB" w14:textId="77777777">
            <w:pPr>
              <w:pStyle w:val="EQRTableText"/>
            </w:pPr>
            <w:r w:rsidRPr="00990D3B">
              <w:t> </w:t>
            </w:r>
          </w:p>
        </w:tc>
        <w:tc>
          <w:tcPr>
            <w:tcW w:w="3461" w:type="dxa"/>
          </w:tcPr>
          <w:p w:rsidR="00F931A4" w:rsidRPr="00990D3B" w:rsidP="00BD1FC3" w14:paraId="05BAF15C" w14:textId="77777777">
            <w:pPr>
              <w:pStyle w:val="EQRTableText"/>
            </w:pPr>
            <w:r w:rsidRPr="00990D3B">
              <w:t> </w:t>
            </w:r>
          </w:p>
        </w:tc>
      </w:tr>
    </w:tbl>
    <w:p w:rsidR="00F931A4" w:rsidRPr="00990D3B" w:rsidP="00BD1FC3" w14:paraId="3318E32E" w14:textId="44434D8E">
      <w:pPr>
        <w:spacing w:line="240" w:lineRule="auto"/>
        <w:rPr>
          <w:rFonts w:ascii="Arial" w:hAnsi="Arial" w:cs="Arial"/>
          <w:sz w:val="16"/>
          <w:szCs w:val="16"/>
        </w:rPr>
      </w:pPr>
      <w:r w:rsidRPr="00990D3B">
        <w:rPr>
          <w:rFonts w:ascii="Arial" w:hAnsi="Arial" w:cs="Arial"/>
          <w:sz w:val="16"/>
          <w:szCs w:val="16"/>
        </w:rPr>
        <w:br w:type="page"/>
      </w:r>
    </w:p>
    <w:p w:rsidR="00F931A4" w:rsidRPr="00990D3B" w:rsidP="00BD1FC3" w14:paraId="5CD01E2C" w14:textId="77777777">
      <w:pPr>
        <w:pStyle w:val="EQRMarkforExhibitWORKSHEET"/>
      </w:pPr>
      <w:bookmarkStart w:id="314" w:name="WSp2n9"/>
      <w:bookmarkStart w:id="315" w:name="_Toc125619153"/>
      <w:bookmarkStart w:id="316" w:name="_Toc201751502"/>
      <w:bookmarkEnd w:id="314"/>
      <w:r w:rsidRPr="00990D3B">
        <w:t>Worksheet 2.9. Policies, Procedures, and Data Used to Produce Performance Measures: Review Checklist</w:t>
      </w:r>
      <w:bookmarkEnd w:id="315"/>
      <w:bookmarkEnd w:id="316"/>
    </w:p>
    <w:p w:rsidR="0093699D" w:rsidRPr="00990D3B" w:rsidP="00BD1FC3" w14:paraId="05677EBD" w14:textId="20EF77BC">
      <w:pPr>
        <w:pStyle w:val="EQRNormalSSWORKSHEET"/>
      </w:pPr>
      <w:r w:rsidRPr="00990D3B">
        <w:rPr>
          <w:rFonts w:eastAsiaTheme="minorHAnsi"/>
          <w:b/>
        </w:rPr>
        <w:t>Instructions.</w:t>
      </w:r>
      <w:r w:rsidRPr="00990D3B">
        <w:rPr>
          <w:rFonts w:eastAsiaTheme="minorHAnsi"/>
        </w:rPr>
        <w:t xml:space="preserve"> Use this checklist to track documents and data used to assess the accuracy of the MCP’s performance measure calculations</w:t>
      </w:r>
      <w:r w:rsidRPr="00990D3B" w:rsidR="00B331C8">
        <w:rPr>
          <w:rFonts w:eastAsiaTheme="minorHAnsi"/>
        </w:rPr>
        <w:t xml:space="preserve">, </w:t>
      </w:r>
      <w:r w:rsidRPr="00990D3B">
        <w:rPr>
          <w:rFonts w:eastAsiaTheme="minorHAnsi"/>
        </w:rPr>
        <w:t>as described in</w:t>
      </w:r>
      <w:r w:rsidRPr="00990D3B">
        <w:t xml:space="preserve"> </w:t>
      </w:r>
      <w:hyperlink w:anchor="P2Act2Step4" w:tooltip="Activity 2, Step 4" w:history="1">
        <w:r w:rsidRPr="00990D3B">
          <w:rPr>
            <w:rStyle w:val="Hyperlink"/>
            <w:rFonts w:eastAsiaTheme="minorHAnsi"/>
          </w:rPr>
          <w:t>Activity 2, Step 4</w:t>
        </w:r>
      </w:hyperlink>
      <w:r w:rsidRPr="00990D3B">
        <w:rPr>
          <w:rFonts w:eastAsiaTheme="minorHAnsi"/>
        </w:rPr>
        <w:t>.</w:t>
      </w:r>
      <w:r w:rsidRPr="00990D3B">
        <w:rPr>
          <w:rFonts w:eastAsiaTheme="minorHAnsi"/>
        </w:rPr>
        <w:t xml:space="preserve"> </w:t>
      </w:r>
      <w:r w:rsidRPr="00990D3B">
        <w:t>For each policy, procedure, and data reviewed, indicate whether it was “Reviewed” or “Not Reviewed</w:t>
      </w:r>
      <w:r w:rsidRPr="00990D3B" w:rsidR="00F54E1C">
        <w:t>”</w:t>
      </w:r>
      <w:r w:rsidRPr="00990D3B">
        <w:t xml:space="preserve"> and any relevant comments. </w:t>
      </w:r>
    </w:p>
    <w:p w:rsidR="00294016" w:rsidRPr="00990D3B" w:rsidP="00BD1FC3" w14:paraId="567886AF" w14:textId="2D99D173">
      <w:pPr>
        <w:pStyle w:val="EQRNormalSSWORKSHEET"/>
        <w:spacing w:before="0" w:line="240" w:lineRule="auto"/>
      </w:pPr>
      <w:r w:rsidRPr="00990D3B">
        <w:t>Acronyms: ID = Identification Number; MCP= Managed Care Plan.</w:t>
      </w:r>
    </w:p>
    <w:tbl>
      <w:tblPr>
        <w:tblW w:w="5000" w:type="pct"/>
        <w:tblLayout w:type="fixed"/>
        <w:tblCellMar>
          <w:left w:w="98" w:type="dxa"/>
          <w:right w:w="98" w:type="dxa"/>
        </w:tblCellMar>
        <w:tblLook w:val="0000"/>
      </w:tblPr>
      <w:tblGrid>
        <w:gridCol w:w="7192"/>
        <w:gridCol w:w="1170"/>
        <w:gridCol w:w="1350"/>
        <w:gridCol w:w="3232"/>
      </w:tblGrid>
      <w:tr w14:paraId="14A1A2D4" w14:textId="77777777" w:rsidTr="00203A3A">
        <w:tblPrEx>
          <w:tblW w:w="5000" w:type="pct"/>
          <w:tblLayout w:type="fixed"/>
          <w:tblCellMar>
            <w:left w:w="98" w:type="dxa"/>
            <w:right w:w="98" w:type="dxa"/>
          </w:tblCellMar>
          <w:tblLook w:val="0000"/>
        </w:tblPrEx>
        <w:trPr>
          <w:cantSplit/>
          <w:tblHeader/>
        </w:trPr>
        <w:tc>
          <w:tcPr>
            <w:tcW w:w="7192"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03A3A" w14:paraId="3C39A3B2" w14:textId="41BAFB7D">
            <w:pPr>
              <w:pStyle w:val="EQRTableHeaderLeft"/>
              <w:rPr>
                <w:color w:val="auto"/>
              </w:rPr>
            </w:pPr>
            <w:r w:rsidRPr="00990D3B">
              <w:rPr>
                <w:color w:val="auto"/>
              </w:rPr>
              <w:t xml:space="preserve">Policies, </w:t>
            </w:r>
            <w:r w:rsidRPr="00990D3B" w:rsidR="00DE2282">
              <w:rPr>
                <w:color w:val="auto"/>
              </w:rPr>
              <w:t>p</w:t>
            </w:r>
            <w:r w:rsidRPr="00990D3B">
              <w:rPr>
                <w:color w:val="auto"/>
              </w:rPr>
              <w:t xml:space="preserve">rocedures, and </w:t>
            </w:r>
            <w:r w:rsidRPr="00990D3B" w:rsidR="00DE2282">
              <w:rPr>
                <w:color w:val="auto"/>
              </w:rPr>
              <w:t>d</w:t>
            </w:r>
            <w:r w:rsidRPr="00990D3B">
              <w:rPr>
                <w:color w:val="auto"/>
              </w:rPr>
              <w:t xml:space="preserve">ata to be </w:t>
            </w:r>
            <w:r w:rsidRPr="00990D3B" w:rsidR="00DE2282">
              <w:rPr>
                <w:color w:val="auto"/>
              </w:rPr>
              <w:t>r</w:t>
            </w:r>
            <w:r w:rsidRPr="00990D3B">
              <w:rPr>
                <w:color w:val="auto"/>
              </w:rPr>
              <w:t>eviewed</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03A3A" w14:paraId="0A49B018" w14:textId="77777777">
            <w:pPr>
              <w:pStyle w:val="EQRTableHeaderCenter"/>
              <w:rPr>
                <w:color w:val="auto"/>
              </w:rPr>
            </w:pPr>
            <w:r w:rsidRPr="00990D3B">
              <w:rPr>
                <w:color w:val="auto"/>
              </w:rPr>
              <w:t>Reviewed</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03A3A" w14:paraId="47F546AF" w14:textId="77777777">
            <w:pPr>
              <w:pStyle w:val="EQRTableHeaderCenter"/>
              <w:rPr>
                <w:color w:val="auto"/>
              </w:rPr>
            </w:pPr>
            <w:r w:rsidRPr="00990D3B">
              <w:rPr>
                <w:color w:val="auto"/>
              </w:rPr>
              <w:t>Not Reviewed</w:t>
            </w:r>
          </w:p>
        </w:tc>
        <w:tc>
          <w:tcPr>
            <w:tcW w:w="3232"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03A3A" w14:paraId="27A589BB" w14:textId="77777777">
            <w:pPr>
              <w:pStyle w:val="EQRTableHeaderCenter"/>
              <w:rPr>
                <w:color w:val="auto"/>
              </w:rPr>
            </w:pPr>
            <w:r w:rsidRPr="00990D3B">
              <w:rPr>
                <w:color w:val="auto"/>
              </w:rPr>
              <w:t>Comments</w:t>
            </w:r>
          </w:p>
        </w:tc>
      </w:tr>
      <w:tr w14:paraId="1639DC7C" w14:textId="77777777" w:rsidTr="00203A3A">
        <w:tblPrEx>
          <w:tblW w:w="5000" w:type="pct"/>
          <w:tblLayout w:type="fixed"/>
          <w:tblCellMar>
            <w:left w:w="98" w:type="dxa"/>
            <w:right w:w="98" w:type="dxa"/>
          </w:tblCellMar>
          <w:tblLook w:val="0000"/>
        </w:tblPrEx>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17F054F7" w14:textId="502F5F4D">
            <w:pPr>
              <w:pStyle w:val="EQRTableText"/>
            </w:pPr>
            <w:r w:rsidRPr="00990D3B">
              <w:t xml:space="preserve">Policies to assign unique </w:t>
            </w:r>
            <w:r w:rsidRPr="00990D3B" w:rsidR="005F509B">
              <w:t>enrollment</w:t>
            </w:r>
            <w:r w:rsidRPr="00990D3B">
              <w:t xml:space="preserve"> ID that </w:t>
            </w:r>
            <w:r w:rsidRPr="00990D3B">
              <w:t>allows</w:t>
            </w:r>
            <w:r w:rsidRPr="00990D3B">
              <w:t xml:space="preserve"> all services to be properly related to the specific appropriate enrollee, despite changes in status, periods of enrollment or disenrollment, or changes across product lines (e.g., Medicare and Medicaid)</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79F8592D"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4781FE32"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61019EE7" w14:textId="77777777">
            <w:pPr>
              <w:pStyle w:val="EQRTableText"/>
            </w:pPr>
            <w:r w:rsidRPr="00990D3B">
              <w:t> </w:t>
            </w:r>
          </w:p>
        </w:tc>
      </w:tr>
      <w:tr w14:paraId="1CDD2812" w14:textId="77777777" w:rsidTr="00203A3A">
        <w:tblPrEx>
          <w:tblW w:w="5000" w:type="pct"/>
          <w:tblLayout w:type="fixed"/>
          <w:tblCellMar>
            <w:left w:w="98" w:type="dxa"/>
            <w:right w:w="98" w:type="dxa"/>
          </w:tblCellMar>
          <w:tblLook w:val="0000"/>
        </w:tblPrEx>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44CC4F59" w14:textId="2E5874F8">
            <w:pPr>
              <w:pStyle w:val="EQRTableText"/>
            </w:pPr>
            <w:r w:rsidRPr="00990D3B">
              <w:t xml:space="preserve">Procedures to identify, track, and link member enrollment by product line, product, geographic area, age, </w:t>
            </w:r>
            <w:r w:rsidRPr="00990D3B" w:rsidR="00A27E6A">
              <w:t>sex</w:t>
            </w:r>
            <w:r w:rsidRPr="00990D3B">
              <w:t>, member months, member years</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6D0CDC0D"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2162CCF2"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665D1AE1" w14:textId="77777777">
            <w:pPr>
              <w:pStyle w:val="EQRTableText"/>
            </w:pPr>
            <w:r w:rsidRPr="00990D3B">
              <w:t> </w:t>
            </w:r>
          </w:p>
        </w:tc>
      </w:tr>
      <w:tr w14:paraId="21BA5376" w14:textId="77777777" w:rsidTr="00203A3A">
        <w:tblPrEx>
          <w:tblW w:w="5000" w:type="pct"/>
          <w:tblLayout w:type="fixed"/>
          <w:tblCellMar>
            <w:left w:w="98" w:type="dxa"/>
            <w:right w:w="98" w:type="dxa"/>
          </w:tblCellMar>
          <w:tblLook w:val="0000"/>
        </w:tblPrEx>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6B56F774" w14:textId="4467F1E7">
            <w:pPr>
              <w:pStyle w:val="EQRTableText"/>
            </w:pPr>
            <w:r w:rsidRPr="00990D3B">
              <w:t xml:space="preserve">Procedures to track individual </w:t>
            </w:r>
            <w:r w:rsidRPr="00990D3B" w:rsidR="00727834">
              <w:t>enrollees</w:t>
            </w:r>
            <w:r w:rsidRPr="00990D3B">
              <w:t xml:space="preserve"> through enrollment, disenrollment, and possible re-enrollment</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026010D6"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3A72803D"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55AE7B3A" w14:textId="77777777">
            <w:pPr>
              <w:pStyle w:val="EQRTableText"/>
            </w:pPr>
            <w:r w:rsidRPr="00990D3B">
              <w:t> </w:t>
            </w:r>
          </w:p>
        </w:tc>
      </w:tr>
      <w:tr w14:paraId="4EE2ACAE" w14:textId="77777777" w:rsidTr="00203A3A">
        <w:tblPrEx>
          <w:tblW w:w="5000" w:type="pct"/>
          <w:tblLayout w:type="fixed"/>
          <w:tblCellMar>
            <w:left w:w="98" w:type="dxa"/>
            <w:right w:w="98" w:type="dxa"/>
          </w:tblCellMar>
          <w:tblLook w:val="0000"/>
        </w:tblPrEx>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0420A538" w14:textId="62B80F18">
            <w:pPr>
              <w:pStyle w:val="EQRTableText"/>
            </w:pPr>
            <w:r w:rsidRPr="00990D3B">
              <w:t xml:space="preserve">Procedures to track </w:t>
            </w:r>
            <w:r w:rsidRPr="00990D3B" w:rsidR="00727834">
              <w:t>enrollees</w:t>
            </w:r>
            <w:r w:rsidRPr="00990D3B">
              <w:t xml:space="preserve"> through changes in family status, changes in employment or benefits or managed care type (if they switch between Medicaid coverage and another product within the same MCP)</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736F1687"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07C03A4C"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748935D2" w14:textId="77777777">
            <w:pPr>
              <w:pStyle w:val="EQRTableText"/>
            </w:pPr>
            <w:r w:rsidRPr="00990D3B">
              <w:t> </w:t>
            </w:r>
          </w:p>
        </w:tc>
      </w:tr>
      <w:tr w14:paraId="1ACF85A8" w14:textId="77777777" w:rsidTr="00203A3A">
        <w:tblPrEx>
          <w:tblW w:w="5000" w:type="pct"/>
          <w:tblLayout w:type="fixed"/>
          <w:tblCellMar>
            <w:left w:w="98" w:type="dxa"/>
            <w:right w:w="98" w:type="dxa"/>
          </w:tblCellMar>
          <w:tblLook w:val="0000"/>
        </w:tblPrEx>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69075E8F" w14:textId="77777777">
            <w:pPr>
              <w:pStyle w:val="EQRTableText"/>
            </w:pPr>
            <w:r w:rsidRPr="00990D3B">
              <w:t>Methods to define start and cessation of coverage</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5AC37B80"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1865B864"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115F9478" w14:textId="77777777">
            <w:pPr>
              <w:pStyle w:val="EQRTableText"/>
            </w:pPr>
            <w:r w:rsidRPr="00990D3B">
              <w:t> </w:t>
            </w:r>
          </w:p>
        </w:tc>
      </w:tr>
      <w:tr w14:paraId="73378577" w14:textId="77777777" w:rsidTr="00203A3A">
        <w:tblPrEx>
          <w:tblW w:w="5000" w:type="pct"/>
          <w:tblLayout w:type="fixed"/>
          <w:tblCellMar>
            <w:left w:w="98" w:type="dxa"/>
            <w:right w:w="98" w:type="dxa"/>
          </w:tblCellMar>
          <w:tblLook w:val="0000"/>
        </w:tblPrEx>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26472B24" w14:textId="77777777">
            <w:pPr>
              <w:pStyle w:val="EQRTableText"/>
            </w:pPr>
            <w:r w:rsidRPr="00990D3B">
              <w:t>Procedures to link member months to member age</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134EC4E5"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4FE43D3D"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020E21E8" w14:textId="77777777">
            <w:pPr>
              <w:pStyle w:val="EQRTableText"/>
            </w:pPr>
            <w:r w:rsidRPr="00990D3B">
              <w:t> </w:t>
            </w:r>
          </w:p>
        </w:tc>
      </w:tr>
      <w:tr w14:paraId="64E5FAFD" w14:textId="77777777" w:rsidTr="00203A3A">
        <w:tblPrEx>
          <w:tblW w:w="5000" w:type="pct"/>
          <w:tblLayout w:type="fixed"/>
          <w:tblCellMar>
            <w:left w:w="98" w:type="dxa"/>
            <w:right w:w="98" w:type="dxa"/>
          </w:tblCellMar>
          <w:tblLook w:val="0000"/>
        </w:tblPrEx>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34080B50" w14:textId="77777777">
            <w:pPr>
              <w:pStyle w:val="EQRTableText"/>
            </w:pPr>
            <w:r w:rsidRPr="00990D3B">
              <w:t>Description of software or programming languages used to query each database</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33A6C7D1"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204C68E8"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2E6146CD" w14:textId="77777777">
            <w:pPr>
              <w:pStyle w:val="EQRTableText"/>
            </w:pPr>
            <w:r w:rsidRPr="00990D3B">
              <w:t> </w:t>
            </w:r>
          </w:p>
        </w:tc>
      </w:tr>
      <w:tr w14:paraId="208870B6" w14:textId="77777777" w:rsidTr="00203A3A">
        <w:tblPrEx>
          <w:tblW w:w="5000" w:type="pct"/>
          <w:tblLayout w:type="fixed"/>
          <w:tblCellMar>
            <w:left w:w="98" w:type="dxa"/>
            <w:right w:w="98" w:type="dxa"/>
          </w:tblCellMar>
          <w:tblLook w:val="0000"/>
        </w:tblPrEx>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65DAB7EA" w14:textId="77777777">
            <w:pPr>
              <w:pStyle w:val="EQRTableText"/>
            </w:pPr>
            <w:r w:rsidRPr="00990D3B">
              <w:t>Programming logic and/or source code for arithmetic calculation of each measure</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12CE7D74"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16AF7EC5"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659F04CF" w14:textId="77777777">
            <w:pPr>
              <w:pStyle w:val="EQRTableText"/>
            </w:pPr>
            <w:r w:rsidRPr="00990D3B">
              <w:t> </w:t>
            </w:r>
          </w:p>
        </w:tc>
      </w:tr>
      <w:tr w14:paraId="1187AC4B" w14:textId="77777777" w:rsidTr="00203A3A">
        <w:tblPrEx>
          <w:tblW w:w="5000" w:type="pct"/>
          <w:tblLayout w:type="fixed"/>
          <w:tblCellMar>
            <w:left w:w="98" w:type="dxa"/>
            <w:right w:w="98" w:type="dxa"/>
          </w:tblCellMar>
          <w:tblLook w:val="0000"/>
        </w:tblPrEx>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2D58C518" w14:textId="77777777">
            <w:pPr>
              <w:pStyle w:val="EQRTableText"/>
            </w:pPr>
            <w:r w:rsidRPr="00990D3B">
              <w:t>Programming logic and/or source code for measures with complex algorithms, to ensure adequate matching and linkage among different types of data</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418DEE6E"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7D00BB16"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201645FD" w14:textId="77777777">
            <w:pPr>
              <w:pStyle w:val="EQRTableText"/>
            </w:pPr>
            <w:r w:rsidRPr="00990D3B">
              <w:t> </w:t>
            </w:r>
          </w:p>
        </w:tc>
      </w:tr>
      <w:tr w14:paraId="7B23C946" w14:textId="77777777" w:rsidTr="00203A3A">
        <w:tblPrEx>
          <w:tblW w:w="5000" w:type="pct"/>
          <w:tblLayout w:type="fixed"/>
          <w:tblCellMar>
            <w:left w:w="98" w:type="dxa"/>
            <w:right w:w="98" w:type="dxa"/>
          </w:tblCellMar>
          <w:tblLook w:val="0000"/>
        </w:tblPrEx>
        <w:trPr>
          <w:trHeight w:hRule="exact" w:val="402"/>
        </w:trPr>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1CE96143" w14:textId="4A28064D">
            <w:pPr>
              <w:pStyle w:val="EQRTableText"/>
            </w:pPr>
            <w:r w:rsidRPr="00990D3B">
              <w:t>Enrollee</w:t>
            </w:r>
            <w:r w:rsidRPr="00990D3B">
              <w:t xml:space="preserve"> database</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4044FAAB"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315135DC"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138BF431" w14:textId="77777777">
            <w:pPr>
              <w:pStyle w:val="EQRTableText"/>
            </w:pPr>
            <w:r w:rsidRPr="00990D3B">
              <w:t> </w:t>
            </w:r>
          </w:p>
        </w:tc>
      </w:tr>
      <w:tr w14:paraId="61485E79" w14:textId="77777777" w:rsidTr="00203A3A">
        <w:tblPrEx>
          <w:tblW w:w="5000" w:type="pct"/>
          <w:tblLayout w:type="fixed"/>
          <w:tblCellMar>
            <w:left w:w="98" w:type="dxa"/>
            <w:right w:w="98" w:type="dxa"/>
          </w:tblCellMar>
          <w:tblLook w:val="0000"/>
        </w:tblPrEx>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26ED7B97" w14:textId="77777777">
            <w:pPr>
              <w:pStyle w:val="EQRTableText"/>
            </w:pPr>
            <w:r w:rsidRPr="00990D3B">
              <w:t>Provider data (including facilities, labs, pharmacies, physicians, etc.)</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7FAB1EC0"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62C7B637"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22A64F99" w14:textId="77777777">
            <w:pPr>
              <w:pStyle w:val="EQRTableText"/>
            </w:pPr>
            <w:r w:rsidRPr="00990D3B">
              <w:t> </w:t>
            </w:r>
          </w:p>
        </w:tc>
      </w:tr>
      <w:tr w14:paraId="4BC52D42" w14:textId="77777777" w:rsidTr="00203A3A">
        <w:tblPrEx>
          <w:tblW w:w="5000" w:type="pct"/>
          <w:tblLayout w:type="fixed"/>
          <w:tblCellMar>
            <w:left w:w="98" w:type="dxa"/>
            <w:right w:w="98" w:type="dxa"/>
          </w:tblCellMar>
          <w:tblLook w:val="0000"/>
        </w:tblPrEx>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305D2325" w14:textId="77777777">
            <w:pPr>
              <w:pStyle w:val="EQRTableText"/>
            </w:pPr>
            <w:r w:rsidRPr="00990D3B">
              <w:t>Database record layout and data dictionary</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001A1E75"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050F2415"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30E7E83D" w14:textId="77777777">
            <w:pPr>
              <w:pStyle w:val="EQRTableText"/>
            </w:pPr>
            <w:r w:rsidRPr="00990D3B">
              <w:t> </w:t>
            </w:r>
          </w:p>
        </w:tc>
      </w:tr>
      <w:tr w14:paraId="363F51D9" w14:textId="77777777" w:rsidTr="00203A3A">
        <w:tblPrEx>
          <w:tblW w:w="5000" w:type="pct"/>
          <w:tblLayout w:type="fixed"/>
          <w:tblCellMar>
            <w:left w:w="98" w:type="dxa"/>
            <w:right w:w="98" w:type="dxa"/>
          </w:tblCellMar>
          <w:tblLook w:val="0000"/>
        </w:tblPrEx>
        <w:trPr>
          <w:trHeight w:hRule="exact" w:val="402"/>
        </w:trPr>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6666205E" w14:textId="77777777">
            <w:pPr>
              <w:pStyle w:val="EQRTableText"/>
            </w:pPr>
            <w:r w:rsidRPr="00990D3B">
              <w:t>Survey data</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76F4A125"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21D6F0F8"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4DE71C8E" w14:textId="77777777">
            <w:pPr>
              <w:pStyle w:val="EQRTableText"/>
            </w:pPr>
            <w:r w:rsidRPr="00990D3B">
              <w:t> </w:t>
            </w:r>
          </w:p>
        </w:tc>
      </w:tr>
      <w:tr w14:paraId="0F7CFA45" w14:textId="77777777" w:rsidTr="00203A3A">
        <w:tblPrEx>
          <w:tblW w:w="5000" w:type="pct"/>
          <w:tblLayout w:type="fixed"/>
          <w:tblCellMar>
            <w:left w:w="98" w:type="dxa"/>
            <w:right w:w="98" w:type="dxa"/>
          </w:tblCellMar>
          <w:tblLook w:val="0000"/>
        </w:tblPrEx>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3633B8A4" w14:textId="77777777">
            <w:pPr>
              <w:pStyle w:val="EQRTableText"/>
            </w:pPr>
            <w:r w:rsidRPr="00990D3B">
              <w:t>For performance measures which are easily under-reported, procedures to capture data that may reside outside the MCP’s data sets</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793F3800"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095462B2"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055B0289" w14:textId="77777777">
            <w:pPr>
              <w:pStyle w:val="EQRTableText"/>
            </w:pPr>
            <w:r w:rsidRPr="00990D3B">
              <w:t> </w:t>
            </w:r>
          </w:p>
        </w:tc>
      </w:tr>
      <w:tr w14:paraId="1ABAC710" w14:textId="77777777" w:rsidTr="00203A3A">
        <w:tblPrEx>
          <w:tblW w:w="5000" w:type="pct"/>
          <w:tblLayout w:type="fixed"/>
          <w:tblCellMar>
            <w:left w:w="98" w:type="dxa"/>
            <w:right w:w="98" w:type="dxa"/>
          </w:tblCellMar>
          <w:tblLook w:val="0000"/>
        </w:tblPrEx>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4899DAE5" w14:textId="77777777">
            <w:pPr>
              <w:pStyle w:val="EQRTableText"/>
            </w:pPr>
            <w:r w:rsidRPr="00990D3B">
              <w:t>Procedures for mapping non-standard codes to standard coding to ensure consistency, completeness, and reproducibility</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516F5503"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371D3B6B"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777D3DDA" w14:textId="77777777">
            <w:pPr>
              <w:pStyle w:val="EQRTableText"/>
            </w:pPr>
            <w:r w:rsidRPr="00990D3B">
              <w:t> </w:t>
            </w:r>
          </w:p>
        </w:tc>
      </w:tr>
      <w:tr w14:paraId="4327D175" w14:textId="77777777" w:rsidTr="00203A3A">
        <w:tblPrEx>
          <w:tblW w:w="5000" w:type="pct"/>
          <w:tblLayout w:type="fixed"/>
          <w:tblCellMar>
            <w:left w:w="98" w:type="dxa"/>
            <w:right w:w="98" w:type="dxa"/>
          </w:tblCellMar>
          <w:tblLook w:val="0000"/>
        </w:tblPrEx>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0A7375D3" w14:textId="77777777">
            <w:pPr>
              <w:pStyle w:val="EQRTableText"/>
            </w:pPr>
            <w:r w:rsidRPr="00990D3B">
              <w:t>Policies, procedures, and materials that evidence proper training, supervision, and adequate tools for medical record abstraction tasks (may include medical record abstraction tools, training material, checks of inter-rater reliability, etc.)</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0A7BDE4C"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4D0BB764"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5587507E" w14:textId="77777777">
            <w:pPr>
              <w:pStyle w:val="EQRTableText"/>
            </w:pPr>
            <w:r w:rsidRPr="00990D3B">
              <w:t> </w:t>
            </w:r>
          </w:p>
        </w:tc>
      </w:tr>
      <w:tr w14:paraId="13992422" w14:textId="77777777" w:rsidTr="00203A3A">
        <w:tblPrEx>
          <w:tblW w:w="5000" w:type="pct"/>
          <w:tblLayout w:type="fixed"/>
          <w:tblCellMar>
            <w:left w:w="98" w:type="dxa"/>
            <w:right w:w="98" w:type="dxa"/>
          </w:tblCellMar>
          <w:tblLook w:val="0000"/>
        </w:tblPrEx>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699B4D9E" w14:textId="77777777">
            <w:pPr>
              <w:pStyle w:val="EQRTableText"/>
            </w:pPr>
            <w:r w:rsidRPr="00990D3B">
              <w:t>Procedures for assuring that combinations of record-review data with administratively determined data are consistent and verifiable</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05FD979E"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6CAE4D7B"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75DF53A7" w14:textId="77777777">
            <w:pPr>
              <w:pStyle w:val="EQRTableText"/>
            </w:pPr>
            <w:r w:rsidRPr="00990D3B">
              <w:t> </w:t>
            </w:r>
          </w:p>
        </w:tc>
      </w:tr>
      <w:tr w14:paraId="0F200DFD" w14:textId="77777777" w:rsidTr="00203A3A">
        <w:tblPrEx>
          <w:tblW w:w="5000" w:type="pct"/>
          <w:tblLayout w:type="fixed"/>
          <w:tblCellMar>
            <w:left w:w="98" w:type="dxa"/>
            <w:right w:w="98" w:type="dxa"/>
          </w:tblCellMar>
          <w:tblLook w:val="0000"/>
        </w:tblPrEx>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750BE691" w14:textId="7C86981A">
            <w:pPr>
              <w:pStyle w:val="EQRTableText"/>
            </w:pPr>
            <w:r w:rsidRPr="00990D3B">
              <w:t xml:space="preserve">Evidence that MCP’s use of codes to identify medical events </w:t>
            </w:r>
            <w:r w:rsidRPr="00990D3B">
              <w:t>were</w:t>
            </w:r>
            <w:r w:rsidRPr="00990D3B">
              <w:t xml:space="preserve"> correctly evaluated when classifying </w:t>
            </w:r>
            <w:r w:rsidRPr="00990D3B" w:rsidR="00727834">
              <w:t>enrollees</w:t>
            </w:r>
            <w:r w:rsidRPr="00990D3B">
              <w:t xml:space="preserve"> for inclusion or exclusion in the numerator</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64994E0C"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6854087C"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7AD66CFD" w14:textId="77777777">
            <w:pPr>
              <w:pStyle w:val="EQRTableText"/>
            </w:pPr>
            <w:r w:rsidRPr="00990D3B">
              <w:t> </w:t>
            </w:r>
          </w:p>
        </w:tc>
      </w:tr>
      <w:tr w14:paraId="34D33959" w14:textId="77777777" w:rsidTr="00203A3A">
        <w:tblPrEx>
          <w:tblW w:w="5000" w:type="pct"/>
          <w:tblLayout w:type="fixed"/>
          <w:tblCellMar>
            <w:left w:w="98" w:type="dxa"/>
            <w:right w:w="98" w:type="dxa"/>
          </w:tblCellMar>
          <w:tblLook w:val="0000"/>
        </w:tblPrEx>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5BC561EC" w14:textId="52861F5F">
            <w:pPr>
              <w:pStyle w:val="EQRTableText"/>
            </w:pPr>
            <w:r w:rsidRPr="00990D3B">
              <w:t xml:space="preserve">Evidence that MCP has counted each </w:t>
            </w:r>
            <w:r w:rsidRPr="00990D3B" w:rsidR="002F4DD4">
              <w:t>enrollee</w:t>
            </w:r>
            <w:r w:rsidRPr="00990D3B">
              <w:t xml:space="preserve"> and/or event only once</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3E4A91B9"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4DC52AC4"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200682C3" w14:textId="77777777">
            <w:pPr>
              <w:pStyle w:val="EQRTableText"/>
            </w:pPr>
            <w:r w:rsidRPr="00990D3B">
              <w:t> </w:t>
            </w:r>
          </w:p>
        </w:tc>
      </w:tr>
      <w:tr w14:paraId="467E4C4E" w14:textId="77777777" w:rsidTr="00203A3A">
        <w:tblPrEx>
          <w:tblW w:w="5000" w:type="pct"/>
          <w:tblLayout w:type="fixed"/>
          <w:tblCellMar>
            <w:left w:w="98" w:type="dxa"/>
            <w:right w:w="98" w:type="dxa"/>
          </w:tblCellMar>
          <w:tblLook w:val="0000"/>
        </w:tblPrEx>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264BE240" w14:textId="77777777">
            <w:pPr>
              <w:pStyle w:val="EQRTableText"/>
            </w:pPr>
            <w:r w:rsidRPr="00990D3B">
              <w:t>Programming logic or demonstration that confirms that any non-standard codes used in determining the numerator have been mapped to a standard coding scheme in a manner that is consistent, complete, and reproducible</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48337FB3"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7AB6D6AE"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5356DD8D" w14:textId="77777777">
            <w:pPr>
              <w:pStyle w:val="EQRTableText"/>
            </w:pPr>
            <w:r w:rsidRPr="00990D3B">
              <w:t> </w:t>
            </w:r>
          </w:p>
        </w:tc>
      </w:tr>
      <w:tr w14:paraId="3753E16B" w14:textId="77777777" w:rsidTr="00203A3A">
        <w:tblPrEx>
          <w:tblW w:w="5000" w:type="pct"/>
          <w:tblLayout w:type="fixed"/>
          <w:tblCellMar>
            <w:left w:w="98" w:type="dxa"/>
            <w:right w:w="98" w:type="dxa"/>
          </w:tblCellMar>
          <w:tblLook w:val="0000"/>
        </w:tblPrEx>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76421D41" w14:textId="77777777">
            <w:pPr>
              <w:pStyle w:val="EQRTableText"/>
            </w:pPr>
            <w:r w:rsidRPr="00990D3B">
              <w:t>Programming logic or source code that identifies process for integrating administrative and medical record data for numerator</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61694D68"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1FCB864B"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5DEBBA38" w14:textId="77777777">
            <w:pPr>
              <w:pStyle w:val="EQRTableText"/>
            </w:pPr>
            <w:r w:rsidRPr="00990D3B">
              <w:t> </w:t>
            </w:r>
          </w:p>
        </w:tc>
      </w:tr>
      <w:tr w14:paraId="1DAE10BE" w14:textId="77777777" w:rsidTr="00203A3A">
        <w:tblPrEx>
          <w:tblW w:w="5000" w:type="pct"/>
          <w:tblLayout w:type="fixed"/>
          <w:tblCellMar>
            <w:left w:w="98" w:type="dxa"/>
            <w:right w:w="98" w:type="dxa"/>
          </w:tblCellMar>
          <w:tblLook w:val="0000"/>
        </w:tblPrEx>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27FB8F01" w14:textId="77777777">
            <w:pPr>
              <w:pStyle w:val="EQRTableText"/>
            </w:pPr>
            <w:r w:rsidRPr="00990D3B">
              <w:t>Programming logic and/or source code for arithmetic calculation of each measure</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78A9D7A0"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26C21328"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7E65AD16" w14:textId="77777777">
            <w:pPr>
              <w:pStyle w:val="EQRTableText"/>
            </w:pPr>
            <w:r w:rsidRPr="00990D3B">
              <w:t> </w:t>
            </w:r>
          </w:p>
        </w:tc>
      </w:tr>
      <w:tr w14:paraId="0D157194" w14:textId="77777777" w:rsidTr="00203A3A">
        <w:tblPrEx>
          <w:tblW w:w="5000" w:type="pct"/>
          <w:tblLayout w:type="fixed"/>
          <w:tblCellMar>
            <w:left w:w="98" w:type="dxa"/>
            <w:right w:w="98" w:type="dxa"/>
          </w:tblCellMar>
          <w:tblLook w:val="0000"/>
        </w:tblPrEx>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39C5044B" w14:textId="77777777">
            <w:pPr>
              <w:pStyle w:val="EQRTableText"/>
            </w:pPr>
            <w:r w:rsidRPr="00990D3B">
              <w:t>Programming logic and/or source code for measures with complex algorithms, to ensure adequate matching and linkage among different types of data</w:t>
            </w:r>
          </w:p>
        </w:tc>
        <w:tc>
          <w:tcPr>
            <w:tcW w:w="117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56427EB9"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50045201"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50CABF30" w14:textId="77777777">
            <w:pPr>
              <w:pStyle w:val="EQRTableText"/>
            </w:pPr>
            <w:r w:rsidRPr="00990D3B">
              <w:t> </w:t>
            </w:r>
          </w:p>
        </w:tc>
      </w:tr>
      <w:tr w14:paraId="2404B09F" w14:textId="77777777" w:rsidTr="00203A3A">
        <w:tblPrEx>
          <w:tblW w:w="5000" w:type="pct"/>
          <w:tblLayout w:type="fixed"/>
          <w:tblCellMar>
            <w:left w:w="98" w:type="dxa"/>
            <w:right w:w="98" w:type="dxa"/>
          </w:tblCellMar>
          <w:tblLook w:val="0000"/>
        </w:tblPrEx>
        <w:tc>
          <w:tcPr>
            <w:tcW w:w="7192" w:type="dxa"/>
            <w:tcBorders>
              <w:top w:val="single" w:sz="6" w:space="0" w:color="000000"/>
              <w:left w:val="single" w:sz="6" w:space="0" w:color="000000"/>
              <w:bottom w:val="single" w:sz="6" w:space="0" w:color="000000"/>
              <w:right w:val="single" w:sz="6" w:space="0" w:color="000000"/>
            </w:tcBorders>
          </w:tcPr>
          <w:p w:rsidR="00F931A4" w:rsidRPr="00990D3B" w:rsidP="00BD1FC3" w14:paraId="0AB2E5C7" w14:textId="77777777">
            <w:pPr>
              <w:pStyle w:val="EQRTableText"/>
            </w:pPr>
            <w:r w:rsidRPr="00990D3B">
              <w:rPr>
                <w:b/>
              </w:rPr>
              <w:t>Overall assessment:</w:t>
            </w:r>
            <w:r w:rsidRPr="00990D3B">
              <w:t xml:space="preserve"> In the comments section, note any recommendations to improve documentation or demonstrations provided by the MCP</w:t>
            </w:r>
          </w:p>
        </w:tc>
        <w:tc>
          <w:tcPr>
            <w:tcW w:w="1170" w:type="dxa"/>
            <w:tcBorders>
              <w:top w:val="single" w:sz="6" w:space="0" w:color="000000"/>
              <w:left w:val="single" w:sz="6" w:space="0" w:color="000000"/>
              <w:bottom w:val="single" w:sz="6" w:space="0" w:color="000000"/>
              <w:right w:val="single" w:sz="6" w:space="0" w:color="000000"/>
            </w:tcBorders>
            <w:shd w:val="clear" w:color="FFFFFF" w:fill="BFBFBF" w:themeFill="background1" w:themeFillShade="BF"/>
          </w:tcPr>
          <w:p w:rsidR="00F931A4" w:rsidRPr="00990D3B" w:rsidP="00BD1FC3" w14:paraId="0C25C0D0" w14:textId="77777777">
            <w:pPr>
              <w:pStyle w:val="EQRTableText"/>
            </w:pPr>
            <w:r w:rsidRPr="00990D3B">
              <w:t> </w:t>
            </w:r>
          </w:p>
        </w:tc>
        <w:tc>
          <w:tcPr>
            <w:tcW w:w="1350" w:type="dxa"/>
            <w:tcBorders>
              <w:top w:val="single" w:sz="6" w:space="0" w:color="000000"/>
              <w:left w:val="single" w:sz="6" w:space="0" w:color="000000"/>
              <w:bottom w:val="single" w:sz="6" w:space="0" w:color="000000"/>
              <w:right w:val="single" w:sz="6" w:space="0" w:color="000000"/>
            </w:tcBorders>
            <w:shd w:val="clear" w:color="FFFFFF" w:fill="BFBFBF" w:themeFill="background1" w:themeFillShade="BF"/>
          </w:tcPr>
          <w:p w:rsidR="00F931A4" w:rsidRPr="00990D3B" w:rsidP="00BD1FC3" w14:paraId="1F62A3E9" w14:textId="77777777">
            <w:pPr>
              <w:pStyle w:val="EQRTableText"/>
            </w:pPr>
            <w:r w:rsidRPr="00990D3B">
              <w:t> </w:t>
            </w:r>
          </w:p>
        </w:tc>
        <w:tc>
          <w:tcPr>
            <w:tcW w:w="323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2636EBE6" w14:textId="77777777">
            <w:pPr>
              <w:pStyle w:val="EQRTableText"/>
            </w:pPr>
            <w:r w:rsidRPr="00990D3B">
              <w:t> </w:t>
            </w:r>
          </w:p>
        </w:tc>
      </w:tr>
    </w:tbl>
    <w:p w:rsidR="00F931A4" w:rsidRPr="00990D3B" w:rsidP="00BD1FC3" w14:paraId="72EBDAD8" w14:textId="77777777">
      <w:pPr>
        <w:pStyle w:val="EQRNormalSSWORKSHEET"/>
      </w:pPr>
      <w:r w:rsidRPr="00990D3B">
        <w:br w:type="page"/>
      </w:r>
    </w:p>
    <w:p w:rsidR="00F931A4" w:rsidRPr="00990D3B" w:rsidP="00BD1FC3" w14:paraId="5D37862E" w14:textId="77777777">
      <w:pPr>
        <w:pStyle w:val="EQRMarkforExhibitWORKSHEET"/>
      </w:pPr>
      <w:bookmarkStart w:id="317" w:name="WSp2n10"/>
      <w:bookmarkStart w:id="318" w:name="_Toc125619154"/>
      <w:bookmarkStart w:id="319" w:name="_Toc201751503"/>
      <w:bookmarkEnd w:id="317"/>
      <w:r w:rsidRPr="00990D3B">
        <w:t>Worksheet 2.10. Measure Validation Findings</w:t>
      </w:r>
      <w:bookmarkEnd w:id="318"/>
      <w:bookmarkEnd w:id="319"/>
    </w:p>
    <w:p w:rsidR="00F931A4" w:rsidRPr="00990D3B" w:rsidP="00BD1FC3" w14:paraId="36237A56" w14:textId="7B9660FD">
      <w:pPr>
        <w:pStyle w:val="EQRNormalSSWORKSHEET"/>
      </w:pPr>
      <w:r w:rsidRPr="00990D3B">
        <w:rPr>
          <w:b/>
        </w:rPr>
        <w:t>Instructions.</w:t>
      </w:r>
      <w:r w:rsidRPr="00990D3B">
        <w:t xml:space="preserve"> For each performance measure, use this worksheet to document adherence to guidance for (1) the denominator</w:t>
      </w:r>
      <w:r w:rsidRPr="00990D3B" w:rsidR="00B331C8">
        <w:t xml:space="preserve">, </w:t>
      </w:r>
      <w:r w:rsidRPr="00990D3B">
        <w:t>(2) programming logic, source code, and calculations</w:t>
      </w:r>
      <w:r w:rsidRPr="00990D3B" w:rsidR="00B331C8">
        <w:t>,</w:t>
      </w:r>
      <w:r w:rsidRPr="00990D3B">
        <w:t xml:space="preserve"> (3) identifying medical events</w:t>
      </w:r>
      <w:r w:rsidRPr="00990D3B" w:rsidR="00B331C8">
        <w:t xml:space="preserve">, </w:t>
      </w:r>
      <w:r w:rsidRPr="00990D3B">
        <w:t>(4) time parameters</w:t>
      </w:r>
      <w:r w:rsidRPr="00990D3B" w:rsidR="00B331C8">
        <w:t xml:space="preserve">, </w:t>
      </w:r>
      <w:r w:rsidRPr="00990D3B">
        <w:t>(5) exclusion criteria</w:t>
      </w:r>
      <w:r w:rsidRPr="00990D3B" w:rsidR="00B331C8">
        <w:t>,</w:t>
      </w:r>
      <w:r w:rsidRPr="00990D3B">
        <w:t xml:space="preserve"> (6) population estimates</w:t>
      </w:r>
      <w:r w:rsidRPr="00990D3B" w:rsidR="00B331C8">
        <w:t xml:space="preserve">, </w:t>
      </w:r>
      <w:r w:rsidRPr="00990D3B">
        <w:t xml:space="preserve">(7) identifying the at-risk </w:t>
      </w:r>
      <w:r w:rsidRPr="00990D3B" w:rsidR="00B331C8">
        <w:t xml:space="preserve">population, </w:t>
      </w:r>
      <w:r w:rsidRPr="00990D3B">
        <w:t>(8), inclusion of qualifying medical events in the numerator</w:t>
      </w:r>
      <w:r w:rsidRPr="00990D3B" w:rsidR="00B331C8">
        <w:t>,</w:t>
      </w:r>
      <w:r w:rsidRPr="00990D3B">
        <w:t xml:space="preserve"> and (9) medical record data in the numerator. This worksheet is relevant to </w:t>
      </w:r>
      <w:hyperlink w:anchor="P2Act2Step4" w:tooltip="Activity 2, Step 4" w:history="1">
        <w:r w:rsidRPr="00990D3B">
          <w:rPr>
            <w:rStyle w:val="Hyperlink"/>
          </w:rPr>
          <w:t>Activity 2, Step 4</w:t>
        </w:r>
      </w:hyperlink>
      <w:r w:rsidRPr="00990D3B">
        <w:t xml:space="preserve">, and </w:t>
      </w:r>
      <w:hyperlink w:anchor="P2A3" w:tooltip="Activity 3" w:history="1">
        <w:r w:rsidRPr="00990D3B">
          <w:rPr>
            <w:rStyle w:val="Hyperlink"/>
          </w:rPr>
          <w:t>Activity</w:t>
        </w:r>
        <w:r w:rsidRPr="00990D3B" w:rsidR="003C28E0">
          <w:rPr>
            <w:rStyle w:val="Hyperlink"/>
          </w:rPr>
          <w:t> </w:t>
        </w:r>
        <w:r w:rsidRPr="00990D3B">
          <w:rPr>
            <w:rStyle w:val="Hyperlink"/>
          </w:rPr>
          <w:t>3</w:t>
        </w:r>
      </w:hyperlink>
      <w:r w:rsidRPr="00990D3B">
        <w:t xml:space="preserve">. </w:t>
      </w:r>
      <w:r w:rsidRPr="00990D3B" w:rsidR="0093699D">
        <w:t xml:space="preserve">For each data and process used, indicate whether it was “Met”, “Not Met”, or “Not </w:t>
      </w:r>
      <w:r w:rsidRPr="00990D3B" w:rsidR="00AA7C2A">
        <w:t>A</w:t>
      </w:r>
      <w:r w:rsidRPr="00990D3B" w:rsidR="0093699D">
        <w:t xml:space="preserve">pplicable”, and any relevant comments. </w:t>
      </w:r>
    </w:p>
    <w:p w:rsidR="00294016" w:rsidRPr="00990D3B" w:rsidP="00BD1FC3" w14:paraId="55EABB75" w14:textId="7AA03322">
      <w:pPr>
        <w:pStyle w:val="EQRNormalSSWORKSHEET"/>
        <w:spacing w:before="0" w:line="240" w:lineRule="auto"/>
        <w:rPr>
          <w:bCs/>
        </w:rPr>
      </w:pPr>
      <w:r w:rsidRPr="00990D3B">
        <w:rPr>
          <w:bCs/>
        </w:rPr>
        <w:t>Acronyms: CHIP = Children’s Health Insurance Program; EQRO = External Quality Review Organization; MCP= Managed Care Plan; NA = Not Applicable.</w:t>
      </w:r>
    </w:p>
    <w:tbl>
      <w:tblPr>
        <w:tblStyle w:val="TableGrid"/>
        <w:tblW w:w="5000" w:type="pct"/>
        <w:tblLayout w:type="fixed"/>
        <w:tblCellMar>
          <w:left w:w="115" w:type="dxa"/>
          <w:right w:w="115" w:type="dxa"/>
        </w:tblCellMar>
        <w:tblLook w:val="04A0"/>
      </w:tblPr>
      <w:tblGrid>
        <w:gridCol w:w="6565"/>
        <w:gridCol w:w="990"/>
        <w:gridCol w:w="900"/>
        <w:gridCol w:w="990"/>
        <w:gridCol w:w="3505"/>
      </w:tblGrid>
      <w:tr w14:paraId="75A64E6F" w14:textId="77777777" w:rsidTr="00252655">
        <w:tblPrEx>
          <w:tblW w:w="5000" w:type="pct"/>
          <w:tblLayout w:type="fixed"/>
          <w:tblCellMar>
            <w:left w:w="115" w:type="dxa"/>
            <w:right w:w="115" w:type="dxa"/>
          </w:tblCellMar>
          <w:tblLook w:val="04A0"/>
        </w:tblPrEx>
        <w:trPr>
          <w:cantSplit/>
          <w:tblHeader/>
        </w:trPr>
        <w:tc>
          <w:tcPr>
            <w:tcW w:w="6565" w:type="dxa"/>
            <w:tcBorders>
              <w:bottom w:val="single" w:sz="4" w:space="0" w:color="auto"/>
            </w:tcBorders>
            <w:shd w:val="clear" w:color="auto" w:fill="FFFFFF" w:themeFill="background1"/>
            <w:vAlign w:val="bottom"/>
          </w:tcPr>
          <w:p w:rsidR="00F931A4" w:rsidRPr="00990D3B" w:rsidP="00252655" w14:paraId="0A19171A" w14:textId="35F2C026">
            <w:pPr>
              <w:pStyle w:val="EQRTableHeaderLeft"/>
              <w:rPr>
                <w:color w:val="auto"/>
              </w:rPr>
            </w:pPr>
            <w:r w:rsidRPr="00990D3B">
              <w:rPr>
                <w:color w:val="auto"/>
              </w:rPr>
              <w:t xml:space="preserve">Audit </w:t>
            </w:r>
            <w:r w:rsidRPr="00990D3B" w:rsidR="00DE2282">
              <w:rPr>
                <w:color w:val="auto"/>
              </w:rPr>
              <w:t>e</w:t>
            </w:r>
            <w:r w:rsidRPr="00990D3B">
              <w:rPr>
                <w:color w:val="auto"/>
              </w:rPr>
              <w:t>lement</w:t>
            </w:r>
          </w:p>
        </w:tc>
        <w:tc>
          <w:tcPr>
            <w:tcW w:w="990" w:type="dxa"/>
            <w:shd w:val="clear" w:color="auto" w:fill="FFFFFF" w:themeFill="background1"/>
            <w:vAlign w:val="bottom"/>
          </w:tcPr>
          <w:p w:rsidR="00F931A4" w:rsidRPr="00990D3B" w:rsidP="00252655" w14:paraId="7F97FC76" w14:textId="77777777">
            <w:pPr>
              <w:pStyle w:val="EQRTableHeaderCenter"/>
              <w:rPr>
                <w:color w:val="auto"/>
              </w:rPr>
            </w:pPr>
            <w:r w:rsidRPr="00990D3B">
              <w:rPr>
                <w:color w:val="auto"/>
              </w:rPr>
              <w:t>Met</w:t>
            </w:r>
          </w:p>
        </w:tc>
        <w:tc>
          <w:tcPr>
            <w:tcW w:w="900" w:type="dxa"/>
            <w:shd w:val="clear" w:color="auto" w:fill="FFFFFF" w:themeFill="background1"/>
            <w:vAlign w:val="bottom"/>
          </w:tcPr>
          <w:p w:rsidR="00F931A4" w:rsidRPr="00990D3B" w:rsidP="00252655" w14:paraId="04BD27AB" w14:textId="77777777">
            <w:pPr>
              <w:pStyle w:val="EQRTableHeaderCenter"/>
              <w:rPr>
                <w:color w:val="auto"/>
              </w:rPr>
            </w:pPr>
            <w:r w:rsidRPr="00990D3B">
              <w:rPr>
                <w:color w:val="auto"/>
              </w:rPr>
              <w:t>Not Met</w:t>
            </w:r>
          </w:p>
        </w:tc>
        <w:tc>
          <w:tcPr>
            <w:tcW w:w="990" w:type="dxa"/>
            <w:shd w:val="clear" w:color="auto" w:fill="FFFFFF" w:themeFill="background1"/>
            <w:vAlign w:val="bottom"/>
          </w:tcPr>
          <w:p w:rsidR="00F931A4" w:rsidRPr="00990D3B" w:rsidP="00252655" w14:paraId="67A774B4" w14:textId="2C9206DB">
            <w:pPr>
              <w:pStyle w:val="EQRTableHeaderCenter"/>
              <w:rPr>
                <w:color w:val="auto"/>
              </w:rPr>
            </w:pPr>
            <w:r w:rsidRPr="00990D3B">
              <w:rPr>
                <w:color w:val="auto"/>
              </w:rPr>
              <w:t>NA</w:t>
            </w:r>
          </w:p>
        </w:tc>
        <w:tc>
          <w:tcPr>
            <w:tcW w:w="3505" w:type="dxa"/>
            <w:shd w:val="clear" w:color="auto" w:fill="FFFFFF" w:themeFill="background1"/>
            <w:vAlign w:val="bottom"/>
          </w:tcPr>
          <w:p w:rsidR="00F931A4" w:rsidRPr="00990D3B" w:rsidP="00252655" w14:paraId="1E351654" w14:textId="77777777">
            <w:pPr>
              <w:pStyle w:val="EQRTableHeaderCenter"/>
              <w:rPr>
                <w:color w:val="auto"/>
              </w:rPr>
            </w:pPr>
            <w:r w:rsidRPr="00990D3B">
              <w:rPr>
                <w:color w:val="auto"/>
              </w:rPr>
              <w:t>Comments</w:t>
            </w:r>
          </w:p>
        </w:tc>
      </w:tr>
      <w:tr w14:paraId="6B7CFD55" w14:textId="77777777" w:rsidTr="00252655">
        <w:tblPrEx>
          <w:tblW w:w="5000" w:type="pct"/>
          <w:tblLayout w:type="fixed"/>
          <w:tblCellMar>
            <w:left w:w="115" w:type="dxa"/>
            <w:right w:w="115" w:type="dxa"/>
          </w:tblCellMar>
          <w:tblLook w:val="04A0"/>
        </w:tblPrEx>
        <w:trPr>
          <w:cantSplit/>
        </w:trPr>
        <w:tc>
          <w:tcPr>
            <w:tcW w:w="6565" w:type="dxa"/>
            <w:tcBorders>
              <w:top w:val="single" w:sz="4" w:space="0" w:color="auto"/>
              <w:bottom w:val="single" w:sz="4" w:space="0" w:color="000000" w:themeColor="text1"/>
            </w:tcBorders>
          </w:tcPr>
          <w:p w:rsidR="00F931A4" w:rsidRPr="00990D3B" w:rsidP="00BD1FC3" w14:paraId="081BE1D4" w14:textId="2CEA8E4E">
            <w:pPr>
              <w:pStyle w:val="EQRTableText"/>
            </w:pPr>
            <w:r w:rsidRPr="00990D3B">
              <w:rPr>
                <w:b/>
              </w:rPr>
              <w:t>Denominator.</w:t>
            </w:r>
            <w:r w:rsidRPr="00990D3B">
              <w:t xml:space="preserve"> For each performance measure, all </w:t>
            </w:r>
            <w:r w:rsidRPr="00990D3B" w:rsidR="00727834">
              <w:t>enrollees</w:t>
            </w:r>
            <w:r w:rsidRPr="00990D3B">
              <w:t xml:space="preserve"> of the relevant populations identified in the performance measure specifications (who were eligible to receive the specified services) were included in the population from which the denominator was produced. The eligible population included </w:t>
            </w:r>
            <w:r w:rsidRPr="00990D3B" w:rsidR="00727834">
              <w:t>enrollees</w:t>
            </w:r>
            <w:r w:rsidRPr="00990D3B">
              <w:t xml:space="preserve"> who received the services as well as those who did not. The same standard applies to provider groups or other relevant populations identified in the specifications of each performance measure.</w:t>
            </w:r>
          </w:p>
        </w:tc>
        <w:tc>
          <w:tcPr>
            <w:tcW w:w="990" w:type="dxa"/>
            <w:tcBorders>
              <w:bottom w:val="single" w:sz="4" w:space="0" w:color="000000" w:themeColor="text1"/>
            </w:tcBorders>
          </w:tcPr>
          <w:p w:rsidR="00F931A4" w:rsidRPr="00990D3B" w:rsidP="00BD1FC3" w14:paraId="30B32BE7" w14:textId="77777777">
            <w:pPr>
              <w:pStyle w:val="EQRTableText"/>
            </w:pPr>
            <w:r w:rsidRPr="00990D3B">
              <w:t> </w:t>
            </w:r>
          </w:p>
        </w:tc>
        <w:tc>
          <w:tcPr>
            <w:tcW w:w="900" w:type="dxa"/>
            <w:tcBorders>
              <w:bottom w:val="single" w:sz="4" w:space="0" w:color="000000" w:themeColor="text1"/>
            </w:tcBorders>
          </w:tcPr>
          <w:p w:rsidR="00F931A4" w:rsidRPr="00990D3B" w:rsidP="00BD1FC3" w14:paraId="64A804FF" w14:textId="77777777">
            <w:pPr>
              <w:pStyle w:val="EQRTableText"/>
            </w:pPr>
            <w:r w:rsidRPr="00990D3B">
              <w:t> </w:t>
            </w:r>
          </w:p>
        </w:tc>
        <w:tc>
          <w:tcPr>
            <w:tcW w:w="990" w:type="dxa"/>
            <w:tcBorders>
              <w:bottom w:val="single" w:sz="4" w:space="0" w:color="000000" w:themeColor="text1"/>
            </w:tcBorders>
          </w:tcPr>
          <w:p w:rsidR="00F931A4" w:rsidRPr="00990D3B" w:rsidP="00BD1FC3" w14:paraId="1CD4A0CD" w14:textId="77777777">
            <w:pPr>
              <w:pStyle w:val="EQRTableText"/>
            </w:pPr>
            <w:r w:rsidRPr="00990D3B">
              <w:t> </w:t>
            </w:r>
          </w:p>
        </w:tc>
        <w:tc>
          <w:tcPr>
            <w:tcW w:w="3505" w:type="dxa"/>
          </w:tcPr>
          <w:p w:rsidR="00F931A4" w:rsidRPr="00990D3B" w:rsidP="00BD1FC3" w14:paraId="24299D1C" w14:textId="77777777">
            <w:pPr>
              <w:pStyle w:val="EQRTableText"/>
            </w:pPr>
            <w:r w:rsidRPr="00990D3B">
              <w:t> </w:t>
            </w:r>
          </w:p>
        </w:tc>
      </w:tr>
      <w:tr w14:paraId="3A500378" w14:textId="77777777" w:rsidTr="00252655">
        <w:tblPrEx>
          <w:tblW w:w="5000" w:type="pct"/>
          <w:tblLayout w:type="fixed"/>
          <w:tblCellMar>
            <w:left w:w="115" w:type="dxa"/>
            <w:right w:w="115" w:type="dxa"/>
          </w:tblCellMar>
          <w:tblLook w:val="04A0"/>
        </w:tblPrEx>
        <w:trPr>
          <w:cantSplit/>
        </w:trPr>
        <w:tc>
          <w:tcPr>
            <w:tcW w:w="6565" w:type="dxa"/>
            <w:tcBorders>
              <w:bottom w:val="dashSmallGap" w:sz="4" w:space="0" w:color="000000" w:themeColor="text1"/>
            </w:tcBorders>
          </w:tcPr>
          <w:p w:rsidR="00F931A4" w:rsidRPr="00990D3B" w:rsidP="00BD1FC3" w14:paraId="350F8EA1" w14:textId="3D61FED5">
            <w:pPr>
              <w:pStyle w:val="EQRTableText"/>
            </w:pPr>
            <w:r w:rsidRPr="00990D3B">
              <w:rPr>
                <w:b/>
              </w:rPr>
              <w:t>Programming logic, source code, and calculations.</w:t>
            </w:r>
            <w:r w:rsidRPr="00990D3B">
              <w:t xml:space="preserve"> For each measure, adequate programming logic or source code identifies, tracks, and links member enrollment within and across product lines (e.g., Medicaid and CHIP), by age and sex, as well as through possible periods of enrollment and disenrollment) and appropriately identifies all relevant </w:t>
            </w:r>
            <w:r w:rsidRPr="00990D3B" w:rsidR="00727834">
              <w:t>enrollees</w:t>
            </w:r>
            <w:r w:rsidRPr="00990D3B">
              <w:t xml:space="preserve"> of the specified denominator population for each of the performance measures. This is determined by evaluating that:</w:t>
            </w:r>
          </w:p>
        </w:tc>
        <w:tc>
          <w:tcPr>
            <w:tcW w:w="990" w:type="dxa"/>
          </w:tcPr>
          <w:p w:rsidR="00F931A4" w:rsidRPr="00990D3B" w:rsidP="00BD1FC3" w14:paraId="30DF8DEE" w14:textId="77777777">
            <w:pPr>
              <w:pStyle w:val="EQRTableText"/>
            </w:pPr>
            <w:r w:rsidRPr="00990D3B">
              <w:t> </w:t>
            </w:r>
          </w:p>
        </w:tc>
        <w:tc>
          <w:tcPr>
            <w:tcW w:w="900" w:type="dxa"/>
          </w:tcPr>
          <w:p w:rsidR="00F931A4" w:rsidRPr="00990D3B" w:rsidP="00BD1FC3" w14:paraId="0B54BC54" w14:textId="77777777">
            <w:pPr>
              <w:pStyle w:val="EQRTableText"/>
            </w:pPr>
            <w:r w:rsidRPr="00990D3B">
              <w:t> </w:t>
            </w:r>
          </w:p>
        </w:tc>
        <w:tc>
          <w:tcPr>
            <w:tcW w:w="990" w:type="dxa"/>
          </w:tcPr>
          <w:p w:rsidR="00F931A4" w:rsidRPr="00990D3B" w:rsidP="00BD1FC3" w14:paraId="4CC9A653" w14:textId="77777777">
            <w:pPr>
              <w:pStyle w:val="EQRTableText"/>
            </w:pPr>
            <w:r w:rsidRPr="00990D3B">
              <w:t> </w:t>
            </w:r>
          </w:p>
        </w:tc>
        <w:tc>
          <w:tcPr>
            <w:tcW w:w="3505" w:type="dxa"/>
          </w:tcPr>
          <w:p w:rsidR="00F931A4" w:rsidRPr="00990D3B" w:rsidP="00BD1FC3" w14:paraId="6EFEA6C0" w14:textId="77777777">
            <w:pPr>
              <w:pStyle w:val="EQRTableText"/>
            </w:pPr>
            <w:r w:rsidRPr="00990D3B">
              <w:t> </w:t>
            </w:r>
          </w:p>
        </w:tc>
      </w:tr>
      <w:tr w14:paraId="3E305C00" w14:textId="77777777" w:rsidTr="00252655">
        <w:tblPrEx>
          <w:tblW w:w="5000" w:type="pct"/>
          <w:tblLayout w:type="fixed"/>
          <w:tblCellMar>
            <w:left w:w="115" w:type="dxa"/>
            <w:right w:w="115" w:type="dxa"/>
          </w:tblCellMar>
          <w:tblLook w:val="04A0"/>
        </w:tblPrEx>
        <w:trPr>
          <w:cantSplit/>
        </w:trPr>
        <w:tc>
          <w:tcPr>
            <w:tcW w:w="6565" w:type="dxa"/>
            <w:tcBorders>
              <w:top w:val="dashSmallGap" w:sz="4" w:space="0" w:color="000000" w:themeColor="text1"/>
              <w:bottom w:val="dashSmallGap" w:sz="4" w:space="0" w:color="000000" w:themeColor="text1"/>
            </w:tcBorders>
          </w:tcPr>
          <w:p w:rsidR="00F931A4" w:rsidRPr="00990D3B" w:rsidP="00252655" w14:paraId="2AA1E5D7" w14:textId="3CF4F103">
            <w:pPr>
              <w:pStyle w:val="EQRTableNumber"/>
            </w:pPr>
            <w:r w:rsidRPr="00990D3B">
              <w:t>Calculations of continuous enrollment criteria were correctly carried out and applied to each measure (if applicable)</w:t>
            </w:r>
          </w:p>
        </w:tc>
        <w:tc>
          <w:tcPr>
            <w:tcW w:w="990" w:type="dxa"/>
          </w:tcPr>
          <w:p w:rsidR="00F931A4" w:rsidRPr="00990D3B" w:rsidP="00BD1FC3" w14:paraId="1FFB3B61" w14:textId="77777777">
            <w:pPr>
              <w:pStyle w:val="EQRTableText"/>
            </w:pPr>
            <w:r w:rsidRPr="00990D3B">
              <w:t> </w:t>
            </w:r>
          </w:p>
        </w:tc>
        <w:tc>
          <w:tcPr>
            <w:tcW w:w="900" w:type="dxa"/>
          </w:tcPr>
          <w:p w:rsidR="00F931A4" w:rsidRPr="00990D3B" w:rsidP="00BD1FC3" w14:paraId="0421BCA7" w14:textId="77777777">
            <w:pPr>
              <w:pStyle w:val="EQRTableText"/>
            </w:pPr>
            <w:r w:rsidRPr="00990D3B">
              <w:t> </w:t>
            </w:r>
          </w:p>
        </w:tc>
        <w:tc>
          <w:tcPr>
            <w:tcW w:w="990" w:type="dxa"/>
          </w:tcPr>
          <w:p w:rsidR="00F931A4" w:rsidRPr="00990D3B" w:rsidP="00BD1FC3" w14:paraId="1D4EFFED" w14:textId="77777777">
            <w:pPr>
              <w:pStyle w:val="EQRTableText"/>
            </w:pPr>
            <w:r w:rsidRPr="00990D3B">
              <w:t> </w:t>
            </w:r>
          </w:p>
        </w:tc>
        <w:tc>
          <w:tcPr>
            <w:tcW w:w="3505" w:type="dxa"/>
          </w:tcPr>
          <w:p w:rsidR="00F931A4" w:rsidRPr="00990D3B" w:rsidP="00BD1FC3" w14:paraId="7ABCF5D8" w14:textId="77777777">
            <w:pPr>
              <w:pStyle w:val="EQRTableText"/>
            </w:pPr>
            <w:r w:rsidRPr="00990D3B">
              <w:t> </w:t>
            </w:r>
          </w:p>
        </w:tc>
      </w:tr>
      <w:tr w14:paraId="55ED3674" w14:textId="77777777" w:rsidTr="00252655">
        <w:tblPrEx>
          <w:tblW w:w="5000" w:type="pct"/>
          <w:tblLayout w:type="fixed"/>
          <w:tblCellMar>
            <w:left w:w="115" w:type="dxa"/>
            <w:right w:w="115" w:type="dxa"/>
          </w:tblCellMar>
          <w:tblLook w:val="04A0"/>
        </w:tblPrEx>
        <w:trPr>
          <w:cantSplit/>
        </w:trPr>
        <w:tc>
          <w:tcPr>
            <w:tcW w:w="6565" w:type="dxa"/>
            <w:tcBorders>
              <w:top w:val="dashSmallGap" w:sz="4" w:space="0" w:color="000000" w:themeColor="text1"/>
              <w:bottom w:val="dashSmallGap" w:sz="4" w:space="0" w:color="000000" w:themeColor="text1"/>
            </w:tcBorders>
          </w:tcPr>
          <w:p w:rsidR="00F931A4" w:rsidRPr="00990D3B" w:rsidP="00252655" w14:paraId="604641A4" w14:textId="66103939">
            <w:pPr>
              <w:pStyle w:val="EQRTableNumber"/>
            </w:pPr>
            <w:r w:rsidRPr="00990D3B">
              <w:t>Proper mathematical operations were used to determine patient age or age range</w:t>
            </w:r>
          </w:p>
        </w:tc>
        <w:tc>
          <w:tcPr>
            <w:tcW w:w="990" w:type="dxa"/>
          </w:tcPr>
          <w:p w:rsidR="00F931A4" w:rsidRPr="00990D3B" w:rsidP="00BD1FC3" w14:paraId="02512206" w14:textId="77777777">
            <w:pPr>
              <w:pStyle w:val="EQRTableText"/>
            </w:pPr>
            <w:r w:rsidRPr="00990D3B">
              <w:t> </w:t>
            </w:r>
          </w:p>
        </w:tc>
        <w:tc>
          <w:tcPr>
            <w:tcW w:w="900" w:type="dxa"/>
          </w:tcPr>
          <w:p w:rsidR="00F931A4" w:rsidRPr="00990D3B" w:rsidP="00BD1FC3" w14:paraId="7D92F3CD" w14:textId="77777777">
            <w:pPr>
              <w:pStyle w:val="EQRTableText"/>
            </w:pPr>
            <w:r w:rsidRPr="00990D3B">
              <w:t> </w:t>
            </w:r>
          </w:p>
        </w:tc>
        <w:tc>
          <w:tcPr>
            <w:tcW w:w="990" w:type="dxa"/>
          </w:tcPr>
          <w:p w:rsidR="00F931A4" w:rsidRPr="00990D3B" w:rsidP="00BD1FC3" w14:paraId="09A00573" w14:textId="77777777">
            <w:pPr>
              <w:pStyle w:val="EQRTableText"/>
            </w:pPr>
            <w:r w:rsidRPr="00990D3B">
              <w:t> </w:t>
            </w:r>
          </w:p>
        </w:tc>
        <w:tc>
          <w:tcPr>
            <w:tcW w:w="3505" w:type="dxa"/>
          </w:tcPr>
          <w:p w:rsidR="00F931A4" w:rsidRPr="00990D3B" w:rsidP="00BD1FC3" w14:paraId="5AFDCEA3" w14:textId="77777777">
            <w:pPr>
              <w:pStyle w:val="EQRTableText"/>
            </w:pPr>
            <w:r w:rsidRPr="00990D3B">
              <w:t> </w:t>
            </w:r>
          </w:p>
        </w:tc>
      </w:tr>
      <w:tr w14:paraId="7456B30C" w14:textId="77777777" w:rsidTr="00252655">
        <w:tblPrEx>
          <w:tblW w:w="5000" w:type="pct"/>
          <w:tblLayout w:type="fixed"/>
          <w:tblCellMar>
            <w:left w:w="115" w:type="dxa"/>
            <w:right w:w="115" w:type="dxa"/>
          </w:tblCellMar>
          <w:tblLook w:val="04A0"/>
        </w:tblPrEx>
        <w:trPr>
          <w:cantSplit/>
        </w:trPr>
        <w:tc>
          <w:tcPr>
            <w:tcW w:w="6565" w:type="dxa"/>
            <w:tcBorders>
              <w:top w:val="dashSmallGap" w:sz="4" w:space="0" w:color="000000" w:themeColor="text1"/>
              <w:bottom w:val="dashSmallGap" w:sz="4" w:space="0" w:color="000000" w:themeColor="text1"/>
            </w:tcBorders>
          </w:tcPr>
          <w:p w:rsidR="00F931A4" w:rsidRPr="00990D3B" w:rsidP="00252655" w14:paraId="084EE7EC" w14:textId="0BDE2F9E">
            <w:pPr>
              <w:pStyle w:val="EQRTableNumber"/>
            </w:pPr>
            <w:r w:rsidRPr="00990D3B">
              <w:t xml:space="preserve">The MCP can identify the variable(s) that define the </w:t>
            </w:r>
            <w:r w:rsidRPr="00990D3B" w:rsidR="002F4DD4">
              <w:t>enrollee</w:t>
            </w:r>
            <w:r w:rsidRPr="00990D3B">
              <w:t>’s sex in every file or algorithm needed to calculate the performance measure denominator, and the MCP can explain what classification is carried out if neither of the required codes is present</w:t>
            </w:r>
          </w:p>
        </w:tc>
        <w:tc>
          <w:tcPr>
            <w:tcW w:w="990" w:type="dxa"/>
          </w:tcPr>
          <w:p w:rsidR="00F931A4" w:rsidRPr="00990D3B" w:rsidP="00BD1FC3" w14:paraId="5623EBCD" w14:textId="77777777">
            <w:pPr>
              <w:pStyle w:val="EQRTableText"/>
            </w:pPr>
            <w:r w:rsidRPr="00990D3B">
              <w:t> </w:t>
            </w:r>
          </w:p>
        </w:tc>
        <w:tc>
          <w:tcPr>
            <w:tcW w:w="900" w:type="dxa"/>
          </w:tcPr>
          <w:p w:rsidR="00F931A4" w:rsidRPr="00990D3B" w:rsidP="00BD1FC3" w14:paraId="3B19F19D" w14:textId="77777777">
            <w:pPr>
              <w:pStyle w:val="EQRTableText"/>
            </w:pPr>
            <w:r w:rsidRPr="00990D3B">
              <w:t> </w:t>
            </w:r>
          </w:p>
        </w:tc>
        <w:tc>
          <w:tcPr>
            <w:tcW w:w="990" w:type="dxa"/>
          </w:tcPr>
          <w:p w:rsidR="00F931A4" w:rsidRPr="00990D3B" w:rsidP="00BD1FC3" w14:paraId="6D56DB37" w14:textId="77777777">
            <w:pPr>
              <w:pStyle w:val="EQRTableText"/>
            </w:pPr>
            <w:r w:rsidRPr="00990D3B">
              <w:t> </w:t>
            </w:r>
          </w:p>
        </w:tc>
        <w:tc>
          <w:tcPr>
            <w:tcW w:w="3505" w:type="dxa"/>
          </w:tcPr>
          <w:p w:rsidR="00F931A4" w:rsidRPr="00990D3B" w:rsidP="00BD1FC3" w14:paraId="3824BC40" w14:textId="77777777">
            <w:pPr>
              <w:pStyle w:val="EQRTableText"/>
            </w:pPr>
            <w:r w:rsidRPr="00990D3B">
              <w:t> </w:t>
            </w:r>
          </w:p>
        </w:tc>
      </w:tr>
      <w:tr w14:paraId="26049ACC" w14:textId="77777777" w:rsidTr="00252655">
        <w:tblPrEx>
          <w:tblW w:w="5000" w:type="pct"/>
          <w:tblLayout w:type="fixed"/>
          <w:tblCellMar>
            <w:left w:w="115" w:type="dxa"/>
            <w:right w:w="115" w:type="dxa"/>
          </w:tblCellMar>
          <w:tblLook w:val="04A0"/>
        </w:tblPrEx>
        <w:trPr>
          <w:cantSplit/>
        </w:trPr>
        <w:tc>
          <w:tcPr>
            <w:tcW w:w="6565" w:type="dxa"/>
            <w:tcBorders>
              <w:top w:val="dashSmallGap" w:sz="4" w:space="0" w:color="000000" w:themeColor="text1"/>
            </w:tcBorders>
          </w:tcPr>
          <w:p w:rsidR="00F931A4" w:rsidRPr="00990D3B" w:rsidP="00252655" w14:paraId="3D1FBE5C" w14:textId="272D19C5">
            <w:pPr>
              <w:pStyle w:val="EQRTableNumber"/>
            </w:pPr>
            <w:r w:rsidRPr="00990D3B">
              <w:t>The MCP has correctly calculated member months and member years, if applicable to the performance measure</w:t>
            </w:r>
          </w:p>
        </w:tc>
        <w:tc>
          <w:tcPr>
            <w:tcW w:w="990" w:type="dxa"/>
          </w:tcPr>
          <w:p w:rsidR="00F931A4" w:rsidRPr="00990D3B" w:rsidP="00BD1FC3" w14:paraId="05D69196" w14:textId="77777777">
            <w:pPr>
              <w:pStyle w:val="EQRTableText"/>
            </w:pPr>
            <w:r w:rsidRPr="00990D3B">
              <w:t> </w:t>
            </w:r>
          </w:p>
        </w:tc>
        <w:tc>
          <w:tcPr>
            <w:tcW w:w="900" w:type="dxa"/>
          </w:tcPr>
          <w:p w:rsidR="00F931A4" w:rsidRPr="00990D3B" w:rsidP="00BD1FC3" w14:paraId="139BE9E2" w14:textId="77777777">
            <w:pPr>
              <w:pStyle w:val="EQRTableText"/>
            </w:pPr>
            <w:r w:rsidRPr="00990D3B">
              <w:t> </w:t>
            </w:r>
          </w:p>
        </w:tc>
        <w:tc>
          <w:tcPr>
            <w:tcW w:w="990" w:type="dxa"/>
          </w:tcPr>
          <w:p w:rsidR="00F931A4" w:rsidRPr="00990D3B" w:rsidP="00BD1FC3" w14:paraId="5F683407" w14:textId="77777777">
            <w:pPr>
              <w:pStyle w:val="EQRTableText"/>
            </w:pPr>
            <w:r w:rsidRPr="00990D3B">
              <w:t> </w:t>
            </w:r>
          </w:p>
        </w:tc>
        <w:tc>
          <w:tcPr>
            <w:tcW w:w="3505" w:type="dxa"/>
          </w:tcPr>
          <w:p w:rsidR="00F931A4" w:rsidRPr="00990D3B" w:rsidP="00BD1FC3" w14:paraId="3BA0E1D6" w14:textId="77777777">
            <w:pPr>
              <w:pStyle w:val="EQRTableText"/>
            </w:pPr>
            <w:r w:rsidRPr="00990D3B">
              <w:t> </w:t>
            </w:r>
          </w:p>
        </w:tc>
      </w:tr>
      <w:tr w14:paraId="05BF7261" w14:textId="77777777" w:rsidTr="00252655">
        <w:tblPrEx>
          <w:tblW w:w="5000" w:type="pct"/>
          <w:tblLayout w:type="fixed"/>
          <w:tblCellMar>
            <w:left w:w="115" w:type="dxa"/>
            <w:right w:w="115" w:type="dxa"/>
          </w:tblCellMar>
          <w:tblLook w:val="04A0"/>
        </w:tblPrEx>
        <w:trPr>
          <w:cantSplit/>
        </w:trPr>
        <w:tc>
          <w:tcPr>
            <w:tcW w:w="6565" w:type="dxa"/>
          </w:tcPr>
          <w:p w:rsidR="00F931A4" w:rsidRPr="00990D3B" w:rsidP="00BD1FC3" w14:paraId="19B34599" w14:textId="77777777">
            <w:pPr>
              <w:pStyle w:val="EQRTableText"/>
            </w:pPr>
            <w:r w:rsidRPr="00990D3B">
              <w:rPr>
                <w:b/>
              </w:rPr>
              <w:t>Identifying medical events.</w:t>
            </w:r>
            <w:r w:rsidRPr="00990D3B">
              <w:t xml:space="preserve"> The MCP has properly evaluated the completeness and accuracy of any </w:t>
            </w:r>
            <w:r w:rsidRPr="00990D3B">
              <w:t>codes</w:t>
            </w:r>
            <w:r w:rsidRPr="00990D3B">
              <w:t xml:space="preserve"> used to identify medical events, such as diagnoses, procedures, or prescriptions, and these codes have been appropriately identified and applied as specified in each performance measure.</w:t>
            </w:r>
          </w:p>
        </w:tc>
        <w:tc>
          <w:tcPr>
            <w:tcW w:w="990" w:type="dxa"/>
            <w:tcBorders>
              <w:bottom w:val="single" w:sz="4" w:space="0" w:color="000000" w:themeColor="text1"/>
            </w:tcBorders>
          </w:tcPr>
          <w:p w:rsidR="00F931A4" w:rsidRPr="00990D3B" w:rsidP="00BD1FC3" w14:paraId="0D81CEFC" w14:textId="77777777">
            <w:pPr>
              <w:pStyle w:val="EQRTableText"/>
            </w:pPr>
            <w:r w:rsidRPr="00990D3B">
              <w:t> </w:t>
            </w:r>
          </w:p>
        </w:tc>
        <w:tc>
          <w:tcPr>
            <w:tcW w:w="900" w:type="dxa"/>
            <w:tcBorders>
              <w:bottom w:val="single" w:sz="4" w:space="0" w:color="000000" w:themeColor="text1"/>
            </w:tcBorders>
          </w:tcPr>
          <w:p w:rsidR="00F931A4" w:rsidRPr="00990D3B" w:rsidP="00BD1FC3" w14:paraId="47EE4933" w14:textId="77777777">
            <w:pPr>
              <w:pStyle w:val="EQRTableText"/>
            </w:pPr>
            <w:r w:rsidRPr="00990D3B">
              <w:t> </w:t>
            </w:r>
          </w:p>
        </w:tc>
        <w:tc>
          <w:tcPr>
            <w:tcW w:w="990" w:type="dxa"/>
            <w:tcBorders>
              <w:bottom w:val="single" w:sz="4" w:space="0" w:color="000000" w:themeColor="text1"/>
            </w:tcBorders>
          </w:tcPr>
          <w:p w:rsidR="00F931A4" w:rsidRPr="00990D3B" w:rsidP="00BD1FC3" w14:paraId="1B7B1773" w14:textId="77777777">
            <w:pPr>
              <w:pStyle w:val="EQRTableText"/>
            </w:pPr>
            <w:r w:rsidRPr="00990D3B">
              <w:t> </w:t>
            </w:r>
          </w:p>
        </w:tc>
        <w:tc>
          <w:tcPr>
            <w:tcW w:w="3505" w:type="dxa"/>
          </w:tcPr>
          <w:p w:rsidR="00F931A4" w:rsidRPr="00990D3B" w:rsidP="00BD1FC3" w14:paraId="5C3F5C29" w14:textId="77777777">
            <w:pPr>
              <w:pStyle w:val="EQRTableText"/>
            </w:pPr>
            <w:r w:rsidRPr="00990D3B">
              <w:t> </w:t>
            </w:r>
          </w:p>
        </w:tc>
      </w:tr>
      <w:tr w14:paraId="102DC45D" w14:textId="77777777" w:rsidTr="00252655">
        <w:tblPrEx>
          <w:tblW w:w="5000" w:type="pct"/>
          <w:tblLayout w:type="fixed"/>
          <w:tblCellMar>
            <w:left w:w="115" w:type="dxa"/>
            <w:right w:w="115" w:type="dxa"/>
          </w:tblCellMar>
          <w:tblLook w:val="04A0"/>
        </w:tblPrEx>
        <w:trPr>
          <w:cantSplit/>
        </w:trPr>
        <w:tc>
          <w:tcPr>
            <w:tcW w:w="6565" w:type="dxa"/>
          </w:tcPr>
          <w:p w:rsidR="00F931A4" w:rsidRPr="00990D3B" w:rsidP="00BD1FC3" w14:paraId="1C93B2C8" w14:textId="77777777">
            <w:pPr>
              <w:pStyle w:val="EQRTableText"/>
            </w:pPr>
            <w:r w:rsidRPr="00990D3B">
              <w:rPr>
                <w:b/>
              </w:rPr>
              <w:t>Time parameters.</w:t>
            </w:r>
            <w:r w:rsidRPr="00990D3B">
              <w:t xml:space="preserve"> Any time parameters required by the performance measure specification were followed by the MCP (e.g., </w:t>
            </w:r>
            <w:r w:rsidRPr="00990D3B">
              <w:t>cut off</w:t>
            </w:r>
            <w:r w:rsidRPr="00990D3B">
              <w:t xml:space="preserve"> dates for data collection, counting 30 calendar days after discharge from a hospital).</w:t>
            </w:r>
          </w:p>
        </w:tc>
        <w:tc>
          <w:tcPr>
            <w:tcW w:w="990" w:type="dxa"/>
            <w:tcBorders>
              <w:bottom w:val="single" w:sz="4" w:space="0" w:color="000000" w:themeColor="text1"/>
            </w:tcBorders>
          </w:tcPr>
          <w:p w:rsidR="00F931A4" w:rsidRPr="00990D3B" w:rsidP="00BD1FC3" w14:paraId="693E5754" w14:textId="77777777">
            <w:pPr>
              <w:pStyle w:val="EQRTableText"/>
            </w:pPr>
            <w:r w:rsidRPr="00990D3B">
              <w:t> </w:t>
            </w:r>
          </w:p>
        </w:tc>
        <w:tc>
          <w:tcPr>
            <w:tcW w:w="900" w:type="dxa"/>
            <w:tcBorders>
              <w:bottom w:val="single" w:sz="4" w:space="0" w:color="000000" w:themeColor="text1"/>
            </w:tcBorders>
          </w:tcPr>
          <w:p w:rsidR="00F931A4" w:rsidRPr="00990D3B" w:rsidP="00BD1FC3" w14:paraId="17A925F5" w14:textId="77777777">
            <w:pPr>
              <w:pStyle w:val="EQRTableText"/>
            </w:pPr>
            <w:r w:rsidRPr="00990D3B">
              <w:t> </w:t>
            </w:r>
          </w:p>
        </w:tc>
        <w:tc>
          <w:tcPr>
            <w:tcW w:w="990" w:type="dxa"/>
            <w:tcBorders>
              <w:bottom w:val="single" w:sz="4" w:space="0" w:color="000000" w:themeColor="text1"/>
            </w:tcBorders>
          </w:tcPr>
          <w:p w:rsidR="00F931A4" w:rsidRPr="00990D3B" w:rsidP="00BD1FC3" w14:paraId="4F21E5D2" w14:textId="77777777">
            <w:pPr>
              <w:pStyle w:val="EQRTableText"/>
            </w:pPr>
            <w:r w:rsidRPr="00990D3B">
              <w:t> </w:t>
            </w:r>
          </w:p>
        </w:tc>
        <w:tc>
          <w:tcPr>
            <w:tcW w:w="3505" w:type="dxa"/>
          </w:tcPr>
          <w:p w:rsidR="00F931A4" w:rsidRPr="00990D3B" w:rsidP="00BD1FC3" w14:paraId="627A7D82" w14:textId="77777777">
            <w:pPr>
              <w:pStyle w:val="EQRTableText"/>
            </w:pPr>
            <w:r w:rsidRPr="00990D3B">
              <w:t> </w:t>
            </w:r>
          </w:p>
        </w:tc>
      </w:tr>
      <w:tr w14:paraId="185F54C1" w14:textId="77777777" w:rsidTr="00252655">
        <w:tblPrEx>
          <w:tblW w:w="5000" w:type="pct"/>
          <w:tblLayout w:type="fixed"/>
          <w:tblCellMar>
            <w:left w:w="115" w:type="dxa"/>
            <w:right w:w="115" w:type="dxa"/>
          </w:tblCellMar>
          <w:tblLook w:val="04A0"/>
        </w:tblPrEx>
        <w:trPr>
          <w:cantSplit/>
        </w:trPr>
        <w:tc>
          <w:tcPr>
            <w:tcW w:w="6565" w:type="dxa"/>
          </w:tcPr>
          <w:p w:rsidR="00F931A4" w:rsidRPr="00990D3B" w:rsidP="00BD1FC3" w14:paraId="46D2D8FC" w14:textId="6E67641A">
            <w:pPr>
              <w:pStyle w:val="EQRTableText"/>
            </w:pPr>
            <w:r w:rsidRPr="00990D3B">
              <w:rPr>
                <w:b/>
              </w:rPr>
              <w:t>Exclusion criteria.</w:t>
            </w:r>
            <w:r w:rsidRPr="00990D3B">
              <w:t xml:space="preserve"> Performance measure specifications or definitions that exclude </w:t>
            </w:r>
            <w:r w:rsidRPr="00990D3B" w:rsidR="00727834">
              <w:t>enrollees</w:t>
            </w:r>
            <w:r w:rsidRPr="00990D3B">
              <w:t xml:space="preserve"> from a denominator were followed. (For example, if a measure relates to receipt of a specific service, the denominator may need to be adjusted to reflect instances in which the patient refuses the service or the service is contraindicated.)</w:t>
            </w:r>
          </w:p>
        </w:tc>
        <w:tc>
          <w:tcPr>
            <w:tcW w:w="990" w:type="dxa"/>
            <w:tcBorders>
              <w:bottom w:val="single" w:sz="4" w:space="0" w:color="000000" w:themeColor="text1"/>
            </w:tcBorders>
          </w:tcPr>
          <w:p w:rsidR="00F931A4" w:rsidRPr="00990D3B" w:rsidP="00BD1FC3" w14:paraId="21DB140A" w14:textId="77777777">
            <w:pPr>
              <w:pStyle w:val="EQRTableText"/>
            </w:pPr>
            <w:r w:rsidRPr="00990D3B">
              <w:t> </w:t>
            </w:r>
          </w:p>
        </w:tc>
        <w:tc>
          <w:tcPr>
            <w:tcW w:w="900" w:type="dxa"/>
            <w:tcBorders>
              <w:bottom w:val="single" w:sz="4" w:space="0" w:color="000000" w:themeColor="text1"/>
            </w:tcBorders>
          </w:tcPr>
          <w:p w:rsidR="00F931A4" w:rsidRPr="00990D3B" w:rsidP="00BD1FC3" w14:paraId="6C9C8AF6" w14:textId="77777777">
            <w:pPr>
              <w:pStyle w:val="EQRTableText"/>
            </w:pPr>
            <w:r w:rsidRPr="00990D3B">
              <w:t> </w:t>
            </w:r>
          </w:p>
        </w:tc>
        <w:tc>
          <w:tcPr>
            <w:tcW w:w="990" w:type="dxa"/>
            <w:tcBorders>
              <w:bottom w:val="single" w:sz="4" w:space="0" w:color="000000" w:themeColor="text1"/>
            </w:tcBorders>
          </w:tcPr>
          <w:p w:rsidR="00F931A4" w:rsidRPr="00990D3B" w:rsidP="00BD1FC3" w14:paraId="4C8BFC92" w14:textId="77777777">
            <w:pPr>
              <w:pStyle w:val="EQRTableText"/>
            </w:pPr>
            <w:r w:rsidRPr="00990D3B">
              <w:t> </w:t>
            </w:r>
          </w:p>
        </w:tc>
        <w:tc>
          <w:tcPr>
            <w:tcW w:w="3505" w:type="dxa"/>
          </w:tcPr>
          <w:p w:rsidR="00F931A4" w:rsidRPr="00990D3B" w:rsidP="00BD1FC3" w14:paraId="31655AF6" w14:textId="77777777">
            <w:pPr>
              <w:pStyle w:val="EQRTableText"/>
            </w:pPr>
            <w:r w:rsidRPr="00990D3B">
              <w:t> </w:t>
            </w:r>
          </w:p>
        </w:tc>
      </w:tr>
      <w:tr w14:paraId="36077441" w14:textId="77777777" w:rsidTr="00252655">
        <w:tblPrEx>
          <w:tblW w:w="5000" w:type="pct"/>
          <w:tblLayout w:type="fixed"/>
          <w:tblCellMar>
            <w:left w:w="115" w:type="dxa"/>
            <w:right w:w="115" w:type="dxa"/>
          </w:tblCellMar>
          <w:tblLook w:val="04A0"/>
        </w:tblPrEx>
        <w:trPr>
          <w:cantSplit/>
        </w:trPr>
        <w:tc>
          <w:tcPr>
            <w:tcW w:w="6565" w:type="dxa"/>
          </w:tcPr>
          <w:p w:rsidR="00F931A4" w:rsidRPr="00990D3B" w:rsidP="00BD1FC3" w14:paraId="1C432B3C" w14:textId="77777777">
            <w:pPr>
              <w:pStyle w:val="EQRTableText"/>
            </w:pPr>
            <w:r w:rsidRPr="00990D3B">
              <w:rPr>
                <w:b/>
              </w:rPr>
              <w:t>Population estimates.</w:t>
            </w:r>
            <w:r w:rsidRPr="00990D3B">
              <w:t xml:space="preserve"> Systems or methods used by the MCP to estimate populations when they cannot be accurately or completely counted (e.g., newborns) are valid.</w:t>
            </w:r>
          </w:p>
        </w:tc>
        <w:tc>
          <w:tcPr>
            <w:tcW w:w="990" w:type="dxa"/>
            <w:tcBorders>
              <w:bottom w:val="single" w:sz="4" w:space="0" w:color="000000" w:themeColor="text1"/>
            </w:tcBorders>
          </w:tcPr>
          <w:p w:rsidR="00F931A4" w:rsidRPr="00990D3B" w:rsidP="00BD1FC3" w14:paraId="57DE5C56" w14:textId="77777777">
            <w:pPr>
              <w:pStyle w:val="EQRTableText"/>
            </w:pPr>
            <w:r w:rsidRPr="00990D3B">
              <w:t> </w:t>
            </w:r>
          </w:p>
        </w:tc>
        <w:tc>
          <w:tcPr>
            <w:tcW w:w="900" w:type="dxa"/>
            <w:tcBorders>
              <w:bottom w:val="single" w:sz="4" w:space="0" w:color="000000" w:themeColor="text1"/>
            </w:tcBorders>
          </w:tcPr>
          <w:p w:rsidR="00F931A4" w:rsidRPr="00990D3B" w:rsidP="00BD1FC3" w14:paraId="08892A49" w14:textId="77777777">
            <w:pPr>
              <w:pStyle w:val="EQRTableText"/>
            </w:pPr>
            <w:r w:rsidRPr="00990D3B">
              <w:t> </w:t>
            </w:r>
          </w:p>
        </w:tc>
        <w:tc>
          <w:tcPr>
            <w:tcW w:w="990" w:type="dxa"/>
            <w:tcBorders>
              <w:bottom w:val="single" w:sz="4" w:space="0" w:color="000000" w:themeColor="text1"/>
            </w:tcBorders>
          </w:tcPr>
          <w:p w:rsidR="00F931A4" w:rsidRPr="00990D3B" w:rsidP="00BD1FC3" w14:paraId="1127DA3C" w14:textId="77777777">
            <w:pPr>
              <w:pStyle w:val="EQRTableText"/>
            </w:pPr>
            <w:r w:rsidRPr="00990D3B">
              <w:t> </w:t>
            </w:r>
          </w:p>
        </w:tc>
        <w:tc>
          <w:tcPr>
            <w:tcW w:w="3505" w:type="dxa"/>
          </w:tcPr>
          <w:p w:rsidR="00F931A4" w:rsidRPr="00990D3B" w:rsidP="00BD1FC3" w14:paraId="40EBED9D" w14:textId="77777777">
            <w:pPr>
              <w:pStyle w:val="EQRTableText"/>
            </w:pPr>
            <w:r w:rsidRPr="00990D3B">
              <w:t> </w:t>
            </w:r>
          </w:p>
        </w:tc>
      </w:tr>
      <w:tr w14:paraId="47DFA39C" w14:textId="77777777" w:rsidTr="00252655">
        <w:tblPrEx>
          <w:tblW w:w="5000" w:type="pct"/>
          <w:tblLayout w:type="fixed"/>
          <w:tblCellMar>
            <w:left w:w="115" w:type="dxa"/>
            <w:right w:w="115" w:type="dxa"/>
          </w:tblCellMar>
          <w:tblLook w:val="04A0"/>
        </w:tblPrEx>
        <w:trPr>
          <w:cantSplit/>
        </w:trPr>
        <w:tc>
          <w:tcPr>
            <w:tcW w:w="6565" w:type="dxa"/>
          </w:tcPr>
          <w:p w:rsidR="00F931A4" w:rsidRPr="00990D3B" w:rsidP="00BD1FC3" w14:paraId="5703C1BF" w14:textId="77777777">
            <w:pPr>
              <w:pStyle w:val="EQRTableText"/>
            </w:pPr>
            <w:r w:rsidRPr="00990D3B">
              <w:rPr>
                <w:b/>
              </w:rPr>
              <w:t>Identifying the at-risk population.</w:t>
            </w:r>
            <w:r w:rsidRPr="00990D3B">
              <w:t xml:space="preserve"> The MCP has used the appropriate data, including linked data from separate data sets, to identify the entire at-risk population.</w:t>
            </w:r>
          </w:p>
        </w:tc>
        <w:tc>
          <w:tcPr>
            <w:tcW w:w="990" w:type="dxa"/>
          </w:tcPr>
          <w:p w:rsidR="00F931A4" w:rsidRPr="00990D3B" w:rsidP="00BD1FC3" w14:paraId="462C97F3" w14:textId="77777777">
            <w:pPr>
              <w:pStyle w:val="EQRTableText"/>
            </w:pPr>
            <w:r w:rsidRPr="00990D3B">
              <w:t> </w:t>
            </w:r>
          </w:p>
        </w:tc>
        <w:tc>
          <w:tcPr>
            <w:tcW w:w="900" w:type="dxa"/>
          </w:tcPr>
          <w:p w:rsidR="00F931A4" w:rsidRPr="00990D3B" w:rsidP="00BD1FC3" w14:paraId="37CE1DC5" w14:textId="77777777">
            <w:pPr>
              <w:pStyle w:val="EQRTableText"/>
            </w:pPr>
            <w:r w:rsidRPr="00990D3B">
              <w:t> </w:t>
            </w:r>
          </w:p>
        </w:tc>
        <w:tc>
          <w:tcPr>
            <w:tcW w:w="990" w:type="dxa"/>
          </w:tcPr>
          <w:p w:rsidR="00F931A4" w:rsidRPr="00990D3B" w:rsidP="00BD1FC3" w14:paraId="7958D5E5" w14:textId="77777777">
            <w:pPr>
              <w:pStyle w:val="EQRTableText"/>
            </w:pPr>
            <w:r w:rsidRPr="00990D3B">
              <w:t> </w:t>
            </w:r>
          </w:p>
        </w:tc>
        <w:tc>
          <w:tcPr>
            <w:tcW w:w="3505" w:type="dxa"/>
          </w:tcPr>
          <w:p w:rsidR="00F931A4" w:rsidRPr="00990D3B" w:rsidP="00BD1FC3" w14:paraId="6012AF65" w14:textId="77777777">
            <w:pPr>
              <w:pStyle w:val="EQRTableText"/>
            </w:pPr>
            <w:r w:rsidRPr="00990D3B">
              <w:t> </w:t>
            </w:r>
          </w:p>
        </w:tc>
      </w:tr>
      <w:tr w14:paraId="2260C411" w14:textId="77777777" w:rsidTr="00252655">
        <w:tblPrEx>
          <w:tblW w:w="5000" w:type="pct"/>
          <w:tblLayout w:type="fixed"/>
          <w:tblCellMar>
            <w:left w:w="115" w:type="dxa"/>
            <w:right w:w="115" w:type="dxa"/>
          </w:tblCellMar>
          <w:tblLook w:val="04A0"/>
        </w:tblPrEx>
        <w:trPr>
          <w:cantSplit/>
        </w:trPr>
        <w:tc>
          <w:tcPr>
            <w:tcW w:w="6565" w:type="dxa"/>
            <w:tcBorders>
              <w:bottom w:val="single" w:sz="4" w:space="0" w:color="000000" w:themeColor="text1"/>
            </w:tcBorders>
          </w:tcPr>
          <w:p w:rsidR="00F931A4" w:rsidRPr="00990D3B" w:rsidP="00BD1FC3" w14:paraId="6994836B" w14:textId="0F78195B">
            <w:pPr>
              <w:pStyle w:val="EQRTableText"/>
            </w:pPr>
            <w:r w:rsidRPr="00990D3B">
              <w:rPr>
                <w:b/>
              </w:rPr>
              <w:t>Services provided outside the MCP.</w:t>
            </w:r>
            <w:r w:rsidRPr="00990D3B">
              <w:t xml:space="preserve"> The MCP has adopted and followed procedures to capture data for those performance measures that could be easily under-reported due to the availability of services outside the MCP. (</w:t>
            </w:r>
            <w:r w:rsidRPr="00990D3B">
              <w:rPr>
                <w:bCs/>
                <w:lang w:bidi="en-US"/>
              </w:rPr>
              <w:t xml:space="preserve">For some measures, particularly those focused on women and children, the </w:t>
            </w:r>
            <w:r w:rsidRPr="00990D3B" w:rsidR="002F4DD4">
              <w:rPr>
                <w:bCs/>
                <w:lang w:bidi="en-US"/>
              </w:rPr>
              <w:t>enrollee</w:t>
            </w:r>
            <w:r w:rsidRPr="00990D3B">
              <w:rPr>
                <w:bCs/>
                <w:lang w:bidi="en-US"/>
              </w:rPr>
              <w:t xml:space="preserve"> may have received the specified service outside of the MCP provider base, such as children receiving immunizations through public health services or schools, access to family planning services. An extra effort must be made to include these events in the numerator.)</w:t>
            </w:r>
          </w:p>
        </w:tc>
        <w:tc>
          <w:tcPr>
            <w:tcW w:w="990" w:type="dxa"/>
            <w:tcBorders>
              <w:bottom w:val="single" w:sz="4" w:space="0" w:color="000000" w:themeColor="text1"/>
            </w:tcBorders>
          </w:tcPr>
          <w:p w:rsidR="00F931A4" w:rsidRPr="00990D3B" w:rsidP="00BD1FC3" w14:paraId="0182815B" w14:textId="77777777">
            <w:pPr>
              <w:pStyle w:val="EQRTableText"/>
            </w:pPr>
            <w:r w:rsidRPr="00990D3B">
              <w:t> </w:t>
            </w:r>
          </w:p>
        </w:tc>
        <w:tc>
          <w:tcPr>
            <w:tcW w:w="900" w:type="dxa"/>
            <w:tcBorders>
              <w:bottom w:val="single" w:sz="4" w:space="0" w:color="000000" w:themeColor="text1"/>
            </w:tcBorders>
          </w:tcPr>
          <w:p w:rsidR="00F931A4" w:rsidRPr="00990D3B" w:rsidP="00BD1FC3" w14:paraId="06A93F9A" w14:textId="77777777">
            <w:pPr>
              <w:pStyle w:val="EQRTableText"/>
            </w:pPr>
            <w:r w:rsidRPr="00990D3B">
              <w:t> </w:t>
            </w:r>
          </w:p>
        </w:tc>
        <w:tc>
          <w:tcPr>
            <w:tcW w:w="990" w:type="dxa"/>
            <w:tcBorders>
              <w:bottom w:val="single" w:sz="4" w:space="0" w:color="000000" w:themeColor="text1"/>
            </w:tcBorders>
          </w:tcPr>
          <w:p w:rsidR="00F931A4" w:rsidRPr="00990D3B" w:rsidP="00BD1FC3" w14:paraId="25F9AB9F" w14:textId="77777777">
            <w:pPr>
              <w:pStyle w:val="EQRTableText"/>
            </w:pPr>
            <w:r w:rsidRPr="00990D3B">
              <w:t> </w:t>
            </w:r>
          </w:p>
        </w:tc>
        <w:tc>
          <w:tcPr>
            <w:tcW w:w="3505" w:type="dxa"/>
          </w:tcPr>
          <w:p w:rsidR="00F931A4" w:rsidRPr="00990D3B" w:rsidP="00BD1FC3" w14:paraId="7639CC55" w14:textId="77777777">
            <w:pPr>
              <w:pStyle w:val="EQRTableText"/>
            </w:pPr>
            <w:r w:rsidRPr="00990D3B">
              <w:t> </w:t>
            </w:r>
          </w:p>
        </w:tc>
      </w:tr>
      <w:tr w14:paraId="4BEF2455" w14:textId="77777777" w:rsidTr="00252655">
        <w:tblPrEx>
          <w:tblW w:w="5000" w:type="pct"/>
          <w:tblLayout w:type="fixed"/>
          <w:tblCellMar>
            <w:left w:w="115" w:type="dxa"/>
            <w:right w:w="115" w:type="dxa"/>
          </w:tblCellMar>
          <w:tblLook w:val="04A0"/>
        </w:tblPrEx>
        <w:trPr>
          <w:cantSplit/>
        </w:trPr>
        <w:tc>
          <w:tcPr>
            <w:tcW w:w="6565" w:type="dxa"/>
            <w:tcBorders>
              <w:bottom w:val="dashSmallGap" w:sz="4" w:space="0" w:color="000000" w:themeColor="text1"/>
            </w:tcBorders>
          </w:tcPr>
          <w:p w:rsidR="00F931A4" w:rsidRPr="00990D3B" w:rsidP="00BD1FC3" w14:paraId="754E80B0" w14:textId="77777777">
            <w:pPr>
              <w:pStyle w:val="EQRTableText"/>
            </w:pPr>
            <w:r w:rsidRPr="00990D3B">
              <w:rPr>
                <w:b/>
              </w:rPr>
              <w:t>Inclusion of qualifying medical events.</w:t>
            </w:r>
            <w:r w:rsidRPr="00990D3B">
              <w:t xml:space="preserve"> The MCP’s use of codes to identify medical events (e.g., diagnoses, procedures, prescriptions) are complete, accurate, and specific in correctly describing what transpired and when. This included:</w:t>
            </w:r>
          </w:p>
        </w:tc>
        <w:tc>
          <w:tcPr>
            <w:tcW w:w="990" w:type="dxa"/>
          </w:tcPr>
          <w:p w:rsidR="00F931A4" w:rsidRPr="00990D3B" w:rsidP="00BD1FC3" w14:paraId="5FABC8D6" w14:textId="77777777">
            <w:pPr>
              <w:pStyle w:val="EQRTableText"/>
            </w:pPr>
            <w:r w:rsidRPr="00990D3B">
              <w:t> </w:t>
            </w:r>
          </w:p>
        </w:tc>
        <w:tc>
          <w:tcPr>
            <w:tcW w:w="900" w:type="dxa"/>
          </w:tcPr>
          <w:p w:rsidR="00F931A4" w:rsidRPr="00990D3B" w:rsidP="00BD1FC3" w14:paraId="5C449EF8" w14:textId="77777777">
            <w:pPr>
              <w:pStyle w:val="EQRTableText"/>
            </w:pPr>
            <w:r w:rsidRPr="00990D3B">
              <w:t> </w:t>
            </w:r>
          </w:p>
        </w:tc>
        <w:tc>
          <w:tcPr>
            <w:tcW w:w="990" w:type="dxa"/>
          </w:tcPr>
          <w:p w:rsidR="00F931A4" w:rsidRPr="00990D3B" w:rsidP="00BD1FC3" w14:paraId="4F937925" w14:textId="77777777">
            <w:pPr>
              <w:pStyle w:val="EQRTableText"/>
            </w:pPr>
            <w:r w:rsidRPr="00990D3B">
              <w:t> </w:t>
            </w:r>
          </w:p>
        </w:tc>
        <w:tc>
          <w:tcPr>
            <w:tcW w:w="3505" w:type="dxa"/>
          </w:tcPr>
          <w:p w:rsidR="00F931A4" w:rsidRPr="00990D3B" w:rsidP="00BD1FC3" w14:paraId="679B4D3E" w14:textId="77777777">
            <w:pPr>
              <w:pStyle w:val="EQRTableText"/>
            </w:pPr>
            <w:r w:rsidRPr="00990D3B">
              <w:t> </w:t>
            </w:r>
          </w:p>
        </w:tc>
      </w:tr>
      <w:tr w14:paraId="71E344B0" w14:textId="77777777" w:rsidTr="00252655">
        <w:tblPrEx>
          <w:tblW w:w="5000" w:type="pct"/>
          <w:tblLayout w:type="fixed"/>
          <w:tblCellMar>
            <w:left w:w="115" w:type="dxa"/>
            <w:right w:w="115" w:type="dxa"/>
          </w:tblCellMar>
          <w:tblLook w:val="04A0"/>
        </w:tblPrEx>
        <w:trPr>
          <w:cantSplit/>
        </w:trPr>
        <w:tc>
          <w:tcPr>
            <w:tcW w:w="6565" w:type="dxa"/>
            <w:tcBorders>
              <w:top w:val="dashSmallGap" w:sz="4" w:space="0" w:color="000000" w:themeColor="text1"/>
              <w:bottom w:val="dashSmallGap" w:sz="4" w:space="0" w:color="000000" w:themeColor="text1"/>
            </w:tcBorders>
          </w:tcPr>
          <w:p w:rsidR="00F931A4" w:rsidRPr="00990D3B" w:rsidP="002D35CF" w14:paraId="30519E6E" w14:textId="71C91C37">
            <w:pPr>
              <w:pStyle w:val="EQRTableNumber"/>
              <w:numPr>
                <w:ilvl w:val="0"/>
                <w:numId w:val="68"/>
              </w:numPr>
            </w:pPr>
            <w:r w:rsidRPr="00990D3B">
              <w:t xml:space="preserve">The MCP correctly evaluated medical event codes when classifying </w:t>
            </w:r>
            <w:r w:rsidRPr="00990D3B" w:rsidR="00727834">
              <w:t>enrollees</w:t>
            </w:r>
            <w:r w:rsidRPr="00990D3B">
              <w:t xml:space="preserve"> for inclusion or exclusion in the numerator</w:t>
            </w:r>
          </w:p>
        </w:tc>
        <w:tc>
          <w:tcPr>
            <w:tcW w:w="990" w:type="dxa"/>
          </w:tcPr>
          <w:p w:rsidR="00F931A4" w:rsidRPr="00990D3B" w:rsidP="00BD1FC3" w14:paraId="4637BBBA" w14:textId="77777777">
            <w:pPr>
              <w:pStyle w:val="EQRTableText"/>
            </w:pPr>
            <w:r w:rsidRPr="00990D3B">
              <w:t> </w:t>
            </w:r>
          </w:p>
        </w:tc>
        <w:tc>
          <w:tcPr>
            <w:tcW w:w="900" w:type="dxa"/>
          </w:tcPr>
          <w:p w:rsidR="00F931A4" w:rsidRPr="00990D3B" w:rsidP="00BD1FC3" w14:paraId="63299946" w14:textId="77777777">
            <w:pPr>
              <w:pStyle w:val="EQRTableText"/>
            </w:pPr>
            <w:r w:rsidRPr="00990D3B">
              <w:t> </w:t>
            </w:r>
          </w:p>
        </w:tc>
        <w:tc>
          <w:tcPr>
            <w:tcW w:w="990" w:type="dxa"/>
          </w:tcPr>
          <w:p w:rsidR="00F931A4" w:rsidRPr="00990D3B" w:rsidP="00BD1FC3" w14:paraId="4DE9EFF1" w14:textId="77777777">
            <w:pPr>
              <w:pStyle w:val="EQRTableText"/>
            </w:pPr>
            <w:r w:rsidRPr="00990D3B">
              <w:t> </w:t>
            </w:r>
          </w:p>
        </w:tc>
        <w:tc>
          <w:tcPr>
            <w:tcW w:w="3505" w:type="dxa"/>
          </w:tcPr>
          <w:p w:rsidR="00F931A4" w:rsidRPr="00990D3B" w:rsidP="00BD1FC3" w14:paraId="22A6BE67" w14:textId="77777777">
            <w:pPr>
              <w:pStyle w:val="EQRTableText"/>
            </w:pPr>
            <w:r w:rsidRPr="00990D3B">
              <w:t> </w:t>
            </w:r>
          </w:p>
        </w:tc>
      </w:tr>
      <w:tr w14:paraId="7CE86747" w14:textId="77777777" w:rsidTr="00252655">
        <w:tblPrEx>
          <w:tblW w:w="5000" w:type="pct"/>
          <w:tblLayout w:type="fixed"/>
          <w:tblCellMar>
            <w:left w:w="115" w:type="dxa"/>
            <w:right w:w="115" w:type="dxa"/>
          </w:tblCellMar>
          <w:tblLook w:val="04A0"/>
        </w:tblPrEx>
        <w:trPr>
          <w:cantSplit/>
        </w:trPr>
        <w:tc>
          <w:tcPr>
            <w:tcW w:w="6565" w:type="dxa"/>
            <w:tcBorders>
              <w:top w:val="dashSmallGap" w:sz="4" w:space="0" w:color="000000" w:themeColor="text1"/>
              <w:bottom w:val="dashSmallGap" w:sz="4" w:space="0" w:color="000000" w:themeColor="text1"/>
            </w:tcBorders>
          </w:tcPr>
          <w:p w:rsidR="00F931A4" w:rsidRPr="00990D3B" w:rsidP="00252655" w14:paraId="36CF1AE2" w14:textId="4981CDA3">
            <w:pPr>
              <w:pStyle w:val="EQRTableNumber"/>
            </w:pPr>
            <w:r w:rsidRPr="00990D3B">
              <w:t xml:space="preserve">The MCP avoided or eliminated all double-counted </w:t>
            </w:r>
            <w:r w:rsidRPr="00990D3B" w:rsidR="00727834">
              <w:t>enrollees</w:t>
            </w:r>
            <w:r w:rsidRPr="00990D3B">
              <w:t xml:space="preserve"> or numerator events</w:t>
            </w:r>
          </w:p>
        </w:tc>
        <w:tc>
          <w:tcPr>
            <w:tcW w:w="990" w:type="dxa"/>
          </w:tcPr>
          <w:p w:rsidR="00F931A4" w:rsidRPr="00990D3B" w:rsidP="00BD1FC3" w14:paraId="42472F30" w14:textId="77777777">
            <w:pPr>
              <w:pStyle w:val="EQRTableText"/>
            </w:pPr>
            <w:r w:rsidRPr="00990D3B">
              <w:t> </w:t>
            </w:r>
          </w:p>
        </w:tc>
        <w:tc>
          <w:tcPr>
            <w:tcW w:w="900" w:type="dxa"/>
          </w:tcPr>
          <w:p w:rsidR="00F931A4" w:rsidRPr="00990D3B" w:rsidP="00BD1FC3" w14:paraId="3FEA0B2C" w14:textId="77777777">
            <w:pPr>
              <w:pStyle w:val="EQRTableText"/>
            </w:pPr>
            <w:r w:rsidRPr="00990D3B">
              <w:t> </w:t>
            </w:r>
          </w:p>
        </w:tc>
        <w:tc>
          <w:tcPr>
            <w:tcW w:w="990" w:type="dxa"/>
          </w:tcPr>
          <w:p w:rsidR="00F931A4" w:rsidRPr="00990D3B" w:rsidP="00BD1FC3" w14:paraId="10BB5C72" w14:textId="77777777">
            <w:pPr>
              <w:pStyle w:val="EQRTableText"/>
            </w:pPr>
            <w:r w:rsidRPr="00990D3B">
              <w:t> </w:t>
            </w:r>
          </w:p>
        </w:tc>
        <w:tc>
          <w:tcPr>
            <w:tcW w:w="3505" w:type="dxa"/>
          </w:tcPr>
          <w:p w:rsidR="00F931A4" w:rsidRPr="00990D3B" w:rsidP="00BD1FC3" w14:paraId="7ED6437F" w14:textId="77777777">
            <w:pPr>
              <w:pStyle w:val="EQRTableText"/>
            </w:pPr>
            <w:r w:rsidRPr="00990D3B">
              <w:t> </w:t>
            </w:r>
          </w:p>
        </w:tc>
      </w:tr>
      <w:tr w14:paraId="3F5F6C7C" w14:textId="77777777" w:rsidTr="00252655">
        <w:tblPrEx>
          <w:tblW w:w="5000" w:type="pct"/>
          <w:tblLayout w:type="fixed"/>
          <w:tblCellMar>
            <w:left w:w="115" w:type="dxa"/>
            <w:right w:w="115" w:type="dxa"/>
          </w:tblCellMar>
          <w:tblLook w:val="04A0"/>
        </w:tblPrEx>
        <w:trPr>
          <w:cantSplit/>
        </w:trPr>
        <w:tc>
          <w:tcPr>
            <w:tcW w:w="6565" w:type="dxa"/>
            <w:tcBorders>
              <w:top w:val="dashSmallGap" w:sz="4" w:space="0" w:color="000000" w:themeColor="text1"/>
              <w:bottom w:val="dashSmallGap" w:sz="4" w:space="0" w:color="000000" w:themeColor="text1"/>
            </w:tcBorders>
          </w:tcPr>
          <w:p w:rsidR="00F931A4" w:rsidRPr="00990D3B" w:rsidP="00252655" w14:paraId="7ACF10A4" w14:textId="20547E71">
            <w:pPr>
              <w:pStyle w:val="EQRTableNumber"/>
            </w:pPr>
            <w:r w:rsidRPr="00990D3B">
              <w:t xml:space="preserve">The MCP mapped any non-standard </w:t>
            </w:r>
            <w:r w:rsidRPr="00990D3B">
              <w:t>codes</w:t>
            </w:r>
            <w:r w:rsidRPr="00990D3B">
              <w:t xml:space="preserve"> used in determining the numerator in a manner that is consistent, complete, and reproducible. The EQRO assesses this through a review of the programming logic or a demonstration of the program</w:t>
            </w:r>
          </w:p>
        </w:tc>
        <w:tc>
          <w:tcPr>
            <w:tcW w:w="990" w:type="dxa"/>
          </w:tcPr>
          <w:p w:rsidR="00F931A4" w:rsidRPr="00990D3B" w:rsidP="00BD1FC3" w14:paraId="74BE5B89" w14:textId="77777777">
            <w:pPr>
              <w:pStyle w:val="EQRTableText"/>
            </w:pPr>
            <w:r w:rsidRPr="00990D3B">
              <w:t> </w:t>
            </w:r>
          </w:p>
        </w:tc>
        <w:tc>
          <w:tcPr>
            <w:tcW w:w="900" w:type="dxa"/>
          </w:tcPr>
          <w:p w:rsidR="00F931A4" w:rsidRPr="00990D3B" w:rsidP="00BD1FC3" w14:paraId="45CA8FA1" w14:textId="77777777">
            <w:pPr>
              <w:pStyle w:val="EQRTableText"/>
            </w:pPr>
            <w:r w:rsidRPr="00990D3B">
              <w:t> </w:t>
            </w:r>
          </w:p>
        </w:tc>
        <w:tc>
          <w:tcPr>
            <w:tcW w:w="990" w:type="dxa"/>
          </w:tcPr>
          <w:p w:rsidR="00F931A4" w:rsidRPr="00990D3B" w:rsidP="00BD1FC3" w14:paraId="06F4ECE2" w14:textId="77777777">
            <w:pPr>
              <w:pStyle w:val="EQRTableText"/>
            </w:pPr>
            <w:r w:rsidRPr="00990D3B">
              <w:t> </w:t>
            </w:r>
          </w:p>
        </w:tc>
        <w:tc>
          <w:tcPr>
            <w:tcW w:w="3505" w:type="dxa"/>
          </w:tcPr>
          <w:p w:rsidR="00F931A4" w:rsidRPr="00990D3B" w:rsidP="00BD1FC3" w14:paraId="7D3041F6" w14:textId="77777777">
            <w:pPr>
              <w:pStyle w:val="EQRTableText"/>
            </w:pPr>
            <w:r w:rsidRPr="00990D3B">
              <w:t> </w:t>
            </w:r>
          </w:p>
        </w:tc>
      </w:tr>
      <w:tr w14:paraId="5ABFC65F" w14:textId="77777777" w:rsidTr="00252655">
        <w:tblPrEx>
          <w:tblW w:w="5000" w:type="pct"/>
          <w:tblLayout w:type="fixed"/>
          <w:tblCellMar>
            <w:left w:w="115" w:type="dxa"/>
            <w:right w:w="115" w:type="dxa"/>
          </w:tblCellMar>
          <w:tblLook w:val="04A0"/>
        </w:tblPrEx>
        <w:trPr>
          <w:cantSplit/>
        </w:trPr>
        <w:tc>
          <w:tcPr>
            <w:tcW w:w="6565" w:type="dxa"/>
            <w:tcBorders>
              <w:top w:val="dashSmallGap" w:sz="4" w:space="0" w:color="000000" w:themeColor="text1"/>
              <w:bottom w:val="single" w:sz="4" w:space="0" w:color="000000" w:themeColor="text1"/>
            </w:tcBorders>
          </w:tcPr>
          <w:p w:rsidR="00F931A4" w:rsidRPr="00990D3B" w:rsidP="00252655" w14:paraId="4AD19D19" w14:textId="3C594E50">
            <w:pPr>
              <w:pStyle w:val="EQRTableNumber"/>
            </w:pPr>
            <w:r w:rsidRPr="00990D3B">
              <w:t xml:space="preserve">Any time parameters required by the specifications of the performance measure were adhered to (i.e., that the measured event occurred during the </w:t>
            </w:r>
            <w:r w:rsidRPr="00990D3B">
              <w:t>time period</w:t>
            </w:r>
            <w:r w:rsidRPr="00990D3B">
              <w:t xml:space="preserve"> specified or defined in the performance measure)</w:t>
            </w:r>
          </w:p>
        </w:tc>
        <w:tc>
          <w:tcPr>
            <w:tcW w:w="990" w:type="dxa"/>
            <w:tcBorders>
              <w:bottom w:val="single" w:sz="4" w:space="0" w:color="000000" w:themeColor="text1"/>
            </w:tcBorders>
          </w:tcPr>
          <w:p w:rsidR="00F931A4" w:rsidRPr="00990D3B" w:rsidP="00BD1FC3" w14:paraId="6684AFEE" w14:textId="77777777">
            <w:pPr>
              <w:pStyle w:val="EQRTableText"/>
            </w:pPr>
            <w:r w:rsidRPr="00990D3B">
              <w:t> </w:t>
            </w:r>
          </w:p>
        </w:tc>
        <w:tc>
          <w:tcPr>
            <w:tcW w:w="900" w:type="dxa"/>
            <w:tcBorders>
              <w:bottom w:val="single" w:sz="4" w:space="0" w:color="000000" w:themeColor="text1"/>
            </w:tcBorders>
          </w:tcPr>
          <w:p w:rsidR="00F931A4" w:rsidRPr="00990D3B" w:rsidP="00BD1FC3" w14:paraId="0B5E343A" w14:textId="77777777">
            <w:pPr>
              <w:pStyle w:val="EQRTableText"/>
            </w:pPr>
            <w:r w:rsidRPr="00990D3B">
              <w:t> </w:t>
            </w:r>
          </w:p>
        </w:tc>
        <w:tc>
          <w:tcPr>
            <w:tcW w:w="990" w:type="dxa"/>
            <w:tcBorders>
              <w:bottom w:val="single" w:sz="4" w:space="0" w:color="000000" w:themeColor="text1"/>
            </w:tcBorders>
          </w:tcPr>
          <w:p w:rsidR="00F931A4" w:rsidRPr="00990D3B" w:rsidP="00BD1FC3" w14:paraId="380644BA" w14:textId="77777777">
            <w:pPr>
              <w:pStyle w:val="EQRTableText"/>
            </w:pPr>
            <w:r w:rsidRPr="00990D3B">
              <w:t> </w:t>
            </w:r>
          </w:p>
        </w:tc>
        <w:tc>
          <w:tcPr>
            <w:tcW w:w="3505" w:type="dxa"/>
          </w:tcPr>
          <w:p w:rsidR="00F931A4" w:rsidRPr="00990D3B" w:rsidP="00BD1FC3" w14:paraId="63875B20" w14:textId="77777777">
            <w:pPr>
              <w:pStyle w:val="EQRTableText"/>
            </w:pPr>
            <w:r w:rsidRPr="00990D3B">
              <w:t> </w:t>
            </w:r>
          </w:p>
        </w:tc>
      </w:tr>
      <w:tr w14:paraId="495EBCDB" w14:textId="77777777" w:rsidTr="00252655">
        <w:tblPrEx>
          <w:tblW w:w="5000" w:type="pct"/>
          <w:tblLayout w:type="fixed"/>
          <w:tblCellMar>
            <w:left w:w="115" w:type="dxa"/>
            <w:right w:w="115" w:type="dxa"/>
          </w:tblCellMar>
          <w:tblLook w:val="04A0"/>
        </w:tblPrEx>
        <w:trPr>
          <w:cantSplit/>
        </w:trPr>
        <w:tc>
          <w:tcPr>
            <w:tcW w:w="6565" w:type="dxa"/>
            <w:tcBorders>
              <w:bottom w:val="dashSmallGap" w:sz="4" w:space="0" w:color="000000" w:themeColor="text1"/>
            </w:tcBorders>
          </w:tcPr>
          <w:p w:rsidR="00F931A4" w:rsidRPr="00990D3B" w:rsidP="00BD1FC3" w14:paraId="0A2A0BFF" w14:textId="77777777">
            <w:pPr>
              <w:pStyle w:val="EQRTableText"/>
            </w:pPr>
            <w:r w:rsidRPr="00990D3B">
              <w:rPr>
                <w:b/>
              </w:rPr>
              <w:t>Medical record data</w:t>
            </w:r>
            <w:r w:rsidRPr="00990D3B">
              <w:t>. Medical record reviews and abstractions were carried out in a manner that facilitated the collection of complete, accurate, and valid data by ensuring that:</w:t>
            </w:r>
          </w:p>
        </w:tc>
        <w:tc>
          <w:tcPr>
            <w:tcW w:w="990" w:type="dxa"/>
            <w:tcBorders>
              <w:bottom w:val="single" w:sz="4" w:space="0" w:color="000000" w:themeColor="text1"/>
            </w:tcBorders>
          </w:tcPr>
          <w:p w:rsidR="00F931A4" w:rsidRPr="00990D3B" w:rsidP="00BD1FC3" w14:paraId="0A1AF52E" w14:textId="77777777">
            <w:pPr>
              <w:pStyle w:val="EQRTableText"/>
            </w:pPr>
            <w:r w:rsidRPr="00990D3B">
              <w:t> </w:t>
            </w:r>
          </w:p>
        </w:tc>
        <w:tc>
          <w:tcPr>
            <w:tcW w:w="900" w:type="dxa"/>
            <w:tcBorders>
              <w:bottom w:val="single" w:sz="4" w:space="0" w:color="000000" w:themeColor="text1"/>
            </w:tcBorders>
          </w:tcPr>
          <w:p w:rsidR="00F931A4" w:rsidRPr="00990D3B" w:rsidP="00BD1FC3" w14:paraId="473C9A63" w14:textId="77777777">
            <w:pPr>
              <w:pStyle w:val="EQRTableText"/>
            </w:pPr>
            <w:r w:rsidRPr="00990D3B">
              <w:t> </w:t>
            </w:r>
          </w:p>
        </w:tc>
        <w:tc>
          <w:tcPr>
            <w:tcW w:w="990" w:type="dxa"/>
            <w:tcBorders>
              <w:bottom w:val="single" w:sz="4" w:space="0" w:color="000000" w:themeColor="text1"/>
            </w:tcBorders>
          </w:tcPr>
          <w:p w:rsidR="00F931A4" w:rsidRPr="00990D3B" w:rsidP="00BD1FC3" w14:paraId="7AFB9609" w14:textId="77777777">
            <w:pPr>
              <w:pStyle w:val="EQRTableText"/>
            </w:pPr>
            <w:r w:rsidRPr="00990D3B">
              <w:t> </w:t>
            </w:r>
          </w:p>
        </w:tc>
        <w:tc>
          <w:tcPr>
            <w:tcW w:w="3505" w:type="dxa"/>
            <w:tcBorders>
              <w:bottom w:val="single" w:sz="4" w:space="0" w:color="000000" w:themeColor="text1"/>
            </w:tcBorders>
          </w:tcPr>
          <w:p w:rsidR="00F931A4" w:rsidRPr="00990D3B" w:rsidP="00BD1FC3" w14:paraId="20B7E1D0" w14:textId="77777777">
            <w:pPr>
              <w:pStyle w:val="EQRTableText"/>
            </w:pPr>
            <w:r w:rsidRPr="00990D3B">
              <w:t> </w:t>
            </w:r>
          </w:p>
        </w:tc>
      </w:tr>
      <w:tr w14:paraId="538B28E0" w14:textId="77777777" w:rsidTr="00252655">
        <w:tblPrEx>
          <w:tblW w:w="5000" w:type="pct"/>
          <w:tblLayout w:type="fixed"/>
          <w:tblCellMar>
            <w:left w:w="115" w:type="dxa"/>
            <w:right w:w="115" w:type="dxa"/>
          </w:tblCellMar>
          <w:tblLook w:val="04A0"/>
        </w:tblPrEx>
        <w:trPr>
          <w:cantSplit/>
        </w:trPr>
        <w:tc>
          <w:tcPr>
            <w:tcW w:w="6565" w:type="dxa"/>
            <w:tcBorders>
              <w:top w:val="dashSmallGap" w:sz="4" w:space="0" w:color="000000" w:themeColor="text1"/>
              <w:bottom w:val="dashSmallGap" w:sz="4" w:space="0" w:color="000000" w:themeColor="text1"/>
            </w:tcBorders>
          </w:tcPr>
          <w:p w:rsidR="00F931A4" w:rsidRPr="00990D3B" w:rsidP="002D35CF" w14:paraId="528004A9" w14:textId="36E3C646">
            <w:pPr>
              <w:pStyle w:val="EQRTableNumber"/>
              <w:numPr>
                <w:ilvl w:val="0"/>
                <w:numId w:val="69"/>
              </w:numPr>
            </w:pPr>
            <w:r w:rsidRPr="00990D3B">
              <w:t>Record review staff have been properly trained and supervised for the task</w:t>
            </w:r>
          </w:p>
        </w:tc>
        <w:tc>
          <w:tcPr>
            <w:tcW w:w="990" w:type="dxa"/>
          </w:tcPr>
          <w:p w:rsidR="00F931A4" w:rsidRPr="00990D3B" w:rsidP="00BD1FC3" w14:paraId="143F9ED7" w14:textId="77777777">
            <w:pPr>
              <w:pStyle w:val="EQRTableText"/>
            </w:pPr>
            <w:r w:rsidRPr="00990D3B">
              <w:t> </w:t>
            </w:r>
          </w:p>
        </w:tc>
        <w:tc>
          <w:tcPr>
            <w:tcW w:w="900" w:type="dxa"/>
          </w:tcPr>
          <w:p w:rsidR="00F931A4" w:rsidRPr="00990D3B" w:rsidP="00BD1FC3" w14:paraId="67BD509B" w14:textId="77777777">
            <w:pPr>
              <w:pStyle w:val="EQRTableText"/>
            </w:pPr>
            <w:r w:rsidRPr="00990D3B">
              <w:t> </w:t>
            </w:r>
          </w:p>
        </w:tc>
        <w:tc>
          <w:tcPr>
            <w:tcW w:w="990" w:type="dxa"/>
          </w:tcPr>
          <w:p w:rsidR="00F931A4" w:rsidRPr="00990D3B" w:rsidP="00BD1FC3" w14:paraId="64CA347B" w14:textId="77777777">
            <w:pPr>
              <w:pStyle w:val="EQRTableText"/>
            </w:pPr>
            <w:r w:rsidRPr="00990D3B">
              <w:t> </w:t>
            </w:r>
          </w:p>
        </w:tc>
        <w:tc>
          <w:tcPr>
            <w:tcW w:w="3505" w:type="dxa"/>
          </w:tcPr>
          <w:p w:rsidR="00F931A4" w:rsidRPr="00990D3B" w:rsidP="00BD1FC3" w14:paraId="3C4C3B49" w14:textId="77777777">
            <w:pPr>
              <w:pStyle w:val="EQRTableText"/>
            </w:pPr>
            <w:r w:rsidRPr="00990D3B">
              <w:t> </w:t>
            </w:r>
          </w:p>
        </w:tc>
      </w:tr>
      <w:tr w14:paraId="4A00201F" w14:textId="77777777" w:rsidTr="00252655">
        <w:tblPrEx>
          <w:tblW w:w="5000" w:type="pct"/>
          <w:tblLayout w:type="fixed"/>
          <w:tblCellMar>
            <w:left w:w="115" w:type="dxa"/>
            <w:right w:w="115" w:type="dxa"/>
          </w:tblCellMar>
          <w:tblLook w:val="04A0"/>
        </w:tblPrEx>
        <w:trPr>
          <w:cantSplit/>
        </w:trPr>
        <w:tc>
          <w:tcPr>
            <w:tcW w:w="6565" w:type="dxa"/>
            <w:tcBorders>
              <w:top w:val="dashSmallGap" w:sz="4" w:space="0" w:color="000000" w:themeColor="text1"/>
              <w:bottom w:val="dashSmallGap" w:sz="4" w:space="0" w:color="000000" w:themeColor="text1"/>
            </w:tcBorders>
          </w:tcPr>
          <w:p w:rsidR="00F931A4" w:rsidRPr="00990D3B" w:rsidP="00252655" w14:paraId="1CABEC8C" w14:textId="75A56A63">
            <w:pPr>
              <w:pStyle w:val="EQRTableNumber"/>
            </w:pPr>
            <w:r w:rsidRPr="00990D3B">
              <w:t>Record abstraction tools required the appropriate notation that the measured event occurred</w:t>
            </w:r>
          </w:p>
        </w:tc>
        <w:tc>
          <w:tcPr>
            <w:tcW w:w="990" w:type="dxa"/>
          </w:tcPr>
          <w:p w:rsidR="00F931A4" w:rsidRPr="00990D3B" w:rsidP="00BD1FC3" w14:paraId="0A9E822A" w14:textId="77777777">
            <w:pPr>
              <w:pStyle w:val="EQRTableText"/>
            </w:pPr>
            <w:r w:rsidRPr="00990D3B">
              <w:t> </w:t>
            </w:r>
          </w:p>
        </w:tc>
        <w:tc>
          <w:tcPr>
            <w:tcW w:w="900" w:type="dxa"/>
          </w:tcPr>
          <w:p w:rsidR="00F931A4" w:rsidRPr="00990D3B" w:rsidP="00BD1FC3" w14:paraId="7DF44DC9" w14:textId="77777777">
            <w:pPr>
              <w:pStyle w:val="EQRTableText"/>
            </w:pPr>
            <w:r w:rsidRPr="00990D3B">
              <w:t> </w:t>
            </w:r>
          </w:p>
        </w:tc>
        <w:tc>
          <w:tcPr>
            <w:tcW w:w="990" w:type="dxa"/>
          </w:tcPr>
          <w:p w:rsidR="00F931A4" w:rsidRPr="00990D3B" w:rsidP="00BD1FC3" w14:paraId="205911A1" w14:textId="77777777">
            <w:pPr>
              <w:pStyle w:val="EQRTableText"/>
            </w:pPr>
            <w:r w:rsidRPr="00990D3B">
              <w:t> </w:t>
            </w:r>
          </w:p>
        </w:tc>
        <w:tc>
          <w:tcPr>
            <w:tcW w:w="3505" w:type="dxa"/>
          </w:tcPr>
          <w:p w:rsidR="00F931A4" w:rsidRPr="00990D3B" w:rsidP="00BD1FC3" w14:paraId="14061FD6" w14:textId="77777777">
            <w:pPr>
              <w:pStyle w:val="EQRTableText"/>
            </w:pPr>
            <w:r w:rsidRPr="00990D3B">
              <w:t> </w:t>
            </w:r>
          </w:p>
        </w:tc>
      </w:tr>
      <w:tr w14:paraId="6EE5C36B" w14:textId="77777777" w:rsidTr="00252655">
        <w:tblPrEx>
          <w:tblW w:w="5000" w:type="pct"/>
          <w:tblLayout w:type="fixed"/>
          <w:tblCellMar>
            <w:left w:w="115" w:type="dxa"/>
            <w:right w:w="115" w:type="dxa"/>
          </w:tblCellMar>
          <w:tblLook w:val="04A0"/>
        </w:tblPrEx>
        <w:trPr>
          <w:cantSplit/>
        </w:trPr>
        <w:tc>
          <w:tcPr>
            <w:tcW w:w="6565" w:type="dxa"/>
            <w:tcBorders>
              <w:top w:val="dashSmallGap" w:sz="4" w:space="0" w:color="000000" w:themeColor="text1"/>
              <w:bottom w:val="dashSmallGap" w:sz="4" w:space="0" w:color="000000" w:themeColor="text1"/>
            </w:tcBorders>
          </w:tcPr>
          <w:p w:rsidR="00F931A4" w:rsidRPr="00990D3B" w:rsidP="00252655" w14:paraId="01DD14C4" w14:textId="365C9F0A">
            <w:pPr>
              <w:pStyle w:val="EQRTableNumber"/>
            </w:pPr>
            <w:r w:rsidRPr="00990D3B">
              <w:t>Record abstraction tools required notation of the results or findings of the measured event, if applicable</w:t>
            </w:r>
          </w:p>
        </w:tc>
        <w:tc>
          <w:tcPr>
            <w:tcW w:w="990" w:type="dxa"/>
          </w:tcPr>
          <w:p w:rsidR="00F931A4" w:rsidRPr="00990D3B" w:rsidP="00BD1FC3" w14:paraId="19724BF8" w14:textId="77777777">
            <w:pPr>
              <w:pStyle w:val="EQRTableText"/>
            </w:pPr>
            <w:r w:rsidRPr="00990D3B">
              <w:t> </w:t>
            </w:r>
          </w:p>
        </w:tc>
        <w:tc>
          <w:tcPr>
            <w:tcW w:w="900" w:type="dxa"/>
          </w:tcPr>
          <w:p w:rsidR="00F931A4" w:rsidRPr="00990D3B" w:rsidP="00BD1FC3" w14:paraId="50D91561" w14:textId="77777777">
            <w:pPr>
              <w:pStyle w:val="EQRTableText"/>
            </w:pPr>
            <w:r w:rsidRPr="00990D3B">
              <w:t> </w:t>
            </w:r>
          </w:p>
        </w:tc>
        <w:tc>
          <w:tcPr>
            <w:tcW w:w="990" w:type="dxa"/>
          </w:tcPr>
          <w:p w:rsidR="00F931A4" w:rsidRPr="00990D3B" w:rsidP="00BD1FC3" w14:paraId="33160221" w14:textId="77777777">
            <w:pPr>
              <w:pStyle w:val="EQRTableText"/>
            </w:pPr>
            <w:r w:rsidRPr="00990D3B">
              <w:t> </w:t>
            </w:r>
          </w:p>
        </w:tc>
        <w:tc>
          <w:tcPr>
            <w:tcW w:w="3505" w:type="dxa"/>
          </w:tcPr>
          <w:p w:rsidR="00F931A4" w:rsidRPr="00990D3B" w:rsidP="00BD1FC3" w14:paraId="6E5C884C" w14:textId="77777777">
            <w:pPr>
              <w:pStyle w:val="EQRTableText"/>
            </w:pPr>
            <w:r w:rsidRPr="00990D3B">
              <w:t> </w:t>
            </w:r>
          </w:p>
        </w:tc>
      </w:tr>
      <w:tr w14:paraId="4072B2A1" w14:textId="77777777" w:rsidTr="00252655">
        <w:tblPrEx>
          <w:tblW w:w="5000" w:type="pct"/>
          <w:tblLayout w:type="fixed"/>
          <w:tblCellMar>
            <w:left w:w="115" w:type="dxa"/>
            <w:right w:w="115" w:type="dxa"/>
          </w:tblCellMar>
          <w:tblLook w:val="04A0"/>
        </w:tblPrEx>
        <w:trPr>
          <w:cantSplit/>
        </w:trPr>
        <w:tc>
          <w:tcPr>
            <w:tcW w:w="6565" w:type="dxa"/>
            <w:tcBorders>
              <w:top w:val="dashSmallGap" w:sz="4" w:space="0" w:color="000000" w:themeColor="text1"/>
              <w:bottom w:val="dashSmallGap" w:sz="4" w:space="0" w:color="000000" w:themeColor="text1"/>
            </w:tcBorders>
          </w:tcPr>
          <w:p w:rsidR="00F931A4" w:rsidRPr="00990D3B" w:rsidP="00252655" w14:paraId="7F86CACA" w14:textId="591BB838">
            <w:pPr>
              <w:pStyle w:val="EQRTableNumber"/>
            </w:pPr>
            <w:r w:rsidRPr="00990D3B">
              <w:t>Medical record data from electronic sources was accurately extracted according to measure specifications</w:t>
            </w:r>
          </w:p>
        </w:tc>
        <w:tc>
          <w:tcPr>
            <w:tcW w:w="990" w:type="dxa"/>
          </w:tcPr>
          <w:p w:rsidR="00F931A4" w:rsidRPr="00990D3B" w:rsidP="00BD1FC3" w14:paraId="711EAF60" w14:textId="77777777">
            <w:pPr>
              <w:pStyle w:val="EQRTableText"/>
            </w:pPr>
            <w:r w:rsidRPr="00990D3B">
              <w:t> </w:t>
            </w:r>
          </w:p>
        </w:tc>
        <w:tc>
          <w:tcPr>
            <w:tcW w:w="900" w:type="dxa"/>
          </w:tcPr>
          <w:p w:rsidR="00F931A4" w:rsidRPr="00990D3B" w:rsidP="00BD1FC3" w14:paraId="413AE9CA" w14:textId="77777777">
            <w:pPr>
              <w:pStyle w:val="EQRTableText"/>
            </w:pPr>
            <w:r w:rsidRPr="00990D3B">
              <w:t> </w:t>
            </w:r>
          </w:p>
        </w:tc>
        <w:tc>
          <w:tcPr>
            <w:tcW w:w="990" w:type="dxa"/>
          </w:tcPr>
          <w:p w:rsidR="00F931A4" w:rsidRPr="00990D3B" w:rsidP="00BD1FC3" w14:paraId="0C27C43A" w14:textId="77777777">
            <w:pPr>
              <w:pStyle w:val="EQRTableText"/>
            </w:pPr>
            <w:r w:rsidRPr="00990D3B">
              <w:t> </w:t>
            </w:r>
          </w:p>
        </w:tc>
        <w:tc>
          <w:tcPr>
            <w:tcW w:w="3505" w:type="dxa"/>
          </w:tcPr>
          <w:p w:rsidR="00F931A4" w:rsidRPr="00990D3B" w:rsidP="00BD1FC3" w14:paraId="6C9F9060" w14:textId="77777777">
            <w:pPr>
              <w:pStyle w:val="EQRTableText"/>
            </w:pPr>
            <w:r w:rsidRPr="00990D3B">
              <w:t> </w:t>
            </w:r>
          </w:p>
        </w:tc>
      </w:tr>
      <w:tr w14:paraId="07D4872F" w14:textId="77777777" w:rsidTr="00252655">
        <w:tblPrEx>
          <w:tblW w:w="5000" w:type="pct"/>
          <w:tblLayout w:type="fixed"/>
          <w:tblCellMar>
            <w:left w:w="115" w:type="dxa"/>
            <w:right w:w="115" w:type="dxa"/>
          </w:tblCellMar>
          <w:tblLook w:val="04A0"/>
        </w:tblPrEx>
        <w:trPr>
          <w:cantSplit/>
        </w:trPr>
        <w:tc>
          <w:tcPr>
            <w:tcW w:w="6565" w:type="dxa"/>
            <w:tcBorders>
              <w:top w:val="dashSmallGap" w:sz="4" w:space="0" w:color="000000" w:themeColor="text1"/>
              <w:bottom w:val="dashSmallGap" w:sz="4" w:space="0" w:color="000000" w:themeColor="text1"/>
            </w:tcBorders>
          </w:tcPr>
          <w:p w:rsidR="00F931A4" w:rsidRPr="00990D3B" w:rsidP="00252655" w14:paraId="0B3B98CB" w14:textId="5A38BE76">
            <w:pPr>
              <w:pStyle w:val="EQRTableNumber"/>
            </w:pPr>
            <w:r w:rsidRPr="00990D3B">
              <w:t xml:space="preserve">Data included in the record extract files are consistent with data found in the medical records based on a review of a sample of medical record for applicable performance measures </w:t>
            </w:r>
          </w:p>
        </w:tc>
        <w:tc>
          <w:tcPr>
            <w:tcW w:w="990" w:type="dxa"/>
          </w:tcPr>
          <w:p w:rsidR="00F931A4" w:rsidRPr="00990D3B" w:rsidP="00BD1FC3" w14:paraId="0861501B" w14:textId="77777777">
            <w:pPr>
              <w:pStyle w:val="EQRTableText"/>
            </w:pPr>
            <w:r w:rsidRPr="00990D3B">
              <w:t> </w:t>
            </w:r>
          </w:p>
        </w:tc>
        <w:tc>
          <w:tcPr>
            <w:tcW w:w="900" w:type="dxa"/>
          </w:tcPr>
          <w:p w:rsidR="00F931A4" w:rsidRPr="00990D3B" w:rsidP="00BD1FC3" w14:paraId="184AE3AB" w14:textId="77777777">
            <w:pPr>
              <w:pStyle w:val="EQRTableText"/>
            </w:pPr>
            <w:r w:rsidRPr="00990D3B">
              <w:t> </w:t>
            </w:r>
          </w:p>
        </w:tc>
        <w:tc>
          <w:tcPr>
            <w:tcW w:w="990" w:type="dxa"/>
          </w:tcPr>
          <w:p w:rsidR="00F931A4" w:rsidRPr="00990D3B" w:rsidP="00BD1FC3" w14:paraId="0C0CD205" w14:textId="77777777">
            <w:pPr>
              <w:pStyle w:val="EQRTableText"/>
            </w:pPr>
            <w:r w:rsidRPr="00990D3B">
              <w:t> </w:t>
            </w:r>
          </w:p>
        </w:tc>
        <w:tc>
          <w:tcPr>
            <w:tcW w:w="3505" w:type="dxa"/>
          </w:tcPr>
          <w:p w:rsidR="00F931A4" w:rsidRPr="00990D3B" w:rsidP="00BD1FC3" w14:paraId="62E1B473" w14:textId="77777777">
            <w:pPr>
              <w:pStyle w:val="EQRTableText"/>
            </w:pPr>
            <w:r w:rsidRPr="00990D3B">
              <w:t> </w:t>
            </w:r>
          </w:p>
        </w:tc>
      </w:tr>
      <w:tr w14:paraId="35C384C8" w14:textId="77777777" w:rsidTr="00252655">
        <w:tblPrEx>
          <w:tblW w:w="5000" w:type="pct"/>
          <w:tblLayout w:type="fixed"/>
          <w:tblCellMar>
            <w:left w:w="115" w:type="dxa"/>
            <w:right w:w="115" w:type="dxa"/>
          </w:tblCellMar>
          <w:tblLook w:val="04A0"/>
        </w:tblPrEx>
        <w:trPr>
          <w:cantSplit/>
        </w:trPr>
        <w:tc>
          <w:tcPr>
            <w:tcW w:w="6565" w:type="dxa"/>
            <w:tcBorders>
              <w:top w:val="dashSmallGap" w:sz="4" w:space="0" w:color="000000" w:themeColor="text1"/>
            </w:tcBorders>
          </w:tcPr>
          <w:p w:rsidR="00F931A4" w:rsidRPr="00990D3B" w:rsidP="00252655" w14:paraId="7F52BCA9" w14:textId="006F2750">
            <w:pPr>
              <w:pStyle w:val="EQRTableNumber"/>
            </w:pPr>
            <w:r w:rsidRPr="00990D3B">
              <w:t>The process of integrating administrative data and medical record data for the purpose of determining the numerator is consistent and valid</w:t>
            </w:r>
          </w:p>
        </w:tc>
        <w:tc>
          <w:tcPr>
            <w:tcW w:w="990" w:type="dxa"/>
          </w:tcPr>
          <w:p w:rsidR="00F931A4" w:rsidRPr="00990D3B" w:rsidP="00BD1FC3" w14:paraId="241C8E24" w14:textId="77777777">
            <w:pPr>
              <w:pStyle w:val="EQRTableText"/>
            </w:pPr>
            <w:r w:rsidRPr="00990D3B">
              <w:t> </w:t>
            </w:r>
          </w:p>
        </w:tc>
        <w:tc>
          <w:tcPr>
            <w:tcW w:w="900" w:type="dxa"/>
          </w:tcPr>
          <w:p w:rsidR="00F931A4" w:rsidRPr="00990D3B" w:rsidP="00BD1FC3" w14:paraId="7685C089" w14:textId="77777777">
            <w:pPr>
              <w:pStyle w:val="EQRTableText"/>
            </w:pPr>
            <w:r w:rsidRPr="00990D3B">
              <w:t> </w:t>
            </w:r>
          </w:p>
        </w:tc>
        <w:tc>
          <w:tcPr>
            <w:tcW w:w="990" w:type="dxa"/>
          </w:tcPr>
          <w:p w:rsidR="00F931A4" w:rsidRPr="00990D3B" w:rsidP="00BD1FC3" w14:paraId="04383039" w14:textId="77777777">
            <w:pPr>
              <w:pStyle w:val="EQRTableText"/>
            </w:pPr>
            <w:r w:rsidRPr="00990D3B">
              <w:t> </w:t>
            </w:r>
          </w:p>
        </w:tc>
        <w:tc>
          <w:tcPr>
            <w:tcW w:w="3505" w:type="dxa"/>
          </w:tcPr>
          <w:p w:rsidR="00F931A4" w:rsidRPr="00990D3B" w:rsidP="00BD1FC3" w14:paraId="7A9EB646" w14:textId="77777777">
            <w:pPr>
              <w:pStyle w:val="EQRTableText"/>
            </w:pPr>
            <w:r w:rsidRPr="00990D3B">
              <w:t> </w:t>
            </w:r>
          </w:p>
        </w:tc>
      </w:tr>
      <w:tr w14:paraId="745176D5" w14:textId="77777777" w:rsidTr="00252655">
        <w:tblPrEx>
          <w:tblW w:w="5000" w:type="pct"/>
          <w:tblLayout w:type="fixed"/>
          <w:tblCellMar>
            <w:left w:w="115" w:type="dxa"/>
            <w:right w:w="115" w:type="dxa"/>
          </w:tblCellMar>
          <w:tblLook w:val="04A0"/>
        </w:tblPrEx>
        <w:trPr>
          <w:cantSplit/>
        </w:trPr>
        <w:tc>
          <w:tcPr>
            <w:tcW w:w="6565" w:type="dxa"/>
          </w:tcPr>
          <w:p w:rsidR="00F931A4" w:rsidRPr="00990D3B" w:rsidP="00BD1FC3" w14:paraId="28C9AF1F" w14:textId="77777777">
            <w:pPr>
              <w:pStyle w:val="EQRTableText"/>
            </w:pPr>
            <w:r w:rsidRPr="00990D3B">
              <w:rPr>
                <w:b/>
              </w:rPr>
              <w:t>Overall assessment:</w:t>
            </w:r>
            <w:r w:rsidRPr="00990D3B">
              <w:t xml:space="preserve"> In the comments section, note any recommendations (if applicable) </w:t>
            </w:r>
            <w:r w:rsidRPr="00990D3B">
              <w:t>to</w:t>
            </w:r>
            <w:r w:rsidRPr="00990D3B">
              <w:t>:</w:t>
            </w:r>
          </w:p>
          <w:p w:rsidR="00F931A4" w:rsidRPr="00990D3B" w:rsidP="0080450E" w14:paraId="5C4FF028" w14:textId="77777777">
            <w:pPr>
              <w:pStyle w:val="EQRTableTextbullet"/>
            </w:pPr>
            <w:r w:rsidRPr="00990D3B">
              <w:t>Improve the denominator</w:t>
            </w:r>
          </w:p>
          <w:p w:rsidR="00F931A4" w:rsidRPr="00990D3B" w:rsidP="0080450E" w14:paraId="01BD1BB5" w14:textId="77777777">
            <w:pPr>
              <w:pStyle w:val="EQRTableTextbullet"/>
            </w:pPr>
            <w:r w:rsidRPr="00990D3B">
              <w:t>Improve programming logic, source code, or calculations</w:t>
            </w:r>
          </w:p>
          <w:p w:rsidR="00F931A4" w:rsidRPr="00990D3B" w:rsidP="0080450E" w14:paraId="4EDC94D1" w14:textId="77777777">
            <w:pPr>
              <w:pStyle w:val="EQRTableTextbullet"/>
            </w:pPr>
            <w:r w:rsidRPr="00990D3B">
              <w:t xml:space="preserve">Improve the completeness or accuracy of the </w:t>
            </w:r>
            <w:r w:rsidRPr="00990D3B">
              <w:t>codes</w:t>
            </w:r>
            <w:r w:rsidRPr="00990D3B">
              <w:t xml:space="preserve"> used to identify medical events</w:t>
            </w:r>
          </w:p>
          <w:p w:rsidR="00F931A4" w:rsidRPr="00990D3B" w:rsidP="0080450E" w14:paraId="7F45FA41" w14:textId="77777777">
            <w:pPr>
              <w:pStyle w:val="EQRTableTextbullet"/>
            </w:pPr>
            <w:r w:rsidRPr="00990D3B">
              <w:t>Improve the specified time parameters</w:t>
            </w:r>
          </w:p>
          <w:p w:rsidR="00F931A4" w:rsidRPr="00990D3B" w:rsidP="0080450E" w14:paraId="3A9E88C6" w14:textId="77777777">
            <w:pPr>
              <w:pStyle w:val="EQRTableTextbullet"/>
            </w:pPr>
            <w:r w:rsidRPr="00990D3B">
              <w:t>Improve adherence to the exclusion criteria</w:t>
            </w:r>
          </w:p>
          <w:p w:rsidR="00F931A4" w:rsidRPr="00990D3B" w:rsidP="0080450E" w14:paraId="6EF1E2D4" w14:textId="77777777">
            <w:pPr>
              <w:pStyle w:val="EQRTableTextbullet"/>
            </w:pPr>
            <w:r w:rsidRPr="00990D3B">
              <w:t>Improve systems/methods to estimate populations when they cannot be accurately counted</w:t>
            </w:r>
          </w:p>
          <w:p w:rsidR="00F931A4" w:rsidRPr="00990D3B" w:rsidP="0080450E" w14:paraId="5097C31E" w14:textId="77777777">
            <w:pPr>
              <w:pStyle w:val="EQRTableTextbullet"/>
            </w:pPr>
            <w:r w:rsidRPr="00990D3B">
              <w:t>Ensure all appropriate data are used to identify the entire at-risk population</w:t>
            </w:r>
          </w:p>
          <w:p w:rsidR="00F931A4" w:rsidRPr="00990D3B" w:rsidP="0080450E" w14:paraId="69254983" w14:textId="77777777">
            <w:pPr>
              <w:pStyle w:val="EQRTableTextbullet"/>
            </w:pPr>
            <w:r w:rsidRPr="00990D3B">
              <w:t>Appropriately identify and include qualifying medical events for the numerator</w:t>
            </w:r>
          </w:p>
          <w:p w:rsidR="00F931A4" w:rsidRPr="00990D3B" w:rsidP="0080450E" w14:paraId="56820AD8" w14:textId="77777777">
            <w:pPr>
              <w:pStyle w:val="EQRTableTextbullet"/>
            </w:pPr>
            <w:r w:rsidRPr="00990D3B">
              <w:t>Improve the proper collection of medical record data extracted for inclusion in the numerator</w:t>
            </w:r>
          </w:p>
        </w:tc>
        <w:tc>
          <w:tcPr>
            <w:tcW w:w="990" w:type="dxa"/>
            <w:shd w:val="clear" w:color="auto" w:fill="BFBFBF" w:themeFill="background1" w:themeFillShade="BF"/>
          </w:tcPr>
          <w:p w:rsidR="00F931A4" w:rsidRPr="00990D3B" w:rsidP="00BD1FC3" w14:paraId="55E6DBA8" w14:textId="77777777">
            <w:pPr>
              <w:pStyle w:val="EQRTableText"/>
            </w:pPr>
            <w:r w:rsidRPr="00990D3B">
              <w:t> </w:t>
            </w:r>
          </w:p>
        </w:tc>
        <w:tc>
          <w:tcPr>
            <w:tcW w:w="900" w:type="dxa"/>
            <w:shd w:val="clear" w:color="auto" w:fill="BFBFBF" w:themeFill="background1" w:themeFillShade="BF"/>
          </w:tcPr>
          <w:p w:rsidR="00F931A4" w:rsidRPr="00990D3B" w:rsidP="00BD1FC3" w14:paraId="1485980C" w14:textId="77777777">
            <w:pPr>
              <w:pStyle w:val="EQRTableText"/>
            </w:pPr>
            <w:r w:rsidRPr="00990D3B">
              <w:t> </w:t>
            </w:r>
          </w:p>
        </w:tc>
        <w:tc>
          <w:tcPr>
            <w:tcW w:w="990" w:type="dxa"/>
            <w:shd w:val="clear" w:color="auto" w:fill="BFBFBF" w:themeFill="background1" w:themeFillShade="BF"/>
          </w:tcPr>
          <w:p w:rsidR="00F931A4" w:rsidRPr="00990D3B" w:rsidP="00BD1FC3" w14:paraId="6426B9EE" w14:textId="77777777">
            <w:pPr>
              <w:pStyle w:val="EQRTableText"/>
            </w:pPr>
            <w:r w:rsidRPr="00990D3B">
              <w:t> </w:t>
            </w:r>
          </w:p>
        </w:tc>
        <w:tc>
          <w:tcPr>
            <w:tcW w:w="3505" w:type="dxa"/>
          </w:tcPr>
          <w:p w:rsidR="00F931A4" w:rsidRPr="00990D3B" w:rsidP="00BD1FC3" w14:paraId="3CB7DACB" w14:textId="77777777">
            <w:pPr>
              <w:pStyle w:val="EQRTableText"/>
            </w:pPr>
            <w:r w:rsidRPr="00990D3B">
              <w:t> </w:t>
            </w:r>
          </w:p>
        </w:tc>
      </w:tr>
    </w:tbl>
    <w:p w:rsidR="000E2BCC" w:rsidRPr="00990D3B" w:rsidP="0080450E" w14:paraId="5C2EB9A6" w14:textId="77777777">
      <w:pPr>
        <w:sectPr w:rsidSect="000E2BCC">
          <w:pgSz w:w="15840" w:h="12240" w:orient="landscape" w:code="1"/>
          <w:pgMar w:top="1440" w:right="1440" w:bottom="1440" w:left="1440" w:header="720" w:footer="720" w:gutter="0"/>
          <w:cols w:space="720"/>
          <w:titlePg/>
          <w:docGrid w:linePitch="360"/>
        </w:sectPr>
      </w:pPr>
      <w:bookmarkStart w:id="320" w:name="WSp2n11"/>
      <w:bookmarkStart w:id="321" w:name="_Toc125619155"/>
      <w:bookmarkEnd w:id="320"/>
    </w:p>
    <w:p w:rsidR="00F931A4" w:rsidRPr="00990D3B" w:rsidP="00BD1FC3" w14:paraId="38D89F94" w14:textId="08E577BC">
      <w:pPr>
        <w:pStyle w:val="EQRMarkforExhibitWORKSHEET"/>
      </w:pPr>
      <w:bookmarkStart w:id="322" w:name="_Toc201751504"/>
      <w:r w:rsidRPr="00990D3B">
        <w:t>Worksheet 2.11. Interview Guide for Assessing Processes and Procedures Used to Produce Numerators and Denominators</w:t>
      </w:r>
      <w:bookmarkEnd w:id="321"/>
      <w:bookmarkEnd w:id="322"/>
    </w:p>
    <w:p w:rsidR="00F931A4" w:rsidRPr="00990D3B" w:rsidP="00BD1FC3" w14:paraId="696EC056" w14:textId="707E4BD2">
      <w:pPr>
        <w:pStyle w:val="EQRNormalSSWORKSHEET"/>
      </w:pPr>
      <w:r w:rsidRPr="00990D3B">
        <w:rPr>
          <w:b/>
        </w:rPr>
        <w:t>Instructions</w:t>
      </w:r>
      <w:r w:rsidRPr="00990D3B">
        <w:t xml:space="preserve">. </w:t>
      </w:r>
      <w:r w:rsidRPr="00990D3B" w:rsidR="00B331C8">
        <w:t>Use the</w:t>
      </w:r>
      <w:r w:rsidRPr="00990D3B">
        <w:t xml:space="preserve"> following interview guide to supplement findings reported in </w:t>
      </w:r>
      <w:hyperlink w:anchor="WSp2n10" w:tooltip="Worksheet 2.10" w:history="1">
        <w:r w:rsidRPr="00990D3B">
          <w:rPr>
            <w:rStyle w:val="Hyperlink"/>
          </w:rPr>
          <w:t>Worksheet 2.10</w:t>
        </w:r>
      </w:hyperlink>
      <w:r w:rsidRPr="00990D3B" w:rsidR="00B331C8">
        <w:t xml:space="preserve">, </w:t>
      </w:r>
      <w:r w:rsidRPr="00990D3B">
        <w:t xml:space="preserve">as described in </w:t>
      </w:r>
      <w:hyperlink w:anchor="P2Act2Step4" w:tooltip="Activity 2, Step 4" w:history="1">
        <w:r w:rsidRPr="00990D3B">
          <w:rPr>
            <w:rStyle w:val="Hyperlink"/>
          </w:rPr>
          <w:t>Activity 2, Step 4</w:t>
        </w:r>
      </w:hyperlink>
      <w:r w:rsidRPr="00990D3B">
        <w:t xml:space="preserve">. </w:t>
      </w:r>
      <w:r w:rsidRPr="00990D3B" w:rsidR="00B331C8">
        <w:t>T</w:t>
      </w:r>
      <w:r w:rsidRPr="00990D3B">
        <w:t>ailor the questions as appropriate.</w:t>
      </w:r>
    </w:p>
    <w:p w:rsidR="00294016" w:rsidRPr="00990D3B" w:rsidP="00BD1FC3" w14:paraId="2CFF619E" w14:textId="5EA59DC3">
      <w:pPr>
        <w:pStyle w:val="EQRNormalSSWORKSHEET"/>
        <w:spacing w:before="0" w:after="0" w:line="240" w:lineRule="auto"/>
      </w:pPr>
      <w:r w:rsidRPr="00990D3B">
        <w:t>Acronyms: CHIP = Children’s Health Insurance Program; EQRO = External Quality Review Organization; MCP= Managed Care Plan.</w:t>
      </w:r>
    </w:p>
    <w:p w:rsidR="00F931A4" w:rsidRPr="00990D3B" w:rsidP="00BD1FC3" w14:paraId="58D59FB2" w14:textId="77777777">
      <w:pPr>
        <w:pStyle w:val="EQRNormalSSWORKSHEET"/>
        <w:rPr>
          <w:b/>
        </w:rPr>
      </w:pPr>
      <w:r w:rsidRPr="00990D3B">
        <w:rPr>
          <w:b/>
        </w:rPr>
        <w:t>MCP Contact and Background Information</w:t>
      </w:r>
    </w:p>
    <w:p w:rsidR="00F931A4" w:rsidRPr="00990D3B" w:rsidP="00BD1FC3" w14:paraId="165C648E" w14:textId="4A27A8AB">
      <w:pPr>
        <w:pStyle w:val="EQRNormalSSWORKSHEET"/>
      </w:pPr>
      <w:r w:rsidRPr="00990D3B">
        <w:t>I</w:t>
      </w:r>
      <w:r w:rsidRPr="00990D3B">
        <w:t>nsert or verify the MCP contact information below</w:t>
      </w:r>
      <w:r w:rsidRPr="00990D3B">
        <w:t xml:space="preserve">. </w:t>
      </w:r>
    </w:p>
    <w:tbl>
      <w:tblPr>
        <w:tblStyle w:val="TableGrid"/>
        <w:tblW w:w="5000" w:type="pct"/>
        <w:tblLook w:val="04A0"/>
      </w:tblPr>
      <w:tblGrid>
        <w:gridCol w:w="3387"/>
        <w:gridCol w:w="5963"/>
      </w:tblGrid>
      <w:tr w14:paraId="27578C78" w14:textId="77777777" w:rsidTr="00BD1FC3">
        <w:tblPrEx>
          <w:tblW w:w="5000" w:type="pct"/>
          <w:tblLook w:val="04A0"/>
        </w:tblPrEx>
        <w:trPr>
          <w:cantSplit/>
        </w:trPr>
        <w:tc>
          <w:tcPr>
            <w:tcW w:w="3387" w:type="dxa"/>
          </w:tcPr>
          <w:p w:rsidR="00F931A4" w:rsidRPr="00990D3B" w:rsidP="00BD1FC3" w14:paraId="718A5CD9" w14:textId="77777777">
            <w:pPr>
              <w:pStyle w:val="EQRTableText"/>
            </w:pPr>
            <w:r w:rsidRPr="00990D3B">
              <w:t>MCP name:</w:t>
            </w:r>
          </w:p>
        </w:tc>
        <w:tc>
          <w:tcPr>
            <w:tcW w:w="5963" w:type="dxa"/>
          </w:tcPr>
          <w:p w:rsidR="00F931A4" w:rsidRPr="00990D3B" w:rsidP="00BD1FC3" w14:paraId="6418D2B0" w14:textId="77777777">
            <w:pPr>
              <w:pStyle w:val="EQRTableText"/>
            </w:pPr>
            <w:r w:rsidRPr="00990D3B">
              <w:t> </w:t>
            </w:r>
          </w:p>
        </w:tc>
      </w:tr>
      <w:tr w14:paraId="696F9E01" w14:textId="77777777" w:rsidTr="00BD1FC3">
        <w:tblPrEx>
          <w:tblW w:w="5000" w:type="pct"/>
          <w:tblLook w:val="04A0"/>
        </w:tblPrEx>
        <w:trPr>
          <w:cantSplit/>
        </w:trPr>
        <w:tc>
          <w:tcPr>
            <w:tcW w:w="3387" w:type="dxa"/>
          </w:tcPr>
          <w:p w:rsidR="00F931A4" w:rsidRPr="00990D3B" w:rsidP="00BD1FC3" w14:paraId="64B4ABF6" w14:textId="77777777">
            <w:pPr>
              <w:pStyle w:val="EQRTableText"/>
            </w:pPr>
            <w:r w:rsidRPr="00990D3B">
              <w:t>MCP contact name(s):</w:t>
            </w:r>
          </w:p>
        </w:tc>
        <w:tc>
          <w:tcPr>
            <w:tcW w:w="5963" w:type="dxa"/>
          </w:tcPr>
          <w:p w:rsidR="00F931A4" w:rsidRPr="00990D3B" w:rsidP="00BD1FC3" w14:paraId="0235EA71" w14:textId="77777777">
            <w:pPr>
              <w:pStyle w:val="EQRTableText"/>
            </w:pPr>
            <w:r w:rsidRPr="00990D3B">
              <w:t> </w:t>
            </w:r>
          </w:p>
        </w:tc>
      </w:tr>
      <w:tr w14:paraId="71AD20F7" w14:textId="77777777" w:rsidTr="00BD1FC3">
        <w:tblPrEx>
          <w:tblW w:w="5000" w:type="pct"/>
          <w:tblLook w:val="04A0"/>
        </w:tblPrEx>
        <w:trPr>
          <w:cantSplit/>
        </w:trPr>
        <w:tc>
          <w:tcPr>
            <w:tcW w:w="3387" w:type="dxa"/>
          </w:tcPr>
          <w:p w:rsidR="00F931A4" w:rsidRPr="00990D3B" w:rsidP="00BD1FC3" w14:paraId="7A0D8BF7" w14:textId="77777777">
            <w:pPr>
              <w:pStyle w:val="EQRTableText"/>
            </w:pPr>
            <w:r w:rsidRPr="00990D3B">
              <w:t>Title(s):</w:t>
            </w:r>
          </w:p>
        </w:tc>
        <w:tc>
          <w:tcPr>
            <w:tcW w:w="5963" w:type="dxa"/>
          </w:tcPr>
          <w:p w:rsidR="00F931A4" w:rsidRPr="00990D3B" w:rsidP="00BD1FC3" w14:paraId="74BF8062" w14:textId="77777777">
            <w:pPr>
              <w:pStyle w:val="EQRTableText"/>
            </w:pPr>
            <w:r w:rsidRPr="00990D3B">
              <w:t> </w:t>
            </w:r>
          </w:p>
        </w:tc>
      </w:tr>
      <w:tr w14:paraId="4BF55C3D" w14:textId="77777777" w:rsidTr="00BD1FC3">
        <w:tblPrEx>
          <w:tblW w:w="5000" w:type="pct"/>
          <w:tblLook w:val="04A0"/>
        </w:tblPrEx>
        <w:trPr>
          <w:cantSplit/>
        </w:trPr>
        <w:tc>
          <w:tcPr>
            <w:tcW w:w="3387" w:type="dxa"/>
          </w:tcPr>
          <w:p w:rsidR="00F931A4" w:rsidRPr="00990D3B" w:rsidP="00BD1FC3" w14:paraId="19D69D31" w14:textId="77777777">
            <w:pPr>
              <w:pStyle w:val="EQRTableText"/>
            </w:pPr>
            <w:r w:rsidRPr="00990D3B">
              <w:t>Mailing address:</w:t>
            </w:r>
          </w:p>
        </w:tc>
        <w:tc>
          <w:tcPr>
            <w:tcW w:w="5963" w:type="dxa"/>
          </w:tcPr>
          <w:p w:rsidR="00F931A4" w:rsidRPr="00990D3B" w:rsidP="00BD1FC3" w14:paraId="59592536" w14:textId="77777777">
            <w:pPr>
              <w:pStyle w:val="EQRTableText"/>
            </w:pPr>
            <w:r w:rsidRPr="00990D3B">
              <w:t> </w:t>
            </w:r>
          </w:p>
        </w:tc>
      </w:tr>
      <w:tr w14:paraId="17948F0F" w14:textId="77777777" w:rsidTr="00BD1FC3">
        <w:tblPrEx>
          <w:tblW w:w="5000" w:type="pct"/>
          <w:tblLook w:val="04A0"/>
        </w:tblPrEx>
        <w:trPr>
          <w:cantSplit/>
        </w:trPr>
        <w:tc>
          <w:tcPr>
            <w:tcW w:w="3387" w:type="dxa"/>
          </w:tcPr>
          <w:p w:rsidR="00F931A4" w:rsidRPr="00990D3B" w:rsidP="00BD1FC3" w14:paraId="1EE05EEA" w14:textId="77777777">
            <w:pPr>
              <w:pStyle w:val="EQRTableText"/>
            </w:pPr>
            <w:r w:rsidRPr="00990D3B">
              <w:t>Phone number(s):</w:t>
            </w:r>
          </w:p>
        </w:tc>
        <w:tc>
          <w:tcPr>
            <w:tcW w:w="5963" w:type="dxa"/>
          </w:tcPr>
          <w:p w:rsidR="00F931A4" w:rsidRPr="00990D3B" w:rsidP="00BD1FC3" w14:paraId="20A5E6D0" w14:textId="77777777">
            <w:pPr>
              <w:pStyle w:val="EQRTableText"/>
            </w:pPr>
            <w:r w:rsidRPr="00990D3B">
              <w:t> </w:t>
            </w:r>
          </w:p>
        </w:tc>
      </w:tr>
      <w:tr w14:paraId="71D768D9" w14:textId="77777777" w:rsidTr="00BD1FC3">
        <w:tblPrEx>
          <w:tblW w:w="5000" w:type="pct"/>
          <w:tblLook w:val="04A0"/>
        </w:tblPrEx>
        <w:trPr>
          <w:cantSplit/>
        </w:trPr>
        <w:tc>
          <w:tcPr>
            <w:tcW w:w="3387" w:type="dxa"/>
          </w:tcPr>
          <w:p w:rsidR="00F931A4" w:rsidRPr="00990D3B" w:rsidP="00BD1FC3" w14:paraId="3940EF97" w14:textId="77777777">
            <w:pPr>
              <w:pStyle w:val="EQRTableText"/>
            </w:pPr>
            <w:r w:rsidRPr="00990D3B">
              <w:t>Email address:</w:t>
            </w:r>
          </w:p>
        </w:tc>
        <w:tc>
          <w:tcPr>
            <w:tcW w:w="5963" w:type="dxa"/>
          </w:tcPr>
          <w:p w:rsidR="00F931A4" w:rsidRPr="00990D3B" w:rsidP="00BD1FC3" w14:paraId="0B345617" w14:textId="77777777">
            <w:pPr>
              <w:pStyle w:val="EQRTableText"/>
            </w:pPr>
            <w:r w:rsidRPr="00990D3B">
              <w:t> </w:t>
            </w:r>
          </w:p>
        </w:tc>
      </w:tr>
      <w:tr w14:paraId="76EB744A" w14:textId="77777777" w:rsidTr="00BD1FC3">
        <w:tblPrEx>
          <w:tblW w:w="5000" w:type="pct"/>
          <w:tblLook w:val="04A0"/>
        </w:tblPrEx>
        <w:trPr>
          <w:cantSplit/>
        </w:trPr>
        <w:tc>
          <w:tcPr>
            <w:tcW w:w="3387" w:type="dxa"/>
          </w:tcPr>
          <w:p w:rsidR="00F931A4" w:rsidRPr="00990D3B" w:rsidP="00BD1FC3" w14:paraId="6FDE4B62" w14:textId="77777777">
            <w:pPr>
              <w:pStyle w:val="EQRTableText"/>
            </w:pPr>
            <w:r w:rsidRPr="00990D3B">
              <w:t>Interview Date:</w:t>
            </w:r>
          </w:p>
        </w:tc>
        <w:tc>
          <w:tcPr>
            <w:tcW w:w="5963" w:type="dxa"/>
          </w:tcPr>
          <w:p w:rsidR="00F931A4" w:rsidRPr="00990D3B" w:rsidP="00BD1FC3" w14:paraId="3DFEE6DD" w14:textId="77777777">
            <w:pPr>
              <w:pStyle w:val="EQRTableText"/>
            </w:pPr>
            <w:r w:rsidRPr="00990D3B">
              <w:t> </w:t>
            </w:r>
          </w:p>
        </w:tc>
      </w:tr>
      <w:tr w14:paraId="24FD49F8" w14:textId="77777777" w:rsidTr="00BD1FC3">
        <w:tblPrEx>
          <w:tblW w:w="5000" w:type="pct"/>
          <w:tblLook w:val="04A0"/>
        </w:tblPrEx>
        <w:trPr>
          <w:cantSplit/>
        </w:trPr>
        <w:tc>
          <w:tcPr>
            <w:tcW w:w="3387" w:type="dxa"/>
          </w:tcPr>
          <w:p w:rsidR="00F931A4" w:rsidRPr="00990D3B" w:rsidP="00BD1FC3" w14:paraId="41D92A14" w14:textId="77777777">
            <w:pPr>
              <w:pStyle w:val="EQRTableText"/>
            </w:pPr>
            <w:r w:rsidRPr="00990D3B">
              <w:t xml:space="preserve">EQRO reviewers: </w:t>
            </w:r>
          </w:p>
        </w:tc>
        <w:tc>
          <w:tcPr>
            <w:tcW w:w="5963" w:type="dxa"/>
          </w:tcPr>
          <w:p w:rsidR="00F931A4" w:rsidRPr="00990D3B" w:rsidP="00BD1FC3" w14:paraId="43300A05" w14:textId="77777777">
            <w:pPr>
              <w:pStyle w:val="EQRTableText"/>
            </w:pPr>
            <w:r w:rsidRPr="00990D3B">
              <w:t> </w:t>
            </w:r>
          </w:p>
        </w:tc>
      </w:tr>
      <w:tr w14:paraId="67227C9C" w14:textId="77777777" w:rsidTr="00BD1FC3">
        <w:tblPrEx>
          <w:tblW w:w="5000" w:type="pct"/>
          <w:tblLook w:val="04A0"/>
        </w:tblPrEx>
        <w:tc>
          <w:tcPr>
            <w:tcW w:w="3387" w:type="dxa"/>
          </w:tcPr>
          <w:p w:rsidR="00F931A4" w:rsidRPr="00990D3B" w:rsidP="00BD1FC3" w14:paraId="240B7501" w14:textId="77777777">
            <w:pPr>
              <w:pStyle w:val="EQRTableText"/>
            </w:pPr>
            <w:r w:rsidRPr="00990D3B">
              <w:t>Year of first Medicaid enrollment:</w:t>
            </w:r>
          </w:p>
        </w:tc>
        <w:tc>
          <w:tcPr>
            <w:tcW w:w="5963" w:type="dxa"/>
          </w:tcPr>
          <w:p w:rsidR="00F931A4" w:rsidRPr="00990D3B" w:rsidP="00BD1FC3" w14:paraId="66946CE5" w14:textId="77777777">
            <w:pPr>
              <w:pStyle w:val="EQRTableText"/>
            </w:pPr>
            <w:r w:rsidRPr="00990D3B">
              <w:t> </w:t>
            </w:r>
          </w:p>
        </w:tc>
      </w:tr>
      <w:tr w14:paraId="3BC9B927" w14:textId="77777777" w:rsidTr="00BD1FC3">
        <w:tblPrEx>
          <w:tblW w:w="5000" w:type="pct"/>
          <w:tblLook w:val="04A0"/>
        </w:tblPrEx>
        <w:tc>
          <w:tcPr>
            <w:tcW w:w="3387" w:type="dxa"/>
          </w:tcPr>
          <w:p w:rsidR="00F931A4" w:rsidRPr="00990D3B" w:rsidP="00BD1FC3" w14:paraId="31134A55" w14:textId="77777777">
            <w:pPr>
              <w:pStyle w:val="EQRTableText"/>
            </w:pPr>
            <w:r w:rsidRPr="00990D3B">
              <w:t xml:space="preserve">Year of first CHIP enrollment: </w:t>
            </w:r>
          </w:p>
        </w:tc>
        <w:tc>
          <w:tcPr>
            <w:tcW w:w="5963" w:type="dxa"/>
          </w:tcPr>
          <w:p w:rsidR="00F931A4" w:rsidRPr="00990D3B" w:rsidP="00BD1FC3" w14:paraId="4C177AAA" w14:textId="77777777">
            <w:pPr>
              <w:pStyle w:val="EQRTableText"/>
            </w:pPr>
            <w:r w:rsidRPr="00990D3B">
              <w:t> </w:t>
            </w:r>
          </w:p>
        </w:tc>
      </w:tr>
      <w:tr w14:paraId="1065C484" w14:textId="77777777" w:rsidTr="00BD1FC3">
        <w:tblPrEx>
          <w:tblW w:w="5000" w:type="pct"/>
          <w:tblLook w:val="04A0"/>
        </w:tblPrEx>
        <w:tc>
          <w:tcPr>
            <w:tcW w:w="3387" w:type="dxa"/>
          </w:tcPr>
          <w:p w:rsidR="00F931A4" w:rsidRPr="00990D3B" w:rsidP="00BD1FC3" w14:paraId="44D0EE80" w14:textId="77777777">
            <w:pPr>
              <w:pStyle w:val="EQRTableText"/>
            </w:pPr>
            <w:r w:rsidRPr="00990D3B">
              <w:t>Year of first MCP performance report (any product line)</w:t>
            </w:r>
          </w:p>
        </w:tc>
        <w:tc>
          <w:tcPr>
            <w:tcW w:w="5963" w:type="dxa"/>
          </w:tcPr>
          <w:p w:rsidR="00F931A4" w:rsidRPr="00990D3B" w:rsidP="00BD1FC3" w14:paraId="1E5A7C78" w14:textId="77777777">
            <w:pPr>
              <w:pStyle w:val="EQRTableText"/>
            </w:pPr>
            <w:r w:rsidRPr="00990D3B">
              <w:t> </w:t>
            </w:r>
          </w:p>
        </w:tc>
      </w:tr>
    </w:tbl>
    <w:p w:rsidR="00F931A4" w:rsidRPr="00990D3B" w:rsidP="002D35CF" w14:paraId="03E6D63C" w14:textId="3388DE6C">
      <w:pPr>
        <w:pStyle w:val="EQRNormalSSWORKSHEET"/>
        <w:numPr>
          <w:ilvl w:val="0"/>
          <w:numId w:val="61"/>
        </w:numPr>
        <w:ind w:left="288" w:hanging="288"/>
      </w:pPr>
      <w:r w:rsidRPr="00990D3B">
        <w:t>If any part of your network/data/</w:t>
      </w:r>
      <w:r w:rsidRPr="00990D3B" w:rsidR="005F509B">
        <w:t>enrollment</w:t>
      </w:r>
      <w:r w:rsidRPr="00990D3B">
        <w:t xml:space="preserve"> was excluded from a performance measure, how and why did you decide to exclude it?</w:t>
      </w:r>
    </w:p>
    <w:p w:rsidR="00F931A4" w:rsidRPr="00990D3B" w:rsidP="002D35CF" w14:paraId="49B56C80" w14:textId="77777777">
      <w:pPr>
        <w:pStyle w:val="EQRNormalSSWORKSHEET"/>
        <w:numPr>
          <w:ilvl w:val="0"/>
          <w:numId w:val="61"/>
        </w:numPr>
        <w:ind w:left="288" w:hanging="288"/>
      </w:pPr>
      <w:r w:rsidRPr="00990D3B">
        <w:t>Why did you select the reporting methodology (e.g., administrative, or hybrid) used to create each of the measures (where there was an option)?</w:t>
      </w:r>
    </w:p>
    <w:p w:rsidR="00F931A4" w:rsidRPr="00990D3B" w:rsidP="002D35CF" w14:paraId="501046E3" w14:textId="77777777">
      <w:pPr>
        <w:pStyle w:val="EQRNormalSSWORKSHEET"/>
        <w:numPr>
          <w:ilvl w:val="0"/>
          <w:numId w:val="61"/>
        </w:numPr>
        <w:ind w:left="288" w:hanging="288"/>
      </w:pPr>
      <w:r w:rsidRPr="00990D3B">
        <w:t>Did you use the state technical specifications as the specifications for the programmers, or did your MCP write its own instructions/translations for the programmers?</w:t>
      </w:r>
    </w:p>
    <w:p w:rsidR="00F931A4" w:rsidRPr="00990D3B" w:rsidP="002D35CF" w14:paraId="1B7C4AE2" w14:textId="77777777">
      <w:pPr>
        <w:pStyle w:val="EQRNormalSSWORKSHEET"/>
        <w:numPr>
          <w:ilvl w:val="0"/>
          <w:numId w:val="61"/>
        </w:numPr>
        <w:ind w:left="288" w:hanging="288"/>
      </w:pPr>
      <w:r w:rsidRPr="00990D3B">
        <w:t>Are there any manual processes used for calculating denominators and/or numerators? Are manual processes used for sampling?</w:t>
      </w:r>
    </w:p>
    <w:p w:rsidR="00F931A4" w:rsidRPr="00990D3B" w:rsidP="002D35CF" w14:paraId="0A518078" w14:textId="77777777">
      <w:pPr>
        <w:pStyle w:val="EQRNormalSSWORKSHEET"/>
        <w:numPr>
          <w:ilvl w:val="0"/>
          <w:numId w:val="61"/>
        </w:numPr>
        <w:ind w:left="288" w:hanging="288"/>
      </w:pPr>
      <w:r w:rsidRPr="00990D3B">
        <w:t>Are any measures calculated by vendors? If yes, are they checked for accuracy? Please describe.</w:t>
      </w:r>
    </w:p>
    <w:p w:rsidR="00F931A4" w:rsidRPr="00990D3B" w:rsidP="002D35CF" w14:paraId="73BA3031" w14:textId="77777777">
      <w:pPr>
        <w:pStyle w:val="EQRNormalSSWORKSHEET"/>
        <w:numPr>
          <w:ilvl w:val="0"/>
          <w:numId w:val="61"/>
        </w:numPr>
        <w:ind w:left="288" w:hanging="288"/>
      </w:pPr>
      <w:r w:rsidRPr="00990D3B">
        <w:t>Do you have any concerns about the integrity of the information used to create any of the measures? Please describe.</w:t>
      </w:r>
    </w:p>
    <w:p w:rsidR="00F931A4" w:rsidRPr="00990D3B" w:rsidP="002D35CF" w14:paraId="48D7B545" w14:textId="77777777">
      <w:pPr>
        <w:pStyle w:val="EQRNormalSSWORKSHEET"/>
        <w:numPr>
          <w:ilvl w:val="0"/>
          <w:numId w:val="61"/>
        </w:numPr>
        <w:ind w:left="288" w:hanging="288"/>
      </w:pPr>
      <w:r w:rsidRPr="00990D3B">
        <w:t>Do you know of any deviations from performance measure specifications that were necessary because of data available or because of your MCP’s information system capabilities?</w:t>
      </w:r>
    </w:p>
    <w:p w:rsidR="00F931A4" w:rsidRPr="00990D3B" w:rsidP="002D35CF" w14:paraId="16520072" w14:textId="77777777">
      <w:pPr>
        <w:pStyle w:val="EQRNormalSSWORKSHEET"/>
        <w:numPr>
          <w:ilvl w:val="0"/>
          <w:numId w:val="61"/>
        </w:numPr>
        <w:ind w:left="288" w:hanging="288"/>
      </w:pPr>
      <w:r w:rsidRPr="00990D3B">
        <w:t>Other issues.</w:t>
      </w:r>
    </w:p>
    <w:p w:rsidR="00F931A4" w:rsidRPr="00990D3B" w:rsidP="00BD1FC3" w14:paraId="713802D1" w14:textId="77777777">
      <w:pPr>
        <w:pStyle w:val="EQRMarkforExhibitWORKSHEET"/>
      </w:pPr>
      <w:bookmarkStart w:id="323" w:name="WSp2n12"/>
      <w:bookmarkStart w:id="324" w:name="_Toc125619156"/>
      <w:bookmarkStart w:id="325" w:name="_Toc201751505"/>
      <w:bookmarkEnd w:id="323"/>
      <w:r w:rsidRPr="00990D3B">
        <w:t>Worksheet 2.12. Policies, Procedures, and Data Used to Implement Sampling: Review Checklist</w:t>
      </w:r>
      <w:bookmarkEnd w:id="324"/>
      <w:bookmarkEnd w:id="325"/>
    </w:p>
    <w:p w:rsidR="00F931A4" w:rsidRPr="00990D3B" w:rsidP="00BD1FC3" w14:paraId="0CD0FC79" w14:textId="2C5A4C90">
      <w:pPr>
        <w:pStyle w:val="EQRNormalSSWORKSHEET"/>
      </w:pPr>
      <w:r w:rsidRPr="00990D3B">
        <w:rPr>
          <w:b/>
        </w:rPr>
        <w:t xml:space="preserve">Instructions. </w:t>
      </w:r>
      <w:r w:rsidRPr="00990D3B">
        <w:t>This checklist provides a list of documents, procedures, and data to assess the sampling process, if applicable</w:t>
      </w:r>
      <w:r w:rsidRPr="00990D3B" w:rsidR="00B331C8">
        <w:t xml:space="preserve">, </w:t>
      </w:r>
      <w:r w:rsidRPr="00990D3B">
        <w:t xml:space="preserve">as described in </w:t>
      </w:r>
      <w:hyperlink w:anchor="P2Act2Step5" w:tooltip="Activity 2, Step 5" w:history="1">
        <w:r w:rsidRPr="00990D3B">
          <w:rPr>
            <w:rStyle w:val="Hyperlink"/>
          </w:rPr>
          <w:t>Activity 2, Step 5</w:t>
        </w:r>
      </w:hyperlink>
      <w:r w:rsidRPr="00990D3B">
        <w:t xml:space="preserve">. </w:t>
      </w:r>
      <w:r w:rsidRPr="00990D3B" w:rsidR="0093699D">
        <w:t>For each policy, procedure, and data reviewed, indicate whether it was “Reviewed” or “Not Reviewed</w:t>
      </w:r>
      <w:r w:rsidRPr="00990D3B" w:rsidR="00B030E0">
        <w:t>”</w:t>
      </w:r>
      <w:r w:rsidRPr="00990D3B" w:rsidR="0093699D">
        <w:t xml:space="preserve"> and any relevant comments.</w:t>
      </w:r>
    </w:p>
    <w:p w:rsidR="00936A44" w:rsidRPr="00990D3B" w:rsidP="00BD1FC3" w14:paraId="6452C5E3" w14:textId="52540C43">
      <w:pPr>
        <w:pStyle w:val="EQRNormalSSWORKSHEET"/>
        <w:spacing w:before="0" w:line="240" w:lineRule="auto"/>
      </w:pPr>
      <w:r w:rsidRPr="00990D3B">
        <w:t>Acronyms: MCP</w:t>
      </w:r>
      <w:r w:rsidRPr="00990D3B" w:rsidR="00087072">
        <w:t xml:space="preserve"> </w:t>
      </w:r>
      <w:r w:rsidRPr="00990D3B">
        <w:t>= Managed Care Plan.</w:t>
      </w:r>
    </w:p>
    <w:tbl>
      <w:tblPr>
        <w:tblW w:w="5000" w:type="pct"/>
        <w:tblLayout w:type="fixed"/>
        <w:tblCellMar>
          <w:left w:w="98" w:type="dxa"/>
          <w:right w:w="98" w:type="dxa"/>
        </w:tblCellMar>
        <w:tblLook w:val="0000"/>
      </w:tblPr>
      <w:tblGrid>
        <w:gridCol w:w="4492"/>
        <w:gridCol w:w="1215"/>
        <w:gridCol w:w="1215"/>
        <w:gridCol w:w="2422"/>
      </w:tblGrid>
      <w:tr w14:paraId="50FF7AD9" w14:textId="77777777" w:rsidTr="00BD1FC3">
        <w:tblPrEx>
          <w:tblW w:w="5000" w:type="pct"/>
          <w:tblLayout w:type="fixed"/>
          <w:tblCellMar>
            <w:left w:w="98" w:type="dxa"/>
            <w:right w:w="98" w:type="dxa"/>
          </w:tblCellMar>
          <w:tblLook w:val="0000"/>
        </w:tblPrEx>
        <w:trPr>
          <w:cantSplit/>
          <w:tblHeader/>
        </w:trPr>
        <w:tc>
          <w:tcPr>
            <w:tcW w:w="4492"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52655" w14:paraId="48725AD7" w14:textId="77777777">
            <w:pPr>
              <w:pStyle w:val="EQRTableHeaderLeft"/>
              <w:rPr>
                <w:color w:val="auto"/>
              </w:rPr>
            </w:pPr>
            <w:r w:rsidRPr="00990D3B">
              <w:rPr>
                <w:color w:val="auto"/>
              </w:rPr>
              <w:t>Documents</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52655" w14:paraId="6613BC60" w14:textId="77777777">
            <w:pPr>
              <w:pStyle w:val="EQRTableHeaderCenter"/>
              <w:rPr>
                <w:color w:val="auto"/>
              </w:rPr>
            </w:pPr>
            <w:r w:rsidRPr="00990D3B">
              <w:rPr>
                <w:color w:val="auto"/>
              </w:rPr>
              <w:t>Reviewed</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52655" w14:paraId="1E2E99A6" w14:textId="77777777">
            <w:pPr>
              <w:pStyle w:val="EQRTableHeaderCenter"/>
              <w:rPr>
                <w:color w:val="auto"/>
              </w:rPr>
            </w:pPr>
            <w:r w:rsidRPr="00990D3B">
              <w:rPr>
                <w:color w:val="auto"/>
              </w:rPr>
              <w:t>Not Reviewed</w:t>
            </w:r>
          </w:p>
        </w:tc>
        <w:tc>
          <w:tcPr>
            <w:tcW w:w="2422"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52655" w14:paraId="7CC948EC" w14:textId="77777777">
            <w:pPr>
              <w:pStyle w:val="EQRTableHeaderCenter"/>
              <w:rPr>
                <w:color w:val="auto"/>
              </w:rPr>
            </w:pPr>
            <w:r w:rsidRPr="00990D3B">
              <w:rPr>
                <w:color w:val="auto"/>
              </w:rPr>
              <w:t>Comments</w:t>
            </w:r>
          </w:p>
        </w:tc>
      </w:tr>
      <w:tr w14:paraId="01791110" w14:textId="77777777" w:rsidTr="00BD1FC3">
        <w:tblPrEx>
          <w:tblW w:w="5000" w:type="pct"/>
          <w:tblLayout w:type="fixed"/>
          <w:tblCellMar>
            <w:left w:w="98" w:type="dxa"/>
            <w:right w:w="98" w:type="dxa"/>
          </w:tblCellMar>
          <w:tblLook w:val="0000"/>
        </w:tblPrEx>
        <w:tc>
          <w:tcPr>
            <w:tcW w:w="4492" w:type="dxa"/>
            <w:tcBorders>
              <w:top w:val="single" w:sz="6" w:space="0" w:color="000000"/>
              <w:left w:val="single" w:sz="6" w:space="0" w:color="000000"/>
              <w:bottom w:val="single" w:sz="6" w:space="0" w:color="000000"/>
              <w:right w:val="single" w:sz="6" w:space="0" w:color="000000"/>
            </w:tcBorders>
          </w:tcPr>
          <w:p w:rsidR="00F931A4" w:rsidRPr="00990D3B" w:rsidP="00BD1FC3" w14:paraId="7418AD12" w14:textId="77777777">
            <w:pPr>
              <w:pStyle w:val="EQRTableText"/>
            </w:pPr>
            <w:r w:rsidRPr="00990D3B">
              <w:t>Description of software used to execute sampling sort of population files when sampling (e.g., systematic) is used</w:t>
            </w:r>
          </w:p>
        </w:tc>
        <w:tc>
          <w:tcPr>
            <w:tcW w:w="1215"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71B48E5C" w14:textId="77777777">
            <w:pPr>
              <w:pStyle w:val="EQRTableText"/>
            </w:pPr>
            <w:r w:rsidRPr="00990D3B">
              <w:t> </w:t>
            </w:r>
          </w:p>
        </w:tc>
        <w:tc>
          <w:tcPr>
            <w:tcW w:w="1215"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36C66552" w14:textId="77777777">
            <w:pPr>
              <w:pStyle w:val="EQRTableText"/>
            </w:pPr>
            <w:r w:rsidRPr="00990D3B">
              <w:t> </w:t>
            </w:r>
          </w:p>
        </w:tc>
        <w:tc>
          <w:tcPr>
            <w:tcW w:w="242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7429C50A" w14:textId="77777777">
            <w:pPr>
              <w:pStyle w:val="EQRTableText"/>
            </w:pPr>
            <w:r w:rsidRPr="00990D3B">
              <w:t> </w:t>
            </w:r>
          </w:p>
        </w:tc>
      </w:tr>
      <w:tr w14:paraId="6FF018BB" w14:textId="77777777" w:rsidTr="00BD1FC3">
        <w:tblPrEx>
          <w:tblW w:w="5000" w:type="pct"/>
          <w:tblLayout w:type="fixed"/>
          <w:tblCellMar>
            <w:left w:w="98" w:type="dxa"/>
            <w:right w:w="98" w:type="dxa"/>
          </w:tblCellMar>
          <w:tblLook w:val="0000"/>
        </w:tblPrEx>
        <w:tc>
          <w:tcPr>
            <w:tcW w:w="4492" w:type="dxa"/>
            <w:tcBorders>
              <w:top w:val="single" w:sz="6" w:space="0" w:color="000000"/>
              <w:left w:val="single" w:sz="6" w:space="0" w:color="000000"/>
              <w:bottom w:val="single" w:sz="6" w:space="0" w:color="000000"/>
              <w:right w:val="single" w:sz="6" w:space="0" w:color="000000"/>
            </w:tcBorders>
          </w:tcPr>
          <w:p w:rsidR="00F931A4" w:rsidRPr="00990D3B" w:rsidP="00BD1FC3" w14:paraId="1C90532E" w14:textId="77777777">
            <w:pPr>
              <w:pStyle w:val="EQRTableText"/>
            </w:pPr>
            <w:r w:rsidRPr="00990D3B">
              <w:t xml:space="preserve">Policies to maintain files from which the samples are drawn </w:t>
            </w:r>
            <w:r w:rsidRPr="00990D3B">
              <w:t>in order to</w:t>
            </w:r>
            <w:r w:rsidRPr="00990D3B">
              <w:t xml:space="preserve"> keep population intact </w:t>
            </w:r>
            <w:r w:rsidRPr="00990D3B">
              <w:t>in the event that</w:t>
            </w:r>
            <w:r w:rsidRPr="00990D3B">
              <w:t xml:space="preserve"> a sample must be re-drawn or replacements made</w:t>
            </w:r>
          </w:p>
        </w:tc>
        <w:tc>
          <w:tcPr>
            <w:tcW w:w="1215"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67D3C04F" w14:textId="77777777">
            <w:pPr>
              <w:pStyle w:val="EQRTableText"/>
            </w:pPr>
            <w:r w:rsidRPr="00990D3B">
              <w:t> </w:t>
            </w:r>
          </w:p>
        </w:tc>
        <w:tc>
          <w:tcPr>
            <w:tcW w:w="1215"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41858FAC" w14:textId="77777777">
            <w:pPr>
              <w:pStyle w:val="EQRTableText"/>
            </w:pPr>
            <w:r w:rsidRPr="00990D3B">
              <w:t> </w:t>
            </w:r>
          </w:p>
        </w:tc>
        <w:tc>
          <w:tcPr>
            <w:tcW w:w="242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3BE58A1C" w14:textId="77777777">
            <w:pPr>
              <w:pStyle w:val="EQRTableText"/>
            </w:pPr>
            <w:r w:rsidRPr="00990D3B">
              <w:t> </w:t>
            </w:r>
          </w:p>
        </w:tc>
      </w:tr>
      <w:tr w14:paraId="1EB128C3" w14:textId="77777777" w:rsidTr="00BD1FC3">
        <w:tblPrEx>
          <w:tblW w:w="5000" w:type="pct"/>
          <w:tblLayout w:type="fixed"/>
          <w:tblCellMar>
            <w:left w:w="98" w:type="dxa"/>
            <w:right w:w="98" w:type="dxa"/>
          </w:tblCellMar>
          <w:tblLook w:val="0000"/>
        </w:tblPrEx>
        <w:tc>
          <w:tcPr>
            <w:tcW w:w="4492" w:type="dxa"/>
            <w:tcBorders>
              <w:top w:val="single" w:sz="6" w:space="0" w:color="000000"/>
              <w:left w:val="single" w:sz="6" w:space="0" w:color="000000"/>
              <w:bottom w:val="single" w:sz="6" w:space="0" w:color="000000"/>
              <w:right w:val="single" w:sz="6" w:space="0" w:color="000000"/>
            </w:tcBorders>
          </w:tcPr>
          <w:p w:rsidR="00F931A4" w:rsidRPr="00990D3B" w:rsidP="00BD1FC3" w14:paraId="68F19F7D" w14:textId="77777777">
            <w:pPr>
              <w:pStyle w:val="EQRTableText"/>
            </w:pPr>
            <w:r w:rsidRPr="00990D3B">
              <w:t>Computer source code or logic identifying specified sampling techniques, and documentation that the logic matches the specifications set forth for each performance measure, including sample size and exclusion methodology</w:t>
            </w:r>
          </w:p>
        </w:tc>
        <w:tc>
          <w:tcPr>
            <w:tcW w:w="1215"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18806B6F" w14:textId="77777777">
            <w:pPr>
              <w:pStyle w:val="EQRTableText"/>
            </w:pPr>
            <w:r w:rsidRPr="00990D3B">
              <w:t> </w:t>
            </w:r>
          </w:p>
        </w:tc>
        <w:tc>
          <w:tcPr>
            <w:tcW w:w="1215"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11A63FD1" w14:textId="77777777">
            <w:pPr>
              <w:pStyle w:val="EQRTableText"/>
            </w:pPr>
            <w:r w:rsidRPr="00990D3B">
              <w:t> </w:t>
            </w:r>
          </w:p>
        </w:tc>
        <w:tc>
          <w:tcPr>
            <w:tcW w:w="242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31EAFB23" w14:textId="77777777">
            <w:pPr>
              <w:pStyle w:val="EQRTableText"/>
            </w:pPr>
            <w:r w:rsidRPr="00990D3B">
              <w:t> </w:t>
            </w:r>
          </w:p>
        </w:tc>
      </w:tr>
      <w:tr w14:paraId="6C60F0C9" w14:textId="77777777" w:rsidTr="00BD1FC3">
        <w:tblPrEx>
          <w:tblW w:w="5000" w:type="pct"/>
          <w:tblLayout w:type="fixed"/>
          <w:tblCellMar>
            <w:left w:w="98" w:type="dxa"/>
            <w:right w:w="98" w:type="dxa"/>
          </w:tblCellMar>
          <w:tblLook w:val="0000"/>
        </w:tblPrEx>
        <w:tc>
          <w:tcPr>
            <w:tcW w:w="4492" w:type="dxa"/>
            <w:tcBorders>
              <w:top w:val="single" w:sz="6" w:space="0" w:color="000000"/>
              <w:left w:val="single" w:sz="6" w:space="0" w:color="000000"/>
              <w:bottom w:val="single" w:sz="6" w:space="0" w:color="000000"/>
              <w:right w:val="single" w:sz="6" w:space="0" w:color="000000"/>
            </w:tcBorders>
          </w:tcPr>
          <w:p w:rsidR="00F931A4" w:rsidRPr="00990D3B" w:rsidP="00BD1FC3" w14:paraId="0D75796A" w14:textId="77777777">
            <w:pPr>
              <w:pStyle w:val="EQRTableText"/>
            </w:pPr>
            <w:r w:rsidRPr="00990D3B">
              <w:t>Methods used for sampling for measures calling for hybrid data or medical record review</w:t>
            </w:r>
          </w:p>
        </w:tc>
        <w:tc>
          <w:tcPr>
            <w:tcW w:w="1215"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6EBF904D" w14:textId="77777777">
            <w:pPr>
              <w:pStyle w:val="EQRTableText"/>
            </w:pPr>
            <w:r w:rsidRPr="00990D3B">
              <w:t> </w:t>
            </w:r>
          </w:p>
        </w:tc>
        <w:tc>
          <w:tcPr>
            <w:tcW w:w="1215"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460FCE09" w14:textId="77777777">
            <w:pPr>
              <w:pStyle w:val="EQRTableText"/>
            </w:pPr>
            <w:r w:rsidRPr="00990D3B">
              <w:t> </w:t>
            </w:r>
          </w:p>
        </w:tc>
        <w:tc>
          <w:tcPr>
            <w:tcW w:w="242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6760170B" w14:textId="77777777">
            <w:pPr>
              <w:pStyle w:val="EQRTableText"/>
            </w:pPr>
            <w:r w:rsidRPr="00990D3B">
              <w:t> </w:t>
            </w:r>
          </w:p>
        </w:tc>
      </w:tr>
      <w:tr w14:paraId="478698E9" w14:textId="77777777" w:rsidTr="00BD1FC3">
        <w:tblPrEx>
          <w:tblW w:w="5000" w:type="pct"/>
          <w:tblLayout w:type="fixed"/>
          <w:tblCellMar>
            <w:left w:w="98" w:type="dxa"/>
            <w:right w:w="98" w:type="dxa"/>
          </w:tblCellMar>
          <w:tblLook w:val="0000"/>
        </w:tblPrEx>
        <w:tc>
          <w:tcPr>
            <w:tcW w:w="4492" w:type="dxa"/>
            <w:tcBorders>
              <w:top w:val="single" w:sz="6" w:space="0" w:color="000000"/>
              <w:left w:val="single" w:sz="6" w:space="0" w:color="000000"/>
              <w:bottom w:val="single" w:sz="6" w:space="0" w:color="000000"/>
              <w:right w:val="single" w:sz="6" w:space="0" w:color="000000"/>
            </w:tcBorders>
          </w:tcPr>
          <w:p w:rsidR="00F931A4" w:rsidRPr="00990D3B" w:rsidP="00BD1FC3" w14:paraId="5E024F85" w14:textId="77777777">
            <w:pPr>
              <w:pStyle w:val="EQRTableText"/>
            </w:pPr>
            <w:r w:rsidRPr="00990D3B">
              <w:t>Documentation assuring that sampling methodology treats all measures independently, and that there is no correlation between drawn samples</w:t>
            </w:r>
          </w:p>
        </w:tc>
        <w:tc>
          <w:tcPr>
            <w:tcW w:w="1215"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19B18EF0" w14:textId="77777777">
            <w:pPr>
              <w:pStyle w:val="EQRTableText"/>
            </w:pPr>
            <w:r w:rsidRPr="00990D3B">
              <w:t> </w:t>
            </w:r>
          </w:p>
        </w:tc>
        <w:tc>
          <w:tcPr>
            <w:tcW w:w="1215"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4BC55D10" w14:textId="77777777">
            <w:pPr>
              <w:pStyle w:val="EQRTableText"/>
            </w:pPr>
            <w:r w:rsidRPr="00990D3B">
              <w:t> </w:t>
            </w:r>
          </w:p>
        </w:tc>
        <w:tc>
          <w:tcPr>
            <w:tcW w:w="242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6D8FFA6A" w14:textId="77777777">
            <w:pPr>
              <w:pStyle w:val="EQRTableText"/>
            </w:pPr>
            <w:r w:rsidRPr="00990D3B">
              <w:t> </w:t>
            </w:r>
          </w:p>
        </w:tc>
      </w:tr>
      <w:tr w14:paraId="1F47F336" w14:textId="77777777" w:rsidTr="00BD1FC3">
        <w:tblPrEx>
          <w:tblW w:w="5000" w:type="pct"/>
          <w:tblLayout w:type="fixed"/>
          <w:tblCellMar>
            <w:left w:w="98" w:type="dxa"/>
            <w:right w:w="98" w:type="dxa"/>
          </w:tblCellMar>
          <w:tblLook w:val="0000"/>
        </w:tblPrEx>
        <w:tc>
          <w:tcPr>
            <w:tcW w:w="4492" w:type="dxa"/>
            <w:tcBorders>
              <w:top w:val="single" w:sz="6" w:space="0" w:color="000000"/>
              <w:left w:val="single" w:sz="6" w:space="0" w:color="000000"/>
              <w:bottom w:val="single" w:sz="6" w:space="0" w:color="000000"/>
              <w:right w:val="single" w:sz="6" w:space="0" w:color="000000"/>
            </w:tcBorders>
          </w:tcPr>
          <w:p w:rsidR="00F931A4" w:rsidRPr="00990D3B" w:rsidP="00BD1FC3" w14:paraId="11A50BC6" w14:textId="77777777">
            <w:pPr>
              <w:pStyle w:val="EQRTableText"/>
            </w:pPr>
            <w:r w:rsidRPr="00990D3B">
              <w:t xml:space="preserve">Observation of </w:t>
            </w:r>
            <w:r w:rsidRPr="00990D3B">
              <w:t>or</w:t>
            </w:r>
            <w:r w:rsidRPr="00990D3B">
              <w:t xml:space="preserve"> documentation of procedures in which a biased sample was identified and corrected</w:t>
            </w:r>
          </w:p>
        </w:tc>
        <w:tc>
          <w:tcPr>
            <w:tcW w:w="1215"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03C15857" w14:textId="77777777">
            <w:pPr>
              <w:pStyle w:val="EQRTableText"/>
            </w:pPr>
            <w:r w:rsidRPr="00990D3B">
              <w:t> </w:t>
            </w:r>
          </w:p>
        </w:tc>
        <w:tc>
          <w:tcPr>
            <w:tcW w:w="1215"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2B66B7EE" w14:textId="77777777">
            <w:pPr>
              <w:pStyle w:val="EQRTableText"/>
            </w:pPr>
            <w:r w:rsidRPr="00990D3B">
              <w:t> </w:t>
            </w:r>
          </w:p>
        </w:tc>
        <w:tc>
          <w:tcPr>
            <w:tcW w:w="242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1EAAF364" w14:textId="77777777">
            <w:pPr>
              <w:pStyle w:val="EQRTableText"/>
            </w:pPr>
            <w:r w:rsidRPr="00990D3B">
              <w:t> </w:t>
            </w:r>
          </w:p>
        </w:tc>
      </w:tr>
      <w:tr w14:paraId="27124536" w14:textId="77777777" w:rsidTr="00BD1FC3">
        <w:tblPrEx>
          <w:tblW w:w="5000" w:type="pct"/>
          <w:tblLayout w:type="fixed"/>
          <w:tblCellMar>
            <w:left w:w="98" w:type="dxa"/>
            <w:right w:w="98" w:type="dxa"/>
          </w:tblCellMar>
          <w:tblLook w:val="0000"/>
        </w:tblPrEx>
        <w:tc>
          <w:tcPr>
            <w:tcW w:w="4492" w:type="dxa"/>
            <w:tcBorders>
              <w:top w:val="single" w:sz="6" w:space="0" w:color="000000"/>
              <w:left w:val="single" w:sz="6" w:space="0" w:color="000000"/>
              <w:bottom w:val="single" w:sz="6" w:space="0" w:color="000000"/>
              <w:right w:val="single" w:sz="6" w:space="0" w:color="000000"/>
            </w:tcBorders>
          </w:tcPr>
          <w:p w:rsidR="00F931A4" w:rsidRPr="00990D3B" w:rsidP="00BD1FC3" w14:paraId="264A14B8" w14:textId="3FC0BCA3">
            <w:pPr>
              <w:pStyle w:val="EQRTableText"/>
            </w:pPr>
            <w:r w:rsidRPr="00990D3B">
              <w:t>Documentation of “frozen” or archived files from which the samples were drawn, and if applicable, documentation of the MC</w:t>
            </w:r>
            <w:r w:rsidRPr="00990D3B" w:rsidR="00B14405">
              <w:t>P</w:t>
            </w:r>
            <w:r w:rsidRPr="00990D3B">
              <w:t>’s process to re-draw a sample or obtain necessary replacements</w:t>
            </w:r>
          </w:p>
        </w:tc>
        <w:tc>
          <w:tcPr>
            <w:tcW w:w="1215"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03098FDE" w14:textId="77777777">
            <w:pPr>
              <w:pStyle w:val="EQRTableText"/>
            </w:pPr>
            <w:r w:rsidRPr="00990D3B">
              <w:t> </w:t>
            </w:r>
          </w:p>
        </w:tc>
        <w:tc>
          <w:tcPr>
            <w:tcW w:w="1215"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20E0F3E5" w14:textId="77777777">
            <w:pPr>
              <w:pStyle w:val="EQRTableText"/>
            </w:pPr>
            <w:r w:rsidRPr="00990D3B">
              <w:t> </w:t>
            </w:r>
          </w:p>
        </w:tc>
        <w:tc>
          <w:tcPr>
            <w:tcW w:w="242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70F94D2A" w14:textId="77777777">
            <w:pPr>
              <w:pStyle w:val="EQRTableText"/>
            </w:pPr>
            <w:r w:rsidRPr="00990D3B">
              <w:t> </w:t>
            </w:r>
          </w:p>
        </w:tc>
      </w:tr>
      <w:tr w14:paraId="4FD1EAFA" w14:textId="77777777" w:rsidTr="00BD1FC3">
        <w:tblPrEx>
          <w:tblW w:w="5000" w:type="pct"/>
          <w:tblLayout w:type="fixed"/>
          <w:tblCellMar>
            <w:left w:w="98" w:type="dxa"/>
            <w:right w:w="98" w:type="dxa"/>
          </w:tblCellMar>
          <w:tblLook w:val="0000"/>
        </w:tblPrEx>
        <w:tc>
          <w:tcPr>
            <w:tcW w:w="4492" w:type="dxa"/>
            <w:tcBorders>
              <w:top w:val="single" w:sz="6" w:space="0" w:color="000000"/>
              <w:left w:val="single" w:sz="6" w:space="0" w:color="000000"/>
              <w:bottom w:val="single" w:sz="6" w:space="0" w:color="000000"/>
              <w:right w:val="single" w:sz="6" w:space="0" w:color="000000"/>
            </w:tcBorders>
          </w:tcPr>
          <w:p w:rsidR="00F931A4" w:rsidRPr="00990D3B" w:rsidP="00BD1FC3" w14:paraId="02F5F353" w14:textId="77777777">
            <w:pPr>
              <w:pStyle w:val="EQRTableText"/>
            </w:pPr>
            <w:r w:rsidRPr="00990D3B">
              <w:rPr>
                <w:b/>
              </w:rPr>
              <w:t>Overall assessment:</w:t>
            </w:r>
            <w:r w:rsidRPr="00990D3B">
              <w:t xml:space="preserve"> In the comments section, note any recommendations to improve documentation or demonstrations to assess the sampling process</w:t>
            </w:r>
          </w:p>
        </w:tc>
        <w:tc>
          <w:tcPr>
            <w:tcW w:w="1215" w:type="dxa"/>
            <w:tcBorders>
              <w:top w:val="single" w:sz="6" w:space="0" w:color="000000"/>
              <w:left w:val="single" w:sz="6" w:space="0" w:color="000000"/>
              <w:bottom w:val="single" w:sz="6" w:space="0" w:color="000000"/>
              <w:right w:val="single" w:sz="6" w:space="0" w:color="000000"/>
            </w:tcBorders>
            <w:shd w:val="solid" w:color="BFBFBF" w:fill="A6A6A6" w:themeColor="background1" w:themeShade="BF" w:themeFill="background1" w:themeFillShade="A6"/>
          </w:tcPr>
          <w:p w:rsidR="00F931A4" w:rsidRPr="00990D3B" w:rsidP="00BD1FC3" w14:paraId="30846E4D" w14:textId="77777777">
            <w:pPr>
              <w:pStyle w:val="EQRTableText"/>
            </w:pPr>
            <w:r w:rsidRPr="00990D3B">
              <w:t> </w:t>
            </w:r>
          </w:p>
        </w:tc>
        <w:tc>
          <w:tcPr>
            <w:tcW w:w="1215" w:type="dxa"/>
            <w:tcBorders>
              <w:top w:val="single" w:sz="6" w:space="0" w:color="000000"/>
              <w:left w:val="single" w:sz="6" w:space="0" w:color="000000"/>
              <w:bottom w:val="single" w:sz="6" w:space="0" w:color="000000"/>
              <w:right w:val="single" w:sz="6" w:space="0" w:color="000000"/>
            </w:tcBorders>
            <w:shd w:val="solid" w:color="BFBFBF" w:fill="A6A6A6" w:themeColor="background1" w:themeShade="BF" w:themeFill="background1" w:themeFillShade="A6"/>
          </w:tcPr>
          <w:p w:rsidR="00F931A4" w:rsidRPr="00990D3B" w:rsidP="00BD1FC3" w14:paraId="63884DD3" w14:textId="77777777">
            <w:pPr>
              <w:pStyle w:val="EQRTableText"/>
            </w:pPr>
            <w:r w:rsidRPr="00990D3B">
              <w:t> </w:t>
            </w:r>
          </w:p>
        </w:tc>
        <w:tc>
          <w:tcPr>
            <w:tcW w:w="2422" w:type="dxa"/>
            <w:tcBorders>
              <w:top w:val="single" w:sz="6" w:space="0" w:color="000000"/>
              <w:left w:val="single" w:sz="6" w:space="0" w:color="000000"/>
              <w:bottom w:val="single" w:sz="6" w:space="0" w:color="000000"/>
              <w:right w:val="single" w:sz="6" w:space="0" w:color="000000"/>
            </w:tcBorders>
            <w:shd w:val="solid" w:color="FFFFFF" w:fill="FFFFFF"/>
          </w:tcPr>
          <w:p w:rsidR="00F931A4" w:rsidRPr="00990D3B" w:rsidP="00BD1FC3" w14:paraId="7F1E7DED" w14:textId="77777777">
            <w:pPr>
              <w:pStyle w:val="EQRTableText"/>
            </w:pPr>
            <w:r w:rsidRPr="00990D3B">
              <w:t> </w:t>
            </w:r>
          </w:p>
        </w:tc>
      </w:tr>
    </w:tbl>
    <w:p w:rsidR="005D684C" w:rsidRPr="00990D3B" w:rsidP="00BD1FC3" w14:paraId="45DA3364" w14:textId="77777777">
      <w:pPr>
        <w:spacing w:line="240" w:lineRule="auto"/>
        <w:rPr>
          <w:rFonts w:ascii="Arial Black" w:eastAsia="Arial" w:hAnsi="Arial Black" w:cs="Arial"/>
          <w:color w:val="000000" w:themeColor="text1"/>
          <w:sz w:val="19"/>
          <w:szCs w:val="19"/>
        </w:rPr>
      </w:pPr>
      <w:bookmarkStart w:id="326" w:name="WSp2n13"/>
      <w:bookmarkEnd w:id="326"/>
      <w:r w:rsidRPr="00990D3B">
        <w:br w:type="page"/>
      </w:r>
    </w:p>
    <w:p w:rsidR="00F931A4" w:rsidRPr="00990D3B" w:rsidP="00BD1FC3" w14:paraId="32E44FD2" w14:textId="10FC9B30">
      <w:pPr>
        <w:pStyle w:val="EQRMarkforExhibitWORKSHEET"/>
        <w:spacing w:after="0"/>
      </w:pPr>
      <w:bookmarkStart w:id="327" w:name="_Toc125619157"/>
      <w:bookmarkStart w:id="328" w:name="_Toc201751506"/>
      <w:r w:rsidRPr="00990D3B">
        <w:t>Worksheet 2.13. Sampling Validation Findings</w:t>
      </w:r>
      <w:bookmarkEnd w:id="327"/>
      <w:bookmarkEnd w:id="328"/>
    </w:p>
    <w:p w:rsidR="00F931A4" w:rsidRPr="00990D3B" w:rsidP="00252655" w14:paraId="7BD6F11E" w14:textId="2C2B8FD4">
      <w:pPr>
        <w:pStyle w:val="EQRNormalSSWORKSHEET"/>
      </w:pPr>
      <w:r w:rsidRPr="00990D3B">
        <w:rPr>
          <w:b/>
        </w:rPr>
        <w:t xml:space="preserve">Instructions. </w:t>
      </w:r>
      <w:r w:rsidRPr="00990D3B">
        <w:t xml:space="preserve">This checklist provides a list of documents, procedures, and data to assess the sampling process across the following elements: (1) the MCP followed the specified sampling method to produce an unbiased sample that is representative of the entire included population, (2) the MCP maintains its performance measurement population files/data sets in a manner that allows a sample to be re-drawn or used as a source for replacement, (3) sample sizes collected conform to the methodology set forth in the performance measure specifications and the sample is representative of the entire population, and (4) for performance measures that include medical record review (e.g., hybrid data collection methodology), proper substitution methodology was followed. This worksheet is applicable to </w:t>
      </w:r>
      <w:hyperlink w:anchor="P2Act2Step4" w:tooltip="Activity 2, Step 4" w:history="1">
        <w:r w:rsidRPr="00990D3B">
          <w:rPr>
            <w:rStyle w:val="Hyperlink"/>
          </w:rPr>
          <w:t>Activity 2, Step 4</w:t>
        </w:r>
      </w:hyperlink>
      <w:r w:rsidRPr="00990D3B">
        <w:t xml:space="preserve"> and </w:t>
      </w:r>
      <w:hyperlink w:anchor="P2A3" w:tooltip="Activity 3" w:history="1">
        <w:r w:rsidRPr="00990D3B">
          <w:rPr>
            <w:rStyle w:val="Hyperlink"/>
          </w:rPr>
          <w:t>Activity 3</w:t>
        </w:r>
      </w:hyperlink>
      <w:r w:rsidRPr="00990D3B">
        <w:t xml:space="preserve">. </w:t>
      </w:r>
      <w:r w:rsidRPr="00990D3B" w:rsidR="0093699D">
        <w:t>For each audit element reviewed, indicate whether it was “Met</w:t>
      </w:r>
      <w:r w:rsidRPr="00990D3B" w:rsidR="0093699D">
        <w:t>” ,</w:t>
      </w:r>
      <w:r w:rsidRPr="00990D3B" w:rsidR="0093699D">
        <w:t xml:space="preserve"> “Not Met”, or “Not Applicable” and any relevant comments.</w:t>
      </w:r>
    </w:p>
    <w:p w:rsidR="00936A44" w:rsidRPr="00990D3B" w:rsidP="00BD1FC3" w14:paraId="3DB6D4C0" w14:textId="7D674C64">
      <w:pPr>
        <w:pStyle w:val="EQRNormalSSWORKSHEET"/>
        <w:spacing w:before="0" w:line="240" w:lineRule="auto"/>
      </w:pPr>
      <w:r w:rsidRPr="00990D3B">
        <w:t>Acronyms: MCP</w:t>
      </w:r>
      <w:r w:rsidRPr="00990D3B" w:rsidR="00087072">
        <w:t xml:space="preserve"> </w:t>
      </w:r>
      <w:r w:rsidRPr="00990D3B">
        <w:t>= Managed Care Plan; NA = Not Applicable.</w:t>
      </w:r>
    </w:p>
    <w:tbl>
      <w:tblPr>
        <w:tblW w:w="5000" w:type="pct"/>
        <w:tblLayout w:type="fixed"/>
        <w:tblCellMar>
          <w:left w:w="90" w:type="dxa"/>
          <w:right w:w="90" w:type="dxa"/>
        </w:tblCellMar>
        <w:tblLook w:val="0000"/>
      </w:tblPr>
      <w:tblGrid>
        <w:gridCol w:w="4429"/>
        <w:gridCol w:w="696"/>
        <w:gridCol w:w="696"/>
        <w:gridCol w:w="696"/>
        <w:gridCol w:w="2827"/>
      </w:tblGrid>
      <w:tr w14:paraId="196B16CD" w14:textId="77777777" w:rsidTr="00BD1FC3">
        <w:tblPrEx>
          <w:tblW w:w="5000" w:type="pct"/>
          <w:tblLayout w:type="fixed"/>
          <w:tblCellMar>
            <w:left w:w="90" w:type="dxa"/>
            <w:right w:w="90" w:type="dxa"/>
          </w:tblCellMar>
          <w:tblLook w:val="0000"/>
        </w:tblPrEx>
        <w:trPr>
          <w:cantSplit/>
          <w:tblHeader/>
        </w:trPr>
        <w:tc>
          <w:tcPr>
            <w:tcW w:w="4429"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52655" w14:paraId="7FED1730" w14:textId="6AE5FE4F">
            <w:pPr>
              <w:pStyle w:val="EQRTableHeaderLeft"/>
              <w:rPr>
                <w:color w:val="auto"/>
              </w:rPr>
            </w:pPr>
            <w:r w:rsidRPr="00990D3B">
              <w:rPr>
                <w:color w:val="auto"/>
              </w:rPr>
              <w:t xml:space="preserve">Audit </w:t>
            </w:r>
            <w:r w:rsidRPr="00990D3B" w:rsidR="00DE2282">
              <w:rPr>
                <w:color w:val="auto"/>
              </w:rPr>
              <w:t>e</w:t>
            </w:r>
            <w:r w:rsidRPr="00990D3B">
              <w:rPr>
                <w:color w:val="auto"/>
              </w:rPr>
              <w:t xml:space="preserve">lement: </w:t>
            </w:r>
            <w:r w:rsidRPr="00990D3B" w:rsidR="00DE2282">
              <w:rPr>
                <w:color w:val="auto"/>
              </w:rPr>
              <w:t>S</w:t>
            </w:r>
            <w:r w:rsidRPr="00990D3B">
              <w:rPr>
                <w:color w:val="auto"/>
              </w:rPr>
              <w:t xml:space="preserve">ampling </w:t>
            </w:r>
            <w:r w:rsidRPr="00990D3B" w:rsidR="00DE2282">
              <w:rPr>
                <w:color w:val="auto"/>
              </w:rPr>
              <w:t>m</w:t>
            </w:r>
            <w:r w:rsidRPr="00990D3B">
              <w:rPr>
                <w:color w:val="auto"/>
              </w:rPr>
              <w:t>ethod</w:t>
            </w:r>
          </w:p>
        </w:tc>
        <w:tc>
          <w:tcPr>
            <w:tcW w:w="696"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52655" w14:paraId="459F800D" w14:textId="77777777">
            <w:pPr>
              <w:pStyle w:val="EQRTableHeaderCenter"/>
              <w:rPr>
                <w:color w:val="auto"/>
              </w:rPr>
            </w:pPr>
            <w:r w:rsidRPr="00990D3B">
              <w:rPr>
                <w:color w:val="auto"/>
              </w:rPr>
              <w:t>Met</w:t>
            </w:r>
          </w:p>
        </w:tc>
        <w:tc>
          <w:tcPr>
            <w:tcW w:w="696"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52655" w14:paraId="1300570E" w14:textId="77777777">
            <w:pPr>
              <w:pStyle w:val="EQRTableHeaderCenter"/>
              <w:rPr>
                <w:color w:val="auto"/>
              </w:rPr>
            </w:pPr>
            <w:r w:rsidRPr="00990D3B">
              <w:rPr>
                <w:color w:val="auto"/>
              </w:rPr>
              <w:t>Not Met</w:t>
            </w:r>
          </w:p>
        </w:tc>
        <w:tc>
          <w:tcPr>
            <w:tcW w:w="696"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52655" w14:paraId="0F186FE2" w14:textId="16B4D7CD">
            <w:pPr>
              <w:pStyle w:val="EQRTableHeaderCenter"/>
              <w:rPr>
                <w:color w:val="auto"/>
              </w:rPr>
            </w:pPr>
            <w:r w:rsidRPr="00990D3B">
              <w:rPr>
                <w:color w:val="auto"/>
              </w:rPr>
              <w:t>NA</w:t>
            </w:r>
          </w:p>
        </w:tc>
        <w:tc>
          <w:tcPr>
            <w:tcW w:w="2827"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52655" w14:paraId="3788E2A1" w14:textId="77777777">
            <w:pPr>
              <w:pStyle w:val="EQRTableHeaderCenter"/>
              <w:rPr>
                <w:color w:val="auto"/>
              </w:rPr>
            </w:pPr>
            <w:r w:rsidRPr="00990D3B">
              <w:rPr>
                <w:color w:val="auto"/>
              </w:rPr>
              <w:t>Comments</w:t>
            </w:r>
          </w:p>
        </w:tc>
      </w:tr>
      <w:tr w14:paraId="051D098D" w14:textId="77777777" w:rsidTr="00BD1FC3">
        <w:tblPrEx>
          <w:tblW w:w="5000" w:type="pct"/>
          <w:tblLayout w:type="fixed"/>
          <w:tblCellMar>
            <w:left w:w="90" w:type="dxa"/>
            <w:right w:w="90" w:type="dxa"/>
          </w:tblCellMar>
          <w:tblLook w:val="0000"/>
        </w:tblPrEx>
        <w:trPr>
          <w:cantSplit/>
        </w:trPr>
        <w:tc>
          <w:tcPr>
            <w:tcW w:w="4429" w:type="dxa"/>
            <w:tcBorders>
              <w:top w:val="single" w:sz="6" w:space="0" w:color="000000"/>
              <w:left w:val="single" w:sz="6" w:space="0" w:color="000000"/>
              <w:bottom w:val="single" w:sz="6" w:space="0" w:color="000000"/>
              <w:right w:val="single" w:sz="6" w:space="0" w:color="000000"/>
            </w:tcBorders>
          </w:tcPr>
          <w:p w:rsidR="00F931A4" w:rsidRPr="00990D3B" w:rsidP="00BD1FC3" w14:paraId="3C5687EC" w14:textId="32C791F7">
            <w:pPr>
              <w:pStyle w:val="EQRTableText"/>
            </w:pPr>
            <w:r w:rsidRPr="00990D3B">
              <w:t xml:space="preserve">Each relevant </w:t>
            </w:r>
            <w:r w:rsidRPr="00990D3B" w:rsidR="002F4DD4">
              <w:t>enrollee</w:t>
            </w:r>
            <w:r w:rsidRPr="00990D3B">
              <w:t xml:space="preserve"> or provider had an equal chance of being selected; no one was systematically excluded from the sampling.</w:t>
            </w:r>
          </w:p>
        </w:tc>
        <w:tc>
          <w:tcPr>
            <w:tcW w:w="696" w:type="dxa"/>
            <w:tcBorders>
              <w:top w:val="single" w:sz="6" w:space="0" w:color="000000"/>
              <w:left w:val="single" w:sz="6" w:space="0" w:color="000000"/>
              <w:bottom w:val="single" w:sz="6" w:space="0" w:color="000000"/>
              <w:right w:val="single" w:sz="6" w:space="0" w:color="000000"/>
            </w:tcBorders>
          </w:tcPr>
          <w:p w:rsidR="00F931A4" w:rsidRPr="00990D3B" w:rsidP="00BD1FC3" w14:paraId="5EA92D38" w14:textId="77777777">
            <w:pPr>
              <w:pStyle w:val="EQRTableText"/>
            </w:pPr>
            <w:r w:rsidRPr="00990D3B">
              <w:t> </w:t>
            </w:r>
          </w:p>
        </w:tc>
        <w:tc>
          <w:tcPr>
            <w:tcW w:w="696" w:type="dxa"/>
            <w:tcBorders>
              <w:top w:val="single" w:sz="6" w:space="0" w:color="000000"/>
              <w:left w:val="single" w:sz="6" w:space="0" w:color="000000"/>
              <w:bottom w:val="single" w:sz="6" w:space="0" w:color="000000"/>
              <w:right w:val="single" w:sz="6" w:space="0" w:color="000000"/>
            </w:tcBorders>
          </w:tcPr>
          <w:p w:rsidR="00F931A4" w:rsidRPr="00990D3B" w:rsidP="00BD1FC3" w14:paraId="1B3897EF" w14:textId="77777777">
            <w:pPr>
              <w:pStyle w:val="EQRTableText"/>
            </w:pPr>
            <w:r w:rsidRPr="00990D3B">
              <w:t> </w:t>
            </w:r>
          </w:p>
        </w:tc>
        <w:tc>
          <w:tcPr>
            <w:tcW w:w="696" w:type="dxa"/>
            <w:tcBorders>
              <w:top w:val="single" w:sz="6" w:space="0" w:color="000000"/>
              <w:left w:val="single" w:sz="6" w:space="0" w:color="000000"/>
              <w:bottom w:val="single" w:sz="6" w:space="0" w:color="000000"/>
              <w:right w:val="single" w:sz="6" w:space="0" w:color="000000"/>
            </w:tcBorders>
          </w:tcPr>
          <w:p w:rsidR="00F931A4" w:rsidRPr="00990D3B" w:rsidP="00BD1FC3" w14:paraId="65297673" w14:textId="77777777">
            <w:pPr>
              <w:pStyle w:val="EQRTableText"/>
            </w:pPr>
            <w:r w:rsidRPr="00990D3B">
              <w:t> </w:t>
            </w:r>
          </w:p>
        </w:tc>
        <w:tc>
          <w:tcPr>
            <w:tcW w:w="2827" w:type="dxa"/>
            <w:tcBorders>
              <w:top w:val="single" w:sz="6" w:space="0" w:color="000000"/>
              <w:left w:val="single" w:sz="6" w:space="0" w:color="000000"/>
              <w:bottom w:val="single" w:sz="6" w:space="0" w:color="000000"/>
              <w:right w:val="single" w:sz="6" w:space="0" w:color="000000"/>
            </w:tcBorders>
          </w:tcPr>
          <w:p w:rsidR="00F931A4" w:rsidRPr="00990D3B" w:rsidP="00BD1FC3" w14:paraId="02B216B0" w14:textId="77777777">
            <w:pPr>
              <w:pStyle w:val="EQRTableText"/>
            </w:pPr>
            <w:r w:rsidRPr="00990D3B">
              <w:t> </w:t>
            </w:r>
          </w:p>
        </w:tc>
      </w:tr>
      <w:tr w14:paraId="733098A9" w14:textId="77777777" w:rsidTr="00BD1FC3">
        <w:tblPrEx>
          <w:tblW w:w="5000" w:type="pct"/>
          <w:tblLayout w:type="fixed"/>
          <w:tblCellMar>
            <w:left w:w="90" w:type="dxa"/>
            <w:right w:w="90" w:type="dxa"/>
          </w:tblCellMar>
          <w:tblLook w:val="0000"/>
        </w:tblPrEx>
        <w:trPr>
          <w:cantSplit/>
        </w:trPr>
        <w:tc>
          <w:tcPr>
            <w:tcW w:w="4429" w:type="dxa"/>
            <w:tcBorders>
              <w:top w:val="single" w:sz="6" w:space="0" w:color="000000"/>
              <w:left w:val="single" w:sz="6" w:space="0" w:color="000000"/>
              <w:bottom w:val="single" w:sz="6" w:space="0" w:color="000000"/>
              <w:right w:val="single" w:sz="6" w:space="0" w:color="000000"/>
            </w:tcBorders>
          </w:tcPr>
          <w:p w:rsidR="00F931A4" w:rsidRPr="00990D3B" w:rsidP="00BD1FC3" w14:paraId="46040EC3" w14:textId="77777777">
            <w:pPr>
              <w:pStyle w:val="EQRTableText"/>
            </w:pPr>
            <w:r w:rsidRPr="00990D3B">
              <w:t>The MCP followed the specifications set forth in the performance measure regarding the treatment of sample exclusions and replacements, and if any activity took place involving replacements of or exclusions from the sample, the MCP kept adequate documentation of that activity</w:t>
            </w:r>
          </w:p>
        </w:tc>
        <w:tc>
          <w:tcPr>
            <w:tcW w:w="696" w:type="dxa"/>
            <w:tcBorders>
              <w:top w:val="single" w:sz="6" w:space="0" w:color="000000"/>
              <w:left w:val="single" w:sz="6" w:space="0" w:color="000000"/>
              <w:bottom w:val="single" w:sz="6" w:space="0" w:color="000000"/>
              <w:right w:val="single" w:sz="6" w:space="0" w:color="000000"/>
            </w:tcBorders>
          </w:tcPr>
          <w:p w:rsidR="00F931A4" w:rsidRPr="00990D3B" w:rsidP="00BD1FC3" w14:paraId="24B72394" w14:textId="77777777">
            <w:pPr>
              <w:pStyle w:val="EQRTableText"/>
            </w:pPr>
            <w:r w:rsidRPr="00990D3B">
              <w:t> </w:t>
            </w:r>
          </w:p>
        </w:tc>
        <w:tc>
          <w:tcPr>
            <w:tcW w:w="696" w:type="dxa"/>
            <w:tcBorders>
              <w:top w:val="single" w:sz="6" w:space="0" w:color="000000"/>
              <w:left w:val="single" w:sz="6" w:space="0" w:color="000000"/>
              <w:bottom w:val="single" w:sz="6" w:space="0" w:color="000000"/>
              <w:right w:val="single" w:sz="6" w:space="0" w:color="000000"/>
            </w:tcBorders>
          </w:tcPr>
          <w:p w:rsidR="00F931A4" w:rsidRPr="00990D3B" w:rsidP="00BD1FC3" w14:paraId="20DC99AB" w14:textId="77777777">
            <w:pPr>
              <w:pStyle w:val="EQRTableText"/>
            </w:pPr>
            <w:r w:rsidRPr="00990D3B">
              <w:t> </w:t>
            </w:r>
          </w:p>
        </w:tc>
        <w:tc>
          <w:tcPr>
            <w:tcW w:w="696" w:type="dxa"/>
            <w:tcBorders>
              <w:top w:val="single" w:sz="6" w:space="0" w:color="000000"/>
              <w:left w:val="single" w:sz="6" w:space="0" w:color="000000"/>
              <w:bottom w:val="single" w:sz="6" w:space="0" w:color="000000"/>
              <w:right w:val="single" w:sz="6" w:space="0" w:color="000000"/>
            </w:tcBorders>
          </w:tcPr>
          <w:p w:rsidR="00F931A4" w:rsidRPr="00990D3B" w:rsidP="00BD1FC3" w14:paraId="49FFF1BD" w14:textId="77777777">
            <w:pPr>
              <w:pStyle w:val="EQRTableText"/>
            </w:pPr>
            <w:r w:rsidRPr="00990D3B">
              <w:t> </w:t>
            </w:r>
          </w:p>
        </w:tc>
        <w:tc>
          <w:tcPr>
            <w:tcW w:w="2827" w:type="dxa"/>
            <w:tcBorders>
              <w:top w:val="single" w:sz="6" w:space="0" w:color="000000"/>
              <w:left w:val="single" w:sz="6" w:space="0" w:color="000000"/>
              <w:bottom w:val="single" w:sz="6" w:space="0" w:color="000000"/>
              <w:right w:val="single" w:sz="6" w:space="0" w:color="000000"/>
            </w:tcBorders>
          </w:tcPr>
          <w:p w:rsidR="00F931A4" w:rsidRPr="00990D3B" w:rsidP="00BD1FC3" w14:paraId="7AE9B779" w14:textId="77777777">
            <w:pPr>
              <w:pStyle w:val="EQRTableText"/>
            </w:pPr>
            <w:r w:rsidRPr="00990D3B">
              <w:t> </w:t>
            </w:r>
          </w:p>
        </w:tc>
      </w:tr>
      <w:tr w14:paraId="33BAC242" w14:textId="77777777" w:rsidTr="00BD1FC3">
        <w:tblPrEx>
          <w:tblW w:w="5000" w:type="pct"/>
          <w:tblLayout w:type="fixed"/>
          <w:tblCellMar>
            <w:left w:w="90" w:type="dxa"/>
            <w:right w:w="90" w:type="dxa"/>
          </w:tblCellMar>
          <w:tblLook w:val="0000"/>
        </w:tblPrEx>
        <w:trPr>
          <w:cantSplit/>
        </w:trPr>
        <w:tc>
          <w:tcPr>
            <w:tcW w:w="4429" w:type="dxa"/>
            <w:tcBorders>
              <w:top w:val="single" w:sz="6" w:space="0" w:color="000000"/>
              <w:left w:val="single" w:sz="6" w:space="0" w:color="000000"/>
              <w:bottom w:val="single" w:sz="6" w:space="0" w:color="000000"/>
              <w:right w:val="single" w:sz="6" w:space="0" w:color="000000"/>
            </w:tcBorders>
          </w:tcPr>
          <w:p w:rsidR="00F931A4" w:rsidRPr="00990D3B" w:rsidP="00BD1FC3" w14:paraId="2A5D8767" w14:textId="77777777">
            <w:pPr>
              <w:pStyle w:val="EQRTableText"/>
            </w:pPr>
            <w:r w:rsidRPr="00990D3B">
              <w:t>Each provider serving a given number of enrollees had the same probability of being selected as any other provider serving the same number of enrollees</w:t>
            </w:r>
          </w:p>
        </w:tc>
        <w:tc>
          <w:tcPr>
            <w:tcW w:w="696" w:type="dxa"/>
            <w:tcBorders>
              <w:top w:val="single" w:sz="6" w:space="0" w:color="000000"/>
              <w:left w:val="single" w:sz="6" w:space="0" w:color="000000"/>
              <w:bottom w:val="single" w:sz="6" w:space="0" w:color="000000"/>
              <w:right w:val="single" w:sz="6" w:space="0" w:color="000000"/>
            </w:tcBorders>
          </w:tcPr>
          <w:p w:rsidR="00F931A4" w:rsidRPr="00990D3B" w:rsidP="00BD1FC3" w14:paraId="61204592" w14:textId="77777777">
            <w:pPr>
              <w:pStyle w:val="EQRTableText"/>
            </w:pPr>
            <w:r w:rsidRPr="00990D3B">
              <w:t> </w:t>
            </w:r>
          </w:p>
        </w:tc>
        <w:tc>
          <w:tcPr>
            <w:tcW w:w="696" w:type="dxa"/>
            <w:tcBorders>
              <w:top w:val="single" w:sz="6" w:space="0" w:color="000000"/>
              <w:left w:val="single" w:sz="6" w:space="0" w:color="000000"/>
              <w:bottom w:val="single" w:sz="6" w:space="0" w:color="000000"/>
              <w:right w:val="single" w:sz="6" w:space="0" w:color="000000"/>
            </w:tcBorders>
          </w:tcPr>
          <w:p w:rsidR="00F931A4" w:rsidRPr="00990D3B" w:rsidP="00BD1FC3" w14:paraId="2E19D2FF" w14:textId="77777777">
            <w:pPr>
              <w:pStyle w:val="EQRTableText"/>
            </w:pPr>
            <w:r w:rsidRPr="00990D3B">
              <w:t> </w:t>
            </w:r>
          </w:p>
        </w:tc>
        <w:tc>
          <w:tcPr>
            <w:tcW w:w="696" w:type="dxa"/>
            <w:tcBorders>
              <w:top w:val="single" w:sz="6" w:space="0" w:color="000000"/>
              <w:left w:val="single" w:sz="6" w:space="0" w:color="000000"/>
              <w:bottom w:val="single" w:sz="6" w:space="0" w:color="000000"/>
              <w:right w:val="single" w:sz="6" w:space="0" w:color="000000"/>
            </w:tcBorders>
          </w:tcPr>
          <w:p w:rsidR="00F931A4" w:rsidRPr="00990D3B" w:rsidP="00BD1FC3" w14:paraId="2FC05C20" w14:textId="77777777">
            <w:pPr>
              <w:pStyle w:val="EQRTableText"/>
            </w:pPr>
            <w:r w:rsidRPr="00990D3B">
              <w:t> </w:t>
            </w:r>
          </w:p>
        </w:tc>
        <w:tc>
          <w:tcPr>
            <w:tcW w:w="2827" w:type="dxa"/>
            <w:tcBorders>
              <w:top w:val="single" w:sz="6" w:space="0" w:color="000000"/>
              <w:left w:val="single" w:sz="6" w:space="0" w:color="000000"/>
              <w:bottom w:val="single" w:sz="6" w:space="0" w:color="000000"/>
              <w:right w:val="single" w:sz="6" w:space="0" w:color="000000"/>
            </w:tcBorders>
          </w:tcPr>
          <w:p w:rsidR="00F931A4" w:rsidRPr="00990D3B" w:rsidP="00BD1FC3" w14:paraId="019B0927" w14:textId="77777777">
            <w:pPr>
              <w:pStyle w:val="EQRTableText"/>
            </w:pPr>
            <w:r w:rsidRPr="00990D3B">
              <w:t> </w:t>
            </w:r>
          </w:p>
        </w:tc>
      </w:tr>
      <w:tr w14:paraId="0E317DD9" w14:textId="77777777" w:rsidTr="00BD1FC3">
        <w:tblPrEx>
          <w:tblW w:w="5000" w:type="pct"/>
          <w:tblLayout w:type="fixed"/>
          <w:tblCellMar>
            <w:left w:w="90" w:type="dxa"/>
            <w:right w:w="90" w:type="dxa"/>
          </w:tblCellMar>
          <w:tblLook w:val="0000"/>
        </w:tblPrEx>
        <w:trPr>
          <w:cantSplit/>
        </w:trPr>
        <w:tc>
          <w:tcPr>
            <w:tcW w:w="4429" w:type="dxa"/>
            <w:tcBorders>
              <w:top w:val="single" w:sz="6" w:space="0" w:color="000000"/>
              <w:left w:val="single" w:sz="6" w:space="0" w:color="000000"/>
              <w:bottom w:val="single" w:sz="6" w:space="0" w:color="000000"/>
              <w:right w:val="single" w:sz="6" w:space="0" w:color="000000"/>
            </w:tcBorders>
          </w:tcPr>
          <w:p w:rsidR="00F931A4" w:rsidRPr="00990D3B" w:rsidP="00BD1FC3" w14:paraId="1EBB3473" w14:textId="77777777">
            <w:pPr>
              <w:pStyle w:val="EQRTableText"/>
            </w:pPr>
            <w:r w:rsidRPr="00990D3B">
              <w:t xml:space="preserve">The MCP examined its sampled files for bias, and if any bias was detected, the MCP </w:t>
            </w:r>
            <w:r w:rsidRPr="00990D3B">
              <w:t>is able to</w:t>
            </w:r>
            <w:r w:rsidRPr="00990D3B">
              <w:t xml:space="preserve"> provide documentation that describes any efforts taken to correct it</w:t>
            </w:r>
          </w:p>
        </w:tc>
        <w:tc>
          <w:tcPr>
            <w:tcW w:w="696" w:type="dxa"/>
            <w:tcBorders>
              <w:top w:val="single" w:sz="6" w:space="0" w:color="000000"/>
              <w:left w:val="single" w:sz="6" w:space="0" w:color="000000"/>
              <w:bottom w:val="single" w:sz="6" w:space="0" w:color="000000"/>
              <w:right w:val="single" w:sz="6" w:space="0" w:color="000000"/>
            </w:tcBorders>
          </w:tcPr>
          <w:p w:rsidR="00F931A4" w:rsidRPr="00990D3B" w:rsidP="00BD1FC3" w14:paraId="0ED7CFEC" w14:textId="77777777">
            <w:pPr>
              <w:pStyle w:val="EQRTableText"/>
            </w:pPr>
            <w:r w:rsidRPr="00990D3B">
              <w:t> </w:t>
            </w:r>
          </w:p>
        </w:tc>
        <w:tc>
          <w:tcPr>
            <w:tcW w:w="696" w:type="dxa"/>
            <w:tcBorders>
              <w:top w:val="single" w:sz="6" w:space="0" w:color="000000"/>
              <w:left w:val="single" w:sz="6" w:space="0" w:color="000000"/>
              <w:bottom w:val="single" w:sz="6" w:space="0" w:color="000000"/>
              <w:right w:val="single" w:sz="6" w:space="0" w:color="000000"/>
            </w:tcBorders>
          </w:tcPr>
          <w:p w:rsidR="00F931A4" w:rsidRPr="00990D3B" w:rsidP="00BD1FC3" w14:paraId="08504C0B" w14:textId="77777777">
            <w:pPr>
              <w:pStyle w:val="EQRTableText"/>
            </w:pPr>
            <w:r w:rsidRPr="00990D3B">
              <w:t> </w:t>
            </w:r>
          </w:p>
        </w:tc>
        <w:tc>
          <w:tcPr>
            <w:tcW w:w="696" w:type="dxa"/>
            <w:tcBorders>
              <w:top w:val="single" w:sz="6" w:space="0" w:color="000000"/>
              <w:left w:val="single" w:sz="6" w:space="0" w:color="000000"/>
              <w:bottom w:val="single" w:sz="6" w:space="0" w:color="000000"/>
              <w:right w:val="single" w:sz="6" w:space="0" w:color="000000"/>
            </w:tcBorders>
          </w:tcPr>
          <w:p w:rsidR="00F931A4" w:rsidRPr="00990D3B" w:rsidP="00BD1FC3" w14:paraId="0B81FFC7" w14:textId="77777777">
            <w:pPr>
              <w:pStyle w:val="EQRTableText"/>
            </w:pPr>
            <w:r w:rsidRPr="00990D3B">
              <w:t> </w:t>
            </w:r>
          </w:p>
        </w:tc>
        <w:tc>
          <w:tcPr>
            <w:tcW w:w="2827" w:type="dxa"/>
            <w:tcBorders>
              <w:top w:val="single" w:sz="6" w:space="0" w:color="000000"/>
              <w:left w:val="single" w:sz="6" w:space="0" w:color="000000"/>
              <w:bottom w:val="single" w:sz="6" w:space="0" w:color="000000"/>
              <w:right w:val="single" w:sz="6" w:space="0" w:color="000000"/>
            </w:tcBorders>
          </w:tcPr>
          <w:p w:rsidR="00F931A4" w:rsidRPr="00990D3B" w:rsidP="00BD1FC3" w14:paraId="153E32D9" w14:textId="77777777">
            <w:pPr>
              <w:pStyle w:val="EQRTableText"/>
            </w:pPr>
            <w:r w:rsidRPr="00990D3B">
              <w:t> </w:t>
            </w:r>
          </w:p>
        </w:tc>
      </w:tr>
      <w:tr w14:paraId="65DC1AA8" w14:textId="77777777" w:rsidTr="00BD1FC3">
        <w:tblPrEx>
          <w:tblW w:w="5000" w:type="pct"/>
          <w:tblLayout w:type="fixed"/>
          <w:tblCellMar>
            <w:left w:w="90" w:type="dxa"/>
            <w:right w:w="90" w:type="dxa"/>
          </w:tblCellMar>
          <w:tblLook w:val="0000"/>
        </w:tblPrEx>
        <w:trPr>
          <w:cantSplit/>
        </w:trPr>
        <w:tc>
          <w:tcPr>
            <w:tcW w:w="4429" w:type="dxa"/>
            <w:tcBorders>
              <w:top w:val="single" w:sz="6" w:space="0" w:color="000000"/>
              <w:left w:val="single" w:sz="6" w:space="0" w:color="000000"/>
              <w:bottom w:val="single" w:sz="6" w:space="0" w:color="000000"/>
              <w:right w:val="single" w:sz="6" w:space="0" w:color="000000"/>
            </w:tcBorders>
          </w:tcPr>
          <w:p w:rsidR="00F931A4" w:rsidRPr="00990D3B" w:rsidP="00BD1FC3" w14:paraId="1BB5A2D9" w14:textId="77777777">
            <w:pPr>
              <w:pStyle w:val="EQRTableText"/>
            </w:pPr>
            <w:r w:rsidRPr="00990D3B">
              <w:t>The sampling methodology employed treated all measures independently, and there is no correlation between drawn samples</w:t>
            </w:r>
          </w:p>
        </w:tc>
        <w:tc>
          <w:tcPr>
            <w:tcW w:w="696" w:type="dxa"/>
            <w:tcBorders>
              <w:top w:val="single" w:sz="6" w:space="0" w:color="000000"/>
              <w:left w:val="single" w:sz="6" w:space="0" w:color="000000"/>
              <w:bottom w:val="single" w:sz="6" w:space="0" w:color="000000"/>
              <w:right w:val="single" w:sz="6" w:space="0" w:color="000000"/>
            </w:tcBorders>
          </w:tcPr>
          <w:p w:rsidR="00F931A4" w:rsidRPr="00990D3B" w:rsidP="00BD1FC3" w14:paraId="223512B9" w14:textId="77777777">
            <w:pPr>
              <w:pStyle w:val="EQRTableText"/>
            </w:pPr>
            <w:r w:rsidRPr="00990D3B">
              <w:t> </w:t>
            </w:r>
          </w:p>
        </w:tc>
        <w:tc>
          <w:tcPr>
            <w:tcW w:w="696" w:type="dxa"/>
            <w:tcBorders>
              <w:top w:val="single" w:sz="6" w:space="0" w:color="000000"/>
              <w:left w:val="single" w:sz="6" w:space="0" w:color="000000"/>
              <w:bottom w:val="single" w:sz="6" w:space="0" w:color="000000"/>
              <w:right w:val="single" w:sz="6" w:space="0" w:color="000000"/>
            </w:tcBorders>
          </w:tcPr>
          <w:p w:rsidR="00F931A4" w:rsidRPr="00990D3B" w:rsidP="00BD1FC3" w14:paraId="691C01A8" w14:textId="77777777">
            <w:pPr>
              <w:pStyle w:val="EQRTableText"/>
            </w:pPr>
            <w:r w:rsidRPr="00990D3B">
              <w:t> </w:t>
            </w:r>
          </w:p>
        </w:tc>
        <w:tc>
          <w:tcPr>
            <w:tcW w:w="696" w:type="dxa"/>
            <w:tcBorders>
              <w:top w:val="single" w:sz="6" w:space="0" w:color="000000"/>
              <w:left w:val="single" w:sz="6" w:space="0" w:color="000000"/>
              <w:bottom w:val="single" w:sz="6" w:space="0" w:color="000000"/>
              <w:right w:val="single" w:sz="6" w:space="0" w:color="000000"/>
            </w:tcBorders>
          </w:tcPr>
          <w:p w:rsidR="00F931A4" w:rsidRPr="00990D3B" w:rsidP="00BD1FC3" w14:paraId="7278864C" w14:textId="77777777">
            <w:pPr>
              <w:pStyle w:val="EQRTableText"/>
            </w:pPr>
            <w:r w:rsidRPr="00990D3B">
              <w:t> </w:t>
            </w:r>
          </w:p>
        </w:tc>
        <w:tc>
          <w:tcPr>
            <w:tcW w:w="2827" w:type="dxa"/>
            <w:tcBorders>
              <w:top w:val="single" w:sz="6" w:space="0" w:color="000000"/>
              <w:left w:val="single" w:sz="6" w:space="0" w:color="000000"/>
              <w:bottom w:val="single" w:sz="6" w:space="0" w:color="000000"/>
              <w:right w:val="single" w:sz="6" w:space="0" w:color="000000"/>
            </w:tcBorders>
          </w:tcPr>
          <w:p w:rsidR="00F931A4" w:rsidRPr="00990D3B" w:rsidP="00BD1FC3" w14:paraId="14C5084C" w14:textId="77777777">
            <w:pPr>
              <w:pStyle w:val="EQRTableText"/>
            </w:pPr>
            <w:r w:rsidRPr="00990D3B">
              <w:t> </w:t>
            </w:r>
          </w:p>
        </w:tc>
      </w:tr>
      <w:tr w14:paraId="59D30A3C" w14:textId="77777777" w:rsidTr="00BD1FC3">
        <w:tblPrEx>
          <w:tblW w:w="5000" w:type="pct"/>
          <w:tblLayout w:type="fixed"/>
          <w:tblCellMar>
            <w:left w:w="90" w:type="dxa"/>
            <w:right w:w="90" w:type="dxa"/>
          </w:tblCellMar>
          <w:tblLook w:val="0000"/>
        </w:tblPrEx>
        <w:trPr>
          <w:cantSplit/>
        </w:trPr>
        <w:tc>
          <w:tcPr>
            <w:tcW w:w="4429" w:type="dxa"/>
            <w:tcBorders>
              <w:top w:val="single" w:sz="6" w:space="0" w:color="000000"/>
              <w:left w:val="single" w:sz="6" w:space="0" w:color="000000"/>
              <w:bottom w:val="single" w:sz="6" w:space="0" w:color="000000"/>
              <w:right w:val="single" w:sz="6" w:space="0" w:color="000000"/>
            </w:tcBorders>
          </w:tcPr>
          <w:p w:rsidR="00F931A4" w:rsidRPr="00990D3B" w:rsidP="00BD1FC3" w14:paraId="47F79112" w14:textId="2D3776F1">
            <w:pPr>
              <w:pStyle w:val="EQRTableText"/>
            </w:pPr>
            <w:r w:rsidRPr="00990D3B">
              <w:t xml:space="preserve">Relevant </w:t>
            </w:r>
            <w:r w:rsidRPr="00990D3B" w:rsidR="00727834">
              <w:t>enrollees</w:t>
            </w:r>
            <w:r w:rsidRPr="00990D3B">
              <w:t xml:space="preserve"> or providers who were not included in the sample for the baseline measurement had the same chance of being selected for the follow-up measurement as providers who were included in the baseline</w:t>
            </w:r>
          </w:p>
        </w:tc>
        <w:tc>
          <w:tcPr>
            <w:tcW w:w="696" w:type="dxa"/>
            <w:tcBorders>
              <w:top w:val="single" w:sz="6" w:space="0" w:color="000000"/>
              <w:left w:val="single" w:sz="6" w:space="0" w:color="000000"/>
              <w:bottom w:val="single" w:sz="6" w:space="0" w:color="000000"/>
              <w:right w:val="single" w:sz="6" w:space="0" w:color="000000"/>
            </w:tcBorders>
          </w:tcPr>
          <w:p w:rsidR="00F931A4" w:rsidRPr="00990D3B" w:rsidP="00BD1FC3" w14:paraId="7F854AE8" w14:textId="77777777">
            <w:pPr>
              <w:pStyle w:val="EQRTableText"/>
            </w:pPr>
            <w:r w:rsidRPr="00990D3B">
              <w:t> </w:t>
            </w:r>
          </w:p>
        </w:tc>
        <w:tc>
          <w:tcPr>
            <w:tcW w:w="696" w:type="dxa"/>
            <w:tcBorders>
              <w:top w:val="single" w:sz="6" w:space="0" w:color="000000"/>
              <w:left w:val="single" w:sz="6" w:space="0" w:color="000000"/>
              <w:bottom w:val="single" w:sz="6" w:space="0" w:color="000000"/>
              <w:right w:val="single" w:sz="6" w:space="0" w:color="000000"/>
            </w:tcBorders>
          </w:tcPr>
          <w:p w:rsidR="00F931A4" w:rsidRPr="00990D3B" w:rsidP="00BD1FC3" w14:paraId="3797B1A6" w14:textId="77777777">
            <w:pPr>
              <w:pStyle w:val="EQRTableText"/>
            </w:pPr>
            <w:r w:rsidRPr="00990D3B">
              <w:t> </w:t>
            </w:r>
          </w:p>
        </w:tc>
        <w:tc>
          <w:tcPr>
            <w:tcW w:w="696" w:type="dxa"/>
            <w:tcBorders>
              <w:top w:val="single" w:sz="6" w:space="0" w:color="000000"/>
              <w:left w:val="single" w:sz="6" w:space="0" w:color="000000"/>
              <w:bottom w:val="single" w:sz="6" w:space="0" w:color="000000"/>
              <w:right w:val="single" w:sz="6" w:space="0" w:color="000000"/>
            </w:tcBorders>
          </w:tcPr>
          <w:p w:rsidR="00F931A4" w:rsidRPr="00990D3B" w:rsidP="00BD1FC3" w14:paraId="51870173" w14:textId="77777777">
            <w:pPr>
              <w:pStyle w:val="EQRTableText"/>
            </w:pPr>
            <w:r w:rsidRPr="00990D3B">
              <w:t> </w:t>
            </w:r>
          </w:p>
        </w:tc>
        <w:tc>
          <w:tcPr>
            <w:tcW w:w="2827" w:type="dxa"/>
            <w:tcBorders>
              <w:top w:val="single" w:sz="6" w:space="0" w:color="000000"/>
              <w:left w:val="single" w:sz="6" w:space="0" w:color="000000"/>
              <w:bottom w:val="single" w:sz="6" w:space="0" w:color="000000"/>
              <w:right w:val="single" w:sz="6" w:space="0" w:color="000000"/>
            </w:tcBorders>
          </w:tcPr>
          <w:p w:rsidR="00F931A4" w:rsidRPr="00990D3B" w:rsidP="00BD1FC3" w14:paraId="434F71F1" w14:textId="77777777">
            <w:pPr>
              <w:pStyle w:val="EQRTableText"/>
            </w:pPr>
            <w:r w:rsidRPr="00990D3B">
              <w:t> </w:t>
            </w:r>
          </w:p>
        </w:tc>
      </w:tr>
      <w:tr w14:paraId="39D315FE" w14:textId="77777777" w:rsidTr="00BD1FC3">
        <w:tblPrEx>
          <w:tblW w:w="5000" w:type="pct"/>
          <w:tblLayout w:type="fixed"/>
          <w:tblCellMar>
            <w:left w:w="90" w:type="dxa"/>
            <w:right w:w="90" w:type="dxa"/>
          </w:tblCellMar>
          <w:tblLook w:val="0000"/>
        </w:tblPrEx>
        <w:trPr>
          <w:cantSplit/>
        </w:trPr>
        <w:tc>
          <w:tcPr>
            <w:tcW w:w="4429" w:type="dxa"/>
            <w:tcBorders>
              <w:top w:val="single" w:sz="6" w:space="0" w:color="000000"/>
              <w:left w:val="single" w:sz="6" w:space="0" w:color="000000"/>
              <w:bottom w:val="single" w:sz="6" w:space="0" w:color="000000"/>
              <w:right w:val="single" w:sz="6" w:space="0" w:color="000000"/>
            </w:tcBorders>
          </w:tcPr>
          <w:p w:rsidR="00F931A4" w:rsidRPr="00990D3B" w:rsidP="00BD1FC3" w14:paraId="103C77EA" w14:textId="77777777">
            <w:pPr>
              <w:pStyle w:val="EQRTableText"/>
            </w:pPr>
            <w:r w:rsidRPr="00990D3B">
              <w:rPr>
                <w:b/>
              </w:rPr>
              <w:t>Overall assessment:</w:t>
            </w:r>
            <w:r w:rsidRPr="00990D3B">
              <w:t xml:space="preserve"> In the comments section, note any recommendations to produce an unbiased, representative sample</w:t>
            </w:r>
          </w:p>
        </w:tc>
        <w:tc>
          <w:tcPr>
            <w:tcW w:w="6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F931A4" w:rsidRPr="00990D3B" w:rsidP="00BD1FC3" w14:paraId="7AD116DC" w14:textId="77777777">
            <w:pPr>
              <w:pStyle w:val="EQRTableText"/>
            </w:pPr>
            <w:r w:rsidRPr="00990D3B">
              <w:t> </w:t>
            </w:r>
          </w:p>
        </w:tc>
        <w:tc>
          <w:tcPr>
            <w:tcW w:w="6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F931A4" w:rsidRPr="00990D3B" w:rsidP="00BD1FC3" w14:paraId="4266E15F" w14:textId="77777777">
            <w:pPr>
              <w:pStyle w:val="EQRTableText"/>
            </w:pPr>
            <w:r w:rsidRPr="00990D3B">
              <w:t> </w:t>
            </w:r>
          </w:p>
        </w:tc>
        <w:tc>
          <w:tcPr>
            <w:tcW w:w="6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F931A4" w:rsidRPr="00990D3B" w:rsidP="00BD1FC3" w14:paraId="7FE0BF44" w14:textId="77777777">
            <w:pPr>
              <w:pStyle w:val="EQRTableText"/>
            </w:pPr>
            <w:r w:rsidRPr="00990D3B">
              <w:t> </w:t>
            </w:r>
          </w:p>
        </w:tc>
        <w:tc>
          <w:tcPr>
            <w:tcW w:w="2827" w:type="dxa"/>
            <w:tcBorders>
              <w:top w:val="single" w:sz="6" w:space="0" w:color="000000"/>
              <w:left w:val="single" w:sz="6" w:space="0" w:color="000000"/>
              <w:bottom w:val="single" w:sz="6" w:space="0" w:color="000000"/>
              <w:right w:val="single" w:sz="6" w:space="0" w:color="000000"/>
            </w:tcBorders>
          </w:tcPr>
          <w:p w:rsidR="00F931A4" w:rsidRPr="00990D3B" w:rsidP="00BD1FC3" w14:paraId="6C169806" w14:textId="77777777">
            <w:pPr>
              <w:pStyle w:val="EQRTableText"/>
            </w:pPr>
            <w:r w:rsidRPr="00990D3B">
              <w:t> </w:t>
            </w:r>
          </w:p>
        </w:tc>
      </w:tr>
    </w:tbl>
    <w:p w:rsidR="00F931A4" w:rsidRPr="00990D3B" w:rsidP="00252655" w14:paraId="71FF75D5" w14:textId="77777777">
      <w:pPr>
        <w:pStyle w:val="NoSpacing"/>
      </w:pPr>
    </w:p>
    <w:tbl>
      <w:tblPr>
        <w:tblW w:w="5000" w:type="pct"/>
        <w:tblLayout w:type="fixed"/>
        <w:tblCellMar>
          <w:left w:w="90" w:type="dxa"/>
          <w:right w:w="90" w:type="dxa"/>
        </w:tblCellMar>
        <w:tblLook w:val="0000"/>
      </w:tblPr>
      <w:tblGrid>
        <w:gridCol w:w="4429"/>
        <w:gridCol w:w="696"/>
        <w:gridCol w:w="696"/>
        <w:gridCol w:w="696"/>
        <w:gridCol w:w="2827"/>
      </w:tblGrid>
      <w:tr w14:paraId="56690127" w14:textId="77777777" w:rsidTr="00BD1FC3">
        <w:tblPrEx>
          <w:tblW w:w="5000" w:type="pct"/>
          <w:tblLayout w:type="fixed"/>
          <w:tblCellMar>
            <w:left w:w="90" w:type="dxa"/>
            <w:right w:w="90" w:type="dxa"/>
          </w:tblCellMar>
          <w:tblLook w:val="0000"/>
        </w:tblPrEx>
        <w:trPr>
          <w:cantSplit/>
          <w:tblHeader/>
        </w:trPr>
        <w:tc>
          <w:tcPr>
            <w:tcW w:w="4429"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BD1FC3" w14:paraId="70584DEF" w14:textId="6CE93A40">
            <w:pPr>
              <w:pStyle w:val="EQRTableText"/>
              <w:rPr>
                <w:b/>
                <w:bCs/>
              </w:rPr>
            </w:pPr>
            <w:r w:rsidRPr="00990D3B">
              <w:rPr>
                <w:b/>
                <w:bCs/>
              </w:rPr>
              <w:t xml:space="preserve">Audit </w:t>
            </w:r>
            <w:r w:rsidRPr="00990D3B" w:rsidR="00DE2282">
              <w:rPr>
                <w:b/>
                <w:bCs/>
              </w:rPr>
              <w:t>e</w:t>
            </w:r>
            <w:r w:rsidRPr="00990D3B">
              <w:rPr>
                <w:b/>
                <w:bCs/>
              </w:rPr>
              <w:t xml:space="preserve">lement: Performance </w:t>
            </w:r>
            <w:r w:rsidRPr="00990D3B" w:rsidR="00DE2282">
              <w:rPr>
                <w:b/>
                <w:bCs/>
              </w:rPr>
              <w:t>m</w:t>
            </w:r>
            <w:r w:rsidRPr="00990D3B">
              <w:rPr>
                <w:b/>
                <w:bCs/>
              </w:rPr>
              <w:t xml:space="preserve">easurement </w:t>
            </w:r>
            <w:r w:rsidRPr="00990D3B" w:rsidR="00DE2282">
              <w:rPr>
                <w:b/>
                <w:bCs/>
              </w:rPr>
              <w:t>f</w:t>
            </w:r>
            <w:r w:rsidRPr="00990D3B">
              <w:rPr>
                <w:b/>
                <w:bCs/>
              </w:rPr>
              <w:t>iles</w:t>
            </w:r>
            <w:r w:rsidRPr="00990D3B" w:rsidR="00DE2282">
              <w:rPr>
                <w:b/>
                <w:bCs/>
              </w:rPr>
              <w:t>/d</w:t>
            </w:r>
            <w:r w:rsidRPr="00990D3B">
              <w:rPr>
                <w:b/>
                <w:bCs/>
              </w:rPr>
              <w:t>ata</w:t>
            </w:r>
          </w:p>
        </w:tc>
        <w:tc>
          <w:tcPr>
            <w:tcW w:w="696"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BD1FC3" w14:paraId="06B2B6D9" w14:textId="77777777">
            <w:pPr>
              <w:pStyle w:val="EQRTableText"/>
              <w:jc w:val="center"/>
              <w:rPr>
                <w:b/>
                <w:bCs/>
              </w:rPr>
            </w:pPr>
            <w:r w:rsidRPr="00990D3B">
              <w:rPr>
                <w:b/>
                <w:bCs/>
              </w:rPr>
              <w:t>Met</w:t>
            </w:r>
          </w:p>
        </w:tc>
        <w:tc>
          <w:tcPr>
            <w:tcW w:w="696"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BD1FC3" w14:paraId="111D6166" w14:textId="77777777">
            <w:pPr>
              <w:pStyle w:val="EQRTableText"/>
              <w:jc w:val="center"/>
              <w:rPr>
                <w:b/>
                <w:bCs/>
              </w:rPr>
            </w:pPr>
            <w:r w:rsidRPr="00990D3B">
              <w:rPr>
                <w:b/>
                <w:bCs/>
              </w:rPr>
              <w:t>Not Met</w:t>
            </w:r>
          </w:p>
        </w:tc>
        <w:tc>
          <w:tcPr>
            <w:tcW w:w="696"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BD1FC3" w14:paraId="2F2E533B" w14:textId="2C1DFCAF">
            <w:pPr>
              <w:pStyle w:val="EQRTableText"/>
              <w:jc w:val="center"/>
              <w:rPr>
                <w:b/>
                <w:bCs/>
              </w:rPr>
            </w:pPr>
            <w:r w:rsidRPr="00990D3B">
              <w:rPr>
                <w:b/>
                <w:bCs/>
              </w:rPr>
              <w:t>NA</w:t>
            </w:r>
          </w:p>
        </w:tc>
        <w:tc>
          <w:tcPr>
            <w:tcW w:w="2827"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BD1FC3" w14:paraId="1F3BDBB9" w14:textId="77777777">
            <w:pPr>
              <w:pStyle w:val="EQRTableText"/>
              <w:jc w:val="center"/>
              <w:rPr>
                <w:b/>
                <w:bCs/>
              </w:rPr>
            </w:pPr>
            <w:r w:rsidRPr="00990D3B">
              <w:rPr>
                <w:b/>
                <w:bCs/>
              </w:rPr>
              <w:t>Comments</w:t>
            </w:r>
          </w:p>
        </w:tc>
      </w:tr>
      <w:tr w14:paraId="3767979D" w14:textId="77777777" w:rsidTr="00BD1FC3">
        <w:tblPrEx>
          <w:tblW w:w="5000" w:type="pct"/>
          <w:tblLayout w:type="fixed"/>
          <w:tblCellMar>
            <w:left w:w="90" w:type="dxa"/>
            <w:right w:w="90" w:type="dxa"/>
          </w:tblCellMar>
          <w:tblLook w:val="0000"/>
        </w:tblPrEx>
        <w:trPr>
          <w:cantSplit/>
        </w:trPr>
        <w:tc>
          <w:tcPr>
            <w:tcW w:w="4429" w:type="dxa"/>
            <w:tcBorders>
              <w:top w:val="single" w:sz="6" w:space="0" w:color="000000"/>
              <w:left w:val="single" w:sz="6" w:space="0" w:color="000000"/>
              <w:bottom w:val="single" w:sz="6" w:space="0" w:color="000000"/>
              <w:right w:val="single" w:sz="6" w:space="0" w:color="000000"/>
            </w:tcBorders>
          </w:tcPr>
          <w:p w:rsidR="00F931A4" w:rsidRPr="00990D3B" w:rsidP="00BD1FC3" w14:paraId="155E10CF" w14:textId="77777777">
            <w:pPr>
              <w:pStyle w:val="EQRTableText"/>
            </w:pPr>
            <w:r w:rsidRPr="00990D3B">
              <w:t xml:space="preserve">The MCP has policies and procedures to maintain files from which the samples are drawn </w:t>
            </w:r>
            <w:r w:rsidRPr="00990D3B">
              <w:t>in order to</w:t>
            </w:r>
            <w:r w:rsidRPr="00990D3B">
              <w:t xml:space="preserve"> keep the population intact </w:t>
            </w:r>
            <w:r w:rsidRPr="00990D3B">
              <w:t>in the event that</w:t>
            </w:r>
            <w:r w:rsidRPr="00990D3B">
              <w:t xml:space="preserve"> a sample must be re-drawn, or replacements made, and documentation that the original population is intact</w:t>
            </w:r>
          </w:p>
        </w:tc>
        <w:tc>
          <w:tcPr>
            <w:tcW w:w="696" w:type="dxa"/>
            <w:tcBorders>
              <w:top w:val="single" w:sz="6" w:space="0" w:color="000000"/>
              <w:left w:val="single" w:sz="6" w:space="0" w:color="000000"/>
              <w:bottom w:val="single" w:sz="6" w:space="0" w:color="000000"/>
              <w:right w:val="single" w:sz="6" w:space="0" w:color="000000"/>
            </w:tcBorders>
          </w:tcPr>
          <w:p w:rsidR="00F931A4" w:rsidRPr="00990D3B" w:rsidP="00BD1FC3" w14:paraId="54B78E4B" w14:textId="77777777">
            <w:pPr>
              <w:pStyle w:val="EQRTableText"/>
            </w:pPr>
            <w:r w:rsidRPr="00990D3B">
              <w:t> </w:t>
            </w:r>
          </w:p>
        </w:tc>
        <w:tc>
          <w:tcPr>
            <w:tcW w:w="696" w:type="dxa"/>
            <w:tcBorders>
              <w:top w:val="single" w:sz="6" w:space="0" w:color="000000"/>
              <w:left w:val="single" w:sz="6" w:space="0" w:color="000000"/>
              <w:bottom w:val="single" w:sz="6" w:space="0" w:color="000000"/>
              <w:right w:val="single" w:sz="6" w:space="0" w:color="000000"/>
            </w:tcBorders>
          </w:tcPr>
          <w:p w:rsidR="00F931A4" w:rsidRPr="00990D3B" w:rsidP="00BD1FC3" w14:paraId="20DABCD3" w14:textId="77777777">
            <w:pPr>
              <w:pStyle w:val="EQRTableText"/>
            </w:pPr>
            <w:r w:rsidRPr="00990D3B">
              <w:t> </w:t>
            </w:r>
          </w:p>
        </w:tc>
        <w:tc>
          <w:tcPr>
            <w:tcW w:w="696" w:type="dxa"/>
            <w:tcBorders>
              <w:top w:val="single" w:sz="6" w:space="0" w:color="000000"/>
              <w:left w:val="single" w:sz="6" w:space="0" w:color="000000"/>
              <w:bottom w:val="single" w:sz="6" w:space="0" w:color="000000"/>
              <w:right w:val="single" w:sz="6" w:space="0" w:color="000000"/>
            </w:tcBorders>
          </w:tcPr>
          <w:p w:rsidR="00F931A4" w:rsidRPr="00990D3B" w:rsidP="00BD1FC3" w14:paraId="028A9B82" w14:textId="77777777">
            <w:pPr>
              <w:pStyle w:val="EQRTableText"/>
            </w:pPr>
            <w:r w:rsidRPr="00990D3B">
              <w:t> </w:t>
            </w:r>
          </w:p>
        </w:tc>
        <w:tc>
          <w:tcPr>
            <w:tcW w:w="2827" w:type="dxa"/>
            <w:tcBorders>
              <w:top w:val="single" w:sz="6" w:space="0" w:color="000000"/>
              <w:left w:val="single" w:sz="6" w:space="0" w:color="000000"/>
              <w:bottom w:val="single" w:sz="6" w:space="0" w:color="000000"/>
              <w:right w:val="single" w:sz="6" w:space="0" w:color="000000"/>
            </w:tcBorders>
          </w:tcPr>
          <w:p w:rsidR="00F931A4" w:rsidRPr="00990D3B" w:rsidP="00BD1FC3" w14:paraId="1A7C8E30" w14:textId="77777777">
            <w:pPr>
              <w:pStyle w:val="EQRTableText"/>
            </w:pPr>
            <w:r w:rsidRPr="00990D3B">
              <w:t> </w:t>
            </w:r>
          </w:p>
        </w:tc>
      </w:tr>
      <w:tr w14:paraId="74C3ACBE" w14:textId="77777777" w:rsidTr="00BD1FC3">
        <w:tblPrEx>
          <w:tblW w:w="5000" w:type="pct"/>
          <w:tblLayout w:type="fixed"/>
          <w:tblCellMar>
            <w:left w:w="90" w:type="dxa"/>
            <w:right w:w="90" w:type="dxa"/>
          </w:tblCellMar>
          <w:tblLook w:val="0000"/>
        </w:tblPrEx>
        <w:trPr>
          <w:cantSplit/>
        </w:trPr>
        <w:tc>
          <w:tcPr>
            <w:tcW w:w="4429" w:type="dxa"/>
            <w:tcBorders>
              <w:top w:val="single" w:sz="6" w:space="0" w:color="000000"/>
              <w:left w:val="single" w:sz="6" w:space="0" w:color="000000"/>
              <w:bottom w:val="single" w:sz="6" w:space="0" w:color="000000"/>
              <w:right w:val="single" w:sz="6" w:space="0" w:color="000000"/>
            </w:tcBorders>
          </w:tcPr>
          <w:p w:rsidR="00F931A4" w:rsidRPr="00990D3B" w:rsidP="00BD1FC3" w14:paraId="1C303A27" w14:textId="77777777">
            <w:pPr>
              <w:pStyle w:val="EQRTableText"/>
            </w:pPr>
            <w:r w:rsidRPr="00990D3B">
              <w:rPr>
                <w:b/>
              </w:rPr>
              <w:t>Overall assessment:</w:t>
            </w:r>
            <w:r w:rsidRPr="00990D3B">
              <w:t xml:space="preserve"> In the comments section, note any recommendations to improve file or data maintenance </w:t>
            </w:r>
          </w:p>
        </w:tc>
        <w:tc>
          <w:tcPr>
            <w:tcW w:w="6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F931A4" w:rsidRPr="00990D3B" w:rsidP="00BD1FC3" w14:paraId="0133B507" w14:textId="77777777">
            <w:pPr>
              <w:pStyle w:val="EQRTableText"/>
            </w:pPr>
            <w:r w:rsidRPr="00990D3B">
              <w:t> </w:t>
            </w:r>
          </w:p>
        </w:tc>
        <w:tc>
          <w:tcPr>
            <w:tcW w:w="6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F931A4" w:rsidRPr="00990D3B" w:rsidP="00BD1FC3" w14:paraId="37B46C44" w14:textId="77777777">
            <w:pPr>
              <w:pStyle w:val="EQRTableText"/>
            </w:pPr>
            <w:r w:rsidRPr="00990D3B">
              <w:t> </w:t>
            </w:r>
          </w:p>
        </w:tc>
        <w:tc>
          <w:tcPr>
            <w:tcW w:w="6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F931A4" w:rsidRPr="00990D3B" w:rsidP="00BD1FC3" w14:paraId="1FAA3251" w14:textId="77777777">
            <w:pPr>
              <w:pStyle w:val="EQRTableText"/>
            </w:pPr>
            <w:r w:rsidRPr="00990D3B">
              <w:t> </w:t>
            </w:r>
          </w:p>
        </w:tc>
        <w:tc>
          <w:tcPr>
            <w:tcW w:w="2827" w:type="dxa"/>
            <w:tcBorders>
              <w:top w:val="single" w:sz="6" w:space="0" w:color="000000"/>
              <w:left w:val="single" w:sz="6" w:space="0" w:color="000000"/>
              <w:bottom w:val="single" w:sz="6" w:space="0" w:color="000000"/>
              <w:right w:val="single" w:sz="6" w:space="0" w:color="000000"/>
            </w:tcBorders>
          </w:tcPr>
          <w:p w:rsidR="00F931A4" w:rsidRPr="00990D3B" w:rsidP="00BD1FC3" w14:paraId="5F59028C" w14:textId="77777777">
            <w:pPr>
              <w:pStyle w:val="EQRTableText"/>
            </w:pPr>
            <w:r w:rsidRPr="00990D3B">
              <w:t> </w:t>
            </w:r>
          </w:p>
        </w:tc>
      </w:tr>
    </w:tbl>
    <w:p w:rsidR="00F931A4" w:rsidRPr="00990D3B" w:rsidP="00252655" w14:paraId="11C6E6D8" w14:textId="77777777">
      <w:pPr>
        <w:pStyle w:val="NoSpacing"/>
      </w:pPr>
    </w:p>
    <w:tbl>
      <w:tblPr>
        <w:tblW w:w="5000" w:type="pct"/>
        <w:tblLayout w:type="fixed"/>
        <w:tblCellMar>
          <w:left w:w="90" w:type="dxa"/>
          <w:right w:w="90" w:type="dxa"/>
        </w:tblCellMar>
        <w:tblLook w:val="0000"/>
      </w:tblPr>
      <w:tblGrid>
        <w:gridCol w:w="4402"/>
        <w:gridCol w:w="705"/>
        <w:gridCol w:w="705"/>
        <w:gridCol w:w="705"/>
        <w:gridCol w:w="2827"/>
      </w:tblGrid>
      <w:tr w14:paraId="2778403D" w14:textId="77777777" w:rsidTr="00BD1FC3">
        <w:tblPrEx>
          <w:tblW w:w="5000" w:type="pct"/>
          <w:tblLayout w:type="fixed"/>
          <w:tblCellMar>
            <w:left w:w="90" w:type="dxa"/>
            <w:right w:w="90" w:type="dxa"/>
          </w:tblCellMar>
          <w:tblLook w:val="0000"/>
        </w:tblPrEx>
        <w:trPr>
          <w:cantSplit/>
          <w:tblHeader/>
        </w:trPr>
        <w:tc>
          <w:tcPr>
            <w:tcW w:w="4402"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52655" w14:paraId="16929CA7" w14:textId="2DFCF764">
            <w:pPr>
              <w:pStyle w:val="EQRTableHeaderLeft"/>
              <w:rPr>
                <w:color w:val="auto"/>
              </w:rPr>
            </w:pPr>
            <w:r w:rsidRPr="00990D3B">
              <w:rPr>
                <w:color w:val="auto"/>
              </w:rPr>
              <w:t xml:space="preserve">Audit </w:t>
            </w:r>
            <w:r w:rsidRPr="00990D3B" w:rsidR="00DE2282">
              <w:rPr>
                <w:color w:val="auto"/>
              </w:rPr>
              <w:t>e</w:t>
            </w:r>
            <w:r w:rsidRPr="00990D3B">
              <w:rPr>
                <w:color w:val="auto"/>
              </w:rPr>
              <w:t xml:space="preserve">lement: Performance </w:t>
            </w:r>
            <w:r w:rsidRPr="00990D3B" w:rsidR="00DE2282">
              <w:rPr>
                <w:color w:val="auto"/>
              </w:rPr>
              <w:t>m</w:t>
            </w:r>
            <w:r w:rsidRPr="00990D3B">
              <w:rPr>
                <w:color w:val="auto"/>
              </w:rPr>
              <w:t xml:space="preserve">easure </w:t>
            </w:r>
            <w:r w:rsidRPr="00990D3B" w:rsidR="00DE2282">
              <w:rPr>
                <w:color w:val="auto"/>
              </w:rPr>
              <w:t>s</w:t>
            </w:r>
            <w:r w:rsidRPr="00990D3B">
              <w:rPr>
                <w:color w:val="auto"/>
              </w:rPr>
              <w:t>pecifications</w:t>
            </w:r>
          </w:p>
        </w:tc>
        <w:tc>
          <w:tcPr>
            <w:tcW w:w="70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52655" w14:paraId="11905E48" w14:textId="77777777">
            <w:pPr>
              <w:pStyle w:val="EQRTableHeaderCenter"/>
              <w:rPr>
                <w:color w:val="auto"/>
              </w:rPr>
            </w:pPr>
            <w:r w:rsidRPr="00990D3B">
              <w:rPr>
                <w:color w:val="auto"/>
              </w:rPr>
              <w:t>Met</w:t>
            </w:r>
          </w:p>
        </w:tc>
        <w:tc>
          <w:tcPr>
            <w:tcW w:w="70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52655" w14:paraId="6A7D98B1" w14:textId="77777777">
            <w:pPr>
              <w:pStyle w:val="EQRTableHeaderCenter"/>
              <w:rPr>
                <w:color w:val="auto"/>
              </w:rPr>
            </w:pPr>
            <w:r w:rsidRPr="00990D3B">
              <w:rPr>
                <w:color w:val="auto"/>
              </w:rPr>
              <w:t>Not Met</w:t>
            </w:r>
          </w:p>
        </w:tc>
        <w:tc>
          <w:tcPr>
            <w:tcW w:w="70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52655" w14:paraId="6F57A267" w14:textId="1573880A">
            <w:pPr>
              <w:pStyle w:val="EQRTableHeaderCenter"/>
              <w:rPr>
                <w:color w:val="auto"/>
              </w:rPr>
            </w:pPr>
            <w:r w:rsidRPr="00990D3B">
              <w:rPr>
                <w:color w:val="auto"/>
              </w:rPr>
              <w:t>NA</w:t>
            </w:r>
          </w:p>
        </w:tc>
        <w:tc>
          <w:tcPr>
            <w:tcW w:w="2827"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52655" w14:paraId="0FFE3D09" w14:textId="77777777">
            <w:pPr>
              <w:pStyle w:val="EQRTableHeaderCenter"/>
              <w:rPr>
                <w:color w:val="auto"/>
              </w:rPr>
            </w:pPr>
            <w:r w:rsidRPr="00990D3B">
              <w:rPr>
                <w:color w:val="auto"/>
              </w:rPr>
              <w:t>Comments</w:t>
            </w:r>
          </w:p>
        </w:tc>
      </w:tr>
      <w:tr w14:paraId="21CF8D86" w14:textId="77777777" w:rsidTr="00BD1FC3">
        <w:tblPrEx>
          <w:tblW w:w="5000" w:type="pct"/>
          <w:tblLayout w:type="fixed"/>
          <w:tblCellMar>
            <w:left w:w="90" w:type="dxa"/>
            <w:right w:w="90" w:type="dxa"/>
          </w:tblCellMar>
          <w:tblLook w:val="0000"/>
        </w:tblPrEx>
        <w:trPr>
          <w:cantSplit/>
        </w:trPr>
        <w:tc>
          <w:tcPr>
            <w:tcW w:w="4402" w:type="dxa"/>
            <w:tcBorders>
              <w:top w:val="single" w:sz="6" w:space="0" w:color="000000"/>
              <w:left w:val="single" w:sz="6" w:space="0" w:color="000000"/>
              <w:bottom w:val="single" w:sz="6" w:space="0" w:color="000000"/>
              <w:right w:val="single" w:sz="6" w:space="0" w:color="000000"/>
            </w:tcBorders>
          </w:tcPr>
          <w:p w:rsidR="00F931A4" w:rsidRPr="00990D3B" w:rsidP="00BD1FC3" w14:paraId="4B451FF4" w14:textId="77777777">
            <w:pPr>
              <w:pStyle w:val="EQRTableText"/>
            </w:pPr>
            <w:r w:rsidRPr="00990D3B">
              <w:t>Sample sizes meet the requirements of the performance measure specifications</w:t>
            </w:r>
          </w:p>
        </w:tc>
        <w:tc>
          <w:tcPr>
            <w:tcW w:w="705" w:type="dxa"/>
            <w:tcBorders>
              <w:top w:val="single" w:sz="6" w:space="0" w:color="000000"/>
              <w:left w:val="single" w:sz="6" w:space="0" w:color="000000"/>
              <w:bottom w:val="single" w:sz="6" w:space="0" w:color="000000"/>
              <w:right w:val="single" w:sz="6" w:space="0" w:color="000000"/>
            </w:tcBorders>
          </w:tcPr>
          <w:p w:rsidR="00F931A4" w:rsidRPr="00990D3B" w:rsidP="00BD1FC3" w14:paraId="35E7AB88" w14:textId="77777777">
            <w:pPr>
              <w:pStyle w:val="EQRTableText"/>
            </w:pPr>
            <w:r w:rsidRPr="00990D3B">
              <w:t> </w:t>
            </w:r>
          </w:p>
        </w:tc>
        <w:tc>
          <w:tcPr>
            <w:tcW w:w="705" w:type="dxa"/>
            <w:tcBorders>
              <w:top w:val="single" w:sz="6" w:space="0" w:color="000000"/>
              <w:left w:val="single" w:sz="6" w:space="0" w:color="000000"/>
              <w:bottom w:val="single" w:sz="6" w:space="0" w:color="000000"/>
              <w:right w:val="single" w:sz="6" w:space="0" w:color="000000"/>
            </w:tcBorders>
          </w:tcPr>
          <w:p w:rsidR="00F931A4" w:rsidRPr="00990D3B" w:rsidP="00BD1FC3" w14:paraId="13AC5CB9" w14:textId="77777777">
            <w:pPr>
              <w:pStyle w:val="EQRTableText"/>
            </w:pPr>
            <w:r w:rsidRPr="00990D3B">
              <w:t> </w:t>
            </w:r>
          </w:p>
        </w:tc>
        <w:tc>
          <w:tcPr>
            <w:tcW w:w="705" w:type="dxa"/>
            <w:tcBorders>
              <w:top w:val="single" w:sz="6" w:space="0" w:color="000000"/>
              <w:left w:val="single" w:sz="6" w:space="0" w:color="000000"/>
              <w:bottom w:val="single" w:sz="6" w:space="0" w:color="000000"/>
              <w:right w:val="single" w:sz="6" w:space="0" w:color="000000"/>
            </w:tcBorders>
          </w:tcPr>
          <w:p w:rsidR="00F931A4" w:rsidRPr="00990D3B" w:rsidP="00BD1FC3" w14:paraId="566DD04A" w14:textId="77777777">
            <w:pPr>
              <w:pStyle w:val="EQRTableText"/>
            </w:pPr>
            <w:r w:rsidRPr="00990D3B">
              <w:t> </w:t>
            </w:r>
          </w:p>
        </w:tc>
        <w:tc>
          <w:tcPr>
            <w:tcW w:w="2827" w:type="dxa"/>
            <w:tcBorders>
              <w:top w:val="single" w:sz="6" w:space="0" w:color="000000"/>
              <w:left w:val="single" w:sz="6" w:space="0" w:color="000000"/>
              <w:bottom w:val="single" w:sz="6" w:space="0" w:color="000000"/>
              <w:right w:val="single" w:sz="6" w:space="0" w:color="000000"/>
            </w:tcBorders>
          </w:tcPr>
          <w:p w:rsidR="00F931A4" w:rsidRPr="00990D3B" w:rsidP="00BD1FC3" w14:paraId="4DDC91BB" w14:textId="77777777">
            <w:pPr>
              <w:pStyle w:val="EQRTableText"/>
            </w:pPr>
            <w:r w:rsidRPr="00990D3B">
              <w:t> </w:t>
            </w:r>
          </w:p>
        </w:tc>
      </w:tr>
      <w:tr w14:paraId="55262920" w14:textId="77777777" w:rsidTr="00BD1FC3">
        <w:tblPrEx>
          <w:tblW w:w="5000" w:type="pct"/>
          <w:tblLayout w:type="fixed"/>
          <w:tblCellMar>
            <w:left w:w="90" w:type="dxa"/>
            <w:right w:w="90" w:type="dxa"/>
          </w:tblCellMar>
          <w:tblLook w:val="0000"/>
        </w:tblPrEx>
        <w:trPr>
          <w:cantSplit/>
        </w:trPr>
        <w:tc>
          <w:tcPr>
            <w:tcW w:w="4402" w:type="dxa"/>
            <w:tcBorders>
              <w:top w:val="single" w:sz="6" w:space="0" w:color="000000"/>
              <w:left w:val="single" w:sz="6" w:space="0" w:color="000000"/>
              <w:bottom w:val="single" w:sz="6" w:space="0" w:color="000000"/>
              <w:right w:val="single" w:sz="6" w:space="0" w:color="000000"/>
            </w:tcBorders>
          </w:tcPr>
          <w:p w:rsidR="00F931A4" w:rsidRPr="00990D3B" w:rsidP="00BD1FC3" w14:paraId="3275184F" w14:textId="77777777">
            <w:pPr>
              <w:pStyle w:val="EQRTableText"/>
            </w:pPr>
            <w:r w:rsidRPr="00990D3B">
              <w:t>The MCP has appropriately handled the documentation and reporting of the measure if the requested sample size exceeds the population size</w:t>
            </w:r>
          </w:p>
        </w:tc>
        <w:tc>
          <w:tcPr>
            <w:tcW w:w="705" w:type="dxa"/>
            <w:tcBorders>
              <w:top w:val="single" w:sz="6" w:space="0" w:color="000000"/>
              <w:left w:val="single" w:sz="6" w:space="0" w:color="000000"/>
              <w:bottom w:val="single" w:sz="6" w:space="0" w:color="000000"/>
              <w:right w:val="single" w:sz="6" w:space="0" w:color="000000"/>
            </w:tcBorders>
          </w:tcPr>
          <w:p w:rsidR="00F931A4" w:rsidRPr="00990D3B" w:rsidP="00BD1FC3" w14:paraId="5132653E" w14:textId="77777777">
            <w:pPr>
              <w:pStyle w:val="EQRTableText"/>
            </w:pPr>
            <w:r w:rsidRPr="00990D3B">
              <w:t> </w:t>
            </w:r>
          </w:p>
        </w:tc>
        <w:tc>
          <w:tcPr>
            <w:tcW w:w="705" w:type="dxa"/>
            <w:tcBorders>
              <w:top w:val="single" w:sz="6" w:space="0" w:color="000000"/>
              <w:left w:val="single" w:sz="6" w:space="0" w:color="000000"/>
              <w:bottom w:val="single" w:sz="6" w:space="0" w:color="000000"/>
              <w:right w:val="single" w:sz="6" w:space="0" w:color="000000"/>
            </w:tcBorders>
          </w:tcPr>
          <w:p w:rsidR="00F931A4" w:rsidRPr="00990D3B" w:rsidP="00BD1FC3" w14:paraId="1562CD7F" w14:textId="77777777">
            <w:pPr>
              <w:pStyle w:val="EQRTableText"/>
            </w:pPr>
            <w:r w:rsidRPr="00990D3B">
              <w:t> </w:t>
            </w:r>
          </w:p>
        </w:tc>
        <w:tc>
          <w:tcPr>
            <w:tcW w:w="705" w:type="dxa"/>
            <w:tcBorders>
              <w:top w:val="single" w:sz="6" w:space="0" w:color="000000"/>
              <w:left w:val="single" w:sz="6" w:space="0" w:color="000000"/>
              <w:bottom w:val="single" w:sz="6" w:space="0" w:color="000000"/>
              <w:right w:val="single" w:sz="6" w:space="0" w:color="000000"/>
            </w:tcBorders>
          </w:tcPr>
          <w:p w:rsidR="00F931A4" w:rsidRPr="00990D3B" w:rsidP="00BD1FC3" w14:paraId="0A72500A" w14:textId="77777777">
            <w:pPr>
              <w:pStyle w:val="EQRTableText"/>
            </w:pPr>
            <w:r w:rsidRPr="00990D3B">
              <w:t> </w:t>
            </w:r>
          </w:p>
        </w:tc>
        <w:tc>
          <w:tcPr>
            <w:tcW w:w="2827" w:type="dxa"/>
            <w:tcBorders>
              <w:top w:val="single" w:sz="6" w:space="0" w:color="000000"/>
              <w:left w:val="single" w:sz="6" w:space="0" w:color="000000"/>
              <w:bottom w:val="single" w:sz="6" w:space="0" w:color="000000"/>
              <w:right w:val="single" w:sz="6" w:space="0" w:color="000000"/>
            </w:tcBorders>
          </w:tcPr>
          <w:p w:rsidR="00F931A4" w:rsidRPr="00990D3B" w:rsidP="00BD1FC3" w14:paraId="5E754D5F" w14:textId="77777777">
            <w:pPr>
              <w:pStyle w:val="EQRTableText"/>
            </w:pPr>
            <w:r w:rsidRPr="00990D3B">
              <w:t> </w:t>
            </w:r>
          </w:p>
        </w:tc>
      </w:tr>
      <w:tr w14:paraId="7EA7DD2A" w14:textId="77777777" w:rsidTr="00BD1FC3">
        <w:tblPrEx>
          <w:tblW w:w="5000" w:type="pct"/>
          <w:tblLayout w:type="fixed"/>
          <w:tblCellMar>
            <w:left w:w="90" w:type="dxa"/>
            <w:right w:w="90" w:type="dxa"/>
          </w:tblCellMar>
          <w:tblLook w:val="0000"/>
        </w:tblPrEx>
        <w:trPr>
          <w:cantSplit/>
        </w:trPr>
        <w:tc>
          <w:tcPr>
            <w:tcW w:w="4402" w:type="dxa"/>
            <w:tcBorders>
              <w:top w:val="single" w:sz="6" w:space="0" w:color="000000"/>
              <w:left w:val="single" w:sz="6" w:space="0" w:color="000000"/>
              <w:bottom w:val="single" w:sz="6" w:space="0" w:color="000000"/>
              <w:right w:val="single" w:sz="6" w:space="0" w:color="000000"/>
            </w:tcBorders>
          </w:tcPr>
          <w:p w:rsidR="00F931A4" w:rsidRPr="00990D3B" w:rsidP="00BD1FC3" w14:paraId="340494E1" w14:textId="77777777">
            <w:pPr>
              <w:pStyle w:val="EQRTableText"/>
            </w:pPr>
            <w:r w:rsidRPr="00990D3B">
              <w:t xml:space="preserve">The MCP properly oversampled </w:t>
            </w:r>
            <w:r w:rsidRPr="00990D3B">
              <w:t>in order to</w:t>
            </w:r>
            <w:r w:rsidRPr="00990D3B">
              <w:t xml:space="preserve"> accommodate potential exclusions</w:t>
            </w:r>
          </w:p>
        </w:tc>
        <w:tc>
          <w:tcPr>
            <w:tcW w:w="705" w:type="dxa"/>
            <w:tcBorders>
              <w:top w:val="single" w:sz="6" w:space="0" w:color="000000"/>
              <w:left w:val="single" w:sz="6" w:space="0" w:color="000000"/>
              <w:bottom w:val="single" w:sz="6" w:space="0" w:color="000000"/>
              <w:right w:val="single" w:sz="6" w:space="0" w:color="000000"/>
            </w:tcBorders>
          </w:tcPr>
          <w:p w:rsidR="00F931A4" w:rsidRPr="00990D3B" w:rsidP="00BD1FC3" w14:paraId="2ED056ED" w14:textId="77777777">
            <w:pPr>
              <w:pStyle w:val="EQRTableText"/>
            </w:pPr>
            <w:r w:rsidRPr="00990D3B">
              <w:t> </w:t>
            </w:r>
          </w:p>
        </w:tc>
        <w:tc>
          <w:tcPr>
            <w:tcW w:w="705" w:type="dxa"/>
            <w:tcBorders>
              <w:top w:val="single" w:sz="6" w:space="0" w:color="000000"/>
              <w:left w:val="single" w:sz="6" w:space="0" w:color="000000"/>
              <w:bottom w:val="single" w:sz="6" w:space="0" w:color="000000"/>
              <w:right w:val="single" w:sz="6" w:space="0" w:color="000000"/>
            </w:tcBorders>
          </w:tcPr>
          <w:p w:rsidR="00F931A4" w:rsidRPr="00990D3B" w:rsidP="00BD1FC3" w14:paraId="09A39E1D" w14:textId="77777777">
            <w:pPr>
              <w:pStyle w:val="EQRTableText"/>
            </w:pPr>
            <w:r w:rsidRPr="00990D3B">
              <w:t> </w:t>
            </w:r>
          </w:p>
        </w:tc>
        <w:tc>
          <w:tcPr>
            <w:tcW w:w="705" w:type="dxa"/>
            <w:tcBorders>
              <w:top w:val="single" w:sz="6" w:space="0" w:color="000000"/>
              <w:left w:val="single" w:sz="6" w:space="0" w:color="000000"/>
              <w:bottom w:val="single" w:sz="6" w:space="0" w:color="000000"/>
              <w:right w:val="single" w:sz="6" w:space="0" w:color="000000"/>
            </w:tcBorders>
          </w:tcPr>
          <w:p w:rsidR="00F931A4" w:rsidRPr="00990D3B" w:rsidP="00BD1FC3" w14:paraId="64F5741B" w14:textId="77777777">
            <w:pPr>
              <w:pStyle w:val="EQRTableText"/>
            </w:pPr>
            <w:r w:rsidRPr="00990D3B">
              <w:t> </w:t>
            </w:r>
          </w:p>
        </w:tc>
        <w:tc>
          <w:tcPr>
            <w:tcW w:w="2827" w:type="dxa"/>
            <w:tcBorders>
              <w:top w:val="single" w:sz="6" w:space="0" w:color="000000"/>
              <w:left w:val="single" w:sz="6" w:space="0" w:color="000000"/>
              <w:bottom w:val="single" w:sz="6" w:space="0" w:color="000000"/>
              <w:right w:val="single" w:sz="6" w:space="0" w:color="000000"/>
            </w:tcBorders>
          </w:tcPr>
          <w:p w:rsidR="00F931A4" w:rsidRPr="00990D3B" w:rsidP="00BD1FC3" w14:paraId="37742B24" w14:textId="77777777">
            <w:pPr>
              <w:pStyle w:val="EQRTableText"/>
            </w:pPr>
            <w:r w:rsidRPr="00990D3B">
              <w:t> </w:t>
            </w:r>
          </w:p>
        </w:tc>
      </w:tr>
      <w:tr w14:paraId="2ECE22A7" w14:textId="77777777" w:rsidTr="00BD1FC3">
        <w:tblPrEx>
          <w:tblW w:w="5000" w:type="pct"/>
          <w:tblLayout w:type="fixed"/>
          <w:tblCellMar>
            <w:left w:w="90" w:type="dxa"/>
            <w:right w:w="90" w:type="dxa"/>
          </w:tblCellMar>
          <w:tblLook w:val="0000"/>
        </w:tblPrEx>
        <w:trPr>
          <w:cantSplit/>
        </w:trPr>
        <w:tc>
          <w:tcPr>
            <w:tcW w:w="4402" w:type="dxa"/>
            <w:tcBorders>
              <w:top w:val="single" w:sz="6" w:space="0" w:color="000000"/>
              <w:left w:val="single" w:sz="6" w:space="0" w:color="000000"/>
              <w:bottom w:val="single" w:sz="6" w:space="0" w:color="000000"/>
              <w:right w:val="single" w:sz="6" w:space="0" w:color="000000"/>
            </w:tcBorders>
          </w:tcPr>
          <w:p w:rsidR="00F931A4" w:rsidRPr="00990D3B" w:rsidP="00BD1FC3" w14:paraId="08DC9357" w14:textId="77777777">
            <w:pPr>
              <w:pStyle w:val="EQRTableText"/>
            </w:pPr>
            <w:r w:rsidRPr="00990D3B">
              <w:rPr>
                <w:b/>
              </w:rPr>
              <w:t>Overall assessment:</w:t>
            </w:r>
            <w:r w:rsidRPr="00990D3B">
              <w:t xml:space="preserve"> In the comments section, note any recommendations to improve adherence to performance measure specifications</w:t>
            </w:r>
          </w:p>
        </w:tc>
        <w:tc>
          <w:tcPr>
            <w:tcW w:w="70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F931A4" w:rsidRPr="00990D3B" w:rsidP="00BD1FC3" w14:paraId="110D267B" w14:textId="77777777">
            <w:pPr>
              <w:pStyle w:val="EQRTableText"/>
            </w:pPr>
            <w:r w:rsidRPr="00990D3B">
              <w:t> </w:t>
            </w:r>
          </w:p>
        </w:tc>
        <w:tc>
          <w:tcPr>
            <w:tcW w:w="70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F931A4" w:rsidRPr="00990D3B" w:rsidP="00BD1FC3" w14:paraId="408A072A" w14:textId="77777777">
            <w:pPr>
              <w:pStyle w:val="EQRTableText"/>
            </w:pPr>
            <w:r w:rsidRPr="00990D3B">
              <w:t> </w:t>
            </w:r>
          </w:p>
        </w:tc>
        <w:tc>
          <w:tcPr>
            <w:tcW w:w="70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F931A4" w:rsidRPr="00990D3B" w:rsidP="00BD1FC3" w14:paraId="0A419EDE" w14:textId="77777777">
            <w:pPr>
              <w:pStyle w:val="EQRTableText"/>
            </w:pPr>
            <w:r w:rsidRPr="00990D3B">
              <w:t> </w:t>
            </w:r>
          </w:p>
        </w:tc>
        <w:tc>
          <w:tcPr>
            <w:tcW w:w="2827" w:type="dxa"/>
            <w:tcBorders>
              <w:top w:val="single" w:sz="6" w:space="0" w:color="000000"/>
              <w:left w:val="single" w:sz="6" w:space="0" w:color="000000"/>
              <w:bottom w:val="single" w:sz="6" w:space="0" w:color="000000"/>
              <w:right w:val="single" w:sz="6" w:space="0" w:color="000000"/>
            </w:tcBorders>
          </w:tcPr>
          <w:p w:rsidR="00F931A4" w:rsidRPr="00990D3B" w:rsidP="00BD1FC3" w14:paraId="12785E80" w14:textId="77777777">
            <w:pPr>
              <w:pStyle w:val="EQRTableText"/>
            </w:pPr>
            <w:r w:rsidRPr="00990D3B">
              <w:t> </w:t>
            </w:r>
          </w:p>
        </w:tc>
      </w:tr>
    </w:tbl>
    <w:p w:rsidR="00F931A4" w:rsidRPr="00990D3B" w:rsidP="00252655" w14:paraId="35142574" w14:textId="77777777">
      <w:pPr>
        <w:pStyle w:val="NoSpacing"/>
      </w:pPr>
    </w:p>
    <w:tbl>
      <w:tblPr>
        <w:tblW w:w="5000" w:type="pct"/>
        <w:tblLayout w:type="fixed"/>
        <w:tblCellMar>
          <w:left w:w="90" w:type="dxa"/>
          <w:right w:w="90" w:type="dxa"/>
        </w:tblCellMar>
        <w:tblLook w:val="0000"/>
      </w:tblPr>
      <w:tblGrid>
        <w:gridCol w:w="4402"/>
        <w:gridCol w:w="705"/>
        <w:gridCol w:w="705"/>
        <w:gridCol w:w="705"/>
        <w:gridCol w:w="2827"/>
      </w:tblGrid>
      <w:tr w14:paraId="2E19738A" w14:textId="77777777" w:rsidTr="00BD1FC3">
        <w:tblPrEx>
          <w:tblW w:w="5000" w:type="pct"/>
          <w:tblLayout w:type="fixed"/>
          <w:tblCellMar>
            <w:left w:w="90" w:type="dxa"/>
            <w:right w:w="90" w:type="dxa"/>
          </w:tblCellMar>
          <w:tblLook w:val="0000"/>
        </w:tblPrEx>
        <w:trPr>
          <w:cantSplit/>
          <w:tblHeader/>
        </w:trPr>
        <w:tc>
          <w:tcPr>
            <w:tcW w:w="4402"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52655" w14:paraId="60EDA33D" w14:textId="5315692C">
            <w:pPr>
              <w:pStyle w:val="EQRTableHeaderLeft"/>
              <w:rPr>
                <w:color w:val="auto"/>
              </w:rPr>
            </w:pPr>
            <w:r w:rsidRPr="00990D3B">
              <w:rPr>
                <w:color w:val="auto"/>
              </w:rPr>
              <w:t xml:space="preserve">Audit Element: Medical </w:t>
            </w:r>
            <w:r w:rsidRPr="00990D3B" w:rsidR="00DE2282">
              <w:rPr>
                <w:color w:val="auto"/>
              </w:rPr>
              <w:t>r</w:t>
            </w:r>
            <w:r w:rsidRPr="00990D3B">
              <w:rPr>
                <w:color w:val="auto"/>
              </w:rPr>
              <w:t xml:space="preserve">ecord </w:t>
            </w:r>
            <w:r w:rsidRPr="00990D3B" w:rsidR="00DE2282">
              <w:rPr>
                <w:color w:val="auto"/>
              </w:rPr>
              <w:t>r</w:t>
            </w:r>
            <w:r w:rsidRPr="00990D3B">
              <w:rPr>
                <w:color w:val="auto"/>
              </w:rPr>
              <w:t>eviews</w:t>
            </w:r>
          </w:p>
        </w:tc>
        <w:tc>
          <w:tcPr>
            <w:tcW w:w="70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52655" w14:paraId="179C3BAC" w14:textId="77777777">
            <w:pPr>
              <w:pStyle w:val="EQRTableHeaderCenter"/>
              <w:rPr>
                <w:color w:val="auto"/>
              </w:rPr>
            </w:pPr>
            <w:r w:rsidRPr="00990D3B">
              <w:rPr>
                <w:color w:val="auto"/>
              </w:rPr>
              <w:t>Met</w:t>
            </w:r>
          </w:p>
        </w:tc>
        <w:tc>
          <w:tcPr>
            <w:tcW w:w="70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52655" w14:paraId="5FA9E729" w14:textId="77777777">
            <w:pPr>
              <w:pStyle w:val="EQRTableHeaderCenter"/>
              <w:rPr>
                <w:color w:val="auto"/>
              </w:rPr>
            </w:pPr>
            <w:r w:rsidRPr="00990D3B">
              <w:rPr>
                <w:color w:val="auto"/>
              </w:rPr>
              <w:t>Not Met</w:t>
            </w:r>
          </w:p>
        </w:tc>
        <w:tc>
          <w:tcPr>
            <w:tcW w:w="70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52655" w14:paraId="1415FA25" w14:textId="0C369F88">
            <w:pPr>
              <w:pStyle w:val="EQRTableHeaderCenter"/>
              <w:rPr>
                <w:color w:val="auto"/>
              </w:rPr>
            </w:pPr>
            <w:r w:rsidRPr="00990D3B">
              <w:rPr>
                <w:color w:val="auto"/>
              </w:rPr>
              <w:t>NA</w:t>
            </w:r>
          </w:p>
        </w:tc>
        <w:tc>
          <w:tcPr>
            <w:tcW w:w="2827"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F931A4" w:rsidRPr="00990D3B" w:rsidP="00252655" w14:paraId="2A2A26A6" w14:textId="77777777">
            <w:pPr>
              <w:pStyle w:val="EQRTableHeaderCenter"/>
              <w:rPr>
                <w:color w:val="auto"/>
              </w:rPr>
            </w:pPr>
            <w:r w:rsidRPr="00990D3B">
              <w:rPr>
                <w:color w:val="auto"/>
              </w:rPr>
              <w:t>Comments</w:t>
            </w:r>
          </w:p>
        </w:tc>
      </w:tr>
      <w:tr w14:paraId="6ADDF975" w14:textId="77777777" w:rsidTr="00BD1FC3">
        <w:tblPrEx>
          <w:tblW w:w="5000" w:type="pct"/>
          <w:tblLayout w:type="fixed"/>
          <w:tblCellMar>
            <w:left w:w="90" w:type="dxa"/>
            <w:right w:w="90" w:type="dxa"/>
          </w:tblCellMar>
          <w:tblLook w:val="0000"/>
        </w:tblPrEx>
        <w:trPr>
          <w:cantSplit/>
        </w:trPr>
        <w:tc>
          <w:tcPr>
            <w:tcW w:w="4402" w:type="dxa"/>
            <w:tcBorders>
              <w:top w:val="single" w:sz="6" w:space="0" w:color="000000"/>
              <w:left w:val="single" w:sz="6" w:space="0" w:color="000000"/>
              <w:bottom w:val="single" w:sz="6" w:space="0" w:color="000000"/>
              <w:right w:val="single" w:sz="6" w:space="0" w:color="000000"/>
            </w:tcBorders>
          </w:tcPr>
          <w:p w:rsidR="00F931A4" w:rsidRPr="00990D3B" w:rsidP="00BD1FC3" w14:paraId="217248AE" w14:textId="2692EB37">
            <w:pPr>
              <w:pStyle w:val="EQRTableText"/>
            </w:pPr>
            <w:r w:rsidRPr="00990D3B">
              <w:t xml:space="preserve">Substitution applied only to those </w:t>
            </w:r>
            <w:r w:rsidRPr="00990D3B" w:rsidR="00727834">
              <w:t>enrollees</w:t>
            </w:r>
            <w:r w:rsidRPr="00990D3B">
              <w:t xml:space="preserve"> who met the exclusion criteria specified in the performance measure definitions or requirements</w:t>
            </w:r>
          </w:p>
        </w:tc>
        <w:tc>
          <w:tcPr>
            <w:tcW w:w="705" w:type="dxa"/>
            <w:tcBorders>
              <w:top w:val="single" w:sz="6" w:space="0" w:color="000000"/>
              <w:left w:val="single" w:sz="6" w:space="0" w:color="000000"/>
              <w:bottom w:val="single" w:sz="6" w:space="0" w:color="000000"/>
              <w:right w:val="single" w:sz="6" w:space="0" w:color="000000"/>
            </w:tcBorders>
          </w:tcPr>
          <w:p w:rsidR="00F931A4" w:rsidRPr="00990D3B" w:rsidP="00BD1FC3" w14:paraId="385B02FE" w14:textId="77777777">
            <w:pPr>
              <w:pStyle w:val="EQRTableText"/>
            </w:pPr>
            <w:r w:rsidRPr="00990D3B">
              <w:t> </w:t>
            </w:r>
          </w:p>
        </w:tc>
        <w:tc>
          <w:tcPr>
            <w:tcW w:w="705" w:type="dxa"/>
            <w:tcBorders>
              <w:top w:val="single" w:sz="6" w:space="0" w:color="000000"/>
              <w:left w:val="single" w:sz="6" w:space="0" w:color="000000"/>
              <w:bottom w:val="single" w:sz="6" w:space="0" w:color="000000"/>
              <w:right w:val="single" w:sz="6" w:space="0" w:color="000000"/>
            </w:tcBorders>
          </w:tcPr>
          <w:p w:rsidR="00F931A4" w:rsidRPr="00990D3B" w:rsidP="00BD1FC3" w14:paraId="168EA491" w14:textId="77777777">
            <w:pPr>
              <w:pStyle w:val="EQRTableText"/>
            </w:pPr>
            <w:r w:rsidRPr="00990D3B">
              <w:t> </w:t>
            </w:r>
          </w:p>
        </w:tc>
        <w:tc>
          <w:tcPr>
            <w:tcW w:w="705" w:type="dxa"/>
            <w:tcBorders>
              <w:top w:val="single" w:sz="6" w:space="0" w:color="000000"/>
              <w:left w:val="single" w:sz="6" w:space="0" w:color="000000"/>
              <w:bottom w:val="single" w:sz="6" w:space="0" w:color="000000"/>
              <w:right w:val="single" w:sz="6" w:space="0" w:color="000000"/>
            </w:tcBorders>
          </w:tcPr>
          <w:p w:rsidR="00F931A4" w:rsidRPr="00990D3B" w:rsidP="00BD1FC3" w14:paraId="794BFD6E" w14:textId="77777777">
            <w:pPr>
              <w:pStyle w:val="EQRTableText"/>
            </w:pPr>
            <w:r w:rsidRPr="00990D3B">
              <w:t> </w:t>
            </w:r>
          </w:p>
        </w:tc>
        <w:tc>
          <w:tcPr>
            <w:tcW w:w="2827" w:type="dxa"/>
            <w:tcBorders>
              <w:top w:val="single" w:sz="6" w:space="0" w:color="000000"/>
              <w:left w:val="single" w:sz="6" w:space="0" w:color="000000"/>
              <w:bottom w:val="single" w:sz="6" w:space="0" w:color="000000"/>
              <w:right w:val="single" w:sz="6" w:space="0" w:color="000000"/>
            </w:tcBorders>
          </w:tcPr>
          <w:p w:rsidR="00F931A4" w:rsidRPr="00990D3B" w:rsidP="00BD1FC3" w14:paraId="73464BFC" w14:textId="77777777">
            <w:pPr>
              <w:pStyle w:val="EQRTableText"/>
            </w:pPr>
            <w:r w:rsidRPr="00990D3B">
              <w:t> </w:t>
            </w:r>
          </w:p>
        </w:tc>
      </w:tr>
      <w:tr w14:paraId="1C7A33FE" w14:textId="77777777" w:rsidTr="00BD1FC3">
        <w:tblPrEx>
          <w:tblW w:w="5000" w:type="pct"/>
          <w:tblLayout w:type="fixed"/>
          <w:tblCellMar>
            <w:left w:w="90" w:type="dxa"/>
            <w:right w:w="90" w:type="dxa"/>
          </w:tblCellMar>
          <w:tblLook w:val="0000"/>
        </w:tblPrEx>
        <w:trPr>
          <w:cantSplit/>
        </w:trPr>
        <w:tc>
          <w:tcPr>
            <w:tcW w:w="4402" w:type="dxa"/>
            <w:tcBorders>
              <w:top w:val="single" w:sz="6" w:space="0" w:color="000000"/>
              <w:left w:val="single" w:sz="6" w:space="0" w:color="000000"/>
              <w:bottom w:val="single" w:sz="6" w:space="0" w:color="000000"/>
              <w:right w:val="single" w:sz="6" w:space="0" w:color="000000"/>
            </w:tcBorders>
          </w:tcPr>
          <w:p w:rsidR="00F931A4" w:rsidRPr="00990D3B" w:rsidP="00BD1FC3" w14:paraId="60B7E188" w14:textId="77777777">
            <w:pPr>
              <w:pStyle w:val="EQRTableText"/>
            </w:pPr>
            <w:r w:rsidRPr="00990D3B">
              <w:t xml:space="preserve">Substitutions were made for properly excluded </w:t>
            </w:r>
            <w:r w:rsidRPr="00990D3B">
              <w:t>records</w:t>
            </w:r>
            <w:r w:rsidRPr="00990D3B">
              <w:t xml:space="preserve"> and the percentage of substituted records was documented</w:t>
            </w:r>
          </w:p>
        </w:tc>
        <w:tc>
          <w:tcPr>
            <w:tcW w:w="705" w:type="dxa"/>
            <w:tcBorders>
              <w:top w:val="single" w:sz="6" w:space="0" w:color="000000"/>
              <w:left w:val="single" w:sz="6" w:space="0" w:color="000000"/>
              <w:bottom w:val="single" w:sz="6" w:space="0" w:color="000000"/>
              <w:right w:val="single" w:sz="6" w:space="0" w:color="000000"/>
            </w:tcBorders>
          </w:tcPr>
          <w:p w:rsidR="00F931A4" w:rsidRPr="00990D3B" w:rsidP="00BD1FC3" w14:paraId="09540B22" w14:textId="77777777">
            <w:pPr>
              <w:pStyle w:val="EQRTableText"/>
            </w:pPr>
            <w:r w:rsidRPr="00990D3B">
              <w:t> </w:t>
            </w:r>
          </w:p>
        </w:tc>
        <w:tc>
          <w:tcPr>
            <w:tcW w:w="705" w:type="dxa"/>
            <w:tcBorders>
              <w:top w:val="single" w:sz="6" w:space="0" w:color="000000"/>
              <w:left w:val="single" w:sz="6" w:space="0" w:color="000000"/>
              <w:bottom w:val="single" w:sz="6" w:space="0" w:color="000000"/>
              <w:right w:val="single" w:sz="6" w:space="0" w:color="000000"/>
            </w:tcBorders>
          </w:tcPr>
          <w:p w:rsidR="00F931A4" w:rsidRPr="00990D3B" w:rsidP="00BD1FC3" w14:paraId="783BB9F7" w14:textId="77777777">
            <w:pPr>
              <w:pStyle w:val="EQRTableText"/>
            </w:pPr>
            <w:r w:rsidRPr="00990D3B">
              <w:t> </w:t>
            </w:r>
          </w:p>
        </w:tc>
        <w:tc>
          <w:tcPr>
            <w:tcW w:w="705" w:type="dxa"/>
            <w:tcBorders>
              <w:top w:val="single" w:sz="6" w:space="0" w:color="000000"/>
              <w:left w:val="single" w:sz="6" w:space="0" w:color="000000"/>
              <w:bottom w:val="single" w:sz="6" w:space="0" w:color="000000"/>
              <w:right w:val="single" w:sz="6" w:space="0" w:color="000000"/>
            </w:tcBorders>
          </w:tcPr>
          <w:p w:rsidR="00F931A4" w:rsidRPr="00990D3B" w:rsidP="00BD1FC3" w14:paraId="265A35CA" w14:textId="77777777">
            <w:pPr>
              <w:pStyle w:val="EQRTableText"/>
            </w:pPr>
            <w:r w:rsidRPr="00990D3B">
              <w:t> </w:t>
            </w:r>
          </w:p>
        </w:tc>
        <w:tc>
          <w:tcPr>
            <w:tcW w:w="2827" w:type="dxa"/>
            <w:tcBorders>
              <w:top w:val="single" w:sz="6" w:space="0" w:color="000000"/>
              <w:left w:val="single" w:sz="6" w:space="0" w:color="000000"/>
              <w:bottom w:val="single" w:sz="6" w:space="0" w:color="000000"/>
              <w:right w:val="single" w:sz="6" w:space="0" w:color="000000"/>
            </w:tcBorders>
          </w:tcPr>
          <w:p w:rsidR="00F931A4" w:rsidRPr="00990D3B" w:rsidP="00BD1FC3" w14:paraId="6DCE4000" w14:textId="77777777">
            <w:pPr>
              <w:pStyle w:val="EQRTableText"/>
            </w:pPr>
            <w:r w:rsidRPr="00990D3B">
              <w:t> </w:t>
            </w:r>
          </w:p>
        </w:tc>
      </w:tr>
      <w:tr w14:paraId="34BB3426" w14:textId="77777777" w:rsidTr="00BD1FC3">
        <w:tblPrEx>
          <w:tblW w:w="5000" w:type="pct"/>
          <w:tblLayout w:type="fixed"/>
          <w:tblCellMar>
            <w:left w:w="90" w:type="dxa"/>
            <w:right w:w="90" w:type="dxa"/>
          </w:tblCellMar>
          <w:tblLook w:val="0000"/>
        </w:tblPrEx>
        <w:trPr>
          <w:cantSplit/>
        </w:trPr>
        <w:tc>
          <w:tcPr>
            <w:tcW w:w="4402" w:type="dxa"/>
            <w:tcBorders>
              <w:top w:val="single" w:sz="6" w:space="0" w:color="000000"/>
              <w:left w:val="single" w:sz="6" w:space="0" w:color="000000"/>
              <w:bottom w:val="single" w:sz="6" w:space="0" w:color="000000"/>
              <w:right w:val="single" w:sz="6" w:space="0" w:color="000000"/>
            </w:tcBorders>
          </w:tcPr>
          <w:p w:rsidR="00F931A4" w:rsidRPr="00990D3B" w:rsidP="00BD1FC3" w14:paraId="172951A5" w14:textId="77777777">
            <w:pPr>
              <w:pStyle w:val="EQRTableText"/>
            </w:pPr>
            <w:r w:rsidRPr="00990D3B">
              <w:rPr>
                <w:b/>
              </w:rPr>
              <w:t>Overall assessment:</w:t>
            </w:r>
            <w:r w:rsidRPr="00990D3B">
              <w:t xml:space="preserve"> In the comments section, note any recommendations to improve use of proper substitution methodology</w:t>
            </w:r>
          </w:p>
        </w:tc>
        <w:tc>
          <w:tcPr>
            <w:tcW w:w="70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F931A4" w:rsidRPr="00990D3B" w:rsidP="00BD1FC3" w14:paraId="272DED87" w14:textId="77777777">
            <w:pPr>
              <w:pStyle w:val="EQRTableText"/>
            </w:pPr>
            <w:r w:rsidRPr="00990D3B">
              <w:t> </w:t>
            </w:r>
          </w:p>
        </w:tc>
        <w:tc>
          <w:tcPr>
            <w:tcW w:w="70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F931A4" w:rsidRPr="00990D3B" w:rsidP="00BD1FC3" w14:paraId="27FE0B91" w14:textId="77777777">
            <w:pPr>
              <w:pStyle w:val="EQRTableText"/>
            </w:pPr>
            <w:r w:rsidRPr="00990D3B">
              <w:t> </w:t>
            </w:r>
          </w:p>
        </w:tc>
        <w:tc>
          <w:tcPr>
            <w:tcW w:w="70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F931A4" w:rsidRPr="00990D3B" w:rsidP="00BD1FC3" w14:paraId="580E8401" w14:textId="77777777">
            <w:pPr>
              <w:pStyle w:val="EQRTableText"/>
            </w:pPr>
            <w:r w:rsidRPr="00990D3B">
              <w:t> </w:t>
            </w:r>
          </w:p>
        </w:tc>
        <w:tc>
          <w:tcPr>
            <w:tcW w:w="2827" w:type="dxa"/>
            <w:tcBorders>
              <w:top w:val="single" w:sz="6" w:space="0" w:color="000000"/>
              <w:left w:val="single" w:sz="6" w:space="0" w:color="000000"/>
              <w:bottom w:val="single" w:sz="6" w:space="0" w:color="000000"/>
              <w:right w:val="single" w:sz="6" w:space="0" w:color="000000"/>
            </w:tcBorders>
          </w:tcPr>
          <w:p w:rsidR="00F931A4" w:rsidRPr="00990D3B" w:rsidP="00BD1FC3" w14:paraId="3FEAFB65" w14:textId="77777777">
            <w:pPr>
              <w:pStyle w:val="EQRTableText"/>
            </w:pPr>
            <w:r w:rsidRPr="00990D3B">
              <w:t> </w:t>
            </w:r>
          </w:p>
        </w:tc>
      </w:tr>
    </w:tbl>
    <w:p w:rsidR="00F931A4" w:rsidRPr="00990D3B" w:rsidP="00BD1FC3" w14:paraId="1806B416" w14:textId="77777777">
      <w:pPr>
        <w:pStyle w:val="EQRNormalSSWORKSHEET"/>
      </w:pPr>
      <w:r w:rsidRPr="00990D3B">
        <w:br w:type="page"/>
      </w:r>
    </w:p>
    <w:p w:rsidR="00F931A4" w:rsidRPr="00990D3B" w:rsidP="00BD1FC3" w14:paraId="54375C93" w14:textId="77777777">
      <w:pPr>
        <w:pStyle w:val="EQRMarkforExhibitWORKSHEET"/>
      </w:pPr>
      <w:bookmarkStart w:id="329" w:name="WSp2n14"/>
      <w:bookmarkStart w:id="330" w:name="_Toc125619158"/>
      <w:bookmarkStart w:id="331" w:name="_Toc201751507"/>
      <w:bookmarkEnd w:id="329"/>
      <w:r w:rsidRPr="00990D3B">
        <w:t>Worksheet 2.14. Framework for Summarizing Information About Performance Measures</w:t>
      </w:r>
      <w:bookmarkEnd w:id="330"/>
      <w:bookmarkEnd w:id="331"/>
    </w:p>
    <w:p w:rsidR="005A1EB2" w:rsidRPr="00990D3B" w:rsidP="005A1EB2" w14:paraId="6C5721A5" w14:textId="77777777">
      <w:pPr>
        <w:pStyle w:val="EQRNormalSSWORKSHEET"/>
      </w:pPr>
      <w:r w:rsidRPr="00990D3B">
        <w:rPr>
          <w:b/>
        </w:rPr>
        <w:t>Instructions.</w:t>
      </w:r>
      <w:r w:rsidRPr="00990D3B">
        <w:t xml:space="preserve"> Use this worksheet or a similar tool to summarize the results for each performance measure validated for each </w:t>
      </w:r>
      <w:r w:rsidRPr="00990D3B" w:rsidR="005F436F">
        <w:t>MCP</w:t>
      </w:r>
      <w:r w:rsidRPr="00990D3B">
        <w:t xml:space="preserve">. This worksheet can be used as a framework for summarizing validation at the plan level. In addition, the information in this worksheet can be aggregated across </w:t>
      </w:r>
      <w:r w:rsidRPr="00990D3B" w:rsidR="00C73417">
        <w:t xml:space="preserve">MCPs </w:t>
      </w:r>
      <w:r w:rsidRPr="00990D3B">
        <w:t xml:space="preserve">and measures to generate information on state-level performance and areas for improvement. </w:t>
      </w:r>
    </w:p>
    <w:p w:rsidR="00936A44" w:rsidRPr="00990D3B" w:rsidP="005A1EB2" w14:paraId="4D26391C" w14:textId="17E94DB7">
      <w:pPr>
        <w:pStyle w:val="EQRNormalSSWORKSHEET"/>
        <w:rPr>
          <w:rFonts w:asciiTheme="majorHAnsi" w:hAnsiTheme="majorHAnsi" w:cstheme="majorHAnsi"/>
        </w:rPr>
      </w:pPr>
      <w:r w:rsidRPr="00990D3B">
        <w:rPr>
          <w:rFonts w:asciiTheme="majorHAnsi" w:hAnsiTheme="majorHAnsi" w:cstheme="majorHAnsi"/>
        </w:rPr>
        <w:t>Acronyms:</w:t>
      </w:r>
      <w:r w:rsidRPr="00990D3B" w:rsidR="00456A53">
        <w:rPr>
          <w:rFonts w:asciiTheme="majorHAnsi" w:hAnsiTheme="majorHAnsi" w:cstheme="majorHAnsi"/>
        </w:rPr>
        <w:t xml:space="preserve"> </w:t>
      </w:r>
      <w:r w:rsidRPr="00990D3B">
        <w:rPr>
          <w:rFonts w:asciiTheme="majorHAnsi" w:hAnsiTheme="majorHAnsi" w:cstheme="majorHAnsi"/>
        </w:rPr>
        <w:t>CHIP = Children’s Health Insurance Program; EQRO = External Quality Review Organization; HEDIS = Healthcare Effectiveness Data and Information Set; ISCA = Information Systems Capabilities Assessment; MCP= Managed Care Plan.</w:t>
      </w:r>
    </w:p>
    <w:p w:rsidR="00F931A4" w:rsidRPr="00990D3B" w:rsidP="002B40CC" w14:paraId="46FB3027" w14:textId="32BE6E0A">
      <w:pPr>
        <w:pStyle w:val="H2EQRWorksheet"/>
      </w:pPr>
      <w:r w:rsidRPr="00990D3B">
        <w:t>Overview of Performance Measure</w:t>
      </w:r>
    </w:p>
    <w:tbl>
      <w:tblPr>
        <w:tblStyle w:val="TableGrid"/>
        <w:tblW w:w="5000" w:type="pct"/>
        <w:tblLook w:val="04A0"/>
      </w:tblPr>
      <w:tblGrid>
        <w:gridCol w:w="9350"/>
      </w:tblGrid>
      <w:tr w14:paraId="33C74597" w14:textId="77777777" w:rsidTr="00BD1FC3">
        <w:tblPrEx>
          <w:tblW w:w="5000" w:type="pct"/>
          <w:tblLook w:val="04A0"/>
        </w:tblPrEx>
        <w:tc>
          <w:tcPr>
            <w:tcW w:w="9350" w:type="dxa"/>
          </w:tcPr>
          <w:p w:rsidR="00F931A4" w:rsidRPr="00990D3B" w:rsidP="00BD1FC3" w14:paraId="2D731A5E" w14:textId="762E8908">
            <w:pPr>
              <w:pStyle w:val="EQRTableText"/>
              <w:rPr>
                <w:b/>
                <w:bCs/>
              </w:rPr>
            </w:pPr>
            <w:r w:rsidRPr="00990D3B">
              <w:rPr>
                <w:b/>
                <w:bCs/>
              </w:rPr>
              <w:t xml:space="preserve">MCP name:  </w:t>
            </w:r>
          </w:p>
        </w:tc>
      </w:tr>
      <w:tr w14:paraId="7B3C80F4" w14:textId="77777777" w:rsidTr="00BD1FC3">
        <w:tblPrEx>
          <w:tblW w:w="5000" w:type="pct"/>
          <w:tblLook w:val="04A0"/>
        </w:tblPrEx>
        <w:tc>
          <w:tcPr>
            <w:tcW w:w="9350" w:type="dxa"/>
          </w:tcPr>
          <w:p w:rsidR="00F931A4" w:rsidRPr="00990D3B" w:rsidP="00BD1FC3" w14:paraId="7EC58998" w14:textId="77777777">
            <w:pPr>
              <w:pStyle w:val="EQRTableText"/>
              <w:rPr>
                <w:b/>
                <w:bCs/>
              </w:rPr>
            </w:pPr>
            <w:r w:rsidRPr="00990D3B">
              <w:rPr>
                <w:b/>
                <w:bCs/>
              </w:rPr>
              <w:t xml:space="preserve">Performance measure name: </w:t>
            </w:r>
          </w:p>
        </w:tc>
      </w:tr>
      <w:tr w14:paraId="412508EF" w14:textId="77777777" w:rsidTr="00BD1FC3">
        <w:tblPrEx>
          <w:tblW w:w="5000" w:type="pct"/>
          <w:tblLook w:val="04A0"/>
        </w:tblPrEx>
        <w:tc>
          <w:tcPr>
            <w:tcW w:w="9350" w:type="dxa"/>
          </w:tcPr>
          <w:p w:rsidR="00F931A4" w:rsidRPr="00990D3B" w:rsidP="00BD1FC3" w14:paraId="5B2C10D7" w14:textId="77777777">
            <w:pPr>
              <w:pStyle w:val="EQRTableText"/>
            </w:pPr>
            <w:r w:rsidRPr="00990D3B">
              <w:t>Measure steward:</w:t>
            </w:r>
          </w:p>
          <w:p w:rsidR="00F931A4" w:rsidRPr="00990D3B" w:rsidP="0081008A" w14:paraId="448F0037"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Agency for Healthcare Research and Quality (AHRQ)</w:t>
            </w:r>
          </w:p>
          <w:p w:rsidR="00F931A4" w:rsidRPr="00990D3B" w:rsidP="00BD1FC3" w14:paraId="3D081E57"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Centers for Disease Control and Prevention (CDC)</w:t>
            </w:r>
          </w:p>
          <w:p w:rsidR="00F931A4" w:rsidRPr="00990D3B" w:rsidP="00BD1FC3" w14:paraId="7B80B9B5"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Centers for Medicare &amp; Medicaid Services (CMS)</w:t>
            </w:r>
          </w:p>
          <w:p w:rsidR="00F931A4" w:rsidRPr="00990D3B" w:rsidP="00BD1FC3" w14:paraId="1461473F"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National Committee for Quality Assurance (NCQA) </w:t>
            </w:r>
          </w:p>
          <w:p w:rsidR="00F931A4" w:rsidRPr="00990D3B" w:rsidP="00BD1FC3" w14:paraId="72F70457"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The Joint Commission (TJC)</w:t>
            </w:r>
          </w:p>
          <w:p w:rsidR="00F931A4" w:rsidRPr="00990D3B" w:rsidP="00BD1FC3" w14:paraId="096E7040"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 measure steward, developed by state/EQRO </w:t>
            </w:r>
          </w:p>
          <w:p w:rsidR="00F931A4" w:rsidRPr="00990D3B" w:rsidP="00BD1FC3" w14:paraId="6CD4F76D"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Other measure steward (specify) _____________________________________________</w:t>
            </w:r>
          </w:p>
        </w:tc>
      </w:tr>
      <w:tr w14:paraId="38A94C5A" w14:textId="77777777" w:rsidTr="00BD1FC3">
        <w:tblPrEx>
          <w:tblW w:w="5000" w:type="pct"/>
          <w:tblLook w:val="04A0"/>
        </w:tblPrEx>
        <w:tc>
          <w:tcPr>
            <w:tcW w:w="9350" w:type="dxa"/>
          </w:tcPr>
          <w:p w:rsidR="00F931A4" w:rsidRPr="00990D3B" w:rsidP="00BD1FC3" w14:paraId="44D487E0" w14:textId="77777777">
            <w:pPr>
              <w:pStyle w:val="EQRTableText"/>
            </w:pPr>
            <w:r w:rsidRPr="00990D3B">
              <w:t>Is the performance measure part of an existing measure set? (check all that apply)</w:t>
            </w:r>
          </w:p>
          <w:p w:rsidR="00F931A4" w:rsidRPr="00990D3B" w:rsidP="00BD1FC3" w14:paraId="286D680E"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HEDIS</w:t>
            </w:r>
            <w:r w:rsidRPr="00990D3B">
              <w:rPr>
                <w:rFonts w:cs="Arial"/>
              </w:rPr>
              <w:t>®</w:t>
            </w:r>
          </w:p>
          <w:p w:rsidR="00F931A4" w:rsidRPr="00990D3B" w:rsidP="00BD1FC3" w14:paraId="083DA619" w14:textId="77777777">
            <w:pPr>
              <w:pStyle w:val="EQRTableText"/>
            </w:pPr>
            <w:r w:rsidRPr="00990D3B">
              <w:fldChar w:fldCharType="begin">
                <w:ffData>
                  <w:name w:val="Check2"/>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CMS Child or Adult Core Set</w:t>
            </w:r>
          </w:p>
          <w:p w:rsidR="00F931A4" w:rsidRPr="00990D3B" w:rsidP="00BD1FC3" w14:paraId="4019CBB9" w14:textId="77777777">
            <w:pPr>
              <w:pStyle w:val="EQRTableText"/>
            </w:pPr>
            <w:r w:rsidRPr="00990D3B">
              <w:fldChar w:fldCharType="begin">
                <w:ffData>
                  <w:name w:val=""/>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Other (specify) ____________________________________________  </w:t>
            </w:r>
          </w:p>
        </w:tc>
      </w:tr>
      <w:tr w14:paraId="7C29DD4C" w14:textId="77777777" w:rsidTr="00BD1FC3">
        <w:tblPrEx>
          <w:tblW w:w="5000" w:type="pct"/>
          <w:tblLook w:val="04A0"/>
        </w:tblPrEx>
        <w:tc>
          <w:tcPr>
            <w:tcW w:w="9350" w:type="dxa"/>
          </w:tcPr>
          <w:p w:rsidR="00F931A4" w:rsidRPr="00990D3B" w:rsidP="00BD1FC3" w14:paraId="51E2F1DC" w14:textId="77777777">
            <w:pPr>
              <w:pStyle w:val="EQRTableText"/>
            </w:pPr>
            <w:r w:rsidRPr="00990D3B">
              <w:t>What data source(s) was used to calculate the measure? (check all that apply)</w:t>
            </w:r>
          </w:p>
          <w:p w:rsidR="00F931A4" w:rsidRPr="00990D3B" w:rsidP="00BD1FC3" w14:paraId="0A65649C"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Administrative data (describe) ________________________________</w:t>
            </w:r>
          </w:p>
          <w:p w:rsidR="00F931A4" w:rsidRPr="00990D3B" w:rsidP="00BD1FC3" w14:paraId="6ED1666C" w14:textId="77777777">
            <w:pPr>
              <w:pStyle w:val="EQRTableText"/>
            </w:pPr>
            <w:r w:rsidRPr="00990D3B">
              <w:fldChar w:fldCharType="begin">
                <w:ffData>
                  <w:name w:val="Check2"/>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Medical records (describe) __________________________________ </w:t>
            </w:r>
          </w:p>
          <w:p w:rsidR="00F931A4" w:rsidRPr="00990D3B" w:rsidP="00BD1FC3" w14:paraId="72532E73" w14:textId="77777777">
            <w:pPr>
              <w:pStyle w:val="EQRTableText"/>
            </w:pPr>
            <w:r w:rsidRPr="00990D3B">
              <w:fldChar w:fldCharType="begin">
                <w:ffData>
                  <w:name w:val=""/>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Other (specify) ____________________________________________  </w:t>
            </w:r>
          </w:p>
        </w:tc>
      </w:tr>
      <w:tr w14:paraId="6FFC41BC" w14:textId="77777777" w:rsidTr="00BD1FC3">
        <w:tblPrEx>
          <w:tblW w:w="5000" w:type="pct"/>
          <w:tblLook w:val="04A0"/>
        </w:tblPrEx>
        <w:tc>
          <w:tcPr>
            <w:tcW w:w="9350" w:type="dxa"/>
          </w:tcPr>
          <w:p w:rsidR="00F931A4" w:rsidRPr="00990D3B" w:rsidP="00BD1FC3" w14:paraId="6D1B9F9F" w14:textId="77777777">
            <w:pPr>
              <w:pStyle w:val="EQRTableText"/>
            </w:pPr>
            <w:r w:rsidRPr="00990D3B">
              <w:t xml:space="preserve">If the hybrid method was used, describe the sampling approach used to select the medical records: </w:t>
            </w:r>
          </w:p>
          <w:p w:rsidR="00F931A4" w:rsidRPr="00990D3B" w:rsidP="00BD1FC3" w14:paraId="1DEEDF61" w14:textId="77777777">
            <w:pPr>
              <w:pStyle w:val="EQRTableText"/>
            </w:pPr>
            <w:r w:rsidRPr="00990D3B">
              <w:fldChar w:fldCharType="begin">
                <w:ffData>
                  <w:name w:val=""/>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Not applicable (hybrid method not used)</w:t>
            </w:r>
          </w:p>
        </w:tc>
      </w:tr>
      <w:tr w14:paraId="3BE2D9AE" w14:textId="77777777" w:rsidTr="00BD1FC3">
        <w:tblPrEx>
          <w:tblW w:w="5000" w:type="pct"/>
          <w:tblLook w:val="04A0"/>
        </w:tblPrEx>
        <w:tc>
          <w:tcPr>
            <w:tcW w:w="9350" w:type="dxa"/>
          </w:tcPr>
          <w:p w:rsidR="00F931A4" w:rsidRPr="00990D3B" w:rsidP="00BD1FC3" w14:paraId="3B72BDA9" w14:textId="77777777">
            <w:pPr>
              <w:pStyle w:val="EQRTableText"/>
            </w:pPr>
            <w:r w:rsidRPr="00990D3B">
              <w:t>Definition of denominator (describe):</w:t>
            </w:r>
          </w:p>
        </w:tc>
      </w:tr>
      <w:tr w14:paraId="268414F5" w14:textId="77777777" w:rsidTr="00BD1FC3">
        <w:tblPrEx>
          <w:tblW w:w="5000" w:type="pct"/>
          <w:tblLook w:val="04A0"/>
        </w:tblPrEx>
        <w:tc>
          <w:tcPr>
            <w:tcW w:w="9350" w:type="dxa"/>
          </w:tcPr>
          <w:p w:rsidR="00F931A4" w:rsidRPr="00990D3B" w:rsidP="00BD1FC3" w14:paraId="08C5C786" w14:textId="77777777">
            <w:pPr>
              <w:pStyle w:val="EQRTableText"/>
            </w:pPr>
            <w:r w:rsidRPr="00990D3B">
              <w:t>Definition of numerator (describe):</w:t>
            </w:r>
          </w:p>
        </w:tc>
      </w:tr>
      <w:tr w14:paraId="7F1E0CA7" w14:textId="77777777" w:rsidTr="00BD1FC3">
        <w:tblPrEx>
          <w:tblW w:w="5000" w:type="pct"/>
          <w:tblLook w:val="04A0"/>
        </w:tblPrEx>
        <w:tc>
          <w:tcPr>
            <w:tcW w:w="9350" w:type="dxa"/>
          </w:tcPr>
          <w:p w:rsidR="00F931A4" w:rsidRPr="00990D3B" w:rsidP="00BD1FC3" w14:paraId="3424B41A" w14:textId="77777777">
            <w:pPr>
              <w:pStyle w:val="EQRTableText"/>
            </w:pPr>
            <w:r w:rsidRPr="00990D3B">
              <w:t xml:space="preserve">Program(s) included in the measure: </w:t>
            </w: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Medicaid (Title XIX) only    </w:t>
            </w: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CHIP (Title XXI) only   </w:t>
            </w: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Medicaid and CHIP</w:t>
            </w:r>
          </w:p>
        </w:tc>
      </w:tr>
      <w:tr w14:paraId="0DF13B37" w14:textId="77777777" w:rsidTr="00BD1FC3">
        <w:tblPrEx>
          <w:tblW w:w="5000" w:type="pct"/>
          <w:tblLook w:val="04A0"/>
        </w:tblPrEx>
        <w:tc>
          <w:tcPr>
            <w:tcW w:w="9350" w:type="dxa"/>
          </w:tcPr>
          <w:p w:rsidR="00F931A4" w:rsidRPr="00990D3B" w:rsidP="00BD1FC3" w14:paraId="3ED86040" w14:textId="77777777">
            <w:pPr>
              <w:pStyle w:val="EQRTableText"/>
            </w:pPr>
            <w:r w:rsidRPr="00990D3B">
              <w:t>Measurement period (start/end date)</w:t>
            </w:r>
          </w:p>
        </w:tc>
      </w:tr>
    </w:tbl>
    <w:p w:rsidR="00F931A4" w:rsidRPr="00990D3B" w:rsidP="002B40CC" w14:paraId="7A7956CA" w14:textId="345C82ED">
      <w:pPr>
        <w:pStyle w:val="H2EQRWorksheet"/>
      </w:pPr>
    </w:p>
    <w:p w:rsidR="00F65AFF" w14:paraId="2D2960A9" w14:textId="77777777">
      <w:pPr>
        <w:spacing w:line="240" w:lineRule="auto"/>
        <w:rPr>
          <w:rFonts w:ascii="Arial" w:eastAsia="Calibri" w:hAnsi="Arial"/>
          <w:b/>
          <w:color w:val="000000" w:themeColor="text1"/>
          <w:sz w:val="20"/>
        </w:rPr>
      </w:pPr>
      <w:r>
        <w:br w:type="page"/>
      </w:r>
    </w:p>
    <w:p w:rsidR="00F931A4" w:rsidRPr="00990D3B" w:rsidP="002B40CC" w14:paraId="1C036ADC" w14:textId="11380520">
      <w:pPr>
        <w:pStyle w:val="H2EQRWorksheet"/>
      </w:pPr>
      <w:r w:rsidRPr="00990D3B">
        <w:t>Performance Measure Results (If measure contains more than one rate, add columns to the table)</w:t>
      </w:r>
    </w:p>
    <w:tbl>
      <w:tblPr>
        <w:tblStyle w:val="TableGrid"/>
        <w:tblW w:w="5000" w:type="pct"/>
        <w:tblLayout w:type="fixed"/>
        <w:tblLook w:val="04A0"/>
      </w:tblPr>
      <w:tblGrid>
        <w:gridCol w:w="1870"/>
        <w:gridCol w:w="1870"/>
        <w:gridCol w:w="1870"/>
        <w:gridCol w:w="1870"/>
        <w:gridCol w:w="1870"/>
      </w:tblGrid>
      <w:tr w14:paraId="47A951D4" w14:textId="77777777" w:rsidTr="00BD1FC3">
        <w:tblPrEx>
          <w:tblW w:w="5000" w:type="pct"/>
          <w:tblLayout w:type="fixed"/>
          <w:tblLook w:val="04A0"/>
        </w:tblPrEx>
        <w:trPr>
          <w:cantSplit/>
          <w:tblHeader/>
        </w:trPr>
        <w:tc>
          <w:tcPr>
            <w:tcW w:w="1872" w:type="dxa"/>
            <w:vAlign w:val="bottom"/>
          </w:tcPr>
          <w:p w:rsidR="00F931A4" w:rsidRPr="00990D3B" w:rsidP="009D31CB" w14:paraId="4A274DEB" w14:textId="0D660FA8">
            <w:pPr>
              <w:pStyle w:val="EQRTableHeaderLeft"/>
              <w:rPr>
                <w:color w:val="auto"/>
              </w:rPr>
            </w:pPr>
            <w:r w:rsidRPr="00990D3B">
              <w:rPr>
                <w:color w:val="auto"/>
              </w:rPr>
              <w:t xml:space="preserve">Performance </w:t>
            </w:r>
            <w:r w:rsidRPr="00990D3B" w:rsidR="00A1272B">
              <w:rPr>
                <w:color w:val="auto"/>
              </w:rPr>
              <w:t>m</w:t>
            </w:r>
            <w:r w:rsidRPr="00990D3B">
              <w:rPr>
                <w:color w:val="auto"/>
              </w:rPr>
              <w:t xml:space="preserve">easure </w:t>
            </w:r>
          </w:p>
        </w:tc>
        <w:tc>
          <w:tcPr>
            <w:tcW w:w="1872" w:type="dxa"/>
            <w:vAlign w:val="bottom"/>
          </w:tcPr>
          <w:p w:rsidR="00F931A4" w:rsidRPr="00990D3B" w:rsidP="009D31CB" w14:paraId="60E4FB99" w14:textId="77777777">
            <w:pPr>
              <w:pStyle w:val="EQRTableHeaderCenter"/>
              <w:rPr>
                <w:color w:val="auto"/>
              </w:rPr>
            </w:pPr>
            <w:r w:rsidRPr="00990D3B">
              <w:rPr>
                <w:color w:val="auto"/>
              </w:rPr>
              <w:t>Rate 1</w:t>
            </w:r>
          </w:p>
        </w:tc>
        <w:tc>
          <w:tcPr>
            <w:tcW w:w="1872" w:type="dxa"/>
            <w:vAlign w:val="bottom"/>
          </w:tcPr>
          <w:p w:rsidR="00F931A4" w:rsidRPr="00990D3B" w:rsidP="009D31CB" w14:paraId="4B950482" w14:textId="77777777">
            <w:pPr>
              <w:pStyle w:val="EQRTableHeaderCenter"/>
              <w:rPr>
                <w:color w:val="auto"/>
              </w:rPr>
            </w:pPr>
            <w:r w:rsidRPr="00990D3B">
              <w:rPr>
                <w:color w:val="auto"/>
              </w:rPr>
              <w:t>Rate 2</w:t>
            </w:r>
          </w:p>
        </w:tc>
        <w:tc>
          <w:tcPr>
            <w:tcW w:w="1872" w:type="dxa"/>
            <w:vAlign w:val="bottom"/>
          </w:tcPr>
          <w:p w:rsidR="00F931A4" w:rsidRPr="00990D3B" w:rsidP="009D31CB" w14:paraId="2EDAC698" w14:textId="77777777">
            <w:pPr>
              <w:pStyle w:val="EQRTableHeaderCenter"/>
              <w:rPr>
                <w:color w:val="auto"/>
              </w:rPr>
            </w:pPr>
            <w:r w:rsidRPr="00990D3B">
              <w:rPr>
                <w:color w:val="auto"/>
              </w:rPr>
              <w:t>Rate 3</w:t>
            </w:r>
          </w:p>
        </w:tc>
        <w:tc>
          <w:tcPr>
            <w:tcW w:w="1872" w:type="dxa"/>
            <w:vAlign w:val="bottom"/>
          </w:tcPr>
          <w:p w:rsidR="00F931A4" w:rsidRPr="00990D3B" w:rsidP="009D31CB" w14:paraId="1A01871E" w14:textId="77777777">
            <w:pPr>
              <w:pStyle w:val="EQRTableHeaderCenter"/>
              <w:rPr>
                <w:color w:val="auto"/>
              </w:rPr>
            </w:pPr>
            <w:r w:rsidRPr="00990D3B">
              <w:rPr>
                <w:color w:val="auto"/>
              </w:rPr>
              <w:t>Rate 4</w:t>
            </w:r>
          </w:p>
        </w:tc>
      </w:tr>
      <w:tr w14:paraId="5138F0C9" w14:textId="77777777" w:rsidTr="00BD1FC3">
        <w:tblPrEx>
          <w:tblW w:w="5000" w:type="pct"/>
          <w:tblLayout w:type="fixed"/>
          <w:tblLook w:val="04A0"/>
        </w:tblPrEx>
        <w:trPr>
          <w:cantSplit/>
        </w:trPr>
        <w:tc>
          <w:tcPr>
            <w:tcW w:w="1872" w:type="dxa"/>
          </w:tcPr>
          <w:p w:rsidR="00F931A4" w:rsidRPr="00990D3B" w:rsidP="00BD1FC3" w14:paraId="45B51A3E" w14:textId="77777777">
            <w:pPr>
              <w:pStyle w:val="EQRTableText"/>
              <w:rPr>
                <w:sz w:val="17"/>
                <w:szCs w:val="17"/>
              </w:rPr>
            </w:pPr>
            <w:r w:rsidRPr="00990D3B">
              <w:rPr>
                <w:sz w:val="17"/>
                <w:szCs w:val="17"/>
              </w:rPr>
              <w:t>Numerator</w:t>
            </w:r>
          </w:p>
        </w:tc>
        <w:tc>
          <w:tcPr>
            <w:tcW w:w="1872" w:type="dxa"/>
          </w:tcPr>
          <w:p w:rsidR="00F931A4" w:rsidRPr="00990D3B" w:rsidP="00BD1FC3" w14:paraId="4FBC8966" w14:textId="77777777">
            <w:pPr>
              <w:pStyle w:val="EQRTableText"/>
              <w:rPr>
                <w:sz w:val="17"/>
                <w:szCs w:val="17"/>
              </w:rPr>
            </w:pPr>
            <w:r w:rsidRPr="00990D3B">
              <w:rPr>
                <w:sz w:val="17"/>
                <w:szCs w:val="17"/>
              </w:rPr>
              <w:t> </w:t>
            </w:r>
          </w:p>
        </w:tc>
        <w:tc>
          <w:tcPr>
            <w:tcW w:w="1872" w:type="dxa"/>
          </w:tcPr>
          <w:p w:rsidR="00F931A4" w:rsidRPr="00990D3B" w:rsidP="00BD1FC3" w14:paraId="0EEFF5D5" w14:textId="77777777">
            <w:pPr>
              <w:pStyle w:val="EQRTableText"/>
              <w:rPr>
                <w:sz w:val="17"/>
                <w:szCs w:val="17"/>
              </w:rPr>
            </w:pPr>
            <w:r w:rsidRPr="00990D3B">
              <w:rPr>
                <w:sz w:val="17"/>
                <w:szCs w:val="17"/>
              </w:rPr>
              <w:t> </w:t>
            </w:r>
          </w:p>
        </w:tc>
        <w:tc>
          <w:tcPr>
            <w:tcW w:w="1872" w:type="dxa"/>
          </w:tcPr>
          <w:p w:rsidR="00F931A4" w:rsidRPr="00990D3B" w:rsidP="00BD1FC3" w14:paraId="26B6B5CF" w14:textId="77777777">
            <w:pPr>
              <w:pStyle w:val="EQRTableText"/>
              <w:rPr>
                <w:sz w:val="17"/>
                <w:szCs w:val="17"/>
              </w:rPr>
            </w:pPr>
            <w:r w:rsidRPr="00990D3B">
              <w:rPr>
                <w:sz w:val="17"/>
                <w:szCs w:val="17"/>
              </w:rPr>
              <w:t> </w:t>
            </w:r>
          </w:p>
        </w:tc>
        <w:tc>
          <w:tcPr>
            <w:tcW w:w="1872" w:type="dxa"/>
          </w:tcPr>
          <w:p w:rsidR="00F931A4" w:rsidRPr="00990D3B" w:rsidP="00BD1FC3" w14:paraId="4A69A056" w14:textId="77777777">
            <w:pPr>
              <w:pStyle w:val="EQRTableText"/>
              <w:rPr>
                <w:sz w:val="17"/>
                <w:szCs w:val="17"/>
              </w:rPr>
            </w:pPr>
            <w:r w:rsidRPr="00990D3B">
              <w:rPr>
                <w:sz w:val="17"/>
                <w:szCs w:val="17"/>
              </w:rPr>
              <w:t> </w:t>
            </w:r>
          </w:p>
        </w:tc>
      </w:tr>
      <w:tr w14:paraId="5841D7A9" w14:textId="77777777" w:rsidTr="00BD1FC3">
        <w:tblPrEx>
          <w:tblW w:w="5000" w:type="pct"/>
          <w:tblLayout w:type="fixed"/>
          <w:tblLook w:val="04A0"/>
        </w:tblPrEx>
        <w:trPr>
          <w:cantSplit/>
        </w:trPr>
        <w:tc>
          <w:tcPr>
            <w:tcW w:w="1872" w:type="dxa"/>
          </w:tcPr>
          <w:p w:rsidR="00F931A4" w:rsidRPr="00990D3B" w:rsidP="00BD1FC3" w14:paraId="107A3E4B" w14:textId="77777777">
            <w:pPr>
              <w:pStyle w:val="EQRTableText"/>
              <w:rPr>
                <w:sz w:val="17"/>
                <w:szCs w:val="17"/>
              </w:rPr>
            </w:pPr>
            <w:r w:rsidRPr="00990D3B">
              <w:rPr>
                <w:sz w:val="17"/>
                <w:szCs w:val="17"/>
              </w:rPr>
              <w:t>Denominator</w:t>
            </w:r>
          </w:p>
        </w:tc>
        <w:tc>
          <w:tcPr>
            <w:tcW w:w="1872" w:type="dxa"/>
          </w:tcPr>
          <w:p w:rsidR="00F931A4" w:rsidRPr="00990D3B" w:rsidP="00BD1FC3" w14:paraId="3CB46C9B" w14:textId="77777777">
            <w:pPr>
              <w:pStyle w:val="EQRTableText"/>
              <w:rPr>
                <w:sz w:val="17"/>
                <w:szCs w:val="17"/>
              </w:rPr>
            </w:pPr>
            <w:r w:rsidRPr="00990D3B">
              <w:rPr>
                <w:sz w:val="17"/>
                <w:szCs w:val="17"/>
              </w:rPr>
              <w:t> </w:t>
            </w:r>
          </w:p>
        </w:tc>
        <w:tc>
          <w:tcPr>
            <w:tcW w:w="1872" w:type="dxa"/>
          </w:tcPr>
          <w:p w:rsidR="00F931A4" w:rsidRPr="00990D3B" w:rsidP="00BD1FC3" w14:paraId="70B75A56" w14:textId="77777777">
            <w:pPr>
              <w:pStyle w:val="EQRTableText"/>
              <w:rPr>
                <w:sz w:val="17"/>
                <w:szCs w:val="17"/>
              </w:rPr>
            </w:pPr>
            <w:r w:rsidRPr="00990D3B">
              <w:rPr>
                <w:sz w:val="17"/>
                <w:szCs w:val="17"/>
              </w:rPr>
              <w:t> </w:t>
            </w:r>
          </w:p>
        </w:tc>
        <w:tc>
          <w:tcPr>
            <w:tcW w:w="1872" w:type="dxa"/>
          </w:tcPr>
          <w:p w:rsidR="00F931A4" w:rsidRPr="00990D3B" w:rsidP="00BD1FC3" w14:paraId="451181E3" w14:textId="77777777">
            <w:pPr>
              <w:pStyle w:val="EQRTableText"/>
              <w:rPr>
                <w:sz w:val="17"/>
                <w:szCs w:val="17"/>
              </w:rPr>
            </w:pPr>
            <w:r w:rsidRPr="00990D3B">
              <w:rPr>
                <w:sz w:val="17"/>
                <w:szCs w:val="17"/>
              </w:rPr>
              <w:t> </w:t>
            </w:r>
          </w:p>
        </w:tc>
        <w:tc>
          <w:tcPr>
            <w:tcW w:w="1872" w:type="dxa"/>
          </w:tcPr>
          <w:p w:rsidR="00F931A4" w:rsidRPr="00990D3B" w:rsidP="00BD1FC3" w14:paraId="4BB0C9FD" w14:textId="77777777">
            <w:pPr>
              <w:pStyle w:val="EQRTableText"/>
              <w:rPr>
                <w:sz w:val="17"/>
                <w:szCs w:val="17"/>
              </w:rPr>
            </w:pPr>
            <w:r w:rsidRPr="00990D3B">
              <w:rPr>
                <w:sz w:val="17"/>
                <w:szCs w:val="17"/>
              </w:rPr>
              <w:t> </w:t>
            </w:r>
          </w:p>
        </w:tc>
      </w:tr>
      <w:tr w14:paraId="24864B7F" w14:textId="77777777" w:rsidTr="00BD1FC3">
        <w:tblPrEx>
          <w:tblW w:w="5000" w:type="pct"/>
          <w:tblLayout w:type="fixed"/>
          <w:tblLook w:val="04A0"/>
        </w:tblPrEx>
        <w:trPr>
          <w:cantSplit/>
        </w:trPr>
        <w:tc>
          <w:tcPr>
            <w:tcW w:w="1872" w:type="dxa"/>
          </w:tcPr>
          <w:p w:rsidR="00F931A4" w:rsidRPr="00990D3B" w:rsidP="00BD1FC3" w14:paraId="70FB45AF" w14:textId="77777777">
            <w:pPr>
              <w:pStyle w:val="EQRTableText"/>
              <w:rPr>
                <w:sz w:val="17"/>
                <w:szCs w:val="17"/>
              </w:rPr>
            </w:pPr>
            <w:r w:rsidRPr="00990D3B">
              <w:rPr>
                <w:sz w:val="17"/>
                <w:szCs w:val="17"/>
              </w:rPr>
              <w:t>Rate</w:t>
            </w:r>
          </w:p>
        </w:tc>
        <w:tc>
          <w:tcPr>
            <w:tcW w:w="1872" w:type="dxa"/>
          </w:tcPr>
          <w:p w:rsidR="00F931A4" w:rsidRPr="00990D3B" w:rsidP="00BD1FC3" w14:paraId="72AD3BDD" w14:textId="77777777">
            <w:pPr>
              <w:pStyle w:val="EQRTableText"/>
              <w:rPr>
                <w:sz w:val="17"/>
                <w:szCs w:val="17"/>
              </w:rPr>
            </w:pPr>
            <w:r w:rsidRPr="00990D3B">
              <w:rPr>
                <w:sz w:val="17"/>
                <w:szCs w:val="17"/>
              </w:rPr>
              <w:t> </w:t>
            </w:r>
          </w:p>
        </w:tc>
        <w:tc>
          <w:tcPr>
            <w:tcW w:w="1872" w:type="dxa"/>
          </w:tcPr>
          <w:p w:rsidR="00F931A4" w:rsidRPr="00990D3B" w:rsidP="00BD1FC3" w14:paraId="7ADE7FB3" w14:textId="77777777">
            <w:pPr>
              <w:pStyle w:val="EQRTableText"/>
              <w:rPr>
                <w:sz w:val="17"/>
                <w:szCs w:val="17"/>
              </w:rPr>
            </w:pPr>
            <w:r w:rsidRPr="00990D3B">
              <w:rPr>
                <w:sz w:val="17"/>
                <w:szCs w:val="17"/>
              </w:rPr>
              <w:t> </w:t>
            </w:r>
          </w:p>
        </w:tc>
        <w:tc>
          <w:tcPr>
            <w:tcW w:w="1872" w:type="dxa"/>
          </w:tcPr>
          <w:p w:rsidR="00F931A4" w:rsidRPr="00990D3B" w:rsidP="00BD1FC3" w14:paraId="44D5DDF4" w14:textId="77777777">
            <w:pPr>
              <w:pStyle w:val="EQRTableText"/>
              <w:rPr>
                <w:sz w:val="17"/>
                <w:szCs w:val="17"/>
              </w:rPr>
            </w:pPr>
            <w:r w:rsidRPr="00990D3B">
              <w:rPr>
                <w:sz w:val="17"/>
                <w:szCs w:val="17"/>
              </w:rPr>
              <w:t> </w:t>
            </w:r>
          </w:p>
        </w:tc>
        <w:tc>
          <w:tcPr>
            <w:tcW w:w="1872" w:type="dxa"/>
          </w:tcPr>
          <w:p w:rsidR="00F931A4" w:rsidRPr="00990D3B" w:rsidP="00BD1FC3" w14:paraId="5BB0B115" w14:textId="77777777">
            <w:pPr>
              <w:pStyle w:val="EQRTableText"/>
              <w:rPr>
                <w:sz w:val="17"/>
                <w:szCs w:val="17"/>
              </w:rPr>
            </w:pPr>
            <w:r w:rsidRPr="00990D3B">
              <w:rPr>
                <w:sz w:val="17"/>
                <w:szCs w:val="17"/>
              </w:rPr>
              <w:t> </w:t>
            </w:r>
          </w:p>
        </w:tc>
      </w:tr>
    </w:tbl>
    <w:p w:rsidR="00936A44" w:rsidRPr="00990D3B" w:rsidP="009D31CB" w14:paraId="120B63B5" w14:textId="77777777">
      <w:pPr>
        <w:pStyle w:val="NoSpacing"/>
      </w:pPr>
    </w:p>
    <w:p w:rsidR="00F931A4" w:rsidRPr="00990D3B" w:rsidP="002B40CC" w14:paraId="4F0B0AF2" w14:textId="23CB7A6B">
      <w:pPr>
        <w:pStyle w:val="H2EQRWorksheet"/>
      </w:pPr>
      <w:r w:rsidRPr="00990D3B">
        <w:t>Performance Measure Validation Status</w:t>
      </w:r>
    </w:p>
    <w:tbl>
      <w:tblPr>
        <w:tblStyle w:val="TableGrid"/>
        <w:tblW w:w="5000" w:type="pct"/>
        <w:tblLook w:val="04A0"/>
      </w:tblPr>
      <w:tblGrid>
        <w:gridCol w:w="9350"/>
      </w:tblGrid>
      <w:tr w14:paraId="7492674E" w14:textId="77777777" w:rsidTr="00BD1FC3">
        <w:tblPrEx>
          <w:tblW w:w="5000" w:type="pct"/>
          <w:tblLook w:val="04A0"/>
        </w:tblPrEx>
        <w:trPr>
          <w:trHeight w:val="1106"/>
        </w:trPr>
        <w:tc>
          <w:tcPr>
            <w:tcW w:w="9350" w:type="dxa"/>
          </w:tcPr>
          <w:p w:rsidR="00F931A4" w:rsidRPr="00990D3B" w:rsidP="00BD1FC3" w14:paraId="75AFCE83" w14:textId="275E4AE9">
            <w:pPr>
              <w:pStyle w:val="EQRTableText"/>
              <w:rPr>
                <w:b/>
                <w:bCs/>
                <w:sz w:val="20"/>
              </w:rPr>
            </w:pPr>
            <w:r w:rsidRPr="00990D3B">
              <w:rPr>
                <w:b/>
                <w:bCs/>
              </w:rPr>
              <w:t>Describe any deviations from the technical specifications and explain reasons for deviations (such as deviations in denominator, numerator, data source, measurement period, or other aspect of the measure calculation)</w:t>
            </w:r>
            <w:r w:rsidRPr="00990D3B" w:rsidR="00A1272B">
              <w:rPr>
                <w:b/>
                <w:bCs/>
              </w:rPr>
              <w:t>:</w:t>
            </w:r>
          </w:p>
        </w:tc>
      </w:tr>
      <w:tr w14:paraId="60546D57" w14:textId="77777777" w:rsidTr="00BD1FC3">
        <w:tblPrEx>
          <w:tblW w:w="5000" w:type="pct"/>
          <w:tblLook w:val="04A0"/>
        </w:tblPrEx>
        <w:trPr>
          <w:trHeight w:val="1088"/>
        </w:trPr>
        <w:tc>
          <w:tcPr>
            <w:tcW w:w="9350" w:type="dxa"/>
          </w:tcPr>
          <w:p w:rsidR="00F931A4" w:rsidRPr="00990D3B" w:rsidP="00BD1FC3" w14:paraId="2F9214F2" w14:textId="4FDD87CE">
            <w:pPr>
              <w:pStyle w:val="EQRTableText"/>
              <w:rPr>
                <w:b/>
                <w:bCs/>
              </w:rPr>
            </w:pPr>
            <w:r w:rsidRPr="00990D3B">
              <w:rPr>
                <w:b/>
                <w:bCs/>
              </w:rPr>
              <w:t>Describe any findings from the ISCA or other information systems audit that affected the reliability or validity of the performance measure results</w:t>
            </w:r>
            <w:r w:rsidRPr="00990D3B" w:rsidR="00A1272B">
              <w:rPr>
                <w:b/>
                <w:bCs/>
              </w:rPr>
              <w:t>:</w:t>
            </w:r>
          </w:p>
          <w:p w:rsidR="00F931A4" w:rsidRPr="00990D3B" w:rsidP="00BD1FC3" w14:paraId="63A587B7" w14:textId="77777777">
            <w:pPr>
              <w:pStyle w:val="EQRTableText"/>
            </w:pPr>
            <w:r w:rsidRPr="00990D3B">
              <w:fldChar w:fldCharType="begin">
                <w:ffData>
                  <w:name w:val="Check3"/>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Not applicable (ISCA not reviewed)</w:t>
            </w:r>
          </w:p>
        </w:tc>
      </w:tr>
      <w:tr w14:paraId="641D54A5" w14:textId="77777777" w:rsidTr="00BD1FC3">
        <w:tblPrEx>
          <w:tblW w:w="5000" w:type="pct"/>
          <w:tblLook w:val="04A0"/>
        </w:tblPrEx>
        <w:trPr>
          <w:trHeight w:val="1088"/>
        </w:trPr>
        <w:tc>
          <w:tcPr>
            <w:tcW w:w="9350" w:type="dxa"/>
          </w:tcPr>
          <w:p w:rsidR="00F931A4" w:rsidRPr="00990D3B" w:rsidP="00BD1FC3" w14:paraId="21F39818" w14:textId="70D191F5">
            <w:pPr>
              <w:pStyle w:val="EQRTableText"/>
              <w:rPr>
                <w:b/>
                <w:bCs/>
              </w:rPr>
            </w:pPr>
            <w:r w:rsidRPr="00990D3B">
              <w:rPr>
                <w:b/>
                <w:bCs/>
              </w:rPr>
              <w:t>Describe any findings from medical record review that affected the reliability or validity of the performance measure results</w:t>
            </w:r>
            <w:r w:rsidRPr="00990D3B" w:rsidR="00A1272B">
              <w:rPr>
                <w:b/>
                <w:bCs/>
              </w:rPr>
              <w:t>:</w:t>
            </w:r>
          </w:p>
          <w:p w:rsidR="00F931A4" w:rsidRPr="00990D3B" w:rsidP="00BD1FC3" w14:paraId="476E0E09" w14:textId="77777777">
            <w:pPr>
              <w:pStyle w:val="EQRTableText"/>
            </w:pPr>
            <w:r w:rsidRPr="00990D3B">
              <w:fldChar w:fldCharType="begin">
                <w:ffData>
                  <w:name w:val="Check3"/>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Not applicable (medical record review not conducted)</w:t>
            </w:r>
          </w:p>
        </w:tc>
      </w:tr>
      <w:tr w14:paraId="7E0C5304" w14:textId="77777777" w:rsidTr="00BD1FC3">
        <w:tblPrEx>
          <w:tblW w:w="5000" w:type="pct"/>
          <w:tblLook w:val="04A0"/>
        </w:tblPrEx>
        <w:trPr>
          <w:trHeight w:val="1070"/>
        </w:trPr>
        <w:tc>
          <w:tcPr>
            <w:tcW w:w="9350" w:type="dxa"/>
          </w:tcPr>
          <w:p w:rsidR="00F931A4" w:rsidRPr="00990D3B" w:rsidP="00BD1FC3" w14:paraId="544534ED" w14:textId="2C8B0962">
            <w:pPr>
              <w:pStyle w:val="EQRTableText"/>
              <w:rPr>
                <w:b/>
                <w:bCs/>
              </w:rPr>
            </w:pPr>
            <w:r w:rsidRPr="00990D3B">
              <w:rPr>
                <w:b/>
                <w:bCs/>
              </w:rPr>
              <w:t>Describe any other validation findings that affected the accuracy of the performance measure calculation</w:t>
            </w:r>
            <w:r w:rsidRPr="00990D3B" w:rsidR="00A1272B">
              <w:rPr>
                <w:b/>
                <w:bCs/>
              </w:rPr>
              <w:t>:</w:t>
            </w:r>
          </w:p>
        </w:tc>
      </w:tr>
      <w:tr w14:paraId="68BB3342" w14:textId="77777777" w:rsidTr="00BD1FC3">
        <w:tblPrEx>
          <w:tblW w:w="5000" w:type="pct"/>
          <w:tblLook w:val="04A0"/>
        </w:tblPrEx>
        <w:trPr>
          <w:trHeight w:val="1070"/>
        </w:trPr>
        <w:tc>
          <w:tcPr>
            <w:tcW w:w="9350" w:type="dxa"/>
          </w:tcPr>
          <w:p w:rsidR="00F931A4" w:rsidRPr="00990D3B" w:rsidP="00BD1FC3" w14:paraId="39D9C860" w14:textId="77777777">
            <w:pPr>
              <w:pStyle w:val="EQRTableText"/>
            </w:pPr>
            <w:r w:rsidRPr="00990D3B">
              <w:rPr>
                <w:b/>
              </w:rPr>
              <w:t>Validation rating:</w:t>
            </w:r>
            <w:r w:rsidRPr="00990D3B">
              <w:t xml:space="preserve">  </w:t>
            </w:r>
            <w:r w:rsidRPr="00990D3B">
              <w:fldChar w:fldCharType="begin">
                <w:ffData>
                  <w:name w:val="Check3"/>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High confidence   </w:t>
            </w:r>
            <w:r w:rsidRPr="00990D3B">
              <w:fldChar w:fldCharType="begin">
                <w:ffData>
                  <w:name w:val="Check4"/>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Moderate confidence  </w:t>
            </w:r>
            <w:r w:rsidRPr="00990D3B">
              <w:fldChar w:fldCharType="begin">
                <w:ffData>
                  <w:name w:val="Check4"/>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Low confidence </w:t>
            </w:r>
            <w:r w:rsidRPr="00990D3B">
              <w:fldChar w:fldCharType="begin">
                <w:ffData>
                  <w:name w:val="Check4"/>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 confidence</w:t>
            </w:r>
          </w:p>
          <w:p w:rsidR="00F931A4" w:rsidRPr="00990D3B" w:rsidP="00BD1FC3" w14:paraId="72E8D188" w14:textId="6DC613FA">
            <w:pPr>
              <w:pStyle w:val="EQRTableText"/>
            </w:pPr>
            <w:r w:rsidRPr="00990D3B">
              <w:t xml:space="preserve">“Validation rating” refers to the EQRO’s overall confidence that the </w:t>
            </w:r>
            <w:r w:rsidRPr="00990D3B" w:rsidR="00A3397C">
              <w:t>performance measure calculation</w:t>
            </w:r>
            <w:r w:rsidRPr="00990D3B">
              <w:t xml:space="preserve"> adhered to acceptable methodology.</w:t>
            </w:r>
          </w:p>
        </w:tc>
      </w:tr>
      <w:tr w14:paraId="51F33702" w14:textId="77777777" w:rsidTr="00BD1FC3">
        <w:tblPrEx>
          <w:tblW w:w="5000" w:type="pct"/>
          <w:tblLook w:val="04A0"/>
        </w:tblPrEx>
        <w:trPr>
          <w:trHeight w:val="971"/>
        </w:trPr>
        <w:tc>
          <w:tcPr>
            <w:tcW w:w="9350" w:type="dxa"/>
          </w:tcPr>
          <w:p w:rsidR="00F931A4" w:rsidRPr="00990D3B" w:rsidP="00BD1FC3" w14:paraId="70AA57B2" w14:textId="77777777">
            <w:pPr>
              <w:pStyle w:val="EQRTableText"/>
              <w:rPr>
                <w:b/>
                <w:bCs/>
              </w:rPr>
            </w:pPr>
            <w:r w:rsidRPr="00990D3B">
              <w:rPr>
                <w:b/>
                <w:bCs/>
              </w:rPr>
              <w:t>EQRO recommendations for improvement of performance measure calculation:</w:t>
            </w:r>
          </w:p>
        </w:tc>
      </w:tr>
    </w:tbl>
    <w:p w:rsidR="00936A44" w:rsidRPr="00990D3B" w:rsidP="00BD1FC3" w14:paraId="41046E5F" w14:textId="77777777">
      <w:pPr>
        <w:spacing w:after="0" w:line="240" w:lineRule="auto"/>
        <w:contextualSpacing/>
        <w:rPr>
          <w:rFonts w:eastAsia="Calibri" w:asciiTheme="majorHAnsi" w:hAnsiTheme="majorHAnsi" w:cstheme="majorHAnsi"/>
          <w:sz w:val="16"/>
          <w:szCs w:val="16"/>
        </w:rPr>
      </w:pPr>
    </w:p>
    <w:p w:rsidR="001C3559" w:rsidRPr="00990D3B" w14:paraId="08B15F12" w14:textId="661BF7E4">
      <w:pPr>
        <w:spacing w:line="240" w:lineRule="auto"/>
        <w:rPr>
          <w:rFonts w:eastAsia="Calibri" w:asciiTheme="majorHAnsi" w:hAnsiTheme="majorHAnsi" w:cstheme="majorHAnsi"/>
          <w:sz w:val="16"/>
          <w:szCs w:val="16"/>
        </w:rPr>
      </w:pPr>
      <w:r w:rsidRPr="00990D3B">
        <w:rPr>
          <w:rFonts w:eastAsia="Calibri" w:asciiTheme="majorHAnsi" w:hAnsiTheme="majorHAnsi" w:cstheme="majorHAnsi"/>
          <w:sz w:val="16"/>
          <w:szCs w:val="16"/>
        </w:rPr>
        <w:br w:type="page"/>
      </w:r>
    </w:p>
    <w:p w:rsidR="00F931A4" w:rsidRPr="00990D3B" w:rsidP="00B115C5" w14:paraId="1A87693F" w14:textId="77777777">
      <w:pPr>
        <w:pStyle w:val="EQRMarkforExhibitWORKSHEET"/>
      </w:pPr>
      <w:bookmarkStart w:id="332" w:name="_Toc201751508"/>
      <w:r w:rsidRPr="00990D3B">
        <w:t>Example of Worksheet 2.14. Framework for Summarizing Information about Performance Measures</w:t>
      </w:r>
      <w:bookmarkEnd w:id="332"/>
    </w:p>
    <w:p w:rsidR="00F931A4" w:rsidRPr="00990D3B" w:rsidP="002B40CC" w14:paraId="632E3A19" w14:textId="088E9000">
      <w:pPr>
        <w:pStyle w:val="H2EQRWorksheet"/>
      </w:pPr>
      <w:r w:rsidRPr="00990D3B">
        <w:t>Overview of Performance Measure</w:t>
      </w:r>
    </w:p>
    <w:tbl>
      <w:tblPr>
        <w:tblStyle w:val="TableGrid"/>
        <w:tblW w:w="5000" w:type="pct"/>
        <w:tblLook w:val="04A0"/>
      </w:tblPr>
      <w:tblGrid>
        <w:gridCol w:w="9350"/>
      </w:tblGrid>
      <w:tr w14:paraId="2DB6C7F8" w14:textId="77777777" w:rsidTr="00BD1FC3">
        <w:tblPrEx>
          <w:tblW w:w="5000" w:type="pct"/>
          <w:tblLook w:val="04A0"/>
        </w:tblPrEx>
        <w:tc>
          <w:tcPr>
            <w:tcW w:w="9350" w:type="dxa"/>
          </w:tcPr>
          <w:p w:rsidR="00F931A4" w:rsidRPr="00990D3B" w:rsidP="00BD1FC3" w14:paraId="7F77B063" w14:textId="4520219E">
            <w:pPr>
              <w:pStyle w:val="EQRTableText"/>
            </w:pPr>
            <w:r w:rsidRPr="00990D3B">
              <w:t>MCP name: Plan A</w:t>
            </w:r>
          </w:p>
        </w:tc>
      </w:tr>
      <w:tr w14:paraId="3255B0E2" w14:textId="77777777" w:rsidTr="00BD1FC3">
        <w:tblPrEx>
          <w:tblW w:w="5000" w:type="pct"/>
          <w:tblLook w:val="04A0"/>
        </w:tblPrEx>
        <w:tc>
          <w:tcPr>
            <w:tcW w:w="9350" w:type="dxa"/>
          </w:tcPr>
          <w:p w:rsidR="00F931A4" w:rsidRPr="00990D3B" w:rsidP="00BD1FC3" w14:paraId="58222E43" w14:textId="77777777">
            <w:pPr>
              <w:pStyle w:val="EQRTableText"/>
            </w:pPr>
            <w:r w:rsidRPr="00990D3B">
              <w:t>Performance measure name: Follow-Up After Hospitalization for Mental Illness: 6-20 (FUH-CH)</w:t>
            </w:r>
          </w:p>
        </w:tc>
      </w:tr>
      <w:tr w14:paraId="6B7E1288" w14:textId="77777777" w:rsidTr="00BD1FC3">
        <w:tblPrEx>
          <w:tblW w:w="5000" w:type="pct"/>
          <w:tblLook w:val="04A0"/>
        </w:tblPrEx>
        <w:tc>
          <w:tcPr>
            <w:tcW w:w="9350" w:type="dxa"/>
          </w:tcPr>
          <w:p w:rsidR="00F931A4" w:rsidRPr="00990D3B" w:rsidP="00BD1FC3" w14:paraId="1C6FA133" w14:textId="77777777">
            <w:pPr>
              <w:pStyle w:val="EQRTableText"/>
            </w:pPr>
            <w:r w:rsidRPr="00990D3B">
              <w:t>Measure steward:</w:t>
            </w:r>
          </w:p>
          <w:p w:rsidR="00F931A4" w:rsidRPr="00990D3B" w:rsidP="00BD1FC3" w14:paraId="0187E5DE"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Agency for Healthcare Research and Quality (AHRQ)</w:t>
            </w:r>
          </w:p>
          <w:p w:rsidR="00F931A4" w:rsidRPr="00990D3B" w:rsidP="00BD1FC3" w14:paraId="558A1BF0"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Centers for Disease Control and Prevention (CDC)</w:t>
            </w:r>
          </w:p>
          <w:p w:rsidR="00F931A4" w:rsidRPr="00990D3B" w:rsidP="00BD1FC3" w14:paraId="2E5E9910"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Centers for Medicare &amp; Medicaid Services (CMS)</w:t>
            </w:r>
          </w:p>
          <w:p w:rsidR="00F931A4" w:rsidRPr="00990D3B" w:rsidP="00BD1FC3" w14:paraId="7E22B5B4" w14:textId="77777777">
            <w:pPr>
              <w:pStyle w:val="EQRTableText"/>
            </w:pPr>
            <w:r w:rsidRPr="00990D3B">
              <w:fldChar w:fldCharType="begin">
                <w:ffData>
                  <w:name w:val="Check1"/>
                  <w:enabled/>
                  <w:calcOnExit w:val="0"/>
                  <w:checkBox>
                    <w:sizeAuto/>
                    <w:default w:val="1"/>
                  </w:checkBox>
                </w:ffData>
              </w:fldChar>
            </w:r>
            <w:r w:rsidRPr="00990D3B">
              <w:instrText xml:space="preserve"> </w:instrText>
            </w:r>
            <w:bookmarkStart w:id="333" w:name="Check1"/>
            <w:r w:rsidRPr="00990D3B">
              <w:instrText xml:space="preserve">FORMCHECKBOX </w:instrText>
            </w:r>
            <w:r w:rsidRPr="00990D3B">
              <w:fldChar w:fldCharType="separate"/>
            </w:r>
            <w:r w:rsidRPr="00990D3B">
              <w:fldChar w:fldCharType="end"/>
            </w:r>
            <w:bookmarkEnd w:id="333"/>
            <w:r w:rsidRPr="00990D3B">
              <w:t xml:space="preserve"> National Committee for Quality Assurance (NCQA) </w:t>
            </w:r>
          </w:p>
          <w:p w:rsidR="00F931A4" w:rsidRPr="00990D3B" w:rsidP="00BD1FC3" w14:paraId="14A1B1C1"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The Joint Commission (TJC)</w:t>
            </w:r>
          </w:p>
          <w:p w:rsidR="00F931A4" w:rsidRPr="00990D3B" w:rsidP="00BD1FC3" w14:paraId="1A2CFA3B"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 measure steward, developed by state/EQRO </w:t>
            </w:r>
          </w:p>
          <w:p w:rsidR="00F931A4" w:rsidRPr="00990D3B" w:rsidP="00BD1FC3" w14:paraId="4A8856FD"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Other measure steward (specify) _____________________________________________</w:t>
            </w:r>
          </w:p>
        </w:tc>
      </w:tr>
      <w:tr w14:paraId="3ADFBF34" w14:textId="77777777" w:rsidTr="00BD1FC3">
        <w:tblPrEx>
          <w:tblW w:w="5000" w:type="pct"/>
          <w:tblLook w:val="04A0"/>
        </w:tblPrEx>
        <w:tc>
          <w:tcPr>
            <w:tcW w:w="9350" w:type="dxa"/>
          </w:tcPr>
          <w:p w:rsidR="00F931A4" w:rsidRPr="00990D3B" w:rsidP="00BD1FC3" w14:paraId="5E99D774" w14:textId="77777777">
            <w:pPr>
              <w:pStyle w:val="EQRTableText"/>
            </w:pPr>
            <w:r w:rsidRPr="00990D3B">
              <w:t>Is the performance measure part of an existing measure set? (check all that apply)</w:t>
            </w:r>
          </w:p>
          <w:p w:rsidR="00F931A4" w:rsidRPr="00990D3B" w:rsidP="00BD1FC3" w14:paraId="4EEB5448"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HEDIS</w:t>
            </w:r>
            <w:r w:rsidRPr="00990D3B">
              <w:rPr>
                <w:rFonts w:cs="Arial"/>
              </w:rPr>
              <w:t>®</w:t>
            </w:r>
          </w:p>
          <w:p w:rsidR="00F931A4" w:rsidRPr="00990D3B" w:rsidP="00BD1FC3" w14:paraId="350D3183" w14:textId="77777777">
            <w:pPr>
              <w:pStyle w:val="EQRTableText"/>
            </w:pPr>
            <w:r w:rsidRPr="00990D3B">
              <w:fldChar w:fldCharType="begin">
                <w:ffData>
                  <w:name w:val="Check2"/>
                  <w:enabled/>
                  <w:calcOnExit w:val="0"/>
                  <w:checkBox>
                    <w:sizeAuto/>
                    <w:default w:val="1"/>
                  </w:checkBox>
                </w:ffData>
              </w:fldChar>
            </w:r>
            <w:r w:rsidRPr="00990D3B">
              <w:instrText xml:space="preserve"> </w:instrText>
            </w:r>
            <w:bookmarkStart w:id="334" w:name="Check2"/>
            <w:r w:rsidRPr="00990D3B">
              <w:instrText xml:space="preserve">FORMCHECKBOX </w:instrText>
            </w:r>
            <w:r w:rsidRPr="00990D3B">
              <w:fldChar w:fldCharType="separate"/>
            </w:r>
            <w:r w:rsidRPr="00990D3B">
              <w:fldChar w:fldCharType="end"/>
            </w:r>
            <w:bookmarkEnd w:id="334"/>
            <w:r w:rsidRPr="00990D3B">
              <w:t xml:space="preserve"> CMS Child or Adult Core Set</w:t>
            </w:r>
          </w:p>
          <w:p w:rsidR="00F931A4" w:rsidRPr="00990D3B" w:rsidP="00BD1FC3" w14:paraId="563142E2" w14:textId="77777777">
            <w:pPr>
              <w:pStyle w:val="EQRTableText"/>
            </w:pPr>
            <w:r w:rsidRPr="00990D3B">
              <w:fldChar w:fldCharType="begin">
                <w:ffData>
                  <w:name w:val=""/>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Other (specify) ____________________________________________  </w:t>
            </w:r>
          </w:p>
        </w:tc>
      </w:tr>
      <w:tr w14:paraId="56A5CF81" w14:textId="77777777" w:rsidTr="00BD1FC3">
        <w:tblPrEx>
          <w:tblW w:w="5000" w:type="pct"/>
          <w:tblLook w:val="04A0"/>
        </w:tblPrEx>
        <w:tc>
          <w:tcPr>
            <w:tcW w:w="9350" w:type="dxa"/>
          </w:tcPr>
          <w:p w:rsidR="00F931A4" w:rsidRPr="00990D3B" w:rsidP="00BD1FC3" w14:paraId="34B70555" w14:textId="77777777">
            <w:pPr>
              <w:pStyle w:val="EQRTableText"/>
            </w:pPr>
            <w:r w:rsidRPr="00990D3B">
              <w:t>What data source(s) was used to calculate the measure? (check all that apply)</w:t>
            </w:r>
          </w:p>
          <w:p w:rsidR="00F931A4" w:rsidRPr="00990D3B" w:rsidP="00BD1FC3" w14:paraId="6C5466BE" w14:textId="7CB67EEA">
            <w:pPr>
              <w:pStyle w:val="EQRTableText"/>
            </w:pPr>
            <w:r w:rsidRPr="00990D3B">
              <w:fldChar w:fldCharType="begin">
                <w:ffData>
                  <w:name w:val=""/>
                  <w:enabled/>
                  <w:calcOnExit w:val="0"/>
                  <w:checkBox>
                    <w:sizeAuto/>
                    <w:default w:val="1"/>
                  </w:checkBox>
                </w:ffData>
              </w:fldChar>
            </w:r>
            <w:r w:rsidRPr="00990D3B">
              <w:instrText xml:space="preserve"> FORMCHECKBOX </w:instrText>
            </w:r>
            <w:r w:rsidRPr="00990D3B">
              <w:fldChar w:fldCharType="separate"/>
            </w:r>
            <w:r w:rsidRPr="00990D3B">
              <w:fldChar w:fldCharType="end"/>
            </w:r>
            <w:r w:rsidRPr="00990D3B">
              <w:t xml:space="preserve"> Administrative data (describe): The administrative data source is the state’s </w:t>
            </w:r>
            <w:r w:rsidRPr="00990D3B">
              <w:t>MMIS</w:t>
            </w:r>
            <w:r w:rsidRPr="00990D3B">
              <w:t xml:space="preserve"> and data submitted by the </w:t>
            </w:r>
            <w:r w:rsidRPr="00990D3B" w:rsidR="005F436F">
              <w:t>MCPs</w:t>
            </w:r>
            <w:r w:rsidRPr="00990D3B">
              <w:t>.</w:t>
            </w:r>
          </w:p>
          <w:p w:rsidR="00F931A4" w:rsidRPr="00990D3B" w:rsidP="00BD1FC3" w14:paraId="7CF67132" w14:textId="77777777">
            <w:pPr>
              <w:pStyle w:val="EQRTableText"/>
            </w:pPr>
            <w:r w:rsidRPr="00990D3B">
              <w:fldChar w:fldCharType="begin">
                <w:ffData>
                  <w:name w:val="Check2"/>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Medical records (describe) __________________________________ </w:t>
            </w:r>
          </w:p>
          <w:p w:rsidR="00F931A4" w:rsidRPr="00990D3B" w:rsidP="00BD1FC3" w14:paraId="156173D8" w14:textId="77777777">
            <w:pPr>
              <w:pStyle w:val="EQRTableText"/>
            </w:pPr>
            <w:r w:rsidRPr="00990D3B">
              <w:fldChar w:fldCharType="begin">
                <w:ffData>
                  <w:name w:val=""/>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Other (specify) ____________________________________________  </w:t>
            </w:r>
          </w:p>
        </w:tc>
      </w:tr>
      <w:tr w14:paraId="20CE0EC8" w14:textId="77777777" w:rsidTr="00BD1FC3">
        <w:tblPrEx>
          <w:tblW w:w="5000" w:type="pct"/>
          <w:tblLook w:val="04A0"/>
        </w:tblPrEx>
        <w:tc>
          <w:tcPr>
            <w:tcW w:w="9350" w:type="dxa"/>
          </w:tcPr>
          <w:p w:rsidR="00F931A4" w:rsidRPr="00990D3B" w:rsidP="00BD1FC3" w14:paraId="32165DE2" w14:textId="77777777">
            <w:pPr>
              <w:pStyle w:val="EQRTableText"/>
            </w:pPr>
            <w:r w:rsidRPr="00990D3B">
              <w:t xml:space="preserve">If the hybrid method was used, describe the sampling approach used to select the medical records: </w:t>
            </w:r>
          </w:p>
          <w:p w:rsidR="00F931A4" w:rsidRPr="00990D3B" w:rsidP="00BD1FC3" w14:paraId="1F1C6EA9" w14:textId="77777777">
            <w:pPr>
              <w:pStyle w:val="EQRTableText"/>
            </w:pPr>
            <w:r w:rsidRPr="00990D3B">
              <w:fldChar w:fldCharType="begin">
                <w:ffData>
                  <w:name w:val=""/>
                  <w:enabled/>
                  <w:calcOnExit w:val="0"/>
                  <w:checkBox>
                    <w:sizeAuto/>
                    <w:default w:val="1"/>
                  </w:checkBox>
                </w:ffData>
              </w:fldChar>
            </w:r>
            <w:r w:rsidRPr="00990D3B">
              <w:instrText xml:space="preserve"> FORMCHECKBOX </w:instrText>
            </w:r>
            <w:r w:rsidRPr="00990D3B">
              <w:fldChar w:fldCharType="separate"/>
            </w:r>
            <w:r w:rsidRPr="00990D3B">
              <w:fldChar w:fldCharType="end"/>
            </w:r>
            <w:r w:rsidRPr="00990D3B">
              <w:t xml:space="preserve"> Not applicable (hybrid method not used)</w:t>
            </w:r>
          </w:p>
        </w:tc>
      </w:tr>
      <w:tr w14:paraId="245E96D6" w14:textId="77777777" w:rsidTr="00BD1FC3">
        <w:tblPrEx>
          <w:tblW w:w="5000" w:type="pct"/>
          <w:tblLook w:val="04A0"/>
        </w:tblPrEx>
        <w:tc>
          <w:tcPr>
            <w:tcW w:w="9350" w:type="dxa"/>
          </w:tcPr>
          <w:p w:rsidR="00F931A4" w:rsidRPr="00990D3B" w:rsidP="00BD1FC3" w14:paraId="1C19C9C7" w14:textId="67FFDF1B">
            <w:pPr>
              <w:pStyle w:val="EQRTableText"/>
            </w:pPr>
            <w:r w:rsidRPr="00990D3B">
              <w:t>Definition of denominator (describe): Medicaid rates include managed care population (4 MC</w:t>
            </w:r>
            <w:r w:rsidRPr="00990D3B" w:rsidR="00617029">
              <w:t>P</w:t>
            </w:r>
            <w:r w:rsidRPr="00990D3B">
              <w:t xml:space="preserve">s) age 6 </w:t>
            </w:r>
            <w:r w:rsidRPr="00990D3B" w:rsidR="00A3397C">
              <w:t>99</w:t>
            </w:r>
            <w:r w:rsidRPr="00990D3B">
              <w:t xml:space="preserve">and older. </w:t>
            </w:r>
          </w:p>
        </w:tc>
      </w:tr>
      <w:tr w14:paraId="39A04F04" w14:textId="77777777" w:rsidTr="00BD1FC3">
        <w:tblPrEx>
          <w:tblW w:w="5000" w:type="pct"/>
          <w:tblLook w:val="04A0"/>
        </w:tblPrEx>
        <w:tc>
          <w:tcPr>
            <w:tcW w:w="9350" w:type="dxa"/>
          </w:tcPr>
          <w:p w:rsidR="00F931A4" w:rsidRPr="00990D3B" w:rsidP="00BD1FC3" w14:paraId="5BCD446A" w14:textId="77777777">
            <w:pPr>
              <w:pStyle w:val="EQRTableText"/>
            </w:pPr>
            <w:r w:rsidRPr="00990D3B">
              <w:t xml:space="preserve">Definition of numerator (describe): </w:t>
            </w:r>
          </w:p>
          <w:p w:rsidR="00F931A4" w:rsidRPr="00990D3B" w:rsidP="006C1F82" w14:paraId="6CC68AF2" w14:textId="77777777">
            <w:pPr>
              <w:pStyle w:val="EQRTableTextbullet"/>
            </w:pPr>
            <w:r w:rsidRPr="00990D3B">
              <w:t xml:space="preserve">7-day follow-up: A follow-up </w:t>
            </w:r>
            <w:r w:rsidRPr="00990D3B">
              <w:t>visit</w:t>
            </w:r>
            <w:r w:rsidRPr="00990D3B">
              <w:t xml:space="preserve"> with a mental health practitioner within 7 days after discharge. This includes visits that occur on the date of discharge.</w:t>
            </w:r>
          </w:p>
          <w:p w:rsidR="00F931A4" w:rsidRPr="00990D3B" w:rsidP="006C1F82" w14:paraId="17CD4A19" w14:textId="77777777">
            <w:pPr>
              <w:pStyle w:val="EQRTableTextbullet"/>
            </w:pPr>
            <w:r w:rsidRPr="00990D3B">
              <w:t xml:space="preserve">30-day follow-up: A follow-up </w:t>
            </w:r>
            <w:r w:rsidRPr="00990D3B">
              <w:t>visit</w:t>
            </w:r>
            <w:r w:rsidRPr="00990D3B">
              <w:t xml:space="preserve"> with a mental health practitioner within 30 days after discharge. This includes visits that occur on the date of discharge.</w:t>
            </w:r>
          </w:p>
        </w:tc>
      </w:tr>
      <w:tr w14:paraId="747AE83D" w14:textId="77777777" w:rsidTr="00BD1FC3">
        <w:tblPrEx>
          <w:tblW w:w="5000" w:type="pct"/>
          <w:tblLook w:val="04A0"/>
        </w:tblPrEx>
        <w:tc>
          <w:tcPr>
            <w:tcW w:w="9350" w:type="dxa"/>
          </w:tcPr>
          <w:p w:rsidR="00F931A4" w:rsidRPr="00990D3B" w:rsidP="00BD1FC3" w14:paraId="56040D31" w14:textId="77777777">
            <w:pPr>
              <w:pStyle w:val="EQRTableText"/>
            </w:pPr>
            <w:r w:rsidRPr="00990D3B">
              <w:t xml:space="preserve">Program(s) included in the measure: </w:t>
            </w:r>
            <w:r w:rsidRPr="00990D3B">
              <w:fldChar w:fldCharType="begin">
                <w:ffData>
                  <w:name w:val=""/>
                  <w:enabled/>
                  <w:calcOnExit w:val="0"/>
                  <w:checkBox>
                    <w:sizeAuto/>
                    <w:default w:val="1"/>
                  </w:checkBox>
                </w:ffData>
              </w:fldChar>
            </w:r>
            <w:r w:rsidRPr="00990D3B">
              <w:instrText xml:space="preserve"> FORMCHECKBOX </w:instrText>
            </w:r>
            <w:r w:rsidRPr="00990D3B">
              <w:fldChar w:fldCharType="separate"/>
            </w:r>
            <w:r w:rsidRPr="00990D3B">
              <w:fldChar w:fldCharType="end"/>
            </w:r>
            <w:r w:rsidRPr="00990D3B">
              <w:t xml:space="preserve"> Medicaid (Title XIX) only    </w:t>
            </w: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CHIP (Title XXI) only   </w:t>
            </w: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Medicaid and CHIP</w:t>
            </w:r>
          </w:p>
        </w:tc>
      </w:tr>
      <w:tr w14:paraId="05209F4B" w14:textId="77777777" w:rsidTr="00BD1FC3">
        <w:tblPrEx>
          <w:tblW w:w="5000" w:type="pct"/>
          <w:tblLook w:val="04A0"/>
        </w:tblPrEx>
        <w:tc>
          <w:tcPr>
            <w:tcW w:w="9350" w:type="dxa"/>
          </w:tcPr>
          <w:p w:rsidR="00F931A4" w:rsidRPr="00990D3B" w:rsidP="00BD1FC3" w14:paraId="2A2C6B64" w14:textId="77451E64">
            <w:pPr>
              <w:pStyle w:val="EQRTableText"/>
            </w:pPr>
            <w:r w:rsidRPr="00990D3B">
              <w:t>Measurement period (start/end date): January 1, 20</w:t>
            </w:r>
            <w:r w:rsidRPr="00990D3B" w:rsidR="00FA77AC">
              <w:t>2</w:t>
            </w:r>
            <w:r w:rsidRPr="00990D3B" w:rsidR="00330262">
              <w:t>7</w:t>
            </w:r>
            <w:r w:rsidRPr="00990D3B">
              <w:t xml:space="preserve"> to December 31, 20</w:t>
            </w:r>
            <w:r w:rsidRPr="00990D3B" w:rsidR="00FA77AC">
              <w:t>2</w:t>
            </w:r>
            <w:r w:rsidRPr="00990D3B" w:rsidR="00330262">
              <w:t>7</w:t>
            </w:r>
            <w:r w:rsidRPr="00990D3B">
              <w:t>.</w:t>
            </w:r>
          </w:p>
        </w:tc>
      </w:tr>
    </w:tbl>
    <w:p w:rsidR="00F931A4" w:rsidRPr="00990D3B" w:rsidP="002B40CC" w14:paraId="4F8BAA0E" w14:textId="639A0DE8">
      <w:pPr>
        <w:pStyle w:val="H2EQRWorksheet"/>
      </w:pPr>
    </w:p>
    <w:p w:rsidR="00F65AFF" w14:paraId="75B48859" w14:textId="77777777">
      <w:pPr>
        <w:spacing w:line="240" w:lineRule="auto"/>
        <w:rPr>
          <w:rFonts w:ascii="Arial" w:eastAsia="Calibri" w:hAnsi="Arial"/>
          <w:b/>
          <w:color w:val="000000" w:themeColor="text1"/>
          <w:sz w:val="20"/>
        </w:rPr>
      </w:pPr>
      <w:r>
        <w:br w:type="page"/>
      </w:r>
    </w:p>
    <w:p w:rsidR="00F931A4" w:rsidRPr="00990D3B" w:rsidP="002B40CC" w14:paraId="3C07C290" w14:textId="7F157849">
      <w:pPr>
        <w:pStyle w:val="H2EQRWorksheet"/>
      </w:pPr>
      <w:r w:rsidRPr="00990D3B">
        <w:t>Performance Measure Results (If measure contains more than one rate, add columns to the table)</w:t>
      </w:r>
    </w:p>
    <w:tbl>
      <w:tblPr>
        <w:tblStyle w:val="TableGrid"/>
        <w:tblW w:w="5000" w:type="pct"/>
        <w:tblLayout w:type="fixed"/>
        <w:tblLook w:val="04A0"/>
      </w:tblPr>
      <w:tblGrid>
        <w:gridCol w:w="1870"/>
        <w:gridCol w:w="1870"/>
        <w:gridCol w:w="1870"/>
        <w:gridCol w:w="1870"/>
        <w:gridCol w:w="1870"/>
      </w:tblGrid>
      <w:tr w14:paraId="2775DF81" w14:textId="77777777" w:rsidTr="00BD1FC3">
        <w:tblPrEx>
          <w:tblW w:w="5000" w:type="pct"/>
          <w:tblLayout w:type="fixed"/>
          <w:tblLook w:val="04A0"/>
        </w:tblPrEx>
        <w:trPr>
          <w:cantSplit/>
          <w:tblHeader/>
        </w:trPr>
        <w:tc>
          <w:tcPr>
            <w:tcW w:w="1872" w:type="dxa"/>
            <w:vAlign w:val="bottom"/>
          </w:tcPr>
          <w:p w:rsidR="00F931A4" w:rsidRPr="00990D3B" w:rsidP="00BD1FC3" w14:paraId="10BFE23C" w14:textId="77777777">
            <w:pPr>
              <w:pStyle w:val="EQRTableHeaderLeft"/>
              <w:rPr>
                <w:bCs/>
                <w:color w:val="auto"/>
                <w:szCs w:val="18"/>
              </w:rPr>
            </w:pPr>
            <w:r w:rsidRPr="00990D3B">
              <w:rPr>
                <w:bCs/>
                <w:color w:val="auto"/>
                <w:szCs w:val="18"/>
              </w:rPr>
              <w:t xml:space="preserve">Performance measure </w:t>
            </w:r>
          </w:p>
        </w:tc>
        <w:tc>
          <w:tcPr>
            <w:tcW w:w="1872" w:type="dxa"/>
            <w:vAlign w:val="bottom"/>
          </w:tcPr>
          <w:p w:rsidR="00F931A4" w:rsidRPr="00990D3B" w:rsidP="00BD1FC3" w14:paraId="2C56DC0F" w14:textId="77777777">
            <w:pPr>
              <w:pStyle w:val="EQRTableHeaderLeft"/>
              <w:jc w:val="center"/>
              <w:rPr>
                <w:bCs/>
                <w:color w:val="auto"/>
                <w:szCs w:val="18"/>
              </w:rPr>
            </w:pPr>
            <w:r w:rsidRPr="00990D3B">
              <w:rPr>
                <w:bCs/>
                <w:color w:val="auto"/>
                <w:szCs w:val="18"/>
              </w:rPr>
              <w:t>Rate 1</w:t>
            </w:r>
          </w:p>
        </w:tc>
        <w:tc>
          <w:tcPr>
            <w:tcW w:w="1872" w:type="dxa"/>
            <w:vAlign w:val="bottom"/>
          </w:tcPr>
          <w:p w:rsidR="00F931A4" w:rsidRPr="00990D3B" w:rsidP="00BD1FC3" w14:paraId="1B44F123" w14:textId="77777777">
            <w:pPr>
              <w:pStyle w:val="EQRTableHeaderLeft"/>
              <w:jc w:val="center"/>
              <w:rPr>
                <w:bCs/>
                <w:color w:val="auto"/>
                <w:szCs w:val="18"/>
              </w:rPr>
            </w:pPr>
            <w:r w:rsidRPr="00990D3B">
              <w:rPr>
                <w:bCs/>
                <w:color w:val="auto"/>
                <w:szCs w:val="18"/>
              </w:rPr>
              <w:t>Rate 2</w:t>
            </w:r>
          </w:p>
        </w:tc>
        <w:tc>
          <w:tcPr>
            <w:tcW w:w="1872" w:type="dxa"/>
            <w:vAlign w:val="bottom"/>
          </w:tcPr>
          <w:p w:rsidR="00F931A4" w:rsidRPr="00990D3B" w:rsidP="00BD1FC3" w14:paraId="3EE37C58" w14:textId="77777777">
            <w:pPr>
              <w:pStyle w:val="EQRTableHeaderLeft"/>
              <w:jc w:val="center"/>
              <w:rPr>
                <w:bCs/>
                <w:color w:val="auto"/>
                <w:szCs w:val="18"/>
              </w:rPr>
            </w:pPr>
            <w:r w:rsidRPr="00990D3B">
              <w:rPr>
                <w:bCs/>
                <w:color w:val="auto"/>
                <w:szCs w:val="18"/>
              </w:rPr>
              <w:t>Rate 3</w:t>
            </w:r>
          </w:p>
        </w:tc>
        <w:tc>
          <w:tcPr>
            <w:tcW w:w="1872" w:type="dxa"/>
            <w:vAlign w:val="bottom"/>
          </w:tcPr>
          <w:p w:rsidR="00F931A4" w:rsidRPr="00990D3B" w:rsidP="00BD1FC3" w14:paraId="38261163" w14:textId="77777777">
            <w:pPr>
              <w:pStyle w:val="EQRTableHeaderLeft"/>
              <w:jc w:val="center"/>
              <w:rPr>
                <w:bCs/>
                <w:color w:val="auto"/>
                <w:szCs w:val="18"/>
              </w:rPr>
            </w:pPr>
            <w:r w:rsidRPr="00990D3B">
              <w:rPr>
                <w:bCs/>
                <w:color w:val="auto"/>
                <w:szCs w:val="18"/>
              </w:rPr>
              <w:t>Rate 4</w:t>
            </w:r>
          </w:p>
        </w:tc>
      </w:tr>
      <w:tr w14:paraId="7AFA4E20" w14:textId="77777777" w:rsidTr="00BD1FC3">
        <w:tblPrEx>
          <w:tblW w:w="5000" w:type="pct"/>
          <w:tblLayout w:type="fixed"/>
          <w:tblLook w:val="04A0"/>
        </w:tblPrEx>
        <w:trPr>
          <w:cantSplit/>
        </w:trPr>
        <w:tc>
          <w:tcPr>
            <w:tcW w:w="1872" w:type="dxa"/>
          </w:tcPr>
          <w:p w:rsidR="00F931A4" w:rsidRPr="00990D3B" w:rsidP="00BD1FC3" w14:paraId="700C17D9" w14:textId="77777777">
            <w:pPr>
              <w:pStyle w:val="EQRTableText"/>
            </w:pPr>
            <w:r w:rsidRPr="00990D3B">
              <w:t>Numerator</w:t>
            </w:r>
          </w:p>
        </w:tc>
        <w:tc>
          <w:tcPr>
            <w:tcW w:w="1872" w:type="dxa"/>
          </w:tcPr>
          <w:p w:rsidR="00F931A4" w:rsidRPr="00990D3B" w:rsidP="00BD1FC3" w14:paraId="1AFBE4AF" w14:textId="77777777">
            <w:pPr>
              <w:pStyle w:val="EQRTableText"/>
            </w:pPr>
            <w:r w:rsidRPr="00990D3B">
              <w:t>6,723</w:t>
            </w:r>
          </w:p>
        </w:tc>
        <w:tc>
          <w:tcPr>
            <w:tcW w:w="1872" w:type="dxa"/>
          </w:tcPr>
          <w:p w:rsidR="00F931A4" w:rsidRPr="00990D3B" w:rsidP="00BD1FC3" w14:paraId="4C80C2FF" w14:textId="77777777">
            <w:pPr>
              <w:pStyle w:val="EQRTableText"/>
            </w:pPr>
            <w:r w:rsidRPr="00990D3B">
              <w:t>8,476</w:t>
            </w:r>
          </w:p>
        </w:tc>
        <w:tc>
          <w:tcPr>
            <w:tcW w:w="1872" w:type="dxa"/>
          </w:tcPr>
          <w:p w:rsidR="00F931A4" w:rsidRPr="00990D3B" w:rsidP="00BD1FC3" w14:paraId="02C59E09" w14:textId="77777777">
            <w:pPr>
              <w:pStyle w:val="EQRTableText"/>
            </w:pPr>
            <w:r w:rsidRPr="00990D3B">
              <w:t> </w:t>
            </w:r>
          </w:p>
        </w:tc>
        <w:tc>
          <w:tcPr>
            <w:tcW w:w="1872" w:type="dxa"/>
          </w:tcPr>
          <w:p w:rsidR="00F931A4" w:rsidRPr="00990D3B" w:rsidP="00BD1FC3" w14:paraId="724C7A3C" w14:textId="77777777">
            <w:pPr>
              <w:pStyle w:val="EQRTableText"/>
            </w:pPr>
            <w:r w:rsidRPr="00990D3B">
              <w:t> </w:t>
            </w:r>
          </w:p>
        </w:tc>
      </w:tr>
      <w:tr w14:paraId="3F33BB37" w14:textId="77777777" w:rsidTr="00BD1FC3">
        <w:tblPrEx>
          <w:tblW w:w="5000" w:type="pct"/>
          <w:tblLayout w:type="fixed"/>
          <w:tblLook w:val="04A0"/>
        </w:tblPrEx>
        <w:trPr>
          <w:cantSplit/>
        </w:trPr>
        <w:tc>
          <w:tcPr>
            <w:tcW w:w="1872" w:type="dxa"/>
          </w:tcPr>
          <w:p w:rsidR="00F931A4" w:rsidRPr="00990D3B" w:rsidP="00BD1FC3" w14:paraId="6F941BFB" w14:textId="77777777">
            <w:pPr>
              <w:pStyle w:val="EQRTableText"/>
            </w:pPr>
            <w:r w:rsidRPr="00990D3B">
              <w:t>Denominator</w:t>
            </w:r>
          </w:p>
        </w:tc>
        <w:tc>
          <w:tcPr>
            <w:tcW w:w="1872" w:type="dxa"/>
          </w:tcPr>
          <w:p w:rsidR="00F931A4" w:rsidRPr="00990D3B" w:rsidP="00BD1FC3" w14:paraId="20025DDA" w14:textId="77777777">
            <w:pPr>
              <w:pStyle w:val="EQRTableText"/>
            </w:pPr>
            <w:r w:rsidRPr="00990D3B">
              <w:t xml:space="preserve">12,007 </w:t>
            </w:r>
          </w:p>
        </w:tc>
        <w:tc>
          <w:tcPr>
            <w:tcW w:w="1872" w:type="dxa"/>
          </w:tcPr>
          <w:p w:rsidR="00F931A4" w:rsidRPr="00990D3B" w:rsidP="00BD1FC3" w14:paraId="15D73CCE" w14:textId="77777777">
            <w:pPr>
              <w:pStyle w:val="EQRTableText"/>
            </w:pPr>
            <w:r w:rsidRPr="00990D3B">
              <w:t xml:space="preserve">12,007 </w:t>
            </w:r>
          </w:p>
        </w:tc>
        <w:tc>
          <w:tcPr>
            <w:tcW w:w="1872" w:type="dxa"/>
          </w:tcPr>
          <w:p w:rsidR="00F931A4" w:rsidRPr="00990D3B" w:rsidP="00BD1FC3" w14:paraId="7D445EAF" w14:textId="77777777">
            <w:pPr>
              <w:pStyle w:val="EQRTableText"/>
            </w:pPr>
            <w:r w:rsidRPr="00990D3B">
              <w:t> </w:t>
            </w:r>
          </w:p>
        </w:tc>
        <w:tc>
          <w:tcPr>
            <w:tcW w:w="1872" w:type="dxa"/>
          </w:tcPr>
          <w:p w:rsidR="00F931A4" w:rsidRPr="00990D3B" w:rsidP="00BD1FC3" w14:paraId="42F15416" w14:textId="77777777">
            <w:pPr>
              <w:pStyle w:val="EQRTableText"/>
            </w:pPr>
            <w:r w:rsidRPr="00990D3B">
              <w:t> </w:t>
            </w:r>
          </w:p>
        </w:tc>
      </w:tr>
      <w:tr w14:paraId="2F146C59" w14:textId="77777777" w:rsidTr="00BD1FC3">
        <w:tblPrEx>
          <w:tblW w:w="5000" w:type="pct"/>
          <w:tblLayout w:type="fixed"/>
          <w:tblLook w:val="04A0"/>
        </w:tblPrEx>
        <w:trPr>
          <w:cantSplit/>
        </w:trPr>
        <w:tc>
          <w:tcPr>
            <w:tcW w:w="1872" w:type="dxa"/>
          </w:tcPr>
          <w:p w:rsidR="00F931A4" w:rsidRPr="00990D3B" w:rsidP="00BD1FC3" w14:paraId="3EA2040C" w14:textId="77777777">
            <w:pPr>
              <w:pStyle w:val="EQRTableText"/>
            </w:pPr>
            <w:r w:rsidRPr="00990D3B">
              <w:t>Rate</w:t>
            </w:r>
          </w:p>
        </w:tc>
        <w:tc>
          <w:tcPr>
            <w:tcW w:w="1872" w:type="dxa"/>
          </w:tcPr>
          <w:p w:rsidR="00F931A4" w:rsidRPr="00990D3B" w:rsidP="00BD1FC3" w14:paraId="68821CBE" w14:textId="77777777">
            <w:pPr>
              <w:pStyle w:val="EQRTableText"/>
            </w:pPr>
            <w:r w:rsidRPr="00990D3B">
              <w:t xml:space="preserve">56.0 </w:t>
            </w:r>
          </w:p>
          <w:p w:rsidR="00F931A4" w:rsidRPr="00990D3B" w:rsidP="00BD1FC3" w14:paraId="6295A3CD" w14:textId="77777777">
            <w:pPr>
              <w:pStyle w:val="EQRTableText"/>
            </w:pPr>
            <w:r w:rsidRPr="00990D3B">
              <w:t>(7-day follow-up)</w:t>
            </w:r>
          </w:p>
        </w:tc>
        <w:tc>
          <w:tcPr>
            <w:tcW w:w="1872" w:type="dxa"/>
          </w:tcPr>
          <w:p w:rsidR="00F931A4" w:rsidRPr="00990D3B" w:rsidP="00BD1FC3" w14:paraId="21B9D634" w14:textId="77777777">
            <w:pPr>
              <w:pStyle w:val="EQRTableText"/>
            </w:pPr>
            <w:r w:rsidRPr="00990D3B">
              <w:t xml:space="preserve">70.6 </w:t>
            </w:r>
          </w:p>
          <w:p w:rsidR="00F931A4" w:rsidRPr="00990D3B" w:rsidP="00BD1FC3" w14:paraId="715B3D7D" w14:textId="77777777">
            <w:pPr>
              <w:pStyle w:val="EQRTableText"/>
            </w:pPr>
            <w:r w:rsidRPr="00990D3B">
              <w:t>(30-day follow-up)</w:t>
            </w:r>
          </w:p>
        </w:tc>
        <w:tc>
          <w:tcPr>
            <w:tcW w:w="1872" w:type="dxa"/>
          </w:tcPr>
          <w:p w:rsidR="00F931A4" w:rsidRPr="00990D3B" w:rsidP="00BD1FC3" w14:paraId="5452D1E1" w14:textId="77777777">
            <w:pPr>
              <w:pStyle w:val="EQRTableText"/>
            </w:pPr>
            <w:r w:rsidRPr="00990D3B">
              <w:t> </w:t>
            </w:r>
          </w:p>
        </w:tc>
        <w:tc>
          <w:tcPr>
            <w:tcW w:w="1872" w:type="dxa"/>
          </w:tcPr>
          <w:p w:rsidR="00F931A4" w:rsidRPr="00990D3B" w:rsidP="00BD1FC3" w14:paraId="084A8D1E" w14:textId="77777777">
            <w:pPr>
              <w:pStyle w:val="EQRTableText"/>
            </w:pPr>
            <w:r w:rsidRPr="00990D3B">
              <w:t> </w:t>
            </w:r>
          </w:p>
        </w:tc>
      </w:tr>
    </w:tbl>
    <w:p w:rsidR="00D13EAF" w:rsidRPr="00990D3B" w:rsidP="009D31CB" w14:paraId="6F02BC97" w14:textId="77777777">
      <w:pPr>
        <w:pStyle w:val="NoSpacing"/>
      </w:pPr>
    </w:p>
    <w:p w:rsidR="00F931A4" w:rsidRPr="00990D3B" w:rsidP="002B40CC" w14:paraId="3D8D71DE" w14:textId="77223BA8">
      <w:pPr>
        <w:pStyle w:val="H2EQRWorksheet"/>
      </w:pPr>
      <w:r w:rsidRPr="00990D3B">
        <w:t>Performance Measure Validation Status</w:t>
      </w:r>
    </w:p>
    <w:tbl>
      <w:tblPr>
        <w:tblStyle w:val="TableGrid"/>
        <w:tblW w:w="5000" w:type="pct"/>
        <w:tblLook w:val="04A0"/>
      </w:tblPr>
      <w:tblGrid>
        <w:gridCol w:w="9350"/>
      </w:tblGrid>
      <w:tr w14:paraId="395E87F2" w14:textId="77777777" w:rsidTr="00BD1FC3">
        <w:tblPrEx>
          <w:tblW w:w="5000" w:type="pct"/>
          <w:tblLook w:val="04A0"/>
        </w:tblPrEx>
        <w:trPr>
          <w:trHeight w:val="1106"/>
        </w:trPr>
        <w:tc>
          <w:tcPr>
            <w:tcW w:w="9350" w:type="dxa"/>
          </w:tcPr>
          <w:p w:rsidR="00F931A4" w:rsidRPr="00990D3B" w:rsidP="00BD1FC3" w14:paraId="76561BD3" w14:textId="06FB34CB">
            <w:pPr>
              <w:pStyle w:val="EQRTableText"/>
              <w:rPr>
                <w:b/>
                <w:bCs/>
              </w:rPr>
            </w:pPr>
            <w:r w:rsidRPr="00990D3B">
              <w:rPr>
                <w:b/>
                <w:bCs/>
              </w:rPr>
              <w:t>Describe any deviations from the technical specifications and explain reasons for deviations (such as deviations in denominator, numerator, data source, measurement period, or other aspect of the measure calculation)</w:t>
            </w:r>
            <w:r w:rsidRPr="00990D3B" w:rsidR="00A1272B">
              <w:rPr>
                <w:b/>
                <w:bCs/>
              </w:rPr>
              <w:t>:</w:t>
            </w:r>
          </w:p>
          <w:p w:rsidR="00F931A4" w:rsidRPr="00990D3B" w:rsidP="0026008B" w14:paraId="6076671C" w14:textId="196D2B73">
            <w:pPr>
              <w:pStyle w:val="EQRTableText"/>
              <w:rPr>
                <w:sz w:val="20"/>
              </w:rPr>
            </w:pPr>
            <w:r w:rsidRPr="00990D3B">
              <w:t xml:space="preserve">Plan A </w:t>
            </w:r>
            <w:r w:rsidRPr="00990D3B">
              <w:t xml:space="preserve">was compliant with the HEDIS® Information System Standards and HEDIS® Determination Standards and continues to use NCQA-certified software vendors for HEDIS® measure production. </w:t>
            </w:r>
          </w:p>
        </w:tc>
      </w:tr>
      <w:tr w14:paraId="7C36AE68" w14:textId="77777777" w:rsidTr="00BD1FC3">
        <w:tblPrEx>
          <w:tblW w:w="5000" w:type="pct"/>
          <w:tblLook w:val="04A0"/>
        </w:tblPrEx>
        <w:trPr>
          <w:trHeight w:val="1088"/>
        </w:trPr>
        <w:tc>
          <w:tcPr>
            <w:tcW w:w="9350" w:type="dxa"/>
          </w:tcPr>
          <w:p w:rsidR="00F931A4" w:rsidRPr="00990D3B" w:rsidP="00BD1FC3" w14:paraId="7A922288" w14:textId="59F1760E">
            <w:pPr>
              <w:pStyle w:val="EQRTableText"/>
              <w:rPr>
                <w:b/>
                <w:bCs/>
              </w:rPr>
            </w:pPr>
            <w:r w:rsidRPr="00990D3B">
              <w:rPr>
                <w:b/>
                <w:bCs/>
              </w:rPr>
              <w:t>Describe any findings from the ISCA or other information systems audit that affected the reliability or validity of the performance measure results</w:t>
            </w:r>
            <w:r w:rsidRPr="00990D3B" w:rsidR="00A1272B">
              <w:rPr>
                <w:b/>
                <w:bCs/>
              </w:rPr>
              <w:t>:</w:t>
            </w:r>
          </w:p>
          <w:p w:rsidR="00F931A4" w:rsidRPr="00990D3B" w:rsidP="00BD1FC3" w14:paraId="66D7B48F" w14:textId="77777777">
            <w:pPr>
              <w:pStyle w:val="EQRTableText"/>
            </w:pPr>
            <w:r w:rsidRPr="00990D3B">
              <w:fldChar w:fldCharType="begin">
                <w:ffData>
                  <w:name w:val="Check3"/>
                  <w:enabled/>
                  <w:calcOnExit w:val="0"/>
                  <w:checkBox>
                    <w:sizeAuto/>
                    <w:default w:val="1"/>
                  </w:checkBox>
                </w:ffData>
              </w:fldChar>
            </w:r>
            <w:r w:rsidRPr="00990D3B">
              <w:instrText xml:space="preserve"> </w:instrText>
            </w:r>
            <w:bookmarkStart w:id="335" w:name="Check3"/>
            <w:r w:rsidRPr="00990D3B">
              <w:instrText xml:space="preserve">FORMCHECKBOX </w:instrText>
            </w:r>
            <w:r w:rsidRPr="00990D3B">
              <w:fldChar w:fldCharType="separate"/>
            </w:r>
            <w:r w:rsidRPr="00990D3B">
              <w:fldChar w:fldCharType="end"/>
            </w:r>
            <w:bookmarkEnd w:id="335"/>
            <w:r w:rsidRPr="00990D3B">
              <w:t xml:space="preserve"> Not applicable (ISCA not reviewed)</w:t>
            </w:r>
          </w:p>
        </w:tc>
      </w:tr>
      <w:tr w14:paraId="2C98B06B" w14:textId="77777777" w:rsidTr="00BD1FC3">
        <w:tblPrEx>
          <w:tblW w:w="5000" w:type="pct"/>
          <w:tblLook w:val="04A0"/>
        </w:tblPrEx>
        <w:trPr>
          <w:trHeight w:val="1088"/>
        </w:trPr>
        <w:tc>
          <w:tcPr>
            <w:tcW w:w="9350" w:type="dxa"/>
          </w:tcPr>
          <w:p w:rsidR="00F931A4" w:rsidRPr="00990D3B" w:rsidP="00BD1FC3" w14:paraId="58CDD187" w14:textId="312D1FCB">
            <w:pPr>
              <w:pStyle w:val="EQRTableText"/>
              <w:rPr>
                <w:b/>
                <w:bCs/>
              </w:rPr>
            </w:pPr>
            <w:r w:rsidRPr="00990D3B">
              <w:rPr>
                <w:b/>
                <w:bCs/>
              </w:rPr>
              <w:t>Describe any findings from medical record review that affected the reliability or validity of the performance measure results</w:t>
            </w:r>
            <w:r w:rsidRPr="00990D3B" w:rsidR="00A1272B">
              <w:rPr>
                <w:b/>
                <w:bCs/>
              </w:rPr>
              <w:t>:</w:t>
            </w:r>
          </w:p>
          <w:p w:rsidR="00F931A4" w:rsidRPr="00990D3B" w:rsidP="00BD1FC3" w14:paraId="7C643D82" w14:textId="77777777">
            <w:pPr>
              <w:pStyle w:val="EQRTableText"/>
            </w:pPr>
            <w:r w:rsidRPr="00990D3B">
              <w:fldChar w:fldCharType="begin">
                <w:ffData>
                  <w:name w:val=""/>
                  <w:enabled/>
                  <w:calcOnExit w:val="0"/>
                  <w:checkBox>
                    <w:sizeAuto/>
                    <w:default w:val="1"/>
                  </w:checkBox>
                </w:ffData>
              </w:fldChar>
            </w:r>
            <w:r w:rsidRPr="00990D3B">
              <w:instrText xml:space="preserve"> FORMCHECKBOX </w:instrText>
            </w:r>
            <w:r w:rsidRPr="00990D3B">
              <w:fldChar w:fldCharType="separate"/>
            </w:r>
            <w:r w:rsidRPr="00990D3B">
              <w:fldChar w:fldCharType="end"/>
            </w:r>
            <w:r w:rsidRPr="00990D3B">
              <w:t xml:space="preserve"> Not applicable (medical record review not conducted)</w:t>
            </w:r>
          </w:p>
        </w:tc>
      </w:tr>
      <w:tr w14:paraId="2240EC3C" w14:textId="77777777" w:rsidTr="00BD1FC3">
        <w:tblPrEx>
          <w:tblW w:w="5000" w:type="pct"/>
          <w:tblLook w:val="04A0"/>
        </w:tblPrEx>
        <w:trPr>
          <w:trHeight w:val="1070"/>
        </w:trPr>
        <w:tc>
          <w:tcPr>
            <w:tcW w:w="9350" w:type="dxa"/>
          </w:tcPr>
          <w:p w:rsidR="00F931A4" w:rsidRPr="00990D3B" w:rsidP="00BD1FC3" w14:paraId="78B4CD03" w14:textId="3009A066">
            <w:pPr>
              <w:pStyle w:val="EQRTableText"/>
              <w:rPr>
                <w:b/>
                <w:bCs/>
              </w:rPr>
            </w:pPr>
            <w:r w:rsidRPr="00990D3B">
              <w:rPr>
                <w:b/>
                <w:bCs/>
              </w:rPr>
              <w:t>Describe any other validation findings that affected the accuracy of the performance measure calculation</w:t>
            </w:r>
            <w:r w:rsidRPr="00990D3B" w:rsidR="00A1272B">
              <w:rPr>
                <w:b/>
                <w:bCs/>
              </w:rPr>
              <w:t>:</w:t>
            </w:r>
          </w:p>
          <w:p w:rsidR="00F931A4" w:rsidRPr="00990D3B" w:rsidP="00BD1FC3" w14:paraId="4B29EB9E" w14:textId="77777777">
            <w:pPr>
              <w:pStyle w:val="EQRTableText"/>
            </w:pPr>
            <w:r w:rsidRPr="00990D3B">
              <w:t xml:space="preserve">No findings to report. </w:t>
            </w:r>
          </w:p>
        </w:tc>
      </w:tr>
      <w:tr w14:paraId="5D717303" w14:textId="77777777" w:rsidTr="00BD1FC3">
        <w:tblPrEx>
          <w:tblW w:w="5000" w:type="pct"/>
          <w:tblLook w:val="04A0"/>
        </w:tblPrEx>
        <w:trPr>
          <w:trHeight w:val="1070"/>
        </w:trPr>
        <w:tc>
          <w:tcPr>
            <w:tcW w:w="9350" w:type="dxa"/>
          </w:tcPr>
          <w:p w:rsidR="00F931A4" w:rsidRPr="00990D3B" w:rsidP="00BD1FC3" w14:paraId="2FB3797D" w14:textId="77777777">
            <w:pPr>
              <w:pStyle w:val="EQRTableText"/>
            </w:pPr>
            <w:r w:rsidRPr="00990D3B">
              <w:rPr>
                <w:b/>
              </w:rPr>
              <w:t>Validation rating:</w:t>
            </w:r>
            <w:r w:rsidRPr="00990D3B">
              <w:t xml:space="preserve">  </w:t>
            </w:r>
            <w:r w:rsidRPr="00990D3B">
              <w:fldChar w:fldCharType="begin">
                <w:ffData>
                  <w:name w:val=""/>
                  <w:enabled/>
                  <w:calcOnExit w:val="0"/>
                  <w:checkBox>
                    <w:sizeAuto/>
                    <w:default w:val="1"/>
                  </w:checkBox>
                </w:ffData>
              </w:fldChar>
            </w:r>
            <w:r w:rsidRPr="00990D3B">
              <w:instrText xml:space="preserve"> FORMCHECKBOX </w:instrText>
            </w:r>
            <w:r w:rsidRPr="00990D3B">
              <w:fldChar w:fldCharType="separate"/>
            </w:r>
            <w:r w:rsidRPr="00990D3B">
              <w:fldChar w:fldCharType="end"/>
            </w:r>
            <w:r w:rsidRPr="00990D3B">
              <w:t xml:space="preserve"> High confidence   </w:t>
            </w:r>
            <w:r w:rsidRPr="00990D3B">
              <w:fldChar w:fldCharType="begin">
                <w:ffData>
                  <w:name w:val="Check4"/>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Moderate confidence  </w:t>
            </w:r>
            <w:r w:rsidRPr="00990D3B">
              <w:fldChar w:fldCharType="begin">
                <w:ffData>
                  <w:name w:val="Check4"/>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Low confidence </w:t>
            </w:r>
            <w:r w:rsidRPr="00990D3B">
              <w:fldChar w:fldCharType="begin">
                <w:ffData>
                  <w:name w:val="Check4"/>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 confidence</w:t>
            </w:r>
          </w:p>
          <w:p w:rsidR="00F931A4" w:rsidRPr="00990D3B" w:rsidP="00BD1FC3" w14:paraId="13487306" w14:textId="77777777">
            <w:pPr>
              <w:pStyle w:val="EQRTableText"/>
            </w:pPr>
            <w:r w:rsidRPr="00990D3B">
              <w:t>“Validation rating” refers to the EQRO’s overall confidence that the calculation of the performance measure adhered to acceptable methodology.</w:t>
            </w:r>
          </w:p>
        </w:tc>
      </w:tr>
      <w:tr w14:paraId="6F68208E" w14:textId="77777777" w:rsidTr="00BD1FC3">
        <w:tblPrEx>
          <w:tblW w:w="5000" w:type="pct"/>
          <w:tblLook w:val="04A0"/>
        </w:tblPrEx>
        <w:trPr>
          <w:trHeight w:val="971"/>
        </w:trPr>
        <w:tc>
          <w:tcPr>
            <w:tcW w:w="9350" w:type="dxa"/>
          </w:tcPr>
          <w:p w:rsidR="00F931A4" w:rsidRPr="00990D3B" w:rsidP="00BD1FC3" w14:paraId="64561F04" w14:textId="77777777">
            <w:pPr>
              <w:pStyle w:val="EQRTableText"/>
              <w:rPr>
                <w:b/>
                <w:bCs/>
              </w:rPr>
            </w:pPr>
            <w:r w:rsidRPr="00990D3B">
              <w:rPr>
                <w:b/>
                <w:bCs/>
              </w:rPr>
              <w:t>EQRO recommendations for improvement of performance measure calculation:</w:t>
            </w:r>
          </w:p>
          <w:p w:rsidR="00F931A4" w:rsidRPr="00990D3B" w:rsidP="00BD1FC3" w14:paraId="56F0CFFE" w14:textId="379819CB">
            <w:pPr>
              <w:pStyle w:val="EQRTableText"/>
            </w:pPr>
            <w:r w:rsidRPr="00990D3B">
              <w:t xml:space="preserve">The FUH-CH measure represents one of the objectives in the state’s </w:t>
            </w:r>
            <w:r w:rsidRPr="00990D3B" w:rsidR="00184745">
              <w:t>q</w:t>
            </w:r>
            <w:r w:rsidRPr="00990D3B">
              <w:t xml:space="preserve">uality </w:t>
            </w:r>
            <w:r w:rsidRPr="00990D3B" w:rsidR="00184745">
              <w:t>s</w:t>
            </w:r>
            <w:r w:rsidRPr="00990D3B">
              <w:t xml:space="preserve">trategy (e.g., child health, prevention, and screening services), which seeks to assure timely, high-quality health care for all [State Medicaid Program Name] members. The EQRO has no recommendations </w:t>
            </w:r>
            <w:r w:rsidRPr="00990D3B" w:rsidR="00B2795C">
              <w:t>for improving the calculation of performance measures</w:t>
            </w:r>
            <w:r w:rsidRPr="00990D3B">
              <w:t xml:space="preserve">. </w:t>
            </w:r>
          </w:p>
        </w:tc>
      </w:tr>
    </w:tbl>
    <w:p w:rsidR="0042539E" w:rsidRPr="00990D3B" w:rsidP="00B5252D" w14:paraId="6C139D5B" w14:textId="77777777">
      <w:pPr>
        <w:pStyle w:val="ParagraphContinued"/>
        <w:sectPr w:rsidSect="00A65C6B">
          <w:pgSz w:w="12240" w:h="15840" w:code="1"/>
          <w:pgMar w:top="1440" w:right="1440" w:bottom="1440" w:left="1440" w:header="720" w:footer="720" w:gutter="0"/>
          <w:cols w:space="720"/>
          <w:titlePg/>
          <w:docGrid w:linePitch="360"/>
        </w:sectPr>
      </w:pPr>
    </w:p>
    <w:p w:rsidR="00F815D0" w:rsidRPr="00990D3B" w:rsidP="00BD1FC3" w14:paraId="768F1C61" w14:textId="508D2F64">
      <w:pPr>
        <w:pStyle w:val="EQRMarkforExhibitWORKSHEET"/>
      </w:pPr>
      <w:bookmarkStart w:id="336" w:name="WSp2n15"/>
      <w:bookmarkStart w:id="337" w:name="_Toc201751509"/>
      <w:bookmarkEnd w:id="336"/>
      <w:r w:rsidRPr="00990D3B">
        <w:t>Worksheet 2.15. Performance Measure Validation Reporting</w:t>
      </w:r>
      <w:bookmarkEnd w:id="337"/>
      <w:r w:rsidRPr="00990D3B">
        <w:t xml:space="preserve"> </w:t>
      </w:r>
    </w:p>
    <w:p w:rsidR="00096C94" w:rsidRPr="00990D3B" w:rsidP="00F973E3" w14:paraId="09A6450E" w14:textId="0E78D489">
      <w:pPr>
        <w:pStyle w:val="EQRNormalSSWORKSHEET"/>
      </w:pPr>
      <w:r w:rsidRPr="00990D3B">
        <w:rPr>
          <w:b/>
          <w:bCs/>
        </w:rPr>
        <w:t xml:space="preserve">Instructions. </w:t>
      </w:r>
      <w:r w:rsidRPr="00990D3B" w:rsidR="00FE1429">
        <w:t xml:space="preserve">For each performance measure, share the validation findings, </w:t>
      </w:r>
      <w:r w:rsidRPr="00990D3B" w:rsidR="000A2F29">
        <w:t>along</w:t>
      </w:r>
      <w:r w:rsidRPr="00990D3B" w:rsidR="00FE1429">
        <w:t xml:space="preserve"> </w:t>
      </w:r>
      <w:r w:rsidRPr="00990D3B" w:rsidR="000A2F29">
        <w:t xml:space="preserve">with </w:t>
      </w:r>
      <w:r w:rsidRPr="00990D3B">
        <w:t xml:space="preserve">comments </w:t>
      </w:r>
      <w:r w:rsidRPr="00990D3B" w:rsidR="000A2F29">
        <w:t>explaining why the rating was given and</w:t>
      </w:r>
      <w:r w:rsidRPr="00990D3B">
        <w:t xml:space="preserve"> any recommendation for improvement, if applicable.</w:t>
      </w:r>
      <w:r w:rsidRPr="00990D3B" w:rsidR="000A2F29">
        <w:t xml:space="preserve"> </w:t>
      </w:r>
    </w:p>
    <w:p w:rsidR="005E3FD4" w:rsidRPr="00990D3B" w:rsidP="00F973E3" w14:paraId="098F4313" w14:textId="35B40420">
      <w:pPr>
        <w:pStyle w:val="EQRNormalSSWORKSHEET"/>
      </w:pPr>
      <w:r w:rsidRPr="00990D3B">
        <w:t xml:space="preserve">Depending on the </w:t>
      </w:r>
      <w:r w:rsidRPr="00990D3B" w:rsidR="00002D7F">
        <w:t xml:space="preserve">performance measure validation </w:t>
      </w:r>
      <w:r w:rsidRPr="00990D3B">
        <w:t>approach, different templates can be used:</w:t>
      </w:r>
    </w:p>
    <w:p w:rsidR="005E3FD4" w:rsidRPr="00990D3B" w:rsidP="00087072" w14:paraId="302F40D6" w14:textId="77777777">
      <w:pPr>
        <w:pStyle w:val="EQRNormalSSWSbullet"/>
      </w:pPr>
      <w:r w:rsidRPr="00990D3B">
        <w:t xml:space="preserve">If MCPs received a single validation rating for all their performance </w:t>
      </w:r>
      <w:r w:rsidRPr="00990D3B">
        <w:rPr>
          <w:i/>
          <w:iCs/>
        </w:rPr>
        <w:t xml:space="preserve">and </w:t>
      </w:r>
      <w:r w:rsidRPr="00990D3B">
        <w:t>validation ratings differed across MCPs, use</w:t>
      </w:r>
      <w:r w:rsidRPr="00990D3B" w:rsidR="000A2F29">
        <w:rPr>
          <w:b/>
          <w:bCs/>
        </w:rPr>
        <w:t xml:space="preserve"> </w:t>
      </w:r>
      <w:r w:rsidRPr="00990D3B" w:rsidR="00096C94">
        <w:rPr>
          <w:b/>
          <w:bCs/>
          <w:color w:val="00828C" w:themeColor="accent1"/>
        </w:rPr>
        <w:t>Template</w:t>
      </w:r>
      <w:r w:rsidRPr="00990D3B">
        <w:rPr>
          <w:b/>
          <w:bCs/>
          <w:color w:val="00828C" w:themeColor="accent1"/>
        </w:rPr>
        <w:t xml:space="preserve"> A</w:t>
      </w:r>
      <w:r w:rsidRPr="00990D3B" w:rsidR="00096C94">
        <w:rPr>
          <w:b/>
          <w:bCs/>
          <w:color w:val="00828C" w:themeColor="accent1"/>
        </w:rPr>
        <w:t>.</w:t>
      </w:r>
      <w:r w:rsidRPr="00990D3B" w:rsidR="00096C94">
        <w:rPr>
          <w:color w:val="00828C" w:themeColor="accent1"/>
        </w:rPr>
        <w:t xml:space="preserve"> </w:t>
      </w:r>
    </w:p>
    <w:p w:rsidR="005E3FD4" w:rsidRPr="00990D3B" w:rsidP="00087072" w14:paraId="14E13291" w14:textId="6E1F5E82">
      <w:pPr>
        <w:pStyle w:val="EQRNormalSSWSbullet"/>
      </w:pPr>
      <w:r w:rsidRPr="00990D3B">
        <w:t>If a</w:t>
      </w:r>
      <w:r w:rsidRPr="00990D3B" w:rsidR="008D1A82">
        <w:t>n</w:t>
      </w:r>
      <w:r w:rsidRPr="00990D3B">
        <w:t xml:space="preserve"> MCP received different validation ratings for </w:t>
      </w:r>
      <w:r w:rsidRPr="00990D3B" w:rsidR="00DF15AE">
        <w:t>their</w:t>
      </w:r>
      <w:r w:rsidRPr="00990D3B">
        <w:t xml:space="preserve"> performance measures, use </w:t>
      </w:r>
      <w:r w:rsidRPr="00990D3B">
        <w:rPr>
          <w:b/>
          <w:bCs/>
          <w:color w:val="00828C" w:themeColor="accent1"/>
        </w:rPr>
        <w:t>Template B</w:t>
      </w:r>
      <w:r w:rsidRPr="00990D3B">
        <w:rPr>
          <w:color w:val="00828C" w:themeColor="accent1"/>
        </w:rPr>
        <w:t>.</w:t>
      </w:r>
    </w:p>
    <w:p w:rsidR="00096C94" w:rsidRPr="00990D3B" w:rsidP="00087072" w14:paraId="2721D99D" w14:textId="58717D4F">
      <w:pPr>
        <w:pStyle w:val="EQRNormalSSWSbullet"/>
      </w:pPr>
      <w:r w:rsidRPr="00990D3B">
        <w:rPr>
          <w:rFonts w:cs="Arial"/>
          <w:color w:val="00828C" w:themeColor="accent1"/>
        </w:rPr>
        <w:t xml:space="preserve"> </w:t>
      </w:r>
      <w:r w:rsidRPr="00990D3B" w:rsidR="00917182">
        <w:t xml:space="preserve">If every MCP received </w:t>
      </w:r>
      <w:r w:rsidRPr="00990D3B" w:rsidR="00E35EAE">
        <w:t>the same</w:t>
      </w:r>
      <w:r w:rsidRPr="00990D3B" w:rsidR="00917182">
        <w:t xml:space="preserve"> validation rating for all performance measures, </w:t>
      </w:r>
      <w:r w:rsidRPr="00990D3B" w:rsidR="000A2F29">
        <w:t>use</w:t>
      </w:r>
      <w:r w:rsidRPr="00990D3B" w:rsidR="00917182">
        <w:t xml:space="preserve"> </w:t>
      </w:r>
      <w:r w:rsidRPr="00990D3B" w:rsidR="00917182">
        <w:rPr>
          <w:b/>
          <w:bCs/>
          <w:color w:val="00828C" w:themeColor="accent1"/>
        </w:rPr>
        <w:t xml:space="preserve">Template </w:t>
      </w:r>
      <w:r w:rsidRPr="00990D3B">
        <w:rPr>
          <w:b/>
          <w:bCs/>
          <w:color w:val="00828C" w:themeColor="accent1"/>
        </w:rPr>
        <w:t>C</w:t>
      </w:r>
      <w:r w:rsidRPr="00990D3B" w:rsidR="00917182">
        <w:t xml:space="preserve">. </w:t>
      </w:r>
    </w:p>
    <w:p w:rsidR="007F29C2" w:rsidRPr="00990D3B" w:rsidP="00F973E3" w14:paraId="20171363" w14:textId="77777777">
      <w:pPr>
        <w:pStyle w:val="EQRNormalSSWORKSHEET"/>
      </w:pPr>
      <w:r w:rsidRPr="00990D3B">
        <w:t xml:space="preserve">While these templates </w:t>
      </w:r>
      <w:r w:rsidRPr="00990D3B">
        <w:rPr>
          <w:rFonts w:cs="Arial"/>
        </w:rPr>
        <w:t>encompass CMS’s expectations for what EQR technical reports share when reporting findings, using</w:t>
      </w:r>
      <w:r w:rsidRPr="00990D3B">
        <w:t xml:space="preserve"> this template is voluntary. This template has a companion Excel workbook. It can be included in the EQR technical report or submitted to CMS as a separate document. If submitted separately, the document must be posted to the state’s website.</w:t>
      </w:r>
    </w:p>
    <w:p w:rsidR="0039233D" w:rsidRPr="00990D3B" w:rsidP="00F973E3" w14:paraId="53F4F133" w14:textId="74FB63B2">
      <w:pPr>
        <w:pStyle w:val="EQRNormalSSWORKSHEET"/>
      </w:pPr>
      <w:r w:rsidRPr="00990D3B">
        <w:rPr>
          <w:rFonts w:asciiTheme="majorHAnsi" w:hAnsiTheme="majorHAnsi" w:cstheme="majorHAnsi"/>
        </w:rPr>
        <w:t xml:space="preserve">The table below provides guidance for applying a validation rating. </w:t>
      </w:r>
      <w:r w:rsidRPr="00990D3B" w:rsidR="00002D7F">
        <w:t xml:space="preserve">If using a different rating methodology, use </w:t>
      </w:r>
      <w:r w:rsidRPr="00990D3B" w:rsidR="00002D7F">
        <w:rPr>
          <w:b/>
          <w:bCs/>
        </w:rPr>
        <w:t>Section 2</w:t>
      </w:r>
      <w:r w:rsidRPr="00990D3B" w:rsidR="00002D7F">
        <w:t xml:space="preserve"> of this worksheet to provide the definitions.</w:t>
      </w:r>
    </w:p>
    <w:tbl>
      <w:tblPr>
        <w:tblStyle w:val="TableGrid"/>
        <w:tblW w:w="0" w:type="auto"/>
        <w:tblLook w:val="04A0"/>
      </w:tblPr>
      <w:tblGrid>
        <w:gridCol w:w="12775"/>
      </w:tblGrid>
      <w:tr w14:paraId="45FC15E6" w14:textId="77777777" w:rsidTr="0042539E">
        <w:tblPrEx>
          <w:tblW w:w="0" w:type="auto"/>
          <w:tblLook w:val="04A0"/>
        </w:tblPrEx>
        <w:tc>
          <w:tcPr>
            <w:tcW w:w="12775" w:type="dxa"/>
          </w:tcPr>
          <w:p w:rsidR="0039233D" w:rsidRPr="00990D3B" w:rsidP="006C1F82" w14:paraId="094213A5" w14:textId="77777777">
            <w:pPr>
              <w:pStyle w:val="EQRTableTextbullet"/>
            </w:pPr>
            <w:r w:rsidRPr="00990D3B">
              <w:rPr>
                <w:b/>
                <w:bCs/>
              </w:rPr>
              <w:t>High confidence.</w:t>
            </w:r>
            <w:r w:rsidRPr="00990D3B">
              <w:t xml:space="preserve"> Measure reporting processes were compliant with state specifications; EQRO has high confidence in the MCP’s ability to comply with technical specifications; data were accurate, complete, and reliable. </w:t>
            </w:r>
          </w:p>
          <w:p w:rsidR="0039233D" w:rsidRPr="00990D3B" w:rsidP="006C1F82" w14:paraId="46F85504" w14:textId="77777777">
            <w:pPr>
              <w:pStyle w:val="EQRTableTextbullet"/>
            </w:pPr>
            <w:r w:rsidRPr="00990D3B">
              <w:t xml:space="preserve">Moderate confidence. Measure reporting processes were generally compliant with state specifications, but minor weaknesses or inconsistencies in data and/or processes were identified that do not substantially impact the EQRO’s confidence in the MCP’s ability to comply with technical specifications. </w:t>
            </w:r>
          </w:p>
          <w:p w:rsidR="0039233D" w:rsidRPr="00990D3B" w:rsidP="006C1F82" w14:paraId="3FE25D82" w14:textId="77777777">
            <w:pPr>
              <w:pStyle w:val="EQRTableTextbullet"/>
            </w:pPr>
            <w:r w:rsidRPr="00990D3B">
              <w:t xml:space="preserve">Low confidence. Measure reporting processes showed large deviations from state specifications, and/or data issues raised concerns about the MCP’s ability to comply with technical specifications. </w:t>
            </w:r>
          </w:p>
          <w:p w:rsidR="0039233D" w:rsidRPr="00990D3B" w:rsidP="006C1F82" w14:paraId="53A04175" w14:textId="3536A73D">
            <w:pPr>
              <w:pStyle w:val="EQRTableTextbullet"/>
              <w:rPr>
                <w:szCs w:val="18"/>
              </w:rPr>
            </w:pPr>
            <w:r w:rsidRPr="00990D3B">
              <w:t xml:space="preserve">No confidence. </w:t>
            </w:r>
            <w:r w:rsidRPr="00990D3B">
              <w:rPr>
                <w:szCs w:val="18"/>
              </w:rPr>
              <w:t xml:space="preserve">Measure reporting processes were not compliant with state specifications, and/or significant data issues resulted in no confidence in the MCP’s ability to comply with technical specifications. </w:t>
            </w:r>
          </w:p>
        </w:tc>
      </w:tr>
    </w:tbl>
    <w:p w:rsidR="007A143A" w:rsidRPr="00990D3B" w:rsidP="00F973E3" w14:paraId="589BC2C0" w14:textId="04D54C2B">
      <w:pPr>
        <w:pStyle w:val="EQRNormalSSWORKSHEET"/>
      </w:pPr>
      <w:r w:rsidRPr="00990D3B">
        <w:t xml:space="preserve">Acronyms: EQR= External Quality EQRO= External Quality Review </w:t>
      </w:r>
      <w:r w:rsidRPr="00990D3B">
        <w:t>Organization;  MCP</w:t>
      </w:r>
      <w:r w:rsidRPr="00990D3B">
        <w:t xml:space="preserve">= Managed Care Plan. </w:t>
      </w:r>
    </w:p>
    <w:p w:rsidR="00FA3731" w:rsidRPr="00990D3B" w14:paraId="1E228EA2" w14:textId="77777777">
      <w:pPr>
        <w:spacing w:line="240" w:lineRule="auto"/>
        <w:rPr>
          <w:rFonts w:ascii="Arial" w:eastAsia="Calibri" w:hAnsi="Arial"/>
          <w:b/>
          <w:color w:val="000000" w:themeColor="text1"/>
          <w:sz w:val="20"/>
        </w:rPr>
      </w:pPr>
      <w:r w:rsidRPr="00990D3B">
        <w:br w:type="page"/>
      </w:r>
    </w:p>
    <w:p w:rsidR="00096C94" w:rsidRPr="00990D3B" w:rsidP="002B40CC" w14:paraId="4CAA4BB2" w14:textId="0193CCC0">
      <w:pPr>
        <w:pStyle w:val="H2EQRWorksheet"/>
      </w:pPr>
      <w:r w:rsidRPr="00990D3B">
        <w:t>Performance Measure Validation Findings</w:t>
      </w:r>
    </w:p>
    <w:p w:rsidR="00096C94" w:rsidRPr="00990D3B" w:rsidP="002B40CC" w14:paraId="47B36183" w14:textId="6037CE35">
      <w:pPr>
        <w:pStyle w:val="H2EQRWorksheet"/>
      </w:pPr>
      <w:r w:rsidRPr="00990D3B">
        <w:t>Template A</w:t>
      </w:r>
    </w:p>
    <w:tbl>
      <w:tblPr>
        <w:tblStyle w:val="TableGrid"/>
        <w:tblW w:w="5000" w:type="pct"/>
        <w:tblLook w:val="04A0"/>
      </w:tblPr>
      <w:tblGrid>
        <w:gridCol w:w="1758"/>
        <w:gridCol w:w="3151"/>
        <w:gridCol w:w="3717"/>
        <w:gridCol w:w="4324"/>
      </w:tblGrid>
      <w:tr w14:paraId="0D65F52B" w14:textId="77777777" w:rsidTr="0042539E">
        <w:tblPrEx>
          <w:tblW w:w="5000" w:type="pct"/>
          <w:tblLook w:val="04A0"/>
        </w:tblPrEx>
        <w:trPr>
          <w:trHeight w:val="377"/>
        </w:trPr>
        <w:tc>
          <w:tcPr>
            <w:tcW w:w="1269" w:type="dxa"/>
            <w:vAlign w:val="bottom"/>
          </w:tcPr>
          <w:p w:rsidR="000D2285" w:rsidRPr="00990D3B" w:rsidP="0026008B" w14:paraId="7077C4CB" w14:textId="77777777">
            <w:pPr>
              <w:pStyle w:val="TableHeaderLeft"/>
              <w:rPr>
                <w:b w:val="0"/>
              </w:rPr>
            </w:pPr>
            <w:r w:rsidRPr="00990D3B">
              <w:t>MCP</w:t>
            </w:r>
          </w:p>
        </w:tc>
        <w:tc>
          <w:tcPr>
            <w:tcW w:w="2275" w:type="dxa"/>
            <w:vAlign w:val="bottom"/>
          </w:tcPr>
          <w:p w:rsidR="000D2285" w:rsidRPr="00990D3B" w:rsidP="0026008B" w14:paraId="3DC5A2F2" w14:textId="3EDA2515">
            <w:pPr>
              <w:pStyle w:val="TableHeaderCenter"/>
              <w:rPr>
                <w:b w:val="0"/>
              </w:rPr>
            </w:pPr>
            <w:r w:rsidRPr="00990D3B">
              <w:t xml:space="preserve">Performance </w:t>
            </w:r>
            <w:r w:rsidRPr="00990D3B" w:rsidR="0039233D">
              <w:t>m</w:t>
            </w:r>
            <w:r w:rsidRPr="00990D3B">
              <w:t xml:space="preserve">easure </w:t>
            </w:r>
            <w:r w:rsidRPr="00990D3B" w:rsidR="0039233D">
              <w:t>v</w:t>
            </w:r>
            <w:r w:rsidRPr="00990D3B">
              <w:t xml:space="preserve">alidation </w:t>
            </w:r>
            <w:r w:rsidRPr="00990D3B" w:rsidR="0039233D">
              <w:t>r</w:t>
            </w:r>
            <w:r w:rsidRPr="00990D3B">
              <w:t>ating</w:t>
            </w:r>
          </w:p>
        </w:tc>
        <w:tc>
          <w:tcPr>
            <w:tcW w:w="2684" w:type="dxa"/>
            <w:vAlign w:val="bottom"/>
          </w:tcPr>
          <w:p w:rsidR="000D2285" w:rsidRPr="00990D3B" w:rsidP="0026008B" w14:paraId="12DD085A" w14:textId="24296DA4">
            <w:pPr>
              <w:pStyle w:val="TableHeaderCenter"/>
            </w:pPr>
            <w:r w:rsidRPr="00990D3B">
              <w:t>R</w:t>
            </w:r>
            <w:r w:rsidRPr="00990D3B">
              <w:t>ecommendations</w:t>
            </w:r>
          </w:p>
        </w:tc>
        <w:tc>
          <w:tcPr>
            <w:tcW w:w="3122" w:type="dxa"/>
            <w:vAlign w:val="bottom"/>
          </w:tcPr>
          <w:p w:rsidR="000D2285" w:rsidRPr="00990D3B" w:rsidP="0026008B" w14:paraId="6208F9D9" w14:textId="3920EDF0">
            <w:pPr>
              <w:pStyle w:val="TableHeaderCenter"/>
              <w:rPr>
                <w:b w:val="0"/>
              </w:rPr>
            </w:pPr>
            <w:r w:rsidRPr="00990D3B">
              <w:t>C</w:t>
            </w:r>
            <w:r w:rsidRPr="00990D3B">
              <w:t>omments</w:t>
            </w:r>
          </w:p>
        </w:tc>
      </w:tr>
      <w:tr w14:paraId="06F86011" w14:textId="77777777" w:rsidTr="0042539E">
        <w:tblPrEx>
          <w:tblW w:w="5000" w:type="pct"/>
          <w:tblLook w:val="04A0"/>
        </w:tblPrEx>
        <w:tc>
          <w:tcPr>
            <w:tcW w:w="1269" w:type="dxa"/>
          </w:tcPr>
          <w:p w:rsidR="000D2285" w:rsidRPr="00990D3B" w:rsidP="00BD1FC3" w14:paraId="1B7B255A" w14:textId="18C32CDC">
            <w:pPr>
              <w:rPr>
                <w:rFonts w:ascii="Arial" w:hAnsi="Arial" w:cs="Arial"/>
                <w:i/>
                <w:iCs/>
                <w:sz w:val="18"/>
                <w:szCs w:val="18"/>
              </w:rPr>
            </w:pPr>
          </w:p>
        </w:tc>
        <w:tc>
          <w:tcPr>
            <w:tcW w:w="2275" w:type="dxa"/>
          </w:tcPr>
          <w:p w:rsidR="000D2285" w:rsidRPr="00990D3B" w:rsidP="009D31CB" w14:paraId="1BADBFE9"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High confidence</w:t>
            </w:r>
          </w:p>
          <w:p w:rsidR="000D2285" w:rsidRPr="00990D3B" w:rsidP="009D31CB" w14:paraId="73A7FEB8" w14:textId="11C2D2B4">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rsidR="0004151B">
              <w:t xml:space="preserve"> </w:t>
            </w:r>
            <w:r w:rsidRPr="00990D3B">
              <w:t>Moderate confidence</w:t>
            </w:r>
          </w:p>
          <w:p w:rsidR="000D2285" w:rsidRPr="00990D3B" w:rsidP="009D31CB" w14:paraId="0EE3D813"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Low confidence</w:t>
            </w:r>
          </w:p>
          <w:p w:rsidR="000D2285" w:rsidRPr="00990D3B" w:rsidP="009D31CB" w14:paraId="5E54A00C" w14:textId="55E514DC">
            <w:pPr>
              <w:pStyle w:val="EQRTableText"/>
              <w:rPr>
                <w:rFonts w:cs="Arial"/>
                <w:i/>
                <w:iCs/>
              </w:rPr>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 confidence</w:t>
            </w:r>
          </w:p>
        </w:tc>
        <w:tc>
          <w:tcPr>
            <w:tcW w:w="2684" w:type="dxa"/>
          </w:tcPr>
          <w:p w:rsidR="000D2285" w:rsidRPr="00990D3B" w:rsidP="00BD1FC3" w14:paraId="504EFD72" w14:textId="77777777">
            <w:pPr>
              <w:rPr>
                <w:rFonts w:ascii="Arial" w:hAnsi="Arial" w:cs="Arial"/>
                <w:i/>
                <w:iCs/>
                <w:sz w:val="18"/>
                <w:szCs w:val="18"/>
              </w:rPr>
            </w:pPr>
          </w:p>
        </w:tc>
        <w:tc>
          <w:tcPr>
            <w:tcW w:w="3122" w:type="dxa"/>
          </w:tcPr>
          <w:p w:rsidR="000D2285" w:rsidRPr="00990D3B" w:rsidP="00BD1FC3" w14:paraId="6F8CC898" w14:textId="44962D27">
            <w:pPr>
              <w:rPr>
                <w:rFonts w:ascii="Arial" w:hAnsi="Arial" w:cs="Arial"/>
                <w:i/>
                <w:iCs/>
                <w:sz w:val="18"/>
                <w:szCs w:val="18"/>
              </w:rPr>
            </w:pPr>
          </w:p>
        </w:tc>
      </w:tr>
      <w:tr w14:paraId="4147EF22" w14:textId="77777777" w:rsidTr="0042539E">
        <w:tblPrEx>
          <w:tblW w:w="5000" w:type="pct"/>
          <w:tblLook w:val="04A0"/>
        </w:tblPrEx>
        <w:tc>
          <w:tcPr>
            <w:tcW w:w="1269" w:type="dxa"/>
          </w:tcPr>
          <w:p w:rsidR="000D2285" w:rsidRPr="00990D3B" w:rsidP="00BD1FC3" w14:paraId="018A0E92" w14:textId="77777777">
            <w:pPr>
              <w:rPr>
                <w:rFonts w:ascii="Arial" w:hAnsi="Arial" w:cs="Arial"/>
                <w:sz w:val="18"/>
                <w:szCs w:val="18"/>
              </w:rPr>
            </w:pPr>
          </w:p>
        </w:tc>
        <w:tc>
          <w:tcPr>
            <w:tcW w:w="2275" w:type="dxa"/>
          </w:tcPr>
          <w:p w:rsidR="000D2285" w:rsidRPr="00990D3B" w:rsidP="009D31CB" w14:paraId="45E0706D"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High confidence</w:t>
            </w:r>
          </w:p>
          <w:p w:rsidR="000D2285" w:rsidRPr="00990D3B" w:rsidP="009D31CB" w14:paraId="4E45CF8D" w14:textId="7A1A01CD">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rsidR="0004151B">
              <w:t xml:space="preserve"> </w:t>
            </w:r>
            <w:r w:rsidRPr="00990D3B">
              <w:t>Moderate confidence</w:t>
            </w:r>
          </w:p>
          <w:p w:rsidR="000D2285" w:rsidRPr="00990D3B" w:rsidP="009D31CB" w14:paraId="673838C6"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Low confidence</w:t>
            </w:r>
          </w:p>
          <w:p w:rsidR="000D2285" w:rsidRPr="00990D3B" w:rsidP="009D31CB" w14:paraId="285DB8D4" w14:textId="72E6FAFD">
            <w:pPr>
              <w:pStyle w:val="EQRTableText"/>
              <w:rPr>
                <w:rFonts w:cs="Arial"/>
              </w:rPr>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 confidence</w:t>
            </w:r>
          </w:p>
        </w:tc>
        <w:tc>
          <w:tcPr>
            <w:tcW w:w="2684" w:type="dxa"/>
          </w:tcPr>
          <w:p w:rsidR="000D2285" w:rsidRPr="00990D3B" w:rsidP="00BD1FC3" w14:paraId="07B9CD3D" w14:textId="77777777">
            <w:pPr>
              <w:rPr>
                <w:rFonts w:ascii="Arial" w:hAnsi="Arial" w:cs="Arial"/>
                <w:sz w:val="18"/>
                <w:szCs w:val="18"/>
              </w:rPr>
            </w:pPr>
          </w:p>
        </w:tc>
        <w:tc>
          <w:tcPr>
            <w:tcW w:w="3122" w:type="dxa"/>
          </w:tcPr>
          <w:p w:rsidR="000D2285" w:rsidRPr="00990D3B" w:rsidP="00BD1FC3" w14:paraId="2E8862ED" w14:textId="015DD4CF">
            <w:pPr>
              <w:rPr>
                <w:rFonts w:ascii="Arial" w:hAnsi="Arial" w:cs="Arial"/>
                <w:sz w:val="18"/>
                <w:szCs w:val="18"/>
              </w:rPr>
            </w:pPr>
          </w:p>
        </w:tc>
      </w:tr>
    </w:tbl>
    <w:p w:rsidR="00096C94" w:rsidRPr="00990D3B" w:rsidP="00FA3731" w14:paraId="4748B425" w14:textId="77777777">
      <w:pPr>
        <w:pStyle w:val="NoSpacing"/>
      </w:pPr>
    </w:p>
    <w:p w:rsidR="000D2285" w:rsidRPr="00990D3B" w:rsidP="002B40CC" w14:paraId="1CFCC365" w14:textId="0F27F9B8">
      <w:pPr>
        <w:pStyle w:val="H2EQRWorksheet"/>
      </w:pPr>
      <w:r w:rsidRPr="00990D3B">
        <w:t xml:space="preserve">Template </w:t>
      </w:r>
      <w:r w:rsidRPr="00990D3B" w:rsidR="00DC44F3">
        <w:t>B</w:t>
      </w:r>
    </w:p>
    <w:tbl>
      <w:tblPr>
        <w:tblStyle w:val="TableGrid"/>
        <w:tblW w:w="5000" w:type="pct"/>
        <w:tblLook w:val="04A0"/>
      </w:tblPr>
      <w:tblGrid>
        <w:gridCol w:w="2608"/>
        <w:gridCol w:w="2679"/>
        <w:gridCol w:w="3518"/>
        <w:gridCol w:w="4145"/>
      </w:tblGrid>
      <w:tr w14:paraId="2DEBB70F" w14:textId="77777777" w:rsidTr="00FA3731">
        <w:tblPrEx>
          <w:tblW w:w="5000" w:type="pct"/>
          <w:tblLook w:val="04A0"/>
        </w:tblPrEx>
        <w:trPr>
          <w:trHeight w:val="620"/>
        </w:trPr>
        <w:tc>
          <w:tcPr>
            <w:tcW w:w="1883" w:type="dxa"/>
            <w:vAlign w:val="bottom"/>
          </w:tcPr>
          <w:p w:rsidR="000D2285" w:rsidRPr="00990D3B" w:rsidP="0026008B" w14:paraId="2D48B8BE" w14:textId="5B929089">
            <w:pPr>
              <w:pStyle w:val="TableHeaderLeft"/>
            </w:pPr>
            <w:r w:rsidRPr="00990D3B">
              <w:t xml:space="preserve">Performance </w:t>
            </w:r>
            <w:r w:rsidRPr="00990D3B" w:rsidR="0039233D">
              <w:t>m</w:t>
            </w:r>
            <w:r w:rsidRPr="00990D3B">
              <w:t xml:space="preserve">easure </w:t>
            </w:r>
            <w:r w:rsidRPr="00990D3B" w:rsidR="0039233D">
              <w:t>v</w:t>
            </w:r>
            <w:r w:rsidRPr="00990D3B">
              <w:t xml:space="preserve">alidation </w:t>
            </w:r>
            <w:r w:rsidRPr="00990D3B" w:rsidR="0039233D">
              <w:t>r</w:t>
            </w:r>
            <w:r w:rsidRPr="00990D3B">
              <w:t>ating</w:t>
            </w:r>
          </w:p>
        </w:tc>
        <w:tc>
          <w:tcPr>
            <w:tcW w:w="1934" w:type="dxa"/>
            <w:vAlign w:val="bottom"/>
          </w:tcPr>
          <w:p w:rsidR="000D2285" w:rsidRPr="00990D3B" w:rsidP="0026008B" w14:paraId="59E417E8" w14:textId="7D229190">
            <w:pPr>
              <w:pStyle w:val="TableHeaderCenter"/>
            </w:pPr>
            <w:r w:rsidRPr="00990D3B">
              <w:t xml:space="preserve">Performance </w:t>
            </w:r>
            <w:r w:rsidRPr="00990D3B" w:rsidR="0039233D">
              <w:t>m</w:t>
            </w:r>
            <w:r w:rsidRPr="00990D3B">
              <w:t>easure(s)</w:t>
            </w:r>
          </w:p>
        </w:tc>
        <w:tc>
          <w:tcPr>
            <w:tcW w:w="2540" w:type="dxa"/>
            <w:vAlign w:val="bottom"/>
          </w:tcPr>
          <w:p w:rsidR="000D2285" w:rsidRPr="00990D3B" w:rsidP="0026008B" w14:paraId="18D1190F" w14:textId="7DC58DB1">
            <w:pPr>
              <w:pStyle w:val="TableHeaderCenter"/>
            </w:pPr>
            <w:r w:rsidRPr="00990D3B">
              <w:t>Recommendations</w:t>
            </w:r>
          </w:p>
        </w:tc>
        <w:tc>
          <w:tcPr>
            <w:tcW w:w="2993" w:type="dxa"/>
            <w:vAlign w:val="bottom"/>
          </w:tcPr>
          <w:p w:rsidR="000D2285" w:rsidRPr="00990D3B" w:rsidP="0026008B" w14:paraId="1E75F2AE" w14:textId="51756C01">
            <w:pPr>
              <w:pStyle w:val="TableHeaderCenter"/>
            </w:pPr>
            <w:r w:rsidRPr="00990D3B">
              <w:t>C</w:t>
            </w:r>
            <w:r w:rsidRPr="00990D3B">
              <w:t>omments</w:t>
            </w:r>
          </w:p>
        </w:tc>
      </w:tr>
      <w:tr w14:paraId="46055FC5" w14:textId="77777777" w:rsidTr="00FA3731">
        <w:tblPrEx>
          <w:tblW w:w="5000" w:type="pct"/>
          <w:tblLook w:val="04A0"/>
        </w:tblPrEx>
        <w:trPr>
          <w:trHeight w:val="89"/>
        </w:trPr>
        <w:tc>
          <w:tcPr>
            <w:tcW w:w="9350" w:type="dxa"/>
            <w:gridSpan w:val="4"/>
            <w:shd w:val="clear" w:color="auto" w:fill="D9D9D9"/>
          </w:tcPr>
          <w:p w:rsidR="000D2285" w:rsidRPr="00990D3B" w:rsidP="0026008B" w14:paraId="46DA769E" w14:textId="28BB1ABC">
            <w:pPr>
              <w:pStyle w:val="TableRowHead"/>
            </w:pPr>
            <w:r w:rsidRPr="00990D3B">
              <w:t xml:space="preserve">MCP: </w:t>
            </w:r>
          </w:p>
        </w:tc>
      </w:tr>
      <w:tr w14:paraId="114B73CF" w14:textId="77777777" w:rsidTr="00FA3731">
        <w:tblPrEx>
          <w:tblW w:w="5000" w:type="pct"/>
          <w:tblLook w:val="04A0"/>
        </w:tblPrEx>
        <w:trPr>
          <w:trHeight w:val="530"/>
        </w:trPr>
        <w:tc>
          <w:tcPr>
            <w:tcW w:w="1883" w:type="dxa"/>
          </w:tcPr>
          <w:p w:rsidR="000D2285" w:rsidRPr="00990D3B" w:rsidP="00940889" w14:paraId="3D19D487" w14:textId="5118E969">
            <w:pPr>
              <w:pStyle w:val="TableTextLeft"/>
            </w:pPr>
            <w:r w:rsidRPr="00990D3B">
              <w:t xml:space="preserve">High confidence </w:t>
            </w:r>
          </w:p>
        </w:tc>
        <w:tc>
          <w:tcPr>
            <w:tcW w:w="1934" w:type="dxa"/>
          </w:tcPr>
          <w:p w:rsidR="000D2285" w:rsidRPr="00990D3B" w:rsidP="00BD1FC3" w14:paraId="22FB1A9C" w14:textId="77777777">
            <w:pPr>
              <w:keepNext/>
              <w:spacing w:line="240" w:lineRule="auto"/>
              <w:rPr>
                <w:rFonts w:asciiTheme="majorHAnsi" w:hAnsiTheme="majorHAnsi" w:cstheme="majorHAnsi"/>
                <w:i/>
                <w:iCs/>
                <w:sz w:val="18"/>
                <w:szCs w:val="18"/>
              </w:rPr>
            </w:pPr>
          </w:p>
        </w:tc>
        <w:tc>
          <w:tcPr>
            <w:tcW w:w="2540" w:type="dxa"/>
          </w:tcPr>
          <w:p w:rsidR="000D2285" w:rsidRPr="00990D3B" w:rsidP="00BD1FC3" w14:paraId="202F2E20" w14:textId="77777777">
            <w:pPr>
              <w:keepNext/>
              <w:rPr>
                <w:rFonts w:asciiTheme="majorHAnsi" w:hAnsiTheme="majorHAnsi" w:cstheme="majorHAnsi"/>
                <w:i/>
                <w:iCs/>
                <w:sz w:val="18"/>
                <w:szCs w:val="18"/>
              </w:rPr>
            </w:pPr>
          </w:p>
        </w:tc>
        <w:tc>
          <w:tcPr>
            <w:tcW w:w="2993" w:type="dxa"/>
          </w:tcPr>
          <w:p w:rsidR="000D2285" w:rsidRPr="00990D3B" w:rsidP="00BD1FC3" w14:paraId="163884CD" w14:textId="0F649184">
            <w:pPr>
              <w:keepNext/>
              <w:rPr>
                <w:rFonts w:asciiTheme="majorHAnsi" w:hAnsiTheme="majorHAnsi" w:cstheme="majorHAnsi"/>
                <w:i/>
                <w:iCs/>
                <w:sz w:val="18"/>
                <w:szCs w:val="18"/>
              </w:rPr>
            </w:pPr>
          </w:p>
        </w:tc>
      </w:tr>
      <w:tr w14:paraId="4E00664E" w14:textId="77777777" w:rsidTr="00FA3731">
        <w:tblPrEx>
          <w:tblW w:w="5000" w:type="pct"/>
          <w:tblLook w:val="04A0"/>
        </w:tblPrEx>
        <w:trPr>
          <w:trHeight w:val="530"/>
        </w:trPr>
        <w:tc>
          <w:tcPr>
            <w:tcW w:w="1883" w:type="dxa"/>
          </w:tcPr>
          <w:p w:rsidR="000D2285" w:rsidRPr="00990D3B" w:rsidP="00940889" w14:paraId="5737D046" w14:textId="21B187DD">
            <w:pPr>
              <w:pStyle w:val="TableTextLeft"/>
              <w:rPr>
                <w:i/>
                <w:iCs/>
              </w:rPr>
            </w:pPr>
            <w:r w:rsidRPr="00990D3B">
              <w:t>Moderate confidence</w:t>
            </w:r>
          </w:p>
        </w:tc>
        <w:tc>
          <w:tcPr>
            <w:tcW w:w="1934" w:type="dxa"/>
          </w:tcPr>
          <w:p w:rsidR="000D2285" w:rsidRPr="00990D3B" w:rsidP="00BD1FC3" w14:paraId="47E3FEFD" w14:textId="328BF14D">
            <w:pPr>
              <w:spacing w:line="240" w:lineRule="auto"/>
              <w:contextualSpacing/>
              <w:rPr>
                <w:rFonts w:asciiTheme="majorHAnsi" w:hAnsiTheme="majorHAnsi" w:cstheme="majorHAnsi"/>
                <w:i/>
                <w:iCs/>
                <w:sz w:val="18"/>
                <w:szCs w:val="18"/>
              </w:rPr>
            </w:pPr>
          </w:p>
        </w:tc>
        <w:tc>
          <w:tcPr>
            <w:tcW w:w="2540" w:type="dxa"/>
          </w:tcPr>
          <w:p w:rsidR="000D2285" w:rsidRPr="00990D3B" w:rsidP="00BD1FC3" w14:paraId="78ADF0EE" w14:textId="77777777">
            <w:pPr>
              <w:rPr>
                <w:rFonts w:asciiTheme="majorHAnsi" w:hAnsiTheme="majorHAnsi" w:cstheme="majorHAnsi"/>
                <w:i/>
                <w:iCs/>
                <w:sz w:val="18"/>
                <w:szCs w:val="18"/>
              </w:rPr>
            </w:pPr>
          </w:p>
        </w:tc>
        <w:tc>
          <w:tcPr>
            <w:tcW w:w="2993" w:type="dxa"/>
          </w:tcPr>
          <w:p w:rsidR="000D2285" w:rsidRPr="00990D3B" w:rsidP="00BD1FC3" w14:paraId="10BA1691" w14:textId="4D094BCE">
            <w:pPr>
              <w:rPr>
                <w:rFonts w:asciiTheme="majorHAnsi" w:hAnsiTheme="majorHAnsi" w:cstheme="majorHAnsi"/>
                <w:i/>
                <w:iCs/>
                <w:sz w:val="18"/>
                <w:szCs w:val="18"/>
              </w:rPr>
            </w:pPr>
          </w:p>
        </w:tc>
      </w:tr>
      <w:tr w14:paraId="358EBB25" w14:textId="77777777" w:rsidTr="00FA3731">
        <w:tblPrEx>
          <w:tblW w:w="5000" w:type="pct"/>
          <w:tblLook w:val="04A0"/>
        </w:tblPrEx>
        <w:trPr>
          <w:trHeight w:val="50"/>
        </w:trPr>
        <w:tc>
          <w:tcPr>
            <w:tcW w:w="1883" w:type="dxa"/>
          </w:tcPr>
          <w:p w:rsidR="000D2285" w:rsidRPr="00990D3B" w:rsidP="00940889" w14:paraId="0061AFEE" w14:textId="45B64EDB">
            <w:pPr>
              <w:pStyle w:val="TableTextLeft"/>
              <w:rPr>
                <w:i/>
                <w:iCs/>
              </w:rPr>
            </w:pPr>
            <w:r w:rsidRPr="00990D3B">
              <w:t>Low confidence</w:t>
            </w:r>
          </w:p>
        </w:tc>
        <w:tc>
          <w:tcPr>
            <w:tcW w:w="1934" w:type="dxa"/>
          </w:tcPr>
          <w:p w:rsidR="000D2285" w:rsidRPr="00990D3B" w:rsidP="00BD1FC3" w14:paraId="3EA6FF06" w14:textId="224856B7">
            <w:pPr>
              <w:rPr>
                <w:rFonts w:asciiTheme="majorHAnsi" w:hAnsiTheme="majorHAnsi" w:cstheme="majorHAnsi"/>
                <w:i/>
                <w:iCs/>
                <w:sz w:val="18"/>
                <w:szCs w:val="18"/>
              </w:rPr>
            </w:pPr>
          </w:p>
        </w:tc>
        <w:tc>
          <w:tcPr>
            <w:tcW w:w="2540" w:type="dxa"/>
          </w:tcPr>
          <w:p w:rsidR="000D2285" w:rsidRPr="00990D3B" w:rsidP="00BD1FC3" w14:paraId="6C98828B" w14:textId="77777777">
            <w:pPr>
              <w:rPr>
                <w:rFonts w:asciiTheme="majorHAnsi" w:hAnsiTheme="majorHAnsi" w:cstheme="majorHAnsi"/>
                <w:i/>
                <w:iCs/>
                <w:sz w:val="18"/>
                <w:szCs w:val="18"/>
              </w:rPr>
            </w:pPr>
          </w:p>
        </w:tc>
        <w:tc>
          <w:tcPr>
            <w:tcW w:w="2993" w:type="dxa"/>
          </w:tcPr>
          <w:p w:rsidR="000D2285" w:rsidRPr="00990D3B" w:rsidP="00BD1FC3" w14:paraId="2792608D" w14:textId="4400C529">
            <w:pPr>
              <w:rPr>
                <w:rFonts w:asciiTheme="majorHAnsi" w:hAnsiTheme="majorHAnsi" w:cstheme="majorHAnsi"/>
                <w:i/>
                <w:iCs/>
                <w:sz w:val="18"/>
                <w:szCs w:val="18"/>
              </w:rPr>
            </w:pPr>
          </w:p>
        </w:tc>
      </w:tr>
      <w:tr w14:paraId="3FEC5072" w14:textId="77777777" w:rsidTr="00FA3731">
        <w:tblPrEx>
          <w:tblW w:w="5000" w:type="pct"/>
          <w:tblLook w:val="04A0"/>
        </w:tblPrEx>
        <w:trPr>
          <w:trHeight w:val="217"/>
        </w:trPr>
        <w:tc>
          <w:tcPr>
            <w:tcW w:w="1883" w:type="dxa"/>
          </w:tcPr>
          <w:p w:rsidR="000D2285" w:rsidRPr="00990D3B" w:rsidP="00940889" w14:paraId="5D4B4EF2" w14:textId="08102C65">
            <w:pPr>
              <w:pStyle w:val="TableTextLeft"/>
            </w:pPr>
            <w:r w:rsidRPr="00990D3B">
              <w:t xml:space="preserve">No confidence </w:t>
            </w:r>
          </w:p>
        </w:tc>
        <w:tc>
          <w:tcPr>
            <w:tcW w:w="1934" w:type="dxa"/>
          </w:tcPr>
          <w:p w:rsidR="000D2285" w:rsidRPr="00990D3B" w:rsidP="00BD1FC3" w14:paraId="2D207EB2" w14:textId="77777777">
            <w:pPr>
              <w:rPr>
                <w:rFonts w:asciiTheme="majorHAnsi" w:hAnsiTheme="majorHAnsi" w:cstheme="majorHAnsi"/>
                <w:i/>
                <w:iCs/>
                <w:sz w:val="18"/>
                <w:szCs w:val="18"/>
              </w:rPr>
            </w:pPr>
          </w:p>
        </w:tc>
        <w:tc>
          <w:tcPr>
            <w:tcW w:w="2540" w:type="dxa"/>
          </w:tcPr>
          <w:p w:rsidR="000D2285" w:rsidRPr="00990D3B" w:rsidP="00BD1FC3" w14:paraId="549666E0" w14:textId="77777777">
            <w:pPr>
              <w:rPr>
                <w:rFonts w:asciiTheme="majorHAnsi" w:hAnsiTheme="majorHAnsi" w:cstheme="majorHAnsi"/>
                <w:i/>
                <w:iCs/>
                <w:sz w:val="18"/>
                <w:szCs w:val="18"/>
              </w:rPr>
            </w:pPr>
          </w:p>
        </w:tc>
        <w:tc>
          <w:tcPr>
            <w:tcW w:w="2993" w:type="dxa"/>
          </w:tcPr>
          <w:p w:rsidR="000D2285" w:rsidRPr="00990D3B" w:rsidP="00BD1FC3" w14:paraId="52A931E7" w14:textId="31D507BB">
            <w:pPr>
              <w:rPr>
                <w:rFonts w:asciiTheme="majorHAnsi" w:hAnsiTheme="majorHAnsi" w:cstheme="majorHAnsi"/>
                <w:i/>
                <w:iCs/>
                <w:sz w:val="18"/>
                <w:szCs w:val="18"/>
              </w:rPr>
            </w:pPr>
          </w:p>
        </w:tc>
      </w:tr>
      <w:tr w14:paraId="1A7D2704" w14:textId="77777777" w:rsidTr="00FA3731">
        <w:tblPrEx>
          <w:tblW w:w="5000" w:type="pct"/>
          <w:tblLook w:val="04A0"/>
        </w:tblPrEx>
        <w:trPr>
          <w:trHeight w:val="231"/>
        </w:trPr>
        <w:tc>
          <w:tcPr>
            <w:tcW w:w="9350" w:type="dxa"/>
            <w:gridSpan w:val="4"/>
            <w:shd w:val="clear" w:color="auto" w:fill="D9D9D9"/>
          </w:tcPr>
          <w:p w:rsidR="000D2285" w:rsidRPr="00990D3B" w:rsidP="00940889" w14:paraId="3FAE3D94" w14:textId="28F58654">
            <w:pPr>
              <w:pStyle w:val="TableRowHead"/>
            </w:pPr>
            <w:r w:rsidRPr="00990D3B">
              <w:t>MCP:</w:t>
            </w:r>
          </w:p>
        </w:tc>
      </w:tr>
      <w:tr w14:paraId="378BAB03" w14:textId="77777777" w:rsidTr="00FA3731">
        <w:tblPrEx>
          <w:tblW w:w="5000" w:type="pct"/>
          <w:tblLook w:val="04A0"/>
        </w:tblPrEx>
        <w:trPr>
          <w:trHeight w:val="217"/>
        </w:trPr>
        <w:tc>
          <w:tcPr>
            <w:tcW w:w="1883" w:type="dxa"/>
          </w:tcPr>
          <w:p w:rsidR="000D2285" w:rsidRPr="00990D3B" w:rsidP="00940889" w14:paraId="4E4E8C89" w14:textId="58C5243E">
            <w:pPr>
              <w:pStyle w:val="TableTextLeft"/>
              <w:rPr>
                <w:i/>
                <w:iCs/>
              </w:rPr>
            </w:pPr>
            <w:r w:rsidRPr="00990D3B">
              <w:t xml:space="preserve">High confidence </w:t>
            </w:r>
          </w:p>
        </w:tc>
        <w:tc>
          <w:tcPr>
            <w:tcW w:w="1934" w:type="dxa"/>
          </w:tcPr>
          <w:p w:rsidR="000D2285" w:rsidRPr="00990D3B" w:rsidP="00BD1FC3" w14:paraId="36723392" w14:textId="1E0C3DE9">
            <w:pPr>
              <w:rPr>
                <w:rFonts w:asciiTheme="majorHAnsi" w:hAnsiTheme="majorHAnsi" w:cstheme="majorHAnsi"/>
                <w:i/>
                <w:iCs/>
                <w:sz w:val="18"/>
                <w:szCs w:val="18"/>
              </w:rPr>
            </w:pPr>
          </w:p>
        </w:tc>
        <w:tc>
          <w:tcPr>
            <w:tcW w:w="2540" w:type="dxa"/>
          </w:tcPr>
          <w:p w:rsidR="000D2285" w:rsidRPr="00990D3B" w:rsidP="00BD1FC3" w14:paraId="272B6529" w14:textId="77777777">
            <w:pPr>
              <w:rPr>
                <w:rFonts w:asciiTheme="majorHAnsi" w:hAnsiTheme="majorHAnsi" w:cstheme="majorHAnsi"/>
                <w:i/>
                <w:iCs/>
                <w:sz w:val="18"/>
                <w:szCs w:val="18"/>
              </w:rPr>
            </w:pPr>
          </w:p>
        </w:tc>
        <w:tc>
          <w:tcPr>
            <w:tcW w:w="2993" w:type="dxa"/>
          </w:tcPr>
          <w:p w:rsidR="000D2285" w:rsidRPr="00990D3B" w:rsidP="00BD1FC3" w14:paraId="56312CAC" w14:textId="1E39B6ED">
            <w:pPr>
              <w:rPr>
                <w:rFonts w:asciiTheme="majorHAnsi" w:hAnsiTheme="majorHAnsi" w:cstheme="majorHAnsi"/>
                <w:i/>
                <w:iCs/>
                <w:sz w:val="18"/>
                <w:szCs w:val="18"/>
              </w:rPr>
            </w:pPr>
          </w:p>
        </w:tc>
      </w:tr>
      <w:tr w14:paraId="343937C9" w14:textId="77777777" w:rsidTr="00FA3731">
        <w:tblPrEx>
          <w:tblW w:w="5000" w:type="pct"/>
          <w:tblLook w:val="04A0"/>
        </w:tblPrEx>
        <w:trPr>
          <w:trHeight w:val="231"/>
        </w:trPr>
        <w:tc>
          <w:tcPr>
            <w:tcW w:w="1883" w:type="dxa"/>
          </w:tcPr>
          <w:p w:rsidR="000D2285" w:rsidRPr="00990D3B" w:rsidP="00940889" w14:paraId="042C547B" w14:textId="3D292C6C">
            <w:pPr>
              <w:pStyle w:val="TableTextLeft"/>
            </w:pPr>
            <w:r w:rsidRPr="00990D3B">
              <w:t>Moderate confidence</w:t>
            </w:r>
          </w:p>
        </w:tc>
        <w:tc>
          <w:tcPr>
            <w:tcW w:w="1934" w:type="dxa"/>
          </w:tcPr>
          <w:p w:rsidR="000D2285" w:rsidRPr="00990D3B" w:rsidP="00BD1FC3" w14:paraId="33B1A39D" w14:textId="0F1A7DC3">
            <w:pPr>
              <w:rPr>
                <w:rFonts w:asciiTheme="majorHAnsi" w:hAnsiTheme="majorHAnsi" w:cstheme="majorHAnsi"/>
                <w:sz w:val="18"/>
                <w:szCs w:val="18"/>
              </w:rPr>
            </w:pPr>
          </w:p>
        </w:tc>
        <w:tc>
          <w:tcPr>
            <w:tcW w:w="2540" w:type="dxa"/>
          </w:tcPr>
          <w:p w:rsidR="000D2285" w:rsidRPr="00990D3B" w:rsidP="00BD1FC3" w14:paraId="65EB4D8C" w14:textId="77777777">
            <w:pPr>
              <w:rPr>
                <w:rFonts w:asciiTheme="majorHAnsi" w:hAnsiTheme="majorHAnsi" w:cstheme="majorHAnsi"/>
                <w:sz w:val="18"/>
                <w:szCs w:val="18"/>
              </w:rPr>
            </w:pPr>
          </w:p>
        </w:tc>
        <w:tc>
          <w:tcPr>
            <w:tcW w:w="2993" w:type="dxa"/>
          </w:tcPr>
          <w:p w:rsidR="000D2285" w:rsidRPr="00990D3B" w:rsidP="00BD1FC3" w14:paraId="40DE88F7" w14:textId="46D49F2D">
            <w:pPr>
              <w:rPr>
                <w:rFonts w:asciiTheme="majorHAnsi" w:hAnsiTheme="majorHAnsi" w:cstheme="majorHAnsi"/>
                <w:sz w:val="18"/>
                <w:szCs w:val="18"/>
              </w:rPr>
            </w:pPr>
          </w:p>
        </w:tc>
      </w:tr>
      <w:tr w14:paraId="56319E5E" w14:textId="77777777" w:rsidTr="00FA3731">
        <w:tblPrEx>
          <w:tblW w:w="5000" w:type="pct"/>
          <w:tblLook w:val="04A0"/>
        </w:tblPrEx>
        <w:trPr>
          <w:trHeight w:val="231"/>
        </w:trPr>
        <w:tc>
          <w:tcPr>
            <w:tcW w:w="1883" w:type="dxa"/>
          </w:tcPr>
          <w:p w:rsidR="000D2285" w:rsidRPr="00990D3B" w:rsidP="00940889" w14:paraId="2F940E56" w14:textId="01F4A291">
            <w:pPr>
              <w:pStyle w:val="TableTextLeft"/>
            </w:pPr>
            <w:r w:rsidRPr="00990D3B">
              <w:t>Low confidence</w:t>
            </w:r>
          </w:p>
        </w:tc>
        <w:tc>
          <w:tcPr>
            <w:tcW w:w="1934" w:type="dxa"/>
          </w:tcPr>
          <w:p w:rsidR="000D2285" w:rsidRPr="00990D3B" w:rsidP="00BD1FC3" w14:paraId="5DF6C093" w14:textId="77777777">
            <w:pPr>
              <w:spacing w:line="240" w:lineRule="auto"/>
              <w:contextualSpacing/>
              <w:rPr>
                <w:rFonts w:asciiTheme="majorHAnsi" w:hAnsiTheme="majorHAnsi" w:cstheme="majorHAnsi"/>
                <w:i/>
                <w:iCs/>
                <w:sz w:val="18"/>
                <w:szCs w:val="18"/>
              </w:rPr>
            </w:pPr>
          </w:p>
        </w:tc>
        <w:tc>
          <w:tcPr>
            <w:tcW w:w="2540" w:type="dxa"/>
          </w:tcPr>
          <w:p w:rsidR="000D2285" w:rsidRPr="00990D3B" w:rsidP="00BD1FC3" w14:paraId="30B24D76" w14:textId="77777777">
            <w:pPr>
              <w:rPr>
                <w:rFonts w:asciiTheme="majorHAnsi" w:hAnsiTheme="majorHAnsi" w:cstheme="majorHAnsi"/>
                <w:i/>
                <w:iCs/>
                <w:sz w:val="18"/>
                <w:szCs w:val="18"/>
              </w:rPr>
            </w:pPr>
          </w:p>
        </w:tc>
        <w:tc>
          <w:tcPr>
            <w:tcW w:w="2993" w:type="dxa"/>
          </w:tcPr>
          <w:p w:rsidR="000D2285" w:rsidRPr="00990D3B" w:rsidP="00BD1FC3" w14:paraId="5E469E3E" w14:textId="0F0AE9A6">
            <w:pPr>
              <w:rPr>
                <w:rFonts w:asciiTheme="majorHAnsi" w:hAnsiTheme="majorHAnsi" w:cstheme="majorHAnsi"/>
                <w:i/>
                <w:iCs/>
                <w:sz w:val="18"/>
                <w:szCs w:val="18"/>
              </w:rPr>
            </w:pPr>
          </w:p>
        </w:tc>
      </w:tr>
      <w:tr w14:paraId="024F576E" w14:textId="77777777" w:rsidTr="00FA3731">
        <w:tblPrEx>
          <w:tblW w:w="5000" w:type="pct"/>
          <w:tblLook w:val="04A0"/>
        </w:tblPrEx>
        <w:trPr>
          <w:trHeight w:val="231"/>
        </w:trPr>
        <w:tc>
          <w:tcPr>
            <w:tcW w:w="1883" w:type="dxa"/>
          </w:tcPr>
          <w:p w:rsidR="000D2285" w:rsidRPr="00990D3B" w:rsidP="00940889" w14:paraId="3D4C63F5" w14:textId="210D3F3D">
            <w:pPr>
              <w:pStyle w:val="TableTextLeft"/>
            </w:pPr>
            <w:r w:rsidRPr="00990D3B">
              <w:t xml:space="preserve">No confidence </w:t>
            </w:r>
          </w:p>
        </w:tc>
        <w:tc>
          <w:tcPr>
            <w:tcW w:w="1934" w:type="dxa"/>
          </w:tcPr>
          <w:p w:rsidR="000D2285" w:rsidRPr="00990D3B" w:rsidP="00BD1FC3" w14:paraId="36A37350" w14:textId="77777777">
            <w:pPr>
              <w:spacing w:line="240" w:lineRule="auto"/>
              <w:contextualSpacing/>
              <w:rPr>
                <w:rFonts w:asciiTheme="majorHAnsi" w:hAnsiTheme="majorHAnsi" w:cstheme="majorHAnsi"/>
                <w:i/>
                <w:iCs/>
                <w:sz w:val="18"/>
                <w:szCs w:val="18"/>
              </w:rPr>
            </w:pPr>
          </w:p>
        </w:tc>
        <w:tc>
          <w:tcPr>
            <w:tcW w:w="2540" w:type="dxa"/>
          </w:tcPr>
          <w:p w:rsidR="000D2285" w:rsidRPr="00990D3B" w:rsidP="00BD1FC3" w14:paraId="4ED0F3BA" w14:textId="77777777">
            <w:pPr>
              <w:rPr>
                <w:rFonts w:asciiTheme="majorHAnsi" w:hAnsiTheme="majorHAnsi" w:cstheme="majorHAnsi"/>
                <w:i/>
                <w:iCs/>
                <w:sz w:val="18"/>
                <w:szCs w:val="18"/>
              </w:rPr>
            </w:pPr>
          </w:p>
        </w:tc>
        <w:tc>
          <w:tcPr>
            <w:tcW w:w="2993" w:type="dxa"/>
          </w:tcPr>
          <w:p w:rsidR="000D2285" w:rsidRPr="00990D3B" w:rsidP="00BD1FC3" w14:paraId="378B9E94" w14:textId="43527EA2">
            <w:pPr>
              <w:rPr>
                <w:rFonts w:asciiTheme="majorHAnsi" w:hAnsiTheme="majorHAnsi" w:cstheme="majorHAnsi"/>
                <w:i/>
                <w:iCs/>
                <w:sz w:val="18"/>
                <w:szCs w:val="18"/>
              </w:rPr>
            </w:pPr>
          </w:p>
        </w:tc>
      </w:tr>
    </w:tbl>
    <w:p w:rsidR="004C1250" w:rsidRPr="00990D3B" w:rsidP="002B40CC" w14:paraId="76CDC6F5" w14:textId="52C48E24">
      <w:pPr>
        <w:pStyle w:val="H2EQRWorksheet"/>
      </w:pPr>
      <w:r w:rsidRPr="00990D3B">
        <w:t>Performance Measure Validation Rating Definitions</w:t>
      </w:r>
    </w:p>
    <w:tbl>
      <w:tblPr>
        <w:tblStyle w:val="TableGrid"/>
        <w:tblW w:w="5051" w:type="pct"/>
        <w:tblLook w:val="04A0"/>
      </w:tblPr>
      <w:tblGrid>
        <w:gridCol w:w="3482"/>
        <w:gridCol w:w="9600"/>
      </w:tblGrid>
      <w:tr w14:paraId="1E6B3946" w14:textId="77777777" w:rsidTr="00BD1FC3">
        <w:tblPrEx>
          <w:tblW w:w="5051" w:type="pct"/>
          <w:tblLook w:val="04A0"/>
        </w:tblPrEx>
        <w:tc>
          <w:tcPr>
            <w:tcW w:w="1331" w:type="pct"/>
          </w:tcPr>
          <w:p w:rsidR="004C1250" w:rsidRPr="00990D3B" w:rsidP="00BD443A" w14:paraId="72021971" w14:textId="5ABEADD3">
            <w:pPr>
              <w:pStyle w:val="TableHeaderLeft"/>
            </w:pPr>
            <w:r w:rsidRPr="00990D3B">
              <w:t xml:space="preserve">Validation </w:t>
            </w:r>
            <w:r w:rsidRPr="00990D3B" w:rsidR="0039233D">
              <w:t>r</w:t>
            </w:r>
            <w:r w:rsidRPr="00990D3B">
              <w:t xml:space="preserve">ating </w:t>
            </w:r>
          </w:p>
        </w:tc>
        <w:tc>
          <w:tcPr>
            <w:tcW w:w="3669" w:type="pct"/>
            <w:vAlign w:val="bottom"/>
          </w:tcPr>
          <w:p w:rsidR="004C1250" w:rsidRPr="00990D3B" w:rsidP="00BD443A" w14:paraId="55970A19" w14:textId="77777777">
            <w:pPr>
              <w:pStyle w:val="TableHeaderCenter"/>
            </w:pPr>
            <w:r w:rsidRPr="00990D3B">
              <w:t>Description</w:t>
            </w:r>
          </w:p>
        </w:tc>
      </w:tr>
      <w:tr w14:paraId="0C42DDC1" w14:textId="77777777" w:rsidTr="00BD1FC3">
        <w:tblPrEx>
          <w:tblW w:w="5051" w:type="pct"/>
          <w:tblLook w:val="04A0"/>
        </w:tblPrEx>
        <w:tc>
          <w:tcPr>
            <w:tcW w:w="1331" w:type="pct"/>
          </w:tcPr>
          <w:p w:rsidR="004C1250" w:rsidRPr="00990D3B" w:rsidP="00940889" w14:paraId="12810441" w14:textId="3DA5A6F6">
            <w:pPr>
              <w:pStyle w:val="TableTextLeft"/>
            </w:pPr>
          </w:p>
        </w:tc>
        <w:tc>
          <w:tcPr>
            <w:tcW w:w="3669" w:type="pct"/>
          </w:tcPr>
          <w:p w:rsidR="004C1250" w:rsidRPr="00990D3B" w:rsidP="00BD1FC3" w14:paraId="7A8CF293" w14:textId="78D74D74">
            <w:pPr>
              <w:rPr>
                <w:rFonts w:ascii="Arial" w:hAnsi="Arial" w:cs="Arial"/>
                <w:i/>
                <w:iCs/>
                <w:sz w:val="18"/>
                <w:szCs w:val="18"/>
              </w:rPr>
            </w:pPr>
          </w:p>
        </w:tc>
      </w:tr>
      <w:tr w14:paraId="398BD9D4" w14:textId="77777777" w:rsidTr="00BD1FC3">
        <w:tblPrEx>
          <w:tblW w:w="5051" w:type="pct"/>
          <w:tblLook w:val="04A0"/>
        </w:tblPrEx>
        <w:tc>
          <w:tcPr>
            <w:tcW w:w="1331" w:type="pct"/>
          </w:tcPr>
          <w:p w:rsidR="004C1250" w:rsidRPr="00990D3B" w:rsidP="00940889" w14:paraId="7C41DB66" w14:textId="77777777">
            <w:pPr>
              <w:pStyle w:val="TableTextLeft"/>
            </w:pPr>
          </w:p>
        </w:tc>
        <w:tc>
          <w:tcPr>
            <w:tcW w:w="3669" w:type="pct"/>
          </w:tcPr>
          <w:p w:rsidR="004C1250" w:rsidRPr="00990D3B" w:rsidP="00BD1FC3" w14:paraId="058AD14B" w14:textId="77777777">
            <w:pPr>
              <w:rPr>
                <w:rFonts w:ascii="Arial" w:hAnsi="Arial" w:cs="Arial"/>
                <w:i/>
                <w:iCs/>
                <w:sz w:val="18"/>
                <w:szCs w:val="18"/>
              </w:rPr>
            </w:pPr>
          </w:p>
        </w:tc>
      </w:tr>
      <w:tr w14:paraId="7B1BCDAB" w14:textId="77777777" w:rsidTr="00BD1FC3">
        <w:tblPrEx>
          <w:tblW w:w="5051" w:type="pct"/>
          <w:tblLook w:val="04A0"/>
        </w:tblPrEx>
        <w:tc>
          <w:tcPr>
            <w:tcW w:w="1331" w:type="pct"/>
          </w:tcPr>
          <w:p w:rsidR="004C1250" w:rsidRPr="00990D3B" w:rsidP="00940889" w14:paraId="45305A9B" w14:textId="77777777">
            <w:pPr>
              <w:pStyle w:val="TableTextLeft"/>
            </w:pPr>
          </w:p>
        </w:tc>
        <w:tc>
          <w:tcPr>
            <w:tcW w:w="3669" w:type="pct"/>
          </w:tcPr>
          <w:p w:rsidR="004C1250" w:rsidRPr="00990D3B" w:rsidP="00BD1FC3" w14:paraId="6B10B5D0" w14:textId="77777777">
            <w:pPr>
              <w:rPr>
                <w:rFonts w:ascii="Arial" w:hAnsi="Arial" w:cs="Arial"/>
                <w:i/>
                <w:iCs/>
                <w:sz w:val="18"/>
                <w:szCs w:val="18"/>
              </w:rPr>
            </w:pPr>
          </w:p>
        </w:tc>
      </w:tr>
      <w:tr w14:paraId="7E0F129C" w14:textId="77777777" w:rsidTr="00BD1FC3">
        <w:tblPrEx>
          <w:tblW w:w="5051" w:type="pct"/>
          <w:tblLook w:val="04A0"/>
        </w:tblPrEx>
        <w:tc>
          <w:tcPr>
            <w:tcW w:w="1331" w:type="pct"/>
          </w:tcPr>
          <w:p w:rsidR="004C1250" w:rsidRPr="00990D3B" w:rsidP="00940889" w14:paraId="281727F5" w14:textId="77777777">
            <w:pPr>
              <w:pStyle w:val="TableTextLeft"/>
            </w:pPr>
          </w:p>
        </w:tc>
        <w:tc>
          <w:tcPr>
            <w:tcW w:w="3669" w:type="pct"/>
          </w:tcPr>
          <w:p w:rsidR="004C1250" w:rsidRPr="00990D3B" w:rsidP="00BD1FC3" w14:paraId="1B649E06" w14:textId="77777777">
            <w:pPr>
              <w:rPr>
                <w:rFonts w:ascii="Arial" w:hAnsi="Arial" w:cs="Arial"/>
                <w:i/>
                <w:iCs/>
                <w:sz w:val="18"/>
                <w:szCs w:val="18"/>
              </w:rPr>
            </w:pPr>
          </w:p>
        </w:tc>
      </w:tr>
    </w:tbl>
    <w:p w:rsidR="007A143A" w:rsidRPr="00990D3B" w:rsidP="009D31CB" w14:paraId="1CE3DFA3" w14:textId="77777777">
      <w:pPr>
        <w:pStyle w:val="NoSpacing"/>
      </w:pPr>
    </w:p>
    <w:p w:rsidR="00DC44F3" w:rsidRPr="00990D3B" w:rsidP="002B40CC" w14:paraId="3240BB63" w14:textId="77777777">
      <w:pPr>
        <w:pStyle w:val="H2EQRWorksheet"/>
      </w:pPr>
      <w:r w:rsidRPr="00990D3B">
        <w:t>Template C</w:t>
      </w:r>
    </w:p>
    <w:p w:rsidR="00DC44F3" w:rsidRPr="00990D3B" w:rsidP="001C4F05" w14:paraId="78619B21" w14:textId="77777777">
      <w:pPr>
        <w:pStyle w:val="EQRWorksheet0"/>
      </w:pPr>
      <w:r w:rsidRPr="00990D3B">
        <w:t>For the EQR reporting cycle [add reporting cycle years], the EQRO validated measurement year [add year] data for MCP QAPI performance measures. All measures reported by MCPs in [insert name of managed care program] received an audit designation of [insert validation rating]. All MCPs [insert explanation for why rating as given].</w:t>
      </w:r>
    </w:p>
    <w:p w:rsidR="0042539E" w:rsidRPr="00990D3B" w:rsidP="00BD1FC3" w14:paraId="670972A8" w14:textId="77777777">
      <w:pPr>
        <w:spacing w:line="240" w:lineRule="auto"/>
        <w:sectPr w:rsidSect="0042539E">
          <w:pgSz w:w="15840" w:h="12240" w:orient="landscape" w:code="1"/>
          <w:pgMar w:top="1440" w:right="1440" w:bottom="1440" w:left="1440" w:header="720" w:footer="720" w:gutter="0"/>
          <w:cols w:space="720"/>
          <w:titlePg/>
          <w:docGrid w:linePitch="360"/>
        </w:sectPr>
      </w:pPr>
    </w:p>
    <w:p w:rsidR="000608D2" w:rsidRPr="00990D3B" w:rsidP="00BD1FC3" w14:paraId="72BB4F26" w14:textId="409672A5">
      <w:pPr>
        <w:pStyle w:val="EQRMarkforExhibitWORKSHEET"/>
      </w:pPr>
      <w:bookmarkStart w:id="338" w:name="_Toc201751510"/>
      <w:r w:rsidRPr="00990D3B">
        <w:t>Examples of Worksheet 2.15</w:t>
      </w:r>
      <w:r w:rsidRPr="00990D3B" w:rsidR="00DC44F3">
        <w:t xml:space="preserve"> Performance Measure Validation Reporting</w:t>
      </w:r>
      <w:bookmarkEnd w:id="338"/>
    </w:p>
    <w:p w:rsidR="0039233D" w:rsidRPr="00990D3B" w:rsidP="002B40CC" w14:paraId="63E69BC6" w14:textId="6E3A3997">
      <w:pPr>
        <w:pStyle w:val="H2EQRWorksheet"/>
      </w:pPr>
      <w:r w:rsidRPr="00990D3B">
        <w:t>Performance Measure Validation Findings</w:t>
      </w:r>
    </w:p>
    <w:p w:rsidR="00036C47" w:rsidRPr="00990D3B" w:rsidP="002B40CC" w14:paraId="78E40FAC" w14:textId="27AC2984">
      <w:pPr>
        <w:pStyle w:val="H2EQRWorksheet"/>
      </w:pPr>
      <w:r w:rsidRPr="00990D3B">
        <w:t>Template A</w:t>
      </w:r>
    </w:p>
    <w:tbl>
      <w:tblPr>
        <w:tblStyle w:val="TableGrid"/>
        <w:tblW w:w="5000" w:type="pct"/>
        <w:tblLook w:val="04A0"/>
      </w:tblPr>
      <w:tblGrid>
        <w:gridCol w:w="1758"/>
        <w:gridCol w:w="3151"/>
        <w:gridCol w:w="3717"/>
        <w:gridCol w:w="4324"/>
      </w:tblGrid>
      <w:tr w14:paraId="2973FECD" w14:textId="77777777" w:rsidTr="0042539E">
        <w:tblPrEx>
          <w:tblW w:w="5000" w:type="pct"/>
          <w:tblLook w:val="04A0"/>
        </w:tblPrEx>
        <w:trPr>
          <w:trHeight w:val="377"/>
        </w:trPr>
        <w:tc>
          <w:tcPr>
            <w:tcW w:w="1269" w:type="dxa"/>
            <w:vAlign w:val="bottom"/>
          </w:tcPr>
          <w:p w:rsidR="0039233D" w:rsidRPr="00990D3B" w:rsidP="0042539E" w14:paraId="603A3F74" w14:textId="14CAC5F8">
            <w:pPr>
              <w:pStyle w:val="EQRTableHeaderLeft"/>
              <w:rPr>
                <w:color w:val="auto"/>
              </w:rPr>
            </w:pPr>
            <w:r w:rsidRPr="00990D3B">
              <w:rPr>
                <w:color w:val="auto"/>
              </w:rPr>
              <w:t>MCP</w:t>
            </w:r>
          </w:p>
        </w:tc>
        <w:tc>
          <w:tcPr>
            <w:tcW w:w="2275" w:type="dxa"/>
            <w:vAlign w:val="bottom"/>
          </w:tcPr>
          <w:p w:rsidR="0039233D" w:rsidRPr="00990D3B" w:rsidP="0042539E" w14:paraId="35A13CA7" w14:textId="6571602C">
            <w:pPr>
              <w:pStyle w:val="EQRTableHeaderCenter"/>
              <w:rPr>
                <w:color w:val="auto"/>
              </w:rPr>
            </w:pPr>
            <w:r w:rsidRPr="00990D3B">
              <w:rPr>
                <w:color w:val="auto"/>
              </w:rPr>
              <w:t>Performance measure validation rating</w:t>
            </w:r>
          </w:p>
        </w:tc>
        <w:tc>
          <w:tcPr>
            <w:tcW w:w="2684" w:type="dxa"/>
            <w:vAlign w:val="bottom"/>
          </w:tcPr>
          <w:p w:rsidR="0039233D" w:rsidRPr="00990D3B" w:rsidP="0042539E" w14:paraId="05A0A1A5" w14:textId="531121D5">
            <w:pPr>
              <w:pStyle w:val="EQRTableHeaderCenter"/>
              <w:rPr>
                <w:color w:val="auto"/>
              </w:rPr>
            </w:pPr>
            <w:r w:rsidRPr="00990D3B">
              <w:rPr>
                <w:color w:val="auto"/>
              </w:rPr>
              <w:t>Recommendations</w:t>
            </w:r>
          </w:p>
        </w:tc>
        <w:tc>
          <w:tcPr>
            <w:tcW w:w="3122" w:type="dxa"/>
            <w:vAlign w:val="bottom"/>
          </w:tcPr>
          <w:p w:rsidR="0039233D" w:rsidRPr="00990D3B" w:rsidP="0042539E" w14:paraId="7E65FBA6" w14:textId="1FB3C9FF">
            <w:pPr>
              <w:pStyle w:val="EQRTableHeaderCenter"/>
              <w:rPr>
                <w:color w:val="auto"/>
              </w:rPr>
            </w:pPr>
            <w:r w:rsidRPr="00990D3B">
              <w:rPr>
                <w:color w:val="auto"/>
              </w:rPr>
              <w:t>Comments</w:t>
            </w:r>
          </w:p>
        </w:tc>
      </w:tr>
      <w:tr w14:paraId="5669C815" w14:textId="77777777" w:rsidTr="0042539E">
        <w:tblPrEx>
          <w:tblW w:w="5000" w:type="pct"/>
          <w:tblLook w:val="04A0"/>
        </w:tblPrEx>
        <w:tc>
          <w:tcPr>
            <w:tcW w:w="1269" w:type="dxa"/>
          </w:tcPr>
          <w:p w:rsidR="00036C47" w:rsidRPr="00990D3B" w:rsidP="001C4F05" w14:paraId="6202BCBC" w14:textId="241A6E86">
            <w:pPr>
              <w:pStyle w:val="EQRTableText"/>
            </w:pPr>
            <w:r w:rsidRPr="00990D3B">
              <w:t xml:space="preserve">Plan </w:t>
            </w:r>
            <w:r w:rsidRPr="00990D3B">
              <w:t>A</w:t>
            </w:r>
          </w:p>
        </w:tc>
        <w:tc>
          <w:tcPr>
            <w:tcW w:w="2275" w:type="dxa"/>
          </w:tcPr>
          <w:p w:rsidR="00036C47" w:rsidRPr="00990D3B" w:rsidP="001C4F05" w14:paraId="1E0F7654" w14:textId="1DBC0C9B">
            <w:pPr>
              <w:pStyle w:val="EQRTableText"/>
            </w:pPr>
            <w:r w:rsidRPr="00990D3B">
              <w:fldChar w:fldCharType="begin">
                <w:ffData>
                  <w:name w:val=""/>
                  <w:enabled/>
                  <w:calcOnExit w:val="0"/>
                  <w:checkBox>
                    <w:sizeAuto/>
                    <w:default w:val="1"/>
                  </w:checkBox>
                </w:ffData>
              </w:fldChar>
            </w:r>
            <w:r w:rsidRPr="00990D3B">
              <w:instrText xml:space="preserve"> FORMCHECKBOX </w:instrText>
            </w:r>
            <w:r w:rsidRPr="00990D3B">
              <w:fldChar w:fldCharType="separate"/>
            </w:r>
            <w:r w:rsidRPr="00990D3B">
              <w:fldChar w:fldCharType="end"/>
            </w:r>
            <w:r w:rsidRPr="00990D3B">
              <w:t xml:space="preserve"> High confidence</w:t>
            </w:r>
          </w:p>
          <w:p w:rsidR="00036C47" w:rsidRPr="00990D3B" w:rsidP="001C4F05" w14:paraId="523B3BEC" w14:textId="0A79D321">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rsidR="0004151B">
              <w:t xml:space="preserve"> </w:t>
            </w:r>
            <w:r w:rsidRPr="00990D3B">
              <w:t>Moderate confidence</w:t>
            </w:r>
          </w:p>
          <w:p w:rsidR="00036C47" w:rsidRPr="00990D3B" w:rsidP="001C4F05" w14:paraId="4576AA8B"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Low confidence</w:t>
            </w:r>
          </w:p>
          <w:p w:rsidR="00036C47" w:rsidRPr="00990D3B" w:rsidP="001C4F05" w14:paraId="74798038" w14:textId="77777777">
            <w:pPr>
              <w:pStyle w:val="EQRTableText"/>
              <w:rPr>
                <w:rFonts w:cs="Arial"/>
                <w:i/>
                <w:iCs/>
              </w:rPr>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 No confidence</w:t>
            </w:r>
          </w:p>
        </w:tc>
        <w:tc>
          <w:tcPr>
            <w:tcW w:w="2684" w:type="dxa"/>
          </w:tcPr>
          <w:p w:rsidR="00036C47" w:rsidRPr="00990D3B" w:rsidP="001C4F05" w14:paraId="7438C97E" w14:textId="24B2E089">
            <w:pPr>
              <w:pStyle w:val="EQRTableText"/>
            </w:pPr>
            <w:r w:rsidRPr="00990D3B">
              <w:t xml:space="preserve">Continue implementing and refining data quality assurance processes, including periodic internal audits and ongoing training for </w:t>
            </w:r>
            <w:r w:rsidRPr="00990D3B" w:rsidR="00F47181">
              <w:t>data analysis and reporting staff</w:t>
            </w:r>
            <w:r w:rsidRPr="00990D3B">
              <w:t xml:space="preserve">. </w:t>
            </w:r>
          </w:p>
        </w:tc>
        <w:tc>
          <w:tcPr>
            <w:tcW w:w="3122" w:type="dxa"/>
          </w:tcPr>
          <w:p w:rsidR="00036C47" w:rsidRPr="00990D3B" w:rsidP="001C4F05" w14:paraId="4196EF5E" w14:textId="1008EC70">
            <w:pPr>
              <w:pStyle w:val="EQRTableText"/>
            </w:pPr>
            <w:r w:rsidRPr="00990D3B">
              <w:t>MCP followed measure specifications, and all performance measures received audit designation ‘Reportable.’</w:t>
            </w:r>
          </w:p>
        </w:tc>
      </w:tr>
    </w:tbl>
    <w:p w:rsidR="00036C47" w:rsidRPr="00990D3B" w:rsidP="002B40CC" w14:paraId="3CF61006" w14:textId="3C1504D8">
      <w:pPr>
        <w:pStyle w:val="H2EQRWorksheet"/>
      </w:pPr>
      <w:r w:rsidRPr="00990D3B">
        <w:t xml:space="preserve">Template </w:t>
      </w:r>
      <w:r w:rsidRPr="00990D3B" w:rsidR="005546EB">
        <w:t>B</w:t>
      </w:r>
    </w:p>
    <w:tbl>
      <w:tblPr>
        <w:tblStyle w:val="TableGrid"/>
        <w:tblW w:w="5000" w:type="pct"/>
        <w:tblLook w:val="04A0"/>
      </w:tblPr>
      <w:tblGrid>
        <w:gridCol w:w="2609"/>
        <w:gridCol w:w="2619"/>
        <w:gridCol w:w="60"/>
        <w:gridCol w:w="3431"/>
        <w:gridCol w:w="87"/>
        <w:gridCol w:w="4144"/>
      </w:tblGrid>
      <w:tr w14:paraId="183E68C7" w14:textId="77777777" w:rsidTr="0042539E">
        <w:tblPrEx>
          <w:tblW w:w="5000" w:type="pct"/>
          <w:tblLook w:val="04A0"/>
        </w:tblPrEx>
        <w:trPr>
          <w:trHeight w:val="620"/>
          <w:tblHeader/>
        </w:trPr>
        <w:tc>
          <w:tcPr>
            <w:tcW w:w="1884" w:type="dxa"/>
            <w:vAlign w:val="bottom"/>
          </w:tcPr>
          <w:p w:rsidR="0039233D" w:rsidRPr="00990D3B" w:rsidP="0042539E" w14:paraId="46D1927E" w14:textId="4C4D04CF">
            <w:pPr>
              <w:pStyle w:val="EQRTableHeaderLeft"/>
              <w:rPr>
                <w:color w:val="auto"/>
                <w:sz w:val="17"/>
                <w:szCs w:val="17"/>
              </w:rPr>
            </w:pPr>
            <w:r w:rsidRPr="00990D3B">
              <w:rPr>
                <w:color w:val="auto"/>
              </w:rPr>
              <w:t>Performance measure validation rating</w:t>
            </w:r>
          </w:p>
        </w:tc>
        <w:tc>
          <w:tcPr>
            <w:tcW w:w="1934" w:type="dxa"/>
            <w:gridSpan w:val="2"/>
            <w:vAlign w:val="bottom"/>
          </w:tcPr>
          <w:p w:rsidR="0039233D" w:rsidRPr="00990D3B" w:rsidP="0042539E" w14:paraId="70EDBD38" w14:textId="402DB9A8">
            <w:pPr>
              <w:pStyle w:val="EQRTableHeaderCenter"/>
              <w:rPr>
                <w:color w:val="auto"/>
                <w:sz w:val="17"/>
                <w:szCs w:val="17"/>
              </w:rPr>
            </w:pPr>
            <w:r w:rsidRPr="00990D3B">
              <w:rPr>
                <w:color w:val="auto"/>
              </w:rPr>
              <w:t>Performance measure(s)</w:t>
            </w:r>
          </w:p>
        </w:tc>
        <w:tc>
          <w:tcPr>
            <w:tcW w:w="2540" w:type="dxa"/>
            <w:gridSpan w:val="2"/>
            <w:vAlign w:val="bottom"/>
          </w:tcPr>
          <w:p w:rsidR="0039233D" w:rsidRPr="00990D3B" w:rsidP="0042539E" w14:paraId="6B80F830" w14:textId="46A8EADA">
            <w:pPr>
              <w:pStyle w:val="EQRTableHeaderCenter"/>
              <w:rPr>
                <w:color w:val="auto"/>
                <w:sz w:val="17"/>
                <w:szCs w:val="17"/>
              </w:rPr>
            </w:pPr>
            <w:r w:rsidRPr="00990D3B">
              <w:rPr>
                <w:color w:val="auto"/>
              </w:rPr>
              <w:t>Recommendations</w:t>
            </w:r>
          </w:p>
        </w:tc>
        <w:tc>
          <w:tcPr>
            <w:tcW w:w="2992" w:type="dxa"/>
            <w:vAlign w:val="bottom"/>
          </w:tcPr>
          <w:p w:rsidR="0039233D" w:rsidRPr="00990D3B" w:rsidP="0042539E" w14:paraId="4DBE4A8A" w14:textId="01021E18">
            <w:pPr>
              <w:pStyle w:val="EQRTableHeaderCenter"/>
              <w:rPr>
                <w:color w:val="auto"/>
                <w:sz w:val="17"/>
                <w:szCs w:val="17"/>
              </w:rPr>
            </w:pPr>
            <w:r w:rsidRPr="00990D3B">
              <w:rPr>
                <w:color w:val="auto"/>
              </w:rPr>
              <w:t>Comments</w:t>
            </w:r>
          </w:p>
        </w:tc>
      </w:tr>
      <w:tr w14:paraId="7C72F820" w14:textId="77777777" w:rsidTr="0042539E">
        <w:tblPrEx>
          <w:tblW w:w="5000" w:type="pct"/>
          <w:tblLook w:val="04A0"/>
        </w:tblPrEx>
        <w:trPr>
          <w:trHeight w:val="89"/>
        </w:trPr>
        <w:tc>
          <w:tcPr>
            <w:tcW w:w="9350" w:type="dxa"/>
            <w:gridSpan w:val="6"/>
            <w:shd w:val="clear" w:color="auto" w:fill="D9D9D9"/>
          </w:tcPr>
          <w:p w:rsidR="00036C47" w:rsidRPr="00990D3B" w:rsidP="001C4F05" w14:paraId="2D464933" w14:textId="15931261">
            <w:pPr>
              <w:pStyle w:val="TableRowHead"/>
            </w:pPr>
            <w:r w:rsidRPr="00990D3B">
              <w:t>MCP</w:t>
            </w:r>
            <w:r w:rsidRPr="00990D3B" w:rsidR="000B0327">
              <w:t>: Plan</w:t>
            </w:r>
            <w:r w:rsidRPr="00990D3B">
              <w:t xml:space="preserve"> </w:t>
            </w:r>
            <w:r w:rsidRPr="00990D3B" w:rsidR="00A82F53">
              <w:t>A</w:t>
            </w:r>
          </w:p>
        </w:tc>
      </w:tr>
      <w:tr w14:paraId="4647E710" w14:textId="77777777" w:rsidTr="0042539E">
        <w:tblPrEx>
          <w:tblW w:w="5000" w:type="pct"/>
          <w:tblLook w:val="04A0"/>
        </w:tblPrEx>
        <w:trPr>
          <w:trHeight w:val="530"/>
        </w:trPr>
        <w:tc>
          <w:tcPr>
            <w:tcW w:w="1884" w:type="dxa"/>
          </w:tcPr>
          <w:p w:rsidR="00036C47" w:rsidRPr="00990D3B" w:rsidP="001C4F05" w14:paraId="61A5D238" w14:textId="77777777">
            <w:pPr>
              <w:pStyle w:val="EQRTableText"/>
            </w:pPr>
            <w:r w:rsidRPr="00990D3B">
              <w:t xml:space="preserve">High confidence </w:t>
            </w:r>
          </w:p>
        </w:tc>
        <w:tc>
          <w:tcPr>
            <w:tcW w:w="1934" w:type="dxa"/>
            <w:gridSpan w:val="2"/>
          </w:tcPr>
          <w:p w:rsidR="00036C47" w:rsidRPr="00990D3B" w:rsidP="001C4F05" w14:paraId="317E8C15" w14:textId="47F3622F">
            <w:pPr>
              <w:pStyle w:val="EQRTableText"/>
            </w:pPr>
            <w:r w:rsidRPr="00990D3B">
              <w:t xml:space="preserve">All but three measures noted below </w:t>
            </w:r>
          </w:p>
        </w:tc>
        <w:tc>
          <w:tcPr>
            <w:tcW w:w="2540" w:type="dxa"/>
            <w:gridSpan w:val="2"/>
          </w:tcPr>
          <w:p w:rsidR="00036C47" w:rsidRPr="00990D3B" w:rsidP="001C4F05" w14:paraId="5ED0BE05" w14:textId="222B95A5">
            <w:pPr>
              <w:pStyle w:val="EQRTableText"/>
              <w:rPr>
                <w:szCs w:val="18"/>
              </w:rPr>
            </w:pPr>
            <w:r w:rsidRPr="00990D3B">
              <w:rPr>
                <w:szCs w:val="18"/>
              </w:rPr>
              <w:t xml:space="preserve">None </w:t>
            </w:r>
          </w:p>
        </w:tc>
        <w:tc>
          <w:tcPr>
            <w:tcW w:w="2992" w:type="dxa"/>
          </w:tcPr>
          <w:p w:rsidR="00036C47" w:rsidRPr="00990D3B" w:rsidP="001C4F05" w14:paraId="0916AF18" w14:textId="5469ADA0">
            <w:pPr>
              <w:pStyle w:val="EQRTableText"/>
              <w:rPr>
                <w:szCs w:val="18"/>
              </w:rPr>
            </w:pPr>
            <w:r w:rsidRPr="00990D3B">
              <w:rPr>
                <w:szCs w:val="18"/>
              </w:rPr>
              <w:t>MCP followed measure specifications and measures received audit designation ‘Reportable</w:t>
            </w:r>
            <w:r w:rsidRPr="00990D3B" w:rsidR="0004151B">
              <w:rPr>
                <w:szCs w:val="18"/>
              </w:rPr>
              <w:t>.</w:t>
            </w:r>
            <w:r w:rsidRPr="00990D3B">
              <w:rPr>
                <w:szCs w:val="18"/>
              </w:rPr>
              <w:t xml:space="preserve">’ </w:t>
            </w:r>
          </w:p>
        </w:tc>
      </w:tr>
      <w:tr w14:paraId="4DBBBF78" w14:textId="77777777" w:rsidTr="0042539E">
        <w:tblPrEx>
          <w:tblW w:w="5000" w:type="pct"/>
          <w:tblLook w:val="04A0"/>
        </w:tblPrEx>
        <w:trPr>
          <w:trHeight w:val="530"/>
        </w:trPr>
        <w:tc>
          <w:tcPr>
            <w:tcW w:w="1884" w:type="dxa"/>
          </w:tcPr>
          <w:p w:rsidR="00A82F53" w:rsidRPr="00990D3B" w:rsidP="001C4F05" w14:paraId="4F782542" w14:textId="77777777">
            <w:pPr>
              <w:pStyle w:val="EQRTableText"/>
              <w:rPr>
                <w:i/>
                <w:iCs/>
              </w:rPr>
            </w:pPr>
            <w:r w:rsidRPr="00990D3B">
              <w:t>Moderate confidence</w:t>
            </w:r>
          </w:p>
        </w:tc>
        <w:tc>
          <w:tcPr>
            <w:tcW w:w="1934" w:type="dxa"/>
            <w:gridSpan w:val="2"/>
          </w:tcPr>
          <w:p w:rsidR="00A82F53" w:rsidRPr="00990D3B" w:rsidP="009D31CB" w14:paraId="747596AD" w14:textId="77777777">
            <w:pPr>
              <w:pStyle w:val="EQRTableTextbullet"/>
            </w:pPr>
            <w:r w:rsidRPr="00990D3B">
              <w:t>Breast Cancer Screening</w:t>
            </w:r>
          </w:p>
          <w:p w:rsidR="00A82F53" w:rsidRPr="00990D3B" w:rsidP="009D31CB" w14:paraId="4F3A23A7" w14:textId="05B46439">
            <w:pPr>
              <w:pStyle w:val="EQRTableTextbullet"/>
            </w:pPr>
            <w:r w:rsidRPr="00990D3B">
              <w:t>Cervical Cancer Screening</w:t>
            </w:r>
          </w:p>
        </w:tc>
        <w:tc>
          <w:tcPr>
            <w:tcW w:w="2540" w:type="dxa"/>
            <w:gridSpan w:val="2"/>
          </w:tcPr>
          <w:p w:rsidR="00A82F53" w:rsidRPr="00990D3B" w:rsidP="009D31CB" w14:paraId="04768CDF" w14:textId="6D25C906">
            <w:pPr>
              <w:pStyle w:val="EQRTableTextbullet"/>
            </w:pPr>
            <w:r w:rsidRPr="00990D3B">
              <w:t xml:space="preserve">Provide targeted staff training related to data extraction methods </w:t>
            </w:r>
          </w:p>
        </w:tc>
        <w:tc>
          <w:tcPr>
            <w:tcW w:w="2992" w:type="dxa"/>
          </w:tcPr>
          <w:p w:rsidR="00A82F53" w:rsidRPr="00990D3B" w:rsidP="00BD1FC3" w14:paraId="5306FA43" w14:textId="66B8F310">
            <w:pPr>
              <w:rPr>
                <w:rFonts w:asciiTheme="majorHAnsi" w:hAnsiTheme="majorHAnsi" w:cstheme="majorHAnsi"/>
                <w:sz w:val="18"/>
                <w:szCs w:val="18"/>
              </w:rPr>
            </w:pPr>
            <w:r w:rsidRPr="00990D3B">
              <w:rPr>
                <w:rFonts w:asciiTheme="majorHAnsi" w:hAnsiTheme="majorHAnsi" w:cstheme="majorHAnsi"/>
                <w:sz w:val="18"/>
                <w:szCs w:val="18"/>
              </w:rPr>
              <w:t>MCP followed specifications</w:t>
            </w:r>
            <w:r w:rsidRPr="00990D3B" w:rsidR="00FB570B">
              <w:rPr>
                <w:rFonts w:asciiTheme="majorHAnsi" w:hAnsiTheme="majorHAnsi" w:cstheme="majorHAnsi"/>
                <w:sz w:val="18"/>
                <w:szCs w:val="18"/>
              </w:rPr>
              <w:t>,</w:t>
            </w:r>
            <w:r w:rsidRPr="00990D3B">
              <w:rPr>
                <w:rFonts w:asciiTheme="majorHAnsi" w:hAnsiTheme="majorHAnsi" w:cstheme="majorHAnsi"/>
                <w:sz w:val="18"/>
                <w:szCs w:val="18"/>
              </w:rPr>
              <w:t xml:space="preserve"> but data concerns </w:t>
            </w:r>
            <w:r w:rsidRPr="00990D3B" w:rsidR="00FB570B">
              <w:rPr>
                <w:rFonts w:asciiTheme="majorHAnsi" w:hAnsiTheme="majorHAnsi" w:cstheme="majorHAnsi"/>
                <w:sz w:val="18"/>
                <w:szCs w:val="18"/>
              </w:rPr>
              <w:t xml:space="preserve">were </w:t>
            </w:r>
            <w:r w:rsidRPr="00990D3B">
              <w:rPr>
                <w:rFonts w:asciiTheme="majorHAnsi" w:hAnsiTheme="majorHAnsi" w:cstheme="majorHAnsi"/>
                <w:sz w:val="18"/>
                <w:szCs w:val="18"/>
              </w:rPr>
              <w:t>detected</w:t>
            </w:r>
            <w:r w:rsidRPr="00990D3B" w:rsidR="00FB570B">
              <w:rPr>
                <w:rFonts w:asciiTheme="majorHAnsi" w:hAnsiTheme="majorHAnsi" w:cstheme="majorHAnsi"/>
                <w:sz w:val="18"/>
                <w:szCs w:val="18"/>
              </w:rPr>
              <w:t xml:space="preserve"> due to inconsistencies in the date of service fields</w:t>
            </w:r>
            <w:r w:rsidRPr="00990D3B" w:rsidR="00DC44F3">
              <w:rPr>
                <w:rFonts w:asciiTheme="majorHAnsi" w:hAnsiTheme="majorHAnsi" w:cstheme="majorHAnsi"/>
                <w:sz w:val="18"/>
                <w:szCs w:val="18"/>
              </w:rPr>
              <w:t>.</w:t>
            </w:r>
            <w:r w:rsidRPr="00990D3B" w:rsidR="00FB570B">
              <w:rPr>
                <w:rFonts w:asciiTheme="majorHAnsi" w:hAnsiTheme="majorHAnsi" w:cstheme="majorHAnsi"/>
                <w:sz w:val="18"/>
                <w:szCs w:val="18"/>
              </w:rPr>
              <w:t xml:space="preserve"> </w:t>
            </w:r>
          </w:p>
        </w:tc>
      </w:tr>
      <w:tr w14:paraId="40B9CDFD" w14:textId="77777777" w:rsidTr="0042539E">
        <w:tblPrEx>
          <w:tblW w:w="5000" w:type="pct"/>
          <w:tblLook w:val="04A0"/>
        </w:tblPrEx>
        <w:trPr>
          <w:trHeight w:val="217"/>
        </w:trPr>
        <w:tc>
          <w:tcPr>
            <w:tcW w:w="1884" w:type="dxa"/>
          </w:tcPr>
          <w:p w:rsidR="00A82F53" w:rsidRPr="00990D3B" w:rsidP="001C4F05" w14:paraId="36AD4459" w14:textId="77777777">
            <w:pPr>
              <w:pStyle w:val="EQRTableText"/>
              <w:rPr>
                <w:i/>
                <w:iCs/>
                <w:szCs w:val="18"/>
              </w:rPr>
            </w:pPr>
            <w:r w:rsidRPr="00990D3B">
              <w:rPr>
                <w:szCs w:val="18"/>
              </w:rPr>
              <w:t>Low confidence</w:t>
            </w:r>
          </w:p>
        </w:tc>
        <w:tc>
          <w:tcPr>
            <w:tcW w:w="1934" w:type="dxa"/>
            <w:gridSpan w:val="2"/>
          </w:tcPr>
          <w:p w:rsidR="00A82F53" w:rsidRPr="00990D3B" w:rsidP="009D31CB" w14:paraId="3023D76F" w14:textId="72260A7B">
            <w:pPr>
              <w:pStyle w:val="EQRTableTextbullet"/>
              <w:rPr>
                <w:szCs w:val="18"/>
              </w:rPr>
            </w:pPr>
            <w:r w:rsidRPr="00990D3B">
              <w:rPr>
                <w:szCs w:val="18"/>
              </w:rPr>
              <w:t>Controlling High Blood Pressure</w:t>
            </w:r>
          </w:p>
        </w:tc>
        <w:tc>
          <w:tcPr>
            <w:tcW w:w="2540" w:type="dxa"/>
            <w:gridSpan w:val="2"/>
          </w:tcPr>
          <w:p w:rsidR="00A82F53" w:rsidRPr="00990D3B" w:rsidP="009D31CB" w14:paraId="7533B7BC" w14:textId="77777777">
            <w:pPr>
              <w:pStyle w:val="EQRTableTextbullet"/>
              <w:rPr>
                <w:i/>
                <w:iCs/>
              </w:rPr>
            </w:pPr>
            <w:r w:rsidRPr="00990D3B">
              <w:t>Map out current workflows for data aggregation to identify inefficiencies and misalignments</w:t>
            </w:r>
          </w:p>
          <w:p w:rsidR="0005369B" w:rsidRPr="00990D3B" w:rsidP="009D31CB" w14:paraId="74057F6E" w14:textId="77777777">
            <w:pPr>
              <w:pStyle w:val="EQRTableTextbullet"/>
              <w:rPr>
                <w:i/>
                <w:iCs/>
              </w:rPr>
            </w:pPr>
            <w:r w:rsidRPr="00990D3B">
              <w:t xml:space="preserve">Automate data validation checks to flag common issues (missing values, outliers) </w:t>
            </w:r>
          </w:p>
          <w:p w:rsidR="0005369B" w:rsidRPr="00990D3B" w:rsidP="009D31CB" w14:paraId="6A0C93A4" w14:textId="3636A5BA">
            <w:pPr>
              <w:pStyle w:val="EQRTableTextbullet"/>
            </w:pPr>
            <w:r w:rsidRPr="00990D3B">
              <w:t xml:space="preserve">Establish a cross-functional data governance team to oversee quality assurance efforts </w:t>
            </w:r>
          </w:p>
        </w:tc>
        <w:tc>
          <w:tcPr>
            <w:tcW w:w="2992" w:type="dxa"/>
          </w:tcPr>
          <w:p w:rsidR="00A82F53" w:rsidRPr="00990D3B" w:rsidP="00BD1FC3" w14:paraId="7F88DE01" w14:textId="6051A5D2">
            <w:pPr>
              <w:rPr>
                <w:rFonts w:asciiTheme="majorHAnsi" w:hAnsiTheme="majorHAnsi" w:cstheme="majorHAnsi"/>
                <w:sz w:val="18"/>
                <w:szCs w:val="18"/>
              </w:rPr>
            </w:pPr>
            <w:r w:rsidRPr="00990D3B">
              <w:rPr>
                <w:rFonts w:asciiTheme="majorHAnsi" w:hAnsiTheme="majorHAnsi" w:cstheme="majorHAnsi"/>
                <w:sz w:val="18"/>
                <w:szCs w:val="18"/>
              </w:rPr>
              <w:t xml:space="preserve">Data sources used to calculate the numerator were </w:t>
            </w:r>
            <w:r w:rsidRPr="00990D3B" w:rsidR="006D43FF">
              <w:rPr>
                <w:rFonts w:asciiTheme="majorHAnsi" w:hAnsiTheme="majorHAnsi" w:cstheme="majorHAnsi"/>
                <w:sz w:val="18"/>
                <w:szCs w:val="18"/>
              </w:rPr>
              <w:t>in</w:t>
            </w:r>
            <w:r w:rsidRPr="00990D3B">
              <w:rPr>
                <w:rFonts w:asciiTheme="majorHAnsi" w:hAnsiTheme="majorHAnsi" w:cstheme="majorHAnsi"/>
                <w:sz w:val="18"/>
                <w:szCs w:val="18"/>
              </w:rPr>
              <w:t xml:space="preserve">complete and </w:t>
            </w:r>
            <w:r w:rsidRPr="00990D3B" w:rsidR="006D43FF">
              <w:rPr>
                <w:rFonts w:asciiTheme="majorHAnsi" w:hAnsiTheme="majorHAnsi" w:cstheme="majorHAnsi"/>
                <w:sz w:val="18"/>
                <w:szCs w:val="18"/>
              </w:rPr>
              <w:t>in</w:t>
            </w:r>
            <w:r w:rsidRPr="00990D3B">
              <w:rPr>
                <w:rFonts w:asciiTheme="majorHAnsi" w:hAnsiTheme="majorHAnsi" w:cstheme="majorHAnsi"/>
                <w:sz w:val="18"/>
                <w:szCs w:val="18"/>
              </w:rPr>
              <w:t xml:space="preserve">accurate; </w:t>
            </w:r>
            <w:r w:rsidRPr="00990D3B" w:rsidR="001A24AA">
              <w:rPr>
                <w:rFonts w:asciiTheme="majorHAnsi" w:hAnsiTheme="majorHAnsi" w:cstheme="majorHAnsi"/>
                <w:sz w:val="18"/>
                <w:szCs w:val="18"/>
              </w:rPr>
              <w:t>EHR records contained transcription errors</w:t>
            </w:r>
            <w:r w:rsidRPr="00990D3B" w:rsidR="00B2795C">
              <w:rPr>
                <w:rFonts w:asciiTheme="majorHAnsi" w:hAnsiTheme="majorHAnsi" w:cstheme="majorHAnsi"/>
                <w:sz w:val="18"/>
                <w:szCs w:val="18"/>
              </w:rPr>
              <w:t>,</w:t>
            </w:r>
            <w:r w:rsidRPr="00990D3B" w:rsidR="001A24AA">
              <w:rPr>
                <w:rFonts w:asciiTheme="majorHAnsi" w:hAnsiTheme="majorHAnsi" w:cstheme="majorHAnsi"/>
                <w:sz w:val="18"/>
                <w:szCs w:val="18"/>
              </w:rPr>
              <w:t xml:space="preserve"> and blood pressure readings collected during telehealth visits were not integrated into </w:t>
            </w:r>
            <w:r w:rsidRPr="00990D3B" w:rsidR="00B2795C">
              <w:rPr>
                <w:rFonts w:asciiTheme="majorHAnsi" w:hAnsiTheme="majorHAnsi" w:cstheme="majorHAnsi"/>
                <w:sz w:val="18"/>
                <w:szCs w:val="18"/>
              </w:rPr>
              <w:t>central</w:t>
            </w:r>
            <w:r w:rsidRPr="00990D3B" w:rsidR="001A24AA">
              <w:rPr>
                <w:rFonts w:asciiTheme="majorHAnsi" w:hAnsiTheme="majorHAnsi" w:cstheme="majorHAnsi"/>
                <w:sz w:val="18"/>
                <w:szCs w:val="18"/>
              </w:rPr>
              <w:t xml:space="preserve"> E</w:t>
            </w:r>
            <w:r w:rsidRPr="00990D3B" w:rsidR="00B2795C">
              <w:rPr>
                <w:rFonts w:asciiTheme="majorHAnsi" w:hAnsiTheme="majorHAnsi" w:cstheme="majorHAnsi"/>
                <w:sz w:val="18"/>
                <w:szCs w:val="18"/>
              </w:rPr>
              <w:t>H</w:t>
            </w:r>
            <w:r w:rsidRPr="00990D3B" w:rsidR="001A24AA">
              <w:rPr>
                <w:rFonts w:asciiTheme="majorHAnsi" w:hAnsiTheme="majorHAnsi" w:cstheme="majorHAnsi"/>
                <w:sz w:val="18"/>
                <w:szCs w:val="18"/>
              </w:rPr>
              <w:t>R system</w:t>
            </w:r>
            <w:r w:rsidRPr="00990D3B" w:rsidR="00DC44F3">
              <w:rPr>
                <w:rFonts w:asciiTheme="majorHAnsi" w:hAnsiTheme="majorHAnsi" w:cstheme="majorHAnsi"/>
                <w:sz w:val="18"/>
                <w:szCs w:val="18"/>
              </w:rPr>
              <w:t>.</w:t>
            </w:r>
          </w:p>
        </w:tc>
      </w:tr>
      <w:tr w14:paraId="04025914" w14:textId="77777777" w:rsidTr="0042539E">
        <w:tblPrEx>
          <w:tblW w:w="5000" w:type="pct"/>
          <w:tblLook w:val="04A0"/>
        </w:tblPrEx>
        <w:trPr>
          <w:trHeight w:val="217"/>
        </w:trPr>
        <w:tc>
          <w:tcPr>
            <w:tcW w:w="1884" w:type="dxa"/>
          </w:tcPr>
          <w:p w:rsidR="00036C47" w:rsidRPr="00990D3B" w:rsidP="001C4F05" w14:paraId="3320460B" w14:textId="77777777">
            <w:pPr>
              <w:pStyle w:val="EQRTableText"/>
            </w:pPr>
            <w:r w:rsidRPr="00990D3B">
              <w:t xml:space="preserve">No confidence </w:t>
            </w:r>
          </w:p>
        </w:tc>
        <w:tc>
          <w:tcPr>
            <w:tcW w:w="1934" w:type="dxa"/>
            <w:gridSpan w:val="2"/>
          </w:tcPr>
          <w:p w:rsidR="00036C47" w:rsidRPr="00990D3B" w:rsidP="001C4F05" w14:paraId="782BD362" w14:textId="32BA744F">
            <w:pPr>
              <w:pStyle w:val="EQRTableText"/>
              <w:rPr>
                <w:rFonts w:asciiTheme="majorHAnsi" w:hAnsiTheme="majorHAnsi" w:cstheme="majorHAnsi"/>
              </w:rPr>
            </w:pPr>
            <w:r w:rsidRPr="00990D3B">
              <w:rPr>
                <w:rFonts w:asciiTheme="majorHAnsi" w:hAnsiTheme="majorHAnsi" w:cstheme="majorHAnsi"/>
              </w:rPr>
              <w:t>None</w:t>
            </w:r>
          </w:p>
        </w:tc>
        <w:tc>
          <w:tcPr>
            <w:tcW w:w="2540" w:type="dxa"/>
            <w:gridSpan w:val="2"/>
          </w:tcPr>
          <w:p w:rsidR="00036C47" w:rsidRPr="00990D3B" w:rsidP="001C4F05" w14:paraId="44594A11" w14:textId="66AC484B">
            <w:pPr>
              <w:pStyle w:val="EQRTableText"/>
              <w:rPr>
                <w:rFonts w:asciiTheme="majorHAnsi" w:hAnsiTheme="majorHAnsi" w:cstheme="majorHAnsi"/>
              </w:rPr>
            </w:pPr>
            <w:r w:rsidRPr="00990D3B">
              <w:rPr>
                <w:rFonts w:asciiTheme="majorHAnsi" w:hAnsiTheme="majorHAnsi" w:cstheme="majorHAnsi"/>
              </w:rPr>
              <w:t>NA</w:t>
            </w:r>
          </w:p>
        </w:tc>
        <w:tc>
          <w:tcPr>
            <w:tcW w:w="2992" w:type="dxa"/>
          </w:tcPr>
          <w:p w:rsidR="00036C47" w:rsidRPr="00990D3B" w:rsidP="001C4F05" w14:paraId="307B4492" w14:textId="31BE4405">
            <w:pPr>
              <w:pStyle w:val="EQRTableText"/>
              <w:rPr>
                <w:rFonts w:asciiTheme="majorHAnsi" w:hAnsiTheme="majorHAnsi" w:cstheme="majorHAnsi"/>
              </w:rPr>
            </w:pPr>
            <w:r w:rsidRPr="00990D3B">
              <w:rPr>
                <w:rFonts w:asciiTheme="majorHAnsi" w:hAnsiTheme="majorHAnsi" w:cstheme="majorHAnsi"/>
              </w:rPr>
              <w:t>NA</w:t>
            </w:r>
          </w:p>
        </w:tc>
      </w:tr>
      <w:tr w14:paraId="0C6E5A5B" w14:textId="77777777" w:rsidTr="0042539E">
        <w:tblPrEx>
          <w:tblW w:w="5000" w:type="pct"/>
          <w:tblLook w:val="04A0"/>
        </w:tblPrEx>
        <w:trPr>
          <w:trHeight w:val="231"/>
        </w:trPr>
        <w:tc>
          <w:tcPr>
            <w:tcW w:w="9350" w:type="dxa"/>
            <w:gridSpan w:val="6"/>
            <w:shd w:val="clear" w:color="auto" w:fill="D9D9D9"/>
          </w:tcPr>
          <w:p w:rsidR="00036C47" w:rsidRPr="00990D3B" w:rsidP="0042539E" w14:paraId="6920050B" w14:textId="7044D374">
            <w:pPr>
              <w:pStyle w:val="TableRowHead"/>
              <w:keepNext/>
            </w:pPr>
            <w:r w:rsidRPr="00990D3B">
              <w:t>MCP:</w:t>
            </w:r>
            <w:r w:rsidRPr="00990D3B" w:rsidR="000B0327">
              <w:t xml:space="preserve"> Plan</w:t>
            </w:r>
            <w:r w:rsidRPr="00990D3B">
              <w:t xml:space="preserve"> </w:t>
            </w:r>
            <w:r w:rsidRPr="00990D3B" w:rsidR="00A82F53">
              <w:t>B</w:t>
            </w:r>
          </w:p>
        </w:tc>
      </w:tr>
      <w:tr w14:paraId="4331D8EF" w14:textId="77777777" w:rsidTr="0042539E">
        <w:tblPrEx>
          <w:tblW w:w="5000" w:type="pct"/>
          <w:tblLook w:val="04A0"/>
        </w:tblPrEx>
        <w:trPr>
          <w:trHeight w:val="300"/>
        </w:trPr>
        <w:tc>
          <w:tcPr>
            <w:tcW w:w="1884" w:type="dxa"/>
          </w:tcPr>
          <w:p w:rsidR="0005369B" w:rsidRPr="00990D3B" w:rsidP="001C4F05" w14:paraId="2EEC535A" w14:textId="77777777">
            <w:pPr>
              <w:pStyle w:val="EQRTableText"/>
            </w:pPr>
            <w:r w:rsidRPr="00990D3B">
              <w:t xml:space="preserve">High confidence </w:t>
            </w:r>
          </w:p>
        </w:tc>
        <w:tc>
          <w:tcPr>
            <w:tcW w:w="1891" w:type="dxa"/>
          </w:tcPr>
          <w:p w:rsidR="0005369B" w:rsidRPr="00990D3B" w:rsidP="001C4F05" w14:paraId="7DD30517" w14:textId="34CEDA7F">
            <w:pPr>
              <w:pStyle w:val="EQRTableText"/>
            </w:pPr>
            <w:r w:rsidRPr="00990D3B">
              <w:t xml:space="preserve">All performance measures </w:t>
            </w:r>
          </w:p>
        </w:tc>
        <w:tc>
          <w:tcPr>
            <w:tcW w:w="2520" w:type="dxa"/>
            <w:gridSpan w:val="2"/>
          </w:tcPr>
          <w:p w:rsidR="0005369B" w:rsidRPr="00990D3B" w:rsidP="001C4F05" w14:paraId="6F8155D1" w14:textId="3822F51A">
            <w:pPr>
              <w:pStyle w:val="EQRTableText"/>
            </w:pPr>
            <w:r w:rsidRPr="00990D3B">
              <w:t xml:space="preserve">Continue implementing and refining data quality assurance processes, including periodic internal audits and ongoing training for staff involved in data analysis and reporting. </w:t>
            </w:r>
          </w:p>
        </w:tc>
        <w:tc>
          <w:tcPr>
            <w:tcW w:w="3055" w:type="dxa"/>
            <w:gridSpan w:val="2"/>
          </w:tcPr>
          <w:p w:rsidR="0005369B" w:rsidRPr="00990D3B" w:rsidP="001C4F05" w14:paraId="3FABF70F" w14:textId="6B459FBE">
            <w:pPr>
              <w:pStyle w:val="EQRTableText"/>
            </w:pPr>
            <w:r w:rsidRPr="00990D3B">
              <w:t>MCP followed measure specifications and measures received audit designation ‘Reportable</w:t>
            </w:r>
            <w:r w:rsidRPr="00990D3B" w:rsidR="0004151B">
              <w:t>.</w:t>
            </w:r>
            <w:r w:rsidRPr="00990D3B">
              <w:t xml:space="preserve">’ </w:t>
            </w:r>
          </w:p>
        </w:tc>
      </w:tr>
      <w:tr w14:paraId="7BB1B52C" w14:textId="77777777" w:rsidTr="0042539E">
        <w:tblPrEx>
          <w:tblW w:w="5000" w:type="pct"/>
          <w:tblLook w:val="04A0"/>
        </w:tblPrEx>
        <w:trPr>
          <w:trHeight w:val="299"/>
        </w:trPr>
        <w:tc>
          <w:tcPr>
            <w:tcW w:w="1884" w:type="dxa"/>
          </w:tcPr>
          <w:p w:rsidR="0005369B" w:rsidRPr="00990D3B" w:rsidP="001C4F05" w14:paraId="696DAADA" w14:textId="0D7F040A">
            <w:pPr>
              <w:pStyle w:val="EQRTableText"/>
            </w:pPr>
            <w:r w:rsidRPr="00990D3B">
              <w:t>Moderate confidence</w:t>
            </w:r>
          </w:p>
        </w:tc>
        <w:tc>
          <w:tcPr>
            <w:tcW w:w="1891" w:type="dxa"/>
          </w:tcPr>
          <w:p w:rsidR="0005369B" w:rsidRPr="00990D3B" w:rsidP="001C4F05" w14:paraId="2F40586B" w14:textId="1834162C">
            <w:pPr>
              <w:pStyle w:val="EQRTableText"/>
            </w:pPr>
            <w:r w:rsidRPr="00990D3B">
              <w:t>NA</w:t>
            </w:r>
          </w:p>
        </w:tc>
        <w:tc>
          <w:tcPr>
            <w:tcW w:w="2520" w:type="dxa"/>
            <w:gridSpan w:val="2"/>
          </w:tcPr>
          <w:p w:rsidR="0005369B" w:rsidRPr="00990D3B" w:rsidP="001C4F05" w14:paraId="528CD7F0" w14:textId="5AE72E74">
            <w:pPr>
              <w:pStyle w:val="EQRTableText"/>
            </w:pPr>
            <w:r w:rsidRPr="00990D3B">
              <w:t>NA</w:t>
            </w:r>
          </w:p>
        </w:tc>
        <w:tc>
          <w:tcPr>
            <w:tcW w:w="3055" w:type="dxa"/>
            <w:gridSpan w:val="2"/>
          </w:tcPr>
          <w:p w:rsidR="0005369B" w:rsidRPr="00990D3B" w:rsidP="001C4F05" w14:paraId="562C4722" w14:textId="23FE9C58">
            <w:pPr>
              <w:pStyle w:val="EQRTableText"/>
            </w:pPr>
            <w:r w:rsidRPr="00990D3B">
              <w:t>NA</w:t>
            </w:r>
          </w:p>
        </w:tc>
      </w:tr>
      <w:tr w14:paraId="3230031F" w14:textId="77777777" w:rsidTr="0042539E">
        <w:tblPrEx>
          <w:tblW w:w="5000" w:type="pct"/>
          <w:tblLook w:val="04A0"/>
        </w:tblPrEx>
        <w:trPr>
          <w:trHeight w:val="299"/>
        </w:trPr>
        <w:tc>
          <w:tcPr>
            <w:tcW w:w="1884" w:type="dxa"/>
          </w:tcPr>
          <w:p w:rsidR="0005369B" w:rsidRPr="00990D3B" w:rsidP="001C4F05" w14:paraId="104AAC6F" w14:textId="731272AC">
            <w:pPr>
              <w:pStyle w:val="EQRTableText"/>
            </w:pPr>
            <w:r w:rsidRPr="00990D3B">
              <w:t>Low confidence</w:t>
            </w:r>
          </w:p>
        </w:tc>
        <w:tc>
          <w:tcPr>
            <w:tcW w:w="1891" w:type="dxa"/>
          </w:tcPr>
          <w:p w:rsidR="0005369B" w:rsidRPr="00990D3B" w:rsidP="001C4F05" w14:paraId="1BC5E8CE" w14:textId="320A3B5D">
            <w:pPr>
              <w:pStyle w:val="EQRTableText"/>
            </w:pPr>
            <w:r w:rsidRPr="00990D3B">
              <w:t>NA</w:t>
            </w:r>
          </w:p>
        </w:tc>
        <w:tc>
          <w:tcPr>
            <w:tcW w:w="2520" w:type="dxa"/>
            <w:gridSpan w:val="2"/>
          </w:tcPr>
          <w:p w:rsidR="0005369B" w:rsidRPr="00990D3B" w:rsidP="001C4F05" w14:paraId="1280EF72" w14:textId="0B3C0640">
            <w:pPr>
              <w:pStyle w:val="EQRTableText"/>
            </w:pPr>
            <w:r w:rsidRPr="00990D3B">
              <w:t>NA</w:t>
            </w:r>
          </w:p>
        </w:tc>
        <w:tc>
          <w:tcPr>
            <w:tcW w:w="3055" w:type="dxa"/>
            <w:gridSpan w:val="2"/>
          </w:tcPr>
          <w:p w:rsidR="0005369B" w:rsidRPr="00990D3B" w:rsidP="001C4F05" w14:paraId="6B80404F" w14:textId="1851BD9F">
            <w:pPr>
              <w:pStyle w:val="EQRTableText"/>
            </w:pPr>
            <w:r w:rsidRPr="00990D3B">
              <w:t>NA</w:t>
            </w:r>
          </w:p>
        </w:tc>
      </w:tr>
      <w:tr w14:paraId="1F3DBFFC" w14:textId="77777777" w:rsidTr="0042539E">
        <w:tblPrEx>
          <w:tblW w:w="5000" w:type="pct"/>
          <w:tblLook w:val="04A0"/>
        </w:tblPrEx>
        <w:trPr>
          <w:trHeight w:val="299"/>
        </w:trPr>
        <w:tc>
          <w:tcPr>
            <w:tcW w:w="1884" w:type="dxa"/>
          </w:tcPr>
          <w:p w:rsidR="0005369B" w:rsidRPr="00990D3B" w:rsidP="001C4F05" w14:paraId="3CFA4BD0" w14:textId="64884EDE">
            <w:pPr>
              <w:pStyle w:val="EQRTableText"/>
            </w:pPr>
            <w:r w:rsidRPr="00990D3B">
              <w:t>No confidence</w:t>
            </w:r>
          </w:p>
        </w:tc>
        <w:tc>
          <w:tcPr>
            <w:tcW w:w="1891" w:type="dxa"/>
          </w:tcPr>
          <w:p w:rsidR="0005369B" w:rsidRPr="00990D3B" w:rsidP="001C4F05" w14:paraId="693B3F87" w14:textId="365ACF97">
            <w:pPr>
              <w:pStyle w:val="EQRTableText"/>
            </w:pPr>
            <w:r w:rsidRPr="00990D3B">
              <w:t>NA</w:t>
            </w:r>
          </w:p>
        </w:tc>
        <w:tc>
          <w:tcPr>
            <w:tcW w:w="2520" w:type="dxa"/>
            <w:gridSpan w:val="2"/>
          </w:tcPr>
          <w:p w:rsidR="0005369B" w:rsidRPr="00990D3B" w:rsidP="001C4F05" w14:paraId="21011D80" w14:textId="3AE78FC2">
            <w:pPr>
              <w:pStyle w:val="EQRTableText"/>
            </w:pPr>
            <w:r w:rsidRPr="00990D3B">
              <w:t>NA</w:t>
            </w:r>
          </w:p>
        </w:tc>
        <w:tc>
          <w:tcPr>
            <w:tcW w:w="3055" w:type="dxa"/>
            <w:gridSpan w:val="2"/>
          </w:tcPr>
          <w:p w:rsidR="0005369B" w:rsidRPr="00990D3B" w:rsidP="001C4F05" w14:paraId="76F48FCE" w14:textId="2024E528">
            <w:pPr>
              <w:pStyle w:val="EQRTableText"/>
            </w:pPr>
            <w:r w:rsidRPr="00990D3B">
              <w:t>NA</w:t>
            </w:r>
          </w:p>
        </w:tc>
      </w:tr>
    </w:tbl>
    <w:p w:rsidR="00096C94" w:rsidRPr="00990D3B" w:rsidP="00B5252D" w14:paraId="488BE2EF" w14:textId="77777777">
      <w:pPr>
        <w:pStyle w:val="ParagraphContinued"/>
      </w:pPr>
    </w:p>
    <w:p w:rsidR="0042539E" w:rsidRPr="00990D3B" w14:paraId="0C095A95" w14:textId="77777777">
      <w:pPr>
        <w:spacing w:line="240" w:lineRule="auto"/>
        <w:sectPr w:rsidSect="0042539E">
          <w:pgSz w:w="15840" w:h="12240" w:orient="landscape" w:code="1"/>
          <w:pgMar w:top="1440" w:right="1440" w:bottom="1440" w:left="1440" w:header="720" w:footer="720" w:gutter="0"/>
          <w:cols w:space="720"/>
          <w:titlePg/>
          <w:docGrid w:linePitch="360"/>
        </w:sectPr>
      </w:pPr>
      <w:bookmarkStart w:id="339" w:name="WSp2n16"/>
    </w:p>
    <w:p w:rsidR="0005369B" w:rsidRPr="00990D3B" w:rsidP="00BD1FC3" w14:paraId="11A9DEA6" w14:textId="29F2B024">
      <w:pPr>
        <w:pStyle w:val="EQRMarkforExhibitWORKSHEET"/>
      </w:pPr>
      <w:bookmarkStart w:id="340" w:name="_Toc201751511"/>
      <w:r w:rsidRPr="00990D3B">
        <w:t>Worksheet 2.16</w:t>
      </w:r>
      <w:bookmarkEnd w:id="339"/>
      <w:r w:rsidRPr="00990D3B">
        <w:t>. Performance Measure Reporting</w:t>
      </w:r>
      <w:bookmarkEnd w:id="340"/>
      <w:r w:rsidRPr="00990D3B">
        <w:t xml:space="preserve"> </w:t>
      </w:r>
    </w:p>
    <w:p w:rsidR="00F77E6E" w:rsidRPr="00990D3B" w:rsidP="00B7177C" w14:paraId="63DC4524" w14:textId="3B94EA19">
      <w:pPr>
        <w:pStyle w:val="EQRNormalSSWORKSHEET"/>
      </w:pPr>
      <w:r w:rsidRPr="00990D3B">
        <w:rPr>
          <w:b/>
          <w:bCs/>
        </w:rPr>
        <w:t>Instructions.</w:t>
      </w:r>
      <w:r w:rsidRPr="00990D3B" w:rsidR="003B5DBD">
        <w:rPr>
          <w:b/>
          <w:bCs/>
        </w:rPr>
        <w:t xml:space="preserve"> </w:t>
      </w:r>
      <w:r w:rsidRPr="00990D3B" w:rsidR="003B5DBD">
        <w:t xml:space="preserve">Provide </w:t>
      </w:r>
      <w:r w:rsidRPr="00990D3B" w:rsidR="003B5DBD">
        <w:t>performance measure</w:t>
      </w:r>
      <w:r w:rsidRPr="00990D3B" w:rsidR="003B5DBD">
        <w:t xml:space="preserve"> rates for each performance measure, for each applicable plan, as well as the statewide MCP average. H</w:t>
      </w:r>
      <w:r w:rsidRPr="00990D3B" w:rsidR="003B5DBD">
        <w:rPr>
          <w:rFonts w:asciiTheme="majorHAnsi" w:hAnsiTheme="majorHAnsi" w:cstheme="majorHAnsi"/>
        </w:rPr>
        <w:t>eader rows can be added to group measures by focus area or service category (e.g., dental and oral health services, care of acute and chronic conditions). Colors, shading, or icons can be used to indicate how MCPs performed relative to the previous year’s performance, each other, the state managed care average, and/or other relevant benchmarks</w:t>
      </w:r>
      <w:r w:rsidRPr="00990D3B">
        <w:t xml:space="preserve">. </w:t>
      </w:r>
      <w:r w:rsidRPr="00990D3B">
        <w:rPr>
          <w:rFonts w:asciiTheme="majorHAnsi" w:hAnsiTheme="majorHAnsi" w:cstheme="majorHAnsi"/>
        </w:rPr>
        <w:t xml:space="preserve">For states with multiple managed care programs, </w:t>
      </w:r>
      <w:r w:rsidRPr="00990D3B">
        <w:rPr>
          <w:rFonts w:asciiTheme="majorHAnsi" w:hAnsiTheme="majorHAnsi" w:cstheme="majorHAnsi"/>
        </w:rPr>
        <w:t>use</w:t>
      </w:r>
      <w:r w:rsidRPr="00990D3B">
        <w:rPr>
          <w:rFonts w:asciiTheme="majorHAnsi" w:hAnsiTheme="majorHAnsi" w:cstheme="majorHAnsi"/>
        </w:rPr>
        <w:t xml:space="preserve"> one table for each</w:t>
      </w:r>
      <w:r w:rsidRPr="00990D3B" w:rsidR="00B7177C">
        <w:rPr>
          <w:rFonts w:asciiTheme="majorHAnsi" w:hAnsiTheme="majorHAnsi" w:cstheme="majorHAnsi"/>
        </w:rPr>
        <w:t> </w:t>
      </w:r>
      <w:r w:rsidRPr="00990D3B">
        <w:rPr>
          <w:rFonts w:asciiTheme="majorHAnsi" w:hAnsiTheme="majorHAnsi" w:cstheme="majorHAnsi"/>
        </w:rPr>
        <w:t xml:space="preserve">program. </w:t>
      </w:r>
    </w:p>
    <w:p w:rsidR="00DF3A90" w:rsidRPr="00990D3B" w:rsidP="00B7177C" w14:paraId="3CC465FA" w14:textId="6069E3D3">
      <w:pPr>
        <w:pStyle w:val="EQRNormalSSWORKSHEET"/>
      </w:pPr>
      <w:r w:rsidRPr="00990D3B">
        <w:t>While th</w:t>
      </w:r>
      <w:r w:rsidRPr="00990D3B" w:rsidR="00381997">
        <w:t>is</w:t>
      </w:r>
      <w:r w:rsidRPr="00990D3B">
        <w:t xml:space="preserve"> template </w:t>
      </w:r>
      <w:r w:rsidRPr="00990D3B">
        <w:rPr>
          <w:rFonts w:cs="Arial"/>
        </w:rPr>
        <w:t xml:space="preserve">encompasses CMS’s expectations for what EQR technical reports share when reporting performance measure findings, </w:t>
      </w:r>
      <w:r w:rsidRPr="00990D3B" w:rsidR="00456A53">
        <w:rPr>
          <w:rFonts w:cs="Arial"/>
        </w:rPr>
        <w:t>using</w:t>
      </w:r>
      <w:r w:rsidRPr="00990D3B">
        <w:t xml:space="preserve"> this template is voluntary.</w:t>
      </w:r>
      <w:r w:rsidRPr="00990D3B" w:rsidR="00C3472A">
        <w:t xml:space="preserve"> </w:t>
      </w:r>
      <w:r w:rsidRPr="00990D3B" w:rsidR="0006604B">
        <w:t>This template has a companion Excel workbook. It can be included in the EQR technical report or submitted to CMS as a separate document. If submitted separately, the document must be posted to the state’s website.</w:t>
      </w:r>
      <w:r w:rsidRPr="00990D3B" w:rsidR="00EA0732">
        <w:t xml:space="preserve"> </w:t>
      </w:r>
    </w:p>
    <w:p w:rsidR="007A143A" w:rsidRPr="00990D3B" w:rsidP="00B7177C" w14:paraId="3326A0A5" w14:textId="3095B9D4">
      <w:pPr>
        <w:pStyle w:val="EQRNormalSSWORKSHEET"/>
      </w:pPr>
      <w:r w:rsidRPr="00990D3B">
        <w:t>Acronyms: EQR</w:t>
      </w:r>
      <w:r w:rsidRPr="00990D3B" w:rsidR="00087072">
        <w:t xml:space="preserve"> </w:t>
      </w:r>
      <w:r w:rsidRPr="00990D3B">
        <w:t xml:space="preserve">= External Quality Review </w:t>
      </w:r>
      <w:r w:rsidRPr="00990D3B">
        <w:t>Organization;  MCP</w:t>
      </w:r>
      <w:r w:rsidRPr="00990D3B" w:rsidR="00087072">
        <w:t xml:space="preserve"> </w:t>
      </w:r>
      <w:r w:rsidRPr="00990D3B">
        <w:t xml:space="preserve">= Managed Care Plan. </w:t>
      </w:r>
    </w:p>
    <w:tbl>
      <w:tblPr>
        <w:tblStyle w:val="TableGrid"/>
        <w:tblW w:w="9355" w:type="dxa"/>
        <w:tblLook w:val="04A0"/>
      </w:tblPr>
      <w:tblGrid>
        <w:gridCol w:w="2425"/>
        <w:gridCol w:w="1620"/>
        <w:gridCol w:w="1620"/>
        <w:gridCol w:w="1710"/>
        <w:gridCol w:w="1980"/>
      </w:tblGrid>
      <w:tr w14:paraId="208953C7" w14:textId="77777777" w:rsidTr="00BD1FC3">
        <w:tblPrEx>
          <w:tblW w:w="9355" w:type="dxa"/>
          <w:tblLook w:val="04A0"/>
        </w:tblPrEx>
        <w:trPr>
          <w:trHeight w:val="287"/>
        </w:trPr>
        <w:tc>
          <w:tcPr>
            <w:tcW w:w="2425" w:type="dxa"/>
            <w:vAlign w:val="bottom"/>
          </w:tcPr>
          <w:p w:rsidR="00E67192" w:rsidRPr="00990D3B" w:rsidP="00AE650A" w14:paraId="688649DA" w14:textId="59D56728">
            <w:pPr>
              <w:pStyle w:val="TableHeaderLeft"/>
            </w:pPr>
            <w:r w:rsidRPr="00990D3B">
              <w:t xml:space="preserve">Performance </w:t>
            </w:r>
            <w:r w:rsidRPr="00990D3B" w:rsidR="00D63288">
              <w:t>m</w:t>
            </w:r>
            <w:r w:rsidRPr="00990D3B">
              <w:t>easure</w:t>
            </w:r>
          </w:p>
        </w:tc>
        <w:tc>
          <w:tcPr>
            <w:tcW w:w="1620" w:type="dxa"/>
            <w:vAlign w:val="bottom"/>
          </w:tcPr>
          <w:p w:rsidR="00E67192" w:rsidRPr="00990D3B" w:rsidP="00AE650A" w14:paraId="02CC26F6" w14:textId="4304457C">
            <w:pPr>
              <w:pStyle w:val="TableHeaderCenter"/>
            </w:pPr>
            <w:r w:rsidRPr="00990D3B">
              <w:t>[MCP]</w:t>
            </w:r>
          </w:p>
        </w:tc>
        <w:tc>
          <w:tcPr>
            <w:tcW w:w="1620" w:type="dxa"/>
            <w:vAlign w:val="bottom"/>
          </w:tcPr>
          <w:p w:rsidR="00E67192" w:rsidRPr="00990D3B" w:rsidP="00AE650A" w14:paraId="6CFF5B05" w14:textId="16CBC5FB">
            <w:pPr>
              <w:pStyle w:val="TableHeaderCenter"/>
            </w:pPr>
            <w:r w:rsidRPr="00990D3B">
              <w:t>[MCP]</w:t>
            </w:r>
          </w:p>
        </w:tc>
        <w:tc>
          <w:tcPr>
            <w:tcW w:w="1710" w:type="dxa"/>
            <w:vAlign w:val="bottom"/>
          </w:tcPr>
          <w:p w:rsidR="00E67192" w:rsidRPr="00990D3B" w:rsidP="00AE650A" w14:paraId="1B53BCBE" w14:textId="326EF697">
            <w:pPr>
              <w:pStyle w:val="TableHeaderCenter"/>
            </w:pPr>
            <w:r w:rsidRPr="00990D3B">
              <w:t>[MCP]</w:t>
            </w:r>
          </w:p>
        </w:tc>
        <w:tc>
          <w:tcPr>
            <w:tcW w:w="1980" w:type="dxa"/>
            <w:vAlign w:val="bottom"/>
          </w:tcPr>
          <w:p w:rsidR="00E67192" w:rsidRPr="00990D3B" w:rsidP="00AE650A" w14:paraId="767C7B0B" w14:textId="38CEA4E3">
            <w:pPr>
              <w:pStyle w:val="TableHeaderCenter"/>
            </w:pPr>
            <w:r w:rsidRPr="00990D3B">
              <w:t xml:space="preserve">Statewide MCP </w:t>
            </w:r>
            <w:r w:rsidRPr="00990D3B" w:rsidR="00D63288">
              <w:t>a</w:t>
            </w:r>
            <w:r w:rsidRPr="00990D3B">
              <w:t>verage</w:t>
            </w:r>
          </w:p>
        </w:tc>
      </w:tr>
      <w:tr w14:paraId="603059BF" w14:textId="77777777" w:rsidTr="00BD1FC3">
        <w:tblPrEx>
          <w:tblW w:w="9355" w:type="dxa"/>
          <w:tblLook w:val="04A0"/>
        </w:tblPrEx>
        <w:trPr>
          <w:trHeight w:val="260"/>
        </w:trPr>
        <w:tc>
          <w:tcPr>
            <w:tcW w:w="2425" w:type="dxa"/>
            <w:vAlign w:val="bottom"/>
          </w:tcPr>
          <w:p w:rsidR="00E67192" w:rsidRPr="00990D3B" w:rsidP="00061CDD" w14:paraId="4F5FB9A8" w14:textId="1E15B568">
            <w:pPr>
              <w:pStyle w:val="EQRTableText"/>
            </w:pPr>
          </w:p>
        </w:tc>
        <w:tc>
          <w:tcPr>
            <w:tcW w:w="1620" w:type="dxa"/>
          </w:tcPr>
          <w:p w:rsidR="00E67192" w:rsidRPr="00990D3B" w:rsidP="00061CDD" w14:paraId="21CAC9BF" w14:textId="4B768D40">
            <w:pPr>
              <w:pStyle w:val="EQRTableText"/>
            </w:pPr>
          </w:p>
        </w:tc>
        <w:tc>
          <w:tcPr>
            <w:tcW w:w="1620" w:type="dxa"/>
          </w:tcPr>
          <w:p w:rsidR="00E67192" w:rsidRPr="00990D3B" w:rsidP="00061CDD" w14:paraId="532451FF" w14:textId="2F23963B">
            <w:pPr>
              <w:pStyle w:val="EQRTableText"/>
            </w:pPr>
          </w:p>
        </w:tc>
        <w:tc>
          <w:tcPr>
            <w:tcW w:w="1710" w:type="dxa"/>
          </w:tcPr>
          <w:p w:rsidR="00E67192" w:rsidRPr="00990D3B" w:rsidP="00061CDD" w14:paraId="18D7F1ED" w14:textId="5CBAA7E4">
            <w:pPr>
              <w:pStyle w:val="EQRTableText"/>
            </w:pPr>
          </w:p>
        </w:tc>
        <w:tc>
          <w:tcPr>
            <w:tcW w:w="1980" w:type="dxa"/>
          </w:tcPr>
          <w:p w:rsidR="00E67192" w:rsidRPr="00990D3B" w:rsidP="00061CDD" w14:paraId="2F68BD3B" w14:textId="2C853CAD">
            <w:pPr>
              <w:pStyle w:val="EQRTableText"/>
            </w:pPr>
          </w:p>
        </w:tc>
      </w:tr>
      <w:tr w14:paraId="2AB17800" w14:textId="77777777" w:rsidTr="00BD1FC3">
        <w:tblPrEx>
          <w:tblW w:w="9355" w:type="dxa"/>
          <w:tblLook w:val="04A0"/>
        </w:tblPrEx>
        <w:trPr>
          <w:trHeight w:val="231"/>
        </w:trPr>
        <w:tc>
          <w:tcPr>
            <w:tcW w:w="2425" w:type="dxa"/>
          </w:tcPr>
          <w:p w:rsidR="00E67192" w:rsidRPr="00990D3B" w:rsidP="00061CDD" w14:paraId="39EFE202" w14:textId="77777777">
            <w:pPr>
              <w:pStyle w:val="EQRTableText"/>
            </w:pPr>
          </w:p>
        </w:tc>
        <w:tc>
          <w:tcPr>
            <w:tcW w:w="1620" w:type="dxa"/>
          </w:tcPr>
          <w:p w:rsidR="00E67192" w:rsidRPr="00990D3B" w:rsidP="00061CDD" w14:paraId="42BE369A" w14:textId="77777777">
            <w:pPr>
              <w:pStyle w:val="EQRTableText"/>
            </w:pPr>
          </w:p>
        </w:tc>
        <w:tc>
          <w:tcPr>
            <w:tcW w:w="1620" w:type="dxa"/>
          </w:tcPr>
          <w:p w:rsidR="00E67192" w:rsidRPr="00990D3B" w:rsidP="00061CDD" w14:paraId="16417D8D" w14:textId="77777777">
            <w:pPr>
              <w:pStyle w:val="EQRTableText"/>
            </w:pPr>
          </w:p>
        </w:tc>
        <w:tc>
          <w:tcPr>
            <w:tcW w:w="1710" w:type="dxa"/>
          </w:tcPr>
          <w:p w:rsidR="00E67192" w:rsidRPr="00990D3B" w:rsidP="00061CDD" w14:paraId="697A4843" w14:textId="77777777">
            <w:pPr>
              <w:pStyle w:val="EQRTableText"/>
            </w:pPr>
          </w:p>
        </w:tc>
        <w:tc>
          <w:tcPr>
            <w:tcW w:w="1980" w:type="dxa"/>
          </w:tcPr>
          <w:p w:rsidR="00E67192" w:rsidRPr="00990D3B" w:rsidP="00061CDD" w14:paraId="13331B78" w14:textId="77777777">
            <w:pPr>
              <w:pStyle w:val="EQRTableText"/>
            </w:pPr>
          </w:p>
        </w:tc>
      </w:tr>
      <w:tr w14:paraId="48117A48" w14:textId="77777777" w:rsidTr="00BD1FC3">
        <w:tblPrEx>
          <w:tblW w:w="9355" w:type="dxa"/>
          <w:tblLook w:val="04A0"/>
        </w:tblPrEx>
        <w:trPr>
          <w:trHeight w:val="231"/>
        </w:trPr>
        <w:tc>
          <w:tcPr>
            <w:tcW w:w="2425" w:type="dxa"/>
          </w:tcPr>
          <w:p w:rsidR="00E67192" w:rsidRPr="00990D3B" w:rsidP="00061CDD" w14:paraId="152C0F00" w14:textId="77777777">
            <w:pPr>
              <w:pStyle w:val="EQRTableText"/>
            </w:pPr>
          </w:p>
        </w:tc>
        <w:tc>
          <w:tcPr>
            <w:tcW w:w="1620" w:type="dxa"/>
          </w:tcPr>
          <w:p w:rsidR="00E67192" w:rsidRPr="00990D3B" w:rsidP="00061CDD" w14:paraId="56483FA7" w14:textId="77777777">
            <w:pPr>
              <w:pStyle w:val="EQRTableText"/>
            </w:pPr>
          </w:p>
        </w:tc>
        <w:tc>
          <w:tcPr>
            <w:tcW w:w="1620" w:type="dxa"/>
          </w:tcPr>
          <w:p w:rsidR="00E67192" w:rsidRPr="00990D3B" w:rsidP="00061CDD" w14:paraId="2CBEBC8A" w14:textId="77777777">
            <w:pPr>
              <w:pStyle w:val="EQRTableText"/>
            </w:pPr>
          </w:p>
        </w:tc>
        <w:tc>
          <w:tcPr>
            <w:tcW w:w="1710" w:type="dxa"/>
          </w:tcPr>
          <w:p w:rsidR="00E67192" w:rsidRPr="00990D3B" w:rsidP="00061CDD" w14:paraId="2C53CFED" w14:textId="77777777">
            <w:pPr>
              <w:pStyle w:val="EQRTableText"/>
            </w:pPr>
          </w:p>
        </w:tc>
        <w:tc>
          <w:tcPr>
            <w:tcW w:w="1980" w:type="dxa"/>
          </w:tcPr>
          <w:p w:rsidR="00E67192" w:rsidRPr="00990D3B" w:rsidP="00061CDD" w14:paraId="265C901D" w14:textId="77777777">
            <w:pPr>
              <w:pStyle w:val="EQRTableText"/>
            </w:pPr>
          </w:p>
        </w:tc>
      </w:tr>
      <w:tr w14:paraId="5A11FF3F" w14:textId="77777777" w:rsidTr="00BD1FC3">
        <w:tblPrEx>
          <w:tblW w:w="9355" w:type="dxa"/>
          <w:tblLook w:val="04A0"/>
        </w:tblPrEx>
        <w:trPr>
          <w:trHeight w:val="231"/>
        </w:trPr>
        <w:tc>
          <w:tcPr>
            <w:tcW w:w="2425" w:type="dxa"/>
          </w:tcPr>
          <w:p w:rsidR="00E67192" w:rsidRPr="00990D3B" w:rsidP="00061CDD" w14:paraId="5BA137FA" w14:textId="77777777">
            <w:pPr>
              <w:pStyle w:val="EQRTableText"/>
            </w:pPr>
          </w:p>
        </w:tc>
        <w:tc>
          <w:tcPr>
            <w:tcW w:w="1620" w:type="dxa"/>
          </w:tcPr>
          <w:p w:rsidR="00E67192" w:rsidRPr="00990D3B" w:rsidP="00061CDD" w14:paraId="52ED558D" w14:textId="77777777">
            <w:pPr>
              <w:pStyle w:val="EQRTableText"/>
            </w:pPr>
          </w:p>
        </w:tc>
        <w:tc>
          <w:tcPr>
            <w:tcW w:w="1620" w:type="dxa"/>
          </w:tcPr>
          <w:p w:rsidR="00E67192" w:rsidRPr="00990D3B" w:rsidP="00061CDD" w14:paraId="75F7D2FE" w14:textId="77777777">
            <w:pPr>
              <w:pStyle w:val="EQRTableText"/>
            </w:pPr>
          </w:p>
        </w:tc>
        <w:tc>
          <w:tcPr>
            <w:tcW w:w="1710" w:type="dxa"/>
          </w:tcPr>
          <w:p w:rsidR="00E67192" w:rsidRPr="00990D3B" w:rsidP="00061CDD" w14:paraId="3F665322" w14:textId="77777777">
            <w:pPr>
              <w:pStyle w:val="EQRTableText"/>
            </w:pPr>
          </w:p>
        </w:tc>
        <w:tc>
          <w:tcPr>
            <w:tcW w:w="1980" w:type="dxa"/>
          </w:tcPr>
          <w:p w:rsidR="00E67192" w:rsidRPr="00990D3B" w:rsidP="00061CDD" w14:paraId="539018BD" w14:textId="77777777">
            <w:pPr>
              <w:pStyle w:val="EQRTableText"/>
            </w:pPr>
          </w:p>
        </w:tc>
      </w:tr>
      <w:tr w14:paraId="2C5F734A" w14:textId="77777777" w:rsidTr="00BD1FC3">
        <w:tblPrEx>
          <w:tblW w:w="9355" w:type="dxa"/>
          <w:tblLook w:val="04A0"/>
        </w:tblPrEx>
        <w:trPr>
          <w:trHeight w:val="231"/>
        </w:trPr>
        <w:tc>
          <w:tcPr>
            <w:tcW w:w="2425" w:type="dxa"/>
          </w:tcPr>
          <w:p w:rsidR="00E67192" w:rsidRPr="00990D3B" w:rsidP="00061CDD" w14:paraId="2E422DBA" w14:textId="77777777">
            <w:pPr>
              <w:pStyle w:val="EQRTableText"/>
            </w:pPr>
          </w:p>
        </w:tc>
        <w:tc>
          <w:tcPr>
            <w:tcW w:w="1620" w:type="dxa"/>
          </w:tcPr>
          <w:p w:rsidR="00E67192" w:rsidRPr="00990D3B" w:rsidP="00061CDD" w14:paraId="3BE0F351" w14:textId="77777777">
            <w:pPr>
              <w:pStyle w:val="EQRTableText"/>
            </w:pPr>
          </w:p>
        </w:tc>
        <w:tc>
          <w:tcPr>
            <w:tcW w:w="1620" w:type="dxa"/>
          </w:tcPr>
          <w:p w:rsidR="00E67192" w:rsidRPr="00990D3B" w:rsidP="00061CDD" w14:paraId="3FE32D7D" w14:textId="77777777">
            <w:pPr>
              <w:pStyle w:val="EQRTableText"/>
            </w:pPr>
          </w:p>
        </w:tc>
        <w:tc>
          <w:tcPr>
            <w:tcW w:w="1710" w:type="dxa"/>
          </w:tcPr>
          <w:p w:rsidR="00E67192" w:rsidRPr="00990D3B" w:rsidP="00061CDD" w14:paraId="0954DDB2" w14:textId="77777777">
            <w:pPr>
              <w:pStyle w:val="EQRTableText"/>
            </w:pPr>
          </w:p>
        </w:tc>
        <w:tc>
          <w:tcPr>
            <w:tcW w:w="1980" w:type="dxa"/>
          </w:tcPr>
          <w:p w:rsidR="00E67192" w:rsidRPr="00990D3B" w:rsidP="00061CDD" w14:paraId="17C99B81" w14:textId="77777777">
            <w:pPr>
              <w:pStyle w:val="EQRTableText"/>
            </w:pPr>
          </w:p>
        </w:tc>
      </w:tr>
      <w:tr w14:paraId="6938B95B" w14:textId="77777777" w:rsidTr="00BD1FC3">
        <w:tblPrEx>
          <w:tblW w:w="9355" w:type="dxa"/>
          <w:tblLook w:val="04A0"/>
        </w:tblPrEx>
        <w:trPr>
          <w:trHeight w:val="231"/>
        </w:trPr>
        <w:tc>
          <w:tcPr>
            <w:tcW w:w="2425" w:type="dxa"/>
          </w:tcPr>
          <w:p w:rsidR="00E67192" w:rsidRPr="00990D3B" w:rsidP="00061CDD" w14:paraId="21AE0745" w14:textId="77777777">
            <w:pPr>
              <w:pStyle w:val="EQRTableText"/>
            </w:pPr>
          </w:p>
        </w:tc>
        <w:tc>
          <w:tcPr>
            <w:tcW w:w="1620" w:type="dxa"/>
          </w:tcPr>
          <w:p w:rsidR="00E67192" w:rsidRPr="00990D3B" w:rsidP="00061CDD" w14:paraId="2C59B40A" w14:textId="77777777">
            <w:pPr>
              <w:pStyle w:val="EQRTableText"/>
            </w:pPr>
          </w:p>
        </w:tc>
        <w:tc>
          <w:tcPr>
            <w:tcW w:w="1620" w:type="dxa"/>
          </w:tcPr>
          <w:p w:rsidR="00E67192" w:rsidRPr="00990D3B" w:rsidP="00061CDD" w14:paraId="085CB289" w14:textId="77777777">
            <w:pPr>
              <w:pStyle w:val="EQRTableText"/>
            </w:pPr>
          </w:p>
        </w:tc>
        <w:tc>
          <w:tcPr>
            <w:tcW w:w="1710" w:type="dxa"/>
          </w:tcPr>
          <w:p w:rsidR="00E67192" w:rsidRPr="00990D3B" w:rsidP="00061CDD" w14:paraId="6739EF82" w14:textId="77777777">
            <w:pPr>
              <w:pStyle w:val="EQRTableText"/>
            </w:pPr>
          </w:p>
        </w:tc>
        <w:tc>
          <w:tcPr>
            <w:tcW w:w="1980" w:type="dxa"/>
          </w:tcPr>
          <w:p w:rsidR="00E67192" w:rsidRPr="00990D3B" w:rsidP="00061CDD" w14:paraId="34A641D8" w14:textId="77777777">
            <w:pPr>
              <w:pStyle w:val="EQRTableText"/>
            </w:pPr>
          </w:p>
        </w:tc>
      </w:tr>
      <w:tr w14:paraId="606CC4B0" w14:textId="77777777" w:rsidTr="00BD1FC3">
        <w:tblPrEx>
          <w:tblW w:w="9355" w:type="dxa"/>
          <w:tblLook w:val="04A0"/>
        </w:tblPrEx>
        <w:trPr>
          <w:trHeight w:val="231"/>
        </w:trPr>
        <w:tc>
          <w:tcPr>
            <w:tcW w:w="2425" w:type="dxa"/>
          </w:tcPr>
          <w:p w:rsidR="00E67192" w:rsidRPr="00990D3B" w:rsidP="00061CDD" w14:paraId="09B4C084" w14:textId="77777777">
            <w:pPr>
              <w:pStyle w:val="EQRTableText"/>
            </w:pPr>
          </w:p>
        </w:tc>
        <w:tc>
          <w:tcPr>
            <w:tcW w:w="1620" w:type="dxa"/>
          </w:tcPr>
          <w:p w:rsidR="00E67192" w:rsidRPr="00990D3B" w:rsidP="00061CDD" w14:paraId="764A3F8C" w14:textId="77777777">
            <w:pPr>
              <w:pStyle w:val="EQRTableText"/>
            </w:pPr>
          </w:p>
        </w:tc>
        <w:tc>
          <w:tcPr>
            <w:tcW w:w="1620" w:type="dxa"/>
          </w:tcPr>
          <w:p w:rsidR="00E67192" w:rsidRPr="00990D3B" w:rsidP="00061CDD" w14:paraId="1974D586" w14:textId="77777777">
            <w:pPr>
              <w:pStyle w:val="EQRTableText"/>
            </w:pPr>
          </w:p>
        </w:tc>
        <w:tc>
          <w:tcPr>
            <w:tcW w:w="1710" w:type="dxa"/>
          </w:tcPr>
          <w:p w:rsidR="00E67192" w:rsidRPr="00990D3B" w:rsidP="00061CDD" w14:paraId="32302C4E" w14:textId="77777777">
            <w:pPr>
              <w:pStyle w:val="EQRTableText"/>
            </w:pPr>
          </w:p>
        </w:tc>
        <w:tc>
          <w:tcPr>
            <w:tcW w:w="1980" w:type="dxa"/>
          </w:tcPr>
          <w:p w:rsidR="00E67192" w:rsidRPr="00990D3B" w:rsidP="00061CDD" w14:paraId="7D206FC5" w14:textId="77777777">
            <w:pPr>
              <w:pStyle w:val="EQRTableText"/>
            </w:pPr>
          </w:p>
        </w:tc>
      </w:tr>
      <w:tr w14:paraId="268A7FE3" w14:textId="77777777" w:rsidTr="00BD1FC3">
        <w:tblPrEx>
          <w:tblW w:w="9355" w:type="dxa"/>
          <w:tblLook w:val="04A0"/>
        </w:tblPrEx>
        <w:trPr>
          <w:trHeight w:val="231"/>
        </w:trPr>
        <w:tc>
          <w:tcPr>
            <w:tcW w:w="2425" w:type="dxa"/>
          </w:tcPr>
          <w:p w:rsidR="00E67192" w:rsidRPr="00990D3B" w:rsidP="00061CDD" w14:paraId="754C3366" w14:textId="77777777">
            <w:pPr>
              <w:pStyle w:val="EQRTableText"/>
            </w:pPr>
          </w:p>
        </w:tc>
        <w:tc>
          <w:tcPr>
            <w:tcW w:w="1620" w:type="dxa"/>
          </w:tcPr>
          <w:p w:rsidR="00E67192" w:rsidRPr="00990D3B" w:rsidP="00061CDD" w14:paraId="075CCCD0" w14:textId="77777777">
            <w:pPr>
              <w:pStyle w:val="EQRTableText"/>
            </w:pPr>
          </w:p>
        </w:tc>
        <w:tc>
          <w:tcPr>
            <w:tcW w:w="1620" w:type="dxa"/>
          </w:tcPr>
          <w:p w:rsidR="00E67192" w:rsidRPr="00990D3B" w:rsidP="00061CDD" w14:paraId="0E2A0BAD" w14:textId="77777777">
            <w:pPr>
              <w:pStyle w:val="EQRTableText"/>
            </w:pPr>
          </w:p>
        </w:tc>
        <w:tc>
          <w:tcPr>
            <w:tcW w:w="1710" w:type="dxa"/>
          </w:tcPr>
          <w:p w:rsidR="00E67192" w:rsidRPr="00990D3B" w:rsidP="00061CDD" w14:paraId="7E0EA397" w14:textId="77777777">
            <w:pPr>
              <w:pStyle w:val="EQRTableText"/>
            </w:pPr>
          </w:p>
        </w:tc>
        <w:tc>
          <w:tcPr>
            <w:tcW w:w="1980" w:type="dxa"/>
          </w:tcPr>
          <w:p w:rsidR="00E67192" w:rsidRPr="00990D3B" w:rsidP="00061CDD" w14:paraId="12A6DD75" w14:textId="77777777">
            <w:pPr>
              <w:pStyle w:val="EQRTableText"/>
            </w:pPr>
          </w:p>
        </w:tc>
      </w:tr>
    </w:tbl>
    <w:p w:rsidR="00E67192" w:rsidRPr="00990D3B" w:rsidP="00B7177C" w14:paraId="49638FA9" w14:textId="7C3359C3">
      <w:pPr>
        <w:pStyle w:val="EQRTableFootnoteCaption"/>
      </w:pPr>
      <w:r w:rsidRPr="00990D3B">
        <w:t>Notes:</w:t>
      </w:r>
    </w:p>
    <w:p w:rsidR="00AE650A" w:rsidRPr="00990D3B" w:rsidP="00B7177C" w14:paraId="56802E78" w14:textId="77777777">
      <w:pPr>
        <w:pStyle w:val="EQRTableFootnoteCaption"/>
      </w:pPr>
    </w:p>
    <w:p w:rsidR="00E67192" w:rsidRPr="00990D3B" w:rsidP="00B115C5" w14:paraId="4D8E402A" w14:textId="3FE20575">
      <w:pPr>
        <w:pStyle w:val="EQRMarkforExhibitWORKSHEET"/>
      </w:pPr>
      <w:bookmarkStart w:id="341" w:name="_Toc201751512"/>
      <w:r w:rsidRPr="00990D3B">
        <w:t xml:space="preserve">Example </w:t>
      </w:r>
      <w:r w:rsidRPr="00990D3B" w:rsidR="00F77E6E">
        <w:t>Worksheet 2.16</w:t>
      </w:r>
      <w:r w:rsidRPr="00990D3B" w:rsidR="00D63288">
        <w:t>.</w:t>
      </w:r>
      <w:r w:rsidRPr="00990D3B" w:rsidR="00F77E6E">
        <w:t xml:space="preserve"> </w:t>
      </w:r>
      <w:r w:rsidRPr="00990D3B">
        <w:t>Performance Measure Reporting</w:t>
      </w:r>
      <w:bookmarkEnd w:id="341"/>
      <w:r w:rsidRPr="00990D3B">
        <w:t xml:space="preserve"> </w:t>
      </w:r>
    </w:p>
    <w:tbl>
      <w:tblPr>
        <w:tblStyle w:val="TableGrid"/>
        <w:tblW w:w="9355" w:type="dxa"/>
        <w:tblLook w:val="04A0"/>
      </w:tblPr>
      <w:tblGrid>
        <w:gridCol w:w="2425"/>
        <w:gridCol w:w="1620"/>
        <w:gridCol w:w="1620"/>
        <w:gridCol w:w="1710"/>
        <w:gridCol w:w="1980"/>
      </w:tblGrid>
      <w:tr w14:paraId="7AEB70FF" w14:textId="77777777" w:rsidTr="00BD1FC3">
        <w:tblPrEx>
          <w:tblW w:w="9355" w:type="dxa"/>
          <w:tblLook w:val="04A0"/>
        </w:tblPrEx>
        <w:trPr>
          <w:trHeight w:val="287"/>
        </w:trPr>
        <w:tc>
          <w:tcPr>
            <w:tcW w:w="2425" w:type="dxa"/>
            <w:vAlign w:val="bottom"/>
          </w:tcPr>
          <w:p w:rsidR="00E67192" w:rsidRPr="00990D3B" w:rsidP="00AE650A" w14:paraId="2EBAFCEB" w14:textId="6690D2A0">
            <w:pPr>
              <w:pStyle w:val="TableHeaderLeft"/>
            </w:pPr>
            <w:r w:rsidRPr="00990D3B">
              <w:t>Performance measure</w:t>
            </w:r>
          </w:p>
        </w:tc>
        <w:tc>
          <w:tcPr>
            <w:tcW w:w="1620" w:type="dxa"/>
            <w:vAlign w:val="bottom"/>
          </w:tcPr>
          <w:p w:rsidR="00E67192" w:rsidRPr="00990D3B" w:rsidP="00AE650A" w14:paraId="5685895A" w14:textId="62F58CBC">
            <w:pPr>
              <w:pStyle w:val="TableHeaderCenter"/>
            </w:pPr>
            <w:r w:rsidRPr="00990D3B">
              <w:t>Plan</w:t>
            </w:r>
            <w:r w:rsidRPr="00990D3B">
              <w:t xml:space="preserve"> A</w:t>
            </w:r>
          </w:p>
        </w:tc>
        <w:tc>
          <w:tcPr>
            <w:tcW w:w="1620" w:type="dxa"/>
            <w:vAlign w:val="bottom"/>
          </w:tcPr>
          <w:p w:rsidR="00E67192" w:rsidRPr="00990D3B" w:rsidP="00AE650A" w14:paraId="5BF3348F" w14:textId="5DD2DD41">
            <w:pPr>
              <w:pStyle w:val="TableHeaderCenter"/>
            </w:pPr>
            <w:r w:rsidRPr="00990D3B">
              <w:t>Plan</w:t>
            </w:r>
            <w:r w:rsidRPr="00990D3B">
              <w:t xml:space="preserve"> B</w:t>
            </w:r>
          </w:p>
        </w:tc>
        <w:tc>
          <w:tcPr>
            <w:tcW w:w="1710" w:type="dxa"/>
            <w:vAlign w:val="bottom"/>
          </w:tcPr>
          <w:p w:rsidR="00E67192" w:rsidRPr="00990D3B" w:rsidP="00AE650A" w14:paraId="1C343D40" w14:textId="343091A6">
            <w:pPr>
              <w:pStyle w:val="TableHeaderCenter"/>
            </w:pPr>
            <w:r w:rsidRPr="00990D3B">
              <w:t>Plan</w:t>
            </w:r>
            <w:r w:rsidRPr="00990D3B">
              <w:t xml:space="preserve"> C</w:t>
            </w:r>
          </w:p>
        </w:tc>
        <w:tc>
          <w:tcPr>
            <w:tcW w:w="1980" w:type="dxa"/>
            <w:vAlign w:val="bottom"/>
          </w:tcPr>
          <w:p w:rsidR="00E67192" w:rsidRPr="00990D3B" w:rsidP="00AE650A" w14:paraId="1B1E77ED" w14:textId="23EFFA66">
            <w:pPr>
              <w:pStyle w:val="TableHeaderCenter"/>
            </w:pPr>
            <w:r w:rsidRPr="00990D3B">
              <w:t>Statewide MCP average</w:t>
            </w:r>
          </w:p>
        </w:tc>
      </w:tr>
      <w:tr w14:paraId="754E15CC" w14:textId="77777777" w:rsidTr="00BD1FC3">
        <w:tblPrEx>
          <w:tblW w:w="9355" w:type="dxa"/>
          <w:tblLook w:val="04A0"/>
        </w:tblPrEx>
        <w:trPr>
          <w:trHeight w:val="260"/>
        </w:trPr>
        <w:tc>
          <w:tcPr>
            <w:tcW w:w="2425" w:type="dxa"/>
          </w:tcPr>
          <w:p w:rsidR="00E67192" w:rsidRPr="00990D3B" w:rsidP="00061CDD" w14:paraId="355AE5CA" w14:textId="59243E55">
            <w:pPr>
              <w:pStyle w:val="EQRTableText"/>
            </w:pPr>
            <w:r w:rsidRPr="00990D3B">
              <w:t xml:space="preserve">Breast Cancer Screening </w:t>
            </w:r>
          </w:p>
        </w:tc>
        <w:tc>
          <w:tcPr>
            <w:tcW w:w="1620" w:type="dxa"/>
          </w:tcPr>
          <w:p w:rsidR="00E67192" w:rsidRPr="00990D3B" w:rsidP="00BD1FC3" w14:paraId="7B2E59A9" w14:textId="77777777">
            <w:pPr>
              <w:shd w:val="clear" w:color="auto" w:fill="92D050"/>
              <w:jc w:val="center"/>
              <w:rPr>
                <w:rFonts w:ascii="Arial" w:hAnsi="Arial" w:cs="Arial"/>
                <w:sz w:val="18"/>
                <w:szCs w:val="18"/>
              </w:rPr>
            </w:pPr>
            <w:r w:rsidRPr="00990D3B">
              <w:rPr>
                <w:rFonts w:ascii="Arial" w:hAnsi="Arial" w:cs="Arial"/>
                <w:sz w:val="18"/>
                <w:szCs w:val="18"/>
              </w:rPr>
              <w:t>72%</w:t>
            </w:r>
          </w:p>
          <w:p w:rsidR="00E67192" w:rsidRPr="00990D3B" w:rsidP="00506D15" w14:paraId="3C329C16" w14:textId="77777777">
            <w:pPr>
              <w:keepNext/>
              <w:jc w:val="center"/>
            </w:pPr>
            <w:r w:rsidRPr="00990D3B">
              <w:rPr>
                <w:rFonts w:ascii="Arial" w:hAnsi="Arial" w:cs="Arial"/>
                <w:sz w:val="18"/>
                <w:szCs w:val="18"/>
              </w:rPr>
              <w:t>↑</w:t>
            </w:r>
          </w:p>
        </w:tc>
        <w:tc>
          <w:tcPr>
            <w:tcW w:w="1620" w:type="dxa"/>
          </w:tcPr>
          <w:p w:rsidR="00E67192" w:rsidRPr="00990D3B" w:rsidP="00BD1FC3" w14:paraId="7C9ABCD9" w14:textId="21EDF4EE">
            <w:pPr>
              <w:shd w:val="clear" w:color="auto" w:fill="92D050"/>
              <w:jc w:val="center"/>
              <w:rPr>
                <w:rFonts w:ascii="Arial" w:hAnsi="Arial" w:cs="Arial"/>
                <w:sz w:val="18"/>
                <w:szCs w:val="18"/>
              </w:rPr>
            </w:pPr>
            <w:r w:rsidRPr="00990D3B">
              <w:rPr>
                <w:rFonts w:ascii="Arial" w:hAnsi="Arial" w:cs="Arial"/>
                <w:sz w:val="18"/>
                <w:szCs w:val="18"/>
              </w:rPr>
              <w:t>5</w:t>
            </w:r>
            <w:r w:rsidRPr="00990D3B" w:rsidR="00A0677E">
              <w:rPr>
                <w:rFonts w:ascii="Arial" w:hAnsi="Arial" w:cs="Arial"/>
                <w:sz w:val="18"/>
                <w:szCs w:val="18"/>
              </w:rPr>
              <w:t>9</w:t>
            </w:r>
            <w:r w:rsidRPr="00990D3B">
              <w:rPr>
                <w:rFonts w:ascii="Arial" w:hAnsi="Arial" w:cs="Arial"/>
                <w:sz w:val="18"/>
                <w:szCs w:val="18"/>
              </w:rPr>
              <w:t>%</w:t>
            </w:r>
          </w:p>
          <w:p w:rsidR="00E67192" w:rsidRPr="00990D3B" w:rsidP="00BD1FC3" w14:paraId="574BCE43" w14:textId="77777777">
            <w:pPr>
              <w:keepNext/>
              <w:jc w:val="center"/>
              <w:rPr>
                <w:rFonts w:ascii="Arial" w:hAnsi="Arial" w:cs="Arial"/>
                <w:sz w:val="18"/>
                <w:szCs w:val="18"/>
              </w:rPr>
            </w:pPr>
            <w:r w:rsidRPr="00990D3B">
              <w:rPr>
                <w:rFonts w:ascii="Arial" w:hAnsi="Arial" w:cs="Arial"/>
                <w:sz w:val="18"/>
                <w:szCs w:val="18"/>
              </w:rPr>
              <w:t>↓</w:t>
            </w:r>
          </w:p>
        </w:tc>
        <w:tc>
          <w:tcPr>
            <w:tcW w:w="1710" w:type="dxa"/>
          </w:tcPr>
          <w:p w:rsidR="00E67192" w:rsidRPr="00990D3B" w:rsidP="00BD1FC3" w14:paraId="1234BCE1" w14:textId="77777777">
            <w:pPr>
              <w:shd w:val="clear" w:color="auto" w:fill="FFC000"/>
              <w:jc w:val="center"/>
              <w:rPr>
                <w:rFonts w:ascii="Arial" w:hAnsi="Arial" w:cs="Arial"/>
                <w:sz w:val="18"/>
                <w:szCs w:val="18"/>
              </w:rPr>
            </w:pPr>
            <w:r w:rsidRPr="00990D3B">
              <w:rPr>
                <w:rFonts w:ascii="Arial" w:hAnsi="Arial" w:cs="Arial"/>
                <w:sz w:val="18"/>
                <w:szCs w:val="18"/>
              </w:rPr>
              <w:t>48%</w:t>
            </w:r>
          </w:p>
          <w:p w:rsidR="00E67192" w:rsidRPr="00990D3B" w:rsidP="00BD1FC3" w14:paraId="0C3EC3BB" w14:textId="77777777">
            <w:pPr>
              <w:keepNext/>
              <w:jc w:val="center"/>
              <w:rPr>
                <w:rFonts w:ascii="Arial" w:hAnsi="Arial" w:cs="Arial"/>
                <w:sz w:val="18"/>
                <w:szCs w:val="18"/>
              </w:rPr>
            </w:pPr>
            <w:r w:rsidRPr="00990D3B">
              <w:rPr>
                <w:rFonts w:ascii="Arial" w:hAnsi="Arial" w:cs="Arial"/>
                <w:sz w:val="18"/>
                <w:szCs w:val="18"/>
              </w:rPr>
              <w:t>↓</w:t>
            </w:r>
          </w:p>
        </w:tc>
        <w:tc>
          <w:tcPr>
            <w:tcW w:w="1980" w:type="dxa"/>
          </w:tcPr>
          <w:p w:rsidR="00E67192" w:rsidRPr="00990D3B" w:rsidP="00506D15" w14:paraId="5EE7950E" w14:textId="77777777">
            <w:pPr>
              <w:pStyle w:val="EQRTableText"/>
              <w:jc w:val="center"/>
            </w:pPr>
            <w:r w:rsidRPr="00990D3B">
              <w:t>57%</w:t>
            </w:r>
          </w:p>
        </w:tc>
      </w:tr>
    </w:tbl>
    <w:p w:rsidR="00A0677E" w:rsidRPr="00990D3B" w:rsidP="00B7177C" w14:paraId="08A7161A" w14:textId="77777777">
      <w:pPr>
        <w:pStyle w:val="EQRTableFootnoteCaption"/>
      </w:pPr>
      <w:r w:rsidRPr="00990D3B">
        <w:t>Notes:</w:t>
      </w:r>
    </w:p>
    <w:p w:rsidR="00A0677E" w:rsidRPr="00990D3B" w:rsidP="00B7177C" w14:paraId="0D07A217" w14:textId="77777777">
      <w:pPr>
        <w:pStyle w:val="EQRTableFootnoteCaption"/>
      </w:pPr>
      <w:r w:rsidRPr="00990D3B">
        <w:t>↑ indicates that MCP's performance on the measure is improving.</w:t>
      </w:r>
    </w:p>
    <w:p w:rsidR="00A0677E" w:rsidRPr="00990D3B" w:rsidP="00B7177C" w14:paraId="78E1FA22" w14:textId="77777777">
      <w:pPr>
        <w:pStyle w:val="EQRTableFootnoteCaption"/>
      </w:pPr>
      <w:r w:rsidRPr="00990D3B">
        <w:t xml:space="preserve">↓ indicates that MCP’s performance on the measure is declining. </w:t>
      </w:r>
    </w:p>
    <w:p w:rsidR="00A0677E" w:rsidRPr="00990D3B" w:rsidP="00B7177C" w14:paraId="1045E9E2" w14:textId="163CFA40">
      <w:pPr>
        <w:pStyle w:val="EQRTableFootnoteCaption"/>
      </w:pPr>
      <w:r w:rsidRPr="00990D3B">
        <w:t xml:space="preserve">Cells highlighted in green indicate that the MCP is performing above the statewide average. Cells highlighted in orange indicate that the MCP is performing below the statewide average. </w:t>
      </w:r>
    </w:p>
    <w:p w:rsidR="00E67192" w:rsidRPr="00990D3B" w:rsidP="00B5252D" w14:paraId="3725DBA7" w14:textId="77777777">
      <w:pPr>
        <w:pStyle w:val="ParagraphContinued"/>
      </w:pPr>
    </w:p>
    <w:p w:rsidR="00924459" w:rsidRPr="00990D3B" w:rsidP="00BD1FC3" w14:paraId="129C1009" w14:textId="03D3FC9F">
      <w:pPr>
        <w:pStyle w:val="Paragraph0"/>
        <w:jc w:val="center"/>
        <w:sectPr w:rsidSect="00A65C6B">
          <w:pgSz w:w="12240" w:h="15840" w:code="1"/>
          <w:pgMar w:top="1440" w:right="1440" w:bottom="1440" w:left="1440" w:header="720" w:footer="720" w:gutter="0"/>
          <w:cols w:space="720"/>
          <w:titlePg/>
          <w:docGrid w:linePitch="360"/>
        </w:sectPr>
      </w:pPr>
      <w:r w:rsidRPr="00990D3B">
        <w:t>END OF WORKSHEETS FOR PROTOCOL 2</w:t>
      </w:r>
    </w:p>
    <w:p w:rsidR="00A76FFA" w:rsidRPr="00990D3B" w:rsidP="00BD1FC3" w14:paraId="0EF99BA8" w14:textId="153CDFF9">
      <w:pPr>
        <w:pStyle w:val="H1"/>
      </w:pPr>
      <w:bookmarkStart w:id="342" w:name="Protocol3"/>
      <w:bookmarkStart w:id="343" w:name="_Toc14777692"/>
      <w:bookmarkStart w:id="344" w:name="_Toc183005582"/>
      <w:bookmarkStart w:id="345" w:name="_Toc201751353"/>
      <w:bookmarkStart w:id="346" w:name="_Toc493246387"/>
      <w:r w:rsidRPr="00990D3B">
        <w:t>Protocol 3.</w:t>
      </w:r>
      <w:bookmarkEnd w:id="342"/>
      <w:r w:rsidRPr="00990D3B">
        <w:t xml:space="preserve"> Review of Compliance </w:t>
      </w:r>
      <w:r w:rsidRPr="00990D3B">
        <w:t>With</w:t>
      </w:r>
      <w:r w:rsidRPr="00990D3B">
        <w:t xml:space="preserve"> Medicaid and C</w:t>
      </w:r>
      <w:r w:rsidRPr="00990D3B" w:rsidR="00A671DD">
        <w:t>HIP</w:t>
      </w:r>
      <w:r w:rsidRPr="00990D3B">
        <w:t xml:space="preserve"> Managed Care Regulations</w:t>
      </w:r>
      <w:bookmarkEnd w:id="343"/>
      <w:bookmarkEnd w:id="344"/>
      <w:bookmarkEnd w:id="345"/>
    </w:p>
    <w:p w:rsidR="00BD1500" w:rsidRPr="00990D3B" w:rsidP="00BD1FC3" w14:paraId="11F462CE" w14:textId="4E9CFA4F">
      <w:pPr>
        <w:pStyle w:val="EQRMANDATORYorOPTIONAL"/>
      </w:pPr>
      <w:r w:rsidRPr="00990D3B">
        <w:t>A MANDATORY EQR-RELATED ACTIVITY</w:t>
      </w:r>
      <w:bookmarkEnd w:id="346"/>
    </w:p>
    <w:tbl>
      <w:tblPr>
        <w:tblW w:w="7200" w:type="dxa"/>
        <w:tblLayout w:type="fixed"/>
        <w:tblLook w:val="04A0"/>
      </w:tblPr>
      <w:tblGrid>
        <w:gridCol w:w="7200"/>
      </w:tblGrid>
      <w:tr w14:paraId="5E8D618A" w14:textId="77777777" w:rsidTr="00BD1FC3">
        <w:tblPrEx>
          <w:tblW w:w="7200" w:type="dxa"/>
          <w:tblLayout w:type="fixed"/>
          <w:tblLook w:val="04A0"/>
        </w:tblPrEx>
        <w:trPr>
          <w:tblHeader/>
        </w:trPr>
        <w:tc>
          <w:tcPr>
            <w:tcW w:w="7200" w:type="dxa"/>
            <w:shd w:val="clear" w:color="auto" w:fill="1CA8B7"/>
            <w:vAlign w:val="bottom"/>
          </w:tcPr>
          <w:p w:rsidR="00102B29" w:rsidRPr="00BF4A2F" w:rsidP="00BD1FC3" w14:paraId="3D1B620D" w14:textId="74A50A11">
            <w:pPr>
              <w:pStyle w:val="EQRACTIVITY"/>
              <w:rPr>
                <w:color w:val="auto"/>
              </w:rPr>
            </w:pPr>
          </w:p>
        </w:tc>
      </w:tr>
      <w:tr w14:paraId="7094AD42" w14:textId="77777777" w:rsidTr="00BD1FC3">
        <w:tblPrEx>
          <w:tblW w:w="7200" w:type="dxa"/>
          <w:tblLayout w:type="fixed"/>
          <w:tblLook w:val="04A0"/>
        </w:tblPrEx>
        <w:tc>
          <w:tcPr>
            <w:tcW w:w="7200" w:type="dxa"/>
            <w:shd w:val="clear" w:color="auto" w:fill="EEF5F8"/>
          </w:tcPr>
          <w:p w:rsidR="00A76FFA" w:rsidRPr="00990D3B" w:rsidP="00BD1FC3" w14:paraId="70E3DCA6" w14:textId="7E1B7A77">
            <w:pPr>
              <w:pStyle w:val="EQRACTIVITY"/>
            </w:pPr>
            <w:hyperlink w:anchor="P3A1" w:tooltip="ACTIVITY 1: ESTABLISH COMPLIANCE THRESHOLDS" w:history="1">
              <w:r w:rsidRPr="00990D3B">
                <w:rPr>
                  <w:rStyle w:val="Hyperlink"/>
                </w:rPr>
                <w:t>ACTIVITY 1: ESTABLISH COMPLIANCE THRESHOLDS</w:t>
              </w:r>
            </w:hyperlink>
          </w:p>
        </w:tc>
      </w:tr>
      <w:tr w14:paraId="13F65C5B" w14:textId="77777777" w:rsidTr="00BD1FC3">
        <w:tblPrEx>
          <w:tblW w:w="7200" w:type="dxa"/>
          <w:tblLayout w:type="fixed"/>
          <w:tblLook w:val="04A0"/>
        </w:tblPrEx>
        <w:tc>
          <w:tcPr>
            <w:tcW w:w="7200" w:type="dxa"/>
          </w:tcPr>
          <w:p w:rsidR="00A76FFA" w:rsidRPr="00990D3B" w:rsidP="00BD1FC3" w14:paraId="12C7BEFB" w14:textId="4F2E8530">
            <w:pPr>
              <w:pStyle w:val="EQRACTIVITY"/>
            </w:pPr>
            <w:hyperlink w:anchor="P3A2" w:tooltip="ACTIVITY 2: PERFORM THE PRELIMINARY REVIEW" w:history="1">
              <w:r w:rsidRPr="00990D3B">
                <w:rPr>
                  <w:rStyle w:val="Hyperlink"/>
                </w:rPr>
                <w:t xml:space="preserve">ACTIVITY 2: PERFORM </w:t>
              </w:r>
              <w:r w:rsidRPr="00990D3B" w:rsidR="0000646B">
                <w:rPr>
                  <w:rStyle w:val="Hyperlink"/>
                </w:rPr>
                <w:t xml:space="preserve">THE </w:t>
              </w:r>
              <w:r w:rsidRPr="00990D3B">
                <w:rPr>
                  <w:rStyle w:val="Hyperlink"/>
                </w:rPr>
                <w:t>PRELIMINARY REVIEW</w:t>
              </w:r>
            </w:hyperlink>
            <w:r w:rsidRPr="00990D3B" w:rsidR="0000646B">
              <w:t xml:space="preserve"> </w:t>
            </w:r>
            <w:r w:rsidRPr="00990D3B" w:rsidR="0000646B">
              <w:rPr>
                <w:rStyle w:val="Hyperlink"/>
              </w:rPr>
              <w:t>(PRE-SITE VISIT)</w:t>
            </w:r>
          </w:p>
        </w:tc>
      </w:tr>
      <w:tr w14:paraId="1237CC42" w14:textId="77777777" w:rsidTr="00BD1FC3">
        <w:tblPrEx>
          <w:tblW w:w="7200" w:type="dxa"/>
          <w:tblLayout w:type="fixed"/>
          <w:tblLook w:val="04A0"/>
        </w:tblPrEx>
        <w:tc>
          <w:tcPr>
            <w:tcW w:w="7200" w:type="dxa"/>
            <w:shd w:val="clear" w:color="auto" w:fill="EEF5F8"/>
          </w:tcPr>
          <w:p w:rsidR="00A76FFA" w:rsidRPr="00990D3B" w:rsidP="00BD1FC3" w14:paraId="6D41D93C" w14:textId="43687966">
            <w:pPr>
              <w:pStyle w:val="EQRACTIVITY"/>
            </w:pPr>
            <w:hyperlink w:anchor="P3A3" w:tooltip="ACTIVITY 3: CONDUCT MCP SITE VISIT" w:history="1">
              <w:r w:rsidRPr="00990D3B">
                <w:rPr>
                  <w:rStyle w:val="Hyperlink"/>
                </w:rPr>
                <w:t xml:space="preserve">ACTIVITY 3: CONDUCT MCP </w:t>
              </w:r>
              <w:r w:rsidRPr="00990D3B" w:rsidR="00FA2F9A">
                <w:rPr>
                  <w:rStyle w:val="Hyperlink"/>
                </w:rPr>
                <w:t xml:space="preserve">SITE </w:t>
              </w:r>
              <w:r w:rsidRPr="00990D3B">
                <w:rPr>
                  <w:rStyle w:val="Hyperlink"/>
                </w:rPr>
                <w:t>VISIT</w:t>
              </w:r>
            </w:hyperlink>
          </w:p>
        </w:tc>
      </w:tr>
      <w:tr w14:paraId="02B1DD97" w14:textId="77777777" w:rsidTr="00BD1FC3">
        <w:tblPrEx>
          <w:tblW w:w="7200" w:type="dxa"/>
          <w:tblLayout w:type="fixed"/>
          <w:tblLook w:val="04A0"/>
        </w:tblPrEx>
        <w:tc>
          <w:tcPr>
            <w:tcW w:w="7200" w:type="dxa"/>
          </w:tcPr>
          <w:p w:rsidR="00A76FFA" w:rsidRPr="00990D3B" w:rsidP="00BD1FC3" w14:paraId="01A3C464" w14:textId="6B518804">
            <w:pPr>
              <w:pStyle w:val="EQRACTIVITY"/>
            </w:pPr>
            <w:hyperlink w:anchor="P3A4" w:tooltip="ACTIVITY 4: COMPILE AND ANALYZE FINDINGS" w:history="1">
              <w:r w:rsidRPr="00990D3B">
                <w:rPr>
                  <w:rStyle w:val="Hyperlink"/>
                </w:rPr>
                <w:t>ACTIVITY 4: COMPILE AND ANALYZE FINDINGS</w:t>
              </w:r>
            </w:hyperlink>
            <w:r w:rsidRPr="00990D3B" w:rsidR="00195B4E">
              <w:t xml:space="preserve"> </w:t>
            </w:r>
            <w:r w:rsidRPr="00990D3B" w:rsidR="00195B4E">
              <w:rPr>
                <w:rStyle w:val="Hyperlink"/>
              </w:rPr>
              <w:t>(POST-SITE VISIT)</w:t>
            </w:r>
          </w:p>
        </w:tc>
      </w:tr>
      <w:tr w14:paraId="048D3632" w14:textId="77777777" w:rsidTr="00BD1FC3">
        <w:tblPrEx>
          <w:tblW w:w="7200" w:type="dxa"/>
          <w:tblLayout w:type="fixed"/>
          <w:tblLook w:val="04A0"/>
        </w:tblPrEx>
        <w:tc>
          <w:tcPr>
            <w:tcW w:w="7200" w:type="dxa"/>
            <w:shd w:val="clear" w:color="auto" w:fill="EEF5F8"/>
          </w:tcPr>
          <w:p w:rsidR="00A76FFA" w:rsidRPr="00990D3B" w:rsidP="00BD1FC3" w14:paraId="7C8E923D" w14:textId="67BF5033">
            <w:pPr>
              <w:pStyle w:val="EQRACTIVITY"/>
            </w:pPr>
            <w:hyperlink w:anchor="P3A5" w:tooltip="ACTIVITY 5: REPORT RESULTS TO THE STATE" w:history="1">
              <w:r w:rsidRPr="00990D3B">
                <w:rPr>
                  <w:rStyle w:val="Hyperlink"/>
                </w:rPr>
                <w:t>ACTIVITY 5: REPORT RESULTS TO THE STATE</w:t>
              </w:r>
            </w:hyperlink>
          </w:p>
        </w:tc>
      </w:tr>
    </w:tbl>
    <w:p w:rsidR="00102B29" w:rsidRPr="00990D3B" w:rsidP="00BD1FC3" w14:paraId="2B520E44" w14:textId="77777777">
      <w:pPr>
        <w:pStyle w:val="H2"/>
      </w:pPr>
      <w:bookmarkStart w:id="347" w:name="_Toc493246388"/>
      <w:bookmarkStart w:id="348" w:name="_Toc496116391"/>
      <w:bookmarkStart w:id="349" w:name="_Toc14777693"/>
      <w:bookmarkStart w:id="350" w:name="_Toc183005583"/>
      <w:bookmarkStart w:id="351" w:name="_Toc201751354"/>
      <w:r w:rsidRPr="00990D3B">
        <w:t>Background</w:t>
      </w:r>
      <w:bookmarkEnd w:id="347"/>
      <w:bookmarkEnd w:id="348"/>
      <w:bookmarkEnd w:id="349"/>
      <w:bookmarkEnd w:id="350"/>
      <w:bookmarkEnd w:id="351"/>
    </w:p>
    <w:p w:rsidR="005E4F91" w:rsidRPr="00990D3B" w:rsidP="00445AD6" w14:paraId="10CBD3EF" w14:textId="7DBBDB4C">
      <w:pPr>
        <w:pStyle w:val="ParagraphContinued"/>
      </w:pPr>
      <w:r w:rsidRPr="00990D3B">
        <w:t xml:space="preserve">This protocol is used to determine the extent to which Medicaid and </w:t>
      </w:r>
      <w:r w:rsidRPr="00990D3B" w:rsidR="00395231">
        <w:t>Children’s Health Insurance Program (</w:t>
      </w:r>
      <w:r w:rsidRPr="00990D3B">
        <w:t>CHIP</w:t>
      </w:r>
      <w:r w:rsidRPr="00990D3B" w:rsidR="00395231">
        <w:t>)</w:t>
      </w:r>
      <w:r w:rsidRPr="00990D3B">
        <w:t xml:space="preserve"> managed care plans (MCPs) </w:t>
      </w:r>
      <w:r w:rsidRPr="00990D3B">
        <w:t>are in compliance with</w:t>
      </w:r>
      <w:r w:rsidRPr="00990D3B">
        <w:t xml:space="preserve"> federal standards. The </w:t>
      </w:r>
      <w:r w:rsidRPr="00990D3B" w:rsidR="0004065D">
        <w:t>Centers for Medicare &amp; Medicaid Services (CMS)</w:t>
      </w:r>
      <w:r w:rsidRPr="00990D3B">
        <w:t xml:space="preserve"> developed standards for MCPs</w:t>
      </w:r>
      <w:r w:rsidRPr="00990D3B" w:rsidR="0004065D">
        <w:t>,</w:t>
      </w:r>
      <w:r w:rsidRPr="00990D3B">
        <w:t xml:space="preserve"> which are codified at </w:t>
      </w:r>
      <w:r w:rsidRPr="00990D3B" w:rsidR="001C7FC0">
        <w:t>42 C.F.R.</w:t>
      </w:r>
      <w:r w:rsidRPr="00990D3B" w:rsidR="007854DF">
        <w:t xml:space="preserve"> </w:t>
      </w:r>
      <w:r w:rsidRPr="00990D3B">
        <w:t xml:space="preserve">438 and </w:t>
      </w:r>
      <w:r w:rsidRPr="00990D3B" w:rsidR="001C7FC0">
        <w:t>42 C.F.R.</w:t>
      </w:r>
      <w:r w:rsidRPr="00990D3B" w:rsidR="007854DF">
        <w:t xml:space="preserve"> </w:t>
      </w:r>
      <w:r w:rsidRPr="00990D3B">
        <w:t xml:space="preserve">457, as revised by the Medicaid and CHIP managed care final rule issued in 2016. </w:t>
      </w:r>
      <w:r w:rsidRPr="00990D3B" w:rsidR="00664691">
        <w:rPr>
          <w:spacing w:val="2"/>
        </w:rPr>
        <w:t>As noted in the</w:t>
      </w:r>
      <w:r w:rsidRPr="00990D3B" w:rsidR="00664691">
        <w:t xml:space="preserve"> </w:t>
      </w:r>
      <w:hyperlink w:anchor="IntroNonDuplication" w:tooltip="Introduction" w:history="1">
        <w:r w:rsidRPr="00990D3B" w:rsidR="00664691">
          <w:rPr>
            <w:rStyle w:val="Hyperlink"/>
          </w:rPr>
          <w:t>Introduction</w:t>
        </w:r>
      </w:hyperlink>
      <w:r w:rsidRPr="00990D3B" w:rsidR="00664691">
        <w:t>,</w:t>
      </w:r>
      <w:r w:rsidRPr="00990D3B" w:rsidR="00664691">
        <w:rPr>
          <w:spacing w:val="2"/>
        </w:rPr>
        <w:t xml:space="preserve"> states have the option to use information from a Medicare or private accreditation review of an MCP to provide information for the annual </w:t>
      </w:r>
      <w:r w:rsidRPr="00990D3B" w:rsidR="00395231">
        <w:rPr>
          <w:spacing w:val="2"/>
        </w:rPr>
        <w:t>external quality review (</w:t>
      </w:r>
      <w:r w:rsidRPr="00990D3B" w:rsidR="00664691">
        <w:rPr>
          <w:spacing w:val="2"/>
        </w:rPr>
        <w:t>EQR</w:t>
      </w:r>
      <w:r w:rsidRPr="00990D3B" w:rsidR="00395231">
        <w:rPr>
          <w:spacing w:val="2"/>
        </w:rPr>
        <w:t>)</w:t>
      </w:r>
      <w:r w:rsidRPr="00990D3B" w:rsidR="00664691">
        <w:rPr>
          <w:spacing w:val="2"/>
        </w:rPr>
        <w:t xml:space="preserve"> instead of conducting this mandatory EQR-related activity.</w:t>
      </w:r>
      <w:r w:rsidRPr="00990D3B" w:rsidR="00F54D41">
        <w:rPr>
          <w:spacing w:val="2"/>
          <w:vertAlign w:val="superscript"/>
        </w:rPr>
        <w:t xml:space="preserve"> </w:t>
      </w:r>
      <w:r>
        <w:rPr>
          <w:spacing w:val="2"/>
          <w:vertAlign w:val="superscript"/>
        </w:rPr>
        <w:footnoteReference w:id="57"/>
      </w:r>
      <w:r w:rsidRPr="00990D3B" w:rsidR="00F54D41">
        <w:rPr>
          <w:spacing w:val="2"/>
          <w:vertAlign w:val="superscript"/>
        </w:rPr>
        <w:t>,</w:t>
      </w:r>
      <w:r w:rsidRPr="00990D3B" w:rsidR="00F54D41">
        <w:rPr>
          <w:rFonts w:ascii="ZWAdobeF" w:hAnsi="ZWAdobeF" w:cs="ZWAdobeF"/>
          <w:sz w:val="2"/>
          <w:szCs w:val="2"/>
        </w:rPr>
        <w:t>5</w:t>
      </w:r>
      <w:r>
        <w:rPr>
          <w:rStyle w:val="FootnoteReference"/>
        </w:rPr>
        <w:footnoteReference w:id="58"/>
      </w:r>
      <w:r w:rsidRPr="00990D3B" w:rsidR="00F54D41">
        <w:rPr>
          <w:rFonts w:ascii="ZWAdobeF" w:hAnsi="ZWAdobeF" w:cs="ZWAdobeF"/>
          <w:sz w:val="2"/>
          <w:szCs w:val="2"/>
        </w:rPr>
        <w:t>F</w:t>
      </w:r>
      <w:r w:rsidRPr="00990D3B" w:rsidR="00F54D41">
        <w:rPr>
          <w:rFonts w:ascii="Cambria" w:hAnsi="Cambria" w:cs="ZWAdobeF"/>
          <w:sz w:val="2"/>
          <w:szCs w:val="2"/>
        </w:rPr>
        <w:t>i</w:t>
      </w:r>
      <w:r w:rsidRPr="00990D3B" w:rsidR="00F54D41">
        <w:rPr>
          <w:spacing w:val="2"/>
        </w:rPr>
        <w:t xml:space="preserve"> </w:t>
      </w:r>
      <w:r w:rsidRPr="00990D3B" w:rsidR="007036D8">
        <w:rPr>
          <w:spacing w:val="2"/>
        </w:rPr>
        <w:t>The</w:t>
      </w:r>
      <w:r w:rsidRPr="00990D3B" w:rsidR="007036D8">
        <w:rPr>
          <w:spacing w:val="2"/>
        </w:rPr>
        <w:t xml:space="preserve"> External Quality Review Organization (EQRO) should review and include in the EQR technical report the f</w:t>
      </w:r>
      <w:r w:rsidRPr="00990D3B" w:rsidR="00F54D41">
        <w:rPr>
          <w:spacing w:val="2"/>
        </w:rPr>
        <w:t>indings from the Medica</w:t>
      </w:r>
      <w:r w:rsidRPr="00990D3B" w:rsidR="00B83BB6">
        <w:rPr>
          <w:spacing w:val="2"/>
        </w:rPr>
        <w:t>re</w:t>
      </w:r>
      <w:r w:rsidRPr="00990D3B" w:rsidR="00F54D41">
        <w:rPr>
          <w:spacing w:val="2"/>
        </w:rPr>
        <w:t xml:space="preserve"> or accreditation review.</w:t>
      </w:r>
      <w:r w:rsidRPr="00990D3B" w:rsidR="003162DF">
        <w:rPr>
          <w:rFonts w:ascii="ZWAdobeF" w:hAnsi="ZWAdobeF" w:cs="ZWAdobeF"/>
          <w:sz w:val="2"/>
          <w:szCs w:val="2"/>
        </w:rPr>
        <w:t>5</w:t>
      </w:r>
    </w:p>
    <w:p w:rsidR="00AA7939" w:rsidRPr="00990D3B" w:rsidP="00BD1FC3" w14:paraId="3FA80E8A" w14:textId="58F88AA7">
      <w:pPr>
        <w:pStyle w:val="H3"/>
      </w:pPr>
      <w:r w:rsidRPr="00990D3B">
        <w:t>Regulatio</w:t>
      </w:r>
      <w:r w:rsidRPr="00990D3B" w:rsidR="00CC7B71">
        <w:t>ns Subject to Compliance Review</w:t>
      </w:r>
    </w:p>
    <w:p w:rsidR="00AA7939" w:rsidRPr="00990D3B" w:rsidP="00445AD6" w14:paraId="2D429EDF" w14:textId="05150B89">
      <w:pPr>
        <w:pStyle w:val="ParagraphContinued"/>
      </w:pPr>
      <w:r w:rsidRPr="00990D3B">
        <w:t xml:space="preserve">The standards that are the subject of this protocol are contained in </w:t>
      </w:r>
      <w:r w:rsidRPr="00990D3B" w:rsidR="001C7FC0">
        <w:t>42 C.F.R.</w:t>
      </w:r>
      <w:r w:rsidRPr="00990D3B">
        <w:t xml:space="preserve"> 438, </w:t>
      </w:r>
      <w:r w:rsidRPr="00990D3B" w:rsidR="00BA4E78">
        <w:t xml:space="preserve">part 56, 100, 114, </w:t>
      </w:r>
      <w:r w:rsidRPr="00990D3B">
        <w:t xml:space="preserve">Subparts D and </w:t>
      </w:r>
      <w:r w:rsidRPr="00990D3B" w:rsidR="00D63288">
        <w:t>Quality assessment and performance improvement (QAPI)</w:t>
      </w:r>
      <w:r w:rsidRPr="00990D3B">
        <w:t>.</w:t>
      </w:r>
      <w:r w:rsidRPr="00990D3B" w:rsidR="003162DF">
        <w:rPr>
          <w:rFonts w:ascii="ZWAdobeF" w:hAnsi="ZWAdobeF" w:cs="ZWAdobeF"/>
          <w:sz w:val="2"/>
          <w:szCs w:val="2"/>
        </w:rPr>
        <w:t>53F</w:t>
      </w:r>
      <w:r>
        <w:rPr>
          <w:vertAlign w:val="superscript"/>
        </w:rPr>
        <w:footnoteReference w:id="59"/>
      </w:r>
      <w:r w:rsidRPr="00990D3B">
        <w:t xml:space="preserve"> The scope of those sections includes:</w:t>
      </w:r>
      <w:r w:rsidRPr="00990D3B" w:rsidR="003162DF">
        <w:rPr>
          <w:rFonts w:ascii="ZWAdobeF" w:hAnsi="ZWAdobeF" w:cs="ZWAdobeF"/>
          <w:sz w:val="2"/>
          <w:szCs w:val="2"/>
        </w:rPr>
        <w:t>54F</w:t>
      </w:r>
      <w:r>
        <w:rPr>
          <w:rStyle w:val="FootnoteReference"/>
        </w:rPr>
        <w:footnoteReference w:id="60"/>
      </w:r>
    </w:p>
    <w:p w:rsidR="00BA4E78" w:rsidRPr="00990D3B" w:rsidP="00FB7CAF" w14:paraId="7504AD3E" w14:textId="4A57AF79">
      <w:pPr>
        <w:pStyle w:val="EQRBulletBLUE"/>
      </w:pPr>
      <w:r w:rsidRPr="00990D3B">
        <w:t xml:space="preserve">Disenrollment </w:t>
      </w:r>
      <w:r w:rsidRPr="00990D3B" w:rsidR="00AA3214">
        <w:t>r</w:t>
      </w:r>
      <w:r w:rsidRPr="00990D3B">
        <w:t xml:space="preserve">equirements and </w:t>
      </w:r>
      <w:r w:rsidRPr="00990D3B" w:rsidR="00AA3214">
        <w:t>l</w:t>
      </w:r>
      <w:r w:rsidRPr="00990D3B">
        <w:t>imitations 438.56</w:t>
      </w:r>
      <w:r w:rsidRPr="00990D3B" w:rsidR="00611C80">
        <w:t>.</w:t>
      </w:r>
    </w:p>
    <w:p w:rsidR="00BA4E78" w:rsidRPr="00990D3B" w:rsidP="00FB7CAF" w14:paraId="360329D2" w14:textId="20F39B9C">
      <w:pPr>
        <w:pStyle w:val="EQRBulletBLUE"/>
      </w:pPr>
      <w:r w:rsidRPr="00990D3B">
        <w:t xml:space="preserve">Enrollee </w:t>
      </w:r>
      <w:r w:rsidRPr="00990D3B" w:rsidR="00AA3214">
        <w:t>r</w:t>
      </w:r>
      <w:r w:rsidRPr="00990D3B">
        <w:t>ights</w:t>
      </w:r>
      <w:r w:rsidRPr="00990D3B">
        <w:t xml:space="preserve"> </w:t>
      </w:r>
      <w:r w:rsidRPr="00990D3B" w:rsidR="00AA3214">
        <w:t>r</w:t>
      </w:r>
      <w:r w:rsidRPr="00990D3B">
        <w:t>equirements 438.100</w:t>
      </w:r>
      <w:r w:rsidRPr="00990D3B" w:rsidR="00611C80">
        <w:t>.</w:t>
      </w:r>
    </w:p>
    <w:p w:rsidR="00BA4E78" w:rsidRPr="00990D3B" w:rsidP="00FB7CAF" w14:paraId="12440222" w14:textId="3CA583AB">
      <w:pPr>
        <w:pStyle w:val="EQRBulletBLUE"/>
      </w:pPr>
      <w:r w:rsidRPr="00990D3B">
        <w:t xml:space="preserve">Emergency and </w:t>
      </w:r>
      <w:r w:rsidRPr="00990D3B" w:rsidR="00AA3214">
        <w:t>p</w:t>
      </w:r>
      <w:r w:rsidRPr="00990D3B">
        <w:t>ost-</w:t>
      </w:r>
      <w:r w:rsidRPr="00990D3B" w:rsidR="00AA3214">
        <w:t>s</w:t>
      </w:r>
      <w:r w:rsidRPr="00990D3B">
        <w:t xml:space="preserve">tabilization </w:t>
      </w:r>
      <w:r w:rsidRPr="00990D3B" w:rsidR="00AA3214">
        <w:t>s</w:t>
      </w:r>
      <w:r w:rsidRPr="00990D3B">
        <w:t>ervices 438.114</w:t>
      </w:r>
      <w:r w:rsidRPr="00990D3B" w:rsidR="00611C80">
        <w:t>.</w:t>
      </w:r>
    </w:p>
    <w:p w:rsidR="00AA7939" w:rsidRPr="00990D3B" w:rsidP="00FB7CAF" w14:paraId="6FD5A993" w14:textId="26760D94">
      <w:pPr>
        <w:pStyle w:val="EQRBulletBLUE"/>
      </w:pPr>
      <w:r w:rsidRPr="00990D3B">
        <w:t xml:space="preserve">Availability of </w:t>
      </w:r>
      <w:r w:rsidRPr="00990D3B" w:rsidR="00611C80">
        <w:t>services 438.206.</w:t>
      </w:r>
    </w:p>
    <w:p w:rsidR="00AA7939" w:rsidRPr="00990D3B" w:rsidP="00FB7CAF" w14:paraId="72D76110" w14:textId="7A887B7E">
      <w:pPr>
        <w:pStyle w:val="EQRBulletBLUE"/>
      </w:pPr>
      <w:r w:rsidRPr="00990D3B">
        <w:t>Assurances of</w:t>
      </w:r>
      <w:r w:rsidRPr="00990D3B" w:rsidR="00140213">
        <w:t xml:space="preserve"> adequate capacity and </w:t>
      </w:r>
      <w:r w:rsidRPr="00990D3B" w:rsidR="00611C80">
        <w:t>services 438.207.</w:t>
      </w:r>
    </w:p>
    <w:p w:rsidR="00AA7939" w:rsidRPr="00990D3B" w:rsidP="00FB7CAF" w14:paraId="4BB39BF9" w14:textId="6BD19343">
      <w:pPr>
        <w:pStyle w:val="EQRBulletBLUE"/>
      </w:pPr>
      <w:r w:rsidRPr="00990D3B">
        <w:t xml:space="preserve">Coordination and continuity of </w:t>
      </w:r>
      <w:r w:rsidRPr="00990D3B" w:rsidR="00611C80">
        <w:t>care 438.208.</w:t>
      </w:r>
    </w:p>
    <w:p w:rsidR="00AA7939" w:rsidRPr="00990D3B" w:rsidP="00FB7CAF" w14:paraId="44736E5B" w14:textId="679A86A8">
      <w:pPr>
        <w:pStyle w:val="EQRBulletBLUE"/>
      </w:pPr>
      <w:r w:rsidRPr="00990D3B">
        <w:t xml:space="preserve">Coverage and authorization of </w:t>
      </w:r>
      <w:r w:rsidRPr="00990D3B" w:rsidR="00611C80">
        <w:t>services 438.210.</w:t>
      </w:r>
    </w:p>
    <w:p w:rsidR="00AA7939" w:rsidRPr="00990D3B" w:rsidP="00FB7CAF" w14:paraId="1B5D7D2A" w14:textId="09E07E9A">
      <w:pPr>
        <w:pStyle w:val="EQRBulletBLUE"/>
      </w:pPr>
      <w:r w:rsidRPr="00990D3B">
        <w:t xml:space="preserve">Provider </w:t>
      </w:r>
      <w:r w:rsidRPr="00990D3B" w:rsidR="00611C80">
        <w:t>selection 438.214.</w:t>
      </w:r>
    </w:p>
    <w:p w:rsidR="00AA7939" w:rsidRPr="00990D3B" w:rsidP="00FB7CAF" w14:paraId="6C978182" w14:textId="7E07974F">
      <w:pPr>
        <w:pStyle w:val="EQRBulletBLUE"/>
      </w:pPr>
      <w:r w:rsidRPr="00990D3B">
        <w:t>Confidentiality 438.224.</w:t>
      </w:r>
    </w:p>
    <w:p w:rsidR="00AA7939" w:rsidRPr="00990D3B" w:rsidP="00FB7CAF" w14:paraId="0B503C7C" w14:textId="5B6C7106">
      <w:pPr>
        <w:pStyle w:val="EQRBulletBLUE"/>
      </w:pPr>
      <w:r w:rsidRPr="00990D3B">
        <w:t xml:space="preserve">Grievance and appeal </w:t>
      </w:r>
      <w:r w:rsidRPr="00990D3B" w:rsidR="00611C80">
        <w:t>systems 438.228.</w:t>
      </w:r>
    </w:p>
    <w:p w:rsidR="00AA7939" w:rsidRPr="00990D3B" w:rsidP="00FB7CAF" w14:paraId="202D1606" w14:textId="703584B3">
      <w:pPr>
        <w:pStyle w:val="EQRBulletBLUE"/>
      </w:pPr>
      <w:r w:rsidRPr="00990D3B">
        <w:t>Subcontractua</w:t>
      </w:r>
      <w:r w:rsidRPr="00990D3B" w:rsidR="00140213">
        <w:t>l</w:t>
      </w:r>
      <w:r w:rsidRPr="00990D3B" w:rsidR="00140213">
        <w:t xml:space="preserve"> relationships and </w:t>
      </w:r>
      <w:r w:rsidRPr="00990D3B" w:rsidR="00611C80">
        <w:t>delegation 438.230.</w:t>
      </w:r>
    </w:p>
    <w:p w:rsidR="00AA7939" w:rsidRPr="00990D3B" w:rsidP="00FB7CAF" w14:paraId="7CB2A7C3" w14:textId="37937976">
      <w:pPr>
        <w:pStyle w:val="EQRBulletBLUE"/>
      </w:pPr>
      <w:r w:rsidRPr="00990D3B">
        <w:t xml:space="preserve">Practice </w:t>
      </w:r>
      <w:r w:rsidRPr="00990D3B" w:rsidR="00611C80">
        <w:t>guidelines 438.236.</w:t>
      </w:r>
    </w:p>
    <w:p w:rsidR="00AA7939" w:rsidRPr="00990D3B" w:rsidP="00FB7CAF" w14:paraId="6CDADDE5" w14:textId="45667342">
      <w:pPr>
        <w:pStyle w:val="EQRBulletBLUE"/>
      </w:pPr>
      <w:r w:rsidRPr="00990D3B">
        <w:t xml:space="preserve">Health information </w:t>
      </w:r>
      <w:r w:rsidRPr="00990D3B" w:rsidR="00611C80">
        <w:t>systems 438.242.</w:t>
      </w:r>
    </w:p>
    <w:p w:rsidR="00AA7939" w:rsidRPr="00990D3B" w:rsidP="00FB7CAF" w14:paraId="237F965A" w14:textId="7C243B9E">
      <w:pPr>
        <w:pStyle w:val="EQRBulletBLUE"/>
      </w:pPr>
      <w:r w:rsidRPr="00990D3B">
        <w:t xml:space="preserve">Quality assessment and </w:t>
      </w:r>
      <w:r w:rsidRPr="00990D3B" w:rsidR="00140213">
        <w:t xml:space="preserve">performance improvement </w:t>
      </w:r>
      <w:r w:rsidRPr="00990D3B" w:rsidR="00611C80">
        <w:t>program 438.330.</w:t>
      </w:r>
    </w:p>
    <w:p w:rsidR="00AA7939" w:rsidRPr="00990D3B" w:rsidP="00BD1FC3" w14:paraId="5184E0F3" w14:textId="681F3305">
      <w:pPr>
        <w:pStyle w:val="H3"/>
      </w:pPr>
      <w:bookmarkStart w:id="352" w:name="AddAreasPotCompRv"/>
      <w:r w:rsidRPr="00990D3B">
        <w:t xml:space="preserve">Additional Areas </w:t>
      </w:r>
      <w:r w:rsidRPr="00990D3B" w:rsidR="002A1457">
        <w:t>for Potential Compliance Review</w:t>
      </w:r>
      <w:bookmarkEnd w:id="352"/>
    </w:p>
    <w:p w:rsidR="00AA7939" w:rsidRPr="00990D3B" w:rsidP="00445AD6" w14:paraId="71B6A683" w14:textId="64458FFE">
      <w:pPr>
        <w:pStyle w:val="ParagraphContinued"/>
      </w:pPr>
      <w:r w:rsidRPr="00990D3B">
        <w:t xml:space="preserve">CMS encourages states to consider expanding the scope of the review to cover compliance with federal and state requirements beyond those specified in </w:t>
      </w:r>
      <w:r w:rsidRPr="00990D3B" w:rsidR="001C7FC0">
        <w:t>42 C.F.R.</w:t>
      </w:r>
      <w:r w:rsidRPr="00990D3B">
        <w:t xml:space="preserve"> 438, including other state statutory, regulatory, or contractual requirements related to the following areas</w:t>
      </w:r>
      <w:r w:rsidRPr="00990D3B" w:rsidR="0095680A">
        <w:t>, if applicable</w:t>
      </w:r>
      <w:r w:rsidRPr="00990D3B">
        <w:t>:</w:t>
      </w:r>
      <w:r w:rsidRPr="00990D3B" w:rsidR="003162DF">
        <w:rPr>
          <w:rFonts w:ascii="ZWAdobeF" w:hAnsi="ZWAdobeF" w:cs="ZWAdobeF"/>
          <w:sz w:val="2"/>
          <w:szCs w:val="2"/>
        </w:rPr>
        <w:t>55F</w:t>
      </w:r>
      <w:r>
        <w:rPr>
          <w:rStyle w:val="FootnoteReference"/>
          <w:rFonts w:cs="Arial"/>
        </w:rPr>
        <w:footnoteReference w:id="61"/>
      </w:r>
    </w:p>
    <w:p w:rsidR="00AA7939" w:rsidRPr="00990D3B" w:rsidP="00FB7CAF" w14:paraId="071EE070" w14:textId="7F3C6F18">
      <w:pPr>
        <w:pStyle w:val="EQRBulletBLUE"/>
      </w:pPr>
      <w:r w:rsidRPr="00990D3B">
        <w:t xml:space="preserve">Accessibility, including physical accessibility of service sites and medical and diagnostic equipment; accessibility of information (compliance with web-based information, literacy </w:t>
      </w:r>
      <w:r w:rsidRPr="00990D3B">
        <w:t>levels of written materials, and alternate formats); and other accommodations. See Section 508 of the Rehabil</w:t>
      </w:r>
      <w:r w:rsidRPr="00990D3B" w:rsidR="00664691">
        <w:t>itation Act [29 U.S.C.</w:t>
      </w:r>
      <w:r w:rsidRPr="00990D3B" w:rsidR="007854DF">
        <w:t xml:space="preserve"> </w:t>
      </w:r>
      <w:r w:rsidRPr="00990D3B" w:rsidR="00664691">
        <w:t>794d])</w:t>
      </w:r>
      <w:r w:rsidRPr="00990D3B" w:rsidR="00D63288">
        <w:t>.</w:t>
      </w:r>
    </w:p>
    <w:p w:rsidR="00AA7939" w:rsidRPr="00990D3B" w:rsidP="00FB7CAF" w14:paraId="4694CB14" w14:textId="610814B3">
      <w:pPr>
        <w:pStyle w:val="EQRBulletBLUE"/>
      </w:pPr>
      <w:r w:rsidRPr="00990D3B">
        <w:t>Availability and use of home- and community-based services (HCBS) as alternatives to institutional care, so individuals can receive the services they need in the most</w:t>
      </w:r>
      <w:r w:rsidRPr="00990D3B" w:rsidR="00664691">
        <w:t xml:space="preserve"> integrated setting appropriate</w:t>
      </w:r>
      <w:r w:rsidRPr="00990D3B" w:rsidR="00D63288">
        <w:t>.</w:t>
      </w:r>
      <w:r w:rsidRPr="00990D3B">
        <w:t xml:space="preserve"> </w:t>
      </w:r>
    </w:p>
    <w:p w:rsidR="00AA7939" w:rsidRPr="00990D3B" w:rsidP="00FB7CAF" w14:paraId="553FA66A" w14:textId="06CADB2C">
      <w:pPr>
        <w:pStyle w:val="EQRBulletBLUE"/>
      </w:pPr>
      <w:r w:rsidRPr="00990D3B">
        <w:t xml:space="preserve">Credentialing or other selection processes for long-term services and supports (LTSS) providers, including those required where the enrollee can choose their caregiver (such as verification of completion </w:t>
      </w:r>
      <w:r w:rsidRPr="00990D3B" w:rsidR="00664691">
        <w:t>of criminal background checks)</w:t>
      </w:r>
      <w:r w:rsidRPr="00990D3B" w:rsidR="00D63288">
        <w:t>.</w:t>
      </w:r>
    </w:p>
    <w:p w:rsidR="00AA7939" w:rsidRPr="00990D3B" w:rsidP="00FB7CAF" w14:paraId="05E01CC8" w14:textId="6358BC55">
      <w:pPr>
        <w:pStyle w:val="EQRBulletBLUE"/>
      </w:pPr>
      <w:r w:rsidRPr="00990D3B">
        <w:t xml:space="preserve">Person-centered assessment, person-centered care planning, service planning and authorization, service coordination and care management for LTSS, including authorization/utilization management for LTSS and any </w:t>
      </w:r>
      <w:r w:rsidRPr="00990D3B" w:rsidR="00257A1F">
        <w:t>enrollee</w:t>
      </w:r>
      <w:r w:rsidRPr="00990D3B">
        <w:t xml:space="preserve"> rights or protections related to care planning and service planning such as conflict-free case management, self-direction of services, and appeal rights relat</w:t>
      </w:r>
      <w:r w:rsidRPr="00990D3B" w:rsidR="00664691">
        <w:t>ed to person-centered planning</w:t>
      </w:r>
      <w:r w:rsidRPr="00990D3B" w:rsidR="00D63288">
        <w:t>.</w:t>
      </w:r>
    </w:p>
    <w:p w:rsidR="00AA7939" w:rsidRPr="00990D3B" w:rsidP="00FB7CAF" w14:paraId="01BCEA32" w14:textId="038179D8">
      <w:pPr>
        <w:pStyle w:val="EQRBulletBLUE"/>
      </w:pPr>
      <w:r w:rsidRPr="00990D3B">
        <w:t xml:space="preserve">Integration of managed medical, behavioral, and </w:t>
      </w:r>
      <w:r w:rsidRPr="00990D3B" w:rsidR="00664691">
        <w:t>LTSS</w:t>
      </w:r>
      <w:r w:rsidRPr="00990D3B" w:rsidR="00D63288">
        <w:t>.</w:t>
      </w:r>
    </w:p>
    <w:p w:rsidR="00AA7939" w:rsidRPr="00990D3B" w:rsidP="00BD1FC3" w14:paraId="477122DB" w14:textId="77777777">
      <w:pPr>
        <w:pStyle w:val="H3"/>
      </w:pPr>
      <w:r w:rsidRPr="00990D3B">
        <w:t>Frequency of Compliance Review and Manner of Reporting</w:t>
      </w:r>
    </w:p>
    <w:p w:rsidR="00E15617" w:rsidP="00E15617" w14:paraId="0163D4D7" w14:textId="1261DF3E">
      <w:pPr>
        <w:pStyle w:val="ListBullet"/>
        <w:numPr>
          <w:ilvl w:val="0"/>
          <w:numId w:val="0"/>
        </w:numPr>
      </w:pPr>
      <w:r w:rsidRPr="00990D3B">
        <w:t>Federal</w:t>
      </w:r>
      <w:r w:rsidRPr="00990D3B" w:rsidR="00E133F3">
        <w:t xml:space="preserve"> regulations</w:t>
      </w:r>
      <w:r w:rsidRPr="00990D3B">
        <w:t xml:space="preserve"> require</w:t>
      </w:r>
      <w:r w:rsidRPr="00990D3B" w:rsidR="00E95165">
        <w:t xml:space="preserve"> </w:t>
      </w:r>
      <w:r w:rsidRPr="00990D3B" w:rsidR="00AF59D9">
        <w:t xml:space="preserve">MCPs to </w:t>
      </w:r>
      <w:r w:rsidRPr="00990D3B" w:rsidR="006E6CA7">
        <w:t xml:space="preserve">have </w:t>
      </w:r>
      <w:r w:rsidRPr="00990D3B" w:rsidR="00AF59D9">
        <w:t>undergo</w:t>
      </w:r>
      <w:r w:rsidRPr="00990D3B" w:rsidR="006E6CA7">
        <w:t>ne</w:t>
      </w:r>
      <w:r w:rsidRPr="00990D3B" w:rsidR="00AF59D9">
        <w:t xml:space="preserve"> a</w:t>
      </w:r>
      <w:r w:rsidRPr="00990D3B">
        <w:t xml:space="preserve"> review </w:t>
      </w:r>
      <w:r w:rsidRPr="00990D3B" w:rsidR="006E6CA7">
        <w:t>within the three</w:t>
      </w:r>
      <w:r w:rsidRPr="00990D3B" w:rsidR="001B5A68">
        <w:t>-</w:t>
      </w:r>
      <w:r w:rsidRPr="00990D3B" w:rsidR="006E6CA7">
        <w:t xml:space="preserve">year period preceding each annual EQR </w:t>
      </w:r>
      <w:r w:rsidRPr="00990D3B">
        <w:t>to determine MCP compliance with federal standards as implemented by the state. States may choose to</w:t>
      </w:r>
      <w:r w:rsidRPr="00990D3B" w:rsidR="00E133F3">
        <w:t xml:space="preserve"> direct their EQROs</w:t>
      </w:r>
      <w:r w:rsidRPr="00990D3B">
        <w:t xml:space="preserve"> </w:t>
      </w:r>
      <w:r w:rsidRPr="00990D3B" w:rsidR="003F597F">
        <w:t xml:space="preserve">to </w:t>
      </w:r>
      <w:r w:rsidRPr="00990D3B">
        <w:t xml:space="preserve">review all applicable standards at once or may spread the review over a three-year cycle in any manner they choose (for example, fully reviewing a third of </w:t>
      </w:r>
      <w:r w:rsidRPr="00990D3B" w:rsidR="00344926">
        <w:t xml:space="preserve">MCPs </w:t>
      </w:r>
      <w:r w:rsidRPr="00990D3B">
        <w:t xml:space="preserve">each year or conducting a third of the review on all </w:t>
      </w:r>
      <w:r w:rsidRPr="00990D3B" w:rsidR="00344926">
        <w:t xml:space="preserve">MCPs </w:t>
      </w:r>
      <w:r w:rsidRPr="00990D3B">
        <w:t>each year).</w:t>
      </w:r>
      <w:r w:rsidRPr="00990D3B" w:rsidR="00344926">
        <w:t xml:space="preserve"> </w:t>
      </w:r>
      <w:hyperlink w:anchor="Box3n1" w:history="1">
        <w:r w:rsidRPr="001A258F" w:rsidR="001A258F">
          <w:rPr>
            <w:rStyle w:val="Hyperlink"/>
          </w:rPr>
          <w:t>Box 3.1</w:t>
        </w:r>
      </w:hyperlink>
      <w:r w:rsidRPr="001A258F" w:rsidR="001A258F">
        <w:t xml:space="preserve"> (next page) shares guidance on structuring compliance reviews within the three-year cycle.</w:t>
      </w:r>
    </w:p>
    <w:p w:rsidR="00AA7939" w:rsidRPr="00990D3B" w:rsidP="00E15617" w14:paraId="5A530938" w14:textId="79463CA3">
      <w:pPr>
        <w:pStyle w:val="ListBullet"/>
        <w:numPr>
          <w:ilvl w:val="0"/>
          <w:numId w:val="0"/>
        </w:numPr>
      </w:pPr>
      <w:r w:rsidRPr="00990D3B">
        <w:rPr>
          <w:rFonts w:ascii="Times New Roman" w:hAnsi="Times New Roman"/>
          <w:lang w:eastAsia="ko-KR"/>
        </w:rPr>
        <w:t>The three-year period for the compliance review is a rolling three years</w:t>
      </w:r>
      <w:r w:rsidRPr="00990D3B" w:rsidR="00B71932">
        <w:rPr>
          <w:rFonts w:ascii="Times New Roman" w:hAnsi="Times New Roman"/>
          <w:lang w:eastAsia="ko-KR"/>
        </w:rPr>
        <w:t>,</w:t>
      </w:r>
      <w:r w:rsidRPr="00990D3B">
        <w:rPr>
          <w:rFonts w:ascii="Times New Roman" w:hAnsi="Times New Roman"/>
          <w:lang w:eastAsia="ko-KR"/>
        </w:rPr>
        <w:t xml:space="preserve"> meaning that at any given point, the EQR technical reports for the past three reporting cycles should include a full review of the 14 federal quality standards for applicable MCPs.</w:t>
      </w:r>
      <w:r w:rsidRPr="00990D3B">
        <w:t xml:space="preserve"> However, if an EQR technical report summarizes a compliance review that does not include all </w:t>
      </w:r>
      <w:r w:rsidRPr="00990D3B" w:rsidR="003F597F">
        <w:t xml:space="preserve">required </w:t>
      </w:r>
      <w:r w:rsidRPr="00990D3B" w:rsidR="006B6D26">
        <w:t>federal quality standards</w:t>
      </w:r>
      <w:r w:rsidRPr="00990D3B">
        <w:t>, the report should clearly describe:</w:t>
      </w:r>
    </w:p>
    <w:p w:rsidR="00AA7939" w:rsidRPr="00990D3B" w:rsidP="00FB7CAF" w14:paraId="3E959C22" w14:textId="43D1C88D">
      <w:pPr>
        <w:pStyle w:val="EQRBulletBLUE"/>
      </w:pPr>
      <w:r w:rsidRPr="00990D3B">
        <w:t xml:space="preserve">The three-year period </w:t>
      </w:r>
      <w:r w:rsidRPr="00990D3B">
        <w:t>covered</w:t>
      </w:r>
      <w:r w:rsidRPr="00990D3B">
        <w:t xml:space="preserve"> by the current compliance review cycle</w:t>
      </w:r>
      <w:r w:rsidRPr="00990D3B" w:rsidR="00D63288">
        <w:t>.</w:t>
      </w:r>
    </w:p>
    <w:p w:rsidR="00AA7939" w:rsidRPr="00990D3B" w:rsidP="00FB7CAF" w14:paraId="0C93A8AF" w14:textId="22C91DE3">
      <w:pPr>
        <w:pStyle w:val="EQRBulletBLUE"/>
      </w:pPr>
      <w:r w:rsidRPr="00990D3B">
        <w:t xml:space="preserve">The quality standards </w:t>
      </w:r>
      <w:r w:rsidRPr="00990D3B">
        <w:t>not</w:t>
      </w:r>
      <w:r w:rsidRPr="00990D3B">
        <w:t xml:space="preserve"> included in the current report</w:t>
      </w:r>
      <w:r w:rsidRPr="00990D3B" w:rsidR="00D63288">
        <w:t>.</w:t>
      </w:r>
    </w:p>
    <w:p w:rsidR="00AA7939" w:rsidRPr="00990D3B" w:rsidP="00FB7CAF" w14:paraId="17BAFD5F" w14:textId="1F0BF5FF">
      <w:pPr>
        <w:pStyle w:val="EQRBulletBLUE"/>
      </w:pPr>
      <w:r w:rsidRPr="00990D3B">
        <w:t>A summary of findings from all previous reviews within the current review cycle</w:t>
      </w:r>
      <w:r w:rsidRPr="00990D3B" w:rsidR="00D63288">
        <w:t>.</w:t>
      </w:r>
    </w:p>
    <w:p w:rsidR="00A76FFA" w:rsidP="00FB7CAF" w14:paraId="7D67C080" w14:textId="632B23AA">
      <w:pPr>
        <w:pStyle w:val="EQRBulletBLUE"/>
      </w:pPr>
      <w:r w:rsidRPr="00990D3B">
        <w:t>The state’s schedule for review of the remaining standards</w:t>
      </w:r>
      <w:r w:rsidRPr="00990D3B" w:rsidR="00D63288">
        <w:t>.</w:t>
      </w:r>
    </w:p>
    <w:p w:rsidR="002B17A3" w:rsidRPr="00990D3B" w:rsidP="002B17A3" w14:paraId="2E2D0B43" w14:textId="77777777">
      <w:pPr>
        <w:pStyle w:val="EQRBulletBLUE"/>
        <w:numPr>
          <w:ilvl w:val="0"/>
          <w:numId w:val="0"/>
        </w:numPr>
      </w:pPr>
    </w:p>
    <w:p w:rsidR="003261BA" w:rsidP="002B17A3" w14:paraId="5F089C1C" w14:textId="71F72ACB">
      <w:pPr>
        <w:pStyle w:val="H2"/>
      </w:pPr>
      <w:bookmarkStart w:id="353" w:name="_Toc14777694"/>
      <w:bookmarkStart w:id="354" w:name="_Toc183005584"/>
      <w:r w:rsidRPr="00990D3B">
        <w:rPr>
          <w:noProof/>
        </w:rPr>
        <mc:AlternateContent>
          <mc:Choice Requires="wps">
            <w:drawing>
              <wp:anchor distT="0" distB="0" distL="114300" distR="114300" simplePos="0" relativeHeight="252019712" behindDoc="1" locked="0" layoutInCell="1" allowOverlap="1">
                <wp:simplePos x="0" y="0"/>
                <wp:positionH relativeFrom="margin">
                  <wp:align>left</wp:align>
                </wp:positionH>
                <wp:positionV relativeFrom="paragraph">
                  <wp:posOffset>19134</wp:posOffset>
                </wp:positionV>
                <wp:extent cx="5883275" cy="2784475"/>
                <wp:effectExtent l="19050" t="19050" r="22225" b="15875"/>
                <wp:wrapTight wrapText="bothSides">
                  <wp:wrapPolygon>
                    <wp:start x="21670" y="21748"/>
                    <wp:lineTo x="21670" y="25"/>
                    <wp:lineTo x="-12" y="25"/>
                    <wp:lineTo x="-12" y="21748"/>
                    <wp:lineTo x="21670" y="21748"/>
                  </wp:wrapPolygon>
                </wp:wrapTight>
                <wp:docPr id="1883346510" name="Text Box 2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883275" cy="2784475"/>
                        </a:xfrm>
                        <a:prstGeom prst="rect">
                          <a:avLst/>
                        </a:prstGeom>
                        <a:solidFill>
                          <a:srgbClr val="EEF5F8"/>
                        </a:solidFill>
                        <a:ln w="28575" cap="rnd">
                          <a:solidFill>
                            <a:srgbClr val="A5DAD9"/>
                          </a:solidFill>
                          <a:prstDash val="solid"/>
                          <a:miter lim="800000"/>
                          <a:headEnd/>
                          <a:tailEnd/>
                        </a:ln>
                      </wps:spPr>
                      <wps:txbx>
                        <w:txbxContent>
                          <w:p w:rsidR="001A258F" w:rsidRPr="00961B9C" w:rsidP="001A258F" w14:textId="77777777">
                            <w:pPr>
                              <w:pStyle w:val="EQRTextboxheading"/>
                            </w:pPr>
                            <w:bookmarkStart w:id="355" w:name="Box3n1"/>
                            <w:r w:rsidRPr="001A258F">
                              <w:t>Box 3.1</w:t>
                            </w:r>
                            <w:bookmarkEnd w:id="355"/>
                            <w:r w:rsidRPr="001A258F">
                              <w:t>. Compliance Review Approaches Within the Required Three-Year Review Period</w:t>
                            </w:r>
                          </w:p>
                          <w:p w:rsidR="001A258F" w:rsidP="001A258F" w14:textId="77777777">
                            <w:pPr>
                              <w:pStyle w:val="EQRTextboxbody"/>
                            </w:pPr>
                            <w:r>
                              <w:t xml:space="preserve">States are not required to conduct a full-scope compliance review of every federal standard for every managed care plan (MCP) each year. Rather, federal regulations require that all applicable MCPs and all federal quality standards be reviewed within a rolling three-year cycle, while providing flexibility in how states structure annual compliance review activities. </w:t>
                            </w:r>
                          </w:p>
                          <w:p w:rsidR="001A258F" w:rsidP="001A258F" w14:textId="77777777">
                            <w:pPr>
                              <w:pStyle w:val="EQRTextboxbody"/>
                            </w:pPr>
                            <w:r>
                              <w:t>Within the three-year review period, states may:</w:t>
                            </w:r>
                          </w:p>
                          <w:p w:rsidR="001A258F" w:rsidP="001A258F" w14:textId="77777777">
                            <w:pPr>
                              <w:pStyle w:val="EQRTextboxbullet"/>
                            </w:pPr>
                            <w:r>
                              <w:t xml:space="preserve">Conduct full-scope reviews for selected MCPs in a given </w:t>
                            </w:r>
                            <w:r>
                              <w:t>year;</w:t>
                            </w:r>
                          </w:p>
                          <w:p w:rsidR="001A258F" w:rsidP="001A258F" w14:textId="77777777">
                            <w:pPr>
                              <w:pStyle w:val="EQRTextboxbullet"/>
                            </w:pPr>
                            <w:r>
                              <w:t xml:space="preserve">Review selected standards across all MCPs in a given </w:t>
                            </w:r>
                            <w:r>
                              <w:t>year;</w:t>
                            </w:r>
                          </w:p>
                          <w:p w:rsidR="001A258F" w:rsidP="001A258F" w14:textId="77777777">
                            <w:pPr>
                              <w:pStyle w:val="EQRTextboxbullet"/>
                            </w:pPr>
                            <w:r>
                              <w:t>Implement a phased or rotating review schedule; or</w:t>
                            </w:r>
                          </w:p>
                          <w:p w:rsidR="001A258F" w:rsidP="001A258F" w14:textId="77777777">
                            <w:pPr>
                              <w:pStyle w:val="EQRTextboxbullet"/>
                            </w:pPr>
                            <w:r>
                              <w:t>Use a risk-based approach that prioritizes standards or MCPs based on prior findings, performance concerns, operational changes, or other risk indicators.</w:t>
                            </w:r>
                          </w:p>
                          <w:p w:rsidR="001A258F" w:rsidRPr="00E35D96" w:rsidP="001A258F" w14:textId="77777777">
                            <w:pPr>
                              <w:pStyle w:val="EQRTextboxbody"/>
                              <w:rPr>
                                <w:rFonts w:asciiTheme="majorHAnsi" w:hAnsiTheme="majorHAnsi" w:cstheme="majorHAnsi"/>
                              </w:rPr>
                            </w:pPr>
                            <w:r>
                              <w:t>Regardless of the approach used, states must ensure that all required federal quality standards and all applicable MCPs are reviewed within the rolling three-year period and that annual EQR technical reports clearly describe the scope of review activities conducted during the reporting year.</w:t>
                            </w:r>
                          </w:p>
                          <w:p w:rsidR="00307B1F" w:rsidRPr="00E35D96" w:rsidP="002B17A3" w14:textId="2320DD38">
                            <w:pPr>
                              <w:pStyle w:val="EQRTextboxbody"/>
                              <w:rPr>
                                <w:rFonts w:asciiTheme="majorHAnsi" w:hAnsiTheme="majorHAnsi" w:cstheme="majorHAnsi"/>
                              </w:rPr>
                            </w:pPr>
                          </w:p>
                        </w:txbxContent>
                      </wps:txbx>
                      <wps:bodyPr rot="0" vert="horz" wrap="square" lIns="109728" tIns="45720" rIns="109728" bIns="45720" anchor="t" anchorCtr="0" upright="1"/>
                    </wps:wsp>
                  </a:graphicData>
                </a:graphic>
                <wp14:sizeRelH relativeFrom="margin">
                  <wp14:pctWidth>0</wp14:pctWidth>
                </wp14:sizeRelH>
                <wp14:sizeRelV relativeFrom="margin">
                  <wp14:pctHeight>0</wp14:pctHeight>
                </wp14:sizeRelV>
              </wp:anchor>
            </w:drawing>
          </mc:Choice>
          <mc:Fallback>
            <w:pict>
              <v:shape id="_x0000_s1122" type="#_x0000_t202" style="width:463.25pt;height:219.25pt;margin-top:1.5pt;margin-left:0;flip:y;mso-height-percent:0;mso-height-relative:margin;mso-position-horizontal:left;mso-position-horizontal-relative:margin;mso-width-percent:0;mso-width-relative:margin;mso-wrap-distance-bottom:0;mso-wrap-distance-left:9pt;mso-wrap-distance-right:9pt;mso-wrap-distance-top:0;mso-wrap-style:square;position:absolute;rotation:180;visibility:visible;v-text-anchor:top;z-index:-251295744" fillcolor="#eef5f8" strokecolor="#a5dad9" strokeweight="2.25pt">
                <v:stroke endcap="round"/>
                <v:textbox inset="8.64pt,,8.64pt">
                  <w:txbxContent>
                    <w:p w:rsidR="001A258F" w:rsidRPr="00961B9C" w:rsidP="001A258F" w14:paraId="76BB324B" w14:textId="77777777">
                      <w:pPr>
                        <w:pStyle w:val="EQRTextboxheading"/>
                      </w:pPr>
                      <w:bookmarkStart w:id="355" w:name="Box3n1"/>
                      <w:r w:rsidRPr="001A258F">
                        <w:t>Box 3.1</w:t>
                      </w:r>
                      <w:bookmarkEnd w:id="355"/>
                      <w:r w:rsidRPr="001A258F">
                        <w:t>. Compliance Review Approaches Within the Required Three-Year Review Period</w:t>
                      </w:r>
                    </w:p>
                    <w:p w:rsidR="001A258F" w:rsidP="001A258F" w14:paraId="06855F83" w14:textId="77777777">
                      <w:pPr>
                        <w:pStyle w:val="EQRTextboxbody"/>
                      </w:pPr>
                      <w:r>
                        <w:t xml:space="preserve">States are not required to conduct a full-scope compliance review of every federal standard for every managed care plan (MCP) each year. Rather, federal regulations require that all applicable MCPs and all federal quality standards be reviewed within a rolling three-year cycle, while providing flexibility in how states structure annual compliance review activities. </w:t>
                      </w:r>
                    </w:p>
                    <w:p w:rsidR="001A258F" w:rsidP="001A258F" w14:paraId="45ADC63C" w14:textId="77777777">
                      <w:pPr>
                        <w:pStyle w:val="EQRTextboxbody"/>
                      </w:pPr>
                      <w:r>
                        <w:t>Within the three-year review period, states may:</w:t>
                      </w:r>
                    </w:p>
                    <w:p w:rsidR="001A258F" w:rsidP="001A258F" w14:paraId="369AB4A1" w14:textId="77777777">
                      <w:pPr>
                        <w:pStyle w:val="EQRTextboxbullet"/>
                      </w:pPr>
                      <w:r>
                        <w:t xml:space="preserve">Conduct full-scope reviews for selected MCPs in a given </w:t>
                      </w:r>
                      <w:r>
                        <w:t>year;</w:t>
                      </w:r>
                    </w:p>
                    <w:p w:rsidR="001A258F" w:rsidP="001A258F" w14:paraId="68104D3E" w14:textId="77777777">
                      <w:pPr>
                        <w:pStyle w:val="EQRTextboxbullet"/>
                      </w:pPr>
                      <w:r>
                        <w:t xml:space="preserve">Review selected standards across all MCPs in a given </w:t>
                      </w:r>
                      <w:r>
                        <w:t>year;</w:t>
                      </w:r>
                    </w:p>
                    <w:p w:rsidR="001A258F" w:rsidP="001A258F" w14:paraId="54702BAC" w14:textId="77777777">
                      <w:pPr>
                        <w:pStyle w:val="EQRTextboxbullet"/>
                      </w:pPr>
                      <w:r>
                        <w:t>Implement a phased or rotating review schedule; or</w:t>
                      </w:r>
                    </w:p>
                    <w:p w:rsidR="001A258F" w:rsidP="001A258F" w14:paraId="6E4851C1" w14:textId="77777777">
                      <w:pPr>
                        <w:pStyle w:val="EQRTextboxbullet"/>
                      </w:pPr>
                      <w:r>
                        <w:t>Use a risk-based approach that prioritizes standards or MCPs based on prior findings, performance concerns, operational changes, or other risk indicators.</w:t>
                      </w:r>
                    </w:p>
                    <w:p w:rsidR="001A258F" w:rsidRPr="00E35D96" w:rsidP="001A258F" w14:paraId="67754502" w14:textId="77777777">
                      <w:pPr>
                        <w:pStyle w:val="EQRTextboxbody"/>
                        <w:rPr>
                          <w:rFonts w:asciiTheme="majorHAnsi" w:hAnsiTheme="majorHAnsi" w:cstheme="majorHAnsi"/>
                        </w:rPr>
                      </w:pPr>
                      <w:r>
                        <w:t>Regardless of the approach used, states must ensure that all required federal quality standards and all applicable MCPs are reviewed within the rolling three-year period and that annual EQR technical reports clearly describe the scope of review activities conducted during the reporting year.</w:t>
                      </w:r>
                    </w:p>
                    <w:p w:rsidR="00307B1F" w:rsidRPr="00E35D96" w:rsidP="002B17A3" w14:paraId="2F85B098" w14:textId="2320DD38">
                      <w:pPr>
                        <w:pStyle w:val="EQRTextboxbody"/>
                        <w:rPr>
                          <w:rFonts w:asciiTheme="majorHAnsi" w:hAnsiTheme="majorHAnsi" w:cstheme="majorHAnsi"/>
                        </w:rPr>
                      </w:pPr>
                    </w:p>
                  </w:txbxContent>
                </v:textbox>
                <w10:wrap type="tight"/>
              </v:shape>
            </w:pict>
          </mc:Fallback>
        </mc:AlternateContent>
      </w:r>
      <w:r w:rsidRPr="00990D3B" w:rsidR="003261BA">
        <w:t>G</w:t>
      </w:r>
      <w:r w:rsidRPr="00990D3B" w:rsidR="00043725">
        <w:t>etting Started on</w:t>
      </w:r>
      <w:r w:rsidRPr="00990D3B" w:rsidR="003261BA">
        <w:t xml:space="preserve"> P</w:t>
      </w:r>
      <w:r w:rsidRPr="00990D3B" w:rsidR="00043725">
        <w:t xml:space="preserve">rotocol </w:t>
      </w:r>
      <w:r w:rsidRPr="00990D3B" w:rsidR="003261BA">
        <w:t>3</w:t>
      </w:r>
      <w:bookmarkEnd w:id="353"/>
      <w:bookmarkEnd w:id="354"/>
    </w:p>
    <w:p w:rsidR="003261BA" w:rsidRPr="00990D3B" w:rsidP="00D351C1" w14:paraId="7D15BBCE" w14:textId="194C852B">
      <w:pPr>
        <w:pStyle w:val="ParagraphContinued"/>
      </w:pPr>
      <w:bookmarkStart w:id="356" w:name="_Hlk180672123"/>
      <w:r w:rsidRPr="00990D3B">
        <w:t xml:space="preserve">This protocol describes the process </w:t>
      </w:r>
      <w:r w:rsidRPr="00990D3B" w:rsidR="003F597F">
        <w:t>EQROs</w:t>
      </w:r>
      <w:r w:rsidRPr="00990D3B">
        <w:t xml:space="preserve"> may use to determine MCP compliance with federal Medicaid</w:t>
      </w:r>
      <w:r w:rsidRPr="00990D3B" w:rsidR="00FC6EC6">
        <w:t xml:space="preserve"> and CHIP</w:t>
      </w:r>
      <w:r w:rsidRPr="00990D3B" w:rsidR="00262D57">
        <w:t xml:space="preserve"> managed care regulations</w:t>
      </w:r>
      <w:r w:rsidRPr="00990D3B" w:rsidR="00B83BB6">
        <w:t xml:space="preserve"> and each phase is designed to support activities that may be conducted onsite or remotely</w:t>
      </w:r>
      <w:r w:rsidRPr="00990D3B" w:rsidR="00262D57">
        <w:t xml:space="preserve">. </w:t>
      </w:r>
      <w:r w:rsidRPr="00990D3B">
        <w:t>In general, the EQRO must</w:t>
      </w:r>
      <w:r w:rsidRPr="00990D3B" w:rsidR="00D351C1">
        <w:t xml:space="preserve"> (1) r</w:t>
      </w:r>
      <w:r w:rsidRPr="00990D3B">
        <w:t xml:space="preserve">eview program documents and conduct interviews with MCP personnel to collect information, and </w:t>
      </w:r>
      <w:r w:rsidRPr="00990D3B" w:rsidR="00D351C1">
        <w:t>(2) a</w:t>
      </w:r>
      <w:r w:rsidRPr="00990D3B">
        <w:t>nalyze information collected and make compliance determinations</w:t>
      </w:r>
      <w:r w:rsidRPr="00990D3B" w:rsidR="00E8657B">
        <w:t>.</w:t>
      </w:r>
    </w:p>
    <w:p w:rsidR="003261BA" w:rsidRPr="00990D3B" w:rsidP="00F150FE" w14:paraId="45D2BA55" w14:textId="5315B003">
      <w:pPr>
        <w:pStyle w:val="Paragraph0"/>
      </w:pPr>
      <w:r w:rsidRPr="00990D3B">
        <w:t>To complete this protocol, the EQRO must undertake five activities for each MCP (</w:t>
      </w:r>
      <w:hyperlink w:anchor="Figure31" w:tooltip="Figure 3.1" w:history="1">
        <w:r w:rsidRPr="00990D3B">
          <w:rPr>
            <w:rStyle w:val="Hyperlink"/>
          </w:rPr>
          <w:t xml:space="preserve">Figure </w:t>
        </w:r>
        <w:r w:rsidRPr="00990D3B" w:rsidR="004F3EFD">
          <w:rPr>
            <w:rStyle w:val="Hyperlink"/>
          </w:rPr>
          <w:t>3.</w:t>
        </w:r>
        <w:r w:rsidRPr="00990D3B">
          <w:rPr>
            <w:rStyle w:val="Hyperlink"/>
          </w:rPr>
          <w:t>1</w:t>
        </w:r>
      </w:hyperlink>
      <w:r w:rsidR="00F65AFF">
        <w:t>, next page</w:t>
      </w:r>
      <w:r w:rsidRPr="00990D3B" w:rsidR="002D720C">
        <w:t>)</w:t>
      </w:r>
      <w:r w:rsidRPr="00990D3B" w:rsidR="00D77A09">
        <w:t>, all of which should be completed in the 12</w:t>
      </w:r>
      <w:r w:rsidRPr="00990D3B" w:rsidR="00754E4E">
        <w:t xml:space="preserve"> </w:t>
      </w:r>
      <w:r w:rsidRPr="00990D3B" w:rsidR="00D77A09">
        <w:t>months prior to the finalization of the annual EQR technical report</w:t>
      </w:r>
      <w:r w:rsidRPr="00990D3B" w:rsidR="002D720C">
        <w:t>.</w:t>
      </w:r>
    </w:p>
    <w:p w:rsidR="001C2E36" w:rsidRPr="00990D3B" w:rsidP="00BD1FC3" w14:paraId="4729F0AB" w14:textId="37116F7A">
      <w:pPr>
        <w:pStyle w:val="MarkforFigureHeading"/>
      </w:pPr>
      <w:bookmarkStart w:id="357" w:name="Figure31"/>
      <w:bookmarkEnd w:id="356"/>
      <w:bookmarkEnd w:id="357"/>
      <w:r w:rsidRPr="00990D3B">
        <w:t xml:space="preserve">Figure </w:t>
      </w:r>
      <w:r w:rsidRPr="00990D3B" w:rsidR="00D44BA0">
        <w:t>3.</w:t>
      </w:r>
      <w:r w:rsidRPr="00990D3B">
        <w:t>1. Protocol 3 Activities</w:t>
      </w:r>
    </w:p>
    <w:p w:rsidR="00782E84" w:rsidRPr="00990D3B" w:rsidP="00BD1FC3" w14:paraId="70091A38" w14:textId="75D0AD37">
      <w:pPr>
        <w:pStyle w:val="NoSpacing"/>
      </w:pPr>
      <w:r w:rsidRPr="00990D3B">
        <w:rPr>
          <w:noProof/>
        </w:rPr>
        <w:drawing>
          <wp:inline distT="0" distB="0" distL="0" distR="0">
            <wp:extent cx="5961887" cy="6087047"/>
            <wp:effectExtent l="0" t="0" r="1270" b="9525"/>
            <wp:docPr id="5" name="Picture 5" descr="Protocol 3 has five activities. The first activity is to establish compliance thresholds. Activity 1 has two steps: (1) collect information from the state, and (2) define benchmarks for compliance. The second activity is to conduct the preliminary review (pre-onsite visit). Activity 2 has two steps: (1) establish early contact with the MCP, and (2) perform a document review. Activity 3 is to conduct MCP onsite visit. Activity 3 has six steps: (1) determine onsite visit length and dates, (2) identify the number and types of reviewers needed, (3) develop an onsite visit agenda, (4) provide preparation instructions and guidance to the MCP, (5) conduct MCP interviews, and (6) conduct exit MCP interviews. The fourth activity is to compile and analyze findings (post-onsite visit). This activity has three steps: (1) collect supplemental information, (2) compile data and information, and (3) analyze findings. The fifth activity is to report results to the state. This activity has three steps: (1) submit a report outline to the state, (2) submit a final determination report to the state, and (3) submit other reports requested by the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rotocol 3 has five activities. The first activity is to establish compliance thresholds. Activity 1 has two steps: (1) collect information from the state, and (2) define benchmarks for compliance. The second activity is to conduct the preliminary review (pre-onsite visit). Activity 2 has two steps: (1) establish early contact with the MCP, and (2) perform a document review. Activity 3 is to conduct MCP onsite visit. Activity 3 has six steps: (1) determine onsite visit length and dates, (2) identify the number and types of reviewers needed, (3) develop an onsite visit agenda, (4) provide preparation instructions and guidance to the MCP, (5) conduct MCP interviews, and (6) conduct exit MCP interviews. The fourth activity is to compile and analyze findings (post-onsite visit). This activity has three steps: (1) collect supplemental information, (2) compile data and information, and (3) analyze findings. The fifth activity is to report results to the state. This activity has three steps: (1) submit a report outline to the state, (2) submit a final determination report to the state, and (3) submit other reports requested by the state."/>
                    <pic:cNvPicPr>
                      <a:picLocks noChangeAspect="1" noChangeArrowheads="1"/>
                    </pic:cNvPicPr>
                  </pic:nvPicPr>
                  <pic:blipFill>
                    <a:blip xmlns:r="http://schemas.openxmlformats.org/officeDocument/2006/relationships" r:embed="rId13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61887" cy="6087047"/>
                    </a:xfrm>
                    <a:prstGeom prst="rect">
                      <a:avLst/>
                    </a:prstGeom>
                    <a:noFill/>
                  </pic:spPr>
                </pic:pic>
              </a:graphicData>
            </a:graphic>
          </wp:inline>
        </w:drawing>
      </w:r>
    </w:p>
    <w:p w:rsidR="003261BA" w:rsidRPr="00990D3B" w:rsidP="00F150FE" w14:paraId="450F552C" w14:textId="1A82FD5F">
      <w:pPr>
        <w:pStyle w:val="paragraph"/>
      </w:pPr>
      <w:r w:rsidRPr="00990D3B">
        <w:t>One supplement</w:t>
      </w:r>
      <w:r w:rsidRPr="00990D3B" w:rsidR="00BB53E7">
        <w:t>al</w:t>
      </w:r>
      <w:r w:rsidRPr="00990D3B">
        <w:t xml:space="preserve"> resource is available to help EQROs conduct the compliance review</w:t>
      </w:r>
      <w:r w:rsidRPr="00990D3B">
        <w:t xml:space="preserve">: </w:t>
      </w:r>
    </w:p>
    <w:p w:rsidR="003261BA" w:rsidRPr="00990D3B" w:rsidP="00FB7CAF" w14:paraId="7F71B428" w14:textId="224C7084">
      <w:pPr>
        <w:pStyle w:val="EQRBulletBLUE"/>
      </w:pPr>
      <w:hyperlink w:anchor="WSp3" w:history="1">
        <w:r w:rsidRPr="00990D3B">
          <w:rPr>
            <w:rStyle w:val="Hyperlink"/>
          </w:rPr>
          <w:t>Worksheet</w:t>
        </w:r>
        <w:r w:rsidRPr="00990D3B" w:rsidR="00262D57">
          <w:rPr>
            <w:rStyle w:val="Hyperlink"/>
          </w:rPr>
          <w:t>s for Protocol 3</w:t>
        </w:r>
        <w:r w:rsidRPr="00990D3B" w:rsidR="003F597F">
          <w:rPr>
            <w:rStyle w:val="Hyperlink"/>
          </w:rPr>
          <w:t>.</w:t>
        </w:r>
        <w:r w:rsidRPr="00990D3B" w:rsidR="00262D57">
          <w:rPr>
            <w:rStyle w:val="Hyperlink"/>
          </w:rPr>
          <w:t xml:space="preserve"> Compliance Review Tools</w:t>
        </w:r>
      </w:hyperlink>
      <w:r w:rsidRPr="00990D3B" w:rsidR="00262D57">
        <w:t>,</w:t>
      </w:r>
      <w:r w:rsidRPr="00990D3B" w:rsidR="00262D57">
        <w:rPr>
          <w:color w:val="1CA8B7"/>
        </w:rPr>
        <w:t xml:space="preserve"> </w:t>
      </w:r>
      <w:r w:rsidRPr="00990D3B" w:rsidR="00664691">
        <w:t xml:space="preserve">which can be used to </w:t>
      </w:r>
      <w:r w:rsidRPr="00990D3B" w:rsidR="00B36E7B">
        <w:t>(</w:t>
      </w:r>
      <w:r w:rsidRPr="00990D3B" w:rsidR="00664691">
        <w:t xml:space="preserve">1) structure and conduct the review of MCP documentation to determine compliance with the applicable federal regulatory and/or state provisions; </w:t>
      </w:r>
      <w:r w:rsidRPr="00990D3B" w:rsidR="00B36E7B">
        <w:t>(</w:t>
      </w:r>
      <w:r w:rsidRPr="00990D3B" w:rsidR="00664691">
        <w:t xml:space="preserve">2) score MCPs’ compliance with federal and state </w:t>
      </w:r>
      <w:r w:rsidRPr="00990D3B" w:rsidR="00664691">
        <w:t xml:space="preserve">regulations; </w:t>
      </w:r>
      <w:r w:rsidRPr="00990D3B" w:rsidR="00B36E7B">
        <w:t>(</w:t>
      </w:r>
      <w:r w:rsidRPr="00990D3B" w:rsidR="00664691">
        <w:t xml:space="preserve">3) develop </w:t>
      </w:r>
      <w:r w:rsidRPr="00990D3B" w:rsidR="00A671DD">
        <w:t>site</w:t>
      </w:r>
      <w:r w:rsidRPr="00990D3B" w:rsidR="00664691">
        <w:t xml:space="preserve"> visit agendas,</w:t>
      </w:r>
      <w:r>
        <w:rPr>
          <w:rStyle w:val="FootnoteReference"/>
        </w:rPr>
        <w:footnoteReference w:id="62"/>
      </w:r>
      <w:r w:rsidRPr="00990D3B" w:rsidR="00664691">
        <w:rPr>
          <w:vertAlign w:val="superscript"/>
        </w:rPr>
        <w:t xml:space="preserve"> </w:t>
      </w:r>
      <w:r w:rsidRPr="00990D3B" w:rsidR="00664691">
        <w:t xml:space="preserve"> </w:t>
      </w:r>
      <w:r w:rsidRPr="00990D3B" w:rsidR="00B36E7B">
        <w:t>(</w:t>
      </w:r>
      <w:r w:rsidRPr="00990D3B" w:rsidR="00664691">
        <w:t>4) guide compliance interviews of MCP staff</w:t>
      </w:r>
      <w:r w:rsidRPr="00990D3B" w:rsidR="00F12DEC">
        <w:t xml:space="preserve">, and (5) report </w:t>
      </w:r>
      <w:r w:rsidRPr="00990D3B" w:rsidR="00426B7A">
        <w:t xml:space="preserve">results </w:t>
      </w:r>
      <w:r w:rsidRPr="00990D3B" w:rsidR="00F12DEC">
        <w:t xml:space="preserve">to the state. </w:t>
      </w:r>
    </w:p>
    <w:p w:rsidR="003F597F" w:rsidRPr="00990D3B" w:rsidP="00BD1FC3" w14:paraId="59EB11B8" w14:textId="58D83C9C">
      <w:pPr>
        <w:pStyle w:val="ParagraphContinued"/>
      </w:pPr>
      <w:r w:rsidRPr="00990D3B">
        <w:t>The remainder of this protocol outlines the steps associated with Activities 1 through 5.</w:t>
      </w:r>
    </w:p>
    <w:p w:rsidR="005E14BA" w:rsidRPr="00990D3B" w:rsidP="00BD1FC3" w14:paraId="784EC827" w14:textId="7EE13B8A">
      <w:pPr>
        <w:pStyle w:val="EQRFigure"/>
      </w:pPr>
      <w:r w:rsidRPr="00990D3B">
        <w:drawing>
          <wp:inline distT="0" distB="0" distL="0" distR="0">
            <wp:extent cx="5236475" cy="1191770"/>
            <wp:effectExtent l="0" t="0" r="2540" b="8890"/>
            <wp:docPr id="690" name="Picture 690" descr="TIP: Navigate to the corresponding worksheet by clicking the WORKSHEET box under each section. An image of a sample WORKSHEET box is included in the TIP text. Worksheet boxes are single lines of hyperlinked text with a box border that read &quot;Worksheet X.X&quot; with the first number representing the protocol number, and second number representing the worksheet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Picture 690" descr="TIP: Navigate to the corresponding worksheet by clicking the WORKSHEET box under each section. An image of a sample WORKSHEET box is included in the TIP text. Worksheet boxes are single lines of hyperlinked text with a box border that read &quot;Worksheet X.X&quot; with the first number representing the protocol number, and second number representing the worksheet number."/>
                    <pic:cNvPicPr/>
                  </pic:nvPicPr>
                  <pic:blipFill>
                    <a:blip xmlns:r="http://schemas.openxmlformats.org/officeDocument/2006/relationships" r:embed="rId10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36475" cy="1191770"/>
                    </a:xfrm>
                    <a:prstGeom prst="rect">
                      <a:avLst/>
                    </a:prstGeom>
                  </pic:spPr>
                </pic:pic>
              </a:graphicData>
            </a:graphic>
          </wp:inline>
        </w:drawing>
      </w:r>
    </w:p>
    <w:p w:rsidR="003261BA" w:rsidRPr="00990D3B" w:rsidP="00BD1FC3" w14:paraId="48194F54" w14:textId="1A882DAC">
      <w:pPr>
        <w:pStyle w:val="H2"/>
      </w:pPr>
      <w:bookmarkStart w:id="358" w:name="P3Act1"/>
      <w:bookmarkStart w:id="359" w:name="P3A1"/>
      <w:bookmarkStart w:id="360" w:name="_Toc14777695"/>
      <w:bookmarkStart w:id="361" w:name="_Toc183005585"/>
      <w:bookmarkStart w:id="362" w:name="_Toc201751355"/>
      <w:bookmarkEnd w:id="358"/>
      <w:r w:rsidRPr="00990D3B">
        <w:t>A</w:t>
      </w:r>
      <w:r w:rsidRPr="00990D3B" w:rsidR="00BF3AFB">
        <w:t>ctivity</w:t>
      </w:r>
      <w:r w:rsidRPr="00990D3B">
        <w:t xml:space="preserve"> 1</w:t>
      </w:r>
      <w:bookmarkEnd w:id="359"/>
      <w:r w:rsidRPr="00990D3B">
        <w:t>: E</w:t>
      </w:r>
      <w:r w:rsidRPr="00990D3B" w:rsidR="00BF3AFB">
        <w:t xml:space="preserve">stablish </w:t>
      </w:r>
      <w:r w:rsidRPr="00990D3B">
        <w:t>C</w:t>
      </w:r>
      <w:r w:rsidRPr="00990D3B" w:rsidR="00BF3AFB">
        <w:t xml:space="preserve">ompliance </w:t>
      </w:r>
      <w:r w:rsidRPr="00990D3B">
        <w:t>T</w:t>
      </w:r>
      <w:r w:rsidRPr="00990D3B" w:rsidR="00BF3AFB">
        <w:t>hresholds</w:t>
      </w:r>
      <w:bookmarkEnd w:id="360"/>
      <w:bookmarkEnd w:id="361"/>
      <w:bookmarkEnd w:id="362"/>
    </w:p>
    <w:p w:rsidR="00924D69" w:rsidRPr="00990D3B" w:rsidP="00F150FE" w14:paraId="75DBC0B8" w14:textId="77777777">
      <w:pPr>
        <w:pStyle w:val="Paragraph0"/>
      </w:pPr>
      <w:r w:rsidRPr="00990D3B">
        <w:t>In this activity, the EQRO works with the state to define levels of compliance for use throughout the compliance review. Activity 1 includes two steps:</w:t>
      </w:r>
      <w:r w:rsidRPr="00990D3B" w:rsidR="00557EDD">
        <w:t xml:space="preserve"> </w:t>
      </w:r>
    </w:p>
    <w:p w:rsidR="00924D69" w:rsidRPr="00990D3B" w:rsidP="00F150FE" w14:paraId="7B97B51B" w14:textId="5FCC4B1D">
      <w:pPr>
        <w:pStyle w:val="ListNumber2"/>
        <w:ind w:left="360"/>
      </w:pPr>
      <w:r w:rsidRPr="00990D3B">
        <w:t>Determine how the state has implemented federal quality standards</w:t>
      </w:r>
      <w:r w:rsidRPr="00990D3B" w:rsidR="00E8657B">
        <w:t>.</w:t>
      </w:r>
    </w:p>
    <w:p w:rsidR="003261BA" w:rsidRPr="00990D3B" w:rsidP="00F150FE" w14:paraId="1B454B15" w14:textId="2FE83C15">
      <w:pPr>
        <w:pStyle w:val="ListNumber2"/>
        <w:ind w:left="360"/>
      </w:pPr>
      <w:r w:rsidRPr="00990D3B">
        <w:t xml:space="preserve">Define the </w:t>
      </w:r>
      <w:r w:rsidRPr="00990D3B" w:rsidR="00A93C17">
        <w:t xml:space="preserve">benchmark for </w:t>
      </w:r>
      <w:r w:rsidRPr="00990D3B">
        <w:t>compliance against which the MCP will be measured or scored</w:t>
      </w:r>
      <w:r w:rsidRPr="00990D3B" w:rsidR="00E8657B">
        <w:t>.</w:t>
      </w:r>
      <w:bookmarkStart w:id="363" w:name="P3ActStep1"/>
      <w:bookmarkStart w:id="364" w:name="P3Act1Step1"/>
      <w:bookmarkEnd w:id="363"/>
      <w:bookmarkEnd w:id="364"/>
    </w:p>
    <w:p w:rsidR="00307DCE" w:rsidRPr="00990D3B" w:rsidP="00F150FE" w14:paraId="0428B9C6" w14:textId="77777777">
      <w:pPr>
        <w:pStyle w:val="H3"/>
      </w:pPr>
      <w:r w:rsidRPr="00990D3B">
        <w:t>Step 1: Collect Information from the State</w:t>
      </w:r>
    </w:p>
    <w:p w:rsidR="00381B55" w:rsidRPr="00990D3B" w:rsidP="00E12EF3" w14:paraId="147B5135" w14:textId="5D1D9B5F">
      <w:pPr>
        <w:pStyle w:val="ParagraphContinued"/>
      </w:pPr>
      <w:r w:rsidRPr="00990D3B">
        <w:rPr>
          <w:noProof/>
        </w:rPr>
        <mc:AlternateContent>
          <mc:Choice Requires="wps">
            <w:drawing>
              <wp:anchor distT="0" distB="0" distL="114300" distR="114300" simplePos="0" relativeHeight="251785216" behindDoc="0" locked="0" layoutInCell="1" allowOverlap="1">
                <wp:simplePos x="0" y="0"/>
                <wp:positionH relativeFrom="column">
                  <wp:posOffset>3687445</wp:posOffset>
                </wp:positionH>
                <wp:positionV relativeFrom="paragraph">
                  <wp:posOffset>438316</wp:posOffset>
                </wp:positionV>
                <wp:extent cx="2195195" cy="2710815"/>
                <wp:effectExtent l="19050" t="19050" r="0" b="0"/>
                <wp:wrapTight wrapText="bothSides">
                  <wp:wrapPolygon>
                    <wp:start x="21787" y="21752"/>
                    <wp:lineTo x="21787" y="40"/>
                    <wp:lineTo x="44" y="40"/>
                    <wp:lineTo x="44" y="21752"/>
                    <wp:lineTo x="21787" y="21752"/>
                  </wp:wrapPolygon>
                </wp:wrapTight>
                <wp:docPr id="129941528" name="Text Box 16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2710815"/>
                        </a:xfrm>
                        <a:prstGeom prst="rect">
                          <a:avLst/>
                        </a:prstGeom>
                        <a:solidFill>
                          <a:srgbClr val="EEF5F8"/>
                        </a:solidFill>
                        <a:ln w="28575" cap="rnd">
                          <a:solidFill>
                            <a:srgbClr val="A5DAD9"/>
                          </a:solidFill>
                          <a:prstDash val="solid"/>
                          <a:miter lim="800000"/>
                          <a:headEnd/>
                          <a:tailEnd/>
                        </a:ln>
                      </wps:spPr>
                      <wps:txbx>
                        <w:txbxContent>
                          <w:p w:rsidR="00ED33C3" w:rsidP="00284F68" w14:textId="5213A96C">
                            <w:pPr>
                              <w:pStyle w:val="EQRTextboxbody"/>
                              <w:rPr>
                                <w:rFonts w:ascii="Arial Black" w:hAnsi="Arial Black" w:cs="Arial"/>
                                <w:szCs w:val="17"/>
                              </w:rPr>
                            </w:pPr>
                            <w:r w:rsidRPr="006F4774">
                              <w:rPr>
                                <w:rFonts w:ascii="Arial Black" w:hAnsi="Arial Black" w:cs="Arial"/>
                                <w:szCs w:val="17"/>
                              </w:rPr>
                              <w:t xml:space="preserve">Resource for Activity 1, Step </w:t>
                            </w:r>
                            <w:r>
                              <w:rPr>
                                <w:rFonts w:ascii="Arial Black" w:hAnsi="Arial Black" w:cs="Arial"/>
                                <w:szCs w:val="17"/>
                              </w:rPr>
                              <w:t>1</w:t>
                            </w:r>
                          </w:p>
                          <w:p w:rsidR="00ED33C3" w:rsidRPr="002065CE" w:rsidP="002065CE" w14:textId="48AE68AB">
                            <w:pPr>
                              <w:pStyle w:val="EQRTextboxbody"/>
                            </w:pPr>
                            <w:hyperlink w:anchor="WSp3n01" w:tooltip="Worksheet 3.1. Compliance Review" w:history="1">
                              <w:r w:rsidRPr="002C428F">
                                <w:rPr>
                                  <w:rStyle w:val="Hyperlink"/>
                                </w:rPr>
                                <w:t>Worksheet 3.1. Compliance Review</w:t>
                              </w:r>
                            </w:hyperlink>
                          </w:p>
                          <w:p w:rsidR="00ED33C3" w:rsidRPr="002065CE" w:rsidP="002065CE" w14:textId="77777777">
                            <w:pPr>
                              <w:pStyle w:val="EQRTextboxbullet"/>
                            </w:pPr>
                            <w:r w:rsidRPr="002065CE">
                              <w:t>Includes a list of the types of state policy/regulation information needed to determine MCP compliance, as well as documents the MCP may provide the EQRO to demonstrate the MCP's compliance with federal regulations and state standards (see Activity 2, Step 2)</w:t>
                            </w:r>
                          </w:p>
                          <w:p w:rsidR="00ED33C3" w:rsidRPr="0090682E" w:rsidP="002065CE" w14:textId="5CD5DD61">
                            <w:pPr>
                              <w:pStyle w:val="EQRTextboxbullet"/>
                              <w:rPr>
                                <w:spacing w:val="-2"/>
                              </w:rPr>
                            </w:pPr>
                            <w:r w:rsidRPr="002065CE">
                              <w:t>The completed Compliance Review Worksheet is a primary data source for analyses and a comprehensive record of compliance protocol EQR-related activities</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0" o:spid="_x0000_s1123" type="#_x0000_t202" style="width:172.85pt;height:213.45pt;margin-top:34.5pt;margin-left:290.35pt;flip:y;mso-height-percent:0;mso-height-relative:page;mso-width-percent:0;mso-width-relative:page;mso-wrap-distance-bottom:0;mso-wrap-distance-left:9pt;mso-wrap-distance-right:9pt;mso-wrap-distance-top:0;mso-wrap-style:square;position:absolute;rotation:180;visibility:visible;v-text-anchor:top;z-index:251786240" fillcolor="#eef5f8" strokecolor="#a5dad9" strokeweight="2.25pt">
                <v:stroke endcap="round"/>
                <v:textbox style="mso-fit-shape-to-text:t" inset="8.64pt,,8.64pt">
                  <w:txbxContent>
                    <w:p w:rsidR="00ED33C3" w:rsidP="00284F68" w14:paraId="13FF0C7B" w14:textId="5213A96C">
                      <w:pPr>
                        <w:pStyle w:val="EQRTextboxbody"/>
                        <w:rPr>
                          <w:rFonts w:ascii="Arial Black" w:hAnsi="Arial Black" w:cs="Arial"/>
                          <w:szCs w:val="17"/>
                        </w:rPr>
                      </w:pPr>
                      <w:r w:rsidRPr="006F4774">
                        <w:rPr>
                          <w:rFonts w:ascii="Arial Black" w:hAnsi="Arial Black" w:cs="Arial"/>
                          <w:szCs w:val="17"/>
                        </w:rPr>
                        <w:t xml:space="preserve">Resource for Activity 1, Step </w:t>
                      </w:r>
                      <w:r>
                        <w:rPr>
                          <w:rFonts w:ascii="Arial Black" w:hAnsi="Arial Black" w:cs="Arial"/>
                          <w:szCs w:val="17"/>
                        </w:rPr>
                        <w:t>1</w:t>
                      </w:r>
                    </w:p>
                    <w:p w:rsidR="00ED33C3" w:rsidRPr="002065CE" w:rsidP="002065CE" w14:paraId="37FDC82C" w14:textId="48AE68AB">
                      <w:pPr>
                        <w:pStyle w:val="EQRTextboxbody"/>
                      </w:pPr>
                      <w:hyperlink w:anchor="WSp3n01" w:tooltip="Worksheet 3.1. Compliance Review" w:history="1">
                        <w:r w:rsidRPr="002C428F">
                          <w:rPr>
                            <w:rStyle w:val="Hyperlink"/>
                          </w:rPr>
                          <w:t>Worksheet 3.1. Compliance Review</w:t>
                        </w:r>
                      </w:hyperlink>
                    </w:p>
                    <w:p w:rsidR="00ED33C3" w:rsidRPr="002065CE" w:rsidP="002065CE" w14:paraId="1DF50BE4" w14:textId="77777777">
                      <w:pPr>
                        <w:pStyle w:val="EQRTextboxbullet"/>
                      </w:pPr>
                      <w:r w:rsidRPr="002065CE">
                        <w:t>Includes a list of the types of state policy/regulation information needed to determine MCP compliance, as well as documents the MCP may provide the EQRO to demonstrate the MCP's compliance with federal regulations and state standards (see Activity 2, Step 2)</w:t>
                      </w:r>
                    </w:p>
                    <w:p w:rsidR="00ED33C3" w:rsidRPr="0090682E" w:rsidP="002065CE" w14:paraId="06C1859F" w14:textId="5CD5DD61">
                      <w:pPr>
                        <w:pStyle w:val="EQRTextboxbullet"/>
                        <w:rPr>
                          <w:spacing w:val="-2"/>
                        </w:rPr>
                      </w:pPr>
                      <w:r w:rsidRPr="002065CE">
                        <w:t>The completed Compliance Review Worksheet is a primary data source for analyses and a comprehensive record of compliance protocol EQR-related activities</w:t>
                      </w:r>
                    </w:p>
                  </w:txbxContent>
                </v:textbox>
                <w10:wrap type="tight"/>
              </v:shape>
            </w:pict>
          </mc:Fallback>
        </mc:AlternateContent>
      </w:r>
      <w:r w:rsidRPr="00990D3B">
        <w:rPr>
          <w:noProof/>
        </w:rPr>
        <mc:AlternateContent>
          <mc:Choice Requires="wps">
            <w:drawing>
              <wp:anchor distT="0" distB="0" distL="114300" distR="114300" simplePos="0" relativeHeight="251787264" behindDoc="0" locked="0" layoutInCell="1" allowOverlap="1">
                <wp:simplePos x="0" y="0"/>
                <wp:positionH relativeFrom="column">
                  <wp:posOffset>3687445</wp:posOffset>
                </wp:positionH>
                <wp:positionV relativeFrom="paragraph">
                  <wp:posOffset>67945</wp:posOffset>
                </wp:positionV>
                <wp:extent cx="2194560" cy="297815"/>
                <wp:effectExtent l="19050" t="19050" r="0" b="7620"/>
                <wp:wrapTight wrapText="bothSides">
                  <wp:wrapPolygon>
                    <wp:start x="21788" y="22985"/>
                    <wp:lineTo x="21788" y="-554"/>
                    <wp:lineTo x="38" y="-554"/>
                    <wp:lineTo x="38" y="22985"/>
                    <wp:lineTo x="21788" y="22985"/>
                  </wp:wrapPolygon>
                </wp:wrapTight>
                <wp:docPr id="680398828" name="Text Box 15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284F68" w14:textId="19558F39">
                            <w:pPr>
                              <w:pStyle w:val="EQRWORKSHEETText"/>
                              <w:rPr>
                                <w:spacing w:val="-2"/>
                              </w:rPr>
                            </w:pPr>
                            <w:hyperlink w:anchor="WSp3n01" w:tooltip="WORKSHEET 3.1" w:history="1">
                              <w:r>
                                <w:rPr>
                                  <w:rStyle w:val="Hyperlink"/>
                                  <w:color w:val="006981"/>
                                </w:rPr>
                                <w:t>WORKSHEET 3.1</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9" o:spid="_x0000_s1124" type="#_x0000_t202" style="width:172.8pt;height:23.45pt;margin-top:5.35pt;margin-left:290.35pt;flip:y;mso-height-percent:0;mso-height-relative:page;mso-width-percent:0;mso-width-relative:page;mso-wrap-distance-bottom:0;mso-wrap-distance-left:9pt;mso-wrap-distance-right:9pt;mso-wrap-distance-top:0;mso-wrap-style:square;position:absolute;rotation:180;visibility:visible;v-text-anchor:top;z-index:251788288" fillcolor="#eef5f8" strokecolor="#a5dad9" strokeweight="2.25pt">
                <v:stroke endcap="round"/>
                <v:textbox style="mso-fit-shape-to-text:t" inset="8.64pt,,8.64pt">
                  <w:txbxContent>
                    <w:p w:rsidR="00ED33C3" w:rsidRPr="0090682E" w:rsidP="00284F68" w14:paraId="4E72CC35" w14:textId="19558F39">
                      <w:pPr>
                        <w:pStyle w:val="EQRWORKSHEETText"/>
                        <w:rPr>
                          <w:spacing w:val="-2"/>
                        </w:rPr>
                      </w:pPr>
                      <w:hyperlink w:anchor="WSp3n01" w:tooltip="WORKSHEET 3.1" w:history="1">
                        <w:r>
                          <w:rPr>
                            <w:rStyle w:val="Hyperlink"/>
                            <w:color w:val="006981"/>
                          </w:rPr>
                          <w:t>WORKSHEET 3.1</w:t>
                        </w:r>
                      </w:hyperlink>
                    </w:p>
                  </w:txbxContent>
                </v:textbox>
                <w10:wrap type="tight"/>
              </v:shape>
            </w:pict>
          </mc:Fallback>
        </mc:AlternateContent>
      </w:r>
      <w:r w:rsidRPr="00990D3B" w:rsidR="00286AE9">
        <w:t>Some regulatory provisions allow the state to establish more stringent standards for their MCPs than are mandated by federal regulation. Additional state requirements may be found in MCP contracts, state managed care quality strateg</w:t>
      </w:r>
      <w:r w:rsidRPr="00990D3B" w:rsidR="00BC4EFB">
        <w:t>ies</w:t>
      </w:r>
      <w:r w:rsidRPr="00990D3B" w:rsidR="00286AE9">
        <w:t xml:space="preserve">, state statutes and regulations, or other </w:t>
      </w:r>
      <w:r w:rsidRPr="00990D3B" w:rsidR="00600DD3">
        <w:t xml:space="preserve">resources. </w:t>
      </w:r>
      <w:r w:rsidRPr="00990D3B" w:rsidR="00A93C17">
        <w:t xml:space="preserve">States cannot establish standards that are less stringent than federal regulation, nor can states exempt MCPs from compliance standards. </w:t>
      </w:r>
      <w:r w:rsidRPr="00990D3B" w:rsidR="00600DD3">
        <w:t>Therefore</w:t>
      </w:r>
      <w:r w:rsidRPr="00990D3B" w:rsidR="00286AE9">
        <w:t xml:space="preserve">, </w:t>
      </w:r>
      <w:r w:rsidRPr="00990D3B" w:rsidR="002D18AC">
        <w:t xml:space="preserve">to complete the compliance assessment, </w:t>
      </w:r>
      <w:r w:rsidRPr="00990D3B" w:rsidR="00286AE9">
        <w:t>the EQRO will need to know the state’s requirements for its MCPs</w:t>
      </w:r>
      <w:r w:rsidRPr="00990D3B" w:rsidR="00A93C17">
        <w:t xml:space="preserve"> in the context of each required federal standard</w:t>
      </w:r>
      <w:r w:rsidRPr="00990D3B" w:rsidR="00286AE9">
        <w:t xml:space="preserve">. </w:t>
      </w:r>
      <w:r w:rsidRPr="00990D3B" w:rsidR="00664691">
        <w:t xml:space="preserve">This documentation may be provided to the EQRO in hard copy, digital copy, or both formats. </w:t>
      </w:r>
      <w:hyperlink w:anchor="WSp3n01" w:tooltip="Worksheet 3.1" w:history="1">
        <w:r w:rsidRPr="00990D3B" w:rsidR="00664691">
          <w:rPr>
            <w:rStyle w:val="Hyperlink"/>
          </w:rPr>
          <w:t>Worksheet 3.</w:t>
        </w:r>
        <w:r w:rsidRPr="00990D3B" w:rsidR="00C730A0">
          <w:rPr>
            <w:rStyle w:val="Hyperlink"/>
          </w:rPr>
          <w:t>1</w:t>
        </w:r>
      </w:hyperlink>
      <w:r w:rsidRPr="00990D3B" w:rsidR="00664691">
        <w:t xml:space="preserve"> </w:t>
      </w:r>
      <w:r w:rsidRPr="00990D3B" w:rsidR="002D18AC">
        <w:t>lists</w:t>
      </w:r>
      <w:r w:rsidRPr="00990D3B" w:rsidR="00664691">
        <w:t xml:space="preserve"> the types of documents that the </w:t>
      </w:r>
      <w:r w:rsidRPr="00990D3B" w:rsidR="00C730A0">
        <w:t>s</w:t>
      </w:r>
      <w:r w:rsidRPr="00990D3B" w:rsidR="00664691">
        <w:t xml:space="preserve">tate may provide to the EQRO about </w:t>
      </w:r>
      <w:r w:rsidRPr="00990D3B" w:rsidR="00C730A0">
        <w:t>s</w:t>
      </w:r>
      <w:r w:rsidRPr="00990D3B" w:rsidR="00664691">
        <w:t xml:space="preserve">tate standards and is organized according to </w:t>
      </w:r>
      <w:r w:rsidRPr="00990D3B" w:rsidR="00C730A0">
        <w:t>f</w:t>
      </w:r>
      <w:r w:rsidRPr="00990D3B" w:rsidR="00664691">
        <w:t>ederal regulatory provision.</w:t>
      </w:r>
    </w:p>
    <w:p w:rsidR="00307DCE" w:rsidRPr="00990D3B" w:rsidP="00BD1FC3" w14:paraId="0D1A5552" w14:textId="0BD04E28">
      <w:pPr>
        <w:pStyle w:val="H3"/>
      </w:pPr>
      <w:bookmarkStart w:id="365" w:name="P3Ac1tStep2"/>
      <w:bookmarkStart w:id="366" w:name="P3Act1Step2"/>
      <w:bookmarkEnd w:id="365"/>
      <w:bookmarkEnd w:id="366"/>
      <w:r w:rsidRPr="00990D3B">
        <w:t xml:space="preserve">Step 2: Define </w:t>
      </w:r>
      <w:r w:rsidRPr="00990D3B" w:rsidR="00A93C17">
        <w:t>Benchmarks for</w:t>
      </w:r>
      <w:r w:rsidRPr="00990D3B">
        <w:t xml:space="preserve"> Compliance</w:t>
      </w:r>
    </w:p>
    <w:p w:rsidR="003261BA" w:rsidRPr="00990D3B" w:rsidP="00E12EF3" w14:paraId="782CE2DA" w14:textId="6317D689">
      <w:pPr>
        <w:pStyle w:val="ParagraphContinued"/>
      </w:pPr>
      <w:r w:rsidRPr="00990D3B">
        <w:rPr>
          <w:noProof/>
        </w:rPr>
        <mc:AlternateContent>
          <mc:Choice Requires="wps">
            <w:drawing>
              <wp:anchor distT="0" distB="0" distL="114300" distR="114300" simplePos="0" relativeHeight="251789312" behindDoc="0" locked="0" layoutInCell="1" allowOverlap="1">
                <wp:simplePos x="0" y="0"/>
                <wp:positionH relativeFrom="column">
                  <wp:posOffset>3810000</wp:posOffset>
                </wp:positionH>
                <wp:positionV relativeFrom="paragraph">
                  <wp:posOffset>364490</wp:posOffset>
                </wp:positionV>
                <wp:extent cx="2195195" cy="1491615"/>
                <wp:effectExtent l="19050" t="19050" r="14605" b="13970"/>
                <wp:wrapTight wrapText="bothSides">
                  <wp:wrapPolygon>
                    <wp:start x="21787" y="21876"/>
                    <wp:lineTo x="21787" y="74"/>
                    <wp:lineTo x="44" y="74"/>
                    <wp:lineTo x="44" y="21876"/>
                    <wp:lineTo x="21787" y="21876"/>
                  </wp:wrapPolygon>
                </wp:wrapTight>
                <wp:docPr id="1551616798" name="Text Box 15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491615"/>
                        </a:xfrm>
                        <a:prstGeom prst="rect">
                          <a:avLst/>
                        </a:prstGeom>
                        <a:solidFill>
                          <a:srgbClr val="EEF5F8"/>
                        </a:solidFill>
                        <a:ln w="28575" cap="rnd">
                          <a:solidFill>
                            <a:srgbClr val="A5DAD9"/>
                          </a:solidFill>
                          <a:prstDash val="solid"/>
                          <a:miter lim="800000"/>
                          <a:headEnd/>
                          <a:tailEnd/>
                        </a:ln>
                      </wps:spPr>
                      <wps:txbx>
                        <w:txbxContent>
                          <w:p w:rsidR="00ED33C3" w:rsidP="002065CE" w14:textId="3A906CDA">
                            <w:pPr>
                              <w:pStyle w:val="EQRTextboxheading"/>
                            </w:pPr>
                            <w:r w:rsidRPr="006F4774">
                              <w:t xml:space="preserve">Resource for Activity </w:t>
                            </w:r>
                            <w:r>
                              <w:t>2</w:t>
                            </w:r>
                            <w:r w:rsidRPr="006F4774">
                              <w:t xml:space="preserve">, Step </w:t>
                            </w:r>
                            <w:r>
                              <w:t>2</w:t>
                            </w:r>
                          </w:p>
                          <w:p w:rsidR="00ED33C3" w:rsidRPr="002065CE" w:rsidP="002065CE" w14:textId="45E632C3">
                            <w:pPr>
                              <w:pStyle w:val="EQRTextboxbody"/>
                            </w:pPr>
                            <w:hyperlink w:anchor="WSp3n02" w:tooltip="Worksheet 3.2. Compliance Definitions" w:history="1">
                              <w:r w:rsidRPr="002C428F">
                                <w:rPr>
                                  <w:rStyle w:val="Hyperlink"/>
                                </w:rPr>
                                <w:t>Worksheet 3.2. Compliance Definitions</w:t>
                              </w:r>
                            </w:hyperlink>
                          </w:p>
                          <w:p w:rsidR="00ED33C3" w:rsidRPr="002065CE" w:rsidP="002065CE" w14:textId="77777777">
                            <w:pPr>
                              <w:pStyle w:val="EQRTextboxbullet"/>
                            </w:pPr>
                            <w:r w:rsidRPr="002065CE">
                              <w:t>Provides compliance definitions and examples of compliance rating scales</w:t>
                            </w:r>
                          </w:p>
                          <w:p w:rsidR="00ED33C3" w:rsidRPr="0090682E" w:rsidP="002065CE" w14:textId="2F674CD6">
                            <w:pPr>
                              <w:pStyle w:val="EQRTextboxbullet2ndlevel"/>
                              <w:rPr>
                                <w:spacing w:val="-2"/>
                              </w:rPr>
                            </w:pPr>
                            <w:r w:rsidRPr="002065CE">
                              <w:t>Compliance rating scales may be adjusted to best suit a state’s needs</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8" o:spid="_x0000_s1125" type="#_x0000_t202" style="width:172.85pt;height:117.45pt;margin-top:28.7pt;margin-left:300pt;flip:y;mso-height-percent:0;mso-height-relative:page;mso-width-percent:0;mso-width-relative:page;mso-wrap-distance-bottom:0;mso-wrap-distance-left:9pt;mso-wrap-distance-right:9pt;mso-wrap-distance-top:0;mso-wrap-style:square;position:absolute;rotation:180;visibility:visible;v-text-anchor:top;z-index:251790336" fillcolor="#eef5f8" strokecolor="#a5dad9" strokeweight="2.25pt">
                <v:stroke endcap="round"/>
                <v:textbox style="mso-fit-shape-to-text:t" inset="8.64pt,,8.64pt">
                  <w:txbxContent>
                    <w:p w:rsidR="00ED33C3" w:rsidP="002065CE" w14:paraId="7EDEEE80" w14:textId="3A906CDA">
                      <w:pPr>
                        <w:pStyle w:val="EQRTextboxheading"/>
                      </w:pPr>
                      <w:r w:rsidRPr="006F4774">
                        <w:t xml:space="preserve">Resource for Activity </w:t>
                      </w:r>
                      <w:r>
                        <w:t>2</w:t>
                      </w:r>
                      <w:r w:rsidRPr="006F4774">
                        <w:t xml:space="preserve">, Step </w:t>
                      </w:r>
                      <w:r>
                        <w:t>2</w:t>
                      </w:r>
                    </w:p>
                    <w:p w:rsidR="00ED33C3" w:rsidRPr="002065CE" w:rsidP="002065CE" w14:paraId="32257171" w14:textId="45E632C3">
                      <w:pPr>
                        <w:pStyle w:val="EQRTextboxbody"/>
                      </w:pPr>
                      <w:hyperlink w:anchor="WSp3n02" w:tooltip="Worksheet 3.2. Compliance Definitions" w:history="1">
                        <w:r w:rsidRPr="002C428F">
                          <w:rPr>
                            <w:rStyle w:val="Hyperlink"/>
                          </w:rPr>
                          <w:t>Worksheet 3.2. Compliance Definitions</w:t>
                        </w:r>
                      </w:hyperlink>
                    </w:p>
                    <w:p w:rsidR="00ED33C3" w:rsidRPr="002065CE" w:rsidP="002065CE" w14:paraId="617DBA77" w14:textId="77777777">
                      <w:pPr>
                        <w:pStyle w:val="EQRTextboxbullet"/>
                      </w:pPr>
                      <w:r w:rsidRPr="002065CE">
                        <w:t>Provides compliance definitions and examples of compliance rating scales</w:t>
                      </w:r>
                    </w:p>
                    <w:p w:rsidR="00ED33C3" w:rsidRPr="0090682E" w:rsidP="002065CE" w14:paraId="7432B1BA" w14:textId="2F674CD6">
                      <w:pPr>
                        <w:pStyle w:val="EQRTextboxbullet2ndlevel"/>
                        <w:rPr>
                          <w:spacing w:val="-2"/>
                        </w:rPr>
                      </w:pPr>
                      <w:r w:rsidRPr="002065CE">
                        <w:t>Compliance rating scales may be adjusted to best suit a state’s needs</w:t>
                      </w:r>
                    </w:p>
                  </w:txbxContent>
                </v:textbox>
                <w10:wrap type="tight"/>
              </v:shape>
            </w:pict>
          </mc:Fallback>
        </mc:AlternateContent>
      </w:r>
      <w:r w:rsidRPr="00990D3B">
        <w:rPr>
          <w:noProof/>
        </w:rPr>
        <mc:AlternateContent>
          <mc:Choice Requires="wps">
            <w:drawing>
              <wp:anchor distT="0" distB="0" distL="114300" distR="114300" simplePos="0" relativeHeight="251791360" behindDoc="0" locked="0" layoutInCell="1" allowOverlap="1">
                <wp:simplePos x="0" y="0"/>
                <wp:positionH relativeFrom="column">
                  <wp:posOffset>3810000</wp:posOffset>
                </wp:positionH>
                <wp:positionV relativeFrom="paragraph">
                  <wp:posOffset>3810</wp:posOffset>
                </wp:positionV>
                <wp:extent cx="2194560" cy="297815"/>
                <wp:effectExtent l="19050" t="19050" r="15240" b="26670"/>
                <wp:wrapTight wrapText="bothSides">
                  <wp:wrapPolygon>
                    <wp:start x="21788" y="22985"/>
                    <wp:lineTo x="21788" y="-554"/>
                    <wp:lineTo x="38" y="-554"/>
                    <wp:lineTo x="38" y="22985"/>
                    <wp:lineTo x="21788" y="22985"/>
                  </wp:wrapPolygon>
                </wp:wrapTight>
                <wp:docPr id="1702131956" name="Text Box 15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2065CE" w14:textId="20FAAFEF">
                            <w:pPr>
                              <w:pStyle w:val="EQRWORKSHEETText"/>
                              <w:rPr>
                                <w:spacing w:val="-2"/>
                              </w:rPr>
                            </w:pPr>
                            <w:hyperlink w:anchor="WSp3n02" w:tooltip="WORKSHEET 3.2" w:history="1">
                              <w:r>
                                <w:rPr>
                                  <w:rStyle w:val="Hyperlink"/>
                                  <w:color w:val="006981"/>
                                </w:rPr>
                                <w:t>WORKSHEET 3.2</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7" o:spid="_x0000_s1126" type="#_x0000_t202" style="width:172.8pt;height:23.45pt;margin-top:0.3pt;margin-left:300pt;flip:y;mso-height-percent:0;mso-height-relative:page;mso-width-percent:0;mso-width-relative:page;mso-wrap-distance-bottom:0;mso-wrap-distance-left:9pt;mso-wrap-distance-right:9pt;mso-wrap-distance-top:0;mso-wrap-style:square;position:absolute;rotation:180;visibility:visible;v-text-anchor:top;z-index:251792384" fillcolor="#eef5f8" strokecolor="#a5dad9" strokeweight="2.25pt">
                <v:stroke endcap="round"/>
                <v:textbox style="mso-fit-shape-to-text:t" inset="8.64pt,,8.64pt">
                  <w:txbxContent>
                    <w:p w:rsidR="00ED33C3" w:rsidRPr="0090682E" w:rsidP="002065CE" w14:paraId="3E899CDA" w14:textId="20FAAFEF">
                      <w:pPr>
                        <w:pStyle w:val="EQRWORKSHEETText"/>
                        <w:rPr>
                          <w:spacing w:val="-2"/>
                        </w:rPr>
                      </w:pPr>
                      <w:hyperlink w:anchor="WSp3n02" w:tooltip="WORKSHEET 3.2" w:history="1">
                        <w:r>
                          <w:rPr>
                            <w:rStyle w:val="Hyperlink"/>
                            <w:color w:val="006981"/>
                          </w:rPr>
                          <w:t>WORKSHEET 3.2</w:t>
                        </w:r>
                      </w:hyperlink>
                    </w:p>
                  </w:txbxContent>
                </v:textbox>
                <w10:wrap type="tight"/>
              </v:shape>
            </w:pict>
          </mc:Fallback>
        </mc:AlternateContent>
      </w:r>
      <w:r w:rsidRPr="00990D3B" w:rsidR="003261BA">
        <w:t>EQRO determinations will be based on compliance definitions set in advance by the state for each federal and/or state regulatory provision, component of a provision, and/or requirement or standard based on its expectations of MCP performance. While states may define</w:t>
      </w:r>
      <w:r w:rsidRPr="00990D3B" w:rsidR="00CC4F89">
        <w:t xml:space="preserve"> degrees of compliance with each benchmarked standard,</w:t>
      </w:r>
      <w:r w:rsidRPr="00990D3B" w:rsidR="003261BA">
        <w:t xml:space="preserve"> a definition for full compliance must be clearly understood by the EQRO and MCP before the review.</w:t>
      </w:r>
      <w:r w:rsidRPr="00990D3B" w:rsidR="00157B6A">
        <w:t xml:space="preserve"> </w:t>
      </w:r>
    </w:p>
    <w:p w:rsidR="003261BA" w:rsidRPr="00990D3B" w:rsidP="00BD1FC3" w14:paraId="6D07C7B8" w14:textId="034C9420">
      <w:pPr>
        <w:pStyle w:val="H2"/>
      </w:pPr>
      <w:bookmarkStart w:id="367" w:name="P3A2"/>
      <w:bookmarkStart w:id="368" w:name="_Toc14777696"/>
      <w:bookmarkStart w:id="369" w:name="_Toc183005586"/>
      <w:bookmarkStart w:id="370" w:name="_Toc201751356"/>
      <w:r w:rsidRPr="00990D3B">
        <w:t>A</w:t>
      </w:r>
      <w:r w:rsidRPr="00990D3B" w:rsidR="00BF0C38">
        <w:t>ctivity</w:t>
      </w:r>
      <w:r w:rsidRPr="00990D3B">
        <w:t xml:space="preserve"> 2</w:t>
      </w:r>
      <w:bookmarkEnd w:id="367"/>
      <w:r w:rsidRPr="00990D3B">
        <w:t>: P</w:t>
      </w:r>
      <w:r w:rsidRPr="00990D3B" w:rsidR="00BF0C38">
        <w:t xml:space="preserve">erform the </w:t>
      </w:r>
      <w:r w:rsidRPr="00990D3B">
        <w:t>P</w:t>
      </w:r>
      <w:r w:rsidRPr="00990D3B" w:rsidR="00BF0C38">
        <w:t xml:space="preserve">reliminary </w:t>
      </w:r>
      <w:r w:rsidRPr="00990D3B">
        <w:t>R</w:t>
      </w:r>
      <w:r w:rsidRPr="00990D3B" w:rsidR="00BF0C38">
        <w:t>eview</w:t>
      </w:r>
      <w:r w:rsidRPr="00990D3B" w:rsidR="00DE3084">
        <w:t xml:space="preserve"> (Pre-</w:t>
      </w:r>
      <w:r w:rsidRPr="00990D3B" w:rsidR="00F32FB8">
        <w:t>S</w:t>
      </w:r>
      <w:r w:rsidRPr="00990D3B" w:rsidR="00DE3084">
        <w:t>ite Visit)</w:t>
      </w:r>
      <w:bookmarkEnd w:id="368"/>
      <w:bookmarkEnd w:id="369"/>
      <w:bookmarkEnd w:id="370"/>
    </w:p>
    <w:p w:rsidR="003261BA" w:rsidRPr="00990D3B" w:rsidP="00E12EF3" w14:paraId="5E85C7DE" w14:textId="1DE8FD94">
      <w:pPr>
        <w:pStyle w:val="ParagraphContinued"/>
      </w:pPr>
      <w:r w:rsidRPr="00990D3B">
        <w:t>Site visits are an effective way to collect the information needed for quality oversight and compliance determination. However, they require careful planning to maximize the information obtained and to minimize the time required for collecting that information. This activity should begin from 2 to 6 months in advance of the planned visit.</w:t>
      </w:r>
    </w:p>
    <w:p w:rsidR="003725A3" w:rsidRPr="00990D3B" w:rsidP="00BD1FC3" w14:paraId="0E54DEB3" w14:textId="6047889E">
      <w:pPr>
        <w:pStyle w:val="Paragraph0"/>
      </w:pPr>
      <w:r w:rsidRPr="00990D3B">
        <w:t xml:space="preserve">EQROs, MCPs, and states that opt to conduct virtual </w:t>
      </w:r>
      <w:r w:rsidRPr="00990D3B" w:rsidR="00F44D67">
        <w:t xml:space="preserve">compliance </w:t>
      </w:r>
      <w:r w:rsidRPr="00990D3B">
        <w:t>visits should plan those visits with the same disciplined approach they would for an onsite visit as described in this protocol.</w:t>
      </w:r>
    </w:p>
    <w:p w:rsidR="003261BA" w:rsidRPr="00990D3B" w:rsidP="00BD1FC3" w14:paraId="4D516A63" w14:textId="77777777">
      <w:pPr>
        <w:pStyle w:val="H3"/>
      </w:pPr>
      <w:bookmarkStart w:id="371" w:name="P3Ac2tStep1"/>
      <w:bookmarkStart w:id="372" w:name="P3Act2Step1"/>
      <w:bookmarkEnd w:id="371"/>
      <w:bookmarkEnd w:id="372"/>
      <w:r w:rsidRPr="00990D3B">
        <w:t>Step 1: Establish Early Contact with the MCP</w:t>
      </w:r>
    </w:p>
    <w:p w:rsidR="003261BA" w:rsidRPr="00990D3B" w:rsidP="00E12EF3" w14:paraId="476B3088" w14:textId="77777777">
      <w:pPr>
        <w:pStyle w:val="ParagraphContinued"/>
      </w:pPr>
      <w:r w:rsidRPr="00990D3B">
        <w:t>It is important for the EQRO to establish and maintain consistent communication with the MCP throughout the compliance review. The EQRO is responsible for developing a communication plan specifying expectations for all parties involved. The EQRO should establish a single point of contact with the MCP, and in turn, the MCP representative can organize the response from the MCP and determine which additional staff members should be involved during the review.</w:t>
      </w:r>
    </w:p>
    <w:p w:rsidR="0046381E" w:rsidRPr="00990D3B" w:rsidP="00BD1FC3" w14:paraId="5625E95E" w14:textId="248104CA">
      <w:pPr>
        <w:pStyle w:val="H3"/>
      </w:pPr>
      <w:bookmarkStart w:id="373" w:name="P3Ac2tStep2"/>
      <w:bookmarkStart w:id="374" w:name="P3Act2Step2"/>
      <w:bookmarkEnd w:id="373"/>
      <w:bookmarkEnd w:id="374"/>
      <w:r w:rsidRPr="00990D3B">
        <w:t>Step 2: Perform a Document Review</w:t>
      </w:r>
    </w:p>
    <w:p w:rsidR="003261BA" w:rsidRPr="00990D3B" w:rsidP="00E12EF3" w14:paraId="68C8B579" w14:textId="1EF04B8A">
      <w:pPr>
        <w:pStyle w:val="ParagraphContinued"/>
      </w:pPr>
      <w:r w:rsidRPr="00990D3B">
        <w:t xml:space="preserve">In this step, the EQRO gathers and assesses as much information about the MCP and its practices as possible. </w:t>
      </w:r>
      <w:r w:rsidRPr="00990D3B" w:rsidR="00C359B7">
        <w:rPr>
          <w:noProof/>
        </w:rPr>
        <mc:AlternateContent>
          <mc:Choice Requires="wps">
            <w:drawing>
              <wp:anchor distT="0" distB="0" distL="114300" distR="114300" simplePos="0" relativeHeight="251793408" behindDoc="0" locked="0" layoutInCell="1" allowOverlap="1">
                <wp:simplePos x="0" y="0"/>
                <wp:positionH relativeFrom="column">
                  <wp:posOffset>3841750</wp:posOffset>
                </wp:positionH>
                <wp:positionV relativeFrom="paragraph">
                  <wp:posOffset>453390</wp:posOffset>
                </wp:positionV>
                <wp:extent cx="2195195" cy="2710815"/>
                <wp:effectExtent l="19050" t="19050" r="0" b="0"/>
                <wp:wrapTight wrapText="bothSides">
                  <wp:wrapPolygon>
                    <wp:start x="21787" y="21752"/>
                    <wp:lineTo x="21787" y="40"/>
                    <wp:lineTo x="44" y="40"/>
                    <wp:lineTo x="44" y="21752"/>
                    <wp:lineTo x="21787" y="21752"/>
                  </wp:wrapPolygon>
                </wp:wrapTight>
                <wp:docPr id="742944888" name="Text Box 15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2710815"/>
                        </a:xfrm>
                        <a:prstGeom prst="rect">
                          <a:avLst/>
                        </a:prstGeom>
                        <a:solidFill>
                          <a:srgbClr val="EEF5F8"/>
                        </a:solidFill>
                        <a:ln w="28575" cap="rnd">
                          <a:solidFill>
                            <a:srgbClr val="A5DAD9"/>
                          </a:solidFill>
                          <a:prstDash val="solid"/>
                          <a:miter lim="800000"/>
                          <a:headEnd/>
                          <a:tailEnd/>
                        </a:ln>
                      </wps:spPr>
                      <wps:txbx>
                        <w:txbxContent>
                          <w:p w:rsidR="00ED33C3" w:rsidP="00C7772E" w14:textId="77777777">
                            <w:pPr>
                              <w:pStyle w:val="EQRTextboxheading"/>
                            </w:pPr>
                            <w:r w:rsidRPr="006F4774">
                              <w:t xml:space="preserve">Resource for Activity </w:t>
                            </w:r>
                            <w:r>
                              <w:t>2</w:t>
                            </w:r>
                            <w:r w:rsidRPr="006F4774">
                              <w:t xml:space="preserve">, Step </w:t>
                            </w:r>
                            <w:r>
                              <w:t>2</w:t>
                            </w:r>
                          </w:p>
                          <w:p w:rsidR="00ED33C3" w:rsidRPr="00C7772E" w:rsidP="00C7772E" w14:textId="46713EF5">
                            <w:pPr>
                              <w:pStyle w:val="EQRTextboxbody"/>
                            </w:pPr>
                            <w:hyperlink w:anchor="WSp3n01" w:tooltip="Worksheet 3.1. Compliance Review" w:history="1">
                              <w:r w:rsidRPr="00FC381B">
                                <w:rPr>
                                  <w:rStyle w:val="Hyperlink"/>
                                </w:rPr>
                                <w:t>Worksheet 3.1. Compliance Review</w:t>
                              </w:r>
                            </w:hyperlink>
                          </w:p>
                          <w:p w:rsidR="00ED33C3" w:rsidRPr="00C7772E" w:rsidP="00C7772E" w14:textId="77777777">
                            <w:pPr>
                              <w:pStyle w:val="EQRTextboxbullet"/>
                            </w:pPr>
                            <w:r w:rsidRPr="00C7772E">
                              <w:t>Includes a list of the types of state policy or regulatory information needed to determine MCP compliance (see Activity 1, Step 1), as well as documents the MCP may provide the EQRO to demonstrate the MCP's compliance with federal regulations and state standards</w:t>
                            </w:r>
                          </w:p>
                          <w:p w:rsidR="00ED33C3" w:rsidRPr="0090682E" w:rsidP="00C7772E" w14:textId="2C942BB6">
                            <w:pPr>
                              <w:pStyle w:val="EQRTextboxbullet"/>
                              <w:rPr>
                                <w:spacing w:val="-2"/>
                              </w:rPr>
                            </w:pPr>
                            <w:r w:rsidRPr="00C7772E">
                              <w:t>The completed Compliance Review Worksheet is a primary data source for analyses and a comprehensive record of compliance protocol EQR-related activities</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6" o:spid="_x0000_s1127" type="#_x0000_t202" style="width:172.85pt;height:213.45pt;margin-top:35.7pt;margin-left:302.5pt;flip:y;mso-height-percent:0;mso-height-relative:page;mso-width-percent:0;mso-width-relative:page;mso-wrap-distance-bottom:0;mso-wrap-distance-left:9pt;mso-wrap-distance-right:9pt;mso-wrap-distance-top:0;mso-wrap-style:square;position:absolute;rotation:180;visibility:visible;v-text-anchor:top;z-index:251794432" fillcolor="#eef5f8" strokecolor="#a5dad9" strokeweight="2.25pt">
                <v:stroke endcap="round"/>
                <v:textbox style="mso-fit-shape-to-text:t" inset="8.64pt,,8.64pt">
                  <w:txbxContent>
                    <w:p w:rsidR="00ED33C3" w:rsidP="00C7772E" w14:paraId="2BE9F8CF" w14:textId="77777777">
                      <w:pPr>
                        <w:pStyle w:val="EQRTextboxheading"/>
                      </w:pPr>
                      <w:r w:rsidRPr="006F4774">
                        <w:t xml:space="preserve">Resource for Activity </w:t>
                      </w:r>
                      <w:r>
                        <w:t>2</w:t>
                      </w:r>
                      <w:r w:rsidRPr="006F4774">
                        <w:t xml:space="preserve">, Step </w:t>
                      </w:r>
                      <w:r>
                        <w:t>2</w:t>
                      </w:r>
                    </w:p>
                    <w:p w:rsidR="00ED33C3" w:rsidRPr="00C7772E" w:rsidP="00C7772E" w14:paraId="0E66C9FE" w14:textId="46713EF5">
                      <w:pPr>
                        <w:pStyle w:val="EQRTextboxbody"/>
                      </w:pPr>
                      <w:hyperlink w:anchor="WSp3n01" w:tooltip="Worksheet 3.1. Compliance Review" w:history="1">
                        <w:r w:rsidRPr="00FC381B">
                          <w:rPr>
                            <w:rStyle w:val="Hyperlink"/>
                          </w:rPr>
                          <w:t>Worksheet 3.1. Compliance Review</w:t>
                        </w:r>
                      </w:hyperlink>
                    </w:p>
                    <w:p w:rsidR="00ED33C3" w:rsidRPr="00C7772E" w:rsidP="00C7772E" w14:paraId="185FC1A2" w14:textId="77777777">
                      <w:pPr>
                        <w:pStyle w:val="EQRTextboxbullet"/>
                      </w:pPr>
                      <w:r w:rsidRPr="00C7772E">
                        <w:t>Includes a list of the types of state policy or regulatory information needed to determine MCP compliance (see Activity 1, Step 1), as well as documents the MCP may provide the EQRO to demonstrate the MCP's compliance with federal regulations and state standards</w:t>
                      </w:r>
                    </w:p>
                    <w:p w:rsidR="00ED33C3" w:rsidRPr="0090682E" w:rsidP="00C7772E" w14:paraId="74993E45" w14:textId="2C942BB6">
                      <w:pPr>
                        <w:pStyle w:val="EQRTextboxbullet"/>
                        <w:rPr>
                          <w:spacing w:val="-2"/>
                        </w:rPr>
                      </w:pPr>
                      <w:r w:rsidRPr="00C7772E">
                        <w:t>The completed Compliance Review Worksheet is a primary data source for analyses and a comprehensive record of compliance protocol EQR-related activities</w:t>
                      </w:r>
                    </w:p>
                  </w:txbxContent>
                </v:textbox>
                <w10:wrap type="tight"/>
              </v:shape>
            </w:pict>
          </mc:Fallback>
        </mc:AlternateContent>
      </w:r>
      <w:r w:rsidRPr="00990D3B" w:rsidR="00C359B7">
        <w:rPr>
          <w:noProof/>
        </w:rPr>
        <mc:AlternateContent>
          <mc:Choice Requires="wps">
            <w:drawing>
              <wp:anchor distT="0" distB="0" distL="114300" distR="114300" simplePos="0" relativeHeight="251795456" behindDoc="0" locked="0" layoutInCell="1" allowOverlap="1">
                <wp:simplePos x="0" y="0"/>
                <wp:positionH relativeFrom="column">
                  <wp:posOffset>3841750</wp:posOffset>
                </wp:positionH>
                <wp:positionV relativeFrom="paragraph">
                  <wp:posOffset>92710</wp:posOffset>
                </wp:positionV>
                <wp:extent cx="2194560" cy="297815"/>
                <wp:effectExtent l="19050" t="19050" r="0" b="7620"/>
                <wp:wrapTight wrapText="bothSides">
                  <wp:wrapPolygon>
                    <wp:start x="21788" y="22985"/>
                    <wp:lineTo x="21788" y="-554"/>
                    <wp:lineTo x="38" y="-554"/>
                    <wp:lineTo x="38" y="22985"/>
                    <wp:lineTo x="21788" y="22985"/>
                  </wp:wrapPolygon>
                </wp:wrapTight>
                <wp:docPr id="629423025" name="Text Box 15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2065CE" w14:textId="0D62FF5B">
                            <w:pPr>
                              <w:pStyle w:val="EQRWORKSHEETText"/>
                              <w:rPr>
                                <w:spacing w:val="-2"/>
                              </w:rPr>
                            </w:pPr>
                            <w:hyperlink w:anchor="WSp3n01" w:tooltip="WORKSHEET 3.1" w:history="1">
                              <w:r>
                                <w:rPr>
                                  <w:rStyle w:val="Hyperlink"/>
                                  <w:color w:val="006981"/>
                                </w:rPr>
                                <w:t>WORKSHEET 3.1</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5" o:spid="_x0000_s1128" type="#_x0000_t202" style="width:172.8pt;height:23.45pt;margin-top:7.3pt;margin-left:302.5pt;flip:y;mso-height-percent:0;mso-height-relative:page;mso-width-percent:0;mso-width-relative:page;mso-wrap-distance-bottom:0;mso-wrap-distance-left:9pt;mso-wrap-distance-right:9pt;mso-wrap-distance-top:0;mso-wrap-style:square;position:absolute;rotation:180;visibility:visible;v-text-anchor:top;z-index:251796480" fillcolor="#eef5f8" strokecolor="#a5dad9" strokeweight="2.25pt">
                <v:stroke endcap="round"/>
                <v:textbox style="mso-fit-shape-to-text:t" inset="8.64pt,,8.64pt">
                  <w:txbxContent>
                    <w:p w:rsidR="00ED33C3" w:rsidRPr="0090682E" w:rsidP="002065CE" w14:paraId="56E77C07" w14:textId="0D62FF5B">
                      <w:pPr>
                        <w:pStyle w:val="EQRWORKSHEETText"/>
                        <w:rPr>
                          <w:spacing w:val="-2"/>
                        </w:rPr>
                      </w:pPr>
                      <w:hyperlink w:anchor="WSp3n01" w:tooltip="WORKSHEET 3.1" w:history="1">
                        <w:r>
                          <w:rPr>
                            <w:rStyle w:val="Hyperlink"/>
                            <w:color w:val="006981"/>
                          </w:rPr>
                          <w:t>WORKSHEET 3.1</w:t>
                        </w:r>
                      </w:hyperlink>
                    </w:p>
                  </w:txbxContent>
                </v:textbox>
                <w10:wrap type="tight"/>
              </v:shape>
            </w:pict>
          </mc:Fallback>
        </mc:AlternateContent>
      </w:r>
      <w:r w:rsidRPr="00990D3B" w:rsidR="003261BA">
        <w:t xml:space="preserve">The purpose of </w:t>
      </w:r>
      <w:r w:rsidRPr="00990D3B" w:rsidR="00EC1CAC">
        <w:t>the</w:t>
      </w:r>
      <w:r w:rsidRPr="00990D3B" w:rsidR="003261BA">
        <w:t xml:space="preserve"> document review is to identify gaps in information to ensure a comprehensive EQR process and productive interactions with the MCP during the </w:t>
      </w:r>
      <w:r w:rsidRPr="00990D3B" w:rsidR="00A671DD">
        <w:t>site</w:t>
      </w:r>
      <w:r w:rsidRPr="00990D3B" w:rsidR="003261BA">
        <w:t xml:space="preserve"> visit. </w:t>
      </w:r>
      <w:r w:rsidRPr="00990D3B" w:rsidR="00D852DF">
        <w:t>D</w:t>
      </w:r>
      <w:r w:rsidRPr="00990D3B" w:rsidR="003261BA">
        <w:t xml:space="preserve">ocument review includes gathering information about the MCP’s background, including its structure, enrolled population, providers, services, resources, locations, delegated functions and services, and contractors. Some information may be available from the state, while some may be obtained from the MCP. The following list suggests the type of information that would be useful during a preliminary document review: </w:t>
      </w:r>
    </w:p>
    <w:p w:rsidR="003261BA" w:rsidRPr="00990D3B" w:rsidP="00FB7CAF" w14:paraId="76E6D12C" w14:textId="032D6F8A">
      <w:pPr>
        <w:pStyle w:val="EQRBulletBLUE"/>
      </w:pPr>
      <w:r w:rsidRPr="00990D3B">
        <w:t xml:space="preserve">Organization </w:t>
      </w:r>
      <w:r w:rsidRPr="00990D3B" w:rsidR="009F0C38">
        <w:t xml:space="preserve">name </w:t>
      </w:r>
      <w:r w:rsidRPr="00990D3B">
        <w:t>and mailing address</w:t>
      </w:r>
      <w:r w:rsidRPr="00990D3B" w:rsidR="0010694A">
        <w:t>.</w:t>
      </w:r>
    </w:p>
    <w:p w:rsidR="003261BA" w:rsidRPr="00990D3B" w:rsidP="00FB7CAF" w14:paraId="0FF38C9C" w14:textId="280B542A">
      <w:pPr>
        <w:pStyle w:val="EQRBulletBLUE"/>
      </w:pPr>
      <w:r w:rsidRPr="00990D3B">
        <w:t>Contact person’s name, title, phone number, and e</w:t>
      </w:r>
      <w:r w:rsidRPr="00990D3B" w:rsidR="00CA2447">
        <w:t>-</w:t>
      </w:r>
      <w:r w:rsidRPr="00990D3B">
        <w:t>mail address</w:t>
      </w:r>
      <w:r w:rsidRPr="00990D3B" w:rsidR="0010694A">
        <w:t>.</w:t>
      </w:r>
    </w:p>
    <w:p w:rsidR="003261BA" w:rsidRPr="00990D3B" w:rsidP="00FB7CAF" w14:paraId="0D65E776" w14:textId="3A7F782A">
      <w:pPr>
        <w:pStyle w:val="EQRBulletBLUE"/>
      </w:pPr>
      <w:r w:rsidRPr="00990D3B">
        <w:t>Site visit location</w:t>
      </w:r>
      <w:r w:rsidRPr="00990D3B" w:rsidR="0010694A">
        <w:t>.</w:t>
      </w:r>
    </w:p>
    <w:p w:rsidR="003261BA" w:rsidRPr="00990D3B" w:rsidP="00FB7CAF" w14:paraId="196D427B" w14:textId="4731BD19">
      <w:pPr>
        <w:pStyle w:val="EQRBulletBLUE"/>
      </w:pPr>
      <w:r w:rsidRPr="00990D3B">
        <w:t>Organizational charts or other descriptions of the MCP</w:t>
      </w:r>
      <w:r w:rsidRPr="00990D3B" w:rsidR="0010694A">
        <w:t>.</w:t>
      </w:r>
    </w:p>
    <w:p w:rsidR="003261BA" w:rsidRPr="00990D3B" w:rsidP="00FB7CAF" w14:paraId="0F9C2D65" w14:textId="5A3039C1">
      <w:pPr>
        <w:pStyle w:val="EQRBulletBLUE"/>
      </w:pPr>
      <w:r w:rsidRPr="00990D3B">
        <w:t>Product lines offered</w:t>
      </w:r>
      <w:r w:rsidRPr="00990D3B" w:rsidR="0010694A">
        <w:t>.</w:t>
      </w:r>
    </w:p>
    <w:p w:rsidR="003261BA" w:rsidRPr="00990D3B" w:rsidP="00FB7CAF" w14:paraId="758644D2" w14:textId="07247A82">
      <w:pPr>
        <w:pStyle w:val="EQRBulletBLUE"/>
      </w:pPr>
      <w:r w:rsidRPr="00990D3B">
        <w:t>Total individuals enrolled in the current and previous year</w:t>
      </w:r>
      <w:r w:rsidRPr="00990D3B" w:rsidR="0010694A">
        <w:t>.</w:t>
      </w:r>
    </w:p>
    <w:p w:rsidR="003261BA" w:rsidRPr="00990D3B" w:rsidP="00FB7CAF" w14:paraId="3B0B10EB" w14:textId="1D7C7517">
      <w:pPr>
        <w:pStyle w:val="EQRBulletBLUE"/>
      </w:pPr>
      <w:r w:rsidRPr="00990D3B">
        <w:t>Total number of network practitioners in the current and previous year, with a breakdown by type (such as primary care, OB/GYN, and other specialties)</w:t>
      </w:r>
      <w:r w:rsidRPr="00990D3B" w:rsidR="0010694A">
        <w:t>.</w:t>
      </w:r>
    </w:p>
    <w:p w:rsidR="003261BA" w:rsidRPr="00990D3B" w:rsidP="00FB7CAF" w14:paraId="3294DF1D" w14:textId="4AA4BF1C">
      <w:pPr>
        <w:pStyle w:val="EQRBulletBLUE"/>
      </w:pPr>
      <w:r w:rsidRPr="00990D3B">
        <w:t>Total number of network organizational providers (hospitals, ambulatory care, home care, laboratories, etc.)</w:t>
      </w:r>
      <w:r w:rsidRPr="00990D3B" w:rsidR="0010694A">
        <w:t>.</w:t>
      </w:r>
    </w:p>
    <w:p w:rsidR="003261BA" w:rsidRPr="00990D3B" w:rsidP="00FB7CAF" w14:paraId="144029EA" w14:textId="2D446127">
      <w:pPr>
        <w:pStyle w:val="EQRBulletBLUE"/>
      </w:pPr>
      <w:r w:rsidRPr="00990D3B">
        <w:t>Service descriptions and benefit designs available to enrollees</w:t>
      </w:r>
      <w:r w:rsidRPr="00990D3B" w:rsidR="0010694A">
        <w:t>.</w:t>
      </w:r>
    </w:p>
    <w:p w:rsidR="003261BA" w:rsidRPr="00990D3B" w:rsidP="00FB7CAF" w14:paraId="7C94A955" w14:textId="334FCFB0">
      <w:pPr>
        <w:pStyle w:val="EQRBulletBLUE"/>
      </w:pPr>
      <w:r w:rsidRPr="00990D3B">
        <w:t>Delegated activities</w:t>
      </w:r>
      <w:r w:rsidRPr="00990D3B" w:rsidR="00B933FB">
        <w:t>, including MCP subcontractors</w:t>
      </w:r>
      <w:r w:rsidRPr="00990D3B" w:rsidR="0010694A">
        <w:t>.</w:t>
      </w:r>
    </w:p>
    <w:p w:rsidR="001B4545" w:rsidRPr="00990D3B" w:rsidP="00BD1FC3" w14:paraId="581117CF" w14:textId="4F93EFB9">
      <w:pPr>
        <w:pStyle w:val="ParagraphContinued"/>
      </w:pPr>
      <w:r w:rsidRPr="00990D3B">
        <w:t xml:space="preserve">The EQRO should inform the MCP of any missing information </w:t>
      </w:r>
      <w:r w:rsidRPr="00990D3B" w:rsidR="00FA2F9A">
        <w:t>before</w:t>
      </w:r>
      <w:r w:rsidRPr="00990D3B">
        <w:t xml:space="preserve"> the </w:t>
      </w:r>
      <w:r w:rsidRPr="00990D3B" w:rsidR="00A671DD">
        <w:t>site</w:t>
      </w:r>
      <w:r w:rsidRPr="00990D3B">
        <w:t xml:space="preserve"> visit, to allow the MCP to respond in a timely manner (either by providing the documentation to the EQRO prior to the </w:t>
      </w:r>
      <w:r w:rsidRPr="00990D3B" w:rsidR="00A671DD">
        <w:t>site</w:t>
      </w:r>
      <w:r w:rsidRPr="00990D3B">
        <w:t xml:space="preserve"> visit for review or ensuring its availability during the </w:t>
      </w:r>
      <w:r w:rsidRPr="00990D3B" w:rsidR="00A671DD">
        <w:t>site</w:t>
      </w:r>
      <w:r w:rsidRPr="00990D3B">
        <w:t xml:space="preserve"> visit document review</w:t>
      </w:r>
      <w:r w:rsidRPr="00990D3B" w:rsidR="00FA2F9A">
        <w:t>;</w:t>
      </w:r>
      <w:r w:rsidRPr="00990D3B">
        <w:t xml:space="preserve"> see </w:t>
      </w:r>
      <w:hyperlink w:anchor="P3Act3Step5" w:tooltip="Activity 3, Step 5" w:history="1">
        <w:r w:rsidRPr="00990D3B">
          <w:rPr>
            <w:rStyle w:val="Hyperlink"/>
          </w:rPr>
          <w:t>Activity 3</w:t>
        </w:r>
        <w:r w:rsidRPr="00990D3B" w:rsidR="00FA2F9A">
          <w:rPr>
            <w:rStyle w:val="Hyperlink"/>
          </w:rPr>
          <w:t>,</w:t>
        </w:r>
        <w:r w:rsidRPr="00990D3B">
          <w:rPr>
            <w:rStyle w:val="Hyperlink"/>
          </w:rPr>
          <w:t xml:space="preserve"> Step 5</w:t>
        </w:r>
      </w:hyperlink>
      <w:r w:rsidRPr="00990D3B">
        <w:t>).</w:t>
      </w:r>
      <w:r w:rsidRPr="00990D3B">
        <w:t xml:space="preserve"> The </w:t>
      </w:r>
      <w:r w:rsidRPr="00990D3B" w:rsidR="007C10A7">
        <w:t>EQRO</w:t>
      </w:r>
      <w:r w:rsidRPr="00990D3B">
        <w:t xml:space="preserve"> should maintain consistent documentation by </w:t>
      </w:r>
      <w:r w:rsidRPr="00990D3B" w:rsidR="00FA2F9A">
        <w:t xml:space="preserve">recording </w:t>
      </w:r>
      <w:r w:rsidRPr="00990D3B" w:rsidR="007C10A7">
        <w:t>preliminary</w:t>
      </w:r>
      <w:r w:rsidRPr="00990D3B">
        <w:t xml:space="preserve"> document review findings or questions for follow-up during the </w:t>
      </w:r>
      <w:r w:rsidRPr="00990D3B" w:rsidR="00A671DD">
        <w:t>site</w:t>
      </w:r>
      <w:r w:rsidRPr="00990D3B">
        <w:t xml:space="preserve"> visit </w:t>
      </w:r>
      <w:r w:rsidRPr="00990D3B" w:rsidR="00FA2F9A">
        <w:t>in</w:t>
      </w:r>
      <w:r w:rsidRPr="00990D3B">
        <w:t xml:space="preserve"> </w:t>
      </w:r>
      <w:hyperlink w:anchor="WSp3n01" w:tooltip="Worksheet 3.1" w:history="1">
        <w:r w:rsidRPr="00990D3B">
          <w:rPr>
            <w:rStyle w:val="Hyperlink"/>
          </w:rPr>
          <w:t>Worksheet 3.</w:t>
        </w:r>
        <w:r w:rsidRPr="00990D3B" w:rsidR="004A5B57">
          <w:rPr>
            <w:rStyle w:val="Hyperlink"/>
          </w:rPr>
          <w:t>1</w:t>
        </w:r>
      </w:hyperlink>
      <w:r w:rsidRPr="00990D3B">
        <w:t>.</w:t>
      </w:r>
      <w:r w:rsidRPr="00990D3B" w:rsidR="003162DF">
        <w:rPr>
          <w:rFonts w:ascii="ZWAdobeF" w:hAnsi="ZWAdobeF" w:cs="ZWAdobeF"/>
          <w:sz w:val="2"/>
          <w:szCs w:val="2"/>
        </w:rPr>
        <w:t>57F</w:t>
      </w:r>
      <w:r>
        <w:rPr>
          <w:rStyle w:val="FootnoteReference"/>
        </w:rPr>
        <w:footnoteReference w:id="63"/>
      </w:r>
    </w:p>
    <w:p w:rsidR="003261BA" w:rsidRPr="00990D3B" w:rsidP="00BD1FC3" w14:paraId="6418CAB1" w14:textId="72F66C13">
      <w:pPr>
        <w:pStyle w:val="H2"/>
      </w:pPr>
      <w:bookmarkStart w:id="375" w:name="P3A3"/>
      <w:bookmarkStart w:id="376" w:name="_Toc14777697"/>
      <w:bookmarkStart w:id="377" w:name="_Toc183005587"/>
      <w:bookmarkStart w:id="378" w:name="_Toc201751357"/>
      <w:r w:rsidRPr="00990D3B">
        <w:t>A</w:t>
      </w:r>
      <w:r w:rsidRPr="00990D3B" w:rsidR="008B42A3">
        <w:t xml:space="preserve">ctivity </w:t>
      </w:r>
      <w:r w:rsidRPr="00990D3B">
        <w:t>3</w:t>
      </w:r>
      <w:bookmarkEnd w:id="375"/>
      <w:r w:rsidRPr="00990D3B">
        <w:t>: C</w:t>
      </w:r>
      <w:r w:rsidRPr="00990D3B" w:rsidR="008B42A3">
        <w:t xml:space="preserve">onduct MCP </w:t>
      </w:r>
      <w:r w:rsidRPr="00990D3B" w:rsidR="00FA2F9A">
        <w:t xml:space="preserve">Site </w:t>
      </w:r>
      <w:r w:rsidRPr="00990D3B">
        <w:t>V</w:t>
      </w:r>
      <w:r w:rsidRPr="00990D3B" w:rsidR="008B42A3">
        <w:t>isit</w:t>
      </w:r>
      <w:bookmarkEnd w:id="376"/>
      <w:bookmarkEnd w:id="377"/>
      <w:bookmarkEnd w:id="378"/>
    </w:p>
    <w:p w:rsidR="00CD07DE" w:rsidRPr="00990D3B" w:rsidP="00E12EF3" w14:paraId="20B2686B" w14:textId="2B4579B8">
      <w:pPr>
        <w:pStyle w:val="ParagraphContinued"/>
      </w:pPr>
      <w:r w:rsidRPr="00990D3B">
        <w:t xml:space="preserve">The purpose of the MCP </w:t>
      </w:r>
      <w:r w:rsidRPr="00990D3B" w:rsidR="00FA2F9A">
        <w:t xml:space="preserve">site </w:t>
      </w:r>
      <w:r w:rsidRPr="00990D3B">
        <w:t xml:space="preserve">visit is to collect the </w:t>
      </w:r>
      <w:r w:rsidRPr="00990D3B">
        <w:t>information necessary</w:t>
      </w:r>
      <w:r w:rsidRPr="00990D3B">
        <w:t xml:space="preserve"> to assess the MCP’s compliance with federal and state regulations</w:t>
      </w:r>
      <w:r w:rsidRPr="00990D3B" w:rsidR="009F0C38">
        <w:t xml:space="preserve"> through additional document review and interviews</w:t>
      </w:r>
      <w:r w:rsidRPr="00990D3B">
        <w:t>. The EQRO should plan the site visit</w:t>
      </w:r>
      <w:r w:rsidRPr="00990D3B" w:rsidR="00F32FB8">
        <w:t>, whether onsite or virtual,</w:t>
      </w:r>
      <w:r w:rsidRPr="00990D3B">
        <w:t xml:space="preserve"> in accordance with the compliance review plan established in Activity 1 of this protocol. As noted in Activity 2, the EQRO should review MCP policies and procedures before the site visit to expedite the process.</w:t>
      </w:r>
      <w:r w:rsidRPr="00990D3B" w:rsidR="00F32FB8">
        <w:t xml:space="preserve"> </w:t>
      </w:r>
      <w:r w:rsidRPr="00990D3B">
        <w:t xml:space="preserve">Steps 1 through 5 provide guidance in preparing for the site visit. </w:t>
      </w:r>
    </w:p>
    <w:p w:rsidR="003261BA" w:rsidRPr="00990D3B" w:rsidP="00BD1FC3" w14:paraId="6B35D0E1" w14:textId="6C2A9A85">
      <w:pPr>
        <w:pStyle w:val="H3"/>
      </w:pPr>
      <w:bookmarkStart w:id="379" w:name="P3Act3Step1"/>
      <w:bookmarkEnd w:id="379"/>
      <w:r w:rsidRPr="00990D3B">
        <w:t xml:space="preserve">Step 1: </w:t>
      </w:r>
      <w:bookmarkStart w:id="380" w:name="_Hlk83108498"/>
      <w:r w:rsidRPr="00990D3B">
        <w:t xml:space="preserve">Determine </w:t>
      </w:r>
      <w:r w:rsidRPr="00990D3B" w:rsidR="0055355B">
        <w:t>S</w:t>
      </w:r>
      <w:r w:rsidRPr="00990D3B" w:rsidR="00EA1A45">
        <w:t>ite</w:t>
      </w:r>
      <w:r w:rsidRPr="00990D3B">
        <w:t xml:space="preserve"> Visit </w:t>
      </w:r>
      <w:r w:rsidRPr="00990D3B" w:rsidR="00EA1A45">
        <w:t xml:space="preserve">Length </w:t>
      </w:r>
      <w:r w:rsidRPr="00990D3B">
        <w:t>and Dates</w:t>
      </w:r>
      <w:bookmarkEnd w:id="380"/>
    </w:p>
    <w:p w:rsidR="003261BA" w:rsidRPr="00990D3B" w:rsidP="00E12EF3" w14:paraId="0A9B2541" w14:textId="2DF96875">
      <w:pPr>
        <w:pStyle w:val="ParagraphContinued"/>
      </w:pPr>
      <w:r w:rsidRPr="00990D3B">
        <w:t xml:space="preserve">The length of a comprehensive </w:t>
      </w:r>
      <w:r w:rsidRPr="00990D3B" w:rsidR="00A671DD">
        <w:t>site</w:t>
      </w:r>
      <w:r w:rsidRPr="00990D3B">
        <w:t xml:space="preserve"> visit will vary according to the scope of the review, the complexity of the organization being reviewed, the number of reviewers available to conduct the review, and the amount of information collected before the </w:t>
      </w:r>
      <w:r w:rsidRPr="00990D3B" w:rsidR="00A671DD">
        <w:t>site</w:t>
      </w:r>
      <w:r w:rsidRPr="00990D3B">
        <w:t xml:space="preserve"> visit. </w:t>
      </w:r>
      <w:r w:rsidRPr="00990D3B" w:rsidR="00CD07DE">
        <w:t>A typic</w:t>
      </w:r>
      <w:r w:rsidRPr="00990D3B" w:rsidR="00AA0917">
        <w:t xml:space="preserve">al </w:t>
      </w:r>
      <w:r w:rsidRPr="00990D3B" w:rsidR="00A671DD">
        <w:t>site</w:t>
      </w:r>
      <w:r w:rsidRPr="00990D3B" w:rsidR="00AA0917">
        <w:t xml:space="preserve"> visit requires 3 to </w:t>
      </w:r>
      <w:r w:rsidRPr="00990D3B" w:rsidR="00CD07DE">
        <w:t xml:space="preserve">5 </w:t>
      </w:r>
      <w:r w:rsidRPr="00990D3B" w:rsidR="00600DD3">
        <w:t>days. To</w:t>
      </w:r>
      <w:r w:rsidRPr="00990D3B">
        <w:t xml:space="preserve"> schedule the </w:t>
      </w:r>
      <w:r w:rsidRPr="00990D3B" w:rsidR="00A671DD">
        <w:t>site</w:t>
      </w:r>
      <w:r w:rsidRPr="00990D3B">
        <w:t xml:space="preserve"> visit, the EQRO should offer the MCP contact a range of dates to determine when essential staff are available. </w:t>
      </w:r>
    </w:p>
    <w:p w:rsidR="003261BA" w:rsidRPr="00990D3B" w:rsidP="00BD1FC3" w14:paraId="7CF0D619" w14:textId="77777777">
      <w:pPr>
        <w:pStyle w:val="H3"/>
      </w:pPr>
      <w:bookmarkStart w:id="381" w:name="P3Act3Step2"/>
      <w:bookmarkEnd w:id="381"/>
      <w:r w:rsidRPr="00990D3B">
        <w:t>Step 2: Identify the Number and Types of Reviewers Needed</w:t>
      </w:r>
    </w:p>
    <w:p w:rsidR="003261BA" w:rsidRPr="00990D3B" w:rsidP="00E12EF3" w14:paraId="3E5272B8" w14:textId="5429113E">
      <w:pPr>
        <w:pStyle w:val="ParagraphContinued"/>
      </w:pPr>
      <w:r w:rsidRPr="00990D3B">
        <w:t xml:space="preserve">Reviewers should be skilled interviewers with the ability to read and process a variety of data </w:t>
      </w:r>
      <w:r w:rsidRPr="00990D3B">
        <w:t>in order to</w:t>
      </w:r>
      <w:r w:rsidRPr="00990D3B">
        <w:t xml:space="preserve"> determine whether an MCP </w:t>
      </w:r>
      <w:r w:rsidRPr="00990D3B">
        <w:t>is in compliance with</w:t>
      </w:r>
      <w:r w:rsidRPr="00990D3B">
        <w:t xml:space="preserve"> the regulations. Knowledge or experience in state Medicaid</w:t>
      </w:r>
      <w:r w:rsidRPr="00990D3B" w:rsidR="00A67645">
        <w:t xml:space="preserve"> and </w:t>
      </w:r>
      <w:r w:rsidRPr="00990D3B">
        <w:t>CHIP programs and managed care is highly desirable. Reviewer orientation and training should be held to ensure familiarity with the regulatory provisions, the evaluation process, and performance expectations.</w:t>
      </w:r>
    </w:p>
    <w:p w:rsidR="003261BA" w:rsidRPr="00990D3B" w:rsidP="00BD1FC3" w14:paraId="7C07DD93" w14:textId="648F3AD0">
      <w:pPr>
        <w:pStyle w:val="Paragraph0"/>
      </w:pPr>
      <w:r w:rsidRPr="00990D3B">
        <w:t xml:space="preserve">The number of reviewers needed to conduct the assessment should be based on the characteristics of the MCP being evaluated. Consideration should be given to the size and complexity of the MCP, including the size of the provider network, number of enrollees, and the scope of programs in the state contract. If multiple reviewers are participating in the </w:t>
      </w:r>
      <w:r w:rsidRPr="00990D3B" w:rsidR="003B445D">
        <w:t>site</w:t>
      </w:r>
      <w:r w:rsidRPr="00990D3B">
        <w:t xml:space="preserve"> visit(s), the EQRO should identify in advance each reviewer’s responsibility for assessing specific standards, reviewing specific documents, and conducting interviews.</w:t>
      </w:r>
    </w:p>
    <w:p w:rsidR="0046381E" w:rsidRPr="00990D3B" w:rsidP="00BD1FC3" w14:paraId="37765036" w14:textId="3B696F1D">
      <w:pPr>
        <w:pStyle w:val="H3"/>
      </w:pPr>
      <w:bookmarkStart w:id="382" w:name="P3Act3Step3"/>
      <w:bookmarkStart w:id="383" w:name="_Hlk83108623"/>
      <w:bookmarkEnd w:id="382"/>
      <w:r w:rsidRPr="00990D3B">
        <w:t>Step 3:</w:t>
      </w:r>
      <w:r w:rsidRPr="00990D3B" w:rsidR="0011499F">
        <w:tab/>
      </w:r>
      <w:r w:rsidRPr="00990D3B">
        <w:t>Develop a</w:t>
      </w:r>
      <w:r w:rsidRPr="00990D3B" w:rsidR="0055355B">
        <w:t xml:space="preserve"> S</w:t>
      </w:r>
      <w:r w:rsidRPr="00990D3B">
        <w:t>ite Visit Agenda</w:t>
      </w:r>
    </w:p>
    <w:bookmarkEnd w:id="383"/>
    <w:p w:rsidR="003261BA" w:rsidRPr="00990D3B" w:rsidP="00E12EF3" w14:paraId="3A5A5D5E" w14:textId="4E5CB48D">
      <w:pPr>
        <w:pStyle w:val="ParagraphContinued"/>
      </w:pPr>
      <w:r w:rsidRPr="00990D3B">
        <w:rPr>
          <w:noProof/>
        </w:rPr>
        <mc:AlternateContent>
          <mc:Choice Requires="wps">
            <w:drawing>
              <wp:anchor distT="0" distB="0" distL="114300" distR="114300" simplePos="0" relativeHeight="251797504" behindDoc="0" locked="0" layoutInCell="1" allowOverlap="1">
                <wp:simplePos x="0" y="0"/>
                <wp:positionH relativeFrom="column">
                  <wp:posOffset>3790950</wp:posOffset>
                </wp:positionH>
                <wp:positionV relativeFrom="paragraph">
                  <wp:posOffset>427990</wp:posOffset>
                </wp:positionV>
                <wp:extent cx="2195195" cy="1605915"/>
                <wp:effectExtent l="19050" t="19050" r="0" b="0"/>
                <wp:wrapTight wrapText="bothSides">
                  <wp:wrapPolygon>
                    <wp:start x="21787" y="21856"/>
                    <wp:lineTo x="21787" y="68"/>
                    <wp:lineTo x="44" y="68"/>
                    <wp:lineTo x="44" y="21856"/>
                    <wp:lineTo x="21787" y="21856"/>
                  </wp:wrapPolygon>
                </wp:wrapTight>
                <wp:docPr id="874639210" name="Text Box 15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605915"/>
                        </a:xfrm>
                        <a:prstGeom prst="rect">
                          <a:avLst/>
                        </a:prstGeom>
                        <a:solidFill>
                          <a:srgbClr val="EEF5F8"/>
                        </a:solidFill>
                        <a:ln w="28575" cap="rnd">
                          <a:solidFill>
                            <a:srgbClr val="A5DAD9"/>
                          </a:solidFill>
                          <a:prstDash val="solid"/>
                          <a:miter lim="800000"/>
                          <a:headEnd/>
                          <a:tailEnd/>
                        </a:ln>
                      </wps:spPr>
                      <wps:txbx>
                        <w:txbxContent>
                          <w:p w:rsidR="00ED33C3" w:rsidP="00C7772E" w14:textId="3981EF1D">
                            <w:pPr>
                              <w:pStyle w:val="EQRTextboxheading"/>
                            </w:pPr>
                            <w:r w:rsidRPr="006F4774">
                              <w:t xml:space="preserve">Resource for Activity </w:t>
                            </w:r>
                            <w:r>
                              <w:t>3</w:t>
                            </w:r>
                            <w:r w:rsidRPr="006F4774">
                              <w:t xml:space="preserve">, Step </w:t>
                            </w:r>
                            <w:r>
                              <w:t>3</w:t>
                            </w:r>
                          </w:p>
                          <w:p w:rsidR="00ED33C3" w:rsidRPr="00C7772E" w:rsidP="00C7772E" w14:textId="621CAAE3">
                            <w:pPr>
                              <w:pStyle w:val="EQRTextboxbody"/>
                            </w:pPr>
                            <w:hyperlink w:anchor="WSp3n03" w:tooltip="Worksheet 3.3. Sample Site Visit Agenda" w:history="1">
                              <w:r w:rsidRPr="00875208">
                                <w:rPr>
                                  <w:rStyle w:val="Hyperlink"/>
                                </w:rPr>
                                <w:t>Worksheet 3.3. Sample Site Visit Agenda</w:t>
                              </w:r>
                            </w:hyperlink>
                          </w:p>
                          <w:p w:rsidR="00ED33C3" w:rsidRPr="0090682E" w:rsidP="00C7772E" w14:textId="5E518B7A">
                            <w:pPr>
                              <w:pStyle w:val="EQRTextboxbullet"/>
                              <w:rPr>
                                <w:spacing w:val="-2"/>
                              </w:rPr>
                            </w:pPr>
                            <w:r w:rsidRPr="00C7772E">
                              <w:t>This template can be used to develop the site visit agenda. It is intended to help the MCP and EQRO in planning staff interviews, gathering documents, and finalizing logistics</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4" o:spid="_x0000_s1129" type="#_x0000_t202" style="width:172.85pt;height:126.45pt;margin-top:33.7pt;margin-left:298.5pt;flip:y;mso-height-percent:0;mso-height-relative:page;mso-width-percent:0;mso-width-relative:page;mso-wrap-distance-bottom:0;mso-wrap-distance-left:9pt;mso-wrap-distance-right:9pt;mso-wrap-distance-top:0;mso-wrap-style:square;position:absolute;rotation:180;visibility:visible;v-text-anchor:top;z-index:251798528" fillcolor="#eef5f8" strokecolor="#a5dad9" strokeweight="2.25pt">
                <v:stroke endcap="round"/>
                <v:textbox style="mso-fit-shape-to-text:t" inset="8.64pt,,8.64pt">
                  <w:txbxContent>
                    <w:p w:rsidR="00ED33C3" w:rsidP="00C7772E" w14:paraId="51A6AB35" w14:textId="3981EF1D">
                      <w:pPr>
                        <w:pStyle w:val="EQRTextboxheading"/>
                      </w:pPr>
                      <w:r w:rsidRPr="006F4774">
                        <w:t xml:space="preserve">Resource for Activity </w:t>
                      </w:r>
                      <w:r>
                        <w:t>3</w:t>
                      </w:r>
                      <w:r w:rsidRPr="006F4774">
                        <w:t xml:space="preserve">, Step </w:t>
                      </w:r>
                      <w:r>
                        <w:t>3</w:t>
                      </w:r>
                    </w:p>
                    <w:p w:rsidR="00ED33C3" w:rsidRPr="00C7772E" w:rsidP="00C7772E" w14:paraId="29B34B03" w14:textId="621CAAE3">
                      <w:pPr>
                        <w:pStyle w:val="EQRTextboxbody"/>
                      </w:pPr>
                      <w:hyperlink w:anchor="WSp3n03" w:tooltip="Worksheet 3.3. Sample Site Visit Agenda" w:history="1">
                        <w:r w:rsidRPr="00875208">
                          <w:rPr>
                            <w:rStyle w:val="Hyperlink"/>
                          </w:rPr>
                          <w:t>Worksheet 3.3. Sample Site Visit Agenda</w:t>
                        </w:r>
                      </w:hyperlink>
                    </w:p>
                    <w:p w:rsidR="00ED33C3" w:rsidRPr="0090682E" w:rsidP="00C7772E" w14:paraId="38F21667" w14:textId="5E518B7A">
                      <w:pPr>
                        <w:pStyle w:val="EQRTextboxbullet"/>
                        <w:rPr>
                          <w:spacing w:val="-2"/>
                        </w:rPr>
                      </w:pPr>
                      <w:r w:rsidRPr="00C7772E">
                        <w:t>This template can be used to develop the site visit agenda. It is intended to help the MCP and EQRO in planning staff interviews, gathering documents, and finalizing logistics</w:t>
                      </w:r>
                    </w:p>
                  </w:txbxContent>
                </v:textbox>
                <w10:wrap type="tight"/>
              </v:shape>
            </w:pict>
          </mc:Fallback>
        </mc:AlternateContent>
      </w:r>
      <w:r w:rsidRPr="00990D3B">
        <w:rPr>
          <w:noProof/>
        </w:rPr>
        <mc:AlternateContent>
          <mc:Choice Requires="wps">
            <w:drawing>
              <wp:anchor distT="0" distB="0" distL="114300" distR="114300" simplePos="0" relativeHeight="251799552" behindDoc="0" locked="0" layoutInCell="1" allowOverlap="1">
                <wp:simplePos x="0" y="0"/>
                <wp:positionH relativeFrom="column">
                  <wp:posOffset>3790950</wp:posOffset>
                </wp:positionH>
                <wp:positionV relativeFrom="paragraph">
                  <wp:posOffset>67310</wp:posOffset>
                </wp:positionV>
                <wp:extent cx="2194560" cy="297815"/>
                <wp:effectExtent l="19050" t="19050" r="0" b="7620"/>
                <wp:wrapTight wrapText="bothSides">
                  <wp:wrapPolygon>
                    <wp:start x="21788" y="22985"/>
                    <wp:lineTo x="21788" y="-554"/>
                    <wp:lineTo x="38" y="-554"/>
                    <wp:lineTo x="38" y="22985"/>
                    <wp:lineTo x="21788" y="22985"/>
                  </wp:wrapPolygon>
                </wp:wrapTight>
                <wp:docPr id="1669815368" name="Text Box 15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C7772E" w14:textId="668A140C">
                            <w:pPr>
                              <w:pStyle w:val="EQRWORKSHEETText"/>
                              <w:rPr>
                                <w:spacing w:val="-2"/>
                              </w:rPr>
                            </w:pPr>
                            <w:hyperlink w:anchor="WSp3n03" w:tooltip="WORKSHEET 3.3" w:history="1">
                              <w:r>
                                <w:rPr>
                                  <w:rStyle w:val="Hyperlink"/>
                                  <w:color w:val="006981"/>
                                </w:rPr>
                                <w:t>WORKSHEET 3.3</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3" o:spid="_x0000_s1130" type="#_x0000_t202" style="width:172.8pt;height:23.45pt;margin-top:5.3pt;margin-left:298.5pt;flip:y;mso-height-percent:0;mso-height-relative:page;mso-width-percent:0;mso-width-relative:page;mso-wrap-distance-bottom:0;mso-wrap-distance-left:9pt;mso-wrap-distance-right:9pt;mso-wrap-distance-top:0;mso-wrap-style:square;position:absolute;rotation:180;visibility:visible;v-text-anchor:top;z-index:251800576" fillcolor="#eef5f8" strokecolor="#a5dad9" strokeweight="2.25pt">
                <v:stroke endcap="round"/>
                <v:textbox style="mso-fit-shape-to-text:t" inset="8.64pt,,8.64pt">
                  <w:txbxContent>
                    <w:p w:rsidR="00ED33C3" w:rsidRPr="0090682E" w:rsidP="00C7772E" w14:paraId="0275F5CA" w14:textId="668A140C">
                      <w:pPr>
                        <w:pStyle w:val="EQRWORKSHEETText"/>
                        <w:rPr>
                          <w:spacing w:val="-2"/>
                        </w:rPr>
                      </w:pPr>
                      <w:hyperlink w:anchor="WSp3n03" w:tooltip="WORKSHEET 3.3" w:history="1">
                        <w:r>
                          <w:rPr>
                            <w:rStyle w:val="Hyperlink"/>
                            <w:color w:val="006981"/>
                          </w:rPr>
                          <w:t>WORKSHEET 3.3</w:t>
                        </w:r>
                      </w:hyperlink>
                    </w:p>
                  </w:txbxContent>
                </v:textbox>
                <w10:wrap type="tight"/>
              </v:shape>
            </w:pict>
          </mc:Fallback>
        </mc:AlternateContent>
      </w:r>
      <w:r w:rsidRPr="00990D3B" w:rsidR="003261BA">
        <w:t xml:space="preserve">Clear expectations are essential for an efficient and effective </w:t>
      </w:r>
      <w:r w:rsidRPr="00990D3B" w:rsidR="003B445D">
        <w:t>site</w:t>
      </w:r>
      <w:r w:rsidRPr="00990D3B" w:rsidR="003261BA">
        <w:t xml:space="preserve"> visit. An agenda sets the expectations and schedule for </w:t>
      </w:r>
      <w:r w:rsidRPr="00990D3B" w:rsidR="003261BA">
        <w:t>the review</w:t>
      </w:r>
      <w:r w:rsidRPr="00990D3B" w:rsidR="003261BA">
        <w:t>. It also assists both the MCP and EQRO in planning staff participation, gathering documentation, and finalizing logistics such as arranging locations for document review and interviews. The EQRO should consult with the MCP throughout the agenda setting process to ensure the inclusion of appropriate staff</w:t>
      </w:r>
      <w:r w:rsidRPr="00990D3B" w:rsidR="003325D1">
        <w:t xml:space="preserve"> and subcontractors</w:t>
      </w:r>
      <w:r w:rsidRPr="00990D3B" w:rsidR="003261BA">
        <w:t xml:space="preserve">. </w:t>
      </w:r>
    </w:p>
    <w:p w:rsidR="003261BA" w:rsidRPr="00990D3B" w:rsidP="00BD1FC3" w14:paraId="37BCB76A" w14:textId="56BF4560">
      <w:pPr>
        <w:pStyle w:val="H3"/>
      </w:pPr>
      <w:bookmarkStart w:id="384" w:name="P3Act3Step4"/>
      <w:bookmarkEnd w:id="384"/>
      <w:r w:rsidRPr="00990D3B">
        <w:t>Step 4:</w:t>
      </w:r>
      <w:r w:rsidRPr="00990D3B" w:rsidR="0011499F">
        <w:tab/>
      </w:r>
      <w:r w:rsidRPr="00990D3B">
        <w:t xml:space="preserve">Provide Preparation Instructions and Guidance </w:t>
      </w:r>
      <w:r w:rsidRPr="00990D3B">
        <w:t>to</w:t>
      </w:r>
      <w:r w:rsidRPr="00990D3B">
        <w:t xml:space="preserve"> the MCP</w:t>
      </w:r>
    </w:p>
    <w:p w:rsidR="003261BA" w:rsidRPr="00990D3B" w:rsidP="00E12EF3" w14:paraId="5DD5364C" w14:textId="5DC7FE8E">
      <w:pPr>
        <w:pStyle w:val="ParagraphContinued"/>
      </w:pPr>
      <w:r w:rsidRPr="00990D3B">
        <w:t xml:space="preserve">The EQRO should send clear instructions and guidance to the MCP before the </w:t>
      </w:r>
      <w:r w:rsidRPr="00990D3B" w:rsidR="003B445D">
        <w:t>site</w:t>
      </w:r>
      <w:r w:rsidRPr="00990D3B">
        <w:t xml:space="preserve"> visit. In preparation for the </w:t>
      </w:r>
      <w:r w:rsidRPr="00990D3B" w:rsidR="003B445D">
        <w:t>site</w:t>
      </w:r>
      <w:r w:rsidRPr="00990D3B">
        <w:t xml:space="preserve"> visit, </w:t>
      </w:r>
      <w:r w:rsidRPr="00990D3B">
        <w:t xml:space="preserve">the </w:t>
      </w:r>
      <w:r w:rsidRPr="00990D3B" w:rsidR="00B34A3B">
        <w:t>EQRO</w:t>
      </w:r>
      <w:r w:rsidRPr="00990D3B">
        <w:t xml:space="preserve"> should provide MCPs with the following information: </w:t>
      </w:r>
    </w:p>
    <w:p w:rsidR="003261BA" w:rsidRPr="00990D3B" w:rsidP="00FB7CAF" w14:paraId="5790E4D0" w14:textId="2648A69A">
      <w:pPr>
        <w:pStyle w:val="EQRBulletBLUE"/>
      </w:pPr>
      <w:r w:rsidRPr="00990D3B">
        <w:t>The scope of the assessment</w:t>
      </w:r>
      <w:r w:rsidRPr="00990D3B" w:rsidR="002D38C1">
        <w:t>.</w:t>
      </w:r>
    </w:p>
    <w:p w:rsidR="003261BA" w:rsidRPr="00990D3B" w:rsidP="00FB7CAF" w14:paraId="6CA6EC48" w14:textId="3A3F5321">
      <w:pPr>
        <w:pStyle w:val="EQRBulletBLUE"/>
      </w:pPr>
      <w:r w:rsidRPr="00990D3B">
        <w:t>How the review will be conducted</w:t>
      </w:r>
      <w:r w:rsidRPr="00990D3B" w:rsidR="002D38C1">
        <w:t>.</w:t>
      </w:r>
    </w:p>
    <w:p w:rsidR="003261BA" w:rsidRPr="00990D3B" w:rsidP="00FB7CAF" w14:paraId="5AC37580" w14:textId="5F8D9520">
      <w:pPr>
        <w:pStyle w:val="EQRBulletBLUE"/>
      </w:pPr>
      <w:r w:rsidRPr="00990D3B">
        <w:t>List of required documents</w:t>
      </w:r>
      <w:r w:rsidRPr="00990D3B" w:rsidR="002D38C1">
        <w:t>.</w:t>
      </w:r>
    </w:p>
    <w:p w:rsidR="003261BA" w:rsidRPr="00990D3B" w:rsidP="00FB7CAF" w14:paraId="177F8658" w14:textId="51499D0E">
      <w:pPr>
        <w:pStyle w:val="EQRBulletBLUE"/>
      </w:pPr>
      <w:r w:rsidRPr="00990D3B">
        <w:t>Instructions for how documents for review should be organized</w:t>
      </w:r>
      <w:r w:rsidRPr="00990D3B" w:rsidR="002D38C1">
        <w:t>.</w:t>
      </w:r>
    </w:p>
    <w:p w:rsidR="003261BA" w:rsidRPr="00990D3B" w:rsidP="00FB7CAF" w14:paraId="1251A574" w14:textId="498B181C">
      <w:pPr>
        <w:pStyle w:val="EQRBulletBLUE"/>
      </w:pPr>
      <w:r w:rsidRPr="00990D3B">
        <w:t xml:space="preserve">Forms or other data gathering instruments that should be completed before arrival (such as the Information Systems Capability Assessment (ISCA); see </w:t>
      </w:r>
      <w:hyperlink w:anchor="AppB" w:tooltip="Appendix B" w:history="1">
        <w:r w:rsidRPr="00990D3B" w:rsidR="00CF5AB3">
          <w:rPr>
            <w:rStyle w:val="Hyperlink"/>
          </w:rPr>
          <w:t>Appendix B</w:t>
        </w:r>
      </w:hyperlink>
      <w:r w:rsidRPr="00990D3B">
        <w:t>)</w:t>
      </w:r>
      <w:r w:rsidRPr="00990D3B" w:rsidR="002D38C1">
        <w:t>.</w:t>
      </w:r>
    </w:p>
    <w:p w:rsidR="003261BA" w:rsidRPr="00990D3B" w:rsidP="00FB7CAF" w14:paraId="6145118E" w14:textId="40A4EDFF">
      <w:pPr>
        <w:pStyle w:val="EQRBulletBLUE"/>
      </w:pPr>
      <w:r w:rsidRPr="00990D3B">
        <w:t>Reports from prior reviews and subsequent MCP corrective actions</w:t>
      </w:r>
      <w:r w:rsidRPr="00990D3B" w:rsidR="002D38C1">
        <w:t>.</w:t>
      </w:r>
    </w:p>
    <w:p w:rsidR="003261BA" w:rsidRPr="00990D3B" w:rsidP="00FB7CAF" w14:paraId="31BF5A31" w14:textId="47587135">
      <w:pPr>
        <w:pStyle w:val="EQRBulletBLUE"/>
      </w:pPr>
      <w:r w:rsidRPr="00990D3B">
        <w:t>Names and contact information for expected interview participants</w:t>
      </w:r>
      <w:r w:rsidRPr="00990D3B" w:rsidR="002D38C1">
        <w:t xml:space="preserve">. </w:t>
      </w:r>
    </w:p>
    <w:p w:rsidR="003261BA" w:rsidRPr="00990D3B" w:rsidP="00FB7CAF" w14:paraId="67718A4A" w14:textId="7EEC18E9">
      <w:pPr>
        <w:pStyle w:val="EQRBulletBLUE"/>
      </w:pPr>
      <w:r w:rsidRPr="00990D3B">
        <w:t>Adminis</w:t>
      </w:r>
      <w:r w:rsidRPr="00990D3B" w:rsidR="00837B16">
        <w:t>trative needs of the reviewers</w:t>
      </w:r>
      <w:r w:rsidRPr="00990D3B" w:rsidR="002D38C1">
        <w:t xml:space="preserve">. </w:t>
      </w:r>
    </w:p>
    <w:p w:rsidR="00BA5D44" w:rsidRPr="00990D3B" w:rsidP="00FB7CAF" w14:paraId="0D0596AD" w14:textId="4A3A2E7F">
      <w:pPr>
        <w:pStyle w:val="EQRBulletBLUE"/>
      </w:pPr>
      <w:r w:rsidRPr="00990D3B">
        <w:br w:type="page"/>
      </w:r>
    </w:p>
    <w:p w:rsidR="00344496" w:rsidRPr="00990D3B" w:rsidP="00BD1FC3" w14:paraId="1C1F546E" w14:textId="55225E58">
      <w:pPr>
        <w:pStyle w:val="H3"/>
      </w:pPr>
      <w:bookmarkStart w:id="385" w:name="P3Act3Step5"/>
      <w:bookmarkEnd w:id="385"/>
      <w:r w:rsidRPr="00990D3B">
        <w:t xml:space="preserve">Step 5: </w:t>
      </w:r>
      <w:r w:rsidRPr="00990D3B" w:rsidR="0055355B">
        <w:t xml:space="preserve">Conduct </w:t>
      </w:r>
      <w:r w:rsidRPr="00990D3B" w:rsidR="007F1906">
        <w:t xml:space="preserve">MCP Interviews </w:t>
      </w:r>
    </w:p>
    <w:p w:rsidR="003261BA" w:rsidRPr="00990D3B" w:rsidP="00E12EF3" w14:paraId="0D951925" w14:textId="457CC228">
      <w:pPr>
        <w:pStyle w:val="ParagraphContinued"/>
      </w:pPr>
      <w:r w:rsidRPr="00990D3B">
        <w:rPr>
          <w:noProof/>
        </w:rPr>
        <mc:AlternateContent>
          <mc:Choice Requires="wps">
            <w:drawing>
              <wp:anchor distT="0" distB="0" distL="114300" distR="114300" simplePos="0" relativeHeight="251801600" behindDoc="0" locked="0" layoutInCell="1" allowOverlap="1">
                <wp:simplePos x="0" y="0"/>
                <wp:positionH relativeFrom="column">
                  <wp:posOffset>3746500</wp:posOffset>
                </wp:positionH>
                <wp:positionV relativeFrom="paragraph">
                  <wp:posOffset>835025</wp:posOffset>
                </wp:positionV>
                <wp:extent cx="2195195" cy="4425315"/>
                <wp:effectExtent l="19050" t="19050" r="0" b="0"/>
                <wp:wrapTight wrapText="bothSides">
                  <wp:wrapPolygon>
                    <wp:start x="21787" y="21693"/>
                    <wp:lineTo x="21787" y="25"/>
                    <wp:lineTo x="44" y="25"/>
                    <wp:lineTo x="44" y="21693"/>
                    <wp:lineTo x="21787" y="21693"/>
                  </wp:wrapPolygon>
                </wp:wrapTight>
                <wp:docPr id="1265852836" name="Text Box 15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4425315"/>
                        </a:xfrm>
                        <a:prstGeom prst="rect">
                          <a:avLst/>
                        </a:prstGeom>
                        <a:solidFill>
                          <a:srgbClr val="EEF5F8"/>
                        </a:solidFill>
                        <a:ln w="28575" cap="rnd">
                          <a:solidFill>
                            <a:srgbClr val="A5DAD9"/>
                          </a:solidFill>
                          <a:prstDash val="solid"/>
                          <a:miter lim="800000"/>
                          <a:headEnd/>
                          <a:tailEnd/>
                        </a:ln>
                      </wps:spPr>
                      <wps:txbx>
                        <w:txbxContent>
                          <w:p w:rsidR="00ED33C3" w:rsidP="00C7772E" w14:textId="7673FF34">
                            <w:pPr>
                              <w:pStyle w:val="EQRTextboxheading"/>
                            </w:pPr>
                            <w:r w:rsidRPr="006F4774">
                              <w:t>Resource</w:t>
                            </w:r>
                            <w:r w:rsidR="00E8657B">
                              <w:t>s</w:t>
                            </w:r>
                            <w:r w:rsidRPr="006F4774">
                              <w:t xml:space="preserve"> for Activity </w:t>
                            </w:r>
                            <w:r>
                              <w:t>3</w:t>
                            </w:r>
                            <w:r w:rsidRPr="006F4774">
                              <w:t xml:space="preserve">, Step </w:t>
                            </w:r>
                            <w:r>
                              <w:t>5</w:t>
                            </w:r>
                          </w:p>
                          <w:p w:rsidR="00ED33C3" w:rsidRPr="007A064E" w:rsidP="007A064E" w14:textId="3D1CA243">
                            <w:pPr>
                              <w:pStyle w:val="EQRTextboxbody"/>
                            </w:pPr>
                            <w:hyperlink w:anchor="WSp3n01" w:tooltip="Worksheet 3.1. Compliance Review" w:history="1">
                              <w:r w:rsidRPr="00875208">
                                <w:rPr>
                                  <w:rStyle w:val="Hyperlink"/>
                                </w:rPr>
                                <w:t>Worksheet 3.1. Compliance Review</w:t>
                              </w:r>
                            </w:hyperlink>
                          </w:p>
                          <w:p w:rsidR="00ED33C3" w:rsidRPr="007A064E" w:rsidP="000F67F7" w14:textId="4F9C920D">
                            <w:pPr>
                              <w:pStyle w:val="EQRTextboxbullet"/>
                              <w:rPr>
                                <w:szCs w:val="19"/>
                              </w:rPr>
                            </w:pPr>
                            <w:r w:rsidRPr="007A064E">
                              <w:t xml:space="preserve">Includes a list of the types of documents the MCP may provide the EQRO to demonstrate the MCP’s compliance with federal regulations and state standards </w:t>
                            </w:r>
                          </w:p>
                          <w:p w:rsidR="00ED33C3" w:rsidRPr="007A064E" w:rsidP="000F67F7" w14:textId="3468877F">
                            <w:pPr>
                              <w:pStyle w:val="EQRTextboxbullet"/>
                              <w:rPr>
                                <w:szCs w:val="19"/>
                              </w:rPr>
                            </w:pPr>
                            <w:r w:rsidRPr="007A064E">
                              <w:rPr>
                                <w:szCs w:val="19"/>
                              </w:rPr>
                              <w:t>Provides space for reviewers to document follow-up to questions from the pre-site visit documentation review. The completed Compliance Review Worksheet is a primary data source for analyses and a comprehensive record of compliance protocol EQR-related activities</w:t>
                            </w:r>
                          </w:p>
                          <w:p w:rsidR="00ED33C3" w:rsidRPr="007A064E" w:rsidP="007A064E" w14:textId="79ED88CF">
                            <w:pPr>
                              <w:pStyle w:val="EQRTextboxbody"/>
                            </w:pPr>
                            <w:hyperlink w:anchor="WSp3n04" w:tooltip="Worksheet 3.4. Compliance Interview Questions" w:history="1">
                              <w:r w:rsidRPr="00875208">
                                <w:rPr>
                                  <w:rStyle w:val="Hyperlink"/>
                                </w:rPr>
                                <w:t>Worksheet 3.4. Compliance Interview Questions</w:t>
                              </w:r>
                            </w:hyperlink>
                          </w:p>
                          <w:p w:rsidR="00ED33C3" w:rsidRPr="007A064E" w:rsidP="007A064E" w14:textId="77777777">
                            <w:pPr>
                              <w:pStyle w:val="EQRTextboxbullet"/>
                            </w:pPr>
                            <w:r w:rsidRPr="007A064E">
                              <w:t>Provides questions that are intended to guide the reviewer's discussion with MCP staff to help determine compliance with state and federal requirements</w:t>
                            </w:r>
                          </w:p>
                          <w:p w:rsidR="00ED33C3" w:rsidRPr="0090682E" w:rsidP="007A064E" w14:textId="48ECFB1A">
                            <w:pPr>
                              <w:pStyle w:val="EQRTextboxbullet"/>
                              <w:rPr>
                                <w:spacing w:val="-2"/>
                              </w:rPr>
                            </w:pPr>
                            <w:r w:rsidRPr="007A064E">
                              <w:t>The questions are first organized by MCP staff roles and then by regulatory provision</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2" o:spid="_x0000_s1131" type="#_x0000_t202" style="width:172.85pt;height:348.45pt;margin-top:65.75pt;margin-left:295pt;flip:y;mso-height-percent:0;mso-height-relative:page;mso-width-percent:0;mso-width-relative:page;mso-wrap-distance-bottom:0;mso-wrap-distance-left:9pt;mso-wrap-distance-right:9pt;mso-wrap-distance-top:0;mso-wrap-style:square;position:absolute;rotation:180;visibility:visible;v-text-anchor:top;z-index:251802624" fillcolor="#eef5f8" strokecolor="#a5dad9" strokeweight="2.25pt">
                <v:stroke endcap="round"/>
                <v:textbox style="mso-fit-shape-to-text:t" inset="8.64pt,,8.64pt">
                  <w:txbxContent>
                    <w:p w:rsidR="00ED33C3" w:rsidP="00C7772E" w14:paraId="4CF5FBC3" w14:textId="7673FF34">
                      <w:pPr>
                        <w:pStyle w:val="EQRTextboxheading"/>
                      </w:pPr>
                      <w:r w:rsidRPr="006F4774">
                        <w:t>Resource</w:t>
                      </w:r>
                      <w:r w:rsidR="00E8657B">
                        <w:t>s</w:t>
                      </w:r>
                      <w:r w:rsidRPr="006F4774">
                        <w:t xml:space="preserve"> for Activity </w:t>
                      </w:r>
                      <w:r>
                        <w:t>3</w:t>
                      </w:r>
                      <w:r w:rsidRPr="006F4774">
                        <w:t xml:space="preserve">, Step </w:t>
                      </w:r>
                      <w:r>
                        <w:t>5</w:t>
                      </w:r>
                    </w:p>
                    <w:p w:rsidR="00ED33C3" w:rsidRPr="007A064E" w:rsidP="007A064E" w14:paraId="2A18250B" w14:textId="3D1CA243">
                      <w:pPr>
                        <w:pStyle w:val="EQRTextboxbody"/>
                      </w:pPr>
                      <w:hyperlink w:anchor="WSp3n01" w:tooltip="Worksheet 3.1. Compliance Review" w:history="1">
                        <w:r w:rsidRPr="00875208">
                          <w:rPr>
                            <w:rStyle w:val="Hyperlink"/>
                          </w:rPr>
                          <w:t>Worksheet 3.1. Compliance Review</w:t>
                        </w:r>
                      </w:hyperlink>
                    </w:p>
                    <w:p w:rsidR="00ED33C3" w:rsidRPr="007A064E" w:rsidP="000F67F7" w14:paraId="2922D05B" w14:textId="4F9C920D">
                      <w:pPr>
                        <w:pStyle w:val="EQRTextboxbullet"/>
                        <w:rPr>
                          <w:szCs w:val="19"/>
                        </w:rPr>
                      </w:pPr>
                      <w:r w:rsidRPr="007A064E">
                        <w:t xml:space="preserve">Includes a list of the types of documents the MCP may provide the EQRO to demonstrate the MCP’s compliance with federal regulations and state standards </w:t>
                      </w:r>
                    </w:p>
                    <w:p w:rsidR="00ED33C3" w:rsidRPr="007A064E" w:rsidP="000F67F7" w14:paraId="0FDC2713" w14:textId="3468877F">
                      <w:pPr>
                        <w:pStyle w:val="EQRTextboxbullet"/>
                        <w:rPr>
                          <w:szCs w:val="19"/>
                        </w:rPr>
                      </w:pPr>
                      <w:r w:rsidRPr="007A064E">
                        <w:rPr>
                          <w:szCs w:val="19"/>
                        </w:rPr>
                        <w:t>Provides space for reviewers to document follow-up to questions from the pre-site visit documentation review. The completed Compliance Review Worksheet is a primary data source for analyses and a comprehensive record of compliance protocol EQR-related activities</w:t>
                      </w:r>
                    </w:p>
                    <w:p w:rsidR="00ED33C3" w:rsidRPr="007A064E" w:rsidP="007A064E" w14:paraId="0BD3C3AB" w14:textId="79ED88CF">
                      <w:pPr>
                        <w:pStyle w:val="EQRTextboxbody"/>
                      </w:pPr>
                      <w:hyperlink w:anchor="WSp3n04" w:tooltip="Worksheet 3.4. Compliance Interview Questions" w:history="1">
                        <w:r w:rsidRPr="00875208">
                          <w:rPr>
                            <w:rStyle w:val="Hyperlink"/>
                          </w:rPr>
                          <w:t>Worksheet 3.4. Compliance Interview Questions</w:t>
                        </w:r>
                      </w:hyperlink>
                    </w:p>
                    <w:p w:rsidR="00ED33C3" w:rsidRPr="007A064E" w:rsidP="007A064E" w14:paraId="560640B3" w14:textId="77777777">
                      <w:pPr>
                        <w:pStyle w:val="EQRTextboxbullet"/>
                      </w:pPr>
                      <w:r w:rsidRPr="007A064E">
                        <w:t>Provides questions that are intended to guide the reviewer's discussion with MCP staff to help determine compliance with state and federal requirements</w:t>
                      </w:r>
                    </w:p>
                    <w:p w:rsidR="00ED33C3" w:rsidRPr="0090682E" w:rsidP="007A064E" w14:paraId="055B7893" w14:textId="48ECFB1A">
                      <w:pPr>
                        <w:pStyle w:val="EQRTextboxbullet"/>
                        <w:rPr>
                          <w:spacing w:val="-2"/>
                        </w:rPr>
                      </w:pPr>
                      <w:r w:rsidRPr="007A064E">
                        <w:t>The questions are first organized by MCP staff roles and then by regulatory provision</w:t>
                      </w:r>
                    </w:p>
                  </w:txbxContent>
                </v:textbox>
                <w10:wrap type="tight"/>
              </v:shape>
            </w:pict>
          </mc:Fallback>
        </mc:AlternateContent>
      </w:r>
      <w:r w:rsidRPr="00990D3B">
        <w:rPr>
          <w:noProof/>
        </w:rPr>
        <mc:AlternateContent>
          <mc:Choice Requires="wps">
            <w:drawing>
              <wp:anchor distT="0" distB="0" distL="114300" distR="114300" simplePos="0" relativeHeight="251803648" behindDoc="0" locked="0" layoutInCell="1" allowOverlap="1">
                <wp:simplePos x="0" y="0"/>
                <wp:positionH relativeFrom="column">
                  <wp:posOffset>3746500</wp:posOffset>
                </wp:positionH>
                <wp:positionV relativeFrom="paragraph">
                  <wp:posOffset>473710</wp:posOffset>
                </wp:positionV>
                <wp:extent cx="2194560" cy="297815"/>
                <wp:effectExtent l="19050" t="19050" r="0" b="7620"/>
                <wp:wrapTight wrapText="bothSides">
                  <wp:wrapPolygon>
                    <wp:start x="21788" y="22985"/>
                    <wp:lineTo x="21788" y="-554"/>
                    <wp:lineTo x="38" y="-554"/>
                    <wp:lineTo x="38" y="22985"/>
                    <wp:lineTo x="21788" y="22985"/>
                  </wp:wrapPolygon>
                </wp:wrapTight>
                <wp:docPr id="625557421" name="Text Box 15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C7772E" w14:textId="08412EB7">
                            <w:pPr>
                              <w:pStyle w:val="EQRWORKSHEETText"/>
                              <w:rPr>
                                <w:spacing w:val="-2"/>
                              </w:rPr>
                            </w:pPr>
                            <w:hyperlink w:anchor="WSp3n04" w:tooltip="WORKSHEET 3.4" w:history="1">
                              <w:r>
                                <w:rPr>
                                  <w:rStyle w:val="Hyperlink"/>
                                  <w:color w:val="006981"/>
                                </w:rPr>
                                <w:t>WORKSHEET 3.4</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1" o:spid="_x0000_s1132" type="#_x0000_t202" style="width:172.8pt;height:23.45pt;margin-top:37.3pt;margin-left:295pt;flip:y;mso-height-percent:0;mso-height-relative:page;mso-width-percent:0;mso-width-relative:page;mso-wrap-distance-bottom:0;mso-wrap-distance-left:9pt;mso-wrap-distance-right:9pt;mso-wrap-distance-top:0;mso-wrap-style:square;position:absolute;rotation:180;visibility:visible;v-text-anchor:top;z-index:251804672" fillcolor="#eef5f8" strokecolor="#a5dad9" strokeweight="2.25pt">
                <v:stroke endcap="round"/>
                <v:textbox style="mso-fit-shape-to-text:t" inset="8.64pt,,8.64pt">
                  <w:txbxContent>
                    <w:p w:rsidR="00ED33C3" w:rsidRPr="0090682E" w:rsidP="00C7772E" w14:paraId="64470299" w14:textId="08412EB7">
                      <w:pPr>
                        <w:pStyle w:val="EQRWORKSHEETText"/>
                        <w:rPr>
                          <w:spacing w:val="-2"/>
                        </w:rPr>
                      </w:pPr>
                      <w:hyperlink w:anchor="WSp3n04" w:tooltip="WORKSHEET 3.4" w:history="1">
                        <w:r>
                          <w:rPr>
                            <w:rStyle w:val="Hyperlink"/>
                            <w:color w:val="006981"/>
                          </w:rPr>
                          <w:t>WORKSHEET 3.4</w:t>
                        </w:r>
                      </w:hyperlink>
                    </w:p>
                  </w:txbxContent>
                </v:textbox>
                <w10:wrap type="tight"/>
              </v:shape>
            </w:pict>
          </mc:Fallback>
        </mc:AlternateContent>
      </w:r>
      <w:r w:rsidRPr="00990D3B">
        <w:rPr>
          <w:noProof/>
        </w:rPr>
        <mc:AlternateContent>
          <mc:Choice Requires="wps">
            <w:drawing>
              <wp:anchor distT="0" distB="0" distL="114300" distR="114300" simplePos="0" relativeHeight="251805696" behindDoc="0" locked="0" layoutInCell="1" allowOverlap="1">
                <wp:simplePos x="0" y="0"/>
                <wp:positionH relativeFrom="column">
                  <wp:posOffset>3746500</wp:posOffset>
                </wp:positionH>
                <wp:positionV relativeFrom="paragraph">
                  <wp:posOffset>118110</wp:posOffset>
                </wp:positionV>
                <wp:extent cx="2194560" cy="297815"/>
                <wp:effectExtent l="19050" t="19050" r="0" b="7620"/>
                <wp:wrapTight wrapText="bothSides">
                  <wp:wrapPolygon>
                    <wp:start x="21788" y="22985"/>
                    <wp:lineTo x="21788" y="-554"/>
                    <wp:lineTo x="38" y="-554"/>
                    <wp:lineTo x="38" y="22985"/>
                    <wp:lineTo x="21788" y="22985"/>
                  </wp:wrapPolygon>
                </wp:wrapTight>
                <wp:docPr id="706664510" name="Text Box 15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C7772E" w14:textId="3BA93EB3">
                            <w:pPr>
                              <w:pStyle w:val="EQRWORKSHEETText"/>
                              <w:rPr>
                                <w:spacing w:val="-2"/>
                              </w:rPr>
                            </w:pPr>
                            <w:hyperlink w:anchor="WSp3n01" w:tooltip="WORKSHEET 3.1" w:history="1">
                              <w:r>
                                <w:rPr>
                                  <w:rStyle w:val="Hyperlink"/>
                                  <w:color w:val="006981"/>
                                </w:rPr>
                                <w:t>WORKSHEET 3.1</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0" o:spid="_x0000_s1133" type="#_x0000_t202" style="width:172.8pt;height:23.45pt;margin-top:9.3pt;margin-left:295pt;flip:y;mso-height-percent:0;mso-height-relative:page;mso-width-percent:0;mso-width-relative:page;mso-wrap-distance-bottom:0;mso-wrap-distance-left:9pt;mso-wrap-distance-right:9pt;mso-wrap-distance-top:0;mso-wrap-style:square;position:absolute;rotation:180;visibility:visible;v-text-anchor:top;z-index:251806720" fillcolor="#eef5f8" strokecolor="#a5dad9" strokeweight="2.25pt">
                <v:stroke endcap="round"/>
                <v:textbox style="mso-fit-shape-to-text:t" inset="8.64pt,,8.64pt">
                  <w:txbxContent>
                    <w:p w:rsidR="00ED33C3" w:rsidRPr="0090682E" w:rsidP="00C7772E" w14:paraId="620BCC04" w14:textId="3BA93EB3">
                      <w:pPr>
                        <w:pStyle w:val="EQRWORKSHEETText"/>
                        <w:rPr>
                          <w:spacing w:val="-2"/>
                        </w:rPr>
                      </w:pPr>
                      <w:hyperlink w:anchor="WSp3n01" w:tooltip="WORKSHEET 3.1" w:history="1">
                        <w:r>
                          <w:rPr>
                            <w:rStyle w:val="Hyperlink"/>
                            <w:color w:val="006981"/>
                          </w:rPr>
                          <w:t>WORKSHEET 3.1</w:t>
                        </w:r>
                      </w:hyperlink>
                    </w:p>
                  </w:txbxContent>
                </v:textbox>
                <w10:wrap type="tight"/>
              </v:shape>
            </w:pict>
          </mc:Fallback>
        </mc:AlternateContent>
      </w:r>
      <w:r w:rsidRPr="00990D3B" w:rsidR="003261BA">
        <w:t xml:space="preserve">The purpose of MCP interviews is to collect data to supplement and verify what is learned through </w:t>
      </w:r>
      <w:r w:rsidRPr="00990D3B" w:rsidR="007F1906">
        <w:t>document review</w:t>
      </w:r>
      <w:r w:rsidRPr="00990D3B" w:rsidR="003261BA">
        <w:t xml:space="preserve">. </w:t>
      </w:r>
      <w:r w:rsidRPr="00990D3B" w:rsidR="007F1906">
        <w:t xml:space="preserve">In preparation for the </w:t>
      </w:r>
      <w:r w:rsidRPr="00990D3B" w:rsidR="003B445D">
        <w:t>site</w:t>
      </w:r>
      <w:r w:rsidRPr="00990D3B" w:rsidR="007F1906">
        <w:t xml:space="preserve"> visit, the EQRO should review the standards identified in the state documents obtained in Activity 1 and the findings from Activity 2, Step 2. During the </w:t>
      </w:r>
      <w:r w:rsidRPr="00990D3B" w:rsidR="003B445D">
        <w:t>site</w:t>
      </w:r>
      <w:r w:rsidRPr="00990D3B" w:rsidR="007F1906">
        <w:t xml:space="preserve"> visit, MCP staff should be available if the EQRO has questions or difficulty locating any </w:t>
      </w:r>
      <w:r w:rsidRPr="00990D3B" w:rsidR="007F1906">
        <w:t>needed additional documents or other information</w:t>
      </w:r>
      <w:r w:rsidRPr="00990D3B" w:rsidR="007F1906">
        <w:t xml:space="preserve">. The EQRO should notify the MCP during the </w:t>
      </w:r>
      <w:r w:rsidRPr="00990D3B" w:rsidR="003B445D">
        <w:t>site</w:t>
      </w:r>
      <w:r w:rsidRPr="00990D3B" w:rsidR="007F1906">
        <w:t xml:space="preserve"> visit of any missing information to allow the MCP to respond in a timely manner. The EQRO should maintain consistent documentation by adding to </w:t>
      </w:r>
      <w:hyperlink w:anchor="WSp3n01" w:tooltip="Worksheet 3.1" w:history="1">
        <w:r w:rsidRPr="00990D3B" w:rsidR="007F1906">
          <w:rPr>
            <w:rStyle w:val="Hyperlink"/>
          </w:rPr>
          <w:t>Worksheet 3.1</w:t>
        </w:r>
      </w:hyperlink>
      <w:r w:rsidRPr="00990D3B" w:rsidR="007F1906">
        <w:t xml:space="preserve"> any findings based on any additional information or documents provided by the MCP.</w:t>
      </w:r>
    </w:p>
    <w:p w:rsidR="003261BA" w:rsidRPr="00990D3B" w:rsidP="00BD1FC3" w14:paraId="2BF26347" w14:textId="2B214B2D">
      <w:pPr>
        <w:pStyle w:val="H5Lower"/>
      </w:pPr>
      <w:r w:rsidRPr="00990D3B">
        <w:t>Prepare</w:t>
      </w:r>
      <w:r w:rsidRPr="00990D3B">
        <w:t xml:space="preserve"> for the Interviews</w:t>
      </w:r>
    </w:p>
    <w:p w:rsidR="003261BA" w:rsidRPr="00990D3B" w:rsidP="00467D97" w14:paraId="0CD77589" w14:textId="245B83CC">
      <w:pPr>
        <w:pStyle w:val="Paragraph0"/>
      </w:pPr>
      <w:r w:rsidRPr="00990D3B">
        <w:t xml:space="preserve">Interviews should be tailored to the MCP being evaluated and the role of the interviewee. When planning for the interview, </w:t>
      </w:r>
      <w:r w:rsidRPr="00990D3B" w:rsidR="007F1906">
        <w:t xml:space="preserve">the EQRO </w:t>
      </w:r>
      <w:r w:rsidRPr="00990D3B">
        <w:t xml:space="preserve">should: </w:t>
      </w:r>
    </w:p>
    <w:p w:rsidR="003261BA" w:rsidRPr="00990D3B" w:rsidP="00FB7CAF" w14:paraId="40C4BAF9" w14:textId="479C613D">
      <w:pPr>
        <w:pStyle w:val="EQRBulletBLUE"/>
      </w:pPr>
      <w:r w:rsidRPr="00990D3B">
        <w:t>Prepare a list of issues to be addressed in each interview, based on federal regulatory provisions, state standards, MCP organization characteristics, and other information gathered during pre-</w:t>
      </w:r>
      <w:r w:rsidRPr="00990D3B" w:rsidR="003B445D">
        <w:t>site visit</w:t>
      </w:r>
      <w:r w:rsidRPr="00990D3B">
        <w:t xml:space="preserve"> document reviews</w:t>
      </w:r>
      <w:r w:rsidRPr="00990D3B" w:rsidR="00E8657B">
        <w:t>.</w:t>
      </w:r>
    </w:p>
    <w:p w:rsidR="003261BA" w:rsidRPr="00990D3B" w:rsidP="00FB7CAF" w14:paraId="5645B0C2" w14:textId="0237AFDA">
      <w:pPr>
        <w:pStyle w:val="EQRBulletBLUE"/>
      </w:pPr>
      <w:r w:rsidRPr="00990D3B">
        <w:t xml:space="preserve">Review the MCP’s anticipated interview </w:t>
      </w:r>
      <w:r w:rsidRPr="00990D3B">
        <w:t>participants, and</w:t>
      </w:r>
      <w:r w:rsidRPr="00990D3B">
        <w:t xml:space="preserve"> identify topics that will promote an inclusive discussion</w:t>
      </w:r>
      <w:r w:rsidRPr="00990D3B" w:rsidR="00E8657B">
        <w:t>.</w:t>
      </w:r>
    </w:p>
    <w:p w:rsidR="003261BA" w:rsidRPr="00990D3B" w:rsidP="00FB7CAF" w14:paraId="4A9AD532" w14:textId="7E327357">
      <w:pPr>
        <w:pStyle w:val="EQRBulletBLUE"/>
      </w:pPr>
      <w:r w:rsidRPr="00990D3B">
        <w:t xml:space="preserve">If multiple reviewers are assigned to an MCP, </w:t>
      </w:r>
      <w:r w:rsidRPr="00990D3B">
        <w:t>assign</w:t>
      </w:r>
      <w:r w:rsidRPr="00990D3B">
        <w:t xml:space="preserve"> primary roles to each reviewer (such as interviewer or note-taker), while allowing for shared roles and responsibilities as appropriate throughout the </w:t>
      </w:r>
      <w:r w:rsidRPr="00990D3B" w:rsidR="003B445D">
        <w:t>site</w:t>
      </w:r>
      <w:r w:rsidRPr="00990D3B">
        <w:t xml:space="preserve"> visit</w:t>
      </w:r>
      <w:r w:rsidRPr="00990D3B" w:rsidR="00E8657B">
        <w:t>.</w:t>
      </w:r>
    </w:p>
    <w:p w:rsidR="003261BA" w:rsidRPr="00990D3B" w:rsidP="00BD1FC3" w14:paraId="30F1CD63" w14:textId="2EC741DA">
      <w:pPr>
        <w:pStyle w:val="ParagraphContinued"/>
      </w:pPr>
      <w:r w:rsidRPr="00990D3B">
        <w:t>I</w:t>
      </w:r>
      <w:r w:rsidRPr="00990D3B" w:rsidR="007F1906">
        <w:t>t is strongly recommended that the EQRO</w:t>
      </w:r>
      <w:r w:rsidRPr="00990D3B">
        <w:t xml:space="preserve"> complete</w:t>
      </w:r>
      <w:r w:rsidRPr="00990D3B" w:rsidR="007F1906">
        <w:t>s</w:t>
      </w:r>
      <w:r w:rsidRPr="00990D3B">
        <w:t xml:space="preserve"> the</w:t>
      </w:r>
      <w:r w:rsidRPr="00990D3B" w:rsidR="00AE04EC">
        <w:t xml:space="preserve"> </w:t>
      </w:r>
      <w:r w:rsidRPr="00990D3B">
        <w:t>document review</w:t>
      </w:r>
      <w:r w:rsidRPr="00990D3B" w:rsidR="00CB1082">
        <w:t xml:space="preserve"> </w:t>
      </w:r>
      <w:r w:rsidRPr="00990D3B" w:rsidR="00AE04EC">
        <w:t>(</w:t>
      </w:r>
      <w:hyperlink w:anchor="P3Ac2tStep2" w:tooltip="Activity 2, Step 2" w:history="1">
        <w:r w:rsidRPr="00990D3B" w:rsidR="00CB1082">
          <w:rPr>
            <w:rStyle w:val="Hyperlink"/>
          </w:rPr>
          <w:t xml:space="preserve">Activity </w:t>
        </w:r>
        <w:r w:rsidRPr="00990D3B" w:rsidR="00A216B0">
          <w:rPr>
            <w:rStyle w:val="Hyperlink"/>
          </w:rPr>
          <w:t>2</w:t>
        </w:r>
        <w:r w:rsidRPr="00990D3B" w:rsidR="00CB1082">
          <w:rPr>
            <w:rStyle w:val="Hyperlink"/>
          </w:rPr>
          <w:t xml:space="preserve">, Step </w:t>
        </w:r>
        <w:r w:rsidRPr="00990D3B" w:rsidR="00A216B0">
          <w:rPr>
            <w:rStyle w:val="Hyperlink"/>
          </w:rPr>
          <w:t>2</w:t>
        </w:r>
      </w:hyperlink>
      <w:r w:rsidRPr="00990D3B" w:rsidR="00AE04EC">
        <w:t>)</w:t>
      </w:r>
      <w:r w:rsidRPr="00990D3B" w:rsidR="00600DD3">
        <w:t xml:space="preserve"> </w:t>
      </w:r>
      <w:r w:rsidRPr="00990D3B">
        <w:t xml:space="preserve">before the interviews. Some interview participants may provide </w:t>
      </w:r>
      <w:r w:rsidRPr="00990D3B" w:rsidR="00AE04EC">
        <w:t xml:space="preserve">additional </w:t>
      </w:r>
      <w:r w:rsidRPr="00990D3B">
        <w:t>documents during their interview. This might be done when such documents are vital to the discussion or if the review of the documents will benefit from joint review by all participants.</w:t>
      </w:r>
    </w:p>
    <w:p w:rsidR="003261BA" w:rsidRPr="00990D3B" w:rsidP="00BD1FC3" w14:paraId="476109DC" w14:textId="77777777">
      <w:pPr>
        <w:pStyle w:val="H5Lower"/>
      </w:pPr>
      <w:r w:rsidRPr="00990D3B">
        <w:t>Interview Participants</w:t>
      </w:r>
    </w:p>
    <w:p w:rsidR="003261BA" w:rsidRPr="00990D3B" w:rsidP="008D4B57" w14:paraId="70C40DEB" w14:textId="45AE4D80">
      <w:pPr>
        <w:pStyle w:val="ParagraphContinued"/>
      </w:pPr>
      <w:r w:rsidRPr="00990D3B">
        <w:t xml:space="preserve">Interviews should be conducted with groups, rather than with single individuals, because rarely does one individual have sole responsibility for a particular function. Interview groups should include participants that represent different functions, services, or departments of the MCP to enable the </w:t>
      </w:r>
      <w:r w:rsidRPr="00990D3B" w:rsidR="00A216B0">
        <w:t>EQRO</w:t>
      </w:r>
      <w:r w:rsidRPr="00990D3B">
        <w:t xml:space="preserve"> to collect multiple perspectives about an issue. Group interviews are also an opportunity for MCP staff to learn about compliance activities in other departments. The EQRO has the discretion to meet with less than the full list of MCP-recommended employees in situations where the EQRO feels that it can obtain the required information without the attendance of all MCP employees listed in the protocol, or the MCP has identified a more appropriate person to address questions but is not on the recommended list. </w:t>
      </w:r>
      <w:hyperlink w:anchor="WSp3n04" w:tooltip="Worksheet 3.4." w:history="1">
        <w:r w:rsidRPr="00990D3B">
          <w:rPr>
            <w:rStyle w:val="Hyperlink"/>
          </w:rPr>
          <w:t>Worksheet 3.4.</w:t>
        </w:r>
      </w:hyperlink>
      <w:r w:rsidRPr="00990D3B">
        <w:t xml:space="preserve"> includes questions for the following groups:</w:t>
      </w:r>
    </w:p>
    <w:p w:rsidR="003261BA" w:rsidRPr="00990D3B" w:rsidP="00FB7CAF" w14:paraId="2C56D7C6" w14:textId="36211C77">
      <w:pPr>
        <w:pStyle w:val="EQRBulletBLUE"/>
      </w:pPr>
      <w:r w:rsidRPr="00990D3B">
        <w:t>MCP leaders</w:t>
      </w:r>
      <w:r w:rsidRPr="00990D3B" w:rsidR="0010694A">
        <w:t>,</w:t>
      </w:r>
    </w:p>
    <w:p w:rsidR="003261BA" w:rsidRPr="00990D3B" w:rsidP="00FB7CAF" w14:paraId="1AA093E2" w14:textId="552B3DA1">
      <w:pPr>
        <w:pStyle w:val="EQRBulletBLUE"/>
      </w:pPr>
      <w:r w:rsidRPr="00990D3B">
        <w:t>MCP information systems staff</w:t>
      </w:r>
      <w:r w:rsidRPr="00990D3B" w:rsidR="0010694A">
        <w:t>,</w:t>
      </w:r>
    </w:p>
    <w:p w:rsidR="003261BA" w:rsidRPr="00990D3B" w:rsidP="00FB7CAF" w14:paraId="1D560D7C" w14:textId="43E7D072">
      <w:pPr>
        <w:pStyle w:val="EQRBulletBLUE"/>
      </w:pPr>
      <w:r w:rsidRPr="00990D3B">
        <w:t>QAPI</w:t>
      </w:r>
      <w:r w:rsidRPr="00990D3B">
        <w:t xml:space="preserve"> program staff</w:t>
      </w:r>
      <w:r w:rsidRPr="00990D3B" w:rsidR="0010694A">
        <w:t>,</w:t>
      </w:r>
    </w:p>
    <w:p w:rsidR="003261BA" w:rsidRPr="00990D3B" w:rsidP="00FB7CAF" w14:paraId="0950135C" w14:textId="0A87435C">
      <w:pPr>
        <w:pStyle w:val="EQRBulletBLUE"/>
      </w:pPr>
      <w:r w:rsidRPr="00990D3B">
        <w:t>Provider/contractor services staff</w:t>
      </w:r>
      <w:r w:rsidRPr="00990D3B" w:rsidR="0010694A">
        <w:t>,</w:t>
      </w:r>
    </w:p>
    <w:p w:rsidR="003261BA" w:rsidRPr="00990D3B" w:rsidP="00FB7CAF" w14:paraId="60036492" w14:textId="00D8251C">
      <w:pPr>
        <w:pStyle w:val="EQRBulletBLUE"/>
      </w:pPr>
      <w:r w:rsidRPr="00990D3B">
        <w:t>Enrollee services staff, including grievance and appeal staff</w:t>
      </w:r>
      <w:r w:rsidRPr="00990D3B" w:rsidR="0010694A">
        <w:t>,</w:t>
      </w:r>
    </w:p>
    <w:p w:rsidR="003261BA" w:rsidRPr="00990D3B" w:rsidP="00FB7CAF" w14:paraId="7D361F0F" w14:textId="48DD1787">
      <w:pPr>
        <w:pStyle w:val="EQRBulletBLUE"/>
      </w:pPr>
      <w:r w:rsidRPr="00990D3B">
        <w:t>Utilization management staff</w:t>
      </w:r>
      <w:r w:rsidRPr="00990D3B" w:rsidR="0010694A">
        <w:t>,</w:t>
      </w:r>
    </w:p>
    <w:p w:rsidR="003261BA" w:rsidRPr="00990D3B" w:rsidP="00FB7CAF" w14:paraId="2052837A" w14:textId="77C2C283">
      <w:pPr>
        <w:pStyle w:val="EQRBulletBLUE"/>
      </w:pPr>
      <w:r w:rsidRPr="00990D3B">
        <w:t>Medical director(s)</w:t>
      </w:r>
      <w:r w:rsidRPr="00990D3B" w:rsidR="0010694A">
        <w:t>,</w:t>
      </w:r>
    </w:p>
    <w:p w:rsidR="003261BA" w:rsidRPr="00990D3B" w:rsidP="00FB7CAF" w14:paraId="188AB112" w14:textId="2FDEB017">
      <w:pPr>
        <w:pStyle w:val="EQRBulletBLUE"/>
      </w:pPr>
      <w:r w:rsidRPr="00990D3B">
        <w:t>Case managers and care coordinators, and</w:t>
      </w:r>
    </w:p>
    <w:p w:rsidR="003261BA" w:rsidRPr="00990D3B" w:rsidP="00FB7CAF" w14:paraId="1BB7B989" w14:textId="05AD131B">
      <w:pPr>
        <w:pStyle w:val="EQRBulletBLUE"/>
      </w:pPr>
      <w:r w:rsidRPr="00990D3B">
        <w:t>MCP providers and contractors, as appropriate and as time and resources permit</w:t>
      </w:r>
      <w:r w:rsidRPr="00990D3B" w:rsidR="0010694A">
        <w:t>.</w:t>
      </w:r>
      <w:r w:rsidRPr="00990D3B">
        <w:t xml:space="preserve">  </w:t>
      </w:r>
    </w:p>
    <w:p w:rsidR="003261BA" w:rsidRPr="00990D3B" w:rsidP="00BD1FC3" w14:paraId="725586DF" w14:textId="405014A2">
      <w:pPr>
        <w:pStyle w:val="H5Lower"/>
      </w:pPr>
      <w:r w:rsidRPr="00990D3B">
        <w:t>Interview Process</w:t>
      </w:r>
    </w:p>
    <w:p w:rsidR="003261BA" w:rsidRPr="00990D3B" w:rsidP="008D4B57" w14:paraId="56240B80" w14:textId="217A7BEA">
      <w:pPr>
        <w:pStyle w:val="ParagraphContinued"/>
      </w:pPr>
      <w:r w:rsidRPr="00990D3B">
        <w:t xml:space="preserve">The </w:t>
      </w:r>
      <w:r w:rsidRPr="00990D3B" w:rsidR="00A216B0">
        <w:t xml:space="preserve">EQRO </w:t>
      </w:r>
      <w:r w:rsidRPr="00990D3B">
        <w:t>should provide the MCP interview participants with an interview agenda before the interview, which includes the interview goals, issues, topics, and a list of related materials or documents. Effective facilitation of an interview with an individual or a group requires that the</w:t>
      </w:r>
      <w:r w:rsidRPr="00990D3B" w:rsidR="003503FF">
        <w:t> </w:t>
      </w:r>
      <w:r w:rsidRPr="00990D3B" w:rsidR="00A216B0">
        <w:t>EQRO</w:t>
      </w:r>
      <w:r w:rsidRPr="00990D3B">
        <w:t>:</w:t>
      </w:r>
    </w:p>
    <w:p w:rsidR="003261BA" w:rsidRPr="00990D3B" w:rsidP="00FB7CAF" w14:paraId="3FDA1C52" w14:textId="15FCCC31">
      <w:pPr>
        <w:pStyle w:val="EQRBulletBLUE"/>
      </w:pPr>
      <w:r w:rsidRPr="00990D3B">
        <w:t>Maintain control of the interview discussion by politely redirecting participants to the topic or question as necessary</w:t>
      </w:r>
      <w:r w:rsidRPr="00990D3B" w:rsidR="00E8657B">
        <w:t>,</w:t>
      </w:r>
    </w:p>
    <w:p w:rsidR="003261BA" w:rsidRPr="00990D3B" w:rsidP="00FB7CAF" w14:paraId="2D7D4211" w14:textId="42EE46C3">
      <w:pPr>
        <w:pStyle w:val="EQRBulletBLUE"/>
      </w:pPr>
      <w:r w:rsidRPr="00990D3B">
        <w:t>Adhere to the time frames outlined in the agenda</w:t>
      </w:r>
      <w:r w:rsidRPr="00990D3B" w:rsidR="00E8657B">
        <w:t>,</w:t>
      </w:r>
    </w:p>
    <w:p w:rsidR="003261BA" w:rsidRPr="00990D3B" w:rsidP="00FB7CAF" w14:paraId="395C5C92" w14:textId="4EE24032">
      <w:pPr>
        <w:pStyle w:val="EQRBulletBLUE"/>
      </w:pPr>
      <w:r w:rsidRPr="00990D3B">
        <w:t>Listen carefully to participants and summarize or restate participant responses to ensure understanding</w:t>
      </w:r>
      <w:r w:rsidRPr="00990D3B" w:rsidR="00E8657B">
        <w:t>,</w:t>
      </w:r>
    </w:p>
    <w:p w:rsidR="003261BA" w:rsidRPr="00990D3B" w:rsidP="00FB7CAF" w14:paraId="27581113" w14:textId="14603174">
      <w:pPr>
        <w:pStyle w:val="EQRBulletBLUE"/>
      </w:pPr>
      <w:r w:rsidRPr="00990D3B">
        <w:t xml:space="preserve">Take notes using the </w:t>
      </w:r>
      <w:hyperlink w:anchor="WSp3n01" w:tooltip="Worksheet 3.1" w:history="1">
        <w:r w:rsidRPr="00990D3B">
          <w:rPr>
            <w:rStyle w:val="Hyperlink"/>
          </w:rPr>
          <w:t>Worksheet 3.</w:t>
        </w:r>
        <w:r w:rsidRPr="00990D3B" w:rsidR="00A216B0">
          <w:rPr>
            <w:rStyle w:val="Hyperlink"/>
          </w:rPr>
          <w:t>1</w:t>
        </w:r>
      </w:hyperlink>
      <w:r w:rsidRPr="00990D3B">
        <w:t xml:space="preserve"> or similar tool, or according to the Compliance Review Questions provided in </w:t>
      </w:r>
      <w:hyperlink w:anchor="WSp3n04" w:tooltip="Worksheet 3.4" w:history="1">
        <w:r w:rsidRPr="00990D3B">
          <w:rPr>
            <w:rStyle w:val="Hyperlink"/>
          </w:rPr>
          <w:t>Worksheet 3.4</w:t>
        </w:r>
      </w:hyperlink>
      <w:r w:rsidRPr="00990D3B" w:rsidR="00E8657B">
        <w:t>,</w:t>
      </w:r>
    </w:p>
    <w:p w:rsidR="003261BA" w:rsidRPr="00990D3B" w:rsidP="00FB7CAF" w14:paraId="7893DD0A" w14:textId="1DFA8110">
      <w:pPr>
        <w:pStyle w:val="EQRBulletBLUE"/>
      </w:pPr>
      <w:r w:rsidRPr="00990D3B">
        <w:t>Review documents provided during the interview at an appropriate time based on the content and purpose of sharing the document</w:t>
      </w:r>
      <w:r w:rsidRPr="00990D3B" w:rsidR="00E8657B">
        <w:t>,</w:t>
      </w:r>
    </w:p>
    <w:p w:rsidR="003261BA" w:rsidRPr="00990D3B" w:rsidP="00FB7CAF" w14:paraId="5B93D25A" w14:textId="1288A9E1">
      <w:pPr>
        <w:pStyle w:val="EQRBulletBLUE"/>
      </w:pPr>
      <w:r w:rsidRPr="00990D3B">
        <w:t>Conclude the interview with a review of the outlined goals and compliance levels to ensure an understanding of the extent to which they were met, and</w:t>
      </w:r>
    </w:p>
    <w:p w:rsidR="003261BA" w:rsidRPr="00990D3B" w:rsidP="00FB7CAF" w14:paraId="50F99B24" w14:textId="78116563">
      <w:pPr>
        <w:pStyle w:val="EQRBulletBLUE"/>
      </w:pPr>
      <w:r w:rsidRPr="00990D3B">
        <w:t>Provide information about next steps as appropriate</w:t>
      </w:r>
      <w:r w:rsidRPr="00990D3B" w:rsidR="00E8657B">
        <w:t>.</w:t>
      </w:r>
    </w:p>
    <w:p w:rsidR="003261BA" w:rsidRPr="00990D3B" w:rsidP="00BD1FC3" w14:paraId="12C182C2" w14:textId="74D4AA77">
      <w:pPr>
        <w:pStyle w:val="H5Lower"/>
      </w:pPr>
      <w:r w:rsidRPr="00990D3B">
        <w:t>Interviews &amp; Systems Capabilities</w:t>
      </w:r>
    </w:p>
    <w:p w:rsidR="003261BA" w:rsidRPr="00990D3B" w:rsidP="008D4B57" w14:paraId="24C1F551" w14:textId="7E1086FE">
      <w:pPr>
        <w:pStyle w:val="ParagraphContinued"/>
      </w:pPr>
      <w:r w:rsidRPr="00990D3B">
        <w:t xml:space="preserve">States </w:t>
      </w:r>
      <w:r w:rsidRPr="00990D3B">
        <w:t>have the opportunity to</w:t>
      </w:r>
      <w:r w:rsidRPr="00990D3B">
        <w:t xml:space="preserve"> expand the roles of other state agencies in terms of their responsibilities related to data exchanges, </w:t>
      </w:r>
      <w:r w:rsidRPr="00990D3B" w:rsidR="00395231">
        <w:t>electronic health records (</w:t>
      </w:r>
      <w:r w:rsidRPr="00990D3B">
        <w:t>EHRs</w:t>
      </w:r>
      <w:r w:rsidRPr="00990D3B" w:rsidR="00395231">
        <w:t>)</w:t>
      </w:r>
      <w:r w:rsidRPr="00990D3B">
        <w:t>, interoperability, care coordination, and Medicaid or CHIP waivers. At the state’s discretion, it may determine:</w:t>
      </w:r>
      <w:r w:rsidRPr="00990D3B" w:rsidR="00DD62EB">
        <w:rPr>
          <w:noProof/>
        </w:rPr>
        <w:t xml:space="preserve"> </w:t>
      </w:r>
    </w:p>
    <w:p w:rsidR="003261BA" w:rsidRPr="00990D3B" w:rsidP="00FB7CAF" w14:paraId="3FECD7AD" w14:textId="66A7E8CB">
      <w:pPr>
        <w:pStyle w:val="EQRBulletBLUE"/>
      </w:pPr>
      <w:r w:rsidRPr="00990D3B">
        <w:t xml:space="preserve">Whether the EQRO will review the state’s health information technology (HIT) plan for HITECH and meaningful use with respect to validation of performance measures or performance improvement project activities, and </w:t>
      </w:r>
    </w:p>
    <w:p w:rsidR="003261BA" w:rsidRPr="00990D3B" w:rsidP="00FB7CAF" w14:paraId="7C1AEAF9" w14:textId="52A73048">
      <w:pPr>
        <w:pStyle w:val="EQRBulletBLUE"/>
      </w:pPr>
      <w:r w:rsidRPr="00990D3B">
        <w:t>How the MCP’s systems will suppor</w:t>
      </w:r>
      <w:r w:rsidRPr="00990D3B" w:rsidR="00DD62EB">
        <w:t>t state efforts in a valid way</w:t>
      </w:r>
      <w:r w:rsidRPr="00990D3B" w:rsidR="002D38C1">
        <w:t>.</w:t>
      </w:r>
    </w:p>
    <w:p w:rsidR="003261BA" w:rsidRPr="00990D3B" w:rsidP="00BD1FC3" w14:paraId="2FB55E93" w14:textId="3C9B8B37">
      <w:pPr>
        <w:pStyle w:val="ParagraphContinued"/>
      </w:pPr>
      <w:r w:rsidRPr="00990D3B">
        <w:t xml:space="preserve">The EQRO is required to conduct </w:t>
      </w:r>
      <w:r w:rsidRPr="00990D3B">
        <w:t xml:space="preserve">an ISCA </w:t>
      </w:r>
      <w:r w:rsidRPr="00990D3B">
        <w:t>to support the compliance review under Protocol 3.</w:t>
      </w:r>
      <w:r w:rsidRPr="00990D3B" w:rsidR="00203831">
        <w:t xml:space="preserve"> </w:t>
      </w:r>
      <w:hyperlink w:anchor="Box3n2" w:tooltip="Box 3.1" w:history="1">
        <w:r w:rsidR="00F65AFF">
          <w:rPr>
            <w:rStyle w:val="Hyperlink"/>
          </w:rPr>
          <w:t>Box 3.2</w:t>
        </w:r>
      </w:hyperlink>
      <w:r w:rsidRPr="00990D3B" w:rsidR="00203831">
        <w:t xml:space="preserve"> lists </w:t>
      </w:r>
      <w:r w:rsidRPr="00990D3B" w:rsidR="00494AA6">
        <w:t>resources to conduct an ISCA.</w:t>
      </w:r>
    </w:p>
    <w:p w:rsidR="00EA4D18" w:rsidRPr="00990D3B" w:rsidP="00BD1FC3" w14:paraId="2D3B426A" w14:textId="2C662937">
      <w:pPr>
        <w:pStyle w:val="Paragraph0"/>
      </w:pPr>
      <w:r w:rsidRPr="00990D3B">
        <w:rPr>
          <w:noProof/>
        </w:rPr>
        <mc:AlternateContent>
          <mc:Choice Requires="wps">
            <w:drawing>
              <wp:inline distT="0" distB="0" distL="0" distR="0">
                <wp:extent cx="5897880" cy="1567180"/>
                <wp:effectExtent l="19050" t="19050" r="7620" b="0"/>
                <wp:docPr id="456690440" name="Text Box 14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897880" cy="1567180"/>
                        </a:xfrm>
                        <a:prstGeom prst="rect">
                          <a:avLst/>
                        </a:prstGeom>
                        <a:solidFill>
                          <a:srgbClr val="EEF5F8"/>
                        </a:solidFill>
                        <a:ln w="28575" cap="rnd">
                          <a:solidFill>
                            <a:srgbClr val="A5DAD9"/>
                          </a:solidFill>
                          <a:prstDash val="solid"/>
                          <a:miter lim="800000"/>
                          <a:headEnd/>
                          <a:tailEnd/>
                        </a:ln>
                      </wps:spPr>
                      <wps:txbx>
                        <w:txbxContent>
                          <w:p w:rsidR="00ED33C3" w:rsidRPr="00EA4D18" w:rsidP="00EA4D18" w14:textId="208368EA">
                            <w:pPr>
                              <w:pStyle w:val="EQRTextboxheading"/>
                            </w:pPr>
                            <w:bookmarkStart w:id="386" w:name="Box3n2"/>
                            <w:r w:rsidRPr="00EA4D18">
                              <w:t>Box 3.</w:t>
                            </w:r>
                            <w:r w:rsidR="00F65AFF">
                              <w:t>2</w:t>
                            </w:r>
                            <w:bookmarkEnd w:id="386"/>
                            <w:r w:rsidRPr="00EA4D18">
                              <w:t xml:space="preserve">. Resources to Conduct an ISCA </w:t>
                            </w:r>
                          </w:p>
                          <w:p w:rsidR="00ED33C3" w:rsidRPr="00EA4D18" w:rsidP="00EA4D18" w14:textId="77777777">
                            <w:pPr>
                              <w:pStyle w:val="EQRTextboxbody"/>
                            </w:pPr>
                            <w:r w:rsidRPr="00EA4D18">
                              <w:t>The ISCA is used to validate MCP information systems, processes, and data. The ISCA provides a foundation for the EQR-related activities.</w:t>
                            </w:r>
                          </w:p>
                          <w:p w:rsidR="00ED33C3" w:rsidRPr="00EA4D18" w:rsidP="00EA4D18" w14:textId="33A17512">
                            <w:pPr>
                              <w:pStyle w:val="EQRTextboxbullet"/>
                            </w:pPr>
                            <w:hyperlink w:anchor="AppB" w:tooltip="Appendix B" w:history="1">
                              <w:r w:rsidRPr="002D38C1">
                                <w:rPr>
                                  <w:rStyle w:val="Hyperlink"/>
                                </w:rPr>
                                <w:t>Appendix B</w:t>
                              </w:r>
                            </w:hyperlink>
                            <w:r w:rsidRPr="000E1F61">
                              <w:t xml:space="preserve"> </w:t>
                            </w:r>
                            <w:r w:rsidRPr="00EA4D18">
                              <w:t>explains how to conduct the ISCA.</w:t>
                            </w:r>
                          </w:p>
                          <w:p w:rsidR="00ED33C3" w:rsidRPr="00EA4D18" w:rsidP="00EA4D18" w14:textId="338837A7">
                            <w:pPr>
                              <w:pStyle w:val="EQRTextboxbullet"/>
                            </w:pPr>
                            <w:hyperlink w:anchor="WSB1" w:tooltip="Worksheet B.1" w:history="1">
                              <w:r w:rsidRPr="002D38C1">
                                <w:rPr>
                                  <w:rStyle w:val="Hyperlink"/>
                                </w:rPr>
                                <w:t xml:space="preserve">Worksheet </w:t>
                              </w:r>
                              <w:r w:rsidRPr="002D38C1" w:rsidR="00A15459">
                                <w:rPr>
                                  <w:rStyle w:val="Hyperlink"/>
                                </w:rPr>
                                <w:t>B</w:t>
                              </w:r>
                              <w:r w:rsidRPr="002D38C1">
                                <w:rPr>
                                  <w:rStyle w:val="Hyperlink"/>
                                </w:rPr>
                                <w:t>.1</w:t>
                              </w:r>
                            </w:hyperlink>
                            <w:r w:rsidRPr="002D38C1">
                              <w:t xml:space="preserve"> </w:t>
                            </w:r>
                            <w:r w:rsidRPr="00EA4D18">
                              <w:t>is completed by the MCP and documents the capabilities of the information systems, processes, and data</w:t>
                            </w:r>
                            <w:r w:rsidR="00A15459">
                              <w:t>.</w:t>
                            </w:r>
                          </w:p>
                          <w:p w:rsidR="00ED33C3" w:rsidRPr="00EA4D18" w:rsidP="00EA4D18" w14:textId="3A9F284E">
                            <w:pPr>
                              <w:pStyle w:val="EQRTextboxbullet"/>
                            </w:pPr>
                            <w:hyperlink w:anchor="WSB2" w:tooltip="Worksheet B.2" w:history="1">
                              <w:r w:rsidRPr="002D38C1">
                                <w:rPr>
                                  <w:rStyle w:val="Hyperlink"/>
                                </w:rPr>
                                <w:t xml:space="preserve">Worksheet </w:t>
                              </w:r>
                              <w:r w:rsidRPr="002D38C1" w:rsidR="00A15459">
                                <w:rPr>
                                  <w:rStyle w:val="Hyperlink"/>
                                </w:rPr>
                                <w:t>B</w:t>
                              </w:r>
                              <w:r w:rsidRPr="002D38C1">
                                <w:rPr>
                                  <w:rStyle w:val="Hyperlink"/>
                                </w:rPr>
                                <w:t>.2</w:t>
                              </w:r>
                            </w:hyperlink>
                            <w:r w:rsidRPr="000E1F61">
                              <w:t xml:space="preserve"> </w:t>
                            </w:r>
                            <w:r w:rsidRPr="00EA4D18">
                              <w:t xml:space="preserve">is used by EQROs to conduct follow-up interviews with staff to record responses and document specific issues based on findings from Worksheet </w:t>
                            </w:r>
                            <w:r w:rsidR="00A15459">
                              <w:t>B</w:t>
                            </w:r>
                            <w:r w:rsidRPr="00EA4D18">
                              <w:t>.1</w:t>
                            </w:r>
                            <w:r w:rsidR="00A15459">
                              <w:t>.</w:t>
                            </w:r>
                          </w:p>
                        </w:txbxContent>
                      </wps:txbx>
                      <wps:bodyPr rot="0" vert="horz" wrap="square" lIns="109728" tIns="45720" rIns="109728" bIns="45720" anchor="t" anchorCtr="0" upright="1">
                        <a:spAutoFit/>
                      </wps:bodyPr>
                    </wps:wsp>
                  </a:graphicData>
                </a:graphic>
              </wp:inline>
            </w:drawing>
          </mc:Choice>
          <mc:Fallback>
            <w:pict>
              <v:shape id="Text Box 149" o:spid="_x0000_i1134" type="#_x0000_t202" style="width:464.4pt;height:123.4pt;flip:y;mso-left-percent:-10001;mso-position-horizontal-relative:char;mso-position-vertical-relative:line;mso-top-percent:-10001;mso-wrap-style:square;rotation:180;visibility:visible;v-text-anchor:top" fillcolor="#eef5f8" strokecolor="#a5dad9" strokeweight="2.25pt">
                <v:stroke endcap="round"/>
                <v:textbox style="mso-fit-shape-to-text:t" inset="8.64pt,,8.64pt">
                  <w:txbxContent>
                    <w:p w:rsidR="00ED33C3" w:rsidRPr="00EA4D18" w:rsidP="00EA4D18" w14:paraId="019D21EE" w14:textId="208368EA">
                      <w:pPr>
                        <w:pStyle w:val="EQRTextboxheading"/>
                      </w:pPr>
                      <w:bookmarkStart w:id="386" w:name="Box3n2"/>
                      <w:r w:rsidRPr="00EA4D18">
                        <w:t>Box 3.</w:t>
                      </w:r>
                      <w:r w:rsidR="00F65AFF">
                        <w:t>2</w:t>
                      </w:r>
                      <w:bookmarkEnd w:id="386"/>
                      <w:r w:rsidRPr="00EA4D18">
                        <w:t xml:space="preserve">. Resources to Conduct an ISCA </w:t>
                      </w:r>
                    </w:p>
                    <w:p w:rsidR="00ED33C3" w:rsidRPr="00EA4D18" w:rsidP="00EA4D18" w14:paraId="042B5B51" w14:textId="77777777">
                      <w:pPr>
                        <w:pStyle w:val="EQRTextboxbody"/>
                      </w:pPr>
                      <w:r w:rsidRPr="00EA4D18">
                        <w:t>The ISCA is used to validate MCP information systems, processes, and data. The ISCA provides a foundation for the EQR-related activities.</w:t>
                      </w:r>
                    </w:p>
                    <w:p w:rsidR="00ED33C3" w:rsidRPr="00EA4D18" w:rsidP="00EA4D18" w14:paraId="0E5ADA38" w14:textId="33A17512">
                      <w:pPr>
                        <w:pStyle w:val="EQRTextboxbullet"/>
                      </w:pPr>
                      <w:hyperlink w:anchor="AppB" w:tooltip="Appendix B" w:history="1">
                        <w:r w:rsidRPr="002D38C1">
                          <w:rPr>
                            <w:rStyle w:val="Hyperlink"/>
                          </w:rPr>
                          <w:t>Appendix B</w:t>
                        </w:r>
                      </w:hyperlink>
                      <w:r w:rsidRPr="000E1F61">
                        <w:t xml:space="preserve"> </w:t>
                      </w:r>
                      <w:r w:rsidRPr="00EA4D18">
                        <w:t>explains how to conduct the ISCA.</w:t>
                      </w:r>
                    </w:p>
                    <w:p w:rsidR="00ED33C3" w:rsidRPr="00EA4D18" w:rsidP="00EA4D18" w14:paraId="4E724043" w14:textId="338837A7">
                      <w:pPr>
                        <w:pStyle w:val="EQRTextboxbullet"/>
                      </w:pPr>
                      <w:hyperlink w:anchor="WSB1" w:tooltip="Worksheet B.1" w:history="1">
                        <w:r w:rsidRPr="002D38C1">
                          <w:rPr>
                            <w:rStyle w:val="Hyperlink"/>
                          </w:rPr>
                          <w:t xml:space="preserve">Worksheet </w:t>
                        </w:r>
                        <w:r w:rsidRPr="002D38C1" w:rsidR="00A15459">
                          <w:rPr>
                            <w:rStyle w:val="Hyperlink"/>
                          </w:rPr>
                          <w:t>B</w:t>
                        </w:r>
                        <w:r w:rsidRPr="002D38C1">
                          <w:rPr>
                            <w:rStyle w:val="Hyperlink"/>
                          </w:rPr>
                          <w:t>.1</w:t>
                        </w:r>
                      </w:hyperlink>
                      <w:r w:rsidRPr="002D38C1">
                        <w:t xml:space="preserve"> </w:t>
                      </w:r>
                      <w:r w:rsidRPr="00EA4D18">
                        <w:t>is completed by the MCP and documents the capabilities of the information systems, processes, and data</w:t>
                      </w:r>
                      <w:r w:rsidR="00A15459">
                        <w:t>.</w:t>
                      </w:r>
                    </w:p>
                    <w:p w:rsidR="00ED33C3" w:rsidRPr="00EA4D18" w:rsidP="00EA4D18" w14:paraId="5ACDB8C4" w14:textId="3A9F284E">
                      <w:pPr>
                        <w:pStyle w:val="EQRTextboxbullet"/>
                      </w:pPr>
                      <w:hyperlink w:anchor="WSB2" w:tooltip="Worksheet B.2" w:history="1">
                        <w:r w:rsidRPr="002D38C1">
                          <w:rPr>
                            <w:rStyle w:val="Hyperlink"/>
                          </w:rPr>
                          <w:t xml:space="preserve">Worksheet </w:t>
                        </w:r>
                        <w:r w:rsidRPr="002D38C1" w:rsidR="00A15459">
                          <w:rPr>
                            <w:rStyle w:val="Hyperlink"/>
                          </w:rPr>
                          <w:t>B</w:t>
                        </w:r>
                        <w:r w:rsidRPr="002D38C1">
                          <w:rPr>
                            <w:rStyle w:val="Hyperlink"/>
                          </w:rPr>
                          <w:t>.2</w:t>
                        </w:r>
                      </w:hyperlink>
                      <w:r w:rsidRPr="000E1F61">
                        <w:t xml:space="preserve"> </w:t>
                      </w:r>
                      <w:r w:rsidRPr="00EA4D18">
                        <w:t xml:space="preserve">is used by EQROs to conduct follow-up interviews with staff to record responses and document specific issues based on findings from Worksheet </w:t>
                      </w:r>
                      <w:r w:rsidR="00A15459">
                        <w:t>B</w:t>
                      </w:r>
                      <w:r w:rsidRPr="00EA4D18">
                        <w:t>.1</w:t>
                      </w:r>
                      <w:r w:rsidR="00A15459">
                        <w:t>.</w:t>
                      </w:r>
                    </w:p>
                  </w:txbxContent>
                </v:textbox>
                <w10:wrap type="none"/>
                <w10:anchorlock/>
              </v:shape>
            </w:pict>
          </mc:Fallback>
        </mc:AlternateContent>
      </w:r>
    </w:p>
    <w:p w:rsidR="003261BA" w:rsidRPr="00990D3B" w:rsidP="00BD1FC3" w14:paraId="5BF9FAA7" w14:textId="0B614092">
      <w:pPr>
        <w:pStyle w:val="H3"/>
        <w:spacing w:before="240"/>
      </w:pPr>
      <w:bookmarkStart w:id="387" w:name="P3Act3Step6"/>
      <w:bookmarkEnd w:id="387"/>
      <w:r w:rsidRPr="00990D3B">
        <w:t>Step</w:t>
      </w:r>
      <w:r w:rsidRPr="00990D3B">
        <w:t xml:space="preserve"> </w:t>
      </w:r>
      <w:r w:rsidRPr="00990D3B" w:rsidR="00FC71DD">
        <w:t>6</w:t>
      </w:r>
      <w:r w:rsidRPr="00990D3B">
        <w:t>: Conduct Exit MCP Interviews</w:t>
      </w:r>
    </w:p>
    <w:p w:rsidR="003261BA" w:rsidRPr="00990D3B" w:rsidP="00F11EE7" w14:paraId="2011BCED" w14:textId="6333FE38">
      <w:pPr>
        <w:pStyle w:val="ParagraphContinued"/>
      </w:pPr>
      <w:r w:rsidRPr="00990D3B">
        <w:t xml:space="preserve">The EQRO conducts an exit interview at the conclusion of the </w:t>
      </w:r>
      <w:r w:rsidRPr="00990D3B" w:rsidR="003B445D">
        <w:t>site</w:t>
      </w:r>
      <w:r w:rsidRPr="00990D3B">
        <w:t xml:space="preserve"> visit with MCP staff. The purpose of the exit interview is to clarify the EQRO’s understanding of the information collected throughout the compliance review process. The EQRO should provide the MCP with the opportunity to respond to initial compliance issues to ensure the findings are due to true non-compliance and not due to misunderstanding or misinterpretation of MCP documents and interviews.</w:t>
      </w:r>
    </w:p>
    <w:p w:rsidR="003261BA" w:rsidRPr="00990D3B" w:rsidP="00BD1FC3" w14:paraId="638984EC" w14:textId="70438AFB">
      <w:pPr>
        <w:pStyle w:val="H2"/>
      </w:pPr>
      <w:bookmarkStart w:id="388" w:name="P3A4"/>
      <w:bookmarkStart w:id="389" w:name="_Toc14777698"/>
      <w:bookmarkStart w:id="390" w:name="_Toc183005588"/>
      <w:bookmarkStart w:id="391" w:name="_Toc201751358"/>
      <w:r w:rsidRPr="00990D3B">
        <w:t>A</w:t>
      </w:r>
      <w:r w:rsidRPr="00990D3B" w:rsidR="00E811A4">
        <w:t>ctivity</w:t>
      </w:r>
      <w:r w:rsidRPr="00990D3B">
        <w:t xml:space="preserve"> 4</w:t>
      </w:r>
      <w:bookmarkEnd w:id="388"/>
      <w:r w:rsidRPr="00990D3B">
        <w:t xml:space="preserve">: </w:t>
      </w:r>
      <w:bookmarkStart w:id="392" w:name="_Hlk83108715"/>
      <w:r w:rsidRPr="00990D3B">
        <w:t>C</w:t>
      </w:r>
      <w:r w:rsidRPr="00990D3B" w:rsidR="00E811A4">
        <w:t xml:space="preserve">ompile and </w:t>
      </w:r>
      <w:r w:rsidRPr="00990D3B">
        <w:t>A</w:t>
      </w:r>
      <w:r w:rsidRPr="00990D3B" w:rsidR="00E811A4">
        <w:t xml:space="preserve">nalyze </w:t>
      </w:r>
      <w:r w:rsidRPr="00990D3B">
        <w:t>F</w:t>
      </w:r>
      <w:r w:rsidRPr="00990D3B" w:rsidR="00E811A4">
        <w:t>indings</w:t>
      </w:r>
      <w:r w:rsidRPr="00990D3B" w:rsidR="003D703F">
        <w:t xml:space="preserve"> (P</w:t>
      </w:r>
      <w:r w:rsidRPr="00990D3B" w:rsidR="00764805">
        <w:t>ost</w:t>
      </w:r>
      <w:r w:rsidRPr="00990D3B" w:rsidR="003D703F">
        <w:t>-</w:t>
      </w:r>
      <w:r w:rsidRPr="00990D3B" w:rsidR="00F32FB8">
        <w:t>S</w:t>
      </w:r>
      <w:r w:rsidRPr="00990D3B" w:rsidR="003D703F">
        <w:t>ite Visit)</w:t>
      </w:r>
      <w:bookmarkEnd w:id="389"/>
      <w:bookmarkEnd w:id="390"/>
      <w:bookmarkEnd w:id="391"/>
      <w:bookmarkEnd w:id="392"/>
    </w:p>
    <w:p w:rsidR="003261BA" w:rsidRPr="00990D3B" w:rsidP="00F11EE7" w14:paraId="2DBD2DBF" w14:textId="74D90B9D">
      <w:pPr>
        <w:pStyle w:val="ParagraphContinued"/>
      </w:pPr>
      <w:r w:rsidRPr="00990D3B">
        <w:t>Post site-visit activities include (1) collecting and documenting additional information as needed, and (2) analyzing data compiled pre-</w:t>
      </w:r>
      <w:r w:rsidRPr="00990D3B" w:rsidR="00A216B0">
        <w:t>, during,</w:t>
      </w:r>
      <w:r w:rsidRPr="00990D3B" w:rsidR="00F3334F">
        <w:t xml:space="preserve"> </w:t>
      </w:r>
      <w:r w:rsidRPr="00990D3B">
        <w:t>and post-</w:t>
      </w:r>
      <w:r w:rsidRPr="00990D3B" w:rsidR="003B445D">
        <w:t>site</w:t>
      </w:r>
      <w:r w:rsidRPr="00990D3B">
        <w:t xml:space="preserve"> visit to make compliance determinations for each regulatory provision. </w:t>
      </w:r>
    </w:p>
    <w:p w:rsidR="003261BA" w:rsidRPr="00990D3B" w:rsidP="00BD1FC3" w14:paraId="4D90D453" w14:textId="083F4B14">
      <w:pPr>
        <w:pStyle w:val="H3"/>
      </w:pPr>
      <w:bookmarkStart w:id="393" w:name="P3Act4Step1"/>
      <w:bookmarkEnd w:id="393"/>
      <w:r w:rsidRPr="00990D3B">
        <w:t>Step 1: Collect Supplemental Information</w:t>
      </w:r>
    </w:p>
    <w:p w:rsidR="003261BA" w:rsidRPr="00990D3B" w:rsidP="00F11EE7" w14:paraId="482E491F" w14:textId="105E6CFB">
      <w:pPr>
        <w:pStyle w:val="ParagraphContinued"/>
      </w:pPr>
      <w:r w:rsidRPr="00990D3B">
        <w:t xml:space="preserve">In addition to information collected during the </w:t>
      </w:r>
      <w:r w:rsidRPr="00990D3B" w:rsidR="003B445D">
        <w:t>site</w:t>
      </w:r>
      <w:r w:rsidRPr="00990D3B">
        <w:t xml:space="preserve"> visit, the </w:t>
      </w:r>
      <w:r w:rsidRPr="00990D3B" w:rsidR="00A216B0">
        <w:t>EQRO</w:t>
      </w:r>
      <w:r w:rsidRPr="00990D3B">
        <w:t xml:space="preserve"> should consider other sources of information that confirm the MCP’s compliance with federal regulations and state standards. Additional sources should include the following:</w:t>
      </w:r>
    </w:p>
    <w:p w:rsidR="003261BA" w:rsidRPr="00990D3B" w:rsidP="00FB7CAF" w14:paraId="32B8035A" w14:textId="16687793">
      <w:pPr>
        <w:pStyle w:val="EQRBulletBLUE"/>
      </w:pPr>
      <w:r w:rsidRPr="00990D3B">
        <w:t>Results of Medicaid</w:t>
      </w:r>
      <w:r w:rsidRPr="00990D3B" w:rsidR="000570B9">
        <w:t xml:space="preserve"> and CHIP</w:t>
      </w:r>
      <w:r w:rsidRPr="00990D3B">
        <w:t xml:space="preserve"> beneficiary surveys (see </w:t>
      </w:r>
      <w:hyperlink w:anchor="Protocol6" w:tooltip="Protocol 6" w:history="1">
        <w:r w:rsidRPr="00990D3B">
          <w:rPr>
            <w:rStyle w:val="Hyperlink"/>
          </w:rPr>
          <w:t>Protocol 6</w:t>
        </w:r>
      </w:hyperlink>
      <w:r w:rsidRPr="00990D3B">
        <w:rPr>
          <w:rStyle w:val="Hyperlink"/>
          <w:color w:val="auto"/>
        </w:rPr>
        <w:t xml:space="preserve"> </w:t>
      </w:r>
      <w:r w:rsidRPr="00990D3B">
        <w:t>about administering surveys)</w:t>
      </w:r>
      <w:r w:rsidRPr="00990D3B" w:rsidR="00E8657B">
        <w:t>.</w:t>
      </w:r>
    </w:p>
    <w:p w:rsidR="003261BA" w:rsidRPr="00990D3B" w:rsidP="00FB7CAF" w14:paraId="58656C69" w14:textId="14728758">
      <w:pPr>
        <w:pStyle w:val="EQRBulletBLUE"/>
      </w:pPr>
      <w:r w:rsidRPr="00990D3B">
        <w:t xml:space="preserve">Results of independent assessments of the MCP’s information systems (see </w:t>
      </w:r>
      <w:hyperlink w:anchor="AppB" w:tooltip="Appendix B" w:history="1">
        <w:r w:rsidRPr="00990D3B" w:rsidR="00CF5AB3">
          <w:rPr>
            <w:rStyle w:val="Hyperlink"/>
          </w:rPr>
          <w:t>Appendix B</w:t>
        </w:r>
      </w:hyperlink>
      <w:r w:rsidRPr="00990D3B">
        <w:rPr>
          <w:rStyle w:val="Hyperlink"/>
        </w:rPr>
        <w:t xml:space="preserve"> </w:t>
      </w:r>
      <w:r w:rsidRPr="00990D3B">
        <w:t>about performing an ISCA)</w:t>
      </w:r>
      <w:r w:rsidRPr="00990D3B" w:rsidR="00E8657B">
        <w:t>.</w:t>
      </w:r>
    </w:p>
    <w:p w:rsidR="003261BA" w:rsidRPr="00990D3B" w:rsidP="00FB7CAF" w14:paraId="45FCD462" w14:textId="46F19A0E">
      <w:pPr>
        <w:pStyle w:val="EQRBulletBLUE"/>
      </w:pPr>
      <w:r w:rsidRPr="00990D3B">
        <w:t xml:space="preserve">Results of independent assessments of MCP encounter data (see </w:t>
      </w:r>
      <w:hyperlink w:anchor="Protocol5" w:tooltip="Protocol 5" w:history="1">
        <w:r w:rsidRPr="00990D3B">
          <w:rPr>
            <w:rStyle w:val="Hyperlink"/>
          </w:rPr>
          <w:t>Protocol 5</w:t>
        </w:r>
      </w:hyperlink>
      <w:r w:rsidRPr="00990D3B">
        <w:rPr>
          <w:rStyle w:val="Hyperlink"/>
        </w:rPr>
        <w:t xml:space="preserve"> </w:t>
      </w:r>
      <w:r w:rsidRPr="00990D3B">
        <w:t>about validating encounter data)</w:t>
      </w:r>
      <w:r w:rsidRPr="00990D3B" w:rsidR="00E8657B">
        <w:t>.</w:t>
      </w:r>
    </w:p>
    <w:p w:rsidR="003261BA" w:rsidRPr="00990D3B" w:rsidP="00FB7CAF" w14:paraId="0F6C7E15" w14:textId="74692726">
      <w:pPr>
        <w:pStyle w:val="EQRBulletBLUE"/>
      </w:pPr>
      <w:r w:rsidRPr="00990D3B">
        <w:t>Results of independent validations of MCP performance measures (see</w:t>
      </w:r>
      <w:r w:rsidRPr="00990D3B">
        <w:rPr>
          <w:rStyle w:val="Hyperlink"/>
        </w:rPr>
        <w:t xml:space="preserve"> </w:t>
      </w:r>
      <w:hyperlink w:anchor="Protocol2" w:tooltip="Protocol 2" w:history="1">
        <w:r w:rsidRPr="00990D3B">
          <w:rPr>
            <w:rStyle w:val="Hyperlink"/>
          </w:rPr>
          <w:t>Protocol 2</w:t>
        </w:r>
      </w:hyperlink>
      <w:r w:rsidRPr="00990D3B">
        <w:t xml:space="preserve"> and </w:t>
      </w:r>
      <w:hyperlink w:anchor="Protocol7" w:tooltip="Protocol 7" w:history="1">
        <w:r w:rsidRPr="00990D3B" w:rsidR="009771A3">
          <w:rPr>
            <w:rStyle w:val="Hyperlink"/>
          </w:rPr>
          <w:t xml:space="preserve">Protocol </w:t>
        </w:r>
        <w:r w:rsidRPr="00990D3B">
          <w:rPr>
            <w:rStyle w:val="Hyperlink"/>
          </w:rPr>
          <w:t>7</w:t>
        </w:r>
      </w:hyperlink>
      <w:r w:rsidRPr="00990D3B">
        <w:t xml:space="preserve"> for validating and calculating performance measures</w:t>
      </w:r>
      <w:r w:rsidRPr="00990D3B" w:rsidR="009771A3">
        <w:t>,</w:t>
      </w:r>
      <w:r w:rsidRPr="00990D3B">
        <w:t xml:space="preserve"> respectively)</w:t>
      </w:r>
      <w:r w:rsidRPr="00990D3B" w:rsidR="00E8657B">
        <w:t>.</w:t>
      </w:r>
    </w:p>
    <w:p w:rsidR="003261BA" w:rsidRPr="00990D3B" w:rsidP="00FB7CAF" w14:paraId="502DB43C" w14:textId="03958A02">
      <w:pPr>
        <w:pStyle w:val="EQRBulletBLUE"/>
      </w:pPr>
      <w:r w:rsidRPr="00990D3B">
        <w:t xml:space="preserve">Results of independent validation of performance improvement projects (PIPs) (see </w:t>
      </w:r>
      <w:hyperlink w:anchor="Protocol1" w:tooltip="Protocol 1" w:history="1">
        <w:r w:rsidRPr="00990D3B">
          <w:rPr>
            <w:rStyle w:val="Hyperlink"/>
          </w:rPr>
          <w:t>Protocol</w:t>
        </w:r>
        <w:r w:rsidRPr="00990D3B" w:rsidR="00F11EE7">
          <w:rPr>
            <w:rStyle w:val="Hyperlink"/>
          </w:rPr>
          <w:t> </w:t>
        </w:r>
        <w:r w:rsidRPr="00990D3B">
          <w:rPr>
            <w:rStyle w:val="Hyperlink"/>
          </w:rPr>
          <w:t>1</w:t>
        </w:r>
      </w:hyperlink>
      <w:r w:rsidRPr="00990D3B">
        <w:rPr>
          <w:rStyle w:val="Hyperlink"/>
        </w:rPr>
        <w:t xml:space="preserve"> </w:t>
      </w:r>
      <w:r w:rsidRPr="00990D3B">
        <w:t xml:space="preserve">and </w:t>
      </w:r>
      <w:hyperlink w:anchor="Protocol8" w:tooltip="Protocol 8" w:history="1">
        <w:r w:rsidRPr="00990D3B" w:rsidR="00986726">
          <w:rPr>
            <w:rStyle w:val="Hyperlink"/>
          </w:rPr>
          <w:t xml:space="preserve">Protocol </w:t>
        </w:r>
        <w:r w:rsidRPr="00990D3B">
          <w:rPr>
            <w:rStyle w:val="Hyperlink"/>
          </w:rPr>
          <w:t>8</w:t>
        </w:r>
      </w:hyperlink>
      <w:r w:rsidRPr="00990D3B">
        <w:rPr>
          <w:rStyle w:val="Hyperlink"/>
        </w:rPr>
        <w:t xml:space="preserve"> </w:t>
      </w:r>
      <w:r w:rsidRPr="00990D3B">
        <w:t>about validating and implementing PIPs</w:t>
      </w:r>
      <w:r w:rsidRPr="00990D3B" w:rsidR="00986726">
        <w:t>,</w:t>
      </w:r>
      <w:r w:rsidRPr="00990D3B">
        <w:t xml:space="preserve"> respectively or </w:t>
      </w:r>
      <w:hyperlink w:anchor="Protocol9" w:tooltip="Protocol 9" w:history="1">
        <w:r w:rsidRPr="00990D3B">
          <w:rPr>
            <w:rStyle w:val="Hyperlink"/>
          </w:rPr>
          <w:t>Protocol 9</w:t>
        </w:r>
      </w:hyperlink>
      <w:r w:rsidRPr="00990D3B">
        <w:rPr>
          <w:rStyle w:val="Hyperlink"/>
        </w:rPr>
        <w:t xml:space="preserve"> </w:t>
      </w:r>
      <w:r w:rsidRPr="00990D3B">
        <w:t>abo</w:t>
      </w:r>
      <w:r w:rsidRPr="00990D3B" w:rsidR="009B3815">
        <w:t>ut conducting a Focus Study)</w:t>
      </w:r>
      <w:r w:rsidRPr="00990D3B" w:rsidR="00E8657B">
        <w:t>.</w:t>
      </w:r>
    </w:p>
    <w:p w:rsidR="003261BA" w:rsidRPr="00990D3B" w:rsidP="00FB7CAF" w14:paraId="04683C04" w14:textId="56369B8D">
      <w:pPr>
        <w:pStyle w:val="EQRBulletBLUE"/>
      </w:pPr>
      <w:r w:rsidRPr="00990D3B">
        <w:t xml:space="preserve">Additional materials requested during or after the </w:t>
      </w:r>
      <w:r w:rsidRPr="00990D3B" w:rsidR="003B445D">
        <w:t>site</w:t>
      </w:r>
      <w:r w:rsidRPr="00990D3B">
        <w:t xml:space="preserve"> visit, such as grievance and appeal reports and analyses</w:t>
      </w:r>
      <w:r w:rsidRPr="00990D3B" w:rsidR="00E8657B">
        <w:t>.</w:t>
      </w:r>
    </w:p>
    <w:p w:rsidR="00CB31BD" w:rsidRPr="00990D3B" w:rsidP="00BD1FC3" w14:paraId="2B14751B" w14:textId="4B2A7722">
      <w:pPr>
        <w:pStyle w:val="H3"/>
      </w:pPr>
      <w:bookmarkStart w:id="394" w:name="P3Act4Step2"/>
      <w:bookmarkEnd w:id="394"/>
      <w:r w:rsidRPr="00990D3B">
        <w:t xml:space="preserve">Step 2: Compile Data and Information </w:t>
      </w:r>
    </w:p>
    <w:p w:rsidR="003261BA" w:rsidRPr="00990D3B" w:rsidP="00F11EE7" w14:paraId="14AFC850" w14:textId="6AA8B1AC">
      <w:pPr>
        <w:pStyle w:val="ParagraphContinued"/>
      </w:pPr>
      <w:r w:rsidRPr="00990D3B">
        <w:rPr>
          <w:noProof/>
        </w:rPr>
        <mc:AlternateContent>
          <mc:Choice Requires="wps">
            <w:drawing>
              <wp:anchor distT="0" distB="0" distL="114300" distR="114300" simplePos="0" relativeHeight="251807744" behindDoc="0" locked="0" layoutInCell="1" allowOverlap="1">
                <wp:simplePos x="0" y="0"/>
                <wp:positionH relativeFrom="column">
                  <wp:posOffset>3721100</wp:posOffset>
                </wp:positionH>
                <wp:positionV relativeFrom="paragraph">
                  <wp:posOffset>751205</wp:posOffset>
                </wp:positionV>
                <wp:extent cx="2195195" cy="2901315"/>
                <wp:effectExtent l="19050" t="19050" r="0" b="0"/>
                <wp:wrapTight wrapText="bothSides">
                  <wp:wrapPolygon>
                    <wp:start x="21787" y="21742"/>
                    <wp:lineTo x="21787" y="38"/>
                    <wp:lineTo x="44" y="38"/>
                    <wp:lineTo x="44" y="21742"/>
                    <wp:lineTo x="21787" y="21742"/>
                  </wp:wrapPolygon>
                </wp:wrapTight>
                <wp:docPr id="972441289" name="Text Box 1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2901315"/>
                        </a:xfrm>
                        <a:prstGeom prst="rect">
                          <a:avLst/>
                        </a:prstGeom>
                        <a:solidFill>
                          <a:srgbClr val="EEF5F8"/>
                        </a:solidFill>
                        <a:ln w="28575" cap="rnd">
                          <a:solidFill>
                            <a:srgbClr val="A5DAD9"/>
                          </a:solidFill>
                          <a:prstDash val="solid"/>
                          <a:miter lim="800000"/>
                          <a:headEnd/>
                          <a:tailEnd/>
                        </a:ln>
                      </wps:spPr>
                      <wps:txbx>
                        <w:txbxContent>
                          <w:p w:rsidR="00ED33C3" w:rsidP="00EA4D18" w14:textId="324AE5C4">
                            <w:pPr>
                              <w:pStyle w:val="EQRTextboxheading"/>
                            </w:pPr>
                            <w:r w:rsidRPr="006F4774">
                              <w:t>Resource</w:t>
                            </w:r>
                            <w:r w:rsidR="00E8657B">
                              <w:t>s</w:t>
                            </w:r>
                            <w:r w:rsidRPr="006F4774">
                              <w:t xml:space="preserve"> for Activity </w:t>
                            </w:r>
                            <w:r>
                              <w:t>4</w:t>
                            </w:r>
                            <w:r w:rsidRPr="006F4774">
                              <w:t xml:space="preserve">, Step </w:t>
                            </w:r>
                            <w:r>
                              <w:t>2</w:t>
                            </w:r>
                          </w:p>
                          <w:p w:rsidR="00ED33C3" w:rsidRPr="00D50521" w:rsidP="00D50521" w14:textId="33679D64">
                            <w:pPr>
                              <w:pStyle w:val="EQRTextboxbody"/>
                            </w:pPr>
                            <w:hyperlink w:anchor="WSp3n01" w:tooltip="Worksheet 3.1. Compliance Review" w:history="1">
                              <w:r w:rsidRPr="0051039A">
                                <w:rPr>
                                  <w:rStyle w:val="Hyperlink"/>
                                </w:rPr>
                                <w:t>Worksheet 3.1. Compliance Review</w:t>
                              </w:r>
                            </w:hyperlink>
                          </w:p>
                          <w:p w:rsidR="00ED33C3" w:rsidRPr="00D50521" w:rsidP="00D50521" w14:textId="77777777">
                            <w:pPr>
                              <w:pStyle w:val="EQRTextboxbullet"/>
                            </w:pPr>
                            <w:r w:rsidRPr="00D50521">
                              <w:t>Includes a list of the types of documents the MCP may provide the EQRO to demonstrate the MCP's compliance with federal regulations and state standards</w:t>
                            </w:r>
                          </w:p>
                          <w:p w:rsidR="00ED33C3" w:rsidRPr="00D50521" w:rsidP="00D50521" w14:textId="77777777">
                            <w:pPr>
                              <w:pStyle w:val="EQRTextboxbullet"/>
                            </w:pPr>
                            <w:r w:rsidRPr="00D50521">
                              <w:t>Can be used by the EQRO to document compliance scores and justification</w:t>
                            </w:r>
                          </w:p>
                          <w:p w:rsidR="00ED33C3" w:rsidRPr="00D50521" w:rsidP="00D50521" w14:textId="01DDDB14">
                            <w:pPr>
                              <w:pStyle w:val="EQRTextboxbody"/>
                            </w:pPr>
                            <w:hyperlink w:anchor="WSp3n02" w:tooltip="Worksheet 3.2. Compliance Definitions" w:history="1">
                              <w:r w:rsidRPr="0051039A">
                                <w:rPr>
                                  <w:rStyle w:val="Hyperlink"/>
                                </w:rPr>
                                <w:t>Worksheet 3.2. Compliance Definitions</w:t>
                              </w:r>
                            </w:hyperlink>
                          </w:p>
                          <w:p w:rsidR="00ED33C3" w:rsidRPr="00D50521" w:rsidP="00D50521" w14:textId="77777777">
                            <w:pPr>
                              <w:pStyle w:val="EQRTextboxbullet"/>
                            </w:pPr>
                            <w:r w:rsidRPr="00D50521">
                              <w:t>Provides compliance definitions and examples of compliance rating scales</w:t>
                            </w:r>
                          </w:p>
                          <w:p w:rsidR="00ED33C3" w:rsidRPr="0090682E" w:rsidP="00D50521" w14:textId="06ABE78B">
                            <w:pPr>
                              <w:pStyle w:val="EQRTextboxbullet"/>
                              <w:rPr>
                                <w:spacing w:val="-2"/>
                              </w:rPr>
                            </w:pPr>
                            <w:r w:rsidRPr="00D50521">
                              <w:t>Compliance rating scales may be adjusted to best suit a state’s needs</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8" o:spid="_x0000_s1135" type="#_x0000_t202" style="width:172.85pt;height:228.45pt;margin-top:59.15pt;margin-left:293pt;flip:y;mso-height-percent:0;mso-height-relative:page;mso-width-percent:0;mso-width-relative:page;mso-wrap-distance-bottom:0;mso-wrap-distance-left:9pt;mso-wrap-distance-right:9pt;mso-wrap-distance-top:0;mso-wrap-style:square;position:absolute;rotation:180;visibility:visible;v-text-anchor:top;z-index:251808768" fillcolor="#eef5f8" strokecolor="#a5dad9" strokeweight="2.25pt">
                <v:stroke endcap="round"/>
                <v:textbox style="mso-fit-shape-to-text:t" inset="8.64pt,,8.64pt">
                  <w:txbxContent>
                    <w:p w:rsidR="00ED33C3" w:rsidP="00EA4D18" w14:paraId="2BE3CD19" w14:textId="324AE5C4">
                      <w:pPr>
                        <w:pStyle w:val="EQRTextboxheading"/>
                      </w:pPr>
                      <w:r w:rsidRPr="006F4774">
                        <w:t>Resource</w:t>
                      </w:r>
                      <w:r w:rsidR="00E8657B">
                        <w:t>s</w:t>
                      </w:r>
                      <w:r w:rsidRPr="006F4774">
                        <w:t xml:space="preserve"> for Activity </w:t>
                      </w:r>
                      <w:r>
                        <w:t>4</w:t>
                      </w:r>
                      <w:r w:rsidRPr="006F4774">
                        <w:t xml:space="preserve">, Step </w:t>
                      </w:r>
                      <w:r>
                        <w:t>2</w:t>
                      </w:r>
                    </w:p>
                    <w:p w:rsidR="00ED33C3" w:rsidRPr="00D50521" w:rsidP="00D50521" w14:paraId="66E773B4" w14:textId="33679D64">
                      <w:pPr>
                        <w:pStyle w:val="EQRTextboxbody"/>
                      </w:pPr>
                      <w:hyperlink w:anchor="WSp3n01" w:tooltip="Worksheet 3.1. Compliance Review" w:history="1">
                        <w:r w:rsidRPr="0051039A">
                          <w:rPr>
                            <w:rStyle w:val="Hyperlink"/>
                          </w:rPr>
                          <w:t>Worksheet 3.1. Compliance Review</w:t>
                        </w:r>
                      </w:hyperlink>
                    </w:p>
                    <w:p w:rsidR="00ED33C3" w:rsidRPr="00D50521" w:rsidP="00D50521" w14:paraId="584EBC3F" w14:textId="77777777">
                      <w:pPr>
                        <w:pStyle w:val="EQRTextboxbullet"/>
                      </w:pPr>
                      <w:r w:rsidRPr="00D50521">
                        <w:t>Includes a list of the types of documents the MCP may provide the EQRO to demonstrate the MCP's compliance with federal regulations and state standards</w:t>
                      </w:r>
                    </w:p>
                    <w:p w:rsidR="00ED33C3" w:rsidRPr="00D50521" w:rsidP="00D50521" w14:paraId="5F98A064" w14:textId="77777777">
                      <w:pPr>
                        <w:pStyle w:val="EQRTextboxbullet"/>
                      </w:pPr>
                      <w:r w:rsidRPr="00D50521">
                        <w:t>Can be used by the EQRO to document compliance scores and justification</w:t>
                      </w:r>
                    </w:p>
                    <w:p w:rsidR="00ED33C3" w:rsidRPr="00D50521" w:rsidP="00D50521" w14:paraId="7D4DFE8E" w14:textId="01DDDB14">
                      <w:pPr>
                        <w:pStyle w:val="EQRTextboxbody"/>
                      </w:pPr>
                      <w:hyperlink w:anchor="WSp3n02" w:tooltip="Worksheet 3.2. Compliance Definitions" w:history="1">
                        <w:r w:rsidRPr="0051039A">
                          <w:rPr>
                            <w:rStyle w:val="Hyperlink"/>
                          </w:rPr>
                          <w:t>Worksheet 3.2. Compliance Definitions</w:t>
                        </w:r>
                      </w:hyperlink>
                    </w:p>
                    <w:p w:rsidR="00ED33C3" w:rsidRPr="00D50521" w:rsidP="00D50521" w14:paraId="342B92CF" w14:textId="77777777">
                      <w:pPr>
                        <w:pStyle w:val="EQRTextboxbullet"/>
                      </w:pPr>
                      <w:r w:rsidRPr="00D50521">
                        <w:t>Provides compliance definitions and examples of compliance rating scales</w:t>
                      </w:r>
                    </w:p>
                    <w:p w:rsidR="00ED33C3" w:rsidRPr="0090682E" w:rsidP="00D50521" w14:paraId="627630F3" w14:textId="06ABE78B">
                      <w:pPr>
                        <w:pStyle w:val="EQRTextboxbullet"/>
                        <w:rPr>
                          <w:spacing w:val="-2"/>
                        </w:rPr>
                      </w:pPr>
                      <w:r w:rsidRPr="00D50521">
                        <w:t>Compliance rating scales may be adjusted to best suit a state’s needs</w:t>
                      </w:r>
                    </w:p>
                  </w:txbxContent>
                </v:textbox>
                <w10:wrap type="tight"/>
              </v:shape>
            </w:pict>
          </mc:Fallback>
        </mc:AlternateContent>
      </w:r>
      <w:r w:rsidRPr="00990D3B">
        <w:rPr>
          <w:noProof/>
        </w:rPr>
        <mc:AlternateContent>
          <mc:Choice Requires="wps">
            <w:drawing>
              <wp:anchor distT="0" distB="0" distL="114300" distR="114300" simplePos="0" relativeHeight="251809792" behindDoc="0" locked="0" layoutInCell="1" allowOverlap="1">
                <wp:simplePos x="0" y="0"/>
                <wp:positionH relativeFrom="column">
                  <wp:posOffset>3721100</wp:posOffset>
                </wp:positionH>
                <wp:positionV relativeFrom="paragraph">
                  <wp:posOffset>389890</wp:posOffset>
                </wp:positionV>
                <wp:extent cx="2194560" cy="297815"/>
                <wp:effectExtent l="19050" t="19050" r="0" b="7620"/>
                <wp:wrapTight wrapText="bothSides">
                  <wp:wrapPolygon>
                    <wp:start x="21788" y="22985"/>
                    <wp:lineTo x="21788" y="-554"/>
                    <wp:lineTo x="38" y="-554"/>
                    <wp:lineTo x="38" y="22985"/>
                    <wp:lineTo x="21788" y="22985"/>
                  </wp:wrapPolygon>
                </wp:wrapTight>
                <wp:docPr id="30050031" name="Text Box 14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EA4D18" w14:textId="09E489E2">
                            <w:pPr>
                              <w:pStyle w:val="EQRWORKSHEETText"/>
                              <w:rPr>
                                <w:spacing w:val="-2"/>
                              </w:rPr>
                            </w:pPr>
                            <w:hyperlink w:anchor="WSp3n02" w:tooltip="WORKSHEET 3.2" w:history="1">
                              <w:r>
                                <w:rPr>
                                  <w:rStyle w:val="Hyperlink"/>
                                  <w:color w:val="006981"/>
                                </w:rPr>
                                <w:t>WORKSHEET 3.2</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7" o:spid="_x0000_s1136" type="#_x0000_t202" style="width:172.8pt;height:23.45pt;margin-top:30.7pt;margin-left:293pt;flip:y;mso-height-percent:0;mso-height-relative:page;mso-width-percent:0;mso-width-relative:page;mso-wrap-distance-bottom:0;mso-wrap-distance-left:9pt;mso-wrap-distance-right:9pt;mso-wrap-distance-top:0;mso-wrap-style:square;position:absolute;rotation:180;visibility:visible;v-text-anchor:top;z-index:251810816" fillcolor="#eef5f8" strokecolor="#a5dad9" strokeweight="2.25pt">
                <v:stroke endcap="round"/>
                <v:textbox style="mso-fit-shape-to-text:t" inset="8.64pt,,8.64pt">
                  <w:txbxContent>
                    <w:p w:rsidR="00ED33C3" w:rsidRPr="0090682E" w:rsidP="00EA4D18" w14:paraId="2E757B9D" w14:textId="09E489E2">
                      <w:pPr>
                        <w:pStyle w:val="EQRWORKSHEETText"/>
                        <w:rPr>
                          <w:spacing w:val="-2"/>
                        </w:rPr>
                      </w:pPr>
                      <w:hyperlink w:anchor="WSp3n02" w:tooltip="WORKSHEET 3.2" w:history="1">
                        <w:r>
                          <w:rPr>
                            <w:rStyle w:val="Hyperlink"/>
                            <w:color w:val="006981"/>
                          </w:rPr>
                          <w:t>WORKSHEET 3.2</w:t>
                        </w:r>
                      </w:hyperlink>
                    </w:p>
                  </w:txbxContent>
                </v:textbox>
                <w10:wrap type="tight"/>
              </v:shape>
            </w:pict>
          </mc:Fallback>
        </mc:AlternateContent>
      </w:r>
      <w:r w:rsidRPr="00990D3B">
        <w:rPr>
          <w:noProof/>
        </w:rPr>
        <mc:AlternateContent>
          <mc:Choice Requires="wps">
            <w:drawing>
              <wp:anchor distT="0" distB="0" distL="114300" distR="114300" simplePos="0" relativeHeight="251811840" behindDoc="0" locked="0" layoutInCell="1" allowOverlap="1">
                <wp:simplePos x="0" y="0"/>
                <wp:positionH relativeFrom="column">
                  <wp:posOffset>3721100</wp:posOffset>
                </wp:positionH>
                <wp:positionV relativeFrom="paragraph">
                  <wp:posOffset>34290</wp:posOffset>
                </wp:positionV>
                <wp:extent cx="2194560" cy="297815"/>
                <wp:effectExtent l="19050" t="19050" r="0" b="7620"/>
                <wp:wrapTight wrapText="bothSides">
                  <wp:wrapPolygon>
                    <wp:start x="21788" y="22985"/>
                    <wp:lineTo x="21788" y="-554"/>
                    <wp:lineTo x="38" y="-554"/>
                    <wp:lineTo x="38" y="22985"/>
                    <wp:lineTo x="21788" y="22985"/>
                  </wp:wrapPolygon>
                </wp:wrapTight>
                <wp:docPr id="1061885226" name="Text Box 1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EA4D18" w14:textId="3EA523CC">
                            <w:pPr>
                              <w:pStyle w:val="EQRWORKSHEETText"/>
                              <w:rPr>
                                <w:spacing w:val="-2"/>
                              </w:rPr>
                            </w:pPr>
                            <w:hyperlink w:anchor="WSp3n01" w:tooltip="WORKSHEET 3.1" w:history="1">
                              <w:r>
                                <w:rPr>
                                  <w:rStyle w:val="Hyperlink"/>
                                  <w:color w:val="006981"/>
                                </w:rPr>
                                <w:t>WORKSHEET 3.1</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6" o:spid="_x0000_s1137" type="#_x0000_t202" style="width:172.8pt;height:23.45pt;margin-top:2.7pt;margin-left:293pt;flip:y;mso-height-percent:0;mso-height-relative:page;mso-width-percent:0;mso-width-relative:page;mso-wrap-distance-bottom:0;mso-wrap-distance-left:9pt;mso-wrap-distance-right:9pt;mso-wrap-distance-top:0;mso-wrap-style:square;position:absolute;rotation:180;visibility:visible;v-text-anchor:top;z-index:251812864" fillcolor="#eef5f8" strokecolor="#a5dad9" strokeweight="2.25pt">
                <v:stroke endcap="round"/>
                <v:textbox style="mso-fit-shape-to-text:t" inset="8.64pt,,8.64pt">
                  <w:txbxContent>
                    <w:p w:rsidR="00ED33C3" w:rsidRPr="0090682E" w:rsidP="00EA4D18" w14:paraId="546D8731" w14:textId="3EA523CC">
                      <w:pPr>
                        <w:pStyle w:val="EQRWORKSHEETText"/>
                        <w:rPr>
                          <w:spacing w:val="-2"/>
                        </w:rPr>
                      </w:pPr>
                      <w:hyperlink w:anchor="WSp3n01" w:tooltip="WORKSHEET 3.1" w:history="1">
                        <w:r>
                          <w:rPr>
                            <w:rStyle w:val="Hyperlink"/>
                            <w:color w:val="006981"/>
                          </w:rPr>
                          <w:t>WORKSHEET 3.1</w:t>
                        </w:r>
                      </w:hyperlink>
                    </w:p>
                  </w:txbxContent>
                </v:textbox>
                <w10:wrap type="tight"/>
              </v:shape>
            </w:pict>
          </mc:Fallback>
        </mc:AlternateContent>
      </w:r>
      <w:r w:rsidRPr="00990D3B" w:rsidR="00582E31">
        <w:t>EQROs</w:t>
      </w:r>
      <w:r w:rsidRPr="00990D3B" w:rsidR="003261BA">
        <w:t xml:space="preserve"> should use </w:t>
      </w:r>
      <w:hyperlink w:anchor="WSp3n01" w:tooltip="Worksheet 3.1" w:history="1">
        <w:r w:rsidRPr="00990D3B" w:rsidR="003261BA">
          <w:rPr>
            <w:rStyle w:val="Hyperlink"/>
          </w:rPr>
          <w:t>Worksheet 3.</w:t>
        </w:r>
        <w:r w:rsidRPr="00990D3B" w:rsidR="00582E31">
          <w:rPr>
            <w:rStyle w:val="Hyperlink"/>
          </w:rPr>
          <w:t>1</w:t>
        </w:r>
      </w:hyperlink>
      <w:r w:rsidRPr="00990D3B" w:rsidR="003261BA">
        <w:t xml:space="preserve"> (or a similar template) to document additional information they review, including sources of the information and their findings about the MCP’s compliance. </w:t>
      </w:r>
      <w:r w:rsidRPr="00990D3B" w:rsidR="007B71D5">
        <w:t xml:space="preserve">EQROs should refer to </w:t>
      </w:r>
      <w:hyperlink w:anchor="WSp3n02" w:tooltip="Worksheet 3.2" w:history="1">
        <w:r w:rsidRPr="00990D3B" w:rsidR="007B71D5">
          <w:rPr>
            <w:rStyle w:val="Hyperlink"/>
          </w:rPr>
          <w:t>Worksheet 3.2</w:t>
        </w:r>
      </w:hyperlink>
      <w:r w:rsidRPr="00990D3B" w:rsidR="007B71D5">
        <w:t xml:space="preserve"> for standardized compliance definitions and examples of rating scales.</w:t>
      </w:r>
    </w:p>
    <w:p w:rsidR="003261BA" w:rsidRPr="00990D3B" w:rsidP="00BD1FC3" w14:paraId="36A44ECC" w14:textId="0E8ED83A">
      <w:pPr>
        <w:pStyle w:val="H3"/>
      </w:pPr>
      <w:bookmarkStart w:id="395" w:name="P3Act4Step3"/>
      <w:bookmarkEnd w:id="395"/>
      <w:r w:rsidRPr="00990D3B">
        <w:t>Step 3:</w:t>
      </w:r>
      <w:r w:rsidRPr="00990D3B" w:rsidR="00EC2853">
        <w:tab/>
      </w:r>
      <w:r w:rsidRPr="00990D3B">
        <w:t>Analyze Findings</w:t>
      </w:r>
    </w:p>
    <w:p w:rsidR="003261BA" w:rsidRPr="00990D3B" w:rsidP="00F11EE7" w14:paraId="586FC89E" w14:textId="0C18A3DE">
      <w:pPr>
        <w:pStyle w:val="ParagraphContinued"/>
      </w:pPr>
      <w:r w:rsidRPr="00990D3B">
        <w:t xml:space="preserve">One commonly used approach to analyzing EQR findings is to assign a numerical value to indicate the degree of compliance with a given regulatory provision. </w:t>
      </w:r>
      <w:r w:rsidRPr="00990D3B" w:rsidR="00527EB3">
        <w:t xml:space="preserve">Using the resources in </w:t>
      </w:r>
      <w:hyperlink w:anchor="WSp3n01" w:tooltip="Worksheet 3.1" w:history="1">
        <w:r w:rsidRPr="00990D3B" w:rsidR="00527EB3">
          <w:rPr>
            <w:rStyle w:val="Hyperlink"/>
          </w:rPr>
          <w:t>Worksheet 3.1</w:t>
        </w:r>
      </w:hyperlink>
      <w:r w:rsidRPr="00990D3B" w:rsidR="00527EB3">
        <w:t>, t</w:t>
      </w:r>
      <w:r w:rsidRPr="00990D3B" w:rsidR="003D703F">
        <w:t xml:space="preserve">he EQRO should document both </w:t>
      </w:r>
      <w:r w:rsidRPr="00990D3B">
        <w:t xml:space="preserve">a compliance score for each regulatory provision, </w:t>
      </w:r>
      <w:r w:rsidRPr="00990D3B" w:rsidR="003D703F">
        <w:t>as well as</w:t>
      </w:r>
      <w:r w:rsidRPr="00990D3B">
        <w:t xml:space="preserve"> details and justification for the compliance determination. </w:t>
      </w:r>
    </w:p>
    <w:p w:rsidR="003261BA" w:rsidRPr="00990D3B" w:rsidP="00BD1FC3" w14:paraId="53702D70" w14:textId="65A0CC84">
      <w:pPr>
        <w:pStyle w:val="Paragraph0"/>
      </w:pPr>
      <w:r w:rsidRPr="00990D3B">
        <w:t xml:space="preserve">Regardless of the number of points on a scale, each level of compliance must be defined clearly for the state, the EQRO, and the MCP before beginning the review. While </w:t>
      </w:r>
      <w:r w:rsidRPr="00990D3B">
        <w:t>one scale may serve as the primary method of assigning levels of compliance, it does not preclude the combined use of another scale. For example, a five-point compliance scale may be appropriate for most of the provisions, but some provisions may be dichotomous (e.g., met or not met). When determinations are made for levels of compliance other than ‘met’ or ‘not met,’ such as ‘partially met,’ the</w:t>
      </w:r>
      <w:r w:rsidRPr="00990D3B" w:rsidR="00001B88">
        <w:t xml:space="preserve"> EQRO</w:t>
      </w:r>
      <w:r w:rsidRPr="00990D3B">
        <w:t xml:space="preserve"> should clearly identify specific deficiencies, as well as the rationale for and evidence of the deficiency.</w:t>
      </w:r>
      <w:r w:rsidRPr="00990D3B" w:rsidR="00F8039C">
        <w:t xml:space="preserve"> </w:t>
      </w:r>
      <w:hyperlink w:anchor="Box3n3" w:tooltip="Box 3.2" w:history="1">
        <w:r w:rsidR="00D61AD6">
          <w:rPr>
            <w:rStyle w:val="Hyperlink"/>
          </w:rPr>
          <w:t>Box 3.3</w:t>
        </w:r>
      </w:hyperlink>
      <w:r w:rsidRPr="00990D3B" w:rsidR="00F8039C">
        <w:t xml:space="preserve"> share tips for analyzing EQR compliance findings. </w:t>
      </w:r>
    </w:p>
    <w:p w:rsidR="00D866B2" w:rsidRPr="00990D3B" w:rsidP="00BD1FC3" w14:paraId="20D67756" w14:textId="3C26F1DC">
      <w:pPr>
        <w:pStyle w:val="Paragraph0"/>
      </w:pPr>
      <w:r w:rsidRPr="00990D3B">
        <w:rPr>
          <w:noProof/>
        </w:rPr>
        <mc:AlternateContent>
          <mc:Choice Requires="wps">
            <w:drawing>
              <wp:inline distT="0" distB="0" distL="0" distR="0">
                <wp:extent cx="5775325" cy="2901315"/>
                <wp:effectExtent l="19050" t="19050" r="15875" b="13970"/>
                <wp:docPr id="739846599" name="Text Box 14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775325" cy="2901315"/>
                        </a:xfrm>
                        <a:prstGeom prst="rect">
                          <a:avLst/>
                        </a:prstGeom>
                        <a:solidFill>
                          <a:srgbClr val="EEF5F8"/>
                        </a:solidFill>
                        <a:ln w="28575" cap="rnd">
                          <a:solidFill>
                            <a:srgbClr val="A5DAD9"/>
                          </a:solidFill>
                          <a:prstDash val="solid"/>
                          <a:miter lim="800000"/>
                          <a:headEnd/>
                          <a:tailEnd/>
                        </a:ln>
                      </wps:spPr>
                      <wps:txbx>
                        <w:txbxContent>
                          <w:p w:rsidR="00D866B2" w:rsidP="00D866B2" w14:textId="2A50D9CA">
                            <w:pPr>
                              <w:pStyle w:val="EQRTextboxheading"/>
                            </w:pPr>
                            <w:bookmarkStart w:id="396" w:name="Box3n3"/>
                            <w:r>
                              <w:t>Box 3.</w:t>
                            </w:r>
                            <w:r w:rsidR="00D61AD6">
                              <w:t>3</w:t>
                            </w:r>
                            <w:r>
                              <w:t xml:space="preserve"> </w:t>
                            </w:r>
                            <w:bookmarkEnd w:id="396"/>
                            <w:r w:rsidRPr="006B73BC">
                              <w:t>Tip</w:t>
                            </w:r>
                            <w:r>
                              <w:t>s</w:t>
                            </w:r>
                            <w:r w:rsidRPr="006B73BC">
                              <w:t xml:space="preserve"> for </w:t>
                            </w:r>
                            <w:r>
                              <w:t>A</w:t>
                            </w:r>
                            <w:r w:rsidRPr="006B73BC">
                              <w:t xml:space="preserve">nalyzing EQR </w:t>
                            </w:r>
                            <w:r>
                              <w:t>C</w:t>
                            </w:r>
                            <w:r w:rsidRPr="006B73BC">
                              <w:t xml:space="preserve">ompliance </w:t>
                            </w:r>
                            <w:r>
                              <w:t>F</w:t>
                            </w:r>
                            <w:r w:rsidRPr="006B73BC">
                              <w:t>indings</w:t>
                            </w:r>
                          </w:p>
                          <w:p w:rsidR="00D866B2" w:rsidRPr="000D6F33" w:rsidP="00F11EE7" w14:textId="77777777">
                            <w:pPr>
                              <w:pStyle w:val="EQRTextboxbody"/>
                            </w:pPr>
                            <w:r w:rsidRPr="006B73BC">
                              <w:t>The EQRO is encouraged to</w:t>
                            </w:r>
                            <w:r>
                              <w:t xml:space="preserve"> use a numeric score to indicate the degree of compliance with each regulatory provision and to summarize the overall percentage of elements scored as compliant. The EQRO should clearly document the scoring methods and evidence used to determine compliance.</w:t>
                            </w:r>
                          </w:p>
                        </w:txbxContent>
                      </wps:txbx>
                      <wps:bodyPr rot="0" vert="horz" wrap="square" lIns="109728" tIns="45720" rIns="109728" bIns="45720" anchor="t" anchorCtr="0" upright="1">
                        <a:spAutoFit/>
                      </wps:bodyPr>
                    </wps:wsp>
                  </a:graphicData>
                </a:graphic>
              </wp:inline>
            </w:drawing>
          </mc:Choice>
          <mc:Fallback>
            <w:pict>
              <v:shape id="Text Box 145" o:spid="_x0000_i1138" type="#_x0000_t202" style="width:454.75pt;height:228.45pt;flip:y;mso-left-percent:-10001;mso-position-horizontal-relative:char;mso-position-vertical-relative:line;mso-top-percent:-10001;mso-wrap-style:square;rotation:180;visibility:visible;v-text-anchor:top" fillcolor="#eef5f8" strokecolor="#a5dad9" strokeweight="2.25pt">
                <v:stroke endcap="round"/>
                <v:textbox style="mso-fit-shape-to-text:t" inset="8.64pt,,8.64pt">
                  <w:txbxContent>
                    <w:p w:rsidR="00D866B2" w:rsidP="00D866B2" w14:paraId="7B1DC3D4" w14:textId="2A50D9CA">
                      <w:pPr>
                        <w:pStyle w:val="EQRTextboxheading"/>
                      </w:pPr>
                      <w:bookmarkStart w:id="396" w:name="Box3n3"/>
                      <w:r>
                        <w:t>Box 3.</w:t>
                      </w:r>
                      <w:r w:rsidR="00D61AD6">
                        <w:t>3</w:t>
                      </w:r>
                      <w:r>
                        <w:t xml:space="preserve"> </w:t>
                      </w:r>
                      <w:bookmarkEnd w:id="396"/>
                      <w:r w:rsidRPr="006B73BC">
                        <w:t>Tip</w:t>
                      </w:r>
                      <w:r>
                        <w:t>s</w:t>
                      </w:r>
                      <w:r w:rsidRPr="006B73BC">
                        <w:t xml:space="preserve"> for </w:t>
                      </w:r>
                      <w:r>
                        <w:t>A</w:t>
                      </w:r>
                      <w:r w:rsidRPr="006B73BC">
                        <w:t xml:space="preserve">nalyzing EQR </w:t>
                      </w:r>
                      <w:r>
                        <w:t>C</w:t>
                      </w:r>
                      <w:r w:rsidRPr="006B73BC">
                        <w:t xml:space="preserve">ompliance </w:t>
                      </w:r>
                      <w:r>
                        <w:t>F</w:t>
                      </w:r>
                      <w:r w:rsidRPr="006B73BC">
                        <w:t>indings</w:t>
                      </w:r>
                    </w:p>
                    <w:p w:rsidR="00D866B2" w:rsidRPr="000D6F33" w:rsidP="00F11EE7" w14:paraId="3FEE8823" w14:textId="77777777">
                      <w:pPr>
                        <w:pStyle w:val="EQRTextboxbody"/>
                      </w:pPr>
                      <w:r w:rsidRPr="006B73BC">
                        <w:t>The EQRO is encouraged to</w:t>
                      </w:r>
                      <w:r>
                        <w:t xml:space="preserve"> use a numeric score to indicate the degree of compliance with each regulatory provision and to summarize the overall percentage of elements scored as compliant. The EQRO should clearly document the scoring methods and evidence used to determine compliance.</w:t>
                      </w:r>
                    </w:p>
                  </w:txbxContent>
                </v:textbox>
                <w10:wrap type="none"/>
                <w10:anchorlock/>
              </v:shape>
            </w:pict>
          </mc:Fallback>
        </mc:AlternateContent>
      </w:r>
    </w:p>
    <w:p w:rsidR="003261BA" w:rsidRPr="00990D3B" w:rsidP="00BD1FC3" w14:paraId="118C0BF0" w14:textId="3238C12B">
      <w:pPr>
        <w:pStyle w:val="H2"/>
      </w:pPr>
      <w:bookmarkStart w:id="397" w:name="P3A5"/>
      <w:bookmarkStart w:id="398" w:name="_Toc14777699"/>
      <w:bookmarkStart w:id="399" w:name="_Toc183005589"/>
      <w:bookmarkStart w:id="400" w:name="_Toc201751359"/>
      <w:r w:rsidRPr="00990D3B">
        <w:t>A</w:t>
      </w:r>
      <w:r w:rsidRPr="00990D3B" w:rsidR="00391BB2">
        <w:t xml:space="preserve">ctivity </w:t>
      </w:r>
      <w:r w:rsidRPr="00990D3B">
        <w:t>5</w:t>
      </w:r>
      <w:bookmarkEnd w:id="397"/>
      <w:r w:rsidRPr="00990D3B">
        <w:t>: R</w:t>
      </w:r>
      <w:r w:rsidRPr="00990D3B" w:rsidR="00391BB2">
        <w:t xml:space="preserve">eport </w:t>
      </w:r>
      <w:r w:rsidRPr="00990D3B">
        <w:t>R</w:t>
      </w:r>
      <w:r w:rsidRPr="00990D3B" w:rsidR="00391BB2">
        <w:t>esults to the State</w:t>
      </w:r>
      <w:bookmarkEnd w:id="398"/>
      <w:bookmarkEnd w:id="399"/>
      <w:bookmarkEnd w:id="400"/>
    </w:p>
    <w:p w:rsidR="001A18F1" w:rsidRPr="00E15617" w:rsidP="00E15617" w14:paraId="64DB98E0" w14:textId="1BAEA111">
      <w:pPr>
        <w:pStyle w:val="ParagraphContinued"/>
      </w:pPr>
      <w:r w:rsidRPr="00990D3B">
        <w:rPr>
          <w:noProof/>
        </w:rPr>
        <mc:AlternateContent>
          <mc:Choice Requires="wps">
            <w:drawing>
              <wp:anchor distT="0" distB="0" distL="114300" distR="114300" simplePos="0" relativeHeight="251966464" behindDoc="0" locked="0" layoutInCell="1" allowOverlap="1">
                <wp:simplePos x="0" y="0"/>
                <wp:positionH relativeFrom="column">
                  <wp:posOffset>3828630</wp:posOffset>
                </wp:positionH>
                <wp:positionV relativeFrom="paragraph">
                  <wp:posOffset>68065</wp:posOffset>
                </wp:positionV>
                <wp:extent cx="2194560" cy="297815"/>
                <wp:effectExtent l="19050" t="19050" r="0" b="7620"/>
                <wp:wrapTight wrapText="bothSides">
                  <wp:wrapPolygon>
                    <wp:start x="21788" y="22985"/>
                    <wp:lineTo x="21788" y="-554"/>
                    <wp:lineTo x="38" y="-554"/>
                    <wp:lineTo x="38" y="22985"/>
                    <wp:lineTo x="21788" y="22985"/>
                  </wp:wrapPolygon>
                </wp:wrapTight>
                <wp:docPr id="1969073926" name="Text Box 1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4E391B" w:rsidRPr="0090682E" w:rsidP="004E391B" w14:textId="703755F9">
                            <w:pPr>
                              <w:pStyle w:val="EQRWORKSHEETText"/>
                              <w:rPr>
                                <w:spacing w:val="-2"/>
                              </w:rPr>
                            </w:pPr>
                            <w:hyperlink w:anchor="WSp3n05" w:tooltip="WORKSHEET 3.5" w:history="1">
                              <w:r w:rsidRPr="006B6779">
                                <w:rPr>
                                  <w:rStyle w:val="Hyperlink"/>
                                </w:rPr>
                                <w:t>WORKSHEET 3.5</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139" type="#_x0000_t202" style="width:172.8pt;height:23.45pt;margin-top:5.35pt;margin-left:301.45pt;flip:y;mso-height-percent:0;mso-height-relative:page;mso-width-percent:0;mso-width-relative:page;mso-wrap-distance-bottom:0;mso-wrap-distance-left:9pt;mso-wrap-distance-right:9pt;mso-wrap-distance-top:0;mso-wrap-style:square;position:absolute;rotation:180;visibility:visible;v-text-anchor:top;z-index:251967488" fillcolor="#eef5f8" strokecolor="#a5dad9" strokeweight="2.25pt">
                <v:stroke endcap="round"/>
                <v:textbox style="mso-fit-shape-to-text:t" inset="8.64pt,,8.64pt">
                  <w:txbxContent>
                    <w:p w:rsidR="004E391B" w:rsidRPr="0090682E" w:rsidP="004E391B" w14:paraId="71596943" w14:textId="703755F9">
                      <w:pPr>
                        <w:pStyle w:val="EQRWORKSHEETText"/>
                        <w:rPr>
                          <w:spacing w:val="-2"/>
                        </w:rPr>
                      </w:pPr>
                      <w:hyperlink w:anchor="WSp3n05" w:tooltip="WORKSHEET 3.5" w:history="1">
                        <w:r w:rsidRPr="006B6779">
                          <w:rPr>
                            <w:rStyle w:val="Hyperlink"/>
                          </w:rPr>
                          <w:t>WORKSHEET 3.5</w:t>
                        </w:r>
                      </w:hyperlink>
                    </w:p>
                  </w:txbxContent>
                </v:textbox>
                <w10:wrap type="tight"/>
              </v:shape>
            </w:pict>
          </mc:Fallback>
        </mc:AlternateContent>
      </w:r>
      <w:r w:rsidRPr="00990D3B">
        <w:rPr>
          <w:noProof/>
        </w:rPr>
        <mc:AlternateContent>
          <mc:Choice Requires="wps">
            <w:drawing>
              <wp:anchor distT="0" distB="0" distL="114300" distR="114300" simplePos="0" relativeHeight="251968512" behindDoc="0" locked="0" layoutInCell="1" allowOverlap="1">
                <wp:simplePos x="0" y="0"/>
                <wp:positionH relativeFrom="column">
                  <wp:posOffset>3830164</wp:posOffset>
                </wp:positionH>
                <wp:positionV relativeFrom="paragraph">
                  <wp:posOffset>411923</wp:posOffset>
                </wp:positionV>
                <wp:extent cx="2194560" cy="297815"/>
                <wp:effectExtent l="19050" t="19050" r="15240" b="26670"/>
                <wp:wrapTight wrapText="bothSides">
                  <wp:wrapPolygon>
                    <wp:start x="21788" y="22985"/>
                    <wp:lineTo x="21788" y="-554"/>
                    <wp:lineTo x="38" y="-554"/>
                    <wp:lineTo x="38" y="22985"/>
                    <wp:lineTo x="21788" y="22985"/>
                  </wp:wrapPolygon>
                </wp:wrapTight>
                <wp:docPr id="1226560710" name="Text Box 1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4E391B" w:rsidRPr="0090682E" w:rsidP="004E391B" w14:textId="45303557">
                            <w:pPr>
                              <w:pStyle w:val="EQRWORKSHEETText"/>
                              <w:rPr>
                                <w:spacing w:val="-2"/>
                              </w:rPr>
                            </w:pPr>
                            <w:hyperlink w:anchor="WSp3n06" w:tooltip="WORKSHEET 3.6" w:history="1">
                              <w:r w:rsidRPr="006B6779">
                                <w:rPr>
                                  <w:rStyle w:val="Hyperlink"/>
                                </w:rPr>
                                <w:t>WORKSHEET 3.6</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140" type="#_x0000_t202" style="width:172.8pt;height:23.45pt;margin-top:32.45pt;margin-left:301.6pt;flip:y;mso-height-percent:0;mso-height-relative:page;mso-width-percent:0;mso-width-relative:page;mso-wrap-distance-bottom:0;mso-wrap-distance-left:9pt;mso-wrap-distance-right:9pt;mso-wrap-distance-top:0;mso-wrap-style:square;position:absolute;rotation:180;visibility:visible;v-text-anchor:top;z-index:251969536" fillcolor="#eef5f8" strokecolor="#a5dad9" strokeweight="2.25pt">
                <v:stroke endcap="round"/>
                <v:textbox style="mso-fit-shape-to-text:t" inset="8.64pt,,8.64pt">
                  <w:txbxContent>
                    <w:p w:rsidR="004E391B" w:rsidRPr="0090682E" w:rsidP="004E391B" w14:paraId="4A3CC857" w14:textId="45303557">
                      <w:pPr>
                        <w:pStyle w:val="EQRWORKSHEETText"/>
                        <w:rPr>
                          <w:spacing w:val="-2"/>
                        </w:rPr>
                      </w:pPr>
                      <w:hyperlink w:anchor="WSp3n06" w:tooltip="WORKSHEET 3.6" w:history="1">
                        <w:r w:rsidRPr="006B6779">
                          <w:rPr>
                            <w:rStyle w:val="Hyperlink"/>
                          </w:rPr>
                          <w:t>WORKSHEET 3.6</w:t>
                        </w:r>
                      </w:hyperlink>
                    </w:p>
                  </w:txbxContent>
                </v:textbox>
                <w10:wrap type="tight"/>
              </v:shape>
            </w:pict>
          </mc:Fallback>
        </mc:AlternateContent>
      </w:r>
      <w:r w:rsidRPr="00990D3B">
        <w:rPr>
          <w:noProof/>
        </w:rPr>
        <mc:AlternateContent>
          <mc:Choice Requires="wps">
            <w:drawing>
              <wp:anchor distT="0" distB="0" distL="114300" distR="114300" simplePos="0" relativeHeight="251964416" behindDoc="0" locked="0" layoutInCell="1" allowOverlap="1">
                <wp:simplePos x="0" y="0"/>
                <wp:positionH relativeFrom="column">
                  <wp:posOffset>3835400</wp:posOffset>
                </wp:positionH>
                <wp:positionV relativeFrom="paragraph">
                  <wp:posOffset>767022</wp:posOffset>
                </wp:positionV>
                <wp:extent cx="2195195" cy="2901315"/>
                <wp:effectExtent l="19050" t="19050" r="0" b="0"/>
                <wp:wrapTight wrapText="bothSides">
                  <wp:wrapPolygon>
                    <wp:start x="21787" y="21742"/>
                    <wp:lineTo x="21787" y="38"/>
                    <wp:lineTo x="44" y="38"/>
                    <wp:lineTo x="44" y="21742"/>
                    <wp:lineTo x="21787" y="21742"/>
                  </wp:wrapPolygon>
                </wp:wrapTight>
                <wp:docPr id="1135929156" name="Text Box 1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2901315"/>
                        </a:xfrm>
                        <a:prstGeom prst="rect">
                          <a:avLst/>
                        </a:prstGeom>
                        <a:solidFill>
                          <a:srgbClr val="EEF5F8"/>
                        </a:solidFill>
                        <a:ln w="28575" cap="rnd">
                          <a:solidFill>
                            <a:srgbClr val="A5DAD9"/>
                          </a:solidFill>
                          <a:prstDash val="solid"/>
                          <a:miter lim="800000"/>
                          <a:headEnd/>
                          <a:tailEnd/>
                        </a:ln>
                      </wps:spPr>
                      <wps:txbx>
                        <w:txbxContent>
                          <w:p w:rsidR="00190E3A" w:rsidRPr="00754E4E" w:rsidP="00190E3A" w14:textId="3A8DD8FB">
                            <w:pPr>
                              <w:pStyle w:val="EQRTextboxheading"/>
                            </w:pPr>
                            <w:r w:rsidRPr="00754E4E">
                              <w:t>Resource</w:t>
                            </w:r>
                            <w:r w:rsidRPr="00754E4E" w:rsidR="0018310F">
                              <w:t>s</w:t>
                            </w:r>
                            <w:r w:rsidRPr="00754E4E">
                              <w:t xml:space="preserve"> for Activity 5</w:t>
                            </w:r>
                          </w:p>
                          <w:p w:rsidR="00190E3A" w:rsidRPr="00754E4E" w:rsidP="00190E3A" w14:textId="28C92064">
                            <w:pPr>
                              <w:pStyle w:val="EQRTextboxbody"/>
                              <w:rPr>
                                <w:rStyle w:val="Hyperlink"/>
                              </w:rPr>
                            </w:pPr>
                            <w:r w:rsidRPr="00754E4E">
                              <w:fldChar w:fldCharType="begin"/>
                            </w:r>
                            <w:r w:rsidR="00486CCE">
                              <w:instrText>HYPERLINK  \l "WSp3n05" \o "Worksheet 3.5"</w:instrText>
                            </w:r>
                            <w:r w:rsidRPr="00754E4E">
                              <w:fldChar w:fldCharType="separate"/>
                            </w:r>
                            <w:r w:rsidRPr="00754E4E">
                              <w:rPr>
                                <w:rStyle w:val="Hyperlink"/>
                              </w:rPr>
                              <w:t>Worksheet 3.</w:t>
                            </w:r>
                            <w:r w:rsidRPr="00754E4E" w:rsidR="00C90147">
                              <w:rPr>
                                <w:rStyle w:val="Hyperlink"/>
                              </w:rPr>
                              <w:t>5</w:t>
                            </w:r>
                            <w:r w:rsidRPr="00754E4E">
                              <w:rPr>
                                <w:rStyle w:val="Hyperlink"/>
                              </w:rPr>
                              <w:t xml:space="preserve">. </w:t>
                            </w:r>
                            <w:r w:rsidRPr="00754E4E" w:rsidR="00540F9C">
                              <w:rPr>
                                <w:rStyle w:val="Hyperlink"/>
                              </w:rPr>
                              <w:t>Timeline and Crosswalk of State and Federal Standards Reviewed</w:t>
                            </w:r>
                          </w:p>
                          <w:p w:rsidR="00190E3A" w:rsidRPr="00754E4E" w:rsidP="00666AC0" w14:textId="50870AE3">
                            <w:pPr>
                              <w:pStyle w:val="EQRTextboxbullet"/>
                            </w:pPr>
                            <w:r w:rsidRPr="00754E4E">
                              <w:rPr>
                                <w:rFonts w:cs="Times New Roman"/>
                                <w:szCs w:val="19"/>
                              </w:rPr>
                              <w:fldChar w:fldCharType="end"/>
                            </w:r>
                            <w:r w:rsidRPr="00754E4E" w:rsidR="00540F9C">
                              <w:t>Provides template</w:t>
                            </w:r>
                            <w:r w:rsidRPr="00754E4E" w:rsidR="004D42F4">
                              <w:t>s</w:t>
                            </w:r>
                            <w:r w:rsidRPr="00754E4E" w:rsidR="00540F9C">
                              <w:t xml:space="preserve"> for sharing how the state’s standards align with each federal quality standard </w:t>
                            </w:r>
                            <w:r w:rsidRPr="00754E4E" w:rsidR="004D42F4">
                              <w:t xml:space="preserve">and </w:t>
                            </w:r>
                            <w:r w:rsidRPr="00754E4E" w:rsidR="004D42F4">
                              <w:t xml:space="preserve">the </w:t>
                            </w:r>
                            <w:r w:rsidRPr="00754E4E" w:rsidR="00540F9C">
                              <w:t xml:space="preserve"> timeline</w:t>
                            </w:r>
                            <w:r w:rsidRPr="00754E4E" w:rsidR="00540F9C">
                              <w:t xml:space="preserve"> for when each federal standard was reviewed</w:t>
                            </w:r>
                          </w:p>
                          <w:p w:rsidR="00190E3A" w:rsidRPr="00754E4E" w:rsidP="00190E3A" w14:textId="600EBD26">
                            <w:pPr>
                              <w:pStyle w:val="EQRTextboxbody"/>
                            </w:pPr>
                            <w:hyperlink w:anchor="WSp3n06" w:tooltip="Worksheet 3.6. Compliance Review Findings Reporting Template " w:history="1">
                              <w:r w:rsidRPr="00754E4E">
                                <w:rPr>
                                  <w:rStyle w:val="Hyperlink"/>
                                </w:rPr>
                                <w:t>Worksheet 3</w:t>
                              </w:r>
                              <w:r w:rsidRPr="00754E4E" w:rsidR="00C90147">
                                <w:rPr>
                                  <w:rStyle w:val="Hyperlink"/>
                                </w:rPr>
                                <w:t>.6</w:t>
                              </w:r>
                              <w:r w:rsidRPr="00754E4E">
                                <w:rPr>
                                  <w:rStyle w:val="Hyperlink"/>
                                </w:rPr>
                                <w:t xml:space="preserve">. </w:t>
                              </w:r>
                              <w:r w:rsidRPr="00754E4E" w:rsidR="00540F9C">
                                <w:rPr>
                                  <w:rStyle w:val="Hyperlink"/>
                                </w:rPr>
                                <w:t xml:space="preserve">Compliance </w:t>
                              </w:r>
                              <w:r w:rsidRPr="00754E4E" w:rsidR="00C90147">
                                <w:rPr>
                                  <w:rStyle w:val="Hyperlink"/>
                                </w:rPr>
                                <w:t xml:space="preserve">Review </w:t>
                              </w:r>
                              <w:r w:rsidRPr="00754E4E" w:rsidR="00540F9C">
                                <w:rPr>
                                  <w:rStyle w:val="Hyperlink"/>
                                </w:rPr>
                                <w:t xml:space="preserve">Findings Reporting Template </w:t>
                              </w:r>
                            </w:hyperlink>
                          </w:p>
                          <w:p w:rsidR="00190E3A" w:rsidRPr="00754E4E" w:rsidP="00986C55" w14:textId="40BBD44E">
                            <w:pPr>
                              <w:pStyle w:val="EQRTextboxbullet"/>
                              <w:rPr>
                                <w:spacing w:val="-2"/>
                              </w:rPr>
                            </w:pPr>
                            <w:r w:rsidRPr="00754E4E">
                              <w:t xml:space="preserve">Provides </w:t>
                            </w:r>
                            <w:r w:rsidRPr="00754E4E" w:rsidR="00986C55">
                              <w:t xml:space="preserve">a template for reporting comparative compliance review findings </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141" type="#_x0000_t202" style="width:172.85pt;height:228.45pt;margin-top:60.4pt;margin-left:302pt;flip:y;mso-height-percent:0;mso-height-relative:page;mso-width-percent:0;mso-width-relative:page;mso-wrap-distance-bottom:0;mso-wrap-distance-left:9pt;mso-wrap-distance-right:9pt;mso-wrap-distance-top:0;mso-wrap-style:square;position:absolute;rotation:180;visibility:visible;v-text-anchor:top;z-index:251965440" fillcolor="#eef5f8" strokecolor="#a5dad9" strokeweight="2.25pt">
                <v:stroke endcap="round"/>
                <v:textbox style="mso-fit-shape-to-text:t" inset="8.64pt,,8.64pt">
                  <w:txbxContent>
                    <w:p w:rsidR="00190E3A" w:rsidRPr="00754E4E" w:rsidP="00190E3A" w14:paraId="28C0E91E" w14:textId="3A8DD8FB">
                      <w:pPr>
                        <w:pStyle w:val="EQRTextboxheading"/>
                      </w:pPr>
                      <w:r w:rsidRPr="00754E4E">
                        <w:t>Resource</w:t>
                      </w:r>
                      <w:r w:rsidRPr="00754E4E" w:rsidR="0018310F">
                        <w:t>s</w:t>
                      </w:r>
                      <w:r w:rsidRPr="00754E4E">
                        <w:t xml:space="preserve"> for Activity 5</w:t>
                      </w:r>
                    </w:p>
                    <w:p w:rsidR="00190E3A" w:rsidRPr="00754E4E" w:rsidP="00190E3A" w14:paraId="0BBBE910" w14:textId="28C92064">
                      <w:pPr>
                        <w:pStyle w:val="EQRTextboxbody"/>
                        <w:rPr>
                          <w:rStyle w:val="Hyperlink"/>
                        </w:rPr>
                      </w:pPr>
                      <w:r w:rsidRPr="00754E4E">
                        <w:fldChar w:fldCharType="begin"/>
                      </w:r>
                      <w:r w:rsidR="00486CCE">
                        <w:instrText>HYPERLINK  \l "WSp3n05" \o "Worksheet 3.5"</w:instrText>
                      </w:r>
                      <w:r w:rsidRPr="00754E4E">
                        <w:fldChar w:fldCharType="separate"/>
                      </w:r>
                      <w:r w:rsidRPr="00754E4E">
                        <w:rPr>
                          <w:rStyle w:val="Hyperlink"/>
                        </w:rPr>
                        <w:t>Worksheet 3.</w:t>
                      </w:r>
                      <w:r w:rsidRPr="00754E4E" w:rsidR="00C90147">
                        <w:rPr>
                          <w:rStyle w:val="Hyperlink"/>
                        </w:rPr>
                        <w:t>5</w:t>
                      </w:r>
                      <w:r w:rsidRPr="00754E4E">
                        <w:rPr>
                          <w:rStyle w:val="Hyperlink"/>
                        </w:rPr>
                        <w:t xml:space="preserve">. </w:t>
                      </w:r>
                      <w:r w:rsidRPr="00754E4E" w:rsidR="00540F9C">
                        <w:rPr>
                          <w:rStyle w:val="Hyperlink"/>
                        </w:rPr>
                        <w:t>Timeline and Crosswalk of State and Federal Standards Reviewed</w:t>
                      </w:r>
                    </w:p>
                    <w:p w:rsidR="00190E3A" w:rsidRPr="00754E4E" w:rsidP="00666AC0" w14:paraId="42E8B107" w14:textId="50870AE3">
                      <w:pPr>
                        <w:pStyle w:val="EQRTextboxbullet"/>
                      </w:pPr>
                      <w:r w:rsidRPr="00754E4E">
                        <w:rPr>
                          <w:rFonts w:cs="Times New Roman"/>
                          <w:szCs w:val="19"/>
                        </w:rPr>
                        <w:fldChar w:fldCharType="end"/>
                      </w:r>
                      <w:r w:rsidRPr="00754E4E" w:rsidR="00540F9C">
                        <w:t>Provides template</w:t>
                      </w:r>
                      <w:r w:rsidRPr="00754E4E" w:rsidR="004D42F4">
                        <w:t>s</w:t>
                      </w:r>
                      <w:r w:rsidRPr="00754E4E" w:rsidR="00540F9C">
                        <w:t xml:space="preserve"> for sharing how the state’s standards align with each federal quality standard </w:t>
                      </w:r>
                      <w:r w:rsidRPr="00754E4E" w:rsidR="004D42F4">
                        <w:t xml:space="preserve">and </w:t>
                      </w:r>
                      <w:r w:rsidRPr="00754E4E" w:rsidR="004D42F4">
                        <w:t xml:space="preserve">the </w:t>
                      </w:r>
                      <w:r w:rsidRPr="00754E4E" w:rsidR="00540F9C">
                        <w:t xml:space="preserve"> timeline</w:t>
                      </w:r>
                      <w:r w:rsidRPr="00754E4E" w:rsidR="00540F9C">
                        <w:t xml:space="preserve"> for when each federal standard was reviewed</w:t>
                      </w:r>
                    </w:p>
                    <w:p w:rsidR="00190E3A" w:rsidRPr="00754E4E" w:rsidP="00190E3A" w14:paraId="5F956054" w14:textId="600EBD26">
                      <w:pPr>
                        <w:pStyle w:val="EQRTextboxbody"/>
                      </w:pPr>
                      <w:hyperlink w:anchor="WSp3n06" w:tooltip="Worksheet 3.6. Compliance Review Findings Reporting Template " w:history="1">
                        <w:r w:rsidRPr="00754E4E">
                          <w:rPr>
                            <w:rStyle w:val="Hyperlink"/>
                          </w:rPr>
                          <w:t>Worksheet 3</w:t>
                        </w:r>
                        <w:r w:rsidRPr="00754E4E" w:rsidR="00C90147">
                          <w:rPr>
                            <w:rStyle w:val="Hyperlink"/>
                          </w:rPr>
                          <w:t>.6</w:t>
                        </w:r>
                        <w:r w:rsidRPr="00754E4E">
                          <w:rPr>
                            <w:rStyle w:val="Hyperlink"/>
                          </w:rPr>
                          <w:t xml:space="preserve">. </w:t>
                        </w:r>
                        <w:r w:rsidRPr="00754E4E" w:rsidR="00540F9C">
                          <w:rPr>
                            <w:rStyle w:val="Hyperlink"/>
                          </w:rPr>
                          <w:t xml:space="preserve">Compliance </w:t>
                        </w:r>
                        <w:r w:rsidRPr="00754E4E" w:rsidR="00C90147">
                          <w:rPr>
                            <w:rStyle w:val="Hyperlink"/>
                          </w:rPr>
                          <w:t xml:space="preserve">Review </w:t>
                        </w:r>
                        <w:r w:rsidRPr="00754E4E" w:rsidR="00540F9C">
                          <w:rPr>
                            <w:rStyle w:val="Hyperlink"/>
                          </w:rPr>
                          <w:t xml:space="preserve">Findings Reporting Template </w:t>
                        </w:r>
                      </w:hyperlink>
                    </w:p>
                    <w:p w:rsidR="00190E3A" w:rsidRPr="00754E4E" w:rsidP="00986C55" w14:paraId="2DF286CD" w14:textId="40BBD44E">
                      <w:pPr>
                        <w:pStyle w:val="EQRTextboxbullet"/>
                        <w:rPr>
                          <w:spacing w:val="-2"/>
                        </w:rPr>
                      </w:pPr>
                      <w:r w:rsidRPr="00754E4E">
                        <w:t xml:space="preserve">Provides </w:t>
                      </w:r>
                      <w:r w:rsidRPr="00754E4E" w:rsidR="00986C55">
                        <w:t xml:space="preserve">a template for reporting comparative compliance review findings </w:t>
                      </w:r>
                    </w:p>
                  </w:txbxContent>
                </v:textbox>
                <w10:wrap type="tight"/>
              </v:shape>
            </w:pict>
          </mc:Fallback>
        </mc:AlternateContent>
      </w:r>
      <w:r w:rsidRPr="00990D3B" w:rsidR="00863FCC">
        <w:t>In this activity, the EQRO reports its findings to the state</w:t>
      </w:r>
      <w:r w:rsidRPr="00990D3B" w:rsidR="004C1195">
        <w:t>.</w:t>
      </w:r>
      <w:r w:rsidRPr="00990D3B" w:rsidR="00D53C96">
        <w:t xml:space="preserve"> </w:t>
      </w:r>
      <w:r w:rsidRPr="00990D3B" w:rsidR="00F8039C">
        <w:t>The</w:t>
      </w:r>
      <w:r w:rsidRPr="00990D3B" w:rsidR="00D53C96">
        <w:t xml:space="preserve"> report should include an overall summary of findings for </w:t>
      </w:r>
      <w:r w:rsidRPr="00990D3B" w:rsidR="00777466">
        <w:t xml:space="preserve">each MCP’s </w:t>
      </w:r>
      <w:r w:rsidRPr="00990D3B" w:rsidR="00D53C96">
        <w:t>compliance with regulatory provisions</w:t>
      </w:r>
      <w:r w:rsidRPr="00E15617" w:rsidR="00D53C96">
        <w:t>.</w:t>
      </w:r>
      <w:r w:rsidRPr="00E15617" w:rsidR="001A18F1">
        <w:t xml:space="preserve"> </w:t>
      </w:r>
    </w:p>
    <w:p w:rsidR="004456FC" w:rsidRPr="00990D3B" w:rsidP="00BD1FC3" w14:paraId="3949E2A3" w14:textId="71CF5EB7">
      <w:pPr>
        <w:pStyle w:val="H3"/>
      </w:pPr>
      <w:bookmarkStart w:id="401" w:name="P3Act5Step1"/>
      <w:bookmarkEnd w:id="401"/>
      <w:r w:rsidRPr="00990D3B">
        <w:t>Step 1: Submit a Report Outline to the State</w:t>
      </w:r>
    </w:p>
    <w:p w:rsidR="003261BA" w:rsidRPr="00990D3B" w:rsidP="00F11EE7" w14:paraId="44B2BF64" w14:textId="0765D832">
      <w:pPr>
        <w:pStyle w:val="ParagraphContinued"/>
      </w:pPr>
      <w:r w:rsidRPr="00990D3B">
        <w:t>The</w:t>
      </w:r>
      <w:r w:rsidRPr="00990D3B">
        <w:t xml:space="preserve"> EQRO should develop a</w:t>
      </w:r>
      <w:r w:rsidRPr="00990D3B" w:rsidR="00F31EA9">
        <w:t xml:space="preserve"> report</w:t>
      </w:r>
      <w:r w:rsidRPr="00990D3B">
        <w:t xml:space="preserve"> outline </w:t>
      </w:r>
      <w:r w:rsidRPr="00990D3B" w:rsidR="00F31EA9">
        <w:t>and submit it to the state for approval</w:t>
      </w:r>
      <w:r w:rsidRPr="00990D3B">
        <w:t xml:space="preserve">. </w:t>
      </w:r>
      <w:r w:rsidRPr="00990D3B" w:rsidR="004B3812">
        <w:t xml:space="preserve">Because the state may use the report to meet its reporting requirements for federal or state agencies, the state legislature, local advocacy groups, and other interested parties, the state may need certain types of information presented in a specific format. </w:t>
      </w:r>
    </w:p>
    <w:p w:rsidR="00BC60B1" w:rsidRPr="00990D3B" w:rsidP="00BD1FC3" w14:paraId="1F8D7F4A" w14:textId="6D6DD926">
      <w:pPr>
        <w:pStyle w:val="H3"/>
      </w:pPr>
      <w:bookmarkStart w:id="402" w:name="P3Act5Step2"/>
      <w:bookmarkEnd w:id="402"/>
      <w:r w:rsidRPr="00990D3B">
        <w:t xml:space="preserve">Step </w:t>
      </w:r>
      <w:r w:rsidRPr="00990D3B" w:rsidR="004456FC">
        <w:t>2</w:t>
      </w:r>
      <w:r w:rsidRPr="00990D3B">
        <w:t>: Submit a Final De</w:t>
      </w:r>
      <w:r w:rsidRPr="00990D3B" w:rsidR="00A233CE">
        <w:t>termination Report to the State</w:t>
      </w:r>
    </w:p>
    <w:p w:rsidR="00715122" w:rsidRPr="00990D3B" w:rsidP="00F11EE7" w14:paraId="6C4B09EC" w14:textId="3A433C0A">
      <w:pPr>
        <w:pStyle w:val="ParagraphContinued"/>
      </w:pPr>
      <w:r w:rsidRPr="00990D3B">
        <w:t>The final report should follow the state’s required format and include the following elements:</w:t>
      </w:r>
    </w:p>
    <w:p w:rsidR="00715122" w:rsidRPr="00990D3B" w:rsidP="00FB7CAF" w14:paraId="6ECAC8F2" w14:textId="0BC5F964">
      <w:pPr>
        <w:pStyle w:val="EQRBulletBLUE"/>
      </w:pPr>
      <w:r w:rsidRPr="00990D3B">
        <w:t>A list of federal and state standards reviewed by the EQRO.</w:t>
      </w:r>
      <w:r w:rsidRPr="00990D3B" w:rsidR="0018310F">
        <w:t xml:space="preserve"> </w:t>
      </w:r>
      <w:r w:rsidRPr="00990D3B">
        <w:t>If the state or EQRO spreads the compliance review activity across two or three years, consider including the crosswalk in each EQR technical report.</w:t>
      </w:r>
    </w:p>
    <w:p w:rsidR="00715122" w:rsidRPr="00990D3B" w:rsidP="00FB7CAF" w14:paraId="27424D85" w14:textId="241B4DEF">
      <w:pPr>
        <w:pStyle w:val="EQRBulletBLUE"/>
      </w:pPr>
      <w:r w:rsidRPr="00990D3B">
        <w:t xml:space="preserve">If the state </w:t>
      </w:r>
      <w:r w:rsidRPr="00990D3B">
        <w:t xml:space="preserve">standards </w:t>
      </w:r>
      <w:r w:rsidRPr="00990D3B">
        <w:t xml:space="preserve">do not directly align </w:t>
      </w:r>
      <w:r w:rsidRPr="00990D3B">
        <w:t xml:space="preserve">with the federal standards, </w:t>
      </w:r>
      <w:r w:rsidRPr="00990D3B">
        <w:t>consider including a crosswalk of each state standard review</w:t>
      </w:r>
      <w:r w:rsidRPr="00990D3B" w:rsidR="00B255D7">
        <w:t>ed</w:t>
      </w:r>
      <w:r w:rsidRPr="00990D3B">
        <w:t xml:space="preserve"> to the federal quality standards. If the standards align, consider including a</w:t>
      </w:r>
      <w:r w:rsidRPr="00990D3B">
        <w:t xml:space="preserve"> statement in the EQR technical report indicating this alignment.</w:t>
      </w:r>
    </w:p>
    <w:p w:rsidR="00715122" w:rsidRPr="00990D3B" w:rsidP="00FB7CAF" w14:paraId="4A932037" w14:textId="4689925B">
      <w:pPr>
        <w:pStyle w:val="EQRBulletBLUE"/>
      </w:pPr>
      <w:r w:rsidRPr="00990D3B">
        <w:t>A description of the EQRO’s compliance review activities</w:t>
      </w:r>
      <w:r w:rsidRPr="00990D3B" w:rsidR="00B255D7">
        <w:t>,</w:t>
      </w:r>
      <w:r w:rsidRPr="00990D3B">
        <w:t xml:space="preserve"> including:</w:t>
      </w:r>
    </w:p>
    <w:p w:rsidR="00715122" w:rsidRPr="00990D3B" w:rsidP="00411ED7" w14:paraId="0947C622" w14:textId="5BC29B7E">
      <w:pPr>
        <w:pStyle w:val="EQRBulletBLUE2ndlevel"/>
      </w:pPr>
      <w:r w:rsidRPr="00990D3B">
        <w:t>A summary of the compliance review strategy</w:t>
      </w:r>
      <w:r w:rsidRPr="00990D3B" w:rsidR="0010694A">
        <w:t>.</w:t>
      </w:r>
      <w:r w:rsidRPr="00990D3B">
        <w:t xml:space="preserve"> </w:t>
      </w:r>
    </w:p>
    <w:p w:rsidR="00715122" w:rsidRPr="00990D3B" w:rsidP="00411ED7" w14:paraId="2188CC43" w14:textId="53D422D0">
      <w:pPr>
        <w:pStyle w:val="EQRBulletBLUE2ndlevel"/>
      </w:pPr>
      <w:r w:rsidRPr="00990D3B">
        <w:t>The data collection methods and analysis</w:t>
      </w:r>
      <w:r w:rsidRPr="00990D3B" w:rsidR="0010694A">
        <w:t>.</w:t>
      </w:r>
    </w:p>
    <w:p w:rsidR="00715122" w:rsidRPr="00990D3B" w:rsidP="00411ED7" w14:paraId="1810EBE0" w14:textId="0C4870F0">
      <w:pPr>
        <w:pStyle w:val="EQRBulletBLUE2ndlevel"/>
      </w:pPr>
      <w:r w:rsidRPr="00990D3B">
        <w:t>List of site visit participants (EQRO, MCP, and vendor)</w:t>
      </w:r>
      <w:r w:rsidRPr="00990D3B" w:rsidR="0010694A">
        <w:t>.</w:t>
      </w:r>
    </w:p>
    <w:p w:rsidR="00715122" w:rsidRPr="00990D3B" w:rsidP="00411ED7" w14:paraId="5C35B96E" w14:textId="522165D4">
      <w:pPr>
        <w:pStyle w:val="EQRBulletBLUE2ndlevel"/>
      </w:pPr>
      <w:r w:rsidRPr="00990D3B">
        <w:t>Other considerations relevant to the site visit process</w:t>
      </w:r>
      <w:r w:rsidRPr="00990D3B" w:rsidR="0010694A">
        <w:t>.</w:t>
      </w:r>
    </w:p>
    <w:p w:rsidR="00715122" w:rsidRPr="00990D3B" w:rsidP="00411ED7" w14:paraId="14178EA0" w14:textId="664C4A28">
      <w:pPr>
        <w:pStyle w:val="EQRBulletBLUE2ndlevel"/>
      </w:pPr>
      <w:r w:rsidRPr="00990D3B">
        <w:t>Compliance review rating definitions</w:t>
      </w:r>
      <w:r w:rsidRPr="00990D3B" w:rsidR="0010694A">
        <w:t>.</w:t>
      </w:r>
    </w:p>
    <w:p w:rsidR="004E36BC" w:rsidP="00FB7CAF" w14:paraId="0B034AAD" w14:textId="4AE4B13A">
      <w:pPr>
        <w:pStyle w:val="EQRBulletBLUE"/>
      </w:pPr>
      <w:r w:rsidRPr="00990D3B">
        <w:t xml:space="preserve"> </w:t>
      </w:r>
      <w:r w:rsidRPr="00990D3B" w:rsidR="00715122">
        <w:t>MCP compliance findings</w:t>
      </w:r>
      <w:r w:rsidRPr="00990D3B" w:rsidR="00540F9C">
        <w:t>.</w:t>
      </w:r>
      <w:r w:rsidRPr="00990D3B" w:rsidR="0018310F">
        <w:t xml:space="preserve"> </w:t>
      </w:r>
      <w:r w:rsidRPr="00990D3B">
        <w:t xml:space="preserve">If an MCP recently entered the state’s managed care program and is within its first three-year compliance review period, include a statement indicating this and consider noting when it will undergo its review. </w:t>
      </w:r>
    </w:p>
    <w:p w:rsidR="00A167B6" w:rsidRPr="00A167B6" w:rsidP="00A167B6" w14:paraId="4BF6C04A" w14:textId="38849C7C">
      <w:pPr>
        <w:pStyle w:val="EQRBulletBLUE"/>
      </w:pPr>
      <w:r w:rsidRPr="00A167B6">
        <w:t xml:space="preserve">Findings from quantitative assessments, if applicable. </w:t>
      </w:r>
      <w:hyperlink w:anchor="Box3n3" w:tooltip="Box 3.2" w:history="1">
        <w:r w:rsidRPr="00A167B6">
          <w:rPr>
            <w:rStyle w:val="Hyperlink"/>
          </w:rPr>
          <w:t>Box 3.4</w:t>
        </w:r>
      </w:hyperlink>
      <w:r w:rsidRPr="00A167B6">
        <w:t xml:space="preserve"> shares guidance on summarizing these findings. </w:t>
      </w:r>
    </w:p>
    <w:p w:rsidR="000C32A5" w:rsidRPr="00990D3B" w:rsidP="00FB7CAF" w14:paraId="2F51DAB0" w14:textId="15A6618A">
      <w:pPr>
        <w:pStyle w:val="EQRBulletBLUE"/>
      </w:pPr>
      <w:r w:rsidRPr="00990D3B">
        <w:t>Recommendations for improving MCP compliance with federal and state standards</w:t>
      </w:r>
      <w:r w:rsidRPr="00990D3B" w:rsidR="0010694A">
        <w:t>.</w:t>
      </w:r>
    </w:p>
    <w:p w:rsidR="007050C7" w:rsidP="00D866B2" w14:paraId="498E2611" w14:textId="744B8753">
      <w:pPr>
        <w:pStyle w:val="ParagraphContinued"/>
      </w:pPr>
      <w:r w:rsidRPr="00990D3B">
        <w:rPr>
          <w:noProof/>
        </w:rPr>
        <mc:AlternateContent>
          <mc:Choice Requires="wps">
            <w:drawing>
              <wp:anchor distT="0" distB="0" distL="114300" distR="114300" simplePos="0" relativeHeight="252032000" behindDoc="1" locked="0" layoutInCell="1" allowOverlap="1">
                <wp:simplePos x="0" y="0"/>
                <wp:positionH relativeFrom="margin">
                  <wp:posOffset>-15875</wp:posOffset>
                </wp:positionH>
                <wp:positionV relativeFrom="paragraph">
                  <wp:posOffset>542290</wp:posOffset>
                </wp:positionV>
                <wp:extent cx="5751830" cy="1628140"/>
                <wp:effectExtent l="19050" t="19050" r="20320" b="10160"/>
                <wp:wrapTight wrapText="bothSides">
                  <wp:wrapPolygon>
                    <wp:start x="21672" y="21853"/>
                    <wp:lineTo x="21672" y="118"/>
                    <wp:lineTo x="-5" y="118"/>
                    <wp:lineTo x="-5" y="21853"/>
                    <wp:lineTo x="21672" y="21853"/>
                  </wp:wrapPolygon>
                </wp:wrapTight>
                <wp:docPr id="840810303" name="Text Box 2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751830" cy="1628140"/>
                        </a:xfrm>
                        <a:prstGeom prst="rect">
                          <a:avLst/>
                        </a:prstGeom>
                        <a:solidFill>
                          <a:srgbClr val="EEF5F8"/>
                        </a:solidFill>
                        <a:ln w="28575" cap="rnd">
                          <a:solidFill>
                            <a:srgbClr val="A5DAD9"/>
                          </a:solidFill>
                          <a:prstDash val="solid"/>
                          <a:miter lim="800000"/>
                          <a:headEnd/>
                          <a:tailEnd/>
                        </a:ln>
                      </wps:spPr>
                      <wps:txbx>
                        <w:txbxContent>
                          <w:p w:rsidR="00A167B6" w:rsidRPr="00961B9C" w:rsidP="00A167B6" w14:textId="77777777">
                            <w:pPr>
                              <w:pStyle w:val="EQRTextboxheading"/>
                            </w:pPr>
                            <w:bookmarkStart w:id="403" w:name="Box3n4"/>
                            <w:r w:rsidRPr="00805CE0">
                              <w:t>Box 3.4</w:t>
                            </w:r>
                            <w:bookmarkEnd w:id="403"/>
                            <w:r w:rsidRPr="00805CE0">
                              <w:t>. Reporting Compliance Review Quantitative Assessment Results</w:t>
                            </w:r>
                          </w:p>
                          <w:p w:rsidR="00A167B6" w:rsidP="00A167B6" w14:textId="77777777">
                            <w:pPr>
                              <w:pStyle w:val="EQRTextboxbody"/>
                              <w:rPr>
                                <w:rFonts w:asciiTheme="majorHAnsi" w:hAnsiTheme="majorHAnsi" w:cstheme="majorHAnsi"/>
                              </w:rPr>
                            </w:pPr>
                            <w:r w:rsidRPr="001A18F1">
                              <w:t xml:space="preserve">In the 2024 final rule, CMS clarified that </w:t>
                            </w:r>
                            <w:r>
                              <w:t xml:space="preserve">for the mandatory validation activities, </w:t>
                            </w:r>
                            <w:r w:rsidRPr="001A18F1">
                              <w:t xml:space="preserve">states must </w:t>
                            </w:r>
                            <w:r>
                              <w:t>report</w:t>
                            </w:r>
                            <w:r w:rsidRPr="001A18F1">
                              <w:t xml:space="preserve"> outcomes data and results from quantitative assessments in addition to </w:t>
                            </w:r>
                            <w:r>
                              <w:t>validation</w:t>
                            </w:r>
                            <w:r w:rsidRPr="001A18F1">
                              <w:t xml:space="preserve"> findings</w:t>
                            </w:r>
                            <w:r>
                              <w:t xml:space="preserve">. </w:t>
                            </w:r>
                            <w:r w:rsidRPr="001A18F1">
                              <w:t xml:space="preserve">For </w:t>
                            </w:r>
                            <w:r>
                              <w:t>the c</w:t>
                            </w:r>
                            <w:r w:rsidRPr="001A18F1">
                              <w:t xml:space="preserve">ompliance </w:t>
                            </w:r>
                            <w:r>
                              <w:t>r</w:t>
                            </w:r>
                            <w:r w:rsidRPr="001A18F1">
                              <w:t>eview activit</w:t>
                            </w:r>
                            <w:r>
                              <w:t>y</w:t>
                            </w:r>
                            <w:r w:rsidRPr="001A18F1">
                              <w:t>, quantitative assessments are not required. However, states may choose to include quantitative summar</w:t>
                            </w:r>
                            <w:r>
                              <w:t xml:space="preserve">ies </w:t>
                            </w:r>
                            <w:r w:rsidRPr="001A18F1">
                              <w:t>of MCP compliance with state and federal requirements. Th</w:t>
                            </w:r>
                            <w:r>
                              <w:t xml:space="preserve">ese summaries may </w:t>
                            </w:r>
                            <w:r w:rsidRPr="001A18F1">
                              <w:t xml:space="preserve">include analyses such as calculating the percentage of elements reviewed that were fully compliant, partially compliant, or noncompliant; identifying repeat findings across review cycles; and documenting corrective action requirements or timelines for remediation. Quantitative </w:t>
                            </w:r>
                            <w:r>
                              <w:t>assessments</w:t>
                            </w:r>
                            <w:r w:rsidRPr="001A18F1">
                              <w:t xml:space="preserve"> may also describe trends in compliance over time or improvements following corrective action.</w:t>
                            </w:r>
                            <w:r>
                              <w:t xml:space="preserve"> </w:t>
                            </w:r>
                          </w:p>
                          <w:p w:rsidR="00C74498" w:rsidRPr="00E35D96" w:rsidP="00C74498" w14:textId="77777777">
                            <w:pPr>
                              <w:pStyle w:val="EQRTextboxheading"/>
                              <w:rPr>
                                <w:rFonts w:asciiTheme="majorHAnsi" w:hAnsiTheme="majorHAnsi" w:cstheme="majorHAnsi"/>
                              </w:rPr>
                            </w:pPr>
                          </w:p>
                        </w:txbxContent>
                      </wps:txbx>
                      <wps:bodyPr rot="0" vert="horz" wrap="square" lIns="109728" tIns="45720" rIns="109728" bIns="45720" anchor="t" anchorCtr="0" upright="1"/>
                    </wps:wsp>
                  </a:graphicData>
                </a:graphic>
                <wp14:sizeRelH relativeFrom="margin">
                  <wp14:pctWidth>0</wp14:pctWidth>
                </wp14:sizeRelH>
                <wp14:sizeRelV relativeFrom="margin">
                  <wp14:pctHeight>0</wp14:pctHeight>
                </wp14:sizeRelV>
              </wp:anchor>
            </w:drawing>
          </mc:Choice>
          <mc:Fallback>
            <w:pict>
              <v:shape id="_x0000_s1142" type="#_x0000_t202" style="width:452.9pt;height:128.2pt;margin-top:42.7pt;margin-left:-1.25pt;flip:y;mso-height-percent:0;mso-height-relative:margin;mso-position-horizontal-relative:margin;mso-width-percent:0;mso-width-relative:margin;mso-wrap-distance-bottom:0;mso-wrap-distance-left:9pt;mso-wrap-distance-right:9pt;mso-wrap-distance-top:0;mso-wrap-style:square;position:absolute;rotation:180;visibility:visible;v-text-anchor:top;z-index:-251283456" fillcolor="#eef5f8" strokecolor="#a5dad9" strokeweight="2.25pt">
                <v:stroke endcap="round"/>
                <v:textbox inset="8.64pt,,8.64pt">
                  <w:txbxContent>
                    <w:p w:rsidR="00A167B6" w:rsidRPr="00961B9C" w:rsidP="00A167B6" w14:paraId="157A6C81" w14:textId="77777777">
                      <w:pPr>
                        <w:pStyle w:val="EQRTextboxheading"/>
                      </w:pPr>
                      <w:bookmarkStart w:id="403" w:name="Box3n4"/>
                      <w:r w:rsidRPr="00805CE0">
                        <w:t>Box 3.4</w:t>
                      </w:r>
                      <w:bookmarkEnd w:id="403"/>
                      <w:r w:rsidRPr="00805CE0">
                        <w:t>. Reporting Compliance Review Quantitative Assessment Results</w:t>
                      </w:r>
                    </w:p>
                    <w:p w:rsidR="00A167B6" w:rsidP="00A167B6" w14:paraId="14A14311" w14:textId="77777777">
                      <w:pPr>
                        <w:pStyle w:val="EQRTextboxbody"/>
                        <w:rPr>
                          <w:rFonts w:asciiTheme="majorHAnsi" w:hAnsiTheme="majorHAnsi" w:cstheme="majorHAnsi"/>
                        </w:rPr>
                      </w:pPr>
                      <w:r w:rsidRPr="001A18F1">
                        <w:t xml:space="preserve">In the 2024 final rule, CMS clarified that </w:t>
                      </w:r>
                      <w:r>
                        <w:t xml:space="preserve">for the mandatory validation activities, </w:t>
                      </w:r>
                      <w:r w:rsidRPr="001A18F1">
                        <w:t xml:space="preserve">states must </w:t>
                      </w:r>
                      <w:r>
                        <w:t>report</w:t>
                      </w:r>
                      <w:r w:rsidRPr="001A18F1">
                        <w:t xml:space="preserve"> outcomes data and results from quantitative assessments in addition to </w:t>
                      </w:r>
                      <w:r>
                        <w:t>validation</w:t>
                      </w:r>
                      <w:r w:rsidRPr="001A18F1">
                        <w:t xml:space="preserve"> findings</w:t>
                      </w:r>
                      <w:r>
                        <w:t xml:space="preserve">. </w:t>
                      </w:r>
                      <w:r w:rsidRPr="001A18F1">
                        <w:t xml:space="preserve">For </w:t>
                      </w:r>
                      <w:r>
                        <w:t>the c</w:t>
                      </w:r>
                      <w:r w:rsidRPr="001A18F1">
                        <w:t xml:space="preserve">ompliance </w:t>
                      </w:r>
                      <w:r>
                        <w:t>r</w:t>
                      </w:r>
                      <w:r w:rsidRPr="001A18F1">
                        <w:t>eview activit</w:t>
                      </w:r>
                      <w:r>
                        <w:t>y</w:t>
                      </w:r>
                      <w:r w:rsidRPr="001A18F1">
                        <w:t>, quantitative assessments are not required. However, states may choose to include quantitative summar</w:t>
                      </w:r>
                      <w:r>
                        <w:t xml:space="preserve">ies </w:t>
                      </w:r>
                      <w:r w:rsidRPr="001A18F1">
                        <w:t>of MCP compliance with state and federal requirements. Th</w:t>
                      </w:r>
                      <w:r>
                        <w:t xml:space="preserve">ese summaries may </w:t>
                      </w:r>
                      <w:r w:rsidRPr="001A18F1">
                        <w:t xml:space="preserve">include analyses such as calculating the percentage of elements reviewed that were fully compliant, partially compliant, or noncompliant; identifying repeat findings across review cycles; and documenting corrective action requirements or timelines for remediation. Quantitative </w:t>
                      </w:r>
                      <w:r>
                        <w:t>assessments</w:t>
                      </w:r>
                      <w:r w:rsidRPr="001A18F1">
                        <w:t xml:space="preserve"> may also describe trends in compliance over time or improvements following corrective action.</w:t>
                      </w:r>
                      <w:r>
                        <w:t xml:space="preserve"> </w:t>
                      </w:r>
                    </w:p>
                    <w:p w:rsidR="00C74498" w:rsidRPr="00E35D96" w:rsidP="00C74498" w14:paraId="0EA3227F" w14:textId="77777777">
                      <w:pPr>
                        <w:pStyle w:val="EQRTextboxheading"/>
                        <w:rPr>
                          <w:rFonts w:asciiTheme="majorHAnsi" w:hAnsiTheme="majorHAnsi" w:cstheme="majorHAnsi"/>
                        </w:rPr>
                      </w:pPr>
                    </w:p>
                  </w:txbxContent>
                </v:textbox>
                <w10:wrap type="tight"/>
              </v:shape>
            </w:pict>
          </mc:Fallback>
        </mc:AlternateContent>
      </w:r>
      <w:r w:rsidRPr="00990D3B" w:rsidR="0018310F">
        <w:t>S</w:t>
      </w:r>
      <w:r w:rsidRPr="00990D3B" w:rsidR="007050C7">
        <w:t>ee “</w:t>
      </w:r>
      <w:r w:rsidRPr="00990D3B" w:rsidR="00D307D3">
        <w:t>EQR Reporting</w:t>
      </w:r>
      <w:r w:rsidRPr="00990D3B" w:rsidR="007050C7">
        <w:t xml:space="preserve">” in the </w:t>
      </w:r>
      <w:hyperlink w:anchor="Introduction" w:tooltip="Introduction" w:history="1">
        <w:r w:rsidRPr="00990D3B" w:rsidR="007050C7">
          <w:rPr>
            <w:rStyle w:val="Hyperlink"/>
          </w:rPr>
          <w:t>Introduction</w:t>
        </w:r>
      </w:hyperlink>
      <w:r w:rsidRPr="00990D3B" w:rsidR="007050C7">
        <w:t xml:space="preserve"> for further guidance </w:t>
      </w:r>
      <w:r w:rsidRPr="00990D3B" w:rsidR="00B255D7">
        <w:t>o</w:t>
      </w:r>
      <w:r w:rsidRPr="00990D3B" w:rsidR="00D866B2">
        <w:t>n</w:t>
      </w:r>
      <w:r w:rsidRPr="00990D3B" w:rsidR="007050C7">
        <w:t xml:space="preserve"> produc</w:t>
      </w:r>
      <w:r w:rsidRPr="00990D3B" w:rsidR="00B255D7">
        <w:t xml:space="preserve">ing </w:t>
      </w:r>
      <w:r w:rsidRPr="00990D3B" w:rsidR="007050C7">
        <w:t>a clear and concise</w:t>
      </w:r>
      <w:r w:rsidRPr="00990D3B" w:rsidR="00D866B2">
        <w:t> </w:t>
      </w:r>
      <w:r w:rsidRPr="00990D3B" w:rsidR="007050C7">
        <w:t xml:space="preserve">report. </w:t>
      </w:r>
    </w:p>
    <w:p w:rsidR="00C74498" w:rsidP="00BD1FC3" w14:paraId="18B8C51E" w14:textId="77777777">
      <w:pPr>
        <w:pStyle w:val="H3"/>
      </w:pPr>
      <w:bookmarkStart w:id="404" w:name="P3Act5Step3"/>
      <w:bookmarkEnd w:id="404"/>
    </w:p>
    <w:p w:rsidR="003261BA" w:rsidRPr="00990D3B" w:rsidP="00BD1FC3" w14:paraId="47047602" w14:textId="63A70006">
      <w:pPr>
        <w:pStyle w:val="H3"/>
      </w:pPr>
      <w:r w:rsidRPr="00990D3B">
        <w:t xml:space="preserve">Step </w:t>
      </w:r>
      <w:r w:rsidRPr="00990D3B" w:rsidR="004456FC">
        <w:t>3</w:t>
      </w:r>
      <w:r w:rsidRPr="00990D3B">
        <w:t>: Submit Other Reports Requested by the State</w:t>
      </w:r>
    </w:p>
    <w:p w:rsidR="003261BA" w:rsidRPr="00990D3B" w:rsidP="00F11EE7" w14:paraId="11301008" w14:textId="77777777">
      <w:pPr>
        <w:pStyle w:val="ParagraphContinued"/>
      </w:pPr>
      <w:r w:rsidRPr="00990D3B">
        <w:t>The state may request a specific format for reporting results back to the MCP. Some options for reporting evaluation results to the MCP include:</w:t>
      </w:r>
    </w:p>
    <w:p w:rsidR="003261BA" w:rsidRPr="00990D3B" w:rsidP="00FB7CAF" w14:paraId="7BE3CC8F" w14:textId="02AFF938">
      <w:pPr>
        <w:pStyle w:val="EQRBulletBLUE"/>
      </w:pPr>
      <w:r w:rsidRPr="00990D3B">
        <w:rPr>
          <w:b/>
          <w:bCs/>
        </w:rPr>
        <w:t>Compliance Issues Only.</w:t>
      </w:r>
      <w:r w:rsidRPr="00990D3B">
        <w:t xml:space="preserve"> Reviewers provide verbal feedback about general compliance issues they have identified </w:t>
      </w:r>
      <w:r w:rsidRPr="00990D3B">
        <w:t>during the course of</w:t>
      </w:r>
      <w:r w:rsidRPr="00990D3B">
        <w:t xml:space="preserve"> </w:t>
      </w:r>
      <w:r w:rsidRPr="00990D3B" w:rsidR="00F3334F">
        <w:t xml:space="preserve">conducting </w:t>
      </w:r>
      <w:r w:rsidRPr="00990D3B">
        <w:t xml:space="preserve">the </w:t>
      </w:r>
      <w:r w:rsidRPr="00990D3B" w:rsidR="00F3334F">
        <w:t xml:space="preserve">compliance review </w:t>
      </w:r>
      <w:r w:rsidRPr="00990D3B">
        <w:t>EQR</w:t>
      </w:r>
      <w:r w:rsidRPr="00990D3B" w:rsidR="00F3334F">
        <w:t>-related activity</w:t>
      </w:r>
      <w:r w:rsidRPr="00990D3B">
        <w:t xml:space="preserve">. Neither compliance determinations for individual regulatory provisions nor findings for a level of MCP performance are discussed. This type of feedback typically is provided to the MCP leadership during a closing session or exit interview at the </w:t>
      </w:r>
      <w:r w:rsidRPr="00990D3B" w:rsidR="003B445D">
        <w:t>site</w:t>
      </w:r>
      <w:r w:rsidRPr="00990D3B">
        <w:t xml:space="preserve"> visit. This provides the </w:t>
      </w:r>
      <w:r w:rsidRPr="00990D3B" w:rsidR="0010694A">
        <w:t>MCP with</w:t>
      </w:r>
      <w:r w:rsidRPr="00990D3B">
        <w:t xml:space="preserve"> the opportunity to offer additional information if evide</w:t>
      </w:r>
      <w:r w:rsidRPr="00990D3B" w:rsidR="00F83329">
        <w:t>nce of compliance is available</w:t>
      </w:r>
      <w:r w:rsidRPr="00990D3B" w:rsidR="0010694A">
        <w:t>.</w:t>
      </w:r>
    </w:p>
    <w:p w:rsidR="003261BA" w:rsidRPr="00990D3B" w:rsidP="00FB7CAF" w14:paraId="6D2B78FE" w14:textId="4A560234">
      <w:pPr>
        <w:pStyle w:val="EQRBulletBLUE"/>
      </w:pPr>
      <w:r w:rsidRPr="00990D3B">
        <w:rPr>
          <w:b/>
          <w:bCs/>
        </w:rPr>
        <w:t>Compliance Issues Specific to Regulatory Provisions.</w:t>
      </w:r>
      <w:r w:rsidRPr="00990D3B">
        <w:t xml:space="preserve"> Reviewers provide verbal feedback for regulatory provisions or components of provisions that are determined less than fully compliant, in accordance with the compliance thresholds established by the state before the review. Findings for </w:t>
      </w:r>
      <w:r w:rsidRPr="00990D3B">
        <w:t>a level</w:t>
      </w:r>
      <w:r w:rsidRPr="00990D3B">
        <w:t xml:space="preserve"> of MCP performance are not discussed. This type of feedback is </w:t>
      </w:r>
      <w:r w:rsidRPr="00990D3B">
        <w:t xml:space="preserve">typically presented to the MCP leadership during a closing session or exit interview at the </w:t>
      </w:r>
      <w:r w:rsidRPr="00990D3B" w:rsidR="003B445D">
        <w:t>site</w:t>
      </w:r>
      <w:r w:rsidRPr="00990D3B">
        <w:t xml:space="preserve"> visit. This provides the </w:t>
      </w:r>
      <w:r w:rsidRPr="00990D3B" w:rsidR="0010694A">
        <w:t>MCP with</w:t>
      </w:r>
      <w:r w:rsidRPr="00990D3B">
        <w:t xml:space="preserve"> the opportunity to offer additional information if evide</w:t>
      </w:r>
      <w:r w:rsidRPr="00990D3B" w:rsidR="00F83329">
        <w:t>nce of compliance is available</w:t>
      </w:r>
      <w:r w:rsidRPr="00990D3B" w:rsidR="0010694A">
        <w:t>.</w:t>
      </w:r>
    </w:p>
    <w:p w:rsidR="003261BA" w:rsidRPr="00990D3B" w:rsidP="00FB7CAF" w14:paraId="37CD899B" w14:textId="51E2AD72">
      <w:pPr>
        <w:pStyle w:val="EQRBulletBLUE"/>
      </w:pPr>
      <w:r w:rsidRPr="00990D3B">
        <w:rPr>
          <w:b/>
          <w:bCs/>
        </w:rPr>
        <w:t>Compliance Determinations and Deficiency Report.</w:t>
      </w:r>
      <w:r w:rsidRPr="00990D3B">
        <w:t xml:space="preserve"> Reviewers provide verbal and/or written feedback about identified compliance issues, compliance ratings for regulatory provisions, and an overall finding for MCP performance, highlighting areas of deficiency that w</w:t>
      </w:r>
      <w:r w:rsidRPr="00990D3B" w:rsidR="00F83329">
        <w:t>ill be presented to the state</w:t>
      </w:r>
      <w:r w:rsidRPr="00990D3B" w:rsidR="0010694A">
        <w:t>.</w:t>
      </w:r>
    </w:p>
    <w:p w:rsidR="00E86F09" w:rsidRPr="00990D3B" w:rsidP="00BD1FC3" w14:paraId="71A6D3C9" w14:textId="77777777">
      <w:pPr>
        <w:pStyle w:val="ParagraphContinued"/>
        <w:jc w:val="center"/>
        <w:sectPr w:rsidSect="00A65C6B">
          <w:footerReference w:type="even" r:id="rId133"/>
          <w:footerReference w:type="default" r:id="rId134"/>
          <w:headerReference w:type="first" r:id="rId135"/>
          <w:footerReference w:type="first" r:id="rId136"/>
          <w:pgSz w:w="12240" w:h="15840" w:code="1"/>
          <w:pgMar w:top="1440" w:right="1440" w:bottom="1440" w:left="1440" w:header="720" w:footer="720" w:gutter="0"/>
          <w:cols w:space="720"/>
          <w:titlePg/>
          <w:docGrid w:linePitch="360"/>
        </w:sectPr>
      </w:pPr>
      <w:r w:rsidRPr="00990D3B">
        <w:t>END OF PROTOCOL 3</w:t>
      </w:r>
    </w:p>
    <w:p w:rsidR="004E5913" w:rsidRPr="00990D3B" w:rsidP="00BD1FC3" w14:paraId="7A672262" w14:textId="2EC79293">
      <w:pPr>
        <w:pStyle w:val="H2"/>
      </w:pPr>
      <w:bookmarkStart w:id="405" w:name="WSp3"/>
      <w:bookmarkStart w:id="406" w:name="_Toc14777700"/>
      <w:bookmarkStart w:id="407" w:name="_Toc183005590"/>
      <w:bookmarkStart w:id="408" w:name="_Toc201751360"/>
      <w:r w:rsidRPr="00990D3B">
        <w:t>Worksheets for Protocol 3</w:t>
      </w:r>
      <w:bookmarkEnd w:id="405"/>
      <w:r w:rsidRPr="00990D3B">
        <w:t>:</w:t>
      </w:r>
      <w:r w:rsidRPr="00990D3B" w:rsidR="00722BFF">
        <w:t xml:space="preserve"> </w:t>
      </w:r>
      <w:r w:rsidRPr="00990D3B">
        <w:t>Compliance Review Tools</w:t>
      </w:r>
      <w:bookmarkEnd w:id="406"/>
      <w:bookmarkEnd w:id="407"/>
      <w:bookmarkEnd w:id="408"/>
    </w:p>
    <w:p w:rsidR="004E5913" w:rsidRPr="00990D3B" w:rsidP="00BD1FC3" w14:paraId="619F01A3" w14:textId="77777777">
      <w:pPr>
        <w:pStyle w:val="EQRNormalSSWORKSHEET"/>
      </w:pPr>
      <w:r w:rsidRPr="00990D3B">
        <w:rPr>
          <w:b/>
        </w:rPr>
        <w:t xml:space="preserve">Instructions. </w:t>
      </w:r>
      <w:r w:rsidRPr="00990D3B">
        <w:t xml:space="preserve">Use these or similar worksheets to assess the MCP’s compliance with federal regulations and state standards. These worksheets include a tool for document review, compliance definitions, a sample site visit agenda, and compliance review interview questions. Each worksheet can be adapted as needed. This tool includes the following worksheets </w:t>
      </w:r>
      <w:r w:rsidRPr="00990D3B">
        <w:t>crosswalked</w:t>
      </w:r>
      <w:r w:rsidRPr="00990D3B">
        <w:t xml:space="preserve"> to the applicable Activity and Step: </w:t>
      </w:r>
    </w:p>
    <w:tbl>
      <w:tblPr>
        <w:tblStyle w:val="TableGrid"/>
        <w:tblW w:w="5000" w:type="pct"/>
        <w:tblLook w:val="04A0"/>
      </w:tblPr>
      <w:tblGrid>
        <w:gridCol w:w="4641"/>
        <w:gridCol w:w="4709"/>
      </w:tblGrid>
      <w:tr w14:paraId="2FCA0A4E" w14:textId="77777777" w:rsidTr="00BD1FC3">
        <w:tblPrEx>
          <w:tblW w:w="5000" w:type="pct"/>
          <w:tblLook w:val="04A0"/>
        </w:tblPrEx>
        <w:trPr>
          <w:cantSplit/>
          <w:tblHeader/>
        </w:trPr>
        <w:tc>
          <w:tcPr>
            <w:tcW w:w="4641" w:type="dxa"/>
          </w:tcPr>
          <w:p w:rsidR="004E5913" w:rsidRPr="00990D3B" w:rsidP="00E74260" w14:paraId="2C0EA3C1" w14:textId="2A97D831">
            <w:pPr>
              <w:pStyle w:val="TableHeaderLeft"/>
            </w:pPr>
            <w:r w:rsidRPr="00990D3B">
              <w:t xml:space="preserve">Worksheet </w:t>
            </w:r>
            <w:r w:rsidRPr="00990D3B" w:rsidR="00E85662">
              <w:t>N</w:t>
            </w:r>
            <w:r w:rsidRPr="00990D3B">
              <w:t>ame</w:t>
            </w:r>
          </w:p>
        </w:tc>
        <w:tc>
          <w:tcPr>
            <w:tcW w:w="4709" w:type="dxa"/>
          </w:tcPr>
          <w:p w:rsidR="004E5913" w:rsidRPr="00990D3B" w:rsidP="00E74260" w14:paraId="48ACFF46" w14:textId="2066F8CF">
            <w:pPr>
              <w:pStyle w:val="TableHeaderCenter"/>
            </w:pPr>
            <w:r w:rsidRPr="00990D3B">
              <w:t xml:space="preserve">Protocol </w:t>
            </w:r>
            <w:r w:rsidRPr="00990D3B" w:rsidR="00E85662">
              <w:t>A</w:t>
            </w:r>
            <w:r w:rsidRPr="00990D3B">
              <w:t xml:space="preserve">ctivity and </w:t>
            </w:r>
            <w:r w:rsidRPr="00990D3B" w:rsidR="00E85662">
              <w:t>S</w:t>
            </w:r>
            <w:r w:rsidRPr="00990D3B">
              <w:t>tep</w:t>
            </w:r>
          </w:p>
        </w:tc>
      </w:tr>
      <w:tr w14:paraId="6A46D476" w14:textId="77777777" w:rsidTr="00BD1FC3">
        <w:tblPrEx>
          <w:tblW w:w="5000" w:type="pct"/>
          <w:tblLook w:val="04A0"/>
        </w:tblPrEx>
        <w:trPr>
          <w:cantSplit/>
        </w:trPr>
        <w:tc>
          <w:tcPr>
            <w:tcW w:w="4641" w:type="dxa"/>
          </w:tcPr>
          <w:p w:rsidR="004E5913" w:rsidRPr="00990D3B" w:rsidP="00BD1FC3" w14:paraId="74FA1F0F" w14:textId="01112CE5">
            <w:pPr>
              <w:pStyle w:val="EQRTableText"/>
            </w:pPr>
            <w:hyperlink w:anchor="WSp3n01" w:tooltip="Worksheet 3.1. Compliance Review" w:history="1">
              <w:r w:rsidRPr="00990D3B">
                <w:rPr>
                  <w:rStyle w:val="Hyperlink"/>
                </w:rPr>
                <w:t>Worksheet 3.1. Compliance Review</w:t>
              </w:r>
            </w:hyperlink>
          </w:p>
        </w:tc>
        <w:tc>
          <w:tcPr>
            <w:tcW w:w="4709" w:type="dxa"/>
          </w:tcPr>
          <w:p w:rsidR="004E5913" w:rsidRPr="00990D3B" w:rsidP="00BD1FC3" w14:paraId="3A8682A7" w14:textId="07F5FD5A">
            <w:pPr>
              <w:pStyle w:val="EQRTableText"/>
            </w:pPr>
            <w:hyperlink w:anchor="P3Act1Step1" w:tooltip="Activity 1. Step 1. Collect Information from the State" w:history="1">
              <w:r w:rsidRPr="00990D3B">
                <w:rPr>
                  <w:rStyle w:val="Hyperlink"/>
                </w:rPr>
                <w:t>Activity 1. Step 1. Collect Information from the State</w:t>
              </w:r>
            </w:hyperlink>
          </w:p>
          <w:p w:rsidR="004E5913" w:rsidRPr="00990D3B" w:rsidP="00BD1FC3" w14:paraId="554F126A" w14:textId="094A6737">
            <w:pPr>
              <w:pStyle w:val="EQRTableText"/>
            </w:pPr>
            <w:hyperlink w:anchor="P3Act2Step2" w:tooltip="Activity 2. Step 2. Perform a Document Review" w:history="1">
              <w:r w:rsidRPr="00990D3B">
                <w:rPr>
                  <w:rStyle w:val="Hyperlink"/>
                </w:rPr>
                <w:t>Activity 2. Step 2. Perform a Document Review</w:t>
              </w:r>
            </w:hyperlink>
            <w:r w:rsidRPr="00990D3B">
              <w:t xml:space="preserve"> </w:t>
            </w:r>
          </w:p>
          <w:p w:rsidR="004E5913" w:rsidRPr="00990D3B" w:rsidP="00BD1FC3" w14:paraId="55824CDD" w14:textId="7A6409AE">
            <w:pPr>
              <w:pStyle w:val="EQRTableText"/>
            </w:pPr>
            <w:hyperlink w:anchor="P3Act3Step5" w:tooltip="Activity 3. Step 5. Conduct MCP Interviews" w:history="1">
              <w:r w:rsidRPr="00990D3B">
                <w:rPr>
                  <w:rStyle w:val="Hyperlink"/>
                </w:rPr>
                <w:t>Activity 3. Step 5. Conduct MCP Interviews</w:t>
              </w:r>
            </w:hyperlink>
          </w:p>
          <w:p w:rsidR="004E5913" w:rsidRPr="00990D3B" w:rsidP="00BD1FC3" w14:paraId="02CBAAC2" w14:textId="270B055C">
            <w:pPr>
              <w:pStyle w:val="EQRTableText"/>
            </w:pPr>
            <w:hyperlink w:anchor="P3Act4Step2" w:tooltip="Activity 4. Step 2. Compile Data and Information" w:history="1">
              <w:r w:rsidRPr="00990D3B">
                <w:rPr>
                  <w:rStyle w:val="Hyperlink"/>
                </w:rPr>
                <w:t>Activity 4. Step 2. Compile Data and Information</w:t>
              </w:r>
            </w:hyperlink>
            <w:r w:rsidRPr="00990D3B">
              <w:t xml:space="preserve"> </w:t>
            </w:r>
          </w:p>
          <w:p w:rsidR="004E5913" w:rsidRPr="00990D3B" w:rsidP="00BD1FC3" w14:paraId="5A627A3D" w14:textId="267D3A1E">
            <w:pPr>
              <w:pStyle w:val="EQRTableText"/>
            </w:pPr>
            <w:hyperlink w:anchor="P3Act4Step3" w:tooltip="Activity 4. Step 3. Analyze Findings" w:history="1">
              <w:r w:rsidRPr="00990D3B">
                <w:rPr>
                  <w:rStyle w:val="Hyperlink"/>
                </w:rPr>
                <w:t>Activity 4. Step 3. Analyze Findings</w:t>
              </w:r>
            </w:hyperlink>
          </w:p>
          <w:p w:rsidR="004E5913" w:rsidRPr="00990D3B" w:rsidP="00BD1FC3" w14:paraId="0EF864FC" w14:textId="6A60EAD5">
            <w:pPr>
              <w:pStyle w:val="EQRTableText"/>
            </w:pPr>
            <w:hyperlink w:anchor="P3Act5Step2" w:tooltip="Activity 5. Step 2. Submit a Final Determination Report" w:history="1">
              <w:r w:rsidRPr="00990D3B">
                <w:rPr>
                  <w:rStyle w:val="Hyperlink"/>
                </w:rPr>
                <w:t>Activity 5. Step 2. Submit a Final Determination Report</w:t>
              </w:r>
            </w:hyperlink>
          </w:p>
        </w:tc>
      </w:tr>
      <w:tr w14:paraId="16B97918" w14:textId="77777777" w:rsidTr="00BD1FC3">
        <w:tblPrEx>
          <w:tblW w:w="5000" w:type="pct"/>
          <w:tblLook w:val="04A0"/>
        </w:tblPrEx>
        <w:trPr>
          <w:cantSplit/>
        </w:trPr>
        <w:tc>
          <w:tcPr>
            <w:tcW w:w="4641" w:type="dxa"/>
          </w:tcPr>
          <w:p w:rsidR="004E5913" w:rsidRPr="00990D3B" w:rsidP="00BD1FC3" w14:paraId="3A51A68F" w14:textId="613884A4">
            <w:pPr>
              <w:pStyle w:val="EQRTableText"/>
            </w:pPr>
            <w:hyperlink w:anchor="WSp3n02" w:tooltip="Worksheet 3.2 Compliance Definitions" w:history="1">
              <w:r w:rsidRPr="00990D3B">
                <w:rPr>
                  <w:rStyle w:val="Hyperlink"/>
                </w:rPr>
                <w:t>Worksheet 3.2 Compliance Definitions</w:t>
              </w:r>
            </w:hyperlink>
          </w:p>
        </w:tc>
        <w:tc>
          <w:tcPr>
            <w:tcW w:w="4709" w:type="dxa"/>
          </w:tcPr>
          <w:p w:rsidR="004E5913" w:rsidRPr="00990D3B" w:rsidP="00BD1FC3" w14:paraId="696F80CE" w14:textId="7998D509">
            <w:pPr>
              <w:pStyle w:val="EQRTableText"/>
            </w:pPr>
            <w:hyperlink w:anchor="P3Act1Step2" w:tooltip="Activity 1. Step 2. Define Levels of Compliance" w:history="1">
              <w:r w:rsidRPr="00990D3B">
                <w:rPr>
                  <w:rStyle w:val="Hyperlink"/>
                </w:rPr>
                <w:t>Activity 1. Step 2. Define Levels of Compliance</w:t>
              </w:r>
            </w:hyperlink>
          </w:p>
          <w:p w:rsidR="004E5913" w:rsidRPr="00990D3B" w:rsidP="00BD1FC3" w14:paraId="75AD5C43" w14:textId="7512B681">
            <w:pPr>
              <w:pStyle w:val="EQRTableText"/>
            </w:pPr>
            <w:hyperlink w:anchor="P3Act4Step3" w:tooltip="Activity 4. Step 3. Analyze Findings" w:history="1">
              <w:r w:rsidRPr="00990D3B">
                <w:rPr>
                  <w:rStyle w:val="Hyperlink"/>
                </w:rPr>
                <w:t>Activity 4. Step 3. Analyze Findings</w:t>
              </w:r>
            </w:hyperlink>
          </w:p>
        </w:tc>
      </w:tr>
      <w:tr w14:paraId="4363351A" w14:textId="77777777" w:rsidTr="00BD1FC3">
        <w:tblPrEx>
          <w:tblW w:w="5000" w:type="pct"/>
          <w:tblLook w:val="04A0"/>
        </w:tblPrEx>
        <w:trPr>
          <w:cantSplit/>
        </w:trPr>
        <w:tc>
          <w:tcPr>
            <w:tcW w:w="4641" w:type="dxa"/>
          </w:tcPr>
          <w:p w:rsidR="004E5913" w:rsidRPr="00990D3B" w:rsidP="00BD1FC3" w14:paraId="64673FD8" w14:textId="19CCD946">
            <w:pPr>
              <w:pStyle w:val="EQRTableText"/>
            </w:pPr>
            <w:hyperlink w:anchor="WSp3n03" w:tooltip="Worksheet 3.3. Sample Site Visit Agenda" w:history="1">
              <w:r w:rsidRPr="00990D3B">
                <w:rPr>
                  <w:rStyle w:val="Hyperlink"/>
                </w:rPr>
                <w:t>Worksheet 3.3. Sample Site Visit Agenda</w:t>
              </w:r>
            </w:hyperlink>
          </w:p>
        </w:tc>
        <w:tc>
          <w:tcPr>
            <w:tcW w:w="4709" w:type="dxa"/>
          </w:tcPr>
          <w:p w:rsidR="004E5913" w:rsidRPr="00990D3B" w:rsidP="00BD1FC3" w14:paraId="68092F29" w14:textId="07A7B65C">
            <w:pPr>
              <w:pStyle w:val="EQRTableText"/>
            </w:pPr>
            <w:hyperlink w:anchor="P3Act3Step3" w:tooltip="Activity 3. Step 3. Develop a Site Visit Agenda" w:history="1">
              <w:r w:rsidRPr="00990D3B">
                <w:rPr>
                  <w:rStyle w:val="Hyperlink"/>
                </w:rPr>
                <w:t>Activity 3. Step 3. Develop a Site Visit Agenda</w:t>
              </w:r>
            </w:hyperlink>
          </w:p>
        </w:tc>
      </w:tr>
      <w:tr w14:paraId="0F9F53FB" w14:textId="77777777" w:rsidTr="00BD1FC3">
        <w:tblPrEx>
          <w:tblW w:w="5000" w:type="pct"/>
          <w:tblLook w:val="04A0"/>
        </w:tblPrEx>
        <w:trPr>
          <w:cantSplit/>
        </w:trPr>
        <w:tc>
          <w:tcPr>
            <w:tcW w:w="4641" w:type="dxa"/>
          </w:tcPr>
          <w:p w:rsidR="004E5913" w:rsidRPr="00990D3B" w:rsidP="00BD1FC3" w14:paraId="4FF8EDED" w14:textId="53E13EA6">
            <w:pPr>
              <w:pStyle w:val="EQRTableText"/>
            </w:pPr>
            <w:hyperlink w:anchor="WSp3n04" w:tooltip="Worksheet 3.4. Compliance Review Interview Questions" w:history="1">
              <w:r w:rsidRPr="00990D3B">
                <w:rPr>
                  <w:rStyle w:val="Hyperlink"/>
                </w:rPr>
                <w:t>Worksheet 3.4. Compliance Review Interview Questions</w:t>
              </w:r>
            </w:hyperlink>
          </w:p>
        </w:tc>
        <w:tc>
          <w:tcPr>
            <w:tcW w:w="4709" w:type="dxa"/>
          </w:tcPr>
          <w:p w:rsidR="004E5913" w:rsidRPr="00990D3B" w:rsidP="00BD1FC3" w14:paraId="1BCC81E1" w14:textId="3012CDD7">
            <w:pPr>
              <w:pStyle w:val="EQRTableText"/>
            </w:pPr>
            <w:hyperlink w:anchor="P3Act3Step5" w:tooltip="Activity 3. Step 5. Conduct MCP Interviews" w:history="1">
              <w:r w:rsidRPr="00990D3B">
                <w:rPr>
                  <w:rStyle w:val="Hyperlink"/>
                </w:rPr>
                <w:t>Activity 3. Step 5. Conduct MCP Interviews</w:t>
              </w:r>
            </w:hyperlink>
          </w:p>
        </w:tc>
      </w:tr>
      <w:tr w14:paraId="3FAC75D6" w14:textId="77777777" w:rsidTr="00BD1FC3">
        <w:tblPrEx>
          <w:tblW w:w="5000" w:type="pct"/>
          <w:tblLook w:val="04A0"/>
        </w:tblPrEx>
        <w:trPr>
          <w:cantSplit/>
        </w:trPr>
        <w:tc>
          <w:tcPr>
            <w:tcW w:w="4641" w:type="dxa"/>
          </w:tcPr>
          <w:p w:rsidR="007E5FF8" w:rsidRPr="00990D3B" w:rsidP="00BD1FC3" w14:paraId="01682DC1" w14:textId="656BB0F6">
            <w:pPr>
              <w:pStyle w:val="EQRTableText"/>
            </w:pPr>
            <w:hyperlink w:anchor="WSp3n05" w:tooltip="Worksheet 3.5. Timeline and Crosswalk of State and Federal Standards Reviewed" w:history="1">
              <w:r w:rsidRPr="00990D3B">
                <w:rPr>
                  <w:rStyle w:val="Hyperlink"/>
                </w:rPr>
                <w:t xml:space="preserve">Worksheet 3.5. </w:t>
              </w:r>
              <w:r w:rsidRPr="00990D3B" w:rsidR="00C90147">
                <w:rPr>
                  <w:rStyle w:val="Hyperlink"/>
                </w:rPr>
                <w:t>Tim</w:t>
              </w:r>
              <w:r w:rsidRPr="00990D3B" w:rsidR="006A24CE">
                <w:rPr>
                  <w:rStyle w:val="Hyperlink"/>
                </w:rPr>
                <w:t>e</w:t>
              </w:r>
              <w:r w:rsidRPr="00990D3B" w:rsidR="00C90147">
                <w:rPr>
                  <w:rStyle w:val="Hyperlink"/>
                </w:rPr>
                <w:t>line and Crosswalk of State and Federal Standards Reviewed</w:t>
              </w:r>
            </w:hyperlink>
          </w:p>
        </w:tc>
        <w:tc>
          <w:tcPr>
            <w:tcW w:w="4709" w:type="dxa"/>
          </w:tcPr>
          <w:p w:rsidR="007E5FF8" w:rsidRPr="00990D3B" w:rsidP="00BD1FC3" w14:paraId="14B00495" w14:textId="08074146">
            <w:pPr>
              <w:pStyle w:val="EQRTableText"/>
            </w:pPr>
            <w:hyperlink w:anchor="P3Act5Step2" w:tooltip="Activity 5. Step 2. Submit a Final Determination Report to the State" w:history="1">
              <w:r w:rsidRPr="00990D3B">
                <w:rPr>
                  <w:rStyle w:val="Hyperlink"/>
                </w:rPr>
                <w:t xml:space="preserve">Activity 5. Step </w:t>
              </w:r>
              <w:r w:rsidRPr="00990D3B" w:rsidR="00092420">
                <w:rPr>
                  <w:rStyle w:val="Hyperlink"/>
                </w:rPr>
                <w:t>2</w:t>
              </w:r>
              <w:r w:rsidRPr="00990D3B">
                <w:rPr>
                  <w:rStyle w:val="Hyperlink"/>
                </w:rPr>
                <w:t xml:space="preserve">. </w:t>
              </w:r>
              <w:r w:rsidRPr="00990D3B" w:rsidR="00092420">
                <w:rPr>
                  <w:rStyle w:val="Hyperlink"/>
                </w:rPr>
                <w:t>Submit a Final Determination Report to the State</w:t>
              </w:r>
            </w:hyperlink>
          </w:p>
        </w:tc>
      </w:tr>
      <w:tr w14:paraId="58C51584" w14:textId="77777777" w:rsidTr="00BD1FC3">
        <w:tblPrEx>
          <w:tblW w:w="5000" w:type="pct"/>
          <w:tblLook w:val="04A0"/>
        </w:tblPrEx>
        <w:trPr>
          <w:cantSplit/>
        </w:trPr>
        <w:tc>
          <w:tcPr>
            <w:tcW w:w="4641" w:type="dxa"/>
          </w:tcPr>
          <w:p w:rsidR="00C90147" w:rsidRPr="00990D3B" w:rsidP="00BD1FC3" w14:paraId="2A0843F2" w14:textId="6320F9BC">
            <w:pPr>
              <w:pStyle w:val="EQRTableText"/>
              <w:rPr>
                <w:color w:val="1CA8B7"/>
              </w:rPr>
            </w:pPr>
            <w:hyperlink w:anchor="WSp3n06" w:tooltip="Worksheet 3.6. Compliance Review Findings Reporting Template" w:history="1">
              <w:r w:rsidRPr="00990D3B">
                <w:rPr>
                  <w:rStyle w:val="Hyperlink"/>
                </w:rPr>
                <w:t>Worksheet 3.6. Compliance Review Findings Reporting Template</w:t>
              </w:r>
            </w:hyperlink>
            <w:r w:rsidRPr="00990D3B">
              <w:rPr>
                <w:color w:val="1CA8B7"/>
              </w:rPr>
              <w:t xml:space="preserve"> </w:t>
            </w:r>
          </w:p>
        </w:tc>
        <w:tc>
          <w:tcPr>
            <w:tcW w:w="4709" w:type="dxa"/>
          </w:tcPr>
          <w:p w:rsidR="00C90147" w:rsidRPr="00990D3B" w:rsidP="00BD1FC3" w14:paraId="1A2356C9" w14:textId="4151EFF3">
            <w:pPr>
              <w:pStyle w:val="EQRTableText"/>
            </w:pPr>
            <w:hyperlink w:anchor="P3Act5Step2" w:tooltip="Activity 5. Step 2. Submit a Final Determination Report to the State" w:history="1">
              <w:r w:rsidRPr="00990D3B">
                <w:rPr>
                  <w:rStyle w:val="Hyperlink"/>
                </w:rPr>
                <w:t>Activity 5. Step 2. Submit a Final Determination Report to the State</w:t>
              </w:r>
            </w:hyperlink>
          </w:p>
        </w:tc>
      </w:tr>
    </w:tbl>
    <w:p w:rsidR="004E5913" w:rsidRPr="00990D3B" w:rsidP="00BD1FC3" w14:paraId="6E658358" w14:textId="77777777">
      <w:pPr>
        <w:pStyle w:val="EQRNormalSSWORKSHEET"/>
      </w:pPr>
    </w:p>
    <w:p w:rsidR="004E5913" w:rsidRPr="00990D3B" w:rsidP="00910E08" w14:paraId="33D6CCA9" w14:textId="3A93D4BF">
      <w:pPr>
        <w:pStyle w:val="EQRMarkforExhibitWORKSHEET"/>
      </w:pPr>
      <w:r w:rsidRPr="00990D3B">
        <w:br w:type="page"/>
      </w:r>
      <w:bookmarkStart w:id="409" w:name="WSp3n01"/>
      <w:bookmarkStart w:id="410" w:name="_Toc125619159"/>
      <w:bookmarkStart w:id="411" w:name="_Toc201751513"/>
      <w:r w:rsidRPr="00990D3B">
        <w:t>Worksheet 3.1</w:t>
      </w:r>
      <w:bookmarkEnd w:id="409"/>
      <w:r w:rsidRPr="00990D3B">
        <w:t>. Compliance Review</w:t>
      </w:r>
      <w:bookmarkEnd w:id="410"/>
      <w:bookmarkEnd w:id="411"/>
    </w:p>
    <w:p w:rsidR="004E5913" w:rsidRPr="00990D3B" w:rsidP="00BD1FC3" w14:paraId="52763946" w14:textId="158EDD3B">
      <w:pPr>
        <w:pStyle w:val="EQRNormalSSWORKSHEET"/>
      </w:pPr>
      <w:r w:rsidRPr="00990D3B">
        <w:rPr>
          <w:b/>
        </w:rPr>
        <w:t>Instructions.</w:t>
      </w:r>
      <w:r w:rsidRPr="00990D3B">
        <w:t xml:space="preserve"> </w:t>
      </w:r>
      <w:r w:rsidRPr="00990D3B" w:rsidR="00002D7F">
        <w:t>This worksheet i</w:t>
      </w:r>
      <w:r w:rsidRPr="00990D3B">
        <w:t>ncludes a list of the types of documents the MCP may provide to demonstrate the MCP’s compliance with federal regulations and state standards. It separates the regulatory provisions into three major sections:</w:t>
      </w:r>
    </w:p>
    <w:p w:rsidR="004E5913" w:rsidRPr="00990D3B" w:rsidP="002D35CF" w14:paraId="1C801005" w14:textId="77777777">
      <w:pPr>
        <w:pStyle w:val="EQRNormalSSWSquestionNUMBER"/>
        <w:numPr>
          <w:ilvl w:val="0"/>
          <w:numId w:val="62"/>
        </w:numPr>
        <w:ind w:left="288" w:hanging="288"/>
      </w:pPr>
      <w:r w:rsidRPr="00990D3B">
        <w:t>Standards, including enrollee rights and protections</w:t>
      </w:r>
    </w:p>
    <w:p w:rsidR="004E5913" w:rsidRPr="00990D3B" w:rsidP="00236A06" w14:paraId="77F33E45" w14:textId="77777777">
      <w:pPr>
        <w:pStyle w:val="EQRNormalSSWSquestionNUMBER"/>
        <w:ind w:left="288" w:hanging="288"/>
      </w:pPr>
      <w:r w:rsidRPr="00990D3B">
        <w:t xml:space="preserve">Quality assessment and performance improvement (QAPI) program </w:t>
      </w:r>
    </w:p>
    <w:p w:rsidR="004E5913" w:rsidRPr="00990D3B" w:rsidP="00236A06" w14:paraId="49A8CE95" w14:textId="77777777">
      <w:pPr>
        <w:pStyle w:val="EQRNormalSSWSquestionNUMBER"/>
        <w:spacing w:after="240"/>
        <w:ind w:left="288" w:hanging="288"/>
      </w:pPr>
      <w:r w:rsidRPr="00990D3B">
        <w:t>Grievance system</w:t>
      </w:r>
    </w:p>
    <w:p w:rsidR="004E5913" w:rsidRPr="00990D3B" w:rsidP="00E74260" w14:paraId="6C0A0B29" w14:textId="5FAA3579">
      <w:pPr>
        <w:pStyle w:val="EQRNormalSSWORKSHEET"/>
      </w:pPr>
      <w:r w:rsidRPr="00990D3B">
        <w:t xml:space="preserve">This template may be used to track which MCP documents can provide the rationale for the compliance determination for each regulatory provision (or component). </w:t>
      </w:r>
      <w:r w:rsidRPr="00990D3B" w:rsidR="00002D7F">
        <w:t>It</w:t>
      </w:r>
      <w:r w:rsidRPr="00990D3B">
        <w:t xml:space="preserve"> is intended to record compliance activities to support the analyses. </w:t>
      </w:r>
    </w:p>
    <w:p w:rsidR="004E5913" w:rsidRPr="00990D3B" w:rsidP="00E74260" w14:paraId="585B0659" w14:textId="77777777">
      <w:pPr>
        <w:pStyle w:val="EQRNormalSSWORKSHEET"/>
      </w:pPr>
      <w:r w:rsidRPr="00990D3B">
        <w:t xml:space="preserve">Note: In the template, MCP documents are identified using generic names, except in instances where the regulatory provisions refer to and require a specific document </w:t>
      </w:r>
      <w:r w:rsidRPr="00990D3B">
        <w:t>be</w:t>
      </w:r>
      <w:r w:rsidRPr="00990D3B">
        <w:t xml:space="preserve"> present and reviewed for content.</w:t>
      </w:r>
    </w:p>
    <w:p w:rsidR="004E5913" w:rsidRPr="00990D3B" w:rsidP="00E74260" w14:paraId="370F783F" w14:textId="77777777">
      <w:pPr>
        <w:pStyle w:val="EQRNormalSSWORKSHEET"/>
      </w:pPr>
      <w:r w:rsidRPr="00990D3B">
        <w:t>The subject matter of each example MCP document is indicated in parenthesis as follows:</w:t>
      </w:r>
    </w:p>
    <w:p w:rsidR="004E5913" w:rsidRPr="00990D3B" w:rsidP="00E74260" w14:paraId="6784E2A6" w14:textId="77777777">
      <w:pPr>
        <w:pStyle w:val="EQRNormalSSWORKSHEET"/>
      </w:pPr>
      <w:r w:rsidRPr="00990D3B">
        <w:t>AM = Administrative/ Managerial</w:t>
      </w:r>
      <w:r w:rsidRPr="00990D3B">
        <w:tab/>
      </w:r>
    </w:p>
    <w:p w:rsidR="004E5913" w:rsidRPr="00990D3B" w:rsidP="00E74260" w14:paraId="6FF7EB5E" w14:textId="77777777">
      <w:pPr>
        <w:pStyle w:val="EQRNormalSSWORKSHEET"/>
      </w:pPr>
      <w:r w:rsidRPr="00990D3B">
        <w:t>PS = Provider/Contractor Services</w:t>
      </w:r>
    </w:p>
    <w:p w:rsidR="004E5913" w:rsidRPr="00990D3B" w:rsidP="00E74260" w14:paraId="150D7906" w14:textId="77777777">
      <w:pPr>
        <w:pStyle w:val="EQRNormalSSWORKSHEET"/>
      </w:pPr>
      <w:r w:rsidRPr="00990D3B">
        <w:t xml:space="preserve">UM = Utilization Management </w:t>
      </w:r>
    </w:p>
    <w:p w:rsidR="004E5913" w:rsidRPr="00990D3B" w:rsidP="00E74260" w14:paraId="40E8A908" w14:textId="77777777">
      <w:pPr>
        <w:pStyle w:val="EQRNormalSSWORKSHEET"/>
      </w:pPr>
      <w:r w:rsidRPr="00990D3B">
        <w:t xml:space="preserve">ES = Enrollee Services </w:t>
      </w:r>
    </w:p>
    <w:p w:rsidR="004E5913" w:rsidRPr="00990D3B" w:rsidP="00E74260" w14:paraId="38A9672E" w14:textId="77777777">
      <w:pPr>
        <w:pStyle w:val="EQRNormalSSWORKSHEET"/>
      </w:pPr>
      <w:r w:rsidRPr="00990D3B">
        <w:t xml:space="preserve">IS = Information Systems </w:t>
      </w:r>
    </w:p>
    <w:p w:rsidR="004E5913" w:rsidRPr="00990D3B" w:rsidP="00E74260" w14:paraId="55E8304B" w14:textId="77777777">
      <w:pPr>
        <w:pStyle w:val="EQRNormalSSWORKSHEET"/>
      </w:pPr>
      <w:r w:rsidRPr="00990D3B">
        <w:t xml:space="preserve">SP = Staff Planning, Education, Development and Evaluation </w:t>
      </w:r>
    </w:p>
    <w:p w:rsidR="004E5913" w:rsidRPr="00990D3B" w:rsidP="00E74260" w14:paraId="47918C41" w14:textId="77777777">
      <w:pPr>
        <w:pStyle w:val="EQRNormalSSWORKSHEET"/>
      </w:pPr>
      <w:r w:rsidRPr="00990D3B">
        <w:t>The subject matter designation does not imply that the document cannot be used as a data source for addressing other provision issues, or that it should be the sole source of data in evaluating compliance with the provisions noted.</w:t>
      </w:r>
    </w:p>
    <w:p w:rsidR="007719A7" w:rsidRPr="00990D3B" w:rsidP="00BD1FC3" w14:paraId="65431AD1" w14:textId="6AEED4E4">
      <w:pPr>
        <w:pStyle w:val="EQRNormalSSWORKSHEET"/>
      </w:pPr>
      <w:r w:rsidRPr="00990D3B">
        <w:t xml:space="preserve">Refer to </w:t>
      </w:r>
      <w:hyperlink w:anchor="WSp3n02" w:tooltip="Worksheet 3.2" w:history="1">
        <w:r w:rsidRPr="00990D3B">
          <w:rPr>
            <w:rStyle w:val="Hyperlink"/>
          </w:rPr>
          <w:t>Worksheet 3.2</w:t>
        </w:r>
      </w:hyperlink>
      <w:r w:rsidRPr="00990D3B" w:rsidR="00F8039C">
        <w:t xml:space="preserve"> </w:t>
      </w:r>
      <w:r w:rsidRPr="00990D3B">
        <w:t xml:space="preserve">for more information on approaches to compliance scoring. </w:t>
      </w:r>
    </w:p>
    <w:p w:rsidR="00763D3B" w:rsidP="00E74260" w14:paraId="237CA574" w14:textId="77777777">
      <w:pPr>
        <w:pStyle w:val="EQRNormalSSWORKSHEET"/>
      </w:pPr>
      <w:r w:rsidRPr="00990D3B">
        <w:t xml:space="preserve">Acronyms: </w:t>
      </w:r>
      <w:r w:rsidRPr="00990D3B" w:rsidR="00253A2D">
        <w:t xml:space="preserve">ASC X12N = Accredited Standards Committee X12 Insurance; </w:t>
      </w:r>
      <w:r w:rsidRPr="00990D3B">
        <w:t>CHIP = Children’s Health Insurance Program; EQR = External Quality Review; EQRO = External Quality Review Organization; IPA = Independent Practice Association; LTSS = Long-Term Services and Supports; MCO = Managed Care Organization; MCP</w:t>
      </w:r>
      <w:r w:rsidRPr="00990D3B" w:rsidR="00253A2D">
        <w:t xml:space="preserve"> </w:t>
      </w:r>
      <w:r w:rsidRPr="00990D3B">
        <w:t xml:space="preserve">= Managed Care Plan; </w:t>
      </w:r>
      <w:r w:rsidRPr="00990D3B" w:rsidR="00253A2D">
        <w:t xml:space="preserve">NCPDP=National Council for Prescription Drug Programs; </w:t>
      </w:r>
      <w:r w:rsidRPr="00990D3B">
        <w:t>PAHP= Prepaid Ambulatory Health Plan; PIHP = Prepaid Inpatient Health Plan; PIP = Performance Improvement Project</w:t>
      </w:r>
      <w:r w:rsidRPr="00990D3B" w:rsidR="00DD6CD2">
        <w:t>; SHCN: Special Health Care</w:t>
      </w:r>
      <w:r w:rsidRPr="00990D3B" w:rsidR="000350CC">
        <w:t> </w:t>
      </w:r>
      <w:r w:rsidRPr="00990D3B" w:rsidR="00DD6CD2">
        <w:t>Needs</w:t>
      </w:r>
    </w:p>
    <w:p w:rsidR="00A3358C" w:rsidRPr="00990D3B" w:rsidP="00E74260" w14:paraId="1E8341C3" w14:textId="56ADE53A">
      <w:pPr>
        <w:pStyle w:val="EQRNormalSSWORKSHEET"/>
        <w:sectPr w:rsidSect="00020896">
          <w:headerReference w:type="default" r:id="rId137"/>
          <w:footerReference w:type="even" r:id="rId138"/>
          <w:footerReference w:type="default" r:id="rId139"/>
          <w:headerReference w:type="first" r:id="rId140"/>
          <w:footerReference w:type="first" r:id="rId141"/>
          <w:pgSz w:w="12240" w:h="15840" w:code="1"/>
          <w:pgMar w:top="1440" w:right="1440" w:bottom="1440" w:left="1440" w:header="720" w:footer="720" w:gutter="0"/>
          <w:cols w:space="720"/>
          <w:docGrid w:linePitch="360"/>
        </w:sectPr>
      </w:pPr>
    </w:p>
    <w:p w:rsidR="009F2EE6" w:rsidRPr="009F2EE6" w14:paraId="73485C3D" w14:textId="77777777">
      <w:pPr>
        <w:pStyle w:val="MarkforTableTitle"/>
        <w:spacing w:line="240" w:lineRule="auto"/>
        <w:rPr>
          <w:rFonts w:asciiTheme="minorHAnsi" w:hAnsiTheme="minorHAnsi"/>
          <w:noProof/>
          <w:color w:val="auto"/>
          <w:sz w:val="24"/>
          <w:vertAlign w:val="baseline"/>
        </w:rPr>
      </w:pPr>
      <w:r w:rsidRPr="009F2EE6">
        <w:rPr>
          <w:rFonts w:asciiTheme="minorHAnsi" w:hAnsiTheme="minorHAnsi"/>
          <w:noProof/>
          <w:color w:val="auto"/>
          <w:sz w:val="24"/>
          <w:vertAlign w:val="baseline"/>
        </w:rPr>
        <w:t>MCP Standards, Including Enrollee Rights and Protections</w:t>
      </w:r>
    </w:p>
    <w:p w:rsidR="004E5913" w:rsidRPr="009F2EE6" w:rsidP="00BD1FC3" w14:paraId="35BE7FBE" w14:textId="5CE848F4">
      <w:pPr>
        <w:pStyle w:val="Anchor"/>
        <w:rPr>
          <w:sz w:val="20"/>
        </w:rPr>
      </w:pPr>
    </w:p>
    <w:tbl>
      <w:tblPr>
        <w:tblStyle w:val="TableGrid"/>
        <w:tblW w:w="5000" w:type="pct"/>
        <w:tblLook w:val="04A0"/>
      </w:tblPr>
      <w:tblGrid>
        <w:gridCol w:w="3235"/>
        <w:gridCol w:w="3331"/>
        <w:gridCol w:w="3240"/>
        <w:gridCol w:w="3144"/>
      </w:tblGrid>
      <w:tr w14:paraId="37127739" w14:textId="77777777" w:rsidTr="006174D5">
        <w:tblPrEx>
          <w:tblW w:w="5000" w:type="pct"/>
          <w:tblLook w:val="04A0"/>
        </w:tblPrEx>
        <w:trPr>
          <w:cantSplit/>
          <w:tblHeader/>
        </w:trPr>
        <w:tc>
          <w:tcPr>
            <w:tcW w:w="1249" w:type="pct"/>
            <w:vAlign w:val="bottom"/>
          </w:tcPr>
          <w:p w:rsidR="004E5913" w:rsidRPr="00990D3B" w:rsidP="00BB2520" w14:paraId="68CE34EA" w14:textId="6D65883D">
            <w:pPr>
              <w:pStyle w:val="EQRTableHeaderLeft"/>
              <w:spacing w:before="0" w:line="240" w:lineRule="auto"/>
              <w:rPr>
                <w:b w:val="0"/>
                <w:bCs/>
                <w:color w:val="000000" w:themeColor="text1"/>
                <w:sz w:val="16"/>
                <w:szCs w:val="16"/>
              </w:rPr>
            </w:pPr>
            <w:r w:rsidRPr="00990D3B">
              <w:rPr>
                <w:bCs/>
                <w:color w:val="000000" w:themeColor="text1"/>
                <w:sz w:val="16"/>
                <w:szCs w:val="16"/>
              </w:rPr>
              <w:t xml:space="preserve">Federal </w:t>
            </w:r>
            <w:r w:rsidRPr="00990D3B" w:rsidR="00F8039C">
              <w:rPr>
                <w:bCs/>
                <w:color w:val="000000" w:themeColor="text1"/>
                <w:sz w:val="16"/>
                <w:szCs w:val="16"/>
              </w:rPr>
              <w:t>r</w:t>
            </w:r>
            <w:r w:rsidRPr="00990D3B">
              <w:rPr>
                <w:bCs/>
                <w:color w:val="000000" w:themeColor="text1"/>
                <w:sz w:val="16"/>
                <w:szCs w:val="16"/>
              </w:rPr>
              <w:t xml:space="preserve">egulation </w:t>
            </w:r>
            <w:r w:rsidRPr="00990D3B" w:rsidR="00F8039C">
              <w:rPr>
                <w:bCs/>
                <w:color w:val="000000" w:themeColor="text1"/>
                <w:sz w:val="16"/>
                <w:szCs w:val="16"/>
              </w:rPr>
              <w:t>s</w:t>
            </w:r>
            <w:r w:rsidRPr="00990D3B">
              <w:rPr>
                <w:bCs/>
                <w:color w:val="000000" w:themeColor="text1"/>
                <w:sz w:val="16"/>
                <w:szCs w:val="16"/>
              </w:rPr>
              <w:t>ource(s)</w:t>
            </w:r>
          </w:p>
        </w:tc>
        <w:tc>
          <w:tcPr>
            <w:tcW w:w="1286" w:type="pct"/>
            <w:vAlign w:val="bottom"/>
          </w:tcPr>
          <w:p w:rsidR="004E5913" w:rsidRPr="00990D3B" w:rsidP="00BB2520" w14:paraId="49D0E40D" w14:textId="72A39B7B">
            <w:pPr>
              <w:pStyle w:val="EQRTableHeaderCenter"/>
              <w:spacing w:before="0" w:line="240" w:lineRule="auto"/>
              <w:rPr>
                <w:b w:val="0"/>
                <w:bCs/>
                <w:color w:val="000000" w:themeColor="text1"/>
                <w:sz w:val="16"/>
                <w:szCs w:val="16"/>
              </w:rPr>
            </w:pPr>
            <w:r w:rsidRPr="00990D3B">
              <w:rPr>
                <w:bCs/>
                <w:color w:val="000000" w:themeColor="text1"/>
                <w:sz w:val="16"/>
                <w:szCs w:val="16"/>
              </w:rPr>
              <w:t>Medicaid and CHIP</w:t>
            </w:r>
            <w:r w:rsidRPr="00990D3B">
              <w:rPr>
                <w:bCs/>
                <w:color w:val="000000" w:themeColor="text1"/>
                <w:sz w:val="16"/>
                <w:szCs w:val="16"/>
              </w:rPr>
              <w:t xml:space="preserve"> </w:t>
            </w:r>
            <w:r w:rsidRPr="00990D3B" w:rsidR="00F8039C">
              <w:rPr>
                <w:bCs/>
                <w:color w:val="000000" w:themeColor="text1"/>
                <w:sz w:val="16"/>
                <w:szCs w:val="16"/>
              </w:rPr>
              <w:t>a</w:t>
            </w:r>
            <w:r w:rsidRPr="00990D3B">
              <w:rPr>
                <w:bCs/>
                <w:color w:val="000000" w:themeColor="text1"/>
                <w:sz w:val="16"/>
                <w:szCs w:val="16"/>
              </w:rPr>
              <w:t xml:space="preserve">gency </w:t>
            </w:r>
            <w:r w:rsidRPr="00990D3B" w:rsidR="00F8039C">
              <w:rPr>
                <w:bCs/>
                <w:color w:val="000000" w:themeColor="text1"/>
                <w:sz w:val="16"/>
                <w:szCs w:val="16"/>
              </w:rPr>
              <w:t>p</w:t>
            </w:r>
            <w:r w:rsidRPr="00990D3B">
              <w:rPr>
                <w:bCs/>
                <w:color w:val="000000" w:themeColor="text1"/>
                <w:sz w:val="16"/>
                <w:szCs w:val="16"/>
              </w:rPr>
              <w:t>olicy/</w:t>
            </w:r>
            <w:r w:rsidRPr="00990D3B" w:rsidR="00F8039C">
              <w:rPr>
                <w:bCs/>
                <w:color w:val="000000" w:themeColor="text1"/>
                <w:sz w:val="16"/>
                <w:szCs w:val="16"/>
              </w:rPr>
              <w:t>r</w:t>
            </w:r>
            <w:r w:rsidRPr="00990D3B">
              <w:rPr>
                <w:bCs/>
                <w:color w:val="000000" w:themeColor="text1"/>
                <w:sz w:val="16"/>
                <w:szCs w:val="16"/>
              </w:rPr>
              <w:t xml:space="preserve">egulation </w:t>
            </w:r>
            <w:r w:rsidRPr="00990D3B" w:rsidR="00F8039C">
              <w:rPr>
                <w:bCs/>
                <w:color w:val="000000" w:themeColor="text1"/>
                <w:sz w:val="16"/>
                <w:szCs w:val="16"/>
              </w:rPr>
              <w:t>i</w:t>
            </w:r>
            <w:r w:rsidRPr="00990D3B">
              <w:rPr>
                <w:bCs/>
                <w:color w:val="000000" w:themeColor="text1"/>
                <w:sz w:val="16"/>
                <w:szCs w:val="16"/>
              </w:rPr>
              <w:t xml:space="preserve">nformation </w:t>
            </w:r>
            <w:r w:rsidRPr="00990D3B" w:rsidR="00F8039C">
              <w:rPr>
                <w:bCs/>
                <w:color w:val="000000" w:themeColor="text1"/>
                <w:sz w:val="16"/>
                <w:szCs w:val="16"/>
              </w:rPr>
              <w:t>n</w:t>
            </w:r>
            <w:r w:rsidRPr="00990D3B">
              <w:rPr>
                <w:bCs/>
                <w:color w:val="000000" w:themeColor="text1"/>
                <w:sz w:val="16"/>
                <w:szCs w:val="16"/>
              </w:rPr>
              <w:t xml:space="preserve">eeded to </w:t>
            </w:r>
            <w:r w:rsidRPr="00990D3B" w:rsidR="00F8039C">
              <w:rPr>
                <w:bCs/>
                <w:color w:val="000000" w:themeColor="text1"/>
                <w:sz w:val="16"/>
                <w:szCs w:val="16"/>
              </w:rPr>
              <w:t>d</w:t>
            </w:r>
            <w:r w:rsidRPr="00990D3B">
              <w:rPr>
                <w:bCs/>
                <w:color w:val="000000" w:themeColor="text1"/>
                <w:sz w:val="16"/>
                <w:szCs w:val="16"/>
              </w:rPr>
              <w:t xml:space="preserve">etermine MCP </w:t>
            </w:r>
            <w:r w:rsidRPr="00990D3B" w:rsidR="00F8039C">
              <w:rPr>
                <w:bCs/>
                <w:color w:val="000000" w:themeColor="text1"/>
                <w:sz w:val="16"/>
                <w:szCs w:val="16"/>
              </w:rPr>
              <w:t>c</w:t>
            </w:r>
            <w:r w:rsidRPr="00990D3B">
              <w:rPr>
                <w:bCs/>
                <w:color w:val="000000" w:themeColor="text1"/>
                <w:sz w:val="16"/>
                <w:szCs w:val="16"/>
              </w:rPr>
              <w:t>ompliance</w:t>
            </w:r>
          </w:p>
        </w:tc>
        <w:tc>
          <w:tcPr>
            <w:tcW w:w="1251" w:type="pct"/>
            <w:vAlign w:val="bottom"/>
          </w:tcPr>
          <w:p w:rsidR="004E5913" w:rsidRPr="00990D3B" w:rsidP="00BB2520" w14:paraId="6DC9A7E7" w14:textId="0D23F845">
            <w:pPr>
              <w:pStyle w:val="EQRTableHeaderCenter"/>
              <w:spacing w:before="0" w:line="240" w:lineRule="auto"/>
              <w:rPr>
                <w:b w:val="0"/>
                <w:bCs/>
                <w:color w:val="000000" w:themeColor="text1"/>
                <w:sz w:val="16"/>
                <w:szCs w:val="16"/>
              </w:rPr>
            </w:pPr>
            <w:r w:rsidRPr="00990D3B">
              <w:rPr>
                <w:bCs/>
                <w:color w:val="000000" w:themeColor="text1"/>
                <w:sz w:val="16"/>
                <w:szCs w:val="16"/>
              </w:rPr>
              <w:t xml:space="preserve">Applicable MCP </w:t>
            </w:r>
            <w:r w:rsidRPr="00990D3B" w:rsidR="00F8039C">
              <w:rPr>
                <w:bCs/>
                <w:color w:val="000000" w:themeColor="text1"/>
                <w:sz w:val="16"/>
                <w:szCs w:val="16"/>
              </w:rPr>
              <w:t>d</w:t>
            </w:r>
            <w:r w:rsidRPr="00990D3B">
              <w:rPr>
                <w:bCs/>
                <w:color w:val="000000" w:themeColor="text1"/>
                <w:sz w:val="16"/>
                <w:szCs w:val="16"/>
              </w:rPr>
              <w:t>ocuments</w:t>
            </w:r>
          </w:p>
        </w:tc>
        <w:tc>
          <w:tcPr>
            <w:tcW w:w="1214" w:type="pct"/>
            <w:vAlign w:val="bottom"/>
          </w:tcPr>
          <w:p w:rsidR="004E5913" w:rsidRPr="00990D3B" w:rsidP="00BB2520" w14:paraId="6C3B394F" w14:textId="616B5B7C">
            <w:pPr>
              <w:pStyle w:val="EQRTableHeaderCenter"/>
              <w:spacing w:before="0" w:line="240" w:lineRule="auto"/>
              <w:rPr>
                <w:b w:val="0"/>
                <w:bCs/>
                <w:color w:val="000000" w:themeColor="text1"/>
                <w:sz w:val="16"/>
                <w:szCs w:val="16"/>
              </w:rPr>
            </w:pPr>
            <w:r w:rsidRPr="00990D3B">
              <w:rPr>
                <w:bCs/>
                <w:color w:val="000000" w:themeColor="text1"/>
                <w:sz w:val="16"/>
                <w:szCs w:val="16"/>
              </w:rPr>
              <w:t xml:space="preserve">Reviewer </w:t>
            </w:r>
            <w:r w:rsidRPr="00990D3B" w:rsidR="00F8039C">
              <w:rPr>
                <w:bCs/>
                <w:color w:val="000000" w:themeColor="text1"/>
                <w:sz w:val="16"/>
                <w:szCs w:val="16"/>
              </w:rPr>
              <w:t>d</w:t>
            </w:r>
            <w:r w:rsidRPr="00990D3B">
              <w:rPr>
                <w:bCs/>
                <w:color w:val="000000" w:themeColor="text1"/>
                <w:sz w:val="16"/>
                <w:szCs w:val="16"/>
              </w:rPr>
              <w:t>etermination</w:t>
            </w:r>
            <w:r w:rsidRPr="00990D3B" w:rsidR="00DB509D">
              <w:rPr>
                <w:bCs/>
                <w:color w:val="000000" w:themeColor="text1"/>
                <w:sz w:val="16"/>
                <w:szCs w:val="16"/>
              </w:rPr>
              <w:t xml:space="preserve"> </w:t>
            </w:r>
            <w:r w:rsidRPr="00990D3B" w:rsidR="00BB2520">
              <w:rPr>
                <w:bCs/>
                <w:color w:val="000000" w:themeColor="text1"/>
                <w:sz w:val="16"/>
                <w:szCs w:val="16"/>
              </w:rPr>
              <w:br/>
            </w:r>
            <w:r w:rsidRPr="00990D3B" w:rsidR="00DB509D">
              <w:rPr>
                <w:bCs/>
                <w:color w:val="000000" w:themeColor="text1"/>
                <w:sz w:val="16"/>
                <w:szCs w:val="16"/>
              </w:rPr>
              <w:t>(See</w:t>
            </w:r>
            <w:r w:rsidRPr="00C55F06" w:rsidR="00DB509D">
              <w:rPr>
                <w:color w:val="auto"/>
                <w:sz w:val="16"/>
                <w:szCs w:val="16"/>
              </w:rPr>
              <w:t xml:space="preserve"> </w:t>
            </w:r>
            <w:hyperlink w:anchor="WSp3n02" w:tooltip="Worksheet 3.2" w:history="1">
              <w:r w:rsidRPr="00990D3B" w:rsidR="00DB509D">
                <w:rPr>
                  <w:rStyle w:val="Hyperlink"/>
                  <w:bCs/>
                  <w:sz w:val="16"/>
                  <w:szCs w:val="16"/>
                </w:rPr>
                <w:t>Worksheet 3.2</w:t>
              </w:r>
            </w:hyperlink>
            <w:r w:rsidRPr="00C55F06" w:rsidR="00DB509D">
              <w:rPr>
                <w:color w:val="auto"/>
                <w:sz w:val="16"/>
                <w:szCs w:val="16"/>
              </w:rPr>
              <w:t xml:space="preserve"> </w:t>
            </w:r>
            <w:r w:rsidRPr="00990D3B" w:rsidR="00DB509D">
              <w:rPr>
                <w:bCs/>
                <w:color w:val="000000" w:themeColor="text1"/>
                <w:sz w:val="16"/>
                <w:szCs w:val="16"/>
              </w:rPr>
              <w:t>for approaches to compliance scoring)</w:t>
            </w:r>
          </w:p>
        </w:tc>
      </w:tr>
      <w:tr w14:paraId="24D27105" w14:textId="77777777" w:rsidTr="006174D5">
        <w:tblPrEx>
          <w:tblW w:w="5000" w:type="pct"/>
          <w:tblLook w:val="04A0"/>
        </w:tblPrEx>
        <w:trPr>
          <w:cantSplit/>
        </w:trPr>
        <w:tc>
          <w:tcPr>
            <w:tcW w:w="1249" w:type="pct"/>
          </w:tcPr>
          <w:p w:rsidR="004E5913" w:rsidRPr="00990D3B" w:rsidP="00BB2520" w14:paraId="5A74925B" w14:textId="77777777">
            <w:pPr>
              <w:pStyle w:val="EQRTableText"/>
              <w:spacing w:line="240" w:lineRule="auto"/>
              <w:rPr>
                <w:b/>
                <w:color w:val="000000" w:themeColor="text1"/>
                <w:sz w:val="16"/>
                <w:szCs w:val="16"/>
              </w:rPr>
            </w:pPr>
            <w:r w:rsidRPr="00990D3B">
              <w:rPr>
                <w:b/>
                <w:color w:val="000000" w:themeColor="text1"/>
                <w:sz w:val="16"/>
                <w:szCs w:val="16"/>
              </w:rPr>
              <w:t>Availability of services</w:t>
            </w:r>
          </w:p>
          <w:p w:rsidR="004E5913" w:rsidRPr="00990D3B" w:rsidP="00BB2520" w14:paraId="451FA64B" w14:textId="7C979E02">
            <w:pPr>
              <w:pStyle w:val="EQRTableText"/>
              <w:spacing w:line="240" w:lineRule="auto"/>
              <w:rPr>
                <w:color w:val="000000" w:themeColor="text1"/>
                <w:sz w:val="16"/>
                <w:szCs w:val="16"/>
              </w:rPr>
            </w:pPr>
            <w:r w:rsidRPr="00990D3B">
              <w:rPr>
                <w:b/>
                <w:color w:val="000000" w:themeColor="text1"/>
                <w:sz w:val="16"/>
                <w:szCs w:val="16"/>
              </w:rPr>
              <w:t>Medicaid:</w:t>
            </w:r>
            <w:r w:rsidRPr="00990D3B">
              <w:rPr>
                <w:color w:val="000000" w:themeColor="text1"/>
                <w:sz w:val="16"/>
                <w:szCs w:val="16"/>
              </w:rPr>
              <w:t xml:space="preserve">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 xml:space="preserve">438.206 (availability of services) and </w:t>
            </w:r>
            <w:r w:rsidRPr="00990D3B" w:rsidR="001C7FC0">
              <w:rPr>
                <w:color w:val="000000" w:themeColor="text1"/>
                <w:sz w:val="16"/>
                <w:szCs w:val="16"/>
              </w:rPr>
              <w:t>42 C.F.R.</w:t>
            </w:r>
            <w:r w:rsidRPr="00990D3B">
              <w:rPr>
                <w:color w:val="000000" w:themeColor="text1"/>
                <w:sz w:val="16"/>
                <w:szCs w:val="16"/>
              </w:rPr>
              <w:t xml:space="preserve"> 10(h) provider directory)</w:t>
            </w:r>
          </w:p>
          <w:p w:rsidR="004E5913" w:rsidRPr="00990D3B" w:rsidP="00BB2520" w14:paraId="6A3B6109" w14:textId="5F959F4C">
            <w:pPr>
              <w:pStyle w:val="EQRTableText"/>
              <w:spacing w:line="240" w:lineRule="auto"/>
              <w:rPr>
                <w:color w:val="000000" w:themeColor="text1"/>
                <w:sz w:val="16"/>
                <w:szCs w:val="16"/>
              </w:rPr>
            </w:pPr>
            <w:r w:rsidRPr="00990D3B">
              <w:rPr>
                <w:b/>
                <w:color w:val="000000" w:themeColor="text1"/>
                <w:sz w:val="16"/>
                <w:szCs w:val="16"/>
              </w:rPr>
              <w:t>CHIP:</w:t>
            </w:r>
            <w:r w:rsidRPr="00990D3B">
              <w:rPr>
                <w:color w:val="000000" w:themeColor="text1"/>
                <w:sz w:val="16"/>
                <w:szCs w:val="16"/>
              </w:rPr>
              <w:t xml:space="preserve">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457.1230(a)</w:t>
            </w:r>
          </w:p>
        </w:tc>
        <w:tc>
          <w:tcPr>
            <w:tcW w:w="1286" w:type="pct"/>
          </w:tcPr>
          <w:p w:rsidR="004E5913" w:rsidRPr="00990D3B" w:rsidP="00BB2520" w14:paraId="030695A7" w14:textId="77777777">
            <w:pPr>
              <w:pStyle w:val="EQRTableTextbullet"/>
              <w:spacing w:line="240" w:lineRule="auto"/>
              <w:rPr>
                <w:sz w:val="16"/>
                <w:szCs w:val="16"/>
              </w:rPr>
            </w:pPr>
            <w:r w:rsidRPr="00990D3B">
              <w:rPr>
                <w:sz w:val="16"/>
                <w:szCs w:val="16"/>
              </w:rPr>
              <w:t>The state’s provider-specific network adequacy requirements and standards (and exceptions, if any)</w:t>
            </w:r>
          </w:p>
          <w:p w:rsidR="004E5913" w:rsidRPr="00990D3B" w:rsidP="00BB2520" w14:paraId="2EA7D30E" w14:textId="77777777">
            <w:pPr>
              <w:pStyle w:val="EQRTableTextbullet"/>
              <w:spacing w:line="240" w:lineRule="auto"/>
              <w:rPr>
                <w:sz w:val="16"/>
                <w:szCs w:val="16"/>
              </w:rPr>
            </w:pPr>
            <w:r w:rsidRPr="00990D3B">
              <w:rPr>
                <w:sz w:val="16"/>
                <w:szCs w:val="16"/>
              </w:rPr>
              <w:t>The state’s requirements for the MCP provider directory</w:t>
            </w:r>
          </w:p>
          <w:p w:rsidR="004E5913" w:rsidRPr="00990D3B" w:rsidP="00BB2520" w14:paraId="77587A14" w14:textId="77777777">
            <w:pPr>
              <w:pStyle w:val="EQRTableTextbullet"/>
              <w:spacing w:line="240" w:lineRule="auto"/>
              <w:rPr>
                <w:sz w:val="16"/>
                <w:szCs w:val="16"/>
              </w:rPr>
            </w:pPr>
            <w:r w:rsidRPr="00990D3B">
              <w:rPr>
                <w:sz w:val="16"/>
                <w:szCs w:val="16"/>
              </w:rPr>
              <w:t>Information on the documentation that the state uses to support its certification that the MCP complied with the state’s requirements for availability and accessibility of services, including the adequacy of the provider network</w:t>
            </w:r>
          </w:p>
        </w:tc>
        <w:tc>
          <w:tcPr>
            <w:tcW w:w="1251" w:type="pct"/>
          </w:tcPr>
          <w:p w:rsidR="004E5913" w:rsidRPr="00990D3B" w:rsidP="00BB2520" w14:paraId="185058BD" w14:textId="77777777">
            <w:pPr>
              <w:pStyle w:val="EQRTableTextbullet"/>
              <w:spacing w:line="240" w:lineRule="auto"/>
              <w:rPr>
                <w:sz w:val="16"/>
                <w:szCs w:val="16"/>
              </w:rPr>
            </w:pPr>
            <w:r w:rsidRPr="00990D3B">
              <w:rPr>
                <w:sz w:val="16"/>
                <w:szCs w:val="16"/>
              </w:rPr>
              <w:t xml:space="preserve">Service planning documents and provider network planning documents (e.g., geographic assessments, provider network assessments, enrollee demographic studies, population needs </w:t>
            </w:r>
            <w:r w:rsidRPr="00990D3B">
              <w:rPr>
                <w:sz w:val="16"/>
                <w:szCs w:val="16"/>
              </w:rPr>
              <w:t>assessments)(</w:t>
            </w:r>
            <w:r w:rsidRPr="00990D3B">
              <w:rPr>
                <w:sz w:val="16"/>
                <w:szCs w:val="16"/>
              </w:rPr>
              <w:t>AM)</w:t>
            </w:r>
          </w:p>
          <w:p w:rsidR="004E5913" w:rsidRPr="00990D3B" w:rsidP="00BB2520" w14:paraId="5D690DB8" w14:textId="77777777">
            <w:pPr>
              <w:pStyle w:val="EQRTableTextbullet"/>
              <w:spacing w:line="240" w:lineRule="auto"/>
              <w:rPr>
                <w:sz w:val="16"/>
                <w:szCs w:val="16"/>
              </w:rPr>
            </w:pPr>
            <w:r w:rsidRPr="00990D3B">
              <w:rPr>
                <w:sz w:val="16"/>
                <w:szCs w:val="16"/>
              </w:rPr>
              <w:t>Service availability and accessibility expectations and standards (AM)</w:t>
            </w:r>
          </w:p>
          <w:p w:rsidR="004E5913" w:rsidRPr="00990D3B" w:rsidP="00BB2520" w14:paraId="22403B7D" w14:textId="77777777">
            <w:pPr>
              <w:pStyle w:val="EQRTableTextbullet"/>
              <w:spacing w:line="240" w:lineRule="auto"/>
              <w:rPr>
                <w:sz w:val="16"/>
                <w:szCs w:val="16"/>
              </w:rPr>
            </w:pPr>
            <w:r w:rsidRPr="00990D3B">
              <w:rPr>
                <w:sz w:val="16"/>
                <w:szCs w:val="16"/>
              </w:rPr>
              <w:t>Other performance standards and quality indicators established by the MCP (AM)</w:t>
            </w:r>
          </w:p>
          <w:p w:rsidR="004E5913" w:rsidRPr="00990D3B" w:rsidP="00BB2520" w14:paraId="1536F69D" w14:textId="77777777">
            <w:pPr>
              <w:pStyle w:val="EQRTableTextbullet"/>
              <w:spacing w:line="240" w:lineRule="auto"/>
              <w:rPr>
                <w:sz w:val="16"/>
                <w:szCs w:val="16"/>
              </w:rPr>
            </w:pPr>
            <w:r w:rsidRPr="00990D3B">
              <w:rPr>
                <w:sz w:val="16"/>
                <w:szCs w:val="16"/>
              </w:rPr>
              <w:t>Any measurement or analysis reports on service availability and accessibility (AM)</w:t>
            </w:r>
          </w:p>
          <w:p w:rsidR="004E5913" w:rsidRPr="00990D3B" w:rsidP="00BB2520" w14:paraId="789FB475" w14:textId="77777777">
            <w:pPr>
              <w:pStyle w:val="EQRTableTextbullet"/>
              <w:spacing w:line="240" w:lineRule="auto"/>
              <w:rPr>
                <w:sz w:val="16"/>
                <w:szCs w:val="16"/>
              </w:rPr>
            </w:pPr>
            <w:r w:rsidRPr="00990D3B">
              <w:rPr>
                <w:sz w:val="16"/>
                <w:szCs w:val="16"/>
              </w:rPr>
              <w:t>List of all care and service providers in the MCP’s network (</w:t>
            </w:r>
            <w:r w:rsidRPr="00990D3B">
              <w:rPr>
                <w:sz w:val="16"/>
                <w:szCs w:val="16"/>
              </w:rPr>
              <w:t>may be</w:t>
            </w:r>
            <w:r w:rsidRPr="00990D3B">
              <w:rPr>
                <w:sz w:val="16"/>
                <w:szCs w:val="16"/>
              </w:rPr>
              <w:t xml:space="preserve"> the same as the provider directory) (AM)</w:t>
            </w:r>
          </w:p>
          <w:p w:rsidR="004E5913" w:rsidRPr="00990D3B" w:rsidP="00BB2520" w14:paraId="21DADB06" w14:textId="77777777">
            <w:pPr>
              <w:pStyle w:val="EQRTableTextbullet"/>
              <w:spacing w:line="240" w:lineRule="auto"/>
              <w:rPr>
                <w:sz w:val="16"/>
                <w:szCs w:val="16"/>
              </w:rPr>
            </w:pPr>
            <w:r w:rsidRPr="00990D3B">
              <w:rPr>
                <w:sz w:val="16"/>
                <w:szCs w:val="16"/>
              </w:rPr>
              <w:t>Organization strategic plans (AM)</w:t>
            </w:r>
          </w:p>
          <w:p w:rsidR="004E5913" w:rsidRPr="00990D3B" w:rsidP="00746589" w14:paraId="4EF96D7E" w14:textId="55C6EB19">
            <w:pPr>
              <w:pStyle w:val="EQRTableTextbullet"/>
              <w:spacing w:line="240" w:lineRule="auto"/>
              <w:rPr>
                <w:sz w:val="16"/>
                <w:szCs w:val="16"/>
              </w:rPr>
            </w:pPr>
            <w:r w:rsidRPr="00990D3B">
              <w:rPr>
                <w:sz w:val="16"/>
                <w:szCs w:val="16"/>
              </w:rPr>
              <w:t>Administrative policies and procedures (AM)</w:t>
            </w:r>
          </w:p>
        </w:tc>
        <w:tc>
          <w:tcPr>
            <w:tcW w:w="1214" w:type="pct"/>
          </w:tcPr>
          <w:p w:rsidR="004E5913" w:rsidRPr="00990D3B" w:rsidP="00BB2520" w14:paraId="51EA5463" w14:textId="77777777">
            <w:pPr>
              <w:pStyle w:val="EQRTableText"/>
              <w:spacing w:line="240" w:lineRule="auto"/>
              <w:rPr>
                <w:b/>
                <w:color w:val="000000" w:themeColor="text1"/>
                <w:sz w:val="16"/>
                <w:szCs w:val="16"/>
              </w:rPr>
            </w:pPr>
            <w:r w:rsidRPr="00990D3B">
              <w:rPr>
                <w:b/>
                <w:color w:val="000000" w:themeColor="text1"/>
                <w:sz w:val="16"/>
                <w:szCs w:val="16"/>
              </w:rPr>
              <w:t xml:space="preserve">Medicaid: </w:t>
            </w:r>
          </w:p>
          <w:p w:rsidR="004E5913" w:rsidRPr="00990D3B" w:rsidP="00BB2520" w14:paraId="25B43D19" w14:textId="1D036398">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Fully Met</w:t>
            </w:r>
          </w:p>
          <w:p w:rsidR="004E5913" w:rsidRPr="00990D3B" w:rsidP="00BB2520" w14:paraId="0E98A77A" w14:textId="1AC5F2B6">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4E5913" w:rsidRPr="00990D3B" w:rsidP="00BB2520" w14:paraId="115D9A10" w14:textId="52E96495">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4E5913" w:rsidRPr="00990D3B" w:rsidP="00BB2520" w14:paraId="4EEC07C4" w14:textId="3BD4372B">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4E5913" w:rsidRPr="00990D3B" w:rsidP="00BB2520" w14:paraId="4FF2CDA2" w14:textId="1E3C37D2">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BE2565" w:rsidRPr="00990D3B" w:rsidP="00BB2520" w14:paraId="230FA574" w14:textId="072F75EC">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sidR="004E5913">
              <w:rPr>
                <w:color w:val="000000" w:themeColor="text1"/>
                <w:sz w:val="16"/>
                <w:szCs w:val="16"/>
              </w:rPr>
              <w:t>Not Applicable</w:t>
            </w:r>
          </w:p>
          <w:p w:rsidR="00BE2565" w:rsidRPr="00990D3B" w:rsidP="00BB2520" w14:paraId="1FB919FD" w14:textId="77777777">
            <w:pPr>
              <w:pStyle w:val="EQRTableText"/>
              <w:spacing w:line="240" w:lineRule="auto"/>
              <w:rPr>
                <w:color w:val="000000" w:themeColor="text1"/>
                <w:sz w:val="16"/>
                <w:szCs w:val="16"/>
              </w:rPr>
            </w:pPr>
            <w:r w:rsidRPr="00990D3B">
              <w:rPr>
                <w:color w:val="000000" w:themeColor="text1"/>
                <w:sz w:val="16"/>
                <w:szCs w:val="16"/>
              </w:rPr>
              <w:t>Reviewer Notes:</w:t>
            </w:r>
          </w:p>
          <w:p w:rsidR="004E5913" w:rsidRPr="00990D3B" w:rsidP="00BB2520" w14:paraId="66AEFB36" w14:textId="2A4B2437">
            <w:pPr>
              <w:pStyle w:val="EQRTableText"/>
              <w:spacing w:line="240" w:lineRule="auto"/>
              <w:rPr>
                <w:b/>
                <w:color w:val="000000" w:themeColor="text1"/>
                <w:sz w:val="16"/>
                <w:szCs w:val="16"/>
              </w:rPr>
            </w:pPr>
            <w:r w:rsidRPr="00990D3B">
              <w:rPr>
                <w:b/>
                <w:color w:val="000000" w:themeColor="text1"/>
                <w:sz w:val="16"/>
                <w:szCs w:val="16"/>
              </w:rPr>
              <w:t>CHIP:</w:t>
            </w:r>
          </w:p>
          <w:p w:rsidR="00F8039C" w:rsidRPr="00990D3B" w:rsidP="00BB2520" w14:paraId="18BA1C93"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Fully Met</w:t>
            </w:r>
          </w:p>
          <w:p w:rsidR="00F8039C" w:rsidRPr="00990D3B" w:rsidP="00BB2520" w14:paraId="36E6F38B"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F8039C" w:rsidRPr="00990D3B" w:rsidP="00BB2520" w14:paraId="5519E18E"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F8039C" w:rsidRPr="00990D3B" w:rsidP="00BB2520" w14:paraId="5CEED80E"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F8039C" w:rsidRPr="00990D3B" w:rsidP="00BB2520" w14:paraId="51E37843"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F8039C" w:rsidRPr="00990D3B" w:rsidP="00BB2520" w14:paraId="1E8980C0"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Applicable</w:t>
            </w:r>
          </w:p>
          <w:p w:rsidR="00DB509D" w:rsidRPr="00990D3B" w:rsidP="00BB2520" w14:paraId="293657C9" w14:textId="4B3D3377">
            <w:pPr>
              <w:pStyle w:val="EQRTableText"/>
              <w:spacing w:line="240" w:lineRule="auto"/>
              <w:rPr>
                <w:color w:val="000000" w:themeColor="text1"/>
                <w:sz w:val="16"/>
                <w:szCs w:val="16"/>
              </w:rPr>
            </w:pPr>
            <w:r w:rsidRPr="00990D3B">
              <w:rPr>
                <w:color w:val="000000" w:themeColor="text1"/>
                <w:sz w:val="16"/>
                <w:szCs w:val="16"/>
              </w:rPr>
              <w:t>Reviewer Notes:</w:t>
            </w:r>
          </w:p>
        </w:tc>
      </w:tr>
      <w:tr w14:paraId="1C2688EC" w14:textId="77777777" w:rsidTr="006174D5">
        <w:tblPrEx>
          <w:tblW w:w="5000" w:type="pct"/>
          <w:tblLook w:val="04A0"/>
        </w:tblPrEx>
        <w:trPr>
          <w:cantSplit/>
        </w:trPr>
        <w:tc>
          <w:tcPr>
            <w:tcW w:w="1249" w:type="pct"/>
          </w:tcPr>
          <w:p w:rsidR="00746589" w:rsidRPr="00990D3B" w:rsidP="00746589" w14:paraId="1C9FCF4A" w14:textId="77777777">
            <w:pPr>
              <w:pStyle w:val="EQRTableText"/>
              <w:spacing w:line="240" w:lineRule="auto"/>
              <w:rPr>
                <w:color w:val="000000" w:themeColor="text1"/>
                <w:sz w:val="16"/>
                <w:szCs w:val="16"/>
              </w:rPr>
            </w:pPr>
            <w:r w:rsidRPr="00990D3B">
              <w:rPr>
                <w:b/>
                <w:color w:val="000000" w:themeColor="text1"/>
                <w:sz w:val="16"/>
                <w:szCs w:val="16"/>
              </w:rPr>
              <w:t>Medicaid:</w:t>
            </w:r>
            <w:r w:rsidRPr="00990D3B">
              <w:rPr>
                <w:color w:val="000000" w:themeColor="text1"/>
                <w:sz w:val="16"/>
                <w:szCs w:val="16"/>
              </w:rPr>
              <w:t xml:space="preserve"> 42 C.F.R. 438.206 (availability of services) and 42 C.F.R. 10(h) provider directory)</w:t>
            </w:r>
          </w:p>
          <w:p w:rsidR="00746589" w:rsidRPr="00990D3B" w:rsidP="00746589" w14:paraId="47A2E968" w14:textId="5E2B0D75">
            <w:pPr>
              <w:pStyle w:val="EQRTableText"/>
              <w:spacing w:line="240" w:lineRule="auto"/>
              <w:rPr>
                <w:b/>
                <w:color w:val="000000" w:themeColor="text1"/>
                <w:sz w:val="16"/>
                <w:szCs w:val="16"/>
              </w:rPr>
            </w:pPr>
            <w:r w:rsidRPr="00990D3B">
              <w:rPr>
                <w:b/>
                <w:color w:val="000000" w:themeColor="text1"/>
                <w:sz w:val="16"/>
                <w:szCs w:val="16"/>
              </w:rPr>
              <w:t>CHIP:</w:t>
            </w:r>
            <w:r w:rsidRPr="00990D3B">
              <w:rPr>
                <w:color w:val="000000" w:themeColor="text1"/>
                <w:sz w:val="16"/>
                <w:szCs w:val="16"/>
              </w:rPr>
              <w:t xml:space="preserve"> 42 C.F.R. 457.1230(a) (</w:t>
            </w:r>
            <w:r w:rsidRPr="00990D3B">
              <w:rPr>
                <w:i/>
                <w:iCs/>
                <w:color w:val="000000" w:themeColor="text1"/>
                <w:sz w:val="16"/>
                <w:szCs w:val="16"/>
              </w:rPr>
              <w:t>continued</w:t>
            </w:r>
            <w:r w:rsidRPr="00990D3B">
              <w:rPr>
                <w:color w:val="000000" w:themeColor="text1"/>
                <w:sz w:val="16"/>
                <w:szCs w:val="16"/>
              </w:rPr>
              <w:t>)</w:t>
            </w:r>
          </w:p>
        </w:tc>
        <w:tc>
          <w:tcPr>
            <w:tcW w:w="1286" w:type="pct"/>
          </w:tcPr>
          <w:p w:rsidR="00746589" w:rsidRPr="00990D3B" w:rsidP="004A2A4F" w14:paraId="4FE11FC9" w14:textId="77777777">
            <w:pPr>
              <w:pStyle w:val="EQRTableText"/>
            </w:pPr>
          </w:p>
        </w:tc>
        <w:tc>
          <w:tcPr>
            <w:tcW w:w="1251" w:type="pct"/>
            <w:vAlign w:val="bottom"/>
          </w:tcPr>
          <w:p w:rsidR="00746589" w:rsidRPr="00990D3B" w:rsidP="00746589" w14:paraId="0810D419" w14:textId="77777777">
            <w:pPr>
              <w:pStyle w:val="EQRTableTextbullet"/>
              <w:spacing w:line="240" w:lineRule="auto"/>
              <w:rPr>
                <w:sz w:val="16"/>
                <w:szCs w:val="16"/>
              </w:rPr>
            </w:pPr>
            <w:r w:rsidRPr="00990D3B">
              <w:rPr>
                <w:sz w:val="16"/>
                <w:szCs w:val="16"/>
              </w:rPr>
              <w:t>Medicaid and CHIP and other enrollee survey results (AM)</w:t>
            </w:r>
          </w:p>
          <w:p w:rsidR="00746589" w:rsidRPr="00990D3B" w:rsidP="00746589" w14:paraId="08A589F8" w14:textId="77777777">
            <w:pPr>
              <w:pStyle w:val="EQRTableTextbullet"/>
              <w:spacing w:line="240" w:lineRule="auto"/>
              <w:rPr>
                <w:sz w:val="16"/>
                <w:szCs w:val="16"/>
              </w:rPr>
            </w:pPr>
            <w:r w:rsidRPr="00990D3B">
              <w:rPr>
                <w:sz w:val="16"/>
                <w:szCs w:val="16"/>
              </w:rPr>
              <w:t>Utilization management policies and procedures (UM)</w:t>
            </w:r>
          </w:p>
          <w:p w:rsidR="00746589" w:rsidRPr="00990D3B" w:rsidP="00746589" w14:paraId="51AA9C20" w14:textId="77777777">
            <w:pPr>
              <w:pStyle w:val="EQRTableTextbullet"/>
              <w:spacing w:line="240" w:lineRule="auto"/>
              <w:rPr>
                <w:sz w:val="16"/>
                <w:szCs w:val="16"/>
              </w:rPr>
            </w:pPr>
            <w:r w:rsidRPr="00990D3B">
              <w:rPr>
                <w:sz w:val="16"/>
                <w:szCs w:val="16"/>
              </w:rPr>
              <w:t>Service authorization policies and procedures (UM)</w:t>
            </w:r>
          </w:p>
          <w:p w:rsidR="00746589" w:rsidRPr="00990D3B" w:rsidP="00746589" w14:paraId="193457D6" w14:textId="77777777">
            <w:pPr>
              <w:pStyle w:val="EQRTableTextbullet"/>
              <w:spacing w:line="240" w:lineRule="auto"/>
              <w:rPr>
                <w:sz w:val="16"/>
                <w:szCs w:val="16"/>
              </w:rPr>
            </w:pPr>
            <w:r w:rsidRPr="00990D3B">
              <w:rPr>
                <w:sz w:val="16"/>
                <w:szCs w:val="16"/>
              </w:rPr>
              <w:t>Provider contracts (PS)</w:t>
            </w:r>
          </w:p>
          <w:p w:rsidR="00746589" w:rsidRPr="00990D3B" w:rsidP="00746589" w14:paraId="081A68EA" w14:textId="77777777">
            <w:pPr>
              <w:pStyle w:val="EQRTableTextbullet"/>
              <w:spacing w:line="240" w:lineRule="auto"/>
              <w:rPr>
                <w:sz w:val="16"/>
                <w:szCs w:val="16"/>
              </w:rPr>
            </w:pPr>
            <w:r w:rsidRPr="00990D3B">
              <w:rPr>
                <w:sz w:val="16"/>
                <w:szCs w:val="16"/>
              </w:rPr>
              <w:t>Provider/Contractor procedure manuals (PS)</w:t>
            </w:r>
          </w:p>
          <w:p w:rsidR="00746589" w:rsidRPr="00990D3B" w:rsidP="00746589" w14:paraId="78378703" w14:textId="77777777">
            <w:pPr>
              <w:pStyle w:val="EQRTableTextbullet"/>
              <w:spacing w:line="240" w:lineRule="auto"/>
              <w:rPr>
                <w:sz w:val="16"/>
                <w:szCs w:val="16"/>
              </w:rPr>
            </w:pPr>
            <w:r w:rsidRPr="00990D3B">
              <w:rPr>
                <w:sz w:val="16"/>
                <w:szCs w:val="16"/>
              </w:rPr>
              <w:t>Provider/Contractor oversight and evaluation policies and procedures, audit tools (PS)</w:t>
            </w:r>
          </w:p>
          <w:p w:rsidR="00746589" w:rsidRPr="00990D3B" w:rsidP="00746589" w14:paraId="05436C2A" w14:textId="77777777">
            <w:pPr>
              <w:pStyle w:val="EQRTableTextbullet"/>
              <w:spacing w:line="240" w:lineRule="auto"/>
              <w:rPr>
                <w:sz w:val="16"/>
                <w:szCs w:val="16"/>
              </w:rPr>
            </w:pPr>
            <w:r w:rsidRPr="00990D3B">
              <w:rPr>
                <w:sz w:val="16"/>
                <w:szCs w:val="16"/>
              </w:rPr>
              <w:t>Medicaid and CHIP enrollee services policies and procedures (ES)</w:t>
            </w:r>
          </w:p>
          <w:p w:rsidR="00746589" w:rsidRPr="00990D3B" w:rsidP="00746589" w14:paraId="0699344B" w14:textId="77777777">
            <w:pPr>
              <w:pStyle w:val="EQRTableTextbullet"/>
              <w:spacing w:line="240" w:lineRule="auto"/>
              <w:rPr>
                <w:sz w:val="16"/>
                <w:szCs w:val="16"/>
              </w:rPr>
            </w:pPr>
            <w:r w:rsidRPr="00990D3B">
              <w:rPr>
                <w:sz w:val="16"/>
                <w:szCs w:val="16"/>
              </w:rPr>
              <w:t>Statement of enrollee rights (ES)</w:t>
            </w:r>
          </w:p>
          <w:p w:rsidR="00746589" w:rsidRPr="00990D3B" w:rsidP="00746589" w14:paraId="3E77DB17" w14:textId="77777777">
            <w:pPr>
              <w:pStyle w:val="EQRTableTextbullet"/>
              <w:spacing w:line="240" w:lineRule="auto"/>
              <w:rPr>
                <w:sz w:val="16"/>
                <w:szCs w:val="16"/>
              </w:rPr>
            </w:pPr>
            <w:r w:rsidRPr="00990D3B">
              <w:rPr>
                <w:sz w:val="16"/>
                <w:szCs w:val="16"/>
              </w:rPr>
              <w:t>Medicaid and CHIP enrollee handbooks (ES)</w:t>
            </w:r>
          </w:p>
          <w:p w:rsidR="00746589" w:rsidRPr="00990D3B" w:rsidP="00746589" w14:paraId="171CE3E4" w14:textId="77777777">
            <w:pPr>
              <w:pStyle w:val="EQRTableTextbullet"/>
              <w:spacing w:line="240" w:lineRule="auto"/>
              <w:rPr>
                <w:sz w:val="16"/>
                <w:szCs w:val="16"/>
              </w:rPr>
            </w:pPr>
            <w:r w:rsidRPr="00990D3B">
              <w:rPr>
                <w:sz w:val="16"/>
                <w:szCs w:val="16"/>
              </w:rPr>
              <w:t>Medicaid and CHIP provider directory</w:t>
            </w:r>
          </w:p>
          <w:p w:rsidR="00746589" w:rsidRPr="00990D3B" w:rsidP="00746589" w14:paraId="4A5F4FD5" w14:textId="77777777">
            <w:pPr>
              <w:pStyle w:val="EQRTableTextbullet"/>
              <w:spacing w:line="240" w:lineRule="auto"/>
              <w:rPr>
                <w:sz w:val="16"/>
                <w:szCs w:val="16"/>
              </w:rPr>
            </w:pPr>
            <w:r w:rsidRPr="00990D3B">
              <w:rPr>
                <w:sz w:val="16"/>
                <w:szCs w:val="16"/>
              </w:rPr>
              <w:t>Medicaid and CHIP enrollee orientation curriculum (ES)</w:t>
            </w:r>
          </w:p>
          <w:p w:rsidR="00746589" w:rsidRPr="00990D3B" w:rsidP="00746589" w14:paraId="0A8D362B" w14:textId="45868C73">
            <w:pPr>
              <w:pStyle w:val="EQRTableTextbullet"/>
              <w:spacing w:line="240" w:lineRule="auto"/>
              <w:rPr>
                <w:sz w:val="16"/>
                <w:szCs w:val="16"/>
              </w:rPr>
            </w:pPr>
            <w:r w:rsidRPr="00990D3B">
              <w:rPr>
                <w:sz w:val="16"/>
                <w:szCs w:val="16"/>
              </w:rPr>
              <w:t xml:space="preserve">Medicaid and CHIP </w:t>
            </w:r>
            <w:r w:rsidRPr="00990D3B">
              <w:rPr>
                <w:sz w:val="16"/>
                <w:szCs w:val="16"/>
              </w:rPr>
              <w:t>enrollee</w:t>
            </w:r>
            <w:r w:rsidRPr="00990D3B">
              <w:rPr>
                <w:sz w:val="16"/>
                <w:szCs w:val="16"/>
              </w:rPr>
              <w:t xml:space="preserve"> grievance and appeals policies and procedures (ES)</w:t>
            </w:r>
          </w:p>
        </w:tc>
        <w:tc>
          <w:tcPr>
            <w:tcW w:w="1214" w:type="pct"/>
          </w:tcPr>
          <w:p w:rsidR="00746589" w:rsidRPr="00990D3B" w:rsidP="00BB2520" w14:paraId="6663C26C" w14:textId="77777777">
            <w:pPr>
              <w:pStyle w:val="EQRTableText"/>
              <w:spacing w:line="240" w:lineRule="auto"/>
              <w:rPr>
                <w:b/>
                <w:color w:val="000000" w:themeColor="text1"/>
                <w:sz w:val="16"/>
                <w:szCs w:val="16"/>
              </w:rPr>
            </w:pPr>
          </w:p>
        </w:tc>
      </w:tr>
      <w:tr w14:paraId="3A2BABF7" w14:textId="77777777" w:rsidTr="006174D5">
        <w:tblPrEx>
          <w:tblW w:w="5000" w:type="pct"/>
          <w:tblLook w:val="04A0"/>
        </w:tblPrEx>
        <w:trPr>
          <w:cantSplit/>
        </w:trPr>
        <w:tc>
          <w:tcPr>
            <w:tcW w:w="1249" w:type="pct"/>
          </w:tcPr>
          <w:p w:rsidR="004E5913" w:rsidRPr="00990D3B" w:rsidP="00BB2520" w14:paraId="38468CBB" w14:textId="28182C2F">
            <w:pPr>
              <w:pStyle w:val="EQRTableText"/>
              <w:spacing w:line="240" w:lineRule="auto"/>
              <w:rPr>
                <w:b/>
                <w:color w:val="000000" w:themeColor="text1"/>
                <w:sz w:val="16"/>
                <w:szCs w:val="16"/>
              </w:rPr>
            </w:pPr>
            <w:r w:rsidRPr="00990D3B">
              <w:rPr>
                <w:b/>
                <w:color w:val="000000" w:themeColor="text1"/>
                <w:sz w:val="16"/>
                <w:szCs w:val="16"/>
              </w:rPr>
              <w:t>Furnishing of services and timely</w:t>
            </w:r>
            <w:r w:rsidRPr="00990D3B">
              <w:rPr>
                <w:b/>
                <w:i/>
                <w:color w:val="000000" w:themeColor="text1"/>
                <w:sz w:val="16"/>
                <w:szCs w:val="16"/>
              </w:rPr>
              <w:t xml:space="preserve"> </w:t>
            </w:r>
            <w:r w:rsidRPr="00990D3B">
              <w:rPr>
                <w:b/>
                <w:color w:val="000000" w:themeColor="text1"/>
                <w:sz w:val="16"/>
                <w:szCs w:val="16"/>
              </w:rPr>
              <w:t>access</w:t>
            </w:r>
          </w:p>
          <w:p w:rsidR="004E5913" w:rsidRPr="00990D3B" w:rsidP="00BB2520" w14:paraId="0591B974" w14:textId="30FC4042">
            <w:pPr>
              <w:pStyle w:val="EQRTableText"/>
              <w:spacing w:line="240" w:lineRule="auto"/>
              <w:rPr>
                <w:color w:val="000000" w:themeColor="text1"/>
                <w:sz w:val="16"/>
                <w:szCs w:val="16"/>
              </w:rPr>
            </w:pPr>
            <w:r w:rsidRPr="00990D3B">
              <w:rPr>
                <w:b/>
                <w:color w:val="000000" w:themeColor="text1"/>
                <w:sz w:val="16"/>
                <w:szCs w:val="16"/>
              </w:rPr>
              <w:t>Medicaid</w:t>
            </w:r>
            <w:r w:rsidRPr="00990D3B">
              <w:rPr>
                <w:color w:val="000000" w:themeColor="text1"/>
                <w:sz w:val="16"/>
                <w:szCs w:val="16"/>
              </w:rPr>
              <w:t xml:space="preserve">: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 xml:space="preserve">438.206(c)(1): Furnishing of services and timely access  </w:t>
            </w:r>
          </w:p>
          <w:p w:rsidR="004E5913" w:rsidRPr="00990D3B" w:rsidP="00BB2520" w14:paraId="4284509C" w14:textId="43F90A87">
            <w:pPr>
              <w:pStyle w:val="EQRTableText"/>
              <w:spacing w:line="240" w:lineRule="auto"/>
              <w:rPr>
                <w:color w:val="000000" w:themeColor="text1"/>
                <w:sz w:val="16"/>
                <w:szCs w:val="16"/>
              </w:rPr>
            </w:pPr>
            <w:r w:rsidRPr="00990D3B">
              <w:rPr>
                <w:b/>
                <w:color w:val="000000" w:themeColor="text1"/>
                <w:sz w:val="16"/>
                <w:szCs w:val="16"/>
              </w:rPr>
              <w:t>CHIP:</w:t>
            </w:r>
            <w:r w:rsidRPr="00990D3B">
              <w:rPr>
                <w:color w:val="000000" w:themeColor="text1"/>
                <w:sz w:val="16"/>
                <w:szCs w:val="16"/>
              </w:rPr>
              <w:t xml:space="preserve">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457.1230(a): Availability of services</w:t>
            </w:r>
          </w:p>
        </w:tc>
        <w:tc>
          <w:tcPr>
            <w:tcW w:w="1286" w:type="pct"/>
          </w:tcPr>
          <w:p w:rsidR="004E5913" w:rsidRPr="00990D3B" w:rsidP="00BB2520" w14:paraId="691556B9" w14:textId="4415C139">
            <w:pPr>
              <w:pStyle w:val="EQRTableTextbullet"/>
              <w:spacing w:line="240" w:lineRule="auto"/>
              <w:rPr>
                <w:color w:val="000000" w:themeColor="text1"/>
                <w:sz w:val="16"/>
                <w:szCs w:val="16"/>
              </w:rPr>
            </w:pPr>
            <w:r w:rsidRPr="00990D3B">
              <w:rPr>
                <w:color w:val="000000" w:themeColor="text1"/>
                <w:sz w:val="16"/>
                <w:szCs w:val="16"/>
              </w:rPr>
              <w:t xml:space="preserve">Obtain a copy of the state </w:t>
            </w:r>
            <w:r w:rsidRPr="00990D3B" w:rsidR="00832946">
              <w:rPr>
                <w:color w:val="000000" w:themeColor="text1"/>
                <w:sz w:val="16"/>
                <w:szCs w:val="16"/>
              </w:rPr>
              <w:t>Medicaid and CHIP</w:t>
            </w:r>
            <w:r w:rsidRPr="00990D3B">
              <w:rPr>
                <w:color w:val="000000" w:themeColor="text1"/>
                <w:sz w:val="16"/>
                <w:szCs w:val="16"/>
              </w:rPr>
              <w:t xml:space="preserve"> </w:t>
            </w:r>
            <w:r w:rsidRPr="00990D3B" w:rsidR="00C67AC8">
              <w:rPr>
                <w:color w:val="000000" w:themeColor="text1"/>
                <w:sz w:val="16"/>
                <w:szCs w:val="16"/>
              </w:rPr>
              <w:t>program</w:t>
            </w:r>
            <w:r w:rsidRPr="00990D3B">
              <w:rPr>
                <w:color w:val="000000" w:themeColor="text1"/>
                <w:sz w:val="16"/>
                <w:szCs w:val="16"/>
              </w:rPr>
              <w:t xml:space="preserve">’s standards for timely enrollee access to care and services required of </w:t>
            </w:r>
            <w:r w:rsidRPr="00990D3B" w:rsidR="00832946">
              <w:rPr>
                <w:color w:val="000000" w:themeColor="text1"/>
                <w:sz w:val="16"/>
                <w:szCs w:val="16"/>
              </w:rPr>
              <w:t>Medicaid and CHIP</w:t>
            </w:r>
            <w:r w:rsidRPr="00990D3B">
              <w:rPr>
                <w:color w:val="000000" w:themeColor="text1"/>
                <w:sz w:val="16"/>
                <w:szCs w:val="16"/>
              </w:rPr>
              <w:t xml:space="preserve"> and MCPs.</w:t>
            </w:r>
          </w:p>
        </w:tc>
        <w:tc>
          <w:tcPr>
            <w:tcW w:w="1251" w:type="pct"/>
            <w:vAlign w:val="bottom"/>
          </w:tcPr>
          <w:p w:rsidR="004E5913" w:rsidRPr="00990D3B" w:rsidP="00BB2520" w14:paraId="72ACE02E" w14:textId="77777777">
            <w:pPr>
              <w:pStyle w:val="EQRTableTextbullet"/>
              <w:spacing w:line="240" w:lineRule="auto"/>
              <w:rPr>
                <w:sz w:val="16"/>
                <w:szCs w:val="16"/>
              </w:rPr>
            </w:pPr>
            <w:r w:rsidRPr="00990D3B">
              <w:rPr>
                <w:sz w:val="16"/>
                <w:szCs w:val="16"/>
              </w:rPr>
              <w:t xml:space="preserve">Service planning documents and provider network planning documents (e.g., geographic assessments, provider network assessments, enrollee demographic studies, population needs </w:t>
            </w:r>
            <w:r w:rsidRPr="00990D3B">
              <w:rPr>
                <w:sz w:val="16"/>
                <w:szCs w:val="16"/>
              </w:rPr>
              <w:t>assessments)(</w:t>
            </w:r>
            <w:r w:rsidRPr="00990D3B">
              <w:rPr>
                <w:sz w:val="16"/>
                <w:szCs w:val="16"/>
              </w:rPr>
              <w:t>AM)</w:t>
            </w:r>
          </w:p>
          <w:p w:rsidR="004E5913" w:rsidRPr="00990D3B" w:rsidP="00BB2520" w14:paraId="6D2130E8" w14:textId="77777777">
            <w:pPr>
              <w:pStyle w:val="EQRTableTextbullet"/>
              <w:spacing w:line="240" w:lineRule="auto"/>
              <w:rPr>
                <w:sz w:val="16"/>
                <w:szCs w:val="16"/>
              </w:rPr>
            </w:pPr>
            <w:r w:rsidRPr="00990D3B">
              <w:rPr>
                <w:sz w:val="16"/>
                <w:szCs w:val="16"/>
              </w:rPr>
              <w:t>Service availability and accessibility expectations and standards (AM)</w:t>
            </w:r>
          </w:p>
          <w:p w:rsidR="004E5913" w:rsidRPr="00990D3B" w:rsidP="00BB2520" w14:paraId="2D5E1936" w14:textId="77777777">
            <w:pPr>
              <w:pStyle w:val="EQRTableTextbullet"/>
              <w:spacing w:line="240" w:lineRule="auto"/>
              <w:rPr>
                <w:sz w:val="16"/>
                <w:szCs w:val="16"/>
              </w:rPr>
            </w:pPr>
            <w:r w:rsidRPr="00990D3B">
              <w:rPr>
                <w:sz w:val="16"/>
                <w:szCs w:val="16"/>
              </w:rPr>
              <w:t>Other performance standards and quality indicators established by the MCP (AM)</w:t>
            </w:r>
          </w:p>
          <w:p w:rsidR="004E5913" w:rsidRPr="00990D3B" w:rsidP="00BB2520" w14:paraId="0DF9F9DF" w14:textId="77777777">
            <w:pPr>
              <w:pStyle w:val="EQRTableTextbullet"/>
              <w:spacing w:line="240" w:lineRule="auto"/>
              <w:rPr>
                <w:sz w:val="16"/>
                <w:szCs w:val="16"/>
              </w:rPr>
            </w:pPr>
            <w:r w:rsidRPr="00990D3B">
              <w:rPr>
                <w:sz w:val="16"/>
                <w:szCs w:val="16"/>
              </w:rPr>
              <w:t>Any measurement or analysis reports on service availability and accessibility (AM)</w:t>
            </w:r>
          </w:p>
          <w:p w:rsidR="004E5913" w:rsidRPr="00990D3B" w:rsidP="00BB2520" w14:paraId="49F39DE7" w14:textId="77777777">
            <w:pPr>
              <w:pStyle w:val="EQRTableTextbullet"/>
              <w:spacing w:line="240" w:lineRule="auto"/>
              <w:rPr>
                <w:sz w:val="16"/>
                <w:szCs w:val="16"/>
              </w:rPr>
            </w:pPr>
            <w:r w:rsidRPr="00990D3B">
              <w:rPr>
                <w:sz w:val="16"/>
                <w:szCs w:val="16"/>
              </w:rPr>
              <w:t>List of all care and service providers in the MCP’s network (</w:t>
            </w:r>
            <w:r w:rsidRPr="00990D3B">
              <w:rPr>
                <w:sz w:val="16"/>
                <w:szCs w:val="16"/>
              </w:rPr>
              <w:t>may be</w:t>
            </w:r>
            <w:r w:rsidRPr="00990D3B">
              <w:rPr>
                <w:sz w:val="16"/>
                <w:szCs w:val="16"/>
              </w:rPr>
              <w:t xml:space="preserve"> the same as the provider directory) (AM)</w:t>
            </w:r>
          </w:p>
          <w:p w:rsidR="004E5913" w:rsidRPr="00990D3B" w:rsidP="00CA7494" w14:paraId="38091DCD" w14:textId="62B8059B">
            <w:pPr>
              <w:pStyle w:val="EQRTableTextbullet"/>
              <w:spacing w:line="240" w:lineRule="auto"/>
              <w:rPr>
                <w:sz w:val="16"/>
                <w:szCs w:val="16"/>
              </w:rPr>
            </w:pPr>
            <w:r w:rsidRPr="00990D3B">
              <w:rPr>
                <w:sz w:val="16"/>
                <w:szCs w:val="16"/>
              </w:rPr>
              <w:t>Organization strategic plans (AM)</w:t>
            </w:r>
          </w:p>
        </w:tc>
        <w:tc>
          <w:tcPr>
            <w:tcW w:w="1214" w:type="pct"/>
          </w:tcPr>
          <w:p w:rsidR="00763D3B" w:rsidRPr="00990D3B" w:rsidP="00BB2520" w14:paraId="00DB0FCE" w14:textId="77777777">
            <w:pPr>
              <w:pStyle w:val="EQRTableText"/>
              <w:spacing w:line="240" w:lineRule="auto"/>
              <w:rPr>
                <w:b/>
                <w:color w:val="000000" w:themeColor="text1"/>
                <w:sz w:val="16"/>
                <w:szCs w:val="16"/>
              </w:rPr>
            </w:pPr>
            <w:r w:rsidRPr="00990D3B">
              <w:rPr>
                <w:b/>
                <w:color w:val="000000" w:themeColor="text1"/>
                <w:sz w:val="16"/>
                <w:szCs w:val="16"/>
              </w:rPr>
              <w:t xml:space="preserve">Medicaid: </w:t>
            </w:r>
          </w:p>
          <w:p w:rsidR="00763D3B" w:rsidRPr="00990D3B" w:rsidP="00BB2520" w14:paraId="6EFA0323"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Fully Met</w:t>
            </w:r>
          </w:p>
          <w:p w:rsidR="00763D3B" w:rsidRPr="00990D3B" w:rsidP="00BB2520" w14:paraId="0857437D"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763D3B" w:rsidRPr="00990D3B" w:rsidP="00BB2520" w14:paraId="16C4D579"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763D3B" w:rsidRPr="00990D3B" w:rsidP="00BB2520" w14:paraId="183E4C3D"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763D3B" w:rsidRPr="00990D3B" w:rsidP="00BB2520" w14:paraId="28FF8C5D"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763D3B" w:rsidRPr="00990D3B" w:rsidP="00BB2520" w14:paraId="6EB89B35"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Applicable</w:t>
            </w:r>
          </w:p>
          <w:p w:rsidR="00763D3B" w:rsidRPr="00990D3B" w:rsidP="00BB2520" w14:paraId="693A38C5" w14:textId="77777777">
            <w:pPr>
              <w:pStyle w:val="EQRTableText"/>
              <w:spacing w:line="240" w:lineRule="auto"/>
              <w:rPr>
                <w:color w:val="000000" w:themeColor="text1"/>
                <w:sz w:val="16"/>
                <w:szCs w:val="16"/>
              </w:rPr>
            </w:pPr>
            <w:r w:rsidRPr="00990D3B">
              <w:rPr>
                <w:color w:val="000000" w:themeColor="text1"/>
                <w:sz w:val="16"/>
                <w:szCs w:val="16"/>
              </w:rPr>
              <w:t>Reviewer Notes:</w:t>
            </w:r>
          </w:p>
          <w:p w:rsidR="00763D3B" w:rsidRPr="00990D3B" w:rsidP="00BB2520" w14:paraId="2FD6B203" w14:textId="77777777">
            <w:pPr>
              <w:pStyle w:val="EQRTableText"/>
              <w:spacing w:line="240" w:lineRule="auto"/>
              <w:rPr>
                <w:b/>
                <w:color w:val="000000" w:themeColor="text1"/>
                <w:sz w:val="16"/>
                <w:szCs w:val="16"/>
              </w:rPr>
            </w:pPr>
            <w:r w:rsidRPr="00990D3B">
              <w:rPr>
                <w:b/>
                <w:color w:val="000000" w:themeColor="text1"/>
                <w:sz w:val="16"/>
                <w:szCs w:val="16"/>
              </w:rPr>
              <w:t>CHIP:</w:t>
            </w:r>
          </w:p>
          <w:p w:rsidR="00763D3B" w:rsidRPr="00990D3B" w:rsidP="00BB2520" w14:paraId="5A77EE50"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Fully Met</w:t>
            </w:r>
          </w:p>
          <w:p w:rsidR="00763D3B" w:rsidRPr="00990D3B" w:rsidP="00BB2520" w14:paraId="45FE4901"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763D3B" w:rsidRPr="00990D3B" w:rsidP="00BB2520" w14:paraId="47439251"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763D3B" w:rsidRPr="00990D3B" w:rsidP="00BB2520" w14:paraId="0650F6EF"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763D3B" w:rsidRPr="00990D3B" w:rsidP="00BB2520" w14:paraId="6B1DE991"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763D3B" w:rsidRPr="00990D3B" w:rsidP="00BB2520" w14:paraId="75964919"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Applicable</w:t>
            </w:r>
          </w:p>
          <w:p w:rsidR="004E5913" w:rsidRPr="00990D3B" w:rsidP="00BB2520" w14:paraId="3B25F4C3" w14:textId="158CBF5C">
            <w:pPr>
              <w:pStyle w:val="EQRTableText"/>
              <w:spacing w:line="240" w:lineRule="auto"/>
              <w:rPr>
                <w:color w:val="000000" w:themeColor="text1"/>
                <w:sz w:val="16"/>
                <w:szCs w:val="16"/>
              </w:rPr>
            </w:pPr>
            <w:r w:rsidRPr="00990D3B">
              <w:rPr>
                <w:color w:val="000000" w:themeColor="text1"/>
                <w:sz w:val="16"/>
                <w:szCs w:val="16"/>
              </w:rPr>
              <w:t>Reviewer Notes:</w:t>
            </w:r>
          </w:p>
        </w:tc>
      </w:tr>
      <w:tr w14:paraId="5ABC0EB0" w14:textId="77777777" w:rsidTr="006174D5">
        <w:tblPrEx>
          <w:tblW w:w="5000" w:type="pct"/>
          <w:tblLook w:val="04A0"/>
        </w:tblPrEx>
        <w:trPr>
          <w:cantSplit/>
        </w:trPr>
        <w:tc>
          <w:tcPr>
            <w:tcW w:w="1249" w:type="pct"/>
          </w:tcPr>
          <w:p w:rsidR="00391F94" w:rsidRPr="00990D3B" w:rsidP="00BB2520" w14:paraId="0153F430" w14:textId="77777777">
            <w:pPr>
              <w:pStyle w:val="EQRTableText"/>
              <w:spacing w:line="240" w:lineRule="auto"/>
              <w:rPr>
                <w:b/>
                <w:color w:val="000000" w:themeColor="text1"/>
                <w:sz w:val="16"/>
                <w:szCs w:val="16"/>
              </w:rPr>
            </w:pPr>
          </w:p>
        </w:tc>
        <w:tc>
          <w:tcPr>
            <w:tcW w:w="1286" w:type="pct"/>
          </w:tcPr>
          <w:p w:rsidR="00391F94" w:rsidRPr="00990D3B" w:rsidP="004A2A4F" w14:paraId="0CCB959E" w14:textId="77777777">
            <w:pPr>
              <w:pStyle w:val="EQRTableText"/>
            </w:pPr>
          </w:p>
        </w:tc>
        <w:tc>
          <w:tcPr>
            <w:tcW w:w="1251" w:type="pct"/>
          </w:tcPr>
          <w:p w:rsidR="00391F94" w:rsidRPr="00990D3B" w:rsidP="00391F94" w14:paraId="2CEECFAD" w14:textId="77777777">
            <w:pPr>
              <w:pStyle w:val="EQRTableTextbullet"/>
              <w:spacing w:line="240" w:lineRule="auto"/>
              <w:rPr>
                <w:sz w:val="16"/>
                <w:szCs w:val="16"/>
              </w:rPr>
            </w:pPr>
            <w:r w:rsidRPr="00990D3B">
              <w:rPr>
                <w:sz w:val="16"/>
                <w:szCs w:val="16"/>
              </w:rPr>
              <w:t>Administrative policies and procedures (AM)</w:t>
            </w:r>
          </w:p>
          <w:p w:rsidR="00391F94" w:rsidRPr="00990D3B" w:rsidP="00391F94" w14:paraId="60A1F3C4" w14:textId="77777777">
            <w:pPr>
              <w:pStyle w:val="EQRTableTextbullet"/>
              <w:spacing w:line="240" w:lineRule="auto"/>
              <w:rPr>
                <w:sz w:val="16"/>
                <w:szCs w:val="16"/>
              </w:rPr>
            </w:pPr>
            <w:r w:rsidRPr="00990D3B">
              <w:rPr>
                <w:sz w:val="16"/>
                <w:szCs w:val="16"/>
              </w:rPr>
              <w:t>Medicaid and CHIP and other enrollee survey results (AM)</w:t>
            </w:r>
          </w:p>
          <w:p w:rsidR="00391F94" w:rsidRPr="00990D3B" w:rsidP="00391F94" w14:paraId="401190D4" w14:textId="77777777">
            <w:pPr>
              <w:pStyle w:val="EQRTableTextbullet"/>
              <w:spacing w:line="240" w:lineRule="auto"/>
              <w:rPr>
                <w:sz w:val="16"/>
                <w:szCs w:val="16"/>
              </w:rPr>
            </w:pPr>
            <w:r w:rsidRPr="00990D3B">
              <w:rPr>
                <w:sz w:val="16"/>
                <w:szCs w:val="16"/>
              </w:rPr>
              <w:t>Utilization management policies and procedures (UM)</w:t>
            </w:r>
          </w:p>
          <w:p w:rsidR="00391F94" w:rsidRPr="00990D3B" w:rsidP="00391F94" w14:paraId="7CEDDAB2" w14:textId="77777777">
            <w:pPr>
              <w:pStyle w:val="EQRTableTextbullet"/>
              <w:spacing w:line="240" w:lineRule="auto"/>
              <w:rPr>
                <w:sz w:val="16"/>
                <w:szCs w:val="16"/>
              </w:rPr>
            </w:pPr>
            <w:r w:rsidRPr="00990D3B">
              <w:rPr>
                <w:sz w:val="16"/>
                <w:szCs w:val="16"/>
              </w:rPr>
              <w:t>Service authorization policies and procedures (UM)</w:t>
            </w:r>
          </w:p>
          <w:p w:rsidR="00391F94" w:rsidRPr="00990D3B" w:rsidP="00391F94" w14:paraId="4BEBDC05" w14:textId="77777777">
            <w:pPr>
              <w:pStyle w:val="EQRTableTextbullet"/>
              <w:spacing w:line="240" w:lineRule="auto"/>
              <w:rPr>
                <w:sz w:val="16"/>
                <w:szCs w:val="16"/>
              </w:rPr>
            </w:pPr>
            <w:r w:rsidRPr="00990D3B">
              <w:rPr>
                <w:sz w:val="16"/>
                <w:szCs w:val="16"/>
              </w:rPr>
              <w:t>Provider contracts (PS)</w:t>
            </w:r>
          </w:p>
          <w:p w:rsidR="00391F94" w:rsidRPr="00990D3B" w:rsidP="00391F94" w14:paraId="32648150" w14:textId="77777777">
            <w:pPr>
              <w:pStyle w:val="EQRTableTextbullet"/>
              <w:spacing w:line="240" w:lineRule="auto"/>
              <w:rPr>
                <w:sz w:val="16"/>
                <w:szCs w:val="16"/>
              </w:rPr>
            </w:pPr>
            <w:r w:rsidRPr="00990D3B">
              <w:rPr>
                <w:sz w:val="16"/>
                <w:szCs w:val="16"/>
              </w:rPr>
              <w:t>Provider/Contractor procedure manuals (PS)</w:t>
            </w:r>
          </w:p>
          <w:p w:rsidR="00391F94" w:rsidRPr="00990D3B" w:rsidP="00391F94" w14:paraId="54C19734" w14:textId="77777777">
            <w:pPr>
              <w:pStyle w:val="EQRTableTextbullet"/>
              <w:spacing w:line="240" w:lineRule="auto"/>
              <w:rPr>
                <w:sz w:val="16"/>
                <w:szCs w:val="16"/>
              </w:rPr>
            </w:pPr>
            <w:r w:rsidRPr="00990D3B">
              <w:rPr>
                <w:sz w:val="16"/>
                <w:szCs w:val="16"/>
              </w:rPr>
              <w:t>Provider/Contractor oversight and evaluation policies and procedures, audit tools (PS)</w:t>
            </w:r>
          </w:p>
          <w:p w:rsidR="00391F94" w:rsidRPr="00990D3B" w:rsidP="00391F94" w14:paraId="21D28820" w14:textId="77777777">
            <w:pPr>
              <w:pStyle w:val="EQRTableTextbullet"/>
              <w:spacing w:line="240" w:lineRule="auto"/>
              <w:rPr>
                <w:sz w:val="16"/>
                <w:szCs w:val="16"/>
              </w:rPr>
            </w:pPr>
            <w:r w:rsidRPr="00990D3B">
              <w:rPr>
                <w:sz w:val="16"/>
                <w:szCs w:val="16"/>
              </w:rPr>
              <w:t>Medicaid and CHIP enrollee services policies and procedures (ES)</w:t>
            </w:r>
          </w:p>
          <w:p w:rsidR="00391F94" w:rsidRPr="00990D3B" w:rsidP="00391F94" w14:paraId="24BCEC1F" w14:textId="77777777">
            <w:pPr>
              <w:pStyle w:val="EQRTableTextbullet"/>
              <w:spacing w:line="240" w:lineRule="auto"/>
              <w:rPr>
                <w:sz w:val="16"/>
                <w:szCs w:val="16"/>
              </w:rPr>
            </w:pPr>
            <w:r w:rsidRPr="00990D3B">
              <w:rPr>
                <w:sz w:val="16"/>
                <w:szCs w:val="16"/>
              </w:rPr>
              <w:t>Statement of enrollee rights (ES)</w:t>
            </w:r>
          </w:p>
          <w:p w:rsidR="00391F94" w:rsidRPr="00990D3B" w:rsidP="00391F94" w14:paraId="7EBB3973" w14:textId="77777777">
            <w:pPr>
              <w:pStyle w:val="EQRTableTextbullet"/>
              <w:spacing w:line="240" w:lineRule="auto"/>
              <w:rPr>
                <w:sz w:val="16"/>
                <w:szCs w:val="16"/>
              </w:rPr>
            </w:pPr>
            <w:r w:rsidRPr="00990D3B">
              <w:rPr>
                <w:sz w:val="16"/>
                <w:szCs w:val="16"/>
              </w:rPr>
              <w:t>Medicaid and CHIP Enrollee Handbooks (ES)</w:t>
            </w:r>
          </w:p>
          <w:p w:rsidR="00391F94" w:rsidRPr="00990D3B" w:rsidP="00391F94" w14:paraId="6F97E8F6" w14:textId="77777777">
            <w:pPr>
              <w:pStyle w:val="EQRTableTextbullet"/>
              <w:spacing w:line="240" w:lineRule="auto"/>
              <w:rPr>
                <w:sz w:val="16"/>
                <w:szCs w:val="16"/>
              </w:rPr>
            </w:pPr>
            <w:r w:rsidRPr="00990D3B">
              <w:rPr>
                <w:sz w:val="16"/>
                <w:szCs w:val="16"/>
              </w:rPr>
              <w:t>Medicaid and CHIP provider directory</w:t>
            </w:r>
          </w:p>
          <w:p w:rsidR="00391F94" w:rsidRPr="00990D3B" w:rsidP="00391F94" w14:paraId="31D10CB2" w14:textId="77777777">
            <w:pPr>
              <w:pStyle w:val="EQRTableTextbullet"/>
              <w:spacing w:line="240" w:lineRule="auto"/>
              <w:rPr>
                <w:sz w:val="16"/>
                <w:szCs w:val="16"/>
              </w:rPr>
            </w:pPr>
            <w:r w:rsidRPr="00990D3B">
              <w:rPr>
                <w:sz w:val="16"/>
                <w:szCs w:val="16"/>
              </w:rPr>
              <w:t>Medicaid and CHIP Enrollee Orientation Curriculum (ES)</w:t>
            </w:r>
          </w:p>
          <w:p w:rsidR="00391F94" w:rsidRPr="00990D3B" w:rsidP="00391F94" w14:paraId="793784C2" w14:textId="3BE0CEB9">
            <w:pPr>
              <w:pStyle w:val="EQRTableTextbullet"/>
              <w:spacing w:line="240" w:lineRule="auto"/>
              <w:rPr>
                <w:sz w:val="16"/>
                <w:szCs w:val="16"/>
              </w:rPr>
            </w:pPr>
            <w:r w:rsidRPr="00990D3B">
              <w:rPr>
                <w:sz w:val="16"/>
                <w:szCs w:val="16"/>
              </w:rPr>
              <w:t xml:space="preserve">Medicaid and CHIP </w:t>
            </w:r>
            <w:r w:rsidRPr="00990D3B">
              <w:rPr>
                <w:sz w:val="16"/>
                <w:szCs w:val="16"/>
              </w:rPr>
              <w:t>enrollee</w:t>
            </w:r>
            <w:r w:rsidRPr="00990D3B">
              <w:rPr>
                <w:sz w:val="16"/>
                <w:szCs w:val="16"/>
              </w:rPr>
              <w:t xml:space="preserve"> grievance and appeals policies and procedures (ES)</w:t>
            </w:r>
          </w:p>
        </w:tc>
        <w:tc>
          <w:tcPr>
            <w:tcW w:w="1214" w:type="pct"/>
          </w:tcPr>
          <w:p w:rsidR="00391F94" w:rsidRPr="00990D3B" w:rsidP="00BB2520" w14:paraId="61ECF691" w14:textId="77777777">
            <w:pPr>
              <w:pStyle w:val="EQRTableText"/>
              <w:spacing w:line="240" w:lineRule="auto"/>
              <w:rPr>
                <w:b/>
                <w:color w:val="000000" w:themeColor="text1"/>
                <w:sz w:val="16"/>
                <w:szCs w:val="16"/>
              </w:rPr>
            </w:pPr>
          </w:p>
        </w:tc>
      </w:tr>
      <w:tr w14:paraId="6EFCF73A" w14:textId="77777777" w:rsidTr="006174D5">
        <w:tblPrEx>
          <w:tblW w:w="5000" w:type="pct"/>
          <w:tblLook w:val="04A0"/>
        </w:tblPrEx>
        <w:trPr>
          <w:cantSplit/>
        </w:trPr>
        <w:tc>
          <w:tcPr>
            <w:tcW w:w="1249" w:type="pct"/>
          </w:tcPr>
          <w:p w:rsidR="00000E62" w:rsidRPr="00990D3B" w:rsidP="00000E62" w14:paraId="19DDFDB7" w14:textId="77777777">
            <w:pPr>
              <w:pStyle w:val="EQRTableText"/>
              <w:spacing w:line="240" w:lineRule="auto"/>
              <w:rPr>
                <w:b/>
                <w:color w:val="000000" w:themeColor="text1"/>
                <w:sz w:val="16"/>
                <w:szCs w:val="16"/>
              </w:rPr>
            </w:pPr>
            <w:r w:rsidRPr="00990D3B">
              <w:rPr>
                <w:b/>
                <w:color w:val="000000" w:themeColor="text1"/>
                <w:sz w:val="16"/>
                <w:szCs w:val="16"/>
              </w:rPr>
              <w:t>Access and cultural considerations</w:t>
            </w:r>
          </w:p>
          <w:p w:rsidR="00000E62" w:rsidRPr="00990D3B" w:rsidP="00000E62" w14:paraId="745B25BA" w14:textId="77777777">
            <w:pPr>
              <w:pStyle w:val="EQRTableText"/>
              <w:spacing w:line="240" w:lineRule="auto"/>
              <w:rPr>
                <w:color w:val="000000" w:themeColor="text1"/>
                <w:sz w:val="16"/>
                <w:szCs w:val="16"/>
              </w:rPr>
            </w:pPr>
            <w:r w:rsidRPr="00990D3B">
              <w:rPr>
                <w:b/>
                <w:color w:val="000000" w:themeColor="text1"/>
                <w:sz w:val="16"/>
                <w:szCs w:val="16"/>
              </w:rPr>
              <w:t>Medicaid:</w:t>
            </w:r>
            <w:r w:rsidRPr="00990D3B">
              <w:rPr>
                <w:color w:val="000000" w:themeColor="text1"/>
                <w:sz w:val="16"/>
                <w:szCs w:val="16"/>
              </w:rPr>
              <w:t xml:space="preserve"> 42 C.F.R. 438.206(c)(2):</w:t>
            </w:r>
            <w:r w:rsidRPr="00990D3B">
              <w:rPr>
                <w:i/>
                <w:color w:val="000000" w:themeColor="text1"/>
                <w:sz w:val="16"/>
                <w:szCs w:val="16"/>
              </w:rPr>
              <w:t xml:space="preserve"> </w:t>
            </w:r>
            <w:r w:rsidRPr="00990D3B">
              <w:rPr>
                <w:color w:val="000000" w:themeColor="text1"/>
                <w:sz w:val="16"/>
                <w:szCs w:val="16"/>
              </w:rPr>
              <w:t>Furnishing of services and cultural considerations.</w:t>
            </w:r>
          </w:p>
          <w:p w:rsidR="00000E62" w:rsidRPr="00990D3B" w:rsidP="00000E62" w14:paraId="52670926" w14:textId="67C33F03">
            <w:pPr>
              <w:pStyle w:val="EQRTableText"/>
              <w:spacing w:line="240" w:lineRule="auto"/>
              <w:rPr>
                <w:b/>
                <w:color w:val="000000" w:themeColor="text1"/>
                <w:sz w:val="16"/>
                <w:szCs w:val="16"/>
              </w:rPr>
            </w:pPr>
            <w:r w:rsidRPr="00990D3B">
              <w:rPr>
                <w:b/>
                <w:color w:val="000000" w:themeColor="text1"/>
                <w:sz w:val="16"/>
                <w:szCs w:val="16"/>
              </w:rPr>
              <w:t>CHIP:</w:t>
            </w:r>
            <w:r w:rsidRPr="00990D3B">
              <w:rPr>
                <w:color w:val="000000" w:themeColor="text1"/>
                <w:sz w:val="16"/>
                <w:szCs w:val="16"/>
              </w:rPr>
              <w:t xml:space="preserve"> 42 C.F.R. 457.1230(a): Access standards</w:t>
            </w:r>
          </w:p>
        </w:tc>
        <w:tc>
          <w:tcPr>
            <w:tcW w:w="1286" w:type="pct"/>
          </w:tcPr>
          <w:p w:rsidR="00000E62" w:rsidRPr="00990D3B" w:rsidP="00000E62" w14:paraId="24929F82" w14:textId="77777777">
            <w:pPr>
              <w:pStyle w:val="EQRTableTextbullet"/>
              <w:spacing w:line="240" w:lineRule="auto"/>
              <w:rPr>
                <w:sz w:val="16"/>
                <w:szCs w:val="16"/>
              </w:rPr>
            </w:pPr>
            <w:r w:rsidRPr="00990D3B">
              <w:rPr>
                <w:sz w:val="16"/>
                <w:szCs w:val="16"/>
              </w:rPr>
              <w:t>Descriptive information on the state’s efforts to promote the delivery of services in a culturally competent manner to all enrollees, including those with limited English proficiency and diverse cultural and ethnic backgrounds.</w:t>
            </w:r>
          </w:p>
          <w:p w:rsidR="00000E62" w:rsidRPr="00990D3B" w:rsidP="00000E62" w14:paraId="55D6DF1B" w14:textId="27FE09E8">
            <w:pPr>
              <w:pStyle w:val="EQRTableTextbullet"/>
              <w:spacing w:line="240" w:lineRule="auto"/>
              <w:rPr>
                <w:sz w:val="16"/>
                <w:szCs w:val="16"/>
              </w:rPr>
            </w:pPr>
            <w:r w:rsidRPr="00990D3B">
              <w:rPr>
                <w:sz w:val="16"/>
                <w:szCs w:val="16"/>
              </w:rPr>
              <w:t>The requirements the state has communicated to the MCP with respect to how the MCP is expected to participate in the state’s efforts to promote the delivery of services in a culturally competent manner.</w:t>
            </w:r>
          </w:p>
        </w:tc>
        <w:tc>
          <w:tcPr>
            <w:tcW w:w="1251" w:type="pct"/>
          </w:tcPr>
          <w:p w:rsidR="00000E62" w:rsidRPr="00990D3B" w:rsidP="00000E62" w14:paraId="74576D58" w14:textId="77777777">
            <w:pPr>
              <w:pStyle w:val="EQRTableTextbullet"/>
              <w:spacing w:line="240" w:lineRule="auto"/>
              <w:rPr>
                <w:sz w:val="16"/>
                <w:szCs w:val="16"/>
              </w:rPr>
            </w:pPr>
            <w:r w:rsidRPr="00990D3B">
              <w:rPr>
                <w:sz w:val="16"/>
                <w:szCs w:val="16"/>
              </w:rPr>
              <w:t xml:space="preserve">Service planning documents and provider network planning documents (e.g., geographic assessments, provider network assessments, enrollee demographic studies, population needs </w:t>
            </w:r>
            <w:r w:rsidRPr="00990D3B">
              <w:rPr>
                <w:sz w:val="16"/>
                <w:szCs w:val="16"/>
              </w:rPr>
              <w:t>assessments)(</w:t>
            </w:r>
            <w:r w:rsidRPr="00990D3B">
              <w:rPr>
                <w:sz w:val="16"/>
                <w:szCs w:val="16"/>
              </w:rPr>
              <w:t>AM)</w:t>
            </w:r>
          </w:p>
          <w:p w:rsidR="00000E62" w:rsidRPr="00990D3B" w:rsidP="00000E62" w14:paraId="590AC2E0" w14:textId="77777777">
            <w:pPr>
              <w:pStyle w:val="EQRTableTextbullet"/>
              <w:spacing w:line="240" w:lineRule="auto"/>
              <w:rPr>
                <w:sz w:val="16"/>
                <w:szCs w:val="16"/>
              </w:rPr>
            </w:pPr>
            <w:r w:rsidRPr="00990D3B">
              <w:rPr>
                <w:sz w:val="16"/>
                <w:szCs w:val="16"/>
              </w:rPr>
              <w:t>Service availability and accessibility expectations and standards (AM)</w:t>
            </w:r>
          </w:p>
          <w:p w:rsidR="00000E62" w:rsidRPr="00990D3B" w:rsidP="00000E62" w14:paraId="0CE2F999" w14:textId="77777777">
            <w:pPr>
              <w:pStyle w:val="EQRTableTextbullet"/>
              <w:spacing w:line="240" w:lineRule="auto"/>
              <w:rPr>
                <w:sz w:val="16"/>
                <w:szCs w:val="16"/>
              </w:rPr>
            </w:pPr>
            <w:r w:rsidRPr="00990D3B">
              <w:rPr>
                <w:sz w:val="16"/>
                <w:szCs w:val="16"/>
              </w:rPr>
              <w:t>Other performance standards and quality indicators established by the MCP (AM)</w:t>
            </w:r>
          </w:p>
          <w:p w:rsidR="00000E62" w:rsidRPr="00990D3B" w:rsidP="00000E62" w14:paraId="7A8E1D79" w14:textId="77777777">
            <w:pPr>
              <w:pStyle w:val="EQRTableTextbullet"/>
              <w:spacing w:line="240" w:lineRule="auto"/>
              <w:rPr>
                <w:sz w:val="16"/>
                <w:szCs w:val="16"/>
              </w:rPr>
            </w:pPr>
            <w:r w:rsidRPr="00990D3B">
              <w:rPr>
                <w:sz w:val="16"/>
                <w:szCs w:val="16"/>
              </w:rPr>
              <w:t>Any measurement or analysis reports on service availability and accessibility (AM)</w:t>
            </w:r>
          </w:p>
          <w:p w:rsidR="00000E62" w:rsidRPr="00990D3B" w:rsidP="00000E62" w14:paraId="390DA252" w14:textId="77777777">
            <w:pPr>
              <w:pStyle w:val="EQRTableTextbullet"/>
              <w:spacing w:line="240" w:lineRule="auto"/>
              <w:rPr>
                <w:sz w:val="16"/>
                <w:szCs w:val="16"/>
              </w:rPr>
            </w:pPr>
            <w:r w:rsidRPr="00990D3B">
              <w:rPr>
                <w:sz w:val="16"/>
                <w:szCs w:val="16"/>
              </w:rPr>
              <w:t>List of all care and service providers in the MCP’s network (</w:t>
            </w:r>
            <w:r w:rsidRPr="00990D3B">
              <w:rPr>
                <w:sz w:val="16"/>
                <w:szCs w:val="16"/>
              </w:rPr>
              <w:t>may be</w:t>
            </w:r>
            <w:r w:rsidRPr="00990D3B">
              <w:rPr>
                <w:sz w:val="16"/>
                <w:szCs w:val="16"/>
              </w:rPr>
              <w:t xml:space="preserve"> the same as the provider directory) (AM)</w:t>
            </w:r>
          </w:p>
          <w:p w:rsidR="00000E62" w:rsidRPr="00990D3B" w:rsidP="00000E62" w14:paraId="5B18E4E7" w14:textId="77777777">
            <w:pPr>
              <w:pStyle w:val="EQRTableTextbullet"/>
              <w:spacing w:line="240" w:lineRule="auto"/>
              <w:rPr>
                <w:sz w:val="16"/>
                <w:szCs w:val="16"/>
              </w:rPr>
            </w:pPr>
            <w:r w:rsidRPr="00990D3B">
              <w:rPr>
                <w:sz w:val="16"/>
                <w:szCs w:val="16"/>
              </w:rPr>
              <w:t>Organization strategic plans (AM)</w:t>
            </w:r>
          </w:p>
          <w:p w:rsidR="00000E62" w:rsidRPr="00990D3B" w:rsidP="00000E62" w14:paraId="76ABDC0B" w14:textId="77777777">
            <w:pPr>
              <w:pStyle w:val="EQRTableTextbullet"/>
              <w:spacing w:line="240" w:lineRule="auto"/>
              <w:rPr>
                <w:sz w:val="16"/>
                <w:szCs w:val="16"/>
              </w:rPr>
            </w:pPr>
            <w:r w:rsidRPr="00990D3B">
              <w:rPr>
                <w:sz w:val="16"/>
                <w:szCs w:val="16"/>
              </w:rPr>
              <w:t>Administrative policies and procedures (AM)</w:t>
            </w:r>
          </w:p>
          <w:p w:rsidR="00000E62" w:rsidRPr="00990D3B" w:rsidP="000350CC" w14:paraId="2F39EE1E" w14:textId="5E5FCE2B">
            <w:pPr>
              <w:pStyle w:val="EQRTableTextbullet"/>
              <w:spacing w:line="240" w:lineRule="auto"/>
              <w:rPr>
                <w:sz w:val="16"/>
                <w:szCs w:val="16"/>
              </w:rPr>
            </w:pPr>
            <w:r w:rsidRPr="00990D3B">
              <w:rPr>
                <w:sz w:val="16"/>
                <w:szCs w:val="16"/>
              </w:rPr>
              <w:t>Medicaid and CHIP and other enrollee survey results (AM)</w:t>
            </w:r>
          </w:p>
        </w:tc>
        <w:tc>
          <w:tcPr>
            <w:tcW w:w="1214" w:type="pct"/>
          </w:tcPr>
          <w:p w:rsidR="00000E62" w:rsidRPr="00990D3B" w:rsidP="00000E62" w14:paraId="13C8CD10" w14:textId="77777777">
            <w:pPr>
              <w:pStyle w:val="EQRTableText"/>
              <w:spacing w:line="240" w:lineRule="auto"/>
              <w:rPr>
                <w:b/>
                <w:color w:val="000000" w:themeColor="text1"/>
                <w:sz w:val="16"/>
                <w:szCs w:val="16"/>
              </w:rPr>
            </w:pPr>
            <w:r w:rsidRPr="00990D3B">
              <w:rPr>
                <w:b/>
                <w:color w:val="000000" w:themeColor="text1"/>
                <w:sz w:val="16"/>
                <w:szCs w:val="16"/>
              </w:rPr>
              <w:t xml:space="preserve">Medicaid: </w:t>
            </w:r>
          </w:p>
          <w:p w:rsidR="00000E62" w:rsidRPr="00990D3B" w:rsidP="00000E62" w14:paraId="196FA3AD"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Fully Met</w:t>
            </w:r>
          </w:p>
          <w:p w:rsidR="00000E62" w:rsidRPr="00990D3B" w:rsidP="00000E62" w14:paraId="6AE6D48C"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000E62" w:rsidRPr="00990D3B" w:rsidP="00000E62" w14:paraId="3475019C"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000E62" w:rsidRPr="00990D3B" w:rsidP="00000E62" w14:paraId="07CB962A"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000E62" w:rsidRPr="00990D3B" w:rsidP="00000E62" w14:paraId="284C9097"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000E62" w:rsidRPr="00990D3B" w:rsidP="00000E62" w14:paraId="1C53C7B3"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Applicable</w:t>
            </w:r>
          </w:p>
          <w:p w:rsidR="00000E62" w:rsidRPr="00990D3B" w:rsidP="00000E62" w14:paraId="5520E582" w14:textId="77777777">
            <w:pPr>
              <w:pStyle w:val="EQRTableText"/>
              <w:spacing w:line="240" w:lineRule="auto"/>
              <w:rPr>
                <w:color w:val="000000" w:themeColor="text1"/>
                <w:sz w:val="16"/>
                <w:szCs w:val="16"/>
              </w:rPr>
            </w:pPr>
            <w:r w:rsidRPr="00990D3B">
              <w:rPr>
                <w:color w:val="000000" w:themeColor="text1"/>
                <w:sz w:val="16"/>
                <w:szCs w:val="16"/>
              </w:rPr>
              <w:t>Reviewer Notes:</w:t>
            </w:r>
          </w:p>
          <w:p w:rsidR="00000E62" w:rsidRPr="00990D3B" w:rsidP="00000E62" w14:paraId="6A119101" w14:textId="77777777">
            <w:pPr>
              <w:pStyle w:val="EQRTableText"/>
              <w:spacing w:line="240" w:lineRule="auto"/>
              <w:rPr>
                <w:b/>
                <w:color w:val="000000" w:themeColor="text1"/>
                <w:sz w:val="16"/>
                <w:szCs w:val="16"/>
              </w:rPr>
            </w:pPr>
            <w:r w:rsidRPr="00990D3B">
              <w:rPr>
                <w:b/>
                <w:color w:val="000000" w:themeColor="text1"/>
                <w:sz w:val="16"/>
                <w:szCs w:val="16"/>
              </w:rPr>
              <w:t>CHIP:</w:t>
            </w:r>
          </w:p>
          <w:p w:rsidR="00000E62" w:rsidRPr="00990D3B" w:rsidP="00000E62" w14:paraId="3EF4B8F7"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Fully Met</w:t>
            </w:r>
          </w:p>
          <w:p w:rsidR="00000E62" w:rsidRPr="00990D3B" w:rsidP="00000E62" w14:paraId="4D68C142"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000E62" w:rsidRPr="00990D3B" w:rsidP="00000E62" w14:paraId="46CADF89"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000E62" w:rsidRPr="00990D3B" w:rsidP="00000E62" w14:paraId="6FEE6D73"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000E62" w:rsidRPr="00990D3B" w:rsidP="00000E62" w14:paraId="28E9B716"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000E62" w:rsidRPr="00990D3B" w:rsidP="00000E62" w14:paraId="29218675"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Applicable</w:t>
            </w:r>
          </w:p>
          <w:p w:rsidR="00000E62" w:rsidRPr="00990D3B" w:rsidP="00000E62" w14:paraId="5C70D089" w14:textId="06300A94">
            <w:pPr>
              <w:pStyle w:val="EQRTableText"/>
              <w:spacing w:line="240" w:lineRule="auto"/>
              <w:rPr>
                <w:b/>
                <w:color w:val="000000" w:themeColor="text1"/>
                <w:sz w:val="16"/>
                <w:szCs w:val="16"/>
              </w:rPr>
            </w:pPr>
            <w:r w:rsidRPr="00990D3B">
              <w:rPr>
                <w:color w:val="000000" w:themeColor="text1"/>
                <w:sz w:val="16"/>
                <w:szCs w:val="16"/>
              </w:rPr>
              <w:t>Reviewer Notes:</w:t>
            </w:r>
          </w:p>
        </w:tc>
      </w:tr>
      <w:tr w14:paraId="40DD1A60" w14:textId="77777777" w:rsidTr="006174D5">
        <w:tblPrEx>
          <w:tblW w:w="5000" w:type="pct"/>
          <w:tblLook w:val="04A0"/>
        </w:tblPrEx>
        <w:trPr>
          <w:cantSplit/>
        </w:trPr>
        <w:tc>
          <w:tcPr>
            <w:tcW w:w="1249" w:type="pct"/>
          </w:tcPr>
          <w:p w:rsidR="004E5913" w:rsidRPr="00990D3B" w:rsidP="00BB2520" w14:paraId="7D6C26FC" w14:textId="75E2D3A3">
            <w:pPr>
              <w:pStyle w:val="EQRTableText"/>
              <w:spacing w:line="240" w:lineRule="auto"/>
              <w:rPr>
                <w:color w:val="000000" w:themeColor="text1"/>
                <w:sz w:val="16"/>
                <w:szCs w:val="16"/>
              </w:rPr>
            </w:pPr>
          </w:p>
        </w:tc>
        <w:tc>
          <w:tcPr>
            <w:tcW w:w="1286" w:type="pct"/>
          </w:tcPr>
          <w:p w:rsidR="004E5913" w:rsidRPr="00990D3B" w:rsidP="00000E62" w14:paraId="2E53F4C4" w14:textId="47DA80F9">
            <w:pPr>
              <w:pStyle w:val="EQRTableText"/>
            </w:pPr>
          </w:p>
        </w:tc>
        <w:tc>
          <w:tcPr>
            <w:tcW w:w="1251" w:type="pct"/>
          </w:tcPr>
          <w:p w:rsidR="004E5913" w:rsidRPr="00990D3B" w:rsidP="00BB2520" w14:paraId="387C2246" w14:textId="77777777">
            <w:pPr>
              <w:pStyle w:val="EQRTableTextbullet"/>
              <w:spacing w:line="240" w:lineRule="auto"/>
              <w:rPr>
                <w:sz w:val="16"/>
                <w:szCs w:val="16"/>
              </w:rPr>
            </w:pPr>
            <w:r w:rsidRPr="00990D3B">
              <w:rPr>
                <w:sz w:val="16"/>
                <w:szCs w:val="16"/>
              </w:rPr>
              <w:t>Utilization management policies and procedures (UM)</w:t>
            </w:r>
          </w:p>
          <w:p w:rsidR="004E5913" w:rsidRPr="00990D3B" w:rsidP="00BB2520" w14:paraId="0D3BA5BC" w14:textId="77777777">
            <w:pPr>
              <w:pStyle w:val="EQRTableTextbullet"/>
              <w:spacing w:line="240" w:lineRule="auto"/>
              <w:rPr>
                <w:sz w:val="16"/>
                <w:szCs w:val="16"/>
              </w:rPr>
            </w:pPr>
            <w:r w:rsidRPr="00990D3B">
              <w:rPr>
                <w:sz w:val="16"/>
                <w:szCs w:val="16"/>
              </w:rPr>
              <w:t>Service authorization policies and procedures (UM)</w:t>
            </w:r>
          </w:p>
          <w:p w:rsidR="004E5913" w:rsidRPr="00990D3B" w:rsidP="00BB2520" w14:paraId="4451C9A8" w14:textId="77777777">
            <w:pPr>
              <w:pStyle w:val="EQRTableTextbullet"/>
              <w:spacing w:line="240" w:lineRule="auto"/>
              <w:rPr>
                <w:sz w:val="16"/>
                <w:szCs w:val="16"/>
              </w:rPr>
            </w:pPr>
            <w:r w:rsidRPr="00990D3B">
              <w:rPr>
                <w:sz w:val="16"/>
                <w:szCs w:val="16"/>
              </w:rPr>
              <w:t>Provider contracts (PS)</w:t>
            </w:r>
          </w:p>
          <w:p w:rsidR="004E5913" w:rsidRPr="00990D3B" w:rsidP="00BB2520" w14:paraId="10B1F9E4" w14:textId="77777777">
            <w:pPr>
              <w:pStyle w:val="EQRTableTextbullet"/>
              <w:spacing w:line="240" w:lineRule="auto"/>
              <w:rPr>
                <w:sz w:val="16"/>
                <w:szCs w:val="16"/>
              </w:rPr>
            </w:pPr>
            <w:r w:rsidRPr="00990D3B">
              <w:rPr>
                <w:sz w:val="16"/>
                <w:szCs w:val="16"/>
              </w:rPr>
              <w:t>Provider/Contractor procedure manuals (PS)</w:t>
            </w:r>
          </w:p>
          <w:p w:rsidR="004E5913" w:rsidRPr="00990D3B" w:rsidP="00BB2520" w14:paraId="16CC5AB9" w14:textId="77777777">
            <w:pPr>
              <w:pStyle w:val="EQRTableTextbullet"/>
              <w:spacing w:line="240" w:lineRule="auto"/>
              <w:rPr>
                <w:sz w:val="16"/>
                <w:szCs w:val="16"/>
              </w:rPr>
            </w:pPr>
            <w:r w:rsidRPr="00990D3B">
              <w:rPr>
                <w:sz w:val="16"/>
                <w:szCs w:val="16"/>
              </w:rPr>
              <w:t>Provider/Contractor oversight and evaluation policies and procedures, audit tools (PS)</w:t>
            </w:r>
          </w:p>
          <w:p w:rsidR="004E5913" w:rsidRPr="00990D3B" w:rsidP="00BB2520" w14:paraId="38C13C35" w14:textId="32B4061C">
            <w:pPr>
              <w:pStyle w:val="EQRTableTextbullet"/>
              <w:spacing w:line="240" w:lineRule="auto"/>
              <w:rPr>
                <w:sz w:val="16"/>
                <w:szCs w:val="16"/>
              </w:rPr>
            </w:pPr>
            <w:r w:rsidRPr="00990D3B">
              <w:rPr>
                <w:sz w:val="16"/>
                <w:szCs w:val="16"/>
              </w:rPr>
              <w:t>Medicaid and CHIP</w:t>
            </w:r>
            <w:r w:rsidRPr="00990D3B">
              <w:rPr>
                <w:sz w:val="16"/>
                <w:szCs w:val="16"/>
              </w:rPr>
              <w:t xml:space="preserve"> enrollee services policies and procedures (ES)</w:t>
            </w:r>
          </w:p>
          <w:p w:rsidR="004E5913" w:rsidRPr="00990D3B" w:rsidP="00BB2520" w14:paraId="682F7E4A" w14:textId="77777777">
            <w:pPr>
              <w:pStyle w:val="EQRTableTextbullet"/>
              <w:spacing w:line="240" w:lineRule="auto"/>
              <w:rPr>
                <w:sz w:val="16"/>
                <w:szCs w:val="16"/>
              </w:rPr>
            </w:pPr>
            <w:r w:rsidRPr="00990D3B">
              <w:rPr>
                <w:sz w:val="16"/>
                <w:szCs w:val="16"/>
              </w:rPr>
              <w:t>Statement of enrollee rights (ES)</w:t>
            </w:r>
          </w:p>
          <w:p w:rsidR="004E5913" w:rsidRPr="00990D3B" w:rsidP="00BB2520" w14:paraId="010CD034" w14:textId="3F5B3C8F">
            <w:pPr>
              <w:pStyle w:val="EQRTableTextbullet"/>
              <w:spacing w:line="240" w:lineRule="auto"/>
              <w:rPr>
                <w:sz w:val="16"/>
                <w:szCs w:val="16"/>
              </w:rPr>
            </w:pPr>
            <w:r w:rsidRPr="00990D3B">
              <w:rPr>
                <w:sz w:val="16"/>
                <w:szCs w:val="16"/>
              </w:rPr>
              <w:t>Medicaid and CHIP</w:t>
            </w:r>
            <w:r w:rsidRPr="00990D3B">
              <w:rPr>
                <w:sz w:val="16"/>
                <w:szCs w:val="16"/>
              </w:rPr>
              <w:t xml:space="preserve"> Enrollee Handbooks (ES)</w:t>
            </w:r>
          </w:p>
          <w:p w:rsidR="004E5913" w:rsidRPr="00990D3B" w:rsidP="00BB2520" w14:paraId="639BFCE8" w14:textId="2A2F125E">
            <w:pPr>
              <w:pStyle w:val="EQRTableTextbullet"/>
              <w:spacing w:line="240" w:lineRule="auto"/>
              <w:rPr>
                <w:sz w:val="16"/>
                <w:szCs w:val="16"/>
              </w:rPr>
            </w:pPr>
            <w:r w:rsidRPr="00990D3B">
              <w:rPr>
                <w:sz w:val="16"/>
                <w:szCs w:val="16"/>
              </w:rPr>
              <w:t>Medicaid and CHIP</w:t>
            </w:r>
            <w:r w:rsidRPr="00990D3B">
              <w:rPr>
                <w:sz w:val="16"/>
                <w:szCs w:val="16"/>
              </w:rPr>
              <w:t xml:space="preserve"> provider directory (ES)</w:t>
            </w:r>
          </w:p>
          <w:p w:rsidR="004E5913" w:rsidRPr="00990D3B" w:rsidP="00BB2520" w14:paraId="72423BF4" w14:textId="6AE06082">
            <w:pPr>
              <w:pStyle w:val="EQRTableTextbullet"/>
              <w:spacing w:line="240" w:lineRule="auto"/>
              <w:rPr>
                <w:sz w:val="16"/>
                <w:szCs w:val="16"/>
              </w:rPr>
            </w:pPr>
            <w:r w:rsidRPr="00990D3B">
              <w:rPr>
                <w:sz w:val="16"/>
                <w:szCs w:val="16"/>
              </w:rPr>
              <w:t>Medicaid and CHIP</w:t>
            </w:r>
            <w:r w:rsidRPr="00990D3B">
              <w:rPr>
                <w:sz w:val="16"/>
                <w:szCs w:val="16"/>
              </w:rPr>
              <w:t xml:space="preserve"> Enrollee Orientation Curriculum (ES)</w:t>
            </w:r>
          </w:p>
          <w:p w:rsidR="004E5913" w:rsidRPr="00990D3B" w:rsidP="00BB2520" w14:paraId="7202E59E" w14:textId="3CE35C8E">
            <w:pPr>
              <w:pStyle w:val="EQRTableTextbullet"/>
              <w:spacing w:line="240" w:lineRule="auto"/>
              <w:rPr>
                <w:sz w:val="16"/>
                <w:szCs w:val="16"/>
              </w:rPr>
            </w:pPr>
            <w:r w:rsidRPr="00990D3B">
              <w:rPr>
                <w:sz w:val="16"/>
                <w:szCs w:val="16"/>
              </w:rPr>
              <w:t>Medicaid and CHIP</w:t>
            </w:r>
            <w:r w:rsidRPr="00990D3B">
              <w:rPr>
                <w:sz w:val="16"/>
                <w:szCs w:val="16"/>
              </w:rPr>
              <w:t xml:space="preserve"> </w:t>
            </w:r>
            <w:r w:rsidRPr="00990D3B">
              <w:rPr>
                <w:sz w:val="16"/>
                <w:szCs w:val="16"/>
              </w:rPr>
              <w:t>enrollee</w:t>
            </w:r>
            <w:r w:rsidRPr="00990D3B">
              <w:rPr>
                <w:sz w:val="16"/>
                <w:szCs w:val="16"/>
              </w:rPr>
              <w:t xml:space="preserve"> grievance and appeals policies and procedures (ES)</w:t>
            </w:r>
          </w:p>
        </w:tc>
        <w:tc>
          <w:tcPr>
            <w:tcW w:w="1214" w:type="pct"/>
          </w:tcPr>
          <w:p w:rsidR="004E5913" w:rsidRPr="00990D3B" w:rsidP="00BB2520" w14:paraId="785A723A" w14:textId="6CC319FC">
            <w:pPr>
              <w:pStyle w:val="EQRTableText"/>
              <w:spacing w:line="240" w:lineRule="auto"/>
              <w:rPr>
                <w:color w:val="000000" w:themeColor="text1"/>
                <w:sz w:val="16"/>
                <w:szCs w:val="16"/>
              </w:rPr>
            </w:pPr>
          </w:p>
        </w:tc>
      </w:tr>
      <w:tr w14:paraId="0076A214" w14:textId="77777777" w:rsidTr="006174D5">
        <w:tblPrEx>
          <w:tblW w:w="5000" w:type="pct"/>
          <w:tblLook w:val="04A0"/>
        </w:tblPrEx>
        <w:trPr>
          <w:cantSplit/>
        </w:trPr>
        <w:tc>
          <w:tcPr>
            <w:tcW w:w="1249" w:type="pct"/>
          </w:tcPr>
          <w:p w:rsidR="004E5913" w:rsidRPr="00990D3B" w:rsidP="00BB2520" w14:paraId="7D499FBA" w14:textId="77777777">
            <w:pPr>
              <w:pStyle w:val="EQRTableText"/>
              <w:spacing w:line="240" w:lineRule="auto"/>
              <w:rPr>
                <w:b/>
                <w:color w:val="000000" w:themeColor="text1"/>
                <w:sz w:val="16"/>
                <w:szCs w:val="16"/>
              </w:rPr>
            </w:pPr>
            <w:r w:rsidRPr="00990D3B">
              <w:rPr>
                <w:b/>
                <w:color w:val="000000" w:themeColor="text1"/>
                <w:sz w:val="16"/>
                <w:szCs w:val="16"/>
              </w:rPr>
              <w:t>Assurances of adequate capacity and services</w:t>
            </w:r>
          </w:p>
          <w:p w:rsidR="004E5913" w:rsidRPr="00990D3B" w:rsidP="00BB2520" w14:paraId="0C818E05" w14:textId="6B2319A2">
            <w:pPr>
              <w:pStyle w:val="EQRTableText"/>
              <w:spacing w:line="240" w:lineRule="auto"/>
              <w:rPr>
                <w:color w:val="000000" w:themeColor="text1"/>
                <w:sz w:val="16"/>
                <w:szCs w:val="16"/>
              </w:rPr>
            </w:pPr>
            <w:r w:rsidRPr="00990D3B">
              <w:rPr>
                <w:b/>
                <w:color w:val="000000" w:themeColor="text1"/>
                <w:sz w:val="16"/>
                <w:szCs w:val="16"/>
              </w:rPr>
              <w:t>Medicaid:</w:t>
            </w:r>
            <w:r w:rsidRPr="00990D3B">
              <w:rPr>
                <w:color w:val="000000" w:themeColor="text1"/>
                <w:sz w:val="16"/>
                <w:szCs w:val="16"/>
              </w:rPr>
              <w:t xml:space="preserve">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438.207:</w:t>
            </w:r>
            <w:r w:rsidRPr="00990D3B">
              <w:rPr>
                <w:i/>
                <w:color w:val="000000" w:themeColor="text1"/>
                <w:sz w:val="16"/>
                <w:szCs w:val="16"/>
              </w:rPr>
              <w:t xml:space="preserve"> </w:t>
            </w:r>
            <w:r w:rsidRPr="00990D3B">
              <w:rPr>
                <w:color w:val="000000" w:themeColor="text1"/>
                <w:sz w:val="16"/>
                <w:szCs w:val="16"/>
              </w:rPr>
              <w:t>Assurances of adequate capacity and services</w:t>
            </w:r>
          </w:p>
          <w:p w:rsidR="004E5913" w:rsidRPr="00990D3B" w:rsidP="00BB2520" w14:paraId="61321B93" w14:textId="2A19D108">
            <w:pPr>
              <w:pStyle w:val="EQRTableText"/>
              <w:spacing w:line="240" w:lineRule="auto"/>
              <w:rPr>
                <w:color w:val="000000" w:themeColor="text1"/>
                <w:sz w:val="16"/>
                <w:szCs w:val="16"/>
              </w:rPr>
            </w:pPr>
            <w:r w:rsidRPr="00990D3B">
              <w:rPr>
                <w:b/>
                <w:color w:val="000000" w:themeColor="text1"/>
                <w:sz w:val="16"/>
                <w:szCs w:val="16"/>
              </w:rPr>
              <w:t>CHIP:</w:t>
            </w:r>
            <w:r w:rsidRPr="00990D3B">
              <w:rPr>
                <w:color w:val="000000" w:themeColor="text1"/>
                <w:sz w:val="16"/>
                <w:szCs w:val="16"/>
              </w:rPr>
              <w:t xml:space="preserve">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457.1230(b): Assurances of adequate capacity and services</w:t>
            </w:r>
          </w:p>
        </w:tc>
        <w:tc>
          <w:tcPr>
            <w:tcW w:w="1286" w:type="pct"/>
          </w:tcPr>
          <w:p w:rsidR="004E5913" w:rsidRPr="00990D3B" w:rsidP="00BB2520" w14:paraId="5A58B45C" w14:textId="3B74E6F0">
            <w:pPr>
              <w:pStyle w:val="EQRTableTextbullet"/>
              <w:spacing w:line="240" w:lineRule="auto"/>
              <w:rPr>
                <w:sz w:val="16"/>
                <w:szCs w:val="16"/>
              </w:rPr>
            </w:pPr>
            <w:r w:rsidRPr="00990D3B">
              <w:rPr>
                <w:sz w:val="16"/>
                <w:szCs w:val="16"/>
              </w:rPr>
              <w:t>Medicaid and CHIP</w:t>
            </w:r>
            <w:r w:rsidRPr="00990D3B">
              <w:rPr>
                <w:sz w:val="16"/>
                <w:szCs w:val="16"/>
              </w:rPr>
              <w:t xml:space="preserve"> </w:t>
            </w:r>
            <w:r w:rsidRPr="00990D3B" w:rsidR="00C67AC8">
              <w:rPr>
                <w:sz w:val="16"/>
                <w:szCs w:val="16"/>
              </w:rPr>
              <w:t xml:space="preserve">program </w:t>
            </w:r>
            <w:r w:rsidRPr="00990D3B">
              <w:rPr>
                <w:sz w:val="16"/>
                <w:szCs w:val="16"/>
              </w:rPr>
              <w:t xml:space="preserve">documentation and submission timing standards to </w:t>
            </w:r>
            <w:r w:rsidRPr="00990D3B">
              <w:rPr>
                <w:sz w:val="16"/>
                <w:szCs w:val="16"/>
              </w:rPr>
              <w:t>assure</w:t>
            </w:r>
            <w:r w:rsidRPr="00990D3B">
              <w:rPr>
                <w:sz w:val="16"/>
                <w:szCs w:val="16"/>
              </w:rPr>
              <w:t xml:space="preserve"> that the MCP has an appropriate range of preventive, primary care, specialty, and LTSS services that are adequate for the anticipated number of </w:t>
            </w:r>
            <w:r w:rsidRPr="00990D3B">
              <w:rPr>
                <w:sz w:val="16"/>
                <w:szCs w:val="16"/>
              </w:rPr>
              <w:t>enrollees</w:t>
            </w:r>
            <w:r w:rsidRPr="00990D3B">
              <w:rPr>
                <w:sz w:val="16"/>
                <w:szCs w:val="16"/>
              </w:rPr>
              <w:t xml:space="preserve"> in the MCP’s service area.</w:t>
            </w:r>
          </w:p>
          <w:p w:rsidR="004E5913" w:rsidRPr="00990D3B" w:rsidP="00BB2520" w14:paraId="180C2516" w14:textId="0ECC6686">
            <w:pPr>
              <w:pStyle w:val="EQRTableTextbullet"/>
              <w:spacing w:line="240" w:lineRule="auto"/>
              <w:rPr>
                <w:sz w:val="16"/>
                <w:szCs w:val="16"/>
              </w:rPr>
            </w:pPr>
            <w:r w:rsidRPr="00990D3B">
              <w:rPr>
                <w:sz w:val="16"/>
                <w:szCs w:val="16"/>
              </w:rPr>
              <w:t>Medicaid and CHIP</w:t>
            </w:r>
            <w:r w:rsidRPr="00990D3B">
              <w:rPr>
                <w:sz w:val="16"/>
                <w:szCs w:val="16"/>
              </w:rPr>
              <w:t xml:space="preserve"> </w:t>
            </w:r>
            <w:r w:rsidRPr="00990D3B" w:rsidR="00C67AC8">
              <w:rPr>
                <w:sz w:val="16"/>
                <w:szCs w:val="16"/>
              </w:rPr>
              <w:t xml:space="preserve">program </w:t>
            </w:r>
            <w:r w:rsidRPr="00990D3B">
              <w:rPr>
                <w:sz w:val="16"/>
                <w:szCs w:val="16"/>
              </w:rPr>
              <w:t>documentation and submission timing standards to assure that the MCP maintains a network of providers that is sufficient in number, mix, and geographic distribution to meet the needs of the anticipated number of enrollees in the service area.</w:t>
            </w:r>
          </w:p>
        </w:tc>
        <w:tc>
          <w:tcPr>
            <w:tcW w:w="1251" w:type="pct"/>
          </w:tcPr>
          <w:p w:rsidR="004E5913" w:rsidRPr="00990D3B" w:rsidP="00BB2520" w14:paraId="24F7738B" w14:textId="5285D448">
            <w:pPr>
              <w:pStyle w:val="EQRTableTextbullet"/>
              <w:spacing w:line="240" w:lineRule="auto"/>
              <w:rPr>
                <w:sz w:val="16"/>
                <w:szCs w:val="16"/>
              </w:rPr>
            </w:pPr>
            <w:r w:rsidRPr="00990D3B">
              <w:rPr>
                <w:sz w:val="16"/>
                <w:szCs w:val="16"/>
              </w:rPr>
              <w:t xml:space="preserve">MCP </w:t>
            </w:r>
            <w:r w:rsidRPr="00990D3B" w:rsidR="001C7FC0">
              <w:rPr>
                <w:sz w:val="16"/>
                <w:szCs w:val="16"/>
              </w:rPr>
              <w:t>42 C.F.R.</w:t>
            </w:r>
            <w:r w:rsidRPr="00990D3B" w:rsidR="007854DF">
              <w:rPr>
                <w:sz w:val="16"/>
                <w:szCs w:val="16"/>
              </w:rPr>
              <w:t xml:space="preserve"> </w:t>
            </w:r>
            <w:r w:rsidRPr="00990D3B">
              <w:rPr>
                <w:sz w:val="16"/>
                <w:szCs w:val="16"/>
              </w:rPr>
              <w:t>438.207(b) compliance documentation</w:t>
            </w:r>
          </w:p>
          <w:p w:rsidR="004E5913" w:rsidRPr="00990D3B" w:rsidP="00BB2520" w14:paraId="441857F7" w14:textId="732DB16F">
            <w:pPr>
              <w:pStyle w:val="EQRTableTextbullet"/>
              <w:spacing w:line="240" w:lineRule="auto"/>
              <w:rPr>
                <w:sz w:val="16"/>
                <w:szCs w:val="16"/>
              </w:rPr>
            </w:pPr>
            <w:r w:rsidRPr="00990D3B">
              <w:rPr>
                <w:sz w:val="16"/>
                <w:szCs w:val="16"/>
              </w:rPr>
              <w:t xml:space="preserve">MCP </w:t>
            </w:r>
            <w:r w:rsidRPr="00990D3B" w:rsidR="001C7FC0">
              <w:rPr>
                <w:sz w:val="16"/>
                <w:szCs w:val="16"/>
              </w:rPr>
              <w:t>42 C.F.R.</w:t>
            </w:r>
            <w:r w:rsidRPr="00990D3B">
              <w:rPr>
                <w:sz w:val="16"/>
                <w:szCs w:val="16"/>
              </w:rPr>
              <w:t xml:space="preserve"> 438.207(c) compliance documentation</w:t>
            </w:r>
          </w:p>
          <w:p w:rsidR="004E5913" w:rsidRPr="00990D3B" w:rsidP="00BB2520" w14:paraId="74F3689B" w14:textId="3AFCE304">
            <w:pPr>
              <w:pStyle w:val="EQRTableTextbullet"/>
              <w:spacing w:line="240" w:lineRule="auto"/>
              <w:rPr>
                <w:sz w:val="16"/>
                <w:szCs w:val="16"/>
              </w:rPr>
            </w:pPr>
            <w:r w:rsidRPr="00990D3B">
              <w:rPr>
                <w:sz w:val="16"/>
                <w:szCs w:val="16"/>
              </w:rPr>
              <w:t xml:space="preserve">MCP </w:t>
            </w:r>
            <w:r w:rsidRPr="00990D3B" w:rsidR="001C7FC0">
              <w:rPr>
                <w:sz w:val="16"/>
                <w:szCs w:val="16"/>
              </w:rPr>
              <w:t>42 C.F.R.</w:t>
            </w:r>
            <w:r w:rsidRPr="00990D3B">
              <w:rPr>
                <w:sz w:val="16"/>
                <w:szCs w:val="16"/>
              </w:rPr>
              <w:t xml:space="preserve"> 457.1230(b) compliance documentation</w:t>
            </w:r>
          </w:p>
        </w:tc>
        <w:tc>
          <w:tcPr>
            <w:tcW w:w="1214" w:type="pct"/>
          </w:tcPr>
          <w:p w:rsidR="00763D3B" w:rsidRPr="00990D3B" w:rsidP="00BB2520" w14:paraId="7A01D08C" w14:textId="77777777">
            <w:pPr>
              <w:pStyle w:val="EQRTableText"/>
              <w:spacing w:line="240" w:lineRule="auto"/>
              <w:rPr>
                <w:b/>
                <w:color w:val="000000" w:themeColor="text1"/>
                <w:sz w:val="16"/>
                <w:szCs w:val="16"/>
              </w:rPr>
            </w:pPr>
            <w:r w:rsidRPr="00990D3B">
              <w:rPr>
                <w:b/>
                <w:color w:val="000000" w:themeColor="text1"/>
                <w:sz w:val="16"/>
                <w:szCs w:val="16"/>
              </w:rPr>
              <w:t xml:space="preserve">Medicaid: </w:t>
            </w:r>
          </w:p>
          <w:p w:rsidR="00763D3B" w:rsidRPr="00990D3B" w:rsidP="00BB2520" w14:paraId="32AA7C9A"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Fully Met</w:t>
            </w:r>
          </w:p>
          <w:p w:rsidR="00763D3B" w:rsidRPr="00990D3B" w:rsidP="00BB2520" w14:paraId="517AEF98"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763D3B" w:rsidRPr="00990D3B" w:rsidP="00BB2520" w14:paraId="74467747"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763D3B" w:rsidRPr="00990D3B" w:rsidP="00BB2520" w14:paraId="4E5ACF8F"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763D3B" w:rsidRPr="00990D3B" w:rsidP="00BB2520" w14:paraId="0CD98907"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763D3B" w:rsidRPr="00990D3B" w:rsidP="00BB2520" w14:paraId="106A907C"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Applicable</w:t>
            </w:r>
          </w:p>
          <w:p w:rsidR="00763D3B" w:rsidRPr="00990D3B" w:rsidP="00BB2520" w14:paraId="1D7BF813" w14:textId="77777777">
            <w:pPr>
              <w:pStyle w:val="EQRTableText"/>
              <w:spacing w:line="240" w:lineRule="auto"/>
              <w:rPr>
                <w:color w:val="000000" w:themeColor="text1"/>
                <w:sz w:val="16"/>
                <w:szCs w:val="16"/>
              </w:rPr>
            </w:pPr>
            <w:r w:rsidRPr="00990D3B">
              <w:rPr>
                <w:color w:val="000000" w:themeColor="text1"/>
                <w:sz w:val="16"/>
                <w:szCs w:val="16"/>
              </w:rPr>
              <w:t>Reviewer Notes:</w:t>
            </w:r>
          </w:p>
          <w:p w:rsidR="00763D3B" w:rsidRPr="00990D3B" w:rsidP="00BB2520" w14:paraId="7AC284CC" w14:textId="77777777">
            <w:pPr>
              <w:pStyle w:val="EQRTableText"/>
              <w:spacing w:line="240" w:lineRule="auto"/>
              <w:rPr>
                <w:b/>
                <w:color w:val="000000" w:themeColor="text1"/>
                <w:sz w:val="16"/>
                <w:szCs w:val="16"/>
              </w:rPr>
            </w:pPr>
            <w:r w:rsidRPr="00990D3B">
              <w:rPr>
                <w:b/>
                <w:color w:val="000000" w:themeColor="text1"/>
                <w:sz w:val="16"/>
                <w:szCs w:val="16"/>
              </w:rPr>
              <w:t>CHIP:</w:t>
            </w:r>
          </w:p>
          <w:p w:rsidR="00763D3B" w:rsidRPr="00990D3B" w:rsidP="00BB2520" w14:paraId="136D7621"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Fully Met</w:t>
            </w:r>
          </w:p>
          <w:p w:rsidR="00763D3B" w:rsidRPr="00990D3B" w:rsidP="00BB2520" w14:paraId="695998BE"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763D3B" w:rsidRPr="00990D3B" w:rsidP="00BB2520" w14:paraId="2D45992D"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763D3B" w:rsidRPr="00990D3B" w:rsidP="00BB2520" w14:paraId="62121941"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763D3B" w:rsidRPr="00990D3B" w:rsidP="00BB2520" w14:paraId="6B5FBE82"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763D3B" w:rsidRPr="00990D3B" w:rsidP="00BB2520" w14:paraId="531C70A5"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Applicable</w:t>
            </w:r>
          </w:p>
          <w:p w:rsidR="006C375B" w:rsidRPr="00990D3B" w:rsidP="00BB2520" w14:paraId="1F4A4CF2" w14:textId="18F0A846">
            <w:pPr>
              <w:pStyle w:val="EQRTableText"/>
              <w:spacing w:line="240" w:lineRule="auto"/>
              <w:rPr>
                <w:color w:val="000000" w:themeColor="text1"/>
                <w:sz w:val="16"/>
                <w:szCs w:val="16"/>
              </w:rPr>
            </w:pPr>
            <w:r w:rsidRPr="00990D3B">
              <w:rPr>
                <w:color w:val="000000" w:themeColor="text1"/>
                <w:sz w:val="16"/>
                <w:szCs w:val="16"/>
              </w:rPr>
              <w:t>Reviewer Notes:</w:t>
            </w:r>
          </w:p>
        </w:tc>
      </w:tr>
      <w:tr w14:paraId="1B149D40" w14:textId="77777777" w:rsidTr="006174D5">
        <w:tblPrEx>
          <w:tblW w:w="5000" w:type="pct"/>
          <w:tblLook w:val="04A0"/>
        </w:tblPrEx>
        <w:trPr>
          <w:cantSplit/>
        </w:trPr>
        <w:tc>
          <w:tcPr>
            <w:tcW w:w="1249" w:type="pct"/>
          </w:tcPr>
          <w:p w:rsidR="004E5913" w:rsidRPr="00990D3B" w:rsidP="00BB2520" w14:paraId="62349BA6" w14:textId="77777777">
            <w:pPr>
              <w:pStyle w:val="EQRTableText"/>
              <w:spacing w:line="240" w:lineRule="auto"/>
              <w:rPr>
                <w:b/>
                <w:color w:val="000000" w:themeColor="text1"/>
                <w:sz w:val="16"/>
                <w:szCs w:val="16"/>
              </w:rPr>
            </w:pPr>
            <w:r w:rsidRPr="00990D3B">
              <w:rPr>
                <w:b/>
                <w:color w:val="000000" w:themeColor="text1"/>
                <w:sz w:val="16"/>
                <w:szCs w:val="16"/>
              </w:rPr>
              <w:t>Coordination and continuity of care for all enrollees</w:t>
            </w:r>
          </w:p>
          <w:p w:rsidR="004E5913" w:rsidRPr="00990D3B" w:rsidP="00BB2520" w14:paraId="17442CF7" w14:textId="4C0D3521">
            <w:pPr>
              <w:pStyle w:val="EQRTableText"/>
              <w:spacing w:line="240" w:lineRule="auto"/>
              <w:rPr>
                <w:color w:val="000000" w:themeColor="text1"/>
                <w:sz w:val="16"/>
                <w:szCs w:val="16"/>
              </w:rPr>
            </w:pPr>
            <w:r w:rsidRPr="00990D3B">
              <w:rPr>
                <w:b/>
                <w:color w:val="000000" w:themeColor="text1"/>
                <w:sz w:val="16"/>
                <w:szCs w:val="16"/>
              </w:rPr>
              <w:t>Medicaid</w:t>
            </w:r>
            <w:r w:rsidRPr="00990D3B">
              <w:rPr>
                <w:color w:val="000000" w:themeColor="text1"/>
                <w:sz w:val="16"/>
                <w:szCs w:val="16"/>
              </w:rPr>
              <w:t xml:space="preserve">: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438.208: Coordination and continuity of care</w:t>
            </w:r>
          </w:p>
          <w:p w:rsidR="004E5913" w:rsidRPr="00990D3B" w:rsidP="00BB2520" w14:paraId="2D7DAFC3" w14:textId="1379339D">
            <w:pPr>
              <w:pStyle w:val="EQRTableText"/>
              <w:spacing w:line="240" w:lineRule="auto"/>
              <w:rPr>
                <w:color w:val="000000" w:themeColor="text1"/>
                <w:sz w:val="16"/>
                <w:szCs w:val="16"/>
              </w:rPr>
            </w:pPr>
            <w:r w:rsidRPr="00990D3B">
              <w:rPr>
                <w:b/>
                <w:color w:val="000000" w:themeColor="text1"/>
                <w:sz w:val="16"/>
                <w:szCs w:val="16"/>
              </w:rPr>
              <w:t>CHIP</w:t>
            </w:r>
            <w:r w:rsidRPr="00990D3B">
              <w:rPr>
                <w:color w:val="000000" w:themeColor="text1"/>
                <w:sz w:val="16"/>
                <w:szCs w:val="16"/>
              </w:rPr>
              <w:t xml:space="preserve">: </w:t>
            </w:r>
            <w:r w:rsidRPr="00990D3B" w:rsidR="001C7FC0">
              <w:rPr>
                <w:color w:val="000000" w:themeColor="text1"/>
                <w:sz w:val="16"/>
                <w:szCs w:val="16"/>
              </w:rPr>
              <w:t>42 C.F.</w:t>
            </w:r>
            <w:r w:rsidRPr="00990D3B">
              <w:rPr>
                <w:color w:val="000000" w:themeColor="text1"/>
                <w:sz w:val="16"/>
                <w:szCs w:val="16"/>
              </w:rPr>
              <w:t>457.1230(c): Coordination and continuity of care</w:t>
            </w:r>
          </w:p>
        </w:tc>
        <w:tc>
          <w:tcPr>
            <w:tcW w:w="1286" w:type="pct"/>
          </w:tcPr>
          <w:p w:rsidR="004E5913" w:rsidRPr="00990D3B" w:rsidP="00151B77" w14:paraId="49CC8FE0" w14:textId="77777777">
            <w:pPr>
              <w:pStyle w:val="EQRTableText"/>
              <w:rPr>
                <w:sz w:val="16"/>
                <w:szCs w:val="18"/>
              </w:rPr>
            </w:pPr>
            <w:r w:rsidRPr="00990D3B">
              <w:rPr>
                <w:sz w:val="16"/>
                <w:szCs w:val="18"/>
              </w:rPr>
              <w:t>The state’s requirements regarding the obligation to and methods by which an MCP must:</w:t>
            </w:r>
          </w:p>
          <w:p w:rsidR="004E5913" w:rsidRPr="00990D3B" w:rsidP="00151B77" w14:paraId="47B85B84" w14:textId="77777777">
            <w:pPr>
              <w:pStyle w:val="EQRTableText"/>
              <w:rPr>
                <w:sz w:val="16"/>
                <w:szCs w:val="18"/>
              </w:rPr>
            </w:pPr>
            <w:r w:rsidRPr="00990D3B">
              <w:rPr>
                <w:sz w:val="16"/>
                <w:szCs w:val="18"/>
              </w:rPr>
              <w:t>a) Ensure</w:t>
            </w:r>
            <w:r w:rsidRPr="00990D3B">
              <w:rPr>
                <w:sz w:val="16"/>
                <w:szCs w:val="18"/>
              </w:rPr>
              <w:t xml:space="preserve"> </w:t>
            </w:r>
            <w:r w:rsidRPr="00990D3B">
              <w:rPr>
                <w:sz w:val="16"/>
                <w:szCs w:val="18"/>
              </w:rPr>
              <w:t>enrollees</w:t>
            </w:r>
            <w:r w:rsidRPr="00990D3B">
              <w:rPr>
                <w:sz w:val="16"/>
                <w:szCs w:val="18"/>
              </w:rPr>
              <w:t xml:space="preserve"> have an ongoing source of care appropriate to their needs and a person or entity formally designated as primarily responsible for coordinating the services accessed by the enrollee. The enrollee must be </w:t>
            </w:r>
            <w:r w:rsidRPr="00990D3B">
              <w:rPr>
                <w:sz w:val="16"/>
                <w:szCs w:val="18"/>
              </w:rPr>
              <w:t>provided</w:t>
            </w:r>
            <w:r w:rsidRPr="00990D3B">
              <w:rPr>
                <w:sz w:val="16"/>
                <w:szCs w:val="18"/>
              </w:rPr>
              <w:t xml:space="preserve"> information on how to contact their designated person or entity</w:t>
            </w:r>
          </w:p>
          <w:p w:rsidR="004E5913" w:rsidRPr="00990D3B" w:rsidP="00151B77" w14:paraId="069BBA50" w14:textId="77777777">
            <w:pPr>
              <w:pStyle w:val="EQRTableText"/>
              <w:rPr>
                <w:sz w:val="16"/>
                <w:szCs w:val="18"/>
              </w:rPr>
            </w:pPr>
            <w:r w:rsidRPr="00990D3B">
              <w:rPr>
                <w:sz w:val="16"/>
                <w:szCs w:val="18"/>
              </w:rPr>
              <w:t>b) Coordinate the services the MCP furnishes to enrollees (between settings, between MCPs, between MCP and FFS, and with services provided by community and social supports)</w:t>
            </w:r>
          </w:p>
          <w:p w:rsidR="004E5913" w:rsidRPr="00990D3B" w:rsidP="00151B77" w14:paraId="1F473CFF" w14:textId="77777777">
            <w:pPr>
              <w:pStyle w:val="EQRTableText"/>
              <w:rPr>
                <w:sz w:val="16"/>
                <w:szCs w:val="18"/>
              </w:rPr>
            </w:pPr>
            <w:r w:rsidRPr="00990D3B">
              <w:rPr>
                <w:sz w:val="16"/>
                <w:szCs w:val="18"/>
              </w:rPr>
              <w:t xml:space="preserve">c) Make </w:t>
            </w:r>
            <w:r w:rsidRPr="00990D3B">
              <w:rPr>
                <w:sz w:val="16"/>
                <w:szCs w:val="18"/>
              </w:rPr>
              <w:t>a best</w:t>
            </w:r>
            <w:r w:rsidRPr="00990D3B">
              <w:rPr>
                <w:sz w:val="16"/>
                <w:szCs w:val="18"/>
              </w:rPr>
              <w:t xml:space="preserve"> effort to conduct an initial screening of each enrollee's needs, within 90 days of the effective date of enrollment for all new enrollees</w:t>
            </w:r>
          </w:p>
          <w:p w:rsidR="004E5913" w:rsidRPr="00990D3B" w:rsidP="00151B77" w14:paraId="0AFBC361" w14:textId="77777777">
            <w:pPr>
              <w:pStyle w:val="EQRTableText"/>
              <w:rPr>
                <w:sz w:val="16"/>
                <w:szCs w:val="18"/>
              </w:rPr>
            </w:pPr>
            <w:r w:rsidRPr="00990D3B">
              <w:rPr>
                <w:sz w:val="16"/>
                <w:szCs w:val="18"/>
              </w:rPr>
              <w:t>d) Share with the state or other MCPs serving the enrollee the results of any identification and assessment of that enrollee's needs to prevent duplication of those activities</w:t>
            </w:r>
          </w:p>
          <w:p w:rsidR="004E5913" w:rsidRPr="00990D3B" w:rsidP="00151B77" w14:paraId="77831150" w14:textId="77777777">
            <w:pPr>
              <w:pStyle w:val="EQRTableText"/>
              <w:rPr>
                <w:sz w:val="16"/>
                <w:szCs w:val="18"/>
              </w:rPr>
            </w:pPr>
            <w:r w:rsidRPr="00990D3B">
              <w:rPr>
                <w:sz w:val="16"/>
                <w:szCs w:val="18"/>
              </w:rPr>
              <w:t>e) Ensure that each provider furnishing services to enrollees maintains and shares, as appropriate, an enrollee health record in accordance with professional standards</w:t>
            </w:r>
          </w:p>
          <w:p w:rsidR="004E5913" w:rsidRPr="00990D3B" w:rsidP="00151B77" w14:paraId="7A3C294A" w14:textId="77777777">
            <w:pPr>
              <w:pStyle w:val="EQRTableText"/>
              <w:rPr>
                <w:sz w:val="16"/>
                <w:szCs w:val="18"/>
              </w:rPr>
            </w:pPr>
            <w:r w:rsidRPr="00990D3B">
              <w:rPr>
                <w:sz w:val="16"/>
                <w:szCs w:val="18"/>
              </w:rPr>
              <w:t xml:space="preserve">f) Ensure that in the process of coordinating care, each enrollee's privacy is protected in accordance with applicable privacy requirements </w:t>
            </w:r>
          </w:p>
        </w:tc>
        <w:tc>
          <w:tcPr>
            <w:tcW w:w="1251" w:type="pct"/>
          </w:tcPr>
          <w:p w:rsidR="004E5913" w:rsidRPr="00990D3B" w:rsidP="00E00D33" w14:paraId="7108E634" w14:textId="77777777">
            <w:pPr>
              <w:pStyle w:val="EQRTableTextbullet"/>
              <w:rPr>
                <w:sz w:val="16"/>
                <w:szCs w:val="16"/>
              </w:rPr>
            </w:pPr>
            <w:r w:rsidRPr="00990D3B">
              <w:rPr>
                <w:sz w:val="16"/>
                <w:szCs w:val="16"/>
              </w:rPr>
              <w:t>Practice guidelines adopted by the MCP (AM)</w:t>
            </w:r>
          </w:p>
          <w:p w:rsidR="004E5913" w:rsidRPr="00990D3B" w:rsidP="00E00D33" w14:paraId="7D744F80" w14:textId="77777777">
            <w:pPr>
              <w:pStyle w:val="EQRTableTextbullet"/>
              <w:rPr>
                <w:sz w:val="16"/>
                <w:szCs w:val="16"/>
              </w:rPr>
            </w:pPr>
            <w:r w:rsidRPr="00990D3B">
              <w:rPr>
                <w:sz w:val="16"/>
                <w:szCs w:val="16"/>
              </w:rPr>
              <w:t>Provider/Contractor Services policies and procedures manuals (PS)</w:t>
            </w:r>
          </w:p>
          <w:p w:rsidR="004E5913" w:rsidRPr="00990D3B" w:rsidP="00E00D33" w14:paraId="721AD004" w14:textId="77777777">
            <w:pPr>
              <w:pStyle w:val="EQRTableTextbullet"/>
              <w:rPr>
                <w:sz w:val="16"/>
                <w:szCs w:val="16"/>
              </w:rPr>
            </w:pPr>
            <w:r w:rsidRPr="00990D3B">
              <w:rPr>
                <w:sz w:val="16"/>
                <w:szCs w:val="16"/>
              </w:rPr>
              <w:t>Provider contracts (PS)</w:t>
            </w:r>
          </w:p>
          <w:p w:rsidR="004E5913" w:rsidRPr="00990D3B" w:rsidP="00E00D33" w14:paraId="09AB26A9" w14:textId="77777777">
            <w:pPr>
              <w:pStyle w:val="EQRTableTextbullet"/>
              <w:rPr>
                <w:sz w:val="16"/>
                <w:szCs w:val="16"/>
              </w:rPr>
            </w:pPr>
            <w:r w:rsidRPr="00990D3B">
              <w:rPr>
                <w:sz w:val="16"/>
                <w:szCs w:val="16"/>
              </w:rPr>
              <w:t>Provider/Contractor procedure manuals (PS)</w:t>
            </w:r>
          </w:p>
          <w:p w:rsidR="004E5913" w:rsidRPr="00990D3B" w:rsidP="00E00D33" w14:paraId="05F6E8F4" w14:textId="2E863430">
            <w:pPr>
              <w:pStyle w:val="EQRTableTextbullet"/>
              <w:rPr>
                <w:sz w:val="16"/>
                <w:szCs w:val="16"/>
              </w:rPr>
            </w:pPr>
            <w:r w:rsidRPr="00990D3B">
              <w:rPr>
                <w:sz w:val="16"/>
                <w:szCs w:val="16"/>
              </w:rPr>
              <w:t>Medicaid and CHIP</w:t>
            </w:r>
            <w:r w:rsidRPr="00990D3B">
              <w:rPr>
                <w:sz w:val="16"/>
                <w:szCs w:val="16"/>
              </w:rPr>
              <w:t xml:space="preserve"> enrollee services policies and procedures (ES)</w:t>
            </w:r>
          </w:p>
          <w:p w:rsidR="004E5913" w:rsidRPr="00990D3B" w:rsidP="00E00D33" w14:paraId="6C539E06" w14:textId="6D8CCFF4">
            <w:pPr>
              <w:pStyle w:val="EQRTableTextbullet"/>
              <w:rPr>
                <w:sz w:val="16"/>
                <w:szCs w:val="16"/>
              </w:rPr>
            </w:pPr>
            <w:r w:rsidRPr="00990D3B">
              <w:rPr>
                <w:sz w:val="16"/>
                <w:szCs w:val="16"/>
              </w:rPr>
              <w:t>Medicaid and CHIP</w:t>
            </w:r>
            <w:r w:rsidRPr="00990D3B">
              <w:rPr>
                <w:sz w:val="16"/>
                <w:szCs w:val="16"/>
              </w:rPr>
              <w:t xml:space="preserve"> enrollment and disenrollment policies and procedures (ES)</w:t>
            </w:r>
          </w:p>
          <w:p w:rsidR="004E5913" w:rsidRPr="00990D3B" w:rsidP="00E00D33" w14:paraId="5EE22DA9" w14:textId="4E12BE86">
            <w:pPr>
              <w:pStyle w:val="EQRTableTextbullet"/>
              <w:rPr>
                <w:sz w:val="16"/>
                <w:szCs w:val="16"/>
              </w:rPr>
            </w:pPr>
            <w:r w:rsidRPr="00990D3B">
              <w:rPr>
                <w:sz w:val="16"/>
                <w:szCs w:val="16"/>
              </w:rPr>
              <w:t>Medicaid and CHIP</w:t>
            </w:r>
            <w:r w:rsidRPr="00990D3B">
              <w:rPr>
                <w:sz w:val="16"/>
                <w:szCs w:val="16"/>
              </w:rPr>
              <w:t xml:space="preserve"> Enrollee Handbooks (ES)</w:t>
            </w:r>
          </w:p>
          <w:p w:rsidR="004E5913" w:rsidRPr="00990D3B" w:rsidP="00E00D33" w14:paraId="25FE9260" w14:textId="77777777">
            <w:pPr>
              <w:pStyle w:val="EQRTableTextbullet"/>
              <w:rPr>
                <w:sz w:val="16"/>
                <w:szCs w:val="16"/>
              </w:rPr>
            </w:pPr>
            <w:r w:rsidRPr="00990D3B">
              <w:rPr>
                <w:sz w:val="16"/>
                <w:szCs w:val="16"/>
              </w:rPr>
              <w:t>Care coordination policies and procedures, and enrollee records (ES)</w:t>
            </w:r>
          </w:p>
          <w:p w:rsidR="004E5913" w:rsidRPr="00990D3B" w:rsidP="00E00D33" w14:paraId="32422885" w14:textId="4023F053">
            <w:pPr>
              <w:pStyle w:val="EQRTableTextbullet"/>
              <w:rPr>
                <w:sz w:val="16"/>
                <w:szCs w:val="16"/>
              </w:rPr>
            </w:pPr>
            <w:r w:rsidRPr="00990D3B">
              <w:rPr>
                <w:sz w:val="16"/>
                <w:szCs w:val="16"/>
              </w:rPr>
              <w:t xml:space="preserve">Sample of </w:t>
            </w:r>
            <w:r w:rsidRPr="00990D3B" w:rsidR="00832946">
              <w:rPr>
                <w:sz w:val="16"/>
                <w:szCs w:val="16"/>
              </w:rPr>
              <w:t>Medicaid and CHIP</w:t>
            </w:r>
            <w:r w:rsidRPr="00990D3B">
              <w:rPr>
                <w:sz w:val="16"/>
                <w:szCs w:val="16"/>
              </w:rPr>
              <w:t xml:space="preserve"> enrollee records (ES)</w:t>
            </w:r>
          </w:p>
          <w:p w:rsidR="004E5913" w:rsidRPr="00990D3B" w:rsidP="00E00D33" w14:paraId="2F194046" w14:textId="3DC76B3B">
            <w:pPr>
              <w:pStyle w:val="EQRTableTextbullet"/>
              <w:rPr>
                <w:sz w:val="16"/>
                <w:szCs w:val="16"/>
              </w:rPr>
            </w:pPr>
            <w:r w:rsidRPr="00990D3B">
              <w:rPr>
                <w:sz w:val="16"/>
                <w:szCs w:val="16"/>
              </w:rPr>
              <w:t>Medicaid and CHIP</w:t>
            </w:r>
            <w:r w:rsidRPr="00990D3B">
              <w:rPr>
                <w:sz w:val="16"/>
                <w:szCs w:val="16"/>
              </w:rPr>
              <w:t xml:space="preserve"> enrollment and disenrollment policies and procedures (ES)</w:t>
            </w:r>
          </w:p>
          <w:p w:rsidR="004E5913" w:rsidRPr="00990D3B" w:rsidP="00E00D33" w14:paraId="76C37B9E" w14:textId="2BBDC2A3">
            <w:pPr>
              <w:pStyle w:val="EQRTableTextbullet"/>
              <w:rPr>
                <w:sz w:val="16"/>
                <w:szCs w:val="16"/>
              </w:rPr>
            </w:pPr>
            <w:r w:rsidRPr="00990D3B">
              <w:rPr>
                <w:sz w:val="16"/>
                <w:szCs w:val="16"/>
              </w:rPr>
              <w:t xml:space="preserve">A copy of the state-MCP contract provisions, which specify the methods by which the MCP assures the state </w:t>
            </w:r>
            <w:r w:rsidRPr="00990D3B" w:rsidR="00832946">
              <w:rPr>
                <w:sz w:val="16"/>
                <w:szCs w:val="16"/>
              </w:rPr>
              <w:t>Medicaid and CHIP</w:t>
            </w:r>
            <w:r w:rsidRPr="00990D3B">
              <w:rPr>
                <w:sz w:val="16"/>
                <w:szCs w:val="16"/>
              </w:rPr>
              <w:t xml:space="preserve"> </w:t>
            </w:r>
            <w:r w:rsidRPr="00990D3B" w:rsidR="00EE29E0">
              <w:rPr>
                <w:sz w:val="16"/>
                <w:szCs w:val="16"/>
              </w:rPr>
              <w:t xml:space="preserve">program </w:t>
            </w:r>
            <w:r w:rsidRPr="00990D3B">
              <w:rPr>
                <w:sz w:val="16"/>
                <w:szCs w:val="16"/>
              </w:rPr>
              <w:t>that it does not request disenrollment for reasons other than those permitted under the contract.</w:t>
            </w:r>
          </w:p>
        </w:tc>
        <w:tc>
          <w:tcPr>
            <w:tcW w:w="1214" w:type="pct"/>
          </w:tcPr>
          <w:p w:rsidR="004E5913" w:rsidRPr="00990D3B" w:rsidP="00BB2520" w14:paraId="446A5376" w14:textId="77777777">
            <w:pPr>
              <w:pStyle w:val="EQRTableText"/>
              <w:spacing w:line="240" w:lineRule="auto"/>
              <w:rPr>
                <w:b/>
                <w:color w:val="000000" w:themeColor="text1"/>
                <w:sz w:val="16"/>
                <w:szCs w:val="16"/>
              </w:rPr>
            </w:pPr>
            <w:r w:rsidRPr="00990D3B">
              <w:rPr>
                <w:b/>
                <w:color w:val="000000" w:themeColor="text1"/>
                <w:sz w:val="16"/>
                <w:szCs w:val="16"/>
              </w:rPr>
              <w:t xml:space="preserve">Medicaid: </w:t>
            </w:r>
          </w:p>
          <w:p w:rsidR="004E5913" w:rsidRPr="00990D3B" w:rsidP="00BB2520" w14:paraId="3E10A178" w14:textId="02B1B772">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rFonts w:asciiTheme="majorHAnsi" w:hAnsiTheme="majorHAnsi" w:cstheme="majorHAnsi"/>
                <w:sz w:val="16"/>
                <w:szCs w:val="16"/>
              </w:rPr>
              <w:t xml:space="preserve"> </w:t>
            </w:r>
            <w:r w:rsidRPr="00990D3B">
              <w:rPr>
                <w:color w:val="000000" w:themeColor="text1"/>
                <w:sz w:val="16"/>
                <w:szCs w:val="16"/>
              </w:rPr>
              <w:t>Fully Met</w:t>
            </w:r>
          </w:p>
          <w:p w:rsidR="004E5913" w:rsidRPr="00990D3B" w:rsidP="00BB2520" w14:paraId="1F0F5D00" w14:textId="1348755D">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4E5913" w:rsidRPr="00990D3B" w:rsidP="00BB2520" w14:paraId="2B6F8BC3" w14:textId="3A041DFB">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4E5913" w:rsidRPr="00990D3B" w:rsidP="00BB2520" w14:paraId="71518B9B" w14:textId="4221FF45">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4E5913" w:rsidRPr="00990D3B" w:rsidP="00BB2520" w14:paraId="6065BC5B" w14:textId="79617C8C">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BE2565" w:rsidRPr="00990D3B" w:rsidP="00BB2520" w14:paraId="328F27B6" w14:textId="063D0C91">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sidR="004E5913">
              <w:rPr>
                <w:color w:val="000000" w:themeColor="text1"/>
                <w:sz w:val="16"/>
                <w:szCs w:val="16"/>
              </w:rPr>
              <w:t>Not Applicable</w:t>
            </w:r>
          </w:p>
          <w:p w:rsidR="00BE2565" w:rsidRPr="00990D3B" w:rsidP="00BB2520" w14:paraId="6813D03C" w14:textId="77777777">
            <w:pPr>
              <w:pStyle w:val="EQRTableText"/>
              <w:spacing w:line="240" w:lineRule="auto"/>
              <w:rPr>
                <w:color w:val="000000" w:themeColor="text1"/>
                <w:sz w:val="16"/>
                <w:szCs w:val="16"/>
              </w:rPr>
            </w:pPr>
            <w:r w:rsidRPr="00990D3B">
              <w:rPr>
                <w:color w:val="000000" w:themeColor="text1"/>
                <w:sz w:val="16"/>
                <w:szCs w:val="16"/>
              </w:rPr>
              <w:t>Reviewer Notes:</w:t>
            </w:r>
          </w:p>
          <w:p w:rsidR="004E5913" w:rsidRPr="00990D3B" w:rsidP="00BB2520" w14:paraId="6FA08CF7" w14:textId="38F347BC">
            <w:pPr>
              <w:pStyle w:val="EQRTableText"/>
              <w:spacing w:line="240" w:lineRule="auto"/>
              <w:rPr>
                <w:b/>
                <w:color w:val="000000" w:themeColor="text1"/>
                <w:sz w:val="16"/>
                <w:szCs w:val="16"/>
              </w:rPr>
            </w:pPr>
            <w:r w:rsidRPr="00990D3B">
              <w:rPr>
                <w:b/>
                <w:color w:val="000000" w:themeColor="text1"/>
                <w:sz w:val="16"/>
                <w:szCs w:val="16"/>
              </w:rPr>
              <w:t>CHIP:</w:t>
            </w:r>
          </w:p>
          <w:p w:rsidR="004E5913" w:rsidRPr="00990D3B" w:rsidP="00BB2520" w14:paraId="7D4CC8DA" w14:textId="3A3A48C5">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Fully Met</w:t>
            </w:r>
          </w:p>
          <w:p w:rsidR="004E5913" w:rsidRPr="00990D3B" w:rsidP="00BB2520" w14:paraId="05C24D68" w14:textId="122BF04F">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4E5913" w:rsidRPr="00990D3B" w:rsidP="00BB2520" w14:paraId="0A204C27" w14:textId="5B46BCB1">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4E5913" w:rsidRPr="00990D3B" w:rsidP="00BB2520" w14:paraId="14161E95" w14:textId="1B82D63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4E5913" w:rsidRPr="00990D3B" w:rsidP="00BB2520" w14:paraId="2F9FE643" w14:textId="4EB2456A">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BE2565" w:rsidRPr="00990D3B" w:rsidP="00BB2520" w14:paraId="3B9AA1AB" w14:textId="0C379555">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sidR="004E5913">
              <w:rPr>
                <w:color w:val="000000" w:themeColor="text1"/>
                <w:sz w:val="16"/>
                <w:szCs w:val="16"/>
              </w:rPr>
              <w:t>Not Applicable</w:t>
            </w:r>
          </w:p>
          <w:p w:rsidR="004E5913" w:rsidRPr="00990D3B" w:rsidP="00BB2520" w14:paraId="0A1D24AC" w14:textId="5B287EF0">
            <w:pPr>
              <w:pStyle w:val="EQRTableText"/>
              <w:spacing w:line="240" w:lineRule="auto"/>
              <w:rPr>
                <w:color w:val="000000" w:themeColor="text1"/>
                <w:sz w:val="16"/>
                <w:szCs w:val="16"/>
              </w:rPr>
            </w:pPr>
            <w:r w:rsidRPr="00990D3B">
              <w:rPr>
                <w:color w:val="000000" w:themeColor="text1"/>
                <w:sz w:val="16"/>
                <w:szCs w:val="16"/>
              </w:rPr>
              <w:t>Reviewer Notes:</w:t>
            </w:r>
          </w:p>
        </w:tc>
      </w:tr>
      <w:tr w14:paraId="2A978793" w14:textId="77777777" w:rsidTr="006174D5">
        <w:tblPrEx>
          <w:tblW w:w="5000" w:type="pct"/>
          <w:tblLook w:val="04A0"/>
        </w:tblPrEx>
        <w:trPr>
          <w:cantSplit/>
        </w:trPr>
        <w:tc>
          <w:tcPr>
            <w:tcW w:w="1249" w:type="pct"/>
          </w:tcPr>
          <w:p w:rsidR="004E5913" w:rsidRPr="00990D3B" w:rsidP="00BB2520" w14:paraId="00E14DA9" w14:textId="77777777">
            <w:pPr>
              <w:pStyle w:val="EQRTableText"/>
              <w:spacing w:line="240" w:lineRule="auto"/>
              <w:rPr>
                <w:b/>
                <w:bCs/>
                <w:sz w:val="16"/>
                <w:szCs w:val="16"/>
              </w:rPr>
            </w:pPr>
            <w:r w:rsidRPr="00990D3B">
              <w:rPr>
                <w:b/>
                <w:bCs/>
                <w:sz w:val="16"/>
                <w:szCs w:val="16"/>
              </w:rPr>
              <w:t>Additional coordination and continuity of care requirements: LTSS</w:t>
            </w:r>
          </w:p>
          <w:p w:rsidR="004E5913" w:rsidRPr="00990D3B" w:rsidP="00BB2520" w14:paraId="5E6D02B7" w14:textId="2B8C6817">
            <w:pPr>
              <w:pStyle w:val="EQRTableText"/>
              <w:spacing w:line="240" w:lineRule="auto"/>
              <w:rPr>
                <w:sz w:val="16"/>
                <w:szCs w:val="16"/>
              </w:rPr>
            </w:pPr>
            <w:r w:rsidRPr="00990D3B">
              <w:rPr>
                <w:sz w:val="16"/>
                <w:szCs w:val="16"/>
              </w:rPr>
              <w:t xml:space="preserve">Medicaid: </w:t>
            </w:r>
            <w:r w:rsidRPr="00990D3B" w:rsidR="001C7FC0">
              <w:rPr>
                <w:sz w:val="16"/>
                <w:szCs w:val="16"/>
              </w:rPr>
              <w:t>42 C.F.R.</w:t>
            </w:r>
            <w:r w:rsidRPr="00990D3B" w:rsidR="007854DF">
              <w:rPr>
                <w:sz w:val="16"/>
                <w:szCs w:val="16"/>
              </w:rPr>
              <w:t xml:space="preserve"> </w:t>
            </w:r>
            <w:r w:rsidRPr="00990D3B">
              <w:rPr>
                <w:sz w:val="16"/>
                <w:szCs w:val="16"/>
              </w:rPr>
              <w:t>438.208: Coordination and continuity of care</w:t>
            </w:r>
          </w:p>
          <w:p w:rsidR="004E5913" w:rsidRPr="00990D3B" w:rsidP="00BB2520" w14:paraId="170E1AC6" w14:textId="41DBA05B">
            <w:pPr>
              <w:pStyle w:val="EQRTableText"/>
              <w:spacing w:line="240" w:lineRule="auto"/>
              <w:rPr>
                <w:sz w:val="16"/>
                <w:szCs w:val="16"/>
              </w:rPr>
            </w:pPr>
            <w:r w:rsidRPr="00990D3B">
              <w:rPr>
                <w:sz w:val="16"/>
                <w:szCs w:val="16"/>
              </w:rPr>
              <w:t xml:space="preserve">CHIP: </w:t>
            </w:r>
            <w:r w:rsidRPr="00990D3B" w:rsidR="001C7FC0">
              <w:rPr>
                <w:sz w:val="16"/>
                <w:szCs w:val="16"/>
              </w:rPr>
              <w:t>42 C.F.R</w:t>
            </w:r>
            <w:r w:rsidRPr="00990D3B">
              <w:rPr>
                <w:sz w:val="16"/>
                <w:szCs w:val="16"/>
              </w:rPr>
              <w:t>457.1230(c): Coordination and continuity of care</w:t>
            </w:r>
          </w:p>
        </w:tc>
        <w:tc>
          <w:tcPr>
            <w:tcW w:w="1286" w:type="pct"/>
          </w:tcPr>
          <w:p w:rsidR="004E5913" w:rsidRPr="00990D3B" w:rsidP="00E00D33" w14:paraId="1325D947" w14:textId="21A39C00">
            <w:pPr>
              <w:pStyle w:val="EQRTableTextbullet"/>
              <w:rPr>
                <w:sz w:val="16"/>
                <w:szCs w:val="16"/>
              </w:rPr>
            </w:pPr>
            <w:r w:rsidRPr="00990D3B">
              <w:rPr>
                <w:sz w:val="16"/>
                <w:szCs w:val="16"/>
              </w:rPr>
              <w:t xml:space="preserve">Methods used by the </w:t>
            </w:r>
            <w:r w:rsidRPr="00990D3B" w:rsidR="00832946">
              <w:rPr>
                <w:sz w:val="16"/>
                <w:szCs w:val="16"/>
              </w:rPr>
              <w:t>Medicaid and CHIP</w:t>
            </w:r>
            <w:r w:rsidRPr="00990D3B">
              <w:rPr>
                <w:sz w:val="16"/>
                <w:szCs w:val="16"/>
              </w:rPr>
              <w:t xml:space="preserve"> </w:t>
            </w:r>
            <w:r w:rsidRPr="00990D3B" w:rsidR="00EE29E0">
              <w:rPr>
                <w:sz w:val="16"/>
                <w:szCs w:val="16"/>
              </w:rPr>
              <w:t xml:space="preserve">program </w:t>
            </w:r>
            <w:r w:rsidRPr="00990D3B">
              <w:rPr>
                <w:sz w:val="16"/>
                <w:szCs w:val="16"/>
              </w:rPr>
              <w:t xml:space="preserve">to </w:t>
            </w:r>
            <w:r w:rsidRPr="00990D3B">
              <w:rPr>
                <w:sz w:val="16"/>
                <w:szCs w:val="16"/>
              </w:rPr>
              <w:t>identify to</w:t>
            </w:r>
            <w:r w:rsidRPr="00990D3B">
              <w:rPr>
                <w:sz w:val="16"/>
                <w:szCs w:val="16"/>
              </w:rPr>
              <w:t xml:space="preserve"> the MCP enrollees who need LTSS.</w:t>
            </w:r>
          </w:p>
          <w:p w:rsidR="004E5913" w:rsidRPr="00990D3B" w:rsidP="00E00D33" w14:paraId="2E0D26E0" w14:textId="5B6FC9A9">
            <w:pPr>
              <w:pStyle w:val="EQRTableTextbullet"/>
              <w:rPr>
                <w:sz w:val="16"/>
                <w:szCs w:val="16"/>
              </w:rPr>
            </w:pPr>
            <w:r w:rsidRPr="00990D3B">
              <w:rPr>
                <w:sz w:val="16"/>
                <w:szCs w:val="16"/>
              </w:rPr>
              <w:t xml:space="preserve">Whether the MCP is required to meet identification, assessment, and treatment planning requirements for dually-enrolled beneficiaries. </w:t>
            </w:r>
          </w:p>
          <w:p w:rsidR="004E5913" w:rsidRPr="00990D3B" w:rsidP="00E00D33" w14:paraId="49992E0D" w14:textId="6C6D94C5">
            <w:pPr>
              <w:pStyle w:val="EQRTableTextbullet"/>
              <w:rPr>
                <w:sz w:val="16"/>
                <w:szCs w:val="16"/>
              </w:rPr>
            </w:pPr>
            <w:r w:rsidRPr="00990D3B">
              <w:rPr>
                <w:sz w:val="16"/>
                <w:szCs w:val="16"/>
              </w:rPr>
              <w:t xml:space="preserve">Any </w:t>
            </w:r>
            <w:r w:rsidRPr="00990D3B" w:rsidR="00832946">
              <w:rPr>
                <w:sz w:val="16"/>
                <w:szCs w:val="16"/>
              </w:rPr>
              <w:t>Medicaid and CHIP</w:t>
            </w:r>
            <w:r w:rsidRPr="00990D3B">
              <w:rPr>
                <w:sz w:val="16"/>
                <w:szCs w:val="16"/>
              </w:rPr>
              <w:t xml:space="preserve"> </w:t>
            </w:r>
            <w:r w:rsidRPr="00990D3B" w:rsidR="00EE29E0">
              <w:rPr>
                <w:sz w:val="16"/>
                <w:szCs w:val="16"/>
              </w:rPr>
              <w:t xml:space="preserve">program </w:t>
            </w:r>
            <w:r w:rsidRPr="00990D3B">
              <w:rPr>
                <w:sz w:val="16"/>
                <w:szCs w:val="16"/>
              </w:rPr>
              <w:t>LTSS assessment mechanisms requirements, including the requirement to use appropriate providers or individuals meeting the</w:t>
            </w:r>
            <w:r w:rsidRPr="00990D3B">
              <w:rPr>
                <w:rFonts w:ascii="Times New Roman" w:hAnsi="Times New Roman"/>
                <w:sz w:val="16"/>
                <w:szCs w:val="16"/>
              </w:rPr>
              <w:t xml:space="preserve"> </w:t>
            </w:r>
            <w:r w:rsidRPr="00990D3B" w:rsidR="00832946">
              <w:rPr>
                <w:sz w:val="16"/>
                <w:szCs w:val="16"/>
              </w:rPr>
              <w:t>Medicaid and CHIP</w:t>
            </w:r>
            <w:r w:rsidRPr="00990D3B">
              <w:rPr>
                <w:sz w:val="16"/>
                <w:szCs w:val="16"/>
              </w:rPr>
              <w:t xml:space="preserve"> </w:t>
            </w:r>
            <w:r w:rsidRPr="00990D3B" w:rsidR="00EE29E0">
              <w:rPr>
                <w:sz w:val="16"/>
                <w:szCs w:val="16"/>
              </w:rPr>
              <w:t xml:space="preserve">program’s </w:t>
            </w:r>
            <w:r w:rsidRPr="00990D3B">
              <w:rPr>
                <w:sz w:val="16"/>
                <w:szCs w:val="16"/>
              </w:rPr>
              <w:t xml:space="preserve">LTSS service coordination requirements. </w:t>
            </w:r>
          </w:p>
          <w:p w:rsidR="004E5913" w:rsidRPr="00990D3B" w:rsidP="00E00D33" w14:paraId="148877ED" w14:textId="77777777">
            <w:pPr>
              <w:pStyle w:val="EQRTableTextbullet"/>
              <w:rPr>
                <w:sz w:val="16"/>
                <w:szCs w:val="16"/>
              </w:rPr>
            </w:pPr>
            <w:r w:rsidRPr="00990D3B">
              <w:rPr>
                <w:sz w:val="16"/>
                <w:szCs w:val="16"/>
              </w:rPr>
              <w:t>The state’s quality assurance and utilization review standards.</w:t>
            </w:r>
          </w:p>
        </w:tc>
        <w:tc>
          <w:tcPr>
            <w:tcW w:w="1251" w:type="pct"/>
          </w:tcPr>
          <w:p w:rsidR="004E5913" w:rsidRPr="00990D3B" w:rsidP="00E00D33" w14:paraId="526D7259" w14:textId="77777777">
            <w:pPr>
              <w:pStyle w:val="EQRTableTextbullet"/>
              <w:rPr>
                <w:sz w:val="16"/>
                <w:szCs w:val="16"/>
              </w:rPr>
            </w:pPr>
            <w:r w:rsidRPr="00990D3B">
              <w:rPr>
                <w:sz w:val="16"/>
                <w:szCs w:val="16"/>
              </w:rPr>
              <w:t>Practice guidelines adopted by the MCP (AM)</w:t>
            </w:r>
          </w:p>
          <w:p w:rsidR="004E5913" w:rsidRPr="00990D3B" w:rsidP="00E00D33" w14:paraId="4BC8A376" w14:textId="77777777">
            <w:pPr>
              <w:pStyle w:val="EQRTableTextbullet"/>
              <w:rPr>
                <w:sz w:val="16"/>
                <w:szCs w:val="16"/>
              </w:rPr>
            </w:pPr>
            <w:r w:rsidRPr="00990D3B">
              <w:rPr>
                <w:sz w:val="16"/>
                <w:szCs w:val="16"/>
              </w:rPr>
              <w:t>Provider/Contractor Services policies and procedures manuals (PS)</w:t>
            </w:r>
          </w:p>
          <w:p w:rsidR="004E5913" w:rsidRPr="00990D3B" w:rsidP="00E00D33" w14:paraId="6B33CB9E" w14:textId="77777777">
            <w:pPr>
              <w:pStyle w:val="EQRTableTextbullet"/>
              <w:rPr>
                <w:sz w:val="16"/>
                <w:szCs w:val="16"/>
              </w:rPr>
            </w:pPr>
            <w:r w:rsidRPr="00990D3B">
              <w:rPr>
                <w:sz w:val="16"/>
                <w:szCs w:val="16"/>
              </w:rPr>
              <w:t>Provider contracts (PS)</w:t>
            </w:r>
          </w:p>
          <w:p w:rsidR="004E5913" w:rsidRPr="00990D3B" w:rsidP="00E00D33" w14:paraId="3D175FDD" w14:textId="77777777">
            <w:pPr>
              <w:pStyle w:val="EQRTableTextbullet"/>
              <w:rPr>
                <w:sz w:val="16"/>
                <w:szCs w:val="16"/>
              </w:rPr>
            </w:pPr>
            <w:r w:rsidRPr="00990D3B">
              <w:rPr>
                <w:sz w:val="16"/>
                <w:szCs w:val="16"/>
              </w:rPr>
              <w:t>Provider/Contractor procedure manuals (PS)</w:t>
            </w:r>
          </w:p>
          <w:p w:rsidR="004E5913" w:rsidRPr="00990D3B" w:rsidP="00E00D33" w14:paraId="44C577AD" w14:textId="77777777">
            <w:pPr>
              <w:pStyle w:val="EQRTableTextbullet"/>
              <w:rPr>
                <w:sz w:val="16"/>
                <w:szCs w:val="16"/>
              </w:rPr>
            </w:pPr>
            <w:r w:rsidRPr="00990D3B">
              <w:rPr>
                <w:sz w:val="16"/>
                <w:szCs w:val="16"/>
              </w:rPr>
              <w:t>Enrollee services policies and procedures (ES)</w:t>
            </w:r>
          </w:p>
          <w:p w:rsidR="004E5913" w:rsidRPr="00990D3B" w:rsidP="00E00D33" w14:paraId="668D123E" w14:textId="77777777">
            <w:pPr>
              <w:pStyle w:val="EQRTableTextbullet"/>
              <w:rPr>
                <w:sz w:val="16"/>
                <w:szCs w:val="16"/>
              </w:rPr>
            </w:pPr>
            <w:r w:rsidRPr="00990D3B">
              <w:rPr>
                <w:sz w:val="16"/>
                <w:szCs w:val="16"/>
              </w:rPr>
              <w:t>Enrollee Handbooks (ES)</w:t>
            </w:r>
          </w:p>
          <w:p w:rsidR="004E5913" w:rsidRPr="00990D3B" w:rsidP="00E00D33" w14:paraId="4D01D207" w14:textId="77777777">
            <w:pPr>
              <w:pStyle w:val="EQRTableTextbullet"/>
              <w:rPr>
                <w:sz w:val="16"/>
                <w:szCs w:val="16"/>
              </w:rPr>
            </w:pPr>
            <w:r w:rsidRPr="00990D3B">
              <w:rPr>
                <w:sz w:val="16"/>
                <w:szCs w:val="16"/>
              </w:rPr>
              <w:t>Care coordination policies and procedures, and enrollee records (ES)</w:t>
            </w:r>
          </w:p>
          <w:p w:rsidR="004E5913" w:rsidRPr="00990D3B" w:rsidP="00E00D33" w14:paraId="59E339E6" w14:textId="77777777">
            <w:pPr>
              <w:pStyle w:val="EQRTableTextbullet"/>
              <w:rPr>
                <w:sz w:val="16"/>
                <w:szCs w:val="16"/>
              </w:rPr>
            </w:pPr>
            <w:r w:rsidRPr="00990D3B">
              <w:rPr>
                <w:sz w:val="16"/>
                <w:szCs w:val="16"/>
              </w:rPr>
              <w:t>Sample of enrollee records (ES)</w:t>
            </w:r>
          </w:p>
        </w:tc>
        <w:tc>
          <w:tcPr>
            <w:tcW w:w="1214" w:type="pct"/>
          </w:tcPr>
          <w:p w:rsidR="004E5913" w:rsidRPr="00990D3B" w:rsidP="00BB2520" w14:paraId="7D3100D8" w14:textId="77777777">
            <w:pPr>
              <w:pStyle w:val="EQRTableText"/>
              <w:spacing w:line="240" w:lineRule="auto"/>
              <w:rPr>
                <w:b/>
                <w:bCs/>
                <w:sz w:val="16"/>
                <w:szCs w:val="16"/>
              </w:rPr>
            </w:pPr>
            <w:r w:rsidRPr="00990D3B">
              <w:rPr>
                <w:b/>
                <w:bCs/>
                <w:sz w:val="16"/>
                <w:szCs w:val="16"/>
              </w:rPr>
              <w:t xml:space="preserve">Medicaid: </w:t>
            </w:r>
          </w:p>
          <w:p w:rsidR="004E5913" w:rsidRPr="00990D3B" w:rsidP="00BB2520" w14:paraId="5BFA6BEF" w14:textId="751BFB1B">
            <w:pPr>
              <w:pStyle w:val="EQRTableText"/>
              <w:spacing w:line="240" w:lineRule="auto"/>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4E5913" w:rsidRPr="00990D3B" w:rsidP="00BB2520" w14:paraId="310B8744" w14:textId="67E14209">
            <w:pPr>
              <w:pStyle w:val="EQRTableText"/>
              <w:spacing w:line="240" w:lineRule="auto"/>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4E5913" w:rsidRPr="00990D3B" w:rsidP="00BB2520" w14:paraId="22511492" w14:textId="07CFB3C5">
            <w:pPr>
              <w:pStyle w:val="EQRTableText"/>
              <w:spacing w:line="240" w:lineRule="auto"/>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4E5913" w:rsidRPr="00990D3B" w:rsidP="00BB2520" w14:paraId="1B8EE8DA" w14:textId="44C40572">
            <w:pPr>
              <w:pStyle w:val="EQRTableText"/>
              <w:spacing w:line="240" w:lineRule="auto"/>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4E5913" w:rsidRPr="00990D3B" w:rsidP="00BB2520" w14:paraId="5487B56E" w14:textId="7E42D7E6">
            <w:pPr>
              <w:pStyle w:val="EQRTableText"/>
              <w:spacing w:line="240" w:lineRule="auto"/>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BE2565" w:rsidRPr="00990D3B" w:rsidP="00BB2520" w14:paraId="3FFD08D8" w14:textId="00755D52">
            <w:pPr>
              <w:pStyle w:val="EQRTableText"/>
              <w:spacing w:line="240" w:lineRule="auto"/>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sidR="004E5913">
              <w:rPr>
                <w:sz w:val="16"/>
                <w:szCs w:val="16"/>
              </w:rPr>
              <w:t>Not Applicable</w:t>
            </w:r>
          </w:p>
          <w:p w:rsidR="00BE2565" w:rsidRPr="00990D3B" w:rsidP="00BB2520" w14:paraId="35E4E2D0" w14:textId="77777777">
            <w:pPr>
              <w:pStyle w:val="EQRTableText"/>
              <w:spacing w:line="240" w:lineRule="auto"/>
              <w:rPr>
                <w:sz w:val="16"/>
                <w:szCs w:val="16"/>
              </w:rPr>
            </w:pPr>
            <w:r w:rsidRPr="00990D3B">
              <w:rPr>
                <w:sz w:val="16"/>
                <w:szCs w:val="16"/>
              </w:rPr>
              <w:t>Reviewer Notes:</w:t>
            </w:r>
          </w:p>
          <w:p w:rsidR="004E5913" w:rsidRPr="00990D3B" w:rsidP="00BB2520" w14:paraId="4580C289" w14:textId="69492387">
            <w:pPr>
              <w:pStyle w:val="EQRTableText"/>
              <w:spacing w:line="240" w:lineRule="auto"/>
              <w:rPr>
                <w:sz w:val="16"/>
                <w:szCs w:val="16"/>
              </w:rPr>
            </w:pPr>
            <w:r w:rsidRPr="00990D3B">
              <w:rPr>
                <w:b/>
                <w:bCs/>
                <w:sz w:val="16"/>
                <w:szCs w:val="16"/>
              </w:rPr>
              <w:t>CHIP</w:t>
            </w:r>
            <w:r w:rsidRPr="00990D3B">
              <w:rPr>
                <w:sz w:val="16"/>
                <w:szCs w:val="16"/>
              </w:rPr>
              <w:t>:</w:t>
            </w:r>
          </w:p>
          <w:p w:rsidR="004E5913" w:rsidRPr="00990D3B" w:rsidP="00BB2520" w14:paraId="77B3D7A2" w14:textId="477B4F7A">
            <w:pPr>
              <w:pStyle w:val="EQRTableText"/>
              <w:spacing w:line="240" w:lineRule="auto"/>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4E5913" w:rsidRPr="00990D3B" w:rsidP="00BB2520" w14:paraId="49646833" w14:textId="0799C620">
            <w:pPr>
              <w:pStyle w:val="EQRTableText"/>
              <w:spacing w:line="240" w:lineRule="auto"/>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4E5913" w:rsidRPr="00990D3B" w:rsidP="00BB2520" w14:paraId="2BFE3A3B" w14:textId="244DCC33">
            <w:pPr>
              <w:pStyle w:val="EQRTableText"/>
              <w:spacing w:line="240" w:lineRule="auto"/>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4E5913" w:rsidRPr="00990D3B" w:rsidP="00BB2520" w14:paraId="530CAAC5" w14:textId="1442C6AE">
            <w:pPr>
              <w:pStyle w:val="EQRTableText"/>
              <w:spacing w:line="240" w:lineRule="auto"/>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4E5913" w:rsidRPr="00990D3B" w:rsidP="00BB2520" w14:paraId="28003065" w14:textId="4F434140">
            <w:pPr>
              <w:pStyle w:val="EQRTableText"/>
              <w:spacing w:line="240" w:lineRule="auto"/>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BE2565" w:rsidRPr="00990D3B" w:rsidP="00BB2520" w14:paraId="68C70DDC" w14:textId="787A1B16">
            <w:pPr>
              <w:pStyle w:val="EQRTableText"/>
              <w:spacing w:line="240" w:lineRule="auto"/>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sidR="004E5913">
              <w:rPr>
                <w:sz w:val="16"/>
                <w:szCs w:val="16"/>
              </w:rPr>
              <w:t>Not Applicable</w:t>
            </w:r>
          </w:p>
          <w:p w:rsidR="006C375B" w:rsidRPr="00990D3B" w:rsidP="00BB2520" w14:paraId="2488AE68" w14:textId="63745467">
            <w:pPr>
              <w:pStyle w:val="EQRTableText"/>
              <w:spacing w:line="240" w:lineRule="auto"/>
              <w:rPr>
                <w:sz w:val="16"/>
                <w:szCs w:val="16"/>
              </w:rPr>
            </w:pPr>
            <w:r w:rsidRPr="00990D3B">
              <w:rPr>
                <w:sz w:val="16"/>
                <w:szCs w:val="16"/>
              </w:rPr>
              <w:t>Reviewer Notes:</w:t>
            </w:r>
          </w:p>
        </w:tc>
      </w:tr>
      <w:tr w14:paraId="05E79006" w14:textId="77777777" w:rsidTr="006174D5">
        <w:tblPrEx>
          <w:tblW w:w="5000" w:type="pct"/>
          <w:tblLook w:val="04A0"/>
        </w:tblPrEx>
        <w:trPr>
          <w:cantSplit/>
        </w:trPr>
        <w:tc>
          <w:tcPr>
            <w:tcW w:w="1249" w:type="pct"/>
          </w:tcPr>
          <w:p w:rsidR="004E5913" w:rsidRPr="00990D3B" w:rsidP="00BB2520" w14:paraId="1238EA4C" w14:textId="3E15727A">
            <w:pPr>
              <w:pStyle w:val="EQRTableText"/>
              <w:spacing w:line="240" w:lineRule="auto"/>
              <w:rPr>
                <w:sz w:val="16"/>
                <w:szCs w:val="16"/>
              </w:rPr>
            </w:pPr>
            <w:r w:rsidRPr="00990D3B">
              <w:rPr>
                <w:sz w:val="16"/>
                <w:szCs w:val="16"/>
              </w:rPr>
              <w:t>Additional coordination and continuity of care requirements: SHCN</w:t>
            </w:r>
          </w:p>
          <w:p w:rsidR="004E5913" w:rsidRPr="00990D3B" w:rsidP="00BB2520" w14:paraId="2C811B8F" w14:textId="3B3DD80B">
            <w:pPr>
              <w:pStyle w:val="EQRTableText"/>
              <w:spacing w:line="240" w:lineRule="auto"/>
              <w:rPr>
                <w:sz w:val="16"/>
                <w:szCs w:val="16"/>
              </w:rPr>
            </w:pPr>
            <w:r w:rsidRPr="00990D3B">
              <w:rPr>
                <w:sz w:val="16"/>
                <w:szCs w:val="16"/>
              </w:rPr>
              <w:t xml:space="preserve">Medicaid: </w:t>
            </w:r>
            <w:r w:rsidRPr="00990D3B" w:rsidR="001C7FC0">
              <w:rPr>
                <w:sz w:val="16"/>
                <w:szCs w:val="16"/>
              </w:rPr>
              <w:t>42 C.F.R.</w:t>
            </w:r>
            <w:r w:rsidRPr="00990D3B" w:rsidR="007854DF">
              <w:rPr>
                <w:sz w:val="16"/>
                <w:szCs w:val="16"/>
              </w:rPr>
              <w:t xml:space="preserve"> </w:t>
            </w:r>
            <w:r w:rsidRPr="00990D3B">
              <w:rPr>
                <w:sz w:val="16"/>
                <w:szCs w:val="16"/>
              </w:rPr>
              <w:t>438.208: Coordination and continuity of care</w:t>
            </w:r>
          </w:p>
          <w:p w:rsidR="004E5913" w:rsidRPr="00990D3B" w:rsidP="00BB2520" w14:paraId="700B0E65" w14:textId="4E95FB0E">
            <w:pPr>
              <w:pStyle w:val="EQRTableText"/>
              <w:spacing w:line="240" w:lineRule="auto"/>
              <w:rPr>
                <w:sz w:val="16"/>
                <w:szCs w:val="16"/>
              </w:rPr>
            </w:pPr>
            <w:r w:rsidRPr="00990D3B">
              <w:rPr>
                <w:sz w:val="16"/>
                <w:szCs w:val="16"/>
              </w:rPr>
              <w:t xml:space="preserve">CHIP: </w:t>
            </w:r>
            <w:r w:rsidRPr="00990D3B" w:rsidR="001C7FC0">
              <w:rPr>
                <w:sz w:val="16"/>
                <w:szCs w:val="16"/>
              </w:rPr>
              <w:t>42 C.F.R.</w:t>
            </w:r>
            <w:r w:rsidRPr="00990D3B">
              <w:rPr>
                <w:sz w:val="16"/>
                <w:szCs w:val="16"/>
              </w:rPr>
              <w:t xml:space="preserve"> </w:t>
            </w:r>
            <w:r w:rsidRPr="00990D3B">
              <w:rPr>
                <w:sz w:val="16"/>
                <w:szCs w:val="16"/>
              </w:rPr>
              <w:br/>
              <w:t xml:space="preserve"> 457.1230(c): Coordination and continuity of care</w:t>
            </w:r>
          </w:p>
        </w:tc>
        <w:tc>
          <w:tcPr>
            <w:tcW w:w="1286" w:type="pct"/>
          </w:tcPr>
          <w:p w:rsidR="004E5913" w:rsidRPr="00990D3B" w:rsidP="00E00D33" w14:paraId="73342389" w14:textId="63EDBB7F">
            <w:pPr>
              <w:pStyle w:val="EQRTableTextbullet"/>
              <w:rPr>
                <w:sz w:val="16"/>
                <w:szCs w:val="16"/>
              </w:rPr>
            </w:pPr>
            <w:r w:rsidRPr="00990D3B">
              <w:rPr>
                <w:sz w:val="16"/>
                <w:szCs w:val="16"/>
              </w:rPr>
              <w:t xml:space="preserve">Methods used by the </w:t>
            </w:r>
            <w:r w:rsidRPr="00990D3B" w:rsidR="00832946">
              <w:rPr>
                <w:sz w:val="16"/>
                <w:szCs w:val="16"/>
              </w:rPr>
              <w:t>Medicaid and CHIP</w:t>
            </w:r>
            <w:r w:rsidRPr="00990D3B">
              <w:rPr>
                <w:sz w:val="16"/>
                <w:szCs w:val="16"/>
              </w:rPr>
              <w:t xml:space="preserve"> </w:t>
            </w:r>
            <w:r w:rsidRPr="00990D3B" w:rsidR="00EE29E0">
              <w:rPr>
                <w:sz w:val="16"/>
                <w:szCs w:val="16"/>
              </w:rPr>
              <w:t xml:space="preserve">program </w:t>
            </w:r>
            <w:r w:rsidRPr="00990D3B">
              <w:rPr>
                <w:sz w:val="16"/>
                <w:szCs w:val="16"/>
              </w:rPr>
              <w:t xml:space="preserve">to </w:t>
            </w:r>
            <w:r w:rsidRPr="00990D3B">
              <w:rPr>
                <w:sz w:val="16"/>
                <w:szCs w:val="16"/>
              </w:rPr>
              <w:t>identify to</w:t>
            </w:r>
            <w:r w:rsidRPr="00990D3B">
              <w:rPr>
                <w:sz w:val="16"/>
                <w:szCs w:val="16"/>
              </w:rPr>
              <w:t xml:space="preserve"> the MCP individuals with SHCNs.</w:t>
            </w:r>
          </w:p>
          <w:p w:rsidR="004E5913" w:rsidRPr="00990D3B" w:rsidP="00E00D33" w14:paraId="32443FDF" w14:textId="77777777">
            <w:pPr>
              <w:pStyle w:val="EQRTableTextbullet"/>
              <w:rPr>
                <w:sz w:val="16"/>
                <w:szCs w:val="16"/>
              </w:rPr>
            </w:pPr>
            <w:r w:rsidRPr="00990D3B">
              <w:rPr>
                <w:sz w:val="16"/>
                <w:szCs w:val="16"/>
              </w:rPr>
              <w:t>Whether the MCP is required to implement mechanisms for identifying, assessing, and producing a treatment plan for persons with SHCNs using the state’s definition of SHCNs.</w:t>
            </w:r>
          </w:p>
          <w:p w:rsidR="004E5913" w:rsidRPr="00990D3B" w:rsidP="00E00D33" w14:paraId="7F5326A6" w14:textId="77777777">
            <w:pPr>
              <w:pStyle w:val="EQRTableTextbullet"/>
              <w:rPr>
                <w:sz w:val="16"/>
                <w:szCs w:val="16"/>
              </w:rPr>
            </w:pPr>
            <w:r w:rsidRPr="00990D3B">
              <w:rPr>
                <w:sz w:val="16"/>
                <w:szCs w:val="16"/>
              </w:rPr>
              <w:t>Whether the MCP is required to meet identification, assessment, and treatment planning requirements for dually-enrolled beneficiaries.</w:t>
            </w:r>
          </w:p>
          <w:p w:rsidR="004E5913" w:rsidRPr="00990D3B" w:rsidP="00E00D33" w14:paraId="33FEA9F0" w14:textId="32D4CB1A">
            <w:pPr>
              <w:pStyle w:val="EQRTableTextbullet"/>
              <w:rPr>
                <w:sz w:val="16"/>
                <w:szCs w:val="16"/>
              </w:rPr>
            </w:pPr>
            <w:r w:rsidRPr="00990D3B">
              <w:rPr>
                <w:sz w:val="16"/>
                <w:szCs w:val="16"/>
              </w:rPr>
              <w:t xml:space="preserve">Any </w:t>
            </w:r>
            <w:r w:rsidRPr="00990D3B" w:rsidR="00832946">
              <w:rPr>
                <w:sz w:val="16"/>
                <w:szCs w:val="16"/>
              </w:rPr>
              <w:t>Medicaid and CHIP</w:t>
            </w:r>
            <w:r w:rsidRPr="00990D3B">
              <w:rPr>
                <w:sz w:val="16"/>
                <w:szCs w:val="16"/>
              </w:rPr>
              <w:t xml:space="preserve"> </w:t>
            </w:r>
            <w:r w:rsidRPr="00990D3B" w:rsidR="00EE29E0">
              <w:rPr>
                <w:sz w:val="16"/>
                <w:szCs w:val="16"/>
              </w:rPr>
              <w:t xml:space="preserve">program </w:t>
            </w:r>
            <w:r w:rsidRPr="00990D3B">
              <w:rPr>
                <w:sz w:val="16"/>
                <w:szCs w:val="16"/>
              </w:rPr>
              <w:t xml:space="preserve">SHCN assessment mechanisms requirements, including the requirement to use appropriate providers or individuals meeting </w:t>
            </w:r>
            <w:r w:rsidRPr="00990D3B">
              <w:rPr>
                <w:rFonts w:cs="Arial"/>
                <w:sz w:val="16"/>
                <w:szCs w:val="16"/>
              </w:rPr>
              <w:t>the</w:t>
            </w:r>
            <w:r w:rsidRPr="00990D3B">
              <w:rPr>
                <w:rFonts w:ascii="Times New Roman" w:hAnsi="Times New Roman"/>
                <w:sz w:val="16"/>
                <w:szCs w:val="16"/>
              </w:rPr>
              <w:t xml:space="preserve"> </w:t>
            </w:r>
            <w:r w:rsidRPr="00990D3B" w:rsidR="00832946">
              <w:rPr>
                <w:sz w:val="16"/>
                <w:szCs w:val="16"/>
              </w:rPr>
              <w:t>Medicaid and CHIP</w:t>
            </w:r>
            <w:r w:rsidRPr="00990D3B">
              <w:rPr>
                <w:sz w:val="16"/>
                <w:szCs w:val="16"/>
              </w:rPr>
              <w:t xml:space="preserve"> </w:t>
            </w:r>
            <w:r w:rsidRPr="00990D3B" w:rsidR="00EE29E0">
              <w:rPr>
                <w:sz w:val="16"/>
                <w:szCs w:val="16"/>
              </w:rPr>
              <w:t xml:space="preserve">program’s </w:t>
            </w:r>
            <w:r w:rsidRPr="00990D3B">
              <w:rPr>
                <w:sz w:val="16"/>
                <w:szCs w:val="16"/>
              </w:rPr>
              <w:t xml:space="preserve">LTSS service coordination requirements. </w:t>
            </w:r>
          </w:p>
          <w:p w:rsidR="004E5913" w:rsidRPr="00990D3B" w:rsidP="00E00D33" w14:paraId="4BCA2AF0" w14:textId="288062CA">
            <w:pPr>
              <w:pStyle w:val="EQRTableTextbullet"/>
              <w:rPr>
                <w:sz w:val="16"/>
                <w:szCs w:val="16"/>
              </w:rPr>
            </w:pPr>
            <w:r w:rsidRPr="00990D3B">
              <w:rPr>
                <w:sz w:val="16"/>
                <w:szCs w:val="16"/>
                <w:shd w:val="clear" w:color="auto" w:fill="FFFFFF"/>
              </w:rPr>
              <w:t xml:space="preserve">Whether </w:t>
            </w:r>
            <w:r w:rsidRPr="00990D3B">
              <w:rPr>
                <w:sz w:val="16"/>
                <w:szCs w:val="16"/>
              </w:rPr>
              <w:t>the </w:t>
            </w:r>
            <w:r w:rsidRPr="00990D3B" w:rsidR="00832946">
              <w:rPr>
                <w:sz w:val="16"/>
                <w:szCs w:val="16"/>
              </w:rPr>
              <w:t>Medicaid and CHIP</w:t>
            </w:r>
            <w:r w:rsidRPr="00990D3B">
              <w:rPr>
                <w:sz w:val="16"/>
                <w:szCs w:val="16"/>
              </w:rPr>
              <w:t xml:space="preserve"> </w:t>
            </w:r>
            <w:r w:rsidRPr="00990D3B" w:rsidR="00C67AC8">
              <w:rPr>
                <w:sz w:val="16"/>
                <w:szCs w:val="16"/>
              </w:rPr>
              <w:t xml:space="preserve">program </w:t>
            </w:r>
            <w:r w:rsidRPr="00990D3B">
              <w:rPr>
                <w:sz w:val="16"/>
                <w:szCs w:val="16"/>
              </w:rPr>
              <w:t>requires the MCP to produce a treatment or service plan for </w:t>
            </w:r>
            <w:r w:rsidRPr="00990D3B">
              <w:rPr>
                <w:sz w:val="16"/>
                <w:szCs w:val="16"/>
              </w:rPr>
              <w:t>enrollees</w:t>
            </w:r>
            <w:r w:rsidRPr="00990D3B">
              <w:rPr>
                <w:sz w:val="16"/>
                <w:szCs w:val="16"/>
              </w:rPr>
              <w:t> with SHCN that are determined through assessment to need a course of treatment or regular care monitoring.</w:t>
            </w:r>
          </w:p>
          <w:p w:rsidR="004E5913" w:rsidRPr="00990D3B" w:rsidP="00E00D33" w14:paraId="25DE0F5B" w14:textId="77777777">
            <w:pPr>
              <w:pStyle w:val="EQRTableTextbullet"/>
              <w:rPr>
                <w:sz w:val="16"/>
                <w:szCs w:val="16"/>
              </w:rPr>
            </w:pPr>
            <w:r w:rsidRPr="00990D3B">
              <w:rPr>
                <w:sz w:val="16"/>
                <w:szCs w:val="16"/>
              </w:rPr>
              <w:t>The state’s quality assurance and utilization review standards.</w:t>
            </w:r>
          </w:p>
        </w:tc>
        <w:tc>
          <w:tcPr>
            <w:tcW w:w="1251" w:type="pct"/>
          </w:tcPr>
          <w:p w:rsidR="004E5913" w:rsidRPr="00990D3B" w:rsidP="00E00D33" w14:paraId="52FFEB8D" w14:textId="77777777">
            <w:pPr>
              <w:pStyle w:val="EQRTableTextbullet"/>
              <w:rPr>
                <w:sz w:val="16"/>
                <w:szCs w:val="16"/>
              </w:rPr>
            </w:pPr>
            <w:r w:rsidRPr="00990D3B">
              <w:rPr>
                <w:sz w:val="16"/>
                <w:szCs w:val="16"/>
              </w:rPr>
              <w:t>Practice guidelines adopted by the MCP (AM)</w:t>
            </w:r>
          </w:p>
          <w:p w:rsidR="004E5913" w:rsidRPr="00990D3B" w:rsidP="00E00D33" w14:paraId="3EFC63BA" w14:textId="77777777">
            <w:pPr>
              <w:pStyle w:val="EQRTableTextbullet"/>
              <w:rPr>
                <w:sz w:val="16"/>
                <w:szCs w:val="16"/>
              </w:rPr>
            </w:pPr>
            <w:r w:rsidRPr="00990D3B">
              <w:rPr>
                <w:sz w:val="16"/>
                <w:szCs w:val="16"/>
              </w:rPr>
              <w:t>Provider/Contractor Services policies and procedures manuals (PS)</w:t>
            </w:r>
          </w:p>
          <w:p w:rsidR="004E5913" w:rsidRPr="00990D3B" w:rsidP="00E00D33" w14:paraId="738AB8CC" w14:textId="77777777">
            <w:pPr>
              <w:pStyle w:val="EQRTableTextbullet"/>
              <w:rPr>
                <w:sz w:val="16"/>
                <w:szCs w:val="16"/>
              </w:rPr>
            </w:pPr>
            <w:r w:rsidRPr="00990D3B">
              <w:rPr>
                <w:sz w:val="16"/>
                <w:szCs w:val="16"/>
              </w:rPr>
              <w:t>Provider contracts (PS)</w:t>
            </w:r>
          </w:p>
          <w:p w:rsidR="004E5913" w:rsidRPr="00990D3B" w:rsidP="00E00D33" w14:paraId="2BE06F55" w14:textId="77777777">
            <w:pPr>
              <w:pStyle w:val="EQRTableTextbullet"/>
              <w:rPr>
                <w:sz w:val="16"/>
                <w:szCs w:val="16"/>
              </w:rPr>
            </w:pPr>
            <w:r w:rsidRPr="00990D3B">
              <w:rPr>
                <w:sz w:val="16"/>
                <w:szCs w:val="16"/>
              </w:rPr>
              <w:t>Provider/Contractor procedure manuals (PS)</w:t>
            </w:r>
          </w:p>
          <w:p w:rsidR="004E5913" w:rsidRPr="00990D3B" w:rsidP="00E00D33" w14:paraId="5C1BE838" w14:textId="77777777">
            <w:pPr>
              <w:pStyle w:val="EQRTableTextbullet"/>
              <w:rPr>
                <w:sz w:val="16"/>
                <w:szCs w:val="16"/>
              </w:rPr>
            </w:pPr>
            <w:r w:rsidRPr="00990D3B">
              <w:rPr>
                <w:sz w:val="16"/>
                <w:szCs w:val="16"/>
              </w:rPr>
              <w:t>Enrollee services policies and procedures (ES)</w:t>
            </w:r>
          </w:p>
          <w:p w:rsidR="004E5913" w:rsidRPr="00990D3B" w:rsidP="00E00D33" w14:paraId="35A88C1A" w14:textId="77777777">
            <w:pPr>
              <w:pStyle w:val="EQRTableTextbullet"/>
              <w:rPr>
                <w:sz w:val="16"/>
                <w:szCs w:val="16"/>
              </w:rPr>
            </w:pPr>
            <w:r w:rsidRPr="00990D3B">
              <w:rPr>
                <w:sz w:val="16"/>
                <w:szCs w:val="16"/>
              </w:rPr>
              <w:t>Enrollee Handbooks (ES)</w:t>
            </w:r>
          </w:p>
          <w:p w:rsidR="004E5913" w:rsidRPr="00990D3B" w:rsidP="00E00D33" w14:paraId="1E13A088" w14:textId="77777777">
            <w:pPr>
              <w:pStyle w:val="EQRTableTextbullet"/>
              <w:rPr>
                <w:sz w:val="16"/>
                <w:szCs w:val="16"/>
              </w:rPr>
            </w:pPr>
            <w:r w:rsidRPr="00990D3B">
              <w:rPr>
                <w:sz w:val="16"/>
                <w:szCs w:val="16"/>
              </w:rPr>
              <w:t>Care coordination policies and procedures, and enrollee records (ES)</w:t>
            </w:r>
          </w:p>
          <w:p w:rsidR="004E5913" w:rsidRPr="00990D3B" w:rsidP="00E00D33" w14:paraId="72024823" w14:textId="77777777">
            <w:pPr>
              <w:pStyle w:val="EQRTableTextbullet"/>
              <w:rPr>
                <w:sz w:val="16"/>
                <w:szCs w:val="16"/>
              </w:rPr>
            </w:pPr>
            <w:r w:rsidRPr="00990D3B">
              <w:rPr>
                <w:sz w:val="16"/>
                <w:szCs w:val="16"/>
              </w:rPr>
              <w:t>Sample of enrollee records (ES)</w:t>
            </w:r>
          </w:p>
        </w:tc>
        <w:tc>
          <w:tcPr>
            <w:tcW w:w="1214" w:type="pct"/>
          </w:tcPr>
          <w:p w:rsidR="004E5913" w:rsidRPr="00990D3B" w:rsidP="00BB2520" w14:paraId="5C965289" w14:textId="77777777">
            <w:pPr>
              <w:pStyle w:val="EQRTableText"/>
              <w:spacing w:line="240" w:lineRule="auto"/>
              <w:rPr>
                <w:b/>
                <w:bCs/>
                <w:sz w:val="16"/>
                <w:szCs w:val="16"/>
              </w:rPr>
            </w:pPr>
            <w:r w:rsidRPr="00990D3B">
              <w:rPr>
                <w:b/>
                <w:bCs/>
                <w:sz w:val="16"/>
                <w:szCs w:val="16"/>
              </w:rPr>
              <w:t xml:space="preserve">Medicaid: </w:t>
            </w:r>
          </w:p>
          <w:p w:rsidR="004E5913" w:rsidRPr="00990D3B" w:rsidP="00BB2520" w14:paraId="0DE93A4C" w14:textId="5E196839">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Fully Met</w:t>
            </w:r>
          </w:p>
          <w:p w:rsidR="004E5913" w:rsidRPr="00990D3B" w:rsidP="00BB2520" w14:paraId="476E37FF" w14:textId="48C9B54F">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Substantially Met</w:t>
            </w:r>
          </w:p>
          <w:p w:rsidR="004E5913" w:rsidRPr="00990D3B" w:rsidP="00BB2520" w14:paraId="6A6708ED" w14:textId="62043C05">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Partially Met</w:t>
            </w:r>
          </w:p>
          <w:p w:rsidR="004E5913" w:rsidRPr="00990D3B" w:rsidP="00BB2520" w14:paraId="0DCE5D65" w14:textId="13703D45">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Minimally Met</w:t>
            </w:r>
          </w:p>
          <w:p w:rsidR="004E5913" w:rsidRPr="00990D3B" w:rsidP="00BB2520" w14:paraId="40E19161" w14:textId="365EC699">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Not Met</w:t>
            </w:r>
          </w:p>
          <w:p w:rsidR="00BE2565" w:rsidRPr="00990D3B" w:rsidP="00BB2520" w14:paraId="37A81F1E" w14:textId="13B31FB4">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sidR="004E5913">
              <w:rPr>
                <w:sz w:val="16"/>
                <w:szCs w:val="16"/>
              </w:rPr>
              <w:t>Not Applicable</w:t>
            </w:r>
          </w:p>
          <w:p w:rsidR="00BE2565" w:rsidRPr="00990D3B" w:rsidP="00BB2520" w14:paraId="780A4094" w14:textId="77777777">
            <w:pPr>
              <w:pStyle w:val="EQRTableText"/>
              <w:spacing w:line="240" w:lineRule="auto"/>
              <w:rPr>
                <w:sz w:val="16"/>
                <w:szCs w:val="16"/>
              </w:rPr>
            </w:pPr>
            <w:r w:rsidRPr="00990D3B">
              <w:rPr>
                <w:sz w:val="16"/>
                <w:szCs w:val="16"/>
              </w:rPr>
              <w:t>Reviewer Notes:</w:t>
            </w:r>
          </w:p>
          <w:p w:rsidR="004E5913" w:rsidRPr="00990D3B" w:rsidP="00BB2520" w14:paraId="2FD9CD08" w14:textId="47BEA69A">
            <w:pPr>
              <w:pStyle w:val="EQRTableText"/>
              <w:spacing w:line="240" w:lineRule="auto"/>
              <w:rPr>
                <w:b/>
                <w:bCs/>
                <w:sz w:val="16"/>
                <w:szCs w:val="16"/>
              </w:rPr>
            </w:pPr>
            <w:r w:rsidRPr="00990D3B">
              <w:rPr>
                <w:b/>
                <w:bCs/>
                <w:sz w:val="16"/>
                <w:szCs w:val="16"/>
              </w:rPr>
              <w:t>CHIP:</w:t>
            </w:r>
          </w:p>
          <w:p w:rsidR="004E5913" w:rsidRPr="00990D3B" w:rsidP="00BB2520" w14:paraId="519B6706" w14:textId="78026CF0">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Fully Met</w:t>
            </w:r>
          </w:p>
          <w:p w:rsidR="004E5913" w:rsidRPr="00990D3B" w:rsidP="00BB2520" w14:paraId="51CC3715" w14:textId="25E7609A">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Substantially Met</w:t>
            </w:r>
          </w:p>
          <w:p w:rsidR="004E5913" w:rsidRPr="00990D3B" w:rsidP="00BB2520" w14:paraId="2269FBAB" w14:textId="6932B96E">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Partially Met</w:t>
            </w:r>
          </w:p>
          <w:p w:rsidR="004E5913" w:rsidRPr="00990D3B" w:rsidP="00BB2520" w14:paraId="56E89D32" w14:textId="5B90D322">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Minimally Met</w:t>
            </w:r>
          </w:p>
          <w:p w:rsidR="004E5913" w:rsidRPr="00990D3B" w:rsidP="00BB2520" w14:paraId="34E36B58" w14:textId="48D0110E">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Not Met</w:t>
            </w:r>
          </w:p>
          <w:p w:rsidR="00BE2565" w:rsidRPr="00990D3B" w:rsidP="00BB2520" w14:paraId="3D925BD8" w14:textId="747D3032">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sidR="004E5913">
              <w:rPr>
                <w:sz w:val="16"/>
                <w:szCs w:val="16"/>
              </w:rPr>
              <w:t>Not Applicable</w:t>
            </w:r>
          </w:p>
          <w:p w:rsidR="006C375B" w:rsidRPr="00990D3B" w:rsidP="009D5557" w14:paraId="15520070" w14:textId="1FCF9242">
            <w:pPr>
              <w:pStyle w:val="EQRTableText"/>
              <w:spacing w:line="240" w:lineRule="auto"/>
              <w:rPr>
                <w:sz w:val="16"/>
                <w:szCs w:val="16"/>
              </w:rPr>
            </w:pPr>
            <w:r w:rsidRPr="00990D3B">
              <w:rPr>
                <w:sz w:val="16"/>
                <w:szCs w:val="16"/>
              </w:rPr>
              <w:t>Reviewer Notes:</w:t>
            </w:r>
          </w:p>
        </w:tc>
      </w:tr>
      <w:tr w14:paraId="245963CF" w14:textId="77777777" w:rsidTr="006174D5">
        <w:tblPrEx>
          <w:tblW w:w="5000" w:type="pct"/>
          <w:tblLook w:val="04A0"/>
        </w:tblPrEx>
        <w:trPr>
          <w:cantSplit/>
        </w:trPr>
        <w:tc>
          <w:tcPr>
            <w:tcW w:w="1249" w:type="pct"/>
          </w:tcPr>
          <w:p w:rsidR="004E5913" w:rsidRPr="00990D3B" w:rsidP="00BB2520" w14:paraId="1F8CE6A9" w14:textId="77777777">
            <w:pPr>
              <w:pStyle w:val="EQRTableText"/>
              <w:spacing w:line="240" w:lineRule="auto"/>
              <w:rPr>
                <w:b/>
                <w:color w:val="000000" w:themeColor="text1"/>
                <w:sz w:val="16"/>
                <w:szCs w:val="16"/>
              </w:rPr>
            </w:pPr>
            <w:r w:rsidRPr="00990D3B">
              <w:rPr>
                <w:b/>
                <w:color w:val="000000" w:themeColor="text1"/>
                <w:sz w:val="16"/>
                <w:szCs w:val="16"/>
              </w:rPr>
              <w:t>Disenrollment</w:t>
            </w:r>
          </w:p>
          <w:p w:rsidR="004E5913" w:rsidRPr="00990D3B" w:rsidP="00BB2520" w14:paraId="7B79A8DF" w14:textId="0E78CB52">
            <w:pPr>
              <w:pStyle w:val="EQRTableText"/>
              <w:spacing w:line="240" w:lineRule="auto"/>
              <w:rPr>
                <w:color w:val="000000" w:themeColor="text1"/>
                <w:sz w:val="16"/>
                <w:szCs w:val="16"/>
              </w:rPr>
            </w:pPr>
            <w:r w:rsidRPr="00990D3B">
              <w:rPr>
                <w:b/>
                <w:color w:val="000000" w:themeColor="text1"/>
                <w:sz w:val="16"/>
                <w:szCs w:val="16"/>
              </w:rPr>
              <w:t>Medicaid:</w:t>
            </w:r>
            <w:r w:rsidRPr="00990D3B">
              <w:rPr>
                <w:color w:val="000000" w:themeColor="text1"/>
                <w:sz w:val="16"/>
                <w:szCs w:val="16"/>
              </w:rPr>
              <w:t xml:space="preserve">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438.56: Disenrollment: Requirements and limitations</w:t>
            </w:r>
          </w:p>
          <w:p w:rsidR="004E5913" w:rsidRPr="00990D3B" w:rsidP="00BB2520" w14:paraId="05507E28" w14:textId="291606E0">
            <w:pPr>
              <w:pStyle w:val="EQRTableText"/>
              <w:spacing w:line="240" w:lineRule="auto"/>
              <w:rPr>
                <w:b/>
                <w:color w:val="000000" w:themeColor="text1"/>
                <w:sz w:val="16"/>
                <w:szCs w:val="16"/>
              </w:rPr>
            </w:pPr>
            <w:r w:rsidRPr="00990D3B">
              <w:rPr>
                <w:b/>
                <w:color w:val="000000" w:themeColor="text1"/>
                <w:sz w:val="16"/>
                <w:szCs w:val="16"/>
              </w:rPr>
              <w:t xml:space="preserve">CHIP: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 xml:space="preserve">457.1212: Disenrollment </w:t>
            </w:r>
          </w:p>
        </w:tc>
        <w:tc>
          <w:tcPr>
            <w:tcW w:w="1286" w:type="pct"/>
          </w:tcPr>
          <w:p w:rsidR="004E5913" w:rsidRPr="00990D3B" w:rsidP="00E00D33" w14:paraId="7C0483D8" w14:textId="4D128FEC">
            <w:pPr>
              <w:pStyle w:val="EQRTableTextbullet"/>
              <w:rPr>
                <w:sz w:val="16"/>
                <w:szCs w:val="16"/>
              </w:rPr>
            </w:pPr>
            <w:r w:rsidRPr="00990D3B">
              <w:rPr>
                <w:sz w:val="16"/>
                <w:szCs w:val="16"/>
              </w:rPr>
              <w:t xml:space="preserve">Obtain from the </w:t>
            </w:r>
            <w:r w:rsidRPr="00990D3B" w:rsidR="00832946">
              <w:rPr>
                <w:sz w:val="16"/>
                <w:szCs w:val="16"/>
              </w:rPr>
              <w:t>Medicaid and CHIP</w:t>
            </w:r>
            <w:r w:rsidRPr="00990D3B">
              <w:rPr>
                <w:sz w:val="16"/>
                <w:szCs w:val="16"/>
              </w:rPr>
              <w:t xml:space="preserve"> </w:t>
            </w:r>
            <w:r w:rsidRPr="00990D3B" w:rsidR="00C67AC8">
              <w:rPr>
                <w:sz w:val="16"/>
                <w:szCs w:val="16"/>
              </w:rPr>
              <w:t xml:space="preserve">program </w:t>
            </w:r>
            <w:r w:rsidRPr="00990D3B">
              <w:rPr>
                <w:sz w:val="16"/>
                <w:szCs w:val="16"/>
              </w:rPr>
              <w:t>Information on:</w:t>
            </w:r>
          </w:p>
          <w:p w:rsidR="004E5913" w:rsidRPr="00990D3B" w:rsidP="00E00D33" w14:paraId="5442E1F7" w14:textId="77777777">
            <w:pPr>
              <w:pStyle w:val="EQRTableTextbullet"/>
              <w:rPr>
                <w:sz w:val="16"/>
                <w:szCs w:val="16"/>
              </w:rPr>
            </w:pPr>
            <w:r w:rsidRPr="00990D3B">
              <w:rPr>
                <w:sz w:val="16"/>
                <w:szCs w:val="16"/>
              </w:rPr>
              <w:t>Reasons for which the MCP may request the disenrollment of an enrollee.</w:t>
            </w:r>
          </w:p>
          <w:p w:rsidR="004E5913" w:rsidRPr="00990D3B" w:rsidP="00E00D33" w14:paraId="24E39B2C" w14:textId="5C2834B0">
            <w:pPr>
              <w:pStyle w:val="EQRTableTextbullet"/>
              <w:rPr>
                <w:sz w:val="16"/>
                <w:szCs w:val="16"/>
              </w:rPr>
            </w:pPr>
            <w:r w:rsidRPr="00990D3B">
              <w:rPr>
                <w:sz w:val="16"/>
                <w:szCs w:val="16"/>
              </w:rPr>
              <w:t xml:space="preserve">Methods by which the MCP assures the </w:t>
            </w:r>
            <w:r w:rsidRPr="00990D3B" w:rsidR="00832946">
              <w:rPr>
                <w:sz w:val="16"/>
                <w:szCs w:val="16"/>
              </w:rPr>
              <w:t>Medicaid and CHIP</w:t>
            </w:r>
            <w:r w:rsidRPr="00990D3B">
              <w:rPr>
                <w:sz w:val="16"/>
                <w:szCs w:val="16"/>
              </w:rPr>
              <w:t xml:space="preserve"> </w:t>
            </w:r>
            <w:r w:rsidRPr="00990D3B" w:rsidR="00C67AC8">
              <w:rPr>
                <w:sz w:val="16"/>
                <w:szCs w:val="16"/>
              </w:rPr>
              <w:t xml:space="preserve">program </w:t>
            </w:r>
            <w:r w:rsidRPr="00990D3B">
              <w:rPr>
                <w:sz w:val="16"/>
                <w:szCs w:val="16"/>
              </w:rPr>
              <w:t>that it does not request disenrollment for reasons other than those permitted under the contract.</w:t>
            </w:r>
          </w:p>
          <w:p w:rsidR="004E5913" w:rsidRPr="00990D3B" w:rsidP="00E00D33" w14:paraId="4AC4A3AD" w14:textId="77777777">
            <w:pPr>
              <w:pStyle w:val="EQRTableTextbullet"/>
              <w:rPr>
                <w:sz w:val="16"/>
                <w:szCs w:val="16"/>
              </w:rPr>
            </w:pPr>
            <w:r w:rsidRPr="00990D3B">
              <w:rPr>
                <w:sz w:val="16"/>
                <w:szCs w:val="16"/>
              </w:rPr>
              <w:t>Whether the state chooses to limit disenrollment.</w:t>
            </w:r>
          </w:p>
          <w:p w:rsidR="004E5913" w:rsidRPr="00990D3B" w:rsidP="00E00D33" w14:paraId="74C802A1" w14:textId="0D7A299E">
            <w:pPr>
              <w:pStyle w:val="EQRTableTextbullet"/>
              <w:rPr>
                <w:sz w:val="16"/>
                <w:szCs w:val="16"/>
              </w:rPr>
            </w:pPr>
            <w:r w:rsidRPr="00990D3B">
              <w:rPr>
                <w:sz w:val="16"/>
                <w:szCs w:val="16"/>
              </w:rPr>
              <w:t>Medicaid and CHIP</w:t>
            </w:r>
            <w:r w:rsidRPr="00990D3B">
              <w:rPr>
                <w:sz w:val="16"/>
                <w:szCs w:val="16"/>
              </w:rPr>
              <w:t xml:space="preserve"> </w:t>
            </w:r>
            <w:r w:rsidRPr="00990D3B" w:rsidR="00C67AC8">
              <w:rPr>
                <w:sz w:val="16"/>
                <w:szCs w:val="16"/>
              </w:rPr>
              <w:t xml:space="preserve">program </w:t>
            </w:r>
            <w:r w:rsidRPr="00990D3B">
              <w:rPr>
                <w:sz w:val="16"/>
                <w:szCs w:val="16"/>
              </w:rPr>
              <w:t>enrollee disenrollment request policies.</w:t>
            </w:r>
          </w:p>
          <w:p w:rsidR="004E5913" w:rsidRPr="00990D3B" w:rsidP="00E00D33" w14:paraId="3819D213" w14:textId="229B5889">
            <w:pPr>
              <w:pStyle w:val="EQRTableTextbullet"/>
              <w:rPr>
                <w:sz w:val="16"/>
                <w:szCs w:val="16"/>
              </w:rPr>
            </w:pPr>
            <w:r w:rsidRPr="00990D3B">
              <w:rPr>
                <w:sz w:val="16"/>
                <w:szCs w:val="16"/>
              </w:rPr>
              <w:t xml:space="preserve">Whether the </w:t>
            </w:r>
            <w:r w:rsidRPr="00990D3B" w:rsidR="00832946">
              <w:rPr>
                <w:sz w:val="16"/>
                <w:szCs w:val="16"/>
              </w:rPr>
              <w:t>Medicaid and CHIP</w:t>
            </w:r>
            <w:r w:rsidRPr="00990D3B">
              <w:rPr>
                <w:sz w:val="16"/>
                <w:szCs w:val="16"/>
              </w:rPr>
              <w:t xml:space="preserve"> </w:t>
            </w:r>
            <w:r w:rsidRPr="00990D3B" w:rsidR="00C67AC8">
              <w:rPr>
                <w:sz w:val="16"/>
                <w:szCs w:val="16"/>
              </w:rPr>
              <w:t xml:space="preserve">program </w:t>
            </w:r>
            <w:r w:rsidRPr="00990D3B">
              <w:rPr>
                <w:sz w:val="16"/>
                <w:szCs w:val="16"/>
              </w:rPr>
              <w:t xml:space="preserve">allows the MCP to process enrollee requests for disenrollment. </w:t>
            </w:r>
          </w:p>
          <w:p w:rsidR="004E5913" w:rsidRPr="00990D3B" w:rsidP="00E00D33" w14:paraId="519CF8D8" w14:textId="68F1C886">
            <w:pPr>
              <w:pStyle w:val="EQRTableTextbullet"/>
              <w:rPr>
                <w:sz w:val="16"/>
                <w:szCs w:val="16"/>
              </w:rPr>
            </w:pPr>
            <w:r w:rsidRPr="00990D3B">
              <w:rPr>
                <w:sz w:val="16"/>
                <w:szCs w:val="16"/>
              </w:rPr>
              <w:t xml:space="preserve">Whether the </w:t>
            </w:r>
            <w:r w:rsidRPr="00990D3B" w:rsidR="00832946">
              <w:rPr>
                <w:sz w:val="16"/>
                <w:szCs w:val="16"/>
              </w:rPr>
              <w:t>Medicaid and CHIP</w:t>
            </w:r>
            <w:r w:rsidRPr="00990D3B">
              <w:rPr>
                <w:sz w:val="16"/>
                <w:szCs w:val="16"/>
              </w:rPr>
              <w:t xml:space="preserve"> </w:t>
            </w:r>
            <w:r w:rsidRPr="00990D3B" w:rsidR="00C67AC8">
              <w:rPr>
                <w:sz w:val="16"/>
                <w:szCs w:val="16"/>
              </w:rPr>
              <w:t xml:space="preserve">program </w:t>
            </w:r>
            <w:r w:rsidRPr="00990D3B">
              <w:rPr>
                <w:sz w:val="16"/>
                <w:szCs w:val="16"/>
              </w:rPr>
              <w:t xml:space="preserve">requires enrollees to seek redress through the MCP’s grievance system before the </w:t>
            </w:r>
            <w:r w:rsidRPr="00990D3B" w:rsidR="00832946">
              <w:rPr>
                <w:sz w:val="16"/>
                <w:szCs w:val="16"/>
              </w:rPr>
              <w:t>Medicaid and CHIP</w:t>
            </w:r>
            <w:r w:rsidRPr="00990D3B">
              <w:rPr>
                <w:sz w:val="16"/>
                <w:szCs w:val="16"/>
              </w:rPr>
              <w:t xml:space="preserve"> </w:t>
            </w:r>
            <w:r w:rsidRPr="00990D3B" w:rsidR="00C67AC8">
              <w:rPr>
                <w:sz w:val="16"/>
                <w:szCs w:val="16"/>
              </w:rPr>
              <w:t xml:space="preserve">program </w:t>
            </w:r>
            <w:r w:rsidRPr="00990D3B">
              <w:rPr>
                <w:sz w:val="16"/>
                <w:szCs w:val="16"/>
              </w:rPr>
              <w:t>makes a disenrollment determination on the enrollee’s request.</w:t>
            </w:r>
          </w:p>
        </w:tc>
        <w:tc>
          <w:tcPr>
            <w:tcW w:w="1251" w:type="pct"/>
          </w:tcPr>
          <w:p w:rsidR="004E5913" w:rsidRPr="00990D3B" w:rsidP="00E00D33" w14:paraId="0E035D6C" w14:textId="2F2669D1">
            <w:pPr>
              <w:pStyle w:val="EQRTableTextbullet"/>
              <w:rPr>
                <w:sz w:val="16"/>
                <w:szCs w:val="16"/>
              </w:rPr>
            </w:pPr>
            <w:r w:rsidRPr="00990D3B">
              <w:rPr>
                <w:sz w:val="16"/>
                <w:szCs w:val="16"/>
              </w:rPr>
              <w:t>Medicaid and CHIP</w:t>
            </w:r>
            <w:r w:rsidRPr="00990D3B">
              <w:rPr>
                <w:sz w:val="16"/>
                <w:szCs w:val="16"/>
              </w:rPr>
              <w:t xml:space="preserve"> enrollment and disenrollment policies and procedures (ES)</w:t>
            </w:r>
          </w:p>
        </w:tc>
        <w:tc>
          <w:tcPr>
            <w:tcW w:w="1214" w:type="pct"/>
          </w:tcPr>
          <w:p w:rsidR="004E5913" w:rsidRPr="00990D3B" w:rsidP="00BB2520" w14:paraId="3223C1BD" w14:textId="77777777">
            <w:pPr>
              <w:pStyle w:val="EQRTableText"/>
              <w:spacing w:line="240" w:lineRule="auto"/>
              <w:rPr>
                <w:sz w:val="16"/>
                <w:szCs w:val="16"/>
              </w:rPr>
            </w:pPr>
            <w:r w:rsidRPr="00990D3B">
              <w:rPr>
                <w:sz w:val="16"/>
                <w:szCs w:val="16"/>
              </w:rPr>
              <w:t xml:space="preserve">Medicaid: </w:t>
            </w:r>
          </w:p>
          <w:p w:rsidR="004E5913" w:rsidRPr="00990D3B" w:rsidP="00BB2520" w14:paraId="20CC50C5" w14:textId="4C9F75DF">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Fully Met</w:t>
            </w:r>
          </w:p>
          <w:p w:rsidR="004E5913" w:rsidRPr="00990D3B" w:rsidP="00BB2520" w14:paraId="594358A0" w14:textId="372BBBF1">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Substantially Met</w:t>
            </w:r>
          </w:p>
          <w:p w:rsidR="004E5913" w:rsidRPr="00990D3B" w:rsidP="00BB2520" w14:paraId="07ABE1C6" w14:textId="185ED2DC">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Partially Met</w:t>
            </w:r>
          </w:p>
          <w:p w:rsidR="004E5913" w:rsidRPr="00990D3B" w:rsidP="00BB2520" w14:paraId="68010EC4" w14:textId="265AFCE0">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Minimally Met</w:t>
            </w:r>
          </w:p>
          <w:p w:rsidR="004E5913" w:rsidRPr="00990D3B" w:rsidP="00BB2520" w14:paraId="0BA06AFE" w14:textId="08CCAAEA">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Not Met</w:t>
            </w:r>
          </w:p>
          <w:p w:rsidR="00BE2565" w:rsidRPr="00990D3B" w:rsidP="00BB2520" w14:paraId="791FA830" w14:textId="0FDBF496">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sidR="004E5913">
              <w:rPr>
                <w:sz w:val="16"/>
                <w:szCs w:val="16"/>
              </w:rPr>
              <w:t>Not Applicable</w:t>
            </w:r>
          </w:p>
          <w:p w:rsidR="00BE2565" w:rsidRPr="00990D3B" w:rsidP="00BB2520" w14:paraId="4344E77F" w14:textId="77777777">
            <w:pPr>
              <w:pStyle w:val="EQRTableText"/>
              <w:spacing w:line="240" w:lineRule="auto"/>
              <w:rPr>
                <w:sz w:val="16"/>
                <w:szCs w:val="16"/>
              </w:rPr>
            </w:pPr>
            <w:r w:rsidRPr="00990D3B">
              <w:rPr>
                <w:sz w:val="16"/>
                <w:szCs w:val="16"/>
              </w:rPr>
              <w:t>Reviewer Notes:</w:t>
            </w:r>
          </w:p>
          <w:p w:rsidR="004E5913" w:rsidRPr="00990D3B" w:rsidP="00BB2520" w14:paraId="5C4AB24A" w14:textId="4E844481">
            <w:pPr>
              <w:pStyle w:val="EQRTableText"/>
              <w:spacing w:line="240" w:lineRule="auto"/>
              <w:rPr>
                <w:b/>
                <w:bCs/>
                <w:sz w:val="16"/>
                <w:szCs w:val="16"/>
              </w:rPr>
            </w:pPr>
            <w:r w:rsidRPr="00990D3B">
              <w:rPr>
                <w:b/>
                <w:bCs/>
                <w:sz w:val="16"/>
                <w:szCs w:val="16"/>
              </w:rPr>
              <w:t>CHIP:</w:t>
            </w:r>
          </w:p>
          <w:p w:rsidR="004E5913" w:rsidRPr="00990D3B" w:rsidP="00BB2520" w14:paraId="38A6A9EF" w14:textId="6CC834E0">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Fully Met</w:t>
            </w:r>
          </w:p>
          <w:p w:rsidR="004E5913" w:rsidRPr="00990D3B" w:rsidP="00BB2520" w14:paraId="6CD202A0" w14:textId="3B8741AB">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Substantially Met</w:t>
            </w:r>
          </w:p>
          <w:p w:rsidR="004E5913" w:rsidRPr="00990D3B" w:rsidP="00BB2520" w14:paraId="4FBB94EF" w14:textId="5550A1C7">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Partially Met</w:t>
            </w:r>
          </w:p>
          <w:p w:rsidR="004E5913" w:rsidRPr="00990D3B" w:rsidP="00BB2520" w14:paraId="6A4D625F" w14:textId="63DA1E87">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Minimally Met</w:t>
            </w:r>
          </w:p>
          <w:p w:rsidR="004E5913" w:rsidRPr="00990D3B" w:rsidP="00BB2520" w14:paraId="35C3D6A4" w14:textId="166A5CCC">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Not Met</w:t>
            </w:r>
          </w:p>
          <w:p w:rsidR="00BE2565" w:rsidRPr="00990D3B" w:rsidP="00BB2520" w14:paraId="3C2FE934" w14:textId="5AF4508C">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sidR="004E5913">
              <w:rPr>
                <w:sz w:val="16"/>
                <w:szCs w:val="16"/>
              </w:rPr>
              <w:t>Not Applicable</w:t>
            </w:r>
          </w:p>
          <w:p w:rsidR="006C375B" w:rsidRPr="00990D3B" w:rsidP="00A860BB" w14:paraId="6C4814F8" w14:textId="79CFD4C3">
            <w:pPr>
              <w:pStyle w:val="EQRTableText"/>
              <w:spacing w:line="240" w:lineRule="auto"/>
              <w:rPr>
                <w:sz w:val="16"/>
                <w:szCs w:val="16"/>
              </w:rPr>
            </w:pPr>
            <w:r w:rsidRPr="00990D3B">
              <w:rPr>
                <w:sz w:val="16"/>
                <w:szCs w:val="16"/>
              </w:rPr>
              <w:t>Reviewer Notes:</w:t>
            </w:r>
          </w:p>
        </w:tc>
      </w:tr>
      <w:tr w14:paraId="19D3ABA7" w14:textId="77777777" w:rsidTr="006174D5">
        <w:tblPrEx>
          <w:tblW w:w="5000" w:type="pct"/>
          <w:tblLook w:val="04A0"/>
        </w:tblPrEx>
        <w:trPr>
          <w:cantSplit/>
        </w:trPr>
        <w:tc>
          <w:tcPr>
            <w:tcW w:w="1249" w:type="pct"/>
          </w:tcPr>
          <w:p w:rsidR="004E5913" w:rsidRPr="00990D3B" w:rsidP="00BB2520" w14:paraId="1456BD77" w14:textId="77777777">
            <w:pPr>
              <w:pStyle w:val="EQRTableText"/>
              <w:spacing w:line="240" w:lineRule="auto"/>
              <w:rPr>
                <w:b/>
                <w:color w:val="000000" w:themeColor="text1"/>
                <w:sz w:val="16"/>
                <w:szCs w:val="16"/>
              </w:rPr>
            </w:pPr>
            <w:r w:rsidRPr="00990D3B">
              <w:rPr>
                <w:b/>
                <w:color w:val="000000" w:themeColor="text1"/>
                <w:sz w:val="16"/>
                <w:szCs w:val="16"/>
              </w:rPr>
              <w:t>Coverage and authorization of services</w:t>
            </w:r>
          </w:p>
          <w:p w:rsidR="004E5913" w:rsidRPr="00990D3B" w:rsidP="00BB2520" w14:paraId="5EAF39B9" w14:textId="23954881">
            <w:pPr>
              <w:pStyle w:val="EQRTableText"/>
              <w:spacing w:line="240" w:lineRule="auto"/>
              <w:rPr>
                <w:color w:val="000000" w:themeColor="text1"/>
                <w:sz w:val="16"/>
                <w:szCs w:val="16"/>
              </w:rPr>
            </w:pPr>
            <w:r w:rsidRPr="00990D3B">
              <w:rPr>
                <w:b/>
                <w:color w:val="000000" w:themeColor="text1"/>
                <w:sz w:val="16"/>
                <w:szCs w:val="16"/>
              </w:rPr>
              <w:t>Medicaid:</w:t>
            </w:r>
            <w:r w:rsidRPr="00990D3B">
              <w:rPr>
                <w:color w:val="000000" w:themeColor="text1"/>
                <w:sz w:val="16"/>
                <w:szCs w:val="16"/>
              </w:rPr>
              <w:t xml:space="preserve">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438.210(a–</w:t>
            </w:r>
            <w:r w:rsidRPr="00990D3B">
              <w:rPr>
                <w:color w:val="000000" w:themeColor="text1"/>
                <w:sz w:val="16"/>
                <w:szCs w:val="16"/>
              </w:rPr>
              <w:t>e)*</w:t>
            </w:r>
            <w:r w:rsidRPr="00990D3B">
              <w:rPr>
                <w:color w:val="000000" w:themeColor="text1"/>
                <w:sz w:val="16"/>
                <w:szCs w:val="16"/>
              </w:rPr>
              <w:t>: Coverage and authorization of services, including</w:t>
            </w:r>
          </w:p>
          <w:p w:rsidR="004E5913" w:rsidRPr="00990D3B" w:rsidP="00BB2520" w14:paraId="03465098" w14:textId="3A51C1A8">
            <w:pPr>
              <w:pStyle w:val="EQRTableText"/>
              <w:spacing w:line="240" w:lineRule="auto"/>
              <w:rPr>
                <w:color w:val="000000" w:themeColor="text1"/>
                <w:sz w:val="16"/>
                <w:szCs w:val="16"/>
              </w:rPr>
            </w:pPr>
            <w:r w:rsidRPr="00990D3B">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 xml:space="preserve">440.230 Sufficiency of amount, duration, and </w:t>
            </w:r>
            <w:r w:rsidRPr="00990D3B">
              <w:rPr>
                <w:color w:val="000000" w:themeColor="text1"/>
                <w:sz w:val="16"/>
                <w:szCs w:val="16"/>
              </w:rPr>
              <w:t>scope;</w:t>
            </w:r>
          </w:p>
          <w:p w:rsidR="004E5913" w:rsidRPr="00990D3B" w:rsidP="00BB2520" w14:paraId="3B8E774A" w14:textId="7222A5B4">
            <w:pPr>
              <w:pStyle w:val="EQRTableText"/>
              <w:spacing w:line="240" w:lineRule="auto"/>
              <w:rPr>
                <w:color w:val="000000" w:themeColor="text1"/>
                <w:sz w:val="16"/>
                <w:szCs w:val="16"/>
              </w:rPr>
            </w:pPr>
            <w:r w:rsidRPr="00990D3B">
              <w:rPr>
                <w:color w:val="000000" w:themeColor="text1"/>
                <w:sz w:val="16"/>
                <w:szCs w:val="16"/>
              </w:rPr>
              <w:t>42 C.F.R.</w:t>
            </w:r>
            <w:r w:rsidRPr="00990D3B">
              <w:rPr>
                <w:color w:val="000000" w:themeColor="text1"/>
                <w:sz w:val="16"/>
                <w:szCs w:val="16"/>
              </w:rPr>
              <w:t xml:space="preserve"> 441, Subpart B: Early and Periodic Screening, Diagnosis, and Treatment (EPSDT) of Individuals Under Age </w:t>
            </w:r>
            <w:r w:rsidRPr="00990D3B">
              <w:rPr>
                <w:color w:val="000000" w:themeColor="text1"/>
                <w:sz w:val="16"/>
                <w:szCs w:val="16"/>
              </w:rPr>
              <w:t>21;*</w:t>
            </w:r>
            <w:r w:rsidRPr="00990D3B">
              <w:rPr>
                <w:color w:val="000000" w:themeColor="text1"/>
                <w:sz w:val="16"/>
                <w:szCs w:val="16"/>
              </w:rPr>
              <w:t xml:space="preserve"> and </w:t>
            </w:r>
          </w:p>
          <w:p w:rsidR="004E5913" w:rsidRPr="00990D3B" w:rsidP="00BB2520" w14:paraId="638321D5" w14:textId="31AC9186">
            <w:pPr>
              <w:pStyle w:val="EQRTableText"/>
              <w:spacing w:line="240" w:lineRule="auto"/>
              <w:rPr>
                <w:color w:val="000000" w:themeColor="text1"/>
                <w:sz w:val="16"/>
                <w:szCs w:val="16"/>
              </w:rPr>
            </w:pPr>
            <w:r w:rsidRPr="00990D3B">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438.114, Emergency and post-stabilization services</w:t>
            </w:r>
          </w:p>
          <w:p w:rsidR="004E5913" w:rsidRPr="00990D3B" w:rsidP="00BB2520" w14:paraId="38B5D1F4" w14:textId="6EBCBD15">
            <w:pPr>
              <w:pStyle w:val="EQRTableText"/>
              <w:spacing w:line="240" w:lineRule="auto"/>
              <w:rPr>
                <w:color w:val="000000" w:themeColor="text1"/>
                <w:sz w:val="16"/>
                <w:szCs w:val="16"/>
              </w:rPr>
            </w:pPr>
            <w:r w:rsidRPr="00990D3B">
              <w:rPr>
                <w:b/>
                <w:color w:val="000000" w:themeColor="text1"/>
                <w:sz w:val="16"/>
                <w:szCs w:val="16"/>
              </w:rPr>
              <w:t>CHIP:</w:t>
            </w:r>
            <w:r w:rsidRPr="00990D3B">
              <w:rPr>
                <w:color w:val="000000" w:themeColor="text1"/>
                <w:sz w:val="16"/>
                <w:szCs w:val="16"/>
              </w:rPr>
              <w:t xml:space="preserve">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457.1230(d): Coverage and authorization of services</w:t>
            </w:r>
          </w:p>
          <w:p w:rsidR="004E5913" w:rsidRPr="00990D3B" w:rsidP="00BB2520" w14:paraId="324454DC" w14:textId="20840719">
            <w:pPr>
              <w:pStyle w:val="EQRTableText"/>
              <w:spacing w:line="240" w:lineRule="auto"/>
              <w:rPr>
                <w:color w:val="000000" w:themeColor="text1"/>
                <w:sz w:val="16"/>
                <w:szCs w:val="16"/>
              </w:rPr>
            </w:pPr>
            <w:r w:rsidRPr="00990D3B">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457.1228: Emergency and post-stabilization services</w:t>
            </w:r>
          </w:p>
          <w:p w:rsidR="004E5913" w:rsidRPr="00990D3B" w:rsidP="00BB2520" w14:paraId="02783FE3" w14:textId="04111610">
            <w:pPr>
              <w:pStyle w:val="EQRTableTextbullet"/>
              <w:numPr>
                <w:ilvl w:val="0"/>
                <w:numId w:val="0"/>
              </w:numPr>
              <w:spacing w:line="240" w:lineRule="auto"/>
              <w:rPr>
                <w:color w:val="000000" w:themeColor="text1"/>
                <w:sz w:val="16"/>
                <w:szCs w:val="16"/>
              </w:rPr>
            </w:pPr>
            <w:r w:rsidRPr="00990D3B">
              <w:rPr>
                <w:color w:val="000000" w:themeColor="text1"/>
                <w:sz w:val="16"/>
                <w:szCs w:val="16"/>
              </w:rPr>
              <w:t xml:space="preserve">*Note: </w:t>
            </w:r>
            <w:r w:rsidRPr="00990D3B" w:rsidR="001C7FC0">
              <w:rPr>
                <w:color w:val="000000" w:themeColor="text1"/>
                <w:sz w:val="16"/>
                <w:szCs w:val="16"/>
              </w:rPr>
              <w:t>42 C.F.R.</w:t>
            </w:r>
            <w:r w:rsidRPr="00990D3B" w:rsidR="004543B8">
              <w:rPr>
                <w:color w:val="000000" w:themeColor="text1"/>
                <w:sz w:val="16"/>
                <w:szCs w:val="16"/>
              </w:rPr>
              <w:t xml:space="preserve"> </w:t>
            </w:r>
            <w:r w:rsidRPr="00990D3B">
              <w:rPr>
                <w:rFonts w:cs="Arial"/>
                <w:color w:val="000000" w:themeColor="text1"/>
                <w:sz w:val="16"/>
                <w:szCs w:val="16"/>
              </w:rPr>
              <w:t xml:space="preserve"> </w:t>
            </w:r>
            <w:r w:rsidRPr="00990D3B">
              <w:rPr>
                <w:color w:val="000000" w:themeColor="text1"/>
                <w:sz w:val="16"/>
                <w:szCs w:val="16"/>
              </w:rPr>
              <w:t xml:space="preserve">438.210(a)(5), </w:t>
            </w:r>
            <w:r w:rsidRPr="00990D3B">
              <w:rPr>
                <w:color w:val="000000" w:themeColor="text1"/>
                <w:sz w:val="16"/>
                <w:szCs w:val="16"/>
              </w:rPr>
              <w:br/>
              <w:t xml:space="preserve"> 438.210(b)(2)(iii</w:t>
            </w:r>
            <w:r w:rsidRPr="00990D3B">
              <w:rPr>
                <w:color w:val="000000" w:themeColor="text1"/>
                <w:sz w:val="16"/>
                <w:szCs w:val="16"/>
              </w:rPr>
              <w:t xml:space="preserve">), </w:t>
            </w:r>
            <w:r w:rsidRPr="00990D3B">
              <w:rPr>
                <w:rFonts w:cs="Arial"/>
                <w:color w:val="000000" w:themeColor="text1"/>
                <w:sz w:val="16"/>
                <w:szCs w:val="16"/>
              </w:rPr>
              <w:t xml:space="preserve"> </w:t>
            </w:r>
            <w:r w:rsidRPr="00990D3B">
              <w:rPr>
                <w:color w:val="000000" w:themeColor="text1"/>
                <w:sz w:val="16"/>
                <w:szCs w:val="16"/>
              </w:rPr>
              <w:t>440.230</w:t>
            </w:r>
            <w:r w:rsidRPr="00990D3B">
              <w:rPr>
                <w:color w:val="000000" w:themeColor="text1"/>
                <w:sz w:val="16"/>
                <w:szCs w:val="16"/>
              </w:rPr>
              <w:t xml:space="preserve"> and </w:t>
            </w:r>
            <w:r w:rsidRPr="00990D3B">
              <w:rPr>
                <w:color w:val="000000" w:themeColor="text1"/>
                <w:sz w:val="16"/>
                <w:szCs w:val="16"/>
              </w:rPr>
              <w:br/>
              <w:t>441 Subpart B do not apply to CHIP</w:t>
            </w:r>
          </w:p>
        </w:tc>
        <w:tc>
          <w:tcPr>
            <w:tcW w:w="1286" w:type="pct"/>
          </w:tcPr>
          <w:p w:rsidR="004E5913" w:rsidRPr="00990D3B" w:rsidP="00E00D33" w14:paraId="5A379146" w14:textId="3C1D2CCC">
            <w:pPr>
              <w:pStyle w:val="EQRTableTextbullet"/>
              <w:rPr>
                <w:sz w:val="16"/>
                <w:szCs w:val="16"/>
              </w:rPr>
            </w:pPr>
            <w:r w:rsidRPr="00990D3B">
              <w:rPr>
                <w:sz w:val="16"/>
                <w:szCs w:val="16"/>
              </w:rPr>
              <w:t xml:space="preserve">Obtain from the state any amount, duration, and/or scope of service requirements that are greater than those set forth in </w:t>
            </w:r>
            <w:r w:rsidRPr="00990D3B" w:rsidR="001C7FC0">
              <w:rPr>
                <w:sz w:val="16"/>
                <w:szCs w:val="16"/>
              </w:rPr>
              <w:t>42 C.F.R.</w:t>
            </w:r>
            <w:r w:rsidRPr="00990D3B" w:rsidR="007854DF">
              <w:rPr>
                <w:sz w:val="16"/>
                <w:szCs w:val="16"/>
              </w:rPr>
              <w:t xml:space="preserve"> </w:t>
            </w:r>
            <w:r w:rsidRPr="00990D3B">
              <w:rPr>
                <w:sz w:val="16"/>
                <w:szCs w:val="16"/>
              </w:rPr>
              <w:t xml:space="preserve">440.230 or, for </w:t>
            </w:r>
            <w:r w:rsidRPr="00990D3B">
              <w:rPr>
                <w:sz w:val="16"/>
                <w:szCs w:val="16"/>
              </w:rPr>
              <w:t>enrollees</w:t>
            </w:r>
            <w:r w:rsidRPr="00990D3B">
              <w:rPr>
                <w:sz w:val="16"/>
                <w:szCs w:val="16"/>
              </w:rPr>
              <w:t xml:space="preserve"> under the age of 21, as set forth in </w:t>
            </w:r>
            <w:r w:rsidRPr="00990D3B" w:rsidR="001C7FC0">
              <w:rPr>
                <w:sz w:val="16"/>
                <w:szCs w:val="16"/>
              </w:rPr>
              <w:t>42 C.F.R.</w:t>
            </w:r>
            <w:r w:rsidRPr="00990D3B">
              <w:rPr>
                <w:sz w:val="16"/>
                <w:szCs w:val="16"/>
              </w:rPr>
              <w:t xml:space="preserve"> 441, Subpart B.</w:t>
            </w:r>
          </w:p>
          <w:p w:rsidR="004E5913" w:rsidRPr="00990D3B" w:rsidP="00E00D33" w14:paraId="20CD11E9" w14:textId="77777777">
            <w:pPr>
              <w:pStyle w:val="EQRTableTextbullet"/>
              <w:rPr>
                <w:sz w:val="16"/>
                <w:szCs w:val="16"/>
              </w:rPr>
            </w:pPr>
            <w:r w:rsidRPr="00990D3B">
              <w:rPr>
                <w:sz w:val="16"/>
                <w:szCs w:val="16"/>
              </w:rPr>
              <w:t>Obtain from the state any statutory, regulatory and policy definitions of “medical necessity”, as well as any quantitative and non-quantitative treatment limitation limits set forth in those sources.</w:t>
            </w:r>
          </w:p>
          <w:p w:rsidR="004E5913" w:rsidRPr="00990D3B" w:rsidP="00E00D33" w14:paraId="7634DC33" w14:textId="464C6DB8">
            <w:pPr>
              <w:pStyle w:val="EQRTableTextbullet"/>
              <w:rPr>
                <w:sz w:val="16"/>
                <w:szCs w:val="16"/>
              </w:rPr>
            </w:pPr>
            <w:r w:rsidRPr="00990D3B">
              <w:rPr>
                <w:sz w:val="16"/>
                <w:szCs w:val="16"/>
              </w:rPr>
              <w:t xml:space="preserve">Obtain from the state </w:t>
            </w:r>
            <w:r w:rsidRPr="00990D3B" w:rsidR="00832946">
              <w:rPr>
                <w:sz w:val="16"/>
                <w:szCs w:val="16"/>
              </w:rPr>
              <w:t>Medicaid and CHIP</w:t>
            </w:r>
            <w:r w:rsidRPr="00990D3B">
              <w:rPr>
                <w:sz w:val="16"/>
                <w:szCs w:val="16"/>
              </w:rPr>
              <w:t xml:space="preserve"> </w:t>
            </w:r>
            <w:r w:rsidRPr="00990D3B" w:rsidR="00C67AC8">
              <w:rPr>
                <w:sz w:val="16"/>
                <w:szCs w:val="16"/>
              </w:rPr>
              <w:t xml:space="preserve">program </w:t>
            </w:r>
            <w:r w:rsidRPr="00990D3B">
              <w:rPr>
                <w:sz w:val="16"/>
                <w:szCs w:val="16"/>
              </w:rPr>
              <w:t xml:space="preserve">the state-established standards for MCP processing of standard authorization decisions. </w:t>
            </w:r>
          </w:p>
          <w:p w:rsidR="004E5913" w:rsidRPr="00990D3B" w:rsidP="00E00D33" w14:paraId="64F09872" w14:textId="690B6B3F">
            <w:pPr>
              <w:pStyle w:val="EQRTableTextbullet"/>
              <w:rPr>
                <w:sz w:val="16"/>
                <w:szCs w:val="16"/>
              </w:rPr>
            </w:pPr>
            <w:r w:rsidRPr="00990D3B">
              <w:rPr>
                <w:sz w:val="16"/>
                <w:szCs w:val="16"/>
              </w:rPr>
              <w:t xml:space="preserve">Any </w:t>
            </w:r>
            <w:r w:rsidRPr="00990D3B" w:rsidR="00832946">
              <w:rPr>
                <w:sz w:val="16"/>
                <w:szCs w:val="16"/>
              </w:rPr>
              <w:t>Medicaid and CHIP</w:t>
            </w:r>
            <w:r w:rsidRPr="00990D3B">
              <w:rPr>
                <w:sz w:val="16"/>
                <w:szCs w:val="16"/>
              </w:rPr>
              <w:t xml:space="preserve"> </w:t>
            </w:r>
            <w:r w:rsidRPr="00990D3B" w:rsidR="00C67AC8">
              <w:rPr>
                <w:sz w:val="16"/>
                <w:szCs w:val="16"/>
              </w:rPr>
              <w:t xml:space="preserve">program </w:t>
            </w:r>
            <w:r w:rsidRPr="00990D3B">
              <w:rPr>
                <w:sz w:val="16"/>
                <w:szCs w:val="16"/>
              </w:rPr>
              <w:t xml:space="preserve">drug authorization requirements, including whether the </w:t>
            </w:r>
            <w:r w:rsidRPr="00990D3B" w:rsidR="00832946">
              <w:rPr>
                <w:sz w:val="16"/>
                <w:szCs w:val="16"/>
              </w:rPr>
              <w:t>Medicaid and CHIP</w:t>
            </w:r>
            <w:r w:rsidRPr="00990D3B">
              <w:rPr>
                <w:sz w:val="16"/>
                <w:szCs w:val="16"/>
              </w:rPr>
              <w:t xml:space="preserve"> </w:t>
            </w:r>
            <w:r w:rsidRPr="00990D3B" w:rsidR="00C67AC8">
              <w:rPr>
                <w:sz w:val="16"/>
                <w:szCs w:val="16"/>
              </w:rPr>
              <w:t xml:space="preserve">program </w:t>
            </w:r>
            <w:r w:rsidRPr="00990D3B">
              <w:rPr>
                <w:sz w:val="16"/>
                <w:szCs w:val="16"/>
              </w:rPr>
              <w:t xml:space="preserve">requires approval of outpatient drugs before its dispensing under Section 1927(d)(5)(A) of the Act. </w:t>
            </w:r>
          </w:p>
        </w:tc>
        <w:tc>
          <w:tcPr>
            <w:tcW w:w="1251" w:type="pct"/>
          </w:tcPr>
          <w:p w:rsidR="004E5913" w:rsidRPr="00990D3B" w:rsidP="00E00D33" w14:paraId="7D153A6E" w14:textId="77777777">
            <w:pPr>
              <w:pStyle w:val="EQRTableTextbullet"/>
              <w:rPr>
                <w:sz w:val="16"/>
                <w:szCs w:val="16"/>
              </w:rPr>
            </w:pPr>
            <w:r w:rsidRPr="00990D3B">
              <w:rPr>
                <w:sz w:val="16"/>
                <w:szCs w:val="16"/>
              </w:rPr>
              <w:t>Provider contracts (PS)</w:t>
            </w:r>
          </w:p>
          <w:p w:rsidR="004E5913" w:rsidRPr="00990D3B" w:rsidP="00E00D33" w14:paraId="326F992E" w14:textId="77777777">
            <w:pPr>
              <w:pStyle w:val="EQRTableTextbullet"/>
              <w:rPr>
                <w:sz w:val="16"/>
                <w:szCs w:val="16"/>
              </w:rPr>
            </w:pPr>
            <w:r w:rsidRPr="00990D3B">
              <w:rPr>
                <w:sz w:val="16"/>
                <w:szCs w:val="16"/>
              </w:rPr>
              <w:t xml:space="preserve">Contracts or written agreements with organizational subcontractors (AM) </w:t>
            </w:r>
          </w:p>
          <w:p w:rsidR="004E5913" w:rsidRPr="00990D3B" w:rsidP="00E00D33" w14:paraId="7E544011" w14:textId="77777777">
            <w:pPr>
              <w:pStyle w:val="EQRTableTextbullet"/>
              <w:rPr>
                <w:sz w:val="16"/>
                <w:szCs w:val="16"/>
              </w:rPr>
            </w:pPr>
            <w:r w:rsidRPr="00990D3B">
              <w:rPr>
                <w:sz w:val="16"/>
                <w:szCs w:val="16"/>
              </w:rPr>
              <w:t xml:space="preserve">Completed evaluations of entities conducted before delegation is granted (AM) </w:t>
            </w:r>
          </w:p>
          <w:p w:rsidR="004E5913" w:rsidRPr="00990D3B" w:rsidP="00E00D33" w14:paraId="012ABB86" w14:textId="5DEF3AF7">
            <w:pPr>
              <w:pStyle w:val="EQRTableTextbullet"/>
              <w:rPr>
                <w:sz w:val="16"/>
                <w:szCs w:val="16"/>
              </w:rPr>
            </w:pPr>
            <w:r w:rsidRPr="00990D3B">
              <w:rPr>
                <w:sz w:val="16"/>
                <w:szCs w:val="16"/>
              </w:rPr>
              <w:t>Medicaid and CHIP</w:t>
            </w:r>
            <w:r w:rsidRPr="00990D3B">
              <w:rPr>
                <w:sz w:val="16"/>
                <w:szCs w:val="16"/>
              </w:rPr>
              <w:t xml:space="preserve"> and other enrollee grievance and appeals data (AM)</w:t>
            </w:r>
          </w:p>
          <w:p w:rsidR="004E5913" w:rsidRPr="00990D3B" w:rsidP="00E00D33" w14:paraId="5F68B428" w14:textId="77777777">
            <w:pPr>
              <w:pStyle w:val="EQRTableTextbullet"/>
              <w:rPr>
                <w:sz w:val="16"/>
                <w:szCs w:val="16"/>
              </w:rPr>
            </w:pPr>
            <w:r w:rsidRPr="00990D3B">
              <w:rPr>
                <w:sz w:val="16"/>
                <w:szCs w:val="16"/>
              </w:rPr>
              <w:t>Utilization management policies and procedures (UM)</w:t>
            </w:r>
          </w:p>
          <w:p w:rsidR="004E5913" w:rsidRPr="00990D3B" w:rsidP="00E00D33" w14:paraId="4ED45060" w14:textId="77777777">
            <w:pPr>
              <w:pStyle w:val="EQRTableTextbullet"/>
              <w:rPr>
                <w:sz w:val="16"/>
                <w:szCs w:val="16"/>
              </w:rPr>
            </w:pPr>
            <w:r w:rsidRPr="00990D3B">
              <w:rPr>
                <w:sz w:val="16"/>
                <w:szCs w:val="16"/>
              </w:rPr>
              <w:t>Coverage rules and payment policies (UM)</w:t>
            </w:r>
          </w:p>
          <w:p w:rsidR="004E5913" w:rsidRPr="00990D3B" w:rsidP="00E00D33" w14:paraId="421C631E" w14:textId="77777777">
            <w:pPr>
              <w:pStyle w:val="EQRTableTextbullet"/>
              <w:rPr>
                <w:sz w:val="16"/>
                <w:szCs w:val="16"/>
              </w:rPr>
            </w:pPr>
            <w:r w:rsidRPr="00990D3B">
              <w:rPr>
                <w:sz w:val="16"/>
                <w:szCs w:val="16"/>
              </w:rPr>
              <w:t>Data on claims denials (UM)</w:t>
            </w:r>
          </w:p>
          <w:p w:rsidR="004E5913" w:rsidRPr="00990D3B" w:rsidP="00E00D33" w14:paraId="5613537C" w14:textId="77777777">
            <w:pPr>
              <w:pStyle w:val="EQRTableTextbullet"/>
              <w:rPr>
                <w:sz w:val="16"/>
                <w:szCs w:val="16"/>
              </w:rPr>
            </w:pPr>
            <w:r w:rsidRPr="00990D3B">
              <w:rPr>
                <w:sz w:val="16"/>
                <w:szCs w:val="16"/>
              </w:rPr>
              <w:t>Service authorization policies and procedures (standard, expedited and extensions) (UM)</w:t>
            </w:r>
          </w:p>
          <w:p w:rsidR="004E5913" w:rsidRPr="00990D3B" w:rsidP="00E00D33" w14:paraId="3E7690DE" w14:textId="77777777">
            <w:pPr>
              <w:pStyle w:val="EQRTableTextbullet"/>
              <w:rPr>
                <w:sz w:val="16"/>
                <w:szCs w:val="16"/>
              </w:rPr>
            </w:pPr>
            <w:r w:rsidRPr="00990D3B">
              <w:rPr>
                <w:sz w:val="16"/>
                <w:szCs w:val="16"/>
              </w:rPr>
              <w:t xml:space="preserve">Policies and procedures for notifying providers and </w:t>
            </w:r>
            <w:r w:rsidRPr="00990D3B">
              <w:rPr>
                <w:sz w:val="16"/>
                <w:szCs w:val="16"/>
              </w:rPr>
              <w:t>enrollees</w:t>
            </w:r>
            <w:r w:rsidRPr="00990D3B">
              <w:rPr>
                <w:sz w:val="16"/>
                <w:szCs w:val="16"/>
              </w:rPr>
              <w:t xml:space="preserve"> of denials of service (UM)</w:t>
            </w:r>
          </w:p>
        </w:tc>
        <w:tc>
          <w:tcPr>
            <w:tcW w:w="1214" w:type="pct"/>
          </w:tcPr>
          <w:p w:rsidR="004E5913" w:rsidRPr="00990D3B" w:rsidP="00BB2520" w14:paraId="65A05FCD" w14:textId="77777777">
            <w:pPr>
              <w:pStyle w:val="EQRTableText"/>
              <w:spacing w:line="240" w:lineRule="auto"/>
              <w:rPr>
                <w:b/>
                <w:bCs/>
                <w:sz w:val="16"/>
                <w:szCs w:val="16"/>
              </w:rPr>
            </w:pPr>
            <w:r w:rsidRPr="00990D3B">
              <w:rPr>
                <w:b/>
                <w:bCs/>
                <w:sz w:val="16"/>
                <w:szCs w:val="16"/>
              </w:rPr>
              <w:t xml:space="preserve">Medicaid: </w:t>
            </w:r>
          </w:p>
          <w:p w:rsidR="004E5913" w:rsidRPr="00990D3B" w:rsidP="00BB2520" w14:paraId="54881C6E" w14:textId="066F090C">
            <w:pPr>
              <w:pStyle w:val="EQRTableText"/>
              <w:spacing w:line="240" w:lineRule="auto"/>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4E5913" w:rsidRPr="00990D3B" w:rsidP="00BB2520" w14:paraId="04B78374" w14:textId="01FB980C">
            <w:pPr>
              <w:pStyle w:val="EQRTableText"/>
              <w:spacing w:line="240" w:lineRule="auto"/>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4E5913" w:rsidRPr="00990D3B" w:rsidP="00BB2520" w14:paraId="0F3AA44D" w14:textId="47C9672C">
            <w:pPr>
              <w:pStyle w:val="EQRTableText"/>
              <w:spacing w:line="240" w:lineRule="auto"/>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4E5913" w:rsidRPr="00990D3B" w:rsidP="00BB2520" w14:paraId="57BDE96D" w14:textId="59C4D7CD">
            <w:pPr>
              <w:pStyle w:val="EQRTableText"/>
              <w:spacing w:line="240" w:lineRule="auto"/>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4E5913" w:rsidRPr="00990D3B" w:rsidP="00BB2520" w14:paraId="2BB0D111" w14:textId="66128485">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Not Met</w:t>
            </w:r>
          </w:p>
          <w:p w:rsidR="00BE2565" w:rsidRPr="00990D3B" w:rsidP="00BB2520" w14:paraId="7B7DA743" w14:textId="50551002">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sidR="004E5913">
              <w:rPr>
                <w:sz w:val="16"/>
                <w:szCs w:val="16"/>
              </w:rPr>
              <w:t>Not Applicable</w:t>
            </w:r>
          </w:p>
          <w:p w:rsidR="00BE2565" w:rsidRPr="00990D3B" w:rsidP="00BB2520" w14:paraId="327375DC" w14:textId="77777777">
            <w:pPr>
              <w:pStyle w:val="EQRTableText"/>
              <w:spacing w:line="240" w:lineRule="auto"/>
              <w:rPr>
                <w:sz w:val="16"/>
                <w:szCs w:val="16"/>
              </w:rPr>
            </w:pPr>
            <w:r w:rsidRPr="00990D3B">
              <w:rPr>
                <w:sz w:val="16"/>
                <w:szCs w:val="16"/>
              </w:rPr>
              <w:t>Reviewer Notes:</w:t>
            </w:r>
          </w:p>
          <w:p w:rsidR="004E5913" w:rsidRPr="00990D3B" w:rsidP="00BB2520" w14:paraId="463BFDC6" w14:textId="1E86BFA9">
            <w:pPr>
              <w:pStyle w:val="EQRTableText"/>
              <w:spacing w:line="240" w:lineRule="auto"/>
              <w:rPr>
                <w:b/>
                <w:bCs/>
                <w:sz w:val="16"/>
                <w:szCs w:val="16"/>
              </w:rPr>
            </w:pPr>
            <w:r w:rsidRPr="00990D3B">
              <w:rPr>
                <w:b/>
                <w:bCs/>
                <w:sz w:val="16"/>
                <w:szCs w:val="16"/>
              </w:rPr>
              <w:t>CHIP:</w:t>
            </w:r>
          </w:p>
          <w:p w:rsidR="004E5913" w:rsidRPr="00990D3B" w:rsidP="00BB2520" w14:paraId="06836A21" w14:textId="43D1CAFD">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Fully Met</w:t>
            </w:r>
          </w:p>
          <w:p w:rsidR="004E5913" w:rsidRPr="00990D3B" w:rsidP="00BB2520" w14:paraId="7A8B1541" w14:textId="04FC4E2A">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Substantially Met</w:t>
            </w:r>
          </w:p>
          <w:p w:rsidR="004E5913" w:rsidRPr="00990D3B" w:rsidP="00BB2520" w14:paraId="44BB5154" w14:textId="5983AF79">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Partially Met</w:t>
            </w:r>
          </w:p>
          <w:p w:rsidR="004E5913" w:rsidRPr="00990D3B" w:rsidP="00BB2520" w14:paraId="612BE0F3" w14:textId="47F0B39B">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Minimally Met</w:t>
            </w:r>
          </w:p>
          <w:p w:rsidR="004E5913" w:rsidRPr="00990D3B" w:rsidP="00BB2520" w14:paraId="6B61B785" w14:textId="732CB969">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Not Met</w:t>
            </w:r>
          </w:p>
          <w:p w:rsidR="00BE2565" w:rsidRPr="00990D3B" w:rsidP="00BB2520" w14:paraId="6BFF7E78" w14:textId="2BAC336A">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sidR="004E5913">
              <w:rPr>
                <w:sz w:val="16"/>
                <w:szCs w:val="16"/>
              </w:rPr>
              <w:t>Not Applicable</w:t>
            </w:r>
          </w:p>
          <w:p w:rsidR="004E5913" w:rsidRPr="00990D3B" w:rsidP="00BB2520" w14:paraId="3A3EE493" w14:textId="127D4CFF">
            <w:pPr>
              <w:pStyle w:val="EQRTableText"/>
              <w:spacing w:line="240" w:lineRule="auto"/>
              <w:rPr>
                <w:sz w:val="16"/>
                <w:szCs w:val="16"/>
              </w:rPr>
            </w:pPr>
            <w:r w:rsidRPr="00990D3B">
              <w:rPr>
                <w:sz w:val="16"/>
                <w:szCs w:val="16"/>
              </w:rPr>
              <w:t>Reviewer Notes:</w:t>
            </w:r>
          </w:p>
        </w:tc>
      </w:tr>
      <w:tr w14:paraId="03C27646" w14:textId="77777777" w:rsidTr="006174D5">
        <w:tblPrEx>
          <w:tblW w:w="5000" w:type="pct"/>
          <w:tblLook w:val="04A0"/>
        </w:tblPrEx>
        <w:trPr>
          <w:cantSplit/>
        </w:trPr>
        <w:tc>
          <w:tcPr>
            <w:tcW w:w="1249" w:type="pct"/>
          </w:tcPr>
          <w:p w:rsidR="004A2A4F" w:rsidRPr="00990D3B" w:rsidP="004A2A4F" w14:paraId="0C52BB3E" w14:textId="77777777">
            <w:pPr>
              <w:pStyle w:val="EQRTableText"/>
              <w:spacing w:line="240" w:lineRule="auto"/>
              <w:rPr>
                <w:color w:val="000000" w:themeColor="text1"/>
                <w:sz w:val="16"/>
                <w:szCs w:val="16"/>
              </w:rPr>
            </w:pPr>
            <w:r w:rsidRPr="00990D3B">
              <w:rPr>
                <w:b/>
                <w:color w:val="000000" w:themeColor="text1"/>
                <w:sz w:val="16"/>
                <w:szCs w:val="16"/>
              </w:rPr>
              <w:t>Information requirements for all enrollees</w:t>
            </w:r>
          </w:p>
          <w:p w:rsidR="004A2A4F" w:rsidRPr="00990D3B" w:rsidP="004A2A4F" w14:paraId="5CE5FF21" w14:textId="77777777">
            <w:pPr>
              <w:pStyle w:val="EQRTableText"/>
              <w:spacing w:line="240" w:lineRule="auto"/>
              <w:rPr>
                <w:color w:val="000000" w:themeColor="text1"/>
                <w:sz w:val="16"/>
                <w:szCs w:val="16"/>
              </w:rPr>
            </w:pPr>
            <w:r w:rsidRPr="00990D3B">
              <w:rPr>
                <w:b/>
                <w:color w:val="000000" w:themeColor="text1"/>
                <w:sz w:val="16"/>
                <w:szCs w:val="16"/>
              </w:rPr>
              <w:t>Medicaid:</w:t>
            </w:r>
            <w:r w:rsidRPr="00990D3B">
              <w:rPr>
                <w:color w:val="000000" w:themeColor="text1"/>
                <w:sz w:val="16"/>
                <w:szCs w:val="16"/>
                <w:u w:val="single"/>
              </w:rPr>
              <w:t xml:space="preserve"> </w:t>
            </w:r>
            <w:r w:rsidRPr="00990D3B">
              <w:rPr>
                <w:color w:val="000000" w:themeColor="text1"/>
                <w:sz w:val="16"/>
                <w:szCs w:val="16"/>
              </w:rPr>
              <w:t>42 C.F.R. 438.100(b)(2)(i)</w:t>
            </w:r>
          </w:p>
          <w:p w:rsidR="004A2A4F" w:rsidRPr="00990D3B" w:rsidP="004A2A4F" w14:paraId="7E798B5F" w14:textId="77777777">
            <w:pPr>
              <w:pStyle w:val="EQRTableText"/>
              <w:spacing w:line="240" w:lineRule="auto"/>
              <w:rPr>
                <w:color w:val="000000" w:themeColor="text1"/>
                <w:sz w:val="16"/>
                <w:szCs w:val="16"/>
              </w:rPr>
            </w:pPr>
            <w:r w:rsidRPr="00990D3B">
              <w:rPr>
                <w:color w:val="000000" w:themeColor="text1"/>
                <w:sz w:val="16"/>
                <w:szCs w:val="16"/>
              </w:rPr>
              <w:t xml:space="preserve">Enrollee right to receive information in accordance with 42 C.F.R. 438.10: Information requirements </w:t>
            </w:r>
          </w:p>
          <w:p w:rsidR="004A2A4F" w:rsidRPr="00990D3B" w:rsidP="004A2A4F" w14:paraId="17E4BB6B" w14:textId="77777777">
            <w:pPr>
              <w:pStyle w:val="EQRTableText"/>
              <w:spacing w:line="240" w:lineRule="auto"/>
              <w:rPr>
                <w:color w:val="000000" w:themeColor="text1"/>
                <w:sz w:val="16"/>
                <w:szCs w:val="16"/>
              </w:rPr>
            </w:pPr>
            <w:r w:rsidRPr="00990D3B">
              <w:rPr>
                <w:b/>
                <w:color w:val="000000" w:themeColor="text1"/>
                <w:sz w:val="16"/>
                <w:szCs w:val="16"/>
              </w:rPr>
              <w:t>CHIP</w:t>
            </w:r>
            <w:r w:rsidRPr="00990D3B">
              <w:rPr>
                <w:color w:val="000000" w:themeColor="text1"/>
                <w:sz w:val="16"/>
                <w:szCs w:val="16"/>
              </w:rPr>
              <w:t>: 42 C.F.R 457.1220: Enrollee rights</w:t>
            </w:r>
          </w:p>
          <w:p w:rsidR="004A2A4F" w:rsidRPr="00990D3B" w:rsidP="004A2A4F" w14:paraId="0E2B4A37" w14:textId="3CF6ADBF">
            <w:pPr>
              <w:pStyle w:val="EQRTableText"/>
              <w:spacing w:line="240" w:lineRule="auto"/>
              <w:rPr>
                <w:b/>
                <w:color w:val="000000" w:themeColor="text1"/>
                <w:sz w:val="16"/>
                <w:szCs w:val="16"/>
              </w:rPr>
            </w:pPr>
            <w:r w:rsidRPr="00990D3B">
              <w:rPr>
                <w:color w:val="000000" w:themeColor="text1"/>
                <w:sz w:val="16"/>
                <w:szCs w:val="16"/>
              </w:rPr>
              <w:t>42 C.F.R 457.1207: Information requirements</w:t>
            </w:r>
          </w:p>
        </w:tc>
        <w:tc>
          <w:tcPr>
            <w:tcW w:w="1286" w:type="pct"/>
          </w:tcPr>
          <w:p w:rsidR="004A2A4F" w:rsidRPr="00990D3B" w:rsidP="004A2A4F" w14:paraId="693D8691" w14:textId="77777777">
            <w:pPr>
              <w:pStyle w:val="EQRTableTextbullet"/>
              <w:rPr>
                <w:sz w:val="16"/>
                <w:szCs w:val="16"/>
              </w:rPr>
            </w:pPr>
            <w:r w:rsidRPr="00990D3B">
              <w:rPr>
                <w:sz w:val="16"/>
                <w:szCs w:val="16"/>
              </w:rPr>
              <w:t>Whether the Medicaid and CHIP program, enrollment broker, or MCP must provide all required information to enrollees.</w:t>
            </w:r>
          </w:p>
          <w:p w:rsidR="004A2A4F" w:rsidRPr="00990D3B" w:rsidP="004A2A4F" w14:paraId="78604595" w14:textId="77777777">
            <w:pPr>
              <w:pStyle w:val="EQRTableTextbullet"/>
              <w:rPr>
                <w:sz w:val="16"/>
                <w:szCs w:val="16"/>
              </w:rPr>
            </w:pPr>
            <w:r w:rsidRPr="00990D3B">
              <w:rPr>
                <w:sz w:val="16"/>
                <w:szCs w:val="16"/>
              </w:rPr>
              <w:t>Medicaid and CHIP program developed definitions for managed care terminology, including appeal, co-payment, durable medical equipment, emergency medical condition, emergency medical transportation, emergency room care, emergency services, excluded services, grievance, habilitation services and devices, health insurance, home health care, hospice services, hospitalization, hospital outpatient care, medically necessary, network, non-participating provider, physician services, plan, preauthorization, participating provider, premium, prescription drug coverage, prescription drugs, primary care physician, primary care provider, provider, rehabilitation services and devices, skilled nursing care, specialist, and urgent care.</w:t>
            </w:r>
          </w:p>
          <w:p w:rsidR="004A2A4F" w:rsidRPr="00990D3B" w:rsidP="004A2A4F" w14:paraId="2DCAC825" w14:textId="6AC95408">
            <w:pPr>
              <w:pStyle w:val="EQRTableTextbullet"/>
              <w:rPr>
                <w:sz w:val="16"/>
                <w:szCs w:val="16"/>
              </w:rPr>
            </w:pPr>
            <w:r w:rsidRPr="00990D3B">
              <w:rPr>
                <w:sz w:val="16"/>
                <w:szCs w:val="16"/>
              </w:rPr>
              <w:t>Medicaid and CHIP program developed model enrollee handbooks and enrollee notices.</w:t>
            </w:r>
          </w:p>
        </w:tc>
        <w:tc>
          <w:tcPr>
            <w:tcW w:w="1251" w:type="pct"/>
          </w:tcPr>
          <w:p w:rsidR="004A2A4F" w:rsidRPr="00990D3B" w:rsidP="004A2A4F" w14:paraId="7868B925" w14:textId="77777777">
            <w:pPr>
              <w:pStyle w:val="EQRTableTextbullet"/>
              <w:rPr>
                <w:sz w:val="16"/>
                <w:szCs w:val="16"/>
              </w:rPr>
            </w:pPr>
            <w:r w:rsidRPr="00990D3B">
              <w:rPr>
                <w:sz w:val="16"/>
                <w:szCs w:val="16"/>
              </w:rPr>
              <w:t>Medicaid and CHIP and other enrollee survey results (AM)</w:t>
            </w:r>
          </w:p>
          <w:p w:rsidR="004A2A4F" w:rsidRPr="00990D3B" w:rsidP="004A2A4F" w14:paraId="6493BE05" w14:textId="77777777">
            <w:pPr>
              <w:pStyle w:val="EQRTableTextbullet"/>
              <w:rPr>
                <w:sz w:val="16"/>
                <w:szCs w:val="16"/>
              </w:rPr>
            </w:pPr>
            <w:r w:rsidRPr="00990D3B">
              <w:rPr>
                <w:sz w:val="16"/>
                <w:szCs w:val="16"/>
              </w:rPr>
              <w:t>Provider contracts (PS)</w:t>
            </w:r>
          </w:p>
          <w:p w:rsidR="004A2A4F" w:rsidRPr="00990D3B" w:rsidP="004A2A4F" w14:paraId="12EDB025" w14:textId="77777777">
            <w:pPr>
              <w:pStyle w:val="EQRTableTextbullet"/>
              <w:rPr>
                <w:sz w:val="16"/>
                <w:szCs w:val="16"/>
              </w:rPr>
            </w:pPr>
            <w:r w:rsidRPr="00990D3B">
              <w:rPr>
                <w:sz w:val="16"/>
                <w:szCs w:val="16"/>
              </w:rPr>
              <w:t>Enrollee services policies and procedures (ES)</w:t>
            </w:r>
          </w:p>
          <w:p w:rsidR="004A2A4F" w:rsidRPr="00990D3B" w:rsidP="004A2A4F" w14:paraId="438B2540" w14:textId="77777777">
            <w:pPr>
              <w:pStyle w:val="EQRTableTextbullet"/>
              <w:rPr>
                <w:sz w:val="16"/>
                <w:szCs w:val="16"/>
              </w:rPr>
            </w:pPr>
            <w:r w:rsidRPr="00990D3B">
              <w:rPr>
                <w:sz w:val="16"/>
                <w:szCs w:val="16"/>
              </w:rPr>
              <w:t>Statement of enrollee rights (ES)</w:t>
            </w:r>
          </w:p>
          <w:p w:rsidR="004A2A4F" w:rsidRPr="00990D3B" w:rsidP="004A2A4F" w14:paraId="4C20EFBA" w14:textId="77777777">
            <w:pPr>
              <w:pStyle w:val="EQRTableTextbullet"/>
              <w:rPr>
                <w:sz w:val="16"/>
                <w:szCs w:val="16"/>
              </w:rPr>
            </w:pPr>
            <w:r w:rsidRPr="00990D3B">
              <w:rPr>
                <w:sz w:val="16"/>
                <w:szCs w:val="16"/>
              </w:rPr>
              <w:t>Enrollee marketing materials</w:t>
            </w:r>
          </w:p>
          <w:p w:rsidR="004A2A4F" w:rsidRPr="00990D3B" w:rsidP="004A2A4F" w14:paraId="576CF4B4" w14:textId="48A9A2F4">
            <w:pPr>
              <w:pStyle w:val="EQRTableTextbullet"/>
              <w:rPr>
                <w:sz w:val="16"/>
                <w:szCs w:val="16"/>
              </w:rPr>
            </w:pPr>
            <w:r w:rsidRPr="00990D3B">
              <w:rPr>
                <w:sz w:val="16"/>
                <w:szCs w:val="16"/>
              </w:rPr>
              <w:t xml:space="preserve">Medicaid and CHIP marketing plans, policies and procedures (ES) </w:t>
            </w:r>
          </w:p>
        </w:tc>
        <w:tc>
          <w:tcPr>
            <w:tcW w:w="1214" w:type="pct"/>
          </w:tcPr>
          <w:p w:rsidR="004A2A4F" w:rsidRPr="00990D3B" w:rsidP="00BB2520" w14:paraId="09F47F40" w14:textId="77777777">
            <w:pPr>
              <w:pStyle w:val="EQRTableText"/>
              <w:spacing w:line="240" w:lineRule="auto"/>
              <w:rPr>
                <w:b/>
                <w:bCs/>
                <w:sz w:val="16"/>
                <w:szCs w:val="16"/>
              </w:rPr>
            </w:pPr>
          </w:p>
        </w:tc>
      </w:tr>
      <w:tr w14:paraId="375541F2" w14:textId="77777777" w:rsidTr="006174D5">
        <w:tblPrEx>
          <w:tblW w:w="5000" w:type="pct"/>
          <w:tblLook w:val="04A0"/>
        </w:tblPrEx>
        <w:trPr>
          <w:cantSplit/>
        </w:trPr>
        <w:tc>
          <w:tcPr>
            <w:tcW w:w="1249" w:type="pct"/>
          </w:tcPr>
          <w:p w:rsidR="004E5913" w:rsidRPr="00990D3B" w:rsidP="00BB2520" w14:paraId="7A76D360" w14:textId="7B732B58">
            <w:pPr>
              <w:pStyle w:val="EQRTableText"/>
              <w:spacing w:line="240" w:lineRule="auto"/>
              <w:rPr>
                <w:color w:val="000000" w:themeColor="text1"/>
                <w:sz w:val="16"/>
                <w:szCs w:val="16"/>
              </w:rPr>
            </w:pPr>
          </w:p>
        </w:tc>
        <w:tc>
          <w:tcPr>
            <w:tcW w:w="1286" w:type="pct"/>
          </w:tcPr>
          <w:p w:rsidR="004E5913" w:rsidRPr="00990D3B" w:rsidP="00E00D33" w14:paraId="04A4D0FE" w14:textId="08B087B6">
            <w:pPr>
              <w:pStyle w:val="EQRTableTextbullet"/>
              <w:rPr>
                <w:sz w:val="16"/>
                <w:szCs w:val="16"/>
              </w:rPr>
            </w:pPr>
            <w:r w:rsidRPr="00990D3B">
              <w:rPr>
                <w:sz w:val="16"/>
                <w:szCs w:val="16"/>
              </w:rPr>
              <w:t xml:space="preserve">The language(s) that the </w:t>
            </w:r>
            <w:r w:rsidRPr="00990D3B" w:rsidR="00832946">
              <w:rPr>
                <w:sz w:val="16"/>
                <w:szCs w:val="16"/>
              </w:rPr>
              <w:t>Medicaid and CHIP</w:t>
            </w:r>
            <w:r w:rsidRPr="00990D3B">
              <w:rPr>
                <w:sz w:val="16"/>
                <w:szCs w:val="16"/>
              </w:rPr>
              <w:t xml:space="preserve"> </w:t>
            </w:r>
            <w:r w:rsidRPr="00990D3B" w:rsidR="00364658">
              <w:rPr>
                <w:sz w:val="16"/>
                <w:szCs w:val="16"/>
              </w:rPr>
              <w:t xml:space="preserve">program </w:t>
            </w:r>
            <w:r w:rsidRPr="00990D3B">
              <w:rPr>
                <w:sz w:val="16"/>
                <w:szCs w:val="16"/>
              </w:rPr>
              <w:t xml:space="preserve">determines are prevalent in the MCP’s geographic service area, and all non-English languages that the </w:t>
            </w:r>
            <w:r w:rsidRPr="00990D3B" w:rsidR="00832946">
              <w:rPr>
                <w:sz w:val="16"/>
                <w:szCs w:val="16"/>
              </w:rPr>
              <w:t>Medicaid and CHIP</w:t>
            </w:r>
            <w:r w:rsidRPr="00990D3B">
              <w:rPr>
                <w:sz w:val="16"/>
                <w:szCs w:val="16"/>
              </w:rPr>
              <w:t xml:space="preserve"> </w:t>
            </w:r>
            <w:r w:rsidRPr="00990D3B">
              <w:rPr>
                <w:sz w:val="16"/>
                <w:szCs w:val="16"/>
              </w:rPr>
              <w:t>identifies</w:t>
            </w:r>
            <w:r w:rsidRPr="00990D3B">
              <w:rPr>
                <w:sz w:val="16"/>
                <w:szCs w:val="16"/>
              </w:rPr>
              <w:t>.</w:t>
            </w:r>
          </w:p>
          <w:p w:rsidR="004E5913" w:rsidRPr="00990D3B" w:rsidP="00E00D33" w14:paraId="41F24AAF" w14:textId="77777777">
            <w:pPr>
              <w:pStyle w:val="EQRTableTextbullet"/>
              <w:rPr>
                <w:sz w:val="16"/>
                <w:szCs w:val="16"/>
              </w:rPr>
            </w:pPr>
            <w:r w:rsidRPr="00990D3B">
              <w:rPr>
                <w:sz w:val="16"/>
                <w:szCs w:val="16"/>
              </w:rPr>
              <w:t>Policies relevant to written material language and format, for example, policies relevant to inclusion of taglines.</w:t>
            </w:r>
          </w:p>
          <w:p w:rsidR="004E5913" w:rsidRPr="00990D3B" w:rsidP="004A2A4F" w14:paraId="6984F5D0" w14:textId="460F5676">
            <w:pPr>
              <w:pStyle w:val="EQRTableTextbullet"/>
              <w:rPr>
                <w:sz w:val="16"/>
                <w:szCs w:val="18"/>
              </w:rPr>
            </w:pPr>
            <w:r w:rsidRPr="00990D3B">
              <w:rPr>
                <w:sz w:val="16"/>
                <w:szCs w:val="18"/>
              </w:rPr>
              <w:t>Medicaid and CHIP</w:t>
            </w:r>
            <w:r w:rsidRPr="00990D3B">
              <w:rPr>
                <w:sz w:val="16"/>
                <w:szCs w:val="18"/>
              </w:rPr>
              <w:t xml:space="preserve"> </w:t>
            </w:r>
            <w:r w:rsidRPr="00990D3B" w:rsidR="00C67AC8">
              <w:rPr>
                <w:sz w:val="16"/>
                <w:szCs w:val="18"/>
              </w:rPr>
              <w:t xml:space="preserve">program </w:t>
            </w:r>
            <w:r w:rsidRPr="00990D3B">
              <w:rPr>
                <w:sz w:val="16"/>
                <w:szCs w:val="18"/>
              </w:rPr>
              <w:t>developed or approved language describing grievance, appeal, and fair hearing procedures and time</w:t>
            </w:r>
            <w:r w:rsidRPr="00990D3B" w:rsidR="00566F1D">
              <w:rPr>
                <w:sz w:val="16"/>
                <w:szCs w:val="18"/>
              </w:rPr>
              <w:t xml:space="preserve"> </w:t>
            </w:r>
            <w:r w:rsidRPr="00990D3B">
              <w:rPr>
                <w:sz w:val="16"/>
                <w:szCs w:val="18"/>
              </w:rPr>
              <w:t xml:space="preserve">frames, for inclusion in the enrollee handbook. </w:t>
            </w:r>
          </w:p>
          <w:p w:rsidR="004A2A4F" w:rsidRPr="00990D3B" w:rsidP="004A2A4F" w14:paraId="2611F851" w14:textId="77777777">
            <w:pPr>
              <w:pStyle w:val="EQRTableTextbullet"/>
              <w:rPr>
                <w:sz w:val="16"/>
                <w:szCs w:val="16"/>
              </w:rPr>
            </w:pPr>
            <w:r w:rsidRPr="00990D3B">
              <w:rPr>
                <w:sz w:val="16"/>
                <w:szCs w:val="16"/>
              </w:rPr>
              <w:t xml:space="preserve">Any interpretation services that the Medicaid and CHIP program </w:t>
            </w:r>
            <w:r w:rsidRPr="00990D3B">
              <w:rPr>
                <w:sz w:val="16"/>
                <w:szCs w:val="16"/>
              </w:rPr>
              <w:t>makes</w:t>
            </w:r>
            <w:r w:rsidRPr="00990D3B">
              <w:rPr>
                <w:sz w:val="16"/>
                <w:szCs w:val="16"/>
              </w:rPr>
              <w:t xml:space="preserve"> available to </w:t>
            </w:r>
            <w:r w:rsidRPr="00990D3B">
              <w:rPr>
                <w:sz w:val="16"/>
                <w:szCs w:val="16"/>
              </w:rPr>
              <w:t>enrollees</w:t>
            </w:r>
            <w:r w:rsidRPr="00990D3B">
              <w:rPr>
                <w:sz w:val="16"/>
                <w:szCs w:val="16"/>
              </w:rPr>
              <w:t>.</w:t>
            </w:r>
          </w:p>
          <w:p w:rsidR="004A2A4F" w:rsidRPr="00990D3B" w:rsidP="004A2A4F" w14:paraId="1A6FF652" w14:textId="77777777">
            <w:pPr>
              <w:pStyle w:val="EQRTableTextbullet"/>
              <w:rPr>
                <w:sz w:val="16"/>
                <w:szCs w:val="16"/>
              </w:rPr>
            </w:pPr>
            <w:r w:rsidRPr="00990D3B">
              <w:rPr>
                <w:sz w:val="16"/>
                <w:szCs w:val="16"/>
              </w:rPr>
              <w:t xml:space="preserve">How the Medicaid and CHIP agency defines ‘reasonable time’ for purposes of providing the enrollee handbook to enrollees. </w:t>
            </w:r>
          </w:p>
          <w:p w:rsidR="004E5913" w:rsidRPr="00990D3B" w:rsidP="00E00D33" w14:paraId="2CD722CD" w14:textId="38396340">
            <w:pPr>
              <w:pStyle w:val="EQRTableTextbullet"/>
              <w:rPr>
                <w:sz w:val="16"/>
                <w:szCs w:val="16"/>
              </w:rPr>
            </w:pPr>
            <w:r w:rsidRPr="00990D3B">
              <w:rPr>
                <w:sz w:val="16"/>
                <w:szCs w:val="16"/>
              </w:rPr>
              <w:t>Medicaid and CHIP</w:t>
            </w:r>
            <w:r w:rsidRPr="00990D3B">
              <w:rPr>
                <w:sz w:val="16"/>
                <w:szCs w:val="16"/>
              </w:rPr>
              <w:t xml:space="preserve"> </w:t>
            </w:r>
            <w:r w:rsidRPr="00990D3B" w:rsidR="00C67AC8">
              <w:rPr>
                <w:sz w:val="16"/>
                <w:szCs w:val="16"/>
              </w:rPr>
              <w:t xml:space="preserve">program </w:t>
            </w:r>
            <w:r w:rsidRPr="00990D3B">
              <w:rPr>
                <w:sz w:val="16"/>
                <w:szCs w:val="16"/>
              </w:rPr>
              <w:t xml:space="preserve">policy on whether enrollee </w:t>
            </w:r>
            <w:r w:rsidRPr="00990D3B">
              <w:rPr>
                <w:sz w:val="16"/>
                <w:szCs w:val="16"/>
              </w:rPr>
              <w:t>are</w:t>
            </w:r>
            <w:r w:rsidRPr="00990D3B">
              <w:rPr>
                <w:sz w:val="16"/>
                <w:szCs w:val="16"/>
              </w:rPr>
              <w:t xml:space="preserve"> required to pay costs for services while an appeal or state fair hear is pending – and the final decision is </w:t>
            </w:r>
            <w:r w:rsidRPr="00990D3B">
              <w:rPr>
                <w:sz w:val="16"/>
                <w:szCs w:val="16"/>
              </w:rPr>
              <w:t>adverse</w:t>
            </w:r>
            <w:r w:rsidRPr="00990D3B">
              <w:rPr>
                <w:sz w:val="16"/>
                <w:szCs w:val="16"/>
              </w:rPr>
              <w:t xml:space="preserve"> to the enrollee – for purposes of the enrollee handbook. </w:t>
            </w:r>
          </w:p>
          <w:p w:rsidR="004E5913" w:rsidRPr="00990D3B" w:rsidP="00E00D33" w14:paraId="545EDE13" w14:textId="7B9BE390">
            <w:pPr>
              <w:pStyle w:val="EQRTableTextbullet"/>
              <w:rPr>
                <w:sz w:val="16"/>
                <w:szCs w:val="16"/>
              </w:rPr>
            </w:pPr>
            <w:r w:rsidRPr="00990D3B">
              <w:rPr>
                <w:sz w:val="16"/>
                <w:szCs w:val="16"/>
              </w:rPr>
              <w:t xml:space="preserve">Any content required by the state for the enrollee handbook that is not covered in </w:t>
            </w:r>
            <w:r w:rsidRPr="00990D3B" w:rsidR="001C7FC0">
              <w:rPr>
                <w:sz w:val="16"/>
                <w:szCs w:val="16"/>
              </w:rPr>
              <w:t>42 C.F.R.</w:t>
            </w:r>
            <w:r w:rsidRPr="00990D3B">
              <w:rPr>
                <w:sz w:val="16"/>
                <w:szCs w:val="16"/>
              </w:rPr>
              <w:t xml:space="preserve"> 438.10(g).</w:t>
            </w:r>
          </w:p>
          <w:p w:rsidR="004E5913" w:rsidRPr="00990D3B" w:rsidP="00E00D33" w14:paraId="567A634E" w14:textId="16577EB9">
            <w:pPr>
              <w:pStyle w:val="EQRTableTextbullet"/>
              <w:rPr>
                <w:sz w:val="16"/>
                <w:szCs w:val="16"/>
              </w:rPr>
            </w:pPr>
            <w:r w:rsidRPr="00990D3B">
              <w:rPr>
                <w:sz w:val="16"/>
                <w:szCs w:val="16"/>
              </w:rPr>
              <w:t xml:space="preserve">Information on how the state has defined a “significant change” in the information MCPs are required to give enrollees pursuant to </w:t>
            </w:r>
            <w:r w:rsidRPr="00990D3B" w:rsidR="001C7FC0">
              <w:rPr>
                <w:sz w:val="16"/>
                <w:szCs w:val="16"/>
              </w:rPr>
              <w:t>42 C.F.R.</w:t>
            </w:r>
            <w:r w:rsidRPr="00990D3B" w:rsidR="007854DF">
              <w:rPr>
                <w:sz w:val="16"/>
                <w:szCs w:val="16"/>
              </w:rPr>
              <w:t xml:space="preserve"> </w:t>
            </w:r>
            <w:r w:rsidRPr="00990D3B">
              <w:rPr>
                <w:sz w:val="16"/>
                <w:szCs w:val="16"/>
              </w:rPr>
              <w:t>438.10(g).</w:t>
            </w:r>
          </w:p>
          <w:p w:rsidR="004E5913" w:rsidRPr="00990D3B" w:rsidP="00E00D33" w14:paraId="30409076" w14:textId="5F997F3C">
            <w:pPr>
              <w:pStyle w:val="EQRTableTextbullet"/>
              <w:rPr>
                <w:sz w:val="16"/>
                <w:szCs w:val="16"/>
              </w:rPr>
            </w:pPr>
            <w:r w:rsidRPr="00990D3B">
              <w:rPr>
                <w:sz w:val="16"/>
                <w:szCs w:val="16"/>
              </w:rPr>
              <w:t xml:space="preserve">Any applicable </w:t>
            </w:r>
            <w:r w:rsidRPr="00990D3B" w:rsidR="00832946">
              <w:rPr>
                <w:sz w:val="16"/>
                <w:szCs w:val="16"/>
              </w:rPr>
              <w:t>Medicaid and CHIP</w:t>
            </w:r>
            <w:r w:rsidRPr="00990D3B">
              <w:rPr>
                <w:sz w:val="16"/>
                <w:szCs w:val="16"/>
              </w:rPr>
              <w:t xml:space="preserve"> laws on enrollee rights.</w:t>
            </w:r>
          </w:p>
        </w:tc>
        <w:tc>
          <w:tcPr>
            <w:tcW w:w="1251" w:type="pct"/>
          </w:tcPr>
          <w:p w:rsidR="004E5913" w:rsidRPr="00990D3B" w:rsidP="00E00D33" w14:paraId="53157569" w14:textId="0E405B2A">
            <w:pPr>
              <w:pStyle w:val="EQRTableTextbullet"/>
              <w:rPr>
                <w:sz w:val="16"/>
                <w:szCs w:val="16"/>
              </w:rPr>
            </w:pPr>
            <w:r w:rsidRPr="00990D3B">
              <w:rPr>
                <w:sz w:val="16"/>
                <w:szCs w:val="16"/>
              </w:rPr>
              <w:t>Medicaid and CHIP</w:t>
            </w:r>
            <w:r w:rsidRPr="00990D3B">
              <w:rPr>
                <w:sz w:val="16"/>
                <w:szCs w:val="16"/>
              </w:rPr>
              <w:t xml:space="preserve"> enrollment and disenrollment policies and procedures (ES)</w:t>
            </w:r>
          </w:p>
          <w:p w:rsidR="004E5913" w:rsidRPr="00990D3B" w:rsidP="00E00D33" w14:paraId="7946187B" w14:textId="77777777">
            <w:pPr>
              <w:pStyle w:val="EQRTableTextbullet"/>
              <w:rPr>
                <w:sz w:val="16"/>
                <w:szCs w:val="16"/>
              </w:rPr>
            </w:pPr>
            <w:r w:rsidRPr="00990D3B">
              <w:rPr>
                <w:sz w:val="16"/>
                <w:szCs w:val="16"/>
              </w:rPr>
              <w:t>Enrollee Handbooks (ES)</w:t>
            </w:r>
          </w:p>
          <w:p w:rsidR="004E5913" w:rsidRPr="00990D3B" w:rsidP="00E00D33" w14:paraId="112610A3" w14:textId="77777777">
            <w:pPr>
              <w:pStyle w:val="EQRTableTextbullet"/>
              <w:rPr>
                <w:sz w:val="16"/>
                <w:szCs w:val="16"/>
              </w:rPr>
            </w:pPr>
            <w:r w:rsidRPr="00990D3B">
              <w:rPr>
                <w:sz w:val="16"/>
                <w:szCs w:val="16"/>
              </w:rPr>
              <w:t>Enrollee grievance and appeals policies and procedures (ES)</w:t>
            </w:r>
          </w:p>
          <w:p w:rsidR="004E5913" w:rsidRPr="00990D3B" w:rsidP="00E00D33" w14:paraId="7C58EAB1" w14:textId="77777777">
            <w:pPr>
              <w:pStyle w:val="EQRTableTextbullet"/>
              <w:rPr>
                <w:sz w:val="16"/>
                <w:szCs w:val="16"/>
              </w:rPr>
            </w:pPr>
            <w:r w:rsidRPr="00990D3B">
              <w:rPr>
                <w:sz w:val="16"/>
                <w:szCs w:val="16"/>
              </w:rPr>
              <w:t>Staff Handbooks (SP)</w:t>
            </w:r>
          </w:p>
          <w:p w:rsidR="004E5913" w:rsidRPr="00990D3B" w:rsidP="00E00D33" w14:paraId="7A309251" w14:textId="77777777">
            <w:pPr>
              <w:pStyle w:val="EQRTableTextbullet"/>
              <w:rPr>
                <w:sz w:val="16"/>
                <w:szCs w:val="16"/>
              </w:rPr>
            </w:pPr>
            <w:r w:rsidRPr="00990D3B">
              <w:rPr>
                <w:sz w:val="16"/>
                <w:szCs w:val="16"/>
              </w:rPr>
              <w:t>Staff Orientation and Training Curriculum (SP)</w:t>
            </w:r>
          </w:p>
          <w:p w:rsidR="004E5913" w:rsidRPr="00990D3B" w:rsidP="00E00D33" w14:paraId="346A1DBF" w14:textId="77777777">
            <w:pPr>
              <w:pStyle w:val="EQRTableTextbullet"/>
              <w:rPr>
                <w:sz w:val="16"/>
                <w:szCs w:val="16"/>
              </w:rPr>
            </w:pPr>
            <w:r w:rsidRPr="00990D3B">
              <w:rPr>
                <w:sz w:val="16"/>
                <w:szCs w:val="16"/>
              </w:rPr>
              <w:t>MCP provider directory (ES)</w:t>
            </w:r>
          </w:p>
          <w:p w:rsidR="004E5913" w:rsidRPr="00990D3B" w:rsidP="00E00D33" w14:paraId="6603E6A6" w14:textId="77777777">
            <w:pPr>
              <w:pStyle w:val="EQRTableTextbullet"/>
              <w:rPr>
                <w:sz w:val="16"/>
                <w:szCs w:val="16"/>
              </w:rPr>
            </w:pPr>
            <w:r w:rsidRPr="00990D3B">
              <w:rPr>
                <w:sz w:val="16"/>
                <w:szCs w:val="16"/>
              </w:rPr>
              <w:t>MCP Formulary (ES)</w:t>
            </w:r>
          </w:p>
          <w:p w:rsidR="004E5913" w:rsidRPr="00990D3B" w:rsidP="00E00D33" w14:paraId="3EB46C56" w14:textId="77777777">
            <w:pPr>
              <w:pStyle w:val="EQRTableTextbullet"/>
              <w:rPr>
                <w:sz w:val="16"/>
                <w:szCs w:val="16"/>
              </w:rPr>
            </w:pPr>
            <w:r w:rsidRPr="00990D3B">
              <w:rPr>
                <w:sz w:val="16"/>
                <w:szCs w:val="16"/>
              </w:rPr>
              <w:t>MCP website (ES)</w:t>
            </w:r>
          </w:p>
        </w:tc>
        <w:tc>
          <w:tcPr>
            <w:tcW w:w="1214" w:type="pct"/>
          </w:tcPr>
          <w:p w:rsidR="004E5913" w:rsidRPr="00990D3B" w:rsidP="00BB2520" w14:paraId="2AACE6A7" w14:textId="77777777">
            <w:pPr>
              <w:pStyle w:val="EQRTableText"/>
              <w:spacing w:line="240" w:lineRule="auto"/>
              <w:rPr>
                <w:b/>
                <w:bCs/>
                <w:sz w:val="16"/>
                <w:szCs w:val="16"/>
              </w:rPr>
            </w:pPr>
            <w:r w:rsidRPr="00990D3B">
              <w:rPr>
                <w:b/>
                <w:bCs/>
                <w:sz w:val="16"/>
                <w:szCs w:val="16"/>
              </w:rPr>
              <w:t xml:space="preserve">Medicaid: </w:t>
            </w:r>
          </w:p>
          <w:p w:rsidR="004E5913" w:rsidRPr="00990D3B" w:rsidP="00BB2520" w14:paraId="46194C1D" w14:textId="49C45DE8">
            <w:pPr>
              <w:pStyle w:val="EQRTableText"/>
              <w:spacing w:line="240" w:lineRule="auto"/>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4E5913" w:rsidRPr="00990D3B" w:rsidP="00BB2520" w14:paraId="5389DE42" w14:textId="0ECFCF5E">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Substantially Met</w:t>
            </w:r>
          </w:p>
          <w:p w:rsidR="004E5913" w:rsidRPr="00990D3B" w:rsidP="00BB2520" w14:paraId="6B206F21" w14:textId="5EBF7B19">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Partially Met</w:t>
            </w:r>
          </w:p>
          <w:p w:rsidR="004E5913" w:rsidRPr="00990D3B" w:rsidP="00BB2520" w14:paraId="56542712" w14:textId="753BA5D2">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Minimally Met</w:t>
            </w:r>
          </w:p>
          <w:p w:rsidR="004E5913" w:rsidRPr="00990D3B" w:rsidP="00BB2520" w14:paraId="756BAE89" w14:textId="2EE36622">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Not Met</w:t>
            </w:r>
          </w:p>
          <w:p w:rsidR="00BE2565" w:rsidRPr="00990D3B" w:rsidP="00BB2520" w14:paraId="780D11CB" w14:textId="2E105511">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sidR="004E5913">
              <w:rPr>
                <w:sz w:val="16"/>
                <w:szCs w:val="16"/>
              </w:rPr>
              <w:t>Not Applicable</w:t>
            </w:r>
          </w:p>
          <w:p w:rsidR="00BE2565" w:rsidRPr="00990D3B" w:rsidP="00BB2520" w14:paraId="00F0A7E4" w14:textId="77777777">
            <w:pPr>
              <w:pStyle w:val="EQRTableText"/>
              <w:spacing w:line="240" w:lineRule="auto"/>
              <w:rPr>
                <w:sz w:val="16"/>
                <w:szCs w:val="16"/>
              </w:rPr>
            </w:pPr>
            <w:r w:rsidRPr="00990D3B">
              <w:rPr>
                <w:sz w:val="16"/>
                <w:szCs w:val="16"/>
              </w:rPr>
              <w:t>Reviewer Notes:</w:t>
            </w:r>
          </w:p>
          <w:p w:rsidR="004E5913" w:rsidRPr="00990D3B" w:rsidP="00BB2520" w14:paraId="1290DEAA" w14:textId="28708D7C">
            <w:pPr>
              <w:pStyle w:val="EQRTableText"/>
              <w:spacing w:line="240" w:lineRule="auto"/>
              <w:rPr>
                <w:b/>
                <w:color w:val="000000" w:themeColor="text1"/>
                <w:sz w:val="16"/>
                <w:szCs w:val="16"/>
              </w:rPr>
            </w:pPr>
            <w:r w:rsidRPr="00990D3B">
              <w:rPr>
                <w:b/>
                <w:color w:val="000000" w:themeColor="text1"/>
                <w:sz w:val="16"/>
                <w:szCs w:val="16"/>
              </w:rPr>
              <w:t>CHIP:</w:t>
            </w:r>
          </w:p>
          <w:p w:rsidR="004E5913" w:rsidRPr="00990D3B" w:rsidP="00BB2520" w14:paraId="5ABAE238" w14:textId="7EEA1255">
            <w:pPr>
              <w:pStyle w:val="EQRTableText"/>
              <w:spacing w:line="240" w:lineRule="auto"/>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4E5913" w:rsidRPr="00990D3B" w:rsidP="00BB2520" w14:paraId="4E855C9A" w14:textId="53A09A61">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Substantially Met</w:t>
            </w:r>
          </w:p>
          <w:p w:rsidR="004E5913" w:rsidRPr="00990D3B" w:rsidP="00BB2520" w14:paraId="6D3E6D1D" w14:textId="3507653E">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Partially Met</w:t>
            </w:r>
          </w:p>
          <w:p w:rsidR="004E5913" w:rsidRPr="00990D3B" w:rsidP="00BB2520" w14:paraId="0EECE454" w14:textId="00E24395">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Minimally Met</w:t>
            </w:r>
          </w:p>
          <w:p w:rsidR="004E5913" w:rsidRPr="00990D3B" w:rsidP="00BB2520" w14:paraId="3100287C" w14:textId="1F93EF47">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Not Met</w:t>
            </w:r>
          </w:p>
          <w:p w:rsidR="00BE2565" w:rsidRPr="00990D3B" w:rsidP="00BB2520" w14:paraId="7017F51A" w14:textId="694058C2">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sidR="004E5913">
              <w:rPr>
                <w:sz w:val="16"/>
                <w:szCs w:val="16"/>
              </w:rPr>
              <w:t>Not Applicable</w:t>
            </w:r>
          </w:p>
          <w:p w:rsidR="004E5913" w:rsidRPr="00990D3B" w:rsidP="00BB2520" w14:paraId="5C36A498" w14:textId="5869C957">
            <w:pPr>
              <w:pStyle w:val="EQRTableText"/>
              <w:spacing w:line="240" w:lineRule="auto"/>
              <w:rPr>
                <w:sz w:val="16"/>
                <w:szCs w:val="16"/>
              </w:rPr>
            </w:pPr>
            <w:r w:rsidRPr="00990D3B">
              <w:rPr>
                <w:sz w:val="16"/>
                <w:szCs w:val="16"/>
              </w:rPr>
              <w:t>Reviewer Notes:</w:t>
            </w:r>
          </w:p>
        </w:tc>
      </w:tr>
      <w:tr w14:paraId="5A893AB8" w14:textId="77777777" w:rsidTr="006174D5">
        <w:tblPrEx>
          <w:tblW w:w="5000" w:type="pct"/>
          <w:tblLook w:val="04A0"/>
        </w:tblPrEx>
        <w:trPr>
          <w:cantSplit/>
        </w:trPr>
        <w:tc>
          <w:tcPr>
            <w:tcW w:w="1249" w:type="pct"/>
          </w:tcPr>
          <w:p w:rsidR="004E5913" w:rsidRPr="00990D3B" w:rsidP="00BB2520" w14:paraId="28676DD9" w14:textId="62018F15">
            <w:pPr>
              <w:pStyle w:val="EQRTableText"/>
              <w:keepLines/>
              <w:spacing w:line="240" w:lineRule="auto"/>
              <w:rPr>
                <w:color w:val="000000" w:themeColor="text1"/>
                <w:sz w:val="16"/>
                <w:szCs w:val="16"/>
              </w:rPr>
            </w:pPr>
            <w:r w:rsidRPr="00990D3B">
              <w:rPr>
                <w:b/>
                <w:color w:val="000000" w:themeColor="text1"/>
                <w:sz w:val="16"/>
                <w:szCs w:val="16"/>
              </w:rPr>
              <w:t xml:space="preserve">Enrollee right to receive information on available treatment options </w:t>
            </w:r>
            <w:r w:rsidRPr="00990D3B" w:rsidR="004543B8">
              <w:rPr>
                <w:b/>
                <w:color w:val="000000" w:themeColor="text1"/>
                <w:sz w:val="16"/>
                <w:szCs w:val="16"/>
              </w:rPr>
              <w:br/>
            </w:r>
            <w:r w:rsidRPr="00990D3B">
              <w:rPr>
                <w:b/>
                <w:color w:val="000000" w:themeColor="text1"/>
                <w:sz w:val="16"/>
                <w:szCs w:val="16"/>
              </w:rPr>
              <w:t>Medicaid</w:t>
            </w:r>
            <w:r w:rsidRPr="00990D3B">
              <w:rPr>
                <w:color w:val="000000" w:themeColor="text1"/>
                <w:sz w:val="16"/>
                <w:szCs w:val="16"/>
              </w:rPr>
              <w:t xml:space="preserve">: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 xml:space="preserve">438.100(b)(2)(iii) Enrollee right to receive information on available treatment options and alternatives . . . including requirements of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38.102: Provider-enrollee communications</w:t>
            </w:r>
          </w:p>
          <w:p w:rsidR="004E5913" w:rsidRPr="00990D3B" w:rsidP="00BB2520" w14:paraId="22EDDFC5" w14:textId="1C43E3DF">
            <w:pPr>
              <w:pStyle w:val="EQRTableText"/>
              <w:keepLines/>
              <w:spacing w:line="240" w:lineRule="auto"/>
              <w:rPr>
                <w:color w:val="000000" w:themeColor="text1"/>
                <w:sz w:val="16"/>
                <w:szCs w:val="16"/>
              </w:rPr>
            </w:pPr>
            <w:r w:rsidRPr="00990D3B">
              <w:rPr>
                <w:b/>
                <w:color w:val="000000" w:themeColor="text1"/>
                <w:sz w:val="16"/>
                <w:szCs w:val="16"/>
              </w:rPr>
              <w:t>CHIP</w:t>
            </w:r>
            <w:r w:rsidRPr="00990D3B">
              <w:rPr>
                <w:color w:val="000000" w:themeColor="text1"/>
                <w:sz w:val="16"/>
                <w:szCs w:val="16"/>
              </w:rPr>
              <w:t xml:space="preserve">: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457.1222: Provider-enrollee communication</w:t>
            </w:r>
          </w:p>
        </w:tc>
        <w:tc>
          <w:tcPr>
            <w:tcW w:w="1286" w:type="pct"/>
          </w:tcPr>
          <w:p w:rsidR="004E5913" w:rsidRPr="00990D3B" w:rsidP="00E00D33" w14:paraId="1AAE5C6A" w14:textId="55F62569">
            <w:pPr>
              <w:pStyle w:val="EQRTableTextbullet"/>
              <w:rPr>
                <w:sz w:val="16"/>
                <w:szCs w:val="16"/>
              </w:rPr>
            </w:pPr>
            <w:r w:rsidRPr="00990D3B">
              <w:rPr>
                <w:sz w:val="16"/>
                <w:szCs w:val="16"/>
              </w:rPr>
              <w:t xml:space="preserve">Information on </w:t>
            </w:r>
            <w:r w:rsidRPr="00990D3B">
              <w:rPr>
                <w:sz w:val="16"/>
                <w:szCs w:val="16"/>
              </w:rPr>
              <w:t>whether or not</w:t>
            </w:r>
            <w:r w:rsidRPr="00990D3B">
              <w:rPr>
                <w:sz w:val="16"/>
                <w:szCs w:val="16"/>
              </w:rPr>
              <w:t xml:space="preserve"> the MCP has documented to </w:t>
            </w:r>
            <w:r w:rsidRPr="00990D3B">
              <w:rPr>
                <w:sz w:val="16"/>
                <w:szCs w:val="16"/>
              </w:rPr>
              <w:t>the state</w:t>
            </w:r>
            <w:r w:rsidRPr="00990D3B">
              <w:rPr>
                <w:sz w:val="16"/>
                <w:szCs w:val="16"/>
              </w:rPr>
              <w:t xml:space="preserve"> any moral or religious objection to providing, reimbursing for, or providing coverage of, a counseling or referral service for a particular </w:t>
            </w:r>
            <w:r w:rsidRPr="00990D3B" w:rsidR="00832946">
              <w:rPr>
                <w:sz w:val="16"/>
                <w:szCs w:val="16"/>
              </w:rPr>
              <w:t>Medicaid and CHIP</w:t>
            </w:r>
            <w:r w:rsidRPr="00990D3B">
              <w:rPr>
                <w:sz w:val="16"/>
                <w:szCs w:val="16"/>
              </w:rPr>
              <w:t xml:space="preserve"> service or services.</w:t>
            </w:r>
          </w:p>
        </w:tc>
        <w:tc>
          <w:tcPr>
            <w:tcW w:w="1251" w:type="pct"/>
          </w:tcPr>
          <w:p w:rsidR="004E5913" w:rsidRPr="00990D3B" w:rsidP="00E00D33" w14:paraId="2E1C0BCD" w14:textId="5F060E1A">
            <w:pPr>
              <w:pStyle w:val="EQRTableTextbullet"/>
              <w:rPr>
                <w:sz w:val="16"/>
                <w:szCs w:val="16"/>
              </w:rPr>
            </w:pPr>
            <w:r w:rsidRPr="00990D3B">
              <w:rPr>
                <w:sz w:val="16"/>
                <w:szCs w:val="16"/>
              </w:rPr>
              <w:t>Medicaid and CHIP</w:t>
            </w:r>
            <w:r w:rsidRPr="00990D3B">
              <w:rPr>
                <w:sz w:val="16"/>
                <w:szCs w:val="16"/>
              </w:rPr>
              <w:t xml:space="preserve"> and other enrollee survey results (AM)</w:t>
            </w:r>
          </w:p>
          <w:p w:rsidR="004E5913" w:rsidRPr="00990D3B" w:rsidP="00E00D33" w14:paraId="04FD8148" w14:textId="77777777">
            <w:pPr>
              <w:pStyle w:val="EQRTableTextbullet"/>
              <w:rPr>
                <w:sz w:val="16"/>
                <w:szCs w:val="16"/>
              </w:rPr>
            </w:pPr>
            <w:r w:rsidRPr="00990D3B">
              <w:rPr>
                <w:sz w:val="16"/>
                <w:szCs w:val="16"/>
              </w:rPr>
              <w:t>Provider contracts (PS)</w:t>
            </w:r>
          </w:p>
          <w:p w:rsidR="004E5913" w:rsidRPr="00990D3B" w:rsidP="00E00D33" w14:paraId="0C55576A" w14:textId="0657D6F0">
            <w:pPr>
              <w:pStyle w:val="EQRTableTextbullet"/>
              <w:rPr>
                <w:sz w:val="16"/>
                <w:szCs w:val="16"/>
              </w:rPr>
            </w:pPr>
            <w:r w:rsidRPr="00990D3B">
              <w:rPr>
                <w:sz w:val="16"/>
                <w:szCs w:val="16"/>
              </w:rPr>
              <w:t>Medicaid and CHIP</w:t>
            </w:r>
            <w:r w:rsidRPr="00990D3B">
              <w:rPr>
                <w:sz w:val="16"/>
                <w:szCs w:val="16"/>
              </w:rPr>
              <w:t xml:space="preserve"> enrollee services policies and procedures (ES)</w:t>
            </w:r>
          </w:p>
          <w:p w:rsidR="004E5913" w:rsidRPr="00990D3B" w:rsidP="00E00D33" w14:paraId="41073016" w14:textId="77777777">
            <w:pPr>
              <w:pStyle w:val="EQRTableTextbullet"/>
              <w:rPr>
                <w:sz w:val="16"/>
                <w:szCs w:val="16"/>
              </w:rPr>
            </w:pPr>
            <w:r w:rsidRPr="00990D3B">
              <w:rPr>
                <w:sz w:val="16"/>
                <w:szCs w:val="16"/>
              </w:rPr>
              <w:t>Statement of enrollee rights (ES)</w:t>
            </w:r>
          </w:p>
          <w:p w:rsidR="004E5913" w:rsidRPr="00990D3B" w:rsidP="00E00D33" w14:paraId="4BCC86C5" w14:textId="72DD6058">
            <w:pPr>
              <w:pStyle w:val="EQRTableTextbullet"/>
              <w:rPr>
                <w:sz w:val="16"/>
                <w:szCs w:val="16"/>
              </w:rPr>
            </w:pPr>
            <w:r w:rsidRPr="00990D3B">
              <w:rPr>
                <w:sz w:val="16"/>
                <w:szCs w:val="16"/>
              </w:rPr>
              <w:t>Medicaid and CHIP</w:t>
            </w:r>
            <w:r w:rsidRPr="00990D3B">
              <w:rPr>
                <w:sz w:val="16"/>
                <w:szCs w:val="16"/>
              </w:rPr>
              <w:t xml:space="preserve"> enrollee marketing materials (ES)</w:t>
            </w:r>
          </w:p>
          <w:p w:rsidR="004E5913" w:rsidRPr="00990D3B" w:rsidP="00E00D33" w14:paraId="005B180D" w14:textId="31C601C9">
            <w:pPr>
              <w:pStyle w:val="EQRTableTextbullet"/>
              <w:rPr>
                <w:sz w:val="16"/>
                <w:szCs w:val="16"/>
              </w:rPr>
            </w:pPr>
            <w:r w:rsidRPr="00990D3B">
              <w:rPr>
                <w:sz w:val="16"/>
                <w:szCs w:val="16"/>
              </w:rPr>
              <w:t>Medicaid and CHIP</w:t>
            </w:r>
            <w:r w:rsidRPr="00990D3B">
              <w:rPr>
                <w:sz w:val="16"/>
                <w:szCs w:val="16"/>
              </w:rPr>
              <w:t xml:space="preserve"> marketing plans, policies and procedures (ES) </w:t>
            </w:r>
          </w:p>
          <w:p w:rsidR="004E5913" w:rsidRPr="00990D3B" w:rsidP="00E00D33" w14:paraId="41B64E17" w14:textId="143F5291">
            <w:pPr>
              <w:pStyle w:val="EQRTableTextbullet"/>
              <w:rPr>
                <w:sz w:val="16"/>
                <w:szCs w:val="16"/>
              </w:rPr>
            </w:pPr>
            <w:r w:rsidRPr="00990D3B">
              <w:rPr>
                <w:sz w:val="16"/>
                <w:szCs w:val="16"/>
              </w:rPr>
              <w:t>Medicaid and CHIP</w:t>
            </w:r>
            <w:r w:rsidRPr="00990D3B">
              <w:rPr>
                <w:sz w:val="16"/>
                <w:szCs w:val="16"/>
              </w:rPr>
              <w:t xml:space="preserve"> enrollment and disenrollment policies and procedures (ES)</w:t>
            </w:r>
          </w:p>
          <w:p w:rsidR="004E5913" w:rsidRPr="00990D3B" w:rsidP="00E00D33" w14:paraId="09DE9802" w14:textId="5C4F3048">
            <w:pPr>
              <w:pStyle w:val="EQRTableTextbullet"/>
              <w:rPr>
                <w:sz w:val="16"/>
                <w:szCs w:val="16"/>
              </w:rPr>
            </w:pPr>
            <w:r w:rsidRPr="00990D3B">
              <w:rPr>
                <w:sz w:val="16"/>
                <w:szCs w:val="16"/>
              </w:rPr>
              <w:t>Medicaid and CHIP</w:t>
            </w:r>
            <w:r w:rsidRPr="00990D3B">
              <w:rPr>
                <w:sz w:val="16"/>
                <w:szCs w:val="16"/>
              </w:rPr>
              <w:t xml:space="preserve"> Enrollee Handbooks (ES)</w:t>
            </w:r>
          </w:p>
          <w:p w:rsidR="004E5913" w:rsidRPr="00990D3B" w:rsidP="00E00D33" w14:paraId="3B7A49D0" w14:textId="64FC2F6B">
            <w:pPr>
              <w:pStyle w:val="EQRTableTextbullet"/>
              <w:rPr>
                <w:sz w:val="16"/>
                <w:szCs w:val="16"/>
              </w:rPr>
            </w:pPr>
            <w:r w:rsidRPr="00990D3B">
              <w:rPr>
                <w:sz w:val="16"/>
                <w:szCs w:val="16"/>
              </w:rPr>
              <w:t>Medicaid and CHIP</w:t>
            </w:r>
            <w:r w:rsidRPr="00990D3B">
              <w:rPr>
                <w:sz w:val="16"/>
                <w:szCs w:val="16"/>
              </w:rPr>
              <w:t xml:space="preserve"> Enrollee Orientation Curriculum (ES)</w:t>
            </w:r>
          </w:p>
          <w:p w:rsidR="004E5913" w:rsidRPr="00990D3B" w:rsidP="00E00D33" w14:paraId="5D6E762B" w14:textId="39B3FFFA">
            <w:pPr>
              <w:pStyle w:val="EQRTableTextbullet"/>
              <w:rPr>
                <w:sz w:val="16"/>
                <w:szCs w:val="16"/>
              </w:rPr>
            </w:pPr>
            <w:r w:rsidRPr="00990D3B">
              <w:rPr>
                <w:sz w:val="16"/>
                <w:szCs w:val="16"/>
              </w:rPr>
              <w:t>Medicaid and CHIP</w:t>
            </w:r>
            <w:r w:rsidRPr="00990D3B">
              <w:rPr>
                <w:sz w:val="16"/>
                <w:szCs w:val="16"/>
              </w:rPr>
              <w:t xml:space="preserve"> enrollee grievance and appeals policies and procedures (ES)</w:t>
            </w:r>
          </w:p>
          <w:p w:rsidR="004E5913" w:rsidRPr="00990D3B" w:rsidP="00E00D33" w14:paraId="71B84601" w14:textId="77777777">
            <w:pPr>
              <w:pStyle w:val="EQRTableTextbullet"/>
              <w:rPr>
                <w:sz w:val="16"/>
                <w:szCs w:val="16"/>
              </w:rPr>
            </w:pPr>
            <w:r w:rsidRPr="00990D3B">
              <w:rPr>
                <w:sz w:val="16"/>
                <w:szCs w:val="16"/>
              </w:rPr>
              <w:t>Staff Handbooks (SP)</w:t>
            </w:r>
          </w:p>
          <w:p w:rsidR="004E5913" w:rsidRPr="00990D3B" w:rsidP="00E00D33" w14:paraId="45629444" w14:textId="77777777">
            <w:pPr>
              <w:pStyle w:val="EQRTableTextbullet"/>
              <w:rPr>
                <w:sz w:val="16"/>
                <w:szCs w:val="16"/>
              </w:rPr>
            </w:pPr>
            <w:r w:rsidRPr="00990D3B">
              <w:rPr>
                <w:sz w:val="16"/>
                <w:szCs w:val="16"/>
              </w:rPr>
              <w:t>Staff Orientation and Training Curriculum (SP)</w:t>
            </w:r>
          </w:p>
        </w:tc>
        <w:tc>
          <w:tcPr>
            <w:tcW w:w="1214" w:type="pct"/>
          </w:tcPr>
          <w:p w:rsidR="004E5913" w:rsidRPr="00990D3B" w:rsidP="00BB2520" w14:paraId="71DED0F0" w14:textId="77777777">
            <w:pPr>
              <w:pStyle w:val="EQRTableText"/>
              <w:keepLines/>
              <w:spacing w:line="240" w:lineRule="auto"/>
              <w:rPr>
                <w:b/>
                <w:color w:val="000000" w:themeColor="text1"/>
                <w:sz w:val="16"/>
                <w:szCs w:val="16"/>
              </w:rPr>
            </w:pPr>
            <w:r w:rsidRPr="00990D3B">
              <w:rPr>
                <w:b/>
                <w:color w:val="000000" w:themeColor="text1"/>
                <w:sz w:val="16"/>
                <w:szCs w:val="16"/>
              </w:rPr>
              <w:t xml:space="preserve">Medicaid: </w:t>
            </w:r>
          </w:p>
          <w:p w:rsidR="004E5913" w:rsidRPr="00990D3B" w:rsidP="00BB2520" w14:paraId="0C027808" w14:textId="7D49FF1A">
            <w:pPr>
              <w:pStyle w:val="EQRTableText"/>
              <w:keepLines/>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Fully Met</w:t>
            </w:r>
          </w:p>
          <w:p w:rsidR="004E5913" w:rsidRPr="00990D3B" w:rsidP="00BB2520" w14:paraId="55C393A9" w14:textId="66CEA299">
            <w:pPr>
              <w:pStyle w:val="EQRTableText"/>
              <w:keepLines/>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4E5913" w:rsidRPr="00990D3B" w:rsidP="00BB2520" w14:paraId="4B04A28B" w14:textId="12234DFC">
            <w:pPr>
              <w:pStyle w:val="EQRTableText"/>
              <w:keepLines/>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4E5913" w:rsidRPr="00990D3B" w:rsidP="00BB2520" w14:paraId="0BDC9AC5" w14:textId="18DF4770">
            <w:pPr>
              <w:pStyle w:val="EQRTableText"/>
              <w:keepLines/>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4E5913" w:rsidRPr="00990D3B" w:rsidP="00BB2520" w14:paraId="292A3D1A" w14:textId="05F033FC">
            <w:pPr>
              <w:pStyle w:val="EQRTableText"/>
              <w:keepLines/>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BE2565" w:rsidRPr="00990D3B" w:rsidP="00BB2520" w14:paraId="6FF2F035" w14:textId="5037C8F9">
            <w:pPr>
              <w:pStyle w:val="EQRTableText"/>
              <w:keepLines/>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sidR="004E5913">
              <w:rPr>
                <w:color w:val="000000" w:themeColor="text1"/>
                <w:sz w:val="16"/>
                <w:szCs w:val="16"/>
              </w:rPr>
              <w:t>Not Applicable</w:t>
            </w:r>
          </w:p>
          <w:p w:rsidR="00BE2565" w:rsidRPr="00990D3B" w:rsidP="00BB2520" w14:paraId="5A1029A2" w14:textId="77777777">
            <w:pPr>
              <w:pStyle w:val="EQRTableText"/>
              <w:keepLines/>
              <w:spacing w:line="240" w:lineRule="auto"/>
              <w:rPr>
                <w:color w:val="000000" w:themeColor="text1"/>
                <w:sz w:val="16"/>
                <w:szCs w:val="16"/>
              </w:rPr>
            </w:pPr>
            <w:r w:rsidRPr="00990D3B">
              <w:rPr>
                <w:color w:val="000000" w:themeColor="text1"/>
                <w:sz w:val="16"/>
                <w:szCs w:val="16"/>
              </w:rPr>
              <w:t>Reviewer Notes:</w:t>
            </w:r>
          </w:p>
          <w:p w:rsidR="004E5913" w:rsidRPr="00990D3B" w:rsidP="00BB2520" w14:paraId="25C3BE83" w14:textId="55F6044F">
            <w:pPr>
              <w:pStyle w:val="EQRTableText"/>
              <w:keepLines/>
              <w:spacing w:line="240" w:lineRule="auto"/>
              <w:rPr>
                <w:b/>
                <w:color w:val="000000" w:themeColor="text1"/>
                <w:sz w:val="16"/>
                <w:szCs w:val="16"/>
              </w:rPr>
            </w:pPr>
            <w:r w:rsidRPr="00990D3B">
              <w:rPr>
                <w:b/>
                <w:color w:val="000000" w:themeColor="text1"/>
                <w:sz w:val="16"/>
                <w:szCs w:val="16"/>
              </w:rPr>
              <w:t>CHIP:</w:t>
            </w:r>
          </w:p>
          <w:p w:rsidR="004E5913" w:rsidRPr="00990D3B" w:rsidP="00BB2520" w14:paraId="61707B6F" w14:textId="24942E2F">
            <w:pPr>
              <w:pStyle w:val="EQRTableText"/>
              <w:keepLines/>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Fully Met</w:t>
            </w:r>
          </w:p>
          <w:p w:rsidR="004E5913" w:rsidRPr="00990D3B" w:rsidP="00BB2520" w14:paraId="333C34FB" w14:textId="6AA705A0">
            <w:pPr>
              <w:pStyle w:val="EQRTableText"/>
              <w:keepLines/>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4E5913" w:rsidRPr="00990D3B" w:rsidP="00BB2520" w14:paraId="27C94AFD" w14:textId="72FD0C17">
            <w:pPr>
              <w:pStyle w:val="EQRTableText"/>
              <w:keepLines/>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4E5913" w:rsidRPr="00990D3B" w:rsidP="00BB2520" w14:paraId="704EA286" w14:textId="2AC0E110">
            <w:pPr>
              <w:pStyle w:val="EQRTableText"/>
              <w:keepLines/>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4E5913" w:rsidRPr="00990D3B" w:rsidP="00BB2520" w14:paraId="13BDEDFC" w14:textId="7CC333E4">
            <w:pPr>
              <w:pStyle w:val="EQRTableText"/>
              <w:keepLines/>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BE2565" w:rsidRPr="00990D3B" w:rsidP="00BB2520" w14:paraId="37253FCB" w14:textId="04FE8362">
            <w:pPr>
              <w:pStyle w:val="EQRTableText"/>
              <w:keepLines/>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sidR="004E5913">
              <w:rPr>
                <w:color w:val="000000" w:themeColor="text1"/>
                <w:sz w:val="16"/>
                <w:szCs w:val="16"/>
              </w:rPr>
              <w:t>Not Applicable</w:t>
            </w:r>
          </w:p>
          <w:p w:rsidR="006C375B" w:rsidRPr="00990D3B" w:rsidP="00BB2520" w14:paraId="5E7C1D9F" w14:textId="352242F6">
            <w:pPr>
              <w:pStyle w:val="EQRTableText"/>
              <w:keepLines/>
              <w:spacing w:line="240" w:lineRule="auto"/>
              <w:rPr>
                <w:color w:val="000000" w:themeColor="text1"/>
                <w:sz w:val="16"/>
                <w:szCs w:val="16"/>
              </w:rPr>
            </w:pPr>
            <w:r w:rsidRPr="00990D3B">
              <w:rPr>
                <w:color w:val="000000" w:themeColor="text1"/>
                <w:sz w:val="16"/>
                <w:szCs w:val="16"/>
              </w:rPr>
              <w:t>Reviewer Notes:</w:t>
            </w:r>
          </w:p>
        </w:tc>
      </w:tr>
      <w:tr w14:paraId="3BBA011F" w14:textId="77777777" w:rsidTr="006174D5">
        <w:tblPrEx>
          <w:tblW w:w="5000" w:type="pct"/>
          <w:tblLook w:val="04A0"/>
        </w:tblPrEx>
        <w:trPr>
          <w:cantSplit/>
        </w:trPr>
        <w:tc>
          <w:tcPr>
            <w:tcW w:w="1249" w:type="pct"/>
          </w:tcPr>
          <w:p w:rsidR="004E5913" w:rsidRPr="00990D3B" w:rsidP="00BB2520" w14:paraId="5D9E9C81" w14:textId="77777777">
            <w:pPr>
              <w:pStyle w:val="EQRTableText"/>
              <w:spacing w:line="240" w:lineRule="auto"/>
              <w:rPr>
                <w:b/>
                <w:color w:val="000000" w:themeColor="text1"/>
                <w:sz w:val="16"/>
                <w:szCs w:val="16"/>
              </w:rPr>
            </w:pPr>
            <w:r w:rsidRPr="00990D3B">
              <w:rPr>
                <w:b/>
                <w:color w:val="000000" w:themeColor="text1"/>
                <w:sz w:val="16"/>
                <w:szCs w:val="16"/>
              </w:rPr>
              <w:t>Enrollee right to participate in decisions regarding his or her care and be free from any form of restraint</w:t>
            </w:r>
          </w:p>
          <w:p w:rsidR="004E5913" w:rsidRPr="00990D3B" w:rsidP="00BB2520" w14:paraId="28E6DDC7" w14:textId="7F80B65B">
            <w:pPr>
              <w:pStyle w:val="EQRTableText"/>
              <w:spacing w:line="240" w:lineRule="auto"/>
              <w:rPr>
                <w:color w:val="000000" w:themeColor="text1"/>
                <w:sz w:val="16"/>
                <w:szCs w:val="16"/>
              </w:rPr>
            </w:pPr>
            <w:r w:rsidRPr="00990D3B">
              <w:rPr>
                <w:b/>
                <w:color w:val="000000" w:themeColor="text1"/>
                <w:sz w:val="16"/>
                <w:szCs w:val="16"/>
              </w:rPr>
              <w:t>Medicaid:</w:t>
            </w:r>
            <w:r w:rsidRPr="00990D3B">
              <w:rPr>
                <w:color w:val="000000" w:themeColor="text1"/>
                <w:sz w:val="16"/>
                <w:szCs w:val="16"/>
              </w:rPr>
              <w:t xml:space="preserve">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 xml:space="preserve">438.100(b)(2)(iv) and (v): Enrollee right to: </w:t>
            </w:r>
          </w:p>
          <w:p w:rsidR="004E5913" w:rsidRPr="00990D3B" w:rsidP="00BB2520" w14:paraId="3BD6D7C3" w14:textId="77777777">
            <w:pPr>
              <w:pStyle w:val="EQRTableText"/>
              <w:spacing w:line="240" w:lineRule="auto"/>
              <w:rPr>
                <w:color w:val="000000" w:themeColor="text1"/>
                <w:sz w:val="16"/>
                <w:szCs w:val="16"/>
              </w:rPr>
            </w:pPr>
            <w:r w:rsidRPr="00990D3B">
              <w:rPr>
                <w:color w:val="000000" w:themeColor="text1"/>
                <w:sz w:val="16"/>
                <w:szCs w:val="16"/>
              </w:rPr>
              <w:t xml:space="preserve">- participate in decisions regarding his or her care, including the right to refuse </w:t>
            </w:r>
            <w:r w:rsidRPr="00990D3B">
              <w:rPr>
                <w:color w:val="000000" w:themeColor="text1"/>
                <w:sz w:val="16"/>
                <w:szCs w:val="16"/>
              </w:rPr>
              <w:t>treatment;</w:t>
            </w:r>
          </w:p>
          <w:p w:rsidR="004E5913" w:rsidRPr="00990D3B" w:rsidP="00BB2520" w14:paraId="3C201DB8" w14:textId="77777777">
            <w:pPr>
              <w:pStyle w:val="EQRTableText"/>
              <w:spacing w:line="240" w:lineRule="auto"/>
              <w:rPr>
                <w:color w:val="000000" w:themeColor="text1"/>
                <w:sz w:val="16"/>
                <w:szCs w:val="16"/>
              </w:rPr>
            </w:pPr>
            <w:r w:rsidRPr="00990D3B">
              <w:rPr>
                <w:color w:val="000000" w:themeColor="text1"/>
                <w:sz w:val="16"/>
                <w:szCs w:val="16"/>
              </w:rPr>
              <w:t>- Be free from any form of restraint . . . as specified in other Federal regulations</w:t>
            </w:r>
          </w:p>
          <w:p w:rsidR="004E5913" w:rsidRPr="00990D3B" w:rsidP="00BB2520" w14:paraId="3720F96E" w14:textId="77777777">
            <w:pPr>
              <w:pStyle w:val="EQRTableText"/>
              <w:spacing w:line="240" w:lineRule="auto"/>
              <w:rPr>
                <w:color w:val="000000" w:themeColor="text1"/>
                <w:sz w:val="16"/>
                <w:szCs w:val="16"/>
              </w:rPr>
            </w:pPr>
            <w:r w:rsidRPr="00990D3B">
              <w:rPr>
                <w:color w:val="000000" w:themeColor="text1"/>
                <w:sz w:val="16"/>
                <w:szCs w:val="16"/>
              </w:rPr>
              <w:t>And related:</w:t>
            </w:r>
          </w:p>
          <w:p w:rsidR="004E5913" w:rsidRPr="00990D3B" w:rsidP="00BB2520" w14:paraId="070DC5C9" w14:textId="539F81E1">
            <w:pPr>
              <w:pStyle w:val="EQRTableText"/>
              <w:spacing w:line="240" w:lineRule="auto"/>
              <w:rPr>
                <w:color w:val="000000" w:themeColor="text1"/>
                <w:sz w:val="16"/>
                <w:szCs w:val="16"/>
              </w:rPr>
            </w:pPr>
            <w:r w:rsidRPr="00990D3B">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 xml:space="preserve">438.3(j): Advance directives   </w:t>
            </w:r>
          </w:p>
          <w:p w:rsidR="004E5913" w:rsidRPr="00990D3B" w:rsidP="00BB2520" w14:paraId="366954CF" w14:textId="10C77604">
            <w:pPr>
              <w:pStyle w:val="EQRTableText"/>
              <w:spacing w:line="240" w:lineRule="auto"/>
              <w:rPr>
                <w:color w:val="000000" w:themeColor="text1"/>
                <w:sz w:val="16"/>
                <w:szCs w:val="16"/>
              </w:rPr>
            </w:pPr>
            <w:r w:rsidRPr="00990D3B">
              <w:rPr>
                <w:b/>
                <w:color w:val="000000" w:themeColor="text1"/>
                <w:sz w:val="16"/>
                <w:szCs w:val="16"/>
              </w:rPr>
              <w:t>CHIP:</w:t>
            </w:r>
            <w:r w:rsidRPr="00990D3B">
              <w:rPr>
                <w:color w:val="000000" w:themeColor="text1"/>
                <w:sz w:val="16"/>
                <w:szCs w:val="16"/>
              </w:rPr>
              <w:t xml:space="preserve">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457.1220: Enrollee rights</w:t>
            </w:r>
          </w:p>
        </w:tc>
        <w:tc>
          <w:tcPr>
            <w:tcW w:w="1286" w:type="pct"/>
          </w:tcPr>
          <w:p w:rsidR="004E5913" w:rsidRPr="00990D3B" w:rsidP="00E00D33" w14:paraId="01E76A29" w14:textId="707E9030">
            <w:pPr>
              <w:pStyle w:val="EQRTableTextbullet"/>
              <w:rPr>
                <w:sz w:val="16"/>
                <w:szCs w:val="16"/>
              </w:rPr>
            </w:pPr>
            <w:r w:rsidRPr="00990D3B">
              <w:rPr>
                <w:sz w:val="16"/>
                <w:szCs w:val="16"/>
              </w:rPr>
              <w:t xml:space="preserve">A written description of any state law(s) concerning advance directives. The written description may include information from state statutes on </w:t>
            </w:r>
            <w:r w:rsidRPr="00990D3B">
              <w:rPr>
                <w:sz w:val="16"/>
                <w:szCs w:val="16"/>
              </w:rPr>
              <w:t>advance</w:t>
            </w:r>
            <w:r w:rsidRPr="00990D3B">
              <w:rPr>
                <w:sz w:val="16"/>
                <w:szCs w:val="16"/>
              </w:rPr>
              <w:t xml:space="preserve"> directives, regulations that implement the statutory provisions, opinions rendered by state courts and other states administrative directives. [Note to reviewers: Each state </w:t>
            </w:r>
            <w:r w:rsidRPr="00990D3B" w:rsidR="00832946">
              <w:rPr>
                <w:sz w:val="16"/>
                <w:szCs w:val="16"/>
              </w:rPr>
              <w:t>Medicaid and CHIP</w:t>
            </w:r>
            <w:r w:rsidRPr="00990D3B">
              <w:rPr>
                <w:sz w:val="16"/>
                <w:szCs w:val="16"/>
              </w:rPr>
              <w:t xml:space="preserve"> </w:t>
            </w:r>
            <w:r w:rsidRPr="00990D3B" w:rsidR="00C67AC8">
              <w:rPr>
                <w:sz w:val="16"/>
                <w:szCs w:val="16"/>
              </w:rPr>
              <w:t xml:space="preserve">program </w:t>
            </w:r>
            <w:r w:rsidRPr="00990D3B">
              <w:rPr>
                <w:sz w:val="16"/>
                <w:szCs w:val="16"/>
              </w:rPr>
              <w:t xml:space="preserve">is required under Federal regulations at </w:t>
            </w:r>
            <w:r w:rsidRPr="00990D3B" w:rsidR="001C7FC0">
              <w:rPr>
                <w:sz w:val="16"/>
                <w:szCs w:val="16"/>
              </w:rPr>
              <w:t>42 C.F.R.</w:t>
            </w:r>
            <w:r w:rsidRPr="00990D3B" w:rsidR="007854DF">
              <w:rPr>
                <w:sz w:val="16"/>
                <w:szCs w:val="16"/>
              </w:rPr>
              <w:t xml:space="preserve"> </w:t>
            </w:r>
            <w:r w:rsidRPr="00990D3B">
              <w:rPr>
                <w:sz w:val="16"/>
                <w:szCs w:val="16"/>
              </w:rPr>
              <w:t xml:space="preserve">431.20 to develop such a description of state laws and to distribute it to all MCPs. Revisions to this description </w:t>
            </w:r>
            <w:r w:rsidRPr="00990D3B">
              <w:rPr>
                <w:sz w:val="16"/>
                <w:szCs w:val="16"/>
              </w:rPr>
              <w:t>as a result of</w:t>
            </w:r>
            <w:r w:rsidRPr="00990D3B">
              <w:rPr>
                <w:sz w:val="16"/>
                <w:szCs w:val="16"/>
              </w:rPr>
              <w:t xml:space="preserve"> changes in State law are to be sent to MCPs no later than 60 days from the effective date of the change in state law.]</w:t>
            </w:r>
          </w:p>
          <w:p w:rsidR="004E5913" w:rsidRPr="00990D3B" w:rsidP="00E00D33" w14:paraId="25E05C05" w14:textId="77777777">
            <w:pPr>
              <w:pStyle w:val="EQRTableTextbullet"/>
              <w:rPr>
                <w:sz w:val="16"/>
                <w:szCs w:val="16"/>
              </w:rPr>
            </w:pPr>
            <w:r w:rsidRPr="00990D3B">
              <w:rPr>
                <w:sz w:val="16"/>
                <w:szCs w:val="16"/>
              </w:rPr>
              <w:t xml:space="preserve">Information on </w:t>
            </w:r>
            <w:r w:rsidRPr="00990D3B">
              <w:rPr>
                <w:sz w:val="16"/>
                <w:szCs w:val="16"/>
              </w:rPr>
              <w:t>whether or not</w:t>
            </w:r>
            <w:r w:rsidRPr="00990D3B">
              <w:rPr>
                <w:sz w:val="16"/>
                <w:szCs w:val="16"/>
              </w:rPr>
              <w:t xml:space="preserve"> the MCP has documented to </w:t>
            </w:r>
            <w:r w:rsidRPr="00990D3B">
              <w:rPr>
                <w:sz w:val="16"/>
                <w:szCs w:val="16"/>
              </w:rPr>
              <w:t>the state</w:t>
            </w:r>
            <w:r w:rsidRPr="00990D3B">
              <w:rPr>
                <w:sz w:val="16"/>
                <w:szCs w:val="16"/>
              </w:rPr>
              <w:t xml:space="preserve"> any moral or religious objection to fulfilling the regulatory provisions pertaining to advance directives</w:t>
            </w:r>
          </w:p>
        </w:tc>
        <w:tc>
          <w:tcPr>
            <w:tcW w:w="1251" w:type="pct"/>
          </w:tcPr>
          <w:p w:rsidR="004E5913" w:rsidRPr="00990D3B" w:rsidP="00E00D33" w14:paraId="2B36FD58" w14:textId="650081CB">
            <w:pPr>
              <w:pStyle w:val="EQRTableTextbullet"/>
              <w:rPr>
                <w:sz w:val="16"/>
                <w:szCs w:val="16"/>
              </w:rPr>
            </w:pPr>
            <w:r w:rsidRPr="00990D3B">
              <w:rPr>
                <w:sz w:val="16"/>
                <w:szCs w:val="16"/>
              </w:rPr>
              <w:t>Medicaid and CHIP</w:t>
            </w:r>
            <w:r w:rsidRPr="00990D3B">
              <w:rPr>
                <w:sz w:val="16"/>
                <w:szCs w:val="16"/>
              </w:rPr>
              <w:t xml:space="preserve"> and other enrollee survey results (AM)</w:t>
            </w:r>
          </w:p>
          <w:p w:rsidR="004E5913" w:rsidRPr="00990D3B" w:rsidP="00E00D33" w14:paraId="77A1D50F" w14:textId="77777777">
            <w:pPr>
              <w:pStyle w:val="EQRTableTextbullet"/>
              <w:rPr>
                <w:sz w:val="16"/>
                <w:szCs w:val="16"/>
              </w:rPr>
            </w:pPr>
            <w:r w:rsidRPr="00990D3B">
              <w:rPr>
                <w:sz w:val="16"/>
                <w:szCs w:val="16"/>
              </w:rPr>
              <w:t>Provider contracts (PS)</w:t>
            </w:r>
          </w:p>
          <w:p w:rsidR="004E5913" w:rsidRPr="00990D3B" w:rsidP="00E00D33" w14:paraId="16779437" w14:textId="5F8023EF">
            <w:pPr>
              <w:pStyle w:val="EQRTableTextbullet"/>
              <w:rPr>
                <w:sz w:val="16"/>
                <w:szCs w:val="16"/>
              </w:rPr>
            </w:pPr>
            <w:r w:rsidRPr="00990D3B">
              <w:rPr>
                <w:sz w:val="16"/>
                <w:szCs w:val="16"/>
              </w:rPr>
              <w:t>Medicaid and CHIP</w:t>
            </w:r>
            <w:r w:rsidRPr="00990D3B">
              <w:rPr>
                <w:sz w:val="16"/>
                <w:szCs w:val="16"/>
              </w:rPr>
              <w:t xml:space="preserve"> enrollee services policies and procedures (ES)</w:t>
            </w:r>
          </w:p>
          <w:p w:rsidR="004E5913" w:rsidRPr="00990D3B" w:rsidP="00E00D33" w14:paraId="047DCDE3" w14:textId="77777777">
            <w:pPr>
              <w:pStyle w:val="EQRTableTextbullet"/>
              <w:rPr>
                <w:sz w:val="16"/>
                <w:szCs w:val="16"/>
              </w:rPr>
            </w:pPr>
            <w:r w:rsidRPr="00990D3B">
              <w:rPr>
                <w:sz w:val="16"/>
                <w:szCs w:val="16"/>
              </w:rPr>
              <w:t>Statement of enrollee rights (ES)</w:t>
            </w:r>
          </w:p>
          <w:p w:rsidR="004E5913" w:rsidRPr="00990D3B" w:rsidP="00E00D33" w14:paraId="69503103" w14:textId="51EF63D6">
            <w:pPr>
              <w:pStyle w:val="EQRTableTextbullet"/>
              <w:rPr>
                <w:sz w:val="16"/>
                <w:szCs w:val="16"/>
              </w:rPr>
            </w:pPr>
            <w:r w:rsidRPr="00990D3B">
              <w:rPr>
                <w:sz w:val="16"/>
                <w:szCs w:val="16"/>
              </w:rPr>
              <w:t>Medicaid and CHIP</w:t>
            </w:r>
            <w:r w:rsidRPr="00990D3B">
              <w:rPr>
                <w:sz w:val="16"/>
                <w:szCs w:val="16"/>
              </w:rPr>
              <w:t xml:space="preserve"> </w:t>
            </w:r>
            <w:r w:rsidRPr="00990D3B">
              <w:rPr>
                <w:sz w:val="16"/>
                <w:szCs w:val="16"/>
              </w:rPr>
              <w:t>enrollee</w:t>
            </w:r>
            <w:r w:rsidRPr="00990D3B">
              <w:rPr>
                <w:sz w:val="16"/>
                <w:szCs w:val="16"/>
              </w:rPr>
              <w:t xml:space="preserve"> marketing materials (ES)</w:t>
            </w:r>
          </w:p>
        </w:tc>
        <w:tc>
          <w:tcPr>
            <w:tcW w:w="1214" w:type="pct"/>
          </w:tcPr>
          <w:p w:rsidR="004E5913" w:rsidRPr="00990D3B" w:rsidP="00BB2520" w14:paraId="44753F18" w14:textId="77777777">
            <w:pPr>
              <w:pStyle w:val="EQRTableText"/>
              <w:spacing w:line="240" w:lineRule="auto"/>
              <w:rPr>
                <w:b/>
                <w:color w:val="000000" w:themeColor="text1"/>
                <w:sz w:val="16"/>
                <w:szCs w:val="16"/>
              </w:rPr>
            </w:pPr>
            <w:r w:rsidRPr="00990D3B">
              <w:rPr>
                <w:b/>
                <w:color w:val="000000" w:themeColor="text1"/>
                <w:sz w:val="16"/>
                <w:szCs w:val="16"/>
              </w:rPr>
              <w:t xml:space="preserve">Medicaid: </w:t>
            </w:r>
          </w:p>
          <w:p w:rsidR="004E5913" w:rsidRPr="00990D3B" w:rsidP="00BB2520" w14:paraId="610250FC" w14:textId="5A33D1D3">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Fully Met</w:t>
            </w:r>
          </w:p>
          <w:p w:rsidR="004E5913" w:rsidRPr="00990D3B" w:rsidP="00BB2520" w14:paraId="30E9C883" w14:textId="6AF7A230">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4E5913" w:rsidRPr="00990D3B" w:rsidP="00BB2520" w14:paraId="13BE11D3" w14:textId="02FBAAE6">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4E5913" w:rsidRPr="00990D3B" w:rsidP="00BB2520" w14:paraId="7DBE8305" w14:textId="24AB832E">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4E5913" w:rsidRPr="00990D3B" w:rsidP="00BB2520" w14:paraId="10B55FF0" w14:textId="5F8B1502">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BE2565" w:rsidRPr="00990D3B" w:rsidP="00BB2520" w14:paraId="2F2EDE74" w14:textId="6FC2E73A">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sidR="004E5913">
              <w:rPr>
                <w:color w:val="000000" w:themeColor="text1"/>
                <w:sz w:val="16"/>
                <w:szCs w:val="16"/>
              </w:rPr>
              <w:t>Not Applicable</w:t>
            </w:r>
          </w:p>
          <w:p w:rsidR="00BE2565" w:rsidRPr="00990D3B" w:rsidP="00BB2520" w14:paraId="3A4BC43A" w14:textId="77777777">
            <w:pPr>
              <w:pStyle w:val="EQRTableText"/>
              <w:spacing w:line="240" w:lineRule="auto"/>
              <w:rPr>
                <w:color w:val="000000" w:themeColor="text1"/>
                <w:sz w:val="16"/>
                <w:szCs w:val="16"/>
              </w:rPr>
            </w:pPr>
            <w:r w:rsidRPr="00990D3B">
              <w:rPr>
                <w:color w:val="000000" w:themeColor="text1"/>
                <w:sz w:val="16"/>
                <w:szCs w:val="16"/>
              </w:rPr>
              <w:t>Reviewer Notes:</w:t>
            </w:r>
          </w:p>
          <w:p w:rsidR="004E5913" w:rsidRPr="00990D3B" w:rsidP="00BB2520" w14:paraId="2055F93E" w14:textId="3418E667">
            <w:pPr>
              <w:pStyle w:val="EQRTableText"/>
              <w:spacing w:line="240" w:lineRule="auto"/>
              <w:rPr>
                <w:b/>
                <w:color w:val="000000" w:themeColor="text1"/>
                <w:sz w:val="16"/>
                <w:szCs w:val="16"/>
              </w:rPr>
            </w:pPr>
            <w:r w:rsidRPr="00990D3B">
              <w:rPr>
                <w:b/>
                <w:color w:val="000000" w:themeColor="text1"/>
                <w:sz w:val="16"/>
                <w:szCs w:val="16"/>
              </w:rPr>
              <w:t>CHIP:</w:t>
            </w:r>
          </w:p>
          <w:p w:rsidR="004E5913" w:rsidRPr="00990D3B" w:rsidP="00BB2520" w14:paraId="1D476FEE" w14:textId="3A6AEC00">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Fully Met</w:t>
            </w:r>
          </w:p>
          <w:p w:rsidR="004E5913" w:rsidRPr="00990D3B" w:rsidP="00BB2520" w14:paraId="589DBDF9" w14:textId="7676356E">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4E5913" w:rsidRPr="00990D3B" w:rsidP="00BB2520" w14:paraId="368DE25C" w14:textId="1905801B">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4E5913" w:rsidRPr="00990D3B" w:rsidP="00BB2520" w14:paraId="7C31A249" w14:textId="4F217B3B">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4E5913" w:rsidRPr="00990D3B" w:rsidP="00BB2520" w14:paraId="172BB392" w14:textId="3E11E2DF">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BE2565" w:rsidRPr="00990D3B" w:rsidP="00BB2520" w14:paraId="13AD3978" w14:textId="51F0CEAB">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sidR="004E5913">
              <w:rPr>
                <w:color w:val="000000" w:themeColor="text1"/>
                <w:sz w:val="16"/>
                <w:szCs w:val="16"/>
              </w:rPr>
              <w:t>Not Applicable</w:t>
            </w:r>
          </w:p>
          <w:p w:rsidR="006C375B" w:rsidRPr="00990D3B" w:rsidP="00A860BB" w14:paraId="2453BE58" w14:textId="7E6FB699">
            <w:pPr>
              <w:pStyle w:val="EQRTableText"/>
              <w:spacing w:line="240" w:lineRule="auto"/>
              <w:rPr>
                <w:color w:val="000000" w:themeColor="text1"/>
                <w:sz w:val="16"/>
                <w:szCs w:val="16"/>
              </w:rPr>
            </w:pPr>
            <w:r w:rsidRPr="00990D3B">
              <w:rPr>
                <w:color w:val="000000" w:themeColor="text1"/>
                <w:sz w:val="16"/>
                <w:szCs w:val="16"/>
              </w:rPr>
              <w:t>Reviewer Notes:</w:t>
            </w:r>
          </w:p>
        </w:tc>
      </w:tr>
      <w:tr w14:paraId="3F711925" w14:textId="77777777" w:rsidTr="006174D5">
        <w:tblPrEx>
          <w:tblW w:w="5000" w:type="pct"/>
          <w:tblLook w:val="04A0"/>
        </w:tblPrEx>
        <w:trPr>
          <w:cantSplit/>
        </w:trPr>
        <w:tc>
          <w:tcPr>
            <w:tcW w:w="1249" w:type="pct"/>
          </w:tcPr>
          <w:p w:rsidR="004E5913" w:rsidRPr="00990D3B" w:rsidP="00BB2520" w14:paraId="69C9E337" w14:textId="77777777">
            <w:pPr>
              <w:pStyle w:val="EQRTableText"/>
              <w:spacing w:line="240" w:lineRule="auto"/>
              <w:rPr>
                <w:b/>
                <w:color w:val="000000" w:themeColor="text1"/>
                <w:sz w:val="16"/>
                <w:szCs w:val="16"/>
              </w:rPr>
            </w:pPr>
            <w:r w:rsidRPr="00990D3B">
              <w:rPr>
                <w:b/>
                <w:color w:val="000000" w:themeColor="text1"/>
                <w:sz w:val="16"/>
                <w:szCs w:val="16"/>
              </w:rPr>
              <w:t>Compliance with other Federal and state laws</w:t>
            </w:r>
          </w:p>
          <w:p w:rsidR="004E5913" w:rsidRPr="00990D3B" w:rsidP="00BB2520" w14:paraId="011EB6D6" w14:textId="25227A4F">
            <w:pPr>
              <w:pStyle w:val="EQRTableText"/>
              <w:spacing w:line="240" w:lineRule="auto"/>
              <w:rPr>
                <w:color w:val="000000" w:themeColor="text1"/>
                <w:sz w:val="16"/>
                <w:szCs w:val="16"/>
              </w:rPr>
            </w:pPr>
            <w:r w:rsidRPr="00990D3B">
              <w:rPr>
                <w:b/>
                <w:color w:val="000000" w:themeColor="text1"/>
                <w:sz w:val="16"/>
                <w:szCs w:val="16"/>
              </w:rPr>
              <w:t>Medicaid:</w:t>
            </w:r>
            <w:r w:rsidRPr="00990D3B">
              <w:rPr>
                <w:color w:val="000000" w:themeColor="text1"/>
                <w:sz w:val="16"/>
                <w:szCs w:val="16"/>
              </w:rPr>
              <w:t xml:space="preserve">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438.100(d): Compliance with other federal and state laws</w:t>
            </w:r>
          </w:p>
          <w:p w:rsidR="004E5913" w:rsidRPr="00990D3B" w:rsidP="00BB2520" w14:paraId="1258DAE7" w14:textId="3C8BBA44">
            <w:pPr>
              <w:pStyle w:val="EQRTableText"/>
              <w:spacing w:line="240" w:lineRule="auto"/>
              <w:rPr>
                <w:color w:val="000000" w:themeColor="text1"/>
                <w:sz w:val="16"/>
                <w:szCs w:val="16"/>
              </w:rPr>
            </w:pPr>
            <w:r w:rsidRPr="00990D3B">
              <w:rPr>
                <w:b/>
                <w:color w:val="000000" w:themeColor="text1"/>
                <w:sz w:val="16"/>
                <w:szCs w:val="16"/>
              </w:rPr>
              <w:t>CHIP</w:t>
            </w:r>
            <w:r w:rsidRPr="00990D3B">
              <w:rPr>
                <w:color w:val="000000" w:themeColor="text1"/>
                <w:sz w:val="16"/>
                <w:szCs w:val="16"/>
              </w:rPr>
              <w:t xml:space="preserve">: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457.1220: Enrollee rights</w:t>
            </w:r>
          </w:p>
        </w:tc>
        <w:tc>
          <w:tcPr>
            <w:tcW w:w="1286" w:type="pct"/>
          </w:tcPr>
          <w:p w:rsidR="004E5913" w:rsidRPr="00990D3B" w:rsidP="00E00D33" w14:paraId="75D29B5E" w14:textId="57759AAB">
            <w:pPr>
              <w:pStyle w:val="EQRTableTextbullet"/>
              <w:rPr>
                <w:sz w:val="16"/>
                <w:szCs w:val="16"/>
              </w:rPr>
            </w:pPr>
            <w:r w:rsidRPr="00990D3B">
              <w:rPr>
                <w:sz w:val="16"/>
                <w:szCs w:val="16"/>
              </w:rPr>
              <w:t xml:space="preserve">Obtain from the state </w:t>
            </w:r>
            <w:r w:rsidRPr="00990D3B" w:rsidR="00832946">
              <w:rPr>
                <w:sz w:val="16"/>
                <w:szCs w:val="16"/>
              </w:rPr>
              <w:t>Medicaid and CHIP</w:t>
            </w:r>
            <w:r w:rsidRPr="00990D3B">
              <w:rPr>
                <w:sz w:val="16"/>
                <w:szCs w:val="16"/>
              </w:rPr>
              <w:t xml:space="preserve"> </w:t>
            </w:r>
            <w:r w:rsidRPr="00990D3B" w:rsidR="00C67AC8">
              <w:rPr>
                <w:sz w:val="16"/>
                <w:szCs w:val="16"/>
              </w:rPr>
              <w:t xml:space="preserve">program </w:t>
            </w:r>
            <w:r w:rsidRPr="00990D3B">
              <w:rPr>
                <w:sz w:val="16"/>
                <w:szCs w:val="16"/>
              </w:rPr>
              <w:t xml:space="preserve">the identification of all State laws that pertain to enrollee rights and with which the state </w:t>
            </w:r>
            <w:r w:rsidRPr="00990D3B" w:rsidR="00832946">
              <w:rPr>
                <w:sz w:val="16"/>
                <w:szCs w:val="16"/>
              </w:rPr>
              <w:t>Medicaid and CHIP</w:t>
            </w:r>
            <w:r w:rsidRPr="00990D3B">
              <w:rPr>
                <w:sz w:val="16"/>
                <w:szCs w:val="16"/>
              </w:rPr>
              <w:t xml:space="preserve"> Agency requires its MCPs to comply.</w:t>
            </w:r>
          </w:p>
        </w:tc>
        <w:tc>
          <w:tcPr>
            <w:tcW w:w="1251" w:type="pct"/>
          </w:tcPr>
          <w:p w:rsidR="004E5913" w:rsidRPr="00990D3B" w:rsidP="00BB2520" w14:paraId="2B9F6D7B" w14:textId="4AEA09CD">
            <w:pPr>
              <w:pStyle w:val="EQRTableTextbullet"/>
              <w:spacing w:line="240" w:lineRule="auto"/>
              <w:rPr>
                <w:sz w:val="16"/>
                <w:szCs w:val="16"/>
              </w:rPr>
            </w:pPr>
            <w:r w:rsidRPr="00990D3B">
              <w:rPr>
                <w:sz w:val="16"/>
                <w:szCs w:val="16"/>
              </w:rPr>
              <w:t>Medicaid and CHIP</w:t>
            </w:r>
            <w:r w:rsidRPr="00990D3B">
              <w:rPr>
                <w:sz w:val="16"/>
                <w:szCs w:val="16"/>
              </w:rPr>
              <w:t xml:space="preserve"> and other enrollee survey results (AM)</w:t>
            </w:r>
          </w:p>
          <w:p w:rsidR="004E5913" w:rsidRPr="00990D3B" w:rsidP="00BB2520" w14:paraId="1E37E160" w14:textId="77777777">
            <w:pPr>
              <w:pStyle w:val="EQRTableTextbullet"/>
              <w:spacing w:line="240" w:lineRule="auto"/>
              <w:rPr>
                <w:sz w:val="16"/>
                <w:szCs w:val="16"/>
              </w:rPr>
            </w:pPr>
            <w:r w:rsidRPr="00990D3B">
              <w:rPr>
                <w:sz w:val="16"/>
                <w:szCs w:val="16"/>
              </w:rPr>
              <w:t>Provider contracts (PS)</w:t>
            </w:r>
          </w:p>
          <w:p w:rsidR="004E5913" w:rsidRPr="00990D3B" w:rsidP="00BB2520" w14:paraId="60CDE39C" w14:textId="0F86D631">
            <w:pPr>
              <w:pStyle w:val="EQRTableTextbullet"/>
              <w:spacing w:line="240" w:lineRule="auto"/>
              <w:rPr>
                <w:sz w:val="16"/>
                <w:szCs w:val="16"/>
              </w:rPr>
            </w:pPr>
            <w:r w:rsidRPr="00990D3B">
              <w:rPr>
                <w:sz w:val="16"/>
                <w:szCs w:val="16"/>
              </w:rPr>
              <w:t>Medicaid and CHIP</w:t>
            </w:r>
            <w:r w:rsidRPr="00990D3B">
              <w:rPr>
                <w:sz w:val="16"/>
                <w:szCs w:val="16"/>
              </w:rPr>
              <w:t xml:space="preserve"> enrollee services policies and procedures (ES)</w:t>
            </w:r>
          </w:p>
          <w:p w:rsidR="004E5913" w:rsidRPr="00990D3B" w:rsidP="00BB2520" w14:paraId="55A1B94D" w14:textId="77777777">
            <w:pPr>
              <w:pStyle w:val="EQRTableTextbullet"/>
              <w:spacing w:line="240" w:lineRule="auto"/>
              <w:rPr>
                <w:sz w:val="16"/>
                <w:szCs w:val="16"/>
              </w:rPr>
            </w:pPr>
            <w:r w:rsidRPr="00990D3B">
              <w:rPr>
                <w:sz w:val="16"/>
                <w:szCs w:val="16"/>
              </w:rPr>
              <w:t>Statement of enrollee rights (ES)</w:t>
            </w:r>
          </w:p>
          <w:p w:rsidR="004E5913" w:rsidRPr="00990D3B" w:rsidP="00BB2520" w14:paraId="384EB2D0" w14:textId="42D3CBAD">
            <w:pPr>
              <w:pStyle w:val="EQRTableTextbullet"/>
              <w:spacing w:line="240" w:lineRule="auto"/>
              <w:rPr>
                <w:sz w:val="16"/>
                <w:szCs w:val="16"/>
              </w:rPr>
            </w:pPr>
            <w:r w:rsidRPr="00990D3B">
              <w:rPr>
                <w:sz w:val="16"/>
                <w:szCs w:val="16"/>
              </w:rPr>
              <w:t>Medicaid and CHIP</w:t>
            </w:r>
            <w:r w:rsidRPr="00990D3B">
              <w:rPr>
                <w:sz w:val="16"/>
                <w:szCs w:val="16"/>
              </w:rPr>
              <w:t xml:space="preserve"> enrollee marketing materials (ES)</w:t>
            </w:r>
          </w:p>
          <w:p w:rsidR="004E5913" w:rsidRPr="00990D3B" w:rsidP="00BB2520" w14:paraId="3E2EA85C" w14:textId="52397653">
            <w:pPr>
              <w:pStyle w:val="EQRTableTextbullet"/>
              <w:spacing w:line="240" w:lineRule="auto"/>
              <w:rPr>
                <w:sz w:val="16"/>
                <w:szCs w:val="16"/>
              </w:rPr>
            </w:pPr>
            <w:r w:rsidRPr="00990D3B">
              <w:rPr>
                <w:sz w:val="16"/>
                <w:szCs w:val="16"/>
              </w:rPr>
              <w:t>Medicaid and CHIP</w:t>
            </w:r>
            <w:r w:rsidRPr="00990D3B">
              <w:rPr>
                <w:sz w:val="16"/>
                <w:szCs w:val="16"/>
              </w:rPr>
              <w:t xml:space="preserve"> marketing plans, policies and procedures (ES) </w:t>
            </w:r>
          </w:p>
          <w:p w:rsidR="004E5913" w:rsidRPr="00990D3B" w:rsidP="00BB2520" w14:paraId="1EFDA040" w14:textId="017D3D20">
            <w:pPr>
              <w:pStyle w:val="EQRTableTextbullet"/>
              <w:spacing w:line="240" w:lineRule="auto"/>
              <w:rPr>
                <w:sz w:val="16"/>
                <w:szCs w:val="16"/>
              </w:rPr>
            </w:pPr>
            <w:r w:rsidRPr="00990D3B">
              <w:rPr>
                <w:sz w:val="16"/>
                <w:szCs w:val="16"/>
              </w:rPr>
              <w:t>Medicaid and CHIP</w:t>
            </w:r>
            <w:r w:rsidRPr="00990D3B">
              <w:rPr>
                <w:sz w:val="16"/>
                <w:szCs w:val="16"/>
              </w:rPr>
              <w:t xml:space="preserve"> enrollment and disenrollment policies and procedures (ES)</w:t>
            </w:r>
          </w:p>
          <w:p w:rsidR="004E5913" w:rsidRPr="00990D3B" w:rsidP="00BB2520" w14:paraId="02F96E07" w14:textId="3C9EA87A">
            <w:pPr>
              <w:pStyle w:val="EQRTableTextbullet"/>
              <w:spacing w:line="240" w:lineRule="auto"/>
              <w:rPr>
                <w:sz w:val="16"/>
                <w:szCs w:val="16"/>
              </w:rPr>
            </w:pPr>
            <w:r w:rsidRPr="00990D3B">
              <w:rPr>
                <w:sz w:val="16"/>
                <w:szCs w:val="16"/>
              </w:rPr>
              <w:t>Medicaid and CHIP</w:t>
            </w:r>
            <w:r w:rsidRPr="00990D3B">
              <w:rPr>
                <w:sz w:val="16"/>
                <w:szCs w:val="16"/>
              </w:rPr>
              <w:t xml:space="preserve"> Enrollee Handbooks (ES)</w:t>
            </w:r>
          </w:p>
          <w:p w:rsidR="004E5913" w:rsidRPr="00990D3B" w:rsidP="00BB2520" w14:paraId="35FEAD8E" w14:textId="2DB21E79">
            <w:pPr>
              <w:pStyle w:val="EQRTableTextbullet"/>
              <w:spacing w:line="240" w:lineRule="auto"/>
              <w:rPr>
                <w:sz w:val="16"/>
                <w:szCs w:val="16"/>
              </w:rPr>
            </w:pPr>
            <w:r w:rsidRPr="00990D3B">
              <w:rPr>
                <w:sz w:val="16"/>
                <w:szCs w:val="16"/>
              </w:rPr>
              <w:t>Medicaid and CHIP</w:t>
            </w:r>
            <w:r w:rsidRPr="00990D3B">
              <w:rPr>
                <w:sz w:val="16"/>
                <w:szCs w:val="16"/>
              </w:rPr>
              <w:t xml:space="preserve"> Enrollee Orientation Curriculum (ES)</w:t>
            </w:r>
          </w:p>
          <w:p w:rsidR="004E5913" w:rsidRPr="00990D3B" w:rsidP="00BB2520" w14:paraId="0654DE1C" w14:textId="2547D835">
            <w:pPr>
              <w:pStyle w:val="EQRTableTextbullet"/>
              <w:spacing w:line="240" w:lineRule="auto"/>
              <w:rPr>
                <w:sz w:val="16"/>
                <w:szCs w:val="16"/>
              </w:rPr>
            </w:pPr>
            <w:r w:rsidRPr="00990D3B">
              <w:rPr>
                <w:sz w:val="16"/>
                <w:szCs w:val="16"/>
              </w:rPr>
              <w:t>Medicaid and CHIP</w:t>
            </w:r>
            <w:r w:rsidRPr="00990D3B">
              <w:rPr>
                <w:sz w:val="16"/>
                <w:szCs w:val="16"/>
              </w:rPr>
              <w:t xml:space="preserve"> enrollee grievance and appeals policies and procedures (ES)</w:t>
            </w:r>
          </w:p>
          <w:p w:rsidR="004E5913" w:rsidRPr="00990D3B" w:rsidP="00BB2520" w14:paraId="00D98129" w14:textId="77777777">
            <w:pPr>
              <w:pStyle w:val="EQRTableTextbullet"/>
              <w:spacing w:line="240" w:lineRule="auto"/>
              <w:rPr>
                <w:sz w:val="16"/>
                <w:szCs w:val="16"/>
              </w:rPr>
            </w:pPr>
            <w:r w:rsidRPr="00990D3B">
              <w:rPr>
                <w:sz w:val="16"/>
                <w:szCs w:val="16"/>
              </w:rPr>
              <w:t>Staff Handbooks (SP)</w:t>
            </w:r>
          </w:p>
          <w:p w:rsidR="004E5913" w:rsidRPr="00990D3B" w:rsidP="00BB2520" w14:paraId="333CC315" w14:textId="77777777">
            <w:pPr>
              <w:pStyle w:val="EQRTableTextbullet"/>
              <w:spacing w:line="240" w:lineRule="auto"/>
              <w:rPr>
                <w:sz w:val="16"/>
                <w:szCs w:val="16"/>
              </w:rPr>
            </w:pPr>
            <w:r w:rsidRPr="00990D3B">
              <w:rPr>
                <w:sz w:val="16"/>
                <w:szCs w:val="16"/>
              </w:rPr>
              <w:t>Staff Orientation and Training Curriculum (SP)</w:t>
            </w:r>
          </w:p>
        </w:tc>
        <w:tc>
          <w:tcPr>
            <w:tcW w:w="1214" w:type="pct"/>
          </w:tcPr>
          <w:p w:rsidR="004E5913" w:rsidRPr="00990D3B" w:rsidP="00BB2520" w14:paraId="3D14D785" w14:textId="77777777">
            <w:pPr>
              <w:pStyle w:val="EQRTableText"/>
              <w:spacing w:line="240" w:lineRule="auto"/>
              <w:rPr>
                <w:b/>
                <w:color w:val="000000" w:themeColor="text1"/>
                <w:sz w:val="16"/>
                <w:szCs w:val="16"/>
              </w:rPr>
            </w:pPr>
            <w:r w:rsidRPr="00990D3B">
              <w:rPr>
                <w:b/>
                <w:color w:val="000000" w:themeColor="text1"/>
                <w:sz w:val="16"/>
                <w:szCs w:val="16"/>
              </w:rPr>
              <w:t xml:space="preserve">Medicaid: </w:t>
            </w:r>
          </w:p>
          <w:p w:rsidR="004E5913" w:rsidRPr="00990D3B" w:rsidP="00BB2520" w14:paraId="639CD4F4" w14:textId="1255C3D9">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Fully Met</w:t>
            </w:r>
          </w:p>
          <w:p w:rsidR="004E5913" w:rsidRPr="00990D3B" w:rsidP="00BB2520" w14:paraId="12A28FAD" w14:textId="4E491BB5">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4E5913" w:rsidRPr="00990D3B" w:rsidP="00BB2520" w14:paraId="016E9D11" w14:textId="1C999B88">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4E5913" w:rsidRPr="00990D3B" w:rsidP="00BB2520" w14:paraId="0B8C5804" w14:textId="300EE069">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4E5913" w:rsidRPr="00990D3B" w:rsidP="00BB2520" w14:paraId="221945D5" w14:textId="1BD98945">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BE2565" w:rsidRPr="00990D3B" w:rsidP="00BB2520" w14:paraId="6184E9DB" w14:textId="665D5433">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sidR="004E5913">
              <w:rPr>
                <w:color w:val="000000" w:themeColor="text1"/>
                <w:sz w:val="16"/>
                <w:szCs w:val="16"/>
              </w:rPr>
              <w:t>Not Applicable</w:t>
            </w:r>
          </w:p>
          <w:p w:rsidR="00BE2565" w:rsidRPr="00990D3B" w:rsidP="00BB2520" w14:paraId="4AD6E654" w14:textId="77777777">
            <w:pPr>
              <w:pStyle w:val="EQRTableText"/>
              <w:spacing w:line="240" w:lineRule="auto"/>
              <w:rPr>
                <w:color w:val="000000" w:themeColor="text1"/>
                <w:sz w:val="16"/>
                <w:szCs w:val="16"/>
              </w:rPr>
            </w:pPr>
            <w:r w:rsidRPr="00990D3B">
              <w:rPr>
                <w:color w:val="000000" w:themeColor="text1"/>
                <w:sz w:val="16"/>
                <w:szCs w:val="16"/>
              </w:rPr>
              <w:t>Reviewer Notes:</w:t>
            </w:r>
          </w:p>
          <w:p w:rsidR="004E5913" w:rsidRPr="00990D3B" w:rsidP="00BB2520" w14:paraId="5A830861" w14:textId="430C52F2">
            <w:pPr>
              <w:pStyle w:val="EQRTableText"/>
              <w:spacing w:line="240" w:lineRule="auto"/>
              <w:rPr>
                <w:b/>
                <w:color w:val="000000" w:themeColor="text1"/>
                <w:sz w:val="16"/>
                <w:szCs w:val="16"/>
              </w:rPr>
            </w:pPr>
            <w:r w:rsidRPr="00990D3B">
              <w:rPr>
                <w:b/>
                <w:color w:val="000000" w:themeColor="text1"/>
                <w:sz w:val="16"/>
                <w:szCs w:val="16"/>
              </w:rPr>
              <w:t>CHIP:</w:t>
            </w:r>
          </w:p>
          <w:p w:rsidR="004E5913" w:rsidRPr="00990D3B" w:rsidP="00BB2520" w14:paraId="6FE54B73" w14:textId="4FEEF738">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Fully Met</w:t>
            </w:r>
          </w:p>
          <w:p w:rsidR="004E5913" w:rsidRPr="00990D3B" w:rsidP="00BB2520" w14:paraId="4A8C6F4A" w14:textId="04A5781D">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4E5913" w:rsidRPr="00990D3B" w:rsidP="00BB2520" w14:paraId="0896551C" w14:textId="3CC49E68">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4E5913" w:rsidRPr="00990D3B" w:rsidP="00BB2520" w14:paraId="0A4BC3E1" w14:textId="4FE3BC7D">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4E5913" w:rsidRPr="00990D3B" w:rsidP="00BB2520" w14:paraId="17A644C4" w14:textId="0CB780A5">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BE2565" w:rsidRPr="00990D3B" w:rsidP="00BB2520" w14:paraId="406F247D" w14:textId="38C757D1">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sidR="004E5913">
              <w:rPr>
                <w:color w:val="000000" w:themeColor="text1"/>
                <w:sz w:val="16"/>
                <w:szCs w:val="16"/>
              </w:rPr>
              <w:t>Not Applicable</w:t>
            </w:r>
          </w:p>
          <w:p w:rsidR="006C375B" w:rsidRPr="00990D3B" w:rsidP="00A860BB" w14:paraId="479F2591" w14:textId="1EBD069E">
            <w:pPr>
              <w:pStyle w:val="EQRTableText"/>
              <w:spacing w:line="240" w:lineRule="auto"/>
              <w:rPr>
                <w:color w:val="000000" w:themeColor="text1"/>
                <w:sz w:val="16"/>
                <w:szCs w:val="16"/>
              </w:rPr>
            </w:pPr>
            <w:r w:rsidRPr="00990D3B">
              <w:rPr>
                <w:color w:val="000000" w:themeColor="text1"/>
                <w:sz w:val="16"/>
                <w:szCs w:val="16"/>
              </w:rPr>
              <w:t>Reviewer Notes:</w:t>
            </w:r>
          </w:p>
        </w:tc>
      </w:tr>
      <w:tr w14:paraId="1678F4F3" w14:textId="77777777" w:rsidTr="006174D5">
        <w:tblPrEx>
          <w:tblW w:w="5000" w:type="pct"/>
          <w:tblLook w:val="04A0"/>
        </w:tblPrEx>
        <w:trPr>
          <w:cantSplit/>
        </w:trPr>
        <w:tc>
          <w:tcPr>
            <w:tcW w:w="1249" w:type="pct"/>
          </w:tcPr>
          <w:p w:rsidR="004E5913" w:rsidRPr="00990D3B" w:rsidP="00BB2520" w14:paraId="70DE88BD" w14:textId="6DF787CB">
            <w:pPr>
              <w:pStyle w:val="EQRTableText"/>
              <w:spacing w:line="240" w:lineRule="auto"/>
              <w:rPr>
                <w:b/>
                <w:color w:val="000000" w:themeColor="text1"/>
                <w:sz w:val="16"/>
                <w:szCs w:val="16"/>
              </w:rPr>
            </w:pPr>
            <w:r w:rsidRPr="00990D3B">
              <w:rPr>
                <w:b/>
                <w:color w:val="000000" w:themeColor="text1"/>
                <w:sz w:val="16"/>
                <w:szCs w:val="16"/>
              </w:rPr>
              <w:t xml:space="preserve">Provider </w:t>
            </w:r>
            <w:r w:rsidRPr="00990D3B" w:rsidR="00D56CA2">
              <w:rPr>
                <w:b/>
                <w:color w:val="000000" w:themeColor="text1"/>
                <w:sz w:val="16"/>
                <w:szCs w:val="16"/>
              </w:rPr>
              <w:t>s</w:t>
            </w:r>
            <w:r w:rsidRPr="00990D3B">
              <w:rPr>
                <w:b/>
                <w:color w:val="000000" w:themeColor="text1"/>
                <w:sz w:val="16"/>
                <w:szCs w:val="16"/>
              </w:rPr>
              <w:t>election</w:t>
            </w:r>
          </w:p>
          <w:p w:rsidR="004E5913" w:rsidRPr="00990D3B" w:rsidP="00BB2520" w14:paraId="2430B4DF" w14:textId="1393BDBF">
            <w:pPr>
              <w:pStyle w:val="EQRTableText"/>
              <w:spacing w:line="240" w:lineRule="auto"/>
              <w:rPr>
                <w:color w:val="000000" w:themeColor="text1"/>
                <w:sz w:val="16"/>
                <w:szCs w:val="16"/>
              </w:rPr>
            </w:pPr>
            <w:r w:rsidRPr="00990D3B">
              <w:rPr>
                <w:b/>
                <w:color w:val="000000" w:themeColor="text1"/>
                <w:sz w:val="16"/>
                <w:szCs w:val="16"/>
              </w:rPr>
              <w:t>Medicaid</w:t>
            </w:r>
            <w:r w:rsidRPr="00990D3B">
              <w:rPr>
                <w:color w:val="000000" w:themeColor="text1"/>
                <w:sz w:val="16"/>
                <w:szCs w:val="16"/>
              </w:rPr>
              <w:t xml:space="preserve">: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438.214: Provider selection</w:t>
            </w:r>
          </w:p>
          <w:p w:rsidR="004E5913" w:rsidRPr="00990D3B" w:rsidP="00BB2520" w14:paraId="7B978C60" w14:textId="128000F5">
            <w:pPr>
              <w:pStyle w:val="EQRTableText"/>
              <w:spacing w:line="240" w:lineRule="auto"/>
              <w:rPr>
                <w:color w:val="000000" w:themeColor="text1"/>
                <w:sz w:val="16"/>
                <w:szCs w:val="16"/>
              </w:rPr>
            </w:pPr>
            <w:r w:rsidRPr="00990D3B">
              <w:rPr>
                <w:b/>
                <w:color w:val="000000" w:themeColor="text1"/>
                <w:sz w:val="16"/>
                <w:szCs w:val="16"/>
              </w:rPr>
              <w:t xml:space="preserve">CHIP: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457.1233(a): Provider selection</w:t>
            </w:r>
          </w:p>
        </w:tc>
        <w:tc>
          <w:tcPr>
            <w:tcW w:w="1286" w:type="pct"/>
          </w:tcPr>
          <w:p w:rsidR="004E5913" w:rsidRPr="00990D3B" w:rsidP="00E00D33" w14:paraId="7FF13602" w14:textId="0FB4CF63">
            <w:pPr>
              <w:pStyle w:val="EQRTableTextbullet"/>
              <w:rPr>
                <w:sz w:val="16"/>
                <w:szCs w:val="16"/>
              </w:rPr>
            </w:pPr>
            <w:r w:rsidRPr="00990D3B">
              <w:rPr>
                <w:sz w:val="16"/>
                <w:szCs w:val="16"/>
              </w:rPr>
              <w:t>Obtain from the state information on any credentialing, re-credentialing, or other provider selection and retention requirements established by the state that address acute, primary, behavioral, substance use disorder, and LTSS providers, as appropriate.</w:t>
            </w:r>
          </w:p>
        </w:tc>
        <w:tc>
          <w:tcPr>
            <w:tcW w:w="1251" w:type="pct"/>
          </w:tcPr>
          <w:p w:rsidR="004E5913" w:rsidRPr="00990D3B" w:rsidP="00E00D33" w14:paraId="63B1E3BC" w14:textId="77777777">
            <w:pPr>
              <w:pStyle w:val="EQRTableTextbullet"/>
              <w:rPr>
                <w:sz w:val="16"/>
                <w:szCs w:val="16"/>
              </w:rPr>
            </w:pPr>
            <w:r w:rsidRPr="00990D3B">
              <w:rPr>
                <w:sz w:val="16"/>
                <w:szCs w:val="16"/>
              </w:rPr>
              <w:t xml:space="preserve">Service planning documents and provider network planning documents (e.g., geographic assessments, provider network assessments, </w:t>
            </w:r>
            <w:r w:rsidRPr="00990D3B">
              <w:rPr>
                <w:sz w:val="16"/>
                <w:szCs w:val="16"/>
              </w:rPr>
              <w:t>enrollee</w:t>
            </w:r>
            <w:r w:rsidRPr="00990D3B">
              <w:rPr>
                <w:sz w:val="16"/>
                <w:szCs w:val="16"/>
              </w:rPr>
              <w:t xml:space="preserve"> demographic studies, population needs assessments) (AM)</w:t>
            </w:r>
          </w:p>
          <w:p w:rsidR="004E5913" w:rsidRPr="00990D3B" w:rsidP="00E00D33" w14:paraId="3A7A8AA0" w14:textId="77777777">
            <w:pPr>
              <w:pStyle w:val="EQRTableTextbullet"/>
              <w:rPr>
                <w:sz w:val="16"/>
                <w:szCs w:val="16"/>
              </w:rPr>
            </w:pPr>
            <w:r w:rsidRPr="00990D3B">
              <w:rPr>
                <w:sz w:val="16"/>
                <w:szCs w:val="16"/>
              </w:rPr>
              <w:t>Contracts or written agreements with organizational subcontractors (AM)</w:t>
            </w:r>
          </w:p>
          <w:p w:rsidR="004E5913" w:rsidRPr="00990D3B" w:rsidP="00E00D33" w14:paraId="0A24E21D" w14:textId="77777777">
            <w:pPr>
              <w:pStyle w:val="EQRTableTextbullet"/>
              <w:rPr>
                <w:sz w:val="16"/>
                <w:szCs w:val="16"/>
              </w:rPr>
            </w:pPr>
            <w:r w:rsidRPr="00990D3B">
              <w:rPr>
                <w:sz w:val="16"/>
                <w:szCs w:val="16"/>
              </w:rPr>
              <w:t xml:space="preserve">Procedures and methodology for oversight, monitoring, and review of delegated activities (AM) </w:t>
            </w:r>
          </w:p>
          <w:p w:rsidR="004E5913" w:rsidRPr="00990D3B" w:rsidP="00E00D33" w14:paraId="440318AC" w14:textId="77777777">
            <w:pPr>
              <w:pStyle w:val="EQRTableTextbullet"/>
              <w:rPr>
                <w:sz w:val="16"/>
                <w:szCs w:val="16"/>
              </w:rPr>
            </w:pPr>
            <w:r w:rsidRPr="00990D3B">
              <w:rPr>
                <w:sz w:val="16"/>
                <w:szCs w:val="16"/>
              </w:rPr>
              <w:t>Contracts or written agreements with organizational subcontractors (AM)</w:t>
            </w:r>
          </w:p>
          <w:p w:rsidR="004E5913" w:rsidRPr="00990D3B" w:rsidP="00E00D33" w14:paraId="45D669C8" w14:textId="77777777">
            <w:pPr>
              <w:pStyle w:val="EQRTableTextbullet"/>
              <w:rPr>
                <w:sz w:val="16"/>
                <w:szCs w:val="16"/>
              </w:rPr>
            </w:pPr>
            <w:r w:rsidRPr="00990D3B">
              <w:rPr>
                <w:sz w:val="16"/>
                <w:szCs w:val="16"/>
              </w:rPr>
              <w:t>Completed evaluations of entities conducted before delegation is granted (AM)</w:t>
            </w:r>
          </w:p>
          <w:p w:rsidR="004E5913" w:rsidRPr="00990D3B" w:rsidP="00E00D33" w14:paraId="4DA4FBB1" w14:textId="77777777">
            <w:pPr>
              <w:pStyle w:val="EQRTableTextbullet"/>
              <w:rPr>
                <w:sz w:val="16"/>
                <w:szCs w:val="16"/>
              </w:rPr>
            </w:pPr>
            <w:r w:rsidRPr="00990D3B">
              <w:rPr>
                <w:sz w:val="16"/>
                <w:szCs w:val="16"/>
              </w:rPr>
              <w:t>Provider/Contractor files, 15-20 individual health care professional files, and 15-20 institutional provider files (PS)</w:t>
            </w:r>
          </w:p>
          <w:p w:rsidR="004E5913" w:rsidRPr="00990D3B" w:rsidP="00E00D33" w14:paraId="4D588D91" w14:textId="77777777">
            <w:pPr>
              <w:pStyle w:val="EQRTableTextbullet"/>
              <w:rPr>
                <w:sz w:val="16"/>
                <w:szCs w:val="16"/>
              </w:rPr>
            </w:pPr>
            <w:r w:rsidRPr="00990D3B">
              <w:rPr>
                <w:sz w:val="16"/>
                <w:szCs w:val="16"/>
              </w:rPr>
              <w:t>Credentialing</w:t>
            </w:r>
            <w:r w:rsidRPr="00990D3B">
              <w:rPr>
                <w:sz w:val="16"/>
                <w:szCs w:val="16"/>
              </w:rPr>
              <w:t xml:space="preserve"> committee or other provider review mechanism meeting minutes (PS)</w:t>
            </w:r>
          </w:p>
          <w:p w:rsidR="004E5913" w:rsidRPr="00990D3B" w:rsidP="00E00D33" w14:paraId="593BCC77" w14:textId="77777777">
            <w:pPr>
              <w:pStyle w:val="EQRTableTextbullet"/>
              <w:rPr>
                <w:sz w:val="16"/>
                <w:szCs w:val="16"/>
              </w:rPr>
            </w:pPr>
            <w:r w:rsidRPr="00990D3B">
              <w:rPr>
                <w:sz w:val="16"/>
                <w:szCs w:val="16"/>
              </w:rPr>
              <w:t>Sample of files of practitioners who have not been appointed or reappointed (PS)</w:t>
            </w:r>
          </w:p>
        </w:tc>
        <w:tc>
          <w:tcPr>
            <w:tcW w:w="1214" w:type="pct"/>
          </w:tcPr>
          <w:p w:rsidR="004E5913" w:rsidRPr="00990D3B" w:rsidP="00BB2520" w14:paraId="661FD46F" w14:textId="77777777">
            <w:pPr>
              <w:pStyle w:val="EQRTableText"/>
              <w:spacing w:line="240" w:lineRule="auto"/>
              <w:rPr>
                <w:b/>
                <w:color w:val="000000" w:themeColor="text1"/>
                <w:sz w:val="16"/>
                <w:szCs w:val="16"/>
              </w:rPr>
            </w:pPr>
            <w:r w:rsidRPr="00990D3B">
              <w:rPr>
                <w:b/>
                <w:color w:val="000000" w:themeColor="text1"/>
                <w:sz w:val="16"/>
                <w:szCs w:val="16"/>
              </w:rPr>
              <w:t xml:space="preserve">Medicaid: </w:t>
            </w:r>
          </w:p>
          <w:p w:rsidR="004E5913" w:rsidRPr="00990D3B" w:rsidP="00BB2520" w14:paraId="6E25930B" w14:textId="44C82605">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Fully Met</w:t>
            </w:r>
          </w:p>
          <w:p w:rsidR="004E5913" w:rsidRPr="00990D3B" w:rsidP="00BB2520" w14:paraId="3286FC57" w14:textId="66E261E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4E5913" w:rsidRPr="00990D3B" w:rsidP="00BB2520" w14:paraId="7F8B6C72" w14:textId="7481E66B">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4E5913" w:rsidRPr="00990D3B" w:rsidP="00BB2520" w14:paraId="22CC3F43" w14:textId="353E0EC9">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4E5913" w:rsidRPr="00990D3B" w:rsidP="00BB2520" w14:paraId="10A3ABE8" w14:textId="3B5D6355">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BE2565" w:rsidRPr="00990D3B" w:rsidP="00BB2520" w14:paraId="23B62E41" w14:textId="1CE00D39">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sidR="004E5913">
              <w:rPr>
                <w:color w:val="000000" w:themeColor="text1"/>
                <w:sz w:val="16"/>
                <w:szCs w:val="16"/>
              </w:rPr>
              <w:t>Not Applicable</w:t>
            </w:r>
          </w:p>
          <w:p w:rsidR="00BE2565" w:rsidRPr="00990D3B" w:rsidP="00BB2520" w14:paraId="27D74E2A" w14:textId="77777777">
            <w:pPr>
              <w:pStyle w:val="EQRTableText"/>
              <w:spacing w:line="240" w:lineRule="auto"/>
              <w:rPr>
                <w:color w:val="000000" w:themeColor="text1"/>
                <w:sz w:val="16"/>
                <w:szCs w:val="16"/>
              </w:rPr>
            </w:pPr>
            <w:r w:rsidRPr="00990D3B">
              <w:rPr>
                <w:color w:val="000000" w:themeColor="text1"/>
                <w:sz w:val="16"/>
                <w:szCs w:val="16"/>
              </w:rPr>
              <w:t>Reviewer Notes:</w:t>
            </w:r>
          </w:p>
          <w:p w:rsidR="004E5913" w:rsidRPr="00990D3B" w:rsidP="00BB2520" w14:paraId="17646A8A" w14:textId="1F194776">
            <w:pPr>
              <w:pStyle w:val="EQRTableText"/>
              <w:spacing w:line="240" w:lineRule="auto"/>
              <w:rPr>
                <w:b/>
                <w:color w:val="000000" w:themeColor="text1"/>
                <w:sz w:val="16"/>
                <w:szCs w:val="16"/>
              </w:rPr>
            </w:pPr>
            <w:r w:rsidRPr="00990D3B">
              <w:rPr>
                <w:b/>
                <w:color w:val="000000" w:themeColor="text1"/>
                <w:sz w:val="16"/>
                <w:szCs w:val="16"/>
              </w:rPr>
              <w:t>CHIP:</w:t>
            </w:r>
          </w:p>
          <w:p w:rsidR="004E5913" w:rsidRPr="00990D3B" w:rsidP="00BB2520" w14:paraId="0257F3CC" w14:textId="49B39EA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Fully Met</w:t>
            </w:r>
          </w:p>
          <w:p w:rsidR="004E5913" w:rsidRPr="00990D3B" w:rsidP="00BB2520" w14:paraId="03308D6A" w14:textId="5BE701FD">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4E5913" w:rsidRPr="00990D3B" w:rsidP="00BB2520" w14:paraId="78ADC6BE" w14:textId="3BD3E585">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4E5913" w:rsidRPr="00990D3B" w:rsidP="00BB2520" w14:paraId="3DAE5071" w14:textId="440FF725">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4E5913" w:rsidRPr="00990D3B" w:rsidP="00BB2520" w14:paraId="6350E720" w14:textId="0E750225">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BE2565" w:rsidRPr="00990D3B" w:rsidP="00BB2520" w14:paraId="33624B14" w14:textId="7EECD440">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sidR="004E5913">
              <w:rPr>
                <w:color w:val="000000" w:themeColor="text1"/>
                <w:sz w:val="16"/>
                <w:szCs w:val="16"/>
              </w:rPr>
              <w:t>Not Applicable</w:t>
            </w:r>
          </w:p>
          <w:p w:rsidR="006C375B" w:rsidRPr="00990D3B" w:rsidP="00A860BB" w14:paraId="56C31E94" w14:textId="3CB9B451">
            <w:pPr>
              <w:pStyle w:val="EQRTableText"/>
              <w:spacing w:line="240" w:lineRule="auto"/>
              <w:rPr>
                <w:color w:val="000000" w:themeColor="text1"/>
                <w:sz w:val="16"/>
                <w:szCs w:val="16"/>
              </w:rPr>
            </w:pPr>
            <w:r w:rsidRPr="00990D3B">
              <w:rPr>
                <w:color w:val="000000" w:themeColor="text1"/>
                <w:sz w:val="16"/>
                <w:szCs w:val="16"/>
              </w:rPr>
              <w:t>Reviewer Notes:</w:t>
            </w:r>
          </w:p>
        </w:tc>
      </w:tr>
      <w:tr w14:paraId="1EF9223C" w14:textId="77777777" w:rsidTr="006174D5">
        <w:tblPrEx>
          <w:tblW w:w="5000" w:type="pct"/>
          <w:tblLook w:val="04A0"/>
        </w:tblPrEx>
        <w:trPr>
          <w:cantSplit/>
        </w:trPr>
        <w:tc>
          <w:tcPr>
            <w:tcW w:w="1249" w:type="pct"/>
          </w:tcPr>
          <w:p w:rsidR="004E5913" w:rsidRPr="00990D3B" w:rsidP="00BB2520" w14:paraId="3959D84F" w14:textId="77777777">
            <w:pPr>
              <w:pStyle w:val="EQRTableText"/>
              <w:spacing w:line="240" w:lineRule="auto"/>
              <w:rPr>
                <w:b/>
                <w:color w:val="000000" w:themeColor="text1"/>
                <w:sz w:val="16"/>
                <w:szCs w:val="16"/>
              </w:rPr>
            </w:pPr>
            <w:r w:rsidRPr="00990D3B">
              <w:rPr>
                <w:b/>
                <w:color w:val="000000" w:themeColor="text1"/>
                <w:sz w:val="16"/>
                <w:szCs w:val="16"/>
              </w:rPr>
              <w:t>Sub-contractual relationships and delegation</w:t>
            </w:r>
          </w:p>
          <w:p w:rsidR="004E5913" w:rsidRPr="00990D3B" w:rsidP="00BB2520" w14:paraId="46CC13DC" w14:textId="58B07DF5">
            <w:pPr>
              <w:pStyle w:val="EQRTableText"/>
              <w:spacing w:line="240" w:lineRule="auto"/>
              <w:rPr>
                <w:color w:val="000000" w:themeColor="text1"/>
                <w:sz w:val="16"/>
                <w:szCs w:val="16"/>
              </w:rPr>
            </w:pPr>
            <w:r w:rsidRPr="00990D3B">
              <w:rPr>
                <w:b/>
                <w:color w:val="000000" w:themeColor="text1"/>
                <w:sz w:val="16"/>
                <w:szCs w:val="16"/>
              </w:rPr>
              <w:t>Medicaid:</w:t>
            </w:r>
            <w:r w:rsidRPr="00990D3B">
              <w:rPr>
                <w:color w:val="000000" w:themeColor="text1"/>
                <w:sz w:val="16"/>
                <w:szCs w:val="16"/>
              </w:rPr>
              <w:t xml:space="preserve">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 xml:space="preserve">438.230: </w:t>
            </w:r>
            <w:r w:rsidRPr="00990D3B">
              <w:rPr>
                <w:color w:val="000000" w:themeColor="text1"/>
                <w:sz w:val="16"/>
                <w:szCs w:val="16"/>
              </w:rPr>
              <w:t>Subcontractual</w:t>
            </w:r>
            <w:r w:rsidRPr="00990D3B">
              <w:rPr>
                <w:color w:val="000000" w:themeColor="text1"/>
                <w:sz w:val="16"/>
                <w:szCs w:val="16"/>
              </w:rPr>
              <w:t xml:space="preserve"> relationships and delegation</w:t>
            </w:r>
          </w:p>
          <w:p w:rsidR="004E5913" w:rsidRPr="00990D3B" w:rsidP="00BB2520" w14:paraId="1E22AB80" w14:textId="0B580EE6">
            <w:pPr>
              <w:pStyle w:val="EQRTableText"/>
              <w:spacing w:line="240" w:lineRule="auto"/>
              <w:rPr>
                <w:color w:val="000000" w:themeColor="text1"/>
                <w:sz w:val="16"/>
                <w:szCs w:val="16"/>
              </w:rPr>
            </w:pPr>
            <w:r w:rsidRPr="00990D3B">
              <w:rPr>
                <w:b/>
                <w:color w:val="000000" w:themeColor="text1"/>
                <w:sz w:val="16"/>
                <w:szCs w:val="16"/>
              </w:rPr>
              <w:t>CHIP:</w:t>
            </w:r>
            <w:r w:rsidRPr="00990D3B">
              <w:rPr>
                <w:color w:val="000000" w:themeColor="text1"/>
                <w:sz w:val="16"/>
                <w:szCs w:val="16"/>
              </w:rPr>
              <w:t xml:space="preserve">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 xml:space="preserve">457.1233(b): </w:t>
            </w:r>
            <w:r w:rsidRPr="00990D3B">
              <w:rPr>
                <w:color w:val="000000" w:themeColor="text1"/>
                <w:sz w:val="16"/>
                <w:szCs w:val="16"/>
              </w:rPr>
              <w:t>Subcontractual</w:t>
            </w:r>
            <w:r w:rsidRPr="00990D3B">
              <w:rPr>
                <w:color w:val="000000" w:themeColor="text1"/>
                <w:sz w:val="16"/>
                <w:szCs w:val="16"/>
              </w:rPr>
              <w:t xml:space="preserve"> relationships and delegation</w:t>
            </w:r>
          </w:p>
        </w:tc>
        <w:tc>
          <w:tcPr>
            <w:tcW w:w="1286" w:type="pct"/>
          </w:tcPr>
          <w:p w:rsidR="004E5913" w:rsidRPr="00990D3B" w:rsidP="00E00D33" w14:paraId="331A1967" w14:textId="77777777">
            <w:pPr>
              <w:pStyle w:val="EQRTableTextbullet"/>
              <w:rPr>
                <w:sz w:val="16"/>
                <w:szCs w:val="16"/>
              </w:rPr>
            </w:pPr>
            <w:r w:rsidRPr="00990D3B">
              <w:rPr>
                <w:sz w:val="16"/>
                <w:szCs w:val="16"/>
              </w:rPr>
              <w:t>Obtain from the state the “periodic schedule” established by the State according to which the MCP is to monitor and formally review on an ongoing basis all subcontractors’ performance of any delegated activities.</w:t>
            </w:r>
          </w:p>
        </w:tc>
        <w:tc>
          <w:tcPr>
            <w:tcW w:w="1251" w:type="pct"/>
          </w:tcPr>
          <w:p w:rsidR="004E5913" w:rsidRPr="00990D3B" w:rsidP="00E00D33" w14:paraId="0B4D5E56" w14:textId="77777777">
            <w:pPr>
              <w:pStyle w:val="EQRTableTextbullet"/>
              <w:rPr>
                <w:sz w:val="16"/>
                <w:szCs w:val="16"/>
              </w:rPr>
            </w:pPr>
            <w:r w:rsidRPr="00990D3B">
              <w:rPr>
                <w:sz w:val="16"/>
                <w:szCs w:val="16"/>
              </w:rPr>
              <w:t>Procedures and methodology for oversight, monitoring, and review of delegated activities (AM)</w:t>
            </w:r>
          </w:p>
          <w:p w:rsidR="004E5913" w:rsidRPr="00990D3B" w:rsidP="00E00D33" w14:paraId="3228BB85" w14:textId="77777777">
            <w:pPr>
              <w:pStyle w:val="EQRTableTextbullet"/>
              <w:rPr>
                <w:sz w:val="16"/>
                <w:szCs w:val="16"/>
              </w:rPr>
            </w:pPr>
            <w:r w:rsidRPr="00990D3B">
              <w:rPr>
                <w:sz w:val="16"/>
                <w:szCs w:val="16"/>
              </w:rPr>
              <w:t>Contracts or written agreements with organizational subcontractors (AM)</w:t>
            </w:r>
          </w:p>
          <w:p w:rsidR="004E5913" w:rsidRPr="00990D3B" w:rsidP="00E00D33" w14:paraId="5FAEB295" w14:textId="77777777">
            <w:pPr>
              <w:pStyle w:val="EQRTableTextbullet"/>
              <w:rPr>
                <w:sz w:val="16"/>
                <w:szCs w:val="16"/>
              </w:rPr>
            </w:pPr>
            <w:r w:rsidRPr="00990D3B">
              <w:rPr>
                <w:sz w:val="16"/>
                <w:szCs w:val="16"/>
              </w:rPr>
              <w:t>Completed evaluations of entities conducted before delegation is granted (AM)</w:t>
            </w:r>
          </w:p>
          <w:p w:rsidR="004E5913" w:rsidRPr="00990D3B" w:rsidP="00E00D33" w14:paraId="4C05F317" w14:textId="77777777">
            <w:pPr>
              <w:pStyle w:val="EQRTableTextbullet"/>
              <w:rPr>
                <w:sz w:val="16"/>
                <w:szCs w:val="16"/>
              </w:rPr>
            </w:pPr>
            <w:r w:rsidRPr="00990D3B">
              <w:rPr>
                <w:sz w:val="16"/>
                <w:szCs w:val="16"/>
              </w:rPr>
              <w:t>Ongoing evaluations of entities performing delegated activities</w:t>
            </w:r>
          </w:p>
        </w:tc>
        <w:tc>
          <w:tcPr>
            <w:tcW w:w="1214" w:type="pct"/>
          </w:tcPr>
          <w:p w:rsidR="004E5913" w:rsidRPr="00990D3B" w:rsidP="00BB2520" w14:paraId="1B4BA7F4" w14:textId="77777777">
            <w:pPr>
              <w:pStyle w:val="EQRTableText"/>
              <w:spacing w:line="240" w:lineRule="auto"/>
              <w:rPr>
                <w:b/>
                <w:color w:val="000000" w:themeColor="text1"/>
                <w:sz w:val="16"/>
                <w:szCs w:val="16"/>
              </w:rPr>
            </w:pPr>
            <w:r w:rsidRPr="00990D3B">
              <w:rPr>
                <w:b/>
                <w:color w:val="000000" w:themeColor="text1"/>
                <w:sz w:val="16"/>
                <w:szCs w:val="16"/>
              </w:rPr>
              <w:t xml:space="preserve">Medicaid: </w:t>
            </w:r>
          </w:p>
          <w:p w:rsidR="004E5913" w:rsidRPr="00990D3B" w:rsidP="00BB2520" w14:paraId="4076F303" w14:textId="50241A8F">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Fully Met</w:t>
            </w:r>
          </w:p>
          <w:p w:rsidR="004E5913" w:rsidRPr="00990D3B" w:rsidP="00BB2520" w14:paraId="2E559CD9" w14:textId="4B1F413A">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4E5913" w:rsidRPr="00990D3B" w:rsidP="00BB2520" w14:paraId="256EF3BF" w14:textId="76440644">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4E5913" w:rsidRPr="00990D3B" w:rsidP="00BB2520" w14:paraId="2C89A1BB" w14:textId="438FCA54">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4E5913" w:rsidRPr="00990D3B" w:rsidP="00BB2520" w14:paraId="370E5761" w14:textId="0341CE15">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BE2565" w:rsidRPr="00990D3B" w:rsidP="00BB2520" w14:paraId="286F372A" w14:textId="2A8389C3">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sidR="004E5913">
              <w:rPr>
                <w:color w:val="000000" w:themeColor="text1"/>
                <w:sz w:val="16"/>
                <w:szCs w:val="16"/>
              </w:rPr>
              <w:t>Not Applicable</w:t>
            </w:r>
          </w:p>
          <w:p w:rsidR="00BE2565" w:rsidRPr="00990D3B" w:rsidP="00BB2520" w14:paraId="28E6B97E" w14:textId="77777777">
            <w:pPr>
              <w:pStyle w:val="EQRTableText"/>
              <w:spacing w:line="240" w:lineRule="auto"/>
              <w:rPr>
                <w:color w:val="000000" w:themeColor="text1"/>
                <w:sz w:val="16"/>
                <w:szCs w:val="16"/>
              </w:rPr>
            </w:pPr>
            <w:r w:rsidRPr="00990D3B">
              <w:rPr>
                <w:color w:val="000000" w:themeColor="text1"/>
                <w:sz w:val="16"/>
                <w:szCs w:val="16"/>
              </w:rPr>
              <w:t>Reviewer Notes:</w:t>
            </w:r>
          </w:p>
          <w:p w:rsidR="004E5913" w:rsidRPr="00990D3B" w:rsidP="00BB2520" w14:paraId="599A6F1F" w14:textId="4DA4087E">
            <w:pPr>
              <w:pStyle w:val="EQRTableText"/>
              <w:spacing w:line="240" w:lineRule="auto"/>
              <w:rPr>
                <w:b/>
                <w:color w:val="000000" w:themeColor="text1"/>
                <w:sz w:val="16"/>
                <w:szCs w:val="16"/>
              </w:rPr>
            </w:pPr>
            <w:r w:rsidRPr="00990D3B">
              <w:rPr>
                <w:b/>
                <w:color w:val="000000" w:themeColor="text1"/>
                <w:sz w:val="16"/>
                <w:szCs w:val="16"/>
              </w:rPr>
              <w:t>CHIP:</w:t>
            </w:r>
          </w:p>
          <w:p w:rsidR="004E5913" w:rsidRPr="00990D3B" w:rsidP="00BB2520" w14:paraId="14A5CC56" w14:textId="6EA62E4A">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Fully Met</w:t>
            </w:r>
          </w:p>
          <w:p w:rsidR="004E5913" w:rsidRPr="00990D3B" w:rsidP="00BB2520" w14:paraId="379CAB13" w14:textId="05031088">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4E5913" w:rsidRPr="00990D3B" w:rsidP="00BB2520" w14:paraId="105BDBB6" w14:textId="5BBB9BC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4E5913" w:rsidRPr="00990D3B" w:rsidP="00BB2520" w14:paraId="2F08867F" w14:textId="33B9B7EC">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4E5913" w:rsidRPr="00990D3B" w:rsidP="00BB2520" w14:paraId="751C8482" w14:textId="43050FAC">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BE2565" w:rsidRPr="00990D3B" w:rsidP="00BB2520" w14:paraId="2529B438" w14:textId="5DC1BE4B">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sidR="004E5913">
              <w:rPr>
                <w:color w:val="000000" w:themeColor="text1"/>
                <w:sz w:val="16"/>
                <w:szCs w:val="16"/>
              </w:rPr>
              <w:t>Not Applicable</w:t>
            </w:r>
          </w:p>
          <w:p w:rsidR="006C375B" w:rsidRPr="00990D3B" w:rsidP="00A860BB" w14:paraId="5AAC4C54" w14:textId="757E3A07">
            <w:pPr>
              <w:pStyle w:val="EQRTableText"/>
              <w:spacing w:line="240" w:lineRule="auto"/>
              <w:rPr>
                <w:color w:val="000000" w:themeColor="text1"/>
                <w:sz w:val="16"/>
                <w:szCs w:val="16"/>
              </w:rPr>
            </w:pPr>
            <w:r w:rsidRPr="00990D3B">
              <w:rPr>
                <w:color w:val="000000" w:themeColor="text1"/>
                <w:sz w:val="16"/>
                <w:szCs w:val="16"/>
              </w:rPr>
              <w:t>Reviewer Notes:</w:t>
            </w:r>
          </w:p>
        </w:tc>
      </w:tr>
      <w:tr w14:paraId="482589F9" w14:textId="77777777" w:rsidTr="006174D5">
        <w:tblPrEx>
          <w:tblW w:w="5000" w:type="pct"/>
          <w:tblLook w:val="04A0"/>
        </w:tblPrEx>
        <w:trPr>
          <w:cantSplit/>
        </w:trPr>
        <w:tc>
          <w:tcPr>
            <w:tcW w:w="1249" w:type="pct"/>
          </w:tcPr>
          <w:p w:rsidR="004E5913" w:rsidRPr="00990D3B" w:rsidP="00BB2520" w14:paraId="56A32AF7" w14:textId="43B80BB7">
            <w:pPr>
              <w:pStyle w:val="EQRTableText"/>
              <w:spacing w:line="240" w:lineRule="auto"/>
              <w:rPr>
                <w:b/>
                <w:color w:val="000000" w:themeColor="text1"/>
                <w:sz w:val="16"/>
                <w:szCs w:val="16"/>
              </w:rPr>
            </w:pPr>
            <w:r w:rsidRPr="00990D3B">
              <w:rPr>
                <w:b/>
                <w:color w:val="000000" w:themeColor="text1"/>
                <w:sz w:val="16"/>
                <w:szCs w:val="16"/>
              </w:rPr>
              <w:t xml:space="preserve">Practice </w:t>
            </w:r>
            <w:r w:rsidRPr="00990D3B" w:rsidR="00D56CA2">
              <w:rPr>
                <w:b/>
                <w:color w:val="000000" w:themeColor="text1"/>
                <w:sz w:val="16"/>
                <w:szCs w:val="16"/>
              </w:rPr>
              <w:t>g</w:t>
            </w:r>
            <w:r w:rsidRPr="00990D3B">
              <w:rPr>
                <w:b/>
                <w:color w:val="000000" w:themeColor="text1"/>
                <w:sz w:val="16"/>
                <w:szCs w:val="16"/>
              </w:rPr>
              <w:t>uidelines</w:t>
            </w:r>
          </w:p>
          <w:p w:rsidR="004E5913" w:rsidRPr="00990D3B" w:rsidP="00BB2520" w14:paraId="4CB43765" w14:textId="5AFCBFB2">
            <w:pPr>
              <w:pStyle w:val="EQRTableText"/>
              <w:spacing w:line="240" w:lineRule="auto"/>
              <w:rPr>
                <w:color w:val="000000" w:themeColor="text1"/>
                <w:sz w:val="16"/>
                <w:szCs w:val="16"/>
              </w:rPr>
            </w:pPr>
            <w:r w:rsidRPr="00990D3B">
              <w:rPr>
                <w:b/>
                <w:color w:val="000000" w:themeColor="text1"/>
                <w:sz w:val="16"/>
                <w:szCs w:val="16"/>
              </w:rPr>
              <w:t xml:space="preserve">Medicaid: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438.236: Practice guidelines</w:t>
            </w:r>
          </w:p>
          <w:p w:rsidR="004E5913" w:rsidRPr="00990D3B" w:rsidP="00BB2520" w14:paraId="38BE0C96" w14:textId="5FEED5E1">
            <w:pPr>
              <w:pStyle w:val="EQRTableText"/>
              <w:spacing w:line="240" w:lineRule="auto"/>
              <w:rPr>
                <w:color w:val="000000" w:themeColor="text1"/>
                <w:sz w:val="16"/>
                <w:szCs w:val="16"/>
              </w:rPr>
            </w:pPr>
            <w:r w:rsidRPr="00990D3B">
              <w:rPr>
                <w:b/>
                <w:color w:val="000000" w:themeColor="text1"/>
                <w:sz w:val="16"/>
                <w:szCs w:val="16"/>
              </w:rPr>
              <w:t>CHIP</w:t>
            </w:r>
            <w:r w:rsidRPr="00990D3B">
              <w:rPr>
                <w:color w:val="000000" w:themeColor="text1"/>
                <w:sz w:val="16"/>
                <w:szCs w:val="16"/>
              </w:rPr>
              <w:t xml:space="preserve">: </w:t>
            </w:r>
            <w:r w:rsidRPr="00990D3B" w:rsidR="001C7FC0">
              <w:rPr>
                <w:color w:val="000000" w:themeColor="text1"/>
                <w:sz w:val="16"/>
                <w:szCs w:val="16"/>
              </w:rPr>
              <w:t>42 C.F.R.</w:t>
            </w:r>
            <w:r w:rsidRPr="00990D3B" w:rsidR="007854DF">
              <w:rPr>
                <w:color w:val="000000" w:themeColor="text1"/>
                <w:sz w:val="16"/>
                <w:szCs w:val="16"/>
              </w:rPr>
              <w:t xml:space="preserve"> </w:t>
            </w:r>
            <w:r w:rsidRPr="00990D3B">
              <w:rPr>
                <w:color w:val="000000" w:themeColor="text1"/>
                <w:sz w:val="16"/>
                <w:szCs w:val="16"/>
              </w:rPr>
              <w:t>457.1233(c): Practice guidelines</w:t>
            </w:r>
          </w:p>
        </w:tc>
        <w:tc>
          <w:tcPr>
            <w:tcW w:w="1286" w:type="pct"/>
          </w:tcPr>
          <w:p w:rsidR="004E5913" w:rsidRPr="00990D3B" w:rsidP="00E00D33" w14:paraId="6DF5A9BC" w14:textId="77777777">
            <w:pPr>
              <w:pStyle w:val="EQRTableTextbullet"/>
              <w:rPr>
                <w:sz w:val="16"/>
                <w:szCs w:val="16"/>
              </w:rPr>
            </w:pPr>
            <w:r w:rsidRPr="00990D3B">
              <w:rPr>
                <w:sz w:val="16"/>
                <w:szCs w:val="16"/>
              </w:rPr>
              <w:t>Information on any state statutory, regulatory, or policy requirements concerning MCP practice guidelines.</w:t>
            </w:r>
          </w:p>
        </w:tc>
        <w:tc>
          <w:tcPr>
            <w:tcW w:w="1251" w:type="pct"/>
          </w:tcPr>
          <w:p w:rsidR="004E5913" w:rsidRPr="00990D3B" w:rsidP="00E00D33" w14:paraId="047D89EF" w14:textId="77777777">
            <w:pPr>
              <w:pStyle w:val="EQRTableTextbullet"/>
              <w:rPr>
                <w:sz w:val="16"/>
                <w:szCs w:val="16"/>
              </w:rPr>
            </w:pPr>
            <w:r w:rsidRPr="00990D3B">
              <w:rPr>
                <w:sz w:val="16"/>
                <w:szCs w:val="16"/>
              </w:rPr>
              <w:t>Provider contracts (PS)</w:t>
            </w:r>
          </w:p>
          <w:p w:rsidR="004E5913" w:rsidRPr="00990D3B" w:rsidP="00E00D33" w14:paraId="5F215A62" w14:textId="77777777">
            <w:pPr>
              <w:pStyle w:val="EQRTableTextbullet"/>
              <w:rPr>
                <w:sz w:val="16"/>
                <w:szCs w:val="16"/>
              </w:rPr>
            </w:pPr>
            <w:r w:rsidRPr="00990D3B">
              <w:rPr>
                <w:sz w:val="16"/>
                <w:szCs w:val="16"/>
              </w:rPr>
              <w:t xml:space="preserve">Contracts or written agreements with organizational subcontractors (AM) </w:t>
            </w:r>
          </w:p>
          <w:p w:rsidR="004E5913" w:rsidRPr="00990D3B" w:rsidP="00E00D33" w14:paraId="1D954329" w14:textId="77777777">
            <w:pPr>
              <w:pStyle w:val="EQRTableTextbullet"/>
              <w:rPr>
                <w:sz w:val="16"/>
                <w:szCs w:val="16"/>
              </w:rPr>
            </w:pPr>
            <w:r w:rsidRPr="00990D3B">
              <w:rPr>
                <w:sz w:val="16"/>
                <w:szCs w:val="16"/>
              </w:rPr>
              <w:t>Practice guidelines (AM)</w:t>
            </w:r>
          </w:p>
          <w:p w:rsidR="004E5913" w:rsidRPr="00990D3B" w:rsidP="00E00D33" w14:paraId="023E4268" w14:textId="77777777">
            <w:pPr>
              <w:pStyle w:val="EQRTableTextbullet"/>
              <w:rPr>
                <w:sz w:val="16"/>
                <w:szCs w:val="16"/>
              </w:rPr>
            </w:pPr>
            <w:r w:rsidRPr="00990D3B">
              <w:rPr>
                <w:sz w:val="16"/>
                <w:szCs w:val="16"/>
              </w:rPr>
              <w:t>Provider/Contractor Services policies and procedures manuals (PS)</w:t>
            </w:r>
          </w:p>
          <w:p w:rsidR="004E5913" w:rsidRPr="00990D3B" w:rsidP="00E00D33" w14:paraId="29864056" w14:textId="503E3156">
            <w:pPr>
              <w:pStyle w:val="EQRTableTextbullet"/>
              <w:rPr>
                <w:sz w:val="16"/>
                <w:szCs w:val="16"/>
              </w:rPr>
            </w:pPr>
            <w:r w:rsidRPr="00990D3B">
              <w:rPr>
                <w:sz w:val="16"/>
                <w:szCs w:val="16"/>
              </w:rPr>
              <w:t>Medicaid and CHIP</w:t>
            </w:r>
            <w:r w:rsidRPr="00990D3B">
              <w:rPr>
                <w:sz w:val="16"/>
                <w:szCs w:val="16"/>
              </w:rPr>
              <w:t xml:space="preserve"> enrollee services policies and procedures (ES)</w:t>
            </w:r>
          </w:p>
        </w:tc>
        <w:tc>
          <w:tcPr>
            <w:tcW w:w="1214" w:type="pct"/>
          </w:tcPr>
          <w:p w:rsidR="004E5913" w:rsidRPr="00990D3B" w:rsidP="00BB2520" w14:paraId="1E5EF1B2" w14:textId="77777777">
            <w:pPr>
              <w:pStyle w:val="EQRTableText"/>
              <w:spacing w:line="240" w:lineRule="auto"/>
              <w:rPr>
                <w:b/>
                <w:color w:val="000000" w:themeColor="text1"/>
                <w:sz w:val="16"/>
                <w:szCs w:val="16"/>
              </w:rPr>
            </w:pPr>
            <w:r w:rsidRPr="00990D3B">
              <w:rPr>
                <w:b/>
                <w:color w:val="000000" w:themeColor="text1"/>
                <w:sz w:val="16"/>
                <w:szCs w:val="16"/>
              </w:rPr>
              <w:t xml:space="preserve">Medicaid: </w:t>
            </w:r>
          </w:p>
          <w:p w:rsidR="004E5913" w:rsidRPr="00990D3B" w:rsidP="00BB2520" w14:paraId="3B6B0AF6" w14:textId="7F1BEBCD">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Fully Met</w:t>
            </w:r>
          </w:p>
          <w:p w:rsidR="004E5913" w:rsidRPr="00990D3B" w:rsidP="00BB2520" w14:paraId="14905C48" w14:textId="28FFA8C2">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4E5913" w:rsidRPr="00990D3B" w:rsidP="00BB2520" w14:paraId="0130F2A1" w14:textId="1EA9CA0E">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4E5913" w:rsidRPr="00990D3B" w:rsidP="00BB2520" w14:paraId="4DD8AE01" w14:textId="7B9F6D7A">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4E5913" w:rsidRPr="00990D3B" w:rsidP="00BB2520" w14:paraId="0C9839F4" w14:textId="21B2CDC0">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BE2565" w:rsidRPr="00990D3B" w:rsidP="00BB2520" w14:paraId="5A09B49E" w14:textId="7B9C8AD0">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sidR="004E5913">
              <w:rPr>
                <w:color w:val="000000" w:themeColor="text1"/>
                <w:sz w:val="16"/>
                <w:szCs w:val="16"/>
              </w:rPr>
              <w:t>Not Applicable</w:t>
            </w:r>
          </w:p>
          <w:p w:rsidR="006C375B" w:rsidRPr="00990D3B" w:rsidP="00BB2520" w14:paraId="13F995F6" w14:textId="0F4DFC7D">
            <w:pPr>
              <w:pStyle w:val="EQRTableText"/>
              <w:spacing w:line="240" w:lineRule="auto"/>
              <w:rPr>
                <w:color w:val="000000" w:themeColor="text1"/>
                <w:sz w:val="16"/>
                <w:szCs w:val="16"/>
              </w:rPr>
            </w:pPr>
            <w:r w:rsidRPr="00990D3B">
              <w:rPr>
                <w:color w:val="000000" w:themeColor="text1"/>
                <w:sz w:val="16"/>
                <w:szCs w:val="16"/>
              </w:rPr>
              <w:t>Reviewer Notes:</w:t>
            </w:r>
          </w:p>
          <w:p w:rsidR="004E5913" w:rsidRPr="00990D3B" w:rsidP="00BB2520" w14:paraId="73861BEC" w14:textId="41630A09">
            <w:pPr>
              <w:pStyle w:val="EQRTableText"/>
              <w:spacing w:line="240" w:lineRule="auto"/>
              <w:rPr>
                <w:b/>
                <w:color w:val="000000" w:themeColor="text1"/>
                <w:sz w:val="16"/>
                <w:szCs w:val="16"/>
              </w:rPr>
            </w:pPr>
            <w:r w:rsidRPr="00990D3B">
              <w:rPr>
                <w:b/>
                <w:color w:val="000000" w:themeColor="text1"/>
                <w:sz w:val="16"/>
                <w:szCs w:val="16"/>
              </w:rPr>
              <w:t>CHIP:</w:t>
            </w:r>
          </w:p>
          <w:p w:rsidR="004E5913" w:rsidRPr="00990D3B" w:rsidP="00BB2520" w14:paraId="7AEA17BB" w14:textId="32942F75">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Fully Met</w:t>
            </w:r>
          </w:p>
          <w:p w:rsidR="004E5913" w:rsidRPr="00990D3B" w:rsidP="00BB2520" w14:paraId="019D4976" w14:textId="30CB1836">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4E5913" w:rsidRPr="00990D3B" w:rsidP="00BB2520" w14:paraId="0A17F655" w14:textId="709C09A8">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4E5913" w:rsidRPr="00990D3B" w:rsidP="00BB2520" w14:paraId="5451D2C7" w14:textId="052B273A">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4E5913" w:rsidRPr="00990D3B" w:rsidP="00BB2520" w14:paraId="620FEE9A" w14:textId="1000E6C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BE2565" w:rsidRPr="00990D3B" w:rsidP="00BB2520" w14:paraId="6FAF3F20" w14:textId="6C52316F">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sidR="004E5913">
              <w:rPr>
                <w:color w:val="000000" w:themeColor="text1"/>
                <w:sz w:val="16"/>
                <w:szCs w:val="16"/>
              </w:rPr>
              <w:t>Not Applicable</w:t>
            </w:r>
          </w:p>
          <w:p w:rsidR="006C375B" w:rsidRPr="00990D3B" w:rsidP="00A860BB" w14:paraId="5A7B52D5" w14:textId="58BADEF9">
            <w:pPr>
              <w:pStyle w:val="EQRTableText"/>
              <w:spacing w:line="240" w:lineRule="auto"/>
              <w:rPr>
                <w:color w:val="000000" w:themeColor="text1"/>
                <w:sz w:val="16"/>
                <w:szCs w:val="16"/>
              </w:rPr>
            </w:pPr>
            <w:r w:rsidRPr="00990D3B">
              <w:rPr>
                <w:sz w:val="16"/>
                <w:szCs w:val="16"/>
              </w:rPr>
              <w:t>Reviewer Notes:</w:t>
            </w:r>
          </w:p>
        </w:tc>
      </w:tr>
      <w:tr w14:paraId="2EB46756" w14:textId="77777777" w:rsidTr="006174D5">
        <w:tblPrEx>
          <w:tblW w:w="5000" w:type="pct"/>
          <w:tblLook w:val="04A0"/>
        </w:tblPrEx>
        <w:trPr>
          <w:cantSplit/>
        </w:trPr>
        <w:tc>
          <w:tcPr>
            <w:tcW w:w="1249" w:type="pct"/>
          </w:tcPr>
          <w:p w:rsidR="004A2A4F" w:rsidRPr="00990D3B" w:rsidP="004A2A4F" w14:paraId="5C0E206C" w14:textId="77777777">
            <w:pPr>
              <w:pStyle w:val="EQRTableText"/>
              <w:spacing w:line="240" w:lineRule="auto"/>
              <w:rPr>
                <w:b/>
                <w:color w:val="000000" w:themeColor="text1"/>
                <w:sz w:val="16"/>
                <w:szCs w:val="16"/>
              </w:rPr>
            </w:pPr>
            <w:r w:rsidRPr="00990D3B">
              <w:rPr>
                <w:b/>
                <w:color w:val="000000" w:themeColor="text1"/>
                <w:sz w:val="16"/>
                <w:szCs w:val="16"/>
              </w:rPr>
              <w:t>Health information systems</w:t>
            </w:r>
          </w:p>
          <w:p w:rsidR="004A2A4F" w:rsidRPr="00990D3B" w:rsidP="004A2A4F" w14:paraId="24FEB60A" w14:textId="77777777">
            <w:pPr>
              <w:pStyle w:val="EQRTableText"/>
              <w:spacing w:line="240" w:lineRule="auto"/>
              <w:rPr>
                <w:color w:val="000000" w:themeColor="text1"/>
                <w:sz w:val="16"/>
                <w:szCs w:val="16"/>
              </w:rPr>
            </w:pPr>
            <w:r w:rsidRPr="00990D3B">
              <w:rPr>
                <w:b/>
                <w:color w:val="000000" w:themeColor="text1"/>
                <w:sz w:val="16"/>
                <w:szCs w:val="16"/>
              </w:rPr>
              <w:t>Medicaid:</w:t>
            </w:r>
            <w:r w:rsidRPr="00990D3B">
              <w:rPr>
                <w:color w:val="000000" w:themeColor="text1"/>
                <w:sz w:val="16"/>
                <w:szCs w:val="16"/>
              </w:rPr>
              <w:t xml:space="preserve"> 42 C.F.R. 438.242 </w:t>
            </w:r>
          </w:p>
          <w:p w:rsidR="004A2A4F" w:rsidRPr="00990D3B" w:rsidP="004A2A4F" w14:paraId="4FCB4AC7" w14:textId="5A9A5933">
            <w:pPr>
              <w:pStyle w:val="EQRTableText"/>
              <w:spacing w:line="240" w:lineRule="auto"/>
              <w:rPr>
                <w:b/>
                <w:color w:val="000000" w:themeColor="text1"/>
                <w:sz w:val="16"/>
                <w:szCs w:val="16"/>
              </w:rPr>
            </w:pPr>
            <w:r w:rsidRPr="00990D3B">
              <w:rPr>
                <w:b/>
                <w:color w:val="000000" w:themeColor="text1"/>
                <w:sz w:val="16"/>
                <w:szCs w:val="16"/>
              </w:rPr>
              <w:t>CHIP:</w:t>
            </w:r>
            <w:r w:rsidRPr="00990D3B">
              <w:rPr>
                <w:color w:val="000000" w:themeColor="text1"/>
                <w:sz w:val="16"/>
                <w:szCs w:val="16"/>
              </w:rPr>
              <w:t xml:space="preserve"> 42 C.F.R. 457.1233(d)</w:t>
            </w:r>
          </w:p>
        </w:tc>
        <w:tc>
          <w:tcPr>
            <w:tcW w:w="1286" w:type="pct"/>
          </w:tcPr>
          <w:p w:rsidR="004A2A4F" w:rsidRPr="00990D3B" w:rsidP="004A2A4F" w14:paraId="4177DCE4" w14:textId="77777777">
            <w:pPr>
              <w:pStyle w:val="EQRTableTextbullet"/>
              <w:rPr>
                <w:sz w:val="16"/>
                <w:szCs w:val="16"/>
              </w:rPr>
            </w:pPr>
            <w:r w:rsidRPr="00990D3B">
              <w:rPr>
                <w:sz w:val="16"/>
                <w:szCs w:val="16"/>
              </w:rPr>
              <w:t xml:space="preserve">Information on </w:t>
            </w:r>
            <w:r w:rsidRPr="00990D3B">
              <w:rPr>
                <w:sz w:val="16"/>
                <w:szCs w:val="16"/>
              </w:rPr>
              <w:t>whether or not</w:t>
            </w:r>
            <w:r w:rsidRPr="00990D3B">
              <w:rPr>
                <w:sz w:val="16"/>
                <w:szCs w:val="16"/>
              </w:rPr>
              <w:t xml:space="preserve"> the state has required the MCP to undergo, or has otherwise received, a recent assessment of the MCP’s health information system. If the state has </w:t>
            </w:r>
            <w:r w:rsidRPr="00990D3B">
              <w:rPr>
                <w:sz w:val="16"/>
                <w:szCs w:val="16"/>
              </w:rPr>
              <w:t>required</w:t>
            </w:r>
            <w:r w:rsidRPr="00990D3B">
              <w:rPr>
                <w:sz w:val="16"/>
                <w:szCs w:val="16"/>
              </w:rPr>
              <w:t xml:space="preserve"> or received such an assessment, obtain a copy of the information system assessment from the state or the MCP. Also obtain contact information about the person or entity that conducted the assessment and to whom follow-up questions may be addressed.</w:t>
            </w:r>
          </w:p>
          <w:p w:rsidR="004A2A4F" w:rsidRPr="00990D3B" w:rsidP="004A2A4F" w14:paraId="2E61FBE8" w14:textId="77777777">
            <w:pPr>
              <w:pStyle w:val="EQRTableTextbullet"/>
              <w:rPr>
                <w:sz w:val="16"/>
                <w:szCs w:val="16"/>
              </w:rPr>
            </w:pPr>
            <w:r w:rsidRPr="00990D3B">
              <w:rPr>
                <w:sz w:val="16"/>
                <w:szCs w:val="16"/>
              </w:rPr>
              <w:t>State specifications for data on enrollee and provider characteristics that must be collected by the MCP.</w:t>
            </w:r>
          </w:p>
          <w:p w:rsidR="004A2A4F" w:rsidRPr="00990D3B" w:rsidP="004A2A4F" w14:paraId="56CDEB1D" w14:textId="77777777">
            <w:pPr>
              <w:pStyle w:val="EQRTableTextbullet"/>
              <w:rPr>
                <w:sz w:val="16"/>
                <w:szCs w:val="16"/>
              </w:rPr>
            </w:pPr>
            <w:r w:rsidRPr="00990D3B">
              <w:rPr>
                <w:sz w:val="16"/>
                <w:szCs w:val="16"/>
              </w:rPr>
              <w:t xml:space="preserve">Information on </w:t>
            </w:r>
            <w:r w:rsidRPr="00990D3B">
              <w:rPr>
                <w:sz w:val="16"/>
                <w:szCs w:val="16"/>
              </w:rPr>
              <w:t>whether or not</w:t>
            </w:r>
            <w:r w:rsidRPr="00990D3B">
              <w:rPr>
                <w:sz w:val="16"/>
                <w:szCs w:val="16"/>
              </w:rPr>
              <w:t xml:space="preserve"> the state has conducted a recent review and validation of the MCP’s encounter data, or required the MCP to undergo, or has otherwise received, a recent validation of the MCP’s encounter data. If the state has </w:t>
            </w:r>
            <w:r w:rsidRPr="00990D3B">
              <w:rPr>
                <w:sz w:val="16"/>
                <w:szCs w:val="16"/>
              </w:rPr>
              <w:t>required</w:t>
            </w:r>
            <w:r w:rsidRPr="00990D3B">
              <w:rPr>
                <w:sz w:val="16"/>
                <w:szCs w:val="16"/>
              </w:rPr>
              <w:t xml:space="preserve"> or received such a validation review, obtain a copy of the review from the state or the MCP. Also obtain contact information about the person or entity that conducted the validation and to whom follow-up questions may be addressed.</w:t>
            </w:r>
          </w:p>
          <w:p w:rsidR="004A2A4F" w:rsidRPr="00990D3B" w:rsidP="004A2A4F" w14:paraId="45009001" w14:textId="77777777">
            <w:pPr>
              <w:pStyle w:val="EQRTableTextbullet"/>
              <w:rPr>
                <w:sz w:val="16"/>
                <w:szCs w:val="16"/>
              </w:rPr>
            </w:pPr>
          </w:p>
        </w:tc>
        <w:tc>
          <w:tcPr>
            <w:tcW w:w="1251" w:type="pct"/>
          </w:tcPr>
          <w:p w:rsidR="004A2A4F" w:rsidRPr="00990D3B" w:rsidP="004A2A4F" w14:paraId="55D4F83E" w14:textId="77777777">
            <w:pPr>
              <w:pStyle w:val="EQRTableTextbullet"/>
              <w:rPr>
                <w:sz w:val="16"/>
                <w:szCs w:val="16"/>
              </w:rPr>
            </w:pPr>
            <w:r w:rsidRPr="00990D3B">
              <w:rPr>
                <w:sz w:val="16"/>
                <w:szCs w:val="16"/>
              </w:rPr>
              <w:t>QAPI project descriptions, including data sources and data audit results (AM)</w:t>
            </w:r>
          </w:p>
          <w:p w:rsidR="004A2A4F" w:rsidRPr="00990D3B" w:rsidP="004A2A4F" w14:paraId="66444F51" w14:textId="77777777">
            <w:pPr>
              <w:pStyle w:val="EQRTableTextbullet"/>
              <w:rPr>
                <w:sz w:val="16"/>
                <w:szCs w:val="16"/>
              </w:rPr>
            </w:pPr>
            <w:r w:rsidRPr="00990D3B">
              <w:rPr>
                <w:sz w:val="16"/>
                <w:szCs w:val="16"/>
              </w:rPr>
              <w:t>Medicaid and CHIP and other enrollee grievance and appeals data (AM)</w:t>
            </w:r>
          </w:p>
          <w:p w:rsidR="004A2A4F" w:rsidRPr="00990D3B" w:rsidP="004A2A4F" w14:paraId="65A3CCBC" w14:textId="77777777">
            <w:pPr>
              <w:pStyle w:val="EQRTableTextbullet"/>
              <w:rPr>
                <w:sz w:val="16"/>
                <w:szCs w:val="16"/>
              </w:rPr>
            </w:pPr>
            <w:r w:rsidRPr="00990D3B">
              <w:rPr>
                <w:sz w:val="16"/>
                <w:szCs w:val="16"/>
              </w:rPr>
              <w:t>Analytic reports of service utilization (UM)</w:t>
            </w:r>
          </w:p>
          <w:p w:rsidR="004A2A4F" w:rsidRPr="00990D3B" w:rsidP="004A2A4F" w14:paraId="57F2413B" w14:textId="77777777">
            <w:pPr>
              <w:pStyle w:val="EQRTableTextbullet"/>
              <w:rPr>
                <w:sz w:val="16"/>
                <w:szCs w:val="16"/>
              </w:rPr>
            </w:pPr>
            <w:r w:rsidRPr="00990D3B">
              <w:rPr>
                <w:sz w:val="16"/>
                <w:szCs w:val="16"/>
              </w:rPr>
              <w:t>Information systems capability assessment reports (IS)</w:t>
            </w:r>
          </w:p>
          <w:p w:rsidR="004A2A4F" w:rsidRPr="00990D3B" w:rsidP="004A2A4F" w14:paraId="03BD54B8" w14:textId="77777777">
            <w:pPr>
              <w:pStyle w:val="EQRTableTextbullet"/>
              <w:rPr>
                <w:sz w:val="16"/>
                <w:szCs w:val="16"/>
              </w:rPr>
            </w:pPr>
            <w:r w:rsidRPr="00990D3B">
              <w:rPr>
                <w:sz w:val="16"/>
                <w:szCs w:val="16"/>
              </w:rPr>
              <w:t>Policies and procedures for auditing data or descriptions of other mechanisms used to check the accuracy and completeness of data (internally generated and externally generated data) information system</w:t>
            </w:r>
          </w:p>
          <w:p w:rsidR="004A2A4F" w:rsidRPr="00990D3B" w:rsidP="004A2A4F" w14:paraId="1167D9FC" w14:textId="77777777">
            <w:pPr>
              <w:pStyle w:val="EQRTableTextbullet"/>
              <w:rPr>
                <w:sz w:val="16"/>
                <w:szCs w:val="16"/>
              </w:rPr>
            </w:pPr>
            <w:r w:rsidRPr="00990D3B">
              <w:rPr>
                <w:sz w:val="16"/>
                <w:szCs w:val="16"/>
              </w:rPr>
              <w:t>Completed audits of data or other evidence of data monitoring for accuracy and completeness both for MCP data and information system</w:t>
            </w:r>
          </w:p>
          <w:p w:rsidR="004A2A4F" w:rsidRPr="00990D3B" w:rsidP="004A2A4F" w14:paraId="5822426E" w14:textId="77777777">
            <w:pPr>
              <w:pStyle w:val="EQRTableTextbullet"/>
              <w:rPr>
                <w:sz w:val="16"/>
                <w:szCs w:val="16"/>
              </w:rPr>
            </w:pPr>
            <w:r w:rsidRPr="00990D3B">
              <w:rPr>
                <w:sz w:val="16"/>
                <w:szCs w:val="16"/>
              </w:rPr>
              <w:t>Provider/Contractor Services policies and procedures manuals (PS)</w:t>
            </w:r>
          </w:p>
          <w:p w:rsidR="004A2A4F" w:rsidRPr="00990D3B" w:rsidP="004A2A4F" w14:paraId="41A15CCA" w14:textId="355B6468">
            <w:pPr>
              <w:pStyle w:val="EQRTableTextbullet"/>
              <w:rPr>
                <w:sz w:val="16"/>
                <w:szCs w:val="16"/>
              </w:rPr>
            </w:pPr>
            <w:r w:rsidRPr="00990D3B">
              <w:rPr>
                <w:sz w:val="16"/>
                <w:szCs w:val="16"/>
              </w:rPr>
              <w:t>Provider contracts (PS)</w:t>
            </w:r>
          </w:p>
        </w:tc>
        <w:tc>
          <w:tcPr>
            <w:tcW w:w="1214" w:type="pct"/>
          </w:tcPr>
          <w:p w:rsidR="004A2A4F" w:rsidRPr="00990D3B" w:rsidP="004A2A4F" w14:paraId="0E27B995" w14:textId="77777777">
            <w:pPr>
              <w:pStyle w:val="EQRTableText"/>
              <w:spacing w:line="240" w:lineRule="auto"/>
              <w:rPr>
                <w:b/>
                <w:color w:val="000000" w:themeColor="text1"/>
                <w:sz w:val="16"/>
                <w:szCs w:val="16"/>
              </w:rPr>
            </w:pPr>
            <w:r w:rsidRPr="00990D3B">
              <w:rPr>
                <w:b/>
                <w:color w:val="000000" w:themeColor="text1"/>
                <w:sz w:val="16"/>
                <w:szCs w:val="16"/>
              </w:rPr>
              <w:t xml:space="preserve">Medicaid: </w:t>
            </w:r>
          </w:p>
          <w:p w:rsidR="004A2A4F" w:rsidRPr="00990D3B" w:rsidP="004A2A4F" w14:paraId="25074DC4"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Fully Met</w:t>
            </w:r>
          </w:p>
          <w:p w:rsidR="004A2A4F" w:rsidRPr="00990D3B" w:rsidP="004A2A4F" w14:paraId="243F1A5E"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Substantially Met</w:t>
            </w:r>
          </w:p>
          <w:p w:rsidR="004A2A4F" w:rsidRPr="00990D3B" w:rsidP="004A2A4F" w14:paraId="23E34A89"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Partially Met</w:t>
            </w:r>
          </w:p>
          <w:p w:rsidR="004A2A4F" w:rsidRPr="00990D3B" w:rsidP="004A2A4F" w14:paraId="61AF410F"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4A2A4F" w:rsidRPr="00990D3B" w:rsidP="004A2A4F" w14:paraId="1B5FCDBE"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4A2A4F" w:rsidRPr="00990D3B" w:rsidP="004A2A4F" w14:paraId="4564BE13" w14:textId="77777777">
            <w:pPr>
              <w:pStyle w:val="EQRTableText"/>
              <w:spacing w:line="240" w:lineRule="auto"/>
              <w:rPr>
                <w:color w:val="000000" w:themeColor="text1"/>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color w:val="000000" w:themeColor="text1"/>
                <w:sz w:val="16"/>
                <w:szCs w:val="16"/>
              </w:rPr>
              <w:t>Not Applicable</w:t>
            </w:r>
          </w:p>
          <w:p w:rsidR="004A2A4F" w:rsidRPr="00990D3B" w:rsidP="004A2A4F" w14:paraId="44DCC6C1" w14:textId="77777777">
            <w:pPr>
              <w:pStyle w:val="EQRTableText"/>
              <w:spacing w:line="240" w:lineRule="auto"/>
              <w:rPr>
                <w:sz w:val="16"/>
                <w:szCs w:val="16"/>
              </w:rPr>
            </w:pPr>
            <w:r w:rsidRPr="00990D3B">
              <w:rPr>
                <w:sz w:val="16"/>
                <w:szCs w:val="16"/>
              </w:rPr>
              <w:t>Reviewer Notes:</w:t>
            </w:r>
          </w:p>
          <w:p w:rsidR="004A2A4F" w:rsidRPr="00990D3B" w:rsidP="004A2A4F" w14:paraId="64C1AA82" w14:textId="77777777">
            <w:pPr>
              <w:pStyle w:val="EQRTableText"/>
              <w:spacing w:line="240" w:lineRule="auto"/>
              <w:rPr>
                <w:b/>
                <w:color w:val="000000" w:themeColor="text1"/>
                <w:sz w:val="16"/>
                <w:szCs w:val="16"/>
              </w:rPr>
            </w:pPr>
            <w:r w:rsidRPr="00990D3B">
              <w:rPr>
                <w:b/>
                <w:color w:val="000000" w:themeColor="text1"/>
                <w:sz w:val="16"/>
                <w:szCs w:val="16"/>
              </w:rPr>
              <w:t>CHIP:</w:t>
            </w:r>
          </w:p>
          <w:p w:rsidR="004A2A4F" w:rsidRPr="00990D3B" w:rsidP="004A2A4F" w14:paraId="74B7399B" w14:textId="77777777">
            <w:pPr>
              <w:pStyle w:val="EQRTableText"/>
              <w:spacing w:line="240" w:lineRule="auto"/>
              <w:rPr>
                <w:color w:val="000000" w:themeColor="text1"/>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color w:val="000000" w:themeColor="text1"/>
                <w:sz w:val="16"/>
                <w:szCs w:val="16"/>
              </w:rPr>
              <w:t>Fully Met</w:t>
            </w:r>
          </w:p>
          <w:p w:rsidR="004A2A4F" w:rsidRPr="00990D3B" w:rsidP="004A2A4F" w14:paraId="3429DD3B" w14:textId="77777777">
            <w:pPr>
              <w:pStyle w:val="EQRTableText"/>
              <w:spacing w:line="240" w:lineRule="auto"/>
              <w:rPr>
                <w:color w:val="000000" w:themeColor="text1"/>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color w:val="000000" w:themeColor="text1"/>
                <w:sz w:val="16"/>
                <w:szCs w:val="16"/>
              </w:rPr>
              <w:t>Substantially Met</w:t>
            </w:r>
          </w:p>
          <w:p w:rsidR="004A2A4F" w:rsidRPr="00990D3B" w:rsidP="004A2A4F" w14:paraId="4518E5E4" w14:textId="77777777">
            <w:pPr>
              <w:pStyle w:val="EQRTableText"/>
              <w:spacing w:line="240" w:lineRule="auto"/>
              <w:rPr>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sz w:val="16"/>
                <w:szCs w:val="16"/>
              </w:rPr>
              <w:t>Partially Met</w:t>
            </w:r>
          </w:p>
          <w:p w:rsidR="004A2A4F" w:rsidRPr="00990D3B" w:rsidP="004A2A4F" w14:paraId="67384447"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Minimally Met</w:t>
            </w:r>
          </w:p>
          <w:p w:rsidR="004A2A4F" w:rsidRPr="00990D3B" w:rsidP="004A2A4F" w14:paraId="74A03992" w14:textId="77777777">
            <w:pPr>
              <w:pStyle w:val="EQRTableText"/>
              <w:spacing w:line="240" w:lineRule="auto"/>
              <w:rPr>
                <w:color w:val="000000" w:themeColor="text1"/>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color w:val="000000" w:themeColor="text1"/>
                <w:sz w:val="16"/>
                <w:szCs w:val="16"/>
              </w:rPr>
              <w:t>Not Met</w:t>
            </w:r>
          </w:p>
          <w:p w:rsidR="004A2A4F" w:rsidRPr="00990D3B" w:rsidP="004A2A4F" w14:paraId="41CD97D1" w14:textId="77777777">
            <w:pPr>
              <w:pStyle w:val="EQRTableText"/>
              <w:spacing w:line="240" w:lineRule="auto"/>
              <w:rPr>
                <w:color w:val="000000" w:themeColor="text1"/>
                <w:sz w:val="16"/>
                <w:szCs w:val="16"/>
              </w:rPr>
            </w:pPr>
            <w:r w:rsidRPr="00990D3B">
              <w:rPr>
                <w:sz w:val="16"/>
                <w:szCs w:val="16"/>
              </w:rPr>
              <w:fldChar w:fldCharType="begin">
                <w:ffData>
                  <w:name w:val="Check1"/>
                  <w:enabled/>
                  <w:calcOnExit w:val="0"/>
                  <w:checkBox>
                    <w:sizeAuto/>
                    <w:default w:val="0"/>
                  </w:checkBox>
                </w:ffData>
              </w:fldChar>
            </w:r>
            <w:r w:rsidRPr="00990D3B">
              <w:rPr>
                <w:sz w:val="16"/>
                <w:szCs w:val="16"/>
              </w:rPr>
              <w:instrText xml:space="preserve"> FORMCHECKBOX </w:instrText>
            </w:r>
            <w:r w:rsidRPr="00990D3B">
              <w:rPr>
                <w:sz w:val="16"/>
                <w:szCs w:val="16"/>
              </w:rPr>
              <w:fldChar w:fldCharType="separate"/>
            </w:r>
            <w:r w:rsidRPr="00990D3B">
              <w:rPr>
                <w:sz w:val="16"/>
                <w:szCs w:val="16"/>
              </w:rPr>
              <w:fldChar w:fldCharType="end"/>
            </w:r>
            <w:r w:rsidRPr="00990D3B">
              <w:rPr>
                <w:color w:val="000000" w:themeColor="text1"/>
                <w:sz w:val="16"/>
                <w:szCs w:val="16"/>
              </w:rPr>
              <w:t>Not Applicable</w:t>
            </w:r>
          </w:p>
          <w:p w:rsidR="004A2A4F" w:rsidRPr="00990D3B" w:rsidP="004A2A4F" w14:paraId="667196D5" w14:textId="0745F77C">
            <w:pPr>
              <w:pStyle w:val="EQRTableText"/>
              <w:spacing w:line="240" w:lineRule="auto"/>
              <w:rPr>
                <w:b/>
                <w:color w:val="000000" w:themeColor="text1"/>
                <w:sz w:val="16"/>
                <w:szCs w:val="16"/>
              </w:rPr>
            </w:pPr>
            <w:r w:rsidRPr="00990D3B">
              <w:rPr>
                <w:sz w:val="16"/>
                <w:szCs w:val="16"/>
              </w:rPr>
              <w:t>Reviewer Notes:</w:t>
            </w:r>
          </w:p>
        </w:tc>
      </w:tr>
      <w:tr w14:paraId="016A5B58" w14:textId="77777777" w:rsidTr="006174D5">
        <w:tblPrEx>
          <w:tblW w:w="5000" w:type="pct"/>
          <w:tblLook w:val="04A0"/>
        </w:tblPrEx>
        <w:trPr>
          <w:cantSplit/>
        </w:trPr>
        <w:tc>
          <w:tcPr>
            <w:tcW w:w="1249" w:type="pct"/>
          </w:tcPr>
          <w:p w:rsidR="004A2A4F" w:rsidRPr="00990D3B" w:rsidP="004A2A4F" w14:paraId="5B16D980" w14:textId="603E9605">
            <w:pPr>
              <w:pStyle w:val="EQRTableText"/>
              <w:spacing w:line="240" w:lineRule="auto"/>
              <w:rPr>
                <w:color w:val="000000" w:themeColor="text1"/>
                <w:sz w:val="16"/>
                <w:szCs w:val="16"/>
              </w:rPr>
            </w:pPr>
          </w:p>
        </w:tc>
        <w:tc>
          <w:tcPr>
            <w:tcW w:w="1286" w:type="pct"/>
          </w:tcPr>
          <w:p w:rsidR="004A2A4F" w:rsidRPr="00990D3B" w:rsidP="004A2A4F" w14:paraId="520335A7" w14:textId="77777777">
            <w:pPr>
              <w:pStyle w:val="EQRTableTextbullet"/>
              <w:rPr>
                <w:sz w:val="16"/>
                <w:szCs w:val="16"/>
              </w:rPr>
            </w:pPr>
            <w:r w:rsidRPr="00990D3B">
              <w:rPr>
                <w:sz w:val="16"/>
                <w:szCs w:val="16"/>
              </w:rPr>
              <w:t>State specifications for how MCPs are to (1) collect data elements necessary to enable the mechanized claims processing retrieval systems to provide for electronic transmission of claims data in the format consistent with the Transformed Medicaid Statistical Information System (T-MSIS); (2) collect and transmit data on enrollee and provider characteristics specified by the state, on all services furnished to enrollees through an encounter data system; and (3) Ensure that data received from providers is accurate and complete.</w:t>
            </w:r>
          </w:p>
          <w:p w:rsidR="004A2A4F" w:rsidRPr="00990D3B" w:rsidP="004A2A4F" w14:paraId="602E3B51" w14:textId="0AAF63E8">
            <w:pPr>
              <w:pStyle w:val="EQRTableTextbullet"/>
              <w:rPr>
                <w:sz w:val="16"/>
                <w:szCs w:val="16"/>
              </w:rPr>
            </w:pPr>
            <w:r w:rsidRPr="00990D3B">
              <w:rPr>
                <w:sz w:val="16"/>
                <w:szCs w:val="16"/>
              </w:rPr>
              <w:t>Specifications for submitting encounter data to the Medicaid and CHIP program in standardized ASC X12N 837 and NCPDP formats, and the ASC X12N 835 format.</w:t>
            </w:r>
          </w:p>
          <w:p w:rsidR="004A2A4F" w:rsidRPr="00990D3B" w:rsidP="004A2A4F" w14:paraId="68A68D4E" w14:textId="77777777">
            <w:pPr>
              <w:pStyle w:val="EQRTableTextbullet"/>
              <w:rPr>
                <w:sz w:val="16"/>
                <w:szCs w:val="16"/>
              </w:rPr>
            </w:pPr>
            <w:r w:rsidRPr="00990D3B">
              <w:rPr>
                <w:sz w:val="16"/>
                <w:szCs w:val="16"/>
              </w:rPr>
              <w:t>Make all collected data available to the state and upon request to CMS.</w:t>
            </w:r>
          </w:p>
          <w:p w:rsidR="004A2A4F" w:rsidRPr="00990D3B" w:rsidP="004A2A4F" w14:paraId="5887E557" w14:textId="77777777">
            <w:pPr>
              <w:pStyle w:val="EQRTableTextbullet"/>
              <w:rPr>
                <w:sz w:val="16"/>
                <w:szCs w:val="16"/>
              </w:rPr>
            </w:pPr>
            <w:r w:rsidRPr="00990D3B">
              <w:rPr>
                <w:sz w:val="16"/>
                <w:szCs w:val="16"/>
              </w:rPr>
              <w:t xml:space="preserve">The state’s procedures and quality assurance protocols to ensure that </w:t>
            </w:r>
            <w:r w:rsidRPr="00990D3B">
              <w:rPr>
                <w:sz w:val="16"/>
                <w:szCs w:val="16"/>
              </w:rPr>
              <w:t>enrollee</w:t>
            </w:r>
            <w:r w:rsidRPr="00990D3B">
              <w:rPr>
                <w:sz w:val="16"/>
                <w:szCs w:val="16"/>
              </w:rPr>
              <w:t xml:space="preserve"> encounter data submitted by the MCP is a complete and accurate representation of the services provided to its enrollees.</w:t>
            </w:r>
          </w:p>
        </w:tc>
        <w:tc>
          <w:tcPr>
            <w:tcW w:w="1251" w:type="pct"/>
          </w:tcPr>
          <w:p w:rsidR="004A2A4F" w:rsidRPr="00990D3B" w:rsidP="004A2A4F" w14:paraId="1F87600E" w14:textId="5D888488">
            <w:pPr>
              <w:pStyle w:val="EQRTableTextbullet"/>
              <w:rPr>
                <w:sz w:val="16"/>
                <w:szCs w:val="16"/>
              </w:rPr>
            </w:pPr>
          </w:p>
        </w:tc>
        <w:tc>
          <w:tcPr>
            <w:tcW w:w="1214" w:type="pct"/>
          </w:tcPr>
          <w:p w:rsidR="004A2A4F" w:rsidRPr="00990D3B" w:rsidP="004A2A4F" w14:paraId="3B45D788" w14:textId="4691AC37">
            <w:pPr>
              <w:pStyle w:val="EQRTableText"/>
              <w:spacing w:line="240" w:lineRule="auto"/>
              <w:rPr>
                <w:sz w:val="16"/>
                <w:szCs w:val="16"/>
              </w:rPr>
            </w:pPr>
          </w:p>
        </w:tc>
      </w:tr>
    </w:tbl>
    <w:p w:rsidR="004E5913" w:rsidRPr="00990D3B" w:rsidP="00BD1FC3" w14:paraId="683EF7C3" w14:textId="77777777">
      <w:pPr>
        <w:pStyle w:val="Anchor"/>
        <w:rPr>
          <w:sz w:val="16"/>
          <w:szCs w:val="16"/>
        </w:rPr>
      </w:pPr>
    </w:p>
    <w:p w:rsidR="00E07DE2" w14:paraId="633070E1" w14:textId="18805B1A">
      <w:pPr>
        <w:spacing w:line="240" w:lineRule="auto"/>
        <w:rPr>
          <w:rFonts w:ascii="Arial" w:eastAsia="Calibri" w:hAnsi="Arial"/>
          <w:sz w:val="18"/>
          <w:szCs w:val="18"/>
        </w:rPr>
      </w:pPr>
      <w:r>
        <w:br w:type="page"/>
      </w:r>
    </w:p>
    <w:p w:rsidR="007719A7" w:rsidRPr="00E62C9D" w14:paraId="0F33BD34" w14:textId="2AC43290">
      <w:pPr>
        <w:pStyle w:val="MarkforTableTitle"/>
      </w:pPr>
      <w:r w:rsidRPr="00E07DE2">
        <w:rPr>
          <w:rFonts w:eastAsia="Calibri"/>
        </w:rPr>
        <w:t>Quality Assessment and Performance Improvement Program</w:t>
      </w:r>
    </w:p>
    <w:tbl>
      <w:tblPr>
        <w:tblStyle w:val="TableGrid"/>
        <w:tblW w:w="5436" w:type="pct"/>
        <w:tblLayout w:type="fixed"/>
        <w:tblCellMar>
          <w:left w:w="115" w:type="dxa"/>
          <w:right w:w="115" w:type="dxa"/>
        </w:tblCellMar>
        <w:tblLook w:val="04A0"/>
      </w:tblPr>
      <w:tblGrid>
        <w:gridCol w:w="2361"/>
        <w:gridCol w:w="3989"/>
        <w:gridCol w:w="4488"/>
        <w:gridCol w:w="3241"/>
      </w:tblGrid>
      <w:tr w14:paraId="3177AA3D" w14:textId="77777777" w:rsidTr="00E07DE2">
        <w:tblPrEx>
          <w:tblW w:w="5436" w:type="pct"/>
          <w:tblLayout w:type="fixed"/>
          <w:tblCellMar>
            <w:left w:w="115" w:type="dxa"/>
            <w:right w:w="115" w:type="dxa"/>
          </w:tblCellMar>
          <w:tblLook w:val="04A0"/>
        </w:tblPrEx>
        <w:trPr>
          <w:cantSplit/>
          <w:tblHeader/>
        </w:trPr>
        <w:tc>
          <w:tcPr>
            <w:tcW w:w="2361" w:type="dxa"/>
            <w:vAlign w:val="bottom"/>
          </w:tcPr>
          <w:p w:rsidR="00B1390D" w:rsidRPr="00990D3B" w:rsidP="00151B77" w14:paraId="7FD51740" w14:textId="41C73234">
            <w:pPr>
              <w:pStyle w:val="EQRTableHeaderLeft"/>
              <w:rPr>
                <w:color w:val="auto"/>
                <w:sz w:val="16"/>
                <w:szCs w:val="16"/>
              </w:rPr>
            </w:pPr>
            <w:r w:rsidRPr="00990D3B">
              <w:rPr>
                <w:color w:val="auto"/>
                <w:sz w:val="16"/>
                <w:szCs w:val="16"/>
              </w:rPr>
              <w:t xml:space="preserve">Federal </w:t>
            </w:r>
            <w:r w:rsidRPr="00990D3B" w:rsidR="00B421C5">
              <w:rPr>
                <w:color w:val="auto"/>
                <w:sz w:val="16"/>
                <w:szCs w:val="16"/>
              </w:rPr>
              <w:t>R</w:t>
            </w:r>
            <w:r w:rsidRPr="00990D3B">
              <w:rPr>
                <w:color w:val="auto"/>
                <w:sz w:val="16"/>
                <w:szCs w:val="16"/>
              </w:rPr>
              <w:t xml:space="preserve">egulation </w:t>
            </w:r>
            <w:r w:rsidRPr="00990D3B" w:rsidR="00D62A7F">
              <w:rPr>
                <w:color w:val="auto"/>
                <w:sz w:val="16"/>
                <w:szCs w:val="16"/>
              </w:rPr>
              <w:t>S</w:t>
            </w:r>
            <w:r w:rsidRPr="00990D3B">
              <w:rPr>
                <w:color w:val="auto"/>
                <w:sz w:val="16"/>
                <w:szCs w:val="16"/>
              </w:rPr>
              <w:t>ource(s)</w:t>
            </w:r>
          </w:p>
        </w:tc>
        <w:tc>
          <w:tcPr>
            <w:tcW w:w="3989" w:type="dxa"/>
            <w:vAlign w:val="bottom"/>
          </w:tcPr>
          <w:p w:rsidR="00B1390D" w:rsidRPr="00990D3B" w:rsidP="00BD1FC3" w14:paraId="2CE9E9C3" w14:textId="09877005">
            <w:pPr>
              <w:pStyle w:val="EQRTableHeaderCenter"/>
              <w:rPr>
                <w:color w:val="000000" w:themeColor="text1"/>
                <w:sz w:val="16"/>
                <w:szCs w:val="16"/>
              </w:rPr>
            </w:pPr>
            <w:r w:rsidRPr="00990D3B">
              <w:rPr>
                <w:color w:val="000000" w:themeColor="text1"/>
                <w:sz w:val="16"/>
                <w:szCs w:val="16"/>
              </w:rPr>
              <w:t xml:space="preserve">State </w:t>
            </w:r>
            <w:r w:rsidRPr="00990D3B" w:rsidR="00D62A7F">
              <w:rPr>
                <w:color w:val="000000" w:themeColor="text1"/>
                <w:sz w:val="16"/>
                <w:szCs w:val="16"/>
              </w:rPr>
              <w:t>P</w:t>
            </w:r>
            <w:r w:rsidRPr="00990D3B">
              <w:rPr>
                <w:color w:val="000000" w:themeColor="text1"/>
                <w:sz w:val="16"/>
                <w:szCs w:val="16"/>
              </w:rPr>
              <w:t>olicy/</w:t>
            </w:r>
            <w:r w:rsidRPr="00990D3B" w:rsidR="00D62A7F">
              <w:rPr>
                <w:color w:val="000000" w:themeColor="text1"/>
                <w:sz w:val="16"/>
                <w:szCs w:val="16"/>
              </w:rPr>
              <w:t>R</w:t>
            </w:r>
            <w:r w:rsidRPr="00990D3B">
              <w:rPr>
                <w:color w:val="000000" w:themeColor="text1"/>
                <w:sz w:val="16"/>
                <w:szCs w:val="16"/>
              </w:rPr>
              <w:t xml:space="preserve">egulation </w:t>
            </w:r>
            <w:r w:rsidRPr="00990D3B" w:rsidR="00D62A7F">
              <w:rPr>
                <w:color w:val="000000" w:themeColor="text1"/>
                <w:sz w:val="16"/>
                <w:szCs w:val="16"/>
              </w:rPr>
              <w:t>I</w:t>
            </w:r>
            <w:r w:rsidRPr="00990D3B">
              <w:rPr>
                <w:color w:val="000000" w:themeColor="text1"/>
                <w:sz w:val="16"/>
                <w:szCs w:val="16"/>
              </w:rPr>
              <w:t xml:space="preserve">nformation </w:t>
            </w:r>
            <w:r w:rsidRPr="00990D3B" w:rsidR="00D62A7F">
              <w:rPr>
                <w:color w:val="000000" w:themeColor="text1"/>
                <w:sz w:val="16"/>
                <w:szCs w:val="16"/>
              </w:rPr>
              <w:t>N</w:t>
            </w:r>
            <w:r w:rsidRPr="00990D3B">
              <w:rPr>
                <w:color w:val="000000" w:themeColor="text1"/>
                <w:sz w:val="16"/>
                <w:szCs w:val="16"/>
              </w:rPr>
              <w:t xml:space="preserve">eeded to </w:t>
            </w:r>
            <w:r w:rsidRPr="00990D3B" w:rsidR="00D62A7F">
              <w:rPr>
                <w:color w:val="000000" w:themeColor="text1"/>
                <w:sz w:val="16"/>
                <w:szCs w:val="16"/>
              </w:rPr>
              <w:t>D</w:t>
            </w:r>
            <w:r w:rsidRPr="00990D3B">
              <w:rPr>
                <w:color w:val="000000" w:themeColor="text1"/>
                <w:sz w:val="16"/>
                <w:szCs w:val="16"/>
              </w:rPr>
              <w:t xml:space="preserve">etermine MCP </w:t>
            </w:r>
            <w:r w:rsidRPr="00990D3B" w:rsidR="00D62A7F">
              <w:rPr>
                <w:color w:val="000000" w:themeColor="text1"/>
                <w:sz w:val="16"/>
                <w:szCs w:val="16"/>
              </w:rPr>
              <w:t>C</w:t>
            </w:r>
            <w:r w:rsidRPr="00990D3B">
              <w:rPr>
                <w:color w:val="000000" w:themeColor="text1"/>
                <w:sz w:val="16"/>
                <w:szCs w:val="16"/>
              </w:rPr>
              <w:t>ompliance</w:t>
            </w:r>
          </w:p>
        </w:tc>
        <w:tc>
          <w:tcPr>
            <w:tcW w:w="4488" w:type="dxa"/>
            <w:vAlign w:val="bottom"/>
          </w:tcPr>
          <w:p w:rsidR="00B1390D" w:rsidRPr="00990D3B" w:rsidP="00BD1FC3" w14:paraId="24B9ACE4" w14:textId="2BE11E33">
            <w:pPr>
              <w:pStyle w:val="EQRTableHeaderCenter"/>
              <w:rPr>
                <w:color w:val="000000" w:themeColor="text1"/>
                <w:sz w:val="16"/>
                <w:szCs w:val="16"/>
              </w:rPr>
            </w:pPr>
            <w:r w:rsidRPr="00990D3B">
              <w:rPr>
                <w:color w:val="000000" w:themeColor="text1"/>
                <w:sz w:val="16"/>
                <w:szCs w:val="16"/>
              </w:rPr>
              <w:t xml:space="preserve">Applicable MCP </w:t>
            </w:r>
            <w:r w:rsidRPr="00990D3B" w:rsidR="00D62A7F">
              <w:rPr>
                <w:color w:val="000000" w:themeColor="text1"/>
                <w:sz w:val="16"/>
                <w:szCs w:val="16"/>
              </w:rPr>
              <w:t>D</w:t>
            </w:r>
            <w:r w:rsidRPr="00990D3B">
              <w:rPr>
                <w:color w:val="000000" w:themeColor="text1"/>
                <w:sz w:val="16"/>
                <w:szCs w:val="16"/>
              </w:rPr>
              <w:t>ocuments</w:t>
            </w:r>
          </w:p>
        </w:tc>
        <w:tc>
          <w:tcPr>
            <w:tcW w:w="3241" w:type="dxa"/>
            <w:vAlign w:val="bottom"/>
          </w:tcPr>
          <w:p w:rsidR="00B1390D" w:rsidRPr="00990D3B" w:rsidP="00BD1FC3" w14:paraId="022A7283" w14:textId="76504EB6">
            <w:pPr>
              <w:pStyle w:val="EQRTableHeaderCenter"/>
              <w:rPr>
                <w:color w:val="000000" w:themeColor="text1"/>
                <w:sz w:val="16"/>
                <w:szCs w:val="16"/>
              </w:rPr>
            </w:pPr>
            <w:r w:rsidRPr="00990D3B">
              <w:rPr>
                <w:color w:val="000000" w:themeColor="text1"/>
                <w:sz w:val="16"/>
                <w:szCs w:val="16"/>
              </w:rPr>
              <w:t xml:space="preserve">Reviewer </w:t>
            </w:r>
            <w:r w:rsidRPr="00990D3B" w:rsidR="00D62A7F">
              <w:rPr>
                <w:color w:val="000000" w:themeColor="text1"/>
                <w:sz w:val="16"/>
                <w:szCs w:val="16"/>
              </w:rPr>
              <w:t>D</w:t>
            </w:r>
            <w:r w:rsidRPr="00990D3B">
              <w:rPr>
                <w:color w:val="000000" w:themeColor="text1"/>
                <w:sz w:val="16"/>
                <w:szCs w:val="16"/>
              </w:rPr>
              <w:t>etermination</w:t>
            </w:r>
            <w:r w:rsidRPr="00990D3B" w:rsidR="00DB509D">
              <w:rPr>
                <w:color w:val="000000" w:themeColor="text1"/>
                <w:sz w:val="16"/>
                <w:szCs w:val="16"/>
              </w:rPr>
              <w:t xml:space="preserve"> </w:t>
            </w:r>
            <w:r w:rsidRPr="00990D3B" w:rsidR="00DB509D">
              <w:rPr>
                <w:bCs/>
                <w:color w:val="000000" w:themeColor="text1"/>
                <w:sz w:val="16"/>
                <w:szCs w:val="16"/>
              </w:rPr>
              <w:t>(See</w:t>
            </w:r>
            <w:r w:rsidRPr="00C55F06" w:rsidR="00DB509D">
              <w:rPr>
                <w:color w:val="auto"/>
                <w:sz w:val="16"/>
                <w:szCs w:val="16"/>
              </w:rPr>
              <w:t xml:space="preserve"> </w:t>
            </w:r>
            <w:hyperlink w:anchor="WSp3n02" w:tooltip="Worksheet 3.2" w:history="1">
              <w:r w:rsidRPr="00990D3B" w:rsidR="00DB509D">
                <w:rPr>
                  <w:rStyle w:val="Hyperlink"/>
                  <w:bCs/>
                  <w:sz w:val="16"/>
                  <w:szCs w:val="16"/>
                </w:rPr>
                <w:t>Worksheet 3.2</w:t>
              </w:r>
            </w:hyperlink>
            <w:r w:rsidRPr="00C55F06" w:rsidR="00DB509D">
              <w:rPr>
                <w:color w:val="auto"/>
                <w:sz w:val="16"/>
                <w:szCs w:val="16"/>
              </w:rPr>
              <w:t xml:space="preserve"> </w:t>
            </w:r>
            <w:r w:rsidRPr="00990D3B" w:rsidR="00DB509D">
              <w:rPr>
                <w:bCs/>
                <w:color w:val="000000" w:themeColor="text1"/>
                <w:sz w:val="16"/>
                <w:szCs w:val="16"/>
              </w:rPr>
              <w:t>for approaches to compliance scoring)</w:t>
            </w:r>
          </w:p>
        </w:tc>
      </w:tr>
      <w:tr w14:paraId="71DAFBCE" w14:textId="77777777" w:rsidTr="00E07DE2">
        <w:tblPrEx>
          <w:tblW w:w="5436" w:type="pct"/>
          <w:tblLayout w:type="fixed"/>
          <w:tblCellMar>
            <w:left w:w="115" w:type="dxa"/>
            <w:right w:w="115" w:type="dxa"/>
          </w:tblCellMar>
          <w:tblLook w:val="04A0"/>
        </w:tblPrEx>
        <w:trPr>
          <w:cantSplit/>
        </w:trPr>
        <w:tc>
          <w:tcPr>
            <w:tcW w:w="2361" w:type="dxa"/>
          </w:tcPr>
          <w:p w:rsidR="00B1390D" w:rsidRPr="00990D3B" w:rsidP="00BD1FC3" w14:paraId="56CAA4CD" w14:textId="11DDCD89">
            <w:pPr>
              <w:pStyle w:val="EQRTableText"/>
              <w:rPr>
                <w:b/>
                <w:sz w:val="16"/>
                <w:szCs w:val="16"/>
              </w:rPr>
            </w:pPr>
            <w:r w:rsidRPr="00990D3B">
              <w:rPr>
                <w:b/>
                <w:sz w:val="16"/>
                <w:szCs w:val="16"/>
              </w:rPr>
              <w:t>QAPI:</w:t>
            </w:r>
            <w:r w:rsidRPr="00990D3B">
              <w:rPr>
                <w:b/>
                <w:sz w:val="16"/>
                <w:szCs w:val="16"/>
              </w:rPr>
              <w:t xml:space="preserve"> General rules</w:t>
            </w:r>
          </w:p>
          <w:p w:rsidR="00B1390D" w:rsidRPr="00990D3B" w:rsidP="00BD1FC3" w14:paraId="3721379F" w14:textId="0522AFAE">
            <w:pPr>
              <w:pStyle w:val="EQRTableText"/>
              <w:rPr>
                <w:sz w:val="16"/>
                <w:szCs w:val="16"/>
              </w:rPr>
            </w:pPr>
            <w:r w:rsidRPr="00990D3B">
              <w:rPr>
                <w:b/>
                <w:sz w:val="16"/>
                <w:szCs w:val="16"/>
              </w:rPr>
              <w:t>Medicaid:</w:t>
            </w:r>
            <w:r w:rsidRPr="00990D3B">
              <w:rPr>
                <w:sz w:val="16"/>
                <w:szCs w:val="16"/>
              </w:rPr>
              <w:t xml:space="preserve"> </w:t>
            </w:r>
            <w:r w:rsidRPr="00990D3B" w:rsidR="001C7FC0">
              <w:rPr>
                <w:sz w:val="16"/>
                <w:szCs w:val="16"/>
              </w:rPr>
              <w:t>42 C.F.R.</w:t>
            </w:r>
            <w:r w:rsidRPr="00990D3B">
              <w:rPr>
                <w:sz w:val="16"/>
                <w:szCs w:val="16"/>
              </w:rPr>
              <w:t xml:space="preserve"> 438.330(a): General rules</w:t>
            </w:r>
          </w:p>
          <w:p w:rsidR="00B1390D" w:rsidRPr="00990D3B" w:rsidP="00BD1FC3" w14:paraId="105F9EDD" w14:textId="1EBA4E73">
            <w:pPr>
              <w:pStyle w:val="EQRTableText"/>
              <w:rPr>
                <w:sz w:val="16"/>
                <w:szCs w:val="16"/>
              </w:rPr>
            </w:pPr>
            <w:r w:rsidRPr="00990D3B">
              <w:rPr>
                <w:b/>
                <w:sz w:val="16"/>
                <w:szCs w:val="16"/>
              </w:rPr>
              <w:t>CHIP:</w:t>
            </w:r>
            <w:r w:rsidRPr="00990D3B">
              <w:rPr>
                <w:sz w:val="16"/>
                <w:szCs w:val="16"/>
              </w:rPr>
              <w:t xml:space="preserve"> </w:t>
            </w:r>
            <w:r w:rsidRPr="00990D3B" w:rsidR="001C7FC0">
              <w:rPr>
                <w:sz w:val="16"/>
                <w:szCs w:val="16"/>
              </w:rPr>
              <w:t>42 C.F.R.</w:t>
            </w:r>
            <w:r w:rsidRPr="00990D3B">
              <w:rPr>
                <w:sz w:val="16"/>
                <w:szCs w:val="16"/>
              </w:rPr>
              <w:t xml:space="preserve"> 457.1240(b): Quality assessment and performance improvement program</w:t>
            </w:r>
          </w:p>
        </w:tc>
        <w:tc>
          <w:tcPr>
            <w:tcW w:w="3989" w:type="dxa"/>
          </w:tcPr>
          <w:p w:rsidR="00B1390D" w:rsidRPr="00990D3B" w:rsidP="00E00D33" w14:paraId="3F5E3E6E" w14:textId="77777777">
            <w:pPr>
              <w:pStyle w:val="EQRTableTextbullet"/>
              <w:rPr>
                <w:sz w:val="16"/>
                <w:szCs w:val="16"/>
              </w:rPr>
            </w:pPr>
            <w:r w:rsidRPr="00990D3B">
              <w:rPr>
                <w:sz w:val="16"/>
                <w:szCs w:val="16"/>
              </w:rPr>
              <w:t>In the event that</w:t>
            </w:r>
            <w:r w:rsidRPr="00990D3B">
              <w:rPr>
                <w:sz w:val="16"/>
                <w:szCs w:val="16"/>
              </w:rPr>
              <w:t xml:space="preserve"> CMS specifies national performance measures or PIP topics, </w:t>
            </w:r>
            <w:r w:rsidRPr="00990D3B">
              <w:rPr>
                <w:sz w:val="16"/>
                <w:szCs w:val="16"/>
              </w:rPr>
              <w:t>whether or not</w:t>
            </w:r>
            <w:r w:rsidRPr="00990D3B">
              <w:rPr>
                <w:sz w:val="16"/>
                <w:szCs w:val="16"/>
              </w:rPr>
              <w:t xml:space="preserve"> the state has requested an exemption from the national performance measures or PIPs.</w:t>
            </w:r>
          </w:p>
        </w:tc>
        <w:tc>
          <w:tcPr>
            <w:tcW w:w="4488" w:type="dxa"/>
          </w:tcPr>
          <w:p w:rsidR="00B1390D" w:rsidRPr="00990D3B" w:rsidP="00E00D33" w14:paraId="65F11C3F" w14:textId="7EB85EB9">
            <w:pPr>
              <w:pStyle w:val="EQRTableTextbullet"/>
              <w:rPr>
                <w:sz w:val="16"/>
                <w:szCs w:val="16"/>
              </w:rPr>
            </w:pPr>
            <w:r w:rsidRPr="00990D3B">
              <w:rPr>
                <w:sz w:val="16"/>
                <w:szCs w:val="16"/>
              </w:rPr>
              <w:t>MCP QAPI implementation documentation (AM)</w:t>
            </w:r>
          </w:p>
        </w:tc>
        <w:tc>
          <w:tcPr>
            <w:tcW w:w="3241" w:type="dxa"/>
          </w:tcPr>
          <w:p w:rsidR="00B1390D" w:rsidRPr="00990D3B" w:rsidP="00BD1FC3" w14:paraId="6DD58C74" w14:textId="77777777">
            <w:pPr>
              <w:pStyle w:val="EQRTableText"/>
              <w:rPr>
                <w:b/>
                <w:sz w:val="16"/>
                <w:szCs w:val="16"/>
              </w:rPr>
            </w:pPr>
            <w:r w:rsidRPr="00990D3B">
              <w:rPr>
                <w:b/>
                <w:sz w:val="16"/>
                <w:szCs w:val="16"/>
              </w:rPr>
              <w:t xml:space="preserve">Medicaid: </w:t>
            </w:r>
          </w:p>
          <w:p w:rsidR="00B1390D" w:rsidRPr="00990D3B" w:rsidP="00BD1FC3" w14:paraId="347A29BD" w14:textId="37C461E5">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B1390D" w:rsidRPr="00990D3B" w:rsidP="00BD1FC3" w14:paraId="4DA00B34" w14:textId="4EDB8953">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B1390D" w:rsidRPr="00990D3B" w:rsidP="00BD1FC3" w14:paraId="0FDAB80A" w14:textId="46574CD1">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B1390D" w:rsidRPr="00990D3B" w:rsidP="00BD1FC3" w14:paraId="54D30B8F" w14:textId="541B489E">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B1390D" w:rsidRPr="00990D3B" w:rsidP="00BD1FC3" w14:paraId="3F6F4211" w14:textId="4F4AE362">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B1390D" w:rsidRPr="00990D3B" w:rsidP="00BD1FC3" w14:paraId="2A466D34" w14:textId="43CB7403">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B1390D" w:rsidRPr="00990D3B" w:rsidP="00BD1FC3" w14:paraId="035DB0C6" w14:textId="77777777">
            <w:pPr>
              <w:pStyle w:val="EQRTableText"/>
              <w:rPr>
                <w:sz w:val="16"/>
                <w:szCs w:val="16"/>
              </w:rPr>
            </w:pPr>
            <w:r w:rsidRPr="00990D3B">
              <w:rPr>
                <w:sz w:val="16"/>
                <w:szCs w:val="16"/>
              </w:rPr>
              <w:t>Reviewer Notes:</w:t>
            </w:r>
          </w:p>
          <w:p w:rsidR="00B1390D" w:rsidRPr="00990D3B" w:rsidP="00BD1FC3" w14:paraId="65813EC6" w14:textId="77777777">
            <w:pPr>
              <w:pStyle w:val="EQRTableText"/>
              <w:rPr>
                <w:b/>
                <w:sz w:val="16"/>
                <w:szCs w:val="16"/>
              </w:rPr>
            </w:pPr>
            <w:r w:rsidRPr="00990D3B">
              <w:rPr>
                <w:b/>
                <w:sz w:val="16"/>
                <w:szCs w:val="16"/>
              </w:rPr>
              <w:t>CHIP:</w:t>
            </w:r>
          </w:p>
          <w:p w:rsidR="00B1390D" w:rsidRPr="00990D3B" w:rsidP="00BD1FC3" w14:paraId="2A523222" w14:textId="5BAC04CF">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B1390D" w:rsidRPr="00990D3B" w:rsidP="00BD1FC3" w14:paraId="2E5A1406" w14:textId="56047F8B">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B1390D" w:rsidRPr="00990D3B" w:rsidP="00BD1FC3" w14:paraId="50BF0392" w14:textId="2D5EBFAD">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B1390D" w:rsidRPr="00990D3B" w:rsidP="00BD1FC3" w14:paraId="4AF8C644" w14:textId="7BCA547F">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B1390D" w:rsidRPr="00990D3B" w:rsidP="00BD1FC3" w14:paraId="44DAEA75" w14:textId="0911F2BA">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B1390D" w:rsidRPr="00990D3B" w:rsidP="00BD1FC3" w14:paraId="1D61567C" w14:textId="3ECB432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B1390D" w:rsidRPr="00990D3B" w:rsidP="00BD1FC3" w14:paraId="3326C832" w14:textId="77777777">
            <w:pPr>
              <w:pStyle w:val="EQRTableText"/>
              <w:rPr>
                <w:sz w:val="16"/>
                <w:szCs w:val="16"/>
              </w:rPr>
            </w:pPr>
            <w:r w:rsidRPr="00990D3B">
              <w:rPr>
                <w:sz w:val="16"/>
                <w:szCs w:val="16"/>
              </w:rPr>
              <w:t>Reviewer Notes:</w:t>
            </w:r>
          </w:p>
        </w:tc>
      </w:tr>
      <w:tr w14:paraId="1B0A4DF6" w14:textId="77777777" w:rsidTr="00E07DE2">
        <w:tblPrEx>
          <w:tblW w:w="5436" w:type="pct"/>
          <w:tblLayout w:type="fixed"/>
          <w:tblCellMar>
            <w:left w:w="115" w:type="dxa"/>
            <w:right w:w="115" w:type="dxa"/>
          </w:tblCellMar>
          <w:tblLook w:val="04A0"/>
        </w:tblPrEx>
        <w:trPr>
          <w:cantSplit/>
        </w:trPr>
        <w:tc>
          <w:tcPr>
            <w:tcW w:w="2361" w:type="dxa"/>
          </w:tcPr>
          <w:p w:rsidR="00B1390D" w:rsidRPr="00990D3B" w:rsidP="00BD1FC3" w14:paraId="78FAFF46" w14:textId="6C605A01">
            <w:pPr>
              <w:pStyle w:val="EQRTableText"/>
              <w:rPr>
                <w:b/>
                <w:sz w:val="16"/>
                <w:szCs w:val="16"/>
              </w:rPr>
            </w:pPr>
            <w:r w:rsidRPr="00990D3B">
              <w:rPr>
                <w:b/>
                <w:sz w:val="16"/>
                <w:szCs w:val="16"/>
              </w:rPr>
              <w:t xml:space="preserve">Basic elements of </w:t>
            </w:r>
            <w:r w:rsidRPr="00990D3B" w:rsidR="00D56CA2">
              <w:rPr>
                <w:b/>
                <w:sz w:val="16"/>
                <w:szCs w:val="16"/>
              </w:rPr>
              <w:t>QAPI</w:t>
            </w:r>
            <w:r w:rsidRPr="00990D3B">
              <w:rPr>
                <w:b/>
                <w:sz w:val="16"/>
                <w:szCs w:val="16"/>
              </w:rPr>
              <w:t xml:space="preserve"> program</w:t>
            </w:r>
          </w:p>
          <w:p w:rsidR="00B1390D" w:rsidRPr="00990D3B" w:rsidP="00BD1FC3" w14:paraId="502020EE" w14:textId="4769DC76">
            <w:pPr>
              <w:pStyle w:val="EQRTableText"/>
              <w:rPr>
                <w:sz w:val="16"/>
                <w:szCs w:val="16"/>
              </w:rPr>
            </w:pPr>
            <w:r w:rsidRPr="00990D3B">
              <w:rPr>
                <w:b/>
                <w:sz w:val="16"/>
                <w:szCs w:val="16"/>
              </w:rPr>
              <w:t>Medicaid:</w:t>
            </w:r>
            <w:r w:rsidRPr="00990D3B">
              <w:rPr>
                <w:sz w:val="16"/>
                <w:szCs w:val="16"/>
              </w:rPr>
              <w:t xml:space="preserve"> </w:t>
            </w:r>
            <w:r w:rsidRPr="00990D3B" w:rsidR="001C7FC0">
              <w:rPr>
                <w:sz w:val="16"/>
                <w:szCs w:val="16"/>
              </w:rPr>
              <w:t>42 C.F.R.</w:t>
            </w:r>
            <w:r w:rsidRPr="00990D3B">
              <w:rPr>
                <w:sz w:val="16"/>
                <w:szCs w:val="16"/>
              </w:rPr>
              <w:t xml:space="preserve"> 438.330(b): Basic elements of quality assessment and performance improvement programs </w:t>
            </w:r>
          </w:p>
          <w:p w:rsidR="00B1390D" w:rsidRPr="00990D3B" w:rsidP="00BD1FC3" w14:paraId="7B9C3814" w14:textId="433B7DB3">
            <w:pPr>
              <w:pStyle w:val="EQRTableText"/>
              <w:rPr>
                <w:sz w:val="16"/>
                <w:szCs w:val="16"/>
              </w:rPr>
            </w:pPr>
            <w:r w:rsidRPr="00990D3B">
              <w:rPr>
                <w:b/>
                <w:sz w:val="16"/>
                <w:szCs w:val="16"/>
              </w:rPr>
              <w:t>CHIP:</w:t>
            </w:r>
            <w:r w:rsidRPr="00990D3B">
              <w:rPr>
                <w:sz w:val="16"/>
                <w:szCs w:val="16"/>
              </w:rPr>
              <w:t xml:space="preserve"> </w:t>
            </w:r>
            <w:r w:rsidRPr="00990D3B" w:rsidR="001C7FC0">
              <w:rPr>
                <w:sz w:val="16"/>
                <w:szCs w:val="16"/>
              </w:rPr>
              <w:t>42 C.F.R.</w:t>
            </w:r>
            <w:r w:rsidRPr="00990D3B">
              <w:rPr>
                <w:sz w:val="16"/>
                <w:szCs w:val="16"/>
              </w:rPr>
              <w:t xml:space="preserve"> 457.1240(b): Quality assessment and performance improvement program </w:t>
            </w:r>
          </w:p>
        </w:tc>
        <w:tc>
          <w:tcPr>
            <w:tcW w:w="3989" w:type="dxa"/>
          </w:tcPr>
          <w:p w:rsidR="00B1390D" w:rsidRPr="00990D3B" w:rsidP="00E00D33" w14:paraId="33204D81" w14:textId="51B972DE">
            <w:pPr>
              <w:pStyle w:val="EQRTableTextbullet"/>
              <w:rPr>
                <w:sz w:val="16"/>
                <w:szCs w:val="16"/>
              </w:rPr>
            </w:pPr>
            <w:r w:rsidRPr="00990D3B">
              <w:rPr>
                <w:sz w:val="16"/>
                <w:szCs w:val="16"/>
              </w:rPr>
              <w:t>The state’s specifications for PIPs required per paragraph (d) of this section.</w:t>
            </w:r>
          </w:p>
          <w:p w:rsidR="00B1390D" w:rsidRPr="00990D3B" w:rsidP="00E00D33" w14:paraId="794A199D" w14:textId="77777777">
            <w:pPr>
              <w:pStyle w:val="EQRTableTextbullet"/>
              <w:rPr>
                <w:sz w:val="16"/>
                <w:szCs w:val="16"/>
              </w:rPr>
            </w:pPr>
            <w:r w:rsidRPr="00990D3B">
              <w:rPr>
                <w:sz w:val="16"/>
                <w:szCs w:val="16"/>
              </w:rPr>
              <w:t>The state’s specifications for how the MCP should identify, measure and report performance measures required per paragraph (c) of this section.</w:t>
            </w:r>
          </w:p>
          <w:p w:rsidR="00B1390D" w:rsidRPr="00990D3B" w:rsidP="00E00D33" w14:paraId="2AC58E61" w14:textId="77777777">
            <w:pPr>
              <w:pStyle w:val="EQRTableTextbullet"/>
              <w:rPr>
                <w:sz w:val="16"/>
                <w:szCs w:val="16"/>
              </w:rPr>
            </w:pPr>
            <w:r w:rsidRPr="00990D3B">
              <w:rPr>
                <w:sz w:val="16"/>
                <w:szCs w:val="16"/>
              </w:rPr>
              <w:t>The state’s requirements for detection by the MCP of over- and under-utilization.</w:t>
            </w:r>
          </w:p>
          <w:p w:rsidR="00B1390D" w:rsidRPr="00990D3B" w:rsidP="00E00D33" w14:paraId="77F3D9E7" w14:textId="77777777">
            <w:pPr>
              <w:pStyle w:val="EQRTableTextbullet"/>
              <w:rPr>
                <w:sz w:val="16"/>
                <w:szCs w:val="16"/>
              </w:rPr>
            </w:pPr>
            <w:r w:rsidRPr="00990D3B">
              <w:rPr>
                <w:sz w:val="16"/>
                <w:szCs w:val="16"/>
              </w:rPr>
              <w:t xml:space="preserve">The state’s requirements for assessment by the MCP of the quality and appropriateness of care </w:t>
            </w:r>
            <w:r w:rsidRPr="00990D3B">
              <w:rPr>
                <w:sz w:val="16"/>
                <w:szCs w:val="16"/>
              </w:rPr>
              <w:t>furnished</w:t>
            </w:r>
            <w:r w:rsidRPr="00990D3B">
              <w:rPr>
                <w:sz w:val="16"/>
                <w:szCs w:val="16"/>
              </w:rPr>
              <w:t xml:space="preserve"> to enrollees with special health care needs, as defined in the state’s quality strategy under 438.340 (as cross-referenced for CHIP in 457.1240(e)).</w:t>
            </w:r>
          </w:p>
          <w:p w:rsidR="00B1390D" w:rsidRPr="00990D3B" w:rsidP="00E00D33" w14:paraId="60FB7BBC" w14:textId="77777777">
            <w:pPr>
              <w:pStyle w:val="EQRTableTextbullet"/>
              <w:rPr>
                <w:sz w:val="16"/>
                <w:szCs w:val="16"/>
              </w:rPr>
            </w:pPr>
            <w:r w:rsidRPr="00990D3B">
              <w:rPr>
                <w:sz w:val="16"/>
                <w:szCs w:val="16"/>
              </w:rPr>
              <w:t xml:space="preserve">The state’s requirements for assessment by the MCP of the quality and appropriateness of care furnished using LTSS, if applicable, </w:t>
            </w:r>
            <w:r w:rsidRPr="00990D3B">
              <w:rPr>
                <w:sz w:val="16"/>
                <w:szCs w:val="16"/>
              </w:rPr>
              <w:t>including</w:t>
            </w:r>
            <w:r w:rsidRPr="00990D3B">
              <w:rPr>
                <w:sz w:val="16"/>
                <w:szCs w:val="16"/>
              </w:rPr>
              <w:t xml:space="preserve"> assessment of care between care settings and a comparison of services and supports received with those set forth in the enrollee’s treatment/service plan. </w:t>
            </w:r>
          </w:p>
          <w:p w:rsidR="00B1390D" w:rsidRPr="00990D3B" w:rsidP="00E00D33" w14:paraId="2AC6CF36" w14:textId="77777777">
            <w:pPr>
              <w:pStyle w:val="EQRTableTextbullet"/>
              <w:rPr>
                <w:sz w:val="16"/>
                <w:szCs w:val="16"/>
              </w:rPr>
            </w:pPr>
            <w:r w:rsidRPr="00990D3B">
              <w:rPr>
                <w:sz w:val="16"/>
                <w:szCs w:val="16"/>
              </w:rPr>
              <w:t xml:space="preserve">The state’s requirements for the MCP’s participation in efforts by the State to prevent, detect, report, investigate and remediate critical </w:t>
            </w:r>
            <w:r w:rsidRPr="00990D3B">
              <w:rPr>
                <w:sz w:val="16"/>
                <w:szCs w:val="16"/>
              </w:rPr>
              <w:t>incidents,</w:t>
            </w:r>
            <w:r w:rsidRPr="00990D3B">
              <w:rPr>
                <w:sz w:val="16"/>
                <w:szCs w:val="16"/>
              </w:rPr>
              <w:t xml:space="preserve"> that occur within the delivery of LTSS as well as to track and trend results </w:t>
            </w:r>
            <w:r w:rsidRPr="00990D3B">
              <w:rPr>
                <w:sz w:val="16"/>
                <w:szCs w:val="16"/>
              </w:rPr>
              <w:t>in order to</w:t>
            </w:r>
            <w:r w:rsidRPr="00990D3B">
              <w:rPr>
                <w:sz w:val="16"/>
                <w:szCs w:val="16"/>
              </w:rPr>
              <w:t xml:space="preserve"> make systems improvements, if applicable</w:t>
            </w:r>
          </w:p>
        </w:tc>
        <w:tc>
          <w:tcPr>
            <w:tcW w:w="4488" w:type="dxa"/>
          </w:tcPr>
          <w:p w:rsidR="00B1390D" w:rsidRPr="00990D3B" w:rsidP="00E00D33" w14:paraId="28082462" w14:textId="77777777">
            <w:pPr>
              <w:pStyle w:val="EQRTableTextbullet"/>
              <w:rPr>
                <w:sz w:val="16"/>
                <w:szCs w:val="16"/>
              </w:rPr>
            </w:pPr>
            <w:r w:rsidRPr="00990D3B">
              <w:rPr>
                <w:sz w:val="16"/>
                <w:szCs w:val="16"/>
              </w:rPr>
              <w:t>Policies and procedures related to QAPI project metrics (AM)</w:t>
            </w:r>
          </w:p>
          <w:p w:rsidR="00B1390D" w:rsidRPr="00990D3B" w:rsidP="00E00D33" w14:paraId="5B688E4E" w14:textId="77777777">
            <w:pPr>
              <w:pStyle w:val="EQRTableTextbullet"/>
              <w:rPr>
                <w:sz w:val="16"/>
                <w:szCs w:val="16"/>
              </w:rPr>
            </w:pPr>
            <w:r w:rsidRPr="00990D3B">
              <w:rPr>
                <w:sz w:val="16"/>
                <w:szCs w:val="16"/>
              </w:rPr>
              <w:t>QAPI project quality indicators, the selection or development criteria, and processes for selection or development (AM)</w:t>
            </w:r>
          </w:p>
          <w:p w:rsidR="00B1390D" w:rsidRPr="00990D3B" w:rsidP="00E00D33" w14:paraId="552823D8" w14:textId="77777777">
            <w:pPr>
              <w:pStyle w:val="EQRTableTextbullet"/>
              <w:rPr>
                <w:sz w:val="16"/>
                <w:szCs w:val="16"/>
              </w:rPr>
            </w:pPr>
            <w:r w:rsidRPr="00990D3B">
              <w:rPr>
                <w:sz w:val="16"/>
                <w:szCs w:val="16"/>
              </w:rPr>
              <w:t xml:space="preserve">Performance standards and quality indicators established by the MCP (AM) </w:t>
            </w:r>
          </w:p>
          <w:p w:rsidR="00B1390D" w:rsidRPr="00990D3B" w:rsidP="00E00D33" w14:paraId="7FF409AE" w14:textId="77777777">
            <w:pPr>
              <w:pStyle w:val="EQRTableTextbullet"/>
              <w:rPr>
                <w:sz w:val="16"/>
                <w:szCs w:val="16"/>
              </w:rPr>
            </w:pPr>
            <w:r w:rsidRPr="00990D3B">
              <w:rPr>
                <w:sz w:val="16"/>
                <w:szCs w:val="16"/>
              </w:rPr>
              <w:t>Performance measure reports and data provided to the state (AM)</w:t>
            </w:r>
          </w:p>
          <w:p w:rsidR="00B1390D" w:rsidRPr="00990D3B" w:rsidP="00E00D33" w14:paraId="50244DD9" w14:textId="77777777">
            <w:pPr>
              <w:pStyle w:val="EQRTableTextbullet"/>
              <w:rPr>
                <w:sz w:val="16"/>
                <w:szCs w:val="16"/>
              </w:rPr>
            </w:pPr>
            <w:r w:rsidRPr="00990D3B">
              <w:rPr>
                <w:sz w:val="16"/>
                <w:szCs w:val="16"/>
              </w:rPr>
              <w:t>Utilization management policies and procedures (UM)</w:t>
            </w:r>
          </w:p>
          <w:p w:rsidR="00B1390D" w:rsidRPr="00990D3B" w:rsidP="00E00D33" w14:paraId="1BCB5E91" w14:textId="6AF10B03">
            <w:pPr>
              <w:pStyle w:val="EQRTableTextbullet"/>
              <w:rPr>
                <w:sz w:val="16"/>
                <w:szCs w:val="16"/>
              </w:rPr>
            </w:pPr>
            <w:r w:rsidRPr="00990D3B">
              <w:rPr>
                <w:sz w:val="16"/>
                <w:szCs w:val="16"/>
              </w:rPr>
              <w:t>Medicaid and CHIP and other enrollee LTSS tracking reports (AM)</w:t>
            </w:r>
          </w:p>
          <w:p w:rsidR="00B1390D" w:rsidRPr="00990D3B" w:rsidP="00E00D33" w14:paraId="63F7A742" w14:textId="77777777">
            <w:pPr>
              <w:pStyle w:val="EQRTableTextbullet"/>
              <w:rPr>
                <w:sz w:val="16"/>
                <w:szCs w:val="16"/>
              </w:rPr>
            </w:pPr>
            <w:r w:rsidRPr="00990D3B">
              <w:rPr>
                <w:sz w:val="16"/>
                <w:szCs w:val="16"/>
              </w:rPr>
              <w:t>Policies and procedures related to data collection and data quality checks for QAPI projects (AM)</w:t>
            </w:r>
          </w:p>
          <w:p w:rsidR="00B1390D" w:rsidRPr="00990D3B" w:rsidP="00E00D33" w14:paraId="2ED86CDD" w14:textId="228F7164">
            <w:pPr>
              <w:pStyle w:val="EQRTableTextbullet"/>
              <w:rPr>
                <w:sz w:val="16"/>
                <w:szCs w:val="16"/>
              </w:rPr>
            </w:pPr>
            <w:r w:rsidRPr="00990D3B">
              <w:rPr>
                <w:sz w:val="16"/>
                <w:szCs w:val="16"/>
              </w:rPr>
              <w:t>Policies and procedures for assessment of LTSS services between care settings and comparison of services and supports received with those set forth in the enrollee's treatment/service plan (AM)</w:t>
            </w:r>
          </w:p>
          <w:p w:rsidR="00B1390D" w:rsidRPr="00990D3B" w:rsidP="00E00D33" w14:paraId="3FD5249D" w14:textId="3E5E9963">
            <w:pPr>
              <w:pStyle w:val="EQRTableTextbullet"/>
              <w:rPr>
                <w:sz w:val="16"/>
                <w:szCs w:val="16"/>
              </w:rPr>
            </w:pPr>
            <w:r w:rsidRPr="00990D3B">
              <w:rPr>
                <w:sz w:val="16"/>
                <w:szCs w:val="16"/>
              </w:rPr>
              <w:t>Policies and procedures for assisting the state in the prevention, detection and remediation of critical incidents that occur within the delivery of LTSS.</w:t>
            </w:r>
          </w:p>
        </w:tc>
        <w:tc>
          <w:tcPr>
            <w:tcW w:w="3241" w:type="dxa"/>
          </w:tcPr>
          <w:p w:rsidR="007061A7" w:rsidRPr="00990D3B" w:rsidP="007061A7" w14:paraId="1F31BD06" w14:textId="77777777">
            <w:pPr>
              <w:pStyle w:val="EQRTableText"/>
              <w:rPr>
                <w:b/>
                <w:sz w:val="16"/>
                <w:szCs w:val="16"/>
              </w:rPr>
            </w:pPr>
            <w:r w:rsidRPr="00990D3B">
              <w:rPr>
                <w:b/>
                <w:sz w:val="16"/>
                <w:szCs w:val="16"/>
              </w:rPr>
              <w:t xml:space="preserve">Medicaid: </w:t>
            </w:r>
          </w:p>
          <w:p w:rsidR="007061A7" w:rsidRPr="00990D3B" w:rsidP="007061A7" w14:paraId="522D432E"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2D7717CD"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4CD8D004"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34B0FA4D"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047F3571"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1F31DEE2"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7061A7" w:rsidRPr="00990D3B" w:rsidP="007061A7" w14:paraId="57404BBB" w14:textId="77777777">
            <w:pPr>
              <w:pStyle w:val="EQRTableText"/>
              <w:rPr>
                <w:sz w:val="16"/>
                <w:szCs w:val="16"/>
              </w:rPr>
            </w:pPr>
            <w:r w:rsidRPr="00990D3B">
              <w:rPr>
                <w:sz w:val="16"/>
                <w:szCs w:val="16"/>
              </w:rPr>
              <w:t>Reviewer Notes:</w:t>
            </w:r>
          </w:p>
          <w:p w:rsidR="007061A7" w:rsidRPr="00990D3B" w:rsidP="007061A7" w14:paraId="58A637A6" w14:textId="77777777">
            <w:pPr>
              <w:pStyle w:val="EQRTableText"/>
              <w:rPr>
                <w:b/>
                <w:sz w:val="16"/>
                <w:szCs w:val="16"/>
              </w:rPr>
            </w:pPr>
            <w:r w:rsidRPr="00990D3B">
              <w:rPr>
                <w:b/>
                <w:sz w:val="16"/>
                <w:szCs w:val="16"/>
              </w:rPr>
              <w:t>CHIP:</w:t>
            </w:r>
          </w:p>
          <w:p w:rsidR="007061A7" w:rsidRPr="00990D3B" w:rsidP="007061A7" w14:paraId="7BB1B8A9"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6C063808"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45A088DC"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3AAF46CD"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713BE902"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2266D6F5"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B1390D" w:rsidRPr="00990D3B" w:rsidP="007061A7" w14:paraId="022D3301" w14:textId="5E5137C3">
            <w:pPr>
              <w:pStyle w:val="EQRTableText"/>
              <w:rPr>
                <w:sz w:val="16"/>
                <w:szCs w:val="16"/>
              </w:rPr>
            </w:pPr>
            <w:r w:rsidRPr="00990D3B">
              <w:rPr>
                <w:sz w:val="16"/>
                <w:szCs w:val="16"/>
              </w:rPr>
              <w:t>Reviewer Notes:</w:t>
            </w:r>
          </w:p>
        </w:tc>
      </w:tr>
      <w:tr w14:paraId="2D70F812" w14:textId="77777777" w:rsidTr="00E07DE2">
        <w:tblPrEx>
          <w:tblW w:w="5436" w:type="pct"/>
          <w:tblLayout w:type="fixed"/>
          <w:tblCellMar>
            <w:left w:w="115" w:type="dxa"/>
            <w:right w:w="115" w:type="dxa"/>
          </w:tblCellMar>
          <w:tblLook w:val="04A0"/>
        </w:tblPrEx>
        <w:trPr>
          <w:cantSplit/>
        </w:trPr>
        <w:tc>
          <w:tcPr>
            <w:tcW w:w="2361" w:type="dxa"/>
          </w:tcPr>
          <w:p w:rsidR="00B1390D" w:rsidRPr="00990D3B" w:rsidP="00BD1FC3" w14:paraId="755D8A5E" w14:textId="77777777">
            <w:pPr>
              <w:pStyle w:val="EQRTableText"/>
              <w:rPr>
                <w:sz w:val="16"/>
                <w:szCs w:val="16"/>
              </w:rPr>
            </w:pPr>
            <w:r w:rsidRPr="00990D3B">
              <w:rPr>
                <w:b/>
                <w:sz w:val="16"/>
                <w:szCs w:val="16"/>
              </w:rPr>
              <w:t>Performance</w:t>
            </w:r>
            <w:r w:rsidRPr="00990D3B">
              <w:rPr>
                <w:sz w:val="16"/>
                <w:szCs w:val="16"/>
              </w:rPr>
              <w:t xml:space="preserve"> </w:t>
            </w:r>
            <w:r w:rsidRPr="00990D3B">
              <w:rPr>
                <w:b/>
                <w:sz w:val="16"/>
                <w:szCs w:val="16"/>
              </w:rPr>
              <w:t>measurement</w:t>
            </w:r>
          </w:p>
          <w:p w:rsidR="00B1390D" w:rsidRPr="00990D3B" w:rsidP="00BD1FC3" w14:paraId="20922B3E" w14:textId="52788377">
            <w:pPr>
              <w:pStyle w:val="EQRTableText"/>
              <w:rPr>
                <w:sz w:val="16"/>
                <w:szCs w:val="16"/>
              </w:rPr>
            </w:pPr>
            <w:r w:rsidRPr="00990D3B">
              <w:rPr>
                <w:b/>
                <w:sz w:val="16"/>
                <w:szCs w:val="16"/>
              </w:rPr>
              <w:t>Medicaid:</w:t>
            </w:r>
            <w:r w:rsidRPr="00990D3B">
              <w:rPr>
                <w:sz w:val="16"/>
                <w:szCs w:val="16"/>
              </w:rPr>
              <w:t xml:space="preserve"> </w:t>
            </w:r>
            <w:r w:rsidRPr="00990D3B" w:rsidR="001C7FC0">
              <w:rPr>
                <w:sz w:val="16"/>
                <w:szCs w:val="16"/>
              </w:rPr>
              <w:t>42 C.F.R.</w:t>
            </w:r>
            <w:r w:rsidRPr="00990D3B">
              <w:rPr>
                <w:sz w:val="16"/>
                <w:szCs w:val="16"/>
              </w:rPr>
              <w:t xml:space="preserve"> 438.330(c): Performance measurement </w:t>
            </w:r>
          </w:p>
          <w:p w:rsidR="00B1390D" w:rsidRPr="00990D3B" w:rsidP="00BD1FC3" w14:paraId="22919D00" w14:textId="74585DBE">
            <w:pPr>
              <w:pStyle w:val="EQRTableText"/>
              <w:rPr>
                <w:sz w:val="16"/>
                <w:szCs w:val="16"/>
              </w:rPr>
            </w:pPr>
            <w:r w:rsidRPr="00990D3B">
              <w:rPr>
                <w:b/>
                <w:sz w:val="16"/>
                <w:szCs w:val="16"/>
              </w:rPr>
              <w:t>CHIP:</w:t>
            </w:r>
            <w:r w:rsidRPr="00990D3B">
              <w:rPr>
                <w:sz w:val="16"/>
                <w:szCs w:val="16"/>
              </w:rPr>
              <w:t xml:space="preserve"> </w:t>
            </w:r>
            <w:r w:rsidRPr="00990D3B" w:rsidR="001C7FC0">
              <w:rPr>
                <w:sz w:val="16"/>
                <w:szCs w:val="16"/>
              </w:rPr>
              <w:t>42 C.F.R.</w:t>
            </w:r>
            <w:r w:rsidRPr="00990D3B">
              <w:rPr>
                <w:sz w:val="16"/>
                <w:szCs w:val="16"/>
              </w:rPr>
              <w:t xml:space="preserve"> 457.1240(b): Quality assessment and performance improvement program</w:t>
            </w:r>
          </w:p>
        </w:tc>
        <w:tc>
          <w:tcPr>
            <w:tcW w:w="3989" w:type="dxa"/>
          </w:tcPr>
          <w:p w:rsidR="00B1390D" w:rsidRPr="00990D3B" w:rsidP="00E00D33" w14:paraId="4740DAAC" w14:textId="77777777">
            <w:pPr>
              <w:pStyle w:val="EQRTableTextbullet"/>
              <w:rPr>
                <w:sz w:val="16"/>
                <w:szCs w:val="16"/>
              </w:rPr>
            </w:pPr>
            <w:r w:rsidRPr="00990D3B">
              <w:rPr>
                <w:sz w:val="16"/>
                <w:szCs w:val="16"/>
              </w:rPr>
              <w:t xml:space="preserve">Information on the standard performance measures identified by the state. </w:t>
            </w:r>
          </w:p>
          <w:p w:rsidR="00B1390D" w:rsidRPr="00990D3B" w:rsidP="00E00D33" w14:paraId="1E11D1E0" w14:textId="3DB369D8">
            <w:pPr>
              <w:pStyle w:val="EQRTableTextbullet"/>
              <w:rPr>
                <w:sz w:val="16"/>
                <w:szCs w:val="16"/>
              </w:rPr>
            </w:pPr>
            <w:r w:rsidRPr="00990D3B">
              <w:rPr>
                <w:sz w:val="16"/>
                <w:szCs w:val="16"/>
              </w:rPr>
              <w:t>For an MCP providing </w:t>
            </w:r>
            <w:r w:rsidRPr="00990D3B" w:rsidR="00B421C5">
              <w:rPr>
                <w:sz w:val="16"/>
                <w:szCs w:val="16"/>
              </w:rPr>
              <w:t>LTSS</w:t>
            </w:r>
            <w:r w:rsidRPr="00990D3B">
              <w:rPr>
                <w:sz w:val="16"/>
                <w:szCs w:val="16"/>
              </w:rPr>
              <w:t>, the standard performance measures relating to quality of life, rebalancing, and community integration activities for individuals receiving </w:t>
            </w:r>
            <w:r w:rsidRPr="00990D3B" w:rsidR="00B421C5">
              <w:rPr>
                <w:sz w:val="16"/>
                <w:szCs w:val="16"/>
              </w:rPr>
              <w:t>LTSS</w:t>
            </w:r>
            <w:r w:rsidRPr="00990D3B">
              <w:rPr>
                <w:sz w:val="16"/>
                <w:szCs w:val="16"/>
              </w:rPr>
              <w:t>.</w:t>
            </w:r>
          </w:p>
          <w:p w:rsidR="00B1390D" w:rsidRPr="00990D3B" w:rsidP="00E00D33" w14:paraId="2CAD4C9A" w14:textId="77777777">
            <w:pPr>
              <w:pStyle w:val="EQRTableTextbullet"/>
              <w:rPr>
                <w:sz w:val="16"/>
                <w:szCs w:val="16"/>
              </w:rPr>
            </w:pPr>
            <w:r w:rsidRPr="00990D3B">
              <w:rPr>
                <w:sz w:val="16"/>
                <w:szCs w:val="16"/>
              </w:rPr>
              <w:t>Information on whether the MCP calculates the performance measure and reports to the state or whether the MCP provides data to the state, which then calculates the PM.</w:t>
            </w:r>
          </w:p>
        </w:tc>
        <w:tc>
          <w:tcPr>
            <w:tcW w:w="4488" w:type="dxa"/>
          </w:tcPr>
          <w:p w:rsidR="00B1390D" w:rsidRPr="00990D3B" w:rsidP="00E00D33" w14:paraId="0F607BB3" w14:textId="77777777">
            <w:pPr>
              <w:pStyle w:val="EQRTableTextbullet"/>
              <w:rPr>
                <w:sz w:val="16"/>
                <w:szCs w:val="16"/>
              </w:rPr>
            </w:pPr>
            <w:r w:rsidRPr="00990D3B">
              <w:rPr>
                <w:sz w:val="16"/>
                <w:szCs w:val="16"/>
              </w:rPr>
              <w:t>Performance measure reports and data provided to the state (AM)</w:t>
            </w:r>
          </w:p>
        </w:tc>
        <w:tc>
          <w:tcPr>
            <w:tcW w:w="3241" w:type="dxa"/>
          </w:tcPr>
          <w:p w:rsidR="007061A7" w:rsidRPr="00990D3B" w:rsidP="007061A7" w14:paraId="6CD52DF8" w14:textId="77777777">
            <w:pPr>
              <w:pStyle w:val="EQRTableText"/>
              <w:rPr>
                <w:b/>
                <w:sz w:val="16"/>
                <w:szCs w:val="16"/>
              </w:rPr>
            </w:pPr>
            <w:r w:rsidRPr="00990D3B">
              <w:rPr>
                <w:b/>
                <w:sz w:val="16"/>
                <w:szCs w:val="16"/>
              </w:rPr>
              <w:t xml:space="preserve">Medicaid: </w:t>
            </w:r>
          </w:p>
          <w:p w:rsidR="007061A7" w:rsidRPr="00990D3B" w:rsidP="007061A7" w14:paraId="49518625"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57940771"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64EE5742"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26967DAF"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76605BF7"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69B5182D"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7061A7" w:rsidRPr="00990D3B" w:rsidP="007061A7" w14:paraId="636D6384" w14:textId="77777777">
            <w:pPr>
              <w:pStyle w:val="EQRTableText"/>
              <w:rPr>
                <w:sz w:val="16"/>
                <w:szCs w:val="16"/>
              </w:rPr>
            </w:pPr>
            <w:r w:rsidRPr="00990D3B">
              <w:rPr>
                <w:sz w:val="16"/>
                <w:szCs w:val="16"/>
              </w:rPr>
              <w:t>Reviewer Notes:</w:t>
            </w:r>
          </w:p>
          <w:p w:rsidR="007061A7" w:rsidRPr="00990D3B" w:rsidP="007061A7" w14:paraId="768FB1BE" w14:textId="77777777">
            <w:pPr>
              <w:pStyle w:val="EQRTableText"/>
              <w:rPr>
                <w:b/>
                <w:sz w:val="16"/>
                <w:szCs w:val="16"/>
              </w:rPr>
            </w:pPr>
            <w:r w:rsidRPr="00990D3B">
              <w:rPr>
                <w:b/>
                <w:sz w:val="16"/>
                <w:szCs w:val="16"/>
              </w:rPr>
              <w:t>CHIP:</w:t>
            </w:r>
          </w:p>
          <w:p w:rsidR="007061A7" w:rsidRPr="00990D3B" w:rsidP="007061A7" w14:paraId="01A2AA5B"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586E20ED"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13F202F6"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466854A9"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2B84A133"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1A28F826"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B1390D" w:rsidRPr="00990D3B" w:rsidP="007061A7" w14:paraId="3DD848E3" w14:textId="30C47C62">
            <w:pPr>
              <w:pStyle w:val="EQRTableText"/>
              <w:rPr>
                <w:sz w:val="16"/>
                <w:szCs w:val="16"/>
              </w:rPr>
            </w:pPr>
            <w:r w:rsidRPr="00990D3B">
              <w:rPr>
                <w:sz w:val="16"/>
                <w:szCs w:val="16"/>
              </w:rPr>
              <w:t>Reviewer Notes:</w:t>
            </w:r>
          </w:p>
        </w:tc>
      </w:tr>
      <w:tr w14:paraId="22CD0A23" w14:textId="77777777" w:rsidTr="00E07DE2">
        <w:tblPrEx>
          <w:tblW w:w="5436" w:type="pct"/>
          <w:tblLayout w:type="fixed"/>
          <w:tblCellMar>
            <w:left w:w="115" w:type="dxa"/>
            <w:right w:w="115" w:type="dxa"/>
          </w:tblCellMar>
          <w:tblLook w:val="04A0"/>
        </w:tblPrEx>
        <w:trPr>
          <w:cantSplit/>
        </w:trPr>
        <w:tc>
          <w:tcPr>
            <w:tcW w:w="2361" w:type="dxa"/>
          </w:tcPr>
          <w:p w:rsidR="00B1390D" w:rsidRPr="00990D3B" w:rsidP="00BD1FC3" w14:paraId="61E98894" w14:textId="77777777">
            <w:pPr>
              <w:pStyle w:val="EQRTableText"/>
              <w:rPr>
                <w:b/>
                <w:sz w:val="16"/>
                <w:szCs w:val="16"/>
              </w:rPr>
            </w:pPr>
            <w:r w:rsidRPr="00990D3B">
              <w:rPr>
                <w:b/>
                <w:sz w:val="16"/>
                <w:szCs w:val="16"/>
              </w:rPr>
              <w:t>Performance improvement projects</w:t>
            </w:r>
          </w:p>
          <w:p w:rsidR="00B1390D" w:rsidRPr="00990D3B" w:rsidP="00BD1FC3" w14:paraId="57297EE4" w14:textId="26F04DA6">
            <w:pPr>
              <w:pStyle w:val="EQRTableText"/>
              <w:rPr>
                <w:sz w:val="16"/>
                <w:szCs w:val="16"/>
              </w:rPr>
            </w:pPr>
            <w:r w:rsidRPr="00990D3B">
              <w:rPr>
                <w:b/>
                <w:sz w:val="16"/>
                <w:szCs w:val="16"/>
              </w:rPr>
              <w:t>Medicaid:</w:t>
            </w:r>
            <w:r w:rsidRPr="00990D3B">
              <w:rPr>
                <w:sz w:val="16"/>
                <w:szCs w:val="16"/>
              </w:rPr>
              <w:t xml:space="preserve"> </w:t>
            </w:r>
            <w:r w:rsidRPr="00990D3B" w:rsidR="001C7FC0">
              <w:rPr>
                <w:sz w:val="16"/>
                <w:szCs w:val="16"/>
              </w:rPr>
              <w:t>42 C.F.R.</w:t>
            </w:r>
            <w:r w:rsidRPr="00990D3B">
              <w:rPr>
                <w:sz w:val="16"/>
                <w:szCs w:val="16"/>
              </w:rPr>
              <w:t xml:space="preserve"> 438.330(d) and </w:t>
            </w:r>
          </w:p>
          <w:p w:rsidR="00B1390D" w:rsidRPr="00990D3B" w:rsidP="00BD1FC3" w14:paraId="6DF5C498" w14:textId="6BDFAC66">
            <w:pPr>
              <w:pStyle w:val="EQRTableText"/>
              <w:rPr>
                <w:sz w:val="16"/>
                <w:szCs w:val="16"/>
              </w:rPr>
            </w:pPr>
            <w:r w:rsidRPr="00990D3B">
              <w:rPr>
                <w:b/>
                <w:sz w:val="16"/>
                <w:szCs w:val="16"/>
              </w:rPr>
              <w:t>CHIP:</w:t>
            </w:r>
            <w:r w:rsidRPr="00990D3B">
              <w:rPr>
                <w:sz w:val="16"/>
                <w:szCs w:val="16"/>
              </w:rPr>
              <w:t xml:space="preserve"> </w:t>
            </w:r>
            <w:r w:rsidRPr="00990D3B" w:rsidR="001C7FC0">
              <w:rPr>
                <w:sz w:val="16"/>
                <w:szCs w:val="16"/>
              </w:rPr>
              <w:t>42 C.F.R.</w:t>
            </w:r>
            <w:r w:rsidRPr="00990D3B">
              <w:rPr>
                <w:sz w:val="16"/>
                <w:szCs w:val="16"/>
              </w:rPr>
              <w:t xml:space="preserve"> 457.1240(b)</w:t>
            </w:r>
          </w:p>
        </w:tc>
        <w:tc>
          <w:tcPr>
            <w:tcW w:w="3989" w:type="dxa"/>
          </w:tcPr>
          <w:p w:rsidR="00B1390D" w:rsidRPr="00990D3B" w:rsidP="00E00D33" w14:paraId="0883FE46" w14:textId="77777777">
            <w:pPr>
              <w:pStyle w:val="EQRTableTextbullet"/>
              <w:rPr>
                <w:sz w:val="16"/>
                <w:szCs w:val="16"/>
              </w:rPr>
            </w:pPr>
            <w:r w:rsidRPr="00990D3B">
              <w:rPr>
                <w:sz w:val="16"/>
                <w:szCs w:val="16"/>
              </w:rPr>
              <w:t>Information on any PIP requirements specified by the state.</w:t>
            </w:r>
          </w:p>
          <w:p w:rsidR="00B1390D" w:rsidRPr="00990D3B" w:rsidP="00E00D33" w14:paraId="4ABE6B11" w14:textId="77777777">
            <w:pPr>
              <w:pStyle w:val="EQRTableTextbullet"/>
              <w:rPr>
                <w:sz w:val="16"/>
                <w:szCs w:val="16"/>
              </w:rPr>
            </w:pPr>
            <w:r w:rsidRPr="00990D3B">
              <w:rPr>
                <w:sz w:val="16"/>
                <w:szCs w:val="16"/>
              </w:rPr>
              <w:t>Information on how often the state requests that each MCP report the status and results of each project conducted per paragraph (d)(1) of this section.</w:t>
            </w:r>
          </w:p>
          <w:p w:rsidR="00B1390D" w:rsidRPr="00990D3B" w:rsidP="00E00D33" w14:paraId="061E4864" w14:textId="7EE5AFC0">
            <w:pPr>
              <w:pStyle w:val="EQRTableTextbullet"/>
              <w:rPr>
                <w:sz w:val="16"/>
                <w:szCs w:val="16"/>
              </w:rPr>
            </w:pPr>
            <w:r w:rsidRPr="00990D3B">
              <w:rPr>
                <w:sz w:val="16"/>
                <w:szCs w:val="16"/>
              </w:rPr>
              <w:t xml:space="preserve">Information on if the state permits an MCP exclusively serving </w:t>
            </w:r>
            <w:r w:rsidRPr="00990D3B" w:rsidR="0090723C">
              <w:rPr>
                <w:sz w:val="16"/>
                <w:szCs w:val="16"/>
              </w:rPr>
              <w:t>beneficiaries who are dually eligible for Medicare and Medicaid</w:t>
            </w:r>
            <w:r w:rsidRPr="00990D3B">
              <w:rPr>
                <w:sz w:val="16"/>
                <w:szCs w:val="16"/>
              </w:rPr>
              <w:t xml:space="preserve"> to substitute an MA Organization quality improvement project conducted unde</w:t>
            </w:r>
            <w:r w:rsidRPr="00990D3B" w:rsidR="00C67AC8">
              <w:rPr>
                <w:sz w:val="16"/>
                <w:szCs w:val="16"/>
              </w:rPr>
              <w:t>r</w:t>
            </w:r>
            <w:r w:rsidRPr="00990D3B">
              <w:rPr>
                <w:sz w:val="16"/>
                <w:szCs w:val="16"/>
              </w:rPr>
              <w:t xml:space="preserve"> 422.152(d) of this chapter for one or more of the performance improvement projects otherwise required under this section.</w:t>
            </w:r>
          </w:p>
        </w:tc>
        <w:tc>
          <w:tcPr>
            <w:tcW w:w="4488" w:type="dxa"/>
          </w:tcPr>
          <w:p w:rsidR="00B1390D" w:rsidRPr="00990D3B" w:rsidP="00E00D33" w14:paraId="52CBD64E" w14:textId="77777777">
            <w:pPr>
              <w:pStyle w:val="EQRTableTextbullet"/>
              <w:rPr>
                <w:sz w:val="16"/>
                <w:szCs w:val="16"/>
              </w:rPr>
            </w:pPr>
            <w:r w:rsidRPr="00990D3B">
              <w:rPr>
                <w:sz w:val="16"/>
                <w:szCs w:val="16"/>
              </w:rPr>
              <w:t>Reports and status documentation of MCP internal QAPI evaluations (AM)</w:t>
            </w:r>
          </w:p>
        </w:tc>
        <w:tc>
          <w:tcPr>
            <w:tcW w:w="3241" w:type="dxa"/>
          </w:tcPr>
          <w:p w:rsidR="007061A7" w:rsidRPr="00990D3B" w:rsidP="007061A7" w14:paraId="66041BB7" w14:textId="77777777">
            <w:pPr>
              <w:pStyle w:val="EQRTableText"/>
              <w:rPr>
                <w:b/>
                <w:sz w:val="16"/>
                <w:szCs w:val="16"/>
              </w:rPr>
            </w:pPr>
            <w:r w:rsidRPr="00990D3B">
              <w:rPr>
                <w:b/>
                <w:sz w:val="16"/>
                <w:szCs w:val="16"/>
              </w:rPr>
              <w:t xml:space="preserve">Medicaid: </w:t>
            </w:r>
          </w:p>
          <w:p w:rsidR="007061A7" w:rsidRPr="00990D3B" w:rsidP="007061A7" w14:paraId="46A82BA6"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3C9F55EC"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47B017AD"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498912A0"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2A9C689B"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4D65CC0A"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7061A7" w:rsidRPr="00990D3B" w:rsidP="007061A7" w14:paraId="55516B48" w14:textId="77777777">
            <w:pPr>
              <w:pStyle w:val="EQRTableText"/>
              <w:rPr>
                <w:sz w:val="16"/>
                <w:szCs w:val="16"/>
              </w:rPr>
            </w:pPr>
            <w:r w:rsidRPr="00990D3B">
              <w:rPr>
                <w:sz w:val="16"/>
                <w:szCs w:val="16"/>
              </w:rPr>
              <w:t>Reviewer Notes:</w:t>
            </w:r>
          </w:p>
          <w:p w:rsidR="007061A7" w:rsidRPr="00990D3B" w:rsidP="007061A7" w14:paraId="2F8D8638" w14:textId="77777777">
            <w:pPr>
              <w:pStyle w:val="EQRTableText"/>
              <w:rPr>
                <w:b/>
                <w:sz w:val="16"/>
                <w:szCs w:val="16"/>
              </w:rPr>
            </w:pPr>
            <w:r w:rsidRPr="00990D3B">
              <w:rPr>
                <w:b/>
                <w:sz w:val="16"/>
                <w:szCs w:val="16"/>
              </w:rPr>
              <w:t>CHIP:</w:t>
            </w:r>
          </w:p>
          <w:p w:rsidR="007061A7" w:rsidRPr="00990D3B" w:rsidP="007061A7" w14:paraId="6362DCBF"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62BB7363"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4C467B4D"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46F506C0"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4110BC0E"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3A0B49CA"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B1390D" w:rsidRPr="00990D3B" w:rsidP="007061A7" w14:paraId="458BE495" w14:textId="5E1AA904">
            <w:pPr>
              <w:pStyle w:val="EQRTableText"/>
              <w:rPr>
                <w:sz w:val="16"/>
                <w:szCs w:val="16"/>
              </w:rPr>
            </w:pPr>
            <w:r w:rsidRPr="00990D3B">
              <w:rPr>
                <w:sz w:val="16"/>
                <w:szCs w:val="16"/>
              </w:rPr>
              <w:t>Reviewer Notes:</w:t>
            </w:r>
          </w:p>
        </w:tc>
      </w:tr>
      <w:tr w14:paraId="0FD0A0A2" w14:textId="77777777" w:rsidTr="00E07DE2">
        <w:tblPrEx>
          <w:tblW w:w="5436" w:type="pct"/>
          <w:tblLayout w:type="fixed"/>
          <w:tblCellMar>
            <w:left w:w="115" w:type="dxa"/>
            <w:right w:w="115" w:type="dxa"/>
          </w:tblCellMar>
          <w:tblLook w:val="04A0"/>
        </w:tblPrEx>
        <w:trPr>
          <w:cantSplit/>
        </w:trPr>
        <w:tc>
          <w:tcPr>
            <w:tcW w:w="2361" w:type="dxa"/>
          </w:tcPr>
          <w:p w:rsidR="00B1390D" w:rsidRPr="00990D3B" w:rsidP="00BD1FC3" w14:paraId="2F0AAAAC" w14:textId="77777777">
            <w:pPr>
              <w:pStyle w:val="EQRTableText"/>
              <w:rPr>
                <w:b/>
                <w:sz w:val="16"/>
                <w:szCs w:val="16"/>
              </w:rPr>
            </w:pPr>
            <w:r w:rsidRPr="00990D3B">
              <w:rPr>
                <w:b/>
                <w:sz w:val="16"/>
                <w:szCs w:val="16"/>
              </w:rPr>
              <w:t>QAPI evaluations review</w:t>
            </w:r>
          </w:p>
          <w:p w:rsidR="00B1390D" w:rsidRPr="00990D3B" w:rsidP="00BD1FC3" w14:paraId="474246AD" w14:textId="4C944BC4">
            <w:pPr>
              <w:pStyle w:val="EQRTableText"/>
              <w:rPr>
                <w:b/>
                <w:sz w:val="16"/>
                <w:szCs w:val="16"/>
              </w:rPr>
            </w:pPr>
            <w:r w:rsidRPr="00990D3B">
              <w:rPr>
                <w:b/>
                <w:sz w:val="16"/>
                <w:szCs w:val="16"/>
              </w:rPr>
              <w:t xml:space="preserve">Medicaid: </w:t>
            </w:r>
            <w:r w:rsidRPr="00990D3B" w:rsidR="001C7FC0">
              <w:rPr>
                <w:sz w:val="16"/>
                <w:szCs w:val="16"/>
              </w:rPr>
              <w:t>42 C.F.R.</w:t>
            </w:r>
            <w:r w:rsidRPr="00990D3B">
              <w:rPr>
                <w:sz w:val="16"/>
                <w:szCs w:val="16"/>
              </w:rPr>
              <w:t xml:space="preserve"> 438.330(e)(2): Program and review by the state</w:t>
            </w:r>
          </w:p>
          <w:p w:rsidR="00B1390D" w:rsidRPr="00990D3B" w:rsidP="00BD1FC3" w14:paraId="549E2B8B" w14:textId="702B7125">
            <w:pPr>
              <w:pStyle w:val="EQRTableText"/>
              <w:rPr>
                <w:b/>
                <w:sz w:val="16"/>
                <w:szCs w:val="16"/>
              </w:rPr>
            </w:pPr>
            <w:r w:rsidRPr="00990D3B">
              <w:rPr>
                <w:b/>
                <w:sz w:val="16"/>
                <w:szCs w:val="16"/>
              </w:rPr>
              <w:t xml:space="preserve">CHIP: </w:t>
            </w:r>
            <w:r w:rsidRPr="00990D3B" w:rsidR="001C7FC0">
              <w:rPr>
                <w:sz w:val="16"/>
                <w:szCs w:val="16"/>
              </w:rPr>
              <w:t>42 C.F.R.</w:t>
            </w:r>
            <w:r w:rsidRPr="00990D3B">
              <w:rPr>
                <w:sz w:val="16"/>
                <w:szCs w:val="16"/>
              </w:rPr>
              <w:t xml:space="preserve"> 457.1240(b): Quality assessment and performance improvement program</w:t>
            </w:r>
          </w:p>
        </w:tc>
        <w:tc>
          <w:tcPr>
            <w:tcW w:w="3989" w:type="dxa"/>
          </w:tcPr>
          <w:p w:rsidR="00B1390D" w:rsidRPr="00990D3B" w:rsidP="00E00D33" w14:paraId="52F96563" w14:textId="77777777">
            <w:pPr>
              <w:pStyle w:val="EQRTableTextbullet"/>
              <w:rPr>
                <w:sz w:val="16"/>
                <w:szCs w:val="16"/>
              </w:rPr>
            </w:pPr>
            <w:r w:rsidRPr="00990D3B">
              <w:rPr>
                <w:sz w:val="16"/>
                <w:szCs w:val="16"/>
              </w:rPr>
              <w:t>Information on whether the state requires its MCPs to develop a process to evaluate the impact and effectiveness of its own quality assessment and performance improvement program. If so, information on the frequency with which that evaluation must be conducted, and on the state’s requirements for how MCPs conduct that process.</w:t>
            </w:r>
          </w:p>
        </w:tc>
        <w:tc>
          <w:tcPr>
            <w:tcW w:w="4488" w:type="dxa"/>
          </w:tcPr>
          <w:p w:rsidR="00B1390D" w:rsidRPr="00990D3B" w:rsidP="00E00D33" w14:paraId="44B36467" w14:textId="77777777">
            <w:pPr>
              <w:pStyle w:val="EQRTableTextbullet"/>
              <w:rPr>
                <w:sz w:val="16"/>
                <w:szCs w:val="16"/>
              </w:rPr>
            </w:pPr>
            <w:r w:rsidRPr="00990D3B">
              <w:rPr>
                <w:sz w:val="16"/>
                <w:szCs w:val="16"/>
              </w:rPr>
              <w:t>Reports and status documentation of MCP internal QAPI evaluations (AM)</w:t>
            </w:r>
          </w:p>
        </w:tc>
        <w:tc>
          <w:tcPr>
            <w:tcW w:w="3241" w:type="dxa"/>
          </w:tcPr>
          <w:p w:rsidR="007061A7" w:rsidRPr="00990D3B" w:rsidP="007061A7" w14:paraId="191F0BA2" w14:textId="77777777">
            <w:pPr>
              <w:pStyle w:val="EQRTableText"/>
              <w:rPr>
                <w:b/>
                <w:sz w:val="16"/>
                <w:szCs w:val="16"/>
              </w:rPr>
            </w:pPr>
            <w:r w:rsidRPr="00990D3B">
              <w:rPr>
                <w:b/>
                <w:sz w:val="16"/>
                <w:szCs w:val="16"/>
              </w:rPr>
              <w:t xml:space="preserve">Medicaid: </w:t>
            </w:r>
          </w:p>
          <w:p w:rsidR="007061A7" w:rsidRPr="00990D3B" w:rsidP="007061A7" w14:paraId="570E05B0"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4FFD27D9"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3DEE93C9"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04A86BB3"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4C387829"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2D669756"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7061A7" w:rsidRPr="00990D3B" w:rsidP="007061A7" w14:paraId="53C87AEF" w14:textId="77777777">
            <w:pPr>
              <w:pStyle w:val="EQRTableText"/>
              <w:rPr>
                <w:sz w:val="16"/>
                <w:szCs w:val="16"/>
              </w:rPr>
            </w:pPr>
            <w:r w:rsidRPr="00990D3B">
              <w:rPr>
                <w:sz w:val="16"/>
                <w:szCs w:val="16"/>
              </w:rPr>
              <w:t>Reviewer Notes:</w:t>
            </w:r>
          </w:p>
          <w:p w:rsidR="007061A7" w:rsidRPr="00990D3B" w:rsidP="007061A7" w14:paraId="4D21019C" w14:textId="77777777">
            <w:pPr>
              <w:pStyle w:val="EQRTableText"/>
              <w:rPr>
                <w:b/>
                <w:sz w:val="16"/>
                <w:szCs w:val="16"/>
              </w:rPr>
            </w:pPr>
            <w:r w:rsidRPr="00990D3B">
              <w:rPr>
                <w:b/>
                <w:sz w:val="16"/>
                <w:szCs w:val="16"/>
              </w:rPr>
              <w:t>CHIP:</w:t>
            </w:r>
          </w:p>
          <w:p w:rsidR="007061A7" w:rsidRPr="00990D3B" w:rsidP="007061A7" w14:paraId="06478EE6"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0241BD23"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2F01A84E"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6DA281D7"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0E5C0D38"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7C73D769"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B1390D" w:rsidRPr="00990D3B" w:rsidP="007061A7" w14:paraId="4F050D00" w14:textId="031BCE96">
            <w:pPr>
              <w:pStyle w:val="EQRTableText"/>
              <w:rPr>
                <w:b/>
                <w:sz w:val="16"/>
                <w:szCs w:val="16"/>
              </w:rPr>
            </w:pPr>
            <w:r w:rsidRPr="00990D3B">
              <w:rPr>
                <w:sz w:val="16"/>
                <w:szCs w:val="16"/>
              </w:rPr>
              <w:t>Reviewer Notes:</w:t>
            </w:r>
          </w:p>
        </w:tc>
      </w:tr>
    </w:tbl>
    <w:p w:rsidR="004E5913" w:rsidRPr="00990D3B" w:rsidP="00BD1FC3" w14:paraId="19E5062B" w14:textId="316C8A55">
      <w:pPr>
        <w:pStyle w:val="EQRNormalSSWORKSHEET"/>
      </w:pPr>
    </w:p>
    <w:p w:rsidR="004E5913" w:rsidRPr="00990D3B" w:rsidP="00BD1FC3" w14:paraId="022A5F50" w14:textId="77777777">
      <w:pPr>
        <w:rPr>
          <w:rFonts w:ascii="Arial" w:eastAsia="Calibri" w:hAnsi="Arial"/>
          <w:sz w:val="18"/>
          <w:szCs w:val="18"/>
        </w:rPr>
      </w:pPr>
      <w:r w:rsidRPr="00990D3B">
        <w:br w:type="page"/>
      </w:r>
    </w:p>
    <w:p w:rsidR="00D3058C" w:rsidRPr="00BC57B8" w14:paraId="39547574" w14:textId="2B684356">
      <w:pPr>
        <w:pStyle w:val="MarkforTableTitle"/>
      </w:pPr>
      <w:r w:rsidRPr="00BC57B8">
        <w:t>Grievance System</w:t>
      </w:r>
    </w:p>
    <w:tbl>
      <w:tblPr>
        <w:tblStyle w:val="TableGrid"/>
        <w:tblW w:w="5340" w:type="pct"/>
        <w:tblLook w:val="04A0"/>
      </w:tblPr>
      <w:tblGrid>
        <w:gridCol w:w="2363"/>
        <w:gridCol w:w="4114"/>
        <w:gridCol w:w="4238"/>
        <w:gridCol w:w="3116"/>
      </w:tblGrid>
      <w:tr w14:paraId="69097659" w14:textId="77777777" w:rsidTr="00D3058C">
        <w:tblPrEx>
          <w:tblW w:w="5340" w:type="pct"/>
          <w:tblLook w:val="04A0"/>
        </w:tblPrEx>
        <w:trPr>
          <w:cantSplit/>
          <w:tblHeader/>
        </w:trPr>
        <w:tc>
          <w:tcPr>
            <w:tcW w:w="2363" w:type="dxa"/>
            <w:vAlign w:val="bottom"/>
          </w:tcPr>
          <w:p w:rsidR="004E5913" w:rsidRPr="00990D3B" w:rsidP="00BD1FC3" w14:paraId="351E8B25" w14:textId="77777777">
            <w:pPr>
              <w:pStyle w:val="EQRTableHeaderLeft"/>
              <w:rPr>
                <w:color w:val="000000" w:themeColor="text1"/>
                <w:sz w:val="16"/>
                <w:szCs w:val="16"/>
              </w:rPr>
            </w:pPr>
            <w:r w:rsidRPr="00990D3B">
              <w:rPr>
                <w:color w:val="000000" w:themeColor="text1"/>
                <w:sz w:val="16"/>
                <w:szCs w:val="16"/>
              </w:rPr>
              <w:t>Federal Regulation Source(s)</w:t>
            </w:r>
          </w:p>
        </w:tc>
        <w:tc>
          <w:tcPr>
            <w:tcW w:w="4114" w:type="dxa"/>
            <w:vAlign w:val="bottom"/>
          </w:tcPr>
          <w:p w:rsidR="004E5913" w:rsidRPr="00990D3B" w:rsidP="00BD1FC3" w14:paraId="6FCCCEB3" w14:textId="77777777">
            <w:pPr>
              <w:pStyle w:val="EQRTableHeaderCenter"/>
              <w:rPr>
                <w:color w:val="000000" w:themeColor="text1"/>
                <w:sz w:val="16"/>
                <w:szCs w:val="16"/>
              </w:rPr>
            </w:pPr>
            <w:r w:rsidRPr="00990D3B">
              <w:rPr>
                <w:color w:val="000000" w:themeColor="text1"/>
                <w:sz w:val="16"/>
                <w:szCs w:val="16"/>
              </w:rPr>
              <w:t>State Policy/Regulation Information Needed to Determine MCP Compliance</w:t>
            </w:r>
          </w:p>
        </w:tc>
        <w:tc>
          <w:tcPr>
            <w:tcW w:w="4238" w:type="dxa"/>
            <w:vAlign w:val="bottom"/>
          </w:tcPr>
          <w:p w:rsidR="004E5913" w:rsidRPr="00990D3B" w:rsidP="00BD1FC3" w14:paraId="1F229514" w14:textId="77777777">
            <w:pPr>
              <w:pStyle w:val="EQRTableHeaderCenter"/>
              <w:rPr>
                <w:color w:val="000000" w:themeColor="text1"/>
                <w:sz w:val="16"/>
                <w:szCs w:val="16"/>
              </w:rPr>
            </w:pPr>
            <w:r w:rsidRPr="00990D3B">
              <w:rPr>
                <w:color w:val="000000" w:themeColor="text1"/>
                <w:sz w:val="16"/>
                <w:szCs w:val="16"/>
              </w:rPr>
              <w:t>Applicable MCP Documents</w:t>
            </w:r>
          </w:p>
        </w:tc>
        <w:tc>
          <w:tcPr>
            <w:tcW w:w="3116" w:type="dxa"/>
            <w:vAlign w:val="bottom"/>
          </w:tcPr>
          <w:p w:rsidR="004E5913" w:rsidRPr="00990D3B" w:rsidP="00BD1FC3" w14:paraId="0CBDD10C" w14:textId="44664468">
            <w:pPr>
              <w:pStyle w:val="EQRTableHeaderCenter"/>
              <w:rPr>
                <w:color w:val="000000" w:themeColor="text1"/>
                <w:sz w:val="16"/>
                <w:szCs w:val="16"/>
              </w:rPr>
            </w:pPr>
            <w:r w:rsidRPr="00990D3B">
              <w:rPr>
                <w:color w:val="000000" w:themeColor="text1"/>
                <w:sz w:val="16"/>
                <w:szCs w:val="16"/>
              </w:rPr>
              <w:t>Reviewer Determination</w:t>
            </w:r>
            <w:r w:rsidRPr="00990D3B" w:rsidR="00DB509D">
              <w:rPr>
                <w:color w:val="000000" w:themeColor="text1"/>
                <w:sz w:val="16"/>
                <w:szCs w:val="16"/>
              </w:rPr>
              <w:t xml:space="preserve"> </w:t>
            </w:r>
            <w:r w:rsidRPr="00990D3B" w:rsidR="00DB509D">
              <w:rPr>
                <w:bCs/>
                <w:color w:val="000000" w:themeColor="text1"/>
                <w:sz w:val="16"/>
                <w:szCs w:val="16"/>
              </w:rPr>
              <w:t>(See</w:t>
            </w:r>
            <w:r w:rsidRPr="006F5BEC" w:rsidR="00DB509D">
              <w:rPr>
                <w:color w:val="auto"/>
                <w:sz w:val="16"/>
                <w:szCs w:val="16"/>
              </w:rPr>
              <w:t xml:space="preserve"> </w:t>
            </w:r>
            <w:hyperlink w:anchor="WSp3n02" w:tooltip="Worksheet 3.2" w:history="1">
              <w:r w:rsidRPr="00990D3B" w:rsidR="00DB509D">
                <w:rPr>
                  <w:rStyle w:val="Hyperlink"/>
                  <w:bCs/>
                  <w:sz w:val="16"/>
                  <w:szCs w:val="16"/>
                </w:rPr>
                <w:t>Worksheet 3.2</w:t>
              </w:r>
            </w:hyperlink>
            <w:r w:rsidRPr="006F5BEC" w:rsidR="00DB509D">
              <w:rPr>
                <w:color w:val="auto"/>
                <w:sz w:val="16"/>
                <w:szCs w:val="16"/>
              </w:rPr>
              <w:t xml:space="preserve"> </w:t>
            </w:r>
            <w:r w:rsidRPr="00990D3B" w:rsidR="00DB509D">
              <w:rPr>
                <w:bCs/>
                <w:color w:val="000000" w:themeColor="text1"/>
                <w:sz w:val="16"/>
                <w:szCs w:val="16"/>
              </w:rPr>
              <w:t>for approaches to compliance scoring)</w:t>
            </w:r>
          </w:p>
        </w:tc>
      </w:tr>
      <w:tr w14:paraId="6209E258" w14:textId="77777777" w:rsidTr="00D3058C">
        <w:tblPrEx>
          <w:tblW w:w="5340" w:type="pct"/>
          <w:tblLook w:val="04A0"/>
        </w:tblPrEx>
        <w:trPr>
          <w:cantSplit/>
        </w:trPr>
        <w:tc>
          <w:tcPr>
            <w:tcW w:w="2363" w:type="dxa"/>
          </w:tcPr>
          <w:p w:rsidR="004E5913" w:rsidRPr="00990D3B" w:rsidP="00BD1FC3" w14:paraId="2B0E2EFE" w14:textId="19742461">
            <w:pPr>
              <w:pStyle w:val="EQRTableText"/>
              <w:rPr>
                <w:b/>
                <w:sz w:val="16"/>
                <w:szCs w:val="16"/>
              </w:rPr>
            </w:pPr>
            <w:r w:rsidRPr="00990D3B">
              <w:rPr>
                <w:b/>
                <w:sz w:val="16"/>
                <w:szCs w:val="16"/>
              </w:rPr>
              <w:t xml:space="preserve">Grievance </w:t>
            </w:r>
            <w:r w:rsidRPr="00990D3B" w:rsidR="00984522">
              <w:rPr>
                <w:b/>
                <w:sz w:val="16"/>
                <w:szCs w:val="16"/>
              </w:rPr>
              <w:t>s</w:t>
            </w:r>
            <w:r w:rsidRPr="00990D3B">
              <w:rPr>
                <w:b/>
                <w:sz w:val="16"/>
                <w:szCs w:val="16"/>
              </w:rPr>
              <w:t>ystems</w:t>
            </w:r>
          </w:p>
          <w:p w:rsidR="004E5913" w:rsidRPr="00990D3B" w:rsidP="00BD1FC3" w14:paraId="75AD05DC" w14:textId="257CDEB9">
            <w:pPr>
              <w:pStyle w:val="EQRTableText"/>
              <w:rPr>
                <w:sz w:val="16"/>
                <w:szCs w:val="16"/>
              </w:rPr>
            </w:pPr>
            <w:r w:rsidRPr="00990D3B">
              <w:rPr>
                <w:b/>
                <w:sz w:val="16"/>
                <w:szCs w:val="16"/>
              </w:rPr>
              <w:t>Medicaid:</w:t>
            </w:r>
            <w:r w:rsidRPr="00990D3B">
              <w:rPr>
                <w:sz w:val="16"/>
                <w:szCs w:val="16"/>
              </w:rPr>
              <w:t xml:space="preserve"> </w:t>
            </w:r>
            <w:r w:rsidRPr="00990D3B" w:rsidR="001C7FC0">
              <w:rPr>
                <w:sz w:val="16"/>
                <w:szCs w:val="16"/>
              </w:rPr>
              <w:t>42 C.F.R.</w:t>
            </w:r>
            <w:r w:rsidRPr="00990D3B" w:rsidR="007854DF">
              <w:rPr>
                <w:sz w:val="16"/>
                <w:szCs w:val="16"/>
              </w:rPr>
              <w:t xml:space="preserve"> </w:t>
            </w:r>
            <w:r w:rsidRPr="00990D3B">
              <w:rPr>
                <w:sz w:val="16"/>
                <w:szCs w:val="16"/>
              </w:rPr>
              <w:t>438.228: Grievance and appeal systems</w:t>
            </w:r>
          </w:p>
          <w:p w:rsidR="00A54EF4" w:rsidRPr="00990D3B" w:rsidP="0044662A" w14:paraId="5A2D8703" w14:textId="61A27900">
            <w:pPr>
              <w:pStyle w:val="EQRTableText"/>
              <w:rPr>
                <w:b/>
                <w:sz w:val="16"/>
                <w:szCs w:val="16"/>
              </w:rPr>
            </w:pPr>
            <w:r w:rsidRPr="00990D3B">
              <w:rPr>
                <w:b/>
                <w:sz w:val="16"/>
                <w:szCs w:val="16"/>
              </w:rPr>
              <w:t xml:space="preserve">CHIP: </w:t>
            </w:r>
            <w:r w:rsidRPr="00990D3B" w:rsidR="001C7FC0">
              <w:rPr>
                <w:sz w:val="16"/>
                <w:szCs w:val="16"/>
              </w:rPr>
              <w:t>42 C.F.R.</w:t>
            </w:r>
            <w:r w:rsidRPr="00990D3B">
              <w:rPr>
                <w:sz w:val="16"/>
                <w:szCs w:val="16"/>
              </w:rPr>
              <w:t xml:space="preserve"> 457.1260: Grievance system</w:t>
            </w:r>
          </w:p>
        </w:tc>
        <w:tc>
          <w:tcPr>
            <w:tcW w:w="4114" w:type="dxa"/>
          </w:tcPr>
          <w:p w:rsidR="004E5913" w:rsidRPr="00990D3B" w:rsidP="00E00D33" w14:paraId="1FA15589" w14:textId="77777777">
            <w:pPr>
              <w:pStyle w:val="EQRTableTextbullet"/>
              <w:rPr>
                <w:sz w:val="16"/>
                <w:szCs w:val="16"/>
              </w:rPr>
            </w:pPr>
            <w:r w:rsidRPr="00990D3B">
              <w:rPr>
                <w:sz w:val="16"/>
                <w:szCs w:val="16"/>
              </w:rPr>
              <w:t>Obtain information on:</w:t>
            </w:r>
          </w:p>
          <w:p w:rsidR="004E5913" w:rsidRPr="00990D3B" w:rsidP="00E00D33" w14:paraId="0B5B1B46" w14:textId="427918E7">
            <w:pPr>
              <w:pStyle w:val="EQRTableTextbullet"/>
              <w:rPr>
                <w:sz w:val="16"/>
                <w:szCs w:val="16"/>
              </w:rPr>
            </w:pPr>
            <w:r w:rsidRPr="00990D3B">
              <w:rPr>
                <w:sz w:val="16"/>
                <w:szCs w:val="16"/>
              </w:rPr>
              <w:t xml:space="preserve">Whether or not the </w:t>
            </w:r>
            <w:r w:rsidRPr="00990D3B" w:rsidR="00832946">
              <w:rPr>
                <w:sz w:val="16"/>
                <w:szCs w:val="16"/>
              </w:rPr>
              <w:t>Medicaid and CHIP</w:t>
            </w:r>
            <w:r w:rsidRPr="00990D3B">
              <w:rPr>
                <w:sz w:val="16"/>
                <w:szCs w:val="16"/>
              </w:rPr>
              <w:t xml:space="preserve"> </w:t>
            </w:r>
            <w:r w:rsidRPr="00990D3B" w:rsidR="00C67AC8">
              <w:rPr>
                <w:sz w:val="16"/>
                <w:szCs w:val="16"/>
              </w:rPr>
              <w:t xml:space="preserve">program </w:t>
            </w:r>
            <w:r w:rsidRPr="00990D3B">
              <w:rPr>
                <w:sz w:val="16"/>
                <w:szCs w:val="16"/>
              </w:rPr>
              <w:t>delegates responsibility to the MCP for providing each enrollee (who has received an adverse decision with respect to a request for a covered service) notice that he or she has the right to a state fair hearing or review to reconsider their request for the covered service.</w:t>
            </w:r>
          </w:p>
        </w:tc>
        <w:tc>
          <w:tcPr>
            <w:tcW w:w="4238" w:type="dxa"/>
          </w:tcPr>
          <w:p w:rsidR="004E5913" w:rsidRPr="00990D3B" w:rsidP="00E00D33" w14:paraId="4132103D" w14:textId="77777777">
            <w:pPr>
              <w:pStyle w:val="EQRTableTextbullet"/>
              <w:rPr>
                <w:sz w:val="16"/>
                <w:szCs w:val="16"/>
              </w:rPr>
            </w:pPr>
            <w:r w:rsidRPr="00990D3B">
              <w:rPr>
                <w:sz w:val="16"/>
                <w:szCs w:val="16"/>
              </w:rPr>
              <w:t>Enrollee grievance and appeals policies and procedures (ES)</w:t>
            </w:r>
          </w:p>
          <w:p w:rsidR="004E5913" w:rsidRPr="00990D3B" w:rsidP="00E00D33" w14:paraId="38A5DCC3" w14:textId="77777777">
            <w:pPr>
              <w:pStyle w:val="EQRTableTextbullet"/>
              <w:rPr>
                <w:sz w:val="16"/>
                <w:szCs w:val="16"/>
              </w:rPr>
            </w:pPr>
            <w:r w:rsidRPr="00990D3B">
              <w:rPr>
                <w:sz w:val="16"/>
                <w:szCs w:val="16"/>
              </w:rPr>
              <w:t>Enrollee grievance and appeal tracking reports (ES)</w:t>
            </w:r>
          </w:p>
        </w:tc>
        <w:tc>
          <w:tcPr>
            <w:tcW w:w="3116" w:type="dxa"/>
          </w:tcPr>
          <w:p w:rsidR="007061A7" w:rsidRPr="00990D3B" w:rsidP="007061A7" w14:paraId="56EBB14A" w14:textId="77777777">
            <w:pPr>
              <w:pStyle w:val="EQRTableText"/>
              <w:rPr>
                <w:b/>
                <w:sz w:val="16"/>
                <w:szCs w:val="16"/>
              </w:rPr>
            </w:pPr>
            <w:r w:rsidRPr="00990D3B">
              <w:rPr>
                <w:b/>
                <w:sz w:val="16"/>
                <w:szCs w:val="16"/>
              </w:rPr>
              <w:t xml:space="preserve">Medicaid: </w:t>
            </w:r>
          </w:p>
          <w:p w:rsidR="007061A7" w:rsidRPr="00990D3B" w:rsidP="007061A7" w14:paraId="2AFD3B67"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4FDC97E3"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5CBBC584"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2A9541EE"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3B0F0D4B"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4B7DDB2D"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7061A7" w:rsidRPr="00990D3B" w:rsidP="007061A7" w14:paraId="364E1A86" w14:textId="77777777">
            <w:pPr>
              <w:pStyle w:val="EQRTableText"/>
              <w:rPr>
                <w:sz w:val="16"/>
                <w:szCs w:val="16"/>
              </w:rPr>
            </w:pPr>
            <w:r w:rsidRPr="00990D3B">
              <w:rPr>
                <w:sz w:val="16"/>
                <w:szCs w:val="16"/>
              </w:rPr>
              <w:t>Reviewer Notes:</w:t>
            </w:r>
          </w:p>
          <w:p w:rsidR="007061A7" w:rsidRPr="00990D3B" w:rsidP="007061A7" w14:paraId="6D5C63F7" w14:textId="77777777">
            <w:pPr>
              <w:pStyle w:val="EQRTableText"/>
              <w:rPr>
                <w:b/>
                <w:sz w:val="16"/>
                <w:szCs w:val="16"/>
              </w:rPr>
            </w:pPr>
            <w:r w:rsidRPr="00990D3B">
              <w:rPr>
                <w:b/>
                <w:sz w:val="16"/>
                <w:szCs w:val="16"/>
              </w:rPr>
              <w:t>CHIP:</w:t>
            </w:r>
          </w:p>
          <w:p w:rsidR="007061A7" w:rsidRPr="00990D3B" w:rsidP="007061A7" w14:paraId="0C73DA0B"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53808D45"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05B86F87"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0F9B5142"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548901D4"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27180C57"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4E5913" w:rsidRPr="00990D3B" w:rsidP="007061A7" w14:paraId="4F96AA23" w14:textId="609E35C7">
            <w:pPr>
              <w:pStyle w:val="EQRTableText"/>
              <w:rPr>
                <w:b/>
                <w:sz w:val="16"/>
                <w:szCs w:val="16"/>
              </w:rPr>
            </w:pPr>
            <w:r w:rsidRPr="00990D3B">
              <w:rPr>
                <w:sz w:val="16"/>
                <w:szCs w:val="16"/>
              </w:rPr>
              <w:t xml:space="preserve">Reviewer </w:t>
            </w:r>
            <w:r w:rsidRPr="00990D3B">
              <w:rPr>
                <w:sz w:val="16"/>
                <w:szCs w:val="16"/>
              </w:rPr>
              <w:t>Notes:</w:t>
            </w:r>
            <w:r w:rsidRPr="00990D3B">
              <w:rPr>
                <w:sz w:val="16"/>
                <w:szCs w:val="16"/>
              </w:rPr>
              <w:t>:</w:t>
            </w:r>
          </w:p>
        </w:tc>
      </w:tr>
      <w:tr w14:paraId="39B56163" w14:textId="77777777" w:rsidTr="00D3058C">
        <w:tblPrEx>
          <w:tblW w:w="5340" w:type="pct"/>
          <w:tblLook w:val="04A0"/>
        </w:tblPrEx>
        <w:trPr>
          <w:cantSplit/>
        </w:trPr>
        <w:tc>
          <w:tcPr>
            <w:tcW w:w="2363" w:type="dxa"/>
          </w:tcPr>
          <w:p w:rsidR="004E5913" w:rsidRPr="00990D3B" w:rsidP="00BD1FC3" w14:paraId="303D3DCF" w14:textId="77777777">
            <w:pPr>
              <w:pStyle w:val="EQRTableText"/>
              <w:rPr>
                <w:b/>
                <w:sz w:val="16"/>
                <w:szCs w:val="16"/>
              </w:rPr>
            </w:pPr>
            <w:r w:rsidRPr="00990D3B">
              <w:rPr>
                <w:b/>
                <w:sz w:val="16"/>
                <w:szCs w:val="16"/>
              </w:rPr>
              <w:t>General requirements</w:t>
            </w:r>
          </w:p>
          <w:p w:rsidR="004E5913" w:rsidRPr="00990D3B" w:rsidP="00BD1FC3" w14:paraId="387900FF" w14:textId="0614C034">
            <w:pPr>
              <w:pStyle w:val="EQRTableText"/>
              <w:rPr>
                <w:sz w:val="16"/>
                <w:szCs w:val="16"/>
              </w:rPr>
            </w:pPr>
            <w:r w:rsidRPr="00990D3B">
              <w:rPr>
                <w:b/>
                <w:sz w:val="16"/>
                <w:szCs w:val="16"/>
              </w:rPr>
              <w:t>Medicaid</w:t>
            </w:r>
            <w:r w:rsidRPr="00990D3B">
              <w:rPr>
                <w:sz w:val="16"/>
                <w:szCs w:val="16"/>
              </w:rPr>
              <w:t xml:space="preserve">: </w:t>
            </w:r>
            <w:r w:rsidRPr="00990D3B" w:rsidR="001C7FC0">
              <w:rPr>
                <w:sz w:val="16"/>
                <w:szCs w:val="16"/>
              </w:rPr>
              <w:t>42 C.F.R.</w:t>
            </w:r>
            <w:r w:rsidRPr="00990D3B" w:rsidR="007854DF">
              <w:rPr>
                <w:sz w:val="16"/>
                <w:szCs w:val="16"/>
              </w:rPr>
              <w:t xml:space="preserve"> </w:t>
            </w:r>
            <w:r w:rsidRPr="00990D3B">
              <w:rPr>
                <w:sz w:val="16"/>
                <w:szCs w:val="16"/>
              </w:rPr>
              <w:t>438.402: General requirements</w:t>
            </w:r>
          </w:p>
          <w:p w:rsidR="004E5913" w:rsidRPr="00990D3B" w:rsidP="00BD1FC3" w14:paraId="15280577" w14:textId="5736CC32">
            <w:pPr>
              <w:pStyle w:val="EQRTableText"/>
              <w:rPr>
                <w:sz w:val="16"/>
                <w:szCs w:val="16"/>
              </w:rPr>
            </w:pPr>
            <w:r w:rsidRPr="00990D3B">
              <w:rPr>
                <w:b/>
                <w:sz w:val="16"/>
                <w:szCs w:val="16"/>
              </w:rPr>
              <w:t xml:space="preserve">CHIP: </w:t>
            </w:r>
            <w:r w:rsidRPr="00990D3B" w:rsidR="001C7FC0">
              <w:rPr>
                <w:sz w:val="16"/>
                <w:szCs w:val="16"/>
              </w:rPr>
              <w:t>42 C.F.R.</w:t>
            </w:r>
            <w:r w:rsidRPr="00990D3B" w:rsidR="007854DF">
              <w:rPr>
                <w:sz w:val="16"/>
                <w:szCs w:val="16"/>
              </w:rPr>
              <w:t xml:space="preserve"> </w:t>
            </w:r>
            <w:r w:rsidRPr="00990D3B">
              <w:rPr>
                <w:sz w:val="16"/>
                <w:szCs w:val="16"/>
              </w:rPr>
              <w:t>457.1260: Grievance system</w:t>
            </w:r>
          </w:p>
          <w:p w:rsidR="004E5913" w:rsidRPr="00990D3B" w:rsidP="00BD1FC3" w14:paraId="3B665D01" w14:textId="77777777">
            <w:pPr>
              <w:pStyle w:val="EQRTableText"/>
              <w:rPr>
                <w:sz w:val="16"/>
                <w:szCs w:val="16"/>
              </w:rPr>
            </w:pPr>
          </w:p>
        </w:tc>
        <w:tc>
          <w:tcPr>
            <w:tcW w:w="4114" w:type="dxa"/>
          </w:tcPr>
          <w:p w:rsidR="004E5913" w:rsidRPr="00990D3B" w:rsidP="00937C83" w14:paraId="610AC0BC" w14:textId="77777777">
            <w:pPr>
              <w:pStyle w:val="EQRTableText"/>
              <w:rPr>
                <w:sz w:val="16"/>
                <w:szCs w:val="16"/>
              </w:rPr>
            </w:pPr>
            <w:r w:rsidRPr="00990D3B">
              <w:rPr>
                <w:sz w:val="16"/>
                <w:szCs w:val="16"/>
              </w:rPr>
              <w:t>Information on:</w:t>
            </w:r>
          </w:p>
          <w:p w:rsidR="004E5913" w:rsidRPr="00990D3B" w:rsidP="00937C83" w14:paraId="7490D02C" w14:textId="77777777">
            <w:pPr>
              <w:pStyle w:val="EQRTableTextbullet"/>
              <w:ind w:left="144" w:hanging="144"/>
              <w:rPr>
                <w:sz w:val="16"/>
                <w:szCs w:val="16"/>
              </w:rPr>
            </w:pPr>
            <w:r w:rsidRPr="00990D3B">
              <w:rPr>
                <w:sz w:val="16"/>
                <w:szCs w:val="16"/>
              </w:rPr>
              <w:t xml:space="preserve">Whether </w:t>
            </w:r>
            <w:r w:rsidRPr="00990D3B">
              <w:rPr>
                <w:sz w:val="16"/>
                <w:szCs w:val="16"/>
              </w:rPr>
              <w:t>enrollees</w:t>
            </w:r>
            <w:r w:rsidRPr="00990D3B">
              <w:rPr>
                <w:sz w:val="16"/>
                <w:szCs w:val="16"/>
              </w:rPr>
              <w:t xml:space="preserve"> are required or permitted to file a grievance with either the state or the MCP, or both.</w:t>
            </w:r>
          </w:p>
          <w:p w:rsidR="004E5913" w:rsidRPr="00990D3B" w:rsidP="00937C83" w14:paraId="728F2D0E" w14:textId="77777777">
            <w:pPr>
              <w:pStyle w:val="EQRTableTextbullet"/>
              <w:ind w:left="144" w:hanging="144"/>
              <w:rPr>
                <w:sz w:val="16"/>
                <w:szCs w:val="16"/>
              </w:rPr>
            </w:pPr>
            <w:r w:rsidRPr="00990D3B">
              <w:rPr>
                <w:sz w:val="16"/>
                <w:szCs w:val="16"/>
              </w:rPr>
              <w:t>Whether providers, or authorized representatives, can act on behalf of the enrollee to request an appeal, file a grievance, or request a state fair hearing or review request.</w:t>
            </w:r>
          </w:p>
          <w:p w:rsidR="004E5913" w:rsidRPr="00990D3B" w:rsidP="00937C83" w14:paraId="79C062B3" w14:textId="77777777">
            <w:pPr>
              <w:pStyle w:val="EQRTableTextbullet"/>
              <w:ind w:left="144" w:hanging="144"/>
              <w:rPr>
                <w:sz w:val="16"/>
                <w:szCs w:val="16"/>
              </w:rPr>
            </w:pPr>
            <w:r w:rsidRPr="00990D3B">
              <w:rPr>
                <w:sz w:val="16"/>
                <w:szCs w:val="16"/>
              </w:rPr>
              <w:t>Whether state offers external medical review.</w:t>
            </w:r>
          </w:p>
        </w:tc>
        <w:tc>
          <w:tcPr>
            <w:tcW w:w="4238" w:type="dxa"/>
          </w:tcPr>
          <w:p w:rsidR="004E5913" w:rsidRPr="00990D3B" w:rsidP="00E00D33" w14:paraId="64976D87" w14:textId="0BE9C18D">
            <w:pPr>
              <w:pStyle w:val="EQRTableTextbullet"/>
              <w:rPr>
                <w:sz w:val="16"/>
                <w:szCs w:val="16"/>
              </w:rPr>
            </w:pPr>
            <w:r w:rsidRPr="00990D3B">
              <w:rPr>
                <w:sz w:val="16"/>
                <w:szCs w:val="16"/>
              </w:rPr>
              <w:t>Medicaid and CHIP</w:t>
            </w:r>
            <w:r w:rsidRPr="00990D3B">
              <w:rPr>
                <w:sz w:val="16"/>
                <w:szCs w:val="16"/>
              </w:rPr>
              <w:t xml:space="preserve"> enrollee grievance and appeals policies and procedures (ES)</w:t>
            </w:r>
          </w:p>
          <w:p w:rsidR="004E5913" w:rsidRPr="00990D3B" w:rsidP="00E00D33" w14:paraId="2051C1AA" w14:textId="21B2F0BA">
            <w:pPr>
              <w:pStyle w:val="EQRTableTextbullet"/>
              <w:rPr>
                <w:sz w:val="16"/>
                <w:szCs w:val="16"/>
              </w:rPr>
            </w:pPr>
            <w:r w:rsidRPr="00990D3B">
              <w:rPr>
                <w:sz w:val="16"/>
                <w:szCs w:val="16"/>
              </w:rPr>
              <w:t>Medicaid and CHIP</w:t>
            </w:r>
            <w:r w:rsidRPr="00990D3B">
              <w:rPr>
                <w:sz w:val="16"/>
                <w:szCs w:val="16"/>
              </w:rPr>
              <w:t xml:space="preserve"> and other enrollee grievance and appeals data (AM)</w:t>
            </w:r>
          </w:p>
          <w:p w:rsidR="004E5913" w:rsidRPr="00990D3B" w:rsidP="00E00D33" w14:paraId="7B7F66A1" w14:textId="77777777">
            <w:pPr>
              <w:pStyle w:val="EQRTableTextbullet"/>
              <w:rPr>
                <w:sz w:val="16"/>
                <w:szCs w:val="16"/>
              </w:rPr>
            </w:pPr>
            <w:r w:rsidRPr="00990D3B">
              <w:rPr>
                <w:sz w:val="16"/>
                <w:szCs w:val="16"/>
              </w:rPr>
              <w:t>Analytic reports of service utilization (UM)</w:t>
            </w:r>
          </w:p>
          <w:p w:rsidR="004E5913" w:rsidRPr="00990D3B" w:rsidP="00E00D33" w14:paraId="61912074" w14:textId="77777777">
            <w:pPr>
              <w:pStyle w:val="EQRTableTextbullet"/>
              <w:rPr>
                <w:sz w:val="16"/>
                <w:szCs w:val="16"/>
              </w:rPr>
            </w:pPr>
            <w:r w:rsidRPr="00990D3B">
              <w:rPr>
                <w:sz w:val="16"/>
                <w:szCs w:val="16"/>
              </w:rPr>
              <w:t>Information systems capability assessment reports (information systems)</w:t>
            </w:r>
          </w:p>
          <w:p w:rsidR="004E5913" w:rsidRPr="00990D3B" w:rsidP="00E00D33" w14:paraId="1796E69F" w14:textId="77777777">
            <w:pPr>
              <w:pStyle w:val="EQRTableTextbullet"/>
              <w:rPr>
                <w:sz w:val="16"/>
                <w:szCs w:val="16"/>
              </w:rPr>
            </w:pPr>
            <w:r w:rsidRPr="00990D3B">
              <w:rPr>
                <w:sz w:val="16"/>
                <w:szCs w:val="16"/>
              </w:rPr>
              <w:t>Policies and procedures for auditing data or descriptions of other mechanisms used to check the accuracy and completeness of both internally generated and externally generated data (Information systems)</w:t>
            </w:r>
          </w:p>
          <w:p w:rsidR="004E5913" w:rsidRPr="00990D3B" w:rsidP="00E00D33" w14:paraId="131A2B7F" w14:textId="77777777">
            <w:pPr>
              <w:pStyle w:val="EQRTableTextbullet"/>
              <w:rPr>
                <w:sz w:val="16"/>
                <w:szCs w:val="16"/>
              </w:rPr>
            </w:pPr>
            <w:r w:rsidRPr="00990D3B">
              <w:rPr>
                <w:sz w:val="16"/>
                <w:szCs w:val="16"/>
              </w:rPr>
              <w:t>Completed audits of data or other evidence of data monitoring for accuracy and completeness both for MCP data and contractor (delegate) data (information systems)</w:t>
            </w:r>
          </w:p>
          <w:p w:rsidR="004E5913" w:rsidRPr="00990D3B" w:rsidP="00E00D33" w14:paraId="6E03506B" w14:textId="77777777">
            <w:pPr>
              <w:pStyle w:val="EQRTableTextbullet"/>
              <w:rPr>
                <w:sz w:val="16"/>
                <w:szCs w:val="16"/>
              </w:rPr>
            </w:pPr>
            <w:r w:rsidRPr="00990D3B">
              <w:rPr>
                <w:sz w:val="16"/>
                <w:szCs w:val="16"/>
              </w:rPr>
              <w:t>Provider/Contractor Services policies and procedures manuals (PS)</w:t>
            </w:r>
          </w:p>
          <w:p w:rsidR="004E5913" w:rsidRPr="00990D3B" w:rsidP="00E00D33" w14:paraId="10311C4C" w14:textId="77777777">
            <w:pPr>
              <w:pStyle w:val="EQRTableTextbullet"/>
              <w:rPr>
                <w:sz w:val="16"/>
                <w:szCs w:val="16"/>
              </w:rPr>
            </w:pPr>
            <w:r w:rsidRPr="00990D3B">
              <w:rPr>
                <w:sz w:val="16"/>
                <w:szCs w:val="16"/>
              </w:rPr>
              <w:t>Provider contracts (PS)</w:t>
            </w:r>
          </w:p>
        </w:tc>
        <w:tc>
          <w:tcPr>
            <w:tcW w:w="3116" w:type="dxa"/>
          </w:tcPr>
          <w:p w:rsidR="007061A7" w:rsidRPr="00990D3B" w:rsidP="007061A7" w14:paraId="057E2B7D" w14:textId="77777777">
            <w:pPr>
              <w:pStyle w:val="EQRTableText"/>
              <w:rPr>
                <w:b/>
                <w:sz w:val="16"/>
                <w:szCs w:val="16"/>
              </w:rPr>
            </w:pPr>
            <w:r w:rsidRPr="00990D3B">
              <w:rPr>
                <w:b/>
                <w:sz w:val="16"/>
                <w:szCs w:val="16"/>
              </w:rPr>
              <w:t xml:space="preserve">Medicaid: </w:t>
            </w:r>
          </w:p>
          <w:p w:rsidR="007061A7" w:rsidRPr="00990D3B" w:rsidP="007061A7" w14:paraId="54571EAB"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2D40722B"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1C68B29E"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77990673"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44996CAD"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4CEB0F46"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7061A7" w:rsidRPr="00990D3B" w:rsidP="007061A7" w14:paraId="70B5D5E1" w14:textId="77777777">
            <w:pPr>
              <w:pStyle w:val="EQRTableText"/>
              <w:rPr>
                <w:sz w:val="16"/>
                <w:szCs w:val="16"/>
              </w:rPr>
            </w:pPr>
            <w:r w:rsidRPr="00990D3B">
              <w:rPr>
                <w:sz w:val="16"/>
                <w:szCs w:val="16"/>
              </w:rPr>
              <w:t>Reviewer Notes:</w:t>
            </w:r>
          </w:p>
          <w:p w:rsidR="007061A7" w:rsidRPr="00990D3B" w:rsidP="007061A7" w14:paraId="0ADB16B2" w14:textId="77777777">
            <w:pPr>
              <w:pStyle w:val="EQRTableText"/>
              <w:rPr>
                <w:b/>
                <w:sz w:val="16"/>
                <w:szCs w:val="16"/>
              </w:rPr>
            </w:pPr>
            <w:r w:rsidRPr="00990D3B">
              <w:rPr>
                <w:b/>
                <w:sz w:val="16"/>
                <w:szCs w:val="16"/>
              </w:rPr>
              <w:t>CHIP:</w:t>
            </w:r>
          </w:p>
          <w:p w:rsidR="007061A7" w:rsidRPr="00990D3B" w:rsidP="007061A7" w14:paraId="12026B2E"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01D68640"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1DE9041E"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0F4FB597"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7FF61F4B"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201B7E5A"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4E5913" w:rsidRPr="00990D3B" w:rsidP="007061A7" w14:paraId="6CCAC35B" w14:textId="59CB1125">
            <w:pPr>
              <w:pStyle w:val="EQRTableText"/>
              <w:rPr>
                <w:sz w:val="16"/>
                <w:szCs w:val="16"/>
              </w:rPr>
            </w:pPr>
            <w:r w:rsidRPr="00990D3B">
              <w:rPr>
                <w:sz w:val="16"/>
                <w:szCs w:val="16"/>
              </w:rPr>
              <w:t>Reviewer Notes:</w:t>
            </w:r>
          </w:p>
        </w:tc>
      </w:tr>
      <w:tr w14:paraId="7B1E2029" w14:textId="77777777" w:rsidTr="00D3058C">
        <w:tblPrEx>
          <w:tblW w:w="5340" w:type="pct"/>
          <w:tblLook w:val="04A0"/>
        </w:tblPrEx>
        <w:trPr>
          <w:cantSplit/>
        </w:trPr>
        <w:tc>
          <w:tcPr>
            <w:tcW w:w="2363" w:type="dxa"/>
          </w:tcPr>
          <w:p w:rsidR="004E5913" w:rsidRPr="00990D3B" w:rsidP="00BD1FC3" w14:paraId="7E65D905" w14:textId="1FBCD256">
            <w:pPr>
              <w:pStyle w:val="EQRTableText"/>
              <w:rPr>
                <w:b/>
                <w:sz w:val="16"/>
                <w:szCs w:val="16"/>
              </w:rPr>
            </w:pPr>
            <w:r w:rsidRPr="00990D3B">
              <w:rPr>
                <w:b/>
                <w:sz w:val="16"/>
                <w:szCs w:val="16"/>
              </w:rPr>
              <w:t xml:space="preserve">Timely and </w:t>
            </w:r>
            <w:r w:rsidRPr="00990D3B" w:rsidR="00D56CA2">
              <w:rPr>
                <w:b/>
                <w:sz w:val="16"/>
                <w:szCs w:val="16"/>
              </w:rPr>
              <w:t>a</w:t>
            </w:r>
            <w:r w:rsidRPr="00990D3B">
              <w:rPr>
                <w:b/>
                <w:sz w:val="16"/>
                <w:szCs w:val="16"/>
              </w:rPr>
              <w:t xml:space="preserve">dequate </w:t>
            </w:r>
            <w:r w:rsidRPr="00990D3B" w:rsidR="00D56CA2">
              <w:rPr>
                <w:b/>
                <w:sz w:val="16"/>
                <w:szCs w:val="16"/>
              </w:rPr>
              <w:t>n</w:t>
            </w:r>
            <w:r w:rsidRPr="00990D3B">
              <w:rPr>
                <w:b/>
                <w:sz w:val="16"/>
                <w:szCs w:val="16"/>
              </w:rPr>
              <w:t xml:space="preserve">otice of </w:t>
            </w:r>
            <w:r w:rsidRPr="00990D3B" w:rsidR="00D56CA2">
              <w:rPr>
                <w:b/>
                <w:sz w:val="16"/>
                <w:szCs w:val="16"/>
              </w:rPr>
              <w:t>a</w:t>
            </w:r>
            <w:r w:rsidRPr="00990D3B">
              <w:rPr>
                <w:b/>
                <w:sz w:val="16"/>
                <w:szCs w:val="16"/>
              </w:rPr>
              <w:t xml:space="preserve">dverse </w:t>
            </w:r>
            <w:r w:rsidRPr="00990D3B" w:rsidR="00D56CA2">
              <w:rPr>
                <w:b/>
                <w:sz w:val="16"/>
                <w:szCs w:val="16"/>
              </w:rPr>
              <w:t>b</w:t>
            </w:r>
            <w:r w:rsidRPr="00990D3B">
              <w:rPr>
                <w:b/>
                <w:sz w:val="16"/>
                <w:szCs w:val="16"/>
              </w:rPr>
              <w:t xml:space="preserve">enefit </w:t>
            </w:r>
            <w:r w:rsidRPr="00990D3B" w:rsidR="00D56CA2">
              <w:rPr>
                <w:b/>
                <w:sz w:val="16"/>
                <w:szCs w:val="16"/>
              </w:rPr>
              <w:t>d</w:t>
            </w:r>
            <w:r w:rsidRPr="00990D3B">
              <w:rPr>
                <w:b/>
                <w:sz w:val="16"/>
                <w:szCs w:val="16"/>
              </w:rPr>
              <w:t>etermination</w:t>
            </w:r>
          </w:p>
          <w:p w:rsidR="004E5913" w:rsidRPr="00990D3B" w:rsidP="00BD1FC3" w14:paraId="24438EA7" w14:textId="19795828">
            <w:pPr>
              <w:pStyle w:val="EQRTableText"/>
              <w:rPr>
                <w:sz w:val="16"/>
                <w:szCs w:val="16"/>
              </w:rPr>
            </w:pPr>
            <w:r w:rsidRPr="00990D3B">
              <w:rPr>
                <w:b/>
                <w:sz w:val="16"/>
                <w:szCs w:val="16"/>
              </w:rPr>
              <w:t>Medicaid:</w:t>
            </w:r>
            <w:r w:rsidRPr="00990D3B">
              <w:rPr>
                <w:sz w:val="16"/>
                <w:szCs w:val="16"/>
              </w:rPr>
              <w:t xml:space="preserve"> </w:t>
            </w:r>
            <w:r w:rsidRPr="00990D3B" w:rsidR="001C7FC0">
              <w:rPr>
                <w:sz w:val="16"/>
                <w:szCs w:val="16"/>
              </w:rPr>
              <w:t>42 C.F.R.</w:t>
            </w:r>
            <w:r w:rsidRPr="00990D3B" w:rsidR="007854DF">
              <w:rPr>
                <w:sz w:val="16"/>
                <w:szCs w:val="16"/>
              </w:rPr>
              <w:t xml:space="preserve"> </w:t>
            </w:r>
            <w:r w:rsidRPr="00990D3B">
              <w:rPr>
                <w:sz w:val="16"/>
                <w:szCs w:val="16"/>
              </w:rPr>
              <w:t xml:space="preserve">438.404: Timely and adequate notice of adverse benefit determination </w:t>
            </w:r>
          </w:p>
          <w:p w:rsidR="004E5913" w:rsidRPr="00990D3B" w:rsidP="00BD1FC3" w14:paraId="4EC45DA1" w14:textId="79E8ADB3">
            <w:pPr>
              <w:pStyle w:val="EQRTableText"/>
              <w:rPr>
                <w:sz w:val="16"/>
                <w:szCs w:val="16"/>
              </w:rPr>
            </w:pPr>
            <w:r w:rsidRPr="00990D3B">
              <w:rPr>
                <w:b/>
                <w:sz w:val="16"/>
                <w:szCs w:val="16"/>
              </w:rPr>
              <w:t>CHIP:</w:t>
            </w:r>
            <w:r w:rsidRPr="00990D3B">
              <w:rPr>
                <w:sz w:val="16"/>
                <w:szCs w:val="16"/>
              </w:rPr>
              <w:t xml:space="preserve"> </w:t>
            </w:r>
            <w:r w:rsidRPr="00990D3B" w:rsidR="001C7FC0">
              <w:rPr>
                <w:sz w:val="16"/>
                <w:szCs w:val="16"/>
              </w:rPr>
              <w:t>42 C.F.R.</w:t>
            </w:r>
            <w:r w:rsidRPr="00990D3B" w:rsidR="007854DF">
              <w:rPr>
                <w:sz w:val="16"/>
                <w:szCs w:val="16"/>
              </w:rPr>
              <w:t xml:space="preserve"> </w:t>
            </w:r>
            <w:r w:rsidRPr="00990D3B">
              <w:rPr>
                <w:sz w:val="16"/>
                <w:szCs w:val="16"/>
              </w:rPr>
              <w:t>457.1260: Grievance system</w:t>
            </w:r>
          </w:p>
        </w:tc>
        <w:tc>
          <w:tcPr>
            <w:tcW w:w="4114" w:type="dxa"/>
          </w:tcPr>
          <w:p w:rsidR="004E5913" w:rsidRPr="00990D3B" w:rsidP="00E00D33" w14:paraId="5E48D5D5" w14:textId="7C105514">
            <w:pPr>
              <w:pStyle w:val="EQRTableTextbullet"/>
              <w:rPr>
                <w:sz w:val="16"/>
                <w:szCs w:val="16"/>
              </w:rPr>
            </w:pPr>
            <w:r w:rsidRPr="00990D3B">
              <w:rPr>
                <w:sz w:val="16"/>
                <w:szCs w:val="16"/>
              </w:rPr>
              <w:t>Information on the time</w:t>
            </w:r>
            <w:r w:rsidRPr="00990D3B" w:rsidR="00566F1D">
              <w:rPr>
                <w:sz w:val="16"/>
                <w:szCs w:val="16"/>
              </w:rPr>
              <w:t xml:space="preserve"> </w:t>
            </w:r>
            <w:r w:rsidRPr="00990D3B">
              <w:rPr>
                <w:sz w:val="16"/>
                <w:szCs w:val="16"/>
              </w:rPr>
              <w:t xml:space="preserve">frames within which it requires MCPs to make standard (initial) coverage and authorization decisions and provide written </w:t>
            </w:r>
            <w:r w:rsidRPr="00990D3B">
              <w:rPr>
                <w:sz w:val="16"/>
                <w:szCs w:val="16"/>
              </w:rPr>
              <w:t>notice to</w:t>
            </w:r>
            <w:r w:rsidRPr="00990D3B">
              <w:rPr>
                <w:sz w:val="16"/>
                <w:szCs w:val="16"/>
              </w:rPr>
              <w:t xml:space="preserve"> requesting enrollees. These time</w:t>
            </w:r>
            <w:r w:rsidRPr="00990D3B" w:rsidR="00566F1D">
              <w:rPr>
                <w:sz w:val="16"/>
                <w:szCs w:val="16"/>
              </w:rPr>
              <w:t xml:space="preserve"> </w:t>
            </w:r>
            <w:r w:rsidRPr="00990D3B">
              <w:rPr>
                <w:sz w:val="16"/>
                <w:szCs w:val="16"/>
              </w:rPr>
              <w:t xml:space="preserve">frames will be the required period within which MCPs must provide </w:t>
            </w:r>
            <w:r w:rsidRPr="00990D3B" w:rsidR="00832946">
              <w:rPr>
                <w:sz w:val="16"/>
                <w:szCs w:val="16"/>
              </w:rPr>
              <w:t>Medicaid and CHIP</w:t>
            </w:r>
            <w:r w:rsidRPr="00990D3B">
              <w:rPr>
                <w:sz w:val="16"/>
                <w:szCs w:val="16"/>
              </w:rPr>
              <w:t xml:space="preserve"> enrollees written notice of any intent to deny or limit a service (for which previous authorization has not been given by the MCP) and the enrollee’s right to file an MCP appeal.</w:t>
            </w:r>
          </w:p>
        </w:tc>
        <w:tc>
          <w:tcPr>
            <w:tcW w:w="4238" w:type="dxa"/>
          </w:tcPr>
          <w:p w:rsidR="004E5913" w:rsidRPr="00990D3B" w:rsidP="00E00D33" w14:paraId="2B403F3F" w14:textId="77777777">
            <w:pPr>
              <w:pStyle w:val="EQRTableTextbullet"/>
              <w:rPr>
                <w:sz w:val="16"/>
                <w:szCs w:val="16"/>
              </w:rPr>
            </w:pPr>
            <w:r w:rsidRPr="00990D3B">
              <w:rPr>
                <w:sz w:val="16"/>
                <w:szCs w:val="16"/>
              </w:rPr>
              <w:t>Data on claims denials (UM)</w:t>
            </w:r>
          </w:p>
          <w:p w:rsidR="004E5913" w:rsidRPr="00990D3B" w:rsidP="00E00D33" w14:paraId="5AC718D2" w14:textId="21BF18D7">
            <w:pPr>
              <w:pStyle w:val="EQRTableTextbullet"/>
              <w:rPr>
                <w:sz w:val="16"/>
                <w:szCs w:val="16"/>
              </w:rPr>
            </w:pPr>
            <w:r w:rsidRPr="00990D3B">
              <w:rPr>
                <w:sz w:val="16"/>
                <w:szCs w:val="16"/>
              </w:rPr>
              <w:t>Medicaid and CHIP</w:t>
            </w:r>
            <w:r w:rsidRPr="00990D3B">
              <w:rPr>
                <w:sz w:val="16"/>
                <w:szCs w:val="16"/>
              </w:rPr>
              <w:t xml:space="preserve"> enrollee grievance and appeals policies and procedures (ES)</w:t>
            </w:r>
          </w:p>
          <w:p w:rsidR="004E5913" w:rsidRPr="00990D3B" w:rsidP="00E00D33" w14:paraId="23100E53" w14:textId="77777777">
            <w:pPr>
              <w:pStyle w:val="EQRTableTextbullet"/>
              <w:rPr>
                <w:sz w:val="16"/>
                <w:szCs w:val="16"/>
              </w:rPr>
            </w:pPr>
            <w:r w:rsidRPr="00990D3B">
              <w:rPr>
                <w:sz w:val="16"/>
                <w:szCs w:val="16"/>
              </w:rPr>
              <w:t>MCP adverse benefit determinations (ES)</w:t>
            </w:r>
          </w:p>
          <w:p w:rsidR="004E5913" w:rsidRPr="00990D3B" w:rsidP="00E00D33" w14:paraId="3A025E6B" w14:textId="77777777">
            <w:pPr>
              <w:pStyle w:val="EQRTableTextbullet"/>
              <w:rPr>
                <w:sz w:val="16"/>
                <w:szCs w:val="16"/>
              </w:rPr>
            </w:pPr>
            <w:r w:rsidRPr="00990D3B">
              <w:rPr>
                <w:sz w:val="16"/>
                <w:szCs w:val="16"/>
              </w:rPr>
              <w:t>Timing data on adverse benefit determination mailings (ES)</w:t>
            </w:r>
          </w:p>
        </w:tc>
        <w:tc>
          <w:tcPr>
            <w:tcW w:w="3116" w:type="dxa"/>
          </w:tcPr>
          <w:p w:rsidR="007061A7" w:rsidRPr="00990D3B" w:rsidP="007061A7" w14:paraId="47C73A0F" w14:textId="77777777">
            <w:pPr>
              <w:pStyle w:val="EQRTableText"/>
              <w:rPr>
                <w:b/>
                <w:sz w:val="16"/>
                <w:szCs w:val="16"/>
              </w:rPr>
            </w:pPr>
            <w:r w:rsidRPr="00990D3B">
              <w:rPr>
                <w:b/>
                <w:sz w:val="16"/>
                <w:szCs w:val="16"/>
              </w:rPr>
              <w:t xml:space="preserve">Medicaid: </w:t>
            </w:r>
          </w:p>
          <w:p w:rsidR="007061A7" w:rsidRPr="00990D3B" w:rsidP="007061A7" w14:paraId="410B3375"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65C1D975"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58C0420E"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62B30A25"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09991F56"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5253DD50"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7061A7" w:rsidRPr="00990D3B" w:rsidP="007061A7" w14:paraId="765E334E" w14:textId="77777777">
            <w:pPr>
              <w:pStyle w:val="EQRTableText"/>
              <w:rPr>
                <w:sz w:val="16"/>
                <w:szCs w:val="16"/>
              </w:rPr>
            </w:pPr>
            <w:r w:rsidRPr="00990D3B">
              <w:rPr>
                <w:sz w:val="16"/>
                <w:szCs w:val="16"/>
              </w:rPr>
              <w:t>Reviewer Notes:</w:t>
            </w:r>
          </w:p>
          <w:p w:rsidR="007061A7" w:rsidRPr="00990D3B" w:rsidP="007061A7" w14:paraId="16E33119" w14:textId="77777777">
            <w:pPr>
              <w:pStyle w:val="EQRTableText"/>
              <w:rPr>
                <w:b/>
                <w:sz w:val="16"/>
                <w:szCs w:val="16"/>
              </w:rPr>
            </w:pPr>
            <w:r w:rsidRPr="00990D3B">
              <w:rPr>
                <w:b/>
                <w:sz w:val="16"/>
                <w:szCs w:val="16"/>
              </w:rPr>
              <w:t>CHIP:</w:t>
            </w:r>
          </w:p>
          <w:p w:rsidR="007061A7" w:rsidRPr="00990D3B" w:rsidP="007061A7" w14:paraId="24DF4601"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248D5780"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5D6299BF"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2AB122D5"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6892152D"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47434A58"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4E5913" w:rsidRPr="00990D3B" w:rsidP="007061A7" w14:paraId="4ED922F0" w14:textId="7B87FA7E">
            <w:pPr>
              <w:pStyle w:val="EQRTableText"/>
              <w:rPr>
                <w:sz w:val="16"/>
                <w:szCs w:val="16"/>
              </w:rPr>
            </w:pPr>
            <w:r w:rsidRPr="00990D3B">
              <w:rPr>
                <w:sz w:val="16"/>
                <w:szCs w:val="16"/>
              </w:rPr>
              <w:t>Reviewer Notes:</w:t>
            </w:r>
          </w:p>
        </w:tc>
      </w:tr>
      <w:tr w14:paraId="03D483F9" w14:textId="77777777" w:rsidTr="00D3058C">
        <w:tblPrEx>
          <w:tblW w:w="5340" w:type="pct"/>
          <w:tblLook w:val="04A0"/>
        </w:tblPrEx>
        <w:trPr>
          <w:cantSplit/>
        </w:trPr>
        <w:tc>
          <w:tcPr>
            <w:tcW w:w="2363" w:type="dxa"/>
          </w:tcPr>
          <w:p w:rsidR="004E5913" w:rsidRPr="00990D3B" w:rsidP="00BD1FC3" w14:paraId="4DC4AFF7" w14:textId="1FA69EF8">
            <w:pPr>
              <w:pStyle w:val="EQRTableText"/>
              <w:rPr>
                <w:b/>
                <w:sz w:val="16"/>
                <w:szCs w:val="16"/>
              </w:rPr>
            </w:pPr>
            <w:r w:rsidRPr="00990D3B">
              <w:rPr>
                <w:b/>
                <w:sz w:val="16"/>
                <w:szCs w:val="16"/>
              </w:rPr>
              <w:t xml:space="preserve">Handling of </w:t>
            </w:r>
            <w:r w:rsidRPr="00990D3B" w:rsidR="00984522">
              <w:rPr>
                <w:b/>
                <w:sz w:val="16"/>
                <w:szCs w:val="16"/>
              </w:rPr>
              <w:t>g</w:t>
            </w:r>
            <w:r w:rsidRPr="00990D3B">
              <w:rPr>
                <w:b/>
                <w:sz w:val="16"/>
                <w:szCs w:val="16"/>
              </w:rPr>
              <w:t xml:space="preserve">rievances and </w:t>
            </w:r>
            <w:r w:rsidRPr="00990D3B" w:rsidR="00984522">
              <w:rPr>
                <w:b/>
                <w:sz w:val="16"/>
                <w:szCs w:val="16"/>
              </w:rPr>
              <w:t>a</w:t>
            </w:r>
            <w:r w:rsidRPr="00990D3B">
              <w:rPr>
                <w:b/>
                <w:sz w:val="16"/>
                <w:szCs w:val="16"/>
              </w:rPr>
              <w:t>ppeals</w:t>
            </w:r>
          </w:p>
          <w:p w:rsidR="004E5913" w:rsidRPr="00990D3B" w:rsidP="00BD1FC3" w14:paraId="0D9F864D" w14:textId="7395ED32">
            <w:pPr>
              <w:pStyle w:val="EQRTableText"/>
              <w:rPr>
                <w:sz w:val="16"/>
                <w:szCs w:val="16"/>
              </w:rPr>
            </w:pPr>
            <w:r w:rsidRPr="00990D3B">
              <w:rPr>
                <w:b/>
                <w:sz w:val="16"/>
                <w:szCs w:val="16"/>
              </w:rPr>
              <w:t>Medicaid</w:t>
            </w:r>
            <w:r w:rsidRPr="00990D3B">
              <w:rPr>
                <w:sz w:val="16"/>
                <w:szCs w:val="16"/>
              </w:rPr>
              <w:t xml:space="preserve">: </w:t>
            </w:r>
            <w:r w:rsidRPr="00990D3B" w:rsidR="001C7FC0">
              <w:rPr>
                <w:sz w:val="16"/>
                <w:szCs w:val="16"/>
              </w:rPr>
              <w:t>42 C.F.R.</w:t>
            </w:r>
            <w:r w:rsidRPr="00990D3B" w:rsidR="007854DF">
              <w:rPr>
                <w:sz w:val="16"/>
                <w:szCs w:val="16"/>
              </w:rPr>
              <w:t xml:space="preserve"> </w:t>
            </w:r>
            <w:r w:rsidRPr="00990D3B">
              <w:rPr>
                <w:sz w:val="16"/>
                <w:szCs w:val="16"/>
              </w:rPr>
              <w:t xml:space="preserve">438.406: Handling of grievances and appeals </w:t>
            </w:r>
          </w:p>
          <w:p w:rsidR="004E5913" w:rsidRPr="00990D3B" w:rsidP="00BD1FC3" w14:paraId="3BEFFD35" w14:textId="3EF98E05">
            <w:pPr>
              <w:pStyle w:val="EQRTableText"/>
              <w:rPr>
                <w:sz w:val="16"/>
                <w:szCs w:val="16"/>
              </w:rPr>
            </w:pPr>
            <w:r w:rsidRPr="00990D3B">
              <w:rPr>
                <w:b/>
                <w:sz w:val="16"/>
                <w:szCs w:val="16"/>
              </w:rPr>
              <w:t xml:space="preserve">CHIP: </w:t>
            </w:r>
            <w:r w:rsidRPr="00990D3B" w:rsidR="001C7FC0">
              <w:rPr>
                <w:sz w:val="16"/>
                <w:szCs w:val="16"/>
              </w:rPr>
              <w:t>42 C.F.R.</w:t>
            </w:r>
            <w:r w:rsidRPr="00990D3B" w:rsidR="007854DF">
              <w:rPr>
                <w:sz w:val="16"/>
                <w:szCs w:val="16"/>
              </w:rPr>
              <w:t xml:space="preserve"> </w:t>
            </w:r>
            <w:r w:rsidRPr="00990D3B">
              <w:rPr>
                <w:sz w:val="16"/>
                <w:szCs w:val="16"/>
              </w:rPr>
              <w:t>457.1260: Grievance system</w:t>
            </w:r>
          </w:p>
        </w:tc>
        <w:tc>
          <w:tcPr>
            <w:tcW w:w="4114" w:type="dxa"/>
          </w:tcPr>
          <w:p w:rsidR="004E5913" w:rsidRPr="00990D3B" w:rsidP="00E00D33" w14:paraId="00D1ADCE" w14:textId="77777777">
            <w:pPr>
              <w:pStyle w:val="EQRTableTextbullet"/>
              <w:rPr>
                <w:sz w:val="16"/>
                <w:szCs w:val="16"/>
              </w:rPr>
            </w:pPr>
            <w:r w:rsidRPr="00990D3B">
              <w:rPr>
                <w:sz w:val="16"/>
                <w:szCs w:val="16"/>
              </w:rPr>
              <w:t xml:space="preserve">Information on any state requirements concerning </w:t>
            </w:r>
            <w:r w:rsidRPr="00990D3B">
              <w:rPr>
                <w:sz w:val="16"/>
                <w:szCs w:val="16"/>
              </w:rPr>
              <w:t>handling of</w:t>
            </w:r>
            <w:r w:rsidRPr="00990D3B">
              <w:rPr>
                <w:sz w:val="16"/>
                <w:szCs w:val="16"/>
              </w:rPr>
              <w:t xml:space="preserve"> grievances and appeals that differ from those required under 438.406.</w:t>
            </w:r>
          </w:p>
          <w:p w:rsidR="004E5913" w:rsidRPr="00990D3B" w:rsidP="00E00D33" w14:paraId="07055942" w14:textId="4E6FC23D">
            <w:pPr>
              <w:pStyle w:val="EQRTableTextbullet"/>
              <w:rPr>
                <w:sz w:val="16"/>
                <w:szCs w:val="16"/>
              </w:rPr>
            </w:pPr>
            <w:r w:rsidRPr="00990D3B">
              <w:rPr>
                <w:sz w:val="16"/>
                <w:szCs w:val="16"/>
              </w:rPr>
              <w:t xml:space="preserve">*Note: See the ‘Disenrollment’ section in </w:t>
            </w:r>
            <w:hyperlink w:anchor="WSp3n02" w:tooltip="Worksheet 3.2" w:history="1">
              <w:r w:rsidRPr="00990D3B">
                <w:rPr>
                  <w:rStyle w:val="Hyperlink"/>
                  <w:sz w:val="16"/>
                  <w:szCs w:val="16"/>
                </w:rPr>
                <w:t>Worksheet 3.2</w:t>
              </w:r>
            </w:hyperlink>
            <w:r w:rsidRPr="00990D3B">
              <w:rPr>
                <w:sz w:val="16"/>
                <w:szCs w:val="16"/>
              </w:rPr>
              <w:t xml:space="preserve"> above for grievances during disenrollment.  </w:t>
            </w:r>
          </w:p>
        </w:tc>
        <w:tc>
          <w:tcPr>
            <w:tcW w:w="4238" w:type="dxa"/>
          </w:tcPr>
          <w:p w:rsidR="004E5913" w:rsidRPr="00990D3B" w:rsidP="00E00D33" w14:paraId="733DECE6" w14:textId="3B28B976">
            <w:pPr>
              <w:pStyle w:val="EQRTableTextbullet"/>
              <w:rPr>
                <w:sz w:val="16"/>
                <w:szCs w:val="16"/>
              </w:rPr>
            </w:pPr>
            <w:r w:rsidRPr="00990D3B">
              <w:rPr>
                <w:sz w:val="16"/>
                <w:szCs w:val="16"/>
              </w:rPr>
              <w:t>Medicaid and CHIP</w:t>
            </w:r>
            <w:r w:rsidRPr="00990D3B">
              <w:rPr>
                <w:sz w:val="16"/>
                <w:szCs w:val="16"/>
              </w:rPr>
              <w:t xml:space="preserve"> enrollee grievance and appeals policies and procedures (ES)</w:t>
            </w:r>
          </w:p>
          <w:p w:rsidR="004E5913" w:rsidRPr="00990D3B" w:rsidP="00E00D33" w14:paraId="29B63A8A" w14:textId="245FB70A">
            <w:pPr>
              <w:pStyle w:val="EQRTableTextbullet"/>
              <w:rPr>
                <w:sz w:val="16"/>
                <w:szCs w:val="16"/>
              </w:rPr>
            </w:pPr>
            <w:r w:rsidRPr="00990D3B">
              <w:rPr>
                <w:sz w:val="16"/>
                <w:szCs w:val="16"/>
              </w:rPr>
              <w:t>Medicaid and CHIP</w:t>
            </w:r>
            <w:r w:rsidRPr="00990D3B">
              <w:rPr>
                <w:sz w:val="16"/>
                <w:szCs w:val="16"/>
              </w:rPr>
              <w:t xml:space="preserve"> and other enrollee grievance and appeals data (AM)</w:t>
            </w:r>
          </w:p>
        </w:tc>
        <w:tc>
          <w:tcPr>
            <w:tcW w:w="3116" w:type="dxa"/>
          </w:tcPr>
          <w:p w:rsidR="007061A7" w:rsidRPr="00990D3B" w:rsidP="007061A7" w14:paraId="14FE9820" w14:textId="77777777">
            <w:pPr>
              <w:pStyle w:val="EQRTableText"/>
              <w:rPr>
                <w:b/>
                <w:sz w:val="16"/>
                <w:szCs w:val="16"/>
              </w:rPr>
            </w:pPr>
            <w:r w:rsidRPr="00990D3B">
              <w:rPr>
                <w:b/>
                <w:sz w:val="16"/>
                <w:szCs w:val="16"/>
              </w:rPr>
              <w:t xml:space="preserve">Medicaid: </w:t>
            </w:r>
          </w:p>
          <w:p w:rsidR="007061A7" w:rsidRPr="00990D3B" w:rsidP="007061A7" w14:paraId="061EB621"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633DD3CC"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55F321B5"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6B610C78"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05285122"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76BD2A70"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7061A7" w:rsidRPr="00990D3B" w:rsidP="007061A7" w14:paraId="52120784" w14:textId="77777777">
            <w:pPr>
              <w:pStyle w:val="EQRTableText"/>
              <w:rPr>
                <w:sz w:val="16"/>
                <w:szCs w:val="16"/>
              </w:rPr>
            </w:pPr>
            <w:r w:rsidRPr="00990D3B">
              <w:rPr>
                <w:sz w:val="16"/>
                <w:szCs w:val="16"/>
              </w:rPr>
              <w:t>Reviewer Notes:</w:t>
            </w:r>
          </w:p>
          <w:p w:rsidR="007061A7" w:rsidRPr="00990D3B" w:rsidP="007061A7" w14:paraId="18B74479" w14:textId="77777777">
            <w:pPr>
              <w:pStyle w:val="EQRTableText"/>
              <w:rPr>
                <w:b/>
                <w:sz w:val="16"/>
                <w:szCs w:val="16"/>
              </w:rPr>
            </w:pPr>
            <w:r w:rsidRPr="00990D3B">
              <w:rPr>
                <w:b/>
                <w:sz w:val="16"/>
                <w:szCs w:val="16"/>
              </w:rPr>
              <w:t>CHIP:</w:t>
            </w:r>
          </w:p>
          <w:p w:rsidR="007061A7" w:rsidRPr="00990D3B" w:rsidP="007061A7" w14:paraId="49CA908D"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7B184CB5"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6E43B3A3"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364F6608"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1F0A1773"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613268BF"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4E5913" w:rsidRPr="00990D3B" w:rsidP="007061A7" w14:paraId="29A0406E" w14:textId="65E95CA6">
            <w:pPr>
              <w:pStyle w:val="EQRTableText"/>
              <w:rPr>
                <w:sz w:val="16"/>
                <w:szCs w:val="16"/>
              </w:rPr>
            </w:pPr>
            <w:r w:rsidRPr="00990D3B">
              <w:rPr>
                <w:sz w:val="16"/>
                <w:szCs w:val="16"/>
              </w:rPr>
              <w:t>Reviewer Notes:</w:t>
            </w:r>
          </w:p>
        </w:tc>
      </w:tr>
      <w:tr w14:paraId="4E07604C" w14:textId="77777777" w:rsidTr="00D3058C">
        <w:tblPrEx>
          <w:tblW w:w="5340" w:type="pct"/>
          <w:tblLook w:val="04A0"/>
        </w:tblPrEx>
        <w:trPr>
          <w:cantSplit/>
        </w:trPr>
        <w:tc>
          <w:tcPr>
            <w:tcW w:w="2363" w:type="dxa"/>
          </w:tcPr>
          <w:p w:rsidR="004E5913" w:rsidRPr="00990D3B" w:rsidP="00BD1FC3" w14:paraId="0AD789ED" w14:textId="65DCEE72">
            <w:pPr>
              <w:pStyle w:val="EQRTableText"/>
              <w:rPr>
                <w:b/>
                <w:sz w:val="16"/>
                <w:szCs w:val="16"/>
              </w:rPr>
            </w:pPr>
            <w:r w:rsidRPr="00990D3B">
              <w:rPr>
                <w:b/>
                <w:sz w:val="16"/>
                <w:szCs w:val="16"/>
              </w:rPr>
              <w:t>Resolution and notification: Grievances and appeals</w:t>
            </w:r>
          </w:p>
          <w:p w:rsidR="004E5913" w:rsidRPr="00990D3B" w:rsidP="00BD1FC3" w14:paraId="09D311DB" w14:textId="06CA18F5">
            <w:pPr>
              <w:pStyle w:val="EQRTableText"/>
              <w:rPr>
                <w:sz w:val="16"/>
                <w:szCs w:val="16"/>
              </w:rPr>
            </w:pPr>
            <w:r w:rsidRPr="00990D3B">
              <w:rPr>
                <w:b/>
                <w:sz w:val="16"/>
                <w:szCs w:val="16"/>
              </w:rPr>
              <w:t>Medicaid</w:t>
            </w:r>
            <w:r w:rsidRPr="00990D3B">
              <w:rPr>
                <w:sz w:val="16"/>
                <w:szCs w:val="16"/>
              </w:rPr>
              <w:t xml:space="preserve">: </w:t>
            </w:r>
            <w:r w:rsidRPr="00990D3B" w:rsidR="001C7FC0">
              <w:rPr>
                <w:sz w:val="16"/>
                <w:szCs w:val="16"/>
              </w:rPr>
              <w:t>42 C.F.R.</w:t>
            </w:r>
            <w:r w:rsidRPr="00990D3B">
              <w:rPr>
                <w:sz w:val="16"/>
                <w:szCs w:val="16"/>
              </w:rPr>
              <w:t xml:space="preserve"> 438.408: Resolution and notification, Grievances and appeals </w:t>
            </w:r>
          </w:p>
          <w:p w:rsidR="004E5913" w:rsidRPr="00990D3B" w:rsidP="00BD1FC3" w14:paraId="0160C05A" w14:textId="40C3AAE9">
            <w:pPr>
              <w:pStyle w:val="EQRTableText"/>
              <w:rPr>
                <w:sz w:val="16"/>
                <w:szCs w:val="16"/>
              </w:rPr>
            </w:pPr>
            <w:r w:rsidRPr="00990D3B">
              <w:rPr>
                <w:b/>
                <w:sz w:val="16"/>
                <w:szCs w:val="16"/>
              </w:rPr>
              <w:t xml:space="preserve">CHIP: </w:t>
            </w:r>
            <w:r w:rsidRPr="00990D3B" w:rsidR="001C7FC0">
              <w:rPr>
                <w:sz w:val="16"/>
                <w:szCs w:val="16"/>
              </w:rPr>
              <w:t>42 C.F.R.</w:t>
            </w:r>
            <w:r w:rsidRPr="00990D3B" w:rsidR="007854DF">
              <w:rPr>
                <w:sz w:val="16"/>
                <w:szCs w:val="16"/>
              </w:rPr>
              <w:t xml:space="preserve"> </w:t>
            </w:r>
            <w:r w:rsidRPr="00990D3B">
              <w:rPr>
                <w:sz w:val="16"/>
                <w:szCs w:val="16"/>
              </w:rPr>
              <w:t>457.1260: Grievance system</w:t>
            </w:r>
          </w:p>
        </w:tc>
        <w:tc>
          <w:tcPr>
            <w:tcW w:w="4114" w:type="dxa"/>
          </w:tcPr>
          <w:p w:rsidR="004E5913" w:rsidRPr="00990D3B" w:rsidP="00E00D33" w14:paraId="77BFDC3D" w14:textId="77777777">
            <w:pPr>
              <w:pStyle w:val="EQRTableTextbullet"/>
              <w:rPr>
                <w:sz w:val="16"/>
                <w:szCs w:val="16"/>
              </w:rPr>
            </w:pPr>
            <w:r w:rsidRPr="00990D3B">
              <w:rPr>
                <w:sz w:val="16"/>
                <w:szCs w:val="16"/>
              </w:rPr>
              <w:t>Information on:</w:t>
            </w:r>
          </w:p>
          <w:p w:rsidR="004E5913" w:rsidRPr="00990D3B" w:rsidP="00E00D33" w14:paraId="1670FC10" w14:textId="77777777">
            <w:pPr>
              <w:pStyle w:val="EQRTableTextbullet"/>
              <w:rPr>
                <w:sz w:val="16"/>
                <w:szCs w:val="16"/>
              </w:rPr>
            </w:pPr>
            <w:r w:rsidRPr="00990D3B">
              <w:rPr>
                <w:sz w:val="16"/>
                <w:szCs w:val="16"/>
              </w:rPr>
              <w:t>The state-established standard time frames during which the state requires MCPs to (1) dispose of a grievance and notify the affected parties of the result, and (2) resolve appeals and notify affected parties of the decision.</w:t>
            </w:r>
          </w:p>
          <w:p w:rsidR="004E5913" w:rsidRPr="00990D3B" w:rsidP="00E00D33" w14:paraId="0782A00C" w14:textId="77777777">
            <w:pPr>
              <w:pStyle w:val="EQRTableTextbullet"/>
              <w:rPr>
                <w:sz w:val="16"/>
                <w:szCs w:val="16"/>
              </w:rPr>
            </w:pPr>
            <w:r w:rsidRPr="00990D3B">
              <w:rPr>
                <w:sz w:val="16"/>
                <w:szCs w:val="16"/>
              </w:rPr>
              <w:t>The methods prescribed by the state that the MCP must follow to notify an enrollee of the disposition of a grievance.</w:t>
            </w:r>
          </w:p>
          <w:p w:rsidR="004E5913" w:rsidRPr="00990D3B" w:rsidP="00E00D33" w14:paraId="3942A29C" w14:textId="77777777">
            <w:pPr>
              <w:pStyle w:val="EQRTableTextbullet"/>
              <w:rPr>
                <w:sz w:val="16"/>
                <w:szCs w:val="16"/>
              </w:rPr>
            </w:pPr>
            <w:r w:rsidRPr="00990D3B">
              <w:rPr>
                <w:sz w:val="16"/>
                <w:szCs w:val="16"/>
              </w:rPr>
              <w:t>Information on whether providers, or authorized representatives, can act on behalf of the enrollee to request an appeal, file a grievance, or request a state fair hearing request.</w:t>
            </w:r>
          </w:p>
        </w:tc>
        <w:tc>
          <w:tcPr>
            <w:tcW w:w="4238" w:type="dxa"/>
          </w:tcPr>
          <w:p w:rsidR="004E5913" w:rsidRPr="00990D3B" w:rsidP="00E00D33" w14:paraId="4C6501A1" w14:textId="06FDC5F1">
            <w:pPr>
              <w:pStyle w:val="EQRTableTextbullet"/>
              <w:rPr>
                <w:sz w:val="16"/>
                <w:szCs w:val="16"/>
              </w:rPr>
            </w:pPr>
            <w:r w:rsidRPr="00990D3B">
              <w:rPr>
                <w:sz w:val="16"/>
                <w:szCs w:val="16"/>
              </w:rPr>
              <w:t>Medicaid and CHIP</w:t>
            </w:r>
            <w:r w:rsidRPr="00990D3B">
              <w:rPr>
                <w:sz w:val="16"/>
                <w:szCs w:val="16"/>
              </w:rPr>
              <w:t xml:space="preserve"> enrollee grievance and appeals policies and procedures (ES)</w:t>
            </w:r>
          </w:p>
          <w:p w:rsidR="004E5913" w:rsidRPr="00990D3B" w:rsidP="00E00D33" w14:paraId="59FC57DA" w14:textId="509F50B8">
            <w:pPr>
              <w:pStyle w:val="EQRTableTextbullet"/>
              <w:rPr>
                <w:sz w:val="16"/>
                <w:szCs w:val="16"/>
              </w:rPr>
            </w:pPr>
            <w:r w:rsidRPr="00990D3B">
              <w:rPr>
                <w:sz w:val="16"/>
                <w:szCs w:val="16"/>
              </w:rPr>
              <w:t>Medicaid and CHIP</w:t>
            </w:r>
            <w:r w:rsidRPr="00990D3B">
              <w:rPr>
                <w:sz w:val="16"/>
                <w:szCs w:val="16"/>
              </w:rPr>
              <w:t xml:space="preserve"> </w:t>
            </w:r>
            <w:r w:rsidRPr="00990D3B">
              <w:rPr>
                <w:sz w:val="16"/>
                <w:szCs w:val="16"/>
              </w:rPr>
              <w:t>enrollee</w:t>
            </w:r>
            <w:r w:rsidRPr="00990D3B">
              <w:rPr>
                <w:sz w:val="16"/>
                <w:szCs w:val="16"/>
              </w:rPr>
              <w:t xml:space="preserve"> grievance and appeal tracking reports (ES)</w:t>
            </w:r>
          </w:p>
          <w:p w:rsidR="004E5913" w:rsidRPr="00990D3B" w:rsidP="00E00D33" w14:paraId="40C32248" w14:textId="77777777">
            <w:pPr>
              <w:pStyle w:val="EQRTableTextbullet"/>
              <w:rPr>
                <w:sz w:val="16"/>
                <w:szCs w:val="16"/>
              </w:rPr>
            </w:pPr>
            <w:r w:rsidRPr="00990D3B">
              <w:rPr>
                <w:sz w:val="16"/>
                <w:szCs w:val="16"/>
              </w:rPr>
              <w:t>MCP appeal resolution notices (ES)</w:t>
            </w:r>
          </w:p>
        </w:tc>
        <w:tc>
          <w:tcPr>
            <w:tcW w:w="3116" w:type="dxa"/>
          </w:tcPr>
          <w:p w:rsidR="007061A7" w:rsidRPr="00990D3B" w:rsidP="007061A7" w14:paraId="0411F966" w14:textId="77777777">
            <w:pPr>
              <w:pStyle w:val="EQRTableText"/>
              <w:rPr>
                <w:b/>
                <w:sz w:val="16"/>
                <w:szCs w:val="16"/>
              </w:rPr>
            </w:pPr>
            <w:r w:rsidRPr="00990D3B">
              <w:rPr>
                <w:b/>
                <w:sz w:val="16"/>
                <w:szCs w:val="16"/>
              </w:rPr>
              <w:t xml:space="preserve">Medicaid: </w:t>
            </w:r>
          </w:p>
          <w:p w:rsidR="007061A7" w:rsidRPr="00990D3B" w:rsidP="007061A7" w14:paraId="40997BF2"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5B34CE1A"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13D39776"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37663F71"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689CA704"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5CC043E8"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7061A7" w:rsidRPr="00990D3B" w:rsidP="007061A7" w14:paraId="56F9F3FF" w14:textId="77777777">
            <w:pPr>
              <w:pStyle w:val="EQRTableText"/>
              <w:rPr>
                <w:sz w:val="16"/>
                <w:szCs w:val="16"/>
              </w:rPr>
            </w:pPr>
            <w:r w:rsidRPr="00990D3B">
              <w:rPr>
                <w:sz w:val="16"/>
                <w:szCs w:val="16"/>
              </w:rPr>
              <w:t>Reviewer Notes:</w:t>
            </w:r>
          </w:p>
          <w:p w:rsidR="007061A7" w:rsidRPr="00990D3B" w:rsidP="007061A7" w14:paraId="4E1259DF" w14:textId="77777777">
            <w:pPr>
              <w:pStyle w:val="EQRTableText"/>
              <w:rPr>
                <w:b/>
                <w:sz w:val="16"/>
                <w:szCs w:val="16"/>
              </w:rPr>
            </w:pPr>
            <w:r w:rsidRPr="00990D3B">
              <w:rPr>
                <w:b/>
                <w:sz w:val="16"/>
                <w:szCs w:val="16"/>
              </w:rPr>
              <w:t>CHIP:</w:t>
            </w:r>
          </w:p>
          <w:p w:rsidR="007061A7" w:rsidRPr="00990D3B" w:rsidP="007061A7" w14:paraId="310EB0DB"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1BA38A2B"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6BF84778"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2EDABB1C"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1848E609"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3FAD97F9"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4E5913" w:rsidRPr="00990D3B" w:rsidP="007061A7" w14:paraId="3AC260C6" w14:textId="01AC07D9">
            <w:pPr>
              <w:pStyle w:val="EQRTableText"/>
              <w:rPr>
                <w:sz w:val="16"/>
                <w:szCs w:val="16"/>
              </w:rPr>
            </w:pPr>
            <w:r w:rsidRPr="00990D3B">
              <w:rPr>
                <w:sz w:val="16"/>
                <w:szCs w:val="16"/>
              </w:rPr>
              <w:t>Reviewer Notes:</w:t>
            </w:r>
          </w:p>
        </w:tc>
      </w:tr>
      <w:tr w14:paraId="14BC7DF1" w14:textId="77777777" w:rsidTr="00D3058C">
        <w:tblPrEx>
          <w:tblW w:w="5340" w:type="pct"/>
          <w:tblLook w:val="04A0"/>
        </w:tblPrEx>
        <w:trPr>
          <w:cantSplit/>
        </w:trPr>
        <w:tc>
          <w:tcPr>
            <w:tcW w:w="2363" w:type="dxa"/>
          </w:tcPr>
          <w:p w:rsidR="004E5913" w:rsidRPr="00990D3B" w:rsidP="00BD1FC3" w14:paraId="0C0631AF" w14:textId="77777777">
            <w:pPr>
              <w:pStyle w:val="EQRTableText"/>
              <w:rPr>
                <w:b/>
                <w:sz w:val="16"/>
                <w:szCs w:val="16"/>
              </w:rPr>
            </w:pPr>
            <w:r w:rsidRPr="00990D3B">
              <w:rPr>
                <w:b/>
                <w:sz w:val="16"/>
                <w:szCs w:val="16"/>
              </w:rPr>
              <w:t xml:space="preserve">Expedited resolution of appeals </w:t>
            </w:r>
          </w:p>
          <w:p w:rsidR="004E5913" w:rsidRPr="00990D3B" w:rsidP="00BD1FC3" w14:paraId="64ACB387" w14:textId="3532E60D">
            <w:pPr>
              <w:pStyle w:val="EQRTableText"/>
              <w:rPr>
                <w:sz w:val="16"/>
                <w:szCs w:val="16"/>
              </w:rPr>
            </w:pPr>
            <w:r w:rsidRPr="00990D3B">
              <w:rPr>
                <w:b/>
                <w:sz w:val="16"/>
                <w:szCs w:val="16"/>
              </w:rPr>
              <w:t>Medicaid:</w:t>
            </w:r>
            <w:r w:rsidRPr="00990D3B">
              <w:rPr>
                <w:sz w:val="16"/>
                <w:szCs w:val="16"/>
              </w:rPr>
              <w:t xml:space="preserve"> </w:t>
            </w:r>
            <w:r w:rsidRPr="00990D3B" w:rsidR="001C7FC0">
              <w:rPr>
                <w:sz w:val="16"/>
                <w:szCs w:val="16"/>
              </w:rPr>
              <w:t>42 C.F.R.</w:t>
            </w:r>
            <w:r w:rsidRPr="00990D3B" w:rsidR="007854DF">
              <w:rPr>
                <w:sz w:val="16"/>
                <w:szCs w:val="16"/>
              </w:rPr>
              <w:t xml:space="preserve"> </w:t>
            </w:r>
            <w:r w:rsidRPr="00990D3B">
              <w:rPr>
                <w:sz w:val="16"/>
                <w:szCs w:val="16"/>
              </w:rPr>
              <w:t xml:space="preserve">438.410: Expedited resolution of appeals </w:t>
            </w:r>
          </w:p>
          <w:p w:rsidR="004E5913" w:rsidRPr="00990D3B" w:rsidP="00BD1FC3" w14:paraId="507041A5" w14:textId="1102C0DB">
            <w:pPr>
              <w:pStyle w:val="EQRTableText"/>
              <w:rPr>
                <w:b/>
                <w:sz w:val="16"/>
                <w:szCs w:val="16"/>
              </w:rPr>
            </w:pPr>
            <w:r w:rsidRPr="00990D3B">
              <w:rPr>
                <w:b/>
                <w:sz w:val="16"/>
                <w:szCs w:val="16"/>
              </w:rPr>
              <w:t>CHIP:</w:t>
            </w:r>
            <w:r w:rsidRPr="00990D3B">
              <w:rPr>
                <w:sz w:val="16"/>
                <w:szCs w:val="16"/>
              </w:rPr>
              <w:t xml:space="preserve"> </w:t>
            </w:r>
            <w:r w:rsidRPr="00990D3B" w:rsidR="001C7FC0">
              <w:rPr>
                <w:sz w:val="16"/>
                <w:szCs w:val="16"/>
              </w:rPr>
              <w:t>42 C.F.R.</w:t>
            </w:r>
            <w:r w:rsidRPr="00990D3B" w:rsidR="007854DF">
              <w:rPr>
                <w:sz w:val="16"/>
                <w:szCs w:val="16"/>
              </w:rPr>
              <w:t xml:space="preserve"> </w:t>
            </w:r>
            <w:r w:rsidRPr="00990D3B">
              <w:rPr>
                <w:sz w:val="16"/>
                <w:szCs w:val="16"/>
              </w:rPr>
              <w:t>457.1260: Grievance system</w:t>
            </w:r>
          </w:p>
        </w:tc>
        <w:tc>
          <w:tcPr>
            <w:tcW w:w="4114" w:type="dxa"/>
          </w:tcPr>
          <w:p w:rsidR="004E5913" w:rsidRPr="00990D3B" w:rsidP="00E00D33" w14:paraId="7D933D97" w14:textId="77777777">
            <w:pPr>
              <w:pStyle w:val="EQRTableTextbullet"/>
              <w:rPr>
                <w:sz w:val="16"/>
                <w:szCs w:val="16"/>
              </w:rPr>
            </w:pPr>
            <w:r w:rsidRPr="00990D3B">
              <w:rPr>
                <w:sz w:val="16"/>
                <w:szCs w:val="16"/>
              </w:rPr>
              <w:t> </w:t>
            </w:r>
          </w:p>
        </w:tc>
        <w:tc>
          <w:tcPr>
            <w:tcW w:w="4238" w:type="dxa"/>
          </w:tcPr>
          <w:p w:rsidR="004E5913" w:rsidRPr="00990D3B" w:rsidP="00E00D33" w14:paraId="14AEC437" w14:textId="0AE87618">
            <w:pPr>
              <w:pStyle w:val="EQRTableTextbullet"/>
              <w:rPr>
                <w:sz w:val="16"/>
                <w:szCs w:val="16"/>
              </w:rPr>
            </w:pPr>
            <w:r w:rsidRPr="00990D3B">
              <w:rPr>
                <w:sz w:val="16"/>
                <w:szCs w:val="16"/>
              </w:rPr>
              <w:t>Medicaid and CHIP</w:t>
            </w:r>
            <w:r w:rsidRPr="00990D3B">
              <w:rPr>
                <w:sz w:val="16"/>
                <w:szCs w:val="16"/>
              </w:rPr>
              <w:t xml:space="preserve"> enrollee grievance and appeals policies and procedures (ES)</w:t>
            </w:r>
          </w:p>
          <w:p w:rsidR="004E5913" w:rsidRPr="00990D3B" w:rsidP="00E00D33" w14:paraId="0FAA3D49" w14:textId="130722A1">
            <w:pPr>
              <w:pStyle w:val="EQRTableTextbullet"/>
              <w:rPr>
                <w:sz w:val="16"/>
                <w:szCs w:val="16"/>
              </w:rPr>
            </w:pPr>
            <w:r w:rsidRPr="00990D3B">
              <w:rPr>
                <w:sz w:val="16"/>
                <w:szCs w:val="16"/>
              </w:rPr>
              <w:t>Medicaid and CHIP</w:t>
            </w:r>
            <w:r w:rsidRPr="00990D3B">
              <w:rPr>
                <w:sz w:val="16"/>
                <w:szCs w:val="16"/>
              </w:rPr>
              <w:t xml:space="preserve"> enrollee grievance and appeal tracking reports (ES)</w:t>
            </w:r>
          </w:p>
        </w:tc>
        <w:tc>
          <w:tcPr>
            <w:tcW w:w="3116" w:type="dxa"/>
          </w:tcPr>
          <w:p w:rsidR="007061A7" w:rsidRPr="00990D3B" w:rsidP="007061A7" w14:paraId="3ADBE1D5" w14:textId="77777777">
            <w:pPr>
              <w:pStyle w:val="EQRTableText"/>
              <w:rPr>
                <w:b/>
                <w:sz w:val="16"/>
                <w:szCs w:val="16"/>
              </w:rPr>
            </w:pPr>
            <w:r w:rsidRPr="00990D3B">
              <w:rPr>
                <w:b/>
                <w:sz w:val="16"/>
                <w:szCs w:val="16"/>
              </w:rPr>
              <w:t xml:space="preserve">Medicaid: </w:t>
            </w:r>
          </w:p>
          <w:p w:rsidR="007061A7" w:rsidRPr="00990D3B" w:rsidP="007061A7" w14:paraId="207373FC"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08354897"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7F2E8B9D"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37AF002B"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4FA64E75"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3A1CBA5E"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7061A7" w:rsidRPr="00990D3B" w:rsidP="007061A7" w14:paraId="7B267625" w14:textId="77777777">
            <w:pPr>
              <w:pStyle w:val="EQRTableText"/>
              <w:rPr>
                <w:sz w:val="16"/>
                <w:szCs w:val="16"/>
              </w:rPr>
            </w:pPr>
            <w:r w:rsidRPr="00990D3B">
              <w:rPr>
                <w:sz w:val="16"/>
                <w:szCs w:val="16"/>
              </w:rPr>
              <w:t>Reviewer Notes:</w:t>
            </w:r>
          </w:p>
          <w:p w:rsidR="007061A7" w:rsidRPr="00990D3B" w:rsidP="007061A7" w14:paraId="0D8F6D05" w14:textId="77777777">
            <w:pPr>
              <w:pStyle w:val="EQRTableText"/>
              <w:rPr>
                <w:b/>
                <w:sz w:val="16"/>
                <w:szCs w:val="16"/>
              </w:rPr>
            </w:pPr>
            <w:r w:rsidRPr="00990D3B">
              <w:rPr>
                <w:b/>
                <w:sz w:val="16"/>
                <w:szCs w:val="16"/>
              </w:rPr>
              <w:t>CHIP:</w:t>
            </w:r>
          </w:p>
          <w:p w:rsidR="007061A7" w:rsidRPr="00990D3B" w:rsidP="007061A7" w14:paraId="52560ACB"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49E8ED81"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07EC4CF3"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0F50CD03"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29D5B18D"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06093050"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4E5913" w:rsidRPr="00990D3B" w:rsidP="007061A7" w14:paraId="1E9D546C" w14:textId="298F287B">
            <w:pPr>
              <w:pStyle w:val="EQRTableText"/>
              <w:rPr>
                <w:b/>
                <w:sz w:val="16"/>
                <w:szCs w:val="16"/>
              </w:rPr>
            </w:pPr>
            <w:r w:rsidRPr="00990D3B">
              <w:rPr>
                <w:sz w:val="16"/>
                <w:szCs w:val="16"/>
              </w:rPr>
              <w:t>Reviewer Notes:</w:t>
            </w:r>
          </w:p>
        </w:tc>
      </w:tr>
      <w:tr w14:paraId="5E91F0FB" w14:textId="77777777" w:rsidTr="00D3058C">
        <w:tblPrEx>
          <w:tblW w:w="5340" w:type="pct"/>
          <w:tblLook w:val="04A0"/>
        </w:tblPrEx>
        <w:trPr>
          <w:cantSplit/>
        </w:trPr>
        <w:tc>
          <w:tcPr>
            <w:tcW w:w="2363" w:type="dxa"/>
          </w:tcPr>
          <w:p w:rsidR="004E5913" w:rsidRPr="00990D3B" w:rsidP="00BD1FC3" w14:paraId="1E383DB3" w14:textId="77777777">
            <w:pPr>
              <w:pStyle w:val="EQRTableText"/>
              <w:rPr>
                <w:b/>
                <w:sz w:val="16"/>
                <w:szCs w:val="16"/>
              </w:rPr>
            </w:pPr>
            <w:r w:rsidRPr="00990D3B">
              <w:rPr>
                <w:b/>
                <w:sz w:val="16"/>
                <w:szCs w:val="16"/>
              </w:rPr>
              <w:t xml:space="preserve">Information about the grievance system to providers and subcontractors </w:t>
            </w:r>
          </w:p>
          <w:p w:rsidR="004E5913" w:rsidRPr="00990D3B" w:rsidP="00BD1FC3" w14:paraId="6EA3C9E0" w14:textId="5EE24014">
            <w:pPr>
              <w:pStyle w:val="EQRTableText"/>
              <w:rPr>
                <w:sz w:val="16"/>
                <w:szCs w:val="16"/>
              </w:rPr>
            </w:pPr>
            <w:r w:rsidRPr="00990D3B">
              <w:rPr>
                <w:b/>
                <w:sz w:val="16"/>
                <w:szCs w:val="16"/>
              </w:rPr>
              <w:t>Medicaid:</w:t>
            </w:r>
            <w:r w:rsidRPr="00990D3B">
              <w:rPr>
                <w:sz w:val="16"/>
                <w:szCs w:val="16"/>
              </w:rPr>
              <w:t xml:space="preserve"> </w:t>
            </w:r>
            <w:r w:rsidRPr="00990D3B" w:rsidR="001C7FC0">
              <w:rPr>
                <w:sz w:val="16"/>
                <w:szCs w:val="16"/>
              </w:rPr>
              <w:t>42 C.F.R.</w:t>
            </w:r>
            <w:r w:rsidRPr="00990D3B" w:rsidR="007854DF">
              <w:rPr>
                <w:sz w:val="16"/>
                <w:szCs w:val="16"/>
              </w:rPr>
              <w:t xml:space="preserve"> </w:t>
            </w:r>
            <w:r w:rsidRPr="00990D3B">
              <w:rPr>
                <w:sz w:val="16"/>
                <w:szCs w:val="16"/>
              </w:rPr>
              <w:t>438.414: Information about the grievance and appeal system to providers and subcontractors</w:t>
            </w:r>
          </w:p>
          <w:p w:rsidR="004E5913" w:rsidRPr="00990D3B" w:rsidP="00BD1FC3" w14:paraId="1C848C04" w14:textId="155F964A">
            <w:pPr>
              <w:pStyle w:val="EQRTableText"/>
              <w:rPr>
                <w:sz w:val="16"/>
                <w:szCs w:val="16"/>
              </w:rPr>
            </w:pPr>
            <w:r w:rsidRPr="00990D3B">
              <w:rPr>
                <w:b/>
                <w:sz w:val="16"/>
                <w:szCs w:val="16"/>
              </w:rPr>
              <w:t>CHIP:</w:t>
            </w:r>
            <w:r w:rsidRPr="00990D3B">
              <w:rPr>
                <w:sz w:val="16"/>
                <w:szCs w:val="16"/>
              </w:rPr>
              <w:t xml:space="preserve"> </w:t>
            </w:r>
            <w:r w:rsidRPr="00990D3B" w:rsidR="001C7FC0">
              <w:rPr>
                <w:sz w:val="16"/>
                <w:szCs w:val="16"/>
              </w:rPr>
              <w:t>42 C.F.R.</w:t>
            </w:r>
            <w:r w:rsidRPr="00990D3B" w:rsidR="007854DF">
              <w:rPr>
                <w:sz w:val="16"/>
                <w:szCs w:val="16"/>
              </w:rPr>
              <w:t xml:space="preserve"> </w:t>
            </w:r>
            <w:r w:rsidRPr="00990D3B">
              <w:rPr>
                <w:sz w:val="16"/>
                <w:szCs w:val="16"/>
              </w:rPr>
              <w:t>457.1260: Grievance system</w:t>
            </w:r>
          </w:p>
        </w:tc>
        <w:tc>
          <w:tcPr>
            <w:tcW w:w="4114" w:type="dxa"/>
          </w:tcPr>
          <w:p w:rsidR="004E5913" w:rsidRPr="00990D3B" w:rsidP="00E00D33" w14:paraId="23FC2FD3" w14:textId="77777777">
            <w:pPr>
              <w:pStyle w:val="EQRTableTextbullet"/>
              <w:rPr>
                <w:sz w:val="16"/>
                <w:szCs w:val="16"/>
              </w:rPr>
            </w:pPr>
            <w:r w:rsidRPr="00990D3B">
              <w:rPr>
                <w:sz w:val="16"/>
                <w:szCs w:val="16"/>
              </w:rPr>
              <w:t>Information on:</w:t>
            </w:r>
          </w:p>
          <w:p w:rsidR="004E5913" w:rsidRPr="00990D3B" w:rsidP="00E00D33" w14:paraId="1CC3783D" w14:textId="41CD1D55">
            <w:pPr>
              <w:pStyle w:val="EQRTableTextbullet"/>
              <w:rPr>
                <w:sz w:val="16"/>
                <w:szCs w:val="16"/>
              </w:rPr>
            </w:pPr>
            <w:r w:rsidRPr="00990D3B">
              <w:rPr>
                <w:sz w:val="16"/>
                <w:szCs w:val="16"/>
              </w:rPr>
              <w:t xml:space="preserve">Whether the state develops or approves the MCP’s description of its grievance system that the MCP is required to provide to all </w:t>
            </w:r>
            <w:r w:rsidRPr="00990D3B" w:rsidR="00832946">
              <w:rPr>
                <w:sz w:val="16"/>
                <w:szCs w:val="16"/>
              </w:rPr>
              <w:t>Medicaid and CHIP</w:t>
            </w:r>
            <w:r w:rsidRPr="00990D3B">
              <w:rPr>
                <w:sz w:val="16"/>
                <w:szCs w:val="16"/>
              </w:rPr>
              <w:t xml:space="preserve"> enrollees (per 438.10(g)(2)(xi). [Note that under regulations at </w:t>
            </w:r>
            <w:r w:rsidRPr="00990D3B" w:rsidR="001C7FC0">
              <w:rPr>
                <w:sz w:val="16"/>
                <w:szCs w:val="16"/>
              </w:rPr>
              <w:t>42 C.F.R.</w:t>
            </w:r>
            <w:r w:rsidRPr="00990D3B" w:rsidR="007854DF">
              <w:rPr>
                <w:sz w:val="16"/>
                <w:szCs w:val="16"/>
              </w:rPr>
              <w:t xml:space="preserve"> </w:t>
            </w:r>
            <w:r w:rsidRPr="00990D3B">
              <w:rPr>
                <w:sz w:val="16"/>
                <w:szCs w:val="16"/>
              </w:rPr>
              <w:t>438.10(g)(1) the state must either develop a description for use by the MCP or approve a description developed by the MCP.]</w:t>
            </w:r>
          </w:p>
          <w:p w:rsidR="004E5913" w:rsidRPr="00990D3B" w:rsidP="00E00D33" w14:paraId="11E873AF" w14:textId="77777777">
            <w:pPr>
              <w:pStyle w:val="EQRTableTextbullet"/>
              <w:rPr>
                <w:sz w:val="16"/>
                <w:szCs w:val="16"/>
              </w:rPr>
            </w:pPr>
            <w:r w:rsidRPr="00990D3B">
              <w:rPr>
                <w:sz w:val="16"/>
                <w:szCs w:val="16"/>
              </w:rPr>
              <w:t xml:space="preserve">If the states </w:t>
            </w:r>
            <w:r w:rsidRPr="00990D3B">
              <w:rPr>
                <w:sz w:val="16"/>
                <w:szCs w:val="16"/>
              </w:rPr>
              <w:t>approves</w:t>
            </w:r>
            <w:r w:rsidRPr="00990D3B">
              <w:rPr>
                <w:sz w:val="16"/>
                <w:szCs w:val="16"/>
              </w:rPr>
              <w:t xml:space="preserve">, rather than develops, the description of the MCP’s grievance system, information on </w:t>
            </w:r>
            <w:r w:rsidRPr="00990D3B">
              <w:rPr>
                <w:sz w:val="16"/>
                <w:szCs w:val="16"/>
              </w:rPr>
              <w:t>whether or not</w:t>
            </w:r>
            <w:r w:rsidRPr="00990D3B">
              <w:rPr>
                <w:sz w:val="16"/>
                <w:szCs w:val="16"/>
              </w:rPr>
              <w:t xml:space="preserve"> the state has already approved the MCP’s description.</w:t>
            </w:r>
          </w:p>
        </w:tc>
        <w:tc>
          <w:tcPr>
            <w:tcW w:w="4238" w:type="dxa"/>
          </w:tcPr>
          <w:p w:rsidR="004E5913" w:rsidRPr="00990D3B" w:rsidP="00E00D33" w14:paraId="1DAACAE8" w14:textId="77777777">
            <w:pPr>
              <w:pStyle w:val="EQRTableTextbullet"/>
              <w:rPr>
                <w:sz w:val="16"/>
                <w:szCs w:val="16"/>
              </w:rPr>
            </w:pPr>
            <w:r w:rsidRPr="00990D3B">
              <w:rPr>
                <w:sz w:val="16"/>
                <w:szCs w:val="16"/>
              </w:rPr>
              <w:t>Contracts or written agreements with organizational subcontractors (AM)</w:t>
            </w:r>
          </w:p>
          <w:p w:rsidR="004E5913" w:rsidRPr="00990D3B" w:rsidP="00E00D33" w14:paraId="3C36E0F3" w14:textId="77777777">
            <w:pPr>
              <w:pStyle w:val="EQRTableTextbullet"/>
              <w:rPr>
                <w:sz w:val="16"/>
                <w:szCs w:val="16"/>
              </w:rPr>
            </w:pPr>
            <w:r w:rsidRPr="00990D3B">
              <w:rPr>
                <w:sz w:val="16"/>
                <w:szCs w:val="16"/>
              </w:rPr>
              <w:t>Completed evaluations of entities conducted before delegation is granted (AM)</w:t>
            </w:r>
          </w:p>
          <w:p w:rsidR="004E5913" w:rsidRPr="00990D3B" w:rsidP="00E00D33" w14:paraId="2060ACBC" w14:textId="77777777">
            <w:pPr>
              <w:pStyle w:val="EQRTableTextbullet"/>
              <w:rPr>
                <w:sz w:val="16"/>
                <w:szCs w:val="16"/>
              </w:rPr>
            </w:pPr>
            <w:r w:rsidRPr="00990D3B">
              <w:rPr>
                <w:sz w:val="16"/>
                <w:szCs w:val="16"/>
              </w:rPr>
              <w:t>Provider contracts (PS)</w:t>
            </w:r>
          </w:p>
          <w:p w:rsidR="004E5913" w:rsidRPr="00990D3B" w:rsidP="00E00D33" w14:paraId="37CF75B3" w14:textId="77777777">
            <w:pPr>
              <w:pStyle w:val="EQRTableTextbullet"/>
              <w:rPr>
                <w:sz w:val="16"/>
                <w:szCs w:val="16"/>
              </w:rPr>
            </w:pPr>
            <w:r w:rsidRPr="00990D3B">
              <w:rPr>
                <w:sz w:val="16"/>
                <w:szCs w:val="16"/>
              </w:rPr>
              <w:t>Provider/Contractor procedure manuals (PS)</w:t>
            </w:r>
          </w:p>
        </w:tc>
        <w:tc>
          <w:tcPr>
            <w:tcW w:w="3116" w:type="dxa"/>
          </w:tcPr>
          <w:p w:rsidR="007061A7" w:rsidRPr="00990D3B" w:rsidP="007061A7" w14:paraId="4458D3A3" w14:textId="77777777">
            <w:pPr>
              <w:pStyle w:val="EQRTableText"/>
              <w:rPr>
                <w:b/>
                <w:sz w:val="16"/>
                <w:szCs w:val="16"/>
              </w:rPr>
            </w:pPr>
            <w:r w:rsidRPr="00990D3B">
              <w:rPr>
                <w:b/>
                <w:sz w:val="16"/>
                <w:szCs w:val="16"/>
              </w:rPr>
              <w:t xml:space="preserve">Medicaid: </w:t>
            </w:r>
          </w:p>
          <w:p w:rsidR="007061A7" w:rsidRPr="00990D3B" w:rsidP="007061A7" w14:paraId="1EBBE3DE"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29217259"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032C8ABD"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5ED3364C"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67D6DFF2"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395A2BB1"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7061A7" w:rsidRPr="00990D3B" w:rsidP="007061A7" w14:paraId="534B0AE7" w14:textId="77777777">
            <w:pPr>
              <w:pStyle w:val="EQRTableText"/>
              <w:rPr>
                <w:sz w:val="16"/>
                <w:szCs w:val="16"/>
              </w:rPr>
            </w:pPr>
            <w:r w:rsidRPr="00990D3B">
              <w:rPr>
                <w:sz w:val="16"/>
                <w:szCs w:val="16"/>
              </w:rPr>
              <w:t>Reviewer Notes:</w:t>
            </w:r>
          </w:p>
          <w:p w:rsidR="007061A7" w:rsidRPr="00990D3B" w:rsidP="007061A7" w14:paraId="00EE2573" w14:textId="77777777">
            <w:pPr>
              <w:pStyle w:val="EQRTableText"/>
              <w:rPr>
                <w:b/>
                <w:sz w:val="16"/>
                <w:szCs w:val="16"/>
              </w:rPr>
            </w:pPr>
            <w:r w:rsidRPr="00990D3B">
              <w:rPr>
                <w:b/>
                <w:sz w:val="16"/>
                <w:szCs w:val="16"/>
              </w:rPr>
              <w:t>CHIP:</w:t>
            </w:r>
          </w:p>
          <w:p w:rsidR="007061A7" w:rsidRPr="00990D3B" w:rsidP="007061A7" w14:paraId="4B1F64F9"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0E718724"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345A377C"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040F6DDC"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5EF65448"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2B0C3350"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4E5913" w:rsidRPr="00990D3B" w:rsidP="007061A7" w14:paraId="311A71F1" w14:textId="0E193FC9">
            <w:pPr>
              <w:pStyle w:val="EQRTableText"/>
              <w:rPr>
                <w:sz w:val="16"/>
                <w:szCs w:val="16"/>
              </w:rPr>
            </w:pPr>
            <w:r w:rsidRPr="00990D3B">
              <w:rPr>
                <w:sz w:val="16"/>
                <w:szCs w:val="16"/>
              </w:rPr>
              <w:t>Reviewer Notes:</w:t>
            </w:r>
          </w:p>
        </w:tc>
      </w:tr>
      <w:tr w14:paraId="4D071B6D" w14:textId="77777777" w:rsidTr="00D3058C">
        <w:tblPrEx>
          <w:tblW w:w="5340" w:type="pct"/>
          <w:tblLook w:val="04A0"/>
        </w:tblPrEx>
        <w:trPr>
          <w:cantSplit/>
        </w:trPr>
        <w:tc>
          <w:tcPr>
            <w:tcW w:w="2363" w:type="dxa"/>
          </w:tcPr>
          <w:p w:rsidR="004E5913" w:rsidRPr="00990D3B" w:rsidP="00BD1FC3" w14:paraId="1FD6C37F" w14:textId="77777777">
            <w:pPr>
              <w:pStyle w:val="EQRTableText"/>
              <w:rPr>
                <w:sz w:val="16"/>
                <w:szCs w:val="16"/>
              </w:rPr>
            </w:pPr>
            <w:r w:rsidRPr="00990D3B">
              <w:rPr>
                <w:b/>
                <w:sz w:val="16"/>
                <w:szCs w:val="16"/>
              </w:rPr>
              <w:t xml:space="preserve">Recordkeeping requirements </w:t>
            </w:r>
          </w:p>
          <w:p w:rsidR="004E5913" w:rsidRPr="00990D3B" w:rsidP="00BD1FC3" w14:paraId="0D16B1B6" w14:textId="78FF009A">
            <w:pPr>
              <w:pStyle w:val="EQRTableText"/>
              <w:rPr>
                <w:sz w:val="16"/>
                <w:szCs w:val="16"/>
              </w:rPr>
            </w:pPr>
            <w:r w:rsidRPr="00990D3B">
              <w:rPr>
                <w:b/>
                <w:sz w:val="16"/>
                <w:szCs w:val="16"/>
              </w:rPr>
              <w:t>Medicaid:</w:t>
            </w:r>
            <w:r w:rsidRPr="00990D3B">
              <w:rPr>
                <w:sz w:val="16"/>
                <w:szCs w:val="16"/>
              </w:rPr>
              <w:t xml:space="preserve"> </w:t>
            </w:r>
            <w:r w:rsidRPr="00990D3B" w:rsidR="001C7FC0">
              <w:rPr>
                <w:sz w:val="16"/>
                <w:szCs w:val="16"/>
              </w:rPr>
              <w:t>42 C.F.R.</w:t>
            </w:r>
            <w:r w:rsidRPr="00990D3B" w:rsidR="007854DF">
              <w:rPr>
                <w:sz w:val="16"/>
                <w:szCs w:val="16"/>
              </w:rPr>
              <w:t xml:space="preserve"> </w:t>
            </w:r>
            <w:r w:rsidRPr="00990D3B">
              <w:rPr>
                <w:sz w:val="16"/>
                <w:szCs w:val="16"/>
              </w:rPr>
              <w:t xml:space="preserve">438.416: Recordkeeping requirements </w:t>
            </w:r>
          </w:p>
          <w:p w:rsidR="004E5913" w:rsidRPr="00990D3B" w:rsidP="00BD1FC3" w14:paraId="3AAC4D0A" w14:textId="145FD2EF">
            <w:pPr>
              <w:pStyle w:val="EQRTableText"/>
              <w:rPr>
                <w:sz w:val="16"/>
                <w:szCs w:val="16"/>
              </w:rPr>
            </w:pPr>
            <w:r w:rsidRPr="00990D3B">
              <w:rPr>
                <w:b/>
                <w:sz w:val="16"/>
                <w:szCs w:val="16"/>
              </w:rPr>
              <w:t>CHIP:</w:t>
            </w:r>
            <w:r w:rsidRPr="00990D3B">
              <w:rPr>
                <w:sz w:val="16"/>
                <w:szCs w:val="16"/>
              </w:rPr>
              <w:t xml:space="preserve"> </w:t>
            </w:r>
            <w:r w:rsidRPr="00990D3B" w:rsidR="001C7FC0">
              <w:rPr>
                <w:sz w:val="16"/>
                <w:szCs w:val="16"/>
              </w:rPr>
              <w:t>42 C.F.R.</w:t>
            </w:r>
            <w:r w:rsidRPr="00990D3B" w:rsidR="007854DF">
              <w:rPr>
                <w:sz w:val="16"/>
                <w:szCs w:val="16"/>
              </w:rPr>
              <w:t xml:space="preserve"> </w:t>
            </w:r>
            <w:r w:rsidRPr="00990D3B">
              <w:rPr>
                <w:sz w:val="16"/>
                <w:szCs w:val="16"/>
              </w:rPr>
              <w:t>457.1260: Grievance system</w:t>
            </w:r>
          </w:p>
        </w:tc>
        <w:tc>
          <w:tcPr>
            <w:tcW w:w="4114" w:type="dxa"/>
          </w:tcPr>
          <w:p w:rsidR="004E5913" w:rsidRPr="00990D3B" w:rsidP="00E00D33" w14:paraId="7F143BC4" w14:textId="77777777">
            <w:pPr>
              <w:pStyle w:val="EQRTableTextbullet"/>
              <w:rPr>
                <w:sz w:val="16"/>
                <w:szCs w:val="16"/>
              </w:rPr>
            </w:pPr>
            <w:r w:rsidRPr="00990D3B">
              <w:rPr>
                <w:sz w:val="16"/>
                <w:szCs w:val="16"/>
              </w:rPr>
              <w:t>Information on any audits or other reviews of MCP records of grievances and appeals conducted by the state.</w:t>
            </w:r>
          </w:p>
        </w:tc>
        <w:tc>
          <w:tcPr>
            <w:tcW w:w="4238" w:type="dxa"/>
          </w:tcPr>
          <w:p w:rsidR="004E5913" w:rsidRPr="00990D3B" w:rsidP="00E00D33" w14:paraId="4645C4D1" w14:textId="0421D12E">
            <w:pPr>
              <w:pStyle w:val="EQRTableTextbullet"/>
              <w:rPr>
                <w:sz w:val="16"/>
                <w:szCs w:val="16"/>
              </w:rPr>
            </w:pPr>
            <w:r w:rsidRPr="00990D3B">
              <w:rPr>
                <w:sz w:val="16"/>
                <w:szCs w:val="16"/>
              </w:rPr>
              <w:t>Medicaid and CHIP</w:t>
            </w:r>
            <w:r w:rsidRPr="00990D3B">
              <w:rPr>
                <w:sz w:val="16"/>
                <w:szCs w:val="16"/>
              </w:rPr>
              <w:t xml:space="preserve"> enrollee grievance and appeals policies and procedures (ES)</w:t>
            </w:r>
          </w:p>
          <w:p w:rsidR="004E5913" w:rsidRPr="00990D3B" w:rsidP="00E00D33" w14:paraId="7D9C4E14" w14:textId="20627A19">
            <w:pPr>
              <w:pStyle w:val="EQRTableTextbullet"/>
              <w:rPr>
                <w:sz w:val="16"/>
                <w:szCs w:val="16"/>
              </w:rPr>
            </w:pPr>
            <w:r w:rsidRPr="00990D3B">
              <w:rPr>
                <w:sz w:val="16"/>
                <w:szCs w:val="16"/>
              </w:rPr>
              <w:t>Medicaid and CHIP</w:t>
            </w:r>
            <w:r w:rsidRPr="00990D3B">
              <w:rPr>
                <w:sz w:val="16"/>
                <w:szCs w:val="16"/>
              </w:rPr>
              <w:t xml:space="preserve"> </w:t>
            </w:r>
            <w:r w:rsidRPr="00990D3B">
              <w:rPr>
                <w:sz w:val="16"/>
                <w:szCs w:val="16"/>
              </w:rPr>
              <w:t>enrollee</w:t>
            </w:r>
            <w:r w:rsidRPr="00990D3B">
              <w:rPr>
                <w:sz w:val="16"/>
                <w:szCs w:val="16"/>
              </w:rPr>
              <w:t xml:space="preserve"> grievance and appeal tracking reports (ES)</w:t>
            </w:r>
          </w:p>
          <w:p w:rsidR="004E5913" w:rsidRPr="00990D3B" w:rsidP="00E00D33" w14:paraId="06A1D3B9" w14:textId="2060FCE0">
            <w:pPr>
              <w:pStyle w:val="EQRTableTextbullet"/>
              <w:rPr>
                <w:sz w:val="16"/>
                <w:szCs w:val="16"/>
              </w:rPr>
            </w:pPr>
            <w:r w:rsidRPr="00990D3B">
              <w:rPr>
                <w:sz w:val="16"/>
                <w:szCs w:val="16"/>
              </w:rPr>
              <w:t>Sample records of grievances and appeals (ES)</w:t>
            </w:r>
          </w:p>
        </w:tc>
        <w:tc>
          <w:tcPr>
            <w:tcW w:w="3116" w:type="dxa"/>
          </w:tcPr>
          <w:p w:rsidR="007061A7" w:rsidRPr="00990D3B" w:rsidP="007061A7" w14:paraId="09D98A34" w14:textId="77777777">
            <w:pPr>
              <w:pStyle w:val="EQRTableText"/>
              <w:rPr>
                <w:b/>
                <w:sz w:val="16"/>
                <w:szCs w:val="16"/>
              </w:rPr>
            </w:pPr>
            <w:r w:rsidRPr="00990D3B">
              <w:rPr>
                <w:b/>
                <w:sz w:val="16"/>
                <w:szCs w:val="16"/>
              </w:rPr>
              <w:t xml:space="preserve">Medicaid: </w:t>
            </w:r>
          </w:p>
          <w:p w:rsidR="007061A7" w:rsidRPr="00990D3B" w:rsidP="007061A7" w14:paraId="799797AC"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47A296D2"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4380E183"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425835A8"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4D0F4A6B"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5EA6C349"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7061A7" w:rsidRPr="00990D3B" w:rsidP="007061A7" w14:paraId="3E9EAE3F" w14:textId="77777777">
            <w:pPr>
              <w:pStyle w:val="EQRTableText"/>
              <w:rPr>
                <w:sz w:val="16"/>
                <w:szCs w:val="16"/>
              </w:rPr>
            </w:pPr>
            <w:r w:rsidRPr="00990D3B">
              <w:rPr>
                <w:sz w:val="16"/>
                <w:szCs w:val="16"/>
              </w:rPr>
              <w:t>Reviewer Notes:</w:t>
            </w:r>
          </w:p>
          <w:p w:rsidR="007061A7" w:rsidRPr="00990D3B" w:rsidP="007061A7" w14:paraId="688F81D9" w14:textId="77777777">
            <w:pPr>
              <w:pStyle w:val="EQRTableText"/>
              <w:rPr>
                <w:b/>
                <w:sz w:val="16"/>
                <w:szCs w:val="16"/>
              </w:rPr>
            </w:pPr>
            <w:r w:rsidRPr="00990D3B">
              <w:rPr>
                <w:b/>
                <w:sz w:val="16"/>
                <w:szCs w:val="16"/>
              </w:rPr>
              <w:t>CHIP:</w:t>
            </w:r>
          </w:p>
          <w:p w:rsidR="007061A7" w:rsidRPr="00990D3B" w:rsidP="007061A7" w14:paraId="64754F4D"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03702547"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0052C247"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01F3DB17"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0328A4CD"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49470B1A"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4E5913" w:rsidRPr="00990D3B" w:rsidP="007061A7" w14:paraId="043DAC49" w14:textId="4581B8B4">
            <w:pPr>
              <w:pStyle w:val="EQRTableText"/>
              <w:rPr>
                <w:sz w:val="16"/>
                <w:szCs w:val="16"/>
              </w:rPr>
            </w:pPr>
            <w:r w:rsidRPr="00990D3B">
              <w:rPr>
                <w:sz w:val="16"/>
                <w:szCs w:val="16"/>
              </w:rPr>
              <w:t>Reviewer Notes:</w:t>
            </w:r>
          </w:p>
        </w:tc>
      </w:tr>
      <w:tr w14:paraId="0D18FDB6" w14:textId="77777777" w:rsidTr="00D3058C">
        <w:tblPrEx>
          <w:tblW w:w="5340" w:type="pct"/>
          <w:tblLook w:val="04A0"/>
        </w:tblPrEx>
        <w:trPr>
          <w:cantSplit/>
        </w:trPr>
        <w:tc>
          <w:tcPr>
            <w:tcW w:w="2363" w:type="dxa"/>
          </w:tcPr>
          <w:p w:rsidR="004E5913" w:rsidRPr="00990D3B" w:rsidP="00BD1FC3" w14:paraId="24B3FEB2" w14:textId="77777777">
            <w:pPr>
              <w:pStyle w:val="EQRTableText"/>
              <w:rPr>
                <w:sz w:val="16"/>
                <w:szCs w:val="16"/>
              </w:rPr>
            </w:pPr>
            <w:r w:rsidRPr="00990D3B">
              <w:rPr>
                <w:b/>
                <w:sz w:val="16"/>
                <w:szCs w:val="16"/>
              </w:rPr>
              <w:t xml:space="preserve">Continuation of benefits while the MCP appeal and the state Fair Hearing are pending </w:t>
            </w:r>
          </w:p>
          <w:p w:rsidR="004E5913" w:rsidRPr="00990D3B" w:rsidP="00BD1FC3" w14:paraId="283EC1F1" w14:textId="1E2B2864">
            <w:pPr>
              <w:pStyle w:val="EQRTableText"/>
              <w:rPr>
                <w:sz w:val="16"/>
                <w:szCs w:val="16"/>
              </w:rPr>
            </w:pPr>
            <w:r w:rsidRPr="00990D3B">
              <w:rPr>
                <w:sz w:val="16"/>
                <w:szCs w:val="16"/>
              </w:rPr>
              <w:t>42 C.F.R.</w:t>
            </w:r>
            <w:r w:rsidRPr="00990D3B" w:rsidR="007854DF">
              <w:rPr>
                <w:sz w:val="16"/>
                <w:szCs w:val="16"/>
              </w:rPr>
              <w:t xml:space="preserve"> </w:t>
            </w:r>
            <w:r w:rsidRPr="00990D3B">
              <w:rPr>
                <w:sz w:val="16"/>
                <w:szCs w:val="16"/>
              </w:rPr>
              <w:t>438.420: Continuation of benefits while the MCO, PIHP, or PAHP appeal and the state fair hearing are pending</w:t>
            </w:r>
          </w:p>
          <w:p w:rsidR="004E5913" w:rsidRPr="00990D3B" w:rsidP="00BD1FC3" w14:paraId="0AA2F4C6" w14:textId="77777777">
            <w:pPr>
              <w:pStyle w:val="EQRTableText"/>
              <w:rPr>
                <w:sz w:val="16"/>
                <w:szCs w:val="16"/>
              </w:rPr>
            </w:pPr>
            <w:r w:rsidRPr="00990D3B">
              <w:rPr>
                <w:sz w:val="16"/>
                <w:szCs w:val="16"/>
              </w:rPr>
              <w:t>(Note: This requirement does not apply to CHIP)</w:t>
            </w:r>
          </w:p>
        </w:tc>
        <w:tc>
          <w:tcPr>
            <w:tcW w:w="4114" w:type="dxa"/>
          </w:tcPr>
          <w:p w:rsidR="004E5913" w:rsidRPr="00990D3B" w:rsidP="00E00D33" w14:paraId="28950894" w14:textId="78C35BC9">
            <w:pPr>
              <w:pStyle w:val="EQRTableTextbullet"/>
              <w:rPr>
                <w:sz w:val="16"/>
                <w:szCs w:val="16"/>
              </w:rPr>
            </w:pPr>
            <w:r w:rsidRPr="00990D3B">
              <w:rPr>
                <w:sz w:val="16"/>
                <w:szCs w:val="16"/>
              </w:rPr>
              <w:t xml:space="preserve">Information on any state requirements concerning continuation of benefits </w:t>
            </w:r>
            <w:r w:rsidRPr="00990D3B">
              <w:rPr>
                <w:sz w:val="16"/>
                <w:szCs w:val="16"/>
              </w:rPr>
              <w:t>pending</w:t>
            </w:r>
            <w:r w:rsidRPr="00990D3B">
              <w:rPr>
                <w:sz w:val="16"/>
                <w:szCs w:val="16"/>
              </w:rPr>
              <w:t xml:space="preserve"> appeal and state fair hearing that differ from those required under </w:t>
            </w:r>
            <w:r w:rsidRPr="00990D3B" w:rsidR="001C7FC0">
              <w:rPr>
                <w:sz w:val="16"/>
                <w:szCs w:val="16"/>
              </w:rPr>
              <w:t>42 C.F.R.</w:t>
            </w:r>
            <w:r w:rsidRPr="00990D3B" w:rsidR="007854DF">
              <w:rPr>
                <w:sz w:val="16"/>
                <w:szCs w:val="16"/>
              </w:rPr>
              <w:t xml:space="preserve"> </w:t>
            </w:r>
            <w:r w:rsidRPr="00990D3B">
              <w:rPr>
                <w:sz w:val="16"/>
                <w:szCs w:val="16"/>
              </w:rPr>
              <w:t>420.</w:t>
            </w:r>
          </w:p>
          <w:p w:rsidR="004E5913" w:rsidRPr="00990D3B" w:rsidP="00E00D33" w14:paraId="7876D587" w14:textId="77777777">
            <w:pPr>
              <w:pStyle w:val="EQRTableTextbullet"/>
              <w:rPr>
                <w:sz w:val="16"/>
                <w:szCs w:val="16"/>
              </w:rPr>
            </w:pPr>
            <w:r w:rsidRPr="00990D3B">
              <w:rPr>
                <w:sz w:val="16"/>
                <w:szCs w:val="16"/>
              </w:rPr>
              <w:t>Information on any audits or other reviews of MCP records of appeals conducted by the state, to determine MCP compliance with federal continuation of benefits requirements.</w:t>
            </w:r>
          </w:p>
          <w:p w:rsidR="004E5913" w:rsidRPr="00990D3B" w:rsidP="00E00D33" w14:paraId="01EA8BFD" w14:textId="79A51558">
            <w:pPr>
              <w:pStyle w:val="EQRTableTextbullet"/>
              <w:rPr>
                <w:sz w:val="16"/>
                <w:szCs w:val="16"/>
              </w:rPr>
            </w:pPr>
            <w:r w:rsidRPr="00990D3B">
              <w:rPr>
                <w:sz w:val="16"/>
                <w:szCs w:val="16"/>
              </w:rPr>
              <w:t xml:space="preserve">Whether state permits </w:t>
            </w:r>
            <w:r w:rsidRPr="00990D3B" w:rsidR="005F436F">
              <w:rPr>
                <w:sz w:val="16"/>
                <w:szCs w:val="16"/>
              </w:rPr>
              <w:t>MCP</w:t>
            </w:r>
            <w:r w:rsidRPr="00990D3B">
              <w:rPr>
                <w:sz w:val="16"/>
                <w:szCs w:val="16"/>
              </w:rPr>
              <w:t>s to recover the cost of services. See (d) reference to “state’s usual policy.”</w:t>
            </w:r>
          </w:p>
        </w:tc>
        <w:tc>
          <w:tcPr>
            <w:tcW w:w="4238" w:type="dxa"/>
          </w:tcPr>
          <w:p w:rsidR="004E5913" w:rsidRPr="00990D3B" w:rsidP="00E00D33" w14:paraId="1E092AC6" w14:textId="77777777">
            <w:pPr>
              <w:pStyle w:val="EQRTableTextbullet"/>
              <w:rPr>
                <w:sz w:val="16"/>
                <w:szCs w:val="16"/>
              </w:rPr>
            </w:pPr>
            <w:r w:rsidRPr="00990D3B">
              <w:rPr>
                <w:sz w:val="16"/>
                <w:szCs w:val="16"/>
              </w:rPr>
              <w:t>Medicaid enrollee grievance and appeals policies and procedures (ES)</w:t>
            </w:r>
          </w:p>
        </w:tc>
        <w:tc>
          <w:tcPr>
            <w:tcW w:w="3116" w:type="dxa"/>
          </w:tcPr>
          <w:p w:rsidR="004E5913" w:rsidRPr="00990D3B" w:rsidP="00BD1FC3" w14:paraId="60BABACF" w14:textId="77777777">
            <w:pPr>
              <w:pStyle w:val="EQRTableText"/>
              <w:rPr>
                <w:b/>
                <w:sz w:val="16"/>
                <w:szCs w:val="16"/>
              </w:rPr>
            </w:pPr>
            <w:r w:rsidRPr="00990D3B">
              <w:rPr>
                <w:b/>
                <w:sz w:val="16"/>
                <w:szCs w:val="16"/>
              </w:rPr>
              <w:t>Medicaid-only:</w:t>
            </w:r>
          </w:p>
          <w:p w:rsidR="004E5913" w:rsidRPr="00990D3B" w:rsidP="00BD1FC3" w14:paraId="769D6F9D" w14:textId="091E1F35">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4E5913" w:rsidRPr="00990D3B" w:rsidP="00BD1FC3" w14:paraId="10CFC0C4" w14:textId="00D17F78">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4E5913" w:rsidRPr="00990D3B" w:rsidP="00BD1FC3" w14:paraId="0D22D3E2" w14:textId="07F8F630">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4E5913" w:rsidRPr="00990D3B" w:rsidP="00BD1FC3" w14:paraId="0C272CD1" w14:textId="3C9B042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4E5913" w:rsidRPr="00990D3B" w:rsidP="00BD1FC3" w14:paraId="55EF0BBE" w14:textId="5B9EF1E6">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4E5913" w:rsidRPr="00990D3B" w:rsidP="00BD1FC3" w14:paraId="4EA24C3E" w14:textId="5CFCADB2">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4E5913" w:rsidRPr="00990D3B" w:rsidP="00BD1FC3" w14:paraId="7FF8F697" w14:textId="77777777">
            <w:pPr>
              <w:pStyle w:val="EQRTableText"/>
              <w:rPr>
                <w:sz w:val="16"/>
                <w:szCs w:val="16"/>
              </w:rPr>
            </w:pPr>
            <w:r w:rsidRPr="00990D3B">
              <w:rPr>
                <w:sz w:val="16"/>
                <w:szCs w:val="16"/>
              </w:rPr>
              <w:t>Reviewer Notes:</w:t>
            </w:r>
          </w:p>
        </w:tc>
      </w:tr>
      <w:tr w14:paraId="7D5FC92E" w14:textId="77777777" w:rsidTr="00D3058C">
        <w:tblPrEx>
          <w:tblW w:w="5340" w:type="pct"/>
          <w:tblLook w:val="04A0"/>
        </w:tblPrEx>
        <w:trPr>
          <w:cantSplit/>
          <w:trHeight w:val="1619"/>
        </w:trPr>
        <w:tc>
          <w:tcPr>
            <w:tcW w:w="2363" w:type="dxa"/>
          </w:tcPr>
          <w:p w:rsidR="004E5913" w:rsidRPr="00990D3B" w:rsidP="00BD1FC3" w14:paraId="12C9F687" w14:textId="77777777">
            <w:pPr>
              <w:pStyle w:val="EQRTableText"/>
              <w:rPr>
                <w:sz w:val="16"/>
                <w:szCs w:val="16"/>
              </w:rPr>
            </w:pPr>
            <w:r w:rsidRPr="00990D3B">
              <w:rPr>
                <w:b/>
                <w:sz w:val="16"/>
                <w:szCs w:val="16"/>
              </w:rPr>
              <w:t xml:space="preserve">Effectuation of reversed appeal resolutions </w:t>
            </w:r>
          </w:p>
          <w:p w:rsidR="004E5913" w:rsidRPr="00990D3B" w:rsidP="00BD1FC3" w14:paraId="6903507D" w14:textId="61DE78DF">
            <w:pPr>
              <w:pStyle w:val="EQRTableText"/>
              <w:rPr>
                <w:sz w:val="16"/>
                <w:szCs w:val="16"/>
              </w:rPr>
            </w:pPr>
            <w:r w:rsidRPr="00990D3B">
              <w:rPr>
                <w:b/>
                <w:sz w:val="16"/>
                <w:szCs w:val="16"/>
              </w:rPr>
              <w:t>Medicaid:</w:t>
            </w:r>
            <w:r w:rsidRPr="00990D3B">
              <w:rPr>
                <w:sz w:val="16"/>
                <w:szCs w:val="16"/>
              </w:rPr>
              <w:t xml:space="preserve"> </w:t>
            </w:r>
            <w:r w:rsidRPr="00990D3B" w:rsidR="001C7FC0">
              <w:rPr>
                <w:sz w:val="16"/>
                <w:szCs w:val="16"/>
              </w:rPr>
              <w:t>42 C.F.R.</w:t>
            </w:r>
            <w:r w:rsidRPr="00990D3B" w:rsidR="007854DF">
              <w:rPr>
                <w:sz w:val="16"/>
                <w:szCs w:val="16"/>
              </w:rPr>
              <w:t xml:space="preserve"> </w:t>
            </w:r>
            <w:r w:rsidRPr="00990D3B">
              <w:rPr>
                <w:sz w:val="16"/>
                <w:szCs w:val="16"/>
              </w:rPr>
              <w:t>438.424: Effectuation of reversed appeal resolutions.</w:t>
            </w:r>
          </w:p>
          <w:p w:rsidR="004E5913" w:rsidRPr="00990D3B" w:rsidP="00BD1FC3" w14:paraId="3F33B522" w14:textId="7A6365D1">
            <w:pPr>
              <w:pStyle w:val="EQRTableText"/>
              <w:rPr>
                <w:sz w:val="16"/>
                <w:szCs w:val="16"/>
              </w:rPr>
            </w:pPr>
            <w:r w:rsidRPr="00990D3B">
              <w:rPr>
                <w:b/>
                <w:sz w:val="16"/>
                <w:szCs w:val="16"/>
              </w:rPr>
              <w:t>CHIP:</w:t>
            </w:r>
            <w:r w:rsidRPr="00990D3B">
              <w:rPr>
                <w:sz w:val="16"/>
                <w:szCs w:val="16"/>
              </w:rPr>
              <w:t xml:space="preserve"> </w:t>
            </w:r>
            <w:r w:rsidRPr="00990D3B" w:rsidR="001C7FC0">
              <w:rPr>
                <w:sz w:val="16"/>
                <w:szCs w:val="16"/>
              </w:rPr>
              <w:t>42 C.F.R.</w:t>
            </w:r>
            <w:r w:rsidRPr="00990D3B" w:rsidR="007854DF">
              <w:rPr>
                <w:sz w:val="16"/>
                <w:szCs w:val="16"/>
              </w:rPr>
              <w:t xml:space="preserve"> </w:t>
            </w:r>
            <w:r w:rsidRPr="00990D3B">
              <w:rPr>
                <w:sz w:val="16"/>
                <w:szCs w:val="16"/>
              </w:rPr>
              <w:t>457.1260: Grievance system</w:t>
            </w:r>
          </w:p>
        </w:tc>
        <w:tc>
          <w:tcPr>
            <w:tcW w:w="4114" w:type="dxa"/>
          </w:tcPr>
          <w:p w:rsidR="004E5913" w:rsidRPr="00990D3B" w:rsidP="00E00D33" w14:paraId="3DB8BE81" w14:textId="77777777">
            <w:pPr>
              <w:pStyle w:val="EQRTableTextbullet"/>
              <w:rPr>
                <w:sz w:val="16"/>
                <w:szCs w:val="16"/>
              </w:rPr>
            </w:pPr>
            <w:r w:rsidRPr="00990D3B">
              <w:rPr>
                <w:sz w:val="16"/>
                <w:szCs w:val="16"/>
              </w:rPr>
              <w:t>Information on which entity- the state or the MCP- is required to pay for services when the state fair hearing officer reversed a decision to deny authorization of services, and the enrollee received the disputed services while the appeal was pending.</w:t>
            </w:r>
          </w:p>
        </w:tc>
        <w:tc>
          <w:tcPr>
            <w:tcW w:w="4238" w:type="dxa"/>
          </w:tcPr>
          <w:p w:rsidR="004E5913" w:rsidRPr="00990D3B" w:rsidP="00E00D33" w14:paraId="73713CF1" w14:textId="7CF2E73F">
            <w:pPr>
              <w:pStyle w:val="EQRTableTextbullet"/>
              <w:rPr>
                <w:sz w:val="16"/>
                <w:szCs w:val="16"/>
              </w:rPr>
            </w:pPr>
            <w:r w:rsidRPr="00990D3B">
              <w:rPr>
                <w:sz w:val="16"/>
                <w:szCs w:val="16"/>
              </w:rPr>
              <w:t>Medicaid and CHIP</w:t>
            </w:r>
            <w:r w:rsidRPr="00990D3B">
              <w:rPr>
                <w:sz w:val="16"/>
                <w:szCs w:val="16"/>
              </w:rPr>
              <w:t xml:space="preserve"> </w:t>
            </w:r>
            <w:r w:rsidRPr="00990D3B">
              <w:rPr>
                <w:sz w:val="16"/>
                <w:szCs w:val="16"/>
              </w:rPr>
              <w:t>enrollee</w:t>
            </w:r>
            <w:r w:rsidRPr="00990D3B">
              <w:rPr>
                <w:sz w:val="16"/>
                <w:szCs w:val="16"/>
              </w:rPr>
              <w:t xml:space="preserve"> grievance and appeals policies and procedures (ES)</w:t>
            </w:r>
          </w:p>
        </w:tc>
        <w:tc>
          <w:tcPr>
            <w:tcW w:w="3116" w:type="dxa"/>
          </w:tcPr>
          <w:p w:rsidR="007061A7" w:rsidRPr="00990D3B" w:rsidP="007061A7" w14:paraId="00297846" w14:textId="77777777">
            <w:pPr>
              <w:pStyle w:val="EQRTableText"/>
              <w:rPr>
                <w:b/>
                <w:sz w:val="16"/>
                <w:szCs w:val="16"/>
              </w:rPr>
            </w:pPr>
            <w:r w:rsidRPr="00990D3B">
              <w:rPr>
                <w:b/>
                <w:sz w:val="16"/>
                <w:szCs w:val="16"/>
              </w:rPr>
              <w:t xml:space="preserve">Medicaid: </w:t>
            </w:r>
          </w:p>
          <w:p w:rsidR="007061A7" w:rsidRPr="00990D3B" w:rsidP="007061A7" w14:paraId="51F7D8DD"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2C478269"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4E62BC21"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3CD80A7E"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471748B5"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634D25C9"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7061A7" w:rsidRPr="00990D3B" w:rsidP="007061A7" w14:paraId="21AF8EA7" w14:textId="77777777">
            <w:pPr>
              <w:pStyle w:val="EQRTableText"/>
              <w:rPr>
                <w:sz w:val="16"/>
                <w:szCs w:val="16"/>
              </w:rPr>
            </w:pPr>
            <w:r w:rsidRPr="00990D3B">
              <w:rPr>
                <w:sz w:val="16"/>
                <w:szCs w:val="16"/>
              </w:rPr>
              <w:t>Reviewer Notes:</w:t>
            </w:r>
          </w:p>
          <w:p w:rsidR="007061A7" w:rsidRPr="00990D3B" w:rsidP="007061A7" w14:paraId="67004F18" w14:textId="77777777">
            <w:pPr>
              <w:pStyle w:val="EQRTableText"/>
              <w:rPr>
                <w:b/>
                <w:sz w:val="16"/>
                <w:szCs w:val="16"/>
              </w:rPr>
            </w:pPr>
            <w:r w:rsidRPr="00990D3B">
              <w:rPr>
                <w:b/>
                <w:sz w:val="16"/>
                <w:szCs w:val="16"/>
              </w:rPr>
              <w:t>CHIP:</w:t>
            </w:r>
          </w:p>
          <w:p w:rsidR="007061A7" w:rsidRPr="00990D3B" w:rsidP="007061A7" w14:paraId="11E72EED"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Fully Met</w:t>
            </w:r>
          </w:p>
          <w:p w:rsidR="007061A7" w:rsidRPr="00990D3B" w:rsidP="007061A7" w14:paraId="6D000074"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Substantially Met</w:t>
            </w:r>
          </w:p>
          <w:p w:rsidR="007061A7" w:rsidRPr="00990D3B" w:rsidP="007061A7" w14:paraId="341E517C"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Partially Met</w:t>
            </w:r>
          </w:p>
          <w:p w:rsidR="007061A7" w:rsidRPr="00990D3B" w:rsidP="007061A7" w14:paraId="0A28D8E4"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Minimally Met</w:t>
            </w:r>
          </w:p>
          <w:p w:rsidR="007061A7" w:rsidRPr="00990D3B" w:rsidP="007061A7" w14:paraId="5C156A4F"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Met</w:t>
            </w:r>
          </w:p>
          <w:p w:rsidR="007061A7" w:rsidRPr="00990D3B" w:rsidP="007061A7" w14:paraId="3C9C3D7A" w14:textId="77777777">
            <w:pPr>
              <w:pStyle w:val="EQRTableText"/>
              <w:rPr>
                <w:sz w:val="16"/>
                <w:szCs w:val="16"/>
              </w:rPr>
            </w:pPr>
            <w:r w:rsidRPr="00990D3B">
              <w:rPr>
                <w:rFonts w:asciiTheme="majorHAnsi" w:hAnsiTheme="majorHAnsi" w:cstheme="majorHAnsi"/>
                <w:sz w:val="16"/>
                <w:szCs w:val="16"/>
              </w:rPr>
              <w:fldChar w:fldCharType="begin">
                <w:ffData>
                  <w:name w:val="Check1"/>
                  <w:enabled/>
                  <w:calcOnExit w:val="0"/>
                  <w:checkBox>
                    <w:sizeAuto/>
                    <w:default w:val="0"/>
                  </w:checkBox>
                </w:ffData>
              </w:fldChar>
            </w:r>
            <w:r w:rsidRPr="00990D3B">
              <w:rPr>
                <w:rFonts w:asciiTheme="majorHAnsi" w:hAnsiTheme="majorHAnsi" w:cstheme="majorHAnsi"/>
                <w:sz w:val="16"/>
                <w:szCs w:val="16"/>
              </w:rPr>
              <w:instrText xml:space="preserve"> FORMCHECKBOX </w:instrText>
            </w:r>
            <w:r w:rsidRPr="00990D3B">
              <w:rPr>
                <w:rFonts w:asciiTheme="majorHAnsi" w:hAnsiTheme="majorHAnsi" w:cstheme="majorHAnsi"/>
                <w:sz w:val="16"/>
                <w:szCs w:val="16"/>
              </w:rPr>
              <w:fldChar w:fldCharType="separate"/>
            </w:r>
            <w:r w:rsidRPr="00990D3B">
              <w:rPr>
                <w:rFonts w:asciiTheme="majorHAnsi" w:hAnsiTheme="majorHAnsi" w:cstheme="majorHAnsi"/>
                <w:sz w:val="16"/>
                <w:szCs w:val="16"/>
              </w:rPr>
              <w:fldChar w:fldCharType="end"/>
            </w:r>
            <w:r w:rsidRPr="00990D3B">
              <w:rPr>
                <w:sz w:val="16"/>
                <w:szCs w:val="16"/>
              </w:rPr>
              <w:t>Not Applicable</w:t>
            </w:r>
          </w:p>
          <w:p w:rsidR="004E5913" w:rsidRPr="00990D3B" w:rsidP="007061A7" w14:paraId="7FEB3511" w14:textId="50EF56EC">
            <w:pPr>
              <w:pStyle w:val="EQRTableText"/>
              <w:rPr>
                <w:sz w:val="16"/>
                <w:szCs w:val="16"/>
              </w:rPr>
            </w:pPr>
            <w:r w:rsidRPr="00990D3B">
              <w:rPr>
                <w:sz w:val="16"/>
                <w:szCs w:val="16"/>
              </w:rPr>
              <w:t>Reviewer Notes:</w:t>
            </w:r>
          </w:p>
        </w:tc>
      </w:tr>
    </w:tbl>
    <w:p w:rsidR="00254122" w:rsidRPr="00990D3B" w:rsidP="0044662A" w14:paraId="5C69F4F2" w14:textId="53A5D04F">
      <w:pPr>
        <w:pStyle w:val="EQRTableFootnoteCaption"/>
        <w:ind w:left="1080" w:hanging="1080"/>
      </w:pPr>
      <w:r w:rsidRPr="00990D3B">
        <w:t>Note</w:t>
      </w:r>
      <w:r w:rsidRPr="00990D3B">
        <w:t>s</w:t>
      </w:r>
      <w:r w:rsidRPr="00990D3B">
        <w:t>:</w:t>
      </w:r>
      <w:r w:rsidRPr="00990D3B" w:rsidR="00B75A9E">
        <w:tab/>
      </w:r>
      <w:r w:rsidRPr="00990D3B">
        <w:t xml:space="preserve">MCP documents are identified using generic names, except in instances where the regulatory provisions refer to and require a specific document </w:t>
      </w:r>
      <w:r w:rsidRPr="00990D3B">
        <w:t>be</w:t>
      </w:r>
      <w:r w:rsidRPr="00990D3B">
        <w:t xml:space="preserve"> present and reviewed for content.</w:t>
      </w:r>
      <w:r w:rsidRPr="00990D3B">
        <w:t xml:space="preserve"> </w:t>
      </w:r>
    </w:p>
    <w:p w:rsidR="004E5913" w:rsidRPr="00990D3B" w:rsidP="0044662A" w14:paraId="25853AE6" w14:textId="0403058B">
      <w:pPr>
        <w:pStyle w:val="EQRTableFootnoteCaption"/>
        <w:ind w:left="1080" w:hanging="1080"/>
      </w:pPr>
      <w:r w:rsidRPr="00990D3B">
        <w:tab/>
      </w:r>
      <w:r w:rsidRPr="00990D3B">
        <w:t xml:space="preserve">The subject matter of each </w:t>
      </w:r>
      <w:r w:rsidRPr="00990D3B" w:rsidR="00C569BC">
        <w:t>applicable</w:t>
      </w:r>
      <w:r w:rsidRPr="00990D3B">
        <w:t xml:space="preserve"> MCP document is indicated in parenthesis as follows:</w:t>
      </w:r>
      <w:r w:rsidRPr="00990D3B" w:rsidR="007A50CE">
        <w:t xml:space="preserve"> </w:t>
      </w:r>
      <w:r w:rsidRPr="00990D3B">
        <w:t>AM = Administrative/ Managerial</w:t>
      </w:r>
      <w:r w:rsidRPr="00990D3B" w:rsidR="007F6654">
        <w:t>;</w:t>
      </w:r>
      <w:r w:rsidRPr="00990D3B" w:rsidR="007A50CE">
        <w:t xml:space="preserve"> </w:t>
      </w:r>
      <w:r w:rsidRPr="00990D3B">
        <w:t>PS = Provider/Contractor Services</w:t>
      </w:r>
      <w:r w:rsidRPr="00990D3B" w:rsidR="007F6654">
        <w:t xml:space="preserve">; </w:t>
      </w:r>
      <w:r w:rsidRPr="00990D3B">
        <w:t>UM = Utilization Management</w:t>
      </w:r>
      <w:r w:rsidRPr="00990D3B" w:rsidR="007F6654">
        <w:t xml:space="preserve">; </w:t>
      </w:r>
      <w:r w:rsidRPr="00990D3B">
        <w:t>ES = Enrollee Services</w:t>
      </w:r>
      <w:r w:rsidRPr="00990D3B" w:rsidR="007F6654">
        <w:t xml:space="preserve">; </w:t>
      </w:r>
      <w:r w:rsidRPr="00990D3B">
        <w:t>IS = Information Systems</w:t>
      </w:r>
      <w:r w:rsidRPr="00990D3B" w:rsidR="007F6654">
        <w:t xml:space="preserve">; </w:t>
      </w:r>
      <w:r w:rsidRPr="00990D3B">
        <w:t>SP = Staff Planning, Education, Development and Evaluation</w:t>
      </w:r>
      <w:r w:rsidRPr="00990D3B" w:rsidR="007F6654">
        <w:t>.</w:t>
      </w:r>
      <w:r w:rsidRPr="00990D3B">
        <w:t xml:space="preserve"> </w:t>
      </w:r>
    </w:p>
    <w:p w:rsidR="004E5913" w:rsidRPr="00990D3B" w:rsidP="0044662A" w14:paraId="03315862" w14:textId="63117A4B">
      <w:pPr>
        <w:pStyle w:val="EQRTableFootnoteCaption"/>
        <w:ind w:left="1080" w:hanging="1080"/>
      </w:pPr>
      <w:r w:rsidRPr="00990D3B">
        <w:tab/>
      </w:r>
      <w:r w:rsidRPr="00990D3B">
        <w:t>The subject matter designation does not imply that the document cannot be used as a data source for addressing other provision issues, or that it should be the sole source of data in evaluating compliance with the provisions noted.</w:t>
      </w:r>
    </w:p>
    <w:p w:rsidR="00293439" w:rsidRPr="00990D3B" w:rsidP="00BD1FC3" w14:paraId="04A3810A" w14:textId="77777777">
      <w:bookmarkStart w:id="412" w:name="WSp3n02"/>
      <w:bookmarkEnd w:id="412"/>
    </w:p>
    <w:p w:rsidR="00293439" w:rsidRPr="00990D3B" w:rsidP="00BD1FC3" w14:paraId="751EE13D" w14:textId="77777777"/>
    <w:p w:rsidR="00763D3B" w:rsidRPr="00990D3B" w:rsidP="00BD1FC3" w14:paraId="2C11F616" w14:textId="77777777">
      <w:pPr>
        <w:sectPr w:rsidSect="00763D3B">
          <w:footerReference w:type="even" r:id="rId142"/>
          <w:footerReference w:type="default" r:id="rId143"/>
          <w:headerReference w:type="first" r:id="rId144"/>
          <w:footerReference w:type="first" r:id="rId145"/>
          <w:pgSz w:w="15840" w:h="12240" w:orient="landscape" w:code="1"/>
          <w:pgMar w:top="1440" w:right="1440" w:bottom="1440" w:left="1440" w:header="720" w:footer="720" w:gutter="0"/>
          <w:cols w:space="720"/>
          <w:titlePg/>
          <w:docGrid w:linePitch="360"/>
        </w:sectPr>
      </w:pPr>
    </w:p>
    <w:p w:rsidR="004E5913" w:rsidRPr="00990D3B" w:rsidP="00BD1FC3" w14:paraId="1CE95A40" w14:textId="53522176">
      <w:pPr>
        <w:pStyle w:val="EQRMarkforExhibitWORKSHEET"/>
      </w:pPr>
      <w:bookmarkStart w:id="413" w:name="_Toc125619160"/>
      <w:bookmarkStart w:id="414" w:name="_Toc201751514"/>
      <w:r w:rsidRPr="00990D3B">
        <w:t>Worksheet 3.2. Compliance Definitions</w:t>
      </w:r>
      <w:bookmarkEnd w:id="413"/>
      <w:bookmarkEnd w:id="414"/>
    </w:p>
    <w:p w:rsidR="004E5913" w:rsidRPr="00990D3B" w:rsidP="00BD1FC3" w14:paraId="3F381DC5" w14:textId="77777777">
      <w:pPr>
        <w:pStyle w:val="EQRNormalSSWORKSHEET"/>
      </w:pPr>
      <w:r w:rsidRPr="00990D3B">
        <w:rPr>
          <w:b/>
        </w:rPr>
        <w:t>Instructions.</w:t>
      </w:r>
      <w:r w:rsidRPr="00990D3B">
        <w:t xml:space="preserve"> This worksheet provides examples of compliance scoring and compliance definitions. Either method can be used by a state to distinguish levels of MCP compliance.</w:t>
      </w:r>
    </w:p>
    <w:p w:rsidR="00B02DC0" w:rsidRPr="00990D3B" w:rsidP="00BD1FC3" w14:paraId="0DBCABD8" w14:textId="34C7A9BF">
      <w:pPr>
        <w:pStyle w:val="EQRNormalSSWORKSHEET"/>
        <w:spacing w:before="0" w:line="240" w:lineRule="auto"/>
      </w:pPr>
      <w:r w:rsidRPr="00990D3B">
        <w:t>Acronyms: EQRO= External Quality Review Organization; MCP= Managed Care Plan</w:t>
      </w:r>
    </w:p>
    <w:p w:rsidR="00861A95" w:rsidRPr="00990D3B" w:rsidP="00BD1FC3" w14:paraId="6C3BFBFD" w14:textId="77777777">
      <w:pPr>
        <w:pStyle w:val="EQRNormalSSWSquestionNUMBER"/>
        <w:numPr>
          <w:ilvl w:val="0"/>
          <w:numId w:val="0"/>
        </w:numPr>
        <w:rPr>
          <w:b/>
        </w:rPr>
      </w:pPr>
      <w:r w:rsidRPr="00990D3B">
        <w:rPr>
          <w:b/>
        </w:rPr>
        <w:t>Compliance Scoring</w:t>
      </w:r>
    </w:p>
    <w:p w:rsidR="004E5913" w:rsidRPr="00990D3B" w:rsidP="00F64FF5" w14:paraId="66DAE435" w14:textId="2F4E5C69">
      <w:pPr>
        <w:pStyle w:val="EQRNormalSSWORKSHEET"/>
      </w:pPr>
      <w:r w:rsidRPr="00990D3B">
        <w:t xml:space="preserve">One commonly used approach to analyzing compliance review findings is to assign a numerical value to indicate the degree of compliance with a given regulatory provision. An EQRO can provide a compliance score for each regulatory provision on </w:t>
      </w:r>
      <w:hyperlink w:anchor="WSp3n01" w:tooltip="Worksheet 3.1" w:history="1">
        <w:r w:rsidRPr="00990D3B">
          <w:rPr>
            <w:rStyle w:val="Hyperlink"/>
          </w:rPr>
          <w:t>Worksheet 3.1</w:t>
        </w:r>
      </w:hyperlink>
      <w:r w:rsidRPr="00990D3B">
        <w:t xml:space="preserve">. Compliance Review, followed by details and justification for </w:t>
      </w:r>
      <w:r w:rsidRPr="00990D3B">
        <w:t>the compliance</w:t>
      </w:r>
      <w:r w:rsidRPr="00990D3B">
        <w:t xml:space="preserve"> determination. Before the review, the state is directed to define what constitutes compliance and determine the rating or scoring system for what the EQRO will review. The state and EQRO can adapt a compliance rating scale to best suit their needs. Some examples include:</w:t>
      </w:r>
    </w:p>
    <w:p w:rsidR="004E5913" w:rsidRPr="00990D3B" w:rsidP="00D7602E" w14:paraId="7671B6B1" w14:textId="77777777">
      <w:pPr>
        <w:pStyle w:val="EQRNormalSSWScheck"/>
      </w:pPr>
      <w:r w:rsidRPr="00990D3B">
        <w:t>Two-point rating or scoring. Either the requirement is met or not met:</w:t>
      </w:r>
    </w:p>
    <w:p w:rsidR="004E5913" w:rsidRPr="00990D3B" w:rsidP="00C03BC2" w14:paraId="037AA4A8" w14:textId="77777777">
      <w:pPr>
        <w:pStyle w:val="EQRNormalSSWSbullet2ndlevel"/>
      </w:pPr>
      <w:r w:rsidRPr="00990D3B">
        <w:t>Met = 1</w:t>
      </w:r>
    </w:p>
    <w:p w:rsidR="004E5913" w:rsidRPr="00990D3B" w:rsidP="00C03BC2" w14:paraId="130B7A5B" w14:textId="77777777">
      <w:pPr>
        <w:pStyle w:val="EQRNormalSSWSbullet2ndlevel"/>
      </w:pPr>
      <w:r w:rsidRPr="00990D3B">
        <w:t>Not Met = 2</w:t>
      </w:r>
    </w:p>
    <w:p w:rsidR="004E5913" w:rsidRPr="00990D3B" w:rsidP="00D7602E" w14:paraId="3A61A6D0" w14:textId="77777777">
      <w:pPr>
        <w:pStyle w:val="EQRNormalSSWScheck"/>
      </w:pPr>
      <w:r w:rsidRPr="00990D3B">
        <w:t>Three-point rating or scoring. This scale provides credit when a requirement is partially met:</w:t>
      </w:r>
    </w:p>
    <w:p w:rsidR="004E5913" w:rsidRPr="00990D3B" w:rsidP="00D7602E" w14:paraId="4F49446A" w14:textId="77777777">
      <w:pPr>
        <w:pStyle w:val="EQRNormalSSWSbullet2ndlevel"/>
      </w:pPr>
      <w:r w:rsidRPr="00990D3B">
        <w:t>Fully Met = 1</w:t>
      </w:r>
    </w:p>
    <w:p w:rsidR="004E5913" w:rsidRPr="00990D3B" w:rsidP="00D7602E" w14:paraId="48D281F4" w14:textId="77777777">
      <w:pPr>
        <w:pStyle w:val="EQRNormalSSWSbullet2ndlevel"/>
      </w:pPr>
      <w:r w:rsidRPr="00990D3B">
        <w:t>Partially Met = 2</w:t>
      </w:r>
    </w:p>
    <w:p w:rsidR="004E5913" w:rsidRPr="00990D3B" w:rsidP="00D7602E" w14:paraId="4ED0599D" w14:textId="77777777">
      <w:pPr>
        <w:pStyle w:val="EQRNormalSSWSbullet2ndlevel"/>
      </w:pPr>
      <w:r w:rsidRPr="00990D3B">
        <w:t>Not Met = 3</w:t>
      </w:r>
    </w:p>
    <w:p w:rsidR="004E5913" w:rsidRPr="00990D3B" w:rsidP="00D7602E" w14:paraId="2A0AAC0F" w14:textId="77777777">
      <w:pPr>
        <w:pStyle w:val="EQRNormalSSWScheck"/>
      </w:pPr>
      <w:r w:rsidRPr="00990D3B">
        <w:t xml:space="preserve">Five-point rating or scoring. This scale allows for the scoring of all five levels of compliance: </w:t>
      </w:r>
    </w:p>
    <w:p w:rsidR="004E5913" w:rsidRPr="00990D3B" w:rsidP="00D7602E" w14:paraId="767794FC" w14:textId="77777777">
      <w:pPr>
        <w:pStyle w:val="EQRNormalSSWSbullet2ndlevel"/>
      </w:pPr>
      <w:r w:rsidRPr="00990D3B">
        <w:t>Fully Met = 1</w:t>
      </w:r>
    </w:p>
    <w:p w:rsidR="004E5913" w:rsidRPr="00990D3B" w:rsidP="00D7602E" w14:paraId="649B8A12" w14:textId="77777777">
      <w:pPr>
        <w:pStyle w:val="EQRNormalSSWSbullet2ndlevel"/>
      </w:pPr>
      <w:r w:rsidRPr="00990D3B">
        <w:t>Substantially Met = 2</w:t>
      </w:r>
    </w:p>
    <w:p w:rsidR="004E5913" w:rsidRPr="00990D3B" w:rsidP="00D7602E" w14:paraId="3E0CBE90" w14:textId="77777777">
      <w:pPr>
        <w:pStyle w:val="EQRNormalSSWSbullet2ndlevel"/>
      </w:pPr>
      <w:r w:rsidRPr="00990D3B">
        <w:t>Partially Met = 3</w:t>
      </w:r>
    </w:p>
    <w:p w:rsidR="004E5913" w:rsidRPr="00990D3B" w:rsidP="00D7602E" w14:paraId="09F774FB" w14:textId="77777777">
      <w:pPr>
        <w:pStyle w:val="EQRNormalSSWSbullet2ndlevel"/>
      </w:pPr>
      <w:r w:rsidRPr="00990D3B">
        <w:t>Minimally Met = 4</w:t>
      </w:r>
    </w:p>
    <w:p w:rsidR="004E5913" w:rsidRPr="00990D3B" w:rsidP="00D7602E" w14:paraId="754F6C6A" w14:textId="77777777">
      <w:pPr>
        <w:pStyle w:val="EQRNormalSSWSbullet2ndlevel"/>
      </w:pPr>
      <w:r w:rsidRPr="00990D3B">
        <w:t>Not Met = 5</w:t>
      </w:r>
    </w:p>
    <w:p w:rsidR="004E5913" w:rsidRPr="00990D3B" w:rsidP="00BD1FC3" w14:paraId="02FF174C" w14:textId="77777777">
      <w:pPr>
        <w:pStyle w:val="EQRNormalSSWORKSHEET"/>
      </w:pPr>
      <w:r w:rsidRPr="00990D3B">
        <w:t xml:space="preserve">One of the above rating or scoring scales may serve as the primary system, or alternative scales may be adapted to certain regulatory provisions. In an extensive compliance review, the state may assert that the definition of compliance for most regulatory provisions </w:t>
      </w:r>
      <w:r w:rsidRPr="00990D3B">
        <w:t>are</w:t>
      </w:r>
      <w:r w:rsidRPr="00990D3B">
        <w:t xml:space="preserve"> appropriate for a 5-point rating scale, with two or three </w:t>
      </w:r>
      <w:r w:rsidRPr="00990D3B">
        <w:t>particular provisions</w:t>
      </w:r>
      <w:r w:rsidRPr="00990D3B">
        <w:t xml:space="preserve"> rated as “met” or “unmet.”</w:t>
      </w:r>
    </w:p>
    <w:p w:rsidR="00861A95" w:rsidRPr="00990D3B" w:rsidP="00D7602E" w14:paraId="239B7C6F" w14:textId="77777777">
      <w:pPr>
        <w:pStyle w:val="EQRNormalSSWORKSHEET"/>
        <w:rPr>
          <w:i/>
          <w:iCs/>
        </w:rPr>
      </w:pPr>
      <w:r w:rsidRPr="00990D3B">
        <w:rPr>
          <w:i/>
          <w:iCs/>
        </w:rPr>
        <w:t>Compliance Definitions Options</w:t>
      </w:r>
    </w:p>
    <w:p w:rsidR="004E5913" w:rsidRPr="00990D3B" w:rsidP="00D7602E" w14:paraId="0F2D6A98" w14:textId="1C23C724">
      <w:pPr>
        <w:pStyle w:val="EQRNormalSSWORKSHEET"/>
      </w:pPr>
      <w:r w:rsidRPr="00990D3B">
        <w:t xml:space="preserve">The following definitions describe the extent of compliance with a given regulatory provision:  </w:t>
      </w:r>
    </w:p>
    <w:p w:rsidR="004E5913" w:rsidRPr="00990D3B" w:rsidP="00D7602E" w14:paraId="5C5F1499" w14:textId="77777777">
      <w:pPr>
        <w:pStyle w:val="EQRNormalSSWScheck"/>
      </w:pPr>
      <w:r w:rsidRPr="00990D3B">
        <w:t>Full compliance:</w:t>
      </w:r>
    </w:p>
    <w:p w:rsidR="004E5913" w:rsidRPr="00990D3B" w:rsidP="00D7602E" w14:paraId="46A61815" w14:textId="77777777">
      <w:pPr>
        <w:pStyle w:val="EQRNormalSSWSbullet2ndlevel"/>
      </w:pPr>
      <w:r w:rsidRPr="00990D3B">
        <w:t>All documentation listed under a regulatory provision, or component thereof, is present, and</w:t>
      </w:r>
    </w:p>
    <w:p w:rsidR="004E5913" w:rsidRPr="00990D3B" w:rsidP="00D7602E" w14:paraId="6CF6CA0C" w14:textId="77777777">
      <w:pPr>
        <w:pStyle w:val="EQRNormalSSWSbullet2ndlevel"/>
      </w:pPr>
      <w:r w:rsidRPr="00990D3B">
        <w:t xml:space="preserve">MCP staff provide responses to the EQRO that are consistent with each other and with the documentation; </w:t>
      </w:r>
      <w:r w:rsidRPr="00990D3B">
        <w:rPr>
          <w:b/>
          <w:i/>
        </w:rPr>
        <w:t>or</w:t>
      </w:r>
    </w:p>
    <w:p w:rsidR="004E5913" w:rsidRPr="00990D3B" w:rsidP="00D7602E" w14:paraId="52B22831" w14:textId="77777777">
      <w:pPr>
        <w:pStyle w:val="EQRNormalSSWSbullet2ndlevel"/>
      </w:pPr>
      <w:r w:rsidRPr="00990D3B">
        <w:t xml:space="preserve">A state-defined percentage of all data </w:t>
      </w:r>
      <w:r w:rsidRPr="00990D3B">
        <w:t>sources—</w:t>
      </w:r>
      <w:r w:rsidRPr="00990D3B">
        <w:t xml:space="preserve">either documents or MCP </w:t>
      </w:r>
      <w:r w:rsidRPr="00990D3B">
        <w:t>staff—</w:t>
      </w:r>
      <w:r w:rsidRPr="00990D3B">
        <w:t>provide evidence of compliance with regulatory provisions</w:t>
      </w:r>
    </w:p>
    <w:p w:rsidR="004E5913" w:rsidRPr="00990D3B" w:rsidP="00D7602E" w14:paraId="17BCC721" w14:textId="77777777">
      <w:pPr>
        <w:pStyle w:val="EQRNormalSSWScheck"/>
      </w:pPr>
      <w:r w:rsidRPr="00990D3B">
        <w:t>Substantial Compliance:</w:t>
      </w:r>
    </w:p>
    <w:p w:rsidR="004E5913" w:rsidRPr="00990D3B" w:rsidP="00D7602E" w14:paraId="403002F9" w14:textId="77777777">
      <w:pPr>
        <w:pStyle w:val="EQRNormalSSWSbullet2ndlevel"/>
      </w:pPr>
      <w:r w:rsidRPr="00990D3B">
        <w:t>After review of the documentation and discussion with MCP staff, it is determined that the MCP has met most of the requirements as stated above</w:t>
      </w:r>
    </w:p>
    <w:p w:rsidR="004E5913" w:rsidRPr="00990D3B" w:rsidP="00D7602E" w14:paraId="0CEED6F6" w14:textId="77777777">
      <w:pPr>
        <w:pStyle w:val="EQRNormalSSWScheck"/>
      </w:pPr>
      <w:r w:rsidRPr="00990D3B">
        <w:t>Partial Compliance:</w:t>
      </w:r>
    </w:p>
    <w:p w:rsidR="004E5913" w:rsidRPr="00990D3B" w:rsidP="00D7602E" w14:paraId="41B9604D" w14:textId="77777777">
      <w:pPr>
        <w:pStyle w:val="EQRNormalSSWSbullet2ndlevel"/>
      </w:pPr>
      <w:r w:rsidRPr="00990D3B">
        <w:t xml:space="preserve">All documentation listed under a regulatory provision, or component thereof, is present, but MCP staff are unable to consistently articulate evidence of compliance; </w:t>
      </w:r>
      <w:r w:rsidRPr="00990D3B">
        <w:rPr>
          <w:b/>
          <w:i/>
        </w:rPr>
        <w:t>or</w:t>
      </w:r>
      <w:r w:rsidRPr="00990D3B">
        <w:t xml:space="preserve"> </w:t>
      </w:r>
    </w:p>
    <w:p w:rsidR="004E5913" w:rsidRPr="00990D3B" w:rsidP="00D7602E" w14:paraId="7FB04801" w14:textId="77777777">
      <w:pPr>
        <w:pStyle w:val="EQRNormalSSWSbullet2ndlevel"/>
      </w:pPr>
      <w:r w:rsidRPr="00990D3B">
        <w:t xml:space="preserve">MCP staff can describe and verify the existence of compliant practices during the interview(s), but required documentation is incomplete or inconsistent with practice; </w:t>
      </w:r>
      <w:r w:rsidRPr="00990D3B">
        <w:rPr>
          <w:b/>
          <w:i/>
        </w:rPr>
        <w:t>or</w:t>
      </w:r>
    </w:p>
    <w:p w:rsidR="004E5913" w:rsidRPr="00990D3B" w:rsidP="00D7602E" w14:paraId="28C74CFE" w14:textId="77777777">
      <w:pPr>
        <w:pStyle w:val="EQRNormalSSWSbullet2ndlevel"/>
      </w:pPr>
      <w:r w:rsidRPr="00990D3B">
        <w:t>Any combination of “Met,” “Partially Met” and “Not Met” determinations for smaller components of a regulatory provision would result in a “Partially Met” designation for the provision as a whole</w:t>
      </w:r>
    </w:p>
    <w:p w:rsidR="004E5913" w:rsidRPr="00990D3B" w:rsidP="00D7602E" w14:paraId="00E18538" w14:textId="77777777">
      <w:pPr>
        <w:pStyle w:val="EQRNormalSSWScheck"/>
      </w:pPr>
      <w:r w:rsidRPr="00990D3B">
        <w:t>Minimal Compliance:</w:t>
      </w:r>
    </w:p>
    <w:p w:rsidR="004E5913" w:rsidRPr="00990D3B" w:rsidP="00D7602E" w14:paraId="66C059C2" w14:textId="77777777">
      <w:pPr>
        <w:pStyle w:val="EQRNormalSSWSbullet2ndlevel"/>
      </w:pPr>
      <w:r w:rsidRPr="00990D3B">
        <w:t xml:space="preserve">After </w:t>
      </w:r>
      <w:r w:rsidRPr="00990D3B">
        <w:t>review of</w:t>
      </w:r>
      <w:r w:rsidRPr="00990D3B">
        <w:t xml:space="preserve"> the documentation and discussion with MCP staff, it is determined that although some requirements have been met, the MCP has not met most of the requirements</w:t>
      </w:r>
    </w:p>
    <w:p w:rsidR="004E5913" w:rsidRPr="00990D3B" w:rsidP="00D7602E" w14:paraId="7C404BF4" w14:textId="77777777">
      <w:pPr>
        <w:pStyle w:val="EQRNormalSSWScheck"/>
      </w:pPr>
      <w:r w:rsidRPr="00990D3B">
        <w:t>Non-compliance:</w:t>
      </w:r>
    </w:p>
    <w:p w:rsidR="004E5913" w:rsidRPr="00990D3B" w:rsidP="00D7602E" w14:paraId="49AECB32" w14:textId="77777777">
      <w:pPr>
        <w:pStyle w:val="EQRNormalSSWSbullet2ndlevel"/>
      </w:pPr>
      <w:r w:rsidRPr="00990D3B">
        <w:t xml:space="preserve">No documentation is present and MCP staff have little to no knowledge of processes or issues that comply with regulatory provisions; </w:t>
      </w:r>
      <w:r w:rsidRPr="00990D3B">
        <w:rPr>
          <w:b/>
          <w:i/>
        </w:rPr>
        <w:t>or</w:t>
      </w:r>
      <w:r w:rsidRPr="00990D3B">
        <w:t xml:space="preserve"> </w:t>
      </w:r>
    </w:p>
    <w:p w:rsidR="004E5913" w:rsidRPr="00990D3B" w:rsidP="00D7602E" w14:paraId="51B62B3C" w14:textId="77777777">
      <w:pPr>
        <w:pStyle w:val="EQRNormalSSWSbullet2ndlevel"/>
      </w:pPr>
      <w:r w:rsidRPr="00990D3B">
        <w:t>No documentation is present and MCP staff have little to no knowledge of processes or issues that comply with key components (as identified by the state) of a multi-component regulatory provision, regardless of compliance determinations for remaining, non-key components of the regulatory provision</w:t>
      </w:r>
    </w:p>
    <w:p w:rsidR="004E5913" w:rsidRPr="00990D3B" w:rsidP="00BD1FC3" w14:paraId="54A5701E" w14:textId="77777777">
      <w:pPr>
        <w:pStyle w:val="EQRNormalSSWORKSHEET"/>
        <w:rPr>
          <w:b/>
          <w:i/>
        </w:rPr>
      </w:pPr>
      <w:r w:rsidRPr="00990D3B">
        <w:rPr>
          <w:b/>
        </w:rPr>
        <w:t>About Targeted Regulatory Components</w:t>
      </w:r>
    </w:p>
    <w:p w:rsidR="004E5913" w:rsidRPr="00990D3B" w:rsidP="00BD1FC3" w14:paraId="69CB0823" w14:textId="77777777">
      <w:pPr>
        <w:pStyle w:val="EQRNormalSSWORKSHEET"/>
      </w:pPr>
      <w:r w:rsidRPr="00990D3B">
        <w:t xml:space="preserve">If all applicable federal requirements are met, the state may focus on specific aspects or components of its regulatory provisions to make performance improvement more manageable and targeted. If less than full compliance with a full set of state regulations is defined by the state as acceptable, the state must identify </w:t>
      </w:r>
      <w:r w:rsidRPr="00990D3B">
        <w:t>to</w:t>
      </w:r>
      <w:r w:rsidRPr="00990D3B">
        <w:t xml:space="preserve"> the EQRO and the MCP specific regulatory provisions of the compliance review for which the MCP is accountable. This must take place before the review begins. However, over the three-year compliance review cycle, the EQRO must review all compliance requirements.</w:t>
      </w:r>
    </w:p>
    <w:p w:rsidR="00B02DC0" w:rsidRPr="00990D3B" w:rsidP="00BD1FC3" w14:paraId="639BACBF" w14:textId="77777777">
      <w:pPr>
        <w:pStyle w:val="EQRNormalSSWORKSHEET"/>
        <w:rPr>
          <w:b/>
        </w:rPr>
      </w:pPr>
    </w:p>
    <w:p w:rsidR="004E5913" w:rsidRPr="00990D3B" w:rsidP="00BD1FC3" w14:paraId="2D040D5E" w14:textId="77777777">
      <w:pPr>
        <w:pStyle w:val="EQRNormalSSWORKSHEET"/>
      </w:pPr>
      <w:r w:rsidRPr="00990D3B">
        <w:br w:type="page"/>
      </w:r>
    </w:p>
    <w:p w:rsidR="004E5913" w:rsidRPr="00990D3B" w:rsidP="00BD1FC3" w14:paraId="0F81A325" w14:textId="1D5FB826">
      <w:pPr>
        <w:pStyle w:val="EQRMarkforExhibitWORKSHEET"/>
      </w:pPr>
      <w:bookmarkStart w:id="415" w:name="WSp3n03"/>
      <w:bookmarkStart w:id="416" w:name="_Toc125619161"/>
      <w:bookmarkStart w:id="417" w:name="_Toc201751515"/>
      <w:r w:rsidRPr="00990D3B">
        <w:t>Worksheet 3.3</w:t>
      </w:r>
      <w:bookmarkEnd w:id="415"/>
      <w:r w:rsidRPr="00990D3B">
        <w:t xml:space="preserve">. Sample </w:t>
      </w:r>
      <w:r w:rsidRPr="00990D3B" w:rsidR="00ED4DF2">
        <w:t>S</w:t>
      </w:r>
      <w:r w:rsidRPr="00990D3B">
        <w:t>ite Visit Agenda</w:t>
      </w:r>
      <w:bookmarkEnd w:id="416"/>
      <w:bookmarkEnd w:id="417"/>
    </w:p>
    <w:p w:rsidR="004E5913" w:rsidRPr="00990D3B" w:rsidP="00BD1FC3" w14:paraId="7B5C8DAB" w14:textId="2EE64347">
      <w:pPr>
        <w:pStyle w:val="EQRNormalSSWORKSHEET"/>
      </w:pPr>
      <w:r w:rsidRPr="00990D3B">
        <w:rPr>
          <w:b/>
        </w:rPr>
        <w:t>Instructions.</w:t>
      </w:r>
      <w:r w:rsidRPr="00990D3B">
        <w:t xml:space="preserve"> This worksheet provides a template to develop the </w:t>
      </w:r>
      <w:r w:rsidRPr="00990D3B" w:rsidR="003B445D">
        <w:t>site</w:t>
      </w:r>
      <w:r w:rsidRPr="00990D3B">
        <w:t xml:space="preserve"> visit agenda. The agenda is intended to help both the MCP and EQRO in planning staff interviews, gathering documentation, and determining logistics (such as meeting space). </w:t>
      </w:r>
    </w:p>
    <w:p w:rsidR="004E5913" w:rsidRPr="00990D3B" w:rsidP="00BD1FC3" w14:paraId="28B3C10C" w14:textId="254AC9ED">
      <w:pPr>
        <w:pStyle w:val="EQRNormalSSWORKSHEET"/>
      </w:pPr>
      <w:r w:rsidRPr="00990D3B">
        <w:t>P</w:t>
      </w:r>
      <w:r w:rsidRPr="00990D3B">
        <w:t xml:space="preserve">repare the agenda and send it in advance to the individual representing the MCP in the regulatory compliance review process. The MCP representative is responsible for identifying additional MCP participants. The agenda should also provide the locations where the meetings and any additional document review will occur. The EQRO should determine the number of days for the </w:t>
      </w:r>
      <w:r w:rsidRPr="00990D3B" w:rsidR="003B445D">
        <w:t>site</w:t>
      </w:r>
      <w:r w:rsidRPr="00990D3B">
        <w:t xml:space="preserve"> visit based on the estimated duration and number of meetings required to carry out the </w:t>
      </w:r>
      <w:r w:rsidRPr="00990D3B" w:rsidR="003B445D">
        <w:t>site</w:t>
      </w:r>
      <w:r w:rsidRPr="00990D3B">
        <w:t xml:space="preserve"> visit. At the end of each day, the EQRO should lead a concluding meeting to discuss outstanding information and answer questions. At the end of the final day, the EQRO should provide concluding remarks and identify next steps in the review process.   </w:t>
      </w:r>
    </w:p>
    <w:p w:rsidR="00F9146D" w:rsidRPr="00990D3B" w:rsidP="00BD1FC3" w14:paraId="7928F5BF" w14:textId="27872680">
      <w:pPr>
        <w:pStyle w:val="EQRNormalSSWORKSHEET"/>
        <w:spacing w:before="0" w:line="240" w:lineRule="auto"/>
      </w:pPr>
      <w:r w:rsidRPr="00990D3B">
        <w:t xml:space="preserve">Acronyms: EQR = External Quality Review; EQRO = External Quality Review Organization; MCP= Managed Care </w:t>
      </w:r>
      <w:r w:rsidRPr="00990D3B">
        <w:t>Plan;</w:t>
      </w:r>
      <w:r w:rsidRPr="00990D3B">
        <w:t xml:space="preserve"> </w:t>
      </w:r>
    </w:p>
    <w:p w:rsidR="004E5913" w:rsidRPr="00990D3B" w:rsidP="00BD1FC3" w14:paraId="1301C0CE" w14:textId="35AF0D34">
      <w:pPr>
        <w:pStyle w:val="EQRNormalSSWORKSHEET"/>
        <w:rPr>
          <w:b/>
        </w:rPr>
      </w:pPr>
      <w:r w:rsidRPr="00990D3B">
        <w:rPr>
          <w:b/>
        </w:rPr>
        <w:t xml:space="preserve">Sample EQRO </w:t>
      </w:r>
      <w:r w:rsidRPr="00990D3B" w:rsidR="00ED4DF2">
        <w:rPr>
          <w:b/>
        </w:rPr>
        <w:t>S</w:t>
      </w:r>
      <w:r w:rsidRPr="00990D3B">
        <w:rPr>
          <w:b/>
        </w:rPr>
        <w:t>ite Visit Agenda (Add more days as needed)</w:t>
      </w:r>
    </w:p>
    <w:p w:rsidR="004E5913" w:rsidRPr="00990D3B" w:rsidP="00760B0E" w14:paraId="454E5156" w14:textId="77777777">
      <w:pPr>
        <w:pStyle w:val="EQRNormalSSWSbullet"/>
      </w:pPr>
      <w:r w:rsidRPr="00990D3B">
        <w:t>Introductions between the EQRO reviewers and MCP participants</w:t>
      </w:r>
    </w:p>
    <w:p w:rsidR="004E5913" w:rsidRPr="00990D3B" w:rsidP="00760B0E" w14:paraId="68933A6A" w14:textId="16ABF063">
      <w:pPr>
        <w:pStyle w:val="EQRNormalSSWSbullet"/>
      </w:pPr>
      <w:r w:rsidRPr="00990D3B">
        <w:t>S</w:t>
      </w:r>
      <w:r w:rsidRPr="00990D3B">
        <w:t>ite Visit Purpose: To clarify MCP compliance with federal Medicaid managed care regulations</w:t>
      </w:r>
    </w:p>
    <w:p w:rsidR="004E5913" w:rsidRPr="00990D3B" w:rsidP="00760B0E" w14:paraId="7334DD1B" w14:textId="77777777">
      <w:pPr>
        <w:pStyle w:val="EQRNormalSSWSbullet"/>
      </w:pPr>
      <w:r w:rsidRPr="00990D3B">
        <w:t>Day 1 Activities: [Insert number of interviews and document review, if applicable]</w:t>
      </w:r>
    </w:p>
    <w:p w:rsidR="004E5913" w:rsidRPr="00990D3B" w:rsidP="00760B0E" w14:paraId="4E134487" w14:textId="77777777">
      <w:pPr>
        <w:pStyle w:val="EQRNormalSSWSbullet"/>
      </w:pPr>
      <w:r w:rsidRPr="00990D3B">
        <w:t xml:space="preserve">Day 1 Final Meeting [Insert time]: Identification/discussion of outstanding issues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94"/>
        <w:gridCol w:w="1850"/>
        <w:gridCol w:w="1802"/>
        <w:gridCol w:w="1479"/>
        <w:gridCol w:w="2425"/>
      </w:tblGrid>
      <w:tr w14:paraId="11E8E678" w14:textId="77777777" w:rsidTr="00BD1FC3">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cantSplit/>
          <w:trHeight w:val="467"/>
          <w:tblHeader/>
        </w:trPr>
        <w:tc>
          <w:tcPr>
            <w:tcW w:w="1794" w:type="dxa"/>
            <w:vAlign w:val="bottom"/>
          </w:tcPr>
          <w:p w:rsidR="004E5913" w:rsidRPr="00990D3B" w:rsidP="007A7DAF" w14:paraId="5438C24A" w14:textId="77777777">
            <w:pPr>
              <w:pStyle w:val="EQRTableHeaderLeft"/>
              <w:rPr>
                <w:color w:val="auto"/>
              </w:rPr>
            </w:pPr>
            <w:r w:rsidRPr="00990D3B">
              <w:rPr>
                <w:color w:val="auto"/>
              </w:rPr>
              <w:t>Time</w:t>
            </w:r>
          </w:p>
        </w:tc>
        <w:tc>
          <w:tcPr>
            <w:tcW w:w="1850" w:type="dxa"/>
            <w:vAlign w:val="bottom"/>
          </w:tcPr>
          <w:p w:rsidR="004E5913" w:rsidRPr="00990D3B" w:rsidP="007A7DAF" w14:paraId="20826328" w14:textId="254D5B24">
            <w:pPr>
              <w:pStyle w:val="EQRTableHeaderCenter"/>
              <w:rPr>
                <w:color w:val="auto"/>
              </w:rPr>
            </w:pPr>
            <w:r w:rsidRPr="00990D3B">
              <w:rPr>
                <w:color w:val="auto"/>
              </w:rPr>
              <w:t xml:space="preserve">Regulatory </w:t>
            </w:r>
            <w:r w:rsidRPr="00990D3B" w:rsidR="00861A95">
              <w:rPr>
                <w:color w:val="auto"/>
              </w:rPr>
              <w:t>c</w:t>
            </w:r>
            <w:r w:rsidRPr="00990D3B">
              <w:rPr>
                <w:color w:val="auto"/>
              </w:rPr>
              <w:t xml:space="preserve">ompliance </w:t>
            </w:r>
            <w:r w:rsidRPr="00990D3B" w:rsidR="00861A95">
              <w:rPr>
                <w:color w:val="auto"/>
              </w:rPr>
              <w:t>i</w:t>
            </w:r>
            <w:r w:rsidRPr="00990D3B">
              <w:rPr>
                <w:color w:val="auto"/>
              </w:rPr>
              <w:t>ssue</w:t>
            </w:r>
          </w:p>
        </w:tc>
        <w:tc>
          <w:tcPr>
            <w:tcW w:w="1802" w:type="dxa"/>
            <w:vAlign w:val="bottom"/>
          </w:tcPr>
          <w:p w:rsidR="004E5913" w:rsidRPr="00990D3B" w:rsidP="007A7DAF" w14:paraId="4522B9F1" w14:textId="77777777">
            <w:pPr>
              <w:pStyle w:val="EQRTableHeaderCenter"/>
              <w:rPr>
                <w:color w:val="auto"/>
              </w:rPr>
            </w:pPr>
            <w:r w:rsidRPr="00990D3B">
              <w:rPr>
                <w:color w:val="auto"/>
              </w:rPr>
              <w:t>Location</w:t>
            </w:r>
          </w:p>
        </w:tc>
        <w:tc>
          <w:tcPr>
            <w:tcW w:w="1479" w:type="dxa"/>
            <w:vAlign w:val="bottom"/>
          </w:tcPr>
          <w:p w:rsidR="004E5913" w:rsidRPr="00990D3B" w:rsidP="007A7DAF" w14:paraId="6044262B" w14:textId="77777777">
            <w:pPr>
              <w:pStyle w:val="EQRTableHeaderCenter"/>
              <w:rPr>
                <w:color w:val="auto"/>
              </w:rPr>
            </w:pPr>
            <w:r w:rsidRPr="00990D3B">
              <w:rPr>
                <w:color w:val="auto"/>
              </w:rPr>
              <w:t>Participants</w:t>
            </w:r>
          </w:p>
        </w:tc>
        <w:tc>
          <w:tcPr>
            <w:tcW w:w="2425" w:type="dxa"/>
            <w:vAlign w:val="bottom"/>
          </w:tcPr>
          <w:p w:rsidR="004E5913" w:rsidRPr="00990D3B" w:rsidP="007A7DAF" w14:paraId="317934BC" w14:textId="2E7FF6E4">
            <w:pPr>
              <w:pStyle w:val="EQRTableHeaderCenter"/>
              <w:rPr>
                <w:color w:val="auto"/>
              </w:rPr>
            </w:pPr>
            <w:r w:rsidRPr="00990D3B">
              <w:rPr>
                <w:color w:val="auto"/>
              </w:rPr>
              <w:t>Comments/</w:t>
            </w:r>
            <w:r w:rsidRPr="00990D3B" w:rsidR="00861A95">
              <w:rPr>
                <w:color w:val="auto"/>
              </w:rPr>
              <w:t>D</w:t>
            </w:r>
            <w:r w:rsidRPr="00990D3B">
              <w:rPr>
                <w:color w:val="auto"/>
              </w:rPr>
              <w:t>ocuments</w:t>
            </w:r>
          </w:p>
        </w:tc>
      </w:tr>
      <w:tr w14:paraId="23048E19" w14:textId="77777777" w:rsidTr="00BD1FC3">
        <w:tblPrEx>
          <w:tblW w:w="5000" w:type="pct"/>
          <w:tblLook w:val="04A0"/>
        </w:tblPrEx>
        <w:trPr>
          <w:cantSplit/>
          <w:trHeight w:val="260"/>
        </w:trPr>
        <w:tc>
          <w:tcPr>
            <w:tcW w:w="1794" w:type="dxa"/>
          </w:tcPr>
          <w:p w:rsidR="004E5913" w:rsidRPr="00990D3B" w:rsidP="007A7DAF" w14:paraId="2EDE38BA" w14:textId="77777777">
            <w:pPr>
              <w:pStyle w:val="EQRTableText"/>
            </w:pPr>
            <w:r w:rsidRPr="00990D3B">
              <w:t>(EQRO)</w:t>
            </w:r>
          </w:p>
        </w:tc>
        <w:tc>
          <w:tcPr>
            <w:tcW w:w="1850" w:type="dxa"/>
          </w:tcPr>
          <w:p w:rsidR="004E5913" w:rsidRPr="00990D3B" w:rsidP="007A7DAF" w14:paraId="1E32F4B7" w14:textId="77777777">
            <w:pPr>
              <w:pStyle w:val="EQRTableText"/>
            </w:pPr>
            <w:r w:rsidRPr="00990D3B">
              <w:t>(EQRO)</w:t>
            </w:r>
          </w:p>
        </w:tc>
        <w:tc>
          <w:tcPr>
            <w:tcW w:w="1802" w:type="dxa"/>
          </w:tcPr>
          <w:p w:rsidR="004E5913" w:rsidRPr="00990D3B" w:rsidP="007A7DAF" w14:paraId="23E2CC5A" w14:textId="77777777">
            <w:pPr>
              <w:pStyle w:val="EQRTableText"/>
            </w:pPr>
            <w:r w:rsidRPr="00990D3B">
              <w:t>(MCP)</w:t>
            </w:r>
          </w:p>
        </w:tc>
        <w:tc>
          <w:tcPr>
            <w:tcW w:w="1479" w:type="dxa"/>
          </w:tcPr>
          <w:p w:rsidR="004E5913" w:rsidRPr="00990D3B" w:rsidP="007A7DAF" w14:paraId="4EC65131" w14:textId="77777777">
            <w:pPr>
              <w:pStyle w:val="EQRTableText"/>
            </w:pPr>
            <w:r w:rsidRPr="00990D3B">
              <w:t>(BOTH)</w:t>
            </w:r>
          </w:p>
        </w:tc>
        <w:tc>
          <w:tcPr>
            <w:tcW w:w="2425" w:type="dxa"/>
          </w:tcPr>
          <w:p w:rsidR="004E5913" w:rsidRPr="00990D3B" w:rsidP="007A7DAF" w14:paraId="29259CFE" w14:textId="77777777">
            <w:pPr>
              <w:pStyle w:val="EQRTableText"/>
            </w:pPr>
            <w:r w:rsidRPr="00990D3B">
              <w:t>(EQRO)</w:t>
            </w:r>
          </w:p>
        </w:tc>
      </w:tr>
      <w:tr w14:paraId="17D8FED6" w14:textId="77777777" w:rsidTr="00BD1FC3">
        <w:tblPrEx>
          <w:tblW w:w="5000" w:type="pct"/>
          <w:tblLook w:val="04A0"/>
        </w:tblPrEx>
        <w:trPr>
          <w:cantSplit/>
          <w:trHeight w:val="260"/>
        </w:trPr>
        <w:tc>
          <w:tcPr>
            <w:tcW w:w="1794" w:type="dxa"/>
          </w:tcPr>
          <w:p w:rsidR="004E5913" w:rsidRPr="00990D3B" w:rsidP="007A7DAF" w14:paraId="00CC160D" w14:textId="77777777">
            <w:pPr>
              <w:pStyle w:val="EQRTableText"/>
            </w:pPr>
            <w:r w:rsidRPr="00990D3B">
              <w:t>(EQRO)</w:t>
            </w:r>
          </w:p>
        </w:tc>
        <w:tc>
          <w:tcPr>
            <w:tcW w:w="1850" w:type="dxa"/>
          </w:tcPr>
          <w:p w:rsidR="004E5913" w:rsidRPr="00990D3B" w:rsidP="007A7DAF" w14:paraId="30769058" w14:textId="77777777">
            <w:pPr>
              <w:pStyle w:val="EQRTableText"/>
            </w:pPr>
            <w:r w:rsidRPr="00990D3B">
              <w:t>(EQRO)</w:t>
            </w:r>
          </w:p>
        </w:tc>
        <w:tc>
          <w:tcPr>
            <w:tcW w:w="1802" w:type="dxa"/>
          </w:tcPr>
          <w:p w:rsidR="004E5913" w:rsidRPr="00990D3B" w:rsidP="007A7DAF" w14:paraId="4F8C4C79" w14:textId="77777777">
            <w:pPr>
              <w:pStyle w:val="EQRTableText"/>
            </w:pPr>
            <w:r w:rsidRPr="00990D3B">
              <w:t>(MCP)</w:t>
            </w:r>
          </w:p>
        </w:tc>
        <w:tc>
          <w:tcPr>
            <w:tcW w:w="1479" w:type="dxa"/>
          </w:tcPr>
          <w:p w:rsidR="004E5913" w:rsidRPr="00990D3B" w:rsidP="007A7DAF" w14:paraId="545E8E64" w14:textId="77777777">
            <w:pPr>
              <w:pStyle w:val="EQRTableText"/>
            </w:pPr>
            <w:r w:rsidRPr="00990D3B">
              <w:t>(BOTH)</w:t>
            </w:r>
          </w:p>
        </w:tc>
        <w:tc>
          <w:tcPr>
            <w:tcW w:w="2425" w:type="dxa"/>
          </w:tcPr>
          <w:p w:rsidR="004E5913" w:rsidRPr="00990D3B" w:rsidP="007A7DAF" w14:paraId="4A897EF9" w14:textId="77777777">
            <w:pPr>
              <w:pStyle w:val="EQRTableText"/>
            </w:pPr>
            <w:r w:rsidRPr="00990D3B">
              <w:t>(EQRO)</w:t>
            </w:r>
          </w:p>
        </w:tc>
      </w:tr>
      <w:tr w14:paraId="73C22DD5" w14:textId="77777777" w:rsidTr="00BD1FC3">
        <w:tblPrEx>
          <w:tblW w:w="5000" w:type="pct"/>
          <w:tblLook w:val="04A0"/>
        </w:tblPrEx>
        <w:trPr>
          <w:cantSplit/>
          <w:trHeight w:val="260"/>
        </w:trPr>
        <w:tc>
          <w:tcPr>
            <w:tcW w:w="1794" w:type="dxa"/>
          </w:tcPr>
          <w:p w:rsidR="004E5913" w:rsidRPr="00990D3B" w:rsidP="007A7DAF" w14:paraId="7AB50C30" w14:textId="77777777">
            <w:pPr>
              <w:pStyle w:val="EQRTableText"/>
            </w:pPr>
            <w:r w:rsidRPr="00990D3B">
              <w:t>Add more rows as needed</w:t>
            </w:r>
          </w:p>
        </w:tc>
        <w:tc>
          <w:tcPr>
            <w:tcW w:w="1850" w:type="dxa"/>
          </w:tcPr>
          <w:p w:rsidR="004E5913" w:rsidRPr="00990D3B" w:rsidP="007A7DAF" w14:paraId="0EA19356" w14:textId="77777777">
            <w:pPr>
              <w:pStyle w:val="EQRTableText"/>
            </w:pPr>
            <w:r w:rsidRPr="00990D3B">
              <w:t> </w:t>
            </w:r>
          </w:p>
        </w:tc>
        <w:tc>
          <w:tcPr>
            <w:tcW w:w="1802" w:type="dxa"/>
          </w:tcPr>
          <w:p w:rsidR="004E5913" w:rsidRPr="00990D3B" w:rsidP="007A7DAF" w14:paraId="679E147E" w14:textId="77777777">
            <w:pPr>
              <w:pStyle w:val="EQRTableText"/>
            </w:pPr>
            <w:r w:rsidRPr="00990D3B">
              <w:t> </w:t>
            </w:r>
          </w:p>
        </w:tc>
        <w:tc>
          <w:tcPr>
            <w:tcW w:w="1479" w:type="dxa"/>
          </w:tcPr>
          <w:p w:rsidR="004E5913" w:rsidRPr="00990D3B" w:rsidP="007A7DAF" w14:paraId="36852634" w14:textId="77777777">
            <w:pPr>
              <w:pStyle w:val="EQRTableText"/>
            </w:pPr>
            <w:r w:rsidRPr="00990D3B">
              <w:t> </w:t>
            </w:r>
          </w:p>
        </w:tc>
        <w:tc>
          <w:tcPr>
            <w:tcW w:w="2425" w:type="dxa"/>
          </w:tcPr>
          <w:p w:rsidR="004E5913" w:rsidRPr="00990D3B" w:rsidP="007A7DAF" w14:paraId="2D17591B" w14:textId="77777777">
            <w:pPr>
              <w:pStyle w:val="EQRTableText"/>
            </w:pPr>
            <w:r w:rsidRPr="00990D3B">
              <w:t> </w:t>
            </w:r>
          </w:p>
        </w:tc>
      </w:tr>
    </w:tbl>
    <w:p w:rsidR="004E5913" w:rsidRPr="00990D3B" w:rsidP="007A7DAF" w14:paraId="7B653A17" w14:textId="00F34FAF">
      <w:pPr>
        <w:pStyle w:val="EQRTableFootnoteCaption"/>
      </w:pPr>
      <w:r w:rsidRPr="00990D3B">
        <w:t>Note:</w:t>
      </w:r>
      <w:r w:rsidRPr="00990D3B" w:rsidR="00F11A5C">
        <w:t xml:space="preserve"> </w:t>
      </w:r>
      <w:r w:rsidRPr="00990D3B">
        <w:t>The organization responsible for completing each part of the agenda is identified above in parenthes</w:t>
      </w:r>
      <w:r w:rsidRPr="00990D3B" w:rsidR="00A428AE">
        <w:t>e</w:t>
      </w:r>
      <w:r w:rsidRPr="00990D3B">
        <w:t>s.</w:t>
      </w:r>
    </w:p>
    <w:p w:rsidR="004E5913" w:rsidRPr="00990D3B" w:rsidP="007A7DAF" w14:paraId="75726BFA" w14:textId="77777777">
      <w:pPr>
        <w:pStyle w:val="EQRNormalSSWSbullet"/>
      </w:pPr>
      <w:r w:rsidRPr="00990D3B">
        <w:t>Day 2 Activities: [Insert number of interviews and document review, if applicable]</w:t>
      </w:r>
    </w:p>
    <w:p w:rsidR="004E5913" w:rsidRPr="00990D3B" w:rsidP="007A7DAF" w14:paraId="41A55E1D" w14:textId="77777777">
      <w:pPr>
        <w:pStyle w:val="EQRNormalSSWSbullet"/>
      </w:pPr>
      <w:r w:rsidRPr="00990D3B">
        <w:t>Day 2 Final Meeting [Insert time]: Concluding issues and comments; description of next steps</w:t>
      </w:r>
    </w:p>
    <w:p w:rsidR="004E5913" w:rsidRPr="00990D3B" w:rsidP="007A7DAF" w14:paraId="001867F7" w14:textId="77777777">
      <w:pPr>
        <w:pStyle w:val="EQRNormalSSWSbullet"/>
      </w:pPr>
      <w:r w:rsidRPr="00990D3B">
        <w:t xml:space="preserve">Day 2 Exit Interviews [Insert time]: Opportunity to respond to initial compliance issues (if applicable) and clarify reviewer understanding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3"/>
        <w:gridCol w:w="1915"/>
        <w:gridCol w:w="1785"/>
        <w:gridCol w:w="1397"/>
        <w:gridCol w:w="2410"/>
      </w:tblGrid>
      <w:tr w14:paraId="38FECEA7" w14:textId="77777777" w:rsidTr="00BD1FC3">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cantSplit/>
          <w:trHeight w:val="467"/>
          <w:tblHeader/>
        </w:trPr>
        <w:tc>
          <w:tcPr>
            <w:tcW w:w="1843" w:type="dxa"/>
            <w:vAlign w:val="bottom"/>
          </w:tcPr>
          <w:p w:rsidR="007A7DAF" w:rsidRPr="00990D3B" w:rsidP="007A7DAF" w14:paraId="435911A6" w14:textId="01384851">
            <w:pPr>
              <w:pStyle w:val="EQRTableText"/>
              <w:rPr>
                <w:b/>
                <w:bCs/>
              </w:rPr>
            </w:pPr>
            <w:r w:rsidRPr="00990D3B">
              <w:rPr>
                <w:b/>
              </w:rPr>
              <w:t>Time</w:t>
            </w:r>
          </w:p>
        </w:tc>
        <w:tc>
          <w:tcPr>
            <w:tcW w:w="1915" w:type="dxa"/>
            <w:vAlign w:val="bottom"/>
          </w:tcPr>
          <w:p w:rsidR="007A7DAF" w:rsidRPr="00990D3B" w:rsidP="007A7DAF" w14:paraId="4B06D982" w14:textId="5E88279F">
            <w:pPr>
              <w:pStyle w:val="EQRTableText"/>
              <w:jc w:val="center"/>
              <w:rPr>
                <w:b/>
                <w:bCs/>
              </w:rPr>
            </w:pPr>
            <w:r w:rsidRPr="00990D3B">
              <w:rPr>
                <w:b/>
              </w:rPr>
              <w:t>Regulatory compliance issue</w:t>
            </w:r>
          </w:p>
        </w:tc>
        <w:tc>
          <w:tcPr>
            <w:tcW w:w="1785" w:type="dxa"/>
            <w:vAlign w:val="bottom"/>
          </w:tcPr>
          <w:p w:rsidR="007A7DAF" w:rsidRPr="00990D3B" w:rsidP="007A7DAF" w14:paraId="60D32D49" w14:textId="43C75039">
            <w:pPr>
              <w:pStyle w:val="EQRTableText"/>
              <w:jc w:val="center"/>
              <w:rPr>
                <w:b/>
                <w:bCs/>
              </w:rPr>
            </w:pPr>
            <w:r w:rsidRPr="00990D3B">
              <w:rPr>
                <w:b/>
              </w:rPr>
              <w:t>Location</w:t>
            </w:r>
          </w:p>
        </w:tc>
        <w:tc>
          <w:tcPr>
            <w:tcW w:w="1397" w:type="dxa"/>
            <w:vAlign w:val="bottom"/>
          </w:tcPr>
          <w:p w:rsidR="007A7DAF" w:rsidRPr="00990D3B" w:rsidP="007A7DAF" w14:paraId="207D3A4A" w14:textId="2DEDBDC8">
            <w:pPr>
              <w:pStyle w:val="EQRTableText"/>
              <w:jc w:val="center"/>
              <w:rPr>
                <w:b/>
                <w:bCs/>
              </w:rPr>
            </w:pPr>
            <w:r w:rsidRPr="00990D3B">
              <w:rPr>
                <w:b/>
              </w:rPr>
              <w:t>Participants</w:t>
            </w:r>
          </w:p>
        </w:tc>
        <w:tc>
          <w:tcPr>
            <w:tcW w:w="2410" w:type="dxa"/>
            <w:vAlign w:val="bottom"/>
          </w:tcPr>
          <w:p w:rsidR="007A7DAF" w:rsidRPr="00990D3B" w:rsidP="007A7DAF" w14:paraId="7F31EA84" w14:textId="68AB4FBC">
            <w:pPr>
              <w:pStyle w:val="EQRTableText"/>
              <w:jc w:val="center"/>
              <w:rPr>
                <w:b/>
                <w:bCs/>
              </w:rPr>
            </w:pPr>
            <w:r w:rsidRPr="00990D3B">
              <w:rPr>
                <w:b/>
              </w:rPr>
              <w:t>Comments/Documents</w:t>
            </w:r>
          </w:p>
        </w:tc>
      </w:tr>
      <w:tr w14:paraId="49009253" w14:textId="77777777" w:rsidTr="00BD1FC3">
        <w:tblPrEx>
          <w:tblW w:w="5000" w:type="pct"/>
          <w:tblLook w:val="04A0"/>
        </w:tblPrEx>
        <w:trPr>
          <w:cantSplit/>
          <w:trHeight w:val="260"/>
        </w:trPr>
        <w:tc>
          <w:tcPr>
            <w:tcW w:w="1843" w:type="dxa"/>
          </w:tcPr>
          <w:p w:rsidR="004E5913" w:rsidRPr="00990D3B" w:rsidP="00BD1FC3" w14:paraId="224AAA85" w14:textId="77777777">
            <w:pPr>
              <w:pStyle w:val="EQRTableText"/>
            </w:pPr>
            <w:r w:rsidRPr="00990D3B">
              <w:t>(EQRO)</w:t>
            </w:r>
          </w:p>
        </w:tc>
        <w:tc>
          <w:tcPr>
            <w:tcW w:w="1915" w:type="dxa"/>
          </w:tcPr>
          <w:p w:rsidR="004E5913" w:rsidRPr="00990D3B" w:rsidP="00BD1FC3" w14:paraId="257C7F98" w14:textId="77777777">
            <w:pPr>
              <w:pStyle w:val="EQRTableText"/>
            </w:pPr>
            <w:r w:rsidRPr="00990D3B">
              <w:t>(EQRO)</w:t>
            </w:r>
          </w:p>
        </w:tc>
        <w:tc>
          <w:tcPr>
            <w:tcW w:w="1785" w:type="dxa"/>
          </w:tcPr>
          <w:p w:rsidR="004E5913" w:rsidRPr="00990D3B" w:rsidP="00BD1FC3" w14:paraId="3437A470" w14:textId="77777777">
            <w:pPr>
              <w:pStyle w:val="EQRTableText"/>
            </w:pPr>
            <w:r w:rsidRPr="00990D3B">
              <w:t>(MCP)</w:t>
            </w:r>
          </w:p>
        </w:tc>
        <w:tc>
          <w:tcPr>
            <w:tcW w:w="1397" w:type="dxa"/>
          </w:tcPr>
          <w:p w:rsidR="004E5913" w:rsidRPr="00990D3B" w:rsidP="00BD1FC3" w14:paraId="55AC3BB2" w14:textId="77777777">
            <w:pPr>
              <w:pStyle w:val="EQRTableText"/>
            </w:pPr>
            <w:r w:rsidRPr="00990D3B">
              <w:t>(BOTH)</w:t>
            </w:r>
          </w:p>
        </w:tc>
        <w:tc>
          <w:tcPr>
            <w:tcW w:w="2410" w:type="dxa"/>
          </w:tcPr>
          <w:p w:rsidR="004E5913" w:rsidRPr="00990D3B" w:rsidP="00BD1FC3" w14:paraId="4B7B01CA" w14:textId="77777777">
            <w:pPr>
              <w:pStyle w:val="EQRTableText"/>
            </w:pPr>
            <w:r w:rsidRPr="00990D3B">
              <w:t>(EQRO)</w:t>
            </w:r>
          </w:p>
        </w:tc>
      </w:tr>
      <w:tr w14:paraId="7C53F5C0" w14:textId="77777777" w:rsidTr="00BD1FC3">
        <w:tblPrEx>
          <w:tblW w:w="5000" w:type="pct"/>
          <w:tblLook w:val="04A0"/>
        </w:tblPrEx>
        <w:trPr>
          <w:cantSplit/>
          <w:trHeight w:val="260"/>
        </w:trPr>
        <w:tc>
          <w:tcPr>
            <w:tcW w:w="1843" w:type="dxa"/>
          </w:tcPr>
          <w:p w:rsidR="004E5913" w:rsidRPr="00990D3B" w:rsidP="00BD1FC3" w14:paraId="35FA623B" w14:textId="77777777">
            <w:pPr>
              <w:pStyle w:val="EQRTableText"/>
            </w:pPr>
            <w:r w:rsidRPr="00990D3B">
              <w:t>(EQRO)</w:t>
            </w:r>
          </w:p>
        </w:tc>
        <w:tc>
          <w:tcPr>
            <w:tcW w:w="1915" w:type="dxa"/>
          </w:tcPr>
          <w:p w:rsidR="004E5913" w:rsidRPr="00990D3B" w:rsidP="00BD1FC3" w14:paraId="6197305F" w14:textId="77777777">
            <w:pPr>
              <w:pStyle w:val="EQRTableText"/>
            </w:pPr>
            <w:r w:rsidRPr="00990D3B">
              <w:t>(EQRO)</w:t>
            </w:r>
          </w:p>
        </w:tc>
        <w:tc>
          <w:tcPr>
            <w:tcW w:w="1785" w:type="dxa"/>
          </w:tcPr>
          <w:p w:rsidR="004E5913" w:rsidRPr="00990D3B" w:rsidP="00BD1FC3" w14:paraId="00279C89" w14:textId="77777777">
            <w:pPr>
              <w:pStyle w:val="EQRTableText"/>
            </w:pPr>
            <w:r w:rsidRPr="00990D3B">
              <w:t>(MCP)</w:t>
            </w:r>
          </w:p>
        </w:tc>
        <w:tc>
          <w:tcPr>
            <w:tcW w:w="1397" w:type="dxa"/>
          </w:tcPr>
          <w:p w:rsidR="004E5913" w:rsidRPr="00990D3B" w:rsidP="00BD1FC3" w14:paraId="0AACD617" w14:textId="77777777">
            <w:pPr>
              <w:pStyle w:val="EQRTableText"/>
            </w:pPr>
            <w:r w:rsidRPr="00990D3B">
              <w:t>(BOTH)</w:t>
            </w:r>
          </w:p>
        </w:tc>
        <w:tc>
          <w:tcPr>
            <w:tcW w:w="2410" w:type="dxa"/>
          </w:tcPr>
          <w:p w:rsidR="004E5913" w:rsidRPr="00990D3B" w:rsidP="00BD1FC3" w14:paraId="239DEB2D" w14:textId="77777777">
            <w:pPr>
              <w:pStyle w:val="EQRTableText"/>
            </w:pPr>
            <w:r w:rsidRPr="00990D3B">
              <w:t>(EQRO)</w:t>
            </w:r>
          </w:p>
        </w:tc>
      </w:tr>
      <w:tr w14:paraId="6F3D8506" w14:textId="77777777" w:rsidTr="00BD1FC3">
        <w:tblPrEx>
          <w:tblW w:w="5000" w:type="pct"/>
          <w:tblLook w:val="04A0"/>
        </w:tblPrEx>
        <w:trPr>
          <w:cantSplit/>
          <w:trHeight w:val="260"/>
        </w:trPr>
        <w:tc>
          <w:tcPr>
            <w:tcW w:w="1843" w:type="dxa"/>
          </w:tcPr>
          <w:p w:rsidR="004E5913" w:rsidRPr="00990D3B" w:rsidP="00BD1FC3" w14:paraId="3C07C498" w14:textId="77777777">
            <w:pPr>
              <w:pStyle w:val="EQRTableText"/>
            </w:pPr>
            <w:r w:rsidRPr="00990D3B">
              <w:t>Add more rows as needed</w:t>
            </w:r>
          </w:p>
        </w:tc>
        <w:tc>
          <w:tcPr>
            <w:tcW w:w="1915" w:type="dxa"/>
          </w:tcPr>
          <w:p w:rsidR="004E5913" w:rsidRPr="00990D3B" w:rsidP="00BD1FC3" w14:paraId="110DC46D" w14:textId="77777777">
            <w:pPr>
              <w:pStyle w:val="EQRTableText"/>
            </w:pPr>
            <w:r w:rsidRPr="00990D3B">
              <w:t> </w:t>
            </w:r>
          </w:p>
        </w:tc>
        <w:tc>
          <w:tcPr>
            <w:tcW w:w="1785" w:type="dxa"/>
          </w:tcPr>
          <w:p w:rsidR="004E5913" w:rsidRPr="00990D3B" w:rsidP="00BD1FC3" w14:paraId="58354ED5" w14:textId="77777777">
            <w:pPr>
              <w:pStyle w:val="EQRTableText"/>
            </w:pPr>
            <w:r w:rsidRPr="00990D3B">
              <w:t> </w:t>
            </w:r>
          </w:p>
        </w:tc>
        <w:tc>
          <w:tcPr>
            <w:tcW w:w="1397" w:type="dxa"/>
          </w:tcPr>
          <w:p w:rsidR="004E5913" w:rsidRPr="00990D3B" w:rsidP="00BD1FC3" w14:paraId="101E14ED" w14:textId="77777777">
            <w:pPr>
              <w:pStyle w:val="EQRTableText"/>
            </w:pPr>
            <w:r w:rsidRPr="00990D3B">
              <w:t> </w:t>
            </w:r>
          </w:p>
        </w:tc>
        <w:tc>
          <w:tcPr>
            <w:tcW w:w="2410" w:type="dxa"/>
          </w:tcPr>
          <w:p w:rsidR="004E5913" w:rsidRPr="00990D3B" w:rsidP="00BD1FC3" w14:paraId="6D158FE0" w14:textId="77777777">
            <w:pPr>
              <w:pStyle w:val="EQRTableText"/>
            </w:pPr>
            <w:r w:rsidRPr="00990D3B">
              <w:t> </w:t>
            </w:r>
          </w:p>
        </w:tc>
      </w:tr>
    </w:tbl>
    <w:p w:rsidR="00CB3D5C" w:rsidRPr="00990D3B" w:rsidP="007A7DAF" w14:paraId="15C38FCE" w14:textId="6732BA88">
      <w:pPr>
        <w:pStyle w:val="EQRTableFootnoteCaption"/>
      </w:pPr>
      <w:r w:rsidRPr="00990D3B">
        <w:t xml:space="preserve">Note: </w:t>
      </w:r>
      <w:r w:rsidRPr="00990D3B" w:rsidR="004E5913">
        <w:t>The organization responsible for completing each part of the agenda is identified above in parenthes</w:t>
      </w:r>
      <w:r w:rsidRPr="00990D3B">
        <w:t>e</w:t>
      </w:r>
      <w:r w:rsidRPr="00990D3B" w:rsidR="004E5913">
        <w:t>s.</w:t>
      </w:r>
    </w:p>
    <w:p w:rsidR="004E5913" w:rsidRPr="00990D3B" w:rsidP="00BD1FC3" w14:paraId="7C18445D" w14:textId="29499F11">
      <w:pPr>
        <w:pStyle w:val="EQRNormalSSWORKSHEET"/>
      </w:pPr>
    </w:p>
    <w:p w:rsidR="004E5913" w:rsidRPr="00990D3B" w:rsidP="00BD1FC3" w14:paraId="4A039D78" w14:textId="77777777">
      <w:pPr>
        <w:pStyle w:val="EQRMarkforExhibitWORKSHEET"/>
      </w:pPr>
      <w:bookmarkStart w:id="418" w:name="WSp3n04"/>
      <w:bookmarkStart w:id="419" w:name="_Toc125619162"/>
      <w:bookmarkStart w:id="420" w:name="_Toc201751516"/>
      <w:r w:rsidRPr="00990D3B">
        <w:t>Worksheet 3.4</w:t>
      </w:r>
      <w:bookmarkEnd w:id="418"/>
      <w:r w:rsidRPr="00990D3B">
        <w:t>. Compliance Interview Questions</w:t>
      </w:r>
      <w:bookmarkEnd w:id="419"/>
      <w:bookmarkEnd w:id="420"/>
    </w:p>
    <w:p w:rsidR="004E5913" w:rsidRPr="00990D3B" w:rsidP="00BD1FC3" w14:paraId="73971B07" w14:textId="1AA15B3B">
      <w:pPr>
        <w:pStyle w:val="EQRNormalSSWORKSHEET"/>
      </w:pPr>
      <w:r w:rsidRPr="00990D3B">
        <w:rPr>
          <w:b/>
        </w:rPr>
        <w:t>Instructions.</w:t>
      </w:r>
      <w:r w:rsidRPr="00990D3B">
        <w:t xml:space="preserve"> </w:t>
      </w:r>
      <w:r w:rsidRPr="00990D3B" w:rsidR="001D5300">
        <w:t>This worksheet</w:t>
      </w:r>
      <w:r w:rsidRPr="00990D3B">
        <w:t xml:space="preserve"> includes a list of questions the reviewer may ask MCP staff to help determine compliance with state and federal requirements as summarized in </w:t>
      </w:r>
      <w:hyperlink w:anchor="P3Act3Step6" w:tooltip="Activity 3, Step 6" w:history="1">
        <w:r w:rsidRPr="00990D3B">
          <w:rPr>
            <w:rStyle w:val="Hyperlink"/>
          </w:rPr>
          <w:t>Activity 3, Step 6</w:t>
        </w:r>
      </w:hyperlink>
      <w:r w:rsidRPr="00990D3B">
        <w:t>. The purpose of the MCP interviews is to collect data to supplement and verify what is learned through the preliminary document review and onsite</w:t>
      </w:r>
      <w:r w:rsidRPr="00990D3B" w:rsidR="003B445D">
        <w:t xml:space="preserve"> or virtual site visit</w:t>
      </w:r>
      <w:r w:rsidRPr="00990D3B">
        <w:t xml:space="preserve"> document review. The questions are first organized by MCP staff </w:t>
      </w:r>
      <w:r w:rsidRPr="00990D3B">
        <w:t>roles, and</w:t>
      </w:r>
      <w:r w:rsidRPr="00990D3B">
        <w:t xml:space="preserve"> then broken out by regulatory provision.</w:t>
      </w:r>
      <w:r w:rsidRPr="00990D3B" w:rsidR="001D5300">
        <w:t xml:space="preserve"> </w:t>
      </w:r>
      <w:r w:rsidRPr="00990D3B">
        <w:t xml:space="preserve">Reviewers are encouraged to interview MCP staff in appropriate groups whenever possible </w:t>
      </w:r>
      <w:r w:rsidRPr="00990D3B">
        <w:t>in order to</w:t>
      </w:r>
      <w:r w:rsidRPr="00990D3B">
        <w:t xml:space="preserve"> accomplish a comprehensive review from more than one perspective, and to achieve efficient and productive interviews.</w:t>
      </w:r>
    </w:p>
    <w:p w:rsidR="004E5913" w:rsidRPr="00990D3B" w:rsidP="00BD1FC3" w14:paraId="06F4D5E8" w14:textId="77777777">
      <w:pPr>
        <w:pStyle w:val="EQRNormalSSWORKSHEET"/>
      </w:pPr>
      <w:r w:rsidRPr="00990D3B">
        <w:t>The MCP interviewee groups who are most often interviewed are included in this guide:</w:t>
      </w:r>
    </w:p>
    <w:p w:rsidR="004E5913" w:rsidRPr="00990D3B" w:rsidP="007A7DAF" w14:paraId="79BECA38" w14:textId="77777777">
      <w:pPr>
        <w:pStyle w:val="EQRNormalSSWSbullet"/>
      </w:pPr>
      <w:r w:rsidRPr="00990D3B">
        <w:t>MCP leaders</w:t>
      </w:r>
    </w:p>
    <w:p w:rsidR="004E5913" w:rsidRPr="00990D3B" w:rsidP="007A7DAF" w14:paraId="2760B53D" w14:textId="77777777">
      <w:pPr>
        <w:pStyle w:val="EQRNormalSSWSbullet"/>
      </w:pPr>
      <w:r w:rsidRPr="00990D3B">
        <w:t>MCP information systems staff</w:t>
      </w:r>
    </w:p>
    <w:p w:rsidR="004E5913" w:rsidRPr="00990D3B" w:rsidP="007A7DAF" w14:paraId="4415B868" w14:textId="77777777">
      <w:pPr>
        <w:pStyle w:val="EQRNormalSSWSbullet"/>
      </w:pPr>
      <w:r w:rsidRPr="00990D3B">
        <w:t>Quality assessment and performance improvement program staff</w:t>
      </w:r>
    </w:p>
    <w:p w:rsidR="004E5913" w:rsidRPr="00990D3B" w:rsidP="007A7DAF" w14:paraId="1050400E" w14:textId="77777777">
      <w:pPr>
        <w:pStyle w:val="EQRNormalSSWSbullet"/>
      </w:pPr>
      <w:r w:rsidRPr="00990D3B">
        <w:t>Provider/contractor services staff</w:t>
      </w:r>
    </w:p>
    <w:p w:rsidR="004E5913" w:rsidRPr="00990D3B" w:rsidP="007A7DAF" w14:paraId="71B61D7E" w14:textId="77777777">
      <w:pPr>
        <w:pStyle w:val="EQRNormalSSWSbullet"/>
      </w:pPr>
      <w:r w:rsidRPr="00990D3B">
        <w:t>Enrollee services staff</w:t>
      </w:r>
    </w:p>
    <w:p w:rsidR="004E5913" w:rsidRPr="00990D3B" w:rsidP="007A7DAF" w14:paraId="729664C1" w14:textId="77777777">
      <w:pPr>
        <w:pStyle w:val="EQRNormalSSWSbullet"/>
      </w:pPr>
      <w:r w:rsidRPr="00990D3B">
        <w:t>Utilization management staff</w:t>
      </w:r>
    </w:p>
    <w:p w:rsidR="004E5913" w:rsidRPr="00990D3B" w:rsidP="007A7DAF" w14:paraId="0EA4353B" w14:textId="77777777">
      <w:pPr>
        <w:pStyle w:val="EQRNormalSSWSbullet"/>
      </w:pPr>
      <w:r w:rsidRPr="00990D3B">
        <w:t>Medical directors</w:t>
      </w:r>
    </w:p>
    <w:p w:rsidR="004E5913" w:rsidRPr="00990D3B" w:rsidP="007A7DAF" w14:paraId="4C9AC850" w14:textId="77777777">
      <w:pPr>
        <w:pStyle w:val="EQRNormalSSWSbullet"/>
      </w:pPr>
      <w:r w:rsidRPr="00990D3B">
        <w:t xml:space="preserve">Case managers and care coordinators </w:t>
      </w:r>
    </w:p>
    <w:p w:rsidR="004E5913" w:rsidRPr="00990D3B" w:rsidP="007A7DAF" w14:paraId="69038186" w14:textId="77777777">
      <w:pPr>
        <w:pStyle w:val="EQRNormalSSWSbullet"/>
      </w:pPr>
      <w:r w:rsidRPr="00990D3B">
        <w:t>MCP providers and contractors (as appropriate)</w:t>
      </w:r>
    </w:p>
    <w:p w:rsidR="00CB3D5C" w:rsidRPr="00990D3B" w:rsidP="00BD1FC3" w14:paraId="1BEF9E4B" w14:textId="3824AF93">
      <w:pPr>
        <w:pStyle w:val="EQRNormalSSWORKSHEET"/>
      </w:pPr>
      <w:bookmarkStart w:id="421" w:name="_MCO_Leaders"/>
      <w:bookmarkEnd w:id="421"/>
      <w:r w:rsidRPr="00990D3B">
        <w:t xml:space="preserve">The EQRO should advise the MCP of the specific issues for which the MCP will be interviewed during the site visit. The MCP representative for the compliance review process should select and report to the EQRO in writing the membership of each of the interviewee groups that </w:t>
      </w:r>
      <w:r w:rsidRPr="00990D3B">
        <w:t>are capable of responding</w:t>
      </w:r>
      <w:r w:rsidRPr="00990D3B">
        <w:t xml:space="preserve"> to the EQRO site visit interview topic</w:t>
      </w:r>
      <w:r w:rsidRPr="00990D3B" w:rsidR="00C03BC2">
        <w:t> </w:t>
      </w:r>
      <w:r w:rsidRPr="00990D3B">
        <w:t xml:space="preserve">requests. </w:t>
      </w:r>
    </w:p>
    <w:p w:rsidR="00CB3D5C" w:rsidRPr="00990D3B" w:rsidP="00BD1FC3" w14:paraId="529871EC" w14:textId="06DCCA0E">
      <w:pPr>
        <w:pStyle w:val="EQRNormalSSWORKSHEET"/>
        <w:spacing w:before="0"/>
      </w:pPr>
      <w:r w:rsidRPr="00990D3B">
        <w:t>Acronyms: CHIP = Children’s Health Insurance Program; EQR = External Quality Review; EQRO = External Quality Review Organization; IPA = Independent Practice Association; LTSS = Long-Term Services and Supports; MCO = Managed Care Organization; MCP= Managed Care Plan; PAHP= Prepaid Ambulatory Health Plan; PIHP = Prepaid Inpatient Health Plan; PIP = Performance Improvement Project.</w:t>
      </w:r>
    </w:p>
    <w:p w:rsidR="004E5913" w:rsidRPr="00990D3B" w:rsidP="002B40CC" w14:paraId="233D356C" w14:textId="77777777">
      <w:pPr>
        <w:pStyle w:val="H2EQRWorksheet"/>
      </w:pPr>
      <w:r w:rsidRPr="00990D3B">
        <w:t>MCP Leaders Interview</w:t>
      </w:r>
    </w:p>
    <w:p w:rsidR="004E5913" w:rsidRPr="00990D3B" w:rsidP="00BD1FC3" w14:paraId="7E372535" w14:textId="77777777">
      <w:pPr>
        <w:pStyle w:val="EQRNormalSSWORKSHEET"/>
      </w:pPr>
      <w:r w:rsidRPr="00990D3B">
        <w:t xml:space="preserve">The leadership interview is an opportunity to speak with the senior representatives of the MCP about their understanding of MCP requirements. MCP leaders include:  </w:t>
      </w:r>
    </w:p>
    <w:p w:rsidR="004E5913" w:rsidRPr="00990D3B" w:rsidP="007A7DAF" w14:paraId="249B4C34" w14:textId="77777777">
      <w:pPr>
        <w:pStyle w:val="EQRNormalSSWSbullet"/>
      </w:pPr>
      <w:r w:rsidRPr="00990D3B">
        <w:t>Chief executive officer (CEO)</w:t>
      </w:r>
    </w:p>
    <w:p w:rsidR="004E5913" w:rsidRPr="00990D3B" w:rsidP="007A7DAF" w14:paraId="74C73ABC" w14:textId="77777777">
      <w:pPr>
        <w:pStyle w:val="EQRNormalSSWSbullet"/>
      </w:pPr>
      <w:r w:rsidRPr="00990D3B">
        <w:t>Chief operating officer (COO)</w:t>
      </w:r>
    </w:p>
    <w:p w:rsidR="004E5913" w:rsidRPr="00990D3B" w:rsidP="007A7DAF" w14:paraId="1A2521F4" w14:textId="77777777">
      <w:pPr>
        <w:pStyle w:val="EQRNormalSSWSbullet"/>
      </w:pPr>
      <w:r w:rsidRPr="00990D3B">
        <w:t>Chairman of the governing body, or a representative</w:t>
      </w:r>
    </w:p>
    <w:p w:rsidR="004E5913" w:rsidRPr="00990D3B" w:rsidP="007A7DAF" w14:paraId="1D945799" w14:textId="77777777">
      <w:pPr>
        <w:pStyle w:val="EQRNormalSSWSbullet"/>
      </w:pPr>
      <w:r w:rsidRPr="00990D3B">
        <w:t>Medical director (including psychiatric medical director, if applicable)</w:t>
      </w:r>
    </w:p>
    <w:p w:rsidR="004E5913" w:rsidRPr="00990D3B" w:rsidP="007A7DAF" w14:paraId="5EF146C5" w14:textId="77777777">
      <w:pPr>
        <w:pStyle w:val="EQRNormalSSWSbullet"/>
      </w:pPr>
      <w:r w:rsidRPr="00990D3B">
        <w:t xml:space="preserve">Chief elected or appointed officer of the MCP 's licensed independent practitioners </w:t>
      </w:r>
    </w:p>
    <w:p w:rsidR="004E5913" w:rsidRPr="00990D3B" w:rsidP="007A7DAF" w14:paraId="6934EAA0" w14:textId="77777777">
      <w:pPr>
        <w:pStyle w:val="EQRNormalSSWSbullet"/>
      </w:pPr>
      <w:r w:rsidRPr="00990D3B">
        <w:t>Chief information officer (CIO)</w:t>
      </w:r>
    </w:p>
    <w:p w:rsidR="004E5913" w:rsidRPr="00990D3B" w:rsidP="007A7DAF" w14:paraId="2E19EE04" w14:textId="77777777">
      <w:pPr>
        <w:pStyle w:val="EQRNormalSSWSbullet"/>
      </w:pPr>
      <w:r w:rsidRPr="00990D3B">
        <w:t>Compliance officer</w:t>
      </w:r>
    </w:p>
    <w:p w:rsidR="004E5913" w:rsidRPr="00990D3B" w:rsidP="007A7DAF" w14:paraId="33CCECE4" w14:textId="77777777">
      <w:pPr>
        <w:pStyle w:val="EQRNormalSSWSbullet"/>
      </w:pPr>
      <w:r w:rsidRPr="00990D3B">
        <w:t>Quality improvement committee chairperson</w:t>
      </w:r>
    </w:p>
    <w:p w:rsidR="004E5913" w:rsidRPr="00990D3B" w:rsidP="007A7DAF" w14:paraId="57A8ADB6" w14:textId="77777777">
      <w:pPr>
        <w:pStyle w:val="EQRNormalSSWSbullet"/>
      </w:pPr>
      <w:r w:rsidRPr="00990D3B">
        <w:t xml:space="preserve">Quality improvement program director or coordinator, and </w:t>
      </w:r>
    </w:p>
    <w:p w:rsidR="004E5913" w:rsidRPr="00990D3B" w:rsidP="007A7DAF" w14:paraId="7D1CF282" w14:textId="77777777">
      <w:pPr>
        <w:pStyle w:val="EQRNormalSSWSbullet"/>
      </w:pPr>
      <w:r w:rsidRPr="00990D3B">
        <w:t>Human resources leader</w:t>
      </w:r>
    </w:p>
    <w:p w:rsidR="00861A95" w:rsidRPr="00990D3B" w:rsidP="00BD1FC3" w14:paraId="6114EA4E" w14:textId="77777777">
      <w:pPr>
        <w:pStyle w:val="EQRNormalSSWORKSHEET"/>
      </w:pPr>
      <w:r w:rsidRPr="00990D3B">
        <w:t xml:space="preserve">As determined by the MCP representative, usually in consultation with the CEO, other senior staff of the MCP may also be in attendance. However, attendance at this interview should be carefully limited </w:t>
      </w:r>
      <w:r w:rsidRPr="00990D3B">
        <w:t>in order to</w:t>
      </w:r>
      <w:r w:rsidRPr="00990D3B">
        <w:t xml:space="preserve"> foster candor and exchange of information.</w:t>
      </w:r>
    </w:p>
    <w:p w:rsidR="004E5913" w:rsidRPr="00990D3B" w:rsidP="002066F7" w14:paraId="718453A3" w14:textId="1D014991">
      <w:pPr>
        <w:pStyle w:val="H2EQRWorksheetList1"/>
      </w:pPr>
      <w:r w:rsidRPr="00990D3B">
        <w:t xml:space="preserve">Section 1. </w:t>
      </w:r>
      <w:r w:rsidRPr="00990D3B">
        <w:t>MCP Standards and Enrollee Rights and Protections</w:t>
      </w:r>
    </w:p>
    <w:p w:rsidR="004E5913" w:rsidRPr="00990D3B" w:rsidP="002066F7" w14:paraId="7C898EF2" w14:textId="3C443C1D">
      <w:pPr>
        <w:pStyle w:val="H2EQRWorksheetSub"/>
      </w:pPr>
      <w:r w:rsidRPr="00990D3B">
        <w:t>Availability of services (</w:t>
      </w:r>
      <w:r w:rsidRPr="00990D3B" w:rsidR="001C7FC0">
        <w:t>42 C.F.R.</w:t>
      </w:r>
      <w:r w:rsidRPr="00990D3B" w:rsidR="007854DF">
        <w:t xml:space="preserve"> </w:t>
      </w:r>
      <w:r w:rsidRPr="00990D3B">
        <w:t>438.206 and 457.1230(a))</w:t>
      </w:r>
    </w:p>
    <w:p w:rsidR="004E5913" w:rsidRPr="00990D3B" w:rsidP="00A743DA" w14:paraId="443DC822" w14:textId="3CA6B227">
      <w:pPr>
        <w:pStyle w:val="H2EQRWorksheetlist2"/>
      </w:pPr>
      <w:r w:rsidRPr="00990D3B">
        <w:t>Please describe the MCP’s process for assessing whether its network of appropriate providers</w:t>
      </w:r>
      <w:r w:rsidRPr="00990D3B" w:rsidR="003162DF">
        <w:rPr>
          <w:rFonts w:ascii="ZWAdobeF" w:hAnsi="ZWAdobeF" w:cs="ZWAdobeF"/>
          <w:sz w:val="2"/>
          <w:szCs w:val="2"/>
        </w:rPr>
        <w:t>58F</w:t>
      </w:r>
      <w:r>
        <w:rPr>
          <w:rStyle w:val="FootnoteReference"/>
          <w:rFonts w:cs="Arial"/>
        </w:rPr>
        <w:footnoteReference w:id="64"/>
      </w:r>
      <w:r w:rsidRPr="00990D3B">
        <w:t xml:space="preserve"> is sufficient to provide adequate access to each type of covered service and major specialty within each type of covered service.  </w:t>
      </w:r>
    </w:p>
    <w:p w:rsidR="004E5913" w:rsidRPr="00990D3B" w:rsidP="00FE3A11" w14:paraId="1133A1B0" w14:textId="77777777">
      <w:pPr>
        <w:pStyle w:val="H2EQRWorksheetlist3"/>
      </w:pPr>
      <w:r w:rsidRPr="00990D3B">
        <w:t>What issues were considered in the assessment process?</w:t>
      </w:r>
    </w:p>
    <w:p w:rsidR="004E5913" w:rsidRPr="00990D3B" w:rsidP="00A743DA" w14:paraId="04CE8E8B" w14:textId="77777777">
      <w:pPr>
        <w:pStyle w:val="H2EQRWorksheetlist2"/>
      </w:pPr>
      <w:r w:rsidRPr="00990D3B">
        <w:t xml:space="preserve">How does the MCP determine the adequacy of its network to serve its Medicaid and CHIP </w:t>
      </w:r>
      <w:r w:rsidRPr="00990D3B">
        <w:t>enrollees</w:t>
      </w:r>
      <w:r w:rsidRPr="00990D3B">
        <w:t xml:space="preserve">? </w:t>
      </w:r>
    </w:p>
    <w:p w:rsidR="004E5913" w:rsidRPr="00990D3B" w:rsidP="00A743DA" w14:paraId="033F276B" w14:textId="77777777">
      <w:pPr>
        <w:pStyle w:val="H2EQRWorksheetlist2"/>
      </w:pPr>
      <w:r w:rsidRPr="00990D3B">
        <w:t xml:space="preserve">What assumptions and methodologies are used to project the number, type (training, experience, and specialization), and location of primary care providers and specialists necessary to serve Medicaid and CHIP </w:t>
      </w:r>
      <w:r w:rsidRPr="00990D3B">
        <w:t>enrollees</w:t>
      </w:r>
      <w:r w:rsidRPr="00990D3B">
        <w:t>?</w:t>
      </w:r>
    </w:p>
    <w:p w:rsidR="004E5913" w:rsidRPr="00990D3B" w:rsidP="00A743DA" w14:paraId="28D7DAD6" w14:textId="77777777">
      <w:pPr>
        <w:pStyle w:val="H2EQRWorksheetlist2"/>
      </w:pPr>
      <w:r w:rsidRPr="00990D3B">
        <w:t xml:space="preserve">What assumptions and methodologies are used to project the number, type (training, experience, and specialization), and location of LTSS providers necessary to serve Medicaid </w:t>
      </w:r>
      <w:r w:rsidRPr="00990D3B">
        <w:t>enrollees</w:t>
      </w:r>
      <w:r w:rsidRPr="00990D3B">
        <w:t>?</w:t>
      </w:r>
    </w:p>
    <w:p w:rsidR="00B633A4" w:rsidRPr="00990D3B" w:rsidP="00784C0C" w14:paraId="61F92265" w14:textId="77777777">
      <w:pPr>
        <w:pStyle w:val="H2EQRWorksheetlist3"/>
      </w:pPr>
      <w:r w:rsidRPr="00990D3B">
        <w:t xml:space="preserve">If the state has established access requirements for LTSS, how does the MCP evaluate its current network in comparison to the requirements? </w:t>
      </w:r>
    </w:p>
    <w:p w:rsidR="004E5913" w:rsidRPr="00990D3B" w:rsidP="00784C0C" w14:paraId="359DEA04" w14:textId="01E24EE4">
      <w:pPr>
        <w:pStyle w:val="H2EQRWorksheetlist3"/>
      </w:pPr>
      <w:r w:rsidRPr="00990D3B">
        <w:t>Are there any areas where the requirements are not met? If so, how is the MCP remedying these gaps?</w:t>
      </w:r>
    </w:p>
    <w:p w:rsidR="004E5913" w:rsidRPr="00990D3B" w:rsidP="001B66EE" w14:paraId="06276EDA" w14:textId="74325435">
      <w:pPr>
        <w:pStyle w:val="EQRNormalSSWORKSHEET"/>
        <w:rPr>
          <w:b/>
          <w:bCs/>
        </w:rPr>
      </w:pPr>
      <w:r w:rsidRPr="00990D3B">
        <w:rPr>
          <w:b/>
          <w:bCs/>
        </w:rPr>
        <w:t>Out-of-network providers (</w:t>
      </w:r>
      <w:r w:rsidRPr="00990D3B" w:rsidR="001C7FC0">
        <w:rPr>
          <w:b/>
          <w:bCs/>
        </w:rPr>
        <w:t>42 C.F.R.</w:t>
      </w:r>
      <w:r w:rsidRPr="00990D3B" w:rsidR="007854DF">
        <w:rPr>
          <w:b/>
          <w:bCs/>
        </w:rPr>
        <w:t xml:space="preserve"> </w:t>
      </w:r>
      <w:r w:rsidRPr="00990D3B">
        <w:rPr>
          <w:b/>
          <w:bCs/>
        </w:rPr>
        <w:t>438.206(b)(3) through (5) and 457.1230(a))</w:t>
      </w:r>
    </w:p>
    <w:p w:rsidR="004E5913" w:rsidRPr="00990D3B" w:rsidP="007D7511" w14:paraId="31D45B0B" w14:textId="0D754228">
      <w:pPr>
        <w:pStyle w:val="H2EQRWorksheetlist2"/>
      </w:pPr>
      <w:r w:rsidRPr="00990D3B">
        <w:t xml:space="preserve">Approximately what proportion of Medicaid and CHIP enrollee provider encounters are made to out-of-network providers? If this is a significant </w:t>
      </w:r>
      <w:r w:rsidRPr="00990D3B">
        <w:t>percent</w:t>
      </w:r>
      <w:r w:rsidRPr="00990D3B">
        <w:t xml:space="preserve">, what are the reasons for this?   </w:t>
      </w:r>
    </w:p>
    <w:p w:rsidR="004E5913" w:rsidRPr="00990D3B" w:rsidP="00962E83" w14:paraId="3AB5712A" w14:textId="77777777">
      <w:pPr>
        <w:pStyle w:val="H2EQRWorksheetlist2"/>
      </w:pPr>
      <w:r w:rsidRPr="00990D3B">
        <w:t>What are the reimbursement methods for out-of-network providers? Which types of providers are paid using each method?</w:t>
      </w:r>
    </w:p>
    <w:p w:rsidR="004E5913" w:rsidRPr="00990D3B" w:rsidP="003D66F9" w14:paraId="5DC32CA0" w14:textId="77777777">
      <w:pPr>
        <w:pStyle w:val="EQRNormalSSWORKSHEET"/>
      </w:pPr>
      <w:r w:rsidRPr="00990D3B">
        <w:t>[</w:t>
      </w:r>
      <w:r w:rsidRPr="00990D3B">
        <w:rPr>
          <w:b/>
        </w:rPr>
        <w:t>Probe:</w:t>
      </w:r>
      <w:r w:rsidRPr="00990D3B">
        <w:t xml:space="preserve"> Do you receive claim, encounter data from out-of- network providers </w:t>
      </w:r>
      <w:r w:rsidRPr="00990D3B">
        <w:t>similar to</w:t>
      </w:r>
      <w:r w:rsidRPr="00990D3B">
        <w:t xml:space="preserve"> the claim, or encounter data that you receive from your network providers?]</w:t>
      </w:r>
    </w:p>
    <w:p w:rsidR="004E5913" w:rsidRPr="00990D3B" w:rsidP="00962E83" w14:paraId="2393E432" w14:textId="77777777">
      <w:pPr>
        <w:pStyle w:val="H2EQRWorksheetlist2"/>
      </w:pPr>
      <w:r w:rsidRPr="00990D3B">
        <w:t xml:space="preserve">How does your MCP ensure that any costs to the Medicaid and CHIP enrollee for out-of-network services </w:t>
      </w:r>
      <w:r w:rsidRPr="00990D3B">
        <w:t>is</w:t>
      </w:r>
      <w:r w:rsidRPr="00990D3B">
        <w:t xml:space="preserve"> no greater than the costs the enrollee would incur if they used a network provider for the same service?</w:t>
      </w:r>
    </w:p>
    <w:p w:rsidR="004E5913" w:rsidRPr="00990D3B" w:rsidP="00FC3A66" w14:paraId="7BA6257B" w14:textId="1B728D90">
      <w:pPr>
        <w:pStyle w:val="EQRNormalSSWORKSHEET"/>
        <w:keepNext/>
        <w:rPr>
          <w:b/>
          <w:bCs/>
        </w:rPr>
      </w:pPr>
      <w:r w:rsidRPr="00990D3B">
        <w:rPr>
          <w:b/>
          <w:bCs/>
        </w:rPr>
        <w:t>Furnishing of services and timely access (</w:t>
      </w:r>
      <w:r w:rsidRPr="00990D3B" w:rsidR="001C7FC0">
        <w:rPr>
          <w:b/>
          <w:bCs/>
        </w:rPr>
        <w:t>42 C.F.R.</w:t>
      </w:r>
      <w:r w:rsidRPr="00990D3B" w:rsidR="007854DF">
        <w:rPr>
          <w:b/>
          <w:bCs/>
        </w:rPr>
        <w:t xml:space="preserve"> </w:t>
      </w:r>
      <w:r w:rsidRPr="00990D3B">
        <w:rPr>
          <w:b/>
          <w:bCs/>
        </w:rPr>
        <w:t>438.206(c)(1) and 457.1230(a))</w:t>
      </w:r>
    </w:p>
    <w:p w:rsidR="004E5913" w:rsidRPr="00990D3B" w:rsidP="007D7511" w14:paraId="2FF8DF4A" w14:textId="3B5D57F0">
      <w:pPr>
        <w:pStyle w:val="H2EQRWorksheetlist2"/>
      </w:pPr>
      <w:r w:rsidRPr="00990D3B">
        <w:t xml:space="preserve">Please describe how the MCP monitors compliance with its Medicaid and CHIP standards for timely access to care and services. </w:t>
      </w:r>
    </w:p>
    <w:p w:rsidR="004E5913" w:rsidRPr="00990D3B" w:rsidP="007D6AA0" w14:paraId="799ADA3E" w14:textId="77777777">
      <w:pPr>
        <w:pStyle w:val="H2EQRWorksheetlist2"/>
        <w:ind w:left="720"/>
      </w:pPr>
      <w:r w:rsidRPr="00990D3B">
        <w:t xml:space="preserve">How does the MCP ensure the </w:t>
      </w:r>
      <w:r w:rsidRPr="00990D3B">
        <w:t>24 hours</w:t>
      </w:r>
      <w:r w:rsidRPr="00990D3B">
        <w:t xml:space="preserve"> per day, </w:t>
      </w:r>
      <w:r w:rsidRPr="00990D3B">
        <w:t>7 day</w:t>
      </w:r>
      <w:r w:rsidRPr="00990D3B">
        <w:t xml:space="preserve"> per </w:t>
      </w:r>
      <w:r w:rsidRPr="00990D3B">
        <w:t>week availability</w:t>
      </w:r>
      <w:r w:rsidRPr="00990D3B">
        <w:t xml:space="preserve"> of Medicaid and CHIP services included in its contract with the state when medically necessary?</w:t>
      </w:r>
    </w:p>
    <w:p w:rsidR="004E5913" w:rsidRPr="00990D3B" w:rsidP="007D6AA0" w14:paraId="44B37DDA" w14:textId="77777777">
      <w:pPr>
        <w:pStyle w:val="H2EQRWorksheetlist2"/>
        <w:ind w:left="720"/>
      </w:pPr>
      <w:r w:rsidRPr="00990D3B">
        <w:t xml:space="preserve">How does the MCP determine that the individual and institutional providers it contracts with have sufficient capacity to make services available when medically appropriate 24 </w:t>
      </w:r>
      <w:r w:rsidRPr="00990D3B">
        <w:t>hour</w:t>
      </w:r>
      <w:r w:rsidRPr="00990D3B">
        <w:t xml:space="preserve"> per day, 7 days per week to Medicaid and CHIP enrollees?</w:t>
      </w:r>
    </w:p>
    <w:p w:rsidR="004E5913" w:rsidRPr="00990D3B" w:rsidP="007D6AA0" w14:paraId="34EFDB74" w14:textId="77777777">
      <w:pPr>
        <w:pStyle w:val="H2EQRWorksheetlist2"/>
        <w:ind w:left="720"/>
      </w:pPr>
      <w:r w:rsidRPr="00990D3B">
        <w:t>How does the MCP ensure that its provider network’s hours of operation do not discriminate against Medicaid and CHIP enrollees (i.e., are not different for Medicaid and CHIP enrollees than for commercial enrollees)?</w:t>
      </w:r>
    </w:p>
    <w:p w:rsidR="004E5913" w:rsidRPr="00990D3B" w:rsidP="007D6AA0" w14:paraId="70C2C103" w14:textId="77777777">
      <w:pPr>
        <w:pStyle w:val="H2EQRWorksheetlist2"/>
        <w:ind w:left="720"/>
      </w:pPr>
      <w:r w:rsidRPr="00990D3B">
        <w:t>How is inappropriate use of emergency department visits addressed? What proportion of emergency department visits are potentially avoidable?</w:t>
      </w:r>
    </w:p>
    <w:p w:rsidR="004E5913" w:rsidRPr="00990D3B" w:rsidP="007D6AA0" w14:paraId="7A73820D" w14:textId="77777777">
      <w:pPr>
        <w:pStyle w:val="H2EQRWorksheetlist2"/>
        <w:ind w:left="720"/>
      </w:pPr>
      <w:r w:rsidRPr="00990D3B">
        <w:t xml:space="preserve">What was the volume of </w:t>
      </w:r>
      <w:r w:rsidRPr="00990D3B">
        <w:t>denied claims</w:t>
      </w:r>
      <w:r w:rsidRPr="00990D3B">
        <w:t xml:space="preserve"> for emergency and post-stabilization services in the most recent year?  </w:t>
      </w:r>
    </w:p>
    <w:p w:rsidR="004E5913" w:rsidRPr="00990D3B" w:rsidP="00931617" w14:paraId="3C513791" w14:textId="620F9613">
      <w:pPr>
        <w:pStyle w:val="EQRNormalSSWORKSHEET"/>
        <w:rPr>
          <w:b/>
          <w:bCs/>
        </w:rPr>
      </w:pPr>
      <w:r w:rsidRPr="00990D3B">
        <w:rPr>
          <w:b/>
          <w:bCs/>
        </w:rPr>
        <w:t>Access and cultural considerations (</w:t>
      </w:r>
      <w:r w:rsidRPr="00990D3B" w:rsidR="001C7FC0">
        <w:rPr>
          <w:b/>
          <w:bCs/>
        </w:rPr>
        <w:t>42 C.F.R.</w:t>
      </w:r>
      <w:r w:rsidRPr="00990D3B" w:rsidR="007854DF">
        <w:rPr>
          <w:b/>
          <w:bCs/>
        </w:rPr>
        <w:t xml:space="preserve"> </w:t>
      </w:r>
      <w:r w:rsidRPr="00990D3B">
        <w:rPr>
          <w:b/>
          <w:bCs/>
        </w:rPr>
        <w:t>438.206(c)(2) and 457.1230(a))</w:t>
      </w:r>
    </w:p>
    <w:p w:rsidR="004E5913" w:rsidRPr="00990D3B" w:rsidP="007D7511" w14:paraId="12CD7F7C" w14:textId="123F5107">
      <w:pPr>
        <w:pStyle w:val="H2EQRWorksheetlist2"/>
        <w:rPr>
          <w:b/>
          <w:bCs/>
        </w:rPr>
      </w:pPr>
      <w:r w:rsidRPr="00990D3B">
        <w:t xml:space="preserve">What have been the state Medicaid and CHIP </w:t>
      </w:r>
      <w:r w:rsidRPr="00990D3B" w:rsidR="00C67AC8">
        <w:t xml:space="preserve">program’s </w:t>
      </w:r>
      <w:r w:rsidRPr="00990D3B">
        <w:t xml:space="preserve">efforts to promote the delivery of services in a culturally appropriate manner to all enrollees, including those with diverse cultural and ethnic backgrounds?  </w:t>
      </w:r>
    </w:p>
    <w:p w:rsidR="004E5913" w:rsidRPr="00990D3B" w:rsidP="00080B41" w14:paraId="70A0684C" w14:textId="77777777">
      <w:pPr>
        <w:pStyle w:val="H2EQRWorksheetlist3"/>
      </w:pPr>
      <w:r w:rsidRPr="00990D3B">
        <w:t xml:space="preserve">How has your MCP participated in these efforts?  </w:t>
      </w:r>
    </w:p>
    <w:p w:rsidR="004E5913" w:rsidRPr="00990D3B" w:rsidP="00784C0C" w14:paraId="54CE2AE9" w14:textId="77777777">
      <w:pPr>
        <w:pStyle w:val="H2EQRWorksheetlist3"/>
        <w:rPr>
          <w:b/>
        </w:rPr>
      </w:pPr>
      <w:r w:rsidRPr="00990D3B">
        <w:t>What documentation exists describing your efforts and the results of these efforts?</w:t>
      </w:r>
    </w:p>
    <w:p w:rsidR="004E5913" w:rsidRPr="00990D3B" w:rsidP="00A51739" w14:paraId="04511DDD" w14:textId="77777777">
      <w:pPr>
        <w:pStyle w:val="H2EQRWorksheetlist2"/>
      </w:pPr>
      <w:r w:rsidRPr="00990D3B">
        <w:t xml:space="preserve">What efforts has the MCP made to promote services to enrollees with limited English proficiency and those with low literacy? </w:t>
      </w:r>
    </w:p>
    <w:p w:rsidR="004E5913" w:rsidRPr="00990D3B" w:rsidP="00A51739" w14:paraId="36F36C5F" w14:textId="77777777">
      <w:pPr>
        <w:pStyle w:val="H2EQRWorksheetlist2"/>
      </w:pPr>
      <w:r w:rsidRPr="00990D3B">
        <w:t xml:space="preserve">How does the MCP maintain and make available information </w:t>
      </w:r>
      <w:r w:rsidRPr="00990D3B">
        <w:t>on</w:t>
      </w:r>
      <w:r w:rsidRPr="00990D3B">
        <w:t xml:space="preserve"> all languages (including both spoken and signed) used by providers, including those used by LTSS providers?</w:t>
      </w:r>
    </w:p>
    <w:p w:rsidR="004E5913" w:rsidRPr="00990D3B" w:rsidP="00A51739" w14:paraId="33913E1F" w14:textId="594240B4">
      <w:pPr>
        <w:pStyle w:val="H2EQRWorksheetlist2"/>
      </w:pPr>
      <w:r w:rsidRPr="00990D3B">
        <w:t xml:space="preserve">How are call center staff made aware of MCP </w:t>
      </w:r>
      <w:r w:rsidRPr="00990D3B" w:rsidR="00622633">
        <w:t>enrollees</w:t>
      </w:r>
      <w:r w:rsidRPr="00990D3B">
        <w:t xml:space="preserve">’ needs so that verbal communication is easily understood by the </w:t>
      </w:r>
      <w:r w:rsidRPr="00990D3B" w:rsidR="00D50AF4">
        <w:t>enrollee</w:t>
      </w:r>
      <w:r w:rsidRPr="00990D3B">
        <w:t>? For example, volume or speed of speech.</w:t>
      </w:r>
    </w:p>
    <w:p w:rsidR="004E5913" w:rsidRPr="00990D3B" w:rsidP="00931617" w14:paraId="6608FB48" w14:textId="2406235C">
      <w:pPr>
        <w:pStyle w:val="EQRNormalSSWORKSHEET"/>
        <w:rPr>
          <w:b/>
          <w:bCs/>
        </w:rPr>
      </w:pPr>
      <w:r w:rsidRPr="00990D3B">
        <w:rPr>
          <w:b/>
          <w:bCs/>
        </w:rPr>
        <w:t>Assurances of adequate capacity and services (</w:t>
      </w:r>
      <w:r w:rsidRPr="00990D3B" w:rsidR="001C7FC0">
        <w:rPr>
          <w:b/>
          <w:bCs/>
        </w:rPr>
        <w:t>42 C.F.R.</w:t>
      </w:r>
      <w:r w:rsidRPr="00990D3B" w:rsidR="007854DF">
        <w:rPr>
          <w:b/>
          <w:bCs/>
        </w:rPr>
        <w:t xml:space="preserve"> </w:t>
      </w:r>
      <w:r w:rsidRPr="00990D3B">
        <w:rPr>
          <w:b/>
          <w:bCs/>
        </w:rPr>
        <w:t>438.207(b) – (c) and 457.1230(b))</w:t>
      </w:r>
    </w:p>
    <w:p w:rsidR="004E5913" w:rsidRPr="00990D3B" w:rsidP="007D7511" w14:paraId="019CF910" w14:textId="455C207F">
      <w:pPr>
        <w:pStyle w:val="H2EQRWorksheetlist2"/>
      </w:pPr>
      <w:r w:rsidRPr="00990D3B">
        <w:t xml:space="preserve">Please describe how your MCP demonstrates to the Medicaid and CHIP </w:t>
      </w:r>
      <w:r w:rsidRPr="00990D3B" w:rsidR="00C67AC8">
        <w:t xml:space="preserve">program </w:t>
      </w:r>
      <w:r w:rsidRPr="00990D3B">
        <w:t xml:space="preserve">that it offers an appropriate range of preventive, primary care, specialty services, and LTSS that is adequate for the anticipated number of </w:t>
      </w:r>
      <w:r w:rsidRPr="00990D3B">
        <w:t>enrollees</w:t>
      </w:r>
      <w:r w:rsidRPr="00990D3B">
        <w:t xml:space="preserve"> in your service area.</w:t>
      </w:r>
    </w:p>
    <w:p w:rsidR="004E5913" w:rsidRPr="00990D3B" w:rsidP="00A169D0" w14:paraId="7E0B909C" w14:textId="549619E9">
      <w:pPr>
        <w:pStyle w:val="H2EQRWorksheetlist2"/>
      </w:pPr>
      <w:r w:rsidRPr="00990D3B">
        <w:t xml:space="preserve">Please describe how your MCP demonstrates to the Medicaid and CHIP </w:t>
      </w:r>
      <w:r w:rsidRPr="00990D3B" w:rsidR="00C67AC8">
        <w:t xml:space="preserve">program </w:t>
      </w:r>
      <w:r w:rsidRPr="00990D3B">
        <w:t>that it</w:t>
      </w:r>
      <w:r w:rsidRPr="00990D3B">
        <w:t xml:space="preserve"> maintains a network of providers that is sufficient in number, mix, and geographic distribution to meet the needs of the anticipated number of </w:t>
      </w:r>
      <w:r w:rsidRPr="00990D3B">
        <w:t>enrollees</w:t>
      </w:r>
      <w:r w:rsidRPr="00990D3B">
        <w:t xml:space="preserve"> in the service area.</w:t>
      </w:r>
    </w:p>
    <w:p w:rsidR="004E5913" w:rsidRPr="00990D3B" w:rsidP="00A169D0" w14:paraId="1CB79A8D" w14:textId="1D6CD48A">
      <w:pPr>
        <w:pStyle w:val="H2EQRWorksheetlist2"/>
      </w:pPr>
      <w:r w:rsidRPr="00990D3B">
        <w:t xml:space="preserve">Please indicate whether your MCP meets the timing standards set by the Medicaid and CHIP </w:t>
      </w:r>
      <w:r w:rsidRPr="00990D3B" w:rsidR="00C67AC8">
        <w:t xml:space="preserve">program </w:t>
      </w:r>
      <w:r w:rsidRPr="00990D3B">
        <w:t>for this documentation.</w:t>
      </w:r>
    </w:p>
    <w:p w:rsidR="004E5913" w:rsidRPr="00990D3B" w:rsidP="00931617" w14:paraId="4AB0C533" w14:textId="0E388E74">
      <w:pPr>
        <w:pStyle w:val="EQRNormalSSWORKSHEET"/>
        <w:rPr>
          <w:b/>
          <w:bCs/>
        </w:rPr>
      </w:pPr>
      <w:r w:rsidRPr="00990D3B">
        <w:rPr>
          <w:b/>
          <w:bCs/>
        </w:rPr>
        <w:t>Coordination and continuity of care for all enrollees (</w:t>
      </w:r>
      <w:r w:rsidRPr="00990D3B" w:rsidR="001C7FC0">
        <w:rPr>
          <w:b/>
          <w:bCs/>
        </w:rPr>
        <w:t>42 C.F.R.</w:t>
      </w:r>
      <w:r w:rsidRPr="00990D3B" w:rsidR="007854DF">
        <w:rPr>
          <w:b/>
          <w:bCs/>
        </w:rPr>
        <w:t xml:space="preserve"> </w:t>
      </w:r>
      <w:r w:rsidRPr="00990D3B">
        <w:rPr>
          <w:b/>
          <w:bCs/>
        </w:rPr>
        <w:t xml:space="preserve">438.208, 457.1230(c)) </w:t>
      </w:r>
    </w:p>
    <w:p w:rsidR="004E5913" w:rsidRPr="00990D3B" w:rsidP="007D7511" w14:paraId="7A8A1548" w14:textId="2C5F9140">
      <w:pPr>
        <w:pStyle w:val="H2EQRWorksheetlist2"/>
      </w:pPr>
      <w:r w:rsidRPr="00990D3B">
        <w:t xml:space="preserve">Which provider types are authorized by the Medicaid or CHIP </w:t>
      </w:r>
      <w:r w:rsidRPr="00990D3B" w:rsidR="00C67AC8">
        <w:t xml:space="preserve">program </w:t>
      </w:r>
      <w:r w:rsidRPr="00990D3B">
        <w:t>to serve as enrollee primary care providers? (i.e., general practitioner, family physician, internal medicine physician, OB/GYN, pediatrician, or other licensed practitioner as authorized by the state Medicaid program)</w:t>
      </w:r>
    </w:p>
    <w:p w:rsidR="004E5913" w:rsidRPr="00990D3B" w:rsidP="009C7846" w14:paraId="1E5F709B" w14:textId="49BE1A73">
      <w:pPr>
        <w:pStyle w:val="H2EQRWorksheetlist3"/>
      </w:pPr>
      <w:r w:rsidRPr="00990D3B">
        <w:t xml:space="preserve">Does your MCP permit each of the provider types authorized by the Medicaid or CHIP </w:t>
      </w:r>
      <w:r w:rsidRPr="00990D3B" w:rsidR="00C67AC8">
        <w:t xml:space="preserve">program </w:t>
      </w:r>
      <w:r w:rsidRPr="00990D3B">
        <w:t>to provide primary care services to serve as primary care providers?</w:t>
      </w:r>
    </w:p>
    <w:p w:rsidR="004E5913" w:rsidRPr="00990D3B" w:rsidP="00C0462C" w14:paraId="4E6FB11E" w14:textId="77777777">
      <w:pPr>
        <w:pStyle w:val="H2EQRWorksheetlist2"/>
      </w:pPr>
      <w:r w:rsidRPr="00990D3B">
        <w:t xml:space="preserve">What steps does the MCP take to promote Medicaid and CHIP </w:t>
      </w:r>
      <w:r w:rsidRPr="00990D3B">
        <w:t>enrollees</w:t>
      </w:r>
      <w:r w:rsidRPr="00990D3B">
        <w:t>’ ongoing relationship with a usual source of primary care?</w:t>
      </w:r>
    </w:p>
    <w:p w:rsidR="004E5913" w:rsidRPr="00990D3B" w:rsidP="00C0462C" w14:paraId="2DEA9854" w14:textId="77777777">
      <w:pPr>
        <w:pStyle w:val="H2EQRWorksheetlist2"/>
      </w:pPr>
      <w:r w:rsidRPr="00990D3B">
        <w:t xml:space="preserve">What processes are used to coordinate services for enrollees?  </w:t>
      </w:r>
    </w:p>
    <w:p w:rsidR="004E5913" w:rsidRPr="00990D3B" w:rsidP="009C7846" w14:paraId="1BE28C7C" w14:textId="77777777">
      <w:pPr>
        <w:pStyle w:val="H2EQRWorksheetlist3"/>
      </w:pPr>
      <w:r w:rsidRPr="00990D3B">
        <w:t xml:space="preserve">Are there different types of care coordination mechanisms for different types of </w:t>
      </w:r>
      <w:r w:rsidRPr="00990D3B">
        <w:t>enrollees</w:t>
      </w:r>
      <w:r w:rsidRPr="00990D3B">
        <w:t>? If so, what are these?</w:t>
      </w:r>
    </w:p>
    <w:p w:rsidR="004E5913" w:rsidRPr="00990D3B" w:rsidP="009C7846" w14:paraId="5D342CD7" w14:textId="77777777">
      <w:pPr>
        <w:pStyle w:val="H2EQRWorksheetlist3"/>
      </w:pPr>
      <w:r w:rsidRPr="00990D3B">
        <w:t>Are there different types of care coordination mechanisms for acute and primary services? If so, what are these?</w:t>
      </w:r>
    </w:p>
    <w:p w:rsidR="004E5913" w:rsidRPr="00990D3B" w:rsidP="00C0462C" w14:paraId="35A90BFF" w14:textId="77777777">
      <w:pPr>
        <w:pStyle w:val="H2EQRWorksheetlist2"/>
      </w:pPr>
      <w:r w:rsidRPr="00990D3B">
        <w:t xml:space="preserve">If your MCP establishes separate coordination of care for medical services, LTSS, and mental health and substance abuse services, how does it ensure exchange of necessary information between care coordinators? How does it ensure information exchange among providers? </w:t>
      </w:r>
    </w:p>
    <w:p w:rsidR="004E5913" w:rsidRPr="00990D3B" w:rsidP="00C0462C" w14:paraId="313E11F3" w14:textId="77777777">
      <w:pPr>
        <w:pStyle w:val="H2EQRWorksheetlist2"/>
      </w:pPr>
      <w:r w:rsidRPr="00990D3B">
        <w:t>How are staff trained in the processes and tools required to facilitate integrated medical, behavioral, care planning, service planning, and authorization activities?</w:t>
      </w:r>
    </w:p>
    <w:p w:rsidR="004E5913" w:rsidRPr="00990D3B" w:rsidP="00C0462C" w14:paraId="354368BA" w14:textId="77777777">
      <w:pPr>
        <w:pStyle w:val="H2EQRWorksheetlist2"/>
      </w:pPr>
      <w:r w:rsidRPr="00990D3B">
        <w:t>How does the MCP ensure coordination of its services with services enrollees may receive from other MCPs or community programs and providers?</w:t>
      </w:r>
    </w:p>
    <w:p w:rsidR="004E5913" w:rsidRPr="00990D3B" w:rsidP="009C7846" w14:paraId="76156C0D" w14:textId="77777777">
      <w:pPr>
        <w:pStyle w:val="H2EQRWorksheetlist3"/>
      </w:pPr>
      <w:r w:rsidRPr="00990D3B">
        <w:t>How are coordination and communication ensured when an enrollee changes MCPs or transitions between FFS and managed care?</w:t>
      </w:r>
    </w:p>
    <w:p w:rsidR="004E5913" w:rsidRPr="00990D3B" w:rsidP="009C7846" w14:paraId="2EDF2FAD" w14:textId="362BED37">
      <w:pPr>
        <w:pStyle w:val="H2EQRWorksheetlist3"/>
      </w:pPr>
      <w:r w:rsidRPr="00990D3B">
        <w:t xml:space="preserve">How are coordination and communication ensured when an </w:t>
      </w:r>
      <w:r w:rsidRPr="00990D3B" w:rsidR="00852895">
        <w:t xml:space="preserve">individual </w:t>
      </w:r>
      <w:r w:rsidRPr="00990D3B">
        <w:t xml:space="preserve">is </w:t>
      </w:r>
      <w:r w:rsidRPr="00990D3B" w:rsidR="002F4DD4">
        <w:t>enrol</w:t>
      </w:r>
      <w:r w:rsidRPr="00990D3B" w:rsidR="009C7D44">
        <w:t>led</w:t>
      </w:r>
      <w:r w:rsidRPr="00990D3B">
        <w:t xml:space="preserve"> </w:t>
      </w:r>
      <w:r w:rsidRPr="00990D3B" w:rsidR="009C7D44">
        <w:t xml:space="preserve">in </w:t>
      </w:r>
      <w:r w:rsidRPr="00990D3B">
        <w:t xml:space="preserve">more than one MCP (e.g., </w:t>
      </w:r>
      <w:r w:rsidRPr="00990D3B" w:rsidR="0090723C">
        <w:t xml:space="preserve">beneficiaries who are dually eligible for Medicare and Medicaid </w:t>
      </w:r>
      <w:r w:rsidRPr="00990D3B">
        <w:t xml:space="preserve">and separate dental or behavioral </w:t>
      </w:r>
      <w:r w:rsidRPr="00990D3B" w:rsidR="00497545">
        <w:t>MCPs</w:t>
      </w:r>
      <w:r w:rsidRPr="00990D3B">
        <w:t>)?</w:t>
      </w:r>
    </w:p>
    <w:p w:rsidR="004E5913" w:rsidRPr="00990D3B" w:rsidP="00C0462C" w14:paraId="4334CA8D" w14:textId="77777777">
      <w:pPr>
        <w:pStyle w:val="H2EQRWorksheetlist2"/>
      </w:pPr>
      <w:r w:rsidRPr="00990D3B">
        <w:t xml:space="preserve">Under what circumstances may Medicaid and CHIP </w:t>
      </w:r>
      <w:r w:rsidRPr="00990D3B">
        <w:t>enrollees</w:t>
      </w:r>
      <w:r w:rsidRPr="00990D3B">
        <w:t xml:space="preserve"> have direct access to specialists?</w:t>
      </w:r>
    </w:p>
    <w:p w:rsidR="004E5913" w:rsidRPr="00990D3B" w:rsidP="00C0462C" w14:paraId="5B4B60BB" w14:textId="77777777">
      <w:pPr>
        <w:pStyle w:val="H2EQRWorksheetlist2"/>
      </w:pPr>
      <w:r w:rsidRPr="00990D3B">
        <w:t>How does your MCP manage access to any specialty care services currently not provided in-network?</w:t>
      </w:r>
    </w:p>
    <w:p w:rsidR="004E5913" w:rsidRPr="00990D3B" w:rsidP="00C0462C" w14:paraId="75CADA25" w14:textId="77777777">
      <w:pPr>
        <w:pStyle w:val="H2EQRWorksheetlist2"/>
      </w:pPr>
      <w:r w:rsidRPr="00990D3B">
        <w:t xml:space="preserve">Does your MCP require written treatment plans to be developed for </w:t>
      </w:r>
      <w:r w:rsidRPr="00990D3B">
        <w:t>enrollees</w:t>
      </w:r>
      <w:r w:rsidRPr="00990D3B">
        <w:t>? If yes, under what circumstances are written treatment plans required?</w:t>
      </w:r>
    </w:p>
    <w:p w:rsidR="004E5913" w:rsidRPr="00990D3B" w:rsidP="00931617" w14:paraId="021FB315" w14:textId="5AF54E22">
      <w:pPr>
        <w:pStyle w:val="EQRNormalSSWORKSHEET"/>
        <w:rPr>
          <w:b/>
          <w:bCs/>
        </w:rPr>
      </w:pPr>
      <w:r w:rsidRPr="00990D3B">
        <w:rPr>
          <w:b/>
          <w:bCs/>
        </w:rPr>
        <w:t>Additional coordination and continuity of care questions: LTSS (</w:t>
      </w:r>
      <w:r w:rsidRPr="00990D3B" w:rsidR="001C7FC0">
        <w:rPr>
          <w:b/>
          <w:bCs/>
        </w:rPr>
        <w:t>42 C.F.R.</w:t>
      </w:r>
      <w:r w:rsidRPr="00990D3B" w:rsidR="007854DF">
        <w:rPr>
          <w:b/>
          <w:bCs/>
        </w:rPr>
        <w:t xml:space="preserve"> </w:t>
      </w:r>
      <w:r w:rsidRPr="00990D3B">
        <w:rPr>
          <w:b/>
          <w:bCs/>
        </w:rPr>
        <w:t>438.208 and 457.1230(c))</w:t>
      </w:r>
    </w:p>
    <w:p w:rsidR="004E5913" w:rsidRPr="00990D3B" w:rsidP="007D7511" w14:paraId="1525E700" w14:textId="33E81D25">
      <w:pPr>
        <w:pStyle w:val="H2EQRWorksheetlist2"/>
      </w:pPr>
      <w:r w:rsidRPr="00990D3B">
        <w:t xml:space="preserve">Does your state’s Medicaid and CHIP </w:t>
      </w:r>
      <w:r w:rsidRPr="00990D3B" w:rsidR="00C67AC8">
        <w:t xml:space="preserve">program </w:t>
      </w:r>
      <w:r w:rsidRPr="00990D3B">
        <w:t xml:space="preserve">require your MCP to meet identification, assessment, and treatment planning requirements for dually-enrolled beneficiaries who need LTSS? </w:t>
      </w:r>
    </w:p>
    <w:p w:rsidR="004E5913" w:rsidRPr="00990D3B" w:rsidP="00E440AA" w14:paraId="6A1BB195" w14:textId="55FF6012">
      <w:pPr>
        <w:pStyle w:val="H2EQRWorksheetlist2"/>
      </w:pPr>
      <w:r w:rsidRPr="00990D3B">
        <w:t xml:space="preserve">Please describe how your MCP meets any LTSS assessment mechanism requirements established by your Medicaid and CHIP </w:t>
      </w:r>
      <w:r w:rsidRPr="00990D3B" w:rsidR="00C67AC8">
        <w:t>program</w:t>
      </w:r>
      <w:r w:rsidRPr="00990D3B">
        <w:t xml:space="preserve">. </w:t>
      </w:r>
    </w:p>
    <w:p w:rsidR="004E5913" w:rsidRPr="00990D3B" w:rsidP="00E440AA" w14:paraId="43789604" w14:textId="77777777">
      <w:pPr>
        <w:pStyle w:val="H2EQRWorksheetlist2"/>
      </w:pPr>
      <w:r w:rsidRPr="00990D3B">
        <w:t xml:space="preserve">What processes are used to coordinate services for </w:t>
      </w:r>
      <w:r w:rsidRPr="00990D3B">
        <w:t>enrollees</w:t>
      </w:r>
      <w:r w:rsidRPr="00990D3B">
        <w:t xml:space="preserve"> who need LTSS?  </w:t>
      </w:r>
    </w:p>
    <w:p w:rsidR="004E5913" w:rsidRPr="00990D3B" w:rsidP="00684004" w14:paraId="041FFF15" w14:textId="77777777">
      <w:pPr>
        <w:pStyle w:val="H2EQRWorksheetlist3"/>
      </w:pPr>
      <w:r w:rsidRPr="00990D3B">
        <w:t>Are there different types of care coordination mechanisms for LTSS as compared to acute and primary care services? If so, what are these?</w:t>
      </w:r>
    </w:p>
    <w:p w:rsidR="004E5913" w:rsidRPr="00990D3B" w:rsidP="00E440AA" w14:paraId="5A89841F" w14:textId="77777777">
      <w:pPr>
        <w:pStyle w:val="H2EQRWorksheetlist2"/>
      </w:pPr>
      <w:r w:rsidRPr="00990D3B">
        <w:t xml:space="preserve">If your MCP establishes separate coordination of care for LTSS, how does it ensure exchange of necessary information between care coordinators? How does it ensure information exchange among providers? </w:t>
      </w:r>
    </w:p>
    <w:p w:rsidR="004E5913" w:rsidRPr="00990D3B" w:rsidP="00E440AA" w14:paraId="689E7BA4" w14:textId="77777777">
      <w:pPr>
        <w:pStyle w:val="H2EQRWorksheetlist2"/>
      </w:pPr>
      <w:r w:rsidRPr="00990D3B">
        <w:t>How are staff trained in the processes and tools required to facilitate integrated medical, behavioral and LTSS assessment, care planning, service planning, and authorization activities for enrollees who need LTSS?</w:t>
      </w:r>
    </w:p>
    <w:p w:rsidR="004E5913" w:rsidRPr="00990D3B" w:rsidP="00E440AA" w14:paraId="22FA2F60" w14:textId="41156A94">
      <w:pPr>
        <w:pStyle w:val="H2EQRWorksheetlist2"/>
      </w:pPr>
      <w:r w:rsidRPr="00990D3B">
        <w:t xml:space="preserve">How are coordination and communication ensured when an LTSS enrollee is </w:t>
      </w:r>
      <w:r w:rsidRPr="00990D3B">
        <w:t>a</w:t>
      </w:r>
      <w:r w:rsidRPr="00990D3B">
        <w:t xml:space="preserve"> </w:t>
      </w:r>
      <w:r w:rsidRPr="00990D3B" w:rsidR="002F4DD4">
        <w:t>enrollee</w:t>
      </w:r>
      <w:r w:rsidRPr="00990D3B">
        <w:t xml:space="preserve"> of more than one MCP?</w:t>
      </w:r>
    </w:p>
    <w:p w:rsidR="00931617" w:rsidRPr="00990D3B" w14:paraId="26E9F644" w14:textId="77777777">
      <w:pPr>
        <w:spacing w:line="240" w:lineRule="auto"/>
        <w:rPr>
          <w:rFonts w:ascii="Arial" w:eastAsia="Calibri" w:hAnsi="Arial"/>
          <w:b/>
          <w:bCs/>
          <w:sz w:val="18"/>
          <w:szCs w:val="18"/>
        </w:rPr>
      </w:pPr>
      <w:r w:rsidRPr="00990D3B">
        <w:rPr>
          <w:b/>
          <w:bCs/>
        </w:rPr>
        <w:br w:type="page"/>
      </w:r>
    </w:p>
    <w:p w:rsidR="004E5913" w:rsidRPr="00990D3B" w:rsidP="00931617" w14:paraId="72F845D2" w14:textId="2DDD8953">
      <w:pPr>
        <w:pStyle w:val="EQRNormalSSWORKSHEET"/>
        <w:rPr>
          <w:b/>
          <w:bCs/>
        </w:rPr>
      </w:pPr>
      <w:r w:rsidRPr="00990D3B">
        <w:rPr>
          <w:b/>
          <w:bCs/>
        </w:rPr>
        <w:t xml:space="preserve">Additional coordination and continuity of care questions: </w:t>
      </w:r>
      <w:r w:rsidRPr="00990D3B" w:rsidR="00D56CA2">
        <w:rPr>
          <w:b/>
          <w:bCs/>
        </w:rPr>
        <w:t>special health care needs (</w:t>
      </w:r>
      <w:r w:rsidRPr="00990D3B">
        <w:rPr>
          <w:b/>
          <w:bCs/>
        </w:rPr>
        <w:t>SHCN</w:t>
      </w:r>
      <w:r w:rsidRPr="00990D3B" w:rsidR="00D56CA2">
        <w:rPr>
          <w:b/>
          <w:bCs/>
        </w:rPr>
        <w:t>)</w:t>
      </w:r>
      <w:r w:rsidRPr="00990D3B">
        <w:rPr>
          <w:b/>
          <w:bCs/>
        </w:rPr>
        <w:t xml:space="preserve"> (</w:t>
      </w:r>
      <w:r w:rsidRPr="00990D3B" w:rsidR="001C7FC0">
        <w:rPr>
          <w:b/>
          <w:bCs/>
        </w:rPr>
        <w:t>42 C.F.R.</w:t>
      </w:r>
      <w:r w:rsidRPr="00990D3B" w:rsidR="007854DF">
        <w:rPr>
          <w:b/>
          <w:bCs/>
        </w:rPr>
        <w:t xml:space="preserve"> </w:t>
      </w:r>
      <w:r w:rsidRPr="00990D3B">
        <w:rPr>
          <w:b/>
          <w:bCs/>
        </w:rPr>
        <w:t>438.208 and 457.1230(c))</w:t>
      </w:r>
    </w:p>
    <w:p w:rsidR="004E5913" w:rsidRPr="00990D3B" w:rsidP="007D7511" w14:paraId="399B8239" w14:textId="5DD78478">
      <w:pPr>
        <w:pStyle w:val="H2EQRWorksheetlist2"/>
      </w:pPr>
      <w:r w:rsidRPr="00990D3B">
        <w:t xml:space="preserve">How are “individuals with special health care needs” defined by the state Medicaid and CHIP </w:t>
      </w:r>
      <w:r w:rsidRPr="00990D3B" w:rsidR="00C67AC8">
        <w:t>program</w:t>
      </w:r>
      <w:r w:rsidRPr="00990D3B">
        <w:t xml:space="preserve">? </w:t>
      </w:r>
    </w:p>
    <w:p w:rsidR="004E5913" w:rsidRPr="00990D3B" w:rsidP="00783315" w14:paraId="1DDFA524" w14:textId="5BA6AB5D">
      <w:pPr>
        <w:pStyle w:val="H2EQRWorksheetlist3"/>
      </w:pPr>
      <w:r w:rsidRPr="00990D3B">
        <w:t xml:space="preserve">Has your MCP developed any other operational definition or definitions of individuals with special health care needs?  </w:t>
      </w:r>
    </w:p>
    <w:p w:rsidR="004E5913" w:rsidRPr="00990D3B" w:rsidP="00783315" w14:paraId="27CF2727" w14:textId="77777777">
      <w:pPr>
        <w:pStyle w:val="H2EQRWorksheetlist3"/>
      </w:pPr>
      <w:r w:rsidRPr="00990D3B">
        <w:t>If yes, what is/are these and how were they developed? How do they differ from the state definition?</w:t>
      </w:r>
    </w:p>
    <w:p w:rsidR="004E5913" w:rsidRPr="00990D3B" w:rsidP="00783315" w14:paraId="511DCB2C" w14:textId="16FB7FE8">
      <w:pPr>
        <w:pStyle w:val="H2EQRWorksheetlist2"/>
      </w:pPr>
      <w:r w:rsidRPr="00990D3B">
        <w:t xml:space="preserve">Does the state Medicaid or CHIP </w:t>
      </w:r>
      <w:r w:rsidRPr="00990D3B" w:rsidR="00C67AC8">
        <w:t xml:space="preserve">program </w:t>
      </w:r>
      <w:r w:rsidRPr="00990D3B">
        <w:t xml:space="preserve">require your MCP to screen Medicaid and CHIP </w:t>
      </w:r>
      <w:r w:rsidRPr="00990D3B">
        <w:t>enrollees</w:t>
      </w:r>
      <w:r w:rsidRPr="00990D3B">
        <w:t xml:space="preserve"> to identify those with special health care needs?</w:t>
      </w:r>
    </w:p>
    <w:p w:rsidR="004E5913" w:rsidRPr="00990D3B" w:rsidP="00783315" w14:paraId="7F08462D" w14:textId="4966AAF1">
      <w:pPr>
        <w:pStyle w:val="H2EQRWorksheetlist2"/>
      </w:pPr>
      <w:r w:rsidRPr="00990D3B">
        <w:t xml:space="preserve">How are individuals with special health care needs—including both individuals with special health care needs identified by this MCP and those identified by the state Medicaid or CHIP </w:t>
      </w:r>
      <w:r w:rsidRPr="00990D3B" w:rsidR="00C67AC8">
        <w:t xml:space="preserve">program </w:t>
      </w:r>
      <w:r w:rsidRPr="00990D3B">
        <w:t>or its agent—identified and tracked within your MCP?</w:t>
      </w:r>
    </w:p>
    <w:p w:rsidR="004E5913" w:rsidRPr="00990D3B" w:rsidP="00783315" w14:paraId="7B791B77" w14:textId="02B8BA38">
      <w:pPr>
        <w:pStyle w:val="H2EQRWorksheetlist2"/>
      </w:pPr>
      <w:r w:rsidRPr="00990D3B">
        <w:t xml:space="preserve">Does the state Medicaid </w:t>
      </w:r>
      <w:r w:rsidRPr="00990D3B" w:rsidR="00C67AC8">
        <w:t xml:space="preserve">program </w:t>
      </w:r>
      <w:r w:rsidRPr="00990D3B">
        <w:t xml:space="preserve">require your MCP to assess and provide treatment plans for Medicaid and CHIP </w:t>
      </w:r>
      <w:r w:rsidRPr="00990D3B">
        <w:t>enrollees</w:t>
      </w:r>
      <w:r w:rsidRPr="00990D3B">
        <w:t xml:space="preserve"> with special health care needs? If yes, how are these activities conducted?</w:t>
      </w:r>
    </w:p>
    <w:p w:rsidR="004E5913" w:rsidRPr="00990D3B" w:rsidP="00931617" w14:paraId="701F8C74" w14:textId="5C5F7D30">
      <w:pPr>
        <w:pStyle w:val="EQRNormalSSWORKSHEET"/>
        <w:rPr>
          <w:b/>
          <w:bCs/>
        </w:rPr>
      </w:pPr>
      <w:r w:rsidRPr="00990D3B">
        <w:rPr>
          <w:b/>
          <w:bCs/>
        </w:rPr>
        <w:t>Disenrollment (</w:t>
      </w:r>
      <w:r w:rsidRPr="00990D3B" w:rsidR="001C7FC0">
        <w:rPr>
          <w:b/>
          <w:bCs/>
        </w:rPr>
        <w:t>42 C.F.R.</w:t>
      </w:r>
      <w:r w:rsidRPr="00990D3B" w:rsidR="007854DF">
        <w:rPr>
          <w:b/>
          <w:bCs/>
        </w:rPr>
        <w:t xml:space="preserve"> </w:t>
      </w:r>
      <w:r w:rsidRPr="00990D3B">
        <w:rPr>
          <w:b/>
          <w:bCs/>
        </w:rPr>
        <w:t>438.56 and 457.1212)</w:t>
      </w:r>
    </w:p>
    <w:p w:rsidR="004E5913" w:rsidRPr="00990D3B" w:rsidP="007D7511" w14:paraId="055C3176" w14:textId="7362BBC6">
      <w:pPr>
        <w:pStyle w:val="H2EQRWorksheetlist2"/>
      </w:pPr>
      <w:r w:rsidRPr="00990D3B">
        <w:t>For what reasons may your MCP request the disenrollment of an enrollee?</w:t>
      </w:r>
    </w:p>
    <w:p w:rsidR="004E5913" w:rsidRPr="00990D3B" w:rsidP="00783315" w14:paraId="3CE21DF6" w14:textId="77777777">
      <w:pPr>
        <w:pStyle w:val="H2EQRWorksheetlist3"/>
      </w:pPr>
      <w:r w:rsidRPr="00990D3B">
        <w:t>Has your MCP requested to disenroll an enrollee for any other reason?</w:t>
      </w:r>
    </w:p>
    <w:p w:rsidR="004E5913" w:rsidRPr="00990D3B" w:rsidP="00783315" w14:paraId="49A432A5" w14:textId="77777777">
      <w:pPr>
        <w:pStyle w:val="H2EQRWorksheetlist2"/>
      </w:pPr>
      <w:r w:rsidRPr="00990D3B">
        <w:t>Is your MCP allowed to process enrollee disenrollment requests? If so, for what reasons have enrollees requested disenrollment?</w:t>
      </w:r>
    </w:p>
    <w:p w:rsidR="004E5913" w:rsidRPr="00990D3B" w:rsidP="00783315" w14:paraId="3B37BA56" w14:textId="199CECE9">
      <w:pPr>
        <w:pStyle w:val="H2EQRWorksheetlist2"/>
      </w:pPr>
      <w:r w:rsidRPr="00990D3B">
        <w:t>Are enrollees required to seek redress through your MCP’s grievance system before a disenrollment request is determined? If so, what time</w:t>
      </w:r>
      <w:r w:rsidRPr="00990D3B" w:rsidR="00566F1D">
        <w:t xml:space="preserve"> </w:t>
      </w:r>
      <w:r w:rsidRPr="00990D3B">
        <w:t xml:space="preserve">frames are used by your MCP to process those grievances? </w:t>
      </w:r>
    </w:p>
    <w:p w:rsidR="004E5913" w:rsidRPr="00990D3B" w:rsidP="00931617" w14:paraId="63F43946" w14:textId="4C16E13A">
      <w:pPr>
        <w:pStyle w:val="EQRNormalSSWORKSHEET"/>
        <w:rPr>
          <w:b/>
          <w:bCs/>
        </w:rPr>
      </w:pPr>
      <w:r w:rsidRPr="00990D3B">
        <w:rPr>
          <w:b/>
          <w:bCs/>
        </w:rPr>
        <w:t>Enrollee right to information (</w:t>
      </w:r>
      <w:r w:rsidRPr="00990D3B" w:rsidR="001C7FC0">
        <w:rPr>
          <w:b/>
          <w:bCs/>
        </w:rPr>
        <w:t>42 C.F.R.</w:t>
      </w:r>
      <w:r w:rsidRPr="00990D3B" w:rsidR="007854DF">
        <w:rPr>
          <w:b/>
          <w:bCs/>
        </w:rPr>
        <w:t xml:space="preserve"> </w:t>
      </w:r>
      <w:r w:rsidRPr="00990D3B">
        <w:rPr>
          <w:b/>
          <w:bCs/>
        </w:rPr>
        <w:t xml:space="preserve">438.100 and 457.1220; </w:t>
      </w:r>
      <w:r w:rsidRPr="00990D3B" w:rsidR="001C7FC0">
        <w:rPr>
          <w:b/>
          <w:bCs/>
        </w:rPr>
        <w:t>42 C.F.R.</w:t>
      </w:r>
      <w:r w:rsidRPr="00990D3B" w:rsidR="007854DF">
        <w:rPr>
          <w:b/>
          <w:bCs/>
        </w:rPr>
        <w:t xml:space="preserve"> </w:t>
      </w:r>
      <w:r w:rsidRPr="00990D3B">
        <w:rPr>
          <w:b/>
          <w:bCs/>
        </w:rPr>
        <w:t>438.10 and 457.1207)</w:t>
      </w:r>
    </w:p>
    <w:p w:rsidR="004E5913" w:rsidRPr="00990D3B" w:rsidP="007D7511" w14:paraId="2B462FF0" w14:textId="6C8541E3">
      <w:pPr>
        <w:pStyle w:val="H2EQRWorksheetlist2"/>
      </w:pPr>
      <w:r w:rsidRPr="00990D3B">
        <w:t>How does your MCP provide written notice of any change (that the state defines as “significant”) to the information contained in the enrollee handbook, at least 30 days before the intended effective date of the change?</w:t>
      </w:r>
    </w:p>
    <w:p w:rsidR="004E5913" w:rsidRPr="00990D3B" w:rsidP="00783315" w14:paraId="3EA9C72E" w14:textId="77777777">
      <w:pPr>
        <w:pStyle w:val="H2EQRWorksheetlist3"/>
      </w:pPr>
      <w:r w:rsidRPr="00990D3B">
        <w:t>How does the state define “significant”?</w:t>
      </w:r>
    </w:p>
    <w:p w:rsidR="004E5913" w:rsidRPr="00990D3B" w:rsidP="00783315" w14:paraId="124B0402" w14:textId="77777777">
      <w:pPr>
        <w:pStyle w:val="H2EQRWorksheetlist3"/>
      </w:pPr>
      <w:r w:rsidRPr="00990D3B">
        <w:t xml:space="preserve">Have you made any such “significant” changes in the last year? If yes, what were those changes? </w:t>
      </w:r>
    </w:p>
    <w:p w:rsidR="004E5913" w:rsidRPr="00990D3B" w:rsidP="00783315" w14:paraId="62E58176" w14:textId="77777777">
      <w:pPr>
        <w:pStyle w:val="H2EQRWorksheetlist2"/>
      </w:pPr>
      <w:r w:rsidRPr="00990D3B">
        <w:t>How do you ensure that your staff and affiliated providers comply with federal and state laws that apply to enrollee rights?</w:t>
      </w:r>
    </w:p>
    <w:p w:rsidR="004E5913" w:rsidRPr="00990D3B" w:rsidP="00783315" w14:paraId="19A489AD" w14:textId="77777777">
      <w:pPr>
        <w:pStyle w:val="H2EQRWorksheetlist2"/>
      </w:pPr>
      <w:r w:rsidRPr="00990D3B">
        <w:t xml:space="preserve">What information is routinely provided to Medicaid and CHIP </w:t>
      </w:r>
      <w:r w:rsidRPr="00990D3B">
        <w:t>enrollees</w:t>
      </w:r>
      <w:r w:rsidRPr="00990D3B">
        <w:t xml:space="preserve">?  </w:t>
      </w:r>
    </w:p>
    <w:p w:rsidR="004E5913" w:rsidRPr="00990D3B" w:rsidP="00783315" w14:paraId="58426459" w14:textId="77777777">
      <w:pPr>
        <w:pStyle w:val="H2EQRWorksheetlist3"/>
      </w:pPr>
      <w:r w:rsidRPr="00990D3B">
        <w:t xml:space="preserve">What is the process for disseminating information to new and existing </w:t>
      </w:r>
      <w:r w:rsidRPr="00990D3B">
        <w:t>enrollees</w:t>
      </w:r>
      <w:r w:rsidRPr="00990D3B">
        <w:t xml:space="preserve">?  </w:t>
      </w:r>
    </w:p>
    <w:p w:rsidR="004E5913" w:rsidRPr="00990D3B" w:rsidP="00783315" w14:paraId="06109482" w14:textId="77777777">
      <w:pPr>
        <w:pStyle w:val="H2EQRWorksheetlist3"/>
      </w:pPr>
      <w:r w:rsidRPr="00990D3B">
        <w:t xml:space="preserve">How often is information distributed to existing </w:t>
      </w:r>
      <w:r w:rsidRPr="00990D3B">
        <w:t>enrollees</w:t>
      </w:r>
      <w:r w:rsidRPr="00990D3B">
        <w:t xml:space="preserve">?  </w:t>
      </w:r>
    </w:p>
    <w:p w:rsidR="004E5913" w:rsidRPr="00990D3B" w:rsidP="00783315" w14:paraId="451E0177" w14:textId="77777777">
      <w:pPr>
        <w:pStyle w:val="H2EQRWorksheetlist3"/>
      </w:pPr>
      <w:r w:rsidRPr="00990D3B">
        <w:t>In what format is this information presented?</w:t>
      </w:r>
    </w:p>
    <w:p w:rsidR="004E5913" w:rsidRPr="00990D3B" w:rsidP="00783315" w14:paraId="2B2AFB96" w14:textId="77777777">
      <w:pPr>
        <w:pStyle w:val="H2EQRWorksheetlist2"/>
      </w:pPr>
      <w:r w:rsidRPr="00990D3B">
        <w:t>Please describe or provide copies of the formats in which information is presented to enrollees.</w:t>
      </w:r>
    </w:p>
    <w:p w:rsidR="004E5913" w:rsidRPr="00990D3B" w:rsidP="00783315" w14:paraId="2B027CAA" w14:textId="77777777">
      <w:pPr>
        <w:pStyle w:val="H2EQRWorksheetlist2"/>
      </w:pPr>
      <w:r w:rsidRPr="00990D3B">
        <w:t xml:space="preserve">In what languages or alternative formats are enrollee materials and information presented? If other languages or alternative formats are used, how was it determined that materials were needed in different languages or formats? </w:t>
      </w:r>
    </w:p>
    <w:p w:rsidR="004E5913" w:rsidRPr="00990D3B" w:rsidP="00783315" w14:paraId="19755110" w14:textId="77777777">
      <w:pPr>
        <w:pStyle w:val="H2EQRWorksheetlist2"/>
      </w:pPr>
      <w:r w:rsidRPr="00990D3B">
        <w:t>Does the MCP provide written materials in alternative formats for the visually impaired? If yes, how did the MCP determine that materials were needed for the visually impaired?</w:t>
      </w:r>
    </w:p>
    <w:p w:rsidR="004E5913" w:rsidRPr="00990D3B" w:rsidP="00783315" w14:paraId="44B39B58" w14:textId="77777777">
      <w:pPr>
        <w:pStyle w:val="H2EQRWorksheetlist2"/>
      </w:pPr>
      <w:r w:rsidRPr="00990D3B">
        <w:t>Please describe the procedures for handling calls to the MCP from non-English speaking enrollees.</w:t>
      </w:r>
    </w:p>
    <w:p w:rsidR="004E5913" w:rsidRPr="00990D3B" w:rsidP="00620F27" w14:paraId="395B5237" w14:textId="77777777">
      <w:pPr>
        <w:pStyle w:val="H2EQRWorksheetlist3"/>
      </w:pPr>
      <w:r w:rsidRPr="00990D3B">
        <w:t xml:space="preserve">What instruction or guidance is available for providers that may need interpretation assistance to provide care and services to assigned enrollees? </w:t>
      </w:r>
    </w:p>
    <w:p w:rsidR="004E5913" w:rsidRPr="00990D3B" w:rsidP="00783315" w14:paraId="7F6DDA40" w14:textId="77777777">
      <w:pPr>
        <w:pStyle w:val="H2EQRWorksheetlist2"/>
      </w:pPr>
      <w:r w:rsidRPr="00990D3B">
        <w:t xml:space="preserve">To what extent is the MCP responsible for responding to requests for information for potential Medicaid and CHIP enrollees? </w:t>
      </w:r>
    </w:p>
    <w:p w:rsidR="004E5913" w:rsidRPr="00990D3B" w:rsidP="00783315" w14:paraId="345AB406" w14:textId="77777777">
      <w:pPr>
        <w:pStyle w:val="H2EQRWorksheetlist2"/>
      </w:pPr>
      <w:r w:rsidRPr="00990D3B">
        <w:t>How does the MCP inform enrollees (and potential enrollees, if applicable) about how to obtain oral interpreter services if they have limited proficiency in English?</w:t>
      </w:r>
    </w:p>
    <w:p w:rsidR="004E5913" w:rsidRPr="00990D3B" w:rsidP="00783315" w14:paraId="16B91DE1" w14:textId="24CB3A0D">
      <w:pPr>
        <w:pStyle w:val="H2EQRWorksheetlist2"/>
      </w:pPr>
      <w:r w:rsidRPr="00990D3B">
        <w:t>Are there any benefits that an enrollee is entitled to under the Medicaid and CH</w:t>
      </w:r>
      <w:r w:rsidRPr="00990D3B" w:rsidR="0009399C">
        <w:t>I</w:t>
      </w:r>
      <w:r w:rsidRPr="00990D3B">
        <w:t xml:space="preserve">P program, including LTSS benefits, but that are not made available through the MCP contract? If yes, what are those benefits? How are </w:t>
      </w:r>
      <w:r w:rsidRPr="00990D3B">
        <w:t>enrollees</w:t>
      </w:r>
      <w:r w:rsidRPr="00990D3B">
        <w:t xml:space="preserve"> made aware of the Medicaid and CHIP program benefits that are outside the scope of services available through the MCP?</w:t>
      </w:r>
    </w:p>
    <w:p w:rsidR="004E5913" w:rsidRPr="00990D3B" w:rsidP="00783315" w14:paraId="56BBF018" w14:textId="77777777">
      <w:pPr>
        <w:pStyle w:val="H2EQRWorksheetlist2"/>
      </w:pPr>
      <w:r w:rsidRPr="00990D3B">
        <w:t>How does the MCP ascertain the primary language spoken by the individual Medicaid and CHIP enrollees?</w:t>
      </w:r>
    </w:p>
    <w:p w:rsidR="004E5913" w:rsidRPr="00990D3B" w:rsidP="00783315" w14:paraId="02F69AC5" w14:textId="77777777">
      <w:pPr>
        <w:pStyle w:val="H2EQRWorksheetlist2"/>
      </w:pPr>
      <w:r w:rsidRPr="00990D3B">
        <w:t>Are enrollees provided with</w:t>
      </w:r>
      <w:r w:rsidRPr="00990D3B">
        <w:t xml:space="preserve"> a listing of primary care providers? If yes, does this listing include providers’ non-English language capabilities?</w:t>
      </w:r>
    </w:p>
    <w:p w:rsidR="004E5913" w:rsidRPr="00990D3B" w:rsidP="00783315" w14:paraId="499C2712" w14:textId="77777777">
      <w:pPr>
        <w:pStyle w:val="H2EQRWorksheetlist2"/>
      </w:pPr>
      <w:r w:rsidRPr="00990D3B">
        <w:t>Does the MCP give written notice of the termination of a contracted provider to enrollees who receive primary care from, or are seen on a regular basis by, the terminated providers? If yes, how is this accomplished? Have you had to make any such notifications in the last year?</w:t>
      </w:r>
    </w:p>
    <w:p w:rsidR="004E5913" w:rsidRPr="00990D3B" w:rsidP="00783315" w14:paraId="0693BD87" w14:textId="77777777">
      <w:pPr>
        <w:pStyle w:val="H2EQRWorksheetlist2"/>
      </w:pPr>
      <w:r w:rsidRPr="00990D3B">
        <w:t>How does the MCP ensure that information and instructional materials intended for enrollees and potential enrollees are easily understood by those with a variety of cognitive and intellectual capabilities?</w:t>
      </w:r>
    </w:p>
    <w:p w:rsidR="004E5913" w:rsidRPr="00990D3B" w:rsidP="00783315" w14:paraId="6CDAA24E" w14:textId="77777777">
      <w:pPr>
        <w:pStyle w:val="H2EQRWorksheetlist2"/>
      </w:pPr>
      <w:r w:rsidRPr="00990D3B">
        <w:t>How does the MCP provide its enrollees information about provider appeal rights regarding coverage of a service?</w:t>
      </w:r>
    </w:p>
    <w:p w:rsidR="004E5913" w:rsidRPr="00990D3B" w:rsidP="00783315" w14:paraId="1A91885E" w14:textId="77777777">
      <w:pPr>
        <w:pStyle w:val="H2EQRWorksheetlist2"/>
      </w:pPr>
      <w:r w:rsidRPr="00990D3B">
        <w:t>Does the MCP provide information to providers on where to refer enrollees who are having difficulty understanding the materials that have been provided to them by the MCP?</w:t>
      </w:r>
    </w:p>
    <w:p w:rsidR="004E5913" w:rsidRPr="00990D3B" w:rsidP="00783315" w14:paraId="5C2945B4" w14:textId="77777777">
      <w:pPr>
        <w:pStyle w:val="H2EQRWorksheetlist2"/>
      </w:pPr>
      <w:r w:rsidRPr="00990D3B">
        <w:t xml:space="preserve">What protocols does the MCP follow to develop materials that are readily understandable by enrollees? </w:t>
      </w:r>
    </w:p>
    <w:p w:rsidR="004E5913" w:rsidRPr="00990D3B" w:rsidP="00783315" w14:paraId="3663F623" w14:textId="77777777">
      <w:pPr>
        <w:pStyle w:val="H2EQRWorksheetlist2"/>
      </w:pPr>
      <w:r w:rsidRPr="00990D3B">
        <w:t>Does the MCP require providers to have access to oral interpreter services?</w:t>
      </w:r>
    </w:p>
    <w:p w:rsidR="004E5913" w:rsidRPr="00990D3B" w:rsidP="00783315" w14:paraId="33E67E33" w14:textId="77777777">
      <w:pPr>
        <w:pStyle w:val="H2EQRWorksheetlist2"/>
      </w:pPr>
      <w:r w:rsidRPr="00990D3B">
        <w:t xml:space="preserve">Does the MCP provide providers with guidance or assistance in accessing interpreter services if necessary? </w:t>
      </w:r>
    </w:p>
    <w:p w:rsidR="004E5913" w:rsidRPr="00990D3B" w:rsidP="00931617" w14:paraId="2C842A11" w14:textId="739D1FA7">
      <w:pPr>
        <w:pStyle w:val="EQRNormalSSWORKSHEET"/>
        <w:rPr>
          <w:b/>
          <w:bCs/>
        </w:rPr>
      </w:pPr>
      <w:r w:rsidRPr="00990D3B">
        <w:rPr>
          <w:b/>
          <w:bCs/>
        </w:rPr>
        <w:t>Enrollee</w:t>
      </w:r>
      <w:r w:rsidRPr="00990D3B">
        <w:rPr>
          <w:b/>
          <w:bCs/>
        </w:rPr>
        <w:t xml:space="preserve"> right to respect, dignity, privacy (</w:t>
      </w:r>
      <w:r w:rsidRPr="00990D3B" w:rsidR="001C7FC0">
        <w:rPr>
          <w:b/>
          <w:bCs/>
        </w:rPr>
        <w:t>42 C.F.R.</w:t>
      </w:r>
      <w:r w:rsidRPr="00990D3B" w:rsidR="007854DF">
        <w:rPr>
          <w:b/>
          <w:bCs/>
        </w:rPr>
        <w:t xml:space="preserve"> </w:t>
      </w:r>
      <w:r w:rsidRPr="00990D3B">
        <w:rPr>
          <w:b/>
          <w:bCs/>
        </w:rPr>
        <w:t>438.100</w:t>
      </w:r>
      <w:r w:rsidRPr="00990D3B" w:rsidR="00EE29E0">
        <w:rPr>
          <w:b/>
          <w:bCs/>
        </w:rPr>
        <w:t xml:space="preserve"> and</w:t>
      </w:r>
      <w:r w:rsidRPr="00990D3B">
        <w:rPr>
          <w:b/>
          <w:bCs/>
        </w:rPr>
        <w:t xml:space="preserve"> 457.1220</w:t>
      </w:r>
      <w:r w:rsidRPr="00990D3B" w:rsidR="00EE29E0">
        <w:rPr>
          <w:b/>
          <w:bCs/>
        </w:rPr>
        <w:t xml:space="preserve">; and 438.224 and </w:t>
      </w:r>
      <w:r w:rsidRPr="00990D3B" w:rsidR="00FC6D19">
        <w:rPr>
          <w:b/>
          <w:bCs/>
        </w:rPr>
        <w:t>457.1233(e)</w:t>
      </w:r>
      <w:r w:rsidRPr="00990D3B" w:rsidR="00EE29E0">
        <w:rPr>
          <w:b/>
          <w:bCs/>
        </w:rPr>
        <w:t>)</w:t>
      </w:r>
      <w:r w:rsidRPr="00990D3B">
        <w:rPr>
          <w:b/>
          <w:bCs/>
        </w:rPr>
        <w:t>)</w:t>
      </w:r>
    </w:p>
    <w:p w:rsidR="004E5913" w:rsidRPr="00990D3B" w:rsidP="007D7511" w14:paraId="654EA936" w14:textId="52206D8E">
      <w:pPr>
        <w:pStyle w:val="H2EQRWorksheetlist2"/>
      </w:pPr>
      <w:r w:rsidRPr="00990D3B">
        <w:t xml:space="preserve">How does the MCP ensure that its own facilities and those of its affiliated providers comply with enrollee rights such as treatment with respect, dignity, and consideration for privacy and confidentiality of information? Please provide an </w:t>
      </w:r>
      <w:r w:rsidRPr="00990D3B">
        <w:t>example?</w:t>
      </w:r>
      <w:r w:rsidRPr="00990D3B">
        <w:t xml:space="preserve"> </w:t>
      </w:r>
    </w:p>
    <w:p w:rsidR="004E5913" w:rsidRPr="00990D3B" w:rsidP="00962E83" w14:paraId="15BE710F" w14:textId="77777777">
      <w:pPr>
        <w:pStyle w:val="H2EQRWorksheetlist3"/>
      </w:pPr>
      <w:r w:rsidRPr="00990D3B">
        <w:t xml:space="preserve">Are there any additional considerations made for providers of LTSS, or other specialized providers, where services may be of a more intimate nature or occur in a more isolated setting? Please provide an </w:t>
      </w:r>
      <w:r w:rsidRPr="00990D3B">
        <w:t>example?</w:t>
      </w:r>
    </w:p>
    <w:p w:rsidR="004E5913" w:rsidRPr="00990D3B" w:rsidP="00FA7680" w14:paraId="46040A44" w14:textId="77777777">
      <w:pPr>
        <w:pStyle w:val="H2EQRWorksheetlist2"/>
      </w:pPr>
      <w:r w:rsidRPr="00990D3B">
        <w:t>What processes are in place to ensure that staff members observe the MCP’s policies and procedures on privacy and confidentiality of enrollee information?</w:t>
      </w:r>
    </w:p>
    <w:p w:rsidR="004E5913" w:rsidRPr="00990D3B" w:rsidP="00FA7680" w14:paraId="240AA6ED" w14:textId="77777777">
      <w:pPr>
        <w:pStyle w:val="H2EQRWorksheetlist2"/>
      </w:pPr>
      <w:r w:rsidRPr="00990D3B">
        <w:t xml:space="preserve">What does the MCP do to educate staff about policies on nondiscriminatory and culturally appropriate behavior towards enrollees? </w:t>
      </w:r>
    </w:p>
    <w:p w:rsidR="004E5913" w:rsidRPr="00990D3B" w:rsidP="00FA7680" w14:paraId="47B28BDE" w14:textId="77777777">
      <w:pPr>
        <w:pStyle w:val="H2EQRWorksheetlist3"/>
      </w:pPr>
      <w:r w:rsidRPr="00990D3B">
        <w:t>How do you monitor staff compliance with these policies?</w:t>
      </w:r>
    </w:p>
    <w:p w:rsidR="004E5913" w:rsidRPr="00990D3B" w:rsidP="00093B84" w14:paraId="27AC9F36" w14:textId="20FCE3B1">
      <w:pPr>
        <w:pStyle w:val="EQRNormalSSWORKSHEET"/>
        <w:keepNext/>
        <w:rPr>
          <w:rFonts w:cs="Arial"/>
          <w:b/>
          <w:bCs/>
        </w:rPr>
      </w:pPr>
      <w:r w:rsidRPr="00990D3B">
        <w:rPr>
          <w:b/>
          <w:bCs/>
        </w:rPr>
        <w:t>Enrollee right to receive information on available treatment options (</w:t>
      </w:r>
      <w:r w:rsidRPr="00990D3B" w:rsidR="001C7FC0">
        <w:rPr>
          <w:b/>
          <w:bCs/>
        </w:rPr>
        <w:t>42 C.F.R.</w:t>
      </w:r>
      <w:r w:rsidRPr="00990D3B" w:rsidR="007854DF">
        <w:rPr>
          <w:b/>
          <w:bCs/>
        </w:rPr>
        <w:t xml:space="preserve"> </w:t>
      </w:r>
      <w:r w:rsidRPr="00990D3B">
        <w:rPr>
          <w:b/>
          <w:bCs/>
        </w:rPr>
        <w:t xml:space="preserve">438.100, 438.102; and </w:t>
      </w:r>
      <w:r w:rsidRPr="00990D3B" w:rsidR="001C7FC0">
        <w:rPr>
          <w:b/>
          <w:bCs/>
        </w:rPr>
        <w:t>42 C.F.R.</w:t>
      </w:r>
      <w:r w:rsidRPr="00990D3B">
        <w:rPr>
          <w:rFonts w:cs="Arial"/>
          <w:b/>
          <w:bCs/>
        </w:rPr>
        <w:t xml:space="preserve"> </w:t>
      </w:r>
      <w:r w:rsidRPr="00990D3B">
        <w:rPr>
          <w:b/>
          <w:bCs/>
        </w:rPr>
        <w:t>457</w:t>
      </w:r>
      <w:r w:rsidRPr="00990D3B">
        <w:rPr>
          <w:rFonts w:cs="Arial"/>
          <w:b/>
          <w:bCs/>
        </w:rPr>
        <w:t>.1220 and 457.1222)</w:t>
      </w:r>
    </w:p>
    <w:p w:rsidR="004E5913" w:rsidRPr="00990D3B" w:rsidP="00013697" w14:paraId="2464B31C" w14:textId="4C0CC036">
      <w:pPr>
        <w:pStyle w:val="H2EQRWorksheetlist2"/>
      </w:pPr>
      <w:r w:rsidRPr="00990D3B">
        <w:t xml:space="preserve">How does the MCP ensure that providers share information on available treatment options and alternatives with enrollees?  </w:t>
      </w:r>
    </w:p>
    <w:p w:rsidR="004E5913" w:rsidRPr="00990D3B" w:rsidP="00D32D5C" w14:paraId="46380081" w14:textId="77777777">
      <w:pPr>
        <w:pStyle w:val="H2EQRWorksheetlist3"/>
      </w:pPr>
      <w:r w:rsidRPr="00990D3B">
        <w:t xml:space="preserve">Does this include alternatives and options that are both within and outside the Medicaid or CHIP contract scope of benefits?  </w:t>
      </w:r>
    </w:p>
    <w:p w:rsidR="004E5913" w:rsidRPr="00990D3B" w:rsidP="00D32D5C" w14:paraId="6D782BB4" w14:textId="77777777">
      <w:pPr>
        <w:pStyle w:val="H2EQRWorksheetlist3"/>
      </w:pPr>
      <w:r w:rsidRPr="00990D3B">
        <w:t xml:space="preserve">How does the MCP ensure providers share information about HCBS as alternatives to institutional care? </w:t>
      </w:r>
    </w:p>
    <w:p w:rsidR="004E5913" w:rsidRPr="00990D3B" w:rsidP="00712B2F" w14:paraId="3631863D" w14:textId="77777777">
      <w:pPr>
        <w:pStyle w:val="H2EQRWorksheetlist2"/>
      </w:pPr>
      <w:r w:rsidRPr="00990D3B">
        <w:t>What steps does the MCP take to ensure that enrollees receive information on available treatment options and alternatives in a manner appropriate to their condition and ability to understand?</w:t>
      </w:r>
    </w:p>
    <w:p w:rsidR="004E5913" w:rsidRPr="00990D3B" w:rsidP="000C52B6" w14:paraId="24F790BA" w14:textId="45469A58">
      <w:pPr>
        <w:pStyle w:val="EQRNormalSSWORKSHEET"/>
        <w:rPr>
          <w:rFonts w:cs="Arial"/>
          <w:b/>
          <w:bCs/>
        </w:rPr>
      </w:pPr>
      <w:r w:rsidRPr="00990D3B">
        <w:rPr>
          <w:rFonts w:cs="Arial"/>
          <w:b/>
          <w:bCs/>
        </w:rPr>
        <w:t xml:space="preserve">Enrollee right to participate in decisions regarding his/her health care and </w:t>
      </w:r>
      <w:r w:rsidRPr="00990D3B">
        <w:rPr>
          <w:rFonts w:cs="Arial"/>
          <w:b/>
          <w:bCs/>
        </w:rPr>
        <w:t>advance</w:t>
      </w:r>
      <w:r w:rsidRPr="00990D3B">
        <w:rPr>
          <w:rFonts w:cs="Arial"/>
          <w:b/>
          <w:bCs/>
        </w:rPr>
        <w:t xml:space="preserve"> directives (</w:t>
      </w:r>
      <w:r w:rsidRPr="00990D3B" w:rsidR="001C7FC0">
        <w:rPr>
          <w:rFonts w:cs="Arial"/>
          <w:b/>
          <w:bCs/>
        </w:rPr>
        <w:t>42 C.F.R.</w:t>
      </w:r>
      <w:r w:rsidRPr="00990D3B" w:rsidR="007854DF">
        <w:rPr>
          <w:rFonts w:cs="Arial"/>
          <w:b/>
          <w:bCs/>
        </w:rPr>
        <w:t xml:space="preserve"> </w:t>
      </w:r>
      <w:r w:rsidRPr="00990D3B">
        <w:rPr>
          <w:rFonts w:cs="Arial"/>
          <w:b/>
          <w:bCs/>
        </w:rPr>
        <w:t xml:space="preserve">438.100 and </w:t>
      </w:r>
      <w:r w:rsidRPr="00990D3B" w:rsidR="001C7FC0">
        <w:rPr>
          <w:rFonts w:cs="Arial"/>
          <w:b/>
          <w:bCs/>
        </w:rPr>
        <w:t>42 C.F.R.</w:t>
      </w:r>
      <w:r w:rsidRPr="00990D3B" w:rsidR="007854DF">
        <w:rPr>
          <w:rFonts w:cs="Arial"/>
          <w:b/>
          <w:bCs/>
        </w:rPr>
        <w:t xml:space="preserve"> </w:t>
      </w:r>
      <w:r w:rsidRPr="00990D3B">
        <w:rPr>
          <w:rFonts w:cs="Arial"/>
          <w:b/>
          <w:bCs/>
        </w:rPr>
        <w:t xml:space="preserve">438.6; </w:t>
      </w:r>
      <w:r w:rsidRPr="00990D3B" w:rsidR="001C7FC0">
        <w:rPr>
          <w:rFonts w:cs="Arial"/>
          <w:b/>
          <w:bCs/>
        </w:rPr>
        <w:t>42 C.F.R.</w:t>
      </w:r>
      <w:r w:rsidRPr="00990D3B" w:rsidR="007854DF">
        <w:rPr>
          <w:rFonts w:cs="Arial"/>
          <w:b/>
          <w:bCs/>
        </w:rPr>
        <w:t xml:space="preserve"> </w:t>
      </w:r>
      <w:r w:rsidRPr="00990D3B">
        <w:rPr>
          <w:rFonts w:cs="Arial"/>
          <w:b/>
          <w:bCs/>
        </w:rPr>
        <w:t>457.1220)</w:t>
      </w:r>
    </w:p>
    <w:p w:rsidR="004E5913" w:rsidRPr="00990D3B" w:rsidP="00013697" w14:paraId="4877FCBF" w14:textId="5958E970">
      <w:pPr>
        <w:pStyle w:val="H2EQRWorksheetlist2"/>
      </w:pPr>
      <w:r w:rsidRPr="00990D3B">
        <w:t xml:space="preserve">How does the MCP facilitate enrollee participation in care and treatment decisions? Please describe. Could you provide an example? </w:t>
      </w:r>
    </w:p>
    <w:p w:rsidR="004E5913" w:rsidRPr="00990D3B" w:rsidP="00712B2F" w14:paraId="3E2808AC" w14:textId="77777777">
      <w:pPr>
        <w:pStyle w:val="H2EQRWorksheetlist2"/>
      </w:pPr>
      <w:r w:rsidRPr="00990D3B">
        <w:t xml:space="preserve">Does the MCP have any limitations in implementing federal and state laws that apply to advance directives?  If so, what are these limitations? </w:t>
      </w:r>
    </w:p>
    <w:p w:rsidR="004E5913" w:rsidRPr="00990D3B" w:rsidP="000C52B6" w14:paraId="20E18DCC" w14:textId="7FFE9AC1">
      <w:pPr>
        <w:pStyle w:val="EQRNormalSSWORKSHEET"/>
        <w:rPr>
          <w:rFonts w:cs="Arial"/>
          <w:b/>
          <w:bCs/>
        </w:rPr>
      </w:pPr>
      <w:r w:rsidRPr="00990D3B">
        <w:rPr>
          <w:rFonts w:cs="Arial"/>
          <w:b/>
          <w:bCs/>
        </w:rPr>
        <w:t>Enrollee rights (</w:t>
      </w:r>
      <w:r w:rsidRPr="00990D3B" w:rsidR="001C7FC0">
        <w:rPr>
          <w:rFonts w:cs="Arial"/>
          <w:b/>
          <w:bCs/>
        </w:rPr>
        <w:t>42 C.F.R.</w:t>
      </w:r>
      <w:r w:rsidRPr="00990D3B" w:rsidR="007854DF">
        <w:rPr>
          <w:rFonts w:cs="Arial"/>
          <w:b/>
          <w:bCs/>
        </w:rPr>
        <w:t xml:space="preserve"> </w:t>
      </w:r>
      <w:r w:rsidRPr="00990D3B">
        <w:rPr>
          <w:rFonts w:cs="Arial"/>
          <w:b/>
          <w:bCs/>
        </w:rPr>
        <w:t xml:space="preserve">438.10 and 457.1207) and </w:t>
      </w:r>
      <w:r w:rsidRPr="00990D3B" w:rsidR="0009399C">
        <w:rPr>
          <w:rFonts w:cs="Arial"/>
          <w:b/>
          <w:bCs/>
        </w:rPr>
        <w:t>e</w:t>
      </w:r>
      <w:r w:rsidRPr="00990D3B">
        <w:rPr>
          <w:rFonts w:cs="Arial"/>
          <w:b/>
          <w:bCs/>
        </w:rPr>
        <w:t>nrollee information (</w:t>
      </w:r>
      <w:r w:rsidRPr="00990D3B" w:rsidR="001C7FC0">
        <w:rPr>
          <w:rFonts w:cs="Arial"/>
          <w:b/>
          <w:bCs/>
        </w:rPr>
        <w:t>42 C.F.R.</w:t>
      </w:r>
      <w:r w:rsidRPr="00990D3B" w:rsidR="007854DF">
        <w:rPr>
          <w:rFonts w:cs="Arial"/>
          <w:b/>
          <w:bCs/>
        </w:rPr>
        <w:t xml:space="preserve"> </w:t>
      </w:r>
      <w:r w:rsidRPr="00990D3B">
        <w:rPr>
          <w:rFonts w:cs="Arial"/>
          <w:b/>
          <w:bCs/>
        </w:rPr>
        <w:t xml:space="preserve">438.100 and 457.1220, and </w:t>
      </w:r>
      <w:r w:rsidRPr="00990D3B" w:rsidR="001C7FC0">
        <w:rPr>
          <w:rFonts w:cs="Arial"/>
          <w:b/>
          <w:bCs/>
        </w:rPr>
        <w:t>42 C.F.R.</w:t>
      </w:r>
      <w:r w:rsidRPr="00990D3B" w:rsidR="007854DF">
        <w:rPr>
          <w:rFonts w:cs="Arial"/>
          <w:b/>
          <w:bCs/>
        </w:rPr>
        <w:t xml:space="preserve"> </w:t>
      </w:r>
      <w:r w:rsidRPr="00990D3B">
        <w:rPr>
          <w:rFonts w:cs="Arial"/>
          <w:b/>
          <w:bCs/>
        </w:rPr>
        <w:t>438.206-210 and 457.1230(a–d))</w:t>
      </w:r>
    </w:p>
    <w:p w:rsidR="004E5913" w:rsidRPr="00990D3B" w:rsidP="00013697" w14:paraId="08098063" w14:textId="75749F39">
      <w:pPr>
        <w:pStyle w:val="H2EQRWorksheetlist2"/>
      </w:pPr>
      <w:r w:rsidRPr="00990D3B">
        <w:t>Does the MCP provide information to providers on where to refer enrollees who are having difficulty understanding the materials that have been provided to them by the MCP?</w:t>
      </w:r>
    </w:p>
    <w:p w:rsidR="004E5913" w:rsidRPr="00990D3B" w:rsidP="00712B2F" w14:paraId="6F8F0F0F" w14:textId="77777777">
      <w:pPr>
        <w:pStyle w:val="H2EQRWorksheetlist2"/>
        <w:rPr>
          <w:b/>
        </w:rPr>
      </w:pPr>
      <w:r w:rsidRPr="00990D3B">
        <w:t>What protocols does the MCP follow to develop materials that are readily understandable by enrollees?</w:t>
      </w:r>
    </w:p>
    <w:p w:rsidR="004E5913" w:rsidRPr="00990D3B" w:rsidP="00712B2F" w14:paraId="5E419C06" w14:textId="77777777">
      <w:pPr>
        <w:pStyle w:val="H2EQRWorksheetlist2"/>
        <w:rPr>
          <w:b/>
        </w:rPr>
      </w:pPr>
      <w:r w:rsidRPr="00990D3B">
        <w:t xml:space="preserve">Does the MCP require providers to have access to oral interpreter services?  </w:t>
      </w:r>
    </w:p>
    <w:p w:rsidR="004E5913" w:rsidRPr="00990D3B" w:rsidP="00712B2F" w14:paraId="160B6979" w14:textId="77777777">
      <w:pPr>
        <w:pStyle w:val="H2EQRWorksheetlist2"/>
        <w:rPr>
          <w:b/>
        </w:rPr>
      </w:pPr>
      <w:r w:rsidRPr="00990D3B">
        <w:t>Does the MCP provide providers with guidance or assistance is accessing interpreter services if necessary?</w:t>
      </w:r>
    </w:p>
    <w:p w:rsidR="004E5913" w:rsidRPr="00990D3B" w:rsidP="000C52B6" w14:paraId="4EDA11E2" w14:textId="14B6ED4A">
      <w:pPr>
        <w:pStyle w:val="EQRNormalSSWORKSHEET"/>
        <w:rPr>
          <w:rFonts w:cs="Arial"/>
          <w:b/>
          <w:bCs/>
        </w:rPr>
      </w:pPr>
      <w:r w:rsidRPr="00990D3B">
        <w:rPr>
          <w:rFonts w:cs="Arial"/>
          <w:b/>
          <w:bCs/>
        </w:rPr>
        <w:t xml:space="preserve">Compliance with other </w:t>
      </w:r>
      <w:r w:rsidRPr="00990D3B" w:rsidR="0009399C">
        <w:rPr>
          <w:rFonts w:cs="Arial"/>
          <w:b/>
          <w:bCs/>
        </w:rPr>
        <w:t>F</w:t>
      </w:r>
      <w:r w:rsidRPr="00990D3B">
        <w:rPr>
          <w:rFonts w:cs="Arial"/>
          <w:b/>
          <w:bCs/>
        </w:rPr>
        <w:t>ederal and state laws (</w:t>
      </w:r>
      <w:r w:rsidRPr="00990D3B" w:rsidR="001C7FC0">
        <w:rPr>
          <w:rFonts w:cs="Arial"/>
          <w:b/>
          <w:bCs/>
        </w:rPr>
        <w:t>42 C.F.R.</w:t>
      </w:r>
      <w:r w:rsidRPr="00990D3B" w:rsidR="007854DF">
        <w:rPr>
          <w:rFonts w:cs="Arial"/>
          <w:b/>
          <w:bCs/>
        </w:rPr>
        <w:t xml:space="preserve"> </w:t>
      </w:r>
      <w:r w:rsidRPr="00990D3B">
        <w:rPr>
          <w:rFonts w:cs="Arial"/>
          <w:b/>
          <w:bCs/>
        </w:rPr>
        <w:t xml:space="preserve">438.100 and 457.1220, and </w:t>
      </w:r>
      <w:r w:rsidRPr="00990D3B" w:rsidR="001C7FC0">
        <w:rPr>
          <w:rFonts w:cs="Arial"/>
          <w:b/>
          <w:bCs/>
        </w:rPr>
        <w:t>42 C.F.R.</w:t>
      </w:r>
      <w:r w:rsidRPr="00990D3B" w:rsidR="007854DF">
        <w:rPr>
          <w:rFonts w:cs="Arial"/>
          <w:b/>
          <w:bCs/>
        </w:rPr>
        <w:t xml:space="preserve"> </w:t>
      </w:r>
      <w:r w:rsidRPr="00990D3B">
        <w:rPr>
          <w:rFonts w:cs="Arial"/>
          <w:b/>
          <w:bCs/>
        </w:rPr>
        <w:t>438.206-210 and 457.1230(a–d))</w:t>
      </w:r>
    </w:p>
    <w:p w:rsidR="004E5913" w:rsidRPr="00990D3B" w:rsidP="00013697" w14:paraId="1EECFD85" w14:textId="5EA11A93">
      <w:pPr>
        <w:pStyle w:val="H2EQRWorksheetlist2"/>
      </w:pPr>
      <w:r w:rsidRPr="00990D3B">
        <w:t>What steps do MCP leaders take to ensure compliance with federal and state laws on enrollee rights?</w:t>
      </w:r>
    </w:p>
    <w:p w:rsidR="004E5913" w:rsidRPr="00990D3B" w:rsidP="00712B2F" w14:paraId="04C698CF" w14:textId="77777777">
      <w:pPr>
        <w:pStyle w:val="H2EQRWorksheetlist2"/>
      </w:pPr>
      <w:r w:rsidRPr="00990D3B">
        <w:t>Has the MCP ever been found non-compliant with any federal and state laws on enrollee rights? If yes, in what area? What steps were taken to clear the violation?</w:t>
      </w:r>
    </w:p>
    <w:p w:rsidR="004E5913" w:rsidRPr="00990D3B" w:rsidP="00712B2F" w14:paraId="51E0E73C" w14:textId="77777777">
      <w:pPr>
        <w:pStyle w:val="H2EQRWorksheetlist2"/>
      </w:pPr>
      <w:r w:rsidRPr="00990D3B">
        <w:t>If a provider/contractor/sub-contractor is found to be in violation of any federal and state laws on enrollee rights, how does the MCP respond?</w:t>
      </w:r>
    </w:p>
    <w:p w:rsidR="004E5913" w:rsidRPr="00990D3B" w:rsidP="00712B2F" w14:paraId="3C13BED1" w14:textId="77777777">
      <w:pPr>
        <w:pStyle w:val="H2EQRWorksheetlist2"/>
      </w:pPr>
      <w:r w:rsidRPr="00990D3B">
        <w:t xml:space="preserve">To what extent does the MCP orient new staff to federal and state laws on enrollee rights that must be observed during day-to-day operations?  </w:t>
      </w:r>
    </w:p>
    <w:p w:rsidR="004E5913" w:rsidRPr="00990D3B" w:rsidP="00D32D5C" w14:paraId="5C8C1F7B" w14:textId="77777777">
      <w:pPr>
        <w:pStyle w:val="H2EQRWorksheetlist3"/>
      </w:pPr>
      <w:r w:rsidRPr="00990D3B">
        <w:t>How does the MCP remind staff of the importance of observing these laws during interactions with other employees and with enrollees?</w:t>
      </w:r>
    </w:p>
    <w:p w:rsidR="004E5913" w:rsidRPr="00990D3B" w:rsidP="00712B2F" w14:paraId="06A09D6F" w14:textId="77777777">
      <w:pPr>
        <w:pStyle w:val="H2EQRWorksheetlist2"/>
      </w:pPr>
      <w:r w:rsidRPr="00990D3B">
        <w:t xml:space="preserve">Please describe the steps taken by the MCP when staff </w:t>
      </w:r>
      <w:r w:rsidRPr="00990D3B">
        <w:t>report, or</w:t>
      </w:r>
      <w:r w:rsidRPr="00990D3B">
        <w:t xml:space="preserve"> are involved in a violation of federal or state laws on enrollee rights. </w:t>
      </w:r>
    </w:p>
    <w:p w:rsidR="004E5913" w:rsidRPr="00990D3B" w:rsidP="00712B2F" w14:paraId="5AC46671" w14:textId="21056B34">
      <w:pPr>
        <w:pStyle w:val="EQRNormalSSWORKSHEET"/>
        <w:keepNext/>
        <w:rPr>
          <w:rFonts w:cs="Arial"/>
          <w:b/>
          <w:bCs/>
        </w:rPr>
      </w:pPr>
      <w:r w:rsidRPr="00990D3B">
        <w:rPr>
          <w:rFonts w:cs="Arial"/>
          <w:b/>
          <w:bCs/>
        </w:rPr>
        <w:t>Coverage and authorization of services, including emergency and post-stabilization services (</w:t>
      </w:r>
      <w:r w:rsidRPr="00990D3B" w:rsidR="001C7FC0">
        <w:rPr>
          <w:rFonts w:cs="Arial"/>
          <w:b/>
          <w:bCs/>
        </w:rPr>
        <w:t>42 C.F.R.</w:t>
      </w:r>
      <w:r w:rsidRPr="00990D3B" w:rsidR="007854DF">
        <w:rPr>
          <w:rFonts w:cs="Arial"/>
          <w:b/>
          <w:bCs/>
        </w:rPr>
        <w:t xml:space="preserve"> </w:t>
      </w:r>
      <w:r w:rsidRPr="00990D3B">
        <w:rPr>
          <w:rFonts w:cs="Arial"/>
          <w:b/>
          <w:bCs/>
        </w:rPr>
        <w:t xml:space="preserve">438.210 and 457.1230(d) and </w:t>
      </w:r>
      <w:r w:rsidRPr="00990D3B" w:rsidR="001C7FC0">
        <w:rPr>
          <w:rFonts w:cs="Arial"/>
          <w:b/>
          <w:bCs/>
        </w:rPr>
        <w:t>42 C.F.R.</w:t>
      </w:r>
      <w:r w:rsidRPr="00990D3B" w:rsidR="007854DF">
        <w:rPr>
          <w:rFonts w:cs="Arial"/>
          <w:b/>
          <w:bCs/>
        </w:rPr>
        <w:t xml:space="preserve"> </w:t>
      </w:r>
      <w:r w:rsidRPr="00990D3B">
        <w:rPr>
          <w:rFonts w:cs="Arial"/>
          <w:b/>
          <w:bCs/>
        </w:rPr>
        <w:t>438.114 and 457.1228)</w:t>
      </w:r>
    </w:p>
    <w:p w:rsidR="004E5913" w:rsidRPr="00990D3B" w:rsidP="00013697" w14:paraId="3B9AE2F4" w14:textId="77935AAF">
      <w:pPr>
        <w:pStyle w:val="H2EQRWorksheetlist2"/>
      </w:pPr>
      <w:r w:rsidRPr="00990D3B">
        <w:t xml:space="preserve">What </w:t>
      </w:r>
      <w:r w:rsidRPr="00990D3B">
        <w:t>percent</w:t>
      </w:r>
      <w:r w:rsidRPr="00990D3B">
        <w:t xml:space="preserve"> of emergency department care utilized by your Medicaid and CHIP enrollees is for non-urgent care? </w:t>
      </w:r>
    </w:p>
    <w:p w:rsidR="004E5913" w:rsidRPr="00990D3B" w:rsidP="00712B2F" w14:paraId="400185AE" w14:textId="77777777">
      <w:pPr>
        <w:pStyle w:val="H2EQRWorksheetlist2"/>
        <w:rPr>
          <w:b/>
        </w:rPr>
      </w:pPr>
      <w:r w:rsidRPr="00990D3B">
        <w:t>Has your MCP investigated a potential relationship between inappropriate emergency department use and enrollee access to routine and urgent care, or reviewed the most frequent diagnoses resulting in inappropriate emergency department use?</w:t>
      </w:r>
    </w:p>
    <w:p w:rsidR="004E5913" w:rsidRPr="00990D3B" w:rsidP="00712B2F" w14:paraId="1572324A" w14:textId="77777777">
      <w:pPr>
        <w:pStyle w:val="H2EQRWorksheetlist2"/>
      </w:pPr>
      <w:r w:rsidRPr="00990D3B">
        <w:t xml:space="preserve">What was the rate of denied claims for emergency and post-stabilization services in the most recent year? </w:t>
      </w:r>
    </w:p>
    <w:p w:rsidR="004E5913" w:rsidRPr="00990D3B" w:rsidP="00712B2F" w14:paraId="58FFFEB3" w14:textId="77777777">
      <w:pPr>
        <w:pStyle w:val="H2EQRWorksheetlist2"/>
      </w:pPr>
      <w:r w:rsidRPr="00990D3B">
        <w:t>What was the rate of appeals for denied claims for emergency and post-stabilization services in the most recent year?</w:t>
      </w:r>
    </w:p>
    <w:p w:rsidR="004E5913" w:rsidRPr="00990D3B" w:rsidP="00D32D5C" w14:paraId="6FDAED3F" w14:textId="77777777">
      <w:pPr>
        <w:pStyle w:val="H2EQRWorksheetlist3"/>
      </w:pPr>
      <w:r w:rsidRPr="00990D3B">
        <w:t xml:space="preserve">Of these appeals, what was the rate in which claim denials were overturned? </w:t>
      </w:r>
    </w:p>
    <w:p w:rsidR="004E5913" w:rsidRPr="00990D3B" w:rsidP="00712B2F" w14:paraId="3CCC6A05" w14:textId="77777777">
      <w:pPr>
        <w:pStyle w:val="H2EQRWorksheetlist2"/>
      </w:pPr>
      <w:r w:rsidRPr="00990D3B">
        <w:t>What is the average wait time for MCP enrollees who see emergency services?</w:t>
      </w:r>
    </w:p>
    <w:p w:rsidR="004E5913" w:rsidRPr="00990D3B" w:rsidP="00712B2F" w14:paraId="090C1D75" w14:textId="77777777">
      <w:pPr>
        <w:pStyle w:val="H2EQRWorksheetlist2"/>
      </w:pPr>
      <w:r w:rsidRPr="00990D3B">
        <w:t xml:space="preserve">How many urgent care clinics with non-traditional hours are in the MCP’s network? </w:t>
      </w:r>
    </w:p>
    <w:p w:rsidR="004E5913" w:rsidRPr="00990D3B" w:rsidP="00712B2F" w14:paraId="30D2CA9A" w14:textId="77777777">
      <w:pPr>
        <w:pStyle w:val="H2EQRWorksheetlist2"/>
      </w:pPr>
      <w:r w:rsidRPr="00990D3B">
        <w:t xml:space="preserve">How does the MCP inform enrollees of emergency coverage? </w:t>
      </w:r>
    </w:p>
    <w:p w:rsidR="004E5913" w:rsidRPr="00990D3B" w:rsidP="00712B2F" w14:paraId="21B33928" w14:textId="77777777">
      <w:pPr>
        <w:pStyle w:val="H2EQRWorksheetlist2"/>
      </w:pPr>
      <w:r w:rsidRPr="00990D3B">
        <w:t>Are emergency back-up plans created for all enrollees? If not, how is the need for an emergency back-up plan determined? How is the emergency back-up plan shared with all appropriate parties?</w:t>
      </w:r>
    </w:p>
    <w:p w:rsidR="004E5913" w:rsidRPr="00990D3B" w:rsidP="00712B2F" w14:paraId="73A48ABF" w14:textId="77777777">
      <w:pPr>
        <w:pStyle w:val="H2EQRWorksheetlist2"/>
      </w:pPr>
      <w:r w:rsidRPr="00990D3B">
        <w:t>Are certain LTSS providers or other specialized providers/provider types contracted specifically for after-hours/urgent/emergent need? If so, what types? How were these types determined?</w:t>
      </w:r>
    </w:p>
    <w:p w:rsidR="004E5913" w:rsidRPr="00990D3B" w:rsidP="00712B2F" w14:paraId="0A6BABB7" w14:textId="77777777">
      <w:pPr>
        <w:pStyle w:val="H2EQRWorksheetlist2"/>
      </w:pPr>
      <w:r w:rsidRPr="00990D3B">
        <w:t xml:space="preserve">How does the MCP ensure that it provides services in a sufficient amount, duration, and scope consistent with contract requirements? </w:t>
      </w:r>
    </w:p>
    <w:p w:rsidR="004E5913" w:rsidRPr="00990D3B" w:rsidP="00712B2F" w14:paraId="5FA7355D" w14:textId="77777777">
      <w:pPr>
        <w:pStyle w:val="H2EQRWorksheetlist2"/>
      </w:pPr>
      <w:r w:rsidRPr="00990D3B">
        <w:t>What are the MCP’s policies on service and drug limitations? What services or drugs does it limit?</w:t>
      </w:r>
    </w:p>
    <w:p w:rsidR="004E5913" w:rsidRPr="00990D3B" w:rsidP="00D32D5C" w14:paraId="2CB71F3B" w14:textId="77777777">
      <w:pPr>
        <w:pStyle w:val="H2EQRWorksheetlist3"/>
      </w:pPr>
      <w:r w:rsidRPr="00990D3B">
        <w:t>How does the MCP ensure that limited services can still reasonably achieve their purpose?</w:t>
      </w:r>
    </w:p>
    <w:p w:rsidR="004E5913" w:rsidRPr="00990D3B" w:rsidP="00D32D5C" w14:paraId="0835EA3C" w14:textId="77777777">
      <w:pPr>
        <w:pStyle w:val="H2EQRWorksheetlist3"/>
      </w:pPr>
      <w:r w:rsidRPr="00990D3B">
        <w:t xml:space="preserve">How does the MCP ensure that services supporting individuals with ongoing or chronic conditions, or who require LTSS, are authorized in a manner that reflects the enrollee’s ongoing need for such services and </w:t>
      </w:r>
      <w:r w:rsidRPr="00990D3B">
        <w:t>supports</w:t>
      </w:r>
      <w:r w:rsidRPr="00990D3B">
        <w:t xml:space="preserve">? </w:t>
      </w:r>
    </w:p>
    <w:p w:rsidR="004E5913" w:rsidRPr="00990D3B" w:rsidP="00D32D5C" w14:paraId="1767C46F" w14:textId="77777777">
      <w:pPr>
        <w:pStyle w:val="H2EQRWorksheetlist3"/>
      </w:pPr>
      <w:r w:rsidRPr="00990D3B">
        <w:t xml:space="preserve">How does the MCP ensure that family planning services are provided in a manner that protects the enrollee’s freedom to choose their preferred method? </w:t>
      </w:r>
    </w:p>
    <w:p w:rsidR="004E5913" w:rsidRPr="00990D3B" w:rsidP="00D32D5C" w14:paraId="02E7987D" w14:textId="77777777">
      <w:pPr>
        <w:pStyle w:val="H2EQRWorksheetlist2"/>
      </w:pPr>
      <w:r w:rsidRPr="00990D3B">
        <w:t xml:space="preserve">How does the MCP ensure that </w:t>
      </w:r>
      <w:r w:rsidRPr="00990D3B">
        <w:t>it</w:t>
      </w:r>
      <w:r w:rsidRPr="00990D3B">
        <w:t xml:space="preserve"> </w:t>
      </w:r>
      <w:r w:rsidRPr="00990D3B">
        <w:t>providers</w:t>
      </w:r>
      <w:r w:rsidRPr="00990D3B">
        <w:t xml:space="preserve"> all medically necessary services specified by the contract? </w:t>
      </w:r>
    </w:p>
    <w:p w:rsidR="004E5913" w:rsidRPr="00990D3B" w:rsidP="00D32D5C" w14:paraId="09D1B5CD" w14:textId="77777777">
      <w:pPr>
        <w:pStyle w:val="H2EQRWorksheetlist2"/>
      </w:pPr>
      <w:r w:rsidRPr="00990D3B">
        <w:t xml:space="preserve">What mechanisms does the MCP use to ensure consistent application of authorization decision review criteria? </w:t>
      </w:r>
    </w:p>
    <w:p w:rsidR="004E5913" w:rsidRPr="00990D3B" w:rsidP="00D32D5C" w14:paraId="4D382A67" w14:textId="77777777">
      <w:pPr>
        <w:pStyle w:val="H2EQRWorksheetlist2"/>
      </w:pPr>
      <w:r w:rsidRPr="00990D3B">
        <w:t xml:space="preserve">What mechanisms does the MCP use to notify providers and enrollees of adverse benefit determinations? </w:t>
      </w:r>
    </w:p>
    <w:p w:rsidR="004E5913" w:rsidRPr="00990D3B" w:rsidP="00D32D5C" w14:paraId="7EBF9356" w14:textId="343957E0">
      <w:pPr>
        <w:pStyle w:val="H2EQRWorksheetlist3"/>
      </w:pPr>
      <w:r w:rsidRPr="00990D3B">
        <w:t>What time</w:t>
      </w:r>
      <w:r w:rsidRPr="00990D3B" w:rsidR="00566F1D">
        <w:t xml:space="preserve"> </w:t>
      </w:r>
      <w:r w:rsidRPr="00990D3B">
        <w:t xml:space="preserve">frames does the MCP use to process standard and expedited authorization decisions? </w:t>
      </w:r>
    </w:p>
    <w:p w:rsidR="004E5913" w:rsidRPr="00990D3B" w:rsidP="00D32D5C" w14:paraId="16844AAC" w14:textId="77777777">
      <w:pPr>
        <w:pStyle w:val="H2EQRWorksheetlist2"/>
      </w:pPr>
      <w:r w:rsidRPr="00990D3B">
        <w:t xml:space="preserve">What notice methods does the MCP use for outpatient drug authorization decisions? </w:t>
      </w:r>
    </w:p>
    <w:p w:rsidR="004E5913" w:rsidRPr="00990D3B" w:rsidP="00CC1264" w14:paraId="6C3168D8" w14:textId="7FD18756">
      <w:pPr>
        <w:pStyle w:val="EQRNormalSSWORKSHEET"/>
        <w:rPr>
          <w:b/>
          <w:bCs/>
        </w:rPr>
      </w:pPr>
      <w:r w:rsidRPr="00990D3B">
        <w:rPr>
          <w:b/>
          <w:bCs/>
        </w:rPr>
        <w:t xml:space="preserve">Provider </w:t>
      </w:r>
      <w:r w:rsidRPr="00990D3B" w:rsidR="00D62A7F">
        <w:rPr>
          <w:b/>
          <w:bCs/>
        </w:rPr>
        <w:t>s</w:t>
      </w:r>
      <w:r w:rsidRPr="00990D3B">
        <w:rPr>
          <w:b/>
          <w:bCs/>
        </w:rPr>
        <w:t xml:space="preserve">election and </w:t>
      </w:r>
      <w:r w:rsidRPr="00990D3B" w:rsidR="00D62A7F">
        <w:rPr>
          <w:b/>
          <w:bCs/>
        </w:rPr>
        <w:t>n</w:t>
      </w:r>
      <w:r w:rsidRPr="00990D3B">
        <w:rPr>
          <w:b/>
          <w:bCs/>
        </w:rPr>
        <w:t>on-</w:t>
      </w:r>
      <w:r w:rsidRPr="00990D3B" w:rsidR="00D62A7F">
        <w:rPr>
          <w:b/>
          <w:bCs/>
        </w:rPr>
        <w:t>d</w:t>
      </w:r>
      <w:r w:rsidRPr="00990D3B">
        <w:rPr>
          <w:b/>
          <w:bCs/>
        </w:rPr>
        <w:t>iscrimination (</w:t>
      </w:r>
      <w:r w:rsidRPr="00990D3B" w:rsidR="001C7FC0">
        <w:rPr>
          <w:b/>
          <w:bCs/>
        </w:rPr>
        <w:t>42 C.F.R.</w:t>
      </w:r>
      <w:r w:rsidRPr="00990D3B" w:rsidR="007854DF">
        <w:rPr>
          <w:b/>
          <w:bCs/>
        </w:rPr>
        <w:t xml:space="preserve"> </w:t>
      </w:r>
      <w:r w:rsidRPr="00990D3B">
        <w:rPr>
          <w:b/>
          <w:bCs/>
        </w:rPr>
        <w:t xml:space="preserve">438.214 and 457.1233(a) and </w:t>
      </w:r>
      <w:r w:rsidRPr="00990D3B" w:rsidR="001C7FC0">
        <w:rPr>
          <w:b/>
          <w:bCs/>
        </w:rPr>
        <w:t>42 C.F.R.</w:t>
      </w:r>
      <w:r w:rsidRPr="00990D3B" w:rsidR="007854DF">
        <w:rPr>
          <w:b/>
          <w:bCs/>
        </w:rPr>
        <w:t xml:space="preserve"> </w:t>
      </w:r>
      <w:r w:rsidRPr="00990D3B">
        <w:rPr>
          <w:b/>
          <w:bCs/>
        </w:rPr>
        <w:t>438.12 and 457.1208)</w:t>
      </w:r>
    </w:p>
    <w:p w:rsidR="004E5913" w:rsidRPr="00990D3B" w:rsidP="00013697" w14:paraId="3E9027CC" w14:textId="1303812C">
      <w:pPr>
        <w:pStyle w:val="H2EQRWorksheetlist2"/>
      </w:pPr>
      <w:r w:rsidRPr="00990D3B">
        <w:t>What is the basis or criteria used to determine individual provider participation in the MCP’s network?</w:t>
      </w:r>
    </w:p>
    <w:p w:rsidR="004E5913" w:rsidRPr="00990D3B" w:rsidP="00A87838" w14:paraId="3B53845E" w14:textId="77777777">
      <w:pPr>
        <w:pStyle w:val="H2EQRWorksheetlist2"/>
      </w:pPr>
      <w:r w:rsidRPr="00990D3B">
        <w:t xml:space="preserve">What is the basis or criteria used to determine institutional or other non-individual </w:t>
      </w:r>
      <w:r w:rsidRPr="00990D3B">
        <w:t>practitioner</w:t>
      </w:r>
      <w:r w:rsidRPr="00990D3B">
        <w:t xml:space="preserve"> (including LTSS) participation in the MCP’s network?</w:t>
      </w:r>
    </w:p>
    <w:p w:rsidR="004E5913" w:rsidRPr="00990D3B" w:rsidP="00A87838" w14:paraId="0E09DA06" w14:textId="77777777">
      <w:pPr>
        <w:pStyle w:val="H2EQRWorksheetlist2"/>
      </w:pPr>
      <w:r w:rsidRPr="00990D3B">
        <w:t>What types of providers are subject to the MCP’s credentialing process?</w:t>
      </w:r>
    </w:p>
    <w:p w:rsidR="004E5913" w:rsidRPr="00990D3B" w:rsidP="00A87838" w14:paraId="2AFDE3C9" w14:textId="77777777">
      <w:pPr>
        <w:pStyle w:val="H2EQRWorksheetlist3"/>
      </w:pPr>
      <w:r w:rsidRPr="00990D3B">
        <w:t>How are provider qualifications (including background check requirements) verified for provider types not subject to the credentialing process?</w:t>
      </w:r>
    </w:p>
    <w:p w:rsidR="004E5913" w:rsidRPr="00990D3B" w:rsidP="00A87838" w14:paraId="6918540F" w14:textId="77777777">
      <w:pPr>
        <w:pStyle w:val="H2EQRWorksheetlist2"/>
      </w:pPr>
      <w:r w:rsidRPr="00990D3B">
        <w:t>Please describe the provider credentialing process used by the MCP.</w:t>
      </w:r>
    </w:p>
    <w:p w:rsidR="004E5913" w:rsidRPr="00990D3B" w:rsidP="00A87838" w14:paraId="655DAC92" w14:textId="77777777">
      <w:pPr>
        <w:pStyle w:val="H2EQRWorksheetlist2"/>
      </w:pPr>
      <w:r w:rsidRPr="00990D3B">
        <w:t xml:space="preserve">What steps does the MCP take to ensure that it does not employ or contract with providers who have been excluded from </w:t>
      </w:r>
      <w:r w:rsidRPr="00990D3B">
        <w:t>participation</w:t>
      </w:r>
      <w:r w:rsidRPr="00990D3B">
        <w:t xml:space="preserve"> in federal health care programs?</w:t>
      </w:r>
    </w:p>
    <w:p w:rsidR="004E5913" w:rsidRPr="00990D3B" w:rsidP="00A87838" w14:paraId="55B2572C" w14:textId="77777777">
      <w:pPr>
        <w:pStyle w:val="H2EQRWorksheetlist2"/>
      </w:pPr>
      <w:r w:rsidRPr="00990D3B">
        <w:t>What steps does the MCP take to ensure that providers who serve high-risk or costly populations are not discriminated against in the selection process, and when considering reimbursement and indemnification?</w:t>
      </w:r>
    </w:p>
    <w:p w:rsidR="004E5913" w:rsidRPr="00990D3B" w:rsidP="00A87838" w14:paraId="35C70FAC" w14:textId="77777777">
      <w:pPr>
        <w:pStyle w:val="H2EQRWorksheetlist2"/>
      </w:pPr>
      <w:r w:rsidRPr="00990D3B">
        <w:t xml:space="preserve">What criteria </w:t>
      </w:r>
      <w:r w:rsidRPr="00990D3B">
        <w:t>is</w:t>
      </w:r>
      <w:r w:rsidRPr="00990D3B">
        <w:t xml:space="preserve"> the basis for denial of provider participation in the MCP’s network?</w:t>
      </w:r>
    </w:p>
    <w:p w:rsidR="004E5913" w:rsidRPr="00990D3B" w:rsidP="00CC1264" w14:paraId="30B10769" w14:textId="692933CE">
      <w:pPr>
        <w:pStyle w:val="EQRNormalSSWORKSHEET"/>
        <w:rPr>
          <w:b/>
          <w:bCs/>
        </w:rPr>
      </w:pPr>
      <w:r w:rsidRPr="00990D3B">
        <w:rPr>
          <w:b/>
          <w:bCs/>
        </w:rPr>
        <w:t>Sub-</w:t>
      </w:r>
      <w:r w:rsidRPr="00990D3B" w:rsidR="00D62A7F">
        <w:rPr>
          <w:b/>
          <w:bCs/>
        </w:rPr>
        <w:t>c</w:t>
      </w:r>
      <w:r w:rsidRPr="00990D3B">
        <w:rPr>
          <w:b/>
          <w:bCs/>
        </w:rPr>
        <w:t xml:space="preserve">ontractual </w:t>
      </w:r>
      <w:r w:rsidRPr="00990D3B" w:rsidR="00D62A7F">
        <w:rPr>
          <w:b/>
          <w:bCs/>
        </w:rPr>
        <w:t>r</w:t>
      </w:r>
      <w:r w:rsidRPr="00990D3B">
        <w:rPr>
          <w:b/>
          <w:bCs/>
        </w:rPr>
        <w:t xml:space="preserve">elationships and </w:t>
      </w:r>
      <w:r w:rsidRPr="00990D3B" w:rsidR="00D62A7F">
        <w:rPr>
          <w:b/>
          <w:bCs/>
        </w:rPr>
        <w:t>d</w:t>
      </w:r>
      <w:r w:rsidRPr="00990D3B">
        <w:rPr>
          <w:b/>
          <w:bCs/>
        </w:rPr>
        <w:t>elegation (</w:t>
      </w:r>
      <w:r w:rsidRPr="00990D3B" w:rsidR="001C7FC0">
        <w:rPr>
          <w:b/>
          <w:bCs/>
        </w:rPr>
        <w:t>42 C.F.R.</w:t>
      </w:r>
      <w:r w:rsidRPr="00990D3B" w:rsidR="007854DF">
        <w:rPr>
          <w:b/>
          <w:bCs/>
        </w:rPr>
        <w:t xml:space="preserve"> </w:t>
      </w:r>
      <w:r w:rsidRPr="00990D3B">
        <w:rPr>
          <w:b/>
          <w:bCs/>
        </w:rPr>
        <w:t xml:space="preserve">438.230 and </w:t>
      </w:r>
      <w:r w:rsidRPr="00990D3B" w:rsidR="001C7FC0">
        <w:rPr>
          <w:b/>
          <w:bCs/>
        </w:rPr>
        <w:t>42 C.F.R.</w:t>
      </w:r>
      <w:r w:rsidRPr="00990D3B" w:rsidR="007854DF">
        <w:rPr>
          <w:b/>
          <w:bCs/>
        </w:rPr>
        <w:t xml:space="preserve"> </w:t>
      </w:r>
      <w:r w:rsidRPr="00990D3B">
        <w:rPr>
          <w:b/>
          <w:bCs/>
        </w:rPr>
        <w:t>457.1233(b))</w:t>
      </w:r>
    </w:p>
    <w:p w:rsidR="004E5913" w:rsidRPr="00990D3B" w:rsidP="00013697" w14:paraId="12761D64" w14:textId="0BF6C4FF">
      <w:pPr>
        <w:pStyle w:val="H2EQRWorksheetlist2"/>
      </w:pPr>
      <w:r w:rsidRPr="00990D3B">
        <w:t>What services and activities are delegated to and performed by sub-contractors?</w:t>
      </w:r>
    </w:p>
    <w:p w:rsidR="004E5913" w:rsidRPr="00990D3B" w:rsidP="00A87838" w14:paraId="58523B6D" w14:textId="77777777">
      <w:pPr>
        <w:pStyle w:val="H2EQRWorksheetlist2"/>
      </w:pPr>
      <w:r w:rsidRPr="00990D3B">
        <w:t xml:space="preserve">Please describe the MCP’s process for identifying and selecting contractors. How is it determined that a contractor </w:t>
      </w:r>
      <w:r w:rsidRPr="00990D3B">
        <w:t>has the ability to</w:t>
      </w:r>
      <w:r w:rsidRPr="00990D3B">
        <w:t xml:space="preserve"> provide the sub-contracted services? </w:t>
      </w:r>
    </w:p>
    <w:p w:rsidR="004E5913" w:rsidRPr="00990D3B" w:rsidP="00A87838" w14:paraId="65BEA3FB" w14:textId="77777777">
      <w:pPr>
        <w:pStyle w:val="H2EQRWorksheetlist2"/>
      </w:pPr>
      <w:r w:rsidRPr="00990D3B">
        <w:t>Please describe how your MCP assesses the quality of sub-contracted services and sub-contractor compliance with federal, state and contractual requirements.</w:t>
      </w:r>
    </w:p>
    <w:p w:rsidR="004E5913" w:rsidRPr="00990D3B" w:rsidP="00CC1264" w14:paraId="5DA5B6CA" w14:textId="056EC6F0">
      <w:pPr>
        <w:pStyle w:val="EQRNormalSSWORKSHEET"/>
        <w:rPr>
          <w:b/>
          <w:bCs/>
        </w:rPr>
      </w:pPr>
      <w:r w:rsidRPr="00990D3B">
        <w:rPr>
          <w:b/>
          <w:bCs/>
        </w:rPr>
        <w:t>Practice guidelines: adoption (</w:t>
      </w:r>
      <w:r w:rsidRPr="00990D3B" w:rsidR="001C7FC0">
        <w:rPr>
          <w:b/>
          <w:bCs/>
        </w:rPr>
        <w:t>42 C.F.R.</w:t>
      </w:r>
      <w:r w:rsidRPr="00990D3B" w:rsidR="007854DF">
        <w:rPr>
          <w:b/>
          <w:bCs/>
        </w:rPr>
        <w:t xml:space="preserve"> </w:t>
      </w:r>
      <w:r w:rsidRPr="00990D3B">
        <w:rPr>
          <w:b/>
          <w:bCs/>
        </w:rPr>
        <w:t>438.236(b) and 457.1233(c))</w:t>
      </w:r>
    </w:p>
    <w:p w:rsidR="004E5913" w:rsidRPr="00990D3B" w:rsidP="00013697" w14:paraId="39623EB9" w14:textId="758C0238">
      <w:pPr>
        <w:pStyle w:val="H2EQRWorksheetlist2"/>
      </w:pPr>
      <w:r w:rsidRPr="00990D3B">
        <w:t>What organizational component of your MCP is responsible for the adoption of practice guidelines used by your MCP?</w:t>
      </w:r>
    </w:p>
    <w:p w:rsidR="004E5913" w:rsidRPr="00990D3B" w:rsidP="00A87838" w14:paraId="090D02CC" w14:textId="77777777">
      <w:pPr>
        <w:pStyle w:val="H2EQRWorksheetlist2"/>
      </w:pPr>
      <w:r w:rsidRPr="00990D3B">
        <w:t>How does your MCP establish priorities for adoption of practice guidelines?</w:t>
      </w:r>
    </w:p>
    <w:p w:rsidR="004E5913" w:rsidRPr="00990D3B" w:rsidP="00A87838" w14:paraId="5330F971" w14:textId="77777777">
      <w:pPr>
        <w:pStyle w:val="H2EQRWorksheetlist3"/>
      </w:pPr>
      <w:r w:rsidRPr="00990D3B">
        <w:t>How does your MCP consider the enrolled Medicaid and CHIP population’s health needs in the adoption of practice guidelines?</w:t>
      </w:r>
    </w:p>
    <w:p w:rsidR="004E5913" w:rsidRPr="00990D3B" w:rsidP="00A87838" w14:paraId="18DE39C5" w14:textId="77777777">
      <w:pPr>
        <w:pStyle w:val="H2EQRWorksheetlist2"/>
      </w:pPr>
      <w:r w:rsidRPr="00990D3B">
        <w:t xml:space="preserve">What guidelines </w:t>
      </w:r>
      <w:r w:rsidRPr="00990D3B">
        <w:t>has</w:t>
      </w:r>
      <w:r w:rsidRPr="00990D3B">
        <w:t xml:space="preserve"> your MCP adopted? </w:t>
      </w:r>
    </w:p>
    <w:p w:rsidR="004E5913" w:rsidRPr="00990D3B" w:rsidP="00A87838" w14:paraId="205B0C9D" w14:textId="77777777">
      <w:pPr>
        <w:pStyle w:val="H2EQRWorksheetlist2"/>
      </w:pPr>
      <w:r w:rsidRPr="00990D3B">
        <w:t>By what institutional process were they adopted?</w:t>
      </w:r>
    </w:p>
    <w:p w:rsidR="004E5913" w:rsidRPr="00990D3B" w:rsidP="00A87838" w14:paraId="5FFFB8E7" w14:textId="77777777">
      <w:pPr>
        <w:pStyle w:val="H2EQRWorksheetlist2"/>
      </w:pPr>
      <w:r w:rsidRPr="00990D3B">
        <w:t xml:space="preserve">To what extent are your MCP’s guidelines “evidence-based”? By evidence-based, we mean </w:t>
      </w:r>
      <w:r w:rsidRPr="00990D3B">
        <w:rPr>
          <w:shd w:val="clear" w:color="auto" w:fill="FFFFFF"/>
        </w:rPr>
        <w:t>systematically developed statements to assist practitioner and patient decisions about appropriate health care for specific clinical circumstances.</w:t>
      </w:r>
    </w:p>
    <w:p w:rsidR="004E5913" w:rsidRPr="00990D3B" w:rsidP="00A87838" w14:paraId="706555E6" w14:textId="77777777">
      <w:pPr>
        <w:pStyle w:val="H2EQRWorksheetlist2"/>
      </w:pPr>
      <w:r w:rsidRPr="00990D3B">
        <w:t>How does your MCP consider the enrolled Medicaid and CHIP population’s health needs in the adoption of practice guidelines?</w:t>
      </w:r>
    </w:p>
    <w:p w:rsidR="004E5913" w:rsidRPr="00990D3B" w:rsidP="00A87838" w14:paraId="7A9D4C8A" w14:textId="77777777">
      <w:pPr>
        <w:pStyle w:val="H2EQRWorksheetlist2"/>
      </w:pPr>
      <w:r w:rsidRPr="00990D3B">
        <w:t>How are affiliated providers consulted as guidelines are adopted and re-evaluated?</w:t>
      </w:r>
    </w:p>
    <w:p w:rsidR="004E5913" w:rsidRPr="00990D3B" w:rsidP="00A87838" w14:paraId="7F8E513A" w14:textId="77777777">
      <w:pPr>
        <w:pStyle w:val="H2EQRWorksheetlist2"/>
      </w:pPr>
      <w:r w:rsidRPr="00990D3B">
        <w:t>What mechanism(s) does your MCP have for periodically evaluating and updating the guidelines it has adopted?</w:t>
      </w:r>
    </w:p>
    <w:p w:rsidR="004E5913" w:rsidRPr="00990D3B" w:rsidP="00CC1264" w14:paraId="11CF0B18" w14:textId="7D1A6DB3">
      <w:pPr>
        <w:pStyle w:val="EQRNormalSSWORKSHEET"/>
        <w:rPr>
          <w:b/>
          <w:bCs/>
        </w:rPr>
      </w:pPr>
      <w:r w:rsidRPr="00990D3B">
        <w:rPr>
          <w:b/>
          <w:bCs/>
        </w:rPr>
        <w:t>Practice guidelines: dissemination and application (</w:t>
      </w:r>
      <w:r w:rsidRPr="00990D3B" w:rsidR="001C7FC0">
        <w:rPr>
          <w:b/>
          <w:bCs/>
        </w:rPr>
        <w:t>42 C.F.R.</w:t>
      </w:r>
      <w:r w:rsidRPr="00990D3B" w:rsidR="007854DF">
        <w:rPr>
          <w:b/>
          <w:bCs/>
        </w:rPr>
        <w:t xml:space="preserve"> </w:t>
      </w:r>
      <w:r w:rsidRPr="00990D3B">
        <w:rPr>
          <w:b/>
          <w:bCs/>
        </w:rPr>
        <w:t>438.236(c) and 457.1233(c))</w:t>
      </w:r>
    </w:p>
    <w:p w:rsidR="004E5913" w:rsidRPr="00990D3B" w:rsidP="00013697" w14:paraId="4EE95649" w14:textId="04058AEA">
      <w:pPr>
        <w:pStyle w:val="H2EQRWorksheetlist2"/>
      </w:pPr>
      <w:r w:rsidRPr="00990D3B">
        <w:t>How are practice guidelines disseminated to providers?</w:t>
      </w:r>
    </w:p>
    <w:p w:rsidR="004E5913" w:rsidRPr="00990D3B" w:rsidP="00E43118" w14:paraId="689FFBB2" w14:textId="77777777">
      <w:pPr>
        <w:pStyle w:val="H2EQRWorksheetlist2"/>
      </w:pPr>
      <w:r w:rsidRPr="00990D3B">
        <w:t xml:space="preserve">When and how are guidelines disseminated to enrollees and potential </w:t>
      </w:r>
      <w:r w:rsidRPr="00990D3B">
        <w:t>enrollees</w:t>
      </w:r>
      <w:r w:rsidRPr="00990D3B">
        <w:t>?</w:t>
      </w:r>
    </w:p>
    <w:p w:rsidR="004E5913" w:rsidRPr="00990D3B" w:rsidP="00E43118" w14:paraId="5C87B8F3" w14:textId="77777777">
      <w:pPr>
        <w:pStyle w:val="H2EQRWorksheetlist2"/>
      </w:pPr>
      <w:r w:rsidRPr="00990D3B">
        <w:t>To what extent are the practice guidelines adopted by your MCP a component of your MCP’s Quality Assessment and Performance Improvement (QAPI) program?</w:t>
      </w:r>
    </w:p>
    <w:p w:rsidR="00B5049D" w:rsidRPr="00990D3B" w:rsidP="00E43118" w14:paraId="6E6659E1" w14:textId="77777777">
      <w:pPr>
        <w:pStyle w:val="H2EQRWorksheetlist2"/>
      </w:pPr>
      <w:r w:rsidRPr="00990D3B">
        <w:t>Is there a process in place to ensure communication between those responsible for the QAPI program and the practice guidelines adoption process?</w:t>
      </w:r>
    </w:p>
    <w:p w:rsidR="004E5913" w:rsidRPr="00990D3B" w:rsidP="00E43118" w14:paraId="6E485321" w14:textId="36BF928F">
      <w:pPr>
        <w:pStyle w:val="H2EQRWorksheetlist2"/>
      </w:pPr>
      <w:r w:rsidRPr="00990D3B">
        <w:t xml:space="preserve">What steps are taken to ensure that decision-making in the areas of utilization management or coverage determinations and other functional areas </w:t>
      </w:r>
      <w:r w:rsidRPr="00990D3B">
        <w:t>are</w:t>
      </w:r>
      <w:r w:rsidRPr="00990D3B">
        <w:t xml:space="preserve"> consistent with the adopted practice guidelines?</w:t>
      </w:r>
    </w:p>
    <w:p w:rsidR="004E5913" w:rsidRPr="00990D3B" w:rsidP="00CC1264" w14:paraId="67A9F872" w14:textId="70C1A90F">
      <w:pPr>
        <w:pStyle w:val="EQRNormalSSWORKSHEET"/>
        <w:rPr>
          <w:b/>
          <w:bCs/>
        </w:rPr>
      </w:pPr>
      <w:r w:rsidRPr="00990D3B">
        <w:rPr>
          <w:b/>
          <w:bCs/>
        </w:rPr>
        <w:t>Health information systems (</w:t>
      </w:r>
      <w:r w:rsidRPr="00990D3B" w:rsidR="001C7FC0">
        <w:rPr>
          <w:b/>
          <w:bCs/>
        </w:rPr>
        <w:t>42 C.F.R.</w:t>
      </w:r>
      <w:r w:rsidRPr="00990D3B" w:rsidR="007854DF">
        <w:rPr>
          <w:b/>
          <w:bCs/>
        </w:rPr>
        <w:t xml:space="preserve"> </w:t>
      </w:r>
      <w:r w:rsidRPr="00990D3B">
        <w:rPr>
          <w:b/>
          <w:bCs/>
        </w:rPr>
        <w:t>438.242 and 457.1233(d))</w:t>
      </w:r>
    </w:p>
    <w:p w:rsidR="004E5913" w:rsidRPr="00990D3B" w:rsidP="00013697" w14:paraId="7EAD1722" w14:textId="085D76EF">
      <w:pPr>
        <w:pStyle w:val="H2EQRWorksheetlist2"/>
      </w:pPr>
      <w:r w:rsidRPr="00990D3B">
        <w:t xml:space="preserve">Describe the types of data collection systems that are in place to support the clinical and administrative operations of your MCP. Specifically, what data </w:t>
      </w:r>
      <w:r w:rsidRPr="00990D3B" w:rsidR="00FC5DDE">
        <w:t xml:space="preserve">are </w:t>
      </w:r>
      <w:r w:rsidRPr="00990D3B">
        <w:t>routinely collected to support utilization management, grievance systems, and enrollment services?</w:t>
      </w:r>
    </w:p>
    <w:p w:rsidR="004E5913" w:rsidRPr="00990D3B" w:rsidP="00E43118" w14:paraId="515D7EDE" w14:textId="77777777">
      <w:pPr>
        <w:pStyle w:val="H2EQRWorksheetlist2"/>
      </w:pPr>
      <w:r w:rsidRPr="00990D3B">
        <w:t xml:space="preserve">What processes are in place to obtain data from all components of your network (e.g., health care facilities, physician, laboratories, and LTSS, and other specialized providers)? </w:t>
      </w:r>
    </w:p>
    <w:p w:rsidR="004E5913" w:rsidRPr="00990D3B" w:rsidP="00E43118" w14:paraId="0AD8ECE2" w14:textId="77777777">
      <w:pPr>
        <w:pStyle w:val="H2EQRWorksheetlist3"/>
      </w:pPr>
      <w:r w:rsidRPr="00990D3B">
        <w:t xml:space="preserve">To what extent does your MCP require and receive data in standardized formats? </w:t>
      </w:r>
    </w:p>
    <w:p w:rsidR="004E5913" w:rsidRPr="00990D3B" w:rsidP="00E43118" w14:paraId="3F045299" w14:textId="77777777">
      <w:pPr>
        <w:pStyle w:val="H2EQRWorksheetlist3"/>
      </w:pPr>
      <w:r w:rsidRPr="00990D3B">
        <w:t>Are there any components of your network from which you do not receive standardized (or any) information on services?</w:t>
      </w:r>
    </w:p>
    <w:p w:rsidR="004E5913" w:rsidRPr="00990D3B" w:rsidP="00E43118" w14:paraId="23E18FC6" w14:textId="77777777">
      <w:pPr>
        <w:pStyle w:val="H2EQRWorksheetlist2"/>
      </w:pPr>
      <w:r w:rsidRPr="00990D3B">
        <w:t xml:space="preserve">How are enrollee and provider data collected and integrated across all components of your MCP’s network?  </w:t>
      </w:r>
    </w:p>
    <w:p w:rsidR="004E5913" w:rsidRPr="00990D3B" w:rsidP="00E43118" w14:paraId="1F5570C1" w14:textId="77777777">
      <w:pPr>
        <w:pStyle w:val="H2EQRWorksheetlist3"/>
      </w:pPr>
      <w:r w:rsidRPr="00990D3B">
        <w:t xml:space="preserve">How is this used to produce comprehensive information on enrollee needs and utilization and to otherwise support management? </w:t>
      </w:r>
    </w:p>
    <w:p w:rsidR="004E5913" w:rsidRPr="00990D3B" w:rsidP="00456AF5" w14:paraId="2BD35D14" w14:textId="7848F201">
      <w:pPr>
        <w:pStyle w:val="H2EQRWorksheetList1"/>
      </w:pPr>
      <w:r w:rsidRPr="00990D3B">
        <w:t>Section 2.</w:t>
      </w:r>
      <w:r w:rsidRPr="00990D3B">
        <w:t xml:space="preserve"> Quality Assessment and Performance Improvement </w:t>
      </w:r>
      <w:r w:rsidRPr="00990D3B" w:rsidR="00D62A7F">
        <w:t xml:space="preserve">(QAPI) </w:t>
      </w:r>
      <w:r w:rsidRPr="00990D3B">
        <w:t>Program</w:t>
      </w:r>
      <w:r w:rsidRPr="00990D3B" w:rsidR="00D62A7F">
        <w:t xml:space="preserve"> </w:t>
      </w:r>
    </w:p>
    <w:p w:rsidR="004E5913" w:rsidRPr="00990D3B" w:rsidP="00CC1264" w14:paraId="66A68E3F" w14:textId="0A83112A">
      <w:pPr>
        <w:pStyle w:val="EQRNormalSSWORKSHEET"/>
        <w:rPr>
          <w:b/>
          <w:bCs/>
        </w:rPr>
      </w:pPr>
      <w:r w:rsidRPr="00990D3B">
        <w:rPr>
          <w:b/>
          <w:bCs/>
        </w:rPr>
        <w:t>G</w:t>
      </w:r>
      <w:r w:rsidRPr="00990D3B">
        <w:rPr>
          <w:b/>
          <w:bCs/>
        </w:rPr>
        <w:t>eneral rules and basic elements (</w:t>
      </w:r>
      <w:r w:rsidRPr="00990D3B" w:rsidR="001C7FC0">
        <w:rPr>
          <w:b/>
          <w:bCs/>
        </w:rPr>
        <w:t>42 C.F.R.</w:t>
      </w:r>
      <w:r w:rsidRPr="00990D3B" w:rsidR="007854DF">
        <w:rPr>
          <w:b/>
          <w:bCs/>
        </w:rPr>
        <w:t xml:space="preserve"> </w:t>
      </w:r>
      <w:r w:rsidRPr="00990D3B">
        <w:rPr>
          <w:b/>
          <w:bCs/>
        </w:rPr>
        <w:t>438.330 and 457.1240(b))</w:t>
      </w:r>
    </w:p>
    <w:p w:rsidR="004E5913" w:rsidRPr="00990D3B" w:rsidP="00456AF5" w14:paraId="1EABF9C1" w14:textId="4BBFD9FB">
      <w:pPr>
        <w:pStyle w:val="H2EQRWorksheetlist2"/>
      </w:pPr>
      <w:r w:rsidRPr="00990D3B">
        <w:t xml:space="preserve">Does the state require the MCP to address a specific topic or topics in your performance improvement projects?  If yes, what types of projects are required? For each PIP, at a minimum, </w:t>
      </w:r>
      <w:r w:rsidRPr="00990D3B">
        <w:t>include</w:t>
      </w:r>
      <w:r w:rsidRPr="00990D3B">
        <w:t xml:space="preserve"> how significant improvement was measured, how improvement will be/was sustained, and how </w:t>
      </w:r>
      <w:r w:rsidRPr="00990D3B" w:rsidR="00D50AF4">
        <w:t>enrollee</w:t>
      </w:r>
      <w:r w:rsidRPr="00990D3B">
        <w:t xml:space="preserve"> health outcomes and satisfaction will be/was measured, and how the intervention will/has improved access and/or quality of care?  </w:t>
      </w:r>
    </w:p>
    <w:p w:rsidR="004E5913" w:rsidRPr="00990D3B" w:rsidP="00456AF5" w14:paraId="4699260C" w14:textId="1A1A5F95">
      <w:pPr>
        <w:pStyle w:val="H2EQRWorksheetlist3"/>
      </w:pPr>
      <w:r w:rsidRPr="00990D3B">
        <w:t>For MCPs</w:t>
      </w:r>
      <w:r w:rsidRPr="00990D3B" w:rsidR="0090723C">
        <w:t xml:space="preserve"> serving beneficiaries who are dually eligible for Medicare and Medicaid</w:t>
      </w:r>
      <w:r w:rsidRPr="00990D3B">
        <w:t>, was a Medicare Advantage PIP substituted for a state-required PIP?</w:t>
      </w:r>
    </w:p>
    <w:p w:rsidR="004E5913" w:rsidRPr="00990D3B" w:rsidP="00456AF5" w14:paraId="7C557864" w14:textId="00D1921A">
      <w:pPr>
        <w:pStyle w:val="H2EQRWorksheetlist3"/>
      </w:pPr>
      <w:r w:rsidRPr="00990D3B">
        <w:t>Has CMS specified any specific PIPs?</w:t>
      </w:r>
      <w:r w:rsidRPr="00990D3B">
        <w:rPr>
          <w:b/>
        </w:rPr>
        <w:t xml:space="preserve"> </w:t>
      </w:r>
      <w:r w:rsidRPr="00990D3B">
        <w:t xml:space="preserve">If yes, what types of projects are required? For each PIP, at a minimum, </w:t>
      </w:r>
      <w:r w:rsidRPr="00990D3B">
        <w:t>include</w:t>
      </w:r>
      <w:r w:rsidRPr="00990D3B">
        <w:t xml:space="preserve"> how significant improvement was measured, how improvement will be/was sustained, and how </w:t>
      </w:r>
      <w:r w:rsidRPr="00990D3B" w:rsidR="00D50AF4">
        <w:t>enrollee</w:t>
      </w:r>
      <w:r w:rsidRPr="00990D3B">
        <w:t xml:space="preserve"> health outcomes and satisfaction will be/was measured, and how the intervention will/has improved access and/or quality of care?  </w:t>
      </w:r>
    </w:p>
    <w:p w:rsidR="004E5913" w:rsidRPr="00990D3B" w:rsidP="00456AF5" w14:paraId="75F892F4" w14:textId="77777777">
      <w:pPr>
        <w:pStyle w:val="H2EQRWorksheetlist2"/>
      </w:pPr>
      <w:r w:rsidRPr="00990D3B">
        <w:t xml:space="preserve">Does the state require your MCP to collect and submit performance measures or to submit data to the state for it to calculate performance measures? If yes, what performance measures are specified by the state and who calculates each measure, the MCP or the state? </w:t>
      </w:r>
    </w:p>
    <w:p w:rsidR="004E5913" w:rsidRPr="00990D3B" w:rsidP="00456AF5" w14:paraId="5C2A99F1" w14:textId="77777777">
      <w:pPr>
        <w:pStyle w:val="H2EQRWorksheetlist3"/>
      </w:pPr>
      <w:r w:rsidRPr="00990D3B">
        <w:t xml:space="preserve">If CMS specifies any performance measures, what performance measures are collected and submitted, if any? </w:t>
      </w:r>
    </w:p>
    <w:p w:rsidR="004E5913" w:rsidRPr="00990D3B" w:rsidP="00456AF5" w14:paraId="6960A3C4" w14:textId="77777777">
      <w:pPr>
        <w:pStyle w:val="H2EQRWorksheetlist3"/>
        <w:rPr>
          <w:b/>
        </w:rPr>
      </w:pPr>
      <w:r w:rsidRPr="00990D3B">
        <w:t>If the MCP provides LTSS, what LTSS performance measures are collected and submitted, including but not limited to measures of quality of life, rebalancing institutional and community-based services and community integration activities?</w:t>
      </w:r>
    </w:p>
    <w:p w:rsidR="004E5913" w:rsidRPr="00990D3B" w:rsidP="00456AF5" w14:paraId="3B7781A7" w14:textId="77777777">
      <w:pPr>
        <w:pStyle w:val="H2EQRWorksheetlist2"/>
        <w:rPr>
          <w:b/>
        </w:rPr>
      </w:pPr>
      <w:r w:rsidRPr="00990D3B">
        <w:t xml:space="preserve">How does the MCP detect over- and under-utilization?  Please provide examples of how your quality assessment and improvement program has </w:t>
      </w:r>
      <w:r w:rsidRPr="00990D3B">
        <w:t>monitored</w:t>
      </w:r>
      <w:r w:rsidRPr="00990D3B">
        <w:t xml:space="preserve"> to detect under- and over-utilization. What standards and measures are used?</w:t>
      </w:r>
    </w:p>
    <w:p w:rsidR="004E5913" w:rsidRPr="00990D3B" w:rsidP="00456AF5" w14:paraId="72B5A946" w14:textId="77777777">
      <w:pPr>
        <w:pStyle w:val="H2EQRWorksheetlist2"/>
      </w:pPr>
      <w:r w:rsidRPr="00990D3B">
        <w:t xml:space="preserve">How does the MCP define enrollees with “special health care needs”?  Does this definition match the state’s definition of special health care needs? How are these </w:t>
      </w:r>
      <w:r w:rsidRPr="00990D3B">
        <w:t>enrollees</w:t>
      </w:r>
      <w:r w:rsidRPr="00990D3B">
        <w:t xml:space="preserve"> identified/ tracked within your MCP?</w:t>
      </w:r>
    </w:p>
    <w:p w:rsidR="004E5913" w:rsidRPr="00990D3B" w:rsidP="00456AF5" w14:paraId="3E2BD8D1" w14:textId="77777777">
      <w:pPr>
        <w:pStyle w:val="H2EQRWorksheetlist2"/>
      </w:pPr>
      <w:r w:rsidRPr="00990D3B">
        <w:t>How does the MCP assess the quality and appropriateness of care including LTSS, furnished to enrollees with special health care needs? Please provide examples.</w:t>
      </w:r>
    </w:p>
    <w:p w:rsidR="004E5913" w:rsidRPr="00990D3B" w:rsidP="00456AF5" w14:paraId="3329A377" w14:textId="77777777">
      <w:pPr>
        <w:pStyle w:val="H2EQRWorksheetlist2"/>
        <w:rPr>
          <w:b/>
        </w:rPr>
      </w:pPr>
      <w:r w:rsidRPr="00990D3B">
        <w:t xml:space="preserve">Does the state require the MCP to evaluate the impact and effectiveness of its quality assessment and performance improvement program?  </w:t>
      </w:r>
    </w:p>
    <w:p w:rsidR="004E5913" w:rsidRPr="00990D3B" w:rsidP="00456AF5" w14:paraId="5F70E864" w14:textId="77777777">
      <w:pPr>
        <w:pStyle w:val="H2EQRWorksheetlist3"/>
        <w:rPr>
          <w:b/>
        </w:rPr>
      </w:pPr>
      <w:r w:rsidRPr="00990D3B">
        <w:t xml:space="preserve">How does the MCP conduct its evaluation? What aspects of the program are included in the evaluation? </w:t>
      </w:r>
    </w:p>
    <w:p w:rsidR="004E5913" w:rsidRPr="00990D3B" w:rsidP="00456AF5" w14:paraId="09902E35" w14:textId="77777777">
      <w:pPr>
        <w:pStyle w:val="H2EQRWorksheetlist3"/>
        <w:rPr>
          <w:b/>
        </w:rPr>
      </w:pPr>
      <w:r w:rsidRPr="00990D3B">
        <w:t xml:space="preserve">How often does the MCP conduct its evaluation? </w:t>
      </w:r>
    </w:p>
    <w:p w:rsidR="004E5913" w:rsidRPr="00990D3B" w:rsidP="00456AF5" w14:paraId="7B494D9D" w14:textId="77777777">
      <w:pPr>
        <w:pStyle w:val="H2EQRWorksheetlist3"/>
        <w:rPr>
          <w:b/>
        </w:rPr>
      </w:pPr>
      <w:r w:rsidRPr="00990D3B">
        <w:t>What were the findings of the MCP’s most recent self-evaluation?</w:t>
      </w:r>
    </w:p>
    <w:p w:rsidR="004E5913" w:rsidRPr="00990D3B" w:rsidP="00456AF5" w14:paraId="4633803D" w14:textId="77777777">
      <w:pPr>
        <w:pStyle w:val="H2EQRWorksheetlist3"/>
        <w:rPr>
          <w:b/>
        </w:rPr>
      </w:pPr>
      <w:r w:rsidRPr="00990D3B">
        <w:t xml:space="preserve">What action did the MCP take </w:t>
      </w:r>
      <w:r w:rsidRPr="00990D3B">
        <w:t>as a result of</w:t>
      </w:r>
      <w:r w:rsidRPr="00990D3B">
        <w:t xml:space="preserve"> the findings? </w:t>
      </w:r>
    </w:p>
    <w:p w:rsidR="004E5913" w:rsidRPr="00990D3B" w:rsidP="00456AF5" w14:paraId="40CB75E8" w14:textId="77777777">
      <w:pPr>
        <w:pStyle w:val="H2EQRWorksheetlist3"/>
        <w:rPr>
          <w:b/>
        </w:rPr>
      </w:pPr>
      <w:r w:rsidRPr="00990D3B">
        <w:t xml:space="preserve">What is reported to the state, and how often? </w:t>
      </w:r>
    </w:p>
    <w:p w:rsidR="004E5913" w:rsidRPr="00990D3B" w:rsidP="00456AF5" w14:paraId="587725A3" w14:textId="77777777">
      <w:pPr>
        <w:pStyle w:val="H2EQRWorksheetlist2"/>
      </w:pPr>
      <w:r w:rsidRPr="00990D3B">
        <w:t>For MCPs that provide LTSS services:</w:t>
      </w:r>
    </w:p>
    <w:p w:rsidR="004E5913" w:rsidRPr="00990D3B" w:rsidP="00456AF5" w14:paraId="6DEBCEAE" w14:textId="77777777">
      <w:pPr>
        <w:pStyle w:val="H2EQRWorksheetlist3"/>
      </w:pPr>
      <w:r w:rsidRPr="00990D3B">
        <w:t xml:space="preserve">How does the MCP assess quality and appropriateness of care in general, including but not limited to between care settings and comparing treatment plans to service/supports received? </w:t>
      </w:r>
    </w:p>
    <w:p w:rsidR="004E5913" w:rsidRPr="00990D3B" w:rsidP="00456AF5" w14:paraId="0A64DBB4" w14:textId="77777777">
      <w:pPr>
        <w:pStyle w:val="H2EQRWorksheetlist3"/>
      </w:pPr>
      <w:r w:rsidRPr="00990D3B">
        <w:t>How does the MCP participate in the state’s efforts to prevent, detect, and remediate critical incidents?</w:t>
      </w:r>
    </w:p>
    <w:p w:rsidR="004E5913" w:rsidRPr="00990D3B" w:rsidP="00456AF5" w14:paraId="5A4D50D8" w14:textId="77777777">
      <w:pPr>
        <w:pStyle w:val="H2EQRWorksheetlist2"/>
        <w:rPr>
          <w:b/>
        </w:rPr>
      </w:pPr>
      <w:r w:rsidRPr="00990D3B">
        <w:t>What interventions are used or are anticipated to be used to improve LTSS quality?  How will the interventions be evaluated for effectiveness? How will improvement be sustained or increased?</w:t>
      </w:r>
    </w:p>
    <w:p w:rsidR="004E5913" w:rsidRPr="00990D3B" w:rsidP="005023C5" w14:paraId="6323611B" w14:textId="4FC02DD5">
      <w:pPr>
        <w:pStyle w:val="EQRNormalSSWORKSHEET"/>
        <w:rPr>
          <w:b/>
          <w:bCs/>
        </w:rPr>
      </w:pPr>
      <w:r w:rsidRPr="00990D3B">
        <w:rPr>
          <w:b/>
          <w:bCs/>
        </w:rPr>
        <w:t>P</w:t>
      </w:r>
      <w:r w:rsidRPr="00990D3B">
        <w:rPr>
          <w:b/>
          <w:bCs/>
        </w:rPr>
        <w:t>rogram review by the state (</w:t>
      </w:r>
      <w:r w:rsidRPr="00990D3B" w:rsidR="001C7FC0">
        <w:rPr>
          <w:b/>
          <w:bCs/>
        </w:rPr>
        <w:t>42 C.F.R.</w:t>
      </w:r>
      <w:r w:rsidRPr="00990D3B" w:rsidR="007854DF">
        <w:rPr>
          <w:b/>
          <w:bCs/>
        </w:rPr>
        <w:t xml:space="preserve"> </w:t>
      </w:r>
      <w:r w:rsidRPr="00990D3B">
        <w:rPr>
          <w:b/>
          <w:bCs/>
        </w:rPr>
        <w:t>438.330(e) and 457.1240(b))</w:t>
      </w:r>
    </w:p>
    <w:p w:rsidR="004E5913" w:rsidRPr="00990D3B" w:rsidP="00013697" w14:paraId="5F514590" w14:textId="587810AE">
      <w:pPr>
        <w:pStyle w:val="H2EQRWorksheetlist2"/>
      </w:pPr>
      <w:r w:rsidRPr="00990D3B">
        <w:t xml:space="preserve">How does the state review the impact and effectiveness of the MCP’s QAPI program, including outcomes and trended results from the PIPs, reporting on performance measures, and the results of community integration for </w:t>
      </w:r>
      <w:r w:rsidRPr="00990D3B" w:rsidR="00622633">
        <w:t>enrollees</w:t>
      </w:r>
      <w:r w:rsidRPr="00990D3B">
        <w:t xml:space="preserve"> receiving LTSS?</w:t>
      </w:r>
    </w:p>
    <w:p w:rsidR="004E5913" w:rsidRPr="00990D3B" w:rsidP="00456AF5" w14:paraId="4BE68FB6" w14:textId="77777777">
      <w:pPr>
        <w:pStyle w:val="H2EQRWorksheetlist3"/>
      </w:pPr>
      <w:r w:rsidRPr="00990D3B">
        <w:t>What is the MCP’s role in the state’s evaluation?</w:t>
      </w:r>
    </w:p>
    <w:p w:rsidR="004E5913" w:rsidRPr="00990D3B" w:rsidP="00456AF5" w14:paraId="67241042" w14:textId="77777777">
      <w:pPr>
        <w:pStyle w:val="H2EQRWorksheetlist3"/>
      </w:pPr>
      <w:r w:rsidRPr="00990D3B">
        <w:t xml:space="preserve">What information, if </w:t>
      </w:r>
      <w:r w:rsidRPr="00990D3B">
        <w:t>any</w:t>
      </w:r>
      <w:r w:rsidRPr="00990D3B">
        <w:t>, does the MCP provide to the state?</w:t>
      </w:r>
    </w:p>
    <w:p w:rsidR="004E5913" w:rsidRPr="00990D3B" w:rsidP="00456AF5" w14:paraId="6D909754" w14:textId="77777777">
      <w:pPr>
        <w:pStyle w:val="H2EQRWorksheetlist3"/>
      </w:pPr>
      <w:r w:rsidRPr="00990D3B">
        <w:t xml:space="preserve">What feedback, if any, </w:t>
      </w:r>
      <w:r w:rsidRPr="00990D3B">
        <w:t>does</w:t>
      </w:r>
      <w:r w:rsidRPr="00990D3B">
        <w:t xml:space="preserve"> the MCP </w:t>
      </w:r>
      <w:r w:rsidRPr="00990D3B">
        <w:t>receive</w:t>
      </w:r>
      <w:r w:rsidRPr="00990D3B">
        <w:t xml:space="preserve"> from the state? How does the MCP implement the feedback? </w:t>
      </w:r>
    </w:p>
    <w:p w:rsidR="004E5913" w:rsidRPr="00990D3B" w:rsidP="00B4087D" w14:paraId="5F0A6C2C" w14:textId="2335A022">
      <w:pPr>
        <w:pStyle w:val="H2EQRWorksheetList1"/>
      </w:pPr>
      <w:r w:rsidRPr="00990D3B">
        <w:t>Section 3.</w:t>
      </w:r>
      <w:r w:rsidRPr="00990D3B">
        <w:t xml:space="preserve"> Grievance System</w:t>
      </w:r>
    </w:p>
    <w:p w:rsidR="004E5913" w:rsidRPr="00990D3B" w:rsidP="005023C5" w14:paraId="2DE4BB29" w14:textId="49EFCA6D">
      <w:pPr>
        <w:pStyle w:val="EQRNormalSSWORKSHEET"/>
        <w:rPr>
          <w:b/>
          <w:bCs/>
        </w:rPr>
      </w:pPr>
      <w:r w:rsidRPr="00990D3B">
        <w:rPr>
          <w:b/>
          <w:bCs/>
        </w:rPr>
        <w:t>D</w:t>
      </w:r>
      <w:r w:rsidRPr="00990D3B">
        <w:rPr>
          <w:b/>
          <w:bCs/>
        </w:rPr>
        <w:t>enial of services (</w:t>
      </w:r>
      <w:r w:rsidRPr="00990D3B" w:rsidR="001C7FC0">
        <w:rPr>
          <w:b/>
          <w:bCs/>
        </w:rPr>
        <w:t>42 C.F.R.</w:t>
      </w:r>
      <w:r w:rsidRPr="00990D3B" w:rsidR="007854DF">
        <w:rPr>
          <w:b/>
          <w:bCs/>
        </w:rPr>
        <w:t xml:space="preserve"> </w:t>
      </w:r>
      <w:r w:rsidRPr="00990D3B">
        <w:rPr>
          <w:b/>
          <w:bCs/>
        </w:rPr>
        <w:t>438.228</w:t>
      </w:r>
      <w:r w:rsidRPr="00990D3B" w:rsidR="00BF5BDE">
        <w:rPr>
          <w:b/>
          <w:bCs/>
        </w:rPr>
        <w:t>)</w:t>
      </w:r>
    </w:p>
    <w:p w:rsidR="004E5913" w:rsidRPr="00990D3B" w:rsidP="00B4087D" w14:paraId="3AECF24E" w14:textId="77777777">
      <w:pPr>
        <w:pStyle w:val="H2EQRWorksheetlist2"/>
      </w:pPr>
      <w:r w:rsidRPr="00990D3B">
        <w:t xml:space="preserve">How does the MCP track requests for covered services that the MCP or its providers have denied? </w:t>
      </w:r>
    </w:p>
    <w:p w:rsidR="004E5913" w:rsidRPr="00990D3B" w:rsidP="00B4087D" w14:paraId="2F186F15" w14:textId="77777777">
      <w:pPr>
        <w:pStyle w:val="H2EQRWorksheetlist2"/>
      </w:pPr>
      <w:r w:rsidRPr="00990D3B">
        <w:t xml:space="preserve">What was the volume of </w:t>
      </w:r>
      <w:r w:rsidRPr="00990D3B">
        <w:t>denied claims</w:t>
      </w:r>
      <w:r w:rsidRPr="00990D3B">
        <w:t xml:space="preserve"> for services in the most recent year?</w:t>
      </w:r>
    </w:p>
    <w:p w:rsidR="004E5913" w:rsidRPr="00990D3B" w:rsidP="00B4087D" w14:paraId="576A3CD0" w14:textId="77777777">
      <w:pPr>
        <w:pStyle w:val="H2EQRWorksheetlist2"/>
      </w:pPr>
      <w:r w:rsidRPr="00990D3B">
        <w:t xml:space="preserve">How do you ensure that Medicaid enrollees who were denied services </w:t>
      </w:r>
      <w:r w:rsidRPr="00990D3B">
        <w:t>were</w:t>
      </w:r>
      <w:r w:rsidRPr="00990D3B">
        <w:t xml:space="preserve"> notified of their right to a state fair hearing? </w:t>
      </w:r>
    </w:p>
    <w:p w:rsidR="004E5913" w:rsidRPr="00990D3B" w:rsidP="005023C5" w14:paraId="21ABDCA5" w14:textId="2F2010A9">
      <w:pPr>
        <w:pStyle w:val="EQRNormalSSWORKSHEET"/>
        <w:keepNext/>
        <w:rPr>
          <w:b/>
          <w:bCs/>
        </w:rPr>
      </w:pPr>
      <w:r w:rsidRPr="00990D3B">
        <w:rPr>
          <w:b/>
          <w:bCs/>
        </w:rPr>
        <w:t>G</w:t>
      </w:r>
      <w:r w:rsidRPr="00990D3B">
        <w:rPr>
          <w:b/>
          <w:bCs/>
        </w:rPr>
        <w:t>eneral requirements (</w:t>
      </w:r>
      <w:r w:rsidRPr="00990D3B" w:rsidR="001C7FC0">
        <w:rPr>
          <w:b/>
          <w:bCs/>
        </w:rPr>
        <w:t>42 C.F.R.</w:t>
      </w:r>
      <w:r w:rsidRPr="00990D3B" w:rsidR="007854DF">
        <w:rPr>
          <w:b/>
          <w:bCs/>
        </w:rPr>
        <w:t xml:space="preserve"> </w:t>
      </w:r>
      <w:r w:rsidRPr="00990D3B">
        <w:rPr>
          <w:b/>
          <w:bCs/>
        </w:rPr>
        <w:t>438.402 and 457.1260</w:t>
      </w:r>
      <w:r w:rsidRPr="00990D3B" w:rsidR="00985960">
        <w:rPr>
          <w:b/>
          <w:bCs/>
        </w:rPr>
        <w:t>(b)</w:t>
      </w:r>
      <w:r w:rsidRPr="00990D3B">
        <w:rPr>
          <w:b/>
          <w:bCs/>
        </w:rPr>
        <w:t>)</w:t>
      </w:r>
    </w:p>
    <w:p w:rsidR="004E5913" w:rsidRPr="00990D3B" w:rsidP="00013697" w14:paraId="593C5AB1" w14:textId="654FDA86">
      <w:pPr>
        <w:pStyle w:val="H2EQRWorksheetlist2"/>
      </w:pPr>
      <w:r w:rsidRPr="00990D3B">
        <w:t xml:space="preserve">Who in the MCP is responsible for the development and oversight of the appeals and grievance resolution process and access to state fair hearings or review? </w:t>
      </w:r>
    </w:p>
    <w:p w:rsidR="004E5913" w:rsidRPr="00990D3B" w:rsidP="00B4087D" w14:paraId="7B700D57" w14:textId="77777777">
      <w:pPr>
        <w:pStyle w:val="H2EQRWorksheetlist2"/>
      </w:pPr>
      <w:r w:rsidRPr="00990D3B">
        <w:t xml:space="preserve">What have been the volume of appeals/grievances/requests for state fair hearings or reviews in the past </w:t>
      </w:r>
      <w:r w:rsidRPr="00990D3B">
        <w:t>year</w:t>
      </w:r>
      <w:r w:rsidRPr="00990D3B">
        <w:t xml:space="preserve"> and the most common areas of concern expressed by Medicaid and CHIP </w:t>
      </w:r>
      <w:r w:rsidRPr="00990D3B">
        <w:t>enrollees</w:t>
      </w:r>
      <w:r w:rsidRPr="00990D3B">
        <w:t xml:space="preserve">?  </w:t>
      </w:r>
    </w:p>
    <w:p w:rsidR="004E5913" w:rsidRPr="00990D3B" w:rsidP="00B4087D" w14:paraId="14BCC908" w14:textId="77777777">
      <w:pPr>
        <w:pStyle w:val="H2EQRWorksheetlist3"/>
      </w:pPr>
      <w:r w:rsidRPr="00990D3B">
        <w:t>How has the MCP addressed these concerns?</w:t>
      </w:r>
    </w:p>
    <w:p w:rsidR="004E5913" w:rsidRPr="00990D3B" w:rsidP="00B4087D" w14:paraId="2978E64A" w14:textId="77777777">
      <w:pPr>
        <w:pStyle w:val="H2EQRWorksheetlist2"/>
      </w:pPr>
      <w:r w:rsidRPr="00990D3B">
        <w:t xml:space="preserve">Describe the notice and appeals process for adverse actions on enrollee requests for services or payment.  Please describe the </w:t>
      </w:r>
      <w:r w:rsidRPr="00990D3B">
        <w:t>particular steps</w:t>
      </w:r>
      <w:r w:rsidRPr="00990D3B">
        <w:t>, including time frames.</w:t>
      </w:r>
    </w:p>
    <w:p w:rsidR="004E5913" w:rsidRPr="00990D3B" w:rsidP="00CC07F4" w14:paraId="1E276912" w14:textId="35F9FCA6">
      <w:pPr>
        <w:pStyle w:val="EQRNormalSSWORKSHEET"/>
        <w:keepNext/>
        <w:rPr>
          <w:b/>
          <w:bCs/>
        </w:rPr>
      </w:pPr>
      <w:r w:rsidRPr="00990D3B">
        <w:rPr>
          <w:b/>
          <w:bCs/>
        </w:rPr>
        <w:t>C</w:t>
      </w:r>
      <w:r w:rsidRPr="00990D3B">
        <w:rPr>
          <w:b/>
          <w:bCs/>
        </w:rPr>
        <w:t>ontinuation of benefits (</w:t>
      </w:r>
      <w:r w:rsidRPr="00990D3B" w:rsidR="001C7FC0">
        <w:rPr>
          <w:b/>
          <w:bCs/>
        </w:rPr>
        <w:t>42 C.F.R.</w:t>
      </w:r>
      <w:r w:rsidRPr="00990D3B" w:rsidR="007854DF">
        <w:rPr>
          <w:b/>
          <w:bCs/>
        </w:rPr>
        <w:t xml:space="preserve"> </w:t>
      </w:r>
      <w:r w:rsidRPr="00990D3B">
        <w:rPr>
          <w:b/>
          <w:bCs/>
        </w:rPr>
        <w:t>438.404(b)(6))</w:t>
      </w:r>
    </w:p>
    <w:p w:rsidR="004E5913" w:rsidRPr="00990D3B" w:rsidP="00013697" w14:paraId="68F69640" w14:textId="64D02C52">
      <w:pPr>
        <w:pStyle w:val="H2EQRWorksheetlist2"/>
      </w:pPr>
      <w:r w:rsidRPr="00990D3B">
        <w:t xml:space="preserve">Does the Medicaid enrollee's right to have benefits continue pending resolution of the appeal, the process to request that benefits be continued, and the circumstances under which the enrollee may be required to pay the costs of these services differ between medical and LTSS? Note that continuation of benefits requirements </w:t>
      </w:r>
      <w:r w:rsidRPr="00990D3B">
        <w:t>do</w:t>
      </w:r>
      <w:r w:rsidRPr="00990D3B">
        <w:t xml:space="preserve"> not apply to CHIP enrollees.</w:t>
      </w:r>
    </w:p>
    <w:p w:rsidR="004E5913" w:rsidRPr="00990D3B" w:rsidP="00B4087D" w14:paraId="56EF16BA" w14:textId="77777777">
      <w:pPr>
        <w:pStyle w:val="H2EQRWorksheetlist3"/>
      </w:pPr>
      <w:r w:rsidRPr="00990D3B">
        <w:t xml:space="preserve">If so, how?  </w:t>
      </w:r>
    </w:p>
    <w:p w:rsidR="004E5913" w:rsidRPr="00990D3B" w:rsidP="00B4087D" w14:paraId="2D47B29E" w14:textId="77777777">
      <w:pPr>
        <w:pStyle w:val="H2EQRWorksheetlist3"/>
      </w:pPr>
      <w:r w:rsidRPr="00990D3B">
        <w:t>Are there any special considerations required for continuation of LTSS pending resolution of an appeal?</w:t>
      </w:r>
    </w:p>
    <w:p w:rsidR="004E5913" w:rsidRPr="00990D3B" w:rsidP="00CC07F4" w14:paraId="329C1118" w14:textId="2FAF2E6E">
      <w:pPr>
        <w:pStyle w:val="EQRNormalSSWORKSHEET"/>
        <w:keepNext/>
        <w:rPr>
          <w:b/>
          <w:bCs/>
        </w:rPr>
      </w:pPr>
      <w:r w:rsidRPr="00990D3B">
        <w:rPr>
          <w:b/>
          <w:bCs/>
        </w:rPr>
        <w:t>Handling of grievances and appeals (</w:t>
      </w:r>
      <w:r w:rsidRPr="00990D3B" w:rsidR="001C7FC0">
        <w:rPr>
          <w:b/>
          <w:bCs/>
        </w:rPr>
        <w:t>42 C.F.R.</w:t>
      </w:r>
      <w:r w:rsidRPr="00990D3B" w:rsidR="007854DF">
        <w:rPr>
          <w:b/>
          <w:bCs/>
        </w:rPr>
        <w:t xml:space="preserve"> </w:t>
      </w:r>
      <w:r w:rsidRPr="00990D3B">
        <w:rPr>
          <w:b/>
          <w:bCs/>
        </w:rPr>
        <w:t>438.406 and 457.1260</w:t>
      </w:r>
      <w:r w:rsidRPr="00990D3B" w:rsidR="00B74B61">
        <w:rPr>
          <w:b/>
          <w:bCs/>
        </w:rPr>
        <w:t>(d)</w:t>
      </w:r>
      <w:r w:rsidRPr="00990D3B">
        <w:rPr>
          <w:b/>
          <w:bCs/>
        </w:rPr>
        <w:t>)</w:t>
      </w:r>
    </w:p>
    <w:p w:rsidR="004E5913" w:rsidRPr="00990D3B" w:rsidP="00013697" w14:paraId="28489A51" w14:textId="467DC47C">
      <w:pPr>
        <w:pStyle w:val="H2EQRWorksheetlist2"/>
      </w:pPr>
      <w:r w:rsidRPr="00990D3B">
        <w:t xml:space="preserve">To what extent does your MCP provide Medicaid and CHIP </w:t>
      </w:r>
      <w:r w:rsidRPr="00990D3B">
        <w:t>enrollees</w:t>
      </w:r>
      <w:r w:rsidRPr="00990D3B">
        <w:t xml:space="preserve"> with assistance in completing forms and taking other procedural steps in the grievance and appeal process?  How does the MCP </w:t>
      </w:r>
      <w:r w:rsidRPr="00990D3B">
        <w:t>provide assistance</w:t>
      </w:r>
      <w:r w:rsidRPr="00990D3B">
        <w:t>?</w:t>
      </w:r>
    </w:p>
    <w:p w:rsidR="004E5913" w:rsidRPr="00990D3B" w:rsidP="00B4087D" w14:paraId="0454CBAE" w14:textId="77777777">
      <w:pPr>
        <w:pStyle w:val="H2EQRWorksheetlist2"/>
      </w:pPr>
      <w:r w:rsidRPr="00990D3B">
        <w:t xml:space="preserve">How does your MCP treat oral requests by Medicaid and CHIP </w:t>
      </w:r>
      <w:r w:rsidRPr="00990D3B">
        <w:t>enrollees</w:t>
      </w:r>
      <w:r w:rsidRPr="00990D3B">
        <w:t xml:space="preserve"> to appeal actions? </w:t>
      </w:r>
    </w:p>
    <w:p w:rsidR="004E5913" w:rsidRPr="00990D3B" w:rsidP="00B4087D" w14:paraId="441672CE" w14:textId="77777777">
      <w:pPr>
        <w:pStyle w:val="H2EQRWorksheetlist2"/>
      </w:pPr>
      <w:r w:rsidRPr="00990D3B">
        <w:t>As part of an appeal, to what extent do enrollees and their representatives have an opportunity to:</w:t>
      </w:r>
    </w:p>
    <w:p w:rsidR="004E5913" w:rsidRPr="00990D3B" w:rsidP="00B4087D" w14:paraId="2C3F2333" w14:textId="77777777">
      <w:pPr>
        <w:pStyle w:val="H2EQRWorksheetlist3"/>
      </w:pPr>
      <w:r w:rsidRPr="00990D3B">
        <w:t xml:space="preserve">Present evidence, and </w:t>
      </w:r>
    </w:p>
    <w:p w:rsidR="004E5913" w:rsidRPr="00990D3B" w:rsidP="00B4087D" w14:paraId="0D36379E" w14:textId="77777777">
      <w:pPr>
        <w:pStyle w:val="H2EQRWorksheetlist3"/>
      </w:pPr>
      <w:r w:rsidRPr="00990D3B">
        <w:t xml:space="preserve">Examine the enrollee’s case file, including medical records, and any other documents and records considered during the appeals process. </w:t>
      </w:r>
    </w:p>
    <w:p w:rsidR="004E5913" w:rsidRPr="00990D3B" w:rsidP="00B4087D" w14:paraId="740064F0" w14:textId="77777777">
      <w:pPr>
        <w:pStyle w:val="H2EQRWorksheetlist2"/>
      </w:pPr>
      <w:r w:rsidRPr="00990D3B">
        <w:t xml:space="preserve">What are the qualifications and credentials of individuals who make decisions on grievances and appeals?  </w:t>
      </w:r>
    </w:p>
    <w:p w:rsidR="004E5913" w:rsidRPr="00990D3B" w:rsidP="00122F6D" w14:paraId="4E2D4266" w14:textId="77777777">
      <w:pPr>
        <w:pStyle w:val="H2EQRWorksheetlist3"/>
      </w:pPr>
      <w:r w:rsidRPr="00990D3B">
        <w:t>How does the MCP ensure that these</w:t>
      </w:r>
      <w:r w:rsidRPr="00990D3B">
        <w:rPr>
          <w:b/>
        </w:rPr>
        <w:t xml:space="preserve"> </w:t>
      </w:r>
      <w:r w:rsidRPr="00990D3B">
        <w:t>individuals have not been involved in any previous level of review or decision-making?</w:t>
      </w:r>
    </w:p>
    <w:p w:rsidR="004E5913" w:rsidRPr="00990D3B" w:rsidP="00122F6D" w14:paraId="39591C98" w14:textId="77777777">
      <w:pPr>
        <w:pStyle w:val="H2EQRWorksheetlist3"/>
      </w:pPr>
      <w:r w:rsidRPr="00990D3B">
        <w:t>How does the MCP ensure that these</w:t>
      </w:r>
      <w:r w:rsidRPr="00990D3B">
        <w:rPr>
          <w:b/>
        </w:rPr>
        <w:t xml:space="preserve"> </w:t>
      </w:r>
      <w:r w:rsidRPr="00990D3B">
        <w:t xml:space="preserve">individuals have the appropriate clinical expertise in treating the enrollee’s condition or disease, if </w:t>
      </w:r>
      <w:r w:rsidRPr="00990D3B">
        <w:t>deciding</w:t>
      </w:r>
      <w:r w:rsidRPr="00990D3B">
        <w:t xml:space="preserve"> any of the following:</w:t>
      </w:r>
    </w:p>
    <w:p w:rsidR="004E5913" w:rsidRPr="00990D3B" w:rsidP="00122F6D" w14:paraId="2AAACF62" w14:textId="77777777">
      <w:pPr>
        <w:pStyle w:val="H2EQRWorksheetlist3"/>
      </w:pPr>
      <w:r w:rsidRPr="00990D3B">
        <w:t xml:space="preserve">An appeal </w:t>
      </w:r>
      <w:r w:rsidRPr="00990D3B">
        <w:t>of</w:t>
      </w:r>
      <w:r w:rsidRPr="00990D3B">
        <w:t xml:space="preserve"> a denial that is based on lack of medical necessity</w:t>
      </w:r>
    </w:p>
    <w:p w:rsidR="004E5913" w:rsidRPr="00990D3B" w:rsidP="00122F6D" w14:paraId="75E2A61C" w14:textId="77777777">
      <w:pPr>
        <w:pStyle w:val="H2EQRWorksheetlist3"/>
      </w:pPr>
      <w:r w:rsidRPr="00990D3B">
        <w:t>A grievance regarding denial of expedited resolution of an appeal</w:t>
      </w:r>
    </w:p>
    <w:p w:rsidR="004E5913" w:rsidRPr="00990D3B" w:rsidP="00122F6D" w14:paraId="130B7344" w14:textId="77777777">
      <w:pPr>
        <w:pStyle w:val="H2EQRWorksheetlist3"/>
      </w:pPr>
      <w:r w:rsidRPr="00990D3B">
        <w:t>A grievance or appeal that involves clinical issues</w:t>
      </w:r>
    </w:p>
    <w:p w:rsidR="004E5913" w:rsidRPr="00990D3B" w:rsidP="00B4087D" w14:paraId="3951AB2E" w14:textId="77777777">
      <w:pPr>
        <w:pStyle w:val="H2EQRWorksheetlist2"/>
      </w:pPr>
      <w:r w:rsidRPr="00990D3B">
        <w:t>Is there a process in place to monitor either the appeal and grievance process or the areas of concern identified by enrollee appeals and grievances?</w:t>
      </w:r>
    </w:p>
    <w:p w:rsidR="004E5913" w:rsidRPr="00990D3B" w:rsidP="00CC07F4" w14:paraId="0D20D563" w14:textId="2CB55478">
      <w:pPr>
        <w:pStyle w:val="EQRNormalSSWORKSHEET"/>
        <w:keepNext/>
        <w:rPr>
          <w:rFonts w:cs="Arial"/>
          <w:b/>
          <w:bCs/>
        </w:rPr>
      </w:pPr>
      <w:r w:rsidRPr="00990D3B">
        <w:rPr>
          <w:b/>
          <w:bCs/>
        </w:rPr>
        <w:t>Resolution</w:t>
      </w:r>
      <w:r w:rsidRPr="00990D3B">
        <w:rPr>
          <w:rFonts w:cs="Arial"/>
          <w:b/>
          <w:bCs/>
        </w:rPr>
        <w:t xml:space="preserve"> and notification</w:t>
      </w:r>
      <w:r w:rsidRPr="00990D3B" w:rsidR="00861A95">
        <w:rPr>
          <w:rFonts w:cs="Arial"/>
          <w:b/>
          <w:bCs/>
        </w:rPr>
        <w:t xml:space="preserve"> </w:t>
      </w:r>
      <w:r w:rsidRPr="00990D3B">
        <w:rPr>
          <w:rFonts w:cs="Arial"/>
          <w:b/>
          <w:bCs/>
        </w:rPr>
        <w:t>(</w:t>
      </w:r>
      <w:r w:rsidRPr="00990D3B" w:rsidR="001C7FC0">
        <w:rPr>
          <w:rFonts w:cs="Arial"/>
          <w:b/>
          <w:bCs/>
        </w:rPr>
        <w:t>42 C.F.R.</w:t>
      </w:r>
      <w:r w:rsidRPr="00990D3B" w:rsidR="007854DF">
        <w:rPr>
          <w:rFonts w:cs="Arial"/>
          <w:b/>
          <w:bCs/>
        </w:rPr>
        <w:t xml:space="preserve"> </w:t>
      </w:r>
      <w:r w:rsidRPr="00990D3B">
        <w:rPr>
          <w:rFonts w:cs="Arial"/>
          <w:b/>
          <w:bCs/>
        </w:rPr>
        <w:t>438.408 and 457.1260</w:t>
      </w:r>
      <w:r w:rsidRPr="00990D3B" w:rsidR="006A2368">
        <w:rPr>
          <w:rFonts w:cs="Arial"/>
          <w:b/>
          <w:bCs/>
        </w:rPr>
        <w:t>(e)</w:t>
      </w:r>
      <w:r w:rsidRPr="00990D3B">
        <w:rPr>
          <w:rFonts w:cs="Arial"/>
          <w:b/>
          <w:bCs/>
        </w:rPr>
        <w:t>)</w:t>
      </w:r>
    </w:p>
    <w:p w:rsidR="004E5913" w:rsidRPr="00990D3B" w:rsidP="00013697" w14:paraId="3FA6E9FE" w14:textId="18607698">
      <w:pPr>
        <w:pStyle w:val="H2EQRWorksheetlist2"/>
      </w:pPr>
      <w:r w:rsidRPr="00990D3B">
        <w:t xml:space="preserve">Approximately how many </w:t>
      </w:r>
      <w:r w:rsidRPr="00990D3B">
        <w:t>grievances did</w:t>
      </w:r>
      <w:r w:rsidRPr="00990D3B">
        <w:t xml:space="preserve"> the MCP </w:t>
      </w:r>
      <w:r w:rsidRPr="00990D3B">
        <w:t>receive</w:t>
      </w:r>
      <w:r w:rsidRPr="00990D3B">
        <w:t xml:space="preserve"> in the most recent reporting year?</w:t>
      </w:r>
    </w:p>
    <w:p w:rsidR="004E5913" w:rsidRPr="00990D3B" w:rsidP="00122F6D" w14:paraId="016B8381" w14:textId="77777777">
      <w:pPr>
        <w:pStyle w:val="H2EQRWorksheetlist2"/>
      </w:pPr>
      <w:r w:rsidRPr="00990D3B">
        <w:t>Approximately how many appeals did the MCP receive in the most recent reporting year?</w:t>
      </w:r>
    </w:p>
    <w:p w:rsidR="004E5913" w:rsidRPr="00990D3B" w:rsidP="00122F6D" w14:paraId="14A09141" w14:textId="77777777">
      <w:pPr>
        <w:pStyle w:val="H2EQRWorksheetlist2"/>
      </w:pPr>
      <w:r w:rsidRPr="00990D3B">
        <w:t xml:space="preserve">Approximately what percent of notices of action on requests for service authorization or payment by Medicaid and CHIP enrollees are appealed to the MCP? </w:t>
      </w:r>
    </w:p>
    <w:p w:rsidR="004E5913" w:rsidRPr="00990D3B" w:rsidP="00122F6D" w14:paraId="6EF13697" w14:textId="77777777">
      <w:pPr>
        <w:pStyle w:val="H2EQRWorksheetlist2"/>
      </w:pPr>
      <w:r w:rsidRPr="00990D3B">
        <w:t xml:space="preserve">Approximately what </w:t>
      </w:r>
      <w:r w:rsidRPr="00990D3B">
        <w:t>percent</w:t>
      </w:r>
      <w:r w:rsidRPr="00990D3B">
        <w:t xml:space="preserve"> of notices of action on requests for service authorization or payment by Medicaid and CHIP enrollees are appealed to the state fair hearing process? </w:t>
      </w:r>
    </w:p>
    <w:p w:rsidR="004E5913" w:rsidRPr="00990D3B" w:rsidP="00122F6D" w14:paraId="36C82B3D" w14:textId="77777777">
      <w:pPr>
        <w:pStyle w:val="H2EQRWorksheetlist3"/>
      </w:pPr>
      <w:r w:rsidRPr="00990D3B">
        <w:t>Approximately what percent of these are overturned by the state?</w:t>
      </w:r>
    </w:p>
    <w:p w:rsidR="004E5913" w:rsidRPr="00990D3B" w:rsidP="00CC07F4" w14:paraId="382FA671" w14:textId="67D8732D">
      <w:pPr>
        <w:pStyle w:val="EQRNormalSSWORKSHEET"/>
        <w:keepNext/>
        <w:rPr>
          <w:rFonts w:cs="Arial"/>
          <w:b/>
          <w:bCs/>
        </w:rPr>
      </w:pPr>
      <w:r w:rsidRPr="00990D3B">
        <w:rPr>
          <w:rFonts w:cs="Arial"/>
          <w:b/>
          <w:bCs/>
        </w:rPr>
        <w:t xml:space="preserve">Expedited </w:t>
      </w:r>
      <w:r w:rsidRPr="00990D3B">
        <w:rPr>
          <w:b/>
          <w:bCs/>
        </w:rPr>
        <w:t>resolution</w:t>
      </w:r>
      <w:r w:rsidRPr="00990D3B">
        <w:rPr>
          <w:rFonts w:cs="Arial"/>
          <w:b/>
          <w:bCs/>
        </w:rPr>
        <w:t xml:space="preserve"> of appeals (</w:t>
      </w:r>
      <w:r w:rsidRPr="00990D3B" w:rsidR="001C7FC0">
        <w:rPr>
          <w:rFonts w:cs="Arial"/>
          <w:b/>
          <w:bCs/>
        </w:rPr>
        <w:t>42 C.F.R.</w:t>
      </w:r>
      <w:r w:rsidRPr="00990D3B" w:rsidR="007854DF">
        <w:rPr>
          <w:rFonts w:cs="Arial"/>
          <w:b/>
          <w:bCs/>
        </w:rPr>
        <w:t xml:space="preserve"> </w:t>
      </w:r>
      <w:r w:rsidRPr="00990D3B">
        <w:rPr>
          <w:rFonts w:cs="Arial"/>
          <w:b/>
          <w:bCs/>
        </w:rPr>
        <w:t>438.410 and 457.1260</w:t>
      </w:r>
      <w:r w:rsidRPr="00990D3B" w:rsidR="006A2368">
        <w:rPr>
          <w:rFonts w:cs="Arial"/>
          <w:b/>
          <w:bCs/>
        </w:rPr>
        <w:t>(f)</w:t>
      </w:r>
      <w:r w:rsidRPr="00990D3B">
        <w:rPr>
          <w:rFonts w:cs="Arial"/>
          <w:b/>
          <w:bCs/>
        </w:rPr>
        <w:t>)</w:t>
      </w:r>
    </w:p>
    <w:p w:rsidR="004E5913" w:rsidRPr="00990D3B" w:rsidP="00013697" w14:paraId="17110A61" w14:textId="6AD87843">
      <w:pPr>
        <w:pStyle w:val="H2EQRWorksheetlist2"/>
      </w:pPr>
      <w:r w:rsidRPr="00990D3B">
        <w:t>Is there a process in place for those instances when an enrollee’s health condition requires expedited resolution of an appeal?  If so, please describe this process. What are the time frames for this process?</w:t>
      </w:r>
    </w:p>
    <w:p w:rsidR="004E5913" w:rsidRPr="00990D3B" w:rsidP="00122F6D" w14:paraId="03C7F01A" w14:textId="77777777">
      <w:pPr>
        <w:pStyle w:val="H2EQRWorksheetlist2"/>
      </w:pPr>
      <w:r w:rsidRPr="00990D3B">
        <w:t>Are physicians allowed to request expedited appeals on behalf of an enrollee?  How does the MCP protect physicians who make such requests?</w:t>
      </w:r>
    </w:p>
    <w:p w:rsidR="004E5913" w:rsidRPr="00990D3B" w:rsidP="00CC07F4" w14:paraId="2852C627" w14:textId="1E0932CB">
      <w:pPr>
        <w:pStyle w:val="EQRNormalSSWORKSHEET"/>
        <w:keepNext/>
        <w:rPr>
          <w:rFonts w:cs="Arial"/>
          <w:b/>
          <w:bCs/>
        </w:rPr>
      </w:pPr>
      <w:r w:rsidRPr="00990D3B">
        <w:rPr>
          <w:b/>
          <w:bCs/>
        </w:rPr>
        <w:t>Information</w:t>
      </w:r>
      <w:r w:rsidRPr="00990D3B">
        <w:rPr>
          <w:rFonts w:cs="Arial"/>
          <w:b/>
          <w:bCs/>
        </w:rPr>
        <w:t xml:space="preserve"> about the grievance system to providers and subcontractors (</w:t>
      </w:r>
      <w:r w:rsidRPr="00990D3B" w:rsidR="001C7FC0">
        <w:rPr>
          <w:rFonts w:cs="Arial"/>
          <w:b/>
          <w:bCs/>
        </w:rPr>
        <w:t>42 C.F.R.</w:t>
      </w:r>
      <w:r w:rsidRPr="00990D3B" w:rsidR="007854DF">
        <w:rPr>
          <w:rFonts w:cs="Arial"/>
          <w:b/>
          <w:bCs/>
        </w:rPr>
        <w:t xml:space="preserve"> </w:t>
      </w:r>
      <w:r w:rsidRPr="00990D3B">
        <w:rPr>
          <w:rFonts w:cs="Arial"/>
          <w:b/>
          <w:bCs/>
        </w:rPr>
        <w:t>438.414 and 457.1260)</w:t>
      </w:r>
    </w:p>
    <w:p w:rsidR="004E5913" w:rsidRPr="00990D3B" w:rsidP="00013697" w14:paraId="0A887C32" w14:textId="27F396FE">
      <w:pPr>
        <w:pStyle w:val="H2EQRWorksheetlist2"/>
      </w:pPr>
      <w:r w:rsidRPr="00990D3B">
        <w:t>Who in your MCP has responsibility for the functioning of the grievance process and the authority to require corrective action?</w:t>
      </w:r>
    </w:p>
    <w:p w:rsidR="004E5913" w:rsidRPr="00990D3B" w:rsidP="00122F6D" w14:paraId="31113C38" w14:textId="10C61B7D">
      <w:pPr>
        <w:pStyle w:val="H2EQRWorksheetlist2"/>
      </w:pPr>
      <w:r w:rsidRPr="00990D3B">
        <w:t xml:space="preserve">Did your state Medicaid and CHIP </w:t>
      </w:r>
      <w:r w:rsidRPr="00990D3B" w:rsidR="00C67AC8">
        <w:t xml:space="preserve">program </w:t>
      </w:r>
      <w:r w:rsidRPr="00990D3B">
        <w:t xml:space="preserve">develop or approve the description of your MCP’s grievance system provided to Medicaid and CHIP providers?  [Note: clarify if the state Medicaid and CHIP </w:t>
      </w:r>
      <w:r w:rsidRPr="00990D3B" w:rsidR="00C67AC8">
        <w:t xml:space="preserve">program </w:t>
      </w:r>
      <w:r w:rsidRPr="00990D3B">
        <w:t xml:space="preserve">developed or </w:t>
      </w:r>
      <w:r w:rsidRPr="00990D3B">
        <w:t>approved]  If</w:t>
      </w:r>
      <w:r w:rsidRPr="00990D3B">
        <w:t xml:space="preserve"> it approved your description, how is the state’s approval documented?</w:t>
      </w:r>
    </w:p>
    <w:p w:rsidR="004E5913" w:rsidRPr="00990D3B" w:rsidP="00BD1FC3" w14:paraId="7D3FF0B4" w14:textId="5977EAC5">
      <w:pPr>
        <w:keepNext/>
        <w:spacing w:line="240" w:lineRule="exact"/>
        <w:rPr>
          <w:rFonts w:ascii="Arial" w:hAnsi="Arial" w:cs="Arial"/>
          <w:b/>
          <w:bCs/>
          <w:sz w:val="18"/>
          <w:szCs w:val="18"/>
        </w:rPr>
      </w:pPr>
      <w:r w:rsidRPr="00990D3B">
        <w:rPr>
          <w:rFonts w:ascii="Arial" w:hAnsi="Arial" w:cs="Arial"/>
          <w:b/>
          <w:bCs/>
          <w:sz w:val="18"/>
          <w:szCs w:val="18"/>
        </w:rPr>
        <w:t>Recordkeeping and reporting requirements: grievances and appeals (</w:t>
      </w:r>
      <w:r w:rsidRPr="00990D3B" w:rsidR="001C7FC0">
        <w:rPr>
          <w:rFonts w:ascii="Arial" w:hAnsi="Arial" w:cs="Arial"/>
          <w:b/>
          <w:bCs/>
          <w:sz w:val="18"/>
          <w:szCs w:val="18"/>
        </w:rPr>
        <w:t>42 C.F.R.</w:t>
      </w:r>
      <w:r w:rsidRPr="00990D3B" w:rsidR="007854DF">
        <w:rPr>
          <w:rFonts w:ascii="Arial" w:hAnsi="Arial" w:cs="Arial"/>
          <w:b/>
          <w:bCs/>
          <w:sz w:val="18"/>
          <w:szCs w:val="18"/>
        </w:rPr>
        <w:t xml:space="preserve"> </w:t>
      </w:r>
      <w:r w:rsidRPr="00990D3B">
        <w:rPr>
          <w:rFonts w:ascii="Arial" w:hAnsi="Arial" w:cs="Arial"/>
          <w:b/>
          <w:bCs/>
          <w:sz w:val="18"/>
          <w:szCs w:val="18"/>
        </w:rPr>
        <w:t>438.416 and 457.1260</w:t>
      </w:r>
      <w:r w:rsidRPr="00990D3B" w:rsidR="005836E0">
        <w:rPr>
          <w:rFonts w:ascii="Arial" w:hAnsi="Arial" w:cs="Arial"/>
          <w:b/>
          <w:bCs/>
          <w:sz w:val="18"/>
          <w:szCs w:val="18"/>
        </w:rPr>
        <w:t>(h)</w:t>
      </w:r>
      <w:r w:rsidRPr="00990D3B">
        <w:rPr>
          <w:rFonts w:ascii="Arial" w:hAnsi="Arial" w:cs="Arial"/>
          <w:b/>
          <w:bCs/>
          <w:sz w:val="18"/>
          <w:szCs w:val="18"/>
        </w:rPr>
        <w:t>)</w:t>
      </w:r>
    </w:p>
    <w:p w:rsidR="004E5913" w:rsidRPr="00990D3B" w:rsidP="00122F6D" w14:paraId="19022AB8" w14:textId="77777777">
      <w:pPr>
        <w:pStyle w:val="H2EQRWorksheetlist2"/>
      </w:pPr>
      <w:r w:rsidRPr="00990D3B">
        <w:t>Where in your MCP are records on Medicaid and CHIP enrollee grievances and appeals kept?</w:t>
      </w:r>
    </w:p>
    <w:p w:rsidR="004E5913" w:rsidRPr="00990D3B" w:rsidP="00BD1FC3" w14:paraId="032D9C1B" w14:textId="77777777">
      <w:bookmarkStart w:id="422" w:name="_MCO_Information_Systems"/>
      <w:bookmarkEnd w:id="422"/>
      <w:r w:rsidRPr="00990D3B">
        <w:br w:type="page"/>
      </w:r>
    </w:p>
    <w:p w:rsidR="004E5913" w:rsidRPr="00990D3B" w:rsidP="002B40CC" w14:paraId="07CA6153" w14:textId="3449AB4F">
      <w:pPr>
        <w:pStyle w:val="H2EQRWorksheet"/>
      </w:pPr>
      <w:r w:rsidRPr="00990D3B">
        <w:t>MCP Information Systems Staff Interview</w:t>
      </w:r>
    </w:p>
    <w:p w:rsidR="004E5913" w:rsidRPr="00990D3B" w:rsidP="00BD1FC3" w14:paraId="7A045264" w14:textId="77777777">
      <w:pPr>
        <w:pStyle w:val="EQRNormalSSWORKSHEET"/>
      </w:pPr>
      <w:r w:rsidRPr="00990D3B">
        <w:rPr>
          <w:b/>
        </w:rPr>
        <w:t>Instructions.</w:t>
      </w:r>
      <w:r w:rsidRPr="00990D3B">
        <w:t xml:space="preserve"> This interview will assess the MCP’s information management function and how it supports the other functions of the organization, such as planning and operations, quality assessment and improvement program activities, care coordination, etc. This is also an opportunity to explore the extent to which the health information needs of the entire MCP and provider network are measured, assessed, and improved.</w:t>
      </w:r>
    </w:p>
    <w:p w:rsidR="004E5913" w:rsidRPr="00990D3B" w:rsidP="00BD1FC3" w14:paraId="12D9C1BB" w14:textId="77777777">
      <w:pPr>
        <w:pStyle w:val="EQRNormalSSWORKSHEET"/>
      </w:pPr>
      <w:r w:rsidRPr="00990D3B">
        <w:t xml:space="preserve">The interview should include MCP staff responsible for health information systems issues at the MCP. It should include those responsible for technology implementation, as well as staff that are responsible for </w:t>
      </w:r>
      <w:r w:rsidRPr="00990D3B">
        <w:t>the information</w:t>
      </w:r>
      <w:r w:rsidRPr="00990D3B">
        <w:t xml:space="preserve"> quality, information transmittal, information sharing, and information policy and procedure development and implementation. </w:t>
      </w:r>
    </w:p>
    <w:p w:rsidR="004E5913" w:rsidRPr="00990D3B" w:rsidP="00BD1FC3" w14:paraId="46E9CD6B" w14:textId="78D7D78A">
      <w:pPr>
        <w:pStyle w:val="EQRNormalSSWORKSHEET"/>
        <w:rPr>
          <w:b/>
        </w:rPr>
      </w:pPr>
      <w:r w:rsidRPr="00990D3B">
        <w:rPr>
          <w:b/>
        </w:rPr>
        <w:t xml:space="preserve">Information system capabilities. </w:t>
      </w:r>
      <w:r w:rsidRPr="00990D3B">
        <w:t xml:space="preserve">The interviewees should receive a copy of the MCP’s most recent Information Systems Capability Assessment (ISCA) (see </w:t>
      </w:r>
      <w:hyperlink w:anchor="AppA" w:tooltip="Appendix A" w:history="1">
        <w:r w:rsidRPr="00990D3B" w:rsidR="00CF5AB3">
          <w:rPr>
            <w:rStyle w:val="Hyperlink"/>
          </w:rPr>
          <w:t>Appendix B</w:t>
        </w:r>
      </w:hyperlink>
      <w:r w:rsidRPr="00990D3B">
        <w:t>) that has either been completed by an independent organization reviewing the MCP or has been completed by the organization conducting this compliance review.</w:t>
      </w:r>
      <w:r w:rsidRPr="00990D3B" w:rsidR="003162DF">
        <w:rPr>
          <w:rFonts w:ascii="ZWAdobeF" w:hAnsi="ZWAdobeF" w:cs="ZWAdobeF"/>
          <w:sz w:val="2"/>
          <w:szCs w:val="2"/>
        </w:rPr>
        <w:t>59F</w:t>
      </w:r>
      <w:r>
        <w:rPr>
          <w:rStyle w:val="FootnoteReference"/>
        </w:rPr>
        <w:footnoteReference w:id="65"/>
      </w:r>
      <w:r w:rsidRPr="00990D3B">
        <w:t xml:space="preserve"> The findings of the ISCA will serve as a guide to conducting this interview. During this interview, validate the information provided about the MCP on the ISCA, explore any areas of concern, and gather missing or additional information for use in evaluating standards compliance, paying particular attention to how data are defined and captured across the MCP and how data transmission and integration </w:t>
      </w:r>
      <w:r w:rsidRPr="00990D3B">
        <w:t>takes</w:t>
      </w:r>
      <w:r w:rsidRPr="00990D3B">
        <w:t xml:space="preserve"> place across the MCP. Questions and areas of discussion should be based on the findings of the ISCA, and may include:</w:t>
      </w:r>
    </w:p>
    <w:p w:rsidR="004E5913" w:rsidRPr="00990D3B" w:rsidP="002D35CF" w14:paraId="127A5B57" w14:textId="77777777">
      <w:pPr>
        <w:pStyle w:val="EQRNormalSSWSquestionNUMBER"/>
        <w:numPr>
          <w:ilvl w:val="0"/>
          <w:numId w:val="70"/>
        </w:numPr>
      </w:pPr>
      <w:r w:rsidRPr="00990D3B">
        <w:t>Are the findings of the most recent assessment of the MCP’s information systems capacity reflective of your own assessment of capabilities?</w:t>
      </w:r>
    </w:p>
    <w:p w:rsidR="004E5913" w:rsidRPr="00990D3B" w:rsidP="00CC07F4" w14:paraId="7B0EC76F" w14:textId="77777777">
      <w:pPr>
        <w:pStyle w:val="EQRNormalSSWSquestionNUMBER"/>
      </w:pPr>
      <w:r w:rsidRPr="00990D3B">
        <w:t xml:space="preserve">What are your information system’s strengths and weaknesses? </w:t>
      </w:r>
    </w:p>
    <w:p w:rsidR="004E5913" w:rsidRPr="00990D3B" w:rsidP="002D35CF" w14:paraId="0105DB53" w14:textId="77777777">
      <w:pPr>
        <w:pStyle w:val="EQRNormalSSWSquestionsub"/>
        <w:numPr>
          <w:ilvl w:val="0"/>
          <w:numId w:val="71"/>
        </w:numPr>
      </w:pPr>
      <w:r w:rsidRPr="00990D3B">
        <w:t xml:space="preserve">What has </w:t>
      </w:r>
      <w:r w:rsidRPr="00990D3B">
        <w:t>the MCP</w:t>
      </w:r>
      <w:r w:rsidRPr="00990D3B">
        <w:t xml:space="preserve"> done to address information system problem areas? </w:t>
      </w:r>
    </w:p>
    <w:p w:rsidR="004E5913" w:rsidRPr="00990D3B" w:rsidP="00CC07F4" w14:paraId="58BBA524" w14:textId="77777777">
      <w:pPr>
        <w:pStyle w:val="EQRNormalSSWSquestionNUMBER"/>
      </w:pPr>
      <w:r w:rsidRPr="00990D3B">
        <w:t xml:space="preserve">What </w:t>
      </w:r>
      <w:r w:rsidRPr="00990D3B">
        <w:t>information needs</w:t>
      </w:r>
      <w:r w:rsidRPr="00990D3B">
        <w:t xml:space="preserve"> does your MCP </w:t>
      </w:r>
      <w:r w:rsidRPr="00990D3B">
        <w:t>have</w:t>
      </w:r>
      <w:r w:rsidRPr="00990D3B">
        <w:t xml:space="preserve"> that </w:t>
      </w:r>
      <w:r w:rsidRPr="00990D3B">
        <w:t>are</w:t>
      </w:r>
      <w:r w:rsidRPr="00990D3B">
        <w:t xml:space="preserve"> not currently met by your present information system?  </w:t>
      </w:r>
    </w:p>
    <w:p w:rsidR="004E5913" w:rsidRPr="00990D3B" w:rsidP="002D35CF" w14:paraId="31BB3371" w14:textId="77777777">
      <w:pPr>
        <w:pStyle w:val="EQRNormalSSWSquestionsub"/>
        <w:numPr>
          <w:ilvl w:val="0"/>
          <w:numId w:val="72"/>
        </w:numPr>
      </w:pPr>
      <w:r w:rsidRPr="00990D3B">
        <w:t xml:space="preserve">What has the MCP done to address these needs? </w:t>
      </w:r>
    </w:p>
    <w:p w:rsidR="004E5913" w:rsidRPr="00990D3B" w:rsidP="00CC07F4" w14:paraId="75B1416D" w14:textId="77777777">
      <w:pPr>
        <w:pStyle w:val="EQRNormalSSWSquestionNUMBER"/>
      </w:pPr>
      <w:r w:rsidRPr="00990D3B">
        <w:t>Is the data collected from network providers on services to enrollees subject to accuracy and timeliness checks?</w:t>
      </w:r>
    </w:p>
    <w:p w:rsidR="004E5913" w:rsidRPr="00990D3B" w:rsidP="00CC07F4" w14:paraId="2C27E876" w14:textId="77777777">
      <w:pPr>
        <w:pStyle w:val="EQRNormalSSWSquestionNUMBER"/>
      </w:pPr>
      <w:r w:rsidRPr="00990D3B">
        <w:t>Please describe procedures used to screen all data, both internal and external, for completeness, logic, and consistency.</w:t>
      </w:r>
    </w:p>
    <w:p w:rsidR="004E5913" w:rsidRPr="00990D3B" w:rsidP="00CC07F4" w14:paraId="120DC612" w14:textId="77777777">
      <w:pPr>
        <w:pStyle w:val="EQRNormalSSWSquestionNUMBER"/>
      </w:pPr>
      <w:r w:rsidRPr="00990D3B">
        <w:t xml:space="preserve">How </w:t>
      </w:r>
      <w:r w:rsidRPr="00990D3B">
        <w:t>is</w:t>
      </w:r>
      <w:r w:rsidRPr="00990D3B">
        <w:t xml:space="preserve"> enrollee-specific data and information made available when and where needed by the MCP’s provider network?</w:t>
      </w:r>
    </w:p>
    <w:p w:rsidR="004E5913" w:rsidRPr="00990D3B" w:rsidP="00087837" w14:paraId="357453CA" w14:textId="1F842E5D">
      <w:pPr>
        <w:pStyle w:val="EQRNormalSSWORKSHEET"/>
        <w:keepNext/>
        <w:rPr>
          <w:b/>
          <w:bCs/>
        </w:rPr>
      </w:pPr>
      <w:r w:rsidRPr="00990D3B">
        <w:rPr>
          <w:b/>
          <w:bCs/>
        </w:rPr>
        <w:t>Delivery network (</w:t>
      </w:r>
      <w:r w:rsidRPr="00990D3B" w:rsidR="001C7FC0">
        <w:rPr>
          <w:b/>
          <w:bCs/>
        </w:rPr>
        <w:t>42 C.F.R.</w:t>
      </w:r>
      <w:r w:rsidRPr="00990D3B" w:rsidR="007854DF">
        <w:rPr>
          <w:b/>
          <w:bCs/>
        </w:rPr>
        <w:t xml:space="preserve"> </w:t>
      </w:r>
      <w:r w:rsidRPr="00990D3B">
        <w:rPr>
          <w:b/>
          <w:bCs/>
        </w:rPr>
        <w:t>438.206 and 457.1230(a))</w:t>
      </w:r>
    </w:p>
    <w:p w:rsidR="004E5913" w:rsidRPr="00990D3B" w:rsidP="002D35CF" w14:paraId="4ABF4F83" w14:textId="77777777">
      <w:pPr>
        <w:pStyle w:val="EQRNormalSSWSquestionNUMBER"/>
        <w:numPr>
          <w:ilvl w:val="0"/>
          <w:numId w:val="74"/>
        </w:numPr>
        <w:rPr>
          <w:b/>
        </w:rPr>
      </w:pPr>
      <w:r w:rsidRPr="00990D3B">
        <w:t xml:space="preserve">How does your information system track services provided by and/or reimbursed to out-of-network providers? </w:t>
      </w:r>
    </w:p>
    <w:p w:rsidR="004E5913" w:rsidRPr="00990D3B" w:rsidP="00CC07F4" w14:paraId="285A3A58" w14:textId="77777777">
      <w:pPr>
        <w:pStyle w:val="EQRNormalSSWSquestionNUMBER"/>
        <w:rPr>
          <w:b/>
        </w:rPr>
      </w:pPr>
      <w:r w:rsidRPr="00990D3B">
        <w:t xml:space="preserve">Describe the capabilities to routinely collect data on use of out-of-network providers (excluding Point of Service-related use).  </w:t>
      </w:r>
    </w:p>
    <w:p w:rsidR="004E5913" w:rsidRPr="00990D3B" w:rsidP="002D35CF" w14:paraId="287D0F12" w14:textId="77777777">
      <w:pPr>
        <w:pStyle w:val="EQRNormalSSWSquestionsub"/>
        <w:numPr>
          <w:ilvl w:val="0"/>
          <w:numId w:val="73"/>
        </w:numPr>
        <w:rPr>
          <w:b/>
        </w:rPr>
      </w:pPr>
      <w:r w:rsidRPr="00990D3B">
        <w:t>Is data on use of out-of-network providers separately available for Medicaid and CHIP enrollees?</w:t>
      </w:r>
    </w:p>
    <w:p w:rsidR="004E5913" w:rsidRPr="00990D3B" w:rsidP="00087837" w14:paraId="60B7FBDB" w14:textId="1185B08E">
      <w:pPr>
        <w:pStyle w:val="EQRNormalSSWORKSHEET"/>
        <w:keepNext/>
        <w:rPr>
          <w:rFonts w:cs="Arial"/>
          <w:b/>
        </w:rPr>
      </w:pPr>
      <w:r w:rsidRPr="00990D3B">
        <w:rPr>
          <w:b/>
          <w:bCs/>
        </w:rPr>
        <w:t>Assurances</w:t>
      </w:r>
      <w:r w:rsidRPr="00990D3B">
        <w:rPr>
          <w:rFonts w:cs="Arial"/>
          <w:b/>
        </w:rPr>
        <w:t xml:space="preserve"> of adequate capacity and services (</w:t>
      </w:r>
      <w:r w:rsidRPr="00990D3B" w:rsidR="001C7FC0">
        <w:rPr>
          <w:rFonts w:cs="Arial"/>
          <w:b/>
        </w:rPr>
        <w:t>42 C.F.R.</w:t>
      </w:r>
      <w:r w:rsidRPr="00990D3B" w:rsidR="007854DF">
        <w:rPr>
          <w:rFonts w:cs="Arial"/>
          <w:b/>
        </w:rPr>
        <w:t xml:space="preserve"> </w:t>
      </w:r>
      <w:r w:rsidRPr="00990D3B">
        <w:rPr>
          <w:rFonts w:cs="Arial"/>
          <w:b/>
        </w:rPr>
        <w:t>438.207(b) – (c) and 457.1230(b))</w:t>
      </w:r>
    </w:p>
    <w:p w:rsidR="004E5913" w:rsidRPr="00990D3B" w:rsidP="002D35CF" w14:paraId="0D45E3FE" w14:textId="50D2EC09">
      <w:pPr>
        <w:pStyle w:val="EQRNormalSSWSquestionNUMBER"/>
        <w:numPr>
          <w:ilvl w:val="0"/>
          <w:numId w:val="75"/>
        </w:numPr>
      </w:pPr>
      <w:r w:rsidRPr="00990D3B">
        <w:t xml:space="preserve">Please describe any information system capabilities used to demonstrate to the Medicaid and CHIP </w:t>
      </w:r>
      <w:r w:rsidRPr="00990D3B" w:rsidR="00193F54">
        <w:t xml:space="preserve">program </w:t>
      </w:r>
      <w:r w:rsidRPr="00990D3B">
        <w:t>that the MCP offers an appropriate range of preventive, primary care, specialty services, and LTSS that is adequate for the anticipated number of enrollees in your service area.</w:t>
      </w:r>
    </w:p>
    <w:p w:rsidR="004E5913" w:rsidRPr="00990D3B" w:rsidP="00CC07F4" w14:paraId="4D483C2C" w14:textId="46B5F4CE">
      <w:pPr>
        <w:pStyle w:val="EQRNormalSSWSquestionNUMBER"/>
      </w:pPr>
      <w:r w:rsidRPr="00990D3B">
        <w:t xml:space="preserve">Please describe any information system capabilities used to demonstrate to the Medicaid and CHIP </w:t>
      </w:r>
      <w:r w:rsidRPr="00990D3B" w:rsidR="00193F54">
        <w:t xml:space="preserve">program </w:t>
      </w:r>
      <w:r w:rsidRPr="00990D3B">
        <w:t>that the MCP maintains a network of providers that is sufficient in number, mix, and geographic distribution to meet the needs of the anticipated number of enrollees in the service area.</w:t>
      </w:r>
    </w:p>
    <w:p w:rsidR="004E5913" w:rsidRPr="00990D3B" w:rsidP="00087837" w14:paraId="673946F6" w14:textId="5B00658C">
      <w:pPr>
        <w:pStyle w:val="EQRNormalSSWORKSHEET"/>
        <w:keepNext/>
        <w:rPr>
          <w:rFonts w:cs="Arial"/>
          <w:b/>
          <w:szCs w:val="22"/>
        </w:rPr>
      </w:pPr>
      <w:r w:rsidRPr="00990D3B">
        <w:rPr>
          <w:rFonts w:cs="Arial"/>
          <w:b/>
          <w:szCs w:val="22"/>
        </w:rPr>
        <w:t xml:space="preserve">Coordination and continuity </w:t>
      </w:r>
      <w:r w:rsidRPr="00990D3B">
        <w:rPr>
          <w:b/>
          <w:bCs/>
        </w:rPr>
        <w:t>of</w:t>
      </w:r>
      <w:r w:rsidRPr="00990D3B">
        <w:rPr>
          <w:rFonts w:cs="Arial"/>
          <w:b/>
          <w:szCs w:val="22"/>
        </w:rPr>
        <w:t xml:space="preserve"> care for all enrollees (</w:t>
      </w:r>
      <w:r w:rsidRPr="00990D3B" w:rsidR="001C7FC0">
        <w:rPr>
          <w:rFonts w:cs="Arial"/>
          <w:b/>
          <w:szCs w:val="22"/>
        </w:rPr>
        <w:t>42 C.F.R.</w:t>
      </w:r>
      <w:r w:rsidRPr="00990D3B" w:rsidR="007854DF">
        <w:rPr>
          <w:rFonts w:cs="Arial"/>
          <w:b/>
          <w:szCs w:val="22"/>
        </w:rPr>
        <w:t xml:space="preserve"> </w:t>
      </w:r>
      <w:r w:rsidRPr="00990D3B">
        <w:rPr>
          <w:rFonts w:cs="Arial"/>
          <w:b/>
          <w:szCs w:val="22"/>
        </w:rPr>
        <w:t>438.208 and 457.1230(c))</w:t>
      </w:r>
    </w:p>
    <w:p w:rsidR="004E5913" w:rsidRPr="00990D3B" w:rsidP="002D35CF" w14:paraId="1B64498D" w14:textId="77777777">
      <w:pPr>
        <w:pStyle w:val="EQRNormalSSWSquestionNUMBER"/>
        <w:numPr>
          <w:ilvl w:val="0"/>
          <w:numId w:val="76"/>
        </w:numPr>
        <w:rPr>
          <w:b/>
        </w:rPr>
      </w:pPr>
      <w:r w:rsidRPr="00990D3B">
        <w:t xml:space="preserve">How does the MCPs information system integrate medical, behavioral and LTSS assessments, care planning, service planning and authorization information and processes? </w:t>
      </w:r>
    </w:p>
    <w:p w:rsidR="004E5913" w:rsidRPr="00990D3B" w:rsidP="00087837" w14:paraId="71665533" w14:textId="1750B89B">
      <w:pPr>
        <w:pStyle w:val="EQRNormalSSWORKSHEET"/>
        <w:keepNext/>
        <w:rPr>
          <w:rFonts w:cs="Arial"/>
          <w:b/>
          <w:szCs w:val="22"/>
        </w:rPr>
      </w:pPr>
      <w:r w:rsidRPr="00990D3B">
        <w:rPr>
          <w:rFonts w:cs="Arial"/>
          <w:b/>
          <w:szCs w:val="22"/>
        </w:rPr>
        <w:t xml:space="preserve">Health </w:t>
      </w:r>
      <w:r w:rsidRPr="00990D3B">
        <w:rPr>
          <w:b/>
          <w:bCs/>
        </w:rPr>
        <w:t>information</w:t>
      </w:r>
      <w:r w:rsidRPr="00990D3B">
        <w:rPr>
          <w:rFonts w:cs="Arial"/>
          <w:b/>
          <w:szCs w:val="22"/>
        </w:rPr>
        <w:t xml:space="preserve"> systems (</w:t>
      </w:r>
      <w:r w:rsidRPr="00990D3B" w:rsidR="001C7FC0">
        <w:rPr>
          <w:rFonts w:cs="Arial"/>
          <w:b/>
          <w:szCs w:val="22"/>
        </w:rPr>
        <w:t>42 C.F.R.</w:t>
      </w:r>
      <w:r w:rsidRPr="00990D3B" w:rsidR="007854DF">
        <w:rPr>
          <w:rFonts w:cs="Arial"/>
          <w:b/>
          <w:szCs w:val="22"/>
        </w:rPr>
        <w:t xml:space="preserve"> </w:t>
      </w:r>
      <w:r w:rsidRPr="00990D3B">
        <w:rPr>
          <w:rFonts w:cs="Arial"/>
          <w:b/>
          <w:szCs w:val="22"/>
        </w:rPr>
        <w:t>438.242 and 457.1233(d))</w:t>
      </w:r>
    </w:p>
    <w:p w:rsidR="004E5913" w:rsidRPr="00990D3B" w:rsidP="002D35CF" w14:paraId="7DDF8175" w14:textId="77777777">
      <w:pPr>
        <w:pStyle w:val="EQRNormalSSWSquestionNUMBER"/>
        <w:numPr>
          <w:ilvl w:val="0"/>
          <w:numId w:val="77"/>
        </w:numPr>
        <w:rPr>
          <w:b/>
        </w:rPr>
      </w:pPr>
      <w:r w:rsidRPr="00990D3B">
        <w:t xml:space="preserve">How is the data collected from network providers on services to </w:t>
      </w:r>
      <w:r w:rsidRPr="00990D3B">
        <w:t>enrollees</w:t>
      </w:r>
      <w:r w:rsidRPr="00990D3B">
        <w:t xml:space="preserve"> checked for accuracy and timeliness?</w:t>
      </w:r>
    </w:p>
    <w:p w:rsidR="004E5913" w:rsidRPr="00990D3B" w:rsidP="00CC07F4" w14:paraId="02765022" w14:textId="77777777">
      <w:pPr>
        <w:pStyle w:val="EQRNormalSSWSquestionNUMBER"/>
        <w:rPr>
          <w:b/>
        </w:rPr>
      </w:pPr>
      <w:r w:rsidRPr="00990D3B">
        <w:t>Please describe procedures used to screen all data, both internal and external, for completeness, logic, and consistency.</w:t>
      </w:r>
    </w:p>
    <w:p w:rsidR="004E5913" w:rsidRPr="00990D3B" w:rsidP="00BD1FC3" w14:paraId="0FECC7C0" w14:textId="77777777">
      <w:pPr>
        <w:rPr>
          <w:rFonts w:ascii="Arial" w:eastAsia="Calibri" w:hAnsi="Arial"/>
          <w:b/>
          <w:color w:val="006981"/>
          <w:sz w:val="18"/>
          <w:szCs w:val="18"/>
        </w:rPr>
      </w:pPr>
      <w:bookmarkStart w:id="423" w:name="_Quality_Assessment_and"/>
      <w:bookmarkEnd w:id="423"/>
      <w:r w:rsidRPr="00990D3B">
        <w:br w:type="page"/>
      </w:r>
    </w:p>
    <w:p w:rsidR="004E5913" w:rsidRPr="00990D3B" w:rsidP="002B40CC" w14:paraId="09B7C85A" w14:textId="79932DB7">
      <w:pPr>
        <w:pStyle w:val="H2EQRWorksheet"/>
      </w:pPr>
      <w:r w:rsidRPr="00990D3B">
        <w:t>QAPI</w:t>
      </w:r>
      <w:r w:rsidRPr="00990D3B">
        <w:t xml:space="preserve"> Program Staff Interview</w:t>
      </w:r>
    </w:p>
    <w:p w:rsidR="004E5913" w:rsidRPr="00990D3B" w:rsidP="00BD1FC3" w14:paraId="6A8DE6A1" w14:textId="77777777">
      <w:pPr>
        <w:pStyle w:val="EQRNormalSSWORKSHEET"/>
      </w:pPr>
      <w:r w:rsidRPr="00990D3B">
        <w:rPr>
          <w:b/>
        </w:rPr>
        <w:t>Instructions.</w:t>
      </w:r>
      <w:r w:rsidRPr="00990D3B">
        <w:t xml:space="preserve"> This interview with quality improvement program leaders and staff provides an opportunity to gain a more thorough understanding of the approaches and processes used by the MCP to assess and improve quality.</w:t>
      </w:r>
    </w:p>
    <w:p w:rsidR="004E5913" w:rsidRPr="00990D3B" w:rsidP="00444E68" w14:paraId="60D5A8B2" w14:textId="2885FDAC">
      <w:pPr>
        <w:pStyle w:val="EQRNormalSSWORKSHEET"/>
        <w:keepNext/>
        <w:rPr>
          <w:b/>
        </w:rPr>
      </w:pPr>
      <w:r w:rsidRPr="00990D3B">
        <w:rPr>
          <w:b/>
        </w:rPr>
        <w:t>Availability of services (</w:t>
      </w:r>
      <w:r w:rsidRPr="00990D3B" w:rsidR="001C7FC0">
        <w:rPr>
          <w:b/>
        </w:rPr>
        <w:t>42 C.F.R.</w:t>
      </w:r>
      <w:r w:rsidRPr="00990D3B" w:rsidR="007854DF">
        <w:rPr>
          <w:b/>
        </w:rPr>
        <w:t xml:space="preserve"> </w:t>
      </w:r>
      <w:r w:rsidRPr="00990D3B">
        <w:rPr>
          <w:b/>
        </w:rPr>
        <w:t>438.206 and 457.1230(a))</w:t>
      </w:r>
    </w:p>
    <w:p w:rsidR="004E5913" w:rsidRPr="00990D3B" w:rsidP="002D35CF" w14:paraId="7FB59851" w14:textId="77777777">
      <w:pPr>
        <w:pStyle w:val="EQRNormalSSWSquestionNUMBER"/>
        <w:numPr>
          <w:ilvl w:val="0"/>
          <w:numId w:val="78"/>
        </w:numPr>
        <w:rPr>
          <w:b/>
        </w:rPr>
      </w:pPr>
      <w:r w:rsidRPr="00990D3B">
        <w:t xml:space="preserve">What information is generated through QAPI activities to assess the MCP’s availability of services? </w:t>
      </w:r>
    </w:p>
    <w:p w:rsidR="004E5913" w:rsidRPr="00990D3B" w:rsidP="002D35CF" w14:paraId="74A14B97" w14:textId="77777777">
      <w:pPr>
        <w:pStyle w:val="EQRNormalSSWSquestionsub"/>
        <w:numPr>
          <w:ilvl w:val="0"/>
          <w:numId w:val="82"/>
        </w:numPr>
      </w:pPr>
      <w:r w:rsidRPr="00990D3B">
        <w:t>What issues were considered in the assessment process?</w:t>
      </w:r>
    </w:p>
    <w:p w:rsidR="004E5913" w:rsidRPr="00990D3B" w:rsidP="00087837" w14:paraId="6ADDDCE9" w14:textId="77777777">
      <w:pPr>
        <w:pStyle w:val="EQRNormalSSWSquestionsub"/>
      </w:pPr>
      <w:r w:rsidRPr="00990D3B">
        <w:t xml:space="preserve">What services, such as family planning and women’s health services, have QAPI activities focused on?  </w:t>
      </w:r>
    </w:p>
    <w:p w:rsidR="004E5913" w:rsidRPr="00990D3B" w:rsidP="00CC07F4" w14:paraId="5C70B6A0" w14:textId="77777777">
      <w:pPr>
        <w:pStyle w:val="EQRNormalSSWSquestionNUMBER"/>
        <w:rPr>
          <w:b/>
        </w:rPr>
      </w:pPr>
      <w:r w:rsidRPr="00990D3B">
        <w:t>Please describe the assessment results.</w:t>
      </w:r>
    </w:p>
    <w:p w:rsidR="004E5913" w:rsidRPr="00990D3B" w:rsidP="002D35CF" w14:paraId="6B1B0C30" w14:textId="77777777">
      <w:pPr>
        <w:pStyle w:val="EQRNormalSSWSquestionsub"/>
        <w:numPr>
          <w:ilvl w:val="0"/>
          <w:numId w:val="83"/>
        </w:numPr>
        <w:rPr>
          <w:b/>
        </w:rPr>
      </w:pPr>
      <w:r w:rsidRPr="00990D3B">
        <w:t xml:space="preserve">Are there any service-specific results? If so, please describe them. </w:t>
      </w:r>
    </w:p>
    <w:p w:rsidR="004E5913" w:rsidRPr="00990D3B" w:rsidP="00CC07F4" w14:paraId="07AF7524" w14:textId="77777777">
      <w:pPr>
        <w:pStyle w:val="EQRNormalSSWSquestionNUMBER"/>
        <w:rPr>
          <w:b/>
        </w:rPr>
      </w:pPr>
      <w:r w:rsidRPr="00990D3B">
        <w:t xml:space="preserve">Has the MCP implemented QAPI findings relevant to the availability of services? If so, please describe them and their results. </w:t>
      </w:r>
    </w:p>
    <w:p w:rsidR="004E5913" w:rsidRPr="00990D3B" w:rsidP="00CC07F4" w14:paraId="712DA889" w14:textId="77777777">
      <w:pPr>
        <w:pStyle w:val="EQRNormalSSWSquestionNUMBER"/>
        <w:rPr>
          <w:b/>
        </w:rPr>
      </w:pPr>
      <w:r w:rsidRPr="00990D3B">
        <w:t>How frequently does the MCP evaluate the volume and enrollee access to LTSS services? What factors are used in evaluation of the LTSS network? Note that this is not applicable to CHIP.</w:t>
      </w:r>
    </w:p>
    <w:p w:rsidR="004E5913" w:rsidRPr="00990D3B" w:rsidP="00444E68" w14:paraId="7FA79464" w14:textId="2F185DCA">
      <w:pPr>
        <w:pStyle w:val="EQRNormalSSWORKSHEET"/>
        <w:keepNext/>
        <w:rPr>
          <w:b/>
        </w:rPr>
      </w:pPr>
      <w:r w:rsidRPr="00990D3B">
        <w:rPr>
          <w:b/>
        </w:rPr>
        <w:t>Furnishing of services-timely access (</w:t>
      </w:r>
      <w:r w:rsidRPr="00990D3B" w:rsidR="001C7FC0">
        <w:rPr>
          <w:b/>
        </w:rPr>
        <w:t>42 C.F.R.</w:t>
      </w:r>
      <w:r w:rsidRPr="00990D3B" w:rsidR="007854DF">
        <w:rPr>
          <w:b/>
        </w:rPr>
        <w:t xml:space="preserve"> </w:t>
      </w:r>
      <w:r w:rsidRPr="00990D3B">
        <w:rPr>
          <w:b/>
        </w:rPr>
        <w:t>438.206(c) and 457.1230(a))</w:t>
      </w:r>
    </w:p>
    <w:p w:rsidR="004E5913" w:rsidRPr="00990D3B" w:rsidP="002D35CF" w14:paraId="5AF4ADA6" w14:textId="54D2DA82">
      <w:pPr>
        <w:pStyle w:val="EQRNormalSSWSquestionNUMBER"/>
        <w:numPr>
          <w:ilvl w:val="0"/>
          <w:numId w:val="79"/>
        </w:numPr>
        <w:rPr>
          <w:b/>
        </w:rPr>
      </w:pPr>
      <w:r w:rsidRPr="00990D3B">
        <w:t xml:space="preserve">Please describe any recent QAPI activities implemented to monitor the MCP’s compliance with its established standards for timeliness of access to care and </w:t>
      </w:r>
      <w:r w:rsidRPr="00990D3B" w:rsidR="002F4DD4">
        <w:t>enrollee</w:t>
      </w:r>
      <w:r w:rsidRPr="00990D3B">
        <w:t xml:space="preserve"> services.</w:t>
      </w:r>
    </w:p>
    <w:p w:rsidR="004E5913" w:rsidRPr="00990D3B" w:rsidP="002D35CF" w14:paraId="77B693BD" w14:textId="77777777">
      <w:pPr>
        <w:pStyle w:val="EQRNormalSSWSquestionsub"/>
        <w:numPr>
          <w:ilvl w:val="0"/>
          <w:numId w:val="84"/>
        </w:numPr>
      </w:pPr>
      <w:r w:rsidRPr="00990D3B">
        <w:t>What were the results of these QAPI activities?</w:t>
      </w:r>
    </w:p>
    <w:p w:rsidR="004E5913" w:rsidRPr="00990D3B" w:rsidP="00CC07F4" w14:paraId="324EC314" w14:textId="77777777">
      <w:pPr>
        <w:pStyle w:val="EQRNormalSSWSquestionNUMBER"/>
      </w:pPr>
      <w:r w:rsidRPr="00990D3B">
        <w:t>Please describe any recent QAPI activities implemented to promote cultural competency and delivery of services in a culturally competent manner.</w:t>
      </w:r>
    </w:p>
    <w:p w:rsidR="004E5913" w:rsidRPr="00990D3B" w:rsidP="002D35CF" w14:paraId="129EB534" w14:textId="77777777">
      <w:pPr>
        <w:pStyle w:val="EQRNormalSSWSquestionsub"/>
        <w:numPr>
          <w:ilvl w:val="0"/>
          <w:numId w:val="85"/>
        </w:numPr>
      </w:pPr>
      <w:r w:rsidRPr="00990D3B">
        <w:t xml:space="preserve">What are the results of these QAPI activities? </w:t>
      </w:r>
    </w:p>
    <w:p w:rsidR="004E5913" w:rsidRPr="00990D3B" w:rsidP="00CC07F4" w14:paraId="6D9A44AF" w14:textId="77777777">
      <w:pPr>
        <w:pStyle w:val="EQRNormalSSWSquestionNUMBER"/>
      </w:pPr>
      <w:r w:rsidRPr="00990D3B">
        <w:t xml:space="preserve">Please describe any recent QAPI activities implemented to promote physical access, reasonable </w:t>
      </w:r>
      <w:r w:rsidRPr="00990D3B">
        <w:t>accommodations</w:t>
      </w:r>
      <w:r w:rsidRPr="00990D3B">
        <w:t xml:space="preserve">, and accessible equipment for Medicaid enrollees with physical or mental disabilities. </w:t>
      </w:r>
    </w:p>
    <w:p w:rsidR="004E5913" w:rsidRPr="00990D3B" w:rsidP="002D35CF" w14:paraId="5249E1A3" w14:textId="77777777">
      <w:pPr>
        <w:pStyle w:val="EQRNormalSSWSquestionsub"/>
        <w:numPr>
          <w:ilvl w:val="0"/>
          <w:numId w:val="86"/>
        </w:numPr>
      </w:pPr>
      <w:r w:rsidRPr="00990D3B">
        <w:t xml:space="preserve">What are the results of these QAPI activities? </w:t>
      </w:r>
    </w:p>
    <w:p w:rsidR="004E5913" w:rsidRPr="00990D3B" w:rsidP="00444E68" w14:paraId="776211FD" w14:textId="301044A3">
      <w:pPr>
        <w:pStyle w:val="EQRNormalSSWORKSHEET"/>
        <w:keepNext/>
        <w:rPr>
          <w:b/>
        </w:rPr>
      </w:pPr>
      <w:r w:rsidRPr="00990D3B">
        <w:rPr>
          <w:b/>
        </w:rPr>
        <w:t>Enrollee rights (</w:t>
      </w:r>
      <w:r w:rsidRPr="00990D3B" w:rsidR="001C7FC0">
        <w:rPr>
          <w:b/>
        </w:rPr>
        <w:t>42 C.F.R.</w:t>
      </w:r>
      <w:r w:rsidRPr="00990D3B" w:rsidR="007854DF">
        <w:rPr>
          <w:b/>
        </w:rPr>
        <w:t xml:space="preserve"> </w:t>
      </w:r>
      <w:r w:rsidRPr="00990D3B">
        <w:rPr>
          <w:b/>
        </w:rPr>
        <w:t>438.100 and 457.1220)</w:t>
      </w:r>
    </w:p>
    <w:p w:rsidR="004E5913" w:rsidRPr="00990D3B" w:rsidP="002D35CF" w14:paraId="085906B5" w14:textId="77777777">
      <w:pPr>
        <w:pStyle w:val="EQRNormalSSWSquestionNUMBER"/>
        <w:numPr>
          <w:ilvl w:val="0"/>
          <w:numId w:val="80"/>
        </w:numPr>
        <w:rPr>
          <w:b/>
        </w:rPr>
      </w:pPr>
      <w:r w:rsidRPr="00990D3B">
        <w:t>How is the enrollee’s right to be free from restraint or seclusion monitored for enrollees, including, for example, those receiving LTSS? Note that requirements applying to LTSS are not applicable to CHIP.</w:t>
      </w:r>
    </w:p>
    <w:p w:rsidR="004E5913" w:rsidRPr="00990D3B" w:rsidP="00444E68" w14:paraId="5A630187" w14:textId="7A98DFB4">
      <w:pPr>
        <w:pStyle w:val="EQRNormalSSWORKSHEET"/>
        <w:keepNext/>
        <w:rPr>
          <w:b/>
        </w:rPr>
      </w:pPr>
      <w:r w:rsidRPr="00990D3B">
        <w:rPr>
          <w:b/>
        </w:rPr>
        <w:t>Provider selection (</w:t>
      </w:r>
      <w:r w:rsidRPr="00990D3B" w:rsidR="001C7FC0">
        <w:rPr>
          <w:b/>
        </w:rPr>
        <w:t>42 C.F.R.</w:t>
      </w:r>
      <w:r w:rsidRPr="00990D3B" w:rsidR="007854DF">
        <w:rPr>
          <w:b/>
        </w:rPr>
        <w:t xml:space="preserve"> </w:t>
      </w:r>
      <w:r w:rsidRPr="00990D3B">
        <w:rPr>
          <w:b/>
        </w:rPr>
        <w:t>438.214 and 457.1233(a))</w:t>
      </w:r>
    </w:p>
    <w:p w:rsidR="004E5913" w:rsidRPr="00990D3B" w:rsidP="002D35CF" w14:paraId="233E8597" w14:textId="77777777">
      <w:pPr>
        <w:pStyle w:val="EQRNormalSSWSquestionNUMBER"/>
        <w:numPr>
          <w:ilvl w:val="0"/>
          <w:numId w:val="81"/>
        </w:numPr>
      </w:pPr>
      <w:r w:rsidRPr="00990D3B">
        <w:t>What type of information is generated through the quality improvement program to support re-credentialing of individual practitioner providers?</w:t>
      </w:r>
    </w:p>
    <w:p w:rsidR="004E5913" w:rsidRPr="00990D3B" w:rsidP="00CC07F4" w14:paraId="3097BAC3" w14:textId="77777777">
      <w:pPr>
        <w:pStyle w:val="EQRNormalSSWSquestionNUMBER"/>
      </w:pPr>
      <w:r w:rsidRPr="00990D3B">
        <w:t>What types of information does the quality improvement program provide to support the re-credentialing of institutional and other non-practitioner providers?</w:t>
      </w:r>
    </w:p>
    <w:p w:rsidR="004E5913" w:rsidRPr="00990D3B" w:rsidP="00CC07F4" w14:paraId="47E49A90" w14:textId="77777777">
      <w:pPr>
        <w:pStyle w:val="EQRNormalSSWSquestionNUMBER"/>
      </w:pPr>
      <w:r w:rsidRPr="00990D3B">
        <w:t>What types of information does the quality improvement program provide to support the evaluation of LTSS provider qualifications?</w:t>
      </w:r>
    </w:p>
    <w:p w:rsidR="004E5913" w:rsidRPr="00990D3B" w:rsidP="00BD1FC3" w14:paraId="280A6A58" w14:textId="66E1A99F">
      <w:pPr>
        <w:keepNext/>
        <w:tabs>
          <w:tab w:val="left" w:pos="-1080"/>
          <w:tab w:val="left" w:pos="-720"/>
          <w:tab w:val="left" w:pos="0"/>
          <w:tab w:val="left" w:pos="360"/>
          <w:tab w:val="left" w:pos="720"/>
          <w:tab w:val="left" w:pos="1080"/>
        </w:tabs>
        <w:spacing w:line="240" w:lineRule="exact"/>
        <w:rPr>
          <w:rFonts w:ascii="Arial" w:hAnsi="Arial" w:cs="Arial"/>
          <w:b/>
          <w:sz w:val="18"/>
          <w:szCs w:val="22"/>
        </w:rPr>
      </w:pPr>
      <w:r w:rsidRPr="00990D3B">
        <w:rPr>
          <w:rFonts w:ascii="Arial" w:hAnsi="Arial" w:cs="Arial"/>
          <w:b/>
          <w:sz w:val="18"/>
          <w:szCs w:val="22"/>
        </w:rPr>
        <w:t>Practice guidelines (</w:t>
      </w:r>
      <w:r w:rsidRPr="00990D3B" w:rsidR="001C7FC0">
        <w:rPr>
          <w:rFonts w:ascii="Arial" w:hAnsi="Arial" w:cs="Arial"/>
          <w:b/>
          <w:sz w:val="18"/>
          <w:szCs w:val="22"/>
        </w:rPr>
        <w:t>42 C.F.R.</w:t>
      </w:r>
      <w:r w:rsidRPr="00990D3B" w:rsidR="007854DF">
        <w:rPr>
          <w:rFonts w:ascii="Arial" w:hAnsi="Arial" w:cs="Arial"/>
          <w:b/>
          <w:sz w:val="18"/>
          <w:szCs w:val="22"/>
        </w:rPr>
        <w:t xml:space="preserve"> </w:t>
      </w:r>
      <w:r w:rsidRPr="00990D3B">
        <w:rPr>
          <w:rFonts w:ascii="Arial" w:hAnsi="Arial" w:cs="Arial"/>
          <w:b/>
          <w:sz w:val="18"/>
          <w:szCs w:val="22"/>
        </w:rPr>
        <w:t>438.236 and 457.1233(c))</w:t>
      </w:r>
    </w:p>
    <w:p w:rsidR="004E5913" w:rsidRPr="00990D3B" w:rsidP="002D35CF" w14:paraId="329E7841" w14:textId="77777777">
      <w:pPr>
        <w:pStyle w:val="EQRNormalSSWSquestionNUMBER"/>
        <w:numPr>
          <w:ilvl w:val="0"/>
          <w:numId w:val="91"/>
        </w:numPr>
        <w:rPr>
          <w:b/>
        </w:rPr>
      </w:pPr>
      <w:r w:rsidRPr="00990D3B">
        <w:t xml:space="preserve">Through what process does your MCP ensure necessary communication </w:t>
      </w:r>
      <w:r w:rsidRPr="00990D3B">
        <w:t>occurs</w:t>
      </w:r>
      <w:r w:rsidRPr="00990D3B">
        <w:t xml:space="preserve"> between those responsible for the QAPI program and the administrative function responsible for adopting practice guidelines?</w:t>
      </w:r>
    </w:p>
    <w:p w:rsidR="004E5913" w:rsidRPr="00990D3B" w:rsidP="00067986" w14:paraId="047817A1" w14:textId="7B59BC54">
      <w:pPr>
        <w:keepNext/>
        <w:tabs>
          <w:tab w:val="left" w:pos="-1080"/>
          <w:tab w:val="left" w:pos="-720"/>
          <w:tab w:val="left" w:pos="0"/>
          <w:tab w:val="left" w:pos="360"/>
          <w:tab w:val="left" w:pos="720"/>
          <w:tab w:val="left" w:pos="1080"/>
        </w:tabs>
        <w:spacing w:line="240" w:lineRule="exact"/>
        <w:rPr>
          <w:rFonts w:ascii="Arial" w:hAnsi="Arial" w:cs="Arial"/>
          <w:b/>
          <w:sz w:val="18"/>
          <w:szCs w:val="22"/>
        </w:rPr>
      </w:pPr>
      <w:r w:rsidRPr="00990D3B">
        <w:rPr>
          <w:rFonts w:ascii="Arial" w:hAnsi="Arial" w:cs="Arial"/>
          <w:b/>
          <w:sz w:val="18"/>
          <w:szCs w:val="22"/>
        </w:rPr>
        <w:t>QAPI</w:t>
      </w:r>
      <w:r w:rsidRPr="00990D3B">
        <w:rPr>
          <w:rFonts w:ascii="Arial" w:hAnsi="Arial" w:cs="Arial"/>
          <w:b/>
          <w:sz w:val="18"/>
          <w:szCs w:val="22"/>
        </w:rPr>
        <w:t xml:space="preserve"> program (</w:t>
      </w:r>
      <w:r w:rsidRPr="00990D3B" w:rsidR="001C7FC0">
        <w:rPr>
          <w:rFonts w:ascii="Arial" w:hAnsi="Arial" w:cs="Arial"/>
          <w:b/>
          <w:sz w:val="18"/>
          <w:szCs w:val="22"/>
        </w:rPr>
        <w:t>42 C.F.R.</w:t>
      </w:r>
      <w:r w:rsidRPr="00990D3B" w:rsidR="007854DF">
        <w:rPr>
          <w:rFonts w:ascii="Arial" w:hAnsi="Arial" w:cs="Arial"/>
          <w:b/>
          <w:sz w:val="18"/>
          <w:szCs w:val="22"/>
        </w:rPr>
        <w:t xml:space="preserve"> </w:t>
      </w:r>
      <w:r w:rsidRPr="00990D3B">
        <w:rPr>
          <w:rFonts w:ascii="Arial" w:hAnsi="Arial" w:cs="Arial"/>
          <w:b/>
          <w:sz w:val="18"/>
          <w:szCs w:val="22"/>
        </w:rPr>
        <w:t>438.330 and 457.1240(b))</w:t>
      </w:r>
    </w:p>
    <w:p w:rsidR="004E5913" w:rsidRPr="00990D3B" w:rsidP="002D35CF" w14:paraId="0E2F2FF1" w14:textId="77777777">
      <w:pPr>
        <w:pStyle w:val="EQRNormalSSWSquestionNUMBER"/>
        <w:numPr>
          <w:ilvl w:val="0"/>
          <w:numId w:val="92"/>
        </w:numPr>
        <w:rPr>
          <w:b/>
        </w:rPr>
      </w:pPr>
      <w:r w:rsidRPr="00990D3B">
        <w:t>Does the state require the MCP to address a specific topic or topics and/or indicators in your performance improvement projects? If yes, what types of projects are required?</w:t>
      </w:r>
    </w:p>
    <w:p w:rsidR="004E5913" w:rsidRPr="00990D3B" w:rsidP="00067986" w14:paraId="434EE9B9" w14:textId="77777777">
      <w:pPr>
        <w:pStyle w:val="EQRNormalSSWSquestionNUMBER"/>
      </w:pPr>
      <w:r w:rsidRPr="00990D3B">
        <w:t xml:space="preserve">How does the MCP detect over- and under-utilization? Please provide examples of how your quality assessment and improvement program has </w:t>
      </w:r>
      <w:r w:rsidRPr="00990D3B">
        <w:t>monitored</w:t>
      </w:r>
      <w:r w:rsidRPr="00990D3B">
        <w:t xml:space="preserve"> to detect under- and over-utilization. What standards are used?</w:t>
      </w:r>
      <w:r w:rsidRPr="00990D3B">
        <w:tab/>
      </w:r>
    </w:p>
    <w:p w:rsidR="004E5913" w:rsidRPr="00990D3B" w:rsidP="00067986" w14:paraId="45692863" w14:textId="1BB68D14">
      <w:pPr>
        <w:pStyle w:val="EQRNormalSSWSquestionNUMBER"/>
      </w:pPr>
      <w:r w:rsidRPr="00990D3B">
        <w:t xml:space="preserve">How does the MCP define enrollees with special health care needs? How are these </w:t>
      </w:r>
      <w:r w:rsidRPr="00990D3B">
        <w:t>enrollees</w:t>
      </w:r>
      <w:r w:rsidRPr="00990D3B">
        <w:t xml:space="preserve"> identified/ tracked within your MCP? </w:t>
      </w:r>
    </w:p>
    <w:p w:rsidR="004E5913" w:rsidRPr="00990D3B" w:rsidP="00067986" w14:paraId="6E3F310F" w14:textId="77777777">
      <w:pPr>
        <w:pStyle w:val="EQRNormalSSWSquestionNUMBER"/>
      </w:pPr>
      <w:r w:rsidRPr="00990D3B">
        <w:t>How does the MCP assess the quality and appropriateness of care including LTSS, furnished to enrollees with special health care needs? Please provide examples.</w:t>
      </w:r>
    </w:p>
    <w:p w:rsidR="004E5913" w:rsidRPr="00990D3B" w:rsidP="00067986" w14:paraId="0949F727" w14:textId="77777777">
      <w:pPr>
        <w:pStyle w:val="EQRNormalSSWSquestionNUMBER"/>
        <w:rPr>
          <w:b/>
        </w:rPr>
      </w:pPr>
      <w:r w:rsidRPr="00990D3B">
        <w:t xml:space="preserve">Does the MCP evaluate the effectiveness of its quality assessment and performance improvement program? How often?  </w:t>
      </w:r>
    </w:p>
    <w:p w:rsidR="004E5913" w:rsidRPr="00990D3B" w:rsidP="002D35CF" w14:paraId="759B3974" w14:textId="77777777">
      <w:pPr>
        <w:pStyle w:val="EQRNormalSSWSquestionsub"/>
        <w:numPr>
          <w:ilvl w:val="0"/>
          <w:numId w:val="87"/>
        </w:numPr>
        <w:tabs>
          <w:tab w:val="left" w:pos="-1080"/>
          <w:tab w:val="left" w:pos="-720"/>
          <w:tab w:val="left" w:pos="0"/>
          <w:tab w:val="left" w:pos="360"/>
          <w:tab w:val="left" w:pos="720"/>
          <w:tab w:val="left" w:pos="1080"/>
        </w:tabs>
        <w:spacing w:before="0" w:after="240"/>
        <w:rPr>
          <w:szCs w:val="22"/>
        </w:rPr>
      </w:pPr>
      <w:r w:rsidRPr="00990D3B">
        <w:rPr>
          <w:szCs w:val="22"/>
        </w:rPr>
        <w:t>Please describe the evaluation process. What aspects of the program are included in the evaluation?</w:t>
      </w:r>
    </w:p>
    <w:p w:rsidR="004E5913" w:rsidRPr="00990D3B" w:rsidP="002D35CF" w14:paraId="5EF81060" w14:textId="77777777">
      <w:pPr>
        <w:pStyle w:val="EQRNormalSSWSquestionsub"/>
        <w:numPr>
          <w:ilvl w:val="0"/>
          <w:numId w:val="87"/>
        </w:numPr>
        <w:tabs>
          <w:tab w:val="left" w:pos="-1080"/>
          <w:tab w:val="left" w:pos="-720"/>
          <w:tab w:val="left" w:pos="0"/>
          <w:tab w:val="left" w:pos="360"/>
          <w:tab w:val="left" w:pos="720"/>
          <w:tab w:val="left" w:pos="1080"/>
        </w:tabs>
        <w:spacing w:before="0" w:after="240"/>
        <w:rPr>
          <w:szCs w:val="22"/>
        </w:rPr>
      </w:pPr>
      <w:r w:rsidRPr="00990D3B">
        <w:rPr>
          <w:szCs w:val="22"/>
        </w:rPr>
        <w:t xml:space="preserve">What were the findings of the MCP’s most recent self-evaluation?  </w:t>
      </w:r>
    </w:p>
    <w:p w:rsidR="004E5913" w:rsidRPr="00990D3B" w:rsidP="002D35CF" w14:paraId="6D9908D1" w14:textId="77777777">
      <w:pPr>
        <w:pStyle w:val="EQRNormalSSWSquestionsub"/>
        <w:numPr>
          <w:ilvl w:val="0"/>
          <w:numId w:val="87"/>
        </w:numPr>
        <w:tabs>
          <w:tab w:val="left" w:pos="-1080"/>
          <w:tab w:val="left" w:pos="-720"/>
          <w:tab w:val="left" w:pos="0"/>
          <w:tab w:val="left" w:pos="360"/>
          <w:tab w:val="left" w:pos="720"/>
          <w:tab w:val="left" w:pos="1080"/>
        </w:tabs>
        <w:spacing w:before="0" w:after="240"/>
        <w:rPr>
          <w:szCs w:val="22"/>
        </w:rPr>
      </w:pPr>
      <w:r w:rsidRPr="00990D3B">
        <w:rPr>
          <w:szCs w:val="22"/>
        </w:rPr>
        <w:t xml:space="preserve">What action did the MCP take </w:t>
      </w:r>
      <w:r w:rsidRPr="00990D3B">
        <w:rPr>
          <w:szCs w:val="22"/>
        </w:rPr>
        <w:t>as a result of</w:t>
      </w:r>
      <w:r w:rsidRPr="00990D3B">
        <w:rPr>
          <w:szCs w:val="22"/>
        </w:rPr>
        <w:t xml:space="preserve"> these findings?</w:t>
      </w:r>
    </w:p>
    <w:p w:rsidR="004E5913" w:rsidRPr="00990D3B" w:rsidP="00067986" w14:paraId="22F420E1" w14:textId="77777777">
      <w:pPr>
        <w:pStyle w:val="EQRNormalSSWSquestionNUMBER"/>
      </w:pPr>
      <w:r w:rsidRPr="00990D3B">
        <w:t xml:space="preserve">Does the state require the MCP to evaluate the impact and effectiveness of its quality assessment and performance improvement program? </w:t>
      </w:r>
    </w:p>
    <w:p w:rsidR="004E5913" w:rsidRPr="00990D3B" w:rsidP="002D35CF" w14:paraId="0A9E2165" w14:textId="77777777">
      <w:pPr>
        <w:pStyle w:val="EQRNormalSSWSquestionsub"/>
        <w:numPr>
          <w:ilvl w:val="0"/>
          <w:numId w:val="88"/>
        </w:numPr>
        <w:tabs>
          <w:tab w:val="left" w:pos="-1080"/>
          <w:tab w:val="left" w:pos="-720"/>
          <w:tab w:val="left" w:pos="0"/>
          <w:tab w:val="left" w:pos="360"/>
          <w:tab w:val="left" w:pos="720"/>
          <w:tab w:val="left" w:pos="1080"/>
        </w:tabs>
        <w:spacing w:before="0" w:after="240"/>
        <w:rPr>
          <w:szCs w:val="22"/>
        </w:rPr>
      </w:pPr>
      <w:r w:rsidRPr="00990D3B">
        <w:rPr>
          <w:szCs w:val="22"/>
        </w:rPr>
        <w:t xml:space="preserve">How does the MCP conduct its evaluation? What aspects of the program are included in the evaluation? </w:t>
      </w:r>
    </w:p>
    <w:p w:rsidR="004E5913" w:rsidRPr="00990D3B" w:rsidP="002D35CF" w14:paraId="6F73E85F" w14:textId="77777777">
      <w:pPr>
        <w:pStyle w:val="EQRNormalSSWSquestionsub"/>
        <w:numPr>
          <w:ilvl w:val="0"/>
          <w:numId w:val="88"/>
        </w:numPr>
        <w:tabs>
          <w:tab w:val="left" w:pos="-1080"/>
          <w:tab w:val="left" w:pos="-720"/>
          <w:tab w:val="left" w:pos="0"/>
          <w:tab w:val="left" w:pos="360"/>
          <w:tab w:val="left" w:pos="720"/>
          <w:tab w:val="left" w:pos="1080"/>
        </w:tabs>
        <w:spacing w:before="0" w:after="240"/>
        <w:rPr>
          <w:szCs w:val="22"/>
        </w:rPr>
      </w:pPr>
      <w:r w:rsidRPr="00990D3B">
        <w:rPr>
          <w:szCs w:val="22"/>
        </w:rPr>
        <w:t>How often does the MCP conduct its evaluation?</w:t>
      </w:r>
    </w:p>
    <w:p w:rsidR="004E5913" w:rsidRPr="00990D3B" w:rsidP="002D35CF" w14:paraId="4CA665B1" w14:textId="77777777">
      <w:pPr>
        <w:pStyle w:val="EQRNormalSSWSquestionsub"/>
        <w:numPr>
          <w:ilvl w:val="0"/>
          <w:numId w:val="88"/>
        </w:numPr>
        <w:tabs>
          <w:tab w:val="left" w:pos="-1080"/>
          <w:tab w:val="left" w:pos="-720"/>
          <w:tab w:val="left" w:pos="0"/>
          <w:tab w:val="left" w:pos="360"/>
          <w:tab w:val="left" w:pos="720"/>
          <w:tab w:val="left" w:pos="1080"/>
        </w:tabs>
        <w:spacing w:before="0" w:after="240"/>
        <w:rPr>
          <w:szCs w:val="22"/>
        </w:rPr>
      </w:pPr>
      <w:r w:rsidRPr="00990D3B">
        <w:rPr>
          <w:szCs w:val="22"/>
        </w:rPr>
        <w:t xml:space="preserve">What were the findings of the MCP’s most recent self-evaluation?  </w:t>
      </w:r>
    </w:p>
    <w:p w:rsidR="004E5913" w:rsidRPr="00990D3B" w:rsidP="002D35CF" w14:paraId="269827C5" w14:textId="77777777">
      <w:pPr>
        <w:pStyle w:val="EQRNormalSSWSquestionsub"/>
        <w:numPr>
          <w:ilvl w:val="0"/>
          <w:numId w:val="88"/>
        </w:numPr>
        <w:tabs>
          <w:tab w:val="left" w:pos="-1080"/>
          <w:tab w:val="left" w:pos="-720"/>
          <w:tab w:val="left" w:pos="0"/>
          <w:tab w:val="left" w:pos="360"/>
          <w:tab w:val="left" w:pos="720"/>
          <w:tab w:val="left" w:pos="1080"/>
        </w:tabs>
        <w:spacing w:before="0" w:after="240"/>
        <w:rPr>
          <w:szCs w:val="22"/>
        </w:rPr>
      </w:pPr>
      <w:r w:rsidRPr="00990D3B">
        <w:rPr>
          <w:szCs w:val="22"/>
        </w:rPr>
        <w:t xml:space="preserve">What action did the MCP take </w:t>
      </w:r>
      <w:r w:rsidRPr="00990D3B">
        <w:rPr>
          <w:szCs w:val="22"/>
        </w:rPr>
        <w:t>as a result of</w:t>
      </w:r>
      <w:r w:rsidRPr="00990D3B">
        <w:rPr>
          <w:szCs w:val="22"/>
        </w:rPr>
        <w:t xml:space="preserve"> these findings?</w:t>
      </w:r>
    </w:p>
    <w:p w:rsidR="004E5913" w:rsidRPr="00990D3B" w:rsidP="002D35CF" w14:paraId="363A7CB2" w14:textId="77777777">
      <w:pPr>
        <w:pStyle w:val="EQRNormalSSWSquestionsub"/>
        <w:numPr>
          <w:ilvl w:val="0"/>
          <w:numId w:val="88"/>
        </w:numPr>
        <w:tabs>
          <w:tab w:val="left" w:pos="-1080"/>
          <w:tab w:val="left" w:pos="-720"/>
          <w:tab w:val="left" w:pos="0"/>
          <w:tab w:val="left" w:pos="360"/>
          <w:tab w:val="left" w:pos="720"/>
          <w:tab w:val="left" w:pos="1080"/>
        </w:tabs>
        <w:spacing w:before="0" w:after="240"/>
        <w:rPr>
          <w:szCs w:val="22"/>
        </w:rPr>
      </w:pPr>
      <w:r w:rsidRPr="00990D3B">
        <w:rPr>
          <w:szCs w:val="22"/>
        </w:rPr>
        <w:t>What is reported to the state, and how often?</w:t>
      </w:r>
    </w:p>
    <w:p w:rsidR="004E5913" w:rsidRPr="00990D3B" w:rsidP="00067986" w14:paraId="7CCE811E" w14:textId="454EF375">
      <w:pPr>
        <w:pStyle w:val="EQRNormalSSWSquestionNUMBER"/>
      </w:pPr>
      <w:r w:rsidRPr="00990D3B">
        <w:t xml:space="preserve">How does the state review the impact and effectiveness of the MCP’s QAPI program, including outcomes and trended results from the PIPs, reporting on performance measures, and the results of community integration for </w:t>
      </w:r>
      <w:r w:rsidRPr="00990D3B" w:rsidR="00622633">
        <w:t>enrollees</w:t>
      </w:r>
      <w:r w:rsidRPr="00990D3B">
        <w:t xml:space="preserve"> receiving LTSS?</w:t>
      </w:r>
    </w:p>
    <w:p w:rsidR="004E5913" w:rsidRPr="00990D3B" w:rsidP="002D35CF" w14:paraId="193C4E8B" w14:textId="77777777">
      <w:pPr>
        <w:pStyle w:val="EQRNormalSSWSquestionsub"/>
        <w:numPr>
          <w:ilvl w:val="0"/>
          <w:numId w:val="89"/>
        </w:numPr>
        <w:tabs>
          <w:tab w:val="left" w:pos="-1080"/>
          <w:tab w:val="left" w:pos="-720"/>
          <w:tab w:val="left" w:pos="0"/>
          <w:tab w:val="left" w:pos="360"/>
          <w:tab w:val="left" w:pos="720"/>
          <w:tab w:val="left" w:pos="1080"/>
        </w:tabs>
        <w:rPr>
          <w:szCs w:val="22"/>
        </w:rPr>
      </w:pPr>
      <w:r w:rsidRPr="00990D3B">
        <w:rPr>
          <w:szCs w:val="22"/>
        </w:rPr>
        <w:t>What is the MCP’s role in the state’s evaluation?</w:t>
      </w:r>
    </w:p>
    <w:p w:rsidR="004E5913" w:rsidRPr="00990D3B" w:rsidP="002D35CF" w14:paraId="399DDAAD" w14:textId="77777777">
      <w:pPr>
        <w:pStyle w:val="EQRNormalSSWSquestionsub"/>
        <w:numPr>
          <w:ilvl w:val="0"/>
          <w:numId w:val="89"/>
        </w:numPr>
        <w:tabs>
          <w:tab w:val="left" w:pos="-1080"/>
          <w:tab w:val="left" w:pos="-720"/>
          <w:tab w:val="left" w:pos="0"/>
          <w:tab w:val="left" w:pos="360"/>
          <w:tab w:val="left" w:pos="720"/>
          <w:tab w:val="left" w:pos="1080"/>
        </w:tabs>
        <w:rPr>
          <w:szCs w:val="22"/>
        </w:rPr>
      </w:pPr>
      <w:r w:rsidRPr="00990D3B">
        <w:rPr>
          <w:szCs w:val="22"/>
        </w:rPr>
        <w:t xml:space="preserve">What information, if </w:t>
      </w:r>
      <w:r w:rsidRPr="00990D3B">
        <w:rPr>
          <w:szCs w:val="22"/>
        </w:rPr>
        <w:t>any</w:t>
      </w:r>
      <w:r w:rsidRPr="00990D3B">
        <w:rPr>
          <w:szCs w:val="22"/>
        </w:rPr>
        <w:t xml:space="preserve">, does the MCP provide to the state? </w:t>
      </w:r>
    </w:p>
    <w:p w:rsidR="004E5913" w:rsidRPr="00990D3B" w:rsidP="002D35CF" w14:paraId="77DAF0D1" w14:textId="77777777">
      <w:pPr>
        <w:pStyle w:val="EQRNormalSSWSquestionsub"/>
        <w:numPr>
          <w:ilvl w:val="0"/>
          <w:numId w:val="89"/>
        </w:numPr>
        <w:tabs>
          <w:tab w:val="left" w:pos="-1080"/>
          <w:tab w:val="left" w:pos="-720"/>
          <w:tab w:val="left" w:pos="0"/>
          <w:tab w:val="left" w:pos="360"/>
          <w:tab w:val="left" w:pos="720"/>
          <w:tab w:val="left" w:pos="1080"/>
        </w:tabs>
        <w:rPr>
          <w:szCs w:val="22"/>
        </w:rPr>
      </w:pPr>
      <w:r w:rsidRPr="00990D3B">
        <w:rPr>
          <w:szCs w:val="22"/>
        </w:rPr>
        <w:t xml:space="preserve">What feedback, if any, </w:t>
      </w:r>
      <w:r w:rsidRPr="00990D3B">
        <w:rPr>
          <w:szCs w:val="22"/>
        </w:rPr>
        <w:t>does</w:t>
      </w:r>
      <w:r w:rsidRPr="00990D3B">
        <w:rPr>
          <w:szCs w:val="22"/>
        </w:rPr>
        <w:t xml:space="preserve"> the MCP </w:t>
      </w:r>
      <w:r w:rsidRPr="00990D3B">
        <w:rPr>
          <w:szCs w:val="22"/>
        </w:rPr>
        <w:t>receive</w:t>
      </w:r>
      <w:r w:rsidRPr="00990D3B">
        <w:rPr>
          <w:szCs w:val="22"/>
        </w:rPr>
        <w:t xml:space="preserve"> from the state? How does your MCP implement the feedback?</w:t>
      </w:r>
    </w:p>
    <w:p w:rsidR="004E5913" w:rsidRPr="00990D3B" w:rsidP="00067986" w14:paraId="25557731" w14:textId="77777777">
      <w:pPr>
        <w:pStyle w:val="EQRNormalSSWSquestionNUMBER"/>
        <w:rPr>
          <w:b/>
        </w:rPr>
      </w:pPr>
      <w:r w:rsidRPr="00990D3B">
        <w:t xml:space="preserve">What evaluation findings are reported to the state and how often? </w:t>
      </w:r>
    </w:p>
    <w:p w:rsidR="004E5913" w:rsidRPr="00990D3B" w:rsidP="00067986" w14:paraId="5ACA509E" w14:textId="77777777">
      <w:pPr>
        <w:pStyle w:val="EQRNormalSSWSquestionNUMBER"/>
        <w:rPr>
          <w:b/>
        </w:rPr>
      </w:pPr>
      <w:r w:rsidRPr="00990D3B">
        <w:t>What interventions are used or are anticipated to be used to improve LTSS quality? How will the interventions be evaluated for effectiveness? How will improvement be sustained or increased?</w:t>
      </w:r>
    </w:p>
    <w:p w:rsidR="004E5913" w:rsidRPr="00990D3B" w:rsidP="00067986" w14:paraId="1E83919F" w14:textId="7BED85CA">
      <w:pPr>
        <w:keepNext/>
        <w:tabs>
          <w:tab w:val="left" w:pos="-1080"/>
          <w:tab w:val="left" w:pos="-720"/>
          <w:tab w:val="left" w:pos="0"/>
          <w:tab w:val="left" w:pos="360"/>
          <w:tab w:val="left" w:pos="720"/>
          <w:tab w:val="left" w:pos="1080"/>
        </w:tabs>
        <w:spacing w:line="240" w:lineRule="exact"/>
        <w:rPr>
          <w:rFonts w:ascii="Arial" w:hAnsi="Arial" w:cs="Arial"/>
          <w:b/>
          <w:sz w:val="18"/>
          <w:szCs w:val="22"/>
        </w:rPr>
      </w:pPr>
      <w:r w:rsidRPr="00990D3B">
        <w:rPr>
          <w:rFonts w:ascii="Arial" w:hAnsi="Arial" w:cs="Arial"/>
          <w:b/>
          <w:sz w:val="18"/>
          <w:szCs w:val="22"/>
        </w:rPr>
        <w:t>Health information systems (</w:t>
      </w:r>
      <w:r w:rsidRPr="00990D3B" w:rsidR="001C7FC0">
        <w:rPr>
          <w:rFonts w:ascii="Arial" w:hAnsi="Arial" w:cs="Arial"/>
          <w:b/>
          <w:sz w:val="18"/>
          <w:szCs w:val="22"/>
        </w:rPr>
        <w:t>42 C.F.R.</w:t>
      </w:r>
      <w:r w:rsidRPr="00990D3B" w:rsidR="007854DF">
        <w:rPr>
          <w:rFonts w:ascii="Arial" w:hAnsi="Arial" w:cs="Arial"/>
          <w:b/>
          <w:sz w:val="18"/>
          <w:szCs w:val="22"/>
        </w:rPr>
        <w:t xml:space="preserve"> </w:t>
      </w:r>
      <w:r w:rsidRPr="00990D3B">
        <w:rPr>
          <w:rFonts w:ascii="Arial" w:hAnsi="Arial" w:cs="Arial"/>
          <w:b/>
          <w:sz w:val="18"/>
          <w:szCs w:val="22"/>
        </w:rPr>
        <w:t>438.242 and 457.1233(d))</w:t>
      </w:r>
    </w:p>
    <w:p w:rsidR="004E5913" w:rsidRPr="00990D3B" w:rsidP="002D35CF" w14:paraId="38763A88" w14:textId="77777777">
      <w:pPr>
        <w:pStyle w:val="EQRNormalSSWSquestionNUMBER"/>
        <w:numPr>
          <w:ilvl w:val="0"/>
          <w:numId w:val="93"/>
        </w:numPr>
      </w:pPr>
      <w:r w:rsidRPr="00990D3B">
        <w:t xml:space="preserve">How are enrollee and provider data from all components of your MCP’s network used in your MCP’s quality assessment and performance improvement program?  </w:t>
      </w:r>
    </w:p>
    <w:p w:rsidR="004E5913" w:rsidRPr="00990D3B" w:rsidP="002D35CF" w14:paraId="2AB04EF8" w14:textId="77777777">
      <w:pPr>
        <w:pStyle w:val="EQRNormalSSWSquestionsub"/>
        <w:numPr>
          <w:ilvl w:val="0"/>
          <w:numId w:val="90"/>
        </w:numPr>
        <w:tabs>
          <w:tab w:val="left" w:pos="-1080"/>
          <w:tab w:val="left" w:pos="-720"/>
          <w:tab w:val="left" w:pos="0"/>
          <w:tab w:val="left" w:pos="360"/>
          <w:tab w:val="left" w:pos="720"/>
          <w:tab w:val="left" w:pos="1080"/>
        </w:tabs>
        <w:spacing w:before="0" w:after="240"/>
        <w:rPr>
          <w:szCs w:val="22"/>
        </w:rPr>
      </w:pPr>
      <w:r w:rsidRPr="00990D3B">
        <w:rPr>
          <w:szCs w:val="22"/>
        </w:rPr>
        <w:t xml:space="preserve">Are there any components in your network for which you do not have adequate enrollee utilization and provider data?  </w:t>
      </w:r>
    </w:p>
    <w:p w:rsidR="004E5913" w:rsidRPr="00990D3B" w:rsidP="00067986" w14:paraId="48D25895" w14:textId="77777777">
      <w:pPr>
        <w:pStyle w:val="EQRNormalSSWSquestionNUMBER"/>
      </w:pPr>
      <w:r w:rsidRPr="00990D3B">
        <w:t>How is data obtained from the meaningful use of certified electronic health records (EHRs) utilized as part of the MCP’s quality improvement program?</w:t>
      </w:r>
    </w:p>
    <w:p w:rsidR="004E5913" w:rsidRPr="00990D3B" w:rsidP="00067986" w14:paraId="489D39D3" w14:textId="4B2A4EB3">
      <w:pPr>
        <w:keepNext/>
        <w:tabs>
          <w:tab w:val="left" w:pos="-1080"/>
          <w:tab w:val="left" w:pos="-720"/>
          <w:tab w:val="left" w:pos="0"/>
          <w:tab w:val="left" w:pos="360"/>
          <w:tab w:val="left" w:pos="720"/>
          <w:tab w:val="left" w:pos="1080"/>
        </w:tabs>
        <w:spacing w:line="240" w:lineRule="exact"/>
        <w:rPr>
          <w:rFonts w:ascii="Arial" w:hAnsi="Arial" w:cs="Arial"/>
          <w:b/>
          <w:sz w:val="18"/>
          <w:szCs w:val="22"/>
        </w:rPr>
      </w:pPr>
      <w:r w:rsidRPr="00990D3B">
        <w:rPr>
          <w:rFonts w:ascii="Arial" w:hAnsi="Arial" w:cs="Arial"/>
          <w:b/>
          <w:sz w:val="18"/>
          <w:szCs w:val="22"/>
        </w:rPr>
        <w:t>Handling of grievances and appeals (</w:t>
      </w:r>
      <w:r w:rsidRPr="00990D3B" w:rsidR="001C7FC0">
        <w:rPr>
          <w:rFonts w:ascii="Arial" w:hAnsi="Arial" w:cs="Arial"/>
          <w:b/>
          <w:sz w:val="18"/>
          <w:szCs w:val="22"/>
        </w:rPr>
        <w:t>42 C.F.R.</w:t>
      </w:r>
      <w:r w:rsidRPr="00990D3B" w:rsidR="007854DF">
        <w:rPr>
          <w:rFonts w:ascii="Arial" w:hAnsi="Arial" w:cs="Arial"/>
          <w:b/>
          <w:sz w:val="18"/>
          <w:szCs w:val="22"/>
        </w:rPr>
        <w:t xml:space="preserve"> </w:t>
      </w:r>
      <w:r w:rsidRPr="00990D3B">
        <w:rPr>
          <w:rFonts w:ascii="Arial" w:hAnsi="Arial" w:cs="Arial"/>
          <w:b/>
          <w:sz w:val="18"/>
          <w:szCs w:val="22"/>
        </w:rPr>
        <w:t>438.406 and 457.1260</w:t>
      </w:r>
      <w:r w:rsidRPr="00990D3B" w:rsidR="008D4A58">
        <w:rPr>
          <w:rFonts w:ascii="Arial" w:hAnsi="Arial" w:cs="Arial"/>
          <w:b/>
          <w:sz w:val="18"/>
          <w:szCs w:val="22"/>
        </w:rPr>
        <w:t>(d)</w:t>
      </w:r>
      <w:r w:rsidRPr="00990D3B">
        <w:rPr>
          <w:rFonts w:ascii="Arial" w:hAnsi="Arial" w:cs="Arial"/>
          <w:b/>
          <w:sz w:val="18"/>
          <w:szCs w:val="22"/>
        </w:rPr>
        <w:t>)</w:t>
      </w:r>
    </w:p>
    <w:p w:rsidR="004E5913" w:rsidRPr="00990D3B" w:rsidP="002D35CF" w14:paraId="52C02A7E" w14:textId="77777777">
      <w:pPr>
        <w:pStyle w:val="EQRNormalSSWSquestionNUMBER"/>
        <w:numPr>
          <w:ilvl w:val="0"/>
          <w:numId w:val="94"/>
        </w:numPr>
        <w:rPr>
          <w:b/>
        </w:rPr>
      </w:pPr>
      <w:r w:rsidRPr="00990D3B">
        <w:t>What is the process used to monitor the appeal and grievance process?</w:t>
      </w:r>
    </w:p>
    <w:p w:rsidR="004E5913" w:rsidRPr="00990D3B" w:rsidP="00067986" w14:paraId="312B119F" w14:textId="77777777">
      <w:pPr>
        <w:pStyle w:val="EQRNormalSSWSquestionNUMBER"/>
        <w:rPr>
          <w:b/>
        </w:rPr>
      </w:pPr>
      <w:r w:rsidRPr="00990D3B">
        <w:t>What is the process to monitor areas of concern identified by enrollee appeals and grievances?</w:t>
      </w:r>
    </w:p>
    <w:p w:rsidR="004E5913" w:rsidRPr="00990D3B" w:rsidP="00067986" w14:paraId="5C4FBF2D" w14:textId="0E41E19F">
      <w:pPr>
        <w:keepNext/>
        <w:tabs>
          <w:tab w:val="left" w:pos="-1080"/>
          <w:tab w:val="left" w:pos="-720"/>
          <w:tab w:val="left" w:pos="0"/>
          <w:tab w:val="left" w:pos="360"/>
          <w:tab w:val="left" w:pos="720"/>
          <w:tab w:val="left" w:pos="1080"/>
        </w:tabs>
        <w:spacing w:line="240" w:lineRule="exact"/>
        <w:rPr>
          <w:rFonts w:ascii="Arial" w:hAnsi="Arial" w:cs="Arial"/>
          <w:b/>
          <w:sz w:val="18"/>
          <w:szCs w:val="22"/>
        </w:rPr>
      </w:pPr>
      <w:r w:rsidRPr="00990D3B">
        <w:rPr>
          <w:rFonts w:ascii="Arial" w:hAnsi="Arial" w:cs="Arial"/>
          <w:b/>
          <w:sz w:val="18"/>
          <w:szCs w:val="22"/>
        </w:rPr>
        <w:t>Recordkeeping and reporting requirements on grievances and appeals (</w:t>
      </w:r>
      <w:r w:rsidRPr="00990D3B" w:rsidR="001C7FC0">
        <w:rPr>
          <w:rFonts w:ascii="Arial" w:hAnsi="Arial" w:cs="Arial"/>
          <w:b/>
          <w:sz w:val="18"/>
          <w:szCs w:val="22"/>
        </w:rPr>
        <w:t>42 C.F.R.</w:t>
      </w:r>
      <w:r w:rsidRPr="00990D3B" w:rsidR="007854DF">
        <w:rPr>
          <w:rFonts w:ascii="Arial" w:hAnsi="Arial" w:cs="Arial"/>
          <w:b/>
          <w:sz w:val="18"/>
          <w:szCs w:val="22"/>
        </w:rPr>
        <w:t xml:space="preserve"> </w:t>
      </w:r>
      <w:r w:rsidRPr="00990D3B">
        <w:rPr>
          <w:rFonts w:ascii="Arial" w:hAnsi="Arial" w:cs="Arial"/>
          <w:b/>
          <w:sz w:val="18"/>
          <w:szCs w:val="22"/>
        </w:rPr>
        <w:t>438.416 and 457.1260</w:t>
      </w:r>
      <w:r w:rsidRPr="00990D3B" w:rsidR="008D4A58">
        <w:rPr>
          <w:rFonts w:ascii="Arial" w:hAnsi="Arial" w:cs="Arial"/>
          <w:b/>
          <w:sz w:val="18"/>
          <w:szCs w:val="22"/>
        </w:rPr>
        <w:t>(h)</w:t>
      </w:r>
      <w:r w:rsidRPr="00990D3B">
        <w:rPr>
          <w:rFonts w:ascii="Arial" w:hAnsi="Arial" w:cs="Arial"/>
          <w:b/>
          <w:sz w:val="18"/>
          <w:szCs w:val="22"/>
        </w:rPr>
        <w:t>)</w:t>
      </w:r>
    </w:p>
    <w:p w:rsidR="004E5913" w:rsidRPr="00990D3B" w:rsidP="002D35CF" w14:paraId="7A6606F2" w14:textId="63AC4880">
      <w:pPr>
        <w:pStyle w:val="EQRNormalSSWSquestionNUMBER"/>
        <w:numPr>
          <w:ilvl w:val="0"/>
          <w:numId w:val="95"/>
        </w:numPr>
        <w:rPr>
          <w:b/>
        </w:rPr>
      </w:pPr>
      <w:r w:rsidRPr="00990D3B">
        <w:t xml:space="preserve">To what extent is information on Medicaid and CHIP enrollee grievances and appeals analyzed and included as part of your MCP’s </w:t>
      </w:r>
      <w:r w:rsidRPr="00990D3B" w:rsidR="00193F54">
        <w:t>QAPI</w:t>
      </w:r>
      <w:r w:rsidRPr="00990D3B">
        <w:t xml:space="preserve"> Program?</w:t>
      </w:r>
      <w:bookmarkStart w:id="424" w:name="_Provider/Contractor_Services_Staff"/>
      <w:bookmarkEnd w:id="424"/>
    </w:p>
    <w:p w:rsidR="004E5913" w:rsidRPr="00990D3B" w:rsidP="00BD1FC3" w14:paraId="37257DCE" w14:textId="77777777">
      <w:r w:rsidRPr="00990D3B">
        <w:br w:type="page"/>
      </w:r>
    </w:p>
    <w:p w:rsidR="004E5913" w:rsidRPr="00990D3B" w:rsidP="002B40CC" w14:paraId="34582679" w14:textId="77777777">
      <w:pPr>
        <w:pStyle w:val="H2EQRWorksheet"/>
      </w:pPr>
      <w:r w:rsidRPr="00990D3B">
        <w:t>Provider/Contractor Services Staff Interview</w:t>
      </w:r>
    </w:p>
    <w:p w:rsidR="004E5913" w:rsidRPr="00990D3B" w:rsidP="00BD1FC3" w14:paraId="34C8B33E" w14:textId="77777777">
      <w:pPr>
        <w:pStyle w:val="EQRNormalSSWORKSHEET"/>
      </w:pPr>
      <w:r w:rsidRPr="00990D3B">
        <w:rPr>
          <w:b/>
        </w:rPr>
        <w:t>Instructions.</w:t>
      </w:r>
      <w:r w:rsidRPr="00990D3B">
        <w:t xml:space="preserve"> This is an interview </w:t>
      </w:r>
      <w:r w:rsidRPr="00990D3B">
        <w:t>of</w:t>
      </w:r>
      <w:r w:rsidRPr="00990D3B">
        <w:t xml:space="preserve"> MCP staff members who are responsible for establishing and maintaining communications with the MCP’s individual practitioners and other types of health care providers (e.g., organizations). This includes staff responsible for management of the credentialing process and oversight of delegated activities. Through these interviews, the reviewer(s) will assess enrollee rights; the credentialing and appointment process; oversight of the providers; and how information is communicated to providers.</w:t>
      </w:r>
    </w:p>
    <w:p w:rsidR="004E5913" w:rsidRPr="00990D3B" w:rsidP="0078426A" w14:paraId="12912FB6" w14:textId="5E654A92">
      <w:pPr>
        <w:pStyle w:val="EQRNormalSSWORKSHEET"/>
        <w:keepNext/>
        <w:rPr>
          <w:b/>
          <w:bCs/>
        </w:rPr>
      </w:pPr>
      <w:r w:rsidRPr="00990D3B">
        <w:rPr>
          <w:b/>
          <w:bCs/>
        </w:rPr>
        <w:t>Enrollee rights (</w:t>
      </w:r>
      <w:r w:rsidRPr="00990D3B" w:rsidR="001C7FC0">
        <w:rPr>
          <w:b/>
          <w:bCs/>
        </w:rPr>
        <w:t>42 C.F.R.</w:t>
      </w:r>
      <w:r w:rsidRPr="00990D3B" w:rsidR="007854DF">
        <w:rPr>
          <w:b/>
          <w:bCs/>
        </w:rPr>
        <w:t xml:space="preserve"> </w:t>
      </w:r>
      <w:r w:rsidRPr="00990D3B">
        <w:rPr>
          <w:b/>
          <w:bCs/>
        </w:rPr>
        <w:t xml:space="preserve">438.100 and 457.1220 and </w:t>
      </w:r>
      <w:r w:rsidRPr="00990D3B" w:rsidR="001C7FC0">
        <w:rPr>
          <w:b/>
          <w:bCs/>
        </w:rPr>
        <w:t>42 C.F.R.</w:t>
      </w:r>
      <w:r w:rsidRPr="00990D3B" w:rsidR="007854DF">
        <w:rPr>
          <w:b/>
          <w:bCs/>
        </w:rPr>
        <w:t xml:space="preserve"> </w:t>
      </w:r>
      <w:r w:rsidRPr="00990D3B">
        <w:rPr>
          <w:b/>
          <w:bCs/>
        </w:rPr>
        <w:t>438.206-210 and 457.1230(a-d)))</w:t>
      </w:r>
    </w:p>
    <w:p w:rsidR="004E5913" w:rsidRPr="00990D3B" w:rsidP="002D35CF" w14:paraId="66E018F4" w14:textId="77777777">
      <w:pPr>
        <w:pStyle w:val="EQRNormalSSWSquestionNUMBER"/>
        <w:numPr>
          <w:ilvl w:val="0"/>
          <w:numId w:val="96"/>
        </w:numPr>
        <w:rPr>
          <w:b/>
        </w:rPr>
      </w:pPr>
      <w:r w:rsidRPr="00990D3B">
        <w:t xml:space="preserve">How does the MCP inform its providers (individual, institutional, and LTSS providers) about enrollee rights and responsibilities?  </w:t>
      </w:r>
    </w:p>
    <w:p w:rsidR="004E5913" w:rsidRPr="00990D3B" w:rsidP="002D35CF" w14:paraId="3E2A3F8D" w14:textId="77777777">
      <w:pPr>
        <w:pStyle w:val="EQRNormalSSWSquestionsub"/>
        <w:numPr>
          <w:ilvl w:val="0"/>
          <w:numId w:val="108"/>
        </w:numPr>
        <w:rPr>
          <w:b/>
        </w:rPr>
      </w:pPr>
      <w:r w:rsidRPr="00990D3B">
        <w:t>How does the MCP monitor for compliance with these rights by its providers?</w:t>
      </w:r>
    </w:p>
    <w:p w:rsidR="004E5913" w:rsidRPr="00990D3B" w:rsidP="007A260E" w14:paraId="75D4E82D" w14:textId="77777777">
      <w:pPr>
        <w:pStyle w:val="EQRNormalSSWSquestionNUMBER"/>
        <w:rPr>
          <w:b/>
        </w:rPr>
      </w:pPr>
      <w:r w:rsidRPr="00990D3B">
        <w:t>To what extent, if any, does the MCP supply providers with information on where to refer enrollees who are having difficulty understanding the materials that have been provided to them by the MCP?</w:t>
      </w:r>
    </w:p>
    <w:p w:rsidR="004E5913" w:rsidRPr="00990D3B" w:rsidP="007A260E" w14:paraId="03DBEC08" w14:textId="77777777">
      <w:pPr>
        <w:pStyle w:val="EQRNormalSSWSquestionNUMBER"/>
        <w:rPr>
          <w:b/>
        </w:rPr>
      </w:pPr>
      <w:r w:rsidRPr="00990D3B">
        <w:t xml:space="preserve">Does the MCP require providers to have access to oral interpreter services?  </w:t>
      </w:r>
    </w:p>
    <w:p w:rsidR="004E5913" w:rsidRPr="00990D3B" w:rsidP="002D35CF" w14:paraId="26FA8EC1" w14:textId="77777777">
      <w:pPr>
        <w:pStyle w:val="EQRNormalSSWSquestionsub"/>
        <w:numPr>
          <w:ilvl w:val="0"/>
          <w:numId w:val="109"/>
        </w:numPr>
        <w:rPr>
          <w:b/>
        </w:rPr>
      </w:pPr>
      <w:r w:rsidRPr="00990D3B">
        <w:t>Does the MCP supply providers with guidance or assistance in accessing oral interpreter services if necessary?</w:t>
      </w:r>
    </w:p>
    <w:p w:rsidR="004E5913" w:rsidRPr="00990D3B" w:rsidP="007A260E" w14:paraId="75433D27" w14:textId="77777777">
      <w:pPr>
        <w:pStyle w:val="EQRNormalSSWSquestionNUMBER"/>
        <w:rPr>
          <w:b/>
        </w:rPr>
      </w:pPr>
      <w:r w:rsidRPr="00990D3B">
        <w:t xml:space="preserve">How does the MCP ensure that its own facilities and those of its affiliated providers comply with enrollee rights to treatment with respect, dignity, and consideration for privacy?  </w:t>
      </w:r>
    </w:p>
    <w:p w:rsidR="004E5913" w:rsidRPr="00990D3B" w:rsidP="002D35CF" w14:paraId="2F8E0677" w14:textId="77777777">
      <w:pPr>
        <w:pStyle w:val="EQRNormalSSWSquestionsub"/>
        <w:numPr>
          <w:ilvl w:val="0"/>
          <w:numId w:val="111"/>
        </w:numPr>
        <w:rPr>
          <w:b/>
          <w:szCs w:val="22"/>
        </w:rPr>
      </w:pPr>
      <w:r w:rsidRPr="00990D3B">
        <w:rPr>
          <w:szCs w:val="22"/>
        </w:rPr>
        <w:t>Are there any additional considerations made for providers of LTSS, where services may be of a more intimate nature or occur in a more isolated setting? Please provide examples.</w:t>
      </w:r>
    </w:p>
    <w:p w:rsidR="004E5913" w:rsidRPr="00990D3B" w:rsidP="007A260E" w14:paraId="769AE276" w14:textId="77777777">
      <w:pPr>
        <w:pStyle w:val="EQRNormalSSWSquestionNUMBER"/>
        <w:rPr>
          <w:b/>
        </w:rPr>
      </w:pPr>
      <w:r w:rsidRPr="00990D3B">
        <w:t>How does the MCP ensure that enrollees are not discriminated against in its own facilities and those of its affiliated providers when seeking health care services consistent with their covered benefits?</w:t>
      </w:r>
    </w:p>
    <w:p w:rsidR="004E5913" w:rsidRPr="00990D3B" w:rsidP="007A260E" w14:paraId="2EEEC3E7" w14:textId="39743E9B">
      <w:pPr>
        <w:pStyle w:val="EQRNormalSSWSquestionNUMBER"/>
        <w:rPr>
          <w:b/>
        </w:rPr>
      </w:pPr>
      <w:r w:rsidRPr="00990D3B">
        <w:t>Please describe the MCP’s credentialing, verification and oversight process for primary care providers, other health care professionals, LTSS</w:t>
      </w:r>
      <w:r w:rsidRPr="00990D3B" w:rsidR="00193F54">
        <w:t>,</w:t>
      </w:r>
      <w:r w:rsidRPr="00990D3B">
        <w:t xml:space="preserve"> and institutional providers.  </w:t>
      </w:r>
    </w:p>
    <w:p w:rsidR="004E5913" w:rsidRPr="00990D3B" w:rsidP="002D35CF" w14:paraId="18DE3249" w14:textId="77777777">
      <w:pPr>
        <w:pStyle w:val="EQRNormalSSWSquestionsub"/>
        <w:numPr>
          <w:ilvl w:val="0"/>
          <w:numId w:val="110"/>
        </w:numPr>
        <w:rPr>
          <w:b/>
        </w:rPr>
      </w:pPr>
      <w:r w:rsidRPr="00990D3B">
        <w:t xml:space="preserve">What is encompassed by reviews and evaluations of these providers?  </w:t>
      </w:r>
    </w:p>
    <w:p w:rsidR="004E5913" w:rsidRPr="00990D3B" w:rsidP="002D35CF" w14:paraId="1F3BEB4B" w14:textId="77777777">
      <w:pPr>
        <w:pStyle w:val="ListParagraph"/>
        <w:numPr>
          <w:ilvl w:val="0"/>
          <w:numId w:val="25"/>
        </w:numPr>
        <w:tabs>
          <w:tab w:val="left" w:pos="-1080"/>
          <w:tab w:val="left" w:pos="-720"/>
          <w:tab w:val="left" w:pos="0"/>
          <w:tab w:val="left" w:pos="360"/>
          <w:tab w:val="left" w:pos="720"/>
          <w:tab w:val="left" w:pos="1080"/>
        </w:tabs>
        <w:spacing w:before="0" w:after="240" w:line="240" w:lineRule="exact"/>
        <w:ind w:left="288"/>
        <w:rPr>
          <w:rFonts w:ascii="Arial" w:hAnsi="Arial" w:cs="Arial"/>
          <w:b/>
          <w:sz w:val="18"/>
          <w:szCs w:val="22"/>
        </w:rPr>
      </w:pPr>
      <w:r w:rsidRPr="00990D3B">
        <w:rPr>
          <w:rFonts w:ascii="Arial" w:hAnsi="Arial" w:cs="Arial"/>
          <w:sz w:val="18"/>
          <w:szCs w:val="22"/>
        </w:rPr>
        <w:t xml:space="preserve">Do these processes involve visits to the providers’ care delivery sites? </w:t>
      </w:r>
    </w:p>
    <w:p w:rsidR="004E5913" w:rsidRPr="00990D3B" w:rsidP="007A260E" w14:paraId="58BE6EBE" w14:textId="77777777">
      <w:pPr>
        <w:pStyle w:val="EQRNormalSSWSquestionNUMBER"/>
        <w:rPr>
          <w:b/>
        </w:rPr>
      </w:pPr>
      <w:r w:rsidRPr="00990D3B">
        <w:t xml:space="preserve">What methods are used to encourage providers to share information on available treatment options and alternatives with enrollees?  </w:t>
      </w:r>
    </w:p>
    <w:p w:rsidR="004E5913" w:rsidRPr="00990D3B" w:rsidP="007A260E" w14:paraId="1CAB4857" w14:textId="77777777">
      <w:pPr>
        <w:pStyle w:val="EQRNormalSSWSquestionNUMBER"/>
        <w:rPr>
          <w:b/>
        </w:rPr>
      </w:pPr>
      <w:r w:rsidRPr="00990D3B">
        <w:t>What processes are in place for monitoring providers to determine that they are providing information on available treatment options and alternatives?</w:t>
      </w:r>
    </w:p>
    <w:p w:rsidR="004E5913" w:rsidRPr="00990D3B" w:rsidP="007A260E" w14:paraId="7202F8DC" w14:textId="77777777">
      <w:pPr>
        <w:pStyle w:val="EQRNormalSSWSquestionNUMBER"/>
        <w:rPr>
          <w:b/>
        </w:rPr>
      </w:pPr>
      <w:r w:rsidRPr="00990D3B">
        <w:t xml:space="preserve">What requirements does the MCP have for providers/contractors relative to enrollee advance directives?  </w:t>
      </w:r>
    </w:p>
    <w:p w:rsidR="004E5913" w:rsidRPr="00990D3B" w:rsidP="002D35CF" w14:paraId="77120628" w14:textId="77777777">
      <w:pPr>
        <w:pStyle w:val="EQRNormalSSWSquestionsub"/>
        <w:numPr>
          <w:ilvl w:val="0"/>
          <w:numId w:val="112"/>
        </w:numPr>
        <w:rPr>
          <w:b/>
        </w:rPr>
      </w:pPr>
      <w:r w:rsidRPr="00990D3B">
        <w:t>How is it determined that providers/contractors are meeting the MCP’s requirements?</w:t>
      </w:r>
    </w:p>
    <w:p w:rsidR="004E5913" w:rsidRPr="00990D3B" w:rsidP="007A260E" w14:paraId="09831EA7" w14:textId="77777777">
      <w:pPr>
        <w:pStyle w:val="EQRNormalSSWSquestionNUMBER"/>
      </w:pPr>
      <w:r w:rsidRPr="00990D3B">
        <w:t xml:space="preserve">How does the MCP inform </w:t>
      </w:r>
      <w:r w:rsidRPr="00990D3B">
        <w:t>all of</w:t>
      </w:r>
      <w:r w:rsidRPr="00990D3B">
        <w:t xml:space="preserve"> its network providers, including its LTSS, individual and institutional providers, about enrollee rights to service availability, coordination and continuity of care, coverage and authorization of service, and </w:t>
      </w:r>
      <w:r w:rsidRPr="00990D3B">
        <w:t>to obtain</w:t>
      </w:r>
      <w:r w:rsidRPr="00990D3B">
        <w:t xml:space="preserve"> a second opinion from an appropriately qualified health professional?  </w:t>
      </w:r>
    </w:p>
    <w:p w:rsidR="004E5913" w:rsidRPr="00990D3B" w:rsidP="002D35CF" w14:paraId="063B925C" w14:textId="77777777">
      <w:pPr>
        <w:pStyle w:val="EQRNormalSSWSquestionsub"/>
        <w:numPr>
          <w:ilvl w:val="0"/>
          <w:numId w:val="113"/>
        </w:numPr>
      </w:pPr>
      <w:r w:rsidRPr="00990D3B">
        <w:t>How does the MCP monitor for compliance with these rights by its providers?</w:t>
      </w:r>
    </w:p>
    <w:p w:rsidR="004E5913" w:rsidRPr="00990D3B" w:rsidP="007A260E" w14:paraId="366A94E9" w14:textId="77777777">
      <w:pPr>
        <w:pStyle w:val="EQRNormalSSWSquestionNUMBER"/>
        <w:rPr>
          <w:b/>
        </w:rPr>
      </w:pPr>
      <w:r w:rsidRPr="00990D3B">
        <w:t xml:space="preserve">How are the MCP’s network providers informed of </w:t>
      </w:r>
      <w:r w:rsidRPr="00990D3B">
        <w:t>enrollees</w:t>
      </w:r>
      <w:r w:rsidRPr="00990D3B">
        <w:t>’ right to request and receive a copy of their medical records, and to request that they be amended or corrected?</w:t>
      </w:r>
    </w:p>
    <w:p w:rsidR="004E5913" w:rsidRPr="00990D3B" w:rsidP="007A260E" w14:paraId="31DF7F0B" w14:textId="77777777">
      <w:pPr>
        <w:pStyle w:val="EQRNormalSSWSquestionNUMBER"/>
        <w:rPr>
          <w:b/>
        </w:rPr>
      </w:pPr>
      <w:r w:rsidRPr="00990D3B">
        <w:t>What steps does the MCP take to ensure that providers/contractors are aware of and in compliance with applicable federal and state laws on enrollee rights?</w:t>
      </w:r>
    </w:p>
    <w:p w:rsidR="004E5913" w:rsidRPr="00990D3B" w:rsidP="007A260E" w14:paraId="66199F03" w14:textId="77777777">
      <w:pPr>
        <w:pStyle w:val="EQRNormalSSWSquestionNUMBER"/>
        <w:rPr>
          <w:b/>
        </w:rPr>
      </w:pPr>
      <w:r w:rsidRPr="00990D3B">
        <w:t>If a provider/contractor is found in violation of a federal or state law concerning enrollee rights, what action is taken by the MCP?</w:t>
      </w:r>
    </w:p>
    <w:p w:rsidR="004E5913" w:rsidRPr="00990D3B" w:rsidP="0078426A" w14:paraId="7FF62402" w14:textId="3AFB651E">
      <w:pPr>
        <w:pStyle w:val="EQRNormalSSWORKSHEET"/>
        <w:keepNext/>
        <w:rPr>
          <w:b/>
          <w:bCs/>
        </w:rPr>
      </w:pPr>
      <w:r w:rsidRPr="00990D3B">
        <w:rPr>
          <w:b/>
          <w:bCs/>
        </w:rPr>
        <w:t>Availability of services (</w:t>
      </w:r>
      <w:r w:rsidRPr="00990D3B" w:rsidR="001C7FC0">
        <w:rPr>
          <w:b/>
          <w:bCs/>
        </w:rPr>
        <w:t>42 C.F.R.</w:t>
      </w:r>
      <w:r w:rsidRPr="00990D3B" w:rsidR="007854DF">
        <w:rPr>
          <w:b/>
          <w:bCs/>
        </w:rPr>
        <w:t xml:space="preserve"> </w:t>
      </w:r>
      <w:r w:rsidRPr="00990D3B">
        <w:rPr>
          <w:b/>
          <w:bCs/>
        </w:rPr>
        <w:t>438.206 and 457.1230(a))</w:t>
      </w:r>
    </w:p>
    <w:p w:rsidR="004E5913" w:rsidRPr="00990D3B" w:rsidP="002D35CF" w14:paraId="20D04C7A" w14:textId="77777777">
      <w:pPr>
        <w:pStyle w:val="EQRNormalSSWSquestionNUMBER"/>
        <w:numPr>
          <w:ilvl w:val="0"/>
          <w:numId w:val="97"/>
        </w:numPr>
        <w:rPr>
          <w:b/>
        </w:rPr>
      </w:pPr>
      <w:r w:rsidRPr="00990D3B">
        <w:t xml:space="preserve">Please describe the MCP credentialing and re-credentialing process.  </w:t>
      </w:r>
    </w:p>
    <w:p w:rsidR="004E5913" w:rsidRPr="00990D3B" w:rsidP="002D35CF" w14:paraId="72129F96" w14:textId="77777777">
      <w:pPr>
        <w:pStyle w:val="EQRNormalSSWSquestionsub"/>
        <w:numPr>
          <w:ilvl w:val="0"/>
          <w:numId w:val="114"/>
        </w:numPr>
        <w:rPr>
          <w:b/>
        </w:rPr>
      </w:pPr>
      <w:r w:rsidRPr="00990D3B">
        <w:t>Is the process different for Medicaid and CHIP providers than for providers serving other networks? If yes, what are the differences?</w:t>
      </w:r>
    </w:p>
    <w:p w:rsidR="004E5913" w:rsidRPr="00990D3B" w:rsidP="007A260E" w14:paraId="4F813155" w14:textId="77777777">
      <w:pPr>
        <w:pStyle w:val="EQRNormalSSWSquestionNUMBER"/>
        <w:rPr>
          <w:b/>
        </w:rPr>
      </w:pPr>
      <w:r w:rsidRPr="00990D3B">
        <w:t>How is it determined that providers are geographically accessible to Medicaid and CHIP enrollees and physically accessible to enrollees with disabilities?</w:t>
      </w:r>
    </w:p>
    <w:p w:rsidR="004E5913" w:rsidRPr="00990D3B" w:rsidP="007A260E" w14:paraId="2A4E5CD4" w14:textId="77777777">
      <w:pPr>
        <w:pStyle w:val="EQRNormalSSWSquestionNUMBER"/>
      </w:pPr>
      <w:r w:rsidRPr="00990D3B">
        <w:t xml:space="preserve">Please describe the processes for monitoring the provider network to determine </w:t>
      </w:r>
      <w:r w:rsidRPr="00990D3B">
        <w:t>that</w:t>
      </w:r>
      <w:r w:rsidRPr="00990D3B">
        <w:t xml:space="preserve"> Medicaid and CHIP requirements about timeliness, availability, and accessibility are being met.  </w:t>
      </w:r>
    </w:p>
    <w:p w:rsidR="004E5913" w:rsidRPr="00990D3B" w:rsidP="002D35CF" w14:paraId="1B4BE76B" w14:textId="77777777">
      <w:pPr>
        <w:pStyle w:val="EQRNormalSSWSquestionsub"/>
        <w:numPr>
          <w:ilvl w:val="0"/>
          <w:numId w:val="115"/>
        </w:numPr>
      </w:pPr>
      <w:r w:rsidRPr="00990D3B">
        <w:t>What are the most recent findings from this process?</w:t>
      </w:r>
    </w:p>
    <w:p w:rsidR="004E5913" w:rsidRPr="00990D3B" w:rsidP="007A260E" w14:paraId="49F9A267" w14:textId="77777777">
      <w:pPr>
        <w:pStyle w:val="EQRNormalSSWSquestionNUMBER"/>
      </w:pPr>
      <w:r w:rsidRPr="00990D3B">
        <w:t xml:space="preserve">How </w:t>
      </w:r>
      <w:r w:rsidRPr="00990D3B">
        <w:t>often in the last year</w:t>
      </w:r>
      <w:r w:rsidRPr="00990D3B">
        <w:t xml:space="preserve"> has your MCP had to </w:t>
      </w:r>
      <w:r w:rsidRPr="00990D3B">
        <w:t>arrange for</w:t>
      </w:r>
      <w:r w:rsidRPr="00990D3B">
        <w:t xml:space="preserve"> services or </w:t>
      </w:r>
      <w:r w:rsidRPr="00990D3B">
        <w:t>reimbursements to</w:t>
      </w:r>
      <w:r w:rsidRPr="00990D3B">
        <w:t xml:space="preserve"> out-of-network providers?</w:t>
      </w:r>
    </w:p>
    <w:p w:rsidR="004E5913" w:rsidRPr="00990D3B" w:rsidP="007A260E" w14:paraId="08D81B8B" w14:textId="77777777">
      <w:pPr>
        <w:pStyle w:val="EQRNormalSSWSquestionNUMBER"/>
      </w:pPr>
      <w:r w:rsidRPr="00990D3B">
        <w:t>How does the MCP evaluate the expected utilization of institutional care in comparison with the use of HCBS as an alternative?</w:t>
      </w:r>
    </w:p>
    <w:p w:rsidR="004E5913" w:rsidRPr="00990D3B" w:rsidP="007A260E" w14:paraId="65A559F8" w14:textId="77777777">
      <w:pPr>
        <w:pStyle w:val="EQRNormalSSWSquestionNUMBER"/>
      </w:pPr>
      <w:r w:rsidRPr="00990D3B">
        <w:t>Does the MCP maintain accessibility information on its LTSS and other specialized providers? If yes, how is this maintained and shared with enrollees?</w:t>
      </w:r>
    </w:p>
    <w:p w:rsidR="004E5913" w:rsidRPr="00990D3B" w:rsidP="007A260E" w14:paraId="13795AF5" w14:textId="77777777">
      <w:pPr>
        <w:pStyle w:val="EQRNormalSSWSquestionNUMBER"/>
      </w:pPr>
      <w:r w:rsidRPr="00990D3B">
        <w:t>How does the MCP encourage the promotion of culturally competent service delivery by LTSS and other specialty providers?</w:t>
      </w:r>
    </w:p>
    <w:p w:rsidR="004E5913" w:rsidRPr="00990D3B" w:rsidP="007A260E" w14:paraId="31A33701" w14:textId="77777777">
      <w:pPr>
        <w:pStyle w:val="EQRNormalSSWSquestionNUMBER"/>
        <w:rPr>
          <w:b/>
        </w:rPr>
      </w:pPr>
      <w:r w:rsidRPr="00990D3B">
        <w:t>Are there any limits to choice of LTSS and other specialty providers?</w:t>
      </w:r>
    </w:p>
    <w:p w:rsidR="004E5913" w:rsidRPr="00990D3B" w:rsidP="0078426A" w14:paraId="5D81FE93" w14:textId="44548D8B">
      <w:pPr>
        <w:pStyle w:val="EQRNormalSSWORKSHEET"/>
        <w:keepNext/>
        <w:rPr>
          <w:rFonts w:cs="Arial"/>
          <w:b/>
          <w:szCs w:val="22"/>
        </w:rPr>
      </w:pPr>
      <w:r w:rsidRPr="00990D3B">
        <w:rPr>
          <w:rFonts w:cs="Arial"/>
          <w:b/>
          <w:szCs w:val="22"/>
        </w:rPr>
        <w:t xml:space="preserve">Timely </w:t>
      </w:r>
      <w:r w:rsidRPr="00990D3B">
        <w:rPr>
          <w:b/>
          <w:bCs/>
        </w:rPr>
        <w:t>access</w:t>
      </w:r>
      <w:r w:rsidRPr="00990D3B">
        <w:rPr>
          <w:rFonts w:cs="Arial"/>
          <w:b/>
          <w:szCs w:val="22"/>
        </w:rPr>
        <w:t xml:space="preserve"> to service (</w:t>
      </w:r>
      <w:r w:rsidRPr="00990D3B" w:rsidR="001C7FC0">
        <w:rPr>
          <w:rFonts w:cs="Arial"/>
          <w:b/>
          <w:szCs w:val="22"/>
        </w:rPr>
        <w:t>42 C.F.R.</w:t>
      </w:r>
      <w:r w:rsidRPr="00990D3B" w:rsidR="007854DF">
        <w:rPr>
          <w:rFonts w:cs="Arial"/>
          <w:b/>
          <w:szCs w:val="22"/>
        </w:rPr>
        <w:t xml:space="preserve"> </w:t>
      </w:r>
      <w:r w:rsidRPr="00990D3B">
        <w:rPr>
          <w:rFonts w:cs="Arial"/>
          <w:b/>
          <w:szCs w:val="22"/>
        </w:rPr>
        <w:t>438.206(c)(1) and 457.1230(a))</w:t>
      </w:r>
    </w:p>
    <w:p w:rsidR="004E5913" w:rsidRPr="00990D3B" w:rsidP="002D35CF" w14:paraId="5F1025BE" w14:textId="77777777">
      <w:pPr>
        <w:pStyle w:val="EQRNormalSSWSquestionNUMBER"/>
        <w:numPr>
          <w:ilvl w:val="0"/>
          <w:numId w:val="98"/>
        </w:numPr>
        <w:rPr>
          <w:b/>
        </w:rPr>
      </w:pPr>
      <w:r w:rsidRPr="00990D3B">
        <w:rPr>
          <w:b/>
        </w:rPr>
        <w:t>Ask only if MCP is a MCO, PIHP, or PAHP:</w:t>
      </w:r>
      <w:r w:rsidRPr="00990D3B">
        <w:rPr>
          <w:rStyle w:val="CommentReference"/>
          <w:rFonts w:ascii="Arial" w:hAnsi="Arial" w:cs="Arial"/>
          <w:sz w:val="18"/>
        </w:rPr>
        <w:t xml:space="preserve"> </w:t>
      </w:r>
      <w:r w:rsidRPr="00990D3B">
        <w:t xml:space="preserve">Are your MCP’s provider services available 24 hours a day, 7 days a week, when medically or otherwise necessary to meet the enrollee’s needs?  </w:t>
      </w:r>
    </w:p>
    <w:p w:rsidR="004E5913" w:rsidRPr="00990D3B" w:rsidP="002D35CF" w14:paraId="0984C9C9" w14:textId="77777777">
      <w:pPr>
        <w:pStyle w:val="EQRNormalSSWSquestionsub"/>
        <w:numPr>
          <w:ilvl w:val="0"/>
          <w:numId w:val="116"/>
        </w:numPr>
        <w:rPr>
          <w:b/>
        </w:rPr>
      </w:pPr>
      <w:r w:rsidRPr="00990D3B">
        <w:t xml:space="preserve">Are certain LTSS or other specialized providers/provider types contracted specifically for after-hours/urgent/emergent need?  </w:t>
      </w:r>
    </w:p>
    <w:p w:rsidR="004E5913" w:rsidRPr="00990D3B" w:rsidP="002D35CF" w14:paraId="463DDCBD" w14:textId="77777777">
      <w:pPr>
        <w:pStyle w:val="EQRNormalSSWSquestionsub"/>
        <w:numPr>
          <w:ilvl w:val="0"/>
          <w:numId w:val="116"/>
        </w:numPr>
        <w:rPr>
          <w:b/>
        </w:rPr>
      </w:pPr>
      <w:r w:rsidRPr="00990D3B">
        <w:t>If yes, what types? How were these types determined?</w:t>
      </w:r>
    </w:p>
    <w:p w:rsidR="004E5913" w:rsidRPr="00990D3B" w:rsidP="007A260E" w14:paraId="4E4A2BC1" w14:textId="3C075B84">
      <w:pPr>
        <w:pStyle w:val="EQRNormalSSWSquestionNUMBER"/>
        <w:rPr>
          <w:b/>
        </w:rPr>
      </w:pPr>
      <w:r w:rsidRPr="00990D3B">
        <w:t xml:space="preserve">Are providers included in developing </w:t>
      </w:r>
      <w:r w:rsidRPr="00990D3B" w:rsidR="00D50AF4">
        <w:t>enrollee</w:t>
      </w:r>
      <w:r w:rsidRPr="00990D3B">
        <w:t xml:space="preserve"> emergency back-up plans? If they are not involved in the back-up plan development, how are they made aware of their responsibility for emergency back-up?</w:t>
      </w:r>
    </w:p>
    <w:p w:rsidR="004E5913" w:rsidRPr="00990D3B" w:rsidP="007A260E" w14:paraId="0E7D76F0" w14:textId="77777777">
      <w:pPr>
        <w:pStyle w:val="EQRNormalSSWSquestionNUMBER"/>
      </w:pPr>
      <w:r w:rsidRPr="00990D3B">
        <w:t>Are the hours of operation of the provider network serving Medicaid and CHIP enrollees different from the hours of operation of the provider network serving other enrollees? If yes, why are they different?</w:t>
      </w:r>
    </w:p>
    <w:p w:rsidR="004E5913" w:rsidRPr="00990D3B" w:rsidP="007A260E" w14:paraId="7E489745" w14:textId="014EBDAF">
      <w:pPr>
        <w:pStyle w:val="EQRNormalSSWSquestionNUMBER"/>
        <w:rPr>
          <w:b/>
        </w:rPr>
      </w:pPr>
      <w:r w:rsidRPr="00990D3B">
        <w:t xml:space="preserve">Does the MCP continuously monitor its provider network for compliance with established standards on timeliness of access to all care and </w:t>
      </w:r>
      <w:r w:rsidRPr="00990D3B" w:rsidR="002F4DD4">
        <w:t>enrollee</w:t>
      </w:r>
      <w:r w:rsidRPr="00990D3B">
        <w:t xml:space="preserve"> services? If yes, how, and what are the most recent findings?</w:t>
      </w:r>
    </w:p>
    <w:p w:rsidR="004E5913" w:rsidRPr="00990D3B" w:rsidP="007A260E" w14:paraId="41E03A36" w14:textId="44CF972D">
      <w:pPr>
        <w:pStyle w:val="EQRNormalSSWSquestionNUMBER"/>
        <w:rPr>
          <w:b/>
        </w:rPr>
      </w:pPr>
      <w:bookmarkStart w:id="425" w:name="_Hlk184987577"/>
      <w:r w:rsidRPr="00990D3B">
        <w:t xml:space="preserve">What steps are taken to address provider non-compliance with established standards for timeliness of access to care and </w:t>
      </w:r>
      <w:r w:rsidRPr="00990D3B" w:rsidR="002F4DD4">
        <w:t>enrollee</w:t>
      </w:r>
      <w:r w:rsidRPr="00990D3B">
        <w:t xml:space="preserve"> services?</w:t>
      </w:r>
      <w:bookmarkEnd w:id="425"/>
      <w:r w:rsidRPr="00990D3B">
        <w:t xml:space="preserve">  </w:t>
      </w:r>
    </w:p>
    <w:p w:rsidR="004E5913" w:rsidRPr="00990D3B" w:rsidP="002D35CF" w14:paraId="5226051B" w14:textId="77777777">
      <w:pPr>
        <w:pStyle w:val="EQRNormalSSWSquestionsub"/>
        <w:numPr>
          <w:ilvl w:val="0"/>
          <w:numId w:val="117"/>
        </w:numPr>
        <w:rPr>
          <w:b/>
        </w:rPr>
      </w:pPr>
      <w:r w:rsidRPr="00990D3B">
        <w:t xml:space="preserve">How are corrective actions assessed for effectiveness? Please describe the follow up and monitoring. </w:t>
      </w:r>
    </w:p>
    <w:p w:rsidR="004E5913" w:rsidRPr="00990D3B" w:rsidP="0078426A" w14:paraId="179EAE55" w14:textId="26DE079C">
      <w:pPr>
        <w:pStyle w:val="EQRNormalSSWORKSHEET"/>
        <w:keepNext/>
        <w:rPr>
          <w:rFonts w:cs="Arial"/>
          <w:b/>
          <w:szCs w:val="22"/>
        </w:rPr>
      </w:pPr>
      <w:r w:rsidRPr="00990D3B">
        <w:rPr>
          <w:rFonts w:cs="Arial"/>
          <w:b/>
          <w:szCs w:val="22"/>
        </w:rPr>
        <w:t>Coordination and continuity of care for all enrollees (</w:t>
      </w:r>
      <w:r w:rsidRPr="00990D3B" w:rsidR="001C7FC0">
        <w:rPr>
          <w:rFonts w:cs="Arial"/>
          <w:b/>
          <w:szCs w:val="22"/>
        </w:rPr>
        <w:t>42 C.F.R.</w:t>
      </w:r>
      <w:r w:rsidRPr="00990D3B" w:rsidR="007854DF">
        <w:rPr>
          <w:rFonts w:cs="Arial"/>
          <w:b/>
          <w:szCs w:val="22"/>
        </w:rPr>
        <w:t xml:space="preserve"> </w:t>
      </w:r>
      <w:r w:rsidRPr="00990D3B">
        <w:rPr>
          <w:rFonts w:cs="Arial"/>
          <w:b/>
          <w:szCs w:val="22"/>
        </w:rPr>
        <w:t>438.208 and 457.1230(c))</w:t>
      </w:r>
    </w:p>
    <w:p w:rsidR="004E5913" w:rsidRPr="00990D3B" w:rsidP="002D35CF" w14:paraId="3D92BE55" w14:textId="77777777">
      <w:pPr>
        <w:pStyle w:val="EQRNormalSSWSquestionNUMBER"/>
        <w:numPr>
          <w:ilvl w:val="0"/>
          <w:numId w:val="99"/>
        </w:numPr>
      </w:pPr>
      <w:r w:rsidRPr="00990D3B">
        <w:t xml:space="preserve">How are primary care providers serving enrollees with special health care needs made aware of and involved in procedures for: </w:t>
      </w:r>
    </w:p>
    <w:p w:rsidR="004E5913" w:rsidRPr="00990D3B" w:rsidP="002D35CF" w14:paraId="419C9959" w14:textId="77777777">
      <w:pPr>
        <w:pStyle w:val="EQRNormalSSWSquestionsub"/>
        <w:numPr>
          <w:ilvl w:val="0"/>
          <w:numId w:val="118"/>
        </w:numPr>
      </w:pPr>
      <w:r w:rsidRPr="00990D3B">
        <w:t>Assessing individuals with special health care needs?</w:t>
      </w:r>
    </w:p>
    <w:p w:rsidR="004E5913" w:rsidRPr="00990D3B" w:rsidP="009D0763" w14:paraId="2FB3B656" w14:textId="77777777">
      <w:pPr>
        <w:pStyle w:val="EQRNormalSSWSquestionsub"/>
      </w:pPr>
      <w:r w:rsidRPr="00990D3B">
        <w:t>Ensuring that treatment plans address the needs identified by the assessment?</w:t>
      </w:r>
    </w:p>
    <w:p w:rsidR="004E5913" w:rsidRPr="00990D3B" w:rsidP="009D0763" w14:paraId="1C66D444" w14:textId="77777777">
      <w:pPr>
        <w:pStyle w:val="EQRNormalSSWSquestionsub"/>
      </w:pPr>
      <w:r w:rsidRPr="00990D3B">
        <w:t>Assuring appropriate use of specialists?</w:t>
      </w:r>
    </w:p>
    <w:p w:rsidR="004E5913" w:rsidRPr="00990D3B" w:rsidP="009D0763" w14:paraId="2FE9F212" w14:textId="222774EA">
      <w:pPr>
        <w:pStyle w:val="EQRNormalSSWSquestionsub"/>
      </w:pPr>
      <w:r w:rsidRPr="00990D3B">
        <w:t>Coordinating primary care services with care provided by other MCOs, PIHPs</w:t>
      </w:r>
      <w:r w:rsidRPr="00990D3B" w:rsidR="00D6394E">
        <w:t>,</w:t>
      </w:r>
      <w:r w:rsidRPr="00990D3B">
        <w:t xml:space="preserve"> or PAHPs serving the enrollee?</w:t>
      </w:r>
    </w:p>
    <w:p w:rsidR="004E5913" w:rsidRPr="00990D3B" w:rsidP="009D0763" w14:paraId="3CF86D50" w14:textId="77777777">
      <w:pPr>
        <w:pStyle w:val="EQRNormalSSWSquestionsub"/>
      </w:pPr>
      <w:r w:rsidRPr="00990D3B">
        <w:t xml:space="preserve">Coordinating care with other providers, including </w:t>
      </w:r>
      <w:r w:rsidRPr="00990D3B">
        <w:t>specialist</w:t>
      </w:r>
      <w:r w:rsidRPr="00990D3B">
        <w:t xml:space="preserve"> and LTSS providers?</w:t>
      </w:r>
    </w:p>
    <w:p w:rsidR="004E5913" w:rsidRPr="00990D3B" w:rsidP="0078426A" w14:paraId="21866890" w14:textId="7C285504">
      <w:pPr>
        <w:pStyle w:val="EQRNormalSSWORKSHEET"/>
        <w:keepNext/>
        <w:rPr>
          <w:rFonts w:cs="Arial"/>
          <w:b/>
          <w:szCs w:val="22"/>
        </w:rPr>
      </w:pPr>
      <w:r w:rsidRPr="00990D3B">
        <w:rPr>
          <w:rFonts w:cs="Arial"/>
          <w:b/>
          <w:szCs w:val="22"/>
        </w:rPr>
        <w:t>Additional coordination and continuity of care questions: SHCN (</w:t>
      </w:r>
      <w:r w:rsidRPr="00990D3B" w:rsidR="001C7FC0">
        <w:rPr>
          <w:rFonts w:cs="Arial"/>
          <w:b/>
          <w:szCs w:val="22"/>
        </w:rPr>
        <w:t>42 C.F.R.</w:t>
      </w:r>
      <w:r w:rsidRPr="00990D3B" w:rsidR="007854DF">
        <w:rPr>
          <w:rFonts w:cs="Arial"/>
          <w:b/>
          <w:szCs w:val="22"/>
        </w:rPr>
        <w:t xml:space="preserve"> </w:t>
      </w:r>
      <w:r w:rsidRPr="00990D3B">
        <w:rPr>
          <w:rFonts w:cs="Arial"/>
          <w:b/>
          <w:szCs w:val="22"/>
        </w:rPr>
        <w:t>438.208 and 457.1230(c))</w:t>
      </w:r>
    </w:p>
    <w:p w:rsidR="004E5913" w:rsidRPr="00990D3B" w:rsidP="002D35CF" w14:paraId="3C660F44" w14:textId="44B241A6">
      <w:pPr>
        <w:pStyle w:val="EQRNormalSSWSquestionNUMBER"/>
        <w:numPr>
          <w:ilvl w:val="0"/>
          <w:numId w:val="100"/>
        </w:numPr>
      </w:pPr>
      <w:r w:rsidRPr="00990D3B">
        <w:t>How are specialty providers serving enrollees with special health care needs made aware of and involved in procedures for:</w:t>
      </w:r>
    </w:p>
    <w:p w:rsidR="004E5913" w:rsidRPr="00990D3B" w:rsidP="002D35CF" w14:paraId="32646AF6" w14:textId="058D4863">
      <w:pPr>
        <w:pStyle w:val="EQRNormalSSWSquestionsub"/>
        <w:numPr>
          <w:ilvl w:val="0"/>
          <w:numId w:val="119"/>
        </w:numPr>
      </w:pPr>
      <w:r w:rsidRPr="00990D3B">
        <w:t>Assessing individuals with special health care needs?</w:t>
      </w:r>
    </w:p>
    <w:p w:rsidR="004E5913" w:rsidRPr="00990D3B" w:rsidP="009D0763" w14:paraId="51682F3D" w14:textId="77777777">
      <w:pPr>
        <w:pStyle w:val="EQRNormalSSWSquestionsub"/>
      </w:pPr>
      <w:r w:rsidRPr="00990D3B">
        <w:t>Ensuring that treatment plans address the needs identified by the assessment?</w:t>
      </w:r>
    </w:p>
    <w:p w:rsidR="004E5913" w:rsidRPr="00990D3B" w:rsidP="009D0763" w14:paraId="24E92921" w14:textId="77777777">
      <w:pPr>
        <w:pStyle w:val="EQRNormalSSWSquestionsub"/>
      </w:pPr>
      <w:r w:rsidRPr="00990D3B">
        <w:t>Coordinating specialty care services with care provided by other MCPs serving the enrollee?</w:t>
      </w:r>
    </w:p>
    <w:p w:rsidR="004E5913" w:rsidRPr="00990D3B" w:rsidP="009D0763" w14:paraId="1FDB9508" w14:textId="77777777">
      <w:pPr>
        <w:pStyle w:val="EQRNormalSSWSquestionsub"/>
      </w:pPr>
      <w:r w:rsidRPr="00990D3B">
        <w:t>Coordinating care with other providers, including primary and LTSS providers?</w:t>
      </w:r>
    </w:p>
    <w:p w:rsidR="004E5913" w:rsidRPr="00990D3B" w:rsidP="007A260E" w14:paraId="45F116AB" w14:textId="77777777">
      <w:pPr>
        <w:pStyle w:val="EQRNormalSSWSquestionNUMBER"/>
      </w:pPr>
      <w:r w:rsidRPr="00990D3B">
        <w:t>How are LTSS providers serving enrollees with special health care needs made aware of and involved in procedures for:</w:t>
      </w:r>
    </w:p>
    <w:p w:rsidR="004E5913" w:rsidRPr="00990D3B" w:rsidP="002D35CF" w14:paraId="4CFF71E4" w14:textId="47D4AE4E">
      <w:pPr>
        <w:pStyle w:val="EQRNormalSSWSquestionsub"/>
        <w:numPr>
          <w:ilvl w:val="0"/>
          <w:numId w:val="120"/>
        </w:numPr>
      </w:pPr>
      <w:r w:rsidRPr="00990D3B">
        <w:t>Assessing individuals with special health care needs?</w:t>
      </w:r>
    </w:p>
    <w:p w:rsidR="004E5913" w:rsidRPr="00990D3B" w:rsidP="009D0763" w14:paraId="7EC11483" w14:textId="77777777">
      <w:pPr>
        <w:pStyle w:val="EQRNormalSSWSquestionsub"/>
      </w:pPr>
      <w:r w:rsidRPr="00990D3B">
        <w:t>Ensuring that treatment plans address the needs identified by the assessment?</w:t>
      </w:r>
    </w:p>
    <w:p w:rsidR="004E5913" w:rsidRPr="00990D3B" w:rsidP="009D0763" w14:paraId="503CD9E1" w14:textId="77777777">
      <w:pPr>
        <w:pStyle w:val="EQRNormalSSWSquestionsub"/>
      </w:pPr>
      <w:r w:rsidRPr="00990D3B">
        <w:t xml:space="preserve">Coordinating care with other providers, including primary and LTSS providers? </w:t>
      </w:r>
    </w:p>
    <w:p w:rsidR="004E5913" w:rsidRPr="00990D3B" w:rsidP="0078426A" w14:paraId="497F62FB" w14:textId="1E4452B8">
      <w:pPr>
        <w:pStyle w:val="EQRNormalSSWORKSHEET"/>
        <w:keepNext/>
        <w:rPr>
          <w:rFonts w:cs="Arial"/>
          <w:b/>
          <w:szCs w:val="22"/>
        </w:rPr>
      </w:pPr>
      <w:r w:rsidRPr="00990D3B">
        <w:rPr>
          <w:rFonts w:cs="Arial"/>
          <w:b/>
          <w:szCs w:val="22"/>
        </w:rPr>
        <w:t>Additional coordination and continuity of care questions: LTSS (</w:t>
      </w:r>
      <w:r w:rsidRPr="00990D3B" w:rsidR="001C7FC0">
        <w:rPr>
          <w:rFonts w:cs="Arial"/>
          <w:b/>
          <w:szCs w:val="22"/>
        </w:rPr>
        <w:t>42 C.F.R.</w:t>
      </w:r>
      <w:r w:rsidRPr="00990D3B" w:rsidR="007854DF">
        <w:rPr>
          <w:rFonts w:cs="Arial"/>
          <w:b/>
          <w:szCs w:val="22"/>
        </w:rPr>
        <w:t xml:space="preserve"> </w:t>
      </w:r>
      <w:r w:rsidRPr="00990D3B">
        <w:rPr>
          <w:rFonts w:cs="Arial"/>
          <w:b/>
          <w:szCs w:val="22"/>
        </w:rPr>
        <w:t>438.208</w:t>
      </w:r>
      <w:r w:rsidRPr="00990D3B" w:rsidR="00D6394E">
        <w:rPr>
          <w:rFonts w:cs="Arial"/>
          <w:b/>
          <w:szCs w:val="22"/>
        </w:rPr>
        <w:t>)</w:t>
      </w:r>
    </w:p>
    <w:p w:rsidR="004E5913" w:rsidRPr="00990D3B" w:rsidP="002D35CF" w14:paraId="370513A5" w14:textId="77777777">
      <w:pPr>
        <w:pStyle w:val="EQRNormalSSWSquestionNUMBER"/>
        <w:numPr>
          <w:ilvl w:val="0"/>
          <w:numId w:val="101"/>
        </w:numPr>
      </w:pPr>
      <w:r w:rsidRPr="00990D3B">
        <w:t>How are LTSS providers serving enrollees with special health care needs made aware of and involved in procedures for:</w:t>
      </w:r>
    </w:p>
    <w:p w:rsidR="004E5913" w:rsidRPr="00990D3B" w:rsidP="002D35CF" w14:paraId="58CF8053" w14:textId="77777777">
      <w:pPr>
        <w:pStyle w:val="EQRNormalSSWSquestionsub"/>
        <w:numPr>
          <w:ilvl w:val="0"/>
          <w:numId w:val="121"/>
        </w:numPr>
      </w:pPr>
      <w:r w:rsidRPr="00990D3B">
        <w:t>Assessing individuals with special health care needs?</w:t>
      </w:r>
    </w:p>
    <w:p w:rsidR="004E5913" w:rsidRPr="00990D3B" w:rsidP="009D0763" w14:paraId="2B7AD2C2" w14:textId="77777777">
      <w:pPr>
        <w:pStyle w:val="EQRNormalSSWSquestionsub"/>
      </w:pPr>
      <w:r w:rsidRPr="00990D3B">
        <w:t>Ensuring that treatment plans address the needs identified by the assessment?</w:t>
      </w:r>
    </w:p>
    <w:p w:rsidR="004E5913" w:rsidRPr="00990D3B" w:rsidP="009D0763" w14:paraId="21F437D1" w14:textId="77777777">
      <w:pPr>
        <w:pStyle w:val="EQRNormalSSWSquestionsub"/>
      </w:pPr>
      <w:r w:rsidRPr="00990D3B">
        <w:t>Coordinating care with primary care and specialty providers?</w:t>
      </w:r>
    </w:p>
    <w:p w:rsidR="004E5913" w:rsidRPr="00990D3B" w:rsidP="0078426A" w14:paraId="310E1083" w14:textId="56AE7B8E">
      <w:pPr>
        <w:pStyle w:val="EQRNormalSSWORKSHEET"/>
        <w:keepNext/>
        <w:rPr>
          <w:rFonts w:cs="Arial"/>
          <w:b/>
          <w:szCs w:val="22"/>
        </w:rPr>
      </w:pPr>
      <w:r w:rsidRPr="00990D3B">
        <w:rPr>
          <w:rFonts w:cs="Arial"/>
          <w:b/>
          <w:szCs w:val="22"/>
        </w:rPr>
        <w:t>Coverage and authorization of services (</w:t>
      </w:r>
      <w:r w:rsidRPr="00990D3B" w:rsidR="001C7FC0">
        <w:rPr>
          <w:rFonts w:cs="Arial"/>
          <w:b/>
          <w:szCs w:val="22"/>
        </w:rPr>
        <w:t>42 C.F.R.</w:t>
      </w:r>
      <w:r w:rsidRPr="00990D3B" w:rsidR="007854DF">
        <w:rPr>
          <w:rFonts w:cs="Arial"/>
          <w:b/>
          <w:szCs w:val="22"/>
        </w:rPr>
        <w:t xml:space="preserve"> </w:t>
      </w:r>
      <w:r w:rsidRPr="00990D3B">
        <w:rPr>
          <w:rFonts w:cs="Arial"/>
          <w:b/>
          <w:szCs w:val="22"/>
        </w:rPr>
        <w:t>438.210 and 457.1230(d))</w:t>
      </w:r>
    </w:p>
    <w:p w:rsidR="004E5913" w:rsidRPr="00990D3B" w:rsidP="002D35CF" w14:paraId="039C454A" w14:textId="6A9B4369">
      <w:pPr>
        <w:pStyle w:val="EQRNormalSSWSquestionNUMBER"/>
        <w:numPr>
          <w:ilvl w:val="0"/>
          <w:numId w:val="102"/>
        </w:numPr>
      </w:pPr>
      <w:r w:rsidRPr="00990D3B">
        <w:t xml:space="preserve">Do contracts/agreements with individuals or organizations performing utilization </w:t>
      </w:r>
      <w:r w:rsidRPr="00990D3B">
        <w:t>review</w:t>
      </w:r>
      <w:r w:rsidRPr="00990D3B">
        <w:t xml:space="preserve"> offer any performance incentives?  If yes, please describe the incentives. [Note to reviewers: Look for any incentives for denying, limiting, or discontinuing authorization of services.]</w:t>
      </w:r>
    </w:p>
    <w:p w:rsidR="004E5913" w:rsidRPr="00990D3B" w:rsidP="007A260E" w14:paraId="1D1AD73D" w14:textId="77777777">
      <w:pPr>
        <w:pStyle w:val="EQRNormalSSWSquestionNUMBER"/>
      </w:pPr>
      <w:r w:rsidRPr="00990D3B">
        <w:t>Are network providers notified of the information ordinarily required to process an authorization request?</w:t>
      </w:r>
    </w:p>
    <w:p w:rsidR="004E5913" w:rsidRPr="00990D3B" w:rsidP="007A260E" w14:paraId="29C01135" w14:textId="77777777">
      <w:pPr>
        <w:pStyle w:val="EQRNormalSSWSquestionNUMBER"/>
        <w:rPr>
          <w:b/>
        </w:rPr>
      </w:pPr>
      <w:r w:rsidRPr="00990D3B">
        <w:t xml:space="preserve">Please describe the process for notifying the requesting provider of any decision to deny, limit, or discontinue authorization of services.  </w:t>
      </w:r>
    </w:p>
    <w:p w:rsidR="004E5913" w:rsidRPr="00990D3B" w:rsidP="002D35CF" w14:paraId="4860F41F" w14:textId="77777777">
      <w:pPr>
        <w:pStyle w:val="EQRNormalSSWSquestionsub"/>
        <w:numPr>
          <w:ilvl w:val="0"/>
          <w:numId w:val="122"/>
        </w:numPr>
        <w:rPr>
          <w:b/>
        </w:rPr>
      </w:pPr>
      <w:r w:rsidRPr="00990D3B">
        <w:t>What are the MCP’s time frames for notification?</w:t>
      </w:r>
    </w:p>
    <w:p w:rsidR="004E5913" w:rsidRPr="00990D3B" w:rsidP="007A260E" w14:paraId="4A82293F" w14:textId="77777777">
      <w:pPr>
        <w:pStyle w:val="EQRNormalSSWSquestionNUMBER"/>
      </w:pPr>
      <w:r w:rsidRPr="00990D3B">
        <w:t xml:space="preserve">Does the MCP contract with all LTSS and other specialized provider types identified in the state’s benefit package?  If not, what provider types are not contracted?  How are enrollees’ needs met in lieu of this </w:t>
      </w:r>
      <w:r w:rsidRPr="00990D3B">
        <w:t>service</w:t>
      </w:r>
      <w:r w:rsidRPr="00990D3B">
        <w:t xml:space="preserve"> availability?</w:t>
      </w:r>
    </w:p>
    <w:p w:rsidR="004E5913" w:rsidRPr="00990D3B" w:rsidP="007A260E" w14:paraId="7E752382" w14:textId="77777777">
      <w:pPr>
        <w:pStyle w:val="EQRNormalSSWSquestionNUMBER"/>
        <w:rPr>
          <w:b/>
        </w:rPr>
      </w:pPr>
      <w:r w:rsidRPr="00990D3B">
        <w:t>Are there any universal service limitations on LTSS? If yes, what are the service limitations, and how were these determined?</w:t>
      </w:r>
    </w:p>
    <w:p w:rsidR="004E5913" w:rsidRPr="00990D3B" w:rsidP="0078426A" w14:paraId="6EE03952" w14:textId="2AEC2625">
      <w:pPr>
        <w:pStyle w:val="EQRNormalSSWORKSHEET"/>
        <w:keepNext/>
        <w:rPr>
          <w:rFonts w:cs="Arial"/>
          <w:b/>
          <w:szCs w:val="22"/>
        </w:rPr>
      </w:pPr>
      <w:r w:rsidRPr="00990D3B">
        <w:rPr>
          <w:rFonts w:cs="Arial"/>
          <w:b/>
          <w:szCs w:val="22"/>
        </w:rPr>
        <w:t>Provider selection (</w:t>
      </w:r>
      <w:r w:rsidRPr="00990D3B" w:rsidR="001C7FC0">
        <w:rPr>
          <w:rFonts w:cs="Arial"/>
          <w:b/>
          <w:szCs w:val="22"/>
        </w:rPr>
        <w:t>42 C.F.R.</w:t>
      </w:r>
      <w:r w:rsidRPr="00990D3B" w:rsidR="007854DF">
        <w:rPr>
          <w:rFonts w:cs="Arial"/>
          <w:b/>
          <w:szCs w:val="22"/>
        </w:rPr>
        <w:t xml:space="preserve"> </w:t>
      </w:r>
      <w:r w:rsidRPr="00990D3B">
        <w:rPr>
          <w:rFonts w:cs="Arial"/>
          <w:b/>
          <w:szCs w:val="22"/>
        </w:rPr>
        <w:t>438.214 and 457.1233(a))</w:t>
      </w:r>
    </w:p>
    <w:p w:rsidR="004E5913" w:rsidRPr="00990D3B" w:rsidP="002D35CF" w14:paraId="2B03EBD0" w14:textId="77777777">
      <w:pPr>
        <w:pStyle w:val="EQRNormalSSWSquestionNUMBER"/>
        <w:numPr>
          <w:ilvl w:val="0"/>
          <w:numId w:val="103"/>
        </w:numPr>
      </w:pPr>
      <w:r w:rsidRPr="00990D3B">
        <w:t>What types of individual practitioners are subject to the MCP’s credentialing process?</w:t>
      </w:r>
    </w:p>
    <w:p w:rsidR="004E5913" w:rsidRPr="00990D3B" w:rsidP="007A260E" w14:paraId="507A4920" w14:textId="77777777">
      <w:pPr>
        <w:pStyle w:val="EQRNormalSSWSquestionNUMBER"/>
        <w:rPr>
          <w:b/>
        </w:rPr>
      </w:pPr>
      <w:r w:rsidRPr="00990D3B">
        <w:t xml:space="preserve">Please describe the MCP’s credentialing processes for individual practitioners.  </w:t>
      </w:r>
    </w:p>
    <w:p w:rsidR="004E5913" w:rsidRPr="00990D3B" w:rsidP="002D35CF" w14:paraId="7E544429" w14:textId="77777777">
      <w:pPr>
        <w:pStyle w:val="EQRNormalSSWSquestionsub"/>
        <w:numPr>
          <w:ilvl w:val="0"/>
          <w:numId w:val="123"/>
        </w:numPr>
        <w:rPr>
          <w:b/>
        </w:rPr>
      </w:pPr>
      <w:r w:rsidRPr="00990D3B">
        <w:t xml:space="preserve">How often does this process take place?  </w:t>
      </w:r>
    </w:p>
    <w:p w:rsidR="004E5913" w:rsidRPr="00990D3B" w:rsidP="009D0763" w14:paraId="01C7DC8C" w14:textId="77777777">
      <w:pPr>
        <w:pStyle w:val="EQRNormalSSWSquestionsub"/>
        <w:rPr>
          <w:b/>
        </w:rPr>
      </w:pPr>
      <w:r w:rsidRPr="00990D3B">
        <w:t xml:space="preserve">What items of credentials information are updated during the process?  </w:t>
      </w:r>
    </w:p>
    <w:p w:rsidR="004E5913" w:rsidRPr="00990D3B" w:rsidP="009D0763" w14:paraId="6B649FE1" w14:textId="77777777">
      <w:pPr>
        <w:pStyle w:val="EQRNormalSSWSquestionsub"/>
        <w:rPr>
          <w:b/>
        </w:rPr>
      </w:pPr>
      <w:r w:rsidRPr="00990D3B">
        <w:t xml:space="preserve">Are site visits made to providers?  When and how often?  How is it determined that a site visit will be made?  </w:t>
      </w:r>
    </w:p>
    <w:p w:rsidR="004E5913" w:rsidRPr="00990D3B" w:rsidP="009D0763" w14:paraId="0E565D5A" w14:textId="77777777">
      <w:pPr>
        <w:pStyle w:val="EQRNormalSSWSquestionsub"/>
        <w:rPr>
          <w:b/>
        </w:rPr>
      </w:pPr>
      <w:r w:rsidRPr="00990D3B">
        <w:t xml:space="preserve">Who is involved in the MCP’s credentialing activities?  </w:t>
      </w:r>
    </w:p>
    <w:p w:rsidR="004E5913" w:rsidRPr="00990D3B" w:rsidP="007A260E" w14:paraId="2247EB63" w14:textId="77777777">
      <w:pPr>
        <w:pStyle w:val="EQRNormalSSWSquestionNUMBER"/>
      </w:pPr>
      <w:r w:rsidRPr="00990D3B">
        <w:t xml:space="preserve">Please describe the MCP’s re-credentialing processes for individual practitioners.  </w:t>
      </w:r>
    </w:p>
    <w:p w:rsidR="004E5913" w:rsidRPr="00990D3B" w:rsidP="002D35CF" w14:paraId="3C1DF674" w14:textId="77777777">
      <w:pPr>
        <w:pStyle w:val="EQRNormalSSWSquestionsub"/>
        <w:numPr>
          <w:ilvl w:val="0"/>
          <w:numId w:val="124"/>
        </w:numPr>
      </w:pPr>
      <w:r w:rsidRPr="00990D3B">
        <w:t xml:space="preserve">What types of information are monitored and reviewed during the re-credentialing process?  </w:t>
      </w:r>
    </w:p>
    <w:p w:rsidR="004E5913" w:rsidRPr="00990D3B" w:rsidP="009D0763" w14:paraId="64849089" w14:textId="77777777">
      <w:pPr>
        <w:pStyle w:val="EQRNormalSSWSquestionsub"/>
      </w:pPr>
      <w:r w:rsidRPr="00990D3B">
        <w:t>What other operations of the MCP contribute information to be used in the re-credentialing process?</w:t>
      </w:r>
    </w:p>
    <w:p w:rsidR="004E5913" w:rsidRPr="00990D3B" w:rsidP="007A260E" w14:paraId="4CA9D426" w14:textId="77777777">
      <w:pPr>
        <w:pStyle w:val="EQRNormalSSWSquestionNUMBER"/>
        <w:rPr>
          <w:b/>
        </w:rPr>
      </w:pPr>
      <w:r w:rsidRPr="00990D3B">
        <w:rPr>
          <w:b/>
        </w:rPr>
        <w:t xml:space="preserve">Ask only if MCP is </w:t>
      </w:r>
      <w:r w:rsidRPr="00990D3B">
        <w:rPr>
          <w:b/>
        </w:rPr>
        <w:t>a MCO</w:t>
      </w:r>
      <w:r w:rsidRPr="00990D3B">
        <w:rPr>
          <w:b/>
        </w:rPr>
        <w:t>, PIHP, or PAHP</w:t>
      </w:r>
      <w:r w:rsidRPr="00990D3B">
        <w:rPr>
          <w:b/>
        </w:rPr>
        <w:t xml:space="preserve">:  </w:t>
      </w:r>
      <w:r w:rsidRPr="00990D3B">
        <w:t>Please</w:t>
      </w:r>
      <w:r w:rsidRPr="00990D3B">
        <w:t xml:space="preserve"> describe the MCO’s /PIHP’s/PAHP’s processes for selecting and monitoring institutional and other non- practitioner network providers (including LTSS).  </w:t>
      </w:r>
    </w:p>
    <w:p w:rsidR="004E5913" w:rsidRPr="00990D3B" w:rsidP="002D35CF" w14:paraId="2A3CA3BA" w14:textId="77777777">
      <w:pPr>
        <w:pStyle w:val="EQRNormalSSWSquestionsub"/>
        <w:numPr>
          <w:ilvl w:val="0"/>
          <w:numId w:val="125"/>
        </w:numPr>
        <w:rPr>
          <w:b/>
        </w:rPr>
      </w:pPr>
      <w:r w:rsidRPr="00990D3B">
        <w:t xml:space="preserve">What information is reviewed as a part of this process?  </w:t>
      </w:r>
    </w:p>
    <w:p w:rsidR="004E5913" w:rsidRPr="00990D3B" w:rsidP="009D0763" w14:paraId="7361DBF3" w14:textId="77777777">
      <w:pPr>
        <w:pStyle w:val="EQRNormalSSWSquestionsub"/>
        <w:rPr>
          <w:b/>
        </w:rPr>
      </w:pPr>
      <w:r w:rsidRPr="00990D3B">
        <w:t>Are site visits made?  When and how often?</w:t>
      </w:r>
    </w:p>
    <w:p w:rsidR="004E5913" w:rsidRPr="00990D3B" w:rsidP="007A260E" w14:paraId="0C400120" w14:textId="77777777">
      <w:pPr>
        <w:pStyle w:val="EQRNormalSSWSquestionNUMBER"/>
        <w:rPr>
          <w:b/>
        </w:rPr>
      </w:pPr>
      <w:r w:rsidRPr="00990D3B">
        <w:t xml:space="preserve">Please describe the MCP’s credentialing and re-credentialing processes for institutional providers.  </w:t>
      </w:r>
    </w:p>
    <w:p w:rsidR="004E5913" w:rsidRPr="00990D3B" w:rsidP="002D35CF" w14:paraId="0E77E83E" w14:textId="77777777">
      <w:pPr>
        <w:pStyle w:val="EQRNormalSSWSquestionsub"/>
        <w:numPr>
          <w:ilvl w:val="0"/>
          <w:numId w:val="126"/>
        </w:numPr>
      </w:pPr>
      <w:r w:rsidRPr="00990D3B">
        <w:t xml:space="preserve">Are site visits a part of the process </w:t>
      </w:r>
      <w:r w:rsidRPr="00990D3B">
        <w:t>to</w:t>
      </w:r>
      <w:r w:rsidRPr="00990D3B">
        <w:t xml:space="preserve"> credential and re-credential institutional providers? </w:t>
      </w:r>
    </w:p>
    <w:p w:rsidR="004E5913" w:rsidRPr="00990D3B" w:rsidP="009D0763" w14:paraId="29154E2B" w14:textId="77777777">
      <w:pPr>
        <w:pStyle w:val="EQRNormalSSWSquestionsub"/>
      </w:pPr>
      <w:r w:rsidRPr="00990D3B">
        <w:t xml:space="preserve">How frequently is re-credentialing performed?  </w:t>
      </w:r>
    </w:p>
    <w:p w:rsidR="004E5913" w:rsidRPr="00990D3B" w:rsidP="009D0763" w14:paraId="31649194" w14:textId="77777777">
      <w:pPr>
        <w:pStyle w:val="EQRNormalSSWSquestionsub"/>
        <w:rPr>
          <w:b/>
        </w:rPr>
      </w:pPr>
      <w:r w:rsidRPr="00990D3B">
        <w:t>What items of information are typically reviewed during the evaluation and reevaluation process?</w:t>
      </w:r>
    </w:p>
    <w:p w:rsidR="004E5913" w:rsidRPr="00990D3B" w:rsidP="007A260E" w14:paraId="7A3198F4" w14:textId="77777777">
      <w:pPr>
        <w:pStyle w:val="EQRNormalSSWSquestionNUMBER"/>
        <w:rPr>
          <w:b/>
        </w:rPr>
      </w:pPr>
      <w:r w:rsidRPr="00990D3B">
        <w:t>What other MCP operations contribute to the evaluation of a network institutional provider?</w:t>
      </w:r>
    </w:p>
    <w:p w:rsidR="004E5913" w:rsidRPr="00990D3B" w:rsidP="007A260E" w14:paraId="5BC5BFB3" w14:textId="77777777">
      <w:pPr>
        <w:pStyle w:val="EQRNormalSSWSquestionNUMBER"/>
      </w:pPr>
      <w:r w:rsidRPr="00990D3B">
        <w:t xml:space="preserve">What criteria </w:t>
      </w:r>
      <w:r w:rsidRPr="00990D3B">
        <w:t>is</w:t>
      </w:r>
      <w:r w:rsidRPr="00990D3B">
        <w:t xml:space="preserve"> the basis for denial of provider participation in the MCP’s network?</w:t>
      </w:r>
    </w:p>
    <w:p w:rsidR="004E5913" w:rsidRPr="00990D3B" w:rsidP="007A260E" w14:paraId="4C5827FE" w14:textId="77777777">
      <w:pPr>
        <w:pStyle w:val="EQRNormalSSWSquestionNUMBER"/>
        <w:rPr>
          <w:b/>
        </w:rPr>
      </w:pPr>
      <w:r w:rsidRPr="00990D3B">
        <w:t>How does the MCP verify the skills and requirements of LTSS providers, including self-directed support options? (i.e., background checks, exclusions, certifications and/or licensures)</w:t>
      </w:r>
    </w:p>
    <w:p w:rsidR="004E5913" w:rsidRPr="00990D3B" w:rsidP="0078426A" w14:paraId="6D031FAD" w14:textId="0D764E49">
      <w:pPr>
        <w:pStyle w:val="EQRNormalSSWORKSHEET"/>
        <w:keepNext/>
        <w:rPr>
          <w:rFonts w:cs="Arial"/>
          <w:b/>
          <w:szCs w:val="22"/>
        </w:rPr>
      </w:pPr>
      <w:r w:rsidRPr="00990D3B">
        <w:rPr>
          <w:rFonts w:cs="Arial"/>
          <w:b/>
          <w:szCs w:val="22"/>
        </w:rPr>
        <w:t>Grievance systems (</w:t>
      </w:r>
      <w:r w:rsidRPr="00990D3B" w:rsidR="001C7FC0">
        <w:rPr>
          <w:rFonts w:cs="Arial"/>
          <w:b/>
          <w:szCs w:val="22"/>
        </w:rPr>
        <w:t>42 C.F.R.</w:t>
      </w:r>
      <w:r w:rsidRPr="00990D3B" w:rsidR="007854DF">
        <w:rPr>
          <w:rFonts w:cs="Arial"/>
          <w:b/>
          <w:szCs w:val="22"/>
        </w:rPr>
        <w:t xml:space="preserve"> </w:t>
      </w:r>
      <w:r w:rsidRPr="00990D3B">
        <w:rPr>
          <w:rFonts w:cs="Arial"/>
          <w:b/>
          <w:szCs w:val="22"/>
        </w:rPr>
        <w:t>438.228)</w:t>
      </w:r>
    </w:p>
    <w:p w:rsidR="004E5913" w:rsidRPr="00990D3B" w:rsidP="002D35CF" w14:paraId="2BE318F9" w14:textId="77777777">
      <w:pPr>
        <w:pStyle w:val="EQRNormalSSWSquestionNUMBER"/>
        <w:numPr>
          <w:ilvl w:val="0"/>
          <w:numId w:val="104"/>
        </w:numPr>
        <w:rPr>
          <w:b/>
        </w:rPr>
      </w:pPr>
      <w:r w:rsidRPr="00990D3B">
        <w:t xml:space="preserve">Please describe the process for notifying the requesting provider of any decision to deny, limit, or discontinue authorization of services.  </w:t>
      </w:r>
    </w:p>
    <w:p w:rsidR="004E5913" w:rsidRPr="00990D3B" w:rsidP="002D35CF" w14:paraId="4241DC4D" w14:textId="77777777">
      <w:pPr>
        <w:pStyle w:val="EQRNormalSSWSquestionsub"/>
        <w:numPr>
          <w:ilvl w:val="0"/>
          <w:numId w:val="127"/>
        </w:numPr>
        <w:rPr>
          <w:b/>
        </w:rPr>
      </w:pPr>
      <w:r w:rsidRPr="00990D3B">
        <w:t>What are the MCP’s time frames for notification?</w:t>
      </w:r>
    </w:p>
    <w:p w:rsidR="004E5913" w:rsidRPr="00990D3B" w:rsidP="0078426A" w14:paraId="73AD59A0" w14:textId="10ED37E1">
      <w:pPr>
        <w:pStyle w:val="EQRNormalSSWORKSHEET"/>
        <w:keepNext/>
        <w:rPr>
          <w:rFonts w:cs="Arial"/>
          <w:b/>
          <w:szCs w:val="22"/>
        </w:rPr>
      </w:pPr>
      <w:r w:rsidRPr="00990D3B">
        <w:rPr>
          <w:rFonts w:cs="Arial"/>
          <w:b/>
          <w:szCs w:val="22"/>
        </w:rPr>
        <w:t>Sub contractual relationships and delegation (</w:t>
      </w:r>
      <w:r w:rsidRPr="00990D3B" w:rsidR="001C7FC0">
        <w:rPr>
          <w:rFonts w:cs="Arial"/>
          <w:b/>
          <w:szCs w:val="22"/>
        </w:rPr>
        <w:t>42 C.F.R.</w:t>
      </w:r>
      <w:r w:rsidRPr="00990D3B" w:rsidR="007854DF">
        <w:rPr>
          <w:rFonts w:cs="Arial"/>
          <w:b/>
          <w:szCs w:val="22"/>
        </w:rPr>
        <w:t xml:space="preserve"> </w:t>
      </w:r>
      <w:r w:rsidRPr="00990D3B">
        <w:rPr>
          <w:rFonts w:cs="Arial"/>
          <w:b/>
          <w:szCs w:val="22"/>
        </w:rPr>
        <w:t>438.230 and 457.1233(b))</w:t>
      </w:r>
    </w:p>
    <w:p w:rsidR="004E5913" w:rsidRPr="00990D3B" w:rsidP="002D35CF" w14:paraId="5C543F4B" w14:textId="77777777">
      <w:pPr>
        <w:pStyle w:val="EQRNormalSSWSquestionNUMBER"/>
        <w:numPr>
          <w:ilvl w:val="0"/>
          <w:numId w:val="105"/>
        </w:numPr>
      </w:pPr>
      <w:r w:rsidRPr="00990D3B">
        <w:t>What types of activities are performed by (and thereby delegated to) contractors?</w:t>
      </w:r>
    </w:p>
    <w:p w:rsidR="004E5913" w:rsidRPr="00990D3B" w:rsidP="002D35CF" w14:paraId="270CF6F1" w14:textId="77777777">
      <w:pPr>
        <w:pStyle w:val="EQRNormalSSWSquestionNUMBER"/>
        <w:numPr>
          <w:ilvl w:val="0"/>
          <w:numId w:val="105"/>
        </w:numPr>
        <w:rPr>
          <w:b/>
        </w:rPr>
      </w:pPr>
      <w:r w:rsidRPr="00990D3B">
        <w:t xml:space="preserve">Please describe your MCP’s process for identifying and selecting contractors.  </w:t>
      </w:r>
    </w:p>
    <w:p w:rsidR="004E5913" w:rsidRPr="00990D3B" w:rsidP="002D35CF" w14:paraId="376A3519" w14:textId="77777777">
      <w:pPr>
        <w:pStyle w:val="EQRNormalSSWSquestionsub"/>
        <w:numPr>
          <w:ilvl w:val="0"/>
          <w:numId w:val="128"/>
        </w:numPr>
        <w:rPr>
          <w:b/>
        </w:rPr>
      </w:pPr>
      <w:r w:rsidRPr="00990D3B">
        <w:t xml:space="preserve">How is it determined that a contractor </w:t>
      </w:r>
      <w:r w:rsidRPr="00990D3B">
        <w:t>has the ability to</w:t>
      </w:r>
      <w:r w:rsidRPr="00990D3B">
        <w:t xml:space="preserve"> perform the activities that are being delegated by the MCP?</w:t>
      </w:r>
    </w:p>
    <w:p w:rsidR="004E5913" w:rsidRPr="00990D3B" w:rsidP="007A260E" w14:paraId="0083C6BE" w14:textId="77777777">
      <w:pPr>
        <w:pStyle w:val="EQRNormalSSWSquestionNUMBER"/>
        <w:rPr>
          <w:b/>
        </w:rPr>
      </w:pPr>
      <w:r w:rsidRPr="00990D3B">
        <w:t xml:space="preserve">What steps does your MCP take to determine that an entity to which functions will be delegated </w:t>
      </w:r>
      <w:r w:rsidRPr="00990D3B">
        <w:t>is capable of performing</w:t>
      </w:r>
      <w:r w:rsidRPr="00990D3B">
        <w:t xml:space="preserve"> the delegated functions?  </w:t>
      </w:r>
    </w:p>
    <w:p w:rsidR="004E5913" w:rsidRPr="00990D3B" w:rsidP="002D35CF" w14:paraId="5A6C2583" w14:textId="77777777">
      <w:pPr>
        <w:pStyle w:val="EQRNormalSSWSquestionsub"/>
        <w:numPr>
          <w:ilvl w:val="0"/>
          <w:numId w:val="129"/>
        </w:numPr>
        <w:rPr>
          <w:b/>
        </w:rPr>
      </w:pPr>
      <w:r w:rsidRPr="00990D3B">
        <w:t>Please describe any evaluation process that your MCP has in place.</w:t>
      </w:r>
    </w:p>
    <w:p w:rsidR="004E5913" w:rsidRPr="00990D3B" w:rsidP="007A260E" w14:paraId="01E7FF2B" w14:textId="77777777">
      <w:pPr>
        <w:pStyle w:val="EQRNormalSSWSquestionNUMBER"/>
        <w:rPr>
          <w:b/>
        </w:rPr>
      </w:pPr>
      <w:r w:rsidRPr="00990D3B">
        <w:t>For each of the activities that have been delegated:</w:t>
      </w:r>
    </w:p>
    <w:p w:rsidR="004E5913" w:rsidRPr="00990D3B" w:rsidP="002D35CF" w14:paraId="3C34B4C4" w14:textId="77777777">
      <w:pPr>
        <w:pStyle w:val="EQRNormalSSWSquestionsub"/>
        <w:numPr>
          <w:ilvl w:val="0"/>
          <w:numId w:val="130"/>
        </w:numPr>
      </w:pPr>
      <w:r w:rsidRPr="00990D3B">
        <w:t>Is</w:t>
      </w:r>
      <w:r w:rsidRPr="00990D3B">
        <w:t xml:space="preserve"> there any ongoing monitoring and review of entities performing delegated activities?  </w:t>
      </w:r>
    </w:p>
    <w:p w:rsidR="004E5913" w:rsidRPr="00990D3B" w:rsidP="00824486" w14:paraId="4D079A1F" w14:textId="77777777">
      <w:pPr>
        <w:pStyle w:val="EQRNormalWSquestionsub2"/>
      </w:pPr>
      <w:r w:rsidRPr="00990D3B">
        <w:t xml:space="preserve">How </w:t>
      </w:r>
      <w:r w:rsidRPr="00990D3B">
        <w:t>this is</w:t>
      </w:r>
      <w:r w:rsidRPr="00990D3B">
        <w:t xml:space="preserve"> accomplished?  </w:t>
      </w:r>
    </w:p>
    <w:p w:rsidR="004E5913" w:rsidRPr="00990D3B" w:rsidP="00824486" w14:paraId="37B07CB7" w14:textId="77777777">
      <w:pPr>
        <w:pStyle w:val="EQRNormalWSquestionsub2"/>
      </w:pPr>
      <w:r w:rsidRPr="00990D3B">
        <w:t>Is the process the same for all delegates at all times</w:t>
      </w:r>
      <w:r w:rsidRPr="00990D3B">
        <w:t xml:space="preserve">?  </w:t>
      </w:r>
    </w:p>
    <w:p w:rsidR="004E5913" w:rsidRPr="00990D3B" w:rsidP="00824486" w14:paraId="08AD5013" w14:textId="77777777">
      <w:pPr>
        <w:pStyle w:val="EQRNormalWSquestionsub2"/>
      </w:pPr>
      <w:r w:rsidRPr="00990D3B">
        <w:t>Are there any instances when your MCP varies the monitoring process or the timing of evaluation?</w:t>
      </w:r>
    </w:p>
    <w:p w:rsidR="004E5913" w:rsidRPr="00990D3B" w:rsidP="002D35CF" w14:paraId="7BE5A956" w14:textId="77777777">
      <w:pPr>
        <w:pStyle w:val="EQRNormalSSWSquestionsub"/>
        <w:numPr>
          <w:ilvl w:val="0"/>
          <w:numId w:val="131"/>
        </w:numPr>
        <w:tabs>
          <w:tab w:val="left" w:pos="-1080"/>
          <w:tab w:val="left" w:pos="-720"/>
          <w:tab w:val="left" w:pos="0"/>
          <w:tab w:val="left" w:pos="360"/>
          <w:tab w:val="left" w:pos="1080"/>
        </w:tabs>
        <w:rPr>
          <w:szCs w:val="22"/>
        </w:rPr>
      </w:pPr>
      <w:r w:rsidRPr="00990D3B">
        <w:rPr>
          <w:szCs w:val="22"/>
        </w:rPr>
        <w:t xml:space="preserve">Does your MCP perform an annual evaluation of the delegate’s sub-contractor’s performance?  </w:t>
      </w:r>
    </w:p>
    <w:p w:rsidR="004E5913" w:rsidRPr="00990D3B" w:rsidP="002D35CF" w14:paraId="349E508A" w14:textId="77777777">
      <w:pPr>
        <w:numPr>
          <w:ilvl w:val="0"/>
          <w:numId w:val="26"/>
        </w:numPr>
        <w:tabs>
          <w:tab w:val="left" w:pos="-1080"/>
          <w:tab w:val="left" w:pos="-720"/>
          <w:tab w:val="left" w:pos="0"/>
          <w:tab w:val="left" w:pos="360"/>
          <w:tab w:val="left" w:pos="1080"/>
        </w:tabs>
        <w:spacing w:line="240" w:lineRule="exact"/>
        <w:ind w:left="828"/>
        <w:rPr>
          <w:rFonts w:ascii="Arial" w:hAnsi="Arial" w:cs="Arial"/>
          <w:sz w:val="18"/>
          <w:szCs w:val="22"/>
        </w:rPr>
      </w:pPr>
      <w:r w:rsidRPr="00990D3B">
        <w:rPr>
          <w:rFonts w:ascii="Arial" w:hAnsi="Arial" w:cs="Arial"/>
          <w:sz w:val="18"/>
          <w:szCs w:val="22"/>
        </w:rPr>
        <w:t>Please describe the process to conduct this evaluation. What is included in the evaluation?</w:t>
      </w:r>
    </w:p>
    <w:p w:rsidR="004E5913" w:rsidRPr="00990D3B" w:rsidP="009D0763" w14:paraId="38848132" w14:textId="77777777">
      <w:pPr>
        <w:pStyle w:val="EQRNormalSSWSquestionsub"/>
      </w:pPr>
      <w:r w:rsidRPr="00990D3B">
        <w:tab/>
        <w:t xml:space="preserve">What is done with the results of delegate evaluations?  </w:t>
      </w:r>
    </w:p>
    <w:p w:rsidR="004E5913" w:rsidRPr="00990D3B" w:rsidP="002D35CF" w14:paraId="4E5D2472" w14:textId="77777777">
      <w:pPr>
        <w:pStyle w:val="EQRNormalWSquestionsub2"/>
        <w:numPr>
          <w:ilvl w:val="0"/>
          <w:numId w:val="229"/>
        </w:numPr>
      </w:pPr>
      <w:r w:rsidRPr="00990D3B">
        <w:t xml:space="preserve">Do the results of the most recent delegate subcontractor evaluations specify any necessary corrective action for problems or deficiencies identified?  </w:t>
      </w:r>
    </w:p>
    <w:p w:rsidR="004E5913" w:rsidRPr="00990D3B" w:rsidP="00824486" w14:paraId="664BF59D" w14:textId="77777777">
      <w:pPr>
        <w:pStyle w:val="EQRNormalWSquestionsub2"/>
      </w:pPr>
      <w:r w:rsidRPr="00990D3B">
        <w:t xml:space="preserve">Please describe some of the recommendations made to delegates </w:t>
      </w:r>
      <w:r w:rsidRPr="00990D3B">
        <w:t>in an effort to</w:t>
      </w:r>
      <w:r w:rsidRPr="00990D3B">
        <w:t xml:space="preserve"> improve performance.</w:t>
      </w:r>
    </w:p>
    <w:p w:rsidR="004E5913" w:rsidRPr="00990D3B" w:rsidP="002D35CF" w14:paraId="0B1A7DD3" w14:textId="77777777">
      <w:pPr>
        <w:pStyle w:val="EQRNormalSSWSquestionsub"/>
        <w:numPr>
          <w:ilvl w:val="0"/>
          <w:numId w:val="128"/>
        </w:numPr>
      </w:pPr>
      <w:r w:rsidRPr="00990D3B">
        <w:rPr>
          <w:szCs w:val="22"/>
        </w:rPr>
        <w:t>What steps does your M</w:t>
      </w:r>
      <w:r w:rsidRPr="00990D3B">
        <w:t xml:space="preserve">CP take to </w:t>
      </w:r>
      <w:r w:rsidRPr="00990D3B">
        <w:t>assure</w:t>
      </w:r>
      <w:r w:rsidRPr="00990D3B">
        <w:t xml:space="preserve"> that the delegate implements corrective actions?</w:t>
      </w:r>
    </w:p>
    <w:p w:rsidR="004E5913" w:rsidRPr="00990D3B" w:rsidP="002D35CF" w14:paraId="1259CFD0" w14:textId="77777777">
      <w:pPr>
        <w:pStyle w:val="EQRNormalSSWSquestionsub"/>
        <w:numPr>
          <w:ilvl w:val="0"/>
          <w:numId w:val="128"/>
        </w:numPr>
        <w:rPr>
          <w:szCs w:val="22"/>
        </w:rPr>
      </w:pPr>
      <w:r w:rsidRPr="00990D3B">
        <w:t>Who in the MCP is assigne</w:t>
      </w:r>
      <w:r w:rsidRPr="00990D3B">
        <w:rPr>
          <w:szCs w:val="22"/>
        </w:rPr>
        <w:t>d responsibility for monitoring the delegate’s performance?</w:t>
      </w:r>
    </w:p>
    <w:p w:rsidR="004E5913" w:rsidRPr="00990D3B" w:rsidP="007A260E" w14:paraId="1A860EF8" w14:textId="597558BA">
      <w:pPr>
        <w:pStyle w:val="EQRNormalSSWSquestionNUMBER"/>
      </w:pPr>
      <w:r w:rsidRPr="00990D3B">
        <w:t>Does the MCP delegate any of its activities to LTSS providers?  If yes, how is the provider’s ability to carry out delegated activities determined and monitored?</w:t>
      </w:r>
    </w:p>
    <w:p w:rsidR="004E5913" w:rsidRPr="00990D3B" w:rsidP="0078426A" w14:paraId="23F9009C" w14:textId="566C7E19">
      <w:pPr>
        <w:pStyle w:val="EQRNormalSSWORKSHEET"/>
        <w:keepNext/>
        <w:rPr>
          <w:rFonts w:cs="Arial"/>
          <w:b/>
          <w:szCs w:val="22"/>
        </w:rPr>
      </w:pPr>
      <w:r w:rsidRPr="00990D3B">
        <w:rPr>
          <w:rFonts w:cs="Arial"/>
          <w:b/>
          <w:szCs w:val="22"/>
        </w:rPr>
        <w:t>Practice guidelines (</w:t>
      </w:r>
      <w:r w:rsidRPr="00990D3B" w:rsidR="001C7FC0">
        <w:rPr>
          <w:rFonts w:cs="Arial"/>
          <w:b/>
          <w:szCs w:val="22"/>
        </w:rPr>
        <w:t>42 C.F.R.</w:t>
      </w:r>
      <w:r w:rsidRPr="00990D3B" w:rsidR="007854DF">
        <w:rPr>
          <w:rFonts w:cs="Arial"/>
          <w:b/>
          <w:szCs w:val="22"/>
        </w:rPr>
        <w:t xml:space="preserve"> </w:t>
      </w:r>
      <w:r w:rsidRPr="00990D3B">
        <w:rPr>
          <w:rFonts w:cs="Arial"/>
          <w:b/>
          <w:szCs w:val="22"/>
        </w:rPr>
        <w:t>438.236 and 457.1233(c))</w:t>
      </w:r>
    </w:p>
    <w:p w:rsidR="004E5913" w:rsidRPr="00990D3B" w:rsidP="002D35CF" w14:paraId="22992336" w14:textId="77777777">
      <w:pPr>
        <w:pStyle w:val="EQRNormalSSWSquestionNUMBER"/>
        <w:numPr>
          <w:ilvl w:val="0"/>
          <w:numId w:val="106"/>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What mechanism is in place to consult affiliated providers as practice guidelines are adopted and re-evaluated?</w:t>
      </w:r>
    </w:p>
    <w:p w:rsidR="004E5913" w:rsidRPr="00990D3B" w:rsidP="002D35CF" w14:paraId="67E88D7B" w14:textId="77777777">
      <w:pPr>
        <w:pStyle w:val="EQRNormalSSWSquestionNUMBER"/>
        <w:numPr>
          <w:ilvl w:val="0"/>
          <w:numId w:val="106"/>
        </w:numPr>
        <w:tabs>
          <w:tab w:val="left" w:pos="-1080"/>
          <w:tab w:val="left" w:pos="-720"/>
          <w:tab w:val="left" w:pos="0"/>
          <w:tab w:val="left" w:pos="360"/>
          <w:tab w:val="left" w:pos="720"/>
          <w:tab w:val="left" w:pos="1080"/>
        </w:tabs>
        <w:spacing w:before="0" w:after="240"/>
        <w:rPr>
          <w:rFonts w:cs="Arial"/>
          <w:b/>
          <w:szCs w:val="22"/>
        </w:rPr>
      </w:pPr>
      <w:r w:rsidRPr="00990D3B">
        <w:rPr>
          <w:rFonts w:cs="Arial"/>
          <w:szCs w:val="22"/>
        </w:rPr>
        <w:t>How are practice guidelines disseminated to providers?</w:t>
      </w:r>
    </w:p>
    <w:p w:rsidR="004E5913" w:rsidRPr="00990D3B" w:rsidP="0078426A" w14:paraId="5F8890BB" w14:textId="1896FC6B">
      <w:pPr>
        <w:pStyle w:val="EQRNormalSSWORKSHEET"/>
        <w:keepNext/>
        <w:rPr>
          <w:rFonts w:cs="Arial"/>
          <w:b/>
          <w:szCs w:val="22"/>
        </w:rPr>
      </w:pPr>
      <w:r w:rsidRPr="00990D3B">
        <w:rPr>
          <w:rFonts w:cs="Arial"/>
          <w:b/>
          <w:szCs w:val="22"/>
        </w:rPr>
        <w:t xml:space="preserve">QAPI </w:t>
      </w:r>
      <w:r w:rsidRPr="00990D3B">
        <w:rPr>
          <w:rFonts w:cs="Arial"/>
          <w:b/>
          <w:szCs w:val="22"/>
        </w:rPr>
        <w:t xml:space="preserve">program </w:t>
      </w:r>
      <w:r w:rsidRPr="00990D3B">
        <w:rPr>
          <w:rFonts w:cs="Arial"/>
          <w:b/>
          <w:szCs w:val="22"/>
        </w:rPr>
        <w:t xml:space="preserve"> (</w:t>
      </w:r>
      <w:r w:rsidRPr="00990D3B" w:rsidR="001C7FC0">
        <w:rPr>
          <w:rFonts w:cs="Arial"/>
          <w:b/>
          <w:szCs w:val="22"/>
        </w:rPr>
        <w:t>42 C.F.R.</w:t>
      </w:r>
      <w:r w:rsidRPr="00990D3B" w:rsidR="007854DF">
        <w:rPr>
          <w:rFonts w:cs="Arial"/>
          <w:b/>
          <w:szCs w:val="22"/>
        </w:rPr>
        <w:t xml:space="preserve"> </w:t>
      </w:r>
      <w:r w:rsidRPr="00990D3B">
        <w:rPr>
          <w:rFonts w:cs="Arial"/>
          <w:b/>
          <w:szCs w:val="22"/>
        </w:rPr>
        <w:t>438.330)</w:t>
      </w:r>
    </w:p>
    <w:p w:rsidR="004E5913" w:rsidRPr="00990D3B" w:rsidP="002D35CF" w14:paraId="1525491A" w14:textId="77777777">
      <w:pPr>
        <w:pStyle w:val="EQRNormalSSWSquestionNUMBER"/>
        <w:numPr>
          <w:ilvl w:val="0"/>
          <w:numId w:val="132"/>
        </w:numPr>
        <w:tabs>
          <w:tab w:val="left" w:pos="-1080"/>
          <w:tab w:val="left" w:pos="-720"/>
          <w:tab w:val="left" w:pos="0"/>
          <w:tab w:val="left" w:pos="360"/>
          <w:tab w:val="left" w:pos="720"/>
          <w:tab w:val="left" w:pos="1080"/>
        </w:tabs>
        <w:spacing w:before="0" w:after="240"/>
        <w:rPr>
          <w:rFonts w:cs="Arial"/>
          <w:b/>
          <w:szCs w:val="22"/>
        </w:rPr>
      </w:pPr>
      <w:r w:rsidRPr="00990D3B">
        <w:rPr>
          <w:rFonts w:cs="Arial"/>
          <w:szCs w:val="22"/>
        </w:rPr>
        <w:t xml:space="preserve">How does the MCP monitor LTSS provider quality, appropriateness of care, compliance with state and plan requirements, and enforce corrective action when necessary? </w:t>
      </w:r>
    </w:p>
    <w:p w:rsidR="004E5913" w:rsidRPr="00990D3B" w:rsidP="008343BF" w14:paraId="527224E3" w14:textId="77777777">
      <w:pPr>
        <w:pStyle w:val="EQRNormalSSWSquestionNUMBER"/>
        <w:tabs>
          <w:tab w:val="left" w:pos="-1080"/>
          <w:tab w:val="left" w:pos="-720"/>
          <w:tab w:val="left" w:pos="0"/>
          <w:tab w:val="left" w:pos="360"/>
          <w:tab w:val="left" w:pos="720"/>
          <w:tab w:val="left" w:pos="1080"/>
        </w:tabs>
        <w:spacing w:before="0" w:after="240"/>
        <w:rPr>
          <w:rFonts w:cs="Arial"/>
          <w:b/>
          <w:szCs w:val="22"/>
        </w:rPr>
      </w:pPr>
      <w:r w:rsidRPr="00990D3B">
        <w:rPr>
          <w:rFonts w:cs="Arial"/>
          <w:szCs w:val="22"/>
        </w:rPr>
        <w:t>Please describe any QAPI activities implemented to assess or improve communications with the MCP’s providers.</w:t>
      </w:r>
    </w:p>
    <w:p w:rsidR="004E5913" w:rsidRPr="00990D3B" w:rsidP="002D35CF" w14:paraId="7FFE0C60" w14:textId="77777777">
      <w:pPr>
        <w:pStyle w:val="EQRNormalSSWSquestionsub"/>
        <w:numPr>
          <w:ilvl w:val="0"/>
          <w:numId w:val="135"/>
        </w:numPr>
        <w:rPr>
          <w:b/>
          <w:szCs w:val="22"/>
        </w:rPr>
      </w:pPr>
      <w:r w:rsidRPr="00990D3B">
        <w:rPr>
          <w:szCs w:val="22"/>
        </w:rPr>
        <w:t xml:space="preserve">What are the results of these activities?  </w:t>
      </w:r>
    </w:p>
    <w:p w:rsidR="004E5913" w:rsidRPr="00990D3B" w:rsidP="00DD5EA0" w14:paraId="502DBF00" w14:textId="77777777">
      <w:pPr>
        <w:pStyle w:val="EQRNormalSSWSquestionNUMBER"/>
        <w:rPr>
          <w:b/>
        </w:rPr>
      </w:pPr>
      <w:r w:rsidRPr="00990D3B">
        <w:t>Please describe any QAPI activities implemented to assess or improve the credentialing process and oversight of the MCP’s delegated activities.</w:t>
      </w:r>
    </w:p>
    <w:p w:rsidR="004E5913" w:rsidRPr="00990D3B" w:rsidP="002D35CF" w14:paraId="06055438" w14:textId="77777777">
      <w:pPr>
        <w:pStyle w:val="EQRNormalSSWSquestionsub"/>
        <w:numPr>
          <w:ilvl w:val="0"/>
          <w:numId w:val="136"/>
        </w:numPr>
        <w:rPr>
          <w:b/>
          <w:szCs w:val="22"/>
        </w:rPr>
      </w:pPr>
      <w:r w:rsidRPr="00990D3B">
        <w:rPr>
          <w:szCs w:val="22"/>
        </w:rPr>
        <w:t xml:space="preserve">What are the results of these activities? </w:t>
      </w:r>
    </w:p>
    <w:p w:rsidR="004E5913" w:rsidRPr="00990D3B" w:rsidP="0078426A" w14:paraId="157CAD6E" w14:textId="0682880C">
      <w:pPr>
        <w:pStyle w:val="EQRNormalSSWORKSHEET"/>
        <w:keepNext/>
        <w:rPr>
          <w:rFonts w:cs="Arial"/>
          <w:b/>
          <w:szCs w:val="22"/>
        </w:rPr>
      </w:pPr>
      <w:r w:rsidRPr="00990D3B">
        <w:rPr>
          <w:rFonts w:cs="Arial"/>
          <w:b/>
          <w:szCs w:val="22"/>
        </w:rPr>
        <w:t>Health information systems (</w:t>
      </w:r>
      <w:r w:rsidRPr="00990D3B" w:rsidR="001C7FC0">
        <w:rPr>
          <w:rFonts w:cs="Arial"/>
          <w:b/>
          <w:szCs w:val="22"/>
        </w:rPr>
        <w:t>42 C.F.R.</w:t>
      </w:r>
      <w:r w:rsidRPr="00990D3B" w:rsidR="007854DF">
        <w:rPr>
          <w:rFonts w:cs="Arial"/>
          <w:b/>
          <w:szCs w:val="22"/>
        </w:rPr>
        <w:t xml:space="preserve"> </w:t>
      </w:r>
      <w:r w:rsidRPr="00990D3B">
        <w:rPr>
          <w:rFonts w:cs="Arial"/>
          <w:b/>
          <w:szCs w:val="22"/>
        </w:rPr>
        <w:t>438.242 and 457.1233(d))</w:t>
      </w:r>
    </w:p>
    <w:p w:rsidR="004E5913" w:rsidRPr="00990D3B" w:rsidP="002D35CF" w14:paraId="6B161A91" w14:textId="77777777">
      <w:pPr>
        <w:pStyle w:val="EQRNormalSSWSquestionNUMBER"/>
        <w:numPr>
          <w:ilvl w:val="0"/>
          <w:numId w:val="133"/>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 xml:space="preserve">Does the MCP have data collection requirements for LTSS providers, health care facilities, and physicians?  </w:t>
      </w:r>
    </w:p>
    <w:p w:rsidR="004E5913" w:rsidRPr="00990D3B" w:rsidP="002D35CF" w14:paraId="4A062310" w14:textId="77777777">
      <w:pPr>
        <w:pStyle w:val="EQRNormalSSWSquestionsub"/>
        <w:numPr>
          <w:ilvl w:val="0"/>
          <w:numId w:val="137"/>
        </w:numPr>
        <w:rPr>
          <w:szCs w:val="22"/>
        </w:rPr>
      </w:pPr>
      <w:r w:rsidRPr="00990D3B">
        <w:rPr>
          <w:szCs w:val="22"/>
        </w:rPr>
        <w:t>How are the requirements communicated to these organizations and individuals?</w:t>
      </w:r>
    </w:p>
    <w:p w:rsidR="004E5913" w:rsidRPr="00990D3B" w:rsidP="002D35CF" w14:paraId="687BF65A" w14:textId="77777777">
      <w:pPr>
        <w:pStyle w:val="EQRNormalSSWSquestionNUMBER"/>
        <w:numPr>
          <w:ilvl w:val="0"/>
          <w:numId w:val="133"/>
        </w:numPr>
        <w:tabs>
          <w:tab w:val="left" w:pos="-1080"/>
          <w:tab w:val="left" w:pos="-720"/>
          <w:tab w:val="left" w:pos="0"/>
          <w:tab w:val="left" w:pos="360"/>
          <w:tab w:val="left" w:pos="720"/>
          <w:tab w:val="left" w:pos="1080"/>
        </w:tabs>
        <w:spacing w:before="0" w:after="240"/>
        <w:rPr>
          <w:rFonts w:cs="Arial"/>
          <w:b/>
          <w:szCs w:val="22"/>
        </w:rPr>
      </w:pPr>
      <w:r w:rsidRPr="00990D3B">
        <w:rPr>
          <w:rFonts w:cs="Arial"/>
          <w:szCs w:val="22"/>
        </w:rPr>
        <w:t>If issues arise in the timeliness and accuracy of the data that is being collected and submitted, who notifies the health care facility or physician?</w:t>
      </w:r>
    </w:p>
    <w:p w:rsidR="004E5913" w:rsidRPr="00990D3B" w:rsidP="0078426A" w14:paraId="76A6B6DB" w14:textId="0804DBDE">
      <w:pPr>
        <w:pStyle w:val="EQRNormalSSWORKSHEET"/>
        <w:keepNext/>
        <w:rPr>
          <w:rFonts w:cs="Arial"/>
          <w:b/>
          <w:szCs w:val="22"/>
        </w:rPr>
      </w:pPr>
      <w:r w:rsidRPr="00990D3B">
        <w:rPr>
          <w:rFonts w:cs="Arial"/>
          <w:b/>
          <w:szCs w:val="22"/>
        </w:rPr>
        <w:t>Information about the grievance system to providers and subcontractors (</w:t>
      </w:r>
      <w:r w:rsidRPr="00990D3B" w:rsidR="001C7FC0">
        <w:rPr>
          <w:rFonts w:cs="Arial"/>
          <w:b/>
          <w:szCs w:val="22"/>
        </w:rPr>
        <w:t>42 C.F.R.</w:t>
      </w:r>
      <w:r w:rsidRPr="00990D3B" w:rsidR="007854DF">
        <w:rPr>
          <w:rFonts w:cs="Arial"/>
          <w:b/>
          <w:szCs w:val="22"/>
        </w:rPr>
        <w:t xml:space="preserve"> </w:t>
      </w:r>
      <w:r w:rsidRPr="00990D3B">
        <w:rPr>
          <w:rFonts w:cs="Arial"/>
          <w:b/>
          <w:szCs w:val="22"/>
        </w:rPr>
        <w:t>438.414 and 457.1260)</w:t>
      </w:r>
    </w:p>
    <w:p w:rsidR="004E5913" w:rsidRPr="00990D3B" w:rsidP="002D35CF" w14:paraId="74C1D96E" w14:textId="77777777">
      <w:pPr>
        <w:pStyle w:val="EQRNormalSSWSquestionNUMBER"/>
        <w:numPr>
          <w:ilvl w:val="0"/>
          <w:numId w:val="134"/>
        </w:numPr>
        <w:tabs>
          <w:tab w:val="left" w:pos="-1080"/>
          <w:tab w:val="left" w:pos="-720"/>
          <w:tab w:val="left" w:pos="0"/>
          <w:tab w:val="left" w:pos="360"/>
          <w:tab w:val="left" w:pos="720"/>
          <w:tab w:val="left" w:pos="1080"/>
        </w:tabs>
        <w:spacing w:before="0" w:after="240"/>
        <w:rPr>
          <w:rFonts w:cs="Arial"/>
          <w:b/>
          <w:szCs w:val="22"/>
        </w:rPr>
      </w:pPr>
      <w:r w:rsidRPr="00990D3B">
        <w:rPr>
          <w:rFonts w:cs="Arial"/>
          <w:szCs w:val="22"/>
        </w:rPr>
        <w:t xml:space="preserve">When are providers given information about the MCP’s Medicaid and CHIP complaint and grievance system?  </w:t>
      </w:r>
    </w:p>
    <w:p w:rsidR="004E5913" w:rsidRPr="00990D3B" w:rsidP="002D35CF" w14:paraId="4BBF4420" w14:textId="77777777">
      <w:pPr>
        <w:pStyle w:val="EQRNormalSSWSquestionsub"/>
        <w:numPr>
          <w:ilvl w:val="0"/>
          <w:numId w:val="138"/>
        </w:numPr>
        <w:rPr>
          <w:b/>
          <w:szCs w:val="22"/>
        </w:rPr>
      </w:pPr>
      <w:r w:rsidRPr="00990D3B">
        <w:rPr>
          <w:szCs w:val="22"/>
        </w:rPr>
        <w:t>What is typically included in the information given to providers relative to Medicaid and CHIP grievances?</w:t>
      </w:r>
      <w:bookmarkStart w:id="426" w:name="_Enrollee_Services_Staff"/>
      <w:bookmarkEnd w:id="426"/>
    </w:p>
    <w:p w:rsidR="004E5913" w:rsidRPr="00990D3B" w:rsidP="00BD1FC3" w14:paraId="03A56083" w14:textId="77777777">
      <w:pPr>
        <w:pStyle w:val="NormalSS"/>
        <w:rPr>
          <w:rFonts w:eastAsia="Calibri"/>
        </w:rPr>
      </w:pPr>
      <w:r w:rsidRPr="00990D3B">
        <w:br w:type="page"/>
      </w:r>
    </w:p>
    <w:p w:rsidR="004E5913" w:rsidRPr="00990D3B" w:rsidP="002B40CC" w14:paraId="7A742FBE" w14:textId="77777777">
      <w:pPr>
        <w:pStyle w:val="H2EQRWorksheet"/>
      </w:pPr>
      <w:r w:rsidRPr="00990D3B">
        <w:t>Enrollee Services Staff Interview</w:t>
      </w:r>
    </w:p>
    <w:p w:rsidR="004E5913" w:rsidRPr="00990D3B" w:rsidP="00BD1FC3" w14:paraId="56588807" w14:textId="3D738D45">
      <w:pPr>
        <w:pStyle w:val="EQRNormalSSWORKSHEET"/>
      </w:pPr>
      <w:r w:rsidRPr="00990D3B">
        <w:rPr>
          <w:b/>
        </w:rPr>
        <w:t>Instructions.</w:t>
      </w:r>
      <w:r w:rsidRPr="00990D3B">
        <w:t xml:space="preserve"> The enrollee services staff interview provides an opportunity to speak with MCP staff members who are responsible for communicating with </w:t>
      </w:r>
      <w:r w:rsidRPr="00990D3B">
        <w:t>enrollees</w:t>
      </w:r>
      <w:r w:rsidRPr="00990D3B">
        <w:t xml:space="preserve">. Relevant staff </w:t>
      </w:r>
      <w:r w:rsidRPr="00990D3B">
        <w:t>includes</w:t>
      </w:r>
      <w:r w:rsidRPr="00990D3B">
        <w:t xml:space="preserve"> those individuals responsible for written communication, phone responses to inquiries and problems, the complaint and grievance system and other services designed to assist Medicaid and CHIP enrollees in their use of MCP services. Through this interview, the EQRO will assess the manner in which the MCP and its provider network address issues relating to the rights of enrollees; the MCP’s efforts regarding enrollee education and communication; the mechanisms in place to insure that information needed to provide services to enrollees is available throughout the MCP; and the aspects of enrollee services are measured, how collected data </w:t>
      </w:r>
      <w:r w:rsidRPr="00990D3B" w:rsidR="00FC5DDE">
        <w:t xml:space="preserve">are </w:t>
      </w:r>
      <w:r w:rsidRPr="00990D3B">
        <w:t>assessed, and what efforts have been made to improve enrollee services.</w:t>
      </w:r>
    </w:p>
    <w:p w:rsidR="004E5913" w:rsidRPr="00990D3B" w:rsidP="00980FA3" w14:paraId="1D676610" w14:textId="5A887C14">
      <w:pPr>
        <w:pStyle w:val="EQRNormalSSWORKSHEET"/>
        <w:keepNext/>
        <w:rPr>
          <w:b/>
          <w:bCs/>
        </w:rPr>
      </w:pPr>
      <w:r w:rsidRPr="00990D3B">
        <w:rPr>
          <w:b/>
          <w:bCs/>
        </w:rPr>
        <w:t>Enrollee right to information (</w:t>
      </w:r>
      <w:r w:rsidRPr="00990D3B" w:rsidR="001C7FC0">
        <w:rPr>
          <w:b/>
          <w:bCs/>
        </w:rPr>
        <w:t>42 C.F.R.</w:t>
      </w:r>
      <w:r w:rsidRPr="00990D3B" w:rsidR="007854DF">
        <w:rPr>
          <w:b/>
          <w:bCs/>
        </w:rPr>
        <w:t xml:space="preserve"> </w:t>
      </w:r>
      <w:r w:rsidRPr="00990D3B">
        <w:rPr>
          <w:b/>
          <w:bCs/>
        </w:rPr>
        <w:t xml:space="preserve">438.100 and 457.1220; </w:t>
      </w:r>
      <w:r w:rsidRPr="00990D3B" w:rsidR="001C7FC0">
        <w:rPr>
          <w:b/>
          <w:bCs/>
        </w:rPr>
        <w:t>42 C.F.R.</w:t>
      </w:r>
      <w:r w:rsidRPr="00990D3B" w:rsidR="007854DF">
        <w:rPr>
          <w:b/>
          <w:bCs/>
        </w:rPr>
        <w:t xml:space="preserve"> </w:t>
      </w:r>
      <w:r w:rsidRPr="00990D3B">
        <w:rPr>
          <w:b/>
          <w:bCs/>
        </w:rPr>
        <w:t>438.10 and 457.1207)</w:t>
      </w:r>
    </w:p>
    <w:p w:rsidR="004E5913" w:rsidRPr="00990D3B" w:rsidP="002D35CF" w14:paraId="22C32E69" w14:textId="77777777">
      <w:pPr>
        <w:pStyle w:val="EQRNormalSSWSquestionNUMBER"/>
        <w:numPr>
          <w:ilvl w:val="0"/>
          <w:numId w:val="154"/>
        </w:numPr>
        <w:rPr>
          <w:b/>
        </w:rPr>
      </w:pPr>
      <w:r w:rsidRPr="00990D3B">
        <w:t xml:space="preserve">What information is routinely provided to Medicaid and CHIP </w:t>
      </w:r>
      <w:r w:rsidRPr="00990D3B">
        <w:t>enrollees</w:t>
      </w:r>
      <w:r w:rsidRPr="00990D3B">
        <w:t xml:space="preserve">?  </w:t>
      </w:r>
    </w:p>
    <w:p w:rsidR="004E5913" w:rsidRPr="00990D3B" w:rsidP="002D35CF" w14:paraId="34D82745" w14:textId="77777777">
      <w:pPr>
        <w:pStyle w:val="EQRNormalSSWSquestionsub"/>
        <w:numPr>
          <w:ilvl w:val="0"/>
          <w:numId w:val="140"/>
        </w:numPr>
      </w:pPr>
      <w:r w:rsidRPr="00990D3B">
        <w:t xml:space="preserve">What is the process for disseminating information to new and existing </w:t>
      </w:r>
      <w:r w:rsidRPr="00990D3B">
        <w:t>enrollees</w:t>
      </w:r>
      <w:r w:rsidRPr="00990D3B">
        <w:t xml:space="preserve">?  </w:t>
      </w:r>
    </w:p>
    <w:p w:rsidR="004E5913" w:rsidRPr="00990D3B" w:rsidP="00001960" w14:paraId="63675396" w14:textId="77777777">
      <w:pPr>
        <w:pStyle w:val="EQRNormalSSWSquestionsub"/>
      </w:pPr>
      <w:r w:rsidRPr="00990D3B">
        <w:t xml:space="preserve">How often is information distributed to existing </w:t>
      </w:r>
      <w:r w:rsidRPr="00990D3B">
        <w:t>enrollees</w:t>
      </w:r>
      <w:r w:rsidRPr="00990D3B">
        <w:t xml:space="preserve">?  </w:t>
      </w:r>
    </w:p>
    <w:p w:rsidR="004E5913" w:rsidRPr="00990D3B" w:rsidP="00001960" w14:paraId="0DFE9350" w14:textId="77777777">
      <w:pPr>
        <w:pStyle w:val="EQRNormalSSWSquestionsub"/>
      </w:pPr>
      <w:r w:rsidRPr="00990D3B">
        <w:t>In what format is this information presented?</w:t>
      </w:r>
    </w:p>
    <w:p w:rsidR="004E5913" w:rsidRPr="00990D3B" w:rsidP="007D0EA4" w14:paraId="7A66142A" w14:textId="77777777">
      <w:pPr>
        <w:pStyle w:val="EQRNormalSSWSquestionNUMBER"/>
        <w:rPr>
          <w:b/>
        </w:rPr>
      </w:pPr>
      <w:r w:rsidRPr="00990D3B">
        <w:t>Please describe or provide copies of the formats in which information is presented to enrollees.</w:t>
      </w:r>
    </w:p>
    <w:p w:rsidR="004E5913" w:rsidRPr="00990D3B" w:rsidP="007D0EA4" w14:paraId="392080A0" w14:textId="77777777">
      <w:pPr>
        <w:pStyle w:val="EQRNormalSSWSquestionNUMBER"/>
        <w:rPr>
          <w:b/>
        </w:rPr>
      </w:pPr>
      <w:r w:rsidRPr="00990D3B">
        <w:t>In what languages or alternative formats are enrollee materials and information presented?  If yes, how was it determined that materials were needed in different languages?</w:t>
      </w:r>
    </w:p>
    <w:p w:rsidR="004E5913" w:rsidRPr="00990D3B" w:rsidP="007D0EA4" w14:paraId="2EF34D39" w14:textId="77777777">
      <w:pPr>
        <w:pStyle w:val="EQRNormalSSWSquestionNUMBER"/>
        <w:rPr>
          <w:b/>
        </w:rPr>
      </w:pPr>
      <w:r w:rsidRPr="00990D3B">
        <w:t>Does the MCP provide written materials in alternative formats for the visually impaired?  If yes, how did the MCP determine that materials were needed for the visually impaired?</w:t>
      </w:r>
    </w:p>
    <w:p w:rsidR="004E5913" w:rsidRPr="00990D3B" w:rsidP="007D0EA4" w14:paraId="46E6480B" w14:textId="77777777">
      <w:pPr>
        <w:pStyle w:val="EQRNormalSSWSquestionNUMBER"/>
        <w:rPr>
          <w:b/>
        </w:rPr>
      </w:pPr>
      <w:r w:rsidRPr="00990D3B">
        <w:t xml:space="preserve">Please describe the procedure for handling calls to the MCP from non-English speaking enrollees.  </w:t>
      </w:r>
    </w:p>
    <w:p w:rsidR="004E5913" w:rsidRPr="00990D3B" w:rsidP="002D35CF" w14:paraId="0B669AA7" w14:textId="77777777">
      <w:pPr>
        <w:pStyle w:val="EQRNormalSSWSquestionsub"/>
        <w:numPr>
          <w:ilvl w:val="0"/>
          <w:numId w:val="141"/>
        </w:numPr>
        <w:rPr>
          <w:b/>
        </w:rPr>
      </w:pPr>
      <w:r w:rsidRPr="00990D3B">
        <w:t>What instruction or guidance is available for providers that may need interpretation assistance to provide care and services to assigned enrollees?</w:t>
      </w:r>
    </w:p>
    <w:p w:rsidR="004E5913" w:rsidRPr="00990D3B" w:rsidP="007D0EA4" w14:paraId="7A47A52C" w14:textId="77777777">
      <w:pPr>
        <w:pStyle w:val="EQRNormalSSWSquestionNUMBER"/>
        <w:rPr>
          <w:b/>
        </w:rPr>
      </w:pPr>
      <w:r w:rsidRPr="00990D3B">
        <w:t>To what extent is the MCP responsible for responding to requests for information for potential Medicaid and CHIP enrollees?</w:t>
      </w:r>
    </w:p>
    <w:p w:rsidR="004E5913" w:rsidRPr="00990D3B" w:rsidP="007D0EA4" w14:paraId="29988524" w14:textId="77777777">
      <w:pPr>
        <w:pStyle w:val="EQRNormalSSWSquestionNUMBER"/>
        <w:rPr>
          <w:b/>
        </w:rPr>
      </w:pPr>
      <w:r w:rsidRPr="00990D3B">
        <w:t>How does the MCP inform enrollees (and potential enrollees, if applicable) about how to obtain oral interpreter services if they have limited proficiency in English?</w:t>
      </w:r>
    </w:p>
    <w:p w:rsidR="004E5913" w:rsidRPr="00990D3B" w:rsidP="007D0EA4" w14:paraId="5B388F2B" w14:textId="77777777">
      <w:pPr>
        <w:pStyle w:val="EQRNormalSSWSquestionNUMBER"/>
        <w:rPr>
          <w:b/>
        </w:rPr>
      </w:pPr>
      <w:r w:rsidRPr="00990D3B">
        <w:t xml:space="preserve">Are there any benefits that an enrollee is entitled to under the Medicaid and CHIP program, including LTSS benefits, but that are not made available through the MCP contract?  If yes, what are those benefits?  How are </w:t>
      </w:r>
      <w:r w:rsidRPr="00990D3B">
        <w:t>enrollees</w:t>
      </w:r>
      <w:r w:rsidRPr="00990D3B">
        <w:t xml:space="preserve"> made aware of the Medicaid and CHIP program benefits that are outside the scope of services available through the MCP?</w:t>
      </w:r>
    </w:p>
    <w:p w:rsidR="004E5913" w:rsidRPr="00990D3B" w:rsidP="007D0EA4" w14:paraId="23D93D57" w14:textId="77777777">
      <w:pPr>
        <w:pStyle w:val="EQRNormalSSWSquestionNUMBER"/>
        <w:rPr>
          <w:b/>
        </w:rPr>
      </w:pPr>
      <w:r w:rsidRPr="00990D3B">
        <w:t xml:space="preserve">How does the MCP ascertain the primary language spoken by the individual Medicaid and CHIP enrollees? </w:t>
      </w:r>
    </w:p>
    <w:p w:rsidR="004E5913" w:rsidRPr="00990D3B" w:rsidP="007D0EA4" w14:paraId="6012E87A" w14:textId="77777777">
      <w:pPr>
        <w:pStyle w:val="EQRNormalSSWSquestionNUMBER"/>
        <w:rPr>
          <w:b/>
        </w:rPr>
      </w:pPr>
      <w:r w:rsidRPr="00990D3B">
        <w:t>Are enrollees provided with</w:t>
      </w:r>
      <w:r w:rsidRPr="00990D3B">
        <w:t xml:space="preserve"> a listing of primary care providers?  If yes, does the listing include providers’ non-English language capabilities?</w:t>
      </w:r>
    </w:p>
    <w:p w:rsidR="004E5913" w:rsidRPr="00990D3B" w:rsidP="007D0EA4" w14:paraId="506D8129" w14:textId="77777777">
      <w:pPr>
        <w:pStyle w:val="EQRNormalSSWSquestionNUMBER"/>
        <w:rPr>
          <w:b/>
        </w:rPr>
      </w:pPr>
      <w:r w:rsidRPr="00990D3B">
        <w:t>Does your MCP give written notice of termination of a contracted provider to enrollees who receive primary care from, or are seen on a regular basis by, the terminated providers?  If yes, how is this accomplished?  Have you had to make any such notifications in the last year?</w:t>
      </w:r>
    </w:p>
    <w:p w:rsidR="004E5913" w:rsidRPr="00990D3B" w:rsidP="007D0EA4" w14:paraId="1400F0DE" w14:textId="77777777">
      <w:pPr>
        <w:pStyle w:val="EQRNormalSSWSquestionNUMBER"/>
        <w:rPr>
          <w:b/>
        </w:rPr>
      </w:pPr>
      <w:r w:rsidRPr="00990D3B">
        <w:t>Does your MCP give enrollees any notice of significant changes in the information in the Enrollee Handbook?  When and how does this occur?  Have you had to make any such notifications in the last year?</w:t>
      </w:r>
    </w:p>
    <w:p w:rsidR="004E5913" w:rsidRPr="00990D3B" w:rsidP="007D0EA4" w14:paraId="03252881" w14:textId="77777777">
      <w:pPr>
        <w:pStyle w:val="EQRNormalSSWSquestionNUMBER"/>
        <w:rPr>
          <w:b/>
        </w:rPr>
      </w:pPr>
      <w:r w:rsidRPr="00990D3B">
        <w:t>How does the MCP ensure that information and instructional materials intended for enrollees and potential enrollees are easily understood by those with a variety of cognitive and intellectual capabilities?</w:t>
      </w:r>
    </w:p>
    <w:p w:rsidR="004E5913" w:rsidRPr="00990D3B" w:rsidP="007D0EA4" w14:paraId="438F84A6" w14:textId="77777777">
      <w:pPr>
        <w:pStyle w:val="EQRNormalSSWSquestionNUMBER"/>
        <w:rPr>
          <w:b/>
        </w:rPr>
      </w:pPr>
      <w:r w:rsidRPr="00990D3B">
        <w:t>How does the MCP provide its enrollees information about provider appeal rights regarding coverage of a service?</w:t>
      </w:r>
    </w:p>
    <w:p w:rsidR="004E5913" w:rsidRPr="00990D3B" w:rsidP="00980FA3" w14:paraId="73E0BF74" w14:textId="2EFB46FE">
      <w:pPr>
        <w:pStyle w:val="EQRNormalSSWORKSHEET"/>
        <w:keepNext/>
        <w:rPr>
          <w:rFonts w:cs="Arial"/>
          <w:b/>
          <w:szCs w:val="22"/>
        </w:rPr>
      </w:pPr>
      <w:r w:rsidRPr="00990D3B">
        <w:rPr>
          <w:b/>
          <w:bCs/>
        </w:rPr>
        <w:t>Enrollee</w:t>
      </w:r>
      <w:r w:rsidRPr="00990D3B">
        <w:rPr>
          <w:rFonts w:cs="Arial"/>
          <w:b/>
          <w:szCs w:val="22"/>
        </w:rPr>
        <w:t xml:space="preserve"> right to respect, dignity, and privacy (</w:t>
      </w:r>
      <w:r w:rsidRPr="00990D3B" w:rsidR="001C7FC0">
        <w:rPr>
          <w:rFonts w:cs="Arial"/>
          <w:b/>
          <w:szCs w:val="22"/>
        </w:rPr>
        <w:t>42 C.F.R.</w:t>
      </w:r>
      <w:r w:rsidRPr="00990D3B" w:rsidR="007854DF">
        <w:rPr>
          <w:rFonts w:cs="Arial"/>
          <w:b/>
          <w:szCs w:val="22"/>
        </w:rPr>
        <w:t xml:space="preserve"> </w:t>
      </w:r>
      <w:r w:rsidRPr="00990D3B">
        <w:rPr>
          <w:rFonts w:cs="Arial"/>
          <w:b/>
          <w:szCs w:val="22"/>
        </w:rPr>
        <w:t xml:space="preserve">438.100 and 457.1220; </w:t>
      </w:r>
      <w:r w:rsidRPr="00990D3B" w:rsidR="001C7FC0">
        <w:rPr>
          <w:rFonts w:cs="Arial"/>
          <w:b/>
          <w:szCs w:val="22"/>
        </w:rPr>
        <w:t>42 C.F.R.</w:t>
      </w:r>
      <w:r w:rsidRPr="00990D3B" w:rsidR="007854DF">
        <w:rPr>
          <w:rFonts w:cs="Arial"/>
          <w:b/>
          <w:szCs w:val="22"/>
        </w:rPr>
        <w:t xml:space="preserve"> </w:t>
      </w:r>
      <w:r w:rsidRPr="00990D3B">
        <w:rPr>
          <w:rFonts w:cs="Arial"/>
          <w:b/>
          <w:szCs w:val="22"/>
        </w:rPr>
        <w:t>438.206-210 and 457.1230(a-d)</w:t>
      </w:r>
      <w:r w:rsidRPr="00990D3B" w:rsidR="00D0053A">
        <w:rPr>
          <w:rFonts w:cs="Arial"/>
          <w:b/>
          <w:szCs w:val="22"/>
        </w:rPr>
        <w:t>; and 438.224 and</w:t>
      </w:r>
      <w:r w:rsidRPr="00990D3B" w:rsidR="00FC6D19">
        <w:rPr>
          <w:rFonts w:cs="Arial"/>
          <w:b/>
          <w:szCs w:val="22"/>
        </w:rPr>
        <w:t>457.1233(e)</w:t>
      </w:r>
      <w:r w:rsidRPr="00990D3B">
        <w:rPr>
          <w:rFonts w:cs="Arial"/>
          <w:b/>
          <w:szCs w:val="22"/>
        </w:rPr>
        <w:t>)</w:t>
      </w:r>
    </w:p>
    <w:p w:rsidR="004E5913" w:rsidRPr="00990D3B" w:rsidP="002D35CF" w14:paraId="101DAC3F" w14:textId="77777777">
      <w:pPr>
        <w:pStyle w:val="EQRNormalSSWSquestionNUMBER"/>
        <w:numPr>
          <w:ilvl w:val="0"/>
          <w:numId w:val="155"/>
        </w:numPr>
        <w:rPr>
          <w:b/>
        </w:rPr>
      </w:pPr>
      <w:r w:rsidRPr="00990D3B">
        <w:t xml:space="preserve">How does the MCP ensure that its own facilities and those of its affiliated providers comply with enrollee rights to treatment with respect, dignity, and consideration for privacy and confidentiality of information?  </w:t>
      </w:r>
    </w:p>
    <w:p w:rsidR="004E5913" w:rsidRPr="00990D3B" w:rsidP="002D35CF" w14:paraId="5D659DF7" w14:textId="77777777">
      <w:pPr>
        <w:pStyle w:val="EQRNormalSSWSquestionsub"/>
        <w:numPr>
          <w:ilvl w:val="0"/>
          <w:numId w:val="142"/>
        </w:numPr>
        <w:rPr>
          <w:b/>
        </w:rPr>
      </w:pPr>
      <w:r w:rsidRPr="00990D3B">
        <w:t>Are there any additional considerations made for providers of LTSS or other specialized services, where services may be of a more intimate nature or occur in a more isolated setting?  Please provide examples.</w:t>
      </w:r>
    </w:p>
    <w:p w:rsidR="004E5913" w:rsidRPr="00990D3B" w:rsidP="00980FA3" w14:paraId="1E69E599" w14:textId="5F2EAB07">
      <w:pPr>
        <w:pStyle w:val="EQRNormalSSWORKSHEET"/>
        <w:keepNext/>
        <w:rPr>
          <w:rFonts w:cs="Arial"/>
          <w:b/>
          <w:szCs w:val="22"/>
        </w:rPr>
      </w:pPr>
      <w:r w:rsidRPr="00990D3B">
        <w:rPr>
          <w:b/>
          <w:bCs/>
        </w:rPr>
        <w:t>Enrollee</w:t>
      </w:r>
      <w:r w:rsidRPr="00990D3B">
        <w:rPr>
          <w:rFonts w:cs="Arial"/>
          <w:b/>
          <w:szCs w:val="22"/>
        </w:rPr>
        <w:t xml:space="preserve"> right to participate in decisions regarding his or her health care (</w:t>
      </w:r>
      <w:r w:rsidRPr="00990D3B" w:rsidR="001C7FC0">
        <w:rPr>
          <w:rFonts w:cs="Arial"/>
          <w:b/>
          <w:szCs w:val="22"/>
        </w:rPr>
        <w:t>42 C.F.R.</w:t>
      </w:r>
      <w:r w:rsidRPr="00990D3B" w:rsidR="007854DF">
        <w:rPr>
          <w:rFonts w:cs="Arial"/>
          <w:b/>
          <w:szCs w:val="22"/>
        </w:rPr>
        <w:t xml:space="preserve"> </w:t>
      </w:r>
      <w:r w:rsidRPr="00990D3B">
        <w:rPr>
          <w:rFonts w:cs="Arial"/>
          <w:b/>
          <w:szCs w:val="22"/>
        </w:rPr>
        <w:t xml:space="preserve">438.100 and 457.1220); and regarding </w:t>
      </w:r>
      <w:r w:rsidRPr="00990D3B">
        <w:rPr>
          <w:rFonts w:cs="Arial"/>
          <w:b/>
          <w:szCs w:val="22"/>
        </w:rPr>
        <w:t>advance</w:t>
      </w:r>
      <w:r w:rsidRPr="00990D3B">
        <w:rPr>
          <w:rFonts w:cs="Arial"/>
          <w:b/>
          <w:szCs w:val="22"/>
        </w:rPr>
        <w:t xml:space="preserve"> directives (</w:t>
      </w:r>
      <w:r w:rsidRPr="00990D3B" w:rsidR="001C7FC0">
        <w:rPr>
          <w:rFonts w:cs="Arial"/>
          <w:b/>
          <w:szCs w:val="22"/>
        </w:rPr>
        <w:t>42 C.F.R.</w:t>
      </w:r>
      <w:r w:rsidRPr="00990D3B" w:rsidR="007854DF">
        <w:rPr>
          <w:rFonts w:cs="Arial"/>
          <w:b/>
          <w:szCs w:val="22"/>
        </w:rPr>
        <w:t xml:space="preserve"> </w:t>
      </w:r>
      <w:r w:rsidRPr="00990D3B">
        <w:rPr>
          <w:rFonts w:cs="Arial"/>
          <w:b/>
          <w:szCs w:val="22"/>
        </w:rPr>
        <w:t xml:space="preserve">438.10(g) and 457.1207; and </w:t>
      </w:r>
      <w:r w:rsidRPr="00990D3B" w:rsidR="001C7FC0">
        <w:rPr>
          <w:rFonts w:cs="Arial"/>
          <w:b/>
          <w:szCs w:val="22"/>
        </w:rPr>
        <w:t>42 C.F.R.</w:t>
      </w:r>
      <w:r w:rsidRPr="00990D3B" w:rsidR="007854DF">
        <w:rPr>
          <w:rFonts w:cs="Arial"/>
          <w:b/>
          <w:szCs w:val="22"/>
        </w:rPr>
        <w:t xml:space="preserve"> </w:t>
      </w:r>
      <w:r w:rsidRPr="00990D3B">
        <w:rPr>
          <w:rFonts w:cs="Arial"/>
          <w:b/>
          <w:szCs w:val="22"/>
        </w:rPr>
        <w:t>438.206-210 and 457.1230(d))</w:t>
      </w:r>
    </w:p>
    <w:p w:rsidR="00AE3369" w:rsidRPr="00990D3B" w:rsidP="002D35CF" w14:paraId="0D153A10" w14:textId="77777777">
      <w:pPr>
        <w:pStyle w:val="EQRNormalSSWSquestionNUMBER"/>
        <w:numPr>
          <w:ilvl w:val="0"/>
          <w:numId w:val="156"/>
        </w:numPr>
        <w:rPr>
          <w:b/>
        </w:rPr>
      </w:pPr>
      <w:r w:rsidRPr="00990D3B">
        <w:t>To what extent does the MCP allow enrollees to participate in care and treatment decisions?  Please describe some of the ways in which this is accomplished.</w:t>
      </w:r>
    </w:p>
    <w:p w:rsidR="004E5913" w:rsidRPr="00990D3B" w:rsidP="007D0EA4" w14:paraId="2D8EFEEE" w14:textId="471BB5AB">
      <w:pPr>
        <w:pStyle w:val="EQRNormalSSWSquestionNUMBER"/>
        <w:rPr>
          <w:b/>
        </w:rPr>
      </w:pPr>
      <w:r w:rsidRPr="00990D3B">
        <w:t>To what extent are Medicaid and CHIP enrollees informed at the time of enrollment of their right to accept or refuse treatment and to execute an advance directive, and the MCP’s policies on implementation of that right?</w:t>
      </w:r>
    </w:p>
    <w:p w:rsidR="004E5913" w:rsidRPr="00990D3B" w:rsidP="00980FA3" w14:paraId="61D6B9D0" w14:textId="57B421BD">
      <w:pPr>
        <w:pStyle w:val="EQRNormalSSWORKSHEET"/>
        <w:keepNext/>
        <w:rPr>
          <w:rFonts w:cs="Arial"/>
          <w:b/>
          <w:szCs w:val="22"/>
        </w:rPr>
      </w:pPr>
      <w:r w:rsidRPr="00990D3B">
        <w:rPr>
          <w:rFonts w:cs="Arial"/>
          <w:b/>
          <w:szCs w:val="22"/>
        </w:rPr>
        <w:t>Enrollee</w:t>
      </w:r>
      <w:r w:rsidRPr="00990D3B">
        <w:rPr>
          <w:rFonts w:cs="Arial"/>
          <w:b/>
          <w:szCs w:val="22"/>
        </w:rPr>
        <w:t xml:space="preserve"> right to service availability, coordination and continuity of care, coverage and authorization of service, and to obtain a second opinion from an appropriately qualified health professional (</w:t>
      </w:r>
      <w:r w:rsidRPr="00990D3B" w:rsidR="001C7FC0">
        <w:rPr>
          <w:rFonts w:cs="Arial"/>
          <w:b/>
          <w:szCs w:val="22"/>
        </w:rPr>
        <w:t>42 C.F.R.</w:t>
      </w:r>
      <w:r w:rsidRPr="00990D3B" w:rsidR="007854DF">
        <w:rPr>
          <w:rFonts w:cs="Arial"/>
          <w:b/>
          <w:szCs w:val="22"/>
        </w:rPr>
        <w:t xml:space="preserve"> </w:t>
      </w:r>
      <w:r w:rsidRPr="00990D3B">
        <w:rPr>
          <w:rFonts w:cs="Arial"/>
          <w:b/>
          <w:szCs w:val="22"/>
        </w:rPr>
        <w:t xml:space="preserve">438.100 and 457.1220; and </w:t>
      </w:r>
      <w:r w:rsidRPr="00990D3B" w:rsidR="001C7FC0">
        <w:rPr>
          <w:rFonts w:cs="Arial"/>
          <w:b/>
          <w:szCs w:val="22"/>
        </w:rPr>
        <w:t>42 C.F.R.</w:t>
      </w:r>
      <w:r w:rsidRPr="00990D3B" w:rsidR="007854DF">
        <w:rPr>
          <w:rFonts w:cs="Arial"/>
          <w:b/>
          <w:szCs w:val="22"/>
        </w:rPr>
        <w:t xml:space="preserve"> </w:t>
      </w:r>
      <w:r w:rsidRPr="00990D3B">
        <w:rPr>
          <w:rFonts w:cs="Arial"/>
          <w:b/>
          <w:szCs w:val="22"/>
        </w:rPr>
        <w:t>438.206-210 and 457.1230(a-d))</w:t>
      </w:r>
    </w:p>
    <w:p w:rsidR="00AE3369" w:rsidRPr="00990D3B" w:rsidP="002D35CF" w14:paraId="068C99DF" w14:textId="77777777">
      <w:pPr>
        <w:pStyle w:val="EQRNormalSSWSquestionNUMBER"/>
        <w:numPr>
          <w:ilvl w:val="0"/>
          <w:numId w:val="157"/>
        </w:numPr>
        <w:rPr>
          <w:b/>
        </w:rPr>
      </w:pPr>
      <w:r w:rsidRPr="00990D3B">
        <w:t xml:space="preserve">How does the MCP monitor compliance of enrollee rights to service availability, coordination and continuity of care, coverage and authorization of service, and to obtain a second opinion from an appropriately qualified health professional?  </w:t>
      </w:r>
    </w:p>
    <w:p w:rsidR="004E5913" w:rsidRPr="00990D3B" w:rsidP="002D35CF" w14:paraId="66C43C62" w14:textId="06D077B2">
      <w:pPr>
        <w:pStyle w:val="EQRNormalSSWSquestionsub"/>
        <w:numPr>
          <w:ilvl w:val="0"/>
          <w:numId w:val="143"/>
        </w:numPr>
        <w:rPr>
          <w:b/>
        </w:rPr>
      </w:pPr>
      <w:r w:rsidRPr="00990D3B">
        <w:t>What are the most recent results of this monitoring?</w:t>
      </w:r>
    </w:p>
    <w:p w:rsidR="004E5913" w:rsidRPr="00990D3B" w:rsidP="00980FA3" w14:paraId="114D6A80" w14:textId="368576EB">
      <w:pPr>
        <w:pStyle w:val="EQRNormalSSWORKSHEET"/>
        <w:keepNext/>
        <w:rPr>
          <w:rFonts w:cs="Arial"/>
          <w:b/>
          <w:szCs w:val="22"/>
        </w:rPr>
      </w:pPr>
      <w:r w:rsidRPr="00990D3B">
        <w:rPr>
          <w:rFonts w:cs="Arial"/>
          <w:b/>
          <w:szCs w:val="22"/>
        </w:rPr>
        <w:t>Enrollee right to request and receive medical records (</w:t>
      </w:r>
      <w:r w:rsidRPr="00990D3B" w:rsidR="001C7FC0">
        <w:rPr>
          <w:rFonts w:cs="Arial"/>
          <w:b/>
          <w:szCs w:val="22"/>
        </w:rPr>
        <w:t>42 C.F.R.</w:t>
      </w:r>
      <w:r w:rsidRPr="00990D3B" w:rsidR="007854DF">
        <w:rPr>
          <w:rFonts w:cs="Arial"/>
          <w:b/>
          <w:szCs w:val="22"/>
        </w:rPr>
        <w:t xml:space="preserve"> </w:t>
      </w:r>
      <w:r w:rsidRPr="00990D3B">
        <w:rPr>
          <w:rFonts w:cs="Arial"/>
          <w:b/>
          <w:szCs w:val="22"/>
        </w:rPr>
        <w:t xml:space="preserve">438.100 and 457.1220; and </w:t>
      </w:r>
      <w:r w:rsidRPr="00990D3B" w:rsidR="001C7FC0">
        <w:rPr>
          <w:rFonts w:cs="Arial"/>
          <w:b/>
          <w:szCs w:val="22"/>
        </w:rPr>
        <w:t>42 C.F.R.</w:t>
      </w:r>
      <w:r w:rsidRPr="00990D3B" w:rsidR="007854DF">
        <w:rPr>
          <w:rFonts w:cs="Arial"/>
          <w:b/>
          <w:szCs w:val="22"/>
        </w:rPr>
        <w:t xml:space="preserve"> </w:t>
      </w:r>
      <w:r w:rsidRPr="00990D3B">
        <w:rPr>
          <w:rFonts w:cs="Arial"/>
          <w:b/>
          <w:szCs w:val="22"/>
        </w:rPr>
        <w:t>438.206-210 and 457.1230(a-d))</w:t>
      </w:r>
    </w:p>
    <w:p w:rsidR="004E5913" w:rsidRPr="00990D3B" w:rsidP="002D35CF" w14:paraId="61FB5D61" w14:textId="77777777">
      <w:pPr>
        <w:pStyle w:val="EQRNormalSSWSquestionNUMBER"/>
        <w:numPr>
          <w:ilvl w:val="0"/>
          <w:numId w:val="158"/>
        </w:numPr>
        <w:rPr>
          <w:b/>
        </w:rPr>
      </w:pPr>
      <w:r w:rsidRPr="00990D3B">
        <w:t xml:space="preserve">How do </w:t>
      </w:r>
      <w:r w:rsidRPr="00990D3B">
        <w:t>enrollees</w:t>
      </w:r>
      <w:r w:rsidRPr="00990D3B">
        <w:t xml:space="preserve"> obtain access to their medical records maintained by the MCP, including records maintained by providers/contractors from whom the enrollee has received services?</w:t>
      </w:r>
    </w:p>
    <w:p w:rsidR="004E5913" w:rsidRPr="00990D3B" w:rsidP="007D0EA4" w14:paraId="033A4AE0" w14:textId="77777777">
      <w:pPr>
        <w:pStyle w:val="EQRNormalSSWSquestionNUMBER"/>
        <w:rPr>
          <w:b/>
        </w:rPr>
      </w:pPr>
      <w:r w:rsidRPr="00990D3B">
        <w:t xml:space="preserve">How are </w:t>
      </w:r>
      <w:r w:rsidRPr="00990D3B">
        <w:t>enrollees</w:t>
      </w:r>
      <w:r w:rsidRPr="00990D3B">
        <w:t xml:space="preserve"> informed of their right to request and receive a copy of their medical records, and to request that they be amended or corrected?</w:t>
      </w:r>
    </w:p>
    <w:p w:rsidR="004E5913" w:rsidRPr="00990D3B" w:rsidP="007D0EA4" w14:paraId="6E5737C8" w14:textId="77777777">
      <w:pPr>
        <w:pStyle w:val="EQRNormalSSWSquestionNUMBER"/>
        <w:rPr>
          <w:b/>
        </w:rPr>
      </w:pPr>
      <w:r w:rsidRPr="00990D3B">
        <w:t>Has the MCP received any complaints about an enrollee’s inability to access their medical records in a timely manner?  If yes, what was the volume and nature of the complaints?  How were they resolved?</w:t>
      </w:r>
    </w:p>
    <w:p w:rsidR="00E0673F" w:rsidRPr="00990D3B" w:rsidP="00BD1FC3" w14:paraId="3B32D63D" w14:textId="77777777">
      <w:pPr>
        <w:spacing w:line="240" w:lineRule="auto"/>
        <w:rPr>
          <w:rFonts w:ascii="Arial" w:hAnsi="Arial" w:cs="Arial"/>
          <w:b/>
          <w:sz w:val="18"/>
          <w:szCs w:val="22"/>
        </w:rPr>
      </w:pPr>
      <w:r w:rsidRPr="00990D3B">
        <w:rPr>
          <w:rFonts w:ascii="Arial" w:hAnsi="Arial" w:cs="Arial"/>
          <w:b/>
          <w:sz w:val="18"/>
          <w:szCs w:val="22"/>
        </w:rPr>
        <w:br w:type="page"/>
      </w:r>
    </w:p>
    <w:p w:rsidR="004E5913" w:rsidRPr="00990D3B" w:rsidP="00980FA3" w14:paraId="2303EDA5" w14:textId="2889A980">
      <w:pPr>
        <w:pStyle w:val="EQRNormalSSWORKSHEET"/>
        <w:keepNext/>
        <w:rPr>
          <w:rFonts w:cs="Arial"/>
          <w:b/>
          <w:szCs w:val="22"/>
        </w:rPr>
      </w:pPr>
      <w:r w:rsidRPr="00990D3B">
        <w:rPr>
          <w:rFonts w:cs="Arial"/>
          <w:b/>
          <w:szCs w:val="22"/>
        </w:rPr>
        <w:t>Compliance with other federal and state laws (</w:t>
      </w:r>
      <w:r w:rsidRPr="00990D3B" w:rsidR="001C7FC0">
        <w:rPr>
          <w:rFonts w:cs="Arial"/>
          <w:b/>
          <w:szCs w:val="22"/>
        </w:rPr>
        <w:t>42 C.F.R.</w:t>
      </w:r>
      <w:r w:rsidRPr="00990D3B" w:rsidR="007854DF">
        <w:rPr>
          <w:rFonts w:cs="Arial"/>
          <w:b/>
          <w:szCs w:val="22"/>
        </w:rPr>
        <w:t xml:space="preserve"> </w:t>
      </w:r>
      <w:r w:rsidRPr="00990D3B">
        <w:rPr>
          <w:rFonts w:cs="Arial"/>
          <w:b/>
          <w:szCs w:val="22"/>
        </w:rPr>
        <w:t xml:space="preserve">438.100 and 457.1220; and </w:t>
      </w:r>
      <w:r w:rsidRPr="00990D3B" w:rsidR="001C7FC0">
        <w:rPr>
          <w:rFonts w:cs="Arial"/>
          <w:b/>
          <w:szCs w:val="22"/>
        </w:rPr>
        <w:t>42 C.F.R.</w:t>
      </w:r>
      <w:r w:rsidRPr="00990D3B" w:rsidR="007854DF">
        <w:rPr>
          <w:rFonts w:cs="Arial"/>
          <w:b/>
          <w:szCs w:val="22"/>
        </w:rPr>
        <w:t xml:space="preserve"> </w:t>
      </w:r>
      <w:r w:rsidRPr="00990D3B">
        <w:rPr>
          <w:rFonts w:cs="Arial"/>
          <w:b/>
          <w:szCs w:val="22"/>
        </w:rPr>
        <w:t>438.206-210 and 457.1230(a-d))</w:t>
      </w:r>
    </w:p>
    <w:p w:rsidR="004E5913" w:rsidRPr="00990D3B" w:rsidP="002D35CF" w14:paraId="68C09267" w14:textId="77777777">
      <w:pPr>
        <w:pStyle w:val="EQRNormalSSWSquestionNUMBER"/>
        <w:numPr>
          <w:ilvl w:val="0"/>
          <w:numId w:val="159"/>
        </w:numPr>
        <w:rPr>
          <w:b/>
        </w:rPr>
      </w:pPr>
      <w:r w:rsidRPr="00990D3B">
        <w:t xml:space="preserve">Does the MCP orient staff to the federal and state laws on enrollee rights that must be observed during day-to-day operations?  Does the MCP remind staff of the importance of observing these laws during interactions with other employees and with </w:t>
      </w:r>
      <w:r w:rsidRPr="00990D3B">
        <w:t>enrollees</w:t>
      </w:r>
      <w:r w:rsidRPr="00990D3B">
        <w:t>?</w:t>
      </w:r>
    </w:p>
    <w:p w:rsidR="004E5913" w:rsidRPr="00990D3B" w:rsidP="007D0EA4" w14:paraId="3EBD73DA" w14:textId="77777777">
      <w:pPr>
        <w:pStyle w:val="EQRNormalSSWSquestionNUMBER"/>
        <w:rPr>
          <w:b/>
        </w:rPr>
      </w:pPr>
      <w:r w:rsidRPr="00990D3B">
        <w:t>Describe the procedure for handling an enrollee complaint involving a perceived violation of their rights.</w:t>
      </w:r>
    </w:p>
    <w:p w:rsidR="004E5913" w:rsidRPr="00990D3B" w:rsidP="00980FA3" w14:paraId="05124465" w14:textId="4251C517">
      <w:pPr>
        <w:pStyle w:val="EQRNormalSSWORKSHEET"/>
        <w:keepNext/>
        <w:rPr>
          <w:rFonts w:cs="Arial"/>
          <w:b/>
          <w:szCs w:val="22"/>
        </w:rPr>
      </w:pPr>
      <w:r w:rsidRPr="00990D3B">
        <w:rPr>
          <w:rFonts w:cs="Arial"/>
          <w:b/>
          <w:szCs w:val="22"/>
        </w:rPr>
        <w:t>Availability of services (</w:t>
      </w:r>
      <w:r w:rsidRPr="00990D3B" w:rsidR="001C7FC0">
        <w:rPr>
          <w:rFonts w:cs="Arial"/>
          <w:b/>
          <w:szCs w:val="22"/>
        </w:rPr>
        <w:t>42 C.F.R.</w:t>
      </w:r>
      <w:r w:rsidRPr="00990D3B" w:rsidR="007854DF">
        <w:rPr>
          <w:rFonts w:cs="Arial"/>
          <w:b/>
          <w:szCs w:val="22"/>
        </w:rPr>
        <w:t xml:space="preserve"> </w:t>
      </w:r>
      <w:r w:rsidRPr="00990D3B">
        <w:rPr>
          <w:rFonts w:cs="Arial"/>
          <w:b/>
          <w:szCs w:val="22"/>
        </w:rPr>
        <w:t>438.206 and 457.1230(a))</w:t>
      </w:r>
    </w:p>
    <w:p w:rsidR="004E5913" w:rsidRPr="00990D3B" w:rsidP="002D35CF" w14:paraId="28D69422" w14:textId="77777777">
      <w:pPr>
        <w:pStyle w:val="EQRNormalSSWSquestionNUMBER"/>
        <w:numPr>
          <w:ilvl w:val="0"/>
          <w:numId w:val="160"/>
        </w:numPr>
        <w:rPr>
          <w:b/>
        </w:rPr>
      </w:pPr>
      <w:r w:rsidRPr="00990D3B">
        <w:t xml:space="preserve">What processes does the MCP take to monitor availability and accessibility of services to Medicaid and CHIP enrollees?  </w:t>
      </w:r>
    </w:p>
    <w:p w:rsidR="004E5913" w:rsidRPr="00990D3B" w:rsidP="002D35CF" w14:paraId="4AFDB418" w14:textId="77777777">
      <w:pPr>
        <w:pStyle w:val="EQRNormalSSWSquestionsub"/>
        <w:numPr>
          <w:ilvl w:val="0"/>
          <w:numId w:val="144"/>
        </w:numPr>
        <w:tabs>
          <w:tab w:val="left" w:pos="-1080"/>
          <w:tab w:val="left" w:pos="-720"/>
          <w:tab w:val="left" w:pos="0"/>
          <w:tab w:val="left" w:pos="360"/>
          <w:tab w:val="left" w:pos="720"/>
          <w:tab w:val="left" w:pos="1080"/>
        </w:tabs>
        <w:spacing w:before="0" w:after="240"/>
        <w:rPr>
          <w:b/>
          <w:szCs w:val="22"/>
        </w:rPr>
      </w:pPr>
      <w:r w:rsidRPr="00990D3B">
        <w:rPr>
          <w:szCs w:val="22"/>
        </w:rPr>
        <w:t>What are the most recent findings from this process?</w:t>
      </w:r>
    </w:p>
    <w:p w:rsidR="004E5913" w:rsidRPr="00990D3B" w:rsidP="007D0EA4" w14:paraId="01F2CB19" w14:textId="77777777">
      <w:pPr>
        <w:pStyle w:val="EQRNormalSSWSquestionNUMBER"/>
        <w:rPr>
          <w:b/>
        </w:rPr>
      </w:pPr>
      <w:r w:rsidRPr="00990D3B">
        <w:t xml:space="preserve">Is there any information that is routinely collected and monitored to determine </w:t>
      </w:r>
      <w:r w:rsidRPr="00990D3B">
        <w:t>that</w:t>
      </w:r>
      <w:r w:rsidRPr="00990D3B">
        <w:t xml:space="preserve"> care and services are being rendered to Medicaid and CHIP enrollees in a timely manner?  </w:t>
      </w:r>
    </w:p>
    <w:p w:rsidR="004E5913" w:rsidRPr="00990D3B" w:rsidP="002D35CF" w14:paraId="5A663168" w14:textId="77777777">
      <w:pPr>
        <w:pStyle w:val="EQRNormalSSWSquestionsub"/>
        <w:numPr>
          <w:ilvl w:val="0"/>
          <w:numId w:val="145"/>
        </w:numPr>
        <w:tabs>
          <w:tab w:val="left" w:pos="-1080"/>
          <w:tab w:val="left" w:pos="-720"/>
          <w:tab w:val="left" w:pos="0"/>
          <w:tab w:val="left" w:pos="360"/>
          <w:tab w:val="left" w:pos="720"/>
          <w:tab w:val="left" w:pos="1080"/>
        </w:tabs>
        <w:spacing w:before="0" w:after="240"/>
        <w:rPr>
          <w:b/>
          <w:szCs w:val="22"/>
        </w:rPr>
      </w:pPr>
      <w:r w:rsidRPr="00990D3B">
        <w:rPr>
          <w:szCs w:val="22"/>
        </w:rPr>
        <w:t>What are the most recent findings of this monitoring?</w:t>
      </w:r>
    </w:p>
    <w:p w:rsidR="004E5913" w:rsidRPr="00990D3B" w:rsidP="00980FA3" w14:paraId="1D824CE2" w14:textId="46A79BF1">
      <w:pPr>
        <w:pStyle w:val="EQRNormalSSWORKSHEET"/>
        <w:keepNext/>
        <w:rPr>
          <w:rFonts w:cs="Arial"/>
          <w:b/>
          <w:szCs w:val="22"/>
        </w:rPr>
      </w:pPr>
      <w:r w:rsidRPr="00990D3B">
        <w:rPr>
          <w:rFonts w:cs="Arial"/>
          <w:b/>
          <w:szCs w:val="22"/>
        </w:rPr>
        <w:t>Availability of services-delivery network (</w:t>
      </w:r>
      <w:r w:rsidRPr="00990D3B" w:rsidR="001C7FC0">
        <w:rPr>
          <w:rFonts w:cs="Arial"/>
          <w:b/>
          <w:szCs w:val="22"/>
        </w:rPr>
        <w:t>42 C.F.R.</w:t>
      </w:r>
      <w:r w:rsidRPr="00990D3B" w:rsidR="007854DF">
        <w:rPr>
          <w:rFonts w:cs="Arial"/>
          <w:b/>
          <w:szCs w:val="22"/>
        </w:rPr>
        <w:t xml:space="preserve"> </w:t>
      </w:r>
      <w:r w:rsidRPr="00990D3B">
        <w:rPr>
          <w:rFonts w:cs="Arial"/>
          <w:b/>
          <w:szCs w:val="22"/>
        </w:rPr>
        <w:t>438.206(b) and 457.1230(a))</w:t>
      </w:r>
    </w:p>
    <w:p w:rsidR="004E5913" w:rsidRPr="00990D3B" w:rsidP="002D35CF" w14:paraId="2ACC4C60" w14:textId="77777777">
      <w:pPr>
        <w:pStyle w:val="EQRNormalSSWSquestionNUMBER"/>
        <w:numPr>
          <w:ilvl w:val="0"/>
          <w:numId w:val="161"/>
        </w:numPr>
        <w:rPr>
          <w:b/>
        </w:rPr>
      </w:pPr>
      <w:r w:rsidRPr="00990D3B">
        <w:t xml:space="preserve">Are Medicaid and CHIP enrollee requests for out-of-network providers tracked?  </w:t>
      </w:r>
    </w:p>
    <w:p w:rsidR="004E5913" w:rsidRPr="00990D3B" w:rsidP="002D35CF" w14:paraId="7A9AC348" w14:textId="77777777">
      <w:pPr>
        <w:pStyle w:val="EQRNormalSSWSquestionsub"/>
        <w:numPr>
          <w:ilvl w:val="0"/>
          <w:numId w:val="146"/>
        </w:numPr>
        <w:tabs>
          <w:tab w:val="left" w:pos="-1080"/>
          <w:tab w:val="left" w:pos="-720"/>
          <w:tab w:val="left" w:pos="0"/>
          <w:tab w:val="left" w:pos="360"/>
          <w:tab w:val="left" w:pos="720"/>
          <w:tab w:val="left" w:pos="1080"/>
        </w:tabs>
        <w:spacing w:before="0" w:after="240"/>
        <w:rPr>
          <w:b/>
          <w:szCs w:val="22"/>
        </w:rPr>
      </w:pPr>
      <w:r w:rsidRPr="00990D3B">
        <w:rPr>
          <w:szCs w:val="22"/>
        </w:rPr>
        <w:t xml:space="preserve">How often do Medicaid and CHIP enrollees request services from out-of-network providers?  </w:t>
      </w:r>
    </w:p>
    <w:p w:rsidR="004E5913" w:rsidRPr="00990D3B" w:rsidP="002D35CF" w14:paraId="1E429B24" w14:textId="77777777">
      <w:pPr>
        <w:pStyle w:val="EQRNormalSSWSquestionsub"/>
        <w:numPr>
          <w:ilvl w:val="0"/>
          <w:numId w:val="146"/>
        </w:numPr>
        <w:tabs>
          <w:tab w:val="left" w:pos="-1080"/>
          <w:tab w:val="left" w:pos="-720"/>
          <w:tab w:val="left" w:pos="0"/>
          <w:tab w:val="left" w:pos="360"/>
          <w:tab w:val="left" w:pos="720"/>
          <w:tab w:val="left" w:pos="1080"/>
        </w:tabs>
        <w:spacing w:before="0" w:after="240"/>
        <w:rPr>
          <w:b/>
          <w:szCs w:val="22"/>
        </w:rPr>
      </w:pPr>
      <w:r w:rsidRPr="00990D3B">
        <w:rPr>
          <w:szCs w:val="22"/>
        </w:rPr>
        <w:t>What are their reasons for requesting out-of-network providers?</w:t>
      </w:r>
    </w:p>
    <w:p w:rsidR="004E5913" w:rsidRPr="00990D3B" w:rsidP="007D0EA4" w14:paraId="7C4682D3" w14:textId="77777777">
      <w:pPr>
        <w:pStyle w:val="EQRNormalSSWSquestionNUMBER"/>
        <w:rPr>
          <w:b/>
        </w:rPr>
      </w:pPr>
      <w:r w:rsidRPr="00990D3B">
        <w:t>How often do Medicaid and CHIP enrollees receive services from out-of-network providers?</w:t>
      </w:r>
    </w:p>
    <w:p w:rsidR="004E5913" w:rsidRPr="00990D3B" w:rsidP="00980FA3" w14:paraId="3815D52F" w14:textId="1A1918B7">
      <w:pPr>
        <w:pStyle w:val="EQRNormalSSWORKSHEET"/>
        <w:keepNext/>
        <w:rPr>
          <w:rFonts w:cs="Arial"/>
          <w:b/>
          <w:szCs w:val="22"/>
        </w:rPr>
      </w:pPr>
      <w:r w:rsidRPr="00990D3B">
        <w:rPr>
          <w:rFonts w:cs="Arial"/>
          <w:b/>
          <w:szCs w:val="22"/>
        </w:rPr>
        <w:t>Availability of services-</w:t>
      </w:r>
      <w:r w:rsidRPr="00990D3B" w:rsidR="002A58B8">
        <w:rPr>
          <w:rFonts w:cs="Arial"/>
          <w:b/>
          <w:szCs w:val="22"/>
        </w:rPr>
        <w:t>f</w:t>
      </w:r>
      <w:r w:rsidRPr="00990D3B">
        <w:rPr>
          <w:rFonts w:cs="Arial"/>
          <w:b/>
          <w:szCs w:val="22"/>
        </w:rPr>
        <w:t>urnishing of services (</w:t>
      </w:r>
      <w:r w:rsidRPr="00990D3B" w:rsidR="001C7FC0">
        <w:rPr>
          <w:rFonts w:cs="Arial"/>
          <w:b/>
          <w:szCs w:val="22"/>
        </w:rPr>
        <w:t>42 C.F.R.</w:t>
      </w:r>
      <w:r w:rsidRPr="00990D3B" w:rsidR="007854DF">
        <w:rPr>
          <w:rFonts w:cs="Arial"/>
          <w:b/>
          <w:szCs w:val="22"/>
        </w:rPr>
        <w:t xml:space="preserve"> </w:t>
      </w:r>
      <w:r w:rsidRPr="00990D3B">
        <w:rPr>
          <w:rFonts w:cs="Arial"/>
          <w:b/>
          <w:szCs w:val="22"/>
        </w:rPr>
        <w:t>438.206(c) and 457.1230(a))</w:t>
      </w:r>
    </w:p>
    <w:p w:rsidR="004E5913" w:rsidRPr="00990D3B" w:rsidP="002D35CF" w14:paraId="38A041B8" w14:textId="77777777">
      <w:pPr>
        <w:pStyle w:val="EQRNormalSSWSquestionNUMBER"/>
        <w:numPr>
          <w:ilvl w:val="0"/>
          <w:numId w:val="162"/>
        </w:numPr>
        <w:rPr>
          <w:b/>
        </w:rPr>
      </w:pPr>
      <w:r w:rsidRPr="00990D3B">
        <w:rPr>
          <w:b/>
        </w:rPr>
        <w:t xml:space="preserve">Ask only if MCP is </w:t>
      </w:r>
      <w:r w:rsidRPr="00990D3B">
        <w:rPr>
          <w:b/>
        </w:rPr>
        <w:t>a</w:t>
      </w:r>
      <w:r w:rsidRPr="00990D3B">
        <w:rPr>
          <w:b/>
        </w:rPr>
        <w:t xml:space="preserve"> MCO/ PIHP or PAHP</w:t>
      </w:r>
      <w:r w:rsidRPr="00990D3B">
        <w:rPr>
          <w:b/>
        </w:rPr>
        <w:t>:</w:t>
      </w:r>
      <w:r w:rsidRPr="00990D3B">
        <w:t xml:space="preserve">  Are</w:t>
      </w:r>
      <w:r w:rsidRPr="00990D3B">
        <w:t xml:space="preserve"> MCO/ PIHP/PAHP and provider services available 24 hours a day, 7 days a week, when medically appropriate?</w:t>
      </w:r>
    </w:p>
    <w:p w:rsidR="004E5913" w:rsidRPr="00990D3B" w:rsidP="00C13153" w14:paraId="7705FAEB" w14:textId="77777777">
      <w:pPr>
        <w:pStyle w:val="EQRNormalSSWSquestionNUMBER"/>
      </w:pPr>
      <w:r w:rsidRPr="00990D3B">
        <w:rPr>
          <w:rFonts w:cs="Arial"/>
          <w:szCs w:val="22"/>
        </w:rPr>
        <w:t>How</w:t>
      </w:r>
      <w:r w:rsidRPr="00990D3B">
        <w:t xml:space="preserve"> frequently does enrollee services staff receive complaints about provider hours of operation not being available to enrollees when medically necessary?</w:t>
      </w:r>
    </w:p>
    <w:p w:rsidR="004E5913" w:rsidRPr="00990D3B" w:rsidP="00C13153" w14:paraId="3B7809B9" w14:textId="77777777">
      <w:pPr>
        <w:pStyle w:val="EQRNormalSSWSquestionNUMBER"/>
        <w:rPr>
          <w:rFonts w:cs="Arial"/>
          <w:b/>
          <w:szCs w:val="22"/>
        </w:rPr>
      </w:pPr>
      <w:r w:rsidRPr="00990D3B">
        <w:t>Does</w:t>
      </w:r>
      <w:r w:rsidRPr="00990D3B">
        <w:rPr>
          <w:rFonts w:cs="Arial"/>
          <w:szCs w:val="22"/>
        </w:rPr>
        <w:t xml:space="preserve"> the MCP conduct surveys, focus groups or other activities to receive </w:t>
      </w:r>
      <w:r w:rsidRPr="00990D3B">
        <w:rPr>
          <w:rFonts w:cs="Arial"/>
          <w:szCs w:val="22"/>
        </w:rPr>
        <w:t>the feedback</w:t>
      </w:r>
      <w:r w:rsidRPr="00990D3B">
        <w:rPr>
          <w:rFonts w:cs="Arial"/>
          <w:szCs w:val="22"/>
        </w:rPr>
        <w:t xml:space="preserve"> </w:t>
      </w:r>
      <w:r w:rsidRPr="00990D3B">
        <w:rPr>
          <w:rFonts w:cs="Arial"/>
          <w:szCs w:val="22"/>
        </w:rPr>
        <w:t>of</w:t>
      </w:r>
      <w:r w:rsidRPr="00990D3B">
        <w:rPr>
          <w:rFonts w:cs="Arial"/>
          <w:szCs w:val="22"/>
        </w:rPr>
        <w:t xml:space="preserve"> Medicaid and CHIP enrollees?  If yes, what are the most recent findings about Medicaid and CHIP enrollee perceptions about availability of MCP and provider services? </w:t>
      </w:r>
    </w:p>
    <w:p w:rsidR="004E5913" w:rsidRPr="00990D3B" w:rsidP="00980FA3" w14:paraId="0719DDE5" w14:textId="58D92E8A">
      <w:pPr>
        <w:pStyle w:val="EQRNormalSSWORKSHEET"/>
        <w:keepNext/>
        <w:rPr>
          <w:rFonts w:cs="Arial"/>
          <w:b/>
          <w:szCs w:val="22"/>
        </w:rPr>
      </w:pPr>
      <w:r w:rsidRPr="00990D3B">
        <w:rPr>
          <w:rFonts w:cs="Arial"/>
          <w:b/>
          <w:szCs w:val="22"/>
        </w:rPr>
        <w:t>Coordination and continuity of care (</w:t>
      </w:r>
      <w:r w:rsidRPr="00990D3B" w:rsidR="001C7FC0">
        <w:rPr>
          <w:rFonts w:cs="Arial"/>
          <w:b/>
          <w:szCs w:val="22"/>
        </w:rPr>
        <w:t>42 C.F.R.</w:t>
      </w:r>
      <w:r w:rsidRPr="00990D3B" w:rsidR="007854DF">
        <w:rPr>
          <w:rFonts w:cs="Arial"/>
          <w:b/>
          <w:szCs w:val="22"/>
        </w:rPr>
        <w:t xml:space="preserve"> </w:t>
      </w:r>
      <w:r w:rsidRPr="00990D3B">
        <w:rPr>
          <w:rFonts w:cs="Arial"/>
          <w:b/>
          <w:szCs w:val="22"/>
        </w:rPr>
        <w:t>438.208 and 457.1230(c))</w:t>
      </w:r>
    </w:p>
    <w:p w:rsidR="004E5913" w:rsidRPr="00990D3B" w:rsidP="002D35CF" w14:paraId="06624BF3" w14:textId="1EDB3E6C">
      <w:pPr>
        <w:pStyle w:val="EQRNormalSSWSquestionNUMBER"/>
        <w:numPr>
          <w:ilvl w:val="0"/>
          <w:numId w:val="163"/>
        </w:numPr>
      </w:pPr>
      <w:r w:rsidRPr="00990D3B">
        <w:rPr>
          <w:rFonts w:cs="Arial"/>
          <w:szCs w:val="22"/>
        </w:rPr>
        <w:t xml:space="preserve">How are Medicaid and CHIP </w:t>
      </w:r>
      <w:r w:rsidRPr="00990D3B">
        <w:rPr>
          <w:rFonts w:cs="Arial"/>
          <w:szCs w:val="22"/>
        </w:rPr>
        <w:t>enrollees</w:t>
      </w:r>
      <w:r w:rsidRPr="00990D3B">
        <w:rPr>
          <w:rFonts w:cs="Arial"/>
          <w:szCs w:val="22"/>
        </w:rPr>
        <w:t xml:space="preserve"> with special health care </w:t>
      </w:r>
      <w:r w:rsidRPr="00990D3B">
        <w:rPr>
          <w:rFonts w:cs="Arial"/>
          <w:szCs w:val="22"/>
        </w:rPr>
        <w:t>needs—</w:t>
      </w:r>
      <w:r w:rsidRPr="00990D3B">
        <w:rPr>
          <w:rFonts w:cs="Arial"/>
          <w:szCs w:val="22"/>
        </w:rPr>
        <w:t>including both individuals with special health care ne</w:t>
      </w:r>
      <w:r w:rsidRPr="00990D3B">
        <w:t xml:space="preserve">eds identified by your MCP and individuals identified by the state Medicaid and CHIP </w:t>
      </w:r>
      <w:r w:rsidRPr="00990D3B" w:rsidR="00923DBC">
        <w:t xml:space="preserve">program </w:t>
      </w:r>
      <w:r w:rsidRPr="00990D3B">
        <w:t xml:space="preserve">or its agent </w:t>
      </w:r>
    </w:p>
    <w:p w:rsidR="004E5913" w:rsidRPr="00990D3B" w:rsidP="00C13153" w14:paraId="04084DC5" w14:textId="77777777">
      <w:pPr>
        <w:pStyle w:val="EQRNormalSSWSquestionNUMBER"/>
      </w:pPr>
      <w:r w:rsidRPr="00990D3B">
        <w:t xml:space="preserve">How does this MCP identify and assess Medicaid and CHIP </w:t>
      </w:r>
      <w:r w:rsidRPr="00990D3B">
        <w:t>enrollees</w:t>
      </w:r>
      <w:r w:rsidRPr="00990D3B">
        <w:t xml:space="preserve"> with special health care needs?  </w:t>
      </w:r>
    </w:p>
    <w:p w:rsidR="004E5913" w:rsidRPr="00990D3B" w:rsidP="00C13153" w14:paraId="4D9C43A6" w14:textId="77777777">
      <w:pPr>
        <w:pStyle w:val="EQRNormalSSWSquestionNUMBER"/>
        <w:rPr>
          <w:rFonts w:cs="Arial"/>
          <w:b/>
          <w:szCs w:val="22"/>
        </w:rPr>
      </w:pPr>
      <w:r w:rsidRPr="00990D3B">
        <w:t>What proporti</w:t>
      </w:r>
      <w:r w:rsidRPr="00990D3B">
        <w:rPr>
          <w:rFonts w:cs="Arial"/>
          <w:szCs w:val="22"/>
        </w:rPr>
        <w:t>on of Medicaid and CHIP enrollees has an ongoing source of primary care?</w:t>
      </w:r>
    </w:p>
    <w:p w:rsidR="00E0673F" w:rsidRPr="00990D3B" w:rsidP="00BD1FC3" w14:paraId="6F8A3189" w14:textId="77777777">
      <w:pPr>
        <w:spacing w:line="240" w:lineRule="auto"/>
        <w:rPr>
          <w:rFonts w:ascii="Arial" w:hAnsi="Arial" w:cs="Arial"/>
          <w:b/>
          <w:sz w:val="18"/>
          <w:szCs w:val="22"/>
        </w:rPr>
      </w:pPr>
      <w:r w:rsidRPr="00990D3B">
        <w:rPr>
          <w:rFonts w:ascii="Arial" w:hAnsi="Arial" w:cs="Arial"/>
          <w:b/>
          <w:sz w:val="18"/>
          <w:szCs w:val="22"/>
        </w:rPr>
        <w:br w:type="page"/>
      </w:r>
    </w:p>
    <w:p w:rsidR="004E5913" w:rsidRPr="00990D3B" w:rsidP="00980FA3" w14:paraId="7EDC2346" w14:textId="1C2685B9">
      <w:pPr>
        <w:pStyle w:val="EQRNormalSSWORKSHEET"/>
        <w:keepNext/>
        <w:rPr>
          <w:rFonts w:cs="Arial"/>
          <w:b/>
          <w:szCs w:val="22"/>
        </w:rPr>
      </w:pPr>
      <w:r w:rsidRPr="00990D3B">
        <w:rPr>
          <w:rFonts w:cs="Arial"/>
          <w:b/>
          <w:szCs w:val="22"/>
        </w:rPr>
        <w:t>Coverage and authorization of services (</w:t>
      </w:r>
      <w:r w:rsidRPr="00990D3B" w:rsidR="001C7FC0">
        <w:rPr>
          <w:rFonts w:cs="Arial"/>
          <w:b/>
          <w:szCs w:val="22"/>
        </w:rPr>
        <w:t>42 C.F.R.</w:t>
      </w:r>
      <w:r w:rsidRPr="00990D3B" w:rsidR="007854DF">
        <w:rPr>
          <w:rFonts w:cs="Arial"/>
          <w:b/>
          <w:szCs w:val="22"/>
        </w:rPr>
        <w:t xml:space="preserve"> </w:t>
      </w:r>
      <w:r w:rsidRPr="00990D3B">
        <w:rPr>
          <w:rFonts w:cs="Arial"/>
          <w:b/>
          <w:szCs w:val="22"/>
        </w:rPr>
        <w:t>438.210 and 457.1230(d))</w:t>
      </w:r>
    </w:p>
    <w:p w:rsidR="004E5913" w:rsidRPr="00990D3B" w:rsidP="002D35CF" w14:paraId="5E422AD1" w14:textId="77777777">
      <w:pPr>
        <w:pStyle w:val="EQRNormalSSWSquestionNUMBER"/>
        <w:numPr>
          <w:ilvl w:val="0"/>
          <w:numId w:val="164"/>
        </w:numPr>
      </w:pPr>
      <w:r w:rsidRPr="00990D3B">
        <w:rPr>
          <w:rFonts w:cs="Arial"/>
          <w:szCs w:val="22"/>
        </w:rPr>
        <w:t>Ho</w:t>
      </w:r>
      <w:r w:rsidRPr="00990D3B">
        <w:t xml:space="preserve">w frequently </w:t>
      </w:r>
      <w:r w:rsidRPr="00990D3B">
        <w:t>does</w:t>
      </w:r>
      <w:r w:rsidRPr="00990D3B">
        <w:t xml:space="preserve"> </w:t>
      </w:r>
      <w:r w:rsidRPr="00990D3B">
        <w:t>enrollee</w:t>
      </w:r>
      <w:r w:rsidRPr="00990D3B">
        <w:t xml:space="preserve"> services staff receive complaints about difficulty obtaining </w:t>
      </w:r>
      <w:r w:rsidRPr="00990D3B">
        <w:t>emergency</w:t>
      </w:r>
      <w:r w:rsidRPr="00990D3B">
        <w:t xml:space="preserve"> or post-stabilization services? </w:t>
      </w:r>
    </w:p>
    <w:p w:rsidR="004E5913" w:rsidRPr="00990D3B" w:rsidP="00C13153" w14:paraId="2B716D77" w14:textId="0CE4DAAF">
      <w:pPr>
        <w:pStyle w:val="EQRNormalSSWSquestionNUMBER"/>
        <w:rPr>
          <w:rFonts w:cs="Arial"/>
          <w:b/>
          <w:szCs w:val="22"/>
        </w:rPr>
      </w:pPr>
      <w:r w:rsidRPr="00990D3B">
        <w:t>Please</w:t>
      </w:r>
      <w:r w:rsidRPr="00990D3B">
        <w:rPr>
          <w:rFonts w:cs="Arial"/>
          <w:szCs w:val="22"/>
        </w:rPr>
        <w:t xml:space="preserve"> describe the procedure for handling </w:t>
      </w:r>
      <w:r w:rsidRPr="00990D3B" w:rsidR="002F4DD4">
        <w:rPr>
          <w:rFonts w:cs="Arial"/>
          <w:szCs w:val="22"/>
        </w:rPr>
        <w:t>enrollee</w:t>
      </w:r>
      <w:r w:rsidRPr="00990D3B">
        <w:rPr>
          <w:rFonts w:cs="Arial"/>
          <w:szCs w:val="22"/>
        </w:rPr>
        <w:t xml:space="preserve"> calls regarding need for emergency services.</w:t>
      </w:r>
    </w:p>
    <w:p w:rsidR="004E5913" w:rsidRPr="00990D3B" w:rsidP="00980FA3" w14:paraId="39814A65" w14:textId="7A7AC1F6">
      <w:pPr>
        <w:pStyle w:val="EQRNormalSSWORKSHEET"/>
        <w:keepNext/>
        <w:rPr>
          <w:rFonts w:cs="Arial"/>
          <w:b/>
          <w:szCs w:val="22"/>
        </w:rPr>
      </w:pPr>
      <w:r w:rsidRPr="00990D3B">
        <w:rPr>
          <w:rFonts w:cs="Arial"/>
          <w:b/>
          <w:szCs w:val="22"/>
        </w:rPr>
        <w:t>Enrollment and disenrollment (</w:t>
      </w:r>
      <w:r w:rsidRPr="00990D3B" w:rsidR="001C7FC0">
        <w:rPr>
          <w:rFonts w:cs="Arial"/>
          <w:b/>
          <w:szCs w:val="22"/>
        </w:rPr>
        <w:t>42 C.F.R.</w:t>
      </w:r>
      <w:r w:rsidRPr="00990D3B" w:rsidR="007854DF">
        <w:rPr>
          <w:rFonts w:cs="Arial"/>
          <w:b/>
          <w:szCs w:val="22"/>
        </w:rPr>
        <w:t xml:space="preserve"> </w:t>
      </w:r>
      <w:r w:rsidRPr="00990D3B">
        <w:rPr>
          <w:rFonts w:cs="Arial"/>
          <w:b/>
          <w:szCs w:val="22"/>
        </w:rPr>
        <w:t>438.56 and 457.1212)</w:t>
      </w:r>
    </w:p>
    <w:p w:rsidR="004E5913" w:rsidRPr="00990D3B" w:rsidP="002D35CF" w14:paraId="300FC834" w14:textId="77777777">
      <w:pPr>
        <w:pStyle w:val="EQRNormalSSWSquestionNUMBER"/>
        <w:numPr>
          <w:ilvl w:val="0"/>
          <w:numId w:val="165"/>
        </w:numPr>
      </w:pPr>
      <w:r w:rsidRPr="00990D3B">
        <w:rPr>
          <w:rFonts w:cs="Arial"/>
          <w:szCs w:val="22"/>
        </w:rPr>
        <w:t>Please descri</w:t>
      </w:r>
      <w:r w:rsidRPr="00990D3B">
        <w:t>be the procedures that are followed when a request for disenrollment is received from an enrollee.</w:t>
      </w:r>
    </w:p>
    <w:p w:rsidR="004E5913" w:rsidRPr="00990D3B" w:rsidP="00C13153" w14:paraId="68803F9D" w14:textId="77777777">
      <w:pPr>
        <w:pStyle w:val="EQRNormalSSWSquestionNUMBER"/>
        <w:rPr>
          <w:rFonts w:cs="Arial"/>
          <w:b/>
          <w:szCs w:val="22"/>
        </w:rPr>
      </w:pPr>
      <w:r w:rsidRPr="00990D3B">
        <w:t>How is disenrollment information tracked through or by other MCP operations (e.g., grievance process, quality improvemen</w:t>
      </w:r>
      <w:r w:rsidRPr="00990D3B">
        <w:rPr>
          <w:rFonts w:cs="Arial"/>
          <w:szCs w:val="22"/>
        </w:rPr>
        <w:t xml:space="preserve">t, administration)?  </w:t>
      </w:r>
    </w:p>
    <w:p w:rsidR="004E5913" w:rsidRPr="00990D3B" w:rsidP="002D35CF" w14:paraId="1B156A3D" w14:textId="77777777">
      <w:pPr>
        <w:pStyle w:val="EQRNormalSSWSquestionsub"/>
        <w:numPr>
          <w:ilvl w:val="0"/>
          <w:numId w:val="147"/>
        </w:numPr>
        <w:tabs>
          <w:tab w:val="left" w:pos="-1080"/>
          <w:tab w:val="left" w:pos="-720"/>
          <w:tab w:val="left" w:pos="0"/>
          <w:tab w:val="left" w:pos="360"/>
          <w:tab w:val="left" w:pos="720"/>
          <w:tab w:val="left" w:pos="1080"/>
        </w:tabs>
        <w:spacing w:before="0" w:after="240"/>
        <w:rPr>
          <w:szCs w:val="22"/>
        </w:rPr>
      </w:pPr>
      <w:r w:rsidRPr="00990D3B">
        <w:rPr>
          <w:szCs w:val="22"/>
        </w:rPr>
        <w:t xml:space="preserve">How many requests by Medicaid and CHIP enrollees were received last year for disenrollment? </w:t>
      </w:r>
    </w:p>
    <w:p w:rsidR="004E5913" w:rsidRPr="00990D3B" w:rsidP="002D35CF" w14:paraId="1F9977D6" w14:textId="77777777">
      <w:pPr>
        <w:pStyle w:val="EQRNormalSSWSquestionsub"/>
        <w:numPr>
          <w:ilvl w:val="0"/>
          <w:numId w:val="147"/>
        </w:numPr>
        <w:tabs>
          <w:tab w:val="left" w:pos="-1080"/>
          <w:tab w:val="left" w:pos="-720"/>
          <w:tab w:val="left" w:pos="0"/>
          <w:tab w:val="left" w:pos="360"/>
          <w:tab w:val="left" w:pos="720"/>
          <w:tab w:val="left" w:pos="1080"/>
        </w:tabs>
        <w:spacing w:before="0" w:after="240"/>
        <w:rPr>
          <w:szCs w:val="22"/>
        </w:rPr>
      </w:pPr>
      <w:r w:rsidRPr="00990D3B">
        <w:rPr>
          <w:szCs w:val="22"/>
        </w:rPr>
        <w:t xml:space="preserve">What were the cited causes? </w:t>
      </w:r>
    </w:p>
    <w:p w:rsidR="004E5913" w:rsidRPr="00990D3B" w:rsidP="00980FA3" w14:paraId="5D96FFC4" w14:textId="29EA2772">
      <w:pPr>
        <w:pStyle w:val="EQRNormalSSWORKSHEET"/>
        <w:keepNext/>
        <w:rPr>
          <w:rFonts w:cs="Arial"/>
          <w:b/>
          <w:szCs w:val="22"/>
        </w:rPr>
      </w:pPr>
      <w:r w:rsidRPr="00990D3B">
        <w:rPr>
          <w:rFonts w:cs="Arial"/>
          <w:b/>
          <w:szCs w:val="22"/>
        </w:rPr>
        <w:t>Grievance systems (</w:t>
      </w:r>
      <w:r w:rsidRPr="00990D3B" w:rsidR="001C7FC0">
        <w:rPr>
          <w:rFonts w:cs="Arial"/>
          <w:b/>
          <w:szCs w:val="22"/>
        </w:rPr>
        <w:t>42 C.F.R.</w:t>
      </w:r>
      <w:r w:rsidRPr="00990D3B" w:rsidR="007854DF">
        <w:rPr>
          <w:rFonts w:cs="Arial"/>
          <w:b/>
          <w:szCs w:val="22"/>
        </w:rPr>
        <w:t xml:space="preserve"> </w:t>
      </w:r>
      <w:r w:rsidRPr="00990D3B">
        <w:rPr>
          <w:rFonts w:cs="Arial"/>
          <w:b/>
          <w:szCs w:val="22"/>
        </w:rPr>
        <w:t>438.228)</w:t>
      </w:r>
    </w:p>
    <w:p w:rsidR="004E5913" w:rsidRPr="00990D3B" w:rsidP="002D35CF" w14:paraId="04DEF6CC" w14:textId="77777777">
      <w:pPr>
        <w:pStyle w:val="EQRNormalSSWSquestionNUMBER"/>
        <w:numPr>
          <w:ilvl w:val="0"/>
          <w:numId w:val="166"/>
        </w:numPr>
        <w:rPr>
          <w:rFonts w:cs="Arial"/>
          <w:b/>
          <w:szCs w:val="22"/>
        </w:rPr>
      </w:pPr>
      <w:r w:rsidRPr="00990D3B">
        <w:rPr>
          <w:rFonts w:cs="Arial"/>
          <w:szCs w:val="22"/>
        </w:rPr>
        <w:t xml:space="preserve">Please </w:t>
      </w:r>
      <w:r w:rsidRPr="00990D3B">
        <w:t>describe</w:t>
      </w:r>
      <w:r w:rsidRPr="00990D3B">
        <w:rPr>
          <w:rFonts w:cs="Arial"/>
          <w:szCs w:val="22"/>
        </w:rPr>
        <w:t xml:space="preserve"> the process for notifying Medicaid and CHIP enrollees of any decision to deny, limit, or discontinue a request for service. </w:t>
      </w:r>
    </w:p>
    <w:p w:rsidR="004E5913" w:rsidRPr="00990D3B" w:rsidP="002D35CF" w14:paraId="78AE957F" w14:textId="77777777">
      <w:pPr>
        <w:pStyle w:val="EQRNormalSSWSquestionsub"/>
        <w:numPr>
          <w:ilvl w:val="0"/>
          <w:numId w:val="148"/>
        </w:numPr>
        <w:tabs>
          <w:tab w:val="left" w:pos="-1080"/>
          <w:tab w:val="left" w:pos="-720"/>
          <w:tab w:val="left" w:pos="0"/>
          <w:tab w:val="left" w:pos="360"/>
          <w:tab w:val="left" w:pos="720"/>
          <w:tab w:val="left" w:pos="1080"/>
        </w:tabs>
        <w:spacing w:before="0" w:after="240"/>
        <w:rPr>
          <w:b/>
          <w:szCs w:val="22"/>
        </w:rPr>
      </w:pPr>
      <w:r w:rsidRPr="00990D3B">
        <w:rPr>
          <w:szCs w:val="22"/>
        </w:rPr>
        <w:t>What are the MCP’s time frames for notification?</w:t>
      </w:r>
    </w:p>
    <w:p w:rsidR="004E5913" w:rsidRPr="00990D3B" w:rsidP="00980FA3" w14:paraId="5CAA1B7A" w14:textId="46D7A400">
      <w:pPr>
        <w:pStyle w:val="EQRNormalSSWORKSHEET"/>
        <w:keepNext/>
        <w:rPr>
          <w:rFonts w:cs="Arial"/>
          <w:b/>
          <w:szCs w:val="22"/>
        </w:rPr>
      </w:pPr>
      <w:r w:rsidRPr="00990D3B">
        <w:rPr>
          <w:rFonts w:cs="Arial"/>
          <w:b/>
          <w:szCs w:val="22"/>
        </w:rPr>
        <w:t>Practice guidelines (</w:t>
      </w:r>
      <w:r w:rsidRPr="00990D3B" w:rsidR="001C7FC0">
        <w:rPr>
          <w:rFonts w:cs="Arial"/>
          <w:b/>
          <w:szCs w:val="22"/>
        </w:rPr>
        <w:t>42 C.F.R.</w:t>
      </w:r>
      <w:r w:rsidRPr="00990D3B" w:rsidR="007854DF">
        <w:rPr>
          <w:rFonts w:cs="Arial"/>
          <w:b/>
          <w:szCs w:val="22"/>
        </w:rPr>
        <w:t xml:space="preserve"> </w:t>
      </w:r>
      <w:r w:rsidRPr="00990D3B">
        <w:rPr>
          <w:rFonts w:cs="Arial"/>
          <w:b/>
          <w:szCs w:val="22"/>
        </w:rPr>
        <w:t>438.236 and 457.1233(c))</w:t>
      </w:r>
    </w:p>
    <w:p w:rsidR="004E5913" w:rsidRPr="00990D3B" w:rsidP="002D35CF" w14:paraId="04ECF85B" w14:textId="77777777">
      <w:pPr>
        <w:pStyle w:val="EQRNormalSSWSquestionNUMBER"/>
        <w:numPr>
          <w:ilvl w:val="0"/>
          <w:numId w:val="167"/>
        </w:numPr>
      </w:pPr>
      <w:r w:rsidRPr="00990D3B">
        <w:rPr>
          <w:rFonts w:cs="Arial"/>
          <w:szCs w:val="22"/>
        </w:rPr>
        <w:t>How often does your MCP receive requests from enrollees and potential enrollees for practice guidelines?  How does your</w:t>
      </w:r>
      <w:r w:rsidRPr="00990D3B">
        <w:t xml:space="preserve"> MCP respond to these requests?</w:t>
      </w:r>
    </w:p>
    <w:p w:rsidR="004E5913" w:rsidRPr="00990D3B" w:rsidP="00C13153" w14:paraId="12007727" w14:textId="77777777">
      <w:pPr>
        <w:pStyle w:val="EQRNormalSSWSquestionNUMBER"/>
        <w:rPr>
          <w:rFonts w:cs="Arial"/>
          <w:b/>
          <w:szCs w:val="22"/>
        </w:rPr>
      </w:pPr>
      <w:r w:rsidRPr="00990D3B">
        <w:t>When a</w:t>
      </w:r>
      <w:r w:rsidRPr="00990D3B">
        <w:rPr>
          <w:rFonts w:cs="Arial"/>
          <w:szCs w:val="22"/>
        </w:rPr>
        <w:t>nd how does your MCP disseminate practice guidelines to enrollees?</w:t>
      </w:r>
    </w:p>
    <w:p w:rsidR="004E5913" w:rsidRPr="00990D3B" w:rsidP="00980FA3" w14:paraId="36E7E092" w14:textId="4DB5EE49">
      <w:pPr>
        <w:pStyle w:val="EQRNormalSSWORKSHEET"/>
        <w:keepNext/>
        <w:rPr>
          <w:rFonts w:cs="Arial"/>
          <w:b/>
          <w:szCs w:val="22"/>
        </w:rPr>
      </w:pPr>
      <w:r w:rsidRPr="00990D3B">
        <w:rPr>
          <w:rFonts w:cs="Arial"/>
          <w:b/>
          <w:szCs w:val="22"/>
        </w:rPr>
        <w:t>Grievance system - general requirements (</w:t>
      </w:r>
      <w:r w:rsidRPr="00990D3B" w:rsidR="001C7FC0">
        <w:rPr>
          <w:rFonts w:cs="Arial"/>
          <w:b/>
          <w:szCs w:val="22"/>
        </w:rPr>
        <w:t>42 C.F.R.</w:t>
      </w:r>
      <w:r w:rsidRPr="00990D3B" w:rsidR="007854DF">
        <w:rPr>
          <w:rFonts w:cs="Arial"/>
          <w:b/>
          <w:szCs w:val="22"/>
        </w:rPr>
        <w:t xml:space="preserve"> </w:t>
      </w:r>
      <w:r w:rsidRPr="00990D3B">
        <w:rPr>
          <w:rFonts w:cs="Arial"/>
          <w:b/>
          <w:szCs w:val="22"/>
        </w:rPr>
        <w:t>438.402 and 457.1260</w:t>
      </w:r>
      <w:r w:rsidRPr="00990D3B" w:rsidR="00F57594">
        <w:rPr>
          <w:rFonts w:cs="Arial"/>
          <w:b/>
          <w:szCs w:val="22"/>
        </w:rPr>
        <w:t>(b)</w:t>
      </w:r>
      <w:r w:rsidRPr="00990D3B">
        <w:rPr>
          <w:rFonts w:cs="Arial"/>
          <w:b/>
          <w:szCs w:val="22"/>
        </w:rPr>
        <w:t>)</w:t>
      </w:r>
    </w:p>
    <w:p w:rsidR="004E5913" w:rsidRPr="00990D3B" w:rsidP="002D35CF" w14:paraId="789F0CDD" w14:textId="77777777">
      <w:pPr>
        <w:pStyle w:val="EQRNormalSSWSquestionNUMBER"/>
        <w:numPr>
          <w:ilvl w:val="0"/>
          <w:numId w:val="168"/>
        </w:numPr>
      </w:pPr>
      <w:r w:rsidRPr="00990D3B">
        <w:rPr>
          <w:rFonts w:cs="Arial"/>
          <w:szCs w:val="22"/>
        </w:rPr>
        <w:t xml:space="preserve">What enrollee materials contain information about the complaint and grievance processes?  When are enrollees presented </w:t>
      </w:r>
      <w:r w:rsidRPr="00990D3B">
        <w:t>with this information?</w:t>
      </w:r>
    </w:p>
    <w:p w:rsidR="004E5913" w:rsidRPr="00990D3B" w:rsidP="00C13153" w14:paraId="08BD7399" w14:textId="77777777">
      <w:pPr>
        <w:pStyle w:val="EQRNormalSSWSquestionNUMBER"/>
        <w:rPr>
          <w:rFonts w:cs="Arial"/>
          <w:b/>
          <w:szCs w:val="22"/>
        </w:rPr>
      </w:pPr>
      <w:r w:rsidRPr="00990D3B">
        <w:t>Please d</w:t>
      </w:r>
      <w:r w:rsidRPr="00990D3B">
        <w:rPr>
          <w:rFonts w:cs="Arial"/>
          <w:szCs w:val="22"/>
        </w:rPr>
        <w:t xml:space="preserve">escribe the process for handling authorization decisions that are </w:t>
      </w:r>
      <w:r w:rsidRPr="00990D3B">
        <w:rPr>
          <w:rFonts w:cs="Arial"/>
          <w:szCs w:val="22"/>
        </w:rPr>
        <w:t>adverse</w:t>
      </w:r>
      <w:r w:rsidRPr="00990D3B">
        <w:rPr>
          <w:rFonts w:cs="Arial"/>
          <w:szCs w:val="22"/>
        </w:rPr>
        <w:t xml:space="preserve"> to the enrollee. </w:t>
      </w:r>
    </w:p>
    <w:p w:rsidR="004E5913" w:rsidRPr="00990D3B" w:rsidP="00980FA3" w14:paraId="67086B0E" w14:textId="3132FA33">
      <w:pPr>
        <w:pStyle w:val="EQRNormalSSWORKSHEET"/>
        <w:keepNext/>
        <w:rPr>
          <w:rFonts w:cs="Arial"/>
          <w:b/>
          <w:szCs w:val="22"/>
        </w:rPr>
      </w:pPr>
      <w:r w:rsidRPr="00990D3B">
        <w:rPr>
          <w:rFonts w:cs="Arial"/>
          <w:b/>
          <w:szCs w:val="22"/>
        </w:rPr>
        <w:t>Handling of grievances and appeals (</w:t>
      </w:r>
      <w:r w:rsidRPr="00990D3B" w:rsidR="001C7FC0">
        <w:rPr>
          <w:rFonts w:cs="Arial"/>
          <w:b/>
          <w:szCs w:val="22"/>
        </w:rPr>
        <w:t>42 C.F.R.</w:t>
      </w:r>
      <w:r w:rsidRPr="00990D3B" w:rsidR="007854DF">
        <w:rPr>
          <w:rFonts w:cs="Arial"/>
          <w:b/>
          <w:szCs w:val="22"/>
        </w:rPr>
        <w:t xml:space="preserve"> </w:t>
      </w:r>
      <w:r w:rsidRPr="00990D3B">
        <w:rPr>
          <w:rFonts w:cs="Arial"/>
          <w:b/>
          <w:szCs w:val="22"/>
        </w:rPr>
        <w:t>438.406 and 457.1260</w:t>
      </w:r>
      <w:r w:rsidRPr="00990D3B" w:rsidR="00F57594">
        <w:rPr>
          <w:rFonts w:cs="Arial"/>
          <w:b/>
          <w:szCs w:val="22"/>
        </w:rPr>
        <w:t>(d)</w:t>
      </w:r>
      <w:r w:rsidRPr="00990D3B">
        <w:rPr>
          <w:rFonts w:cs="Arial"/>
          <w:b/>
          <w:szCs w:val="22"/>
        </w:rPr>
        <w:t>)</w:t>
      </w:r>
    </w:p>
    <w:p w:rsidR="004E5913" w:rsidRPr="00990D3B" w:rsidP="002D35CF" w14:paraId="48FFD3F3" w14:textId="77777777">
      <w:pPr>
        <w:pStyle w:val="EQRNormalSSWSquestionNUMBER"/>
        <w:numPr>
          <w:ilvl w:val="0"/>
          <w:numId w:val="169"/>
        </w:numPr>
      </w:pPr>
      <w:r w:rsidRPr="00990D3B">
        <w:rPr>
          <w:rFonts w:cs="Arial"/>
          <w:szCs w:val="22"/>
        </w:rPr>
        <w:t>What MCP department or staff members are responsible for assisting enrollees to use the organization’s complaint or grievance system, including completing forms, or taking other steps to resolve an appeal or grievance?  W</w:t>
      </w:r>
      <w:r w:rsidRPr="00990D3B">
        <w:t xml:space="preserve">hat kind of assistance </w:t>
      </w:r>
      <w:r w:rsidRPr="00990D3B">
        <w:t>is made</w:t>
      </w:r>
      <w:r w:rsidRPr="00990D3B">
        <w:t xml:space="preserve"> available to Medicaid and CHIP </w:t>
      </w:r>
      <w:r w:rsidRPr="00990D3B">
        <w:t>enrollees</w:t>
      </w:r>
      <w:r w:rsidRPr="00990D3B">
        <w:t xml:space="preserve">?  </w:t>
      </w:r>
    </w:p>
    <w:p w:rsidR="004E5913" w:rsidRPr="00990D3B" w:rsidP="00C13153" w14:paraId="1972DF48" w14:textId="77777777">
      <w:pPr>
        <w:pStyle w:val="EQRNormalSSWSquestionNUMBER"/>
        <w:rPr>
          <w:rFonts w:cs="Arial"/>
          <w:b/>
          <w:szCs w:val="22"/>
        </w:rPr>
      </w:pPr>
      <w:r w:rsidRPr="00990D3B">
        <w:t>What are th</w:t>
      </w:r>
      <w:r w:rsidRPr="00990D3B">
        <w:rPr>
          <w:rFonts w:cs="Arial"/>
          <w:szCs w:val="22"/>
        </w:rPr>
        <w:t xml:space="preserve">e qualifications and credentials of individuals who make decisions on grievances and appeals?  </w:t>
      </w:r>
    </w:p>
    <w:p w:rsidR="004E5913" w:rsidRPr="00990D3B" w:rsidP="002D35CF" w14:paraId="66EC8400" w14:textId="77777777">
      <w:pPr>
        <w:pStyle w:val="EQRNormalSSWSquestionsub"/>
        <w:numPr>
          <w:ilvl w:val="0"/>
          <w:numId w:val="149"/>
        </w:numPr>
        <w:tabs>
          <w:tab w:val="left" w:pos="-1080"/>
          <w:tab w:val="left" w:pos="-720"/>
          <w:tab w:val="left" w:pos="0"/>
        </w:tabs>
        <w:rPr>
          <w:szCs w:val="22"/>
        </w:rPr>
      </w:pPr>
      <w:r w:rsidRPr="00990D3B">
        <w:rPr>
          <w:szCs w:val="22"/>
        </w:rPr>
        <w:t>How does the MCP ensure that these</w:t>
      </w:r>
      <w:r w:rsidRPr="00990D3B">
        <w:rPr>
          <w:b/>
          <w:szCs w:val="22"/>
        </w:rPr>
        <w:t xml:space="preserve"> </w:t>
      </w:r>
      <w:r w:rsidRPr="00990D3B">
        <w:rPr>
          <w:szCs w:val="22"/>
        </w:rPr>
        <w:t>individuals have not been involved in any previous level of review or decision-making?</w:t>
      </w:r>
    </w:p>
    <w:p w:rsidR="004E5913" w:rsidRPr="00990D3B" w:rsidP="002D35CF" w14:paraId="1A90F2B5" w14:textId="072A3F71">
      <w:pPr>
        <w:pStyle w:val="EQRNormalSSWSquestionsub"/>
        <w:numPr>
          <w:ilvl w:val="0"/>
          <w:numId w:val="149"/>
        </w:numPr>
        <w:tabs>
          <w:tab w:val="left" w:pos="-1080"/>
          <w:tab w:val="left" w:pos="-720"/>
          <w:tab w:val="left" w:pos="0"/>
        </w:tabs>
        <w:rPr>
          <w:szCs w:val="22"/>
        </w:rPr>
      </w:pPr>
      <w:r w:rsidRPr="00990D3B">
        <w:rPr>
          <w:szCs w:val="22"/>
        </w:rPr>
        <w:t>How does the MCP ensure that these</w:t>
      </w:r>
      <w:r w:rsidRPr="00990D3B">
        <w:rPr>
          <w:b/>
          <w:szCs w:val="22"/>
        </w:rPr>
        <w:t xml:space="preserve"> </w:t>
      </w:r>
      <w:r w:rsidRPr="00990D3B">
        <w:rPr>
          <w:szCs w:val="22"/>
        </w:rPr>
        <w:t xml:space="preserve">individuals have the appropriate clinical expertise in treating the enrollee’s condition or disease, if </w:t>
      </w:r>
      <w:r w:rsidRPr="00990D3B">
        <w:rPr>
          <w:szCs w:val="22"/>
        </w:rPr>
        <w:t>deciding</w:t>
      </w:r>
      <w:r w:rsidRPr="00990D3B">
        <w:rPr>
          <w:szCs w:val="22"/>
        </w:rPr>
        <w:t xml:space="preserve"> any of the following:</w:t>
      </w:r>
    </w:p>
    <w:p w:rsidR="004E5913" w:rsidRPr="00990D3B" w:rsidP="002D35CF" w14:paraId="45BBC326" w14:textId="77777777">
      <w:pPr>
        <w:pStyle w:val="EQRNormalWSquestionsub2"/>
        <w:numPr>
          <w:ilvl w:val="0"/>
          <w:numId w:val="230"/>
        </w:numPr>
      </w:pPr>
      <w:r w:rsidRPr="00990D3B">
        <w:t xml:space="preserve">An appeal </w:t>
      </w:r>
      <w:r w:rsidRPr="00990D3B">
        <w:t>of</w:t>
      </w:r>
      <w:r w:rsidRPr="00990D3B">
        <w:t xml:space="preserve"> a denial that is based on lack of medical necessity</w:t>
      </w:r>
    </w:p>
    <w:p w:rsidR="004E5913" w:rsidRPr="00990D3B" w:rsidP="00CA255D" w14:paraId="4F3A67E3" w14:textId="77777777">
      <w:pPr>
        <w:pStyle w:val="EQRNormalWSquestionsub2"/>
      </w:pPr>
      <w:r w:rsidRPr="00990D3B">
        <w:t>A grievance regarding denial of expedited resolution of an appeal</w:t>
      </w:r>
    </w:p>
    <w:p w:rsidR="004E5913" w:rsidRPr="00990D3B" w:rsidP="00CA255D" w14:paraId="0EB05C90" w14:textId="77777777">
      <w:pPr>
        <w:pStyle w:val="EQRNormalWSquestionsub2"/>
      </w:pPr>
      <w:r w:rsidRPr="00990D3B">
        <w:t>A grievance or appeal that involves clinical issues</w:t>
      </w:r>
    </w:p>
    <w:p w:rsidR="004E5913" w:rsidRPr="00990D3B" w:rsidP="002D35CF" w14:paraId="1EDBC5C6" w14:textId="77777777">
      <w:pPr>
        <w:pStyle w:val="EQRNormalSSWSquestionNUMBER"/>
        <w:numPr>
          <w:ilvl w:val="0"/>
          <w:numId w:val="170"/>
        </w:numPr>
      </w:pPr>
      <w:r w:rsidRPr="00990D3B">
        <w:rPr>
          <w:rFonts w:cs="Arial"/>
          <w:szCs w:val="22"/>
        </w:rPr>
        <w:t xml:space="preserve">How does your </w:t>
      </w:r>
      <w:r w:rsidRPr="00990D3B">
        <w:t xml:space="preserve">MCP treat oral requests by Medicaid and CHIP </w:t>
      </w:r>
      <w:r w:rsidRPr="00990D3B">
        <w:t>enrollees</w:t>
      </w:r>
      <w:r w:rsidRPr="00990D3B">
        <w:t xml:space="preserve"> to appeal actions? </w:t>
      </w:r>
    </w:p>
    <w:p w:rsidR="004E5913" w:rsidRPr="00990D3B" w:rsidP="002D35CF" w14:paraId="703EFF04" w14:textId="77777777">
      <w:pPr>
        <w:pStyle w:val="EQRNormalSSWSquestionNUMBER"/>
        <w:numPr>
          <w:ilvl w:val="0"/>
          <w:numId w:val="170"/>
        </w:numPr>
        <w:rPr>
          <w:rFonts w:cs="Arial"/>
          <w:szCs w:val="22"/>
        </w:rPr>
      </w:pPr>
      <w:r w:rsidRPr="00990D3B">
        <w:t>As part of an</w:t>
      </w:r>
      <w:r w:rsidRPr="00990D3B">
        <w:rPr>
          <w:rFonts w:cs="Arial"/>
          <w:szCs w:val="22"/>
        </w:rPr>
        <w:t xml:space="preserve"> appeal, to what extent do enrollees and their representatives have an opportunity to:</w:t>
      </w:r>
    </w:p>
    <w:p w:rsidR="004E5913" w:rsidRPr="00990D3B" w:rsidP="002D35CF" w14:paraId="3BCA1E3C" w14:textId="77777777">
      <w:pPr>
        <w:pStyle w:val="EQRNormalSSWSquestionsub"/>
        <w:numPr>
          <w:ilvl w:val="0"/>
          <w:numId w:val="150"/>
        </w:numPr>
        <w:tabs>
          <w:tab w:val="left" w:pos="-1080"/>
          <w:tab w:val="left" w:pos="-720"/>
          <w:tab w:val="left" w:pos="0"/>
          <w:tab w:val="left" w:pos="360"/>
          <w:tab w:val="left" w:pos="720"/>
          <w:tab w:val="left" w:pos="1080"/>
        </w:tabs>
        <w:spacing w:before="0" w:after="240"/>
        <w:rPr>
          <w:szCs w:val="22"/>
        </w:rPr>
      </w:pPr>
      <w:r w:rsidRPr="00990D3B">
        <w:rPr>
          <w:szCs w:val="22"/>
        </w:rPr>
        <w:t xml:space="preserve">Present evidence, and </w:t>
      </w:r>
    </w:p>
    <w:p w:rsidR="004E5913" w:rsidRPr="00990D3B" w:rsidP="002D35CF" w14:paraId="53F6BF49" w14:textId="77777777">
      <w:pPr>
        <w:pStyle w:val="EQRNormalSSWSquestionsub"/>
        <w:numPr>
          <w:ilvl w:val="0"/>
          <w:numId w:val="150"/>
        </w:numPr>
        <w:tabs>
          <w:tab w:val="left" w:pos="-1080"/>
          <w:tab w:val="left" w:pos="-720"/>
          <w:tab w:val="left" w:pos="0"/>
          <w:tab w:val="left" w:pos="360"/>
          <w:tab w:val="left" w:pos="720"/>
          <w:tab w:val="left" w:pos="1080"/>
        </w:tabs>
        <w:spacing w:before="0" w:after="240"/>
        <w:rPr>
          <w:szCs w:val="22"/>
        </w:rPr>
      </w:pPr>
      <w:r w:rsidRPr="00990D3B">
        <w:rPr>
          <w:szCs w:val="22"/>
        </w:rPr>
        <w:t>Examine the enrollee’s case file, including medical records, and any other documents and records considered during the appeals process</w:t>
      </w:r>
    </w:p>
    <w:p w:rsidR="004E5913" w:rsidRPr="00990D3B" w:rsidP="00980FA3" w14:paraId="3C15250B" w14:textId="542EE429">
      <w:pPr>
        <w:pStyle w:val="EQRNormalSSWORKSHEET"/>
        <w:keepNext/>
        <w:rPr>
          <w:rFonts w:cs="Arial"/>
          <w:b/>
          <w:szCs w:val="22"/>
        </w:rPr>
      </w:pPr>
      <w:r w:rsidRPr="00990D3B">
        <w:rPr>
          <w:rFonts w:cs="Arial"/>
          <w:b/>
          <w:szCs w:val="22"/>
        </w:rPr>
        <w:t xml:space="preserve">Resolution and notification: </w:t>
      </w:r>
      <w:r w:rsidRPr="00990D3B" w:rsidR="002A58B8">
        <w:rPr>
          <w:rFonts w:cs="Arial"/>
          <w:b/>
          <w:szCs w:val="22"/>
        </w:rPr>
        <w:t>g</w:t>
      </w:r>
      <w:r w:rsidRPr="00990D3B">
        <w:rPr>
          <w:rFonts w:cs="Arial"/>
          <w:b/>
          <w:szCs w:val="22"/>
        </w:rPr>
        <w:t>rievances and appeals (</w:t>
      </w:r>
      <w:r w:rsidRPr="00990D3B" w:rsidR="001C7FC0">
        <w:rPr>
          <w:rFonts w:cs="Arial"/>
          <w:b/>
          <w:szCs w:val="22"/>
        </w:rPr>
        <w:t>42 C.F.R.</w:t>
      </w:r>
      <w:r w:rsidRPr="00990D3B" w:rsidR="007854DF">
        <w:rPr>
          <w:rFonts w:cs="Arial"/>
          <w:b/>
          <w:szCs w:val="22"/>
        </w:rPr>
        <w:t xml:space="preserve"> </w:t>
      </w:r>
      <w:r w:rsidRPr="00990D3B">
        <w:rPr>
          <w:rFonts w:cs="Arial"/>
          <w:b/>
          <w:szCs w:val="22"/>
        </w:rPr>
        <w:t>438.408 and 457.1260</w:t>
      </w:r>
      <w:r w:rsidRPr="00990D3B" w:rsidR="00F57594">
        <w:rPr>
          <w:rFonts w:cs="Arial"/>
          <w:b/>
          <w:szCs w:val="22"/>
        </w:rPr>
        <w:t>(e)</w:t>
      </w:r>
      <w:r w:rsidRPr="00990D3B">
        <w:rPr>
          <w:rFonts w:cs="Arial"/>
          <w:b/>
          <w:szCs w:val="22"/>
        </w:rPr>
        <w:t>)</w:t>
      </w:r>
    </w:p>
    <w:p w:rsidR="004E5913" w:rsidRPr="00990D3B" w:rsidP="002D35CF" w14:paraId="123AE274" w14:textId="77777777">
      <w:pPr>
        <w:pStyle w:val="EQRNormalSSWSquestionNUMBER"/>
        <w:numPr>
          <w:ilvl w:val="0"/>
          <w:numId w:val="171"/>
        </w:numPr>
      </w:pPr>
      <w:r w:rsidRPr="00990D3B">
        <w:rPr>
          <w:rFonts w:cs="Arial"/>
          <w:szCs w:val="22"/>
        </w:rPr>
        <w:t>Please desc</w:t>
      </w:r>
      <w:r w:rsidRPr="00990D3B">
        <w:t xml:space="preserve">ribe the MCP’s grievance resolution process. </w:t>
      </w:r>
    </w:p>
    <w:p w:rsidR="004E5913" w:rsidRPr="00990D3B" w:rsidP="00C13153" w14:paraId="780E2C3E" w14:textId="77777777">
      <w:pPr>
        <w:pStyle w:val="EQRNormalSSWSquestionNUMBER"/>
      </w:pPr>
      <w:r w:rsidRPr="00990D3B">
        <w:t xml:space="preserve">Please describe the MCP’s appeal resolution process. </w:t>
      </w:r>
    </w:p>
    <w:p w:rsidR="004E5913" w:rsidRPr="00990D3B" w:rsidP="00C13153" w14:paraId="52C437E4" w14:textId="77777777">
      <w:pPr>
        <w:pStyle w:val="EQRNormalSSWSquestionNUMBER"/>
      </w:pPr>
      <w:r w:rsidRPr="00990D3B">
        <w:t>How is it determined that an enrollee’s appeal requires expedited resolution?</w:t>
      </w:r>
    </w:p>
    <w:p w:rsidR="004E5913" w:rsidRPr="00990D3B" w:rsidP="00C13153" w14:paraId="4CA0F8EC" w14:textId="3634458D">
      <w:pPr>
        <w:pStyle w:val="EQRNormalSSWSquestionNUMBER"/>
        <w:rPr>
          <w:rFonts w:cs="Arial"/>
          <w:b/>
          <w:szCs w:val="22"/>
        </w:rPr>
      </w:pPr>
      <w:r w:rsidRPr="00990D3B">
        <w:t xml:space="preserve">What </w:t>
      </w:r>
      <w:r w:rsidRPr="00990D3B">
        <w:t>percent</w:t>
      </w:r>
      <w:r w:rsidRPr="00990D3B">
        <w:t xml:space="preserve"> of appeal resolutions that are completely or partially adverse to Medicaid and CHIP </w:t>
      </w:r>
      <w:r w:rsidRPr="00990D3B">
        <w:t>enrollees</w:t>
      </w:r>
      <w:r w:rsidRPr="00990D3B">
        <w:t xml:space="preserve"> </w:t>
      </w:r>
      <w:r w:rsidRPr="00990D3B">
        <w:t>are appeale</w:t>
      </w:r>
      <w:r w:rsidRPr="00990D3B">
        <w:rPr>
          <w:rFonts w:cs="Arial"/>
          <w:szCs w:val="22"/>
        </w:rPr>
        <w:t>d</w:t>
      </w:r>
      <w:r w:rsidRPr="00990D3B">
        <w:rPr>
          <w:rFonts w:cs="Arial"/>
          <w:szCs w:val="22"/>
        </w:rPr>
        <w:t xml:space="preserve"> to the state fair hearing process or review?  Of these, what </w:t>
      </w:r>
      <w:r w:rsidRPr="00990D3B">
        <w:rPr>
          <w:rFonts w:cs="Arial"/>
          <w:szCs w:val="22"/>
        </w:rPr>
        <w:t>percent</w:t>
      </w:r>
      <w:r w:rsidRPr="00990D3B">
        <w:rPr>
          <w:rFonts w:cs="Arial"/>
          <w:szCs w:val="22"/>
        </w:rPr>
        <w:t xml:space="preserve"> are overturned by the state Medicaid and CHIP </w:t>
      </w:r>
      <w:r w:rsidRPr="00990D3B" w:rsidR="00364658">
        <w:rPr>
          <w:rFonts w:cs="Arial"/>
          <w:szCs w:val="22"/>
        </w:rPr>
        <w:t>program</w:t>
      </w:r>
      <w:r w:rsidRPr="00990D3B">
        <w:rPr>
          <w:rFonts w:cs="Arial"/>
          <w:szCs w:val="22"/>
        </w:rPr>
        <w:t>?</w:t>
      </w:r>
    </w:p>
    <w:p w:rsidR="004E5913" w:rsidRPr="00990D3B" w:rsidP="00980FA3" w14:paraId="567A606E" w14:textId="41843D70">
      <w:pPr>
        <w:pStyle w:val="EQRNormalSSWORKSHEET"/>
        <w:keepNext/>
        <w:rPr>
          <w:rFonts w:cs="Arial"/>
          <w:b/>
          <w:szCs w:val="22"/>
        </w:rPr>
      </w:pPr>
      <w:r w:rsidRPr="00990D3B">
        <w:rPr>
          <w:rFonts w:cs="Arial"/>
          <w:b/>
          <w:szCs w:val="22"/>
        </w:rPr>
        <w:t>Expedited resolution of appeals (</w:t>
      </w:r>
      <w:r w:rsidRPr="00990D3B" w:rsidR="001C7FC0">
        <w:rPr>
          <w:rFonts w:cs="Arial"/>
          <w:b/>
          <w:szCs w:val="22"/>
        </w:rPr>
        <w:t>42 C.F.R.</w:t>
      </w:r>
      <w:r w:rsidRPr="00990D3B" w:rsidR="007854DF">
        <w:rPr>
          <w:rFonts w:cs="Arial"/>
          <w:b/>
          <w:szCs w:val="22"/>
        </w:rPr>
        <w:t xml:space="preserve"> </w:t>
      </w:r>
      <w:r w:rsidRPr="00990D3B">
        <w:rPr>
          <w:rFonts w:cs="Arial"/>
          <w:b/>
          <w:szCs w:val="22"/>
        </w:rPr>
        <w:t>438.410 and 457.1260</w:t>
      </w:r>
      <w:r w:rsidRPr="00990D3B" w:rsidR="00F57594">
        <w:rPr>
          <w:rFonts w:cs="Arial"/>
          <w:b/>
          <w:szCs w:val="22"/>
        </w:rPr>
        <w:t>(f)</w:t>
      </w:r>
      <w:r w:rsidRPr="00990D3B">
        <w:rPr>
          <w:rFonts w:cs="Arial"/>
          <w:b/>
          <w:szCs w:val="22"/>
        </w:rPr>
        <w:t>)</w:t>
      </w:r>
    </w:p>
    <w:p w:rsidR="004E5913" w:rsidRPr="00990D3B" w:rsidP="002D35CF" w14:paraId="2FD24EFA" w14:textId="77777777">
      <w:pPr>
        <w:pStyle w:val="EQRNormalSSWSquestionNUMBER"/>
        <w:numPr>
          <w:ilvl w:val="0"/>
          <w:numId w:val="172"/>
        </w:numPr>
        <w:rPr>
          <w:rFonts w:cs="Arial"/>
          <w:b/>
          <w:szCs w:val="22"/>
        </w:rPr>
      </w:pPr>
      <w:r w:rsidRPr="00990D3B">
        <w:rPr>
          <w:rFonts w:cs="Arial"/>
          <w:szCs w:val="22"/>
        </w:rPr>
        <w:t xml:space="preserve">Is there a process in place for those instances when an enrollee’s health condition requires expedited resolution of an appeal? If yes, please </w:t>
      </w:r>
      <w:r w:rsidRPr="00990D3B">
        <w:t>describe</w:t>
      </w:r>
      <w:r w:rsidRPr="00990D3B">
        <w:rPr>
          <w:rFonts w:cs="Arial"/>
          <w:szCs w:val="22"/>
        </w:rPr>
        <w:t xml:space="preserve"> this process.  </w:t>
      </w:r>
    </w:p>
    <w:p w:rsidR="004E5913" w:rsidRPr="00990D3B" w:rsidP="002D35CF" w14:paraId="322C9FB1" w14:textId="77777777">
      <w:pPr>
        <w:pStyle w:val="EQRNormalSSWSquestionsub"/>
        <w:numPr>
          <w:ilvl w:val="0"/>
          <w:numId w:val="151"/>
        </w:numPr>
        <w:tabs>
          <w:tab w:val="left" w:pos="-1080"/>
          <w:tab w:val="left" w:pos="-720"/>
          <w:tab w:val="left" w:pos="0"/>
          <w:tab w:val="left" w:pos="360"/>
          <w:tab w:val="left" w:pos="720"/>
          <w:tab w:val="left" w:pos="1080"/>
        </w:tabs>
        <w:spacing w:before="0" w:after="240"/>
        <w:rPr>
          <w:b/>
          <w:szCs w:val="22"/>
        </w:rPr>
      </w:pPr>
      <w:r w:rsidRPr="00990D3B">
        <w:rPr>
          <w:szCs w:val="22"/>
        </w:rPr>
        <w:t>What are the time frames defined for this process?</w:t>
      </w:r>
    </w:p>
    <w:p w:rsidR="004E5913" w:rsidRPr="00990D3B" w:rsidP="00C13153" w14:paraId="74F71F17" w14:textId="77777777">
      <w:pPr>
        <w:pStyle w:val="EQRNormalSSWSquestionNUMBER"/>
      </w:pPr>
      <w:r w:rsidRPr="00990D3B">
        <w:rPr>
          <w:rFonts w:cs="Arial"/>
          <w:szCs w:val="22"/>
        </w:rPr>
        <w:t>How does the MCP</w:t>
      </w:r>
      <w:r w:rsidRPr="00990D3B">
        <w:t xml:space="preserve"> notify enrollees of any denials of a request for expedited resolution?</w:t>
      </w:r>
    </w:p>
    <w:p w:rsidR="004E5913" w:rsidRPr="00990D3B" w:rsidP="00C13153" w14:paraId="4770B4BC" w14:textId="5225A336">
      <w:pPr>
        <w:pStyle w:val="EQRNormalSSWSquestionNUMBER"/>
        <w:rPr>
          <w:rFonts w:cs="Arial"/>
          <w:b/>
          <w:szCs w:val="22"/>
        </w:rPr>
      </w:pPr>
      <w:r w:rsidRPr="00990D3B">
        <w:t>Have there been any complaints by Medicaid and CHIP enrollees that their requests for expedited appeals have not been acted upon timely (e.g., within three working days). If yes, how many such complaints were received in the year un</w:t>
      </w:r>
      <w:r w:rsidRPr="00990D3B">
        <w:rPr>
          <w:rFonts w:cs="Arial"/>
          <w:szCs w:val="22"/>
        </w:rPr>
        <w:t>der review?</w:t>
      </w:r>
    </w:p>
    <w:p w:rsidR="004E5913" w:rsidRPr="00990D3B" w:rsidP="00980FA3" w14:paraId="49D2620B" w14:textId="4CDC1D6F">
      <w:pPr>
        <w:pStyle w:val="EQRNormalSSWORKSHEET"/>
        <w:keepNext/>
        <w:rPr>
          <w:rFonts w:cs="Arial"/>
          <w:b/>
          <w:szCs w:val="22"/>
        </w:rPr>
      </w:pPr>
      <w:r w:rsidRPr="00990D3B">
        <w:rPr>
          <w:rFonts w:cs="Arial"/>
          <w:b/>
          <w:szCs w:val="22"/>
        </w:rPr>
        <w:t>Record keeping and reporting requirements (</w:t>
      </w:r>
      <w:r w:rsidRPr="00990D3B" w:rsidR="001C7FC0">
        <w:rPr>
          <w:rFonts w:cs="Arial"/>
          <w:b/>
          <w:szCs w:val="22"/>
        </w:rPr>
        <w:t>42 C.F.R.</w:t>
      </w:r>
      <w:r w:rsidRPr="00990D3B" w:rsidR="007854DF">
        <w:rPr>
          <w:rFonts w:cs="Arial"/>
          <w:b/>
          <w:szCs w:val="22"/>
        </w:rPr>
        <w:t xml:space="preserve"> </w:t>
      </w:r>
      <w:r w:rsidRPr="00990D3B">
        <w:rPr>
          <w:rFonts w:cs="Arial"/>
          <w:b/>
          <w:szCs w:val="22"/>
        </w:rPr>
        <w:t>438.416 and 457.1260</w:t>
      </w:r>
      <w:r w:rsidRPr="00990D3B" w:rsidR="003530FF">
        <w:rPr>
          <w:rFonts w:cs="Arial"/>
          <w:b/>
          <w:szCs w:val="22"/>
        </w:rPr>
        <w:t>(h)</w:t>
      </w:r>
      <w:r w:rsidRPr="00990D3B">
        <w:rPr>
          <w:rFonts w:cs="Arial"/>
          <w:b/>
          <w:szCs w:val="22"/>
        </w:rPr>
        <w:t>)</w:t>
      </w:r>
    </w:p>
    <w:p w:rsidR="004E5913" w:rsidRPr="00990D3B" w:rsidP="002D35CF" w14:paraId="2708205B" w14:textId="77777777">
      <w:pPr>
        <w:pStyle w:val="EQRNormalSSWSquestionNUMBER"/>
        <w:numPr>
          <w:ilvl w:val="0"/>
          <w:numId w:val="173"/>
        </w:numPr>
      </w:pPr>
      <w:r w:rsidRPr="00990D3B">
        <w:rPr>
          <w:rFonts w:cs="Arial"/>
          <w:szCs w:val="22"/>
        </w:rPr>
        <w:t xml:space="preserve">How are Medicaid and CHIP grievances and appeals registered and tracked for resolution?  Is each grievance and appeal </w:t>
      </w:r>
      <w:r w:rsidRPr="00990D3B">
        <w:t>tracked through to resolution?</w:t>
      </w:r>
    </w:p>
    <w:p w:rsidR="004E5913" w:rsidRPr="00990D3B" w:rsidP="00C13153" w14:paraId="7DCE0D29" w14:textId="77777777">
      <w:pPr>
        <w:pStyle w:val="EQRNormalSSWSquestionNUMBER"/>
        <w:rPr>
          <w:rFonts w:cs="Arial"/>
          <w:b/>
          <w:szCs w:val="22"/>
        </w:rPr>
      </w:pPr>
      <w:r w:rsidRPr="00990D3B">
        <w:t>How ofte</w:t>
      </w:r>
      <w:r w:rsidRPr="00990D3B">
        <w:rPr>
          <w:rFonts w:cs="Arial"/>
          <w:szCs w:val="22"/>
        </w:rPr>
        <w:t xml:space="preserve">n is Medicaid and CHIP grievance and appeal information analyzed for trends?  </w:t>
      </w:r>
    </w:p>
    <w:p w:rsidR="004E5913" w:rsidRPr="00990D3B" w:rsidP="002D35CF" w14:paraId="64DBD062" w14:textId="77777777">
      <w:pPr>
        <w:pStyle w:val="EQRNormalSSWSquestionsub"/>
        <w:numPr>
          <w:ilvl w:val="0"/>
          <w:numId w:val="152"/>
        </w:numPr>
        <w:tabs>
          <w:tab w:val="left" w:pos="-1080"/>
          <w:tab w:val="left" w:pos="-720"/>
          <w:tab w:val="left" w:pos="0"/>
          <w:tab w:val="left" w:pos="360"/>
          <w:tab w:val="left" w:pos="720"/>
          <w:tab w:val="left" w:pos="1080"/>
        </w:tabs>
        <w:spacing w:before="0" w:after="240"/>
        <w:rPr>
          <w:szCs w:val="22"/>
        </w:rPr>
      </w:pPr>
      <w:r w:rsidRPr="00990D3B">
        <w:rPr>
          <w:szCs w:val="22"/>
        </w:rPr>
        <w:t xml:space="preserve">Who receives this analysis?  </w:t>
      </w:r>
    </w:p>
    <w:p w:rsidR="004E5913" w:rsidRPr="00990D3B" w:rsidP="002D35CF" w14:paraId="5FD62E6B" w14:textId="77777777">
      <w:pPr>
        <w:pStyle w:val="EQRNormalSSWSquestionsub"/>
        <w:numPr>
          <w:ilvl w:val="0"/>
          <w:numId w:val="152"/>
        </w:numPr>
        <w:tabs>
          <w:tab w:val="left" w:pos="-1080"/>
          <w:tab w:val="left" w:pos="-720"/>
          <w:tab w:val="left" w:pos="0"/>
          <w:tab w:val="left" w:pos="360"/>
          <w:tab w:val="left" w:pos="720"/>
          <w:tab w:val="left" w:pos="1080"/>
        </w:tabs>
        <w:spacing w:before="0" w:after="240"/>
        <w:rPr>
          <w:b/>
          <w:szCs w:val="22"/>
        </w:rPr>
      </w:pPr>
      <w:r w:rsidRPr="00990D3B">
        <w:rPr>
          <w:szCs w:val="22"/>
        </w:rPr>
        <w:t>Does the MCP provide any information to the state relative to its grievances and appeals?</w:t>
      </w:r>
    </w:p>
    <w:p w:rsidR="004E5913" w:rsidRPr="00990D3B" w:rsidP="00C13153" w14:paraId="36BFB183" w14:textId="77777777">
      <w:pPr>
        <w:pStyle w:val="EQRNormalSSWSquestionNUMBER"/>
      </w:pPr>
      <w:r w:rsidRPr="00990D3B">
        <w:rPr>
          <w:rFonts w:cs="Arial"/>
          <w:szCs w:val="22"/>
        </w:rPr>
        <w:t>How long are</w:t>
      </w:r>
      <w:r w:rsidRPr="00990D3B">
        <w:t xml:space="preserve"> Medicaid and CHIP grievance and appeal records retained?</w:t>
      </w:r>
    </w:p>
    <w:p w:rsidR="004E5913" w:rsidRPr="00990D3B" w:rsidP="00C13153" w14:paraId="7309C4FB" w14:textId="0B892D16">
      <w:pPr>
        <w:pStyle w:val="EQRNormalSSWSquestionNUMBER"/>
        <w:rPr>
          <w:rFonts w:cs="Arial"/>
          <w:b/>
          <w:szCs w:val="22"/>
        </w:rPr>
      </w:pPr>
      <w:r w:rsidRPr="00990D3B">
        <w:t>To what extent is information on Medicaid and CHIP enrollee grievances and appeals analyzed and included as part of your M</w:t>
      </w:r>
      <w:r w:rsidRPr="00990D3B">
        <w:rPr>
          <w:rFonts w:cs="Arial"/>
          <w:szCs w:val="22"/>
        </w:rPr>
        <w:t xml:space="preserve">CP’s </w:t>
      </w:r>
      <w:r w:rsidRPr="00990D3B" w:rsidR="002A58B8">
        <w:rPr>
          <w:rFonts w:cs="Arial"/>
          <w:szCs w:val="22"/>
        </w:rPr>
        <w:t>QAPI</w:t>
      </w:r>
      <w:r w:rsidRPr="00990D3B">
        <w:rPr>
          <w:rFonts w:cs="Arial"/>
          <w:szCs w:val="22"/>
        </w:rPr>
        <w:t xml:space="preserve"> Program?</w:t>
      </w:r>
    </w:p>
    <w:p w:rsidR="004E5913" w:rsidRPr="00990D3B" w:rsidP="00980FA3" w14:paraId="58D6BB95" w14:textId="39C98D57">
      <w:pPr>
        <w:pStyle w:val="EQRNormalSSWORKSHEET"/>
        <w:keepNext/>
        <w:rPr>
          <w:rFonts w:cs="Arial"/>
          <w:b/>
          <w:szCs w:val="22"/>
        </w:rPr>
      </w:pPr>
      <w:r w:rsidRPr="00990D3B">
        <w:rPr>
          <w:rFonts w:cs="Arial"/>
          <w:b/>
          <w:szCs w:val="22"/>
        </w:rPr>
        <w:t>Continuation of benefits while the MCP or PIHP appeal and the state fair hearing are pending (</w:t>
      </w:r>
      <w:r w:rsidRPr="00990D3B" w:rsidR="001C7FC0">
        <w:rPr>
          <w:rFonts w:cs="Arial"/>
          <w:b/>
          <w:szCs w:val="22"/>
        </w:rPr>
        <w:t>42 C.F.R.</w:t>
      </w:r>
      <w:r w:rsidRPr="00990D3B" w:rsidR="007854DF">
        <w:rPr>
          <w:rFonts w:cs="Arial"/>
          <w:b/>
          <w:szCs w:val="22"/>
        </w:rPr>
        <w:t xml:space="preserve"> </w:t>
      </w:r>
      <w:r w:rsidRPr="00990D3B">
        <w:rPr>
          <w:rFonts w:cs="Arial"/>
          <w:b/>
          <w:szCs w:val="22"/>
        </w:rPr>
        <w:t>438.420)</w:t>
      </w:r>
    </w:p>
    <w:p w:rsidR="004E5913" w:rsidRPr="00990D3B" w:rsidP="002D35CF" w14:paraId="40E71A45" w14:textId="77777777">
      <w:pPr>
        <w:pStyle w:val="EQRNormalSSWSquestionNUMBER"/>
        <w:numPr>
          <w:ilvl w:val="0"/>
          <w:numId w:val="174"/>
        </w:numPr>
        <w:rPr>
          <w:rFonts w:cs="Arial"/>
          <w:b/>
          <w:szCs w:val="22"/>
        </w:rPr>
      </w:pPr>
      <w:r w:rsidRPr="00990D3B">
        <w:rPr>
          <w:rFonts w:cs="Arial"/>
          <w:szCs w:val="22"/>
        </w:rPr>
        <w:t xml:space="preserve">What happens to enrollee benefits once continuation of benefits has been denied by the MCP, and an appeal has been filed by the enrollee or the treating physician?  </w:t>
      </w:r>
    </w:p>
    <w:p w:rsidR="004E5913" w:rsidRPr="00990D3B" w:rsidP="002D35CF" w14:paraId="32FF4538" w14:textId="665E4AFA">
      <w:pPr>
        <w:pStyle w:val="EQRNormalSSWSquestionsub"/>
        <w:numPr>
          <w:ilvl w:val="0"/>
          <w:numId w:val="153"/>
        </w:numPr>
        <w:tabs>
          <w:tab w:val="left" w:pos="-1080"/>
          <w:tab w:val="left" w:pos="-720"/>
          <w:tab w:val="left" w:pos="0"/>
          <w:tab w:val="left" w:pos="360"/>
          <w:tab w:val="left" w:pos="720"/>
          <w:tab w:val="left" w:pos="1080"/>
        </w:tabs>
        <w:spacing w:before="0" w:after="240"/>
        <w:rPr>
          <w:b/>
          <w:color w:val="006981"/>
        </w:rPr>
      </w:pPr>
      <w:r w:rsidRPr="00990D3B">
        <w:rPr>
          <w:szCs w:val="22"/>
        </w:rPr>
        <w:t>Are there any mechanisms in place to continue the benefits pending the outcome of the appeal?  If yes, under what circumstances?</w:t>
      </w:r>
      <w:bookmarkStart w:id="427" w:name="_Utilization_Management_Staff"/>
      <w:bookmarkEnd w:id="427"/>
      <w:r w:rsidRPr="00990D3B">
        <w:br w:type="page"/>
      </w:r>
    </w:p>
    <w:p w:rsidR="004E5913" w:rsidRPr="00990D3B" w:rsidP="002B40CC" w14:paraId="060F53C2" w14:textId="77777777">
      <w:pPr>
        <w:pStyle w:val="H2EQRWorksheet"/>
      </w:pPr>
      <w:r w:rsidRPr="00990D3B">
        <w:t>Utilization Management Staff Interview</w:t>
      </w:r>
    </w:p>
    <w:p w:rsidR="004E5913" w:rsidRPr="00990D3B" w:rsidP="00BD1FC3" w14:paraId="150CE7DC" w14:textId="77777777">
      <w:pPr>
        <w:pStyle w:val="EQRNormalSSWORKSHEET"/>
      </w:pPr>
      <w:r w:rsidRPr="00990D3B">
        <w:rPr>
          <w:b/>
        </w:rPr>
        <w:t>Instructions.</w:t>
      </w:r>
      <w:r w:rsidRPr="00990D3B">
        <w:t xml:space="preserve"> MCP interview participants should include the Medical Director, utilization management directors or managers, utilization management review staff, case managers or care coordinators, and any other individuals who have information pertinent to these regulatory provisions. [Note: This interview can be combined with the Medical Director interview or the Care Coordinators and Case Managers interview.]</w:t>
      </w:r>
    </w:p>
    <w:p w:rsidR="004E5913" w:rsidRPr="00990D3B" w:rsidP="00BD1FC3" w14:paraId="2B27A71C" w14:textId="77777777">
      <w:pPr>
        <w:pStyle w:val="EQRNormalSSWORKSHEET"/>
      </w:pPr>
      <w:r w:rsidRPr="00990D3B">
        <w:t xml:space="preserve">The utilization management interview provides an opportunity to discuss with the MCP staff responsible for tracking and managing the utilization of MCP services. Through these interviews, the reviewer(s) will assess delivery network, service authorization; the use of practice </w:t>
      </w:r>
      <w:r w:rsidRPr="00990D3B">
        <w:t>guidelines, and</w:t>
      </w:r>
      <w:r w:rsidRPr="00990D3B">
        <w:t xml:space="preserve"> grievances and appeals; and management of resources across all MCP network provider sites where </w:t>
      </w:r>
      <w:r w:rsidRPr="00990D3B">
        <w:t>enrollees</w:t>
      </w:r>
      <w:r w:rsidRPr="00990D3B">
        <w:t xml:space="preserve"> receive health care.  </w:t>
      </w:r>
    </w:p>
    <w:p w:rsidR="004E5913" w:rsidRPr="00990D3B" w:rsidP="00DF5781" w14:paraId="2B429BE3" w14:textId="2B39AB75">
      <w:pPr>
        <w:pStyle w:val="EQRNormalSSWORKSHEET"/>
        <w:keepNext/>
        <w:rPr>
          <w:rFonts w:cs="Arial"/>
          <w:b/>
          <w:szCs w:val="22"/>
        </w:rPr>
      </w:pPr>
      <w:r w:rsidRPr="00990D3B">
        <w:rPr>
          <w:rFonts w:cs="Arial"/>
          <w:b/>
          <w:szCs w:val="22"/>
        </w:rPr>
        <w:t>Availability of services (</w:t>
      </w:r>
      <w:r w:rsidRPr="00990D3B" w:rsidR="001C7FC0">
        <w:rPr>
          <w:rFonts w:cs="Arial"/>
          <w:b/>
          <w:szCs w:val="22"/>
        </w:rPr>
        <w:t>42 C.F.R.</w:t>
      </w:r>
      <w:r w:rsidRPr="00990D3B" w:rsidR="007854DF">
        <w:rPr>
          <w:rFonts w:cs="Arial"/>
          <w:b/>
          <w:szCs w:val="22"/>
        </w:rPr>
        <w:t xml:space="preserve"> </w:t>
      </w:r>
      <w:r w:rsidRPr="00990D3B">
        <w:rPr>
          <w:rFonts w:cs="Arial"/>
          <w:b/>
          <w:szCs w:val="22"/>
        </w:rPr>
        <w:t>438.206)</w:t>
      </w:r>
    </w:p>
    <w:p w:rsidR="004E5913" w:rsidRPr="00990D3B" w:rsidP="002D35CF" w14:paraId="35632E94" w14:textId="77777777">
      <w:pPr>
        <w:pStyle w:val="EQRNormalSSWSquestionNUMBER"/>
        <w:numPr>
          <w:ilvl w:val="0"/>
          <w:numId w:val="139"/>
        </w:numPr>
      </w:pPr>
      <w:r w:rsidRPr="00990D3B">
        <w:t>How frequently does the MCP evaluate the volume and enrollee access to LTSS services? What factors are used in evaluation of the LTSS network?</w:t>
      </w:r>
    </w:p>
    <w:p w:rsidR="004E5913" w:rsidRPr="00990D3B" w:rsidP="002D35CF" w14:paraId="38FEB8CF" w14:textId="77777777">
      <w:pPr>
        <w:pStyle w:val="EQRNormalSSWSquestionsub"/>
        <w:numPr>
          <w:ilvl w:val="0"/>
          <w:numId w:val="176"/>
        </w:numPr>
        <w:tabs>
          <w:tab w:val="left" w:pos="-1080"/>
          <w:tab w:val="left" w:pos="-720"/>
          <w:tab w:val="left" w:pos="0"/>
          <w:tab w:val="left" w:pos="360"/>
          <w:tab w:val="left" w:pos="720"/>
          <w:tab w:val="left" w:pos="1080"/>
        </w:tabs>
        <w:spacing w:before="0" w:after="240"/>
        <w:rPr>
          <w:szCs w:val="22"/>
        </w:rPr>
      </w:pPr>
      <w:r w:rsidRPr="00990D3B">
        <w:rPr>
          <w:szCs w:val="22"/>
        </w:rPr>
        <w:t xml:space="preserve">How does the MCP evaluate the expected utilization of institutional care in comparison with use of home and </w:t>
      </w:r>
      <w:r w:rsidRPr="00990D3B">
        <w:rPr>
          <w:szCs w:val="22"/>
        </w:rPr>
        <w:t>community based</w:t>
      </w:r>
      <w:r w:rsidRPr="00990D3B">
        <w:rPr>
          <w:szCs w:val="22"/>
        </w:rPr>
        <w:t xml:space="preserve"> services (HCBS) as an alternative? </w:t>
      </w:r>
    </w:p>
    <w:p w:rsidR="004E5913" w:rsidRPr="00990D3B" w:rsidP="00EE74C0" w14:paraId="1F04BD42" w14:textId="77777777">
      <w:pPr>
        <w:pStyle w:val="EQRNormalSSWSquestionNUMBER"/>
        <w:rPr>
          <w:b/>
        </w:rPr>
      </w:pPr>
      <w:r w:rsidRPr="00990D3B">
        <w:t xml:space="preserve">How frequently does the MCP evaluate the volume </w:t>
      </w:r>
      <w:r w:rsidRPr="00990D3B">
        <w:t>of and</w:t>
      </w:r>
      <w:r w:rsidRPr="00990D3B">
        <w:t xml:space="preserve"> enrollee access to family plan and women’s health services? What factors are </w:t>
      </w:r>
      <w:r w:rsidRPr="00990D3B">
        <w:t>sued</w:t>
      </w:r>
      <w:r w:rsidRPr="00990D3B">
        <w:t xml:space="preserve"> to evaluate the network? </w:t>
      </w:r>
    </w:p>
    <w:p w:rsidR="004E5913" w:rsidRPr="00990D3B" w:rsidP="00EE74C0" w14:paraId="13DD6193" w14:textId="77777777">
      <w:pPr>
        <w:pStyle w:val="EQRNormalSSWSquestionNUMBER"/>
      </w:pPr>
      <w:r w:rsidRPr="00990D3B">
        <w:t>How frequently does the MCP evaluate the volume of and enrollee access to specialist health services? What factors are used to evaluate the network?</w:t>
      </w:r>
    </w:p>
    <w:p w:rsidR="004E5913" w:rsidRPr="00990D3B" w:rsidP="00EE74C0" w14:paraId="2EF4FAA7" w14:textId="77777777">
      <w:pPr>
        <w:pStyle w:val="EQRNormalSSWSquestionNUMBER"/>
      </w:pPr>
      <w:r w:rsidRPr="00990D3B">
        <w:t xml:space="preserve">How frequently does the MCP evaluate the volume </w:t>
      </w:r>
      <w:r w:rsidRPr="00990D3B">
        <w:t>of and</w:t>
      </w:r>
      <w:r w:rsidRPr="00990D3B">
        <w:t xml:space="preserve"> enrollee access to children’s dental care? What factors are used to evaluate the network?</w:t>
      </w:r>
    </w:p>
    <w:p w:rsidR="004E5913" w:rsidRPr="00990D3B" w:rsidP="00EE74C0" w14:paraId="07409FA1" w14:textId="77777777">
      <w:pPr>
        <w:pStyle w:val="EQRNormalSSWSquestionNUMBER"/>
      </w:pPr>
      <w:r w:rsidRPr="00990D3B">
        <w:t xml:space="preserve">How frequently does the MCP evaluate the volume </w:t>
      </w:r>
      <w:r w:rsidRPr="00990D3B">
        <w:t>of and</w:t>
      </w:r>
      <w:r w:rsidRPr="00990D3B">
        <w:t xml:space="preserve"> enrollee access to behavioral health services? What factors are used to evaluate the network?</w:t>
      </w:r>
    </w:p>
    <w:p w:rsidR="004E5913" w:rsidRPr="00990D3B" w:rsidP="00EE74C0" w14:paraId="5538977D" w14:textId="77777777">
      <w:pPr>
        <w:pStyle w:val="EQRNormalSSWSquestionNUMBER"/>
      </w:pPr>
      <w:r w:rsidRPr="00990D3B">
        <w:t xml:space="preserve">How frequently does the MCP evaluate the volume </w:t>
      </w:r>
      <w:r w:rsidRPr="00990D3B">
        <w:t>of and</w:t>
      </w:r>
      <w:r w:rsidRPr="00990D3B">
        <w:t xml:space="preserve"> enrollee access to family planning and women’s health services? What factors are used to evaluate the network?</w:t>
      </w:r>
    </w:p>
    <w:p w:rsidR="004E5913" w:rsidRPr="00990D3B" w:rsidP="00EE74C0" w14:paraId="7718727E" w14:textId="77777777">
      <w:pPr>
        <w:pStyle w:val="EQRNormalSSWSquestionNUMBER"/>
        <w:rPr>
          <w:b/>
        </w:rPr>
      </w:pPr>
      <w:r w:rsidRPr="00990D3B">
        <w:t xml:space="preserve">How frequently does the MCP evaluate the volume of and enrollee access to any other specific services, such as HIV and foster care services? What factors are used to evaluate the network? </w:t>
      </w:r>
    </w:p>
    <w:p w:rsidR="004E5913" w:rsidRPr="00990D3B" w:rsidP="00DF5781" w14:paraId="7FED550A" w14:textId="0E3355CB">
      <w:pPr>
        <w:pStyle w:val="EQRNormalSSWORKSHEET"/>
        <w:keepNext/>
        <w:rPr>
          <w:rFonts w:cs="Arial"/>
          <w:b/>
          <w:szCs w:val="22"/>
        </w:rPr>
      </w:pPr>
      <w:r w:rsidRPr="00990D3B">
        <w:rPr>
          <w:rFonts w:cs="Arial"/>
          <w:b/>
          <w:szCs w:val="22"/>
        </w:rPr>
        <w:t>Delivery network (</w:t>
      </w:r>
      <w:r w:rsidRPr="00990D3B" w:rsidR="001C7FC0">
        <w:rPr>
          <w:rFonts w:cs="Arial"/>
          <w:b/>
          <w:szCs w:val="22"/>
        </w:rPr>
        <w:t>42 C.F.R.</w:t>
      </w:r>
      <w:r w:rsidRPr="00990D3B" w:rsidR="007854DF">
        <w:rPr>
          <w:rFonts w:cs="Arial"/>
          <w:b/>
          <w:szCs w:val="22"/>
        </w:rPr>
        <w:t xml:space="preserve"> </w:t>
      </w:r>
      <w:r w:rsidRPr="00990D3B">
        <w:rPr>
          <w:rFonts w:cs="Arial"/>
          <w:b/>
          <w:szCs w:val="22"/>
        </w:rPr>
        <w:t>438.206(b) and 457.1230(a))</w:t>
      </w:r>
    </w:p>
    <w:p w:rsidR="004E5913" w:rsidRPr="00990D3B" w:rsidP="002D35CF" w14:paraId="4EE457D8" w14:textId="77777777">
      <w:pPr>
        <w:pStyle w:val="EQRNormalSSWSquestionNUMBER"/>
        <w:numPr>
          <w:ilvl w:val="0"/>
          <w:numId w:val="186"/>
        </w:numPr>
        <w:rPr>
          <w:b/>
        </w:rPr>
      </w:pPr>
      <w:r w:rsidRPr="00990D3B">
        <w:t xml:space="preserve">What procedures must a Medicaid and CHIP enrollee follow if he/she wishes to receive a second opinion?  </w:t>
      </w:r>
    </w:p>
    <w:p w:rsidR="004E5913" w:rsidRPr="00990D3B" w:rsidP="00935AE3" w14:paraId="290AD303" w14:textId="77777777">
      <w:pPr>
        <w:pStyle w:val="EQRNormalSSWSquestionNUMBER"/>
        <w:rPr>
          <w:b/>
        </w:rPr>
      </w:pPr>
      <w:r w:rsidRPr="00990D3B">
        <w:t xml:space="preserve">For what types of services are second opinions available? </w:t>
      </w:r>
    </w:p>
    <w:p w:rsidR="004E5913" w:rsidRPr="00990D3B" w:rsidP="00DF5781" w14:paraId="1F4DCFE4" w14:textId="58A76E06">
      <w:pPr>
        <w:pStyle w:val="EQRNormalSSWORKSHEET"/>
        <w:keepNext/>
        <w:rPr>
          <w:rFonts w:cs="Arial"/>
          <w:b/>
          <w:szCs w:val="22"/>
        </w:rPr>
      </w:pPr>
      <w:r w:rsidRPr="00990D3B">
        <w:rPr>
          <w:rFonts w:cs="Arial"/>
          <w:b/>
          <w:szCs w:val="22"/>
        </w:rPr>
        <w:t>Coverage and authorization of services (</w:t>
      </w:r>
      <w:r w:rsidRPr="00990D3B" w:rsidR="001C7FC0">
        <w:rPr>
          <w:rFonts w:cs="Arial"/>
          <w:b/>
          <w:szCs w:val="22"/>
        </w:rPr>
        <w:t>42 C.F.R.</w:t>
      </w:r>
      <w:r w:rsidRPr="00990D3B" w:rsidR="007854DF">
        <w:rPr>
          <w:rFonts w:cs="Arial"/>
          <w:b/>
          <w:szCs w:val="22"/>
        </w:rPr>
        <w:t xml:space="preserve"> </w:t>
      </w:r>
      <w:r w:rsidRPr="00990D3B">
        <w:rPr>
          <w:rFonts w:cs="Arial"/>
          <w:b/>
          <w:szCs w:val="22"/>
        </w:rPr>
        <w:t>438.210 and 457.1230(d))</w:t>
      </w:r>
    </w:p>
    <w:p w:rsidR="004E5913" w:rsidRPr="00990D3B" w:rsidP="002D35CF" w14:paraId="072D2158" w14:textId="77777777">
      <w:pPr>
        <w:pStyle w:val="EQRNormalSSWSquestionNUMBER"/>
        <w:numPr>
          <w:ilvl w:val="0"/>
          <w:numId w:val="187"/>
        </w:numPr>
      </w:pPr>
      <w:r w:rsidRPr="00990D3B">
        <w:rPr>
          <w:rFonts w:cs="Arial"/>
          <w:szCs w:val="22"/>
        </w:rPr>
        <w:t>What ty</w:t>
      </w:r>
      <w:r w:rsidRPr="00990D3B">
        <w:t>pes of services require pre-authorization?</w:t>
      </w:r>
    </w:p>
    <w:p w:rsidR="004E5913" w:rsidRPr="00990D3B" w:rsidP="002D35CF" w14:paraId="6964D354" w14:textId="77777777">
      <w:pPr>
        <w:pStyle w:val="EQRNormalSSWSquestionNUMBER"/>
        <w:numPr>
          <w:ilvl w:val="0"/>
          <w:numId w:val="139"/>
        </w:numPr>
      </w:pPr>
      <w:r w:rsidRPr="00990D3B">
        <w:t>What are the MCP’s time frames for processing standard and expedited requests for service authorization?</w:t>
      </w:r>
    </w:p>
    <w:p w:rsidR="004E5913" w:rsidRPr="00990D3B" w:rsidP="002D35CF" w14:paraId="5C0C3DB7" w14:textId="77777777">
      <w:pPr>
        <w:pStyle w:val="EQRNormalSSWSquestionNUMBER"/>
        <w:numPr>
          <w:ilvl w:val="0"/>
          <w:numId w:val="139"/>
        </w:numPr>
        <w:rPr>
          <w:rFonts w:cs="Arial"/>
          <w:b/>
          <w:szCs w:val="22"/>
        </w:rPr>
      </w:pPr>
      <w:r w:rsidRPr="00990D3B">
        <w:t>How does t</w:t>
      </w:r>
      <w:r w:rsidRPr="00990D3B">
        <w:rPr>
          <w:rFonts w:cs="Arial"/>
          <w:szCs w:val="22"/>
        </w:rPr>
        <w:t xml:space="preserve">he MCP monitor its compliance with these time frames?  </w:t>
      </w:r>
    </w:p>
    <w:p w:rsidR="004E5913" w:rsidRPr="00990D3B" w:rsidP="002D35CF" w14:paraId="5CA88D84" w14:textId="77777777">
      <w:pPr>
        <w:pStyle w:val="EQRNormalSSWSquestionsub"/>
        <w:numPr>
          <w:ilvl w:val="0"/>
          <w:numId w:val="195"/>
        </w:numPr>
        <w:tabs>
          <w:tab w:val="left" w:pos="-1080"/>
          <w:tab w:val="left" w:pos="-720"/>
          <w:tab w:val="left" w:pos="0"/>
          <w:tab w:val="left" w:pos="360"/>
          <w:tab w:val="left" w:pos="720"/>
          <w:tab w:val="left" w:pos="1080"/>
        </w:tabs>
        <w:spacing w:before="0" w:after="240"/>
        <w:rPr>
          <w:b/>
          <w:szCs w:val="22"/>
        </w:rPr>
      </w:pPr>
      <w:r w:rsidRPr="00990D3B">
        <w:rPr>
          <w:szCs w:val="22"/>
        </w:rPr>
        <w:t xml:space="preserve">What sources of documentation exist to provide evidence of </w:t>
      </w:r>
      <w:r w:rsidRPr="00990D3B">
        <w:rPr>
          <w:szCs w:val="22"/>
        </w:rPr>
        <w:t>the monitoring</w:t>
      </w:r>
      <w:r w:rsidRPr="00990D3B">
        <w:rPr>
          <w:szCs w:val="22"/>
        </w:rPr>
        <w:t xml:space="preserve"> by the MCP?</w:t>
      </w:r>
    </w:p>
    <w:p w:rsidR="004E5913" w:rsidRPr="00990D3B" w:rsidP="00935AE3" w14:paraId="4949DA58" w14:textId="77777777">
      <w:pPr>
        <w:pStyle w:val="EQRNormalSSWSquestionNUMBER"/>
        <w:rPr>
          <w:b/>
        </w:rPr>
      </w:pPr>
      <w:r w:rsidRPr="00990D3B">
        <w:t>How often and under what circumstances are requesting providers consulted when the MCP makes service authorization decisions?</w:t>
      </w:r>
    </w:p>
    <w:p w:rsidR="004E5913" w:rsidRPr="00990D3B" w:rsidP="00EE74C0" w14:paraId="314A3032" w14:textId="77777777">
      <w:pPr>
        <w:pStyle w:val="EQRNormalSSWSquestionNUMBER"/>
        <w:rPr>
          <w:b/>
        </w:rPr>
      </w:pPr>
      <w:r w:rsidRPr="00990D3B">
        <w:t>To what extent does the MCP assess the consistency of authorization decisions?  How does the MCP do this?</w:t>
      </w:r>
    </w:p>
    <w:p w:rsidR="004E5913" w:rsidRPr="00990D3B" w:rsidP="00EE74C0" w14:paraId="0627B9EC" w14:textId="77777777">
      <w:pPr>
        <w:pStyle w:val="EQRNormalSSWSquestionNUMBER"/>
        <w:rPr>
          <w:b/>
        </w:rPr>
      </w:pPr>
      <w:r w:rsidRPr="00990D3B">
        <w:t xml:space="preserve">What is the process when a decision is </w:t>
      </w:r>
      <w:r w:rsidRPr="00990D3B">
        <w:t>being made</w:t>
      </w:r>
      <w:r w:rsidRPr="00990D3B">
        <w:t xml:space="preserve"> to deny authorization for a service?  </w:t>
      </w:r>
    </w:p>
    <w:p w:rsidR="004E5913" w:rsidRPr="00990D3B" w:rsidP="002D35CF" w14:paraId="3D143859" w14:textId="77777777">
      <w:pPr>
        <w:pStyle w:val="EQRNormalSSWSquestionsub"/>
        <w:numPr>
          <w:ilvl w:val="0"/>
          <w:numId w:val="178"/>
        </w:numPr>
        <w:tabs>
          <w:tab w:val="left" w:pos="-1080"/>
          <w:tab w:val="left" w:pos="-720"/>
          <w:tab w:val="left" w:pos="0"/>
          <w:tab w:val="left" w:pos="360"/>
          <w:tab w:val="left" w:pos="720"/>
          <w:tab w:val="left" w:pos="1080"/>
        </w:tabs>
        <w:spacing w:before="0" w:after="240"/>
        <w:rPr>
          <w:b/>
          <w:szCs w:val="22"/>
        </w:rPr>
      </w:pPr>
      <w:r w:rsidRPr="00990D3B">
        <w:rPr>
          <w:szCs w:val="22"/>
        </w:rPr>
        <w:t>Who makes the decision to deny a request to authorize a service?</w:t>
      </w:r>
    </w:p>
    <w:p w:rsidR="004E5913" w:rsidRPr="00990D3B" w:rsidP="00EE74C0" w14:paraId="4BC28F37" w14:textId="77777777">
      <w:pPr>
        <w:pStyle w:val="EQRNormalSSWSquestionNUMBER"/>
        <w:rPr>
          <w:b/>
        </w:rPr>
      </w:pPr>
      <w:r w:rsidRPr="00990D3B">
        <w:t xml:space="preserve">Please describe the process for notifying the requesting provider and the enrollee of any decision to deny, limit, or discontinue authorization of services.  </w:t>
      </w:r>
    </w:p>
    <w:p w:rsidR="004E5913" w:rsidRPr="00990D3B" w:rsidP="002D35CF" w14:paraId="01FD0581" w14:textId="77777777">
      <w:pPr>
        <w:pStyle w:val="EQRNormalSSWSquestionsub"/>
        <w:numPr>
          <w:ilvl w:val="0"/>
          <w:numId w:val="179"/>
        </w:numPr>
        <w:tabs>
          <w:tab w:val="left" w:pos="-1080"/>
          <w:tab w:val="left" w:pos="-720"/>
          <w:tab w:val="left" w:pos="0"/>
          <w:tab w:val="left" w:pos="360"/>
          <w:tab w:val="left" w:pos="720"/>
          <w:tab w:val="left" w:pos="1080"/>
        </w:tabs>
        <w:spacing w:before="0" w:after="240"/>
        <w:rPr>
          <w:szCs w:val="22"/>
        </w:rPr>
      </w:pPr>
      <w:r w:rsidRPr="00990D3B">
        <w:rPr>
          <w:szCs w:val="22"/>
        </w:rPr>
        <w:t xml:space="preserve">What information is typically included in enrollee and provider notification?  </w:t>
      </w:r>
    </w:p>
    <w:p w:rsidR="004E5913" w:rsidRPr="00990D3B" w:rsidP="0002544F" w14:paraId="62C8D524" w14:textId="77777777">
      <w:pPr>
        <w:pStyle w:val="EQRNormalSSWSquestionsub"/>
        <w:tabs>
          <w:tab w:val="left" w:pos="-1080"/>
          <w:tab w:val="left" w:pos="-720"/>
          <w:tab w:val="left" w:pos="0"/>
          <w:tab w:val="left" w:pos="360"/>
          <w:tab w:val="left" w:pos="720"/>
          <w:tab w:val="left" w:pos="1080"/>
        </w:tabs>
        <w:spacing w:before="0" w:after="240"/>
        <w:rPr>
          <w:b/>
          <w:szCs w:val="22"/>
        </w:rPr>
      </w:pPr>
      <w:r w:rsidRPr="00990D3B">
        <w:rPr>
          <w:szCs w:val="22"/>
        </w:rPr>
        <w:t>What are the MCP’s time frames for notification?</w:t>
      </w:r>
    </w:p>
    <w:p w:rsidR="004E5913" w:rsidRPr="00990D3B" w:rsidP="00EE74C0" w14:paraId="4DA5B785" w14:textId="2253A1BF">
      <w:pPr>
        <w:pStyle w:val="EQRNormalSSWSquestionNUMBER"/>
        <w:rPr>
          <w:b/>
        </w:rPr>
      </w:pPr>
      <w:r w:rsidRPr="00990D3B">
        <w:t xml:space="preserve">To what extent if at all </w:t>
      </w:r>
      <w:r w:rsidRPr="00990D3B" w:rsidR="003F470E">
        <w:t>i</w:t>
      </w:r>
      <w:r w:rsidRPr="00990D3B">
        <w:t>s inappropriate use of emergency rooms by your Medicaid and CHIP enrollees a concern for your MCP?</w:t>
      </w:r>
    </w:p>
    <w:p w:rsidR="004E5913" w:rsidRPr="00990D3B" w:rsidP="00EE74C0" w14:paraId="697E5A4E" w14:textId="77777777">
      <w:pPr>
        <w:pStyle w:val="EQRNormalSSWSquestionNUMBER"/>
        <w:rPr>
          <w:b/>
        </w:rPr>
      </w:pPr>
      <w:r w:rsidRPr="00990D3B">
        <w:t>Has your MCP investigated a potential relationship between inappropriate emergency department use and enrollee access to routine and urgent care, or reviewed the most frequent diagnosis resulting in inappropriate emergency department use?</w:t>
      </w:r>
    </w:p>
    <w:p w:rsidR="004E5913" w:rsidRPr="00990D3B" w:rsidP="00EE74C0" w14:paraId="2F5B5F3E" w14:textId="77777777">
      <w:pPr>
        <w:pStyle w:val="EQRNormalSSWSquestionNUMBER"/>
        <w:rPr>
          <w:b/>
        </w:rPr>
      </w:pPr>
      <w:r w:rsidRPr="00990D3B">
        <w:t xml:space="preserve">What was the volume of </w:t>
      </w:r>
      <w:r w:rsidRPr="00990D3B">
        <w:t>denied claims</w:t>
      </w:r>
      <w:r w:rsidRPr="00990D3B">
        <w:t xml:space="preserve"> for emergency and post-stabilization services in the most recent year?</w:t>
      </w:r>
    </w:p>
    <w:p w:rsidR="004E5913" w:rsidRPr="00990D3B" w:rsidP="00EE74C0" w14:paraId="5F619F7E" w14:textId="77777777">
      <w:pPr>
        <w:pStyle w:val="EQRNormalSSWSquestionNUMBER"/>
        <w:rPr>
          <w:b/>
        </w:rPr>
      </w:pPr>
      <w:r w:rsidRPr="00990D3B">
        <w:t>Does the authorization process differ between acute and primary services and LTSS, or any other providers? If yes, how?</w:t>
      </w:r>
    </w:p>
    <w:p w:rsidR="004E5913" w:rsidRPr="00990D3B" w:rsidP="00DF5781" w14:paraId="3F309A09" w14:textId="43968B38">
      <w:pPr>
        <w:pStyle w:val="EQRNormalSSWORKSHEET"/>
        <w:keepNext/>
        <w:rPr>
          <w:rFonts w:cs="Arial"/>
          <w:b/>
          <w:szCs w:val="22"/>
        </w:rPr>
      </w:pPr>
      <w:r w:rsidRPr="00990D3B">
        <w:rPr>
          <w:rFonts w:cs="Arial"/>
          <w:b/>
          <w:szCs w:val="22"/>
        </w:rPr>
        <w:t>Grievance systems (</w:t>
      </w:r>
      <w:r w:rsidRPr="00990D3B" w:rsidR="001C7FC0">
        <w:rPr>
          <w:rFonts w:cs="Arial"/>
          <w:b/>
          <w:szCs w:val="22"/>
        </w:rPr>
        <w:t>42 C.F.R.</w:t>
      </w:r>
      <w:r w:rsidRPr="00990D3B" w:rsidR="007854DF">
        <w:rPr>
          <w:rFonts w:cs="Arial"/>
          <w:b/>
          <w:szCs w:val="22"/>
        </w:rPr>
        <w:t xml:space="preserve"> </w:t>
      </w:r>
      <w:r w:rsidRPr="00990D3B">
        <w:rPr>
          <w:rFonts w:cs="Arial"/>
          <w:b/>
          <w:szCs w:val="22"/>
        </w:rPr>
        <w:t>438.228)</w:t>
      </w:r>
    </w:p>
    <w:p w:rsidR="004E5913" w:rsidRPr="00990D3B" w:rsidP="002D35CF" w14:paraId="46922F60" w14:textId="77777777">
      <w:pPr>
        <w:pStyle w:val="EQRNormalSSWSquestionNUMBER"/>
        <w:numPr>
          <w:ilvl w:val="0"/>
          <w:numId w:val="188"/>
        </w:numPr>
      </w:pPr>
      <w:r w:rsidRPr="00990D3B">
        <w:rPr>
          <w:rFonts w:cs="Arial"/>
          <w:szCs w:val="22"/>
        </w:rPr>
        <w:t>What types of service</w:t>
      </w:r>
      <w:r w:rsidRPr="00990D3B">
        <w:t xml:space="preserve">s require pre-authorization? </w:t>
      </w:r>
    </w:p>
    <w:p w:rsidR="004E5913" w:rsidRPr="00990D3B" w:rsidP="00D76492" w14:paraId="71304320" w14:textId="77777777">
      <w:pPr>
        <w:pStyle w:val="EQRNormalSSWSquestionNUMBER"/>
        <w:rPr>
          <w:rFonts w:cs="Arial"/>
          <w:b/>
          <w:szCs w:val="22"/>
        </w:rPr>
      </w:pPr>
      <w:r w:rsidRPr="00990D3B">
        <w:t>Please describe the process for notifying the requesting provider and the enrollee of any decision to deny, limit, or discontinue author</w:t>
      </w:r>
      <w:r w:rsidRPr="00990D3B">
        <w:rPr>
          <w:rFonts w:cs="Arial"/>
          <w:szCs w:val="22"/>
        </w:rPr>
        <w:t xml:space="preserve">ization of services.  </w:t>
      </w:r>
    </w:p>
    <w:p w:rsidR="004E5913" w:rsidRPr="00990D3B" w:rsidP="002D35CF" w14:paraId="638C06E1" w14:textId="77777777">
      <w:pPr>
        <w:pStyle w:val="EQRNormalSSWSquestionsub"/>
        <w:numPr>
          <w:ilvl w:val="0"/>
          <w:numId w:val="180"/>
        </w:numPr>
        <w:tabs>
          <w:tab w:val="left" w:pos="-1080"/>
          <w:tab w:val="left" w:pos="-720"/>
          <w:tab w:val="left" w:pos="0"/>
          <w:tab w:val="left" w:pos="360"/>
          <w:tab w:val="left" w:pos="720"/>
          <w:tab w:val="left" w:pos="1080"/>
        </w:tabs>
        <w:spacing w:before="0" w:after="240"/>
        <w:rPr>
          <w:szCs w:val="22"/>
        </w:rPr>
      </w:pPr>
      <w:r w:rsidRPr="00990D3B">
        <w:rPr>
          <w:szCs w:val="22"/>
        </w:rPr>
        <w:t xml:space="preserve">What information is typically included in enrollee and provider notification?  </w:t>
      </w:r>
    </w:p>
    <w:p w:rsidR="004E5913" w:rsidRPr="00990D3B" w:rsidP="0002544F" w14:paraId="0DF0C114" w14:textId="77777777">
      <w:pPr>
        <w:pStyle w:val="EQRNormalSSWSquestionsub"/>
        <w:tabs>
          <w:tab w:val="left" w:pos="-1080"/>
          <w:tab w:val="left" w:pos="-720"/>
          <w:tab w:val="left" w:pos="0"/>
          <w:tab w:val="left" w:pos="360"/>
          <w:tab w:val="left" w:pos="720"/>
          <w:tab w:val="left" w:pos="1080"/>
        </w:tabs>
        <w:spacing w:before="0" w:after="240"/>
        <w:rPr>
          <w:b/>
          <w:szCs w:val="22"/>
        </w:rPr>
      </w:pPr>
      <w:r w:rsidRPr="00990D3B">
        <w:rPr>
          <w:szCs w:val="22"/>
        </w:rPr>
        <w:t>What are the MCP’s time frames for notification?</w:t>
      </w:r>
    </w:p>
    <w:p w:rsidR="004E5913" w:rsidRPr="00990D3B" w:rsidP="00BA7B0F" w14:paraId="682BDFD9" w14:textId="77777777">
      <w:pPr>
        <w:pStyle w:val="EQRNormalSSWSquestionNUMBER"/>
        <w:rPr>
          <w:b/>
        </w:rPr>
      </w:pPr>
      <w:r w:rsidRPr="00990D3B">
        <w:t>How does your MCP track requests for covered services that the MCP or its providers has denied?</w:t>
      </w:r>
    </w:p>
    <w:p w:rsidR="004E5913" w:rsidRPr="00990D3B" w:rsidP="00BA7B0F" w14:paraId="763781E3" w14:textId="77777777">
      <w:pPr>
        <w:pStyle w:val="EQRNormalSSWSquestionNUMBER"/>
        <w:rPr>
          <w:b/>
        </w:rPr>
      </w:pPr>
      <w:r w:rsidRPr="00990D3B">
        <w:t xml:space="preserve">What was the volume of denied </w:t>
      </w:r>
      <w:r w:rsidRPr="00990D3B">
        <w:t>request</w:t>
      </w:r>
      <w:r w:rsidRPr="00990D3B">
        <w:t xml:space="preserve"> for services in the most recent year? </w:t>
      </w:r>
    </w:p>
    <w:p w:rsidR="004E5913" w:rsidRPr="00990D3B" w:rsidP="00DF5781" w14:paraId="4A7EDD8C" w14:textId="065E0865">
      <w:pPr>
        <w:pStyle w:val="EQRNormalSSWORKSHEET"/>
        <w:keepNext/>
        <w:rPr>
          <w:rFonts w:cs="Arial"/>
          <w:b/>
          <w:szCs w:val="22"/>
        </w:rPr>
      </w:pPr>
      <w:r w:rsidRPr="00990D3B">
        <w:rPr>
          <w:rFonts w:cs="Arial"/>
          <w:b/>
          <w:szCs w:val="22"/>
        </w:rPr>
        <w:t>Application of practice guidelines (</w:t>
      </w:r>
      <w:r w:rsidRPr="00990D3B" w:rsidR="001C7FC0">
        <w:rPr>
          <w:rFonts w:cs="Arial"/>
          <w:b/>
          <w:szCs w:val="22"/>
        </w:rPr>
        <w:t>42 C.F.R.</w:t>
      </w:r>
      <w:r w:rsidRPr="00990D3B" w:rsidR="007854DF">
        <w:rPr>
          <w:rFonts w:cs="Arial"/>
          <w:b/>
          <w:szCs w:val="22"/>
        </w:rPr>
        <w:t xml:space="preserve"> </w:t>
      </w:r>
      <w:r w:rsidRPr="00990D3B">
        <w:rPr>
          <w:rFonts w:cs="Arial"/>
          <w:b/>
          <w:szCs w:val="22"/>
        </w:rPr>
        <w:t>438.236(c) and 457.1233(c))</w:t>
      </w:r>
    </w:p>
    <w:p w:rsidR="004E5913" w:rsidRPr="00990D3B" w:rsidP="002D35CF" w14:paraId="000615E9" w14:textId="77777777">
      <w:pPr>
        <w:pStyle w:val="EQRNormalSSWSquestionNUMBER"/>
        <w:numPr>
          <w:ilvl w:val="0"/>
          <w:numId w:val="189"/>
        </w:numPr>
        <w:rPr>
          <w:rFonts w:cs="Arial"/>
          <w:szCs w:val="22"/>
        </w:rPr>
      </w:pPr>
      <w:r w:rsidRPr="00990D3B">
        <w:rPr>
          <w:rFonts w:cs="Arial"/>
          <w:szCs w:val="22"/>
        </w:rPr>
        <w:t>What practice guidelines have the MCP adopted?</w:t>
      </w:r>
    </w:p>
    <w:p w:rsidR="004E5913" w:rsidRPr="00990D3B" w:rsidP="00F77191" w14:paraId="04833B27" w14:textId="77777777">
      <w:pPr>
        <w:pStyle w:val="EQRNormalSSWSquestionNUMBER"/>
        <w:rPr>
          <w:rFonts w:cs="Arial"/>
          <w:b/>
          <w:szCs w:val="22"/>
        </w:rPr>
      </w:pPr>
      <w:r w:rsidRPr="00990D3B">
        <w:rPr>
          <w:rFonts w:cs="Arial"/>
          <w:szCs w:val="22"/>
        </w:rPr>
        <w:t xml:space="preserve">To what extent are your utilization management review guidelines (criteria) consistent with these practice guidelines?  </w:t>
      </w:r>
    </w:p>
    <w:p w:rsidR="004E5913" w:rsidRPr="00990D3B" w:rsidP="002D35CF" w14:paraId="398100CA" w14:textId="77777777">
      <w:pPr>
        <w:pStyle w:val="EQRNormalSSWSquestionsub"/>
        <w:numPr>
          <w:ilvl w:val="0"/>
          <w:numId w:val="181"/>
        </w:numPr>
        <w:tabs>
          <w:tab w:val="left" w:pos="-1080"/>
          <w:tab w:val="left" w:pos="-720"/>
          <w:tab w:val="left" w:pos="0"/>
          <w:tab w:val="left" w:pos="360"/>
          <w:tab w:val="left" w:pos="720"/>
          <w:tab w:val="left" w:pos="1080"/>
        </w:tabs>
        <w:spacing w:before="0" w:after="240"/>
        <w:rPr>
          <w:b/>
          <w:szCs w:val="22"/>
        </w:rPr>
      </w:pPr>
      <w:r w:rsidRPr="00990D3B">
        <w:rPr>
          <w:szCs w:val="22"/>
        </w:rPr>
        <w:t>How do you promote or ensure consistency?</w:t>
      </w:r>
    </w:p>
    <w:p w:rsidR="004E5913" w:rsidRPr="00990D3B" w:rsidP="00F77191" w14:paraId="250820AB" w14:textId="00B8252F">
      <w:pPr>
        <w:pStyle w:val="EQRNormalSSWSquestionNUMBER"/>
        <w:rPr>
          <w:rFonts w:cs="Arial"/>
          <w:b/>
          <w:szCs w:val="22"/>
        </w:rPr>
      </w:pPr>
      <w:r w:rsidRPr="00990D3B">
        <w:rPr>
          <w:rFonts w:cs="Arial"/>
          <w:szCs w:val="22"/>
        </w:rPr>
        <w:t xml:space="preserve">Please describe how utilization management review guidelines (criteria) are modified to reflect the adoption or revision of practice guidelines. </w:t>
      </w:r>
    </w:p>
    <w:p w:rsidR="004E5913" w:rsidRPr="00990D3B" w:rsidP="002D35CF" w14:paraId="43D9F4DF" w14:textId="77777777">
      <w:pPr>
        <w:pStyle w:val="EQRNormalSSWSquestionsub"/>
        <w:numPr>
          <w:ilvl w:val="0"/>
          <w:numId w:val="182"/>
        </w:numPr>
        <w:tabs>
          <w:tab w:val="left" w:pos="-1080"/>
          <w:tab w:val="left" w:pos="-720"/>
          <w:tab w:val="left" w:pos="0"/>
          <w:tab w:val="left" w:pos="360"/>
          <w:tab w:val="left" w:pos="720"/>
          <w:tab w:val="left" w:pos="1080"/>
        </w:tabs>
        <w:spacing w:before="0" w:after="240"/>
        <w:rPr>
          <w:b/>
          <w:szCs w:val="22"/>
        </w:rPr>
      </w:pPr>
      <w:r w:rsidRPr="00990D3B">
        <w:rPr>
          <w:szCs w:val="22"/>
        </w:rPr>
        <w:t>Are both sets of guidelines updated through the same process, at the same time?</w:t>
      </w:r>
    </w:p>
    <w:p w:rsidR="004E5913" w:rsidRPr="00990D3B" w:rsidP="00BD1FC3" w14:paraId="1B93E40F" w14:textId="7DFE977D">
      <w:pPr>
        <w:keepNext/>
        <w:tabs>
          <w:tab w:val="left" w:pos="-1080"/>
          <w:tab w:val="left" w:pos="-720"/>
          <w:tab w:val="left" w:pos="0"/>
          <w:tab w:val="left" w:pos="360"/>
          <w:tab w:val="left" w:pos="720"/>
          <w:tab w:val="left" w:pos="1080"/>
          <w:tab w:val="left" w:pos="8208"/>
        </w:tabs>
        <w:spacing w:line="240" w:lineRule="exact"/>
        <w:rPr>
          <w:rFonts w:ascii="Arial" w:hAnsi="Arial" w:cs="Arial"/>
          <w:b/>
          <w:sz w:val="18"/>
          <w:szCs w:val="22"/>
        </w:rPr>
      </w:pPr>
      <w:r w:rsidRPr="00990D3B">
        <w:rPr>
          <w:rFonts w:ascii="Arial" w:hAnsi="Arial" w:cs="Arial"/>
          <w:b/>
          <w:sz w:val="18"/>
          <w:szCs w:val="22"/>
        </w:rPr>
        <w:t>QAPI</w:t>
      </w:r>
      <w:r w:rsidRPr="00990D3B">
        <w:rPr>
          <w:rFonts w:ascii="Arial" w:hAnsi="Arial" w:cs="Arial"/>
          <w:b/>
          <w:sz w:val="18"/>
          <w:szCs w:val="22"/>
        </w:rPr>
        <w:t xml:space="preserve"> (</w:t>
      </w:r>
      <w:r w:rsidRPr="00990D3B" w:rsidR="001C7FC0">
        <w:rPr>
          <w:rFonts w:ascii="Arial" w:hAnsi="Arial" w:cs="Arial"/>
          <w:b/>
          <w:sz w:val="18"/>
          <w:szCs w:val="22"/>
        </w:rPr>
        <w:t>42 C.F.R.</w:t>
      </w:r>
      <w:r w:rsidRPr="00990D3B" w:rsidR="007854DF">
        <w:rPr>
          <w:rFonts w:ascii="Arial" w:hAnsi="Arial" w:cs="Arial"/>
          <w:b/>
          <w:sz w:val="18"/>
          <w:szCs w:val="22"/>
        </w:rPr>
        <w:t xml:space="preserve"> </w:t>
      </w:r>
      <w:r w:rsidRPr="00990D3B">
        <w:rPr>
          <w:rFonts w:ascii="Arial" w:hAnsi="Arial" w:cs="Arial"/>
          <w:b/>
          <w:sz w:val="18"/>
          <w:szCs w:val="22"/>
        </w:rPr>
        <w:t>438.330 and 457.1240(b))</w:t>
      </w:r>
      <w:r w:rsidRPr="00990D3B">
        <w:rPr>
          <w:rFonts w:ascii="Arial" w:hAnsi="Arial" w:cs="Arial"/>
          <w:b/>
          <w:sz w:val="18"/>
          <w:szCs w:val="22"/>
        </w:rPr>
        <w:tab/>
      </w:r>
    </w:p>
    <w:p w:rsidR="004E5913" w:rsidRPr="00990D3B" w:rsidP="002D35CF" w14:paraId="13A0CD26" w14:textId="77777777">
      <w:pPr>
        <w:pStyle w:val="EQRNormalSSWSquestionNUMBER"/>
        <w:numPr>
          <w:ilvl w:val="0"/>
          <w:numId w:val="190"/>
        </w:numPr>
        <w:rPr>
          <w:rFonts w:cs="Arial"/>
          <w:b/>
          <w:szCs w:val="22"/>
        </w:rPr>
      </w:pPr>
      <w:r w:rsidRPr="00990D3B">
        <w:rPr>
          <w:rFonts w:cs="Arial"/>
          <w:szCs w:val="22"/>
        </w:rPr>
        <w:t xml:space="preserve">What information is analyzed to detect over- and under-utilization of services?  </w:t>
      </w:r>
    </w:p>
    <w:p w:rsidR="004E5913" w:rsidRPr="00990D3B" w:rsidP="002D35CF" w14:paraId="1AEAD90A" w14:textId="77777777">
      <w:pPr>
        <w:pStyle w:val="EQRNormalSSWSquestionsub"/>
        <w:numPr>
          <w:ilvl w:val="0"/>
          <w:numId w:val="183"/>
        </w:numPr>
        <w:tabs>
          <w:tab w:val="left" w:pos="-1080"/>
          <w:tab w:val="left" w:pos="-720"/>
          <w:tab w:val="left" w:pos="0"/>
          <w:tab w:val="left" w:pos="360"/>
          <w:tab w:val="left" w:pos="720"/>
          <w:tab w:val="left" w:pos="1080"/>
        </w:tabs>
        <w:spacing w:before="0" w:after="240"/>
        <w:rPr>
          <w:szCs w:val="22"/>
        </w:rPr>
      </w:pPr>
      <w:r w:rsidRPr="00990D3B">
        <w:rPr>
          <w:szCs w:val="22"/>
        </w:rPr>
        <w:t xml:space="preserve">Who is involved in the analysis and review of this information?  </w:t>
      </w:r>
    </w:p>
    <w:p w:rsidR="004E5913" w:rsidRPr="00990D3B" w:rsidP="0002544F" w14:paraId="3E950AE2" w14:textId="77777777">
      <w:pPr>
        <w:pStyle w:val="EQRNormalSSWSquestionsub"/>
        <w:tabs>
          <w:tab w:val="left" w:pos="-1080"/>
          <w:tab w:val="left" w:pos="-720"/>
          <w:tab w:val="left" w:pos="0"/>
          <w:tab w:val="left" w:pos="360"/>
          <w:tab w:val="left" w:pos="720"/>
          <w:tab w:val="left" w:pos="1080"/>
        </w:tabs>
        <w:spacing w:before="0" w:after="240"/>
        <w:rPr>
          <w:szCs w:val="22"/>
        </w:rPr>
      </w:pPr>
      <w:r w:rsidRPr="00990D3B">
        <w:rPr>
          <w:szCs w:val="22"/>
        </w:rPr>
        <w:t>What,</w:t>
      </w:r>
      <w:r w:rsidRPr="00990D3B">
        <w:rPr>
          <w:szCs w:val="22"/>
        </w:rPr>
        <w:t xml:space="preserve"> if any trends </w:t>
      </w:r>
      <w:r w:rsidRPr="00990D3B">
        <w:rPr>
          <w:szCs w:val="22"/>
        </w:rPr>
        <w:t>been</w:t>
      </w:r>
      <w:r w:rsidRPr="00990D3B">
        <w:rPr>
          <w:szCs w:val="22"/>
        </w:rPr>
        <w:t xml:space="preserve"> identified? </w:t>
      </w:r>
    </w:p>
    <w:p w:rsidR="004E5913" w:rsidRPr="00990D3B" w:rsidP="0002544F" w14:paraId="76CF470E" w14:textId="77777777">
      <w:pPr>
        <w:pStyle w:val="EQRNormalSSWSquestionsub"/>
        <w:tabs>
          <w:tab w:val="left" w:pos="-1080"/>
          <w:tab w:val="left" w:pos="-720"/>
          <w:tab w:val="left" w:pos="0"/>
          <w:tab w:val="left" w:pos="360"/>
          <w:tab w:val="left" w:pos="720"/>
          <w:tab w:val="left" w:pos="1080"/>
        </w:tabs>
        <w:spacing w:before="0" w:after="240"/>
        <w:rPr>
          <w:szCs w:val="22"/>
        </w:rPr>
      </w:pPr>
      <w:r w:rsidRPr="00990D3B">
        <w:rPr>
          <w:szCs w:val="22"/>
        </w:rPr>
        <w:t>What are the typical follow-up actions taken when either condition is discovered?</w:t>
      </w:r>
    </w:p>
    <w:p w:rsidR="004E5913" w:rsidRPr="00990D3B" w:rsidP="0002544F" w14:paraId="08E5E4D1" w14:textId="77777777">
      <w:pPr>
        <w:pStyle w:val="EQRNormalSSWSquestionsub"/>
        <w:tabs>
          <w:tab w:val="left" w:pos="-1080"/>
          <w:tab w:val="left" w:pos="-720"/>
          <w:tab w:val="left" w:pos="0"/>
          <w:tab w:val="left" w:pos="360"/>
          <w:tab w:val="left" w:pos="720"/>
          <w:tab w:val="left" w:pos="1080"/>
        </w:tabs>
        <w:spacing w:before="0" w:after="240"/>
        <w:rPr>
          <w:szCs w:val="22"/>
        </w:rPr>
      </w:pPr>
      <w:r w:rsidRPr="00990D3B">
        <w:rPr>
          <w:szCs w:val="22"/>
        </w:rPr>
        <w:t>How does the MCP monitor LTSS utilization patterns? Are there any services for which specialized or more focused utilization analysis is used?</w:t>
      </w:r>
    </w:p>
    <w:p w:rsidR="004E5913" w:rsidRPr="00990D3B" w:rsidP="00DF5781" w14:paraId="7687DBCC" w14:textId="518D4412">
      <w:pPr>
        <w:pStyle w:val="EQRNormalSSWORKSHEET"/>
        <w:keepNext/>
        <w:rPr>
          <w:rFonts w:cs="Arial"/>
          <w:b/>
          <w:szCs w:val="22"/>
        </w:rPr>
      </w:pPr>
      <w:r w:rsidRPr="00990D3B">
        <w:rPr>
          <w:rFonts w:cs="Arial"/>
          <w:b/>
          <w:szCs w:val="22"/>
        </w:rPr>
        <w:t xml:space="preserve">Grievance </w:t>
      </w:r>
      <w:r w:rsidRPr="00990D3B" w:rsidR="00C90147">
        <w:rPr>
          <w:rFonts w:cs="Arial"/>
          <w:b/>
          <w:szCs w:val="22"/>
        </w:rPr>
        <w:t>system: general</w:t>
      </w:r>
      <w:r w:rsidRPr="00990D3B">
        <w:rPr>
          <w:rFonts w:cs="Arial"/>
          <w:b/>
          <w:szCs w:val="22"/>
        </w:rPr>
        <w:t xml:space="preserve"> requirements (</w:t>
      </w:r>
      <w:r w:rsidRPr="00990D3B" w:rsidR="001C7FC0">
        <w:rPr>
          <w:rFonts w:cs="Arial"/>
          <w:b/>
          <w:szCs w:val="22"/>
        </w:rPr>
        <w:t>42 C.F.R.</w:t>
      </w:r>
      <w:r w:rsidRPr="00990D3B" w:rsidR="007854DF">
        <w:rPr>
          <w:rFonts w:cs="Arial"/>
          <w:b/>
          <w:szCs w:val="22"/>
        </w:rPr>
        <w:t xml:space="preserve"> </w:t>
      </w:r>
      <w:r w:rsidRPr="00990D3B">
        <w:rPr>
          <w:rFonts w:cs="Arial"/>
          <w:b/>
          <w:szCs w:val="22"/>
        </w:rPr>
        <w:t>438.402 and 457.1260</w:t>
      </w:r>
      <w:r w:rsidRPr="00990D3B" w:rsidR="00E24749">
        <w:rPr>
          <w:rFonts w:cs="Arial"/>
          <w:b/>
          <w:szCs w:val="22"/>
        </w:rPr>
        <w:t>(b)</w:t>
      </w:r>
      <w:r w:rsidRPr="00990D3B">
        <w:rPr>
          <w:rFonts w:cs="Arial"/>
          <w:b/>
          <w:szCs w:val="22"/>
        </w:rPr>
        <w:t>)</w:t>
      </w:r>
    </w:p>
    <w:p w:rsidR="004E5913" w:rsidRPr="00990D3B" w:rsidP="002D35CF" w14:paraId="550811F3" w14:textId="77777777">
      <w:pPr>
        <w:pStyle w:val="EQRNormalSSWSquestionNUMBER"/>
        <w:numPr>
          <w:ilvl w:val="0"/>
          <w:numId w:val="191"/>
        </w:numPr>
        <w:rPr>
          <w:rFonts w:cs="Arial"/>
          <w:szCs w:val="22"/>
        </w:rPr>
      </w:pPr>
      <w:r w:rsidRPr="00990D3B">
        <w:rPr>
          <w:rFonts w:cs="Arial"/>
          <w:szCs w:val="22"/>
        </w:rPr>
        <w:t xml:space="preserve">Please describe the appeals process and the role of utilization management staff in the resolution process.  Elaborate on the </w:t>
      </w:r>
      <w:r w:rsidRPr="00990D3B">
        <w:rPr>
          <w:rFonts w:cs="Arial"/>
          <w:szCs w:val="22"/>
        </w:rPr>
        <w:t>particular steps</w:t>
      </w:r>
      <w:r w:rsidRPr="00990D3B">
        <w:rPr>
          <w:rFonts w:cs="Arial"/>
          <w:szCs w:val="22"/>
        </w:rPr>
        <w:t>, including time frames, in which utilization management staff is involved.</w:t>
      </w:r>
    </w:p>
    <w:p w:rsidR="004E5913" w:rsidRPr="00990D3B" w:rsidP="00F77191" w14:paraId="31A58666" w14:textId="77777777">
      <w:pPr>
        <w:pStyle w:val="EQRNormalSSWSquestionNUMBER"/>
        <w:rPr>
          <w:rFonts w:cs="Arial"/>
          <w:szCs w:val="22"/>
        </w:rPr>
      </w:pPr>
      <w:r w:rsidRPr="00990D3B">
        <w:rPr>
          <w:rFonts w:cs="Arial"/>
          <w:szCs w:val="22"/>
        </w:rPr>
        <w:t>Is there a process in place for those instances when an enrollee’s health condition requires expedited resolution of an appeal?  Please describe this process and its time frame.</w:t>
      </w:r>
    </w:p>
    <w:p w:rsidR="004E5913" w:rsidRPr="00990D3B" w:rsidP="00F77191" w14:paraId="3621B8D8" w14:textId="77777777">
      <w:pPr>
        <w:pStyle w:val="EQRNormalSSWSquestionNUMBER"/>
        <w:rPr>
          <w:rFonts w:cs="Arial"/>
          <w:b/>
          <w:szCs w:val="22"/>
        </w:rPr>
      </w:pPr>
      <w:r w:rsidRPr="00990D3B">
        <w:rPr>
          <w:rFonts w:cs="Arial"/>
          <w:szCs w:val="22"/>
        </w:rPr>
        <w:t>Does the MCP’s grievance and appeal system differ for LTSS vs. acute and primary care services? If yes, how?</w:t>
      </w:r>
    </w:p>
    <w:p w:rsidR="004E5913" w:rsidRPr="00990D3B" w:rsidP="00DF5781" w14:paraId="46BCFC60" w14:textId="751A63FC">
      <w:pPr>
        <w:pStyle w:val="EQRNormalSSWORKSHEET"/>
        <w:keepNext/>
        <w:rPr>
          <w:rFonts w:cs="Arial"/>
          <w:b/>
          <w:szCs w:val="22"/>
        </w:rPr>
      </w:pPr>
      <w:r w:rsidRPr="00990D3B">
        <w:rPr>
          <w:rFonts w:cs="Arial"/>
          <w:b/>
          <w:szCs w:val="22"/>
        </w:rPr>
        <w:t>Handling of grievances and appeals (</w:t>
      </w:r>
      <w:r w:rsidRPr="00990D3B" w:rsidR="001C7FC0">
        <w:rPr>
          <w:rFonts w:cs="Arial"/>
          <w:b/>
          <w:szCs w:val="22"/>
        </w:rPr>
        <w:t>42 C.F.R.</w:t>
      </w:r>
      <w:r w:rsidRPr="00990D3B" w:rsidR="007854DF">
        <w:rPr>
          <w:rFonts w:cs="Arial"/>
          <w:b/>
          <w:szCs w:val="22"/>
        </w:rPr>
        <w:t xml:space="preserve"> </w:t>
      </w:r>
      <w:r w:rsidRPr="00990D3B">
        <w:rPr>
          <w:rFonts w:cs="Arial"/>
          <w:b/>
          <w:szCs w:val="22"/>
        </w:rPr>
        <w:t>438.406 and 457.1260</w:t>
      </w:r>
      <w:r w:rsidRPr="00990D3B" w:rsidR="00F57594">
        <w:rPr>
          <w:rFonts w:cs="Arial"/>
          <w:b/>
          <w:szCs w:val="22"/>
        </w:rPr>
        <w:t>(d)</w:t>
      </w:r>
      <w:r w:rsidRPr="00990D3B">
        <w:rPr>
          <w:rFonts w:cs="Arial"/>
          <w:b/>
          <w:szCs w:val="22"/>
        </w:rPr>
        <w:t>)</w:t>
      </w:r>
    </w:p>
    <w:p w:rsidR="004E5913" w:rsidRPr="00990D3B" w:rsidP="002D35CF" w14:paraId="5B2ADAC5" w14:textId="77777777">
      <w:pPr>
        <w:pStyle w:val="EQRNormalSSWSquestionNUMBER"/>
        <w:numPr>
          <w:ilvl w:val="0"/>
          <w:numId w:val="192"/>
        </w:numPr>
        <w:rPr>
          <w:rFonts w:cs="Arial"/>
          <w:szCs w:val="22"/>
        </w:rPr>
      </w:pPr>
      <w:r w:rsidRPr="00990D3B">
        <w:rPr>
          <w:rFonts w:cs="Arial"/>
          <w:szCs w:val="22"/>
        </w:rPr>
        <w:t>What MCP department or staff is responsible for assisting enrollees in using the MCP’s appeal or grievance system, including completing forms, or taking other steps to resolve an appeal or grievance?</w:t>
      </w:r>
    </w:p>
    <w:p w:rsidR="004E5913" w:rsidRPr="00990D3B" w:rsidP="00F77191" w14:paraId="1617A6FD" w14:textId="77777777">
      <w:pPr>
        <w:pStyle w:val="EQRNormalSSWSquestionNUMBER"/>
        <w:rPr>
          <w:rFonts w:cs="Arial"/>
          <w:b/>
          <w:szCs w:val="22"/>
        </w:rPr>
      </w:pPr>
      <w:r w:rsidRPr="00990D3B">
        <w:rPr>
          <w:rFonts w:cs="Arial"/>
          <w:szCs w:val="22"/>
        </w:rPr>
        <w:t xml:space="preserve">What are the qualifications and credentials of individuals who make decisions on grievances and appeals?  </w:t>
      </w:r>
    </w:p>
    <w:p w:rsidR="004E5913" w:rsidRPr="00990D3B" w:rsidP="002D35CF" w14:paraId="246DEF36" w14:textId="77777777">
      <w:pPr>
        <w:pStyle w:val="EQRNormalSSWSquestionsub"/>
        <w:numPr>
          <w:ilvl w:val="0"/>
          <w:numId w:val="184"/>
        </w:numPr>
        <w:tabs>
          <w:tab w:val="left" w:pos="-1080"/>
          <w:tab w:val="left" w:pos="-720"/>
          <w:tab w:val="left" w:pos="0"/>
          <w:tab w:val="left" w:pos="360"/>
          <w:tab w:val="left" w:pos="720"/>
          <w:tab w:val="left" w:pos="1080"/>
        </w:tabs>
        <w:spacing w:before="0" w:after="240"/>
        <w:rPr>
          <w:szCs w:val="22"/>
        </w:rPr>
      </w:pPr>
      <w:r w:rsidRPr="00990D3B">
        <w:rPr>
          <w:szCs w:val="22"/>
        </w:rPr>
        <w:t>How does the MCP ensure that these</w:t>
      </w:r>
      <w:r w:rsidRPr="00990D3B">
        <w:rPr>
          <w:b/>
          <w:szCs w:val="22"/>
        </w:rPr>
        <w:t xml:space="preserve"> </w:t>
      </w:r>
      <w:r w:rsidRPr="00990D3B">
        <w:rPr>
          <w:szCs w:val="22"/>
        </w:rPr>
        <w:t>individuals have not been involved in any previous level of review or decision-making?</w:t>
      </w:r>
    </w:p>
    <w:p w:rsidR="004E5913" w:rsidRPr="00990D3B" w:rsidP="0002544F" w14:paraId="287EA00B" w14:textId="77777777">
      <w:pPr>
        <w:pStyle w:val="EQRNormalSSWSquestionsub"/>
        <w:tabs>
          <w:tab w:val="left" w:pos="-1080"/>
          <w:tab w:val="left" w:pos="-720"/>
          <w:tab w:val="left" w:pos="0"/>
          <w:tab w:val="left" w:pos="360"/>
          <w:tab w:val="left" w:pos="720"/>
          <w:tab w:val="left" w:pos="1080"/>
        </w:tabs>
        <w:spacing w:before="0" w:after="240"/>
        <w:rPr>
          <w:szCs w:val="22"/>
        </w:rPr>
      </w:pPr>
      <w:r w:rsidRPr="00990D3B">
        <w:rPr>
          <w:szCs w:val="22"/>
        </w:rPr>
        <w:t xml:space="preserve"> How does the MCP ensure that these</w:t>
      </w:r>
      <w:r w:rsidRPr="00990D3B">
        <w:rPr>
          <w:b/>
          <w:szCs w:val="22"/>
        </w:rPr>
        <w:t xml:space="preserve"> </w:t>
      </w:r>
      <w:r w:rsidRPr="00990D3B">
        <w:rPr>
          <w:szCs w:val="22"/>
        </w:rPr>
        <w:t xml:space="preserve">individuals have the appropriate clinical expertise in treating the enrollee’s condition or disease, if </w:t>
      </w:r>
      <w:r w:rsidRPr="00990D3B">
        <w:rPr>
          <w:szCs w:val="22"/>
        </w:rPr>
        <w:t>deciding</w:t>
      </w:r>
      <w:r w:rsidRPr="00990D3B">
        <w:rPr>
          <w:szCs w:val="22"/>
        </w:rPr>
        <w:t xml:space="preserve"> any of the following:</w:t>
      </w:r>
    </w:p>
    <w:p w:rsidR="004E5913" w:rsidRPr="00990D3B" w:rsidP="00653B87" w14:paraId="1CCE8D08" w14:textId="77777777">
      <w:pPr>
        <w:pStyle w:val="EQRNormalSSWSquestionsub"/>
      </w:pPr>
      <w:r w:rsidRPr="00990D3B">
        <w:t xml:space="preserve">An appeal </w:t>
      </w:r>
      <w:r w:rsidRPr="00990D3B">
        <w:t>of</w:t>
      </w:r>
      <w:r w:rsidRPr="00990D3B">
        <w:t xml:space="preserve"> a denial that is based on lack of medical necessity</w:t>
      </w:r>
    </w:p>
    <w:p w:rsidR="004E5913" w:rsidRPr="00990D3B" w:rsidP="00653B87" w14:paraId="3B0526E0" w14:textId="77777777">
      <w:pPr>
        <w:pStyle w:val="EQRNormalSSWSquestionsub"/>
      </w:pPr>
      <w:r w:rsidRPr="00990D3B">
        <w:t>A grievance regarding denial of expedited resolution of an appeal</w:t>
      </w:r>
    </w:p>
    <w:p w:rsidR="004E5913" w:rsidRPr="00990D3B" w:rsidP="00653B87" w14:paraId="4FB13757" w14:textId="77777777">
      <w:pPr>
        <w:pStyle w:val="EQRNormalSSWSquestionsub"/>
      </w:pPr>
      <w:r w:rsidRPr="00990D3B">
        <w:t>A grievance or appeal that involves clinical issues</w:t>
      </w:r>
    </w:p>
    <w:p w:rsidR="004E5913" w:rsidRPr="00990D3B" w:rsidP="00DF5781" w14:paraId="5CA4E7E2" w14:textId="2A56F302">
      <w:pPr>
        <w:pStyle w:val="EQRNormalSSWORKSHEET"/>
        <w:keepNext/>
        <w:rPr>
          <w:rFonts w:cs="Arial"/>
          <w:b/>
          <w:szCs w:val="22"/>
        </w:rPr>
      </w:pPr>
      <w:r w:rsidRPr="00990D3B">
        <w:rPr>
          <w:rFonts w:cs="Arial"/>
          <w:b/>
          <w:szCs w:val="22"/>
        </w:rPr>
        <w:t>Expedited resolution of appeals (</w:t>
      </w:r>
      <w:r w:rsidRPr="00990D3B" w:rsidR="001C7FC0">
        <w:rPr>
          <w:rFonts w:cs="Arial"/>
          <w:b/>
          <w:szCs w:val="22"/>
        </w:rPr>
        <w:t>42 C.F.R.</w:t>
      </w:r>
      <w:r w:rsidRPr="00990D3B" w:rsidR="007854DF">
        <w:rPr>
          <w:rFonts w:cs="Arial"/>
          <w:b/>
          <w:szCs w:val="22"/>
        </w:rPr>
        <w:t xml:space="preserve"> </w:t>
      </w:r>
      <w:r w:rsidRPr="00990D3B">
        <w:rPr>
          <w:rFonts w:cs="Arial"/>
          <w:b/>
          <w:szCs w:val="22"/>
        </w:rPr>
        <w:t>438.410 and 457.1260</w:t>
      </w:r>
      <w:r w:rsidRPr="00990D3B" w:rsidR="00F57594">
        <w:rPr>
          <w:rFonts w:cs="Arial"/>
          <w:b/>
          <w:szCs w:val="22"/>
        </w:rPr>
        <w:t>(f)</w:t>
      </w:r>
      <w:r w:rsidRPr="00990D3B">
        <w:rPr>
          <w:rFonts w:cs="Arial"/>
          <w:b/>
          <w:szCs w:val="22"/>
        </w:rPr>
        <w:t>)</w:t>
      </w:r>
    </w:p>
    <w:p w:rsidR="00AE3369" w:rsidRPr="00990D3B" w:rsidP="002D35CF" w14:paraId="106585C7" w14:textId="77777777">
      <w:pPr>
        <w:pStyle w:val="EQRNormalSSWSquestionNUMBER"/>
        <w:numPr>
          <w:ilvl w:val="0"/>
          <w:numId w:val="193"/>
        </w:numPr>
        <w:rPr>
          <w:rFonts w:cs="Arial"/>
          <w:szCs w:val="22"/>
        </w:rPr>
      </w:pPr>
      <w:r w:rsidRPr="00990D3B">
        <w:rPr>
          <w:rFonts w:cs="Arial"/>
          <w:szCs w:val="22"/>
        </w:rPr>
        <w:t>Is there a process in place for those instances when an enrollee’s health condition requires expedited resolution of a grievance? If yes, please describe this process. What are the time frames defined for this process?</w:t>
      </w:r>
    </w:p>
    <w:p w:rsidR="004E5913" w:rsidRPr="00990D3B" w:rsidP="00F77191" w14:paraId="43377C9B" w14:textId="2F029045">
      <w:pPr>
        <w:pStyle w:val="EQRNormalSSWSquestionNUMBER"/>
        <w:rPr>
          <w:rFonts w:cs="Arial"/>
          <w:b/>
          <w:szCs w:val="22"/>
        </w:rPr>
      </w:pPr>
      <w:r w:rsidRPr="00990D3B">
        <w:rPr>
          <w:rFonts w:cs="Arial"/>
          <w:szCs w:val="22"/>
        </w:rPr>
        <w:t>How does the MCP notify enrollees of any denials of a request for expedited resolution?</w:t>
      </w:r>
    </w:p>
    <w:p w:rsidR="004E5913" w:rsidRPr="00990D3B" w:rsidP="00BA7B0F" w14:paraId="42B41D60" w14:textId="23B67EB3">
      <w:pPr>
        <w:pStyle w:val="EQRNormalSSWORKSHEET"/>
        <w:keepNext/>
        <w:rPr>
          <w:rFonts w:cs="Arial"/>
          <w:b/>
          <w:szCs w:val="22"/>
        </w:rPr>
      </w:pPr>
      <w:r w:rsidRPr="00990D3B">
        <w:rPr>
          <w:rFonts w:cs="Arial"/>
          <w:b/>
          <w:szCs w:val="22"/>
        </w:rPr>
        <w:t>Continuation of benefits while the MCP or PIHP appeal and the state Fair Hearing are pending (</w:t>
      </w:r>
      <w:r w:rsidRPr="00990D3B" w:rsidR="001C7FC0">
        <w:rPr>
          <w:rFonts w:cs="Arial"/>
          <w:b/>
          <w:szCs w:val="22"/>
        </w:rPr>
        <w:t>42 C.F.R.</w:t>
      </w:r>
      <w:r w:rsidRPr="00990D3B" w:rsidR="007854DF">
        <w:rPr>
          <w:rFonts w:cs="Arial"/>
          <w:b/>
          <w:szCs w:val="22"/>
        </w:rPr>
        <w:t xml:space="preserve"> </w:t>
      </w:r>
      <w:r w:rsidRPr="00990D3B">
        <w:rPr>
          <w:rFonts w:cs="Arial"/>
          <w:b/>
          <w:szCs w:val="22"/>
        </w:rPr>
        <w:t>438.420)</w:t>
      </w:r>
    </w:p>
    <w:p w:rsidR="004E5913" w:rsidRPr="00990D3B" w:rsidP="002D35CF" w14:paraId="12D7C844"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b/>
          <w:szCs w:val="22"/>
        </w:rPr>
      </w:pPr>
      <w:r w:rsidRPr="00990D3B">
        <w:rPr>
          <w:rFonts w:cs="Arial"/>
          <w:szCs w:val="22"/>
        </w:rPr>
        <w:t xml:space="preserve">What happens to enrollee benefits once continuation of benefits has been denied by the MCP, and an appeal has been filed by the enrollee or the treating physician or other provider, including providers of LTSS?  </w:t>
      </w:r>
    </w:p>
    <w:p w:rsidR="004E5913" w:rsidRPr="00990D3B" w:rsidP="002D35CF" w14:paraId="7B2A8AC0" w14:textId="77777777">
      <w:pPr>
        <w:pStyle w:val="EQRNormalSSWSquestionsub"/>
        <w:numPr>
          <w:ilvl w:val="0"/>
          <w:numId w:val="185"/>
        </w:numPr>
        <w:rPr>
          <w:b/>
        </w:rPr>
      </w:pPr>
      <w:r w:rsidRPr="00990D3B">
        <w:t xml:space="preserve">Are there any mechanisms in place to continue the benefits pending the outcome of the appeal and if so, under what circumstances?  </w:t>
      </w:r>
    </w:p>
    <w:p w:rsidR="004E5913" w:rsidRPr="00990D3B" w:rsidP="002D35CF" w14:paraId="2A19F4D7" w14:textId="77777777">
      <w:pPr>
        <w:pStyle w:val="EQRNormalSSWSquestionsub"/>
        <w:numPr>
          <w:ilvl w:val="0"/>
          <w:numId w:val="185"/>
        </w:numPr>
        <w:rPr>
          <w:b/>
        </w:rPr>
      </w:pPr>
      <w:r w:rsidRPr="00990D3B">
        <w:t xml:space="preserve">How are </w:t>
      </w:r>
      <w:r w:rsidRPr="00990D3B">
        <w:t>enrollees</w:t>
      </w:r>
      <w:r w:rsidRPr="00990D3B">
        <w:t xml:space="preserve"> notified of this mechanism?</w:t>
      </w:r>
    </w:p>
    <w:p w:rsidR="004E5913" w:rsidRPr="00990D3B" w:rsidP="00BD1FC3" w14:paraId="40D2B725" w14:textId="77777777">
      <w:pPr>
        <w:rPr>
          <w:rFonts w:ascii="Arial" w:eastAsia="Calibri" w:hAnsi="Arial"/>
          <w:b/>
          <w:color w:val="006981"/>
          <w:sz w:val="18"/>
          <w:szCs w:val="18"/>
        </w:rPr>
      </w:pPr>
      <w:bookmarkStart w:id="428" w:name="_Medical_Directors"/>
      <w:bookmarkEnd w:id="428"/>
      <w:r w:rsidRPr="00990D3B">
        <w:br w:type="page"/>
      </w:r>
    </w:p>
    <w:p w:rsidR="004E5913" w:rsidRPr="00990D3B" w:rsidP="002B40CC" w14:paraId="6EC8D484" w14:textId="77777777">
      <w:pPr>
        <w:pStyle w:val="H2EQRWorksheet"/>
      </w:pPr>
      <w:r w:rsidRPr="00990D3B">
        <w:t>Medical Directors Interview</w:t>
      </w:r>
    </w:p>
    <w:p w:rsidR="004E5913" w:rsidRPr="00990D3B" w:rsidP="00BD1FC3" w14:paraId="298DB022" w14:textId="2B27587E">
      <w:pPr>
        <w:pStyle w:val="EQRNormalSSWORKSHEET"/>
      </w:pPr>
      <w:r w:rsidRPr="00990D3B">
        <w:rPr>
          <w:b/>
        </w:rPr>
        <w:t>Instructions.</w:t>
      </w:r>
      <w:r w:rsidRPr="00990D3B">
        <w:t xml:space="preserve"> The interview with the Medical Director provides an opportunity to assess MCP processes for authorizing services and coverage for those services. The interview will address such topics as provider involvement in the review of criteria used in the utilization management process, consistency between utilization management criteria and practice guidelines, and </w:t>
      </w:r>
      <w:r w:rsidRPr="00990D3B" w:rsidR="00923DBC">
        <w:t>QAPI</w:t>
      </w:r>
      <w:r w:rsidRPr="00990D3B">
        <w:t xml:space="preserve"> efforts.</w:t>
      </w:r>
    </w:p>
    <w:p w:rsidR="004E5913" w:rsidRPr="00990D3B" w:rsidP="00BA7B0F" w14:paraId="3BAADCA5" w14:textId="406C09AA">
      <w:pPr>
        <w:pStyle w:val="EQRNormalSSWORKSHEET"/>
        <w:keepNext/>
        <w:rPr>
          <w:rFonts w:cs="Arial"/>
          <w:b/>
          <w:szCs w:val="22"/>
        </w:rPr>
      </w:pPr>
      <w:r w:rsidRPr="00990D3B">
        <w:rPr>
          <w:rFonts w:cs="Arial"/>
          <w:b/>
          <w:szCs w:val="22"/>
        </w:rPr>
        <w:t>Coverage and authorization of services (</w:t>
      </w:r>
      <w:r w:rsidRPr="00990D3B" w:rsidR="001C7FC0">
        <w:rPr>
          <w:rFonts w:cs="Arial"/>
          <w:b/>
          <w:szCs w:val="22"/>
        </w:rPr>
        <w:t>42 C.F.R.</w:t>
      </w:r>
      <w:r w:rsidRPr="00990D3B" w:rsidR="007854DF">
        <w:rPr>
          <w:rFonts w:cs="Arial"/>
          <w:b/>
          <w:szCs w:val="22"/>
        </w:rPr>
        <w:t xml:space="preserve"> </w:t>
      </w:r>
      <w:r w:rsidRPr="00990D3B">
        <w:rPr>
          <w:rFonts w:cs="Arial"/>
          <w:b/>
          <w:szCs w:val="22"/>
        </w:rPr>
        <w:t>438.210 and 457.1230(d))</w:t>
      </w:r>
    </w:p>
    <w:p w:rsidR="004E5913" w:rsidRPr="00990D3B" w:rsidP="002D35CF" w14:paraId="24DF8D0B" w14:textId="77777777">
      <w:pPr>
        <w:pStyle w:val="EQRNormalSSWSquestionNUMBER"/>
        <w:numPr>
          <w:ilvl w:val="0"/>
          <w:numId w:val="196"/>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 xml:space="preserve">How does the MCP monitor its compliance with the state’s time frames for processing standard requests for service authorization? </w:t>
      </w:r>
    </w:p>
    <w:p w:rsidR="004E5913" w:rsidRPr="00990D3B" w:rsidP="002D35CF" w14:paraId="2F32B670"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What are the MCP’s standards for processing expedited requests for service authorization?  How does the MCP monitor its compliance with these time frames?</w:t>
      </w:r>
    </w:p>
    <w:p w:rsidR="004E5913" w:rsidRPr="00990D3B" w:rsidP="002D35CF" w14:paraId="478DBF8D"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Under what circumstances are requesting providers consulted when responding to service authorization requests?</w:t>
      </w:r>
    </w:p>
    <w:p w:rsidR="004E5913" w:rsidRPr="00990D3B" w:rsidP="002D35CF" w14:paraId="23FA6E66"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How does the MCP ensure consistent application of criteria used in making service authorization decisions?</w:t>
      </w:r>
    </w:p>
    <w:p w:rsidR="004E5913" w:rsidRPr="00990D3B" w:rsidP="002D35CF" w14:paraId="596A014A"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b/>
          <w:szCs w:val="22"/>
        </w:rPr>
      </w:pPr>
      <w:r w:rsidRPr="00990D3B">
        <w:rPr>
          <w:rFonts w:cs="Arial"/>
          <w:szCs w:val="22"/>
        </w:rPr>
        <w:t>What mechanism does the MCP use to assure that any decision to deny a service authorization request or to authorize a service in an amount, duration or scope that is less than requested, be made by a health care professional who has appropriate clinical expertise in treating the enrollees’ condition or disease or by a professional with expertise in serving special populations (e.g. Developmental Disabilities), in special services (e.g., Vocational Rehabilitation), or with other LTSS expertise as appropriate?</w:t>
      </w:r>
    </w:p>
    <w:p w:rsidR="004E5913" w:rsidRPr="00990D3B" w:rsidP="002D35CF" w14:paraId="52C0639A"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b/>
          <w:szCs w:val="22"/>
        </w:rPr>
      </w:pPr>
      <w:r w:rsidRPr="00990D3B">
        <w:rPr>
          <w:rFonts w:cs="Arial"/>
          <w:szCs w:val="22"/>
        </w:rPr>
        <w:t xml:space="preserve">How are employees and any contractors used by the MCP to perform service authorization and utilization management financially compensated?  </w:t>
      </w:r>
    </w:p>
    <w:p w:rsidR="004E5913" w:rsidRPr="00990D3B" w:rsidP="002D35CF" w14:paraId="39B9DE1E" w14:textId="77777777">
      <w:pPr>
        <w:pStyle w:val="EQRNormalSSWSquestionsub"/>
        <w:numPr>
          <w:ilvl w:val="0"/>
          <w:numId w:val="185"/>
        </w:numPr>
      </w:pPr>
      <w:r w:rsidRPr="00990D3B">
        <w:rPr>
          <w:szCs w:val="22"/>
        </w:rPr>
        <w:t>Are they paid in any way other than on a straight salary o</w:t>
      </w:r>
      <w:r w:rsidRPr="00990D3B">
        <w:t xml:space="preserve">r per case review basis?  </w:t>
      </w:r>
    </w:p>
    <w:p w:rsidR="004E5913" w:rsidRPr="00990D3B" w:rsidP="002D35CF" w14:paraId="2A8AF034" w14:textId="77777777">
      <w:pPr>
        <w:pStyle w:val="EQRNormalSSWSquestionsub"/>
        <w:numPr>
          <w:ilvl w:val="0"/>
          <w:numId w:val="185"/>
        </w:numPr>
        <w:rPr>
          <w:b/>
          <w:szCs w:val="22"/>
        </w:rPr>
      </w:pPr>
      <w:r w:rsidRPr="00990D3B">
        <w:t>Do their financial compensation arrangements invol</w:t>
      </w:r>
      <w:r w:rsidRPr="00990D3B">
        <w:rPr>
          <w:szCs w:val="22"/>
        </w:rPr>
        <w:t xml:space="preserve">ve the use of any financial incentives? </w:t>
      </w:r>
    </w:p>
    <w:p w:rsidR="004E5913" w:rsidRPr="00990D3B" w:rsidP="002D35CF" w14:paraId="2F2DC36C"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b/>
          <w:szCs w:val="22"/>
        </w:rPr>
      </w:pPr>
      <w:r w:rsidRPr="00990D3B">
        <w:rPr>
          <w:rFonts w:cs="Arial"/>
          <w:szCs w:val="22"/>
        </w:rPr>
        <w:t xml:space="preserve">How does the MCP apply the definition of ‘medically necessary </w:t>
      </w:r>
      <w:r w:rsidRPr="00990D3B">
        <w:rPr>
          <w:rFonts w:cs="Arial"/>
          <w:szCs w:val="22"/>
        </w:rPr>
        <w:t>services’</w:t>
      </w:r>
      <w:r w:rsidRPr="00990D3B">
        <w:rPr>
          <w:rFonts w:cs="Arial"/>
          <w:szCs w:val="22"/>
        </w:rPr>
        <w:t xml:space="preserve"> to LTSS for activities that support age-appropriate growth and development and/or the ability to attain, maintain or regain functional capacity?</w:t>
      </w:r>
    </w:p>
    <w:p w:rsidR="004E5913" w:rsidRPr="00990D3B" w:rsidP="00BA7B0F" w14:paraId="09AED97C" w14:textId="606E51D3">
      <w:pPr>
        <w:pStyle w:val="EQRNormalSSWORKSHEET"/>
        <w:keepNext/>
        <w:rPr>
          <w:rFonts w:cs="Arial"/>
          <w:b/>
          <w:szCs w:val="22"/>
        </w:rPr>
      </w:pPr>
      <w:r w:rsidRPr="00990D3B">
        <w:rPr>
          <w:rFonts w:cs="Arial"/>
          <w:b/>
          <w:szCs w:val="22"/>
        </w:rPr>
        <w:t>QAPI</w:t>
      </w:r>
      <w:r w:rsidRPr="00990D3B">
        <w:rPr>
          <w:rFonts w:cs="Arial"/>
          <w:b/>
          <w:szCs w:val="22"/>
        </w:rPr>
        <w:t xml:space="preserve"> (</w:t>
      </w:r>
      <w:r w:rsidRPr="00990D3B" w:rsidR="001C7FC0">
        <w:rPr>
          <w:rFonts w:cs="Arial"/>
          <w:b/>
          <w:szCs w:val="22"/>
        </w:rPr>
        <w:t>42 C.F.R.</w:t>
      </w:r>
      <w:r w:rsidRPr="00990D3B" w:rsidR="007854DF">
        <w:rPr>
          <w:rFonts w:cs="Arial"/>
          <w:b/>
          <w:szCs w:val="22"/>
        </w:rPr>
        <w:t xml:space="preserve"> </w:t>
      </w:r>
      <w:r w:rsidRPr="00990D3B">
        <w:rPr>
          <w:rFonts w:cs="Arial"/>
          <w:b/>
          <w:szCs w:val="22"/>
        </w:rPr>
        <w:t>438.330 and 457.1240(b))</w:t>
      </w:r>
    </w:p>
    <w:p w:rsidR="004E5913" w:rsidRPr="00990D3B" w:rsidP="002D35CF" w14:paraId="13DA15F5" w14:textId="77777777">
      <w:pPr>
        <w:pStyle w:val="EQRNormalSSWSquestionNUMBER"/>
        <w:numPr>
          <w:ilvl w:val="0"/>
          <w:numId w:val="197"/>
        </w:numPr>
        <w:tabs>
          <w:tab w:val="left" w:pos="-1080"/>
          <w:tab w:val="left" w:pos="-720"/>
          <w:tab w:val="left" w:pos="0"/>
          <w:tab w:val="left" w:pos="360"/>
          <w:tab w:val="left" w:pos="720"/>
          <w:tab w:val="left" w:pos="1080"/>
        </w:tabs>
        <w:spacing w:before="0" w:after="240"/>
        <w:rPr>
          <w:rFonts w:cs="Arial"/>
          <w:b/>
          <w:szCs w:val="22"/>
        </w:rPr>
      </w:pPr>
      <w:r w:rsidRPr="00990D3B">
        <w:rPr>
          <w:rFonts w:cs="Arial"/>
          <w:szCs w:val="22"/>
        </w:rPr>
        <w:t xml:space="preserve">Does the MCP have any processes for reviewing claims, payment systems, encounter data, electronic health records, and medical records to assess utilization of services?  </w:t>
      </w:r>
    </w:p>
    <w:p w:rsidR="004E5913" w:rsidRPr="00990D3B" w:rsidP="002D35CF" w14:paraId="30891C6A" w14:textId="77777777">
      <w:pPr>
        <w:pStyle w:val="EQRNormalSSWSquestionsub"/>
        <w:numPr>
          <w:ilvl w:val="0"/>
          <w:numId w:val="198"/>
        </w:numPr>
      </w:pPr>
      <w:r w:rsidRPr="00990D3B">
        <w:rPr>
          <w:szCs w:val="22"/>
        </w:rPr>
        <w:t>Does the MCP utilize a health informatio</w:t>
      </w:r>
      <w:r w:rsidRPr="00990D3B">
        <w:t xml:space="preserve">n exchange process? </w:t>
      </w:r>
    </w:p>
    <w:p w:rsidR="004E5913" w:rsidRPr="00990D3B" w:rsidP="002D35CF" w14:paraId="1713E221" w14:textId="77777777">
      <w:pPr>
        <w:pStyle w:val="EQRNormalSSWSquestionsub"/>
        <w:numPr>
          <w:ilvl w:val="0"/>
          <w:numId w:val="185"/>
        </w:numPr>
      </w:pPr>
      <w:r w:rsidRPr="00990D3B">
        <w:t xml:space="preserve">What reports on service utilization are regularly produced by these processes?  </w:t>
      </w:r>
    </w:p>
    <w:p w:rsidR="004E5913" w:rsidRPr="00990D3B" w:rsidP="002D35CF" w14:paraId="70D6DABC" w14:textId="77777777">
      <w:pPr>
        <w:pStyle w:val="EQRNormalSSWSquestionsub"/>
        <w:numPr>
          <w:ilvl w:val="0"/>
          <w:numId w:val="185"/>
        </w:numPr>
        <w:rPr>
          <w:szCs w:val="22"/>
        </w:rPr>
      </w:pPr>
      <w:r w:rsidRPr="00990D3B">
        <w:t xml:space="preserve">What are the most recent findings </w:t>
      </w:r>
      <w:r w:rsidRPr="00990D3B">
        <w:rPr>
          <w:szCs w:val="22"/>
        </w:rPr>
        <w:t>with respect to over- and under-utilization?</w:t>
      </w:r>
    </w:p>
    <w:p w:rsidR="004E5913" w:rsidRPr="00990D3B" w:rsidP="002D35CF" w14:paraId="7D925AD3" w14:textId="48CF698E">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 xml:space="preserve">How does your MCP define enrollees with special health care needs?  How are these </w:t>
      </w:r>
      <w:r w:rsidRPr="00990D3B">
        <w:rPr>
          <w:rFonts w:cs="Arial"/>
          <w:szCs w:val="22"/>
        </w:rPr>
        <w:t>enrollees</w:t>
      </w:r>
      <w:r w:rsidRPr="00990D3B">
        <w:rPr>
          <w:rFonts w:cs="Arial"/>
          <w:szCs w:val="22"/>
        </w:rPr>
        <w:t xml:space="preserve"> identified within your MCP?  </w:t>
      </w:r>
    </w:p>
    <w:p w:rsidR="004E5913" w:rsidRPr="00990D3B" w:rsidP="002D35CF" w14:paraId="72B34CA8"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 xml:space="preserve">How does your MCP assess the quality and appropriateness of care furnished to </w:t>
      </w:r>
      <w:r w:rsidRPr="00990D3B">
        <w:rPr>
          <w:rFonts w:cs="Arial"/>
          <w:szCs w:val="22"/>
        </w:rPr>
        <w:t>enrollees</w:t>
      </w:r>
      <w:r w:rsidRPr="00990D3B">
        <w:rPr>
          <w:rFonts w:cs="Arial"/>
          <w:szCs w:val="22"/>
        </w:rPr>
        <w:t xml:space="preserve"> with special health care needs?  Please provide examples. </w:t>
      </w:r>
    </w:p>
    <w:p w:rsidR="004E5913" w:rsidRPr="00990D3B" w:rsidP="002D35CF" w14:paraId="6390BA8C" w14:textId="581156AF">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 xml:space="preserve">Does the state require your MCP to address a specific topic or topics in your performance improvement projects?  If yes, what types of projects are required? For each PIP, at a minimum, </w:t>
      </w:r>
      <w:r w:rsidRPr="00990D3B">
        <w:rPr>
          <w:rFonts w:cs="Arial"/>
          <w:szCs w:val="22"/>
        </w:rPr>
        <w:t>include</w:t>
      </w:r>
      <w:r w:rsidRPr="00990D3B">
        <w:rPr>
          <w:rFonts w:cs="Arial"/>
          <w:szCs w:val="22"/>
        </w:rPr>
        <w:t xml:space="preserve"> how significant improvement </w:t>
      </w:r>
      <w:r w:rsidRPr="00990D3B">
        <w:rPr>
          <w:rFonts w:cs="Arial"/>
          <w:szCs w:val="22"/>
        </w:rPr>
        <w:t xml:space="preserve">was measured, how improvement will be/was sustained, and how </w:t>
      </w:r>
      <w:r w:rsidRPr="00990D3B" w:rsidR="00D50AF4">
        <w:rPr>
          <w:rFonts w:cs="Arial"/>
          <w:szCs w:val="22"/>
        </w:rPr>
        <w:t>enrollee</w:t>
      </w:r>
      <w:r w:rsidRPr="00990D3B">
        <w:rPr>
          <w:rFonts w:cs="Arial"/>
          <w:szCs w:val="22"/>
        </w:rPr>
        <w:t xml:space="preserve"> health outcomes and satisfaction will be/was measured, and how the intervention will/has improved access and/or quality of care.  </w:t>
      </w:r>
    </w:p>
    <w:p w:rsidR="004E5913" w:rsidRPr="00990D3B" w:rsidP="002D35CF" w14:paraId="42516DE4" w14:textId="0D33EA09">
      <w:pPr>
        <w:pStyle w:val="EQRNormalSSWSquestionsub"/>
        <w:numPr>
          <w:ilvl w:val="0"/>
          <w:numId w:val="199"/>
        </w:numPr>
      </w:pPr>
      <w:r w:rsidRPr="00990D3B">
        <w:rPr>
          <w:szCs w:val="22"/>
        </w:rPr>
        <w:t>For MCPs</w:t>
      </w:r>
      <w:r w:rsidRPr="00990D3B" w:rsidR="0090723C">
        <w:rPr>
          <w:szCs w:val="22"/>
        </w:rPr>
        <w:t xml:space="preserve"> serving benef</w:t>
      </w:r>
      <w:r w:rsidRPr="00990D3B" w:rsidR="0090723C">
        <w:t>iciaries who are dually eligible for Medicare and Medicaid</w:t>
      </w:r>
      <w:r w:rsidRPr="00990D3B">
        <w:t>, was a Medicare Advantage PIP substituted for a state-required PIP?</w:t>
      </w:r>
    </w:p>
    <w:p w:rsidR="004E5913" w:rsidRPr="00990D3B" w:rsidP="002D35CF" w14:paraId="48F1A649" w14:textId="2C375935">
      <w:pPr>
        <w:pStyle w:val="EQRNormalSSWSquestionsub"/>
        <w:numPr>
          <w:ilvl w:val="0"/>
          <w:numId w:val="185"/>
        </w:numPr>
        <w:rPr>
          <w:b/>
          <w:szCs w:val="22"/>
        </w:rPr>
      </w:pPr>
      <w:r w:rsidRPr="00990D3B">
        <w:t xml:space="preserve">Has CMS specified any specific PIPs? If yes, what types of projects are required? For each PIP, at a minimum, </w:t>
      </w:r>
      <w:r w:rsidRPr="00990D3B">
        <w:t>include</w:t>
      </w:r>
      <w:r w:rsidRPr="00990D3B">
        <w:t xml:space="preserve"> how significant improvement was measured, how improvement will be/was sustained, and how </w:t>
      </w:r>
      <w:r w:rsidRPr="00990D3B" w:rsidR="00D50AF4">
        <w:t>enrollee</w:t>
      </w:r>
      <w:r w:rsidRPr="00990D3B">
        <w:t xml:space="preserve"> h</w:t>
      </w:r>
      <w:r w:rsidRPr="00990D3B">
        <w:rPr>
          <w:szCs w:val="22"/>
        </w:rPr>
        <w:t>ealth outcomes and satisfaction will be/was measured, and how the intervention will/has improved access and/or quality of care.</w:t>
      </w:r>
    </w:p>
    <w:p w:rsidR="004E5913" w:rsidRPr="00990D3B" w:rsidP="002D35CF" w14:paraId="00272891"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 xml:space="preserve">Does the state require your MCP to collect and submit performance measures or to submit data to the state for it to calculate performance measures? If yes, what performance measures are specified by the state and who calculates each measure, the MCP or the state? </w:t>
      </w:r>
    </w:p>
    <w:p w:rsidR="004E5913" w:rsidRPr="00990D3B" w:rsidP="002D35CF" w14:paraId="794BEF41" w14:textId="77777777">
      <w:pPr>
        <w:pStyle w:val="EQRNormalSSWSquestionsub"/>
        <w:numPr>
          <w:ilvl w:val="0"/>
          <w:numId w:val="200"/>
        </w:numPr>
      </w:pPr>
      <w:r w:rsidRPr="00990D3B">
        <w:rPr>
          <w:szCs w:val="22"/>
        </w:rPr>
        <w:t>If CMS specifies any per</w:t>
      </w:r>
      <w:r w:rsidRPr="00990D3B">
        <w:t xml:space="preserve">formance measures, what performance measures are collected and submitted, if any? </w:t>
      </w:r>
    </w:p>
    <w:p w:rsidR="004E5913" w:rsidRPr="00990D3B" w:rsidP="002D35CF" w14:paraId="712693BD" w14:textId="77777777">
      <w:pPr>
        <w:pStyle w:val="EQRNormalSSWSquestionsub"/>
        <w:numPr>
          <w:ilvl w:val="0"/>
          <w:numId w:val="185"/>
        </w:numPr>
        <w:rPr>
          <w:b/>
          <w:szCs w:val="22"/>
        </w:rPr>
      </w:pPr>
      <w:r w:rsidRPr="00990D3B">
        <w:t>If the MCP provides LTSS, what LTSS performance measures are collected and submitted, including but not limited t</w:t>
      </w:r>
      <w:r w:rsidRPr="00990D3B">
        <w:rPr>
          <w:szCs w:val="22"/>
        </w:rPr>
        <w:t xml:space="preserve">o measures of quality of life, rebalancing institutional and community-based services and community integration activities? </w:t>
      </w:r>
      <w:r w:rsidRPr="00990D3B">
        <w:rPr>
          <w:szCs w:val="22"/>
        </w:rPr>
        <w:tab/>
      </w:r>
    </w:p>
    <w:p w:rsidR="004E5913" w:rsidRPr="00990D3B" w:rsidP="002D35CF" w14:paraId="6FFE9CF0"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b/>
          <w:szCs w:val="22"/>
        </w:rPr>
      </w:pPr>
      <w:r w:rsidRPr="00990D3B">
        <w:rPr>
          <w:rFonts w:cs="Arial"/>
          <w:szCs w:val="22"/>
        </w:rPr>
        <w:t xml:space="preserve">Does the state require your MCP to evaluate the impact and effectiveness of its quality assessment and performance improvement program?   </w:t>
      </w:r>
    </w:p>
    <w:p w:rsidR="004E5913" w:rsidRPr="00990D3B" w:rsidP="002D35CF" w14:paraId="15D796F4" w14:textId="77777777">
      <w:pPr>
        <w:pStyle w:val="EQRNormalSSWSquestionsub"/>
        <w:numPr>
          <w:ilvl w:val="0"/>
          <w:numId w:val="201"/>
        </w:numPr>
      </w:pPr>
      <w:r w:rsidRPr="00990D3B">
        <w:rPr>
          <w:szCs w:val="22"/>
        </w:rPr>
        <w:t>How does your MCP conduct its evaluati</w:t>
      </w:r>
      <w:r w:rsidRPr="00990D3B">
        <w:t>on? What aspects of the program are included in the evaluation?</w:t>
      </w:r>
    </w:p>
    <w:p w:rsidR="004E5913" w:rsidRPr="00990D3B" w:rsidP="002D35CF" w14:paraId="0AC6DA8C" w14:textId="77777777">
      <w:pPr>
        <w:pStyle w:val="EQRNormalSSWSquestionsub"/>
        <w:numPr>
          <w:ilvl w:val="0"/>
          <w:numId w:val="185"/>
        </w:numPr>
      </w:pPr>
      <w:r w:rsidRPr="00990D3B">
        <w:t>How often does your MCP conduct its evaluation?</w:t>
      </w:r>
    </w:p>
    <w:p w:rsidR="004E5913" w:rsidRPr="00990D3B" w:rsidP="002D35CF" w14:paraId="613FF4C8" w14:textId="77777777">
      <w:pPr>
        <w:pStyle w:val="EQRNormalSSWSquestionsub"/>
        <w:numPr>
          <w:ilvl w:val="0"/>
          <w:numId w:val="185"/>
        </w:numPr>
      </w:pPr>
      <w:r w:rsidRPr="00990D3B">
        <w:t xml:space="preserve">What were the findings of the MCP’s most recent self-evaluation?  </w:t>
      </w:r>
    </w:p>
    <w:p w:rsidR="004E5913" w:rsidRPr="00990D3B" w:rsidP="002D35CF" w14:paraId="78451D7B" w14:textId="77777777">
      <w:pPr>
        <w:pStyle w:val="EQRNormalSSWSquestionsub"/>
        <w:numPr>
          <w:ilvl w:val="0"/>
          <w:numId w:val="185"/>
        </w:numPr>
      </w:pPr>
      <w:r w:rsidRPr="00990D3B">
        <w:t xml:space="preserve">What action did the MCP take </w:t>
      </w:r>
      <w:r w:rsidRPr="00990D3B">
        <w:t>as a result of</w:t>
      </w:r>
      <w:r w:rsidRPr="00990D3B">
        <w:t xml:space="preserve"> these findings?</w:t>
      </w:r>
    </w:p>
    <w:p w:rsidR="004E5913" w:rsidRPr="00990D3B" w:rsidP="002D35CF" w14:paraId="34F9EF7A" w14:textId="77777777">
      <w:pPr>
        <w:pStyle w:val="EQRNormalSSWSquestionsub"/>
        <w:numPr>
          <w:ilvl w:val="0"/>
          <w:numId w:val="185"/>
        </w:numPr>
        <w:rPr>
          <w:szCs w:val="22"/>
        </w:rPr>
      </w:pPr>
      <w:r w:rsidRPr="00990D3B">
        <w:t>What is reported to the state, an</w:t>
      </w:r>
      <w:r w:rsidRPr="00990D3B">
        <w:rPr>
          <w:szCs w:val="22"/>
        </w:rPr>
        <w:t>d how often?</w:t>
      </w:r>
    </w:p>
    <w:p w:rsidR="004E5913" w:rsidRPr="00990D3B" w:rsidP="002D35CF" w14:paraId="7364DA8F" w14:textId="626613BA">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 xml:space="preserve">How does the state review the impact and effectiveness of the MCP’s QAPI program, including outcomes and trended results from the PIPs, reporting on performance measures, and the results of community integration for </w:t>
      </w:r>
      <w:r w:rsidRPr="00990D3B" w:rsidR="00622633">
        <w:rPr>
          <w:rFonts w:cs="Arial"/>
          <w:szCs w:val="22"/>
        </w:rPr>
        <w:t>enrollees</w:t>
      </w:r>
      <w:r w:rsidRPr="00990D3B">
        <w:rPr>
          <w:rFonts w:cs="Arial"/>
          <w:szCs w:val="22"/>
        </w:rPr>
        <w:t xml:space="preserve"> receiving LTSS?</w:t>
      </w:r>
    </w:p>
    <w:p w:rsidR="004E5913" w:rsidRPr="00990D3B" w:rsidP="002D35CF" w14:paraId="7F218579" w14:textId="77777777">
      <w:pPr>
        <w:pStyle w:val="EQRNormalSSWSquestionsub"/>
        <w:numPr>
          <w:ilvl w:val="0"/>
          <w:numId w:val="202"/>
        </w:numPr>
      </w:pPr>
      <w:r w:rsidRPr="00990D3B">
        <w:rPr>
          <w:szCs w:val="22"/>
        </w:rPr>
        <w:t xml:space="preserve">What is your </w:t>
      </w:r>
      <w:r w:rsidRPr="00990D3B">
        <w:t>MCP’s role in the state’s evaluation?</w:t>
      </w:r>
    </w:p>
    <w:p w:rsidR="00AE3369" w:rsidRPr="00990D3B" w:rsidP="002D35CF" w14:paraId="02ACD344" w14:textId="77777777">
      <w:pPr>
        <w:pStyle w:val="EQRNormalSSWSquestionsub"/>
        <w:numPr>
          <w:ilvl w:val="0"/>
          <w:numId w:val="185"/>
        </w:numPr>
      </w:pPr>
      <w:r w:rsidRPr="00990D3B">
        <w:t xml:space="preserve">What information, if </w:t>
      </w:r>
      <w:r w:rsidRPr="00990D3B">
        <w:t>any</w:t>
      </w:r>
      <w:r w:rsidRPr="00990D3B">
        <w:t xml:space="preserve">, does your MCP provide to the state? </w:t>
      </w:r>
    </w:p>
    <w:p w:rsidR="004E5913" w:rsidRPr="00990D3B" w:rsidP="002D35CF" w14:paraId="434295F0" w14:textId="6482A2CF">
      <w:pPr>
        <w:pStyle w:val="EQRNormalSSWSquestionsub"/>
        <w:numPr>
          <w:ilvl w:val="0"/>
          <w:numId w:val="185"/>
        </w:numPr>
        <w:rPr>
          <w:szCs w:val="22"/>
        </w:rPr>
      </w:pPr>
      <w:r w:rsidRPr="00990D3B">
        <w:t>What fe</w:t>
      </w:r>
      <w:r w:rsidRPr="00990D3B">
        <w:rPr>
          <w:szCs w:val="22"/>
        </w:rPr>
        <w:t>edback, if any, does your MCP receive from the state? How does your MCP implement the feedback?</w:t>
      </w:r>
      <w:bookmarkStart w:id="429" w:name="_Case_Managers_and"/>
      <w:bookmarkEnd w:id="429"/>
      <w:r w:rsidRPr="00990D3B">
        <w:rPr>
          <w:szCs w:val="22"/>
        </w:rPr>
        <w:br w:type="page"/>
      </w:r>
    </w:p>
    <w:p w:rsidR="004E5913" w:rsidRPr="00990D3B" w:rsidP="002B40CC" w14:paraId="6C7EFA44" w14:textId="77777777">
      <w:pPr>
        <w:pStyle w:val="H2EQRWorksheet"/>
      </w:pPr>
      <w:r w:rsidRPr="00990D3B">
        <w:t>Case Managers and Care Coordinators Interview</w:t>
      </w:r>
    </w:p>
    <w:p w:rsidR="004E5913" w:rsidRPr="00990D3B" w:rsidP="00BD1FC3" w14:paraId="5E53F9FD" w14:textId="5529B6A8">
      <w:pPr>
        <w:pStyle w:val="EQRNormalSSWORKSHEET"/>
      </w:pPr>
      <w:r w:rsidRPr="00990D3B">
        <w:rPr>
          <w:b/>
        </w:rPr>
        <w:t>Instructions.</w:t>
      </w:r>
      <w:r w:rsidRPr="00990D3B">
        <w:t xml:space="preserve"> Case managers and care coordinators typically are among the few MCP staff with opportunity to interact closely and directly with Medicaid and CHIP enrollees. These individuals are often responsible for guiding enrollees to the care and services available through their benefits and the provider network. These individuals play a key role in assisting enrollees in managing and maintaining their health and managing complex conditions.  Interviewing these individuals will provide </w:t>
      </w:r>
      <w:r w:rsidRPr="00990D3B">
        <w:t>reviewers</w:t>
      </w:r>
      <w:r w:rsidRPr="00990D3B">
        <w:t xml:space="preserve"> the opportunity to discuss topics surrounding MCP processes related to service availability, enrollee needs and special populations, and continuity and coordination of care. [Note: This interview can be combined with the Medical Director interview or the Utilization Management interview.]</w:t>
      </w:r>
    </w:p>
    <w:p w:rsidR="004E5913" w:rsidRPr="00990D3B" w:rsidP="00BA7B0F" w14:paraId="56AA3F58" w14:textId="15F365E0">
      <w:pPr>
        <w:pStyle w:val="EQRNormalSSWORKSHEET"/>
        <w:keepNext/>
        <w:rPr>
          <w:rFonts w:cs="Arial"/>
          <w:b/>
          <w:szCs w:val="22"/>
        </w:rPr>
      </w:pPr>
      <w:r w:rsidRPr="00990D3B">
        <w:rPr>
          <w:rFonts w:cs="Arial"/>
          <w:b/>
          <w:szCs w:val="22"/>
        </w:rPr>
        <w:t>Enrollee rights (</w:t>
      </w:r>
      <w:r w:rsidRPr="00990D3B" w:rsidR="001C7FC0">
        <w:rPr>
          <w:rFonts w:cs="Arial"/>
          <w:b/>
          <w:szCs w:val="22"/>
        </w:rPr>
        <w:t>42 C.F.R.</w:t>
      </w:r>
      <w:r w:rsidRPr="00990D3B" w:rsidR="007854DF">
        <w:rPr>
          <w:rFonts w:cs="Arial"/>
          <w:b/>
          <w:szCs w:val="22"/>
        </w:rPr>
        <w:t xml:space="preserve"> </w:t>
      </w:r>
      <w:r w:rsidRPr="00990D3B">
        <w:rPr>
          <w:rFonts w:cs="Arial"/>
          <w:b/>
          <w:szCs w:val="22"/>
        </w:rPr>
        <w:t xml:space="preserve">438.100, and </w:t>
      </w:r>
      <w:r w:rsidRPr="00990D3B" w:rsidR="001C7FC0">
        <w:rPr>
          <w:rFonts w:cs="Arial"/>
          <w:b/>
          <w:szCs w:val="22"/>
        </w:rPr>
        <w:t>42 C.F.R.</w:t>
      </w:r>
      <w:r w:rsidRPr="00990D3B" w:rsidR="007854DF">
        <w:rPr>
          <w:rFonts w:cs="Arial"/>
          <w:b/>
          <w:szCs w:val="22"/>
        </w:rPr>
        <w:t xml:space="preserve"> </w:t>
      </w:r>
      <w:r w:rsidRPr="00990D3B">
        <w:rPr>
          <w:rFonts w:cs="Arial"/>
          <w:b/>
          <w:szCs w:val="22"/>
        </w:rPr>
        <w:t>438.206-210)</w:t>
      </w:r>
    </w:p>
    <w:p w:rsidR="004E5913" w:rsidRPr="00990D3B" w:rsidP="002D35CF" w14:paraId="5C4CE40A" w14:textId="77777777">
      <w:pPr>
        <w:pStyle w:val="EQRNormalSSWSquestionNUMBER"/>
        <w:numPr>
          <w:ilvl w:val="0"/>
          <w:numId w:val="203"/>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How are the available options for LTSS identified and presented to enrollees?</w:t>
      </w:r>
    </w:p>
    <w:p w:rsidR="004E5913" w:rsidRPr="00990D3B" w:rsidP="002D35CF" w14:paraId="0CD54201"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How are enrollees engaged in decisions about the use of LTSS?</w:t>
      </w:r>
    </w:p>
    <w:p w:rsidR="004E5913" w:rsidRPr="00990D3B" w:rsidP="002D35CF" w14:paraId="6C51E931"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b/>
          <w:szCs w:val="22"/>
        </w:rPr>
      </w:pPr>
      <w:r w:rsidRPr="00990D3B">
        <w:rPr>
          <w:rFonts w:cs="Arial"/>
          <w:szCs w:val="22"/>
        </w:rPr>
        <w:t>How is the enrollee’s right to be free from restraint or seclusion monitored for enrollees receiving LTSS?</w:t>
      </w:r>
    </w:p>
    <w:p w:rsidR="004E5913" w:rsidRPr="00990D3B" w:rsidP="00BA7B0F" w14:paraId="1D6BEBEC" w14:textId="220FFA40">
      <w:pPr>
        <w:pStyle w:val="EQRNormalSSWORKSHEET"/>
        <w:keepNext/>
        <w:rPr>
          <w:rFonts w:cs="Arial"/>
          <w:b/>
          <w:szCs w:val="22"/>
        </w:rPr>
      </w:pPr>
      <w:r w:rsidRPr="00990D3B">
        <w:rPr>
          <w:rFonts w:cs="Arial"/>
          <w:b/>
          <w:szCs w:val="22"/>
        </w:rPr>
        <w:t>Enrollee right to participate in decisions regarding his or her health care (</w:t>
      </w:r>
      <w:r w:rsidRPr="00990D3B" w:rsidR="001C7FC0">
        <w:rPr>
          <w:rFonts w:cs="Arial"/>
          <w:b/>
          <w:szCs w:val="22"/>
        </w:rPr>
        <w:t>42 C.F.R.</w:t>
      </w:r>
      <w:r w:rsidRPr="00990D3B" w:rsidR="007854DF">
        <w:rPr>
          <w:rFonts w:cs="Arial"/>
          <w:b/>
          <w:szCs w:val="22"/>
        </w:rPr>
        <w:t xml:space="preserve"> </w:t>
      </w:r>
      <w:r w:rsidRPr="00990D3B">
        <w:rPr>
          <w:rFonts w:cs="Arial"/>
          <w:b/>
          <w:szCs w:val="22"/>
        </w:rPr>
        <w:t>438.100(b)(iv) and 457.1220)</w:t>
      </w:r>
    </w:p>
    <w:p w:rsidR="004E5913" w:rsidRPr="00990D3B" w:rsidP="002D35CF" w14:paraId="50467E98" w14:textId="77777777">
      <w:pPr>
        <w:pStyle w:val="EQRNormalSSWSquestionNUMBER"/>
        <w:numPr>
          <w:ilvl w:val="0"/>
          <w:numId w:val="204"/>
        </w:numPr>
        <w:tabs>
          <w:tab w:val="left" w:pos="-1080"/>
          <w:tab w:val="left" w:pos="-720"/>
          <w:tab w:val="left" w:pos="0"/>
          <w:tab w:val="left" w:pos="360"/>
          <w:tab w:val="left" w:pos="720"/>
          <w:tab w:val="left" w:pos="1080"/>
        </w:tabs>
        <w:spacing w:before="0" w:after="240"/>
        <w:rPr>
          <w:rFonts w:cs="Arial"/>
          <w:b/>
          <w:szCs w:val="22"/>
        </w:rPr>
      </w:pPr>
      <w:r w:rsidRPr="00990D3B">
        <w:rPr>
          <w:rFonts w:cs="Arial"/>
          <w:szCs w:val="22"/>
        </w:rPr>
        <w:t>To what extent does the MCP allow enrollees to participate in care and treatment decisions?  Please describe some of the ways in which this is accomplished.</w:t>
      </w:r>
    </w:p>
    <w:p w:rsidR="004E5913" w:rsidRPr="00990D3B" w:rsidP="00BA7B0F" w14:paraId="3B738076" w14:textId="513E1E89">
      <w:pPr>
        <w:pStyle w:val="EQRNormalSSWORKSHEET"/>
        <w:keepNext/>
        <w:rPr>
          <w:rFonts w:cs="Arial"/>
          <w:b/>
          <w:szCs w:val="22"/>
        </w:rPr>
      </w:pPr>
      <w:r w:rsidRPr="00990D3B">
        <w:rPr>
          <w:rFonts w:cs="Arial"/>
          <w:b/>
          <w:szCs w:val="22"/>
        </w:rPr>
        <w:t>Availability of services (</w:t>
      </w:r>
      <w:r w:rsidRPr="00990D3B" w:rsidR="001C7FC0">
        <w:rPr>
          <w:rFonts w:cs="Arial"/>
          <w:b/>
          <w:szCs w:val="22"/>
        </w:rPr>
        <w:t>42 C.F.R.</w:t>
      </w:r>
      <w:r w:rsidRPr="00990D3B" w:rsidR="007854DF">
        <w:rPr>
          <w:rFonts w:cs="Arial"/>
          <w:b/>
          <w:szCs w:val="22"/>
        </w:rPr>
        <w:t xml:space="preserve"> </w:t>
      </w:r>
      <w:r w:rsidRPr="00990D3B">
        <w:rPr>
          <w:rFonts w:cs="Arial"/>
          <w:b/>
          <w:szCs w:val="22"/>
        </w:rPr>
        <w:t>438.206)</w:t>
      </w:r>
    </w:p>
    <w:p w:rsidR="00923DBC" w:rsidRPr="00990D3B" w:rsidP="002D35CF" w14:paraId="4350A3DA" w14:textId="144CEFCE">
      <w:pPr>
        <w:pStyle w:val="EQRNormalSSWSquestionNUMBER"/>
        <w:numPr>
          <w:ilvl w:val="0"/>
          <w:numId w:val="205"/>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How does the MCP evaluate the expected utilization of institutional care in comparison with the use of HCBS as an alternative?</w:t>
      </w:r>
    </w:p>
    <w:p w:rsidR="004E5913" w:rsidRPr="00990D3B" w:rsidP="002D35CF" w14:paraId="6CF5C395"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 xml:space="preserve">How does the MCP evaluate availability of services for individuals with intellectual and developmental disabilities? What factors are used to evaluate the network? </w:t>
      </w:r>
    </w:p>
    <w:p w:rsidR="004E5913" w:rsidRPr="00990D3B" w:rsidP="002D35CF" w14:paraId="2B5D2BA2"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How does the MCP evaluate availability of services for children with special health care needs? What factors are used to evaluate the network?</w:t>
      </w:r>
    </w:p>
    <w:p w:rsidR="004E5913" w:rsidRPr="00990D3B" w:rsidP="002D35CF" w14:paraId="305FAD1C"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How does the MCP evaluate availability of services for individuals with behavioral health conditions? What factors are used to evaluate the network?</w:t>
      </w:r>
    </w:p>
    <w:p w:rsidR="004E5913" w:rsidRPr="00990D3B" w:rsidP="002D35CF" w14:paraId="6180DB0B" w14:textId="57264A01">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 xml:space="preserve">How does the MCP evaluate availability of services </w:t>
      </w:r>
      <w:r w:rsidRPr="00990D3B">
        <w:rPr>
          <w:rFonts w:cs="Arial"/>
          <w:szCs w:val="22"/>
        </w:rPr>
        <w:t xml:space="preserve">for </w:t>
      </w:r>
      <w:r w:rsidRPr="00990D3B" w:rsidR="0090723C">
        <w:rPr>
          <w:rFonts w:cs="Arial"/>
          <w:szCs w:val="22"/>
        </w:rPr>
        <w:t xml:space="preserve"> beneficiaries</w:t>
      </w:r>
      <w:r w:rsidRPr="00990D3B" w:rsidR="0090723C">
        <w:rPr>
          <w:rFonts w:cs="Arial"/>
          <w:szCs w:val="22"/>
        </w:rPr>
        <w:t xml:space="preserve"> who are dually eligible for Medicare and Medicaid</w:t>
      </w:r>
      <w:r w:rsidRPr="00990D3B">
        <w:rPr>
          <w:rFonts w:cs="Arial"/>
          <w:szCs w:val="22"/>
        </w:rPr>
        <w:t>? What factors are used to evaluate the network?</w:t>
      </w:r>
    </w:p>
    <w:p w:rsidR="004E5913" w:rsidRPr="00990D3B" w:rsidP="002D35CF" w14:paraId="276026F7"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How does the MCP evaluate availability of services for individuals with HIV? What factors are used to evaluate the network?</w:t>
      </w:r>
    </w:p>
    <w:p w:rsidR="004E5913" w:rsidRPr="00990D3B" w:rsidP="002D35CF" w14:paraId="2EC38FC6"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 xml:space="preserve">What methods does the MCP use to improve cultural competency? </w:t>
      </w:r>
    </w:p>
    <w:p w:rsidR="004E5913" w:rsidRPr="00990D3B" w:rsidP="00BA7B0F" w14:paraId="1F6F61B1" w14:textId="47F22EDC">
      <w:pPr>
        <w:pStyle w:val="EQRNormalSSWORKSHEET"/>
        <w:keepNext/>
        <w:rPr>
          <w:rFonts w:cs="Arial"/>
          <w:b/>
          <w:szCs w:val="22"/>
        </w:rPr>
      </w:pPr>
      <w:r w:rsidRPr="00990D3B">
        <w:rPr>
          <w:rFonts w:cs="Arial"/>
          <w:b/>
          <w:szCs w:val="22"/>
        </w:rPr>
        <w:t>Furnishing of services and timely access (</w:t>
      </w:r>
      <w:r w:rsidRPr="00990D3B" w:rsidR="001C7FC0">
        <w:rPr>
          <w:rFonts w:cs="Arial"/>
          <w:b/>
          <w:szCs w:val="22"/>
        </w:rPr>
        <w:t>42 C.F.R.</w:t>
      </w:r>
      <w:r w:rsidRPr="00990D3B" w:rsidR="007854DF">
        <w:rPr>
          <w:rFonts w:cs="Arial"/>
          <w:b/>
          <w:szCs w:val="22"/>
        </w:rPr>
        <w:t xml:space="preserve"> </w:t>
      </w:r>
      <w:r w:rsidRPr="00990D3B">
        <w:rPr>
          <w:rFonts w:cs="Arial"/>
          <w:b/>
          <w:szCs w:val="22"/>
        </w:rPr>
        <w:t>438.206(c) and 457.1230(a))</w:t>
      </w:r>
    </w:p>
    <w:p w:rsidR="004E5913" w:rsidRPr="00990D3B" w:rsidP="002D35CF" w14:paraId="0F039713" w14:textId="77777777">
      <w:pPr>
        <w:pStyle w:val="EQRNormalSSWSquestionNUMBER"/>
        <w:numPr>
          <w:ilvl w:val="0"/>
          <w:numId w:val="206"/>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To what extent are services offered through the MCP available to Medicaid and CHIP enrollees and others coordinating care 24 hours per day, 7 days per week when medically necessary?</w:t>
      </w:r>
    </w:p>
    <w:p w:rsidR="004E5913" w:rsidRPr="00990D3B" w:rsidP="002D35CF" w14:paraId="17C76A3A"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b/>
          <w:szCs w:val="22"/>
        </w:rPr>
      </w:pPr>
      <w:r w:rsidRPr="00990D3B">
        <w:rPr>
          <w:rFonts w:cs="Arial"/>
          <w:szCs w:val="22"/>
        </w:rPr>
        <w:t>What types of services require pre-authorization?</w:t>
      </w:r>
    </w:p>
    <w:p w:rsidR="004E5913" w:rsidRPr="00990D3B" w:rsidP="00BA7B0F" w14:paraId="584300FF" w14:textId="630254BC">
      <w:pPr>
        <w:pStyle w:val="EQRNormalSSWORKSHEET"/>
        <w:keepNext/>
        <w:rPr>
          <w:rFonts w:cs="Arial"/>
          <w:b/>
          <w:szCs w:val="22"/>
        </w:rPr>
      </w:pPr>
      <w:r w:rsidRPr="00990D3B">
        <w:rPr>
          <w:rFonts w:cs="Arial"/>
          <w:b/>
          <w:szCs w:val="22"/>
        </w:rPr>
        <w:t>Coordination and continuity of care (</w:t>
      </w:r>
      <w:r w:rsidRPr="00990D3B" w:rsidR="001C7FC0">
        <w:rPr>
          <w:rFonts w:cs="Arial"/>
          <w:b/>
          <w:szCs w:val="22"/>
        </w:rPr>
        <w:t>42 C.F.R.</w:t>
      </w:r>
      <w:r w:rsidRPr="00990D3B" w:rsidR="007854DF">
        <w:rPr>
          <w:rFonts w:cs="Arial"/>
          <w:b/>
          <w:szCs w:val="22"/>
        </w:rPr>
        <w:t xml:space="preserve"> </w:t>
      </w:r>
      <w:r w:rsidRPr="00990D3B">
        <w:rPr>
          <w:rFonts w:cs="Arial"/>
          <w:b/>
          <w:szCs w:val="22"/>
        </w:rPr>
        <w:t>438.208 and 457.1230(c))</w:t>
      </w:r>
    </w:p>
    <w:p w:rsidR="004E5913" w:rsidRPr="00990D3B" w:rsidP="002D35CF" w14:paraId="1D8A0CE2" w14:textId="77777777">
      <w:pPr>
        <w:pStyle w:val="EQRNormalSSWSquestionNUMBER"/>
        <w:numPr>
          <w:ilvl w:val="0"/>
          <w:numId w:val="207"/>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Does this MCP screen Medicaid and CHIP enrollees to identify those with special health care needs?  If yes, how is this implemented?</w:t>
      </w:r>
    </w:p>
    <w:p w:rsidR="004E5913" w:rsidRPr="00990D3B" w:rsidP="002D35CF" w14:paraId="541CF033" w14:textId="6B799752">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 xml:space="preserve">How are Medicaid and CHIP enrollees with special health care needs—including any individuals with special health care needs identified by your MCP and any identified by the state Medicaid </w:t>
      </w:r>
      <w:r w:rsidRPr="00990D3B" w:rsidR="00364658">
        <w:rPr>
          <w:rFonts w:cs="Arial"/>
          <w:szCs w:val="22"/>
        </w:rPr>
        <w:t xml:space="preserve">program </w:t>
      </w:r>
      <w:r w:rsidRPr="00990D3B">
        <w:rPr>
          <w:rFonts w:cs="Arial"/>
          <w:szCs w:val="22"/>
        </w:rPr>
        <w:t>or its agent—identified and tracked within your MCP?</w:t>
      </w:r>
    </w:p>
    <w:p w:rsidR="004E5913" w:rsidRPr="00990D3B" w:rsidP="002D35CF" w14:paraId="7537B3E8"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 xml:space="preserve">Does this MCP assess Medicaid and CHIP </w:t>
      </w:r>
      <w:r w:rsidRPr="00990D3B">
        <w:rPr>
          <w:rFonts w:cs="Arial"/>
          <w:szCs w:val="22"/>
        </w:rPr>
        <w:t>enrollees</w:t>
      </w:r>
      <w:r w:rsidRPr="00990D3B">
        <w:rPr>
          <w:rFonts w:cs="Arial"/>
          <w:szCs w:val="22"/>
        </w:rPr>
        <w:t xml:space="preserve"> with special health care needs?  If yes, how are these activities conducted?</w:t>
      </w:r>
    </w:p>
    <w:p w:rsidR="004E5913" w:rsidRPr="00990D3B" w:rsidP="002D35CF" w14:paraId="74FDD43F"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 xml:space="preserve">Does this MCP require written treatment plans to be developed for </w:t>
      </w:r>
      <w:r w:rsidRPr="00990D3B">
        <w:rPr>
          <w:rFonts w:cs="Arial"/>
          <w:szCs w:val="22"/>
        </w:rPr>
        <w:t>enrollees</w:t>
      </w:r>
      <w:r w:rsidRPr="00990D3B">
        <w:rPr>
          <w:rFonts w:cs="Arial"/>
          <w:szCs w:val="22"/>
        </w:rPr>
        <w:t xml:space="preserve"> with ongoing special conditions that require a course of treatment or regular care monitoring?  If yes, how is it decided which Medicaid and CHIP enrollees will receive a written treatment plan?</w:t>
      </w:r>
    </w:p>
    <w:p w:rsidR="004E5913" w:rsidRPr="00990D3B" w:rsidP="002D35CF" w14:paraId="48C47696"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If treatment plans are required by this MCP, how does the MCP ensure that treatment plans for individuals with special health care needs address the needs identified by the assessment?</w:t>
      </w:r>
    </w:p>
    <w:p w:rsidR="004E5913" w:rsidRPr="00990D3B" w:rsidP="002D35CF" w14:paraId="34064284"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Please describe the treatment planning process for individuals with special health care needs and the process for determining and assuring appropriate use of specialists.</w:t>
      </w:r>
    </w:p>
    <w:p w:rsidR="004E5913" w:rsidRPr="00990D3B" w:rsidP="002D35CF" w14:paraId="6F329C9D"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b/>
          <w:szCs w:val="22"/>
        </w:rPr>
      </w:pPr>
      <w:r w:rsidRPr="00990D3B">
        <w:rPr>
          <w:rFonts w:cs="Arial"/>
          <w:szCs w:val="22"/>
        </w:rPr>
        <w:t xml:space="preserve">Within the last year, how many treatment plans have been developed?  </w:t>
      </w:r>
    </w:p>
    <w:p w:rsidR="004E5913" w:rsidRPr="00990D3B" w:rsidP="002D35CF" w14:paraId="03AF2B00" w14:textId="32AF1BA0">
      <w:pPr>
        <w:pStyle w:val="EQRNormalSSWSquestionsub"/>
        <w:numPr>
          <w:ilvl w:val="0"/>
          <w:numId w:val="208"/>
        </w:numPr>
      </w:pPr>
      <w:r w:rsidRPr="00990D3B">
        <w:rPr>
          <w:szCs w:val="22"/>
        </w:rPr>
        <w:t>How many requests made by en</w:t>
      </w:r>
      <w:r w:rsidRPr="00990D3B">
        <w:t xml:space="preserve">rollees </w:t>
      </w:r>
      <w:r w:rsidRPr="00990D3B" w:rsidR="00D82B20">
        <w:t>to review</w:t>
      </w:r>
      <w:r w:rsidRPr="00990D3B">
        <w:t xml:space="preserve"> treatment plans have been denied?  </w:t>
      </w:r>
    </w:p>
    <w:p w:rsidR="004E5913" w:rsidRPr="00990D3B" w:rsidP="002D35CF" w14:paraId="72114B21" w14:textId="77777777">
      <w:pPr>
        <w:pStyle w:val="EQRNormalSSWSquestionsub"/>
        <w:numPr>
          <w:ilvl w:val="0"/>
          <w:numId w:val="185"/>
        </w:numPr>
      </w:pPr>
      <w:r w:rsidRPr="00990D3B">
        <w:t xml:space="preserve">What were the reasons for these denials?  </w:t>
      </w:r>
    </w:p>
    <w:p w:rsidR="004E5913" w:rsidRPr="00990D3B" w:rsidP="002D35CF" w14:paraId="1C7C30AB" w14:textId="77777777">
      <w:pPr>
        <w:pStyle w:val="EQRNormalSSWSquestionsub"/>
        <w:numPr>
          <w:ilvl w:val="0"/>
          <w:numId w:val="185"/>
        </w:numPr>
      </w:pPr>
      <w:r w:rsidRPr="00990D3B">
        <w:t>How many treatment plans have been denied?</w:t>
      </w:r>
    </w:p>
    <w:p w:rsidR="004E5913" w:rsidRPr="00990D3B" w:rsidP="002D35CF" w14:paraId="6363D760" w14:textId="77777777">
      <w:pPr>
        <w:pStyle w:val="EQRNormalSSWSquestionsub"/>
        <w:numPr>
          <w:ilvl w:val="0"/>
          <w:numId w:val="185"/>
        </w:numPr>
        <w:rPr>
          <w:b/>
          <w:szCs w:val="22"/>
        </w:rPr>
      </w:pPr>
      <w:r w:rsidRPr="00990D3B">
        <w:t xml:space="preserve"> What were the reason</w:t>
      </w:r>
      <w:r w:rsidRPr="00990D3B">
        <w:rPr>
          <w:szCs w:val="22"/>
        </w:rPr>
        <w:t xml:space="preserve">s for these denials?  </w:t>
      </w:r>
    </w:p>
    <w:p w:rsidR="004E5913" w:rsidRPr="00990D3B" w:rsidP="002D35CF" w14:paraId="084A741E"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b/>
          <w:szCs w:val="22"/>
        </w:rPr>
      </w:pPr>
      <w:r w:rsidRPr="00990D3B">
        <w:rPr>
          <w:rFonts w:cs="Arial"/>
          <w:szCs w:val="22"/>
        </w:rPr>
        <w:t xml:space="preserve">What process(es) is/are used to coordinate services for </w:t>
      </w:r>
      <w:r w:rsidRPr="00990D3B">
        <w:rPr>
          <w:rFonts w:cs="Arial"/>
          <w:szCs w:val="22"/>
        </w:rPr>
        <w:t>enrollees</w:t>
      </w:r>
      <w:r w:rsidRPr="00990D3B">
        <w:rPr>
          <w:rFonts w:cs="Arial"/>
          <w:szCs w:val="22"/>
        </w:rPr>
        <w:t xml:space="preserve">?  </w:t>
      </w:r>
    </w:p>
    <w:p w:rsidR="004E5913" w:rsidRPr="00990D3B" w:rsidP="002D35CF" w14:paraId="2B554824" w14:textId="77777777">
      <w:pPr>
        <w:pStyle w:val="EQRNormalSSWSquestionsub"/>
        <w:numPr>
          <w:ilvl w:val="0"/>
          <w:numId w:val="209"/>
        </w:numPr>
        <w:rPr>
          <w:b/>
          <w:szCs w:val="22"/>
        </w:rPr>
      </w:pPr>
      <w:r w:rsidRPr="00990D3B">
        <w:rPr>
          <w:szCs w:val="22"/>
        </w:rPr>
        <w:t xml:space="preserve">Are </w:t>
      </w:r>
      <w:r w:rsidRPr="00990D3B">
        <w:rPr>
          <w:szCs w:val="22"/>
        </w:rPr>
        <w:t>their</w:t>
      </w:r>
      <w:r w:rsidRPr="00990D3B">
        <w:rPr>
          <w:szCs w:val="22"/>
        </w:rPr>
        <w:t xml:space="preserve"> different types of care coordination mechanisms for different types of enrollees?  If yes, how are these </w:t>
      </w:r>
      <w:r w:rsidRPr="00990D3B">
        <w:t>different</w:t>
      </w:r>
      <w:r w:rsidRPr="00990D3B">
        <w:rPr>
          <w:szCs w:val="22"/>
        </w:rPr>
        <w:t xml:space="preserve"> and how do they work?</w:t>
      </w:r>
    </w:p>
    <w:p w:rsidR="004E5913" w:rsidRPr="00990D3B" w:rsidP="002D35CF" w14:paraId="01BD4B1F"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Who is responsible for coordinating the care of individuals with special health care needs?</w:t>
      </w:r>
    </w:p>
    <w:p w:rsidR="004E5913" w:rsidRPr="00990D3B" w:rsidP="002D35CF" w14:paraId="55F7A706"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 xml:space="preserve">What are the procedures for coordinating the services that the MCP furnishes to the enrollee with services the Medicaid and CHIP enrollee receives from any other MCOs, PIHPs, and PAHPs? </w:t>
      </w:r>
    </w:p>
    <w:p w:rsidR="004E5913" w:rsidRPr="00990D3B" w:rsidP="002D35CF" w14:paraId="18CF64F4" w14:textId="240A8D04">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If the MCP establishes separate coordination of care for medical services, LTSS, and mental health and substance abuse services, how does the MCP ensure exchange of necessary information between providers?</w:t>
      </w:r>
    </w:p>
    <w:p w:rsidR="004E5913" w:rsidRPr="00990D3B" w:rsidP="002D35CF" w14:paraId="6760B1F7"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How is post-acute care coordinated?</w:t>
      </w:r>
    </w:p>
    <w:p w:rsidR="004E5913" w:rsidRPr="00990D3B" w:rsidP="002D35CF" w14:paraId="03983BF5"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b/>
          <w:szCs w:val="22"/>
        </w:rPr>
      </w:pPr>
      <w:r w:rsidRPr="00990D3B">
        <w:rPr>
          <w:rFonts w:cs="Arial"/>
          <w:szCs w:val="22"/>
        </w:rPr>
        <w:t>How are LTSS providers involved in person-centered assessment, person-centered care and service planning, coordination and authorization processes?</w:t>
      </w:r>
    </w:p>
    <w:p w:rsidR="00D41EB2" w:rsidRPr="00990D3B" w:rsidP="00BD1FC3" w14:paraId="78100F0B" w14:textId="77777777">
      <w:pPr>
        <w:spacing w:line="240" w:lineRule="auto"/>
        <w:rPr>
          <w:rFonts w:ascii="Arial" w:hAnsi="Arial" w:cs="Arial"/>
          <w:b/>
          <w:sz w:val="18"/>
          <w:szCs w:val="22"/>
        </w:rPr>
      </w:pPr>
      <w:r w:rsidRPr="00990D3B">
        <w:rPr>
          <w:rFonts w:ascii="Arial" w:hAnsi="Arial" w:cs="Arial"/>
          <w:b/>
          <w:sz w:val="18"/>
          <w:szCs w:val="22"/>
        </w:rPr>
        <w:br w:type="page"/>
      </w:r>
    </w:p>
    <w:p w:rsidR="004E5913" w:rsidRPr="00990D3B" w:rsidP="00BA7B0F" w14:paraId="0240D6B6" w14:textId="26CE29B7">
      <w:pPr>
        <w:pStyle w:val="EQRNormalSSWORKSHEET"/>
        <w:keepNext/>
        <w:rPr>
          <w:rFonts w:cs="Arial"/>
          <w:b/>
          <w:szCs w:val="22"/>
        </w:rPr>
      </w:pPr>
      <w:r w:rsidRPr="00990D3B">
        <w:rPr>
          <w:rFonts w:cs="Arial"/>
          <w:b/>
          <w:szCs w:val="22"/>
        </w:rPr>
        <w:t>Coverage and authorization (</w:t>
      </w:r>
      <w:r w:rsidRPr="00990D3B" w:rsidR="001C7FC0">
        <w:rPr>
          <w:rFonts w:cs="Arial"/>
          <w:b/>
          <w:szCs w:val="22"/>
        </w:rPr>
        <w:t>42 C.F.R.</w:t>
      </w:r>
      <w:r w:rsidRPr="00990D3B" w:rsidR="007854DF">
        <w:rPr>
          <w:rFonts w:cs="Arial"/>
          <w:b/>
          <w:szCs w:val="22"/>
        </w:rPr>
        <w:t xml:space="preserve"> </w:t>
      </w:r>
      <w:r w:rsidRPr="00990D3B">
        <w:rPr>
          <w:rFonts w:cs="Arial"/>
          <w:b/>
          <w:szCs w:val="22"/>
        </w:rPr>
        <w:t>438.210 and 457.1230(d))</w:t>
      </w:r>
    </w:p>
    <w:p w:rsidR="004E5913" w:rsidRPr="00990D3B" w:rsidP="002D35CF" w14:paraId="0C79BA25" w14:textId="77777777">
      <w:pPr>
        <w:pStyle w:val="EQRNormalSSWSquestionNUMBER"/>
        <w:numPr>
          <w:ilvl w:val="0"/>
          <w:numId w:val="212"/>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What types of services require pre-authorization?</w:t>
      </w:r>
    </w:p>
    <w:p w:rsidR="004E5913" w:rsidRPr="00990D3B" w:rsidP="002D35CF" w14:paraId="34E6CF7F"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b/>
          <w:szCs w:val="22"/>
        </w:rPr>
      </w:pPr>
      <w:r w:rsidRPr="00990D3B">
        <w:rPr>
          <w:rFonts w:cs="Arial"/>
          <w:szCs w:val="22"/>
        </w:rPr>
        <w:t xml:space="preserve">Are emergency back-up plans created for all </w:t>
      </w:r>
      <w:r w:rsidRPr="00990D3B">
        <w:rPr>
          <w:rFonts w:cs="Arial"/>
          <w:szCs w:val="22"/>
        </w:rPr>
        <w:t>enrollee’s</w:t>
      </w:r>
      <w:r w:rsidRPr="00990D3B">
        <w:rPr>
          <w:rFonts w:cs="Arial"/>
          <w:szCs w:val="22"/>
        </w:rPr>
        <w:t>? If not, how is the need for an emergency back-up plan determined? How is the emergency back-up plan shared with all appropriate parties?</w:t>
      </w:r>
    </w:p>
    <w:p w:rsidR="004E5913" w:rsidRPr="00990D3B" w:rsidP="00BA7B0F" w14:paraId="15B3127F" w14:textId="46724D6A">
      <w:pPr>
        <w:pStyle w:val="EQRNormalSSWORKSHEET"/>
        <w:keepNext/>
        <w:rPr>
          <w:rFonts w:cs="Arial"/>
          <w:b/>
          <w:szCs w:val="22"/>
        </w:rPr>
      </w:pPr>
      <w:bookmarkStart w:id="430" w:name="_Providers_and_Contractors"/>
      <w:bookmarkEnd w:id="430"/>
      <w:r w:rsidRPr="00990D3B">
        <w:rPr>
          <w:rFonts w:cs="Arial"/>
          <w:b/>
          <w:szCs w:val="22"/>
        </w:rPr>
        <w:t>QAPI</w:t>
      </w:r>
      <w:r w:rsidRPr="00990D3B">
        <w:rPr>
          <w:rFonts w:cs="Arial"/>
          <w:b/>
          <w:szCs w:val="22"/>
        </w:rPr>
        <w:t xml:space="preserve"> (</w:t>
      </w:r>
      <w:r w:rsidRPr="00990D3B" w:rsidR="001C7FC0">
        <w:rPr>
          <w:rFonts w:cs="Arial"/>
          <w:b/>
          <w:szCs w:val="22"/>
        </w:rPr>
        <w:t>42 C.F.R.</w:t>
      </w:r>
      <w:r w:rsidRPr="00990D3B" w:rsidR="007854DF">
        <w:rPr>
          <w:rFonts w:cs="Arial"/>
          <w:b/>
          <w:szCs w:val="22"/>
        </w:rPr>
        <w:t xml:space="preserve"> </w:t>
      </w:r>
      <w:r w:rsidRPr="00990D3B">
        <w:rPr>
          <w:rFonts w:cs="Arial"/>
          <w:b/>
          <w:szCs w:val="22"/>
        </w:rPr>
        <w:t>438.330 and 457.1240(b))</w:t>
      </w:r>
    </w:p>
    <w:p w:rsidR="004E5913" w:rsidRPr="00990D3B" w:rsidP="002D35CF" w14:paraId="11D954CA" w14:textId="77777777">
      <w:pPr>
        <w:pStyle w:val="EQRNormalSSWSquestionNUMBER"/>
        <w:numPr>
          <w:ilvl w:val="0"/>
          <w:numId w:val="213"/>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 xml:space="preserve">What processes does the MCP have to detect underutilization and overutilization? What activities, such as QAPI projects, </w:t>
      </w:r>
      <w:r w:rsidRPr="00990D3B">
        <w:rPr>
          <w:rFonts w:cs="Arial"/>
          <w:szCs w:val="22"/>
        </w:rPr>
        <w:t>has</w:t>
      </w:r>
      <w:r w:rsidRPr="00990D3B">
        <w:rPr>
          <w:rFonts w:cs="Arial"/>
          <w:szCs w:val="22"/>
        </w:rPr>
        <w:t xml:space="preserve"> the MCP implemented to address these issues?</w:t>
      </w:r>
    </w:p>
    <w:p w:rsidR="004E5913" w:rsidRPr="00990D3B" w:rsidP="002D35CF" w14:paraId="59967F84" w14:textId="77777777">
      <w:pPr>
        <w:pStyle w:val="EQRNormalSSWSquestionsub"/>
        <w:numPr>
          <w:ilvl w:val="0"/>
          <w:numId w:val="210"/>
        </w:numPr>
        <w:rPr>
          <w:szCs w:val="22"/>
        </w:rPr>
      </w:pPr>
      <w:r w:rsidRPr="00990D3B">
        <w:rPr>
          <w:szCs w:val="22"/>
        </w:rPr>
        <w:t xml:space="preserve">What are the results of </w:t>
      </w:r>
      <w:r w:rsidRPr="00990D3B">
        <w:t>these</w:t>
      </w:r>
      <w:r w:rsidRPr="00990D3B">
        <w:rPr>
          <w:szCs w:val="22"/>
        </w:rPr>
        <w:t xml:space="preserve"> activities?</w:t>
      </w:r>
    </w:p>
    <w:p w:rsidR="004E5913" w:rsidRPr="00990D3B" w:rsidP="002D35CF" w14:paraId="7DA6E100"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 xml:space="preserve">What activities, such as QAPI projects, </w:t>
      </w:r>
      <w:r w:rsidRPr="00990D3B">
        <w:rPr>
          <w:rFonts w:cs="Arial"/>
          <w:szCs w:val="22"/>
        </w:rPr>
        <w:t>has</w:t>
      </w:r>
      <w:r w:rsidRPr="00990D3B">
        <w:rPr>
          <w:rFonts w:cs="Arial"/>
          <w:szCs w:val="22"/>
        </w:rPr>
        <w:t xml:space="preserve"> the MCP implemented to assess and improve care coordination?</w:t>
      </w:r>
    </w:p>
    <w:p w:rsidR="004E5913" w:rsidRPr="00990D3B" w:rsidP="002D35CF" w14:paraId="0612B0B1" w14:textId="77777777">
      <w:pPr>
        <w:pStyle w:val="EQRNormalSSWSquestionsub"/>
        <w:numPr>
          <w:ilvl w:val="0"/>
          <w:numId w:val="211"/>
        </w:numPr>
        <w:rPr>
          <w:b/>
          <w:color w:val="006981"/>
        </w:rPr>
      </w:pPr>
      <w:r w:rsidRPr="00990D3B">
        <w:rPr>
          <w:szCs w:val="22"/>
        </w:rPr>
        <w:t xml:space="preserve">What are the results of </w:t>
      </w:r>
      <w:r w:rsidRPr="00990D3B">
        <w:t>these</w:t>
      </w:r>
      <w:r w:rsidRPr="00990D3B">
        <w:rPr>
          <w:szCs w:val="22"/>
        </w:rPr>
        <w:t xml:space="preserve"> activities? </w:t>
      </w:r>
      <w:r w:rsidRPr="00990D3B">
        <w:br w:type="page"/>
      </w:r>
    </w:p>
    <w:p w:rsidR="004E5913" w:rsidRPr="00990D3B" w:rsidP="002B40CC" w14:paraId="16113B2A" w14:textId="77777777">
      <w:pPr>
        <w:pStyle w:val="H2EQRWorksheet"/>
        <w:rPr>
          <w:i/>
        </w:rPr>
      </w:pPr>
      <w:r w:rsidRPr="00990D3B">
        <w:t>Providers and Contractors Interview (as appropriate and time and resources permit)</w:t>
      </w:r>
    </w:p>
    <w:p w:rsidR="004E5913" w:rsidRPr="00990D3B" w:rsidP="00BD1FC3" w14:paraId="2E176AF6" w14:textId="430DB3FD">
      <w:pPr>
        <w:pStyle w:val="EQRNormalSSWORKSHEET"/>
      </w:pPr>
      <w:r w:rsidRPr="00990D3B">
        <w:rPr>
          <w:b/>
        </w:rPr>
        <w:t>Instructions.</w:t>
      </w:r>
      <w:r w:rsidRPr="00990D3B">
        <w:t xml:space="preserve"> While interviewing providers and contractors requires additional time and resources, it is an opportunity to obtain further information about MCP performance from those health care and LTSS professionals and institutions that often serve as the first point of contact for Medicaid and CHIP </w:t>
      </w:r>
      <w:r w:rsidRPr="00990D3B" w:rsidR="00364658">
        <w:t>beneficiaries</w:t>
      </w:r>
      <w:r w:rsidRPr="00990D3B" w:rsidR="00923DBC">
        <w:t xml:space="preserve"> </w:t>
      </w:r>
      <w:r w:rsidRPr="00990D3B">
        <w:t>and health care providers. Provider and contractor interviews should</w:t>
      </w:r>
      <w:r w:rsidRPr="00990D3B" w:rsidR="00D82B20">
        <w:t>,</w:t>
      </w:r>
      <w:r w:rsidRPr="00990D3B">
        <w:t xml:space="preserve"> therefore</w:t>
      </w:r>
      <w:r w:rsidRPr="00990D3B" w:rsidR="00D82B20">
        <w:t>,</w:t>
      </w:r>
      <w:r w:rsidRPr="00990D3B">
        <w:t xml:space="preserve"> be considered as an optional component of this protocol, to be considered whenever there is a strong need for additional information and when time and resources permit. The interview participants should be selected from the provider network and should offer </w:t>
      </w:r>
      <w:r w:rsidRPr="00990D3B" w:rsidR="00D82B20">
        <w:t xml:space="preserve">a </w:t>
      </w:r>
      <w:r w:rsidRPr="00990D3B">
        <w:t xml:space="preserve">representative view of the breadth of the MCP’s primary care, specialist, LTSS, and institutional providers. These </w:t>
      </w:r>
      <w:r w:rsidRPr="00990D3B">
        <w:t>persons</w:t>
      </w:r>
      <w:r w:rsidRPr="00990D3B">
        <w:t xml:space="preserve"> can often clarify issues pertaining to communication, traversing the system, assuring enrollee rights, and delivery of care and services to the enrolled population.</w:t>
      </w:r>
    </w:p>
    <w:p w:rsidR="004E5913" w:rsidRPr="00990D3B" w:rsidP="00BD1FC3" w14:paraId="536F3BC1" w14:textId="575AC391">
      <w:pPr>
        <w:pStyle w:val="EQRNormalSSWORKSHEET"/>
        <w:rPr>
          <w:b/>
        </w:rPr>
      </w:pPr>
      <w:r w:rsidRPr="00990D3B">
        <w:t xml:space="preserve">There are several ways to conduct the interview. It can be arranged with a group of individual health care practitioners, a group of institution representatives, and a group of LTSS providers, or coordinated as one interview for each group or as a combined group. Geographic location of providers should be considered, and conference calls are a viable option for conducting an interview of this </w:t>
      </w:r>
      <w:r w:rsidRPr="00990D3B">
        <w:t>type, and</w:t>
      </w:r>
      <w:r w:rsidRPr="00990D3B">
        <w:t xml:space="preserve"> often preferred by providers as only a brief interruption in their daily activities. For this interview to be effective, reviewers should emphasize that this is an opportunity to provide insight </w:t>
      </w:r>
      <w:r w:rsidRPr="00990D3B" w:rsidR="00D82B20">
        <w:t xml:space="preserve">into </w:t>
      </w:r>
      <w:r w:rsidRPr="00990D3B">
        <w:t xml:space="preserve">the MCP’s performance and not an evaluation of the care and services offered to Medicaid and CHIP </w:t>
      </w:r>
      <w:r w:rsidRPr="00990D3B" w:rsidR="00FF08E9">
        <w:t>beneficiaries</w:t>
      </w:r>
      <w:r w:rsidRPr="00990D3B">
        <w:t>.</w:t>
      </w:r>
    </w:p>
    <w:p w:rsidR="004E5913" w:rsidRPr="00990D3B" w:rsidP="00BA7B0F" w14:paraId="6D543387" w14:textId="2AE77A11">
      <w:pPr>
        <w:pStyle w:val="EQRNormalSSWORKSHEET"/>
        <w:keepNext/>
        <w:rPr>
          <w:rFonts w:cs="Arial"/>
          <w:b/>
          <w:szCs w:val="22"/>
        </w:rPr>
      </w:pPr>
      <w:r w:rsidRPr="00990D3B">
        <w:rPr>
          <w:rFonts w:cs="Arial"/>
          <w:b/>
          <w:szCs w:val="22"/>
        </w:rPr>
        <w:t>Enrollee rights (</w:t>
      </w:r>
      <w:r w:rsidRPr="00990D3B" w:rsidR="001C7FC0">
        <w:rPr>
          <w:rFonts w:cs="Arial"/>
          <w:b/>
          <w:szCs w:val="22"/>
        </w:rPr>
        <w:t>42 C.F.R.</w:t>
      </w:r>
      <w:r w:rsidRPr="00990D3B" w:rsidR="007854DF">
        <w:rPr>
          <w:rFonts w:cs="Arial"/>
          <w:b/>
          <w:szCs w:val="22"/>
        </w:rPr>
        <w:t xml:space="preserve"> </w:t>
      </w:r>
      <w:r w:rsidRPr="00990D3B">
        <w:rPr>
          <w:rFonts w:cs="Arial"/>
          <w:b/>
          <w:szCs w:val="22"/>
        </w:rPr>
        <w:t xml:space="preserve">438.10 and 457.1207) and </w:t>
      </w:r>
      <w:r w:rsidRPr="00990D3B" w:rsidR="00923DBC">
        <w:rPr>
          <w:rFonts w:cs="Arial"/>
          <w:b/>
          <w:szCs w:val="22"/>
        </w:rPr>
        <w:t>e</w:t>
      </w:r>
      <w:r w:rsidRPr="00990D3B">
        <w:rPr>
          <w:rFonts w:cs="Arial"/>
          <w:b/>
          <w:szCs w:val="22"/>
        </w:rPr>
        <w:t>nrollee information (</w:t>
      </w:r>
      <w:r w:rsidRPr="00990D3B" w:rsidR="001C7FC0">
        <w:rPr>
          <w:rFonts w:cs="Arial"/>
          <w:b/>
          <w:szCs w:val="22"/>
        </w:rPr>
        <w:t>42 C.F.R.</w:t>
      </w:r>
      <w:r w:rsidRPr="00990D3B" w:rsidR="007854DF">
        <w:rPr>
          <w:rFonts w:cs="Arial"/>
          <w:b/>
          <w:szCs w:val="22"/>
        </w:rPr>
        <w:t xml:space="preserve"> </w:t>
      </w:r>
      <w:r w:rsidRPr="00990D3B">
        <w:rPr>
          <w:rFonts w:cs="Arial"/>
          <w:b/>
          <w:szCs w:val="22"/>
        </w:rPr>
        <w:t xml:space="preserve">438.100 and 457.1220; and </w:t>
      </w:r>
      <w:r w:rsidRPr="00990D3B" w:rsidR="001C7FC0">
        <w:rPr>
          <w:rFonts w:cs="Arial"/>
          <w:b/>
          <w:szCs w:val="22"/>
        </w:rPr>
        <w:t>42 C.F.R.</w:t>
      </w:r>
      <w:r w:rsidRPr="00990D3B" w:rsidR="007854DF">
        <w:rPr>
          <w:rFonts w:cs="Arial"/>
          <w:b/>
          <w:szCs w:val="22"/>
        </w:rPr>
        <w:t xml:space="preserve"> </w:t>
      </w:r>
      <w:r w:rsidRPr="00990D3B">
        <w:rPr>
          <w:rFonts w:cs="Arial"/>
          <w:b/>
          <w:szCs w:val="22"/>
        </w:rPr>
        <w:t>438.206-210 and 457.1230(a-d))</w:t>
      </w:r>
    </w:p>
    <w:p w:rsidR="004E5913" w:rsidRPr="00990D3B" w:rsidP="002D35CF" w14:paraId="5249A8C5" w14:textId="77777777">
      <w:pPr>
        <w:pStyle w:val="EQRNormalSSWSquestionNUMBER"/>
        <w:numPr>
          <w:ilvl w:val="0"/>
          <w:numId w:val="21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 xml:space="preserve">When the MCP’s enrollees </w:t>
      </w:r>
      <w:r w:rsidRPr="00990D3B">
        <w:rPr>
          <w:rFonts w:cs="Arial"/>
          <w:szCs w:val="22"/>
        </w:rPr>
        <w:t>present</w:t>
      </w:r>
      <w:r w:rsidRPr="00990D3B">
        <w:rPr>
          <w:rFonts w:cs="Arial"/>
          <w:szCs w:val="22"/>
        </w:rPr>
        <w:t xml:space="preserve"> for services, do they appear to have a clear understanding of their rights, responsibilities, and benefits?  How to obtain services?</w:t>
      </w:r>
    </w:p>
    <w:p w:rsidR="004E5913" w:rsidRPr="00990D3B" w:rsidP="002D35CF" w14:paraId="6EDC689A"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Does the MCP provide you with information on where to refer enrollees who are having difficulty understanding the materials that have been provided to them by the MCP?</w:t>
      </w:r>
    </w:p>
    <w:p w:rsidR="004E5913" w:rsidRPr="00990D3B" w:rsidP="002D35CF" w14:paraId="18A5D063"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How often do you and your staff have to assist enrollees with understanding the materials provided by the MCP?</w:t>
      </w:r>
    </w:p>
    <w:p w:rsidR="004E5913" w:rsidRPr="00990D3B" w:rsidP="002D35CF" w14:paraId="2C3823EF"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 xml:space="preserve">Does the MCP require providers to have access to oral interpreter services?  </w:t>
      </w:r>
    </w:p>
    <w:p w:rsidR="004E5913" w:rsidRPr="00990D3B" w:rsidP="002D35CF" w14:paraId="00C7439F"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b/>
          <w:szCs w:val="22"/>
        </w:rPr>
      </w:pPr>
      <w:r w:rsidRPr="00990D3B">
        <w:rPr>
          <w:rFonts w:cs="Arial"/>
          <w:szCs w:val="22"/>
        </w:rPr>
        <w:t>Does the MCP provide your office with guidance or assistance is accessing interpreter services if necessary?</w:t>
      </w:r>
    </w:p>
    <w:p w:rsidR="004E5913" w:rsidRPr="00990D3B" w:rsidP="00BA7B0F" w14:paraId="7779DC49" w14:textId="045D80EA">
      <w:pPr>
        <w:pStyle w:val="EQRNormalSSWORKSHEET"/>
        <w:keepNext/>
        <w:rPr>
          <w:rFonts w:cs="Arial"/>
          <w:b/>
          <w:szCs w:val="22"/>
        </w:rPr>
      </w:pPr>
      <w:r w:rsidRPr="00990D3B">
        <w:rPr>
          <w:rFonts w:cs="Arial"/>
          <w:b/>
          <w:szCs w:val="22"/>
        </w:rPr>
        <w:t>Enrollee rights to receive information on available treatment options (</w:t>
      </w:r>
      <w:r w:rsidRPr="00990D3B" w:rsidR="001C7FC0">
        <w:rPr>
          <w:rFonts w:cs="Arial"/>
          <w:b/>
          <w:szCs w:val="22"/>
        </w:rPr>
        <w:t>42 C.F.R.</w:t>
      </w:r>
      <w:r w:rsidRPr="00990D3B" w:rsidR="007854DF">
        <w:rPr>
          <w:rFonts w:cs="Arial"/>
          <w:b/>
          <w:szCs w:val="22"/>
        </w:rPr>
        <w:t xml:space="preserve"> </w:t>
      </w:r>
      <w:r w:rsidRPr="00990D3B">
        <w:rPr>
          <w:rFonts w:cs="Arial"/>
          <w:b/>
          <w:szCs w:val="22"/>
        </w:rPr>
        <w:t xml:space="preserve">438.102 and 457.1222; and </w:t>
      </w:r>
      <w:r w:rsidRPr="00990D3B" w:rsidR="001C7FC0">
        <w:rPr>
          <w:rFonts w:cs="Arial"/>
          <w:b/>
          <w:szCs w:val="22"/>
        </w:rPr>
        <w:t>42 C.F.R.</w:t>
      </w:r>
      <w:r w:rsidRPr="00990D3B" w:rsidR="007854DF">
        <w:rPr>
          <w:rFonts w:cs="Arial"/>
          <w:b/>
          <w:szCs w:val="22"/>
        </w:rPr>
        <w:t xml:space="preserve"> </w:t>
      </w:r>
      <w:r w:rsidRPr="00990D3B">
        <w:rPr>
          <w:rFonts w:cs="Arial"/>
          <w:b/>
          <w:szCs w:val="22"/>
        </w:rPr>
        <w:t xml:space="preserve">438.206-210 and 457.1230(a-d)); </w:t>
      </w:r>
      <w:r w:rsidRPr="00990D3B" w:rsidR="00923DBC">
        <w:rPr>
          <w:rFonts w:cs="Arial"/>
          <w:b/>
          <w:szCs w:val="22"/>
        </w:rPr>
        <w:t>p</w:t>
      </w:r>
      <w:r w:rsidRPr="00990D3B">
        <w:rPr>
          <w:rFonts w:cs="Arial"/>
          <w:b/>
          <w:szCs w:val="22"/>
        </w:rPr>
        <w:t>rovider-enrollee communications (</w:t>
      </w:r>
      <w:r w:rsidRPr="00990D3B" w:rsidR="001C7FC0">
        <w:rPr>
          <w:rFonts w:cs="Arial"/>
          <w:b/>
          <w:szCs w:val="22"/>
        </w:rPr>
        <w:t>42 C.F.R.</w:t>
      </w:r>
      <w:r w:rsidRPr="00990D3B" w:rsidR="007854DF">
        <w:rPr>
          <w:rFonts w:cs="Arial"/>
          <w:b/>
          <w:szCs w:val="22"/>
        </w:rPr>
        <w:t xml:space="preserve"> </w:t>
      </w:r>
      <w:r w:rsidRPr="00990D3B">
        <w:rPr>
          <w:rFonts w:cs="Arial"/>
          <w:b/>
          <w:szCs w:val="22"/>
        </w:rPr>
        <w:t xml:space="preserve">438.100 and 457.1220; and </w:t>
      </w:r>
      <w:r w:rsidRPr="00990D3B" w:rsidR="001C7FC0">
        <w:rPr>
          <w:rFonts w:cs="Arial"/>
          <w:b/>
          <w:szCs w:val="22"/>
        </w:rPr>
        <w:t>42 C.F.R.</w:t>
      </w:r>
      <w:r w:rsidRPr="00990D3B" w:rsidR="007854DF">
        <w:rPr>
          <w:rFonts w:cs="Arial"/>
          <w:b/>
          <w:szCs w:val="22"/>
        </w:rPr>
        <w:t xml:space="preserve"> </w:t>
      </w:r>
      <w:r w:rsidRPr="00990D3B">
        <w:rPr>
          <w:rFonts w:cs="Arial"/>
          <w:b/>
          <w:szCs w:val="22"/>
        </w:rPr>
        <w:t>438.206-210 and 457.1230(a-d))</w:t>
      </w:r>
    </w:p>
    <w:p w:rsidR="004E5913" w:rsidRPr="00990D3B" w:rsidP="002D35CF" w14:paraId="1904DF33" w14:textId="77777777">
      <w:pPr>
        <w:pStyle w:val="EQRNormalSSWSquestionNUMBER"/>
        <w:numPr>
          <w:ilvl w:val="0"/>
          <w:numId w:val="215"/>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Does the MCP place any limits on your ability to counsel or advise a Medicaid and CHIP enrollee on treatment options that may be appropriate for the enrollee’s condition or disease?</w:t>
      </w:r>
    </w:p>
    <w:p w:rsidR="004E5913" w:rsidRPr="00990D3B" w:rsidP="002D35CF" w14:paraId="6AF35E26"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b/>
          <w:szCs w:val="24"/>
        </w:rPr>
      </w:pPr>
      <w:r w:rsidRPr="00990D3B">
        <w:rPr>
          <w:rFonts w:cs="Arial"/>
          <w:szCs w:val="22"/>
        </w:rPr>
        <w:t xml:space="preserve">Does the MCP encourage providers to share with </w:t>
      </w:r>
      <w:r w:rsidRPr="00990D3B">
        <w:rPr>
          <w:rFonts w:cs="Arial"/>
          <w:szCs w:val="22"/>
        </w:rPr>
        <w:t>enrollees</w:t>
      </w:r>
      <w:r w:rsidRPr="00990D3B">
        <w:rPr>
          <w:rFonts w:cs="Arial"/>
          <w:szCs w:val="22"/>
        </w:rPr>
        <w:t xml:space="preserve"> information on available treatment options and alternatives?  </w:t>
      </w:r>
    </w:p>
    <w:p w:rsidR="004E5913" w:rsidRPr="00990D3B" w:rsidP="002D35CF" w14:paraId="156FC19B" w14:textId="77777777">
      <w:pPr>
        <w:pStyle w:val="EQRNormalSSWSquestionsub"/>
        <w:numPr>
          <w:ilvl w:val="0"/>
          <w:numId w:val="217"/>
        </w:numPr>
        <w:rPr>
          <w:b/>
          <w:szCs w:val="24"/>
        </w:rPr>
      </w:pPr>
      <w:r w:rsidRPr="00990D3B">
        <w:rPr>
          <w:szCs w:val="22"/>
        </w:rPr>
        <w:t xml:space="preserve">Does this include options and alternatives that are within as well as those outside the scope of the </w:t>
      </w:r>
      <w:r w:rsidRPr="00990D3B">
        <w:rPr>
          <w:szCs w:val="22"/>
        </w:rPr>
        <w:t>enrollees</w:t>
      </w:r>
      <w:r w:rsidRPr="00990D3B">
        <w:rPr>
          <w:szCs w:val="22"/>
        </w:rPr>
        <w:t xml:space="preserve"> benefits?  If yes, how does the MCP do this?</w:t>
      </w:r>
    </w:p>
    <w:p w:rsidR="004E5913" w:rsidRPr="00990D3B" w:rsidP="00BA7B0F" w14:paraId="7B631D10" w14:textId="06FCA06A">
      <w:pPr>
        <w:pStyle w:val="EQRNormalSSWORKSHEET"/>
        <w:keepNext/>
        <w:rPr>
          <w:rFonts w:cs="Arial"/>
          <w:b/>
          <w:szCs w:val="22"/>
        </w:rPr>
      </w:pPr>
      <w:r w:rsidRPr="00990D3B">
        <w:rPr>
          <w:rFonts w:cs="Arial"/>
          <w:b/>
          <w:szCs w:val="22"/>
        </w:rPr>
        <w:t xml:space="preserve">Availability of </w:t>
      </w:r>
      <w:r w:rsidRPr="00990D3B" w:rsidR="003866F7">
        <w:rPr>
          <w:rFonts w:cs="Arial"/>
          <w:b/>
          <w:szCs w:val="22"/>
        </w:rPr>
        <w:t>s</w:t>
      </w:r>
      <w:r w:rsidRPr="00990D3B">
        <w:rPr>
          <w:rFonts w:cs="Arial"/>
          <w:b/>
          <w:szCs w:val="22"/>
        </w:rPr>
        <w:t xml:space="preserve">ervices: </w:t>
      </w:r>
      <w:r w:rsidRPr="00990D3B" w:rsidR="003866F7">
        <w:rPr>
          <w:rFonts w:cs="Arial"/>
          <w:b/>
          <w:szCs w:val="22"/>
        </w:rPr>
        <w:t>f</w:t>
      </w:r>
      <w:r w:rsidRPr="00990D3B">
        <w:rPr>
          <w:rFonts w:cs="Arial"/>
          <w:b/>
          <w:szCs w:val="22"/>
        </w:rPr>
        <w:t>urnishing of services (</w:t>
      </w:r>
      <w:r w:rsidRPr="00990D3B" w:rsidR="001C7FC0">
        <w:rPr>
          <w:rFonts w:cs="Arial"/>
          <w:b/>
          <w:szCs w:val="22"/>
        </w:rPr>
        <w:t>42 C.F.R.</w:t>
      </w:r>
      <w:r w:rsidRPr="00990D3B" w:rsidR="007854DF">
        <w:rPr>
          <w:rFonts w:cs="Arial"/>
          <w:b/>
          <w:szCs w:val="22"/>
        </w:rPr>
        <w:t xml:space="preserve"> </w:t>
      </w:r>
      <w:r w:rsidRPr="00990D3B">
        <w:rPr>
          <w:rFonts w:cs="Arial"/>
          <w:b/>
          <w:szCs w:val="22"/>
        </w:rPr>
        <w:t>438.206(c) and 457.1230(a))</w:t>
      </w:r>
    </w:p>
    <w:p w:rsidR="004E5913" w:rsidRPr="00990D3B" w:rsidP="002D35CF" w14:paraId="245EF323" w14:textId="77777777">
      <w:pPr>
        <w:pStyle w:val="EQRNormalSSWSquestionNUMBER"/>
        <w:numPr>
          <w:ilvl w:val="0"/>
          <w:numId w:val="216"/>
        </w:numPr>
        <w:tabs>
          <w:tab w:val="left" w:pos="-1080"/>
          <w:tab w:val="left" w:pos="-720"/>
          <w:tab w:val="left" w:pos="0"/>
          <w:tab w:val="left" w:pos="360"/>
          <w:tab w:val="left" w:pos="720"/>
          <w:tab w:val="left" w:pos="1080"/>
        </w:tabs>
        <w:spacing w:before="0" w:after="240"/>
        <w:rPr>
          <w:rFonts w:cs="Arial"/>
          <w:b/>
          <w:szCs w:val="22"/>
        </w:rPr>
      </w:pPr>
      <w:r w:rsidRPr="00990D3B">
        <w:rPr>
          <w:rFonts w:cs="Arial"/>
          <w:szCs w:val="22"/>
        </w:rPr>
        <w:t>Are your hours of operation for Medicaid and CHIP enrollees different from the hours of operation for other MCP enrollees?  If yes, why?</w:t>
      </w:r>
    </w:p>
    <w:p w:rsidR="004E5913" w:rsidRPr="00990D3B" w:rsidP="00BA7B0F" w14:paraId="69A25729" w14:textId="0F88A91B">
      <w:pPr>
        <w:pStyle w:val="EQRNormalSSWORKSHEET"/>
        <w:keepNext/>
        <w:rPr>
          <w:rFonts w:cs="Arial"/>
          <w:b/>
          <w:szCs w:val="22"/>
        </w:rPr>
      </w:pPr>
      <w:r w:rsidRPr="00990D3B">
        <w:rPr>
          <w:rFonts w:cs="Arial"/>
          <w:b/>
          <w:szCs w:val="22"/>
        </w:rPr>
        <w:t>Practice guidelines (</w:t>
      </w:r>
      <w:r w:rsidRPr="00990D3B" w:rsidR="001C7FC0">
        <w:rPr>
          <w:rFonts w:cs="Arial"/>
          <w:b/>
          <w:szCs w:val="22"/>
        </w:rPr>
        <w:t>42 C.F.R.</w:t>
      </w:r>
      <w:r w:rsidRPr="00990D3B" w:rsidR="007854DF">
        <w:rPr>
          <w:rFonts w:cs="Arial"/>
          <w:b/>
          <w:szCs w:val="22"/>
        </w:rPr>
        <w:t xml:space="preserve"> </w:t>
      </w:r>
      <w:r w:rsidRPr="00990D3B">
        <w:rPr>
          <w:rFonts w:cs="Arial"/>
          <w:b/>
          <w:szCs w:val="22"/>
        </w:rPr>
        <w:t>438.236 and 457.1233(c))</w:t>
      </w:r>
    </w:p>
    <w:p w:rsidR="004E5913" w:rsidRPr="00990D3B" w:rsidP="002D35CF" w14:paraId="13F6AABF" w14:textId="77777777">
      <w:pPr>
        <w:pStyle w:val="EQRNormalSSWSquestionNUMBER"/>
        <w:numPr>
          <w:ilvl w:val="0"/>
          <w:numId w:val="218"/>
        </w:numPr>
        <w:tabs>
          <w:tab w:val="left" w:pos="-1080"/>
          <w:tab w:val="left" w:pos="-720"/>
          <w:tab w:val="left" w:pos="0"/>
          <w:tab w:val="left" w:pos="360"/>
          <w:tab w:val="left" w:pos="720"/>
          <w:tab w:val="left" w:pos="1080"/>
        </w:tabs>
        <w:spacing w:before="0" w:after="240"/>
        <w:rPr>
          <w:rFonts w:cs="Arial"/>
          <w:szCs w:val="22"/>
        </w:rPr>
      </w:pPr>
      <w:r w:rsidRPr="00990D3B">
        <w:rPr>
          <w:rFonts w:cs="Arial"/>
          <w:szCs w:val="22"/>
        </w:rPr>
        <w:t>Are affiliated providers/contractors consulted as practice guidelines are adopted and re-evaluated?</w:t>
      </w:r>
    </w:p>
    <w:p w:rsidR="004E5913" w:rsidRPr="00990D3B" w:rsidP="002D35CF" w14:paraId="7901159C" w14:textId="77777777">
      <w:pPr>
        <w:pStyle w:val="EQRNormalSSWSquestionNUMBER"/>
        <w:numPr>
          <w:ilvl w:val="0"/>
          <w:numId w:val="194"/>
        </w:numPr>
        <w:tabs>
          <w:tab w:val="left" w:pos="-1080"/>
          <w:tab w:val="left" w:pos="-720"/>
          <w:tab w:val="left" w:pos="0"/>
          <w:tab w:val="left" w:pos="360"/>
          <w:tab w:val="left" w:pos="720"/>
          <w:tab w:val="left" w:pos="1080"/>
        </w:tabs>
        <w:spacing w:before="0" w:after="240"/>
        <w:rPr>
          <w:rFonts w:cs="Arial"/>
          <w:b/>
          <w:szCs w:val="22"/>
        </w:rPr>
      </w:pPr>
      <w:r w:rsidRPr="00990D3B">
        <w:rPr>
          <w:rFonts w:cs="Arial"/>
          <w:szCs w:val="22"/>
        </w:rPr>
        <w:t>How does the MCP make providers/contractors aware of practice guidelines currently in use and those under consideration for adoption?</w:t>
      </w:r>
    </w:p>
    <w:p w:rsidR="004E5913" w:rsidRPr="00990D3B" w:rsidP="00BA7B0F" w14:paraId="39A6F2AA" w14:textId="5CCF79F7">
      <w:pPr>
        <w:pStyle w:val="EQRNormalSSWORKSHEET"/>
        <w:keepNext/>
        <w:rPr>
          <w:rFonts w:cs="Arial"/>
          <w:b/>
          <w:szCs w:val="22"/>
        </w:rPr>
      </w:pPr>
      <w:r w:rsidRPr="00990D3B">
        <w:rPr>
          <w:rFonts w:cs="Arial"/>
          <w:b/>
          <w:szCs w:val="22"/>
        </w:rPr>
        <w:t>Expedited resolution of appeals (</w:t>
      </w:r>
      <w:r w:rsidRPr="00990D3B" w:rsidR="001C7FC0">
        <w:rPr>
          <w:rFonts w:cs="Arial"/>
          <w:b/>
          <w:szCs w:val="22"/>
        </w:rPr>
        <w:t>42 C.F.R.</w:t>
      </w:r>
      <w:r w:rsidRPr="00990D3B" w:rsidR="007854DF">
        <w:rPr>
          <w:rFonts w:cs="Arial"/>
          <w:b/>
          <w:szCs w:val="22"/>
        </w:rPr>
        <w:t xml:space="preserve"> </w:t>
      </w:r>
      <w:r w:rsidRPr="00990D3B">
        <w:rPr>
          <w:rFonts w:cs="Arial"/>
          <w:b/>
          <w:szCs w:val="22"/>
        </w:rPr>
        <w:t>438.410 and 457.1260</w:t>
      </w:r>
      <w:r w:rsidRPr="00990D3B" w:rsidR="00F57594">
        <w:rPr>
          <w:rFonts w:cs="Arial"/>
          <w:b/>
          <w:szCs w:val="22"/>
        </w:rPr>
        <w:t>(f)</w:t>
      </w:r>
      <w:r w:rsidRPr="00990D3B">
        <w:rPr>
          <w:rFonts w:cs="Arial"/>
          <w:b/>
          <w:szCs w:val="22"/>
        </w:rPr>
        <w:t>)</w:t>
      </w:r>
    </w:p>
    <w:p w:rsidR="004E5913" w:rsidRPr="00990D3B" w:rsidP="002D35CF" w14:paraId="54B83A4D" w14:textId="77777777">
      <w:pPr>
        <w:pStyle w:val="EQRNormalSSWSquestionNUMBER"/>
        <w:numPr>
          <w:ilvl w:val="0"/>
          <w:numId w:val="219"/>
        </w:numPr>
        <w:tabs>
          <w:tab w:val="left" w:pos="-1080"/>
          <w:tab w:val="left" w:pos="-720"/>
          <w:tab w:val="left" w:pos="0"/>
          <w:tab w:val="left" w:pos="360"/>
          <w:tab w:val="left" w:pos="720"/>
          <w:tab w:val="left" w:pos="1080"/>
        </w:tabs>
        <w:spacing w:before="0" w:after="240"/>
        <w:rPr>
          <w:rFonts w:cs="Arial"/>
          <w:b/>
          <w:szCs w:val="22"/>
        </w:rPr>
      </w:pPr>
      <w:r w:rsidRPr="00990D3B">
        <w:rPr>
          <w:rFonts w:cs="Arial"/>
          <w:szCs w:val="22"/>
        </w:rPr>
        <w:t xml:space="preserve">Have there been any instances in the most recent year under review when the MCP took any punitive action against you for requesting an expedited resolution of an appeal on behalf of Medicaid and CHIP </w:t>
      </w:r>
      <w:r w:rsidRPr="00990D3B">
        <w:rPr>
          <w:rFonts w:cs="Arial"/>
          <w:szCs w:val="22"/>
        </w:rPr>
        <w:t>enrollees</w:t>
      </w:r>
      <w:r w:rsidRPr="00990D3B">
        <w:rPr>
          <w:rFonts w:cs="Arial"/>
          <w:szCs w:val="22"/>
        </w:rPr>
        <w:t xml:space="preserve"> or for supporting an enrollee’s appeal?</w:t>
      </w:r>
    </w:p>
    <w:p w:rsidR="00F815D0" w:rsidRPr="00990D3B" w:rsidP="00BD1FC3" w14:paraId="47A42F83" w14:textId="77777777">
      <w:pPr>
        <w:spacing w:line="240" w:lineRule="auto"/>
      </w:pPr>
      <w:r w:rsidRPr="00990D3B">
        <w:br w:type="page"/>
      </w:r>
    </w:p>
    <w:p w:rsidR="00C90147" w:rsidRPr="00990D3B" w:rsidP="00BD1FC3" w14:paraId="668FA4F5" w14:textId="0FCB6B24">
      <w:pPr>
        <w:pStyle w:val="EQRMarkforExhibitWORKSHEET"/>
      </w:pPr>
      <w:bookmarkStart w:id="431" w:name="WSp3n05"/>
      <w:bookmarkStart w:id="432" w:name="_Toc201751517"/>
      <w:bookmarkEnd w:id="431"/>
      <w:r w:rsidRPr="00990D3B">
        <w:t>Worksheet 3.5.</w:t>
      </w:r>
      <w:r w:rsidRPr="00990D3B" w:rsidR="004B4F28">
        <w:t xml:space="preserve"> Timeline and Crosswalk of State and Federal Standards Reviewed</w:t>
      </w:r>
      <w:r w:rsidRPr="00990D3B" w:rsidR="005E3FD4">
        <w:t xml:space="preserve"> Template</w:t>
      </w:r>
      <w:r w:rsidRPr="00990D3B" w:rsidR="007F29C2">
        <w:t>s</w:t>
      </w:r>
      <w:bookmarkEnd w:id="432"/>
      <w:r w:rsidRPr="00990D3B" w:rsidR="004B4F28">
        <w:t xml:space="preserve"> </w:t>
      </w:r>
      <w:r w:rsidRPr="00990D3B">
        <w:t xml:space="preserve"> </w:t>
      </w:r>
    </w:p>
    <w:p w:rsidR="0043248E" w:rsidRPr="00990D3B" w:rsidP="00B612E9" w14:paraId="4D5244D3" w14:textId="18B7EE76">
      <w:pPr>
        <w:pStyle w:val="EQRNormalSSWORKSHEET"/>
      </w:pPr>
      <w:r w:rsidRPr="00990D3B">
        <w:rPr>
          <w:rFonts w:asciiTheme="majorHAnsi" w:hAnsiTheme="majorHAnsi" w:cstheme="majorHAnsi"/>
          <w:b/>
          <w:bCs/>
        </w:rPr>
        <w:t xml:space="preserve">Instructions. </w:t>
      </w:r>
      <w:r w:rsidRPr="00990D3B">
        <w:t xml:space="preserve">Depending on the state’s standards and </w:t>
      </w:r>
      <w:r w:rsidRPr="00990D3B" w:rsidR="00A2005D">
        <w:t xml:space="preserve">the </w:t>
      </w:r>
      <w:r w:rsidRPr="00990D3B">
        <w:t xml:space="preserve">EQRO’s compliance review timeline, </w:t>
      </w:r>
      <w:r w:rsidRPr="00990D3B" w:rsidR="00FB1C45">
        <w:t>different templates can be used</w:t>
      </w:r>
      <w:r w:rsidRPr="00990D3B" w:rsidR="005F367A">
        <w:t xml:space="preserve"> to share the compliance review’s timeline and standards: </w:t>
      </w:r>
    </w:p>
    <w:p w:rsidR="0043248E" w:rsidRPr="00990D3B" w:rsidP="00D1263C" w14:paraId="1DB9EF9B" w14:textId="118248F9">
      <w:pPr>
        <w:pStyle w:val="EQRNormalSSWSbullet"/>
      </w:pPr>
      <w:r w:rsidRPr="00990D3B">
        <w:t>If the s</w:t>
      </w:r>
      <w:r w:rsidRPr="00990D3B" w:rsidR="004B4F28">
        <w:t>tate</w:t>
      </w:r>
      <w:r w:rsidRPr="00990D3B" w:rsidR="00F02BB7">
        <w:t>’</w:t>
      </w:r>
      <w:r w:rsidRPr="00990D3B" w:rsidR="004B4F28">
        <w:t>s</w:t>
      </w:r>
      <w:r w:rsidRPr="00990D3B">
        <w:t xml:space="preserve"> standards </w:t>
      </w:r>
      <w:r w:rsidRPr="00990D3B">
        <w:t xml:space="preserve">do not align with the federal standards, </w:t>
      </w:r>
      <w:r w:rsidRPr="00990D3B">
        <w:t xml:space="preserve">use </w:t>
      </w:r>
      <w:r w:rsidRPr="00990D3B">
        <w:rPr>
          <w:b/>
          <w:bCs/>
        </w:rPr>
        <w:t>Template A</w:t>
      </w:r>
      <w:r w:rsidRPr="00990D3B">
        <w:t xml:space="preserve"> </w:t>
      </w:r>
      <w:r w:rsidRPr="00990D3B" w:rsidR="00216310">
        <w:t>to crosswalk how the state's standards map to the federal standards.</w:t>
      </w:r>
      <w:r w:rsidRPr="00990D3B">
        <w:t xml:space="preserve"> </w:t>
      </w:r>
    </w:p>
    <w:p w:rsidR="00B3331C" w:rsidRPr="00990D3B" w:rsidP="00D1263C" w14:paraId="155A8805" w14:textId="77830CC0">
      <w:pPr>
        <w:pStyle w:val="EQRNormalSSWSbullet"/>
      </w:pPr>
      <w:r w:rsidRPr="00990D3B">
        <w:t>If the state’s standards align with the federal standards</w:t>
      </w:r>
      <w:r w:rsidRPr="00990D3B" w:rsidR="004E36BC">
        <w:t xml:space="preserve"> and </w:t>
      </w:r>
      <w:r w:rsidRPr="00990D3B">
        <w:t xml:space="preserve">the states reviews only a subset of standards for all MCPs over a three-year period, use </w:t>
      </w:r>
      <w:r w:rsidRPr="00990D3B">
        <w:rPr>
          <w:b/>
          <w:bCs/>
        </w:rPr>
        <w:t>Template B</w:t>
      </w:r>
      <w:r w:rsidRPr="00990D3B">
        <w:t xml:space="preserve"> to share when each standard was reviewed. </w:t>
      </w:r>
    </w:p>
    <w:p w:rsidR="00B3331C" w:rsidRPr="00990D3B" w:rsidP="00D1263C" w14:paraId="579E660A" w14:textId="5D3E005E">
      <w:pPr>
        <w:pStyle w:val="EQRNormalSSWSbullet"/>
      </w:pPr>
      <w:r w:rsidRPr="00990D3B">
        <w:t>If the state’s standards</w:t>
      </w:r>
      <w:r w:rsidRPr="00990D3B" w:rsidR="004E36BC">
        <w:t xml:space="preserve"> align with the federal standards and state reviews all standards for only a subset of MCPs over a three-year period, use </w:t>
      </w:r>
      <w:r w:rsidRPr="00990D3B" w:rsidR="004E36BC">
        <w:rPr>
          <w:b/>
          <w:bCs/>
        </w:rPr>
        <w:t>Template C</w:t>
      </w:r>
      <w:r w:rsidRPr="00990D3B" w:rsidR="004E36BC">
        <w:t xml:space="preserve"> to outline when each MCP underwent the compliance review. </w:t>
      </w:r>
    </w:p>
    <w:p w:rsidR="004B4F28" w:rsidRPr="00990D3B" w:rsidP="00B612E9" w14:paraId="604F5A9A" w14:textId="40A4CA9F">
      <w:pPr>
        <w:pStyle w:val="EQRNormalSSWORKSHEET"/>
      </w:pPr>
      <w:r w:rsidRPr="00990D3B">
        <w:t>While the</w:t>
      </w:r>
      <w:r w:rsidRPr="00990D3B" w:rsidR="00381997">
        <w:t>se</w:t>
      </w:r>
      <w:r w:rsidRPr="00990D3B">
        <w:t xml:space="preserve"> template</w:t>
      </w:r>
      <w:r w:rsidRPr="00990D3B" w:rsidR="00381997">
        <w:t>s</w:t>
      </w:r>
      <w:r w:rsidRPr="00990D3B">
        <w:t xml:space="preserve"> </w:t>
      </w:r>
      <w:r w:rsidRPr="00990D3B">
        <w:rPr>
          <w:rFonts w:cs="Arial"/>
        </w:rPr>
        <w:t>encompass CMS’s expectations for what EQR technical reports share when reporting compliance review findings, u</w:t>
      </w:r>
      <w:r w:rsidRPr="00990D3B">
        <w:t>se of these templates is voluntary.</w:t>
      </w:r>
      <w:r w:rsidRPr="00990D3B" w:rsidR="00EA0732">
        <w:t xml:space="preserve"> </w:t>
      </w:r>
      <w:r w:rsidRPr="00990D3B" w:rsidR="00F71FA5">
        <w:t>This template has a companion Excel workbook. It can be included in the EQR technical report or submitted to CMS as a separate document. If submitted separately, the document must be posted to the state’s website.</w:t>
      </w:r>
    </w:p>
    <w:p w:rsidR="00FC0CEF" w:rsidRPr="00990D3B" w:rsidP="00B612E9" w14:paraId="78F6521F" w14:textId="5E7122E4">
      <w:pPr>
        <w:pStyle w:val="EQRNormalSSWORKSHEET"/>
      </w:pPr>
      <w:r w:rsidRPr="00990D3B">
        <w:t>Acronyms: EQR</w:t>
      </w:r>
      <w:r w:rsidRPr="00990D3B" w:rsidR="00381997">
        <w:t xml:space="preserve"> </w:t>
      </w:r>
      <w:r w:rsidRPr="00990D3B">
        <w:t>= External Quality Review; EQRO = External Quality Review Organization; MCP</w:t>
      </w:r>
      <w:r w:rsidRPr="00990D3B" w:rsidR="00381997">
        <w:t xml:space="preserve"> </w:t>
      </w:r>
      <w:r w:rsidRPr="00990D3B">
        <w:t>= Managed Care Plans; NA</w:t>
      </w:r>
      <w:r w:rsidRPr="00990D3B" w:rsidR="00381997">
        <w:t xml:space="preserve"> </w:t>
      </w:r>
      <w:r w:rsidRPr="00990D3B">
        <w:t>= Not Applicable; RC = Reporting Cycle; QAPI</w:t>
      </w:r>
      <w:r w:rsidRPr="00990D3B" w:rsidR="00381997">
        <w:t xml:space="preserve"> </w:t>
      </w:r>
      <w:r w:rsidRPr="00990D3B">
        <w:t xml:space="preserve">= Quality Assurance and Performance Improvement. </w:t>
      </w:r>
    </w:p>
    <w:p w:rsidR="004E36BC" w:rsidRPr="00990D3B" w:rsidP="00D12283" w14:paraId="4096FDE5" w14:textId="6059DFE4">
      <w:pPr>
        <w:pStyle w:val="EQRNormalSSWORKSHEET"/>
        <w:rPr>
          <w:b/>
          <w:bCs/>
        </w:rPr>
      </w:pPr>
      <w:r w:rsidRPr="00990D3B">
        <w:rPr>
          <w:b/>
          <w:bCs/>
        </w:rPr>
        <w:t>Template 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2426"/>
        <w:gridCol w:w="4770"/>
        <w:gridCol w:w="2154"/>
      </w:tblGrid>
      <w:tr w14:paraId="57F8BF6F" w14:textId="77777777" w:rsidTr="004E36B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Ex>
        <w:trPr>
          <w:trHeight w:val="151"/>
          <w:tblHeader/>
        </w:trPr>
        <w:tc>
          <w:tcPr>
            <w:tcW w:w="1297" w:type="pct"/>
            <w:shd w:val="clear" w:color="auto" w:fill="FFFFFF" w:themeFill="background1"/>
            <w:tcMar>
              <w:top w:w="72" w:type="dxa"/>
              <w:left w:w="144" w:type="dxa"/>
              <w:bottom w:w="72" w:type="dxa"/>
              <w:right w:w="144" w:type="dxa"/>
            </w:tcMar>
            <w:vAlign w:val="bottom"/>
            <w:hideMark/>
          </w:tcPr>
          <w:p w:rsidR="004E36BC" w:rsidRPr="00990D3B" w:rsidP="00781CA6" w14:paraId="419E8645" w14:textId="27DEA081">
            <w:pPr>
              <w:pStyle w:val="EQRTableHeaderLeft"/>
              <w:rPr>
                <w:color w:val="auto"/>
              </w:rPr>
            </w:pPr>
            <w:bookmarkStart w:id="433" w:name="_Hlk162515776"/>
            <w:r w:rsidRPr="00990D3B">
              <w:rPr>
                <w:color w:val="auto"/>
              </w:rPr>
              <w:t xml:space="preserve">Standard </w:t>
            </w:r>
            <w:r w:rsidRPr="00990D3B" w:rsidR="007F29C2">
              <w:rPr>
                <w:color w:val="auto"/>
              </w:rPr>
              <w:t>r</w:t>
            </w:r>
            <w:r w:rsidRPr="00990D3B">
              <w:rPr>
                <w:color w:val="auto"/>
              </w:rPr>
              <w:t xml:space="preserve">eviewed </w:t>
            </w:r>
          </w:p>
        </w:tc>
        <w:tc>
          <w:tcPr>
            <w:tcW w:w="2551" w:type="pct"/>
            <w:shd w:val="clear" w:color="auto" w:fill="FFFFFF" w:themeFill="background1"/>
            <w:tcMar>
              <w:top w:w="72" w:type="dxa"/>
              <w:left w:w="144" w:type="dxa"/>
              <w:bottom w:w="72" w:type="dxa"/>
              <w:right w:w="144" w:type="dxa"/>
            </w:tcMar>
            <w:vAlign w:val="bottom"/>
            <w:hideMark/>
          </w:tcPr>
          <w:p w:rsidR="004E36BC" w:rsidRPr="00990D3B" w:rsidP="00781CA6" w14:paraId="7991DD41" w14:textId="542C32A3">
            <w:pPr>
              <w:pStyle w:val="EQRTableHeaderCenter"/>
              <w:rPr>
                <w:color w:val="auto"/>
              </w:rPr>
            </w:pPr>
            <w:r w:rsidRPr="00990D3B">
              <w:rPr>
                <w:color w:val="auto"/>
              </w:rPr>
              <w:t xml:space="preserve">Federal </w:t>
            </w:r>
            <w:r w:rsidRPr="00990D3B" w:rsidR="007F29C2">
              <w:rPr>
                <w:color w:val="auto"/>
              </w:rPr>
              <w:t>s</w:t>
            </w:r>
            <w:r w:rsidRPr="00990D3B">
              <w:rPr>
                <w:color w:val="auto"/>
              </w:rPr>
              <w:t>tandard</w:t>
            </w:r>
          </w:p>
        </w:tc>
        <w:tc>
          <w:tcPr>
            <w:tcW w:w="1152" w:type="pct"/>
            <w:shd w:val="clear" w:color="auto" w:fill="FFFFFF" w:themeFill="background1"/>
            <w:tcMar>
              <w:top w:w="72" w:type="dxa"/>
              <w:left w:w="144" w:type="dxa"/>
              <w:bottom w:w="72" w:type="dxa"/>
              <w:right w:w="144" w:type="dxa"/>
            </w:tcMar>
            <w:vAlign w:val="bottom"/>
            <w:hideMark/>
          </w:tcPr>
          <w:p w:rsidR="004E36BC" w:rsidRPr="00990D3B" w:rsidP="00781CA6" w14:paraId="6BE1FECC" w14:textId="7CF2B448">
            <w:pPr>
              <w:pStyle w:val="EQRTableHeaderCenter"/>
              <w:rPr>
                <w:color w:val="auto"/>
              </w:rPr>
            </w:pPr>
            <w:r w:rsidRPr="00990D3B">
              <w:rPr>
                <w:color w:val="auto"/>
              </w:rPr>
              <w:t xml:space="preserve">Year </w:t>
            </w:r>
            <w:r w:rsidRPr="00990D3B" w:rsidR="007F29C2">
              <w:rPr>
                <w:color w:val="auto"/>
              </w:rPr>
              <w:t>r</w:t>
            </w:r>
            <w:r w:rsidRPr="00990D3B">
              <w:rPr>
                <w:color w:val="auto"/>
              </w:rPr>
              <w:t>eviewed</w:t>
            </w:r>
          </w:p>
        </w:tc>
      </w:tr>
      <w:tr w14:paraId="6285DD47" w14:textId="77777777" w:rsidTr="004E36BC">
        <w:tblPrEx>
          <w:tblW w:w="5000" w:type="pct"/>
          <w:shd w:val="clear" w:color="auto" w:fill="FFFFFF" w:themeFill="background1"/>
          <w:tblCellMar>
            <w:left w:w="0" w:type="dxa"/>
            <w:right w:w="0" w:type="dxa"/>
          </w:tblCellMar>
          <w:tblLook w:val="0420"/>
        </w:tblPrEx>
        <w:trPr>
          <w:trHeight w:val="151"/>
        </w:trPr>
        <w:tc>
          <w:tcPr>
            <w:tcW w:w="1297" w:type="pct"/>
            <w:vMerge w:val="restart"/>
            <w:shd w:val="clear" w:color="auto" w:fill="FFFFFF" w:themeFill="background1"/>
            <w:tcMar>
              <w:top w:w="72" w:type="dxa"/>
              <w:left w:w="144" w:type="dxa"/>
              <w:bottom w:w="72" w:type="dxa"/>
              <w:right w:w="144" w:type="dxa"/>
            </w:tcMar>
          </w:tcPr>
          <w:p w:rsidR="004E36BC" w:rsidRPr="00990D3B" w:rsidP="007E2465" w14:paraId="7CD4F1BE" w14:textId="2C4E6C2A">
            <w:pPr>
              <w:pStyle w:val="EQRTableText"/>
            </w:pPr>
          </w:p>
        </w:tc>
        <w:tc>
          <w:tcPr>
            <w:tcW w:w="2551" w:type="pct"/>
            <w:shd w:val="clear" w:color="auto" w:fill="FFFFFF" w:themeFill="background1"/>
            <w:tcMar>
              <w:top w:w="72" w:type="dxa"/>
              <w:left w:w="144" w:type="dxa"/>
              <w:bottom w:w="72" w:type="dxa"/>
              <w:right w:w="144" w:type="dxa"/>
            </w:tcMar>
          </w:tcPr>
          <w:p w:rsidR="004E36BC" w:rsidRPr="00990D3B" w:rsidP="007E2465" w14:paraId="104AFFDC" w14:textId="4BF03C5C">
            <w:pPr>
              <w:pStyle w:val="EQRTableText"/>
            </w:pPr>
          </w:p>
        </w:tc>
        <w:tc>
          <w:tcPr>
            <w:tcW w:w="1152" w:type="pct"/>
            <w:shd w:val="clear" w:color="auto" w:fill="FFFFFF" w:themeFill="background1"/>
            <w:tcMar>
              <w:top w:w="72" w:type="dxa"/>
              <w:left w:w="144" w:type="dxa"/>
              <w:bottom w:w="72" w:type="dxa"/>
              <w:right w:w="144" w:type="dxa"/>
            </w:tcMar>
          </w:tcPr>
          <w:p w:rsidR="004E36BC" w:rsidRPr="00990D3B" w:rsidP="007E2465" w14:paraId="2E3FD973" w14:textId="014194A5">
            <w:pPr>
              <w:pStyle w:val="EQRTableText"/>
            </w:pPr>
          </w:p>
        </w:tc>
      </w:tr>
      <w:tr w14:paraId="29EBABEF" w14:textId="77777777" w:rsidTr="004E36BC">
        <w:tblPrEx>
          <w:tblW w:w="5000" w:type="pct"/>
          <w:shd w:val="clear" w:color="auto" w:fill="FFFFFF" w:themeFill="background1"/>
          <w:tblCellMar>
            <w:left w:w="0" w:type="dxa"/>
            <w:right w:w="0" w:type="dxa"/>
          </w:tblCellMar>
          <w:tblLook w:val="0420"/>
        </w:tblPrEx>
        <w:trPr>
          <w:trHeight w:val="151"/>
        </w:trPr>
        <w:tc>
          <w:tcPr>
            <w:tcW w:w="1297" w:type="pct"/>
            <w:vMerge/>
            <w:shd w:val="clear" w:color="auto" w:fill="FFFFFF" w:themeFill="background1"/>
            <w:tcMar>
              <w:top w:w="72" w:type="dxa"/>
              <w:left w:w="144" w:type="dxa"/>
              <w:bottom w:w="72" w:type="dxa"/>
              <w:right w:w="144" w:type="dxa"/>
            </w:tcMar>
          </w:tcPr>
          <w:p w:rsidR="004E36BC" w:rsidRPr="00990D3B" w:rsidP="007E2465" w14:paraId="4486D817" w14:textId="77777777">
            <w:pPr>
              <w:pStyle w:val="EQRTableText"/>
            </w:pPr>
          </w:p>
        </w:tc>
        <w:tc>
          <w:tcPr>
            <w:tcW w:w="2551" w:type="pct"/>
            <w:shd w:val="clear" w:color="auto" w:fill="FFFFFF" w:themeFill="background1"/>
            <w:tcMar>
              <w:top w:w="72" w:type="dxa"/>
              <w:left w:w="144" w:type="dxa"/>
              <w:bottom w:w="72" w:type="dxa"/>
              <w:right w:w="144" w:type="dxa"/>
            </w:tcMar>
          </w:tcPr>
          <w:p w:rsidR="004E36BC" w:rsidRPr="00990D3B" w:rsidP="007E2465" w14:paraId="041CC865" w14:textId="33229AA3">
            <w:pPr>
              <w:pStyle w:val="EQRTableText"/>
            </w:pPr>
          </w:p>
        </w:tc>
        <w:tc>
          <w:tcPr>
            <w:tcW w:w="1152" w:type="pct"/>
            <w:shd w:val="clear" w:color="auto" w:fill="FFFFFF" w:themeFill="background1"/>
            <w:tcMar>
              <w:top w:w="72" w:type="dxa"/>
              <w:left w:w="144" w:type="dxa"/>
              <w:bottom w:w="72" w:type="dxa"/>
              <w:right w:w="144" w:type="dxa"/>
            </w:tcMar>
          </w:tcPr>
          <w:p w:rsidR="004E36BC" w:rsidRPr="00990D3B" w:rsidP="007E2465" w14:paraId="47F8AC02" w14:textId="2962173F">
            <w:pPr>
              <w:pStyle w:val="EQRTableText"/>
            </w:pPr>
          </w:p>
        </w:tc>
      </w:tr>
      <w:tr w14:paraId="61609C8C" w14:textId="77777777" w:rsidTr="004E36BC">
        <w:tblPrEx>
          <w:tblW w:w="5000" w:type="pct"/>
          <w:shd w:val="clear" w:color="auto" w:fill="FFFFFF" w:themeFill="background1"/>
          <w:tblCellMar>
            <w:left w:w="0" w:type="dxa"/>
            <w:right w:w="0" w:type="dxa"/>
          </w:tblCellMar>
          <w:tblLook w:val="0420"/>
        </w:tblPrEx>
        <w:trPr>
          <w:trHeight w:val="151"/>
        </w:trPr>
        <w:tc>
          <w:tcPr>
            <w:tcW w:w="1297" w:type="pct"/>
            <w:vMerge w:val="restart"/>
            <w:shd w:val="clear" w:color="auto" w:fill="FFFFFF" w:themeFill="background1"/>
            <w:tcMar>
              <w:top w:w="72" w:type="dxa"/>
              <w:left w:w="144" w:type="dxa"/>
              <w:bottom w:w="72" w:type="dxa"/>
              <w:right w:w="144" w:type="dxa"/>
            </w:tcMar>
          </w:tcPr>
          <w:p w:rsidR="004E36BC" w:rsidRPr="00990D3B" w:rsidP="007E2465" w14:paraId="512FB62E" w14:textId="5879DA5B">
            <w:pPr>
              <w:pStyle w:val="EQRTableText"/>
            </w:pPr>
          </w:p>
        </w:tc>
        <w:tc>
          <w:tcPr>
            <w:tcW w:w="2551" w:type="pct"/>
            <w:shd w:val="clear" w:color="auto" w:fill="FFFFFF" w:themeFill="background1"/>
            <w:tcMar>
              <w:top w:w="72" w:type="dxa"/>
              <w:left w:w="144" w:type="dxa"/>
              <w:bottom w:w="72" w:type="dxa"/>
              <w:right w:w="144" w:type="dxa"/>
            </w:tcMar>
          </w:tcPr>
          <w:p w:rsidR="004E36BC" w:rsidRPr="00990D3B" w:rsidP="007E2465" w14:paraId="2E6CF20E" w14:textId="3D2BE841">
            <w:pPr>
              <w:pStyle w:val="EQRTableText"/>
            </w:pPr>
          </w:p>
        </w:tc>
        <w:tc>
          <w:tcPr>
            <w:tcW w:w="1152" w:type="pct"/>
            <w:shd w:val="clear" w:color="auto" w:fill="FFFFFF" w:themeFill="background1"/>
            <w:tcMar>
              <w:top w:w="72" w:type="dxa"/>
              <w:left w:w="144" w:type="dxa"/>
              <w:bottom w:w="72" w:type="dxa"/>
              <w:right w:w="144" w:type="dxa"/>
            </w:tcMar>
          </w:tcPr>
          <w:p w:rsidR="004E36BC" w:rsidRPr="00990D3B" w:rsidP="007E2465" w14:paraId="17458734" w14:textId="7EE1F2C8">
            <w:pPr>
              <w:pStyle w:val="EQRTableText"/>
            </w:pPr>
          </w:p>
        </w:tc>
      </w:tr>
      <w:tr w14:paraId="0AC31115" w14:textId="77777777" w:rsidTr="00E14994">
        <w:tblPrEx>
          <w:tblW w:w="5000" w:type="pct"/>
          <w:shd w:val="clear" w:color="auto" w:fill="FFFFFF" w:themeFill="background1"/>
          <w:tblCellMar>
            <w:left w:w="0" w:type="dxa"/>
            <w:right w:w="0" w:type="dxa"/>
          </w:tblCellMar>
          <w:tblLook w:val="0420"/>
        </w:tblPrEx>
        <w:trPr>
          <w:trHeight w:val="160"/>
        </w:trPr>
        <w:tc>
          <w:tcPr>
            <w:tcW w:w="1297" w:type="pct"/>
            <w:vMerge/>
            <w:shd w:val="clear" w:color="auto" w:fill="FFFFFF" w:themeFill="background1"/>
            <w:tcMar>
              <w:top w:w="72" w:type="dxa"/>
              <w:left w:w="144" w:type="dxa"/>
              <w:bottom w:w="72" w:type="dxa"/>
              <w:right w:w="144" w:type="dxa"/>
            </w:tcMar>
          </w:tcPr>
          <w:p w:rsidR="004E36BC" w:rsidRPr="00990D3B" w:rsidP="007E2465" w14:paraId="52628BB6" w14:textId="77777777">
            <w:pPr>
              <w:pStyle w:val="EQRTableText"/>
            </w:pPr>
          </w:p>
        </w:tc>
        <w:tc>
          <w:tcPr>
            <w:tcW w:w="2551" w:type="pct"/>
            <w:shd w:val="clear" w:color="auto" w:fill="FFFFFF" w:themeFill="background1"/>
            <w:tcMar>
              <w:top w:w="72" w:type="dxa"/>
              <w:left w:w="144" w:type="dxa"/>
              <w:bottom w:w="72" w:type="dxa"/>
              <w:right w:w="144" w:type="dxa"/>
            </w:tcMar>
          </w:tcPr>
          <w:p w:rsidR="004E36BC" w:rsidRPr="00990D3B" w:rsidP="007E2465" w14:paraId="2996B1B1" w14:textId="3CE6FFFD">
            <w:pPr>
              <w:pStyle w:val="EQRTableText"/>
            </w:pPr>
          </w:p>
        </w:tc>
        <w:tc>
          <w:tcPr>
            <w:tcW w:w="1152" w:type="pct"/>
            <w:shd w:val="clear" w:color="auto" w:fill="FFFFFF" w:themeFill="background1"/>
            <w:tcMar>
              <w:top w:w="72" w:type="dxa"/>
              <w:left w:w="144" w:type="dxa"/>
              <w:bottom w:w="72" w:type="dxa"/>
              <w:right w:w="144" w:type="dxa"/>
            </w:tcMar>
          </w:tcPr>
          <w:p w:rsidR="004E36BC" w:rsidRPr="00990D3B" w:rsidP="007E2465" w14:paraId="4300A4E7" w14:textId="29E12220">
            <w:pPr>
              <w:pStyle w:val="EQRTableText"/>
            </w:pPr>
          </w:p>
        </w:tc>
      </w:tr>
      <w:tr w14:paraId="64CBBDD5" w14:textId="77777777" w:rsidTr="00E14994">
        <w:tblPrEx>
          <w:tblW w:w="5000" w:type="pct"/>
          <w:shd w:val="clear" w:color="auto" w:fill="FFFFFF" w:themeFill="background1"/>
          <w:tblCellMar>
            <w:left w:w="0" w:type="dxa"/>
            <w:right w:w="0" w:type="dxa"/>
          </w:tblCellMar>
          <w:tblLook w:val="0420"/>
        </w:tblPrEx>
        <w:trPr>
          <w:trHeight w:val="124"/>
        </w:trPr>
        <w:tc>
          <w:tcPr>
            <w:tcW w:w="1297" w:type="pct"/>
            <w:vMerge/>
            <w:shd w:val="clear" w:color="auto" w:fill="FFFFFF" w:themeFill="background1"/>
          </w:tcPr>
          <w:p w:rsidR="004E36BC" w:rsidRPr="00990D3B" w:rsidP="007E2465" w14:paraId="7872F9F7" w14:textId="77777777">
            <w:pPr>
              <w:pStyle w:val="EQRTableText"/>
            </w:pPr>
          </w:p>
        </w:tc>
        <w:tc>
          <w:tcPr>
            <w:tcW w:w="2551" w:type="pct"/>
            <w:shd w:val="clear" w:color="auto" w:fill="FFFFFF" w:themeFill="background1"/>
            <w:tcMar>
              <w:top w:w="72" w:type="dxa"/>
              <w:left w:w="144" w:type="dxa"/>
              <w:bottom w:w="72" w:type="dxa"/>
              <w:right w:w="144" w:type="dxa"/>
            </w:tcMar>
          </w:tcPr>
          <w:p w:rsidR="004E36BC" w:rsidRPr="00990D3B" w:rsidP="007E2465" w14:paraId="6DEC606E" w14:textId="77809519">
            <w:pPr>
              <w:pStyle w:val="EQRTableText"/>
            </w:pPr>
          </w:p>
        </w:tc>
        <w:tc>
          <w:tcPr>
            <w:tcW w:w="1152" w:type="pct"/>
            <w:shd w:val="clear" w:color="auto" w:fill="FFFFFF" w:themeFill="background1"/>
            <w:tcMar>
              <w:top w:w="72" w:type="dxa"/>
              <w:left w:w="144" w:type="dxa"/>
              <w:bottom w:w="72" w:type="dxa"/>
              <w:right w:w="144" w:type="dxa"/>
            </w:tcMar>
          </w:tcPr>
          <w:p w:rsidR="004E36BC" w:rsidRPr="00990D3B" w:rsidP="007E2465" w14:paraId="4327B15B" w14:textId="7335F18D">
            <w:pPr>
              <w:pStyle w:val="EQRTableText"/>
            </w:pPr>
          </w:p>
        </w:tc>
      </w:tr>
    </w:tbl>
    <w:bookmarkEnd w:id="433"/>
    <w:p w:rsidR="004E36BC" w:rsidRPr="00990D3B" w:rsidP="00D12283" w14:paraId="05BE46F3" w14:textId="5DD3D972">
      <w:pPr>
        <w:pStyle w:val="EQRNormalSSWORKSHEET"/>
        <w:rPr>
          <w:b/>
          <w:bCs/>
        </w:rPr>
      </w:pPr>
      <w:r w:rsidRPr="00990D3B">
        <w:rPr>
          <w:b/>
          <w:bCs/>
        </w:rPr>
        <w:t>Template 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4088"/>
        <w:gridCol w:w="1756"/>
        <w:gridCol w:w="1754"/>
        <w:gridCol w:w="1752"/>
      </w:tblGrid>
      <w:tr w14:paraId="3A9C4EBF" w14:textId="77777777" w:rsidTr="00E149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Ex>
        <w:trPr>
          <w:trHeight w:val="151"/>
          <w:tblHeader/>
        </w:trPr>
        <w:tc>
          <w:tcPr>
            <w:tcW w:w="2186" w:type="pct"/>
            <w:shd w:val="clear" w:color="auto" w:fill="FFFFFF" w:themeFill="background1"/>
            <w:tcMar>
              <w:top w:w="72" w:type="dxa"/>
              <w:left w:w="144" w:type="dxa"/>
              <w:bottom w:w="72" w:type="dxa"/>
              <w:right w:w="144" w:type="dxa"/>
            </w:tcMar>
            <w:vAlign w:val="bottom"/>
            <w:hideMark/>
          </w:tcPr>
          <w:p w:rsidR="004E36BC" w:rsidRPr="00990D3B" w:rsidP="00132306" w14:paraId="0F3FF8E0" w14:textId="24F0C8D0">
            <w:pPr>
              <w:pStyle w:val="EQRTableHeaderLeft"/>
              <w:rPr>
                <w:color w:val="auto"/>
              </w:rPr>
            </w:pPr>
            <w:r w:rsidRPr="00990D3B">
              <w:rPr>
                <w:color w:val="auto"/>
              </w:rPr>
              <w:t xml:space="preserve">Federal </w:t>
            </w:r>
            <w:r w:rsidRPr="00990D3B" w:rsidR="007F29C2">
              <w:rPr>
                <w:color w:val="auto"/>
              </w:rPr>
              <w:t>s</w:t>
            </w:r>
            <w:r w:rsidRPr="00990D3B">
              <w:rPr>
                <w:color w:val="auto"/>
              </w:rPr>
              <w:t>tandard</w:t>
            </w:r>
          </w:p>
        </w:tc>
        <w:tc>
          <w:tcPr>
            <w:tcW w:w="939" w:type="pct"/>
            <w:shd w:val="clear" w:color="auto" w:fill="FFFFFF" w:themeFill="background1"/>
            <w:tcMar>
              <w:top w:w="72" w:type="dxa"/>
              <w:left w:w="144" w:type="dxa"/>
              <w:bottom w:w="72" w:type="dxa"/>
              <w:right w:w="144" w:type="dxa"/>
            </w:tcMar>
            <w:vAlign w:val="bottom"/>
          </w:tcPr>
          <w:p w:rsidR="004E36BC" w:rsidRPr="00990D3B" w:rsidP="00781CA6" w14:paraId="15F576E5" w14:textId="760D32FA">
            <w:pPr>
              <w:pStyle w:val="EQRTableHeaderCenter"/>
              <w:rPr>
                <w:color w:val="auto"/>
              </w:rPr>
            </w:pPr>
            <w:r w:rsidRPr="00990D3B">
              <w:rPr>
                <w:color w:val="auto"/>
              </w:rPr>
              <w:t>[</w:t>
            </w:r>
            <w:r w:rsidRPr="00990D3B" w:rsidR="00F05409">
              <w:rPr>
                <w:color w:val="auto"/>
              </w:rPr>
              <w:t>Year</w:t>
            </w:r>
            <w:r w:rsidRPr="00990D3B">
              <w:rPr>
                <w:color w:val="auto"/>
              </w:rPr>
              <w:t>]</w:t>
            </w:r>
            <w:r w:rsidRPr="00990D3B" w:rsidR="00F05409">
              <w:rPr>
                <w:color w:val="auto"/>
              </w:rPr>
              <w:t xml:space="preserve"> </w:t>
            </w:r>
          </w:p>
        </w:tc>
        <w:tc>
          <w:tcPr>
            <w:tcW w:w="938" w:type="pct"/>
            <w:shd w:val="clear" w:color="auto" w:fill="FFFFFF" w:themeFill="background1"/>
          </w:tcPr>
          <w:p w:rsidR="004E36BC" w:rsidRPr="00990D3B" w:rsidP="00781CA6" w14:paraId="75FDE80A" w14:textId="127C785E">
            <w:pPr>
              <w:pStyle w:val="EQRTableHeaderCenter"/>
              <w:rPr>
                <w:color w:val="auto"/>
              </w:rPr>
            </w:pPr>
            <w:r w:rsidRPr="00990D3B">
              <w:rPr>
                <w:color w:val="auto"/>
              </w:rPr>
              <w:t xml:space="preserve">[Year] </w:t>
            </w:r>
          </w:p>
        </w:tc>
        <w:tc>
          <w:tcPr>
            <w:tcW w:w="937" w:type="pct"/>
            <w:shd w:val="clear" w:color="auto" w:fill="FFFFFF" w:themeFill="background1"/>
          </w:tcPr>
          <w:p w:rsidR="004E36BC" w:rsidRPr="00990D3B" w:rsidP="00781CA6" w14:paraId="463356F8" w14:textId="61D0686C">
            <w:pPr>
              <w:pStyle w:val="EQRTableHeaderCenter"/>
              <w:rPr>
                <w:color w:val="auto"/>
              </w:rPr>
            </w:pPr>
            <w:r w:rsidRPr="00990D3B">
              <w:rPr>
                <w:color w:val="auto"/>
              </w:rPr>
              <w:t xml:space="preserve">[Year] </w:t>
            </w:r>
          </w:p>
        </w:tc>
      </w:tr>
      <w:tr w14:paraId="3C313445" w14:textId="77777777" w:rsidTr="00E14994">
        <w:tblPrEx>
          <w:tblW w:w="5000" w:type="pct"/>
          <w:shd w:val="clear" w:color="auto" w:fill="FFFFFF" w:themeFill="background1"/>
          <w:tblCellMar>
            <w:left w:w="0" w:type="dxa"/>
            <w:right w:w="0" w:type="dxa"/>
          </w:tblCellMar>
          <w:tblLook w:val="0420"/>
        </w:tblPrEx>
        <w:trPr>
          <w:trHeight w:val="151"/>
        </w:trPr>
        <w:tc>
          <w:tcPr>
            <w:tcW w:w="2186" w:type="pct"/>
            <w:shd w:val="clear" w:color="auto" w:fill="FFFFFF" w:themeFill="background1"/>
            <w:tcMar>
              <w:top w:w="72" w:type="dxa"/>
              <w:left w:w="144" w:type="dxa"/>
              <w:bottom w:w="72" w:type="dxa"/>
              <w:right w:w="144" w:type="dxa"/>
            </w:tcMar>
            <w:vAlign w:val="bottom"/>
          </w:tcPr>
          <w:p w:rsidR="004E36BC" w:rsidRPr="00990D3B" w:rsidP="007E2465" w14:paraId="1985C962" w14:textId="1B7ABAC9">
            <w:pPr>
              <w:pStyle w:val="EQRTableText"/>
            </w:pPr>
            <w:r w:rsidRPr="00990D3B">
              <w:t>§438.56 Disenrollment</w:t>
            </w:r>
          </w:p>
        </w:tc>
        <w:tc>
          <w:tcPr>
            <w:tcW w:w="939" w:type="pct"/>
            <w:shd w:val="clear" w:color="auto" w:fill="FFFFFF" w:themeFill="background1"/>
            <w:tcMar>
              <w:top w:w="72" w:type="dxa"/>
              <w:left w:w="144" w:type="dxa"/>
              <w:bottom w:w="72" w:type="dxa"/>
              <w:right w:w="144" w:type="dxa"/>
            </w:tcMar>
            <w:vAlign w:val="bottom"/>
          </w:tcPr>
          <w:p w:rsidR="004E36BC" w:rsidRPr="00990D3B" w:rsidP="00D12283" w14:paraId="3C8B7FD5" w14:textId="77777777">
            <w:pPr>
              <w:pStyle w:val="EQRTableText"/>
              <w:jc w:val="center"/>
              <w:rPr>
                <w:i/>
                <w:iCs/>
              </w:rPr>
            </w:pPr>
          </w:p>
        </w:tc>
        <w:tc>
          <w:tcPr>
            <w:tcW w:w="938" w:type="pct"/>
            <w:shd w:val="clear" w:color="auto" w:fill="FFFFFF" w:themeFill="background1"/>
          </w:tcPr>
          <w:p w:rsidR="004E36BC" w:rsidRPr="00990D3B" w:rsidP="00D12283" w14:paraId="4EB3CFF1" w14:textId="77777777">
            <w:pPr>
              <w:pStyle w:val="EQRTableText"/>
              <w:jc w:val="center"/>
              <w:rPr>
                <w:i/>
                <w:iCs/>
              </w:rPr>
            </w:pPr>
          </w:p>
        </w:tc>
        <w:tc>
          <w:tcPr>
            <w:tcW w:w="937" w:type="pct"/>
            <w:shd w:val="clear" w:color="auto" w:fill="FFFFFF" w:themeFill="background1"/>
          </w:tcPr>
          <w:p w:rsidR="004E36BC" w:rsidRPr="00990D3B" w:rsidP="00D12283" w14:paraId="633D27EA" w14:textId="70CD10EE">
            <w:pPr>
              <w:pStyle w:val="EQRTableText"/>
              <w:jc w:val="center"/>
              <w:rPr>
                <w:i/>
                <w:iCs/>
              </w:rPr>
            </w:pPr>
          </w:p>
        </w:tc>
      </w:tr>
      <w:tr w14:paraId="6784A6E9" w14:textId="77777777" w:rsidTr="00E14994">
        <w:tblPrEx>
          <w:tblW w:w="5000" w:type="pct"/>
          <w:shd w:val="clear" w:color="auto" w:fill="FFFFFF" w:themeFill="background1"/>
          <w:tblCellMar>
            <w:left w:w="0" w:type="dxa"/>
            <w:right w:w="0" w:type="dxa"/>
          </w:tblCellMar>
          <w:tblLook w:val="0420"/>
        </w:tblPrEx>
        <w:trPr>
          <w:trHeight w:val="151"/>
        </w:trPr>
        <w:tc>
          <w:tcPr>
            <w:tcW w:w="2186" w:type="pct"/>
            <w:shd w:val="clear" w:color="auto" w:fill="FFFFFF" w:themeFill="background1"/>
            <w:tcMar>
              <w:top w:w="72" w:type="dxa"/>
              <w:left w:w="144" w:type="dxa"/>
              <w:bottom w:w="72" w:type="dxa"/>
              <w:right w:w="144" w:type="dxa"/>
            </w:tcMar>
            <w:vAlign w:val="bottom"/>
          </w:tcPr>
          <w:p w:rsidR="004E36BC" w:rsidRPr="00990D3B" w:rsidP="007E2465" w14:paraId="46AF02FF" w14:textId="77777777">
            <w:pPr>
              <w:pStyle w:val="EQRTableText"/>
            </w:pPr>
            <w:r w:rsidRPr="00990D3B">
              <w:t>§438.100 Enrollee Rights</w:t>
            </w:r>
          </w:p>
        </w:tc>
        <w:tc>
          <w:tcPr>
            <w:tcW w:w="939" w:type="pct"/>
            <w:shd w:val="clear" w:color="auto" w:fill="FFFFFF" w:themeFill="background1"/>
            <w:tcMar>
              <w:top w:w="72" w:type="dxa"/>
              <w:left w:w="144" w:type="dxa"/>
              <w:bottom w:w="72" w:type="dxa"/>
              <w:right w:w="144" w:type="dxa"/>
            </w:tcMar>
            <w:vAlign w:val="bottom"/>
          </w:tcPr>
          <w:p w:rsidR="004E36BC" w:rsidRPr="00990D3B" w:rsidP="00D12283" w14:paraId="4312D8DD" w14:textId="77777777">
            <w:pPr>
              <w:pStyle w:val="EQRTableText"/>
              <w:jc w:val="center"/>
              <w:rPr>
                <w:i/>
                <w:iCs/>
              </w:rPr>
            </w:pPr>
          </w:p>
        </w:tc>
        <w:tc>
          <w:tcPr>
            <w:tcW w:w="938" w:type="pct"/>
            <w:shd w:val="clear" w:color="auto" w:fill="FFFFFF" w:themeFill="background1"/>
          </w:tcPr>
          <w:p w:rsidR="004E36BC" w:rsidRPr="00990D3B" w:rsidP="00D12283" w14:paraId="45166329" w14:textId="77777777">
            <w:pPr>
              <w:pStyle w:val="EQRTableText"/>
              <w:jc w:val="center"/>
              <w:rPr>
                <w:i/>
                <w:iCs/>
              </w:rPr>
            </w:pPr>
          </w:p>
        </w:tc>
        <w:tc>
          <w:tcPr>
            <w:tcW w:w="937" w:type="pct"/>
            <w:shd w:val="clear" w:color="auto" w:fill="FFFFFF" w:themeFill="background1"/>
          </w:tcPr>
          <w:p w:rsidR="004E36BC" w:rsidRPr="00990D3B" w:rsidP="00D12283" w14:paraId="06E703AD" w14:textId="060F7C8A">
            <w:pPr>
              <w:pStyle w:val="EQRTableText"/>
              <w:jc w:val="center"/>
              <w:rPr>
                <w:i/>
                <w:iCs/>
              </w:rPr>
            </w:pPr>
          </w:p>
        </w:tc>
      </w:tr>
      <w:tr w14:paraId="67C96455" w14:textId="77777777" w:rsidTr="00E14994">
        <w:tblPrEx>
          <w:tblW w:w="5000" w:type="pct"/>
          <w:shd w:val="clear" w:color="auto" w:fill="FFFFFF" w:themeFill="background1"/>
          <w:tblCellMar>
            <w:left w:w="0" w:type="dxa"/>
            <w:right w:w="0" w:type="dxa"/>
          </w:tblCellMar>
          <w:tblLook w:val="0420"/>
        </w:tblPrEx>
        <w:trPr>
          <w:trHeight w:val="151"/>
        </w:trPr>
        <w:tc>
          <w:tcPr>
            <w:tcW w:w="2186" w:type="pct"/>
            <w:shd w:val="clear" w:color="auto" w:fill="FFFFFF" w:themeFill="background1"/>
            <w:tcMar>
              <w:top w:w="72" w:type="dxa"/>
              <w:left w:w="144" w:type="dxa"/>
              <w:bottom w:w="72" w:type="dxa"/>
              <w:right w:w="144" w:type="dxa"/>
            </w:tcMar>
            <w:vAlign w:val="bottom"/>
          </w:tcPr>
          <w:p w:rsidR="004E36BC" w:rsidRPr="00990D3B" w:rsidP="007E2465" w14:paraId="67043925" w14:textId="77777777">
            <w:pPr>
              <w:pStyle w:val="EQRTableText"/>
            </w:pPr>
            <w:r w:rsidRPr="00990D3B">
              <w:t>§438.114 Emergency and Post-stabilization Services</w:t>
            </w:r>
          </w:p>
        </w:tc>
        <w:tc>
          <w:tcPr>
            <w:tcW w:w="939" w:type="pct"/>
            <w:shd w:val="clear" w:color="auto" w:fill="FFFFFF" w:themeFill="background1"/>
            <w:tcMar>
              <w:top w:w="72" w:type="dxa"/>
              <w:left w:w="144" w:type="dxa"/>
              <w:bottom w:w="72" w:type="dxa"/>
              <w:right w:w="144" w:type="dxa"/>
            </w:tcMar>
            <w:vAlign w:val="bottom"/>
          </w:tcPr>
          <w:p w:rsidR="004E36BC" w:rsidRPr="00990D3B" w:rsidP="00E84B60" w14:paraId="28112DFD" w14:textId="77777777">
            <w:pPr>
              <w:pStyle w:val="EQRTableText"/>
              <w:jc w:val="center"/>
            </w:pPr>
          </w:p>
        </w:tc>
        <w:tc>
          <w:tcPr>
            <w:tcW w:w="938" w:type="pct"/>
            <w:shd w:val="clear" w:color="auto" w:fill="FFFFFF" w:themeFill="background1"/>
          </w:tcPr>
          <w:p w:rsidR="004E36BC" w:rsidRPr="00990D3B" w:rsidP="00D12283" w14:paraId="361E0BD1" w14:textId="77777777">
            <w:pPr>
              <w:pStyle w:val="EQRTableText"/>
              <w:jc w:val="center"/>
              <w:rPr>
                <w:i/>
                <w:iCs/>
              </w:rPr>
            </w:pPr>
          </w:p>
        </w:tc>
        <w:tc>
          <w:tcPr>
            <w:tcW w:w="937" w:type="pct"/>
            <w:shd w:val="clear" w:color="auto" w:fill="FFFFFF" w:themeFill="background1"/>
          </w:tcPr>
          <w:p w:rsidR="004E36BC" w:rsidRPr="00990D3B" w:rsidP="00D12283" w14:paraId="39B820A6" w14:textId="1B297A33">
            <w:pPr>
              <w:pStyle w:val="EQRTableText"/>
              <w:jc w:val="center"/>
              <w:rPr>
                <w:i/>
                <w:iCs/>
              </w:rPr>
            </w:pPr>
          </w:p>
        </w:tc>
      </w:tr>
      <w:tr w14:paraId="7171209B" w14:textId="77777777" w:rsidTr="00E14994">
        <w:tblPrEx>
          <w:tblW w:w="5000" w:type="pct"/>
          <w:shd w:val="clear" w:color="auto" w:fill="FFFFFF" w:themeFill="background1"/>
          <w:tblCellMar>
            <w:left w:w="0" w:type="dxa"/>
            <w:right w:w="0" w:type="dxa"/>
          </w:tblCellMar>
          <w:tblLook w:val="0420"/>
        </w:tblPrEx>
        <w:trPr>
          <w:trHeight w:val="160"/>
        </w:trPr>
        <w:tc>
          <w:tcPr>
            <w:tcW w:w="2186" w:type="pct"/>
            <w:shd w:val="clear" w:color="auto" w:fill="FFFFFF" w:themeFill="background1"/>
            <w:tcMar>
              <w:top w:w="72" w:type="dxa"/>
              <w:left w:w="144" w:type="dxa"/>
              <w:bottom w:w="72" w:type="dxa"/>
              <w:right w:w="144" w:type="dxa"/>
            </w:tcMar>
            <w:hideMark/>
          </w:tcPr>
          <w:p w:rsidR="004E36BC" w:rsidRPr="00990D3B" w:rsidP="007E2465" w14:paraId="341AFD87" w14:textId="77777777">
            <w:pPr>
              <w:pStyle w:val="EQRTableText"/>
            </w:pPr>
            <w:r w:rsidRPr="00990D3B">
              <w:t>§438.206 Availability of Services</w:t>
            </w:r>
          </w:p>
        </w:tc>
        <w:tc>
          <w:tcPr>
            <w:tcW w:w="939" w:type="pct"/>
            <w:shd w:val="clear" w:color="auto" w:fill="FFFFFF" w:themeFill="background1"/>
            <w:tcMar>
              <w:top w:w="72" w:type="dxa"/>
              <w:left w:w="144" w:type="dxa"/>
              <w:bottom w:w="72" w:type="dxa"/>
              <w:right w:w="144" w:type="dxa"/>
            </w:tcMar>
          </w:tcPr>
          <w:p w:rsidR="004E36BC" w:rsidRPr="00990D3B" w:rsidP="00D12283" w14:paraId="0A7CE60F" w14:textId="77777777">
            <w:pPr>
              <w:pStyle w:val="EQRTableText"/>
              <w:jc w:val="center"/>
              <w:rPr>
                <w:i/>
                <w:iCs/>
              </w:rPr>
            </w:pPr>
          </w:p>
        </w:tc>
        <w:tc>
          <w:tcPr>
            <w:tcW w:w="938" w:type="pct"/>
            <w:shd w:val="clear" w:color="auto" w:fill="FFFFFF" w:themeFill="background1"/>
          </w:tcPr>
          <w:p w:rsidR="004E36BC" w:rsidRPr="00990D3B" w:rsidP="00D12283" w14:paraId="749281E5" w14:textId="77777777">
            <w:pPr>
              <w:pStyle w:val="EQRTableText"/>
              <w:jc w:val="center"/>
              <w:rPr>
                <w:i/>
                <w:iCs/>
              </w:rPr>
            </w:pPr>
          </w:p>
        </w:tc>
        <w:tc>
          <w:tcPr>
            <w:tcW w:w="937" w:type="pct"/>
            <w:shd w:val="clear" w:color="auto" w:fill="FFFFFF" w:themeFill="background1"/>
          </w:tcPr>
          <w:p w:rsidR="004E36BC" w:rsidRPr="00990D3B" w:rsidP="00D12283" w14:paraId="338E3417" w14:textId="2141B59F">
            <w:pPr>
              <w:pStyle w:val="EQRTableText"/>
              <w:jc w:val="center"/>
              <w:rPr>
                <w:i/>
                <w:iCs/>
              </w:rPr>
            </w:pPr>
          </w:p>
        </w:tc>
      </w:tr>
      <w:tr w14:paraId="2A088F29" w14:textId="77777777" w:rsidTr="00E14994">
        <w:tblPrEx>
          <w:tblW w:w="5000" w:type="pct"/>
          <w:shd w:val="clear" w:color="auto" w:fill="FFFFFF" w:themeFill="background1"/>
          <w:tblCellMar>
            <w:left w:w="0" w:type="dxa"/>
            <w:right w:w="0" w:type="dxa"/>
          </w:tblCellMar>
          <w:tblLook w:val="0420"/>
        </w:tblPrEx>
        <w:trPr>
          <w:trHeight w:val="124"/>
        </w:trPr>
        <w:tc>
          <w:tcPr>
            <w:tcW w:w="2186" w:type="pct"/>
            <w:shd w:val="clear" w:color="auto" w:fill="FFFFFF" w:themeFill="background1"/>
            <w:tcMar>
              <w:top w:w="72" w:type="dxa"/>
              <w:left w:w="144" w:type="dxa"/>
              <w:bottom w:w="72" w:type="dxa"/>
              <w:right w:w="144" w:type="dxa"/>
            </w:tcMar>
            <w:hideMark/>
          </w:tcPr>
          <w:p w:rsidR="004E36BC" w:rsidRPr="00990D3B" w:rsidP="007E2465" w14:paraId="1BFCDABD" w14:textId="77777777">
            <w:pPr>
              <w:pStyle w:val="EQRTableText"/>
            </w:pPr>
            <w:r w:rsidRPr="00990D3B">
              <w:t>§438.207 Assurances of Adequate Capacity of Services</w:t>
            </w:r>
          </w:p>
        </w:tc>
        <w:tc>
          <w:tcPr>
            <w:tcW w:w="939" w:type="pct"/>
            <w:shd w:val="clear" w:color="auto" w:fill="FFFFFF" w:themeFill="background1"/>
            <w:tcMar>
              <w:top w:w="72" w:type="dxa"/>
              <w:left w:w="144" w:type="dxa"/>
              <w:bottom w:w="72" w:type="dxa"/>
              <w:right w:w="144" w:type="dxa"/>
            </w:tcMar>
          </w:tcPr>
          <w:p w:rsidR="004E36BC" w:rsidRPr="00990D3B" w:rsidP="00D12283" w14:paraId="4E604506" w14:textId="77777777">
            <w:pPr>
              <w:pStyle w:val="EQRTableText"/>
              <w:jc w:val="center"/>
              <w:rPr>
                <w:i/>
                <w:iCs/>
              </w:rPr>
            </w:pPr>
          </w:p>
        </w:tc>
        <w:tc>
          <w:tcPr>
            <w:tcW w:w="938" w:type="pct"/>
            <w:shd w:val="clear" w:color="auto" w:fill="FFFFFF" w:themeFill="background1"/>
          </w:tcPr>
          <w:p w:rsidR="004E36BC" w:rsidRPr="00990D3B" w:rsidP="00D12283" w14:paraId="5E44D224" w14:textId="77777777">
            <w:pPr>
              <w:pStyle w:val="EQRTableText"/>
              <w:jc w:val="center"/>
              <w:rPr>
                <w:i/>
                <w:iCs/>
              </w:rPr>
            </w:pPr>
          </w:p>
        </w:tc>
        <w:tc>
          <w:tcPr>
            <w:tcW w:w="937" w:type="pct"/>
            <w:shd w:val="clear" w:color="auto" w:fill="FFFFFF" w:themeFill="background1"/>
          </w:tcPr>
          <w:p w:rsidR="004E36BC" w:rsidRPr="00990D3B" w:rsidP="00D12283" w14:paraId="113E9C8D" w14:textId="70E145FD">
            <w:pPr>
              <w:pStyle w:val="EQRTableText"/>
              <w:jc w:val="center"/>
              <w:rPr>
                <w:i/>
                <w:iCs/>
              </w:rPr>
            </w:pPr>
          </w:p>
        </w:tc>
      </w:tr>
      <w:tr w14:paraId="0780FFAB" w14:textId="77777777" w:rsidTr="00E14994">
        <w:tblPrEx>
          <w:tblW w:w="5000" w:type="pct"/>
          <w:shd w:val="clear" w:color="auto" w:fill="FFFFFF" w:themeFill="background1"/>
          <w:tblCellMar>
            <w:left w:w="0" w:type="dxa"/>
            <w:right w:w="0" w:type="dxa"/>
          </w:tblCellMar>
          <w:tblLook w:val="0420"/>
        </w:tblPrEx>
        <w:trPr>
          <w:trHeight w:val="277"/>
        </w:trPr>
        <w:tc>
          <w:tcPr>
            <w:tcW w:w="2186" w:type="pct"/>
            <w:shd w:val="clear" w:color="auto" w:fill="FFFFFF" w:themeFill="background1"/>
            <w:tcMar>
              <w:top w:w="72" w:type="dxa"/>
              <w:left w:w="144" w:type="dxa"/>
              <w:bottom w:w="72" w:type="dxa"/>
              <w:right w:w="144" w:type="dxa"/>
            </w:tcMar>
            <w:hideMark/>
          </w:tcPr>
          <w:p w:rsidR="004E36BC" w:rsidRPr="00990D3B" w:rsidP="007E2465" w14:paraId="2568EBBE" w14:textId="77777777">
            <w:pPr>
              <w:pStyle w:val="EQRTableText"/>
            </w:pPr>
            <w:r w:rsidRPr="00990D3B">
              <w:t>§438.208 Coordination and Continuity of Care</w:t>
            </w:r>
          </w:p>
        </w:tc>
        <w:tc>
          <w:tcPr>
            <w:tcW w:w="939" w:type="pct"/>
            <w:shd w:val="clear" w:color="auto" w:fill="FFFFFF" w:themeFill="background1"/>
            <w:tcMar>
              <w:top w:w="72" w:type="dxa"/>
              <w:left w:w="144" w:type="dxa"/>
              <w:bottom w:w="72" w:type="dxa"/>
              <w:right w:w="144" w:type="dxa"/>
            </w:tcMar>
          </w:tcPr>
          <w:p w:rsidR="004E36BC" w:rsidRPr="00990D3B" w:rsidP="00D12283" w14:paraId="45289551" w14:textId="77777777">
            <w:pPr>
              <w:pStyle w:val="EQRTableText"/>
              <w:jc w:val="center"/>
              <w:rPr>
                <w:i/>
                <w:iCs/>
              </w:rPr>
            </w:pPr>
          </w:p>
        </w:tc>
        <w:tc>
          <w:tcPr>
            <w:tcW w:w="938" w:type="pct"/>
            <w:shd w:val="clear" w:color="auto" w:fill="FFFFFF" w:themeFill="background1"/>
          </w:tcPr>
          <w:p w:rsidR="004E36BC" w:rsidRPr="00990D3B" w:rsidP="00D12283" w14:paraId="40F50E3B" w14:textId="0D46E1B7">
            <w:pPr>
              <w:pStyle w:val="EQRTableText"/>
              <w:jc w:val="center"/>
              <w:rPr>
                <w:i/>
                <w:iCs/>
              </w:rPr>
            </w:pPr>
          </w:p>
        </w:tc>
        <w:tc>
          <w:tcPr>
            <w:tcW w:w="937" w:type="pct"/>
            <w:shd w:val="clear" w:color="auto" w:fill="FFFFFF" w:themeFill="background1"/>
          </w:tcPr>
          <w:p w:rsidR="004E36BC" w:rsidRPr="00990D3B" w:rsidP="00D12283" w14:paraId="142FC40E" w14:textId="77777777">
            <w:pPr>
              <w:pStyle w:val="EQRTableText"/>
              <w:jc w:val="center"/>
              <w:rPr>
                <w:i/>
                <w:iCs/>
              </w:rPr>
            </w:pPr>
          </w:p>
        </w:tc>
      </w:tr>
      <w:tr w14:paraId="078E8156" w14:textId="77777777" w:rsidTr="00E14994">
        <w:tblPrEx>
          <w:tblW w:w="5000" w:type="pct"/>
          <w:shd w:val="clear" w:color="auto" w:fill="FFFFFF" w:themeFill="background1"/>
          <w:tblCellMar>
            <w:left w:w="0" w:type="dxa"/>
            <w:right w:w="0" w:type="dxa"/>
          </w:tblCellMar>
          <w:tblLook w:val="0420"/>
        </w:tblPrEx>
        <w:trPr>
          <w:trHeight w:val="277"/>
        </w:trPr>
        <w:tc>
          <w:tcPr>
            <w:tcW w:w="2186" w:type="pct"/>
            <w:shd w:val="clear" w:color="auto" w:fill="FFFFFF" w:themeFill="background1"/>
            <w:tcMar>
              <w:top w:w="72" w:type="dxa"/>
              <w:left w:w="144" w:type="dxa"/>
              <w:bottom w:w="72" w:type="dxa"/>
              <w:right w:w="144" w:type="dxa"/>
            </w:tcMar>
            <w:hideMark/>
          </w:tcPr>
          <w:p w:rsidR="004E36BC" w:rsidRPr="00990D3B" w:rsidP="007E2465" w14:paraId="7ADCE788" w14:textId="77777777">
            <w:pPr>
              <w:pStyle w:val="EQRTableText"/>
            </w:pPr>
            <w:r w:rsidRPr="00990D3B">
              <w:t>§438.210 Coverage and Authorization of Services</w:t>
            </w:r>
          </w:p>
        </w:tc>
        <w:tc>
          <w:tcPr>
            <w:tcW w:w="939" w:type="pct"/>
            <w:shd w:val="clear" w:color="auto" w:fill="FFFFFF" w:themeFill="background1"/>
            <w:tcMar>
              <w:top w:w="72" w:type="dxa"/>
              <w:left w:w="144" w:type="dxa"/>
              <w:bottom w:w="72" w:type="dxa"/>
              <w:right w:w="144" w:type="dxa"/>
            </w:tcMar>
          </w:tcPr>
          <w:p w:rsidR="004E36BC" w:rsidRPr="00990D3B" w:rsidP="00D12283" w14:paraId="07AB5741" w14:textId="77777777">
            <w:pPr>
              <w:pStyle w:val="EQRTableText"/>
              <w:jc w:val="center"/>
              <w:rPr>
                <w:i/>
                <w:iCs/>
              </w:rPr>
            </w:pPr>
          </w:p>
        </w:tc>
        <w:tc>
          <w:tcPr>
            <w:tcW w:w="938" w:type="pct"/>
            <w:shd w:val="clear" w:color="auto" w:fill="FFFFFF" w:themeFill="background1"/>
          </w:tcPr>
          <w:p w:rsidR="004E36BC" w:rsidRPr="00990D3B" w:rsidP="00D12283" w14:paraId="533EFC0E" w14:textId="734DE50C">
            <w:pPr>
              <w:pStyle w:val="EQRTableText"/>
              <w:jc w:val="center"/>
              <w:rPr>
                <w:i/>
                <w:iCs/>
              </w:rPr>
            </w:pPr>
          </w:p>
        </w:tc>
        <w:tc>
          <w:tcPr>
            <w:tcW w:w="937" w:type="pct"/>
            <w:shd w:val="clear" w:color="auto" w:fill="FFFFFF" w:themeFill="background1"/>
          </w:tcPr>
          <w:p w:rsidR="004E36BC" w:rsidRPr="00990D3B" w:rsidP="00D12283" w14:paraId="32587BB4" w14:textId="77777777">
            <w:pPr>
              <w:pStyle w:val="EQRTableText"/>
              <w:jc w:val="center"/>
              <w:rPr>
                <w:i/>
                <w:iCs/>
              </w:rPr>
            </w:pPr>
          </w:p>
        </w:tc>
      </w:tr>
      <w:tr w14:paraId="1FF5F2F0" w14:textId="77777777" w:rsidTr="00E14994">
        <w:tblPrEx>
          <w:tblW w:w="5000" w:type="pct"/>
          <w:shd w:val="clear" w:color="auto" w:fill="FFFFFF" w:themeFill="background1"/>
          <w:tblCellMar>
            <w:left w:w="0" w:type="dxa"/>
            <w:right w:w="0" w:type="dxa"/>
          </w:tblCellMar>
          <w:tblLook w:val="0420"/>
        </w:tblPrEx>
        <w:trPr>
          <w:trHeight w:val="196"/>
        </w:trPr>
        <w:tc>
          <w:tcPr>
            <w:tcW w:w="2186" w:type="pct"/>
            <w:shd w:val="clear" w:color="auto" w:fill="FFFFFF" w:themeFill="background1"/>
            <w:tcMar>
              <w:top w:w="72" w:type="dxa"/>
              <w:left w:w="144" w:type="dxa"/>
              <w:bottom w:w="72" w:type="dxa"/>
              <w:right w:w="144" w:type="dxa"/>
            </w:tcMar>
            <w:hideMark/>
          </w:tcPr>
          <w:p w:rsidR="004E36BC" w:rsidRPr="00990D3B" w:rsidP="007E2465" w14:paraId="010464A9" w14:textId="77777777">
            <w:pPr>
              <w:pStyle w:val="EQRTableText"/>
            </w:pPr>
            <w:r w:rsidRPr="00990D3B">
              <w:t>§438.214 Provider Selection</w:t>
            </w:r>
          </w:p>
        </w:tc>
        <w:tc>
          <w:tcPr>
            <w:tcW w:w="939" w:type="pct"/>
            <w:shd w:val="clear" w:color="auto" w:fill="FFFFFF" w:themeFill="background1"/>
            <w:tcMar>
              <w:top w:w="72" w:type="dxa"/>
              <w:left w:w="144" w:type="dxa"/>
              <w:bottom w:w="72" w:type="dxa"/>
              <w:right w:w="144" w:type="dxa"/>
            </w:tcMar>
          </w:tcPr>
          <w:p w:rsidR="004E36BC" w:rsidRPr="00990D3B" w:rsidP="00D12283" w14:paraId="20966583" w14:textId="77777777">
            <w:pPr>
              <w:pStyle w:val="EQRTableText"/>
              <w:jc w:val="center"/>
              <w:rPr>
                <w:i/>
                <w:iCs/>
              </w:rPr>
            </w:pPr>
          </w:p>
        </w:tc>
        <w:tc>
          <w:tcPr>
            <w:tcW w:w="938" w:type="pct"/>
            <w:shd w:val="clear" w:color="auto" w:fill="FFFFFF" w:themeFill="background1"/>
          </w:tcPr>
          <w:p w:rsidR="004E36BC" w:rsidRPr="00990D3B" w:rsidP="00D12283" w14:paraId="44C11C52" w14:textId="77777777">
            <w:pPr>
              <w:pStyle w:val="EQRTableText"/>
              <w:jc w:val="center"/>
              <w:rPr>
                <w:i/>
                <w:iCs/>
              </w:rPr>
            </w:pPr>
          </w:p>
        </w:tc>
        <w:tc>
          <w:tcPr>
            <w:tcW w:w="937" w:type="pct"/>
            <w:shd w:val="clear" w:color="auto" w:fill="FFFFFF" w:themeFill="background1"/>
          </w:tcPr>
          <w:p w:rsidR="004E36BC" w:rsidRPr="00990D3B" w:rsidP="00D12283" w14:paraId="3F6850F1" w14:textId="0E58E6B6">
            <w:pPr>
              <w:pStyle w:val="EQRTableText"/>
              <w:jc w:val="center"/>
              <w:rPr>
                <w:i/>
                <w:iCs/>
              </w:rPr>
            </w:pPr>
          </w:p>
        </w:tc>
      </w:tr>
      <w:tr w14:paraId="567BC312" w14:textId="77777777" w:rsidTr="00E14994">
        <w:tblPrEx>
          <w:tblW w:w="5000" w:type="pct"/>
          <w:shd w:val="clear" w:color="auto" w:fill="FFFFFF" w:themeFill="background1"/>
          <w:tblCellMar>
            <w:left w:w="0" w:type="dxa"/>
            <w:right w:w="0" w:type="dxa"/>
          </w:tblCellMar>
          <w:tblLook w:val="0420"/>
        </w:tblPrEx>
        <w:trPr>
          <w:trHeight w:val="20"/>
        </w:trPr>
        <w:tc>
          <w:tcPr>
            <w:tcW w:w="2186" w:type="pct"/>
            <w:shd w:val="clear" w:color="auto" w:fill="FFFFFF" w:themeFill="background1"/>
            <w:tcMar>
              <w:top w:w="72" w:type="dxa"/>
              <w:left w:w="144" w:type="dxa"/>
              <w:bottom w:w="72" w:type="dxa"/>
              <w:right w:w="144" w:type="dxa"/>
            </w:tcMar>
            <w:hideMark/>
          </w:tcPr>
          <w:p w:rsidR="004E36BC" w:rsidRPr="00990D3B" w:rsidP="007E2465" w14:paraId="39759C4F" w14:textId="77777777">
            <w:pPr>
              <w:pStyle w:val="EQRTableText"/>
            </w:pPr>
            <w:r w:rsidRPr="00990D3B">
              <w:t>§438.224 Confidentiality</w:t>
            </w:r>
          </w:p>
        </w:tc>
        <w:tc>
          <w:tcPr>
            <w:tcW w:w="939" w:type="pct"/>
            <w:shd w:val="clear" w:color="auto" w:fill="FFFFFF" w:themeFill="background1"/>
            <w:tcMar>
              <w:top w:w="72" w:type="dxa"/>
              <w:left w:w="144" w:type="dxa"/>
              <w:bottom w:w="72" w:type="dxa"/>
              <w:right w:w="144" w:type="dxa"/>
            </w:tcMar>
          </w:tcPr>
          <w:p w:rsidR="004E36BC" w:rsidRPr="00990D3B" w:rsidP="00D12283" w14:paraId="6FFA423C" w14:textId="77777777">
            <w:pPr>
              <w:pStyle w:val="EQRTableText"/>
              <w:jc w:val="center"/>
              <w:rPr>
                <w:i/>
                <w:iCs/>
              </w:rPr>
            </w:pPr>
          </w:p>
        </w:tc>
        <w:tc>
          <w:tcPr>
            <w:tcW w:w="938" w:type="pct"/>
            <w:shd w:val="clear" w:color="auto" w:fill="FFFFFF" w:themeFill="background1"/>
          </w:tcPr>
          <w:p w:rsidR="004E36BC" w:rsidRPr="00990D3B" w:rsidP="00D12283" w14:paraId="6ECBF932" w14:textId="77777777">
            <w:pPr>
              <w:pStyle w:val="EQRTableText"/>
              <w:jc w:val="center"/>
              <w:rPr>
                <w:i/>
                <w:iCs/>
              </w:rPr>
            </w:pPr>
          </w:p>
        </w:tc>
        <w:tc>
          <w:tcPr>
            <w:tcW w:w="937" w:type="pct"/>
            <w:shd w:val="clear" w:color="auto" w:fill="FFFFFF" w:themeFill="background1"/>
          </w:tcPr>
          <w:p w:rsidR="004E36BC" w:rsidRPr="00990D3B" w:rsidP="00D12283" w14:paraId="2223E7AE" w14:textId="03979695">
            <w:pPr>
              <w:pStyle w:val="EQRTableText"/>
              <w:jc w:val="center"/>
              <w:rPr>
                <w:i/>
                <w:iCs/>
              </w:rPr>
            </w:pPr>
          </w:p>
        </w:tc>
      </w:tr>
      <w:tr w14:paraId="56A962B3" w14:textId="77777777" w:rsidTr="00E14994">
        <w:tblPrEx>
          <w:tblW w:w="5000" w:type="pct"/>
          <w:shd w:val="clear" w:color="auto" w:fill="FFFFFF" w:themeFill="background1"/>
          <w:tblCellMar>
            <w:left w:w="0" w:type="dxa"/>
            <w:right w:w="0" w:type="dxa"/>
          </w:tblCellMar>
          <w:tblLook w:val="0420"/>
        </w:tblPrEx>
        <w:trPr>
          <w:trHeight w:val="20"/>
        </w:trPr>
        <w:tc>
          <w:tcPr>
            <w:tcW w:w="2186" w:type="pct"/>
            <w:shd w:val="clear" w:color="auto" w:fill="FFFFFF" w:themeFill="background1"/>
            <w:tcMar>
              <w:top w:w="72" w:type="dxa"/>
              <w:left w:w="144" w:type="dxa"/>
              <w:bottom w:w="72" w:type="dxa"/>
              <w:right w:w="144" w:type="dxa"/>
            </w:tcMar>
            <w:hideMark/>
          </w:tcPr>
          <w:p w:rsidR="004E36BC" w:rsidRPr="00990D3B" w:rsidP="007E2465" w14:paraId="64F7609B" w14:textId="77777777">
            <w:pPr>
              <w:pStyle w:val="EQRTableText"/>
            </w:pPr>
            <w:r w:rsidRPr="00990D3B">
              <w:t xml:space="preserve">§438.230 </w:t>
            </w:r>
            <w:r w:rsidRPr="00990D3B">
              <w:t>Subcontractual</w:t>
            </w:r>
            <w:r w:rsidRPr="00990D3B">
              <w:t xml:space="preserve"> Relationships and Delegation</w:t>
            </w:r>
          </w:p>
        </w:tc>
        <w:tc>
          <w:tcPr>
            <w:tcW w:w="939" w:type="pct"/>
            <w:shd w:val="clear" w:color="auto" w:fill="FFFFFF" w:themeFill="background1"/>
            <w:tcMar>
              <w:top w:w="72" w:type="dxa"/>
              <w:left w:w="144" w:type="dxa"/>
              <w:bottom w:w="72" w:type="dxa"/>
              <w:right w:w="144" w:type="dxa"/>
            </w:tcMar>
          </w:tcPr>
          <w:p w:rsidR="004E36BC" w:rsidRPr="00990D3B" w:rsidP="00D12283" w14:paraId="0141F6B3" w14:textId="69788A06">
            <w:pPr>
              <w:pStyle w:val="EQRTableText"/>
              <w:jc w:val="center"/>
              <w:rPr>
                <w:i/>
                <w:iCs/>
              </w:rPr>
            </w:pPr>
          </w:p>
        </w:tc>
        <w:tc>
          <w:tcPr>
            <w:tcW w:w="938" w:type="pct"/>
            <w:shd w:val="clear" w:color="auto" w:fill="FFFFFF" w:themeFill="background1"/>
          </w:tcPr>
          <w:p w:rsidR="004E36BC" w:rsidRPr="00990D3B" w:rsidP="00D12283" w14:paraId="5AA1E314" w14:textId="77777777">
            <w:pPr>
              <w:pStyle w:val="EQRTableText"/>
              <w:jc w:val="center"/>
              <w:rPr>
                <w:i/>
                <w:iCs/>
              </w:rPr>
            </w:pPr>
          </w:p>
        </w:tc>
        <w:tc>
          <w:tcPr>
            <w:tcW w:w="937" w:type="pct"/>
            <w:shd w:val="clear" w:color="auto" w:fill="FFFFFF" w:themeFill="background1"/>
          </w:tcPr>
          <w:p w:rsidR="004E36BC" w:rsidRPr="00990D3B" w:rsidP="00D12283" w14:paraId="0F915CFF" w14:textId="77777777">
            <w:pPr>
              <w:pStyle w:val="EQRTableText"/>
              <w:jc w:val="center"/>
              <w:rPr>
                <w:i/>
                <w:iCs/>
              </w:rPr>
            </w:pPr>
          </w:p>
        </w:tc>
      </w:tr>
      <w:tr w14:paraId="5B2FE222" w14:textId="77777777" w:rsidTr="00E14994">
        <w:tblPrEx>
          <w:tblW w:w="5000" w:type="pct"/>
          <w:shd w:val="clear" w:color="auto" w:fill="FFFFFF" w:themeFill="background1"/>
          <w:tblCellMar>
            <w:left w:w="0" w:type="dxa"/>
            <w:right w:w="0" w:type="dxa"/>
          </w:tblCellMar>
          <w:tblLook w:val="0420"/>
        </w:tblPrEx>
        <w:trPr>
          <w:trHeight w:val="178"/>
        </w:trPr>
        <w:tc>
          <w:tcPr>
            <w:tcW w:w="2186" w:type="pct"/>
            <w:shd w:val="clear" w:color="auto" w:fill="FFFFFF" w:themeFill="background1"/>
            <w:tcMar>
              <w:top w:w="72" w:type="dxa"/>
              <w:left w:w="144" w:type="dxa"/>
              <w:bottom w:w="72" w:type="dxa"/>
              <w:right w:w="144" w:type="dxa"/>
            </w:tcMar>
            <w:hideMark/>
          </w:tcPr>
          <w:p w:rsidR="004E36BC" w:rsidRPr="00990D3B" w:rsidP="007E2465" w14:paraId="3B3C527B" w14:textId="77777777">
            <w:pPr>
              <w:pStyle w:val="EQRTableText"/>
            </w:pPr>
            <w:r w:rsidRPr="00990D3B">
              <w:t>§438.228 Grievance and Appeal Systems</w:t>
            </w:r>
          </w:p>
        </w:tc>
        <w:tc>
          <w:tcPr>
            <w:tcW w:w="939" w:type="pct"/>
            <w:shd w:val="clear" w:color="auto" w:fill="FFFFFF" w:themeFill="background1"/>
            <w:tcMar>
              <w:top w:w="72" w:type="dxa"/>
              <w:left w:w="144" w:type="dxa"/>
              <w:bottom w:w="72" w:type="dxa"/>
              <w:right w:w="144" w:type="dxa"/>
            </w:tcMar>
          </w:tcPr>
          <w:p w:rsidR="004E36BC" w:rsidRPr="00990D3B" w:rsidP="00D12283" w14:paraId="14351047" w14:textId="77777777">
            <w:pPr>
              <w:pStyle w:val="EQRTableText"/>
              <w:jc w:val="center"/>
              <w:rPr>
                <w:i/>
                <w:iCs/>
              </w:rPr>
            </w:pPr>
          </w:p>
        </w:tc>
        <w:tc>
          <w:tcPr>
            <w:tcW w:w="938" w:type="pct"/>
            <w:shd w:val="clear" w:color="auto" w:fill="FFFFFF" w:themeFill="background1"/>
          </w:tcPr>
          <w:p w:rsidR="004E36BC" w:rsidRPr="00990D3B" w:rsidP="00D12283" w14:paraId="52BE343B" w14:textId="5053F559">
            <w:pPr>
              <w:pStyle w:val="EQRTableText"/>
              <w:jc w:val="center"/>
              <w:rPr>
                <w:i/>
                <w:iCs/>
              </w:rPr>
            </w:pPr>
          </w:p>
        </w:tc>
        <w:tc>
          <w:tcPr>
            <w:tcW w:w="937" w:type="pct"/>
            <w:shd w:val="clear" w:color="auto" w:fill="FFFFFF" w:themeFill="background1"/>
          </w:tcPr>
          <w:p w:rsidR="004E36BC" w:rsidRPr="00990D3B" w:rsidP="00D12283" w14:paraId="65E69D5D" w14:textId="77777777">
            <w:pPr>
              <w:pStyle w:val="EQRTableText"/>
              <w:jc w:val="center"/>
              <w:rPr>
                <w:i/>
                <w:iCs/>
              </w:rPr>
            </w:pPr>
          </w:p>
        </w:tc>
      </w:tr>
      <w:tr w14:paraId="3ABF8CC3" w14:textId="77777777" w:rsidTr="00E14994">
        <w:tblPrEx>
          <w:tblW w:w="5000" w:type="pct"/>
          <w:shd w:val="clear" w:color="auto" w:fill="FFFFFF" w:themeFill="background1"/>
          <w:tblCellMar>
            <w:left w:w="0" w:type="dxa"/>
            <w:right w:w="0" w:type="dxa"/>
          </w:tblCellMar>
          <w:tblLook w:val="0420"/>
        </w:tblPrEx>
        <w:trPr>
          <w:trHeight w:val="232"/>
        </w:trPr>
        <w:tc>
          <w:tcPr>
            <w:tcW w:w="2186" w:type="pct"/>
            <w:shd w:val="clear" w:color="auto" w:fill="FFFFFF" w:themeFill="background1"/>
            <w:tcMar>
              <w:top w:w="72" w:type="dxa"/>
              <w:left w:w="144" w:type="dxa"/>
              <w:bottom w:w="72" w:type="dxa"/>
              <w:right w:w="144" w:type="dxa"/>
            </w:tcMar>
            <w:hideMark/>
          </w:tcPr>
          <w:p w:rsidR="004E36BC" w:rsidRPr="00990D3B" w:rsidP="007E2465" w14:paraId="57031B06" w14:textId="77777777">
            <w:pPr>
              <w:pStyle w:val="EQRTableText"/>
            </w:pPr>
            <w:r w:rsidRPr="00990D3B">
              <w:t>§438.236 Practice Guidelines</w:t>
            </w:r>
          </w:p>
        </w:tc>
        <w:tc>
          <w:tcPr>
            <w:tcW w:w="939" w:type="pct"/>
            <w:shd w:val="clear" w:color="auto" w:fill="FFFFFF" w:themeFill="background1"/>
            <w:tcMar>
              <w:top w:w="72" w:type="dxa"/>
              <w:left w:w="144" w:type="dxa"/>
              <w:bottom w:w="72" w:type="dxa"/>
              <w:right w:w="144" w:type="dxa"/>
            </w:tcMar>
          </w:tcPr>
          <w:p w:rsidR="004E36BC" w:rsidRPr="00990D3B" w:rsidP="00D12283" w14:paraId="2D30ABDE" w14:textId="3FF84A1F">
            <w:pPr>
              <w:pStyle w:val="EQRTableText"/>
              <w:jc w:val="center"/>
              <w:rPr>
                <w:i/>
                <w:iCs/>
              </w:rPr>
            </w:pPr>
          </w:p>
        </w:tc>
        <w:tc>
          <w:tcPr>
            <w:tcW w:w="938" w:type="pct"/>
            <w:shd w:val="clear" w:color="auto" w:fill="FFFFFF" w:themeFill="background1"/>
          </w:tcPr>
          <w:p w:rsidR="004E36BC" w:rsidRPr="00990D3B" w:rsidP="00D12283" w14:paraId="3F3E32B3" w14:textId="77777777">
            <w:pPr>
              <w:pStyle w:val="EQRTableText"/>
              <w:jc w:val="center"/>
              <w:rPr>
                <w:i/>
                <w:iCs/>
              </w:rPr>
            </w:pPr>
          </w:p>
        </w:tc>
        <w:tc>
          <w:tcPr>
            <w:tcW w:w="937" w:type="pct"/>
            <w:shd w:val="clear" w:color="auto" w:fill="FFFFFF" w:themeFill="background1"/>
          </w:tcPr>
          <w:p w:rsidR="004E36BC" w:rsidRPr="00990D3B" w:rsidP="00D12283" w14:paraId="502BC8B4" w14:textId="77777777">
            <w:pPr>
              <w:pStyle w:val="EQRTableText"/>
              <w:jc w:val="center"/>
              <w:rPr>
                <w:i/>
                <w:iCs/>
              </w:rPr>
            </w:pPr>
          </w:p>
        </w:tc>
      </w:tr>
      <w:tr w14:paraId="49B386CF" w14:textId="77777777" w:rsidTr="00E14994">
        <w:tblPrEx>
          <w:tblW w:w="5000" w:type="pct"/>
          <w:shd w:val="clear" w:color="auto" w:fill="FFFFFF" w:themeFill="background1"/>
          <w:tblCellMar>
            <w:left w:w="0" w:type="dxa"/>
            <w:right w:w="0" w:type="dxa"/>
          </w:tblCellMar>
          <w:tblLook w:val="0420"/>
        </w:tblPrEx>
        <w:trPr>
          <w:trHeight w:val="196"/>
        </w:trPr>
        <w:tc>
          <w:tcPr>
            <w:tcW w:w="2186" w:type="pct"/>
            <w:shd w:val="clear" w:color="auto" w:fill="FFFFFF" w:themeFill="background1"/>
            <w:tcMar>
              <w:top w:w="72" w:type="dxa"/>
              <w:left w:w="144" w:type="dxa"/>
              <w:bottom w:w="72" w:type="dxa"/>
              <w:right w:w="144" w:type="dxa"/>
            </w:tcMar>
            <w:hideMark/>
          </w:tcPr>
          <w:p w:rsidR="004E36BC" w:rsidRPr="00990D3B" w:rsidP="007E2465" w14:paraId="6187F9D7" w14:textId="77777777">
            <w:pPr>
              <w:pStyle w:val="EQRTableText"/>
            </w:pPr>
            <w:r w:rsidRPr="00990D3B">
              <w:t>§438.242 Health Information Systems</w:t>
            </w:r>
          </w:p>
        </w:tc>
        <w:tc>
          <w:tcPr>
            <w:tcW w:w="939" w:type="pct"/>
            <w:shd w:val="clear" w:color="auto" w:fill="FFFFFF" w:themeFill="background1"/>
            <w:tcMar>
              <w:top w:w="72" w:type="dxa"/>
              <w:left w:w="144" w:type="dxa"/>
              <w:bottom w:w="72" w:type="dxa"/>
              <w:right w:w="144" w:type="dxa"/>
            </w:tcMar>
          </w:tcPr>
          <w:p w:rsidR="004E36BC" w:rsidRPr="00990D3B" w:rsidP="00D12283" w14:paraId="3888A79D" w14:textId="77777777">
            <w:pPr>
              <w:pStyle w:val="EQRTableText"/>
              <w:jc w:val="center"/>
              <w:rPr>
                <w:i/>
                <w:iCs/>
              </w:rPr>
            </w:pPr>
          </w:p>
        </w:tc>
        <w:tc>
          <w:tcPr>
            <w:tcW w:w="938" w:type="pct"/>
            <w:shd w:val="clear" w:color="auto" w:fill="FFFFFF" w:themeFill="background1"/>
          </w:tcPr>
          <w:p w:rsidR="004E36BC" w:rsidRPr="00990D3B" w:rsidP="00D12283" w14:paraId="6D930B33" w14:textId="33406B98">
            <w:pPr>
              <w:pStyle w:val="EQRTableText"/>
              <w:jc w:val="center"/>
              <w:rPr>
                <w:i/>
                <w:iCs/>
              </w:rPr>
            </w:pPr>
          </w:p>
        </w:tc>
        <w:tc>
          <w:tcPr>
            <w:tcW w:w="937" w:type="pct"/>
            <w:shd w:val="clear" w:color="auto" w:fill="FFFFFF" w:themeFill="background1"/>
          </w:tcPr>
          <w:p w:rsidR="004E36BC" w:rsidRPr="00990D3B" w:rsidP="00D12283" w14:paraId="3D218336" w14:textId="77777777">
            <w:pPr>
              <w:pStyle w:val="EQRTableText"/>
              <w:jc w:val="center"/>
              <w:rPr>
                <w:i/>
                <w:iCs/>
              </w:rPr>
            </w:pPr>
          </w:p>
        </w:tc>
      </w:tr>
      <w:tr w14:paraId="2C837561" w14:textId="77777777" w:rsidTr="00E14994">
        <w:tblPrEx>
          <w:tblW w:w="5000" w:type="pct"/>
          <w:shd w:val="clear" w:color="auto" w:fill="FFFFFF" w:themeFill="background1"/>
          <w:tblCellMar>
            <w:left w:w="0" w:type="dxa"/>
            <w:right w:w="0" w:type="dxa"/>
          </w:tblCellMar>
          <w:tblLook w:val="0420"/>
        </w:tblPrEx>
        <w:trPr>
          <w:trHeight w:val="79"/>
        </w:trPr>
        <w:tc>
          <w:tcPr>
            <w:tcW w:w="2186" w:type="pct"/>
            <w:shd w:val="clear" w:color="auto" w:fill="FFFFFF" w:themeFill="background1"/>
            <w:tcMar>
              <w:top w:w="72" w:type="dxa"/>
              <w:left w:w="144" w:type="dxa"/>
              <w:bottom w:w="72" w:type="dxa"/>
              <w:right w:w="144" w:type="dxa"/>
            </w:tcMar>
            <w:hideMark/>
          </w:tcPr>
          <w:p w:rsidR="004E36BC" w:rsidRPr="00990D3B" w:rsidP="007E2465" w14:paraId="07478506" w14:textId="77777777">
            <w:pPr>
              <w:pStyle w:val="EQRTableText"/>
            </w:pPr>
            <w:r w:rsidRPr="00990D3B">
              <w:t>§438.330 QAPI</w:t>
            </w:r>
          </w:p>
        </w:tc>
        <w:tc>
          <w:tcPr>
            <w:tcW w:w="939" w:type="pct"/>
            <w:shd w:val="clear" w:color="auto" w:fill="FFFFFF" w:themeFill="background1"/>
            <w:tcMar>
              <w:top w:w="72" w:type="dxa"/>
              <w:left w:w="144" w:type="dxa"/>
              <w:bottom w:w="72" w:type="dxa"/>
              <w:right w:w="144" w:type="dxa"/>
            </w:tcMar>
          </w:tcPr>
          <w:p w:rsidR="004E36BC" w:rsidRPr="00990D3B" w:rsidP="00D12283" w14:paraId="5DC6F824" w14:textId="77777777">
            <w:pPr>
              <w:pStyle w:val="EQRTableText"/>
              <w:jc w:val="center"/>
              <w:rPr>
                <w:i/>
                <w:iCs/>
              </w:rPr>
            </w:pPr>
          </w:p>
        </w:tc>
        <w:tc>
          <w:tcPr>
            <w:tcW w:w="938" w:type="pct"/>
            <w:shd w:val="clear" w:color="auto" w:fill="FFFFFF" w:themeFill="background1"/>
          </w:tcPr>
          <w:p w:rsidR="004E36BC" w:rsidRPr="00990D3B" w:rsidP="00D12283" w14:paraId="352A696D" w14:textId="496C6203">
            <w:pPr>
              <w:pStyle w:val="EQRTableText"/>
              <w:jc w:val="center"/>
              <w:rPr>
                <w:i/>
                <w:iCs/>
              </w:rPr>
            </w:pPr>
          </w:p>
        </w:tc>
        <w:tc>
          <w:tcPr>
            <w:tcW w:w="937" w:type="pct"/>
            <w:shd w:val="clear" w:color="auto" w:fill="FFFFFF" w:themeFill="background1"/>
          </w:tcPr>
          <w:p w:rsidR="004E36BC" w:rsidRPr="00990D3B" w:rsidP="00D12283" w14:paraId="371B471A" w14:textId="77777777">
            <w:pPr>
              <w:pStyle w:val="EQRTableText"/>
              <w:jc w:val="center"/>
              <w:rPr>
                <w:i/>
                <w:iCs/>
              </w:rPr>
            </w:pPr>
          </w:p>
        </w:tc>
      </w:tr>
    </w:tbl>
    <w:p w:rsidR="00F05409" w:rsidRPr="00990D3B" w:rsidP="00D12283" w14:paraId="58DA3994" w14:textId="2C333FCA">
      <w:pPr>
        <w:pStyle w:val="EQRNormalSSWORKSHEET"/>
        <w:rPr>
          <w:b/>
          <w:bCs/>
        </w:rPr>
      </w:pPr>
      <w:r w:rsidRPr="00990D3B">
        <w:rPr>
          <w:b/>
          <w:bCs/>
        </w:rPr>
        <w:t>Template 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2424"/>
        <w:gridCol w:w="6926"/>
      </w:tblGrid>
      <w:tr w14:paraId="766E470E" w14:textId="77777777" w:rsidTr="00F0540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Ex>
        <w:trPr>
          <w:trHeight w:val="151"/>
          <w:tblHeader/>
        </w:trPr>
        <w:tc>
          <w:tcPr>
            <w:tcW w:w="1296" w:type="pct"/>
            <w:shd w:val="clear" w:color="auto" w:fill="FFFFFF" w:themeFill="background1"/>
            <w:tcMar>
              <w:top w:w="72" w:type="dxa"/>
              <w:left w:w="144" w:type="dxa"/>
              <w:bottom w:w="72" w:type="dxa"/>
              <w:right w:w="144" w:type="dxa"/>
            </w:tcMar>
            <w:vAlign w:val="bottom"/>
            <w:hideMark/>
          </w:tcPr>
          <w:p w:rsidR="00F05409" w:rsidRPr="00990D3B" w:rsidP="00D12283" w14:paraId="1D657553" w14:textId="77777777">
            <w:pPr>
              <w:pStyle w:val="EQRTableHeaderLeft"/>
              <w:rPr>
                <w:color w:val="auto"/>
              </w:rPr>
            </w:pPr>
            <w:r w:rsidRPr="00990D3B">
              <w:rPr>
                <w:color w:val="auto"/>
              </w:rPr>
              <w:t>MCP</w:t>
            </w:r>
          </w:p>
        </w:tc>
        <w:tc>
          <w:tcPr>
            <w:tcW w:w="3704" w:type="pct"/>
            <w:shd w:val="clear" w:color="auto" w:fill="FFFFFF" w:themeFill="background1"/>
            <w:tcMar>
              <w:top w:w="72" w:type="dxa"/>
              <w:left w:w="144" w:type="dxa"/>
              <w:bottom w:w="72" w:type="dxa"/>
              <w:right w:w="144" w:type="dxa"/>
            </w:tcMar>
            <w:vAlign w:val="bottom"/>
            <w:hideMark/>
          </w:tcPr>
          <w:p w:rsidR="00F05409" w:rsidRPr="00990D3B" w:rsidP="00D12283" w14:paraId="5852AAC6" w14:textId="380022AF">
            <w:pPr>
              <w:pStyle w:val="EQRTableHeaderCenter"/>
              <w:rPr>
                <w:color w:val="auto"/>
              </w:rPr>
            </w:pPr>
            <w:r w:rsidRPr="00990D3B">
              <w:rPr>
                <w:color w:val="auto"/>
              </w:rPr>
              <w:t xml:space="preserve">Year </w:t>
            </w:r>
            <w:r w:rsidRPr="00990D3B" w:rsidR="007F29C2">
              <w:rPr>
                <w:color w:val="auto"/>
              </w:rPr>
              <w:t>l</w:t>
            </w:r>
            <w:r w:rsidRPr="00990D3B">
              <w:rPr>
                <w:color w:val="auto"/>
              </w:rPr>
              <w:t xml:space="preserve">ast </w:t>
            </w:r>
            <w:r w:rsidRPr="00990D3B" w:rsidR="007F29C2">
              <w:rPr>
                <w:color w:val="auto"/>
              </w:rPr>
              <w:t>r</w:t>
            </w:r>
            <w:r w:rsidRPr="00990D3B">
              <w:rPr>
                <w:color w:val="auto"/>
              </w:rPr>
              <w:t>eviewed</w:t>
            </w:r>
          </w:p>
        </w:tc>
      </w:tr>
      <w:tr w14:paraId="5E4EB713" w14:textId="77777777" w:rsidTr="00F05409">
        <w:tblPrEx>
          <w:tblW w:w="5000" w:type="pct"/>
          <w:shd w:val="clear" w:color="auto" w:fill="FFFFFF" w:themeFill="background1"/>
          <w:tblCellMar>
            <w:left w:w="0" w:type="dxa"/>
            <w:right w:w="0" w:type="dxa"/>
          </w:tblCellMar>
          <w:tblLook w:val="0420"/>
        </w:tblPrEx>
        <w:trPr>
          <w:trHeight w:val="151"/>
        </w:trPr>
        <w:tc>
          <w:tcPr>
            <w:tcW w:w="1296" w:type="pct"/>
            <w:shd w:val="clear" w:color="auto" w:fill="FFFFFF" w:themeFill="background1"/>
            <w:tcMar>
              <w:top w:w="72" w:type="dxa"/>
              <w:left w:w="144" w:type="dxa"/>
              <w:bottom w:w="72" w:type="dxa"/>
              <w:right w:w="144" w:type="dxa"/>
            </w:tcMar>
          </w:tcPr>
          <w:p w:rsidR="00F05409" w:rsidRPr="00990D3B" w:rsidP="007E2465" w14:paraId="7FA8D36D" w14:textId="1DDDBA48">
            <w:pPr>
              <w:pStyle w:val="EQRTableText"/>
            </w:pPr>
          </w:p>
        </w:tc>
        <w:tc>
          <w:tcPr>
            <w:tcW w:w="3704" w:type="pct"/>
            <w:shd w:val="clear" w:color="auto" w:fill="FFFFFF" w:themeFill="background1"/>
            <w:tcMar>
              <w:top w:w="72" w:type="dxa"/>
              <w:left w:w="144" w:type="dxa"/>
              <w:bottom w:w="72" w:type="dxa"/>
              <w:right w:w="144" w:type="dxa"/>
            </w:tcMar>
            <w:vAlign w:val="bottom"/>
          </w:tcPr>
          <w:p w:rsidR="00F05409" w:rsidRPr="00990D3B" w:rsidP="007E2465" w14:paraId="1B531B65" w14:textId="3859069C">
            <w:pPr>
              <w:pStyle w:val="EQRTableText"/>
            </w:pPr>
          </w:p>
        </w:tc>
      </w:tr>
      <w:tr w14:paraId="36068512" w14:textId="77777777" w:rsidTr="00F05409">
        <w:tblPrEx>
          <w:tblW w:w="5000" w:type="pct"/>
          <w:shd w:val="clear" w:color="auto" w:fill="FFFFFF" w:themeFill="background1"/>
          <w:tblCellMar>
            <w:left w:w="0" w:type="dxa"/>
            <w:right w:w="0" w:type="dxa"/>
          </w:tblCellMar>
          <w:tblLook w:val="0420"/>
        </w:tblPrEx>
        <w:trPr>
          <w:trHeight w:val="151"/>
        </w:trPr>
        <w:tc>
          <w:tcPr>
            <w:tcW w:w="1296" w:type="pct"/>
            <w:shd w:val="clear" w:color="auto" w:fill="FFFFFF" w:themeFill="background1"/>
            <w:tcMar>
              <w:top w:w="72" w:type="dxa"/>
              <w:left w:w="144" w:type="dxa"/>
              <w:bottom w:w="72" w:type="dxa"/>
              <w:right w:w="144" w:type="dxa"/>
            </w:tcMar>
          </w:tcPr>
          <w:p w:rsidR="00F05409" w:rsidRPr="00990D3B" w:rsidP="007E2465" w14:paraId="0CD23563" w14:textId="042DFCE4">
            <w:pPr>
              <w:pStyle w:val="EQRTableText"/>
            </w:pPr>
          </w:p>
        </w:tc>
        <w:tc>
          <w:tcPr>
            <w:tcW w:w="3704" w:type="pct"/>
            <w:shd w:val="clear" w:color="auto" w:fill="FFFFFF" w:themeFill="background1"/>
            <w:tcMar>
              <w:top w:w="72" w:type="dxa"/>
              <w:left w:w="144" w:type="dxa"/>
              <w:bottom w:w="72" w:type="dxa"/>
              <w:right w:w="144" w:type="dxa"/>
            </w:tcMar>
            <w:vAlign w:val="bottom"/>
          </w:tcPr>
          <w:p w:rsidR="00F05409" w:rsidRPr="00990D3B" w:rsidP="007E2465" w14:paraId="596FEDE6" w14:textId="01E5F628">
            <w:pPr>
              <w:pStyle w:val="EQRTableText"/>
            </w:pPr>
          </w:p>
        </w:tc>
      </w:tr>
      <w:tr w14:paraId="7F2B4D84" w14:textId="77777777" w:rsidTr="00F05409">
        <w:tblPrEx>
          <w:tblW w:w="5000" w:type="pct"/>
          <w:shd w:val="clear" w:color="auto" w:fill="FFFFFF" w:themeFill="background1"/>
          <w:tblCellMar>
            <w:left w:w="0" w:type="dxa"/>
            <w:right w:w="0" w:type="dxa"/>
          </w:tblCellMar>
          <w:tblLook w:val="0420"/>
        </w:tblPrEx>
        <w:trPr>
          <w:trHeight w:val="151"/>
        </w:trPr>
        <w:tc>
          <w:tcPr>
            <w:tcW w:w="1296" w:type="pct"/>
            <w:shd w:val="clear" w:color="auto" w:fill="FFFFFF" w:themeFill="background1"/>
            <w:tcMar>
              <w:top w:w="72" w:type="dxa"/>
              <w:left w:w="144" w:type="dxa"/>
              <w:bottom w:w="72" w:type="dxa"/>
              <w:right w:w="144" w:type="dxa"/>
            </w:tcMar>
          </w:tcPr>
          <w:p w:rsidR="00F05409" w:rsidRPr="00990D3B" w:rsidP="007E2465" w14:paraId="332BC853" w14:textId="2DC3F35E">
            <w:pPr>
              <w:pStyle w:val="EQRTableText"/>
            </w:pPr>
          </w:p>
        </w:tc>
        <w:tc>
          <w:tcPr>
            <w:tcW w:w="3704" w:type="pct"/>
            <w:shd w:val="clear" w:color="auto" w:fill="FFFFFF" w:themeFill="background1"/>
            <w:tcMar>
              <w:top w:w="72" w:type="dxa"/>
              <w:left w:w="144" w:type="dxa"/>
              <w:bottom w:w="72" w:type="dxa"/>
              <w:right w:w="144" w:type="dxa"/>
            </w:tcMar>
            <w:vAlign w:val="bottom"/>
          </w:tcPr>
          <w:p w:rsidR="00F05409" w:rsidRPr="00990D3B" w:rsidP="007E2465" w14:paraId="6ACABFC1" w14:textId="482877C9">
            <w:pPr>
              <w:pStyle w:val="EQRTableText"/>
            </w:pPr>
          </w:p>
        </w:tc>
      </w:tr>
      <w:tr w14:paraId="72E1D513" w14:textId="77777777" w:rsidTr="00F05409">
        <w:tblPrEx>
          <w:tblW w:w="5000" w:type="pct"/>
          <w:shd w:val="clear" w:color="auto" w:fill="FFFFFF" w:themeFill="background1"/>
          <w:tblCellMar>
            <w:left w:w="0" w:type="dxa"/>
            <w:right w:w="0" w:type="dxa"/>
          </w:tblCellMar>
          <w:tblLook w:val="0420"/>
        </w:tblPrEx>
        <w:trPr>
          <w:trHeight w:val="124"/>
        </w:trPr>
        <w:tc>
          <w:tcPr>
            <w:tcW w:w="1296" w:type="pct"/>
            <w:shd w:val="clear" w:color="auto" w:fill="FFFFFF" w:themeFill="background1"/>
            <w:tcMar>
              <w:top w:w="72" w:type="dxa"/>
              <w:left w:w="144" w:type="dxa"/>
              <w:bottom w:w="72" w:type="dxa"/>
              <w:right w:w="144" w:type="dxa"/>
            </w:tcMar>
          </w:tcPr>
          <w:p w:rsidR="00F05409" w:rsidRPr="00990D3B" w:rsidP="007E2465" w14:paraId="3B49AB47" w14:textId="67E07BA3">
            <w:pPr>
              <w:pStyle w:val="EQRTableText"/>
            </w:pPr>
          </w:p>
        </w:tc>
        <w:tc>
          <w:tcPr>
            <w:tcW w:w="3704" w:type="pct"/>
            <w:shd w:val="clear" w:color="auto" w:fill="FFFFFF" w:themeFill="background1"/>
            <w:tcMar>
              <w:top w:w="72" w:type="dxa"/>
              <w:left w:w="144" w:type="dxa"/>
              <w:bottom w:w="72" w:type="dxa"/>
              <w:right w:w="144" w:type="dxa"/>
            </w:tcMar>
          </w:tcPr>
          <w:p w:rsidR="00F05409" w:rsidRPr="00990D3B" w:rsidP="007E2465" w14:paraId="143C930B" w14:textId="515C2BE6">
            <w:pPr>
              <w:pStyle w:val="EQRTableText"/>
            </w:pPr>
          </w:p>
        </w:tc>
      </w:tr>
    </w:tbl>
    <w:p w:rsidR="00D12283" w:rsidRPr="00990D3B" w:rsidP="00BD1FC3" w14:paraId="59E155B1" w14:textId="3C28247A">
      <w:pPr>
        <w:pStyle w:val="Paragraph0"/>
      </w:pPr>
    </w:p>
    <w:p w:rsidR="00D12283" w:rsidRPr="00990D3B" w14:paraId="6B0C3795" w14:textId="77777777">
      <w:pPr>
        <w:spacing w:line="240" w:lineRule="auto"/>
      </w:pPr>
      <w:r w:rsidRPr="00990D3B">
        <w:br w:type="page"/>
      </w:r>
    </w:p>
    <w:p w:rsidR="00566F05" w:rsidRPr="00990D3B" w:rsidP="00BD1FC3" w14:paraId="769288B6" w14:textId="6A2C61E4">
      <w:pPr>
        <w:pStyle w:val="EQRMarkforExhibitWORKSHEET"/>
      </w:pPr>
      <w:bookmarkStart w:id="434" w:name="_Toc201751518"/>
      <w:r w:rsidRPr="00990D3B">
        <w:t xml:space="preserve">Examples of </w:t>
      </w:r>
      <w:r w:rsidRPr="00990D3B">
        <w:t>Worksheet 3.5 Timeline and Crosswalk of State and Federal Standards Reviewed</w:t>
      </w:r>
      <w:r w:rsidRPr="00990D3B" w:rsidR="007F29C2">
        <w:t xml:space="preserve"> Templates</w:t>
      </w:r>
      <w:bookmarkEnd w:id="434"/>
      <w:r w:rsidRPr="00990D3B">
        <w:t xml:space="preserve"> </w:t>
      </w:r>
    </w:p>
    <w:p w:rsidR="00F05409" w:rsidRPr="00990D3B" w:rsidP="002B40CC" w14:paraId="7F86B6C0" w14:textId="3BD75E69">
      <w:pPr>
        <w:pStyle w:val="H2EQRWorksheet"/>
      </w:pPr>
      <w:r w:rsidRPr="00990D3B">
        <w:t>Template 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2426"/>
        <w:gridCol w:w="4770"/>
        <w:gridCol w:w="2154"/>
      </w:tblGrid>
      <w:tr w14:paraId="0498E349" w14:textId="77777777" w:rsidTr="00363B0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Ex>
        <w:trPr>
          <w:trHeight w:val="151"/>
          <w:tblHeader/>
        </w:trPr>
        <w:tc>
          <w:tcPr>
            <w:tcW w:w="1297" w:type="pct"/>
            <w:shd w:val="clear" w:color="auto" w:fill="FFFFFF" w:themeFill="background1"/>
            <w:tcMar>
              <w:top w:w="72" w:type="dxa"/>
              <w:left w:w="144" w:type="dxa"/>
              <w:bottom w:w="72" w:type="dxa"/>
              <w:right w:w="144" w:type="dxa"/>
            </w:tcMar>
            <w:vAlign w:val="bottom"/>
            <w:hideMark/>
          </w:tcPr>
          <w:p w:rsidR="00F05409" w:rsidRPr="00990D3B" w:rsidP="00D12283" w14:paraId="1A45F69D" w14:textId="25E6CFC2">
            <w:pPr>
              <w:pStyle w:val="EQRTableHeaderLeft"/>
              <w:rPr>
                <w:color w:val="auto"/>
              </w:rPr>
            </w:pPr>
            <w:r w:rsidRPr="00990D3B">
              <w:rPr>
                <w:color w:val="auto"/>
              </w:rPr>
              <w:t xml:space="preserve">Standard </w:t>
            </w:r>
            <w:r w:rsidRPr="00990D3B" w:rsidR="007F29C2">
              <w:rPr>
                <w:color w:val="auto"/>
              </w:rPr>
              <w:t>r</w:t>
            </w:r>
            <w:r w:rsidRPr="00990D3B">
              <w:rPr>
                <w:color w:val="auto"/>
              </w:rPr>
              <w:t xml:space="preserve">eviewed </w:t>
            </w:r>
          </w:p>
        </w:tc>
        <w:tc>
          <w:tcPr>
            <w:tcW w:w="2551" w:type="pct"/>
            <w:shd w:val="clear" w:color="auto" w:fill="FFFFFF" w:themeFill="background1"/>
            <w:tcMar>
              <w:top w:w="72" w:type="dxa"/>
              <w:left w:w="144" w:type="dxa"/>
              <w:bottom w:w="72" w:type="dxa"/>
              <w:right w:w="144" w:type="dxa"/>
            </w:tcMar>
            <w:vAlign w:val="bottom"/>
            <w:hideMark/>
          </w:tcPr>
          <w:p w:rsidR="00F05409" w:rsidRPr="00990D3B" w:rsidP="00D12283" w14:paraId="0912A1BB" w14:textId="144509AA">
            <w:pPr>
              <w:pStyle w:val="EQRTableHeaderCenter"/>
              <w:rPr>
                <w:color w:val="auto"/>
              </w:rPr>
            </w:pPr>
            <w:r w:rsidRPr="00990D3B">
              <w:rPr>
                <w:color w:val="auto"/>
              </w:rPr>
              <w:t xml:space="preserve">Federal </w:t>
            </w:r>
            <w:r w:rsidRPr="00990D3B" w:rsidR="007F29C2">
              <w:rPr>
                <w:color w:val="auto"/>
              </w:rPr>
              <w:t>s</w:t>
            </w:r>
            <w:r w:rsidRPr="00990D3B">
              <w:rPr>
                <w:color w:val="auto"/>
              </w:rPr>
              <w:t>tandard</w:t>
            </w:r>
          </w:p>
        </w:tc>
        <w:tc>
          <w:tcPr>
            <w:tcW w:w="1152" w:type="pct"/>
            <w:shd w:val="clear" w:color="auto" w:fill="FFFFFF" w:themeFill="background1"/>
            <w:tcMar>
              <w:top w:w="72" w:type="dxa"/>
              <w:left w:w="144" w:type="dxa"/>
              <w:bottom w:w="72" w:type="dxa"/>
              <w:right w:w="144" w:type="dxa"/>
            </w:tcMar>
            <w:vAlign w:val="bottom"/>
            <w:hideMark/>
          </w:tcPr>
          <w:p w:rsidR="00F05409" w:rsidRPr="00990D3B" w:rsidP="00D12283" w14:paraId="2AD33B5B" w14:textId="442039FD">
            <w:pPr>
              <w:pStyle w:val="EQRTableHeaderCenter"/>
              <w:rPr>
                <w:color w:val="auto"/>
              </w:rPr>
            </w:pPr>
            <w:r w:rsidRPr="00990D3B">
              <w:rPr>
                <w:color w:val="auto"/>
              </w:rPr>
              <w:t xml:space="preserve">Year </w:t>
            </w:r>
            <w:r w:rsidRPr="00990D3B" w:rsidR="007F29C2">
              <w:rPr>
                <w:color w:val="auto"/>
              </w:rPr>
              <w:t>r</w:t>
            </w:r>
            <w:r w:rsidRPr="00990D3B">
              <w:rPr>
                <w:color w:val="auto"/>
              </w:rPr>
              <w:t>eviewed</w:t>
            </w:r>
          </w:p>
        </w:tc>
      </w:tr>
      <w:tr w14:paraId="6D9B6FC7" w14:textId="77777777" w:rsidTr="00363B07">
        <w:tblPrEx>
          <w:tblW w:w="5000" w:type="pct"/>
          <w:shd w:val="clear" w:color="auto" w:fill="FFFFFF" w:themeFill="background1"/>
          <w:tblCellMar>
            <w:left w:w="0" w:type="dxa"/>
            <w:right w:w="0" w:type="dxa"/>
          </w:tblCellMar>
          <w:tblLook w:val="0420"/>
        </w:tblPrEx>
        <w:trPr>
          <w:trHeight w:val="151"/>
        </w:trPr>
        <w:tc>
          <w:tcPr>
            <w:tcW w:w="1297" w:type="pct"/>
            <w:vMerge w:val="restart"/>
            <w:shd w:val="clear" w:color="auto" w:fill="FFFFFF" w:themeFill="background1"/>
            <w:tcMar>
              <w:top w:w="72" w:type="dxa"/>
              <w:left w:w="144" w:type="dxa"/>
              <w:bottom w:w="72" w:type="dxa"/>
              <w:right w:w="144" w:type="dxa"/>
            </w:tcMar>
          </w:tcPr>
          <w:p w:rsidR="00F05409" w:rsidRPr="00990D3B" w:rsidP="00D12283" w14:paraId="78541719" w14:textId="25C08836">
            <w:pPr>
              <w:pStyle w:val="EQRTableText"/>
            </w:pPr>
            <w:r w:rsidRPr="00990D3B">
              <w:t>Enrollment Rights and Protections</w:t>
            </w:r>
          </w:p>
        </w:tc>
        <w:tc>
          <w:tcPr>
            <w:tcW w:w="2551" w:type="pct"/>
            <w:shd w:val="clear" w:color="auto" w:fill="FFFFFF" w:themeFill="background1"/>
            <w:tcMar>
              <w:top w:w="72" w:type="dxa"/>
              <w:left w:w="144" w:type="dxa"/>
              <w:bottom w:w="72" w:type="dxa"/>
              <w:right w:w="144" w:type="dxa"/>
            </w:tcMar>
          </w:tcPr>
          <w:p w:rsidR="00F05409" w:rsidRPr="00990D3B" w:rsidP="00D12283" w14:paraId="4D070108" w14:textId="4A2DCF87">
            <w:pPr>
              <w:pStyle w:val="EQRTableText"/>
            </w:pPr>
            <w:r w:rsidRPr="00990D3B">
              <w:t>§438.56 Disenrollment</w:t>
            </w:r>
          </w:p>
        </w:tc>
        <w:tc>
          <w:tcPr>
            <w:tcW w:w="1152" w:type="pct"/>
            <w:shd w:val="clear" w:color="auto" w:fill="FFFFFF" w:themeFill="background1"/>
            <w:tcMar>
              <w:top w:w="72" w:type="dxa"/>
              <w:left w:w="144" w:type="dxa"/>
              <w:bottom w:w="72" w:type="dxa"/>
              <w:right w:w="144" w:type="dxa"/>
            </w:tcMar>
          </w:tcPr>
          <w:p w:rsidR="00F05409" w:rsidRPr="00990D3B" w:rsidP="00D12283" w14:paraId="20BF7FED" w14:textId="10F5B294">
            <w:pPr>
              <w:pStyle w:val="EQRTableText"/>
            </w:pPr>
            <w:r w:rsidRPr="00990D3B">
              <w:t>July 2023</w:t>
            </w:r>
            <w:r w:rsidRPr="00990D3B" w:rsidR="00D12283">
              <w:br/>
            </w:r>
            <w:r w:rsidRPr="00990D3B">
              <w:t>RC</w:t>
            </w:r>
            <w:r w:rsidRPr="00990D3B" w:rsidR="00FC0CEF">
              <w:t xml:space="preserve"> </w:t>
            </w:r>
            <w:r w:rsidRPr="00990D3B">
              <w:t>2023-2024)</w:t>
            </w:r>
          </w:p>
        </w:tc>
      </w:tr>
      <w:tr w14:paraId="4391C4F9" w14:textId="77777777" w:rsidTr="00363B07">
        <w:tblPrEx>
          <w:tblW w:w="5000" w:type="pct"/>
          <w:shd w:val="clear" w:color="auto" w:fill="FFFFFF" w:themeFill="background1"/>
          <w:tblCellMar>
            <w:left w:w="0" w:type="dxa"/>
            <w:right w:w="0" w:type="dxa"/>
          </w:tblCellMar>
          <w:tblLook w:val="0420"/>
        </w:tblPrEx>
        <w:trPr>
          <w:trHeight w:val="151"/>
        </w:trPr>
        <w:tc>
          <w:tcPr>
            <w:tcW w:w="1297" w:type="pct"/>
            <w:vMerge/>
            <w:shd w:val="clear" w:color="auto" w:fill="FFFFFF" w:themeFill="background1"/>
            <w:tcMar>
              <w:top w:w="72" w:type="dxa"/>
              <w:left w:w="144" w:type="dxa"/>
              <w:bottom w:w="72" w:type="dxa"/>
              <w:right w:w="144" w:type="dxa"/>
            </w:tcMar>
          </w:tcPr>
          <w:p w:rsidR="00F05409" w:rsidRPr="00990D3B" w:rsidP="00D12283" w14:paraId="7F1C0679" w14:textId="77777777">
            <w:pPr>
              <w:pStyle w:val="EQRTableText"/>
            </w:pPr>
          </w:p>
        </w:tc>
        <w:tc>
          <w:tcPr>
            <w:tcW w:w="2551" w:type="pct"/>
            <w:shd w:val="clear" w:color="auto" w:fill="FFFFFF" w:themeFill="background1"/>
            <w:tcMar>
              <w:top w:w="72" w:type="dxa"/>
              <w:left w:w="144" w:type="dxa"/>
              <w:bottom w:w="72" w:type="dxa"/>
              <w:right w:w="144" w:type="dxa"/>
            </w:tcMar>
          </w:tcPr>
          <w:p w:rsidR="00F05409" w:rsidRPr="00990D3B" w:rsidP="00D12283" w14:paraId="7131406C" w14:textId="4FC75ACE">
            <w:pPr>
              <w:pStyle w:val="EQRTableText"/>
            </w:pPr>
            <w:r w:rsidRPr="00990D3B">
              <w:t>§438.100 Enrollee Rights</w:t>
            </w:r>
          </w:p>
        </w:tc>
        <w:tc>
          <w:tcPr>
            <w:tcW w:w="1152" w:type="pct"/>
            <w:shd w:val="clear" w:color="auto" w:fill="FFFFFF" w:themeFill="background1"/>
            <w:tcMar>
              <w:top w:w="72" w:type="dxa"/>
              <w:left w:w="144" w:type="dxa"/>
              <w:bottom w:w="72" w:type="dxa"/>
              <w:right w:w="144" w:type="dxa"/>
            </w:tcMar>
          </w:tcPr>
          <w:p w:rsidR="00F05409" w:rsidRPr="00990D3B" w:rsidP="00D12283" w14:paraId="098161CE" w14:textId="2852317F">
            <w:pPr>
              <w:pStyle w:val="EQRTableText"/>
            </w:pPr>
            <w:r w:rsidRPr="00990D3B">
              <w:t>July 2023</w:t>
            </w:r>
            <w:r w:rsidRPr="00990D3B" w:rsidR="00D12283">
              <w:br/>
            </w:r>
            <w:r w:rsidRPr="00990D3B">
              <w:t>(RC 2023-2024)</w:t>
            </w:r>
          </w:p>
        </w:tc>
      </w:tr>
      <w:tr w14:paraId="7413A616" w14:textId="77777777" w:rsidTr="00363B07">
        <w:tblPrEx>
          <w:tblW w:w="5000" w:type="pct"/>
          <w:shd w:val="clear" w:color="auto" w:fill="FFFFFF" w:themeFill="background1"/>
          <w:tblCellMar>
            <w:left w:w="0" w:type="dxa"/>
            <w:right w:w="0" w:type="dxa"/>
          </w:tblCellMar>
          <w:tblLook w:val="0420"/>
        </w:tblPrEx>
        <w:trPr>
          <w:trHeight w:val="151"/>
        </w:trPr>
        <w:tc>
          <w:tcPr>
            <w:tcW w:w="1297" w:type="pct"/>
            <w:vMerge w:val="restart"/>
            <w:shd w:val="clear" w:color="auto" w:fill="FFFFFF" w:themeFill="background1"/>
            <w:tcMar>
              <w:top w:w="72" w:type="dxa"/>
              <w:left w:w="144" w:type="dxa"/>
              <w:bottom w:w="72" w:type="dxa"/>
              <w:right w:w="144" w:type="dxa"/>
            </w:tcMar>
          </w:tcPr>
          <w:p w:rsidR="00F05409" w:rsidRPr="00990D3B" w:rsidP="00D12283" w14:paraId="4A3E5395" w14:textId="5CC77C14">
            <w:pPr>
              <w:pStyle w:val="EQRTableText"/>
            </w:pPr>
            <w:r w:rsidRPr="00990D3B">
              <w:t>Access and Availability</w:t>
            </w:r>
          </w:p>
        </w:tc>
        <w:tc>
          <w:tcPr>
            <w:tcW w:w="2551" w:type="pct"/>
            <w:shd w:val="clear" w:color="auto" w:fill="FFFFFF" w:themeFill="background1"/>
            <w:tcMar>
              <w:top w:w="72" w:type="dxa"/>
              <w:left w:w="144" w:type="dxa"/>
              <w:bottom w:w="72" w:type="dxa"/>
              <w:right w:w="144" w:type="dxa"/>
            </w:tcMar>
          </w:tcPr>
          <w:p w:rsidR="00F05409" w:rsidRPr="00990D3B" w:rsidP="00D12283" w14:paraId="54194DC6" w14:textId="6BEFF0F1">
            <w:pPr>
              <w:pStyle w:val="EQRTableText"/>
            </w:pPr>
            <w:r w:rsidRPr="00990D3B">
              <w:t>§438.114 Emergency and Post-stabilization Services</w:t>
            </w:r>
          </w:p>
        </w:tc>
        <w:tc>
          <w:tcPr>
            <w:tcW w:w="1152" w:type="pct"/>
            <w:shd w:val="clear" w:color="auto" w:fill="FFFFFF" w:themeFill="background1"/>
            <w:tcMar>
              <w:top w:w="72" w:type="dxa"/>
              <w:left w:w="144" w:type="dxa"/>
              <w:bottom w:w="72" w:type="dxa"/>
              <w:right w:w="144" w:type="dxa"/>
            </w:tcMar>
          </w:tcPr>
          <w:p w:rsidR="00F05409" w:rsidRPr="00990D3B" w:rsidP="00D12283" w14:paraId="69C98C2E" w14:textId="167DE305">
            <w:pPr>
              <w:pStyle w:val="EQRTableText"/>
            </w:pPr>
            <w:r w:rsidRPr="00990D3B">
              <w:t>July 2022</w:t>
            </w:r>
            <w:r w:rsidRPr="00990D3B" w:rsidR="00D12283">
              <w:br/>
            </w:r>
            <w:r w:rsidRPr="00990D3B">
              <w:t>(RC 2022-2023)</w:t>
            </w:r>
          </w:p>
        </w:tc>
      </w:tr>
      <w:tr w14:paraId="1465C5A4" w14:textId="77777777" w:rsidTr="00363B07">
        <w:tblPrEx>
          <w:tblW w:w="5000" w:type="pct"/>
          <w:shd w:val="clear" w:color="auto" w:fill="FFFFFF" w:themeFill="background1"/>
          <w:tblCellMar>
            <w:left w:w="0" w:type="dxa"/>
            <w:right w:w="0" w:type="dxa"/>
          </w:tblCellMar>
          <w:tblLook w:val="0420"/>
        </w:tblPrEx>
        <w:trPr>
          <w:trHeight w:val="160"/>
        </w:trPr>
        <w:tc>
          <w:tcPr>
            <w:tcW w:w="1297" w:type="pct"/>
            <w:vMerge/>
            <w:shd w:val="clear" w:color="auto" w:fill="FFFFFF" w:themeFill="background1"/>
            <w:tcMar>
              <w:top w:w="72" w:type="dxa"/>
              <w:left w:w="144" w:type="dxa"/>
              <w:bottom w:w="72" w:type="dxa"/>
              <w:right w:w="144" w:type="dxa"/>
            </w:tcMar>
          </w:tcPr>
          <w:p w:rsidR="00F05409" w:rsidRPr="00990D3B" w:rsidP="00D12283" w14:paraId="30D790FB" w14:textId="77777777">
            <w:pPr>
              <w:pStyle w:val="EQRTableText"/>
            </w:pPr>
          </w:p>
        </w:tc>
        <w:tc>
          <w:tcPr>
            <w:tcW w:w="2551" w:type="pct"/>
            <w:shd w:val="clear" w:color="auto" w:fill="FFFFFF" w:themeFill="background1"/>
            <w:tcMar>
              <w:top w:w="72" w:type="dxa"/>
              <w:left w:w="144" w:type="dxa"/>
              <w:bottom w:w="72" w:type="dxa"/>
              <w:right w:w="144" w:type="dxa"/>
            </w:tcMar>
          </w:tcPr>
          <w:p w:rsidR="00F05409" w:rsidRPr="00990D3B" w:rsidP="00D12283" w14:paraId="58E1B1BE" w14:textId="7F344D3C">
            <w:pPr>
              <w:pStyle w:val="EQRTableText"/>
            </w:pPr>
            <w:r w:rsidRPr="00990D3B">
              <w:t>§438.206 Availability of Services</w:t>
            </w:r>
          </w:p>
        </w:tc>
        <w:tc>
          <w:tcPr>
            <w:tcW w:w="1152" w:type="pct"/>
            <w:shd w:val="clear" w:color="auto" w:fill="FFFFFF" w:themeFill="background1"/>
            <w:tcMar>
              <w:top w:w="72" w:type="dxa"/>
              <w:left w:w="144" w:type="dxa"/>
              <w:bottom w:w="72" w:type="dxa"/>
              <w:right w:w="144" w:type="dxa"/>
            </w:tcMar>
          </w:tcPr>
          <w:p w:rsidR="00F05409" w:rsidRPr="00990D3B" w:rsidP="00D12283" w14:paraId="656CA794" w14:textId="68CADF41">
            <w:pPr>
              <w:pStyle w:val="EQRTableText"/>
            </w:pPr>
            <w:r w:rsidRPr="00990D3B">
              <w:t>July 2022</w:t>
            </w:r>
            <w:r w:rsidRPr="00990D3B" w:rsidR="00D12283">
              <w:br/>
            </w:r>
            <w:r w:rsidRPr="00990D3B">
              <w:t>(RC 2022-2023)</w:t>
            </w:r>
          </w:p>
        </w:tc>
      </w:tr>
      <w:tr w14:paraId="6EAD2BF7" w14:textId="77777777" w:rsidTr="00363B07">
        <w:tblPrEx>
          <w:tblW w:w="5000" w:type="pct"/>
          <w:shd w:val="clear" w:color="auto" w:fill="FFFFFF" w:themeFill="background1"/>
          <w:tblCellMar>
            <w:left w:w="0" w:type="dxa"/>
            <w:right w:w="0" w:type="dxa"/>
          </w:tblCellMar>
          <w:tblLook w:val="0420"/>
        </w:tblPrEx>
        <w:trPr>
          <w:trHeight w:val="124"/>
        </w:trPr>
        <w:tc>
          <w:tcPr>
            <w:tcW w:w="1297" w:type="pct"/>
            <w:vMerge/>
            <w:shd w:val="clear" w:color="auto" w:fill="FFFFFF" w:themeFill="background1"/>
          </w:tcPr>
          <w:p w:rsidR="00F05409" w:rsidRPr="00990D3B" w:rsidP="00D12283" w14:paraId="1F5BD522" w14:textId="77777777">
            <w:pPr>
              <w:pStyle w:val="EQRTableText"/>
            </w:pPr>
          </w:p>
        </w:tc>
        <w:tc>
          <w:tcPr>
            <w:tcW w:w="2551" w:type="pct"/>
            <w:shd w:val="clear" w:color="auto" w:fill="FFFFFF" w:themeFill="background1"/>
            <w:tcMar>
              <w:top w:w="72" w:type="dxa"/>
              <w:left w:w="144" w:type="dxa"/>
              <w:bottom w:w="72" w:type="dxa"/>
              <w:right w:w="144" w:type="dxa"/>
            </w:tcMar>
          </w:tcPr>
          <w:p w:rsidR="00F05409" w:rsidRPr="00990D3B" w:rsidP="00D12283" w14:paraId="210C47CE" w14:textId="258E003C">
            <w:pPr>
              <w:pStyle w:val="EQRTableText"/>
            </w:pPr>
            <w:r w:rsidRPr="00990D3B">
              <w:t>§438.207 Assurances of Adequate Capacity of Services</w:t>
            </w:r>
          </w:p>
        </w:tc>
        <w:tc>
          <w:tcPr>
            <w:tcW w:w="1152" w:type="pct"/>
            <w:shd w:val="clear" w:color="auto" w:fill="FFFFFF" w:themeFill="background1"/>
            <w:tcMar>
              <w:top w:w="72" w:type="dxa"/>
              <w:left w:w="144" w:type="dxa"/>
              <w:bottom w:w="72" w:type="dxa"/>
              <w:right w:w="144" w:type="dxa"/>
            </w:tcMar>
          </w:tcPr>
          <w:p w:rsidR="00F05409" w:rsidRPr="00990D3B" w:rsidP="00D12283" w14:paraId="6F2B6421" w14:textId="3FED74AB">
            <w:pPr>
              <w:pStyle w:val="EQRTableText"/>
            </w:pPr>
            <w:r w:rsidRPr="00990D3B">
              <w:t>July 2022</w:t>
            </w:r>
            <w:r w:rsidRPr="00990D3B" w:rsidR="00D12283">
              <w:br/>
            </w:r>
            <w:r w:rsidRPr="00990D3B">
              <w:t>(RC 2022-2023)</w:t>
            </w:r>
          </w:p>
        </w:tc>
      </w:tr>
    </w:tbl>
    <w:p w:rsidR="00F05409" w:rsidRPr="00990D3B" w:rsidP="002B40CC" w14:paraId="7A2ED54D" w14:textId="47B615ED">
      <w:pPr>
        <w:pStyle w:val="H2EQRWorksheet"/>
      </w:pPr>
      <w:r w:rsidRPr="00990D3B">
        <w:t>Template 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4088"/>
        <w:gridCol w:w="1756"/>
        <w:gridCol w:w="1754"/>
        <w:gridCol w:w="1752"/>
      </w:tblGrid>
      <w:tr w14:paraId="0BDB4B08" w14:textId="77777777" w:rsidTr="00363B0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Ex>
        <w:trPr>
          <w:trHeight w:val="151"/>
          <w:tblHeader/>
        </w:trPr>
        <w:tc>
          <w:tcPr>
            <w:tcW w:w="2186" w:type="pct"/>
            <w:shd w:val="clear" w:color="auto" w:fill="FFFFFF" w:themeFill="background1"/>
            <w:tcMar>
              <w:top w:w="72" w:type="dxa"/>
              <w:left w:w="144" w:type="dxa"/>
              <w:bottom w:w="72" w:type="dxa"/>
              <w:right w:w="144" w:type="dxa"/>
            </w:tcMar>
            <w:vAlign w:val="bottom"/>
            <w:hideMark/>
          </w:tcPr>
          <w:p w:rsidR="00F05409" w:rsidRPr="00990D3B" w:rsidP="00D12283" w14:paraId="6D122E79" w14:textId="3A58B8FD">
            <w:pPr>
              <w:pStyle w:val="EQRTableHeaderLeft"/>
              <w:rPr>
                <w:color w:val="auto"/>
              </w:rPr>
            </w:pPr>
            <w:r w:rsidRPr="00990D3B">
              <w:rPr>
                <w:color w:val="auto"/>
              </w:rPr>
              <w:t xml:space="preserve">Federal </w:t>
            </w:r>
            <w:r w:rsidRPr="00990D3B" w:rsidR="007F29C2">
              <w:rPr>
                <w:color w:val="auto"/>
              </w:rPr>
              <w:t>s</w:t>
            </w:r>
            <w:r w:rsidRPr="00990D3B">
              <w:rPr>
                <w:color w:val="auto"/>
              </w:rPr>
              <w:t>tandard</w:t>
            </w:r>
          </w:p>
        </w:tc>
        <w:tc>
          <w:tcPr>
            <w:tcW w:w="939" w:type="pct"/>
            <w:shd w:val="clear" w:color="auto" w:fill="FFFFFF" w:themeFill="background1"/>
            <w:tcMar>
              <w:top w:w="72" w:type="dxa"/>
              <w:left w:w="144" w:type="dxa"/>
              <w:bottom w:w="72" w:type="dxa"/>
              <w:right w:w="144" w:type="dxa"/>
            </w:tcMar>
            <w:vAlign w:val="bottom"/>
          </w:tcPr>
          <w:p w:rsidR="00F05409" w:rsidRPr="00990D3B" w:rsidP="00D12283" w14:paraId="6D8DC247" w14:textId="653B4C7F">
            <w:pPr>
              <w:pStyle w:val="EQRTableHeaderCenter"/>
              <w:rPr>
                <w:color w:val="auto"/>
              </w:rPr>
            </w:pPr>
            <w:r w:rsidRPr="00990D3B">
              <w:rPr>
                <w:color w:val="auto"/>
              </w:rPr>
              <w:t>July 2021</w:t>
            </w:r>
            <w:r w:rsidRPr="00990D3B" w:rsidR="00D12283">
              <w:rPr>
                <w:color w:val="auto"/>
              </w:rPr>
              <w:br/>
            </w:r>
            <w:r w:rsidRPr="00990D3B">
              <w:rPr>
                <w:color w:val="auto"/>
              </w:rPr>
              <w:t>(RC 2021-2022)</w:t>
            </w:r>
          </w:p>
        </w:tc>
        <w:tc>
          <w:tcPr>
            <w:tcW w:w="938" w:type="pct"/>
            <w:shd w:val="clear" w:color="auto" w:fill="FFFFFF" w:themeFill="background1"/>
          </w:tcPr>
          <w:p w:rsidR="00F05409" w:rsidRPr="00990D3B" w:rsidP="00D12283" w14:paraId="72631467" w14:textId="2A1C575F">
            <w:pPr>
              <w:pStyle w:val="EQRTableHeaderCenter"/>
              <w:rPr>
                <w:color w:val="auto"/>
              </w:rPr>
            </w:pPr>
            <w:r w:rsidRPr="00990D3B">
              <w:rPr>
                <w:color w:val="auto"/>
              </w:rPr>
              <w:t>July 2022</w:t>
            </w:r>
            <w:r w:rsidRPr="00990D3B" w:rsidR="00D12283">
              <w:rPr>
                <w:color w:val="auto"/>
              </w:rPr>
              <w:br/>
            </w:r>
            <w:r w:rsidRPr="00990D3B">
              <w:rPr>
                <w:color w:val="auto"/>
              </w:rPr>
              <w:t>(RC 2022-2023)</w:t>
            </w:r>
          </w:p>
        </w:tc>
        <w:tc>
          <w:tcPr>
            <w:tcW w:w="937" w:type="pct"/>
            <w:shd w:val="clear" w:color="auto" w:fill="FFFFFF" w:themeFill="background1"/>
          </w:tcPr>
          <w:p w:rsidR="00F05409" w:rsidRPr="00990D3B" w:rsidP="00D12283" w14:paraId="5E12A1F0" w14:textId="5A9A4A71">
            <w:pPr>
              <w:pStyle w:val="EQRTableHeaderCenter"/>
              <w:rPr>
                <w:color w:val="auto"/>
              </w:rPr>
            </w:pPr>
            <w:r w:rsidRPr="00990D3B">
              <w:rPr>
                <w:color w:val="auto"/>
              </w:rPr>
              <w:t>July 2023</w:t>
            </w:r>
            <w:r w:rsidRPr="00990D3B" w:rsidR="00D12283">
              <w:rPr>
                <w:color w:val="auto"/>
              </w:rPr>
              <w:br/>
            </w:r>
            <w:r w:rsidRPr="00990D3B">
              <w:rPr>
                <w:color w:val="auto"/>
              </w:rPr>
              <w:t>(RC 2023-2024)</w:t>
            </w:r>
          </w:p>
        </w:tc>
      </w:tr>
      <w:tr w14:paraId="52BE4B1E" w14:textId="77777777" w:rsidTr="00363B07">
        <w:tblPrEx>
          <w:tblW w:w="5000" w:type="pct"/>
          <w:shd w:val="clear" w:color="auto" w:fill="FFFFFF" w:themeFill="background1"/>
          <w:tblCellMar>
            <w:left w:w="0" w:type="dxa"/>
            <w:right w:w="0" w:type="dxa"/>
          </w:tblCellMar>
          <w:tblLook w:val="0420"/>
        </w:tblPrEx>
        <w:trPr>
          <w:trHeight w:val="151"/>
        </w:trPr>
        <w:tc>
          <w:tcPr>
            <w:tcW w:w="2186" w:type="pct"/>
            <w:shd w:val="clear" w:color="auto" w:fill="FFFFFF" w:themeFill="background1"/>
            <w:tcMar>
              <w:top w:w="72" w:type="dxa"/>
              <w:left w:w="144" w:type="dxa"/>
              <w:bottom w:w="72" w:type="dxa"/>
              <w:right w:w="144" w:type="dxa"/>
            </w:tcMar>
            <w:vAlign w:val="bottom"/>
          </w:tcPr>
          <w:p w:rsidR="00F05409" w:rsidRPr="00990D3B" w:rsidP="00BD1FC3" w14:paraId="76DA3963" w14:textId="77777777">
            <w:pPr>
              <w:spacing w:after="0" w:line="240" w:lineRule="auto"/>
              <w:rPr>
                <w:rFonts w:asciiTheme="majorHAnsi" w:hAnsiTheme="majorHAnsi" w:cstheme="majorHAnsi"/>
                <w:kern w:val="24"/>
                <w:sz w:val="18"/>
                <w:szCs w:val="18"/>
              </w:rPr>
            </w:pPr>
            <w:r w:rsidRPr="00990D3B">
              <w:rPr>
                <w:rFonts w:asciiTheme="majorHAnsi" w:hAnsiTheme="majorHAnsi" w:cstheme="majorHAnsi"/>
                <w:kern w:val="24"/>
                <w:sz w:val="18"/>
                <w:szCs w:val="18"/>
              </w:rPr>
              <w:t>§438.56 Disenrollment</w:t>
            </w:r>
          </w:p>
        </w:tc>
        <w:tc>
          <w:tcPr>
            <w:tcW w:w="939" w:type="pct"/>
            <w:shd w:val="clear" w:color="auto" w:fill="FFFFFF" w:themeFill="background1"/>
            <w:tcMar>
              <w:top w:w="72" w:type="dxa"/>
              <w:left w:w="144" w:type="dxa"/>
              <w:bottom w:w="72" w:type="dxa"/>
              <w:right w:w="144" w:type="dxa"/>
            </w:tcMar>
            <w:vAlign w:val="bottom"/>
          </w:tcPr>
          <w:p w:rsidR="00F05409" w:rsidRPr="00990D3B" w:rsidP="00BD1FC3" w14:paraId="2CD86FBF" w14:textId="77777777">
            <w:pPr>
              <w:spacing w:after="0" w:line="240" w:lineRule="auto"/>
              <w:jc w:val="center"/>
              <w:rPr>
                <w:rFonts w:asciiTheme="majorHAnsi" w:hAnsiTheme="majorHAnsi" w:cstheme="majorHAnsi"/>
                <w:kern w:val="24"/>
                <w:sz w:val="18"/>
                <w:szCs w:val="18"/>
              </w:rPr>
            </w:pPr>
          </w:p>
        </w:tc>
        <w:tc>
          <w:tcPr>
            <w:tcW w:w="938" w:type="pct"/>
            <w:shd w:val="clear" w:color="auto" w:fill="FFFFFF" w:themeFill="background1"/>
          </w:tcPr>
          <w:p w:rsidR="00F05409" w:rsidRPr="00990D3B" w:rsidP="00BD1FC3" w14:paraId="0643B1B4" w14:textId="77777777">
            <w:pPr>
              <w:spacing w:after="0" w:line="240" w:lineRule="auto"/>
              <w:jc w:val="center"/>
              <w:rPr>
                <w:rFonts w:asciiTheme="majorHAnsi" w:hAnsiTheme="majorHAnsi" w:cstheme="majorHAnsi"/>
                <w:kern w:val="24"/>
                <w:sz w:val="18"/>
                <w:szCs w:val="18"/>
              </w:rPr>
            </w:pPr>
          </w:p>
        </w:tc>
        <w:tc>
          <w:tcPr>
            <w:tcW w:w="937" w:type="pct"/>
            <w:shd w:val="clear" w:color="auto" w:fill="FFFFFF" w:themeFill="background1"/>
          </w:tcPr>
          <w:p w:rsidR="00F05409" w:rsidRPr="00990D3B" w:rsidP="00BD1FC3" w14:paraId="6E050C85" w14:textId="0D9F3D33">
            <w:pPr>
              <w:spacing w:after="0" w:line="240" w:lineRule="auto"/>
              <w:jc w:val="center"/>
              <w:rPr>
                <w:rFonts w:asciiTheme="majorHAnsi" w:hAnsiTheme="majorHAnsi" w:cstheme="majorHAnsi"/>
                <w:kern w:val="24"/>
                <w:sz w:val="18"/>
                <w:szCs w:val="18"/>
              </w:rPr>
            </w:pPr>
            <w:r w:rsidRPr="00990D3B">
              <w:rPr>
                <w:rFonts w:ascii="Arial" w:hAnsi="Arial" w:cs="Arial"/>
                <w:kern w:val="24"/>
                <w:sz w:val="18"/>
                <w:szCs w:val="18"/>
              </w:rPr>
              <w:t>X</w:t>
            </w:r>
          </w:p>
        </w:tc>
      </w:tr>
      <w:tr w14:paraId="6B7C6C9F" w14:textId="77777777" w:rsidTr="00363B07">
        <w:tblPrEx>
          <w:tblW w:w="5000" w:type="pct"/>
          <w:shd w:val="clear" w:color="auto" w:fill="FFFFFF" w:themeFill="background1"/>
          <w:tblCellMar>
            <w:left w:w="0" w:type="dxa"/>
            <w:right w:w="0" w:type="dxa"/>
          </w:tblCellMar>
          <w:tblLook w:val="0420"/>
        </w:tblPrEx>
        <w:trPr>
          <w:trHeight w:val="151"/>
        </w:trPr>
        <w:tc>
          <w:tcPr>
            <w:tcW w:w="2186" w:type="pct"/>
            <w:shd w:val="clear" w:color="auto" w:fill="FFFFFF" w:themeFill="background1"/>
            <w:tcMar>
              <w:top w:w="72" w:type="dxa"/>
              <w:left w:w="144" w:type="dxa"/>
              <w:bottom w:w="72" w:type="dxa"/>
              <w:right w:w="144" w:type="dxa"/>
            </w:tcMar>
            <w:vAlign w:val="bottom"/>
          </w:tcPr>
          <w:p w:rsidR="00F05409" w:rsidRPr="00990D3B" w:rsidP="00BD1FC3" w14:paraId="6954A107" w14:textId="77777777">
            <w:pPr>
              <w:spacing w:after="0" w:line="240" w:lineRule="auto"/>
              <w:rPr>
                <w:rFonts w:asciiTheme="majorHAnsi" w:hAnsiTheme="majorHAnsi" w:cstheme="majorHAnsi"/>
                <w:kern w:val="24"/>
                <w:sz w:val="18"/>
                <w:szCs w:val="18"/>
              </w:rPr>
            </w:pPr>
            <w:r w:rsidRPr="00990D3B">
              <w:rPr>
                <w:rFonts w:asciiTheme="majorHAnsi" w:hAnsiTheme="majorHAnsi" w:cstheme="majorHAnsi"/>
                <w:kern w:val="24"/>
                <w:sz w:val="18"/>
                <w:szCs w:val="18"/>
              </w:rPr>
              <w:t>§438.100 Enrollee Rights</w:t>
            </w:r>
          </w:p>
        </w:tc>
        <w:tc>
          <w:tcPr>
            <w:tcW w:w="939" w:type="pct"/>
            <w:shd w:val="clear" w:color="auto" w:fill="FFFFFF" w:themeFill="background1"/>
            <w:tcMar>
              <w:top w:w="72" w:type="dxa"/>
              <w:left w:w="144" w:type="dxa"/>
              <w:bottom w:w="72" w:type="dxa"/>
              <w:right w:w="144" w:type="dxa"/>
            </w:tcMar>
            <w:vAlign w:val="bottom"/>
          </w:tcPr>
          <w:p w:rsidR="00F05409" w:rsidRPr="00990D3B" w:rsidP="00BD1FC3" w14:paraId="6EB26F4B" w14:textId="77777777">
            <w:pPr>
              <w:spacing w:after="0" w:line="240" w:lineRule="auto"/>
              <w:jc w:val="center"/>
              <w:rPr>
                <w:rFonts w:asciiTheme="majorHAnsi" w:hAnsiTheme="majorHAnsi" w:cstheme="majorHAnsi"/>
                <w:kern w:val="24"/>
                <w:sz w:val="18"/>
                <w:szCs w:val="18"/>
              </w:rPr>
            </w:pPr>
          </w:p>
        </w:tc>
        <w:tc>
          <w:tcPr>
            <w:tcW w:w="938" w:type="pct"/>
            <w:shd w:val="clear" w:color="auto" w:fill="FFFFFF" w:themeFill="background1"/>
          </w:tcPr>
          <w:p w:rsidR="00F05409" w:rsidRPr="00990D3B" w:rsidP="00BD1FC3" w14:paraId="4E6483B6" w14:textId="77777777">
            <w:pPr>
              <w:spacing w:after="0" w:line="240" w:lineRule="auto"/>
              <w:jc w:val="center"/>
              <w:rPr>
                <w:rFonts w:asciiTheme="majorHAnsi" w:hAnsiTheme="majorHAnsi" w:cstheme="majorHAnsi"/>
                <w:kern w:val="24"/>
                <w:sz w:val="18"/>
                <w:szCs w:val="18"/>
              </w:rPr>
            </w:pPr>
          </w:p>
        </w:tc>
        <w:tc>
          <w:tcPr>
            <w:tcW w:w="937" w:type="pct"/>
            <w:shd w:val="clear" w:color="auto" w:fill="FFFFFF" w:themeFill="background1"/>
          </w:tcPr>
          <w:p w:rsidR="00F05409" w:rsidRPr="00990D3B" w:rsidP="00BD1FC3" w14:paraId="011DB384" w14:textId="30FB9204">
            <w:pPr>
              <w:spacing w:after="0" w:line="240" w:lineRule="auto"/>
              <w:jc w:val="center"/>
              <w:rPr>
                <w:rFonts w:asciiTheme="majorHAnsi" w:hAnsiTheme="majorHAnsi" w:cstheme="majorHAnsi"/>
                <w:kern w:val="24"/>
                <w:sz w:val="18"/>
                <w:szCs w:val="18"/>
              </w:rPr>
            </w:pPr>
            <w:r w:rsidRPr="00990D3B">
              <w:rPr>
                <w:rFonts w:ascii="Arial" w:hAnsi="Arial" w:cs="Arial"/>
                <w:kern w:val="24"/>
                <w:sz w:val="18"/>
                <w:szCs w:val="18"/>
              </w:rPr>
              <w:t>X</w:t>
            </w:r>
          </w:p>
        </w:tc>
      </w:tr>
      <w:tr w14:paraId="1723FE7F" w14:textId="77777777" w:rsidTr="00363B07">
        <w:tblPrEx>
          <w:tblW w:w="5000" w:type="pct"/>
          <w:shd w:val="clear" w:color="auto" w:fill="FFFFFF" w:themeFill="background1"/>
          <w:tblCellMar>
            <w:left w:w="0" w:type="dxa"/>
            <w:right w:w="0" w:type="dxa"/>
          </w:tblCellMar>
          <w:tblLook w:val="0420"/>
        </w:tblPrEx>
        <w:trPr>
          <w:trHeight w:val="151"/>
        </w:trPr>
        <w:tc>
          <w:tcPr>
            <w:tcW w:w="2186" w:type="pct"/>
            <w:shd w:val="clear" w:color="auto" w:fill="FFFFFF" w:themeFill="background1"/>
            <w:tcMar>
              <w:top w:w="72" w:type="dxa"/>
              <w:left w:w="144" w:type="dxa"/>
              <w:bottom w:w="72" w:type="dxa"/>
              <w:right w:w="144" w:type="dxa"/>
            </w:tcMar>
            <w:vAlign w:val="bottom"/>
          </w:tcPr>
          <w:p w:rsidR="00F05409" w:rsidRPr="00990D3B" w:rsidP="00BD1FC3" w14:paraId="1F600D45" w14:textId="77777777">
            <w:pPr>
              <w:spacing w:after="0" w:line="240" w:lineRule="auto"/>
              <w:rPr>
                <w:rFonts w:asciiTheme="majorHAnsi" w:hAnsiTheme="majorHAnsi" w:cstheme="majorHAnsi"/>
                <w:kern w:val="24"/>
                <w:sz w:val="18"/>
                <w:szCs w:val="18"/>
              </w:rPr>
            </w:pPr>
            <w:r w:rsidRPr="00990D3B">
              <w:rPr>
                <w:rFonts w:asciiTheme="majorHAnsi" w:hAnsiTheme="majorHAnsi" w:cstheme="majorHAnsi"/>
                <w:kern w:val="24"/>
                <w:sz w:val="18"/>
                <w:szCs w:val="18"/>
              </w:rPr>
              <w:t>§438.114 Emergency and Post-stabilization Services</w:t>
            </w:r>
          </w:p>
        </w:tc>
        <w:tc>
          <w:tcPr>
            <w:tcW w:w="939" w:type="pct"/>
            <w:shd w:val="clear" w:color="auto" w:fill="FFFFFF" w:themeFill="background1"/>
            <w:tcMar>
              <w:top w:w="72" w:type="dxa"/>
              <w:left w:w="144" w:type="dxa"/>
              <w:bottom w:w="72" w:type="dxa"/>
              <w:right w:w="144" w:type="dxa"/>
            </w:tcMar>
            <w:vAlign w:val="bottom"/>
          </w:tcPr>
          <w:p w:rsidR="00F05409" w:rsidRPr="00990D3B" w:rsidP="00BD1FC3" w14:paraId="42E9D8AC" w14:textId="77777777">
            <w:pPr>
              <w:spacing w:after="0" w:line="240" w:lineRule="auto"/>
              <w:jc w:val="center"/>
              <w:rPr>
                <w:rFonts w:asciiTheme="majorHAnsi" w:hAnsiTheme="majorHAnsi" w:cstheme="majorHAnsi"/>
                <w:kern w:val="24"/>
                <w:sz w:val="18"/>
                <w:szCs w:val="18"/>
              </w:rPr>
            </w:pPr>
          </w:p>
        </w:tc>
        <w:tc>
          <w:tcPr>
            <w:tcW w:w="938" w:type="pct"/>
            <w:shd w:val="clear" w:color="auto" w:fill="FFFFFF" w:themeFill="background1"/>
          </w:tcPr>
          <w:p w:rsidR="00F05409" w:rsidRPr="00990D3B" w:rsidP="00BD1FC3" w14:paraId="202A18B3" w14:textId="77777777">
            <w:pPr>
              <w:spacing w:after="0" w:line="240" w:lineRule="auto"/>
              <w:jc w:val="center"/>
              <w:rPr>
                <w:rFonts w:asciiTheme="majorHAnsi" w:hAnsiTheme="majorHAnsi" w:cstheme="majorHAnsi"/>
                <w:kern w:val="24"/>
                <w:sz w:val="18"/>
                <w:szCs w:val="18"/>
              </w:rPr>
            </w:pPr>
          </w:p>
        </w:tc>
        <w:tc>
          <w:tcPr>
            <w:tcW w:w="937" w:type="pct"/>
            <w:shd w:val="clear" w:color="auto" w:fill="FFFFFF" w:themeFill="background1"/>
          </w:tcPr>
          <w:p w:rsidR="00F05409" w:rsidRPr="00990D3B" w:rsidP="00BD1FC3" w14:paraId="0A02592E" w14:textId="3E1D632E">
            <w:pPr>
              <w:spacing w:after="0" w:line="240" w:lineRule="auto"/>
              <w:jc w:val="center"/>
              <w:rPr>
                <w:rFonts w:asciiTheme="majorHAnsi" w:hAnsiTheme="majorHAnsi" w:cstheme="majorHAnsi"/>
                <w:kern w:val="24"/>
                <w:sz w:val="18"/>
                <w:szCs w:val="18"/>
              </w:rPr>
            </w:pPr>
            <w:r w:rsidRPr="00990D3B">
              <w:rPr>
                <w:rFonts w:ascii="Arial" w:hAnsi="Arial" w:cs="Arial"/>
                <w:kern w:val="24"/>
                <w:sz w:val="18"/>
                <w:szCs w:val="18"/>
              </w:rPr>
              <w:t>X</w:t>
            </w:r>
          </w:p>
        </w:tc>
      </w:tr>
      <w:tr w14:paraId="66B709B3" w14:textId="77777777" w:rsidTr="00363B07">
        <w:tblPrEx>
          <w:tblW w:w="5000" w:type="pct"/>
          <w:shd w:val="clear" w:color="auto" w:fill="FFFFFF" w:themeFill="background1"/>
          <w:tblCellMar>
            <w:left w:w="0" w:type="dxa"/>
            <w:right w:w="0" w:type="dxa"/>
          </w:tblCellMar>
          <w:tblLook w:val="0420"/>
        </w:tblPrEx>
        <w:trPr>
          <w:trHeight w:val="160"/>
        </w:trPr>
        <w:tc>
          <w:tcPr>
            <w:tcW w:w="2186" w:type="pct"/>
            <w:shd w:val="clear" w:color="auto" w:fill="FFFFFF" w:themeFill="background1"/>
            <w:tcMar>
              <w:top w:w="72" w:type="dxa"/>
              <w:left w:w="144" w:type="dxa"/>
              <w:bottom w:w="72" w:type="dxa"/>
              <w:right w:w="144" w:type="dxa"/>
            </w:tcMar>
            <w:hideMark/>
          </w:tcPr>
          <w:p w:rsidR="00F05409" w:rsidRPr="00990D3B" w:rsidP="00BD1FC3" w14:paraId="5AE71E3C" w14:textId="77777777">
            <w:pPr>
              <w:spacing w:after="0" w:line="240" w:lineRule="auto"/>
              <w:rPr>
                <w:rFonts w:asciiTheme="majorHAnsi" w:hAnsiTheme="majorHAnsi" w:cstheme="majorHAnsi"/>
                <w:sz w:val="18"/>
                <w:szCs w:val="18"/>
              </w:rPr>
            </w:pPr>
            <w:r w:rsidRPr="00990D3B">
              <w:rPr>
                <w:rFonts w:asciiTheme="majorHAnsi" w:hAnsiTheme="majorHAnsi" w:cstheme="majorHAnsi"/>
                <w:kern w:val="24"/>
                <w:sz w:val="18"/>
                <w:szCs w:val="18"/>
              </w:rPr>
              <w:t>§438.206 Availability of Services</w:t>
            </w:r>
          </w:p>
        </w:tc>
        <w:tc>
          <w:tcPr>
            <w:tcW w:w="939" w:type="pct"/>
            <w:shd w:val="clear" w:color="auto" w:fill="FFFFFF" w:themeFill="background1"/>
            <w:tcMar>
              <w:top w:w="72" w:type="dxa"/>
              <w:left w:w="144" w:type="dxa"/>
              <w:bottom w:w="72" w:type="dxa"/>
              <w:right w:w="144" w:type="dxa"/>
            </w:tcMar>
          </w:tcPr>
          <w:p w:rsidR="00F05409" w:rsidRPr="00990D3B" w:rsidP="00BD1FC3" w14:paraId="6F7FC44D" w14:textId="77777777">
            <w:pPr>
              <w:spacing w:after="0" w:line="240" w:lineRule="auto"/>
              <w:jc w:val="center"/>
              <w:rPr>
                <w:rFonts w:asciiTheme="majorHAnsi" w:hAnsiTheme="majorHAnsi" w:cstheme="majorHAnsi"/>
                <w:sz w:val="18"/>
                <w:szCs w:val="18"/>
              </w:rPr>
            </w:pPr>
          </w:p>
        </w:tc>
        <w:tc>
          <w:tcPr>
            <w:tcW w:w="938" w:type="pct"/>
            <w:shd w:val="clear" w:color="auto" w:fill="FFFFFF" w:themeFill="background1"/>
          </w:tcPr>
          <w:p w:rsidR="00F05409" w:rsidRPr="00990D3B" w:rsidP="00BD1FC3" w14:paraId="139ABC61" w14:textId="77777777">
            <w:pPr>
              <w:spacing w:after="0" w:line="240" w:lineRule="auto"/>
              <w:jc w:val="center"/>
              <w:rPr>
                <w:rFonts w:asciiTheme="majorHAnsi" w:hAnsiTheme="majorHAnsi" w:cstheme="majorHAnsi"/>
                <w:kern w:val="24"/>
                <w:sz w:val="18"/>
                <w:szCs w:val="18"/>
              </w:rPr>
            </w:pPr>
          </w:p>
        </w:tc>
        <w:tc>
          <w:tcPr>
            <w:tcW w:w="937" w:type="pct"/>
            <w:shd w:val="clear" w:color="auto" w:fill="FFFFFF" w:themeFill="background1"/>
          </w:tcPr>
          <w:p w:rsidR="00F05409" w:rsidRPr="00990D3B" w:rsidP="00BD1FC3" w14:paraId="32399933" w14:textId="0872B4FE">
            <w:pPr>
              <w:spacing w:after="0" w:line="240" w:lineRule="auto"/>
              <w:jc w:val="center"/>
              <w:rPr>
                <w:rFonts w:asciiTheme="majorHAnsi" w:hAnsiTheme="majorHAnsi" w:cstheme="majorHAnsi"/>
                <w:kern w:val="24"/>
                <w:sz w:val="18"/>
                <w:szCs w:val="18"/>
              </w:rPr>
            </w:pPr>
            <w:r w:rsidRPr="00990D3B">
              <w:rPr>
                <w:rFonts w:ascii="Arial" w:hAnsi="Arial" w:cs="Arial"/>
                <w:kern w:val="24"/>
                <w:sz w:val="18"/>
                <w:szCs w:val="18"/>
              </w:rPr>
              <w:t>X</w:t>
            </w:r>
          </w:p>
        </w:tc>
      </w:tr>
      <w:tr w14:paraId="736E3418" w14:textId="77777777" w:rsidTr="00363B07">
        <w:tblPrEx>
          <w:tblW w:w="5000" w:type="pct"/>
          <w:shd w:val="clear" w:color="auto" w:fill="FFFFFF" w:themeFill="background1"/>
          <w:tblCellMar>
            <w:left w:w="0" w:type="dxa"/>
            <w:right w:w="0" w:type="dxa"/>
          </w:tblCellMar>
          <w:tblLook w:val="0420"/>
        </w:tblPrEx>
        <w:trPr>
          <w:trHeight w:val="124"/>
        </w:trPr>
        <w:tc>
          <w:tcPr>
            <w:tcW w:w="2186" w:type="pct"/>
            <w:shd w:val="clear" w:color="auto" w:fill="FFFFFF" w:themeFill="background1"/>
            <w:tcMar>
              <w:top w:w="72" w:type="dxa"/>
              <w:left w:w="144" w:type="dxa"/>
              <w:bottom w:w="72" w:type="dxa"/>
              <w:right w:w="144" w:type="dxa"/>
            </w:tcMar>
            <w:hideMark/>
          </w:tcPr>
          <w:p w:rsidR="00F05409" w:rsidRPr="00990D3B" w:rsidP="00BD1FC3" w14:paraId="16FBFF82" w14:textId="77777777">
            <w:pPr>
              <w:spacing w:after="0" w:line="240" w:lineRule="auto"/>
              <w:rPr>
                <w:rFonts w:asciiTheme="majorHAnsi" w:hAnsiTheme="majorHAnsi" w:cstheme="majorHAnsi"/>
                <w:sz w:val="18"/>
                <w:szCs w:val="18"/>
              </w:rPr>
            </w:pPr>
            <w:r w:rsidRPr="00990D3B">
              <w:rPr>
                <w:rFonts w:asciiTheme="majorHAnsi" w:hAnsiTheme="majorHAnsi" w:cstheme="majorHAnsi"/>
                <w:kern w:val="24"/>
                <w:sz w:val="18"/>
                <w:szCs w:val="18"/>
              </w:rPr>
              <w:t>§438.207 Assurances of Adequate Capacity of Services</w:t>
            </w:r>
          </w:p>
        </w:tc>
        <w:tc>
          <w:tcPr>
            <w:tcW w:w="939" w:type="pct"/>
            <w:shd w:val="clear" w:color="auto" w:fill="FFFFFF" w:themeFill="background1"/>
            <w:tcMar>
              <w:top w:w="72" w:type="dxa"/>
              <w:left w:w="144" w:type="dxa"/>
              <w:bottom w:w="72" w:type="dxa"/>
              <w:right w:w="144" w:type="dxa"/>
            </w:tcMar>
          </w:tcPr>
          <w:p w:rsidR="00F05409" w:rsidRPr="00990D3B" w:rsidP="00BD1FC3" w14:paraId="5C85CBC8" w14:textId="77777777">
            <w:pPr>
              <w:spacing w:after="0" w:line="240" w:lineRule="auto"/>
              <w:jc w:val="center"/>
              <w:rPr>
                <w:rFonts w:asciiTheme="majorHAnsi" w:hAnsiTheme="majorHAnsi" w:cstheme="majorHAnsi"/>
                <w:sz w:val="18"/>
                <w:szCs w:val="18"/>
              </w:rPr>
            </w:pPr>
          </w:p>
        </w:tc>
        <w:tc>
          <w:tcPr>
            <w:tcW w:w="938" w:type="pct"/>
            <w:shd w:val="clear" w:color="auto" w:fill="FFFFFF" w:themeFill="background1"/>
          </w:tcPr>
          <w:p w:rsidR="00F05409" w:rsidRPr="00990D3B" w:rsidP="00BD1FC3" w14:paraId="13E7A248" w14:textId="77777777">
            <w:pPr>
              <w:spacing w:after="0" w:line="240" w:lineRule="auto"/>
              <w:jc w:val="center"/>
              <w:rPr>
                <w:rFonts w:asciiTheme="majorHAnsi" w:hAnsiTheme="majorHAnsi" w:cstheme="majorHAnsi"/>
                <w:kern w:val="24"/>
                <w:sz w:val="18"/>
                <w:szCs w:val="18"/>
              </w:rPr>
            </w:pPr>
          </w:p>
        </w:tc>
        <w:tc>
          <w:tcPr>
            <w:tcW w:w="937" w:type="pct"/>
            <w:shd w:val="clear" w:color="auto" w:fill="FFFFFF" w:themeFill="background1"/>
          </w:tcPr>
          <w:p w:rsidR="00F05409" w:rsidRPr="00990D3B" w:rsidP="00BD1FC3" w14:paraId="384969D7" w14:textId="339624D4">
            <w:pPr>
              <w:spacing w:after="0" w:line="240" w:lineRule="auto"/>
              <w:jc w:val="center"/>
              <w:rPr>
                <w:rFonts w:asciiTheme="majorHAnsi" w:hAnsiTheme="majorHAnsi" w:cstheme="majorHAnsi"/>
                <w:kern w:val="24"/>
                <w:sz w:val="18"/>
                <w:szCs w:val="18"/>
              </w:rPr>
            </w:pPr>
            <w:r w:rsidRPr="00990D3B">
              <w:rPr>
                <w:rFonts w:ascii="Arial" w:hAnsi="Arial" w:cs="Arial"/>
                <w:kern w:val="24"/>
                <w:sz w:val="18"/>
                <w:szCs w:val="18"/>
              </w:rPr>
              <w:t>X</w:t>
            </w:r>
          </w:p>
        </w:tc>
      </w:tr>
      <w:tr w14:paraId="360C9C9A" w14:textId="77777777" w:rsidTr="00363B07">
        <w:tblPrEx>
          <w:tblW w:w="5000" w:type="pct"/>
          <w:shd w:val="clear" w:color="auto" w:fill="FFFFFF" w:themeFill="background1"/>
          <w:tblCellMar>
            <w:left w:w="0" w:type="dxa"/>
            <w:right w:w="0" w:type="dxa"/>
          </w:tblCellMar>
          <w:tblLook w:val="0420"/>
        </w:tblPrEx>
        <w:trPr>
          <w:trHeight w:val="277"/>
        </w:trPr>
        <w:tc>
          <w:tcPr>
            <w:tcW w:w="2186" w:type="pct"/>
            <w:shd w:val="clear" w:color="auto" w:fill="FFFFFF" w:themeFill="background1"/>
            <w:tcMar>
              <w:top w:w="72" w:type="dxa"/>
              <w:left w:w="144" w:type="dxa"/>
              <w:bottom w:w="72" w:type="dxa"/>
              <w:right w:w="144" w:type="dxa"/>
            </w:tcMar>
            <w:hideMark/>
          </w:tcPr>
          <w:p w:rsidR="00F05409" w:rsidRPr="00990D3B" w:rsidP="00BD1FC3" w14:paraId="65D17880" w14:textId="77777777">
            <w:pPr>
              <w:spacing w:after="0" w:line="240" w:lineRule="auto"/>
              <w:rPr>
                <w:rFonts w:asciiTheme="majorHAnsi" w:hAnsiTheme="majorHAnsi" w:cstheme="majorHAnsi"/>
                <w:sz w:val="18"/>
                <w:szCs w:val="18"/>
              </w:rPr>
            </w:pPr>
            <w:r w:rsidRPr="00990D3B">
              <w:rPr>
                <w:rFonts w:asciiTheme="majorHAnsi" w:hAnsiTheme="majorHAnsi" w:cstheme="majorHAnsi"/>
                <w:kern w:val="24"/>
                <w:sz w:val="18"/>
                <w:szCs w:val="18"/>
              </w:rPr>
              <w:t>§438.208 Coordination and Continuity of Care</w:t>
            </w:r>
          </w:p>
        </w:tc>
        <w:tc>
          <w:tcPr>
            <w:tcW w:w="939" w:type="pct"/>
            <w:shd w:val="clear" w:color="auto" w:fill="FFFFFF" w:themeFill="background1"/>
            <w:tcMar>
              <w:top w:w="72" w:type="dxa"/>
              <w:left w:w="144" w:type="dxa"/>
              <w:bottom w:w="72" w:type="dxa"/>
              <w:right w:w="144" w:type="dxa"/>
            </w:tcMar>
          </w:tcPr>
          <w:p w:rsidR="00F05409" w:rsidRPr="00990D3B" w:rsidP="00BD1FC3" w14:paraId="3008A30A" w14:textId="77777777">
            <w:pPr>
              <w:spacing w:after="0" w:line="240" w:lineRule="auto"/>
              <w:jc w:val="center"/>
              <w:rPr>
                <w:rFonts w:asciiTheme="majorHAnsi" w:hAnsiTheme="majorHAnsi" w:cstheme="majorHAnsi"/>
                <w:sz w:val="18"/>
                <w:szCs w:val="18"/>
              </w:rPr>
            </w:pPr>
          </w:p>
        </w:tc>
        <w:tc>
          <w:tcPr>
            <w:tcW w:w="938" w:type="pct"/>
            <w:shd w:val="clear" w:color="auto" w:fill="FFFFFF" w:themeFill="background1"/>
          </w:tcPr>
          <w:p w:rsidR="00F05409" w:rsidRPr="00990D3B" w:rsidP="00BD1FC3" w14:paraId="5663769F" w14:textId="220FA778">
            <w:pPr>
              <w:spacing w:after="0" w:line="240" w:lineRule="auto"/>
              <w:jc w:val="center"/>
              <w:rPr>
                <w:rFonts w:asciiTheme="majorHAnsi" w:hAnsiTheme="majorHAnsi" w:cstheme="majorHAnsi"/>
                <w:kern w:val="24"/>
                <w:sz w:val="18"/>
                <w:szCs w:val="18"/>
              </w:rPr>
            </w:pPr>
            <w:r w:rsidRPr="00990D3B">
              <w:rPr>
                <w:rFonts w:ascii="Arial" w:hAnsi="Arial" w:cs="Arial"/>
                <w:kern w:val="24"/>
                <w:sz w:val="18"/>
                <w:szCs w:val="18"/>
              </w:rPr>
              <w:t>X</w:t>
            </w:r>
          </w:p>
        </w:tc>
        <w:tc>
          <w:tcPr>
            <w:tcW w:w="937" w:type="pct"/>
            <w:shd w:val="clear" w:color="auto" w:fill="FFFFFF" w:themeFill="background1"/>
          </w:tcPr>
          <w:p w:rsidR="00F05409" w:rsidRPr="00990D3B" w:rsidP="00BD1FC3" w14:paraId="40CA903F" w14:textId="77777777">
            <w:pPr>
              <w:spacing w:after="0" w:line="240" w:lineRule="auto"/>
              <w:jc w:val="center"/>
              <w:rPr>
                <w:rFonts w:asciiTheme="majorHAnsi" w:hAnsiTheme="majorHAnsi" w:cstheme="majorHAnsi"/>
                <w:kern w:val="24"/>
                <w:sz w:val="18"/>
                <w:szCs w:val="18"/>
              </w:rPr>
            </w:pPr>
          </w:p>
        </w:tc>
      </w:tr>
      <w:tr w14:paraId="1F1333BC" w14:textId="77777777" w:rsidTr="00363B07">
        <w:tblPrEx>
          <w:tblW w:w="5000" w:type="pct"/>
          <w:shd w:val="clear" w:color="auto" w:fill="FFFFFF" w:themeFill="background1"/>
          <w:tblCellMar>
            <w:left w:w="0" w:type="dxa"/>
            <w:right w:w="0" w:type="dxa"/>
          </w:tblCellMar>
          <w:tblLook w:val="0420"/>
        </w:tblPrEx>
        <w:trPr>
          <w:trHeight w:val="277"/>
        </w:trPr>
        <w:tc>
          <w:tcPr>
            <w:tcW w:w="2186" w:type="pct"/>
            <w:shd w:val="clear" w:color="auto" w:fill="FFFFFF" w:themeFill="background1"/>
            <w:tcMar>
              <w:top w:w="72" w:type="dxa"/>
              <w:left w:w="144" w:type="dxa"/>
              <w:bottom w:w="72" w:type="dxa"/>
              <w:right w:w="144" w:type="dxa"/>
            </w:tcMar>
            <w:hideMark/>
          </w:tcPr>
          <w:p w:rsidR="00F05409" w:rsidRPr="00990D3B" w:rsidP="00BD1FC3" w14:paraId="1CE08003" w14:textId="77777777">
            <w:pPr>
              <w:spacing w:after="0" w:line="240" w:lineRule="auto"/>
              <w:rPr>
                <w:rFonts w:asciiTheme="majorHAnsi" w:hAnsiTheme="majorHAnsi" w:cstheme="majorHAnsi"/>
                <w:sz w:val="18"/>
                <w:szCs w:val="18"/>
              </w:rPr>
            </w:pPr>
            <w:r w:rsidRPr="00990D3B">
              <w:rPr>
                <w:rFonts w:asciiTheme="majorHAnsi" w:hAnsiTheme="majorHAnsi" w:cstheme="majorHAnsi"/>
                <w:kern w:val="24"/>
                <w:sz w:val="18"/>
                <w:szCs w:val="18"/>
              </w:rPr>
              <w:t>§438.210 Coverage and Authorization of Services</w:t>
            </w:r>
          </w:p>
        </w:tc>
        <w:tc>
          <w:tcPr>
            <w:tcW w:w="939" w:type="pct"/>
            <w:shd w:val="clear" w:color="auto" w:fill="FFFFFF" w:themeFill="background1"/>
            <w:tcMar>
              <w:top w:w="72" w:type="dxa"/>
              <w:left w:w="144" w:type="dxa"/>
              <w:bottom w:w="72" w:type="dxa"/>
              <w:right w:w="144" w:type="dxa"/>
            </w:tcMar>
          </w:tcPr>
          <w:p w:rsidR="00F05409" w:rsidRPr="00990D3B" w:rsidP="00BD1FC3" w14:paraId="6B9BB22D" w14:textId="77777777">
            <w:pPr>
              <w:spacing w:after="0" w:line="240" w:lineRule="auto"/>
              <w:jc w:val="center"/>
              <w:rPr>
                <w:rFonts w:asciiTheme="majorHAnsi" w:hAnsiTheme="majorHAnsi" w:cstheme="majorHAnsi"/>
                <w:sz w:val="18"/>
                <w:szCs w:val="18"/>
              </w:rPr>
            </w:pPr>
          </w:p>
        </w:tc>
        <w:tc>
          <w:tcPr>
            <w:tcW w:w="938" w:type="pct"/>
            <w:shd w:val="clear" w:color="auto" w:fill="FFFFFF" w:themeFill="background1"/>
          </w:tcPr>
          <w:p w:rsidR="00F05409" w:rsidRPr="00990D3B" w:rsidP="00BD1FC3" w14:paraId="4F0F664D" w14:textId="4D9860E3">
            <w:pPr>
              <w:spacing w:after="0" w:line="240" w:lineRule="auto"/>
              <w:jc w:val="center"/>
              <w:rPr>
                <w:rFonts w:asciiTheme="majorHAnsi" w:hAnsiTheme="majorHAnsi" w:cstheme="majorHAnsi"/>
                <w:kern w:val="24"/>
                <w:sz w:val="18"/>
                <w:szCs w:val="18"/>
              </w:rPr>
            </w:pPr>
            <w:r w:rsidRPr="00990D3B">
              <w:rPr>
                <w:rFonts w:ascii="Arial" w:hAnsi="Arial" w:cs="Arial"/>
                <w:kern w:val="24"/>
                <w:sz w:val="18"/>
                <w:szCs w:val="18"/>
              </w:rPr>
              <w:t>X</w:t>
            </w:r>
          </w:p>
        </w:tc>
        <w:tc>
          <w:tcPr>
            <w:tcW w:w="937" w:type="pct"/>
            <w:shd w:val="clear" w:color="auto" w:fill="FFFFFF" w:themeFill="background1"/>
          </w:tcPr>
          <w:p w:rsidR="00F05409" w:rsidRPr="00990D3B" w:rsidP="00BD1FC3" w14:paraId="1CD47EDA" w14:textId="77777777">
            <w:pPr>
              <w:spacing w:after="0" w:line="240" w:lineRule="auto"/>
              <w:jc w:val="center"/>
              <w:rPr>
                <w:rFonts w:asciiTheme="majorHAnsi" w:hAnsiTheme="majorHAnsi" w:cstheme="majorHAnsi"/>
                <w:kern w:val="24"/>
                <w:sz w:val="18"/>
                <w:szCs w:val="18"/>
              </w:rPr>
            </w:pPr>
          </w:p>
        </w:tc>
      </w:tr>
      <w:tr w14:paraId="2235C070" w14:textId="77777777" w:rsidTr="00363B07">
        <w:tblPrEx>
          <w:tblW w:w="5000" w:type="pct"/>
          <w:shd w:val="clear" w:color="auto" w:fill="FFFFFF" w:themeFill="background1"/>
          <w:tblCellMar>
            <w:left w:w="0" w:type="dxa"/>
            <w:right w:w="0" w:type="dxa"/>
          </w:tblCellMar>
          <w:tblLook w:val="0420"/>
        </w:tblPrEx>
        <w:trPr>
          <w:trHeight w:val="196"/>
        </w:trPr>
        <w:tc>
          <w:tcPr>
            <w:tcW w:w="2186" w:type="pct"/>
            <w:shd w:val="clear" w:color="auto" w:fill="FFFFFF" w:themeFill="background1"/>
            <w:tcMar>
              <w:top w:w="72" w:type="dxa"/>
              <w:left w:w="144" w:type="dxa"/>
              <w:bottom w:w="72" w:type="dxa"/>
              <w:right w:w="144" w:type="dxa"/>
            </w:tcMar>
            <w:hideMark/>
          </w:tcPr>
          <w:p w:rsidR="00F05409" w:rsidRPr="00990D3B" w:rsidP="00BD1FC3" w14:paraId="3EB4722A" w14:textId="77777777">
            <w:pPr>
              <w:spacing w:after="0" w:line="240" w:lineRule="auto"/>
              <w:rPr>
                <w:rFonts w:asciiTheme="majorHAnsi" w:hAnsiTheme="majorHAnsi" w:cstheme="majorHAnsi"/>
                <w:sz w:val="18"/>
                <w:szCs w:val="18"/>
              </w:rPr>
            </w:pPr>
            <w:r w:rsidRPr="00990D3B">
              <w:rPr>
                <w:rFonts w:asciiTheme="majorHAnsi" w:hAnsiTheme="majorHAnsi" w:cstheme="majorHAnsi"/>
                <w:kern w:val="24"/>
                <w:sz w:val="18"/>
                <w:szCs w:val="18"/>
              </w:rPr>
              <w:t>§438.214 Provider Selection</w:t>
            </w:r>
          </w:p>
        </w:tc>
        <w:tc>
          <w:tcPr>
            <w:tcW w:w="939" w:type="pct"/>
            <w:shd w:val="clear" w:color="auto" w:fill="FFFFFF" w:themeFill="background1"/>
            <w:tcMar>
              <w:top w:w="72" w:type="dxa"/>
              <w:left w:w="144" w:type="dxa"/>
              <w:bottom w:w="72" w:type="dxa"/>
              <w:right w:w="144" w:type="dxa"/>
            </w:tcMar>
          </w:tcPr>
          <w:p w:rsidR="00F05409" w:rsidRPr="00990D3B" w:rsidP="00BD1FC3" w14:paraId="2B8C77F2" w14:textId="77777777">
            <w:pPr>
              <w:spacing w:after="0" w:line="240" w:lineRule="auto"/>
              <w:jc w:val="center"/>
              <w:rPr>
                <w:rFonts w:asciiTheme="majorHAnsi" w:hAnsiTheme="majorHAnsi" w:cstheme="majorHAnsi"/>
                <w:sz w:val="18"/>
                <w:szCs w:val="18"/>
              </w:rPr>
            </w:pPr>
          </w:p>
        </w:tc>
        <w:tc>
          <w:tcPr>
            <w:tcW w:w="938" w:type="pct"/>
            <w:shd w:val="clear" w:color="auto" w:fill="FFFFFF" w:themeFill="background1"/>
          </w:tcPr>
          <w:p w:rsidR="00F05409" w:rsidRPr="00990D3B" w:rsidP="00BD1FC3" w14:paraId="46E24BB7" w14:textId="77777777">
            <w:pPr>
              <w:spacing w:after="0" w:line="240" w:lineRule="auto"/>
              <w:jc w:val="center"/>
              <w:rPr>
                <w:rFonts w:asciiTheme="majorHAnsi" w:hAnsiTheme="majorHAnsi" w:cstheme="majorHAnsi"/>
                <w:kern w:val="24"/>
                <w:sz w:val="18"/>
                <w:szCs w:val="18"/>
              </w:rPr>
            </w:pPr>
          </w:p>
        </w:tc>
        <w:tc>
          <w:tcPr>
            <w:tcW w:w="937" w:type="pct"/>
            <w:shd w:val="clear" w:color="auto" w:fill="FFFFFF" w:themeFill="background1"/>
          </w:tcPr>
          <w:p w:rsidR="00F05409" w:rsidRPr="00990D3B" w:rsidP="00BD1FC3" w14:paraId="727F8C49" w14:textId="69C9CA71">
            <w:pPr>
              <w:spacing w:after="0" w:line="240" w:lineRule="auto"/>
              <w:jc w:val="center"/>
              <w:rPr>
                <w:rFonts w:asciiTheme="majorHAnsi" w:hAnsiTheme="majorHAnsi" w:cstheme="majorHAnsi"/>
                <w:kern w:val="24"/>
                <w:sz w:val="18"/>
                <w:szCs w:val="18"/>
              </w:rPr>
            </w:pPr>
            <w:r w:rsidRPr="00990D3B">
              <w:rPr>
                <w:rFonts w:ascii="Arial" w:hAnsi="Arial" w:cs="Arial"/>
                <w:kern w:val="24"/>
                <w:sz w:val="18"/>
                <w:szCs w:val="18"/>
              </w:rPr>
              <w:t>X</w:t>
            </w:r>
          </w:p>
        </w:tc>
      </w:tr>
      <w:tr w14:paraId="52D0CB48" w14:textId="77777777" w:rsidTr="00363B07">
        <w:tblPrEx>
          <w:tblW w:w="5000" w:type="pct"/>
          <w:shd w:val="clear" w:color="auto" w:fill="FFFFFF" w:themeFill="background1"/>
          <w:tblCellMar>
            <w:left w:w="0" w:type="dxa"/>
            <w:right w:w="0" w:type="dxa"/>
          </w:tblCellMar>
          <w:tblLook w:val="0420"/>
        </w:tblPrEx>
        <w:trPr>
          <w:trHeight w:val="20"/>
        </w:trPr>
        <w:tc>
          <w:tcPr>
            <w:tcW w:w="2186" w:type="pct"/>
            <w:shd w:val="clear" w:color="auto" w:fill="FFFFFF" w:themeFill="background1"/>
            <w:tcMar>
              <w:top w:w="72" w:type="dxa"/>
              <w:left w:w="144" w:type="dxa"/>
              <w:bottom w:w="72" w:type="dxa"/>
              <w:right w:w="144" w:type="dxa"/>
            </w:tcMar>
            <w:hideMark/>
          </w:tcPr>
          <w:p w:rsidR="00F05409" w:rsidRPr="00990D3B" w:rsidP="00BD1FC3" w14:paraId="03243C2B" w14:textId="77777777">
            <w:pPr>
              <w:spacing w:after="0" w:line="240" w:lineRule="auto"/>
              <w:rPr>
                <w:rFonts w:asciiTheme="majorHAnsi" w:hAnsiTheme="majorHAnsi" w:cstheme="majorHAnsi"/>
                <w:sz w:val="18"/>
                <w:szCs w:val="18"/>
              </w:rPr>
            </w:pPr>
            <w:r w:rsidRPr="00990D3B">
              <w:rPr>
                <w:rFonts w:asciiTheme="majorHAnsi" w:hAnsiTheme="majorHAnsi" w:cstheme="majorHAnsi"/>
                <w:kern w:val="24"/>
                <w:sz w:val="18"/>
                <w:szCs w:val="18"/>
              </w:rPr>
              <w:t>§438.224 Confidentiality</w:t>
            </w:r>
          </w:p>
        </w:tc>
        <w:tc>
          <w:tcPr>
            <w:tcW w:w="939" w:type="pct"/>
            <w:shd w:val="clear" w:color="auto" w:fill="FFFFFF" w:themeFill="background1"/>
            <w:tcMar>
              <w:top w:w="72" w:type="dxa"/>
              <w:left w:w="144" w:type="dxa"/>
              <w:bottom w:w="72" w:type="dxa"/>
              <w:right w:w="144" w:type="dxa"/>
            </w:tcMar>
          </w:tcPr>
          <w:p w:rsidR="00F05409" w:rsidRPr="00990D3B" w:rsidP="00BD1FC3" w14:paraId="2024E8EF" w14:textId="77777777">
            <w:pPr>
              <w:spacing w:after="0" w:line="240" w:lineRule="auto"/>
              <w:jc w:val="center"/>
              <w:rPr>
                <w:rFonts w:asciiTheme="majorHAnsi" w:hAnsiTheme="majorHAnsi" w:cstheme="majorHAnsi"/>
                <w:sz w:val="18"/>
                <w:szCs w:val="18"/>
              </w:rPr>
            </w:pPr>
          </w:p>
        </w:tc>
        <w:tc>
          <w:tcPr>
            <w:tcW w:w="938" w:type="pct"/>
            <w:shd w:val="clear" w:color="auto" w:fill="FFFFFF" w:themeFill="background1"/>
          </w:tcPr>
          <w:p w:rsidR="00F05409" w:rsidRPr="00990D3B" w:rsidP="00BD1FC3" w14:paraId="4308CBDA" w14:textId="77777777">
            <w:pPr>
              <w:spacing w:after="0" w:line="240" w:lineRule="auto"/>
              <w:jc w:val="center"/>
              <w:rPr>
                <w:rFonts w:asciiTheme="majorHAnsi" w:hAnsiTheme="majorHAnsi" w:cstheme="majorHAnsi"/>
                <w:kern w:val="24"/>
                <w:sz w:val="18"/>
                <w:szCs w:val="18"/>
              </w:rPr>
            </w:pPr>
          </w:p>
        </w:tc>
        <w:tc>
          <w:tcPr>
            <w:tcW w:w="937" w:type="pct"/>
            <w:shd w:val="clear" w:color="auto" w:fill="FFFFFF" w:themeFill="background1"/>
          </w:tcPr>
          <w:p w:rsidR="00F05409" w:rsidRPr="00990D3B" w:rsidP="00BD1FC3" w14:paraId="43814F6C" w14:textId="7D68330E">
            <w:pPr>
              <w:spacing w:after="0" w:line="240" w:lineRule="auto"/>
              <w:jc w:val="center"/>
              <w:rPr>
                <w:rFonts w:asciiTheme="majorHAnsi" w:hAnsiTheme="majorHAnsi" w:cstheme="majorHAnsi"/>
                <w:kern w:val="24"/>
                <w:sz w:val="18"/>
                <w:szCs w:val="18"/>
              </w:rPr>
            </w:pPr>
            <w:r w:rsidRPr="00990D3B">
              <w:rPr>
                <w:rFonts w:ascii="Arial" w:hAnsi="Arial" w:cs="Arial"/>
                <w:kern w:val="24"/>
                <w:sz w:val="18"/>
                <w:szCs w:val="18"/>
              </w:rPr>
              <w:t>X</w:t>
            </w:r>
          </w:p>
        </w:tc>
      </w:tr>
      <w:tr w14:paraId="63B9149A" w14:textId="77777777" w:rsidTr="00363B07">
        <w:tblPrEx>
          <w:tblW w:w="5000" w:type="pct"/>
          <w:shd w:val="clear" w:color="auto" w:fill="FFFFFF" w:themeFill="background1"/>
          <w:tblCellMar>
            <w:left w:w="0" w:type="dxa"/>
            <w:right w:w="0" w:type="dxa"/>
          </w:tblCellMar>
          <w:tblLook w:val="0420"/>
        </w:tblPrEx>
        <w:trPr>
          <w:trHeight w:val="20"/>
        </w:trPr>
        <w:tc>
          <w:tcPr>
            <w:tcW w:w="2186" w:type="pct"/>
            <w:shd w:val="clear" w:color="auto" w:fill="FFFFFF" w:themeFill="background1"/>
            <w:tcMar>
              <w:top w:w="72" w:type="dxa"/>
              <w:left w:w="144" w:type="dxa"/>
              <w:bottom w:w="72" w:type="dxa"/>
              <w:right w:w="144" w:type="dxa"/>
            </w:tcMar>
            <w:hideMark/>
          </w:tcPr>
          <w:p w:rsidR="00F05409" w:rsidRPr="00990D3B" w:rsidP="00BD1FC3" w14:paraId="2F137C53" w14:textId="77777777">
            <w:pPr>
              <w:spacing w:after="0" w:line="240" w:lineRule="auto"/>
              <w:rPr>
                <w:rFonts w:asciiTheme="majorHAnsi" w:hAnsiTheme="majorHAnsi" w:cstheme="majorHAnsi"/>
                <w:sz w:val="18"/>
                <w:szCs w:val="18"/>
              </w:rPr>
            </w:pPr>
            <w:r w:rsidRPr="00990D3B">
              <w:rPr>
                <w:rFonts w:asciiTheme="majorHAnsi" w:hAnsiTheme="majorHAnsi" w:cstheme="majorHAnsi"/>
                <w:kern w:val="24"/>
                <w:sz w:val="18"/>
                <w:szCs w:val="18"/>
              </w:rPr>
              <w:t xml:space="preserve">§438.230 </w:t>
            </w:r>
            <w:r w:rsidRPr="00990D3B">
              <w:rPr>
                <w:rFonts w:asciiTheme="majorHAnsi" w:hAnsiTheme="majorHAnsi" w:cstheme="majorHAnsi"/>
                <w:kern w:val="24"/>
                <w:sz w:val="18"/>
                <w:szCs w:val="18"/>
              </w:rPr>
              <w:t>Subcontractual</w:t>
            </w:r>
            <w:r w:rsidRPr="00990D3B">
              <w:rPr>
                <w:rFonts w:asciiTheme="majorHAnsi" w:hAnsiTheme="majorHAnsi" w:cstheme="majorHAnsi"/>
                <w:kern w:val="24"/>
                <w:sz w:val="18"/>
                <w:szCs w:val="18"/>
              </w:rPr>
              <w:t xml:space="preserve"> Relationships and Delegation</w:t>
            </w:r>
          </w:p>
        </w:tc>
        <w:tc>
          <w:tcPr>
            <w:tcW w:w="939" w:type="pct"/>
            <w:shd w:val="clear" w:color="auto" w:fill="FFFFFF" w:themeFill="background1"/>
            <w:tcMar>
              <w:top w:w="72" w:type="dxa"/>
              <w:left w:w="144" w:type="dxa"/>
              <w:bottom w:w="72" w:type="dxa"/>
              <w:right w:w="144" w:type="dxa"/>
            </w:tcMar>
          </w:tcPr>
          <w:p w:rsidR="00F05409" w:rsidRPr="00990D3B" w:rsidP="00BD1FC3" w14:paraId="19953699" w14:textId="217B9068">
            <w:pPr>
              <w:spacing w:after="0" w:line="240" w:lineRule="auto"/>
              <w:jc w:val="center"/>
              <w:rPr>
                <w:rFonts w:asciiTheme="majorHAnsi" w:hAnsiTheme="majorHAnsi" w:cstheme="majorHAnsi"/>
                <w:sz w:val="18"/>
                <w:szCs w:val="18"/>
              </w:rPr>
            </w:pPr>
            <w:r w:rsidRPr="00990D3B">
              <w:rPr>
                <w:rFonts w:ascii="Arial" w:hAnsi="Arial" w:cs="Arial"/>
                <w:kern w:val="24"/>
                <w:sz w:val="18"/>
                <w:szCs w:val="18"/>
              </w:rPr>
              <w:t>X</w:t>
            </w:r>
          </w:p>
        </w:tc>
        <w:tc>
          <w:tcPr>
            <w:tcW w:w="938" w:type="pct"/>
            <w:shd w:val="clear" w:color="auto" w:fill="FFFFFF" w:themeFill="background1"/>
          </w:tcPr>
          <w:p w:rsidR="00F05409" w:rsidRPr="00990D3B" w:rsidP="00BD1FC3" w14:paraId="0C5C5923" w14:textId="77777777">
            <w:pPr>
              <w:spacing w:after="0" w:line="240" w:lineRule="auto"/>
              <w:jc w:val="center"/>
              <w:rPr>
                <w:rFonts w:asciiTheme="majorHAnsi" w:hAnsiTheme="majorHAnsi" w:cstheme="majorHAnsi"/>
                <w:kern w:val="24"/>
                <w:sz w:val="18"/>
                <w:szCs w:val="18"/>
              </w:rPr>
            </w:pPr>
          </w:p>
        </w:tc>
        <w:tc>
          <w:tcPr>
            <w:tcW w:w="937" w:type="pct"/>
            <w:shd w:val="clear" w:color="auto" w:fill="FFFFFF" w:themeFill="background1"/>
          </w:tcPr>
          <w:p w:rsidR="00F05409" w:rsidRPr="00990D3B" w:rsidP="00BD1FC3" w14:paraId="4DD4471D" w14:textId="77777777">
            <w:pPr>
              <w:spacing w:after="0" w:line="240" w:lineRule="auto"/>
              <w:jc w:val="center"/>
              <w:rPr>
                <w:rFonts w:asciiTheme="majorHAnsi" w:hAnsiTheme="majorHAnsi" w:cstheme="majorHAnsi"/>
                <w:kern w:val="24"/>
                <w:sz w:val="18"/>
                <w:szCs w:val="18"/>
              </w:rPr>
            </w:pPr>
          </w:p>
        </w:tc>
      </w:tr>
      <w:tr w14:paraId="4CC60BE0" w14:textId="77777777" w:rsidTr="00363B07">
        <w:tblPrEx>
          <w:tblW w:w="5000" w:type="pct"/>
          <w:shd w:val="clear" w:color="auto" w:fill="FFFFFF" w:themeFill="background1"/>
          <w:tblCellMar>
            <w:left w:w="0" w:type="dxa"/>
            <w:right w:w="0" w:type="dxa"/>
          </w:tblCellMar>
          <w:tblLook w:val="0420"/>
        </w:tblPrEx>
        <w:trPr>
          <w:trHeight w:val="178"/>
        </w:trPr>
        <w:tc>
          <w:tcPr>
            <w:tcW w:w="2186" w:type="pct"/>
            <w:shd w:val="clear" w:color="auto" w:fill="FFFFFF" w:themeFill="background1"/>
            <w:tcMar>
              <w:top w:w="72" w:type="dxa"/>
              <w:left w:w="144" w:type="dxa"/>
              <w:bottom w:w="72" w:type="dxa"/>
              <w:right w:w="144" w:type="dxa"/>
            </w:tcMar>
            <w:hideMark/>
          </w:tcPr>
          <w:p w:rsidR="00F05409" w:rsidRPr="00990D3B" w:rsidP="00BD1FC3" w14:paraId="4E583575" w14:textId="77777777">
            <w:pPr>
              <w:spacing w:after="0" w:line="240" w:lineRule="auto"/>
              <w:rPr>
                <w:rFonts w:asciiTheme="majorHAnsi" w:hAnsiTheme="majorHAnsi" w:cstheme="majorHAnsi"/>
                <w:sz w:val="18"/>
                <w:szCs w:val="18"/>
              </w:rPr>
            </w:pPr>
            <w:r w:rsidRPr="00990D3B">
              <w:rPr>
                <w:rFonts w:asciiTheme="majorHAnsi" w:hAnsiTheme="majorHAnsi" w:cstheme="majorHAnsi"/>
                <w:kern w:val="24"/>
                <w:sz w:val="18"/>
                <w:szCs w:val="18"/>
              </w:rPr>
              <w:t>§438.228 Grievance and Appeal Systems</w:t>
            </w:r>
          </w:p>
        </w:tc>
        <w:tc>
          <w:tcPr>
            <w:tcW w:w="939" w:type="pct"/>
            <w:shd w:val="clear" w:color="auto" w:fill="FFFFFF" w:themeFill="background1"/>
            <w:tcMar>
              <w:top w:w="72" w:type="dxa"/>
              <w:left w:w="144" w:type="dxa"/>
              <w:bottom w:w="72" w:type="dxa"/>
              <w:right w:w="144" w:type="dxa"/>
            </w:tcMar>
          </w:tcPr>
          <w:p w:rsidR="00F05409" w:rsidRPr="00990D3B" w:rsidP="00BD1FC3" w14:paraId="2907975B" w14:textId="77777777">
            <w:pPr>
              <w:spacing w:after="0" w:line="240" w:lineRule="auto"/>
              <w:jc w:val="center"/>
              <w:rPr>
                <w:rFonts w:asciiTheme="majorHAnsi" w:hAnsiTheme="majorHAnsi" w:cstheme="majorHAnsi"/>
                <w:sz w:val="18"/>
                <w:szCs w:val="18"/>
              </w:rPr>
            </w:pPr>
          </w:p>
        </w:tc>
        <w:tc>
          <w:tcPr>
            <w:tcW w:w="938" w:type="pct"/>
            <w:shd w:val="clear" w:color="auto" w:fill="FFFFFF" w:themeFill="background1"/>
          </w:tcPr>
          <w:p w:rsidR="00F05409" w:rsidRPr="00990D3B" w:rsidP="00BD1FC3" w14:paraId="23464D56" w14:textId="1C5FA40D">
            <w:pPr>
              <w:spacing w:after="0" w:line="240" w:lineRule="auto"/>
              <w:jc w:val="center"/>
              <w:rPr>
                <w:rFonts w:asciiTheme="majorHAnsi" w:hAnsiTheme="majorHAnsi" w:cstheme="majorHAnsi"/>
                <w:kern w:val="24"/>
                <w:sz w:val="18"/>
                <w:szCs w:val="18"/>
              </w:rPr>
            </w:pPr>
            <w:r w:rsidRPr="00990D3B">
              <w:rPr>
                <w:rFonts w:ascii="Arial" w:hAnsi="Arial" w:cs="Arial"/>
                <w:kern w:val="24"/>
                <w:sz w:val="18"/>
                <w:szCs w:val="18"/>
              </w:rPr>
              <w:t>X</w:t>
            </w:r>
          </w:p>
        </w:tc>
        <w:tc>
          <w:tcPr>
            <w:tcW w:w="937" w:type="pct"/>
            <w:shd w:val="clear" w:color="auto" w:fill="FFFFFF" w:themeFill="background1"/>
          </w:tcPr>
          <w:p w:rsidR="00F05409" w:rsidRPr="00990D3B" w:rsidP="00BD1FC3" w14:paraId="5B119676" w14:textId="77777777">
            <w:pPr>
              <w:spacing w:after="0" w:line="240" w:lineRule="auto"/>
              <w:jc w:val="center"/>
              <w:rPr>
                <w:rFonts w:asciiTheme="majorHAnsi" w:hAnsiTheme="majorHAnsi" w:cstheme="majorHAnsi"/>
                <w:kern w:val="24"/>
                <w:sz w:val="18"/>
                <w:szCs w:val="18"/>
              </w:rPr>
            </w:pPr>
          </w:p>
        </w:tc>
      </w:tr>
      <w:tr w14:paraId="65331F1D" w14:textId="77777777" w:rsidTr="00363B07">
        <w:tblPrEx>
          <w:tblW w:w="5000" w:type="pct"/>
          <w:shd w:val="clear" w:color="auto" w:fill="FFFFFF" w:themeFill="background1"/>
          <w:tblCellMar>
            <w:left w:w="0" w:type="dxa"/>
            <w:right w:w="0" w:type="dxa"/>
          </w:tblCellMar>
          <w:tblLook w:val="0420"/>
        </w:tblPrEx>
        <w:trPr>
          <w:trHeight w:val="232"/>
        </w:trPr>
        <w:tc>
          <w:tcPr>
            <w:tcW w:w="2186" w:type="pct"/>
            <w:shd w:val="clear" w:color="auto" w:fill="FFFFFF" w:themeFill="background1"/>
            <w:tcMar>
              <w:top w:w="72" w:type="dxa"/>
              <w:left w:w="144" w:type="dxa"/>
              <w:bottom w:w="72" w:type="dxa"/>
              <w:right w:w="144" w:type="dxa"/>
            </w:tcMar>
            <w:hideMark/>
          </w:tcPr>
          <w:p w:rsidR="00F05409" w:rsidRPr="00990D3B" w:rsidP="00BD1FC3" w14:paraId="64C27680" w14:textId="77777777">
            <w:pPr>
              <w:spacing w:after="0" w:line="240" w:lineRule="auto"/>
              <w:rPr>
                <w:rFonts w:asciiTheme="majorHAnsi" w:hAnsiTheme="majorHAnsi" w:cstheme="majorHAnsi"/>
                <w:sz w:val="18"/>
                <w:szCs w:val="18"/>
              </w:rPr>
            </w:pPr>
            <w:r w:rsidRPr="00990D3B">
              <w:rPr>
                <w:rFonts w:asciiTheme="majorHAnsi" w:hAnsiTheme="majorHAnsi" w:cstheme="majorHAnsi"/>
                <w:kern w:val="24"/>
                <w:sz w:val="18"/>
                <w:szCs w:val="18"/>
              </w:rPr>
              <w:t>§438.236 Practice Guidelines</w:t>
            </w:r>
          </w:p>
        </w:tc>
        <w:tc>
          <w:tcPr>
            <w:tcW w:w="939" w:type="pct"/>
            <w:shd w:val="clear" w:color="auto" w:fill="FFFFFF" w:themeFill="background1"/>
            <w:tcMar>
              <w:top w:w="72" w:type="dxa"/>
              <w:left w:w="144" w:type="dxa"/>
              <w:bottom w:w="72" w:type="dxa"/>
              <w:right w:w="144" w:type="dxa"/>
            </w:tcMar>
          </w:tcPr>
          <w:p w:rsidR="00F05409" w:rsidRPr="00990D3B" w:rsidP="00BD1FC3" w14:paraId="1348FC72" w14:textId="1C253807">
            <w:pPr>
              <w:spacing w:after="0" w:line="240" w:lineRule="auto"/>
              <w:jc w:val="center"/>
              <w:rPr>
                <w:rFonts w:asciiTheme="majorHAnsi" w:hAnsiTheme="majorHAnsi" w:cstheme="majorHAnsi"/>
                <w:sz w:val="18"/>
                <w:szCs w:val="18"/>
              </w:rPr>
            </w:pPr>
            <w:r w:rsidRPr="00990D3B">
              <w:rPr>
                <w:rFonts w:ascii="Arial" w:hAnsi="Arial" w:cs="Arial"/>
                <w:kern w:val="24"/>
                <w:sz w:val="18"/>
                <w:szCs w:val="18"/>
              </w:rPr>
              <w:t>X</w:t>
            </w:r>
          </w:p>
        </w:tc>
        <w:tc>
          <w:tcPr>
            <w:tcW w:w="938" w:type="pct"/>
            <w:shd w:val="clear" w:color="auto" w:fill="FFFFFF" w:themeFill="background1"/>
          </w:tcPr>
          <w:p w:rsidR="00F05409" w:rsidRPr="00990D3B" w:rsidP="00BD1FC3" w14:paraId="72096320" w14:textId="77777777">
            <w:pPr>
              <w:spacing w:after="0" w:line="240" w:lineRule="auto"/>
              <w:jc w:val="center"/>
              <w:rPr>
                <w:rFonts w:asciiTheme="majorHAnsi" w:hAnsiTheme="majorHAnsi" w:cstheme="majorHAnsi"/>
                <w:kern w:val="24"/>
                <w:sz w:val="18"/>
                <w:szCs w:val="18"/>
              </w:rPr>
            </w:pPr>
          </w:p>
        </w:tc>
        <w:tc>
          <w:tcPr>
            <w:tcW w:w="937" w:type="pct"/>
            <w:shd w:val="clear" w:color="auto" w:fill="FFFFFF" w:themeFill="background1"/>
          </w:tcPr>
          <w:p w:rsidR="00F05409" w:rsidRPr="00990D3B" w:rsidP="00BD1FC3" w14:paraId="6D2CA7ED" w14:textId="77777777">
            <w:pPr>
              <w:spacing w:after="0" w:line="240" w:lineRule="auto"/>
              <w:jc w:val="center"/>
              <w:rPr>
                <w:rFonts w:asciiTheme="majorHAnsi" w:hAnsiTheme="majorHAnsi" w:cstheme="majorHAnsi"/>
                <w:kern w:val="24"/>
                <w:sz w:val="18"/>
                <w:szCs w:val="18"/>
              </w:rPr>
            </w:pPr>
          </w:p>
        </w:tc>
      </w:tr>
      <w:tr w14:paraId="24B682A7" w14:textId="77777777" w:rsidTr="00363B07">
        <w:tblPrEx>
          <w:tblW w:w="5000" w:type="pct"/>
          <w:shd w:val="clear" w:color="auto" w:fill="FFFFFF" w:themeFill="background1"/>
          <w:tblCellMar>
            <w:left w:w="0" w:type="dxa"/>
            <w:right w:w="0" w:type="dxa"/>
          </w:tblCellMar>
          <w:tblLook w:val="0420"/>
        </w:tblPrEx>
        <w:trPr>
          <w:trHeight w:val="196"/>
        </w:trPr>
        <w:tc>
          <w:tcPr>
            <w:tcW w:w="2186" w:type="pct"/>
            <w:shd w:val="clear" w:color="auto" w:fill="FFFFFF" w:themeFill="background1"/>
            <w:tcMar>
              <w:top w:w="72" w:type="dxa"/>
              <w:left w:w="144" w:type="dxa"/>
              <w:bottom w:w="72" w:type="dxa"/>
              <w:right w:w="144" w:type="dxa"/>
            </w:tcMar>
            <w:hideMark/>
          </w:tcPr>
          <w:p w:rsidR="00F05409" w:rsidRPr="00990D3B" w:rsidP="00BD1FC3" w14:paraId="753D8AA7" w14:textId="77777777">
            <w:pPr>
              <w:spacing w:after="0" w:line="240" w:lineRule="auto"/>
              <w:rPr>
                <w:rFonts w:asciiTheme="majorHAnsi" w:hAnsiTheme="majorHAnsi" w:cstheme="majorHAnsi"/>
                <w:sz w:val="18"/>
                <w:szCs w:val="18"/>
              </w:rPr>
            </w:pPr>
            <w:r w:rsidRPr="00990D3B">
              <w:rPr>
                <w:rFonts w:asciiTheme="majorHAnsi" w:hAnsiTheme="majorHAnsi" w:cstheme="majorHAnsi"/>
                <w:kern w:val="24"/>
                <w:sz w:val="18"/>
                <w:szCs w:val="18"/>
              </w:rPr>
              <w:t>§438.242 Health Information Systems</w:t>
            </w:r>
          </w:p>
        </w:tc>
        <w:tc>
          <w:tcPr>
            <w:tcW w:w="939" w:type="pct"/>
            <w:shd w:val="clear" w:color="auto" w:fill="FFFFFF" w:themeFill="background1"/>
            <w:tcMar>
              <w:top w:w="72" w:type="dxa"/>
              <w:left w:w="144" w:type="dxa"/>
              <w:bottom w:w="72" w:type="dxa"/>
              <w:right w:w="144" w:type="dxa"/>
            </w:tcMar>
          </w:tcPr>
          <w:p w:rsidR="00F05409" w:rsidRPr="00990D3B" w:rsidP="00BD1FC3" w14:paraId="54FD10D1" w14:textId="77777777">
            <w:pPr>
              <w:spacing w:after="0" w:line="240" w:lineRule="auto"/>
              <w:jc w:val="center"/>
              <w:rPr>
                <w:rFonts w:asciiTheme="majorHAnsi" w:hAnsiTheme="majorHAnsi" w:cstheme="majorHAnsi"/>
                <w:sz w:val="18"/>
                <w:szCs w:val="18"/>
              </w:rPr>
            </w:pPr>
          </w:p>
        </w:tc>
        <w:tc>
          <w:tcPr>
            <w:tcW w:w="938" w:type="pct"/>
            <w:shd w:val="clear" w:color="auto" w:fill="FFFFFF" w:themeFill="background1"/>
          </w:tcPr>
          <w:p w:rsidR="00F05409" w:rsidRPr="00990D3B" w:rsidP="00BD1FC3" w14:paraId="0B7B0E5A" w14:textId="5AE32BF3">
            <w:pPr>
              <w:spacing w:after="0" w:line="240" w:lineRule="auto"/>
              <w:jc w:val="center"/>
              <w:rPr>
                <w:rFonts w:asciiTheme="majorHAnsi" w:hAnsiTheme="majorHAnsi" w:cstheme="majorHAnsi"/>
                <w:kern w:val="24"/>
                <w:sz w:val="18"/>
                <w:szCs w:val="18"/>
              </w:rPr>
            </w:pPr>
            <w:r w:rsidRPr="00990D3B">
              <w:rPr>
                <w:rFonts w:ascii="Arial" w:hAnsi="Arial" w:cs="Arial"/>
                <w:kern w:val="24"/>
                <w:sz w:val="18"/>
                <w:szCs w:val="18"/>
              </w:rPr>
              <w:t>X</w:t>
            </w:r>
          </w:p>
        </w:tc>
        <w:tc>
          <w:tcPr>
            <w:tcW w:w="937" w:type="pct"/>
            <w:shd w:val="clear" w:color="auto" w:fill="FFFFFF" w:themeFill="background1"/>
          </w:tcPr>
          <w:p w:rsidR="00F05409" w:rsidRPr="00990D3B" w:rsidP="00BD1FC3" w14:paraId="0AE23FCE" w14:textId="77777777">
            <w:pPr>
              <w:spacing w:after="0" w:line="240" w:lineRule="auto"/>
              <w:jc w:val="center"/>
              <w:rPr>
                <w:rFonts w:asciiTheme="majorHAnsi" w:hAnsiTheme="majorHAnsi" w:cstheme="majorHAnsi"/>
                <w:kern w:val="24"/>
                <w:sz w:val="18"/>
                <w:szCs w:val="18"/>
              </w:rPr>
            </w:pPr>
          </w:p>
        </w:tc>
      </w:tr>
      <w:tr w14:paraId="3BE7D56A" w14:textId="77777777" w:rsidTr="00363B07">
        <w:tblPrEx>
          <w:tblW w:w="5000" w:type="pct"/>
          <w:shd w:val="clear" w:color="auto" w:fill="FFFFFF" w:themeFill="background1"/>
          <w:tblCellMar>
            <w:left w:w="0" w:type="dxa"/>
            <w:right w:w="0" w:type="dxa"/>
          </w:tblCellMar>
          <w:tblLook w:val="0420"/>
        </w:tblPrEx>
        <w:trPr>
          <w:trHeight w:val="79"/>
        </w:trPr>
        <w:tc>
          <w:tcPr>
            <w:tcW w:w="2186" w:type="pct"/>
            <w:shd w:val="clear" w:color="auto" w:fill="FFFFFF" w:themeFill="background1"/>
            <w:tcMar>
              <w:top w:w="72" w:type="dxa"/>
              <w:left w:w="144" w:type="dxa"/>
              <w:bottom w:w="72" w:type="dxa"/>
              <w:right w:w="144" w:type="dxa"/>
            </w:tcMar>
            <w:hideMark/>
          </w:tcPr>
          <w:p w:rsidR="00F05409" w:rsidRPr="00990D3B" w:rsidP="00BD1FC3" w14:paraId="08BEF8B8" w14:textId="77777777">
            <w:pPr>
              <w:spacing w:after="0" w:line="240" w:lineRule="auto"/>
              <w:rPr>
                <w:rFonts w:asciiTheme="majorHAnsi" w:hAnsiTheme="majorHAnsi" w:cstheme="majorHAnsi"/>
                <w:sz w:val="18"/>
                <w:szCs w:val="18"/>
              </w:rPr>
            </w:pPr>
            <w:r w:rsidRPr="00990D3B">
              <w:rPr>
                <w:rFonts w:asciiTheme="majorHAnsi" w:hAnsiTheme="majorHAnsi" w:cstheme="majorHAnsi"/>
                <w:kern w:val="24"/>
                <w:sz w:val="18"/>
                <w:szCs w:val="18"/>
              </w:rPr>
              <w:t>§438.330 QAPI</w:t>
            </w:r>
          </w:p>
        </w:tc>
        <w:tc>
          <w:tcPr>
            <w:tcW w:w="939" w:type="pct"/>
            <w:shd w:val="clear" w:color="auto" w:fill="FFFFFF" w:themeFill="background1"/>
            <w:tcMar>
              <w:top w:w="72" w:type="dxa"/>
              <w:left w:w="144" w:type="dxa"/>
              <w:bottom w:w="72" w:type="dxa"/>
              <w:right w:w="144" w:type="dxa"/>
            </w:tcMar>
          </w:tcPr>
          <w:p w:rsidR="00F05409" w:rsidRPr="00990D3B" w:rsidP="00BD1FC3" w14:paraId="2158593A" w14:textId="77777777">
            <w:pPr>
              <w:spacing w:after="0" w:line="240" w:lineRule="auto"/>
              <w:jc w:val="center"/>
              <w:rPr>
                <w:rFonts w:asciiTheme="majorHAnsi" w:hAnsiTheme="majorHAnsi" w:cstheme="majorHAnsi"/>
                <w:sz w:val="18"/>
                <w:szCs w:val="18"/>
              </w:rPr>
            </w:pPr>
          </w:p>
        </w:tc>
        <w:tc>
          <w:tcPr>
            <w:tcW w:w="938" w:type="pct"/>
            <w:shd w:val="clear" w:color="auto" w:fill="FFFFFF" w:themeFill="background1"/>
          </w:tcPr>
          <w:p w:rsidR="00F05409" w:rsidRPr="00990D3B" w:rsidP="00BD1FC3" w14:paraId="5563CA41" w14:textId="5819E716">
            <w:pPr>
              <w:spacing w:after="0" w:line="240" w:lineRule="auto"/>
              <w:jc w:val="center"/>
              <w:rPr>
                <w:rFonts w:asciiTheme="majorHAnsi" w:hAnsiTheme="majorHAnsi" w:cstheme="majorHAnsi"/>
                <w:kern w:val="24"/>
                <w:sz w:val="18"/>
                <w:szCs w:val="18"/>
              </w:rPr>
            </w:pPr>
            <w:r w:rsidRPr="00990D3B">
              <w:rPr>
                <w:rFonts w:ascii="Arial" w:hAnsi="Arial" w:cs="Arial"/>
                <w:kern w:val="24"/>
                <w:sz w:val="18"/>
                <w:szCs w:val="18"/>
              </w:rPr>
              <w:t>X</w:t>
            </w:r>
          </w:p>
        </w:tc>
        <w:tc>
          <w:tcPr>
            <w:tcW w:w="937" w:type="pct"/>
            <w:shd w:val="clear" w:color="auto" w:fill="FFFFFF" w:themeFill="background1"/>
          </w:tcPr>
          <w:p w:rsidR="00F05409" w:rsidRPr="00990D3B" w:rsidP="00BD1FC3" w14:paraId="705304B0" w14:textId="77777777">
            <w:pPr>
              <w:spacing w:after="0" w:line="240" w:lineRule="auto"/>
              <w:jc w:val="center"/>
              <w:rPr>
                <w:rFonts w:asciiTheme="majorHAnsi" w:hAnsiTheme="majorHAnsi" w:cstheme="majorHAnsi"/>
                <w:kern w:val="24"/>
                <w:sz w:val="18"/>
                <w:szCs w:val="18"/>
              </w:rPr>
            </w:pPr>
          </w:p>
        </w:tc>
      </w:tr>
    </w:tbl>
    <w:p w:rsidR="00F05409" w:rsidRPr="00990D3B" w:rsidP="00BD1FC3" w14:paraId="08DA233B" w14:textId="77777777"/>
    <w:p w:rsidR="00F05409" w:rsidRPr="00990D3B" w:rsidP="002B40CC" w14:paraId="2734073F" w14:textId="62B52F93">
      <w:pPr>
        <w:pStyle w:val="H2EQRWorksheet"/>
      </w:pPr>
      <w:r w:rsidRPr="00990D3B">
        <w:t>Template 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1526"/>
        <w:gridCol w:w="7824"/>
      </w:tblGrid>
      <w:tr w14:paraId="4CCEC5C0" w14:textId="77777777" w:rsidTr="00E1499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Ex>
        <w:trPr>
          <w:trHeight w:val="151"/>
          <w:tblHeader/>
        </w:trPr>
        <w:tc>
          <w:tcPr>
            <w:tcW w:w="816" w:type="pct"/>
            <w:shd w:val="clear" w:color="auto" w:fill="FFFFFF" w:themeFill="background1"/>
            <w:tcMar>
              <w:top w:w="72" w:type="dxa"/>
              <w:left w:w="144" w:type="dxa"/>
              <w:bottom w:w="72" w:type="dxa"/>
              <w:right w:w="144" w:type="dxa"/>
            </w:tcMar>
            <w:vAlign w:val="bottom"/>
            <w:hideMark/>
          </w:tcPr>
          <w:p w:rsidR="00F05409" w:rsidRPr="00990D3B" w:rsidP="00E84B60" w14:paraId="6E3A616C" w14:textId="77777777">
            <w:pPr>
              <w:pStyle w:val="EQRTableHeaderLeft"/>
              <w:rPr>
                <w:color w:val="auto"/>
              </w:rPr>
            </w:pPr>
            <w:r w:rsidRPr="00990D3B">
              <w:rPr>
                <w:color w:val="auto"/>
              </w:rPr>
              <w:t>MCP</w:t>
            </w:r>
          </w:p>
        </w:tc>
        <w:tc>
          <w:tcPr>
            <w:tcW w:w="4184" w:type="pct"/>
            <w:shd w:val="clear" w:color="auto" w:fill="FFFFFF" w:themeFill="background1"/>
            <w:tcMar>
              <w:top w:w="72" w:type="dxa"/>
              <w:left w:w="144" w:type="dxa"/>
              <w:bottom w:w="72" w:type="dxa"/>
              <w:right w:w="144" w:type="dxa"/>
            </w:tcMar>
            <w:vAlign w:val="bottom"/>
            <w:hideMark/>
          </w:tcPr>
          <w:p w:rsidR="00F05409" w:rsidRPr="00990D3B" w:rsidP="00D12283" w14:paraId="50B86385" w14:textId="6AFD2709">
            <w:pPr>
              <w:pStyle w:val="EQRTableHeaderCenter"/>
              <w:rPr>
                <w:color w:val="auto"/>
              </w:rPr>
            </w:pPr>
            <w:r w:rsidRPr="00990D3B">
              <w:rPr>
                <w:color w:val="auto"/>
              </w:rPr>
              <w:t>Year</w:t>
            </w:r>
            <w:r w:rsidRPr="00990D3B" w:rsidR="001D5300">
              <w:rPr>
                <w:color w:val="auto"/>
              </w:rPr>
              <w:t xml:space="preserve"> l</w:t>
            </w:r>
            <w:r w:rsidRPr="00990D3B">
              <w:rPr>
                <w:color w:val="auto"/>
              </w:rPr>
              <w:t xml:space="preserve">ast </w:t>
            </w:r>
            <w:r w:rsidRPr="00990D3B" w:rsidR="001D5300">
              <w:rPr>
                <w:color w:val="auto"/>
              </w:rPr>
              <w:t>r</w:t>
            </w:r>
            <w:r w:rsidRPr="00990D3B">
              <w:rPr>
                <w:color w:val="auto"/>
              </w:rPr>
              <w:t>eviewed</w:t>
            </w:r>
          </w:p>
        </w:tc>
      </w:tr>
      <w:tr w14:paraId="6BC1C939" w14:textId="77777777" w:rsidTr="00E14994">
        <w:tblPrEx>
          <w:tblW w:w="5000" w:type="pct"/>
          <w:shd w:val="clear" w:color="auto" w:fill="FFFFFF" w:themeFill="background1"/>
          <w:tblCellMar>
            <w:left w:w="0" w:type="dxa"/>
            <w:right w:w="0" w:type="dxa"/>
          </w:tblCellMar>
          <w:tblLook w:val="0420"/>
        </w:tblPrEx>
        <w:trPr>
          <w:trHeight w:val="151"/>
        </w:trPr>
        <w:tc>
          <w:tcPr>
            <w:tcW w:w="816" w:type="pct"/>
            <w:shd w:val="clear" w:color="auto" w:fill="FFFFFF" w:themeFill="background1"/>
            <w:tcMar>
              <w:top w:w="72" w:type="dxa"/>
              <w:left w:w="144" w:type="dxa"/>
              <w:bottom w:w="72" w:type="dxa"/>
              <w:right w:w="144" w:type="dxa"/>
            </w:tcMar>
          </w:tcPr>
          <w:p w:rsidR="00F05409" w:rsidRPr="00990D3B" w:rsidP="00BD1FC3" w14:paraId="338527D3" w14:textId="3EB4E891">
            <w:pPr>
              <w:spacing w:after="0" w:line="240" w:lineRule="auto"/>
              <w:rPr>
                <w:rFonts w:ascii="Arial" w:hAnsi="Arial" w:cs="Arial"/>
                <w:kern w:val="24"/>
                <w:sz w:val="18"/>
                <w:szCs w:val="18"/>
              </w:rPr>
            </w:pPr>
            <w:r w:rsidRPr="00990D3B">
              <w:rPr>
                <w:rFonts w:ascii="Arial" w:hAnsi="Arial" w:cs="Arial"/>
                <w:kern w:val="24"/>
                <w:sz w:val="18"/>
                <w:szCs w:val="18"/>
              </w:rPr>
              <w:t xml:space="preserve">Plan </w:t>
            </w:r>
            <w:r w:rsidRPr="00990D3B">
              <w:rPr>
                <w:rFonts w:ascii="Arial" w:hAnsi="Arial" w:cs="Arial"/>
                <w:kern w:val="24"/>
                <w:sz w:val="18"/>
                <w:szCs w:val="18"/>
              </w:rPr>
              <w:t>A</w:t>
            </w:r>
          </w:p>
        </w:tc>
        <w:tc>
          <w:tcPr>
            <w:tcW w:w="4184" w:type="pct"/>
            <w:shd w:val="clear" w:color="auto" w:fill="FFFFFF" w:themeFill="background1"/>
            <w:tcMar>
              <w:top w:w="72" w:type="dxa"/>
              <w:left w:w="144" w:type="dxa"/>
              <w:bottom w:w="72" w:type="dxa"/>
              <w:right w:w="144" w:type="dxa"/>
            </w:tcMar>
            <w:vAlign w:val="bottom"/>
          </w:tcPr>
          <w:p w:rsidR="00F05409" w:rsidRPr="00990D3B" w:rsidP="00BD1FC3" w14:paraId="165591A9" w14:textId="22FAF88E">
            <w:pPr>
              <w:spacing w:after="0" w:line="240" w:lineRule="auto"/>
              <w:rPr>
                <w:rFonts w:ascii="Arial" w:hAnsi="Arial" w:cs="Arial"/>
                <w:kern w:val="24"/>
                <w:sz w:val="18"/>
                <w:szCs w:val="18"/>
              </w:rPr>
            </w:pPr>
            <w:r w:rsidRPr="00990D3B">
              <w:rPr>
                <w:rFonts w:ascii="Arial" w:hAnsi="Arial" w:cs="Arial"/>
                <w:kern w:val="24"/>
                <w:sz w:val="18"/>
                <w:szCs w:val="18"/>
              </w:rPr>
              <w:t>July 2023</w:t>
            </w:r>
            <w:r w:rsidRPr="00990D3B" w:rsidR="00D12283">
              <w:rPr>
                <w:rFonts w:ascii="Arial" w:hAnsi="Arial" w:cs="Arial"/>
                <w:kern w:val="24"/>
                <w:sz w:val="18"/>
                <w:szCs w:val="18"/>
              </w:rPr>
              <w:br/>
            </w:r>
            <w:r w:rsidRPr="00990D3B">
              <w:rPr>
                <w:rFonts w:ascii="Arial" w:hAnsi="Arial" w:cs="Arial"/>
                <w:kern w:val="24"/>
                <w:sz w:val="18"/>
                <w:szCs w:val="18"/>
              </w:rPr>
              <w:t>(RC 2023-2024)</w:t>
            </w:r>
          </w:p>
        </w:tc>
      </w:tr>
      <w:tr w14:paraId="2641209E" w14:textId="77777777" w:rsidTr="00E14994">
        <w:tblPrEx>
          <w:tblW w:w="5000" w:type="pct"/>
          <w:shd w:val="clear" w:color="auto" w:fill="FFFFFF" w:themeFill="background1"/>
          <w:tblCellMar>
            <w:left w:w="0" w:type="dxa"/>
            <w:right w:w="0" w:type="dxa"/>
          </w:tblCellMar>
          <w:tblLook w:val="0420"/>
        </w:tblPrEx>
        <w:trPr>
          <w:trHeight w:val="151"/>
        </w:trPr>
        <w:tc>
          <w:tcPr>
            <w:tcW w:w="816" w:type="pct"/>
            <w:shd w:val="clear" w:color="auto" w:fill="FFFFFF" w:themeFill="background1"/>
            <w:tcMar>
              <w:top w:w="72" w:type="dxa"/>
              <w:left w:w="144" w:type="dxa"/>
              <w:bottom w:w="72" w:type="dxa"/>
              <w:right w:w="144" w:type="dxa"/>
            </w:tcMar>
          </w:tcPr>
          <w:p w:rsidR="00F05409" w:rsidRPr="00990D3B" w:rsidP="00BD1FC3" w14:paraId="04517ED4" w14:textId="0537633D">
            <w:pPr>
              <w:spacing w:after="0" w:line="240" w:lineRule="auto"/>
              <w:rPr>
                <w:rFonts w:ascii="Arial" w:hAnsi="Arial" w:cs="Arial"/>
                <w:kern w:val="24"/>
                <w:sz w:val="18"/>
                <w:szCs w:val="18"/>
              </w:rPr>
            </w:pPr>
            <w:r w:rsidRPr="00990D3B">
              <w:rPr>
                <w:rFonts w:ascii="Arial" w:hAnsi="Arial" w:cs="Arial"/>
                <w:kern w:val="24"/>
                <w:sz w:val="18"/>
                <w:szCs w:val="18"/>
              </w:rPr>
              <w:t xml:space="preserve">Plan </w:t>
            </w:r>
            <w:r w:rsidRPr="00990D3B">
              <w:rPr>
                <w:rFonts w:ascii="Arial" w:hAnsi="Arial" w:cs="Arial"/>
                <w:kern w:val="24"/>
                <w:sz w:val="18"/>
                <w:szCs w:val="18"/>
              </w:rPr>
              <w:t>B</w:t>
            </w:r>
          </w:p>
        </w:tc>
        <w:tc>
          <w:tcPr>
            <w:tcW w:w="4184" w:type="pct"/>
            <w:shd w:val="clear" w:color="auto" w:fill="FFFFFF" w:themeFill="background1"/>
            <w:tcMar>
              <w:top w:w="72" w:type="dxa"/>
              <w:left w:w="144" w:type="dxa"/>
              <w:bottom w:w="72" w:type="dxa"/>
              <w:right w:w="144" w:type="dxa"/>
            </w:tcMar>
            <w:vAlign w:val="bottom"/>
          </w:tcPr>
          <w:p w:rsidR="00F05409" w:rsidRPr="00990D3B" w:rsidP="00BD1FC3" w14:paraId="457B4CE1" w14:textId="4A131B61">
            <w:pPr>
              <w:spacing w:after="0" w:line="240" w:lineRule="auto"/>
              <w:rPr>
                <w:rFonts w:ascii="Arial" w:hAnsi="Arial" w:cs="Arial"/>
                <w:kern w:val="24"/>
                <w:sz w:val="18"/>
                <w:szCs w:val="18"/>
              </w:rPr>
            </w:pPr>
            <w:r w:rsidRPr="00990D3B">
              <w:rPr>
                <w:rFonts w:ascii="Arial" w:hAnsi="Arial" w:cs="Arial"/>
                <w:kern w:val="24"/>
                <w:sz w:val="18"/>
                <w:szCs w:val="18"/>
              </w:rPr>
              <w:t>July 2023</w:t>
            </w:r>
            <w:r w:rsidRPr="00990D3B" w:rsidR="00D12283">
              <w:rPr>
                <w:rFonts w:ascii="Arial" w:hAnsi="Arial" w:cs="Arial"/>
                <w:kern w:val="24"/>
                <w:sz w:val="18"/>
                <w:szCs w:val="18"/>
              </w:rPr>
              <w:br/>
            </w:r>
            <w:r w:rsidRPr="00990D3B">
              <w:rPr>
                <w:rFonts w:ascii="Arial" w:hAnsi="Arial" w:cs="Arial"/>
                <w:kern w:val="24"/>
                <w:sz w:val="18"/>
                <w:szCs w:val="18"/>
              </w:rPr>
              <w:t>(RC 2023-2024)</w:t>
            </w:r>
          </w:p>
        </w:tc>
      </w:tr>
      <w:tr w14:paraId="47788C69" w14:textId="77777777" w:rsidTr="00E14994">
        <w:tblPrEx>
          <w:tblW w:w="5000" w:type="pct"/>
          <w:shd w:val="clear" w:color="auto" w:fill="FFFFFF" w:themeFill="background1"/>
          <w:tblCellMar>
            <w:left w:w="0" w:type="dxa"/>
            <w:right w:w="0" w:type="dxa"/>
          </w:tblCellMar>
          <w:tblLook w:val="0420"/>
        </w:tblPrEx>
        <w:trPr>
          <w:trHeight w:val="151"/>
        </w:trPr>
        <w:tc>
          <w:tcPr>
            <w:tcW w:w="816" w:type="pct"/>
            <w:shd w:val="clear" w:color="auto" w:fill="FFFFFF" w:themeFill="background1"/>
            <w:tcMar>
              <w:top w:w="72" w:type="dxa"/>
              <w:left w:w="144" w:type="dxa"/>
              <w:bottom w:w="72" w:type="dxa"/>
              <w:right w:w="144" w:type="dxa"/>
            </w:tcMar>
          </w:tcPr>
          <w:p w:rsidR="00F05409" w:rsidRPr="00990D3B" w:rsidP="00BD1FC3" w14:paraId="2B8D0ED0" w14:textId="0BA27041">
            <w:pPr>
              <w:spacing w:after="0" w:line="240" w:lineRule="auto"/>
              <w:rPr>
                <w:rFonts w:ascii="Arial" w:hAnsi="Arial" w:cs="Arial"/>
                <w:kern w:val="24"/>
                <w:sz w:val="18"/>
                <w:szCs w:val="18"/>
              </w:rPr>
            </w:pPr>
            <w:r w:rsidRPr="00990D3B">
              <w:rPr>
                <w:rFonts w:ascii="Arial" w:hAnsi="Arial" w:cs="Arial"/>
                <w:kern w:val="24"/>
                <w:sz w:val="18"/>
                <w:szCs w:val="18"/>
              </w:rPr>
              <w:t xml:space="preserve">Plan </w:t>
            </w:r>
            <w:r w:rsidRPr="00990D3B">
              <w:rPr>
                <w:rFonts w:ascii="Arial" w:hAnsi="Arial" w:cs="Arial"/>
                <w:kern w:val="24"/>
                <w:sz w:val="18"/>
                <w:szCs w:val="18"/>
              </w:rPr>
              <w:t>C</w:t>
            </w:r>
          </w:p>
        </w:tc>
        <w:tc>
          <w:tcPr>
            <w:tcW w:w="4184" w:type="pct"/>
            <w:shd w:val="clear" w:color="auto" w:fill="FFFFFF" w:themeFill="background1"/>
            <w:tcMar>
              <w:top w:w="72" w:type="dxa"/>
              <w:left w:w="144" w:type="dxa"/>
              <w:bottom w:w="72" w:type="dxa"/>
              <w:right w:w="144" w:type="dxa"/>
            </w:tcMar>
            <w:vAlign w:val="bottom"/>
          </w:tcPr>
          <w:p w:rsidR="00F05409" w:rsidRPr="00990D3B" w:rsidP="00BD1FC3" w14:paraId="5D7E0AFE" w14:textId="6FFF9FC7">
            <w:pPr>
              <w:spacing w:after="0" w:line="240" w:lineRule="auto"/>
              <w:rPr>
                <w:rFonts w:ascii="Arial" w:hAnsi="Arial" w:cs="Arial"/>
                <w:kern w:val="24"/>
                <w:sz w:val="18"/>
                <w:szCs w:val="18"/>
              </w:rPr>
            </w:pPr>
            <w:r w:rsidRPr="00990D3B">
              <w:rPr>
                <w:rFonts w:ascii="Arial" w:hAnsi="Arial" w:cs="Arial"/>
                <w:kern w:val="24"/>
                <w:sz w:val="18"/>
                <w:szCs w:val="18"/>
              </w:rPr>
              <w:t>July 2022</w:t>
            </w:r>
            <w:r w:rsidRPr="00990D3B" w:rsidR="00D12283">
              <w:rPr>
                <w:rFonts w:ascii="Arial" w:hAnsi="Arial" w:cs="Arial"/>
                <w:kern w:val="24"/>
                <w:sz w:val="18"/>
                <w:szCs w:val="18"/>
              </w:rPr>
              <w:br/>
            </w:r>
            <w:r w:rsidRPr="00990D3B">
              <w:rPr>
                <w:rFonts w:ascii="Arial" w:hAnsi="Arial" w:cs="Arial"/>
                <w:kern w:val="24"/>
                <w:sz w:val="18"/>
                <w:szCs w:val="18"/>
              </w:rPr>
              <w:t>(RC 2022-2023)</w:t>
            </w:r>
          </w:p>
        </w:tc>
      </w:tr>
      <w:tr w14:paraId="5FA320D1" w14:textId="77777777" w:rsidTr="00F05409">
        <w:tblPrEx>
          <w:tblW w:w="5000" w:type="pct"/>
          <w:shd w:val="clear" w:color="auto" w:fill="FFFFFF" w:themeFill="background1"/>
          <w:tblCellMar>
            <w:left w:w="0" w:type="dxa"/>
            <w:right w:w="0" w:type="dxa"/>
          </w:tblCellMar>
          <w:tblLook w:val="0420"/>
        </w:tblPrEx>
        <w:trPr>
          <w:trHeight w:val="151"/>
        </w:trPr>
        <w:tc>
          <w:tcPr>
            <w:tcW w:w="816" w:type="pct"/>
            <w:shd w:val="clear" w:color="auto" w:fill="FFFFFF" w:themeFill="background1"/>
            <w:tcMar>
              <w:top w:w="72" w:type="dxa"/>
              <w:left w:w="144" w:type="dxa"/>
              <w:bottom w:w="72" w:type="dxa"/>
              <w:right w:w="144" w:type="dxa"/>
            </w:tcMar>
          </w:tcPr>
          <w:p w:rsidR="00F05409" w:rsidRPr="00990D3B" w:rsidP="00BD1FC3" w14:paraId="0AB84C11" w14:textId="481DA35C">
            <w:pPr>
              <w:spacing w:after="0" w:line="240" w:lineRule="auto"/>
              <w:rPr>
                <w:rFonts w:ascii="Arial" w:hAnsi="Arial" w:cs="Arial"/>
                <w:kern w:val="24"/>
                <w:sz w:val="18"/>
                <w:szCs w:val="18"/>
              </w:rPr>
            </w:pPr>
            <w:r w:rsidRPr="00990D3B">
              <w:rPr>
                <w:rFonts w:ascii="Arial" w:hAnsi="Arial" w:cs="Arial"/>
                <w:kern w:val="24"/>
                <w:sz w:val="18"/>
                <w:szCs w:val="18"/>
              </w:rPr>
              <w:t xml:space="preserve">Plan </w:t>
            </w:r>
            <w:r w:rsidRPr="00990D3B">
              <w:rPr>
                <w:rFonts w:ascii="Arial" w:hAnsi="Arial" w:cs="Arial"/>
                <w:kern w:val="24"/>
                <w:sz w:val="18"/>
                <w:szCs w:val="18"/>
              </w:rPr>
              <w:t>D</w:t>
            </w:r>
          </w:p>
        </w:tc>
        <w:tc>
          <w:tcPr>
            <w:tcW w:w="4184" w:type="pct"/>
            <w:shd w:val="clear" w:color="auto" w:fill="FFFFFF" w:themeFill="background1"/>
            <w:tcMar>
              <w:top w:w="72" w:type="dxa"/>
              <w:left w:w="144" w:type="dxa"/>
              <w:bottom w:w="72" w:type="dxa"/>
              <w:right w:w="144" w:type="dxa"/>
            </w:tcMar>
            <w:vAlign w:val="bottom"/>
          </w:tcPr>
          <w:p w:rsidR="00F05409" w:rsidRPr="00990D3B" w:rsidP="00BD1FC3" w14:paraId="5B4ACCE4" w14:textId="18363422">
            <w:pPr>
              <w:spacing w:after="0" w:line="240" w:lineRule="auto"/>
              <w:rPr>
                <w:rFonts w:ascii="Arial" w:hAnsi="Arial" w:cs="Arial"/>
                <w:kern w:val="24"/>
                <w:sz w:val="18"/>
                <w:szCs w:val="18"/>
              </w:rPr>
            </w:pPr>
            <w:r w:rsidRPr="00990D3B">
              <w:rPr>
                <w:rFonts w:ascii="Arial" w:hAnsi="Arial" w:cs="Arial"/>
                <w:kern w:val="24"/>
                <w:sz w:val="18"/>
                <w:szCs w:val="18"/>
              </w:rPr>
              <w:t>NA</w:t>
            </w:r>
            <w:r w:rsidRPr="00990D3B" w:rsidR="007F29C2">
              <w:rPr>
                <w:rFonts w:ascii="Arial" w:hAnsi="Arial" w:cs="Arial"/>
                <w:kern w:val="24"/>
                <w:sz w:val="18"/>
                <w:szCs w:val="18"/>
              </w:rPr>
              <w:t xml:space="preserve">- </w:t>
            </w:r>
            <w:r w:rsidRPr="00990D3B" w:rsidR="007F29C2">
              <w:rPr>
                <w:rFonts w:asciiTheme="majorHAnsi" w:hAnsiTheme="majorHAnsi" w:cstheme="majorHAnsi"/>
                <w:sz w:val="18"/>
                <w:szCs w:val="18"/>
              </w:rPr>
              <w:t>Plan D began providing services in January 2023 and will undergo a comprehensive compliance review in RC 2024-2025.</w:t>
            </w:r>
          </w:p>
        </w:tc>
      </w:tr>
    </w:tbl>
    <w:p w:rsidR="00EF191C" w:rsidRPr="00990D3B" w:rsidP="00BD1FC3" w14:paraId="57C0AF7D" w14:textId="204720D6">
      <w:pPr>
        <w:spacing w:line="240" w:lineRule="auto"/>
      </w:pPr>
      <w:r w:rsidRPr="00990D3B">
        <w:br w:type="page"/>
      </w:r>
    </w:p>
    <w:p w:rsidR="00EF191C" w:rsidRPr="00990D3B" w:rsidP="00BD1FC3" w14:paraId="39126A44" w14:textId="28974CD0">
      <w:pPr>
        <w:pStyle w:val="EQRMarkforExhibitWORKSHEET"/>
      </w:pPr>
      <w:bookmarkStart w:id="435" w:name="WSp3n06"/>
      <w:bookmarkStart w:id="436" w:name="_Toc201751519"/>
      <w:r w:rsidRPr="00990D3B">
        <w:t>Worksheet 3.6</w:t>
      </w:r>
      <w:bookmarkEnd w:id="435"/>
      <w:r w:rsidRPr="00990D3B">
        <w:t>. Compliance Review Findings Reporting Template</w:t>
      </w:r>
      <w:bookmarkEnd w:id="436"/>
      <w:r w:rsidRPr="00990D3B">
        <w:t xml:space="preserve">  </w:t>
      </w:r>
    </w:p>
    <w:p w:rsidR="00EF191C" w:rsidRPr="00990D3B" w:rsidP="008A2FA1" w14:paraId="059A56F0" w14:textId="713658DF">
      <w:pPr>
        <w:pStyle w:val="EQRNormalSSWORKSHEET"/>
      </w:pPr>
      <w:r w:rsidRPr="00990D3B">
        <w:rPr>
          <w:b/>
          <w:bCs/>
          <w:szCs w:val="20"/>
        </w:rPr>
        <w:t xml:space="preserve">Instructions. </w:t>
      </w:r>
      <w:r w:rsidRPr="00990D3B" w:rsidR="001D5300">
        <w:t xml:space="preserve">This template can be used to share comparative findings from the compliance review activity. </w:t>
      </w:r>
      <w:r w:rsidRPr="00990D3B">
        <w:t xml:space="preserve">For states with multiple managed care programs, consider including one table for each program. Consider using colors, shading, or icons to indicate how MCPs performed relative to the previous year’s performance, each other, the state managed care average, and/or other relevant benchmarks. </w:t>
      </w:r>
    </w:p>
    <w:p w:rsidR="00EF191C" w:rsidRPr="00990D3B" w:rsidP="008A2FA1" w14:paraId="0D05F5EE" w14:textId="5EB8C3A4">
      <w:pPr>
        <w:pStyle w:val="EQRNormalSSWORKSHEET"/>
      </w:pPr>
      <w:r w:rsidRPr="00990D3B">
        <w:t xml:space="preserve">This template has a companion Excel workbook. It can be included in the EQR technical report or submitted to CMS as a separate document. If submitted separately, the document must be posted to the state’s website. </w:t>
      </w:r>
      <w:r w:rsidRPr="00990D3B">
        <w:t>While th</w:t>
      </w:r>
      <w:r w:rsidRPr="00990D3B" w:rsidR="00381997">
        <w:t>is</w:t>
      </w:r>
      <w:r w:rsidRPr="00990D3B">
        <w:t xml:space="preserve"> template </w:t>
      </w:r>
      <w:r w:rsidRPr="00990D3B">
        <w:rPr>
          <w:rFonts w:cs="Arial"/>
        </w:rPr>
        <w:t>encompasses CMS’s expectations for what EQR technical reports share when reporting compliance review findings, u</w:t>
      </w:r>
      <w:r w:rsidRPr="00990D3B">
        <w:t>se of this template is voluntary.</w:t>
      </w:r>
    </w:p>
    <w:p w:rsidR="00EF191C" w:rsidRPr="00990D3B" w:rsidP="008A2FA1" w14:paraId="24FAC285" w14:textId="4DB9F0ED">
      <w:pPr>
        <w:pStyle w:val="EQRNormalSSWORKSHEET"/>
      </w:pPr>
      <w:r w:rsidRPr="00990D3B">
        <w:t>Acronyms: EQR</w:t>
      </w:r>
      <w:r w:rsidRPr="00990D3B" w:rsidR="00381997">
        <w:t xml:space="preserve"> </w:t>
      </w:r>
      <w:r w:rsidRPr="00990D3B">
        <w:t>= External Quality Review; EQRO = External Quality Review Organization; MCP</w:t>
      </w:r>
      <w:r w:rsidRPr="00990D3B" w:rsidR="00381997">
        <w:t xml:space="preserve"> </w:t>
      </w:r>
      <w:r w:rsidRPr="00990D3B">
        <w:t>= Managed Care Plans; NA</w:t>
      </w:r>
      <w:r w:rsidRPr="00990D3B" w:rsidR="00381997">
        <w:t xml:space="preserve"> </w:t>
      </w:r>
      <w:r w:rsidRPr="00990D3B">
        <w:t>= Not Applicable; RC = Reporting Cycle; QAPI</w:t>
      </w:r>
      <w:r w:rsidRPr="00990D3B" w:rsidR="00381997">
        <w:t xml:space="preserve"> </w:t>
      </w:r>
      <w:r w:rsidRPr="00990D3B">
        <w:t xml:space="preserve">= Quality Assurance and Performance Improvement.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2875"/>
        <w:gridCol w:w="1619"/>
        <w:gridCol w:w="1619"/>
        <w:gridCol w:w="1619"/>
        <w:gridCol w:w="1618"/>
      </w:tblGrid>
      <w:tr w14:paraId="475CDC7C" w14:textId="0672FE52" w:rsidTr="001D530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Ex>
        <w:trPr>
          <w:trHeight w:val="151"/>
          <w:tblHeader/>
        </w:trPr>
        <w:tc>
          <w:tcPr>
            <w:tcW w:w="1537" w:type="pct"/>
            <w:shd w:val="clear" w:color="auto" w:fill="FFFFFF" w:themeFill="background1"/>
            <w:tcMar>
              <w:top w:w="72" w:type="dxa"/>
              <w:left w:w="144" w:type="dxa"/>
              <w:bottom w:w="72" w:type="dxa"/>
              <w:right w:w="144" w:type="dxa"/>
            </w:tcMar>
            <w:vAlign w:val="bottom"/>
            <w:hideMark/>
          </w:tcPr>
          <w:p w:rsidR="00EF191C" w:rsidRPr="00990D3B" w:rsidP="008A2FA1" w14:paraId="35642638" w14:textId="75862EFE">
            <w:pPr>
              <w:pStyle w:val="EQRTableHeaderLeft"/>
              <w:rPr>
                <w:color w:val="auto"/>
              </w:rPr>
            </w:pPr>
            <w:r w:rsidRPr="00990D3B">
              <w:rPr>
                <w:color w:val="auto"/>
              </w:rPr>
              <w:t xml:space="preserve">Federal </w:t>
            </w:r>
            <w:r w:rsidRPr="00990D3B" w:rsidR="00A03783">
              <w:rPr>
                <w:color w:val="auto"/>
              </w:rPr>
              <w:t>s</w:t>
            </w:r>
            <w:r w:rsidRPr="00990D3B">
              <w:rPr>
                <w:color w:val="auto"/>
              </w:rPr>
              <w:t xml:space="preserve">tandard </w:t>
            </w:r>
            <w:r w:rsidRPr="00990D3B" w:rsidR="00A03783">
              <w:rPr>
                <w:color w:val="auto"/>
              </w:rPr>
              <w:t>r</w:t>
            </w:r>
            <w:r w:rsidRPr="00990D3B">
              <w:rPr>
                <w:color w:val="auto"/>
              </w:rPr>
              <w:t>eviewed (</w:t>
            </w:r>
            <w:r w:rsidRPr="00990D3B" w:rsidR="00A03783">
              <w:rPr>
                <w:color w:val="auto"/>
              </w:rPr>
              <w:t>r</w:t>
            </w:r>
            <w:r w:rsidRPr="00990D3B">
              <w:rPr>
                <w:color w:val="auto"/>
              </w:rPr>
              <w:t xml:space="preserve">egulatory </w:t>
            </w:r>
            <w:r w:rsidRPr="00990D3B" w:rsidR="00A03783">
              <w:rPr>
                <w:color w:val="auto"/>
              </w:rPr>
              <w:t>r</w:t>
            </w:r>
            <w:r w:rsidRPr="00990D3B">
              <w:rPr>
                <w:color w:val="auto"/>
              </w:rPr>
              <w:t>eference</w:t>
            </w:r>
            <w:r w:rsidRPr="00990D3B" w:rsidR="00A03783">
              <w:rPr>
                <w:color w:val="auto"/>
              </w:rPr>
              <w:t>)</w:t>
            </w:r>
          </w:p>
        </w:tc>
        <w:tc>
          <w:tcPr>
            <w:tcW w:w="866" w:type="pct"/>
            <w:shd w:val="clear" w:color="auto" w:fill="FFFFFF" w:themeFill="background1"/>
            <w:tcMar>
              <w:top w:w="72" w:type="dxa"/>
              <w:left w:w="144" w:type="dxa"/>
              <w:bottom w:w="72" w:type="dxa"/>
              <w:right w:w="144" w:type="dxa"/>
            </w:tcMar>
            <w:vAlign w:val="bottom"/>
          </w:tcPr>
          <w:p w:rsidR="00EF191C" w:rsidRPr="00990D3B" w:rsidP="008A2FA1" w14:paraId="5E1AF674" w14:textId="0F639DB6">
            <w:pPr>
              <w:pStyle w:val="EQRTableHeaderCenter"/>
              <w:rPr>
                <w:color w:val="auto"/>
              </w:rPr>
            </w:pPr>
            <w:r w:rsidRPr="00990D3B">
              <w:rPr>
                <w:color w:val="auto"/>
              </w:rPr>
              <w:t>[</w:t>
            </w:r>
            <w:r w:rsidRPr="00990D3B">
              <w:rPr>
                <w:color w:val="auto"/>
              </w:rPr>
              <w:t>MCP</w:t>
            </w:r>
            <w:r w:rsidRPr="00990D3B">
              <w:rPr>
                <w:color w:val="auto"/>
              </w:rPr>
              <w:t>]</w:t>
            </w:r>
            <w:r w:rsidRPr="00990D3B">
              <w:rPr>
                <w:color w:val="auto"/>
              </w:rPr>
              <w:t xml:space="preserve"> </w:t>
            </w:r>
          </w:p>
        </w:tc>
        <w:tc>
          <w:tcPr>
            <w:tcW w:w="866" w:type="pct"/>
            <w:shd w:val="clear" w:color="auto" w:fill="FFFFFF" w:themeFill="background1"/>
            <w:tcMar>
              <w:top w:w="72" w:type="dxa"/>
              <w:left w:w="144" w:type="dxa"/>
              <w:bottom w:w="72" w:type="dxa"/>
              <w:right w:w="144" w:type="dxa"/>
            </w:tcMar>
            <w:vAlign w:val="bottom"/>
          </w:tcPr>
          <w:p w:rsidR="00EF191C" w:rsidRPr="00990D3B" w:rsidP="008A2FA1" w14:paraId="4B6D9E40" w14:textId="6EB3913D">
            <w:pPr>
              <w:pStyle w:val="EQRTableHeaderCenter"/>
              <w:rPr>
                <w:color w:val="auto"/>
              </w:rPr>
            </w:pPr>
            <w:r w:rsidRPr="00990D3B">
              <w:rPr>
                <w:color w:val="auto"/>
              </w:rPr>
              <w:t xml:space="preserve">[MCP] </w:t>
            </w:r>
          </w:p>
        </w:tc>
        <w:tc>
          <w:tcPr>
            <w:tcW w:w="866" w:type="pct"/>
            <w:shd w:val="clear" w:color="auto" w:fill="FFFFFF" w:themeFill="background1"/>
            <w:vAlign w:val="bottom"/>
          </w:tcPr>
          <w:p w:rsidR="00EF191C" w:rsidRPr="00990D3B" w:rsidP="008A2FA1" w14:paraId="100466E3" w14:textId="287D519C">
            <w:pPr>
              <w:pStyle w:val="EQRTableHeaderCenter"/>
              <w:rPr>
                <w:color w:val="auto"/>
              </w:rPr>
            </w:pPr>
            <w:r w:rsidRPr="00990D3B">
              <w:rPr>
                <w:color w:val="auto"/>
              </w:rPr>
              <w:t xml:space="preserve">[MCP] </w:t>
            </w:r>
          </w:p>
        </w:tc>
        <w:tc>
          <w:tcPr>
            <w:tcW w:w="865" w:type="pct"/>
            <w:shd w:val="clear" w:color="auto" w:fill="FFFFFF" w:themeFill="background1"/>
            <w:vAlign w:val="bottom"/>
          </w:tcPr>
          <w:p w:rsidR="00EF191C" w:rsidRPr="00990D3B" w:rsidP="008A2FA1" w14:paraId="04934B70" w14:textId="6D26C1D1">
            <w:pPr>
              <w:pStyle w:val="EQRTableHeaderCenter"/>
              <w:rPr>
                <w:color w:val="auto"/>
              </w:rPr>
            </w:pPr>
            <w:r w:rsidRPr="00990D3B">
              <w:rPr>
                <w:color w:val="auto"/>
              </w:rPr>
              <w:t xml:space="preserve">[MCP] </w:t>
            </w:r>
          </w:p>
        </w:tc>
      </w:tr>
      <w:tr w14:paraId="3146BC0B" w14:textId="21C1AB48" w:rsidTr="001D5300">
        <w:tblPrEx>
          <w:tblW w:w="5000" w:type="pct"/>
          <w:shd w:val="clear" w:color="auto" w:fill="FFFFFF" w:themeFill="background1"/>
          <w:tblCellMar>
            <w:left w:w="0" w:type="dxa"/>
            <w:right w:w="0" w:type="dxa"/>
          </w:tblCellMar>
          <w:tblLook w:val="0420"/>
        </w:tblPrEx>
        <w:trPr>
          <w:trHeight w:val="151"/>
        </w:trPr>
        <w:tc>
          <w:tcPr>
            <w:tcW w:w="1537" w:type="pct"/>
            <w:vMerge w:val="restart"/>
            <w:shd w:val="clear" w:color="auto" w:fill="FFFFFF" w:themeFill="background1"/>
            <w:tcMar>
              <w:top w:w="72" w:type="dxa"/>
              <w:left w:w="144" w:type="dxa"/>
              <w:bottom w:w="72" w:type="dxa"/>
              <w:right w:w="144" w:type="dxa"/>
            </w:tcMar>
          </w:tcPr>
          <w:p w:rsidR="00EF191C" w:rsidRPr="00990D3B" w:rsidP="008A2FA1" w14:paraId="508355B7" w14:textId="77777777">
            <w:pPr>
              <w:pStyle w:val="EQRTableText"/>
            </w:pPr>
          </w:p>
        </w:tc>
        <w:tc>
          <w:tcPr>
            <w:tcW w:w="866" w:type="pct"/>
            <w:shd w:val="clear" w:color="auto" w:fill="FFFFFF" w:themeFill="background1"/>
            <w:tcMar>
              <w:top w:w="72" w:type="dxa"/>
              <w:left w:w="144" w:type="dxa"/>
              <w:bottom w:w="72" w:type="dxa"/>
              <w:right w:w="144" w:type="dxa"/>
            </w:tcMar>
          </w:tcPr>
          <w:p w:rsidR="00EF191C" w:rsidRPr="00990D3B" w:rsidP="008A2FA1" w14:paraId="597C310F" w14:textId="77777777">
            <w:pPr>
              <w:pStyle w:val="EQRTableText"/>
            </w:pPr>
          </w:p>
        </w:tc>
        <w:tc>
          <w:tcPr>
            <w:tcW w:w="866" w:type="pct"/>
            <w:shd w:val="clear" w:color="auto" w:fill="FFFFFF" w:themeFill="background1"/>
            <w:tcMar>
              <w:top w:w="72" w:type="dxa"/>
              <w:left w:w="144" w:type="dxa"/>
              <w:bottom w:w="72" w:type="dxa"/>
              <w:right w:w="144" w:type="dxa"/>
            </w:tcMar>
          </w:tcPr>
          <w:p w:rsidR="00EF191C" w:rsidRPr="00990D3B" w:rsidP="008A2FA1" w14:paraId="0C72F5A7" w14:textId="77777777">
            <w:pPr>
              <w:pStyle w:val="EQRTableText"/>
            </w:pPr>
          </w:p>
        </w:tc>
        <w:tc>
          <w:tcPr>
            <w:tcW w:w="866" w:type="pct"/>
            <w:shd w:val="clear" w:color="auto" w:fill="FFFFFF" w:themeFill="background1"/>
          </w:tcPr>
          <w:p w:rsidR="00EF191C" w:rsidRPr="00990D3B" w:rsidP="008A2FA1" w14:paraId="556093E1" w14:textId="77777777">
            <w:pPr>
              <w:pStyle w:val="EQRTableText"/>
            </w:pPr>
          </w:p>
        </w:tc>
        <w:tc>
          <w:tcPr>
            <w:tcW w:w="865" w:type="pct"/>
            <w:shd w:val="clear" w:color="auto" w:fill="FFFFFF" w:themeFill="background1"/>
          </w:tcPr>
          <w:p w:rsidR="00EF191C" w:rsidRPr="00990D3B" w:rsidP="008A2FA1" w14:paraId="1DD4A759" w14:textId="13EBBA8E">
            <w:pPr>
              <w:pStyle w:val="EQRTableText"/>
            </w:pPr>
          </w:p>
        </w:tc>
      </w:tr>
      <w:tr w14:paraId="0F091ECD" w14:textId="0224D209" w:rsidTr="001D5300">
        <w:tblPrEx>
          <w:tblW w:w="5000" w:type="pct"/>
          <w:shd w:val="clear" w:color="auto" w:fill="FFFFFF" w:themeFill="background1"/>
          <w:tblCellMar>
            <w:left w:w="0" w:type="dxa"/>
            <w:right w:w="0" w:type="dxa"/>
          </w:tblCellMar>
          <w:tblLook w:val="0420"/>
        </w:tblPrEx>
        <w:trPr>
          <w:trHeight w:val="151"/>
        </w:trPr>
        <w:tc>
          <w:tcPr>
            <w:tcW w:w="1537" w:type="pct"/>
            <w:vMerge/>
            <w:shd w:val="clear" w:color="auto" w:fill="FFFFFF" w:themeFill="background1"/>
            <w:tcMar>
              <w:top w:w="72" w:type="dxa"/>
              <w:left w:w="144" w:type="dxa"/>
              <w:bottom w:w="72" w:type="dxa"/>
              <w:right w:w="144" w:type="dxa"/>
            </w:tcMar>
          </w:tcPr>
          <w:p w:rsidR="00EF191C" w:rsidRPr="00990D3B" w:rsidP="008A2FA1" w14:paraId="01A8CA91" w14:textId="77777777">
            <w:pPr>
              <w:pStyle w:val="EQRTableText"/>
            </w:pPr>
          </w:p>
        </w:tc>
        <w:tc>
          <w:tcPr>
            <w:tcW w:w="866" w:type="pct"/>
            <w:shd w:val="clear" w:color="auto" w:fill="FFFFFF" w:themeFill="background1"/>
            <w:tcMar>
              <w:top w:w="72" w:type="dxa"/>
              <w:left w:w="144" w:type="dxa"/>
              <w:bottom w:w="72" w:type="dxa"/>
              <w:right w:w="144" w:type="dxa"/>
            </w:tcMar>
          </w:tcPr>
          <w:p w:rsidR="00EF191C" w:rsidRPr="00990D3B" w:rsidP="008A2FA1" w14:paraId="436FC49D" w14:textId="77777777">
            <w:pPr>
              <w:pStyle w:val="EQRTableText"/>
            </w:pPr>
          </w:p>
        </w:tc>
        <w:tc>
          <w:tcPr>
            <w:tcW w:w="866" w:type="pct"/>
            <w:shd w:val="clear" w:color="auto" w:fill="FFFFFF" w:themeFill="background1"/>
            <w:tcMar>
              <w:top w:w="72" w:type="dxa"/>
              <w:left w:w="144" w:type="dxa"/>
              <w:bottom w:w="72" w:type="dxa"/>
              <w:right w:w="144" w:type="dxa"/>
            </w:tcMar>
          </w:tcPr>
          <w:p w:rsidR="00EF191C" w:rsidRPr="00990D3B" w:rsidP="008A2FA1" w14:paraId="31D68DC2" w14:textId="77777777">
            <w:pPr>
              <w:pStyle w:val="EQRTableText"/>
            </w:pPr>
          </w:p>
        </w:tc>
        <w:tc>
          <w:tcPr>
            <w:tcW w:w="866" w:type="pct"/>
            <w:shd w:val="clear" w:color="auto" w:fill="FFFFFF" w:themeFill="background1"/>
          </w:tcPr>
          <w:p w:rsidR="00EF191C" w:rsidRPr="00990D3B" w:rsidP="008A2FA1" w14:paraId="68BFC27C" w14:textId="77777777">
            <w:pPr>
              <w:pStyle w:val="EQRTableText"/>
            </w:pPr>
          </w:p>
        </w:tc>
        <w:tc>
          <w:tcPr>
            <w:tcW w:w="865" w:type="pct"/>
            <w:shd w:val="clear" w:color="auto" w:fill="FFFFFF" w:themeFill="background1"/>
          </w:tcPr>
          <w:p w:rsidR="00EF191C" w:rsidRPr="00990D3B" w:rsidP="008A2FA1" w14:paraId="599A486F" w14:textId="751604B6">
            <w:pPr>
              <w:pStyle w:val="EQRTableText"/>
            </w:pPr>
          </w:p>
        </w:tc>
      </w:tr>
      <w:tr w14:paraId="3ECBEB77" w14:textId="0ED9A7C4" w:rsidTr="001D5300">
        <w:tblPrEx>
          <w:tblW w:w="5000" w:type="pct"/>
          <w:shd w:val="clear" w:color="auto" w:fill="FFFFFF" w:themeFill="background1"/>
          <w:tblCellMar>
            <w:left w:w="0" w:type="dxa"/>
            <w:right w:w="0" w:type="dxa"/>
          </w:tblCellMar>
          <w:tblLook w:val="0420"/>
        </w:tblPrEx>
        <w:trPr>
          <w:trHeight w:val="151"/>
        </w:trPr>
        <w:tc>
          <w:tcPr>
            <w:tcW w:w="1537" w:type="pct"/>
            <w:vMerge w:val="restart"/>
            <w:shd w:val="clear" w:color="auto" w:fill="FFFFFF" w:themeFill="background1"/>
            <w:tcMar>
              <w:top w:w="72" w:type="dxa"/>
              <w:left w:w="144" w:type="dxa"/>
              <w:bottom w:w="72" w:type="dxa"/>
              <w:right w:w="144" w:type="dxa"/>
            </w:tcMar>
          </w:tcPr>
          <w:p w:rsidR="00EF191C" w:rsidRPr="00990D3B" w:rsidP="008A2FA1" w14:paraId="6BEF5159" w14:textId="77777777">
            <w:pPr>
              <w:pStyle w:val="EQRTableText"/>
            </w:pPr>
          </w:p>
        </w:tc>
        <w:tc>
          <w:tcPr>
            <w:tcW w:w="866" w:type="pct"/>
            <w:shd w:val="clear" w:color="auto" w:fill="FFFFFF" w:themeFill="background1"/>
            <w:tcMar>
              <w:top w:w="72" w:type="dxa"/>
              <w:left w:w="144" w:type="dxa"/>
              <w:bottom w:w="72" w:type="dxa"/>
              <w:right w:w="144" w:type="dxa"/>
            </w:tcMar>
          </w:tcPr>
          <w:p w:rsidR="00EF191C" w:rsidRPr="00990D3B" w:rsidP="008A2FA1" w14:paraId="5710A9FC" w14:textId="77777777">
            <w:pPr>
              <w:pStyle w:val="EQRTableText"/>
            </w:pPr>
          </w:p>
        </w:tc>
        <w:tc>
          <w:tcPr>
            <w:tcW w:w="866" w:type="pct"/>
            <w:shd w:val="clear" w:color="auto" w:fill="FFFFFF" w:themeFill="background1"/>
            <w:tcMar>
              <w:top w:w="72" w:type="dxa"/>
              <w:left w:w="144" w:type="dxa"/>
              <w:bottom w:w="72" w:type="dxa"/>
              <w:right w:w="144" w:type="dxa"/>
            </w:tcMar>
          </w:tcPr>
          <w:p w:rsidR="00EF191C" w:rsidRPr="00990D3B" w:rsidP="008A2FA1" w14:paraId="3555FCB1" w14:textId="77777777">
            <w:pPr>
              <w:pStyle w:val="EQRTableText"/>
            </w:pPr>
          </w:p>
        </w:tc>
        <w:tc>
          <w:tcPr>
            <w:tcW w:w="866" w:type="pct"/>
            <w:shd w:val="clear" w:color="auto" w:fill="FFFFFF" w:themeFill="background1"/>
          </w:tcPr>
          <w:p w:rsidR="00EF191C" w:rsidRPr="00990D3B" w:rsidP="008A2FA1" w14:paraId="32157757" w14:textId="77777777">
            <w:pPr>
              <w:pStyle w:val="EQRTableText"/>
            </w:pPr>
          </w:p>
        </w:tc>
        <w:tc>
          <w:tcPr>
            <w:tcW w:w="865" w:type="pct"/>
            <w:shd w:val="clear" w:color="auto" w:fill="FFFFFF" w:themeFill="background1"/>
          </w:tcPr>
          <w:p w:rsidR="00EF191C" w:rsidRPr="00990D3B" w:rsidP="008A2FA1" w14:paraId="4F05C1B9" w14:textId="1F94FF5E">
            <w:pPr>
              <w:pStyle w:val="EQRTableText"/>
            </w:pPr>
          </w:p>
        </w:tc>
      </w:tr>
      <w:tr w14:paraId="2BAB01C5" w14:textId="2AE5C6E7" w:rsidTr="001D5300">
        <w:tblPrEx>
          <w:tblW w:w="5000" w:type="pct"/>
          <w:shd w:val="clear" w:color="auto" w:fill="FFFFFF" w:themeFill="background1"/>
          <w:tblCellMar>
            <w:left w:w="0" w:type="dxa"/>
            <w:right w:w="0" w:type="dxa"/>
          </w:tblCellMar>
          <w:tblLook w:val="0420"/>
        </w:tblPrEx>
        <w:trPr>
          <w:trHeight w:val="160"/>
        </w:trPr>
        <w:tc>
          <w:tcPr>
            <w:tcW w:w="1537" w:type="pct"/>
            <w:vMerge/>
            <w:shd w:val="clear" w:color="auto" w:fill="FFFFFF" w:themeFill="background1"/>
            <w:tcMar>
              <w:top w:w="72" w:type="dxa"/>
              <w:left w:w="144" w:type="dxa"/>
              <w:bottom w:w="72" w:type="dxa"/>
              <w:right w:w="144" w:type="dxa"/>
            </w:tcMar>
          </w:tcPr>
          <w:p w:rsidR="00EF191C" w:rsidRPr="00990D3B" w:rsidP="008A2FA1" w14:paraId="301513EA" w14:textId="77777777">
            <w:pPr>
              <w:pStyle w:val="EQRTableText"/>
            </w:pPr>
          </w:p>
        </w:tc>
        <w:tc>
          <w:tcPr>
            <w:tcW w:w="866" w:type="pct"/>
            <w:shd w:val="clear" w:color="auto" w:fill="FFFFFF" w:themeFill="background1"/>
            <w:tcMar>
              <w:top w:w="72" w:type="dxa"/>
              <w:left w:w="144" w:type="dxa"/>
              <w:bottom w:w="72" w:type="dxa"/>
              <w:right w:w="144" w:type="dxa"/>
            </w:tcMar>
          </w:tcPr>
          <w:p w:rsidR="00EF191C" w:rsidRPr="00990D3B" w:rsidP="008A2FA1" w14:paraId="33A9D020" w14:textId="77777777">
            <w:pPr>
              <w:pStyle w:val="EQRTableText"/>
            </w:pPr>
          </w:p>
        </w:tc>
        <w:tc>
          <w:tcPr>
            <w:tcW w:w="866" w:type="pct"/>
            <w:shd w:val="clear" w:color="auto" w:fill="FFFFFF" w:themeFill="background1"/>
            <w:tcMar>
              <w:top w:w="72" w:type="dxa"/>
              <w:left w:w="144" w:type="dxa"/>
              <w:bottom w:w="72" w:type="dxa"/>
              <w:right w:w="144" w:type="dxa"/>
            </w:tcMar>
          </w:tcPr>
          <w:p w:rsidR="00EF191C" w:rsidRPr="00990D3B" w:rsidP="008A2FA1" w14:paraId="14A2267B" w14:textId="77777777">
            <w:pPr>
              <w:pStyle w:val="EQRTableText"/>
            </w:pPr>
          </w:p>
        </w:tc>
        <w:tc>
          <w:tcPr>
            <w:tcW w:w="866" w:type="pct"/>
            <w:shd w:val="clear" w:color="auto" w:fill="FFFFFF" w:themeFill="background1"/>
          </w:tcPr>
          <w:p w:rsidR="00EF191C" w:rsidRPr="00990D3B" w:rsidP="008A2FA1" w14:paraId="3E8E1CDD" w14:textId="77777777">
            <w:pPr>
              <w:pStyle w:val="EQRTableText"/>
            </w:pPr>
          </w:p>
        </w:tc>
        <w:tc>
          <w:tcPr>
            <w:tcW w:w="865" w:type="pct"/>
            <w:shd w:val="clear" w:color="auto" w:fill="FFFFFF" w:themeFill="background1"/>
          </w:tcPr>
          <w:p w:rsidR="00EF191C" w:rsidRPr="00990D3B" w:rsidP="008A2FA1" w14:paraId="4C0C4696" w14:textId="7C90154D">
            <w:pPr>
              <w:pStyle w:val="EQRTableText"/>
            </w:pPr>
          </w:p>
        </w:tc>
      </w:tr>
      <w:tr w14:paraId="14C892E3" w14:textId="0DFCCAF4" w:rsidTr="001D5300">
        <w:tblPrEx>
          <w:tblW w:w="5000" w:type="pct"/>
          <w:shd w:val="clear" w:color="auto" w:fill="FFFFFF" w:themeFill="background1"/>
          <w:tblCellMar>
            <w:left w:w="0" w:type="dxa"/>
            <w:right w:w="0" w:type="dxa"/>
          </w:tblCellMar>
          <w:tblLook w:val="0420"/>
        </w:tblPrEx>
        <w:trPr>
          <w:trHeight w:val="124"/>
        </w:trPr>
        <w:tc>
          <w:tcPr>
            <w:tcW w:w="1537" w:type="pct"/>
            <w:vMerge/>
            <w:shd w:val="clear" w:color="auto" w:fill="FFFFFF" w:themeFill="background1"/>
          </w:tcPr>
          <w:p w:rsidR="00EF191C" w:rsidRPr="00990D3B" w:rsidP="008A2FA1" w14:paraId="5A6FA82C" w14:textId="77777777">
            <w:pPr>
              <w:pStyle w:val="EQRTableText"/>
            </w:pPr>
          </w:p>
        </w:tc>
        <w:tc>
          <w:tcPr>
            <w:tcW w:w="866" w:type="pct"/>
            <w:shd w:val="clear" w:color="auto" w:fill="FFFFFF" w:themeFill="background1"/>
            <w:tcMar>
              <w:top w:w="72" w:type="dxa"/>
              <w:left w:w="144" w:type="dxa"/>
              <w:bottom w:w="72" w:type="dxa"/>
              <w:right w:w="144" w:type="dxa"/>
            </w:tcMar>
          </w:tcPr>
          <w:p w:rsidR="00EF191C" w:rsidRPr="00990D3B" w:rsidP="008A2FA1" w14:paraId="08939660" w14:textId="77777777">
            <w:pPr>
              <w:pStyle w:val="EQRTableText"/>
            </w:pPr>
          </w:p>
        </w:tc>
        <w:tc>
          <w:tcPr>
            <w:tcW w:w="866" w:type="pct"/>
            <w:shd w:val="clear" w:color="auto" w:fill="FFFFFF" w:themeFill="background1"/>
            <w:tcMar>
              <w:top w:w="72" w:type="dxa"/>
              <w:left w:w="144" w:type="dxa"/>
              <w:bottom w:w="72" w:type="dxa"/>
              <w:right w:w="144" w:type="dxa"/>
            </w:tcMar>
          </w:tcPr>
          <w:p w:rsidR="00EF191C" w:rsidRPr="00990D3B" w:rsidP="008A2FA1" w14:paraId="20FC940E" w14:textId="77777777">
            <w:pPr>
              <w:pStyle w:val="EQRTableText"/>
            </w:pPr>
          </w:p>
        </w:tc>
        <w:tc>
          <w:tcPr>
            <w:tcW w:w="866" w:type="pct"/>
            <w:shd w:val="clear" w:color="auto" w:fill="FFFFFF" w:themeFill="background1"/>
          </w:tcPr>
          <w:p w:rsidR="00EF191C" w:rsidRPr="00990D3B" w:rsidP="008A2FA1" w14:paraId="3A5EAB17" w14:textId="77777777">
            <w:pPr>
              <w:pStyle w:val="EQRTableText"/>
            </w:pPr>
          </w:p>
        </w:tc>
        <w:tc>
          <w:tcPr>
            <w:tcW w:w="865" w:type="pct"/>
            <w:shd w:val="clear" w:color="auto" w:fill="FFFFFF" w:themeFill="background1"/>
          </w:tcPr>
          <w:p w:rsidR="00EF191C" w:rsidRPr="00990D3B" w:rsidP="008A2FA1" w14:paraId="360299AE" w14:textId="6CF627B8">
            <w:pPr>
              <w:pStyle w:val="EQRTableText"/>
            </w:pPr>
          </w:p>
        </w:tc>
      </w:tr>
    </w:tbl>
    <w:p w:rsidR="00F05409" w:rsidRPr="00990D3B" w:rsidP="00BD1FC3" w14:paraId="537AA06E" w14:textId="77777777"/>
    <w:p w:rsidR="00EF191C" w:rsidRPr="00990D3B" w:rsidP="00BD1FC3" w14:paraId="4F86D9E9" w14:textId="40477A56">
      <w:pPr>
        <w:pStyle w:val="EQRMarkforExhibitWORKSHEET"/>
      </w:pPr>
      <w:bookmarkStart w:id="437" w:name="_Toc201751520"/>
      <w:r w:rsidRPr="00990D3B">
        <w:t>Example</w:t>
      </w:r>
      <w:r w:rsidRPr="00990D3B" w:rsidR="00941451">
        <w:t>s of</w:t>
      </w:r>
      <w:r w:rsidRPr="00990D3B">
        <w:t xml:space="preserve"> </w:t>
      </w:r>
      <w:r w:rsidRPr="00990D3B" w:rsidR="00941451">
        <w:t xml:space="preserve">Worksheet 3.6 </w:t>
      </w:r>
      <w:r w:rsidRPr="00990D3B">
        <w:t>Compliance Review Reporting Template</w:t>
      </w:r>
      <w:bookmarkEnd w:id="437"/>
      <w:r w:rsidRPr="00990D3B">
        <w:t xml:space="preserve"> </w:t>
      </w:r>
    </w:p>
    <w:tbl>
      <w:tblPr>
        <w:tblStyle w:val="TableGrid"/>
        <w:tblW w:w="9355" w:type="dxa"/>
        <w:tblLook w:val="04A0"/>
      </w:tblPr>
      <w:tblGrid>
        <w:gridCol w:w="2875"/>
        <w:gridCol w:w="1170"/>
        <w:gridCol w:w="1620"/>
        <w:gridCol w:w="1710"/>
        <w:gridCol w:w="1980"/>
      </w:tblGrid>
      <w:tr w14:paraId="6FF7919E" w14:textId="77777777" w:rsidTr="00A03783">
        <w:tblPrEx>
          <w:tblW w:w="9355" w:type="dxa"/>
          <w:tblLook w:val="04A0"/>
        </w:tblPrEx>
        <w:trPr>
          <w:trHeight w:val="287"/>
        </w:trPr>
        <w:tc>
          <w:tcPr>
            <w:tcW w:w="2875" w:type="dxa"/>
            <w:vAlign w:val="bottom"/>
          </w:tcPr>
          <w:p w:rsidR="00EF191C" w:rsidRPr="00990D3B" w:rsidP="008A2FA1" w14:paraId="0362AD91" w14:textId="3E0E06D5">
            <w:pPr>
              <w:pStyle w:val="EQRTableHeaderLeft"/>
              <w:rPr>
                <w:color w:val="auto"/>
              </w:rPr>
            </w:pPr>
            <w:r w:rsidRPr="00990D3B">
              <w:rPr>
                <w:color w:val="auto"/>
              </w:rPr>
              <w:t>Federal standard reviewed (regulatory reference)</w:t>
            </w:r>
          </w:p>
        </w:tc>
        <w:tc>
          <w:tcPr>
            <w:tcW w:w="1170" w:type="dxa"/>
            <w:vAlign w:val="bottom"/>
          </w:tcPr>
          <w:p w:rsidR="00EF191C" w:rsidRPr="00990D3B" w:rsidP="008A2FA1" w14:paraId="7BA9590E" w14:textId="77777777">
            <w:pPr>
              <w:pStyle w:val="EQRTableHeaderCenter"/>
              <w:rPr>
                <w:color w:val="auto"/>
              </w:rPr>
            </w:pPr>
            <w:r w:rsidRPr="00990D3B">
              <w:rPr>
                <w:color w:val="auto"/>
              </w:rPr>
              <w:t>Plan A</w:t>
            </w:r>
          </w:p>
        </w:tc>
        <w:tc>
          <w:tcPr>
            <w:tcW w:w="1620" w:type="dxa"/>
            <w:vAlign w:val="bottom"/>
          </w:tcPr>
          <w:p w:rsidR="00EF191C" w:rsidRPr="00990D3B" w:rsidP="008A2FA1" w14:paraId="2ACA75EF" w14:textId="77777777">
            <w:pPr>
              <w:pStyle w:val="EQRTableHeaderCenter"/>
              <w:rPr>
                <w:color w:val="auto"/>
              </w:rPr>
            </w:pPr>
            <w:r w:rsidRPr="00990D3B">
              <w:rPr>
                <w:color w:val="auto"/>
              </w:rPr>
              <w:t>Plan B</w:t>
            </w:r>
          </w:p>
        </w:tc>
        <w:tc>
          <w:tcPr>
            <w:tcW w:w="1710" w:type="dxa"/>
            <w:vAlign w:val="bottom"/>
          </w:tcPr>
          <w:p w:rsidR="00EF191C" w:rsidRPr="00990D3B" w:rsidP="008A2FA1" w14:paraId="341B1170" w14:textId="77777777">
            <w:pPr>
              <w:pStyle w:val="EQRTableHeaderCenter"/>
              <w:rPr>
                <w:color w:val="auto"/>
              </w:rPr>
            </w:pPr>
            <w:r w:rsidRPr="00990D3B">
              <w:rPr>
                <w:color w:val="auto"/>
              </w:rPr>
              <w:t>Plan C</w:t>
            </w:r>
          </w:p>
        </w:tc>
        <w:tc>
          <w:tcPr>
            <w:tcW w:w="1980" w:type="dxa"/>
            <w:vAlign w:val="bottom"/>
          </w:tcPr>
          <w:p w:rsidR="00EF191C" w:rsidRPr="00990D3B" w:rsidP="008A2FA1" w14:paraId="0D78D7B2" w14:textId="7178AE72">
            <w:pPr>
              <w:pStyle w:val="EQRTableHeaderCenter"/>
              <w:rPr>
                <w:color w:val="auto"/>
              </w:rPr>
            </w:pPr>
            <w:r w:rsidRPr="00990D3B">
              <w:rPr>
                <w:color w:val="auto"/>
              </w:rPr>
              <w:t>Plan D</w:t>
            </w:r>
          </w:p>
        </w:tc>
      </w:tr>
      <w:tr w14:paraId="06AC4B80" w14:textId="77777777" w:rsidTr="00697EF3">
        <w:tblPrEx>
          <w:tblW w:w="9355" w:type="dxa"/>
          <w:tblLook w:val="04A0"/>
        </w:tblPrEx>
        <w:trPr>
          <w:trHeight w:val="287"/>
        </w:trPr>
        <w:tc>
          <w:tcPr>
            <w:tcW w:w="2875" w:type="dxa"/>
            <w:vAlign w:val="bottom"/>
          </w:tcPr>
          <w:p w:rsidR="00697EF3" w:rsidRPr="00990D3B" w:rsidP="008A2FA1" w14:paraId="4FC3AB58" w14:textId="77777777">
            <w:pPr>
              <w:pStyle w:val="EQRTableText"/>
            </w:pPr>
            <w:r w:rsidRPr="00990D3B">
              <w:t xml:space="preserve">Availability of Services </w:t>
            </w:r>
          </w:p>
          <w:p w:rsidR="00697EF3" w:rsidRPr="00990D3B" w:rsidP="008A2FA1" w14:paraId="4684DCBA" w14:textId="209131E0">
            <w:pPr>
              <w:pStyle w:val="EQRTableText"/>
              <w:rPr>
                <w:b/>
                <w:bCs/>
              </w:rPr>
            </w:pPr>
            <w:r w:rsidRPr="00990D3B">
              <w:t>(42 C.F.R. 438.206)</w:t>
            </w:r>
          </w:p>
        </w:tc>
        <w:tc>
          <w:tcPr>
            <w:tcW w:w="1170" w:type="dxa"/>
          </w:tcPr>
          <w:p w:rsidR="00697EF3" w:rsidRPr="00990D3B" w:rsidP="008A2FA1" w14:paraId="7214A362" w14:textId="71A4132D">
            <w:pPr>
              <w:pStyle w:val="EQRTableText"/>
            </w:pPr>
            <w:r w:rsidRPr="00990D3B">
              <w:t>Fully Met</w:t>
            </w:r>
          </w:p>
        </w:tc>
        <w:tc>
          <w:tcPr>
            <w:tcW w:w="1620" w:type="dxa"/>
            <w:shd w:val="clear" w:color="auto" w:fill="FFFF00"/>
          </w:tcPr>
          <w:p w:rsidR="00697EF3" w:rsidRPr="00990D3B" w:rsidP="008A2FA1" w14:paraId="1CCCE250" w14:textId="3709B10D">
            <w:pPr>
              <w:pStyle w:val="EQRTableText"/>
            </w:pPr>
            <w:r w:rsidRPr="00990D3B">
              <w:t>Partially Met</w:t>
            </w:r>
          </w:p>
        </w:tc>
        <w:tc>
          <w:tcPr>
            <w:tcW w:w="1710" w:type="dxa"/>
            <w:shd w:val="clear" w:color="auto" w:fill="FFC000"/>
          </w:tcPr>
          <w:p w:rsidR="00697EF3" w:rsidRPr="00990D3B" w:rsidP="008A2FA1" w14:paraId="7B12C657" w14:textId="574CCC03">
            <w:pPr>
              <w:pStyle w:val="EQRTableText"/>
            </w:pPr>
            <w:r w:rsidRPr="00990D3B">
              <w:t>Not Met</w:t>
            </w:r>
          </w:p>
        </w:tc>
        <w:tc>
          <w:tcPr>
            <w:tcW w:w="1980" w:type="dxa"/>
          </w:tcPr>
          <w:p w:rsidR="00697EF3" w:rsidRPr="00990D3B" w:rsidP="008A2FA1" w14:paraId="1A4FE90D" w14:textId="524C09CB">
            <w:pPr>
              <w:pStyle w:val="EQRTableText"/>
            </w:pPr>
            <w:r w:rsidRPr="00990D3B">
              <w:t>Fully Met</w:t>
            </w:r>
          </w:p>
        </w:tc>
      </w:tr>
    </w:tbl>
    <w:p w:rsidR="00EF191C" w:rsidRPr="00990D3B" w:rsidP="008A2FA1" w14:paraId="5D163823" w14:textId="77777777">
      <w:pPr>
        <w:pStyle w:val="EQRTableFootnoteCaption"/>
      </w:pPr>
      <w:r w:rsidRPr="00990D3B">
        <w:t>Notes:</w:t>
      </w:r>
    </w:p>
    <w:p w:rsidR="00EF191C" w:rsidRPr="00990D3B" w:rsidP="008A2FA1" w14:paraId="7B0B585D" w14:textId="7CEBA277">
      <w:pPr>
        <w:pStyle w:val="EQRTableFootnoteCaption"/>
      </w:pPr>
      <w:r w:rsidRPr="00990D3B">
        <w:t xml:space="preserve">Cells highlighted in orange indicate MCP received a Not </w:t>
      </w:r>
      <w:r w:rsidRPr="00990D3B" w:rsidR="00A2005D">
        <w:t>M</w:t>
      </w:r>
      <w:r w:rsidRPr="00990D3B">
        <w:t xml:space="preserve">et score for the standard. Cells highlighted in yellow indicate MCP received a Partially </w:t>
      </w:r>
      <w:r w:rsidRPr="00990D3B" w:rsidR="00A2005D">
        <w:t>M</w:t>
      </w:r>
      <w:r w:rsidRPr="00990D3B">
        <w:t>et score for the standard. Cells without highlight</w:t>
      </w:r>
      <w:r w:rsidRPr="00990D3B" w:rsidR="00A2005D">
        <w:t>ing</w:t>
      </w:r>
      <w:r w:rsidRPr="00990D3B">
        <w:t xml:space="preserve"> indicate the MCP received a Fully </w:t>
      </w:r>
      <w:r w:rsidRPr="00990D3B" w:rsidR="00A2005D">
        <w:t>M</w:t>
      </w:r>
      <w:r w:rsidRPr="00990D3B">
        <w:t>et score for the standard.</w:t>
      </w:r>
    </w:p>
    <w:p w:rsidR="00EF191C" w:rsidRPr="00990D3B" w:rsidP="00BD1FC3" w14:paraId="513843D3" w14:textId="77777777"/>
    <w:p w:rsidR="00F05409" w:rsidRPr="00990D3B" w:rsidP="00BD1FC3" w14:paraId="3FBC4280" w14:textId="77777777">
      <w:pPr>
        <w:pStyle w:val="Paragraph0"/>
        <w:jc w:val="center"/>
      </w:pPr>
    </w:p>
    <w:p w:rsidR="00195095" w:rsidRPr="00990D3B" w:rsidP="00BD1FC3" w14:paraId="533D0D91" w14:textId="3CBFA81B">
      <w:pPr>
        <w:pStyle w:val="Paragraph0"/>
        <w:jc w:val="center"/>
        <w:sectPr w:rsidSect="00A65C6B">
          <w:pgSz w:w="12240" w:h="15840" w:code="1"/>
          <w:pgMar w:top="1440" w:right="1440" w:bottom="1440" w:left="1440" w:header="720" w:footer="720" w:gutter="0"/>
          <w:cols w:space="720"/>
          <w:titlePg/>
          <w:docGrid w:linePitch="360"/>
        </w:sectPr>
      </w:pPr>
      <w:r w:rsidRPr="00990D3B">
        <w:t>END OF WORKSHEETS FOR PROTOCOL 3</w:t>
      </w:r>
    </w:p>
    <w:p w:rsidR="00AD7FD8" w:rsidRPr="00990D3B" w:rsidP="00BD1FC3" w14:paraId="007DDC35" w14:textId="4D352BDD">
      <w:pPr>
        <w:pStyle w:val="H1"/>
      </w:pPr>
      <w:bookmarkStart w:id="438" w:name="Protocol4"/>
      <w:bookmarkStart w:id="439" w:name="_Toc183005591"/>
      <w:bookmarkStart w:id="440" w:name="_Toc201751361"/>
      <w:bookmarkStart w:id="441" w:name="_Toc14777702"/>
      <w:bookmarkEnd w:id="438"/>
      <w:r w:rsidRPr="00990D3B">
        <w:t xml:space="preserve">Protocol 4. Validation </w:t>
      </w:r>
      <w:r w:rsidRPr="00990D3B" w:rsidR="00850BF6">
        <w:t>o</w:t>
      </w:r>
      <w:r w:rsidRPr="00990D3B">
        <w:t xml:space="preserve">f Network </w:t>
      </w:r>
      <w:r w:rsidRPr="00990D3B" w:rsidR="00850BF6">
        <w:br/>
      </w:r>
      <w:r w:rsidRPr="00990D3B">
        <w:t>Adequacy</w:t>
      </w:r>
      <w:bookmarkEnd w:id="439"/>
      <w:bookmarkEnd w:id="440"/>
    </w:p>
    <w:p w:rsidR="00AD7FD8" w:rsidRPr="00990D3B" w:rsidP="00BD1FC3" w14:paraId="77759B5E" w14:textId="77777777">
      <w:pPr>
        <w:pStyle w:val="EQRMANDATORYorOPTIONAL"/>
      </w:pPr>
      <w:r w:rsidRPr="00990D3B">
        <w:t>A Mandatory EQR-Related Activity</w:t>
      </w:r>
    </w:p>
    <w:tbl>
      <w:tblPr>
        <w:tblW w:w="7200" w:type="dxa"/>
        <w:tblBorders>
          <w:insideV w:val="single" w:sz="2" w:space="0" w:color="00559D"/>
        </w:tblBorders>
        <w:tblLayout w:type="fixed"/>
        <w:tblLook w:val="04A0"/>
      </w:tblPr>
      <w:tblGrid>
        <w:gridCol w:w="7200"/>
      </w:tblGrid>
      <w:tr w14:paraId="3A9106B6" w14:textId="77777777" w:rsidTr="000F67F7">
        <w:tblPrEx>
          <w:tblW w:w="7200" w:type="dxa"/>
          <w:tblBorders>
            <w:insideV w:val="single" w:sz="2" w:space="0" w:color="00559D"/>
          </w:tblBorders>
          <w:tblLayout w:type="fixed"/>
          <w:tblLook w:val="04A0"/>
        </w:tblPrEx>
        <w:trPr>
          <w:trHeight w:val="144"/>
          <w:tblHeader/>
        </w:trPr>
        <w:tc>
          <w:tcPr>
            <w:tcW w:w="7200" w:type="dxa"/>
            <w:shd w:val="clear" w:color="auto" w:fill="1CA8B7"/>
            <w:vAlign w:val="bottom"/>
          </w:tcPr>
          <w:p w:rsidR="00AD7FD8" w:rsidRPr="00BF4A2F" w:rsidP="00BD1FC3" w14:paraId="75D6553D" w14:textId="7A80290E">
            <w:pPr>
              <w:pStyle w:val="EQRACTIVITY"/>
              <w:rPr>
                <w:color w:val="auto"/>
              </w:rPr>
            </w:pPr>
          </w:p>
        </w:tc>
      </w:tr>
      <w:tr w14:paraId="7500BDCB" w14:textId="77777777" w:rsidTr="000F67F7">
        <w:tblPrEx>
          <w:tblW w:w="7200" w:type="dxa"/>
          <w:tblLayout w:type="fixed"/>
          <w:tblLook w:val="04A0"/>
        </w:tblPrEx>
        <w:trPr>
          <w:trHeight w:val="20"/>
        </w:trPr>
        <w:tc>
          <w:tcPr>
            <w:tcW w:w="7200" w:type="dxa"/>
            <w:shd w:val="clear" w:color="auto" w:fill="EEF5F8"/>
          </w:tcPr>
          <w:p w:rsidR="00AD7FD8" w:rsidRPr="00990D3B" w:rsidP="00BD1FC3" w14:paraId="68BB5034" w14:textId="64F47536">
            <w:pPr>
              <w:pStyle w:val="EQRACTIVITY"/>
            </w:pPr>
            <w:hyperlink w:anchor="P4Act1" w:tooltip="ACTIVITY 1: DEFINE THE SCOPE OF THE VALIDATION" w:history="1">
              <w:r w:rsidRPr="00990D3B">
                <w:rPr>
                  <w:rStyle w:val="Hyperlink"/>
                </w:rPr>
                <w:t>ACTIVITY 1: DEFINE THE SCOPE OF THE VALIDATION</w:t>
              </w:r>
            </w:hyperlink>
          </w:p>
        </w:tc>
      </w:tr>
      <w:tr w14:paraId="569D8F8B" w14:textId="77777777" w:rsidTr="000F67F7">
        <w:tblPrEx>
          <w:tblW w:w="7200" w:type="dxa"/>
          <w:tblLayout w:type="fixed"/>
          <w:tblLook w:val="04A0"/>
        </w:tblPrEx>
        <w:trPr>
          <w:trHeight w:val="20"/>
        </w:trPr>
        <w:tc>
          <w:tcPr>
            <w:tcW w:w="7200" w:type="dxa"/>
          </w:tcPr>
          <w:p w:rsidR="00AD7FD8" w:rsidRPr="00990D3B" w:rsidP="00BD1FC3" w14:paraId="387E0BF5" w14:textId="7FC78016">
            <w:pPr>
              <w:pStyle w:val="EQRACTIVITY"/>
            </w:pPr>
            <w:hyperlink w:anchor="P4Act2" w:tooltip="ACTIVITY 2: IDENTIFY DATA SOURCES FOR VALIDATION" w:history="1">
              <w:r w:rsidRPr="00990D3B">
                <w:rPr>
                  <w:rStyle w:val="Hyperlink"/>
                </w:rPr>
                <w:t>ACTIVITY 2: IDENTIFY DATA SOURCES FOR VALIDATION</w:t>
              </w:r>
            </w:hyperlink>
          </w:p>
        </w:tc>
      </w:tr>
      <w:tr w14:paraId="7BCB4DE7" w14:textId="77777777" w:rsidTr="000F67F7">
        <w:tblPrEx>
          <w:tblW w:w="7200" w:type="dxa"/>
          <w:tblLayout w:type="fixed"/>
          <w:tblLook w:val="04A0"/>
        </w:tblPrEx>
        <w:trPr>
          <w:trHeight w:val="20"/>
        </w:trPr>
        <w:tc>
          <w:tcPr>
            <w:tcW w:w="7200" w:type="dxa"/>
            <w:tcBorders>
              <w:bottom w:val="nil"/>
            </w:tcBorders>
            <w:shd w:val="clear" w:color="auto" w:fill="EEF5F8"/>
          </w:tcPr>
          <w:p w:rsidR="00AD7FD8" w:rsidRPr="00990D3B" w:rsidP="00BD1FC3" w14:paraId="7598A3A8" w14:textId="45DCC3DD">
            <w:pPr>
              <w:pStyle w:val="EQRACTIVITY"/>
            </w:pPr>
            <w:hyperlink w:anchor="P4Act3" w:tooltip="ACTIVITY 3: REVIEW INFORMATION SYSTEMS UNDERLYING NETWORK ADEQUACY MONITORING" w:history="1">
              <w:r w:rsidRPr="00990D3B">
                <w:rPr>
                  <w:rStyle w:val="Hyperlink"/>
                </w:rPr>
                <w:t>ACTIVITY 3: REVIEW INFORMATION SYSTEMS UNDERLYING NETWORK ADEQUACY MONITORING</w:t>
              </w:r>
            </w:hyperlink>
          </w:p>
        </w:tc>
      </w:tr>
      <w:tr w14:paraId="48562883" w14:textId="77777777" w:rsidTr="000F67F7">
        <w:tblPrEx>
          <w:tblW w:w="7200" w:type="dxa"/>
          <w:tblLayout w:type="fixed"/>
          <w:tblLook w:val="04A0"/>
        </w:tblPrEx>
        <w:trPr>
          <w:trHeight w:val="20"/>
        </w:trPr>
        <w:tc>
          <w:tcPr>
            <w:tcW w:w="7200" w:type="dxa"/>
          </w:tcPr>
          <w:p w:rsidR="00AD7FD8" w:rsidRPr="00990D3B" w:rsidP="00BD1FC3" w14:paraId="41788A15" w14:textId="744F1230">
            <w:pPr>
              <w:pStyle w:val="EQRACTIVITY"/>
              <w:rPr>
                <w:rStyle w:val="Hyperlink"/>
              </w:rPr>
            </w:pPr>
            <w:hyperlink w:anchor="P4Act4" w:tooltip="ACTIVITY 4: VALIDATE NETWORK ADEQUACY MONITORING DATA, METHODS, AND RESULTS" w:history="1">
              <w:r w:rsidRPr="00990D3B">
                <w:rPr>
                  <w:rStyle w:val="Hyperlink"/>
                </w:rPr>
                <w:t>ACTIVITY 4: VALIDATE NETWORK ADEQUACY MONITORING DATA, METHODS, AND RESULTS</w:t>
              </w:r>
            </w:hyperlink>
          </w:p>
        </w:tc>
      </w:tr>
      <w:tr w14:paraId="068D4DD2" w14:textId="77777777" w:rsidTr="000F67F7">
        <w:tblPrEx>
          <w:tblW w:w="7200" w:type="dxa"/>
          <w:tblLayout w:type="fixed"/>
          <w:tblLook w:val="04A0"/>
        </w:tblPrEx>
        <w:trPr>
          <w:trHeight w:val="20"/>
        </w:trPr>
        <w:tc>
          <w:tcPr>
            <w:tcW w:w="7200" w:type="dxa"/>
            <w:shd w:val="clear" w:color="auto" w:fill="EEF5F8"/>
          </w:tcPr>
          <w:p w:rsidR="00AD7FD8" w:rsidRPr="00990D3B" w:rsidP="00BD1FC3" w14:paraId="2C5CFE1C" w14:textId="541EF5F1">
            <w:pPr>
              <w:pStyle w:val="EQRACTIVITY"/>
              <w:rPr>
                <w:rStyle w:val="Hyperlink"/>
              </w:rPr>
            </w:pPr>
            <w:hyperlink w:anchor="P4Act5" w:tooltip="ACTIVITY 5: COMMUNICATE PRELIMINARY FINDINGS TO MANAGED CARE PLANS" w:history="1">
              <w:r w:rsidRPr="00990D3B">
                <w:rPr>
                  <w:rStyle w:val="Hyperlink"/>
                </w:rPr>
                <w:t>ACTIVITY 5: COMMUNICATE PRELIMINARY FINDINGS TO MANAGED CARE PLANS</w:t>
              </w:r>
            </w:hyperlink>
          </w:p>
        </w:tc>
      </w:tr>
      <w:tr w14:paraId="702BFE59" w14:textId="77777777" w:rsidTr="000F67F7">
        <w:tblPrEx>
          <w:tblW w:w="7200" w:type="dxa"/>
          <w:tblLayout w:type="fixed"/>
          <w:tblLook w:val="04A0"/>
        </w:tblPrEx>
        <w:trPr>
          <w:trHeight w:val="20"/>
        </w:trPr>
        <w:tc>
          <w:tcPr>
            <w:tcW w:w="7200" w:type="dxa"/>
          </w:tcPr>
          <w:p w:rsidR="00AD7FD8" w:rsidRPr="00990D3B" w:rsidP="00BD1FC3" w14:paraId="75EF1600" w14:textId="490F8571">
            <w:pPr>
              <w:pStyle w:val="EQRACTIVITY"/>
            </w:pPr>
            <w:hyperlink w:anchor="P4Act6" w:tooltip="ACTIVITY 6: SUBMIT FINDINGS TO STATE" w:history="1">
              <w:r w:rsidRPr="00990D3B">
                <w:rPr>
                  <w:rStyle w:val="Hyperlink"/>
                </w:rPr>
                <w:t xml:space="preserve">ACTIVITY 6: </w:t>
              </w:r>
              <w:r w:rsidRPr="00990D3B" w:rsidR="004D0A97">
                <w:rPr>
                  <w:rStyle w:val="Hyperlink"/>
                </w:rPr>
                <w:t xml:space="preserve">REPORT </w:t>
              </w:r>
              <w:r w:rsidRPr="00990D3B" w:rsidR="00426B7A">
                <w:rPr>
                  <w:rStyle w:val="Hyperlink"/>
                </w:rPr>
                <w:t xml:space="preserve">RESULTS </w:t>
              </w:r>
              <w:r w:rsidRPr="00990D3B">
                <w:rPr>
                  <w:rStyle w:val="Hyperlink"/>
                </w:rPr>
                <w:t xml:space="preserve">TO </w:t>
              </w:r>
              <w:r w:rsidRPr="00990D3B" w:rsidR="00364F66">
                <w:rPr>
                  <w:rStyle w:val="Hyperlink"/>
                </w:rPr>
                <w:t xml:space="preserve">THE </w:t>
              </w:r>
              <w:r w:rsidRPr="00990D3B">
                <w:rPr>
                  <w:rStyle w:val="Hyperlink"/>
                </w:rPr>
                <w:t>STATE</w:t>
              </w:r>
            </w:hyperlink>
          </w:p>
        </w:tc>
      </w:tr>
    </w:tbl>
    <w:p w:rsidR="00AD7FD8" w:rsidRPr="00990D3B" w:rsidP="00BD1FC3" w14:paraId="62C9A260" w14:textId="77777777">
      <w:pPr>
        <w:pStyle w:val="H2"/>
      </w:pPr>
      <w:bookmarkStart w:id="442" w:name="_Toc183005592"/>
      <w:bookmarkStart w:id="443" w:name="_Toc201751362"/>
      <w:r w:rsidRPr="00990D3B">
        <w:t>Background</w:t>
      </w:r>
      <w:bookmarkEnd w:id="442"/>
      <w:bookmarkEnd w:id="443"/>
    </w:p>
    <w:p w:rsidR="00AD7FD8" w:rsidRPr="00990D3B" w:rsidP="00BD1FC3" w14:paraId="6C673B6D" w14:textId="3ECE8B65">
      <w:pPr>
        <w:pStyle w:val="ParagraphContinued"/>
      </w:pPr>
      <w:r w:rsidRPr="00990D3B">
        <w:t xml:space="preserve">States must ensure that Medicaid and Children’s Health Insurance Program (CHIP) managed care plans (MCPs) maintain provider networks that are sufficient to provide timely and accessible care to Medicaid and CHIP beneficiaries across the continuum of services. As set forth in </w:t>
      </w:r>
      <w:r w:rsidRPr="00990D3B" w:rsidR="001C7FC0">
        <w:t>42 C.F.R.</w:t>
      </w:r>
      <w:r w:rsidRPr="00990D3B">
        <w:t xml:space="preserve"> 438.68, states are required to set quantitative network adequacy standards for MCPs that account for regional factors and the needs of the state’s Medicaid and CHIP populations.</w:t>
      </w:r>
      <w:r w:rsidRPr="00990D3B" w:rsidR="003162DF">
        <w:rPr>
          <w:rFonts w:ascii="ZWAdobeF" w:hAnsi="ZWAdobeF" w:cs="ZWAdobeF"/>
          <w:sz w:val="2"/>
          <w:szCs w:val="2"/>
        </w:rPr>
        <w:t>60F</w:t>
      </w:r>
      <w:r>
        <w:rPr>
          <w:rStyle w:val="FootnoteReference"/>
        </w:rPr>
        <w:footnoteReference w:id="66"/>
      </w:r>
      <w:r w:rsidRPr="00990D3B">
        <w:t xml:space="preserve"> </w:t>
      </w:r>
      <w:hyperlink w:anchor="Box4n1" w:tooltip="Box 4.1" w:history="1">
        <w:r w:rsidRPr="00990D3B" w:rsidR="00E228C8">
          <w:rPr>
            <w:rStyle w:val="Hyperlink"/>
          </w:rPr>
          <w:t>Box 4.1</w:t>
        </w:r>
      </w:hyperlink>
      <w:r w:rsidRPr="00990D3B" w:rsidR="00E228C8">
        <w:t xml:space="preserve"> (next page) shares key network adequacy provisions included in the 2020 managed care final rule.</w:t>
      </w:r>
    </w:p>
    <w:p w:rsidR="00AD7FD8" w:rsidRPr="00990D3B" w:rsidP="00BD1FC3" w14:paraId="4F5FBCC8" w14:textId="273F2BD9">
      <w:pPr>
        <w:pStyle w:val="Paragraph0"/>
      </w:pPr>
      <w:r w:rsidRPr="00990D3B">
        <w:t xml:space="preserve">The purpose of this protocol is to guide the external quality review organization (EQRO) in conducting the validation of network adequacy to comply with requirements set forth in </w:t>
      </w:r>
      <w:hyperlink r:id="rId146" w:tooltip="42 CFR 438.68" w:history="1">
        <w:r w:rsidRPr="00990D3B" w:rsidR="001C7FC0">
          <w:rPr>
            <w:rStyle w:val="Hyperlink"/>
            <w:color w:val="auto"/>
          </w:rPr>
          <w:t>42 C.F.R.</w:t>
        </w:r>
        <w:r w:rsidRPr="00990D3B" w:rsidR="00F65752">
          <w:rPr>
            <w:rStyle w:val="Hyperlink"/>
            <w:color w:val="auto"/>
          </w:rPr>
          <w:t xml:space="preserve"> </w:t>
        </w:r>
        <w:r w:rsidRPr="00990D3B">
          <w:rPr>
            <w:rStyle w:val="Hyperlink"/>
            <w:color w:val="auto"/>
          </w:rPr>
          <w:t>438.68</w:t>
        </w:r>
      </w:hyperlink>
      <w:r w:rsidRPr="00990D3B">
        <w:t xml:space="preserve"> and, if the </w:t>
      </w:r>
      <w:r w:rsidRPr="00990D3B" w:rsidR="00AD2DAD">
        <w:t>s</w:t>
      </w:r>
      <w:r w:rsidRPr="00990D3B">
        <w:t xml:space="preserve">tate enrolls </w:t>
      </w:r>
      <w:r w:rsidRPr="00990D3B" w:rsidR="008542AD">
        <w:t xml:space="preserve">American </w:t>
      </w:r>
      <w:r w:rsidRPr="00990D3B">
        <w:t>Indians</w:t>
      </w:r>
      <w:r w:rsidRPr="00990D3B" w:rsidR="008542AD">
        <w:t xml:space="preserve"> and Alaska Natives</w:t>
      </w:r>
      <w:r w:rsidRPr="00990D3B">
        <w:t xml:space="preserve"> </w:t>
      </w:r>
      <w:r w:rsidRPr="00990D3B" w:rsidR="00A64ED7">
        <w:t xml:space="preserve">(AI/AN) </w:t>
      </w:r>
      <w:r w:rsidRPr="00990D3B">
        <w:t xml:space="preserve">in the </w:t>
      </w:r>
      <w:r w:rsidRPr="00990D3B" w:rsidR="00C41A3C">
        <w:t>managed care organization (</w:t>
      </w:r>
      <w:r w:rsidRPr="00990D3B">
        <w:t>MCO</w:t>
      </w:r>
      <w:r w:rsidRPr="00990D3B" w:rsidR="00C41A3C">
        <w:t>)</w:t>
      </w:r>
      <w:r w:rsidRPr="00990D3B">
        <w:t xml:space="preserve">, </w:t>
      </w:r>
      <w:r w:rsidRPr="00990D3B" w:rsidR="00C41A3C">
        <w:t>prepaid inpatient health plan (</w:t>
      </w:r>
      <w:r w:rsidRPr="00990D3B">
        <w:t>PIHP</w:t>
      </w:r>
      <w:r w:rsidRPr="00990D3B" w:rsidR="00C41A3C">
        <w:t>)</w:t>
      </w:r>
      <w:r w:rsidRPr="00990D3B">
        <w:t xml:space="preserve">, or </w:t>
      </w:r>
      <w:r w:rsidRPr="00990D3B" w:rsidR="00C41A3C">
        <w:t>prepaid ambulatory health plan (</w:t>
      </w:r>
      <w:r w:rsidRPr="00990D3B">
        <w:t>PAHP</w:t>
      </w:r>
      <w:r w:rsidRPr="00990D3B" w:rsidR="00C41A3C">
        <w:t>)</w:t>
      </w:r>
      <w:r w:rsidRPr="00990D3B">
        <w:t xml:space="preserve">, </w:t>
      </w:r>
      <w:hyperlink r:id="rId147" w:anchor="p-438.14(b)(1)" w:tooltip="42 CFR 438.14(b)(1)" w:history="1">
        <w:r w:rsidRPr="00990D3B" w:rsidR="001C7FC0">
          <w:rPr>
            <w:rStyle w:val="Hyperlink"/>
            <w:color w:val="auto"/>
          </w:rPr>
          <w:t>42 C.F.R.</w:t>
        </w:r>
        <w:r w:rsidRPr="00990D3B">
          <w:rPr>
            <w:rStyle w:val="Hyperlink"/>
            <w:color w:val="auto"/>
          </w:rPr>
          <w:t xml:space="preserve"> 438.14(b)(1)</w:t>
        </w:r>
      </w:hyperlink>
      <w:r w:rsidRPr="00990D3B">
        <w:t>.</w:t>
      </w:r>
      <w:r w:rsidRPr="00990D3B" w:rsidR="003162DF">
        <w:rPr>
          <w:rFonts w:ascii="ZWAdobeF" w:hAnsi="ZWAdobeF" w:cs="ZWAdobeF"/>
          <w:sz w:val="2"/>
          <w:szCs w:val="2"/>
        </w:rPr>
        <w:t>61F</w:t>
      </w:r>
      <w:r>
        <w:rPr>
          <w:rStyle w:val="FootnoteReference"/>
        </w:rPr>
        <w:footnoteReference w:id="67"/>
      </w:r>
      <w:r w:rsidRPr="00990D3B">
        <w:rPr>
          <w:rStyle w:val="FootnoteReference"/>
        </w:rPr>
        <w:t xml:space="preserve"> </w:t>
      </w:r>
      <w:r w:rsidRPr="00990D3B">
        <w:t xml:space="preserve">This includes validating data to determine whether the network standards, as defined by the state, were met. It does not include evaluating the </w:t>
      </w:r>
      <w:r w:rsidRPr="00990D3B" w:rsidR="00AD00ED">
        <w:t>reasonableness</w:t>
      </w:r>
      <w:r w:rsidRPr="00990D3B" w:rsidR="00625EDD">
        <w:t xml:space="preserve"> </w:t>
      </w:r>
      <w:r w:rsidRPr="00990D3B" w:rsidR="00AD00ED">
        <w:t xml:space="preserve">of </w:t>
      </w:r>
      <w:r w:rsidRPr="00990D3B" w:rsidR="00625EDD">
        <w:t xml:space="preserve">the </w:t>
      </w:r>
      <w:r w:rsidRPr="00990D3B">
        <w:t>state’s network adequacy standards.</w:t>
      </w:r>
    </w:p>
    <w:p w:rsidR="004E391B" w:rsidRPr="00990D3B" w:rsidP="00BD1FC3" w14:paraId="23006D52" w14:textId="36E28435">
      <w:pPr>
        <w:pStyle w:val="Paragraph0"/>
      </w:pPr>
      <w:r w:rsidRPr="00990D3B">
        <w:rPr>
          <w:noProof/>
        </w:rPr>
        <mc:AlternateContent>
          <mc:Choice Requires="wps">
            <w:drawing>
              <wp:inline distT="0" distB="0" distL="0" distR="0">
                <wp:extent cx="5897880" cy="8096250"/>
                <wp:effectExtent l="19050" t="19050" r="26670" b="19050"/>
                <wp:docPr id="697109723" name="Text Box 1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897880" cy="8096250"/>
                        </a:xfrm>
                        <a:prstGeom prst="rect">
                          <a:avLst/>
                        </a:prstGeom>
                        <a:solidFill>
                          <a:srgbClr val="EEF5F8"/>
                        </a:solidFill>
                        <a:ln w="28575" cap="rnd">
                          <a:solidFill>
                            <a:srgbClr val="A5DAD9"/>
                          </a:solidFill>
                          <a:prstDash val="solid"/>
                          <a:miter lim="800000"/>
                          <a:headEnd/>
                          <a:tailEnd/>
                        </a:ln>
                      </wps:spPr>
                      <wps:txbx>
                        <w:txbxContent>
                          <w:p w:rsidR="004E391B" w:rsidRPr="003F470E" w:rsidP="004E391B" w14:textId="0A76550B">
                            <w:pPr>
                              <w:pStyle w:val="EQRTextboxheading"/>
                              <w:spacing w:before="40" w:after="60"/>
                            </w:pPr>
                            <w:bookmarkStart w:id="444" w:name="Box4n1"/>
                            <w:bookmarkEnd w:id="444"/>
                            <w:r w:rsidRPr="003F470E">
                              <w:t xml:space="preserve">Box 4.1. </w:t>
                            </w:r>
                            <w:r w:rsidRPr="003F470E" w:rsidR="00E228C8">
                              <w:t xml:space="preserve">Key </w:t>
                            </w:r>
                            <w:r w:rsidRPr="003F470E">
                              <w:t xml:space="preserve">Network Adequacy </w:t>
                            </w:r>
                            <w:r w:rsidRPr="003F470E" w:rsidR="00E228C8">
                              <w:t xml:space="preserve">Provisions  </w:t>
                            </w:r>
                          </w:p>
                          <w:p w:rsidR="004E391B" w:rsidRPr="003F470E" w:rsidP="004E391B" w14:textId="77777777">
                            <w:pPr>
                              <w:pStyle w:val="EQRTextboxbullet"/>
                            </w:pPr>
                            <w:r w:rsidRPr="003F470E">
                              <w:t>States that contract with MCPs to provide Medicaid or CHIP services must develop and enforce network adequacy standards (42 C.F.R.438.68(a)).</w:t>
                            </w:r>
                          </w:p>
                          <w:p w:rsidR="004E391B" w:rsidRPr="003F470E" w:rsidP="004E391B" w14:textId="77777777">
                            <w:pPr>
                              <w:pStyle w:val="EQRTextboxbullet2ndlevel"/>
                            </w:pPr>
                            <w:r w:rsidRPr="003F470E">
                              <w:t>States must at a minimum set quantitative network adequacy standards for the following provider types, if covered under the managed care contract: primary care, adult and pediatric; obstetrics/gynecology (OB/GYN); behavioral health (mental health and substance use disorders), adult and pediatric; specialist (as designated by the state), adult and pediatric; hospital; pharmacy; and pediatric dental (42 C.F.R.438.68(b)(1)).</w:t>
                            </w:r>
                          </w:p>
                          <w:p w:rsidR="004E391B" w:rsidRPr="003F470E" w:rsidP="004E391B" w14:textId="77777777">
                            <w:pPr>
                              <w:pStyle w:val="EQRTextboxbullet2ndlevel"/>
                            </w:pPr>
                            <w:r w:rsidRPr="003F470E">
                              <w:t>States that contract with MCPs to provide long-term services and supports (LTSS) must develop a quantitative network adequacy standard for LTSS provider types (42 C.F.R. 438.68(b)(2)).</w:t>
                            </w:r>
                          </w:p>
                          <w:p w:rsidR="004E391B" w:rsidRPr="003F470E" w:rsidP="004E391B" w14:textId="77777777">
                            <w:pPr>
                              <w:pStyle w:val="EQRTextboxbullet"/>
                            </w:pPr>
                            <w:r w:rsidRPr="003F470E">
                              <w:t>States may elect to use a variety of quantitative standards including, but not limited to, minimum provider-to-enrollee ratios; maximum travel time or distance to providers; a minimum percentage of contracted providers that are accepting new patients; maximum wait times for an appointment; hours of operation (for example, extended evening or weekend hours); and/or combinations of these quantitative measures (85 Fed. Reg. 72805 (Nov. 13, 2020)).</w:t>
                            </w:r>
                          </w:p>
                          <w:p w:rsidR="004E391B" w:rsidRPr="003F470E" w:rsidP="004E391B" w14:textId="77777777">
                            <w:pPr>
                              <w:pStyle w:val="EQRTextboxbullet"/>
                            </w:pPr>
                            <w:r w:rsidRPr="003F470E">
                              <w:t>States must set network adequacy standards for all geographic areas covered by their contracts with MCPs. States may set network adequacy standards for the same provider type that vary based on geographic area (42 C.F.R. 438.68(b)(3)).</w:t>
                            </w:r>
                          </w:p>
                          <w:p w:rsidR="004E391B" w:rsidRPr="003F470E" w:rsidP="004E391B" w14:textId="44FD0074">
                            <w:pPr>
                              <w:pStyle w:val="EQRTextboxbullet"/>
                            </w:pPr>
                            <w:r w:rsidRPr="003F470E">
                              <w:t>States must develop network adequacy standards consistent with 42 C.F.R 438.68(</w:t>
                            </w:r>
                            <w:r w:rsidRPr="003F470E" w:rsidR="00EE1606">
                              <w:t>c</w:t>
                            </w:r>
                            <w:r w:rsidRPr="003F470E">
                              <w:t>) and must consider the following elements: the anticipated Medicaid enrollment; expected utilization of services; characteristics and health care needs of Medicaid populations covered by MCP contracts; numbers and types of network providers required to furnish services; number of network providers who are not accepting new patients; geographic location of network providers and Medicaid beneficiaries; ability of network providers to communicate with limited English proficient beneficiaries in their preferred language; ability of network providers to ensure physical access, reasonable accommodations, culturally competent communications, and accessible equipment for Medicaid enrollees with physical or mental disabilities; and availability of triage lines or screening systems, as well as the use of telemedicine, e-visits, and/or other evolving and innovative technological solutions.</w:t>
                            </w:r>
                          </w:p>
                          <w:p w:rsidR="004E391B" w:rsidRPr="003F470E" w:rsidP="004E391B" w14:textId="49A519C4">
                            <w:pPr>
                              <w:pStyle w:val="EQRTextboxbullet"/>
                              <w:rPr>
                                <w:szCs w:val="23"/>
                              </w:rPr>
                            </w:pPr>
                            <w:r w:rsidRPr="003F470E">
                              <w:rPr>
                                <w:szCs w:val="23"/>
                              </w:rPr>
                              <w:t xml:space="preserve">States must require MCPs that enroll </w:t>
                            </w:r>
                            <w:r w:rsidRPr="003F470E" w:rsidR="00A64ED7">
                              <w:rPr>
                                <w:szCs w:val="23"/>
                              </w:rPr>
                              <w:t>AI/AN</w:t>
                            </w:r>
                            <w:r w:rsidRPr="003F470E" w:rsidR="00EE7C77">
                              <w:rPr>
                                <w:szCs w:val="23"/>
                              </w:rPr>
                              <w:t xml:space="preserve"> </w:t>
                            </w:r>
                            <w:r w:rsidRPr="003F470E">
                              <w:rPr>
                                <w:szCs w:val="23"/>
                              </w:rPr>
                              <w:t xml:space="preserve">beneficiaries to demonstrate that their networks include sufficient Indian Health Care Providers (IHCPs) </w:t>
                            </w:r>
                            <w:r w:rsidRPr="003F470E">
                              <w:rPr>
                                <w:szCs w:val="23"/>
                              </w:rPr>
                              <w:t>so as to</w:t>
                            </w:r>
                            <w:r w:rsidRPr="003F470E">
                              <w:rPr>
                                <w:szCs w:val="23"/>
                              </w:rPr>
                              <w:t xml:space="preserve"> ensure timely access to services for </w:t>
                            </w:r>
                            <w:r w:rsidRPr="003F470E" w:rsidR="00A03783">
                              <w:rPr>
                                <w:szCs w:val="23"/>
                              </w:rPr>
                              <w:t xml:space="preserve">these </w:t>
                            </w:r>
                            <w:r w:rsidRPr="003F470E">
                              <w:rPr>
                                <w:szCs w:val="23"/>
                              </w:rPr>
                              <w:t>populations (42 C.F.R. 438.14(b)).</w:t>
                            </w:r>
                          </w:p>
                          <w:p w:rsidR="004E391B" w:rsidP="004E391B" w14:textId="3AB745AE">
                            <w:pPr>
                              <w:pStyle w:val="EQRTextboxbody"/>
                              <w:spacing w:before="60" w:after="60"/>
                              <w:rPr>
                                <w:rStyle w:val="Hyperlink"/>
                                <w:color w:val="00559D" w:themeColor="text2"/>
                              </w:rPr>
                            </w:pPr>
                            <w:r w:rsidRPr="003F470E">
                              <w:t>Source: 202</w:t>
                            </w:r>
                            <w:r w:rsidRPr="003F470E" w:rsidR="00FF1BDA">
                              <w:t>0</w:t>
                            </w:r>
                            <w:r w:rsidRPr="003F470E">
                              <w:t xml:space="preserve"> Medicaid and CHIP managed care final rule, available at </w:t>
                            </w:r>
                            <w:hyperlink r:id="rId148" w:tooltip="Medicaid Program; Medicaid and Children's Health Insurance Program (CHIP) Managed Care" w:history="1">
                              <w:r w:rsidRPr="003F470E" w:rsidR="00FF1BDA">
                                <w:rPr>
                                  <w:rStyle w:val="Hyperlink"/>
                                </w:rPr>
                                <w:t>https://www.federalregister.gov/documents/2020/11/13/2020-24758/medicaid-program-medicaid-and-childrens-health-insurance-program-chip-managed-care</w:t>
                              </w:r>
                            </w:hyperlink>
                            <w:r w:rsidRPr="003F470E">
                              <w:rPr>
                                <w:rStyle w:val="Hyperlink"/>
                              </w:rPr>
                              <w:t>.</w:t>
                            </w:r>
                            <w:r w:rsidRPr="003F470E">
                              <w:rPr>
                                <w:rStyle w:val="Hyperlink"/>
                                <w:color w:val="00559D" w:themeColor="text2"/>
                              </w:rPr>
                              <w:t xml:space="preserve"> </w:t>
                            </w:r>
                          </w:p>
                          <w:p w:rsidR="006E7F43" w:rsidP="006E7F43" w14:textId="77777777">
                            <w:pPr>
                              <w:pStyle w:val="EQRTextboxbody"/>
                              <w:spacing w:before="60" w:after="60"/>
                              <w:rPr>
                                <w:b/>
                                <w:bCs/>
                                <w:color w:val="00559D" w:themeColor="text2"/>
                              </w:rPr>
                            </w:pPr>
                          </w:p>
                          <w:p w:rsidR="00625EDD" w:rsidRPr="006B6779" w:rsidP="006E7F43" w14:textId="15DA8B51">
                            <w:pPr>
                              <w:pStyle w:val="EQRTextboxbody"/>
                              <w:spacing w:before="60" w:after="60"/>
                              <w:rPr>
                                <w:color w:val="00559D" w:themeColor="text2"/>
                              </w:rPr>
                            </w:pPr>
                            <w:r w:rsidRPr="006B6779">
                              <w:rPr>
                                <w:color w:val="00559D" w:themeColor="text2"/>
                              </w:rPr>
                              <w:t xml:space="preserve">The </w:t>
                            </w:r>
                            <w:r w:rsidRPr="006B6779">
                              <w:rPr>
                                <w:color w:val="00559D" w:themeColor="text2"/>
                              </w:rPr>
                              <w:t>2024 Medicaid and CHIP Managed Care Final Rule (CMS-2439-F, May 2024)</w:t>
                            </w:r>
                            <w:r w:rsidRPr="006B6779">
                              <w:rPr>
                                <w:color w:val="00559D" w:themeColor="text2"/>
                              </w:rPr>
                              <w:t xml:space="preserve"> extended network adequacy requirements by adding the following provisions: </w:t>
                            </w:r>
                          </w:p>
                          <w:p w:rsidR="00625EDD" w:rsidRPr="006B6779" w:rsidP="00625EDD" w14:textId="4F28F14E">
                            <w:pPr>
                              <w:pStyle w:val="EQRTextboxbody"/>
                              <w:numPr>
                                <w:ilvl w:val="0"/>
                                <w:numId w:val="271"/>
                              </w:numPr>
                              <w:spacing w:before="60" w:after="60"/>
                              <w:rPr>
                                <w:color w:val="00559D" w:themeColor="text2"/>
                              </w:rPr>
                            </w:pPr>
                            <w:r w:rsidRPr="006B6779">
                              <w:rPr>
                                <w:color w:val="00559D" w:themeColor="text2"/>
                              </w:rPr>
                              <w:t>States must establish maximum appointment wait time standards for certain services</w:t>
                            </w:r>
                            <w:r w:rsidRPr="006B6779" w:rsidR="006E7F43">
                              <w:rPr>
                                <w:color w:val="00559D" w:themeColor="text2"/>
                              </w:rPr>
                              <w:t xml:space="preserve">. </w:t>
                            </w:r>
                            <w:r w:rsidRPr="006B6779" w:rsidR="00CD1E5C">
                              <w:rPr>
                                <w:color w:val="00559D" w:themeColor="text2"/>
                              </w:rPr>
                              <w:t>Standards must be no less than:</w:t>
                            </w:r>
                            <w:r w:rsidRPr="006B6779" w:rsidR="006E7F43">
                              <w:rPr>
                                <w:color w:val="00559D" w:themeColor="text2"/>
                              </w:rPr>
                              <w:t xml:space="preserve"> </w:t>
                            </w:r>
                            <w:r w:rsidRPr="006B6779">
                              <w:rPr>
                                <w:color w:val="00559D" w:themeColor="text2"/>
                              </w:rPr>
                              <w:br/>
                              <w:t xml:space="preserve">○ 15 business days for routine primary care (adult and pediatric) and </w:t>
                            </w:r>
                            <w:r w:rsidRPr="006B6779" w:rsidR="006E7F43">
                              <w:rPr>
                                <w:color w:val="00559D" w:themeColor="text2"/>
                              </w:rPr>
                              <w:t>OB/GYN</w:t>
                            </w:r>
                            <w:r w:rsidRPr="006B6779">
                              <w:rPr>
                                <w:color w:val="00559D" w:themeColor="text2"/>
                              </w:rPr>
                              <w:t xml:space="preserve"> services.</w:t>
                            </w:r>
                            <w:r w:rsidRPr="006B6779">
                              <w:rPr>
                                <w:color w:val="00559D" w:themeColor="text2"/>
                              </w:rPr>
                              <w:br/>
                              <w:t>○ 10 business days for outpatient mental health and substance use disorder services (adult and pediatric).</w:t>
                            </w:r>
                          </w:p>
                          <w:p w:rsidR="00625EDD" w:rsidRPr="006B6779" w:rsidP="00625EDD" w14:textId="77777777">
                            <w:pPr>
                              <w:pStyle w:val="EQRTextboxbody"/>
                              <w:numPr>
                                <w:ilvl w:val="0"/>
                                <w:numId w:val="271"/>
                              </w:numPr>
                              <w:spacing w:before="60" w:after="60"/>
                              <w:rPr>
                                <w:color w:val="00559D" w:themeColor="text2"/>
                              </w:rPr>
                            </w:pPr>
                            <w:r w:rsidRPr="006B6779">
                              <w:rPr>
                                <w:color w:val="00559D" w:themeColor="text2"/>
                              </w:rPr>
                              <w:t>States must contract with an independent entity to conduct annual secret shopper surveys to validate compliance with appointment wait time standards and to verify provider directory accuracy.</w:t>
                            </w:r>
                          </w:p>
                          <w:p w:rsidR="00625EDD" w:rsidRPr="006B6779" w:rsidP="00625EDD" w14:textId="77777777">
                            <w:pPr>
                              <w:pStyle w:val="EQRTextboxbody"/>
                              <w:numPr>
                                <w:ilvl w:val="0"/>
                                <w:numId w:val="271"/>
                              </w:numPr>
                              <w:spacing w:before="60" w:after="60"/>
                              <w:rPr>
                                <w:color w:val="00559D" w:themeColor="text2"/>
                              </w:rPr>
                            </w:pPr>
                            <w:r w:rsidRPr="006B6779">
                              <w:rPr>
                                <w:color w:val="00559D" w:themeColor="text2"/>
                              </w:rPr>
                              <w:t>States must incorporate the results of these secret shopper surveys into their monitoring and oversight processes, including reporting in the Managed Care Program Annual Report (MCPAR).</w:t>
                            </w:r>
                          </w:p>
                          <w:p w:rsidR="001C25A0" w:rsidRPr="006B6779" w:rsidP="006E7F43" w14:textId="77777777">
                            <w:pPr>
                              <w:pStyle w:val="EQRTextboxbody"/>
                              <w:numPr>
                                <w:ilvl w:val="0"/>
                                <w:numId w:val="271"/>
                              </w:numPr>
                              <w:spacing w:before="60" w:after="60"/>
                              <w:rPr>
                                <w:color w:val="00559D" w:themeColor="text2"/>
                              </w:rPr>
                            </w:pPr>
                            <w:r w:rsidRPr="006B6779">
                              <w:rPr>
                                <w:color w:val="00559D" w:themeColor="text2"/>
                              </w:rPr>
                              <w:t>States must publicly post MCPAR reports within 30 days of submission to CMS, ensuring greater transparency into network adequacy and enrollee access performance.</w:t>
                            </w:r>
                          </w:p>
                          <w:p w:rsidR="006E7F43" w:rsidRPr="006B6779" w:rsidP="001C25A0" w14:textId="1E99F44D">
                            <w:pPr>
                              <w:pStyle w:val="EQRTextboxbody"/>
                              <w:spacing w:before="60" w:after="60"/>
                              <w:rPr>
                                <w:rStyle w:val="Hyperlink"/>
                                <w:color w:val="00559D" w:themeColor="text2"/>
                              </w:rPr>
                            </w:pPr>
                            <w:r w:rsidRPr="006B6779">
                              <w:t>Source: 202</w:t>
                            </w:r>
                            <w:r w:rsidRPr="006B6779" w:rsidR="001C25A0">
                              <w:t>4</w:t>
                            </w:r>
                            <w:r w:rsidRPr="006B6779">
                              <w:t xml:space="preserve"> Medicaid and CHIP managed care final rule, available at </w:t>
                            </w:r>
                            <w:hyperlink r:id="rId149" w:history="1">
                              <w:r w:rsidRPr="006B6779" w:rsidR="001C25A0">
                                <w:rPr>
                                  <w:rStyle w:val="Hyperlink"/>
                                </w:rPr>
                                <w:t>https://www.federalregister.gov/documents/2024/05/10/2024-08085/medicaid-program-medicaid-and-childrens-health-insurance-program-chip-managed-care-access-finance</w:t>
                              </w:r>
                            </w:hyperlink>
                            <w:r w:rsidRPr="006B6779" w:rsidR="001C25A0">
                              <w:t xml:space="preserve">. </w:t>
                            </w:r>
                          </w:p>
                          <w:p w:rsidR="00625EDD" w:rsidRPr="003F470E" w:rsidP="004E391B" w14:textId="77777777">
                            <w:pPr>
                              <w:pStyle w:val="EQRTextboxbody"/>
                              <w:spacing w:before="60" w:after="60"/>
                              <w:rPr>
                                <w:rStyle w:val="Hyperlink"/>
                                <w:color w:val="00559D" w:themeColor="text2"/>
                              </w:rPr>
                            </w:pPr>
                          </w:p>
                        </w:txbxContent>
                      </wps:txbx>
                      <wps:bodyPr rot="0" vert="horz" wrap="square" lIns="109728" tIns="45720" rIns="109728" bIns="45720" anchor="t" anchorCtr="0" upright="1"/>
                    </wps:wsp>
                  </a:graphicData>
                </a:graphic>
              </wp:inline>
            </w:drawing>
          </mc:Choice>
          <mc:Fallback>
            <w:pict>
              <v:shape id="Text Box 144" o:spid="_x0000_i1143" type="#_x0000_t202" style="width:464.4pt;height:637.5pt;flip:y;mso-left-percent:-10001;mso-position-horizontal-relative:char;mso-position-vertical-relative:line;mso-top-percent:-10001;mso-wrap-style:square;rotation:180;visibility:visible;v-text-anchor:top" fillcolor="#eef5f8" strokecolor="#a5dad9" strokeweight="2.25pt">
                <v:stroke endcap="round"/>
                <v:textbox inset="8.64pt,,8.64pt">
                  <w:txbxContent>
                    <w:p w:rsidR="004E391B" w:rsidRPr="003F470E" w:rsidP="004E391B" w14:paraId="352C83C7" w14:textId="0A76550B">
                      <w:pPr>
                        <w:pStyle w:val="EQRTextboxheading"/>
                        <w:spacing w:before="40" w:after="60"/>
                      </w:pPr>
                      <w:bookmarkStart w:id="444" w:name="Box4n1"/>
                      <w:bookmarkEnd w:id="444"/>
                      <w:r w:rsidRPr="003F470E">
                        <w:t xml:space="preserve">Box 4.1. </w:t>
                      </w:r>
                      <w:r w:rsidRPr="003F470E" w:rsidR="00E228C8">
                        <w:t xml:space="preserve">Key </w:t>
                      </w:r>
                      <w:r w:rsidRPr="003F470E">
                        <w:t xml:space="preserve">Network Adequacy </w:t>
                      </w:r>
                      <w:r w:rsidRPr="003F470E" w:rsidR="00E228C8">
                        <w:t xml:space="preserve">Provisions  </w:t>
                      </w:r>
                    </w:p>
                    <w:p w:rsidR="004E391B" w:rsidRPr="003F470E" w:rsidP="004E391B" w14:paraId="07C8362C" w14:textId="77777777">
                      <w:pPr>
                        <w:pStyle w:val="EQRTextboxbullet"/>
                      </w:pPr>
                      <w:r w:rsidRPr="003F470E">
                        <w:t>States that contract with MCPs to provide Medicaid or CHIP services must develop and enforce network adequacy standards (42 C.F.R.438.68(a)).</w:t>
                      </w:r>
                    </w:p>
                    <w:p w:rsidR="004E391B" w:rsidRPr="003F470E" w:rsidP="004E391B" w14:paraId="26D2F766" w14:textId="77777777">
                      <w:pPr>
                        <w:pStyle w:val="EQRTextboxbullet2ndlevel"/>
                      </w:pPr>
                      <w:r w:rsidRPr="003F470E">
                        <w:t>States must at a minimum set quantitative network adequacy standards for the following provider types, if covered under the managed care contract: primary care, adult and pediatric; obstetrics/gynecology (OB/GYN); behavioral health (mental health and substance use disorders), adult and pediatric; specialist (as designated by the state), adult and pediatric; hospital; pharmacy; and pediatric dental (42 C.F.R.438.68(b)(1)).</w:t>
                      </w:r>
                    </w:p>
                    <w:p w:rsidR="004E391B" w:rsidRPr="003F470E" w:rsidP="004E391B" w14:paraId="0669CD7D" w14:textId="77777777">
                      <w:pPr>
                        <w:pStyle w:val="EQRTextboxbullet2ndlevel"/>
                      </w:pPr>
                      <w:r w:rsidRPr="003F470E">
                        <w:t>States that contract with MCPs to provide long-term services and supports (LTSS) must develop a quantitative network adequacy standard for LTSS provider types (42 C.F.R. 438.68(b)(2)).</w:t>
                      </w:r>
                    </w:p>
                    <w:p w:rsidR="004E391B" w:rsidRPr="003F470E" w:rsidP="004E391B" w14:paraId="23FCE830" w14:textId="77777777">
                      <w:pPr>
                        <w:pStyle w:val="EQRTextboxbullet"/>
                      </w:pPr>
                      <w:r w:rsidRPr="003F470E">
                        <w:t>States may elect to use a variety of quantitative standards including, but not limited to, minimum provider-to-enrollee ratios; maximum travel time or distance to providers; a minimum percentage of contracted providers that are accepting new patients; maximum wait times for an appointment; hours of operation (for example, extended evening or weekend hours); and/or combinations of these quantitative measures (85 Fed. Reg. 72805 (Nov. 13, 2020)).</w:t>
                      </w:r>
                    </w:p>
                    <w:p w:rsidR="004E391B" w:rsidRPr="003F470E" w:rsidP="004E391B" w14:paraId="790FDCAA" w14:textId="77777777">
                      <w:pPr>
                        <w:pStyle w:val="EQRTextboxbullet"/>
                      </w:pPr>
                      <w:r w:rsidRPr="003F470E">
                        <w:t>States must set network adequacy standards for all geographic areas covered by their contracts with MCPs. States may set network adequacy standards for the same provider type that vary based on geographic area (42 C.F.R. 438.68(b)(3)).</w:t>
                      </w:r>
                    </w:p>
                    <w:p w:rsidR="004E391B" w:rsidRPr="003F470E" w:rsidP="004E391B" w14:paraId="70915BD8" w14:textId="44FD0074">
                      <w:pPr>
                        <w:pStyle w:val="EQRTextboxbullet"/>
                      </w:pPr>
                      <w:r w:rsidRPr="003F470E">
                        <w:t>States must develop network adequacy standards consistent with 42 C.F.R 438.68(</w:t>
                      </w:r>
                      <w:r w:rsidRPr="003F470E" w:rsidR="00EE1606">
                        <w:t>c</w:t>
                      </w:r>
                      <w:r w:rsidRPr="003F470E">
                        <w:t>) and must consider the following elements: the anticipated Medicaid enrollment; expected utilization of services; characteristics and health care needs of Medicaid populations covered by MCP contracts; numbers and types of network providers required to furnish services; number of network providers who are not accepting new patients; geographic location of network providers and Medicaid beneficiaries; ability of network providers to communicate with limited English proficient beneficiaries in their preferred language; ability of network providers to ensure physical access, reasonable accommodations, culturally competent communications, and accessible equipment for Medicaid enrollees with physical or mental disabilities; and availability of triage lines or screening systems, as well as the use of telemedicine, e-visits, and/or other evolving and innovative technological solutions.</w:t>
                      </w:r>
                    </w:p>
                    <w:p w:rsidR="004E391B" w:rsidRPr="003F470E" w:rsidP="004E391B" w14:paraId="49AC61DB" w14:textId="49A519C4">
                      <w:pPr>
                        <w:pStyle w:val="EQRTextboxbullet"/>
                        <w:rPr>
                          <w:szCs w:val="23"/>
                        </w:rPr>
                      </w:pPr>
                      <w:r w:rsidRPr="003F470E">
                        <w:rPr>
                          <w:szCs w:val="23"/>
                        </w:rPr>
                        <w:t xml:space="preserve">States must require MCPs that enroll </w:t>
                      </w:r>
                      <w:r w:rsidRPr="003F470E" w:rsidR="00A64ED7">
                        <w:rPr>
                          <w:szCs w:val="23"/>
                        </w:rPr>
                        <w:t>AI/AN</w:t>
                      </w:r>
                      <w:r w:rsidRPr="003F470E" w:rsidR="00EE7C77">
                        <w:rPr>
                          <w:szCs w:val="23"/>
                        </w:rPr>
                        <w:t xml:space="preserve"> </w:t>
                      </w:r>
                      <w:r w:rsidRPr="003F470E">
                        <w:rPr>
                          <w:szCs w:val="23"/>
                        </w:rPr>
                        <w:t xml:space="preserve">beneficiaries to demonstrate that their networks include sufficient Indian Health Care Providers (IHCPs) </w:t>
                      </w:r>
                      <w:r w:rsidRPr="003F470E">
                        <w:rPr>
                          <w:szCs w:val="23"/>
                        </w:rPr>
                        <w:t>so as to</w:t>
                      </w:r>
                      <w:r w:rsidRPr="003F470E">
                        <w:rPr>
                          <w:szCs w:val="23"/>
                        </w:rPr>
                        <w:t xml:space="preserve"> ensure timely access to services for </w:t>
                      </w:r>
                      <w:r w:rsidRPr="003F470E" w:rsidR="00A03783">
                        <w:rPr>
                          <w:szCs w:val="23"/>
                        </w:rPr>
                        <w:t xml:space="preserve">these </w:t>
                      </w:r>
                      <w:r w:rsidRPr="003F470E">
                        <w:rPr>
                          <w:szCs w:val="23"/>
                        </w:rPr>
                        <w:t>populations (42 C.F.R. 438.14(b)).</w:t>
                      </w:r>
                    </w:p>
                    <w:p w:rsidR="004E391B" w:rsidP="004E391B" w14:paraId="7532FDE6" w14:textId="3AB745AE">
                      <w:pPr>
                        <w:pStyle w:val="EQRTextboxbody"/>
                        <w:spacing w:before="60" w:after="60"/>
                        <w:rPr>
                          <w:rStyle w:val="Hyperlink"/>
                          <w:color w:val="00559D" w:themeColor="text2"/>
                        </w:rPr>
                      </w:pPr>
                      <w:r w:rsidRPr="003F470E">
                        <w:t>Source: 202</w:t>
                      </w:r>
                      <w:r w:rsidRPr="003F470E" w:rsidR="00FF1BDA">
                        <w:t>0</w:t>
                      </w:r>
                      <w:r w:rsidRPr="003F470E">
                        <w:t xml:space="preserve"> Medicaid and CHIP managed care final rule, available at </w:t>
                      </w:r>
                      <w:hyperlink r:id="rId148" w:tooltip="Medicaid Program; Medicaid and Children's Health Insurance Program (CHIP) Managed Care" w:history="1">
                        <w:r w:rsidRPr="003F470E" w:rsidR="00FF1BDA">
                          <w:rPr>
                            <w:rStyle w:val="Hyperlink"/>
                          </w:rPr>
                          <w:t>https://www.federalregister.gov/documents/2020/11/13/2020-24758/medicaid-program-medicaid-and-childrens-health-insurance-program-chip-managed-care</w:t>
                        </w:r>
                      </w:hyperlink>
                      <w:r w:rsidRPr="003F470E">
                        <w:rPr>
                          <w:rStyle w:val="Hyperlink"/>
                        </w:rPr>
                        <w:t>.</w:t>
                      </w:r>
                      <w:r w:rsidRPr="003F470E">
                        <w:rPr>
                          <w:rStyle w:val="Hyperlink"/>
                          <w:color w:val="00559D" w:themeColor="text2"/>
                        </w:rPr>
                        <w:t xml:space="preserve"> </w:t>
                      </w:r>
                    </w:p>
                    <w:p w:rsidR="006E7F43" w:rsidP="006E7F43" w14:paraId="0596596D" w14:textId="77777777">
                      <w:pPr>
                        <w:pStyle w:val="EQRTextboxbody"/>
                        <w:spacing w:before="60" w:after="60"/>
                        <w:rPr>
                          <w:b/>
                          <w:bCs/>
                          <w:color w:val="00559D" w:themeColor="text2"/>
                        </w:rPr>
                      </w:pPr>
                    </w:p>
                    <w:p w:rsidR="00625EDD" w:rsidRPr="006B6779" w:rsidP="006E7F43" w14:paraId="0DE34DE4" w14:textId="15DA8B51">
                      <w:pPr>
                        <w:pStyle w:val="EQRTextboxbody"/>
                        <w:spacing w:before="60" w:after="60"/>
                        <w:rPr>
                          <w:color w:val="00559D" w:themeColor="text2"/>
                        </w:rPr>
                      </w:pPr>
                      <w:r w:rsidRPr="006B6779">
                        <w:rPr>
                          <w:color w:val="00559D" w:themeColor="text2"/>
                        </w:rPr>
                        <w:t xml:space="preserve">The </w:t>
                      </w:r>
                      <w:r w:rsidRPr="006B6779">
                        <w:rPr>
                          <w:color w:val="00559D" w:themeColor="text2"/>
                        </w:rPr>
                        <w:t>2024 Medicaid and CHIP Managed Care Final Rule (CMS-2439-F, May 2024)</w:t>
                      </w:r>
                      <w:r w:rsidRPr="006B6779">
                        <w:rPr>
                          <w:color w:val="00559D" w:themeColor="text2"/>
                        </w:rPr>
                        <w:t xml:space="preserve"> extended network adequacy requirements by adding the following provisions: </w:t>
                      </w:r>
                    </w:p>
                    <w:p w:rsidR="00625EDD" w:rsidRPr="006B6779" w:rsidP="00625EDD" w14:paraId="642FE158" w14:textId="4F28F14E">
                      <w:pPr>
                        <w:pStyle w:val="EQRTextboxbody"/>
                        <w:numPr>
                          <w:ilvl w:val="0"/>
                          <w:numId w:val="271"/>
                        </w:numPr>
                        <w:spacing w:before="60" w:after="60"/>
                        <w:rPr>
                          <w:color w:val="00559D" w:themeColor="text2"/>
                        </w:rPr>
                      </w:pPr>
                      <w:r w:rsidRPr="006B6779">
                        <w:rPr>
                          <w:color w:val="00559D" w:themeColor="text2"/>
                        </w:rPr>
                        <w:t>States must establish maximum appointment wait time standards for certain services</w:t>
                      </w:r>
                      <w:r w:rsidRPr="006B6779" w:rsidR="006E7F43">
                        <w:rPr>
                          <w:color w:val="00559D" w:themeColor="text2"/>
                        </w:rPr>
                        <w:t xml:space="preserve">. </w:t>
                      </w:r>
                      <w:r w:rsidRPr="006B6779" w:rsidR="00CD1E5C">
                        <w:rPr>
                          <w:color w:val="00559D" w:themeColor="text2"/>
                        </w:rPr>
                        <w:t>Standards must be no less than:</w:t>
                      </w:r>
                      <w:r w:rsidRPr="006B6779" w:rsidR="006E7F43">
                        <w:rPr>
                          <w:color w:val="00559D" w:themeColor="text2"/>
                        </w:rPr>
                        <w:t xml:space="preserve"> </w:t>
                      </w:r>
                      <w:r w:rsidRPr="006B6779">
                        <w:rPr>
                          <w:color w:val="00559D" w:themeColor="text2"/>
                        </w:rPr>
                        <w:br/>
                        <w:t xml:space="preserve">○ 15 business days for routine primary care (adult and pediatric) and </w:t>
                      </w:r>
                      <w:r w:rsidRPr="006B6779" w:rsidR="006E7F43">
                        <w:rPr>
                          <w:color w:val="00559D" w:themeColor="text2"/>
                        </w:rPr>
                        <w:t>OB/GYN</w:t>
                      </w:r>
                      <w:r w:rsidRPr="006B6779">
                        <w:rPr>
                          <w:color w:val="00559D" w:themeColor="text2"/>
                        </w:rPr>
                        <w:t xml:space="preserve"> services.</w:t>
                      </w:r>
                      <w:r w:rsidRPr="006B6779">
                        <w:rPr>
                          <w:color w:val="00559D" w:themeColor="text2"/>
                        </w:rPr>
                        <w:br/>
                        <w:t>○ 10 business days for outpatient mental health and substance use disorder services (adult and pediatric).</w:t>
                      </w:r>
                    </w:p>
                    <w:p w:rsidR="00625EDD" w:rsidRPr="006B6779" w:rsidP="00625EDD" w14:paraId="1BE4CBAE" w14:textId="77777777">
                      <w:pPr>
                        <w:pStyle w:val="EQRTextboxbody"/>
                        <w:numPr>
                          <w:ilvl w:val="0"/>
                          <w:numId w:val="271"/>
                        </w:numPr>
                        <w:spacing w:before="60" w:after="60"/>
                        <w:rPr>
                          <w:color w:val="00559D" w:themeColor="text2"/>
                        </w:rPr>
                      </w:pPr>
                      <w:r w:rsidRPr="006B6779">
                        <w:rPr>
                          <w:color w:val="00559D" w:themeColor="text2"/>
                        </w:rPr>
                        <w:t>States must contract with an independent entity to conduct annual secret shopper surveys to validate compliance with appointment wait time standards and to verify provider directory accuracy.</w:t>
                      </w:r>
                    </w:p>
                    <w:p w:rsidR="00625EDD" w:rsidRPr="006B6779" w:rsidP="00625EDD" w14:paraId="33669C77" w14:textId="77777777">
                      <w:pPr>
                        <w:pStyle w:val="EQRTextboxbody"/>
                        <w:numPr>
                          <w:ilvl w:val="0"/>
                          <w:numId w:val="271"/>
                        </w:numPr>
                        <w:spacing w:before="60" w:after="60"/>
                        <w:rPr>
                          <w:color w:val="00559D" w:themeColor="text2"/>
                        </w:rPr>
                      </w:pPr>
                      <w:r w:rsidRPr="006B6779">
                        <w:rPr>
                          <w:color w:val="00559D" w:themeColor="text2"/>
                        </w:rPr>
                        <w:t>States must incorporate the results of these secret shopper surveys into their monitoring and oversight processes, including reporting in the Managed Care Program Annual Report (MCPAR).</w:t>
                      </w:r>
                    </w:p>
                    <w:p w:rsidR="001C25A0" w:rsidRPr="006B6779" w:rsidP="006E7F43" w14:paraId="16AAB762" w14:textId="77777777">
                      <w:pPr>
                        <w:pStyle w:val="EQRTextboxbody"/>
                        <w:numPr>
                          <w:ilvl w:val="0"/>
                          <w:numId w:val="271"/>
                        </w:numPr>
                        <w:spacing w:before="60" w:after="60"/>
                        <w:rPr>
                          <w:color w:val="00559D" w:themeColor="text2"/>
                        </w:rPr>
                      </w:pPr>
                      <w:r w:rsidRPr="006B6779">
                        <w:rPr>
                          <w:color w:val="00559D" w:themeColor="text2"/>
                        </w:rPr>
                        <w:t>States must publicly post MCPAR reports within 30 days of submission to CMS, ensuring greater transparency into network adequacy and enrollee access performance.</w:t>
                      </w:r>
                    </w:p>
                    <w:p w:rsidR="006E7F43" w:rsidRPr="006B6779" w:rsidP="001C25A0" w14:paraId="59159C46" w14:textId="1E99F44D">
                      <w:pPr>
                        <w:pStyle w:val="EQRTextboxbody"/>
                        <w:spacing w:before="60" w:after="60"/>
                        <w:rPr>
                          <w:rStyle w:val="Hyperlink"/>
                          <w:color w:val="00559D" w:themeColor="text2"/>
                        </w:rPr>
                      </w:pPr>
                      <w:r w:rsidRPr="006B6779">
                        <w:t>Source: 202</w:t>
                      </w:r>
                      <w:r w:rsidRPr="006B6779" w:rsidR="001C25A0">
                        <w:t>4</w:t>
                      </w:r>
                      <w:r w:rsidRPr="006B6779">
                        <w:t xml:space="preserve"> Medicaid and CHIP managed care final rule, available at </w:t>
                      </w:r>
                      <w:hyperlink r:id="rId149" w:history="1">
                        <w:r w:rsidRPr="006B6779" w:rsidR="001C25A0">
                          <w:rPr>
                            <w:rStyle w:val="Hyperlink"/>
                          </w:rPr>
                          <w:t>https://www.federalregister.gov/documents/2024/05/10/2024-08085/medicaid-program-medicaid-and-childrens-health-insurance-program-chip-managed-care-access-finance</w:t>
                        </w:r>
                      </w:hyperlink>
                      <w:r w:rsidRPr="006B6779" w:rsidR="001C25A0">
                        <w:t xml:space="preserve">. </w:t>
                      </w:r>
                    </w:p>
                    <w:p w:rsidR="00625EDD" w:rsidRPr="003F470E" w:rsidP="004E391B" w14:paraId="7E498F7F" w14:textId="77777777">
                      <w:pPr>
                        <w:pStyle w:val="EQRTextboxbody"/>
                        <w:spacing w:before="60" w:after="60"/>
                        <w:rPr>
                          <w:rStyle w:val="Hyperlink"/>
                          <w:color w:val="00559D" w:themeColor="text2"/>
                        </w:rPr>
                      </w:pPr>
                    </w:p>
                  </w:txbxContent>
                </v:textbox>
                <w10:wrap type="none"/>
                <w10:anchorlock/>
              </v:shape>
            </w:pict>
          </mc:Fallback>
        </mc:AlternateContent>
      </w:r>
    </w:p>
    <w:p w:rsidR="00AD7FD8" w:rsidRPr="00990D3B" w:rsidP="008A2FA1" w14:paraId="24DDB5E9" w14:textId="5333BE3D">
      <w:pPr>
        <w:pStyle w:val="ParagraphContinued"/>
      </w:pPr>
      <w:r w:rsidRPr="00990D3B">
        <w:t xml:space="preserve">Regulations providing for provider-specific network adequacy standards </w:t>
      </w:r>
      <w:bookmarkStart w:id="445" w:name="_Hlk87359062"/>
      <w:r w:rsidRPr="00990D3B">
        <w:t xml:space="preserve">are set forth at </w:t>
      </w:r>
      <w:bookmarkStart w:id="446" w:name="_Hlk93659341"/>
      <w:r w:rsidRPr="00990D3B">
        <w:t xml:space="preserve">42 C.F.R. </w:t>
      </w:r>
      <w:bookmarkEnd w:id="445"/>
      <w:r w:rsidRPr="00990D3B">
        <w:t>438.68(b)</w:t>
      </w:r>
      <w:bookmarkEnd w:id="446"/>
      <w:r w:rsidRPr="00990D3B">
        <w:t>. The Medicaid network adequacy standards are applied to CHIP per 42 C.F.R. 457.1218.</w:t>
      </w:r>
      <w:r w:rsidRPr="00990D3B">
        <w:rPr>
          <w:rFonts w:ascii="ZWAdobeF" w:hAnsi="ZWAdobeF" w:cs="ZWAdobeF"/>
          <w:sz w:val="2"/>
          <w:szCs w:val="2"/>
        </w:rPr>
        <w:t>62F</w:t>
      </w:r>
      <w:r>
        <w:rPr>
          <w:rStyle w:val="FootnoteReference"/>
        </w:rPr>
        <w:footnoteReference w:id="68"/>
      </w:r>
      <w:r w:rsidRPr="00990D3B">
        <w:t xml:space="preserve"> </w:t>
      </w:r>
      <w:r w:rsidRPr="00990D3B" w:rsidR="00884B78">
        <w:t xml:space="preserve">States may include their own network adequacy standards above those set by federal regulations. </w:t>
      </w:r>
      <w:r w:rsidRPr="00990D3B">
        <w:t xml:space="preserve">State-defined network adequacy standards must be included in the state’s quality strategy </w:t>
      </w:r>
      <w:r w:rsidRPr="00990D3B" w:rsidR="009E31B0">
        <w:t xml:space="preserve">(QS) </w:t>
      </w:r>
      <w:r w:rsidRPr="00990D3B">
        <w:t xml:space="preserve">required under </w:t>
      </w:r>
      <w:r w:rsidRPr="00990D3B" w:rsidR="001C7FC0">
        <w:t>42 C.F.R.</w:t>
      </w:r>
      <w:r w:rsidRPr="00990D3B">
        <w:t xml:space="preserve"> </w:t>
      </w:r>
      <w:r w:rsidRPr="00990D3B" w:rsidR="00542C81">
        <w:t>438.</w:t>
      </w:r>
      <w:r w:rsidRPr="00990D3B">
        <w:t>340(b)(1).</w:t>
      </w:r>
      <w:r>
        <w:rPr>
          <w:rStyle w:val="FootnoteReference"/>
        </w:rPr>
        <w:footnoteReference w:id="69"/>
      </w:r>
      <w:r w:rsidRPr="00990D3B">
        <w:t xml:space="preserve">  States may work with MCPs to drive improvement in network adequacy and </w:t>
      </w:r>
      <w:r w:rsidRPr="00990D3B" w:rsidR="00D50AF4">
        <w:t>enrollee</w:t>
      </w:r>
      <w:r w:rsidRPr="00990D3B">
        <w:t xml:space="preserve"> access to care, according to their state quality strategy goals and objectives and quality assessment and performance improvement (QAPI)</w:t>
      </w:r>
      <w:r w:rsidRPr="00990D3B" w:rsidR="00CF4270">
        <w:t> </w:t>
      </w:r>
      <w:r w:rsidRPr="00990D3B">
        <w:t>programs</w:t>
      </w:r>
      <w:r w:rsidRPr="00990D3B" w:rsidR="008152E5">
        <w:t>.</w:t>
      </w:r>
      <w:r w:rsidRPr="00990D3B">
        <w:t xml:space="preserve"> </w:t>
      </w:r>
    </w:p>
    <w:p w:rsidR="00AD7FD8" w:rsidRPr="00990D3B" w:rsidP="00BD1FC3" w14:paraId="68987094" w14:textId="2CA99E04">
      <w:pPr>
        <w:pStyle w:val="Paragraph0"/>
      </w:pPr>
      <w:r w:rsidRPr="00990D3B">
        <w:t>MCPs that operate in multiple states must adhere to each state’s set of quantitative network adequacy standards. States should annually assess whether their standards continue to align with the needs of their beneficiary populations and update their standards as needed.</w:t>
      </w:r>
    </w:p>
    <w:p w:rsidR="00AD7FD8" w:rsidRPr="00990D3B" w:rsidP="00BD1FC3" w14:paraId="3B23BBCD" w14:textId="021FB794">
      <w:pPr>
        <w:pStyle w:val="Paragraph0"/>
        <w:rPr>
          <w:rFonts w:cs="Arial"/>
          <w:szCs w:val="22"/>
        </w:rPr>
      </w:pPr>
      <w:r w:rsidRPr="00990D3B">
        <w:t xml:space="preserve">Medicaid and CHIP MCPs must conduct various activities to assess the adequacy of their networks as well as maintain provider and </w:t>
      </w:r>
      <w:r w:rsidRPr="00990D3B" w:rsidR="000468A3">
        <w:t>enrollee</w:t>
      </w:r>
      <w:r w:rsidRPr="00990D3B">
        <w:t xml:space="preserve"> data sets that allow monitoring of their networks’ adequacy. States have flexibility in determining the strategies</w:t>
      </w:r>
      <w:r w:rsidRPr="00990D3B">
        <w:rPr>
          <w:rFonts w:cs="Arial"/>
          <w:szCs w:val="22"/>
        </w:rPr>
        <w:t xml:space="preserve"> used to assess network adequacy. Examples include:</w:t>
      </w:r>
    </w:p>
    <w:p w:rsidR="00AD7FD8" w:rsidRPr="00990D3B" w:rsidP="00FB7CAF" w14:paraId="64E87FBC" w14:textId="066F2040">
      <w:pPr>
        <w:pStyle w:val="EQRBulletBLUE"/>
      </w:pPr>
      <w:r w:rsidRPr="00990D3B">
        <w:t>Geomapping</w:t>
      </w:r>
      <w:r w:rsidRPr="00990D3B">
        <w:t xml:space="preserve"> to determine if provider networks meet quantitative standards, such as time and distance standards</w:t>
      </w:r>
      <w:r w:rsidRPr="00990D3B" w:rsidR="00073CF4">
        <w:t>.</w:t>
      </w:r>
    </w:p>
    <w:p w:rsidR="00AD7FD8" w:rsidRPr="00990D3B" w:rsidP="00FB7CAF" w14:paraId="46794E73" w14:textId="7E704C32">
      <w:pPr>
        <w:pStyle w:val="EQRBulletBLUE"/>
      </w:pPr>
      <w:r w:rsidRPr="00990D3B">
        <w:t>Calculation of provider-to-enrollee ratios, by type of provider and geographic area</w:t>
      </w:r>
      <w:r w:rsidRPr="00990D3B" w:rsidR="00073CF4">
        <w:t>.</w:t>
      </w:r>
    </w:p>
    <w:p w:rsidR="00AD7FD8" w:rsidRPr="00990D3B" w:rsidP="00FB7CAF" w14:paraId="36C374FC" w14:textId="62CBCE1F">
      <w:pPr>
        <w:pStyle w:val="EQRBulletBLUE"/>
      </w:pPr>
      <w:r w:rsidRPr="00990D3B">
        <w:t>Analysis of in-network and out-of-network utilization data to determine gaps in realized access (actual use of care)</w:t>
      </w:r>
      <w:r w:rsidRPr="00990D3B" w:rsidR="00073CF4">
        <w:t>.</w:t>
      </w:r>
    </w:p>
    <w:p w:rsidR="00AD7FD8" w:rsidRPr="00990D3B" w:rsidP="00FB7CAF" w14:paraId="036BADE9" w14:textId="5F6F78DD">
      <w:pPr>
        <w:pStyle w:val="EQRBulletBLUE"/>
      </w:pPr>
      <w:r w:rsidRPr="00990D3B">
        <w:t>Appointment availability and accessibility studies, such as studies assessing the proportion of in-network providers accepting new patients or the average wait time for an appointment</w:t>
      </w:r>
      <w:r w:rsidRPr="00990D3B" w:rsidR="00073CF4">
        <w:t>.</w:t>
      </w:r>
    </w:p>
    <w:p w:rsidR="00AD7FD8" w:rsidRPr="00990D3B" w:rsidP="00FB7CAF" w14:paraId="54FB6643" w14:textId="5DFFD260">
      <w:pPr>
        <w:pStyle w:val="EQRBulletBLUE"/>
      </w:pPr>
      <w:r w:rsidRPr="00990D3B">
        <w:t xml:space="preserve">Telephone surveys or site visits to </w:t>
      </w:r>
      <w:r w:rsidRPr="00990D3B">
        <w:t>validate provider</w:t>
      </w:r>
      <w:r w:rsidRPr="00990D3B">
        <w:t xml:space="preserve"> directory information</w:t>
      </w:r>
      <w:r w:rsidRPr="00990D3B" w:rsidR="00073CF4">
        <w:t>.</w:t>
      </w:r>
    </w:p>
    <w:p w:rsidR="007A69FA" w:rsidRPr="00990D3B" w:rsidP="00373B47" w14:paraId="1931AEC6" w14:textId="755443EA">
      <w:pPr>
        <w:pStyle w:val="ParagraphContinued"/>
        <w:rPr>
          <w:rFonts w:ascii="Arial" w:hAnsi="Arial" w:cs="Arial"/>
          <w:sz w:val="20"/>
        </w:rPr>
      </w:pPr>
      <w:r w:rsidRPr="00990D3B">
        <w:t>MCPs must share the data, analyses, and results from their network adequacy assessment activities with EQROs. The activities described below will guide the EQRO in validating the data and methods used by MCPs to assess network adequacy</w:t>
      </w:r>
      <w:r w:rsidRPr="00990D3B" w:rsidR="00A64ED7">
        <w:t xml:space="preserve">, </w:t>
      </w:r>
      <w:r w:rsidRPr="00990D3B">
        <w:t>validating the results</w:t>
      </w:r>
      <w:r w:rsidRPr="00990D3B" w:rsidR="00A64ED7">
        <w:t xml:space="preserve">, </w:t>
      </w:r>
      <w:r w:rsidRPr="00990D3B">
        <w:t>generating a validation rating</w:t>
      </w:r>
      <w:r w:rsidRPr="00990D3B" w:rsidR="00A64ED7">
        <w:t xml:space="preserve">, </w:t>
      </w:r>
      <w:r w:rsidRPr="00990D3B">
        <w:t xml:space="preserve">and reporting the validation findings in the annual EQR technical report. </w:t>
      </w:r>
      <w:r w:rsidRPr="00990D3B">
        <w:rPr>
          <w:rFonts w:cstheme="minorHAnsi"/>
          <w:szCs w:val="24"/>
        </w:rPr>
        <w:t>These activities should take place in the 12</w:t>
      </w:r>
      <w:r w:rsidRPr="00990D3B" w:rsidR="002F11EC">
        <w:rPr>
          <w:rFonts w:cstheme="minorHAnsi"/>
          <w:szCs w:val="24"/>
        </w:rPr>
        <w:t>-</w:t>
      </w:r>
      <w:r w:rsidRPr="00990D3B" w:rsidR="00202F38">
        <w:rPr>
          <w:rFonts w:cstheme="minorHAnsi"/>
          <w:szCs w:val="24"/>
        </w:rPr>
        <w:t xml:space="preserve">month </w:t>
      </w:r>
      <w:r w:rsidRPr="00990D3B">
        <w:rPr>
          <w:rFonts w:cstheme="minorHAnsi"/>
          <w:szCs w:val="24"/>
        </w:rPr>
        <w:t>period before the first day of the most recently concluded contract year or calendar year, whichever is nearest to the review date.</w:t>
      </w:r>
      <w:r w:rsidRPr="00990D3B">
        <w:t xml:space="preserve"> </w:t>
      </w:r>
    </w:p>
    <w:p w:rsidR="00AD7FD8" w:rsidRPr="00990D3B" w:rsidP="00BD1FC3" w14:paraId="4574E5D1" w14:textId="1B4DE088">
      <w:pPr>
        <w:pStyle w:val="Paragraph0"/>
      </w:pPr>
      <w:r w:rsidRPr="00990D3B">
        <w:t>This protocol is organized into three phases, which includes the following validation process</w:t>
      </w:r>
      <w:r w:rsidRPr="00990D3B">
        <w:t>:  (</w:t>
      </w:r>
      <w:r w:rsidRPr="00990D3B">
        <w:t xml:space="preserve">1) planning, (2) analysis, and (3) reporting. </w:t>
      </w:r>
      <w:r w:rsidRPr="00990D3B" w:rsidR="00BE6A7D">
        <w:t>E</w:t>
      </w:r>
      <w:r w:rsidRPr="00990D3B">
        <w:t xml:space="preserve">ach phase is designed to support activities that may be conducted on-site or remotely. </w:t>
      </w:r>
    </w:p>
    <w:p w:rsidR="00AD7FD8" w:rsidRPr="00990D3B" w:rsidP="00BD1FC3" w14:paraId="30A14996" w14:textId="33B8E448">
      <w:pPr>
        <w:pStyle w:val="Paragraph0"/>
      </w:pPr>
      <w:r w:rsidRPr="00990D3B">
        <w:t xml:space="preserve">While the protocol is written as if the EQRO is validating network adequacy analyses conducted by the MCP, this protocol also applies to states that opt to conduct the network adequacy analysis using data submitted by the MCPs or using other data sources. Note that when states conduct network adequacy analyses under this protocol, the state (1) will conduct an analysis for each MCP rather than aggregated to the state level and (2) will need to share its analysis as well as the data used with the EQRO for validation. The EQRO will validate the indicators produced by the state as if they were calculated by the MCP. In addition, consistent with validation of other EQR activities, the EQRO may contract with a third-party vendor to conduct the data validation reported in the annual EQR technical report.  </w:t>
      </w:r>
    </w:p>
    <w:p w:rsidR="00AD7FD8" w:rsidRPr="00990D3B" w:rsidP="00BD1FC3" w14:paraId="3690BDFC" w14:textId="14279B08">
      <w:pPr>
        <w:pStyle w:val="Paragraph0"/>
      </w:pPr>
      <w:r w:rsidRPr="00990D3B">
        <w:t xml:space="preserve">Other protocols, such as </w:t>
      </w:r>
      <w:hyperlink w:anchor="Protocol2" w:tooltip="Protocol 2" w:history="1">
        <w:r w:rsidRPr="00990D3B">
          <w:rPr>
            <w:rStyle w:val="Hyperlink"/>
          </w:rPr>
          <w:t>Protocol 2</w:t>
        </w:r>
      </w:hyperlink>
      <w:r w:rsidRPr="00990D3B">
        <w:t xml:space="preserve"> (Validation of Performance Measures), </w:t>
      </w:r>
      <w:hyperlink w:anchor="Protocol3" w:tooltip="Protocol 3" w:history="1">
        <w:r w:rsidRPr="00990D3B">
          <w:rPr>
            <w:rStyle w:val="Hyperlink"/>
          </w:rPr>
          <w:t>Protocol 3</w:t>
        </w:r>
      </w:hyperlink>
      <w:r w:rsidRPr="00990D3B">
        <w:t xml:space="preserve"> (Review of Compliance with Medicaid and CHIP Managed Care Regulations, including availability of services), and </w:t>
      </w:r>
      <w:hyperlink w:anchor="Protocol5" w:tooltip="Protocol 5" w:history="1">
        <w:r w:rsidRPr="00990D3B">
          <w:rPr>
            <w:rStyle w:val="Hyperlink"/>
          </w:rPr>
          <w:t>Protocol 5</w:t>
        </w:r>
      </w:hyperlink>
      <w:r w:rsidRPr="00990D3B">
        <w:t xml:space="preserve"> (Validation of Encounter Data Reported by the  Managed Care Plan)</w:t>
      </w:r>
      <w:r w:rsidRPr="00990D3B" w:rsidR="003F685E">
        <w:t>,</w:t>
      </w:r>
      <w:r w:rsidRPr="00990D3B">
        <w:t xml:space="preserve"> may provide important information for network adequacy validation. For example, the EQRO’s compliance findings around availability of services in in </w:t>
      </w:r>
      <w:hyperlink w:anchor="Protocol3" w:tooltip="Protocol 3" w:history="1">
        <w:r w:rsidRPr="00990D3B" w:rsidR="003F685E">
          <w:rPr>
            <w:rStyle w:val="Hyperlink"/>
          </w:rPr>
          <w:t>Protocol 3</w:t>
        </w:r>
      </w:hyperlink>
      <w:r w:rsidRPr="00990D3B" w:rsidR="002545C4">
        <w:t xml:space="preserve"> </w:t>
      </w:r>
      <w:r w:rsidRPr="00990D3B">
        <w:t xml:space="preserve">could inform the validation of network adequacy. </w:t>
      </w:r>
    </w:p>
    <w:p w:rsidR="00AD7FD8" w:rsidRPr="00990D3B" w:rsidP="00BD1FC3" w14:paraId="69D532C1" w14:textId="77777777">
      <w:pPr>
        <w:pStyle w:val="H2"/>
      </w:pPr>
      <w:bookmarkStart w:id="447" w:name="_Toc183005593"/>
      <w:bookmarkStart w:id="448" w:name="_Toc201751363"/>
      <w:r w:rsidRPr="00990D3B">
        <w:t>Getting Started on Protocol 4</w:t>
      </w:r>
      <w:bookmarkEnd w:id="447"/>
      <w:bookmarkEnd w:id="448"/>
    </w:p>
    <w:p w:rsidR="00073CF4" w:rsidRPr="00990D3B" w:rsidP="00BD1FC3" w14:paraId="687AB9D8" w14:textId="513EE7ED">
      <w:pPr>
        <w:pStyle w:val="ParagraphContinued"/>
      </w:pPr>
      <w:r w:rsidRPr="00990D3B">
        <w:t>To complete this protocol, the EQRO undertakes six activities for validating network adequacy for each MCP (</w:t>
      </w:r>
      <w:hyperlink w:anchor="Fig41" w:tooltip="Figure 4.1" w:history="1">
        <w:r w:rsidRPr="00990D3B">
          <w:rPr>
            <w:rStyle w:val="Hyperlink"/>
          </w:rPr>
          <w:t>Figure 4.1</w:t>
        </w:r>
      </w:hyperlink>
      <w:r w:rsidRPr="00990D3B">
        <w:rPr>
          <w:rStyle w:val="Hyperlink"/>
          <w:color w:val="auto"/>
        </w:rPr>
        <w:t>, next page</w:t>
      </w:r>
      <w:r w:rsidRPr="00990D3B">
        <w:t>)</w:t>
      </w:r>
      <w:r w:rsidRPr="00990D3B" w:rsidR="00D77A09">
        <w:t>, all of which should be completed in the 12</w:t>
      </w:r>
      <w:r w:rsidRPr="00990D3B" w:rsidR="001B4FCC">
        <w:t xml:space="preserve"> </w:t>
      </w:r>
      <w:r w:rsidRPr="00990D3B" w:rsidR="00D77A09">
        <w:t xml:space="preserve">months </w:t>
      </w:r>
      <w:r w:rsidR="0026404E">
        <w:t>preceding</w:t>
      </w:r>
      <w:r w:rsidRPr="00990D3B" w:rsidR="00D77A09">
        <w:t xml:space="preserve"> the finalization of the annual </w:t>
      </w:r>
      <w:r w:rsidRPr="00990D3B" w:rsidR="00642030">
        <w:t>external quality review (</w:t>
      </w:r>
      <w:r w:rsidRPr="00990D3B" w:rsidR="00D77A09">
        <w:t>EQR</w:t>
      </w:r>
      <w:r w:rsidRPr="00990D3B" w:rsidR="00642030">
        <w:t>)</w:t>
      </w:r>
      <w:r w:rsidRPr="00990D3B" w:rsidR="00D77A09">
        <w:t xml:space="preserve"> technical report</w:t>
      </w:r>
      <w:r w:rsidRPr="00990D3B">
        <w:t>.</w:t>
      </w:r>
      <w:r w:rsidRPr="0026404E" w:rsidR="0026404E">
        <w:rPr>
          <w:rStyle w:val="FootnoteReference"/>
          <w:rFonts w:cstheme="minorHAnsi"/>
          <w:szCs w:val="24"/>
        </w:rPr>
        <w:t xml:space="preserve"> </w:t>
      </w:r>
      <w:r>
        <w:rPr>
          <w:rStyle w:val="FootnoteReference"/>
          <w:rFonts w:cstheme="minorHAnsi"/>
          <w:szCs w:val="24"/>
        </w:rPr>
        <w:footnoteReference w:id="70"/>
      </w:r>
      <w:r w:rsidRPr="00990D3B" w:rsidR="0026404E">
        <w:t xml:space="preserve"> </w:t>
      </w:r>
      <w:r w:rsidRPr="00990D3B">
        <w:t xml:space="preserve"> These six activities fall into three phases: </w:t>
      </w:r>
    </w:p>
    <w:p w:rsidR="00073CF4" w:rsidRPr="00990D3B" w:rsidP="006A2839" w14:paraId="39507605" w14:textId="7AEBCB3A">
      <w:pPr>
        <w:pStyle w:val="ListNumber"/>
        <w:numPr>
          <w:ilvl w:val="0"/>
          <w:numId w:val="269"/>
        </w:numPr>
      </w:pPr>
      <w:r w:rsidRPr="00990D3B">
        <w:t>P</w:t>
      </w:r>
      <w:r w:rsidRPr="00990D3B" w:rsidR="00AD7FD8">
        <w:t>lanning, which includes defining the scope of the validation (</w:t>
      </w:r>
      <w:hyperlink w:anchor="P4Act1" w:tooltip="Activity 1" w:history="1">
        <w:r w:rsidRPr="00990D3B" w:rsidR="00AD7FD8">
          <w:t>Activity 1</w:t>
        </w:r>
      </w:hyperlink>
      <w:r w:rsidRPr="00990D3B" w:rsidR="00AD7FD8">
        <w:t>), and identifying data sources (</w:t>
      </w:r>
      <w:hyperlink w:anchor="P4Act2" w:tooltip="Activity 2" w:history="1">
        <w:r w:rsidRPr="00990D3B" w:rsidR="00AD7FD8">
          <w:t>Activity 2</w:t>
        </w:r>
      </w:hyperlink>
      <w:r w:rsidRPr="00990D3B" w:rsidR="00AD7FD8">
        <w:t>)</w:t>
      </w:r>
      <w:r w:rsidRPr="00990D3B">
        <w:t>.</w:t>
      </w:r>
    </w:p>
    <w:p w:rsidR="00073CF4" w:rsidRPr="00990D3B" w:rsidP="00BA007D" w14:paraId="639A687C" w14:textId="788D2861">
      <w:pPr>
        <w:pStyle w:val="ListNumber"/>
      </w:pPr>
      <w:r w:rsidRPr="00990D3B">
        <w:t>A</w:t>
      </w:r>
      <w:r w:rsidRPr="00990D3B" w:rsidR="00AD7FD8">
        <w:t>nalysis, which includes reviewing information systems (</w:t>
      </w:r>
      <w:hyperlink w:anchor="P4Act3" w:tooltip="Activity 3" w:history="1">
        <w:r w:rsidRPr="00990D3B" w:rsidR="00AD7FD8">
          <w:rPr>
            <w:rStyle w:val="Hyperlink"/>
            <w:color w:val="auto"/>
          </w:rPr>
          <w:t>Activity 3</w:t>
        </w:r>
      </w:hyperlink>
      <w:r w:rsidRPr="00990D3B" w:rsidR="00AD7FD8">
        <w:t>), and validating data, methods and results (</w:t>
      </w:r>
      <w:hyperlink w:anchor="P4Act4" w:tooltip="Activity 4" w:history="1">
        <w:r w:rsidRPr="00990D3B" w:rsidR="00AD7FD8">
          <w:rPr>
            <w:rStyle w:val="Hyperlink"/>
            <w:color w:val="auto"/>
          </w:rPr>
          <w:t>Activity 4</w:t>
        </w:r>
      </w:hyperlink>
      <w:r w:rsidRPr="00990D3B" w:rsidR="00AD7FD8">
        <w:t>)</w:t>
      </w:r>
      <w:r w:rsidRPr="00990D3B">
        <w:t>.</w:t>
      </w:r>
    </w:p>
    <w:p w:rsidR="00AD7FD8" w:rsidRPr="00990D3B" w:rsidP="00BA007D" w14:paraId="3308F785" w14:textId="5CBC9FB4">
      <w:pPr>
        <w:pStyle w:val="ListNumber"/>
      </w:pPr>
      <w:r w:rsidRPr="00990D3B">
        <w:t>Re</w:t>
      </w:r>
      <w:r w:rsidRPr="00990D3B">
        <w:t>porting, which includes communicating preliminary findings to MCPs (</w:t>
      </w:r>
      <w:hyperlink w:anchor="P4Act5" w:tooltip="Activity 5" w:history="1">
        <w:r w:rsidRPr="00990D3B">
          <w:rPr>
            <w:rStyle w:val="Hyperlink"/>
            <w:color w:val="auto"/>
          </w:rPr>
          <w:t>Activity 5</w:t>
        </w:r>
      </w:hyperlink>
      <w:r w:rsidRPr="00990D3B">
        <w:t>)</w:t>
      </w:r>
      <w:r w:rsidRPr="00990D3B" w:rsidR="00D32B6E">
        <w:t>,</w:t>
      </w:r>
      <w:r w:rsidRPr="00990D3B">
        <w:t xml:space="preserve"> and </w:t>
      </w:r>
      <w:r w:rsidRPr="00990D3B" w:rsidR="00577584">
        <w:t>report</w:t>
      </w:r>
      <w:r w:rsidRPr="00990D3B">
        <w:t xml:space="preserve"> </w:t>
      </w:r>
      <w:r w:rsidRPr="00990D3B" w:rsidR="00426B7A">
        <w:t xml:space="preserve">results </w:t>
      </w:r>
      <w:r w:rsidRPr="00990D3B">
        <w:t>to the state (</w:t>
      </w:r>
      <w:hyperlink w:anchor="P4Act6" w:tooltip="Activity 6" w:history="1">
        <w:r w:rsidRPr="00990D3B">
          <w:rPr>
            <w:rStyle w:val="Hyperlink"/>
            <w:color w:val="auto"/>
          </w:rPr>
          <w:t>Activity 6</w:t>
        </w:r>
      </w:hyperlink>
      <w:r w:rsidRPr="00990D3B">
        <w:t>).</w:t>
      </w:r>
    </w:p>
    <w:p w:rsidR="00AD7FD8" w:rsidRPr="00990D3B" w:rsidP="00BD1FC3" w14:paraId="7A0C883F" w14:textId="77777777">
      <w:pPr>
        <w:pStyle w:val="EQRMarkforFigureTitle"/>
      </w:pPr>
      <w:bookmarkStart w:id="449" w:name="Fig41"/>
      <w:bookmarkEnd w:id="449"/>
      <w:r w:rsidRPr="00990D3B">
        <w:t>Figure 4.1. Protocol 4 Activities</w:t>
      </w:r>
    </w:p>
    <w:p w:rsidR="00AD7FD8" w:rsidRPr="00990D3B" w:rsidP="00BD1FC3" w14:paraId="4DD3DE69" w14:textId="77777777">
      <w:pPr>
        <w:pStyle w:val="EQRFigure"/>
      </w:pPr>
      <w:r w:rsidRPr="00990D3B">
        <w:drawing>
          <wp:inline distT="0" distB="0" distL="0" distR="0">
            <wp:extent cx="5806151" cy="6932428"/>
            <wp:effectExtent l="0" t="0" r="4445" b="1905"/>
            <wp:docPr id="487" name="Picture 487" descr="Protocol 4 has six activities. The first activity is to define the scope of the validation of quantitative network adequacy standards. Activity 1 has four steps: (1) obtain needed information from the state, (2) identify and define network adequacy indicators for validation, (3) identify and define provider types, and (4) establish network adequacy validation activities and timeline. The second activity is to identify data sources for validation. Activity 2 has two steps: (1) identify data sources and (2) answer additional questions about data sources. The third activity is to review information systems underlying network adequacy monitoring. Activity 3 has three steps: (1) review the MCP’s information system capacity assessment (ISCA), (2) assess processes for collecting network adequacy data not addressed in the ISCA, and (3) interview MCP or other personnel. The fourth activity is to validate network adequacy assessment data, methods, and results. Activity 4 has four steps: (1) assess the reliability and validity of MCP network adequacy data, (2) assess the methods used by MCPs to assess network adequacy, (3) validate network adequacy results submitted by MCPs, and (4) summarize network adequacy validation findings. The fifth activity is to communicate preliminary findings to each MCP. The sixth activity is to submit findings to the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Picture 487" descr="Protocol 4 has six activities. The first activity is to define the scope of the validation of quantitative network adequacy standards. Activity 1 has four steps: (1) obtain needed information from the state, (2) identify and define network adequacy indicators for validation, (3) identify and define provider types, and (4) establish network adequacy validation activities and timeline. The second activity is to identify data sources for validation. Activity 2 has two steps: (1) identify data sources and (2) answer additional questions about data sources. The third activity is to review information systems underlying network adequacy monitoring. Activity 3 has three steps: (1) review the MCP’s information system capacity assessment (ISCA), (2) assess processes for collecting network adequacy data not addressed in the ISCA, and (3) interview MCP or other personnel. The fourth activity is to validate network adequacy assessment data, methods, and results. Activity 4 has four steps: (1) assess the reliability and validity of MCP network adequacy data, (2) assess the methods used by MCPs to assess network adequacy, (3) validate network adequacy results submitted by MCPs, and (4) summarize network adequacy validation findings. The fifth activity is to communicate preliminary findings to each MCP. The sixth activity is to submit findings to the state."/>
                    <pic:cNvPicPr>
                      <a:picLocks noChangeAspect="1" noChangeArrowheads="1"/>
                    </pic:cNvPicPr>
                  </pic:nvPicPr>
                  <pic:blipFill>
                    <a:blip xmlns:r="http://schemas.openxmlformats.org/officeDocument/2006/relationships" r:embed="rId150">
                      <a:extLst>
                        <a:ext xmlns:a="http://schemas.openxmlformats.org/drawingml/2006/main" uri="{28A0092B-C50C-407E-A947-70E740481C1C}">
                          <a14:useLocalDpi xmlns:a14="http://schemas.microsoft.com/office/drawing/2010/main" val="0"/>
                        </a:ext>
                      </a:extLst>
                    </a:blip>
                    <a:stretch>
                      <a:fillRect/>
                    </a:stretch>
                  </pic:blipFill>
                  <pic:spPr bwMode="auto">
                    <a:xfrm>
                      <a:off x="0" y="0"/>
                      <a:ext cx="5811181" cy="6938434"/>
                    </a:xfrm>
                    <a:prstGeom prst="rect">
                      <a:avLst/>
                    </a:prstGeom>
                    <a:noFill/>
                    <a:ln>
                      <a:noFill/>
                    </a:ln>
                  </pic:spPr>
                </pic:pic>
              </a:graphicData>
            </a:graphic>
          </wp:inline>
        </w:drawing>
      </w:r>
    </w:p>
    <w:p w:rsidR="00AD7FD8" w:rsidRPr="00990D3B" w:rsidP="00BD1FC3" w14:paraId="54082FFE" w14:textId="05958288">
      <w:pPr>
        <w:pStyle w:val="ParagraphContinued"/>
        <w:keepNext/>
      </w:pPr>
      <w:r w:rsidRPr="00990D3B">
        <w:t xml:space="preserve">The steps associated with </w:t>
      </w:r>
      <w:hyperlink w:anchor="P4Act1" w:tooltip="Activities 1" w:history="1">
        <w:r w:rsidRPr="00990D3B">
          <w:rPr>
            <w:rStyle w:val="Hyperlink"/>
            <w:color w:val="auto"/>
          </w:rPr>
          <w:t>Activities 1</w:t>
        </w:r>
      </w:hyperlink>
      <w:r w:rsidRPr="00990D3B">
        <w:t xml:space="preserve"> through </w:t>
      </w:r>
      <w:hyperlink w:anchor="P4Act6" w:tooltip="6" w:history="1">
        <w:r w:rsidRPr="00990D3B">
          <w:rPr>
            <w:rStyle w:val="Hyperlink"/>
            <w:color w:val="auto"/>
          </w:rPr>
          <w:t>6</w:t>
        </w:r>
      </w:hyperlink>
      <w:r w:rsidRPr="00990D3B">
        <w:t xml:space="preserve"> are outlined below. Two supplemental resources are available to help EQROs validate network adequacy:</w:t>
      </w:r>
    </w:p>
    <w:p w:rsidR="009D2A5B" w:rsidRPr="00990D3B" w:rsidP="00FB7CAF" w14:paraId="0BE67EF7" w14:textId="6DDAFB3D">
      <w:pPr>
        <w:pStyle w:val="EQRBulletBLUE"/>
        <w:rPr>
          <w:rFonts w:ascii="Arial" w:hAnsi="Arial" w:cs="Arial"/>
          <w:sz w:val="22"/>
          <w:szCs w:val="22"/>
        </w:rPr>
      </w:pPr>
      <w:hyperlink w:anchor="WS4" w:tooltip="Worksheets for Protocol 4" w:history="1">
        <w:r w:rsidRPr="00990D3B">
          <w:rPr>
            <w:rStyle w:val="Hyperlink"/>
          </w:rPr>
          <w:t>Worksheets for Protocol 4</w:t>
        </w:r>
      </w:hyperlink>
      <w:r w:rsidRPr="00990D3B">
        <w:t xml:space="preserve"> that EQROs can use to identify network adequacy indicators and </w:t>
      </w:r>
      <w:r w:rsidRPr="00990D3B">
        <w:rPr>
          <w:spacing w:val="-2"/>
          <w:lang w:bidi="en-US"/>
        </w:rPr>
        <w:t>needed data sources</w:t>
      </w:r>
      <w:r w:rsidRPr="00990D3B">
        <w:t xml:space="preserve"> for validation; </w:t>
      </w:r>
      <w:r w:rsidRPr="00990D3B">
        <w:rPr>
          <w:spacing w:val="-2"/>
          <w:lang w:bidi="en-US"/>
        </w:rPr>
        <w:t xml:space="preserve">note </w:t>
      </w:r>
      <w:r w:rsidRPr="00990D3B">
        <w:rPr>
          <w:rStyle w:val="NormalSSChar"/>
          <w:rFonts w:eastAsia="Calibri"/>
          <w:szCs w:val="22"/>
        </w:rPr>
        <w:t xml:space="preserve">concerns about MCP data; </w:t>
      </w:r>
      <w:r w:rsidRPr="00990D3B">
        <w:t>guide the validation of MCP network adequacy data, data analysis, and results; and organize findings. States and EQROs are encouraged, but not required, to use the worksheets. The worksheets are intended to help structure the way information is collected and reported by EQROs and to promote compliance with the Network Adequacy Validation protocol.</w:t>
      </w:r>
    </w:p>
    <w:p w:rsidR="001B4896" w:rsidRPr="00990D3B" w:rsidP="00FB7CAF" w14:paraId="3F5E6409" w14:textId="6F53650D">
      <w:pPr>
        <w:pStyle w:val="EQRBulletBLUE"/>
      </w:pPr>
      <w:hyperlink w:anchor="AppB" w:tooltip="Appendix B. Information System Capabilities Assessment" w:history="1">
        <w:r w:rsidRPr="00990D3B">
          <w:rPr>
            <w:rStyle w:val="Hyperlink"/>
            <w:rFonts w:eastAsia="Calibri"/>
          </w:rPr>
          <w:t>Appendix B</w:t>
        </w:r>
        <w:r w:rsidRPr="00990D3B" w:rsidR="00AD7FD8">
          <w:rPr>
            <w:rStyle w:val="Hyperlink"/>
            <w:rFonts w:eastAsia="Calibri"/>
          </w:rPr>
          <w:t>. Information System Capabilities Assessment</w:t>
        </w:r>
      </w:hyperlink>
      <w:r w:rsidRPr="00990D3B" w:rsidR="00AD7FD8">
        <w:t>, which can be used to assess the MCP’s data collection, processing, and reporting systems</w:t>
      </w:r>
      <w:r w:rsidRPr="00990D3B" w:rsidR="00D31A02">
        <w:t>.</w:t>
      </w:r>
    </w:p>
    <w:p w:rsidR="00AD7FD8" w:rsidRPr="00990D3B" w:rsidP="00AC49C6" w14:paraId="1A352715" w14:textId="2BA3B97E">
      <w:pPr>
        <w:pStyle w:val="ParagraphContinued"/>
      </w:pPr>
      <w:r w:rsidRPr="00990D3B">
        <w:t>T</w:t>
      </w:r>
      <w:r w:rsidRPr="00990D3B">
        <w:t>he following toolkits provide additional information and resources for states and EQROs:</w:t>
      </w:r>
    </w:p>
    <w:p w:rsidR="00AD7FD8" w:rsidRPr="00990D3B" w:rsidP="00FB7CAF" w14:paraId="04291066" w14:textId="15584601">
      <w:pPr>
        <w:pStyle w:val="EQRBulletBLUE"/>
      </w:pPr>
      <w:r w:rsidRPr="00990D3B">
        <w:t xml:space="preserve">“Promoting Access in Medicaid and CHIP Managed Care: A Toolkit for Ensuring Provider Network Adequacy and Service Availability,” which contains additional information and resources about the validation process. This toolkit is available at </w:t>
      </w:r>
      <w:hyperlink r:id="rId151" w:tooltip="Promoting Access in Medicaid and CHIP Managed Care: A Toolkit for Ensuring Provider Network Adequacy and Service Availability." w:history="1">
        <w:r w:rsidRPr="00990D3B">
          <w:rPr>
            <w:rStyle w:val="Hyperlink"/>
          </w:rPr>
          <w:t>https://www.medicaid.gov/medicaid/downloads/adequacy-and-access-toolkit.pdf</w:t>
        </w:r>
      </w:hyperlink>
      <w:r w:rsidRPr="00990D3B">
        <w:t xml:space="preserve">.  </w:t>
      </w:r>
    </w:p>
    <w:p w:rsidR="00AD7FD8" w:rsidRPr="00990D3B" w:rsidP="00FB7CAF" w14:paraId="3666BC46" w14:textId="164880AF">
      <w:pPr>
        <w:pStyle w:val="EQRBulletBLUE"/>
      </w:pPr>
      <w:r w:rsidRPr="00990D3B">
        <w:t xml:space="preserve">“Promoting Access in Medicaid and CHIP Managed Care: Behavioral Health Provider Network Adequacy Toolkit,” which contains information focused on network adequacy and service availability standards for behavioral health. This toolkit is available at </w:t>
      </w:r>
      <w:hyperlink r:id="rId152" w:tooltip="Promoting Access in Medicaid and CHIP Managed Care: Behavioral Health Provider Network Adequacy Toolkit." w:history="1">
        <w:r w:rsidRPr="00990D3B">
          <w:rPr>
            <w:rStyle w:val="Hyperlink"/>
            <w:rFonts w:cs="Arial"/>
            <w:szCs w:val="22"/>
          </w:rPr>
          <w:t>https://www.medicaid.gov/medicaid/downloads/behavior-health-provider-network-adequacy-toolkit.pdf</w:t>
        </w:r>
      </w:hyperlink>
      <w:r w:rsidRPr="00990D3B">
        <w:t xml:space="preserve">. </w:t>
      </w:r>
    </w:p>
    <w:p w:rsidR="00AD7FD8" w:rsidRPr="00990D3B" w:rsidP="00B5252D" w14:paraId="1E518B25" w14:textId="77777777">
      <w:pPr>
        <w:pStyle w:val="ParagraphContinued"/>
      </w:pPr>
    </w:p>
    <w:p w:rsidR="00AD7FD8" w:rsidRPr="00990D3B" w:rsidP="00BD1FC3" w14:paraId="3953C962" w14:textId="77777777">
      <w:pPr>
        <w:pStyle w:val="EQRFigure"/>
      </w:pPr>
      <w:r w:rsidRPr="00990D3B">
        <w:drawing>
          <wp:inline distT="0" distB="0" distL="0" distR="0">
            <wp:extent cx="5236475" cy="1191770"/>
            <wp:effectExtent l="0" t="0" r="2540" b="8890"/>
            <wp:docPr id="491" name="Picture 491" descr="TIP: Navigate to the corresponding worksheet by clicking the WORKSHEET box under each section. An image of a sample WORKSHEET box is included in the TIP text. Worksheet boxes are single lines of hyperlinked text with a box border that read &quot;Worksheet X.X&quot; with the first number representing the protocol number, and second number representing the worksheet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Picture 491" descr="TIP: Navigate to the corresponding worksheet by clicking the WORKSHEET box under each section. An image of a sample WORKSHEET box is included in the TIP text. Worksheet boxes are single lines of hyperlinked text with a box border that read &quot;Worksheet X.X&quot; with the first number representing the protocol number, and second number representing the worksheet number."/>
                    <pic:cNvPicPr/>
                  </pic:nvPicPr>
                  <pic:blipFill>
                    <a:blip xmlns:r="http://schemas.openxmlformats.org/officeDocument/2006/relationships" r:embed="rId10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36475" cy="1191770"/>
                    </a:xfrm>
                    <a:prstGeom prst="rect">
                      <a:avLst/>
                    </a:prstGeom>
                  </pic:spPr>
                </pic:pic>
              </a:graphicData>
            </a:graphic>
          </wp:inline>
        </w:drawing>
      </w:r>
    </w:p>
    <w:p w:rsidR="00AC49C6" w:rsidRPr="00990D3B" w14:paraId="7296574B" w14:textId="085211C4">
      <w:pPr>
        <w:spacing w:line="240" w:lineRule="auto"/>
        <w:rPr>
          <w:rFonts w:eastAsiaTheme="minorHAnsi"/>
          <w:noProof/>
          <w:sz w:val="20"/>
        </w:rPr>
      </w:pPr>
      <w:r w:rsidRPr="00990D3B">
        <w:br w:type="page"/>
      </w:r>
    </w:p>
    <w:p w:rsidR="00AD7FD8" w:rsidRPr="00990D3B" w:rsidP="00BD1FC3" w14:paraId="5E617E41" w14:textId="179F8695">
      <w:pPr>
        <w:pStyle w:val="H2"/>
      </w:pPr>
      <w:bookmarkStart w:id="450" w:name="ACT4n1"/>
      <w:bookmarkStart w:id="451" w:name="Pro4Act1"/>
      <w:bookmarkStart w:id="452" w:name="P4Act1"/>
      <w:bookmarkStart w:id="453" w:name="_Toc183005594"/>
      <w:bookmarkStart w:id="454" w:name="_Toc201751364"/>
      <w:bookmarkEnd w:id="450"/>
      <w:bookmarkEnd w:id="451"/>
      <w:bookmarkEnd w:id="452"/>
      <w:r w:rsidRPr="00990D3B">
        <w:t xml:space="preserve">Activity 1: Define the </w:t>
      </w:r>
      <w:r w:rsidRPr="00990D3B" w:rsidR="00673448">
        <w:t>S</w:t>
      </w:r>
      <w:r w:rsidRPr="00990D3B">
        <w:t xml:space="preserve">cope of the </w:t>
      </w:r>
      <w:r w:rsidRPr="00990D3B" w:rsidR="00673448">
        <w:t>V</w:t>
      </w:r>
      <w:r w:rsidRPr="00990D3B">
        <w:t xml:space="preserve">alidation of </w:t>
      </w:r>
      <w:r w:rsidRPr="00990D3B" w:rsidR="00673448">
        <w:t>Q</w:t>
      </w:r>
      <w:r w:rsidRPr="00990D3B">
        <w:t xml:space="preserve">uantitative </w:t>
      </w:r>
      <w:r w:rsidRPr="00990D3B" w:rsidR="00673448">
        <w:t>N</w:t>
      </w:r>
      <w:r w:rsidRPr="00990D3B">
        <w:t xml:space="preserve">etwork </w:t>
      </w:r>
      <w:r w:rsidRPr="00990D3B" w:rsidR="00673448">
        <w:t>A</w:t>
      </w:r>
      <w:r w:rsidRPr="00990D3B">
        <w:t xml:space="preserve">dequacy </w:t>
      </w:r>
      <w:r w:rsidRPr="00990D3B" w:rsidR="00673448">
        <w:t>S</w:t>
      </w:r>
      <w:r w:rsidRPr="00990D3B">
        <w:t>tandards</w:t>
      </w:r>
      <w:bookmarkEnd w:id="453"/>
      <w:bookmarkEnd w:id="454"/>
    </w:p>
    <w:p w:rsidR="00346BF3" w:rsidRPr="00990D3B" w:rsidP="00AC49C6" w14:paraId="5D3572A8" w14:textId="02D9F142">
      <w:pPr>
        <w:pStyle w:val="ParagraphContinued"/>
      </w:pPr>
      <w:r w:rsidRPr="00990D3B">
        <w:t xml:space="preserve">Activity 1 is intended to ensure the EQRO has a complete understanding of the network adequacy standards and methods used by the state and MCPs to monitor network adequacy. This activity guides the state and EQRO in outlining all activities that will be conducted as part of the network adequacy validation. </w:t>
      </w:r>
    </w:p>
    <w:p w:rsidR="00AD7FD8" w:rsidRPr="00990D3B" w:rsidP="00BD1FC3" w14:paraId="667C7836" w14:textId="2A7AB804">
      <w:pPr>
        <w:pStyle w:val="H3"/>
      </w:pPr>
      <w:bookmarkStart w:id="455" w:name="P4Act1Step1"/>
      <w:bookmarkEnd w:id="455"/>
      <w:r w:rsidRPr="00990D3B">
        <w:t>Step 1: Obtain Needed Information from the State</w:t>
      </w:r>
    </w:p>
    <w:p w:rsidR="00E45F1F" w:rsidRPr="00990D3B" w:rsidP="00BD1FC3" w14:paraId="54BD1CF1" w14:textId="2B616853">
      <w:pPr>
        <w:pStyle w:val="Paragraph0"/>
      </w:pPr>
      <w:bookmarkStart w:id="456" w:name="_Hlk91584906"/>
      <w:r w:rsidRPr="00990D3B">
        <w:rPr>
          <w:noProof/>
        </w:rPr>
        <mc:AlternateContent>
          <mc:Choice Requires="wps">
            <w:drawing>
              <wp:anchor distT="0" distB="0" distL="114300" distR="114300" simplePos="0" relativeHeight="251682816" behindDoc="0" locked="0" layoutInCell="1" allowOverlap="1">
                <wp:simplePos x="0" y="0"/>
                <wp:positionH relativeFrom="column">
                  <wp:posOffset>3898900</wp:posOffset>
                </wp:positionH>
                <wp:positionV relativeFrom="paragraph">
                  <wp:posOffset>429895</wp:posOffset>
                </wp:positionV>
                <wp:extent cx="2195195" cy="1453515"/>
                <wp:effectExtent l="19050" t="19050" r="14605" b="13970"/>
                <wp:wrapTight wrapText="bothSides">
                  <wp:wrapPolygon>
                    <wp:start x="21787" y="21883"/>
                    <wp:lineTo x="21787" y="76"/>
                    <wp:lineTo x="44" y="76"/>
                    <wp:lineTo x="44" y="21883"/>
                    <wp:lineTo x="21787" y="21883"/>
                  </wp:wrapPolygon>
                </wp:wrapTight>
                <wp:docPr id="513269991" name="Text Box 1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453515"/>
                        </a:xfrm>
                        <a:prstGeom prst="rect">
                          <a:avLst/>
                        </a:prstGeom>
                        <a:solidFill>
                          <a:srgbClr val="EEF5F8"/>
                        </a:solidFill>
                        <a:ln w="28575" cap="rnd">
                          <a:solidFill>
                            <a:srgbClr val="A5DAD9"/>
                          </a:solidFill>
                          <a:prstDash val="solid"/>
                          <a:miter lim="800000"/>
                          <a:headEnd/>
                          <a:tailEnd/>
                        </a:ln>
                      </wps:spPr>
                      <wps:txbx>
                        <w:txbxContent>
                          <w:p w:rsidR="00ED33C3" w:rsidRPr="003F0279" w:rsidP="000F67F7" w14:textId="77777777">
                            <w:pPr>
                              <w:pStyle w:val="EQRTextboxbody"/>
                              <w:rPr>
                                <w:rFonts w:ascii="Arial Black" w:hAnsi="Arial Black" w:cs="Arial"/>
                                <w:szCs w:val="17"/>
                              </w:rPr>
                            </w:pPr>
                            <w:r w:rsidRPr="003F0279">
                              <w:rPr>
                                <w:rFonts w:ascii="Arial Black" w:hAnsi="Arial Black" w:cs="Arial"/>
                                <w:szCs w:val="17"/>
                              </w:rPr>
                              <w:t>Resource for Activity 1, Step 1</w:t>
                            </w:r>
                          </w:p>
                          <w:p w:rsidR="00ED33C3" w:rsidRPr="003F0279" w:rsidP="000F67F7" w14:textId="5F0BD48A">
                            <w:pPr>
                              <w:pStyle w:val="EQRTextboxbody"/>
                            </w:pPr>
                            <w:hyperlink w:anchor="WS41" w:tooltip="Worksheet 4.1. State Network Adequacy Standards to be Validated" w:history="1">
                              <w:r w:rsidRPr="009E0512">
                                <w:rPr>
                                  <w:rStyle w:val="Hyperlink"/>
                                </w:rPr>
                                <w:t>Worksheet 4.1. State Network Adequacy Standards to be Validated</w:t>
                              </w:r>
                            </w:hyperlink>
                          </w:p>
                          <w:p w:rsidR="00ED33C3" w:rsidRPr="0090682E" w:rsidP="000F67F7" w14:textId="77777777">
                            <w:pPr>
                              <w:pStyle w:val="EQRTextboxbullet"/>
                              <w:rPr>
                                <w:spacing w:val="-2"/>
                              </w:rPr>
                            </w:pPr>
                            <w:r w:rsidRPr="003F0279">
                              <w:t xml:space="preserve">Provides a template </w:t>
                            </w:r>
                            <w:r>
                              <w:t>to</w:t>
                            </w:r>
                            <w:r w:rsidRPr="003F0279">
                              <w:t xml:space="preserve"> identif</w:t>
                            </w:r>
                            <w:r>
                              <w:t>y</w:t>
                            </w:r>
                            <w:r w:rsidRPr="003F0279">
                              <w:t xml:space="preserve"> all state network adequacy standards that </w:t>
                            </w:r>
                            <w:r>
                              <w:t>must</w:t>
                            </w:r>
                            <w:r w:rsidRPr="003F0279">
                              <w:t xml:space="preserve"> be addressed in the validation</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3" o:spid="_x0000_s1144" type="#_x0000_t202" style="width:172.85pt;height:114.45pt;margin-top:33.85pt;margin-left:307pt;flip:y;mso-height-percent:0;mso-height-relative:page;mso-width-percent:0;mso-width-relative:page;mso-wrap-distance-bottom:0;mso-wrap-distance-left:9pt;mso-wrap-distance-right:9pt;mso-wrap-distance-top:0;mso-wrap-style:square;position:absolute;rotation:180;visibility:visible;v-text-anchor:top;z-index:251683840" fillcolor="#eef5f8" strokecolor="#a5dad9" strokeweight="2.25pt">
                <v:stroke endcap="round"/>
                <v:textbox style="mso-fit-shape-to-text:t" inset="8.64pt,,8.64pt">
                  <w:txbxContent>
                    <w:p w:rsidR="00ED33C3" w:rsidRPr="003F0279" w:rsidP="000F67F7" w14:paraId="68507159" w14:textId="77777777">
                      <w:pPr>
                        <w:pStyle w:val="EQRTextboxbody"/>
                        <w:rPr>
                          <w:rFonts w:ascii="Arial Black" w:hAnsi="Arial Black" w:cs="Arial"/>
                          <w:szCs w:val="17"/>
                        </w:rPr>
                      </w:pPr>
                      <w:r w:rsidRPr="003F0279">
                        <w:rPr>
                          <w:rFonts w:ascii="Arial Black" w:hAnsi="Arial Black" w:cs="Arial"/>
                          <w:szCs w:val="17"/>
                        </w:rPr>
                        <w:t>Resource for Activity 1, Step 1</w:t>
                      </w:r>
                    </w:p>
                    <w:p w:rsidR="00ED33C3" w:rsidRPr="003F0279" w:rsidP="000F67F7" w14:paraId="711944F6" w14:textId="5F0BD48A">
                      <w:pPr>
                        <w:pStyle w:val="EQRTextboxbody"/>
                      </w:pPr>
                      <w:hyperlink w:anchor="WS41" w:tooltip="Worksheet 4.1. State Network Adequacy Standards to be Validated" w:history="1">
                        <w:r w:rsidRPr="009E0512">
                          <w:rPr>
                            <w:rStyle w:val="Hyperlink"/>
                          </w:rPr>
                          <w:t>Worksheet 4.1. State Network Adequacy Standards to be Validated</w:t>
                        </w:r>
                      </w:hyperlink>
                    </w:p>
                    <w:p w:rsidR="00ED33C3" w:rsidRPr="0090682E" w:rsidP="000F67F7" w14:paraId="71778534" w14:textId="77777777">
                      <w:pPr>
                        <w:pStyle w:val="EQRTextboxbullet"/>
                        <w:rPr>
                          <w:spacing w:val="-2"/>
                        </w:rPr>
                      </w:pPr>
                      <w:r w:rsidRPr="003F0279">
                        <w:t xml:space="preserve">Provides a template </w:t>
                      </w:r>
                      <w:r>
                        <w:t>to</w:t>
                      </w:r>
                      <w:r w:rsidRPr="003F0279">
                        <w:t xml:space="preserve"> identif</w:t>
                      </w:r>
                      <w:r>
                        <w:t>y</w:t>
                      </w:r>
                      <w:r w:rsidRPr="003F0279">
                        <w:t xml:space="preserve"> all state network adequacy standards that </w:t>
                      </w:r>
                      <w:r>
                        <w:t>must</w:t>
                      </w:r>
                      <w:r w:rsidRPr="003F0279">
                        <w:t xml:space="preserve"> be addressed in the validation</w:t>
                      </w:r>
                    </w:p>
                  </w:txbxContent>
                </v:textbox>
                <w10:wrap type="tight"/>
              </v:shape>
            </w:pict>
          </mc:Fallback>
        </mc:AlternateContent>
      </w:r>
      <w:r w:rsidRPr="00990D3B">
        <w:rPr>
          <w:noProof/>
        </w:rPr>
        <mc:AlternateContent>
          <mc:Choice Requires="wps">
            <w:drawing>
              <wp:anchor distT="0" distB="0" distL="114300" distR="114300" simplePos="0" relativeHeight="251684864" behindDoc="0" locked="0" layoutInCell="1" allowOverlap="1">
                <wp:simplePos x="0" y="0"/>
                <wp:positionH relativeFrom="column">
                  <wp:posOffset>3898900</wp:posOffset>
                </wp:positionH>
                <wp:positionV relativeFrom="paragraph">
                  <wp:posOffset>68742</wp:posOffset>
                </wp:positionV>
                <wp:extent cx="2194560" cy="297815"/>
                <wp:effectExtent l="19050" t="19050" r="15240" b="26670"/>
                <wp:wrapTight wrapText="bothSides">
                  <wp:wrapPolygon>
                    <wp:start x="21788" y="22985"/>
                    <wp:lineTo x="21788" y="-554"/>
                    <wp:lineTo x="38" y="-554"/>
                    <wp:lineTo x="38" y="22985"/>
                    <wp:lineTo x="21788" y="22985"/>
                  </wp:wrapPolygon>
                </wp:wrapTight>
                <wp:docPr id="967147404" name="Text Box 14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0F67F7" w14:textId="4499DA66">
                            <w:pPr>
                              <w:pStyle w:val="EQRWORKSHEETText"/>
                              <w:rPr>
                                <w:spacing w:val="-2"/>
                              </w:rPr>
                            </w:pPr>
                            <w:hyperlink w:anchor="WS41" w:tooltip="WORKSHEET 4.1" w:history="1">
                              <w:r w:rsidRPr="00402D20">
                                <w:rPr>
                                  <w:rStyle w:val="Hyperlink"/>
                                </w:rPr>
                                <w:t>WORKSHEET 4.1</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2" o:spid="_x0000_s1145" type="#_x0000_t202" style="width:172.8pt;height:23.45pt;margin-top:5.4pt;margin-left:307pt;flip:y;mso-height-percent:0;mso-height-relative:page;mso-width-percent:0;mso-width-relative:page;mso-wrap-distance-bottom:0;mso-wrap-distance-left:9pt;mso-wrap-distance-right:9pt;mso-wrap-distance-top:0;mso-wrap-style:square;position:absolute;rotation:180;visibility:visible;v-text-anchor:top;z-index:251685888" fillcolor="#eef5f8" strokecolor="#a5dad9" strokeweight="2.25pt">
                <v:stroke endcap="round"/>
                <v:textbox style="mso-fit-shape-to-text:t" inset="8.64pt,,8.64pt">
                  <w:txbxContent>
                    <w:p w:rsidR="00ED33C3" w:rsidRPr="0090682E" w:rsidP="000F67F7" w14:paraId="15C0225E" w14:textId="4499DA66">
                      <w:pPr>
                        <w:pStyle w:val="EQRWORKSHEETText"/>
                        <w:rPr>
                          <w:spacing w:val="-2"/>
                        </w:rPr>
                      </w:pPr>
                      <w:hyperlink w:anchor="WS41" w:tooltip="WORKSHEET 4.1" w:history="1">
                        <w:r w:rsidRPr="00402D20">
                          <w:rPr>
                            <w:rStyle w:val="Hyperlink"/>
                          </w:rPr>
                          <w:t>WORKSHEET 4.1</w:t>
                        </w:r>
                      </w:hyperlink>
                    </w:p>
                  </w:txbxContent>
                </v:textbox>
                <w10:wrap type="tight"/>
              </v:shape>
            </w:pict>
          </mc:Fallback>
        </mc:AlternateContent>
      </w:r>
      <w:r w:rsidRPr="00990D3B" w:rsidR="007B7221">
        <w:t>In this step,</w:t>
      </w:r>
      <w:r w:rsidRPr="00990D3B" w:rsidR="00AD7FD8">
        <w:t xml:space="preserve"> the state </w:t>
      </w:r>
      <w:r w:rsidRPr="00990D3B" w:rsidR="002935B5">
        <w:t>shares the</w:t>
      </w:r>
      <w:r w:rsidRPr="00990D3B" w:rsidR="00AD7FD8">
        <w:t xml:space="preserve"> applicable network adequacy standards, including (1) quantitative standards developed by the state under </w:t>
      </w:r>
      <w:r w:rsidRPr="00990D3B" w:rsidR="001C7FC0">
        <w:t>42 C.F.R.</w:t>
      </w:r>
      <w:r w:rsidRPr="00990D3B" w:rsidR="00AD7FD8">
        <w:t xml:space="preserve"> 438.68(b) (adopted by CHIP at </w:t>
      </w:r>
      <w:r w:rsidRPr="00990D3B" w:rsidR="001C7FC0">
        <w:t>42 C.F.R.</w:t>
      </w:r>
      <w:r w:rsidRPr="00990D3B" w:rsidR="00AD7FD8">
        <w:t xml:space="preserve"> 457.1218); (2) the standard for MCPs to include sufficient IHCPs in their provider networks, if the state enrolls AI/AN beneficiaries in managed care</w:t>
      </w:r>
      <w:r w:rsidRPr="00990D3B" w:rsidR="00E03DF4">
        <w:t>; and (3) any other state-specific standards</w:t>
      </w:r>
      <w:r w:rsidRPr="00990D3B" w:rsidR="00AD7FD8">
        <w:t xml:space="preserve">. </w:t>
      </w:r>
      <w:hyperlink w:anchor="WS41" w:tooltip="Worksheet 4.1" w:history="1">
        <w:r w:rsidRPr="00990D3B" w:rsidR="00AD7FD8">
          <w:rPr>
            <w:rStyle w:val="Hyperlink"/>
          </w:rPr>
          <w:t>Worksheet 4.1</w:t>
        </w:r>
      </w:hyperlink>
      <w:r w:rsidRPr="00990D3B" w:rsidR="00AD7FD8">
        <w:t xml:space="preserve"> may be used for this purpose.  </w:t>
      </w:r>
    </w:p>
    <w:p w:rsidR="00AD7FD8" w:rsidRPr="00990D3B" w:rsidP="00BD1FC3" w14:paraId="501CA002" w14:textId="6A8A3FC3">
      <w:pPr>
        <w:pStyle w:val="Paragraph0"/>
      </w:pPr>
      <w:r w:rsidRPr="00990D3B">
        <w:t xml:space="preserve">At the outset of Activity 1, the state must provide the EQRO with the following information, for validation: </w:t>
      </w:r>
    </w:p>
    <w:p w:rsidR="00AD7FD8" w:rsidRPr="00990D3B" w:rsidP="00FB7CAF" w14:paraId="7533583F" w14:textId="4085174C">
      <w:pPr>
        <w:pStyle w:val="EQRBulletBLUE"/>
      </w:pPr>
      <w:r w:rsidRPr="00990D3B">
        <w:rPr>
          <w:b/>
          <w:bCs/>
        </w:rPr>
        <w:t>Detailed list of the state’s quantitative network adequacy standards, by provider and plan type, as specified in the state’s contracts with MCPs.</w:t>
      </w:r>
      <w:r w:rsidRPr="00990D3B">
        <w:t xml:space="preserve"> This should include network adequacy standards for adult and pediatric primary care providers, OB/GYN</w:t>
      </w:r>
      <w:r w:rsidRPr="00990D3B" w:rsidR="00E45F1F">
        <w:t>s</w:t>
      </w:r>
      <w:r w:rsidRPr="00990D3B">
        <w:t>, adult and pediatric behavioral health providers, adult and pediatric specialists, hospitals, pharmacists, pediatric dental providers, and LTSS providers, as applicable.</w:t>
      </w:r>
      <w:r w:rsidRPr="00990D3B" w:rsidR="0021027B">
        <w:t xml:space="preserve"> </w:t>
      </w:r>
      <w:r w:rsidRPr="00990D3B" w:rsidR="00FE57DE">
        <w:t xml:space="preserve">If the state has additional standards for specialty providers, those should also be provided. </w:t>
      </w:r>
      <w:r w:rsidRPr="00990D3B">
        <w:t>The state should note how standards vary by MCP type, and across urban, rural</w:t>
      </w:r>
      <w:r w:rsidRPr="00990D3B" w:rsidR="00095172">
        <w:t>,</w:t>
      </w:r>
      <w:r w:rsidRPr="00990D3B">
        <w:t xml:space="preserve"> and frontier regions, and provide the criteria used to designate urban, rural</w:t>
      </w:r>
      <w:r w:rsidRPr="00990D3B" w:rsidR="00095172">
        <w:t>,</w:t>
      </w:r>
      <w:r w:rsidRPr="00990D3B">
        <w:t xml:space="preserve"> and frontier regions.</w:t>
      </w:r>
    </w:p>
    <w:p w:rsidR="00A64ED7" w:rsidRPr="00990D3B" w:rsidP="00FB7CAF" w14:paraId="04989EC5" w14:textId="12CBD699">
      <w:pPr>
        <w:pStyle w:val="EQRBulletBLUE"/>
      </w:pPr>
      <w:r w:rsidRPr="00990D3B">
        <w:rPr>
          <w:b/>
          <w:bCs/>
        </w:rPr>
        <w:t>Description of network adequacy data and documentation that MCPs submit to the state to demonstrate compliance with network adequacy standards</w:t>
      </w:r>
      <w:r w:rsidRPr="00990D3B" w:rsidR="001B4896">
        <w:rPr>
          <w:b/>
          <w:bCs/>
        </w:rPr>
        <w:t>.</w:t>
      </w:r>
      <w:r w:rsidRPr="00990D3B" w:rsidR="001B4896">
        <w:t xml:space="preserve"> I</w:t>
      </w:r>
      <w:r w:rsidRPr="00990D3B">
        <w:t>ncluding the following:</w:t>
      </w:r>
    </w:p>
    <w:p w:rsidR="00A64ED7" w:rsidRPr="00990D3B" w:rsidP="00411ED7" w14:paraId="18B7D8D8" w14:textId="38843FAA">
      <w:pPr>
        <w:pStyle w:val="EQRBulletBLUE2ndlevel"/>
      </w:pPr>
      <w:r w:rsidRPr="00990D3B">
        <w:t>A list of data and documentation that MCPs submit to the state to demonstrate compliance</w:t>
      </w:r>
      <w:r w:rsidRPr="00990D3B">
        <w:t>.</w:t>
      </w:r>
      <w:r w:rsidRPr="00990D3B">
        <w:t xml:space="preserve"> </w:t>
      </w:r>
    </w:p>
    <w:p w:rsidR="00A64ED7" w:rsidRPr="00990D3B" w:rsidP="00411ED7" w14:paraId="605F4CFC" w14:textId="77777777">
      <w:pPr>
        <w:pStyle w:val="EQRBulletBLUE2ndlevel"/>
      </w:pPr>
      <w:r w:rsidRPr="00990D3B">
        <w:t>Frequency with which MCPs must submit each type of data and documentation</w:t>
      </w:r>
      <w:r w:rsidRPr="00990D3B">
        <w:t>.</w:t>
      </w:r>
    </w:p>
    <w:p w:rsidR="00A64ED7" w:rsidRPr="00990D3B" w:rsidP="00411ED7" w14:paraId="5D51C179" w14:textId="61C6E90F">
      <w:pPr>
        <w:pStyle w:val="EQRBulletBLUE2ndlevel"/>
      </w:pPr>
      <w:r w:rsidRPr="00990D3B">
        <w:t>Any formatting requirements for data and documentation, including file formats for data</w:t>
      </w:r>
      <w:r w:rsidRPr="00990D3B" w:rsidR="007B4A5B">
        <w:t> </w:t>
      </w:r>
      <w:r w:rsidRPr="00990D3B">
        <w:t>files</w:t>
      </w:r>
      <w:bookmarkStart w:id="457" w:name="_Hlk51247703"/>
      <w:r w:rsidRPr="00990D3B">
        <w:t>.</w:t>
      </w:r>
    </w:p>
    <w:p w:rsidR="00A64ED7" w:rsidRPr="00990D3B" w:rsidP="00411ED7" w14:paraId="6463FAAB" w14:textId="77777777">
      <w:pPr>
        <w:pStyle w:val="EQRBulletBLUE2ndlevel"/>
      </w:pPr>
      <w:r w:rsidRPr="00990D3B">
        <w:t>Any state standards for data completeness and accuracy</w:t>
      </w:r>
      <w:r w:rsidRPr="00990D3B">
        <w:t>.</w:t>
      </w:r>
    </w:p>
    <w:p w:rsidR="00AD7FD8" w:rsidRPr="00990D3B" w:rsidP="00411ED7" w14:paraId="00E28F9A" w14:textId="359F2237">
      <w:pPr>
        <w:pStyle w:val="EQRBulletBLUE2ndlevel"/>
      </w:pPr>
      <w:r w:rsidRPr="00990D3B">
        <w:t>Data dictionaries and companion guides, as applicable</w:t>
      </w:r>
      <w:bookmarkEnd w:id="457"/>
      <w:r w:rsidRPr="00990D3B" w:rsidR="00A64ED7">
        <w:t xml:space="preserve">. </w:t>
      </w:r>
    </w:p>
    <w:p w:rsidR="00AD7FD8" w:rsidRPr="00990D3B" w:rsidP="00411ED7" w14:paraId="0EABA5F8" w14:textId="297CBC7B">
      <w:pPr>
        <w:pStyle w:val="EQRBulletBLUE2ndlevel"/>
      </w:pPr>
      <w:r w:rsidRPr="00990D3B">
        <w:t xml:space="preserve">Description of the information </w:t>
      </w:r>
      <w:r w:rsidRPr="00990D3B">
        <w:t>flow</w:t>
      </w:r>
      <w:r w:rsidRPr="00990D3B">
        <w:t xml:space="preserve"> from MCPs to the state, including the role of any contractors or data intermediaries</w:t>
      </w:r>
      <w:r w:rsidRPr="00990D3B" w:rsidR="00A64ED7">
        <w:t>.</w:t>
      </w:r>
    </w:p>
    <w:p w:rsidR="00AD7FD8" w:rsidRPr="00990D3B" w:rsidP="00FB7CAF" w14:paraId="6A0AD636" w14:textId="33544DAE">
      <w:pPr>
        <w:pStyle w:val="EQRBulletBLUE"/>
      </w:pPr>
      <w:r w:rsidRPr="00990D3B">
        <w:rPr>
          <w:b/>
          <w:bCs/>
        </w:rPr>
        <w:t>EQR network adequacy validation reports from previous years, if applicable</w:t>
      </w:r>
      <w:r w:rsidRPr="00990D3B" w:rsidR="001B4896">
        <w:t xml:space="preserve">. Previous reports </w:t>
      </w:r>
      <w:r w:rsidRPr="00990D3B">
        <w:t>can provide useful data points for determining prior approaches for monitoring and validating network adequacy, as well as suggest areas for network adequacy improvement or challenges over time</w:t>
      </w:r>
      <w:r w:rsidRPr="00990D3B" w:rsidR="00A64ED7">
        <w:t>.</w:t>
      </w:r>
    </w:p>
    <w:p w:rsidR="00AD7FD8" w:rsidRPr="00990D3B" w:rsidP="00FB7CAF" w14:paraId="3CC8C706" w14:textId="2749E8EA">
      <w:pPr>
        <w:pStyle w:val="EQRBulletBLUE"/>
        <w:rPr>
          <w:b/>
          <w:bCs/>
        </w:rPr>
      </w:pPr>
      <w:r w:rsidRPr="00990D3B">
        <w:rPr>
          <w:b/>
          <w:bCs/>
        </w:rPr>
        <w:t xml:space="preserve">Information </w:t>
      </w:r>
      <w:r w:rsidRPr="00990D3B" w:rsidR="000B4BBF">
        <w:rPr>
          <w:b/>
          <w:bCs/>
        </w:rPr>
        <w:t xml:space="preserve">about </w:t>
      </w:r>
      <w:r w:rsidRPr="00990D3B">
        <w:rPr>
          <w:b/>
          <w:bCs/>
        </w:rPr>
        <w:t>beneficiaries who are dually eligible for Medicare and Medicaid and covered by a</w:t>
      </w:r>
      <w:r w:rsidRPr="00990D3B" w:rsidR="008D1A82">
        <w:rPr>
          <w:b/>
          <w:bCs/>
        </w:rPr>
        <w:t>n</w:t>
      </w:r>
      <w:r w:rsidRPr="00990D3B">
        <w:rPr>
          <w:b/>
          <w:bCs/>
        </w:rPr>
        <w:t xml:space="preserve"> MCP</w:t>
      </w:r>
      <w:r w:rsidRPr="00990D3B" w:rsidR="00A64ED7">
        <w:rPr>
          <w:b/>
          <w:bCs/>
        </w:rPr>
        <w:t>.</w:t>
      </w:r>
      <w:r w:rsidRPr="00990D3B" w:rsidR="00601157">
        <w:rPr>
          <w:b/>
          <w:bCs/>
        </w:rPr>
        <w:t xml:space="preserve"> </w:t>
      </w:r>
      <w:r w:rsidRPr="00990D3B" w:rsidR="00772781">
        <w:t>This could include:</w:t>
      </w:r>
    </w:p>
    <w:p w:rsidR="00772781" w:rsidRPr="00990D3B" w:rsidP="00772781" w14:paraId="5CE72050" w14:textId="63C5F3D1">
      <w:pPr>
        <w:pStyle w:val="ListBullet2"/>
      </w:pPr>
      <w:r w:rsidRPr="00990D3B">
        <w:t>The number and percentage of MCP enrollees who are dually eligible, by plan.</w:t>
      </w:r>
    </w:p>
    <w:p w:rsidR="00100561" w:rsidRPr="00990D3B" w:rsidP="00772781" w14:paraId="42578F8C" w14:textId="77777777">
      <w:pPr>
        <w:pStyle w:val="ListBullet2"/>
      </w:pPr>
      <w:r w:rsidRPr="00990D3B">
        <w:t xml:space="preserve">The types of Medicaid benefits covered for dually eligible beneficiaries (e.g., wraparound services, LTSS). </w:t>
      </w:r>
    </w:p>
    <w:p w:rsidR="00772781" w:rsidRPr="00990D3B" w:rsidP="00772781" w14:paraId="1B9A9958" w14:textId="4BD458D7">
      <w:pPr>
        <w:pStyle w:val="ListBullet2"/>
      </w:pPr>
      <w:r w:rsidRPr="00990D3B">
        <w:t xml:space="preserve">How the state and MCPs coordinate with Medicare Advantage plans, Medicare </w:t>
      </w:r>
      <w:r w:rsidRPr="00990D3B" w:rsidR="00100561">
        <w:t>fee-for-service</w:t>
      </w:r>
      <w:r w:rsidRPr="00990D3B">
        <w:t>, or</w:t>
      </w:r>
      <w:r w:rsidRPr="00990D3B" w:rsidR="00100561">
        <w:t xml:space="preserve"> Dual Special Needs Plans (</w:t>
      </w:r>
      <w:r w:rsidRPr="00990D3B">
        <w:t>D-SNPs</w:t>
      </w:r>
      <w:r w:rsidRPr="00990D3B" w:rsidR="00100561">
        <w:t>)</w:t>
      </w:r>
      <w:r w:rsidRPr="00990D3B">
        <w:t xml:space="preserve"> for these enrollees.</w:t>
      </w:r>
    </w:p>
    <w:p w:rsidR="00772781" w:rsidRPr="00990D3B" w:rsidP="00772781" w14:paraId="14F98F13" w14:textId="4DB4338A">
      <w:pPr>
        <w:pStyle w:val="ListBullet2"/>
      </w:pPr>
      <w:r w:rsidRPr="00990D3B">
        <w:t>Any known access-to-care challenges unique to dually eligible populations (such as availability of providers accepting both Medicare and Medicaid, or alignment of provider networks across programs).</w:t>
      </w:r>
    </w:p>
    <w:p w:rsidR="00772781" w:rsidRPr="00990D3B" w:rsidP="00772781" w14:paraId="44F29808" w14:textId="07934EE5">
      <w:pPr>
        <w:pStyle w:val="ListBullet2"/>
      </w:pPr>
      <w:r w:rsidRPr="00990D3B">
        <w:t xml:space="preserve"> Special </w:t>
      </w:r>
      <w:r w:rsidRPr="00990D3B">
        <w:t>accommodations</w:t>
      </w:r>
      <w:r w:rsidRPr="00990D3B">
        <w:t>, monitoring processes, or reporting requirements the state uses to ensure adequate access for dually eligible populations.</w:t>
      </w:r>
    </w:p>
    <w:p w:rsidR="009E7520" w:rsidRPr="00990D3B" w:rsidP="00FB7CAF" w14:paraId="0001BCAB" w14:textId="77777777">
      <w:pPr>
        <w:pStyle w:val="EQRBulletBLUE"/>
      </w:pPr>
      <w:r w:rsidRPr="00990D3B">
        <w:rPr>
          <w:b/>
          <w:bCs/>
        </w:rPr>
        <w:t>Any other information relevant to network adequacy monitoring and validation</w:t>
      </w:r>
      <w:r w:rsidRPr="00990D3B" w:rsidR="00037D65">
        <w:rPr>
          <w:b/>
          <w:bCs/>
        </w:rPr>
        <w:t>.</w:t>
      </w:r>
      <w:r w:rsidRPr="00990D3B" w:rsidR="00601157">
        <w:t xml:space="preserve"> </w:t>
      </w:r>
      <w:r w:rsidRPr="00990D3B">
        <w:t xml:space="preserve">This could include: </w:t>
      </w:r>
    </w:p>
    <w:p w:rsidR="009E7520" w:rsidRPr="00990D3B" w:rsidP="009E7520" w14:paraId="0CB909AA" w14:textId="17AEAFF2">
      <w:pPr>
        <w:pStyle w:val="ListBullet2"/>
      </w:pPr>
      <w:r w:rsidRPr="00990D3B">
        <w:t>R</w:t>
      </w:r>
      <w:r w:rsidRPr="00990D3B" w:rsidR="00601157">
        <w:t xml:space="preserve">esults from secret shopper surveys or </w:t>
      </w:r>
      <w:r w:rsidRPr="00990D3B">
        <w:t>enrollee</w:t>
      </w:r>
      <w:r w:rsidRPr="00990D3B" w:rsidR="00601157">
        <w:t xml:space="preserve"> experience surveys</w:t>
      </w:r>
      <w:r w:rsidRPr="00990D3B">
        <w:t>.</w:t>
      </w:r>
    </w:p>
    <w:p w:rsidR="009E7520" w:rsidRPr="00990D3B" w:rsidP="009E7520" w14:paraId="2079834C" w14:textId="23A0A704">
      <w:pPr>
        <w:pStyle w:val="ListBullet2"/>
      </w:pPr>
      <w:r w:rsidRPr="00990D3B">
        <w:t>S</w:t>
      </w:r>
      <w:r w:rsidRPr="00990D3B" w:rsidR="00601157">
        <w:t>tate oversight protocols or monitoring tools</w:t>
      </w:r>
      <w:r w:rsidRPr="00990D3B">
        <w:t>.</w:t>
      </w:r>
    </w:p>
    <w:p w:rsidR="009E7520" w:rsidRPr="00990D3B" w:rsidP="009E7520" w14:paraId="0C1C49AD" w14:textId="6533FE98">
      <w:pPr>
        <w:pStyle w:val="ListBullet2"/>
      </w:pPr>
      <w:r w:rsidRPr="00990D3B">
        <w:t>K</w:t>
      </w:r>
      <w:r w:rsidRPr="00990D3B" w:rsidR="00601157">
        <w:t>now</w:t>
      </w:r>
      <w:r w:rsidRPr="00990D3B">
        <w:t>n</w:t>
      </w:r>
      <w:r w:rsidRPr="00990D3B" w:rsidR="00601157">
        <w:t xml:space="preserve"> access challenges or provider shortages</w:t>
      </w:r>
      <w:r w:rsidRPr="00990D3B">
        <w:t>.</w:t>
      </w:r>
    </w:p>
    <w:p w:rsidR="00AD7FD8" w:rsidRPr="00990D3B" w:rsidP="009E7520" w14:paraId="62CD2648" w14:textId="0901733D">
      <w:pPr>
        <w:pStyle w:val="ListBullet2"/>
      </w:pPr>
      <w:r w:rsidRPr="00990D3B">
        <w:t>P</w:t>
      </w:r>
      <w:r w:rsidRPr="00990D3B" w:rsidR="00601157">
        <w:t xml:space="preserve">lanned changes to standards, data </w:t>
      </w:r>
      <w:r w:rsidRPr="00990D3B">
        <w:t>collection</w:t>
      </w:r>
      <w:r w:rsidRPr="00990D3B" w:rsidR="00601157">
        <w:t xml:space="preserve"> methods, or oversight processes. </w:t>
      </w:r>
    </w:p>
    <w:p w:rsidR="00AD7FD8" w:rsidRPr="00990D3B" w:rsidP="00AC49C6" w14:paraId="63BA576A" w14:textId="62A07518">
      <w:pPr>
        <w:pStyle w:val="H3"/>
      </w:pPr>
      <w:bookmarkStart w:id="458" w:name="P4Act1Step2"/>
      <w:bookmarkEnd w:id="456"/>
      <w:bookmarkEnd w:id="458"/>
      <w:r w:rsidRPr="00990D3B">
        <w:t xml:space="preserve">Step 2: </w:t>
      </w:r>
      <w:r w:rsidRPr="00990D3B">
        <w:t xml:space="preserve">Identify and Define Network Adequacy Indicators for Validation </w:t>
      </w:r>
    </w:p>
    <w:p w:rsidR="00AD7FD8" w:rsidRPr="00990D3B" w:rsidP="00BD1FC3" w14:paraId="7EB863C8" w14:textId="00605467">
      <w:pPr>
        <w:pStyle w:val="ParagraphContinued"/>
      </w:pPr>
      <w:r w:rsidRPr="00990D3B">
        <w:rPr>
          <w:noProof/>
        </w:rPr>
        <mc:AlternateContent>
          <mc:Choice Requires="wps">
            <w:drawing>
              <wp:anchor distT="0" distB="0" distL="114300" distR="114300" simplePos="0" relativeHeight="251677696" behindDoc="0" locked="0" layoutInCell="1" allowOverlap="1">
                <wp:simplePos x="0" y="0"/>
                <wp:positionH relativeFrom="column">
                  <wp:posOffset>3681730</wp:posOffset>
                </wp:positionH>
                <wp:positionV relativeFrom="paragraph">
                  <wp:posOffset>412115</wp:posOffset>
                </wp:positionV>
                <wp:extent cx="2172970" cy="1453515"/>
                <wp:effectExtent l="19050" t="19050" r="17780" b="13970"/>
                <wp:wrapTight wrapText="bothSides">
                  <wp:wrapPolygon>
                    <wp:start x="21789" y="21883"/>
                    <wp:lineTo x="21789" y="76"/>
                    <wp:lineTo x="13" y="76"/>
                    <wp:lineTo x="13" y="21883"/>
                    <wp:lineTo x="21789" y="21883"/>
                  </wp:wrapPolygon>
                </wp:wrapTight>
                <wp:docPr id="1390114337" name="Text Box 13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72970" cy="1453515"/>
                        </a:xfrm>
                        <a:prstGeom prst="rect">
                          <a:avLst/>
                        </a:prstGeom>
                        <a:solidFill>
                          <a:srgbClr val="EEF5F8"/>
                        </a:solidFill>
                        <a:ln w="28575" cap="rnd">
                          <a:solidFill>
                            <a:srgbClr val="A5DAD9"/>
                          </a:solidFill>
                          <a:prstDash val="solid"/>
                          <a:miter lim="800000"/>
                          <a:headEnd/>
                          <a:tailEnd/>
                        </a:ln>
                      </wps:spPr>
                      <wps:txbx>
                        <w:txbxContent>
                          <w:p w:rsidR="00ED33C3" w:rsidRPr="00694D93" w:rsidP="000F67F7" w14:textId="77777777">
                            <w:pPr>
                              <w:pStyle w:val="EQRTextboxheading"/>
                            </w:pPr>
                            <w:r w:rsidRPr="00694D93">
                              <w:t>Resource for Activity 1, Step 2</w:t>
                            </w:r>
                          </w:p>
                          <w:p w:rsidR="00ED33C3" w:rsidRPr="00694D93" w:rsidP="000F67F7" w14:textId="4CF5DC6B">
                            <w:pPr>
                              <w:pStyle w:val="EQRTextboxbody"/>
                            </w:pPr>
                            <w:hyperlink w:anchor="WS42" w:tooltip="Worksheet 4.2. Network Adequacy Indicators to be Validated" w:history="1">
                              <w:r w:rsidRPr="009E0512">
                                <w:rPr>
                                  <w:rStyle w:val="Hyperlink"/>
                                </w:rPr>
                                <w:t>Worksheet 4.2. Network Adequacy Indicators to be Validated</w:t>
                              </w:r>
                            </w:hyperlink>
                          </w:p>
                          <w:p w:rsidR="00ED33C3" w:rsidRPr="004B37FD" w:rsidP="000F67F7" w14:textId="77777777">
                            <w:pPr>
                              <w:pStyle w:val="EQRTextboxbullet"/>
                            </w:pPr>
                            <w:r w:rsidRPr="00694D93">
                              <w:t xml:space="preserve">Provides a template </w:t>
                            </w:r>
                            <w:r>
                              <w:t>to</w:t>
                            </w:r>
                            <w:r w:rsidRPr="00694D93">
                              <w:t xml:space="preserve"> identify and defin</w:t>
                            </w:r>
                            <w:r>
                              <w:t>e</w:t>
                            </w:r>
                            <w:r w:rsidRPr="00694D93">
                              <w:t xml:space="preserve"> the network adequacy indicator(s) associated with each network adequacy standard</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9" o:spid="_x0000_s1146" type="#_x0000_t202" style="width:171.1pt;height:114.45pt;margin-top:32.45pt;margin-left:289.9pt;flip:y;mso-height-percent:0;mso-height-relative:page;mso-width-percent:0;mso-width-relative:page;mso-wrap-distance-bottom:0;mso-wrap-distance-left:9pt;mso-wrap-distance-right:9pt;mso-wrap-distance-top:0;mso-wrap-style:square;position:absolute;rotation:180;visibility:visible;v-text-anchor:top;z-index:251678720" fillcolor="#eef5f8" strokecolor="#a5dad9" strokeweight="2.25pt">
                <v:stroke endcap="round"/>
                <v:textbox style="mso-fit-shape-to-text:t" inset="8.64pt,,8.64pt">
                  <w:txbxContent>
                    <w:p w:rsidR="00ED33C3" w:rsidRPr="00694D93" w:rsidP="000F67F7" w14:paraId="38F81F4E" w14:textId="77777777">
                      <w:pPr>
                        <w:pStyle w:val="EQRTextboxheading"/>
                      </w:pPr>
                      <w:r w:rsidRPr="00694D93">
                        <w:t>Resource for Activity 1, Step 2</w:t>
                      </w:r>
                    </w:p>
                    <w:p w:rsidR="00ED33C3" w:rsidRPr="00694D93" w:rsidP="000F67F7" w14:paraId="21D5D08D" w14:textId="4CF5DC6B">
                      <w:pPr>
                        <w:pStyle w:val="EQRTextboxbody"/>
                      </w:pPr>
                      <w:hyperlink w:anchor="WS42" w:tooltip="Worksheet 4.2. Network Adequacy Indicators to be Validated" w:history="1">
                        <w:r w:rsidRPr="009E0512">
                          <w:rPr>
                            <w:rStyle w:val="Hyperlink"/>
                          </w:rPr>
                          <w:t>Worksheet 4.2. Network Adequacy Indicators to be Validated</w:t>
                        </w:r>
                      </w:hyperlink>
                    </w:p>
                    <w:p w:rsidR="00ED33C3" w:rsidRPr="004B37FD" w:rsidP="000F67F7" w14:paraId="22AE6334" w14:textId="77777777">
                      <w:pPr>
                        <w:pStyle w:val="EQRTextboxbullet"/>
                      </w:pPr>
                      <w:r w:rsidRPr="00694D93">
                        <w:t xml:space="preserve">Provides a template </w:t>
                      </w:r>
                      <w:r>
                        <w:t>to</w:t>
                      </w:r>
                      <w:r w:rsidRPr="00694D93">
                        <w:t xml:space="preserve"> identify and defin</w:t>
                      </w:r>
                      <w:r>
                        <w:t>e</w:t>
                      </w:r>
                      <w:r w:rsidRPr="00694D93">
                        <w:t xml:space="preserve"> the network adequacy indicator(s) associated with each network adequacy standard</w:t>
                      </w:r>
                    </w:p>
                  </w:txbxContent>
                </v:textbox>
                <w10:wrap type="tight"/>
              </v:shape>
            </w:pict>
          </mc:Fallback>
        </mc:AlternateContent>
      </w:r>
      <w:r w:rsidRPr="00990D3B">
        <w:rPr>
          <w:noProof/>
        </w:rPr>
        <mc:AlternateContent>
          <mc:Choice Requires="wps">
            <w:drawing>
              <wp:anchor distT="0" distB="0" distL="114300" distR="114300" simplePos="0" relativeHeight="251679744" behindDoc="0" locked="0" layoutInCell="1" allowOverlap="1">
                <wp:simplePos x="0" y="0"/>
                <wp:positionH relativeFrom="column">
                  <wp:posOffset>3682199</wp:posOffset>
                </wp:positionH>
                <wp:positionV relativeFrom="paragraph">
                  <wp:posOffset>57483</wp:posOffset>
                </wp:positionV>
                <wp:extent cx="2171700" cy="297180"/>
                <wp:effectExtent l="19050" t="19050" r="19050" b="26670"/>
                <wp:wrapTight wrapText="bothSides">
                  <wp:wrapPolygon>
                    <wp:start x="21789" y="22985"/>
                    <wp:lineTo x="21789" y="-554"/>
                    <wp:lineTo x="0" y="-554"/>
                    <wp:lineTo x="0" y="22985"/>
                    <wp:lineTo x="21789" y="22985"/>
                  </wp:wrapPolygon>
                </wp:wrapTight>
                <wp:docPr id="276902104" name="Text Box 1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71700" cy="297180"/>
                        </a:xfrm>
                        <a:prstGeom prst="rect">
                          <a:avLst/>
                        </a:prstGeom>
                        <a:solidFill>
                          <a:srgbClr val="EEF5F8"/>
                        </a:solidFill>
                        <a:ln w="28575" cap="rnd">
                          <a:solidFill>
                            <a:srgbClr val="A5DAD9"/>
                          </a:solidFill>
                          <a:prstDash val="solid"/>
                          <a:miter lim="800000"/>
                          <a:headEnd/>
                          <a:tailEnd/>
                        </a:ln>
                      </wps:spPr>
                      <wps:txbx>
                        <w:txbxContent>
                          <w:p w:rsidR="00ED33C3" w:rsidRPr="006847EB" w:rsidP="000F67F7" w14:textId="1EE3664E">
                            <w:pPr>
                              <w:pStyle w:val="EQRWORKSHEETText"/>
                              <w:rPr>
                                <w:color w:val="006068" w:themeColor="accent1" w:themeShade="BF"/>
                              </w:rPr>
                            </w:pPr>
                            <w:hyperlink w:anchor="WS42" w:tooltip="WORKSHEET 4.2" w:history="1">
                              <w:r w:rsidRPr="006847EB">
                                <w:rPr>
                                  <w:color w:val="006068" w:themeColor="accent1" w:themeShade="BF"/>
                                </w:rPr>
                                <w:t>WORKSHEET 4.2</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0" o:spid="_x0000_s1147" type="#_x0000_t202" style="width:171pt;height:23.4pt;margin-top:4.55pt;margin-left:289.95pt;flip:y;mso-height-percent:0;mso-height-relative:page;mso-width-percent:0;mso-width-relative:page;mso-wrap-distance-bottom:0;mso-wrap-distance-left:9pt;mso-wrap-distance-right:9pt;mso-wrap-distance-top:0;mso-wrap-style:square;position:absolute;rotation:180;visibility:visible;v-text-anchor:top;z-index:251680768" fillcolor="#eef5f8" strokecolor="#a5dad9" strokeweight="2.25pt">
                <v:stroke endcap="round"/>
                <v:textbox style="mso-fit-shape-to-text:t" inset="8.64pt,,8.64pt">
                  <w:txbxContent>
                    <w:p w:rsidR="00ED33C3" w:rsidRPr="006847EB" w:rsidP="000F67F7" w14:paraId="54267E9A" w14:textId="1EE3664E">
                      <w:pPr>
                        <w:pStyle w:val="EQRWORKSHEETText"/>
                        <w:rPr>
                          <w:color w:val="006068" w:themeColor="accent1" w:themeShade="BF"/>
                        </w:rPr>
                      </w:pPr>
                      <w:hyperlink w:anchor="WS42" w:tooltip="WORKSHEET 4.2" w:history="1">
                        <w:r w:rsidRPr="006847EB">
                          <w:rPr>
                            <w:color w:val="006068" w:themeColor="accent1" w:themeShade="BF"/>
                          </w:rPr>
                          <w:t>WORKSHEET 4.2</w:t>
                        </w:r>
                      </w:hyperlink>
                    </w:p>
                  </w:txbxContent>
                </v:textbox>
                <w10:wrap type="tight"/>
              </v:shape>
            </w:pict>
          </mc:Fallback>
        </mc:AlternateContent>
      </w:r>
      <w:r w:rsidRPr="00990D3B" w:rsidR="00AD7FD8">
        <w:t xml:space="preserve">After identifying the quantitative standards that the EQRO will include in the network adequacy validation, the state </w:t>
      </w:r>
      <w:r w:rsidRPr="00990D3B" w:rsidR="007A69FA">
        <w:t>identifies</w:t>
      </w:r>
      <w:r w:rsidRPr="00990D3B" w:rsidR="00AD7FD8">
        <w:t xml:space="preserve"> the indicators used by MCPs to assess the state’s network adequacy standards. Network adequacy indicators are metrics used to measure </w:t>
      </w:r>
      <w:r w:rsidRPr="00990D3B" w:rsidR="007A69FA">
        <w:t xml:space="preserve">MCP </w:t>
      </w:r>
      <w:r w:rsidRPr="00990D3B" w:rsidR="00AD7FD8">
        <w:t xml:space="preserve">compliance with </w:t>
      </w:r>
      <w:r w:rsidRPr="00990D3B" w:rsidR="004066F8">
        <w:t xml:space="preserve">the </w:t>
      </w:r>
      <w:r w:rsidRPr="00990D3B" w:rsidR="00AD7FD8">
        <w:t xml:space="preserve">state’s network adequacy standards (see </w:t>
      </w:r>
      <w:hyperlink w:anchor="Box4n2" w:tooltip="Box 4.2" w:history="1">
        <w:r w:rsidRPr="00990D3B" w:rsidR="00AD7FD8">
          <w:rPr>
            <w:rStyle w:val="Hyperlink"/>
          </w:rPr>
          <w:t>Box 4.2</w:t>
        </w:r>
      </w:hyperlink>
      <w:r w:rsidRPr="00990D3B" w:rsidR="00100561">
        <w:t>, next page</w:t>
      </w:r>
      <w:r w:rsidRPr="00990D3B" w:rsidR="00AD7FD8">
        <w:t>). The state may establish network adequacy indicators that vary by MCP or</w:t>
      </w:r>
      <w:r w:rsidRPr="00990D3B" w:rsidR="009E44D1">
        <w:t xml:space="preserve"> are</w:t>
      </w:r>
      <w:r w:rsidRPr="00990D3B" w:rsidR="00AD7FD8">
        <w:t xml:space="preserve"> the same for all MCPs. If the state provides MCPs with guidance around constructing indicators, the state needs to establish </w:t>
      </w:r>
      <w:r w:rsidRPr="00990D3B" w:rsidR="00AD7FD8">
        <w:t xml:space="preserve">clear definitions for each network adequacy indicator, including criteria for calculating the numerator and denominator. The state should share this guidance with the EQRO. </w:t>
      </w:r>
    </w:p>
    <w:p w:rsidR="00AC49C6" w:rsidRPr="00990D3B" w:rsidP="00AC49C6" w14:paraId="3885B98C" w14:textId="41BE4F6A">
      <w:pPr>
        <w:pStyle w:val="Paragraph0"/>
      </w:pPr>
      <w:r w:rsidRPr="00990D3B">
        <w:rPr>
          <w:noProof/>
        </w:rPr>
        <mc:AlternateContent>
          <mc:Choice Requires="wps">
            <w:drawing>
              <wp:inline distT="0" distB="0" distL="0" distR="0">
                <wp:extent cx="5904230" cy="1623695"/>
                <wp:effectExtent l="19050" t="19050" r="20320" b="14605"/>
                <wp:docPr id="166424505" name="Text Box 1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904230" cy="1623695"/>
                        </a:xfrm>
                        <a:prstGeom prst="rect">
                          <a:avLst/>
                        </a:prstGeom>
                        <a:solidFill>
                          <a:srgbClr val="EEF5F8"/>
                        </a:solidFill>
                        <a:ln w="28575" cap="rnd">
                          <a:solidFill>
                            <a:srgbClr val="A5DAD9"/>
                          </a:solidFill>
                          <a:prstDash val="solid"/>
                          <a:miter lim="800000"/>
                          <a:headEnd/>
                          <a:tailEnd/>
                        </a:ln>
                      </wps:spPr>
                      <wps:txbx>
                        <w:txbxContent>
                          <w:p w:rsidR="00AC49C6" w:rsidP="00AC49C6" w14:textId="77777777">
                            <w:pPr>
                              <w:pStyle w:val="EQRTextboxheading"/>
                            </w:pPr>
                            <w:bookmarkStart w:id="459" w:name="Box4n2"/>
                            <w:bookmarkEnd w:id="459"/>
                            <w:r>
                              <w:t xml:space="preserve">Box 4.2. What is the difference between network adequacy standards and indicators? </w:t>
                            </w:r>
                          </w:p>
                          <w:p w:rsidR="00AC49C6" w:rsidP="00AC49C6" w14:textId="77777777">
                            <w:pPr>
                              <w:pStyle w:val="EQRTextboxbody"/>
                            </w:pPr>
                            <w:r w:rsidRPr="00A64ED7">
                              <w:rPr>
                                <w:b/>
                                <w:iCs/>
                              </w:rPr>
                              <w:t>Network adequacy standards</w:t>
                            </w:r>
                            <w:r>
                              <w:t xml:space="preserve"> are quantitative parameters that states establish to set expectations for contracted MCPs’ provider networks. For example, a state may set a network adequacy standard that all enrollees have access to a primary care provider (PCP) within 30 miles or 30 minutes of their home. </w:t>
                            </w:r>
                          </w:p>
                          <w:p w:rsidR="00AC49C6" w:rsidRPr="0090682E" w:rsidP="00AC49C6" w14:textId="77777777">
                            <w:pPr>
                              <w:pStyle w:val="EQRTextboxbody"/>
                              <w:rPr>
                                <w:spacing w:val="-2"/>
                              </w:rPr>
                            </w:pPr>
                            <w:r w:rsidRPr="00A64ED7">
                              <w:rPr>
                                <w:b/>
                                <w:iCs/>
                              </w:rPr>
                              <w:t>Network adequacy indicators</w:t>
                            </w:r>
                            <w:r>
                              <w:t xml:space="preserve"> are metrics used to measure adherence to network adequacy standards and to determine plan compliance with state network adequacy standards. For the example given above, the network adequacy indicator may be the proportion of enrollees who have access to a PCP within 30 miles or 30 minutes of their home.</w:t>
                            </w:r>
                          </w:p>
                        </w:txbxContent>
                      </wps:txbx>
                      <wps:bodyPr rot="0" vert="horz" wrap="square" lIns="109728" tIns="45720" rIns="109728" bIns="45720" anchor="t" anchorCtr="0" upright="1"/>
                    </wps:wsp>
                  </a:graphicData>
                </a:graphic>
              </wp:inline>
            </w:drawing>
          </mc:Choice>
          <mc:Fallback>
            <w:pict>
              <v:shape id="Text Box 141" o:spid="_x0000_i1148" type="#_x0000_t202" style="width:464.9pt;height:127.85pt;flip:y;mso-left-percent:-10001;mso-position-horizontal-relative:char;mso-position-vertical-relative:line;mso-top-percent:-10001;mso-wrap-style:square;rotation:180;visibility:visible;v-text-anchor:top" fillcolor="#eef5f8" strokecolor="#a5dad9" strokeweight="2.25pt">
                <v:stroke endcap="round"/>
                <v:textbox inset="8.64pt,,8.64pt">
                  <w:txbxContent>
                    <w:p w:rsidR="00AC49C6" w:rsidP="00AC49C6" w14:paraId="7D2C020D" w14:textId="77777777">
                      <w:pPr>
                        <w:pStyle w:val="EQRTextboxheading"/>
                      </w:pPr>
                      <w:bookmarkStart w:id="459" w:name="Box4n2"/>
                      <w:bookmarkEnd w:id="459"/>
                      <w:r>
                        <w:t xml:space="preserve">Box 4.2. What is the difference between network adequacy standards and indicators? </w:t>
                      </w:r>
                    </w:p>
                    <w:p w:rsidR="00AC49C6" w:rsidP="00AC49C6" w14:paraId="1C57B6E5" w14:textId="77777777">
                      <w:pPr>
                        <w:pStyle w:val="EQRTextboxbody"/>
                      </w:pPr>
                      <w:r w:rsidRPr="00A64ED7">
                        <w:rPr>
                          <w:b/>
                          <w:iCs/>
                        </w:rPr>
                        <w:t>Network adequacy standards</w:t>
                      </w:r>
                      <w:r>
                        <w:t xml:space="preserve"> are quantitative parameters that states establish to set expectations for contracted MCPs’ provider networks. For example, a state may set a network adequacy standard that all enrollees have access to a primary care provider (PCP) within 30 miles or 30 minutes of their home. </w:t>
                      </w:r>
                    </w:p>
                    <w:p w:rsidR="00AC49C6" w:rsidRPr="0090682E" w:rsidP="00AC49C6" w14:paraId="6C102091" w14:textId="77777777">
                      <w:pPr>
                        <w:pStyle w:val="EQRTextboxbody"/>
                        <w:rPr>
                          <w:spacing w:val="-2"/>
                        </w:rPr>
                      </w:pPr>
                      <w:r w:rsidRPr="00A64ED7">
                        <w:rPr>
                          <w:b/>
                          <w:iCs/>
                        </w:rPr>
                        <w:t>Network adequacy indicators</w:t>
                      </w:r>
                      <w:r>
                        <w:t xml:space="preserve"> are metrics used to measure adherence to network adequacy standards and to determine plan compliance with state network adequacy standards. For the example given above, the network adequacy indicator may be the proportion of enrollees who have access to a PCP within 30 miles or 30 minutes of their home.</w:t>
                      </w:r>
                    </w:p>
                  </w:txbxContent>
                </v:textbox>
                <w10:wrap type="none"/>
                <w10:anchorlock/>
              </v:shape>
            </w:pict>
          </mc:Fallback>
        </mc:AlternateContent>
      </w:r>
    </w:p>
    <w:p w:rsidR="00AD7FD8" w:rsidRPr="00990D3B" w:rsidP="00AC49C6" w14:paraId="02D8ED8A" w14:textId="492BFB05">
      <w:pPr>
        <w:pStyle w:val="ParagraphContinued"/>
      </w:pPr>
      <w:r w:rsidRPr="00990D3B">
        <w:t>The state and the EQRO will need to address methodological issues that impact indicator calculations. For example, if the state sets time and distance standards for MCPs, the following questions to define the indicator for this standard will need to be answered:</w:t>
      </w:r>
    </w:p>
    <w:p w:rsidR="00AD7FD8" w:rsidRPr="00990D3B" w:rsidP="00FB7CAF" w14:paraId="571D809A" w14:textId="09CBAB69">
      <w:pPr>
        <w:pStyle w:val="EQRBulletBLUE"/>
      </w:pPr>
      <w:r w:rsidRPr="00990D3B">
        <w:t xml:space="preserve">Will distance be measured “as the crow flies” or using driving distances? </w:t>
      </w:r>
    </w:p>
    <w:p w:rsidR="00AD7FD8" w:rsidRPr="00990D3B" w:rsidP="00FB7CAF" w14:paraId="21DB7A01" w14:textId="77777777">
      <w:pPr>
        <w:pStyle w:val="EQRBulletBLUE"/>
      </w:pPr>
      <w:r w:rsidRPr="00990D3B">
        <w:t xml:space="preserve">Do network adequacy standards address whether providers are accessible by public transportation? </w:t>
      </w:r>
    </w:p>
    <w:p w:rsidR="00AD7FD8" w:rsidRPr="00990D3B" w:rsidP="00FB7CAF" w14:paraId="7BE42B9C" w14:textId="77777777">
      <w:pPr>
        <w:pStyle w:val="EQRBulletBLUE"/>
      </w:pPr>
      <w:r w:rsidRPr="00990D3B">
        <w:t xml:space="preserve">Are travel times measured separately for private vehicles, public transit, or other means of transportation? </w:t>
      </w:r>
    </w:p>
    <w:p w:rsidR="00AD7FD8" w:rsidRPr="00990D3B" w:rsidP="00FB7CAF" w14:paraId="7B6A0929" w14:textId="77777777">
      <w:pPr>
        <w:pStyle w:val="EQRBulletBLUE"/>
      </w:pPr>
      <w:r w:rsidRPr="00990D3B">
        <w:t>How should travel time calculations address fluctuations throughout the day or seasonally?</w:t>
      </w:r>
    </w:p>
    <w:p w:rsidR="00AD7FD8" w:rsidRPr="00990D3B" w:rsidP="00FB7CAF" w14:paraId="2DEE7616" w14:textId="77777777">
      <w:pPr>
        <w:pStyle w:val="EQRBulletBLUE"/>
      </w:pPr>
      <w:r w:rsidRPr="00990D3B">
        <w:t>How, if at all, is the availability of telehealth services considered in determining whether an MCP meets the time and distance network adequacy requirements? What limits, if any, will be placed on the types and/or quantity of telehealth services that can contribute toward network adequacy requirements?</w:t>
      </w:r>
    </w:p>
    <w:p w:rsidR="00AD7FD8" w:rsidRPr="00990D3B" w:rsidP="00BD1FC3" w14:paraId="7C065DE0" w14:textId="3F1CB058">
      <w:pPr>
        <w:pStyle w:val="H3"/>
      </w:pPr>
      <w:bookmarkStart w:id="460" w:name="P4Act1Step3"/>
      <w:bookmarkEnd w:id="460"/>
      <w:r w:rsidRPr="00990D3B">
        <w:t>Step 3: Identify and Define Provider Types</w:t>
      </w:r>
    </w:p>
    <w:p w:rsidR="001B4896" w:rsidRPr="00990D3B" w:rsidP="00BD1FC3" w14:paraId="5CDACC6C" w14:textId="4A6131F9">
      <w:pPr>
        <w:pStyle w:val="ParagraphContinued"/>
      </w:pPr>
      <w:r w:rsidRPr="00990D3B">
        <w:t>The state may work with</w:t>
      </w:r>
      <w:r w:rsidRPr="00990D3B" w:rsidR="009E05D1">
        <w:t xml:space="preserve"> the</w:t>
      </w:r>
      <w:r w:rsidRPr="00990D3B">
        <w:t xml:space="preserve"> EQRO </w:t>
      </w:r>
      <w:r w:rsidRPr="00990D3B" w:rsidR="009E05D1">
        <w:t xml:space="preserve">to </w:t>
      </w:r>
      <w:r w:rsidRPr="00990D3B">
        <w:t xml:space="preserve">identify and define all provider types covered by each quantitative network adequacy standard to be validated under this protocol. The state and EQRO may refer to </w:t>
      </w:r>
      <w:hyperlink w:anchor="WS41" w:tooltip="Worksheet 4.1" w:history="1">
        <w:r w:rsidRPr="00990D3B">
          <w:rPr>
            <w:rStyle w:val="Hyperlink"/>
          </w:rPr>
          <w:t xml:space="preserve">Worksheet </w:t>
        </w:r>
        <w:r w:rsidRPr="00990D3B" w:rsidR="00E9760E">
          <w:rPr>
            <w:rStyle w:val="Hyperlink"/>
          </w:rPr>
          <w:t>4.</w:t>
        </w:r>
        <w:r w:rsidRPr="00990D3B">
          <w:rPr>
            <w:rStyle w:val="Hyperlink"/>
          </w:rPr>
          <w:t>1</w:t>
        </w:r>
      </w:hyperlink>
      <w:r w:rsidRPr="00990D3B">
        <w:t xml:space="preserve"> to see all provider types associated with each network adequacy standard. If covered under the state’s managed care contracts, the validation should include adult and pediatric primary care, OB/GYN, adult and pediatric behavioral health, adult and pediatric specialist, hospital, pharmacy, pediatric dental, </w:t>
      </w:r>
      <w:r w:rsidRPr="00990D3B" w:rsidR="00A07DA2">
        <w:t xml:space="preserve">and </w:t>
      </w:r>
      <w:r w:rsidRPr="00990D3B">
        <w:t>LTSS providers</w:t>
      </w:r>
      <w:r w:rsidRPr="00990D3B" w:rsidR="00A07DA2">
        <w:t xml:space="preserve">. </w:t>
      </w:r>
      <w:r w:rsidRPr="00990D3B">
        <w:t xml:space="preserve"> </w:t>
      </w:r>
    </w:p>
    <w:p w:rsidR="00AD7FD8" w:rsidRPr="00990D3B" w:rsidP="00BD1FC3" w14:paraId="1B4C606D" w14:textId="27410DCC">
      <w:pPr>
        <w:pStyle w:val="ParagraphContinued"/>
      </w:pPr>
      <w:r w:rsidRPr="00990D3B">
        <w:t xml:space="preserve">The state and the EQRO should also identify additional provider types (e.g., medication-assisted treatment providers for opioid use disorder), or specialists, as defined by the state, to which the state’s network adequacy standards apply. The state should provide a method or criteria for categorizing provider </w:t>
      </w:r>
      <w:r w:rsidRPr="00990D3B" w:rsidR="00F738A8">
        <w:t>types and</w:t>
      </w:r>
      <w:r w:rsidRPr="00990D3B">
        <w:t xml:space="preserve"> should provide a definition for each provider type. In defining provider types, the state and the EQRO should address the following questions:</w:t>
      </w:r>
    </w:p>
    <w:p w:rsidR="00AD7FD8" w:rsidRPr="00990D3B" w:rsidP="00FB7CAF" w14:paraId="5C1BE76C" w14:textId="77777777">
      <w:pPr>
        <w:pStyle w:val="EQRBulletBLUE"/>
      </w:pPr>
      <w:r w:rsidRPr="00990D3B">
        <w:t>Which provider types are authorized by the state to serve as primary care providers (for example: general practitioner, family physician, internal medicine physician, OB/GYN, pediatrician, nurse practitioner, physician assistant, or other licensed practitioner as authorized by the state Medicaid and CHIP program)?</w:t>
      </w:r>
    </w:p>
    <w:p w:rsidR="00AD7FD8" w:rsidRPr="00990D3B" w:rsidP="00FB7CAF" w14:paraId="358A126C" w14:textId="77777777">
      <w:pPr>
        <w:pStyle w:val="EQRBulletBLUE"/>
      </w:pPr>
      <w:r w:rsidRPr="00990D3B">
        <w:t>Which specialist types (adult and pediatric) are included in the network adequacy standards?</w:t>
      </w:r>
    </w:p>
    <w:p w:rsidR="00AD7FD8" w:rsidRPr="00990D3B" w:rsidP="00FB7CAF" w14:paraId="0CF17A33" w14:textId="77777777">
      <w:pPr>
        <w:pStyle w:val="EQRBulletBLUE"/>
      </w:pPr>
      <w:r w:rsidRPr="00990D3B">
        <w:t>How does the state categorize subspecialists? For example, a radiation oncologist could be categorized as a radiologist or an oncologist.</w:t>
      </w:r>
    </w:p>
    <w:p w:rsidR="00AD7FD8" w:rsidRPr="00990D3B" w:rsidP="00FB7CAF" w14:paraId="26E9BC83" w14:textId="77777777">
      <w:pPr>
        <w:pStyle w:val="EQRBulletBLUE"/>
      </w:pPr>
      <w:r w:rsidRPr="00990D3B">
        <w:t xml:space="preserve">Are there circumstances in which providers who primarily see adult patients count toward network adequacy standards for the pediatric population? For example, the state may allow a general psychiatrist to contribute toward network adequacy standards for the pediatric population, rather than allow only child psychiatrists to contribute toward this requirement. </w:t>
      </w:r>
    </w:p>
    <w:p w:rsidR="00AD7FD8" w:rsidRPr="00990D3B" w:rsidP="00FB7CAF" w14:paraId="6FF1BA17" w14:textId="77777777">
      <w:pPr>
        <w:pStyle w:val="EQRBulletBLUE"/>
      </w:pPr>
      <w:r w:rsidRPr="00990D3B">
        <w:t xml:space="preserve">Do the provider types defined in the standards align with the provider types found in the data that the EQRO will use during the validation process? For example, the EQRO should be able to </w:t>
      </w:r>
      <w:r w:rsidRPr="00990D3B">
        <w:t>crosswalk</w:t>
      </w:r>
      <w:r w:rsidRPr="00990D3B">
        <w:t xml:space="preserve"> between the state-defined provider types and the provider types found in MCP encounter data. </w:t>
      </w:r>
    </w:p>
    <w:p w:rsidR="00AD7FD8" w:rsidRPr="00990D3B" w:rsidP="00BD1FC3" w14:paraId="277CEFA8" w14:textId="77777777">
      <w:pPr>
        <w:pStyle w:val="H3"/>
      </w:pPr>
      <w:bookmarkStart w:id="461" w:name="P4Act1Step4"/>
      <w:bookmarkEnd w:id="461"/>
      <w:r w:rsidRPr="00990D3B">
        <w:t>Step 4: Establish Network Adequacy Validation Activities and Timeline</w:t>
      </w:r>
    </w:p>
    <w:p w:rsidR="00AC49C6" w:rsidRPr="00990D3B" w:rsidP="00BD1FC3" w14:paraId="7F02B7B3" w14:textId="52E0D03E">
      <w:pPr>
        <w:pStyle w:val="ParagraphContinued"/>
      </w:pPr>
      <w:r w:rsidRPr="00990D3B">
        <w:t>In this step,</w:t>
      </w:r>
      <w:r w:rsidRPr="00990D3B" w:rsidR="00AD7FD8">
        <w:t xml:space="preserve"> the state and the EQRO establish the approach for </w:t>
      </w:r>
      <w:r w:rsidRPr="00990D3B" w:rsidR="00AD7FD8">
        <w:t>the network</w:t>
      </w:r>
      <w:r w:rsidRPr="00990D3B" w:rsidR="00AD7FD8">
        <w:t xml:space="preserve"> adequacy validation</w:t>
      </w:r>
      <w:r w:rsidRPr="00990D3B" w:rsidR="00BE0743">
        <w:t xml:space="preserve"> </w:t>
      </w:r>
      <w:r w:rsidRPr="00990D3B">
        <w:t>and the</w:t>
      </w:r>
      <w:r w:rsidRPr="00990D3B" w:rsidR="00AD7FD8">
        <w:t xml:space="preserve"> EQRO establishes activities to validate the data, monitoring methods, results, and reporting</w:t>
      </w:r>
      <w:r w:rsidRPr="00990D3B" w:rsidR="00AD7FD8">
        <w:t xml:space="preserve"> </w:t>
      </w:r>
      <w:r w:rsidRPr="00990D3B" w:rsidR="00AD7FD8">
        <w:t>from existing MCP network adequacy assessment activities. Depending on the state’s network adequacy standards and the MCP’s network adequacy assessment activities, the EQRO may conduct studies</w:t>
      </w:r>
      <w:r w:rsidRPr="00990D3B" w:rsidR="001F4BF4">
        <w:t xml:space="preserve"> </w:t>
      </w:r>
      <w:r w:rsidRPr="00990D3B" w:rsidR="00AD7FD8">
        <w:t xml:space="preserve">to validate the MCP’s results. For example, access and availability studies may be appropriate to validate information in the MCP’s provider directory or to assess appointment availability. The state and the EQRO should outline the activities that the EQRO will complete for the network adequacy </w:t>
      </w:r>
      <w:r w:rsidRPr="00990D3B" w:rsidR="000A76D8">
        <w:t>validation and</w:t>
      </w:r>
      <w:r w:rsidRPr="00990D3B" w:rsidR="00AD7FD8">
        <w:t xml:space="preserve"> establish a timeline for completing the network adequacy validation.</w:t>
      </w:r>
    </w:p>
    <w:p w:rsidR="00AD7FD8" w:rsidRPr="00990D3B" w:rsidP="00BD1FC3" w14:paraId="264E4CA8" w14:textId="21B118BA">
      <w:pPr>
        <w:pStyle w:val="H2"/>
      </w:pPr>
      <w:bookmarkStart w:id="462" w:name="P4Act2"/>
      <w:bookmarkStart w:id="463" w:name="_Toc183005595"/>
      <w:bookmarkStart w:id="464" w:name="_Toc201751365"/>
      <w:bookmarkEnd w:id="462"/>
      <w:r w:rsidRPr="00990D3B">
        <w:t xml:space="preserve">Activity 2: </w:t>
      </w:r>
      <w:r w:rsidRPr="00990D3B" w:rsidR="00727E79">
        <w:t>I</w:t>
      </w:r>
      <w:r w:rsidRPr="00990D3B">
        <w:t xml:space="preserve">dentify </w:t>
      </w:r>
      <w:r w:rsidRPr="00990D3B" w:rsidR="0036705C">
        <w:t>D</w:t>
      </w:r>
      <w:r w:rsidRPr="00990D3B">
        <w:t xml:space="preserve">ata </w:t>
      </w:r>
      <w:r w:rsidRPr="00990D3B" w:rsidR="0036705C">
        <w:t>S</w:t>
      </w:r>
      <w:r w:rsidRPr="00990D3B">
        <w:t xml:space="preserve">ources </w:t>
      </w:r>
      <w:r w:rsidRPr="00990D3B" w:rsidR="00727E79">
        <w:t xml:space="preserve">for </w:t>
      </w:r>
      <w:r w:rsidRPr="00990D3B" w:rsidR="0036705C">
        <w:t>V</w:t>
      </w:r>
      <w:r w:rsidRPr="00990D3B" w:rsidR="00727E79">
        <w:t>alidation</w:t>
      </w:r>
      <w:bookmarkEnd w:id="463"/>
      <w:bookmarkEnd w:id="464"/>
      <w:r w:rsidRPr="00990D3B" w:rsidR="00727E79">
        <w:t xml:space="preserve"> </w:t>
      </w:r>
    </w:p>
    <w:p w:rsidR="00AD7FD8" w:rsidRPr="00990D3B" w:rsidP="00BD1FC3" w14:paraId="24DFA1F9" w14:textId="75C2BC2B">
      <w:pPr>
        <w:pStyle w:val="ParagraphContinued"/>
        <w:rPr>
          <w:lang w:bidi="en-US"/>
        </w:rPr>
      </w:pPr>
      <w:r w:rsidRPr="00990D3B">
        <w:rPr>
          <w:lang w:bidi="en-US"/>
        </w:rPr>
        <w:t xml:space="preserve">In Activity 2, the EQRO will identify all data sources needed for network adequacy validation, based on the scope of the validation determined in Activity 1. </w:t>
      </w:r>
    </w:p>
    <w:p w:rsidR="00AD7FD8" w:rsidRPr="00990D3B" w:rsidP="00BD1FC3" w14:paraId="3255983D" w14:textId="098FE6EC">
      <w:pPr>
        <w:pStyle w:val="H3"/>
        <w:rPr>
          <w:spacing w:val="-2"/>
          <w:lang w:bidi="en-US"/>
        </w:rPr>
      </w:pPr>
      <w:bookmarkStart w:id="465" w:name="P4Act2Step1"/>
      <w:bookmarkStart w:id="466" w:name="_Hlk62110672"/>
      <w:bookmarkEnd w:id="465"/>
      <w:r w:rsidRPr="00990D3B">
        <w:t>Step 1: Identify Data Sources</w:t>
      </w:r>
    </w:p>
    <w:bookmarkEnd w:id="466"/>
    <w:p w:rsidR="00AD7FD8" w:rsidRPr="00990D3B" w:rsidP="00BD1FC3" w14:paraId="18BE1A47" w14:textId="585A6766">
      <w:pPr>
        <w:pStyle w:val="ParagraphContinued"/>
        <w:rPr>
          <w:lang w:bidi="en-US"/>
        </w:rPr>
      </w:pPr>
      <w:r w:rsidRPr="00990D3B">
        <w:rPr>
          <w:noProof/>
        </w:rPr>
        <mc:AlternateContent>
          <mc:Choice Requires="wps">
            <w:drawing>
              <wp:anchor distT="0" distB="0" distL="114300" distR="114300" simplePos="0" relativeHeight="251928576" behindDoc="0" locked="0" layoutInCell="1" allowOverlap="1">
                <wp:simplePos x="0" y="0"/>
                <wp:positionH relativeFrom="column">
                  <wp:posOffset>3714750</wp:posOffset>
                </wp:positionH>
                <wp:positionV relativeFrom="paragraph">
                  <wp:posOffset>433070</wp:posOffset>
                </wp:positionV>
                <wp:extent cx="2194560" cy="1297940"/>
                <wp:effectExtent l="19050" t="19050" r="0" b="0"/>
                <wp:wrapTight wrapText="bothSides">
                  <wp:wrapPolygon>
                    <wp:start x="21788" y="21916"/>
                    <wp:lineTo x="21788" y="84"/>
                    <wp:lineTo x="38" y="84"/>
                    <wp:lineTo x="38" y="21916"/>
                    <wp:lineTo x="21788" y="21916"/>
                  </wp:wrapPolygon>
                </wp:wrapTight>
                <wp:docPr id="764177291" name="Text Box 13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1297940"/>
                        </a:xfrm>
                        <a:prstGeom prst="rect">
                          <a:avLst/>
                        </a:prstGeom>
                        <a:solidFill>
                          <a:srgbClr val="EEF5F8"/>
                        </a:solidFill>
                        <a:ln w="28575" cap="rnd">
                          <a:solidFill>
                            <a:srgbClr val="A5DAD9"/>
                          </a:solidFill>
                          <a:prstDash val="solid"/>
                          <a:miter lim="800000"/>
                          <a:headEnd/>
                          <a:tailEnd/>
                        </a:ln>
                      </wps:spPr>
                      <wps:txbx>
                        <w:txbxContent>
                          <w:p w:rsidR="007B7221" w:rsidRPr="003869EC" w:rsidP="000F67F7" w14:textId="77777777">
                            <w:pPr>
                              <w:pStyle w:val="EQRTextboxheading"/>
                            </w:pPr>
                            <w:r w:rsidRPr="003869EC">
                              <w:t>Resource for Activity 2, Step 1</w:t>
                            </w:r>
                          </w:p>
                          <w:p w:rsidR="007B7221" w:rsidRPr="003869EC" w:rsidP="000F67F7" w14:textId="7A9187EA">
                            <w:pPr>
                              <w:pStyle w:val="EQRTextboxbody"/>
                            </w:pPr>
                            <w:hyperlink w:anchor="WS43" w:tooltip="Worksheet 4.3. Data Sources for Network Adequacy Validation" w:history="1">
                              <w:r w:rsidRPr="009E0512">
                                <w:rPr>
                                  <w:rStyle w:val="Hyperlink"/>
                                </w:rPr>
                                <w:t>Worksheet 4.3. Data Sources for Network Adequacy Validation</w:t>
                              </w:r>
                            </w:hyperlink>
                          </w:p>
                          <w:p w:rsidR="007B7221" w:rsidRPr="004B37FD" w:rsidP="000F67F7" w14:textId="77777777">
                            <w:pPr>
                              <w:pStyle w:val="EQRTextboxbullet"/>
                            </w:pPr>
                            <w:r w:rsidRPr="003869EC">
                              <w:t xml:space="preserve">Provides a template </w:t>
                            </w:r>
                            <w:r>
                              <w:t>to</w:t>
                            </w:r>
                            <w:r w:rsidRPr="003869EC">
                              <w:t xml:space="preserve"> identify all data sources needed for the validation</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6" o:spid="_x0000_s1149" type="#_x0000_t202" style="width:172.8pt;height:102.2pt;margin-top:34.1pt;margin-left:292.5pt;flip:y;mso-height-percent:0;mso-height-relative:page;mso-width-percent:0;mso-width-relative:page;mso-wrap-distance-bottom:0;mso-wrap-distance-left:9pt;mso-wrap-distance-right:9pt;mso-wrap-distance-top:0;mso-wrap-style:square;position:absolute;rotation:180;visibility:visible;v-text-anchor:top;z-index:251929600" fillcolor="#eef5f8" strokecolor="#a5dad9" strokeweight="2.25pt">
                <v:stroke endcap="round"/>
                <v:textbox style="mso-fit-shape-to-text:t" inset="8.64pt,,8.64pt">
                  <w:txbxContent>
                    <w:p w:rsidR="007B7221" w:rsidRPr="003869EC" w:rsidP="000F67F7" w14:paraId="2E5E50C0" w14:textId="77777777">
                      <w:pPr>
                        <w:pStyle w:val="EQRTextboxheading"/>
                      </w:pPr>
                      <w:r w:rsidRPr="003869EC">
                        <w:t>Resource for Activity 2, Step 1</w:t>
                      </w:r>
                    </w:p>
                    <w:p w:rsidR="007B7221" w:rsidRPr="003869EC" w:rsidP="000F67F7" w14:paraId="734CA300" w14:textId="7A9187EA">
                      <w:pPr>
                        <w:pStyle w:val="EQRTextboxbody"/>
                      </w:pPr>
                      <w:hyperlink w:anchor="WS43" w:tooltip="Worksheet 4.3. Data Sources for Network Adequacy Validation" w:history="1">
                        <w:r w:rsidRPr="009E0512">
                          <w:rPr>
                            <w:rStyle w:val="Hyperlink"/>
                          </w:rPr>
                          <w:t>Worksheet 4.3. Data Sources for Network Adequacy Validation</w:t>
                        </w:r>
                      </w:hyperlink>
                    </w:p>
                    <w:p w:rsidR="007B7221" w:rsidRPr="004B37FD" w:rsidP="000F67F7" w14:paraId="5E161B41" w14:textId="77777777">
                      <w:pPr>
                        <w:pStyle w:val="EQRTextboxbullet"/>
                      </w:pPr>
                      <w:r w:rsidRPr="003869EC">
                        <w:t xml:space="preserve">Provides a template </w:t>
                      </w:r>
                      <w:r>
                        <w:t>to</w:t>
                      </w:r>
                      <w:r w:rsidRPr="003869EC">
                        <w:t xml:space="preserve"> identify all data sources needed for the validation</w:t>
                      </w:r>
                    </w:p>
                  </w:txbxContent>
                </v:textbox>
                <w10:wrap type="tight"/>
              </v:shape>
            </w:pict>
          </mc:Fallback>
        </mc:AlternateContent>
      </w:r>
      <w:r w:rsidRPr="00990D3B">
        <w:rPr>
          <w:noProof/>
        </w:rPr>
        <mc:AlternateContent>
          <mc:Choice Requires="wps">
            <w:drawing>
              <wp:anchor distT="0" distB="0" distL="114300" distR="114300" simplePos="0" relativeHeight="251930624" behindDoc="0" locked="0" layoutInCell="1" allowOverlap="1">
                <wp:simplePos x="0" y="0"/>
                <wp:positionH relativeFrom="column">
                  <wp:posOffset>3714750</wp:posOffset>
                </wp:positionH>
                <wp:positionV relativeFrom="paragraph">
                  <wp:posOffset>71755</wp:posOffset>
                </wp:positionV>
                <wp:extent cx="2194560" cy="297815"/>
                <wp:effectExtent l="19050" t="19050" r="0" b="7620"/>
                <wp:wrapTight wrapText="bothSides">
                  <wp:wrapPolygon>
                    <wp:start x="21788" y="22985"/>
                    <wp:lineTo x="21788" y="-554"/>
                    <wp:lineTo x="38" y="-554"/>
                    <wp:lineTo x="38" y="22985"/>
                    <wp:lineTo x="21788" y="22985"/>
                  </wp:wrapPolygon>
                </wp:wrapTight>
                <wp:docPr id="299560919" name="Text Box 13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7B7221" w:rsidRPr="006847EB" w:rsidP="000F67F7" w14:textId="5F165403">
                            <w:pPr>
                              <w:pStyle w:val="EQRWORKSHEETText"/>
                              <w:rPr>
                                <w:color w:val="006068" w:themeColor="accent1" w:themeShade="BF"/>
                              </w:rPr>
                            </w:pPr>
                            <w:hyperlink w:anchor="WS43" w:tooltip="WORKSHEET 4.3" w:history="1">
                              <w:r w:rsidRPr="006847EB">
                                <w:rPr>
                                  <w:color w:val="006068" w:themeColor="accent1" w:themeShade="BF"/>
                                </w:rPr>
                                <w:t>WORKSHEET 4.3</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5" o:spid="_x0000_s1150" type="#_x0000_t202" style="width:172.8pt;height:23.45pt;margin-top:5.65pt;margin-left:292.5pt;flip:y;mso-height-percent:0;mso-height-relative:page;mso-width-percent:0;mso-width-relative:page;mso-wrap-distance-bottom:0;mso-wrap-distance-left:9pt;mso-wrap-distance-right:9pt;mso-wrap-distance-top:0;mso-wrap-style:square;position:absolute;rotation:180;visibility:visible;v-text-anchor:top;z-index:251931648" fillcolor="#eef5f8" strokecolor="#a5dad9" strokeweight="2.25pt">
                <v:stroke endcap="round"/>
                <v:textbox style="mso-fit-shape-to-text:t" inset="8.64pt,,8.64pt">
                  <w:txbxContent>
                    <w:p w:rsidR="007B7221" w:rsidRPr="006847EB" w:rsidP="000F67F7" w14:paraId="112067F4" w14:textId="5F165403">
                      <w:pPr>
                        <w:pStyle w:val="EQRWORKSHEETText"/>
                        <w:rPr>
                          <w:color w:val="006068" w:themeColor="accent1" w:themeShade="BF"/>
                        </w:rPr>
                      </w:pPr>
                      <w:hyperlink w:anchor="WS43" w:tooltip="WORKSHEET 4.3" w:history="1">
                        <w:r w:rsidRPr="006847EB">
                          <w:rPr>
                            <w:color w:val="006068" w:themeColor="accent1" w:themeShade="BF"/>
                          </w:rPr>
                          <w:t>WORKSHEET 4.3</w:t>
                        </w:r>
                      </w:hyperlink>
                    </w:p>
                  </w:txbxContent>
                </v:textbox>
                <w10:wrap type="tight"/>
              </v:shape>
            </w:pict>
          </mc:Fallback>
        </mc:AlternateContent>
      </w:r>
      <w:r w:rsidRPr="00990D3B">
        <w:rPr>
          <w:lang w:bidi="en-US"/>
        </w:rPr>
        <w:t xml:space="preserve">In this step, the </w:t>
      </w:r>
      <w:r w:rsidRPr="00990D3B" w:rsidR="00AD7FD8">
        <w:rPr>
          <w:lang w:bidi="en-US"/>
        </w:rPr>
        <w:t>EQRO identif</w:t>
      </w:r>
      <w:r w:rsidRPr="00990D3B">
        <w:rPr>
          <w:lang w:bidi="en-US"/>
        </w:rPr>
        <w:t>ies</w:t>
      </w:r>
      <w:r w:rsidRPr="00990D3B" w:rsidR="00DD47F1">
        <w:rPr>
          <w:lang w:bidi="en-US"/>
        </w:rPr>
        <w:t xml:space="preserve"> </w:t>
      </w:r>
      <w:r w:rsidRPr="00990D3B" w:rsidR="00AD7FD8">
        <w:rPr>
          <w:lang w:bidi="en-US"/>
        </w:rPr>
        <w:t>data needed for the validation activity (see</w:t>
      </w:r>
      <w:r w:rsidRPr="00990D3B" w:rsidR="00AD7FD8">
        <w:t xml:space="preserve"> </w:t>
      </w:r>
      <w:r>
        <w:fldChar w:fldCharType="begin"/>
      </w:r>
      <w:r w:rsidRPr="00990D3B" w:rsidR="00AD7FD8">
        <w:rPr>
          <w:rStyle w:val="Hyperlink"/>
          <w:lang w:bidi="en-US"/>
        </w:rPr>
        <w:instrText xml:space="preserve"> HYPERLINK \l "Box4n3" \o "Box 4.3" </w:instrText>
      </w:r>
      <w:r>
        <w:fldChar w:fldCharType="separate"/>
      </w:r>
      <w:r w:rsidRPr="00990D3B" w:rsidR="00AD7FD8">
        <w:rPr>
          <w:rStyle w:val="Hyperlink"/>
          <w:lang w:bidi="en-US"/>
        </w:rPr>
        <w:t>Box 4.3</w:t>
      </w:r>
      <w:r>
        <w:fldChar w:fldCharType="end"/>
      </w:r>
      <w:r w:rsidRPr="00990D3B" w:rsidR="00AD7FD8">
        <w:t>)</w:t>
      </w:r>
      <w:r w:rsidRPr="00990D3B" w:rsidR="00AD7FD8">
        <w:rPr>
          <w:lang w:bidi="en-US"/>
        </w:rPr>
        <w:t xml:space="preserve">. Typically, data related to both </w:t>
      </w:r>
      <w:r w:rsidRPr="00990D3B">
        <w:rPr>
          <w:lang w:bidi="en-US"/>
        </w:rPr>
        <w:t xml:space="preserve">enrollees </w:t>
      </w:r>
      <w:r w:rsidRPr="00990D3B" w:rsidR="00AD7FD8">
        <w:rPr>
          <w:lang w:bidi="en-US"/>
        </w:rPr>
        <w:t>and providers will be needed. This could include:</w:t>
      </w:r>
    </w:p>
    <w:p w:rsidR="00AD7FD8" w:rsidRPr="00990D3B" w:rsidP="00FB7CAF" w14:paraId="5002DF86" w14:textId="62975650">
      <w:pPr>
        <w:pStyle w:val="EQRBulletBLUE"/>
      </w:pPr>
      <w:r w:rsidRPr="00990D3B">
        <w:t xml:space="preserve">Data and documentation from MCPs, such as provider network data files or directories, enrollment data files, claims and encounter data files, grievance and appeals data, </w:t>
      </w:r>
      <w:r w:rsidRPr="00990D3B" w:rsidR="002F4DD4">
        <w:t>enrollee</w:t>
      </w:r>
      <w:r w:rsidRPr="00990D3B">
        <w:t xml:space="preserve"> experience survey results, or provider and </w:t>
      </w:r>
      <w:r w:rsidRPr="00990D3B" w:rsidR="002F4DD4">
        <w:t>enrollee</w:t>
      </w:r>
      <w:r w:rsidRPr="00990D3B">
        <w:t xml:space="preserve"> handbooks</w:t>
      </w:r>
      <w:r w:rsidRPr="00990D3B" w:rsidR="00037D65">
        <w:t>.</w:t>
      </w:r>
    </w:p>
    <w:p w:rsidR="00AD7FD8" w:rsidRPr="00990D3B" w:rsidP="00FB7CAF" w14:paraId="1945E755" w14:textId="66173688">
      <w:pPr>
        <w:pStyle w:val="EQRBulletBLUE"/>
      </w:pPr>
      <w:r w:rsidRPr="00990D3B">
        <w:t>Data and documentation from the state, such as board certification status</w:t>
      </w:r>
      <w:r w:rsidRPr="00990D3B" w:rsidR="00037D65">
        <w:t>.</w:t>
      </w:r>
    </w:p>
    <w:p w:rsidR="00AD7FD8" w:rsidRPr="00990D3B" w:rsidP="00FB7CAF" w14:paraId="29C85E94" w14:textId="1EE6DE2C">
      <w:pPr>
        <w:pStyle w:val="EQRBulletBLUE"/>
      </w:pPr>
      <w:r w:rsidRPr="00990D3B">
        <w:t>Primary data collection to validate provider directory information or assess appointment availability and hours of operation</w:t>
      </w:r>
      <w:r w:rsidRPr="00990D3B" w:rsidR="00037D65">
        <w:t>.</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4657"/>
        <w:gridCol w:w="4657"/>
      </w:tblGrid>
      <w:tr w14:paraId="054F3FA0" w14:textId="77777777" w:rsidTr="000F67F7">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216"/>
        </w:trPr>
        <w:tc>
          <w:tcPr>
            <w:tcW w:w="9314" w:type="dxa"/>
            <w:gridSpan w:val="2"/>
            <w:shd w:val="clear" w:color="auto" w:fill="EEF5F8"/>
          </w:tcPr>
          <w:p w:rsidR="00AD7FD8" w:rsidRPr="00990D3B" w:rsidP="00BD1FC3" w14:paraId="06E11E2C" w14:textId="2F5DA566">
            <w:pPr>
              <w:pStyle w:val="EQRTextboxheading"/>
              <w:keepNext/>
              <w:spacing w:before="0" w:after="0"/>
            </w:pPr>
            <w:bookmarkStart w:id="467" w:name="Box4n3"/>
            <w:bookmarkEnd w:id="467"/>
            <w:r w:rsidRPr="00990D3B">
              <w:t xml:space="preserve">Box 4.3. Examples of </w:t>
            </w:r>
            <w:r w:rsidRPr="00990D3B" w:rsidR="0036705C">
              <w:t>P</w:t>
            </w:r>
            <w:r w:rsidRPr="00990D3B">
              <w:t xml:space="preserve">otential </w:t>
            </w:r>
            <w:r w:rsidRPr="00990D3B" w:rsidR="0036705C">
              <w:t>D</w:t>
            </w:r>
            <w:r w:rsidRPr="00990D3B">
              <w:t xml:space="preserve">ata </w:t>
            </w:r>
            <w:r w:rsidRPr="00990D3B" w:rsidR="0036705C">
              <w:t>S</w:t>
            </w:r>
            <w:r w:rsidRPr="00990D3B">
              <w:t xml:space="preserve">ources for </w:t>
            </w:r>
            <w:r w:rsidRPr="00990D3B" w:rsidR="0036705C">
              <w:t>N</w:t>
            </w:r>
            <w:r w:rsidRPr="00990D3B">
              <w:t xml:space="preserve">etwork </w:t>
            </w:r>
            <w:r w:rsidRPr="00990D3B" w:rsidR="0036705C">
              <w:t>A</w:t>
            </w:r>
            <w:r w:rsidRPr="00990D3B">
              <w:t xml:space="preserve">dequacy </w:t>
            </w:r>
            <w:r w:rsidRPr="00990D3B" w:rsidR="0036705C">
              <w:t>V</w:t>
            </w:r>
            <w:r w:rsidRPr="00990D3B">
              <w:t xml:space="preserve">alidation </w:t>
            </w:r>
          </w:p>
        </w:tc>
      </w:tr>
      <w:tr w14:paraId="65A2ECCD" w14:textId="77777777" w:rsidTr="000F67F7">
        <w:tblPrEx>
          <w:tblW w:w="0" w:type="auto"/>
          <w:tblCellMar>
            <w:top w:w="72" w:type="dxa"/>
            <w:left w:w="173" w:type="dxa"/>
            <w:bottom w:w="72" w:type="dxa"/>
            <w:right w:w="173" w:type="dxa"/>
          </w:tblCellMar>
          <w:tblLook w:val="04A0"/>
        </w:tblPrEx>
        <w:trPr>
          <w:cantSplit/>
          <w:trHeight w:val="1935"/>
        </w:trPr>
        <w:tc>
          <w:tcPr>
            <w:tcW w:w="4657" w:type="dxa"/>
            <w:shd w:val="clear" w:color="auto" w:fill="EEF5F8"/>
          </w:tcPr>
          <w:p w:rsidR="00AD7FD8" w:rsidRPr="00990D3B" w:rsidP="00E918C2" w14:paraId="4C489519" w14:textId="04890664">
            <w:pPr>
              <w:pStyle w:val="EQRTextboxbullet"/>
            </w:pPr>
            <w:r w:rsidRPr="00990D3B">
              <w:t>E</w:t>
            </w:r>
            <w:r w:rsidRPr="00990D3B">
              <w:t xml:space="preserve">nrollment files </w:t>
            </w:r>
          </w:p>
          <w:p w:rsidR="00AD7FD8" w:rsidRPr="00990D3B" w:rsidP="00E918C2" w14:paraId="178CADDC" w14:textId="77777777">
            <w:pPr>
              <w:pStyle w:val="EQRTextboxbullet"/>
            </w:pPr>
            <w:r w:rsidRPr="00990D3B">
              <w:t>Provider network data files or online provider directories</w:t>
            </w:r>
          </w:p>
          <w:p w:rsidR="00AD7FD8" w:rsidRPr="00990D3B" w:rsidP="00E918C2" w14:paraId="0AF6993B" w14:textId="77777777">
            <w:pPr>
              <w:pStyle w:val="EQRTextboxbullet"/>
            </w:pPr>
            <w:r w:rsidRPr="00990D3B">
              <w:t>Claims and encounter data</w:t>
            </w:r>
          </w:p>
          <w:p w:rsidR="00AD7FD8" w:rsidRPr="00990D3B" w:rsidP="00E918C2" w14:paraId="31612AC6" w14:textId="77777777">
            <w:pPr>
              <w:pStyle w:val="EQRTextboxbullet"/>
            </w:pPr>
            <w:r w:rsidRPr="00990D3B">
              <w:t>Case management, authorization, or electronic visit verification (EVV) systems (particularly for LTSS providers)</w:t>
            </w:r>
          </w:p>
          <w:p w:rsidR="00AD7FD8" w:rsidRPr="00990D3B" w:rsidP="00E918C2" w14:paraId="77B2CC90" w14:textId="77777777">
            <w:pPr>
              <w:pStyle w:val="EQRTextboxbullet"/>
            </w:pPr>
            <w:r w:rsidRPr="00990D3B">
              <w:t>State board certification registries</w:t>
            </w:r>
          </w:p>
          <w:p w:rsidR="00AD7FD8" w:rsidRPr="00990D3B" w:rsidP="00E918C2" w14:paraId="215E99F7" w14:textId="77777777">
            <w:pPr>
              <w:pStyle w:val="EQRTextboxbullet"/>
            </w:pPr>
            <w:r w:rsidRPr="00990D3B">
              <w:t>Grievance and appeals data</w:t>
            </w:r>
          </w:p>
        </w:tc>
        <w:tc>
          <w:tcPr>
            <w:tcW w:w="4657" w:type="dxa"/>
            <w:shd w:val="clear" w:color="auto" w:fill="EEF5F8"/>
          </w:tcPr>
          <w:p w:rsidR="00AD7FD8" w:rsidRPr="00990D3B" w:rsidP="00E918C2" w14:paraId="454550B4" w14:textId="17C6E17A">
            <w:pPr>
              <w:pStyle w:val="EQRTextboxbullet"/>
            </w:pPr>
            <w:r w:rsidRPr="00990D3B">
              <w:t xml:space="preserve">Survey data, including </w:t>
            </w:r>
            <w:r w:rsidRPr="00990D3B" w:rsidR="002F4DD4">
              <w:t>enrollee</w:t>
            </w:r>
            <w:r w:rsidRPr="00990D3B">
              <w:t xml:space="preserve"> experience surveys, such as the Consumer Assessment of Health Plan Survey (CAHPS), Home and Community-Based Services (HCBS) CAHPS, National Core Indicators, and National Core Indicators-Aging and Disabilities </w:t>
            </w:r>
          </w:p>
          <w:p w:rsidR="00AD7FD8" w:rsidRPr="00990D3B" w:rsidP="00E918C2" w14:paraId="0F35D72B" w14:textId="43C4D32C">
            <w:pPr>
              <w:pStyle w:val="EQRTextboxbullet"/>
            </w:pPr>
            <w:r w:rsidRPr="00990D3B">
              <w:t xml:space="preserve">Information from MCP websites, such as provider and </w:t>
            </w:r>
            <w:r w:rsidRPr="00990D3B" w:rsidR="002F4DD4">
              <w:t>enrollee</w:t>
            </w:r>
            <w:r w:rsidRPr="00990D3B">
              <w:t xml:space="preserve"> handbooks</w:t>
            </w:r>
          </w:p>
          <w:p w:rsidR="00AD7FD8" w:rsidRPr="00990D3B" w:rsidP="00E918C2" w14:paraId="1F8C54EE" w14:textId="77777777">
            <w:pPr>
              <w:pStyle w:val="EQRTextboxbullet"/>
            </w:pPr>
            <w:r w:rsidRPr="00990D3B">
              <w:t xml:space="preserve">Primary data collected by the EQRO by telephone, mail, or in-person visit, such as provider information or appointment availability </w:t>
            </w:r>
          </w:p>
        </w:tc>
      </w:tr>
    </w:tbl>
    <w:p w:rsidR="00AD7FD8" w:rsidRPr="00990D3B" w:rsidP="00E918C2" w14:paraId="1B781C76" w14:textId="77777777">
      <w:pPr>
        <w:pStyle w:val="H3"/>
        <w:spacing w:before="240"/>
      </w:pPr>
      <w:bookmarkStart w:id="468" w:name="P4Act2Step2"/>
      <w:bookmarkStart w:id="469" w:name="_Hlk62110692"/>
      <w:bookmarkEnd w:id="468"/>
      <w:r w:rsidRPr="00990D3B">
        <w:t>Step 2: Answer Questions about Data Sources</w:t>
      </w:r>
    </w:p>
    <w:bookmarkEnd w:id="469"/>
    <w:p w:rsidR="00AD7FD8" w:rsidRPr="00990D3B" w:rsidP="00B324B8" w14:paraId="69E892B0" w14:textId="75E78C99">
      <w:pPr>
        <w:pStyle w:val="ParagraphContinued"/>
        <w:keepNext/>
        <w:rPr>
          <w:lang w:bidi="en-US"/>
        </w:rPr>
      </w:pPr>
      <w:r w:rsidRPr="00990D3B">
        <w:rPr>
          <w:lang w:bidi="en-US"/>
        </w:rPr>
        <w:t>In this step, the EQRO, c</w:t>
      </w:r>
      <w:r w:rsidRPr="00990D3B">
        <w:rPr>
          <w:lang w:bidi="en-US"/>
        </w:rPr>
        <w:t xml:space="preserve">onsulting with the state as necessary, </w:t>
      </w:r>
      <w:r w:rsidRPr="00990D3B">
        <w:t>answer</w:t>
      </w:r>
      <w:r w:rsidRPr="00990D3B">
        <w:t>s</w:t>
      </w:r>
      <w:r w:rsidRPr="00990D3B">
        <w:t xml:space="preserve"> questions about each data source, such as:</w:t>
      </w:r>
    </w:p>
    <w:p w:rsidR="00037D65" w:rsidRPr="00990D3B" w:rsidP="00FB7CAF" w14:paraId="0B45F53A" w14:textId="77777777">
      <w:pPr>
        <w:pStyle w:val="EQRBulletBLUE"/>
      </w:pPr>
      <w:r w:rsidRPr="00990D3B">
        <w:t xml:space="preserve">Which variables are necessary for network adequacy validation? </w:t>
      </w:r>
    </w:p>
    <w:p w:rsidR="00037D65" w:rsidRPr="00990D3B" w:rsidP="00411ED7" w14:paraId="3E94156E" w14:textId="24CB9993">
      <w:pPr>
        <w:pStyle w:val="EQRBulletBLUE2ndlevel"/>
      </w:pPr>
      <w:r w:rsidRPr="00990D3B">
        <w:t>Necessary variables in provider datasets may include provider specialty and subspecialty, office address(es), languages spoken, disability access,</w:t>
      </w:r>
      <w:r w:rsidRPr="00990D3B" w:rsidR="00EF2F74">
        <w:t xml:space="preserve"> telehealth options</w:t>
      </w:r>
      <w:r w:rsidRPr="00990D3B" w:rsidR="00915032">
        <w:t xml:space="preserve"> (e.g., modality offered, whether telehealth is available for new or existing patients, and whether it counts towards state-defined network standards)</w:t>
      </w:r>
      <w:r>
        <w:rPr>
          <w:rStyle w:val="FootnoteReference"/>
        </w:rPr>
        <w:footnoteReference w:id="71"/>
      </w:r>
      <w:r w:rsidRPr="00990D3B" w:rsidR="00EF2F74">
        <w:t>,</w:t>
      </w:r>
      <w:r w:rsidRPr="00990D3B">
        <w:t xml:space="preserve"> and hours of service</w:t>
      </w:r>
      <w:r w:rsidRPr="00990D3B">
        <w:t xml:space="preserve">. </w:t>
      </w:r>
    </w:p>
    <w:p w:rsidR="00AD7FD8" w:rsidRPr="00990D3B" w:rsidP="00411ED7" w14:paraId="48BEEF14" w14:textId="1F3DA8A5">
      <w:pPr>
        <w:pStyle w:val="EQRBulletBLUE2ndlevel"/>
      </w:pPr>
      <w:r w:rsidRPr="00990D3B">
        <w:t xml:space="preserve">Necessary variables in </w:t>
      </w:r>
      <w:r w:rsidRPr="00990D3B" w:rsidR="000468A3">
        <w:t>enrollee</w:t>
      </w:r>
      <w:r w:rsidRPr="00990D3B">
        <w:t xml:space="preserve"> datasets may include home address, eligibility category, date of birth, sex, primary language spoken, race, ethnicity, disability status, and enrollment/termination dates</w:t>
      </w:r>
      <w:r w:rsidRPr="00990D3B" w:rsidR="003F470E">
        <w:t>.</w:t>
      </w:r>
      <w:r w:rsidRPr="00990D3B">
        <w:t xml:space="preserve"> </w:t>
      </w:r>
    </w:p>
    <w:p w:rsidR="00AD7FD8" w:rsidRPr="00990D3B" w:rsidP="00FB7CAF" w14:paraId="5FE6B7F1" w14:textId="5B8DCF01">
      <w:pPr>
        <w:pStyle w:val="EQRBulletBLUE"/>
      </w:pPr>
      <w:r w:rsidRPr="00990D3B">
        <w:t>How are the files and data formatted? Will the EQRO need to convert the files and data to other formats and, if so, what potential challenges exist</w:t>
      </w:r>
      <w:r w:rsidRPr="00990D3B" w:rsidR="00C02160">
        <w:t xml:space="preserve"> and why</w:t>
      </w:r>
      <w:r w:rsidRPr="00990D3B">
        <w:t>?</w:t>
      </w:r>
    </w:p>
    <w:p w:rsidR="00AD7FD8" w:rsidRPr="00990D3B" w:rsidP="00FB7CAF" w14:paraId="312B850C" w14:textId="77777777">
      <w:pPr>
        <w:pStyle w:val="EQRBulletBLUE"/>
      </w:pPr>
      <w:r w:rsidRPr="00990D3B">
        <w:t xml:space="preserve">Does the state set standards for completeness and accuracy of the data? </w:t>
      </w:r>
    </w:p>
    <w:p w:rsidR="00AD7FD8" w:rsidRPr="00990D3B" w:rsidP="00FB7CAF" w14:paraId="6D9BF7CC" w14:textId="77777777">
      <w:pPr>
        <w:pStyle w:val="EQRBulletBLUE"/>
      </w:pPr>
      <w:r w:rsidRPr="00990D3B">
        <w:t xml:space="preserve">Should </w:t>
      </w:r>
      <w:r w:rsidRPr="00990D3B">
        <w:t>the EQRO</w:t>
      </w:r>
      <w:r w:rsidRPr="00990D3B">
        <w:t xml:space="preserve"> expect to receive data dictionaries or other supplemental resources with the data?</w:t>
      </w:r>
    </w:p>
    <w:p w:rsidR="00AD7FD8" w:rsidRPr="00990D3B" w:rsidP="00FB7CAF" w14:paraId="137E302B" w14:textId="62314A49">
      <w:pPr>
        <w:pStyle w:val="EQRBulletBLUE"/>
      </w:pPr>
      <w:r w:rsidRPr="00990D3B">
        <w:t>What challenges could the EQRO encounter in accessing and using the data</w:t>
      </w:r>
      <w:r w:rsidRPr="00990D3B" w:rsidR="00D029AC">
        <w:t xml:space="preserve"> and how do the challenges impact </w:t>
      </w:r>
      <w:r w:rsidRPr="00990D3B" w:rsidR="00D029AC">
        <w:t>the data</w:t>
      </w:r>
      <w:r w:rsidRPr="00990D3B" w:rsidR="00D029AC">
        <w:t xml:space="preserve"> assessment</w:t>
      </w:r>
      <w:r w:rsidRPr="00990D3B">
        <w:t xml:space="preserve">? </w:t>
      </w:r>
    </w:p>
    <w:p w:rsidR="00AD7FD8" w:rsidRPr="00990D3B" w:rsidP="00BD1FC3" w14:paraId="10CA28F7" w14:textId="0A989FCE">
      <w:pPr>
        <w:pStyle w:val="H2"/>
      </w:pPr>
      <w:bookmarkStart w:id="470" w:name="P4Act3"/>
      <w:bookmarkStart w:id="471" w:name="_Toc183005596"/>
      <w:bookmarkStart w:id="472" w:name="_Toc201751366"/>
      <w:bookmarkEnd w:id="470"/>
      <w:r w:rsidRPr="00990D3B">
        <w:t xml:space="preserve">Activity 3: </w:t>
      </w:r>
      <w:bookmarkStart w:id="473" w:name="_Hlk52174866"/>
      <w:r w:rsidRPr="00990D3B">
        <w:t xml:space="preserve">Review </w:t>
      </w:r>
      <w:r w:rsidRPr="00990D3B" w:rsidR="00646491">
        <w:t>I</w:t>
      </w:r>
      <w:r w:rsidRPr="00990D3B">
        <w:t xml:space="preserve">nformation </w:t>
      </w:r>
      <w:r w:rsidRPr="00990D3B" w:rsidR="00646491">
        <w:t>S</w:t>
      </w:r>
      <w:r w:rsidRPr="00990D3B">
        <w:t xml:space="preserve">ystems </w:t>
      </w:r>
      <w:r w:rsidRPr="00990D3B" w:rsidR="00646491">
        <w:t>U</w:t>
      </w:r>
      <w:r w:rsidRPr="00990D3B">
        <w:t xml:space="preserve">nderlying </w:t>
      </w:r>
      <w:r w:rsidRPr="00990D3B" w:rsidR="00646491">
        <w:t>N</w:t>
      </w:r>
      <w:r w:rsidRPr="00990D3B">
        <w:t xml:space="preserve">etwork </w:t>
      </w:r>
      <w:r w:rsidRPr="00990D3B" w:rsidR="00646491">
        <w:t>A</w:t>
      </w:r>
      <w:r w:rsidRPr="00990D3B">
        <w:t xml:space="preserve">dequacy </w:t>
      </w:r>
      <w:r w:rsidRPr="00990D3B" w:rsidR="00646491">
        <w:t>M</w:t>
      </w:r>
      <w:r w:rsidRPr="00990D3B">
        <w:t>onitoring</w:t>
      </w:r>
      <w:bookmarkEnd w:id="471"/>
      <w:bookmarkEnd w:id="472"/>
      <w:bookmarkEnd w:id="473"/>
    </w:p>
    <w:p w:rsidR="00AD7FD8" w:rsidRPr="00990D3B" w:rsidP="00BD1FC3" w14:paraId="36923338" w14:textId="28F64C15">
      <w:pPr>
        <w:pStyle w:val="ParagraphContinued"/>
        <w:rPr>
          <w:lang w:bidi="en-US"/>
        </w:rPr>
      </w:pPr>
      <w:r w:rsidRPr="00990D3B">
        <w:rPr>
          <w:lang w:bidi="en-US"/>
        </w:rPr>
        <w:t>In Activity 3, the EQRO determine</w:t>
      </w:r>
      <w:r w:rsidRPr="00990D3B" w:rsidR="007B7221">
        <w:rPr>
          <w:lang w:bidi="en-US"/>
        </w:rPr>
        <w:t>s</w:t>
      </w:r>
      <w:r w:rsidRPr="00990D3B">
        <w:rPr>
          <w:lang w:bidi="en-US"/>
        </w:rPr>
        <w:t xml:space="preserve"> if the MCP’s information systems </w:t>
      </w:r>
      <w:r w:rsidRPr="00990D3B" w:rsidR="007B725D">
        <w:rPr>
          <w:lang w:bidi="en-US"/>
        </w:rPr>
        <w:t xml:space="preserve">(IS) </w:t>
      </w:r>
      <w:r w:rsidRPr="00990D3B" w:rsidR="00915032">
        <w:rPr>
          <w:lang w:bidi="en-US"/>
        </w:rPr>
        <w:t>can</w:t>
      </w:r>
      <w:r w:rsidRPr="00990D3B">
        <w:rPr>
          <w:lang w:bidi="en-US"/>
        </w:rPr>
        <w:t xml:space="preserve"> collect and report accurate data related to each network adequacy indicator. The EQRO will assess the information system in three steps: </w:t>
      </w:r>
    </w:p>
    <w:p w:rsidR="00AD7FD8" w:rsidRPr="00990D3B" w:rsidP="002D35CF" w14:paraId="21C3BA9F" w14:textId="756C3E67">
      <w:pPr>
        <w:pStyle w:val="ListNumber"/>
        <w:numPr>
          <w:ilvl w:val="0"/>
          <w:numId w:val="261"/>
        </w:numPr>
      </w:pPr>
      <w:r w:rsidRPr="00990D3B">
        <w:t xml:space="preserve">Review the MCP’s most recently completed </w:t>
      </w:r>
      <w:bookmarkStart w:id="474" w:name="_Hlk61961799"/>
      <w:r w:rsidRPr="00990D3B">
        <w:t>Information System Capacity Assessment (ISCA)</w:t>
      </w:r>
      <w:bookmarkEnd w:id="474"/>
      <w:r w:rsidRPr="00990D3B" w:rsidR="00037D65">
        <w:t>.</w:t>
      </w:r>
    </w:p>
    <w:p w:rsidR="00AD7FD8" w:rsidRPr="00990D3B" w:rsidP="00BA007D" w14:paraId="6CDB1FFB" w14:textId="503B410B">
      <w:pPr>
        <w:pStyle w:val="ListNumber"/>
      </w:pPr>
      <w:r w:rsidRPr="00990D3B">
        <w:t>Assess processes for collecting network adequacy validation data not addressed in the ISCA</w:t>
      </w:r>
      <w:r w:rsidRPr="00990D3B" w:rsidR="00037D65">
        <w:t>.</w:t>
      </w:r>
    </w:p>
    <w:p w:rsidR="00AD7FD8" w:rsidRPr="00990D3B" w:rsidP="00BA007D" w14:paraId="2D66BF32" w14:textId="115EC051">
      <w:pPr>
        <w:pStyle w:val="ListNumber"/>
      </w:pPr>
      <w:r w:rsidRPr="00990D3B">
        <w:t>Interview MCP or other personnel to clarify findings</w:t>
      </w:r>
      <w:r w:rsidRPr="00990D3B" w:rsidR="00037D65">
        <w:t>.</w:t>
      </w:r>
    </w:p>
    <w:p w:rsidR="00AD7FD8" w:rsidRPr="00990D3B" w:rsidP="00BD1FC3" w14:paraId="59C1A0ED" w14:textId="3B7C64E8">
      <w:pPr>
        <w:pStyle w:val="H3"/>
      </w:pPr>
      <w:bookmarkStart w:id="475" w:name="P4Act3Step1"/>
      <w:bookmarkEnd w:id="475"/>
      <w:r w:rsidRPr="00990D3B">
        <w:t>Step 1: Review the MCP’s ISCA</w:t>
      </w:r>
    </w:p>
    <w:p w:rsidR="00AD7FD8" w:rsidRPr="00990D3B" w:rsidP="00BD1FC3" w14:paraId="7447940A" w14:textId="1CD27912">
      <w:pPr>
        <w:pStyle w:val="ParagraphContinued"/>
      </w:pPr>
      <w:bookmarkStart w:id="476" w:name="_Hlk61961906"/>
      <w:r w:rsidRPr="00990D3B">
        <w:rPr>
          <w:noProof/>
        </w:rPr>
        <mc:AlternateContent>
          <mc:Choice Requires="wps">
            <w:drawing>
              <wp:anchor distT="0" distB="0" distL="114300" distR="114300" simplePos="0" relativeHeight="251934720" behindDoc="0" locked="0" layoutInCell="1" allowOverlap="1">
                <wp:simplePos x="0" y="0"/>
                <wp:positionH relativeFrom="column">
                  <wp:posOffset>3553460</wp:posOffset>
                </wp:positionH>
                <wp:positionV relativeFrom="paragraph">
                  <wp:posOffset>9525</wp:posOffset>
                </wp:positionV>
                <wp:extent cx="2194560" cy="297815"/>
                <wp:effectExtent l="19050" t="19050" r="0" b="7620"/>
                <wp:wrapTight wrapText="bothSides">
                  <wp:wrapPolygon>
                    <wp:start x="21788" y="22985"/>
                    <wp:lineTo x="21788" y="-554"/>
                    <wp:lineTo x="38" y="-554"/>
                    <wp:lineTo x="38" y="22985"/>
                    <wp:lineTo x="21788" y="22985"/>
                  </wp:wrapPolygon>
                </wp:wrapTight>
                <wp:docPr id="606380353" name="Text Box 13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7B725D" w:rsidRPr="006847EB" w:rsidP="000F67F7" w14:textId="687E64DF">
                            <w:pPr>
                              <w:pStyle w:val="EQRWORKSHEETText"/>
                              <w:rPr>
                                <w:color w:val="006068" w:themeColor="accent1" w:themeShade="BF"/>
                              </w:rPr>
                            </w:pPr>
                            <w:hyperlink w:anchor="WS44" w:tooltip="WORKSHEET 4.4" w:history="1">
                              <w:r w:rsidRPr="006847EB">
                                <w:rPr>
                                  <w:color w:val="006068" w:themeColor="accent1" w:themeShade="BF"/>
                                </w:rPr>
                                <w:t>WORKSHEET 4.4</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1" o:spid="_x0000_s1151" type="#_x0000_t202" style="width:172.8pt;height:23.45pt;margin-top:0.75pt;margin-left:279.8pt;flip:y;mso-height-percent:0;mso-height-relative:page;mso-width-percent:0;mso-width-relative:page;mso-wrap-distance-bottom:0;mso-wrap-distance-left:9pt;mso-wrap-distance-right:9pt;mso-wrap-distance-top:0;mso-wrap-style:square;position:absolute;rotation:180;visibility:visible;v-text-anchor:top;z-index:251935744" fillcolor="#eef5f8" strokecolor="#a5dad9" strokeweight="2.25pt">
                <v:stroke endcap="round"/>
                <v:textbox style="mso-fit-shape-to-text:t" inset="8.64pt,,8.64pt">
                  <w:txbxContent>
                    <w:p w:rsidR="007B725D" w:rsidRPr="006847EB" w:rsidP="000F67F7" w14:paraId="71D942D3" w14:textId="687E64DF">
                      <w:pPr>
                        <w:pStyle w:val="EQRWORKSHEETText"/>
                        <w:rPr>
                          <w:color w:val="006068" w:themeColor="accent1" w:themeShade="BF"/>
                        </w:rPr>
                      </w:pPr>
                      <w:hyperlink w:anchor="WS44" w:tooltip="WORKSHEET 4.4" w:history="1">
                        <w:r w:rsidRPr="006847EB">
                          <w:rPr>
                            <w:color w:val="006068" w:themeColor="accent1" w:themeShade="BF"/>
                          </w:rPr>
                          <w:t>WORKSHEET 4.4</w:t>
                        </w:r>
                      </w:hyperlink>
                    </w:p>
                  </w:txbxContent>
                </v:textbox>
                <w10:wrap type="tight"/>
              </v:shape>
            </w:pict>
          </mc:Fallback>
        </mc:AlternateContent>
      </w:r>
      <w:r w:rsidRPr="00990D3B">
        <w:rPr>
          <w:noProof/>
        </w:rPr>
        <mc:AlternateContent>
          <mc:Choice Requires="wps">
            <w:drawing>
              <wp:anchor distT="0" distB="0" distL="114300" distR="114300" simplePos="0" relativeHeight="251932672" behindDoc="0" locked="0" layoutInCell="1" allowOverlap="1">
                <wp:simplePos x="0" y="0"/>
                <wp:positionH relativeFrom="column">
                  <wp:posOffset>3554068</wp:posOffset>
                </wp:positionH>
                <wp:positionV relativeFrom="paragraph">
                  <wp:posOffset>370454</wp:posOffset>
                </wp:positionV>
                <wp:extent cx="2195195" cy="1453515"/>
                <wp:effectExtent l="19050" t="19050" r="0" b="0"/>
                <wp:wrapTight wrapText="bothSides">
                  <wp:wrapPolygon>
                    <wp:start x="21787" y="21883"/>
                    <wp:lineTo x="21787" y="76"/>
                    <wp:lineTo x="44" y="76"/>
                    <wp:lineTo x="44" y="21883"/>
                    <wp:lineTo x="21787" y="21883"/>
                  </wp:wrapPolygon>
                </wp:wrapTight>
                <wp:docPr id="633079123" name="Text Box 13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453515"/>
                        </a:xfrm>
                        <a:prstGeom prst="rect">
                          <a:avLst/>
                        </a:prstGeom>
                        <a:solidFill>
                          <a:srgbClr val="EEF5F8"/>
                        </a:solidFill>
                        <a:ln w="28575" cap="rnd">
                          <a:solidFill>
                            <a:srgbClr val="A5DAD9"/>
                          </a:solidFill>
                          <a:prstDash val="solid"/>
                          <a:miter lim="800000"/>
                          <a:headEnd/>
                          <a:tailEnd/>
                        </a:ln>
                      </wps:spPr>
                      <wps:txbx>
                        <w:txbxContent>
                          <w:p w:rsidR="007B725D" w:rsidRPr="00D41CCB" w:rsidP="000F67F7" w14:textId="77777777">
                            <w:pPr>
                              <w:pStyle w:val="EQRTextboxheading"/>
                            </w:pPr>
                            <w:r w:rsidRPr="00D41CCB">
                              <w:t>Resource for Activity 3, Step 1</w:t>
                            </w:r>
                          </w:p>
                          <w:p w:rsidR="007B725D" w:rsidRPr="00D41CCB" w:rsidP="000F67F7" w14:textId="77777777">
                            <w:pPr>
                              <w:pStyle w:val="EQRTextboxbody"/>
                            </w:pPr>
                            <w:hyperlink w:anchor="WS44" w:tooltip="Worksheet 4.4. Network Adequacy Data Concerns Identified in Review of ISCA" w:history="1">
                              <w:r w:rsidRPr="009E0512">
                                <w:rPr>
                                  <w:rStyle w:val="Hyperlink"/>
                                </w:rPr>
                                <w:t>Worksheet 4.4. Network Adequacy Data Concerns Identified in Review of ISCA</w:t>
                              </w:r>
                            </w:hyperlink>
                          </w:p>
                          <w:p w:rsidR="007B725D" w:rsidRPr="004B37FD" w:rsidP="000F67F7" w14:textId="77777777">
                            <w:pPr>
                              <w:pStyle w:val="EQRTextboxbullet"/>
                            </w:pPr>
                            <w:r w:rsidRPr="00D41CCB">
                              <w:t xml:space="preserve">Provides a template </w:t>
                            </w:r>
                            <w:r>
                              <w:t>to</w:t>
                            </w:r>
                            <w:r w:rsidRPr="00D41CCB">
                              <w:t xml:space="preserve"> describe data concerns identified in the EQRO’s review of the MCP’s Information System Capacity Assessment (ISCA)</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2" o:spid="_x0000_s1152" type="#_x0000_t202" style="width:172.85pt;height:114.45pt;margin-top:29.15pt;margin-left:279.85pt;flip:y;mso-height-percent:0;mso-height-relative:page;mso-width-percent:0;mso-width-relative:page;mso-wrap-distance-bottom:0;mso-wrap-distance-left:9pt;mso-wrap-distance-right:9pt;mso-wrap-distance-top:0;mso-wrap-style:square;position:absolute;rotation:180;visibility:visible;v-text-anchor:top;z-index:251933696" fillcolor="#eef5f8" strokecolor="#a5dad9" strokeweight="2.25pt">
                <v:stroke endcap="round"/>
                <v:textbox style="mso-fit-shape-to-text:t" inset="8.64pt,,8.64pt">
                  <w:txbxContent>
                    <w:p w:rsidR="007B725D" w:rsidRPr="00D41CCB" w:rsidP="000F67F7" w14:paraId="3EE6B9AA" w14:textId="77777777">
                      <w:pPr>
                        <w:pStyle w:val="EQRTextboxheading"/>
                      </w:pPr>
                      <w:r w:rsidRPr="00D41CCB">
                        <w:t>Resource for Activity 3, Step 1</w:t>
                      </w:r>
                    </w:p>
                    <w:p w:rsidR="007B725D" w:rsidRPr="00D41CCB" w:rsidP="000F67F7" w14:paraId="346D8441" w14:textId="77777777">
                      <w:pPr>
                        <w:pStyle w:val="EQRTextboxbody"/>
                      </w:pPr>
                      <w:hyperlink w:anchor="WS44" w:tooltip="Worksheet 4.4. Network Adequacy Data Concerns Identified in Review of ISCA" w:history="1">
                        <w:r w:rsidRPr="009E0512">
                          <w:rPr>
                            <w:rStyle w:val="Hyperlink"/>
                          </w:rPr>
                          <w:t>Worksheet 4.4. Network Adequacy Data Concerns Identified in Review of ISCA</w:t>
                        </w:r>
                      </w:hyperlink>
                    </w:p>
                    <w:p w:rsidR="007B725D" w:rsidRPr="004B37FD" w:rsidP="000F67F7" w14:paraId="68776EC1" w14:textId="77777777">
                      <w:pPr>
                        <w:pStyle w:val="EQRTextboxbullet"/>
                      </w:pPr>
                      <w:r w:rsidRPr="00D41CCB">
                        <w:t xml:space="preserve">Provides a template </w:t>
                      </w:r>
                      <w:r>
                        <w:t>to</w:t>
                      </w:r>
                      <w:r w:rsidRPr="00D41CCB">
                        <w:t xml:space="preserve"> describe data concerns identified in the EQRO’s review of the MCP’s Information System Capacity Assessment (ISCA)</w:t>
                      </w:r>
                    </w:p>
                  </w:txbxContent>
                </v:textbox>
                <w10:wrap type="tight"/>
              </v:shape>
            </w:pict>
          </mc:Fallback>
        </mc:AlternateContent>
      </w:r>
      <w:r w:rsidRPr="00990D3B">
        <w:t xml:space="preserve">In this step, the </w:t>
      </w:r>
      <w:r w:rsidRPr="00990D3B" w:rsidR="00AD7FD8">
        <w:t>EQRO determine</w:t>
      </w:r>
      <w:r w:rsidRPr="00990D3B">
        <w:t>s</w:t>
      </w:r>
      <w:r w:rsidRPr="00990D3B" w:rsidR="00AD7FD8">
        <w:t xml:space="preserve"> whether the MCP has completed an ISCA review within the previous two years. </w:t>
      </w:r>
      <w:bookmarkEnd w:id="476"/>
      <w:r w:rsidRPr="00990D3B" w:rsidR="00AD7FD8">
        <w:t xml:space="preserve">If the MCP has completed an ISCA within the previous two years, the EQRO should review the findings. </w:t>
      </w:r>
      <w:bookmarkStart w:id="477" w:name="_Hlk61961918"/>
      <w:r w:rsidRPr="00990D3B" w:rsidR="00AD7FD8">
        <w:t xml:space="preserve">If the MCP has not conducted an ISCA within the previous two years, the EQRO must conduct one consistent with the processes discussed in </w:t>
      </w:r>
      <w:hyperlink w:anchor="AppB" w:tooltip="Appendix B" w:history="1">
        <w:r w:rsidRPr="00990D3B" w:rsidR="00CF5AB3">
          <w:rPr>
            <w:rStyle w:val="Hyperlink"/>
          </w:rPr>
          <w:t>Appendix B</w:t>
        </w:r>
      </w:hyperlink>
      <w:r w:rsidRPr="00990D3B" w:rsidR="00AD7FD8">
        <w:t>.</w:t>
      </w:r>
      <w:bookmarkEnd w:id="477"/>
    </w:p>
    <w:p w:rsidR="00AD7FD8" w:rsidRPr="00990D3B" w:rsidP="00BD1FC3" w14:paraId="79072BB4" w14:textId="50C241A4">
      <w:pPr>
        <w:pStyle w:val="Paragraph0"/>
        <w:rPr>
          <w:rStyle w:val="NormalSSChar"/>
          <w:rFonts w:eastAsia="Calibri"/>
        </w:rPr>
      </w:pPr>
      <w:r w:rsidRPr="00990D3B">
        <w:t>Based on its review of the statement of findings from the ISCA, the EQRO should understand the</w:t>
      </w:r>
      <w:r w:rsidRPr="00990D3B" w:rsidR="007B29E8">
        <w:t xml:space="preserve"> information technology</w:t>
      </w:r>
      <w:r w:rsidRPr="00990D3B">
        <w:t xml:space="preserve"> </w:t>
      </w:r>
      <w:r w:rsidRPr="00990D3B" w:rsidR="007B29E8">
        <w:t>(</w:t>
      </w:r>
      <w:r w:rsidRPr="00990D3B">
        <w:t>IT</w:t>
      </w:r>
      <w:r w:rsidRPr="00990D3B" w:rsidR="007B29E8">
        <w:t>)</w:t>
      </w:r>
      <w:r w:rsidRPr="00990D3B">
        <w:t xml:space="preserve"> system architecture, file structure, information flow, data processing procedures, and completeness and accuracy of data related to current provider networks. The EQRO should review the ISCA to understand processes for maintaining and updating provider data, including how the MCP tracks providers over time, across multiple office locations, and through changes in participation in the MCP’s network; how the MCP identifies providers or organizations excluded from the Medicaid and CHIP program each month (e.g., List of Excluded Individuals </w:t>
      </w:r>
      <w:r w:rsidRPr="00990D3B">
        <w:t>and Entities); and whether the MCP requires its provider network to update provider data each month. If the EQRO identifies issues that may contribute to ina</w:t>
      </w:r>
      <w:r w:rsidRPr="00990D3B">
        <w:rPr>
          <w:rFonts w:cs="Arial"/>
          <w:szCs w:val="22"/>
          <w:lang w:bidi="en-US"/>
        </w:rPr>
        <w:t>ccurate or incomplete</w:t>
      </w:r>
      <w:r w:rsidRPr="00990D3B">
        <w:rPr>
          <w:rStyle w:val="NormalSSChar"/>
          <w:rFonts w:eastAsia="Calibri" w:cs="Arial"/>
          <w:szCs w:val="22"/>
        </w:rPr>
        <w:t xml:space="preserve"> network adequacy data, the EQRO should list any concerns about the data in</w:t>
      </w:r>
      <w:r w:rsidRPr="00990D3B">
        <w:rPr>
          <w:rFonts w:eastAsia="Calibri"/>
        </w:rPr>
        <w:t xml:space="preserve"> </w:t>
      </w:r>
      <w:hyperlink w:anchor="WS44" w:history="1">
        <w:r w:rsidRPr="00990D3B">
          <w:rPr>
            <w:rStyle w:val="Hyperlink"/>
            <w:rFonts w:eastAsia="Calibri" w:cs="Arial"/>
            <w:szCs w:val="22"/>
          </w:rPr>
          <w:t>Worksheet 4.4</w:t>
        </w:r>
      </w:hyperlink>
      <w:r w:rsidRPr="00990D3B">
        <w:rPr>
          <w:rFonts w:eastAsia="Calibri" w:cs="Arial"/>
          <w:szCs w:val="22"/>
        </w:rPr>
        <w:t>.</w:t>
      </w:r>
      <w:r w:rsidRPr="00990D3B">
        <w:rPr>
          <w:rFonts w:eastAsia="Calibri"/>
        </w:rPr>
        <w:t xml:space="preserve"> </w:t>
      </w:r>
      <w:r w:rsidRPr="00990D3B">
        <w:t xml:space="preserve">The statement of findings from the ISCA includes an assessment of the utility of the MCP’s </w:t>
      </w:r>
      <w:r w:rsidRPr="00990D3B" w:rsidR="009B593B">
        <w:t>IS</w:t>
      </w:r>
      <w:r w:rsidRPr="00990D3B">
        <w:t xml:space="preserve"> for review of provider network adequacy. The EQRO should review this assessment and the ISCA in full to identify weaknesses in the MCP’s </w:t>
      </w:r>
      <w:r w:rsidRPr="00990D3B" w:rsidR="007B725D">
        <w:t>IS</w:t>
      </w:r>
      <w:r w:rsidRPr="00990D3B">
        <w:t xml:space="preserve"> required for network adequacy validation, including where and how </w:t>
      </w:r>
      <w:r w:rsidRPr="00990D3B" w:rsidR="007B725D">
        <w:t>IS</w:t>
      </w:r>
      <w:r w:rsidRPr="00990D3B">
        <w:t xml:space="preserve"> may be vulnerable to incomplete or inaccurate data capture or processing, integration, storage, or reporting.</w:t>
      </w:r>
    </w:p>
    <w:p w:rsidR="00AD7FD8" w:rsidRPr="00990D3B" w:rsidP="00BD1FC3" w14:paraId="2324A422" w14:textId="77777777">
      <w:pPr>
        <w:pStyle w:val="H3"/>
      </w:pPr>
      <w:bookmarkStart w:id="478" w:name="P4Act3Step2"/>
      <w:bookmarkEnd w:id="478"/>
      <w:r w:rsidRPr="00990D3B">
        <w:t xml:space="preserve">Step 2: </w:t>
      </w:r>
      <w:bookmarkStart w:id="479" w:name="_Hlk62111648"/>
      <w:bookmarkStart w:id="480" w:name="_Hlk61940319"/>
      <w:r w:rsidRPr="00990D3B">
        <w:t>Assess Processes for Collecting Network Adequacy Data Not Addressed in the ISCA</w:t>
      </w:r>
      <w:bookmarkEnd w:id="479"/>
    </w:p>
    <w:bookmarkEnd w:id="480"/>
    <w:p w:rsidR="00AD7FD8" w:rsidRPr="00990D3B" w:rsidP="00BD1FC3" w14:paraId="4FB97D0C" w14:textId="6F66232A">
      <w:pPr>
        <w:pStyle w:val="ParagraphContinued"/>
      </w:pPr>
      <w:r w:rsidRPr="00990D3B">
        <w:rPr>
          <w:noProof/>
        </w:rPr>
        <mc:AlternateContent>
          <mc:Choice Requires="wps">
            <w:drawing>
              <wp:anchor distT="0" distB="0" distL="114300" distR="114300" simplePos="0" relativeHeight="251938816" behindDoc="0" locked="0" layoutInCell="1" allowOverlap="1">
                <wp:simplePos x="0" y="0"/>
                <wp:positionH relativeFrom="column">
                  <wp:posOffset>3716020</wp:posOffset>
                </wp:positionH>
                <wp:positionV relativeFrom="paragraph">
                  <wp:posOffset>26670</wp:posOffset>
                </wp:positionV>
                <wp:extent cx="2194560" cy="297815"/>
                <wp:effectExtent l="19050" t="19050" r="0" b="7620"/>
                <wp:wrapTight wrapText="bothSides">
                  <wp:wrapPolygon>
                    <wp:start x="21788" y="22985"/>
                    <wp:lineTo x="21788" y="-554"/>
                    <wp:lineTo x="38" y="-554"/>
                    <wp:lineTo x="38" y="22985"/>
                    <wp:lineTo x="21788" y="22985"/>
                  </wp:wrapPolygon>
                </wp:wrapTight>
                <wp:docPr id="491498405" name="Text Box 1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7B725D" w:rsidRPr="006847EB" w:rsidP="000F67F7" w14:textId="6A46CF1C">
                            <w:pPr>
                              <w:pStyle w:val="EQRWORKSHEETText"/>
                              <w:rPr>
                                <w:color w:val="006068" w:themeColor="accent1" w:themeShade="BF"/>
                              </w:rPr>
                            </w:pPr>
                            <w:hyperlink w:anchor="WS45" w:tooltip="WORKSHEET 4.5" w:history="1">
                              <w:r w:rsidRPr="006847EB">
                                <w:rPr>
                                  <w:color w:val="006068" w:themeColor="accent1" w:themeShade="BF"/>
                                </w:rPr>
                                <w:t>WORKSHEET 4.5</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7" o:spid="_x0000_s1153" type="#_x0000_t202" style="width:172.8pt;height:23.45pt;margin-top:2.1pt;margin-left:292.6pt;flip:y;mso-height-percent:0;mso-height-relative:page;mso-width-percent:0;mso-width-relative:page;mso-wrap-distance-bottom:0;mso-wrap-distance-left:9pt;mso-wrap-distance-right:9pt;mso-wrap-distance-top:0;mso-wrap-style:square;position:absolute;rotation:180;visibility:visible;v-text-anchor:top;z-index:251939840" fillcolor="#eef5f8" strokecolor="#a5dad9" strokeweight="2.25pt">
                <v:stroke endcap="round"/>
                <v:textbox style="mso-fit-shape-to-text:t" inset="8.64pt,,8.64pt">
                  <w:txbxContent>
                    <w:p w:rsidR="007B725D" w:rsidRPr="006847EB" w:rsidP="000F67F7" w14:paraId="4E62A7F5" w14:textId="6A46CF1C">
                      <w:pPr>
                        <w:pStyle w:val="EQRWORKSHEETText"/>
                        <w:rPr>
                          <w:color w:val="006068" w:themeColor="accent1" w:themeShade="BF"/>
                        </w:rPr>
                      </w:pPr>
                      <w:hyperlink w:anchor="WS45" w:tooltip="WORKSHEET 4.5" w:history="1">
                        <w:r w:rsidRPr="006847EB">
                          <w:rPr>
                            <w:color w:val="006068" w:themeColor="accent1" w:themeShade="BF"/>
                          </w:rPr>
                          <w:t>WORKSHEET 4.5</w:t>
                        </w:r>
                      </w:hyperlink>
                    </w:p>
                  </w:txbxContent>
                </v:textbox>
                <w10:wrap type="tight"/>
              </v:shape>
            </w:pict>
          </mc:Fallback>
        </mc:AlternateContent>
      </w:r>
      <w:r w:rsidRPr="00990D3B">
        <w:rPr>
          <w:noProof/>
        </w:rPr>
        <mc:AlternateContent>
          <mc:Choice Requires="wps">
            <w:drawing>
              <wp:anchor distT="0" distB="0" distL="114300" distR="114300" simplePos="0" relativeHeight="251936768" behindDoc="0" locked="0" layoutInCell="1" allowOverlap="1">
                <wp:simplePos x="0" y="0"/>
                <wp:positionH relativeFrom="column">
                  <wp:posOffset>3716130</wp:posOffset>
                </wp:positionH>
                <wp:positionV relativeFrom="paragraph">
                  <wp:posOffset>375921</wp:posOffset>
                </wp:positionV>
                <wp:extent cx="2195195" cy="1758315"/>
                <wp:effectExtent l="19050" t="19050" r="0" b="0"/>
                <wp:wrapTight wrapText="bothSides">
                  <wp:wrapPolygon>
                    <wp:start x="21787" y="21834"/>
                    <wp:lineTo x="21787" y="62"/>
                    <wp:lineTo x="44" y="62"/>
                    <wp:lineTo x="44" y="21834"/>
                    <wp:lineTo x="21787" y="21834"/>
                  </wp:wrapPolygon>
                </wp:wrapTight>
                <wp:docPr id="1280448730" name="Text Box 1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758315"/>
                        </a:xfrm>
                        <a:prstGeom prst="rect">
                          <a:avLst/>
                        </a:prstGeom>
                        <a:solidFill>
                          <a:srgbClr val="EEF5F8"/>
                        </a:solidFill>
                        <a:ln w="28575" cap="rnd">
                          <a:solidFill>
                            <a:srgbClr val="A5DAD9"/>
                          </a:solidFill>
                          <a:prstDash val="solid"/>
                          <a:miter lim="800000"/>
                          <a:headEnd/>
                          <a:tailEnd/>
                        </a:ln>
                      </wps:spPr>
                      <wps:txbx>
                        <w:txbxContent>
                          <w:p w:rsidR="007B725D" w:rsidRPr="00B30784" w:rsidP="000F67F7" w14:textId="77777777">
                            <w:pPr>
                              <w:pStyle w:val="EQRTextboxheading"/>
                            </w:pPr>
                            <w:r w:rsidRPr="00B30784">
                              <w:t>Resource for Activity 3, Step 2</w:t>
                            </w:r>
                          </w:p>
                          <w:p w:rsidR="007B725D" w:rsidRPr="00B30784" w:rsidP="000F67F7" w14:textId="2A24FFE0">
                            <w:pPr>
                              <w:pStyle w:val="EQRTextboxbody"/>
                            </w:pPr>
                            <w:hyperlink w:anchor="WS45" w:tooltip="Worksheet 4.5. Assessment of network adequacy data sources not reviewed in the ISCA" w:history="1">
                              <w:r w:rsidRPr="009E0512">
                                <w:rPr>
                                  <w:rStyle w:val="Hyperlink"/>
                                </w:rPr>
                                <w:t>Worksheet 4.5. Assessment of network adequacy data sources not reviewed in the ISCA</w:t>
                              </w:r>
                            </w:hyperlink>
                          </w:p>
                          <w:p w:rsidR="007B725D" w:rsidRPr="004B37FD" w:rsidP="000F67F7" w14:textId="77777777">
                            <w:pPr>
                              <w:pStyle w:val="EQRTextboxbullet"/>
                            </w:pPr>
                            <w:r w:rsidRPr="00B30784">
                              <w:t>Provides a template</w:t>
                            </w:r>
                            <w:r>
                              <w:t xml:space="preserve"> to</w:t>
                            </w:r>
                            <w:r w:rsidRPr="00B30784">
                              <w:t xml:space="preserve"> assess the integrity of the MCP’s system(s) that collects, stores, and processes network adequacy data not addressed in the ISCA</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8" o:spid="_x0000_s1154" type="#_x0000_t202" style="width:172.85pt;height:138.45pt;margin-top:29.6pt;margin-left:292.6pt;flip:y;mso-height-percent:0;mso-height-relative:page;mso-width-percent:0;mso-width-relative:page;mso-wrap-distance-bottom:0;mso-wrap-distance-left:9pt;mso-wrap-distance-right:9pt;mso-wrap-distance-top:0;mso-wrap-style:square;position:absolute;rotation:180;visibility:visible;v-text-anchor:top;z-index:251937792" fillcolor="#eef5f8" strokecolor="#a5dad9" strokeweight="2.25pt">
                <v:stroke endcap="round"/>
                <v:textbox style="mso-fit-shape-to-text:t" inset="8.64pt,,8.64pt">
                  <w:txbxContent>
                    <w:p w:rsidR="007B725D" w:rsidRPr="00B30784" w:rsidP="000F67F7" w14:paraId="60204C6E" w14:textId="77777777">
                      <w:pPr>
                        <w:pStyle w:val="EQRTextboxheading"/>
                      </w:pPr>
                      <w:r w:rsidRPr="00B30784">
                        <w:t>Resource for Activity 3, Step 2</w:t>
                      </w:r>
                    </w:p>
                    <w:p w:rsidR="007B725D" w:rsidRPr="00B30784" w:rsidP="000F67F7" w14:paraId="5220F5FF" w14:textId="2A24FFE0">
                      <w:pPr>
                        <w:pStyle w:val="EQRTextboxbody"/>
                      </w:pPr>
                      <w:hyperlink w:anchor="WS45" w:tooltip="Worksheet 4.5. Assessment of network adequacy data sources not reviewed in the ISCA" w:history="1">
                        <w:r w:rsidRPr="009E0512">
                          <w:rPr>
                            <w:rStyle w:val="Hyperlink"/>
                          </w:rPr>
                          <w:t>Worksheet 4.5. Assessment of network adequacy data sources not reviewed in the ISCA</w:t>
                        </w:r>
                      </w:hyperlink>
                    </w:p>
                    <w:p w:rsidR="007B725D" w:rsidRPr="004B37FD" w:rsidP="000F67F7" w14:paraId="558A0FE7" w14:textId="77777777">
                      <w:pPr>
                        <w:pStyle w:val="EQRTextboxbullet"/>
                      </w:pPr>
                      <w:r w:rsidRPr="00B30784">
                        <w:t>Provides a template</w:t>
                      </w:r>
                      <w:r>
                        <w:t xml:space="preserve"> to</w:t>
                      </w:r>
                      <w:r w:rsidRPr="00B30784">
                        <w:t xml:space="preserve"> assess the integrity of the MCP’s system(s) that collects, stores, and processes network adequacy data not addressed in the ISCA</w:t>
                      </w:r>
                    </w:p>
                  </w:txbxContent>
                </v:textbox>
                <w10:wrap type="tight"/>
              </v:shape>
            </w:pict>
          </mc:Fallback>
        </mc:AlternateContent>
      </w:r>
      <w:r w:rsidRPr="00990D3B">
        <w:t xml:space="preserve">In this step, the </w:t>
      </w:r>
      <w:r w:rsidRPr="00990D3B" w:rsidR="00AD7FD8">
        <w:t xml:space="preserve">EQRO </w:t>
      </w:r>
      <w:bookmarkStart w:id="481" w:name="_Hlk61962839"/>
      <w:r w:rsidRPr="00990D3B" w:rsidR="00AD7FD8">
        <w:t>identif</w:t>
      </w:r>
      <w:r w:rsidRPr="00990D3B">
        <w:t>ies</w:t>
      </w:r>
      <w:r w:rsidRPr="00990D3B" w:rsidR="00863259">
        <w:t xml:space="preserve"> </w:t>
      </w:r>
      <w:r w:rsidRPr="00990D3B" w:rsidR="00AD7FD8">
        <w:t>any data sources included in the network adequacy validation that were not reviewed in the ISCA</w:t>
      </w:r>
      <w:bookmarkEnd w:id="481"/>
      <w:r w:rsidRPr="00990D3B" w:rsidR="00AD7FD8">
        <w:t xml:space="preserve">. This may include </w:t>
      </w:r>
      <w:bookmarkStart w:id="482" w:name="_Hlk61962994"/>
      <w:r w:rsidRPr="00990D3B" w:rsidR="00AD7FD8">
        <w:t>primary data the EQRO will collect for the network adequacy validation (such as access and availability study data) and data from non-MCP entities (such as the state or third-party vendors), as well as any data sources from the MCP not covered in the ISCA.</w:t>
      </w:r>
      <w:bookmarkEnd w:id="482"/>
      <w:r w:rsidRPr="00990D3B" w:rsidR="00AD7FD8">
        <w:t xml:space="preserve"> The EQRO should assess the integrity of the </w:t>
      </w:r>
      <w:r w:rsidRPr="00990D3B">
        <w:t xml:space="preserve">IS </w:t>
      </w:r>
      <w:r w:rsidRPr="00990D3B" w:rsidR="00AD7FD8">
        <w:t xml:space="preserve">that collect, store, and process this data. For each data source not reviewed in the ISCA, the EQRO should consider factors such as: </w:t>
      </w:r>
    </w:p>
    <w:p w:rsidR="00AD7FD8" w:rsidRPr="00990D3B" w:rsidP="00FB7CAF" w14:paraId="19FF2741" w14:textId="1F49E79F">
      <w:pPr>
        <w:pStyle w:val="EQRBulletBLUE"/>
      </w:pPr>
      <w:r w:rsidRPr="00990D3B">
        <w:t xml:space="preserve">What </w:t>
      </w:r>
      <w:r w:rsidRPr="00990D3B" w:rsidR="007B725D">
        <w:t xml:space="preserve">IS </w:t>
      </w:r>
      <w:r w:rsidRPr="00990D3B" w:rsidR="00EF2F74">
        <w:t xml:space="preserve">are </w:t>
      </w:r>
      <w:r w:rsidRPr="00990D3B">
        <w:t>used</w:t>
      </w:r>
      <w:r w:rsidRPr="00990D3B">
        <w:t xml:space="preserve"> to collect and store </w:t>
      </w:r>
      <w:r w:rsidRPr="00990D3B">
        <w:t>th</w:t>
      </w:r>
      <w:r w:rsidRPr="00990D3B" w:rsidR="00E70F18">
        <w:t>e</w:t>
      </w:r>
      <w:r w:rsidRPr="00990D3B">
        <w:t xml:space="preserve"> data</w:t>
      </w:r>
      <w:r w:rsidRPr="00990D3B">
        <w:t xml:space="preserve">? </w:t>
      </w:r>
    </w:p>
    <w:p w:rsidR="00AD7FD8" w:rsidRPr="00990D3B" w:rsidP="00FB7CAF" w14:paraId="6C919FAF" w14:textId="77777777">
      <w:pPr>
        <w:pStyle w:val="EQRBulletBLUE"/>
      </w:pPr>
      <w:r w:rsidRPr="00990D3B">
        <w:t xml:space="preserve">How are data entered (manually or electronically)? </w:t>
      </w:r>
    </w:p>
    <w:p w:rsidR="00D86494" w:rsidRPr="00990D3B" w:rsidP="00FB7CAF" w14:paraId="36E08378" w14:textId="7D38E36B">
      <w:pPr>
        <w:pStyle w:val="EQRBulletBLUE"/>
      </w:pPr>
      <w:r w:rsidRPr="00990D3B">
        <w:t xml:space="preserve">Which staff are involved in collecting, storing, and </w:t>
      </w:r>
      <w:r w:rsidRPr="00990D3B">
        <w:t xml:space="preserve">analyzing </w:t>
      </w:r>
      <w:r w:rsidRPr="00990D3B" w:rsidR="00EF2F74">
        <w:t>of</w:t>
      </w:r>
      <w:r w:rsidRPr="00990D3B">
        <w:t xml:space="preserve"> data, and what is their level of training?</w:t>
      </w:r>
      <w:r>
        <w:rPr>
          <w:rStyle w:val="FootnoteReference"/>
        </w:rPr>
        <w:footnoteReference w:id="72"/>
      </w:r>
      <w:r w:rsidRPr="00990D3B">
        <w:rPr>
          <w:rStyle w:val="FootnoteReference"/>
        </w:rPr>
        <w:t xml:space="preserve"> </w:t>
      </w:r>
    </w:p>
    <w:p w:rsidR="00AD7FD8" w:rsidRPr="00990D3B" w:rsidP="00FB7CAF" w14:paraId="29A7E9D2" w14:textId="59C0072F">
      <w:pPr>
        <w:pStyle w:val="EQRBulletBLUE"/>
      </w:pPr>
      <w:r w:rsidRPr="00990D3B">
        <w:t>Are there adequate staffing resources to collect and analyze data?</w:t>
      </w:r>
    </w:p>
    <w:p w:rsidR="00AD7FD8" w:rsidRPr="00990D3B" w:rsidP="00FB7CAF" w14:paraId="29C1F0D6" w14:textId="77777777">
      <w:pPr>
        <w:pStyle w:val="EQRBulletBLUE"/>
      </w:pPr>
      <w:r w:rsidRPr="00990D3B">
        <w:t>How frequently are the data collected and updated?</w:t>
      </w:r>
    </w:p>
    <w:p w:rsidR="00AD7FD8" w:rsidRPr="00990D3B" w:rsidP="00FB7CAF" w14:paraId="10410987" w14:textId="617E8B87">
      <w:pPr>
        <w:pStyle w:val="EQRBulletBLUE"/>
      </w:pPr>
      <w:r w:rsidRPr="00990D3B">
        <w:t xml:space="preserve">What errors may occur in the process of collecting, storing, and analyzing the data? What </w:t>
      </w:r>
      <w:r w:rsidRPr="00990D3B" w:rsidR="00F5244B">
        <w:t xml:space="preserve">quality assurance </w:t>
      </w:r>
      <w:r w:rsidRPr="00990D3B">
        <w:t>systems are in place to prevent and fix these errors?</w:t>
      </w:r>
    </w:p>
    <w:p w:rsidR="00037D65" w:rsidRPr="00990D3B" w:rsidP="00FB7CAF" w14:paraId="15DF2485" w14:textId="24D28F68">
      <w:pPr>
        <w:pStyle w:val="EQRBulletBLUE"/>
      </w:pPr>
      <w:r w:rsidRPr="00990D3B">
        <w:t xml:space="preserve">To what extent </w:t>
      </w:r>
      <w:r w:rsidRPr="00990D3B">
        <w:t>are</w:t>
      </w:r>
      <w:r w:rsidRPr="00990D3B">
        <w:t xml:space="preserve"> data missing? </w:t>
      </w:r>
      <w:bookmarkStart w:id="483" w:name="P4Act3Step3"/>
      <w:bookmarkEnd w:id="483"/>
    </w:p>
    <w:p w:rsidR="00AD7FD8" w:rsidRPr="00990D3B" w:rsidP="00BD1FC3" w14:paraId="21F6ACA5" w14:textId="4B83AF0B">
      <w:pPr>
        <w:pStyle w:val="H3"/>
      </w:pPr>
      <w:r w:rsidRPr="00990D3B">
        <w:t>Step 3: Interview MCP or Other Personnel</w:t>
      </w:r>
    </w:p>
    <w:p w:rsidR="001B28D1" w:rsidRPr="00990D3B" w:rsidP="00BD1FC3" w14:paraId="17A28944" w14:textId="5B8A294D">
      <w:pPr>
        <w:pStyle w:val="ParagraphContinued"/>
      </w:pPr>
      <w:bookmarkStart w:id="484" w:name="_Hlk61963014"/>
      <w:r w:rsidRPr="00990D3B">
        <w:t>After assessing the data sources needed for the network adequacy validation, the EQRO conduct</w:t>
      </w:r>
      <w:r w:rsidRPr="00990D3B" w:rsidR="007B725D">
        <w:t>s</w:t>
      </w:r>
      <w:r w:rsidRPr="00990D3B">
        <w:t xml:space="preserve"> follow-up interviews with MCP personnel</w:t>
      </w:r>
      <w:r w:rsidRPr="00990D3B" w:rsidR="00025AFA">
        <w:t>,</w:t>
      </w:r>
      <w:r w:rsidRPr="00990D3B">
        <w:t xml:space="preserve"> as needed</w:t>
      </w:r>
      <w:r w:rsidRPr="00990D3B" w:rsidR="00025AFA">
        <w:t>,</w:t>
      </w:r>
      <w:r w:rsidRPr="00990D3B">
        <w:t xml:space="preserve"> to supplement its understanding of the MCP’s </w:t>
      </w:r>
      <w:r w:rsidRPr="00990D3B" w:rsidR="00CA1260">
        <w:t>ISs</w:t>
      </w:r>
      <w:r w:rsidRPr="00990D3B">
        <w:t xml:space="preserve"> and processes. As necessary, the EQRO should follow up with personnel in other agencies or organizations with any questions about information systems and processes used in the network adequacy validation that are not maintained by the MCP.</w:t>
      </w:r>
    </w:p>
    <w:p w:rsidR="00AD7FD8" w:rsidRPr="00990D3B" w:rsidP="00BD1FC3" w14:paraId="5A77E492" w14:textId="2918BA6A">
      <w:pPr>
        <w:pStyle w:val="H2"/>
      </w:pPr>
      <w:bookmarkStart w:id="485" w:name="P4Act4"/>
      <w:bookmarkStart w:id="486" w:name="_Toc183005597"/>
      <w:bookmarkStart w:id="487" w:name="_Toc201751367"/>
      <w:bookmarkEnd w:id="485"/>
      <w:r w:rsidRPr="00990D3B">
        <w:t xml:space="preserve">Activity 4: Validate </w:t>
      </w:r>
      <w:r w:rsidRPr="00990D3B" w:rsidR="00646491">
        <w:t>N</w:t>
      </w:r>
      <w:r w:rsidRPr="00990D3B">
        <w:t xml:space="preserve">etwork </w:t>
      </w:r>
      <w:r w:rsidRPr="00990D3B" w:rsidR="00646491">
        <w:t>A</w:t>
      </w:r>
      <w:r w:rsidRPr="00990D3B">
        <w:t xml:space="preserve">dequacy Assessment </w:t>
      </w:r>
      <w:r w:rsidRPr="00990D3B" w:rsidR="00646491">
        <w:t>D</w:t>
      </w:r>
      <w:r w:rsidRPr="00990D3B">
        <w:t xml:space="preserve">ata, </w:t>
      </w:r>
      <w:r w:rsidRPr="00990D3B" w:rsidR="00646491">
        <w:t>M</w:t>
      </w:r>
      <w:r w:rsidRPr="00990D3B" w:rsidR="00D57C6C">
        <w:t>ethods</w:t>
      </w:r>
      <w:r w:rsidRPr="00990D3B">
        <w:t xml:space="preserve">, and </w:t>
      </w:r>
      <w:r w:rsidRPr="00990D3B" w:rsidR="00646491">
        <w:t>R</w:t>
      </w:r>
      <w:r w:rsidRPr="00990D3B">
        <w:t>esults</w:t>
      </w:r>
      <w:bookmarkEnd w:id="486"/>
      <w:bookmarkEnd w:id="487"/>
    </w:p>
    <w:p w:rsidR="00AD7FD8" w:rsidRPr="00990D3B" w:rsidP="00BD1FC3" w14:paraId="4488A129" w14:textId="47C17EA5">
      <w:pPr>
        <w:pStyle w:val="ParagraphContinued"/>
      </w:pPr>
      <w:r w:rsidRPr="00990D3B">
        <w:rPr>
          <w:noProof/>
        </w:rPr>
        <mc:AlternateContent>
          <mc:Choice Requires="wps">
            <w:drawing>
              <wp:anchor distT="0" distB="0" distL="114300" distR="114300" simplePos="0" relativeHeight="251686912" behindDoc="0" locked="0" layoutInCell="1" allowOverlap="1">
                <wp:simplePos x="0" y="0"/>
                <wp:positionH relativeFrom="column">
                  <wp:posOffset>3657600</wp:posOffset>
                </wp:positionH>
                <wp:positionV relativeFrom="paragraph">
                  <wp:posOffset>493395</wp:posOffset>
                </wp:positionV>
                <wp:extent cx="2294890" cy="1758315"/>
                <wp:effectExtent l="19050" t="19050" r="0" b="0"/>
                <wp:wrapTight wrapText="bothSides">
                  <wp:wrapPolygon>
                    <wp:start x="21779" y="21834"/>
                    <wp:lineTo x="21779" y="70"/>
                    <wp:lineTo x="84" y="70"/>
                    <wp:lineTo x="84" y="21834"/>
                    <wp:lineTo x="21779" y="21834"/>
                  </wp:wrapPolygon>
                </wp:wrapTight>
                <wp:docPr id="226331669" name="Text Box 1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294890" cy="1758315"/>
                        </a:xfrm>
                        <a:prstGeom prst="rect">
                          <a:avLst/>
                        </a:prstGeom>
                        <a:solidFill>
                          <a:srgbClr val="EEF5F8"/>
                        </a:solidFill>
                        <a:ln w="28575" cap="rnd">
                          <a:solidFill>
                            <a:srgbClr val="A5DAD9"/>
                          </a:solidFill>
                          <a:prstDash val="solid"/>
                          <a:miter lim="800000"/>
                          <a:headEnd/>
                          <a:tailEnd/>
                        </a:ln>
                      </wps:spPr>
                      <wps:txbx>
                        <w:txbxContent>
                          <w:p w:rsidR="00ED33C3" w:rsidRPr="003361CB" w:rsidP="000F67F7" w14:textId="77777777">
                            <w:pPr>
                              <w:pStyle w:val="EQRTextboxheading"/>
                            </w:pPr>
                            <w:r w:rsidRPr="003361CB">
                              <w:t>Resource for Activity 4, Steps</w:t>
                            </w:r>
                            <w:r>
                              <w:t> </w:t>
                            </w:r>
                            <w:r w:rsidRPr="003361CB">
                              <w:t>1-3</w:t>
                            </w:r>
                          </w:p>
                          <w:p w:rsidR="00ED33C3" w:rsidRPr="003361CB" w:rsidP="000F67F7" w14:textId="55B7CEFA">
                            <w:pPr>
                              <w:pStyle w:val="EQRTextboxbody"/>
                            </w:pPr>
                            <w:hyperlink w:anchor="WS46" w:tooltip="Worksheet 4.6. Assessment of MCP Network Adequacy Data, Methods, and Results" w:history="1">
                              <w:r w:rsidRPr="00F76AD5">
                                <w:rPr>
                                  <w:rStyle w:val="Hyperlink"/>
                                </w:rPr>
                                <w:t>Worksheet 4.6. Assessment of MCP Network Adequacy Data, Methods, and Results</w:t>
                              </w:r>
                            </w:hyperlink>
                          </w:p>
                          <w:p w:rsidR="00ED33C3" w:rsidRPr="003361CB" w:rsidP="000F67F7" w14:textId="77777777">
                            <w:pPr>
                              <w:pStyle w:val="EQRTextboxbullet"/>
                              <w:spacing w:after="0"/>
                            </w:pPr>
                            <w:r w:rsidRPr="003361CB">
                              <w:t>Provides a template for reviewing the data, methods and results, and generating a validation rating for each network adequacy indicator</w:t>
                            </w:r>
                          </w:p>
                        </w:txbxContent>
                      </wps:txbx>
                      <wps:bodyPr rot="0" vert="horz" wrap="square" lIns="109728" tIns="45720" rIns="109728" bIns="45720" anchor="t" anchorCtr="0" upright="1"/>
                    </wps:wsp>
                  </a:graphicData>
                </a:graphic>
                <wp14:sizeRelH relativeFrom="page">
                  <wp14:pctWidth>0</wp14:pctWidth>
                </wp14:sizeRelH>
                <wp14:sizeRelV relativeFrom="page">
                  <wp14:pctHeight>0</wp14:pctHeight>
                </wp14:sizeRelV>
              </wp:anchor>
            </w:drawing>
          </mc:Choice>
          <mc:Fallback>
            <w:pict>
              <v:shape id="Text Box 126" o:spid="_x0000_s1155" type="#_x0000_t202" style="width:180.7pt;height:138.45pt;margin-top:38.85pt;margin-left:4in;flip:y;mso-height-percent:0;mso-height-relative:page;mso-width-percent:0;mso-width-relative:page;mso-wrap-distance-bottom:0;mso-wrap-distance-left:9pt;mso-wrap-distance-right:9pt;mso-wrap-distance-top:0;mso-wrap-style:square;position:absolute;rotation:180;visibility:visible;v-text-anchor:top;z-index:251687936" fillcolor="#eef5f8" strokecolor="#a5dad9" strokeweight="2.25pt">
                <v:stroke endcap="round"/>
                <v:textbox inset="8.64pt,,8.64pt">
                  <w:txbxContent>
                    <w:p w:rsidR="00ED33C3" w:rsidRPr="003361CB" w:rsidP="000F67F7" w14:paraId="4BEFB96B" w14:textId="77777777">
                      <w:pPr>
                        <w:pStyle w:val="EQRTextboxheading"/>
                      </w:pPr>
                      <w:r w:rsidRPr="003361CB">
                        <w:t>Resource for Activity 4, Steps</w:t>
                      </w:r>
                      <w:r>
                        <w:t> </w:t>
                      </w:r>
                      <w:r w:rsidRPr="003361CB">
                        <w:t>1-3</w:t>
                      </w:r>
                    </w:p>
                    <w:p w:rsidR="00ED33C3" w:rsidRPr="003361CB" w:rsidP="000F67F7" w14:paraId="46A90ABF" w14:textId="55B7CEFA">
                      <w:pPr>
                        <w:pStyle w:val="EQRTextboxbody"/>
                      </w:pPr>
                      <w:hyperlink w:anchor="WS46" w:tooltip="Worksheet 4.6. Assessment of MCP Network Adequacy Data, Methods, and Results" w:history="1">
                        <w:r w:rsidRPr="00F76AD5">
                          <w:rPr>
                            <w:rStyle w:val="Hyperlink"/>
                          </w:rPr>
                          <w:t>Worksheet 4.6. Assessment of MCP Network Adequacy Data, Methods, and Results</w:t>
                        </w:r>
                      </w:hyperlink>
                    </w:p>
                    <w:p w:rsidR="00ED33C3" w:rsidRPr="003361CB" w:rsidP="000F67F7" w14:paraId="5E0E2929" w14:textId="77777777">
                      <w:pPr>
                        <w:pStyle w:val="EQRTextboxbullet"/>
                        <w:spacing w:after="0"/>
                      </w:pPr>
                      <w:r w:rsidRPr="003361CB">
                        <w:t>Provides a template for reviewing the data, methods and results, and generating a validation rating for each network adequacy indicator</w:t>
                      </w:r>
                    </w:p>
                  </w:txbxContent>
                </v:textbox>
                <w10:wrap type="tight"/>
              </v:shape>
            </w:pict>
          </mc:Fallback>
        </mc:AlternateContent>
      </w:r>
      <w:r w:rsidRPr="00990D3B">
        <w:rPr>
          <w:noProof/>
        </w:rPr>
        <mc:AlternateContent>
          <mc:Choice Requires="wps">
            <w:drawing>
              <wp:anchor distT="0" distB="0" distL="114300" distR="114300" simplePos="0" relativeHeight="251688960" behindDoc="0" locked="0" layoutInCell="1" allowOverlap="1">
                <wp:simplePos x="0" y="0"/>
                <wp:positionH relativeFrom="column">
                  <wp:posOffset>3657600</wp:posOffset>
                </wp:positionH>
                <wp:positionV relativeFrom="paragraph">
                  <wp:posOffset>132715</wp:posOffset>
                </wp:positionV>
                <wp:extent cx="2294255" cy="297815"/>
                <wp:effectExtent l="19050" t="19050" r="0" b="6985"/>
                <wp:wrapTight wrapText="bothSides">
                  <wp:wrapPolygon>
                    <wp:start x="21779" y="22982"/>
                    <wp:lineTo x="21779" y="-507"/>
                    <wp:lineTo x="78" y="-507"/>
                    <wp:lineTo x="78" y="22982"/>
                    <wp:lineTo x="21779" y="22982"/>
                  </wp:wrapPolygon>
                </wp:wrapTight>
                <wp:docPr id="526255408" name="Text Box 1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294255" cy="297815"/>
                        </a:xfrm>
                        <a:prstGeom prst="rect">
                          <a:avLst/>
                        </a:prstGeom>
                        <a:solidFill>
                          <a:srgbClr val="EEF5F8"/>
                        </a:solidFill>
                        <a:ln w="28575" cap="rnd">
                          <a:solidFill>
                            <a:srgbClr val="A5DAD9"/>
                          </a:solidFill>
                          <a:prstDash val="solid"/>
                          <a:miter lim="800000"/>
                          <a:headEnd/>
                          <a:tailEnd/>
                        </a:ln>
                      </wps:spPr>
                      <wps:txbx>
                        <w:txbxContent>
                          <w:p w:rsidR="00ED33C3" w:rsidRPr="006847EB" w:rsidP="000F67F7" w14:textId="21125D35">
                            <w:pPr>
                              <w:pStyle w:val="EQRWORKSHEETText"/>
                              <w:rPr>
                                <w:color w:val="006068" w:themeColor="accent1" w:themeShade="BF"/>
                              </w:rPr>
                            </w:pPr>
                            <w:hyperlink w:anchor="WS46" w:tooltip="WORKSHEET 4.6" w:history="1">
                              <w:r w:rsidRPr="006847EB">
                                <w:rPr>
                                  <w:color w:val="006068" w:themeColor="accent1" w:themeShade="BF"/>
                                </w:rPr>
                                <w:t>WORKSHEET 4.6</w:t>
                              </w:r>
                            </w:hyperlink>
                          </w:p>
                        </w:txbxContent>
                      </wps:txbx>
                      <wps:bodyPr rot="0" vert="horz" wrap="square" lIns="109728" tIns="45720" rIns="109728" bIns="45720" anchor="t" anchorCtr="0" upright="1"/>
                    </wps:wsp>
                  </a:graphicData>
                </a:graphic>
                <wp14:sizeRelH relativeFrom="page">
                  <wp14:pctWidth>0</wp14:pctWidth>
                </wp14:sizeRelH>
                <wp14:sizeRelV relativeFrom="page">
                  <wp14:pctHeight>0</wp14:pctHeight>
                </wp14:sizeRelV>
              </wp:anchor>
            </w:drawing>
          </mc:Choice>
          <mc:Fallback>
            <w:pict>
              <v:shape id="Text Box 125" o:spid="_x0000_s1156" type="#_x0000_t202" style="width:180.65pt;height:23.45pt;margin-top:10.45pt;margin-left:4in;flip:y;mso-height-percent:0;mso-height-relative:page;mso-width-percent:0;mso-width-relative:page;mso-wrap-distance-bottom:0;mso-wrap-distance-left:9pt;mso-wrap-distance-right:9pt;mso-wrap-distance-top:0;mso-wrap-style:square;position:absolute;rotation:180;visibility:visible;v-text-anchor:top;z-index:251689984" fillcolor="#eef5f8" strokecolor="#a5dad9" strokeweight="2.25pt">
                <v:stroke endcap="round"/>
                <v:textbox inset="8.64pt,,8.64pt">
                  <w:txbxContent>
                    <w:p w:rsidR="00ED33C3" w:rsidRPr="006847EB" w:rsidP="000F67F7" w14:paraId="2A70AF14" w14:textId="21125D35">
                      <w:pPr>
                        <w:pStyle w:val="EQRWORKSHEETText"/>
                        <w:rPr>
                          <w:color w:val="006068" w:themeColor="accent1" w:themeShade="BF"/>
                        </w:rPr>
                      </w:pPr>
                      <w:hyperlink w:anchor="WS46" w:tooltip="WORKSHEET 4.6" w:history="1">
                        <w:r w:rsidRPr="006847EB">
                          <w:rPr>
                            <w:color w:val="006068" w:themeColor="accent1" w:themeShade="BF"/>
                          </w:rPr>
                          <w:t>WORKSHEET 4.6</w:t>
                        </w:r>
                      </w:hyperlink>
                    </w:p>
                  </w:txbxContent>
                </v:textbox>
                <w10:wrap type="tight"/>
              </v:shape>
            </w:pict>
          </mc:Fallback>
        </mc:AlternateContent>
      </w:r>
      <w:r w:rsidRPr="00990D3B" w:rsidR="00AD7FD8">
        <w:t>In Activity 4, the EQRO evaluates each MCP’s ability to (1) collect reliable and valid network adequacy monitoring data, (2) use sound methods to assess the adequacy of its managed care networks, and (3) produce accurate results to support MCP and state network adequacy monitoring efforts. The EQRO also generate</w:t>
      </w:r>
      <w:r w:rsidRPr="00990D3B" w:rsidR="0059286A">
        <w:t>s</w:t>
      </w:r>
      <w:r w:rsidRPr="00990D3B" w:rsidR="00AD7FD8">
        <w:t xml:space="preserve"> a validation rating for each network adequacy indicat</w:t>
      </w:r>
      <w:r w:rsidRPr="00990D3B" w:rsidR="0059286A">
        <w:t>or</w:t>
      </w:r>
      <w:r w:rsidRPr="00990D3B" w:rsidR="00AD7FD8">
        <w:t xml:space="preserve"> for each MCP. The approach taken by the EQRO will vary based on the network adequacy methods used by MCPs, the network adequacy standards and indicators specified by the state, and the network adequacy validation scope defined by the state (Activity 1).</w:t>
      </w:r>
    </w:p>
    <w:p w:rsidR="00AD7FD8" w:rsidRPr="00990D3B" w:rsidP="00BD1FC3" w14:paraId="1084C5DC" w14:textId="77777777">
      <w:pPr>
        <w:pStyle w:val="H3"/>
      </w:pPr>
      <w:bookmarkStart w:id="488" w:name="P4Act4Step1"/>
      <w:bookmarkEnd w:id="488"/>
      <w:r w:rsidRPr="00990D3B">
        <w:t xml:space="preserve">Step 1: Assess the Reliability and Validity of MCP Network Adequacy Data </w:t>
      </w:r>
    </w:p>
    <w:p w:rsidR="00AD7FD8" w:rsidRPr="00990D3B" w:rsidP="00CA1260" w14:paraId="50A73F78" w14:textId="099B782D">
      <w:pPr>
        <w:pStyle w:val="ListBullet"/>
      </w:pPr>
      <w:r w:rsidRPr="00990D3B">
        <w:t xml:space="preserve">In this step, the </w:t>
      </w:r>
      <w:r w:rsidRPr="00990D3B">
        <w:t>EQRO determine</w:t>
      </w:r>
      <w:r w:rsidRPr="00990D3B">
        <w:t>s</w:t>
      </w:r>
      <w:r w:rsidRPr="00990D3B">
        <w:t xml:space="preserve"> if the data used by MCPs to monitor network adequacy </w:t>
      </w:r>
      <w:r w:rsidRPr="00990D3B">
        <w:t>are</w:t>
      </w:r>
      <w:r w:rsidRPr="00990D3B">
        <w:t xml:space="preserve"> accurate and current </w:t>
      </w:r>
      <w:r w:rsidRPr="00990D3B" w:rsidR="00CA1260">
        <w:t>to</w:t>
      </w:r>
      <w:r w:rsidRPr="00990D3B">
        <w:t xml:space="preserve"> generate meaningful, actionable results. </w:t>
      </w:r>
      <w:hyperlink w:anchor="WS46" w:tooltip="Worksheet 4.6" w:history="1">
        <w:r w:rsidRPr="00990D3B">
          <w:rPr>
            <w:rStyle w:val="Hyperlink"/>
          </w:rPr>
          <w:t>Worksheet 4.6</w:t>
        </w:r>
      </w:hyperlink>
      <w:r w:rsidRPr="00990D3B">
        <w:t xml:space="preserve"> guides the EQRO in assessing MCP network adequacy data for each indicator. The EQRO should: </w:t>
      </w:r>
    </w:p>
    <w:p w:rsidR="00AD7FD8" w:rsidRPr="00990D3B" w:rsidP="00FB7CAF" w14:paraId="3B3AC16D" w14:textId="5A3EDBF7">
      <w:pPr>
        <w:pStyle w:val="EQRBulletBLUE"/>
      </w:pPr>
      <w:r w:rsidRPr="00990D3B">
        <w:t xml:space="preserve">Determine whether the required variables identified in </w:t>
      </w:r>
      <w:hyperlink w:anchor="P4Act2" w:tooltip="Activity 2" w:history="1">
        <w:r w:rsidRPr="00990D3B">
          <w:rPr>
            <w:rStyle w:val="Hyperlink"/>
            <w:color w:val="auto"/>
          </w:rPr>
          <w:t>Activity 2</w:t>
        </w:r>
      </w:hyperlink>
      <w:r w:rsidRPr="00990D3B">
        <w:t xml:space="preserve"> are included in each data source. For each variable, the EQRO should calculate the proportion of missing data, and note any patterns in missing data</w:t>
      </w:r>
      <w:r w:rsidRPr="00990D3B" w:rsidR="00037D65">
        <w:t>.</w:t>
      </w:r>
    </w:p>
    <w:p w:rsidR="00AD7FD8" w:rsidRPr="00990D3B" w:rsidP="00FB7CAF" w14:paraId="581B3C7A" w14:textId="258D4D84">
      <w:pPr>
        <w:pStyle w:val="EQRBulletBLUE"/>
      </w:pPr>
      <w:r w:rsidRPr="00990D3B">
        <w:t xml:space="preserve">Review the MCP’s process for updating data (for example, updating provider and </w:t>
      </w:r>
      <w:r w:rsidRPr="00990D3B" w:rsidR="000468A3">
        <w:t>enrollee</w:t>
      </w:r>
      <w:r w:rsidRPr="00990D3B">
        <w:t xml:space="preserve"> information) and the frequency with which data </w:t>
      </w:r>
      <w:r w:rsidRPr="00990D3B">
        <w:t>are</w:t>
      </w:r>
      <w:r w:rsidRPr="00990D3B">
        <w:t xml:space="preserve"> updated</w:t>
      </w:r>
      <w:r w:rsidRPr="00990D3B" w:rsidR="00037D65">
        <w:t>.</w:t>
      </w:r>
    </w:p>
    <w:p w:rsidR="00AD7FD8" w:rsidRPr="00990D3B" w:rsidP="00FB7CAF" w14:paraId="27EBF1E8" w14:textId="6FF34FD9">
      <w:pPr>
        <w:pStyle w:val="EQRBulletBLUE"/>
      </w:pPr>
      <w:r w:rsidRPr="00990D3B">
        <w:t>Assess changes in the MCP’s</w:t>
      </w:r>
      <w:r w:rsidRPr="00990D3B">
        <w:t xml:space="preserve"> </w:t>
      </w:r>
      <w:r w:rsidRPr="00990D3B">
        <w:t>data systems that might affect the accuracy or completeness of network adequacy monitoring data (e.g., major upgrades, consolidations within the system, acquisitions/mergers with other MCPs)</w:t>
      </w:r>
      <w:r w:rsidRPr="00990D3B" w:rsidR="00037D65">
        <w:t>.</w:t>
      </w:r>
    </w:p>
    <w:p w:rsidR="00AD7FD8" w:rsidRPr="00990D3B" w:rsidP="00BD1FC3" w14:paraId="21AC261A" w14:textId="77777777">
      <w:pPr>
        <w:pStyle w:val="ParagraphContinued"/>
      </w:pPr>
      <w:r w:rsidRPr="00990D3B">
        <w:t xml:space="preserve">The EQRO should also compare the MCP’s data from previous years against the most recent data to assess reliability, as major changes over time could reflect data quality issues. If significant changes are noted, the EQRO should consult with the MCP to determine if external </w:t>
      </w:r>
      <w:r w:rsidRPr="00990D3B">
        <w:t xml:space="preserve">factors (such as changes in populations covered or demographic changes in the overall state population) may be the cause. </w:t>
      </w:r>
    </w:p>
    <w:p w:rsidR="00AD7FD8" w:rsidRPr="00990D3B" w:rsidP="00BD1FC3" w14:paraId="643E7E99" w14:textId="72CD63DC">
      <w:pPr>
        <w:pStyle w:val="Paragraph0"/>
      </w:pPr>
      <w:r w:rsidRPr="00990D3B">
        <w:t xml:space="preserve">If an MCP uses performance measures or encounter data in its network adequacy monitoring activities, the EQRO can use the results of </w:t>
      </w:r>
      <w:hyperlink w:anchor="Protocol2" w:tooltip="Protocol 2" w:history="1">
        <w:r w:rsidRPr="00990D3B">
          <w:rPr>
            <w:rStyle w:val="Hyperlink"/>
          </w:rPr>
          <w:t>Protocol 2</w:t>
        </w:r>
      </w:hyperlink>
      <w:r w:rsidRPr="00990D3B">
        <w:t xml:space="preserve"> and/or </w:t>
      </w:r>
      <w:hyperlink w:anchor="Protocol5" w:tooltip="Protocol 5" w:history="1">
        <w:r w:rsidRPr="00990D3B">
          <w:rPr>
            <w:rStyle w:val="Hyperlink"/>
          </w:rPr>
          <w:t>Protocol 5</w:t>
        </w:r>
      </w:hyperlink>
      <w:r w:rsidRPr="00990D3B">
        <w:t xml:space="preserve"> to inform the EQRO’s assessment of data reliability and validity.</w:t>
      </w:r>
    </w:p>
    <w:p w:rsidR="00AD7FD8" w:rsidRPr="00990D3B" w:rsidP="00BD1FC3" w14:paraId="4C8B948A" w14:textId="77777777">
      <w:pPr>
        <w:pStyle w:val="H3"/>
      </w:pPr>
      <w:bookmarkStart w:id="489" w:name="P4Act4Step2"/>
      <w:bookmarkEnd w:id="489"/>
      <w:r w:rsidRPr="00990D3B">
        <w:t xml:space="preserve">Step 2: Assess the Methods Used by the MCP to Assess Network Adequacy </w:t>
      </w:r>
    </w:p>
    <w:p w:rsidR="00AD7FD8" w:rsidRPr="00990D3B" w:rsidP="00BD1FC3" w14:paraId="21CE4D9F" w14:textId="7E5A8180">
      <w:pPr>
        <w:pStyle w:val="ParagraphContinued"/>
      </w:pPr>
      <w:r w:rsidRPr="00990D3B">
        <w:t xml:space="preserve">In this step, the </w:t>
      </w:r>
      <w:r w:rsidRPr="00990D3B">
        <w:t>EQRO review</w:t>
      </w:r>
      <w:r w:rsidRPr="00990D3B">
        <w:t>s</w:t>
      </w:r>
      <w:r w:rsidRPr="00990D3B">
        <w:t xml:space="preserve"> the methods used by the MCP to calculate each network adequacy indicator. For each network adequacy indicator, the EQRO should consider questions such as:</w:t>
      </w:r>
    </w:p>
    <w:p w:rsidR="00AD7FD8" w:rsidRPr="00990D3B" w:rsidP="00FB7CAF" w14:paraId="02849E4A" w14:textId="71271763">
      <w:pPr>
        <w:pStyle w:val="EQRBulletBLUE"/>
      </w:pPr>
      <w:r w:rsidRPr="00990D3B">
        <w:t>Are the network adequacy monitoring methods selected by the MCP to calculate this indicator appropriate to the state</w:t>
      </w:r>
      <w:r w:rsidRPr="00990D3B" w:rsidR="007B725D">
        <w:t>’s</w:t>
      </w:r>
      <w:r w:rsidRPr="00990D3B">
        <w:t xml:space="preserve"> Medicaid and CHIP population(s)? Are these methods likely to generate the data needed to calculate this indicator?</w:t>
      </w:r>
    </w:p>
    <w:p w:rsidR="00AD7FD8" w:rsidRPr="00990D3B" w:rsidP="00FB7CAF" w14:paraId="34B921F9" w14:textId="03B935F7">
      <w:pPr>
        <w:pStyle w:val="EQRBulletBLUE"/>
      </w:pPr>
      <w:r w:rsidRPr="00990D3B">
        <w:t xml:space="preserve">If the MCP is sampling a subset of the Medicaid and/or CHIP provider or </w:t>
      </w:r>
      <w:r w:rsidRPr="00990D3B" w:rsidR="000468A3">
        <w:t>enrollee</w:t>
      </w:r>
      <w:r w:rsidRPr="00990D3B">
        <w:t xml:space="preserve"> population to calculate this indicator, was the sample drawn using statistically valid sampling techniques? Is the sample representative of the population? Are sample sizes for the validation sufficient to draw statistically significant conclusions? </w:t>
      </w:r>
    </w:p>
    <w:p w:rsidR="00AD7FD8" w:rsidRPr="00990D3B" w:rsidP="00FB7CAF" w14:paraId="3D5923ED" w14:textId="77777777">
      <w:pPr>
        <w:pStyle w:val="EQRBulletBLUE"/>
      </w:pPr>
      <w:r w:rsidRPr="00990D3B">
        <w:t>In calculating this indicator, does the MCP use a system for classifying provider types that follows how the state designates provider types as specialists in the MCP’s contract?</w:t>
      </w:r>
    </w:p>
    <w:p w:rsidR="00AD7FD8" w:rsidRPr="00990D3B" w:rsidP="00FB7CAF" w14:paraId="1FC41D1B" w14:textId="77777777">
      <w:pPr>
        <w:pStyle w:val="EQRBulletBLUE"/>
      </w:pPr>
      <w:r w:rsidRPr="00990D3B">
        <w:t xml:space="preserve">Does the MCP consider the availability of telehealth services in its assessment of network adequacy? Does the MCP’s approach for addressing telehealth match the state’s expectations? </w:t>
      </w:r>
    </w:p>
    <w:p w:rsidR="00AD7FD8" w:rsidRPr="00990D3B" w:rsidP="00FB7CAF" w14:paraId="419D5EC3" w14:textId="77777777">
      <w:pPr>
        <w:pStyle w:val="EQRBulletBLUE"/>
      </w:pPr>
      <w:r w:rsidRPr="00990D3B">
        <w:t>Are the methods used by the MCP to calculate this indicator rigorous and objective or could the methods be subject to manipulation?</w:t>
      </w:r>
    </w:p>
    <w:p w:rsidR="00AD7FD8" w:rsidRPr="00990D3B" w:rsidP="00BD1FC3" w14:paraId="4D494365" w14:textId="42857722">
      <w:pPr>
        <w:pStyle w:val="ParagraphContinued"/>
      </w:pPr>
      <w:r w:rsidRPr="00990D3B">
        <w:t xml:space="preserve">Additionally, the EQRO may need to consider questions that apply to specific types of indicators and/or methods the MCP may use. As applicable, the EQRO should consider questions </w:t>
      </w:r>
      <w:r w:rsidRPr="00990D3B" w:rsidR="00E918C2">
        <w:t xml:space="preserve">for time and distance analyses </w:t>
      </w:r>
      <w:r w:rsidRPr="00990D3B">
        <w:t>such as the following:</w:t>
      </w:r>
    </w:p>
    <w:p w:rsidR="00037D65" w:rsidRPr="00990D3B" w:rsidP="00FB7CAF" w14:paraId="02ABC30B" w14:textId="77777777">
      <w:pPr>
        <w:pStyle w:val="EQRBulletBLUE"/>
      </w:pPr>
      <w:r w:rsidRPr="00990D3B">
        <w:t xml:space="preserve">How is distance measured (“as the crow flies” or using road distances)? </w:t>
      </w:r>
    </w:p>
    <w:p w:rsidR="00037D65" w:rsidRPr="00990D3B" w:rsidP="00FB7CAF" w14:paraId="5AA25B2D" w14:textId="77777777">
      <w:pPr>
        <w:pStyle w:val="EQRBulletBLUE"/>
      </w:pPr>
      <w:r w:rsidRPr="00990D3B">
        <w:t xml:space="preserve">How is time measured (e.g., during low traffic or high traffic time periods, using driving distance or public transit)? </w:t>
      </w:r>
    </w:p>
    <w:p w:rsidR="00AD7FD8" w:rsidRPr="00990D3B" w:rsidP="00FB7CAF" w14:paraId="1F81E485" w14:textId="49519A89">
      <w:pPr>
        <w:pStyle w:val="EQRBulletBLUE"/>
      </w:pPr>
      <w:r w:rsidRPr="00990D3B">
        <w:t xml:space="preserve">Does the MCP’s approach match the state’s expectations (provided in </w:t>
      </w:r>
      <w:hyperlink w:anchor="P4Act1Step2" w:tooltip="Activity 1, Step 2" w:history="1">
        <w:r w:rsidRPr="00990D3B">
          <w:rPr>
            <w:rStyle w:val="Hyperlink"/>
            <w:color w:val="auto"/>
          </w:rPr>
          <w:t>Activity 1, Step 2</w:t>
        </w:r>
      </w:hyperlink>
      <w:r w:rsidRPr="00990D3B">
        <w:t>)?</w:t>
      </w:r>
    </w:p>
    <w:p w:rsidR="00AD7FD8" w:rsidRPr="00990D3B" w:rsidP="00FB7CAF" w14:paraId="552895B6" w14:textId="77777777">
      <w:pPr>
        <w:pStyle w:val="EQRBulletBLUE"/>
      </w:pPr>
      <w:bookmarkStart w:id="490" w:name="_Hlk62715779"/>
      <w:r w:rsidRPr="00990D3B">
        <w:t xml:space="preserve">Does the MCP’s approach for </w:t>
      </w:r>
      <w:r w:rsidRPr="00990D3B">
        <w:t>deriving</w:t>
      </w:r>
      <w:r w:rsidRPr="00990D3B">
        <w:t xml:space="preserve"> provider-to-enrollee ratios and/or minimum percentage of contracted providers accepting new patients</w:t>
      </w:r>
      <w:bookmarkEnd w:id="490"/>
      <w:r w:rsidRPr="00990D3B">
        <w:t xml:space="preserve"> match the state’s expectation?</w:t>
      </w:r>
    </w:p>
    <w:p w:rsidR="00AD7FD8" w:rsidRPr="00990D3B" w:rsidP="00FB7CAF" w14:paraId="11044754" w14:textId="77777777">
      <w:pPr>
        <w:pStyle w:val="EQRBulletBLUE"/>
      </w:pPr>
      <w:r w:rsidRPr="00990D3B">
        <w:t>Does the MCP’s approach for determining the maximum wait time for an appointment match the state’s expectation?</w:t>
      </w:r>
    </w:p>
    <w:p w:rsidR="00AD7FD8" w:rsidRPr="00990D3B" w:rsidP="00BD1FC3" w14:paraId="334C96F2" w14:textId="77777777">
      <w:pPr>
        <w:pStyle w:val="H3"/>
      </w:pPr>
      <w:bookmarkStart w:id="491" w:name="P4Act4Step3"/>
      <w:bookmarkEnd w:id="491"/>
      <w:r w:rsidRPr="00990D3B">
        <w:t xml:space="preserve">Step 3: </w:t>
      </w:r>
      <w:bookmarkStart w:id="492" w:name="_Hlk62639296"/>
      <w:r w:rsidRPr="00990D3B">
        <w:t xml:space="preserve">Validate </w:t>
      </w:r>
      <w:bookmarkStart w:id="493" w:name="_Hlk62116415"/>
      <w:r w:rsidRPr="00990D3B">
        <w:t>Network Adequacy Results Submitted by the MCP</w:t>
      </w:r>
    </w:p>
    <w:bookmarkEnd w:id="492"/>
    <w:bookmarkEnd w:id="493"/>
    <w:p w:rsidR="00AD7FD8" w:rsidRPr="00990D3B" w:rsidP="00BD1FC3" w14:paraId="1C4789C6" w14:textId="1609E87A">
      <w:pPr>
        <w:pStyle w:val="ParagraphContinued"/>
      </w:pPr>
      <w:r w:rsidRPr="00990D3B">
        <w:t xml:space="preserve">In </w:t>
      </w:r>
      <w:r w:rsidRPr="00990D3B" w:rsidR="007B725D">
        <w:t>this step,</w:t>
      </w:r>
      <w:r w:rsidRPr="00990D3B">
        <w:t xml:space="preserve"> the EQRO validate</w:t>
      </w:r>
      <w:r w:rsidRPr="00990D3B" w:rsidR="007B725D">
        <w:t>s</w:t>
      </w:r>
      <w:r w:rsidRPr="00990D3B">
        <w:t xml:space="preserve"> the calculations and results generated by the MCP for each network adequacy indicator. The EQRO should assess whether the results are valid, accurate</w:t>
      </w:r>
      <w:r w:rsidRPr="00990D3B" w:rsidR="00EC6702">
        <w:t>,</w:t>
      </w:r>
      <w:r w:rsidRPr="00990D3B">
        <w:t xml:space="preserve"> and reliable, and if the MCP’s interpretation of data </w:t>
      </w:r>
      <w:r w:rsidRPr="00990D3B" w:rsidR="00BD2E8F">
        <w:t xml:space="preserve">were </w:t>
      </w:r>
      <w:r w:rsidRPr="00990D3B">
        <w:t xml:space="preserve">accurate. The EQRO’s approach for validating network adequacy indicators should follow the scope outlined in Activity 1. Often, the EQRO will use the data sources provided by the MCP to reproduce the MCP’s calculations. As applicable, the EQRO may also conduct studies, such </w:t>
      </w:r>
      <w:r w:rsidRPr="00990D3B" w:rsidR="00EC6702">
        <w:t xml:space="preserve">as </w:t>
      </w:r>
      <w:r w:rsidRPr="00990D3B">
        <w:t>provider directory validation studies and appointment availability studies, to validate the MCP’s results.</w:t>
      </w:r>
    </w:p>
    <w:p w:rsidR="00B966CD" w:rsidRPr="00990D3B" w:rsidP="00BD1FC3" w14:paraId="7F7D2BD2" w14:textId="027D502E">
      <w:pPr>
        <w:pStyle w:val="Paragraph0"/>
      </w:pPr>
      <w:hyperlink w:anchor="WS46" w:tooltip="Worksheet 4.6" w:history="1">
        <w:r w:rsidRPr="00990D3B">
          <w:rPr>
            <w:rStyle w:val="Hyperlink"/>
          </w:rPr>
          <w:t>Worksheet 4.6</w:t>
        </w:r>
      </w:hyperlink>
      <w:r w:rsidRPr="00990D3B">
        <w:t xml:space="preserve"> can be used to guide the EQRO in assessing the MCP’s network adequacy results and generating validation ratings that reflect the EQRO’s overall confidence that the MC</w:t>
      </w:r>
      <w:r w:rsidRPr="00990D3B" w:rsidR="00EC0644">
        <w:t>P</w:t>
      </w:r>
      <w:r w:rsidRPr="00990D3B">
        <w:t xml:space="preserve"> used an acceptable methodology in the design, data collection, analysis and interpretation of each network adequacy</w:t>
      </w:r>
      <w:r w:rsidRPr="00990D3B">
        <w:rPr>
          <w:b/>
        </w:rPr>
        <w:t xml:space="preserve"> </w:t>
      </w:r>
      <w:r w:rsidRPr="00990D3B">
        <w:t xml:space="preserve">indicator.  </w:t>
      </w:r>
    </w:p>
    <w:p w:rsidR="00AD7FD8" w:rsidRPr="00990D3B" w:rsidP="00BD1FC3" w14:paraId="00070EA7" w14:textId="49CE38DC">
      <w:pPr>
        <w:pStyle w:val="H3"/>
      </w:pPr>
      <w:bookmarkStart w:id="494" w:name="P4Act4Step4"/>
      <w:bookmarkEnd w:id="494"/>
      <w:r w:rsidRPr="00990D3B">
        <w:t xml:space="preserve">Step 4: </w:t>
      </w:r>
      <w:bookmarkStart w:id="495" w:name="_Hlk62129076"/>
      <w:r w:rsidRPr="00990D3B">
        <w:t xml:space="preserve">Summarize Network Adequacy Validation Findings </w:t>
      </w:r>
    </w:p>
    <w:bookmarkEnd w:id="495"/>
    <w:p w:rsidR="00AD7FD8" w:rsidRPr="00990D3B" w:rsidP="00BD1FC3" w14:paraId="29C9DDC8" w14:textId="1556648F">
      <w:pPr>
        <w:pStyle w:val="ParagraphContinued"/>
      </w:pPr>
      <w:r w:rsidRPr="00990D3B">
        <w:rPr>
          <w:noProof/>
        </w:rPr>
        <mc:AlternateContent>
          <mc:Choice Requires="wps">
            <w:drawing>
              <wp:anchor distT="0" distB="0" distL="114300" distR="114300" simplePos="0" relativeHeight="251691008" behindDoc="0" locked="0" layoutInCell="1" allowOverlap="1">
                <wp:simplePos x="0" y="0"/>
                <wp:positionH relativeFrom="column">
                  <wp:posOffset>3784600</wp:posOffset>
                </wp:positionH>
                <wp:positionV relativeFrom="paragraph">
                  <wp:posOffset>435610</wp:posOffset>
                </wp:positionV>
                <wp:extent cx="2194560" cy="1452880"/>
                <wp:effectExtent l="19050" t="19050" r="0" b="0"/>
                <wp:wrapTight wrapText="bothSides">
                  <wp:wrapPolygon>
                    <wp:start x="21788" y="21883"/>
                    <wp:lineTo x="21788" y="76"/>
                    <wp:lineTo x="38" y="76"/>
                    <wp:lineTo x="38" y="21883"/>
                    <wp:lineTo x="21788" y="21883"/>
                  </wp:wrapPolygon>
                </wp:wrapTight>
                <wp:docPr id="872627860" name="Text Box 12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1452880"/>
                        </a:xfrm>
                        <a:prstGeom prst="rect">
                          <a:avLst/>
                        </a:prstGeom>
                        <a:solidFill>
                          <a:srgbClr val="EEF5F8"/>
                        </a:solidFill>
                        <a:ln w="28575" cap="rnd">
                          <a:solidFill>
                            <a:srgbClr val="A5DAD9"/>
                          </a:solidFill>
                          <a:prstDash val="solid"/>
                          <a:miter lim="800000"/>
                          <a:headEnd/>
                          <a:tailEnd/>
                        </a:ln>
                      </wps:spPr>
                      <wps:txbx>
                        <w:txbxContent>
                          <w:p w:rsidR="00ED33C3" w:rsidRPr="008326AC" w:rsidP="000F67F7" w14:textId="77777777">
                            <w:pPr>
                              <w:pStyle w:val="EQRTextboxheading"/>
                            </w:pPr>
                            <w:r w:rsidRPr="008326AC">
                              <w:t>Resource for Activity 4, Step 4</w:t>
                            </w:r>
                          </w:p>
                          <w:p w:rsidR="00ED33C3" w:rsidRPr="008326AC" w:rsidP="000F67F7" w14:textId="7E9FEE6D">
                            <w:pPr>
                              <w:pStyle w:val="EQRTextboxbody"/>
                            </w:pPr>
                            <w:hyperlink w:anchor="WS47" w:tooltip="Worksheet 4.7. Summary of network adequacy validation findings" w:history="1">
                              <w:r w:rsidRPr="00F76AD5">
                                <w:rPr>
                                  <w:rStyle w:val="Hyperlink"/>
                                </w:rPr>
                                <w:t>Worksheet 4.7. Summary of network adequacy validation findings</w:t>
                              </w:r>
                            </w:hyperlink>
                          </w:p>
                          <w:p w:rsidR="00ED33C3" w:rsidRPr="003361CB" w:rsidP="000F67F7" w14:textId="77777777">
                            <w:pPr>
                              <w:pStyle w:val="EQRTextboxbullet"/>
                            </w:pPr>
                            <w:r w:rsidRPr="008326AC">
                              <w:t>Provides a template for summarizing all validation findings, including validation ratings and comments for network adequacy indicator</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4" o:spid="_x0000_s1157" type="#_x0000_t202" style="width:172.8pt;height:114.4pt;margin-top:34.3pt;margin-left:298pt;flip:y;mso-height-percent:0;mso-height-relative:page;mso-width-percent:0;mso-width-relative:page;mso-wrap-distance-bottom:0;mso-wrap-distance-left:9pt;mso-wrap-distance-right:9pt;mso-wrap-distance-top:0;mso-wrap-style:square;position:absolute;rotation:180;visibility:visible;v-text-anchor:top;z-index:251692032" fillcolor="#eef5f8" strokecolor="#a5dad9" strokeweight="2.25pt">
                <v:stroke endcap="round"/>
                <v:textbox style="mso-fit-shape-to-text:t" inset="8.64pt,,8.64pt">
                  <w:txbxContent>
                    <w:p w:rsidR="00ED33C3" w:rsidRPr="008326AC" w:rsidP="000F67F7" w14:paraId="5BE959AE" w14:textId="77777777">
                      <w:pPr>
                        <w:pStyle w:val="EQRTextboxheading"/>
                      </w:pPr>
                      <w:r w:rsidRPr="008326AC">
                        <w:t>Resource for Activity 4, Step 4</w:t>
                      </w:r>
                    </w:p>
                    <w:p w:rsidR="00ED33C3" w:rsidRPr="008326AC" w:rsidP="000F67F7" w14:paraId="22225E4D" w14:textId="7E9FEE6D">
                      <w:pPr>
                        <w:pStyle w:val="EQRTextboxbody"/>
                      </w:pPr>
                      <w:hyperlink w:anchor="WS47" w:tooltip="Worksheet 4.7. Summary of network adequacy validation findings" w:history="1">
                        <w:r w:rsidRPr="00F76AD5">
                          <w:rPr>
                            <w:rStyle w:val="Hyperlink"/>
                          </w:rPr>
                          <w:t>Worksheet 4.7. Summary of network adequacy validation findings</w:t>
                        </w:r>
                      </w:hyperlink>
                    </w:p>
                    <w:p w:rsidR="00ED33C3" w:rsidRPr="003361CB" w:rsidP="000F67F7" w14:paraId="1B886DA4" w14:textId="77777777">
                      <w:pPr>
                        <w:pStyle w:val="EQRTextboxbullet"/>
                      </w:pPr>
                      <w:r w:rsidRPr="008326AC">
                        <w:t>Provides a template for summarizing all validation findings, including validation ratings and comments for network adequacy indicator</w:t>
                      </w:r>
                    </w:p>
                  </w:txbxContent>
                </v:textbox>
                <w10:wrap type="tight"/>
              </v:shape>
            </w:pict>
          </mc:Fallback>
        </mc:AlternateContent>
      </w:r>
      <w:r w:rsidRPr="00990D3B">
        <w:rPr>
          <w:noProof/>
        </w:rPr>
        <mc:AlternateContent>
          <mc:Choice Requires="wps">
            <w:drawing>
              <wp:anchor distT="0" distB="0" distL="114300" distR="114300" simplePos="0" relativeHeight="251693056" behindDoc="0" locked="0" layoutInCell="1" allowOverlap="1">
                <wp:simplePos x="0" y="0"/>
                <wp:positionH relativeFrom="column">
                  <wp:posOffset>3784600</wp:posOffset>
                </wp:positionH>
                <wp:positionV relativeFrom="paragraph">
                  <wp:posOffset>80010</wp:posOffset>
                </wp:positionV>
                <wp:extent cx="2193925" cy="297180"/>
                <wp:effectExtent l="19050" t="19050" r="0" b="7620"/>
                <wp:wrapTight wrapText="bothSides">
                  <wp:wrapPolygon>
                    <wp:start x="21788" y="22985"/>
                    <wp:lineTo x="21788" y="-554"/>
                    <wp:lineTo x="31" y="-554"/>
                    <wp:lineTo x="31" y="22985"/>
                    <wp:lineTo x="21788" y="22985"/>
                  </wp:wrapPolygon>
                </wp:wrapTight>
                <wp:docPr id="304134156" name="Text Box 1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180"/>
                        </a:xfrm>
                        <a:prstGeom prst="rect">
                          <a:avLst/>
                        </a:prstGeom>
                        <a:solidFill>
                          <a:srgbClr val="EEF5F8"/>
                        </a:solidFill>
                        <a:ln w="28575" cap="rnd">
                          <a:solidFill>
                            <a:srgbClr val="A5DAD9"/>
                          </a:solidFill>
                          <a:prstDash val="solid"/>
                          <a:miter lim="800000"/>
                          <a:headEnd/>
                          <a:tailEnd/>
                        </a:ln>
                      </wps:spPr>
                      <wps:txbx>
                        <w:txbxContent>
                          <w:p w:rsidR="00ED33C3" w:rsidRPr="006847EB" w:rsidP="000F67F7" w14:textId="00983636">
                            <w:pPr>
                              <w:pStyle w:val="EQRWORKSHEETText"/>
                              <w:rPr>
                                <w:color w:val="006068" w:themeColor="accent1" w:themeShade="BF"/>
                              </w:rPr>
                            </w:pPr>
                            <w:hyperlink w:anchor="WS47" w:tooltip="WORKSHEET 4.7" w:history="1">
                              <w:r w:rsidRPr="006847EB">
                                <w:rPr>
                                  <w:color w:val="006068" w:themeColor="accent1" w:themeShade="BF"/>
                                </w:rPr>
                                <w:t>WORKSHEET 4.7</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3" o:spid="_x0000_s1158" type="#_x0000_t202" style="width:172.75pt;height:23.4pt;margin-top:6.3pt;margin-left:298pt;flip:y;mso-height-percent:0;mso-height-relative:page;mso-width-percent:0;mso-width-relative:page;mso-wrap-distance-bottom:0;mso-wrap-distance-left:9pt;mso-wrap-distance-right:9pt;mso-wrap-distance-top:0;mso-wrap-style:square;position:absolute;rotation:180;visibility:visible;v-text-anchor:top;z-index:251694080" fillcolor="#eef5f8" strokecolor="#a5dad9" strokeweight="2.25pt">
                <v:stroke endcap="round"/>
                <v:textbox style="mso-fit-shape-to-text:t" inset="8.64pt,,8.64pt">
                  <w:txbxContent>
                    <w:p w:rsidR="00ED33C3" w:rsidRPr="006847EB" w:rsidP="000F67F7" w14:paraId="2C8BCA4C" w14:textId="00983636">
                      <w:pPr>
                        <w:pStyle w:val="EQRWORKSHEETText"/>
                        <w:rPr>
                          <w:color w:val="006068" w:themeColor="accent1" w:themeShade="BF"/>
                        </w:rPr>
                      </w:pPr>
                      <w:hyperlink w:anchor="WS47" w:tooltip="WORKSHEET 4.7" w:history="1">
                        <w:r w:rsidRPr="006847EB">
                          <w:rPr>
                            <w:color w:val="006068" w:themeColor="accent1" w:themeShade="BF"/>
                          </w:rPr>
                          <w:t>WORKSHEET 4.7</w:t>
                        </w:r>
                      </w:hyperlink>
                    </w:p>
                  </w:txbxContent>
                </v:textbox>
                <w10:wrap type="tight"/>
              </v:shape>
            </w:pict>
          </mc:Fallback>
        </mc:AlternateContent>
      </w:r>
      <w:r w:rsidRPr="00990D3B" w:rsidR="00FE50F8">
        <w:t>In this step, the</w:t>
      </w:r>
      <w:r w:rsidRPr="00990D3B" w:rsidR="00AD7FD8">
        <w:t xml:space="preserve"> EQRO </w:t>
      </w:r>
      <w:bookmarkStart w:id="496" w:name="_Hlk62633991"/>
      <w:r w:rsidRPr="00990D3B" w:rsidR="00AD7FD8">
        <w:t>review</w:t>
      </w:r>
      <w:r w:rsidRPr="00990D3B" w:rsidR="00FE50F8">
        <w:t>s</w:t>
      </w:r>
      <w:r w:rsidRPr="00990D3B" w:rsidR="00AD7FD8">
        <w:t xml:space="preserve"> the indicators validated in </w:t>
      </w:r>
      <w:r>
        <w:fldChar w:fldCharType="begin"/>
      </w:r>
      <w:r w:rsidRPr="00990D3B" w:rsidR="00AD7FD8">
        <w:rPr>
          <w:rStyle w:val="Hyperlink"/>
          <w:color w:val="auto"/>
        </w:rPr>
        <w:instrText xml:space="preserve"> HYPERLINK \l "P4Act4" \o "Activity 4" </w:instrText>
      </w:r>
      <w:r>
        <w:fldChar w:fldCharType="separate"/>
      </w:r>
      <w:r w:rsidRPr="00990D3B" w:rsidR="00AD7FD8">
        <w:rPr>
          <w:rStyle w:val="Hyperlink"/>
          <w:color w:val="auto"/>
        </w:rPr>
        <w:t>Activity 4</w:t>
      </w:r>
      <w:r>
        <w:fldChar w:fldCharType="end"/>
      </w:r>
      <w:r w:rsidRPr="00990D3B" w:rsidR="00AD7FD8">
        <w:t>, Steps 1-3 against the list of state network adequacy standards and indicators established in Activity 1. The EQRO indicate</w:t>
      </w:r>
      <w:r w:rsidRPr="00990D3B" w:rsidR="00FE50F8">
        <w:t>s</w:t>
      </w:r>
      <w:r w:rsidRPr="00990D3B" w:rsidR="00AD7FD8">
        <w:t xml:space="preserve"> whether the MCP addresses all state network adequacy indicators in its network adequacy monitoring activities, provide</w:t>
      </w:r>
      <w:r w:rsidRPr="00990D3B" w:rsidR="00FE50F8">
        <w:t>s</w:t>
      </w:r>
      <w:r w:rsidRPr="00990D3B" w:rsidR="00AD7FD8">
        <w:t xml:space="preserve"> the validation rating for each indicator, and note</w:t>
      </w:r>
      <w:r w:rsidRPr="00990D3B" w:rsidR="00FE50F8">
        <w:t>s</w:t>
      </w:r>
      <w:r w:rsidRPr="00990D3B" w:rsidR="00AD7FD8">
        <w:t xml:space="preserve"> any network adequacy indicators that could not be validated due to missing </w:t>
      </w:r>
      <w:r w:rsidRPr="00990D3B" w:rsidR="0061446E">
        <w:t>or incomplete</w:t>
      </w:r>
      <w:r w:rsidRPr="00990D3B" w:rsidR="00471B34">
        <w:t> </w:t>
      </w:r>
      <w:r w:rsidRPr="00990D3B" w:rsidR="00AD7FD8">
        <w:t>data.</w:t>
      </w:r>
      <w:bookmarkEnd w:id="496"/>
      <w:r w:rsidRPr="00990D3B" w:rsidR="00AD7FD8">
        <w:t xml:space="preserve"> </w:t>
      </w:r>
    </w:p>
    <w:p w:rsidR="00AD7FD8" w:rsidRPr="00990D3B" w:rsidP="00E918C2" w14:paraId="404E1594" w14:textId="15313DAF">
      <w:pPr>
        <w:pStyle w:val="H2"/>
        <w:spacing w:before="360"/>
      </w:pPr>
      <w:bookmarkStart w:id="497" w:name="P4Act5"/>
      <w:bookmarkStart w:id="498" w:name="_Toc183005598"/>
      <w:bookmarkStart w:id="499" w:name="_Toc201751368"/>
      <w:bookmarkEnd w:id="497"/>
      <w:r w:rsidRPr="00990D3B">
        <w:t xml:space="preserve">Activity 5: </w:t>
      </w:r>
      <w:r w:rsidRPr="00990D3B" w:rsidR="00FA2FB4">
        <w:t>C</w:t>
      </w:r>
      <w:r w:rsidRPr="00990D3B">
        <w:t xml:space="preserve">ommunicate </w:t>
      </w:r>
      <w:r w:rsidRPr="00990D3B" w:rsidR="00646491">
        <w:t>P</w:t>
      </w:r>
      <w:r w:rsidRPr="00990D3B">
        <w:t xml:space="preserve">reliminary </w:t>
      </w:r>
      <w:r w:rsidRPr="00990D3B" w:rsidR="00646491">
        <w:t>F</w:t>
      </w:r>
      <w:r w:rsidRPr="00990D3B">
        <w:t xml:space="preserve">indings to </w:t>
      </w:r>
      <w:r w:rsidRPr="00990D3B" w:rsidR="00646491">
        <w:t>E</w:t>
      </w:r>
      <w:r w:rsidRPr="00990D3B">
        <w:t>ach MCP</w:t>
      </w:r>
      <w:bookmarkEnd w:id="498"/>
      <w:bookmarkEnd w:id="499"/>
    </w:p>
    <w:p w:rsidR="00AD7FD8" w:rsidRPr="00990D3B" w:rsidP="00BD1FC3" w14:paraId="0E9EA0AA" w14:textId="24835DBB">
      <w:pPr>
        <w:pStyle w:val="ParagraphContinued"/>
      </w:pPr>
      <w:r w:rsidRPr="00990D3B">
        <w:t>In Activity 5, the EQRO share</w:t>
      </w:r>
      <w:r w:rsidRPr="00990D3B" w:rsidR="00FE50F8">
        <w:t>s</w:t>
      </w:r>
      <w:r w:rsidRPr="00990D3B">
        <w:t xml:space="preserve"> preliminary network adequacy validation findings with each </w:t>
      </w:r>
      <w:r w:rsidRPr="00990D3B">
        <w:t>MCP, and</w:t>
      </w:r>
      <w:r w:rsidRPr="00990D3B">
        <w:t xml:space="preserve"> correct</w:t>
      </w:r>
      <w:r w:rsidRPr="00990D3B" w:rsidR="00BE7DA0">
        <w:t>s</w:t>
      </w:r>
      <w:r w:rsidRPr="00990D3B">
        <w:t xml:space="preserve"> omissions and errors if necessary. The EQRO should prepare a preliminary validation report for each MCP. In the report, the EQRO should document findings, provide validation ratings, identify areas of concern, and make suggestions for improvement. The EQRO should submit its preliminary findings to the MCP. The MCP may provide documentation to correct errors and omissions in the preliminary report. As needed, the EQRO may discuss the documentation with each MCP.</w:t>
      </w:r>
    </w:p>
    <w:p w:rsidR="00AD7FD8" w:rsidRPr="00990D3B" w:rsidP="00BD1FC3" w14:paraId="768661B0" w14:textId="07B9238D">
      <w:pPr>
        <w:pStyle w:val="H2"/>
      </w:pPr>
      <w:bookmarkStart w:id="500" w:name="P4Act6"/>
      <w:bookmarkStart w:id="501" w:name="_Toc183005599"/>
      <w:bookmarkStart w:id="502" w:name="_Toc201751369"/>
      <w:bookmarkEnd w:id="500"/>
      <w:r w:rsidRPr="00990D3B">
        <w:t xml:space="preserve">Activity 6: </w:t>
      </w:r>
      <w:r w:rsidRPr="00990D3B" w:rsidR="00303ACD">
        <w:t>Report</w:t>
      </w:r>
      <w:r w:rsidRPr="00990D3B">
        <w:t xml:space="preserve"> </w:t>
      </w:r>
      <w:r w:rsidRPr="00990D3B" w:rsidR="00426B7A">
        <w:t xml:space="preserve">Results </w:t>
      </w:r>
      <w:r w:rsidRPr="00990D3B">
        <w:t>to</w:t>
      </w:r>
      <w:r w:rsidRPr="00990D3B" w:rsidR="00364F66">
        <w:t xml:space="preserve"> the</w:t>
      </w:r>
      <w:r w:rsidRPr="00990D3B">
        <w:t xml:space="preserve"> </w:t>
      </w:r>
      <w:r w:rsidRPr="00990D3B" w:rsidR="00646491">
        <w:t>S</w:t>
      </w:r>
      <w:r w:rsidRPr="00990D3B">
        <w:t>tate</w:t>
      </w:r>
      <w:bookmarkEnd w:id="501"/>
      <w:bookmarkEnd w:id="502"/>
    </w:p>
    <w:p w:rsidR="00AD7FD8" w:rsidP="00BD1FC3" w14:paraId="1C5E852A" w14:textId="32AEA4CE">
      <w:pPr>
        <w:pStyle w:val="ParagraphContinued"/>
      </w:pPr>
      <w:r w:rsidRPr="00990D3B">
        <w:t xml:space="preserve">After completing Activities 1 through 5, the EQRO should compile the results for each MCP into the annual EQR </w:t>
      </w:r>
      <w:r w:rsidRPr="00990D3B" w:rsidR="00FE50F8">
        <w:t>t</w:t>
      </w:r>
      <w:r w:rsidRPr="00990D3B">
        <w:t xml:space="preserve">echnical </w:t>
      </w:r>
      <w:r w:rsidRPr="00990D3B" w:rsidR="00FE50F8">
        <w:t>r</w:t>
      </w:r>
      <w:r w:rsidRPr="00990D3B">
        <w:t xml:space="preserve">eport. In the report, the EQRO will provide its assessment of each MCP’s ability to (1) collect reliable and valid network adequacy monitoring data, (2) use sound methods to assess the adequacy of its managed care networks, and (3) produce accurate results to </w:t>
      </w:r>
      <w:r w:rsidRPr="00990D3B">
        <w:t xml:space="preserve">support MCP and state network adequacy monitoring efforts. EQROs are encouraged to present this information in a </w:t>
      </w:r>
      <w:r w:rsidRPr="00990D3B">
        <w:t>summary narrative</w:t>
      </w:r>
      <w:r w:rsidRPr="00990D3B">
        <w:t xml:space="preserve"> format with supporting tables and graphics, where appropriate. </w:t>
      </w:r>
      <w:r w:rsidRPr="00990D3B" w:rsidR="00037D65">
        <w:t>S</w:t>
      </w:r>
      <w:r w:rsidRPr="00990D3B">
        <w:t>ee “</w:t>
      </w:r>
      <w:r w:rsidRPr="00990D3B" w:rsidR="00D307D3">
        <w:t>EQR Reporting</w:t>
      </w:r>
      <w:r w:rsidRPr="00990D3B">
        <w:t xml:space="preserve">” in the </w:t>
      </w:r>
      <w:hyperlink w:anchor="Introduction" w:tooltip="Introduction" w:history="1">
        <w:r w:rsidRPr="00990D3B" w:rsidR="00D307D3">
          <w:rPr>
            <w:rStyle w:val="Hyperlink"/>
          </w:rPr>
          <w:t>I</w:t>
        </w:r>
        <w:r w:rsidRPr="00990D3B">
          <w:rPr>
            <w:rStyle w:val="Hyperlink"/>
          </w:rPr>
          <w:t>ntroduction</w:t>
        </w:r>
      </w:hyperlink>
      <w:r w:rsidRPr="00990D3B">
        <w:t xml:space="preserve"> for further guidance about how to produce a clear and concise report. </w:t>
      </w:r>
    </w:p>
    <w:p w:rsidR="00AD7FD8" w:rsidRPr="00990D3B" w:rsidP="00BD1FC3" w14:paraId="71276935" w14:textId="436C16D1">
      <w:pPr>
        <w:pStyle w:val="Paragraph0"/>
      </w:pPr>
      <w:r w:rsidRPr="00990D3B">
        <w:t xml:space="preserve">The EQRO’s technical report to the state should follow the state’s required format, and include the following elements, along with worksheets, tools, and other supporting documentation: </w:t>
      </w:r>
    </w:p>
    <w:p w:rsidR="001209F1" w:rsidRPr="00990D3B" w:rsidP="00FB7CAF" w14:paraId="67E790E1" w14:textId="52AAF620">
      <w:pPr>
        <w:pStyle w:val="EQRBulletBLUE"/>
      </w:pPr>
      <w:r w:rsidRPr="00990D3B">
        <w:t>A description of the state’s network adequacy standards for provider types covered by the state’s MCPs, including minimum quantitative network adequacy standards, and the network adequacy indicators that were validated for each MCP (</w:t>
      </w:r>
      <w:hyperlink w:anchor="WS41" w:tooltip="Worksheet 4.1" w:history="1">
        <w:r w:rsidRPr="00990D3B">
          <w:rPr>
            <w:rStyle w:val="Hyperlink"/>
          </w:rPr>
          <w:t>Worksheet 4.1</w:t>
        </w:r>
      </w:hyperlink>
      <w:r w:rsidRPr="00990D3B">
        <w:rPr>
          <w:rStyle w:val="Hyperlink"/>
        </w:rPr>
        <w:t xml:space="preserve"> </w:t>
      </w:r>
      <w:r w:rsidRPr="00990D3B">
        <w:t xml:space="preserve">and </w:t>
      </w:r>
      <w:hyperlink w:anchor="WS42" w:tooltip="Worksheet 4.2" w:history="1">
        <w:r w:rsidRPr="00990D3B">
          <w:rPr>
            <w:rStyle w:val="Hyperlink"/>
          </w:rPr>
          <w:t>Worksheet 4.2</w:t>
        </w:r>
      </w:hyperlink>
      <w:r w:rsidRPr="00990D3B">
        <w:t>)</w:t>
      </w:r>
      <w:r w:rsidRPr="00990D3B" w:rsidR="00037D65">
        <w:t>.</w:t>
      </w:r>
    </w:p>
    <w:p w:rsidR="00AD7FD8" w:rsidRPr="00990D3B" w:rsidP="00FB7CAF" w14:paraId="722BE86B" w14:textId="4EEA7257">
      <w:pPr>
        <w:pStyle w:val="EQRBulletBLUE"/>
      </w:pPr>
      <w:r w:rsidRPr="00990D3B">
        <w:rPr>
          <w:noProof/>
        </w:rPr>
        <mc:AlternateContent>
          <mc:Choice Requires="wps">
            <w:drawing>
              <wp:anchor distT="91440" distB="91440" distL="182880" distR="182880" simplePos="0" relativeHeight="251695104" behindDoc="1" locked="0" layoutInCell="1" allowOverlap="1">
                <wp:simplePos x="0" y="0"/>
                <wp:positionH relativeFrom="margin">
                  <wp:posOffset>3835400</wp:posOffset>
                </wp:positionH>
                <wp:positionV relativeFrom="paragraph">
                  <wp:posOffset>-3683635</wp:posOffset>
                </wp:positionV>
                <wp:extent cx="2194560" cy="1297940"/>
                <wp:effectExtent l="19050" t="19050" r="0" b="0"/>
                <wp:wrapTight wrapText="bothSides">
                  <wp:wrapPolygon>
                    <wp:start x="21788" y="21663"/>
                    <wp:lineTo x="21788" y="17"/>
                    <wp:lineTo x="38" y="17"/>
                    <wp:lineTo x="38" y="21663"/>
                    <wp:lineTo x="21788" y="21663"/>
                  </wp:wrapPolygon>
                </wp:wrapTight>
                <wp:docPr id="1072380166" name="Text Box 12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1297940"/>
                        </a:xfrm>
                        <a:prstGeom prst="rect">
                          <a:avLst/>
                        </a:prstGeom>
                        <a:solidFill>
                          <a:srgbClr val="EEF5F8"/>
                        </a:solidFill>
                        <a:ln w="28575" cap="rnd">
                          <a:solidFill>
                            <a:srgbClr val="A5DAD9"/>
                          </a:solidFill>
                          <a:prstDash val="solid"/>
                          <a:miter lim="800000"/>
                          <a:headEnd/>
                          <a:tailEnd/>
                        </a:ln>
                      </wps:spPr>
                      <wps:txbx>
                        <w:txbxContent>
                          <w:p w:rsidR="00ED33C3" w:rsidRPr="00770E11" w:rsidP="00D24E55" w14:textId="77777777">
                            <w:pPr>
                              <w:pStyle w:val="EQRTextboxheading"/>
                            </w:pPr>
                            <w:r w:rsidRPr="00770E11">
                              <w:t xml:space="preserve">Resources </w:t>
                            </w:r>
                            <w:r>
                              <w:t xml:space="preserve">for </w:t>
                            </w:r>
                            <w:r w:rsidRPr="00770E11">
                              <w:t>Activity</w:t>
                            </w:r>
                            <w:r>
                              <w:t> </w:t>
                            </w:r>
                            <w:r w:rsidRPr="00770E11">
                              <w:t>6</w:t>
                            </w:r>
                          </w:p>
                          <w:p w:rsidR="00ED33C3" w:rsidRPr="00BF5806" w:rsidP="00EA7D4B" w14:textId="77777777">
                            <w:pPr>
                              <w:pStyle w:val="EQRTextboxbody"/>
                            </w:pPr>
                            <w:r w:rsidRPr="00BF5806">
                              <w:t>Information gathered in Activities 1 through 4 using the following worksheets may be helpful when preparing the final validation report:</w:t>
                            </w:r>
                          </w:p>
                          <w:p w:rsidR="00ED33C3" w:rsidRPr="00BF5806" w:rsidP="00D24E55" w14:textId="50EA7C57">
                            <w:pPr>
                              <w:pStyle w:val="EQRTextboxbody"/>
                              <w:spacing w:after="0"/>
                            </w:pPr>
                            <w:hyperlink w:anchor="WS41" w:tooltip="Worksheet 4.1. State Network Adequacy Standards to be Validated" w:history="1">
                              <w:r w:rsidRPr="00BF5806">
                                <w:rPr>
                                  <w:rStyle w:val="Hyperlink"/>
                                </w:rPr>
                                <w:t>Worksheet 4.1. State Network Adequacy Standards to be Validated</w:t>
                              </w:r>
                            </w:hyperlink>
                          </w:p>
                          <w:p w:rsidR="00ED33C3" w:rsidRPr="00BF5806" w:rsidP="00D24E55" w14:textId="77777777">
                            <w:pPr>
                              <w:pStyle w:val="EQRTextboxbullet"/>
                            </w:pPr>
                            <w:r w:rsidRPr="00BF5806">
                              <w:t>Lists all state network adequacy standards that must be addressed in the validation</w:t>
                            </w:r>
                          </w:p>
                          <w:p w:rsidR="00ED33C3" w:rsidRPr="00BF5806" w:rsidP="00D24E55" w14:textId="3C041DA5">
                            <w:pPr>
                              <w:pStyle w:val="EQRTextboxbody"/>
                              <w:spacing w:after="0"/>
                            </w:pPr>
                            <w:hyperlink w:anchor="WS42" w:tooltip="Worksheet 4.2. Network Adequacy Indicators to be Validated" w:history="1">
                              <w:r w:rsidRPr="00BF5806">
                                <w:rPr>
                                  <w:rStyle w:val="Hyperlink"/>
                                </w:rPr>
                                <w:t>Worksheet 4.2. Network Adequacy Indicators to be Validated</w:t>
                              </w:r>
                            </w:hyperlink>
                          </w:p>
                          <w:p w:rsidR="00ED33C3" w:rsidRPr="00BF5806" w:rsidP="00D24E55" w14:textId="77777777">
                            <w:pPr>
                              <w:pStyle w:val="EQRTextboxbullet"/>
                            </w:pPr>
                            <w:r w:rsidRPr="00BF5806">
                              <w:t>Lists and defines the network adequacy indicator(s) associated with each network adequacy standard</w:t>
                            </w:r>
                          </w:p>
                          <w:p w:rsidR="00ED33C3" w:rsidRPr="00BF5806" w:rsidP="00D24E55" w14:textId="3AD807FF">
                            <w:pPr>
                              <w:pStyle w:val="EQRTextboxbody"/>
                              <w:spacing w:after="0"/>
                            </w:pPr>
                            <w:hyperlink w:anchor="WS43" w:tooltip="Worksheet 4.3. Data Sources for Network Adequacy Validation" w:history="1">
                              <w:r w:rsidRPr="00BF5806">
                                <w:rPr>
                                  <w:rStyle w:val="Hyperlink"/>
                                </w:rPr>
                                <w:t>Worksheet 4.3. Data Sources for Network Adequacy Validation</w:t>
                              </w:r>
                            </w:hyperlink>
                          </w:p>
                          <w:p w:rsidR="00ED33C3" w:rsidRPr="00BF5806" w:rsidP="00D24E55" w14:textId="77777777">
                            <w:pPr>
                              <w:pStyle w:val="EQRTextboxbullet"/>
                            </w:pPr>
                            <w:r w:rsidRPr="00BF5806">
                              <w:t>Lists all data sources included in the validation</w:t>
                            </w:r>
                          </w:p>
                          <w:p w:rsidR="00ED33C3" w:rsidRPr="00BF5806" w:rsidP="00D24E55" w14:textId="4219E792">
                            <w:pPr>
                              <w:pStyle w:val="EQRTextboxbody"/>
                              <w:spacing w:after="0"/>
                            </w:pPr>
                            <w:hyperlink w:anchor="WS46" w:tooltip="Worksheet 4.6. Assessment of MCP Network Adequacy Data, Methods, and Results" w:history="1">
                              <w:r w:rsidRPr="00BF5806">
                                <w:rPr>
                                  <w:rStyle w:val="Hyperlink"/>
                                </w:rPr>
                                <w:t>Worksheet 4.6. Assessment of MCP Network Adequacy Data, Methods, and Results</w:t>
                              </w:r>
                            </w:hyperlink>
                          </w:p>
                          <w:p w:rsidR="00ED33C3" w:rsidRPr="00BF5806" w:rsidP="00D24E55" w14:textId="77777777">
                            <w:pPr>
                              <w:pStyle w:val="EQRTextboxbullet"/>
                            </w:pPr>
                            <w:r w:rsidRPr="00BF5806">
                              <w:t>Provides a template for reviewing the data, methods and results for each network adequacy indicator</w:t>
                            </w:r>
                          </w:p>
                          <w:p w:rsidR="00ED33C3" w:rsidRPr="00BF5806" w:rsidP="00D24E55" w14:textId="678742EB">
                            <w:pPr>
                              <w:pStyle w:val="EQRTextboxbody"/>
                              <w:spacing w:after="0"/>
                            </w:pPr>
                            <w:hyperlink w:anchor="WS47" w:tooltip="Worksheet 4.7. Summary of Network Adequacy Validation Findings" w:history="1">
                              <w:r w:rsidRPr="00BF5806">
                                <w:rPr>
                                  <w:rStyle w:val="Hyperlink"/>
                                </w:rPr>
                                <w:t>Worksheet 4.7. Summary of Network Adequacy Validation Findings</w:t>
                              </w:r>
                            </w:hyperlink>
                          </w:p>
                          <w:p w:rsidR="00ED33C3" w:rsidRPr="00BF5806" w:rsidP="00D24E55" w14:textId="77777777">
                            <w:pPr>
                              <w:pStyle w:val="EQRTextboxbullet"/>
                            </w:pPr>
                            <w:r w:rsidRPr="00BF5806">
                              <w:t>Provides validation ratings and comments for network adequacy indicator</w:t>
                            </w:r>
                          </w:p>
                          <w:p w:rsidR="00ED33C3" w:rsidRPr="00BF5806" w:rsidP="00D24E55" w14:textId="2C7C15BA">
                            <w:pPr>
                              <w:pStyle w:val="EQRTextboxbody"/>
                              <w:spacing w:after="0"/>
                            </w:pPr>
                            <w:hyperlink w:anchor="WS48" w:tooltip="Worksheet 4.8. Recommendations to Improve MCP Assessment of Network Adequacy" w:history="1">
                              <w:r w:rsidRPr="00BF5806">
                                <w:rPr>
                                  <w:rStyle w:val="Hyperlink"/>
                                </w:rPr>
                                <w:t>Worksheet 4.8. Recommendations to Improve MCP Assessment of Network Adequacy</w:t>
                              </w:r>
                            </w:hyperlink>
                          </w:p>
                          <w:p w:rsidR="00ED33C3" w:rsidRPr="0022757B" w:rsidP="00D24E55" w14:textId="77777777">
                            <w:pPr>
                              <w:pStyle w:val="EQRTextboxbullet"/>
                              <w:rPr>
                                <w:sz w:val="19"/>
                                <w:szCs w:val="19"/>
                              </w:rPr>
                            </w:pPr>
                            <w:r w:rsidRPr="00BF5806">
                              <w:t>Provides a template for summarizing EQRO recommendations</w:t>
                            </w:r>
                            <w:r w:rsidRPr="009A0F3C">
                              <w:t xml:space="preserve"> from past EQR technical reports and EQRO recommendations based on the current validation process</w:t>
                            </w:r>
                          </w:p>
                        </w:txbxContent>
                      </wps:txbx>
                      <wps:bodyPr rot="0" vert="horz" wrap="square" lIns="109728" tIns="45720" rIns="109728"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122" o:spid="_x0000_s1159" type="#_x0000_t202" style="width:172.8pt;height:102.2pt;margin-top:-290.05pt;margin-left:302pt;flip:y;mso-height-percent:0;mso-height-relative:margin;mso-position-horizontal-relative:margin;mso-width-percent:0;mso-width-relative:margin;mso-wrap-distance-bottom:7.2pt;mso-wrap-distance-left:14.4pt;mso-wrap-distance-right:14.4pt;mso-wrap-distance-top:7.2pt;mso-wrap-style:square;position:absolute;rotation:180;visibility:visible;v-text-anchor:top;z-index:-251620352" fillcolor="#eef5f8" strokecolor="#a5dad9" strokeweight="2.25pt">
                <v:stroke endcap="round"/>
                <v:textbox style="mso-fit-shape-to-text:t" inset="8.64pt,,8.64pt">
                  <w:txbxContent>
                    <w:p w:rsidR="00ED33C3" w:rsidRPr="00770E11" w:rsidP="00D24E55" w14:paraId="5E2FBE7C" w14:textId="77777777">
                      <w:pPr>
                        <w:pStyle w:val="EQRTextboxheading"/>
                      </w:pPr>
                      <w:r w:rsidRPr="00770E11">
                        <w:t xml:space="preserve">Resources </w:t>
                      </w:r>
                      <w:r>
                        <w:t xml:space="preserve">for </w:t>
                      </w:r>
                      <w:r w:rsidRPr="00770E11">
                        <w:t>Activity</w:t>
                      </w:r>
                      <w:r>
                        <w:t> </w:t>
                      </w:r>
                      <w:r w:rsidRPr="00770E11">
                        <w:t>6</w:t>
                      </w:r>
                    </w:p>
                    <w:p w:rsidR="00ED33C3" w:rsidRPr="00BF5806" w:rsidP="00EA7D4B" w14:paraId="68AB7ED9" w14:textId="77777777">
                      <w:pPr>
                        <w:pStyle w:val="EQRTextboxbody"/>
                      </w:pPr>
                      <w:r w:rsidRPr="00BF5806">
                        <w:t>Information gathered in Activities 1 through 4 using the following worksheets may be helpful when preparing the final validation report:</w:t>
                      </w:r>
                    </w:p>
                    <w:p w:rsidR="00ED33C3" w:rsidRPr="00BF5806" w:rsidP="00D24E55" w14:paraId="162E48F0" w14:textId="50EA7C57">
                      <w:pPr>
                        <w:pStyle w:val="EQRTextboxbody"/>
                        <w:spacing w:after="0"/>
                      </w:pPr>
                      <w:hyperlink w:anchor="WS41" w:tooltip="Worksheet 4.1. State Network Adequacy Standards to be Validated" w:history="1">
                        <w:r w:rsidRPr="00BF5806">
                          <w:rPr>
                            <w:rStyle w:val="Hyperlink"/>
                          </w:rPr>
                          <w:t>Worksheet 4.1. State Network Adequacy Standards to be Validated</w:t>
                        </w:r>
                      </w:hyperlink>
                    </w:p>
                    <w:p w:rsidR="00ED33C3" w:rsidRPr="00BF5806" w:rsidP="00D24E55" w14:paraId="08B0ED91" w14:textId="77777777">
                      <w:pPr>
                        <w:pStyle w:val="EQRTextboxbullet"/>
                      </w:pPr>
                      <w:r w:rsidRPr="00BF5806">
                        <w:t>Lists all state network adequacy standards that must be addressed in the validation</w:t>
                      </w:r>
                    </w:p>
                    <w:p w:rsidR="00ED33C3" w:rsidRPr="00BF5806" w:rsidP="00D24E55" w14:paraId="06968701" w14:textId="3C041DA5">
                      <w:pPr>
                        <w:pStyle w:val="EQRTextboxbody"/>
                        <w:spacing w:after="0"/>
                      </w:pPr>
                      <w:hyperlink w:anchor="WS42" w:tooltip="Worksheet 4.2. Network Adequacy Indicators to be Validated" w:history="1">
                        <w:r w:rsidRPr="00BF5806">
                          <w:rPr>
                            <w:rStyle w:val="Hyperlink"/>
                          </w:rPr>
                          <w:t>Worksheet 4.2. Network Adequacy Indicators to be Validated</w:t>
                        </w:r>
                      </w:hyperlink>
                    </w:p>
                    <w:p w:rsidR="00ED33C3" w:rsidRPr="00BF5806" w:rsidP="00D24E55" w14:paraId="57C5F519" w14:textId="77777777">
                      <w:pPr>
                        <w:pStyle w:val="EQRTextboxbullet"/>
                      </w:pPr>
                      <w:r w:rsidRPr="00BF5806">
                        <w:t>Lists and defines the network adequacy indicator(s) associated with each network adequacy standard</w:t>
                      </w:r>
                    </w:p>
                    <w:p w:rsidR="00ED33C3" w:rsidRPr="00BF5806" w:rsidP="00D24E55" w14:paraId="6058A1B6" w14:textId="3AD807FF">
                      <w:pPr>
                        <w:pStyle w:val="EQRTextboxbody"/>
                        <w:spacing w:after="0"/>
                      </w:pPr>
                      <w:hyperlink w:anchor="WS43" w:tooltip="Worksheet 4.3. Data Sources for Network Adequacy Validation" w:history="1">
                        <w:r w:rsidRPr="00BF5806">
                          <w:rPr>
                            <w:rStyle w:val="Hyperlink"/>
                          </w:rPr>
                          <w:t>Worksheet 4.3. Data Sources for Network Adequacy Validation</w:t>
                        </w:r>
                      </w:hyperlink>
                    </w:p>
                    <w:p w:rsidR="00ED33C3" w:rsidRPr="00BF5806" w:rsidP="00D24E55" w14:paraId="4340B6F5" w14:textId="77777777">
                      <w:pPr>
                        <w:pStyle w:val="EQRTextboxbullet"/>
                      </w:pPr>
                      <w:r w:rsidRPr="00BF5806">
                        <w:t>Lists all data sources included in the validation</w:t>
                      </w:r>
                    </w:p>
                    <w:p w:rsidR="00ED33C3" w:rsidRPr="00BF5806" w:rsidP="00D24E55" w14:paraId="24B7A7CD" w14:textId="4219E792">
                      <w:pPr>
                        <w:pStyle w:val="EQRTextboxbody"/>
                        <w:spacing w:after="0"/>
                      </w:pPr>
                      <w:hyperlink w:anchor="WS46" w:tooltip="Worksheet 4.6. Assessment of MCP Network Adequacy Data, Methods, and Results" w:history="1">
                        <w:r w:rsidRPr="00BF5806">
                          <w:rPr>
                            <w:rStyle w:val="Hyperlink"/>
                          </w:rPr>
                          <w:t>Worksheet 4.6. Assessment of MCP Network Adequacy Data, Methods, and Results</w:t>
                        </w:r>
                      </w:hyperlink>
                    </w:p>
                    <w:p w:rsidR="00ED33C3" w:rsidRPr="00BF5806" w:rsidP="00D24E55" w14:paraId="34AD324C" w14:textId="77777777">
                      <w:pPr>
                        <w:pStyle w:val="EQRTextboxbullet"/>
                      </w:pPr>
                      <w:r w:rsidRPr="00BF5806">
                        <w:t>Provides a template for reviewing the data, methods and results for each network adequacy indicator</w:t>
                      </w:r>
                    </w:p>
                    <w:p w:rsidR="00ED33C3" w:rsidRPr="00BF5806" w:rsidP="00D24E55" w14:paraId="736F6ABE" w14:textId="678742EB">
                      <w:pPr>
                        <w:pStyle w:val="EQRTextboxbody"/>
                        <w:spacing w:after="0"/>
                      </w:pPr>
                      <w:hyperlink w:anchor="WS47" w:tooltip="Worksheet 4.7. Summary of Network Adequacy Validation Findings" w:history="1">
                        <w:r w:rsidRPr="00BF5806">
                          <w:rPr>
                            <w:rStyle w:val="Hyperlink"/>
                          </w:rPr>
                          <w:t>Worksheet 4.7. Summary of Network Adequacy Validation Findings</w:t>
                        </w:r>
                      </w:hyperlink>
                    </w:p>
                    <w:p w:rsidR="00ED33C3" w:rsidRPr="00BF5806" w:rsidP="00D24E55" w14:paraId="145EF2C3" w14:textId="77777777">
                      <w:pPr>
                        <w:pStyle w:val="EQRTextboxbullet"/>
                      </w:pPr>
                      <w:r w:rsidRPr="00BF5806">
                        <w:t>Provides validation ratings and comments for network adequacy indicator</w:t>
                      </w:r>
                    </w:p>
                    <w:p w:rsidR="00ED33C3" w:rsidRPr="00BF5806" w:rsidP="00D24E55" w14:paraId="1993E082" w14:textId="2C7C15BA">
                      <w:pPr>
                        <w:pStyle w:val="EQRTextboxbody"/>
                        <w:spacing w:after="0"/>
                      </w:pPr>
                      <w:hyperlink w:anchor="WS48" w:tooltip="Worksheet 4.8. Recommendations to Improve MCP Assessment of Network Adequacy" w:history="1">
                        <w:r w:rsidRPr="00BF5806">
                          <w:rPr>
                            <w:rStyle w:val="Hyperlink"/>
                          </w:rPr>
                          <w:t>Worksheet 4.8. Recommendations to Improve MCP Assessment of Network Adequacy</w:t>
                        </w:r>
                      </w:hyperlink>
                    </w:p>
                    <w:p w:rsidR="00ED33C3" w:rsidRPr="0022757B" w:rsidP="00D24E55" w14:paraId="5918A182" w14:textId="77777777">
                      <w:pPr>
                        <w:pStyle w:val="EQRTextboxbullet"/>
                        <w:rPr>
                          <w:sz w:val="19"/>
                          <w:szCs w:val="19"/>
                        </w:rPr>
                      </w:pPr>
                      <w:r w:rsidRPr="00BF5806">
                        <w:t>Provides a template for summarizing EQRO recommendations</w:t>
                      </w:r>
                      <w:r w:rsidRPr="009A0F3C">
                        <w:t xml:space="preserve"> from past EQR technical reports and EQRO recommendations based on the current validation process</w:t>
                      </w:r>
                    </w:p>
                  </w:txbxContent>
                </v:textbox>
                <w10:wrap type="tight"/>
              </v:shape>
            </w:pict>
          </mc:Fallback>
        </mc:AlternateContent>
      </w:r>
      <w:r w:rsidRPr="00990D3B" w:rsidR="00AD7FD8">
        <w:t>A list of the data and documentation validated by the EQRO</w:t>
      </w:r>
      <w:r w:rsidRPr="00990D3B" w:rsidR="00911142">
        <w:t>,</w:t>
      </w:r>
      <w:r w:rsidRPr="00990D3B" w:rsidR="00AD7FD8">
        <w:t xml:space="preserve"> </w:t>
      </w:r>
      <w:r w:rsidRPr="00990D3B" w:rsidR="00BE7DA0">
        <w:t>including the frequency at which they are submitted by the MCP to the state</w:t>
      </w:r>
      <w:r w:rsidRPr="00990D3B" w:rsidR="00911142">
        <w:t xml:space="preserve"> (</w:t>
      </w:r>
      <w:hyperlink w:anchor="WS43" w:tooltip="Worksheet 4.3" w:history="1">
        <w:r w:rsidRPr="00990D3B" w:rsidR="00911142">
          <w:rPr>
            <w:rStyle w:val="Hyperlink"/>
          </w:rPr>
          <w:t>Worksheet 4.3</w:t>
        </w:r>
      </w:hyperlink>
      <w:r w:rsidRPr="00990D3B" w:rsidR="00911142">
        <w:t>)</w:t>
      </w:r>
      <w:r w:rsidRPr="00990D3B" w:rsidR="00037D65">
        <w:t>.</w:t>
      </w:r>
    </w:p>
    <w:p w:rsidR="00AD7FD8" w:rsidRPr="00990D3B" w:rsidP="00FB7CAF" w14:paraId="6AEF74DB" w14:textId="65183AD6">
      <w:pPr>
        <w:pStyle w:val="EQRBulletBLUE"/>
      </w:pPr>
      <w:r w:rsidRPr="00990D3B">
        <w:t xml:space="preserve">A description of the EQRO’s validation activities including: </w:t>
      </w:r>
    </w:p>
    <w:p w:rsidR="00AD7FD8" w:rsidRPr="00990D3B" w:rsidP="00411ED7" w14:paraId="10F13D62" w14:textId="3397D935">
      <w:pPr>
        <w:pStyle w:val="EQRBulletBLUE2ndlevel"/>
      </w:pPr>
      <w:r w:rsidRPr="00990D3B">
        <w:t xml:space="preserve">A summary of the participants involved in the validation activity such as MCP staff or vendors.  </w:t>
      </w:r>
    </w:p>
    <w:p w:rsidR="00AD7FD8" w:rsidRPr="00990D3B" w:rsidP="00411ED7" w14:paraId="11CC8EC7" w14:textId="5266C176">
      <w:pPr>
        <w:pStyle w:val="EQRBulletBLUE2ndlevel"/>
      </w:pPr>
      <w:r w:rsidRPr="00990D3B">
        <w:t>Methods for collecting primary data</w:t>
      </w:r>
      <w:r w:rsidRPr="00990D3B" w:rsidR="003F470E">
        <w:t>.</w:t>
      </w:r>
      <w:r w:rsidRPr="00990D3B">
        <w:t xml:space="preserve"> </w:t>
      </w:r>
    </w:p>
    <w:p w:rsidR="00AD7FD8" w:rsidRPr="00990D3B" w:rsidP="00411ED7" w14:paraId="6F8E2847" w14:textId="0A136E2D">
      <w:pPr>
        <w:pStyle w:val="EQRBulletBLUE2ndlevel"/>
      </w:pPr>
      <w:r w:rsidRPr="00990D3B">
        <w:t>Data analysis methodology</w:t>
      </w:r>
      <w:r w:rsidRPr="00990D3B" w:rsidR="004A622E">
        <w:t>.</w:t>
      </w:r>
    </w:p>
    <w:p w:rsidR="00AD7FD8" w:rsidRPr="00990D3B" w:rsidP="00411ED7" w14:paraId="3BAC30A4" w14:textId="267669C6">
      <w:pPr>
        <w:pStyle w:val="EQRBulletBLUE2ndlevel"/>
      </w:pPr>
      <w:r w:rsidRPr="00990D3B">
        <w:t>Other considerations relevant to the network adequacy validation process</w:t>
      </w:r>
      <w:r w:rsidRPr="00990D3B" w:rsidR="004A622E">
        <w:t>.</w:t>
      </w:r>
    </w:p>
    <w:p w:rsidR="00AD7FD8" w:rsidRPr="00990D3B" w:rsidP="00FB7CAF" w14:paraId="57D2DF5D" w14:textId="6B17669F">
      <w:pPr>
        <w:pStyle w:val="EQRBulletBLUE"/>
      </w:pPr>
      <w:r w:rsidRPr="00990D3B">
        <w:t xml:space="preserve">Findings on the MCP’s </w:t>
      </w:r>
      <w:r w:rsidRPr="00990D3B" w:rsidR="003A1F60">
        <w:t>IS</w:t>
      </w:r>
      <w:r w:rsidRPr="00990D3B">
        <w:t xml:space="preserve"> capabilities and data integration, including documentation of the timing of the state’s most recent ISCA and a description of what documentation was reviewed by the EQRO to support the validation of network adequacy (</w:t>
      </w:r>
      <w:hyperlink w:anchor="WS46" w:tooltip="Worksheet 4.6" w:history="1">
        <w:r w:rsidRPr="00990D3B">
          <w:rPr>
            <w:rStyle w:val="Hyperlink"/>
          </w:rPr>
          <w:t>Worksheet 4.6</w:t>
        </w:r>
      </w:hyperlink>
      <w:r w:rsidRPr="00990D3B">
        <w:t>)</w:t>
      </w:r>
      <w:r w:rsidRPr="00990D3B" w:rsidR="00037D65">
        <w:t>.</w:t>
      </w:r>
    </w:p>
    <w:p w:rsidR="003A1F60" w:rsidRPr="00990D3B" w:rsidP="003A1F60" w14:paraId="3967986C" w14:textId="221BD742">
      <w:pPr>
        <w:pStyle w:val="EQRBulletBLUE"/>
      </w:pPr>
      <w:r w:rsidRPr="00990D3B">
        <w:t>Validation rating and supporting analyses for each network adequacy validation activity, reported separately for each MCP. The EQRO should compile data across MCPs to create data tables with summary statistics for each MCP that include actual results and validation ratings (and analysis of patterns across MCPs), using the criteria established by the state in Activity 1 (</w:t>
      </w:r>
      <w:hyperlink w:anchor="WS47" w:tooltip="Worksheet 4.7" w:history="1">
        <w:r w:rsidRPr="00990D3B">
          <w:rPr>
            <w:rStyle w:val="Hyperlink"/>
          </w:rPr>
          <w:t>Worksheet 4.7</w:t>
        </w:r>
      </w:hyperlink>
      <w:r w:rsidRPr="00990D3B">
        <w:t>).</w:t>
      </w:r>
    </w:p>
    <w:p w:rsidR="003A1F60" w:rsidRPr="00394B8A" w:rsidP="00394B8A" w14:paraId="1E5305C2" w14:textId="5433AD5B">
      <w:pPr>
        <w:pStyle w:val="EQRBulletBLUE"/>
      </w:pPr>
      <w:r w:rsidRPr="00990D3B">
        <w:t>Outcomes data and findings from quantitative assessments conducted as part of the network adequacy validation activity, including the specific results for each MCP’s performance against the state’s network adequacy standards.</w:t>
      </w:r>
      <w:r w:rsidR="000A76D8">
        <w:t xml:space="preserve"> </w:t>
      </w:r>
      <w:hyperlink w:anchor="Box4n4" w:history="1">
        <w:r w:rsidRPr="00394B8A" w:rsidR="00394B8A">
          <w:rPr>
            <w:rStyle w:val="Hyperlink"/>
          </w:rPr>
          <w:t>Box 4.4</w:t>
        </w:r>
      </w:hyperlink>
      <w:r w:rsidRPr="00394B8A" w:rsidR="00394B8A">
        <w:t xml:space="preserve"> shares additional guidance </w:t>
      </w:r>
      <w:r w:rsidRPr="00394B8A" w:rsidR="00394B8A">
        <w:t>on</w:t>
      </w:r>
      <w:r w:rsidRPr="00394B8A" w:rsidR="00394B8A">
        <w:t xml:space="preserve"> reporting these results.  </w:t>
      </w:r>
    </w:p>
    <w:p w:rsidR="00AD7FD8" w:rsidRPr="00990D3B" w:rsidP="00FB7CAF" w14:paraId="0A501060" w14:textId="3C0A68D6">
      <w:pPr>
        <w:pStyle w:val="EQRBulletBLUE"/>
      </w:pPr>
      <w:r w:rsidRPr="00990D3B">
        <w:t>Recommendations for improving the reliability and validity of each MCP’s process for monitoring network adequacy, including implications for the MCP’s data systems, methods, and staffing (e.g., programming and analytic capacity) (</w:t>
      </w:r>
      <w:hyperlink w:anchor="WS48" w:tooltip="Worksheet 4.8" w:history="1">
        <w:r w:rsidRPr="00990D3B">
          <w:rPr>
            <w:rStyle w:val="Hyperlink"/>
          </w:rPr>
          <w:t>Worksheet 4.8</w:t>
        </w:r>
      </w:hyperlink>
      <w:r w:rsidRPr="00990D3B">
        <w:t>)</w:t>
      </w:r>
      <w:r w:rsidRPr="00990D3B" w:rsidR="00037D65">
        <w:t>.</w:t>
      </w:r>
    </w:p>
    <w:p w:rsidR="00AD7FD8" w:rsidRPr="00990D3B" w:rsidP="00BD1FC3" w14:paraId="1F408C97" w14:textId="03D784CB">
      <w:pPr>
        <w:pStyle w:val="ParagraphContinued"/>
      </w:pPr>
      <w:r w:rsidRPr="00990D3B">
        <w:t>When possible, the validation report should identify recommendations from the previous year’s report submitted to the state, and discuss progress made on these recommendations over the past year based on information gathered during the validation process (</w:t>
      </w:r>
      <w:hyperlink w:anchor="WS48" w:tooltip="Worksheet 4.8" w:history="1">
        <w:r w:rsidRPr="00990D3B">
          <w:rPr>
            <w:rStyle w:val="Hyperlink"/>
          </w:rPr>
          <w:t>Worksheet 4.8</w:t>
        </w:r>
      </w:hyperlink>
      <w:r w:rsidRPr="00990D3B">
        <w:t>).</w:t>
      </w:r>
    </w:p>
    <w:p w:rsidR="00885ED3" w:rsidRPr="00990D3B" w:rsidP="007F19EC" w14:paraId="053BD9ED" w14:textId="7063C8E0">
      <w:pPr>
        <w:pStyle w:val="ParagraphContinued"/>
      </w:pPr>
      <w:r w:rsidRPr="00990D3B">
        <w:rPr>
          <w:noProof/>
        </w:rPr>
        <mc:AlternateContent>
          <mc:Choice Requires="wps">
            <w:drawing>
              <wp:anchor distT="0" distB="0" distL="114300" distR="114300" simplePos="0" relativeHeight="252034048" behindDoc="1" locked="0" layoutInCell="1" allowOverlap="1">
                <wp:simplePos x="0" y="0"/>
                <wp:positionH relativeFrom="margin">
                  <wp:posOffset>1270</wp:posOffset>
                </wp:positionH>
                <wp:positionV relativeFrom="paragraph">
                  <wp:posOffset>367030</wp:posOffset>
                </wp:positionV>
                <wp:extent cx="5820410" cy="1870075"/>
                <wp:effectExtent l="19050" t="19050" r="27940" b="15875"/>
                <wp:wrapTight wrapText="bothSides">
                  <wp:wrapPolygon>
                    <wp:start x="21671" y="21820"/>
                    <wp:lineTo x="21671" y="37"/>
                    <wp:lineTo x="-33" y="37"/>
                    <wp:lineTo x="-33" y="21820"/>
                    <wp:lineTo x="21671" y="21820"/>
                  </wp:wrapPolygon>
                </wp:wrapTight>
                <wp:docPr id="820201561" name="Text Box 2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820410" cy="1870075"/>
                        </a:xfrm>
                        <a:prstGeom prst="rect">
                          <a:avLst/>
                        </a:prstGeom>
                        <a:solidFill>
                          <a:srgbClr val="EEF5F8"/>
                        </a:solidFill>
                        <a:ln w="28575" cap="rnd">
                          <a:solidFill>
                            <a:srgbClr val="A5DAD9"/>
                          </a:solidFill>
                          <a:prstDash val="solid"/>
                          <a:miter lim="800000"/>
                          <a:headEnd/>
                          <a:tailEnd/>
                        </a:ln>
                      </wps:spPr>
                      <wps:txbx>
                        <w:txbxContent>
                          <w:p w:rsidR="00394B8A" w:rsidRPr="00961B9C" w:rsidP="00394B8A" w14:textId="77777777">
                            <w:pPr>
                              <w:pStyle w:val="EQRTextboxheading"/>
                            </w:pPr>
                            <w:bookmarkStart w:id="503" w:name="Box4n4"/>
                            <w:r w:rsidRPr="00394B8A">
                              <w:t>Box 4.4</w:t>
                            </w:r>
                            <w:bookmarkEnd w:id="503"/>
                            <w:r w:rsidRPr="00394B8A">
                              <w:t>. Reporting Network Adequacy Outcomes Data and Quantitative Assessment Results</w:t>
                            </w:r>
                          </w:p>
                          <w:p w:rsidR="00394B8A" w:rsidP="00394B8A" w14:textId="77777777">
                            <w:pPr>
                              <w:pStyle w:val="EQRTextboxbody"/>
                              <w:rPr>
                                <w:rFonts w:asciiTheme="majorHAnsi" w:hAnsiTheme="majorHAnsi" w:cstheme="majorHAnsi"/>
                              </w:rPr>
                            </w:pPr>
                            <w:r w:rsidRPr="001A18F1">
                              <w:t xml:space="preserve">In the 2024 final rule, CMS clarified that </w:t>
                            </w:r>
                            <w:r>
                              <w:t xml:space="preserve">for the mandatory validation activities, </w:t>
                            </w:r>
                            <w:r w:rsidRPr="001A18F1">
                              <w:t xml:space="preserve">states must </w:t>
                            </w:r>
                            <w:r>
                              <w:t>report</w:t>
                            </w:r>
                            <w:r w:rsidRPr="001A18F1">
                              <w:t xml:space="preserve"> outcomes data and results from quantitative assessments in addition to </w:t>
                            </w:r>
                            <w:r>
                              <w:t>validation</w:t>
                            </w:r>
                            <w:r w:rsidRPr="001A18F1">
                              <w:t xml:space="preserve"> findings</w:t>
                            </w:r>
                            <w:r>
                              <w:t xml:space="preserve">. </w:t>
                            </w:r>
                            <w:r w:rsidRPr="00894031">
                              <w:t xml:space="preserve">For </w:t>
                            </w:r>
                            <w:r>
                              <w:t>network adequacy validation</w:t>
                            </w:r>
                            <w:r w:rsidRPr="00894031">
                              <w:t>, this may include quantitative analyses of whether MCP provider networks meet state and federal network adequacy standards, including time/distance (or other state-defined) standards, appointment wait time standards (if applicable), and standards by provider type, service, and geographic area. Quantitative assessments may include calculating the percentage of network adequacy standards met; summarizing pass/fail rates by provider type and geography; identifying areas or provider categories with recurring deficiencies; analyzing changes in compliance over time (e.g., pre-/post-corrective action); and assessing the completeness, timeliness, and reliability of provider directory or network file data used for validation</w:t>
                            </w:r>
                            <w:r w:rsidRPr="00805A22">
                              <w:rPr>
                                <w:rStyle w:val="Hyperlink"/>
                              </w:rPr>
                              <w:t>.</w:t>
                            </w:r>
                            <w:r w:rsidRPr="00961B9C">
                              <w:rPr>
                                <w:rFonts w:asciiTheme="majorHAnsi" w:hAnsiTheme="majorHAnsi" w:cstheme="majorHAnsi"/>
                              </w:rPr>
                              <w:t xml:space="preserve"> </w:t>
                            </w:r>
                          </w:p>
                          <w:p w:rsidR="000A76D8" w:rsidRPr="00E35D96" w:rsidP="000A76D8" w14:textId="77777777">
                            <w:pPr>
                              <w:pStyle w:val="EQRTextboxheading"/>
                              <w:rPr>
                                <w:rFonts w:asciiTheme="majorHAnsi" w:hAnsiTheme="majorHAnsi" w:cstheme="majorHAnsi"/>
                              </w:rPr>
                            </w:pPr>
                          </w:p>
                        </w:txbxContent>
                      </wps:txbx>
                      <wps:bodyPr rot="0" vert="horz" wrap="square" lIns="109728" tIns="45720" rIns="109728" bIns="45720" anchor="t" anchorCtr="0" upright="1"/>
                    </wps:wsp>
                  </a:graphicData>
                </a:graphic>
                <wp14:sizeRelH relativeFrom="margin">
                  <wp14:pctWidth>0</wp14:pctWidth>
                </wp14:sizeRelH>
                <wp14:sizeRelV relativeFrom="margin">
                  <wp14:pctHeight>0</wp14:pctHeight>
                </wp14:sizeRelV>
              </wp:anchor>
            </w:drawing>
          </mc:Choice>
          <mc:Fallback>
            <w:pict>
              <v:shape id="_x0000_s1160" type="#_x0000_t202" style="width:458.3pt;height:147.25pt;margin-top:28.9pt;margin-left:0.1pt;flip:y;mso-height-percent:0;mso-height-relative:margin;mso-position-horizontal-relative:margin;mso-width-percent:0;mso-width-relative:margin;mso-wrap-distance-bottom:0;mso-wrap-distance-left:9pt;mso-wrap-distance-right:9pt;mso-wrap-distance-top:0;mso-wrap-style:square;position:absolute;rotation:180;visibility:visible;v-text-anchor:top;z-index:-251281408" fillcolor="#eef5f8" strokecolor="#a5dad9" strokeweight="2.25pt">
                <v:stroke endcap="round"/>
                <v:textbox inset="8.64pt,,8.64pt">
                  <w:txbxContent>
                    <w:p w:rsidR="00394B8A" w:rsidRPr="00961B9C" w:rsidP="00394B8A" w14:paraId="396B492C" w14:textId="77777777">
                      <w:pPr>
                        <w:pStyle w:val="EQRTextboxheading"/>
                      </w:pPr>
                      <w:bookmarkStart w:id="503" w:name="Box4n4"/>
                      <w:r w:rsidRPr="00394B8A">
                        <w:t>Box 4.4</w:t>
                      </w:r>
                      <w:bookmarkEnd w:id="503"/>
                      <w:r w:rsidRPr="00394B8A">
                        <w:t>. Reporting Network Adequacy Outcomes Data and Quantitative Assessment Results</w:t>
                      </w:r>
                    </w:p>
                    <w:p w:rsidR="00394B8A" w:rsidP="00394B8A" w14:paraId="63E2E956" w14:textId="77777777">
                      <w:pPr>
                        <w:pStyle w:val="EQRTextboxbody"/>
                        <w:rPr>
                          <w:rFonts w:asciiTheme="majorHAnsi" w:hAnsiTheme="majorHAnsi" w:cstheme="majorHAnsi"/>
                        </w:rPr>
                      </w:pPr>
                      <w:r w:rsidRPr="001A18F1">
                        <w:t xml:space="preserve">In the 2024 final rule, CMS clarified that </w:t>
                      </w:r>
                      <w:r>
                        <w:t xml:space="preserve">for the mandatory validation activities, </w:t>
                      </w:r>
                      <w:r w:rsidRPr="001A18F1">
                        <w:t xml:space="preserve">states must </w:t>
                      </w:r>
                      <w:r>
                        <w:t>report</w:t>
                      </w:r>
                      <w:r w:rsidRPr="001A18F1">
                        <w:t xml:space="preserve"> outcomes data and results from quantitative assessments in addition to </w:t>
                      </w:r>
                      <w:r>
                        <w:t>validation</w:t>
                      </w:r>
                      <w:r w:rsidRPr="001A18F1">
                        <w:t xml:space="preserve"> findings</w:t>
                      </w:r>
                      <w:r>
                        <w:t xml:space="preserve">. </w:t>
                      </w:r>
                      <w:r w:rsidRPr="00894031">
                        <w:t xml:space="preserve">For </w:t>
                      </w:r>
                      <w:r>
                        <w:t>network adequacy validation</w:t>
                      </w:r>
                      <w:r w:rsidRPr="00894031">
                        <w:t>, this may include quantitative analyses of whether MCP provider networks meet state and federal network adequacy standards, including time/distance (or other state-defined) standards, appointment wait time standards (if applicable), and standards by provider type, service, and geographic area. Quantitative assessments may include calculating the percentage of network adequacy standards met; summarizing pass/fail rates by provider type and geography; identifying areas or provider categories with recurring deficiencies; analyzing changes in compliance over time (e.g., pre-/post-corrective action); and assessing the completeness, timeliness, and reliability of provider directory or network file data used for validation</w:t>
                      </w:r>
                      <w:r w:rsidRPr="00805A22">
                        <w:rPr>
                          <w:rStyle w:val="Hyperlink"/>
                        </w:rPr>
                        <w:t>.</w:t>
                      </w:r>
                      <w:r w:rsidRPr="00961B9C">
                        <w:rPr>
                          <w:rFonts w:asciiTheme="majorHAnsi" w:hAnsiTheme="majorHAnsi" w:cstheme="majorHAnsi"/>
                        </w:rPr>
                        <w:t xml:space="preserve"> </w:t>
                      </w:r>
                    </w:p>
                    <w:p w:rsidR="000A76D8" w:rsidRPr="00E35D96" w:rsidP="000A76D8" w14:paraId="06F7117C" w14:textId="77777777">
                      <w:pPr>
                        <w:pStyle w:val="EQRTextboxheading"/>
                        <w:rPr>
                          <w:rFonts w:asciiTheme="majorHAnsi" w:hAnsiTheme="majorHAnsi" w:cstheme="majorHAnsi"/>
                        </w:rPr>
                      </w:pPr>
                    </w:p>
                  </w:txbxContent>
                </v:textbox>
                <w10:wrap type="tight"/>
              </v:shape>
            </w:pict>
          </mc:Fallback>
        </mc:AlternateContent>
      </w:r>
    </w:p>
    <w:p w:rsidR="00885ED3" w:rsidRPr="00990D3B" w:rsidP="00885ED3" w14:paraId="57B8216A" w14:textId="77777777">
      <w:pPr>
        <w:pStyle w:val="ParagraphContinued"/>
        <w:jc w:val="center"/>
      </w:pPr>
    </w:p>
    <w:p w:rsidR="00885ED3" w:rsidRPr="00990D3B" w:rsidP="00885ED3" w14:paraId="2A1B10F6" w14:textId="77777777">
      <w:pPr>
        <w:pStyle w:val="ParagraphContinued"/>
        <w:jc w:val="center"/>
      </w:pPr>
      <w:r w:rsidRPr="00990D3B">
        <w:t>END OF PROTOCOL 4</w:t>
      </w:r>
      <w:bookmarkStart w:id="504" w:name="WS4"/>
      <w:bookmarkStart w:id="505" w:name="_Toc183005600"/>
      <w:bookmarkStart w:id="506" w:name="_Toc201751370"/>
      <w:bookmarkEnd w:id="504"/>
    </w:p>
    <w:p w:rsidR="00885ED3" w:rsidRPr="00990D3B" w14:paraId="561BDC69" w14:textId="77777777">
      <w:pPr>
        <w:spacing w:line="240" w:lineRule="auto"/>
      </w:pPr>
      <w:r w:rsidRPr="00990D3B">
        <w:br w:type="page"/>
      </w:r>
    </w:p>
    <w:p w:rsidR="00AD7FD8" w:rsidRPr="00990D3B" w:rsidP="00885ED3" w14:paraId="70353730" w14:textId="6B667ED0">
      <w:pPr>
        <w:pStyle w:val="ParagraphContinued"/>
        <w:jc w:val="center"/>
      </w:pPr>
      <w:r w:rsidRPr="00990D3B">
        <w:t>Worksheets For Protocol 4: Network Adequacy Validation Tools</w:t>
      </w:r>
      <w:bookmarkEnd w:id="505"/>
      <w:bookmarkEnd w:id="506"/>
    </w:p>
    <w:p w:rsidR="00AD7FD8" w:rsidRPr="00990D3B" w:rsidP="00BD1FC3" w14:paraId="449330E9" w14:textId="77777777">
      <w:pPr>
        <w:pStyle w:val="EQRNormalSSWORKSHEET"/>
        <w:spacing w:before="120" w:after="120"/>
      </w:pPr>
      <w:r w:rsidRPr="00990D3B">
        <w:rPr>
          <w:b/>
          <w:bCs/>
        </w:rPr>
        <w:t>Instructions.</w:t>
      </w:r>
      <w:r w:rsidRPr="00990D3B">
        <w:t xml:space="preserve"> Use these or similar worksheets to identify the network adequacy indicators to be validated, document and describe the data sources used for validation, assess the underlying data structures and considerations, validate network adequacy data elements, and compare the network adequacy findings to state network adequacy standards. This tool includes the following worksheets cross-walked to the applicable activity and step. Examples are provided for the first four worksheets for illustrative purposes.</w:t>
      </w:r>
    </w:p>
    <w:tbl>
      <w:tblPr>
        <w:tblStyle w:val="TableGrid"/>
        <w:tblW w:w="9355" w:type="dxa"/>
        <w:tblLook w:val="04A0"/>
      </w:tblPr>
      <w:tblGrid>
        <w:gridCol w:w="4225"/>
        <w:gridCol w:w="5130"/>
      </w:tblGrid>
      <w:tr w14:paraId="5F17165C" w14:textId="77777777" w:rsidTr="00F73239">
        <w:tblPrEx>
          <w:tblW w:w="9355" w:type="dxa"/>
          <w:tblLook w:val="04A0"/>
        </w:tblPrEx>
        <w:tc>
          <w:tcPr>
            <w:tcW w:w="4225" w:type="dxa"/>
          </w:tcPr>
          <w:p w:rsidR="00AD7FD8" w:rsidRPr="00990D3B" w:rsidP="00BD1FC3" w14:paraId="5DC839E0" w14:textId="77777777">
            <w:pPr>
              <w:pStyle w:val="EQRTableHeaderLeft"/>
              <w:rPr>
                <w:color w:val="000000" w:themeColor="text1"/>
              </w:rPr>
            </w:pPr>
            <w:r w:rsidRPr="00990D3B">
              <w:rPr>
                <w:color w:val="000000" w:themeColor="text1"/>
              </w:rPr>
              <w:t>Worksheet name</w:t>
            </w:r>
          </w:p>
        </w:tc>
        <w:tc>
          <w:tcPr>
            <w:tcW w:w="5130" w:type="dxa"/>
          </w:tcPr>
          <w:p w:rsidR="00AD7FD8" w:rsidRPr="00990D3B" w:rsidP="00BD1FC3" w14:paraId="65614168" w14:textId="77777777">
            <w:pPr>
              <w:pStyle w:val="EQRTableHeaderCenter"/>
              <w:rPr>
                <w:color w:val="000000" w:themeColor="text1"/>
              </w:rPr>
            </w:pPr>
            <w:r w:rsidRPr="00990D3B">
              <w:rPr>
                <w:color w:val="000000" w:themeColor="text1"/>
              </w:rPr>
              <w:t>Protocol activity and step</w:t>
            </w:r>
          </w:p>
        </w:tc>
      </w:tr>
      <w:bookmarkStart w:id="507" w:name="_Hlk60664709"/>
      <w:tr w14:paraId="3B4A6D11" w14:textId="77777777" w:rsidTr="00F73239">
        <w:tblPrEx>
          <w:tblW w:w="9355" w:type="dxa"/>
          <w:tblLook w:val="04A0"/>
        </w:tblPrEx>
        <w:tc>
          <w:tcPr>
            <w:tcW w:w="4225" w:type="dxa"/>
          </w:tcPr>
          <w:p w:rsidR="00AD7FD8" w:rsidRPr="00990D3B" w:rsidP="00BD1FC3" w14:paraId="13C1B0A0" w14:textId="758FBDF8">
            <w:pPr>
              <w:pStyle w:val="EQRTableText"/>
            </w:pPr>
            <w:hyperlink w:anchor="WS41" w:tooltip="Worksheet 4.1. State Network Adequacy Standards to be Validated" w:history="1">
              <w:r w:rsidRPr="00990D3B">
                <w:rPr>
                  <w:rStyle w:val="Hyperlink"/>
                </w:rPr>
                <w:t xml:space="preserve">Worksheet 4.1. </w:t>
              </w:r>
              <w:bookmarkEnd w:id="507"/>
              <w:r w:rsidRPr="00990D3B">
                <w:rPr>
                  <w:rStyle w:val="Hyperlink"/>
                </w:rPr>
                <w:t>State Network Adequacy Standards to be Validated</w:t>
              </w:r>
            </w:hyperlink>
          </w:p>
        </w:tc>
        <w:tc>
          <w:tcPr>
            <w:tcW w:w="5130" w:type="dxa"/>
          </w:tcPr>
          <w:p w:rsidR="00AD7FD8" w:rsidRPr="00990D3B" w:rsidP="00BD1FC3" w14:paraId="08A19E81" w14:textId="151B9B35">
            <w:pPr>
              <w:pStyle w:val="EQRTableText"/>
            </w:pPr>
            <w:hyperlink w:anchor="P4Act1Step2" w:tooltip="Activity 1. Step 2. Obtain Needed Information from the State" w:history="1">
              <w:r w:rsidRPr="00990D3B">
                <w:rPr>
                  <w:rStyle w:val="Hyperlink"/>
                </w:rPr>
                <w:t>Activity 1. Step 2. Obtain Needed Information from the State</w:t>
              </w:r>
            </w:hyperlink>
          </w:p>
        </w:tc>
      </w:tr>
      <w:bookmarkStart w:id="508" w:name="_Hlk62649718"/>
      <w:tr w14:paraId="727907D9" w14:textId="77777777" w:rsidTr="00F73239">
        <w:tblPrEx>
          <w:tblW w:w="9355" w:type="dxa"/>
          <w:tblLook w:val="04A0"/>
        </w:tblPrEx>
        <w:tc>
          <w:tcPr>
            <w:tcW w:w="4225" w:type="dxa"/>
          </w:tcPr>
          <w:p w:rsidR="00AD7FD8" w:rsidRPr="00990D3B" w:rsidP="00BD1FC3" w14:paraId="3146F37A" w14:textId="294BAEB9">
            <w:pPr>
              <w:pStyle w:val="EQRTableText"/>
            </w:pPr>
            <w:hyperlink w:anchor="WS42" w:tooltip="Worksheet 4.2. Network Adequacy Indicators to be Validated" w:history="1">
              <w:r w:rsidRPr="00990D3B">
                <w:rPr>
                  <w:rStyle w:val="Hyperlink"/>
                </w:rPr>
                <w:t xml:space="preserve">Worksheet 4.2. </w:t>
              </w:r>
              <w:bookmarkEnd w:id="508"/>
              <w:r w:rsidRPr="00990D3B">
                <w:rPr>
                  <w:rStyle w:val="Hyperlink"/>
                </w:rPr>
                <w:t>Network Adequacy Indicators to be Validated</w:t>
              </w:r>
            </w:hyperlink>
          </w:p>
        </w:tc>
        <w:tc>
          <w:tcPr>
            <w:tcW w:w="5130" w:type="dxa"/>
          </w:tcPr>
          <w:p w:rsidR="00AD7FD8" w:rsidRPr="00990D3B" w:rsidP="00BD1FC3" w14:paraId="09F7620B" w14:textId="07E0625B">
            <w:pPr>
              <w:pStyle w:val="EQRTableText"/>
            </w:pPr>
            <w:hyperlink w:anchor="P4Act1Step2" w:tooltip="Activity 1. Step 2. Identify and Define Network Adequacy Indicators for Validation" w:history="1">
              <w:r w:rsidRPr="00990D3B">
                <w:rPr>
                  <w:rStyle w:val="Hyperlink"/>
                </w:rPr>
                <w:t>Activity 1. Step 2. Identify and Define Network Adequacy Indicators for Validation</w:t>
              </w:r>
            </w:hyperlink>
          </w:p>
        </w:tc>
      </w:tr>
      <w:tr w14:paraId="6A967BDB" w14:textId="77777777" w:rsidTr="00F73239">
        <w:tblPrEx>
          <w:tblW w:w="9355" w:type="dxa"/>
          <w:tblLook w:val="04A0"/>
        </w:tblPrEx>
        <w:tc>
          <w:tcPr>
            <w:tcW w:w="4225" w:type="dxa"/>
          </w:tcPr>
          <w:p w:rsidR="00AD7FD8" w:rsidRPr="00990D3B" w:rsidP="00BD1FC3" w14:paraId="282F1774" w14:textId="5802A554">
            <w:pPr>
              <w:pStyle w:val="EQRTableText"/>
            </w:pPr>
            <w:hyperlink w:anchor="WS43" w:tooltip="Worksheet 4.3 Data Sources for Network Adequacy Validation" w:history="1">
              <w:r w:rsidRPr="00990D3B">
                <w:rPr>
                  <w:rStyle w:val="Hyperlink"/>
                </w:rPr>
                <w:t>Worksheet 4.3 Data Sources for Network Adequacy Validation</w:t>
              </w:r>
            </w:hyperlink>
          </w:p>
        </w:tc>
        <w:tc>
          <w:tcPr>
            <w:tcW w:w="5130" w:type="dxa"/>
          </w:tcPr>
          <w:p w:rsidR="00AD7FD8" w:rsidRPr="00990D3B" w:rsidP="00BD1FC3" w14:paraId="31A38E4A" w14:textId="6AA7613B">
            <w:pPr>
              <w:pStyle w:val="EQRTableText"/>
            </w:pPr>
            <w:hyperlink w:anchor="P4Act2Step1" w:tooltip="Activity 2. Step 1. Identify Data Sources" w:history="1">
              <w:r w:rsidRPr="00990D3B">
                <w:rPr>
                  <w:rStyle w:val="Hyperlink"/>
                </w:rPr>
                <w:t>Activity 2. Step 1. Identify Data Sources</w:t>
              </w:r>
            </w:hyperlink>
          </w:p>
        </w:tc>
      </w:tr>
      <w:tr w14:paraId="5C9FF7D0" w14:textId="77777777" w:rsidTr="00F73239">
        <w:tblPrEx>
          <w:tblW w:w="9355" w:type="dxa"/>
          <w:tblLook w:val="04A0"/>
        </w:tblPrEx>
        <w:tc>
          <w:tcPr>
            <w:tcW w:w="4225" w:type="dxa"/>
          </w:tcPr>
          <w:p w:rsidR="00AD7FD8" w:rsidRPr="00990D3B" w:rsidP="00BD1FC3" w14:paraId="2A1A6BA2" w14:textId="1A3ACBC9">
            <w:pPr>
              <w:pStyle w:val="EQRTableText"/>
            </w:pPr>
            <w:hyperlink w:anchor="WS44" w:tooltip="Worksheet 4.4. Network Adequacy Data Concerns Identified in Review of ISCA" w:history="1">
              <w:r w:rsidRPr="00990D3B">
                <w:rPr>
                  <w:rStyle w:val="Hyperlink"/>
                </w:rPr>
                <w:t>Worksheet 4.4. Network Adequacy Data Concerns Identified in Review of ISCA</w:t>
              </w:r>
            </w:hyperlink>
          </w:p>
        </w:tc>
        <w:tc>
          <w:tcPr>
            <w:tcW w:w="5130" w:type="dxa"/>
          </w:tcPr>
          <w:p w:rsidR="00AD7FD8" w:rsidRPr="00990D3B" w:rsidP="00BD1FC3" w14:paraId="529FEEFB" w14:textId="354C5FE5">
            <w:pPr>
              <w:pStyle w:val="EQRTableText"/>
            </w:pPr>
            <w:hyperlink w:anchor="P4Act3Step1" w:tooltip="Activity 3. Step 1. Review the MCP’s ISCA." w:history="1">
              <w:r w:rsidRPr="00990D3B">
                <w:rPr>
                  <w:rStyle w:val="Hyperlink"/>
                </w:rPr>
                <w:t xml:space="preserve">Activity 3. Step 1. </w:t>
              </w:r>
              <w:r w:rsidRPr="00990D3B">
                <w:rPr>
                  <w:rStyle w:val="Hyperlink"/>
                </w:rPr>
                <w:t>Review</w:t>
              </w:r>
              <w:r w:rsidRPr="00990D3B">
                <w:rPr>
                  <w:rStyle w:val="Hyperlink"/>
                </w:rPr>
                <w:t xml:space="preserve"> the MCP’s ISCA</w:t>
              </w:r>
            </w:hyperlink>
          </w:p>
        </w:tc>
      </w:tr>
      <w:tr w14:paraId="1558A9FE" w14:textId="77777777" w:rsidTr="00F73239">
        <w:tblPrEx>
          <w:tblW w:w="9355" w:type="dxa"/>
          <w:tblLook w:val="04A0"/>
        </w:tblPrEx>
        <w:tc>
          <w:tcPr>
            <w:tcW w:w="4225" w:type="dxa"/>
          </w:tcPr>
          <w:p w:rsidR="00AD7FD8" w:rsidRPr="00990D3B" w:rsidP="00BD1FC3" w14:paraId="7FF2BE3A" w14:textId="0EBBDA74">
            <w:pPr>
              <w:pStyle w:val="EQRTableText"/>
            </w:pPr>
            <w:hyperlink w:anchor="WS45" w:tooltip="Worksheet 4.5. Assessment of Network Adequacy Data Sources not Reviewed in the ISCA" w:history="1">
              <w:r w:rsidRPr="00990D3B">
                <w:rPr>
                  <w:rStyle w:val="Hyperlink"/>
                </w:rPr>
                <w:t xml:space="preserve">Worksheet 4.5. Assessment of Network Adequacy Data Sources </w:t>
              </w:r>
              <w:r w:rsidRPr="00990D3B">
                <w:rPr>
                  <w:rStyle w:val="Hyperlink"/>
                </w:rPr>
                <w:t>not</w:t>
              </w:r>
              <w:r w:rsidRPr="00990D3B">
                <w:rPr>
                  <w:rStyle w:val="Hyperlink"/>
                </w:rPr>
                <w:t xml:space="preserve"> Reviewed in the ISCA</w:t>
              </w:r>
            </w:hyperlink>
          </w:p>
        </w:tc>
        <w:tc>
          <w:tcPr>
            <w:tcW w:w="5130" w:type="dxa"/>
          </w:tcPr>
          <w:p w:rsidR="00AD7FD8" w:rsidRPr="00990D3B" w:rsidP="00BD1FC3" w14:paraId="1E78A4D8" w14:textId="0DA73CC3">
            <w:pPr>
              <w:pStyle w:val="EQRTableText"/>
            </w:pPr>
            <w:hyperlink w:anchor="P4Act3Step2" w:tooltip="Activity 3. Step 2. Assess Processes for Collecting Network Adequacy Data Not Addressed in the ISCA" w:history="1">
              <w:r w:rsidRPr="00990D3B">
                <w:rPr>
                  <w:rStyle w:val="Hyperlink"/>
                </w:rPr>
                <w:t>Activity 3. Step 2. Assess Processes for Collecting Network Adequacy Data Not Addressed in the ISCA</w:t>
              </w:r>
            </w:hyperlink>
          </w:p>
        </w:tc>
      </w:tr>
      <w:tr w14:paraId="3C596AFE" w14:textId="77777777" w:rsidTr="00F73239">
        <w:tblPrEx>
          <w:tblW w:w="9355" w:type="dxa"/>
          <w:tblLook w:val="04A0"/>
        </w:tblPrEx>
        <w:tc>
          <w:tcPr>
            <w:tcW w:w="4225" w:type="dxa"/>
          </w:tcPr>
          <w:p w:rsidR="00AD7FD8" w:rsidRPr="00990D3B" w:rsidP="00BD1FC3" w14:paraId="057E3F9B" w14:textId="3E156B87">
            <w:pPr>
              <w:pStyle w:val="EQRTableText"/>
            </w:pPr>
            <w:hyperlink w:anchor="WS46" w:tooltip="Worksheet 4.6. Assessment of MCP Network Adequacy Data, Methods, and Results" w:history="1">
              <w:r w:rsidRPr="00990D3B">
                <w:rPr>
                  <w:rStyle w:val="Hyperlink"/>
                </w:rPr>
                <w:t>Worksheet 4.6. Assessment of MCP Network Adequacy Data, Methods, and Results</w:t>
              </w:r>
            </w:hyperlink>
          </w:p>
        </w:tc>
        <w:tc>
          <w:tcPr>
            <w:tcW w:w="5130" w:type="dxa"/>
          </w:tcPr>
          <w:p w:rsidR="00AD7FD8" w:rsidRPr="00990D3B" w:rsidP="00BD1FC3" w14:paraId="575AD7FA" w14:textId="37A3496B">
            <w:pPr>
              <w:pStyle w:val="EQRTableText"/>
            </w:pPr>
            <w:hyperlink w:anchor="P4Act4Step1" w:tooltip="Activity 4. Step 1. Assess the Reliability and Validity of MCP Network Adequacy Data" w:history="1">
              <w:r w:rsidRPr="00990D3B">
                <w:rPr>
                  <w:rStyle w:val="Hyperlink"/>
                </w:rPr>
                <w:t>Activity 4. Step 1. Assess the Reliability and Validity of MCP Network Adequacy Data</w:t>
              </w:r>
            </w:hyperlink>
          </w:p>
          <w:p w:rsidR="00AD7FD8" w:rsidRPr="00990D3B" w:rsidP="00BD1FC3" w14:paraId="531C7446" w14:textId="08FB5C49">
            <w:pPr>
              <w:pStyle w:val="EQRTableText"/>
            </w:pPr>
            <w:hyperlink w:anchor="P4Act4Step2" w:tooltip="Activity 4. Step 2. Assess the Methods Used by the MCP to Assess Network Adequacy" w:history="1">
              <w:r w:rsidRPr="00990D3B">
                <w:rPr>
                  <w:rStyle w:val="Hyperlink"/>
                </w:rPr>
                <w:t>Activity 4. Step 2. Assess the Methods Used by the MCP to Assess Network Adequacy</w:t>
              </w:r>
            </w:hyperlink>
          </w:p>
          <w:p w:rsidR="00AD7FD8" w:rsidRPr="00990D3B" w:rsidP="00BD1FC3" w14:paraId="05A59533" w14:textId="42AC5050">
            <w:pPr>
              <w:pStyle w:val="EQRTableText"/>
            </w:pPr>
            <w:hyperlink w:anchor="P4Act4Step3" w:tooltip="Activity 4. Step 3. Validate Network Adequacy Results Submitted by the MCP" w:history="1">
              <w:r w:rsidRPr="00990D3B">
                <w:rPr>
                  <w:rStyle w:val="Hyperlink"/>
                </w:rPr>
                <w:t>Activity 4. Step 3. Validate Network Adequacy Results Submitted by the MCP</w:t>
              </w:r>
            </w:hyperlink>
          </w:p>
        </w:tc>
      </w:tr>
      <w:tr w14:paraId="4989CAB4" w14:textId="77777777" w:rsidTr="00F73239">
        <w:tblPrEx>
          <w:tblW w:w="9355" w:type="dxa"/>
          <w:tblLook w:val="04A0"/>
        </w:tblPrEx>
        <w:tc>
          <w:tcPr>
            <w:tcW w:w="4225" w:type="dxa"/>
          </w:tcPr>
          <w:p w:rsidR="00AD7FD8" w:rsidRPr="00990D3B" w:rsidP="00BD1FC3" w14:paraId="4D6A6538" w14:textId="133237B2">
            <w:pPr>
              <w:pStyle w:val="EQRTableText"/>
            </w:pPr>
            <w:hyperlink w:anchor="WS47" w:tooltip="Worksheet 4.7. Summary of Network Adequacy Validation findings" w:history="1">
              <w:r w:rsidRPr="00990D3B">
                <w:rPr>
                  <w:rStyle w:val="Hyperlink"/>
                </w:rPr>
                <w:t>Worksheet 4.7. Summary of Network Adequacy Validation findings</w:t>
              </w:r>
            </w:hyperlink>
          </w:p>
        </w:tc>
        <w:tc>
          <w:tcPr>
            <w:tcW w:w="5130" w:type="dxa"/>
          </w:tcPr>
          <w:p w:rsidR="00AD7FD8" w:rsidRPr="00990D3B" w:rsidP="00BD1FC3" w14:paraId="05B9F21C" w14:textId="53A84786">
            <w:pPr>
              <w:pStyle w:val="EQRTableText"/>
            </w:pPr>
            <w:hyperlink w:anchor="P4Act4Step4" w:tooltip="Activity 4. Step 4. Summarize Network Adequacy Validation Findings" w:history="1">
              <w:r w:rsidRPr="00990D3B">
                <w:rPr>
                  <w:rStyle w:val="Hyperlink"/>
                </w:rPr>
                <w:t>Activity 4. Step 4. Summarize Network Adequacy Validation Findings</w:t>
              </w:r>
            </w:hyperlink>
          </w:p>
        </w:tc>
      </w:tr>
      <w:tr w14:paraId="043D4C77" w14:textId="77777777" w:rsidTr="00F73239">
        <w:tblPrEx>
          <w:tblW w:w="9355" w:type="dxa"/>
          <w:tblLook w:val="04A0"/>
        </w:tblPrEx>
        <w:tc>
          <w:tcPr>
            <w:tcW w:w="4225" w:type="dxa"/>
          </w:tcPr>
          <w:p w:rsidR="00AD7FD8" w:rsidRPr="00990D3B" w:rsidP="00BD1FC3" w14:paraId="46322D83" w14:textId="76E1DB2C">
            <w:pPr>
              <w:pStyle w:val="EQRTableText"/>
            </w:pPr>
            <w:hyperlink w:anchor="WS48" w:tooltip="Worksheet 4.8. Recommendations to Improve MCP Assessment of Network Adequacy" w:history="1">
              <w:r w:rsidRPr="00990D3B">
                <w:rPr>
                  <w:rStyle w:val="Hyperlink"/>
                </w:rPr>
                <w:t>Worksheet 4.8. Recommendations to Improve MCP Assessment of Network Adequacy</w:t>
              </w:r>
            </w:hyperlink>
          </w:p>
        </w:tc>
        <w:tc>
          <w:tcPr>
            <w:tcW w:w="5130" w:type="dxa"/>
          </w:tcPr>
          <w:p w:rsidR="00AD7FD8" w:rsidRPr="00990D3B" w:rsidP="00BD1FC3" w14:paraId="0E08D76E" w14:textId="791EC31B">
            <w:pPr>
              <w:pStyle w:val="EQRTableText"/>
            </w:pPr>
            <w:hyperlink w:anchor="P4Act6" w:tooltip="Activity 6. Submit Findings to the State" w:history="1">
              <w:r w:rsidRPr="00990D3B">
                <w:rPr>
                  <w:rStyle w:val="Hyperlink"/>
                </w:rPr>
                <w:t>Activity 6. Submit Findings to the State</w:t>
              </w:r>
            </w:hyperlink>
          </w:p>
        </w:tc>
      </w:tr>
    </w:tbl>
    <w:p w:rsidR="00AD7FD8" w:rsidRPr="00990D3B" w:rsidP="00BD1FC3" w14:paraId="772E2815" w14:textId="42739FC4">
      <w:pPr>
        <w:pStyle w:val="EQRTableFootnoteCaption"/>
        <w:spacing w:before="40"/>
        <w:rPr>
          <w:rFonts w:eastAsia="Calibri"/>
          <w:sz w:val="22"/>
          <w:szCs w:val="23"/>
        </w:rPr>
      </w:pPr>
      <w:r w:rsidRPr="00990D3B">
        <w:br w:type="page"/>
      </w:r>
    </w:p>
    <w:p w:rsidR="00AD7FD8" w:rsidRPr="00990D3B" w:rsidP="00BD1FC3" w14:paraId="40C4A06C" w14:textId="77777777">
      <w:pPr>
        <w:pStyle w:val="EQRMarkforExhibitWORKSHEET"/>
      </w:pPr>
      <w:bookmarkStart w:id="509" w:name="WS41"/>
      <w:bookmarkStart w:id="510" w:name="_Toc125619163"/>
      <w:bookmarkStart w:id="511" w:name="_Toc201751521"/>
      <w:bookmarkEnd w:id="484"/>
      <w:bookmarkEnd w:id="509"/>
      <w:r w:rsidRPr="00990D3B">
        <w:t>Worksheet 4.1. State Network Adequacy Standards to be Validated</w:t>
      </w:r>
      <w:bookmarkEnd w:id="510"/>
      <w:bookmarkEnd w:id="511"/>
      <w:r w:rsidRPr="00990D3B">
        <w:t xml:space="preserve"> </w:t>
      </w:r>
    </w:p>
    <w:p w:rsidR="00F42B4B" w:rsidRPr="00990D3B" w:rsidP="00BD1FC3" w14:paraId="719B4034" w14:textId="11425B40">
      <w:pPr>
        <w:pStyle w:val="EQRNormalSSWORKSHEET"/>
      </w:pPr>
      <w:r w:rsidRPr="00990D3B">
        <w:rPr>
          <w:b/>
          <w:bCs/>
        </w:rPr>
        <w:t>Instructions</w:t>
      </w:r>
      <w:r w:rsidRPr="00990D3B" w:rsidR="00CA7CA7">
        <w:rPr>
          <w:b/>
          <w:bCs/>
        </w:rPr>
        <w:t xml:space="preserve">. </w:t>
      </w:r>
      <w:r w:rsidRPr="00990D3B">
        <w:t xml:space="preserve">In the table below, list the quantitative network adequacy standards to be validated. If covered under the state’s managed care contracts, the validation standards should include adult and pediatric primary care, OB/GYN, adult and pediatric behavioral health, adult and pediatric specialist, hospital, pharmacy, pediatric dental, and LTSS providers. The validation standards should also include additional provider types (e.g., medication-assisted treatment providers for opioid use disorder), or specialists, as defined by the state, that follow the state’s network adequacy standards. </w:t>
      </w:r>
      <w:r w:rsidRPr="00990D3B">
        <w:t>A</w:t>
      </w:r>
      <w:r w:rsidRPr="00990D3B">
        <w:t xml:space="preserve">dd rows as necessary to capture all </w:t>
      </w:r>
      <w:r w:rsidRPr="00990D3B">
        <w:t xml:space="preserve">the </w:t>
      </w:r>
      <w:r w:rsidRPr="00990D3B">
        <w:t>state</w:t>
      </w:r>
      <w:r w:rsidRPr="00990D3B">
        <w:t xml:space="preserve">’s </w:t>
      </w:r>
      <w:r w:rsidRPr="00990D3B">
        <w:t xml:space="preserve">network adequacy standards </w:t>
      </w:r>
      <w:r w:rsidRPr="00990D3B">
        <w:t>to</w:t>
      </w:r>
      <w:r w:rsidRPr="00990D3B">
        <w:t xml:space="preserve"> be validated. </w:t>
      </w:r>
    </w:p>
    <w:p w:rsidR="00AD7FD8" w:rsidRPr="00990D3B" w:rsidP="00BD1FC3" w14:paraId="524B18BD" w14:textId="77FE4B4A">
      <w:pPr>
        <w:pStyle w:val="EQRNormalSSWORKSHEET"/>
      </w:pPr>
      <w:r w:rsidRPr="00990D3B">
        <w:t>Definitions for this activity include:</w:t>
      </w:r>
    </w:p>
    <w:p w:rsidR="00AD7FD8" w:rsidRPr="00990D3B" w:rsidP="001945BB" w14:paraId="2600EBC5" w14:textId="63076419">
      <w:pPr>
        <w:pStyle w:val="EQRNormalSSWSbullet"/>
      </w:pPr>
      <w:bookmarkStart w:id="512" w:name="_Hlk64380134"/>
      <w:r w:rsidRPr="00990D3B">
        <w:rPr>
          <w:b/>
          <w:bCs/>
        </w:rPr>
        <w:t>Network adequacy standard</w:t>
      </w:r>
      <w:r w:rsidRPr="00990D3B" w:rsidR="00CA7CA7">
        <w:rPr>
          <w:b/>
          <w:bCs/>
        </w:rPr>
        <w:t xml:space="preserve">. </w:t>
      </w:r>
      <w:r w:rsidRPr="00990D3B">
        <w:t xml:space="preserve">A quantitative parameter that states </w:t>
      </w:r>
      <w:r w:rsidRPr="00990D3B">
        <w:t>establish</w:t>
      </w:r>
      <w:r w:rsidRPr="00990D3B">
        <w:t xml:space="preserve"> to set expectations for contracted </w:t>
      </w:r>
      <w:r w:rsidRPr="00990D3B" w:rsidR="005F436F">
        <w:t>MCPs’</w:t>
      </w:r>
      <w:r w:rsidRPr="00990D3B">
        <w:t xml:space="preserve"> provider networks. For example, a state may set a network adequacy standard that all enrollees have access to a </w:t>
      </w:r>
      <w:r w:rsidRPr="00990D3B" w:rsidR="00021A02">
        <w:t>P</w:t>
      </w:r>
      <w:r w:rsidRPr="00990D3B">
        <w:t>CP within 30 miles or 30 minutes of their home.</w:t>
      </w:r>
    </w:p>
    <w:bookmarkEnd w:id="512"/>
    <w:p w:rsidR="00AD7FD8" w:rsidRPr="00990D3B" w:rsidP="001945BB" w14:paraId="0C61A7A1" w14:textId="207896B7">
      <w:pPr>
        <w:pStyle w:val="EQRNormalSSWSbullet"/>
      </w:pPr>
      <w:r w:rsidRPr="00990D3B">
        <w:rPr>
          <w:b/>
          <w:bCs/>
        </w:rPr>
        <w:t>Applicable provider types</w:t>
      </w:r>
      <w:r w:rsidRPr="00990D3B" w:rsidR="00CA7CA7">
        <w:t>.</w:t>
      </w:r>
      <w:r w:rsidRPr="00990D3B" w:rsidR="002F11EC">
        <w:t xml:space="preserve"> </w:t>
      </w:r>
      <w:r w:rsidRPr="00990D3B">
        <w:t>All provider types to which the network adequacy standard applies.</w:t>
      </w:r>
    </w:p>
    <w:p w:rsidR="00AD7FD8" w:rsidRPr="00990D3B" w:rsidP="001945BB" w14:paraId="196894C5" w14:textId="4E8011B2">
      <w:pPr>
        <w:pStyle w:val="EQRNormalSSWSbullet"/>
      </w:pPr>
      <w:r w:rsidRPr="00990D3B">
        <w:rPr>
          <w:b/>
          <w:bCs/>
        </w:rPr>
        <w:t>Applicable plan types</w:t>
      </w:r>
      <w:r w:rsidRPr="00990D3B" w:rsidR="00CA7CA7">
        <w:t xml:space="preserve">. </w:t>
      </w:r>
      <w:r w:rsidRPr="00990D3B">
        <w:t xml:space="preserve">All plan types (such as Medicaid, CHIP, LTSS, and dental </w:t>
      </w:r>
      <w:r w:rsidRPr="00990D3B" w:rsidR="00C73417">
        <w:t>MCPs</w:t>
      </w:r>
      <w:r w:rsidRPr="00990D3B">
        <w:t>) to which the network adequacy standard applies.</w:t>
      </w:r>
    </w:p>
    <w:p w:rsidR="00AD7FD8" w:rsidRPr="00990D3B" w:rsidP="001945BB" w14:paraId="5C2015C4" w14:textId="3059DFA2">
      <w:pPr>
        <w:pStyle w:val="EQRNormalSSWSbullet"/>
      </w:pPr>
      <w:r w:rsidRPr="00990D3B">
        <w:rPr>
          <w:b/>
          <w:bCs/>
        </w:rPr>
        <w:t>Applicable regions</w:t>
      </w:r>
      <w:r w:rsidRPr="00990D3B" w:rsidR="00CA7CA7">
        <w:t xml:space="preserve">. </w:t>
      </w:r>
      <w:r w:rsidRPr="00990D3B">
        <w:t xml:space="preserve">All regions to which the network adequacy standard applies. Typically, regions are categorized as urban, rural and frontier. In </w:t>
      </w:r>
      <w:hyperlink w:anchor="P4Act1Step1" w:tooltip="Activity 1, Step 1" w:history="1">
        <w:r w:rsidRPr="00990D3B">
          <w:rPr>
            <w:rStyle w:val="Hyperlink"/>
          </w:rPr>
          <w:t>Activity 1, Step 1</w:t>
        </w:r>
      </w:hyperlink>
      <w:r w:rsidRPr="00990D3B">
        <w:t xml:space="preserve">, the state and EQRO should clarify how regions are defined. When standards differ by region (for example, if the state’s distance standard between </w:t>
      </w:r>
      <w:r w:rsidRPr="00990D3B">
        <w:t>a</w:t>
      </w:r>
      <w:r w:rsidRPr="00990D3B">
        <w:t xml:space="preserve"> </w:t>
      </w:r>
      <w:r w:rsidRPr="00990D3B" w:rsidR="000468A3">
        <w:t>enrollee</w:t>
      </w:r>
      <w:r w:rsidRPr="00990D3B">
        <w:t xml:space="preserve"> home and primary care provider is 30 miles in urban areas and 50 miles in rural areas), they should be listed in separate rows in the table below.</w:t>
      </w:r>
    </w:p>
    <w:p w:rsidR="00AD7FD8" w:rsidRPr="00990D3B" w:rsidP="001945BB" w14:paraId="55EFF5FD" w14:textId="7E142B3D">
      <w:pPr>
        <w:pStyle w:val="EQRNormalSSWSbullet"/>
      </w:pPr>
      <w:r w:rsidRPr="00990D3B">
        <w:rPr>
          <w:b/>
          <w:bCs/>
        </w:rPr>
        <w:t>Data and documentation submitted by MCPs</w:t>
      </w:r>
      <w:r w:rsidRPr="00990D3B" w:rsidR="00CA7CA7">
        <w:t xml:space="preserve">. </w:t>
      </w:r>
      <w:r w:rsidRPr="00990D3B">
        <w:t xml:space="preserve">All data and documentation MCPs must </w:t>
      </w:r>
      <w:r w:rsidRPr="00990D3B">
        <w:t>submit</w:t>
      </w:r>
      <w:r w:rsidRPr="00990D3B">
        <w:t xml:space="preserve"> to demonstrate compliance with the network adequacy standard. In parentheses, please note the frequency with which this data and documentation is submitted (e.g., annually, quarterly, monthly). </w:t>
      </w:r>
    </w:p>
    <w:p w:rsidR="002C6362" w:rsidRPr="00990D3B" w:rsidP="001945BB" w14:paraId="60B95CE5" w14:textId="32DE31AF">
      <w:pPr>
        <w:pStyle w:val="EQRNormalSSWORKSHEET"/>
      </w:pPr>
      <w:r w:rsidRPr="00990D3B">
        <w:t>Acronyms: CHIP = Children’s Health Insurance Program; EQR = External Quality Review; EQRO = External Quality Review Organization; LTSS = Long-Term Services and Supports; MCP= Managed Care Plan;</w:t>
      </w:r>
      <w:r w:rsidRPr="00990D3B" w:rsidR="00021A02">
        <w:t xml:space="preserve"> OB/GYN = Obstetrics and Gynecology;</w:t>
      </w:r>
      <w:r w:rsidRPr="00990D3B">
        <w:t xml:space="preserve"> </w:t>
      </w:r>
      <w:r w:rsidRPr="00990D3B" w:rsidR="00021A02">
        <w:t>PCP= Primary Care Provider</w:t>
      </w:r>
      <w:r w:rsidRPr="00990D3B">
        <w:t>.</w:t>
      </w:r>
    </w:p>
    <w:tbl>
      <w:tblPr>
        <w:tblStyle w:val="TableGrid"/>
        <w:tblW w:w="5000" w:type="pct"/>
        <w:tblLook w:val="04A0"/>
      </w:tblPr>
      <w:tblGrid>
        <w:gridCol w:w="1702"/>
        <w:gridCol w:w="1923"/>
        <w:gridCol w:w="1056"/>
        <w:gridCol w:w="1027"/>
        <w:gridCol w:w="1821"/>
        <w:gridCol w:w="1821"/>
      </w:tblGrid>
      <w:tr w14:paraId="473D2719" w14:textId="77777777" w:rsidTr="006A3B88">
        <w:tblPrEx>
          <w:tblW w:w="5000" w:type="pct"/>
          <w:tblLook w:val="04A0"/>
        </w:tblPrEx>
        <w:tc>
          <w:tcPr>
            <w:tcW w:w="925" w:type="pct"/>
            <w:vAlign w:val="bottom"/>
          </w:tcPr>
          <w:p w:rsidR="006A3B88" w:rsidRPr="00990D3B" w:rsidP="006A3B88" w14:paraId="71BCD96D" w14:textId="1AC78DFD">
            <w:pPr>
              <w:pStyle w:val="EQRTableHeaderLeft"/>
              <w:jc w:val="center"/>
              <w:rPr>
                <w:color w:val="000000" w:themeColor="text1"/>
              </w:rPr>
            </w:pPr>
            <w:r w:rsidRPr="00990D3B">
              <w:rPr>
                <w:color w:val="000000" w:themeColor="text1"/>
              </w:rPr>
              <w:t>Network adequacy standard</w:t>
            </w:r>
          </w:p>
        </w:tc>
        <w:tc>
          <w:tcPr>
            <w:tcW w:w="1043" w:type="pct"/>
            <w:vAlign w:val="bottom"/>
          </w:tcPr>
          <w:p w:rsidR="006A3B88" w:rsidRPr="00990D3B" w:rsidP="006A3B88" w14:paraId="74EE27BA" w14:textId="31162EE3">
            <w:pPr>
              <w:pStyle w:val="EQRTableHeaderCenter"/>
              <w:rPr>
                <w:color w:val="000000" w:themeColor="text1"/>
              </w:rPr>
            </w:pPr>
            <w:r w:rsidRPr="00990D3B">
              <w:rPr>
                <w:color w:val="000000" w:themeColor="text1"/>
              </w:rPr>
              <w:t>Applicable provider types</w:t>
            </w:r>
          </w:p>
        </w:tc>
        <w:tc>
          <w:tcPr>
            <w:tcW w:w="579" w:type="pct"/>
            <w:vAlign w:val="bottom"/>
          </w:tcPr>
          <w:p w:rsidR="006A3B88" w:rsidRPr="00990D3B" w:rsidP="006A3B88" w14:paraId="6F76F198" w14:textId="14F2DEAD">
            <w:pPr>
              <w:pStyle w:val="EQRTableHeaderCenter"/>
              <w:rPr>
                <w:color w:val="000000" w:themeColor="text1"/>
              </w:rPr>
            </w:pPr>
            <w:r w:rsidRPr="00990D3B">
              <w:rPr>
                <w:color w:val="000000" w:themeColor="text1"/>
              </w:rPr>
              <w:t>Applicable MCP types</w:t>
            </w:r>
          </w:p>
        </w:tc>
        <w:tc>
          <w:tcPr>
            <w:tcW w:w="477" w:type="pct"/>
            <w:vAlign w:val="bottom"/>
          </w:tcPr>
          <w:p w:rsidR="006A3B88" w:rsidRPr="00990D3B" w:rsidP="006A3B88" w14:paraId="411F4B21" w14:textId="744E93E9">
            <w:pPr>
              <w:pStyle w:val="EQRTableHeaderCenter"/>
              <w:rPr>
                <w:color w:val="000000" w:themeColor="text1"/>
              </w:rPr>
            </w:pPr>
            <w:r w:rsidRPr="00990D3B">
              <w:rPr>
                <w:color w:val="000000" w:themeColor="text1"/>
              </w:rPr>
              <w:t>Applicable regions</w:t>
            </w:r>
          </w:p>
        </w:tc>
        <w:tc>
          <w:tcPr>
            <w:tcW w:w="988" w:type="pct"/>
            <w:vAlign w:val="bottom"/>
          </w:tcPr>
          <w:p w:rsidR="006A3B88" w:rsidRPr="00990D3B" w:rsidP="006A3B88" w14:paraId="1713EDAC" w14:textId="22C5E449">
            <w:pPr>
              <w:pStyle w:val="EQRTableHeaderCenter"/>
              <w:rPr>
                <w:color w:val="000000" w:themeColor="text1"/>
              </w:rPr>
            </w:pPr>
            <w:r w:rsidRPr="00990D3B">
              <w:rPr>
                <w:color w:val="000000" w:themeColor="text1"/>
              </w:rPr>
              <w:t>Performance threshold</w:t>
            </w:r>
          </w:p>
        </w:tc>
        <w:tc>
          <w:tcPr>
            <w:tcW w:w="988" w:type="pct"/>
            <w:vAlign w:val="bottom"/>
          </w:tcPr>
          <w:p w:rsidR="006A3B88" w:rsidRPr="00990D3B" w:rsidP="006A3B88" w14:paraId="68921504" w14:textId="0042A080">
            <w:pPr>
              <w:pStyle w:val="EQRTableHeaderCenter"/>
              <w:rPr>
                <w:color w:val="000000" w:themeColor="text1"/>
              </w:rPr>
            </w:pPr>
            <w:r w:rsidRPr="00990D3B">
              <w:rPr>
                <w:color w:val="000000" w:themeColor="text1"/>
              </w:rPr>
              <w:t>Data and documentation submitted by MCPs (frequency)</w:t>
            </w:r>
          </w:p>
        </w:tc>
      </w:tr>
      <w:tr w14:paraId="28A15C31" w14:textId="77777777" w:rsidTr="006A3B88">
        <w:tblPrEx>
          <w:tblW w:w="5000" w:type="pct"/>
          <w:tblLook w:val="04A0"/>
        </w:tblPrEx>
        <w:tc>
          <w:tcPr>
            <w:tcW w:w="925" w:type="pct"/>
          </w:tcPr>
          <w:p w:rsidR="006A3B88" w:rsidRPr="00990D3B" w:rsidP="00BD1FC3" w14:paraId="1011D276" w14:textId="79F4DE3D">
            <w:pPr>
              <w:pStyle w:val="EQRTableText"/>
              <w:rPr>
                <w:i/>
                <w:iCs/>
              </w:rPr>
            </w:pPr>
          </w:p>
        </w:tc>
        <w:tc>
          <w:tcPr>
            <w:tcW w:w="1043" w:type="pct"/>
          </w:tcPr>
          <w:p w:rsidR="006A3B88" w:rsidRPr="00990D3B" w:rsidP="00BD1FC3" w14:paraId="16C3AD52" w14:textId="652214EA">
            <w:pPr>
              <w:pStyle w:val="EQRTableText"/>
            </w:pPr>
          </w:p>
        </w:tc>
        <w:tc>
          <w:tcPr>
            <w:tcW w:w="579" w:type="pct"/>
          </w:tcPr>
          <w:p w:rsidR="006A3B88" w:rsidRPr="00990D3B" w:rsidP="00BD1FC3" w14:paraId="6BDCDBF5" w14:textId="678941A7">
            <w:pPr>
              <w:pStyle w:val="EQRTableText"/>
              <w:rPr>
                <w:i/>
                <w:iCs/>
              </w:rPr>
            </w:pPr>
          </w:p>
        </w:tc>
        <w:tc>
          <w:tcPr>
            <w:tcW w:w="477" w:type="pct"/>
          </w:tcPr>
          <w:p w:rsidR="006A3B88" w:rsidRPr="00990D3B" w:rsidP="00BD1FC3" w14:paraId="12EF368D" w14:textId="17A88C0C">
            <w:pPr>
              <w:pStyle w:val="EQRTableText"/>
              <w:rPr>
                <w:rFonts w:asciiTheme="majorHAnsi" w:hAnsiTheme="majorHAnsi" w:cstheme="majorHAnsi"/>
                <w:i/>
                <w:iCs/>
                <w:szCs w:val="18"/>
              </w:rPr>
            </w:pPr>
          </w:p>
        </w:tc>
        <w:tc>
          <w:tcPr>
            <w:tcW w:w="988" w:type="pct"/>
          </w:tcPr>
          <w:p w:rsidR="006A3B88" w:rsidRPr="00990D3B" w:rsidP="00BD1FC3" w14:paraId="58FBA229" w14:textId="77777777">
            <w:pPr>
              <w:pStyle w:val="EQRTableText"/>
              <w:rPr>
                <w:i/>
                <w:iCs/>
              </w:rPr>
            </w:pPr>
          </w:p>
        </w:tc>
        <w:tc>
          <w:tcPr>
            <w:tcW w:w="988" w:type="pct"/>
          </w:tcPr>
          <w:p w:rsidR="006A3B88" w:rsidRPr="00990D3B" w:rsidP="00BD1FC3" w14:paraId="3D9C1A15" w14:textId="7291A88A">
            <w:pPr>
              <w:pStyle w:val="EQRTableText"/>
              <w:rPr>
                <w:i/>
                <w:iCs/>
              </w:rPr>
            </w:pPr>
          </w:p>
        </w:tc>
      </w:tr>
      <w:tr w14:paraId="581B7119" w14:textId="77777777" w:rsidTr="006A3B88">
        <w:tblPrEx>
          <w:tblW w:w="5000" w:type="pct"/>
          <w:tblLook w:val="04A0"/>
        </w:tblPrEx>
        <w:tc>
          <w:tcPr>
            <w:tcW w:w="925" w:type="pct"/>
          </w:tcPr>
          <w:p w:rsidR="006A3B88" w:rsidRPr="00990D3B" w:rsidP="00BD1FC3" w14:paraId="515A7EFE" w14:textId="77777777">
            <w:pPr>
              <w:pStyle w:val="EQRTableText"/>
              <w:rPr>
                <w:i/>
                <w:iCs/>
              </w:rPr>
            </w:pPr>
          </w:p>
        </w:tc>
        <w:tc>
          <w:tcPr>
            <w:tcW w:w="1043" w:type="pct"/>
          </w:tcPr>
          <w:p w:rsidR="006A3B88" w:rsidRPr="00990D3B" w:rsidP="00BD1FC3" w14:paraId="17C6C326" w14:textId="77777777">
            <w:pPr>
              <w:pStyle w:val="EQRTableText"/>
            </w:pPr>
          </w:p>
        </w:tc>
        <w:tc>
          <w:tcPr>
            <w:tcW w:w="579" w:type="pct"/>
          </w:tcPr>
          <w:p w:rsidR="006A3B88" w:rsidRPr="00990D3B" w:rsidP="00BD1FC3" w14:paraId="3F39395C" w14:textId="77777777">
            <w:pPr>
              <w:pStyle w:val="EQRTableText"/>
            </w:pPr>
          </w:p>
        </w:tc>
        <w:tc>
          <w:tcPr>
            <w:tcW w:w="477" w:type="pct"/>
          </w:tcPr>
          <w:p w:rsidR="006A3B88" w:rsidRPr="00990D3B" w:rsidP="00BD1FC3" w14:paraId="115A4CE0" w14:textId="7C771179">
            <w:pPr>
              <w:pStyle w:val="EQRTableText"/>
              <w:rPr>
                <w:i/>
                <w:iCs/>
              </w:rPr>
            </w:pPr>
          </w:p>
        </w:tc>
        <w:tc>
          <w:tcPr>
            <w:tcW w:w="988" w:type="pct"/>
          </w:tcPr>
          <w:p w:rsidR="006A3B88" w:rsidRPr="00990D3B" w:rsidP="00BD1FC3" w14:paraId="45B2ED2D" w14:textId="77777777">
            <w:pPr>
              <w:pStyle w:val="EQRTableText"/>
            </w:pPr>
          </w:p>
        </w:tc>
        <w:tc>
          <w:tcPr>
            <w:tcW w:w="988" w:type="pct"/>
          </w:tcPr>
          <w:p w:rsidR="006A3B88" w:rsidRPr="00990D3B" w:rsidP="00BD1FC3" w14:paraId="5043E7AB" w14:textId="4888DDD4">
            <w:pPr>
              <w:pStyle w:val="EQRTableText"/>
            </w:pPr>
          </w:p>
        </w:tc>
      </w:tr>
    </w:tbl>
    <w:p w:rsidR="00824486" w:rsidRPr="00990D3B" w:rsidP="00824486" w14:paraId="2FE4774F" w14:textId="77777777">
      <w:pPr>
        <w:pStyle w:val="EQRNormalSSWORKSHEET"/>
      </w:pPr>
      <w:bookmarkStart w:id="513" w:name="_Hlk182922250"/>
    </w:p>
    <w:p w:rsidR="006A3B88" w:rsidRPr="00990D3B" w:rsidP="00824486" w14:paraId="12CEE294" w14:textId="77777777">
      <w:pPr>
        <w:pStyle w:val="EQRNormalSSWORKSHEET"/>
      </w:pPr>
    </w:p>
    <w:p w:rsidR="006A3B88" w:rsidRPr="00990D3B" w:rsidP="00824486" w14:paraId="4665492F" w14:textId="77777777">
      <w:pPr>
        <w:pStyle w:val="EQRNormalSSWORKSHEET"/>
      </w:pPr>
    </w:p>
    <w:p w:rsidR="006A3B88" w:rsidRPr="00990D3B" w:rsidP="00824486" w14:paraId="2C3FC2EE" w14:textId="77777777">
      <w:pPr>
        <w:pStyle w:val="EQRNormalSSWORKSHEET"/>
      </w:pPr>
    </w:p>
    <w:p w:rsidR="006A3B88" w:rsidRPr="00990D3B" w:rsidP="00824486" w14:paraId="44E86C2D" w14:textId="77777777">
      <w:pPr>
        <w:pStyle w:val="EQRNormalSSWORKSHEET"/>
      </w:pPr>
    </w:p>
    <w:p w:rsidR="006A3B88" w:rsidRPr="00990D3B" w:rsidP="00824486" w14:paraId="45AF7080" w14:textId="77777777">
      <w:pPr>
        <w:pStyle w:val="EQRNormalSSWORKSHEET"/>
      </w:pPr>
    </w:p>
    <w:p w:rsidR="002C6362" w:rsidRPr="00990D3B" w:rsidP="00824486" w14:paraId="2BD4500F" w14:textId="58D2F3EC">
      <w:pPr>
        <w:pStyle w:val="EQRMarkforExhibitWORKSHEET"/>
      </w:pPr>
      <w:bookmarkStart w:id="514" w:name="_Toc201751522"/>
      <w:r w:rsidRPr="00990D3B">
        <w:t xml:space="preserve">Example </w:t>
      </w:r>
      <w:r w:rsidRPr="00990D3B" w:rsidR="00037D65">
        <w:t xml:space="preserve">of Worksheet 4.1. </w:t>
      </w:r>
      <w:r w:rsidRPr="00990D3B">
        <w:t>State Network Adequacy Standards to Be Validated</w:t>
      </w:r>
      <w:bookmarkEnd w:id="514"/>
      <w:r w:rsidRPr="00990D3B">
        <w:t xml:space="preserve"> </w:t>
      </w:r>
      <w:bookmarkEnd w:id="513"/>
    </w:p>
    <w:tbl>
      <w:tblPr>
        <w:tblStyle w:val="TableGrid"/>
        <w:tblW w:w="5000" w:type="pct"/>
        <w:tblLook w:val="04A0"/>
      </w:tblPr>
      <w:tblGrid>
        <w:gridCol w:w="1702"/>
        <w:gridCol w:w="1923"/>
        <w:gridCol w:w="1056"/>
        <w:gridCol w:w="1027"/>
        <w:gridCol w:w="1821"/>
        <w:gridCol w:w="1821"/>
      </w:tblGrid>
      <w:tr w14:paraId="62A2500D" w14:textId="77777777" w:rsidTr="006A3B88">
        <w:tblPrEx>
          <w:tblW w:w="5000" w:type="pct"/>
          <w:tblLook w:val="04A0"/>
        </w:tblPrEx>
        <w:tc>
          <w:tcPr>
            <w:tcW w:w="925" w:type="pct"/>
            <w:vAlign w:val="bottom"/>
          </w:tcPr>
          <w:p w:rsidR="006A3B88" w:rsidRPr="00990D3B" w:rsidP="00BD1FC3" w14:paraId="05A01CB0" w14:textId="0909CC01">
            <w:pPr>
              <w:pStyle w:val="EQRTableHeaderLeft"/>
              <w:rPr>
                <w:color w:val="000000" w:themeColor="text1"/>
              </w:rPr>
            </w:pPr>
            <w:r w:rsidRPr="00990D3B">
              <w:rPr>
                <w:color w:val="000000" w:themeColor="text1"/>
              </w:rPr>
              <w:t>Network adequacy standard</w:t>
            </w:r>
          </w:p>
        </w:tc>
        <w:tc>
          <w:tcPr>
            <w:tcW w:w="1043" w:type="pct"/>
            <w:vAlign w:val="bottom"/>
          </w:tcPr>
          <w:p w:rsidR="006A3B88" w:rsidRPr="00990D3B" w:rsidP="00BD1FC3" w14:paraId="6A793539" w14:textId="61DEEDCE">
            <w:pPr>
              <w:pStyle w:val="EQRTableHeaderCenter"/>
              <w:rPr>
                <w:color w:val="000000" w:themeColor="text1"/>
              </w:rPr>
            </w:pPr>
            <w:r w:rsidRPr="00990D3B">
              <w:rPr>
                <w:color w:val="000000" w:themeColor="text1"/>
              </w:rPr>
              <w:t>Applicable provider types</w:t>
            </w:r>
          </w:p>
        </w:tc>
        <w:tc>
          <w:tcPr>
            <w:tcW w:w="579" w:type="pct"/>
            <w:vAlign w:val="bottom"/>
          </w:tcPr>
          <w:p w:rsidR="006A3B88" w:rsidRPr="00990D3B" w:rsidP="00BD1FC3" w14:paraId="46FBA8C5" w14:textId="3CAC2E38">
            <w:pPr>
              <w:pStyle w:val="EQRTableHeaderCenter"/>
              <w:rPr>
                <w:color w:val="000000" w:themeColor="text1"/>
              </w:rPr>
            </w:pPr>
            <w:r w:rsidRPr="00990D3B">
              <w:rPr>
                <w:color w:val="000000" w:themeColor="text1"/>
              </w:rPr>
              <w:t>Applicable MCP types</w:t>
            </w:r>
          </w:p>
        </w:tc>
        <w:tc>
          <w:tcPr>
            <w:tcW w:w="477" w:type="pct"/>
            <w:vAlign w:val="bottom"/>
          </w:tcPr>
          <w:p w:rsidR="006A3B88" w:rsidRPr="00990D3B" w:rsidP="00BD1FC3" w14:paraId="3F8657F8" w14:textId="2C8CFC18">
            <w:pPr>
              <w:pStyle w:val="EQRTableHeaderCenter"/>
              <w:rPr>
                <w:color w:val="000000" w:themeColor="text1"/>
              </w:rPr>
            </w:pPr>
            <w:r w:rsidRPr="00990D3B">
              <w:rPr>
                <w:color w:val="000000" w:themeColor="text1"/>
              </w:rPr>
              <w:t>Applicable regions</w:t>
            </w:r>
          </w:p>
        </w:tc>
        <w:tc>
          <w:tcPr>
            <w:tcW w:w="988" w:type="pct"/>
            <w:vAlign w:val="bottom"/>
          </w:tcPr>
          <w:p w:rsidR="006A3B88" w:rsidRPr="00990D3B" w:rsidP="006A3B88" w14:paraId="6855E81C" w14:textId="0A8F7E2C">
            <w:pPr>
              <w:pStyle w:val="EQRTableHeaderCenter"/>
              <w:rPr>
                <w:color w:val="000000" w:themeColor="text1"/>
              </w:rPr>
            </w:pPr>
            <w:r w:rsidRPr="00990D3B">
              <w:rPr>
                <w:color w:val="000000" w:themeColor="text1"/>
              </w:rPr>
              <w:t>Performance threshold</w:t>
            </w:r>
          </w:p>
        </w:tc>
        <w:tc>
          <w:tcPr>
            <w:tcW w:w="988" w:type="pct"/>
            <w:vAlign w:val="bottom"/>
          </w:tcPr>
          <w:p w:rsidR="006A3B88" w:rsidRPr="00990D3B" w:rsidP="00BD1FC3" w14:paraId="1FE9AD19" w14:textId="58058F43">
            <w:pPr>
              <w:pStyle w:val="EQRTableHeaderCenter"/>
              <w:rPr>
                <w:color w:val="000000" w:themeColor="text1"/>
              </w:rPr>
            </w:pPr>
            <w:r w:rsidRPr="00990D3B">
              <w:rPr>
                <w:color w:val="000000" w:themeColor="text1"/>
              </w:rPr>
              <w:t>Data and documentation submitted by MCPs (frequency)</w:t>
            </w:r>
          </w:p>
        </w:tc>
      </w:tr>
      <w:tr w14:paraId="4CBE0899" w14:textId="77777777" w:rsidTr="006A3B88">
        <w:tblPrEx>
          <w:tblW w:w="5000" w:type="pct"/>
          <w:tblLook w:val="04A0"/>
        </w:tblPrEx>
        <w:tc>
          <w:tcPr>
            <w:tcW w:w="925" w:type="pct"/>
          </w:tcPr>
          <w:p w:rsidR="006A3B88" w:rsidRPr="00990D3B" w:rsidP="00BD1FC3" w14:paraId="07E5F6DE" w14:textId="6AF9B537">
            <w:pPr>
              <w:pStyle w:val="EQRTableText"/>
            </w:pPr>
            <w:r w:rsidRPr="00990D3B">
              <w:t xml:space="preserve">Enrollees must have access to a PCP office within 30 minutes or 30 miles of their residence </w:t>
            </w:r>
          </w:p>
        </w:tc>
        <w:tc>
          <w:tcPr>
            <w:tcW w:w="1043" w:type="pct"/>
          </w:tcPr>
          <w:p w:rsidR="006A3B88" w:rsidRPr="00990D3B" w:rsidP="00BD1FC3" w14:paraId="1C3C4498" w14:textId="62AC39CD">
            <w:pPr>
              <w:pStyle w:val="EQRTableText"/>
            </w:pPr>
            <w:r w:rsidRPr="00990D3B">
              <w:t>Family medicine physicians, internal medicine physicians, OB/GYNs, pediatricians, nurse practitioners, physician assistants</w:t>
            </w:r>
          </w:p>
        </w:tc>
        <w:tc>
          <w:tcPr>
            <w:tcW w:w="579" w:type="pct"/>
          </w:tcPr>
          <w:p w:rsidR="006A3B88" w:rsidRPr="00990D3B" w:rsidP="00BD1FC3" w14:paraId="4F20398F" w14:textId="77777777">
            <w:pPr>
              <w:pStyle w:val="EQRTableText"/>
            </w:pPr>
            <w:r w:rsidRPr="00990D3B">
              <w:t>Medicaid, CHIP</w:t>
            </w:r>
          </w:p>
        </w:tc>
        <w:tc>
          <w:tcPr>
            <w:tcW w:w="477" w:type="pct"/>
          </w:tcPr>
          <w:p w:rsidR="006A3B88" w:rsidRPr="00990D3B" w:rsidP="00BD1FC3" w14:paraId="224D0196" w14:textId="77777777">
            <w:pPr>
              <w:pStyle w:val="EQRTableText"/>
              <w:rPr>
                <w:rFonts w:asciiTheme="majorHAnsi" w:hAnsiTheme="majorHAnsi" w:cstheme="majorHAnsi"/>
                <w:szCs w:val="18"/>
              </w:rPr>
            </w:pPr>
            <w:r w:rsidRPr="00990D3B">
              <w:rPr>
                <w:rStyle w:val="CommentReference"/>
                <w:rFonts w:asciiTheme="majorHAnsi" w:hAnsiTheme="majorHAnsi" w:cstheme="majorHAnsi"/>
                <w:sz w:val="18"/>
                <w:szCs w:val="18"/>
              </w:rPr>
              <w:t>Statewide</w:t>
            </w:r>
          </w:p>
        </w:tc>
        <w:tc>
          <w:tcPr>
            <w:tcW w:w="988" w:type="pct"/>
          </w:tcPr>
          <w:p w:rsidR="006A3B88" w:rsidRPr="00990D3B" w:rsidP="00BD1FC3" w14:paraId="6C92F147" w14:textId="200BAB7A">
            <w:pPr>
              <w:pStyle w:val="EQRTableText"/>
            </w:pPr>
            <w:r w:rsidRPr="00990D3B">
              <w:t xml:space="preserve">≥90% of enrollees meet the standard </w:t>
            </w:r>
          </w:p>
        </w:tc>
        <w:tc>
          <w:tcPr>
            <w:tcW w:w="988" w:type="pct"/>
          </w:tcPr>
          <w:p w:rsidR="006A3B88" w:rsidRPr="00990D3B" w:rsidP="00BD1FC3" w14:paraId="64910075" w14:textId="42B67428">
            <w:pPr>
              <w:pStyle w:val="EQRTableText"/>
            </w:pPr>
            <w:r w:rsidRPr="00990D3B">
              <w:t>Enrollment files (monthly)</w:t>
            </w:r>
          </w:p>
          <w:p w:rsidR="006A3B88" w:rsidRPr="00990D3B" w:rsidP="00BD1FC3" w14:paraId="3938A27B" w14:textId="77777777">
            <w:pPr>
              <w:pStyle w:val="EQRTableText"/>
            </w:pPr>
            <w:r w:rsidRPr="00990D3B">
              <w:t>Provider network data files (quarterly)</w:t>
            </w:r>
          </w:p>
        </w:tc>
      </w:tr>
      <w:tr w14:paraId="15BE05FB" w14:textId="77777777" w:rsidTr="006A3B88">
        <w:tblPrEx>
          <w:tblW w:w="5000" w:type="pct"/>
          <w:tblLook w:val="04A0"/>
        </w:tblPrEx>
        <w:tc>
          <w:tcPr>
            <w:tcW w:w="925" w:type="pct"/>
          </w:tcPr>
          <w:p w:rsidR="006A3B88" w:rsidRPr="00990D3B" w:rsidP="00BD1FC3" w14:paraId="1C34BE14" w14:textId="613C93CC">
            <w:pPr>
              <w:pStyle w:val="EQRTableText"/>
            </w:pPr>
            <w:r w:rsidRPr="00990D3B">
              <w:t>There must be at least 1 support provider for every 25 members served</w:t>
            </w:r>
          </w:p>
        </w:tc>
        <w:tc>
          <w:tcPr>
            <w:tcW w:w="1043" w:type="pct"/>
          </w:tcPr>
          <w:p w:rsidR="006A3B88" w:rsidRPr="00990D3B" w:rsidP="00BD1FC3" w14:paraId="2E6CC016" w14:textId="2FDFD942">
            <w:pPr>
              <w:pStyle w:val="EQRTableText"/>
            </w:pPr>
            <w:r w:rsidRPr="00990D3B">
              <w:t>Care coordinators, family service specialists</w:t>
            </w:r>
          </w:p>
        </w:tc>
        <w:tc>
          <w:tcPr>
            <w:tcW w:w="579" w:type="pct"/>
          </w:tcPr>
          <w:p w:rsidR="006A3B88" w:rsidRPr="00990D3B" w:rsidP="00BD1FC3" w14:paraId="1D11D606" w14:textId="21655817">
            <w:pPr>
              <w:pStyle w:val="EQRTableText"/>
            </w:pPr>
            <w:r w:rsidRPr="00990D3B">
              <w:t>Medicaid, CHIP</w:t>
            </w:r>
          </w:p>
        </w:tc>
        <w:tc>
          <w:tcPr>
            <w:tcW w:w="477" w:type="pct"/>
          </w:tcPr>
          <w:p w:rsidR="006A3B88" w:rsidRPr="00990D3B" w:rsidP="00BD1FC3" w14:paraId="504C6956" w14:textId="7B1AC281">
            <w:pPr>
              <w:pStyle w:val="EQRTableText"/>
              <w:rPr>
                <w:rStyle w:val="CommentReference"/>
                <w:rFonts w:asciiTheme="majorHAnsi" w:hAnsiTheme="majorHAnsi" w:cstheme="majorHAnsi"/>
                <w:sz w:val="18"/>
                <w:szCs w:val="18"/>
              </w:rPr>
            </w:pPr>
            <w:r w:rsidRPr="00990D3B">
              <w:rPr>
                <w:rStyle w:val="CommentReference"/>
                <w:rFonts w:asciiTheme="majorHAnsi" w:hAnsiTheme="majorHAnsi" w:cstheme="majorHAnsi"/>
                <w:sz w:val="18"/>
                <w:szCs w:val="18"/>
              </w:rPr>
              <w:t>Statewide</w:t>
            </w:r>
          </w:p>
        </w:tc>
        <w:tc>
          <w:tcPr>
            <w:tcW w:w="988" w:type="pct"/>
          </w:tcPr>
          <w:p w:rsidR="006A3B88" w:rsidRPr="00990D3B" w:rsidP="00BD1FC3" w14:paraId="7EBA9ECB" w14:textId="3877CEA1">
            <w:pPr>
              <w:pStyle w:val="EQRTableText"/>
            </w:pPr>
            <w:r w:rsidRPr="00990D3B">
              <w:t>Ratio of 1:25 maintained for enrolled members (denominator defined as actively enrolled members)</w:t>
            </w:r>
          </w:p>
        </w:tc>
        <w:tc>
          <w:tcPr>
            <w:tcW w:w="988" w:type="pct"/>
          </w:tcPr>
          <w:p w:rsidR="006A3B88" w:rsidRPr="00990D3B" w:rsidP="00BD1FC3" w14:paraId="3321016D" w14:textId="5C3F2D53">
            <w:pPr>
              <w:pStyle w:val="EQRTableText"/>
            </w:pPr>
            <w:r w:rsidRPr="00990D3B">
              <w:t>Enrollment files (monthly)</w:t>
            </w:r>
          </w:p>
          <w:p w:rsidR="006A3B88" w:rsidRPr="00990D3B" w:rsidP="00BD1FC3" w14:paraId="1E71FB2F" w14:textId="3826E561">
            <w:pPr>
              <w:pStyle w:val="EQRTableText"/>
            </w:pPr>
            <w:r w:rsidRPr="00990D3B">
              <w:t>Provider network data files (quarterly)</w:t>
            </w:r>
          </w:p>
        </w:tc>
      </w:tr>
    </w:tbl>
    <w:p w:rsidR="00D36C1C" w:rsidRPr="00990D3B" w14:paraId="452B0118" w14:textId="77777777">
      <w:pPr>
        <w:spacing w:line="240" w:lineRule="auto"/>
        <w:rPr>
          <w:rFonts w:ascii="Arial Black" w:eastAsia="Arial" w:hAnsi="Arial Black" w:cs="Arial"/>
          <w:color w:val="000000" w:themeColor="text1"/>
          <w:sz w:val="19"/>
          <w:szCs w:val="19"/>
        </w:rPr>
      </w:pPr>
      <w:bookmarkStart w:id="515" w:name="_Toc125619164"/>
      <w:r w:rsidRPr="00990D3B">
        <w:br w:type="page"/>
      </w:r>
    </w:p>
    <w:p w:rsidR="00AD7FD8" w:rsidRPr="00990D3B" w:rsidP="00BD1FC3" w14:paraId="37AD7882" w14:textId="752C7254">
      <w:pPr>
        <w:pStyle w:val="EQRMarkforExhibitWORKSHEET"/>
      </w:pPr>
      <w:bookmarkStart w:id="516" w:name="WS42"/>
      <w:bookmarkStart w:id="517" w:name="_Toc201751523"/>
      <w:bookmarkEnd w:id="516"/>
      <w:r w:rsidRPr="00990D3B">
        <w:t xml:space="preserve">Worksheet 4.2. </w:t>
      </w:r>
      <w:bookmarkStart w:id="518" w:name="_Hlk64624308"/>
      <w:r w:rsidRPr="00990D3B">
        <w:t>Network Adequacy Indicators to be Validated</w:t>
      </w:r>
      <w:bookmarkEnd w:id="515"/>
      <w:bookmarkEnd w:id="517"/>
      <w:r w:rsidRPr="00990D3B">
        <w:t xml:space="preserve"> </w:t>
      </w:r>
      <w:bookmarkEnd w:id="518"/>
    </w:p>
    <w:p w:rsidR="00AD7FD8" w:rsidRPr="00990D3B" w:rsidP="00BD1FC3" w14:paraId="14F4EFC4" w14:textId="6AC6D6D7">
      <w:pPr>
        <w:pStyle w:val="EQRNormalSSWORKSHEET"/>
      </w:pPr>
      <w:r w:rsidRPr="00990D3B">
        <w:rPr>
          <w:b/>
          <w:bCs/>
        </w:rPr>
        <w:t xml:space="preserve">Instructions: </w:t>
      </w:r>
      <w:r w:rsidRPr="00990D3B" w:rsidR="00CA7CA7">
        <w:t xml:space="preserve">In </w:t>
      </w:r>
      <w:r w:rsidRPr="00990D3B">
        <w:t xml:space="preserve">the first column of the table below </w:t>
      </w:r>
      <w:r w:rsidRPr="00990D3B" w:rsidR="00CA7CA7">
        <w:t xml:space="preserve">list </w:t>
      </w:r>
      <w:r w:rsidRPr="00990D3B">
        <w:t xml:space="preserve">the network adequacy standards identified in </w:t>
      </w:r>
      <w:hyperlink w:anchor="P4Act1Step2" w:tooltip="Activity 1, Step 2" w:history="1">
        <w:r w:rsidRPr="00990D3B">
          <w:rPr>
            <w:rStyle w:val="Hyperlink"/>
          </w:rPr>
          <w:t>Activity 1, Step 2</w:t>
        </w:r>
      </w:hyperlink>
      <w:r w:rsidRPr="00990D3B">
        <w:t xml:space="preserve"> (</w:t>
      </w:r>
      <w:hyperlink w:anchor="WS41" w:tooltip="Worksheet 4.1" w:history="1">
        <w:r w:rsidRPr="00990D3B">
          <w:rPr>
            <w:rStyle w:val="Hyperlink"/>
          </w:rPr>
          <w:t>Worksheet 4.1</w:t>
        </w:r>
      </w:hyperlink>
      <w:r w:rsidRPr="00990D3B">
        <w:t>)</w:t>
      </w:r>
      <w:r w:rsidRPr="00990D3B" w:rsidR="00CA7CA7">
        <w:t xml:space="preserve"> and id</w:t>
      </w:r>
      <w:r w:rsidRPr="00990D3B">
        <w:t xml:space="preserve">entify and define the </w:t>
      </w:r>
      <w:r w:rsidRPr="00990D3B" w:rsidR="00CA7CA7">
        <w:t xml:space="preserve">associated </w:t>
      </w:r>
      <w:r w:rsidRPr="00990D3B">
        <w:t xml:space="preserve">indicator(s) </w:t>
      </w:r>
      <w:r w:rsidRPr="00990D3B" w:rsidR="00CA7CA7">
        <w:t>to</w:t>
      </w:r>
      <w:r w:rsidRPr="00990D3B">
        <w:t xml:space="preserve"> be validate</w:t>
      </w:r>
      <w:r w:rsidRPr="00990D3B" w:rsidR="00CA7CA7">
        <w:t>. List e</w:t>
      </w:r>
      <w:r w:rsidRPr="00990D3B">
        <w:t>ach indicator in its own row</w:t>
      </w:r>
      <w:r w:rsidRPr="00990D3B" w:rsidR="00CA7CA7">
        <w:t xml:space="preserve">, </w:t>
      </w:r>
      <w:r w:rsidRPr="00990D3B">
        <w:t xml:space="preserve">adding rows as necessary. </w:t>
      </w:r>
      <w:r w:rsidRPr="00990D3B" w:rsidR="00CA7CA7">
        <w:t xml:space="preserve">Complete one worksheet for each MCP, </w:t>
      </w:r>
      <w:r w:rsidRPr="00990D3B">
        <w:t>taking into account</w:t>
      </w:r>
      <w:r w:rsidRPr="00990D3B">
        <w:t xml:space="preserve"> the standards that apply to each plan type. Definitions for this activity include:</w:t>
      </w:r>
    </w:p>
    <w:p w:rsidR="00AD7FD8" w:rsidRPr="00990D3B" w:rsidP="00D36C1C" w14:paraId="139EF232" w14:textId="2A8B91D2">
      <w:pPr>
        <w:pStyle w:val="EQRNormalSSWSbullet"/>
      </w:pPr>
      <w:r w:rsidRPr="00990D3B">
        <w:rPr>
          <w:b/>
          <w:bCs/>
        </w:rPr>
        <w:t>Network adequacy standard</w:t>
      </w:r>
      <w:r w:rsidRPr="00990D3B" w:rsidR="00CA7CA7">
        <w:rPr>
          <w:b/>
          <w:bCs/>
        </w:rPr>
        <w:t>.</w:t>
      </w:r>
      <w:r w:rsidRPr="00990D3B">
        <w:rPr>
          <w:b/>
          <w:bCs/>
        </w:rPr>
        <w:t xml:space="preserve"> </w:t>
      </w:r>
      <w:r w:rsidRPr="00990D3B">
        <w:t xml:space="preserve">A quantitative parameter that states </w:t>
      </w:r>
      <w:r w:rsidRPr="00990D3B">
        <w:t>establish</w:t>
      </w:r>
      <w:r w:rsidRPr="00990D3B">
        <w:t xml:space="preserve"> to set expectations for contracted </w:t>
      </w:r>
      <w:r w:rsidRPr="00990D3B" w:rsidR="005F436F">
        <w:t>MCPs’</w:t>
      </w:r>
      <w:r w:rsidRPr="00990D3B">
        <w:t xml:space="preserve"> provider networks. For example, a state may set a network adequacy standard that all enrollees have access to a PCP within 30 miles or 30 minutes of their home.</w:t>
      </w:r>
    </w:p>
    <w:p w:rsidR="00AD7FD8" w:rsidRPr="00990D3B" w:rsidP="00D36C1C" w14:paraId="53BE2049" w14:textId="1624E4EC">
      <w:pPr>
        <w:pStyle w:val="EQRNormalSSWSbullet"/>
      </w:pPr>
      <w:r w:rsidRPr="00990D3B">
        <w:rPr>
          <w:b/>
          <w:bCs/>
        </w:rPr>
        <w:t>Network adequacy indicator</w:t>
      </w:r>
      <w:r w:rsidRPr="00990D3B" w:rsidR="00CA7CA7">
        <w:t xml:space="preserve">. </w:t>
      </w:r>
      <w:r w:rsidRPr="00990D3B">
        <w:t xml:space="preserve">The metric(s) used to assess adherence to the quantitative network adequacy standard required by the state. For example, the network adequacy indicator for a network adequacy standard that all enrollees have access to a PCP within 30 miles or 30 minutes of their home could be </w:t>
      </w:r>
      <w:bookmarkStart w:id="519" w:name="_Hlk64534130"/>
      <w:r w:rsidRPr="00990D3B">
        <w:t xml:space="preserve">the proportion of enrollees </w:t>
      </w:r>
      <w:bookmarkEnd w:id="519"/>
      <w:r w:rsidRPr="00990D3B">
        <w:t xml:space="preserve">who have access to a primary care provider within 30 miles or 30 minutes from their home. </w:t>
      </w:r>
    </w:p>
    <w:p w:rsidR="00146B93" w:rsidRPr="00990D3B" w:rsidP="00D36C1C" w14:paraId="325EDE00" w14:textId="112C60E2">
      <w:pPr>
        <w:pStyle w:val="EQRNormalSSWSbullet"/>
      </w:pPr>
      <w:r w:rsidRPr="00990D3B">
        <w:rPr>
          <w:b/>
          <w:bCs/>
        </w:rPr>
        <w:t>Definition of network adequacy indicator</w:t>
      </w:r>
      <w:r w:rsidRPr="00990D3B" w:rsidR="00CA7CA7">
        <w:rPr>
          <w:b/>
          <w:bCs/>
        </w:rPr>
        <w:t xml:space="preserve">. </w:t>
      </w:r>
      <w:r w:rsidRPr="00990D3B">
        <w:t>A clear description of the network adequacy indicator, including criteria for calculating the numerator and denominator. The definition should address specific methodological issues that impact indicator calculations. For example, for time and distance indicators, the definition should specify whether distance is measured “as the crow flies” or using driving distances. The definition should also identify the provider types to which the indicator applies.</w:t>
      </w:r>
    </w:p>
    <w:p w:rsidR="002C6362" w:rsidRPr="00990D3B" w:rsidP="00D36C1C" w14:paraId="19C02ED8" w14:textId="322C71FC">
      <w:pPr>
        <w:pStyle w:val="EQRNormalSSWORKSHEET"/>
      </w:pPr>
      <w:r w:rsidRPr="00990D3B">
        <w:t xml:space="preserve">Acronyms: CHIP = Children’s Health Insurance Program; EQRO = External Quality Review Organization; LTSS = Long-Term Services and Supports; </w:t>
      </w:r>
      <w:r w:rsidRPr="00990D3B" w:rsidR="00997A98">
        <w:t>PCP= Primary Care Provider</w:t>
      </w:r>
      <w:r w:rsidRPr="00990D3B">
        <w:t>.</w:t>
      </w:r>
    </w:p>
    <w:p w:rsidR="00AD7FD8" w:rsidRPr="00990D3B" w:rsidP="00BD1FC3" w14:paraId="78E9F9DB" w14:textId="09A3DC74">
      <w:pPr>
        <w:pStyle w:val="EQRNormalSSWORKSHEET"/>
      </w:pPr>
      <w:r w:rsidRPr="00990D3B">
        <w:rPr>
          <w:b/>
          <w:bCs/>
        </w:rPr>
        <w:t>MCP name</w:t>
      </w:r>
      <w:r w:rsidRPr="00990D3B">
        <w:t xml:space="preserve">: </w:t>
      </w:r>
      <w:r w:rsidRPr="00990D3B" w:rsidR="004F4835">
        <w:rPr>
          <w:rFonts w:asciiTheme="majorHAnsi" w:hAnsiTheme="majorHAnsi" w:cstheme="majorHAnsi"/>
          <w:szCs w:val="14"/>
        </w:rPr>
        <w:t>________________________________</w:t>
      </w:r>
      <w:r w:rsidRPr="00990D3B" w:rsidR="00853167">
        <w:rPr>
          <w:rFonts w:asciiTheme="majorHAnsi" w:hAnsiTheme="majorHAnsi" w:cstheme="majorHAnsi"/>
          <w:szCs w:val="14"/>
        </w:rPr>
        <w:t>___________________________________________</w:t>
      </w:r>
    </w:p>
    <w:tbl>
      <w:tblPr>
        <w:tblStyle w:val="TableGrid"/>
        <w:tblW w:w="4955" w:type="pct"/>
        <w:tblLayout w:type="fixed"/>
        <w:tblLook w:val="04A0"/>
      </w:tblPr>
      <w:tblGrid>
        <w:gridCol w:w="2515"/>
        <w:gridCol w:w="2250"/>
        <w:gridCol w:w="4501"/>
      </w:tblGrid>
      <w:tr w14:paraId="07A0589F" w14:textId="77777777" w:rsidTr="000F67F7">
        <w:tblPrEx>
          <w:tblW w:w="4955" w:type="pct"/>
          <w:tblLayout w:type="fixed"/>
          <w:tblLook w:val="04A0"/>
        </w:tblPrEx>
        <w:tc>
          <w:tcPr>
            <w:tcW w:w="2515" w:type="dxa"/>
            <w:vAlign w:val="bottom"/>
          </w:tcPr>
          <w:p w:rsidR="00AD7FD8" w:rsidRPr="00990D3B" w:rsidP="00BD1FC3" w14:paraId="43235260" w14:textId="1DCDBBD7">
            <w:pPr>
              <w:pStyle w:val="EQRTableHeaderLeft"/>
              <w:rPr>
                <w:color w:val="000000" w:themeColor="text1"/>
              </w:rPr>
            </w:pPr>
            <w:r w:rsidRPr="00990D3B">
              <w:rPr>
                <w:color w:val="000000" w:themeColor="text1"/>
              </w:rPr>
              <w:t xml:space="preserve">Network </w:t>
            </w:r>
            <w:r w:rsidRPr="00990D3B" w:rsidR="00853167">
              <w:rPr>
                <w:color w:val="000000" w:themeColor="text1"/>
              </w:rPr>
              <w:t>a</w:t>
            </w:r>
            <w:r w:rsidRPr="00990D3B">
              <w:rPr>
                <w:color w:val="000000" w:themeColor="text1"/>
              </w:rPr>
              <w:t xml:space="preserve">dequacy </w:t>
            </w:r>
            <w:r w:rsidRPr="00990D3B" w:rsidR="00853167">
              <w:rPr>
                <w:color w:val="000000" w:themeColor="text1"/>
              </w:rPr>
              <w:t>s</w:t>
            </w:r>
            <w:r w:rsidRPr="00990D3B">
              <w:rPr>
                <w:color w:val="000000" w:themeColor="text1"/>
              </w:rPr>
              <w:t>tandard</w:t>
            </w:r>
          </w:p>
        </w:tc>
        <w:tc>
          <w:tcPr>
            <w:tcW w:w="2250" w:type="dxa"/>
            <w:vAlign w:val="bottom"/>
          </w:tcPr>
          <w:p w:rsidR="00AD7FD8" w:rsidRPr="00990D3B" w:rsidP="00BD1FC3" w14:paraId="3D1C049E" w14:textId="077A94B7">
            <w:pPr>
              <w:pStyle w:val="EQRTableHeaderCenter"/>
              <w:jc w:val="left"/>
              <w:rPr>
                <w:color w:val="000000" w:themeColor="text1"/>
              </w:rPr>
            </w:pPr>
            <w:r w:rsidRPr="00990D3B">
              <w:rPr>
                <w:color w:val="000000" w:themeColor="text1"/>
              </w:rPr>
              <w:t xml:space="preserve">Network </w:t>
            </w:r>
            <w:r w:rsidRPr="00990D3B" w:rsidR="00853167">
              <w:rPr>
                <w:color w:val="000000" w:themeColor="text1"/>
              </w:rPr>
              <w:t>a</w:t>
            </w:r>
            <w:r w:rsidRPr="00990D3B">
              <w:rPr>
                <w:color w:val="000000" w:themeColor="text1"/>
              </w:rPr>
              <w:t xml:space="preserve">dequacy </w:t>
            </w:r>
            <w:r w:rsidRPr="00990D3B" w:rsidR="00853167">
              <w:rPr>
                <w:color w:val="000000" w:themeColor="text1"/>
              </w:rPr>
              <w:t>i</w:t>
            </w:r>
            <w:r w:rsidRPr="00990D3B">
              <w:rPr>
                <w:color w:val="000000" w:themeColor="text1"/>
              </w:rPr>
              <w:t>ndicator</w:t>
            </w:r>
          </w:p>
        </w:tc>
        <w:tc>
          <w:tcPr>
            <w:tcW w:w="4501" w:type="dxa"/>
            <w:vAlign w:val="bottom"/>
          </w:tcPr>
          <w:p w:rsidR="00AD7FD8" w:rsidRPr="00990D3B" w:rsidP="00BD1FC3" w14:paraId="76E9EFC5" w14:textId="490912E9">
            <w:pPr>
              <w:pStyle w:val="EQRTableHeaderCenter"/>
              <w:jc w:val="left"/>
              <w:rPr>
                <w:color w:val="000000" w:themeColor="text1"/>
              </w:rPr>
            </w:pPr>
            <w:r w:rsidRPr="00990D3B">
              <w:rPr>
                <w:color w:val="000000" w:themeColor="text1"/>
              </w:rPr>
              <w:t xml:space="preserve">Definition of </w:t>
            </w:r>
            <w:r w:rsidRPr="00990D3B" w:rsidR="00853167">
              <w:rPr>
                <w:color w:val="000000" w:themeColor="text1"/>
              </w:rPr>
              <w:t>n</w:t>
            </w:r>
            <w:r w:rsidRPr="00990D3B">
              <w:rPr>
                <w:color w:val="000000" w:themeColor="text1"/>
              </w:rPr>
              <w:t xml:space="preserve">etwork </w:t>
            </w:r>
            <w:r w:rsidRPr="00990D3B" w:rsidR="00853167">
              <w:rPr>
                <w:color w:val="000000" w:themeColor="text1"/>
              </w:rPr>
              <w:t>a</w:t>
            </w:r>
            <w:r w:rsidRPr="00990D3B">
              <w:rPr>
                <w:color w:val="000000" w:themeColor="text1"/>
              </w:rPr>
              <w:t xml:space="preserve">dequacy </w:t>
            </w:r>
            <w:r w:rsidRPr="00990D3B" w:rsidR="00853167">
              <w:rPr>
                <w:color w:val="000000" w:themeColor="text1"/>
              </w:rPr>
              <w:t>i</w:t>
            </w:r>
            <w:r w:rsidRPr="00990D3B">
              <w:rPr>
                <w:color w:val="000000" w:themeColor="text1"/>
              </w:rPr>
              <w:t>ndicator</w:t>
            </w:r>
          </w:p>
        </w:tc>
      </w:tr>
      <w:tr w14:paraId="4D3DF727" w14:textId="77777777" w:rsidTr="000F67F7">
        <w:tblPrEx>
          <w:tblW w:w="4955" w:type="pct"/>
          <w:tblLayout w:type="fixed"/>
          <w:tblLook w:val="04A0"/>
        </w:tblPrEx>
        <w:tc>
          <w:tcPr>
            <w:tcW w:w="2515" w:type="dxa"/>
          </w:tcPr>
          <w:p w:rsidR="00AD7FD8" w:rsidRPr="00990D3B" w:rsidP="002D3149" w14:paraId="2D748F93" w14:textId="6FDF9D6C">
            <w:pPr>
              <w:pStyle w:val="EQRTableText"/>
            </w:pPr>
          </w:p>
        </w:tc>
        <w:tc>
          <w:tcPr>
            <w:tcW w:w="2250" w:type="dxa"/>
          </w:tcPr>
          <w:p w:rsidR="00AD7FD8" w:rsidRPr="00990D3B" w:rsidP="002D3149" w14:paraId="6BB4BCA3" w14:textId="70A71EF5">
            <w:pPr>
              <w:pStyle w:val="EQRTableText"/>
            </w:pPr>
          </w:p>
        </w:tc>
        <w:tc>
          <w:tcPr>
            <w:tcW w:w="4501" w:type="dxa"/>
          </w:tcPr>
          <w:p w:rsidR="00AD7FD8" w:rsidRPr="00990D3B" w:rsidP="002D3149" w14:paraId="0D77EFFA" w14:textId="23D9C027">
            <w:pPr>
              <w:pStyle w:val="EQRTableText"/>
            </w:pPr>
          </w:p>
        </w:tc>
      </w:tr>
      <w:tr w14:paraId="70D4B17C" w14:textId="77777777" w:rsidTr="000F67F7">
        <w:tblPrEx>
          <w:tblW w:w="4955" w:type="pct"/>
          <w:tblLayout w:type="fixed"/>
          <w:tblLook w:val="04A0"/>
        </w:tblPrEx>
        <w:tc>
          <w:tcPr>
            <w:tcW w:w="2515" w:type="dxa"/>
          </w:tcPr>
          <w:p w:rsidR="00AD7FD8" w:rsidRPr="00990D3B" w:rsidP="002D3149" w14:paraId="5D3F68E2" w14:textId="77777777">
            <w:pPr>
              <w:pStyle w:val="EQRTableText"/>
            </w:pPr>
          </w:p>
        </w:tc>
        <w:tc>
          <w:tcPr>
            <w:tcW w:w="2250" w:type="dxa"/>
          </w:tcPr>
          <w:p w:rsidR="00AD7FD8" w:rsidRPr="00990D3B" w:rsidP="002D3149" w14:paraId="64A79E82" w14:textId="77777777">
            <w:pPr>
              <w:pStyle w:val="EQRTableText"/>
            </w:pPr>
          </w:p>
        </w:tc>
        <w:tc>
          <w:tcPr>
            <w:tcW w:w="4501" w:type="dxa"/>
          </w:tcPr>
          <w:p w:rsidR="00AD7FD8" w:rsidRPr="00990D3B" w:rsidP="002D3149" w14:paraId="0D78DD76" w14:textId="77777777">
            <w:pPr>
              <w:pStyle w:val="EQRTableText"/>
            </w:pPr>
          </w:p>
        </w:tc>
      </w:tr>
    </w:tbl>
    <w:p w:rsidR="00565EB9" w:rsidRPr="00990D3B" w:rsidP="00565EB9" w14:paraId="6253DF99" w14:textId="77777777">
      <w:pPr>
        <w:pStyle w:val="FigureFootnote"/>
      </w:pPr>
    </w:p>
    <w:p w:rsidR="00EE6B94" w:rsidRPr="00990D3B" w:rsidP="00565EB9" w14:paraId="437C9216" w14:textId="3CCEBDCB">
      <w:pPr>
        <w:pStyle w:val="EQRMarkforExhibitWORKSHEET"/>
      </w:pPr>
      <w:bookmarkStart w:id="520" w:name="_Toc201751524"/>
      <w:r w:rsidRPr="00990D3B">
        <w:t xml:space="preserve">Example </w:t>
      </w:r>
      <w:r w:rsidRPr="00990D3B" w:rsidR="00AC78CD">
        <w:t xml:space="preserve">Worksheet 4.2 </w:t>
      </w:r>
      <w:r w:rsidRPr="00990D3B">
        <w:t>State Network Adequacy Standards to Be Validated</w:t>
      </w:r>
      <w:bookmarkEnd w:id="520"/>
      <w:r w:rsidRPr="00990D3B">
        <w:t xml:space="preserve"> </w:t>
      </w:r>
    </w:p>
    <w:p w:rsidR="00EE6B94" w:rsidRPr="00990D3B" w:rsidP="00BD1FC3" w14:paraId="1ABC2A24" w14:textId="77777777">
      <w:pPr>
        <w:pStyle w:val="EQRNormalSSWORKSHEET"/>
      </w:pPr>
      <w:r w:rsidRPr="00990D3B">
        <w:rPr>
          <w:b/>
          <w:bCs/>
        </w:rPr>
        <w:t>MCP name</w:t>
      </w:r>
      <w:r w:rsidRPr="00990D3B">
        <w:t xml:space="preserve">: </w:t>
      </w:r>
      <w:r w:rsidRPr="00990D3B">
        <w:rPr>
          <w:u w:val="single"/>
        </w:rPr>
        <w:t>Plan A</w:t>
      </w:r>
    </w:p>
    <w:tbl>
      <w:tblPr>
        <w:tblStyle w:val="TableGrid"/>
        <w:tblW w:w="4955" w:type="pct"/>
        <w:tblLayout w:type="fixed"/>
        <w:tblLook w:val="04A0"/>
      </w:tblPr>
      <w:tblGrid>
        <w:gridCol w:w="2515"/>
        <w:gridCol w:w="2250"/>
        <w:gridCol w:w="4501"/>
      </w:tblGrid>
      <w:tr w14:paraId="06B12DF2" w14:textId="77777777" w:rsidTr="00363B07">
        <w:tblPrEx>
          <w:tblW w:w="4955" w:type="pct"/>
          <w:tblLayout w:type="fixed"/>
          <w:tblLook w:val="04A0"/>
        </w:tblPrEx>
        <w:tc>
          <w:tcPr>
            <w:tcW w:w="2515" w:type="dxa"/>
            <w:vAlign w:val="bottom"/>
          </w:tcPr>
          <w:p w:rsidR="00853167" w:rsidRPr="00990D3B" w:rsidP="00BD1FC3" w14:paraId="3FA959A8" w14:textId="4E1A60F6">
            <w:pPr>
              <w:pStyle w:val="EQRTableHeaderLeft"/>
              <w:spacing w:before="144" w:beforeLines="60"/>
              <w:rPr>
                <w:color w:val="000000" w:themeColor="text1"/>
              </w:rPr>
            </w:pPr>
            <w:r w:rsidRPr="00990D3B">
              <w:rPr>
                <w:color w:val="000000" w:themeColor="text1"/>
              </w:rPr>
              <w:t>Network adequacy standard</w:t>
            </w:r>
          </w:p>
        </w:tc>
        <w:tc>
          <w:tcPr>
            <w:tcW w:w="2250" w:type="dxa"/>
            <w:vAlign w:val="bottom"/>
          </w:tcPr>
          <w:p w:rsidR="00853167" w:rsidRPr="00990D3B" w:rsidP="00BD1FC3" w14:paraId="5EE14CCF" w14:textId="4AD4E78D">
            <w:pPr>
              <w:pStyle w:val="EQRTableHeaderCenter"/>
              <w:spacing w:before="144" w:beforeLines="60"/>
              <w:rPr>
                <w:color w:val="000000" w:themeColor="text1"/>
              </w:rPr>
            </w:pPr>
            <w:r w:rsidRPr="00990D3B">
              <w:rPr>
                <w:color w:val="000000" w:themeColor="text1"/>
              </w:rPr>
              <w:t>Network adequacy indicator</w:t>
            </w:r>
          </w:p>
        </w:tc>
        <w:tc>
          <w:tcPr>
            <w:tcW w:w="4501" w:type="dxa"/>
            <w:vAlign w:val="bottom"/>
          </w:tcPr>
          <w:p w:rsidR="00853167" w:rsidRPr="00990D3B" w:rsidP="00BD1FC3" w14:paraId="044C85AF" w14:textId="4CB0CAB7">
            <w:pPr>
              <w:pStyle w:val="EQRTableHeaderCenter"/>
              <w:spacing w:before="144" w:beforeLines="60"/>
              <w:rPr>
                <w:color w:val="000000" w:themeColor="text1"/>
              </w:rPr>
            </w:pPr>
            <w:r w:rsidRPr="00990D3B">
              <w:rPr>
                <w:color w:val="000000" w:themeColor="text1"/>
              </w:rPr>
              <w:t>Definition of network adequacy indicator</w:t>
            </w:r>
          </w:p>
        </w:tc>
      </w:tr>
      <w:tr w14:paraId="29F60D02" w14:textId="77777777" w:rsidTr="00363B07">
        <w:tblPrEx>
          <w:tblW w:w="4955" w:type="pct"/>
          <w:tblLayout w:type="fixed"/>
          <w:tblLook w:val="04A0"/>
        </w:tblPrEx>
        <w:tc>
          <w:tcPr>
            <w:tcW w:w="2515" w:type="dxa"/>
          </w:tcPr>
          <w:p w:rsidR="00EE6B94" w:rsidRPr="00990D3B" w:rsidP="00BD1FC3" w14:paraId="563C4633" w14:textId="6FE265DE">
            <w:pPr>
              <w:pStyle w:val="EQRTableText"/>
              <w:spacing w:before="0"/>
            </w:pPr>
            <w:r w:rsidRPr="00990D3B">
              <w:t>Enrollees</w:t>
            </w:r>
            <w:r w:rsidRPr="00990D3B">
              <w:t xml:space="preserve"> must have access to a </w:t>
            </w:r>
            <w:r w:rsidRPr="00990D3B" w:rsidR="00921D7C">
              <w:t>PCP</w:t>
            </w:r>
            <w:r w:rsidRPr="00990D3B">
              <w:t xml:space="preserve"> office within 30 minutes or 30 miles of their residence</w:t>
            </w:r>
          </w:p>
        </w:tc>
        <w:tc>
          <w:tcPr>
            <w:tcW w:w="2250" w:type="dxa"/>
          </w:tcPr>
          <w:p w:rsidR="00EE6B94" w:rsidRPr="00990D3B" w:rsidP="00BD1FC3" w14:paraId="615DEF96" w14:textId="3DC7AAE5">
            <w:pPr>
              <w:pStyle w:val="EQRTableText"/>
              <w:spacing w:before="0"/>
            </w:pPr>
            <w:r w:rsidRPr="00990D3B">
              <w:t xml:space="preserve">Proportion of </w:t>
            </w:r>
            <w:r w:rsidRPr="00990D3B" w:rsidR="00622633">
              <w:t>enrollees</w:t>
            </w:r>
            <w:r w:rsidRPr="00990D3B">
              <w:t xml:space="preserve"> who have a primary care provider accepting new Medicaid patients within 30 minutes or 30 miles of their residence</w:t>
            </w:r>
          </w:p>
        </w:tc>
        <w:tc>
          <w:tcPr>
            <w:tcW w:w="4501" w:type="dxa"/>
          </w:tcPr>
          <w:p w:rsidR="00EE6B94" w:rsidRPr="00990D3B" w:rsidP="00BD1FC3" w14:paraId="6BBD3E42" w14:textId="2FF3E131">
            <w:pPr>
              <w:pStyle w:val="EQRTableText"/>
              <w:spacing w:before="0"/>
            </w:pPr>
            <w:r w:rsidRPr="00990D3B">
              <w:t>Numerator: Number</w:t>
            </w:r>
            <w:r w:rsidRPr="00990D3B">
              <w:t xml:space="preserve"> of </w:t>
            </w:r>
            <w:r w:rsidRPr="00990D3B" w:rsidR="00622633">
              <w:t>enrollees</w:t>
            </w:r>
            <w:r w:rsidRPr="00990D3B">
              <w:t xml:space="preserve"> for which one or more of the following is true:</w:t>
            </w:r>
          </w:p>
          <w:p w:rsidR="00EE6B94" w:rsidRPr="00990D3B" w:rsidP="00D51BF5" w14:paraId="560A51FA" w14:textId="77777777">
            <w:pPr>
              <w:pStyle w:val="EQRTableTextbullet"/>
            </w:pPr>
            <w:r w:rsidRPr="00990D3B">
              <w:t>An in-network provider office is a 30-minute drive or less from their residence (according to mapping software)</w:t>
            </w:r>
          </w:p>
          <w:p w:rsidR="00EE6B94" w:rsidRPr="00990D3B" w:rsidP="00D51BF5" w14:paraId="64F7C227" w14:textId="77777777">
            <w:pPr>
              <w:pStyle w:val="EQRTableTextbullet"/>
            </w:pPr>
            <w:r w:rsidRPr="00990D3B">
              <w:t xml:space="preserve">An in-network provider office is 30 miles or less by road </w:t>
            </w:r>
            <w:r w:rsidRPr="00990D3B">
              <w:t>from of</w:t>
            </w:r>
            <w:r w:rsidRPr="00990D3B">
              <w:t xml:space="preserve"> their home (according to mapping software) </w:t>
            </w:r>
          </w:p>
          <w:p w:rsidR="00EE6B94" w:rsidRPr="00990D3B" w:rsidP="00BD1FC3" w14:paraId="0FE0464F" w14:textId="73479BF9">
            <w:pPr>
              <w:pStyle w:val="EQRTableText"/>
              <w:spacing w:before="0"/>
            </w:pPr>
            <w:r w:rsidRPr="00990D3B">
              <w:t xml:space="preserve">Denominator: </w:t>
            </w:r>
            <w:r w:rsidRPr="00990D3B" w:rsidR="00CC0AE9">
              <w:t xml:space="preserve">Deduplicated number of Medicaid and CHIP beneficiaries enrolled in the MCP during the measurement period, </w:t>
            </w:r>
            <w:r w:rsidRPr="00990D3B">
              <w:t>except those enrolled only in LTSS MCPs</w:t>
            </w:r>
          </w:p>
        </w:tc>
      </w:tr>
      <w:tr w14:paraId="06FA9AF3" w14:textId="77777777" w:rsidTr="00363B07">
        <w:tblPrEx>
          <w:tblW w:w="4955" w:type="pct"/>
          <w:tblLayout w:type="fixed"/>
          <w:tblLook w:val="04A0"/>
        </w:tblPrEx>
        <w:tc>
          <w:tcPr>
            <w:tcW w:w="2515" w:type="dxa"/>
          </w:tcPr>
          <w:p w:rsidR="001F4AFF" w:rsidRPr="00990D3B" w:rsidP="001F4AFF" w14:paraId="7AB339BB" w14:textId="5370C6CD">
            <w:pPr>
              <w:pStyle w:val="EQRTableText"/>
              <w:spacing w:before="0"/>
            </w:pPr>
            <w:r w:rsidRPr="00990D3B">
              <w:t xml:space="preserve">There must be at least 1 </w:t>
            </w:r>
            <w:r w:rsidRPr="00990D3B" w:rsidR="00FD277F">
              <w:t xml:space="preserve">support </w:t>
            </w:r>
            <w:r w:rsidRPr="00990D3B">
              <w:t>provider for every 25 members served</w:t>
            </w:r>
          </w:p>
        </w:tc>
        <w:tc>
          <w:tcPr>
            <w:tcW w:w="2250" w:type="dxa"/>
          </w:tcPr>
          <w:p w:rsidR="001F4AFF" w:rsidRPr="00990D3B" w:rsidP="001F4AFF" w14:paraId="48BABD62" w14:textId="06FC3B79">
            <w:pPr>
              <w:pStyle w:val="EQRTableText"/>
              <w:spacing w:before="0"/>
            </w:pPr>
            <w:r w:rsidRPr="00990D3B">
              <w:t xml:space="preserve">Proportion of </w:t>
            </w:r>
            <w:r w:rsidRPr="00990D3B">
              <w:t>enrollees</w:t>
            </w:r>
            <w:r w:rsidRPr="00990D3B">
              <w:t xml:space="preserve"> to active </w:t>
            </w:r>
            <w:r w:rsidRPr="00990D3B" w:rsidR="00FD277F">
              <w:t xml:space="preserve">support </w:t>
            </w:r>
            <w:r w:rsidRPr="00990D3B">
              <w:t>providers</w:t>
            </w:r>
          </w:p>
        </w:tc>
        <w:tc>
          <w:tcPr>
            <w:tcW w:w="4501" w:type="dxa"/>
          </w:tcPr>
          <w:p w:rsidR="001F4AFF" w:rsidRPr="00990D3B" w:rsidP="001F4AFF" w14:paraId="4D3998F2" w14:textId="31710DAE">
            <w:pPr>
              <w:pStyle w:val="EQRTableText"/>
              <w:spacing w:before="0"/>
            </w:pPr>
            <w:r w:rsidRPr="00990D3B">
              <w:t xml:space="preserve">Numerator: Number of </w:t>
            </w:r>
            <w:r w:rsidRPr="00990D3B" w:rsidR="00CC0AE9">
              <w:t xml:space="preserve">support </w:t>
            </w:r>
            <w:r w:rsidRPr="00990D3B">
              <w:t>providers actively providing services in the network</w:t>
            </w:r>
            <w:r w:rsidRPr="00990D3B" w:rsidR="00FD277F">
              <w:t xml:space="preserve">. Active status in the network is defined as either: </w:t>
            </w:r>
          </w:p>
          <w:p w:rsidR="00FD277F" w:rsidRPr="00990D3B" w:rsidP="00FD277F" w14:paraId="631FB5D7" w14:textId="24A4AF92">
            <w:pPr>
              <w:pStyle w:val="EQRTableText"/>
              <w:numPr>
                <w:ilvl w:val="0"/>
                <w:numId w:val="270"/>
              </w:numPr>
              <w:spacing w:before="0"/>
            </w:pPr>
            <w:r w:rsidRPr="00990D3B">
              <w:t>Having billed for at least one service in the measurement period, or</w:t>
            </w:r>
          </w:p>
          <w:p w:rsidR="00FD277F" w:rsidRPr="00990D3B" w:rsidP="00921D7C" w14:paraId="0A0884C4" w14:textId="59268FCC">
            <w:pPr>
              <w:pStyle w:val="EQRTableText"/>
              <w:numPr>
                <w:ilvl w:val="0"/>
                <w:numId w:val="270"/>
              </w:numPr>
              <w:spacing w:before="0"/>
            </w:pPr>
            <w:r w:rsidRPr="00990D3B">
              <w:t>Having at least one active enrollee assigned to their caseload during the measurement period</w:t>
            </w:r>
          </w:p>
          <w:p w:rsidR="001F4AFF" w:rsidRPr="00990D3B" w:rsidP="001F4AFF" w14:paraId="3F003B95" w14:textId="46823ED4">
            <w:pPr>
              <w:pStyle w:val="EQRTableText"/>
              <w:spacing w:before="0"/>
            </w:pPr>
            <w:r w:rsidRPr="00990D3B">
              <w:t xml:space="preserve">Denominator: </w:t>
            </w:r>
            <w:r w:rsidRPr="00990D3B" w:rsidR="00FD277F">
              <w:t xml:space="preserve">Deduplicated number of </w:t>
            </w:r>
            <w:r w:rsidRPr="00990D3B">
              <w:t>Medicaid and CHIP beneficiaries enrolled in the MCP</w:t>
            </w:r>
            <w:r w:rsidRPr="00990D3B" w:rsidR="00FD277F">
              <w:t xml:space="preserve"> during the measurement period</w:t>
            </w:r>
          </w:p>
        </w:tc>
      </w:tr>
    </w:tbl>
    <w:p w:rsidR="00D51BF5" w:rsidRPr="00990D3B" w:rsidP="00B5252D" w14:paraId="7DE5FA5B" w14:textId="77777777">
      <w:pPr>
        <w:pStyle w:val="ParagraphContinued"/>
      </w:pPr>
      <w:bookmarkStart w:id="521" w:name="_Toc125619165"/>
    </w:p>
    <w:p w:rsidR="00CC0AE9" w:rsidRPr="00990D3B" w:rsidP="00CC0AE9" w14:paraId="7A37053D" w14:textId="77777777">
      <w:pPr>
        <w:pStyle w:val="Paragraph0"/>
      </w:pPr>
    </w:p>
    <w:p w:rsidR="00CC0AE9" w:rsidRPr="00990D3B" w:rsidP="00CC0AE9" w14:paraId="09B26A80" w14:textId="77777777">
      <w:pPr>
        <w:pStyle w:val="Paragraph0"/>
      </w:pPr>
    </w:p>
    <w:p w:rsidR="00CC0AE9" w:rsidRPr="00990D3B" w:rsidP="00CC0AE9" w14:paraId="133ABDE3" w14:textId="77777777">
      <w:pPr>
        <w:pStyle w:val="Paragraph0"/>
      </w:pPr>
    </w:p>
    <w:p w:rsidR="00CC0AE9" w:rsidRPr="00990D3B" w:rsidP="00CC0AE9" w14:paraId="11B098CD" w14:textId="77777777">
      <w:pPr>
        <w:pStyle w:val="Paragraph0"/>
      </w:pPr>
    </w:p>
    <w:p w:rsidR="00CC0AE9" w:rsidRPr="00990D3B" w:rsidP="00CC0AE9" w14:paraId="00C40192" w14:textId="77777777">
      <w:pPr>
        <w:pStyle w:val="Paragraph0"/>
      </w:pPr>
    </w:p>
    <w:p w:rsidR="00CC0AE9" w:rsidRPr="00990D3B" w:rsidP="00CC0AE9" w14:paraId="091EF17D" w14:textId="77777777">
      <w:pPr>
        <w:pStyle w:val="Paragraph0"/>
      </w:pPr>
    </w:p>
    <w:p w:rsidR="00CC0AE9" w:rsidRPr="00990D3B" w:rsidP="00CC0AE9" w14:paraId="1F15B427" w14:textId="77777777">
      <w:pPr>
        <w:pStyle w:val="Paragraph0"/>
      </w:pPr>
    </w:p>
    <w:p w:rsidR="00CC0AE9" w:rsidRPr="00990D3B" w:rsidP="00CC0AE9" w14:paraId="4807767D" w14:textId="77777777">
      <w:pPr>
        <w:pStyle w:val="Paragraph0"/>
      </w:pPr>
    </w:p>
    <w:p w:rsidR="00CC0AE9" w:rsidRPr="00990D3B" w:rsidP="00CC0AE9" w14:paraId="4B633FD5" w14:textId="77777777">
      <w:pPr>
        <w:pStyle w:val="Paragraph0"/>
      </w:pPr>
    </w:p>
    <w:p w:rsidR="00CC0AE9" w:rsidRPr="00990D3B" w:rsidP="00CC0AE9" w14:paraId="3FDC86ED" w14:textId="77777777">
      <w:pPr>
        <w:pStyle w:val="Paragraph0"/>
      </w:pPr>
    </w:p>
    <w:p w:rsidR="00CC0AE9" w:rsidRPr="00990D3B" w:rsidP="00CC0AE9" w14:paraId="080E6912" w14:textId="77777777">
      <w:pPr>
        <w:pStyle w:val="Paragraph0"/>
      </w:pPr>
    </w:p>
    <w:p w:rsidR="00CC0AE9" w:rsidRPr="00990D3B" w:rsidP="00CC0AE9" w14:paraId="528376F0" w14:textId="77777777">
      <w:pPr>
        <w:pStyle w:val="Paragraph0"/>
      </w:pPr>
    </w:p>
    <w:p w:rsidR="00CC0AE9" w:rsidRPr="00990D3B" w:rsidP="00CC0AE9" w14:paraId="0F34C9FB" w14:textId="77777777">
      <w:pPr>
        <w:pStyle w:val="Paragraph0"/>
      </w:pPr>
    </w:p>
    <w:p w:rsidR="00CC0AE9" w:rsidRPr="00990D3B" w:rsidP="00CC0AE9" w14:paraId="7FCAA769" w14:textId="77777777">
      <w:pPr>
        <w:pStyle w:val="Paragraph0"/>
      </w:pPr>
    </w:p>
    <w:p w:rsidR="00CC0AE9" w:rsidRPr="00990D3B" w:rsidP="00CC0AE9" w14:paraId="6F23D757" w14:textId="77777777">
      <w:pPr>
        <w:pStyle w:val="Paragraph0"/>
      </w:pPr>
    </w:p>
    <w:p w:rsidR="00CC0AE9" w:rsidRPr="00990D3B" w:rsidP="00CC0AE9" w14:paraId="4EE42112" w14:textId="77777777">
      <w:pPr>
        <w:pStyle w:val="Paragraph0"/>
      </w:pPr>
    </w:p>
    <w:p w:rsidR="00AD7FD8" w:rsidRPr="00990D3B" w:rsidP="00BD1FC3" w14:paraId="6C421352" w14:textId="7AC27841">
      <w:pPr>
        <w:pStyle w:val="EQRMarkforExhibitWORKSHEET"/>
      </w:pPr>
      <w:bookmarkStart w:id="522" w:name="WS43"/>
      <w:bookmarkStart w:id="523" w:name="_Toc201751525"/>
      <w:bookmarkEnd w:id="522"/>
      <w:r w:rsidRPr="00990D3B">
        <w:t>Worksheet 4.3. Data Sources for Network Adequacy Validation</w:t>
      </w:r>
      <w:bookmarkEnd w:id="521"/>
      <w:bookmarkEnd w:id="523"/>
    </w:p>
    <w:p w:rsidR="00AD7FD8" w:rsidRPr="00990D3B" w:rsidP="00BD1FC3" w14:paraId="3DEC2155" w14:textId="7765AF46">
      <w:pPr>
        <w:pStyle w:val="EQRNormalSSWORKSHEET"/>
      </w:pPr>
      <w:r w:rsidRPr="00990D3B">
        <w:rPr>
          <w:b/>
          <w:bCs/>
        </w:rPr>
        <w:t xml:space="preserve">Instructions: </w:t>
      </w:r>
      <w:bookmarkStart w:id="524" w:name="_Hlk64544431"/>
      <w:r w:rsidRPr="00990D3B" w:rsidR="00153B4E">
        <w:rPr>
          <w:bCs/>
        </w:rPr>
        <w:t xml:space="preserve">In the </w:t>
      </w:r>
      <w:r w:rsidRPr="00990D3B">
        <w:t>first column of the table below</w:t>
      </w:r>
      <w:r w:rsidRPr="00990D3B" w:rsidR="00153B4E">
        <w:t xml:space="preserve">, list </w:t>
      </w:r>
      <w:r w:rsidRPr="00990D3B">
        <w:t xml:space="preserve">the network adequacy indicators identified in </w:t>
      </w:r>
      <w:hyperlink w:anchor="WS42" w:tooltip="Worksheet 4.2" w:history="1">
        <w:r w:rsidRPr="00990D3B">
          <w:rPr>
            <w:rStyle w:val="Hyperlink"/>
          </w:rPr>
          <w:t>Worksheet 4.2</w:t>
        </w:r>
        <w:bookmarkEnd w:id="524"/>
      </w:hyperlink>
      <w:r w:rsidRPr="00990D3B">
        <w:t>, adding rows as necessary.</w:t>
      </w:r>
      <w:r w:rsidRPr="00990D3B" w:rsidR="00153B4E">
        <w:t xml:space="preserve"> </w:t>
      </w:r>
      <w:r w:rsidRPr="00990D3B" w:rsidR="00CC0AE9">
        <w:t>Fp</w:t>
      </w:r>
      <w:r w:rsidRPr="00990D3B" w:rsidR="00153B4E">
        <w:t>r</w:t>
      </w:r>
      <w:r w:rsidRPr="00990D3B" w:rsidR="00153B4E">
        <w:t xml:space="preserve"> each indicator, list the data source use</w:t>
      </w:r>
      <w:r w:rsidRPr="00990D3B" w:rsidR="001D5300">
        <w:t>d</w:t>
      </w:r>
      <w:r w:rsidRPr="00990D3B" w:rsidR="00153B4E">
        <w:t xml:space="preserve"> to validate the indicator. </w:t>
      </w:r>
      <w:bookmarkStart w:id="525" w:name="_Hlk61436292"/>
      <w:r w:rsidRPr="00990D3B">
        <w:t xml:space="preserve">If multiple data sources </w:t>
      </w:r>
      <w:r w:rsidRPr="00990D3B">
        <w:t>will be</w:t>
      </w:r>
      <w:r w:rsidRPr="00990D3B">
        <w:t xml:space="preserve"> used to validate a given indicator, each data source should be listed in a separate row.</w:t>
      </w:r>
      <w:bookmarkEnd w:id="525"/>
      <w:r w:rsidRPr="00990D3B">
        <w:t xml:space="preserve"> </w:t>
      </w:r>
      <w:r w:rsidRPr="00990D3B" w:rsidR="00153B4E">
        <w:t>F</w:t>
      </w:r>
      <w:r w:rsidRPr="00990D3B">
        <w:t>ill in the rem</w:t>
      </w:r>
      <w:r w:rsidRPr="00990D3B" w:rsidR="00793A36">
        <w:t>ain</w:t>
      </w:r>
      <w:r w:rsidRPr="00990D3B">
        <w:t>ing columns with information about the data source. Definitions for this activity include:</w:t>
      </w:r>
    </w:p>
    <w:p w:rsidR="00AD7FD8" w:rsidRPr="00990D3B" w:rsidP="005E6B62" w14:paraId="26C78D20" w14:textId="534E4600">
      <w:pPr>
        <w:pStyle w:val="EQRNormalSSWSbullet"/>
      </w:pPr>
      <w:bookmarkStart w:id="526" w:name="_Hlk64534110"/>
      <w:r w:rsidRPr="00990D3B">
        <w:rPr>
          <w:b/>
          <w:bCs/>
        </w:rPr>
        <w:t>Network adequacy indicator</w:t>
      </w:r>
      <w:r w:rsidRPr="00990D3B" w:rsidR="00153B4E">
        <w:t xml:space="preserve">. </w:t>
      </w:r>
      <w:r w:rsidRPr="00990D3B">
        <w:t xml:space="preserve">The metric(s) used to assess adherence to the quantitative network adequacy standard required by the state. For example, the network adequacy indicator may be that </w:t>
      </w:r>
      <w:r w:rsidRPr="00990D3B">
        <w:t>enrollees</w:t>
      </w:r>
      <w:r w:rsidRPr="00990D3B">
        <w:t xml:space="preserve"> have access to a primary care provider within 30 miles or 30 minutes from their home. The table below should include all network adequacy indicators identified in </w:t>
      </w:r>
      <w:hyperlink w:anchor="WS42" w:tooltip="Worksheet 4.2" w:history="1">
        <w:r w:rsidRPr="00990D3B">
          <w:rPr>
            <w:rStyle w:val="Hyperlink"/>
          </w:rPr>
          <w:t>Worksheet 4.2</w:t>
        </w:r>
      </w:hyperlink>
      <w:r w:rsidRPr="00990D3B">
        <w:t>.</w:t>
      </w:r>
    </w:p>
    <w:bookmarkEnd w:id="526"/>
    <w:p w:rsidR="00AD7FD8" w:rsidRPr="00990D3B" w:rsidP="005E6B62" w14:paraId="507DD6E5" w14:textId="7B98ACC3">
      <w:pPr>
        <w:pStyle w:val="EQRNormalSSWSbullet"/>
      </w:pPr>
      <w:r w:rsidRPr="00990D3B">
        <w:rPr>
          <w:b/>
          <w:bCs/>
        </w:rPr>
        <w:t>Data source</w:t>
      </w:r>
      <w:r w:rsidRPr="00990D3B" w:rsidR="00153B4E">
        <w:rPr>
          <w:b/>
          <w:bCs/>
        </w:rPr>
        <w:t xml:space="preserve">. </w:t>
      </w:r>
      <w:r w:rsidRPr="00990D3B">
        <w:t xml:space="preserve">The type of data needed to validate a network adequacy indicator. When multiple data sources are used to validate a given indicator, each data source should be listed in a separate row. For example, if validation of time and distance indicators </w:t>
      </w:r>
      <w:r w:rsidRPr="00990D3B">
        <w:t>requires</w:t>
      </w:r>
      <w:r w:rsidRPr="00990D3B">
        <w:t xml:space="preserve"> both provider network and enrollment files, each data source should be listed separately. The year(s) of data should also be listed.</w:t>
      </w:r>
    </w:p>
    <w:p w:rsidR="00AD7FD8" w:rsidRPr="00990D3B" w:rsidP="005E6B62" w14:paraId="06A9F9F8" w14:textId="3CDF3337">
      <w:pPr>
        <w:pStyle w:val="EQRNormalSSWSbullet"/>
      </w:pPr>
      <w:r w:rsidRPr="00990D3B">
        <w:rPr>
          <w:b/>
          <w:bCs/>
        </w:rPr>
        <w:t>Data format and software</w:t>
      </w:r>
      <w:r w:rsidRPr="00990D3B" w:rsidR="00153B4E">
        <w:rPr>
          <w:b/>
          <w:bCs/>
        </w:rPr>
        <w:t xml:space="preserve">. </w:t>
      </w:r>
      <w:r w:rsidRPr="00990D3B">
        <w:t xml:space="preserve">File format for the data source and any digital software needed to access or analyze this file format. Additionally, </w:t>
      </w:r>
      <w:r w:rsidRPr="00990D3B">
        <w:t>should</w:t>
      </w:r>
      <w:r w:rsidRPr="00990D3B">
        <w:t xml:space="preserve"> note if it will need to convert this data to other file formats, and if so, any potential challenges that may occur.</w:t>
      </w:r>
    </w:p>
    <w:p w:rsidR="00AD7FD8" w:rsidRPr="00990D3B" w:rsidP="005E6B62" w14:paraId="41E74C5A" w14:textId="53EA22E6">
      <w:pPr>
        <w:pStyle w:val="EQRNormalSSWSbullet"/>
      </w:pPr>
      <w:r w:rsidRPr="00990D3B">
        <w:rPr>
          <w:b/>
          <w:bCs/>
        </w:rPr>
        <w:t>Variables for network adequacy validation</w:t>
      </w:r>
      <w:r w:rsidRPr="00990D3B" w:rsidR="00153B4E">
        <w:rPr>
          <w:b/>
          <w:bCs/>
        </w:rPr>
        <w:t xml:space="preserve">. </w:t>
      </w:r>
      <w:r w:rsidRPr="00990D3B">
        <w:t xml:space="preserve">All variables within the data source that are needed to complete the validation activity. The EQRO should consider how to utilize different variables for </w:t>
      </w:r>
      <w:r w:rsidRPr="00990D3B" w:rsidR="000468A3">
        <w:t>enrollee</w:t>
      </w:r>
      <w:r w:rsidRPr="00990D3B">
        <w:t xml:space="preserve"> datasets and provider datasets.</w:t>
      </w:r>
    </w:p>
    <w:p w:rsidR="00AD7FD8" w:rsidRPr="00990D3B" w:rsidP="005E6B62" w14:paraId="6168E771" w14:textId="1CC60367">
      <w:pPr>
        <w:pStyle w:val="EQRNormalSSWSbullet"/>
      </w:pPr>
      <w:r w:rsidRPr="00990D3B">
        <w:rPr>
          <w:b/>
          <w:bCs/>
        </w:rPr>
        <w:t>State standards for data accuracy, timeliness, and completion</w:t>
      </w:r>
      <w:r w:rsidRPr="00990D3B" w:rsidR="00153B4E">
        <w:t xml:space="preserve">. </w:t>
      </w:r>
      <w:r w:rsidRPr="00990D3B">
        <w:t>If applicable, any standards set by the state related to data accuracy and completeness. Typically, this applies to data that MCPs collect and submit to the state.</w:t>
      </w:r>
    </w:p>
    <w:p w:rsidR="00AD7FD8" w:rsidRPr="00990D3B" w:rsidP="005E6B62" w14:paraId="1083D696" w14:textId="2FB43CD5">
      <w:pPr>
        <w:pStyle w:val="EQRNormalSSWSbullet"/>
      </w:pPr>
      <w:r w:rsidRPr="00990D3B">
        <w:rPr>
          <w:b/>
          <w:bCs/>
        </w:rPr>
        <w:t>Challenges and notes</w:t>
      </w:r>
      <w:r w:rsidRPr="00990D3B" w:rsidR="00153B4E">
        <w:rPr>
          <w:b/>
          <w:bCs/>
        </w:rPr>
        <w:t>.</w:t>
      </w:r>
      <w:r w:rsidRPr="00990D3B">
        <w:t xml:space="preserve"> </w:t>
      </w:r>
      <w:r w:rsidRPr="00990D3B" w:rsidR="004931B6">
        <w:t>Note a</w:t>
      </w:r>
      <w:r w:rsidRPr="00990D3B">
        <w:t>ny potential challenges in accessing and using the data source, and any additional information that provides context for data validation of the given indicator. If applicable, this column could include hyperlink(s) to the data source or related materials to facilitate validation of the given indicator.</w:t>
      </w:r>
    </w:p>
    <w:p w:rsidR="007C6E3C" w:rsidRPr="00990D3B" w:rsidP="005E6B62" w14:paraId="7D1D09DF" w14:textId="5E967BCD">
      <w:pPr>
        <w:pStyle w:val="EQRNormalSSWORKSHEET"/>
      </w:pPr>
      <w:r w:rsidRPr="00990D3B">
        <w:t>Acronyms: EQRO = External Quality Review Organization; MCP= Managed Care Plan</w:t>
      </w:r>
      <w:r w:rsidRPr="00990D3B" w:rsidR="00997A98">
        <w:t>.</w:t>
      </w:r>
    </w:p>
    <w:p w:rsidR="00AD7FD8" w:rsidRPr="00990D3B" w:rsidP="00BD1FC3" w14:paraId="2CCBE7A0" w14:textId="13634DAD">
      <w:pPr>
        <w:pStyle w:val="EQRNormalSSWORKSHEET"/>
      </w:pPr>
      <w:r w:rsidRPr="00990D3B">
        <w:rPr>
          <w:b/>
          <w:bCs/>
        </w:rPr>
        <w:t>MCP name</w:t>
      </w:r>
      <w:r w:rsidRPr="00990D3B">
        <w:t xml:space="preserve">: </w:t>
      </w:r>
      <w:r w:rsidRPr="00990D3B" w:rsidR="007C6E3C">
        <w:softHyphen/>
      </w:r>
      <w:r w:rsidRPr="00990D3B" w:rsidR="007C6E3C">
        <w:softHyphen/>
        <w:t>_______________________________________________________________</w:t>
      </w:r>
    </w:p>
    <w:tbl>
      <w:tblPr>
        <w:tblStyle w:val="TableGrid"/>
        <w:tblW w:w="5000" w:type="pct"/>
        <w:tblLayout w:type="fixed"/>
        <w:tblLook w:val="04A0"/>
      </w:tblPr>
      <w:tblGrid>
        <w:gridCol w:w="1390"/>
        <w:gridCol w:w="1390"/>
        <w:gridCol w:w="1895"/>
        <w:gridCol w:w="1350"/>
        <w:gridCol w:w="1710"/>
        <w:gridCol w:w="1615"/>
      </w:tblGrid>
      <w:tr w14:paraId="2D8D435C" w14:textId="77777777" w:rsidTr="000F67F7">
        <w:tblPrEx>
          <w:tblW w:w="5000" w:type="pct"/>
          <w:tblLayout w:type="fixed"/>
          <w:tblLook w:val="04A0"/>
        </w:tblPrEx>
        <w:trPr>
          <w:cantSplit/>
          <w:tblHeader/>
        </w:trPr>
        <w:tc>
          <w:tcPr>
            <w:tcW w:w="1390" w:type="dxa"/>
            <w:vAlign w:val="bottom"/>
          </w:tcPr>
          <w:p w:rsidR="00AD7FD8" w:rsidRPr="00990D3B" w:rsidP="00BD1FC3" w14:paraId="2581A245" w14:textId="08441599">
            <w:pPr>
              <w:pStyle w:val="EQRTableHeaderLeft"/>
              <w:rPr>
                <w:color w:val="000000" w:themeColor="text1"/>
              </w:rPr>
            </w:pPr>
            <w:bookmarkStart w:id="527" w:name="_Hlk61427435"/>
            <w:r w:rsidRPr="00990D3B">
              <w:rPr>
                <w:color w:val="000000" w:themeColor="text1"/>
              </w:rPr>
              <w:t>Network</w:t>
            </w:r>
            <w:r w:rsidRPr="00990D3B" w:rsidR="0005662F">
              <w:rPr>
                <w:color w:val="000000" w:themeColor="text1"/>
              </w:rPr>
              <w:t xml:space="preserve"> </w:t>
            </w:r>
            <w:r w:rsidRPr="00990D3B" w:rsidR="00853167">
              <w:rPr>
                <w:color w:val="000000" w:themeColor="text1"/>
              </w:rPr>
              <w:t>a</w:t>
            </w:r>
            <w:r w:rsidRPr="00990D3B">
              <w:rPr>
                <w:color w:val="000000" w:themeColor="text1"/>
              </w:rPr>
              <w:t xml:space="preserve">dequacy </w:t>
            </w:r>
            <w:r w:rsidRPr="00990D3B" w:rsidR="00853167">
              <w:rPr>
                <w:color w:val="000000" w:themeColor="text1"/>
              </w:rPr>
              <w:t>i</w:t>
            </w:r>
            <w:r w:rsidRPr="00990D3B">
              <w:rPr>
                <w:color w:val="000000" w:themeColor="text1"/>
              </w:rPr>
              <w:t>ndicator</w:t>
            </w:r>
          </w:p>
        </w:tc>
        <w:tc>
          <w:tcPr>
            <w:tcW w:w="1390" w:type="dxa"/>
            <w:vAlign w:val="bottom"/>
          </w:tcPr>
          <w:p w:rsidR="00AD7FD8" w:rsidRPr="00990D3B" w:rsidP="00BD1FC3" w14:paraId="793AECEE" w14:textId="7CB97BF1">
            <w:pPr>
              <w:pStyle w:val="EQRTableHeaderCenter"/>
              <w:rPr>
                <w:color w:val="000000" w:themeColor="text1"/>
              </w:rPr>
            </w:pPr>
            <w:r w:rsidRPr="00990D3B">
              <w:rPr>
                <w:color w:val="000000" w:themeColor="text1"/>
              </w:rPr>
              <w:t xml:space="preserve">Data </w:t>
            </w:r>
            <w:r w:rsidRPr="00990D3B" w:rsidR="00853167">
              <w:rPr>
                <w:color w:val="000000" w:themeColor="text1"/>
              </w:rPr>
              <w:t>s</w:t>
            </w:r>
            <w:r w:rsidRPr="00990D3B">
              <w:rPr>
                <w:color w:val="000000" w:themeColor="text1"/>
              </w:rPr>
              <w:t xml:space="preserve">ource and </w:t>
            </w:r>
            <w:r w:rsidRPr="00990D3B" w:rsidR="00853167">
              <w:rPr>
                <w:color w:val="000000" w:themeColor="text1"/>
              </w:rPr>
              <w:t>y</w:t>
            </w:r>
            <w:r w:rsidRPr="00990D3B">
              <w:rPr>
                <w:color w:val="000000" w:themeColor="text1"/>
              </w:rPr>
              <w:t xml:space="preserve">ear(s) of </w:t>
            </w:r>
            <w:r w:rsidRPr="00990D3B" w:rsidR="00853167">
              <w:rPr>
                <w:color w:val="000000" w:themeColor="text1"/>
              </w:rPr>
              <w:t>d</w:t>
            </w:r>
            <w:r w:rsidRPr="00990D3B">
              <w:rPr>
                <w:color w:val="000000" w:themeColor="text1"/>
              </w:rPr>
              <w:t>ata</w:t>
            </w:r>
          </w:p>
        </w:tc>
        <w:tc>
          <w:tcPr>
            <w:tcW w:w="1895" w:type="dxa"/>
            <w:vAlign w:val="bottom"/>
          </w:tcPr>
          <w:p w:rsidR="00AD7FD8" w:rsidRPr="00990D3B" w:rsidP="00BD1FC3" w14:paraId="64A06BAE" w14:textId="696192DE">
            <w:pPr>
              <w:pStyle w:val="EQRTableHeaderCenter"/>
              <w:rPr>
                <w:color w:val="000000" w:themeColor="text1"/>
              </w:rPr>
            </w:pPr>
            <w:r w:rsidRPr="00990D3B">
              <w:rPr>
                <w:color w:val="000000" w:themeColor="text1"/>
              </w:rPr>
              <w:t xml:space="preserve">Data </w:t>
            </w:r>
            <w:r w:rsidRPr="00990D3B" w:rsidR="00853167">
              <w:rPr>
                <w:color w:val="000000" w:themeColor="text1"/>
              </w:rPr>
              <w:t>f</w:t>
            </w:r>
            <w:r w:rsidRPr="00990D3B">
              <w:rPr>
                <w:color w:val="000000" w:themeColor="text1"/>
              </w:rPr>
              <w:t xml:space="preserve">ormat and </w:t>
            </w:r>
            <w:r w:rsidRPr="00990D3B" w:rsidR="00853167">
              <w:rPr>
                <w:color w:val="000000" w:themeColor="text1"/>
              </w:rPr>
              <w:t>a</w:t>
            </w:r>
            <w:r w:rsidRPr="00990D3B">
              <w:rPr>
                <w:color w:val="000000" w:themeColor="text1"/>
              </w:rPr>
              <w:t xml:space="preserve">nalysis </w:t>
            </w:r>
            <w:r w:rsidRPr="00990D3B" w:rsidR="00853167">
              <w:rPr>
                <w:color w:val="000000" w:themeColor="text1"/>
              </w:rPr>
              <w:t>s</w:t>
            </w:r>
            <w:r w:rsidRPr="00990D3B">
              <w:rPr>
                <w:color w:val="000000" w:themeColor="text1"/>
              </w:rPr>
              <w:t>oftware</w:t>
            </w:r>
            <w:r w:rsidRPr="00990D3B" w:rsidR="00783D1D">
              <w:rPr>
                <w:color w:val="000000" w:themeColor="text1"/>
              </w:rPr>
              <w:t xml:space="preserve"> (</w:t>
            </w:r>
            <w:r w:rsidRPr="00990D3B">
              <w:rPr>
                <w:color w:val="000000" w:themeColor="text1"/>
              </w:rPr>
              <w:t>note if conversion required</w:t>
            </w:r>
            <w:r w:rsidRPr="00990D3B" w:rsidR="00783D1D">
              <w:rPr>
                <w:color w:val="000000" w:themeColor="text1"/>
              </w:rPr>
              <w:t>)</w:t>
            </w:r>
          </w:p>
        </w:tc>
        <w:tc>
          <w:tcPr>
            <w:tcW w:w="1350" w:type="dxa"/>
            <w:vAlign w:val="bottom"/>
          </w:tcPr>
          <w:p w:rsidR="00AD7FD8" w:rsidRPr="00990D3B" w:rsidP="00BD1FC3" w14:paraId="794FF0E9" w14:textId="6AF92581">
            <w:pPr>
              <w:pStyle w:val="EQRTableHeaderCenter"/>
              <w:rPr>
                <w:color w:val="000000" w:themeColor="text1"/>
              </w:rPr>
            </w:pPr>
            <w:r w:rsidRPr="00990D3B">
              <w:rPr>
                <w:color w:val="000000" w:themeColor="text1"/>
              </w:rPr>
              <w:t xml:space="preserve">Variables for </w:t>
            </w:r>
            <w:r w:rsidRPr="00990D3B" w:rsidR="00853167">
              <w:rPr>
                <w:color w:val="000000" w:themeColor="text1"/>
              </w:rPr>
              <w:t>n</w:t>
            </w:r>
            <w:r w:rsidRPr="00990D3B">
              <w:rPr>
                <w:color w:val="000000" w:themeColor="text1"/>
              </w:rPr>
              <w:t xml:space="preserve">etwork </w:t>
            </w:r>
            <w:r w:rsidRPr="00990D3B" w:rsidR="00853167">
              <w:rPr>
                <w:color w:val="000000" w:themeColor="text1"/>
              </w:rPr>
              <w:t>a</w:t>
            </w:r>
            <w:r w:rsidRPr="00990D3B">
              <w:rPr>
                <w:color w:val="000000" w:themeColor="text1"/>
              </w:rPr>
              <w:t xml:space="preserve">dequacy </w:t>
            </w:r>
            <w:r w:rsidRPr="00990D3B" w:rsidR="00853167">
              <w:rPr>
                <w:color w:val="000000" w:themeColor="text1"/>
              </w:rPr>
              <w:t>v</w:t>
            </w:r>
            <w:r w:rsidRPr="00990D3B">
              <w:rPr>
                <w:color w:val="000000" w:themeColor="text1"/>
              </w:rPr>
              <w:t>alidation</w:t>
            </w:r>
          </w:p>
        </w:tc>
        <w:tc>
          <w:tcPr>
            <w:tcW w:w="1710" w:type="dxa"/>
            <w:vAlign w:val="bottom"/>
          </w:tcPr>
          <w:p w:rsidR="00AD7FD8" w:rsidRPr="00990D3B" w:rsidP="00BD1FC3" w14:paraId="0ADA20C5" w14:textId="10221AC5">
            <w:pPr>
              <w:pStyle w:val="EQRTableHeaderCenter"/>
              <w:rPr>
                <w:color w:val="000000" w:themeColor="text1"/>
              </w:rPr>
            </w:pPr>
            <w:r w:rsidRPr="00990D3B">
              <w:rPr>
                <w:color w:val="000000" w:themeColor="text1"/>
              </w:rPr>
              <w:t xml:space="preserve">State </w:t>
            </w:r>
            <w:r w:rsidRPr="00990D3B" w:rsidR="00853167">
              <w:rPr>
                <w:color w:val="000000" w:themeColor="text1"/>
              </w:rPr>
              <w:t>s</w:t>
            </w:r>
            <w:r w:rsidRPr="00990D3B">
              <w:rPr>
                <w:color w:val="000000" w:themeColor="text1"/>
              </w:rPr>
              <w:t xml:space="preserve">tandards for </w:t>
            </w:r>
            <w:r w:rsidRPr="00990D3B" w:rsidR="00853167">
              <w:rPr>
                <w:color w:val="000000" w:themeColor="text1"/>
              </w:rPr>
              <w:t>a</w:t>
            </w:r>
            <w:r w:rsidRPr="00990D3B">
              <w:rPr>
                <w:color w:val="000000" w:themeColor="text1"/>
              </w:rPr>
              <w:t xml:space="preserve">ccuracy, </w:t>
            </w:r>
            <w:r w:rsidRPr="00990D3B" w:rsidR="00853167">
              <w:rPr>
                <w:color w:val="000000" w:themeColor="text1"/>
              </w:rPr>
              <w:t>t</w:t>
            </w:r>
            <w:r w:rsidRPr="00990D3B">
              <w:rPr>
                <w:color w:val="000000" w:themeColor="text1"/>
              </w:rPr>
              <w:t xml:space="preserve">imeliness, and </w:t>
            </w:r>
            <w:r w:rsidRPr="00990D3B" w:rsidR="00853167">
              <w:rPr>
                <w:color w:val="000000" w:themeColor="text1"/>
              </w:rPr>
              <w:t>c</w:t>
            </w:r>
            <w:r w:rsidRPr="00990D3B">
              <w:rPr>
                <w:color w:val="000000" w:themeColor="text1"/>
              </w:rPr>
              <w:t>ompletion</w:t>
            </w:r>
          </w:p>
        </w:tc>
        <w:tc>
          <w:tcPr>
            <w:tcW w:w="1615" w:type="dxa"/>
            <w:vAlign w:val="bottom"/>
          </w:tcPr>
          <w:p w:rsidR="00AD7FD8" w:rsidRPr="00990D3B" w:rsidP="00BD1FC3" w14:paraId="6D27DE6F" w14:textId="6E6912E5">
            <w:pPr>
              <w:pStyle w:val="EQRTableHeaderCenter"/>
              <w:rPr>
                <w:color w:val="000000" w:themeColor="text1"/>
              </w:rPr>
            </w:pPr>
            <w:r w:rsidRPr="00990D3B">
              <w:rPr>
                <w:color w:val="000000" w:themeColor="text1"/>
              </w:rPr>
              <w:t xml:space="preserve">Challenges and </w:t>
            </w:r>
            <w:r w:rsidRPr="00990D3B" w:rsidR="00853167">
              <w:rPr>
                <w:color w:val="000000" w:themeColor="text1"/>
              </w:rPr>
              <w:t>n</w:t>
            </w:r>
            <w:r w:rsidRPr="00990D3B">
              <w:rPr>
                <w:color w:val="000000" w:themeColor="text1"/>
              </w:rPr>
              <w:t>otes</w:t>
            </w:r>
          </w:p>
        </w:tc>
      </w:tr>
      <w:bookmarkEnd w:id="527"/>
      <w:tr w14:paraId="50A4FE4C" w14:textId="77777777" w:rsidTr="000F67F7">
        <w:tblPrEx>
          <w:tblW w:w="5000" w:type="pct"/>
          <w:tblLayout w:type="fixed"/>
          <w:tblLook w:val="04A0"/>
        </w:tblPrEx>
        <w:trPr>
          <w:cantSplit/>
        </w:trPr>
        <w:tc>
          <w:tcPr>
            <w:tcW w:w="1390" w:type="dxa"/>
          </w:tcPr>
          <w:p w:rsidR="00AD7FD8" w:rsidRPr="00990D3B" w:rsidP="00BD1FC3" w14:paraId="1F5DDDCA" w14:textId="2D366114">
            <w:pPr>
              <w:pStyle w:val="EQRTableText"/>
              <w:rPr>
                <w:i/>
                <w:iCs/>
              </w:rPr>
            </w:pPr>
          </w:p>
        </w:tc>
        <w:tc>
          <w:tcPr>
            <w:tcW w:w="1390" w:type="dxa"/>
          </w:tcPr>
          <w:p w:rsidR="00AD7FD8" w:rsidRPr="00990D3B" w:rsidP="00BD1FC3" w14:paraId="6F125F27" w14:textId="1A36F73D">
            <w:pPr>
              <w:pStyle w:val="EQRTableText"/>
              <w:rPr>
                <w:i/>
                <w:iCs/>
              </w:rPr>
            </w:pPr>
          </w:p>
        </w:tc>
        <w:tc>
          <w:tcPr>
            <w:tcW w:w="1895" w:type="dxa"/>
          </w:tcPr>
          <w:p w:rsidR="00AD7FD8" w:rsidRPr="00990D3B" w:rsidP="00BD1FC3" w14:paraId="2ED95407" w14:textId="22396C1F">
            <w:pPr>
              <w:pStyle w:val="EQRTableText"/>
              <w:rPr>
                <w:i/>
                <w:iCs/>
              </w:rPr>
            </w:pPr>
          </w:p>
        </w:tc>
        <w:tc>
          <w:tcPr>
            <w:tcW w:w="1350" w:type="dxa"/>
          </w:tcPr>
          <w:p w:rsidR="00AD7FD8" w:rsidRPr="00990D3B" w:rsidP="00BD1FC3" w14:paraId="627969EE" w14:textId="0FF5AE97">
            <w:pPr>
              <w:pStyle w:val="EQRTableText"/>
              <w:rPr>
                <w:i/>
                <w:iCs/>
              </w:rPr>
            </w:pPr>
          </w:p>
        </w:tc>
        <w:tc>
          <w:tcPr>
            <w:tcW w:w="1710" w:type="dxa"/>
          </w:tcPr>
          <w:p w:rsidR="00AD7FD8" w:rsidRPr="00990D3B" w:rsidP="00BD1FC3" w14:paraId="66E1C40C" w14:textId="5F379BB7">
            <w:pPr>
              <w:pStyle w:val="EQRTableText"/>
              <w:rPr>
                <w:i/>
                <w:iCs/>
              </w:rPr>
            </w:pPr>
          </w:p>
        </w:tc>
        <w:tc>
          <w:tcPr>
            <w:tcW w:w="1615" w:type="dxa"/>
          </w:tcPr>
          <w:p w:rsidR="00AD7FD8" w:rsidRPr="00990D3B" w:rsidP="00BD1FC3" w14:paraId="7E2AF279" w14:textId="735D928B">
            <w:pPr>
              <w:pStyle w:val="EQRTableText"/>
              <w:rPr>
                <w:i/>
                <w:iCs/>
              </w:rPr>
            </w:pPr>
          </w:p>
        </w:tc>
      </w:tr>
      <w:tr w14:paraId="43905D4E" w14:textId="77777777" w:rsidTr="000F67F7">
        <w:tblPrEx>
          <w:tblW w:w="5000" w:type="pct"/>
          <w:tblLayout w:type="fixed"/>
          <w:tblLook w:val="04A0"/>
        </w:tblPrEx>
        <w:trPr>
          <w:cantSplit/>
        </w:trPr>
        <w:tc>
          <w:tcPr>
            <w:tcW w:w="1390" w:type="dxa"/>
          </w:tcPr>
          <w:p w:rsidR="00AD7FD8" w:rsidRPr="00990D3B" w:rsidP="00BD1FC3" w14:paraId="64BC8AA4" w14:textId="67CBE13E">
            <w:pPr>
              <w:pStyle w:val="EQRTableText"/>
              <w:rPr>
                <w:i/>
                <w:iCs/>
              </w:rPr>
            </w:pPr>
          </w:p>
        </w:tc>
        <w:tc>
          <w:tcPr>
            <w:tcW w:w="1390" w:type="dxa"/>
          </w:tcPr>
          <w:p w:rsidR="00AD7FD8" w:rsidRPr="00990D3B" w:rsidP="00BD1FC3" w14:paraId="301F9809" w14:textId="138D0661">
            <w:pPr>
              <w:pStyle w:val="EQRTableText"/>
              <w:rPr>
                <w:i/>
                <w:iCs/>
              </w:rPr>
            </w:pPr>
          </w:p>
        </w:tc>
        <w:tc>
          <w:tcPr>
            <w:tcW w:w="1895" w:type="dxa"/>
          </w:tcPr>
          <w:p w:rsidR="00AD7FD8" w:rsidRPr="00990D3B" w:rsidP="00BD1FC3" w14:paraId="47185EAC" w14:textId="73167DE1">
            <w:pPr>
              <w:pStyle w:val="EQRTableText"/>
              <w:rPr>
                <w:i/>
                <w:iCs/>
              </w:rPr>
            </w:pPr>
          </w:p>
        </w:tc>
        <w:tc>
          <w:tcPr>
            <w:tcW w:w="1350" w:type="dxa"/>
          </w:tcPr>
          <w:p w:rsidR="00AD7FD8" w:rsidRPr="00990D3B" w:rsidP="00BD1FC3" w14:paraId="0CF4B851" w14:textId="40E80E95">
            <w:pPr>
              <w:pStyle w:val="EQRTableText"/>
              <w:rPr>
                <w:i/>
                <w:iCs/>
              </w:rPr>
            </w:pPr>
          </w:p>
        </w:tc>
        <w:tc>
          <w:tcPr>
            <w:tcW w:w="1710" w:type="dxa"/>
          </w:tcPr>
          <w:p w:rsidR="00AD7FD8" w:rsidRPr="00990D3B" w:rsidP="00BD1FC3" w14:paraId="234FA803" w14:textId="21844F0F">
            <w:pPr>
              <w:pStyle w:val="EQRTableText"/>
              <w:rPr>
                <w:i/>
                <w:iCs/>
              </w:rPr>
            </w:pPr>
          </w:p>
        </w:tc>
        <w:tc>
          <w:tcPr>
            <w:tcW w:w="1615" w:type="dxa"/>
          </w:tcPr>
          <w:p w:rsidR="00AD7FD8" w:rsidRPr="00990D3B" w:rsidP="00BD1FC3" w14:paraId="41ED317D" w14:textId="6BD9BF9F">
            <w:pPr>
              <w:pStyle w:val="EQRTableText"/>
              <w:rPr>
                <w:i/>
                <w:iCs/>
              </w:rPr>
            </w:pPr>
          </w:p>
        </w:tc>
      </w:tr>
      <w:tr w14:paraId="790F67BA" w14:textId="77777777" w:rsidTr="000F67F7">
        <w:tblPrEx>
          <w:tblW w:w="5000" w:type="pct"/>
          <w:tblLayout w:type="fixed"/>
          <w:tblLook w:val="04A0"/>
        </w:tblPrEx>
        <w:trPr>
          <w:cantSplit/>
        </w:trPr>
        <w:tc>
          <w:tcPr>
            <w:tcW w:w="1390" w:type="dxa"/>
          </w:tcPr>
          <w:p w:rsidR="00AD7FD8" w:rsidRPr="00990D3B" w:rsidP="00BD1FC3" w14:paraId="14584B76" w14:textId="77777777">
            <w:pPr>
              <w:pStyle w:val="EQRTableText"/>
              <w:rPr>
                <w:i/>
                <w:iCs/>
              </w:rPr>
            </w:pPr>
          </w:p>
        </w:tc>
        <w:tc>
          <w:tcPr>
            <w:tcW w:w="1390" w:type="dxa"/>
          </w:tcPr>
          <w:p w:rsidR="00AD7FD8" w:rsidRPr="00990D3B" w:rsidP="00BD1FC3" w14:paraId="1A53A458" w14:textId="77777777">
            <w:pPr>
              <w:pStyle w:val="EQRTableText"/>
              <w:rPr>
                <w:i/>
                <w:iCs/>
              </w:rPr>
            </w:pPr>
          </w:p>
        </w:tc>
        <w:tc>
          <w:tcPr>
            <w:tcW w:w="1895" w:type="dxa"/>
          </w:tcPr>
          <w:p w:rsidR="00AD7FD8" w:rsidRPr="00990D3B" w:rsidP="00BD1FC3" w14:paraId="15D47978" w14:textId="77777777">
            <w:pPr>
              <w:pStyle w:val="EQRTableText"/>
              <w:rPr>
                <w:i/>
                <w:iCs/>
              </w:rPr>
            </w:pPr>
          </w:p>
        </w:tc>
        <w:tc>
          <w:tcPr>
            <w:tcW w:w="1350" w:type="dxa"/>
          </w:tcPr>
          <w:p w:rsidR="00AD7FD8" w:rsidRPr="00990D3B" w:rsidP="00BD1FC3" w14:paraId="1344BE99" w14:textId="77777777">
            <w:pPr>
              <w:pStyle w:val="EQRTableText"/>
              <w:rPr>
                <w:i/>
                <w:iCs/>
              </w:rPr>
            </w:pPr>
          </w:p>
        </w:tc>
        <w:tc>
          <w:tcPr>
            <w:tcW w:w="1710" w:type="dxa"/>
          </w:tcPr>
          <w:p w:rsidR="00AD7FD8" w:rsidRPr="00990D3B" w:rsidP="00BD1FC3" w14:paraId="4F50AA6E" w14:textId="77777777">
            <w:pPr>
              <w:pStyle w:val="EQRTableText"/>
              <w:rPr>
                <w:i/>
                <w:iCs/>
              </w:rPr>
            </w:pPr>
          </w:p>
        </w:tc>
        <w:tc>
          <w:tcPr>
            <w:tcW w:w="1615" w:type="dxa"/>
          </w:tcPr>
          <w:p w:rsidR="00AD7FD8" w:rsidRPr="00990D3B" w:rsidP="00BD1FC3" w14:paraId="64A7164D" w14:textId="77777777">
            <w:pPr>
              <w:pStyle w:val="EQRTableText"/>
              <w:rPr>
                <w:i/>
                <w:iCs/>
              </w:rPr>
            </w:pPr>
          </w:p>
        </w:tc>
      </w:tr>
      <w:tr w14:paraId="319F034D" w14:textId="77777777" w:rsidTr="000F67F7">
        <w:tblPrEx>
          <w:tblW w:w="5000" w:type="pct"/>
          <w:tblLayout w:type="fixed"/>
          <w:tblLook w:val="04A0"/>
        </w:tblPrEx>
        <w:trPr>
          <w:cantSplit/>
        </w:trPr>
        <w:tc>
          <w:tcPr>
            <w:tcW w:w="1390" w:type="dxa"/>
          </w:tcPr>
          <w:p w:rsidR="00AD7FD8" w:rsidRPr="00990D3B" w:rsidP="00BD1FC3" w14:paraId="5F0B5004" w14:textId="77777777">
            <w:pPr>
              <w:pStyle w:val="EQRTableText"/>
              <w:rPr>
                <w:i/>
                <w:iCs/>
              </w:rPr>
            </w:pPr>
          </w:p>
        </w:tc>
        <w:tc>
          <w:tcPr>
            <w:tcW w:w="1390" w:type="dxa"/>
          </w:tcPr>
          <w:p w:rsidR="00AD7FD8" w:rsidRPr="00990D3B" w:rsidP="00BD1FC3" w14:paraId="5009969F" w14:textId="77777777">
            <w:pPr>
              <w:pStyle w:val="EQRTableText"/>
              <w:rPr>
                <w:i/>
                <w:iCs/>
              </w:rPr>
            </w:pPr>
          </w:p>
        </w:tc>
        <w:tc>
          <w:tcPr>
            <w:tcW w:w="1895" w:type="dxa"/>
          </w:tcPr>
          <w:p w:rsidR="00AD7FD8" w:rsidRPr="00990D3B" w:rsidP="00BD1FC3" w14:paraId="1AE4448E" w14:textId="77777777">
            <w:pPr>
              <w:pStyle w:val="EQRTableText"/>
              <w:rPr>
                <w:i/>
                <w:iCs/>
              </w:rPr>
            </w:pPr>
          </w:p>
        </w:tc>
        <w:tc>
          <w:tcPr>
            <w:tcW w:w="1350" w:type="dxa"/>
          </w:tcPr>
          <w:p w:rsidR="00AD7FD8" w:rsidRPr="00990D3B" w:rsidP="00BD1FC3" w14:paraId="4226B98D" w14:textId="77777777">
            <w:pPr>
              <w:pStyle w:val="EQRTableText"/>
              <w:rPr>
                <w:i/>
                <w:iCs/>
              </w:rPr>
            </w:pPr>
          </w:p>
        </w:tc>
        <w:tc>
          <w:tcPr>
            <w:tcW w:w="1710" w:type="dxa"/>
          </w:tcPr>
          <w:p w:rsidR="00AD7FD8" w:rsidRPr="00990D3B" w:rsidP="00BD1FC3" w14:paraId="62A93860" w14:textId="77777777">
            <w:pPr>
              <w:pStyle w:val="EQRTableText"/>
              <w:rPr>
                <w:i/>
                <w:iCs/>
              </w:rPr>
            </w:pPr>
          </w:p>
        </w:tc>
        <w:tc>
          <w:tcPr>
            <w:tcW w:w="1615" w:type="dxa"/>
          </w:tcPr>
          <w:p w:rsidR="00AD7FD8" w:rsidRPr="00990D3B" w:rsidP="00BD1FC3" w14:paraId="10E4B922" w14:textId="77777777">
            <w:pPr>
              <w:pStyle w:val="EQRTableText"/>
              <w:rPr>
                <w:i/>
                <w:iCs/>
              </w:rPr>
            </w:pPr>
          </w:p>
        </w:tc>
      </w:tr>
    </w:tbl>
    <w:p w:rsidR="004F4835" w:rsidRPr="00990D3B" w:rsidP="00BD1FC3" w14:paraId="05518EE1" w14:textId="77777777">
      <w:pPr>
        <w:spacing w:line="240" w:lineRule="auto"/>
        <w:rPr>
          <w:rFonts w:ascii="Arial" w:eastAsia="Calibri" w:hAnsi="Arial"/>
          <w:b/>
          <w:color w:val="000000" w:themeColor="text1"/>
          <w:sz w:val="20"/>
        </w:rPr>
      </w:pPr>
      <w:r w:rsidRPr="00990D3B">
        <w:br w:type="page"/>
      </w:r>
    </w:p>
    <w:p w:rsidR="007C6E3C" w:rsidRPr="00990D3B" w:rsidP="00565EB9" w14:paraId="05C1C9C8" w14:textId="508F147A">
      <w:pPr>
        <w:pStyle w:val="EQRMarkforExhibitWORKSHEET"/>
        <w:rPr>
          <w:bCs/>
        </w:rPr>
      </w:pPr>
      <w:bookmarkStart w:id="528" w:name="_Toc201751526"/>
      <w:r w:rsidRPr="00990D3B">
        <w:t xml:space="preserve">Example </w:t>
      </w:r>
      <w:r w:rsidRPr="00990D3B" w:rsidR="00AC78CD">
        <w:t xml:space="preserve">Worksheet 4.3 Data Sources for </w:t>
      </w:r>
      <w:r w:rsidRPr="00990D3B">
        <w:t xml:space="preserve">Network Adequacy </w:t>
      </w:r>
      <w:r w:rsidRPr="00990D3B" w:rsidR="00AC78CD">
        <w:t>Validation</w:t>
      </w:r>
      <w:bookmarkEnd w:id="528"/>
    </w:p>
    <w:p w:rsidR="007C6E3C" w:rsidRPr="00990D3B" w:rsidP="00BD1FC3" w14:paraId="68DCE69B" w14:textId="4AA12B25">
      <w:pPr>
        <w:pStyle w:val="EQRNormalSSWORKSHEET"/>
        <w:rPr>
          <w:bCs/>
        </w:rPr>
      </w:pPr>
      <w:r w:rsidRPr="00990D3B">
        <w:rPr>
          <w:b/>
          <w:bCs/>
        </w:rPr>
        <w:t xml:space="preserve">MCP name: </w:t>
      </w:r>
      <w:r w:rsidRPr="00990D3B" w:rsidR="0082316E">
        <w:rPr>
          <w:u w:val="single"/>
        </w:rPr>
        <w:t>Plan A</w:t>
      </w:r>
    </w:p>
    <w:tbl>
      <w:tblPr>
        <w:tblStyle w:val="TableGrid"/>
        <w:tblW w:w="5000" w:type="pct"/>
        <w:tblLayout w:type="fixed"/>
        <w:tblLook w:val="04A0"/>
      </w:tblPr>
      <w:tblGrid>
        <w:gridCol w:w="1390"/>
        <w:gridCol w:w="1390"/>
        <w:gridCol w:w="1895"/>
        <w:gridCol w:w="1350"/>
        <w:gridCol w:w="1710"/>
        <w:gridCol w:w="1615"/>
      </w:tblGrid>
      <w:tr w14:paraId="4993741B" w14:textId="77777777" w:rsidTr="00363B07">
        <w:tblPrEx>
          <w:tblW w:w="5000" w:type="pct"/>
          <w:tblLayout w:type="fixed"/>
          <w:tblLook w:val="04A0"/>
        </w:tblPrEx>
        <w:trPr>
          <w:cantSplit/>
          <w:tblHeader/>
        </w:trPr>
        <w:tc>
          <w:tcPr>
            <w:tcW w:w="1390" w:type="dxa"/>
            <w:vAlign w:val="bottom"/>
          </w:tcPr>
          <w:p w:rsidR="00853167" w:rsidRPr="00990D3B" w:rsidP="00BD1FC3" w14:paraId="7D87B553" w14:textId="0EEF1224">
            <w:pPr>
              <w:pStyle w:val="EQRTableHeaderLeft"/>
              <w:rPr>
                <w:color w:val="000000" w:themeColor="text1"/>
              </w:rPr>
            </w:pPr>
            <w:r w:rsidRPr="00990D3B">
              <w:rPr>
                <w:color w:val="000000" w:themeColor="text1"/>
              </w:rPr>
              <w:t>Network adequacy indicator</w:t>
            </w:r>
          </w:p>
        </w:tc>
        <w:tc>
          <w:tcPr>
            <w:tcW w:w="1390" w:type="dxa"/>
            <w:vAlign w:val="bottom"/>
          </w:tcPr>
          <w:p w:rsidR="00853167" w:rsidRPr="00990D3B" w:rsidP="00BD1FC3" w14:paraId="5A443C5E" w14:textId="46C88454">
            <w:pPr>
              <w:pStyle w:val="EQRTableHeaderCenter"/>
              <w:rPr>
                <w:color w:val="000000" w:themeColor="text1"/>
              </w:rPr>
            </w:pPr>
            <w:r w:rsidRPr="00990D3B">
              <w:rPr>
                <w:color w:val="000000" w:themeColor="text1"/>
              </w:rPr>
              <w:t>Data source and year(s) of data</w:t>
            </w:r>
          </w:p>
        </w:tc>
        <w:tc>
          <w:tcPr>
            <w:tcW w:w="1895" w:type="dxa"/>
            <w:vAlign w:val="bottom"/>
          </w:tcPr>
          <w:p w:rsidR="00853167" w:rsidRPr="00990D3B" w:rsidP="00BD1FC3" w14:paraId="06CCCEE0" w14:textId="53D2FD9C">
            <w:pPr>
              <w:pStyle w:val="EQRTableHeaderCenter"/>
              <w:rPr>
                <w:color w:val="000000" w:themeColor="text1"/>
              </w:rPr>
            </w:pPr>
            <w:r w:rsidRPr="00990D3B">
              <w:rPr>
                <w:color w:val="000000" w:themeColor="text1"/>
              </w:rPr>
              <w:t>Data format and analysis software (note if conversion required)</w:t>
            </w:r>
          </w:p>
        </w:tc>
        <w:tc>
          <w:tcPr>
            <w:tcW w:w="1350" w:type="dxa"/>
            <w:vAlign w:val="bottom"/>
          </w:tcPr>
          <w:p w:rsidR="00853167" w:rsidRPr="00990D3B" w:rsidP="00BD1FC3" w14:paraId="7A2909FD" w14:textId="2EE73AD1">
            <w:pPr>
              <w:pStyle w:val="EQRTableHeaderCenter"/>
              <w:rPr>
                <w:color w:val="000000" w:themeColor="text1"/>
              </w:rPr>
            </w:pPr>
            <w:r w:rsidRPr="00990D3B">
              <w:rPr>
                <w:color w:val="000000" w:themeColor="text1"/>
              </w:rPr>
              <w:t>Variables for network adequacy validation</w:t>
            </w:r>
          </w:p>
        </w:tc>
        <w:tc>
          <w:tcPr>
            <w:tcW w:w="1710" w:type="dxa"/>
            <w:vAlign w:val="bottom"/>
          </w:tcPr>
          <w:p w:rsidR="00853167" w:rsidRPr="00990D3B" w:rsidP="00BD1FC3" w14:paraId="13712BF8" w14:textId="56752B34">
            <w:pPr>
              <w:pStyle w:val="EQRTableHeaderCenter"/>
              <w:rPr>
                <w:color w:val="000000" w:themeColor="text1"/>
              </w:rPr>
            </w:pPr>
            <w:r w:rsidRPr="00990D3B">
              <w:rPr>
                <w:color w:val="000000" w:themeColor="text1"/>
              </w:rPr>
              <w:t>State standards for accuracy, timeliness, and completion</w:t>
            </w:r>
          </w:p>
        </w:tc>
        <w:tc>
          <w:tcPr>
            <w:tcW w:w="1615" w:type="dxa"/>
            <w:vAlign w:val="bottom"/>
          </w:tcPr>
          <w:p w:rsidR="00853167" w:rsidRPr="00990D3B" w:rsidP="00BD1FC3" w14:paraId="77B082B6" w14:textId="7BF19541">
            <w:pPr>
              <w:pStyle w:val="EQRTableHeaderCenter"/>
              <w:rPr>
                <w:color w:val="000000" w:themeColor="text1"/>
              </w:rPr>
            </w:pPr>
            <w:r w:rsidRPr="00990D3B">
              <w:rPr>
                <w:color w:val="000000" w:themeColor="text1"/>
              </w:rPr>
              <w:t>Challenges and notes</w:t>
            </w:r>
          </w:p>
        </w:tc>
      </w:tr>
      <w:tr w14:paraId="67A7E7AA" w14:textId="77777777" w:rsidTr="00363B07">
        <w:tblPrEx>
          <w:tblW w:w="5000" w:type="pct"/>
          <w:tblLayout w:type="fixed"/>
          <w:tblLook w:val="04A0"/>
        </w:tblPrEx>
        <w:trPr>
          <w:cantSplit/>
        </w:trPr>
        <w:tc>
          <w:tcPr>
            <w:tcW w:w="1390" w:type="dxa"/>
          </w:tcPr>
          <w:p w:rsidR="007C6E3C" w:rsidRPr="00990D3B" w:rsidP="005E6B62" w14:paraId="38DA108B" w14:textId="6AD7D9A7">
            <w:pPr>
              <w:pStyle w:val="EQRTableText"/>
            </w:pPr>
            <w:r w:rsidRPr="00990D3B">
              <w:t xml:space="preserve">Proportion of beneficiaries who have a </w:t>
            </w:r>
            <w:r w:rsidRPr="00990D3B" w:rsidR="00950980">
              <w:t>PCP</w:t>
            </w:r>
            <w:r w:rsidRPr="00990D3B">
              <w:t xml:space="preserve"> office within 30 minutes or 30 miles of their residence</w:t>
            </w:r>
          </w:p>
        </w:tc>
        <w:tc>
          <w:tcPr>
            <w:tcW w:w="1390" w:type="dxa"/>
          </w:tcPr>
          <w:p w:rsidR="007C6E3C" w:rsidRPr="00990D3B" w:rsidP="005E6B62" w14:paraId="20B96B15" w14:textId="7012261A">
            <w:pPr>
              <w:pStyle w:val="EQRTableText"/>
            </w:pPr>
            <w:r w:rsidRPr="00990D3B">
              <w:t>E</w:t>
            </w:r>
            <w:r w:rsidRPr="00990D3B" w:rsidR="0082316E">
              <w:t>nrollment files</w:t>
            </w:r>
            <w:r w:rsidRPr="00990D3B" w:rsidR="00281693">
              <w:t xml:space="preserve"> (2025)</w:t>
            </w:r>
            <w:r w:rsidRPr="00990D3B" w:rsidR="006D5AB8">
              <w:t xml:space="preserve"> </w:t>
            </w:r>
          </w:p>
        </w:tc>
        <w:tc>
          <w:tcPr>
            <w:tcW w:w="1895" w:type="dxa"/>
          </w:tcPr>
          <w:p w:rsidR="007C6E3C" w:rsidRPr="00990D3B" w:rsidP="005E6B62" w14:paraId="044DBC28" w14:textId="253711BA">
            <w:pPr>
              <w:pStyle w:val="EQRTableText"/>
            </w:pPr>
            <w:r w:rsidRPr="00990D3B">
              <w:t>Comma Separated Value (CSV)</w:t>
            </w:r>
          </w:p>
        </w:tc>
        <w:tc>
          <w:tcPr>
            <w:tcW w:w="1350" w:type="dxa"/>
          </w:tcPr>
          <w:p w:rsidR="007C6E3C" w:rsidRPr="00990D3B" w:rsidP="005E6B62" w14:paraId="3537EE7F" w14:textId="22EBA01F">
            <w:pPr>
              <w:pStyle w:val="EQRTableText"/>
            </w:pPr>
            <w:r w:rsidRPr="00990D3B">
              <w:t>Enrollee</w:t>
            </w:r>
            <w:r w:rsidRPr="00990D3B" w:rsidR="0082316E">
              <w:t xml:space="preserve"> address, </w:t>
            </w:r>
            <w:r w:rsidRPr="00990D3B" w:rsidR="004A5E5A">
              <w:t>enrollee</w:t>
            </w:r>
            <w:r w:rsidRPr="00990D3B" w:rsidR="0082316E">
              <w:t xml:space="preserve"> date of birth, </w:t>
            </w:r>
            <w:r w:rsidRPr="00990D3B" w:rsidR="004A5E5A">
              <w:t>enrollee</w:t>
            </w:r>
            <w:r w:rsidRPr="00990D3B" w:rsidR="0082316E">
              <w:t xml:space="preserve"> plan type</w:t>
            </w:r>
          </w:p>
        </w:tc>
        <w:tc>
          <w:tcPr>
            <w:tcW w:w="1710" w:type="dxa"/>
          </w:tcPr>
          <w:p w:rsidR="007C6E3C" w:rsidRPr="00990D3B" w:rsidP="005E6B62" w14:paraId="3DC55F2B" w14:textId="2E3100C1">
            <w:pPr>
              <w:pStyle w:val="EQRTableText"/>
            </w:pPr>
            <w:r w:rsidRPr="00990D3B">
              <w:t>State requires MCPs to submit updated and accurate enrollment files monthly</w:t>
            </w:r>
            <w:r w:rsidRPr="00990D3B" w:rsidR="0031657A">
              <w:t>.</w:t>
            </w:r>
          </w:p>
        </w:tc>
        <w:tc>
          <w:tcPr>
            <w:tcW w:w="1615" w:type="dxa"/>
          </w:tcPr>
          <w:p w:rsidR="007C6E3C" w:rsidRPr="00990D3B" w:rsidP="005E6B62" w14:paraId="57E0D713" w14:textId="22B5A96A">
            <w:pPr>
              <w:pStyle w:val="EQRTableText"/>
            </w:pPr>
            <w:r w:rsidRPr="00990D3B">
              <w:t xml:space="preserve">State and MCP have noted that in urban regions a significant proportion of </w:t>
            </w:r>
            <w:r w:rsidRPr="00990D3B" w:rsidR="00622633">
              <w:t>enrollees</w:t>
            </w:r>
            <w:r w:rsidRPr="00990D3B">
              <w:t xml:space="preserve"> rely on public transit, rather than driving</w:t>
            </w:r>
            <w:r w:rsidRPr="00990D3B" w:rsidR="0031657A">
              <w:t>.</w:t>
            </w:r>
          </w:p>
        </w:tc>
      </w:tr>
      <w:tr w14:paraId="63616775" w14:textId="77777777" w:rsidTr="00363B07">
        <w:tblPrEx>
          <w:tblW w:w="5000" w:type="pct"/>
          <w:tblLayout w:type="fixed"/>
          <w:tblLook w:val="04A0"/>
        </w:tblPrEx>
        <w:trPr>
          <w:cantSplit/>
        </w:trPr>
        <w:tc>
          <w:tcPr>
            <w:tcW w:w="1390" w:type="dxa"/>
          </w:tcPr>
          <w:p w:rsidR="007C6E3C" w:rsidRPr="00990D3B" w:rsidP="005E6B62" w14:paraId="2F6F56F3" w14:textId="1EE0AAFB">
            <w:pPr>
              <w:pStyle w:val="EQRTableText"/>
            </w:pPr>
            <w:r w:rsidRPr="00990D3B">
              <w:t xml:space="preserve">Proportion of </w:t>
            </w:r>
            <w:r w:rsidRPr="00990D3B" w:rsidR="00622633">
              <w:t>enrollees</w:t>
            </w:r>
            <w:r w:rsidRPr="00990D3B">
              <w:t xml:space="preserve"> who have a </w:t>
            </w:r>
            <w:r w:rsidRPr="00990D3B" w:rsidR="00950980">
              <w:t>PCP</w:t>
            </w:r>
            <w:r w:rsidRPr="00990D3B">
              <w:t xml:space="preserve"> office within 30 minutes or 30 miles of their residence</w:t>
            </w:r>
          </w:p>
        </w:tc>
        <w:tc>
          <w:tcPr>
            <w:tcW w:w="1390" w:type="dxa"/>
          </w:tcPr>
          <w:p w:rsidR="007C6E3C" w:rsidRPr="00990D3B" w:rsidP="005E6B62" w14:paraId="5D677B39" w14:textId="5A226446">
            <w:pPr>
              <w:pStyle w:val="EQRTableText"/>
            </w:pPr>
            <w:r w:rsidRPr="00990D3B">
              <w:t>Provider network data files</w:t>
            </w:r>
            <w:r w:rsidRPr="00990D3B" w:rsidR="00281693">
              <w:t xml:space="preserve"> (2025)</w:t>
            </w:r>
          </w:p>
        </w:tc>
        <w:tc>
          <w:tcPr>
            <w:tcW w:w="1895" w:type="dxa"/>
          </w:tcPr>
          <w:p w:rsidR="007C6E3C" w:rsidRPr="00990D3B" w:rsidP="005E6B62" w14:paraId="65EF1677" w14:textId="6AC3A800">
            <w:pPr>
              <w:pStyle w:val="EQRTableText"/>
            </w:pPr>
            <w:r w:rsidRPr="00990D3B">
              <w:t>CSV</w:t>
            </w:r>
          </w:p>
        </w:tc>
        <w:tc>
          <w:tcPr>
            <w:tcW w:w="1350" w:type="dxa"/>
          </w:tcPr>
          <w:p w:rsidR="0082316E" w:rsidRPr="00990D3B" w:rsidP="005E6B62" w14:paraId="203DCE7D" w14:textId="6083646F">
            <w:pPr>
              <w:pStyle w:val="EQRTableText"/>
            </w:pPr>
            <w:r w:rsidRPr="00990D3B">
              <w:t>Provider address, provider type</w:t>
            </w:r>
          </w:p>
        </w:tc>
        <w:tc>
          <w:tcPr>
            <w:tcW w:w="1710" w:type="dxa"/>
          </w:tcPr>
          <w:p w:rsidR="007C6E3C" w:rsidRPr="00990D3B" w:rsidP="005E6B62" w14:paraId="7E276387" w14:textId="4FC0D9FB">
            <w:pPr>
              <w:pStyle w:val="EQRTableText"/>
            </w:pPr>
            <w:r w:rsidRPr="00990D3B">
              <w:t>State requires MCPs to submit updated and accurate provider network data files quarterly. The state flags and rejects data in which provider type is not specified.</w:t>
            </w:r>
          </w:p>
        </w:tc>
        <w:tc>
          <w:tcPr>
            <w:tcW w:w="1615" w:type="dxa"/>
          </w:tcPr>
          <w:p w:rsidR="007C6E3C" w:rsidRPr="00990D3B" w:rsidP="005E6B62" w14:paraId="4822353E" w14:textId="188BD61D">
            <w:pPr>
              <w:pStyle w:val="EQRTableText"/>
            </w:pPr>
            <w:r w:rsidRPr="00990D3B">
              <w:t xml:space="preserve">State and MCP have noted challenges keeping provider network data up to date; provider network data also do not include information about accommodations for </w:t>
            </w:r>
            <w:r w:rsidRPr="00990D3B" w:rsidR="00622633">
              <w:t>enrollees</w:t>
            </w:r>
            <w:r w:rsidRPr="00990D3B">
              <w:t xml:space="preserve"> with physical disabilities or low English proficiency</w:t>
            </w:r>
            <w:r w:rsidRPr="00990D3B" w:rsidR="0031657A">
              <w:t>.</w:t>
            </w:r>
          </w:p>
        </w:tc>
      </w:tr>
      <w:tr w14:paraId="0FCB772A" w14:textId="77777777" w:rsidTr="00363B07">
        <w:tblPrEx>
          <w:tblW w:w="5000" w:type="pct"/>
          <w:tblLayout w:type="fixed"/>
          <w:tblLook w:val="04A0"/>
        </w:tblPrEx>
        <w:trPr>
          <w:cantSplit/>
        </w:trPr>
        <w:tc>
          <w:tcPr>
            <w:tcW w:w="1390" w:type="dxa"/>
          </w:tcPr>
          <w:p w:rsidR="00623029" w:rsidRPr="00990D3B" w:rsidP="00623029" w14:paraId="1845765C" w14:textId="1863DA35">
            <w:pPr>
              <w:pStyle w:val="EQRTableText"/>
            </w:pPr>
            <w:r w:rsidRPr="00990D3B">
              <w:t xml:space="preserve">Proportion of </w:t>
            </w:r>
            <w:r w:rsidRPr="00990D3B">
              <w:t>enrollees</w:t>
            </w:r>
            <w:r w:rsidRPr="00990D3B">
              <w:t xml:space="preserve"> to active support providers</w:t>
            </w:r>
          </w:p>
        </w:tc>
        <w:tc>
          <w:tcPr>
            <w:tcW w:w="1390" w:type="dxa"/>
          </w:tcPr>
          <w:p w:rsidR="00623029" w:rsidRPr="00990D3B" w:rsidP="00623029" w14:paraId="3BDA7772" w14:textId="1FB4CC1E">
            <w:pPr>
              <w:pStyle w:val="EQRTableText"/>
            </w:pPr>
            <w:r w:rsidRPr="00990D3B">
              <w:t xml:space="preserve">Enrollment files (2025) </w:t>
            </w:r>
          </w:p>
        </w:tc>
        <w:tc>
          <w:tcPr>
            <w:tcW w:w="1895" w:type="dxa"/>
          </w:tcPr>
          <w:p w:rsidR="00623029" w:rsidRPr="00990D3B" w:rsidP="00623029" w14:paraId="472529F4" w14:textId="70D2B472">
            <w:pPr>
              <w:pStyle w:val="EQRTableText"/>
            </w:pPr>
            <w:r w:rsidRPr="00990D3B">
              <w:t>CSV</w:t>
            </w:r>
          </w:p>
        </w:tc>
        <w:tc>
          <w:tcPr>
            <w:tcW w:w="1350" w:type="dxa"/>
          </w:tcPr>
          <w:p w:rsidR="00623029" w:rsidRPr="00990D3B" w:rsidP="00623029" w14:paraId="77C751CD" w14:textId="253B4BF5">
            <w:pPr>
              <w:pStyle w:val="EQRTableText"/>
            </w:pPr>
            <w:r w:rsidRPr="00990D3B">
              <w:t>Enrollee address, enrollee date of birth, enrollee plan type</w:t>
            </w:r>
          </w:p>
        </w:tc>
        <w:tc>
          <w:tcPr>
            <w:tcW w:w="1710" w:type="dxa"/>
          </w:tcPr>
          <w:p w:rsidR="00623029" w:rsidRPr="00990D3B" w:rsidP="00623029" w14:paraId="349A0F59" w14:textId="06AD861B">
            <w:pPr>
              <w:pStyle w:val="EQRTableText"/>
            </w:pPr>
            <w:r w:rsidRPr="00990D3B">
              <w:t>State requires MCPs to submit updated and accurate enrollment files monthly</w:t>
            </w:r>
          </w:p>
        </w:tc>
        <w:tc>
          <w:tcPr>
            <w:tcW w:w="1615" w:type="dxa"/>
          </w:tcPr>
          <w:p w:rsidR="00623029" w:rsidRPr="00990D3B" w:rsidP="00623029" w14:paraId="154B9623" w14:textId="269E71F1">
            <w:pPr>
              <w:pStyle w:val="EQRTableText"/>
            </w:pPr>
            <w:r w:rsidRPr="00990D3B">
              <w:t xml:space="preserve">State and MCP note that rural participants have </w:t>
            </w:r>
            <w:r w:rsidRPr="00990D3B" w:rsidR="0031657A">
              <w:t>difficulty</w:t>
            </w:r>
            <w:r w:rsidRPr="00990D3B">
              <w:t xml:space="preserve"> utilizing telehealth providers due to lack of reliable internet connectivity</w:t>
            </w:r>
            <w:r w:rsidRPr="00990D3B" w:rsidR="0031657A">
              <w:t>.</w:t>
            </w:r>
          </w:p>
        </w:tc>
      </w:tr>
      <w:tr w14:paraId="4BEC446B" w14:textId="77777777" w:rsidTr="00363B07">
        <w:tblPrEx>
          <w:tblW w:w="5000" w:type="pct"/>
          <w:tblLayout w:type="fixed"/>
          <w:tblLook w:val="04A0"/>
        </w:tblPrEx>
        <w:trPr>
          <w:cantSplit/>
        </w:trPr>
        <w:tc>
          <w:tcPr>
            <w:tcW w:w="1390" w:type="dxa"/>
          </w:tcPr>
          <w:p w:rsidR="00623029" w:rsidRPr="00990D3B" w:rsidP="00623029" w14:paraId="1F005CBB" w14:textId="49B6E62A">
            <w:pPr>
              <w:pStyle w:val="EQRTableText"/>
            </w:pPr>
            <w:r w:rsidRPr="00990D3B">
              <w:t xml:space="preserve">Proportion of </w:t>
            </w:r>
            <w:r w:rsidRPr="00990D3B">
              <w:t>enrollees</w:t>
            </w:r>
            <w:r w:rsidRPr="00990D3B">
              <w:t xml:space="preserve"> to active support providers</w:t>
            </w:r>
          </w:p>
        </w:tc>
        <w:tc>
          <w:tcPr>
            <w:tcW w:w="1390" w:type="dxa"/>
          </w:tcPr>
          <w:p w:rsidR="00623029" w:rsidRPr="00990D3B" w:rsidP="00623029" w14:paraId="6BF22C73" w14:textId="7607502B">
            <w:pPr>
              <w:pStyle w:val="EQRTableText"/>
            </w:pPr>
            <w:r w:rsidRPr="00990D3B">
              <w:t>Provider network data files (2025)</w:t>
            </w:r>
          </w:p>
        </w:tc>
        <w:tc>
          <w:tcPr>
            <w:tcW w:w="1895" w:type="dxa"/>
          </w:tcPr>
          <w:p w:rsidR="00623029" w:rsidRPr="00990D3B" w:rsidP="00623029" w14:paraId="44A032A9" w14:textId="4D6844B5">
            <w:pPr>
              <w:pStyle w:val="EQRTableText"/>
            </w:pPr>
            <w:r w:rsidRPr="00990D3B">
              <w:t>CSV</w:t>
            </w:r>
          </w:p>
        </w:tc>
        <w:tc>
          <w:tcPr>
            <w:tcW w:w="1350" w:type="dxa"/>
          </w:tcPr>
          <w:p w:rsidR="00623029" w:rsidRPr="00990D3B" w:rsidP="00623029" w14:paraId="50C45309" w14:textId="3420BADB">
            <w:pPr>
              <w:pStyle w:val="EQRTableText"/>
            </w:pPr>
            <w:r w:rsidRPr="00990D3B">
              <w:t>Provider address, provider type</w:t>
            </w:r>
          </w:p>
        </w:tc>
        <w:tc>
          <w:tcPr>
            <w:tcW w:w="1710" w:type="dxa"/>
          </w:tcPr>
          <w:p w:rsidR="00623029" w:rsidRPr="00990D3B" w:rsidP="00623029" w14:paraId="16B271B7" w14:textId="07749F89">
            <w:pPr>
              <w:pStyle w:val="EQRTableText"/>
            </w:pPr>
            <w:r w:rsidRPr="00990D3B">
              <w:t>State requires MCPs to submit updated and accurate provider network data files quarterly. The state flags and rejects data in which provider type is not specified.</w:t>
            </w:r>
          </w:p>
        </w:tc>
        <w:tc>
          <w:tcPr>
            <w:tcW w:w="1615" w:type="dxa"/>
          </w:tcPr>
          <w:p w:rsidR="00623029" w:rsidRPr="00990D3B" w:rsidP="00623029" w14:paraId="56C12D1B" w14:textId="5E61751F">
            <w:pPr>
              <w:pStyle w:val="EQRTableText"/>
            </w:pPr>
            <w:r w:rsidRPr="00990D3B">
              <w:t>State and MCP have noted challenges keeping provider network data up to date; provider network data also include</w:t>
            </w:r>
            <w:r w:rsidRPr="00990D3B" w:rsidR="00AE4C8C">
              <w:t>s limited</w:t>
            </w:r>
            <w:r w:rsidRPr="00990D3B">
              <w:t xml:space="preserve"> information about telehealth service</w:t>
            </w:r>
            <w:r w:rsidRPr="00990D3B" w:rsidR="00AE4C8C">
              <w:t xml:space="preserve"> options</w:t>
            </w:r>
            <w:r w:rsidRPr="00990D3B" w:rsidR="0031657A">
              <w:t>.</w:t>
            </w:r>
            <w:r w:rsidRPr="00990D3B">
              <w:t xml:space="preserve"> </w:t>
            </w:r>
          </w:p>
        </w:tc>
      </w:tr>
    </w:tbl>
    <w:p w:rsidR="005E6B62" w:rsidRPr="00990D3B" w:rsidP="005E6B62" w14:paraId="0EECDDD7" w14:textId="590A2C5C">
      <w:pPr>
        <w:pStyle w:val="ListNumber3"/>
      </w:pPr>
    </w:p>
    <w:p w:rsidR="00AD7FD8" w:rsidRPr="00990D3B" w:rsidP="00B50220" w14:paraId="30073C60" w14:textId="4DB98CD6">
      <w:pPr>
        <w:pStyle w:val="ListNumber3"/>
        <w:rPr>
          <w:rFonts w:asciiTheme="majorHAnsi" w:hAnsiTheme="majorHAnsi" w:cstheme="majorHAnsi"/>
          <w:b/>
          <w:bCs/>
          <w:sz w:val="19"/>
          <w:szCs w:val="19"/>
        </w:rPr>
      </w:pPr>
      <w:r w:rsidRPr="00990D3B">
        <w:br w:type="page"/>
      </w:r>
      <w:bookmarkStart w:id="529" w:name="WS44"/>
      <w:bookmarkStart w:id="530" w:name="_Toc125619166"/>
      <w:bookmarkStart w:id="531" w:name="_Toc201751527"/>
      <w:bookmarkEnd w:id="529"/>
      <w:r w:rsidRPr="00990D3B">
        <w:rPr>
          <w:rFonts w:asciiTheme="majorHAnsi" w:hAnsiTheme="majorHAnsi" w:cstheme="majorHAnsi"/>
          <w:b/>
          <w:bCs/>
          <w:sz w:val="19"/>
          <w:szCs w:val="19"/>
        </w:rPr>
        <w:t>Worksheet 4.4. Network Adequacy Data Concerns Identified in Review of ISCA</w:t>
      </w:r>
      <w:bookmarkEnd w:id="530"/>
      <w:bookmarkEnd w:id="531"/>
    </w:p>
    <w:p w:rsidR="005E6B62" w:rsidRPr="00990D3B" w:rsidP="005E6B62" w14:paraId="5217006A" w14:textId="64F02A2B">
      <w:pPr>
        <w:pStyle w:val="EQRNormalSSWORKSHEET"/>
      </w:pPr>
      <w:r w:rsidRPr="00990D3B">
        <w:rPr>
          <w:b/>
          <w:bCs/>
        </w:rPr>
        <w:t>Instructions</w:t>
      </w:r>
      <w:r w:rsidRPr="00990D3B" w:rsidR="00153B4E">
        <w:rPr>
          <w:b/>
          <w:bCs/>
        </w:rPr>
        <w:t xml:space="preserve">. </w:t>
      </w:r>
      <w:r w:rsidRPr="00990D3B" w:rsidR="00153B4E">
        <w:t>In the</w:t>
      </w:r>
      <w:r w:rsidRPr="00990D3B" w:rsidR="00153B4E">
        <w:rPr>
          <w:b/>
          <w:bCs/>
        </w:rPr>
        <w:t xml:space="preserve"> </w:t>
      </w:r>
      <w:r w:rsidRPr="00990D3B">
        <w:t>first column of the table below</w:t>
      </w:r>
      <w:r w:rsidRPr="00990D3B" w:rsidR="00153B4E">
        <w:t xml:space="preserve">, list the </w:t>
      </w:r>
      <w:r w:rsidRPr="00990D3B">
        <w:t xml:space="preserve">data sources identified in </w:t>
      </w:r>
      <w:hyperlink w:anchor="P4Act2Step1" w:tooltip="Activity 2, Step 1" w:history="1">
        <w:r w:rsidRPr="00990D3B">
          <w:rPr>
            <w:rStyle w:val="Hyperlink"/>
          </w:rPr>
          <w:t>Activity 2, Step 1</w:t>
        </w:r>
      </w:hyperlink>
      <w:r w:rsidRPr="00990D3B">
        <w:t xml:space="preserve"> (</w:t>
      </w:r>
      <w:hyperlink w:anchor="WS43" w:tooltip="Worksheet 4.3" w:history="1">
        <w:r w:rsidRPr="00990D3B">
          <w:rPr>
            <w:rStyle w:val="Hyperlink"/>
          </w:rPr>
          <w:t>Worksheet</w:t>
        </w:r>
        <w:r w:rsidRPr="00990D3B">
          <w:rPr>
            <w:rStyle w:val="Hyperlink"/>
          </w:rPr>
          <w:t> </w:t>
        </w:r>
        <w:r w:rsidRPr="00990D3B">
          <w:rPr>
            <w:rStyle w:val="Hyperlink"/>
          </w:rPr>
          <w:t>4.3</w:t>
        </w:r>
      </w:hyperlink>
      <w:r w:rsidRPr="00990D3B">
        <w:t xml:space="preserve">) that are covered in the ISCA. If </w:t>
      </w:r>
      <w:r w:rsidRPr="00990D3B" w:rsidR="004931B6">
        <w:t>there are</w:t>
      </w:r>
      <w:r w:rsidRPr="00990D3B">
        <w:t xml:space="preserve"> concerns related to a given data source </w:t>
      </w:r>
      <w:r w:rsidRPr="00990D3B" w:rsidR="004931B6">
        <w:t xml:space="preserve">identified when reviewing the </w:t>
      </w:r>
      <w:r w:rsidRPr="00990D3B">
        <w:t xml:space="preserve">ISCA findings, fill in the remaining columns to describe the concern and potential workarounds. If no data concerns are identified for a given data source, enter “Not identified” in the </w:t>
      </w:r>
      <w:r w:rsidRPr="00990D3B" w:rsidR="00153B4E">
        <w:t>“Data concern”</w:t>
      </w:r>
      <w:r w:rsidRPr="00990D3B">
        <w:t xml:space="preserve"> column.</w:t>
      </w:r>
    </w:p>
    <w:p w:rsidR="0082316E" w:rsidRPr="00990D3B" w:rsidP="005E6B62" w14:paraId="025BB50E" w14:textId="7929C27C">
      <w:pPr>
        <w:pStyle w:val="EQRNormalSSWORKSHEET"/>
        <w:rPr>
          <w:rFonts w:cs="Arial"/>
        </w:rPr>
      </w:pPr>
      <w:r w:rsidRPr="00990D3B">
        <w:rPr>
          <w:rFonts w:cs="Arial"/>
        </w:rPr>
        <w:t xml:space="preserve">Acronyms: EQRO = External Quality Review Organization; </w:t>
      </w:r>
      <w:r w:rsidRPr="00990D3B" w:rsidR="00997A98">
        <w:rPr>
          <w:rFonts w:cs="Arial"/>
        </w:rPr>
        <w:t>ISCA</w:t>
      </w:r>
      <w:r w:rsidRPr="00990D3B">
        <w:rPr>
          <w:rFonts w:cs="Arial"/>
        </w:rPr>
        <w:t xml:space="preserve"> =</w:t>
      </w:r>
      <w:r w:rsidRPr="00990D3B" w:rsidR="00997A98">
        <w:rPr>
          <w:rFonts w:cs="Arial"/>
        </w:rPr>
        <w:t xml:space="preserve"> Information System Capacity Assessment;</w:t>
      </w:r>
      <w:r w:rsidRPr="00990D3B">
        <w:rPr>
          <w:rFonts w:cs="Arial"/>
        </w:rPr>
        <w:t xml:space="preserve"> MCP= Managed Care Plan</w:t>
      </w:r>
      <w:r w:rsidRPr="00990D3B" w:rsidR="00997A98">
        <w:rPr>
          <w:rFonts w:cs="Arial"/>
        </w:rPr>
        <w:t>.</w:t>
      </w:r>
    </w:p>
    <w:p w:rsidR="0082316E" w:rsidRPr="00990D3B" w:rsidP="00BD1FC3" w14:paraId="0AD60F0E" w14:textId="7F27759A">
      <w:pPr>
        <w:pStyle w:val="EQRNormalSSWORKSHEET"/>
      </w:pPr>
      <w:r w:rsidRPr="00990D3B">
        <w:rPr>
          <w:b/>
          <w:bCs/>
        </w:rPr>
        <w:t>MCP name</w:t>
      </w:r>
      <w:r w:rsidRPr="00990D3B">
        <w:t xml:space="preserve">: </w:t>
      </w:r>
      <w:r w:rsidRPr="00990D3B" w:rsidR="004F4835">
        <w:rPr>
          <w:rFonts w:asciiTheme="majorHAnsi" w:hAnsiTheme="majorHAnsi" w:cstheme="majorHAnsi"/>
          <w:szCs w:val="14"/>
        </w:rPr>
        <w:t>________________________________</w:t>
      </w:r>
    </w:p>
    <w:tbl>
      <w:tblPr>
        <w:tblStyle w:val="TableGrid"/>
        <w:tblW w:w="5000" w:type="pct"/>
        <w:tblLayout w:type="fixed"/>
        <w:tblLook w:val="04A0"/>
      </w:tblPr>
      <w:tblGrid>
        <w:gridCol w:w="1361"/>
        <w:gridCol w:w="1604"/>
        <w:gridCol w:w="540"/>
        <w:gridCol w:w="630"/>
        <w:gridCol w:w="540"/>
        <w:gridCol w:w="630"/>
        <w:gridCol w:w="540"/>
        <w:gridCol w:w="630"/>
        <w:gridCol w:w="2875"/>
      </w:tblGrid>
      <w:tr w14:paraId="64770756" w14:textId="77777777" w:rsidTr="00A66118">
        <w:tblPrEx>
          <w:tblW w:w="5000" w:type="pct"/>
          <w:tblLayout w:type="fixed"/>
          <w:tblLook w:val="04A0"/>
        </w:tblPrEx>
        <w:trPr>
          <w:trHeight w:val="136"/>
        </w:trPr>
        <w:tc>
          <w:tcPr>
            <w:tcW w:w="1361" w:type="dxa"/>
            <w:vMerge w:val="restart"/>
            <w:vAlign w:val="bottom"/>
          </w:tcPr>
          <w:p w:rsidR="0082316E" w:rsidRPr="00990D3B" w:rsidP="00BD1FC3" w14:paraId="510C4987" w14:textId="5E60A91E">
            <w:pPr>
              <w:pStyle w:val="EQRTableHeaderLeft"/>
              <w:rPr>
                <w:color w:val="000000" w:themeColor="text1"/>
              </w:rPr>
            </w:pPr>
            <w:r w:rsidRPr="00990D3B">
              <w:rPr>
                <w:color w:val="000000" w:themeColor="text1"/>
              </w:rPr>
              <w:t xml:space="preserve">Data </w:t>
            </w:r>
            <w:r w:rsidRPr="00990D3B" w:rsidR="00853167">
              <w:rPr>
                <w:color w:val="000000" w:themeColor="text1"/>
              </w:rPr>
              <w:t>s</w:t>
            </w:r>
            <w:r w:rsidRPr="00990D3B">
              <w:rPr>
                <w:color w:val="000000" w:themeColor="text1"/>
              </w:rPr>
              <w:t>ource</w:t>
            </w:r>
          </w:p>
        </w:tc>
        <w:tc>
          <w:tcPr>
            <w:tcW w:w="1604" w:type="dxa"/>
            <w:vMerge w:val="restart"/>
            <w:vAlign w:val="bottom"/>
          </w:tcPr>
          <w:p w:rsidR="0082316E" w:rsidRPr="00990D3B" w:rsidP="00BD1FC3" w14:paraId="5F6D97C8" w14:textId="0CFC6A12">
            <w:pPr>
              <w:pStyle w:val="EQRTableHeaderCenter"/>
              <w:rPr>
                <w:color w:val="000000" w:themeColor="text1"/>
              </w:rPr>
            </w:pPr>
            <w:r w:rsidRPr="00990D3B">
              <w:rPr>
                <w:color w:val="000000" w:themeColor="text1"/>
              </w:rPr>
              <w:t xml:space="preserve">Data </w:t>
            </w:r>
            <w:r w:rsidRPr="00990D3B" w:rsidR="00853167">
              <w:rPr>
                <w:color w:val="000000" w:themeColor="text1"/>
              </w:rPr>
              <w:t>c</w:t>
            </w:r>
            <w:r w:rsidRPr="00990D3B">
              <w:rPr>
                <w:color w:val="000000" w:themeColor="text1"/>
              </w:rPr>
              <w:t>oncern</w:t>
            </w:r>
          </w:p>
        </w:tc>
        <w:tc>
          <w:tcPr>
            <w:tcW w:w="3510" w:type="dxa"/>
            <w:gridSpan w:val="6"/>
          </w:tcPr>
          <w:p w:rsidR="0082316E" w:rsidRPr="00990D3B" w:rsidP="00BD1FC3" w14:paraId="0A64C866" w14:textId="77777777">
            <w:pPr>
              <w:pStyle w:val="EQRTableHeaderCenter"/>
              <w:rPr>
                <w:color w:val="000000" w:themeColor="text1"/>
              </w:rPr>
            </w:pPr>
            <w:r w:rsidRPr="00990D3B">
              <w:rPr>
                <w:color w:val="000000" w:themeColor="text1"/>
              </w:rPr>
              <w:t>Type (check boxes)</w:t>
            </w:r>
          </w:p>
        </w:tc>
        <w:tc>
          <w:tcPr>
            <w:tcW w:w="2875" w:type="dxa"/>
            <w:vMerge w:val="restart"/>
            <w:vAlign w:val="bottom"/>
          </w:tcPr>
          <w:p w:rsidR="0082316E" w:rsidRPr="00990D3B" w:rsidP="00BD1FC3" w14:paraId="5768A461" w14:textId="3E73A26B">
            <w:pPr>
              <w:pStyle w:val="EQRTableHeaderCenter"/>
              <w:rPr>
                <w:color w:val="000000" w:themeColor="text1"/>
              </w:rPr>
            </w:pPr>
            <w:r w:rsidRPr="00990D3B">
              <w:rPr>
                <w:color w:val="000000" w:themeColor="text1"/>
              </w:rPr>
              <w:t xml:space="preserve">Potential </w:t>
            </w:r>
            <w:r w:rsidRPr="00990D3B" w:rsidR="00853167">
              <w:rPr>
                <w:color w:val="000000" w:themeColor="text1"/>
              </w:rPr>
              <w:t>s</w:t>
            </w:r>
            <w:r w:rsidRPr="00990D3B">
              <w:rPr>
                <w:color w:val="000000" w:themeColor="text1"/>
              </w:rPr>
              <w:t xml:space="preserve">olutions or </w:t>
            </w:r>
            <w:r w:rsidRPr="00990D3B" w:rsidR="00853167">
              <w:rPr>
                <w:color w:val="000000" w:themeColor="text1"/>
              </w:rPr>
              <w:t>w</w:t>
            </w:r>
            <w:r w:rsidRPr="00990D3B">
              <w:rPr>
                <w:color w:val="000000" w:themeColor="text1"/>
              </w:rPr>
              <w:t>orkarounds</w:t>
            </w:r>
          </w:p>
        </w:tc>
      </w:tr>
      <w:tr w14:paraId="3EFDE7BE" w14:textId="77777777" w:rsidTr="00A66118">
        <w:tblPrEx>
          <w:tblW w:w="5000" w:type="pct"/>
          <w:tblLayout w:type="fixed"/>
          <w:tblLook w:val="04A0"/>
        </w:tblPrEx>
        <w:trPr>
          <w:trHeight w:val="1628"/>
        </w:trPr>
        <w:tc>
          <w:tcPr>
            <w:tcW w:w="1361" w:type="dxa"/>
            <w:vMerge/>
          </w:tcPr>
          <w:p w:rsidR="0082316E" w:rsidRPr="00990D3B" w:rsidP="00BD1FC3" w14:paraId="45614FE0" w14:textId="77777777">
            <w:pPr>
              <w:pStyle w:val="EQRTableText"/>
              <w:rPr>
                <w:rFonts w:asciiTheme="majorHAnsi" w:hAnsiTheme="majorHAnsi" w:cstheme="majorHAnsi"/>
              </w:rPr>
            </w:pPr>
          </w:p>
        </w:tc>
        <w:tc>
          <w:tcPr>
            <w:tcW w:w="1604" w:type="dxa"/>
            <w:vMerge/>
          </w:tcPr>
          <w:p w:rsidR="0082316E" w:rsidRPr="00990D3B" w:rsidP="00BD1FC3" w14:paraId="414211DA" w14:textId="77777777">
            <w:pPr>
              <w:pStyle w:val="EQRTableText"/>
              <w:rPr>
                <w:rFonts w:asciiTheme="majorHAnsi" w:hAnsiTheme="majorHAnsi" w:cstheme="majorHAnsi"/>
              </w:rPr>
            </w:pPr>
          </w:p>
        </w:tc>
        <w:tc>
          <w:tcPr>
            <w:tcW w:w="540" w:type="dxa"/>
            <w:textDirection w:val="btLr"/>
            <w:vAlign w:val="center"/>
          </w:tcPr>
          <w:p w:rsidR="0082316E" w:rsidRPr="00990D3B" w:rsidP="00BD1FC3" w14:paraId="1EB3AAFE" w14:textId="1E8472F1">
            <w:pPr>
              <w:pStyle w:val="EQRTableHeaderLeft"/>
              <w:spacing w:before="0"/>
              <w:rPr>
                <w:color w:val="000000" w:themeColor="text1"/>
              </w:rPr>
            </w:pPr>
            <w:r w:rsidRPr="00990D3B">
              <w:rPr>
                <w:color w:val="000000" w:themeColor="text1"/>
              </w:rPr>
              <w:t xml:space="preserve">Data </w:t>
            </w:r>
            <w:r w:rsidRPr="00990D3B" w:rsidR="00853167">
              <w:rPr>
                <w:color w:val="000000" w:themeColor="text1"/>
              </w:rPr>
              <w:t>c</w:t>
            </w:r>
            <w:r w:rsidRPr="00990D3B">
              <w:rPr>
                <w:color w:val="000000" w:themeColor="text1"/>
              </w:rPr>
              <w:t>apture</w:t>
            </w:r>
          </w:p>
        </w:tc>
        <w:tc>
          <w:tcPr>
            <w:tcW w:w="630" w:type="dxa"/>
            <w:textDirection w:val="btLr"/>
            <w:vAlign w:val="center"/>
          </w:tcPr>
          <w:p w:rsidR="0082316E" w:rsidRPr="00990D3B" w:rsidP="00BD1FC3" w14:paraId="6DB3A118" w14:textId="4D252B42">
            <w:pPr>
              <w:pStyle w:val="EQRTableHeaderLeft"/>
              <w:spacing w:before="0"/>
              <w:rPr>
                <w:color w:val="000000" w:themeColor="text1"/>
              </w:rPr>
            </w:pPr>
            <w:r w:rsidRPr="00990D3B">
              <w:rPr>
                <w:color w:val="000000" w:themeColor="text1"/>
              </w:rPr>
              <w:t xml:space="preserve">Data </w:t>
            </w:r>
            <w:r w:rsidRPr="00990D3B" w:rsidR="00853167">
              <w:rPr>
                <w:color w:val="000000" w:themeColor="text1"/>
              </w:rPr>
              <w:t>p</w:t>
            </w:r>
            <w:r w:rsidRPr="00990D3B">
              <w:rPr>
                <w:color w:val="000000" w:themeColor="text1"/>
              </w:rPr>
              <w:t>rocessing</w:t>
            </w:r>
          </w:p>
        </w:tc>
        <w:tc>
          <w:tcPr>
            <w:tcW w:w="540" w:type="dxa"/>
            <w:textDirection w:val="btLr"/>
            <w:vAlign w:val="center"/>
          </w:tcPr>
          <w:p w:rsidR="0082316E" w:rsidRPr="00990D3B" w:rsidP="00BD1FC3" w14:paraId="1F381938" w14:textId="7ED082EF">
            <w:pPr>
              <w:pStyle w:val="EQRTableHeaderLeft"/>
              <w:spacing w:before="0"/>
              <w:rPr>
                <w:color w:val="000000" w:themeColor="text1"/>
              </w:rPr>
            </w:pPr>
            <w:r w:rsidRPr="00990D3B">
              <w:rPr>
                <w:color w:val="000000" w:themeColor="text1"/>
              </w:rPr>
              <w:t xml:space="preserve">Data </w:t>
            </w:r>
            <w:r w:rsidRPr="00990D3B" w:rsidR="00853167">
              <w:rPr>
                <w:color w:val="000000" w:themeColor="text1"/>
              </w:rPr>
              <w:t>i</w:t>
            </w:r>
            <w:r w:rsidRPr="00990D3B">
              <w:rPr>
                <w:color w:val="000000" w:themeColor="text1"/>
              </w:rPr>
              <w:t>ntegration</w:t>
            </w:r>
          </w:p>
        </w:tc>
        <w:tc>
          <w:tcPr>
            <w:tcW w:w="630" w:type="dxa"/>
            <w:textDirection w:val="btLr"/>
            <w:vAlign w:val="center"/>
          </w:tcPr>
          <w:p w:rsidR="0082316E" w:rsidRPr="00990D3B" w:rsidP="00BD1FC3" w14:paraId="462C4ACA" w14:textId="05C085F8">
            <w:pPr>
              <w:pStyle w:val="EQRTableHeaderLeft"/>
              <w:spacing w:before="0"/>
              <w:rPr>
                <w:color w:val="000000" w:themeColor="text1"/>
              </w:rPr>
            </w:pPr>
            <w:r w:rsidRPr="00990D3B">
              <w:rPr>
                <w:color w:val="000000" w:themeColor="text1"/>
              </w:rPr>
              <w:t xml:space="preserve">Data </w:t>
            </w:r>
            <w:r w:rsidRPr="00990D3B" w:rsidR="00853167">
              <w:rPr>
                <w:color w:val="000000" w:themeColor="text1"/>
              </w:rPr>
              <w:t>s</w:t>
            </w:r>
            <w:r w:rsidRPr="00990D3B">
              <w:rPr>
                <w:color w:val="000000" w:themeColor="text1"/>
              </w:rPr>
              <w:t>torage</w:t>
            </w:r>
          </w:p>
        </w:tc>
        <w:tc>
          <w:tcPr>
            <w:tcW w:w="540" w:type="dxa"/>
            <w:textDirection w:val="btLr"/>
            <w:vAlign w:val="center"/>
          </w:tcPr>
          <w:p w:rsidR="0082316E" w:rsidRPr="00990D3B" w:rsidP="00BD1FC3" w14:paraId="2C3E123B" w14:textId="08EF4C5D">
            <w:pPr>
              <w:pStyle w:val="EQRTableHeaderLeft"/>
              <w:spacing w:before="0"/>
              <w:rPr>
                <w:color w:val="000000" w:themeColor="text1"/>
              </w:rPr>
            </w:pPr>
            <w:r w:rsidRPr="00990D3B">
              <w:rPr>
                <w:color w:val="000000" w:themeColor="text1"/>
              </w:rPr>
              <w:t xml:space="preserve">Data </w:t>
            </w:r>
            <w:r w:rsidRPr="00990D3B" w:rsidR="00853167">
              <w:rPr>
                <w:color w:val="000000" w:themeColor="text1"/>
              </w:rPr>
              <w:t>r</w:t>
            </w:r>
            <w:r w:rsidRPr="00990D3B">
              <w:rPr>
                <w:color w:val="000000" w:themeColor="text1"/>
              </w:rPr>
              <w:t>eporting</w:t>
            </w:r>
          </w:p>
        </w:tc>
        <w:tc>
          <w:tcPr>
            <w:tcW w:w="630" w:type="dxa"/>
            <w:textDirection w:val="btLr"/>
            <w:vAlign w:val="center"/>
          </w:tcPr>
          <w:p w:rsidR="0082316E" w:rsidRPr="00990D3B" w:rsidP="00BD1FC3" w14:paraId="644E3C05" w14:textId="77777777">
            <w:pPr>
              <w:pStyle w:val="EQRTableHeaderLeft"/>
              <w:spacing w:before="0"/>
              <w:rPr>
                <w:color w:val="000000" w:themeColor="text1"/>
              </w:rPr>
            </w:pPr>
            <w:r w:rsidRPr="00990D3B">
              <w:rPr>
                <w:color w:val="000000" w:themeColor="text1"/>
              </w:rPr>
              <w:t xml:space="preserve">Other </w:t>
            </w:r>
          </w:p>
        </w:tc>
        <w:tc>
          <w:tcPr>
            <w:tcW w:w="2875" w:type="dxa"/>
            <w:vMerge/>
          </w:tcPr>
          <w:p w:rsidR="0082316E" w:rsidRPr="00990D3B" w:rsidP="00BD1FC3" w14:paraId="28617CCF" w14:textId="77777777">
            <w:pPr>
              <w:pStyle w:val="EQRTableText"/>
              <w:rPr>
                <w:rFonts w:asciiTheme="majorHAnsi" w:hAnsiTheme="majorHAnsi" w:cstheme="majorHAnsi"/>
              </w:rPr>
            </w:pPr>
          </w:p>
        </w:tc>
      </w:tr>
      <w:tr w14:paraId="493DB434" w14:textId="77777777" w:rsidTr="00A66118">
        <w:tblPrEx>
          <w:tblW w:w="5000" w:type="pct"/>
          <w:tblLayout w:type="fixed"/>
          <w:tblLook w:val="04A0"/>
        </w:tblPrEx>
        <w:trPr>
          <w:trHeight w:val="136"/>
        </w:trPr>
        <w:tc>
          <w:tcPr>
            <w:tcW w:w="1361" w:type="dxa"/>
          </w:tcPr>
          <w:p w:rsidR="0082316E" w:rsidRPr="00990D3B" w:rsidP="00BD1FC3" w14:paraId="2DB035FF" w14:textId="19CE0FFB">
            <w:pPr>
              <w:pStyle w:val="EQRTableText"/>
              <w:rPr>
                <w:rFonts w:asciiTheme="majorHAnsi" w:hAnsiTheme="majorHAnsi" w:cstheme="majorHAnsi"/>
              </w:rPr>
            </w:pPr>
          </w:p>
        </w:tc>
        <w:tc>
          <w:tcPr>
            <w:tcW w:w="1604" w:type="dxa"/>
          </w:tcPr>
          <w:p w:rsidR="0082316E" w:rsidRPr="00990D3B" w:rsidP="00BD1FC3" w14:paraId="5C144689" w14:textId="33FA063D">
            <w:pPr>
              <w:pStyle w:val="EQRTableText"/>
              <w:rPr>
                <w:rFonts w:asciiTheme="majorHAnsi" w:hAnsiTheme="majorHAnsi" w:cstheme="majorHAnsi"/>
              </w:rPr>
            </w:pPr>
          </w:p>
        </w:tc>
        <w:tc>
          <w:tcPr>
            <w:tcW w:w="540" w:type="dxa"/>
          </w:tcPr>
          <w:p w:rsidR="0082316E" w:rsidRPr="00990D3B" w:rsidP="00BD1FC3" w14:paraId="10E2D9E0" w14:textId="4B8B243D">
            <w:pPr>
              <w:pStyle w:val="EQRTableText"/>
              <w:rPr>
                <w:rFonts w:asciiTheme="majorHAnsi" w:hAnsiTheme="majorHAnsi" w:cstheme="majorHAnsi"/>
              </w:rPr>
            </w:pPr>
          </w:p>
        </w:tc>
        <w:tc>
          <w:tcPr>
            <w:tcW w:w="630" w:type="dxa"/>
          </w:tcPr>
          <w:p w:rsidR="0082316E" w:rsidRPr="00990D3B" w:rsidP="00BD1FC3" w14:paraId="69CD33A0" w14:textId="77777777">
            <w:pPr>
              <w:pStyle w:val="EQRTableText"/>
              <w:rPr>
                <w:rFonts w:asciiTheme="majorHAnsi" w:hAnsiTheme="majorHAnsi" w:cstheme="majorHAnsi"/>
              </w:rPr>
            </w:pPr>
          </w:p>
        </w:tc>
        <w:tc>
          <w:tcPr>
            <w:tcW w:w="540" w:type="dxa"/>
          </w:tcPr>
          <w:p w:rsidR="0082316E" w:rsidRPr="00990D3B" w:rsidP="00BD1FC3" w14:paraId="00426562" w14:textId="77777777">
            <w:pPr>
              <w:pStyle w:val="EQRTableText"/>
              <w:rPr>
                <w:rFonts w:asciiTheme="majorHAnsi" w:hAnsiTheme="majorHAnsi" w:cstheme="majorHAnsi"/>
              </w:rPr>
            </w:pPr>
          </w:p>
        </w:tc>
        <w:tc>
          <w:tcPr>
            <w:tcW w:w="630" w:type="dxa"/>
          </w:tcPr>
          <w:p w:rsidR="0082316E" w:rsidRPr="00990D3B" w:rsidP="00BD1FC3" w14:paraId="0E38156E" w14:textId="77777777">
            <w:pPr>
              <w:pStyle w:val="EQRTableText"/>
              <w:rPr>
                <w:rFonts w:asciiTheme="majorHAnsi" w:hAnsiTheme="majorHAnsi" w:cstheme="majorHAnsi"/>
              </w:rPr>
            </w:pPr>
          </w:p>
        </w:tc>
        <w:tc>
          <w:tcPr>
            <w:tcW w:w="540" w:type="dxa"/>
          </w:tcPr>
          <w:p w:rsidR="0082316E" w:rsidRPr="00990D3B" w:rsidP="00BD1FC3" w14:paraId="189AD29D" w14:textId="4CE014CF">
            <w:pPr>
              <w:pStyle w:val="EQRTableText"/>
              <w:rPr>
                <w:rFonts w:asciiTheme="majorHAnsi" w:hAnsiTheme="majorHAnsi" w:cstheme="majorHAnsi"/>
              </w:rPr>
            </w:pPr>
          </w:p>
        </w:tc>
        <w:tc>
          <w:tcPr>
            <w:tcW w:w="630" w:type="dxa"/>
          </w:tcPr>
          <w:p w:rsidR="0082316E" w:rsidRPr="00990D3B" w:rsidP="00BD1FC3" w14:paraId="068E94FB" w14:textId="77777777">
            <w:pPr>
              <w:pStyle w:val="EQRTableText"/>
              <w:rPr>
                <w:rFonts w:asciiTheme="majorHAnsi" w:hAnsiTheme="majorHAnsi" w:cstheme="majorHAnsi"/>
              </w:rPr>
            </w:pPr>
          </w:p>
        </w:tc>
        <w:tc>
          <w:tcPr>
            <w:tcW w:w="2875" w:type="dxa"/>
          </w:tcPr>
          <w:p w:rsidR="0082316E" w:rsidRPr="00990D3B" w:rsidP="00BD1FC3" w14:paraId="26F612D8" w14:textId="70822C08">
            <w:pPr>
              <w:pStyle w:val="EQRTableText"/>
              <w:rPr>
                <w:rFonts w:asciiTheme="majorHAnsi" w:hAnsiTheme="majorHAnsi" w:cstheme="majorHAnsi"/>
              </w:rPr>
            </w:pPr>
          </w:p>
        </w:tc>
      </w:tr>
      <w:tr w14:paraId="3A5E5A5C" w14:textId="77777777" w:rsidTr="00A66118">
        <w:tblPrEx>
          <w:tblW w:w="5000" w:type="pct"/>
          <w:tblLayout w:type="fixed"/>
          <w:tblLook w:val="04A0"/>
        </w:tblPrEx>
        <w:trPr>
          <w:trHeight w:val="136"/>
        </w:trPr>
        <w:tc>
          <w:tcPr>
            <w:tcW w:w="1361" w:type="dxa"/>
          </w:tcPr>
          <w:p w:rsidR="0082316E" w:rsidRPr="00990D3B" w:rsidP="00BD1FC3" w14:paraId="5F3702BC" w14:textId="77777777">
            <w:pPr>
              <w:pStyle w:val="EQRTableText"/>
              <w:rPr>
                <w:rFonts w:asciiTheme="majorHAnsi" w:hAnsiTheme="majorHAnsi" w:cstheme="majorHAnsi"/>
              </w:rPr>
            </w:pPr>
          </w:p>
        </w:tc>
        <w:tc>
          <w:tcPr>
            <w:tcW w:w="1604" w:type="dxa"/>
          </w:tcPr>
          <w:p w:rsidR="0082316E" w:rsidRPr="00990D3B" w:rsidP="00BD1FC3" w14:paraId="5C70C9F3" w14:textId="77777777">
            <w:pPr>
              <w:pStyle w:val="EQRTableText"/>
              <w:rPr>
                <w:rFonts w:asciiTheme="majorHAnsi" w:hAnsiTheme="majorHAnsi" w:cstheme="majorHAnsi"/>
              </w:rPr>
            </w:pPr>
          </w:p>
        </w:tc>
        <w:tc>
          <w:tcPr>
            <w:tcW w:w="540" w:type="dxa"/>
          </w:tcPr>
          <w:p w:rsidR="0082316E" w:rsidRPr="00990D3B" w:rsidP="00BD1FC3" w14:paraId="6E005F71" w14:textId="77777777">
            <w:pPr>
              <w:pStyle w:val="EQRTableText"/>
              <w:rPr>
                <w:rFonts w:asciiTheme="majorHAnsi" w:hAnsiTheme="majorHAnsi" w:cstheme="majorHAnsi"/>
              </w:rPr>
            </w:pPr>
          </w:p>
        </w:tc>
        <w:tc>
          <w:tcPr>
            <w:tcW w:w="630" w:type="dxa"/>
          </w:tcPr>
          <w:p w:rsidR="0082316E" w:rsidRPr="00990D3B" w:rsidP="00BD1FC3" w14:paraId="1F5A6F09" w14:textId="77777777">
            <w:pPr>
              <w:pStyle w:val="EQRTableText"/>
              <w:rPr>
                <w:rFonts w:asciiTheme="majorHAnsi" w:hAnsiTheme="majorHAnsi" w:cstheme="majorHAnsi"/>
              </w:rPr>
            </w:pPr>
          </w:p>
        </w:tc>
        <w:tc>
          <w:tcPr>
            <w:tcW w:w="540" w:type="dxa"/>
          </w:tcPr>
          <w:p w:rsidR="0082316E" w:rsidRPr="00990D3B" w:rsidP="00BD1FC3" w14:paraId="6B625ED8" w14:textId="77777777">
            <w:pPr>
              <w:pStyle w:val="EQRTableText"/>
              <w:rPr>
                <w:rFonts w:asciiTheme="majorHAnsi" w:hAnsiTheme="majorHAnsi" w:cstheme="majorHAnsi"/>
              </w:rPr>
            </w:pPr>
          </w:p>
        </w:tc>
        <w:tc>
          <w:tcPr>
            <w:tcW w:w="630" w:type="dxa"/>
          </w:tcPr>
          <w:p w:rsidR="0082316E" w:rsidRPr="00990D3B" w:rsidP="00BD1FC3" w14:paraId="37DD759C" w14:textId="77777777">
            <w:pPr>
              <w:pStyle w:val="EQRTableText"/>
              <w:rPr>
                <w:rFonts w:asciiTheme="majorHAnsi" w:hAnsiTheme="majorHAnsi" w:cstheme="majorHAnsi"/>
              </w:rPr>
            </w:pPr>
          </w:p>
        </w:tc>
        <w:tc>
          <w:tcPr>
            <w:tcW w:w="540" w:type="dxa"/>
          </w:tcPr>
          <w:p w:rsidR="0082316E" w:rsidRPr="00990D3B" w:rsidP="00BD1FC3" w14:paraId="45F5C64D" w14:textId="77777777">
            <w:pPr>
              <w:pStyle w:val="EQRTableText"/>
              <w:rPr>
                <w:rFonts w:asciiTheme="majorHAnsi" w:hAnsiTheme="majorHAnsi" w:cstheme="majorHAnsi"/>
              </w:rPr>
            </w:pPr>
          </w:p>
        </w:tc>
        <w:tc>
          <w:tcPr>
            <w:tcW w:w="630" w:type="dxa"/>
          </w:tcPr>
          <w:p w:rsidR="0082316E" w:rsidRPr="00990D3B" w:rsidP="00BD1FC3" w14:paraId="00C54FA5" w14:textId="77777777">
            <w:pPr>
              <w:pStyle w:val="EQRTableText"/>
              <w:rPr>
                <w:rFonts w:asciiTheme="majorHAnsi" w:hAnsiTheme="majorHAnsi" w:cstheme="majorHAnsi"/>
              </w:rPr>
            </w:pPr>
          </w:p>
        </w:tc>
        <w:tc>
          <w:tcPr>
            <w:tcW w:w="2875" w:type="dxa"/>
          </w:tcPr>
          <w:p w:rsidR="0082316E" w:rsidRPr="00990D3B" w:rsidP="00BD1FC3" w14:paraId="2C8D0DFC" w14:textId="77777777">
            <w:pPr>
              <w:pStyle w:val="EQRTableText"/>
              <w:rPr>
                <w:rFonts w:asciiTheme="majorHAnsi" w:hAnsiTheme="majorHAnsi" w:cstheme="majorHAnsi"/>
              </w:rPr>
            </w:pPr>
          </w:p>
        </w:tc>
      </w:tr>
    </w:tbl>
    <w:p w:rsidR="0082316E" w:rsidRPr="00990D3B" w:rsidP="00BD1FC3" w14:paraId="36AABED0" w14:textId="77777777">
      <w:pPr>
        <w:pStyle w:val="EQRNormalSSWORKSHEET"/>
      </w:pPr>
    </w:p>
    <w:p w:rsidR="0082316E" w:rsidRPr="00990D3B" w:rsidP="00565EB9" w14:paraId="7B34A408" w14:textId="2A582FFA">
      <w:pPr>
        <w:pStyle w:val="EQRMarkforExhibitWORKSHEET"/>
      </w:pPr>
      <w:bookmarkStart w:id="532" w:name="_Toc201751528"/>
      <w:r w:rsidRPr="00990D3B">
        <w:t>Example Network Adequacy Data Concerns Identified in Review of ISCA Worksheet</w:t>
      </w:r>
      <w:bookmarkEnd w:id="532"/>
    </w:p>
    <w:p w:rsidR="00AD7FD8" w:rsidRPr="00990D3B" w:rsidP="00BD1FC3" w14:paraId="11353F9A" w14:textId="2671FCE4">
      <w:pPr>
        <w:pStyle w:val="EQRNormalSSWORKSHEET"/>
        <w:rPr>
          <w:b/>
          <w:bCs/>
        </w:rPr>
      </w:pPr>
      <w:r w:rsidRPr="00990D3B">
        <w:rPr>
          <w:b/>
          <w:bCs/>
        </w:rPr>
        <w:t xml:space="preserve">MCP name: </w:t>
      </w:r>
      <w:r w:rsidRPr="00990D3B">
        <w:rPr>
          <w:b/>
          <w:bCs/>
          <w:u w:val="single"/>
        </w:rPr>
        <w:t>Plan</w:t>
      </w:r>
      <w:r w:rsidRPr="00990D3B" w:rsidR="0082316E">
        <w:rPr>
          <w:b/>
          <w:bCs/>
          <w:u w:val="single"/>
        </w:rPr>
        <w:t xml:space="preserve"> A</w:t>
      </w:r>
    </w:p>
    <w:tbl>
      <w:tblPr>
        <w:tblStyle w:val="TableGrid"/>
        <w:tblW w:w="5000" w:type="pct"/>
        <w:tblLayout w:type="fixed"/>
        <w:tblLook w:val="04A0"/>
      </w:tblPr>
      <w:tblGrid>
        <w:gridCol w:w="895"/>
        <w:gridCol w:w="2070"/>
        <w:gridCol w:w="585"/>
        <w:gridCol w:w="585"/>
        <w:gridCol w:w="585"/>
        <w:gridCol w:w="585"/>
        <w:gridCol w:w="585"/>
        <w:gridCol w:w="585"/>
        <w:gridCol w:w="2875"/>
      </w:tblGrid>
      <w:tr w14:paraId="6F7AE91A" w14:textId="77777777" w:rsidTr="00A66118">
        <w:tblPrEx>
          <w:tblW w:w="5000" w:type="pct"/>
          <w:tblLayout w:type="fixed"/>
          <w:tblLook w:val="04A0"/>
        </w:tblPrEx>
        <w:trPr>
          <w:trHeight w:val="287"/>
        </w:trPr>
        <w:tc>
          <w:tcPr>
            <w:tcW w:w="895" w:type="dxa"/>
            <w:vMerge w:val="restart"/>
            <w:vAlign w:val="bottom"/>
          </w:tcPr>
          <w:p w:rsidR="00A66118" w:rsidRPr="00990D3B" w:rsidP="00BD1FC3" w14:paraId="42D5ADB8" w14:textId="6832C5DE">
            <w:pPr>
              <w:pStyle w:val="EQRTableHeaderLeft"/>
              <w:rPr>
                <w:color w:val="000000" w:themeColor="text1"/>
              </w:rPr>
            </w:pPr>
            <w:r w:rsidRPr="00990D3B">
              <w:rPr>
                <w:color w:val="000000" w:themeColor="text1"/>
              </w:rPr>
              <w:t>Data source</w:t>
            </w:r>
          </w:p>
        </w:tc>
        <w:tc>
          <w:tcPr>
            <w:tcW w:w="2070" w:type="dxa"/>
            <w:vMerge w:val="restart"/>
            <w:vAlign w:val="bottom"/>
          </w:tcPr>
          <w:p w:rsidR="00A66118" w:rsidRPr="00990D3B" w:rsidP="00BD1FC3" w14:paraId="1A763D38" w14:textId="1E4B0A6A">
            <w:pPr>
              <w:pStyle w:val="EQRTableHeaderCenter"/>
              <w:rPr>
                <w:color w:val="000000" w:themeColor="text1"/>
              </w:rPr>
            </w:pPr>
            <w:r w:rsidRPr="00990D3B">
              <w:rPr>
                <w:color w:val="000000" w:themeColor="text1"/>
              </w:rPr>
              <w:t>Data concern</w:t>
            </w:r>
          </w:p>
        </w:tc>
        <w:tc>
          <w:tcPr>
            <w:tcW w:w="3510" w:type="dxa"/>
            <w:gridSpan w:val="6"/>
          </w:tcPr>
          <w:p w:rsidR="00A66118" w:rsidRPr="00990D3B" w:rsidP="00BD1FC3" w14:paraId="45174ADC" w14:textId="5A5B350F">
            <w:pPr>
              <w:pStyle w:val="EQRTableHeaderCenter"/>
              <w:rPr>
                <w:color w:val="000000" w:themeColor="text1"/>
              </w:rPr>
            </w:pPr>
            <w:r w:rsidRPr="00990D3B">
              <w:rPr>
                <w:color w:val="000000" w:themeColor="text1"/>
              </w:rPr>
              <w:t>Type (check boxes)</w:t>
            </w:r>
          </w:p>
        </w:tc>
        <w:tc>
          <w:tcPr>
            <w:tcW w:w="2875" w:type="dxa"/>
            <w:vMerge w:val="restart"/>
            <w:vAlign w:val="bottom"/>
          </w:tcPr>
          <w:p w:rsidR="00A66118" w:rsidRPr="00990D3B" w:rsidP="00BD1FC3" w14:paraId="299FB8A2" w14:textId="50A4C389">
            <w:pPr>
              <w:pStyle w:val="EQRTableHeaderCenter"/>
              <w:rPr>
                <w:color w:val="000000" w:themeColor="text1"/>
              </w:rPr>
            </w:pPr>
            <w:r w:rsidRPr="00990D3B">
              <w:rPr>
                <w:color w:val="000000" w:themeColor="text1"/>
              </w:rPr>
              <w:t>Potential solutions or workarounds</w:t>
            </w:r>
          </w:p>
        </w:tc>
      </w:tr>
      <w:tr w14:paraId="573CC8C0" w14:textId="77777777" w:rsidTr="00A66118">
        <w:tblPrEx>
          <w:tblW w:w="5000" w:type="pct"/>
          <w:tblLayout w:type="fixed"/>
          <w:tblLook w:val="04A0"/>
        </w:tblPrEx>
        <w:trPr>
          <w:trHeight w:val="1628"/>
        </w:trPr>
        <w:tc>
          <w:tcPr>
            <w:tcW w:w="895" w:type="dxa"/>
            <w:vMerge/>
          </w:tcPr>
          <w:p w:rsidR="00A66118" w:rsidRPr="00990D3B" w:rsidP="00BD1FC3" w14:paraId="594D8ADF" w14:textId="77777777">
            <w:pPr>
              <w:pStyle w:val="EQRTableText"/>
              <w:rPr>
                <w:rFonts w:asciiTheme="majorHAnsi" w:hAnsiTheme="majorHAnsi" w:cstheme="majorHAnsi"/>
              </w:rPr>
            </w:pPr>
          </w:p>
        </w:tc>
        <w:tc>
          <w:tcPr>
            <w:tcW w:w="2070" w:type="dxa"/>
            <w:vMerge/>
          </w:tcPr>
          <w:p w:rsidR="00A66118" w:rsidRPr="00990D3B" w:rsidP="00BD1FC3" w14:paraId="0ED573BE" w14:textId="77777777">
            <w:pPr>
              <w:pStyle w:val="EQRTableText"/>
              <w:rPr>
                <w:rFonts w:asciiTheme="majorHAnsi" w:hAnsiTheme="majorHAnsi" w:cstheme="majorHAnsi"/>
              </w:rPr>
            </w:pPr>
          </w:p>
        </w:tc>
        <w:tc>
          <w:tcPr>
            <w:tcW w:w="585" w:type="dxa"/>
            <w:textDirection w:val="btLr"/>
            <w:vAlign w:val="center"/>
          </w:tcPr>
          <w:p w:rsidR="00A66118" w:rsidRPr="00990D3B" w:rsidP="00BD1FC3" w14:paraId="2DC5F4A0" w14:textId="027FFE1B">
            <w:pPr>
              <w:pStyle w:val="EQRTableHeaderLeft"/>
              <w:spacing w:before="0"/>
              <w:rPr>
                <w:color w:val="000000" w:themeColor="text1"/>
              </w:rPr>
            </w:pPr>
            <w:r w:rsidRPr="00990D3B">
              <w:rPr>
                <w:color w:val="000000" w:themeColor="text1"/>
              </w:rPr>
              <w:t>Data capture</w:t>
            </w:r>
          </w:p>
        </w:tc>
        <w:tc>
          <w:tcPr>
            <w:tcW w:w="585" w:type="dxa"/>
            <w:textDirection w:val="btLr"/>
            <w:vAlign w:val="center"/>
          </w:tcPr>
          <w:p w:rsidR="00A66118" w:rsidRPr="00990D3B" w:rsidP="00BD1FC3" w14:paraId="1E46653C" w14:textId="3BF6741C">
            <w:pPr>
              <w:pStyle w:val="EQRTableHeaderLeft"/>
              <w:spacing w:before="0"/>
              <w:rPr>
                <w:color w:val="000000" w:themeColor="text1"/>
              </w:rPr>
            </w:pPr>
            <w:r w:rsidRPr="00990D3B">
              <w:rPr>
                <w:color w:val="000000" w:themeColor="text1"/>
              </w:rPr>
              <w:t>Data processing</w:t>
            </w:r>
          </w:p>
        </w:tc>
        <w:tc>
          <w:tcPr>
            <w:tcW w:w="585" w:type="dxa"/>
            <w:textDirection w:val="btLr"/>
            <w:vAlign w:val="center"/>
          </w:tcPr>
          <w:p w:rsidR="00A66118" w:rsidRPr="00990D3B" w:rsidP="00BD1FC3" w14:paraId="0DA670BD" w14:textId="0A8AE784">
            <w:pPr>
              <w:pStyle w:val="EQRTableHeaderLeft"/>
              <w:spacing w:before="0"/>
              <w:rPr>
                <w:color w:val="000000" w:themeColor="text1"/>
              </w:rPr>
            </w:pPr>
            <w:r w:rsidRPr="00990D3B">
              <w:rPr>
                <w:color w:val="000000" w:themeColor="text1"/>
              </w:rPr>
              <w:t>Data integration</w:t>
            </w:r>
          </w:p>
        </w:tc>
        <w:tc>
          <w:tcPr>
            <w:tcW w:w="585" w:type="dxa"/>
            <w:textDirection w:val="btLr"/>
            <w:vAlign w:val="center"/>
          </w:tcPr>
          <w:p w:rsidR="00A66118" w:rsidRPr="00990D3B" w:rsidP="00BD1FC3" w14:paraId="453FB024" w14:textId="125BCE71">
            <w:pPr>
              <w:pStyle w:val="EQRTableHeaderLeft"/>
              <w:spacing w:before="0"/>
              <w:rPr>
                <w:color w:val="000000" w:themeColor="text1"/>
              </w:rPr>
            </w:pPr>
            <w:r w:rsidRPr="00990D3B">
              <w:rPr>
                <w:color w:val="000000" w:themeColor="text1"/>
              </w:rPr>
              <w:t>Data storage</w:t>
            </w:r>
          </w:p>
        </w:tc>
        <w:tc>
          <w:tcPr>
            <w:tcW w:w="585" w:type="dxa"/>
            <w:textDirection w:val="btLr"/>
            <w:vAlign w:val="center"/>
          </w:tcPr>
          <w:p w:rsidR="00A66118" w:rsidRPr="00990D3B" w:rsidP="00BD1FC3" w14:paraId="375538BC" w14:textId="3D63ACFE">
            <w:pPr>
              <w:pStyle w:val="EQRTableHeaderLeft"/>
              <w:spacing w:before="0"/>
              <w:rPr>
                <w:color w:val="000000" w:themeColor="text1"/>
              </w:rPr>
            </w:pPr>
            <w:r w:rsidRPr="00990D3B">
              <w:rPr>
                <w:color w:val="000000" w:themeColor="text1"/>
              </w:rPr>
              <w:t>Data reporting</w:t>
            </w:r>
          </w:p>
        </w:tc>
        <w:tc>
          <w:tcPr>
            <w:tcW w:w="585" w:type="dxa"/>
            <w:textDirection w:val="btLr"/>
            <w:vAlign w:val="center"/>
          </w:tcPr>
          <w:p w:rsidR="00A66118" w:rsidRPr="00990D3B" w:rsidP="00BD1FC3" w14:paraId="5B6E4E1A" w14:textId="27C10143">
            <w:pPr>
              <w:pStyle w:val="EQRTableHeaderLeft"/>
              <w:spacing w:before="0"/>
              <w:rPr>
                <w:color w:val="000000" w:themeColor="text1"/>
              </w:rPr>
            </w:pPr>
            <w:r w:rsidRPr="00990D3B">
              <w:rPr>
                <w:color w:val="000000" w:themeColor="text1"/>
              </w:rPr>
              <w:t xml:space="preserve">Other </w:t>
            </w:r>
          </w:p>
        </w:tc>
        <w:tc>
          <w:tcPr>
            <w:tcW w:w="2875" w:type="dxa"/>
            <w:vMerge/>
          </w:tcPr>
          <w:p w:rsidR="00A66118" w:rsidRPr="00990D3B" w:rsidP="00BD1FC3" w14:paraId="31B71210" w14:textId="77777777">
            <w:pPr>
              <w:pStyle w:val="EQRTableText"/>
              <w:rPr>
                <w:rFonts w:asciiTheme="majorHAnsi" w:hAnsiTheme="majorHAnsi" w:cstheme="majorHAnsi"/>
              </w:rPr>
            </w:pPr>
          </w:p>
        </w:tc>
      </w:tr>
      <w:tr w14:paraId="1DBB5943" w14:textId="77777777" w:rsidTr="00A66118">
        <w:tblPrEx>
          <w:tblW w:w="5000" w:type="pct"/>
          <w:tblLayout w:type="fixed"/>
          <w:tblLook w:val="04A0"/>
        </w:tblPrEx>
        <w:trPr>
          <w:trHeight w:val="136"/>
        </w:trPr>
        <w:tc>
          <w:tcPr>
            <w:tcW w:w="895" w:type="dxa"/>
          </w:tcPr>
          <w:p w:rsidR="00AD7FD8" w:rsidRPr="00990D3B" w:rsidP="00BD1FC3" w14:paraId="51EE5EE4" w14:textId="77777777">
            <w:pPr>
              <w:pStyle w:val="EQRTableText"/>
              <w:rPr>
                <w:rFonts w:asciiTheme="majorHAnsi" w:hAnsiTheme="majorHAnsi" w:cstheme="majorHAnsi"/>
              </w:rPr>
            </w:pPr>
            <w:r w:rsidRPr="00990D3B">
              <w:t xml:space="preserve">Provider network data files </w:t>
            </w:r>
          </w:p>
        </w:tc>
        <w:tc>
          <w:tcPr>
            <w:tcW w:w="2070" w:type="dxa"/>
          </w:tcPr>
          <w:p w:rsidR="00AD7FD8" w:rsidRPr="00990D3B" w:rsidP="00BD1FC3" w14:paraId="40BB354F" w14:textId="77777777">
            <w:pPr>
              <w:pStyle w:val="EQRTableText"/>
              <w:rPr>
                <w:rFonts w:asciiTheme="majorHAnsi" w:hAnsiTheme="majorHAnsi" w:cstheme="majorHAnsi"/>
              </w:rPr>
            </w:pPr>
            <w:r w:rsidRPr="00990D3B">
              <w:rPr>
                <w:rFonts w:asciiTheme="majorHAnsi" w:hAnsiTheme="majorHAnsi" w:cstheme="majorHAnsi"/>
              </w:rPr>
              <w:t>Provider network data files may be inaccurate due to providers entering and leaving networks, or changes in provider information, such as address</w:t>
            </w:r>
          </w:p>
        </w:tc>
        <w:tc>
          <w:tcPr>
            <w:tcW w:w="585" w:type="dxa"/>
          </w:tcPr>
          <w:p w:rsidR="00AD7FD8" w:rsidRPr="00990D3B" w:rsidP="00BD1FC3" w14:paraId="68F8E16D" w14:textId="77777777">
            <w:pPr>
              <w:pStyle w:val="EQRTableText"/>
              <w:jc w:val="center"/>
              <w:rPr>
                <w:rFonts w:asciiTheme="majorHAnsi" w:hAnsiTheme="majorHAnsi" w:cstheme="majorHAnsi"/>
              </w:rPr>
            </w:pPr>
            <w:r w:rsidRPr="00990D3B">
              <w:rPr>
                <w:rFonts w:asciiTheme="majorHAnsi" w:hAnsiTheme="majorHAnsi" w:cstheme="majorHAnsi"/>
              </w:rPr>
              <w:t>X</w:t>
            </w:r>
          </w:p>
        </w:tc>
        <w:tc>
          <w:tcPr>
            <w:tcW w:w="585" w:type="dxa"/>
          </w:tcPr>
          <w:p w:rsidR="00AD7FD8" w:rsidRPr="00990D3B" w:rsidP="00BD1FC3" w14:paraId="2EED089C" w14:textId="77777777">
            <w:pPr>
              <w:pStyle w:val="EQRTableText"/>
              <w:jc w:val="center"/>
              <w:rPr>
                <w:rFonts w:asciiTheme="majorHAnsi" w:hAnsiTheme="majorHAnsi" w:cstheme="majorHAnsi"/>
              </w:rPr>
            </w:pPr>
          </w:p>
        </w:tc>
        <w:tc>
          <w:tcPr>
            <w:tcW w:w="585" w:type="dxa"/>
          </w:tcPr>
          <w:p w:rsidR="00AD7FD8" w:rsidRPr="00990D3B" w:rsidP="00BD1FC3" w14:paraId="567025BB" w14:textId="77777777">
            <w:pPr>
              <w:pStyle w:val="EQRTableText"/>
              <w:jc w:val="center"/>
              <w:rPr>
                <w:rFonts w:asciiTheme="majorHAnsi" w:hAnsiTheme="majorHAnsi" w:cstheme="majorHAnsi"/>
              </w:rPr>
            </w:pPr>
          </w:p>
        </w:tc>
        <w:tc>
          <w:tcPr>
            <w:tcW w:w="585" w:type="dxa"/>
          </w:tcPr>
          <w:p w:rsidR="00AD7FD8" w:rsidRPr="00990D3B" w:rsidP="00BD1FC3" w14:paraId="276467B4" w14:textId="77777777">
            <w:pPr>
              <w:pStyle w:val="EQRTableText"/>
              <w:jc w:val="center"/>
              <w:rPr>
                <w:rFonts w:asciiTheme="majorHAnsi" w:hAnsiTheme="majorHAnsi" w:cstheme="majorHAnsi"/>
              </w:rPr>
            </w:pPr>
          </w:p>
        </w:tc>
        <w:tc>
          <w:tcPr>
            <w:tcW w:w="585" w:type="dxa"/>
          </w:tcPr>
          <w:p w:rsidR="00AD7FD8" w:rsidRPr="00990D3B" w:rsidP="00BD1FC3" w14:paraId="51EB2607" w14:textId="77777777">
            <w:pPr>
              <w:pStyle w:val="EQRTableText"/>
              <w:jc w:val="center"/>
              <w:rPr>
                <w:rFonts w:asciiTheme="majorHAnsi" w:hAnsiTheme="majorHAnsi" w:cstheme="majorHAnsi"/>
              </w:rPr>
            </w:pPr>
            <w:r w:rsidRPr="00990D3B">
              <w:rPr>
                <w:rFonts w:asciiTheme="majorHAnsi" w:hAnsiTheme="majorHAnsi" w:cstheme="majorHAnsi"/>
              </w:rPr>
              <w:t>X</w:t>
            </w:r>
          </w:p>
        </w:tc>
        <w:tc>
          <w:tcPr>
            <w:tcW w:w="585" w:type="dxa"/>
          </w:tcPr>
          <w:p w:rsidR="00AD7FD8" w:rsidRPr="00990D3B" w:rsidP="00BD1FC3" w14:paraId="451EB8E1" w14:textId="77777777">
            <w:pPr>
              <w:pStyle w:val="EQRTableText"/>
              <w:jc w:val="center"/>
              <w:rPr>
                <w:rFonts w:asciiTheme="majorHAnsi" w:hAnsiTheme="majorHAnsi" w:cstheme="majorHAnsi"/>
              </w:rPr>
            </w:pPr>
          </w:p>
        </w:tc>
        <w:tc>
          <w:tcPr>
            <w:tcW w:w="2875" w:type="dxa"/>
          </w:tcPr>
          <w:p w:rsidR="00AD7FD8" w:rsidRPr="00990D3B" w:rsidP="00BD1FC3" w14:paraId="46A75D84" w14:textId="77777777">
            <w:pPr>
              <w:pStyle w:val="EQRTableText"/>
              <w:rPr>
                <w:rFonts w:asciiTheme="majorHAnsi" w:hAnsiTheme="majorHAnsi" w:cstheme="majorHAnsi"/>
              </w:rPr>
            </w:pPr>
            <w:r w:rsidRPr="00990D3B">
              <w:rPr>
                <w:rFonts w:asciiTheme="majorHAnsi" w:hAnsiTheme="majorHAnsi" w:cstheme="majorHAnsi"/>
              </w:rPr>
              <w:t xml:space="preserve">The EQRO will validate </w:t>
            </w:r>
            <w:r w:rsidRPr="00990D3B">
              <w:rPr>
                <w:rFonts w:asciiTheme="majorHAnsi" w:hAnsiTheme="majorHAnsi" w:cstheme="majorHAnsi"/>
              </w:rPr>
              <w:t>a sample of</w:t>
            </w:r>
            <w:r w:rsidRPr="00990D3B">
              <w:rPr>
                <w:rFonts w:asciiTheme="majorHAnsi" w:hAnsiTheme="majorHAnsi" w:cstheme="majorHAnsi"/>
              </w:rPr>
              <w:t xml:space="preserve"> providers through phone calls or on-site visits to determine if the provider still participates in the network, if the location is accurate, and if the provider is accepting new Medicaid patients.</w:t>
            </w:r>
          </w:p>
        </w:tc>
      </w:tr>
    </w:tbl>
    <w:p w:rsidR="005E6B62" w:rsidRPr="00990D3B" w:rsidP="00B5252D" w14:paraId="5FB5DD15" w14:textId="678AE997">
      <w:pPr>
        <w:pStyle w:val="ParagraphContinued"/>
      </w:pPr>
      <w:bookmarkStart w:id="533" w:name="WS45"/>
      <w:bookmarkStart w:id="534" w:name="_Toc125619167"/>
      <w:bookmarkEnd w:id="533"/>
    </w:p>
    <w:p w:rsidR="005E6B62" w:rsidRPr="00990D3B" w14:paraId="57303F17" w14:textId="77777777">
      <w:pPr>
        <w:spacing w:line="240" w:lineRule="auto"/>
        <w:rPr>
          <w:rFonts w:ascii="Arial" w:eastAsia="Calibri" w:hAnsi="Arial"/>
          <w:sz w:val="22"/>
          <w:szCs w:val="23"/>
        </w:rPr>
      </w:pPr>
      <w:r w:rsidRPr="00990D3B">
        <w:br w:type="page"/>
      </w:r>
    </w:p>
    <w:p w:rsidR="00AD7FD8" w:rsidRPr="00990D3B" w:rsidP="00BD1FC3" w14:paraId="3E5D3697" w14:textId="2B9DCC5D">
      <w:pPr>
        <w:pStyle w:val="EQRMarkforExhibitWORKSHEET"/>
      </w:pPr>
      <w:bookmarkStart w:id="535" w:name="_Toc201751529"/>
      <w:r w:rsidRPr="00990D3B">
        <w:t xml:space="preserve">Worksheet 4.5. Assessment of Network Adequacy Data Sources </w:t>
      </w:r>
      <w:r w:rsidRPr="00990D3B">
        <w:t>not</w:t>
      </w:r>
      <w:r w:rsidRPr="00990D3B">
        <w:t xml:space="preserve"> Reviewed in the ISCA</w:t>
      </w:r>
      <w:bookmarkEnd w:id="534"/>
      <w:bookmarkEnd w:id="535"/>
    </w:p>
    <w:p w:rsidR="005E6B62" w:rsidRPr="00990D3B" w:rsidP="005E6B62" w14:paraId="7BCEBDBD" w14:textId="460D29CF">
      <w:pPr>
        <w:pStyle w:val="EQRNormalSSWORKSHEET"/>
      </w:pPr>
      <w:r w:rsidRPr="00990D3B">
        <w:rPr>
          <w:b/>
          <w:bCs/>
        </w:rPr>
        <w:t>Instructions</w:t>
      </w:r>
      <w:r w:rsidRPr="00990D3B" w:rsidR="00153B4E">
        <w:t xml:space="preserve">. </w:t>
      </w:r>
      <w:r w:rsidRPr="00990D3B" w:rsidR="005F367A">
        <w:t xml:space="preserve">Complete the table below for each </w:t>
      </w:r>
      <w:r w:rsidRPr="00990D3B">
        <w:t>data source</w:t>
      </w:r>
      <w:r w:rsidRPr="00990D3B" w:rsidR="005F367A">
        <w:t xml:space="preserve"> </w:t>
      </w:r>
      <w:r w:rsidRPr="00990D3B">
        <w:t xml:space="preserve">identified in </w:t>
      </w:r>
      <w:hyperlink w:anchor="P4Act2Step1" w:tooltip="Activity 2, Step 1" w:history="1">
        <w:r w:rsidRPr="00990D3B">
          <w:rPr>
            <w:rStyle w:val="Hyperlink"/>
          </w:rPr>
          <w:t>Activity 2, Step 1</w:t>
        </w:r>
      </w:hyperlink>
      <w:r w:rsidRPr="00990D3B">
        <w:t xml:space="preserve"> (</w:t>
      </w:r>
      <w:hyperlink w:anchor="WS43" w:tooltip="Worksheet 4.3" w:history="1">
        <w:r w:rsidRPr="00990D3B">
          <w:rPr>
            <w:rStyle w:val="Hyperlink"/>
          </w:rPr>
          <w:t>Worksheet 4.3</w:t>
        </w:r>
      </w:hyperlink>
      <w:r w:rsidRPr="00990D3B">
        <w:t xml:space="preserve">) that </w:t>
      </w:r>
      <w:r w:rsidRPr="00990D3B" w:rsidR="005F367A">
        <w:t>was</w:t>
      </w:r>
      <w:r w:rsidRPr="00990D3B">
        <w:t xml:space="preserve"> not reviewed in the ISCA. This may include MCP data sources not covered in the ISCA, data from non-MCP entities, and primary data the EQRO plans to collect for the purpose of the network adequacy validation. </w:t>
      </w:r>
      <w:r w:rsidRPr="00990D3B" w:rsidR="005F367A">
        <w:t>C</w:t>
      </w:r>
      <w:r w:rsidRPr="00990D3B">
        <w:t xml:space="preserve">onduct follow-up interviews as needed to supplement </w:t>
      </w:r>
      <w:r w:rsidRPr="00990D3B" w:rsidR="005F367A">
        <w:t>an</w:t>
      </w:r>
      <w:r w:rsidRPr="00990D3B">
        <w:t xml:space="preserve"> understanding of the information systems and processes.</w:t>
      </w:r>
    </w:p>
    <w:p w:rsidR="00881C1F" w:rsidRPr="00990D3B" w:rsidP="005E6B62" w14:paraId="4FBA93F0" w14:textId="275ED2EE">
      <w:pPr>
        <w:pStyle w:val="EQRNormalSSWORKSHEET"/>
        <w:rPr>
          <w:rFonts w:cs="Arial"/>
        </w:rPr>
      </w:pPr>
      <w:r w:rsidRPr="00990D3B">
        <w:rPr>
          <w:rFonts w:cs="Arial"/>
        </w:rPr>
        <w:t>Acronyms: EQRO = External Quality Review Organization; ISCA = Information System Capacity Assessment; MCP= Managed Care Plan.</w:t>
      </w:r>
    </w:p>
    <w:p w:rsidR="00AD7FD8" w:rsidRPr="00990D3B" w:rsidP="005E6B62" w14:paraId="4A73F605" w14:textId="38F92A35">
      <w:pPr>
        <w:pStyle w:val="EQRNormalSSWORKSHEET"/>
        <w:rPr>
          <w:rFonts w:asciiTheme="majorHAnsi" w:hAnsiTheme="majorHAnsi" w:cstheme="majorHAnsi"/>
          <w:szCs w:val="14"/>
        </w:rPr>
      </w:pPr>
      <w:bookmarkStart w:id="536" w:name="_Hlk65079800"/>
      <w:r w:rsidRPr="00990D3B">
        <w:rPr>
          <w:rFonts w:asciiTheme="majorHAnsi" w:hAnsiTheme="majorHAnsi" w:cstheme="majorHAnsi"/>
          <w:b/>
          <w:bCs/>
          <w:szCs w:val="14"/>
        </w:rPr>
        <w:t>MCP name</w:t>
      </w:r>
      <w:r w:rsidRPr="00990D3B">
        <w:rPr>
          <w:rFonts w:asciiTheme="majorHAnsi" w:hAnsiTheme="majorHAnsi" w:cstheme="majorHAnsi"/>
          <w:szCs w:val="14"/>
        </w:rPr>
        <w:t>: ________________________________</w:t>
      </w:r>
    </w:p>
    <w:tbl>
      <w:tblPr>
        <w:tblStyle w:val="TableGrid"/>
        <w:tblW w:w="5000" w:type="pct"/>
        <w:tblLayout w:type="fixed"/>
        <w:tblLook w:val="04A0"/>
      </w:tblPr>
      <w:tblGrid>
        <w:gridCol w:w="4021"/>
        <w:gridCol w:w="5329"/>
      </w:tblGrid>
      <w:tr w14:paraId="79EDF89C" w14:textId="77777777" w:rsidTr="000F67F7">
        <w:tblPrEx>
          <w:tblW w:w="5000" w:type="pct"/>
          <w:tblLayout w:type="fixed"/>
          <w:tblLook w:val="04A0"/>
        </w:tblPrEx>
        <w:tc>
          <w:tcPr>
            <w:tcW w:w="4021" w:type="dxa"/>
          </w:tcPr>
          <w:bookmarkEnd w:id="536"/>
          <w:p w:rsidR="00AD7FD8" w:rsidRPr="00990D3B" w:rsidP="00BD1FC3" w14:paraId="5DB2036B" w14:textId="77777777">
            <w:pPr>
              <w:pStyle w:val="EQRTableText"/>
            </w:pPr>
            <w:r w:rsidRPr="00990D3B">
              <w:t>Name of data source</w:t>
            </w:r>
          </w:p>
        </w:tc>
        <w:tc>
          <w:tcPr>
            <w:tcW w:w="5329" w:type="dxa"/>
          </w:tcPr>
          <w:p w:rsidR="00AD7FD8" w:rsidRPr="00990D3B" w:rsidP="00BD1FC3" w14:paraId="113A0567" w14:textId="77777777">
            <w:pPr>
              <w:pStyle w:val="EQRTableText"/>
              <w:rPr>
                <w:i/>
                <w:iCs/>
              </w:rPr>
            </w:pPr>
          </w:p>
        </w:tc>
      </w:tr>
      <w:tr w14:paraId="2FE783B8" w14:textId="77777777" w:rsidTr="000F67F7">
        <w:tblPrEx>
          <w:tblW w:w="5000" w:type="pct"/>
          <w:tblLayout w:type="fixed"/>
          <w:tblLook w:val="04A0"/>
        </w:tblPrEx>
        <w:tc>
          <w:tcPr>
            <w:tcW w:w="4021" w:type="dxa"/>
          </w:tcPr>
          <w:p w:rsidR="00AD7FD8" w:rsidRPr="00990D3B" w:rsidP="00BD1FC3" w14:paraId="396781B7" w14:textId="77777777">
            <w:pPr>
              <w:pStyle w:val="EQRTableText"/>
            </w:pPr>
            <w:r w:rsidRPr="00990D3B">
              <w:t>What system is used to collect this data?</w:t>
            </w:r>
          </w:p>
        </w:tc>
        <w:tc>
          <w:tcPr>
            <w:tcW w:w="5329" w:type="dxa"/>
          </w:tcPr>
          <w:p w:rsidR="00AD7FD8" w:rsidRPr="00990D3B" w:rsidP="00BD1FC3" w14:paraId="52E82BDC" w14:textId="77777777">
            <w:pPr>
              <w:pStyle w:val="EQRTableText"/>
            </w:pPr>
          </w:p>
        </w:tc>
      </w:tr>
      <w:tr w14:paraId="6CEF0AB5" w14:textId="77777777" w:rsidTr="000F67F7">
        <w:tblPrEx>
          <w:tblW w:w="5000" w:type="pct"/>
          <w:tblLayout w:type="fixed"/>
          <w:tblLook w:val="04A0"/>
        </w:tblPrEx>
        <w:tc>
          <w:tcPr>
            <w:tcW w:w="4021" w:type="dxa"/>
          </w:tcPr>
          <w:p w:rsidR="00AD7FD8" w:rsidRPr="00990D3B" w:rsidP="00BD1FC3" w14:paraId="5FB4F9CA" w14:textId="77777777">
            <w:pPr>
              <w:pStyle w:val="EQRTableText"/>
            </w:pPr>
            <w:r w:rsidRPr="00990D3B">
              <w:t>What system is used to store this data?</w:t>
            </w:r>
          </w:p>
        </w:tc>
        <w:tc>
          <w:tcPr>
            <w:tcW w:w="5329" w:type="dxa"/>
          </w:tcPr>
          <w:p w:rsidR="00AD7FD8" w:rsidRPr="00990D3B" w:rsidP="00BD1FC3" w14:paraId="3CDFB351" w14:textId="77777777">
            <w:pPr>
              <w:pStyle w:val="EQRTableText"/>
            </w:pPr>
          </w:p>
        </w:tc>
      </w:tr>
      <w:tr w14:paraId="01DC625F" w14:textId="77777777" w:rsidTr="000F67F7">
        <w:tblPrEx>
          <w:tblW w:w="5000" w:type="pct"/>
          <w:tblLayout w:type="fixed"/>
          <w:tblLook w:val="04A0"/>
        </w:tblPrEx>
        <w:tc>
          <w:tcPr>
            <w:tcW w:w="4021" w:type="dxa"/>
          </w:tcPr>
          <w:p w:rsidR="00AD7FD8" w:rsidRPr="00990D3B" w:rsidP="00BD1FC3" w14:paraId="297AAB41" w14:textId="77777777">
            <w:pPr>
              <w:pStyle w:val="EQRTableText"/>
            </w:pPr>
            <w:r w:rsidRPr="00990D3B">
              <w:t xml:space="preserve">How frequently </w:t>
            </w:r>
            <w:r w:rsidRPr="00990D3B">
              <w:t>are</w:t>
            </w:r>
            <w:r w:rsidRPr="00990D3B">
              <w:t xml:space="preserve"> the data collected and updated?</w:t>
            </w:r>
          </w:p>
        </w:tc>
        <w:tc>
          <w:tcPr>
            <w:tcW w:w="5329" w:type="dxa"/>
          </w:tcPr>
          <w:p w:rsidR="00AD7FD8" w:rsidRPr="00990D3B" w:rsidP="00BD1FC3" w14:paraId="6208ACDC" w14:textId="77777777">
            <w:pPr>
              <w:pStyle w:val="EQRTableText"/>
            </w:pPr>
          </w:p>
        </w:tc>
      </w:tr>
      <w:tr w14:paraId="42EE573F" w14:textId="77777777" w:rsidTr="000F67F7">
        <w:tblPrEx>
          <w:tblW w:w="5000" w:type="pct"/>
          <w:tblLayout w:type="fixed"/>
          <w:tblLook w:val="04A0"/>
        </w:tblPrEx>
        <w:tc>
          <w:tcPr>
            <w:tcW w:w="4021" w:type="dxa"/>
          </w:tcPr>
          <w:p w:rsidR="00AD7FD8" w:rsidRPr="00990D3B" w:rsidP="00BD1FC3" w14:paraId="7EB67FF2" w14:textId="77777777">
            <w:pPr>
              <w:pStyle w:val="EQRTableText"/>
            </w:pPr>
            <w:r w:rsidRPr="00990D3B">
              <w:t xml:space="preserve">What software systems and/or programming languages are used to analyze this data? </w:t>
            </w:r>
          </w:p>
        </w:tc>
        <w:tc>
          <w:tcPr>
            <w:tcW w:w="5329" w:type="dxa"/>
          </w:tcPr>
          <w:p w:rsidR="00AD7FD8" w:rsidRPr="00990D3B" w:rsidP="00BD1FC3" w14:paraId="3A5751EA" w14:textId="77777777">
            <w:pPr>
              <w:pStyle w:val="EQRTableText"/>
            </w:pPr>
          </w:p>
        </w:tc>
      </w:tr>
      <w:tr w14:paraId="52EEF937" w14:textId="77777777" w:rsidTr="000F67F7">
        <w:tblPrEx>
          <w:tblW w:w="5000" w:type="pct"/>
          <w:tblLayout w:type="fixed"/>
          <w:tblLook w:val="04A0"/>
        </w:tblPrEx>
        <w:tc>
          <w:tcPr>
            <w:tcW w:w="4021" w:type="dxa"/>
          </w:tcPr>
          <w:p w:rsidR="00AD7FD8" w:rsidRPr="00990D3B" w:rsidP="00BD1FC3" w14:paraId="4C95F28A" w14:textId="77777777">
            <w:pPr>
              <w:pStyle w:val="EQRTableText"/>
            </w:pPr>
            <w:r w:rsidRPr="00990D3B">
              <w:t>Which staff are involved in collecting and storing this data, and what is their level of training?</w:t>
            </w:r>
          </w:p>
        </w:tc>
        <w:tc>
          <w:tcPr>
            <w:tcW w:w="5329" w:type="dxa"/>
          </w:tcPr>
          <w:p w:rsidR="00AD7FD8" w:rsidRPr="00990D3B" w:rsidP="00BD1FC3" w14:paraId="2F866C21" w14:textId="77777777">
            <w:pPr>
              <w:pStyle w:val="EQRTableText"/>
            </w:pPr>
          </w:p>
        </w:tc>
      </w:tr>
      <w:tr w14:paraId="1390EB34" w14:textId="77777777" w:rsidTr="000F67F7">
        <w:tblPrEx>
          <w:tblW w:w="5000" w:type="pct"/>
          <w:tblLayout w:type="fixed"/>
          <w:tblLook w:val="04A0"/>
        </w:tblPrEx>
        <w:tc>
          <w:tcPr>
            <w:tcW w:w="4021" w:type="dxa"/>
          </w:tcPr>
          <w:p w:rsidR="00AD7FD8" w:rsidRPr="00990D3B" w:rsidP="00BD1FC3" w14:paraId="34DB9AE8" w14:textId="77777777">
            <w:pPr>
              <w:pStyle w:val="EQRTableText"/>
            </w:pPr>
            <w:r w:rsidRPr="00990D3B">
              <w:t xml:space="preserve">Are there adequate staffing resources to collect and analyze data? Specifically, does the MCP employ enough data </w:t>
            </w:r>
            <w:r w:rsidRPr="00990D3B">
              <w:t>analysts</w:t>
            </w:r>
            <w:r w:rsidRPr="00990D3B">
              <w:t xml:space="preserve"> and do they have adequate time to perform necessary analytics?</w:t>
            </w:r>
          </w:p>
        </w:tc>
        <w:tc>
          <w:tcPr>
            <w:tcW w:w="5329" w:type="dxa"/>
          </w:tcPr>
          <w:p w:rsidR="00AD7FD8" w:rsidRPr="00990D3B" w:rsidP="00BD1FC3" w14:paraId="67D28DA5" w14:textId="77777777">
            <w:pPr>
              <w:pStyle w:val="EQRTableText"/>
            </w:pPr>
          </w:p>
        </w:tc>
      </w:tr>
      <w:tr w14:paraId="3BDCADD5" w14:textId="77777777" w:rsidTr="000F67F7">
        <w:tblPrEx>
          <w:tblW w:w="5000" w:type="pct"/>
          <w:tblLayout w:type="fixed"/>
          <w:tblLook w:val="04A0"/>
        </w:tblPrEx>
        <w:tc>
          <w:tcPr>
            <w:tcW w:w="4021" w:type="dxa"/>
          </w:tcPr>
          <w:p w:rsidR="00AD7FD8" w:rsidRPr="00990D3B" w:rsidP="00BD1FC3" w14:paraId="399BF1D3" w14:textId="77777777">
            <w:pPr>
              <w:pStyle w:val="EQRTableText"/>
            </w:pPr>
            <w:r w:rsidRPr="00990D3B">
              <w:t>Which staff are involved in analyzing and reporting this data, and what is their level of training?</w:t>
            </w:r>
          </w:p>
        </w:tc>
        <w:tc>
          <w:tcPr>
            <w:tcW w:w="5329" w:type="dxa"/>
          </w:tcPr>
          <w:p w:rsidR="00AD7FD8" w:rsidRPr="00990D3B" w:rsidP="00BD1FC3" w14:paraId="2E98ED84" w14:textId="77777777">
            <w:pPr>
              <w:pStyle w:val="EQRTableText"/>
            </w:pPr>
          </w:p>
        </w:tc>
      </w:tr>
      <w:tr w14:paraId="322A467D" w14:textId="77777777" w:rsidTr="000F67F7">
        <w:tblPrEx>
          <w:tblW w:w="5000" w:type="pct"/>
          <w:tblLayout w:type="fixed"/>
          <w:tblLook w:val="04A0"/>
        </w:tblPrEx>
        <w:tc>
          <w:tcPr>
            <w:tcW w:w="4021" w:type="dxa"/>
          </w:tcPr>
          <w:p w:rsidR="00AD7FD8" w:rsidRPr="00990D3B" w:rsidP="00BD1FC3" w14:paraId="1C0585CB" w14:textId="77777777">
            <w:pPr>
              <w:pStyle w:val="EQRTableText"/>
            </w:pPr>
            <w:r w:rsidRPr="00990D3B">
              <w:t>What errors may occur in the process of collecting, storing, and analyzing the data?</w:t>
            </w:r>
          </w:p>
        </w:tc>
        <w:tc>
          <w:tcPr>
            <w:tcW w:w="5329" w:type="dxa"/>
          </w:tcPr>
          <w:p w:rsidR="00AD7FD8" w:rsidRPr="00990D3B" w:rsidP="00BD1FC3" w14:paraId="1AEA862E" w14:textId="77777777">
            <w:pPr>
              <w:pStyle w:val="EQRTableText"/>
            </w:pPr>
          </w:p>
        </w:tc>
      </w:tr>
      <w:tr w14:paraId="7E975B58" w14:textId="77777777" w:rsidTr="000F67F7">
        <w:tblPrEx>
          <w:tblW w:w="5000" w:type="pct"/>
          <w:tblLayout w:type="fixed"/>
          <w:tblLook w:val="04A0"/>
        </w:tblPrEx>
        <w:tc>
          <w:tcPr>
            <w:tcW w:w="4021" w:type="dxa"/>
          </w:tcPr>
          <w:p w:rsidR="00AD7FD8" w:rsidRPr="00990D3B" w:rsidP="00BD1FC3" w14:paraId="1ADEF098" w14:textId="77777777">
            <w:pPr>
              <w:pStyle w:val="EQRTableText"/>
            </w:pPr>
            <w:r w:rsidRPr="00990D3B">
              <w:t>What systems are in place to prevent and fix errors that occur in the process of collecting, storing, and analyzing the data?</w:t>
            </w:r>
          </w:p>
        </w:tc>
        <w:tc>
          <w:tcPr>
            <w:tcW w:w="5329" w:type="dxa"/>
          </w:tcPr>
          <w:p w:rsidR="00AD7FD8" w:rsidRPr="00990D3B" w:rsidP="00BD1FC3" w14:paraId="75C0C01F" w14:textId="77777777">
            <w:pPr>
              <w:pStyle w:val="EQRTableText"/>
            </w:pPr>
          </w:p>
        </w:tc>
      </w:tr>
      <w:tr w14:paraId="0E40C36D" w14:textId="77777777" w:rsidTr="000F67F7">
        <w:tblPrEx>
          <w:tblW w:w="5000" w:type="pct"/>
          <w:tblLayout w:type="fixed"/>
          <w:tblLook w:val="04A0"/>
        </w:tblPrEx>
        <w:tc>
          <w:tcPr>
            <w:tcW w:w="4021" w:type="dxa"/>
          </w:tcPr>
          <w:p w:rsidR="00AD7FD8" w:rsidRPr="00990D3B" w:rsidP="00BD1FC3" w14:paraId="0F98495D" w14:textId="77777777">
            <w:pPr>
              <w:pStyle w:val="EQRTableText"/>
            </w:pPr>
            <w:r w:rsidRPr="00990D3B">
              <w:t xml:space="preserve">What proportion of the data </w:t>
            </w:r>
            <w:r w:rsidRPr="00990D3B">
              <w:t>are</w:t>
            </w:r>
            <w:r w:rsidRPr="00990D3B">
              <w:t xml:space="preserve"> missing or incomplete on key data elements? </w:t>
            </w:r>
          </w:p>
        </w:tc>
        <w:tc>
          <w:tcPr>
            <w:tcW w:w="5329" w:type="dxa"/>
          </w:tcPr>
          <w:p w:rsidR="00AD7FD8" w:rsidRPr="00990D3B" w:rsidP="00BD1FC3" w14:paraId="60433B24" w14:textId="77777777">
            <w:pPr>
              <w:pStyle w:val="EQRTableText"/>
            </w:pPr>
          </w:p>
        </w:tc>
      </w:tr>
      <w:tr w14:paraId="348F2363" w14:textId="77777777" w:rsidTr="000F67F7">
        <w:tblPrEx>
          <w:tblW w:w="5000" w:type="pct"/>
          <w:tblLayout w:type="fixed"/>
          <w:tblLook w:val="04A0"/>
        </w:tblPrEx>
        <w:tc>
          <w:tcPr>
            <w:tcW w:w="4021" w:type="dxa"/>
          </w:tcPr>
          <w:p w:rsidR="00AD7FD8" w:rsidRPr="00990D3B" w:rsidP="00BD1FC3" w14:paraId="6595DCED" w14:textId="77777777">
            <w:pPr>
              <w:pStyle w:val="EQRTableText"/>
            </w:pPr>
            <w:r w:rsidRPr="00990D3B">
              <w:t xml:space="preserve">What systems are in place to prevent missing or incomplete data?  </w:t>
            </w:r>
          </w:p>
        </w:tc>
        <w:tc>
          <w:tcPr>
            <w:tcW w:w="5329" w:type="dxa"/>
          </w:tcPr>
          <w:p w:rsidR="00AD7FD8" w:rsidRPr="00990D3B" w:rsidP="00BD1FC3" w14:paraId="41495002" w14:textId="77777777">
            <w:pPr>
              <w:pStyle w:val="EQRTableText"/>
            </w:pPr>
          </w:p>
        </w:tc>
      </w:tr>
      <w:tr w14:paraId="38CD609A" w14:textId="77777777" w:rsidTr="000F67F7">
        <w:tblPrEx>
          <w:tblW w:w="5000" w:type="pct"/>
          <w:tblLayout w:type="fixed"/>
          <w:tblLook w:val="04A0"/>
        </w:tblPrEx>
        <w:tc>
          <w:tcPr>
            <w:tcW w:w="4021" w:type="dxa"/>
          </w:tcPr>
          <w:p w:rsidR="00AD7FD8" w:rsidRPr="00990D3B" w:rsidP="00BD1FC3" w14:paraId="724D4B74" w14:textId="77777777">
            <w:pPr>
              <w:pStyle w:val="EQRTableText"/>
            </w:pPr>
            <w:r w:rsidRPr="00990D3B">
              <w:t>Data concerns relevant to network adequacy validation</w:t>
            </w:r>
          </w:p>
        </w:tc>
        <w:tc>
          <w:tcPr>
            <w:tcW w:w="5329" w:type="dxa"/>
          </w:tcPr>
          <w:p w:rsidR="00AD7FD8" w:rsidRPr="00990D3B" w:rsidP="00BD1FC3" w14:paraId="1A548DB7" w14:textId="77777777">
            <w:pPr>
              <w:pStyle w:val="EQRTableText"/>
            </w:pPr>
          </w:p>
        </w:tc>
      </w:tr>
      <w:tr w14:paraId="7E065510" w14:textId="77777777" w:rsidTr="000F67F7">
        <w:tblPrEx>
          <w:tblW w:w="5000" w:type="pct"/>
          <w:tblLayout w:type="fixed"/>
          <w:tblLook w:val="04A0"/>
        </w:tblPrEx>
        <w:tc>
          <w:tcPr>
            <w:tcW w:w="4021" w:type="dxa"/>
          </w:tcPr>
          <w:p w:rsidR="00AD7FD8" w:rsidRPr="00990D3B" w:rsidP="00BD1FC3" w14:paraId="39FFB37C" w14:textId="77777777">
            <w:pPr>
              <w:pStyle w:val="EQRTableText"/>
            </w:pPr>
            <w:r w:rsidRPr="00990D3B">
              <w:t>Potential solutions or workarounds to address data concerns</w:t>
            </w:r>
          </w:p>
        </w:tc>
        <w:tc>
          <w:tcPr>
            <w:tcW w:w="5329" w:type="dxa"/>
          </w:tcPr>
          <w:p w:rsidR="00AD7FD8" w:rsidRPr="00990D3B" w:rsidP="00BD1FC3" w14:paraId="21957716" w14:textId="77777777">
            <w:pPr>
              <w:pStyle w:val="EQRTableText"/>
            </w:pPr>
          </w:p>
        </w:tc>
      </w:tr>
    </w:tbl>
    <w:p w:rsidR="00DF1BB2" w:rsidRPr="00990D3B" w:rsidP="00B5252D" w14:paraId="450FE45A" w14:textId="7FD5745A">
      <w:pPr>
        <w:pStyle w:val="ParagraphContinued"/>
        <w:sectPr w:rsidSect="002B13DA">
          <w:headerReference w:type="even" r:id="rId153"/>
          <w:headerReference w:type="default" r:id="rId154"/>
          <w:footerReference w:type="even" r:id="rId155"/>
          <w:footerReference w:type="default" r:id="rId156"/>
          <w:headerReference w:type="first" r:id="rId157"/>
          <w:footerReference w:type="first" r:id="rId158"/>
          <w:pgSz w:w="12240" w:h="15840" w:code="1"/>
          <w:pgMar w:top="1440" w:right="1440" w:bottom="1440" w:left="1440" w:header="720" w:footer="720" w:gutter="0"/>
          <w:cols w:space="720"/>
          <w:titlePg/>
          <w:docGrid w:linePitch="360"/>
        </w:sectPr>
      </w:pPr>
    </w:p>
    <w:p w:rsidR="00AD7FD8" w:rsidRPr="00990D3B" w:rsidP="00BD1FC3" w14:paraId="0DB837CD" w14:textId="77777777">
      <w:pPr>
        <w:pStyle w:val="EQRMarkforExhibitWORKSHEET"/>
      </w:pPr>
      <w:bookmarkStart w:id="537" w:name="WS46"/>
      <w:bookmarkStart w:id="538" w:name="_Toc125619168"/>
      <w:bookmarkStart w:id="539" w:name="_Toc201751530"/>
      <w:bookmarkEnd w:id="537"/>
      <w:r w:rsidRPr="00990D3B">
        <w:t>Worksheet 4.6. Assessment of MCP Network Adequacy Data, Methods, and Results</w:t>
      </w:r>
      <w:bookmarkEnd w:id="538"/>
      <w:bookmarkEnd w:id="539"/>
    </w:p>
    <w:p w:rsidR="005F4475" w:rsidRPr="00990D3B" w:rsidP="005F4475" w14:paraId="46E03129" w14:textId="77777777">
      <w:pPr>
        <w:pStyle w:val="EQRNormalSSWORKSHEET"/>
      </w:pPr>
      <w:r w:rsidRPr="00990D3B">
        <w:rPr>
          <w:rFonts w:cs="Arial"/>
          <w:b/>
          <w:bCs/>
        </w:rPr>
        <w:t>Instructions</w:t>
      </w:r>
      <w:r w:rsidRPr="00990D3B" w:rsidR="004931B6">
        <w:rPr>
          <w:rFonts w:cs="Arial"/>
          <w:b/>
          <w:bCs/>
        </w:rPr>
        <w:t>.</w:t>
      </w:r>
      <w:r w:rsidRPr="00990D3B">
        <w:rPr>
          <w:rFonts w:cs="Arial"/>
          <w:b/>
          <w:bCs/>
        </w:rPr>
        <w:t xml:space="preserve"> </w:t>
      </w:r>
      <w:r w:rsidRPr="00990D3B" w:rsidR="005F367A">
        <w:t xml:space="preserve">For each </w:t>
      </w:r>
      <w:r w:rsidRPr="00990D3B">
        <w:t>indicator</w:t>
      </w:r>
      <w:r w:rsidRPr="00990D3B" w:rsidR="005F367A">
        <w:t>, r</w:t>
      </w:r>
      <w:r w:rsidRPr="00990D3B">
        <w:t>espond to the questions</w:t>
      </w:r>
      <w:r w:rsidRPr="00990D3B" w:rsidR="005F367A">
        <w:t xml:space="preserve">, inserting </w:t>
      </w:r>
      <w:r w:rsidRPr="00990D3B">
        <w:t xml:space="preserve">comments to explain “No” and “Not Applicable” responses. If an item is partially met, select “No” and explain in comments. For example, if data sources are available for some but not all indicators or for some but not all years, select “No” and explain in comments. </w:t>
      </w:r>
      <w:r w:rsidRPr="00990D3B" w:rsidR="004931B6">
        <w:rPr>
          <w:rFonts w:cs="Arial"/>
        </w:rPr>
        <w:t>Complete a</w:t>
      </w:r>
      <w:r w:rsidRPr="00990D3B" w:rsidR="004931B6">
        <w:t xml:space="preserve"> table </w:t>
      </w:r>
      <w:r w:rsidRPr="00990D3B" w:rsidR="004931B6">
        <w:rPr>
          <w:b/>
          <w:bCs/>
        </w:rPr>
        <w:t>for each network adequacy indicator</w:t>
      </w:r>
      <w:r w:rsidRPr="00990D3B" w:rsidR="004931B6">
        <w:t xml:space="preserve"> to be validated. </w:t>
      </w:r>
    </w:p>
    <w:p w:rsidR="00881C1F" w:rsidRPr="00990D3B" w:rsidP="005F4475" w14:paraId="2BE947AC" w14:textId="54D33D36">
      <w:pPr>
        <w:pStyle w:val="EQRNormalSSWORKSHEET"/>
        <w:rPr>
          <w:color w:val="A6A6A6" w:themeColor="background1" w:themeShade="A6"/>
        </w:rPr>
      </w:pPr>
      <w:r w:rsidRPr="00990D3B">
        <w:rPr>
          <w:rFonts w:asciiTheme="majorHAnsi" w:hAnsiTheme="majorHAnsi" w:cstheme="majorHAnsi"/>
        </w:rPr>
        <w:t xml:space="preserve">Acronyms: CHIP = Children’s Health Insurance Program; EQRO = External Quality Review Organization; ID = </w:t>
      </w:r>
      <w:r w:rsidRPr="00990D3B" w:rsidR="006A057F">
        <w:rPr>
          <w:rFonts w:asciiTheme="majorHAnsi" w:hAnsiTheme="majorHAnsi" w:cstheme="majorHAnsi"/>
        </w:rPr>
        <w:t>Identifier</w:t>
      </w:r>
      <w:r w:rsidRPr="00990D3B">
        <w:rPr>
          <w:rFonts w:asciiTheme="majorHAnsi" w:hAnsiTheme="majorHAnsi" w:cstheme="majorHAnsi"/>
        </w:rPr>
        <w:t xml:space="preserve">; LTSS = Long-Term Services and Supports; MCP= Managed Care Plan; NA= Not Applicable. </w:t>
      </w:r>
    </w:p>
    <w:p w:rsidR="00AD7FD8" w:rsidRPr="00990D3B" w:rsidP="00BD1FC3" w14:paraId="3EAF8C51" w14:textId="22B2FC8A">
      <w:pPr>
        <w:pStyle w:val="EQRNormalSSWORKSHEET"/>
      </w:pPr>
      <w:r w:rsidRPr="00990D3B">
        <w:rPr>
          <w:b/>
          <w:bCs/>
        </w:rPr>
        <w:t>MCP name</w:t>
      </w:r>
      <w:r w:rsidRPr="00990D3B">
        <w:t>: ________________________________</w:t>
      </w:r>
    </w:p>
    <w:p w:rsidR="00AD7FD8" w:rsidRPr="00990D3B" w:rsidP="00BD1FC3" w14:paraId="6FA6CF99" w14:textId="15A37BFF">
      <w:pPr>
        <w:pStyle w:val="EQRNormalSSWORKSHEET"/>
      </w:pPr>
      <w:r w:rsidRPr="00990D3B">
        <w:rPr>
          <w:b/>
          <w:bCs/>
        </w:rPr>
        <w:t xml:space="preserve">Network </w:t>
      </w:r>
      <w:r w:rsidRPr="00990D3B" w:rsidR="00A66118">
        <w:rPr>
          <w:b/>
          <w:bCs/>
        </w:rPr>
        <w:t>a</w:t>
      </w:r>
      <w:r w:rsidRPr="00990D3B">
        <w:rPr>
          <w:b/>
          <w:bCs/>
        </w:rPr>
        <w:t xml:space="preserve">dequacy </w:t>
      </w:r>
      <w:r w:rsidRPr="00990D3B" w:rsidR="00A66118">
        <w:rPr>
          <w:b/>
          <w:bCs/>
        </w:rPr>
        <w:t>i</w:t>
      </w:r>
      <w:r w:rsidRPr="00990D3B">
        <w:rPr>
          <w:b/>
          <w:bCs/>
        </w:rPr>
        <w:t xml:space="preserve">ndicator: </w:t>
      </w:r>
      <w:r w:rsidRPr="00990D3B">
        <w:t>___________________________________</w:t>
      </w:r>
    </w:p>
    <w:tbl>
      <w:tblPr>
        <w:tblStyle w:val="TableGrid"/>
        <w:tblW w:w="5000" w:type="pct"/>
        <w:tblLayout w:type="fixed"/>
        <w:tblLook w:val="04A0"/>
      </w:tblPr>
      <w:tblGrid>
        <w:gridCol w:w="4675"/>
        <w:gridCol w:w="900"/>
        <w:gridCol w:w="810"/>
        <w:gridCol w:w="1080"/>
        <w:gridCol w:w="5485"/>
      </w:tblGrid>
      <w:tr w14:paraId="3871D389" w14:textId="77777777" w:rsidTr="00A11C1E">
        <w:tblPrEx>
          <w:tblW w:w="5000" w:type="pct"/>
          <w:tblLayout w:type="fixed"/>
          <w:tblLook w:val="04A0"/>
        </w:tblPrEx>
        <w:trPr>
          <w:cantSplit/>
          <w:tblHeader/>
        </w:trPr>
        <w:tc>
          <w:tcPr>
            <w:tcW w:w="4675" w:type="dxa"/>
            <w:vAlign w:val="bottom"/>
          </w:tcPr>
          <w:p w:rsidR="00AD7FD8" w:rsidRPr="00990D3B" w:rsidP="00BD1FC3" w14:paraId="6D77080E" w14:textId="77777777">
            <w:pPr>
              <w:pStyle w:val="EQRTableHeaderLeft"/>
              <w:rPr>
                <w:color w:val="000000" w:themeColor="text1"/>
              </w:rPr>
            </w:pPr>
            <w:r w:rsidRPr="00990D3B">
              <w:rPr>
                <w:color w:val="000000" w:themeColor="text1"/>
              </w:rPr>
              <w:t>Question</w:t>
            </w:r>
          </w:p>
        </w:tc>
        <w:tc>
          <w:tcPr>
            <w:tcW w:w="900" w:type="dxa"/>
            <w:vAlign w:val="bottom"/>
          </w:tcPr>
          <w:p w:rsidR="00AD7FD8" w:rsidRPr="00990D3B" w:rsidP="00BD1FC3" w14:paraId="0A7CFB73" w14:textId="77777777">
            <w:pPr>
              <w:pStyle w:val="EQRTableHeaderCenter"/>
              <w:rPr>
                <w:color w:val="000000" w:themeColor="text1"/>
              </w:rPr>
            </w:pPr>
            <w:r w:rsidRPr="00990D3B">
              <w:rPr>
                <w:color w:val="000000" w:themeColor="text1"/>
              </w:rPr>
              <w:t>Yes</w:t>
            </w:r>
          </w:p>
        </w:tc>
        <w:tc>
          <w:tcPr>
            <w:tcW w:w="810" w:type="dxa"/>
            <w:vAlign w:val="bottom"/>
          </w:tcPr>
          <w:p w:rsidR="00AD7FD8" w:rsidRPr="00990D3B" w:rsidP="00BD1FC3" w14:paraId="77C70FB7" w14:textId="77777777">
            <w:pPr>
              <w:pStyle w:val="EQRTableHeaderCenter"/>
              <w:rPr>
                <w:color w:val="000000" w:themeColor="text1"/>
              </w:rPr>
            </w:pPr>
            <w:r w:rsidRPr="00990D3B">
              <w:rPr>
                <w:color w:val="000000" w:themeColor="text1"/>
              </w:rPr>
              <w:t>No</w:t>
            </w:r>
          </w:p>
        </w:tc>
        <w:tc>
          <w:tcPr>
            <w:tcW w:w="1080" w:type="dxa"/>
            <w:vAlign w:val="bottom"/>
          </w:tcPr>
          <w:p w:rsidR="00AD7FD8" w:rsidRPr="00990D3B" w:rsidP="00BD1FC3" w14:paraId="2AB2CE60" w14:textId="478F11F3">
            <w:pPr>
              <w:pStyle w:val="EQRTableHeaderCenter"/>
              <w:rPr>
                <w:color w:val="000000" w:themeColor="text1"/>
              </w:rPr>
            </w:pPr>
            <w:r w:rsidRPr="00990D3B">
              <w:rPr>
                <w:color w:val="000000" w:themeColor="text1"/>
              </w:rPr>
              <w:t>NA</w:t>
            </w:r>
          </w:p>
        </w:tc>
        <w:tc>
          <w:tcPr>
            <w:tcW w:w="5485" w:type="dxa"/>
            <w:vAlign w:val="bottom"/>
          </w:tcPr>
          <w:p w:rsidR="00AD7FD8" w:rsidRPr="00990D3B" w:rsidP="00BD1FC3" w14:paraId="28A40C1F" w14:textId="77777777">
            <w:pPr>
              <w:pStyle w:val="EQRTableHeaderCenter"/>
              <w:rPr>
                <w:color w:val="000000" w:themeColor="text1"/>
              </w:rPr>
            </w:pPr>
            <w:r w:rsidRPr="00990D3B">
              <w:rPr>
                <w:color w:val="000000" w:themeColor="text1"/>
              </w:rPr>
              <w:t>Comments</w:t>
            </w:r>
          </w:p>
        </w:tc>
      </w:tr>
      <w:tr w14:paraId="6CB9BA9E" w14:textId="77777777" w:rsidTr="00A11C1E">
        <w:tblPrEx>
          <w:tblW w:w="5000" w:type="pct"/>
          <w:tblLayout w:type="fixed"/>
          <w:tblLook w:val="04A0"/>
        </w:tblPrEx>
        <w:trPr>
          <w:cantSplit/>
        </w:trPr>
        <w:tc>
          <w:tcPr>
            <w:tcW w:w="4675" w:type="dxa"/>
            <w:shd w:val="clear" w:color="auto" w:fill="D9D9D9" w:themeFill="background1" w:themeFillShade="D9"/>
          </w:tcPr>
          <w:p w:rsidR="00AD7FD8" w:rsidRPr="00990D3B" w:rsidP="00BD1FC3" w14:paraId="01CCF32F" w14:textId="77777777">
            <w:pPr>
              <w:pStyle w:val="EQRTableText"/>
              <w:rPr>
                <w:b/>
                <w:bCs/>
              </w:rPr>
            </w:pPr>
            <w:r w:rsidRPr="00990D3B">
              <w:rPr>
                <w:b/>
                <w:bCs/>
              </w:rPr>
              <w:t xml:space="preserve">Assessment of data collection procedures </w:t>
            </w:r>
          </w:p>
        </w:tc>
        <w:tc>
          <w:tcPr>
            <w:tcW w:w="900" w:type="dxa"/>
            <w:shd w:val="clear" w:color="auto" w:fill="D9D9D9" w:themeFill="background1" w:themeFillShade="D9"/>
          </w:tcPr>
          <w:p w:rsidR="00AD7FD8" w:rsidRPr="00990D3B" w:rsidP="00BD1FC3" w14:paraId="2E99FF55" w14:textId="77777777">
            <w:pPr>
              <w:pStyle w:val="EQRTableText"/>
              <w:rPr>
                <w:b/>
                <w:bCs/>
              </w:rPr>
            </w:pPr>
          </w:p>
        </w:tc>
        <w:tc>
          <w:tcPr>
            <w:tcW w:w="810" w:type="dxa"/>
            <w:shd w:val="clear" w:color="auto" w:fill="D9D9D9" w:themeFill="background1" w:themeFillShade="D9"/>
          </w:tcPr>
          <w:p w:rsidR="00AD7FD8" w:rsidRPr="00990D3B" w:rsidP="00BD1FC3" w14:paraId="64E52EA1" w14:textId="77777777">
            <w:pPr>
              <w:pStyle w:val="EQRTableText"/>
              <w:rPr>
                <w:b/>
                <w:bCs/>
              </w:rPr>
            </w:pPr>
          </w:p>
        </w:tc>
        <w:tc>
          <w:tcPr>
            <w:tcW w:w="1080" w:type="dxa"/>
            <w:shd w:val="clear" w:color="auto" w:fill="D9D9D9" w:themeFill="background1" w:themeFillShade="D9"/>
          </w:tcPr>
          <w:p w:rsidR="00AD7FD8" w:rsidRPr="00990D3B" w:rsidP="00BD1FC3" w14:paraId="473AC3A9" w14:textId="77777777">
            <w:pPr>
              <w:pStyle w:val="EQRTableText"/>
              <w:rPr>
                <w:b/>
                <w:bCs/>
              </w:rPr>
            </w:pPr>
          </w:p>
        </w:tc>
        <w:tc>
          <w:tcPr>
            <w:tcW w:w="5485" w:type="dxa"/>
            <w:shd w:val="clear" w:color="auto" w:fill="D9D9D9" w:themeFill="background1" w:themeFillShade="D9"/>
          </w:tcPr>
          <w:p w:rsidR="00AD7FD8" w:rsidRPr="00990D3B" w:rsidP="00BD1FC3" w14:paraId="3470F6D3" w14:textId="77777777">
            <w:pPr>
              <w:pStyle w:val="EQRTableText"/>
              <w:rPr>
                <w:b/>
                <w:bCs/>
              </w:rPr>
            </w:pPr>
          </w:p>
        </w:tc>
      </w:tr>
      <w:tr w14:paraId="52CFCFD4" w14:textId="77777777" w:rsidTr="00A11C1E">
        <w:tblPrEx>
          <w:tblW w:w="5000" w:type="pct"/>
          <w:tblLayout w:type="fixed"/>
          <w:tblLook w:val="04A0"/>
        </w:tblPrEx>
        <w:trPr>
          <w:cantSplit/>
        </w:trPr>
        <w:tc>
          <w:tcPr>
            <w:tcW w:w="4675" w:type="dxa"/>
          </w:tcPr>
          <w:p w:rsidR="00AD7FD8" w:rsidRPr="00990D3B" w:rsidP="00BD1FC3" w14:paraId="2C39218E" w14:textId="77777777">
            <w:pPr>
              <w:pStyle w:val="EQRTableText"/>
            </w:pPr>
            <w:r w:rsidRPr="00990D3B">
              <w:t>Were all data sources (and year[s] of data) needed to calculate this indicator submitted by the MCP to the EQRO?</w:t>
            </w:r>
          </w:p>
        </w:tc>
        <w:tc>
          <w:tcPr>
            <w:tcW w:w="900" w:type="dxa"/>
          </w:tcPr>
          <w:p w:rsidR="00AD7FD8" w:rsidRPr="00990D3B" w:rsidP="00BD1FC3" w14:paraId="26C91CA1" w14:textId="77777777">
            <w:pPr>
              <w:pStyle w:val="EQRTableText"/>
            </w:pPr>
          </w:p>
        </w:tc>
        <w:tc>
          <w:tcPr>
            <w:tcW w:w="810" w:type="dxa"/>
          </w:tcPr>
          <w:p w:rsidR="00AD7FD8" w:rsidRPr="00990D3B" w:rsidP="00BD1FC3" w14:paraId="0C5C1060" w14:textId="77777777">
            <w:pPr>
              <w:pStyle w:val="EQRTableText"/>
            </w:pPr>
          </w:p>
        </w:tc>
        <w:tc>
          <w:tcPr>
            <w:tcW w:w="1080" w:type="dxa"/>
          </w:tcPr>
          <w:p w:rsidR="00AD7FD8" w:rsidRPr="00990D3B" w:rsidP="00BD1FC3" w14:paraId="42ECFC15" w14:textId="77777777">
            <w:pPr>
              <w:pStyle w:val="EQRTableText"/>
            </w:pPr>
          </w:p>
        </w:tc>
        <w:tc>
          <w:tcPr>
            <w:tcW w:w="5485" w:type="dxa"/>
          </w:tcPr>
          <w:p w:rsidR="00AD7FD8" w:rsidRPr="00990D3B" w:rsidP="00BD1FC3" w14:paraId="188F76DE" w14:textId="77777777">
            <w:pPr>
              <w:pStyle w:val="EQRTableText"/>
            </w:pPr>
          </w:p>
        </w:tc>
      </w:tr>
      <w:tr w14:paraId="7BE9E465" w14:textId="77777777" w:rsidTr="00A11C1E">
        <w:tblPrEx>
          <w:tblW w:w="5000" w:type="pct"/>
          <w:tblLayout w:type="fixed"/>
          <w:tblLook w:val="04A0"/>
        </w:tblPrEx>
        <w:trPr>
          <w:cantSplit/>
        </w:trPr>
        <w:tc>
          <w:tcPr>
            <w:tcW w:w="4675" w:type="dxa"/>
          </w:tcPr>
          <w:p w:rsidR="00AD7FD8" w:rsidRPr="00990D3B" w:rsidP="00BD1FC3" w14:paraId="0964E62A" w14:textId="77777777">
            <w:pPr>
              <w:pStyle w:val="EQRTableText"/>
            </w:pPr>
            <w:r w:rsidRPr="00990D3B">
              <w:t xml:space="preserve">For each data source, were all variables needed to calculate this indicator included? </w:t>
            </w:r>
          </w:p>
        </w:tc>
        <w:tc>
          <w:tcPr>
            <w:tcW w:w="900" w:type="dxa"/>
          </w:tcPr>
          <w:p w:rsidR="00AD7FD8" w:rsidRPr="00990D3B" w:rsidP="00BD1FC3" w14:paraId="7EDE8D2E" w14:textId="77777777">
            <w:pPr>
              <w:pStyle w:val="EQRTableText"/>
            </w:pPr>
          </w:p>
        </w:tc>
        <w:tc>
          <w:tcPr>
            <w:tcW w:w="810" w:type="dxa"/>
          </w:tcPr>
          <w:p w:rsidR="00AD7FD8" w:rsidRPr="00990D3B" w:rsidP="00BD1FC3" w14:paraId="3ADB1932" w14:textId="77777777">
            <w:pPr>
              <w:pStyle w:val="EQRTableText"/>
            </w:pPr>
          </w:p>
        </w:tc>
        <w:tc>
          <w:tcPr>
            <w:tcW w:w="1080" w:type="dxa"/>
          </w:tcPr>
          <w:p w:rsidR="00AD7FD8" w:rsidRPr="00990D3B" w:rsidP="00BD1FC3" w14:paraId="026253D5" w14:textId="77777777">
            <w:pPr>
              <w:pStyle w:val="EQRTableText"/>
            </w:pPr>
          </w:p>
        </w:tc>
        <w:tc>
          <w:tcPr>
            <w:tcW w:w="5485" w:type="dxa"/>
          </w:tcPr>
          <w:p w:rsidR="00AD7FD8" w:rsidRPr="00990D3B" w:rsidP="00BD1FC3" w14:paraId="1136BC7E" w14:textId="77777777">
            <w:pPr>
              <w:pStyle w:val="EQRTableText"/>
            </w:pPr>
          </w:p>
        </w:tc>
      </w:tr>
      <w:tr w14:paraId="5D98A1A1" w14:textId="77777777" w:rsidTr="00A11C1E">
        <w:tblPrEx>
          <w:tblW w:w="5000" w:type="pct"/>
          <w:tblLayout w:type="fixed"/>
          <w:tblLook w:val="04A0"/>
        </w:tblPrEx>
        <w:trPr>
          <w:cantSplit/>
        </w:trPr>
        <w:tc>
          <w:tcPr>
            <w:tcW w:w="4675" w:type="dxa"/>
          </w:tcPr>
          <w:p w:rsidR="00AD7FD8" w:rsidRPr="00990D3B" w:rsidP="00BD1FC3" w14:paraId="56EBF77E" w14:textId="77777777">
            <w:pPr>
              <w:pStyle w:val="EQRTableText"/>
            </w:pPr>
            <w:r w:rsidRPr="00990D3B">
              <w:t xml:space="preserve">Are there any patterns in missing data that may affect the calculation of this indicator? (Note: This assessment should be based on a systematic assessment of the proportion of missing data for each variable.) </w:t>
            </w:r>
          </w:p>
        </w:tc>
        <w:tc>
          <w:tcPr>
            <w:tcW w:w="900" w:type="dxa"/>
          </w:tcPr>
          <w:p w:rsidR="00AD7FD8" w:rsidRPr="00990D3B" w:rsidP="00BD1FC3" w14:paraId="35827FE8" w14:textId="77777777">
            <w:pPr>
              <w:pStyle w:val="EQRTableText"/>
            </w:pPr>
          </w:p>
        </w:tc>
        <w:tc>
          <w:tcPr>
            <w:tcW w:w="810" w:type="dxa"/>
          </w:tcPr>
          <w:p w:rsidR="00AD7FD8" w:rsidRPr="00990D3B" w:rsidP="00BD1FC3" w14:paraId="6A71A6AB" w14:textId="77777777">
            <w:pPr>
              <w:pStyle w:val="EQRTableText"/>
            </w:pPr>
          </w:p>
        </w:tc>
        <w:tc>
          <w:tcPr>
            <w:tcW w:w="1080" w:type="dxa"/>
          </w:tcPr>
          <w:p w:rsidR="00AD7FD8" w:rsidRPr="00990D3B" w:rsidP="00BD1FC3" w14:paraId="2513E196" w14:textId="77777777">
            <w:pPr>
              <w:pStyle w:val="EQRTableText"/>
            </w:pPr>
          </w:p>
        </w:tc>
        <w:tc>
          <w:tcPr>
            <w:tcW w:w="5485" w:type="dxa"/>
          </w:tcPr>
          <w:p w:rsidR="00AD7FD8" w:rsidRPr="00990D3B" w:rsidP="00BD1FC3" w14:paraId="06C20DD0" w14:textId="77777777">
            <w:pPr>
              <w:pStyle w:val="EQRTableText"/>
            </w:pPr>
          </w:p>
        </w:tc>
      </w:tr>
      <w:tr w14:paraId="4AD414FE" w14:textId="77777777" w:rsidTr="00A11C1E">
        <w:tblPrEx>
          <w:tblW w:w="5000" w:type="pct"/>
          <w:tblLayout w:type="fixed"/>
          <w:tblLook w:val="04A0"/>
        </w:tblPrEx>
        <w:trPr>
          <w:cantSplit/>
        </w:trPr>
        <w:tc>
          <w:tcPr>
            <w:tcW w:w="4675" w:type="dxa"/>
          </w:tcPr>
          <w:p w:rsidR="00AD7FD8" w:rsidRPr="00990D3B" w:rsidP="00BD1FC3" w14:paraId="437D78C0" w14:textId="77777777">
            <w:pPr>
              <w:pStyle w:val="EQRTableText"/>
            </w:pPr>
            <w:r w:rsidRPr="00990D3B">
              <w:t>Do the MCP’s data enable valid, reliable, and timely calculations of this indicator?</w:t>
            </w:r>
          </w:p>
        </w:tc>
        <w:tc>
          <w:tcPr>
            <w:tcW w:w="900" w:type="dxa"/>
          </w:tcPr>
          <w:p w:rsidR="00AD7FD8" w:rsidRPr="00990D3B" w:rsidP="00BD1FC3" w14:paraId="3F8E40BB" w14:textId="77777777">
            <w:pPr>
              <w:pStyle w:val="EQRTableText"/>
            </w:pPr>
          </w:p>
        </w:tc>
        <w:tc>
          <w:tcPr>
            <w:tcW w:w="810" w:type="dxa"/>
          </w:tcPr>
          <w:p w:rsidR="00AD7FD8" w:rsidRPr="00990D3B" w:rsidP="00BD1FC3" w14:paraId="4F561DC0" w14:textId="77777777">
            <w:pPr>
              <w:pStyle w:val="EQRTableText"/>
            </w:pPr>
          </w:p>
        </w:tc>
        <w:tc>
          <w:tcPr>
            <w:tcW w:w="1080" w:type="dxa"/>
          </w:tcPr>
          <w:p w:rsidR="00AD7FD8" w:rsidRPr="00990D3B" w:rsidP="00BD1FC3" w14:paraId="35C02418" w14:textId="77777777">
            <w:pPr>
              <w:pStyle w:val="EQRTableText"/>
            </w:pPr>
          </w:p>
        </w:tc>
        <w:tc>
          <w:tcPr>
            <w:tcW w:w="5485" w:type="dxa"/>
          </w:tcPr>
          <w:p w:rsidR="00AD7FD8" w:rsidRPr="00990D3B" w:rsidP="00BD1FC3" w14:paraId="2735824A" w14:textId="77777777">
            <w:pPr>
              <w:pStyle w:val="EQRTableText"/>
            </w:pPr>
          </w:p>
        </w:tc>
      </w:tr>
      <w:tr w14:paraId="0DDCD786" w14:textId="77777777" w:rsidTr="00A11C1E">
        <w:tblPrEx>
          <w:tblW w:w="5000" w:type="pct"/>
          <w:tblLayout w:type="fixed"/>
          <w:tblLook w:val="04A0"/>
        </w:tblPrEx>
        <w:trPr>
          <w:cantSplit/>
        </w:trPr>
        <w:tc>
          <w:tcPr>
            <w:tcW w:w="4675" w:type="dxa"/>
          </w:tcPr>
          <w:p w:rsidR="00AD7FD8" w:rsidRPr="00990D3B" w:rsidP="00BD1FC3" w14:paraId="45363262" w14:textId="77777777">
            <w:pPr>
              <w:pStyle w:val="EQRTableText"/>
            </w:pPr>
            <w:r w:rsidRPr="00990D3B">
              <w:t>Did the MCP’s data collection instruments and systems allow for consistent and accurate data collection for this indicator over the time periods studied?</w:t>
            </w:r>
          </w:p>
        </w:tc>
        <w:tc>
          <w:tcPr>
            <w:tcW w:w="900" w:type="dxa"/>
          </w:tcPr>
          <w:p w:rsidR="00AD7FD8" w:rsidRPr="00990D3B" w:rsidP="00BD1FC3" w14:paraId="4B37B8D6" w14:textId="77777777">
            <w:pPr>
              <w:pStyle w:val="EQRTableText"/>
            </w:pPr>
          </w:p>
        </w:tc>
        <w:tc>
          <w:tcPr>
            <w:tcW w:w="810" w:type="dxa"/>
          </w:tcPr>
          <w:p w:rsidR="00AD7FD8" w:rsidRPr="00990D3B" w:rsidP="00BD1FC3" w14:paraId="33BABE6A" w14:textId="77777777">
            <w:pPr>
              <w:pStyle w:val="EQRTableText"/>
            </w:pPr>
          </w:p>
        </w:tc>
        <w:tc>
          <w:tcPr>
            <w:tcW w:w="1080" w:type="dxa"/>
          </w:tcPr>
          <w:p w:rsidR="00AD7FD8" w:rsidRPr="00990D3B" w:rsidP="00BD1FC3" w14:paraId="1E27A5BA" w14:textId="77777777">
            <w:pPr>
              <w:pStyle w:val="EQRTableText"/>
            </w:pPr>
          </w:p>
        </w:tc>
        <w:tc>
          <w:tcPr>
            <w:tcW w:w="5485" w:type="dxa"/>
          </w:tcPr>
          <w:p w:rsidR="00AD7FD8" w:rsidRPr="00990D3B" w:rsidP="00BD1FC3" w14:paraId="720D9367" w14:textId="77777777">
            <w:pPr>
              <w:pStyle w:val="EQRTableText"/>
            </w:pPr>
          </w:p>
        </w:tc>
      </w:tr>
      <w:tr w14:paraId="3D5812F0" w14:textId="77777777" w:rsidTr="00A11C1E">
        <w:tblPrEx>
          <w:tblW w:w="5000" w:type="pct"/>
          <w:tblLayout w:type="fixed"/>
          <w:tblLook w:val="04A0"/>
        </w:tblPrEx>
        <w:trPr>
          <w:cantSplit/>
        </w:trPr>
        <w:tc>
          <w:tcPr>
            <w:tcW w:w="4675" w:type="dxa"/>
          </w:tcPr>
          <w:p w:rsidR="00AD7FD8" w:rsidRPr="00990D3B" w:rsidP="00BD1FC3" w14:paraId="6C44E1F4" w14:textId="77777777">
            <w:pPr>
              <w:pStyle w:val="EQRTableText"/>
            </w:pPr>
            <w:r w:rsidRPr="00990D3B">
              <w:t xml:space="preserve">During the </w:t>
            </w:r>
            <w:r w:rsidRPr="00990D3B">
              <w:t>time period</w:t>
            </w:r>
            <w:r w:rsidRPr="00990D3B">
              <w:t xml:space="preserve"> included in the reporting cycle, have there been any changes in the MCP’s data systems that might affect the accuracy or completeness of network adequacy data used to calculate this indicator (e.g., major upgrades, consolidations within the system, acquisitions/mergers with other MCPs)?</w:t>
            </w:r>
          </w:p>
        </w:tc>
        <w:tc>
          <w:tcPr>
            <w:tcW w:w="900" w:type="dxa"/>
          </w:tcPr>
          <w:p w:rsidR="00AD7FD8" w:rsidRPr="00990D3B" w:rsidP="00BD1FC3" w14:paraId="299D4946" w14:textId="77777777">
            <w:pPr>
              <w:pStyle w:val="EQRTableText"/>
            </w:pPr>
          </w:p>
        </w:tc>
        <w:tc>
          <w:tcPr>
            <w:tcW w:w="810" w:type="dxa"/>
          </w:tcPr>
          <w:p w:rsidR="00AD7FD8" w:rsidRPr="00990D3B" w:rsidP="00BD1FC3" w14:paraId="1210D12F" w14:textId="77777777">
            <w:pPr>
              <w:pStyle w:val="EQRTableText"/>
            </w:pPr>
          </w:p>
        </w:tc>
        <w:tc>
          <w:tcPr>
            <w:tcW w:w="1080" w:type="dxa"/>
          </w:tcPr>
          <w:p w:rsidR="00AD7FD8" w:rsidRPr="00990D3B" w:rsidP="00BD1FC3" w14:paraId="2A35A7E1" w14:textId="77777777">
            <w:pPr>
              <w:pStyle w:val="EQRTableText"/>
            </w:pPr>
          </w:p>
        </w:tc>
        <w:tc>
          <w:tcPr>
            <w:tcW w:w="5485" w:type="dxa"/>
          </w:tcPr>
          <w:p w:rsidR="00AD7FD8" w:rsidRPr="00990D3B" w:rsidP="00BD1FC3" w14:paraId="6776383B" w14:textId="77777777">
            <w:pPr>
              <w:pStyle w:val="EQRTableText"/>
            </w:pPr>
          </w:p>
        </w:tc>
      </w:tr>
      <w:tr w14:paraId="56604469" w14:textId="77777777" w:rsidTr="00A11C1E">
        <w:tblPrEx>
          <w:tblW w:w="5000" w:type="pct"/>
          <w:tblLayout w:type="fixed"/>
          <w:tblLook w:val="04A0"/>
        </w:tblPrEx>
        <w:trPr>
          <w:cantSplit/>
        </w:trPr>
        <w:tc>
          <w:tcPr>
            <w:tcW w:w="4675" w:type="dxa"/>
          </w:tcPr>
          <w:p w:rsidR="00AD7FD8" w:rsidRPr="00990D3B" w:rsidP="00BD1FC3" w14:paraId="76DB636A" w14:textId="77777777">
            <w:pPr>
              <w:pStyle w:val="EQRTableText"/>
            </w:pPr>
            <w:r w:rsidRPr="00990D3B">
              <w:t>If encounter or utilization data were used to calculate this indicator, did providers submit data for all encounters?</w:t>
            </w:r>
          </w:p>
        </w:tc>
        <w:tc>
          <w:tcPr>
            <w:tcW w:w="900" w:type="dxa"/>
          </w:tcPr>
          <w:p w:rsidR="00AD7FD8" w:rsidRPr="00990D3B" w:rsidP="00BD1FC3" w14:paraId="5981DEBB" w14:textId="77777777">
            <w:pPr>
              <w:pStyle w:val="EQRTableText"/>
            </w:pPr>
          </w:p>
        </w:tc>
        <w:tc>
          <w:tcPr>
            <w:tcW w:w="810" w:type="dxa"/>
          </w:tcPr>
          <w:p w:rsidR="00AD7FD8" w:rsidRPr="00990D3B" w:rsidP="00BD1FC3" w14:paraId="664A8446" w14:textId="77777777">
            <w:pPr>
              <w:pStyle w:val="EQRTableText"/>
            </w:pPr>
          </w:p>
        </w:tc>
        <w:tc>
          <w:tcPr>
            <w:tcW w:w="1080" w:type="dxa"/>
          </w:tcPr>
          <w:p w:rsidR="00F147E3" w:rsidRPr="00990D3B" w:rsidP="00BD1FC3" w14:paraId="53C15130" w14:textId="22ACDF26">
            <w:pPr>
              <w:tabs>
                <w:tab w:val="left" w:pos="1321"/>
              </w:tabs>
            </w:pPr>
          </w:p>
        </w:tc>
        <w:tc>
          <w:tcPr>
            <w:tcW w:w="5485" w:type="dxa"/>
          </w:tcPr>
          <w:p w:rsidR="00AD7FD8" w:rsidRPr="00990D3B" w:rsidP="00BD1FC3" w14:paraId="3A547D86" w14:textId="77777777">
            <w:pPr>
              <w:pStyle w:val="EQRTableText"/>
            </w:pPr>
          </w:p>
        </w:tc>
      </w:tr>
      <w:tr w14:paraId="3CC53CEC" w14:textId="77777777" w:rsidTr="00A11C1E">
        <w:tblPrEx>
          <w:tblW w:w="5000" w:type="pct"/>
          <w:tblLayout w:type="fixed"/>
          <w:tblLook w:val="04A0"/>
        </w:tblPrEx>
        <w:trPr>
          <w:cantSplit/>
        </w:trPr>
        <w:tc>
          <w:tcPr>
            <w:tcW w:w="4675" w:type="dxa"/>
          </w:tcPr>
          <w:p w:rsidR="00AD7FD8" w:rsidRPr="00990D3B" w:rsidP="00BD1FC3" w14:paraId="462D5BF7" w14:textId="77777777">
            <w:pPr>
              <w:pStyle w:val="EQRTableText"/>
            </w:pPr>
            <w:r w:rsidRPr="00990D3B">
              <w:t>If LTSS data were used to calculate this indicator, were all relevant LTSS provider services included (for example, through claims and encounter data, authorization systems, case management systems, or electronic visit verification [EVV] systems)?</w:t>
            </w:r>
          </w:p>
        </w:tc>
        <w:tc>
          <w:tcPr>
            <w:tcW w:w="900" w:type="dxa"/>
          </w:tcPr>
          <w:p w:rsidR="00AD7FD8" w:rsidRPr="00990D3B" w:rsidP="00BD1FC3" w14:paraId="552DFB2E" w14:textId="77777777">
            <w:pPr>
              <w:pStyle w:val="EQRTableText"/>
            </w:pPr>
          </w:p>
        </w:tc>
        <w:tc>
          <w:tcPr>
            <w:tcW w:w="810" w:type="dxa"/>
          </w:tcPr>
          <w:p w:rsidR="00AD7FD8" w:rsidRPr="00990D3B" w:rsidP="00BD1FC3" w14:paraId="6009F57E" w14:textId="77777777">
            <w:pPr>
              <w:pStyle w:val="EQRTableText"/>
            </w:pPr>
          </w:p>
        </w:tc>
        <w:tc>
          <w:tcPr>
            <w:tcW w:w="1080" w:type="dxa"/>
          </w:tcPr>
          <w:p w:rsidR="00AD7FD8" w:rsidRPr="00990D3B" w:rsidP="00BD1FC3" w14:paraId="791BBE2F" w14:textId="77777777">
            <w:pPr>
              <w:pStyle w:val="EQRTableText"/>
            </w:pPr>
          </w:p>
        </w:tc>
        <w:tc>
          <w:tcPr>
            <w:tcW w:w="5485" w:type="dxa"/>
          </w:tcPr>
          <w:p w:rsidR="00AD7FD8" w:rsidRPr="00990D3B" w:rsidP="00BD1FC3" w14:paraId="385C01FE" w14:textId="77777777">
            <w:pPr>
              <w:pStyle w:val="EQRTableText"/>
            </w:pPr>
          </w:p>
        </w:tc>
      </w:tr>
      <w:tr w14:paraId="1335C547" w14:textId="77777777" w:rsidTr="00A11C1E">
        <w:tblPrEx>
          <w:tblW w:w="5000" w:type="pct"/>
          <w:tblLayout w:type="fixed"/>
          <w:tblLook w:val="04A0"/>
        </w:tblPrEx>
        <w:trPr>
          <w:cantSplit/>
        </w:trPr>
        <w:tc>
          <w:tcPr>
            <w:tcW w:w="4675" w:type="dxa"/>
          </w:tcPr>
          <w:p w:rsidR="00AD7FD8" w:rsidRPr="00990D3B" w:rsidP="00BD1FC3" w14:paraId="75BF06CB" w14:textId="2785F8A1">
            <w:pPr>
              <w:pStyle w:val="EQRTableText"/>
            </w:pPr>
            <w:r w:rsidRPr="00990D3B">
              <w:t xml:space="preserve">If access and availability studies were conducted to calculate this indicator, does the MCP include all phone calls made in the denominator? This means phone calls that do not reach a </w:t>
            </w:r>
            <w:r w:rsidRPr="00990D3B">
              <w:t>provider</w:t>
            </w:r>
            <w:r w:rsidRPr="00990D3B">
              <w:t xml:space="preserve"> office may be excluded from the denominator.</w:t>
            </w:r>
          </w:p>
        </w:tc>
        <w:tc>
          <w:tcPr>
            <w:tcW w:w="900" w:type="dxa"/>
          </w:tcPr>
          <w:p w:rsidR="00AD7FD8" w:rsidRPr="00990D3B" w:rsidP="00BD1FC3" w14:paraId="3C748A84" w14:textId="77777777">
            <w:pPr>
              <w:pStyle w:val="EQRTableText"/>
            </w:pPr>
          </w:p>
        </w:tc>
        <w:tc>
          <w:tcPr>
            <w:tcW w:w="810" w:type="dxa"/>
          </w:tcPr>
          <w:p w:rsidR="00AD7FD8" w:rsidRPr="00990D3B" w:rsidP="00BD1FC3" w14:paraId="5DF2ABAA" w14:textId="77777777">
            <w:pPr>
              <w:pStyle w:val="EQRTableText"/>
            </w:pPr>
          </w:p>
        </w:tc>
        <w:tc>
          <w:tcPr>
            <w:tcW w:w="1080" w:type="dxa"/>
          </w:tcPr>
          <w:p w:rsidR="00AD7FD8" w:rsidRPr="00990D3B" w:rsidP="00BD1FC3" w14:paraId="41B07E10" w14:textId="77777777">
            <w:pPr>
              <w:pStyle w:val="EQRTableText"/>
            </w:pPr>
          </w:p>
        </w:tc>
        <w:tc>
          <w:tcPr>
            <w:tcW w:w="5485" w:type="dxa"/>
          </w:tcPr>
          <w:p w:rsidR="00AD7FD8" w:rsidRPr="00990D3B" w:rsidP="00BD1FC3" w14:paraId="2AE0F578" w14:textId="77777777">
            <w:pPr>
              <w:pStyle w:val="EQRTableText"/>
            </w:pPr>
          </w:p>
        </w:tc>
      </w:tr>
      <w:tr w14:paraId="0C6A45CB" w14:textId="77777777" w:rsidTr="00A11C1E">
        <w:tblPrEx>
          <w:tblW w:w="5000" w:type="pct"/>
          <w:tblLayout w:type="fixed"/>
          <w:tblLook w:val="04A0"/>
        </w:tblPrEx>
        <w:trPr>
          <w:cantSplit/>
        </w:trPr>
        <w:tc>
          <w:tcPr>
            <w:tcW w:w="4675" w:type="dxa"/>
          </w:tcPr>
          <w:p w:rsidR="00AD7FD8" w:rsidRPr="00990D3B" w:rsidP="00BD1FC3" w14:paraId="10DDEF9D" w14:textId="77777777">
            <w:pPr>
              <w:pStyle w:val="EQRTableText"/>
            </w:pPr>
            <w:r w:rsidRPr="00990D3B">
              <w:t>If access and availability studies were conducted to calculate this indicator, does the MCP have processes for addressing potential roadblocks in identification, such as lack of a Medicaid or CHIP ID or medical record number needed to speak with provider offices?</w:t>
            </w:r>
          </w:p>
        </w:tc>
        <w:tc>
          <w:tcPr>
            <w:tcW w:w="900" w:type="dxa"/>
          </w:tcPr>
          <w:p w:rsidR="00AD7FD8" w:rsidRPr="00990D3B" w:rsidP="00BD1FC3" w14:paraId="2D3E2411" w14:textId="77777777">
            <w:pPr>
              <w:pStyle w:val="EQRTableText"/>
            </w:pPr>
          </w:p>
        </w:tc>
        <w:tc>
          <w:tcPr>
            <w:tcW w:w="810" w:type="dxa"/>
          </w:tcPr>
          <w:p w:rsidR="00AD7FD8" w:rsidRPr="00990D3B" w:rsidP="00BD1FC3" w14:paraId="43FA6556" w14:textId="77777777">
            <w:pPr>
              <w:pStyle w:val="EQRTableText"/>
            </w:pPr>
          </w:p>
        </w:tc>
        <w:tc>
          <w:tcPr>
            <w:tcW w:w="1080" w:type="dxa"/>
          </w:tcPr>
          <w:p w:rsidR="00AD7FD8" w:rsidRPr="00990D3B" w:rsidP="00BD1FC3" w14:paraId="780E60D1" w14:textId="77777777">
            <w:pPr>
              <w:pStyle w:val="EQRTableText"/>
            </w:pPr>
          </w:p>
        </w:tc>
        <w:tc>
          <w:tcPr>
            <w:tcW w:w="5485" w:type="dxa"/>
          </w:tcPr>
          <w:p w:rsidR="00AD7FD8" w:rsidRPr="00990D3B" w:rsidP="00BD1FC3" w14:paraId="5AA52431" w14:textId="77777777">
            <w:pPr>
              <w:pStyle w:val="EQRTableText"/>
            </w:pPr>
          </w:p>
        </w:tc>
      </w:tr>
      <w:tr w14:paraId="0F269593" w14:textId="77777777" w:rsidTr="00A11C1E">
        <w:tblPrEx>
          <w:tblW w:w="5000" w:type="pct"/>
          <w:tblLayout w:type="fixed"/>
          <w:tblLook w:val="04A0"/>
        </w:tblPrEx>
        <w:trPr>
          <w:cantSplit/>
        </w:trPr>
        <w:tc>
          <w:tcPr>
            <w:tcW w:w="4675" w:type="dxa"/>
            <w:shd w:val="clear" w:color="auto" w:fill="D9D9D9" w:themeFill="background1" w:themeFillShade="D9"/>
          </w:tcPr>
          <w:p w:rsidR="00AD7FD8" w:rsidRPr="00990D3B" w:rsidP="00BD1FC3" w14:paraId="640435FD" w14:textId="77777777">
            <w:pPr>
              <w:pStyle w:val="EQRTableText"/>
              <w:rPr>
                <w:b/>
                <w:bCs/>
              </w:rPr>
            </w:pPr>
            <w:r w:rsidRPr="00990D3B">
              <w:rPr>
                <w:b/>
                <w:bCs/>
              </w:rPr>
              <w:t>Assessment of MCP Network Adequacy Methods</w:t>
            </w:r>
          </w:p>
        </w:tc>
        <w:tc>
          <w:tcPr>
            <w:tcW w:w="900" w:type="dxa"/>
            <w:shd w:val="clear" w:color="auto" w:fill="D9D9D9" w:themeFill="background1" w:themeFillShade="D9"/>
          </w:tcPr>
          <w:p w:rsidR="00AD7FD8" w:rsidRPr="00990D3B" w:rsidP="00BD1FC3" w14:paraId="1098226D" w14:textId="77777777">
            <w:pPr>
              <w:pStyle w:val="EQRTableText"/>
              <w:rPr>
                <w:b/>
                <w:bCs/>
              </w:rPr>
            </w:pPr>
          </w:p>
        </w:tc>
        <w:tc>
          <w:tcPr>
            <w:tcW w:w="810" w:type="dxa"/>
            <w:shd w:val="clear" w:color="auto" w:fill="D9D9D9" w:themeFill="background1" w:themeFillShade="D9"/>
          </w:tcPr>
          <w:p w:rsidR="00AD7FD8" w:rsidRPr="00990D3B" w:rsidP="00BD1FC3" w14:paraId="376D5836" w14:textId="77777777">
            <w:pPr>
              <w:pStyle w:val="EQRTableText"/>
              <w:rPr>
                <w:b/>
                <w:bCs/>
              </w:rPr>
            </w:pPr>
          </w:p>
        </w:tc>
        <w:tc>
          <w:tcPr>
            <w:tcW w:w="1080" w:type="dxa"/>
            <w:shd w:val="clear" w:color="auto" w:fill="D9D9D9" w:themeFill="background1" w:themeFillShade="D9"/>
          </w:tcPr>
          <w:p w:rsidR="00AD7FD8" w:rsidRPr="00990D3B" w:rsidP="00BD1FC3" w14:paraId="78DDD453" w14:textId="77777777">
            <w:pPr>
              <w:pStyle w:val="EQRTableText"/>
              <w:rPr>
                <w:b/>
                <w:bCs/>
              </w:rPr>
            </w:pPr>
          </w:p>
        </w:tc>
        <w:tc>
          <w:tcPr>
            <w:tcW w:w="5485" w:type="dxa"/>
            <w:shd w:val="clear" w:color="auto" w:fill="D9D9D9" w:themeFill="background1" w:themeFillShade="D9"/>
          </w:tcPr>
          <w:p w:rsidR="00AD7FD8" w:rsidRPr="00990D3B" w:rsidP="00BD1FC3" w14:paraId="712763A5" w14:textId="77777777">
            <w:pPr>
              <w:pStyle w:val="EQRTableText"/>
              <w:rPr>
                <w:b/>
                <w:bCs/>
              </w:rPr>
            </w:pPr>
          </w:p>
        </w:tc>
      </w:tr>
      <w:tr w14:paraId="75536EEC" w14:textId="77777777" w:rsidTr="00A11C1E">
        <w:tblPrEx>
          <w:tblW w:w="5000" w:type="pct"/>
          <w:tblLayout w:type="fixed"/>
          <w:tblLook w:val="04A0"/>
        </w:tblPrEx>
        <w:trPr>
          <w:cantSplit/>
        </w:trPr>
        <w:tc>
          <w:tcPr>
            <w:tcW w:w="4675" w:type="dxa"/>
          </w:tcPr>
          <w:p w:rsidR="00AD7FD8" w:rsidRPr="00990D3B" w:rsidP="00BD1FC3" w14:paraId="5644D9C7" w14:textId="09CA68BB">
            <w:pPr>
              <w:pStyle w:val="EQRTableText"/>
            </w:pPr>
            <w:r w:rsidRPr="00990D3B">
              <w:t>Are the methods selected by the MCP to calculate this indicator appropriate for the state</w:t>
            </w:r>
            <w:r w:rsidRPr="00990D3B" w:rsidR="004F4835">
              <w:t>?</w:t>
            </w:r>
          </w:p>
        </w:tc>
        <w:tc>
          <w:tcPr>
            <w:tcW w:w="900" w:type="dxa"/>
          </w:tcPr>
          <w:p w:rsidR="00AD7FD8" w:rsidRPr="00990D3B" w:rsidP="00BD1FC3" w14:paraId="2A639C08" w14:textId="77777777">
            <w:pPr>
              <w:pStyle w:val="EQRTableText"/>
            </w:pPr>
          </w:p>
        </w:tc>
        <w:tc>
          <w:tcPr>
            <w:tcW w:w="810" w:type="dxa"/>
          </w:tcPr>
          <w:p w:rsidR="00AD7FD8" w:rsidRPr="00990D3B" w:rsidP="00BD1FC3" w14:paraId="4A65B898" w14:textId="77777777">
            <w:pPr>
              <w:pStyle w:val="EQRTableText"/>
            </w:pPr>
          </w:p>
        </w:tc>
        <w:tc>
          <w:tcPr>
            <w:tcW w:w="1080" w:type="dxa"/>
          </w:tcPr>
          <w:p w:rsidR="00AD7FD8" w:rsidRPr="00990D3B" w:rsidP="00BD1FC3" w14:paraId="3B678951" w14:textId="77777777">
            <w:pPr>
              <w:pStyle w:val="EQRTableText"/>
            </w:pPr>
          </w:p>
        </w:tc>
        <w:tc>
          <w:tcPr>
            <w:tcW w:w="5485" w:type="dxa"/>
          </w:tcPr>
          <w:p w:rsidR="00AD7FD8" w:rsidRPr="00990D3B" w:rsidP="00BD1FC3" w14:paraId="0E0BCA10" w14:textId="77777777">
            <w:pPr>
              <w:pStyle w:val="EQRTableText"/>
            </w:pPr>
          </w:p>
        </w:tc>
      </w:tr>
      <w:tr w14:paraId="2CD9305B" w14:textId="77777777" w:rsidTr="00A11C1E">
        <w:tblPrEx>
          <w:tblW w:w="5000" w:type="pct"/>
          <w:tblLayout w:type="fixed"/>
          <w:tblLook w:val="04A0"/>
        </w:tblPrEx>
        <w:trPr>
          <w:cantSplit/>
        </w:trPr>
        <w:tc>
          <w:tcPr>
            <w:tcW w:w="4675" w:type="dxa"/>
          </w:tcPr>
          <w:p w:rsidR="00AD7FD8" w:rsidRPr="00990D3B" w:rsidP="00BD1FC3" w14:paraId="1CD34CE5" w14:textId="77777777">
            <w:pPr>
              <w:pStyle w:val="EQRTableText"/>
            </w:pPr>
            <w:r w:rsidRPr="00990D3B">
              <w:t>Are the methods selected by the MCP to calculate this indicator appropriate to the state Medicaid and CHIP population(s)?</w:t>
            </w:r>
          </w:p>
        </w:tc>
        <w:tc>
          <w:tcPr>
            <w:tcW w:w="900" w:type="dxa"/>
          </w:tcPr>
          <w:p w:rsidR="00AD7FD8" w:rsidRPr="00990D3B" w:rsidP="00BD1FC3" w14:paraId="7139BC17" w14:textId="77777777">
            <w:pPr>
              <w:pStyle w:val="EQRTableText"/>
            </w:pPr>
          </w:p>
        </w:tc>
        <w:tc>
          <w:tcPr>
            <w:tcW w:w="810" w:type="dxa"/>
          </w:tcPr>
          <w:p w:rsidR="00AD7FD8" w:rsidRPr="00990D3B" w:rsidP="00BD1FC3" w14:paraId="4EF1A276" w14:textId="77777777">
            <w:pPr>
              <w:pStyle w:val="EQRTableText"/>
            </w:pPr>
          </w:p>
        </w:tc>
        <w:tc>
          <w:tcPr>
            <w:tcW w:w="1080" w:type="dxa"/>
          </w:tcPr>
          <w:p w:rsidR="00AD7FD8" w:rsidRPr="00990D3B" w:rsidP="00BD1FC3" w14:paraId="26F2561F" w14:textId="77777777">
            <w:pPr>
              <w:pStyle w:val="EQRTableText"/>
            </w:pPr>
          </w:p>
        </w:tc>
        <w:tc>
          <w:tcPr>
            <w:tcW w:w="5485" w:type="dxa"/>
          </w:tcPr>
          <w:p w:rsidR="00AD7FD8" w:rsidRPr="00990D3B" w:rsidP="00BD1FC3" w14:paraId="39DEA127" w14:textId="77777777">
            <w:pPr>
              <w:pStyle w:val="EQRTableText"/>
            </w:pPr>
          </w:p>
        </w:tc>
      </w:tr>
      <w:tr w14:paraId="2EBCA218" w14:textId="77777777" w:rsidTr="00A11C1E">
        <w:tblPrEx>
          <w:tblW w:w="5000" w:type="pct"/>
          <w:tblLayout w:type="fixed"/>
          <w:tblLook w:val="04A0"/>
        </w:tblPrEx>
        <w:trPr>
          <w:cantSplit/>
        </w:trPr>
        <w:tc>
          <w:tcPr>
            <w:tcW w:w="4675" w:type="dxa"/>
          </w:tcPr>
          <w:p w:rsidR="00AD7FD8" w:rsidRPr="00990D3B" w:rsidP="00BD1FC3" w14:paraId="2320EF13" w14:textId="77777777">
            <w:pPr>
              <w:pStyle w:val="EQRTableText"/>
            </w:pPr>
            <w:r w:rsidRPr="00990D3B">
              <w:t>Are the methods selected by the MCP adequate to generate the data needed to calculate this indicator?</w:t>
            </w:r>
          </w:p>
        </w:tc>
        <w:tc>
          <w:tcPr>
            <w:tcW w:w="900" w:type="dxa"/>
          </w:tcPr>
          <w:p w:rsidR="00AD7FD8" w:rsidRPr="00990D3B" w:rsidP="00BD1FC3" w14:paraId="4180617A" w14:textId="77777777">
            <w:pPr>
              <w:pStyle w:val="EQRTableText"/>
            </w:pPr>
          </w:p>
        </w:tc>
        <w:tc>
          <w:tcPr>
            <w:tcW w:w="810" w:type="dxa"/>
          </w:tcPr>
          <w:p w:rsidR="00AD7FD8" w:rsidRPr="00990D3B" w:rsidP="00BD1FC3" w14:paraId="75285A49" w14:textId="77777777">
            <w:pPr>
              <w:pStyle w:val="EQRTableText"/>
            </w:pPr>
          </w:p>
        </w:tc>
        <w:tc>
          <w:tcPr>
            <w:tcW w:w="1080" w:type="dxa"/>
          </w:tcPr>
          <w:p w:rsidR="00AD7FD8" w:rsidRPr="00990D3B" w:rsidP="00BD1FC3" w14:paraId="281CA1F9" w14:textId="77777777">
            <w:pPr>
              <w:pStyle w:val="EQRTableText"/>
            </w:pPr>
          </w:p>
        </w:tc>
        <w:tc>
          <w:tcPr>
            <w:tcW w:w="5485" w:type="dxa"/>
          </w:tcPr>
          <w:p w:rsidR="00AD7FD8" w:rsidRPr="00990D3B" w:rsidP="00BD1FC3" w14:paraId="6D7EA63F" w14:textId="77777777">
            <w:pPr>
              <w:pStyle w:val="EQRTableText"/>
            </w:pPr>
          </w:p>
        </w:tc>
      </w:tr>
      <w:tr w14:paraId="2218E5B8" w14:textId="77777777" w:rsidTr="00A11C1E">
        <w:tblPrEx>
          <w:tblW w:w="5000" w:type="pct"/>
          <w:tblLayout w:type="fixed"/>
          <w:tblLook w:val="04A0"/>
        </w:tblPrEx>
        <w:trPr>
          <w:cantSplit/>
        </w:trPr>
        <w:tc>
          <w:tcPr>
            <w:tcW w:w="4675" w:type="dxa"/>
          </w:tcPr>
          <w:p w:rsidR="00AD7FD8" w:rsidRPr="00990D3B" w:rsidP="00BD1FC3" w14:paraId="15A33914" w14:textId="77777777">
            <w:pPr>
              <w:pStyle w:val="EQRTableText"/>
            </w:pPr>
            <w:bookmarkStart w:id="540" w:name="_Hlk64622951"/>
            <w:r w:rsidRPr="00990D3B">
              <w:t>In calculating this indicator, does the MCP use a system for classifying provider types that matches the state’s expectations and follows how the state defines a specialist?</w:t>
            </w:r>
            <w:bookmarkEnd w:id="540"/>
          </w:p>
        </w:tc>
        <w:tc>
          <w:tcPr>
            <w:tcW w:w="900" w:type="dxa"/>
          </w:tcPr>
          <w:p w:rsidR="00AD7FD8" w:rsidRPr="00990D3B" w:rsidP="00BD1FC3" w14:paraId="31D17D3F" w14:textId="77777777">
            <w:pPr>
              <w:pStyle w:val="EQRTableText"/>
            </w:pPr>
          </w:p>
        </w:tc>
        <w:tc>
          <w:tcPr>
            <w:tcW w:w="810" w:type="dxa"/>
          </w:tcPr>
          <w:p w:rsidR="00AD7FD8" w:rsidRPr="00990D3B" w:rsidP="00BD1FC3" w14:paraId="4CBEB094" w14:textId="77777777">
            <w:pPr>
              <w:pStyle w:val="EQRTableText"/>
            </w:pPr>
          </w:p>
        </w:tc>
        <w:tc>
          <w:tcPr>
            <w:tcW w:w="1080" w:type="dxa"/>
          </w:tcPr>
          <w:p w:rsidR="00AD7FD8" w:rsidRPr="00990D3B" w:rsidP="00BD1FC3" w14:paraId="4A88FDAC" w14:textId="77777777">
            <w:pPr>
              <w:pStyle w:val="EQRTableText"/>
            </w:pPr>
          </w:p>
        </w:tc>
        <w:tc>
          <w:tcPr>
            <w:tcW w:w="5485" w:type="dxa"/>
          </w:tcPr>
          <w:p w:rsidR="00AD7FD8" w:rsidRPr="00990D3B" w:rsidP="00BD1FC3" w14:paraId="04789C82" w14:textId="77777777">
            <w:pPr>
              <w:pStyle w:val="EQRTableText"/>
            </w:pPr>
          </w:p>
        </w:tc>
      </w:tr>
      <w:tr w14:paraId="5CA77B6C" w14:textId="77777777" w:rsidTr="00A11C1E">
        <w:tblPrEx>
          <w:tblW w:w="5000" w:type="pct"/>
          <w:tblLayout w:type="fixed"/>
          <w:tblLook w:val="04A0"/>
        </w:tblPrEx>
        <w:trPr>
          <w:cantSplit/>
        </w:trPr>
        <w:tc>
          <w:tcPr>
            <w:tcW w:w="4675" w:type="dxa"/>
          </w:tcPr>
          <w:p w:rsidR="00AD7FD8" w:rsidRPr="00990D3B" w:rsidP="00BD1FC3" w14:paraId="30318A0E" w14:textId="77777777">
            <w:pPr>
              <w:pStyle w:val="EQRTableText"/>
            </w:pPr>
            <w:r w:rsidRPr="00990D3B">
              <w:rPr>
                <w:i/>
                <w:iCs/>
              </w:rPr>
              <w:t>If applicable</w:t>
            </w:r>
            <w:r w:rsidRPr="00990D3B">
              <w:t>, does the MCP’s approach for addressing telehealth match the state’s expectations?</w:t>
            </w:r>
          </w:p>
        </w:tc>
        <w:tc>
          <w:tcPr>
            <w:tcW w:w="900" w:type="dxa"/>
          </w:tcPr>
          <w:p w:rsidR="00AD7FD8" w:rsidRPr="00990D3B" w:rsidP="00BD1FC3" w14:paraId="7789F620" w14:textId="77777777">
            <w:pPr>
              <w:pStyle w:val="EQRTableText"/>
            </w:pPr>
          </w:p>
        </w:tc>
        <w:tc>
          <w:tcPr>
            <w:tcW w:w="810" w:type="dxa"/>
          </w:tcPr>
          <w:p w:rsidR="00AD7FD8" w:rsidRPr="00990D3B" w:rsidP="00BD1FC3" w14:paraId="02B42EED" w14:textId="77777777">
            <w:pPr>
              <w:pStyle w:val="EQRTableText"/>
            </w:pPr>
          </w:p>
        </w:tc>
        <w:tc>
          <w:tcPr>
            <w:tcW w:w="1080" w:type="dxa"/>
          </w:tcPr>
          <w:p w:rsidR="00AD7FD8" w:rsidRPr="00990D3B" w:rsidP="00BD1FC3" w14:paraId="5578F2F8" w14:textId="77777777">
            <w:pPr>
              <w:pStyle w:val="EQRTableText"/>
            </w:pPr>
          </w:p>
        </w:tc>
        <w:tc>
          <w:tcPr>
            <w:tcW w:w="5485" w:type="dxa"/>
          </w:tcPr>
          <w:p w:rsidR="00AD7FD8" w:rsidRPr="00990D3B" w:rsidP="00BD1FC3" w14:paraId="1C0DE8C5" w14:textId="77777777">
            <w:pPr>
              <w:pStyle w:val="EQRTableText"/>
            </w:pPr>
          </w:p>
        </w:tc>
      </w:tr>
      <w:tr w14:paraId="60FB392B" w14:textId="77777777" w:rsidTr="00A11C1E">
        <w:tblPrEx>
          <w:tblW w:w="5000" w:type="pct"/>
          <w:tblLayout w:type="fixed"/>
          <w:tblLook w:val="04A0"/>
        </w:tblPrEx>
        <w:trPr>
          <w:cantSplit/>
        </w:trPr>
        <w:tc>
          <w:tcPr>
            <w:tcW w:w="4675" w:type="dxa"/>
          </w:tcPr>
          <w:p w:rsidR="00AD7FD8" w:rsidRPr="00990D3B" w:rsidP="00BD1FC3" w14:paraId="2036BE5F" w14:textId="77777777">
            <w:pPr>
              <w:pStyle w:val="EQRTableText"/>
            </w:pPr>
            <w:r w:rsidRPr="00990D3B">
              <w:t>If the MCP is sampling a subset of the Medicaid and/or CHIP population to calculate this indicator, did the sampling frame contain a complete, recent, and accurate list of the target population?</w:t>
            </w:r>
          </w:p>
          <w:p w:rsidR="00AD7FD8" w:rsidRPr="00990D3B" w:rsidP="00BD1FC3" w14:paraId="6F31F7B5" w14:textId="77777777">
            <w:pPr>
              <w:pStyle w:val="EQRTableText"/>
            </w:pPr>
            <w:r w:rsidRPr="00990D3B">
              <w:t xml:space="preserve">A sampling frame is the list from which the sample is drawn. It includes the universe of members of the target population, typically Medicaid and CHIP beneficiaries and providers. The completeness, currency, and accuracy of the sampling frame are key to the representativeness of the sample. </w:t>
            </w:r>
          </w:p>
        </w:tc>
        <w:tc>
          <w:tcPr>
            <w:tcW w:w="900" w:type="dxa"/>
          </w:tcPr>
          <w:p w:rsidR="00AD7FD8" w:rsidRPr="00990D3B" w:rsidP="00BD1FC3" w14:paraId="6AF8D99B" w14:textId="77777777">
            <w:pPr>
              <w:pStyle w:val="EQRTableText"/>
            </w:pPr>
          </w:p>
        </w:tc>
        <w:tc>
          <w:tcPr>
            <w:tcW w:w="810" w:type="dxa"/>
          </w:tcPr>
          <w:p w:rsidR="00AD7FD8" w:rsidRPr="00990D3B" w:rsidP="00BD1FC3" w14:paraId="67C0FD14" w14:textId="77777777">
            <w:pPr>
              <w:pStyle w:val="EQRTableText"/>
            </w:pPr>
          </w:p>
        </w:tc>
        <w:tc>
          <w:tcPr>
            <w:tcW w:w="1080" w:type="dxa"/>
          </w:tcPr>
          <w:p w:rsidR="00AD7FD8" w:rsidRPr="00990D3B" w:rsidP="00BD1FC3" w14:paraId="71B9C626" w14:textId="77777777">
            <w:pPr>
              <w:pStyle w:val="EQRTableText"/>
            </w:pPr>
          </w:p>
        </w:tc>
        <w:tc>
          <w:tcPr>
            <w:tcW w:w="5485" w:type="dxa"/>
          </w:tcPr>
          <w:p w:rsidR="00AD7FD8" w:rsidRPr="00990D3B" w:rsidP="00BD1FC3" w14:paraId="7EF3907E" w14:textId="77777777">
            <w:pPr>
              <w:pStyle w:val="EQRTableText"/>
            </w:pPr>
          </w:p>
        </w:tc>
      </w:tr>
      <w:tr w14:paraId="4A4CC549" w14:textId="77777777" w:rsidTr="00A11C1E">
        <w:tblPrEx>
          <w:tblW w:w="5000" w:type="pct"/>
          <w:tblLayout w:type="fixed"/>
          <w:tblLook w:val="04A0"/>
        </w:tblPrEx>
        <w:trPr>
          <w:cantSplit/>
        </w:trPr>
        <w:tc>
          <w:tcPr>
            <w:tcW w:w="4675" w:type="dxa"/>
          </w:tcPr>
          <w:p w:rsidR="00AD7FD8" w:rsidRPr="00990D3B" w:rsidP="00BD1FC3" w14:paraId="20CD0927" w14:textId="77777777">
            <w:pPr>
              <w:pStyle w:val="EQRTableText"/>
            </w:pPr>
            <w:r w:rsidRPr="00990D3B">
              <w:t>If the MCP is sampling a subset of the Medicaid and/or CHIP population to calculate this indicator, is the sample representative of the population?</w:t>
            </w:r>
          </w:p>
        </w:tc>
        <w:tc>
          <w:tcPr>
            <w:tcW w:w="900" w:type="dxa"/>
          </w:tcPr>
          <w:p w:rsidR="00AD7FD8" w:rsidRPr="00990D3B" w:rsidP="00BD1FC3" w14:paraId="74E4F189" w14:textId="77777777">
            <w:pPr>
              <w:pStyle w:val="EQRTableText"/>
            </w:pPr>
          </w:p>
        </w:tc>
        <w:tc>
          <w:tcPr>
            <w:tcW w:w="810" w:type="dxa"/>
          </w:tcPr>
          <w:p w:rsidR="00AD7FD8" w:rsidRPr="00990D3B" w:rsidP="00BD1FC3" w14:paraId="0E1302D8" w14:textId="77777777">
            <w:pPr>
              <w:pStyle w:val="EQRTableText"/>
            </w:pPr>
          </w:p>
        </w:tc>
        <w:tc>
          <w:tcPr>
            <w:tcW w:w="1080" w:type="dxa"/>
          </w:tcPr>
          <w:p w:rsidR="00AD7FD8" w:rsidRPr="00990D3B" w:rsidP="00BD1FC3" w14:paraId="0A60C581" w14:textId="77777777">
            <w:pPr>
              <w:pStyle w:val="EQRTableText"/>
            </w:pPr>
          </w:p>
        </w:tc>
        <w:tc>
          <w:tcPr>
            <w:tcW w:w="5485" w:type="dxa"/>
          </w:tcPr>
          <w:p w:rsidR="00AD7FD8" w:rsidRPr="00990D3B" w:rsidP="00BD1FC3" w14:paraId="3D859FB5" w14:textId="77777777">
            <w:pPr>
              <w:pStyle w:val="EQRTableText"/>
            </w:pPr>
          </w:p>
        </w:tc>
      </w:tr>
      <w:tr w14:paraId="187EBF1A" w14:textId="77777777" w:rsidTr="00A11C1E">
        <w:tblPrEx>
          <w:tblW w:w="5000" w:type="pct"/>
          <w:tblLayout w:type="fixed"/>
          <w:tblLook w:val="04A0"/>
        </w:tblPrEx>
        <w:trPr>
          <w:cantSplit/>
        </w:trPr>
        <w:tc>
          <w:tcPr>
            <w:tcW w:w="4675" w:type="dxa"/>
          </w:tcPr>
          <w:p w:rsidR="00AD7FD8" w:rsidRPr="00990D3B" w:rsidP="00BD1FC3" w14:paraId="7E3955E3" w14:textId="77777777">
            <w:pPr>
              <w:pStyle w:val="EQRTableText"/>
            </w:pPr>
            <w:r w:rsidRPr="00990D3B">
              <w:t>If the MCP is sampling a subset of the Medicaid and/or CHIP population to calculate this indicator, are sample sizes large enough to draw statistically significant conclusions?</w:t>
            </w:r>
          </w:p>
        </w:tc>
        <w:tc>
          <w:tcPr>
            <w:tcW w:w="900" w:type="dxa"/>
          </w:tcPr>
          <w:p w:rsidR="00AD7FD8" w:rsidRPr="00990D3B" w:rsidP="00BD1FC3" w14:paraId="78A0D388" w14:textId="77777777">
            <w:pPr>
              <w:pStyle w:val="EQRTableText"/>
            </w:pPr>
          </w:p>
        </w:tc>
        <w:tc>
          <w:tcPr>
            <w:tcW w:w="810" w:type="dxa"/>
          </w:tcPr>
          <w:p w:rsidR="00AD7FD8" w:rsidRPr="00990D3B" w:rsidP="00BD1FC3" w14:paraId="4CE0022A" w14:textId="77777777">
            <w:pPr>
              <w:pStyle w:val="EQRTableText"/>
            </w:pPr>
          </w:p>
        </w:tc>
        <w:tc>
          <w:tcPr>
            <w:tcW w:w="1080" w:type="dxa"/>
          </w:tcPr>
          <w:p w:rsidR="00AD7FD8" w:rsidRPr="00990D3B" w:rsidP="00BD1FC3" w14:paraId="48BFE58A" w14:textId="77777777">
            <w:pPr>
              <w:pStyle w:val="EQRTableText"/>
            </w:pPr>
          </w:p>
        </w:tc>
        <w:tc>
          <w:tcPr>
            <w:tcW w:w="5485" w:type="dxa"/>
          </w:tcPr>
          <w:p w:rsidR="00AD7FD8" w:rsidRPr="00990D3B" w:rsidP="00BD1FC3" w14:paraId="04D5C8A3" w14:textId="77777777">
            <w:pPr>
              <w:pStyle w:val="EQRTableText"/>
            </w:pPr>
          </w:p>
        </w:tc>
      </w:tr>
      <w:tr w14:paraId="58DC3DA1" w14:textId="77777777" w:rsidTr="00A11C1E">
        <w:tblPrEx>
          <w:tblW w:w="5000" w:type="pct"/>
          <w:tblLayout w:type="fixed"/>
          <w:tblLook w:val="04A0"/>
        </w:tblPrEx>
        <w:trPr>
          <w:cantSplit/>
        </w:trPr>
        <w:tc>
          <w:tcPr>
            <w:tcW w:w="4675" w:type="dxa"/>
          </w:tcPr>
          <w:p w:rsidR="00AD7FD8" w:rsidRPr="00990D3B" w:rsidP="00BD1FC3" w14:paraId="51761087" w14:textId="77777777">
            <w:pPr>
              <w:pStyle w:val="EQRTableText"/>
            </w:pPr>
            <w:r w:rsidRPr="00990D3B">
              <w:t>In calculating this indicator, were valid sampling techniques used to protect against bias? Specify the type of sampling used in the “comments” field.</w:t>
            </w:r>
          </w:p>
        </w:tc>
        <w:tc>
          <w:tcPr>
            <w:tcW w:w="900" w:type="dxa"/>
          </w:tcPr>
          <w:p w:rsidR="00AD7FD8" w:rsidRPr="00990D3B" w:rsidP="00BD1FC3" w14:paraId="3964DAD8" w14:textId="77777777">
            <w:pPr>
              <w:pStyle w:val="EQRTableText"/>
            </w:pPr>
          </w:p>
        </w:tc>
        <w:tc>
          <w:tcPr>
            <w:tcW w:w="810" w:type="dxa"/>
          </w:tcPr>
          <w:p w:rsidR="00AD7FD8" w:rsidRPr="00990D3B" w:rsidP="00BD1FC3" w14:paraId="6D2C551A" w14:textId="77777777">
            <w:pPr>
              <w:pStyle w:val="EQRTableText"/>
            </w:pPr>
          </w:p>
        </w:tc>
        <w:tc>
          <w:tcPr>
            <w:tcW w:w="1080" w:type="dxa"/>
          </w:tcPr>
          <w:p w:rsidR="00AD7FD8" w:rsidRPr="00990D3B" w:rsidP="00BD1FC3" w14:paraId="58C9AEF8" w14:textId="77777777">
            <w:pPr>
              <w:pStyle w:val="EQRTableText"/>
            </w:pPr>
          </w:p>
        </w:tc>
        <w:tc>
          <w:tcPr>
            <w:tcW w:w="5485" w:type="dxa"/>
          </w:tcPr>
          <w:p w:rsidR="00AD7FD8" w:rsidRPr="00990D3B" w:rsidP="00BD1FC3" w14:paraId="4C4A48EB" w14:textId="77777777">
            <w:pPr>
              <w:pStyle w:val="EQRTableText"/>
            </w:pPr>
          </w:p>
        </w:tc>
      </w:tr>
      <w:tr w14:paraId="66A6C7A1" w14:textId="77777777" w:rsidTr="00A11C1E">
        <w:tblPrEx>
          <w:tblW w:w="5000" w:type="pct"/>
          <w:tblLayout w:type="fixed"/>
          <w:tblLook w:val="04A0"/>
        </w:tblPrEx>
        <w:trPr>
          <w:cantSplit/>
        </w:trPr>
        <w:tc>
          <w:tcPr>
            <w:tcW w:w="4675" w:type="dxa"/>
          </w:tcPr>
          <w:p w:rsidR="00AD7FD8" w:rsidRPr="00990D3B" w:rsidP="00BD1FC3" w14:paraId="143536A9" w14:textId="77777777">
            <w:pPr>
              <w:pStyle w:val="EQRTableText"/>
            </w:pPr>
            <w:r w:rsidRPr="00990D3B">
              <w:t>If applicable to this indicator, does the MCP’s approach for measuring distance (e.g., “as the crow flies” or using road distances) match the state’s expectation?</w:t>
            </w:r>
          </w:p>
        </w:tc>
        <w:tc>
          <w:tcPr>
            <w:tcW w:w="900" w:type="dxa"/>
          </w:tcPr>
          <w:p w:rsidR="00AD7FD8" w:rsidRPr="00990D3B" w:rsidP="00BD1FC3" w14:paraId="587EBDD2" w14:textId="77777777">
            <w:pPr>
              <w:pStyle w:val="EQRTableText"/>
            </w:pPr>
          </w:p>
        </w:tc>
        <w:tc>
          <w:tcPr>
            <w:tcW w:w="810" w:type="dxa"/>
          </w:tcPr>
          <w:p w:rsidR="00AD7FD8" w:rsidRPr="00990D3B" w:rsidP="00BD1FC3" w14:paraId="1145059F" w14:textId="77777777">
            <w:pPr>
              <w:pStyle w:val="EQRTableText"/>
            </w:pPr>
          </w:p>
        </w:tc>
        <w:tc>
          <w:tcPr>
            <w:tcW w:w="1080" w:type="dxa"/>
          </w:tcPr>
          <w:p w:rsidR="00AD7FD8" w:rsidRPr="00990D3B" w:rsidP="00BD1FC3" w14:paraId="1FF5608F" w14:textId="77777777">
            <w:pPr>
              <w:pStyle w:val="EQRTableText"/>
            </w:pPr>
          </w:p>
        </w:tc>
        <w:tc>
          <w:tcPr>
            <w:tcW w:w="5485" w:type="dxa"/>
          </w:tcPr>
          <w:p w:rsidR="00AD7FD8" w:rsidRPr="00990D3B" w:rsidP="00BD1FC3" w14:paraId="2385FF7B" w14:textId="77777777">
            <w:pPr>
              <w:pStyle w:val="EQRTableText"/>
            </w:pPr>
          </w:p>
        </w:tc>
      </w:tr>
      <w:tr w14:paraId="2A475E6C" w14:textId="77777777" w:rsidTr="00A11C1E">
        <w:tblPrEx>
          <w:tblW w:w="5000" w:type="pct"/>
          <w:tblLayout w:type="fixed"/>
          <w:tblLook w:val="04A0"/>
        </w:tblPrEx>
        <w:trPr>
          <w:cantSplit/>
        </w:trPr>
        <w:tc>
          <w:tcPr>
            <w:tcW w:w="4675" w:type="dxa"/>
          </w:tcPr>
          <w:p w:rsidR="00AD7FD8" w:rsidRPr="00990D3B" w:rsidP="00BD1FC3" w14:paraId="2745634D" w14:textId="77777777">
            <w:pPr>
              <w:pStyle w:val="EQRTableText"/>
            </w:pPr>
            <w:r w:rsidRPr="00990D3B">
              <w:t>If applicable to this indicator, does the MCP’s approach for measuring time (e.g., during low traffic or high traffic time periods, using driving distance or public transit) match the state’s expectation?</w:t>
            </w:r>
          </w:p>
        </w:tc>
        <w:tc>
          <w:tcPr>
            <w:tcW w:w="900" w:type="dxa"/>
          </w:tcPr>
          <w:p w:rsidR="00AD7FD8" w:rsidRPr="00990D3B" w:rsidP="00BD1FC3" w14:paraId="2BFF4575" w14:textId="77777777">
            <w:pPr>
              <w:pStyle w:val="EQRTableText"/>
            </w:pPr>
          </w:p>
        </w:tc>
        <w:tc>
          <w:tcPr>
            <w:tcW w:w="810" w:type="dxa"/>
          </w:tcPr>
          <w:p w:rsidR="00AD7FD8" w:rsidRPr="00990D3B" w:rsidP="00BD1FC3" w14:paraId="7B187417" w14:textId="77777777">
            <w:pPr>
              <w:pStyle w:val="EQRTableText"/>
            </w:pPr>
          </w:p>
        </w:tc>
        <w:tc>
          <w:tcPr>
            <w:tcW w:w="1080" w:type="dxa"/>
          </w:tcPr>
          <w:p w:rsidR="00AD7FD8" w:rsidRPr="00990D3B" w:rsidP="00BD1FC3" w14:paraId="742A8758" w14:textId="77777777">
            <w:pPr>
              <w:pStyle w:val="EQRTableText"/>
            </w:pPr>
          </w:p>
        </w:tc>
        <w:tc>
          <w:tcPr>
            <w:tcW w:w="5485" w:type="dxa"/>
          </w:tcPr>
          <w:p w:rsidR="00AD7FD8" w:rsidRPr="00990D3B" w:rsidP="00BD1FC3" w14:paraId="1E9737E0" w14:textId="77777777">
            <w:pPr>
              <w:pStyle w:val="EQRTableText"/>
            </w:pPr>
          </w:p>
        </w:tc>
      </w:tr>
      <w:tr w14:paraId="3E00836D" w14:textId="77777777" w:rsidTr="00A11C1E">
        <w:tblPrEx>
          <w:tblW w:w="5000" w:type="pct"/>
          <w:tblLayout w:type="fixed"/>
          <w:tblLook w:val="04A0"/>
        </w:tblPrEx>
        <w:trPr>
          <w:cantSplit/>
        </w:trPr>
        <w:tc>
          <w:tcPr>
            <w:tcW w:w="4675" w:type="dxa"/>
          </w:tcPr>
          <w:p w:rsidR="00AD7FD8" w:rsidRPr="00990D3B" w:rsidP="00BD1FC3" w14:paraId="0EFE2B1B" w14:textId="77777777">
            <w:pPr>
              <w:pStyle w:val="EQRTableText"/>
            </w:pPr>
            <w:r w:rsidRPr="00990D3B">
              <w:t>If applicable to this indicator, does the MCP’s approach to deriving provider-to-enrollee ratios or percentage of contracted providers accepting new patients match the state’s expectation?</w:t>
            </w:r>
          </w:p>
        </w:tc>
        <w:tc>
          <w:tcPr>
            <w:tcW w:w="900" w:type="dxa"/>
          </w:tcPr>
          <w:p w:rsidR="00AD7FD8" w:rsidRPr="00990D3B" w:rsidP="00BD1FC3" w14:paraId="47C8646E" w14:textId="77777777">
            <w:pPr>
              <w:pStyle w:val="EQRTableText"/>
            </w:pPr>
          </w:p>
        </w:tc>
        <w:tc>
          <w:tcPr>
            <w:tcW w:w="810" w:type="dxa"/>
          </w:tcPr>
          <w:p w:rsidR="00AD7FD8" w:rsidRPr="00990D3B" w:rsidP="00BD1FC3" w14:paraId="6DC19D96" w14:textId="77777777">
            <w:pPr>
              <w:pStyle w:val="EQRTableText"/>
            </w:pPr>
          </w:p>
        </w:tc>
        <w:tc>
          <w:tcPr>
            <w:tcW w:w="1080" w:type="dxa"/>
          </w:tcPr>
          <w:p w:rsidR="00AD7FD8" w:rsidRPr="00990D3B" w:rsidP="00BD1FC3" w14:paraId="37C7643A" w14:textId="77777777">
            <w:pPr>
              <w:pStyle w:val="EQRTableText"/>
            </w:pPr>
          </w:p>
        </w:tc>
        <w:tc>
          <w:tcPr>
            <w:tcW w:w="5485" w:type="dxa"/>
          </w:tcPr>
          <w:p w:rsidR="00AD7FD8" w:rsidRPr="00990D3B" w:rsidP="00BD1FC3" w14:paraId="775CCBBA" w14:textId="77777777">
            <w:pPr>
              <w:pStyle w:val="EQRTableText"/>
            </w:pPr>
          </w:p>
        </w:tc>
      </w:tr>
      <w:tr w14:paraId="13F7F705" w14:textId="77777777" w:rsidTr="00A11C1E">
        <w:tblPrEx>
          <w:tblW w:w="5000" w:type="pct"/>
          <w:tblLayout w:type="fixed"/>
          <w:tblLook w:val="04A0"/>
        </w:tblPrEx>
        <w:trPr>
          <w:cantSplit/>
        </w:trPr>
        <w:tc>
          <w:tcPr>
            <w:tcW w:w="4675" w:type="dxa"/>
          </w:tcPr>
          <w:p w:rsidR="00AD7FD8" w:rsidRPr="00990D3B" w:rsidP="00BD1FC3" w14:paraId="34BEB2F5" w14:textId="77777777">
            <w:pPr>
              <w:pStyle w:val="EQRTableText"/>
            </w:pPr>
            <w:r w:rsidRPr="00990D3B">
              <w:t xml:space="preserve">If applicable to this indicator, </w:t>
            </w:r>
            <w:bookmarkStart w:id="541" w:name="_Hlk64623236"/>
            <w:r w:rsidRPr="00990D3B">
              <w:t>does the MCP’s approach for determining the maximum wait time for an appointment match the state’s expectation?</w:t>
            </w:r>
            <w:bookmarkEnd w:id="541"/>
          </w:p>
        </w:tc>
        <w:tc>
          <w:tcPr>
            <w:tcW w:w="900" w:type="dxa"/>
          </w:tcPr>
          <w:p w:rsidR="00AD7FD8" w:rsidRPr="00990D3B" w:rsidP="00BD1FC3" w14:paraId="12E429FD" w14:textId="77777777">
            <w:pPr>
              <w:pStyle w:val="EQRTableText"/>
            </w:pPr>
          </w:p>
        </w:tc>
        <w:tc>
          <w:tcPr>
            <w:tcW w:w="810" w:type="dxa"/>
          </w:tcPr>
          <w:p w:rsidR="00AD7FD8" w:rsidRPr="00990D3B" w:rsidP="00BD1FC3" w14:paraId="562B7F3D" w14:textId="77777777">
            <w:pPr>
              <w:pStyle w:val="EQRTableText"/>
            </w:pPr>
          </w:p>
        </w:tc>
        <w:tc>
          <w:tcPr>
            <w:tcW w:w="1080" w:type="dxa"/>
          </w:tcPr>
          <w:p w:rsidR="00AD7FD8" w:rsidRPr="00990D3B" w:rsidP="00BD1FC3" w14:paraId="5DBD2711" w14:textId="77777777">
            <w:pPr>
              <w:pStyle w:val="EQRTableText"/>
            </w:pPr>
          </w:p>
        </w:tc>
        <w:tc>
          <w:tcPr>
            <w:tcW w:w="5485" w:type="dxa"/>
          </w:tcPr>
          <w:p w:rsidR="00AD7FD8" w:rsidRPr="00990D3B" w:rsidP="00BD1FC3" w14:paraId="3C90A432" w14:textId="77777777">
            <w:pPr>
              <w:pStyle w:val="EQRTableText"/>
            </w:pPr>
          </w:p>
        </w:tc>
      </w:tr>
      <w:tr w14:paraId="127FA4F1" w14:textId="77777777" w:rsidTr="00A11C1E">
        <w:tblPrEx>
          <w:tblW w:w="5000" w:type="pct"/>
          <w:tblLayout w:type="fixed"/>
          <w:tblLook w:val="04A0"/>
        </w:tblPrEx>
        <w:trPr>
          <w:cantSplit/>
        </w:trPr>
        <w:tc>
          <w:tcPr>
            <w:tcW w:w="4675" w:type="dxa"/>
          </w:tcPr>
          <w:p w:rsidR="00AD7FD8" w:rsidRPr="00990D3B" w:rsidP="00BD1FC3" w14:paraId="2ACC4107" w14:textId="77777777">
            <w:pPr>
              <w:pStyle w:val="EQRTableText"/>
            </w:pPr>
            <w:r w:rsidRPr="00990D3B">
              <w:t xml:space="preserve">Are the methods used to calculate this indicator rigorous and objective? </w:t>
            </w:r>
          </w:p>
        </w:tc>
        <w:tc>
          <w:tcPr>
            <w:tcW w:w="900" w:type="dxa"/>
          </w:tcPr>
          <w:p w:rsidR="00AD7FD8" w:rsidRPr="00990D3B" w:rsidP="00BD1FC3" w14:paraId="78E76495" w14:textId="77777777">
            <w:pPr>
              <w:pStyle w:val="EQRTableText"/>
            </w:pPr>
          </w:p>
        </w:tc>
        <w:tc>
          <w:tcPr>
            <w:tcW w:w="810" w:type="dxa"/>
          </w:tcPr>
          <w:p w:rsidR="00AD7FD8" w:rsidRPr="00990D3B" w:rsidP="00BD1FC3" w14:paraId="600AAD6D" w14:textId="77777777">
            <w:pPr>
              <w:pStyle w:val="EQRTableText"/>
            </w:pPr>
          </w:p>
        </w:tc>
        <w:tc>
          <w:tcPr>
            <w:tcW w:w="1080" w:type="dxa"/>
          </w:tcPr>
          <w:p w:rsidR="00AD7FD8" w:rsidRPr="00990D3B" w:rsidP="00BD1FC3" w14:paraId="14AC0DD6" w14:textId="77777777">
            <w:pPr>
              <w:pStyle w:val="EQRTableText"/>
            </w:pPr>
          </w:p>
        </w:tc>
        <w:tc>
          <w:tcPr>
            <w:tcW w:w="5485" w:type="dxa"/>
          </w:tcPr>
          <w:p w:rsidR="00AD7FD8" w:rsidRPr="00990D3B" w:rsidP="00BD1FC3" w14:paraId="279B790D" w14:textId="77777777">
            <w:pPr>
              <w:pStyle w:val="EQRTableText"/>
            </w:pPr>
          </w:p>
        </w:tc>
      </w:tr>
      <w:tr w14:paraId="6E6B344E" w14:textId="77777777" w:rsidTr="00A11C1E">
        <w:tblPrEx>
          <w:tblW w:w="5000" w:type="pct"/>
          <w:tblLayout w:type="fixed"/>
          <w:tblLook w:val="04A0"/>
        </w:tblPrEx>
        <w:trPr>
          <w:cantSplit/>
        </w:trPr>
        <w:tc>
          <w:tcPr>
            <w:tcW w:w="4675" w:type="dxa"/>
          </w:tcPr>
          <w:p w:rsidR="00AD7FD8" w:rsidRPr="00990D3B" w:rsidP="00BD1FC3" w14:paraId="45E77463" w14:textId="77777777">
            <w:pPr>
              <w:pStyle w:val="EQRTableText"/>
            </w:pPr>
            <w:r w:rsidRPr="00990D3B">
              <w:t>Are the methods used to calculate this indicator unlikely to be subject to manipulation? If “no,” please describe in the “comments” field.</w:t>
            </w:r>
          </w:p>
        </w:tc>
        <w:tc>
          <w:tcPr>
            <w:tcW w:w="900" w:type="dxa"/>
          </w:tcPr>
          <w:p w:rsidR="00AD7FD8" w:rsidRPr="00990D3B" w:rsidP="00BD1FC3" w14:paraId="5B68D4B4" w14:textId="77777777">
            <w:pPr>
              <w:pStyle w:val="EQRTableText"/>
            </w:pPr>
          </w:p>
        </w:tc>
        <w:tc>
          <w:tcPr>
            <w:tcW w:w="810" w:type="dxa"/>
          </w:tcPr>
          <w:p w:rsidR="00AD7FD8" w:rsidRPr="00990D3B" w:rsidP="00BD1FC3" w14:paraId="5FB4D5F4" w14:textId="77777777">
            <w:pPr>
              <w:pStyle w:val="EQRTableText"/>
            </w:pPr>
          </w:p>
        </w:tc>
        <w:tc>
          <w:tcPr>
            <w:tcW w:w="1080" w:type="dxa"/>
          </w:tcPr>
          <w:p w:rsidR="00AD7FD8" w:rsidRPr="00990D3B" w:rsidP="00BD1FC3" w14:paraId="3780E64E" w14:textId="77777777">
            <w:pPr>
              <w:pStyle w:val="EQRTableText"/>
            </w:pPr>
          </w:p>
        </w:tc>
        <w:tc>
          <w:tcPr>
            <w:tcW w:w="5485" w:type="dxa"/>
          </w:tcPr>
          <w:p w:rsidR="00AD7FD8" w:rsidRPr="00990D3B" w:rsidP="00BD1FC3" w14:paraId="6710110E" w14:textId="77777777">
            <w:pPr>
              <w:pStyle w:val="EQRTableText"/>
            </w:pPr>
          </w:p>
        </w:tc>
      </w:tr>
      <w:tr w14:paraId="43A88F24" w14:textId="77777777" w:rsidTr="00A11C1E">
        <w:tblPrEx>
          <w:tblW w:w="5000" w:type="pct"/>
          <w:tblLayout w:type="fixed"/>
          <w:tblLook w:val="04A0"/>
        </w:tblPrEx>
        <w:trPr>
          <w:cantSplit/>
        </w:trPr>
        <w:tc>
          <w:tcPr>
            <w:tcW w:w="4675" w:type="dxa"/>
            <w:shd w:val="clear" w:color="auto" w:fill="D9D9D9" w:themeFill="background1" w:themeFillShade="D9"/>
          </w:tcPr>
          <w:p w:rsidR="00AD7FD8" w:rsidRPr="00990D3B" w:rsidP="00BD1FC3" w14:paraId="21C27598" w14:textId="77777777">
            <w:pPr>
              <w:pStyle w:val="EQRTableText"/>
              <w:rPr>
                <w:b/>
                <w:bCs/>
              </w:rPr>
            </w:pPr>
            <w:r w:rsidRPr="00990D3B">
              <w:rPr>
                <w:b/>
                <w:bCs/>
              </w:rPr>
              <w:t xml:space="preserve">Assessment of MCP network adequacy results </w:t>
            </w:r>
          </w:p>
        </w:tc>
        <w:tc>
          <w:tcPr>
            <w:tcW w:w="900" w:type="dxa"/>
            <w:shd w:val="clear" w:color="auto" w:fill="D9D9D9" w:themeFill="background1" w:themeFillShade="D9"/>
          </w:tcPr>
          <w:p w:rsidR="00AD7FD8" w:rsidRPr="00990D3B" w:rsidP="00BD1FC3" w14:paraId="3C26195E" w14:textId="77777777">
            <w:pPr>
              <w:pStyle w:val="EQRTableText"/>
              <w:rPr>
                <w:b/>
                <w:bCs/>
              </w:rPr>
            </w:pPr>
          </w:p>
        </w:tc>
        <w:tc>
          <w:tcPr>
            <w:tcW w:w="810" w:type="dxa"/>
            <w:shd w:val="clear" w:color="auto" w:fill="D9D9D9" w:themeFill="background1" w:themeFillShade="D9"/>
          </w:tcPr>
          <w:p w:rsidR="00AD7FD8" w:rsidRPr="00990D3B" w:rsidP="00BD1FC3" w14:paraId="1CA7FA20" w14:textId="77777777">
            <w:pPr>
              <w:pStyle w:val="EQRTableText"/>
              <w:rPr>
                <w:b/>
                <w:bCs/>
              </w:rPr>
            </w:pPr>
          </w:p>
        </w:tc>
        <w:tc>
          <w:tcPr>
            <w:tcW w:w="1080" w:type="dxa"/>
            <w:shd w:val="clear" w:color="auto" w:fill="D9D9D9" w:themeFill="background1" w:themeFillShade="D9"/>
          </w:tcPr>
          <w:p w:rsidR="00AD7FD8" w:rsidRPr="00990D3B" w:rsidP="00BD1FC3" w14:paraId="73336255" w14:textId="77777777">
            <w:pPr>
              <w:pStyle w:val="EQRTableText"/>
              <w:rPr>
                <w:b/>
                <w:bCs/>
              </w:rPr>
            </w:pPr>
          </w:p>
        </w:tc>
        <w:tc>
          <w:tcPr>
            <w:tcW w:w="5485" w:type="dxa"/>
            <w:shd w:val="clear" w:color="auto" w:fill="D9D9D9" w:themeFill="background1" w:themeFillShade="D9"/>
          </w:tcPr>
          <w:p w:rsidR="00AD7FD8" w:rsidRPr="00990D3B" w:rsidP="00BD1FC3" w14:paraId="15504660" w14:textId="77777777">
            <w:pPr>
              <w:pStyle w:val="EQRTableText"/>
              <w:rPr>
                <w:b/>
                <w:bCs/>
              </w:rPr>
            </w:pPr>
          </w:p>
        </w:tc>
      </w:tr>
      <w:tr w14:paraId="69420B25" w14:textId="77777777" w:rsidTr="00A11C1E">
        <w:tblPrEx>
          <w:tblW w:w="5000" w:type="pct"/>
          <w:tblLayout w:type="fixed"/>
          <w:tblLook w:val="04A0"/>
        </w:tblPrEx>
        <w:trPr>
          <w:cantSplit/>
        </w:trPr>
        <w:tc>
          <w:tcPr>
            <w:tcW w:w="4675" w:type="dxa"/>
          </w:tcPr>
          <w:p w:rsidR="00AD7FD8" w:rsidRPr="00990D3B" w:rsidP="00BD1FC3" w14:paraId="34882FBF" w14:textId="77777777">
            <w:pPr>
              <w:pStyle w:val="EQRTableText"/>
            </w:pPr>
            <w:r w:rsidRPr="00990D3B">
              <w:t xml:space="preserve">In calculating this indicator, did the MCP produce valid </w:t>
            </w:r>
            <w:r w:rsidRPr="00990D3B">
              <w:t>results—that is</w:t>
            </w:r>
            <w:r w:rsidRPr="00990D3B">
              <w:t xml:space="preserve">, did the MCP measure what they intended to measure? </w:t>
            </w:r>
          </w:p>
        </w:tc>
        <w:tc>
          <w:tcPr>
            <w:tcW w:w="900" w:type="dxa"/>
          </w:tcPr>
          <w:p w:rsidR="00AD7FD8" w:rsidRPr="00990D3B" w:rsidP="00BD1FC3" w14:paraId="679C79CB" w14:textId="77777777">
            <w:pPr>
              <w:pStyle w:val="EQRTableText"/>
            </w:pPr>
          </w:p>
        </w:tc>
        <w:tc>
          <w:tcPr>
            <w:tcW w:w="810" w:type="dxa"/>
          </w:tcPr>
          <w:p w:rsidR="00AD7FD8" w:rsidRPr="00990D3B" w:rsidP="00BD1FC3" w14:paraId="78F93E8E" w14:textId="77777777">
            <w:pPr>
              <w:pStyle w:val="EQRTableText"/>
            </w:pPr>
          </w:p>
        </w:tc>
        <w:tc>
          <w:tcPr>
            <w:tcW w:w="1080" w:type="dxa"/>
          </w:tcPr>
          <w:p w:rsidR="00AD7FD8" w:rsidRPr="00990D3B" w:rsidP="00BD1FC3" w14:paraId="0CE1B750" w14:textId="77777777">
            <w:pPr>
              <w:pStyle w:val="EQRTableText"/>
            </w:pPr>
          </w:p>
        </w:tc>
        <w:tc>
          <w:tcPr>
            <w:tcW w:w="5485" w:type="dxa"/>
          </w:tcPr>
          <w:p w:rsidR="00AD7FD8" w:rsidRPr="00990D3B" w:rsidP="00BD1FC3" w14:paraId="4A4236ED" w14:textId="77777777">
            <w:pPr>
              <w:pStyle w:val="EQRTableText"/>
            </w:pPr>
          </w:p>
        </w:tc>
      </w:tr>
      <w:tr w14:paraId="4D21C1C7" w14:textId="77777777" w:rsidTr="00A11C1E">
        <w:tblPrEx>
          <w:tblW w:w="5000" w:type="pct"/>
          <w:tblLayout w:type="fixed"/>
          <w:tblLook w:val="04A0"/>
        </w:tblPrEx>
        <w:trPr>
          <w:cantSplit/>
        </w:trPr>
        <w:tc>
          <w:tcPr>
            <w:tcW w:w="4675" w:type="dxa"/>
          </w:tcPr>
          <w:p w:rsidR="00AD7FD8" w:rsidRPr="00990D3B" w:rsidP="00BD1FC3" w14:paraId="25B27D9C" w14:textId="77777777">
            <w:pPr>
              <w:pStyle w:val="EQRTableText"/>
            </w:pPr>
            <w:r w:rsidRPr="00990D3B">
              <w:t xml:space="preserve">In calculating this indicator, did the MCP produce accurate </w:t>
            </w:r>
            <w:r w:rsidRPr="00990D3B">
              <w:t>results—that is</w:t>
            </w:r>
            <w:r w:rsidRPr="00990D3B">
              <w:t xml:space="preserve">, did the MCP’s calculated values reflect the true values? </w:t>
            </w:r>
          </w:p>
        </w:tc>
        <w:tc>
          <w:tcPr>
            <w:tcW w:w="900" w:type="dxa"/>
          </w:tcPr>
          <w:p w:rsidR="00AD7FD8" w:rsidRPr="00990D3B" w:rsidP="00BD1FC3" w14:paraId="4B89841E" w14:textId="77777777">
            <w:pPr>
              <w:pStyle w:val="EQRTableText"/>
            </w:pPr>
          </w:p>
        </w:tc>
        <w:tc>
          <w:tcPr>
            <w:tcW w:w="810" w:type="dxa"/>
          </w:tcPr>
          <w:p w:rsidR="00AD7FD8" w:rsidRPr="00990D3B" w:rsidP="00BD1FC3" w14:paraId="759E4072" w14:textId="77777777">
            <w:pPr>
              <w:pStyle w:val="EQRTableText"/>
            </w:pPr>
          </w:p>
        </w:tc>
        <w:tc>
          <w:tcPr>
            <w:tcW w:w="1080" w:type="dxa"/>
          </w:tcPr>
          <w:p w:rsidR="00AD7FD8" w:rsidRPr="00990D3B" w:rsidP="00BD1FC3" w14:paraId="531B558A" w14:textId="77777777">
            <w:pPr>
              <w:pStyle w:val="EQRTableText"/>
            </w:pPr>
          </w:p>
        </w:tc>
        <w:tc>
          <w:tcPr>
            <w:tcW w:w="5485" w:type="dxa"/>
          </w:tcPr>
          <w:p w:rsidR="00AD7FD8" w:rsidRPr="00990D3B" w:rsidP="00BD1FC3" w14:paraId="5AAD8059" w14:textId="77777777">
            <w:pPr>
              <w:pStyle w:val="EQRTableText"/>
            </w:pPr>
          </w:p>
        </w:tc>
      </w:tr>
      <w:tr w14:paraId="262F20A8" w14:textId="77777777" w:rsidTr="00A11C1E">
        <w:tblPrEx>
          <w:tblW w:w="5000" w:type="pct"/>
          <w:tblLayout w:type="fixed"/>
          <w:tblLook w:val="04A0"/>
        </w:tblPrEx>
        <w:trPr>
          <w:cantSplit/>
        </w:trPr>
        <w:tc>
          <w:tcPr>
            <w:tcW w:w="4675" w:type="dxa"/>
          </w:tcPr>
          <w:p w:rsidR="00AD7FD8" w:rsidRPr="00990D3B" w:rsidP="00BD1FC3" w14:paraId="2313DB44" w14:textId="77777777">
            <w:pPr>
              <w:pStyle w:val="EQRTableText"/>
            </w:pPr>
            <w:r w:rsidRPr="00990D3B">
              <w:t xml:space="preserve">In calculating this indicator, did the MCP produce reliable </w:t>
            </w:r>
            <w:r w:rsidRPr="00990D3B">
              <w:t>results—that</w:t>
            </w:r>
            <w:r w:rsidRPr="00990D3B">
              <w:t xml:space="preserve"> </w:t>
            </w:r>
            <w:r w:rsidRPr="00990D3B">
              <w:t>is,</w:t>
            </w:r>
            <w:r w:rsidRPr="00990D3B">
              <w:t xml:space="preserve"> were the MCP’s results reproducible and consistent? </w:t>
            </w:r>
          </w:p>
        </w:tc>
        <w:tc>
          <w:tcPr>
            <w:tcW w:w="900" w:type="dxa"/>
          </w:tcPr>
          <w:p w:rsidR="00AD7FD8" w:rsidRPr="00990D3B" w:rsidP="00BD1FC3" w14:paraId="4BCF8FBA" w14:textId="77777777">
            <w:pPr>
              <w:pStyle w:val="EQRTableText"/>
            </w:pPr>
          </w:p>
        </w:tc>
        <w:tc>
          <w:tcPr>
            <w:tcW w:w="810" w:type="dxa"/>
          </w:tcPr>
          <w:p w:rsidR="00AD7FD8" w:rsidRPr="00990D3B" w:rsidP="00BD1FC3" w14:paraId="74C9AC1B" w14:textId="77777777">
            <w:pPr>
              <w:pStyle w:val="EQRTableText"/>
            </w:pPr>
          </w:p>
        </w:tc>
        <w:tc>
          <w:tcPr>
            <w:tcW w:w="1080" w:type="dxa"/>
          </w:tcPr>
          <w:p w:rsidR="00AD7FD8" w:rsidRPr="00990D3B" w:rsidP="00BD1FC3" w14:paraId="77DC8A55" w14:textId="77777777">
            <w:pPr>
              <w:pStyle w:val="EQRTableText"/>
            </w:pPr>
          </w:p>
        </w:tc>
        <w:tc>
          <w:tcPr>
            <w:tcW w:w="5485" w:type="dxa"/>
          </w:tcPr>
          <w:p w:rsidR="00AD7FD8" w:rsidRPr="00990D3B" w:rsidP="00BD1FC3" w14:paraId="62B3C8E7" w14:textId="77777777">
            <w:pPr>
              <w:pStyle w:val="EQRTableText"/>
            </w:pPr>
          </w:p>
        </w:tc>
      </w:tr>
      <w:tr w14:paraId="104A1440" w14:textId="77777777" w:rsidTr="00A11C1E">
        <w:tblPrEx>
          <w:tblW w:w="5000" w:type="pct"/>
          <w:tblLayout w:type="fixed"/>
          <w:tblLook w:val="04A0"/>
        </w:tblPrEx>
        <w:trPr>
          <w:cantSplit/>
        </w:trPr>
        <w:tc>
          <w:tcPr>
            <w:tcW w:w="4675" w:type="dxa"/>
          </w:tcPr>
          <w:p w:rsidR="00AD7FD8" w:rsidRPr="00990D3B" w:rsidP="00BD1FC3" w14:paraId="7904A598" w14:textId="77777777">
            <w:pPr>
              <w:pStyle w:val="EQRTableText"/>
            </w:pPr>
            <w:r w:rsidRPr="00990D3B">
              <w:t>In calculating this indicator, did the MCP accurately interpret its results?</w:t>
            </w:r>
          </w:p>
        </w:tc>
        <w:tc>
          <w:tcPr>
            <w:tcW w:w="900" w:type="dxa"/>
          </w:tcPr>
          <w:p w:rsidR="00AD7FD8" w:rsidRPr="00990D3B" w:rsidP="00BD1FC3" w14:paraId="4251ACE2" w14:textId="77777777">
            <w:pPr>
              <w:pStyle w:val="EQRTableText"/>
            </w:pPr>
          </w:p>
        </w:tc>
        <w:tc>
          <w:tcPr>
            <w:tcW w:w="810" w:type="dxa"/>
          </w:tcPr>
          <w:p w:rsidR="00AD7FD8" w:rsidRPr="00990D3B" w:rsidP="00BD1FC3" w14:paraId="52622CE6" w14:textId="77777777">
            <w:pPr>
              <w:pStyle w:val="EQRTableText"/>
            </w:pPr>
          </w:p>
        </w:tc>
        <w:tc>
          <w:tcPr>
            <w:tcW w:w="1080" w:type="dxa"/>
          </w:tcPr>
          <w:p w:rsidR="00AD7FD8" w:rsidRPr="00990D3B" w:rsidP="00BD1FC3" w14:paraId="1B614262" w14:textId="77777777">
            <w:pPr>
              <w:pStyle w:val="EQRTableText"/>
            </w:pPr>
          </w:p>
        </w:tc>
        <w:tc>
          <w:tcPr>
            <w:tcW w:w="5485" w:type="dxa"/>
          </w:tcPr>
          <w:p w:rsidR="00AD7FD8" w:rsidRPr="00990D3B" w:rsidP="00BD1FC3" w14:paraId="7D3C605F" w14:textId="77777777">
            <w:pPr>
              <w:pStyle w:val="EQRTableText"/>
            </w:pPr>
          </w:p>
        </w:tc>
      </w:tr>
      <w:tr w14:paraId="761B3A8C" w14:textId="77777777" w:rsidTr="00A11C1E">
        <w:tblPrEx>
          <w:tblW w:w="5000" w:type="pct"/>
          <w:tblLayout w:type="fixed"/>
          <w:tblLook w:val="04A0"/>
        </w:tblPrEx>
        <w:trPr>
          <w:cantSplit/>
        </w:trPr>
        <w:tc>
          <w:tcPr>
            <w:tcW w:w="4675" w:type="dxa"/>
            <w:shd w:val="clear" w:color="auto" w:fill="D9D9D9" w:themeFill="background1" w:themeFillShade="D9"/>
          </w:tcPr>
          <w:p w:rsidR="00AD7FD8" w:rsidRPr="00990D3B" w:rsidP="00BD1FC3" w14:paraId="04F798EB" w14:textId="77777777">
            <w:pPr>
              <w:pStyle w:val="EQRTableText"/>
              <w:rPr>
                <w:b/>
                <w:bCs/>
              </w:rPr>
            </w:pPr>
            <w:r w:rsidRPr="00990D3B">
              <w:rPr>
                <w:b/>
                <w:bCs/>
              </w:rPr>
              <w:t>Comments</w:t>
            </w:r>
          </w:p>
        </w:tc>
        <w:tc>
          <w:tcPr>
            <w:tcW w:w="900" w:type="dxa"/>
            <w:shd w:val="clear" w:color="auto" w:fill="D9D9D9" w:themeFill="background1" w:themeFillShade="D9"/>
          </w:tcPr>
          <w:p w:rsidR="00AD7FD8" w:rsidRPr="00990D3B" w:rsidP="00BD1FC3" w14:paraId="29B235A8" w14:textId="77777777">
            <w:pPr>
              <w:pStyle w:val="EQRTableText"/>
              <w:rPr>
                <w:b/>
                <w:bCs/>
              </w:rPr>
            </w:pPr>
          </w:p>
        </w:tc>
        <w:tc>
          <w:tcPr>
            <w:tcW w:w="810" w:type="dxa"/>
            <w:shd w:val="clear" w:color="auto" w:fill="D9D9D9" w:themeFill="background1" w:themeFillShade="D9"/>
          </w:tcPr>
          <w:p w:rsidR="00AD7FD8" w:rsidRPr="00990D3B" w:rsidP="00BD1FC3" w14:paraId="34C1300B" w14:textId="77777777">
            <w:pPr>
              <w:pStyle w:val="EQRTableText"/>
              <w:rPr>
                <w:b/>
                <w:bCs/>
              </w:rPr>
            </w:pPr>
          </w:p>
        </w:tc>
        <w:tc>
          <w:tcPr>
            <w:tcW w:w="1080" w:type="dxa"/>
            <w:shd w:val="clear" w:color="auto" w:fill="D9D9D9" w:themeFill="background1" w:themeFillShade="D9"/>
          </w:tcPr>
          <w:p w:rsidR="00AD7FD8" w:rsidRPr="00990D3B" w:rsidP="00BD1FC3" w14:paraId="725CF0CE" w14:textId="77777777">
            <w:pPr>
              <w:pStyle w:val="EQRTableText"/>
              <w:rPr>
                <w:b/>
                <w:bCs/>
              </w:rPr>
            </w:pPr>
          </w:p>
        </w:tc>
        <w:tc>
          <w:tcPr>
            <w:tcW w:w="5485" w:type="dxa"/>
            <w:shd w:val="clear" w:color="auto" w:fill="D9D9D9" w:themeFill="background1" w:themeFillShade="D9"/>
          </w:tcPr>
          <w:p w:rsidR="00AD7FD8" w:rsidRPr="00990D3B" w:rsidP="00BD1FC3" w14:paraId="728F14BB" w14:textId="77777777">
            <w:pPr>
              <w:pStyle w:val="EQRTableText"/>
              <w:rPr>
                <w:b/>
                <w:bCs/>
              </w:rPr>
            </w:pPr>
          </w:p>
        </w:tc>
      </w:tr>
      <w:tr w14:paraId="17168FAF" w14:textId="77777777" w:rsidTr="00A11C1E">
        <w:tblPrEx>
          <w:tblW w:w="5000" w:type="pct"/>
          <w:tblLayout w:type="fixed"/>
          <w:tblLook w:val="04A0"/>
        </w:tblPrEx>
        <w:trPr>
          <w:cantSplit/>
        </w:trPr>
        <w:tc>
          <w:tcPr>
            <w:tcW w:w="4675" w:type="dxa"/>
          </w:tcPr>
          <w:p w:rsidR="00AD7FD8" w:rsidRPr="00990D3B" w:rsidP="00BD1FC3" w14:paraId="0DA20D5D" w14:textId="77777777">
            <w:pPr>
              <w:pStyle w:val="EQRTableText"/>
            </w:pPr>
            <w:r w:rsidRPr="00990D3B">
              <w:t xml:space="preserve">Please note any recommendations for improving the data collection procedures to calculate this indicator.  </w:t>
            </w:r>
          </w:p>
        </w:tc>
        <w:tc>
          <w:tcPr>
            <w:tcW w:w="900" w:type="dxa"/>
            <w:shd w:val="clear" w:color="auto" w:fill="D9D9D9" w:themeFill="background1" w:themeFillShade="D9"/>
          </w:tcPr>
          <w:p w:rsidR="00AD7FD8" w:rsidRPr="00990D3B" w:rsidP="00BD1FC3" w14:paraId="1CE7700B" w14:textId="77777777">
            <w:pPr>
              <w:pStyle w:val="EQRTableText"/>
            </w:pPr>
          </w:p>
        </w:tc>
        <w:tc>
          <w:tcPr>
            <w:tcW w:w="810" w:type="dxa"/>
            <w:shd w:val="clear" w:color="auto" w:fill="D9D9D9" w:themeFill="background1" w:themeFillShade="D9"/>
          </w:tcPr>
          <w:p w:rsidR="00AD7FD8" w:rsidRPr="00990D3B" w:rsidP="00BD1FC3" w14:paraId="75C225DE" w14:textId="77777777">
            <w:pPr>
              <w:pStyle w:val="EQRTableText"/>
            </w:pPr>
          </w:p>
        </w:tc>
        <w:tc>
          <w:tcPr>
            <w:tcW w:w="1080" w:type="dxa"/>
            <w:shd w:val="clear" w:color="auto" w:fill="D9D9D9" w:themeFill="background1" w:themeFillShade="D9"/>
          </w:tcPr>
          <w:p w:rsidR="00AD7FD8" w:rsidRPr="00990D3B" w:rsidP="00BD1FC3" w14:paraId="3433A79E" w14:textId="77777777">
            <w:pPr>
              <w:pStyle w:val="EQRTableText"/>
            </w:pPr>
          </w:p>
        </w:tc>
        <w:tc>
          <w:tcPr>
            <w:tcW w:w="5485" w:type="dxa"/>
          </w:tcPr>
          <w:p w:rsidR="00AD7FD8" w:rsidRPr="00990D3B" w:rsidP="00BD1FC3" w14:paraId="3CB21684" w14:textId="77777777">
            <w:pPr>
              <w:pStyle w:val="EQRTableText"/>
            </w:pPr>
          </w:p>
        </w:tc>
      </w:tr>
      <w:tr w14:paraId="38E731DD" w14:textId="77777777" w:rsidTr="00A11C1E">
        <w:tblPrEx>
          <w:tblW w:w="5000" w:type="pct"/>
          <w:tblLayout w:type="fixed"/>
          <w:tblLook w:val="04A0"/>
        </w:tblPrEx>
        <w:trPr>
          <w:cantSplit/>
        </w:trPr>
        <w:tc>
          <w:tcPr>
            <w:tcW w:w="4675" w:type="dxa"/>
          </w:tcPr>
          <w:p w:rsidR="00AD7FD8" w:rsidRPr="00990D3B" w:rsidP="00BD1FC3" w14:paraId="5792FC39" w14:textId="77777777">
            <w:pPr>
              <w:pStyle w:val="EQRTableText"/>
            </w:pPr>
            <w:r w:rsidRPr="00990D3B">
              <w:t xml:space="preserve">Please note any recommendations for improving the sampling methods to calculate this indicator.  </w:t>
            </w:r>
          </w:p>
        </w:tc>
        <w:tc>
          <w:tcPr>
            <w:tcW w:w="900" w:type="dxa"/>
            <w:shd w:val="clear" w:color="auto" w:fill="D9D9D9" w:themeFill="background1" w:themeFillShade="D9"/>
          </w:tcPr>
          <w:p w:rsidR="00AD7FD8" w:rsidRPr="00990D3B" w:rsidP="00BD1FC3" w14:paraId="3CE2F3C5" w14:textId="77777777">
            <w:pPr>
              <w:pStyle w:val="EQRTableText"/>
            </w:pPr>
          </w:p>
        </w:tc>
        <w:tc>
          <w:tcPr>
            <w:tcW w:w="810" w:type="dxa"/>
            <w:shd w:val="clear" w:color="auto" w:fill="D9D9D9" w:themeFill="background1" w:themeFillShade="D9"/>
          </w:tcPr>
          <w:p w:rsidR="00AD7FD8" w:rsidRPr="00990D3B" w:rsidP="00BD1FC3" w14:paraId="69AE96F8" w14:textId="77777777">
            <w:pPr>
              <w:pStyle w:val="EQRTableText"/>
            </w:pPr>
          </w:p>
        </w:tc>
        <w:tc>
          <w:tcPr>
            <w:tcW w:w="1080" w:type="dxa"/>
            <w:shd w:val="clear" w:color="auto" w:fill="D9D9D9" w:themeFill="background1" w:themeFillShade="D9"/>
          </w:tcPr>
          <w:p w:rsidR="00AD7FD8" w:rsidRPr="00990D3B" w:rsidP="00BD1FC3" w14:paraId="69E29018" w14:textId="77777777">
            <w:pPr>
              <w:pStyle w:val="EQRTableText"/>
            </w:pPr>
          </w:p>
        </w:tc>
        <w:tc>
          <w:tcPr>
            <w:tcW w:w="5485" w:type="dxa"/>
          </w:tcPr>
          <w:p w:rsidR="00AD7FD8" w:rsidRPr="00990D3B" w:rsidP="00BD1FC3" w14:paraId="33BEC70E" w14:textId="77777777">
            <w:pPr>
              <w:pStyle w:val="EQRTableText"/>
            </w:pPr>
          </w:p>
        </w:tc>
      </w:tr>
      <w:tr w14:paraId="3CCCCB86" w14:textId="77777777" w:rsidTr="00A11C1E">
        <w:tblPrEx>
          <w:tblW w:w="5000" w:type="pct"/>
          <w:tblLayout w:type="fixed"/>
          <w:tblLook w:val="04A0"/>
        </w:tblPrEx>
        <w:trPr>
          <w:cantSplit/>
        </w:trPr>
        <w:tc>
          <w:tcPr>
            <w:tcW w:w="4675" w:type="dxa"/>
          </w:tcPr>
          <w:p w:rsidR="00AD7FD8" w:rsidRPr="00990D3B" w:rsidP="00BD1FC3" w14:paraId="1870B398" w14:textId="77777777">
            <w:pPr>
              <w:pStyle w:val="EQRTableText"/>
            </w:pPr>
            <w:r w:rsidRPr="00990D3B">
              <w:t xml:space="preserve">Please note any recommendations for improving the analysis to calculate this indicator.  </w:t>
            </w:r>
          </w:p>
        </w:tc>
        <w:tc>
          <w:tcPr>
            <w:tcW w:w="900" w:type="dxa"/>
            <w:shd w:val="clear" w:color="auto" w:fill="D9D9D9" w:themeFill="background1" w:themeFillShade="D9"/>
          </w:tcPr>
          <w:p w:rsidR="00AD7FD8" w:rsidRPr="00990D3B" w:rsidP="00BD1FC3" w14:paraId="36A68C8F" w14:textId="77777777">
            <w:pPr>
              <w:pStyle w:val="EQRTableText"/>
            </w:pPr>
          </w:p>
        </w:tc>
        <w:tc>
          <w:tcPr>
            <w:tcW w:w="810" w:type="dxa"/>
            <w:shd w:val="clear" w:color="auto" w:fill="D9D9D9" w:themeFill="background1" w:themeFillShade="D9"/>
          </w:tcPr>
          <w:p w:rsidR="00AD7FD8" w:rsidRPr="00990D3B" w:rsidP="00BD1FC3" w14:paraId="2E6B2896" w14:textId="77777777">
            <w:pPr>
              <w:pStyle w:val="EQRTableText"/>
            </w:pPr>
          </w:p>
        </w:tc>
        <w:tc>
          <w:tcPr>
            <w:tcW w:w="1080" w:type="dxa"/>
            <w:shd w:val="clear" w:color="auto" w:fill="D9D9D9" w:themeFill="background1" w:themeFillShade="D9"/>
          </w:tcPr>
          <w:p w:rsidR="00AD7FD8" w:rsidRPr="00990D3B" w:rsidP="00BD1FC3" w14:paraId="6000C5C7" w14:textId="77777777">
            <w:pPr>
              <w:pStyle w:val="EQRTableText"/>
            </w:pPr>
          </w:p>
        </w:tc>
        <w:tc>
          <w:tcPr>
            <w:tcW w:w="5485" w:type="dxa"/>
          </w:tcPr>
          <w:p w:rsidR="00AD7FD8" w:rsidRPr="00990D3B" w:rsidP="00BD1FC3" w14:paraId="18B0417B" w14:textId="77777777">
            <w:pPr>
              <w:pStyle w:val="EQRTableText"/>
            </w:pPr>
          </w:p>
        </w:tc>
      </w:tr>
      <w:tr w14:paraId="47CFDCBC" w14:textId="77777777" w:rsidTr="00A11C1E">
        <w:tblPrEx>
          <w:tblW w:w="5000" w:type="pct"/>
          <w:tblLayout w:type="fixed"/>
          <w:tblLook w:val="04A0"/>
        </w:tblPrEx>
        <w:trPr>
          <w:cantSplit/>
        </w:trPr>
        <w:tc>
          <w:tcPr>
            <w:tcW w:w="4675" w:type="dxa"/>
          </w:tcPr>
          <w:p w:rsidR="00AD7FD8" w:rsidRPr="00990D3B" w:rsidP="00BD1FC3" w14:paraId="17A8A43B" w14:textId="77777777">
            <w:pPr>
              <w:pStyle w:val="EQRTableText"/>
            </w:pPr>
            <w:r w:rsidRPr="00990D3B">
              <w:t xml:space="preserve">Please note any recommendations for improving the results to calculate this indicator.  </w:t>
            </w:r>
          </w:p>
        </w:tc>
        <w:tc>
          <w:tcPr>
            <w:tcW w:w="900" w:type="dxa"/>
            <w:shd w:val="clear" w:color="auto" w:fill="D9D9D9" w:themeFill="background1" w:themeFillShade="D9"/>
          </w:tcPr>
          <w:p w:rsidR="00AD7FD8" w:rsidRPr="00990D3B" w:rsidP="00BD1FC3" w14:paraId="3BB12906" w14:textId="77777777">
            <w:pPr>
              <w:pStyle w:val="EQRTableText"/>
            </w:pPr>
          </w:p>
        </w:tc>
        <w:tc>
          <w:tcPr>
            <w:tcW w:w="810" w:type="dxa"/>
            <w:shd w:val="clear" w:color="auto" w:fill="D9D9D9" w:themeFill="background1" w:themeFillShade="D9"/>
          </w:tcPr>
          <w:p w:rsidR="00AD7FD8" w:rsidRPr="00990D3B" w:rsidP="00BD1FC3" w14:paraId="167FB0DC" w14:textId="77777777">
            <w:pPr>
              <w:pStyle w:val="EQRTableText"/>
            </w:pPr>
          </w:p>
        </w:tc>
        <w:tc>
          <w:tcPr>
            <w:tcW w:w="1080" w:type="dxa"/>
            <w:shd w:val="clear" w:color="auto" w:fill="D9D9D9" w:themeFill="background1" w:themeFillShade="D9"/>
          </w:tcPr>
          <w:p w:rsidR="00AD7FD8" w:rsidRPr="00990D3B" w:rsidP="00BD1FC3" w14:paraId="3BB0AE0E" w14:textId="77777777">
            <w:pPr>
              <w:pStyle w:val="EQRTableText"/>
            </w:pPr>
          </w:p>
        </w:tc>
        <w:tc>
          <w:tcPr>
            <w:tcW w:w="5485" w:type="dxa"/>
          </w:tcPr>
          <w:p w:rsidR="00AD7FD8" w:rsidRPr="00990D3B" w:rsidP="00BD1FC3" w14:paraId="04122987" w14:textId="77777777">
            <w:pPr>
              <w:pStyle w:val="EQRTableText"/>
            </w:pPr>
          </w:p>
        </w:tc>
      </w:tr>
    </w:tbl>
    <w:p w:rsidR="00A11C1E" w:rsidRPr="00990D3B" w:rsidP="00A11C1E" w14:paraId="2A691651" w14:textId="77777777">
      <w:pPr>
        <w:pStyle w:val="EQRNormalSSWORKSHEET"/>
        <w:rPr>
          <w:b/>
          <w:bCs/>
        </w:rPr>
      </w:pPr>
    </w:p>
    <w:p w:rsidR="00A11C1E" w:rsidRPr="00990D3B" w14:paraId="734B5EF4" w14:textId="77777777">
      <w:pPr>
        <w:spacing w:line="240" w:lineRule="auto"/>
        <w:rPr>
          <w:rFonts w:ascii="Arial" w:eastAsia="Calibri" w:hAnsi="Arial"/>
          <w:b/>
          <w:bCs/>
          <w:sz w:val="18"/>
          <w:szCs w:val="18"/>
        </w:rPr>
      </w:pPr>
      <w:r w:rsidRPr="00990D3B">
        <w:rPr>
          <w:b/>
          <w:bCs/>
        </w:rPr>
        <w:br w:type="page"/>
      </w:r>
    </w:p>
    <w:p w:rsidR="00AD7FD8" w:rsidRPr="00990D3B" w:rsidP="00A11C1E" w14:paraId="0C53F716" w14:textId="1C89F366">
      <w:pPr>
        <w:pStyle w:val="EQRNormalSSWORKSHEET"/>
        <w:rPr>
          <w:b/>
          <w:bCs/>
        </w:rPr>
      </w:pPr>
      <w:r w:rsidRPr="00990D3B">
        <w:rPr>
          <w:b/>
          <w:bCs/>
        </w:rPr>
        <w:t xml:space="preserve">Calculate </w:t>
      </w:r>
      <w:r w:rsidRPr="00990D3B" w:rsidR="00A66118">
        <w:rPr>
          <w:b/>
          <w:bCs/>
        </w:rPr>
        <w:t>V</w:t>
      </w:r>
      <w:r w:rsidRPr="00990D3B">
        <w:rPr>
          <w:b/>
          <w:bCs/>
        </w:rPr>
        <w:t xml:space="preserve">alidation </w:t>
      </w:r>
      <w:r w:rsidRPr="00990D3B" w:rsidR="00A66118">
        <w:rPr>
          <w:b/>
          <w:bCs/>
        </w:rPr>
        <w:t>S</w:t>
      </w:r>
      <w:r w:rsidRPr="00990D3B">
        <w:rPr>
          <w:b/>
          <w:bCs/>
        </w:rPr>
        <w:t>core</w:t>
      </w:r>
    </w:p>
    <w:tbl>
      <w:tblPr>
        <w:tblStyle w:val="TableGrid"/>
        <w:tblW w:w="0" w:type="auto"/>
        <w:tblLook w:val="04A0"/>
      </w:tblPr>
      <w:tblGrid>
        <w:gridCol w:w="4495"/>
        <w:gridCol w:w="1350"/>
      </w:tblGrid>
      <w:tr w14:paraId="3981FBAB" w14:textId="77777777" w:rsidTr="000F67F7">
        <w:tblPrEx>
          <w:tblW w:w="0" w:type="auto"/>
          <w:tblLook w:val="04A0"/>
        </w:tblPrEx>
        <w:tc>
          <w:tcPr>
            <w:tcW w:w="4495" w:type="dxa"/>
          </w:tcPr>
          <w:p w:rsidR="00AD7FD8" w:rsidRPr="00990D3B" w:rsidP="00BD1FC3" w14:paraId="0C3AB1DB" w14:textId="77777777">
            <w:pPr>
              <w:pStyle w:val="EQRTableText"/>
            </w:pPr>
            <w:r w:rsidRPr="00990D3B">
              <w:t>A. Total number of “Yes” responses</w:t>
            </w:r>
          </w:p>
        </w:tc>
        <w:tc>
          <w:tcPr>
            <w:tcW w:w="1350" w:type="dxa"/>
          </w:tcPr>
          <w:p w:rsidR="00AD7FD8" w:rsidRPr="00990D3B" w:rsidP="00BD1FC3" w14:paraId="42C5CE23" w14:textId="77777777">
            <w:pPr>
              <w:pStyle w:val="EQRTableText"/>
              <w:rPr>
                <w:b/>
                <w:bCs/>
              </w:rPr>
            </w:pPr>
          </w:p>
        </w:tc>
      </w:tr>
      <w:tr w14:paraId="004AA7DD" w14:textId="77777777" w:rsidTr="000F67F7">
        <w:tblPrEx>
          <w:tblW w:w="0" w:type="auto"/>
          <w:tblLook w:val="04A0"/>
        </w:tblPrEx>
        <w:tc>
          <w:tcPr>
            <w:tcW w:w="4495" w:type="dxa"/>
          </w:tcPr>
          <w:p w:rsidR="00AD7FD8" w:rsidRPr="00990D3B" w:rsidP="00BD1FC3" w14:paraId="4AA098A0" w14:textId="77777777">
            <w:pPr>
              <w:pStyle w:val="EQRTableText"/>
            </w:pPr>
            <w:r w:rsidRPr="00990D3B">
              <w:t>B. Total number of “No” responses</w:t>
            </w:r>
          </w:p>
        </w:tc>
        <w:tc>
          <w:tcPr>
            <w:tcW w:w="1350" w:type="dxa"/>
          </w:tcPr>
          <w:p w:rsidR="00AD7FD8" w:rsidRPr="00990D3B" w:rsidP="00BD1FC3" w14:paraId="0E0C133C" w14:textId="77777777">
            <w:pPr>
              <w:pStyle w:val="EQRTableText"/>
              <w:rPr>
                <w:b/>
                <w:bCs/>
              </w:rPr>
            </w:pPr>
          </w:p>
        </w:tc>
      </w:tr>
      <w:tr w14:paraId="164C1D88" w14:textId="77777777" w:rsidTr="000F67F7">
        <w:tblPrEx>
          <w:tblW w:w="0" w:type="auto"/>
          <w:tblLook w:val="04A0"/>
        </w:tblPrEx>
        <w:tc>
          <w:tcPr>
            <w:tcW w:w="4495" w:type="dxa"/>
          </w:tcPr>
          <w:p w:rsidR="00AD7FD8" w:rsidRPr="00990D3B" w:rsidP="00BD1FC3" w14:paraId="4B166C34" w14:textId="77777777">
            <w:pPr>
              <w:pStyle w:val="EQRTableText"/>
            </w:pPr>
            <w:r w:rsidRPr="00990D3B">
              <w:t xml:space="preserve">Score = A / (A + B) x 100 </w:t>
            </w:r>
          </w:p>
        </w:tc>
        <w:tc>
          <w:tcPr>
            <w:tcW w:w="1350" w:type="dxa"/>
          </w:tcPr>
          <w:p w:rsidR="00AD7FD8" w:rsidRPr="00990D3B" w:rsidP="00BD1FC3" w14:paraId="3641D318" w14:textId="77777777">
            <w:pPr>
              <w:pStyle w:val="EQRTableText"/>
              <w:rPr>
                <w:b/>
                <w:bCs/>
              </w:rPr>
            </w:pPr>
          </w:p>
        </w:tc>
      </w:tr>
    </w:tbl>
    <w:p w:rsidR="00AD7FD8" w:rsidRPr="00990D3B" w:rsidP="00A11C1E" w14:paraId="0115ADC5" w14:textId="3FD04618">
      <w:pPr>
        <w:pStyle w:val="EQRNormalSSWORKSHEET"/>
      </w:pPr>
      <w:r w:rsidRPr="00990D3B">
        <w:rPr>
          <w:b/>
          <w:bCs/>
        </w:rPr>
        <w:t>Determine</w:t>
      </w:r>
      <w:r w:rsidRPr="00990D3B">
        <w:t xml:space="preserve"> </w:t>
      </w:r>
      <w:r w:rsidRPr="00990D3B" w:rsidR="00F42B4B">
        <w:t>V</w:t>
      </w:r>
      <w:r w:rsidRPr="00990D3B">
        <w:t xml:space="preserve">alidation </w:t>
      </w:r>
      <w:r w:rsidRPr="00990D3B" w:rsidR="00F42B4B">
        <w:t>Ra</w:t>
      </w:r>
      <w:r w:rsidRPr="00990D3B">
        <w:t>ting</w:t>
      </w:r>
    </w:p>
    <w:p w:rsidR="00AD7FD8" w:rsidRPr="00990D3B" w:rsidP="00A11C1E" w14:paraId="37B81D5B" w14:textId="77777777">
      <w:pPr>
        <w:pStyle w:val="EQRNormalSSWORKSHEET"/>
        <w:rPr>
          <w:b/>
          <w:bCs/>
        </w:rPr>
      </w:pPr>
      <w:r w:rsidRPr="00990D3B">
        <w:t>The “validation rating” refers to the EQRO’s overall confidence that acceptable methodology was used for all phases of design, data collection, analysis, and interpretation of the network adequacy indicator.</w:t>
      </w:r>
    </w:p>
    <w:tbl>
      <w:tblPr>
        <w:tblStyle w:val="TableGrid"/>
        <w:tblW w:w="0" w:type="auto"/>
        <w:tblLook w:val="04A0"/>
      </w:tblPr>
      <w:tblGrid>
        <w:gridCol w:w="2697"/>
        <w:gridCol w:w="2878"/>
      </w:tblGrid>
      <w:tr w14:paraId="11AA48A6" w14:textId="77777777" w:rsidTr="000F67F7">
        <w:tblPrEx>
          <w:tblW w:w="0" w:type="auto"/>
          <w:tblLook w:val="04A0"/>
        </w:tblPrEx>
        <w:tc>
          <w:tcPr>
            <w:tcW w:w="2697" w:type="dxa"/>
            <w:shd w:val="clear" w:color="auto" w:fill="D9D9D9" w:themeFill="background1" w:themeFillShade="D9"/>
          </w:tcPr>
          <w:p w:rsidR="00AD7FD8" w:rsidRPr="00990D3B" w:rsidP="00BD1FC3" w14:paraId="2D4B0E24" w14:textId="26CBCD95">
            <w:pPr>
              <w:pStyle w:val="EQRTableHeaderCenter"/>
              <w:keepNext/>
              <w:jc w:val="left"/>
              <w:rPr>
                <w:color w:val="000000" w:themeColor="text1"/>
              </w:rPr>
            </w:pPr>
            <w:r w:rsidRPr="00990D3B">
              <w:rPr>
                <w:color w:val="000000" w:themeColor="text1"/>
              </w:rPr>
              <w:t xml:space="preserve">Validation </w:t>
            </w:r>
            <w:r w:rsidRPr="00990D3B" w:rsidR="00F42B4B">
              <w:rPr>
                <w:color w:val="000000" w:themeColor="text1"/>
              </w:rPr>
              <w:t>s</w:t>
            </w:r>
            <w:r w:rsidRPr="00990D3B">
              <w:rPr>
                <w:color w:val="000000" w:themeColor="text1"/>
              </w:rPr>
              <w:t>core</w:t>
            </w:r>
          </w:p>
        </w:tc>
        <w:tc>
          <w:tcPr>
            <w:tcW w:w="2878" w:type="dxa"/>
            <w:shd w:val="clear" w:color="auto" w:fill="D9D9D9" w:themeFill="background1" w:themeFillShade="D9"/>
          </w:tcPr>
          <w:p w:rsidR="00AD7FD8" w:rsidRPr="00990D3B" w:rsidP="00BD1FC3" w14:paraId="336A5777" w14:textId="33DF6D54">
            <w:pPr>
              <w:pStyle w:val="EQRTableHeaderCenter"/>
              <w:keepNext/>
              <w:jc w:val="left"/>
              <w:rPr>
                <w:color w:val="000000" w:themeColor="text1"/>
              </w:rPr>
            </w:pPr>
            <w:r w:rsidRPr="00990D3B">
              <w:rPr>
                <w:color w:val="000000" w:themeColor="text1"/>
              </w:rPr>
              <w:t xml:space="preserve">Validation </w:t>
            </w:r>
            <w:r w:rsidRPr="00990D3B" w:rsidR="00F42B4B">
              <w:rPr>
                <w:color w:val="000000" w:themeColor="text1"/>
              </w:rPr>
              <w:t>r</w:t>
            </w:r>
            <w:r w:rsidRPr="00990D3B">
              <w:rPr>
                <w:color w:val="000000" w:themeColor="text1"/>
              </w:rPr>
              <w:t>ating</w:t>
            </w:r>
          </w:p>
        </w:tc>
      </w:tr>
      <w:tr w14:paraId="5E8ACA19" w14:textId="77777777" w:rsidTr="000F67F7">
        <w:tblPrEx>
          <w:tblW w:w="0" w:type="auto"/>
          <w:tblLook w:val="04A0"/>
        </w:tblPrEx>
        <w:tc>
          <w:tcPr>
            <w:tcW w:w="2697" w:type="dxa"/>
          </w:tcPr>
          <w:p w:rsidR="00AD7FD8" w:rsidRPr="00990D3B" w:rsidP="00BD1FC3" w14:paraId="4CB1C8AB" w14:textId="77777777">
            <w:pPr>
              <w:pStyle w:val="EQRTableText"/>
            </w:pPr>
            <w:r w:rsidRPr="00990D3B">
              <w:t>90.0% or greater</w:t>
            </w:r>
          </w:p>
        </w:tc>
        <w:tc>
          <w:tcPr>
            <w:tcW w:w="2878" w:type="dxa"/>
          </w:tcPr>
          <w:p w:rsidR="00AD7FD8" w:rsidRPr="00990D3B" w:rsidP="00BD1FC3" w14:paraId="5B6C2315" w14:textId="77777777">
            <w:pPr>
              <w:pStyle w:val="EQRTableText"/>
            </w:pPr>
            <w:r w:rsidRPr="00990D3B">
              <w:t>High confidence</w:t>
            </w:r>
          </w:p>
        </w:tc>
      </w:tr>
      <w:tr w14:paraId="7272A111" w14:textId="77777777" w:rsidTr="000F67F7">
        <w:tblPrEx>
          <w:tblW w:w="0" w:type="auto"/>
          <w:tblLook w:val="04A0"/>
        </w:tblPrEx>
        <w:tc>
          <w:tcPr>
            <w:tcW w:w="2697" w:type="dxa"/>
          </w:tcPr>
          <w:p w:rsidR="00AD7FD8" w:rsidRPr="00990D3B" w:rsidP="00BD1FC3" w14:paraId="0D780963" w14:textId="77777777">
            <w:pPr>
              <w:pStyle w:val="EQRTableText"/>
            </w:pPr>
            <w:r w:rsidRPr="00990D3B">
              <w:t>51.0% to 89.9%</w:t>
            </w:r>
          </w:p>
        </w:tc>
        <w:tc>
          <w:tcPr>
            <w:tcW w:w="2878" w:type="dxa"/>
          </w:tcPr>
          <w:p w:rsidR="00AD7FD8" w:rsidRPr="00990D3B" w:rsidP="00BD1FC3" w14:paraId="510CC872" w14:textId="77777777">
            <w:pPr>
              <w:pStyle w:val="EQRTableText"/>
            </w:pPr>
            <w:r w:rsidRPr="00990D3B">
              <w:t>Moderate confidence</w:t>
            </w:r>
          </w:p>
        </w:tc>
      </w:tr>
      <w:tr w14:paraId="7F37E24D" w14:textId="77777777" w:rsidTr="000F67F7">
        <w:tblPrEx>
          <w:tblW w:w="0" w:type="auto"/>
          <w:tblLook w:val="04A0"/>
        </w:tblPrEx>
        <w:tc>
          <w:tcPr>
            <w:tcW w:w="2697" w:type="dxa"/>
          </w:tcPr>
          <w:p w:rsidR="00AD7FD8" w:rsidRPr="00990D3B" w:rsidP="00BD1FC3" w14:paraId="3299F958" w14:textId="77777777">
            <w:pPr>
              <w:pStyle w:val="EQRTableText"/>
            </w:pPr>
            <w:r w:rsidRPr="00990D3B">
              <w:t xml:space="preserve">10.0% to 49.9% </w:t>
            </w:r>
          </w:p>
        </w:tc>
        <w:tc>
          <w:tcPr>
            <w:tcW w:w="2878" w:type="dxa"/>
          </w:tcPr>
          <w:p w:rsidR="00AD7FD8" w:rsidRPr="00990D3B" w:rsidP="00BD1FC3" w14:paraId="57FF7BA9" w14:textId="77777777">
            <w:pPr>
              <w:pStyle w:val="EQRTableText"/>
            </w:pPr>
            <w:r w:rsidRPr="00990D3B">
              <w:t>Low confidence</w:t>
            </w:r>
          </w:p>
        </w:tc>
      </w:tr>
      <w:tr w14:paraId="56EFA911" w14:textId="77777777" w:rsidTr="000F67F7">
        <w:tblPrEx>
          <w:tblW w:w="0" w:type="auto"/>
          <w:tblLook w:val="04A0"/>
        </w:tblPrEx>
        <w:tc>
          <w:tcPr>
            <w:tcW w:w="2697" w:type="dxa"/>
          </w:tcPr>
          <w:p w:rsidR="00AD7FD8" w:rsidRPr="00990D3B" w:rsidP="00BD1FC3" w14:paraId="1DF190FF" w14:textId="77777777">
            <w:pPr>
              <w:pStyle w:val="EQRTableText"/>
            </w:pPr>
            <w:r w:rsidRPr="00990D3B">
              <w:t>Less than 10%</w:t>
            </w:r>
          </w:p>
        </w:tc>
        <w:tc>
          <w:tcPr>
            <w:tcW w:w="2878" w:type="dxa"/>
          </w:tcPr>
          <w:p w:rsidR="00AD7FD8" w:rsidRPr="00990D3B" w:rsidP="00BD1FC3" w14:paraId="57544533" w14:textId="77777777">
            <w:pPr>
              <w:pStyle w:val="EQRTableText"/>
            </w:pPr>
            <w:r w:rsidRPr="00990D3B">
              <w:t>No confidence</w:t>
            </w:r>
          </w:p>
        </w:tc>
      </w:tr>
    </w:tbl>
    <w:p w:rsidR="00AD7FD8" w:rsidRPr="00990D3B" w:rsidP="00A11C1E" w14:paraId="2E95EDFD" w14:textId="647D208E">
      <w:pPr>
        <w:pStyle w:val="EQRNormalSSWORKSHEET"/>
        <w:rPr>
          <w:b/>
          <w:bCs/>
        </w:rPr>
      </w:pPr>
      <w:r w:rsidRPr="00990D3B">
        <w:rPr>
          <w:b/>
          <w:bCs/>
        </w:rPr>
        <w:t>Summary</w:t>
      </w:r>
    </w:p>
    <w:tbl>
      <w:tblPr>
        <w:tblStyle w:val="TableGrid"/>
        <w:tblW w:w="0" w:type="auto"/>
        <w:tblLook w:val="04A0"/>
      </w:tblPr>
      <w:tblGrid>
        <w:gridCol w:w="8545"/>
      </w:tblGrid>
      <w:tr w14:paraId="175472F1" w14:textId="77777777" w:rsidTr="000F67F7">
        <w:tblPrEx>
          <w:tblW w:w="0" w:type="auto"/>
          <w:tblLook w:val="04A0"/>
        </w:tblPrEx>
        <w:tc>
          <w:tcPr>
            <w:tcW w:w="8545" w:type="dxa"/>
          </w:tcPr>
          <w:p w:rsidR="00AD7FD8" w:rsidRPr="00990D3B" w:rsidP="00BD1FC3" w14:paraId="48D7BC02" w14:textId="4943E554">
            <w:pPr>
              <w:pStyle w:val="EQRTableHeaderLeft"/>
              <w:rPr>
                <w:color w:val="000000" w:themeColor="text1"/>
              </w:rPr>
            </w:pPr>
            <w:r w:rsidRPr="00990D3B">
              <w:rPr>
                <w:color w:val="000000" w:themeColor="text1"/>
              </w:rPr>
              <w:t>MCP name:</w:t>
            </w:r>
          </w:p>
        </w:tc>
      </w:tr>
      <w:tr w14:paraId="76469F2C" w14:textId="77777777" w:rsidTr="000F67F7">
        <w:tblPrEx>
          <w:tblW w:w="0" w:type="auto"/>
          <w:tblLook w:val="04A0"/>
        </w:tblPrEx>
        <w:tc>
          <w:tcPr>
            <w:tcW w:w="8545" w:type="dxa"/>
          </w:tcPr>
          <w:p w:rsidR="00AD7FD8" w:rsidRPr="00990D3B" w:rsidP="00BD1FC3" w14:paraId="1DCA55B4" w14:textId="77777777">
            <w:pPr>
              <w:pStyle w:val="EQRTableHeaderLeft"/>
              <w:rPr>
                <w:color w:val="000000" w:themeColor="text1"/>
              </w:rPr>
            </w:pPr>
            <w:r w:rsidRPr="00990D3B">
              <w:rPr>
                <w:color w:val="000000" w:themeColor="text1"/>
              </w:rPr>
              <w:t xml:space="preserve">Indicator: </w:t>
            </w:r>
          </w:p>
        </w:tc>
      </w:tr>
      <w:tr w14:paraId="3EAB7E20" w14:textId="77777777" w:rsidTr="000F67F7">
        <w:tblPrEx>
          <w:tblW w:w="0" w:type="auto"/>
          <w:tblLook w:val="04A0"/>
        </w:tblPrEx>
        <w:tc>
          <w:tcPr>
            <w:tcW w:w="8545" w:type="dxa"/>
          </w:tcPr>
          <w:p w:rsidR="00AD7FD8" w:rsidRPr="00990D3B" w:rsidP="00BD1FC3" w14:paraId="0E555173" w14:textId="77777777">
            <w:pPr>
              <w:pStyle w:val="EQRTableText"/>
              <w:rPr>
                <w:b/>
              </w:rPr>
            </w:pPr>
            <w:r w:rsidRPr="00990D3B">
              <w:rPr>
                <w:b/>
              </w:rPr>
              <w:t>Validation rating:</w:t>
            </w:r>
          </w:p>
          <w:p w:rsidR="00AD7FD8" w:rsidRPr="00990D3B" w:rsidP="00A11C1E" w14:paraId="7A2262FE" w14:textId="7B8BB1CA">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High confidence</w:t>
            </w:r>
          </w:p>
          <w:p w:rsidR="00AD7FD8" w:rsidRPr="00990D3B" w:rsidP="00A11C1E" w14:paraId="143CAFA6" w14:textId="73BC12F6">
            <w:pPr>
              <w:pStyle w:val="EQRTableText"/>
            </w:pPr>
            <w:r w:rsidRPr="00990D3B">
              <w:rPr>
                <w:rFonts w:asciiTheme="majorHAnsi" w:hAnsiTheme="majorHAnsi" w:cstheme="majorHAnsi"/>
                <w:szCs w:val="18"/>
              </w:rPr>
              <w:fldChar w:fldCharType="begin">
                <w:ffData>
                  <w:name w:val="Check1"/>
                  <w:enabled/>
                  <w:calcOnExit w:val="0"/>
                  <w:checkBox>
                    <w:sizeAuto/>
                    <w:default w:val="0"/>
                  </w:checkBox>
                </w:ffData>
              </w:fldChar>
            </w:r>
            <w:r w:rsidRPr="00990D3B">
              <w:rPr>
                <w:rFonts w:asciiTheme="majorHAnsi" w:hAnsiTheme="majorHAnsi" w:cstheme="majorHAnsi"/>
                <w:szCs w:val="18"/>
              </w:rPr>
              <w:instrText xml:space="preserve"> FORMCHECKBOX </w:instrText>
            </w:r>
            <w:r w:rsidRPr="00990D3B">
              <w:rPr>
                <w:rFonts w:asciiTheme="majorHAnsi" w:hAnsiTheme="majorHAnsi" w:cstheme="majorHAnsi"/>
                <w:szCs w:val="18"/>
              </w:rPr>
              <w:fldChar w:fldCharType="separate"/>
            </w:r>
            <w:r w:rsidRPr="00990D3B">
              <w:rPr>
                <w:rFonts w:asciiTheme="majorHAnsi" w:hAnsiTheme="majorHAnsi" w:cstheme="majorHAnsi"/>
                <w:szCs w:val="18"/>
              </w:rPr>
              <w:fldChar w:fldCharType="end"/>
            </w:r>
            <w:r w:rsidRPr="00990D3B">
              <w:t>Moderate confidence</w:t>
            </w:r>
          </w:p>
          <w:p w:rsidR="00AD7FD8" w:rsidRPr="00990D3B" w:rsidP="00A11C1E" w14:paraId="772B3311" w14:textId="6A86B315">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Low confidence</w:t>
            </w:r>
          </w:p>
          <w:p w:rsidR="00AD7FD8" w:rsidRPr="00990D3B" w:rsidP="00A11C1E" w14:paraId="4F53031E" w14:textId="2FBD4AB7">
            <w:pPr>
              <w:pStyle w:val="EQRTableText"/>
              <w:rPr>
                <w:b/>
                <w:bCs/>
              </w:rPr>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No confidence</w:t>
            </w:r>
          </w:p>
        </w:tc>
      </w:tr>
      <w:tr w14:paraId="5FC03C46" w14:textId="77777777" w:rsidTr="000F67F7">
        <w:tblPrEx>
          <w:tblW w:w="0" w:type="auto"/>
          <w:tblLook w:val="04A0"/>
        </w:tblPrEx>
        <w:tc>
          <w:tcPr>
            <w:tcW w:w="8545" w:type="dxa"/>
          </w:tcPr>
          <w:p w:rsidR="00AD7FD8" w:rsidRPr="00990D3B" w:rsidP="00BD1FC3" w14:paraId="54125E80" w14:textId="77777777">
            <w:pPr>
              <w:pStyle w:val="EQRTableText"/>
              <w:rPr>
                <w:b/>
                <w:bCs/>
              </w:rPr>
            </w:pPr>
            <w:r w:rsidRPr="00990D3B">
              <w:rPr>
                <w:b/>
                <w:bCs/>
              </w:rPr>
              <w:t>Comments</w:t>
            </w:r>
          </w:p>
        </w:tc>
      </w:tr>
    </w:tbl>
    <w:p w:rsidR="00DF1BB2" w:rsidRPr="00990D3B" w:rsidP="00B5252D" w14:paraId="6CD53938" w14:textId="30F3EC24">
      <w:pPr>
        <w:pStyle w:val="ParagraphContinued"/>
        <w:sectPr w:rsidSect="00015AFA">
          <w:headerReference w:type="even" r:id="rId159"/>
          <w:headerReference w:type="default" r:id="rId160"/>
          <w:headerReference w:type="first" r:id="rId161"/>
          <w:footerReference w:type="first" r:id="rId162"/>
          <w:pgSz w:w="15840" w:h="12240" w:orient="landscape" w:code="1"/>
          <w:pgMar w:top="1440" w:right="1440" w:bottom="1440" w:left="1440" w:header="720" w:footer="720" w:gutter="0"/>
          <w:cols w:space="720"/>
          <w:titlePg/>
          <w:docGrid w:linePitch="360"/>
        </w:sectPr>
      </w:pPr>
    </w:p>
    <w:p w:rsidR="00AD7FD8" w:rsidRPr="00990D3B" w:rsidP="00BD1FC3" w14:paraId="4B0119D8" w14:textId="77777777">
      <w:pPr>
        <w:pStyle w:val="EQRMarkforExhibitWORKSHEET"/>
      </w:pPr>
      <w:bookmarkStart w:id="542" w:name="WS47"/>
      <w:bookmarkStart w:id="543" w:name="_Toc125619169"/>
      <w:bookmarkStart w:id="544" w:name="_Toc201751531"/>
      <w:bookmarkEnd w:id="542"/>
      <w:r w:rsidRPr="00990D3B">
        <w:t>Worksheet 4.7. Summary of Network Adequacy Validation Findings</w:t>
      </w:r>
      <w:bookmarkEnd w:id="543"/>
      <w:bookmarkEnd w:id="544"/>
      <w:r w:rsidRPr="00990D3B">
        <w:t xml:space="preserve"> </w:t>
      </w:r>
    </w:p>
    <w:p w:rsidR="004931B6" w:rsidRPr="00990D3B" w:rsidP="00BD1FC3" w14:paraId="0C66F388" w14:textId="77777777">
      <w:pPr>
        <w:pStyle w:val="EQRNormalSSWORKSHEET"/>
      </w:pPr>
      <w:r w:rsidRPr="00990D3B">
        <w:rPr>
          <w:b/>
          <w:bCs/>
        </w:rPr>
        <w:t>Instructions</w:t>
      </w:r>
      <w:r w:rsidRPr="00990D3B">
        <w:rPr>
          <w:b/>
          <w:bCs/>
        </w:rPr>
        <w:t xml:space="preserve">. </w:t>
      </w:r>
      <w:r w:rsidRPr="00990D3B">
        <w:t xml:space="preserve">Fill in the first column of the table below with the network adequacy indicators identified in </w:t>
      </w:r>
      <w:hyperlink w:anchor="P4Act1Step2" w:tooltip="Activity 1, Step 2" w:history="1">
        <w:r w:rsidRPr="00990D3B">
          <w:rPr>
            <w:rStyle w:val="Hyperlink"/>
          </w:rPr>
          <w:t>Activity 1, Step 2</w:t>
        </w:r>
      </w:hyperlink>
      <w:r w:rsidRPr="00990D3B">
        <w:t xml:space="preserve"> (</w:t>
      </w:r>
      <w:hyperlink w:anchor="WS42" w:tooltip="Worksheet 4.2" w:history="1">
        <w:r w:rsidRPr="00990D3B">
          <w:rPr>
            <w:rStyle w:val="Hyperlink"/>
          </w:rPr>
          <w:t>Worksheet 4.2</w:t>
        </w:r>
      </w:hyperlink>
      <w:r w:rsidRPr="00990D3B">
        <w:t xml:space="preserve">). Next, note whether the MCP addressed the network adequacy indicator in its network adequacy assessment activities. For indicators addressed by the MCP, provide the validation rating generated in </w:t>
      </w:r>
      <w:hyperlink w:anchor="P4Act4Step3" w:tooltip="Activity 4, Step 3" w:history="1">
        <w:r w:rsidRPr="00990D3B">
          <w:rPr>
            <w:rStyle w:val="Hyperlink"/>
          </w:rPr>
          <w:t>Activity 4, Step 3</w:t>
        </w:r>
      </w:hyperlink>
      <w:r w:rsidRPr="00990D3B">
        <w:t xml:space="preserve"> (</w:t>
      </w:r>
      <w:hyperlink w:anchor="WS46" w:tooltip="Worksheet 4.6" w:history="1">
        <w:r w:rsidRPr="00990D3B">
          <w:rPr>
            <w:rStyle w:val="Hyperlink"/>
          </w:rPr>
          <w:t>Worksheet 4.6</w:t>
        </w:r>
      </w:hyperlink>
      <w:r w:rsidRPr="00990D3B">
        <w:t>), noting if any indicators could not be validated due to missing data or other issues. Provide any additional context needed in the “comments” field. Complete one worksheet for each MCP and add rows as needed to include all network adequacy indicators.</w:t>
      </w:r>
    </w:p>
    <w:p w:rsidR="00AD7FD8" w:rsidRPr="00990D3B" w:rsidP="00BD1FC3" w14:paraId="04496118" w14:textId="4DC7FDF8">
      <w:pPr>
        <w:pStyle w:val="EQRNormalSSWORKSHEET"/>
      </w:pPr>
      <w:r w:rsidRPr="00990D3B">
        <w:t>Definitions for this worksheet include:</w:t>
      </w:r>
    </w:p>
    <w:p w:rsidR="00AD7FD8" w:rsidRPr="00990D3B" w:rsidP="00A11C1E" w14:paraId="0E1E7F3B" w14:textId="1809DE25">
      <w:pPr>
        <w:pStyle w:val="EQRNormalSSWSbullet"/>
      </w:pPr>
      <w:r w:rsidRPr="00990D3B">
        <w:rPr>
          <w:b/>
          <w:bCs/>
        </w:rPr>
        <w:t>Network adequacy indicator</w:t>
      </w:r>
      <w:r w:rsidRPr="00990D3B" w:rsidR="004931B6">
        <w:t xml:space="preserve">. </w:t>
      </w:r>
      <w:r w:rsidRPr="00990D3B">
        <w:t>The metric(s) used to assess adherence to the quantitative network adequacy standard required by the state. For example, the network adequacy indicator may be the proportion of</w:t>
      </w:r>
      <w:r w:rsidRPr="00990D3B">
        <w:t xml:space="preserve"> </w:t>
      </w:r>
      <w:r w:rsidRPr="00990D3B">
        <w:t xml:space="preserve">enrollees who have access to a primary care provider within 30 miles or 30 minutes from their home, or provider-to-enrollee ratio. The table below should include all network adequacy indicators identified in </w:t>
      </w:r>
      <w:hyperlink w:anchor="P4Act1Step2" w:tooltip="Activity 1, Step 2" w:history="1">
        <w:r w:rsidRPr="00990D3B">
          <w:rPr>
            <w:rStyle w:val="Hyperlink"/>
          </w:rPr>
          <w:t>Activity 1, Step 2</w:t>
        </w:r>
      </w:hyperlink>
      <w:r w:rsidRPr="00990D3B">
        <w:t xml:space="preserve"> (</w:t>
      </w:r>
      <w:hyperlink w:anchor="WS42" w:tooltip="Worksheet 4.2" w:history="1">
        <w:r w:rsidRPr="00990D3B">
          <w:rPr>
            <w:rStyle w:val="Hyperlink"/>
          </w:rPr>
          <w:t>Worksheet</w:t>
        </w:r>
        <w:r w:rsidRPr="00990D3B" w:rsidR="00A11C1E">
          <w:rPr>
            <w:rStyle w:val="Hyperlink"/>
          </w:rPr>
          <w:t> </w:t>
        </w:r>
        <w:r w:rsidRPr="00990D3B">
          <w:rPr>
            <w:rStyle w:val="Hyperlink"/>
          </w:rPr>
          <w:t>4.2</w:t>
        </w:r>
      </w:hyperlink>
      <w:r w:rsidRPr="00990D3B">
        <w:t>).</w:t>
      </w:r>
    </w:p>
    <w:p w:rsidR="00AD7FD8" w:rsidRPr="00990D3B" w:rsidP="00A11C1E" w14:paraId="4303C609" w14:textId="5B048B69">
      <w:pPr>
        <w:pStyle w:val="EQRNormalSSWSbullet"/>
      </w:pPr>
      <w:r w:rsidRPr="00990D3B">
        <w:rPr>
          <w:b/>
          <w:bCs/>
        </w:rPr>
        <w:t>Validation rating</w:t>
      </w:r>
      <w:r w:rsidRPr="00990D3B" w:rsidR="004931B6">
        <w:rPr>
          <w:b/>
          <w:bCs/>
        </w:rPr>
        <w:t xml:space="preserve">. </w:t>
      </w:r>
      <w:r w:rsidRPr="00990D3B">
        <w:t xml:space="preserve">The rating, calculated in </w:t>
      </w:r>
      <w:hyperlink w:anchor="P4Act4Step3" w:tooltip="Activity 4, Step 3" w:history="1">
        <w:r w:rsidRPr="00990D3B">
          <w:rPr>
            <w:rStyle w:val="Hyperlink"/>
          </w:rPr>
          <w:t>Activity 4, Step 3</w:t>
        </w:r>
      </w:hyperlink>
      <w:r w:rsidRPr="00990D3B">
        <w:t xml:space="preserve"> (</w:t>
      </w:r>
      <w:hyperlink w:anchor="WS46" w:tooltip="Worksheet 4.6" w:history="1">
        <w:r w:rsidRPr="00990D3B">
          <w:rPr>
            <w:rStyle w:val="Hyperlink"/>
          </w:rPr>
          <w:t>Worksheet 4.6</w:t>
        </w:r>
      </w:hyperlink>
      <w:r w:rsidRPr="00990D3B">
        <w:t xml:space="preserve">) that refers to the overall confidence that acceptable methodology was used for all phases of design, data collection, data analysis, and interpretation of network adequacy monitoring activities. </w:t>
      </w:r>
    </w:p>
    <w:p w:rsidR="00881C1F" w:rsidRPr="00990D3B" w:rsidP="00BD1FC3" w14:paraId="2BE5E3E9" w14:textId="7DC70985">
      <w:pPr>
        <w:pStyle w:val="EQRNormalSSWSbullet"/>
        <w:numPr>
          <w:ilvl w:val="0"/>
          <w:numId w:val="0"/>
        </w:numPr>
      </w:pPr>
      <w:r w:rsidRPr="00990D3B">
        <w:t>Acronyms: EQRO = External Quality Review Organization; MCP= Managed Care Plan.</w:t>
      </w:r>
    </w:p>
    <w:p w:rsidR="00AD7FD8" w:rsidRPr="00990D3B" w:rsidP="00BD1FC3" w14:paraId="02D12BAD" w14:textId="57C53B03">
      <w:pPr>
        <w:pStyle w:val="EQRNormalSSWORKSHEET"/>
      </w:pPr>
      <w:r w:rsidRPr="00990D3B">
        <w:rPr>
          <w:b/>
          <w:bCs/>
        </w:rPr>
        <w:t>MCP name</w:t>
      </w:r>
      <w:r w:rsidRPr="00990D3B">
        <w:t>: ________________________________</w:t>
      </w:r>
    </w:p>
    <w:tbl>
      <w:tblPr>
        <w:tblStyle w:val="TableGrid"/>
        <w:tblW w:w="5000" w:type="pct"/>
        <w:tblLayout w:type="fixed"/>
        <w:tblLook w:val="04A0"/>
      </w:tblPr>
      <w:tblGrid>
        <w:gridCol w:w="2605"/>
        <w:gridCol w:w="2250"/>
        <w:gridCol w:w="2250"/>
        <w:gridCol w:w="2245"/>
      </w:tblGrid>
      <w:tr w14:paraId="4914022B" w14:textId="77777777" w:rsidTr="00010966">
        <w:tblPrEx>
          <w:tblW w:w="5000" w:type="pct"/>
          <w:tblLayout w:type="fixed"/>
          <w:tblLook w:val="04A0"/>
        </w:tblPrEx>
        <w:trPr>
          <w:cantSplit/>
          <w:tblHeader/>
        </w:trPr>
        <w:tc>
          <w:tcPr>
            <w:tcW w:w="2605" w:type="dxa"/>
            <w:vAlign w:val="bottom"/>
          </w:tcPr>
          <w:p w:rsidR="00AD7FD8" w:rsidRPr="00990D3B" w:rsidP="00A11C1E" w14:paraId="2D854E9C" w14:textId="1D2FED50">
            <w:pPr>
              <w:pStyle w:val="EQRTableHeaderLeft"/>
              <w:rPr>
                <w:color w:val="auto"/>
              </w:rPr>
            </w:pPr>
            <w:r w:rsidRPr="00990D3B">
              <w:rPr>
                <w:color w:val="auto"/>
              </w:rPr>
              <w:t xml:space="preserve">Network </w:t>
            </w:r>
            <w:r w:rsidRPr="00990D3B" w:rsidR="004931B6">
              <w:rPr>
                <w:color w:val="auto"/>
              </w:rPr>
              <w:t>a</w:t>
            </w:r>
            <w:r w:rsidRPr="00990D3B">
              <w:rPr>
                <w:color w:val="auto"/>
              </w:rPr>
              <w:t xml:space="preserve">dequacy </w:t>
            </w:r>
            <w:r w:rsidRPr="00990D3B" w:rsidR="004931B6">
              <w:rPr>
                <w:color w:val="auto"/>
              </w:rPr>
              <w:t>i</w:t>
            </w:r>
            <w:r w:rsidRPr="00990D3B">
              <w:rPr>
                <w:color w:val="auto"/>
              </w:rPr>
              <w:t>ndicator</w:t>
            </w:r>
          </w:p>
        </w:tc>
        <w:tc>
          <w:tcPr>
            <w:tcW w:w="2250" w:type="dxa"/>
            <w:vAlign w:val="bottom"/>
          </w:tcPr>
          <w:p w:rsidR="00AD7FD8" w:rsidRPr="00990D3B" w:rsidP="00A11C1E" w14:paraId="6E258A71" w14:textId="14D3F9C0">
            <w:pPr>
              <w:pStyle w:val="EQRTableHeaderCenter"/>
              <w:rPr>
                <w:color w:val="auto"/>
              </w:rPr>
            </w:pPr>
            <w:r w:rsidRPr="00990D3B">
              <w:rPr>
                <w:color w:val="auto"/>
              </w:rPr>
              <w:t xml:space="preserve">Did the MCP </w:t>
            </w:r>
            <w:r w:rsidRPr="00990D3B" w:rsidR="004931B6">
              <w:rPr>
                <w:color w:val="auto"/>
              </w:rPr>
              <w:t>a</w:t>
            </w:r>
            <w:r w:rsidRPr="00990D3B">
              <w:rPr>
                <w:color w:val="auto"/>
              </w:rPr>
              <w:t xml:space="preserve">ddress </w:t>
            </w:r>
            <w:r w:rsidRPr="00990D3B" w:rsidR="004931B6">
              <w:rPr>
                <w:color w:val="auto"/>
              </w:rPr>
              <w:t>t</w:t>
            </w:r>
            <w:r w:rsidRPr="00990D3B">
              <w:rPr>
                <w:color w:val="auto"/>
              </w:rPr>
              <w:t xml:space="preserve">his </w:t>
            </w:r>
            <w:r w:rsidRPr="00990D3B" w:rsidR="00881C1F">
              <w:rPr>
                <w:color w:val="auto"/>
              </w:rPr>
              <w:t>I</w:t>
            </w:r>
            <w:r w:rsidRPr="00990D3B">
              <w:rPr>
                <w:color w:val="auto"/>
              </w:rPr>
              <w:t xml:space="preserve">ndicator in its </w:t>
            </w:r>
            <w:r w:rsidRPr="00990D3B" w:rsidR="004931B6">
              <w:rPr>
                <w:color w:val="auto"/>
              </w:rPr>
              <w:t>n</w:t>
            </w:r>
            <w:r w:rsidRPr="00990D3B">
              <w:rPr>
                <w:color w:val="auto"/>
              </w:rPr>
              <w:t xml:space="preserve">etwork </w:t>
            </w:r>
            <w:r w:rsidRPr="00990D3B" w:rsidR="004931B6">
              <w:rPr>
                <w:color w:val="auto"/>
              </w:rPr>
              <w:t>a</w:t>
            </w:r>
            <w:r w:rsidRPr="00990D3B">
              <w:rPr>
                <w:color w:val="auto"/>
              </w:rPr>
              <w:t xml:space="preserve">dequacy </w:t>
            </w:r>
            <w:r w:rsidRPr="00990D3B" w:rsidR="004931B6">
              <w:rPr>
                <w:color w:val="auto"/>
              </w:rPr>
              <w:t>m</w:t>
            </w:r>
            <w:r w:rsidRPr="00990D3B">
              <w:rPr>
                <w:color w:val="auto"/>
              </w:rPr>
              <w:t xml:space="preserve">onitoring </w:t>
            </w:r>
            <w:r w:rsidRPr="00990D3B" w:rsidR="004931B6">
              <w:rPr>
                <w:color w:val="auto"/>
              </w:rPr>
              <w:t>a</w:t>
            </w:r>
            <w:r w:rsidRPr="00990D3B">
              <w:rPr>
                <w:color w:val="auto"/>
              </w:rPr>
              <w:t>ctivities?</w:t>
            </w:r>
          </w:p>
        </w:tc>
        <w:tc>
          <w:tcPr>
            <w:tcW w:w="2250" w:type="dxa"/>
            <w:vAlign w:val="bottom"/>
          </w:tcPr>
          <w:p w:rsidR="00AD7FD8" w:rsidRPr="00990D3B" w:rsidP="00A11C1E" w14:paraId="313D04BE" w14:textId="4DE521C7">
            <w:pPr>
              <w:pStyle w:val="EQRTableHeaderCenter"/>
              <w:rPr>
                <w:color w:val="auto"/>
              </w:rPr>
            </w:pPr>
            <w:r w:rsidRPr="00990D3B">
              <w:rPr>
                <w:color w:val="auto"/>
              </w:rPr>
              <w:t xml:space="preserve">Validation </w:t>
            </w:r>
            <w:r w:rsidRPr="00990D3B" w:rsidR="004931B6">
              <w:rPr>
                <w:color w:val="auto"/>
              </w:rPr>
              <w:t>r</w:t>
            </w:r>
            <w:r w:rsidRPr="00990D3B">
              <w:rPr>
                <w:color w:val="auto"/>
              </w:rPr>
              <w:t>ating</w:t>
            </w:r>
          </w:p>
        </w:tc>
        <w:tc>
          <w:tcPr>
            <w:tcW w:w="2245" w:type="dxa"/>
            <w:vAlign w:val="bottom"/>
          </w:tcPr>
          <w:p w:rsidR="00AD7FD8" w:rsidRPr="00990D3B" w:rsidP="00A11C1E" w14:paraId="0CEBB1E3" w14:textId="77777777">
            <w:pPr>
              <w:pStyle w:val="EQRTableHeaderCenter"/>
              <w:rPr>
                <w:color w:val="auto"/>
              </w:rPr>
            </w:pPr>
            <w:r w:rsidRPr="00990D3B">
              <w:rPr>
                <w:color w:val="auto"/>
              </w:rPr>
              <w:t>Comments</w:t>
            </w:r>
          </w:p>
        </w:tc>
      </w:tr>
      <w:tr w14:paraId="5D4AF79C" w14:textId="77777777" w:rsidTr="00010966">
        <w:tblPrEx>
          <w:tblW w:w="5000" w:type="pct"/>
          <w:tblLayout w:type="fixed"/>
          <w:tblLook w:val="04A0"/>
        </w:tblPrEx>
        <w:trPr>
          <w:cantSplit/>
        </w:trPr>
        <w:tc>
          <w:tcPr>
            <w:tcW w:w="2605" w:type="dxa"/>
          </w:tcPr>
          <w:p w:rsidR="00AD7FD8" w:rsidRPr="00990D3B" w:rsidP="00BD1FC3" w14:paraId="1FA40803" w14:textId="77777777">
            <w:pPr>
              <w:pStyle w:val="EQRTableText"/>
              <w:spacing w:before="0" w:after="0"/>
            </w:pPr>
          </w:p>
        </w:tc>
        <w:tc>
          <w:tcPr>
            <w:tcW w:w="2250" w:type="dxa"/>
          </w:tcPr>
          <w:p w:rsidR="00AD7FD8" w:rsidRPr="00990D3B" w:rsidP="00BE7BD8" w14:paraId="72D40D24" w14:textId="0664D7ED">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Addressed</w:t>
            </w:r>
          </w:p>
          <w:p w:rsidR="00AD7FD8" w:rsidRPr="00990D3B" w:rsidP="00206588" w14:paraId="4C0904CE" w14:textId="5D99E32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Missing </w:t>
            </w:r>
          </w:p>
        </w:tc>
        <w:tc>
          <w:tcPr>
            <w:tcW w:w="2250" w:type="dxa"/>
          </w:tcPr>
          <w:p w:rsidR="00AD7FD8" w:rsidRPr="00990D3B" w:rsidP="008329C7" w14:paraId="110A2DE1" w14:textId="000BC550">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High confidence</w:t>
            </w:r>
          </w:p>
          <w:p w:rsidR="00AD7FD8" w:rsidRPr="00990D3B" w:rsidP="008329C7" w14:paraId="4E8EB873" w14:textId="31FF49BF">
            <w:pPr>
              <w:pStyle w:val="EQRTableText"/>
            </w:pPr>
            <w:r w:rsidRPr="00990D3B">
              <w:rPr>
                <w:rFonts w:asciiTheme="majorHAnsi" w:hAnsiTheme="majorHAnsi" w:cstheme="majorHAnsi"/>
                <w:szCs w:val="18"/>
              </w:rPr>
              <w:fldChar w:fldCharType="begin">
                <w:ffData>
                  <w:name w:val="Check1"/>
                  <w:enabled/>
                  <w:calcOnExit w:val="0"/>
                  <w:checkBox>
                    <w:sizeAuto/>
                    <w:default w:val="0"/>
                  </w:checkBox>
                </w:ffData>
              </w:fldChar>
            </w:r>
            <w:r w:rsidRPr="00990D3B">
              <w:rPr>
                <w:rFonts w:asciiTheme="majorHAnsi" w:hAnsiTheme="majorHAnsi" w:cstheme="majorHAnsi"/>
                <w:szCs w:val="18"/>
              </w:rPr>
              <w:instrText xml:space="preserve"> FORMCHECKBOX </w:instrText>
            </w:r>
            <w:r w:rsidRPr="00990D3B">
              <w:rPr>
                <w:rFonts w:asciiTheme="majorHAnsi" w:hAnsiTheme="majorHAnsi" w:cstheme="majorHAnsi"/>
                <w:szCs w:val="18"/>
              </w:rPr>
              <w:fldChar w:fldCharType="separate"/>
            </w:r>
            <w:r w:rsidRPr="00990D3B">
              <w:rPr>
                <w:rFonts w:asciiTheme="majorHAnsi" w:hAnsiTheme="majorHAnsi" w:cstheme="majorHAnsi"/>
                <w:szCs w:val="18"/>
              </w:rPr>
              <w:fldChar w:fldCharType="end"/>
            </w:r>
            <w:r w:rsidRPr="00990D3B">
              <w:t>Moderate confidence</w:t>
            </w:r>
          </w:p>
          <w:p w:rsidR="00AD7FD8" w:rsidRPr="00990D3B" w:rsidP="008329C7" w14:paraId="5446F7F5" w14:textId="6745CAE2">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Low confidence</w:t>
            </w:r>
          </w:p>
          <w:p w:rsidR="00AD7FD8" w:rsidRPr="00990D3B" w:rsidP="008329C7" w14:paraId="41A34639" w14:textId="318CADA0">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No confidence</w:t>
            </w:r>
          </w:p>
          <w:p w:rsidR="00AD7FD8" w:rsidRPr="00990D3B" w:rsidP="008329C7" w14:paraId="2FC9D8D7" w14:textId="5757EECB">
            <w:pPr>
              <w:pStyle w:val="EQRTableText"/>
            </w:pPr>
            <w:r w:rsidRPr="00990D3B">
              <w:rPr>
                <w:rFonts w:asciiTheme="majorHAnsi" w:hAnsiTheme="majorHAnsi" w:cstheme="majorHAnsi"/>
                <w:szCs w:val="18"/>
              </w:rPr>
              <w:fldChar w:fldCharType="begin">
                <w:ffData>
                  <w:name w:val="Check1"/>
                  <w:enabled/>
                  <w:calcOnExit w:val="0"/>
                  <w:checkBox>
                    <w:sizeAuto/>
                    <w:default w:val="0"/>
                  </w:checkBox>
                </w:ffData>
              </w:fldChar>
            </w:r>
            <w:r w:rsidRPr="00990D3B">
              <w:rPr>
                <w:rFonts w:asciiTheme="majorHAnsi" w:hAnsiTheme="majorHAnsi" w:cstheme="majorHAnsi"/>
                <w:szCs w:val="18"/>
              </w:rPr>
              <w:instrText xml:space="preserve"> FORMCHECKBOX </w:instrText>
            </w:r>
            <w:r w:rsidRPr="00990D3B">
              <w:rPr>
                <w:rFonts w:asciiTheme="majorHAnsi" w:hAnsiTheme="majorHAnsi" w:cstheme="majorHAnsi"/>
                <w:szCs w:val="18"/>
              </w:rPr>
              <w:fldChar w:fldCharType="separate"/>
            </w:r>
            <w:r w:rsidRPr="00990D3B">
              <w:rPr>
                <w:rFonts w:asciiTheme="majorHAnsi" w:hAnsiTheme="majorHAnsi" w:cstheme="majorHAnsi"/>
                <w:szCs w:val="18"/>
              </w:rPr>
              <w:fldChar w:fldCharType="end"/>
            </w:r>
            <w:r w:rsidRPr="00990D3B">
              <w:t>Could not be validated</w:t>
            </w:r>
          </w:p>
        </w:tc>
        <w:tc>
          <w:tcPr>
            <w:tcW w:w="2245" w:type="dxa"/>
          </w:tcPr>
          <w:p w:rsidR="00AD7FD8" w:rsidRPr="00990D3B" w:rsidP="00BD1FC3" w14:paraId="6D908BAA" w14:textId="77777777">
            <w:pPr>
              <w:pStyle w:val="EQRTableText"/>
              <w:spacing w:before="0" w:after="0"/>
            </w:pPr>
          </w:p>
        </w:tc>
      </w:tr>
      <w:tr w14:paraId="59047419" w14:textId="77777777" w:rsidTr="00010966">
        <w:tblPrEx>
          <w:tblW w:w="5000" w:type="pct"/>
          <w:tblLayout w:type="fixed"/>
          <w:tblLook w:val="04A0"/>
        </w:tblPrEx>
        <w:trPr>
          <w:cantSplit/>
        </w:trPr>
        <w:tc>
          <w:tcPr>
            <w:tcW w:w="2605" w:type="dxa"/>
          </w:tcPr>
          <w:p w:rsidR="00AD7FD8" w:rsidRPr="00990D3B" w:rsidP="00BD1FC3" w14:paraId="200A0972" w14:textId="77777777">
            <w:pPr>
              <w:pStyle w:val="EQRTableText"/>
              <w:spacing w:before="0" w:after="0"/>
            </w:pPr>
          </w:p>
        </w:tc>
        <w:tc>
          <w:tcPr>
            <w:tcW w:w="2250" w:type="dxa"/>
          </w:tcPr>
          <w:p w:rsidR="00AD7FD8" w:rsidRPr="00990D3B" w:rsidP="00BE7BD8" w14:paraId="3C1911DD" w14:textId="7D8B89C3">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Addressed</w:t>
            </w:r>
          </w:p>
          <w:p w:rsidR="00AD7FD8" w:rsidRPr="00990D3B" w:rsidP="00BE7BD8" w14:paraId="28CF0EA6" w14:textId="3DF40FE9">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Missing </w:t>
            </w:r>
          </w:p>
        </w:tc>
        <w:tc>
          <w:tcPr>
            <w:tcW w:w="2250" w:type="dxa"/>
          </w:tcPr>
          <w:p w:rsidR="00AD7FD8" w:rsidRPr="00990D3B" w:rsidP="00FF15AD" w14:paraId="2A71B519" w14:textId="4F647271">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High confidence</w:t>
            </w:r>
          </w:p>
          <w:p w:rsidR="00AD7FD8" w:rsidRPr="00990D3B" w:rsidP="00FF15AD" w14:paraId="673D3BCC" w14:textId="6FE88C68">
            <w:pPr>
              <w:pStyle w:val="EQRTableText"/>
            </w:pPr>
            <w:r w:rsidRPr="00990D3B">
              <w:rPr>
                <w:rFonts w:asciiTheme="majorHAnsi" w:hAnsiTheme="majorHAnsi" w:cstheme="majorHAnsi"/>
                <w:szCs w:val="18"/>
              </w:rPr>
              <w:fldChar w:fldCharType="begin">
                <w:ffData>
                  <w:name w:val="Check1"/>
                  <w:enabled/>
                  <w:calcOnExit w:val="0"/>
                  <w:checkBox>
                    <w:sizeAuto/>
                    <w:default w:val="0"/>
                  </w:checkBox>
                </w:ffData>
              </w:fldChar>
            </w:r>
            <w:r w:rsidRPr="00990D3B">
              <w:rPr>
                <w:rFonts w:asciiTheme="majorHAnsi" w:hAnsiTheme="majorHAnsi" w:cstheme="majorHAnsi"/>
                <w:szCs w:val="18"/>
              </w:rPr>
              <w:instrText xml:space="preserve"> FORMCHECKBOX </w:instrText>
            </w:r>
            <w:r w:rsidRPr="00990D3B">
              <w:rPr>
                <w:rFonts w:asciiTheme="majorHAnsi" w:hAnsiTheme="majorHAnsi" w:cstheme="majorHAnsi"/>
                <w:szCs w:val="18"/>
              </w:rPr>
              <w:fldChar w:fldCharType="separate"/>
            </w:r>
            <w:r w:rsidRPr="00990D3B">
              <w:rPr>
                <w:rFonts w:asciiTheme="majorHAnsi" w:hAnsiTheme="majorHAnsi" w:cstheme="majorHAnsi"/>
                <w:szCs w:val="18"/>
              </w:rPr>
              <w:fldChar w:fldCharType="end"/>
            </w:r>
            <w:r w:rsidRPr="00990D3B">
              <w:t>Moderate confidence</w:t>
            </w:r>
          </w:p>
          <w:p w:rsidR="00AD7FD8" w:rsidRPr="00990D3B" w:rsidP="00FF15AD" w14:paraId="332BF865" w14:textId="4E294013">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Low confidence</w:t>
            </w:r>
          </w:p>
          <w:p w:rsidR="00AD7FD8" w:rsidRPr="00990D3B" w:rsidP="00FF15AD" w14:paraId="38E51B20" w14:textId="1E90E9D0">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No confidence</w:t>
            </w:r>
          </w:p>
          <w:p w:rsidR="00AD7FD8" w:rsidRPr="00990D3B" w:rsidP="00FF15AD" w14:paraId="484E6BB2" w14:textId="795AB5EF">
            <w:pPr>
              <w:pStyle w:val="EQRTableText"/>
            </w:pPr>
            <w:r w:rsidRPr="00990D3B">
              <w:rPr>
                <w:rFonts w:asciiTheme="majorHAnsi" w:hAnsiTheme="majorHAnsi" w:cstheme="majorHAnsi"/>
                <w:szCs w:val="18"/>
              </w:rPr>
              <w:fldChar w:fldCharType="begin">
                <w:ffData>
                  <w:name w:val="Check1"/>
                  <w:enabled/>
                  <w:calcOnExit w:val="0"/>
                  <w:checkBox>
                    <w:sizeAuto/>
                    <w:default w:val="0"/>
                  </w:checkBox>
                </w:ffData>
              </w:fldChar>
            </w:r>
            <w:r w:rsidRPr="00990D3B">
              <w:rPr>
                <w:rFonts w:asciiTheme="majorHAnsi" w:hAnsiTheme="majorHAnsi" w:cstheme="majorHAnsi"/>
                <w:szCs w:val="18"/>
              </w:rPr>
              <w:instrText xml:space="preserve"> FORMCHECKBOX </w:instrText>
            </w:r>
            <w:r w:rsidRPr="00990D3B">
              <w:rPr>
                <w:rFonts w:asciiTheme="majorHAnsi" w:hAnsiTheme="majorHAnsi" w:cstheme="majorHAnsi"/>
                <w:szCs w:val="18"/>
              </w:rPr>
              <w:fldChar w:fldCharType="separate"/>
            </w:r>
            <w:r w:rsidRPr="00990D3B">
              <w:rPr>
                <w:rFonts w:asciiTheme="majorHAnsi" w:hAnsiTheme="majorHAnsi" w:cstheme="majorHAnsi"/>
                <w:szCs w:val="18"/>
              </w:rPr>
              <w:fldChar w:fldCharType="end"/>
            </w:r>
            <w:r w:rsidRPr="00990D3B">
              <w:t>Could not be validated</w:t>
            </w:r>
          </w:p>
        </w:tc>
        <w:tc>
          <w:tcPr>
            <w:tcW w:w="2245" w:type="dxa"/>
          </w:tcPr>
          <w:p w:rsidR="00AD7FD8" w:rsidRPr="00990D3B" w:rsidP="00BD1FC3" w14:paraId="03867A0A" w14:textId="77777777">
            <w:pPr>
              <w:pStyle w:val="EQRTableText"/>
              <w:spacing w:before="0" w:after="0"/>
            </w:pPr>
          </w:p>
        </w:tc>
      </w:tr>
      <w:tr w14:paraId="7A882B54" w14:textId="77777777" w:rsidTr="00010966">
        <w:tblPrEx>
          <w:tblW w:w="5000" w:type="pct"/>
          <w:tblLayout w:type="fixed"/>
          <w:tblLook w:val="04A0"/>
        </w:tblPrEx>
        <w:trPr>
          <w:cantSplit/>
        </w:trPr>
        <w:tc>
          <w:tcPr>
            <w:tcW w:w="2605" w:type="dxa"/>
          </w:tcPr>
          <w:p w:rsidR="00AD7FD8" w:rsidRPr="00990D3B" w:rsidP="00BD1FC3" w14:paraId="1AE6D234" w14:textId="77777777">
            <w:pPr>
              <w:pStyle w:val="EQRTableText"/>
              <w:spacing w:before="0" w:after="0"/>
            </w:pPr>
          </w:p>
        </w:tc>
        <w:tc>
          <w:tcPr>
            <w:tcW w:w="2250" w:type="dxa"/>
          </w:tcPr>
          <w:p w:rsidR="00AD7FD8" w:rsidRPr="00990D3B" w:rsidP="00BE7BD8" w14:paraId="241AD6AE" w14:textId="00D2EF70">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Addressed</w:t>
            </w:r>
          </w:p>
          <w:p w:rsidR="00AD7FD8" w:rsidRPr="00990D3B" w:rsidP="00BE7BD8" w14:paraId="34AA971F" w14:textId="740E4528">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Missing </w:t>
            </w:r>
          </w:p>
        </w:tc>
        <w:tc>
          <w:tcPr>
            <w:tcW w:w="2250" w:type="dxa"/>
          </w:tcPr>
          <w:p w:rsidR="00AD7FD8" w:rsidRPr="00990D3B" w:rsidP="00FF15AD" w14:paraId="0F7445CC" w14:textId="2EFE4975">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High confidence</w:t>
            </w:r>
          </w:p>
          <w:p w:rsidR="00AD7FD8" w:rsidRPr="00990D3B" w:rsidP="00FF15AD" w14:paraId="7AA66C29" w14:textId="1242CEC9">
            <w:pPr>
              <w:pStyle w:val="EQRTableText"/>
            </w:pPr>
            <w:r w:rsidRPr="00990D3B">
              <w:rPr>
                <w:rFonts w:asciiTheme="majorHAnsi" w:hAnsiTheme="majorHAnsi" w:cstheme="majorHAnsi"/>
                <w:szCs w:val="18"/>
              </w:rPr>
              <w:fldChar w:fldCharType="begin">
                <w:ffData>
                  <w:name w:val="Check1"/>
                  <w:enabled/>
                  <w:calcOnExit w:val="0"/>
                  <w:checkBox>
                    <w:sizeAuto/>
                    <w:default w:val="0"/>
                  </w:checkBox>
                </w:ffData>
              </w:fldChar>
            </w:r>
            <w:r w:rsidRPr="00990D3B">
              <w:rPr>
                <w:rFonts w:asciiTheme="majorHAnsi" w:hAnsiTheme="majorHAnsi" w:cstheme="majorHAnsi"/>
                <w:szCs w:val="18"/>
              </w:rPr>
              <w:instrText xml:space="preserve"> FORMCHECKBOX </w:instrText>
            </w:r>
            <w:r w:rsidRPr="00990D3B">
              <w:rPr>
                <w:rFonts w:asciiTheme="majorHAnsi" w:hAnsiTheme="majorHAnsi" w:cstheme="majorHAnsi"/>
                <w:szCs w:val="18"/>
              </w:rPr>
              <w:fldChar w:fldCharType="separate"/>
            </w:r>
            <w:r w:rsidRPr="00990D3B">
              <w:rPr>
                <w:rFonts w:asciiTheme="majorHAnsi" w:hAnsiTheme="majorHAnsi" w:cstheme="majorHAnsi"/>
                <w:szCs w:val="18"/>
              </w:rPr>
              <w:fldChar w:fldCharType="end"/>
            </w:r>
            <w:r w:rsidRPr="00990D3B">
              <w:t>Moderate confidence</w:t>
            </w:r>
          </w:p>
          <w:p w:rsidR="00AD7FD8" w:rsidRPr="00990D3B" w:rsidP="00FF15AD" w14:paraId="5D9064EB" w14:textId="74D4DA43">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Low confidence</w:t>
            </w:r>
          </w:p>
          <w:p w:rsidR="00010966" w:rsidRPr="00990D3B" w:rsidP="00010966" w14:paraId="179E8A85" w14:textId="7777777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rsidR="00AD7FD8">
              <w:t>No confidence</w:t>
            </w:r>
          </w:p>
          <w:p w:rsidR="00AD7FD8" w:rsidRPr="00990D3B" w:rsidP="00010966" w14:paraId="4A9416AB" w14:textId="2A4797FD">
            <w:pPr>
              <w:pStyle w:val="EQRTableText"/>
            </w:pPr>
            <w:r w:rsidRPr="00990D3B">
              <w:rPr>
                <w:rFonts w:asciiTheme="majorHAnsi" w:hAnsiTheme="majorHAnsi" w:cstheme="majorHAnsi"/>
              </w:rPr>
              <w:fldChar w:fldCharType="begin">
                <w:ffData>
                  <w:name w:val="Check1"/>
                  <w:enabled/>
                  <w:calcOnExit w:val="0"/>
                  <w:checkBox>
                    <w:sizeAuto/>
                    <w:default w:val="0"/>
                  </w:checkBox>
                </w:ffData>
              </w:fldChar>
            </w:r>
            <w:r w:rsidRPr="00990D3B">
              <w:rPr>
                <w:rFonts w:asciiTheme="majorHAnsi" w:hAnsiTheme="majorHAnsi" w:cstheme="majorHAnsi"/>
              </w:rPr>
              <w:instrText xml:space="preserve"> FORMCHECKBOX </w:instrText>
            </w:r>
            <w:r w:rsidRPr="00990D3B">
              <w:rPr>
                <w:rFonts w:asciiTheme="majorHAnsi" w:hAnsiTheme="majorHAnsi" w:cstheme="majorHAnsi"/>
              </w:rPr>
              <w:fldChar w:fldCharType="separate"/>
            </w:r>
            <w:r w:rsidRPr="00990D3B">
              <w:rPr>
                <w:rFonts w:asciiTheme="majorHAnsi" w:hAnsiTheme="majorHAnsi" w:cstheme="majorHAnsi"/>
              </w:rPr>
              <w:fldChar w:fldCharType="end"/>
            </w:r>
            <w:r w:rsidRPr="00990D3B">
              <w:t>Could not be validated</w:t>
            </w:r>
          </w:p>
        </w:tc>
        <w:tc>
          <w:tcPr>
            <w:tcW w:w="2245" w:type="dxa"/>
          </w:tcPr>
          <w:p w:rsidR="00AD7FD8" w:rsidRPr="00990D3B" w:rsidP="00BD1FC3" w14:paraId="2E367736" w14:textId="77777777">
            <w:pPr>
              <w:pStyle w:val="EQRTableText"/>
              <w:spacing w:before="0" w:after="0"/>
            </w:pPr>
          </w:p>
        </w:tc>
      </w:tr>
      <w:tr w14:paraId="2715FEA0" w14:textId="77777777" w:rsidTr="00010966">
        <w:tblPrEx>
          <w:tblW w:w="5000" w:type="pct"/>
          <w:tblLayout w:type="fixed"/>
          <w:tblLook w:val="04A0"/>
        </w:tblPrEx>
        <w:trPr>
          <w:cantSplit/>
        </w:trPr>
        <w:tc>
          <w:tcPr>
            <w:tcW w:w="2605" w:type="dxa"/>
          </w:tcPr>
          <w:p w:rsidR="00AD7FD8" w:rsidRPr="00990D3B" w:rsidP="00BD1FC3" w14:paraId="54F3381D" w14:textId="77777777">
            <w:pPr>
              <w:pStyle w:val="EQRTableText"/>
              <w:spacing w:before="0" w:after="0"/>
            </w:pPr>
          </w:p>
        </w:tc>
        <w:tc>
          <w:tcPr>
            <w:tcW w:w="2250" w:type="dxa"/>
          </w:tcPr>
          <w:p w:rsidR="00AD7FD8" w:rsidRPr="00990D3B" w:rsidP="00BE7BD8" w14:paraId="11BCA175" w14:textId="3C09A953">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Addressed</w:t>
            </w:r>
          </w:p>
          <w:p w:rsidR="00AD7FD8" w:rsidRPr="00990D3B" w:rsidP="00BE7BD8" w14:paraId="0C8AAEB8" w14:textId="2E6FF73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 xml:space="preserve">Missing </w:t>
            </w:r>
          </w:p>
        </w:tc>
        <w:tc>
          <w:tcPr>
            <w:tcW w:w="2250" w:type="dxa"/>
          </w:tcPr>
          <w:p w:rsidR="00AD7FD8" w:rsidRPr="00990D3B" w:rsidP="00FF15AD" w14:paraId="3F5D7893" w14:textId="595B40E7">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High confidence</w:t>
            </w:r>
          </w:p>
          <w:p w:rsidR="00AD7FD8" w:rsidRPr="00990D3B" w:rsidP="00FF15AD" w14:paraId="7FE76DEC" w14:textId="4D94F525">
            <w:pPr>
              <w:pStyle w:val="EQRTableText"/>
            </w:pPr>
            <w:r w:rsidRPr="00990D3B">
              <w:rPr>
                <w:rFonts w:asciiTheme="majorHAnsi" w:hAnsiTheme="majorHAnsi" w:cstheme="majorHAnsi"/>
                <w:szCs w:val="18"/>
              </w:rPr>
              <w:fldChar w:fldCharType="begin">
                <w:ffData>
                  <w:name w:val="Check1"/>
                  <w:enabled/>
                  <w:calcOnExit w:val="0"/>
                  <w:checkBox>
                    <w:sizeAuto/>
                    <w:default w:val="0"/>
                  </w:checkBox>
                </w:ffData>
              </w:fldChar>
            </w:r>
            <w:r w:rsidRPr="00990D3B">
              <w:rPr>
                <w:rFonts w:asciiTheme="majorHAnsi" w:hAnsiTheme="majorHAnsi" w:cstheme="majorHAnsi"/>
                <w:szCs w:val="18"/>
              </w:rPr>
              <w:instrText xml:space="preserve"> FORMCHECKBOX </w:instrText>
            </w:r>
            <w:r w:rsidRPr="00990D3B">
              <w:rPr>
                <w:rFonts w:asciiTheme="majorHAnsi" w:hAnsiTheme="majorHAnsi" w:cstheme="majorHAnsi"/>
                <w:szCs w:val="18"/>
              </w:rPr>
              <w:fldChar w:fldCharType="separate"/>
            </w:r>
            <w:r w:rsidRPr="00990D3B">
              <w:rPr>
                <w:rFonts w:asciiTheme="majorHAnsi" w:hAnsiTheme="majorHAnsi" w:cstheme="majorHAnsi"/>
                <w:szCs w:val="18"/>
              </w:rPr>
              <w:fldChar w:fldCharType="end"/>
            </w:r>
            <w:r w:rsidRPr="00990D3B">
              <w:t>Moderate confidence</w:t>
            </w:r>
          </w:p>
          <w:p w:rsidR="00AD7FD8" w:rsidRPr="00990D3B" w:rsidP="00FF15AD" w14:paraId="6C7104B9" w14:textId="7740BEA5">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Low confidence</w:t>
            </w:r>
          </w:p>
          <w:p w:rsidR="00AD7FD8" w:rsidRPr="00990D3B" w:rsidP="00FF15AD" w14:paraId="46CF0F23" w14:textId="1F77E701">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No confidence</w:t>
            </w:r>
          </w:p>
          <w:p w:rsidR="00AD7FD8" w:rsidRPr="00990D3B" w:rsidP="00FF15AD" w14:paraId="10849B24" w14:textId="1C1A8E22">
            <w:pPr>
              <w:pStyle w:val="EQRTableText"/>
            </w:pPr>
            <w:r w:rsidRPr="00990D3B">
              <w:rPr>
                <w:rFonts w:asciiTheme="majorHAnsi" w:hAnsiTheme="majorHAnsi" w:cstheme="majorHAnsi"/>
                <w:szCs w:val="18"/>
              </w:rPr>
              <w:fldChar w:fldCharType="begin">
                <w:ffData>
                  <w:name w:val="Check1"/>
                  <w:enabled/>
                  <w:calcOnExit w:val="0"/>
                  <w:checkBox>
                    <w:sizeAuto/>
                    <w:default w:val="0"/>
                  </w:checkBox>
                </w:ffData>
              </w:fldChar>
            </w:r>
            <w:r w:rsidRPr="00990D3B">
              <w:rPr>
                <w:rFonts w:asciiTheme="majorHAnsi" w:hAnsiTheme="majorHAnsi" w:cstheme="majorHAnsi"/>
                <w:szCs w:val="18"/>
              </w:rPr>
              <w:instrText xml:space="preserve"> FORMCHECKBOX </w:instrText>
            </w:r>
            <w:r w:rsidRPr="00990D3B">
              <w:rPr>
                <w:rFonts w:asciiTheme="majorHAnsi" w:hAnsiTheme="majorHAnsi" w:cstheme="majorHAnsi"/>
                <w:szCs w:val="18"/>
              </w:rPr>
              <w:fldChar w:fldCharType="separate"/>
            </w:r>
            <w:r w:rsidRPr="00990D3B">
              <w:rPr>
                <w:rFonts w:asciiTheme="majorHAnsi" w:hAnsiTheme="majorHAnsi" w:cstheme="majorHAnsi"/>
                <w:szCs w:val="18"/>
              </w:rPr>
              <w:fldChar w:fldCharType="end"/>
            </w:r>
            <w:r w:rsidRPr="00990D3B">
              <w:t>Could not be validated</w:t>
            </w:r>
          </w:p>
        </w:tc>
        <w:tc>
          <w:tcPr>
            <w:tcW w:w="2245" w:type="dxa"/>
          </w:tcPr>
          <w:p w:rsidR="00AD7FD8" w:rsidRPr="00990D3B" w:rsidP="00BD1FC3" w14:paraId="4A407D5C" w14:textId="77777777">
            <w:pPr>
              <w:pStyle w:val="EQRTableText"/>
              <w:spacing w:before="0" w:after="0"/>
            </w:pPr>
          </w:p>
        </w:tc>
      </w:tr>
      <w:tr w14:paraId="2098A434" w14:textId="77777777" w:rsidTr="00010966">
        <w:tblPrEx>
          <w:tblW w:w="5000" w:type="pct"/>
          <w:tblLayout w:type="fixed"/>
          <w:tblLook w:val="04A0"/>
        </w:tblPrEx>
        <w:trPr>
          <w:cantSplit/>
        </w:trPr>
        <w:tc>
          <w:tcPr>
            <w:tcW w:w="2605" w:type="dxa"/>
          </w:tcPr>
          <w:p w:rsidR="00AD7FD8" w:rsidRPr="00990D3B" w:rsidP="00BD1FC3" w14:paraId="11D60F8D" w14:textId="77777777">
            <w:pPr>
              <w:pStyle w:val="EQRTableText"/>
              <w:spacing w:before="0" w:after="0"/>
            </w:pPr>
          </w:p>
        </w:tc>
        <w:tc>
          <w:tcPr>
            <w:tcW w:w="2250" w:type="dxa"/>
          </w:tcPr>
          <w:p w:rsidR="00AD7FD8" w:rsidRPr="00990D3B" w:rsidP="00BE7BD8" w14:paraId="5C1F5C61" w14:textId="06D7045A">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Addressed</w:t>
            </w:r>
          </w:p>
          <w:p w:rsidR="00AD7FD8" w:rsidRPr="00990D3B" w:rsidP="00BE7BD8" w14:paraId="3A27CC02" w14:textId="654AF902">
            <w:pPr>
              <w:pStyle w:val="EQRTableText"/>
              <w:rPr>
                <w:sz w:val="32"/>
                <w:szCs w:val="32"/>
              </w:rPr>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Missing</w:t>
            </w:r>
          </w:p>
        </w:tc>
        <w:tc>
          <w:tcPr>
            <w:tcW w:w="2250" w:type="dxa"/>
          </w:tcPr>
          <w:p w:rsidR="00AD7FD8" w:rsidRPr="00990D3B" w:rsidP="00FC59DE" w14:paraId="23CA293E" w14:textId="21A3ACD8">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High confidence</w:t>
            </w:r>
          </w:p>
          <w:p w:rsidR="00AD7FD8" w:rsidRPr="00990D3B" w:rsidP="00FC59DE" w14:paraId="1D9CF210" w14:textId="48E21C16">
            <w:pPr>
              <w:pStyle w:val="EQRTableText"/>
            </w:pPr>
            <w:r w:rsidRPr="00990D3B">
              <w:rPr>
                <w:rFonts w:asciiTheme="majorHAnsi" w:hAnsiTheme="majorHAnsi" w:cstheme="majorHAnsi"/>
                <w:szCs w:val="18"/>
              </w:rPr>
              <w:fldChar w:fldCharType="begin">
                <w:ffData>
                  <w:name w:val="Check1"/>
                  <w:enabled/>
                  <w:calcOnExit w:val="0"/>
                  <w:checkBox>
                    <w:sizeAuto/>
                    <w:default w:val="0"/>
                  </w:checkBox>
                </w:ffData>
              </w:fldChar>
            </w:r>
            <w:r w:rsidRPr="00990D3B">
              <w:rPr>
                <w:rFonts w:asciiTheme="majorHAnsi" w:hAnsiTheme="majorHAnsi" w:cstheme="majorHAnsi"/>
                <w:szCs w:val="18"/>
              </w:rPr>
              <w:instrText xml:space="preserve"> FORMCHECKBOX </w:instrText>
            </w:r>
            <w:r w:rsidRPr="00990D3B">
              <w:rPr>
                <w:rFonts w:asciiTheme="majorHAnsi" w:hAnsiTheme="majorHAnsi" w:cstheme="majorHAnsi"/>
                <w:szCs w:val="18"/>
              </w:rPr>
              <w:fldChar w:fldCharType="separate"/>
            </w:r>
            <w:r w:rsidRPr="00990D3B">
              <w:rPr>
                <w:rFonts w:asciiTheme="majorHAnsi" w:hAnsiTheme="majorHAnsi" w:cstheme="majorHAnsi"/>
                <w:szCs w:val="18"/>
              </w:rPr>
              <w:fldChar w:fldCharType="end"/>
            </w:r>
            <w:r w:rsidRPr="00990D3B">
              <w:t>Moderate confidence</w:t>
            </w:r>
          </w:p>
          <w:p w:rsidR="00AD7FD8" w:rsidRPr="00990D3B" w:rsidP="00FC59DE" w14:paraId="28FF0EAE" w14:textId="61D2B69A">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Low confidence</w:t>
            </w:r>
          </w:p>
          <w:p w:rsidR="00AD7FD8" w:rsidRPr="00990D3B" w:rsidP="00FC59DE" w14:paraId="5BE2EBE5" w14:textId="2F373A89">
            <w:pPr>
              <w:pStyle w:val="EQRTableText"/>
            </w:pPr>
            <w:r w:rsidRPr="00990D3B">
              <w:fldChar w:fldCharType="begin">
                <w:ffData>
                  <w:name w:val="Check1"/>
                  <w:enabled/>
                  <w:calcOnExit w:val="0"/>
                  <w:checkBox>
                    <w:sizeAuto/>
                    <w:default w:val="0"/>
                  </w:checkBox>
                </w:ffData>
              </w:fldChar>
            </w:r>
            <w:r w:rsidRPr="00990D3B">
              <w:instrText xml:space="preserve"> FORMCHECKBOX </w:instrText>
            </w:r>
            <w:r w:rsidRPr="00990D3B">
              <w:fldChar w:fldCharType="separate"/>
            </w:r>
            <w:r w:rsidRPr="00990D3B">
              <w:fldChar w:fldCharType="end"/>
            </w:r>
            <w:r w:rsidRPr="00990D3B">
              <w:t>No confidence</w:t>
            </w:r>
          </w:p>
          <w:p w:rsidR="00AD7FD8" w:rsidRPr="00990D3B" w:rsidP="00FC59DE" w14:paraId="2B80A35C" w14:textId="6607DCD4">
            <w:pPr>
              <w:pStyle w:val="EQRTableText"/>
            </w:pPr>
            <w:r w:rsidRPr="00990D3B">
              <w:rPr>
                <w:rFonts w:asciiTheme="majorHAnsi" w:hAnsiTheme="majorHAnsi" w:cstheme="majorHAnsi"/>
                <w:szCs w:val="18"/>
              </w:rPr>
              <w:fldChar w:fldCharType="begin">
                <w:ffData>
                  <w:name w:val="Check1"/>
                  <w:enabled/>
                  <w:calcOnExit w:val="0"/>
                  <w:checkBox>
                    <w:sizeAuto/>
                    <w:default w:val="0"/>
                  </w:checkBox>
                </w:ffData>
              </w:fldChar>
            </w:r>
            <w:r w:rsidRPr="00990D3B">
              <w:rPr>
                <w:rFonts w:asciiTheme="majorHAnsi" w:hAnsiTheme="majorHAnsi" w:cstheme="majorHAnsi"/>
                <w:szCs w:val="18"/>
              </w:rPr>
              <w:instrText xml:space="preserve"> FORMCHECKBOX </w:instrText>
            </w:r>
            <w:r w:rsidRPr="00990D3B">
              <w:rPr>
                <w:rFonts w:asciiTheme="majorHAnsi" w:hAnsiTheme="majorHAnsi" w:cstheme="majorHAnsi"/>
                <w:szCs w:val="18"/>
              </w:rPr>
              <w:fldChar w:fldCharType="separate"/>
            </w:r>
            <w:r w:rsidRPr="00990D3B">
              <w:rPr>
                <w:rFonts w:asciiTheme="majorHAnsi" w:hAnsiTheme="majorHAnsi" w:cstheme="majorHAnsi"/>
                <w:szCs w:val="18"/>
              </w:rPr>
              <w:fldChar w:fldCharType="end"/>
            </w:r>
            <w:r w:rsidRPr="00990D3B">
              <w:t>Could not be validated</w:t>
            </w:r>
          </w:p>
        </w:tc>
        <w:tc>
          <w:tcPr>
            <w:tcW w:w="2245" w:type="dxa"/>
          </w:tcPr>
          <w:p w:rsidR="00AD7FD8" w:rsidRPr="00990D3B" w:rsidP="00BD1FC3" w14:paraId="0107BADF" w14:textId="77777777">
            <w:pPr>
              <w:pStyle w:val="EQRTableText"/>
              <w:spacing w:before="0" w:after="0"/>
            </w:pPr>
          </w:p>
        </w:tc>
      </w:tr>
    </w:tbl>
    <w:p w:rsidR="0007044D" w:rsidRPr="00990D3B" w:rsidP="00BD1FC3" w14:paraId="62601529" w14:textId="77777777">
      <w:pPr>
        <w:spacing w:after="0"/>
        <w:rPr>
          <w:rFonts w:ascii="Arial Black" w:eastAsia="Arial" w:hAnsi="Arial Black" w:cs="Arial"/>
          <w:color w:val="000000" w:themeColor="text1"/>
          <w:sz w:val="19"/>
          <w:szCs w:val="19"/>
        </w:rPr>
      </w:pPr>
      <w:r w:rsidRPr="00990D3B">
        <w:br w:type="page"/>
      </w:r>
    </w:p>
    <w:p w:rsidR="00AD7FD8" w:rsidRPr="00990D3B" w:rsidP="00BD1FC3" w14:paraId="212A9D74" w14:textId="48BBA970">
      <w:pPr>
        <w:pStyle w:val="EQRMarkforExhibitWORKSHEET"/>
      </w:pPr>
      <w:bookmarkStart w:id="545" w:name="WS48"/>
      <w:bookmarkStart w:id="546" w:name="_Toc125619170"/>
      <w:bookmarkStart w:id="547" w:name="_Toc201751532"/>
      <w:bookmarkEnd w:id="545"/>
      <w:r w:rsidRPr="00990D3B">
        <w:t xml:space="preserve">Worksheet 4.8. </w:t>
      </w:r>
      <w:bookmarkStart w:id="548" w:name="_Hlk64450314"/>
      <w:r w:rsidRPr="00990D3B">
        <w:t>Recommendations to Improve MCP Assessment of Network Adequacy</w:t>
      </w:r>
      <w:bookmarkEnd w:id="546"/>
      <w:bookmarkEnd w:id="547"/>
      <w:r w:rsidRPr="00990D3B">
        <w:t xml:space="preserve"> </w:t>
      </w:r>
      <w:bookmarkEnd w:id="548"/>
    </w:p>
    <w:p w:rsidR="006E426A" w:rsidRPr="00990D3B" w:rsidP="006E426A" w14:paraId="1AEF14F2" w14:textId="77777777">
      <w:pPr>
        <w:pStyle w:val="EQRNormalSSWORKSHEET"/>
      </w:pPr>
      <w:r w:rsidRPr="00990D3B">
        <w:rPr>
          <w:b/>
          <w:bCs/>
        </w:rPr>
        <w:t>Instructions</w:t>
      </w:r>
      <w:r w:rsidRPr="00990D3B" w:rsidR="00D36423">
        <w:rPr>
          <w:b/>
          <w:bCs/>
        </w:rPr>
        <w:t xml:space="preserve">. </w:t>
      </w:r>
      <w:r w:rsidRPr="00990D3B" w:rsidR="00D36423">
        <w:t xml:space="preserve">Use this worksheet to </w:t>
      </w:r>
      <w:r w:rsidRPr="00990D3B">
        <w:t>refer back</w:t>
      </w:r>
      <w:r w:rsidRPr="00990D3B">
        <w:t xml:space="preserve"> to EQRO recommendations from past EQR technical reports (where applicable), review MCP progress in responding to those recommendations, and provide recommendations based on the current network adequacy validation cycle. The recommendations should be specific and actionable to support improvement of the MCP’s assessment of network adequacy.</w:t>
      </w:r>
    </w:p>
    <w:p w:rsidR="00881C1F" w:rsidRPr="00990D3B" w:rsidP="006E426A" w14:paraId="5671B2AF" w14:textId="4A3CD61E">
      <w:pPr>
        <w:pStyle w:val="EQRNormalSSWORKSHEET"/>
      </w:pPr>
      <w:r w:rsidRPr="00990D3B">
        <w:t xml:space="preserve">Acronyms: </w:t>
      </w:r>
      <w:r w:rsidRPr="00990D3B" w:rsidR="006A057F">
        <w:t>E</w:t>
      </w:r>
      <w:r w:rsidRPr="00990D3B">
        <w:t>QR = External Quality Review; EQRO = External Quality Review Organization; MCP= Managed Care Ambulatory Health Plan; PIHP = Prepaid Inpatient Health Plan; PIP = Performance Improvement Project.</w:t>
      </w:r>
    </w:p>
    <w:tbl>
      <w:tblPr>
        <w:tblStyle w:val="TableGrid"/>
        <w:tblW w:w="5000" w:type="pct"/>
        <w:tblLook w:val="04A0"/>
      </w:tblPr>
      <w:tblGrid>
        <w:gridCol w:w="9350"/>
      </w:tblGrid>
      <w:tr w14:paraId="37085F4F" w14:textId="77777777" w:rsidTr="00B8631C">
        <w:tblPrEx>
          <w:tblW w:w="5000" w:type="pct"/>
          <w:tblLook w:val="04A0"/>
        </w:tblPrEx>
        <w:tc>
          <w:tcPr>
            <w:tcW w:w="9350" w:type="dxa"/>
          </w:tcPr>
          <w:p w:rsidR="00AD7FD8" w:rsidRPr="00990D3B" w:rsidP="00BD1FC3" w14:paraId="124D3574" w14:textId="654E5275">
            <w:pPr>
              <w:pStyle w:val="EQRTableText"/>
            </w:pPr>
            <w:r w:rsidRPr="00990D3B">
              <w:t xml:space="preserve">MCP name: </w:t>
            </w:r>
          </w:p>
        </w:tc>
      </w:tr>
      <w:tr w14:paraId="611D303E" w14:textId="77777777" w:rsidTr="00B8631C">
        <w:tblPrEx>
          <w:tblW w:w="5000" w:type="pct"/>
          <w:tblLook w:val="04A0"/>
        </w:tblPrEx>
        <w:tc>
          <w:tcPr>
            <w:tcW w:w="9350" w:type="dxa"/>
          </w:tcPr>
          <w:p w:rsidR="00AD7FD8" w:rsidRPr="00990D3B" w:rsidP="00BD1FC3" w14:paraId="573D2E11" w14:textId="4A5ECB08">
            <w:pPr>
              <w:pStyle w:val="EQRTableText"/>
            </w:pPr>
            <w:r w:rsidRPr="00990D3B">
              <w:t xml:space="preserve">Prior </w:t>
            </w:r>
            <w:r w:rsidRPr="00990D3B" w:rsidR="00D36423">
              <w:t>r</w:t>
            </w:r>
            <w:r w:rsidRPr="00990D3B">
              <w:t xml:space="preserve">ecommendation </w:t>
            </w:r>
            <w:r w:rsidRPr="00990D3B" w:rsidR="00D36423">
              <w:t>y</w:t>
            </w:r>
            <w:r w:rsidRPr="00990D3B">
              <w:t>ear (if applicable):</w:t>
            </w:r>
          </w:p>
        </w:tc>
      </w:tr>
      <w:tr w14:paraId="5C64AE57" w14:textId="77777777" w:rsidTr="00B8631C">
        <w:tblPrEx>
          <w:tblW w:w="5000" w:type="pct"/>
          <w:tblLook w:val="04A0"/>
        </w:tblPrEx>
        <w:tc>
          <w:tcPr>
            <w:tcW w:w="9350" w:type="dxa"/>
          </w:tcPr>
          <w:p w:rsidR="00AD7FD8" w:rsidRPr="00990D3B" w:rsidP="00BD1FC3" w14:paraId="37D0B435" w14:textId="31450AD3">
            <w:pPr>
              <w:pStyle w:val="EQRTableText"/>
            </w:pPr>
            <w:r w:rsidRPr="00990D3B">
              <w:t xml:space="preserve">EQRO </w:t>
            </w:r>
            <w:r w:rsidRPr="00990D3B" w:rsidR="00D36423">
              <w:t>p</w:t>
            </w:r>
            <w:r w:rsidRPr="00990D3B">
              <w:t xml:space="preserve">rior </w:t>
            </w:r>
            <w:r w:rsidRPr="00990D3B" w:rsidR="00D36423">
              <w:t>r</w:t>
            </w:r>
            <w:r w:rsidRPr="00990D3B">
              <w:t>ecommendations (if applicable):</w:t>
            </w:r>
          </w:p>
          <w:p w:rsidR="00AD7FD8" w:rsidRPr="00990D3B" w:rsidP="00BD1FC3" w14:paraId="10746573" w14:textId="77777777">
            <w:pPr>
              <w:pStyle w:val="EQRTableText"/>
            </w:pPr>
          </w:p>
        </w:tc>
      </w:tr>
      <w:tr w14:paraId="64DD9BA1" w14:textId="77777777" w:rsidTr="00B8631C">
        <w:tblPrEx>
          <w:tblW w:w="5000" w:type="pct"/>
          <w:tblLook w:val="04A0"/>
        </w:tblPrEx>
        <w:tc>
          <w:tcPr>
            <w:tcW w:w="9350" w:type="dxa"/>
          </w:tcPr>
          <w:p w:rsidR="00AD7FD8" w:rsidRPr="00990D3B" w:rsidP="00BD1FC3" w14:paraId="1D8116F9" w14:textId="70A14875">
            <w:pPr>
              <w:pStyle w:val="EQRTableText"/>
            </w:pPr>
            <w:r w:rsidRPr="00990D3B">
              <w:t xml:space="preserve">Summary of MCP </w:t>
            </w:r>
            <w:r w:rsidRPr="00990D3B" w:rsidR="00D36423">
              <w:t>r</w:t>
            </w:r>
            <w:r w:rsidRPr="00990D3B">
              <w:t xml:space="preserve">esponse to </w:t>
            </w:r>
            <w:r w:rsidRPr="00990D3B" w:rsidR="00D36423">
              <w:t>p</w:t>
            </w:r>
            <w:r w:rsidRPr="00990D3B">
              <w:t xml:space="preserve">rior </w:t>
            </w:r>
            <w:r w:rsidRPr="00990D3B" w:rsidR="00D36423">
              <w:t>r</w:t>
            </w:r>
            <w:r w:rsidRPr="00990D3B">
              <w:t>ecommendations (if applicable):</w:t>
            </w:r>
          </w:p>
          <w:p w:rsidR="00AD7FD8" w:rsidRPr="00990D3B" w:rsidP="00BD1FC3" w14:paraId="647B2F97" w14:textId="77777777">
            <w:pPr>
              <w:pStyle w:val="EQRTableText"/>
            </w:pPr>
          </w:p>
        </w:tc>
      </w:tr>
      <w:tr w14:paraId="6B26FB3A" w14:textId="77777777" w:rsidTr="00B8631C">
        <w:tblPrEx>
          <w:tblW w:w="5000" w:type="pct"/>
          <w:tblLook w:val="04A0"/>
        </w:tblPrEx>
        <w:tc>
          <w:tcPr>
            <w:tcW w:w="9350" w:type="dxa"/>
          </w:tcPr>
          <w:p w:rsidR="00AD7FD8" w:rsidRPr="00990D3B" w:rsidP="00BD1FC3" w14:paraId="24A85F49" w14:textId="354B4D1F">
            <w:pPr>
              <w:pStyle w:val="EQRTableText"/>
            </w:pPr>
            <w:r w:rsidRPr="00990D3B">
              <w:t xml:space="preserve">EQRO </w:t>
            </w:r>
            <w:r w:rsidRPr="00990D3B" w:rsidR="00D36423">
              <w:t>a</w:t>
            </w:r>
            <w:r w:rsidRPr="00990D3B">
              <w:t xml:space="preserve">ssessment of </w:t>
            </w:r>
            <w:r w:rsidRPr="00990D3B" w:rsidR="00D36423">
              <w:t>d</w:t>
            </w:r>
            <w:r w:rsidRPr="00990D3B">
              <w:t xml:space="preserve">egree to which MCP </w:t>
            </w:r>
            <w:r w:rsidRPr="00990D3B" w:rsidR="00D36423">
              <w:t>e</w:t>
            </w:r>
            <w:r w:rsidRPr="00990D3B">
              <w:t xml:space="preserve">ffectively </w:t>
            </w:r>
            <w:r w:rsidRPr="00990D3B" w:rsidR="00D36423">
              <w:t>a</w:t>
            </w:r>
            <w:r w:rsidRPr="00990D3B">
              <w:t xml:space="preserve">ddressed the </w:t>
            </w:r>
            <w:r w:rsidRPr="00990D3B" w:rsidR="00D36423">
              <w:t>r</w:t>
            </w:r>
            <w:r w:rsidRPr="00990D3B">
              <w:t>ecommendations (if applicable):</w:t>
            </w:r>
          </w:p>
          <w:p w:rsidR="00AD7FD8" w:rsidRPr="00990D3B" w:rsidP="00BD1FC3" w14:paraId="0DCF7778" w14:textId="77777777">
            <w:pPr>
              <w:pStyle w:val="EQRTableText"/>
            </w:pPr>
          </w:p>
        </w:tc>
      </w:tr>
      <w:tr w14:paraId="549C580B" w14:textId="77777777" w:rsidTr="00B8631C">
        <w:tblPrEx>
          <w:tblW w:w="5000" w:type="pct"/>
          <w:tblLook w:val="04A0"/>
        </w:tblPrEx>
        <w:tc>
          <w:tcPr>
            <w:tcW w:w="9350" w:type="dxa"/>
          </w:tcPr>
          <w:p w:rsidR="00AD7FD8" w:rsidRPr="00990D3B" w:rsidP="00BD1FC3" w14:paraId="5180C898" w14:textId="118F4615">
            <w:pPr>
              <w:pStyle w:val="EQRTableText"/>
            </w:pPr>
            <w:r w:rsidRPr="00990D3B">
              <w:t xml:space="preserve">Current </w:t>
            </w:r>
            <w:r w:rsidRPr="00990D3B" w:rsidR="00D36423">
              <w:t>r</w:t>
            </w:r>
            <w:r w:rsidRPr="00990D3B">
              <w:t xml:space="preserve">ecommendation </w:t>
            </w:r>
            <w:r w:rsidRPr="00990D3B" w:rsidR="00D36423">
              <w:t>y</w:t>
            </w:r>
            <w:r w:rsidRPr="00990D3B">
              <w:t>ear:</w:t>
            </w:r>
          </w:p>
        </w:tc>
      </w:tr>
      <w:tr w14:paraId="7C450AAF" w14:textId="77777777" w:rsidTr="00B8631C">
        <w:tblPrEx>
          <w:tblW w:w="5000" w:type="pct"/>
          <w:tblLook w:val="04A0"/>
        </w:tblPrEx>
        <w:tc>
          <w:tcPr>
            <w:tcW w:w="9350" w:type="dxa"/>
          </w:tcPr>
          <w:p w:rsidR="00AD7FD8" w:rsidRPr="00990D3B" w:rsidP="00BD1FC3" w14:paraId="0CEA7C42" w14:textId="7B69936B">
            <w:pPr>
              <w:pStyle w:val="EQRTableText"/>
            </w:pPr>
            <w:r w:rsidRPr="00990D3B">
              <w:t xml:space="preserve">EQRO </w:t>
            </w:r>
            <w:r w:rsidRPr="00990D3B" w:rsidR="00D36423">
              <w:t>c</w:t>
            </w:r>
            <w:r w:rsidRPr="00990D3B">
              <w:t xml:space="preserve">urrent </w:t>
            </w:r>
            <w:r w:rsidRPr="00990D3B" w:rsidR="00D36423">
              <w:t>r</w:t>
            </w:r>
            <w:r w:rsidRPr="00990D3B">
              <w:t xml:space="preserve">ecommendations for MCP </w:t>
            </w:r>
            <w:r w:rsidRPr="00990D3B" w:rsidR="00D36423">
              <w:t>a</w:t>
            </w:r>
            <w:r w:rsidRPr="00990D3B">
              <w:t xml:space="preserve">ssessment of </w:t>
            </w:r>
            <w:r w:rsidRPr="00990D3B" w:rsidR="00D36423">
              <w:t>n</w:t>
            </w:r>
            <w:r w:rsidRPr="00990D3B">
              <w:t xml:space="preserve">etwork </w:t>
            </w:r>
            <w:r w:rsidRPr="00990D3B" w:rsidR="00D36423">
              <w:t>a</w:t>
            </w:r>
            <w:r w:rsidRPr="00990D3B">
              <w:t>dequacy:</w:t>
            </w:r>
          </w:p>
          <w:p w:rsidR="00AD7FD8" w:rsidRPr="00990D3B" w:rsidP="00BD1FC3" w14:paraId="76D8F53D" w14:textId="77777777">
            <w:pPr>
              <w:pStyle w:val="EQRTableText"/>
            </w:pPr>
          </w:p>
        </w:tc>
      </w:tr>
    </w:tbl>
    <w:p w:rsidR="00B8631C" w:rsidRPr="00990D3B" w:rsidP="00B5252D" w14:paraId="44680AA4" w14:textId="77777777">
      <w:pPr>
        <w:pStyle w:val="ParagraphContinued"/>
      </w:pPr>
    </w:p>
    <w:p w:rsidR="00B8631C" w:rsidRPr="00990D3B" w:rsidP="00B5252D" w14:paraId="7FD01ABB" w14:textId="77777777">
      <w:pPr>
        <w:pStyle w:val="ParagraphContinued"/>
      </w:pPr>
    </w:p>
    <w:p w:rsidR="00AD7FD8" w:rsidRPr="00990D3B" w:rsidP="006E426A" w14:paraId="4C2F2AC3" w14:textId="666D07C6">
      <w:pPr>
        <w:pStyle w:val="Paragraph0"/>
        <w:jc w:val="center"/>
      </w:pPr>
      <w:r w:rsidRPr="00990D3B">
        <w:t>END OF WORKSHEETS FOR PROTOCOL 4</w:t>
      </w:r>
    </w:p>
    <w:bookmarkEnd w:id="441"/>
    <w:p w:rsidR="00ED3C75" w:rsidRPr="00990D3B" w:rsidP="00BD1FC3" w14:paraId="4A8C60C9" w14:textId="77777777">
      <w:pPr>
        <w:pStyle w:val="H2"/>
        <w:sectPr w:rsidSect="00A65C6B">
          <w:footerReference w:type="even" r:id="rId163"/>
          <w:footerReference w:type="default" r:id="rId164"/>
          <w:headerReference w:type="first" r:id="rId165"/>
          <w:footerReference w:type="first" r:id="rId166"/>
          <w:pgSz w:w="12240" w:h="15840" w:code="1"/>
          <w:pgMar w:top="1440" w:right="1440" w:bottom="1440" w:left="1440" w:header="720" w:footer="720" w:gutter="0"/>
          <w:cols w:space="720"/>
          <w:titlePg/>
          <w:docGrid w:linePitch="360"/>
        </w:sectPr>
      </w:pPr>
    </w:p>
    <w:p w:rsidR="00C71D17" w:rsidRPr="00990D3B" w:rsidP="00BD1FC3" w14:paraId="6E054929" w14:textId="1120AA42">
      <w:pPr>
        <w:pStyle w:val="H1"/>
      </w:pPr>
      <w:bookmarkStart w:id="549" w:name="Protocol5"/>
      <w:bookmarkStart w:id="550" w:name="_Toc493246390"/>
      <w:bookmarkStart w:id="551" w:name="_Toc14777703"/>
      <w:bookmarkStart w:id="552" w:name="_Toc183005601"/>
      <w:bookmarkStart w:id="553" w:name="_Toc201751371"/>
      <w:r w:rsidRPr="00990D3B">
        <w:t>Protocol 5</w:t>
      </w:r>
      <w:bookmarkEnd w:id="549"/>
      <w:r w:rsidRPr="00990D3B">
        <w:t xml:space="preserve">. Validation of Encounter Data Reported </w:t>
      </w:r>
      <w:r w:rsidRPr="00990D3B" w:rsidR="004A7D84">
        <w:t>b</w:t>
      </w:r>
      <w:r w:rsidRPr="00990D3B">
        <w:t xml:space="preserve">y </w:t>
      </w:r>
      <w:r w:rsidRPr="00990D3B" w:rsidR="004A7D84">
        <w:t>t</w:t>
      </w:r>
      <w:r w:rsidRPr="00990D3B">
        <w:t>he Managed Care Plan</w:t>
      </w:r>
      <w:bookmarkEnd w:id="550"/>
      <w:bookmarkEnd w:id="551"/>
      <w:bookmarkEnd w:id="552"/>
      <w:bookmarkEnd w:id="553"/>
    </w:p>
    <w:p w:rsidR="00E331EC" w:rsidRPr="00990D3B" w:rsidP="00BD1FC3" w14:paraId="4124BF99" w14:textId="72E5AA8B">
      <w:pPr>
        <w:pStyle w:val="EQRMANDATORYorOPTIONAL"/>
      </w:pPr>
      <w:r w:rsidRPr="00990D3B">
        <w:t>An optional EQR-related activity</w:t>
      </w:r>
    </w:p>
    <w:tbl>
      <w:tblPr>
        <w:tblW w:w="7200" w:type="dxa"/>
        <w:tblBorders>
          <w:insideV w:val="single" w:sz="2" w:space="0" w:color="00559D"/>
        </w:tblBorders>
        <w:tblLayout w:type="fixed"/>
        <w:tblLook w:val="04A0"/>
      </w:tblPr>
      <w:tblGrid>
        <w:gridCol w:w="7200"/>
      </w:tblGrid>
      <w:tr w14:paraId="5569BE99" w14:textId="77777777" w:rsidTr="00227511">
        <w:tblPrEx>
          <w:tblW w:w="7200" w:type="dxa"/>
          <w:tblBorders>
            <w:insideV w:val="single" w:sz="2" w:space="0" w:color="00559D"/>
          </w:tblBorders>
          <w:tblLayout w:type="fixed"/>
          <w:tblLook w:val="04A0"/>
        </w:tblPrEx>
        <w:trPr>
          <w:trHeight w:val="144"/>
          <w:tblHeader/>
        </w:trPr>
        <w:tc>
          <w:tcPr>
            <w:tcW w:w="7650" w:type="dxa"/>
            <w:shd w:val="clear" w:color="auto" w:fill="1CA8B7"/>
            <w:vAlign w:val="bottom"/>
          </w:tcPr>
          <w:p w:rsidR="00227511" w:rsidRPr="00BF4A2F" w:rsidP="00BD1FC3" w14:paraId="726CDD11" w14:textId="21B3FA18">
            <w:pPr>
              <w:pStyle w:val="EQRACTIVITY"/>
              <w:rPr>
                <w:color w:val="auto"/>
              </w:rPr>
            </w:pPr>
          </w:p>
        </w:tc>
      </w:tr>
      <w:tr w14:paraId="2D39D425" w14:textId="77777777" w:rsidTr="00227511">
        <w:tblPrEx>
          <w:tblW w:w="7200" w:type="dxa"/>
          <w:tblLayout w:type="fixed"/>
          <w:tblLook w:val="04A0"/>
        </w:tblPrEx>
        <w:trPr>
          <w:trHeight w:val="20"/>
        </w:trPr>
        <w:tc>
          <w:tcPr>
            <w:tcW w:w="7650" w:type="dxa"/>
            <w:shd w:val="clear" w:color="auto" w:fill="EEF5F8"/>
          </w:tcPr>
          <w:p w:rsidR="00227511" w:rsidRPr="00990D3B" w:rsidP="00BD1FC3" w14:paraId="54C1E34D" w14:textId="6FD1D318">
            <w:pPr>
              <w:pStyle w:val="EQRACTIVITY"/>
            </w:pPr>
            <w:hyperlink w:anchor="P5A1" w:tooltip="ACTIVITY 1: REVIEW STATE REQUIREMENTS" w:history="1">
              <w:r w:rsidRPr="00990D3B">
                <w:rPr>
                  <w:rStyle w:val="Hyperlink"/>
                </w:rPr>
                <w:t>ACTIVITY 1: REVIEW STATE REQUIREMENTS</w:t>
              </w:r>
            </w:hyperlink>
          </w:p>
        </w:tc>
      </w:tr>
      <w:tr w14:paraId="098219EC" w14:textId="77777777" w:rsidTr="00227511">
        <w:tblPrEx>
          <w:tblW w:w="7200" w:type="dxa"/>
          <w:tblLayout w:type="fixed"/>
          <w:tblLook w:val="04A0"/>
        </w:tblPrEx>
        <w:trPr>
          <w:trHeight w:val="20"/>
        </w:trPr>
        <w:tc>
          <w:tcPr>
            <w:tcW w:w="7650" w:type="dxa"/>
          </w:tcPr>
          <w:p w:rsidR="00227511" w:rsidRPr="00990D3B" w:rsidP="00BD1FC3" w14:paraId="1E8C5ABF" w14:textId="2AB8460F">
            <w:pPr>
              <w:pStyle w:val="EQRACTIVITY"/>
            </w:pPr>
            <w:hyperlink w:anchor="P5A2" w:tooltip="ACTIVITY 2: REVIEW THE MCP’S CAPABILITY" w:history="1">
              <w:r w:rsidRPr="00990D3B">
                <w:rPr>
                  <w:rStyle w:val="Hyperlink"/>
                </w:rPr>
                <w:t>ACTIVITY 2: REVIEW THE MCP’S CAPABILITY</w:t>
              </w:r>
            </w:hyperlink>
          </w:p>
        </w:tc>
      </w:tr>
      <w:tr w14:paraId="47AEC2AB" w14:textId="77777777" w:rsidTr="00227511">
        <w:tblPrEx>
          <w:tblW w:w="7200" w:type="dxa"/>
          <w:tblLayout w:type="fixed"/>
          <w:tblLook w:val="04A0"/>
        </w:tblPrEx>
        <w:trPr>
          <w:trHeight w:val="20"/>
        </w:trPr>
        <w:tc>
          <w:tcPr>
            <w:tcW w:w="7650" w:type="dxa"/>
            <w:tcBorders>
              <w:bottom w:val="nil"/>
            </w:tcBorders>
            <w:shd w:val="clear" w:color="auto" w:fill="EEF5F8"/>
          </w:tcPr>
          <w:p w:rsidR="00227511" w:rsidRPr="00990D3B" w:rsidP="00BD1FC3" w14:paraId="5F291F9D" w14:textId="5C0D68D4">
            <w:pPr>
              <w:pStyle w:val="EQRACTIVITY"/>
            </w:pPr>
            <w:hyperlink w:anchor="P5A3" w:tooltip="ACTIVITY 3: ANALYZE ELECTRONIC ENCOUNTER DATA" w:history="1">
              <w:r w:rsidRPr="00990D3B">
                <w:rPr>
                  <w:rStyle w:val="Hyperlink"/>
                </w:rPr>
                <w:t>ACTIVITY 3: ANALYZE ELECTRONIC ENCOUNTER DATA</w:t>
              </w:r>
            </w:hyperlink>
          </w:p>
        </w:tc>
      </w:tr>
      <w:tr w14:paraId="3C1B98D0" w14:textId="77777777" w:rsidTr="00227511">
        <w:tblPrEx>
          <w:tblW w:w="7200" w:type="dxa"/>
          <w:tblLayout w:type="fixed"/>
          <w:tblLook w:val="04A0"/>
        </w:tblPrEx>
        <w:trPr>
          <w:trHeight w:val="20"/>
        </w:trPr>
        <w:tc>
          <w:tcPr>
            <w:tcW w:w="7650" w:type="dxa"/>
          </w:tcPr>
          <w:p w:rsidR="00227511" w:rsidRPr="00990D3B" w:rsidP="00BD1FC3" w14:paraId="166F04E6" w14:textId="29B37405">
            <w:pPr>
              <w:pStyle w:val="EQRACTIVITY"/>
            </w:pPr>
            <w:hyperlink w:anchor="P5A4" w:tooltip="ACTIVITY 4: REVIEW MEDICAL RECORDS" w:history="1">
              <w:r w:rsidRPr="00990D3B">
                <w:rPr>
                  <w:rStyle w:val="Hyperlink"/>
                </w:rPr>
                <w:t>ACTIVITY 4: REVIEW MEDICAL RECORDS</w:t>
              </w:r>
            </w:hyperlink>
          </w:p>
        </w:tc>
      </w:tr>
      <w:tr w14:paraId="7A10FD3A" w14:textId="77777777" w:rsidTr="00227511">
        <w:tblPrEx>
          <w:tblW w:w="7200" w:type="dxa"/>
          <w:tblLayout w:type="fixed"/>
          <w:tblLook w:val="04A0"/>
        </w:tblPrEx>
        <w:trPr>
          <w:trHeight w:val="20"/>
        </w:trPr>
        <w:tc>
          <w:tcPr>
            <w:tcW w:w="7650" w:type="dxa"/>
            <w:shd w:val="clear" w:color="auto" w:fill="EEF5F8"/>
          </w:tcPr>
          <w:p w:rsidR="00227511" w:rsidRPr="00990D3B" w:rsidP="00BD1FC3" w14:paraId="09C23251" w14:textId="0C7269DC">
            <w:pPr>
              <w:pStyle w:val="EQRACTIVITY"/>
            </w:pPr>
            <w:r w:rsidRPr="00C55F06">
              <w:rPr>
                <w:color w:val="007887"/>
              </w:rPr>
              <w:t xml:space="preserve">ACTIVITY 5: REPORT RESULTS TO THE </w:t>
            </w:r>
            <w:r w:rsidRPr="00990D3B" w:rsidR="00413D3F">
              <w:rPr>
                <w:rStyle w:val="Hyperlink"/>
              </w:rPr>
              <w:t xml:space="preserve">STATE </w:t>
            </w:r>
          </w:p>
        </w:tc>
      </w:tr>
    </w:tbl>
    <w:p w:rsidR="00102B29" w:rsidRPr="00990D3B" w:rsidP="00BD1FC3" w14:paraId="32BC1625" w14:textId="77777777">
      <w:pPr>
        <w:pStyle w:val="H2"/>
      </w:pPr>
      <w:bookmarkStart w:id="554" w:name="_Toc493246391"/>
      <w:bookmarkStart w:id="555" w:name="_Toc496116392"/>
      <w:bookmarkStart w:id="556" w:name="_Toc14777704"/>
      <w:bookmarkStart w:id="557" w:name="_Toc183005602"/>
      <w:bookmarkStart w:id="558" w:name="_Toc201751372"/>
      <w:r w:rsidRPr="00990D3B">
        <w:t>Background</w:t>
      </w:r>
      <w:bookmarkEnd w:id="554"/>
      <w:bookmarkEnd w:id="555"/>
      <w:bookmarkEnd w:id="556"/>
      <w:bookmarkEnd w:id="557"/>
      <w:bookmarkEnd w:id="558"/>
    </w:p>
    <w:p w:rsidR="004F2FA0" w:rsidRPr="00990D3B" w:rsidP="00BD1FC3" w14:paraId="449447B3" w14:textId="1D5E038D">
      <w:pPr>
        <w:pStyle w:val="ParagraphContinued"/>
        <w:ind w:right="2070"/>
      </w:pPr>
      <w:r w:rsidRPr="00990D3B">
        <w:t xml:space="preserve">Encounter data </w:t>
      </w:r>
      <w:r w:rsidRPr="00990D3B">
        <w:t>are</w:t>
      </w:r>
      <w:r w:rsidRPr="00990D3B">
        <w:t xml:space="preserve"> the information related to the receipt of any item or service by an enrollee in a managed care plan</w:t>
      </w:r>
      <w:r w:rsidRPr="00990D3B" w:rsidR="00BE2735">
        <w:t xml:space="preserve"> (MCP)</w:t>
      </w:r>
      <w:r w:rsidRPr="00990D3B">
        <w:t xml:space="preserve">. It is often thought of as the managed care equivalent of fee-for-service (FFS) claims. Encounter data reflect that a provider rendered a specific service </w:t>
      </w:r>
      <w:r w:rsidRPr="00990D3B" w:rsidR="00AD1017">
        <w:t xml:space="preserve">under a managed care delivery system, regardless of </w:t>
      </w:r>
      <w:r w:rsidRPr="00990D3B" w:rsidR="00AD1017">
        <w:t>if</w:t>
      </w:r>
      <w:r w:rsidRPr="00990D3B" w:rsidR="00AD1017">
        <w:t xml:space="preserve"> or how the MCP ultimately reimbursed the provider. They contain substantially the same information included on claim forms (e.g., UB-04 or CMS 1500), although not necessarily in the same format. However, because some managed care providers and/or services may be paid via capitation or episodes of care, rather than based on a claim submitted for individual services rendered, encounter data may be less complete or accurate than claim data. As payment methodologies have begun to incorporate value-based payment elements (such as bundled payment or episode payment), collecting complete and accurate encounter data has become even more crucial. </w:t>
      </w:r>
    </w:p>
    <w:p w:rsidR="00AD1017" w:rsidRPr="00990D3B" w:rsidP="00BD1FC3" w14:paraId="72750AED" w14:textId="209760D0">
      <w:pPr>
        <w:pStyle w:val="ParagraphContinued"/>
        <w:ind w:right="2070"/>
      </w:pPr>
      <w:r w:rsidRPr="00990D3B">
        <w:t xml:space="preserve">Since 1999, </w:t>
      </w:r>
      <w:r w:rsidRPr="00990D3B" w:rsidR="00502004">
        <w:t>the Centers for Medicare &amp; Medicaid Services (</w:t>
      </w:r>
      <w:r w:rsidRPr="00990D3B">
        <w:t>CMS</w:t>
      </w:r>
      <w:r w:rsidRPr="00990D3B" w:rsidR="00502004">
        <w:t>)</w:t>
      </w:r>
      <w:r w:rsidRPr="00990D3B">
        <w:t xml:space="preserve"> has required states to submit complete and accurate enrollment and utilization data, including FFS claims and encounter records, through the Medicaid Statistical Information System (MSIS). In 2011, CMS began working with state agencies and other stakeholders to build a new data infrastructure</w:t>
      </w:r>
      <w:r w:rsidRPr="00990D3B" w:rsidR="00BE2735">
        <w:t xml:space="preserve"> to replace MSIS</w:t>
      </w:r>
      <w:r w:rsidRPr="00990D3B">
        <w:t xml:space="preserve">. The Transformed Medicaid Statistical Information System (known as T-MSIS) is intended to modernize the way states submit </w:t>
      </w:r>
      <w:r w:rsidRPr="00990D3B" w:rsidR="00B95E60">
        <w:t xml:space="preserve">Medicaid and </w:t>
      </w:r>
      <w:r w:rsidRPr="00990D3B" w:rsidR="00D36423">
        <w:t>Children’s Health Insurance Program (</w:t>
      </w:r>
      <w:r w:rsidRPr="00990D3B" w:rsidR="00B95E60">
        <w:t>CHIP</w:t>
      </w:r>
      <w:r w:rsidRPr="00990D3B" w:rsidR="00D36423">
        <w:t xml:space="preserve">) </w:t>
      </w:r>
      <w:r w:rsidRPr="00990D3B">
        <w:t>data</w:t>
      </w:r>
      <w:r w:rsidRPr="00990D3B" w:rsidR="00B95E60">
        <w:t>, including</w:t>
      </w:r>
      <w:r w:rsidRPr="00990D3B">
        <w:t xml:space="preserve"> about beneficiaries, providers, MCPs, FFS claims, third-party liability, and </w:t>
      </w:r>
      <w:r w:rsidRPr="00990D3B">
        <w:t>encounters to CMS</w:t>
      </w:r>
      <w:r w:rsidRPr="00990D3B" w:rsidR="00A8616F">
        <w:t>. States must comply with the T-MSIS requirements and</w:t>
      </w:r>
      <w:r w:rsidRPr="00990D3B" w:rsidR="00C66F9F">
        <w:t xml:space="preserve"> all associate</w:t>
      </w:r>
      <w:r w:rsidRPr="00990D3B" w:rsidR="00BE2735">
        <w:t>d</w:t>
      </w:r>
      <w:r w:rsidRPr="00990D3B" w:rsidR="00A8616F">
        <w:t xml:space="preserve"> guidance for all managed care data</w:t>
      </w:r>
      <w:r w:rsidRPr="00990D3B" w:rsidR="007B4ABC">
        <w:t xml:space="preserve"> submitted to CMS</w:t>
      </w:r>
      <w:r w:rsidRPr="00990D3B" w:rsidR="00A8616F">
        <w:t>.</w:t>
      </w:r>
      <w:r w:rsidRPr="00990D3B" w:rsidR="003162DF">
        <w:rPr>
          <w:rFonts w:ascii="ZWAdobeF" w:hAnsi="ZWAdobeF" w:cs="ZWAdobeF"/>
          <w:sz w:val="2"/>
          <w:szCs w:val="2"/>
        </w:rPr>
        <w:t>64F</w:t>
      </w:r>
      <w:r>
        <w:rPr>
          <w:rStyle w:val="FootnoteReference"/>
        </w:rPr>
        <w:footnoteReference w:id="73"/>
      </w:r>
      <w:r w:rsidRPr="00990D3B" w:rsidR="00A8616F">
        <w:t xml:space="preserve"> </w:t>
      </w:r>
    </w:p>
    <w:p w:rsidR="00A071E9" w:rsidRPr="00990D3B" w:rsidP="00BD1FC3" w14:paraId="3E7A2433" w14:textId="660CEE44">
      <w:pPr>
        <w:pStyle w:val="Paragraph0"/>
      </w:pPr>
      <w:r w:rsidRPr="00990D3B">
        <w:t>The a</w:t>
      </w:r>
      <w:r w:rsidRPr="00990D3B">
        <w:t xml:space="preserve">vailability of accurate and complete encounter data </w:t>
      </w:r>
      <w:r w:rsidRPr="00990D3B" w:rsidR="00FC5DDE">
        <w:t>are</w:t>
      </w:r>
      <w:r w:rsidRPr="00990D3B" w:rsidR="00FC5DDE">
        <w:t xml:space="preserve"> </w:t>
      </w:r>
      <w:r w:rsidRPr="00990D3B">
        <w:t xml:space="preserve">important to the effective operation and oversight of MCPs that serve </w:t>
      </w:r>
      <w:r w:rsidRPr="00990D3B">
        <w:t>enrollees</w:t>
      </w:r>
      <w:r w:rsidRPr="00990D3B">
        <w:t xml:space="preserve"> covered by </w:t>
      </w:r>
      <w:r w:rsidRPr="00990D3B" w:rsidR="00D36423">
        <w:t>C</w:t>
      </w:r>
      <w:r w:rsidRPr="00990D3B">
        <w:t>HIP</w:t>
      </w:r>
      <w:r w:rsidRPr="00990D3B" w:rsidR="00D36423">
        <w:t xml:space="preserve"> </w:t>
      </w:r>
      <w:r w:rsidRPr="00990D3B">
        <w:t>(</w:t>
      </w:r>
      <w:r w:rsidRPr="00990D3B" w:rsidR="00D353E6">
        <w:t>s</w:t>
      </w:r>
      <w:r w:rsidRPr="00990D3B">
        <w:t xml:space="preserve">ee </w:t>
      </w:r>
      <w:hyperlink w:anchor="Box5n1" w:tooltip="Box 5.1" w:history="1">
        <w:r w:rsidRPr="00990D3B" w:rsidR="00827AC5">
          <w:rPr>
            <w:rStyle w:val="Hyperlink"/>
          </w:rPr>
          <w:t>B</w:t>
        </w:r>
        <w:r w:rsidRPr="00990D3B">
          <w:rPr>
            <w:rStyle w:val="Hyperlink"/>
          </w:rPr>
          <w:t>ox</w:t>
        </w:r>
        <w:r w:rsidRPr="00990D3B" w:rsidR="00827AC5">
          <w:rPr>
            <w:rStyle w:val="Hyperlink"/>
          </w:rPr>
          <w:t xml:space="preserve"> 5.1</w:t>
        </w:r>
      </w:hyperlink>
      <w:r w:rsidRPr="00990D3B" w:rsidR="003C330D">
        <w:t xml:space="preserve">). </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251FD326" w14:textId="77777777" w:rsidTr="000F67F7">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216"/>
        </w:trPr>
        <w:tc>
          <w:tcPr>
            <w:tcW w:w="9314" w:type="dxa"/>
            <w:shd w:val="clear" w:color="auto" w:fill="EEF5F8"/>
          </w:tcPr>
          <w:p w:rsidR="00FA2FB4" w:rsidRPr="00990D3B" w:rsidP="00BD1FC3" w14:paraId="7803310A" w14:textId="77777777">
            <w:pPr>
              <w:pStyle w:val="EQRTextboxheading"/>
              <w:keepNext/>
              <w:spacing w:before="0" w:after="0"/>
            </w:pPr>
            <w:bookmarkStart w:id="559" w:name="Box5n1"/>
            <w:bookmarkStart w:id="560" w:name="_Hlk95381766"/>
            <w:bookmarkEnd w:id="559"/>
            <w:r w:rsidRPr="00990D3B">
              <w:t>Box 5.1 State Uses of Encounter Data</w:t>
            </w:r>
          </w:p>
          <w:p w:rsidR="00F27AAD" w:rsidRPr="00990D3B" w:rsidP="000E758E" w14:paraId="34867413" w14:textId="17BA909B">
            <w:pPr>
              <w:pStyle w:val="EQRTextboxbody"/>
              <w:spacing w:after="0"/>
            </w:pPr>
            <w:r w:rsidRPr="00990D3B">
              <w:t>States use encounter data to monitor and improve the performance of their Medicaid and CHIP managed care programs</w:t>
            </w:r>
            <w:r w:rsidRPr="00990D3B" w:rsidR="00282FB9">
              <w:t xml:space="preserve"> in a </w:t>
            </w:r>
            <w:r w:rsidRPr="00990D3B" w:rsidR="004A622E">
              <w:t>variety</w:t>
            </w:r>
            <w:r w:rsidRPr="00990D3B" w:rsidR="00282FB9">
              <w:t xml:space="preserve"> of ways</w:t>
            </w:r>
            <w:r w:rsidRPr="00990D3B">
              <w:t>. The examples below highlight common ways states leverage encounter data to support oversight, program evaluation, and quality improvement efforts:</w:t>
            </w:r>
          </w:p>
        </w:tc>
      </w:tr>
      <w:tr w14:paraId="48BAE858" w14:textId="77777777" w:rsidTr="00FA2FB4">
        <w:tblPrEx>
          <w:tblW w:w="0" w:type="auto"/>
          <w:tblCellMar>
            <w:top w:w="72" w:type="dxa"/>
            <w:left w:w="173" w:type="dxa"/>
            <w:bottom w:w="72" w:type="dxa"/>
            <w:right w:w="173" w:type="dxa"/>
          </w:tblCellMar>
          <w:tblLook w:val="04A0"/>
        </w:tblPrEx>
        <w:trPr>
          <w:cantSplit/>
          <w:trHeight w:val="1764"/>
        </w:trPr>
        <w:tc>
          <w:tcPr>
            <w:tcW w:w="9314" w:type="dxa"/>
            <w:shd w:val="clear" w:color="auto" w:fill="EEF5F8"/>
          </w:tcPr>
          <w:p w:rsidR="00FA2FB4" w:rsidRPr="00990D3B" w:rsidP="00F27AAD" w14:paraId="08156390" w14:textId="77777777">
            <w:pPr>
              <w:pStyle w:val="EQRTextboxbullet"/>
            </w:pPr>
            <w:r w:rsidRPr="00990D3B">
              <w:t>Develop capitation rates</w:t>
            </w:r>
          </w:p>
          <w:p w:rsidR="00FA2FB4" w:rsidRPr="00990D3B" w:rsidP="00F27AAD" w14:paraId="37994D66" w14:textId="77777777">
            <w:pPr>
              <w:pStyle w:val="EQRTextboxbullet"/>
            </w:pPr>
            <w:r w:rsidRPr="00990D3B">
              <w:t>Perform risk adjustment</w:t>
            </w:r>
          </w:p>
          <w:p w:rsidR="00FA2FB4" w:rsidRPr="00990D3B" w:rsidP="00F27AAD" w14:paraId="0F3B23D7" w14:textId="77777777">
            <w:pPr>
              <w:pStyle w:val="EQRTextboxbullet"/>
            </w:pPr>
            <w:r w:rsidRPr="00990D3B">
              <w:t>Measure quality</w:t>
            </w:r>
          </w:p>
          <w:p w:rsidR="00FA2FB4" w:rsidRPr="00990D3B" w:rsidP="00F27AAD" w14:paraId="6ADAA427" w14:textId="77777777">
            <w:pPr>
              <w:pStyle w:val="EQRTextboxbullet"/>
            </w:pPr>
            <w:r w:rsidRPr="00990D3B">
              <w:t>Implement alternative payment methods</w:t>
            </w:r>
          </w:p>
          <w:p w:rsidR="00FA2FB4" w:rsidRPr="00990D3B" w:rsidP="00F27AAD" w14:paraId="60D85D15" w14:textId="77777777">
            <w:pPr>
              <w:pStyle w:val="EQRTextboxbullet"/>
            </w:pPr>
            <w:r w:rsidRPr="00990D3B">
              <w:t xml:space="preserve">Conduct program integrity </w:t>
            </w:r>
          </w:p>
          <w:p w:rsidR="00FA2FB4" w:rsidRPr="00990D3B" w:rsidP="00F27AAD" w14:paraId="139EA8B5" w14:textId="6777E4A4">
            <w:pPr>
              <w:pStyle w:val="EQRTextboxbullet"/>
            </w:pPr>
            <w:r w:rsidRPr="00990D3B">
              <w:t>Engage in policy development</w:t>
            </w:r>
          </w:p>
        </w:tc>
      </w:tr>
    </w:tbl>
    <w:bookmarkEnd w:id="560"/>
    <w:p w:rsidR="00A071E9" w:rsidRPr="00990D3B" w:rsidP="00BD1FC3" w14:paraId="6ECB943D" w14:textId="4172819A">
      <w:pPr>
        <w:pStyle w:val="ParagraphContinued"/>
      </w:pPr>
      <w:r w:rsidRPr="00990D3B">
        <w:t xml:space="preserve">Federal regulations at </w:t>
      </w:r>
      <w:r w:rsidRPr="00990D3B" w:rsidR="001C7FC0">
        <w:t>42 C.F.R.</w:t>
      </w:r>
      <w:r w:rsidRPr="00990D3B">
        <w:t xml:space="preserve"> 438 include several provisions related to encounter data</w:t>
      </w:r>
      <w:r w:rsidRPr="00990D3B" w:rsidR="00D36423">
        <w:t xml:space="preserve">: </w:t>
      </w:r>
    </w:p>
    <w:p w:rsidR="00A071E9" w:rsidRPr="00990D3B" w:rsidP="00FB7CAF" w14:paraId="1302CE97" w14:textId="540C01EC">
      <w:pPr>
        <w:pStyle w:val="EQRBulletBLUE"/>
      </w:pPr>
      <w:r w:rsidRPr="00990D3B">
        <w:t xml:space="preserve">All providers must submit </w:t>
      </w:r>
      <w:r w:rsidRPr="00990D3B" w:rsidR="00086A24">
        <w:t xml:space="preserve">claims and/or </w:t>
      </w:r>
      <w:r w:rsidRPr="00990D3B">
        <w:t xml:space="preserve">encounters </w:t>
      </w:r>
      <w:r w:rsidRPr="00990D3B" w:rsidR="00BF07B5">
        <w:t xml:space="preserve">to states </w:t>
      </w:r>
      <w:r w:rsidRPr="00990D3B">
        <w:t xml:space="preserve">for all services regardless of the method by which a plan pays its providers (e.g., </w:t>
      </w:r>
      <w:r w:rsidRPr="00990D3B" w:rsidR="00BF07B5">
        <w:t xml:space="preserve">FFS, capitated, basis, or </w:t>
      </w:r>
      <w:r w:rsidRPr="00990D3B">
        <w:t>sub-capitation)</w:t>
      </w:r>
      <w:r w:rsidRPr="00990D3B" w:rsidR="00DB390C">
        <w:t xml:space="preserve"> (</w:t>
      </w:r>
      <w:r w:rsidRPr="00990D3B" w:rsidR="001C7FC0">
        <w:t>42 C.F.R.</w:t>
      </w:r>
      <w:r w:rsidRPr="00990D3B" w:rsidR="007854DF">
        <w:t xml:space="preserve"> </w:t>
      </w:r>
      <w:r w:rsidRPr="00990D3B" w:rsidR="00DB390C">
        <w:t>438.818(a))</w:t>
      </w:r>
      <w:r w:rsidRPr="00990D3B" w:rsidR="00D36423">
        <w:t>.</w:t>
      </w:r>
    </w:p>
    <w:p w:rsidR="002C49BD" w:rsidRPr="00990D3B" w:rsidP="00FB7CAF" w14:paraId="4E4EB875" w14:textId="21FA0A73">
      <w:pPr>
        <w:pStyle w:val="EQRBulletBLUE"/>
      </w:pPr>
      <w:r w:rsidRPr="00990D3B">
        <w:t>States must review and validate encounter data on initial receipt from their MCPs, and again when they submit it to CMS (</w:t>
      </w:r>
      <w:r w:rsidRPr="00990D3B" w:rsidR="001C7FC0">
        <w:t>42 C.F.R.</w:t>
      </w:r>
      <w:r w:rsidRPr="00990D3B" w:rsidR="007854DF">
        <w:t xml:space="preserve"> </w:t>
      </w:r>
      <w:r w:rsidRPr="00990D3B">
        <w:t>438.818(a)(2))</w:t>
      </w:r>
      <w:r w:rsidRPr="00990D3B" w:rsidR="00D36423">
        <w:t>.</w:t>
      </w:r>
    </w:p>
    <w:p w:rsidR="00A071E9" w:rsidRPr="00990D3B" w:rsidP="00FB7CAF" w14:paraId="6DBC3604" w14:textId="1EB6B884">
      <w:pPr>
        <w:pStyle w:val="EQRBulletBLUE"/>
      </w:pPr>
      <w:r w:rsidRPr="00990D3B">
        <w:t>States must submit complete, accurate, and timely encounter data to CMS in a standardized format (</w:t>
      </w:r>
      <w:r w:rsidRPr="00990D3B" w:rsidR="00BF07B5">
        <w:t>i.e.,</w:t>
      </w:r>
      <w:r w:rsidRPr="00990D3B">
        <w:t xml:space="preserve"> T-MSIS)</w:t>
      </w:r>
      <w:r w:rsidRPr="00990D3B" w:rsidR="00BF07B5">
        <w:t xml:space="preserve"> (</w:t>
      </w:r>
      <w:r w:rsidRPr="00990D3B" w:rsidR="001C7FC0">
        <w:t>42 C.F.R.</w:t>
      </w:r>
      <w:r w:rsidRPr="00990D3B" w:rsidR="007854DF">
        <w:t xml:space="preserve"> </w:t>
      </w:r>
      <w:r w:rsidRPr="00990D3B" w:rsidR="00BF07B5">
        <w:t>438.818(a)(3))</w:t>
      </w:r>
      <w:r w:rsidRPr="00990D3B" w:rsidR="00D36423">
        <w:t>.</w:t>
      </w:r>
    </w:p>
    <w:p w:rsidR="003C330D" w:rsidRPr="00990D3B" w:rsidP="00FB7CAF" w14:paraId="779DFBD7" w14:textId="2792DE63">
      <w:pPr>
        <w:pStyle w:val="EQRBulletBLUE"/>
      </w:pPr>
      <w:r w:rsidRPr="00990D3B">
        <w:t>CMS may impose penalties on states for noncompliance by withholding Federal Financial Participation (FFP) funds</w:t>
      </w:r>
      <w:r w:rsidRPr="00990D3B" w:rsidR="00760EAC">
        <w:t xml:space="preserve"> </w:t>
      </w:r>
      <w:r w:rsidRPr="00990D3B" w:rsidR="00BF07B5">
        <w:t>(</w:t>
      </w:r>
      <w:r w:rsidRPr="00990D3B" w:rsidR="001C7FC0">
        <w:t>42 C.F.R.</w:t>
      </w:r>
      <w:r w:rsidRPr="00990D3B" w:rsidR="007854DF">
        <w:t xml:space="preserve"> </w:t>
      </w:r>
      <w:r w:rsidRPr="00990D3B" w:rsidR="00BF07B5">
        <w:t>438.818(c))</w:t>
      </w:r>
      <w:r w:rsidRPr="00990D3B" w:rsidR="00D36423">
        <w:t>.</w:t>
      </w:r>
    </w:p>
    <w:p w:rsidR="00BE2735" w:rsidRPr="00990D3B" w:rsidP="00FB7CAF" w14:paraId="604D12D6" w14:textId="47C98DFE">
      <w:pPr>
        <w:pStyle w:val="EQRBulletBLUE"/>
      </w:pPr>
      <w:r w:rsidRPr="00990D3B">
        <w:t>This protocol provides guidance to EQROs on validating the accuracy and completeness of encounter data submitted by MCPs.</w:t>
      </w:r>
    </w:p>
    <w:p w:rsidR="003C330D" w:rsidRPr="00990D3B" w:rsidP="00BD1FC3" w14:paraId="1868B13D" w14:textId="67605A8B">
      <w:pPr>
        <w:pStyle w:val="H2"/>
      </w:pPr>
      <w:bookmarkStart w:id="561" w:name="_Toc14777705"/>
      <w:bookmarkStart w:id="562" w:name="_Toc183005603"/>
      <w:bookmarkStart w:id="563" w:name="_Toc201751373"/>
      <w:r w:rsidRPr="00990D3B">
        <w:t>G</w:t>
      </w:r>
      <w:r w:rsidRPr="00990D3B" w:rsidR="00046E8B">
        <w:t>etting</w:t>
      </w:r>
      <w:r w:rsidRPr="00990D3B">
        <w:t xml:space="preserve"> S</w:t>
      </w:r>
      <w:r w:rsidRPr="00990D3B" w:rsidR="00046E8B">
        <w:t xml:space="preserve">tarted on </w:t>
      </w:r>
      <w:r w:rsidRPr="00990D3B">
        <w:t>P</w:t>
      </w:r>
      <w:r w:rsidRPr="00990D3B" w:rsidR="00046E8B">
        <w:t xml:space="preserve">rotocol </w:t>
      </w:r>
      <w:r w:rsidRPr="00990D3B">
        <w:t>5</w:t>
      </w:r>
      <w:bookmarkEnd w:id="561"/>
      <w:bookmarkEnd w:id="562"/>
      <w:bookmarkEnd w:id="563"/>
    </w:p>
    <w:p w:rsidR="003C330D" w:rsidRPr="00990D3B" w:rsidP="000768CC" w14:paraId="0364387D" w14:textId="42DAF84B">
      <w:pPr>
        <w:pStyle w:val="ParagraphContinued"/>
      </w:pPr>
      <w:r w:rsidRPr="00990D3B">
        <w:t xml:space="preserve">To complete this protocol, the </w:t>
      </w:r>
      <w:r w:rsidRPr="00990D3B" w:rsidR="00D36423">
        <w:t>external quality review organization (</w:t>
      </w:r>
      <w:r w:rsidRPr="00990D3B">
        <w:t>EQRO</w:t>
      </w:r>
      <w:r w:rsidRPr="00990D3B" w:rsidR="00D36423">
        <w:t xml:space="preserve">) </w:t>
      </w:r>
      <w:r w:rsidRPr="00990D3B">
        <w:t>undertakes five activities for each MCP (</w:t>
      </w:r>
      <w:hyperlink w:anchor="Figure5i" w:tooltip="Figure 5.1" w:history="1">
        <w:r w:rsidRPr="00990D3B">
          <w:rPr>
            <w:rStyle w:val="Hyperlink"/>
          </w:rPr>
          <w:t xml:space="preserve">Figure </w:t>
        </w:r>
        <w:r w:rsidRPr="00990D3B" w:rsidR="00E331EC">
          <w:rPr>
            <w:rStyle w:val="Hyperlink"/>
          </w:rPr>
          <w:t>5.</w:t>
        </w:r>
        <w:r w:rsidRPr="00990D3B">
          <w:rPr>
            <w:rStyle w:val="Hyperlink"/>
          </w:rPr>
          <w:t>1</w:t>
        </w:r>
      </w:hyperlink>
      <w:r w:rsidRPr="00990D3B" w:rsidR="00D36423">
        <w:rPr>
          <w:rStyle w:val="Hyperlink"/>
        </w:rPr>
        <w:t xml:space="preserve">, </w:t>
      </w:r>
      <w:r w:rsidRPr="00990D3B" w:rsidR="00D36423">
        <w:rPr>
          <w:rStyle w:val="Hyperlink"/>
          <w:color w:val="auto"/>
        </w:rPr>
        <w:t>next page</w:t>
      </w:r>
      <w:r w:rsidRPr="00990D3B" w:rsidR="002A5271">
        <w:t>).</w:t>
      </w:r>
    </w:p>
    <w:p w:rsidR="00190EA9" w:rsidRPr="00990D3B" w:rsidP="00BD1FC3" w14:paraId="0EAA6101" w14:textId="469C0753">
      <w:pPr>
        <w:pStyle w:val="MarkforFigureHeading"/>
      </w:pPr>
      <w:bookmarkStart w:id="564" w:name="Figure5i"/>
      <w:bookmarkEnd w:id="564"/>
      <w:r w:rsidRPr="00990D3B">
        <w:t xml:space="preserve">Figure </w:t>
      </w:r>
      <w:r w:rsidRPr="00990D3B" w:rsidR="00E331EC">
        <w:t>5.</w:t>
      </w:r>
      <w:r w:rsidRPr="00990D3B">
        <w:t xml:space="preserve">1. Protocol 5 </w:t>
      </w:r>
      <w:r w:rsidRPr="00990D3B" w:rsidR="002C49BD">
        <w:t>A</w:t>
      </w:r>
      <w:r w:rsidRPr="00990D3B">
        <w:t>ctivities</w:t>
      </w:r>
      <w:r w:rsidRPr="00990D3B" w:rsidR="00EF7DCD">
        <w:tab/>
      </w:r>
    </w:p>
    <w:p w:rsidR="00940538" w:rsidRPr="00990D3B" w:rsidP="00BD1FC3" w14:paraId="59284996" w14:textId="67AD1EE0">
      <w:pPr>
        <w:pStyle w:val="EQRFigure"/>
      </w:pPr>
      <w:r w:rsidRPr="00990D3B">
        <w:drawing>
          <wp:inline distT="0" distB="0" distL="0" distR="0">
            <wp:extent cx="5943600" cy="3139440"/>
            <wp:effectExtent l="0" t="0" r="0" b="3810"/>
            <wp:docPr id="63074411" name="Picture 3" descr="This graphic shows the activities and steps included in Protocol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74411" name="Picture 3" descr="This graphic shows the activities and steps included in Protocol 5"/>
                    <pic:cNvPicPr/>
                  </pic:nvPicPr>
                  <pic:blipFill>
                    <a:blip xmlns:r="http://schemas.openxmlformats.org/officeDocument/2006/relationships" r:embed="rId167">
                      <a:extLst>
                        <a:ext xmlns:a="http://schemas.openxmlformats.org/drawingml/2006/main" uri="{28A0092B-C50C-407E-A947-70E740481C1C}">
                          <a14:useLocalDpi xmlns:a14="http://schemas.microsoft.com/office/drawing/2010/main" val="0"/>
                        </a:ext>
                      </a:extLst>
                    </a:blip>
                    <a:stretch>
                      <a:fillRect/>
                    </a:stretch>
                  </pic:blipFill>
                  <pic:spPr>
                    <a:xfrm>
                      <a:off x="0" y="0"/>
                      <a:ext cx="5943600" cy="3139440"/>
                    </a:xfrm>
                    <a:prstGeom prst="rect">
                      <a:avLst/>
                    </a:prstGeom>
                  </pic:spPr>
                </pic:pic>
              </a:graphicData>
            </a:graphic>
          </wp:inline>
        </w:drawing>
      </w:r>
    </w:p>
    <w:p w:rsidR="00EE5B26" w:rsidRPr="00990D3B" w:rsidP="000768CC" w14:paraId="3767EC08" w14:textId="0FF8A91C">
      <w:pPr>
        <w:pStyle w:val="ParagraphContinued"/>
      </w:pPr>
      <w:r w:rsidRPr="00990D3B">
        <w:t xml:space="preserve">Two </w:t>
      </w:r>
      <w:r w:rsidRPr="00990D3B" w:rsidR="002C49BD">
        <w:t>supplemental resource</w:t>
      </w:r>
      <w:r w:rsidRPr="00990D3B">
        <w:t>s</w:t>
      </w:r>
      <w:r w:rsidRPr="00990D3B" w:rsidR="002C49BD">
        <w:t xml:space="preserve"> </w:t>
      </w:r>
      <w:r w:rsidRPr="00990D3B">
        <w:t>are</w:t>
      </w:r>
      <w:r w:rsidRPr="00990D3B" w:rsidR="002C49BD">
        <w:t xml:space="preserve"> available to help </w:t>
      </w:r>
      <w:r w:rsidRPr="00990D3B" w:rsidR="00D36423">
        <w:t xml:space="preserve">EQROs </w:t>
      </w:r>
      <w:r w:rsidRPr="00990D3B" w:rsidR="002C49BD">
        <w:t>validate encounter data</w:t>
      </w:r>
      <w:r w:rsidRPr="00990D3B">
        <w:t>:</w:t>
      </w:r>
    </w:p>
    <w:p w:rsidR="00AC44F2" w:rsidRPr="00990D3B" w:rsidP="00FB7CAF" w14:paraId="362D20DA" w14:textId="4DCE7FDF">
      <w:pPr>
        <w:pStyle w:val="EQRBulletBLUE"/>
      </w:pPr>
      <w:hyperlink w:anchor="WSp5" w:tooltip="Worksheets for Protocol 5. Encounter Data Tables" w:history="1">
        <w:r w:rsidRPr="00990D3B">
          <w:rPr>
            <w:rStyle w:val="Hyperlink"/>
          </w:rPr>
          <w:t>Worksheets for Protocol 5. Encounter Data Tables</w:t>
        </w:r>
      </w:hyperlink>
      <w:r w:rsidRPr="00990D3B">
        <w:t xml:space="preserve">, a set of worksheets that can be used to </w:t>
      </w:r>
      <w:r w:rsidRPr="00990D3B" w:rsidR="009D18ED">
        <w:t xml:space="preserve">document acceptable error rates and data element validity requirements, findings from the review of individual encounter records, </w:t>
      </w:r>
      <w:r w:rsidRPr="00990D3B">
        <w:t xml:space="preserve">a </w:t>
      </w:r>
      <w:r w:rsidRPr="00990D3B" w:rsidR="009D18ED">
        <w:t>c</w:t>
      </w:r>
      <w:r w:rsidRPr="00990D3B">
        <w:t>omparison</w:t>
      </w:r>
      <w:r w:rsidRPr="00990D3B" w:rsidR="009D18ED">
        <w:t xml:space="preserve"> of findings to state-identified benchmarks</w:t>
      </w:r>
      <w:r w:rsidRPr="00990D3B">
        <w:t>, results from the EQRO’s</w:t>
      </w:r>
      <w:r w:rsidRPr="00990D3B" w:rsidR="00D36423">
        <w:t xml:space="preserve"> </w:t>
      </w:r>
      <w:r w:rsidRPr="00990D3B">
        <w:t xml:space="preserve">validation of medical records, and a suggested format for reporting encounter data validation information in the </w:t>
      </w:r>
      <w:r w:rsidRPr="00990D3B" w:rsidR="00EA4885">
        <w:t>annual external quality review (</w:t>
      </w:r>
      <w:r w:rsidRPr="00990D3B">
        <w:t>EQR</w:t>
      </w:r>
      <w:r w:rsidRPr="00990D3B" w:rsidR="00EA4885">
        <w:t>)</w:t>
      </w:r>
      <w:r w:rsidRPr="00990D3B">
        <w:t xml:space="preserve"> technical report. </w:t>
      </w:r>
    </w:p>
    <w:p w:rsidR="004E6CF0" w:rsidRPr="00990D3B" w:rsidP="00FB7CAF" w14:paraId="05C9D7C0" w14:textId="7A1561F6">
      <w:pPr>
        <w:pStyle w:val="EQRBulletBLUE"/>
      </w:pPr>
      <w:hyperlink w:anchor="AppB" w:tooltip="Appendix B. Information System Capabilities Assessment" w:history="1">
        <w:r w:rsidRPr="00990D3B">
          <w:rPr>
            <w:rStyle w:val="Hyperlink"/>
          </w:rPr>
          <w:t>Appendix B</w:t>
        </w:r>
        <w:r w:rsidRPr="00990D3B">
          <w:rPr>
            <w:rStyle w:val="Hyperlink"/>
          </w:rPr>
          <w:t>. Information System Capabilities Assessment</w:t>
        </w:r>
      </w:hyperlink>
      <w:r w:rsidRPr="00990D3B">
        <w:t>, which is used to assess the MCP’s data collection, processing, and reporting systems</w:t>
      </w:r>
    </w:p>
    <w:p w:rsidR="00252FD5" w:rsidRPr="00990D3B" w:rsidP="00BD1FC3" w14:paraId="0D89874A" w14:textId="3538E09F">
      <w:pPr>
        <w:spacing w:before="240"/>
        <w:rPr>
          <w:rFonts w:ascii="Calibri" w:hAnsi="Calibri"/>
        </w:rPr>
      </w:pPr>
      <w:r w:rsidRPr="00990D3B">
        <w:t>In addition, it may be helpful to refer to the CMS Encounter Data Toolkit contain</w:t>
      </w:r>
      <w:r w:rsidRPr="00990D3B" w:rsidR="00760EAC">
        <w:t>ing</w:t>
      </w:r>
      <w:r w:rsidRPr="00990D3B">
        <w:t xml:space="preserve"> additional information and resources about the validation process</w:t>
      </w:r>
      <w:r w:rsidRPr="00990D3B" w:rsidR="00760EAC">
        <w:t>,</w:t>
      </w:r>
      <w:r w:rsidRPr="00990D3B">
        <w:t xml:space="preserve"> available at </w:t>
      </w:r>
      <w:hyperlink r:id="rId168" w:tooltip="Encounter Data Toolkit." w:history="1">
        <w:r w:rsidRPr="00990D3B">
          <w:rPr>
            <w:rStyle w:val="Hyperlink"/>
          </w:rPr>
          <w:t>https://www.medicaid.gov/medicaid/downloads/medicaid-encounter-data-toolkit.pdf</w:t>
        </w:r>
      </w:hyperlink>
      <w:r w:rsidRPr="00990D3B">
        <w:t xml:space="preserve">. </w:t>
      </w:r>
    </w:p>
    <w:p w:rsidR="00262DFE" w:rsidRPr="00990D3B" w:rsidP="00BD1FC3" w14:paraId="3849A1E7" w14:textId="7017C745">
      <w:pPr>
        <w:pStyle w:val="ParagraphContinued"/>
      </w:pPr>
      <w:r w:rsidRPr="00990D3B">
        <w:t>The remainder of this protocol outlines the steps associat</w:t>
      </w:r>
      <w:r w:rsidRPr="00990D3B" w:rsidR="00E82888">
        <w:t>ed with Activities 1 through 5.</w:t>
      </w:r>
    </w:p>
    <w:p w:rsidR="00E82888" w:rsidRPr="00990D3B" w:rsidP="00BD1FC3" w14:paraId="5D760A85" w14:textId="2FB5EC07">
      <w:pPr>
        <w:pStyle w:val="EQRFigure"/>
      </w:pPr>
      <w:r w:rsidRPr="00990D3B">
        <w:drawing>
          <wp:inline distT="0" distB="0" distL="0" distR="0">
            <wp:extent cx="5236475" cy="1191770"/>
            <wp:effectExtent l="0" t="0" r="2540" b="8890"/>
            <wp:docPr id="691" name="Picture 691" descr="TIP: Navigate to the corresponding worksheet by clicking the WORKSHEET box under each section. An image of a sample WORKSHEET box is included in the TIP text. Worksheet boxes are single lines of hyperlinked text with a box border that read &quot;Worksheet X.X&quot; with the first number representing the protocol number, and second number representing the worksheet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Picture 691" descr="TIP: Navigate to the corresponding worksheet by clicking the WORKSHEET box under each section. An image of a sample WORKSHEET box is included in the TIP text. Worksheet boxes are single lines of hyperlinked text with a box border that read &quot;Worksheet X.X&quot; with the first number representing the protocol number, and second number representing the worksheet number."/>
                    <pic:cNvPicPr/>
                  </pic:nvPicPr>
                  <pic:blipFill>
                    <a:blip xmlns:r="http://schemas.openxmlformats.org/officeDocument/2006/relationships" r:embed="rId10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36475" cy="1191770"/>
                    </a:xfrm>
                    <a:prstGeom prst="rect">
                      <a:avLst/>
                    </a:prstGeom>
                  </pic:spPr>
                </pic:pic>
              </a:graphicData>
            </a:graphic>
          </wp:inline>
        </w:drawing>
      </w:r>
    </w:p>
    <w:p w:rsidR="00AA7679" w:rsidRPr="00990D3B" w:rsidP="00BD1FC3" w14:paraId="0CDFAC9C" w14:textId="77777777">
      <w:pPr>
        <w:pStyle w:val="H2"/>
      </w:pPr>
      <w:bookmarkStart w:id="565" w:name="P5A1"/>
      <w:bookmarkStart w:id="566" w:name="_Toc14777706"/>
      <w:bookmarkStart w:id="567" w:name="_Toc183005604"/>
      <w:bookmarkStart w:id="568" w:name="_Toc201751374"/>
      <w:r w:rsidRPr="00990D3B">
        <w:t>Activity 1</w:t>
      </w:r>
      <w:bookmarkEnd w:id="565"/>
      <w:r w:rsidRPr="00990D3B">
        <w:t>: Review State Requirements</w:t>
      </w:r>
      <w:bookmarkEnd w:id="566"/>
      <w:bookmarkEnd w:id="567"/>
      <w:bookmarkEnd w:id="568"/>
    </w:p>
    <w:p w:rsidR="008629A4" w:rsidRPr="00990D3B" w:rsidP="00BD1FC3" w14:paraId="1A8D66D2" w14:textId="5B015BAB">
      <w:pPr>
        <w:pStyle w:val="ParagraphContinued"/>
      </w:pPr>
      <w:r w:rsidRPr="00990D3B">
        <w:rPr>
          <w:noProof/>
        </w:rPr>
        <mc:AlternateContent>
          <mc:Choice Requires="wps">
            <w:drawing>
              <wp:anchor distT="0" distB="0" distL="114300" distR="114300" simplePos="0" relativeHeight="251813888" behindDoc="0" locked="0" layoutInCell="1" allowOverlap="1">
                <wp:simplePos x="0" y="0"/>
                <wp:positionH relativeFrom="column">
                  <wp:posOffset>3816350</wp:posOffset>
                </wp:positionH>
                <wp:positionV relativeFrom="paragraph">
                  <wp:posOffset>871220</wp:posOffset>
                </wp:positionV>
                <wp:extent cx="2195195" cy="2520315"/>
                <wp:effectExtent l="19050" t="19050" r="0" b="0"/>
                <wp:wrapTight wrapText="bothSides">
                  <wp:wrapPolygon>
                    <wp:start x="21787" y="21763"/>
                    <wp:lineTo x="21787" y="44"/>
                    <wp:lineTo x="44" y="44"/>
                    <wp:lineTo x="44" y="21763"/>
                    <wp:lineTo x="21787" y="21763"/>
                  </wp:wrapPolygon>
                </wp:wrapTight>
                <wp:docPr id="342424157" name="Text Box 1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2520315"/>
                        </a:xfrm>
                        <a:prstGeom prst="rect">
                          <a:avLst/>
                        </a:prstGeom>
                        <a:solidFill>
                          <a:srgbClr val="EEF5F8"/>
                        </a:solidFill>
                        <a:ln w="28575" cap="rnd">
                          <a:solidFill>
                            <a:srgbClr val="A5DAD9"/>
                          </a:solidFill>
                          <a:prstDash val="solid"/>
                          <a:miter lim="800000"/>
                          <a:headEnd/>
                          <a:tailEnd/>
                        </a:ln>
                      </wps:spPr>
                      <wps:txbx>
                        <w:txbxContent>
                          <w:p w:rsidR="00ED33C3" w:rsidP="00D63A3D" w14:textId="37A156C0">
                            <w:pPr>
                              <w:pStyle w:val="EQRTextboxbody"/>
                              <w:rPr>
                                <w:rFonts w:ascii="Arial Black" w:hAnsi="Arial Black" w:cs="Arial"/>
                                <w:szCs w:val="17"/>
                              </w:rPr>
                            </w:pPr>
                            <w:r w:rsidRPr="006F4774">
                              <w:rPr>
                                <w:rFonts w:ascii="Arial Black" w:hAnsi="Arial Black" w:cs="Arial"/>
                                <w:szCs w:val="17"/>
                              </w:rPr>
                              <w:t>Resource</w:t>
                            </w:r>
                            <w:r w:rsidR="00D36423">
                              <w:rPr>
                                <w:rFonts w:ascii="Arial Black" w:hAnsi="Arial Black" w:cs="Arial"/>
                                <w:szCs w:val="17"/>
                              </w:rPr>
                              <w:t>s</w:t>
                            </w:r>
                            <w:r w:rsidRPr="006F4774">
                              <w:rPr>
                                <w:rFonts w:ascii="Arial Black" w:hAnsi="Arial Black" w:cs="Arial"/>
                                <w:szCs w:val="17"/>
                              </w:rPr>
                              <w:t xml:space="preserve"> for Activity 1</w:t>
                            </w:r>
                          </w:p>
                          <w:p w:rsidR="00ED33C3" w:rsidRPr="00D63A3D" w:rsidP="00D63A3D" w14:textId="3E577834">
                            <w:pPr>
                              <w:pStyle w:val="EQRTextboxbody"/>
                            </w:pPr>
                            <w:hyperlink w:anchor="WSp5n01" w:tooltip="Worksheet 5.1. Specification of Acceptable Error Rates and Identified Areas of Concern" w:history="1">
                              <w:r>
                                <w:rPr>
                                  <w:rStyle w:val="Hyperlink"/>
                                </w:rPr>
                                <w:t>Worksheet 5.1. Specification of Acceptable Error Rates and Identified Areas of Concern</w:t>
                              </w:r>
                            </w:hyperlink>
                          </w:p>
                          <w:p w:rsidR="00ED33C3" w:rsidRPr="00D63A3D" w:rsidP="00D63A3D" w14:textId="77777777">
                            <w:pPr>
                              <w:pStyle w:val="EQRTextboxbullet"/>
                            </w:pPr>
                            <w:r w:rsidRPr="00D63A3D">
                              <w:t>Provides guidance for the EQRO’s review of a state’s specific requirements for reporting encounters</w:t>
                            </w:r>
                          </w:p>
                          <w:p w:rsidR="00ED33C3" w:rsidRPr="00D63A3D" w:rsidP="00D63A3D" w14:textId="3CCF1683">
                            <w:pPr>
                              <w:pStyle w:val="EQRTextboxbody"/>
                            </w:pPr>
                            <w:hyperlink w:anchor="WSp5n02" w:tooltip="Worksheet 5.2. Data Element Validity Requirements" w:history="1">
                              <w:r w:rsidRPr="00360008">
                                <w:rPr>
                                  <w:rStyle w:val="Hyperlink"/>
                                </w:rPr>
                                <w:t>Worksheet 5.2. Data Element Validity Requirements</w:t>
                              </w:r>
                            </w:hyperlink>
                          </w:p>
                          <w:p w:rsidR="00ED33C3" w:rsidRPr="0090682E" w:rsidP="00D63A3D" w14:textId="11AC94E3">
                            <w:pPr>
                              <w:pStyle w:val="EQRTextboxbullet"/>
                              <w:rPr>
                                <w:spacing w:val="-2"/>
                              </w:rPr>
                            </w:pPr>
                            <w:r w:rsidRPr="00D63A3D">
                              <w:t>Provides a template for the EQRO to document the state’s specific requirements for validating each data element by type of service</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1" o:spid="_x0000_s1161" type="#_x0000_t202" style="width:172.85pt;height:198.45pt;margin-top:68.6pt;margin-left:300.5pt;flip:y;mso-height-percent:0;mso-height-relative:page;mso-width-percent:0;mso-width-relative:page;mso-wrap-distance-bottom:0;mso-wrap-distance-left:9pt;mso-wrap-distance-right:9pt;mso-wrap-distance-top:0;mso-wrap-style:square;position:absolute;rotation:180;visibility:visible;v-text-anchor:top;z-index:251814912" fillcolor="#eef5f8" strokecolor="#a5dad9" strokeweight="2.25pt">
                <v:stroke endcap="round"/>
                <v:textbox style="mso-fit-shape-to-text:t" inset="8.64pt,,8.64pt">
                  <w:txbxContent>
                    <w:p w:rsidR="00ED33C3" w:rsidP="00D63A3D" w14:paraId="5A93E37D" w14:textId="37A156C0">
                      <w:pPr>
                        <w:pStyle w:val="EQRTextboxbody"/>
                        <w:rPr>
                          <w:rFonts w:ascii="Arial Black" w:hAnsi="Arial Black" w:cs="Arial"/>
                          <w:szCs w:val="17"/>
                        </w:rPr>
                      </w:pPr>
                      <w:r w:rsidRPr="006F4774">
                        <w:rPr>
                          <w:rFonts w:ascii="Arial Black" w:hAnsi="Arial Black" w:cs="Arial"/>
                          <w:szCs w:val="17"/>
                        </w:rPr>
                        <w:t>Resource</w:t>
                      </w:r>
                      <w:r w:rsidR="00D36423">
                        <w:rPr>
                          <w:rFonts w:ascii="Arial Black" w:hAnsi="Arial Black" w:cs="Arial"/>
                          <w:szCs w:val="17"/>
                        </w:rPr>
                        <w:t>s</w:t>
                      </w:r>
                      <w:r w:rsidRPr="006F4774">
                        <w:rPr>
                          <w:rFonts w:ascii="Arial Black" w:hAnsi="Arial Black" w:cs="Arial"/>
                          <w:szCs w:val="17"/>
                        </w:rPr>
                        <w:t xml:space="preserve"> for Activity 1</w:t>
                      </w:r>
                    </w:p>
                    <w:p w:rsidR="00ED33C3" w:rsidRPr="00D63A3D" w:rsidP="00D63A3D" w14:paraId="223F639B" w14:textId="3E577834">
                      <w:pPr>
                        <w:pStyle w:val="EQRTextboxbody"/>
                      </w:pPr>
                      <w:hyperlink w:anchor="WSp5n01" w:tooltip="Worksheet 5.1. Specification of Acceptable Error Rates and Identified Areas of Concern" w:history="1">
                        <w:r>
                          <w:rPr>
                            <w:rStyle w:val="Hyperlink"/>
                          </w:rPr>
                          <w:t>Worksheet 5.1. Specification of Acceptable Error Rates and Identified Areas of Concern</w:t>
                        </w:r>
                      </w:hyperlink>
                    </w:p>
                    <w:p w:rsidR="00ED33C3" w:rsidRPr="00D63A3D" w:rsidP="00D63A3D" w14:paraId="74DCF318" w14:textId="77777777">
                      <w:pPr>
                        <w:pStyle w:val="EQRTextboxbullet"/>
                      </w:pPr>
                      <w:r w:rsidRPr="00D63A3D">
                        <w:t>Provides guidance for the EQRO’s review of a state’s specific requirements for reporting encounters</w:t>
                      </w:r>
                    </w:p>
                    <w:p w:rsidR="00ED33C3" w:rsidRPr="00D63A3D" w:rsidP="00D63A3D" w14:paraId="5B66CBFD" w14:textId="3CCF1683">
                      <w:pPr>
                        <w:pStyle w:val="EQRTextboxbody"/>
                      </w:pPr>
                      <w:hyperlink w:anchor="WSp5n02" w:tooltip="Worksheet 5.2. Data Element Validity Requirements" w:history="1">
                        <w:r w:rsidRPr="00360008">
                          <w:rPr>
                            <w:rStyle w:val="Hyperlink"/>
                          </w:rPr>
                          <w:t>Worksheet 5.2. Data Element Validity Requirements</w:t>
                        </w:r>
                      </w:hyperlink>
                    </w:p>
                    <w:p w:rsidR="00ED33C3" w:rsidRPr="0090682E" w:rsidP="00D63A3D" w14:paraId="7C29C12A" w14:textId="11AC94E3">
                      <w:pPr>
                        <w:pStyle w:val="EQRTextboxbullet"/>
                        <w:rPr>
                          <w:spacing w:val="-2"/>
                        </w:rPr>
                      </w:pPr>
                      <w:r w:rsidRPr="00D63A3D">
                        <w:t>Provides a template for the EQRO to document the state’s specific requirements for validating each data element by type of service</w:t>
                      </w:r>
                    </w:p>
                  </w:txbxContent>
                </v:textbox>
                <w10:wrap type="tight"/>
              </v:shape>
            </w:pict>
          </mc:Fallback>
        </mc:AlternateContent>
      </w:r>
      <w:r w:rsidRPr="00990D3B">
        <w:rPr>
          <w:noProof/>
        </w:rPr>
        <mc:AlternateContent>
          <mc:Choice Requires="wps">
            <w:drawing>
              <wp:anchor distT="0" distB="0" distL="114300" distR="114300" simplePos="0" relativeHeight="251815936" behindDoc="0" locked="0" layoutInCell="1" allowOverlap="1">
                <wp:simplePos x="0" y="0"/>
                <wp:positionH relativeFrom="column">
                  <wp:posOffset>3816350</wp:posOffset>
                </wp:positionH>
                <wp:positionV relativeFrom="paragraph">
                  <wp:posOffset>509270</wp:posOffset>
                </wp:positionV>
                <wp:extent cx="2194560" cy="297815"/>
                <wp:effectExtent l="19050" t="19050" r="0" b="7620"/>
                <wp:wrapTight wrapText="bothSides">
                  <wp:wrapPolygon>
                    <wp:start x="21788" y="22985"/>
                    <wp:lineTo x="21788" y="-554"/>
                    <wp:lineTo x="38" y="-554"/>
                    <wp:lineTo x="38" y="22985"/>
                    <wp:lineTo x="21788" y="22985"/>
                  </wp:wrapPolygon>
                </wp:wrapTight>
                <wp:docPr id="1617712077" name="Text Box 1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D63A3D" w14:textId="5F6EABAF">
                            <w:pPr>
                              <w:pStyle w:val="EQRWORKSHEETText"/>
                              <w:rPr>
                                <w:spacing w:val="-2"/>
                              </w:rPr>
                            </w:pPr>
                            <w:hyperlink w:anchor="WSp5n02" w:tooltip="WORKSHEET 5.2" w:history="1">
                              <w:r>
                                <w:rPr>
                                  <w:rStyle w:val="Hyperlink"/>
                                  <w:color w:val="006981"/>
                                </w:rPr>
                                <w:t>WORKSHEET 5.2</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0" o:spid="_x0000_s1162" type="#_x0000_t202" style="width:172.8pt;height:23.45pt;margin-top:40.1pt;margin-left:300.5pt;flip:y;mso-height-percent:0;mso-height-relative:page;mso-width-percent:0;mso-width-relative:page;mso-wrap-distance-bottom:0;mso-wrap-distance-left:9pt;mso-wrap-distance-right:9pt;mso-wrap-distance-top:0;mso-wrap-style:square;position:absolute;rotation:180;visibility:visible;v-text-anchor:top;z-index:251816960" fillcolor="#eef5f8" strokecolor="#a5dad9" strokeweight="2.25pt">
                <v:stroke endcap="round"/>
                <v:textbox style="mso-fit-shape-to-text:t" inset="8.64pt,,8.64pt">
                  <w:txbxContent>
                    <w:p w:rsidR="00ED33C3" w:rsidRPr="0090682E" w:rsidP="00D63A3D" w14:paraId="68E45068" w14:textId="5F6EABAF">
                      <w:pPr>
                        <w:pStyle w:val="EQRWORKSHEETText"/>
                        <w:rPr>
                          <w:spacing w:val="-2"/>
                        </w:rPr>
                      </w:pPr>
                      <w:hyperlink w:anchor="WSp5n02" w:tooltip="WORKSHEET 5.2" w:history="1">
                        <w:r>
                          <w:rPr>
                            <w:rStyle w:val="Hyperlink"/>
                            <w:color w:val="006981"/>
                          </w:rPr>
                          <w:t>WORKSHEET 5.2</w:t>
                        </w:r>
                      </w:hyperlink>
                    </w:p>
                  </w:txbxContent>
                </v:textbox>
                <w10:wrap type="tight"/>
              </v:shape>
            </w:pict>
          </mc:Fallback>
        </mc:AlternateContent>
      </w:r>
      <w:r w:rsidRPr="00990D3B">
        <w:rPr>
          <w:noProof/>
        </w:rPr>
        <mc:AlternateContent>
          <mc:Choice Requires="wps">
            <w:drawing>
              <wp:anchor distT="0" distB="0" distL="114300" distR="114300" simplePos="0" relativeHeight="251817984" behindDoc="0" locked="0" layoutInCell="1" allowOverlap="1">
                <wp:simplePos x="0" y="0"/>
                <wp:positionH relativeFrom="column">
                  <wp:posOffset>3816350</wp:posOffset>
                </wp:positionH>
                <wp:positionV relativeFrom="paragraph">
                  <wp:posOffset>153670</wp:posOffset>
                </wp:positionV>
                <wp:extent cx="2194560" cy="297815"/>
                <wp:effectExtent l="19050" t="19050" r="0" b="7620"/>
                <wp:wrapTight wrapText="bothSides">
                  <wp:wrapPolygon>
                    <wp:start x="21788" y="22985"/>
                    <wp:lineTo x="21788" y="-554"/>
                    <wp:lineTo x="38" y="-554"/>
                    <wp:lineTo x="38" y="22985"/>
                    <wp:lineTo x="21788" y="22985"/>
                  </wp:wrapPolygon>
                </wp:wrapTight>
                <wp:docPr id="799676154" name="Text Box 11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D63A3D" w14:textId="417B4B23">
                            <w:pPr>
                              <w:pStyle w:val="EQRWORKSHEETText"/>
                              <w:rPr>
                                <w:spacing w:val="-2"/>
                              </w:rPr>
                            </w:pPr>
                            <w:hyperlink w:anchor="WSp5n01" w:tooltip="WORKSHEET 5.1" w:history="1">
                              <w:r>
                                <w:rPr>
                                  <w:rStyle w:val="Hyperlink"/>
                                  <w:color w:val="006981"/>
                                </w:rPr>
                                <w:t>WORKSHEET 5.1</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9" o:spid="_x0000_s1163" type="#_x0000_t202" style="width:172.8pt;height:23.45pt;margin-top:12.1pt;margin-left:300.5pt;flip:y;mso-height-percent:0;mso-height-relative:page;mso-width-percent:0;mso-width-relative:page;mso-wrap-distance-bottom:0;mso-wrap-distance-left:9pt;mso-wrap-distance-right:9pt;mso-wrap-distance-top:0;mso-wrap-style:square;position:absolute;rotation:180;visibility:visible;v-text-anchor:top;z-index:251819008" fillcolor="#eef5f8" strokecolor="#a5dad9" strokeweight="2.25pt">
                <v:stroke endcap="round"/>
                <v:textbox style="mso-fit-shape-to-text:t" inset="8.64pt,,8.64pt">
                  <w:txbxContent>
                    <w:p w:rsidR="00ED33C3" w:rsidRPr="0090682E" w:rsidP="00D63A3D" w14:paraId="2AC08F07" w14:textId="417B4B23">
                      <w:pPr>
                        <w:pStyle w:val="EQRWORKSHEETText"/>
                        <w:rPr>
                          <w:spacing w:val="-2"/>
                        </w:rPr>
                      </w:pPr>
                      <w:hyperlink w:anchor="WSp5n01" w:tooltip="WORKSHEET 5.1" w:history="1">
                        <w:r>
                          <w:rPr>
                            <w:rStyle w:val="Hyperlink"/>
                            <w:color w:val="006981"/>
                          </w:rPr>
                          <w:t>WORKSHEET 5.1</w:t>
                        </w:r>
                      </w:hyperlink>
                    </w:p>
                  </w:txbxContent>
                </v:textbox>
                <w10:wrap type="tight"/>
              </v:shape>
            </w:pict>
          </mc:Fallback>
        </mc:AlternateContent>
      </w:r>
      <w:hyperlink w:anchor="P5A1" w:tooltip="Activity 1" w:history="1">
        <w:r w:rsidRPr="00990D3B" w:rsidR="00360008">
          <w:rPr>
            <w:rStyle w:val="Hyperlink"/>
            <w:color w:val="auto"/>
          </w:rPr>
          <w:t>Activity 1</w:t>
        </w:r>
      </w:hyperlink>
      <w:r w:rsidRPr="00990D3B" w:rsidR="008629A4">
        <w:t xml:space="preserve"> is intended to ensure the EQRO has a complete understanding of a state’s requirements for each MCP’s encounter data. </w:t>
      </w:r>
      <w:r w:rsidRPr="00990D3B" w:rsidR="00FB025E">
        <w:t xml:space="preserve">Before initiating </w:t>
      </w:r>
      <w:hyperlink w:anchor="P5A1" w:tooltip="Activity 1" w:history="1">
        <w:r w:rsidRPr="00990D3B" w:rsidR="00FB025E">
          <w:rPr>
            <w:rStyle w:val="Hyperlink"/>
            <w:color w:val="auto"/>
          </w:rPr>
          <w:t>Activity 1</w:t>
        </w:r>
      </w:hyperlink>
      <w:r w:rsidRPr="00990D3B" w:rsidR="00FB025E">
        <w:t xml:space="preserve">, EQROs should request all available encounter data guidance from states, including encounter reporting requirements and standards, data </w:t>
      </w:r>
      <w:r w:rsidRPr="00990D3B" w:rsidR="00B85EF7">
        <w:t>dictionaries</w:t>
      </w:r>
      <w:r w:rsidRPr="00990D3B" w:rsidR="00FB025E">
        <w:t xml:space="preserve">, edit checks, and other documents. </w:t>
      </w:r>
      <w:r w:rsidRPr="00990D3B" w:rsidR="008629A4">
        <w:t xml:space="preserve">At the outset of </w:t>
      </w:r>
      <w:hyperlink w:anchor="P5A1" w:tooltip="Activity 1" w:history="1">
        <w:r w:rsidRPr="00990D3B" w:rsidR="00360008">
          <w:rPr>
            <w:rStyle w:val="Hyperlink"/>
            <w:color w:val="auto"/>
          </w:rPr>
          <w:t>Activity 1</w:t>
        </w:r>
      </w:hyperlink>
      <w:r w:rsidRPr="00990D3B" w:rsidR="008629A4">
        <w:t xml:space="preserve">, the state should provide the EQRO with at least the following information: </w:t>
      </w:r>
    </w:p>
    <w:p w:rsidR="00262DFE" w:rsidRPr="00990D3B" w:rsidP="00FB7CAF" w14:paraId="2023B5A7" w14:textId="6E3EE587">
      <w:pPr>
        <w:pStyle w:val="EQRBulletBLUE"/>
      </w:pPr>
      <w:r w:rsidRPr="00990D3B">
        <w:rPr>
          <w:b/>
          <w:bCs/>
        </w:rPr>
        <w:t>Specific requirements regarding the MCPs’ collection and submission of encounters.</w:t>
      </w:r>
      <w:r w:rsidRPr="00990D3B">
        <w:t xml:space="preserve"> </w:t>
      </w:r>
      <w:r w:rsidRPr="00990D3B" w:rsidR="008629A4">
        <w:t>Some states may formalize these requirements in contractual language or companion guides. The state should provide the EQRO with a detailed list of all requirements, by plan</w:t>
      </w:r>
      <w:r w:rsidRPr="00990D3B" w:rsidR="004D5D3A">
        <w:t xml:space="preserve"> and plan type</w:t>
      </w:r>
      <w:r w:rsidRPr="00990D3B" w:rsidR="00760EAC">
        <w:t>.</w:t>
      </w:r>
    </w:p>
    <w:p w:rsidR="00262DFE" w:rsidRPr="00990D3B" w:rsidP="00FB7CAF" w14:paraId="14FC960C" w14:textId="47DEFB43">
      <w:pPr>
        <w:pStyle w:val="EQRBulletBLUE"/>
      </w:pPr>
      <w:r w:rsidRPr="00990D3B">
        <w:rPr>
          <w:b/>
          <w:bCs/>
        </w:rPr>
        <w:t>Requirements regarding the types of encounters that must be validated (e.g., inpatient hospital, professional, home health).</w:t>
      </w:r>
      <w:r w:rsidRPr="00990D3B">
        <w:t xml:space="preserve"> The state may find it difficult to integrate some types of encounters (e.g., non-emergency transportation or atypical providers) into its data systems. Whenever possible, the state should direct the EQRO to alternative sources to validate this information. </w:t>
      </w:r>
      <w:r w:rsidRPr="00990D3B">
        <w:t xml:space="preserve">Note that under this protocol, a state could direct the EQRO to validate </w:t>
      </w:r>
      <w:r w:rsidRPr="00990D3B">
        <w:t>all of</w:t>
      </w:r>
      <w:r w:rsidRPr="00990D3B">
        <w:t xml:space="preserve"> </w:t>
      </w:r>
      <w:r w:rsidRPr="00990D3B" w:rsidR="00E83E1D">
        <w:t xml:space="preserve">an MCP’s </w:t>
      </w:r>
      <w:r w:rsidRPr="00990D3B">
        <w:t>encounter data or a subset</w:t>
      </w:r>
      <w:r w:rsidRPr="00990D3B" w:rsidR="00E83E1D">
        <w:t xml:space="preserve"> of an MCP’s encounters</w:t>
      </w:r>
      <w:r w:rsidRPr="00990D3B">
        <w:t>. If the state chooses to validate a subset of the encounter data based on provider type, it must validate all encounters for the selected provider type across all MCPs. If the state chooses to validate encounter data for a subset of MCPs, it must validate all en</w:t>
      </w:r>
      <w:r w:rsidRPr="00990D3B" w:rsidR="009E6CDB">
        <w:t>counters for the subset of MCPs</w:t>
      </w:r>
      <w:r w:rsidRPr="00990D3B" w:rsidR="00760EAC">
        <w:t>.</w:t>
      </w:r>
    </w:p>
    <w:p w:rsidR="00262DFE" w:rsidRPr="00990D3B" w:rsidP="00FB7CAF" w14:paraId="3914FDB0" w14:textId="0B046D24">
      <w:pPr>
        <w:pStyle w:val="EQRBulletBLUE"/>
      </w:pPr>
      <w:r w:rsidRPr="00990D3B">
        <w:t>Standards for the submitted data</w:t>
      </w:r>
      <w:r w:rsidRPr="00990D3B" w:rsidR="00405AAB">
        <w:t>. This includes</w:t>
      </w:r>
      <w:r w:rsidRPr="00990D3B">
        <w:t xml:space="preserve"> the following:</w:t>
      </w:r>
    </w:p>
    <w:p w:rsidR="003754A8" w:rsidRPr="00990D3B" w:rsidP="00411ED7" w14:paraId="58FF36AF" w14:textId="6B4A4892">
      <w:pPr>
        <w:pStyle w:val="EQRBulletBLUE2ndlevel"/>
      </w:pPr>
      <w:r w:rsidRPr="00990D3B">
        <w:t>An operational definition of an “encounter,” such as adjudication status, and other relevant details</w:t>
      </w:r>
      <w:r w:rsidRPr="00990D3B" w:rsidR="004A622E">
        <w:t>.</w:t>
      </w:r>
      <w:r w:rsidRPr="00990D3B">
        <w:t xml:space="preserve"> </w:t>
      </w:r>
    </w:p>
    <w:p w:rsidR="003754A8" w:rsidRPr="00990D3B" w:rsidP="00411ED7" w14:paraId="1E6C5008" w14:textId="1BCF0712">
      <w:pPr>
        <w:pStyle w:val="EQRBulletBLUE2ndlevel"/>
      </w:pPr>
      <w:r w:rsidRPr="00990D3B">
        <w:t>Types of encounters MCPs must report (e.g., inpatient hospital, outpatient, professional, home health)</w:t>
      </w:r>
      <w:r w:rsidRPr="00990D3B" w:rsidR="004A622E">
        <w:t>.</w:t>
      </w:r>
      <w:r w:rsidRPr="00990D3B">
        <w:t xml:space="preserve"> </w:t>
      </w:r>
    </w:p>
    <w:p w:rsidR="003754A8" w:rsidRPr="00990D3B" w:rsidP="00411ED7" w14:paraId="298E24BA" w14:textId="704F0518">
      <w:pPr>
        <w:pStyle w:val="EQRBulletBLUE2ndlevel"/>
      </w:pPr>
      <w:r w:rsidRPr="00990D3B">
        <w:t>Format in which encounters must be submitted (837 standard transaction, proprietary)</w:t>
      </w:r>
      <w:r w:rsidRPr="00990D3B" w:rsidR="004A622E">
        <w:t>.</w:t>
      </w:r>
    </w:p>
    <w:p w:rsidR="003754A8" w:rsidRPr="00990D3B" w:rsidP="00411ED7" w14:paraId="6964E0CB" w14:textId="22835578">
      <w:pPr>
        <w:pStyle w:val="EQRBulletBLUE2ndlevel"/>
      </w:pPr>
      <w:r w:rsidRPr="00990D3B">
        <w:t>Objective standards to which encounter data will be compared (e.g., number of beneficiaries with at least one encounter)</w:t>
      </w:r>
      <w:r w:rsidRPr="00990D3B" w:rsidR="004A622E">
        <w:t>.</w:t>
      </w:r>
    </w:p>
    <w:p w:rsidR="00F76F33" w:rsidRPr="00990D3B" w:rsidP="00FB7CAF" w14:paraId="4016B4FA" w14:textId="2FD7AD69">
      <w:pPr>
        <w:pStyle w:val="EQRBulletBLUE"/>
      </w:pPr>
      <w:r w:rsidRPr="00990D3B">
        <w:rPr>
          <w:b/>
          <w:bCs/>
        </w:rPr>
        <w:t xml:space="preserve">State standards </w:t>
      </w:r>
      <w:r w:rsidRPr="00990D3B">
        <w:rPr>
          <w:b/>
          <w:bCs/>
        </w:rPr>
        <w:t>for encounter</w:t>
      </w:r>
      <w:r w:rsidRPr="00990D3B">
        <w:rPr>
          <w:b/>
          <w:bCs/>
        </w:rPr>
        <w:t xml:space="preserve"> data completeness and accuracy.</w:t>
      </w:r>
      <w:r w:rsidRPr="00990D3B">
        <w:t xml:space="preserve"> The state should clearly specify acceptable rates of accuracy and completeness for each data element for each field for each encounter type, which may depend on the intended use of the encounter data. Although initial error rates may be higher, each MCP’s targeted error rate should be below </w:t>
      </w:r>
      <w:r w:rsidRPr="00990D3B" w:rsidR="00760EAC">
        <w:t>five</w:t>
      </w:r>
      <w:r w:rsidRPr="00990D3B">
        <w:t xml:space="preserve"> percent for each </w:t>
      </w:r>
      <w:r w:rsidRPr="00990D3B">
        <w:t>time period</w:t>
      </w:r>
      <w:r w:rsidRPr="00990D3B">
        <w:t xml:space="preserve"> examined. The state should align its own standards with those required to satisfy T-MSIS requirements</w:t>
      </w:r>
      <w:r w:rsidRPr="00990D3B" w:rsidR="00760EAC">
        <w:t>.</w:t>
      </w:r>
      <w:r w:rsidRPr="00990D3B">
        <w:t xml:space="preserve"> </w:t>
      </w:r>
    </w:p>
    <w:p w:rsidR="003754A8" w:rsidRPr="00990D3B" w:rsidP="00FB7CAF" w14:paraId="05037FE8" w14:textId="1D561443">
      <w:pPr>
        <w:pStyle w:val="EQRBulletBLUE"/>
      </w:pPr>
      <w:r w:rsidRPr="00990D3B">
        <w:rPr>
          <w:b/>
          <w:bCs/>
        </w:rPr>
        <w:t>Data dictionary and companion guides.</w:t>
      </w:r>
      <w:r w:rsidRPr="00990D3B">
        <w:t xml:space="preserve"> States often cite data dictionaries or companion guides in managed care contract language for reference to accountability and</w:t>
      </w:r>
      <w:r w:rsidRPr="00990D3B" w:rsidR="00467B55">
        <w:t xml:space="preserve"> standards for encounter data. </w:t>
      </w:r>
      <w:r w:rsidRPr="00990D3B">
        <w:t xml:space="preserve">Those may be updated on a more regular basis </w:t>
      </w:r>
      <w:r w:rsidRPr="00990D3B" w:rsidR="00467B55">
        <w:t xml:space="preserve">than the contracts themselves. </w:t>
      </w:r>
      <w:r w:rsidRPr="00990D3B">
        <w:t>For states that employ a fiscal intermediary, the intermediary may be the best source of this</w:t>
      </w:r>
      <w:r w:rsidRPr="00990D3B" w:rsidR="000768CC">
        <w:t> </w:t>
      </w:r>
      <w:r w:rsidRPr="00990D3B">
        <w:t>information</w:t>
      </w:r>
      <w:r w:rsidRPr="00990D3B" w:rsidR="00760EAC">
        <w:t>.</w:t>
      </w:r>
    </w:p>
    <w:p w:rsidR="003754A8" w:rsidRPr="00990D3B" w:rsidP="00FB7CAF" w14:paraId="2622181B" w14:textId="633C637C">
      <w:pPr>
        <w:pStyle w:val="EQRBulletBLUE"/>
      </w:pPr>
      <w:r w:rsidRPr="00990D3B">
        <w:rPr>
          <w:b/>
          <w:bCs/>
        </w:rPr>
        <w:t xml:space="preserve">Description of the information </w:t>
      </w:r>
      <w:r w:rsidRPr="00990D3B">
        <w:rPr>
          <w:b/>
          <w:bCs/>
        </w:rPr>
        <w:t>flow</w:t>
      </w:r>
      <w:r w:rsidRPr="00990D3B">
        <w:rPr>
          <w:b/>
          <w:bCs/>
        </w:rPr>
        <w:t xml:space="preserve"> from the MCP to the state, including the role of any contractors or data intermediaries. </w:t>
      </w:r>
      <w:r w:rsidRPr="00990D3B">
        <w:t>States that use separate organizations for medical and behavioral health should include details about how the data are collected and integrated into a single system, as well as challenges the EQRO may face i</w:t>
      </w:r>
      <w:r w:rsidRPr="00990D3B" w:rsidR="009E6CDB">
        <w:t xml:space="preserve">n handling </w:t>
      </w:r>
      <w:r w:rsidRPr="00990D3B" w:rsidR="009E6CDB">
        <w:t>these</w:t>
      </w:r>
      <w:r w:rsidRPr="00990D3B" w:rsidR="009E6CDB">
        <w:t xml:space="preserve"> data</w:t>
      </w:r>
      <w:r w:rsidRPr="00990D3B" w:rsidR="00E14D7F">
        <w:t>.</w:t>
      </w:r>
    </w:p>
    <w:p w:rsidR="003754A8" w:rsidRPr="00990D3B" w:rsidP="00FB7CAF" w14:paraId="32DEC766" w14:textId="7DE8A8EC">
      <w:pPr>
        <w:pStyle w:val="EQRBulletBLUE"/>
      </w:pPr>
      <w:r w:rsidRPr="00990D3B">
        <w:t>A list and description of automated edits or checks performed on the data when received into the state system (</w:t>
      </w:r>
      <w:r w:rsidRPr="00990D3B" w:rsidR="00E14D7F">
        <w:t>MMIS</w:t>
      </w:r>
      <w:r w:rsidRPr="00990D3B">
        <w:t xml:space="preserve"> or data warehouse). This should include information about how the system handles encounters that fail an edit check. For example, does the system reject an entire file if one encounter is rejected? </w:t>
      </w:r>
    </w:p>
    <w:p w:rsidR="003754A8" w:rsidRPr="00990D3B" w:rsidP="00FB7CAF" w14:paraId="74CF4E86" w14:textId="4DE685C2">
      <w:pPr>
        <w:pStyle w:val="EQRBulletBLUE"/>
      </w:pPr>
      <w:r w:rsidRPr="00990D3B">
        <w:t xml:space="preserve">The timeliness requirements for data submissions (e.g., how far from the original date of service the record must be submitted), and standards </w:t>
      </w:r>
      <w:r w:rsidRPr="00990D3B" w:rsidR="00467B55">
        <w:t>for timeliness, as applicable</w:t>
      </w:r>
      <w:r w:rsidRPr="00990D3B" w:rsidR="004D5D3A">
        <w:t xml:space="preserve"> and as laid out by the state in contract documents</w:t>
      </w:r>
      <w:r w:rsidRPr="00990D3B" w:rsidR="00467B55">
        <w:t xml:space="preserve">. </w:t>
      </w:r>
      <w:r w:rsidRPr="00990D3B">
        <w:t xml:space="preserve">States are increasingly able to process high volumes of records </w:t>
      </w:r>
      <w:r w:rsidRPr="00990D3B">
        <w:t>on a daily basis</w:t>
      </w:r>
      <w:r w:rsidRPr="00990D3B">
        <w:t xml:space="preserve">, while some prefer a </w:t>
      </w:r>
      <w:r w:rsidRPr="00990D3B" w:rsidR="00467B55">
        <w:t xml:space="preserve">monthly submission from </w:t>
      </w:r>
      <w:r w:rsidRPr="00990D3B" w:rsidR="00C73417">
        <w:t>MCPs</w:t>
      </w:r>
      <w:r w:rsidRPr="00990D3B" w:rsidR="00467B55">
        <w:t xml:space="preserve">. </w:t>
      </w:r>
      <w:r w:rsidRPr="00990D3B">
        <w:t xml:space="preserve">States also may have various tolerance levels for what percentage of records must meet </w:t>
      </w:r>
      <w:r w:rsidRPr="00990D3B" w:rsidR="009E6CDB">
        <w:t xml:space="preserve">particular </w:t>
      </w:r>
      <w:r w:rsidRPr="00990D3B" w:rsidR="008D39D3">
        <w:t>timeliness</w:t>
      </w:r>
      <w:r w:rsidRPr="00990D3B" w:rsidR="009E6CDB">
        <w:t xml:space="preserve"> standards</w:t>
      </w:r>
      <w:r w:rsidRPr="00990D3B" w:rsidR="00760EAC">
        <w:t>.</w:t>
      </w:r>
    </w:p>
    <w:p w:rsidR="003754A8" w:rsidRPr="00990D3B" w:rsidP="00FB7CAF" w14:paraId="50046B42" w14:textId="1B50298C">
      <w:pPr>
        <w:pStyle w:val="EQRBulletBLUE"/>
      </w:pPr>
      <w:r w:rsidRPr="00990D3B">
        <w:rPr>
          <w:b/>
          <w:bCs/>
        </w:rPr>
        <w:t>Any EQR validation reports from previous years.</w:t>
      </w:r>
      <w:r w:rsidRPr="00990D3B" w:rsidR="00467B55">
        <w:t xml:space="preserve"> </w:t>
      </w:r>
      <w:r w:rsidRPr="00990D3B">
        <w:t>Previous reports can provide useful data points for determining how much progress MCPs have made in improving data quality and completeness, as well as giving a state picture of impr</w:t>
      </w:r>
      <w:r w:rsidRPr="00990D3B" w:rsidR="009E6CDB">
        <w:t>ovement or challenges over time</w:t>
      </w:r>
      <w:r w:rsidRPr="00990D3B" w:rsidR="00760EAC">
        <w:t>.</w:t>
      </w:r>
    </w:p>
    <w:p w:rsidR="003754A8" w:rsidRPr="00990D3B" w:rsidP="00FB7CAF" w14:paraId="54939120" w14:textId="1DCF0C9E">
      <w:pPr>
        <w:pStyle w:val="EQRBulletBLUE"/>
      </w:pPr>
      <w:r w:rsidRPr="00990D3B">
        <w:rPr>
          <w:b/>
          <w:bCs/>
        </w:rPr>
        <w:t>Any other information relevant to encounter data validation</w:t>
      </w:r>
      <w:r w:rsidRPr="00990D3B" w:rsidR="00467B55">
        <w:rPr>
          <w:b/>
          <w:bCs/>
        </w:rPr>
        <w:t>.</w:t>
      </w:r>
      <w:r w:rsidRPr="00990D3B" w:rsidR="00467B55">
        <w:t xml:space="preserve"> </w:t>
      </w:r>
      <w:r w:rsidRPr="00990D3B">
        <w:t xml:space="preserve">States may find they use other documentation or context in their own analyses of their MCP’s encounter data. If supplementary information </w:t>
      </w:r>
      <w:r w:rsidRPr="00990D3B">
        <w:t>will provide</w:t>
      </w:r>
      <w:r w:rsidRPr="00990D3B">
        <w:t xml:space="preserve"> relevant context to encounter validation, such as a list of excluded providers, it</w:t>
      </w:r>
      <w:r w:rsidRPr="00990D3B" w:rsidR="009E6CDB">
        <w:t xml:space="preserve"> should be provided to the EQRO</w:t>
      </w:r>
      <w:r w:rsidRPr="00990D3B" w:rsidR="00760EAC">
        <w:t>.</w:t>
      </w:r>
    </w:p>
    <w:p w:rsidR="005733D1" w:rsidRPr="00990D3B" w:rsidP="00BD1FC3" w14:paraId="6370E141" w14:textId="435C1BA7">
      <w:pPr>
        <w:pStyle w:val="H2"/>
      </w:pPr>
      <w:bookmarkStart w:id="569" w:name="P5A2"/>
      <w:bookmarkStart w:id="570" w:name="_Toc482698746"/>
      <w:bookmarkStart w:id="571" w:name="_Toc14777707"/>
      <w:bookmarkStart w:id="572" w:name="_Toc183005605"/>
      <w:bookmarkStart w:id="573" w:name="_Toc201751375"/>
      <w:r w:rsidRPr="00990D3B">
        <w:t>A</w:t>
      </w:r>
      <w:r w:rsidRPr="00990D3B" w:rsidR="00E05C54">
        <w:t>ctivity</w:t>
      </w:r>
      <w:r w:rsidRPr="00990D3B">
        <w:t xml:space="preserve"> 2</w:t>
      </w:r>
      <w:bookmarkEnd w:id="569"/>
      <w:r w:rsidRPr="00990D3B">
        <w:t xml:space="preserve">: </w:t>
      </w:r>
      <w:bookmarkEnd w:id="570"/>
      <w:r w:rsidRPr="00990D3B">
        <w:t>R</w:t>
      </w:r>
      <w:r w:rsidRPr="00990D3B" w:rsidR="00E05C54">
        <w:t>eview</w:t>
      </w:r>
      <w:r w:rsidRPr="00990D3B" w:rsidR="00E05C54">
        <w:t xml:space="preserve"> the MCP’s</w:t>
      </w:r>
      <w:r w:rsidRPr="00990D3B">
        <w:t xml:space="preserve"> C</w:t>
      </w:r>
      <w:r w:rsidRPr="00990D3B" w:rsidR="00E05C54">
        <w:t>apability</w:t>
      </w:r>
      <w:bookmarkEnd w:id="571"/>
      <w:bookmarkEnd w:id="572"/>
      <w:bookmarkEnd w:id="573"/>
    </w:p>
    <w:bookmarkStart w:id="574" w:name="_Toc482698747"/>
    <w:p w:rsidR="005733D1" w:rsidRPr="00990D3B" w:rsidP="000768CC" w14:paraId="7C7E7258" w14:textId="2B7AF31E">
      <w:pPr>
        <w:pStyle w:val="ParagraphContinued"/>
        <w:rPr>
          <w:lang w:bidi="en-US"/>
        </w:rPr>
      </w:pPr>
      <w:r w:rsidRPr="00990D3B">
        <w:rPr>
          <w:lang w:bidi="en-US"/>
        </w:rPr>
        <w:fldChar w:fldCharType="begin"/>
      </w:r>
      <w:r w:rsidRPr="00990D3B" w:rsidR="00F327A7">
        <w:rPr>
          <w:lang w:bidi="en-US"/>
        </w:rPr>
        <w:instrText>HYPERLINK  \l "P5A2" \o "Activity 2"</w:instrText>
      </w:r>
      <w:r w:rsidRPr="00990D3B">
        <w:rPr>
          <w:lang w:bidi="en-US"/>
        </w:rPr>
        <w:fldChar w:fldCharType="separate"/>
      </w:r>
      <w:r w:rsidRPr="00990D3B">
        <w:rPr>
          <w:rStyle w:val="Hyperlink"/>
          <w:color w:val="auto"/>
          <w:lang w:bidi="en-US"/>
        </w:rPr>
        <w:t>Activity 2</w:t>
      </w:r>
      <w:r w:rsidRPr="00990D3B">
        <w:rPr>
          <w:lang w:bidi="en-US"/>
        </w:rPr>
        <w:fldChar w:fldCharType="end"/>
      </w:r>
      <w:r w:rsidRPr="00990D3B">
        <w:t xml:space="preserve"> </w:t>
      </w:r>
      <w:r w:rsidRPr="00990D3B">
        <w:rPr>
          <w:lang w:bidi="en-US"/>
        </w:rPr>
        <w:t>is intended to evaluate an MCP’s ability to collect complete and accurate encounter data. Before assessing the output produced by the MCP’s information system, the EQRO should determine whether the system is able to collect and report high quality encounter data. To do so, the EQRO should assess the information system</w:t>
      </w:r>
      <w:r w:rsidRPr="00990D3B" w:rsidR="00E03388">
        <w:rPr>
          <w:lang w:bidi="en-US"/>
        </w:rPr>
        <w:t xml:space="preserve"> (IS)</w:t>
      </w:r>
      <w:r w:rsidRPr="00990D3B">
        <w:rPr>
          <w:lang w:bidi="en-US"/>
        </w:rPr>
        <w:t xml:space="preserve"> in two steps (described in more detail</w:t>
      </w:r>
      <w:r w:rsidRPr="00990D3B" w:rsidR="000768CC">
        <w:rPr>
          <w:lang w:bidi="en-US"/>
        </w:rPr>
        <w:t> </w:t>
      </w:r>
      <w:r w:rsidRPr="00990D3B">
        <w:rPr>
          <w:lang w:bidi="en-US"/>
        </w:rPr>
        <w:t xml:space="preserve">below): </w:t>
      </w:r>
    </w:p>
    <w:p w:rsidR="005733D1" w:rsidRPr="00990D3B" w:rsidP="002D35CF" w14:paraId="19F5A437" w14:textId="3B76CCF2">
      <w:pPr>
        <w:pStyle w:val="ListNumber"/>
        <w:numPr>
          <w:ilvl w:val="0"/>
          <w:numId w:val="56"/>
        </w:numPr>
      </w:pPr>
      <w:r w:rsidRPr="00990D3B">
        <w:t>Review the MCP’s most recently completed Information System Capacity Assessment</w:t>
      </w:r>
      <w:r w:rsidRPr="00990D3B" w:rsidR="000768CC">
        <w:t> </w:t>
      </w:r>
      <w:r w:rsidRPr="00990D3B">
        <w:t>(ISCA)</w:t>
      </w:r>
      <w:r w:rsidRPr="00990D3B" w:rsidR="00E14D7F">
        <w:t>.</w:t>
      </w:r>
    </w:p>
    <w:p w:rsidR="005733D1" w:rsidRPr="00990D3B" w:rsidP="00BA007D" w14:paraId="7FA98A66" w14:textId="0D9AB9E9">
      <w:pPr>
        <w:pStyle w:val="ListNumber"/>
      </w:pPr>
      <w:r w:rsidRPr="00990D3B">
        <w:t>Interview MCP personnel to clarify ISCA findings as necessary</w:t>
      </w:r>
      <w:r w:rsidRPr="00990D3B" w:rsidR="00E14D7F">
        <w:t>.</w:t>
      </w:r>
    </w:p>
    <w:p w:rsidR="006F2292" w:rsidRPr="00990D3B" w:rsidP="00BD1FC3" w14:paraId="0AA0685C" w14:textId="77777777">
      <w:pPr>
        <w:pStyle w:val="H3"/>
      </w:pPr>
      <w:bookmarkStart w:id="575" w:name="P5Act2Step1"/>
      <w:bookmarkEnd w:id="575"/>
      <w:r w:rsidRPr="00990D3B">
        <w:t>S</w:t>
      </w:r>
      <w:r w:rsidRPr="00990D3B" w:rsidR="0020694A">
        <w:t>tep 1</w:t>
      </w:r>
      <w:r w:rsidRPr="00990D3B">
        <w:t xml:space="preserve">: Review </w:t>
      </w:r>
      <w:bookmarkEnd w:id="574"/>
      <w:r w:rsidRPr="00990D3B">
        <w:t>the MCP’s ISCA</w:t>
      </w:r>
    </w:p>
    <w:p w:rsidR="005733D1" w:rsidRPr="00990D3B" w:rsidP="00BD1FC3" w14:paraId="2503DC93" w14:textId="6063BDB8">
      <w:pPr>
        <w:pStyle w:val="ParagraphContinued"/>
      </w:pPr>
      <w:r w:rsidRPr="00990D3B">
        <w:rPr>
          <w:noProof/>
        </w:rPr>
        <mc:AlternateContent>
          <mc:Choice Requires="wps">
            <w:drawing>
              <wp:anchor distT="0" distB="0" distL="114300" distR="114300" simplePos="0" relativeHeight="251940864" behindDoc="0" locked="0" layoutInCell="1" allowOverlap="1">
                <wp:simplePos x="0" y="0"/>
                <wp:positionH relativeFrom="column">
                  <wp:posOffset>3660775</wp:posOffset>
                </wp:positionH>
                <wp:positionV relativeFrom="paragraph">
                  <wp:posOffset>1151890</wp:posOffset>
                </wp:positionV>
                <wp:extent cx="2194560" cy="3168015"/>
                <wp:effectExtent l="19050" t="19050" r="0" b="0"/>
                <wp:wrapTight wrapText="bothSides">
                  <wp:wrapPolygon>
                    <wp:start x="21788" y="21730"/>
                    <wp:lineTo x="21788" y="35"/>
                    <wp:lineTo x="38" y="35"/>
                    <wp:lineTo x="38" y="21730"/>
                    <wp:lineTo x="21788" y="21730"/>
                  </wp:wrapPolygon>
                </wp:wrapTight>
                <wp:docPr id="1476753886" name="Text Box 1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3168015"/>
                        </a:xfrm>
                        <a:prstGeom prst="rect">
                          <a:avLst/>
                        </a:prstGeom>
                        <a:solidFill>
                          <a:srgbClr val="EEF5F8"/>
                        </a:solidFill>
                        <a:ln w="28575" cap="rnd">
                          <a:solidFill>
                            <a:srgbClr val="A5DAD9"/>
                          </a:solidFill>
                          <a:prstDash val="solid"/>
                          <a:miter lim="800000"/>
                          <a:headEnd/>
                          <a:tailEnd/>
                        </a:ln>
                      </wps:spPr>
                      <wps:txbx>
                        <w:txbxContent>
                          <w:p w:rsidR="00721315" w:rsidP="00333BB2" w14:textId="04D76D79">
                            <w:pPr>
                              <w:pStyle w:val="EQRTextboxheading"/>
                            </w:pPr>
                            <w:r w:rsidRPr="006F4774">
                              <w:t>Resource</w:t>
                            </w:r>
                            <w:r w:rsidR="00E14D7F">
                              <w:t>s</w:t>
                            </w:r>
                            <w:r w:rsidRPr="006F4774">
                              <w:t xml:space="preserve"> for Activity </w:t>
                            </w:r>
                            <w:r>
                              <w:t>2</w:t>
                            </w:r>
                            <w:r w:rsidRPr="006F4774">
                              <w:t xml:space="preserve">, Step </w:t>
                            </w:r>
                            <w:r>
                              <w:t>1</w:t>
                            </w:r>
                          </w:p>
                          <w:p w:rsidR="00721315" w:rsidRPr="00BF1862" w:rsidP="00BF1862" w14:textId="77777777">
                            <w:pPr>
                              <w:pStyle w:val="EQRTextboxbody"/>
                            </w:pPr>
                            <w:hyperlink w:anchor="WSp5n01" w:tooltip="Worksheet 5.1. Specification of Acceptable Error Rates and Identified Areas of Concern" w:history="1">
                              <w:r w:rsidRPr="00113E7B">
                                <w:rPr>
                                  <w:rStyle w:val="Hyperlink"/>
                                </w:rPr>
                                <w:t>Worksheet 5.1. Specification of Acceptable Error Rates and Identified Areas of Concern</w:t>
                              </w:r>
                            </w:hyperlink>
                            <w:r w:rsidRPr="000E1F61">
                              <w:t xml:space="preserve"> </w:t>
                            </w:r>
                          </w:p>
                          <w:p w:rsidR="00721315" w:rsidRPr="00BF1862" w:rsidP="00BF1862" w14:textId="77777777">
                            <w:pPr>
                              <w:pStyle w:val="EQRTextboxbullet"/>
                            </w:pPr>
                            <w:r w:rsidRPr="00BF1862">
                              <w:t>Provides guidance for the EQRO’s review of a state’s specific requirements for reporting encounters</w:t>
                            </w:r>
                          </w:p>
                          <w:p w:rsidR="00721315" w:rsidRPr="00BF1862" w:rsidP="00BF1862" w14:textId="203371E1">
                            <w:pPr>
                              <w:pStyle w:val="EQRTextboxbody"/>
                            </w:pPr>
                            <w:hyperlink w:anchor="AppB" w:tooltip="Appendix B" w:history="1">
                              <w:r>
                                <w:rPr>
                                  <w:rStyle w:val="Hyperlink"/>
                                </w:rPr>
                                <w:t>Appendix B</w:t>
                              </w:r>
                            </w:hyperlink>
                            <w:r w:rsidRPr="000E1F61">
                              <w:t xml:space="preserve"> </w:t>
                            </w:r>
                            <w:r w:rsidRPr="00BF1862">
                              <w:t xml:space="preserve">guides the information systems review. The appendix includes two worksheets: </w:t>
                            </w:r>
                          </w:p>
                          <w:p w:rsidR="00721315" w:rsidRPr="00BF1862" w:rsidP="00BF1862" w14:textId="58AAD55E">
                            <w:pPr>
                              <w:pStyle w:val="EQRTextboxbullet"/>
                            </w:pPr>
                            <w:r w:rsidRPr="00BF1862">
                              <w:t>ISCA</w:t>
                            </w:r>
                            <w:r w:rsidRPr="000E1F61">
                              <w:t xml:space="preserve"> </w:t>
                            </w:r>
                            <w:hyperlink w:anchor="WSB1" w:tooltip="Worksheet B.1" w:history="1">
                              <w:r w:rsidRPr="00113E7B">
                                <w:rPr>
                                  <w:rStyle w:val="Hyperlink"/>
                                </w:rPr>
                                <w:t xml:space="preserve">Worksheet </w:t>
                              </w:r>
                              <w:r w:rsidR="00A15459">
                                <w:rPr>
                                  <w:rStyle w:val="Hyperlink"/>
                                </w:rPr>
                                <w:t>B</w:t>
                              </w:r>
                              <w:r w:rsidRPr="00113E7B">
                                <w:rPr>
                                  <w:rStyle w:val="Hyperlink"/>
                                </w:rPr>
                                <w:t>.1</w:t>
                              </w:r>
                            </w:hyperlink>
                            <w:r w:rsidRPr="000E1F61">
                              <w:t xml:space="preserve"> </w:t>
                            </w:r>
                            <w:r w:rsidRPr="00BF1862">
                              <w:t>is the tool used for the assessment</w:t>
                            </w:r>
                          </w:p>
                          <w:p w:rsidR="00721315" w:rsidRPr="0090682E" w:rsidP="00BF1862" w14:textId="3A3ABF56">
                            <w:pPr>
                              <w:pStyle w:val="EQRTextboxbullet"/>
                              <w:rPr>
                                <w:spacing w:val="-2"/>
                              </w:rPr>
                            </w:pPr>
                            <w:r w:rsidRPr="00BF1862">
                              <w:t>ISCA</w:t>
                            </w:r>
                            <w:r w:rsidRPr="000E1F61">
                              <w:t xml:space="preserve"> </w:t>
                            </w:r>
                            <w:hyperlink w:anchor="WSB2" w:tooltip="Worksheet B.2" w:history="1">
                              <w:r w:rsidRPr="00113E7B">
                                <w:rPr>
                                  <w:rStyle w:val="Hyperlink"/>
                                </w:rPr>
                                <w:t xml:space="preserve">Worksheet </w:t>
                              </w:r>
                              <w:r w:rsidR="00C4615D">
                                <w:rPr>
                                  <w:rStyle w:val="Hyperlink"/>
                                </w:rPr>
                                <w:t>B</w:t>
                              </w:r>
                              <w:r w:rsidRPr="00113E7B">
                                <w:rPr>
                                  <w:rStyle w:val="Hyperlink"/>
                                </w:rPr>
                                <w:t>.2</w:t>
                              </w:r>
                            </w:hyperlink>
                            <w:r w:rsidRPr="000E1F61">
                              <w:t xml:space="preserve"> </w:t>
                            </w:r>
                            <w:r w:rsidRPr="00BF1862">
                              <w:t xml:space="preserve">is used by the EQRO to assess the adequacy of MCP policies and procedures based on the information collected in Worksheet </w:t>
                            </w:r>
                            <w:r w:rsidR="00A15459">
                              <w:t>B</w:t>
                            </w:r>
                            <w:r w:rsidRPr="00BF1862">
                              <w:t>.1</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4" o:spid="_x0000_s1164" type="#_x0000_t202" style="width:172.8pt;height:249.45pt;margin-top:90.7pt;margin-left:288.25pt;flip:y;mso-height-percent:0;mso-height-relative:page;mso-width-percent:0;mso-width-relative:page;mso-wrap-distance-bottom:0;mso-wrap-distance-left:9pt;mso-wrap-distance-right:9pt;mso-wrap-distance-top:0;mso-wrap-style:square;position:absolute;rotation:180;visibility:visible;v-text-anchor:top;z-index:251941888" fillcolor="#eef5f8" strokecolor="#a5dad9" strokeweight="2.25pt">
                <v:stroke endcap="round"/>
                <v:textbox style="mso-fit-shape-to-text:t" inset="8.64pt,,8.64pt">
                  <w:txbxContent>
                    <w:p w:rsidR="00721315" w:rsidP="00333BB2" w14:paraId="0A1B1FE7" w14:textId="04D76D79">
                      <w:pPr>
                        <w:pStyle w:val="EQRTextboxheading"/>
                      </w:pPr>
                      <w:r w:rsidRPr="006F4774">
                        <w:t>Resource</w:t>
                      </w:r>
                      <w:r w:rsidR="00E14D7F">
                        <w:t>s</w:t>
                      </w:r>
                      <w:r w:rsidRPr="006F4774">
                        <w:t xml:space="preserve"> for Activity </w:t>
                      </w:r>
                      <w:r>
                        <w:t>2</w:t>
                      </w:r>
                      <w:r w:rsidRPr="006F4774">
                        <w:t xml:space="preserve">, Step </w:t>
                      </w:r>
                      <w:r>
                        <w:t>1</w:t>
                      </w:r>
                    </w:p>
                    <w:p w:rsidR="00721315" w:rsidRPr="00BF1862" w:rsidP="00BF1862" w14:paraId="4DA3A554" w14:textId="77777777">
                      <w:pPr>
                        <w:pStyle w:val="EQRTextboxbody"/>
                      </w:pPr>
                      <w:hyperlink w:anchor="WSp5n01" w:tooltip="Worksheet 5.1. Specification of Acceptable Error Rates and Identified Areas of Concern" w:history="1">
                        <w:r w:rsidRPr="00113E7B">
                          <w:rPr>
                            <w:rStyle w:val="Hyperlink"/>
                          </w:rPr>
                          <w:t>Worksheet 5.1. Specification of Acceptable Error Rates and Identified Areas of Concern</w:t>
                        </w:r>
                      </w:hyperlink>
                      <w:r w:rsidRPr="000E1F61">
                        <w:t xml:space="preserve"> </w:t>
                      </w:r>
                    </w:p>
                    <w:p w:rsidR="00721315" w:rsidRPr="00BF1862" w:rsidP="00BF1862" w14:paraId="1A0A5B23" w14:textId="77777777">
                      <w:pPr>
                        <w:pStyle w:val="EQRTextboxbullet"/>
                      </w:pPr>
                      <w:r w:rsidRPr="00BF1862">
                        <w:t>Provides guidance for the EQRO’s review of a state’s specific requirements for reporting encounters</w:t>
                      </w:r>
                    </w:p>
                    <w:p w:rsidR="00721315" w:rsidRPr="00BF1862" w:rsidP="00BF1862" w14:paraId="1A571C78" w14:textId="203371E1">
                      <w:pPr>
                        <w:pStyle w:val="EQRTextboxbody"/>
                      </w:pPr>
                      <w:hyperlink w:anchor="AppB" w:tooltip="Appendix B" w:history="1">
                        <w:r>
                          <w:rPr>
                            <w:rStyle w:val="Hyperlink"/>
                          </w:rPr>
                          <w:t>Appendix B</w:t>
                        </w:r>
                      </w:hyperlink>
                      <w:r w:rsidRPr="000E1F61">
                        <w:t xml:space="preserve"> </w:t>
                      </w:r>
                      <w:r w:rsidRPr="00BF1862">
                        <w:t xml:space="preserve">guides the information systems review. The appendix includes two worksheets: </w:t>
                      </w:r>
                    </w:p>
                    <w:p w:rsidR="00721315" w:rsidRPr="00BF1862" w:rsidP="00BF1862" w14:paraId="1AEBD767" w14:textId="58AAD55E">
                      <w:pPr>
                        <w:pStyle w:val="EQRTextboxbullet"/>
                      </w:pPr>
                      <w:r w:rsidRPr="00BF1862">
                        <w:t>ISCA</w:t>
                      </w:r>
                      <w:r w:rsidRPr="000E1F61">
                        <w:t xml:space="preserve"> </w:t>
                      </w:r>
                      <w:hyperlink w:anchor="WSB1" w:tooltip="Worksheet B.1" w:history="1">
                        <w:r w:rsidRPr="00113E7B">
                          <w:rPr>
                            <w:rStyle w:val="Hyperlink"/>
                          </w:rPr>
                          <w:t xml:space="preserve">Worksheet </w:t>
                        </w:r>
                        <w:r w:rsidR="00A15459">
                          <w:rPr>
                            <w:rStyle w:val="Hyperlink"/>
                          </w:rPr>
                          <w:t>B</w:t>
                        </w:r>
                        <w:r w:rsidRPr="00113E7B">
                          <w:rPr>
                            <w:rStyle w:val="Hyperlink"/>
                          </w:rPr>
                          <w:t>.1</w:t>
                        </w:r>
                      </w:hyperlink>
                      <w:r w:rsidRPr="000E1F61">
                        <w:t xml:space="preserve"> </w:t>
                      </w:r>
                      <w:r w:rsidRPr="00BF1862">
                        <w:t>is the tool used for the assessment</w:t>
                      </w:r>
                    </w:p>
                    <w:p w:rsidR="00721315" w:rsidRPr="0090682E" w:rsidP="00BF1862" w14:paraId="64B3398C" w14:textId="3A3ABF56">
                      <w:pPr>
                        <w:pStyle w:val="EQRTextboxbullet"/>
                        <w:rPr>
                          <w:spacing w:val="-2"/>
                        </w:rPr>
                      </w:pPr>
                      <w:r w:rsidRPr="00BF1862">
                        <w:t>ISCA</w:t>
                      </w:r>
                      <w:r w:rsidRPr="000E1F61">
                        <w:t xml:space="preserve"> </w:t>
                      </w:r>
                      <w:hyperlink w:anchor="WSB2" w:tooltip="Worksheet B.2" w:history="1">
                        <w:r w:rsidRPr="00113E7B">
                          <w:rPr>
                            <w:rStyle w:val="Hyperlink"/>
                          </w:rPr>
                          <w:t xml:space="preserve">Worksheet </w:t>
                        </w:r>
                        <w:r w:rsidR="00C4615D">
                          <w:rPr>
                            <w:rStyle w:val="Hyperlink"/>
                          </w:rPr>
                          <w:t>B</w:t>
                        </w:r>
                        <w:r w:rsidRPr="00113E7B">
                          <w:rPr>
                            <w:rStyle w:val="Hyperlink"/>
                          </w:rPr>
                          <w:t>.2</w:t>
                        </w:r>
                      </w:hyperlink>
                      <w:r w:rsidRPr="000E1F61">
                        <w:t xml:space="preserve"> </w:t>
                      </w:r>
                      <w:r w:rsidRPr="00BF1862">
                        <w:t xml:space="preserve">is used by the EQRO to assess the adequacy of MCP policies and procedures based on the information collected in Worksheet </w:t>
                      </w:r>
                      <w:r w:rsidR="00A15459">
                        <w:t>B</w:t>
                      </w:r>
                      <w:r w:rsidRPr="00BF1862">
                        <w:t>.1</w:t>
                      </w:r>
                    </w:p>
                  </w:txbxContent>
                </v:textbox>
                <w10:wrap type="tight"/>
              </v:shape>
            </w:pict>
          </mc:Fallback>
        </mc:AlternateContent>
      </w:r>
      <w:r w:rsidRPr="00990D3B">
        <w:rPr>
          <w:noProof/>
        </w:rPr>
        <mc:AlternateContent>
          <mc:Choice Requires="wps">
            <w:drawing>
              <wp:anchor distT="0" distB="0" distL="114300" distR="114300" simplePos="0" relativeHeight="251942912" behindDoc="0" locked="0" layoutInCell="1" allowOverlap="1">
                <wp:simplePos x="0" y="0"/>
                <wp:positionH relativeFrom="column">
                  <wp:posOffset>3660775</wp:posOffset>
                </wp:positionH>
                <wp:positionV relativeFrom="paragraph">
                  <wp:posOffset>790575</wp:posOffset>
                </wp:positionV>
                <wp:extent cx="2193925" cy="297815"/>
                <wp:effectExtent l="19050" t="19050" r="0" b="7620"/>
                <wp:wrapTight wrapText="bothSides">
                  <wp:wrapPolygon>
                    <wp:start x="21788" y="22985"/>
                    <wp:lineTo x="21788" y="-554"/>
                    <wp:lineTo x="31" y="-554"/>
                    <wp:lineTo x="31" y="22985"/>
                    <wp:lineTo x="21788" y="22985"/>
                  </wp:wrapPolygon>
                </wp:wrapTight>
                <wp:docPr id="832844197" name="Text Box 1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721315" w:rsidRPr="0090682E" w:rsidP="00333BB2" w14:textId="7B141A6F">
                            <w:pPr>
                              <w:pStyle w:val="EQRWORKSHEETText"/>
                              <w:rPr>
                                <w:spacing w:val="-2"/>
                              </w:rPr>
                            </w:pPr>
                            <w:hyperlink w:anchor="WSB2" w:tooltip="WORKSHEET B.2" w:history="1">
                              <w:r>
                                <w:rPr>
                                  <w:rStyle w:val="Hyperlink"/>
                                  <w:color w:val="006981"/>
                                </w:rPr>
                                <w:t>WORKSHEET B.2</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3" o:spid="_x0000_s1165" type="#_x0000_t202" style="width:172.75pt;height:23.45pt;margin-top:62.25pt;margin-left:288.25pt;flip:y;mso-height-percent:0;mso-height-relative:page;mso-width-percent:0;mso-width-relative:page;mso-wrap-distance-bottom:0;mso-wrap-distance-left:9pt;mso-wrap-distance-right:9pt;mso-wrap-distance-top:0;mso-wrap-style:square;position:absolute;rotation:180;visibility:visible;v-text-anchor:top;z-index:251943936" fillcolor="#eef5f8" strokecolor="#a5dad9" strokeweight="2.25pt">
                <v:stroke endcap="round"/>
                <v:textbox style="mso-fit-shape-to-text:t" inset="8.64pt,,8.64pt">
                  <w:txbxContent>
                    <w:p w:rsidR="00721315" w:rsidRPr="0090682E" w:rsidP="00333BB2" w14:paraId="66293904" w14:textId="7B141A6F">
                      <w:pPr>
                        <w:pStyle w:val="EQRWORKSHEETText"/>
                        <w:rPr>
                          <w:spacing w:val="-2"/>
                        </w:rPr>
                      </w:pPr>
                      <w:hyperlink w:anchor="WSB2" w:tooltip="WORKSHEET B.2" w:history="1">
                        <w:r>
                          <w:rPr>
                            <w:rStyle w:val="Hyperlink"/>
                            <w:color w:val="006981"/>
                          </w:rPr>
                          <w:t>WORKSHEET B.2</w:t>
                        </w:r>
                      </w:hyperlink>
                    </w:p>
                  </w:txbxContent>
                </v:textbox>
                <w10:wrap type="tight"/>
              </v:shape>
            </w:pict>
          </mc:Fallback>
        </mc:AlternateContent>
      </w:r>
      <w:r w:rsidRPr="00990D3B">
        <w:rPr>
          <w:noProof/>
        </w:rPr>
        <mc:AlternateContent>
          <mc:Choice Requires="wps">
            <w:drawing>
              <wp:anchor distT="0" distB="0" distL="114300" distR="114300" simplePos="0" relativeHeight="251944960" behindDoc="0" locked="0" layoutInCell="1" allowOverlap="1">
                <wp:simplePos x="0" y="0"/>
                <wp:positionH relativeFrom="column">
                  <wp:posOffset>3660775</wp:posOffset>
                </wp:positionH>
                <wp:positionV relativeFrom="paragraph">
                  <wp:posOffset>434975</wp:posOffset>
                </wp:positionV>
                <wp:extent cx="2193925" cy="297815"/>
                <wp:effectExtent l="19050" t="19050" r="0" b="7620"/>
                <wp:wrapTight wrapText="bothSides">
                  <wp:wrapPolygon>
                    <wp:start x="21788" y="22985"/>
                    <wp:lineTo x="21788" y="-554"/>
                    <wp:lineTo x="31" y="-554"/>
                    <wp:lineTo x="31" y="22985"/>
                    <wp:lineTo x="21788" y="22985"/>
                  </wp:wrapPolygon>
                </wp:wrapTight>
                <wp:docPr id="1363842318" name="Text Box 1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721315" w:rsidRPr="0090682E" w:rsidP="00333BB2" w14:textId="3DDC3DE1">
                            <w:pPr>
                              <w:pStyle w:val="EQRWORKSHEETText"/>
                              <w:rPr>
                                <w:spacing w:val="-2"/>
                              </w:rPr>
                            </w:pPr>
                            <w:hyperlink w:anchor="WSB1" w:tooltip="WORKSHEET B.1" w:history="1">
                              <w:r>
                                <w:rPr>
                                  <w:rStyle w:val="Hyperlink"/>
                                  <w:color w:val="006981"/>
                                </w:rPr>
                                <w:t>WORKSHEET B.1</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2" o:spid="_x0000_s1166" type="#_x0000_t202" style="width:172.75pt;height:23.45pt;margin-top:34.25pt;margin-left:288.25pt;flip:y;mso-height-percent:0;mso-height-relative:page;mso-width-percent:0;mso-width-relative:page;mso-wrap-distance-bottom:0;mso-wrap-distance-left:9pt;mso-wrap-distance-right:9pt;mso-wrap-distance-top:0;mso-wrap-style:square;position:absolute;rotation:180;visibility:visible;v-text-anchor:top;z-index:251945984" fillcolor="#eef5f8" strokecolor="#a5dad9" strokeweight="2.25pt">
                <v:stroke endcap="round"/>
                <v:textbox style="mso-fit-shape-to-text:t" inset="8.64pt,,8.64pt">
                  <w:txbxContent>
                    <w:p w:rsidR="00721315" w:rsidRPr="0090682E" w:rsidP="00333BB2" w14:paraId="1B402E41" w14:textId="3DDC3DE1">
                      <w:pPr>
                        <w:pStyle w:val="EQRWORKSHEETText"/>
                        <w:rPr>
                          <w:spacing w:val="-2"/>
                        </w:rPr>
                      </w:pPr>
                      <w:hyperlink w:anchor="WSB1" w:tooltip="WORKSHEET B.1" w:history="1">
                        <w:r>
                          <w:rPr>
                            <w:rStyle w:val="Hyperlink"/>
                            <w:color w:val="006981"/>
                          </w:rPr>
                          <w:t>WORKSHEET B.1</w:t>
                        </w:r>
                      </w:hyperlink>
                    </w:p>
                  </w:txbxContent>
                </v:textbox>
                <w10:wrap type="tight"/>
              </v:shape>
            </w:pict>
          </mc:Fallback>
        </mc:AlternateContent>
      </w:r>
      <w:r w:rsidRPr="00990D3B">
        <w:rPr>
          <w:noProof/>
        </w:rPr>
        <mc:AlternateContent>
          <mc:Choice Requires="wps">
            <w:drawing>
              <wp:anchor distT="0" distB="0" distL="114300" distR="114300" simplePos="0" relativeHeight="251947008" behindDoc="0" locked="0" layoutInCell="1" allowOverlap="1">
                <wp:simplePos x="0" y="0"/>
                <wp:positionH relativeFrom="column">
                  <wp:posOffset>3661189</wp:posOffset>
                </wp:positionH>
                <wp:positionV relativeFrom="paragraph">
                  <wp:posOffset>79899</wp:posOffset>
                </wp:positionV>
                <wp:extent cx="2193925" cy="297815"/>
                <wp:effectExtent l="19050" t="19050" r="0" b="7620"/>
                <wp:wrapTight wrapText="bothSides">
                  <wp:wrapPolygon>
                    <wp:start x="21788" y="22985"/>
                    <wp:lineTo x="21788" y="-554"/>
                    <wp:lineTo x="31" y="-554"/>
                    <wp:lineTo x="31" y="22985"/>
                    <wp:lineTo x="21788" y="22985"/>
                  </wp:wrapPolygon>
                </wp:wrapTight>
                <wp:docPr id="1625151027" name="Text Box 1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721315" w:rsidRPr="0090682E" w:rsidP="00333BB2" w14:textId="6780378E">
                            <w:pPr>
                              <w:pStyle w:val="EQRWORKSHEETText"/>
                              <w:rPr>
                                <w:spacing w:val="-2"/>
                              </w:rPr>
                            </w:pPr>
                            <w:hyperlink w:anchor="WSp5n01" w:tooltip="WORKSHEET 5.1" w:history="1">
                              <w:r>
                                <w:rPr>
                                  <w:rStyle w:val="Hyperlink"/>
                                  <w:color w:val="006981"/>
                                </w:rPr>
                                <w:t>WORKSHEET 5.1</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1" o:spid="_x0000_s1167" type="#_x0000_t202" style="width:172.75pt;height:23.45pt;margin-top:6.3pt;margin-left:288.3pt;flip:y;mso-height-percent:0;mso-height-relative:page;mso-width-percent:0;mso-width-relative:page;mso-wrap-distance-bottom:0;mso-wrap-distance-left:9pt;mso-wrap-distance-right:9pt;mso-wrap-distance-top:0;mso-wrap-style:square;position:absolute;rotation:180;visibility:visible;v-text-anchor:top;z-index:251948032" fillcolor="#eef5f8" strokecolor="#a5dad9" strokeweight="2.25pt">
                <v:stroke endcap="round"/>
                <v:textbox style="mso-fit-shape-to-text:t" inset="8.64pt,,8.64pt">
                  <w:txbxContent>
                    <w:p w:rsidR="00721315" w:rsidRPr="0090682E" w:rsidP="00333BB2" w14:paraId="64E39AA6" w14:textId="6780378E">
                      <w:pPr>
                        <w:pStyle w:val="EQRWORKSHEETText"/>
                        <w:rPr>
                          <w:spacing w:val="-2"/>
                        </w:rPr>
                      </w:pPr>
                      <w:hyperlink w:anchor="WSp5n01" w:tooltip="WORKSHEET 5.1" w:history="1">
                        <w:r>
                          <w:rPr>
                            <w:rStyle w:val="Hyperlink"/>
                            <w:color w:val="006981"/>
                          </w:rPr>
                          <w:t>WORKSHEET 5.1</w:t>
                        </w:r>
                      </w:hyperlink>
                    </w:p>
                  </w:txbxContent>
                </v:textbox>
                <w10:wrap type="tight"/>
              </v:shape>
            </w:pict>
          </mc:Fallback>
        </mc:AlternateContent>
      </w:r>
      <w:r w:rsidRPr="00990D3B">
        <w:t xml:space="preserve">In this step, the </w:t>
      </w:r>
      <w:r w:rsidRPr="00990D3B" w:rsidR="005733D1">
        <w:t>EQRO determine</w:t>
      </w:r>
      <w:r w:rsidRPr="00990D3B">
        <w:t>s</w:t>
      </w:r>
      <w:r w:rsidRPr="00990D3B" w:rsidR="005733D1">
        <w:t xml:space="preserve"> whether the MCP has completed an ISCA review within the past two years.</w:t>
      </w:r>
      <w:r w:rsidRPr="00990D3B" w:rsidR="003162DF">
        <w:rPr>
          <w:rFonts w:ascii="ZWAdobeF" w:hAnsi="ZWAdobeF" w:cs="ZWAdobeF"/>
          <w:sz w:val="2"/>
          <w:szCs w:val="2"/>
        </w:rPr>
        <w:t>65F</w:t>
      </w:r>
      <w:r>
        <w:rPr>
          <w:rStyle w:val="FootnoteReference"/>
        </w:rPr>
        <w:footnoteReference w:id="74"/>
      </w:r>
      <w:r w:rsidRPr="00990D3B" w:rsidR="005733D1">
        <w:t xml:space="preserve"> If a recent ISCA has been completed, the EQRO should review the findings. If the MCP has not conducted an ISCA within the previous two years, the EQRO must conduct one consistent with the processes discussed in </w:t>
      </w:r>
      <w:hyperlink w:anchor="AppB" w:tooltip="Appendix B" w:history="1">
        <w:r w:rsidRPr="00990D3B" w:rsidR="00CF5AB3">
          <w:rPr>
            <w:rStyle w:val="Hyperlink"/>
          </w:rPr>
          <w:t>Appendix B</w:t>
        </w:r>
      </w:hyperlink>
      <w:r w:rsidRPr="00990D3B" w:rsidR="005733D1">
        <w:t>.</w:t>
      </w:r>
      <w:r w:rsidRPr="00990D3B" w:rsidR="0020694A">
        <w:rPr>
          <w:noProof/>
        </w:rPr>
        <w:t xml:space="preserve"> </w:t>
      </w:r>
    </w:p>
    <w:p w:rsidR="005733D1" w:rsidRPr="00990D3B" w:rsidP="000768CC" w14:paraId="2031C527" w14:textId="606CC84F">
      <w:pPr>
        <w:pStyle w:val="Paragraph0"/>
      </w:pPr>
      <w:r w:rsidRPr="00990D3B">
        <w:t xml:space="preserve">The EQRO should review the MCP’s ISCA to identify weaknesses in the MCP’s </w:t>
      </w:r>
      <w:r w:rsidRPr="00990D3B" w:rsidR="00E03388">
        <w:t>IS</w:t>
      </w:r>
      <w:r w:rsidRPr="00990D3B">
        <w:t xml:space="preserve">. This assessment determines where and how </w:t>
      </w:r>
      <w:r w:rsidRPr="00990D3B" w:rsidR="00E03388">
        <w:t>ISs</w:t>
      </w:r>
      <w:r w:rsidRPr="00990D3B">
        <w:t xml:space="preserve"> may be vulnerable to incomplete or inaccurate data capture or processing, integration, storage, or reporting. Based on the findings from the ISCA, the EQRO sh</w:t>
      </w:r>
      <w:r w:rsidRPr="00990D3B" w:rsidR="0020694A">
        <w:t>ould understand the following:</w:t>
      </w:r>
    </w:p>
    <w:p w:rsidR="005733D1" w:rsidRPr="00990D3B" w:rsidP="00FB7CAF" w14:paraId="3065232A" w14:textId="1E68A0C1">
      <w:pPr>
        <w:pStyle w:val="EQRBulletBLUE"/>
        <w:rPr>
          <w:lang w:bidi="en-US"/>
        </w:rPr>
      </w:pPr>
      <w:r w:rsidRPr="00990D3B">
        <w:rPr>
          <w:lang w:bidi="en-US"/>
        </w:rPr>
        <w:t xml:space="preserve">Information technology (IT) </w:t>
      </w:r>
      <w:r w:rsidRPr="00990D3B">
        <w:rPr>
          <w:lang w:bidi="en-US"/>
        </w:rPr>
        <w:t>system architecture, file structure, information flow, and data processing procedures</w:t>
      </w:r>
      <w:r w:rsidRPr="00990D3B" w:rsidR="00E14D7F">
        <w:rPr>
          <w:lang w:bidi="en-US"/>
        </w:rPr>
        <w:t>.</w:t>
      </w:r>
    </w:p>
    <w:p w:rsidR="005733D1" w:rsidRPr="00990D3B" w:rsidP="00FB7CAF" w14:paraId="3302CC5D" w14:textId="4F08AD3F">
      <w:pPr>
        <w:pStyle w:val="EQRBulletBLUE"/>
        <w:rPr>
          <w:lang w:bidi="en-US"/>
        </w:rPr>
      </w:pPr>
      <w:r w:rsidRPr="00990D3B">
        <w:rPr>
          <w:lang w:bidi="en-US"/>
        </w:rPr>
        <w:t>Specific programming language used by the system (e.g., SQL)</w:t>
      </w:r>
      <w:r w:rsidRPr="00990D3B" w:rsidR="003162DF">
        <w:rPr>
          <w:rFonts w:ascii="ZWAdobeF" w:hAnsi="ZWAdobeF" w:cs="ZWAdobeF"/>
          <w:sz w:val="2"/>
          <w:szCs w:val="2"/>
          <w:lang w:bidi="en-US"/>
        </w:rPr>
        <w:t>66F</w:t>
      </w:r>
      <w:r>
        <w:rPr>
          <w:rStyle w:val="FootnoteReference"/>
          <w:lang w:bidi="en-US"/>
        </w:rPr>
        <w:footnoteReference w:id="75"/>
      </w:r>
    </w:p>
    <w:p w:rsidR="005733D1" w:rsidRPr="00990D3B" w:rsidP="00FB7CAF" w14:paraId="0D66D7EA" w14:textId="150CADAD">
      <w:pPr>
        <w:pStyle w:val="EQRBulletBLUE"/>
        <w:rPr>
          <w:lang w:bidi="en-US"/>
        </w:rPr>
      </w:pPr>
      <w:r w:rsidRPr="00990D3B">
        <w:rPr>
          <w:lang w:bidi="en-US"/>
        </w:rPr>
        <w:t>Process by which the MCP modifies its source code to address changes in state reporting requirements (Note: The EQRO should obtain all source code from the MCP)</w:t>
      </w:r>
      <w:r w:rsidRPr="00990D3B" w:rsidR="00E14D7F">
        <w:rPr>
          <w:lang w:bidi="en-US"/>
        </w:rPr>
        <w:t>.</w:t>
      </w:r>
    </w:p>
    <w:p w:rsidR="005733D1" w:rsidRPr="00990D3B" w:rsidP="00FB7CAF" w14:paraId="3D75F477" w14:textId="3256D3E6">
      <w:pPr>
        <w:pStyle w:val="EQRBulletBLUE"/>
        <w:rPr>
          <w:lang w:bidi="en-US"/>
        </w:rPr>
      </w:pPr>
      <w:r w:rsidRPr="00990D3B">
        <w:rPr>
          <w:lang w:bidi="en-US"/>
        </w:rPr>
        <w:t>Other claims/encounter processing issues</w:t>
      </w:r>
      <w:r w:rsidRPr="00990D3B" w:rsidR="00E14D7F">
        <w:rPr>
          <w:lang w:bidi="en-US"/>
        </w:rPr>
        <w:t>, including:</w:t>
      </w:r>
    </w:p>
    <w:p w:rsidR="005733D1" w:rsidRPr="00990D3B" w:rsidP="00411ED7" w14:paraId="71304581" w14:textId="237297DD">
      <w:pPr>
        <w:pStyle w:val="EQRBulletBLUE2ndlevel"/>
        <w:rPr>
          <w:lang w:bidi="en-US"/>
        </w:rPr>
      </w:pPr>
      <w:r w:rsidRPr="00990D3B">
        <w:rPr>
          <w:lang w:bidi="en-US"/>
        </w:rPr>
        <w:t xml:space="preserve">How the system handles voids, adjustments, crossovers, and </w:t>
      </w:r>
      <w:r w:rsidRPr="00990D3B" w:rsidR="00605F76">
        <w:rPr>
          <w:lang w:bidi="en-US"/>
        </w:rPr>
        <w:t>records not requiring payments, such as for sub-capitated arrangements</w:t>
      </w:r>
      <w:r w:rsidRPr="00990D3B" w:rsidR="004A622E">
        <w:rPr>
          <w:lang w:bidi="en-US"/>
        </w:rPr>
        <w:t>.</w:t>
      </w:r>
    </w:p>
    <w:p w:rsidR="005733D1" w:rsidRPr="00990D3B" w:rsidP="00411ED7" w14:paraId="63E7629E" w14:textId="1AEB3470">
      <w:pPr>
        <w:pStyle w:val="EQRBulletBLUE2ndlevel"/>
        <w:rPr>
          <w:lang w:bidi="en-US"/>
        </w:rPr>
      </w:pPr>
      <w:r w:rsidRPr="00990D3B">
        <w:rPr>
          <w:lang w:bidi="en-US"/>
        </w:rPr>
        <w:t>Whether the system verifies encounters at both header and detail levels</w:t>
      </w:r>
      <w:r w:rsidRPr="00990D3B" w:rsidR="003162DF">
        <w:rPr>
          <w:rFonts w:ascii="ZWAdobeF" w:hAnsi="ZWAdobeF" w:cs="ZWAdobeF"/>
          <w:sz w:val="2"/>
          <w:szCs w:val="2"/>
          <w:lang w:bidi="en-US"/>
        </w:rPr>
        <w:t>67F</w:t>
      </w:r>
      <w:r>
        <w:rPr>
          <w:rStyle w:val="FootnoteReference"/>
          <w:lang w:bidi="en-US"/>
        </w:rPr>
        <w:footnoteReference w:id="76"/>
      </w:r>
    </w:p>
    <w:p w:rsidR="00D71154" w:rsidRPr="00990D3B" w:rsidP="00411ED7" w14:paraId="32D78BD2" w14:textId="77777777">
      <w:pPr>
        <w:pStyle w:val="EQRBulletBLUE2ndlevel"/>
        <w:rPr>
          <w:lang w:bidi="en-US"/>
        </w:rPr>
      </w:pPr>
      <w:r w:rsidRPr="00990D3B">
        <w:rPr>
          <w:lang w:bidi="en-US"/>
        </w:rPr>
        <w:t>Whether there are processes in place to identify “orphan” header or detail records</w:t>
      </w:r>
      <w:r w:rsidRPr="00990D3B" w:rsidR="003162DF">
        <w:rPr>
          <w:rFonts w:ascii="ZWAdobeF" w:hAnsi="ZWAdobeF" w:cs="ZWAdobeF"/>
          <w:sz w:val="2"/>
          <w:szCs w:val="2"/>
          <w:lang w:bidi="en-US"/>
        </w:rPr>
        <w:t>68F</w:t>
      </w:r>
      <w:r>
        <w:rPr>
          <w:rStyle w:val="FootnoteReference"/>
          <w:lang w:bidi="en-US"/>
        </w:rPr>
        <w:footnoteReference w:id="77"/>
      </w:r>
    </w:p>
    <w:p w:rsidR="005733D1" w:rsidRPr="00990D3B" w:rsidP="00FB7CAF" w14:paraId="5402827F" w14:textId="6F0F23A6">
      <w:pPr>
        <w:pStyle w:val="EQRBulletBLUE"/>
        <w:rPr>
          <w:lang w:bidi="en-US"/>
        </w:rPr>
      </w:pPr>
      <w:r w:rsidRPr="00990D3B">
        <w:rPr>
          <w:lang w:bidi="en-US"/>
        </w:rPr>
        <w:t>Completeness of data</w:t>
      </w:r>
      <w:r w:rsidRPr="00990D3B" w:rsidR="00E14D7F">
        <w:rPr>
          <w:lang w:bidi="en-US"/>
        </w:rPr>
        <w:t xml:space="preserve">. </w:t>
      </w:r>
      <w:r w:rsidRPr="00990D3B">
        <w:rPr>
          <w:lang w:bidi="en-US"/>
        </w:rPr>
        <w:t xml:space="preserve">Whether there any service types (e.g., non-emergency transportation or behavioral health) </w:t>
      </w:r>
      <w:r w:rsidRPr="00990D3B">
        <w:rPr>
          <w:lang w:bidi="en-US"/>
        </w:rPr>
        <w:t>not</w:t>
      </w:r>
      <w:r w:rsidRPr="00990D3B">
        <w:rPr>
          <w:lang w:bidi="en-US"/>
        </w:rPr>
        <w:t xml:space="preserve"> in the system</w:t>
      </w:r>
    </w:p>
    <w:p w:rsidR="005733D1" w:rsidRPr="00990D3B" w:rsidP="00FB7CAF" w14:paraId="7F5516CD" w14:textId="6C498ECB">
      <w:pPr>
        <w:pStyle w:val="EQRBulletBLUE"/>
        <w:rPr>
          <w:lang w:bidi="en-US"/>
        </w:rPr>
      </w:pPr>
      <w:r w:rsidRPr="00990D3B">
        <w:rPr>
          <w:lang w:bidi="en-US"/>
        </w:rPr>
        <w:t>Written policies and procedures for edits and audits</w:t>
      </w:r>
      <w:r w:rsidRPr="00990D3B" w:rsidR="00E14D7F">
        <w:rPr>
          <w:lang w:bidi="en-US"/>
        </w:rPr>
        <w:t>.</w:t>
      </w:r>
    </w:p>
    <w:p w:rsidR="005733D1" w:rsidRPr="00990D3B" w:rsidP="00411ED7" w14:paraId="7E58C06A" w14:textId="0C45C116">
      <w:pPr>
        <w:pStyle w:val="EQRBulletBLUE2ndlevel"/>
        <w:rPr>
          <w:lang w:bidi="en-US"/>
        </w:rPr>
      </w:pPr>
      <w:r w:rsidRPr="00990D3B">
        <w:rPr>
          <w:lang w:bidi="en-US"/>
        </w:rPr>
        <w:t>Claims/encounter system demonstration</w:t>
      </w:r>
      <w:r w:rsidRPr="00990D3B" w:rsidR="00E14D7F">
        <w:rPr>
          <w:lang w:bidi="en-US"/>
        </w:rPr>
        <w:t>.</w:t>
      </w:r>
    </w:p>
    <w:p w:rsidR="005733D1" w:rsidRPr="00990D3B" w:rsidP="00411ED7" w14:paraId="2DDA8BC9" w14:textId="7E38C6C2">
      <w:pPr>
        <w:pStyle w:val="EQRBulletBLUE2ndlevel"/>
        <w:rPr>
          <w:lang w:bidi="en-US"/>
        </w:rPr>
      </w:pPr>
      <w:r w:rsidRPr="00990D3B">
        <w:rPr>
          <w:lang w:bidi="en-US"/>
        </w:rPr>
        <w:t>Whether the system permits working with the data in a “test” environment</w:t>
      </w:r>
      <w:r w:rsidRPr="00990D3B" w:rsidR="004A622E">
        <w:rPr>
          <w:lang w:bidi="en-US"/>
        </w:rPr>
        <w:t>.</w:t>
      </w:r>
      <w:r w:rsidRPr="00990D3B">
        <w:rPr>
          <w:lang w:bidi="en-US"/>
        </w:rPr>
        <w:t xml:space="preserve"> </w:t>
      </w:r>
    </w:p>
    <w:p w:rsidR="005733D1" w:rsidRPr="00990D3B" w:rsidP="00411ED7" w14:paraId="34315970" w14:textId="4336A19E">
      <w:pPr>
        <w:pStyle w:val="EQRBulletBLUE2ndlevel"/>
        <w:rPr>
          <w:lang w:bidi="en-US"/>
        </w:rPr>
      </w:pPr>
      <w:r w:rsidRPr="00990D3B">
        <w:rPr>
          <w:lang w:bidi="en-US"/>
        </w:rPr>
        <w:t>Processes for merging and/or transferring data</w:t>
      </w:r>
      <w:r w:rsidRPr="00990D3B" w:rsidR="00E14D7F">
        <w:rPr>
          <w:lang w:bidi="en-US"/>
        </w:rPr>
        <w:t>.</w:t>
      </w:r>
    </w:p>
    <w:p w:rsidR="005733D1" w:rsidRPr="00990D3B" w:rsidP="00411ED7" w14:paraId="6440F919" w14:textId="461FA0A4">
      <w:pPr>
        <w:pStyle w:val="EQRBulletBLUE2ndlevel"/>
        <w:rPr>
          <w:lang w:bidi="en-US"/>
        </w:rPr>
      </w:pPr>
      <w:r w:rsidRPr="00990D3B">
        <w:rPr>
          <w:lang w:bidi="en-US"/>
        </w:rPr>
        <w:t>Processes for encounter data intake, logging, adjudication, and denial</w:t>
      </w:r>
      <w:r w:rsidRPr="00990D3B" w:rsidR="00E14D7F">
        <w:rPr>
          <w:lang w:bidi="en-US"/>
        </w:rPr>
        <w:t>.</w:t>
      </w:r>
    </w:p>
    <w:p w:rsidR="005733D1" w:rsidRPr="00990D3B" w:rsidP="00411ED7" w14:paraId="2BA12500" w14:textId="3ADB9CF8">
      <w:pPr>
        <w:pStyle w:val="EQRBulletBLUE2ndlevel"/>
        <w:rPr>
          <w:lang w:bidi="en-US"/>
        </w:rPr>
      </w:pPr>
      <w:r w:rsidRPr="00990D3B">
        <w:rPr>
          <w:lang w:bidi="en-US"/>
        </w:rPr>
        <w:t xml:space="preserve">Audits performed to assure data quality and accuracy and </w:t>
      </w:r>
      <w:r w:rsidRPr="00990D3B">
        <w:rPr>
          <w:lang w:bidi="en-US"/>
        </w:rPr>
        <w:t>processing</w:t>
      </w:r>
      <w:r w:rsidRPr="00990D3B">
        <w:rPr>
          <w:lang w:bidi="en-US"/>
        </w:rPr>
        <w:t xml:space="preserve"> timeliness</w:t>
      </w:r>
      <w:r w:rsidRPr="00990D3B" w:rsidR="00E14D7F">
        <w:rPr>
          <w:lang w:bidi="en-US"/>
        </w:rPr>
        <w:t>.</w:t>
      </w:r>
    </w:p>
    <w:p w:rsidR="005733D1" w:rsidRPr="00990D3B" w:rsidP="00411ED7" w14:paraId="60154092" w14:textId="367E2FD0">
      <w:pPr>
        <w:pStyle w:val="EQRBulletBLUE2ndlevel"/>
        <w:rPr>
          <w:lang w:bidi="en-US"/>
        </w:rPr>
      </w:pPr>
      <w:r w:rsidRPr="00990D3B">
        <w:rPr>
          <w:lang w:bidi="en-US"/>
        </w:rPr>
        <w:t>Maintenance and updating of provider data, including how the MCP identifies providers or organizations excluded from the Medicaid program each month (e.g., List of Excluded Individuals and Entities), and whether the MCP requires its provider network to update provider data each month</w:t>
      </w:r>
      <w:r w:rsidRPr="00990D3B" w:rsidR="00E14D7F">
        <w:rPr>
          <w:lang w:bidi="en-US"/>
        </w:rPr>
        <w:t>.</w:t>
      </w:r>
    </w:p>
    <w:p w:rsidR="005733D1" w:rsidRPr="00990D3B" w:rsidP="00411ED7" w14:paraId="2A5B1D7F" w14:textId="51CF88A6">
      <w:pPr>
        <w:pStyle w:val="EQRBulletBLUE2ndlevel"/>
        <w:rPr>
          <w:lang w:bidi="en-US"/>
        </w:rPr>
      </w:pPr>
      <w:r w:rsidRPr="00990D3B">
        <w:rPr>
          <w:lang w:bidi="en-US"/>
        </w:rPr>
        <w:t xml:space="preserve">Processing of enrollment data, including a description of how the system identifies </w:t>
      </w:r>
      <w:r w:rsidRPr="00990D3B" w:rsidR="00622633">
        <w:rPr>
          <w:lang w:bidi="en-US"/>
        </w:rPr>
        <w:t>enrollees</w:t>
      </w:r>
      <w:r w:rsidRPr="00990D3B">
        <w:rPr>
          <w:lang w:bidi="en-US"/>
        </w:rPr>
        <w:t xml:space="preserve"> as information changes over time (e.g., how the system handles name and address changes)</w:t>
      </w:r>
      <w:r w:rsidRPr="00990D3B" w:rsidR="00E14D7F">
        <w:rPr>
          <w:lang w:bidi="en-US"/>
        </w:rPr>
        <w:t>.</w:t>
      </w:r>
    </w:p>
    <w:p w:rsidR="005733D1" w:rsidRPr="00990D3B" w:rsidP="00411ED7" w14:paraId="04875FAA" w14:textId="2AADE574">
      <w:pPr>
        <w:pStyle w:val="EQRBulletBLUE2ndlevel"/>
        <w:rPr>
          <w:lang w:bidi="en-US"/>
        </w:rPr>
      </w:pPr>
      <w:r w:rsidRPr="00990D3B">
        <w:rPr>
          <w:lang w:bidi="en-US"/>
        </w:rPr>
        <w:t>Specific claims and encounter verification procedures</w:t>
      </w:r>
      <w:r w:rsidRPr="00990D3B" w:rsidR="00E14D7F">
        <w:rPr>
          <w:lang w:bidi="en-US"/>
        </w:rPr>
        <w:t>.</w:t>
      </w:r>
    </w:p>
    <w:p w:rsidR="005733D1" w:rsidRPr="00990D3B" w:rsidP="00411ED7" w14:paraId="586DBE05" w14:textId="25042EAD">
      <w:pPr>
        <w:pStyle w:val="EQRBulletBLUE2ndlevel"/>
        <w:rPr>
          <w:lang w:bidi="en-US"/>
        </w:rPr>
      </w:pPr>
      <w:r w:rsidRPr="00990D3B">
        <w:rPr>
          <w:lang w:bidi="en-US"/>
        </w:rPr>
        <w:t>Frequency of information updates (e.g., how often does the MCP update its provider table?)</w:t>
      </w:r>
      <w:r w:rsidRPr="00990D3B" w:rsidR="00E14D7F">
        <w:rPr>
          <w:lang w:bidi="en-US"/>
        </w:rPr>
        <w:t>.</w:t>
      </w:r>
    </w:p>
    <w:p w:rsidR="005733D1" w:rsidRPr="00990D3B" w:rsidP="00411ED7" w14:paraId="051FA7AD" w14:textId="1BEDD9AB">
      <w:pPr>
        <w:pStyle w:val="EQRBulletBLUE2ndlevel"/>
        <w:rPr>
          <w:lang w:bidi="en-US"/>
        </w:rPr>
      </w:pPr>
      <w:r w:rsidRPr="00990D3B">
        <w:rPr>
          <w:lang w:bidi="en-US"/>
        </w:rPr>
        <w:t>Management of enrollment and disenrollment information</w:t>
      </w:r>
      <w:r w:rsidRPr="00990D3B" w:rsidR="00E14D7F">
        <w:rPr>
          <w:lang w:bidi="en-US"/>
        </w:rPr>
        <w:t>.</w:t>
      </w:r>
    </w:p>
    <w:p w:rsidR="00F74298" w:rsidRPr="00990D3B" w:rsidP="000768CC" w14:paraId="3A1E6F2B" w14:textId="7451287B">
      <w:pPr>
        <w:pStyle w:val="ParagraphContinued"/>
        <w:rPr>
          <w:rStyle w:val="NormalSSChar"/>
          <w:rFonts w:eastAsia="Calibri"/>
        </w:rPr>
      </w:pPr>
      <w:r w:rsidRPr="00990D3B">
        <w:rPr>
          <w:lang w:bidi="en-US"/>
        </w:rPr>
        <w:t xml:space="preserve">During the review of ISCA findings, </w:t>
      </w:r>
      <w:r w:rsidRPr="00990D3B" w:rsidR="00E852C3">
        <w:rPr>
          <w:lang w:bidi="en-US"/>
        </w:rPr>
        <w:t>the EQRO may identify encounter data errors by MCPs (</w:t>
      </w:r>
      <w:r w:rsidRPr="00990D3B" w:rsidR="00E8180C">
        <w:rPr>
          <w:lang w:bidi="en-US"/>
        </w:rPr>
        <w:t>see</w:t>
      </w:r>
      <w:r w:rsidRPr="00990D3B" w:rsidR="00E8180C">
        <w:t xml:space="preserve"> </w:t>
      </w:r>
      <w:hyperlink w:anchor="Box5n2" w:tooltip="Box 5.2" w:history="1">
        <w:r w:rsidRPr="00990D3B" w:rsidR="00E852C3">
          <w:rPr>
            <w:rStyle w:val="Hyperlink"/>
            <w:lang w:bidi="en-US"/>
          </w:rPr>
          <w:t>Box 5.2</w:t>
        </w:r>
      </w:hyperlink>
      <w:r w:rsidRPr="00990D3B" w:rsidR="00E852C3">
        <w:t>)</w:t>
      </w:r>
      <w:r w:rsidRPr="00990D3B" w:rsidR="00E852C3">
        <w:rPr>
          <w:lang w:bidi="en-US"/>
        </w:rPr>
        <w:t>. I</w:t>
      </w:r>
      <w:r w:rsidRPr="00990D3B">
        <w:rPr>
          <w:lang w:bidi="en-US"/>
        </w:rPr>
        <w:t>f the EQRO identifies issues that may contribute to inaccurate or incomplete</w:t>
      </w:r>
      <w:r w:rsidRPr="00990D3B">
        <w:rPr>
          <w:rStyle w:val="NormalSSChar"/>
          <w:rFonts w:eastAsia="Calibri"/>
        </w:rPr>
        <w:t xml:space="preserve"> encounter data, the EQRO should list any concerns about the enc</w:t>
      </w:r>
      <w:r w:rsidRPr="00990D3B" w:rsidR="00EB1DD7">
        <w:rPr>
          <w:rStyle w:val="NormalSSChar"/>
          <w:rFonts w:eastAsia="Calibri"/>
        </w:rPr>
        <w:t>ounter data in Column 4 of</w:t>
      </w:r>
      <w:r w:rsidRPr="00990D3B" w:rsidR="00EB1DD7">
        <w:rPr>
          <w:rFonts w:eastAsia="Calibri"/>
        </w:rPr>
        <w:t xml:space="preserve"> </w:t>
      </w:r>
      <w:hyperlink w:anchor="WSp5n01" w:tooltip="Worksheet 5.1" w:history="1">
        <w:r w:rsidRPr="00990D3B" w:rsidR="00EB1DD7">
          <w:rPr>
            <w:rStyle w:val="Hyperlink"/>
            <w:rFonts w:eastAsia="Calibri"/>
          </w:rPr>
          <w:t>Worksheet</w:t>
        </w:r>
        <w:r w:rsidRPr="00990D3B">
          <w:rPr>
            <w:rStyle w:val="Hyperlink"/>
            <w:rFonts w:eastAsia="Calibri"/>
          </w:rPr>
          <w:t xml:space="preserve"> 5.1</w:t>
        </w:r>
      </w:hyperlink>
      <w:r w:rsidRPr="00990D3B">
        <w:rPr>
          <w:rFonts w:eastAsia="Calibri"/>
        </w:rPr>
        <w:t>.</w:t>
      </w:r>
      <w:r w:rsidRPr="00990D3B">
        <w:rPr>
          <w:rStyle w:val="NormalSSChar"/>
          <w:rFonts w:eastAsia="Calibri"/>
        </w:rPr>
        <w:t xml:space="preserve"> </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78272EE8" w14:textId="77777777" w:rsidTr="000F67F7">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216"/>
        </w:trPr>
        <w:tc>
          <w:tcPr>
            <w:tcW w:w="9314" w:type="dxa"/>
            <w:shd w:val="clear" w:color="auto" w:fill="EEF5F8"/>
          </w:tcPr>
          <w:p w:rsidR="000267AC" w:rsidRPr="00990D3B" w:rsidP="000F67F7" w14:paraId="67E7DA35" w14:textId="77777777">
            <w:pPr>
              <w:pStyle w:val="EQRTextboxheading"/>
              <w:keepNext/>
              <w:spacing w:before="0" w:after="0"/>
            </w:pPr>
            <w:bookmarkStart w:id="576" w:name="Box5n2"/>
            <w:bookmarkStart w:id="577" w:name="_Toc482698748"/>
            <w:bookmarkEnd w:id="576"/>
            <w:r w:rsidRPr="00990D3B">
              <w:t>Box 5.2 Potential Causes of Encounter Data Errors by MCPs</w:t>
            </w:r>
          </w:p>
          <w:p w:rsidR="00204D3F" w:rsidRPr="00990D3B" w:rsidP="000E758E" w14:paraId="7A7F13CA" w14:textId="55A9563D">
            <w:pPr>
              <w:pStyle w:val="EQRTextboxbody"/>
              <w:spacing w:after="0"/>
            </w:pPr>
            <w:r w:rsidRPr="00990D3B">
              <w:t>Encounter</w:t>
            </w:r>
            <w:r w:rsidRPr="00990D3B">
              <w:t xml:space="preserve"> data errors can stem from a range of operational, technical, and contractual issues within MCPs. Identifying common sources of error can help states and EQROs target corrective actions and strengthen data quality oversight. The examples below illustrate frequent causes of encounter data inaccuracies:</w:t>
            </w:r>
          </w:p>
        </w:tc>
      </w:tr>
      <w:tr w14:paraId="725ED38A" w14:textId="77777777" w:rsidTr="000F67F7">
        <w:tblPrEx>
          <w:tblW w:w="0" w:type="auto"/>
          <w:tblCellMar>
            <w:top w:w="72" w:type="dxa"/>
            <w:left w:w="173" w:type="dxa"/>
            <w:bottom w:w="72" w:type="dxa"/>
            <w:right w:w="173" w:type="dxa"/>
          </w:tblCellMar>
          <w:tblLook w:val="04A0"/>
        </w:tblPrEx>
        <w:trPr>
          <w:cantSplit/>
          <w:trHeight w:val="1764"/>
        </w:trPr>
        <w:tc>
          <w:tcPr>
            <w:tcW w:w="9314" w:type="dxa"/>
            <w:shd w:val="clear" w:color="auto" w:fill="EEF5F8"/>
          </w:tcPr>
          <w:p w:rsidR="000267AC" w:rsidRPr="00990D3B" w:rsidP="000267AC" w14:paraId="6F8FE11F" w14:textId="77777777">
            <w:pPr>
              <w:pStyle w:val="EQRTextboxbullet"/>
            </w:pPr>
            <w:r w:rsidRPr="00990D3B">
              <w:t>Non-standard codes or forms</w:t>
            </w:r>
          </w:p>
          <w:p w:rsidR="000267AC" w:rsidRPr="00990D3B" w:rsidP="000267AC" w14:paraId="7DBC57AC" w14:textId="77777777">
            <w:pPr>
              <w:pStyle w:val="EQRTextboxbullet"/>
            </w:pPr>
            <w:r w:rsidRPr="00990D3B">
              <w:t>Inadequate front-end data edits</w:t>
            </w:r>
          </w:p>
          <w:p w:rsidR="000267AC" w:rsidRPr="00990D3B" w:rsidP="000267AC" w14:paraId="3D7C539A" w14:textId="77777777">
            <w:pPr>
              <w:pStyle w:val="EQRTextboxbullet"/>
            </w:pPr>
            <w:r w:rsidRPr="00990D3B">
              <w:t>Lack of provider contractual requirements that tie payment to data submission</w:t>
            </w:r>
          </w:p>
          <w:p w:rsidR="000267AC" w:rsidRPr="00990D3B" w:rsidP="000267AC" w14:paraId="65A006FF" w14:textId="77777777">
            <w:pPr>
              <w:pStyle w:val="EQRTextboxbullet"/>
            </w:pPr>
            <w:r w:rsidRPr="00990D3B">
              <w:t>Use of default dates of service or provider identifiers</w:t>
            </w:r>
          </w:p>
          <w:p w:rsidR="000267AC" w:rsidRPr="00990D3B" w:rsidP="000267AC" w14:paraId="47394C7D" w14:textId="77777777">
            <w:pPr>
              <w:pStyle w:val="EQRTextboxbullet"/>
            </w:pPr>
            <w:r w:rsidRPr="00990D3B">
              <w:t>Failure to collect key demographic data elements</w:t>
            </w:r>
          </w:p>
          <w:p w:rsidR="000267AC" w:rsidRPr="00990D3B" w:rsidP="000267AC" w14:paraId="7C3827CE" w14:textId="77777777">
            <w:pPr>
              <w:pStyle w:val="EQRTextboxbullet"/>
            </w:pPr>
            <w:r w:rsidRPr="00990D3B">
              <w:t>Out of date or incomplete reference tables</w:t>
            </w:r>
          </w:p>
          <w:p w:rsidR="000267AC" w:rsidRPr="00990D3B" w:rsidP="000267AC" w14:paraId="115C0638" w14:textId="77777777">
            <w:pPr>
              <w:pStyle w:val="EQRTextboxbullet"/>
            </w:pPr>
            <w:r w:rsidRPr="00990D3B">
              <w:t>Failure to collect Medicare crossover claims</w:t>
            </w:r>
          </w:p>
          <w:p w:rsidR="000267AC" w:rsidRPr="00990D3B" w:rsidP="000267AC" w14:paraId="6CBEE4DD" w14:textId="126759E7">
            <w:pPr>
              <w:pStyle w:val="EQRTextboxbullet"/>
            </w:pPr>
            <w:r w:rsidRPr="00990D3B">
              <w:t>Inconsistent use of adjusted and void claims</w:t>
            </w:r>
          </w:p>
        </w:tc>
      </w:tr>
    </w:tbl>
    <w:p w:rsidR="00FE46D3" w:rsidRPr="00990D3B" w:rsidP="00B12E19" w14:paraId="54104399" w14:textId="10CE9972">
      <w:pPr>
        <w:pStyle w:val="H3"/>
        <w:spacing w:before="240"/>
      </w:pPr>
      <w:bookmarkStart w:id="578" w:name="P5Act2Step2"/>
      <w:bookmarkEnd w:id="578"/>
      <w:r w:rsidRPr="00990D3B">
        <w:t xml:space="preserve">Step 2: </w:t>
      </w:r>
      <w:bookmarkEnd w:id="577"/>
      <w:r w:rsidRPr="00990D3B">
        <w:t>Interview MCP Personnel</w:t>
      </w:r>
    </w:p>
    <w:p w:rsidR="00E833D1" w:rsidRPr="00990D3B" w:rsidP="000768CC" w14:paraId="22E2CE5B" w14:textId="56A0D72A">
      <w:pPr>
        <w:pStyle w:val="ParagraphContinued"/>
      </w:pPr>
      <w:bookmarkStart w:id="579" w:name="_Toc482698753"/>
      <w:r w:rsidRPr="00990D3B">
        <w:t>After reviewing the findings from the ISCA, the EQRO conduct</w:t>
      </w:r>
      <w:r w:rsidRPr="00990D3B" w:rsidR="00D84F3B">
        <w:t>s</w:t>
      </w:r>
      <w:r w:rsidRPr="00990D3B">
        <w:t xml:space="preserve"> follow-up interviews with MCP personnel as needed to supplement the information in </w:t>
      </w:r>
      <w:r w:rsidRPr="00990D3B">
        <w:t>the ISCA</w:t>
      </w:r>
      <w:r w:rsidRPr="00990D3B">
        <w:t xml:space="preserve"> and ensure its understanding of the MCP’s information systems and processes. The EQRO should refer to ISCA components that the MCP uses to produce performance measures, including enrollment, medical, pharmacy, provider, lab, and other ancillary or supplemental data sources. </w:t>
      </w:r>
    </w:p>
    <w:p w:rsidR="00FE46D3" w:rsidRPr="00990D3B" w:rsidP="007D0F48" w14:paraId="49266146" w14:textId="23D0B9E3">
      <w:pPr>
        <w:pStyle w:val="H2"/>
      </w:pPr>
      <w:bookmarkStart w:id="580" w:name="P5A3"/>
      <w:bookmarkStart w:id="581" w:name="_Toc14777708"/>
      <w:bookmarkStart w:id="582" w:name="_Toc183005606"/>
      <w:bookmarkStart w:id="583" w:name="_Toc201751376"/>
      <w:r w:rsidRPr="00990D3B">
        <w:t>Activity 3</w:t>
      </w:r>
      <w:bookmarkEnd w:id="580"/>
      <w:r w:rsidRPr="00990D3B">
        <w:t xml:space="preserve">: </w:t>
      </w:r>
      <w:bookmarkEnd w:id="579"/>
      <w:r w:rsidRPr="00990D3B">
        <w:t>Analyze Electronic Encounter Data</w:t>
      </w:r>
      <w:bookmarkEnd w:id="581"/>
      <w:bookmarkEnd w:id="582"/>
      <w:bookmarkEnd w:id="583"/>
    </w:p>
    <w:bookmarkStart w:id="584" w:name="_Toc482698754"/>
    <w:p w:rsidR="00E833D1" w:rsidRPr="00990D3B" w:rsidP="000768CC" w14:paraId="28CE7948" w14:textId="63B406ED">
      <w:pPr>
        <w:pStyle w:val="ParagraphContinued"/>
      </w:pPr>
      <w:r w:rsidRPr="00990D3B">
        <w:fldChar w:fldCharType="begin"/>
      </w:r>
      <w:r w:rsidRPr="00990D3B" w:rsidR="00F327A7">
        <w:instrText>HYPERLINK  \l "P5A3" \o "Activity 3"</w:instrText>
      </w:r>
      <w:r w:rsidRPr="00990D3B">
        <w:fldChar w:fldCharType="separate"/>
      </w:r>
      <w:r w:rsidRPr="00990D3B">
        <w:rPr>
          <w:rStyle w:val="Hyperlink"/>
          <w:color w:val="auto"/>
        </w:rPr>
        <w:t>Activity 3</w:t>
      </w:r>
      <w:r w:rsidRPr="00990D3B">
        <w:fldChar w:fldCharType="end"/>
      </w:r>
      <w:r w:rsidRPr="00990D3B">
        <w:t xml:space="preserve"> is the core function used to determine the validity of the encounter data. When the EQRO has completed the steps within this activity, it should know whether the data </w:t>
      </w:r>
      <w:r w:rsidRPr="00990D3B">
        <w:t>are</w:t>
      </w:r>
      <w:r w:rsidRPr="00990D3B">
        <w:t xml:space="preserve"> complete, of high quality, and can be used for analysis of quality, access, program integrity monitoring, among other critical state activities. If the EQRO cannot confirm the quality of the data after completing this activity, it should </w:t>
      </w:r>
      <w:r w:rsidRPr="00990D3B" w:rsidR="009F1B8C">
        <w:t xml:space="preserve">not </w:t>
      </w:r>
      <w:r w:rsidRPr="00990D3B">
        <w:t xml:space="preserve">proceed to </w:t>
      </w:r>
      <w:r>
        <w:fldChar w:fldCharType="begin"/>
      </w:r>
      <w:r w:rsidRPr="00990D3B">
        <w:rPr>
          <w:rStyle w:val="Hyperlink"/>
          <w:color w:val="auto"/>
        </w:rPr>
        <w:instrText xml:space="preserve"> HYPERLINK \l "P5A4" \o "Activity 4" </w:instrText>
      </w:r>
      <w:r>
        <w:fldChar w:fldCharType="separate"/>
      </w:r>
      <w:r w:rsidRPr="00990D3B">
        <w:rPr>
          <w:rStyle w:val="Hyperlink"/>
          <w:color w:val="auto"/>
        </w:rPr>
        <w:t>Activity 4</w:t>
      </w:r>
      <w:r>
        <w:fldChar w:fldCharType="end"/>
      </w:r>
      <w:r w:rsidRPr="00990D3B">
        <w:t>, the Medical Record Review.</w:t>
      </w:r>
      <w:r w:rsidRPr="00990D3B" w:rsidR="007A3652">
        <w:t xml:space="preserve"> </w:t>
      </w:r>
      <w:r w:rsidRPr="00990D3B" w:rsidR="009F1B8C">
        <w:t>Instead, t</w:t>
      </w:r>
      <w:r w:rsidRPr="00990D3B">
        <w:t xml:space="preserve">he EQRO should work closely with the state or </w:t>
      </w:r>
      <w:r w:rsidRPr="00990D3B" w:rsidR="00994D55">
        <w:t xml:space="preserve">MCPs </w:t>
      </w:r>
      <w:r w:rsidRPr="00990D3B">
        <w:t xml:space="preserve">to determine underlying problems or </w:t>
      </w:r>
      <w:r w:rsidRPr="00990D3B" w:rsidR="008D39D3">
        <w:t>acquire</w:t>
      </w:r>
      <w:r w:rsidRPr="00990D3B">
        <w:t xml:space="preserve"> additional information to determine the quality and use</w:t>
      </w:r>
      <w:r w:rsidRPr="00990D3B" w:rsidR="00BF6C63">
        <w:t xml:space="preserve">fulness of the data submitted. </w:t>
      </w:r>
      <w:r w:rsidRPr="00990D3B">
        <w:t xml:space="preserve">Difficulties </w:t>
      </w:r>
      <w:r w:rsidRPr="00990D3B" w:rsidR="008D39D3">
        <w:t>completing</w:t>
      </w:r>
      <w:r w:rsidRPr="00990D3B">
        <w:t xml:space="preserve"> this analysis may need to be summarized for the state as indicating serious data quality issues. </w:t>
      </w:r>
    </w:p>
    <w:p w:rsidR="00E833D1" w:rsidRPr="00990D3B" w:rsidP="004E5005" w14:paraId="140F91A8" w14:textId="15CD3CAC">
      <w:pPr>
        <w:pStyle w:val="Paragraph0"/>
      </w:pPr>
      <w:r w:rsidRPr="00990D3B">
        <w:t xml:space="preserve">The EQRO should use the information obtained from these analyses, the ISCA tool, follow-up interviews, and the results of state edits to assess the completeness and accuracy of the MCP’s encounter data. The results of </w:t>
      </w:r>
      <w:hyperlink w:anchor="P5A3" w:tooltip="Activity 3" w:history="1">
        <w:r w:rsidRPr="00990D3B">
          <w:rPr>
            <w:rStyle w:val="Hyperlink"/>
            <w:color w:val="auto"/>
          </w:rPr>
          <w:t>Activity 3</w:t>
        </w:r>
      </w:hyperlink>
      <w:r w:rsidRPr="00990D3B">
        <w:t xml:space="preserve"> will inform </w:t>
      </w:r>
      <w:r w:rsidRPr="00990D3B">
        <w:t>the</w:t>
      </w:r>
      <w:r w:rsidRPr="00990D3B">
        <w:t xml:space="preserve"> development of a long-term monitoring strategy for assessing the quality of the encounter data. As the data </w:t>
      </w:r>
      <w:r w:rsidRPr="00990D3B">
        <w:t>evolve</w:t>
      </w:r>
      <w:r w:rsidRPr="00990D3B">
        <w:t xml:space="preserve"> over time, the EQRO will be able to design targeted validation strategies to identify problem areas requiring resource intensive medical record review.</w:t>
      </w:r>
    </w:p>
    <w:p w:rsidR="00E833D1" w:rsidRPr="00990D3B" w:rsidP="007D0F48" w14:paraId="6954403F" w14:textId="55FE41B6">
      <w:pPr>
        <w:pStyle w:val="H3"/>
      </w:pPr>
      <w:bookmarkStart w:id="585" w:name="P5Act3Step1"/>
      <w:bookmarkEnd w:id="584"/>
      <w:bookmarkEnd w:id="585"/>
      <w:r w:rsidRPr="00990D3B">
        <w:t xml:space="preserve">Step 1: Develop a Data Quality Test Plan </w:t>
      </w:r>
      <w:r w:rsidRPr="00990D3B" w:rsidR="00EE025F">
        <w:t xml:space="preserve">Based </w:t>
      </w:r>
      <w:r w:rsidRPr="00990D3B" w:rsidR="00EE025F">
        <w:t>On</w:t>
      </w:r>
      <w:r w:rsidRPr="00990D3B" w:rsidR="00EE025F">
        <w:t xml:space="preserve"> Data Element Validity Requirements</w:t>
      </w:r>
    </w:p>
    <w:p w:rsidR="00FE46D3" w:rsidRPr="00990D3B" w:rsidP="000768CC" w14:paraId="620E2DBD" w14:textId="23F30EF9">
      <w:pPr>
        <w:pStyle w:val="ParagraphContinued"/>
      </w:pPr>
      <w:r w:rsidRPr="00990D3B">
        <w:t xml:space="preserve">In this step, the </w:t>
      </w:r>
      <w:r w:rsidRPr="00990D3B">
        <w:t>EQRO use</w:t>
      </w:r>
      <w:r w:rsidRPr="00990D3B">
        <w:t>s</w:t>
      </w:r>
      <w:r w:rsidRPr="00990D3B">
        <w:t xml:space="preserve"> the information obtained from </w:t>
      </w:r>
      <w:hyperlink w:anchor="P5A1" w:tooltip="Activities 1" w:history="1">
        <w:r w:rsidRPr="00990D3B">
          <w:rPr>
            <w:rStyle w:val="Hyperlink"/>
            <w:color w:val="auto"/>
          </w:rPr>
          <w:t>Activities 1</w:t>
        </w:r>
      </w:hyperlink>
      <w:r w:rsidRPr="00990D3B">
        <w:t xml:space="preserve"> and </w:t>
      </w:r>
      <w:hyperlink w:anchor="P5A2" w:tooltip="2" w:history="1">
        <w:r w:rsidRPr="00990D3B">
          <w:rPr>
            <w:rStyle w:val="Hyperlink"/>
            <w:color w:val="auto"/>
          </w:rPr>
          <w:t>2</w:t>
        </w:r>
      </w:hyperlink>
      <w:r w:rsidRPr="00990D3B">
        <w:t xml:space="preserve"> (including the ISCA review and follow-up interviews with MCP staff) to develop a data quality test plan. The plan should:</w:t>
      </w:r>
    </w:p>
    <w:p w:rsidR="00FE46D3" w:rsidRPr="00990D3B" w:rsidP="00FB7CAF" w14:paraId="54FD90E3" w14:textId="70F6E6A2">
      <w:pPr>
        <w:pStyle w:val="EQRBulletBLUE"/>
        <w:rPr>
          <w:lang w:bidi="en-US"/>
        </w:rPr>
      </w:pPr>
      <w:r w:rsidRPr="00990D3B">
        <w:rPr>
          <w:lang w:bidi="en-US"/>
        </w:rPr>
        <w:t>Account for front-end edits already built into the MCP’s data system so that it focuses on issues that the MCP may have inadvertently missed or allowed for other reasons</w:t>
      </w:r>
      <w:r w:rsidRPr="00990D3B" w:rsidR="00E14D7F">
        <w:rPr>
          <w:lang w:bidi="en-US"/>
        </w:rPr>
        <w:t>.</w:t>
      </w:r>
    </w:p>
    <w:p w:rsidR="00FE46D3" w:rsidRPr="00990D3B" w:rsidP="00FB7CAF" w14:paraId="1EAC3D84" w14:textId="1BFC120E">
      <w:pPr>
        <w:pStyle w:val="EQRBulletBLUE"/>
        <w:rPr>
          <w:lang w:bidi="en-US"/>
        </w:rPr>
      </w:pPr>
      <w:r w:rsidRPr="00990D3B">
        <w:rPr>
          <w:lang w:bidi="en-US"/>
        </w:rPr>
        <w:t>Specify the areas to be tested and the expected results</w:t>
      </w:r>
      <w:r w:rsidRPr="00990D3B" w:rsidR="00E14D7F">
        <w:rPr>
          <w:lang w:bidi="en-US"/>
        </w:rPr>
        <w:t>.</w:t>
      </w:r>
    </w:p>
    <w:p w:rsidR="00FE46D3" w:rsidRPr="00990D3B" w:rsidP="000768CC" w14:paraId="50C0BDC1" w14:textId="77777777">
      <w:pPr>
        <w:pStyle w:val="ParagraphContinued"/>
        <w:rPr>
          <w:lang w:bidi="en-US"/>
        </w:rPr>
      </w:pPr>
      <w:r w:rsidRPr="00990D3B">
        <w:rPr>
          <w:lang w:bidi="en-US"/>
        </w:rPr>
        <w:t xml:space="preserve">To be of greatest use to states and other stakeholders, the EQRO should develop a plan that addresses the following questions: </w:t>
      </w:r>
    </w:p>
    <w:p w:rsidR="003F58EA" w:rsidRPr="00990D3B" w:rsidP="00FB7CAF" w14:paraId="5718B5FF" w14:textId="55246D5A">
      <w:pPr>
        <w:pStyle w:val="EQRBulletBLUE"/>
        <w:rPr>
          <w:rFonts w:ascii="Calibri" w:hAnsi="Calibri"/>
        </w:rPr>
      </w:pPr>
      <w:r w:rsidRPr="00990D3B">
        <w:rPr>
          <w:b/>
          <w:lang w:bidi="en-US"/>
        </w:rPr>
        <w:t xml:space="preserve">The general magnitude of missing encounter data. </w:t>
      </w:r>
      <w:r w:rsidRPr="00990D3B">
        <w:rPr>
          <w:lang w:bidi="en-US"/>
        </w:rPr>
        <w:t xml:space="preserve">The EQRO should use information from the MCP about encounters that fail front-end edits and the reasons for these failures to </w:t>
      </w:r>
      <w:r w:rsidRPr="00990D3B">
        <w:rPr>
          <w:lang w:bidi="en-US"/>
        </w:rPr>
        <w:t xml:space="preserve">determine whether, and how much, encounter data </w:t>
      </w:r>
      <w:r w:rsidRPr="00990D3B" w:rsidR="00FC5DDE">
        <w:rPr>
          <w:lang w:bidi="en-US"/>
        </w:rPr>
        <w:t xml:space="preserve">are </w:t>
      </w:r>
      <w:r w:rsidRPr="00990D3B">
        <w:rPr>
          <w:lang w:bidi="en-US"/>
        </w:rPr>
        <w:t>missing. The EQRO should compare these results with normative data on encounters for similar populations for this purpose. Examples of the use of benchmarks for assessing encounter data completeness are available in the Encounter Data Toolkit, available at</w:t>
      </w:r>
      <w:r w:rsidRPr="00990D3B">
        <w:t xml:space="preserve"> </w:t>
      </w:r>
      <w:bookmarkStart w:id="586" w:name="_Toc482698755"/>
      <w:bookmarkStart w:id="587" w:name="_Toc278839481"/>
      <w:hyperlink r:id="rId169" w:tooltip="Encounter Data Toolkit." w:history="1">
        <w:r w:rsidRPr="00990D3B">
          <w:rPr>
            <w:rStyle w:val="Hyperlink"/>
          </w:rPr>
          <w:t>https://www.medicaid.gov/medicaid/downloads/medicaid-encounter-data-toolkit.pdf</w:t>
        </w:r>
      </w:hyperlink>
      <w:r w:rsidRPr="00990D3B" w:rsidR="00160E87">
        <w:t>.</w:t>
      </w:r>
    </w:p>
    <w:p w:rsidR="00E833D1" w:rsidRPr="00990D3B" w:rsidP="00FB7CAF" w14:paraId="61F90B8C" w14:textId="0341C263">
      <w:pPr>
        <w:pStyle w:val="EQRBulletBLUE"/>
        <w:rPr>
          <w:lang w:bidi="en-US"/>
        </w:rPr>
      </w:pPr>
      <w:r w:rsidRPr="00990D3B">
        <w:rPr>
          <w:b/>
          <w:lang w:bidi="en-US"/>
        </w:rPr>
        <w:t xml:space="preserve">Types of encounters that may be missing. </w:t>
      </w:r>
      <w:r w:rsidRPr="00990D3B">
        <w:rPr>
          <w:lang w:bidi="en-US"/>
        </w:rPr>
        <w:t>MCPs that pay for “bundled” services (e.g., prenatal care) or that capitate providers (e.g., for primary care) may not receive complete encounter information from these providers. The EQRO should apply specific knowledge about the MCP’s contractual relationships with providers to identify specific areas to look for missing services. The EQRO should obtain information from the MCP on the use of bundled payment and capitation to inform its plan</w:t>
      </w:r>
      <w:r w:rsidRPr="00990D3B" w:rsidR="00160E87">
        <w:rPr>
          <w:lang w:bidi="en-US"/>
        </w:rPr>
        <w:t>.</w:t>
      </w:r>
    </w:p>
    <w:p w:rsidR="00E833D1" w:rsidRPr="00990D3B" w:rsidP="00FB7CAF" w14:paraId="2A3CE6BC" w14:textId="6F1B9F2B">
      <w:pPr>
        <w:pStyle w:val="EQRBulletBLUE"/>
        <w:rPr>
          <w:lang w:bidi="en-US"/>
        </w:rPr>
      </w:pPr>
      <w:r w:rsidRPr="00990D3B">
        <w:rPr>
          <w:b/>
          <w:lang w:bidi="en-US"/>
        </w:rPr>
        <w:t xml:space="preserve">Overall data quality issues. </w:t>
      </w:r>
      <w:r w:rsidRPr="00990D3B">
        <w:rPr>
          <w:lang w:bidi="en-US"/>
        </w:rPr>
        <w:t>The EQRO should identify specific data quality problems such as inability to process or retain certain fields, or limited coding specificity on the encounter data record</w:t>
      </w:r>
      <w:r w:rsidRPr="00990D3B" w:rsidR="00160E87">
        <w:rPr>
          <w:lang w:bidi="en-US"/>
        </w:rPr>
        <w:t>.</w:t>
      </w:r>
    </w:p>
    <w:p w:rsidR="00253CEC" w:rsidRPr="00990D3B" w:rsidP="00FB7CAF" w14:paraId="7D6C81DA" w14:textId="4C493652">
      <w:pPr>
        <w:pStyle w:val="EQRBulletBLUE"/>
        <w:rPr>
          <w:lang w:bidi="en-US"/>
        </w:rPr>
      </w:pPr>
      <w:r w:rsidRPr="00990D3B">
        <w:rPr>
          <w:b/>
          <w:lang w:bidi="en-US"/>
        </w:rPr>
        <w:t xml:space="preserve">MCP data submission issues. </w:t>
      </w:r>
      <w:r w:rsidRPr="00990D3B">
        <w:rPr>
          <w:lang w:bidi="en-US"/>
        </w:rPr>
        <w:t>The EQRO should identify problems the MCP has compiling its encounter data and submitting the data files to the state</w:t>
      </w:r>
      <w:r w:rsidRPr="00990D3B" w:rsidR="00160E87">
        <w:rPr>
          <w:lang w:bidi="en-US"/>
        </w:rPr>
        <w:t>.</w:t>
      </w:r>
      <w:bookmarkStart w:id="588" w:name="P5Act3Step2"/>
      <w:bookmarkEnd w:id="588"/>
    </w:p>
    <w:p w:rsidR="00DC1DE7" w:rsidRPr="00990D3B" w:rsidP="00E14D7F" w14:paraId="3BADDAD4" w14:textId="77777777">
      <w:pPr>
        <w:pStyle w:val="H3"/>
        <w:spacing w:before="240"/>
      </w:pPr>
      <w:r w:rsidRPr="00990D3B">
        <w:t xml:space="preserve">Step 2: </w:t>
      </w:r>
      <w:bookmarkEnd w:id="586"/>
      <w:r w:rsidRPr="00990D3B">
        <w:t>Encounter Data Macro-Analysis</w:t>
      </w:r>
      <w:r w:rsidRPr="00990D3B" w:rsidR="00D93C7B">
        <w:t>—</w:t>
      </w:r>
      <w:r w:rsidRPr="00990D3B">
        <w:t>Verification of Data Integrity</w:t>
      </w:r>
    </w:p>
    <w:bookmarkEnd w:id="587"/>
    <w:p w:rsidR="00E833D1" w:rsidRPr="00990D3B" w:rsidP="004E5005" w14:paraId="5BA8F608" w14:textId="44048AAC">
      <w:pPr>
        <w:pStyle w:val="ParagraphContinued"/>
      </w:pPr>
      <w:r w:rsidRPr="00990D3B">
        <w:rPr>
          <w:noProof/>
        </w:rPr>
        <mc:AlternateContent>
          <mc:Choice Requires="wps">
            <w:drawing>
              <wp:anchor distT="0" distB="0" distL="114300" distR="114300" simplePos="0" relativeHeight="251820032" behindDoc="0" locked="0" layoutInCell="1" allowOverlap="1">
                <wp:simplePos x="0" y="0"/>
                <wp:positionH relativeFrom="column">
                  <wp:posOffset>3740150</wp:posOffset>
                </wp:positionH>
                <wp:positionV relativeFrom="paragraph">
                  <wp:posOffset>466090</wp:posOffset>
                </wp:positionV>
                <wp:extent cx="2195195" cy="1301115"/>
                <wp:effectExtent l="19050" t="19050" r="0" b="0"/>
                <wp:wrapTight wrapText="bothSides">
                  <wp:wrapPolygon>
                    <wp:start x="21787" y="21916"/>
                    <wp:lineTo x="21787" y="84"/>
                    <wp:lineTo x="44" y="84"/>
                    <wp:lineTo x="44" y="21916"/>
                    <wp:lineTo x="21787" y="21916"/>
                  </wp:wrapPolygon>
                </wp:wrapTight>
                <wp:docPr id="330267063" name="Text Box 1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301115"/>
                        </a:xfrm>
                        <a:prstGeom prst="rect">
                          <a:avLst/>
                        </a:prstGeom>
                        <a:solidFill>
                          <a:srgbClr val="EEF5F8"/>
                        </a:solidFill>
                        <a:ln w="28575" cap="rnd">
                          <a:solidFill>
                            <a:srgbClr val="A5DAD9"/>
                          </a:solidFill>
                          <a:prstDash val="solid"/>
                          <a:miter lim="800000"/>
                          <a:headEnd/>
                          <a:tailEnd/>
                        </a:ln>
                      </wps:spPr>
                      <wps:txbx>
                        <w:txbxContent>
                          <w:p w:rsidR="00ED33C3" w:rsidP="00F31CC2" w14:textId="509A0CA0">
                            <w:pPr>
                              <w:pStyle w:val="EQRTextboxheading"/>
                            </w:pPr>
                            <w:r w:rsidRPr="006F4774">
                              <w:t xml:space="preserve">Resource for Activity </w:t>
                            </w:r>
                            <w:r>
                              <w:t>3</w:t>
                            </w:r>
                            <w:r w:rsidRPr="006F4774">
                              <w:t xml:space="preserve">, Step </w:t>
                            </w:r>
                            <w:r>
                              <w:t>2</w:t>
                            </w:r>
                          </w:p>
                          <w:p w:rsidR="00ED33C3" w:rsidRPr="00F31CC2" w:rsidP="00F31CC2" w14:textId="26F84A70">
                            <w:pPr>
                              <w:pStyle w:val="EQRTextboxbody"/>
                            </w:pPr>
                            <w:hyperlink w:anchor="WSp5n03" w:tooltip="Worksheet 5.3. Evaluation of Submitted Fields" w:history="1">
                              <w:r w:rsidRPr="007A70C5">
                                <w:rPr>
                                  <w:rStyle w:val="Hyperlink"/>
                                </w:rPr>
                                <w:t>Worksheet 5.3. Evaluation of Submitted Fields</w:t>
                              </w:r>
                            </w:hyperlink>
                          </w:p>
                          <w:p w:rsidR="00ED33C3" w:rsidRPr="0090682E" w:rsidP="00F31CC2" w14:textId="6CF8E6EB">
                            <w:pPr>
                              <w:pStyle w:val="EQRTextboxbullet"/>
                              <w:rPr>
                                <w:spacing w:val="-2"/>
                              </w:rPr>
                            </w:pPr>
                            <w:r w:rsidRPr="00F31CC2">
                              <w:t>Provide a template for the EQRO to document its findings for each data element</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0" o:spid="_x0000_s1168" type="#_x0000_t202" style="width:172.85pt;height:102.45pt;margin-top:36.7pt;margin-left:294.5pt;flip:y;mso-height-percent:0;mso-height-relative:page;mso-width-percent:0;mso-width-relative:page;mso-wrap-distance-bottom:0;mso-wrap-distance-left:9pt;mso-wrap-distance-right:9pt;mso-wrap-distance-top:0;mso-wrap-style:square;position:absolute;rotation:180;visibility:visible;v-text-anchor:top;z-index:251821056" fillcolor="#eef5f8" strokecolor="#a5dad9" strokeweight="2.25pt">
                <v:stroke endcap="round"/>
                <v:textbox style="mso-fit-shape-to-text:t" inset="8.64pt,,8.64pt">
                  <w:txbxContent>
                    <w:p w:rsidR="00ED33C3" w:rsidP="00F31CC2" w14:paraId="59A57232" w14:textId="509A0CA0">
                      <w:pPr>
                        <w:pStyle w:val="EQRTextboxheading"/>
                      </w:pPr>
                      <w:r w:rsidRPr="006F4774">
                        <w:t xml:space="preserve">Resource for Activity </w:t>
                      </w:r>
                      <w:r>
                        <w:t>3</w:t>
                      </w:r>
                      <w:r w:rsidRPr="006F4774">
                        <w:t xml:space="preserve">, Step </w:t>
                      </w:r>
                      <w:r>
                        <w:t>2</w:t>
                      </w:r>
                    </w:p>
                    <w:p w:rsidR="00ED33C3" w:rsidRPr="00F31CC2" w:rsidP="00F31CC2" w14:paraId="44863DAD" w14:textId="26F84A70">
                      <w:pPr>
                        <w:pStyle w:val="EQRTextboxbody"/>
                      </w:pPr>
                      <w:hyperlink w:anchor="WSp5n03" w:tooltip="Worksheet 5.3. Evaluation of Submitted Fields" w:history="1">
                        <w:r w:rsidRPr="007A70C5">
                          <w:rPr>
                            <w:rStyle w:val="Hyperlink"/>
                          </w:rPr>
                          <w:t>Worksheet 5.3. Evaluation of Submitted Fields</w:t>
                        </w:r>
                      </w:hyperlink>
                    </w:p>
                    <w:p w:rsidR="00ED33C3" w:rsidRPr="0090682E" w:rsidP="00F31CC2" w14:paraId="0BC27B5A" w14:textId="6CF8E6EB">
                      <w:pPr>
                        <w:pStyle w:val="EQRTextboxbullet"/>
                        <w:rPr>
                          <w:spacing w:val="-2"/>
                        </w:rPr>
                      </w:pPr>
                      <w:r w:rsidRPr="00F31CC2">
                        <w:t>Provide a template for the EQRO to document its findings for each data element</w:t>
                      </w:r>
                    </w:p>
                  </w:txbxContent>
                </v:textbox>
                <w10:wrap type="tight"/>
              </v:shape>
            </w:pict>
          </mc:Fallback>
        </mc:AlternateContent>
      </w:r>
      <w:r w:rsidRPr="00990D3B">
        <w:rPr>
          <w:noProof/>
        </w:rPr>
        <mc:AlternateContent>
          <mc:Choice Requires="wps">
            <w:drawing>
              <wp:anchor distT="0" distB="0" distL="114300" distR="114300" simplePos="0" relativeHeight="251822080" behindDoc="0" locked="0" layoutInCell="1" allowOverlap="1">
                <wp:simplePos x="0" y="0"/>
                <wp:positionH relativeFrom="column">
                  <wp:posOffset>3740150</wp:posOffset>
                </wp:positionH>
                <wp:positionV relativeFrom="paragraph">
                  <wp:posOffset>105410</wp:posOffset>
                </wp:positionV>
                <wp:extent cx="2194560" cy="297815"/>
                <wp:effectExtent l="19050" t="19050" r="0" b="7620"/>
                <wp:wrapTight wrapText="bothSides">
                  <wp:wrapPolygon>
                    <wp:start x="21788" y="22985"/>
                    <wp:lineTo x="21788" y="-554"/>
                    <wp:lineTo x="38" y="-554"/>
                    <wp:lineTo x="38" y="22985"/>
                    <wp:lineTo x="21788" y="22985"/>
                  </wp:wrapPolygon>
                </wp:wrapTight>
                <wp:docPr id="1741785372" name="Text Box 10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F31CC2" w14:textId="594EBCE1">
                            <w:pPr>
                              <w:pStyle w:val="EQRWORKSHEETText"/>
                              <w:rPr>
                                <w:spacing w:val="-2"/>
                              </w:rPr>
                            </w:pPr>
                            <w:hyperlink w:anchor="WSp5n03" w:tooltip="WORKSHEET 5.3" w:history="1">
                              <w:r>
                                <w:rPr>
                                  <w:rStyle w:val="Hyperlink"/>
                                  <w:color w:val="006981"/>
                                </w:rPr>
                                <w:t>WORKSHEET 5.3</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9" o:spid="_x0000_s1169" type="#_x0000_t202" style="width:172.8pt;height:23.45pt;margin-top:8.3pt;margin-left:294.5pt;flip:y;mso-height-percent:0;mso-height-relative:page;mso-width-percent:0;mso-width-relative:page;mso-wrap-distance-bottom:0;mso-wrap-distance-left:9pt;mso-wrap-distance-right:9pt;mso-wrap-distance-top:0;mso-wrap-style:square;position:absolute;rotation:180;visibility:visible;v-text-anchor:top;z-index:251823104" fillcolor="#eef5f8" strokecolor="#a5dad9" strokeweight="2.25pt">
                <v:stroke endcap="round"/>
                <v:textbox style="mso-fit-shape-to-text:t" inset="8.64pt,,8.64pt">
                  <w:txbxContent>
                    <w:p w:rsidR="00ED33C3" w:rsidRPr="0090682E" w:rsidP="00F31CC2" w14:paraId="6AA03F05" w14:textId="594EBCE1">
                      <w:pPr>
                        <w:pStyle w:val="EQRWORKSHEETText"/>
                        <w:rPr>
                          <w:spacing w:val="-2"/>
                        </w:rPr>
                      </w:pPr>
                      <w:hyperlink w:anchor="WSp5n03" w:tooltip="WORKSHEET 5.3" w:history="1">
                        <w:r>
                          <w:rPr>
                            <w:rStyle w:val="Hyperlink"/>
                            <w:color w:val="006981"/>
                          </w:rPr>
                          <w:t>WORKSHEET 5.3</w:t>
                        </w:r>
                      </w:hyperlink>
                    </w:p>
                  </w:txbxContent>
                </v:textbox>
                <w10:wrap type="tight"/>
              </v:shape>
            </w:pict>
          </mc:Fallback>
        </mc:AlternateContent>
      </w:r>
      <w:r w:rsidRPr="00990D3B" w:rsidR="00E833D1">
        <w:t xml:space="preserve">Steps 2 and 3 of </w:t>
      </w:r>
      <w:r>
        <w:fldChar w:fldCharType="begin"/>
      </w:r>
      <w:r w:rsidRPr="00990D3B" w:rsidR="00E833D1">
        <w:rPr>
          <w:rStyle w:val="Hyperlink"/>
          <w:color w:val="auto"/>
        </w:rPr>
        <w:instrText xml:space="preserve"> HYPERLINK \l "P5A3" \o "Activity 3" </w:instrText>
      </w:r>
      <w:r>
        <w:fldChar w:fldCharType="separate"/>
      </w:r>
      <w:r w:rsidRPr="00990D3B" w:rsidR="00E833D1">
        <w:rPr>
          <w:rStyle w:val="Hyperlink"/>
          <w:color w:val="auto"/>
        </w:rPr>
        <w:t>Activity 3</w:t>
      </w:r>
      <w:r>
        <w:fldChar w:fldCharType="end"/>
      </w:r>
      <w:r w:rsidRPr="00990D3B" w:rsidR="00E833D1">
        <w:t xml:space="preserve"> are closely related. When the EQRO reviews the data for accuracy and completeness, it conducts both macro- and micro-analyses. Step 2 describes the macro-analysis, while Step 3 describes the micro</w:t>
      </w:r>
      <w:r w:rsidRPr="00990D3B" w:rsidR="001023EB">
        <w:t> </w:t>
      </w:r>
      <w:r w:rsidRPr="00990D3B" w:rsidR="00E833D1">
        <w:t>analysis.</w:t>
      </w:r>
    </w:p>
    <w:p w:rsidR="00394F61" w:rsidRPr="00990D3B" w:rsidP="00394F61" w14:paraId="58B40E3C" w14:textId="77777777">
      <w:pPr>
        <w:pStyle w:val="ParagraphContinued"/>
      </w:pPr>
      <w:r w:rsidRPr="00990D3B">
        <w:t>In Step 2, the EQRO</w:t>
      </w:r>
      <w:r w:rsidRPr="00990D3B">
        <w:t xml:space="preserve"> a</w:t>
      </w:r>
      <w:r w:rsidRPr="00990D3B">
        <w:t>nalyze</w:t>
      </w:r>
      <w:r w:rsidRPr="00990D3B" w:rsidR="008A32B6">
        <w:t>s</w:t>
      </w:r>
      <w:r w:rsidRPr="00990D3B">
        <w:t xml:space="preserve"> and </w:t>
      </w:r>
      <w:r w:rsidRPr="00990D3B">
        <w:t>interpret</w:t>
      </w:r>
      <w:r w:rsidRPr="00990D3B">
        <w:t xml:space="preserve"> data in specific fields</w:t>
      </w:r>
      <w:r w:rsidRPr="00990D3B">
        <w:t xml:space="preserve"> and c</w:t>
      </w:r>
      <w:r w:rsidRPr="00990D3B">
        <w:t>heck</w:t>
      </w:r>
      <w:r w:rsidRPr="00990D3B" w:rsidR="008A32B6">
        <w:t>s</w:t>
      </w:r>
      <w:r w:rsidRPr="00990D3B">
        <w:t xml:space="preserve"> the data for volume and consistency</w:t>
      </w:r>
      <w:r w:rsidRPr="00990D3B">
        <w:t xml:space="preserve">. </w:t>
      </w:r>
    </w:p>
    <w:p w:rsidR="00CA6599" w:rsidRPr="00990D3B" w:rsidP="00394F61" w14:paraId="1CB3F9DD" w14:textId="67F41EF9">
      <w:pPr>
        <w:pStyle w:val="ParagraphContinued"/>
      </w:pPr>
      <w:r w:rsidRPr="00990D3B">
        <w:rPr>
          <w:lang w:bidi="en-US"/>
        </w:rPr>
        <w:t>Without duplicating the state’s edit checks, the EQRO should a</w:t>
      </w:r>
      <w:r w:rsidRPr="00990D3B">
        <w:t>nalyze and interpret data in submitted fields</w:t>
      </w:r>
      <w:r w:rsidRPr="00990D3B" w:rsidR="00394F61">
        <w:t xml:space="preserve">, by addressing the following questions: </w:t>
      </w:r>
    </w:p>
    <w:p w:rsidR="00CA6599" w:rsidRPr="00990D3B" w:rsidP="00FB7CAF" w14:paraId="28F9B3C9" w14:textId="77777777">
      <w:pPr>
        <w:pStyle w:val="EQRBulletBLUE"/>
      </w:pPr>
      <w:r w:rsidRPr="00990D3B">
        <w:t>Is there information in the field, and is that information of the type requested?</w:t>
      </w:r>
    </w:p>
    <w:p w:rsidR="00CA6599" w:rsidRPr="00990D3B" w:rsidP="00411ED7" w14:paraId="0E72F513" w14:textId="632DF9A2">
      <w:pPr>
        <w:pStyle w:val="EQRBulletBLUE2ndlevel"/>
      </w:pPr>
      <w:r w:rsidRPr="00990D3B">
        <w:t xml:space="preserve">The EQRO should check each field to determine whether its values are of the type and size found in the state’s data dictionary, or in nationally recognized standards. For example, if </w:t>
      </w:r>
      <w:r w:rsidRPr="00990D3B" w:rsidR="00EA4885">
        <w:t>Current Procedural Terminology (</w:t>
      </w:r>
      <w:r w:rsidRPr="00990D3B">
        <w:t>CPT®</w:t>
      </w:r>
      <w:r w:rsidRPr="00990D3B" w:rsidR="00EA4885">
        <w:t>)</w:t>
      </w:r>
      <w:r w:rsidRPr="00990D3B">
        <w:t xml:space="preserve">-4 codes are requested, the field should have five digits. If the state’s </w:t>
      </w:r>
      <w:r w:rsidRPr="00990D3B" w:rsidR="00832946">
        <w:t>Medicaid and CHIP</w:t>
      </w:r>
      <w:r w:rsidRPr="00990D3B">
        <w:t xml:space="preserve"> beneficiary </w:t>
      </w:r>
      <w:r w:rsidRPr="00990D3B" w:rsidR="00873496">
        <w:t>identifier (</w:t>
      </w:r>
      <w:r w:rsidRPr="00990D3B">
        <w:t>ID</w:t>
      </w:r>
      <w:r w:rsidRPr="00990D3B" w:rsidR="00873496">
        <w:t>)</w:t>
      </w:r>
      <w:r w:rsidRPr="00990D3B">
        <w:t xml:space="preserve"> is requested, the field should contain the correct number of letters and characters</w:t>
      </w:r>
      <w:r w:rsidRPr="00990D3B" w:rsidR="004A622E">
        <w:t>.</w:t>
      </w:r>
    </w:p>
    <w:p w:rsidR="00CA6599" w:rsidRPr="00990D3B" w:rsidP="00FB7CAF" w14:paraId="6B308AB7" w14:textId="77777777">
      <w:pPr>
        <w:pStyle w:val="EQRBulletBLUE"/>
      </w:pPr>
      <w:r w:rsidRPr="00990D3B">
        <w:t>Are the values valid and in the correct format?</w:t>
      </w:r>
    </w:p>
    <w:p w:rsidR="00CA6599" w:rsidRPr="00990D3B" w:rsidP="00411ED7" w14:paraId="40468880" w14:textId="215957BA">
      <w:pPr>
        <w:pStyle w:val="EQRBulletBLUE2ndlevel"/>
      </w:pPr>
      <w:r w:rsidRPr="00990D3B">
        <w:t xml:space="preserve">To what extent are </w:t>
      </w:r>
      <w:r w:rsidRPr="00990D3B" w:rsidR="00AF0102">
        <w:t xml:space="preserve">the values in the field valid? </w:t>
      </w:r>
      <w:r w:rsidRPr="00990D3B">
        <w:t>For instance, if I</w:t>
      </w:r>
      <w:r w:rsidRPr="00990D3B" w:rsidR="00E224AD">
        <w:t>nternational Classification of Diseases (I</w:t>
      </w:r>
      <w:r w:rsidRPr="00990D3B">
        <w:t>CD</w:t>
      </w:r>
      <w:r w:rsidRPr="00990D3B" w:rsidR="00E224AD">
        <w:t>)</w:t>
      </w:r>
      <w:r w:rsidRPr="00990D3B">
        <w:t>-10 diagnosis codes have been requested, are the values in the diagnosis field valid for that standard?</w:t>
      </w:r>
    </w:p>
    <w:p w:rsidR="00CA6599" w:rsidRPr="00990D3B" w:rsidP="00411ED7" w14:paraId="6CEF7C07" w14:textId="77777777">
      <w:pPr>
        <w:pStyle w:val="EQRBulletBLUE2ndlevel"/>
        <w:rPr>
          <w:lang w:bidi="en-US"/>
        </w:rPr>
      </w:pPr>
      <w:r w:rsidRPr="00990D3B">
        <w:rPr>
          <w:lang w:bidi="en-US"/>
        </w:rPr>
        <w:t>Do critical fields contain non-missing values in the correct format and specificity (e.g., maximum number of characters in a diagnosis) and that values are consistent across fields?</w:t>
      </w:r>
    </w:p>
    <w:p w:rsidR="00CA6599" w:rsidRPr="00990D3B" w:rsidP="00FB7CAF" w14:paraId="3A75F71A" w14:textId="77777777">
      <w:pPr>
        <w:pStyle w:val="EQRBulletBLUE"/>
        <w:rPr>
          <w:lang w:bidi="en-US"/>
        </w:rPr>
      </w:pPr>
      <w:r w:rsidRPr="00990D3B">
        <w:rPr>
          <w:lang w:bidi="en-US"/>
        </w:rPr>
        <w:t>Are</w:t>
      </w:r>
      <w:r w:rsidRPr="00990D3B">
        <w:rPr>
          <w:lang w:bidi="en-US"/>
        </w:rPr>
        <w:t xml:space="preserve"> the data available? </w:t>
      </w:r>
    </w:p>
    <w:p w:rsidR="00CA6599" w:rsidRPr="00990D3B" w:rsidP="00411ED7" w14:paraId="5A958346" w14:textId="77777777">
      <w:pPr>
        <w:pStyle w:val="EQRBulletBLUE2ndlevel"/>
        <w:rPr>
          <w:lang w:bidi="en-US"/>
        </w:rPr>
      </w:pPr>
      <w:r w:rsidRPr="00990D3B">
        <w:rPr>
          <w:lang w:bidi="en-US"/>
        </w:rPr>
        <w:t xml:space="preserve">Are all required data elements reported? </w:t>
      </w:r>
    </w:p>
    <w:p w:rsidR="00CA6599" w:rsidRPr="00990D3B" w:rsidP="00411ED7" w14:paraId="34DA04AC" w14:textId="77777777">
      <w:pPr>
        <w:pStyle w:val="EQRBulletBLUE2ndlevel"/>
        <w:rPr>
          <w:lang w:bidi="en-US"/>
        </w:rPr>
      </w:pPr>
      <w:r w:rsidRPr="00990D3B">
        <w:rPr>
          <w:lang w:bidi="en-US"/>
        </w:rPr>
        <w:t xml:space="preserve">Do the data exist for all service types? </w:t>
      </w:r>
    </w:p>
    <w:p w:rsidR="00CA6599" w:rsidRPr="00990D3B" w:rsidP="00411ED7" w14:paraId="24923F5C" w14:textId="29E755E3">
      <w:pPr>
        <w:pStyle w:val="EQRBulletBLUE2ndlevel"/>
        <w:rPr>
          <w:lang w:bidi="en-US"/>
        </w:rPr>
      </w:pPr>
      <w:r w:rsidRPr="00990D3B">
        <w:rPr>
          <w:lang w:bidi="en-US"/>
        </w:rPr>
        <w:t>When viewed by date of service, are there gaps in the data?</w:t>
      </w:r>
    </w:p>
    <w:p w:rsidR="00CA6599" w:rsidRPr="00990D3B" w:rsidP="00FB7CAF" w14:paraId="19957794" w14:textId="77777777">
      <w:pPr>
        <w:pStyle w:val="EQRBulletBLUE"/>
        <w:rPr>
          <w:lang w:bidi="en-US"/>
        </w:rPr>
      </w:pPr>
      <w:r w:rsidRPr="00990D3B">
        <w:rPr>
          <w:lang w:bidi="en-US"/>
        </w:rPr>
        <w:t>Do the data meet basic consistency expectations?</w:t>
      </w:r>
    </w:p>
    <w:p w:rsidR="00CA6599" w:rsidRPr="00990D3B" w:rsidP="00411ED7" w14:paraId="1619235D" w14:textId="77777777">
      <w:pPr>
        <w:pStyle w:val="EQRBulletBLUE2ndlevel"/>
        <w:rPr>
          <w:lang w:bidi="en-US"/>
        </w:rPr>
      </w:pPr>
      <w:r w:rsidRPr="00990D3B">
        <w:rPr>
          <w:lang w:bidi="en-US"/>
        </w:rPr>
        <w:t>Is beneficiary enrollment consistent over time?</w:t>
      </w:r>
    </w:p>
    <w:p w:rsidR="00CA6599" w:rsidRPr="00990D3B" w:rsidP="00411ED7" w14:paraId="5D6E5BE8" w14:textId="77777777">
      <w:pPr>
        <w:pStyle w:val="EQRBulletBLUE2ndlevel"/>
        <w:rPr>
          <w:lang w:bidi="en-US"/>
        </w:rPr>
      </w:pPr>
      <w:r w:rsidRPr="00990D3B">
        <w:rPr>
          <w:lang w:bidi="en-US"/>
        </w:rPr>
        <w:t>Are the number of encounters consistent over time?</w:t>
      </w:r>
    </w:p>
    <w:p w:rsidR="00CA6599" w:rsidRPr="00990D3B" w:rsidP="00411ED7" w14:paraId="4B26FC13" w14:textId="4F7AC4DC">
      <w:pPr>
        <w:pStyle w:val="EQRBulletBLUE2ndlevel"/>
        <w:rPr>
          <w:lang w:bidi="en-US"/>
        </w:rPr>
      </w:pPr>
      <w:r w:rsidRPr="00990D3B">
        <w:rPr>
          <w:lang w:bidi="en-US"/>
        </w:rPr>
        <w:t>When broken out by population subgroups or service types, does consistency persist?</w:t>
      </w:r>
    </w:p>
    <w:p w:rsidR="00B051E7" w:rsidRPr="00990D3B" w:rsidP="00FB7CAF" w14:paraId="64BC9F98" w14:textId="0FC9E853">
      <w:pPr>
        <w:pStyle w:val="EQRBulletBLUE"/>
        <w:rPr>
          <w:lang w:bidi="en-US"/>
        </w:rPr>
      </w:pPr>
      <w:r w:rsidRPr="00990D3B">
        <w:rPr>
          <w:lang w:bidi="en-US"/>
        </w:rPr>
        <w:t>Are the state’s IDs accurately incorporated into the MCP’s</w:t>
      </w:r>
      <w:r w:rsidRPr="00990D3B" w:rsidR="00AF0102">
        <w:rPr>
          <w:lang w:bidi="en-US"/>
        </w:rPr>
        <w:t xml:space="preserve"> information system?</w:t>
      </w:r>
    </w:p>
    <w:p w:rsidR="00CA6599" w:rsidRPr="00990D3B" w:rsidP="00411ED7" w14:paraId="31A13B72" w14:textId="75CEB11D">
      <w:pPr>
        <w:pStyle w:val="EQRBulletBLUE2ndlevel"/>
        <w:rPr>
          <w:lang w:bidi="en-US"/>
        </w:rPr>
      </w:pPr>
      <w:r w:rsidRPr="00990D3B">
        <w:rPr>
          <w:lang w:bidi="en-US"/>
        </w:rPr>
        <w:t>The EQRO should compare the encounter data file to the state’s eligibility file and check for accuracy of the IDs and other eligibility information (e.g., age, sex, and eligibility category). In addition, the EQRO should determine whether there are encounter data for the expected proportion of beneficiaries in comparison to utilization norms for similar populations</w:t>
      </w:r>
      <w:r w:rsidRPr="00990D3B" w:rsidR="004A622E">
        <w:rPr>
          <w:lang w:bidi="en-US"/>
        </w:rPr>
        <w:t>.</w:t>
      </w:r>
    </w:p>
    <w:p w:rsidR="00CA6599" w:rsidRPr="00990D3B" w:rsidP="00FB7CAF" w14:paraId="11725664" w14:textId="1FB27191">
      <w:pPr>
        <w:pStyle w:val="EQRBulletBLUE"/>
        <w:rPr>
          <w:lang w:bidi="en-US"/>
        </w:rPr>
      </w:pPr>
      <w:r w:rsidRPr="00990D3B">
        <w:rPr>
          <w:lang w:bidi="en-US"/>
        </w:rPr>
        <w:t xml:space="preserve">Is the information for each critical field within required ranges and is </w:t>
      </w:r>
      <w:r w:rsidRPr="00990D3B" w:rsidR="00AF0102">
        <w:rPr>
          <w:lang w:bidi="en-US"/>
        </w:rPr>
        <w:t xml:space="preserve">the volume of data </w:t>
      </w:r>
      <w:r w:rsidRPr="00990D3B">
        <w:rPr>
          <w:lang w:bidi="en-US"/>
        </w:rPr>
        <w:t>consistent with the MCP</w:t>
      </w:r>
      <w:r w:rsidRPr="00990D3B" w:rsidR="00AF0102">
        <w:rPr>
          <w:lang w:bidi="en-US"/>
        </w:rPr>
        <w:t>’s enrollment?</w:t>
      </w:r>
      <w:r w:rsidRPr="00990D3B">
        <w:rPr>
          <w:lang w:bidi="en-US"/>
        </w:rPr>
        <w:t xml:space="preserve"> For example, can the following types of questions be answered with the data:</w:t>
      </w:r>
    </w:p>
    <w:p w:rsidR="00CA6599" w:rsidRPr="00990D3B" w:rsidP="00411ED7" w14:paraId="6A68E2DD" w14:textId="59EF14BB">
      <w:pPr>
        <w:pStyle w:val="EQRBulletBLUE2ndlevel"/>
        <w:rPr>
          <w:lang w:bidi="en-US"/>
        </w:rPr>
      </w:pPr>
      <w:r w:rsidRPr="00990D3B">
        <w:rPr>
          <w:lang w:bidi="en-US"/>
        </w:rPr>
        <w:t>What is the rate of emergency department</w:t>
      </w:r>
      <w:r w:rsidRPr="00990D3B" w:rsidR="00BC78FA">
        <w:rPr>
          <w:lang w:bidi="en-US"/>
        </w:rPr>
        <w:t xml:space="preserve"> (ED)</w:t>
      </w:r>
      <w:r w:rsidRPr="00990D3B">
        <w:rPr>
          <w:lang w:bidi="en-US"/>
        </w:rPr>
        <w:t xml:space="preserve"> utilization per 1,000 member months?</w:t>
      </w:r>
    </w:p>
    <w:p w:rsidR="00CA6599" w:rsidRPr="00990D3B" w:rsidP="00411ED7" w14:paraId="54D41C63" w14:textId="4FE25F57">
      <w:pPr>
        <w:pStyle w:val="EQRBulletBLUE2ndlevel"/>
        <w:rPr>
          <w:lang w:bidi="en-US"/>
        </w:rPr>
      </w:pPr>
      <w:r w:rsidRPr="00990D3B">
        <w:rPr>
          <w:lang w:bidi="en-US"/>
        </w:rPr>
        <w:t xml:space="preserve">What percentage of </w:t>
      </w:r>
      <w:r w:rsidRPr="00990D3B" w:rsidR="00622633">
        <w:rPr>
          <w:lang w:bidi="en-US"/>
        </w:rPr>
        <w:t>enrollees</w:t>
      </w:r>
      <w:r w:rsidRPr="00990D3B">
        <w:rPr>
          <w:lang w:bidi="en-US"/>
        </w:rPr>
        <w:t xml:space="preserve"> have at least one encounter during the year? </w:t>
      </w:r>
    </w:p>
    <w:p w:rsidR="00CA6599" w:rsidRPr="00990D3B" w:rsidP="00A1094E" w14:paraId="2B471305" w14:textId="000A2183">
      <w:pPr>
        <w:pStyle w:val="ParagraphContinued"/>
        <w:rPr>
          <w:lang w:bidi="en-US"/>
        </w:rPr>
      </w:pPr>
      <w:r w:rsidRPr="00990D3B">
        <w:rPr>
          <w:lang w:bidi="en-US"/>
        </w:rPr>
        <w:t xml:space="preserve">Note: The EQRO should automate these analyses and perform them as a standard data review process. The EQRO should perform these analyses for each service type (e.g., inpatient hospital, outpatient, professional, home health, durable medical equipment) and for each data field within a service type. </w:t>
      </w:r>
    </w:p>
    <w:p w:rsidR="00065151" w:rsidRPr="00990D3B" w:rsidP="007D0F48" w14:paraId="0092E03A" w14:textId="70DFE929">
      <w:pPr>
        <w:pStyle w:val="H3"/>
      </w:pPr>
      <w:bookmarkStart w:id="589" w:name="P5Act3Step3"/>
      <w:bookmarkEnd w:id="589"/>
      <w:r w:rsidRPr="00990D3B">
        <w:t>Step 3:</w:t>
      </w:r>
      <w:r w:rsidRPr="00990D3B" w:rsidR="00B12E19">
        <w:tab/>
      </w:r>
      <w:r w:rsidRPr="00990D3B">
        <w:t>Encounter Data Micro-Analysis</w:t>
      </w:r>
      <w:r w:rsidRPr="00990D3B" w:rsidR="00D93C7B">
        <w:t>—</w:t>
      </w:r>
      <w:r w:rsidRPr="00990D3B">
        <w:t>Generate and Review Analytic Reports</w:t>
      </w:r>
    </w:p>
    <w:p w:rsidR="00394F61" w:rsidRPr="00990D3B" w:rsidP="001023EB" w14:paraId="5FBD0935" w14:textId="77777777">
      <w:pPr>
        <w:pStyle w:val="ParagraphContinued"/>
        <w:rPr>
          <w:lang w:bidi="en-US"/>
        </w:rPr>
      </w:pPr>
      <w:r w:rsidRPr="00990D3B">
        <w:rPr>
          <w:noProof/>
        </w:rPr>
        <mc:AlternateContent>
          <mc:Choice Requires="wps">
            <w:drawing>
              <wp:anchor distT="0" distB="0" distL="114300" distR="114300" simplePos="0" relativeHeight="251824128" behindDoc="0" locked="0" layoutInCell="1" allowOverlap="1">
                <wp:simplePos x="0" y="0"/>
                <wp:positionH relativeFrom="column">
                  <wp:posOffset>3733800</wp:posOffset>
                </wp:positionH>
                <wp:positionV relativeFrom="paragraph">
                  <wp:posOffset>399415</wp:posOffset>
                </wp:positionV>
                <wp:extent cx="2195195" cy="1301115"/>
                <wp:effectExtent l="19050" t="19050" r="0" b="0"/>
                <wp:wrapTight wrapText="bothSides">
                  <wp:wrapPolygon>
                    <wp:start x="21787" y="21916"/>
                    <wp:lineTo x="21787" y="84"/>
                    <wp:lineTo x="44" y="84"/>
                    <wp:lineTo x="44" y="21916"/>
                    <wp:lineTo x="21787" y="21916"/>
                  </wp:wrapPolygon>
                </wp:wrapTight>
                <wp:docPr id="1671978502" name="Text Box 10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301115"/>
                        </a:xfrm>
                        <a:prstGeom prst="rect">
                          <a:avLst/>
                        </a:prstGeom>
                        <a:solidFill>
                          <a:srgbClr val="EEF5F8"/>
                        </a:solidFill>
                        <a:ln w="28575" cap="rnd">
                          <a:solidFill>
                            <a:srgbClr val="A5DAD9"/>
                          </a:solidFill>
                          <a:prstDash val="solid"/>
                          <a:miter lim="800000"/>
                          <a:headEnd/>
                          <a:tailEnd/>
                        </a:ln>
                      </wps:spPr>
                      <wps:txbx>
                        <w:txbxContent>
                          <w:p w:rsidR="00ED33C3" w:rsidP="00A1094E" w14:textId="17415F64">
                            <w:pPr>
                              <w:pStyle w:val="EQRTextboxheading"/>
                            </w:pPr>
                            <w:r w:rsidRPr="006F4774">
                              <w:t xml:space="preserve">Resource for Activity </w:t>
                            </w:r>
                            <w:r>
                              <w:t>3</w:t>
                            </w:r>
                            <w:r w:rsidRPr="006F4774">
                              <w:t xml:space="preserve">, Step </w:t>
                            </w:r>
                            <w:r>
                              <w:t>3</w:t>
                            </w:r>
                          </w:p>
                          <w:p w:rsidR="00ED33C3" w:rsidRPr="00F31CC2" w:rsidP="00A1094E" w14:textId="3A2F8865">
                            <w:pPr>
                              <w:pStyle w:val="EQRTextboxbody"/>
                            </w:pPr>
                            <w:hyperlink w:anchor="WSp5n03" w:tooltip="Worksheet 5.3. Evaluation of Submitted Fields" w:history="1">
                              <w:r w:rsidRPr="007A70C5">
                                <w:rPr>
                                  <w:rStyle w:val="Hyperlink"/>
                                </w:rPr>
                                <w:t>Worksheet 5.3. Evaluation of Submitted Fields</w:t>
                              </w:r>
                            </w:hyperlink>
                          </w:p>
                          <w:p w:rsidR="00ED33C3" w:rsidRPr="0090682E" w:rsidP="00A1094E" w14:textId="77777777">
                            <w:pPr>
                              <w:pStyle w:val="EQRTextboxbullet"/>
                              <w:rPr>
                                <w:spacing w:val="-2"/>
                              </w:rPr>
                            </w:pPr>
                            <w:r w:rsidRPr="00F31CC2">
                              <w:t>Provide a template for the EQRO to document its findings for each data element</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8" o:spid="_x0000_s1170" type="#_x0000_t202" style="width:172.85pt;height:102.45pt;margin-top:31.45pt;margin-left:294pt;flip:y;mso-height-percent:0;mso-height-relative:page;mso-width-percent:0;mso-width-relative:page;mso-wrap-distance-bottom:0;mso-wrap-distance-left:9pt;mso-wrap-distance-right:9pt;mso-wrap-distance-top:0;mso-wrap-style:square;position:absolute;rotation:180;visibility:visible;v-text-anchor:top;z-index:251825152" fillcolor="#eef5f8" strokecolor="#a5dad9" strokeweight="2.25pt">
                <v:stroke endcap="round"/>
                <v:textbox style="mso-fit-shape-to-text:t" inset="8.64pt,,8.64pt">
                  <w:txbxContent>
                    <w:p w:rsidR="00ED33C3" w:rsidP="00A1094E" w14:paraId="301B612D" w14:textId="17415F64">
                      <w:pPr>
                        <w:pStyle w:val="EQRTextboxheading"/>
                      </w:pPr>
                      <w:r w:rsidRPr="006F4774">
                        <w:t xml:space="preserve">Resource for Activity </w:t>
                      </w:r>
                      <w:r>
                        <w:t>3</w:t>
                      </w:r>
                      <w:r w:rsidRPr="006F4774">
                        <w:t xml:space="preserve">, Step </w:t>
                      </w:r>
                      <w:r>
                        <w:t>3</w:t>
                      </w:r>
                    </w:p>
                    <w:p w:rsidR="00ED33C3" w:rsidRPr="00F31CC2" w:rsidP="00A1094E" w14:paraId="256BD616" w14:textId="3A2F8865">
                      <w:pPr>
                        <w:pStyle w:val="EQRTextboxbody"/>
                      </w:pPr>
                      <w:hyperlink w:anchor="WSp5n03" w:tooltip="Worksheet 5.3. Evaluation of Submitted Fields" w:history="1">
                        <w:r w:rsidRPr="007A70C5">
                          <w:rPr>
                            <w:rStyle w:val="Hyperlink"/>
                          </w:rPr>
                          <w:t>Worksheet 5.3. Evaluation of Submitted Fields</w:t>
                        </w:r>
                      </w:hyperlink>
                    </w:p>
                    <w:p w:rsidR="00ED33C3" w:rsidRPr="0090682E" w:rsidP="00A1094E" w14:paraId="3500E28F" w14:textId="77777777">
                      <w:pPr>
                        <w:pStyle w:val="EQRTextboxbullet"/>
                        <w:rPr>
                          <w:spacing w:val="-2"/>
                        </w:rPr>
                      </w:pPr>
                      <w:r w:rsidRPr="00F31CC2">
                        <w:t>Provide a template for the EQRO to document its findings for each data element</w:t>
                      </w:r>
                    </w:p>
                  </w:txbxContent>
                </v:textbox>
                <w10:wrap type="tight"/>
              </v:shape>
            </w:pict>
          </mc:Fallback>
        </mc:AlternateContent>
      </w:r>
      <w:r w:rsidRPr="00990D3B">
        <w:rPr>
          <w:noProof/>
        </w:rPr>
        <mc:AlternateContent>
          <mc:Choice Requires="wps">
            <w:drawing>
              <wp:anchor distT="0" distB="0" distL="114300" distR="114300" simplePos="0" relativeHeight="251826176" behindDoc="0" locked="0" layoutInCell="1" allowOverlap="1">
                <wp:simplePos x="0" y="0"/>
                <wp:positionH relativeFrom="column">
                  <wp:posOffset>3733800</wp:posOffset>
                </wp:positionH>
                <wp:positionV relativeFrom="paragraph">
                  <wp:posOffset>38735</wp:posOffset>
                </wp:positionV>
                <wp:extent cx="2194560" cy="297815"/>
                <wp:effectExtent l="19050" t="19050" r="0" b="7620"/>
                <wp:wrapTight wrapText="bothSides">
                  <wp:wrapPolygon>
                    <wp:start x="21788" y="22985"/>
                    <wp:lineTo x="21788" y="-554"/>
                    <wp:lineTo x="38" y="-554"/>
                    <wp:lineTo x="38" y="22985"/>
                    <wp:lineTo x="21788" y="22985"/>
                  </wp:wrapPolygon>
                </wp:wrapTight>
                <wp:docPr id="1153420253" name="Text Box 10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A1094E" w14:textId="4427B7C0">
                            <w:pPr>
                              <w:pStyle w:val="EQRWORKSHEETText"/>
                              <w:rPr>
                                <w:spacing w:val="-2"/>
                              </w:rPr>
                            </w:pPr>
                            <w:hyperlink w:anchor="WSp5n03" w:tooltip="WORKSHEET 5.3" w:history="1">
                              <w:r>
                                <w:rPr>
                                  <w:rStyle w:val="Hyperlink"/>
                                  <w:color w:val="006981"/>
                                </w:rPr>
                                <w:t>WORKSHEET 5.3</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7" o:spid="_x0000_s1171" type="#_x0000_t202" style="width:172.8pt;height:23.45pt;margin-top:3.05pt;margin-left:294pt;flip:y;mso-height-percent:0;mso-height-relative:page;mso-width-percent:0;mso-width-relative:page;mso-wrap-distance-bottom:0;mso-wrap-distance-left:9pt;mso-wrap-distance-right:9pt;mso-wrap-distance-top:0;mso-wrap-style:square;position:absolute;rotation:180;visibility:visible;v-text-anchor:top;z-index:251827200" fillcolor="#eef5f8" strokecolor="#a5dad9" strokeweight="2.25pt">
                <v:stroke endcap="round"/>
                <v:textbox style="mso-fit-shape-to-text:t" inset="8.64pt,,8.64pt">
                  <w:txbxContent>
                    <w:p w:rsidR="00ED33C3" w:rsidRPr="0090682E" w:rsidP="00A1094E" w14:paraId="6DF9A7F8" w14:textId="4427B7C0">
                      <w:pPr>
                        <w:pStyle w:val="EQRWORKSHEETText"/>
                        <w:rPr>
                          <w:spacing w:val="-2"/>
                        </w:rPr>
                      </w:pPr>
                      <w:hyperlink w:anchor="WSp5n03" w:tooltip="WORKSHEET 5.3" w:history="1">
                        <w:r>
                          <w:rPr>
                            <w:rStyle w:val="Hyperlink"/>
                            <w:color w:val="006981"/>
                          </w:rPr>
                          <w:t>WORKSHEET 5.3</w:t>
                        </w:r>
                      </w:hyperlink>
                    </w:p>
                  </w:txbxContent>
                </v:textbox>
                <w10:wrap type="tight"/>
              </v:shape>
            </w:pict>
          </mc:Fallback>
        </mc:AlternateContent>
      </w:r>
      <w:r w:rsidRPr="00990D3B" w:rsidR="00CA6599">
        <w:rPr>
          <w:lang w:bidi="en-US"/>
        </w:rPr>
        <w:t>In Step 3, the EQRO move</w:t>
      </w:r>
      <w:r w:rsidRPr="00990D3B" w:rsidR="00E22D13">
        <w:rPr>
          <w:lang w:bidi="en-US"/>
        </w:rPr>
        <w:t>s</w:t>
      </w:r>
      <w:r w:rsidRPr="00990D3B" w:rsidR="00CA6599">
        <w:rPr>
          <w:lang w:bidi="en-US"/>
        </w:rPr>
        <w:t xml:space="preserve"> beyond analyses focused on data integrity and that are field-specific to analyses that cross fields and provide a broader view of whether the data can be used for meaningful analyses. Often data elements may meet basic expectations, but until multiple fields are used together for analysis, some data quali</w:t>
      </w:r>
      <w:r w:rsidRPr="00990D3B" w:rsidR="00AF0102">
        <w:rPr>
          <w:lang w:bidi="en-US"/>
        </w:rPr>
        <w:t xml:space="preserve">ty issues may not be detected. </w:t>
      </w:r>
    </w:p>
    <w:p w:rsidR="00CA6599" w:rsidRPr="00990D3B" w:rsidP="001023EB" w14:paraId="51D2DCAF" w14:textId="5A3FE18F">
      <w:pPr>
        <w:pStyle w:val="Paragraph0"/>
        <w:rPr>
          <w:lang w:bidi="en-US"/>
        </w:rPr>
      </w:pPr>
      <w:r w:rsidRPr="00990D3B">
        <w:rPr>
          <w:lang w:bidi="en-US"/>
        </w:rPr>
        <w:t>Examples of analytic reports that can detect broader data quality issues are:</w:t>
      </w:r>
    </w:p>
    <w:p w:rsidR="003F21C9" w:rsidRPr="00990D3B" w:rsidP="00FB7CAF" w14:paraId="22FE0E8A" w14:textId="0F666D12">
      <w:pPr>
        <w:pStyle w:val="EQRBulletBLUE"/>
        <w:rPr>
          <w:lang w:bidi="en-US"/>
        </w:rPr>
      </w:pPr>
      <w:r w:rsidRPr="00990D3B">
        <w:rPr>
          <w:b/>
          <w:bCs/>
          <w:lang w:bidi="en-US"/>
        </w:rPr>
        <w:t>Reasonability tests</w:t>
      </w:r>
      <w:r w:rsidRPr="00990D3B" w:rsidR="00055074">
        <w:rPr>
          <w:b/>
          <w:bCs/>
          <w:lang w:bidi="en-US"/>
        </w:rPr>
        <w:t>.</w:t>
      </w:r>
      <w:r w:rsidRPr="00990D3B" w:rsidR="00055074">
        <w:rPr>
          <w:lang w:bidi="en-US"/>
        </w:rPr>
        <w:t xml:space="preserve"> </w:t>
      </w:r>
      <w:r w:rsidRPr="00990D3B">
        <w:rPr>
          <w:lang w:bidi="en-US"/>
        </w:rPr>
        <w:t xml:space="preserve">The EQRO should develop frequency distributions of the values and compare them to normative data from similar populations to determine whether the values make sense. For example, </w:t>
      </w:r>
      <w:r w:rsidRPr="00990D3B" w:rsidR="00055074">
        <w:rPr>
          <w:lang w:bidi="en-US"/>
        </w:rPr>
        <w:t>i</w:t>
      </w:r>
      <w:r w:rsidRPr="00990D3B">
        <w:t xml:space="preserve">f “place-of-service” is a required field, the values should be distributed across a range of values (e.g., </w:t>
      </w:r>
      <w:r w:rsidRPr="00990D3B" w:rsidR="00BC78FA">
        <w:t xml:space="preserve">inpatient </w:t>
      </w:r>
      <w:r w:rsidRPr="00990D3B">
        <w:t xml:space="preserve">hospital, </w:t>
      </w:r>
      <w:r w:rsidRPr="00990D3B" w:rsidR="00BC78FA">
        <w:t xml:space="preserve">outpatient </w:t>
      </w:r>
      <w:r w:rsidRPr="00990D3B">
        <w:t>hospital, ED, or office)</w:t>
      </w:r>
      <w:r w:rsidRPr="00990D3B" w:rsidR="00055074">
        <w:t xml:space="preserve">. Reasonability tests might include: </w:t>
      </w:r>
    </w:p>
    <w:p w:rsidR="003F21C9" w:rsidRPr="00990D3B" w:rsidP="00411ED7" w14:paraId="2003CD1C" w14:textId="156D89A4">
      <w:pPr>
        <w:pStyle w:val="EQRBulletBLUE2ndlevel"/>
        <w:rPr>
          <w:lang w:bidi="en-US"/>
        </w:rPr>
      </w:pPr>
      <w:r w:rsidRPr="00990D3B">
        <w:t>T</w:t>
      </w:r>
      <w:r w:rsidRPr="00990D3B" w:rsidR="00CA6599">
        <w:t>he number of enrollees, the number of encounters, and counts and totals for various eligibility categories or demographic subgroups, diagnoses, or types of service</w:t>
      </w:r>
      <w:r w:rsidRPr="00990D3B" w:rsidR="004A622E">
        <w:t>.</w:t>
      </w:r>
    </w:p>
    <w:p w:rsidR="003F21C9" w:rsidRPr="00990D3B" w:rsidP="00411ED7" w14:paraId="2EAB9345" w14:textId="264625D5">
      <w:pPr>
        <w:pStyle w:val="EQRBulletBLUE2ndlevel"/>
        <w:rPr>
          <w:lang w:bidi="en-US"/>
        </w:rPr>
      </w:pPr>
      <w:r w:rsidRPr="00990D3B">
        <w:t xml:space="preserve">Frequency distributions </w:t>
      </w:r>
      <w:r w:rsidRPr="00990D3B">
        <w:t>on</w:t>
      </w:r>
      <w:r w:rsidRPr="00990D3B">
        <w:t xml:space="preserve"> specific fields, as well as on the variables created explicitly for data validation purposes (e.g., </w:t>
      </w:r>
      <w:r w:rsidRPr="00990D3B" w:rsidR="004A5E5A">
        <w:t>enrollee</w:t>
      </w:r>
      <w:r w:rsidRPr="00990D3B">
        <w:t xml:space="preserve"> age f</w:t>
      </w:r>
      <w:r w:rsidRPr="00990D3B">
        <w:t>rom date of birth)</w:t>
      </w:r>
      <w:r w:rsidRPr="00990D3B" w:rsidR="004A622E">
        <w:t>.</w:t>
      </w:r>
    </w:p>
    <w:p w:rsidR="003F21C9" w:rsidRPr="00990D3B" w:rsidP="00411ED7" w14:paraId="0A51FA9F" w14:textId="6C261A44">
      <w:pPr>
        <w:pStyle w:val="EQRBulletBLUE2ndlevel"/>
        <w:rPr>
          <w:lang w:bidi="en-US"/>
        </w:rPr>
      </w:pPr>
      <w:r w:rsidRPr="00990D3B">
        <w:t>Distributions on subsets of data, especially where there are specific concerns about data validity. For example, if the EQRO finds a low rate of utilization for outpatient services, it could analyze the data by provider zip code to determine whether the files are missing specific zip codes, causing the system to reject records. By taking a deeper dive into the data, the EQRO could detect a different p</w:t>
      </w:r>
      <w:r w:rsidRPr="00990D3B" w:rsidR="009E6CDB">
        <w:t>roblem than originally expected</w:t>
      </w:r>
      <w:r w:rsidRPr="00990D3B" w:rsidR="004A622E">
        <w:t>.</w:t>
      </w:r>
    </w:p>
    <w:p w:rsidR="00CA6599" w:rsidRPr="00990D3B" w:rsidP="00411ED7" w14:paraId="2EEF4BA5" w14:textId="0CCAA442">
      <w:pPr>
        <w:pStyle w:val="EQRBulletBLUE2ndlevel"/>
        <w:rPr>
          <w:lang w:bidi="en-US"/>
        </w:rPr>
      </w:pPr>
      <w:r w:rsidRPr="00990D3B">
        <w:t xml:space="preserve">Univariate statistics (e.g., means, medians, quartiles, and modes) as appropriate. </w:t>
      </w:r>
      <w:r w:rsidRPr="00990D3B" w:rsidR="00925503">
        <w:br/>
      </w:r>
      <w:r w:rsidRPr="00990D3B">
        <w:t xml:space="preserve">The EQRO should check the output of these reports for reasonableness and </w:t>
      </w:r>
      <w:r w:rsidRPr="00990D3B">
        <w:t>to detect</w:t>
      </w:r>
      <w:r w:rsidRPr="00990D3B">
        <w:t xml:space="preserve"> specific problems such as entire categories of data missing fro</w:t>
      </w:r>
      <w:r w:rsidRPr="00990D3B" w:rsidR="009E6CDB">
        <w:t>m the regular data submissions</w:t>
      </w:r>
      <w:r w:rsidRPr="00990D3B" w:rsidR="004A622E">
        <w:t>.</w:t>
      </w:r>
    </w:p>
    <w:p w:rsidR="00CA6599" w:rsidRPr="00990D3B" w:rsidP="00FB7CAF" w14:paraId="0001AC97" w14:textId="550C2DB3">
      <w:pPr>
        <w:pStyle w:val="EQRBulletBLUE"/>
        <w:rPr>
          <w:lang w:bidi="en-US"/>
        </w:rPr>
      </w:pPr>
      <w:r w:rsidRPr="00990D3B">
        <w:rPr>
          <w:b/>
          <w:bCs/>
          <w:lang w:bidi="en-US"/>
        </w:rPr>
        <w:t>Analyses by dates of service versus adjudication dates</w:t>
      </w:r>
      <w:r w:rsidRPr="00990D3B" w:rsidR="00055074">
        <w:rPr>
          <w:b/>
          <w:bCs/>
          <w:lang w:bidi="en-US"/>
        </w:rPr>
        <w:t>.</w:t>
      </w:r>
      <w:r w:rsidRPr="00990D3B" w:rsidR="00055074">
        <w:t xml:space="preserve"> </w:t>
      </w:r>
      <w:r w:rsidRPr="00990D3B">
        <w:rPr>
          <w:lang w:bidi="en-US"/>
        </w:rPr>
        <w:t>Analyzing the data by dates of service and by adjudication dates can detect issues in consistency over time. Inconsistent processing can indicate other problems within the MCP’s I</w:t>
      </w:r>
      <w:r w:rsidRPr="00990D3B" w:rsidR="001323E4">
        <w:rPr>
          <w:lang w:bidi="en-US"/>
        </w:rPr>
        <w:t>S</w:t>
      </w:r>
      <w:r w:rsidRPr="00990D3B">
        <w:rPr>
          <w:lang w:bidi="en-US"/>
        </w:rPr>
        <w:t xml:space="preserve"> system, which may impact data validity. After establishing the length of time between service and adjudication dates, the EQRO should compare them with standards or benchmarks for</w:t>
      </w:r>
      <w:r w:rsidRPr="00990D3B" w:rsidR="009E6CDB">
        <w:rPr>
          <w:lang w:bidi="en-US"/>
        </w:rPr>
        <w:t xml:space="preserve"> data submission and</w:t>
      </w:r>
      <w:r w:rsidRPr="00990D3B" w:rsidR="001023EB">
        <w:rPr>
          <w:lang w:bidi="en-US"/>
        </w:rPr>
        <w:t> </w:t>
      </w:r>
      <w:r w:rsidRPr="00990D3B" w:rsidR="009E6CDB">
        <w:rPr>
          <w:lang w:bidi="en-US"/>
        </w:rPr>
        <w:t>processing</w:t>
      </w:r>
      <w:r w:rsidRPr="00990D3B" w:rsidR="004A622E">
        <w:rPr>
          <w:lang w:bidi="en-US"/>
        </w:rPr>
        <w:t>.</w:t>
      </w:r>
    </w:p>
    <w:p w:rsidR="00CA6599" w:rsidRPr="00990D3B" w:rsidP="00FB7CAF" w14:paraId="4512514E" w14:textId="4F420EEF">
      <w:pPr>
        <w:pStyle w:val="EQRBulletBLUE"/>
        <w:rPr>
          <w:b/>
          <w:bCs/>
          <w:lang w:bidi="en-US"/>
        </w:rPr>
      </w:pPr>
      <w:r w:rsidRPr="00990D3B">
        <w:rPr>
          <w:b/>
          <w:bCs/>
          <w:lang w:bidi="en-US"/>
        </w:rPr>
        <w:t>Checks by provider types</w:t>
      </w:r>
      <w:r w:rsidRPr="00990D3B" w:rsidR="00055074">
        <w:rPr>
          <w:b/>
          <w:bCs/>
          <w:lang w:bidi="en-US"/>
        </w:rPr>
        <w:t xml:space="preserve">. </w:t>
      </w:r>
      <w:r w:rsidRPr="00990D3B">
        <w:rPr>
          <w:lang w:bidi="en-US"/>
        </w:rPr>
        <w:t xml:space="preserve">The EQRO should review the data by provider type to identify missing provider types and examine fluctuations in patient visits by provider type for </w:t>
      </w:r>
      <w:r w:rsidRPr="00990D3B">
        <w:rPr>
          <w:lang w:bidi="en-US"/>
        </w:rPr>
        <w:t xml:space="preserve">specified time periods. The EQRO should compare the distribution of encounters by provider type to normative information. The EQRO should also examine diagnosis or procedure codes by provider type to ensure that the relationship between provider specialty and the </w:t>
      </w:r>
      <w:r w:rsidRPr="00990D3B" w:rsidR="009E6CDB">
        <w:rPr>
          <w:lang w:bidi="en-US"/>
        </w:rPr>
        <w:t>services rendered is consistent</w:t>
      </w:r>
      <w:r w:rsidRPr="00990D3B" w:rsidR="004A622E">
        <w:rPr>
          <w:lang w:bidi="en-US"/>
        </w:rPr>
        <w:t>.</w:t>
      </w:r>
    </w:p>
    <w:p w:rsidR="00CA6599" w:rsidRPr="00990D3B" w:rsidP="00FB7CAF" w14:paraId="6AC5F453" w14:textId="51376B5A">
      <w:pPr>
        <w:pStyle w:val="EQRBulletBLUE"/>
        <w:rPr>
          <w:lang w:bidi="en-US"/>
        </w:rPr>
      </w:pPr>
      <w:r w:rsidRPr="00990D3B">
        <w:rPr>
          <w:lang w:bidi="en-US"/>
        </w:rPr>
        <w:t>Relational analyses by service type</w:t>
      </w:r>
      <w:r w:rsidRPr="00990D3B" w:rsidR="003A0DBF">
        <w:rPr>
          <w:lang w:bidi="en-US"/>
        </w:rPr>
        <w:t xml:space="preserve"> or episodes of care</w:t>
      </w:r>
      <w:r w:rsidRPr="00990D3B" w:rsidR="00055074">
        <w:rPr>
          <w:lang w:bidi="en-US"/>
        </w:rPr>
        <w:t xml:space="preserve">. These may include: </w:t>
      </w:r>
    </w:p>
    <w:p w:rsidR="00CA6599" w:rsidRPr="00990D3B" w:rsidP="00411ED7" w14:paraId="473B0FEF" w14:textId="3443B7AC">
      <w:pPr>
        <w:pStyle w:val="EQRBulletBLUE2ndlevel"/>
        <w:rPr>
          <w:lang w:bidi="en-US"/>
        </w:rPr>
      </w:pPr>
      <w:r w:rsidRPr="00990D3B">
        <w:rPr>
          <w:lang w:bidi="en-US"/>
        </w:rPr>
        <w:t>The relationship between ancillary services (e.g., labs, x-rays, etc.) and visits</w:t>
      </w:r>
      <w:r w:rsidRPr="00990D3B" w:rsidR="004A622E">
        <w:rPr>
          <w:lang w:bidi="en-US"/>
        </w:rPr>
        <w:t>.</w:t>
      </w:r>
    </w:p>
    <w:p w:rsidR="00CA6599" w:rsidRPr="00990D3B" w:rsidP="00411ED7" w14:paraId="3FDF205C" w14:textId="24EA1AF3">
      <w:pPr>
        <w:pStyle w:val="EQRBulletBLUE2ndlevel"/>
        <w:rPr>
          <w:lang w:bidi="en-US"/>
        </w:rPr>
      </w:pPr>
      <w:r w:rsidRPr="00990D3B">
        <w:rPr>
          <w:lang w:bidi="en-US"/>
        </w:rPr>
        <w:t>The relationship between outpatient visits and the number of prescriptions dispensed</w:t>
      </w:r>
      <w:r w:rsidRPr="00990D3B" w:rsidR="004A622E">
        <w:rPr>
          <w:lang w:bidi="en-US"/>
        </w:rPr>
        <w:t>.</w:t>
      </w:r>
    </w:p>
    <w:p w:rsidR="00CA6599" w:rsidRPr="00990D3B" w:rsidP="00411ED7" w14:paraId="6DE94FC5" w14:textId="4418B179">
      <w:pPr>
        <w:pStyle w:val="EQRBulletBLUE2ndlevel"/>
        <w:rPr>
          <w:lang w:bidi="en-US"/>
        </w:rPr>
      </w:pPr>
      <w:r w:rsidRPr="00990D3B">
        <w:rPr>
          <w:lang w:bidi="en-US"/>
        </w:rPr>
        <w:t>The relationship between primary and specialty care visits</w:t>
      </w:r>
      <w:r w:rsidRPr="00990D3B" w:rsidR="004A622E">
        <w:rPr>
          <w:lang w:bidi="en-US"/>
        </w:rPr>
        <w:t>.</w:t>
      </w:r>
    </w:p>
    <w:p w:rsidR="00CA6599" w:rsidRPr="00990D3B" w:rsidP="00411ED7" w14:paraId="2AA63D6A" w14:textId="025D3698">
      <w:pPr>
        <w:pStyle w:val="EQRBulletBLUE2ndlevel"/>
        <w:rPr>
          <w:lang w:bidi="en-US"/>
        </w:rPr>
      </w:pPr>
      <w:r w:rsidRPr="00990D3B">
        <w:rPr>
          <w:lang w:bidi="en-US"/>
        </w:rPr>
        <w:t>Outpatient services associated with inpatient admissions</w:t>
      </w:r>
      <w:r w:rsidRPr="00990D3B" w:rsidR="004A622E">
        <w:rPr>
          <w:lang w:bidi="en-US"/>
        </w:rPr>
        <w:t>.</w:t>
      </w:r>
    </w:p>
    <w:p w:rsidR="003A0DBF" w:rsidRPr="00990D3B" w:rsidP="00411ED7" w14:paraId="1183C86B" w14:textId="4D040B35">
      <w:pPr>
        <w:pStyle w:val="EQRBulletBLUE2ndlevel"/>
        <w:rPr>
          <w:lang w:bidi="en-US"/>
        </w:rPr>
      </w:pPr>
      <w:r w:rsidRPr="00990D3B">
        <w:rPr>
          <w:lang w:bidi="en-US"/>
        </w:rPr>
        <w:t xml:space="preserve">Grouped services expected </w:t>
      </w:r>
      <w:r w:rsidRPr="00990D3B">
        <w:rPr>
          <w:lang w:bidi="en-US"/>
        </w:rPr>
        <w:t>in particular types</w:t>
      </w:r>
      <w:r w:rsidRPr="00990D3B">
        <w:rPr>
          <w:lang w:bidi="en-US"/>
        </w:rPr>
        <w:t xml:space="preserve"> of visit or episodes of care</w:t>
      </w:r>
      <w:r w:rsidRPr="00990D3B" w:rsidR="004A622E">
        <w:rPr>
          <w:lang w:bidi="en-US"/>
        </w:rPr>
        <w:t>.</w:t>
      </w:r>
    </w:p>
    <w:p w:rsidR="00CA6599" w:rsidRPr="00990D3B" w:rsidP="00411ED7" w14:paraId="468EE74B" w14:textId="77777777">
      <w:pPr>
        <w:pStyle w:val="EQRBulletBLUE2ndlevel"/>
        <w:rPr>
          <w:lang w:bidi="en-US"/>
        </w:rPr>
      </w:pPr>
      <w:r w:rsidRPr="00990D3B">
        <w:rPr>
          <w:lang w:bidi="en-US"/>
        </w:rPr>
        <w:t xml:space="preserve">Other relationships between service types previously identified as problematic </w:t>
      </w:r>
      <w:r w:rsidRPr="00990D3B">
        <w:t>through the ISCA, front-end edits, or other EQRO validation activities.</w:t>
      </w:r>
    </w:p>
    <w:p w:rsidR="00CA6599" w:rsidRPr="00990D3B" w:rsidP="00FB7CAF" w14:paraId="48E715E9" w14:textId="2F2ECD9E">
      <w:pPr>
        <w:pStyle w:val="EQRBulletBLUE"/>
        <w:rPr>
          <w:b/>
          <w:bCs/>
          <w:lang w:bidi="en-US"/>
        </w:rPr>
      </w:pPr>
      <w:r w:rsidRPr="00990D3B">
        <w:rPr>
          <w:b/>
          <w:bCs/>
          <w:lang w:bidi="en-US"/>
        </w:rPr>
        <w:t xml:space="preserve">Analyses </w:t>
      </w:r>
      <w:r w:rsidRPr="00990D3B">
        <w:rPr>
          <w:b/>
          <w:bCs/>
          <w:lang w:bidi="en-US"/>
        </w:rPr>
        <w:t>broken</w:t>
      </w:r>
      <w:r w:rsidRPr="00990D3B">
        <w:rPr>
          <w:b/>
          <w:bCs/>
          <w:lang w:bidi="en-US"/>
        </w:rPr>
        <w:t xml:space="preserve"> out by demographic group or subpopulation</w:t>
      </w:r>
      <w:r w:rsidRPr="00990D3B" w:rsidR="00055074">
        <w:rPr>
          <w:b/>
          <w:bCs/>
          <w:lang w:bidi="en-US"/>
        </w:rPr>
        <w:t xml:space="preserve">. </w:t>
      </w:r>
      <w:r w:rsidRPr="00990D3B">
        <w:rPr>
          <w:lang w:bidi="en-US"/>
        </w:rPr>
        <w:t xml:space="preserve">If not addressed already in the MCP’s front-end edits, the EQRO should conduct analyses that take </w:t>
      </w:r>
      <w:r w:rsidRPr="00990D3B">
        <w:rPr>
          <w:lang w:bidi="en-US"/>
        </w:rPr>
        <w:t>a</w:t>
      </w:r>
      <w:r w:rsidRPr="00990D3B">
        <w:rPr>
          <w:lang w:bidi="en-US"/>
        </w:rPr>
        <w:t xml:space="preserve"> </w:t>
      </w:r>
      <w:r w:rsidRPr="00990D3B" w:rsidR="004A5E5A">
        <w:rPr>
          <w:lang w:bidi="en-US"/>
        </w:rPr>
        <w:t>enrollee’s</w:t>
      </w:r>
      <w:r w:rsidRPr="00990D3B" w:rsidR="00AF0102">
        <w:rPr>
          <w:lang w:bidi="en-US"/>
        </w:rPr>
        <w:t xml:space="preserve"> age and </w:t>
      </w:r>
      <w:r w:rsidRPr="00990D3B" w:rsidR="00A27E6A">
        <w:rPr>
          <w:lang w:bidi="en-US"/>
        </w:rPr>
        <w:t xml:space="preserve">sex </w:t>
      </w:r>
      <w:r w:rsidRPr="00990D3B" w:rsidR="00AF0102">
        <w:rPr>
          <w:lang w:bidi="en-US"/>
        </w:rPr>
        <w:t xml:space="preserve">into account. </w:t>
      </w:r>
      <w:r w:rsidRPr="00990D3B">
        <w:rPr>
          <w:lang w:bidi="en-US"/>
        </w:rPr>
        <w:t xml:space="preserve">For example, the EQRO could verify that a </w:t>
      </w:r>
      <w:r w:rsidRPr="00990D3B" w:rsidR="00A27E6A">
        <w:rPr>
          <w:lang w:bidi="en-US"/>
        </w:rPr>
        <w:t>sex</w:t>
      </w:r>
      <w:r w:rsidRPr="00990D3B">
        <w:rPr>
          <w:lang w:bidi="en-US"/>
        </w:rPr>
        <w:t xml:space="preserve">-specific diagnosis (e.g., endometriosis) or procedure (e.g., caesarean delivery) is consistent with the </w:t>
      </w:r>
      <w:r w:rsidRPr="00990D3B" w:rsidR="004A5E5A">
        <w:rPr>
          <w:lang w:bidi="en-US"/>
        </w:rPr>
        <w:t>enrollee’s</w:t>
      </w:r>
      <w:r w:rsidRPr="00990D3B">
        <w:rPr>
          <w:lang w:bidi="en-US"/>
        </w:rPr>
        <w:t xml:space="preserve"> age and </w:t>
      </w:r>
      <w:r w:rsidRPr="00990D3B" w:rsidR="00A27E6A">
        <w:rPr>
          <w:lang w:bidi="en-US"/>
        </w:rPr>
        <w:t xml:space="preserve">sex </w:t>
      </w:r>
      <w:r w:rsidRPr="00990D3B">
        <w:rPr>
          <w:lang w:bidi="en-US"/>
        </w:rPr>
        <w:t xml:space="preserve">derived from the encounter header record or the </w:t>
      </w:r>
      <w:r w:rsidRPr="00990D3B" w:rsidR="004A5E5A">
        <w:rPr>
          <w:lang w:bidi="en-US"/>
        </w:rPr>
        <w:t>enrollee’s</w:t>
      </w:r>
      <w:r w:rsidRPr="00990D3B" w:rsidR="009E6CDB">
        <w:rPr>
          <w:lang w:bidi="en-US"/>
        </w:rPr>
        <w:t xml:space="preserve"> enrollment record</w:t>
      </w:r>
      <w:r w:rsidRPr="00990D3B" w:rsidR="004A622E">
        <w:rPr>
          <w:lang w:bidi="en-US"/>
        </w:rPr>
        <w:t>.</w:t>
      </w:r>
      <w:r w:rsidRPr="00990D3B">
        <w:rPr>
          <w:lang w:bidi="en-US"/>
        </w:rPr>
        <w:t xml:space="preserve">  </w:t>
      </w:r>
    </w:p>
    <w:p w:rsidR="00CA6599" w:rsidRPr="00990D3B" w:rsidP="00FB7CAF" w14:paraId="153D1AD3" w14:textId="2C1E9BB2">
      <w:pPr>
        <w:pStyle w:val="EQRBulletBLUE"/>
        <w:rPr>
          <w:lang w:bidi="en-US"/>
        </w:rPr>
      </w:pPr>
      <w:r w:rsidRPr="00990D3B">
        <w:rPr>
          <w:b/>
          <w:bCs/>
          <w:lang w:bidi="en-US"/>
        </w:rPr>
        <w:t>Analytic questions</w:t>
      </w:r>
      <w:r w:rsidRPr="00990D3B" w:rsidR="00055074">
        <w:rPr>
          <w:b/>
          <w:bCs/>
          <w:lang w:bidi="en-US"/>
        </w:rPr>
        <w:t>.</w:t>
      </w:r>
      <w:r w:rsidRPr="00990D3B" w:rsidR="00055074">
        <w:rPr>
          <w:lang w:bidi="en-US"/>
        </w:rPr>
        <w:t xml:space="preserve"> </w:t>
      </w:r>
      <w:r w:rsidRPr="00990D3B">
        <w:rPr>
          <w:lang w:bidi="en-US"/>
        </w:rPr>
        <w:t>The EQRO should use information gathered in previous steps to select a question or series of questions it might answer using the encounter data as another step in dete</w:t>
      </w:r>
      <w:r w:rsidRPr="00990D3B" w:rsidR="00AF0102">
        <w:rPr>
          <w:lang w:bidi="en-US"/>
        </w:rPr>
        <w:t xml:space="preserve">rmining quality and usability. </w:t>
      </w:r>
      <w:r w:rsidRPr="00990D3B">
        <w:rPr>
          <w:lang w:bidi="en-US"/>
        </w:rPr>
        <w:t xml:space="preserve">For instance, the EQRO could take a particular measure of interest to the state and replicate it across all MCPs or within MCPs, such as the number of </w:t>
      </w:r>
      <w:r w:rsidRPr="00990D3B" w:rsidR="00622633">
        <w:rPr>
          <w:lang w:bidi="en-US"/>
        </w:rPr>
        <w:t>enrollees</w:t>
      </w:r>
      <w:r w:rsidRPr="00990D3B" w:rsidR="009E6CDB">
        <w:rPr>
          <w:lang w:bidi="en-US"/>
        </w:rPr>
        <w:t xml:space="preserve"> per primary care provide</w:t>
      </w:r>
      <w:r w:rsidRPr="00990D3B" w:rsidR="003F0853">
        <w:rPr>
          <w:lang w:bidi="en-US"/>
        </w:rPr>
        <w:t>r.</w:t>
      </w:r>
    </w:p>
    <w:p w:rsidR="00CA6599" w:rsidRPr="00990D3B" w:rsidP="00D175B4" w14:paraId="643AD9DB" w14:textId="6AF02987">
      <w:pPr>
        <w:pStyle w:val="ParagraphContinued"/>
      </w:pPr>
      <w:r w:rsidRPr="00990D3B">
        <w:t>The EQRO should conduct these analyses on the encounter data and compare the results to external benchmark information (Step 4). As part of the review, the EQRO should display the data quality findings graphically to identify issues for further investigation and to communicate the results of the data quality review. The EQRO should generate these reports for each MCP and on the entire encounter data set for all MCPs to account for problems associated with small numbers of encounters for individual MCPs. For examples of these types of displays, see Section 5 of the CMS Encounter Data Toolkit</w:t>
      </w:r>
      <w:r w:rsidRPr="00990D3B" w:rsidR="00193724">
        <w:t>.</w:t>
      </w:r>
      <w:r w:rsidRPr="00990D3B" w:rsidR="003162DF">
        <w:rPr>
          <w:rFonts w:ascii="ZWAdobeF" w:hAnsi="ZWAdobeF" w:cs="ZWAdobeF"/>
          <w:sz w:val="2"/>
          <w:szCs w:val="2"/>
        </w:rPr>
        <w:t>69F</w:t>
      </w:r>
      <w:r>
        <w:rPr>
          <w:rStyle w:val="FootnoteReference"/>
        </w:rPr>
        <w:footnoteReference w:id="78"/>
      </w:r>
    </w:p>
    <w:p w:rsidR="00F14D4D" w:rsidRPr="00990D3B" w:rsidP="007D0F48" w14:paraId="6322CE50" w14:textId="77777777">
      <w:pPr>
        <w:pStyle w:val="H3"/>
      </w:pPr>
      <w:bookmarkStart w:id="590" w:name="P5Act3Step4"/>
      <w:bookmarkEnd w:id="590"/>
      <w:r w:rsidRPr="00990D3B">
        <w:t>Step 4: Compare Findings to State-Identified Benchmarks</w:t>
      </w:r>
    </w:p>
    <w:p w:rsidR="00D1087B" w:rsidRPr="00990D3B" w:rsidP="00D175B4" w14:paraId="48BB73D4" w14:textId="26107B1E">
      <w:pPr>
        <w:pStyle w:val="ParagraphContinued"/>
      </w:pPr>
      <w:r w:rsidRPr="00990D3B">
        <w:rPr>
          <w:noProof/>
        </w:rPr>
        <mc:AlternateContent>
          <mc:Choice Requires="wps">
            <w:drawing>
              <wp:anchor distT="0" distB="0" distL="114300" distR="114300" simplePos="0" relativeHeight="251828224" behindDoc="0" locked="0" layoutInCell="1" allowOverlap="1">
                <wp:simplePos x="0" y="0"/>
                <wp:positionH relativeFrom="column">
                  <wp:posOffset>3594100</wp:posOffset>
                </wp:positionH>
                <wp:positionV relativeFrom="paragraph">
                  <wp:posOffset>449580</wp:posOffset>
                </wp:positionV>
                <wp:extent cx="2195195" cy="1301115"/>
                <wp:effectExtent l="19050" t="19050" r="0" b="0"/>
                <wp:wrapTight wrapText="bothSides">
                  <wp:wrapPolygon>
                    <wp:start x="21787" y="21916"/>
                    <wp:lineTo x="21787" y="84"/>
                    <wp:lineTo x="44" y="84"/>
                    <wp:lineTo x="44" y="21916"/>
                    <wp:lineTo x="21787" y="21916"/>
                  </wp:wrapPolygon>
                </wp:wrapTight>
                <wp:docPr id="2108373886" name="Text Box 10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301115"/>
                        </a:xfrm>
                        <a:prstGeom prst="rect">
                          <a:avLst/>
                        </a:prstGeom>
                        <a:solidFill>
                          <a:srgbClr val="EEF5F8"/>
                        </a:solidFill>
                        <a:ln w="28575" cap="rnd">
                          <a:solidFill>
                            <a:srgbClr val="A5DAD9"/>
                          </a:solidFill>
                          <a:prstDash val="solid"/>
                          <a:miter lim="800000"/>
                          <a:headEnd/>
                          <a:tailEnd/>
                        </a:ln>
                      </wps:spPr>
                      <wps:txbx>
                        <w:txbxContent>
                          <w:p w:rsidR="00ED33C3" w:rsidP="00B56CDB" w14:textId="1F99780A">
                            <w:pPr>
                              <w:pStyle w:val="EQRTextboxheading"/>
                            </w:pPr>
                            <w:r w:rsidRPr="006F4774">
                              <w:t xml:space="preserve">Resource for Activity </w:t>
                            </w:r>
                            <w:r>
                              <w:t>3</w:t>
                            </w:r>
                            <w:r w:rsidRPr="006F4774">
                              <w:t xml:space="preserve">, Step </w:t>
                            </w:r>
                            <w:r>
                              <w:t>4</w:t>
                            </w:r>
                          </w:p>
                          <w:p w:rsidR="00ED33C3" w:rsidRPr="00B56CDB" w:rsidP="00B56CDB" w14:textId="72C73214">
                            <w:pPr>
                              <w:pStyle w:val="EQRTextboxbody"/>
                            </w:pPr>
                            <w:hyperlink w:anchor="WSp5n04" w:tooltip="Worksheet 5.4. Benchmark Utilization Rates" w:history="1">
                              <w:r w:rsidRPr="007A70C5">
                                <w:rPr>
                                  <w:rStyle w:val="Hyperlink"/>
                                </w:rPr>
                                <w:t>Worksheet 5.4. Benchmark Utilization Rates</w:t>
                              </w:r>
                            </w:hyperlink>
                          </w:p>
                          <w:p w:rsidR="00ED33C3" w:rsidRPr="0090682E" w:rsidP="00B56CDB" w14:textId="5B3F4914">
                            <w:pPr>
                              <w:pStyle w:val="EQRTextboxbullet"/>
                              <w:rPr>
                                <w:spacing w:val="-2"/>
                              </w:rPr>
                            </w:pPr>
                            <w:r w:rsidRPr="00B56CDB">
                              <w:t>Provides a template for the EQRO to compare findings to state-identified benchmarks</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6" o:spid="_x0000_s1172" type="#_x0000_t202" style="width:172.85pt;height:102.45pt;margin-top:35.4pt;margin-left:283pt;flip:y;mso-height-percent:0;mso-height-relative:page;mso-width-percent:0;mso-width-relative:page;mso-wrap-distance-bottom:0;mso-wrap-distance-left:9pt;mso-wrap-distance-right:9pt;mso-wrap-distance-top:0;mso-wrap-style:square;position:absolute;rotation:180;visibility:visible;v-text-anchor:top;z-index:251829248" fillcolor="#eef5f8" strokecolor="#a5dad9" strokeweight="2.25pt">
                <v:stroke endcap="round"/>
                <v:textbox style="mso-fit-shape-to-text:t" inset="8.64pt,,8.64pt">
                  <w:txbxContent>
                    <w:p w:rsidR="00ED33C3" w:rsidP="00B56CDB" w14:paraId="3FFAE622" w14:textId="1F99780A">
                      <w:pPr>
                        <w:pStyle w:val="EQRTextboxheading"/>
                      </w:pPr>
                      <w:r w:rsidRPr="006F4774">
                        <w:t xml:space="preserve">Resource for Activity </w:t>
                      </w:r>
                      <w:r>
                        <w:t>3</w:t>
                      </w:r>
                      <w:r w:rsidRPr="006F4774">
                        <w:t xml:space="preserve">, Step </w:t>
                      </w:r>
                      <w:r>
                        <w:t>4</w:t>
                      </w:r>
                    </w:p>
                    <w:p w:rsidR="00ED33C3" w:rsidRPr="00B56CDB" w:rsidP="00B56CDB" w14:paraId="5CF5C2CE" w14:textId="72C73214">
                      <w:pPr>
                        <w:pStyle w:val="EQRTextboxbody"/>
                      </w:pPr>
                      <w:hyperlink w:anchor="WSp5n04" w:tooltip="Worksheet 5.4. Benchmark Utilization Rates" w:history="1">
                        <w:r w:rsidRPr="007A70C5">
                          <w:rPr>
                            <w:rStyle w:val="Hyperlink"/>
                          </w:rPr>
                          <w:t>Worksheet 5.4. Benchmark Utilization Rates</w:t>
                        </w:r>
                      </w:hyperlink>
                    </w:p>
                    <w:p w:rsidR="00ED33C3" w:rsidRPr="0090682E" w:rsidP="00B56CDB" w14:paraId="2C856725" w14:textId="5B3F4914">
                      <w:pPr>
                        <w:pStyle w:val="EQRTextboxbullet"/>
                        <w:rPr>
                          <w:spacing w:val="-2"/>
                        </w:rPr>
                      </w:pPr>
                      <w:r w:rsidRPr="00B56CDB">
                        <w:t>Provides a template for the EQRO to compare findings to state-identified benchmarks</w:t>
                      </w:r>
                    </w:p>
                  </w:txbxContent>
                </v:textbox>
                <w10:wrap type="tight"/>
              </v:shape>
            </w:pict>
          </mc:Fallback>
        </mc:AlternateContent>
      </w:r>
      <w:r w:rsidRPr="00990D3B">
        <w:rPr>
          <w:noProof/>
        </w:rPr>
        <mc:AlternateContent>
          <mc:Choice Requires="wps">
            <w:drawing>
              <wp:anchor distT="0" distB="0" distL="114300" distR="114300" simplePos="0" relativeHeight="251830272" behindDoc="0" locked="0" layoutInCell="1" allowOverlap="1">
                <wp:simplePos x="0" y="0"/>
                <wp:positionH relativeFrom="column">
                  <wp:posOffset>3594100</wp:posOffset>
                </wp:positionH>
                <wp:positionV relativeFrom="paragraph">
                  <wp:posOffset>88900</wp:posOffset>
                </wp:positionV>
                <wp:extent cx="2194560" cy="297815"/>
                <wp:effectExtent l="19050" t="19050" r="0" b="7620"/>
                <wp:wrapTight wrapText="bothSides">
                  <wp:wrapPolygon>
                    <wp:start x="21788" y="22985"/>
                    <wp:lineTo x="21788" y="-554"/>
                    <wp:lineTo x="38" y="-554"/>
                    <wp:lineTo x="38" y="22985"/>
                    <wp:lineTo x="21788" y="22985"/>
                  </wp:wrapPolygon>
                </wp:wrapTight>
                <wp:docPr id="1171587115" name="Text Box 10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B56CDB" w14:textId="6B6DFE80">
                            <w:pPr>
                              <w:pStyle w:val="EQRWORKSHEETText"/>
                              <w:rPr>
                                <w:spacing w:val="-2"/>
                              </w:rPr>
                            </w:pPr>
                            <w:hyperlink w:anchor="WSp5n04" w:tooltip="WORKSHEET 5.4" w:history="1">
                              <w:r>
                                <w:rPr>
                                  <w:rStyle w:val="Hyperlink"/>
                                  <w:color w:val="006981"/>
                                </w:rPr>
                                <w:t>WORKSHEET 5.4</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5" o:spid="_x0000_s1173" type="#_x0000_t202" style="width:172.8pt;height:23.45pt;margin-top:7pt;margin-left:283pt;flip:y;mso-height-percent:0;mso-height-relative:page;mso-width-percent:0;mso-width-relative:page;mso-wrap-distance-bottom:0;mso-wrap-distance-left:9pt;mso-wrap-distance-right:9pt;mso-wrap-distance-top:0;mso-wrap-style:square;position:absolute;rotation:180;visibility:visible;v-text-anchor:top;z-index:251831296" fillcolor="#eef5f8" strokecolor="#a5dad9" strokeweight="2.25pt">
                <v:stroke endcap="round"/>
                <v:textbox style="mso-fit-shape-to-text:t" inset="8.64pt,,8.64pt">
                  <w:txbxContent>
                    <w:p w:rsidR="00ED33C3" w:rsidRPr="0090682E" w:rsidP="00B56CDB" w14:paraId="76DDA834" w14:textId="6B6DFE80">
                      <w:pPr>
                        <w:pStyle w:val="EQRWORKSHEETText"/>
                        <w:rPr>
                          <w:spacing w:val="-2"/>
                        </w:rPr>
                      </w:pPr>
                      <w:hyperlink w:anchor="WSp5n04" w:tooltip="WORKSHEET 5.4" w:history="1">
                        <w:r>
                          <w:rPr>
                            <w:rStyle w:val="Hyperlink"/>
                            <w:color w:val="006981"/>
                          </w:rPr>
                          <w:t>WORKSHEET 5.4</w:t>
                        </w:r>
                      </w:hyperlink>
                    </w:p>
                  </w:txbxContent>
                </v:textbox>
                <w10:wrap type="tight"/>
              </v:shape>
            </w:pict>
          </mc:Fallback>
        </mc:AlternateContent>
      </w:r>
      <w:r w:rsidRPr="00990D3B" w:rsidR="00D1087B">
        <w:t>In this step, the EQRO compares the encounter data submitted by each MCP to benchmarks identified by the state. The EQRO will need to identify and document these benchmarks. The benchmarks can be obtained from various sources, including:</w:t>
      </w:r>
    </w:p>
    <w:p w:rsidR="00D1087B" w:rsidRPr="00990D3B" w:rsidP="00FB7CAF" w14:paraId="5A575AD7" w14:textId="3FA9F31B">
      <w:pPr>
        <w:pStyle w:val="EQRBulletBLUE"/>
        <w:rPr>
          <w:lang w:bidi="en-US"/>
        </w:rPr>
      </w:pPr>
      <w:r w:rsidRPr="00990D3B">
        <w:rPr>
          <w:lang w:bidi="en-US"/>
        </w:rPr>
        <w:t>Aggregate encounter data from all Medicaid or CHIP MCPs in the state</w:t>
      </w:r>
      <w:r w:rsidRPr="00990D3B" w:rsidR="00055074">
        <w:rPr>
          <w:lang w:bidi="en-US"/>
        </w:rPr>
        <w:t>.</w:t>
      </w:r>
    </w:p>
    <w:p w:rsidR="00D1087B" w:rsidRPr="00990D3B" w:rsidP="00FB7CAF" w14:paraId="6444C73D" w14:textId="05477FDD">
      <w:pPr>
        <w:pStyle w:val="EQRBulletBLUE"/>
        <w:rPr>
          <w:lang w:bidi="en-US"/>
        </w:rPr>
      </w:pPr>
      <w:r w:rsidRPr="00990D3B">
        <w:rPr>
          <w:lang w:bidi="en-US"/>
        </w:rPr>
        <w:t xml:space="preserve">Historical FFS or </w:t>
      </w:r>
      <w:r w:rsidRPr="00990D3B" w:rsidR="00E224AD">
        <w:rPr>
          <w:lang w:bidi="en-US"/>
        </w:rPr>
        <w:t>primary care case management (</w:t>
      </w:r>
      <w:r w:rsidRPr="00990D3B">
        <w:rPr>
          <w:lang w:bidi="en-US"/>
        </w:rPr>
        <w:t>PCCM</w:t>
      </w:r>
      <w:r w:rsidRPr="00990D3B" w:rsidR="00E224AD">
        <w:rPr>
          <w:lang w:bidi="en-US"/>
        </w:rPr>
        <w:t>)</w:t>
      </w:r>
      <w:r w:rsidRPr="00990D3B">
        <w:rPr>
          <w:lang w:bidi="en-US"/>
        </w:rPr>
        <w:t xml:space="preserve"> data</w:t>
      </w:r>
      <w:r w:rsidRPr="00990D3B" w:rsidR="00055074">
        <w:rPr>
          <w:lang w:bidi="en-US"/>
        </w:rPr>
        <w:t>.</w:t>
      </w:r>
    </w:p>
    <w:p w:rsidR="00D1087B" w:rsidRPr="00990D3B" w:rsidP="00FB7CAF" w14:paraId="3D9C66E5" w14:textId="64F3A80D">
      <w:pPr>
        <w:pStyle w:val="EQRBulletBLUE"/>
        <w:rPr>
          <w:lang w:bidi="en-US"/>
        </w:rPr>
      </w:pPr>
      <w:r w:rsidRPr="00990D3B">
        <w:rPr>
          <w:lang w:bidi="en-US"/>
        </w:rPr>
        <w:t>Other comparable states</w:t>
      </w:r>
      <w:r w:rsidRPr="00990D3B" w:rsidR="00055074">
        <w:rPr>
          <w:lang w:bidi="en-US"/>
        </w:rPr>
        <w:t>.</w:t>
      </w:r>
    </w:p>
    <w:p w:rsidR="00D1087B" w:rsidRPr="00990D3B" w:rsidP="00FB7CAF" w14:paraId="34244312" w14:textId="3547CA38">
      <w:pPr>
        <w:pStyle w:val="EQRBulletBLUE"/>
        <w:rPr>
          <w:lang w:bidi="en-US"/>
        </w:rPr>
      </w:pPr>
      <w:r w:rsidRPr="00990D3B">
        <w:rPr>
          <w:lang w:bidi="en-US"/>
        </w:rPr>
        <w:t>The CMS E</w:t>
      </w:r>
      <w:r w:rsidRPr="00990D3B">
        <w:rPr>
          <w:lang w:bidi="en-US"/>
        </w:rPr>
        <w:t xml:space="preserve">ncounter </w:t>
      </w:r>
      <w:r w:rsidRPr="00990D3B">
        <w:rPr>
          <w:lang w:bidi="en-US"/>
        </w:rPr>
        <w:t>D</w:t>
      </w:r>
      <w:r w:rsidRPr="00990D3B">
        <w:rPr>
          <w:lang w:bidi="en-US"/>
        </w:rPr>
        <w:t xml:space="preserve">ata </w:t>
      </w:r>
      <w:r w:rsidRPr="00990D3B">
        <w:rPr>
          <w:lang w:bidi="en-US"/>
        </w:rPr>
        <w:t>T</w:t>
      </w:r>
      <w:r w:rsidRPr="00990D3B">
        <w:rPr>
          <w:lang w:bidi="en-US"/>
        </w:rPr>
        <w:t>oolkit</w:t>
      </w:r>
      <w:r w:rsidRPr="00990D3B" w:rsidR="00055074">
        <w:rPr>
          <w:lang w:bidi="en-US"/>
        </w:rPr>
        <w:t>.</w:t>
      </w:r>
    </w:p>
    <w:p w:rsidR="00D1087B" w:rsidRPr="00990D3B" w:rsidP="00FB7CAF" w14:paraId="6E2DE83F" w14:textId="3478459B">
      <w:pPr>
        <w:pStyle w:val="EQRBulletBLUE"/>
        <w:rPr>
          <w:lang w:bidi="en-US"/>
        </w:rPr>
      </w:pPr>
      <w:r w:rsidRPr="00990D3B">
        <w:t xml:space="preserve">Other benchmarks, such as </w:t>
      </w:r>
      <w:r w:rsidRPr="00990D3B" w:rsidR="00B4233C">
        <w:t xml:space="preserve">MCP financial reports, </w:t>
      </w:r>
      <w:r w:rsidRPr="00990D3B">
        <w:t xml:space="preserve">commercial MCPs, national standards, </w:t>
      </w:r>
      <w:r w:rsidRPr="00990D3B" w:rsidR="00E224AD">
        <w:t>Healthcare Effectiveness Data and Information Set (</w:t>
      </w:r>
      <w:r w:rsidRPr="00990D3B">
        <w:t>HEDIS®</w:t>
      </w:r>
      <w:r w:rsidRPr="00990D3B" w:rsidR="00E224AD">
        <w:t>)</w:t>
      </w:r>
      <w:r w:rsidRPr="00990D3B">
        <w:t xml:space="preserve">, or the Child and </w:t>
      </w:r>
      <w:r w:rsidRPr="00990D3B">
        <w:rPr>
          <w:lang w:bidi="en-US"/>
        </w:rPr>
        <w:t>Adult</w:t>
      </w:r>
      <w:r w:rsidRPr="00990D3B">
        <w:t xml:space="preserve"> Core Set measures</w:t>
      </w:r>
      <w:r w:rsidRPr="00990D3B" w:rsidR="003162DF">
        <w:rPr>
          <w:rFonts w:ascii="ZWAdobeF" w:hAnsi="ZWAdobeF" w:cs="ZWAdobeF"/>
          <w:sz w:val="2"/>
          <w:szCs w:val="2"/>
        </w:rPr>
        <w:t>70F</w:t>
      </w:r>
      <w:r w:rsidRPr="00990D3B" w:rsidR="00055074">
        <w:rPr>
          <w:rFonts w:ascii="ZWAdobeF" w:hAnsi="ZWAdobeF" w:cs="ZWAdobeF"/>
          <w:sz w:val="2"/>
          <w:szCs w:val="2"/>
        </w:rPr>
        <w:t>.</w:t>
      </w:r>
      <w:r>
        <w:rPr>
          <w:rStyle w:val="FootnoteReference"/>
          <w:lang w:bidi="en-US"/>
        </w:rPr>
        <w:footnoteReference w:id="79"/>
      </w:r>
    </w:p>
    <w:p w:rsidR="009844E4" w:rsidRPr="00990D3B" w:rsidP="00D175B4" w14:paraId="6E21C3A1" w14:textId="55836BC2">
      <w:pPr>
        <w:pStyle w:val="ParagraphContinued"/>
      </w:pPr>
      <w:r w:rsidRPr="00990D3B">
        <w:t xml:space="preserve">The EQRO should understand which differences from comparison data require further investigation. For example, </w:t>
      </w:r>
      <w:r w:rsidRPr="00990D3B" w:rsidR="00483EA9">
        <w:t>ED</w:t>
      </w:r>
      <w:r w:rsidRPr="00990D3B">
        <w:t xml:space="preserve"> utilization might be lower in managed care than in FFS. However, large swings in utilization from one </w:t>
      </w:r>
      <w:r w:rsidRPr="00990D3B">
        <w:t>time period</w:t>
      </w:r>
      <w:r w:rsidRPr="00990D3B">
        <w:t xml:space="preserve"> to the next, or differences from the benchmark that are not explained by delivery system differences may indicate incomplete or erroneous encounter data, rather than a difference in provider practice patterns. </w:t>
      </w:r>
      <w:r w:rsidRPr="00990D3B">
        <w:t>The EQRO</w:t>
      </w:r>
      <w:r w:rsidRPr="00990D3B">
        <w:t xml:space="preserve"> should vet its assumptions about changes in utilization with the M</w:t>
      </w:r>
      <w:r w:rsidRPr="00990D3B" w:rsidR="00DC08C6">
        <w:t>CP</w:t>
      </w:r>
      <w:r w:rsidRPr="00990D3B">
        <w:t xml:space="preserve">s and the state to determine what follow-up analyses might be required. For example, unusual changes in utilization and outcomes may occur after a natural disaster (such as a hurricane). The EQRO should discuss anomalous findings with the state to assess underlying factors that may </w:t>
      </w:r>
      <w:r w:rsidRPr="00990D3B">
        <w:t>utilization</w:t>
      </w:r>
      <w:r w:rsidRPr="00990D3B">
        <w:t xml:space="preserve"> or outcomes.</w:t>
      </w:r>
    </w:p>
    <w:p w:rsidR="00F14D4D" w:rsidRPr="00990D3B" w:rsidP="00D175B4" w14:paraId="34D0CA03" w14:textId="77777777">
      <w:pPr>
        <w:pStyle w:val="H2"/>
      </w:pPr>
      <w:bookmarkStart w:id="591" w:name="P5A4"/>
      <w:bookmarkStart w:id="592" w:name="_Toc14777709"/>
      <w:bookmarkStart w:id="593" w:name="_Toc183005607"/>
      <w:bookmarkStart w:id="594" w:name="_Toc201751377"/>
      <w:r w:rsidRPr="00990D3B">
        <w:t>Activity 4</w:t>
      </w:r>
      <w:bookmarkEnd w:id="591"/>
      <w:r w:rsidRPr="00990D3B">
        <w:t xml:space="preserve">: </w:t>
      </w:r>
      <w:r w:rsidRPr="00990D3B">
        <w:t>Review</w:t>
      </w:r>
      <w:r w:rsidRPr="00990D3B">
        <w:t xml:space="preserve"> Medical Records</w:t>
      </w:r>
      <w:bookmarkEnd w:id="592"/>
      <w:bookmarkEnd w:id="593"/>
      <w:bookmarkEnd w:id="594"/>
    </w:p>
    <w:p w:rsidR="001C7122" w:rsidRPr="00990D3B" w:rsidP="00D175B4" w14:paraId="4D910345" w14:textId="6AA21A0A">
      <w:pPr>
        <w:pStyle w:val="ParagraphContinued"/>
      </w:pPr>
      <w:r w:rsidRPr="00990D3B">
        <w:rPr>
          <w:noProof/>
        </w:rPr>
        <mc:AlternateContent>
          <mc:Choice Requires="wps">
            <w:drawing>
              <wp:anchor distT="0" distB="0" distL="114300" distR="114300" simplePos="0" relativeHeight="251836416" behindDoc="0" locked="0" layoutInCell="1" allowOverlap="1">
                <wp:simplePos x="0" y="0"/>
                <wp:positionH relativeFrom="column">
                  <wp:posOffset>3727450</wp:posOffset>
                </wp:positionH>
                <wp:positionV relativeFrom="paragraph">
                  <wp:posOffset>137160</wp:posOffset>
                </wp:positionV>
                <wp:extent cx="2194560" cy="297815"/>
                <wp:effectExtent l="19050" t="19050" r="0" b="7620"/>
                <wp:wrapTight wrapText="bothSides">
                  <wp:wrapPolygon>
                    <wp:start x="21788" y="22985"/>
                    <wp:lineTo x="21788" y="-554"/>
                    <wp:lineTo x="38" y="-554"/>
                    <wp:lineTo x="38" y="22985"/>
                    <wp:lineTo x="21788" y="22985"/>
                  </wp:wrapPolygon>
                </wp:wrapTight>
                <wp:docPr id="892732818" name="Text Box 10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61190B" w14:textId="4FE15586">
                            <w:pPr>
                              <w:pStyle w:val="EQRWORKSHEETText"/>
                              <w:rPr>
                                <w:spacing w:val="-2"/>
                              </w:rPr>
                            </w:pPr>
                            <w:hyperlink w:anchor="WSp5n05" w:tooltip="WORKSHEET 5.5" w:history="1">
                              <w:r>
                                <w:rPr>
                                  <w:rStyle w:val="Hyperlink"/>
                                  <w:color w:val="006981"/>
                                </w:rPr>
                                <w:t>WORKSHEET 5.5</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2" o:spid="_x0000_s1174" type="#_x0000_t202" style="width:172.8pt;height:23.45pt;margin-top:10.8pt;margin-left:293.5pt;flip:y;mso-height-percent:0;mso-height-relative:page;mso-width-percent:0;mso-width-relative:page;mso-wrap-distance-bottom:0;mso-wrap-distance-left:9pt;mso-wrap-distance-right:9pt;mso-wrap-distance-top:0;mso-wrap-style:square;position:absolute;rotation:180;visibility:visible;v-text-anchor:top;z-index:251837440" fillcolor="#eef5f8" strokecolor="#a5dad9" strokeweight="2.25pt">
                <v:stroke endcap="round"/>
                <v:textbox style="mso-fit-shape-to-text:t" inset="8.64pt,,8.64pt">
                  <w:txbxContent>
                    <w:p w:rsidR="00ED33C3" w:rsidRPr="0090682E" w:rsidP="0061190B" w14:paraId="48C455EB" w14:textId="4FE15586">
                      <w:pPr>
                        <w:pStyle w:val="EQRWORKSHEETText"/>
                        <w:rPr>
                          <w:spacing w:val="-2"/>
                        </w:rPr>
                      </w:pPr>
                      <w:hyperlink w:anchor="WSp5n05" w:tooltip="WORKSHEET 5.5" w:history="1">
                        <w:r>
                          <w:rPr>
                            <w:rStyle w:val="Hyperlink"/>
                            <w:color w:val="006981"/>
                          </w:rPr>
                          <w:t>WORKSHEET 5.5</w:t>
                        </w:r>
                      </w:hyperlink>
                    </w:p>
                  </w:txbxContent>
                </v:textbox>
                <w10:wrap type="tight"/>
              </v:shape>
            </w:pict>
          </mc:Fallback>
        </mc:AlternateContent>
      </w:r>
      <w:r w:rsidRPr="00990D3B">
        <w:rPr>
          <w:noProof/>
        </w:rPr>
        <mc:AlternateContent>
          <mc:Choice Requires="wps">
            <w:drawing>
              <wp:anchor distT="0" distB="0" distL="114300" distR="114300" simplePos="0" relativeHeight="251834368" behindDoc="0" locked="0" layoutInCell="1" allowOverlap="1">
                <wp:simplePos x="0" y="0"/>
                <wp:positionH relativeFrom="column">
                  <wp:posOffset>3727450</wp:posOffset>
                </wp:positionH>
                <wp:positionV relativeFrom="paragraph">
                  <wp:posOffset>492760</wp:posOffset>
                </wp:positionV>
                <wp:extent cx="2194560" cy="297815"/>
                <wp:effectExtent l="19050" t="19050" r="0" b="7620"/>
                <wp:wrapTight wrapText="bothSides">
                  <wp:wrapPolygon>
                    <wp:start x="21788" y="22985"/>
                    <wp:lineTo x="21788" y="-554"/>
                    <wp:lineTo x="38" y="-554"/>
                    <wp:lineTo x="38" y="22985"/>
                    <wp:lineTo x="21788" y="22985"/>
                  </wp:wrapPolygon>
                </wp:wrapTight>
                <wp:docPr id="1740386854" name="Text Box 10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61190B" w14:textId="41D9C5FA">
                            <w:pPr>
                              <w:pStyle w:val="EQRWORKSHEETText"/>
                              <w:rPr>
                                <w:spacing w:val="-2"/>
                              </w:rPr>
                            </w:pPr>
                            <w:hyperlink w:anchor="WSp5n06" w:tooltip="WORKSHEET 5.6" w:history="1">
                              <w:r>
                                <w:rPr>
                                  <w:rStyle w:val="Hyperlink"/>
                                  <w:color w:val="006981"/>
                                </w:rPr>
                                <w:t>WORKSHEET 5.6</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3" o:spid="_x0000_s1175" type="#_x0000_t202" style="width:172.8pt;height:23.45pt;margin-top:38.8pt;margin-left:293.5pt;flip:y;mso-height-percent:0;mso-height-relative:page;mso-width-percent:0;mso-width-relative:page;mso-wrap-distance-bottom:0;mso-wrap-distance-left:9pt;mso-wrap-distance-right:9pt;mso-wrap-distance-top:0;mso-wrap-style:square;position:absolute;rotation:180;visibility:visible;v-text-anchor:top;z-index:251835392" fillcolor="#eef5f8" strokecolor="#a5dad9" strokeweight="2.25pt">
                <v:stroke endcap="round"/>
                <v:textbox style="mso-fit-shape-to-text:t" inset="8.64pt,,8.64pt">
                  <w:txbxContent>
                    <w:p w:rsidR="00ED33C3" w:rsidRPr="0090682E" w:rsidP="0061190B" w14:paraId="5410C319" w14:textId="41D9C5FA">
                      <w:pPr>
                        <w:pStyle w:val="EQRWORKSHEETText"/>
                        <w:rPr>
                          <w:spacing w:val="-2"/>
                        </w:rPr>
                      </w:pPr>
                      <w:hyperlink w:anchor="WSp5n06" w:tooltip="WORKSHEET 5.6" w:history="1">
                        <w:r>
                          <w:rPr>
                            <w:rStyle w:val="Hyperlink"/>
                            <w:color w:val="006981"/>
                          </w:rPr>
                          <w:t>WORKSHEET 5.6</w:t>
                        </w:r>
                      </w:hyperlink>
                    </w:p>
                  </w:txbxContent>
                </v:textbox>
                <w10:wrap type="tight"/>
              </v:shape>
            </w:pict>
          </mc:Fallback>
        </mc:AlternateContent>
      </w:r>
      <w:r w:rsidRPr="00990D3B">
        <w:rPr>
          <w:noProof/>
        </w:rPr>
        <mc:AlternateContent>
          <mc:Choice Requires="wps">
            <w:drawing>
              <wp:anchor distT="0" distB="0" distL="114300" distR="114300" simplePos="0" relativeHeight="251832320" behindDoc="0" locked="0" layoutInCell="1" allowOverlap="1">
                <wp:simplePos x="0" y="0"/>
                <wp:positionH relativeFrom="column">
                  <wp:posOffset>3727726</wp:posOffset>
                </wp:positionH>
                <wp:positionV relativeFrom="paragraph">
                  <wp:posOffset>854709</wp:posOffset>
                </wp:positionV>
                <wp:extent cx="2195195" cy="3015615"/>
                <wp:effectExtent l="19050" t="19050" r="0" b="0"/>
                <wp:wrapTight wrapText="bothSides">
                  <wp:wrapPolygon>
                    <wp:start x="21787" y="21736"/>
                    <wp:lineTo x="21787" y="36"/>
                    <wp:lineTo x="44" y="36"/>
                    <wp:lineTo x="44" y="21736"/>
                    <wp:lineTo x="21787" y="21736"/>
                  </wp:wrapPolygon>
                </wp:wrapTight>
                <wp:docPr id="1672300802" name="Text Box 10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3015615"/>
                        </a:xfrm>
                        <a:prstGeom prst="rect">
                          <a:avLst/>
                        </a:prstGeom>
                        <a:solidFill>
                          <a:srgbClr val="EEF5F8"/>
                        </a:solidFill>
                        <a:ln w="28575" cap="rnd">
                          <a:solidFill>
                            <a:srgbClr val="A5DAD9"/>
                          </a:solidFill>
                          <a:prstDash val="solid"/>
                          <a:miter lim="800000"/>
                          <a:headEnd/>
                          <a:tailEnd/>
                        </a:ln>
                      </wps:spPr>
                      <wps:txbx>
                        <w:txbxContent>
                          <w:p w:rsidR="00ED33C3" w:rsidP="003216FD" w14:textId="64003E19">
                            <w:pPr>
                              <w:pStyle w:val="EQRTextboxheading"/>
                            </w:pPr>
                            <w:r>
                              <w:t>Resources for Activity 4</w:t>
                            </w:r>
                          </w:p>
                          <w:p w:rsidR="00ED33C3" w:rsidRPr="0061190B" w:rsidP="0061190B" w14:textId="628DBF9B">
                            <w:pPr>
                              <w:pStyle w:val="EQRTextboxbody"/>
                            </w:pPr>
                            <w:hyperlink w:anchor="WSp5n05" w:tooltip="Worksheet 5.5. Medical Record Review for Encounter Data Validation" w:history="1">
                              <w:r w:rsidRPr="00E673C6">
                                <w:rPr>
                                  <w:rStyle w:val="Hyperlink"/>
                                </w:rPr>
                                <w:t>Worksheet 5.5. Medical Record Review for Encounter Data Validation</w:t>
                              </w:r>
                            </w:hyperlink>
                          </w:p>
                          <w:p w:rsidR="00ED33C3" w:rsidRPr="0061190B" w:rsidP="0061190B" w14:textId="77777777">
                            <w:pPr>
                              <w:pStyle w:val="EQRTextboxbullet"/>
                            </w:pPr>
                            <w:r w:rsidRPr="0061190B">
                              <w:t>The Event Validation Table indicates whether an encounter record matches the medical record, and vice versa</w:t>
                            </w:r>
                          </w:p>
                          <w:p w:rsidR="00ED33C3" w:rsidRPr="0061190B" w:rsidP="0061190B" w14:textId="77777777">
                            <w:pPr>
                              <w:pStyle w:val="EQRTextboxbullet"/>
                            </w:pPr>
                            <w:r w:rsidRPr="0061190B">
                              <w:t>The Data Field Validation Table indicates whether codes or other data fields in the encounter record match the medical record, and vice versa</w:t>
                            </w:r>
                          </w:p>
                          <w:p w:rsidR="00ED33C3" w:rsidRPr="0061190B" w:rsidP="0061190B" w14:textId="123CACFA">
                            <w:pPr>
                              <w:pStyle w:val="EQRTextboxbody"/>
                            </w:pPr>
                            <w:hyperlink w:anchor="WSp5n06" w:tooltip="Worksheet 5.6. Medical Record Review Results Summary Sheet" w:history="1">
                              <w:r>
                                <w:rPr>
                                  <w:rStyle w:val="Hyperlink"/>
                                </w:rPr>
                                <w:t>Worksheet 5.6. Medical Record Review Results Summary Sheet</w:t>
                              </w:r>
                            </w:hyperlink>
                          </w:p>
                          <w:p w:rsidR="00ED33C3" w:rsidRPr="0090682E" w:rsidP="0061190B" w14:textId="4250877A">
                            <w:pPr>
                              <w:pStyle w:val="EQRTextboxbullet"/>
                              <w:rPr>
                                <w:spacing w:val="-2"/>
                              </w:rPr>
                            </w:pPr>
                            <w:r w:rsidRPr="0061190B">
                              <w:t>Summarizes the results of the medical record review, including the error rate and reasons for errors</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4" o:spid="_x0000_s1176" type="#_x0000_t202" style="width:172.85pt;height:237.45pt;margin-top:67.3pt;margin-left:293.5pt;flip:y;mso-height-percent:0;mso-height-relative:page;mso-width-percent:0;mso-width-relative:page;mso-wrap-distance-bottom:0;mso-wrap-distance-left:9pt;mso-wrap-distance-right:9pt;mso-wrap-distance-top:0;mso-wrap-style:square;position:absolute;rotation:180;visibility:visible;v-text-anchor:top;z-index:251833344" fillcolor="#eef5f8" strokecolor="#a5dad9" strokeweight="2.25pt">
                <v:stroke endcap="round"/>
                <v:textbox style="mso-fit-shape-to-text:t" inset="8.64pt,,8.64pt">
                  <w:txbxContent>
                    <w:p w:rsidR="00ED33C3" w:rsidP="003216FD" w14:paraId="18071FC2" w14:textId="64003E19">
                      <w:pPr>
                        <w:pStyle w:val="EQRTextboxheading"/>
                      </w:pPr>
                      <w:r>
                        <w:t>Resources for Activity 4</w:t>
                      </w:r>
                    </w:p>
                    <w:p w:rsidR="00ED33C3" w:rsidRPr="0061190B" w:rsidP="0061190B" w14:paraId="05E0D484" w14:textId="628DBF9B">
                      <w:pPr>
                        <w:pStyle w:val="EQRTextboxbody"/>
                      </w:pPr>
                      <w:hyperlink w:anchor="WSp5n05" w:tooltip="Worksheet 5.5. Medical Record Review for Encounter Data Validation" w:history="1">
                        <w:r w:rsidRPr="00E673C6">
                          <w:rPr>
                            <w:rStyle w:val="Hyperlink"/>
                          </w:rPr>
                          <w:t>Worksheet 5.5. Medical Record Review for Encounter Data Validation</w:t>
                        </w:r>
                      </w:hyperlink>
                    </w:p>
                    <w:p w:rsidR="00ED33C3" w:rsidRPr="0061190B" w:rsidP="0061190B" w14:paraId="1D456D39" w14:textId="77777777">
                      <w:pPr>
                        <w:pStyle w:val="EQRTextboxbullet"/>
                      </w:pPr>
                      <w:r w:rsidRPr="0061190B">
                        <w:t>The Event Validation Table indicates whether an encounter record matches the medical record, and vice versa</w:t>
                      </w:r>
                    </w:p>
                    <w:p w:rsidR="00ED33C3" w:rsidRPr="0061190B" w:rsidP="0061190B" w14:paraId="0B7BF010" w14:textId="77777777">
                      <w:pPr>
                        <w:pStyle w:val="EQRTextboxbullet"/>
                      </w:pPr>
                      <w:r w:rsidRPr="0061190B">
                        <w:t>The Data Field Validation Table indicates whether codes or other data fields in the encounter record match the medical record, and vice versa</w:t>
                      </w:r>
                    </w:p>
                    <w:p w:rsidR="00ED33C3" w:rsidRPr="0061190B" w:rsidP="0061190B" w14:paraId="2CB54CD0" w14:textId="123CACFA">
                      <w:pPr>
                        <w:pStyle w:val="EQRTextboxbody"/>
                      </w:pPr>
                      <w:hyperlink w:anchor="WSp5n06" w:tooltip="Worksheet 5.6. Medical Record Review Results Summary Sheet" w:history="1">
                        <w:r>
                          <w:rPr>
                            <w:rStyle w:val="Hyperlink"/>
                          </w:rPr>
                          <w:t>Worksheet 5.6. Medical Record Review Results Summary Sheet</w:t>
                        </w:r>
                      </w:hyperlink>
                    </w:p>
                    <w:p w:rsidR="00ED33C3" w:rsidRPr="0090682E" w:rsidP="0061190B" w14:paraId="6EE55CF2" w14:textId="4250877A">
                      <w:pPr>
                        <w:pStyle w:val="EQRTextboxbullet"/>
                        <w:rPr>
                          <w:spacing w:val="-2"/>
                        </w:rPr>
                      </w:pPr>
                      <w:r w:rsidRPr="0061190B">
                        <w:t>Summarizes the results of the medical record review, including the error rate and reasons for errors</w:t>
                      </w:r>
                    </w:p>
                  </w:txbxContent>
                </v:textbox>
                <w10:wrap type="tight"/>
              </v:shape>
            </w:pict>
          </mc:Fallback>
        </mc:AlternateContent>
      </w:r>
      <w:r w:rsidRPr="00990D3B" w:rsidR="001C7122">
        <w:t xml:space="preserve">The purpose of Activity 4 is to confirm the findings from the analysis of encounter data performed in </w:t>
      </w:r>
      <w:hyperlink w:anchor="P5A3" w:tooltip="Activity 3" w:history="1">
        <w:r w:rsidRPr="00990D3B" w:rsidR="001C7122">
          <w:rPr>
            <w:rStyle w:val="Hyperlink"/>
            <w:color w:val="auto"/>
          </w:rPr>
          <w:t>Activity 3</w:t>
        </w:r>
      </w:hyperlink>
      <w:r w:rsidRPr="00990D3B" w:rsidR="001C7122">
        <w:t>, using retrospective reviews of patient medical records. This activity makes the following assumptions about the record review:</w:t>
      </w:r>
    </w:p>
    <w:p w:rsidR="001C7122" w:rsidRPr="00990D3B" w:rsidP="00FB7CAF" w14:paraId="4F37511F" w14:textId="2DBB39B4">
      <w:pPr>
        <w:pStyle w:val="EQRBulletBLUE"/>
        <w:rPr>
          <w:lang w:bidi="en-US"/>
        </w:rPr>
      </w:pPr>
      <w:r w:rsidRPr="00990D3B">
        <w:rPr>
          <w:lang w:bidi="en-US"/>
        </w:rPr>
        <w:t>Reviews performed under the guidance of this protocol and activity should be independent of record reviews performed for all other purposes, including those performed to validate performance measures, for program integrity, etc.</w:t>
      </w:r>
    </w:p>
    <w:p w:rsidR="001C7122" w:rsidRPr="00990D3B" w:rsidP="00FB7CAF" w14:paraId="182FF10C" w14:textId="3192FD51">
      <w:pPr>
        <w:pStyle w:val="EQRBulletBLUE"/>
        <w:rPr>
          <w:lang w:bidi="en-US"/>
        </w:rPr>
      </w:pPr>
      <w:r w:rsidRPr="00990D3B">
        <w:rPr>
          <w:lang w:bidi="en-US"/>
        </w:rPr>
        <w:t>The state will determine the timing and frequenc</w:t>
      </w:r>
      <w:r w:rsidRPr="00990D3B" w:rsidR="009E6CDB">
        <w:rPr>
          <w:lang w:bidi="en-US"/>
        </w:rPr>
        <w:t>y of all medical record reviews</w:t>
      </w:r>
      <w:r w:rsidRPr="00990D3B" w:rsidR="004A622E">
        <w:rPr>
          <w:lang w:bidi="en-US"/>
        </w:rPr>
        <w:t>.</w:t>
      </w:r>
    </w:p>
    <w:p w:rsidR="00165D8D" w:rsidRPr="00990D3B" w:rsidP="00FB7CAF" w14:paraId="106FB7A3" w14:textId="6F0CDAE0">
      <w:pPr>
        <w:pStyle w:val="EQRBulletBLUE"/>
        <w:rPr>
          <w:lang w:bidi="en-US"/>
        </w:rPr>
      </w:pPr>
      <w:r w:rsidRPr="00990D3B">
        <w:rPr>
          <w:lang w:bidi="en-US"/>
        </w:rPr>
        <w:t xml:space="preserve">Once the state has determined a review of medical records is appropriate, the EQRO will draw a sample of records for validation on a regular and periodic basis, as directed by the state </w:t>
      </w:r>
      <w:r w:rsidRPr="00990D3B" w:rsidR="00364658">
        <w:rPr>
          <w:lang w:bidi="en-US"/>
        </w:rPr>
        <w:t>program</w:t>
      </w:r>
      <w:r w:rsidRPr="00990D3B" w:rsidR="004A622E">
        <w:rPr>
          <w:lang w:bidi="en-US"/>
        </w:rPr>
        <w:t>.</w:t>
      </w:r>
    </w:p>
    <w:p w:rsidR="001C7122" w:rsidRPr="00990D3B" w:rsidP="007A058D" w14:paraId="4C516C12" w14:textId="77777777">
      <w:pPr>
        <w:pStyle w:val="ParagraphContinued"/>
      </w:pPr>
      <w:r w:rsidRPr="00990D3B">
        <w:t>EQROs should approach the validation of encounters from medical records as if they are research questions with clear hypotheses, well-defined sampling methodology, and predetermined error tolerances. Questions under consideration for medical record review generally fall into the following categories:</w:t>
      </w:r>
    </w:p>
    <w:p w:rsidR="001C7122" w:rsidRPr="00990D3B" w:rsidP="00117DFB" w14:paraId="6AABD57E" w14:textId="77777777">
      <w:pPr>
        <w:pStyle w:val="Paragraph0"/>
        <w:keepNext/>
        <w:rPr>
          <w:b/>
          <w:bCs/>
          <w:lang w:bidi="en-US"/>
        </w:rPr>
      </w:pPr>
      <w:r w:rsidRPr="00990D3B">
        <w:rPr>
          <w:b/>
          <w:bCs/>
          <w:lang w:bidi="en-US"/>
        </w:rPr>
        <w:t>Questions of Description</w:t>
      </w:r>
    </w:p>
    <w:p w:rsidR="001C7122" w:rsidRPr="00990D3B" w:rsidP="00FB7CAF" w14:paraId="5D2A2348" w14:textId="77777777">
      <w:pPr>
        <w:pStyle w:val="EQRBulletBLUE"/>
      </w:pPr>
      <w:r w:rsidRPr="00990D3B">
        <w:t xml:space="preserve">Are </w:t>
      </w:r>
      <w:r w:rsidRPr="00990D3B">
        <w:t>all of</w:t>
      </w:r>
      <w:r w:rsidRPr="00990D3B">
        <w:t xml:space="preserve"> the diagnosis codes in the patient’s medical record on the associated encounter?</w:t>
      </w:r>
    </w:p>
    <w:p w:rsidR="001C7122" w:rsidRPr="00990D3B" w:rsidP="00FB7CAF" w14:paraId="34985933" w14:textId="77777777">
      <w:pPr>
        <w:pStyle w:val="EQRBulletBLUE"/>
      </w:pPr>
      <w:r w:rsidRPr="00990D3B">
        <w:t xml:space="preserve">Are </w:t>
      </w:r>
      <w:r w:rsidRPr="00990D3B">
        <w:t>all of</w:t>
      </w:r>
      <w:r w:rsidRPr="00990D3B">
        <w:t xml:space="preserve"> the procedure codes in the patient’s medical record on the associated encounter?</w:t>
      </w:r>
    </w:p>
    <w:p w:rsidR="001C7122" w:rsidRPr="00990D3B" w:rsidP="00FB7CAF" w14:paraId="53A2BD69" w14:textId="78A1FF4D">
      <w:pPr>
        <w:pStyle w:val="EQRBulletBLUE"/>
      </w:pPr>
      <w:r w:rsidRPr="00990D3B">
        <w:t xml:space="preserve">Does the Date of Birth (DOB) listed in the </w:t>
      </w:r>
      <w:r w:rsidRPr="00990D3B" w:rsidR="004A5E5A">
        <w:t>enrollee’s</w:t>
      </w:r>
      <w:r w:rsidRPr="00990D3B">
        <w:t xml:space="preserve"> medical record match the DOB found on the encounter header?</w:t>
      </w:r>
    </w:p>
    <w:p w:rsidR="001C7122" w:rsidRPr="00990D3B" w:rsidP="00117DFB" w14:paraId="254954B7" w14:textId="77777777">
      <w:pPr>
        <w:pStyle w:val="Paragraph0"/>
        <w:keepNext/>
        <w:rPr>
          <w:b/>
          <w:bCs/>
          <w:lang w:bidi="en-US"/>
        </w:rPr>
      </w:pPr>
      <w:r w:rsidRPr="00990D3B">
        <w:rPr>
          <w:b/>
          <w:bCs/>
          <w:lang w:bidi="en-US"/>
        </w:rPr>
        <w:t xml:space="preserve">Questions of Relationship </w:t>
      </w:r>
    </w:p>
    <w:p w:rsidR="001C7122" w:rsidRPr="00990D3B" w:rsidP="00FB7CAF" w14:paraId="0943B5B8" w14:textId="77777777">
      <w:pPr>
        <w:pStyle w:val="EQRBulletBLUE"/>
      </w:pPr>
      <w:r w:rsidRPr="00990D3B">
        <w:t>Are there differences in the number of diagnoses reported for women compared to men?</w:t>
      </w:r>
    </w:p>
    <w:p w:rsidR="001C7122" w:rsidRPr="00990D3B" w:rsidP="00FB7CAF" w14:paraId="059F0108" w14:textId="77777777">
      <w:pPr>
        <w:pStyle w:val="EQRBulletBLUE"/>
      </w:pPr>
      <w:r w:rsidRPr="00990D3B">
        <w:t>Are there differences in the distribution of Evaluation &amp; Management (E&amp;M) procedure codes by age group?</w:t>
      </w:r>
    </w:p>
    <w:p w:rsidR="001C7122" w:rsidRPr="00990D3B" w:rsidP="00FB7CAF" w14:paraId="3FF73153" w14:textId="7F329116">
      <w:pPr>
        <w:pStyle w:val="EQRBulletBLUE"/>
      </w:pPr>
      <w:r w:rsidRPr="00990D3B">
        <w:t>Are there differences in the utilization of specific procedure codes by geographic area (e.g.,</w:t>
      </w:r>
      <w:r w:rsidRPr="00990D3B" w:rsidR="00117DFB">
        <w:t> </w:t>
      </w:r>
      <w:r w:rsidRPr="00990D3B">
        <w:t>county)?</w:t>
      </w:r>
    </w:p>
    <w:p w:rsidR="001C7122" w:rsidRPr="00990D3B" w:rsidP="00117DFB" w14:paraId="092C1772" w14:textId="77777777">
      <w:pPr>
        <w:pStyle w:val="Paragraph0"/>
        <w:keepNext/>
        <w:rPr>
          <w:b/>
          <w:bCs/>
          <w:lang w:bidi="en-US"/>
        </w:rPr>
      </w:pPr>
      <w:r w:rsidRPr="00990D3B">
        <w:rPr>
          <w:b/>
          <w:bCs/>
          <w:lang w:bidi="en-US"/>
        </w:rPr>
        <w:t>Questions of Comparison</w:t>
      </w:r>
    </w:p>
    <w:p w:rsidR="001C7122" w:rsidRPr="00990D3B" w:rsidP="00FB7CAF" w14:paraId="7B8C1F2A" w14:textId="406CB4DD">
      <w:pPr>
        <w:pStyle w:val="EQRBulletBLUE"/>
      </w:pPr>
      <w:r w:rsidRPr="00990D3B">
        <w:t>Are there differences in the average number of diagnoses coded on the encounter records compared to those found on FFS or PCCM claims?</w:t>
      </w:r>
    </w:p>
    <w:p w:rsidR="001C7122" w:rsidRPr="00990D3B" w:rsidP="00FB7CAF" w14:paraId="49949BA6" w14:textId="59D28EF2">
      <w:pPr>
        <w:pStyle w:val="EQRBulletBLUE"/>
      </w:pPr>
      <w:r w:rsidRPr="00990D3B">
        <w:t>Are there differences in the distribution of E&amp;M procedure codes (i.e., 99201 – 99205) on the encounter records compared to those found on FFS or PCCM claims?</w:t>
      </w:r>
    </w:p>
    <w:p w:rsidR="001C7122" w:rsidRPr="00990D3B" w:rsidP="00FB7CAF" w14:paraId="6523FFDA" w14:textId="2813FCBD">
      <w:pPr>
        <w:pStyle w:val="EQRBulletBLUE"/>
      </w:pPr>
      <w:r w:rsidRPr="00990D3B">
        <w:t>Are there differences in the distribution of Place of Service codes on the encounter records compared to those found on FFS or PCCM claims?</w:t>
      </w:r>
    </w:p>
    <w:p w:rsidR="001C7122" w:rsidRPr="00990D3B" w:rsidP="00D175B4" w14:paraId="311B3227" w14:textId="77777777">
      <w:pPr>
        <w:pStyle w:val="ParagraphContinued"/>
      </w:pPr>
      <w:r w:rsidRPr="00990D3B">
        <w:t xml:space="preserve">EQROs should limit each medical record review to a specific encounter type (e.g., inpatient hospital admissions, physician office visits). The EQRO should ensure that in narrowing the scope of the review, it does not overlook service types that are vulnerable to undercounting (such as prenatal and postpartum visits). </w:t>
      </w:r>
    </w:p>
    <w:p w:rsidR="001C7122" w:rsidRPr="00990D3B" w:rsidP="004E5005" w14:paraId="7B5FC17B" w14:textId="352664ED">
      <w:pPr>
        <w:pStyle w:val="Paragraph0"/>
      </w:pPr>
      <w:r w:rsidRPr="00990D3B">
        <w:t>EQROs should determine the sample size for the medical record review using standard sampling methodology. The sample size will depend in part on the minimum error rate the EQRO must detect and the number of subpopulations for which validation is conducted. Note that it is not appropriate to substitute a record that is missing. Substitution may be allowed if a medical record is out of the office for legal review.</w:t>
      </w:r>
      <w:r w:rsidRPr="00990D3B" w:rsidR="004B0FF6">
        <w:t xml:space="preserve"> </w:t>
      </w:r>
      <w:hyperlink w:anchor="Box5n3" w:tooltip="Box 5.3" w:history="1">
        <w:r w:rsidRPr="00990D3B" w:rsidR="003753FF">
          <w:rPr>
            <w:rStyle w:val="Hyperlink"/>
          </w:rPr>
          <w:t>Box 5.3</w:t>
        </w:r>
      </w:hyperlink>
      <w:r w:rsidRPr="00990D3B" w:rsidR="004B0FF6">
        <w:t xml:space="preserve"> provides sampling guidance for medical record reviews.</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094ACE3B" w14:textId="77777777" w:rsidTr="000F67F7">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216"/>
        </w:trPr>
        <w:tc>
          <w:tcPr>
            <w:tcW w:w="9314" w:type="dxa"/>
            <w:shd w:val="clear" w:color="auto" w:fill="EEF5F8"/>
          </w:tcPr>
          <w:p w:rsidR="002059C3" w:rsidRPr="00990D3B" w:rsidP="000F67F7" w14:paraId="4FC3149C" w14:textId="77777777">
            <w:pPr>
              <w:pStyle w:val="EQRTextboxheading"/>
              <w:keepNext/>
              <w:spacing w:before="0" w:after="0"/>
            </w:pPr>
            <w:bookmarkStart w:id="595" w:name="Box5n3"/>
            <w:bookmarkEnd w:id="595"/>
            <w:r w:rsidRPr="00990D3B">
              <w:t>Box 5.3 Sampling Guidance for Medical Record Review</w:t>
            </w:r>
          </w:p>
          <w:p w:rsidR="00E51680" w:rsidRPr="00990D3B" w:rsidP="000E758E" w14:paraId="4541D30F" w14:textId="287AFDF7">
            <w:pPr>
              <w:pStyle w:val="EQRTextboxbody"/>
              <w:spacing w:after="0"/>
            </w:pPr>
            <w:r w:rsidRPr="00990D3B">
              <w:t>Careful sampling is essential to ensure that medical record reviews yield reliable and representative estimates of data accuracy. The considerations below provide guidance on determining appropriate sample sizes and handling common challenges during the sampling and review process:</w:t>
            </w:r>
          </w:p>
        </w:tc>
      </w:tr>
      <w:tr w14:paraId="36CC6D40" w14:textId="77777777" w:rsidTr="000F67F7">
        <w:tblPrEx>
          <w:tblW w:w="0" w:type="auto"/>
          <w:tblCellMar>
            <w:top w:w="72" w:type="dxa"/>
            <w:left w:w="173" w:type="dxa"/>
            <w:bottom w:w="72" w:type="dxa"/>
            <w:right w:w="173" w:type="dxa"/>
          </w:tblCellMar>
          <w:tblLook w:val="04A0"/>
        </w:tblPrEx>
        <w:trPr>
          <w:cantSplit/>
          <w:trHeight w:val="1764"/>
        </w:trPr>
        <w:tc>
          <w:tcPr>
            <w:tcW w:w="9314" w:type="dxa"/>
            <w:shd w:val="clear" w:color="auto" w:fill="EEF5F8"/>
          </w:tcPr>
          <w:p w:rsidR="002059C3" w:rsidRPr="00990D3B" w:rsidP="002059C3" w14:paraId="58BEFDD6" w14:textId="4E13C700">
            <w:pPr>
              <w:pStyle w:val="EQRTextboxbullet"/>
            </w:pPr>
            <w:r w:rsidRPr="00990D3B">
              <w:t xml:space="preserve">See </w:t>
            </w:r>
            <w:hyperlink w:anchor="AppC" w:tooltip="Appendix B" w:history="1">
              <w:r w:rsidRPr="00990D3B" w:rsidR="006D10B9">
                <w:rPr>
                  <w:rStyle w:val="Hyperlink"/>
                </w:rPr>
                <w:t>Appendix C</w:t>
              </w:r>
            </w:hyperlink>
            <w:r w:rsidRPr="00990D3B">
              <w:t xml:space="preserve"> for an overview of sampling approaches and guidance for calculating sample sizes</w:t>
            </w:r>
            <w:r w:rsidRPr="00990D3B" w:rsidR="00394F61">
              <w:t>.</w:t>
            </w:r>
          </w:p>
          <w:p w:rsidR="002059C3" w:rsidRPr="00990D3B" w:rsidP="002059C3" w14:paraId="321CD721" w14:textId="18B374D0">
            <w:pPr>
              <w:pStyle w:val="EQRTextboxbullet"/>
            </w:pPr>
            <w:r w:rsidRPr="00990D3B">
              <w:t xml:space="preserve">Set sample sizes for medical record review sufficient to estimate the error rate for each type of encounter within each population, with equal precision for each </w:t>
            </w:r>
            <w:r w:rsidRPr="00990D3B">
              <w:t>time period</w:t>
            </w:r>
            <w:r w:rsidRPr="00990D3B">
              <w:t xml:space="preserve"> under review</w:t>
            </w:r>
            <w:r w:rsidRPr="00990D3B" w:rsidR="00394F61">
              <w:t>.</w:t>
            </w:r>
          </w:p>
          <w:p w:rsidR="002059C3" w:rsidRPr="00990D3B" w:rsidP="002059C3" w14:paraId="1775E568" w14:textId="11AC0DF4">
            <w:pPr>
              <w:pStyle w:val="EQRTextboxbullet"/>
            </w:pPr>
            <w:r w:rsidRPr="00990D3B">
              <w:t>It may be appropriate to allow the substitution of a medical record if it is out of the office for legal review. However, it is not appropriate to substitute a record that is missing</w:t>
            </w:r>
            <w:r w:rsidRPr="00990D3B" w:rsidR="00394F61">
              <w:t>.</w:t>
            </w:r>
          </w:p>
          <w:p w:rsidR="002059C3" w:rsidRPr="00990D3B" w:rsidP="002059C3" w14:paraId="1BE18C34" w14:textId="1B712509">
            <w:pPr>
              <w:pStyle w:val="EQRTextboxbullet"/>
              <w:keepNext/>
            </w:pPr>
            <w:r w:rsidRPr="00990D3B">
              <w:t>A statistician or other staff with expertise in sample design and implementation should advise the state and/or EQRO on the appropriate sampling strategy for the medical record review</w:t>
            </w:r>
            <w:r w:rsidRPr="00990D3B" w:rsidR="00394F61">
              <w:t>.</w:t>
            </w:r>
          </w:p>
        </w:tc>
      </w:tr>
    </w:tbl>
    <w:p w:rsidR="001C7122" w:rsidRPr="00990D3B" w:rsidP="004E5005" w14:paraId="010D2FDD" w14:textId="4F83BE30">
      <w:pPr>
        <w:pStyle w:val="ParagraphContinued"/>
      </w:pPr>
      <w:r w:rsidRPr="00990D3B">
        <w:t>Once the sample of medical records is selected, the EQRO needs to request the medical records from providers, compare the content of the encounter records and medical records, and document findings. The state should provide written guidance to the EQRO about the procedures for conducting the medical record review, including the reporting requirements, the data elements chosen for validation, and the error categories used. The EQRO should employ experienced clinical coders to review codes based on the diagnoses stated by the provider in the patient’s medical record.</w:t>
      </w:r>
    </w:p>
    <w:p w:rsidR="009844E4" w:rsidRPr="00990D3B" w:rsidP="00F30E13" w14:paraId="29AB7F62" w14:textId="6FCDABEC">
      <w:pPr>
        <w:pStyle w:val="Paragraph0"/>
        <w:spacing w:after="160"/>
      </w:pPr>
      <w:r w:rsidRPr="00990D3B">
        <w:t xml:space="preserve">To obtain medical records for review, the EQRO should give each provider a list with each patient’s name, age, and sex, the provider’s name, and the target dates of service. This </w:t>
      </w:r>
      <w:r w:rsidRPr="00990D3B">
        <w:t>information should be sufficient for the provider to identify the beneficiary and locate the correct record</w:t>
      </w:r>
      <w:r w:rsidRPr="00990D3B" w:rsidR="00D83DC0">
        <w:t xml:space="preserve">. </w:t>
      </w:r>
      <w:r w:rsidRPr="00990D3B">
        <w:t>Guidelines should describe exactly how to document the findings of medical record review and should include:</w:t>
      </w:r>
    </w:p>
    <w:p w:rsidR="001C7122" w:rsidRPr="00990D3B" w:rsidP="00FB7CAF" w14:paraId="4D49794D" w14:textId="725367FA">
      <w:pPr>
        <w:pStyle w:val="EQRBulletBLUE"/>
      </w:pPr>
      <w:r w:rsidRPr="00990D3B">
        <w:t>Directions for reviewing medical records</w:t>
      </w:r>
      <w:r w:rsidRPr="00990D3B" w:rsidR="00394F61">
        <w:t>.</w:t>
      </w:r>
    </w:p>
    <w:p w:rsidR="001C7122" w:rsidRPr="00990D3B" w:rsidP="00FB7CAF" w14:paraId="16BF64E1" w14:textId="23F5D4E0">
      <w:pPr>
        <w:pStyle w:val="EQRBulletBLUE"/>
      </w:pPr>
      <w:r w:rsidRPr="00990D3B">
        <w:t>Instructions for evaluating conflicting documents</w:t>
      </w:r>
      <w:r w:rsidRPr="00990D3B" w:rsidR="00394F61">
        <w:t>.</w:t>
      </w:r>
    </w:p>
    <w:p w:rsidR="001C7122" w:rsidRPr="00990D3B" w:rsidP="00FB7CAF" w14:paraId="478DC06A" w14:textId="0F7BE934">
      <w:pPr>
        <w:pStyle w:val="EQRBulletBLUE"/>
      </w:pPr>
      <w:r w:rsidRPr="00990D3B">
        <w:t>Instructions on what to do when no code can be readily assigned</w:t>
      </w:r>
      <w:r w:rsidRPr="00990D3B" w:rsidR="00394F61">
        <w:t>.</w:t>
      </w:r>
    </w:p>
    <w:p w:rsidR="001C7122" w:rsidRPr="00990D3B" w:rsidP="00FB7CAF" w14:paraId="241B7096" w14:textId="5D2C44AC">
      <w:pPr>
        <w:pStyle w:val="EQRBulletBLUE"/>
      </w:pPr>
      <w:r w:rsidRPr="00990D3B">
        <w:t>Use of optional codes</w:t>
      </w:r>
      <w:r w:rsidRPr="00990D3B" w:rsidR="00394F61">
        <w:t>.</w:t>
      </w:r>
    </w:p>
    <w:p w:rsidR="001C7122" w:rsidRPr="00990D3B" w:rsidP="00FB7CAF" w14:paraId="4BBAE84F" w14:textId="64741993">
      <w:pPr>
        <w:pStyle w:val="EQRBulletBLUE"/>
      </w:pPr>
      <w:r w:rsidRPr="00990D3B">
        <w:t>Definitions of what constitutes an “error”</w:t>
      </w:r>
      <w:r w:rsidRPr="00990D3B" w:rsidR="00394F61">
        <w:t>.</w:t>
      </w:r>
    </w:p>
    <w:p w:rsidR="001C7122" w:rsidRPr="00990D3B" w:rsidP="00FB7CAF" w14:paraId="5C6EF2EB" w14:textId="11E6B653">
      <w:pPr>
        <w:pStyle w:val="EQRBulletBLUE"/>
        <w:rPr>
          <w:lang w:bidi="en-US"/>
        </w:rPr>
      </w:pPr>
      <w:r w:rsidRPr="00990D3B">
        <w:t>Lists and locations of approved reference materials</w:t>
      </w:r>
      <w:r w:rsidRPr="00990D3B" w:rsidR="00394F61">
        <w:rPr>
          <w:lang w:bidi="en-US"/>
        </w:rPr>
        <w:t>.</w:t>
      </w:r>
    </w:p>
    <w:p w:rsidR="001C7122" w:rsidRPr="00990D3B" w:rsidP="00FB7CAF" w14:paraId="276A0182" w14:textId="3210E330">
      <w:pPr>
        <w:pStyle w:val="EQRBulletBLUE"/>
        <w:rPr>
          <w:lang w:bidi="en-US"/>
        </w:rPr>
      </w:pPr>
      <w:r w:rsidRPr="00990D3B">
        <w:rPr>
          <w:lang w:bidi="en-US"/>
        </w:rPr>
        <w:t>Whom to co</w:t>
      </w:r>
      <w:r w:rsidRPr="00990D3B" w:rsidR="003732C7">
        <w:rPr>
          <w:lang w:bidi="en-US"/>
        </w:rPr>
        <w:t>nsult for additional assistance</w:t>
      </w:r>
      <w:r w:rsidRPr="00990D3B" w:rsidR="00394F61">
        <w:rPr>
          <w:lang w:bidi="en-US"/>
        </w:rPr>
        <w:t>.</w:t>
      </w:r>
    </w:p>
    <w:p w:rsidR="001C7122" w:rsidRPr="00990D3B" w:rsidP="00CC1F5A" w14:paraId="28C88D6D" w14:textId="77777777">
      <w:pPr>
        <w:pStyle w:val="ParagraphContinued"/>
        <w:rPr>
          <w:lang w:bidi="en-US"/>
        </w:rPr>
      </w:pPr>
      <w:r w:rsidRPr="00990D3B">
        <w:rPr>
          <w:lang w:bidi="en-US"/>
        </w:rPr>
        <w:t>In defining what constitutes an error, the state should consider the following:</w:t>
      </w:r>
    </w:p>
    <w:p w:rsidR="001C7122" w:rsidRPr="00990D3B" w:rsidP="00FB7CAF" w14:paraId="30E66717" w14:textId="337F5A5C">
      <w:pPr>
        <w:pStyle w:val="EQRBulletBLUE"/>
      </w:pPr>
      <w:r w:rsidRPr="00990D3B">
        <w:t>Designate certain errors as “critical” depending on the intended use of the data. These designations may evolve over time as encounter data issues change. For example, the initial stages of analysis may focus on diagnosis (ICD-10) and procedure (CPT</w:t>
      </w:r>
      <w:r w:rsidRPr="00990D3B" w:rsidR="008F7BBE">
        <w:t>®</w:t>
      </w:r>
      <w:r w:rsidRPr="00990D3B">
        <w:t>) codes rather than provider specialty or place of service codes. The latter two fields may be of little value if t</w:t>
      </w:r>
      <w:r w:rsidRPr="00990D3B" w:rsidR="009E6CDB">
        <w:t>he former fields are inaccurate</w:t>
      </w:r>
      <w:r w:rsidRPr="00990D3B" w:rsidR="00394F61">
        <w:t>.</w:t>
      </w:r>
    </w:p>
    <w:p w:rsidR="001C7122" w:rsidRPr="00990D3B" w:rsidP="00FB7CAF" w14:paraId="0F257D7F" w14:textId="476B89A0">
      <w:pPr>
        <w:pStyle w:val="EQRBulletBLUE"/>
      </w:pPr>
      <w:r w:rsidRPr="00990D3B">
        <w:t>Distinguish error “tiers” (e.g., critical, serious, moderate), which may permit use of encounter data that may be incom</w:t>
      </w:r>
      <w:r w:rsidRPr="00990D3B" w:rsidR="009E6CDB">
        <w:t>plete or have some inaccuracies</w:t>
      </w:r>
      <w:r w:rsidRPr="00990D3B" w:rsidR="00394F61">
        <w:t>.</w:t>
      </w:r>
    </w:p>
    <w:p w:rsidR="000E2CA4" w:rsidRPr="00990D3B" w:rsidP="00394F61" w14:paraId="5639A8FF" w14:textId="6FBDF010">
      <w:pPr>
        <w:pStyle w:val="H2"/>
      </w:pPr>
      <w:bookmarkStart w:id="596" w:name="P5A5"/>
      <w:bookmarkStart w:id="597" w:name="_Toc14777710"/>
      <w:bookmarkStart w:id="598" w:name="_Toc183005608"/>
      <w:bookmarkStart w:id="599" w:name="_Toc201751378"/>
      <w:r w:rsidRPr="00990D3B">
        <w:t>A</w:t>
      </w:r>
      <w:r w:rsidRPr="00990D3B" w:rsidR="0073737B">
        <w:t>ctivity</w:t>
      </w:r>
      <w:r w:rsidRPr="00990D3B">
        <w:t xml:space="preserve"> 5</w:t>
      </w:r>
      <w:bookmarkEnd w:id="596"/>
      <w:r w:rsidRPr="00990D3B">
        <w:t xml:space="preserve">: </w:t>
      </w:r>
      <w:bookmarkEnd w:id="597"/>
      <w:r w:rsidRPr="00990D3B" w:rsidR="009972E4">
        <w:t>Report Results to the</w:t>
      </w:r>
      <w:r w:rsidRPr="00990D3B" w:rsidR="00852CAD">
        <w:t xml:space="preserve"> State</w:t>
      </w:r>
      <w:bookmarkEnd w:id="598"/>
      <w:bookmarkEnd w:id="599"/>
      <w:r w:rsidRPr="00990D3B" w:rsidR="00852CAD">
        <w:t xml:space="preserve"> </w:t>
      </w:r>
    </w:p>
    <w:p w:rsidR="001C7122" w:rsidRPr="00990D3B" w:rsidP="00F30E13" w14:paraId="01E8B868" w14:textId="655E2B5B">
      <w:pPr>
        <w:pStyle w:val="ParagraphContinued"/>
        <w:spacing w:before="160"/>
      </w:pPr>
      <w:r w:rsidRPr="00990D3B">
        <w:rPr>
          <w:noProof/>
        </w:rPr>
        <mc:AlternateContent>
          <mc:Choice Requires="wps">
            <w:drawing>
              <wp:anchor distT="0" distB="0" distL="114300" distR="114300" simplePos="0" relativeHeight="251840512" behindDoc="0" locked="0" layoutInCell="1" allowOverlap="1">
                <wp:simplePos x="0" y="0"/>
                <wp:positionH relativeFrom="column">
                  <wp:posOffset>3777615</wp:posOffset>
                </wp:positionH>
                <wp:positionV relativeFrom="paragraph">
                  <wp:posOffset>415925</wp:posOffset>
                </wp:positionV>
                <wp:extent cx="2195195" cy="1605915"/>
                <wp:effectExtent l="19050" t="19050" r="14605" b="13970"/>
                <wp:wrapTight wrapText="bothSides">
                  <wp:wrapPolygon>
                    <wp:start x="21787" y="21856"/>
                    <wp:lineTo x="21787" y="68"/>
                    <wp:lineTo x="44" y="68"/>
                    <wp:lineTo x="44" y="21856"/>
                    <wp:lineTo x="21787" y="21856"/>
                  </wp:wrapPolygon>
                </wp:wrapTight>
                <wp:docPr id="957857036" name="Text Box 10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605915"/>
                        </a:xfrm>
                        <a:prstGeom prst="rect">
                          <a:avLst/>
                        </a:prstGeom>
                        <a:solidFill>
                          <a:srgbClr val="EEF5F8"/>
                        </a:solidFill>
                        <a:ln w="28575" cap="rnd">
                          <a:solidFill>
                            <a:srgbClr val="A5DAD9"/>
                          </a:solidFill>
                          <a:prstDash val="solid"/>
                          <a:miter lim="800000"/>
                          <a:headEnd/>
                          <a:tailEnd/>
                        </a:ln>
                      </wps:spPr>
                      <wps:txbx>
                        <w:txbxContent>
                          <w:p w:rsidR="00ED33C3" w:rsidP="00E260E1" w14:textId="14F4970F">
                            <w:pPr>
                              <w:pStyle w:val="EQRTextboxheading"/>
                            </w:pPr>
                            <w:r w:rsidRPr="006F4774">
                              <w:t xml:space="preserve">Resource for Activity </w:t>
                            </w:r>
                            <w:r>
                              <w:t>5</w:t>
                            </w:r>
                          </w:p>
                          <w:p w:rsidR="00ED33C3" w:rsidRPr="00E260E1" w:rsidP="00E260E1" w14:textId="04B960B1">
                            <w:pPr>
                              <w:pStyle w:val="EQRTextboxbody"/>
                            </w:pPr>
                            <w:hyperlink w:anchor="WSp5n07" w:tooltip="Worksheet 5.7. Suggested Format for Reporting Encounter Data Validation Information in the EQR Technical Report" w:history="1">
                              <w:r w:rsidRPr="00E673C6">
                                <w:rPr>
                                  <w:rStyle w:val="Hyperlink"/>
                                </w:rPr>
                                <w:t>Worksheet 5.7. Suggested Format for Reporting Encounter Data Validation Information in the EQR Technical Report</w:t>
                              </w:r>
                            </w:hyperlink>
                          </w:p>
                          <w:p w:rsidR="00ED33C3" w:rsidRPr="0090682E" w:rsidP="00E260E1" w14:textId="5E031031">
                            <w:pPr>
                              <w:pStyle w:val="EQRTextboxbullet"/>
                              <w:rPr>
                                <w:spacing w:val="-2"/>
                              </w:rPr>
                            </w:pPr>
                            <w:r w:rsidRPr="00E260E1">
                              <w:t>Provides a template for reporting results from the encounter data validation activity in the EQR technical report</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0" o:spid="_x0000_s1177" type="#_x0000_t202" style="width:172.85pt;height:126.45pt;margin-top:32.75pt;margin-left:297.45pt;flip:y;mso-height-percent:0;mso-height-relative:page;mso-width-percent:0;mso-width-relative:page;mso-wrap-distance-bottom:0;mso-wrap-distance-left:9pt;mso-wrap-distance-right:9pt;mso-wrap-distance-top:0;mso-wrap-style:square;position:absolute;rotation:180;visibility:visible;v-text-anchor:top;z-index:251841536" fillcolor="#eef5f8" strokecolor="#a5dad9" strokeweight="2.25pt">
                <v:stroke endcap="round"/>
                <v:textbox style="mso-fit-shape-to-text:t" inset="8.64pt,,8.64pt">
                  <w:txbxContent>
                    <w:p w:rsidR="00ED33C3" w:rsidP="00E260E1" w14:paraId="62D35B1F" w14:textId="14F4970F">
                      <w:pPr>
                        <w:pStyle w:val="EQRTextboxheading"/>
                      </w:pPr>
                      <w:r w:rsidRPr="006F4774">
                        <w:t xml:space="preserve">Resource for Activity </w:t>
                      </w:r>
                      <w:r>
                        <w:t>5</w:t>
                      </w:r>
                    </w:p>
                    <w:p w:rsidR="00ED33C3" w:rsidRPr="00E260E1" w:rsidP="00E260E1" w14:paraId="73D8C4CE" w14:textId="04B960B1">
                      <w:pPr>
                        <w:pStyle w:val="EQRTextboxbody"/>
                      </w:pPr>
                      <w:hyperlink w:anchor="WSp5n07" w:tooltip="Worksheet 5.7. Suggested Format for Reporting Encounter Data Validation Information in the EQR Technical Report" w:history="1">
                        <w:r w:rsidRPr="00E673C6">
                          <w:rPr>
                            <w:rStyle w:val="Hyperlink"/>
                          </w:rPr>
                          <w:t>Worksheet 5.7. Suggested Format for Reporting Encounter Data Validation Information in the EQR Technical Report</w:t>
                        </w:r>
                      </w:hyperlink>
                    </w:p>
                    <w:p w:rsidR="00ED33C3" w:rsidRPr="0090682E" w:rsidP="00E260E1" w14:paraId="1110E57D" w14:textId="5E031031">
                      <w:pPr>
                        <w:pStyle w:val="EQRTextboxbullet"/>
                        <w:rPr>
                          <w:spacing w:val="-2"/>
                        </w:rPr>
                      </w:pPr>
                      <w:r w:rsidRPr="00E260E1">
                        <w:t>Provides a template for reporting results from the encounter data validation activity in the EQR technical report</w:t>
                      </w:r>
                    </w:p>
                  </w:txbxContent>
                </v:textbox>
                <w10:wrap type="tight"/>
              </v:shape>
            </w:pict>
          </mc:Fallback>
        </mc:AlternateContent>
      </w:r>
      <w:r w:rsidRPr="00990D3B">
        <w:rPr>
          <w:noProof/>
        </w:rPr>
        <mc:AlternateContent>
          <mc:Choice Requires="wps">
            <w:drawing>
              <wp:anchor distT="0" distB="0" distL="114300" distR="114300" simplePos="0" relativeHeight="251838464" behindDoc="0" locked="0" layoutInCell="1" allowOverlap="1">
                <wp:simplePos x="0" y="0"/>
                <wp:positionH relativeFrom="column">
                  <wp:posOffset>3778250</wp:posOffset>
                </wp:positionH>
                <wp:positionV relativeFrom="paragraph">
                  <wp:posOffset>50849</wp:posOffset>
                </wp:positionV>
                <wp:extent cx="2194560" cy="297815"/>
                <wp:effectExtent l="19050" t="19050" r="15240" b="26670"/>
                <wp:wrapTight wrapText="bothSides">
                  <wp:wrapPolygon>
                    <wp:start x="21788" y="22985"/>
                    <wp:lineTo x="21788" y="-554"/>
                    <wp:lineTo x="38" y="-554"/>
                    <wp:lineTo x="38" y="22985"/>
                    <wp:lineTo x="21788" y="22985"/>
                  </wp:wrapPolygon>
                </wp:wrapTight>
                <wp:docPr id="771407077" name="Text Box 10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97815"/>
                        </a:xfrm>
                        <a:prstGeom prst="rect">
                          <a:avLst/>
                        </a:prstGeom>
                        <a:solidFill>
                          <a:srgbClr val="EEF5F8"/>
                        </a:solidFill>
                        <a:ln w="28575" cap="rnd">
                          <a:solidFill>
                            <a:srgbClr val="A5DAD9"/>
                          </a:solidFill>
                          <a:prstDash val="solid"/>
                          <a:miter lim="800000"/>
                          <a:headEnd/>
                          <a:tailEnd/>
                        </a:ln>
                      </wps:spPr>
                      <wps:txbx>
                        <w:txbxContent>
                          <w:p w:rsidR="00ED33C3" w:rsidRPr="0090682E" w:rsidP="00E260E1" w14:textId="036F0768">
                            <w:pPr>
                              <w:pStyle w:val="EQRWORKSHEETText"/>
                              <w:rPr>
                                <w:spacing w:val="-2"/>
                              </w:rPr>
                            </w:pPr>
                            <w:hyperlink w:anchor="WSp5n07" w:tooltip="WORKSHEET 5.7" w:history="1">
                              <w:r>
                                <w:rPr>
                                  <w:rStyle w:val="Hyperlink"/>
                                  <w:color w:val="006981"/>
                                </w:rPr>
                                <w:t>WORKSHEET 5.7</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1" o:spid="_x0000_s1178" type="#_x0000_t202" style="width:172.8pt;height:23.45pt;margin-top:4pt;margin-left:297.5pt;flip:y;mso-height-percent:0;mso-height-relative:page;mso-width-percent:0;mso-width-relative:page;mso-wrap-distance-bottom:0;mso-wrap-distance-left:9pt;mso-wrap-distance-right:9pt;mso-wrap-distance-top:0;mso-wrap-style:square;position:absolute;rotation:180;visibility:visible;v-text-anchor:top;z-index:251839488" fillcolor="#eef5f8" strokecolor="#a5dad9" strokeweight="2.25pt">
                <v:stroke endcap="round"/>
                <v:textbox style="mso-fit-shape-to-text:t" inset="8.64pt,,8.64pt">
                  <w:txbxContent>
                    <w:p w:rsidR="00ED33C3" w:rsidRPr="0090682E" w:rsidP="00E260E1" w14:paraId="5DFFCE12" w14:textId="036F0768">
                      <w:pPr>
                        <w:pStyle w:val="EQRWORKSHEETText"/>
                        <w:rPr>
                          <w:spacing w:val="-2"/>
                        </w:rPr>
                      </w:pPr>
                      <w:hyperlink w:anchor="WSp5n07" w:tooltip="WORKSHEET 5.7" w:history="1">
                        <w:r>
                          <w:rPr>
                            <w:rStyle w:val="Hyperlink"/>
                            <w:color w:val="006981"/>
                          </w:rPr>
                          <w:t>WORKSHEET 5.7</w:t>
                        </w:r>
                      </w:hyperlink>
                    </w:p>
                  </w:txbxContent>
                </v:textbox>
                <w10:wrap type="tight"/>
              </v:shape>
            </w:pict>
          </mc:Fallback>
        </mc:AlternateContent>
      </w:r>
      <w:r w:rsidRPr="00990D3B" w:rsidR="001C7122">
        <w:t xml:space="preserve">After the completion of </w:t>
      </w:r>
      <w:hyperlink w:anchor="P5A1" w:tooltip="Activities 1" w:history="1">
        <w:r w:rsidRPr="00990D3B" w:rsidR="001C7122">
          <w:rPr>
            <w:rStyle w:val="Hyperlink"/>
            <w:color w:val="auto"/>
          </w:rPr>
          <w:t>Activities 1</w:t>
        </w:r>
      </w:hyperlink>
      <w:r w:rsidRPr="00990D3B" w:rsidR="001C7122">
        <w:t xml:space="preserve"> through </w:t>
      </w:r>
      <w:hyperlink w:anchor="P5A4" w:tooltip="4" w:history="1">
        <w:r w:rsidRPr="00990D3B" w:rsidR="001C7122">
          <w:rPr>
            <w:rStyle w:val="Hyperlink"/>
            <w:color w:val="auto"/>
          </w:rPr>
          <w:t>4</w:t>
        </w:r>
      </w:hyperlink>
      <w:r w:rsidRPr="00990D3B" w:rsidR="001C7122">
        <w:t>, the EQRO should create data tables that display summary statistics for the information obtained from each MCP. Summarizing the information in tables makes it easier to evaluate the findings and highlight patterns in the accuracy and completeness of the data. The EQRO should draft a narrative to accompany the tables, highlighting individual MCP issues and providing recommendations to each MCP and the state about improving the quality of the encounter</w:t>
      </w:r>
      <w:r w:rsidRPr="00990D3B" w:rsidR="00511EE9">
        <w:t> </w:t>
      </w:r>
      <w:r w:rsidRPr="00990D3B" w:rsidR="001C7122">
        <w:t xml:space="preserve">data. </w:t>
      </w:r>
    </w:p>
    <w:p w:rsidR="001C7122" w:rsidRPr="00990D3B" w:rsidP="00F30E13" w14:paraId="57F725FA" w14:textId="4EEE9241">
      <w:pPr>
        <w:pStyle w:val="Paragraph0"/>
        <w:spacing w:after="160"/>
      </w:pPr>
      <w:r w:rsidRPr="00990D3B">
        <w:t xml:space="preserve">In its findings and recommendations, the EQRO should assess the MCP’s ability to provide the state with encounter data that meets the quality standards for submission to the state for use in T-MSIS. </w:t>
      </w:r>
      <w:r w:rsidRPr="00990D3B">
        <w:t>The EQRO</w:t>
      </w:r>
      <w:r w:rsidRPr="00990D3B">
        <w:t xml:space="preserve"> should also assess the MCP’s ability to produce reliable and valid performance measures as specified in the </w:t>
      </w:r>
      <w:r w:rsidRPr="00990D3B" w:rsidR="003149FF">
        <w:t>managed care q</w:t>
      </w:r>
      <w:r w:rsidRPr="00990D3B">
        <w:t xml:space="preserve">uality </w:t>
      </w:r>
      <w:r w:rsidRPr="00990D3B" w:rsidR="003149FF">
        <w:t>s</w:t>
      </w:r>
      <w:r w:rsidRPr="00990D3B">
        <w:t xml:space="preserve">trategy. </w:t>
      </w:r>
    </w:p>
    <w:p w:rsidR="00262DFE" w:rsidRPr="00990D3B" w:rsidP="002F429C" w14:paraId="48EF610A" w14:textId="1A0E2D96">
      <w:pPr>
        <w:pStyle w:val="Paragraph0"/>
        <w:jc w:val="center"/>
      </w:pPr>
      <w:r w:rsidRPr="00990D3B">
        <w:t>END OF PROTOCOL 5</w:t>
      </w:r>
    </w:p>
    <w:p w:rsidR="000E2CA4" w:rsidRPr="00990D3B" w:rsidP="004E5005" w14:paraId="168A9614" w14:textId="77777777">
      <w:pPr>
        <w:pStyle w:val="Paragraph0"/>
        <w:sectPr w:rsidSect="00A65C6B">
          <w:footerReference w:type="even" r:id="rId170"/>
          <w:footerReference w:type="default" r:id="rId171"/>
          <w:headerReference w:type="first" r:id="rId172"/>
          <w:footerReference w:type="first" r:id="rId173"/>
          <w:pgSz w:w="12240" w:h="15840" w:code="1"/>
          <w:pgMar w:top="1440" w:right="1440" w:bottom="1440" w:left="1440" w:header="720" w:footer="720" w:gutter="0"/>
          <w:cols w:space="720"/>
          <w:titlePg/>
          <w:docGrid w:linePitch="360"/>
        </w:sectPr>
      </w:pPr>
    </w:p>
    <w:p w:rsidR="009B6AF6" w:rsidRPr="00990D3B" w:rsidP="00F6228C" w14:paraId="18E11A7F" w14:textId="2C805B93">
      <w:pPr>
        <w:pStyle w:val="H2"/>
      </w:pPr>
      <w:bookmarkStart w:id="600" w:name="WSp5"/>
      <w:bookmarkStart w:id="601" w:name="_Toc14777711"/>
      <w:bookmarkStart w:id="602" w:name="_Toc183005609"/>
      <w:bookmarkStart w:id="603" w:name="_Toc201751379"/>
      <w:r w:rsidRPr="00990D3B">
        <w:t>Worksheets for Protocol 5</w:t>
      </w:r>
      <w:bookmarkEnd w:id="600"/>
      <w:r w:rsidRPr="00990D3B">
        <w:t>:</w:t>
      </w:r>
      <w:r w:rsidRPr="00990D3B" w:rsidR="00F6228C">
        <w:t xml:space="preserve"> </w:t>
      </w:r>
      <w:r w:rsidRPr="00990D3B">
        <w:t>Encounter Data Tables</w:t>
      </w:r>
      <w:bookmarkEnd w:id="601"/>
      <w:bookmarkEnd w:id="602"/>
      <w:bookmarkEnd w:id="603"/>
    </w:p>
    <w:p w:rsidR="009B6AF6" w:rsidRPr="00990D3B" w:rsidP="00E82888" w14:paraId="0EC22C91" w14:textId="03A38C82">
      <w:pPr>
        <w:pStyle w:val="EQRNormalSSWORKSHEET"/>
      </w:pPr>
      <w:r w:rsidRPr="00990D3B">
        <w:rPr>
          <w:b/>
        </w:rPr>
        <w:t>Instructions.</w:t>
      </w:r>
      <w:r w:rsidRPr="00990D3B">
        <w:t xml:space="preserve"> Use these or similar worksheets as a guide when validating encounter data. </w:t>
      </w:r>
      <w:r w:rsidRPr="00990D3B" w:rsidR="00A37EE8">
        <w:t>W</w:t>
      </w:r>
      <w:r w:rsidRPr="00990D3B">
        <w:t xml:space="preserve">orksheets 5.1 through 5.4 are intended to help document acceptable error rates and data element validity requirements, findings from the review of individual encounter records, and comparison of findings to state-identified benchmarks. </w:t>
      </w:r>
      <w:hyperlink w:anchor="WSp5n05" w:tooltip="Worksheet 5.5" w:history="1">
        <w:r w:rsidRPr="00990D3B">
          <w:rPr>
            <w:rStyle w:val="Hyperlink"/>
            <w:color w:val="auto"/>
          </w:rPr>
          <w:t>Worksheet 5.5</w:t>
        </w:r>
      </w:hyperlink>
      <w:r w:rsidRPr="00990D3B">
        <w:t xml:space="preserve">. Medical Record Review for Encounter Data Validation is intended to help record results from the EQRO’s validation of medical records. </w:t>
      </w:r>
      <w:hyperlink w:anchor="WSp5n06" w:tooltip="Worksheet 5.6." w:history="1">
        <w:r w:rsidRPr="00990D3B">
          <w:rPr>
            <w:rStyle w:val="Hyperlink"/>
            <w:color w:val="auto"/>
          </w:rPr>
          <w:t>Worksheet 5.6</w:t>
        </w:r>
      </w:hyperlink>
      <w:r w:rsidRPr="00990D3B" w:rsidR="00FE60B8">
        <w:t xml:space="preserve">. </w:t>
      </w:r>
      <w:r w:rsidRPr="00990D3B">
        <w:t xml:space="preserve">Medical Record Review Results Summary Sheet </w:t>
      </w:r>
      <w:r w:rsidRPr="00990D3B">
        <w:rPr>
          <w:szCs w:val="22"/>
        </w:rPr>
        <w:t>summarizes the results of the medical record review, including the error rate and reasons for errors.</w:t>
      </w:r>
    </w:p>
    <w:tbl>
      <w:tblPr>
        <w:tblStyle w:val="TableGrid"/>
        <w:tblW w:w="5000" w:type="pct"/>
        <w:tblLook w:val="04A0"/>
      </w:tblPr>
      <w:tblGrid>
        <w:gridCol w:w="4733"/>
        <w:gridCol w:w="4617"/>
      </w:tblGrid>
      <w:tr w14:paraId="19D564D5" w14:textId="77777777" w:rsidTr="00E82888">
        <w:tblPrEx>
          <w:tblW w:w="5000" w:type="pct"/>
          <w:tblLook w:val="04A0"/>
        </w:tblPrEx>
        <w:trPr>
          <w:cantSplit/>
        </w:trPr>
        <w:tc>
          <w:tcPr>
            <w:tcW w:w="6907" w:type="dxa"/>
          </w:tcPr>
          <w:p w:rsidR="009B6AF6" w:rsidRPr="00990D3B" w:rsidP="00E82888" w14:paraId="4A347384" w14:textId="505EA37C">
            <w:pPr>
              <w:pStyle w:val="EQRTableHeaderLeft"/>
              <w:rPr>
                <w:color w:val="auto"/>
              </w:rPr>
            </w:pPr>
            <w:r w:rsidRPr="00990D3B">
              <w:rPr>
                <w:color w:val="auto"/>
              </w:rPr>
              <w:t xml:space="preserve">Worksheet </w:t>
            </w:r>
            <w:r w:rsidRPr="00990D3B" w:rsidR="00E85662">
              <w:rPr>
                <w:color w:val="auto"/>
              </w:rPr>
              <w:t>N</w:t>
            </w:r>
            <w:r w:rsidRPr="00990D3B">
              <w:rPr>
                <w:color w:val="auto"/>
              </w:rPr>
              <w:t>ame</w:t>
            </w:r>
          </w:p>
        </w:tc>
        <w:tc>
          <w:tcPr>
            <w:tcW w:w="6907" w:type="dxa"/>
          </w:tcPr>
          <w:p w:rsidR="009B6AF6" w:rsidRPr="00990D3B" w:rsidP="00E82888" w14:paraId="59407BAC" w14:textId="3844A819">
            <w:pPr>
              <w:pStyle w:val="EQRTableHeaderCenter"/>
              <w:rPr>
                <w:color w:val="auto"/>
              </w:rPr>
            </w:pPr>
            <w:r w:rsidRPr="00990D3B">
              <w:rPr>
                <w:color w:val="auto"/>
              </w:rPr>
              <w:t xml:space="preserve">Protocol </w:t>
            </w:r>
            <w:r w:rsidRPr="00990D3B" w:rsidR="00E85662">
              <w:rPr>
                <w:color w:val="auto"/>
              </w:rPr>
              <w:t>A</w:t>
            </w:r>
            <w:r w:rsidRPr="00990D3B">
              <w:rPr>
                <w:color w:val="auto"/>
              </w:rPr>
              <w:t xml:space="preserve">ctivity and </w:t>
            </w:r>
            <w:r w:rsidRPr="00990D3B" w:rsidR="00E85662">
              <w:rPr>
                <w:color w:val="auto"/>
              </w:rPr>
              <w:t>S</w:t>
            </w:r>
            <w:r w:rsidRPr="00990D3B">
              <w:rPr>
                <w:color w:val="auto"/>
              </w:rPr>
              <w:t>tep</w:t>
            </w:r>
          </w:p>
        </w:tc>
      </w:tr>
      <w:tr w14:paraId="5495E95C" w14:textId="77777777" w:rsidTr="004F2FE0">
        <w:tblPrEx>
          <w:tblW w:w="5000" w:type="pct"/>
          <w:tblLook w:val="04A0"/>
        </w:tblPrEx>
        <w:trPr>
          <w:cantSplit/>
        </w:trPr>
        <w:tc>
          <w:tcPr>
            <w:tcW w:w="6907" w:type="dxa"/>
          </w:tcPr>
          <w:p w:rsidR="009B6AF6" w:rsidRPr="00990D3B" w:rsidP="004F2FE0" w14:paraId="2A89EFB6" w14:textId="72756615">
            <w:pPr>
              <w:pStyle w:val="EQRTableText"/>
            </w:pPr>
            <w:hyperlink w:anchor="WSp5n01" w:tooltip="Worksheet 5.1. Specification of Acceptable Error Rates and Identified Areas of Concern" w:history="1">
              <w:r w:rsidRPr="00990D3B">
                <w:rPr>
                  <w:rStyle w:val="Hyperlink"/>
                </w:rPr>
                <w:t>Worksheet 5.1. Specification of Acceptable Error Rates and Identified Areas of Concern</w:t>
              </w:r>
            </w:hyperlink>
          </w:p>
          <w:p w:rsidR="009B6AF6" w:rsidRPr="00990D3B" w:rsidP="004F2FE0" w14:paraId="08BDD2AA" w14:textId="6F2C350C">
            <w:pPr>
              <w:pStyle w:val="EQRTableText"/>
            </w:pPr>
            <w:hyperlink w:anchor="WSp5n02" w:tooltip="Worksheet 5.2. Data Element Validity Requirements" w:history="1">
              <w:r w:rsidRPr="00990D3B">
                <w:rPr>
                  <w:rStyle w:val="Hyperlink"/>
                </w:rPr>
                <w:t>Worksheet 5.2. Data Element Validity Requirements</w:t>
              </w:r>
            </w:hyperlink>
            <w:r w:rsidRPr="00990D3B">
              <w:t xml:space="preserve"> </w:t>
            </w:r>
          </w:p>
        </w:tc>
        <w:tc>
          <w:tcPr>
            <w:tcW w:w="6907" w:type="dxa"/>
          </w:tcPr>
          <w:p w:rsidR="009B6AF6" w:rsidRPr="00990D3B" w:rsidP="004F2FE0" w14:paraId="75478A6A" w14:textId="4D612DD7">
            <w:pPr>
              <w:pStyle w:val="EQRTableText"/>
            </w:pPr>
            <w:hyperlink w:anchor="P5A1" w:tooltip="Activity 1. Step 1. Review the MCPs’ ISCA" w:history="1">
              <w:r w:rsidRPr="00990D3B">
                <w:rPr>
                  <w:rStyle w:val="Hyperlink"/>
                </w:rPr>
                <w:t xml:space="preserve">Activity 1. Step 1. </w:t>
              </w:r>
              <w:r w:rsidRPr="00990D3B">
                <w:rPr>
                  <w:rStyle w:val="Hyperlink"/>
                </w:rPr>
                <w:t>Review</w:t>
              </w:r>
              <w:r w:rsidRPr="00990D3B">
                <w:rPr>
                  <w:rStyle w:val="Hyperlink"/>
                </w:rPr>
                <w:t xml:space="preserve"> the MCP</w:t>
              </w:r>
              <w:r w:rsidRPr="00990D3B" w:rsidR="00495E09">
                <w:rPr>
                  <w:rStyle w:val="Hyperlink"/>
                </w:rPr>
                <w:t>’</w:t>
              </w:r>
              <w:r w:rsidRPr="00990D3B">
                <w:rPr>
                  <w:rStyle w:val="Hyperlink"/>
                </w:rPr>
                <w:t>s ISCA</w:t>
              </w:r>
            </w:hyperlink>
          </w:p>
        </w:tc>
      </w:tr>
      <w:tr w14:paraId="14DC4363" w14:textId="77777777" w:rsidTr="004F2FE0">
        <w:tblPrEx>
          <w:tblW w:w="5000" w:type="pct"/>
          <w:tblLook w:val="04A0"/>
        </w:tblPrEx>
        <w:trPr>
          <w:cantSplit/>
        </w:trPr>
        <w:tc>
          <w:tcPr>
            <w:tcW w:w="6907" w:type="dxa"/>
          </w:tcPr>
          <w:p w:rsidR="00337955" w:rsidRPr="00990D3B" w:rsidP="00337955" w14:paraId="65E2EABE" w14:textId="1C66756D">
            <w:pPr>
              <w:pStyle w:val="EQRTableText"/>
            </w:pPr>
            <w:hyperlink w:anchor="WSp5n01" w:tooltip="Worksheet 5.1. Specification of Acceptable Error Rates and Identified Areas of Concern" w:history="1">
              <w:r w:rsidRPr="00990D3B">
                <w:rPr>
                  <w:rStyle w:val="Hyperlink"/>
                </w:rPr>
                <w:t>Worksheet 5.1. Specification of Acceptable Error Rates and Identified Areas of Concern</w:t>
              </w:r>
            </w:hyperlink>
          </w:p>
          <w:p w:rsidR="009B6AF6" w:rsidRPr="00990D3B" w:rsidP="004F2FE0" w14:paraId="5883636C" w14:textId="5E0D7628">
            <w:pPr>
              <w:pStyle w:val="EQRTableText"/>
            </w:pPr>
            <w:hyperlink w:anchor="WSB1" w:tooltip="ISCA Worksheet B.1. ISCA Tool" w:history="1">
              <w:r w:rsidRPr="00990D3B">
                <w:rPr>
                  <w:rStyle w:val="Hyperlink"/>
                </w:rPr>
                <w:t xml:space="preserve">ISCA Worksheet </w:t>
              </w:r>
              <w:r w:rsidRPr="00990D3B" w:rsidR="00A15459">
                <w:rPr>
                  <w:rStyle w:val="Hyperlink"/>
                </w:rPr>
                <w:t>B</w:t>
              </w:r>
              <w:r w:rsidRPr="00990D3B">
                <w:rPr>
                  <w:rStyle w:val="Hyperlink"/>
                </w:rPr>
                <w:t>.1. ISCA Tool</w:t>
              </w:r>
            </w:hyperlink>
          </w:p>
          <w:p w:rsidR="009B6AF6" w:rsidRPr="00990D3B" w:rsidP="004F2FE0" w14:paraId="4389FCED" w14:textId="7D99E746">
            <w:pPr>
              <w:pStyle w:val="EQRTableText"/>
            </w:pPr>
            <w:hyperlink w:anchor="WSB2" w:tooltip="ISCA Worksheet B.2. ISCA Worksheet &amp; Interview Guide" w:history="1">
              <w:r w:rsidRPr="00990D3B">
                <w:rPr>
                  <w:rStyle w:val="Hyperlink"/>
                </w:rPr>
                <w:t xml:space="preserve">ISCA Worksheet </w:t>
              </w:r>
              <w:r w:rsidRPr="00990D3B" w:rsidR="00A15459">
                <w:rPr>
                  <w:rStyle w:val="Hyperlink"/>
                </w:rPr>
                <w:t>B</w:t>
              </w:r>
              <w:r w:rsidRPr="00990D3B">
                <w:rPr>
                  <w:rStyle w:val="Hyperlink"/>
                </w:rPr>
                <w:t>.2. ISCA Worksheet &amp; Interview Guide</w:t>
              </w:r>
            </w:hyperlink>
          </w:p>
        </w:tc>
        <w:tc>
          <w:tcPr>
            <w:tcW w:w="6907" w:type="dxa"/>
          </w:tcPr>
          <w:p w:rsidR="009B6AF6" w:rsidRPr="00990D3B" w:rsidP="004F2FE0" w14:paraId="1FB8F002" w14:textId="79B17F58">
            <w:pPr>
              <w:pStyle w:val="EQRTableText"/>
            </w:pPr>
            <w:hyperlink w:anchor="P5Act2Step1" w:tooltip="Activity 2. Step 1. Review the MCP’s Capability" w:history="1">
              <w:r w:rsidRPr="00990D3B">
                <w:rPr>
                  <w:rStyle w:val="Hyperlink"/>
                </w:rPr>
                <w:t xml:space="preserve">Activity 2. Step 1. </w:t>
              </w:r>
              <w:r w:rsidRPr="00990D3B">
                <w:rPr>
                  <w:rStyle w:val="Hyperlink"/>
                </w:rPr>
                <w:t>Review</w:t>
              </w:r>
              <w:r w:rsidRPr="00990D3B">
                <w:rPr>
                  <w:rStyle w:val="Hyperlink"/>
                </w:rPr>
                <w:t xml:space="preserve"> the MCP’s Capability</w:t>
              </w:r>
            </w:hyperlink>
          </w:p>
        </w:tc>
      </w:tr>
      <w:tr w14:paraId="60D3F39D" w14:textId="77777777" w:rsidTr="004F2FE0">
        <w:tblPrEx>
          <w:tblW w:w="5000" w:type="pct"/>
          <w:tblLook w:val="04A0"/>
        </w:tblPrEx>
        <w:trPr>
          <w:cantSplit/>
        </w:trPr>
        <w:tc>
          <w:tcPr>
            <w:tcW w:w="6907" w:type="dxa"/>
          </w:tcPr>
          <w:p w:rsidR="009B6AF6" w:rsidRPr="00990D3B" w:rsidP="004F2FE0" w14:paraId="6111EB74" w14:textId="3C7CD806">
            <w:pPr>
              <w:pStyle w:val="EQRTableText"/>
            </w:pPr>
            <w:hyperlink w:anchor="WSp5n03" w:tooltip="Worksheet 5.3 Evaluation of Submitted Fields" w:history="1">
              <w:r w:rsidRPr="00990D3B">
                <w:rPr>
                  <w:rStyle w:val="Hyperlink"/>
                </w:rPr>
                <w:t>Worksheet 5.3 Evaluation of Submitted Fields</w:t>
              </w:r>
            </w:hyperlink>
          </w:p>
          <w:p w:rsidR="009B6AF6" w:rsidRPr="00990D3B" w:rsidP="004F2FE0" w14:paraId="0782ADB7" w14:textId="3B126F16">
            <w:pPr>
              <w:pStyle w:val="EQRTableText"/>
            </w:pPr>
            <w:hyperlink w:anchor="WSp5n04" w:tooltip="Worksheet 5.4. Benchmark Utilization Rates" w:history="1">
              <w:r w:rsidRPr="00990D3B">
                <w:rPr>
                  <w:rStyle w:val="Hyperlink"/>
                </w:rPr>
                <w:t>Worksheet 5.4. Benchmark Utilization Rates</w:t>
              </w:r>
            </w:hyperlink>
          </w:p>
        </w:tc>
        <w:tc>
          <w:tcPr>
            <w:tcW w:w="6907" w:type="dxa"/>
          </w:tcPr>
          <w:p w:rsidR="009B6AF6" w:rsidRPr="00990D3B" w:rsidP="004F2FE0" w14:paraId="3B4F0086" w14:textId="4BBDE6B8">
            <w:pPr>
              <w:pStyle w:val="EQRTableText"/>
            </w:pPr>
            <w:hyperlink w:anchor="P5A3" w:tooltip="Activity 3. Analyze Electronic Encounter Data" w:history="1">
              <w:r w:rsidRPr="00990D3B">
                <w:rPr>
                  <w:rStyle w:val="Hyperlink"/>
                </w:rPr>
                <w:t>Activity 3. Analyze Electronic Encounter Data</w:t>
              </w:r>
            </w:hyperlink>
          </w:p>
        </w:tc>
      </w:tr>
      <w:tr w14:paraId="402AC15F" w14:textId="77777777" w:rsidTr="004F2FE0">
        <w:tblPrEx>
          <w:tblW w:w="5000" w:type="pct"/>
          <w:tblLook w:val="04A0"/>
        </w:tblPrEx>
        <w:trPr>
          <w:cantSplit/>
        </w:trPr>
        <w:tc>
          <w:tcPr>
            <w:tcW w:w="6907" w:type="dxa"/>
          </w:tcPr>
          <w:p w:rsidR="009B6AF6" w:rsidRPr="00990D3B" w:rsidP="00DF0965" w14:paraId="3E35AD32" w14:textId="59FBDCAC">
            <w:pPr>
              <w:pStyle w:val="EQRTableText"/>
            </w:pPr>
            <w:hyperlink w:anchor="WSp5n05" w:tooltip="Worksheet 5.5. Medical Record Review for Encounter Data Validation" w:history="1">
              <w:r w:rsidRPr="00990D3B">
                <w:rPr>
                  <w:rStyle w:val="Hyperlink"/>
                </w:rPr>
                <w:t>Worksheet 5.5.</w:t>
              </w:r>
              <w:r w:rsidRPr="00990D3B">
                <w:rPr>
                  <w:rStyle w:val="Hyperlink"/>
                  <w:rFonts w:ascii="Times New Roman" w:hAnsi="Times New Roman"/>
                  <w:sz w:val="24"/>
                </w:rPr>
                <w:t xml:space="preserve"> </w:t>
              </w:r>
              <w:r w:rsidRPr="00990D3B">
                <w:rPr>
                  <w:rStyle w:val="Hyperlink"/>
                </w:rPr>
                <w:t>Medical Record Review for Encounter Data Validation</w:t>
              </w:r>
            </w:hyperlink>
          </w:p>
          <w:p w:rsidR="009B6AF6" w:rsidRPr="00990D3B" w:rsidP="00DF0965" w14:paraId="2C4224DE" w14:textId="2DDD22FF">
            <w:pPr>
              <w:pStyle w:val="EQRTableText"/>
            </w:pPr>
            <w:hyperlink w:anchor="WSp5n06" w:tooltip="Worksheet 5.6. Medical Record Review Summary Sheet" w:history="1">
              <w:r w:rsidRPr="00990D3B">
                <w:rPr>
                  <w:rStyle w:val="Hyperlink"/>
                </w:rPr>
                <w:t>Worksheet 5.6. Medical Record Review Summary Sheet</w:t>
              </w:r>
            </w:hyperlink>
          </w:p>
        </w:tc>
        <w:tc>
          <w:tcPr>
            <w:tcW w:w="6907" w:type="dxa"/>
          </w:tcPr>
          <w:p w:rsidR="009B6AF6" w:rsidRPr="00990D3B" w:rsidP="004F2FE0" w14:paraId="008D19FD" w14:textId="2BBA985F">
            <w:pPr>
              <w:pStyle w:val="EQRTableText"/>
            </w:pPr>
            <w:hyperlink w:anchor="P5A4" w:tooltip="Activity 4. Step 1. Obtain and Review Medical Records and Document Findings" w:history="1">
              <w:r w:rsidRPr="00990D3B">
                <w:rPr>
                  <w:rStyle w:val="Hyperlink"/>
                </w:rPr>
                <w:t>Activity 4. Step 1. Obtain and Review Medical Records and Document Findings</w:t>
              </w:r>
            </w:hyperlink>
          </w:p>
        </w:tc>
      </w:tr>
      <w:tr w14:paraId="334F844D" w14:textId="77777777" w:rsidTr="004F2FE0">
        <w:tblPrEx>
          <w:tblW w:w="5000" w:type="pct"/>
          <w:tblLook w:val="04A0"/>
        </w:tblPrEx>
        <w:trPr>
          <w:cantSplit/>
        </w:trPr>
        <w:tc>
          <w:tcPr>
            <w:tcW w:w="6907" w:type="dxa"/>
          </w:tcPr>
          <w:p w:rsidR="009B6AF6" w:rsidRPr="00990D3B" w:rsidP="00DF0965" w14:paraId="434937C6" w14:textId="0B27F076">
            <w:pPr>
              <w:pStyle w:val="EQRTableText"/>
            </w:pPr>
            <w:hyperlink w:anchor="WSp5n07" w:tooltip="Worksheet 5.7. Suggested Format for Reporting Encounter Data Validation Information in the EQR Technical Repor" w:history="1">
              <w:r w:rsidRPr="00990D3B">
                <w:rPr>
                  <w:rStyle w:val="Hyperlink"/>
                </w:rPr>
                <w:t>Worksheet 5.7. Suggested Format for Reporting Encounter Data Validation Information in the EQR Technical Report</w:t>
              </w:r>
            </w:hyperlink>
          </w:p>
        </w:tc>
        <w:tc>
          <w:tcPr>
            <w:tcW w:w="6907" w:type="dxa"/>
          </w:tcPr>
          <w:p w:rsidR="009B6AF6" w:rsidRPr="00990D3B" w:rsidP="004F2FE0" w14:paraId="6AED7933" w14:textId="4C620424">
            <w:pPr>
              <w:pStyle w:val="EQRTableText"/>
            </w:pPr>
            <w:hyperlink w:anchor="P5A5" w:tooltip="Activity 5. Submit Findings" w:history="1">
              <w:r w:rsidRPr="00990D3B">
                <w:rPr>
                  <w:rStyle w:val="Hyperlink"/>
                </w:rPr>
                <w:t>Activity 5. Submit Findings</w:t>
              </w:r>
            </w:hyperlink>
            <w:r w:rsidRPr="00990D3B" w:rsidR="00B34323">
              <w:rPr>
                <w:rStyle w:val="Hyperlink"/>
              </w:rPr>
              <w:t xml:space="preserve"> to State</w:t>
            </w:r>
          </w:p>
        </w:tc>
      </w:tr>
    </w:tbl>
    <w:p w:rsidR="009B6AF6" w:rsidRPr="00990D3B" w:rsidP="007A6F81" w14:paraId="0C9351AC" w14:textId="77777777">
      <w:pPr>
        <w:pStyle w:val="EQRNormalSSWORKSHEET"/>
      </w:pPr>
    </w:p>
    <w:p w:rsidR="009B6AF6" w:rsidRPr="00990D3B" w:rsidP="007A6F81" w14:paraId="0AB0E2D8" w14:textId="77777777">
      <w:pPr>
        <w:pStyle w:val="EQRNormalSSWORKSHEET"/>
      </w:pPr>
      <w:r w:rsidRPr="00990D3B">
        <w:br w:type="page"/>
      </w:r>
    </w:p>
    <w:p w:rsidR="009B6AF6" w:rsidRPr="00990D3B" w:rsidP="006A7AEA" w14:paraId="3EFB2427" w14:textId="77777777">
      <w:pPr>
        <w:pStyle w:val="EQRMarkforExhibitWORKSHEET"/>
      </w:pPr>
      <w:bookmarkStart w:id="604" w:name="WSp5n01"/>
      <w:bookmarkStart w:id="605" w:name="_Toc125619171"/>
      <w:bookmarkStart w:id="606" w:name="_Toc201751533"/>
      <w:r w:rsidRPr="00990D3B">
        <w:t>Worksheet 5.1</w:t>
      </w:r>
      <w:bookmarkEnd w:id="604"/>
      <w:r w:rsidRPr="00990D3B">
        <w:t>. Specification of Acceptable Error Rates and Identified Areas of Concern</w:t>
      </w:r>
      <w:bookmarkEnd w:id="605"/>
      <w:bookmarkEnd w:id="606"/>
    </w:p>
    <w:p w:rsidR="009B6AF6" w:rsidRPr="00990D3B" w:rsidP="007A6F81" w14:paraId="43A6C209" w14:textId="486CB70D">
      <w:pPr>
        <w:pStyle w:val="EQRNormalSSWORKSHEET"/>
      </w:pPr>
      <w:r w:rsidRPr="00990D3B">
        <w:rPr>
          <w:b/>
        </w:rPr>
        <w:t>Instructions.</w:t>
      </w:r>
      <w:r w:rsidRPr="00990D3B">
        <w:t xml:space="preserve"> </w:t>
      </w:r>
      <w:r w:rsidRPr="00990D3B" w:rsidR="00A37EE8">
        <w:t xml:space="preserve">For each </w:t>
      </w:r>
      <w:r w:rsidRPr="00990D3B" w:rsidR="00A37EE8">
        <w:t>service type</w:t>
      </w:r>
      <w:r w:rsidRPr="00990D3B" w:rsidR="00A37EE8">
        <w:t xml:space="preserve"> used by the state, use the table below to indicate the sta</w:t>
      </w:r>
      <w:r w:rsidRPr="00990D3B">
        <w:t xml:space="preserve">te’s requirements for reporting encounters. </w:t>
      </w:r>
      <w:r w:rsidRPr="00990D3B" w:rsidR="00A37EE8">
        <w:t>A</w:t>
      </w:r>
      <w:r w:rsidRPr="00990D3B">
        <w:t xml:space="preserve">dd rows as necessary. Definitions for this activity are as follows: </w:t>
      </w:r>
    </w:p>
    <w:p w:rsidR="009B6AF6" w:rsidRPr="00990D3B" w:rsidP="00ED0F7C" w14:paraId="6F6EB340" w14:textId="77777777">
      <w:pPr>
        <w:pStyle w:val="EQRNormalSSWSbullet"/>
      </w:pPr>
      <w:r w:rsidRPr="00990D3B">
        <w:t>Encounter Data Error Types</w:t>
      </w:r>
    </w:p>
    <w:p w:rsidR="009B6AF6" w:rsidRPr="00990D3B" w:rsidP="002D35CF" w14:paraId="04DF923E" w14:textId="5B35A408">
      <w:pPr>
        <w:pStyle w:val="EQRNormalSSWSbullet2ndlevel"/>
        <w:numPr>
          <w:ilvl w:val="1"/>
          <w:numId w:val="64"/>
        </w:numPr>
        <w:ind w:left="1080"/>
      </w:pPr>
      <w:r w:rsidRPr="00990D3B">
        <w:rPr>
          <w:b/>
        </w:rPr>
        <w:t>Missing.</w:t>
      </w:r>
      <w:r w:rsidRPr="00990D3B">
        <w:t xml:space="preserve"> A service rendered for which there is no encounter record</w:t>
      </w:r>
      <w:r w:rsidRPr="00990D3B" w:rsidR="004A622E">
        <w:t>.</w:t>
      </w:r>
    </w:p>
    <w:p w:rsidR="009B6AF6" w:rsidRPr="00990D3B" w:rsidP="00ED0F7C" w14:paraId="0FFA0EE5" w14:textId="33E2AD09">
      <w:pPr>
        <w:pStyle w:val="EQRNormalSSWSbullet2ndlevel"/>
      </w:pPr>
      <w:r w:rsidRPr="00990D3B">
        <w:rPr>
          <w:b/>
        </w:rPr>
        <w:t>Surplus.</w:t>
      </w:r>
      <w:r w:rsidRPr="00990D3B">
        <w:t xml:space="preserve"> An encounter submitted for a service that was never rendered, or which duplicates another record</w:t>
      </w:r>
      <w:r w:rsidRPr="00990D3B" w:rsidR="004A622E">
        <w:t>.</w:t>
      </w:r>
    </w:p>
    <w:p w:rsidR="009B6AF6" w:rsidRPr="00990D3B" w:rsidP="00F6228C" w14:paraId="071A2DC7" w14:textId="1A14FBDA">
      <w:pPr>
        <w:pStyle w:val="EQRNormalSSWSbullet2ndlevel"/>
      </w:pPr>
      <w:r w:rsidRPr="00990D3B">
        <w:rPr>
          <w:b/>
        </w:rPr>
        <w:t>Erroneous.</w:t>
      </w:r>
      <w:r w:rsidRPr="00990D3B">
        <w:t xml:space="preserve"> Services rendered where there is an error in the encounter record</w:t>
      </w:r>
      <w:r w:rsidRPr="00990D3B" w:rsidR="004A622E">
        <w:t>.</w:t>
      </w:r>
    </w:p>
    <w:p w:rsidR="009B6AF6" w:rsidRPr="00990D3B" w:rsidP="00EA1C3A" w14:paraId="125AE2D1" w14:textId="0A99147A">
      <w:pPr>
        <w:pStyle w:val="EQRNormalSSWSbullet"/>
      </w:pPr>
      <w:r w:rsidRPr="00990D3B">
        <w:rPr>
          <w:b/>
        </w:rPr>
        <w:t xml:space="preserve">Acceptable </w:t>
      </w:r>
      <w:r w:rsidRPr="00990D3B" w:rsidR="00A37EE8">
        <w:rPr>
          <w:b/>
        </w:rPr>
        <w:t>e</w:t>
      </w:r>
      <w:r w:rsidRPr="00990D3B">
        <w:rPr>
          <w:b/>
        </w:rPr>
        <w:t xml:space="preserve">rror </w:t>
      </w:r>
      <w:r w:rsidRPr="00990D3B" w:rsidR="00A37EE8">
        <w:rPr>
          <w:b/>
        </w:rPr>
        <w:t>r</w:t>
      </w:r>
      <w:r w:rsidRPr="00990D3B">
        <w:rPr>
          <w:b/>
        </w:rPr>
        <w:t>ate.</w:t>
      </w:r>
      <w:r w:rsidRPr="00990D3B">
        <w:t xml:space="preserve"> For each type of service (e.g., inpatient) and error (e.g., missing), document the state’s acceptable error rate. </w:t>
      </w:r>
      <w:r w:rsidRPr="00990D3B" w:rsidR="00A37EE8">
        <w:t>Th</w:t>
      </w:r>
      <w:r w:rsidRPr="00990D3B">
        <w:t>e acceptable error rate column expresses this rate as the percentage of missing, surplus, or erroneous records the state will accept from the MCP. Files with an error rate exceeding the thresholds are unacceptable. For example, a state might set error thresholds for office visits at less than 10 percent for missing encounters, less than 2 percent for surplus encounters, and less than 5 percent for encounters with erroneous information. If the state expresses its error tolerance in a different way, adjust the acceptable error rate accordingly.</w:t>
      </w:r>
    </w:p>
    <w:p w:rsidR="009B6AF6" w:rsidRPr="00990D3B" w:rsidP="00EA1C3A" w14:paraId="43BC3641" w14:textId="5D5CB3C2">
      <w:pPr>
        <w:pStyle w:val="EQRNormalSSWSbullet"/>
      </w:pPr>
      <w:r w:rsidRPr="00990D3B">
        <w:rPr>
          <w:b/>
        </w:rPr>
        <w:t xml:space="preserve">Areas of </w:t>
      </w:r>
      <w:r w:rsidRPr="00990D3B" w:rsidR="00A37EE8">
        <w:rPr>
          <w:b/>
        </w:rPr>
        <w:t>c</w:t>
      </w:r>
      <w:r w:rsidRPr="00990D3B">
        <w:rPr>
          <w:b/>
        </w:rPr>
        <w:t>oncern.</w:t>
      </w:r>
      <w:r w:rsidRPr="00990D3B">
        <w:t xml:space="preserve"> Based on the ISCA and other information, identify errors that reasonably might occur. </w:t>
      </w:r>
      <w:r w:rsidRPr="00990D3B" w:rsidR="00A37EE8">
        <w:t>D</w:t>
      </w:r>
      <w:r w:rsidRPr="00990D3B">
        <w:t xml:space="preserve">erive this information from work </w:t>
      </w:r>
      <w:r w:rsidRPr="00990D3B" w:rsidR="00A37EE8">
        <w:t>performed under</w:t>
      </w:r>
      <w:r w:rsidRPr="00990D3B">
        <w:t xml:space="preserve"> </w:t>
      </w:r>
      <w:hyperlink w:anchor="Protocol2" w:tooltip="Protocol 2" w:history="1">
        <w:r w:rsidRPr="00990D3B">
          <w:rPr>
            <w:rStyle w:val="Hyperlink"/>
          </w:rPr>
          <w:t>Protocol 2</w:t>
        </w:r>
      </w:hyperlink>
      <w:r w:rsidRPr="00990D3B" w:rsidR="00A37EE8">
        <w:rPr>
          <w:rStyle w:val="Hyperlink"/>
        </w:rPr>
        <w:t xml:space="preserve">. </w:t>
      </w:r>
      <w:r w:rsidRPr="00990D3B" w:rsidR="00A37EE8">
        <w:rPr>
          <w:rStyle w:val="Hyperlink"/>
          <w:color w:val="auto"/>
        </w:rPr>
        <w:t>U</w:t>
      </w:r>
      <w:r w:rsidRPr="00990D3B">
        <w:t>se the information to guide subsequent reviews.</w:t>
      </w:r>
    </w:p>
    <w:p w:rsidR="006A057F" w:rsidRPr="00990D3B" w:rsidP="00ED2673" w14:paraId="518366DA" w14:textId="1870535C">
      <w:pPr>
        <w:pStyle w:val="EQRNormalSSWSbullet"/>
        <w:numPr>
          <w:ilvl w:val="0"/>
          <w:numId w:val="0"/>
        </w:numPr>
      </w:pPr>
      <w:r w:rsidRPr="00990D3B">
        <w:t>Acronyms: EQRO = External Quality Review Organization; ISCA= Information System Capacity Assessment (ISCA).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3226"/>
        <w:gridCol w:w="1413"/>
        <w:gridCol w:w="1414"/>
        <w:gridCol w:w="3297"/>
      </w:tblGrid>
      <w:tr w14:paraId="7A6C61D2" w14:textId="77777777" w:rsidTr="00565EB9">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Ex>
        <w:trPr>
          <w:cantSplit/>
          <w:trHeight w:val="20"/>
          <w:tblHeader/>
        </w:trPr>
        <w:tc>
          <w:tcPr>
            <w:tcW w:w="3224" w:type="dxa"/>
            <w:tcMar>
              <w:top w:w="0" w:type="dxa"/>
              <w:left w:w="120" w:type="dxa"/>
              <w:bottom w:w="0" w:type="dxa"/>
              <w:right w:w="120" w:type="dxa"/>
            </w:tcMar>
            <w:vAlign w:val="bottom"/>
          </w:tcPr>
          <w:p w:rsidR="009B6AF6" w:rsidRPr="00990D3B" w:rsidP="00ED207A" w14:paraId="267A3CA6" w14:textId="6E35EEB6">
            <w:pPr>
              <w:pStyle w:val="EQRTableHeaderLeft"/>
              <w:rPr>
                <w:rFonts w:eastAsiaTheme="minorHAnsi"/>
                <w:color w:val="auto"/>
              </w:rPr>
            </w:pPr>
            <w:r w:rsidRPr="00990D3B">
              <w:rPr>
                <w:color w:val="auto"/>
              </w:rPr>
              <w:t xml:space="preserve">Service </w:t>
            </w:r>
            <w:r w:rsidRPr="00990D3B" w:rsidR="00A37EE8">
              <w:rPr>
                <w:color w:val="auto"/>
              </w:rPr>
              <w:t>t</w:t>
            </w:r>
            <w:r w:rsidRPr="00990D3B">
              <w:rPr>
                <w:color w:val="auto"/>
              </w:rPr>
              <w:t>ype</w:t>
            </w:r>
          </w:p>
        </w:tc>
        <w:tc>
          <w:tcPr>
            <w:tcW w:w="1411" w:type="dxa"/>
            <w:tcMar>
              <w:top w:w="0" w:type="dxa"/>
              <w:left w:w="120" w:type="dxa"/>
              <w:bottom w:w="0" w:type="dxa"/>
              <w:right w:w="120" w:type="dxa"/>
            </w:tcMar>
            <w:vAlign w:val="bottom"/>
          </w:tcPr>
          <w:p w:rsidR="009B6AF6" w:rsidRPr="00990D3B" w:rsidP="00ED207A" w14:paraId="3A756866" w14:textId="3F34ED51">
            <w:pPr>
              <w:pStyle w:val="EQRTableHeaderCenter"/>
              <w:rPr>
                <w:rFonts w:eastAsiaTheme="minorHAnsi"/>
                <w:color w:val="auto"/>
              </w:rPr>
            </w:pPr>
            <w:r w:rsidRPr="00990D3B">
              <w:rPr>
                <w:color w:val="auto"/>
              </w:rPr>
              <w:t xml:space="preserve">Error </w:t>
            </w:r>
            <w:r w:rsidRPr="00990D3B" w:rsidR="00A37EE8">
              <w:rPr>
                <w:color w:val="auto"/>
              </w:rPr>
              <w:t>t</w:t>
            </w:r>
            <w:r w:rsidRPr="00990D3B">
              <w:rPr>
                <w:color w:val="auto"/>
              </w:rPr>
              <w:t>ype</w:t>
            </w:r>
          </w:p>
        </w:tc>
        <w:tc>
          <w:tcPr>
            <w:tcW w:w="1412" w:type="dxa"/>
            <w:tcMar>
              <w:top w:w="0" w:type="dxa"/>
              <w:left w:w="120" w:type="dxa"/>
              <w:bottom w:w="0" w:type="dxa"/>
              <w:right w:w="120" w:type="dxa"/>
            </w:tcMar>
            <w:vAlign w:val="bottom"/>
          </w:tcPr>
          <w:p w:rsidR="009B6AF6" w:rsidRPr="00990D3B" w:rsidP="00ED207A" w14:paraId="4532DE75" w14:textId="363FC6DD">
            <w:pPr>
              <w:pStyle w:val="EQRTableHeaderCenter"/>
              <w:rPr>
                <w:color w:val="auto"/>
              </w:rPr>
            </w:pPr>
            <w:r w:rsidRPr="00990D3B">
              <w:rPr>
                <w:color w:val="auto"/>
              </w:rPr>
              <w:t xml:space="preserve">Acceptable </w:t>
            </w:r>
            <w:r w:rsidRPr="00990D3B" w:rsidR="00A37EE8">
              <w:rPr>
                <w:color w:val="auto"/>
              </w:rPr>
              <w:t>e</w:t>
            </w:r>
            <w:r w:rsidRPr="00990D3B">
              <w:rPr>
                <w:color w:val="auto"/>
              </w:rPr>
              <w:t xml:space="preserve">rror </w:t>
            </w:r>
            <w:r w:rsidRPr="00990D3B" w:rsidR="00A37EE8">
              <w:rPr>
                <w:color w:val="auto"/>
              </w:rPr>
              <w:t>r</w:t>
            </w:r>
            <w:r w:rsidRPr="00990D3B">
              <w:rPr>
                <w:color w:val="auto"/>
              </w:rPr>
              <w:t>ate</w:t>
            </w:r>
          </w:p>
        </w:tc>
        <w:tc>
          <w:tcPr>
            <w:tcW w:w="3293" w:type="dxa"/>
            <w:tcMar>
              <w:top w:w="0" w:type="dxa"/>
              <w:left w:w="120" w:type="dxa"/>
              <w:bottom w:w="0" w:type="dxa"/>
              <w:right w:w="120" w:type="dxa"/>
            </w:tcMar>
            <w:vAlign w:val="bottom"/>
          </w:tcPr>
          <w:p w:rsidR="009B6AF6" w:rsidRPr="00990D3B" w:rsidP="00ED207A" w14:paraId="4B8CFA55" w14:textId="44F4B33F">
            <w:pPr>
              <w:pStyle w:val="EQRTableHeaderCenter"/>
              <w:rPr>
                <w:rFonts w:eastAsiaTheme="minorHAnsi"/>
                <w:color w:val="auto"/>
              </w:rPr>
            </w:pPr>
            <w:r w:rsidRPr="00990D3B">
              <w:rPr>
                <w:color w:val="auto"/>
              </w:rPr>
              <w:t>Area</w:t>
            </w:r>
            <w:r w:rsidRPr="00990D3B" w:rsidR="00A37EE8">
              <w:rPr>
                <w:color w:val="auto"/>
              </w:rPr>
              <w:t>s</w:t>
            </w:r>
            <w:r w:rsidRPr="00990D3B">
              <w:rPr>
                <w:color w:val="auto"/>
              </w:rPr>
              <w:t xml:space="preserve"> of </w:t>
            </w:r>
            <w:r w:rsidRPr="00990D3B" w:rsidR="00A37EE8">
              <w:rPr>
                <w:color w:val="auto"/>
              </w:rPr>
              <w:t>c</w:t>
            </w:r>
            <w:r w:rsidRPr="00990D3B">
              <w:rPr>
                <w:color w:val="auto"/>
              </w:rPr>
              <w:t xml:space="preserve">oncern </w:t>
            </w:r>
          </w:p>
        </w:tc>
      </w:tr>
      <w:tr w14:paraId="084494A2" w14:textId="77777777" w:rsidTr="00565EB9">
        <w:tblPrEx>
          <w:tblW w:w="5000" w:type="pct"/>
          <w:tblLayout w:type="fixed"/>
          <w:tblCellMar>
            <w:left w:w="115" w:type="dxa"/>
            <w:right w:w="115" w:type="dxa"/>
          </w:tblCellMar>
          <w:tblLook w:val="04A0"/>
        </w:tblPrEx>
        <w:trPr>
          <w:cantSplit/>
          <w:trHeight w:val="20"/>
        </w:trPr>
        <w:tc>
          <w:tcPr>
            <w:tcW w:w="3224" w:type="dxa"/>
            <w:tcMar>
              <w:top w:w="0" w:type="dxa"/>
              <w:left w:w="120" w:type="dxa"/>
              <w:bottom w:w="0" w:type="dxa"/>
              <w:right w:w="120" w:type="dxa"/>
            </w:tcMar>
          </w:tcPr>
          <w:p w:rsidR="009B6AF6" w:rsidRPr="00990D3B" w:rsidP="00ED207A" w14:paraId="2AF1B86A" w14:textId="77777777">
            <w:pPr>
              <w:pStyle w:val="EQRTableText"/>
              <w:rPr>
                <w:rFonts w:eastAsiaTheme="minorHAnsi"/>
              </w:rPr>
            </w:pPr>
            <w:r w:rsidRPr="00990D3B">
              <w:t>Office visit – includes all services, except dental and mental health / substance abuse</w:t>
            </w:r>
          </w:p>
        </w:tc>
        <w:tc>
          <w:tcPr>
            <w:tcW w:w="1411" w:type="dxa"/>
            <w:tcMar>
              <w:top w:w="0" w:type="dxa"/>
              <w:left w:w="120" w:type="dxa"/>
              <w:bottom w:w="0" w:type="dxa"/>
              <w:right w:w="120" w:type="dxa"/>
            </w:tcMar>
          </w:tcPr>
          <w:p w:rsidR="009B6AF6" w:rsidRPr="00990D3B" w:rsidP="007A6F81" w14:paraId="163C8F8E" w14:textId="77777777">
            <w:pPr>
              <w:pStyle w:val="EQRTableText"/>
            </w:pPr>
            <w:r w:rsidRPr="00990D3B">
              <w:t>Missing</w:t>
            </w:r>
          </w:p>
          <w:p w:rsidR="009B6AF6" w:rsidRPr="00990D3B" w:rsidP="007A6F81" w14:paraId="2C5BF448" w14:textId="77777777">
            <w:pPr>
              <w:pStyle w:val="EQRTableText"/>
            </w:pPr>
            <w:r w:rsidRPr="00990D3B">
              <w:t>Surplus</w:t>
            </w:r>
          </w:p>
          <w:p w:rsidR="009B6AF6" w:rsidRPr="00990D3B" w:rsidP="007A6F81" w14:paraId="5EB742C0" w14:textId="77777777">
            <w:pPr>
              <w:pStyle w:val="EQRTableText"/>
              <w:rPr>
                <w:rFonts w:eastAsiaTheme="minorHAnsi"/>
              </w:rPr>
            </w:pPr>
            <w:r w:rsidRPr="00990D3B">
              <w:t>Erroneous</w:t>
            </w:r>
          </w:p>
        </w:tc>
        <w:tc>
          <w:tcPr>
            <w:tcW w:w="1412" w:type="dxa"/>
            <w:tcMar>
              <w:top w:w="0" w:type="dxa"/>
              <w:left w:w="120" w:type="dxa"/>
              <w:bottom w:w="0" w:type="dxa"/>
              <w:right w:w="120" w:type="dxa"/>
            </w:tcMar>
          </w:tcPr>
          <w:p w:rsidR="009B6AF6" w:rsidRPr="00990D3B" w:rsidP="007A6F81" w14:paraId="37889C5D" w14:textId="77777777">
            <w:pPr>
              <w:pStyle w:val="EQRTableText"/>
            </w:pPr>
            <w:r w:rsidRPr="00990D3B">
              <w:t>&lt;        %</w:t>
            </w:r>
          </w:p>
          <w:p w:rsidR="009B6AF6" w:rsidRPr="00990D3B" w:rsidP="007A6F81" w14:paraId="0EE362BF" w14:textId="77777777">
            <w:pPr>
              <w:pStyle w:val="EQRTableText"/>
            </w:pPr>
            <w:r w:rsidRPr="00990D3B">
              <w:t>&lt;        %</w:t>
            </w:r>
          </w:p>
          <w:p w:rsidR="009B6AF6" w:rsidRPr="00990D3B" w:rsidP="007A6F81" w14:paraId="444FED63" w14:textId="77777777">
            <w:pPr>
              <w:pStyle w:val="EQRTableText"/>
              <w:rPr>
                <w:rFonts w:eastAsiaTheme="minorHAnsi"/>
              </w:rPr>
            </w:pPr>
            <w:r w:rsidRPr="00990D3B">
              <w:t>&lt;        %</w:t>
            </w:r>
          </w:p>
        </w:tc>
        <w:tc>
          <w:tcPr>
            <w:tcW w:w="3293" w:type="dxa"/>
            <w:tcMar>
              <w:top w:w="0" w:type="dxa"/>
              <w:left w:w="120" w:type="dxa"/>
              <w:bottom w:w="0" w:type="dxa"/>
              <w:right w:w="120" w:type="dxa"/>
            </w:tcMar>
          </w:tcPr>
          <w:p w:rsidR="009B6AF6" w:rsidRPr="00990D3B" w:rsidP="007A6F81" w14:paraId="4952CB0D" w14:textId="77777777">
            <w:pPr>
              <w:pStyle w:val="EQRTableText"/>
              <w:rPr>
                <w:rFonts w:eastAsiaTheme="minorHAnsi"/>
              </w:rPr>
            </w:pPr>
            <w:r w:rsidRPr="00990D3B">
              <w:rPr>
                <w:rFonts w:eastAsiaTheme="minorHAnsi"/>
              </w:rPr>
              <w:t> </w:t>
            </w:r>
          </w:p>
        </w:tc>
      </w:tr>
      <w:tr w14:paraId="4F344C4F" w14:textId="77777777" w:rsidTr="00565EB9">
        <w:tblPrEx>
          <w:tblW w:w="5000" w:type="pct"/>
          <w:tblLayout w:type="fixed"/>
          <w:tblCellMar>
            <w:left w:w="115" w:type="dxa"/>
            <w:right w:w="115" w:type="dxa"/>
          </w:tblCellMar>
          <w:tblLook w:val="04A0"/>
        </w:tblPrEx>
        <w:trPr>
          <w:cantSplit/>
          <w:trHeight w:val="20"/>
        </w:trPr>
        <w:tc>
          <w:tcPr>
            <w:tcW w:w="3224" w:type="dxa"/>
            <w:tcMar>
              <w:top w:w="0" w:type="dxa"/>
              <w:left w:w="120" w:type="dxa"/>
              <w:bottom w:w="0" w:type="dxa"/>
              <w:right w:w="120" w:type="dxa"/>
            </w:tcMar>
          </w:tcPr>
          <w:p w:rsidR="009B6AF6" w:rsidRPr="00990D3B" w:rsidP="00ED207A" w14:paraId="4A06B556" w14:textId="77777777">
            <w:pPr>
              <w:pStyle w:val="EQRTableText"/>
              <w:rPr>
                <w:rFonts w:eastAsiaTheme="minorHAnsi"/>
              </w:rPr>
            </w:pPr>
            <w:r w:rsidRPr="00990D3B">
              <w:t>Office visit – includes mental health / substance abuse services only</w:t>
            </w:r>
          </w:p>
        </w:tc>
        <w:tc>
          <w:tcPr>
            <w:tcW w:w="1411" w:type="dxa"/>
            <w:tcMar>
              <w:top w:w="0" w:type="dxa"/>
              <w:left w:w="120" w:type="dxa"/>
              <w:bottom w:w="0" w:type="dxa"/>
              <w:right w:w="120" w:type="dxa"/>
            </w:tcMar>
          </w:tcPr>
          <w:p w:rsidR="009B6AF6" w:rsidRPr="00990D3B" w:rsidP="007A6F81" w14:paraId="7E677DB4" w14:textId="77777777">
            <w:pPr>
              <w:pStyle w:val="EQRTableText"/>
            </w:pPr>
            <w:r w:rsidRPr="00990D3B">
              <w:t>Missing</w:t>
            </w:r>
          </w:p>
          <w:p w:rsidR="009B6AF6" w:rsidRPr="00990D3B" w:rsidP="007A6F81" w14:paraId="634E5DF2" w14:textId="77777777">
            <w:pPr>
              <w:pStyle w:val="EQRTableText"/>
            </w:pPr>
            <w:r w:rsidRPr="00990D3B">
              <w:t>Surplus</w:t>
            </w:r>
          </w:p>
          <w:p w:rsidR="009B6AF6" w:rsidRPr="00990D3B" w:rsidP="007A6F81" w14:paraId="5076FAFC" w14:textId="77777777">
            <w:pPr>
              <w:pStyle w:val="EQRTableText"/>
              <w:rPr>
                <w:rFonts w:eastAsiaTheme="minorHAnsi"/>
              </w:rPr>
            </w:pPr>
            <w:r w:rsidRPr="00990D3B">
              <w:t>Erroneous</w:t>
            </w:r>
          </w:p>
        </w:tc>
        <w:tc>
          <w:tcPr>
            <w:tcW w:w="1412" w:type="dxa"/>
            <w:tcMar>
              <w:top w:w="0" w:type="dxa"/>
              <w:left w:w="120" w:type="dxa"/>
              <w:bottom w:w="0" w:type="dxa"/>
              <w:right w:w="120" w:type="dxa"/>
            </w:tcMar>
          </w:tcPr>
          <w:p w:rsidR="009B6AF6" w:rsidRPr="00990D3B" w:rsidP="007A6F81" w14:paraId="7F8768DD" w14:textId="77777777">
            <w:pPr>
              <w:pStyle w:val="EQRTableText"/>
            </w:pPr>
            <w:r w:rsidRPr="00990D3B">
              <w:t>&lt;        %</w:t>
            </w:r>
          </w:p>
          <w:p w:rsidR="009B6AF6" w:rsidRPr="00990D3B" w:rsidP="007A6F81" w14:paraId="08CEE5E4" w14:textId="77777777">
            <w:pPr>
              <w:pStyle w:val="EQRTableText"/>
            </w:pPr>
            <w:r w:rsidRPr="00990D3B">
              <w:t>&lt;        %</w:t>
            </w:r>
          </w:p>
          <w:p w:rsidR="009B6AF6" w:rsidRPr="00990D3B" w:rsidP="007A6F81" w14:paraId="04561C32" w14:textId="77777777">
            <w:pPr>
              <w:pStyle w:val="EQRTableText"/>
              <w:rPr>
                <w:rFonts w:eastAsiaTheme="minorHAnsi"/>
              </w:rPr>
            </w:pPr>
            <w:r w:rsidRPr="00990D3B">
              <w:t>&lt;        %</w:t>
            </w:r>
          </w:p>
        </w:tc>
        <w:tc>
          <w:tcPr>
            <w:tcW w:w="3293" w:type="dxa"/>
            <w:tcMar>
              <w:top w:w="0" w:type="dxa"/>
              <w:left w:w="120" w:type="dxa"/>
              <w:bottom w:w="0" w:type="dxa"/>
              <w:right w:w="120" w:type="dxa"/>
            </w:tcMar>
          </w:tcPr>
          <w:p w:rsidR="009B6AF6" w:rsidRPr="00990D3B" w:rsidP="007A6F81" w14:paraId="76845EC3" w14:textId="77777777">
            <w:pPr>
              <w:pStyle w:val="EQRTableText"/>
              <w:rPr>
                <w:rFonts w:eastAsiaTheme="minorHAnsi"/>
              </w:rPr>
            </w:pPr>
            <w:r w:rsidRPr="00990D3B">
              <w:rPr>
                <w:rFonts w:eastAsiaTheme="minorHAnsi"/>
              </w:rPr>
              <w:t> </w:t>
            </w:r>
          </w:p>
        </w:tc>
      </w:tr>
      <w:tr w14:paraId="578F7C24" w14:textId="77777777" w:rsidTr="00565EB9">
        <w:tblPrEx>
          <w:tblW w:w="5000" w:type="pct"/>
          <w:tblLayout w:type="fixed"/>
          <w:tblCellMar>
            <w:left w:w="115" w:type="dxa"/>
            <w:right w:w="115" w:type="dxa"/>
          </w:tblCellMar>
          <w:tblLook w:val="04A0"/>
        </w:tblPrEx>
        <w:trPr>
          <w:cantSplit/>
          <w:trHeight w:val="20"/>
        </w:trPr>
        <w:tc>
          <w:tcPr>
            <w:tcW w:w="3224" w:type="dxa"/>
            <w:tcMar>
              <w:top w:w="0" w:type="dxa"/>
              <w:left w:w="120" w:type="dxa"/>
              <w:bottom w:w="0" w:type="dxa"/>
              <w:right w:w="120" w:type="dxa"/>
            </w:tcMar>
          </w:tcPr>
          <w:p w:rsidR="009B6AF6" w:rsidRPr="00990D3B" w:rsidP="00ED207A" w14:paraId="24605B14" w14:textId="77777777">
            <w:pPr>
              <w:pStyle w:val="EQRTableText"/>
              <w:rPr>
                <w:rFonts w:eastAsiaTheme="minorHAnsi"/>
              </w:rPr>
            </w:pPr>
            <w:r w:rsidRPr="00990D3B">
              <w:t>Office visit – includes dental services only</w:t>
            </w:r>
          </w:p>
        </w:tc>
        <w:tc>
          <w:tcPr>
            <w:tcW w:w="1411" w:type="dxa"/>
            <w:tcMar>
              <w:top w:w="0" w:type="dxa"/>
              <w:left w:w="120" w:type="dxa"/>
              <w:bottom w:w="0" w:type="dxa"/>
              <w:right w:w="120" w:type="dxa"/>
            </w:tcMar>
          </w:tcPr>
          <w:p w:rsidR="009B6AF6" w:rsidRPr="00990D3B" w:rsidP="007A6F81" w14:paraId="1F92C2B8" w14:textId="77777777">
            <w:pPr>
              <w:pStyle w:val="EQRTableText"/>
            </w:pPr>
            <w:r w:rsidRPr="00990D3B">
              <w:t>Missing</w:t>
            </w:r>
          </w:p>
          <w:p w:rsidR="009B6AF6" w:rsidRPr="00990D3B" w:rsidP="007A6F81" w14:paraId="5C44C603" w14:textId="77777777">
            <w:pPr>
              <w:pStyle w:val="EQRTableText"/>
            </w:pPr>
            <w:r w:rsidRPr="00990D3B">
              <w:t>Surplus</w:t>
            </w:r>
          </w:p>
          <w:p w:rsidR="009B6AF6" w:rsidRPr="00990D3B" w:rsidP="007A6F81" w14:paraId="556D51A2" w14:textId="77777777">
            <w:pPr>
              <w:pStyle w:val="EQRTableText"/>
              <w:rPr>
                <w:rFonts w:eastAsiaTheme="minorHAnsi"/>
              </w:rPr>
            </w:pPr>
            <w:r w:rsidRPr="00990D3B">
              <w:t>Erroneous</w:t>
            </w:r>
          </w:p>
        </w:tc>
        <w:tc>
          <w:tcPr>
            <w:tcW w:w="1412" w:type="dxa"/>
            <w:tcMar>
              <w:top w:w="0" w:type="dxa"/>
              <w:left w:w="120" w:type="dxa"/>
              <w:bottom w:w="0" w:type="dxa"/>
              <w:right w:w="120" w:type="dxa"/>
            </w:tcMar>
          </w:tcPr>
          <w:p w:rsidR="009B6AF6" w:rsidRPr="00990D3B" w:rsidP="007A6F81" w14:paraId="5DE186F2" w14:textId="77777777">
            <w:pPr>
              <w:pStyle w:val="EQRTableText"/>
            </w:pPr>
            <w:r w:rsidRPr="00990D3B">
              <w:t>&lt;        %</w:t>
            </w:r>
          </w:p>
          <w:p w:rsidR="009B6AF6" w:rsidRPr="00990D3B" w:rsidP="007A6F81" w14:paraId="3002DC9D" w14:textId="77777777">
            <w:pPr>
              <w:pStyle w:val="EQRTableText"/>
            </w:pPr>
            <w:r w:rsidRPr="00990D3B">
              <w:t>&lt;        %</w:t>
            </w:r>
          </w:p>
          <w:p w:rsidR="009B6AF6" w:rsidRPr="00990D3B" w:rsidP="007A6F81" w14:paraId="78D63FAF" w14:textId="77777777">
            <w:pPr>
              <w:pStyle w:val="EQRTableText"/>
              <w:rPr>
                <w:rFonts w:eastAsiaTheme="minorHAnsi"/>
              </w:rPr>
            </w:pPr>
            <w:r w:rsidRPr="00990D3B">
              <w:t>&lt;        %</w:t>
            </w:r>
          </w:p>
        </w:tc>
        <w:tc>
          <w:tcPr>
            <w:tcW w:w="3293" w:type="dxa"/>
            <w:tcMar>
              <w:top w:w="0" w:type="dxa"/>
              <w:left w:w="120" w:type="dxa"/>
              <w:bottom w:w="0" w:type="dxa"/>
              <w:right w:w="120" w:type="dxa"/>
            </w:tcMar>
          </w:tcPr>
          <w:p w:rsidR="009B6AF6" w:rsidRPr="00990D3B" w:rsidP="007A6F81" w14:paraId="4E5615CF" w14:textId="77777777">
            <w:pPr>
              <w:pStyle w:val="EQRTableText"/>
              <w:rPr>
                <w:rFonts w:eastAsiaTheme="minorHAnsi"/>
              </w:rPr>
            </w:pPr>
            <w:r w:rsidRPr="00990D3B">
              <w:rPr>
                <w:rFonts w:eastAsiaTheme="minorHAnsi"/>
              </w:rPr>
              <w:t> </w:t>
            </w:r>
          </w:p>
        </w:tc>
      </w:tr>
      <w:tr w14:paraId="266B6869" w14:textId="77777777" w:rsidTr="00565EB9">
        <w:tblPrEx>
          <w:tblW w:w="5000" w:type="pct"/>
          <w:tblLayout w:type="fixed"/>
          <w:tblCellMar>
            <w:left w:w="115" w:type="dxa"/>
            <w:right w:w="115" w:type="dxa"/>
          </w:tblCellMar>
          <w:tblLook w:val="04A0"/>
        </w:tblPrEx>
        <w:trPr>
          <w:cantSplit/>
          <w:trHeight w:val="20"/>
        </w:trPr>
        <w:tc>
          <w:tcPr>
            <w:tcW w:w="3224" w:type="dxa"/>
            <w:tcMar>
              <w:top w:w="0" w:type="dxa"/>
              <w:left w:w="120" w:type="dxa"/>
              <w:bottom w:w="0" w:type="dxa"/>
              <w:right w:w="120" w:type="dxa"/>
            </w:tcMar>
          </w:tcPr>
          <w:p w:rsidR="009B6AF6" w:rsidRPr="00990D3B" w:rsidP="00ED207A" w14:paraId="369A5808" w14:textId="77777777">
            <w:pPr>
              <w:pStyle w:val="EQRTableText"/>
              <w:rPr>
                <w:rFonts w:eastAsiaTheme="minorHAnsi"/>
              </w:rPr>
            </w:pPr>
            <w:r w:rsidRPr="00990D3B">
              <w:t>Inpatient admission – includes all IP services, except mental health / substance abuse services</w:t>
            </w:r>
          </w:p>
        </w:tc>
        <w:tc>
          <w:tcPr>
            <w:tcW w:w="1411" w:type="dxa"/>
            <w:tcMar>
              <w:top w:w="0" w:type="dxa"/>
              <w:left w:w="120" w:type="dxa"/>
              <w:bottom w:w="0" w:type="dxa"/>
              <w:right w:w="120" w:type="dxa"/>
            </w:tcMar>
          </w:tcPr>
          <w:p w:rsidR="009B6AF6" w:rsidRPr="00990D3B" w:rsidP="007A6F81" w14:paraId="5A2FF469" w14:textId="77777777">
            <w:pPr>
              <w:pStyle w:val="EQRTableText"/>
            </w:pPr>
            <w:r w:rsidRPr="00990D3B">
              <w:t>Missing</w:t>
            </w:r>
          </w:p>
          <w:p w:rsidR="009B6AF6" w:rsidRPr="00990D3B" w:rsidP="007A6F81" w14:paraId="7CC04140" w14:textId="77777777">
            <w:pPr>
              <w:pStyle w:val="EQRTableText"/>
            </w:pPr>
            <w:r w:rsidRPr="00990D3B">
              <w:t>Surplus</w:t>
            </w:r>
          </w:p>
          <w:p w:rsidR="009B6AF6" w:rsidRPr="00990D3B" w:rsidP="007A6F81" w14:paraId="76941DAC" w14:textId="77777777">
            <w:pPr>
              <w:pStyle w:val="EQRTableText"/>
              <w:rPr>
                <w:rFonts w:eastAsiaTheme="minorHAnsi"/>
              </w:rPr>
            </w:pPr>
            <w:r w:rsidRPr="00990D3B">
              <w:t>Erroneous</w:t>
            </w:r>
          </w:p>
        </w:tc>
        <w:tc>
          <w:tcPr>
            <w:tcW w:w="1412" w:type="dxa"/>
            <w:tcMar>
              <w:top w:w="0" w:type="dxa"/>
              <w:left w:w="120" w:type="dxa"/>
              <w:bottom w:w="0" w:type="dxa"/>
              <w:right w:w="120" w:type="dxa"/>
            </w:tcMar>
          </w:tcPr>
          <w:p w:rsidR="009B6AF6" w:rsidRPr="00990D3B" w:rsidP="007A6F81" w14:paraId="2B433F34" w14:textId="77777777">
            <w:pPr>
              <w:pStyle w:val="EQRTableText"/>
            </w:pPr>
            <w:r w:rsidRPr="00990D3B">
              <w:t>&lt;        %</w:t>
            </w:r>
          </w:p>
          <w:p w:rsidR="009B6AF6" w:rsidRPr="00990D3B" w:rsidP="007A6F81" w14:paraId="4DDC8123" w14:textId="77777777">
            <w:pPr>
              <w:pStyle w:val="EQRTableText"/>
            </w:pPr>
            <w:r w:rsidRPr="00990D3B">
              <w:t>&lt;        %</w:t>
            </w:r>
          </w:p>
          <w:p w:rsidR="009B6AF6" w:rsidRPr="00990D3B" w:rsidP="007A6F81" w14:paraId="1F52EDFD" w14:textId="77777777">
            <w:pPr>
              <w:pStyle w:val="EQRTableText"/>
              <w:rPr>
                <w:rFonts w:eastAsiaTheme="minorHAnsi"/>
              </w:rPr>
            </w:pPr>
            <w:r w:rsidRPr="00990D3B">
              <w:t>&lt;        %</w:t>
            </w:r>
          </w:p>
        </w:tc>
        <w:tc>
          <w:tcPr>
            <w:tcW w:w="3293" w:type="dxa"/>
            <w:tcMar>
              <w:top w:w="0" w:type="dxa"/>
              <w:left w:w="120" w:type="dxa"/>
              <w:bottom w:w="0" w:type="dxa"/>
              <w:right w:w="120" w:type="dxa"/>
            </w:tcMar>
          </w:tcPr>
          <w:p w:rsidR="009B6AF6" w:rsidRPr="00990D3B" w:rsidP="007A6F81" w14:paraId="4B80C752" w14:textId="77777777">
            <w:pPr>
              <w:pStyle w:val="EQRTableText"/>
              <w:rPr>
                <w:rFonts w:eastAsiaTheme="minorHAnsi"/>
              </w:rPr>
            </w:pPr>
            <w:r w:rsidRPr="00990D3B">
              <w:rPr>
                <w:rFonts w:eastAsiaTheme="minorHAnsi"/>
              </w:rPr>
              <w:t> </w:t>
            </w:r>
          </w:p>
        </w:tc>
      </w:tr>
      <w:tr w14:paraId="6011EC46" w14:textId="77777777" w:rsidTr="00565EB9">
        <w:tblPrEx>
          <w:tblW w:w="5000" w:type="pct"/>
          <w:tblLayout w:type="fixed"/>
          <w:tblCellMar>
            <w:left w:w="115" w:type="dxa"/>
            <w:right w:w="115" w:type="dxa"/>
          </w:tblCellMar>
          <w:tblLook w:val="04A0"/>
        </w:tblPrEx>
        <w:trPr>
          <w:cantSplit/>
          <w:trHeight w:val="20"/>
        </w:trPr>
        <w:tc>
          <w:tcPr>
            <w:tcW w:w="3224" w:type="dxa"/>
            <w:tcMar>
              <w:top w:w="0" w:type="dxa"/>
              <w:left w:w="120" w:type="dxa"/>
              <w:bottom w:w="0" w:type="dxa"/>
              <w:right w:w="120" w:type="dxa"/>
            </w:tcMar>
          </w:tcPr>
          <w:p w:rsidR="009B6AF6" w:rsidRPr="00990D3B" w:rsidP="00ED207A" w14:paraId="019152E6" w14:textId="77777777">
            <w:pPr>
              <w:pStyle w:val="EQRTableText"/>
              <w:rPr>
                <w:rFonts w:eastAsiaTheme="minorHAnsi"/>
              </w:rPr>
            </w:pPr>
            <w:r w:rsidRPr="00990D3B">
              <w:t>Inpatient admission – includes mental health / substance abuse services only</w:t>
            </w:r>
          </w:p>
        </w:tc>
        <w:tc>
          <w:tcPr>
            <w:tcW w:w="1411" w:type="dxa"/>
            <w:tcMar>
              <w:top w:w="0" w:type="dxa"/>
              <w:left w:w="120" w:type="dxa"/>
              <w:bottom w:w="0" w:type="dxa"/>
              <w:right w:w="120" w:type="dxa"/>
            </w:tcMar>
          </w:tcPr>
          <w:p w:rsidR="009B6AF6" w:rsidRPr="00990D3B" w:rsidP="00C200ED" w14:paraId="3F25F15C" w14:textId="77777777">
            <w:pPr>
              <w:pStyle w:val="EQRTableText"/>
            </w:pPr>
            <w:r w:rsidRPr="00990D3B">
              <w:t>Missing</w:t>
            </w:r>
          </w:p>
          <w:p w:rsidR="009B6AF6" w:rsidRPr="00990D3B" w:rsidP="00C200ED" w14:paraId="2DA92BEB" w14:textId="77777777">
            <w:pPr>
              <w:pStyle w:val="EQRTableText"/>
            </w:pPr>
            <w:r w:rsidRPr="00990D3B">
              <w:t>Surplus</w:t>
            </w:r>
          </w:p>
          <w:p w:rsidR="009B6AF6" w:rsidRPr="00990D3B" w:rsidP="00C200ED" w14:paraId="4E069EFA" w14:textId="77777777">
            <w:pPr>
              <w:pStyle w:val="EQRTableText"/>
              <w:rPr>
                <w:rFonts w:eastAsiaTheme="minorHAnsi"/>
              </w:rPr>
            </w:pPr>
            <w:r w:rsidRPr="00990D3B">
              <w:t>Erroneous</w:t>
            </w:r>
          </w:p>
        </w:tc>
        <w:tc>
          <w:tcPr>
            <w:tcW w:w="1412" w:type="dxa"/>
            <w:tcMar>
              <w:top w:w="0" w:type="dxa"/>
              <w:left w:w="120" w:type="dxa"/>
              <w:bottom w:w="0" w:type="dxa"/>
              <w:right w:w="120" w:type="dxa"/>
            </w:tcMar>
          </w:tcPr>
          <w:p w:rsidR="009B6AF6" w:rsidRPr="00990D3B" w:rsidP="00C200ED" w14:paraId="6F0DB708" w14:textId="77777777">
            <w:pPr>
              <w:pStyle w:val="EQRTableText"/>
            </w:pPr>
            <w:r w:rsidRPr="00990D3B">
              <w:t>&lt;        %</w:t>
            </w:r>
          </w:p>
          <w:p w:rsidR="009B6AF6" w:rsidRPr="00990D3B" w:rsidP="00C200ED" w14:paraId="7C33A26B" w14:textId="77777777">
            <w:pPr>
              <w:pStyle w:val="EQRTableText"/>
            </w:pPr>
            <w:r w:rsidRPr="00990D3B">
              <w:t>&lt;        %</w:t>
            </w:r>
          </w:p>
          <w:p w:rsidR="009B6AF6" w:rsidRPr="00990D3B" w:rsidP="00C200ED" w14:paraId="63EACE17" w14:textId="77777777">
            <w:pPr>
              <w:pStyle w:val="EQRTableText"/>
              <w:rPr>
                <w:rFonts w:eastAsiaTheme="minorHAnsi"/>
              </w:rPr>
            </w:pPr>
            <w:r w:rsidRPr="00990D3B">
              <w:t>&lt;        %</w:t>
            </w:r>
          </w:p>
        </w:tc>
        <w:tc>
          <w:tcPr>
            <w:tcW w:w="3293" w:type="dxa"/>
            <w:tcMar>
              <w:top w:w="0" w:type="dxa"/>
              <w:left w:w="120" w:type="dxa"/>
              <w:bottom w:w="0" w:type="dxa"/>
              <w:right w:w="120" w:type="dxa"/>
            </w:tcMar>
          </w:tcPr>
          <w:p w:rsidR="009B6AF6" w:rsidRPr="00990D3B" w:rsidP="00C200ED" w14:paraId="41F145DC" w14:textId="77777777">
            <w:pPr>
              <w:pStyle w:val="EQRTableText"/>
              <w:rPr>
                <w:rFonts w:eastAsiaTheme="minorHAnsi"/>
              </w:rPr>
            </w:pPr>
            <w:r w:rsidRPr="00990D3B">
              <w:rPr>
                <w:rFonts w:eastAsiaTheme="minorHAnsi"/>
              </w:rPr>
              <w:t> </w:t>
            </w:r>
          </w:p>
        </w:tc>
      </w:tr>
      <w:tr w14:paraId="3B294645" w14:textId="77777777" w:rsidTr="00565EB9">
        <w:tblPrEx>
          <w:tblW w:w="5000" w:type="pct"/>
          <w:tblLayout w:type="fixed"/>
          <w:tblCellMar>
            <w:left w:w="115" w:type="dxa"/>
            <w:right w:w="115" w:type="dxa"/>
          </w:tblCellMar>
          <w:tblLook w:val="04A0"/>
        </w:tblPrEx>
        <w:trPr>
          <w:cantSplit/>
          <w:trHeight w:val="20"/>
        </w:trPr>
        <w:tc>
          <w:tcPr>
            <w:tcW w:w="3224" w:type="dxa"/>
            <w:tcMar>
              <w:top w:w="0" w:type="dxa"/>
              <w:left w:w="120" w:type="dxa"/>
              <w:bottom w:w="0" w:type="dxa"/>
              <w:right w:w="120" w:type="dxa"/>
            </w:tcMar>
          </w:tcPr>
          <w:p w:rsidR="009B6AF6" w:rsidRPr="00990D3B" w:rsidP="00ED207A" w14:paraId="2AA23417" w14:textId="77777777">
            <w:pPr>
              <w:pStyle w:val="EQRTableText"/>
              <w:rPr>
                <w:rFonts w:eastAsiaTheme="minorHAnsi"/>
              </w:rPr>
            </w:pPr>
            <w:r w:rsidRPr="00990D3B">
              <w:t xml:space="preserve">Other types of encounters (e.g., emergency department, lab / x-ray, pharmacy, physical therapy)  </w:t>
            </w:r>
          </w:p>
        </w:tc>
        <w:tc>
          <w:tcPr>
            <w:tcW w:w="1411" w:type="dxa"/>
            <w:tcMar>
              <w:top w:w="0" w:type="dxa"/>
              <w:left w:w="120" w:type="dxa"/>
              <w:bottom w:w="0" w:type="dxa"/>
              <w:right w:w="120" w:type="dxa"/>
            </w:tcMar>
          </w:tcPr>
          <w:p w:rsidR="009B6AF6" w:rsidRPr="00990D3B" w:rsidP="00C200ED" w14:paraId="2BB51718" w14:textId="77777777">
            <w:pPr>
              <w:pStyle w:val="EQRTableText"/>
            </w:pPr>
            <w:r w:rsidRPr="00990D3B">
              <w:t>Missing</w:t>
            </w:r>
          </w:p>
          <w:p w:rsidR="009B6AF6" w:rsidRPr="00990D3B" w:rsidP="00C200ED" w14:paraId="5D43CB29" w14:textId="77777777">
            <w:pPr>
              <w:pStyle w:val="EQRTableText"/>
            </w:pPr>
            <w:r w:rsidRPr="00990D3B">
              <w:t>Surplus</w:t>
            </w:r>
          </w:p>
          <w:p w:rsidR="009B6AF6" w:rsidRPr="00990D3B" w:rsidP="00C200ED" w14:paraId="0CD5BCC3" w14:textId="77777777">
            <w:pPr>
              <w:pStyle w:val="EQRTableText"/>
              <w:rPr>
                <w:rFonts w:eastAsiaTheme="minorHAnsi"/>
              </w:rPr>
            </w:pPr>
            <w:r w:rsidRPr="00990D3B">
              <w:t>Erroneous</w:t>
            </w:r>
          </w:p>
        </w:tc>
        <w:tc>
          <w:tcPr>
            <w:tcW w:w="1412" w:type="dxa"/>
            <w:tcMar>
              <w:top w:w="0" w:type="dxa"/>
              <w:left w:w="120" w:type="dxa"/>
              <w:bottom w:w="0" w:type="dxa"/>
              <w:right w:w="120" w:type="dxa"/>
            </w:tcMar>
          </w:tcPr>
          <w:p w:rsidR="009B6AF6" w:rsidRPr="00990D3B" w:rsidP="00C200ED" w14:paraId="7EB748A5" w14:textId="77777777">
            <w:pPr>
              <w:pStyle w:val="EQRTableText"/>
            </w:pPr>
            <w:r w:rsidRPr="00990D3B">
              <w:t>&lt;        %</w:t>
            </w:r>
          </w:p>
          <w:p w:rsidR="009B6AF6" w:rsidRPr="00990D3B" w:rsidP="00C200ED" w14:paraId="586AF0E7" w14:textId="77777777">
            <w:pPr>
              <w:pStyle w:val="EQRTableText"/>
            </w:pPr>
            <w:r w:rsidRPr="00990D3B">
              <w:t>&lt;        %</w:t>
            </w:r>
          </w:p>
          <w:p w:rsidR="009B6AF6" w:rsidRPr="00990D3B" w:rsidP="00C200ED" w14:paraId="19A8BDA4" w14:textId="77777777">
            <w:pPr>
              <w:pStyle w:val="EQRTableText"/>
              <w:rPr>
                <w:rFonts w:eastAsiaTheme="minorHAnsi"/>
              </w:rPr>
            </w:pPr>
            <w:r w:rsidRPr="00990D3B">
              <w:t>&lt;        %</w:t>
            </w:r>
          </w:p>
        </w:tc>
        <w:tc>
          <w:tcPr>
            <w:tcW w:w="3293" w:type="dxa"/>
            <w:tcMar>
              <w:top w:w="0" w:type="dxa"/>
              <w:left w:w="120" w:type="dxa"/>
              <w:bottom w:w="0" w:type="dxa"/>
              <w:right w:w="120" w:type="dxa"/>
            </w:tcMar>
          </w:tcPr>
          <w:p w:rsidR="009B6AF6" w:rsidRPr="00990D3B" w:rsidP="00C200ED" w14:paraId="797FE962" w14:textId="77777777">
            <w:pPr>
              <w:pStyle w:val="EQRTableText"/>
              <w:rPr>
                <w:rFonts w:eastAsiaTheme="minorHAnsi"/>
              </w:rPr>
            </w:pPr>
            <w:r w:rsidRPr="00990D3B">
              <w:rPr>
                <w:rFonts w:eastAsiaTheme="minorHAnsi"/>
              </w:rPr>
              <w:t> </w:t>
            </w:r>
          </w:p>
        </w:tc>
      </w:tr>
    </w:tbl>
    <w:p w:rsidR="00A37EE8" w:rsidRPr="00990D3B" w:rsidP="00B5252D" w14:paraId="4A37C16D" w14:textId="77777777">
      <w:pPr>
        <w:pStyle w:val="ParagraphContinued"/>
      </w:pPr>
      <w:bookmarkStart w:id="607" w:name="_Toc125619172"/>
    </w:p>
    <w:p w:rsidR="009B6AF6" w:rsidRPr="00990D3B" w:rsidP="00A54412" w14:paraId="4478762D" w14:textId="5C2D202A">
      <w:pPr>
        <w:pStyle w:val="EQRMarkforExhibitWORKSHEET"/>
      </w:pPr>
      <w:bookmarkStart w:id="608" w:name="WSp5n02"/>
      <w:bookmarkStart w:id="609" w:name="_Toc201751534"/>
      <w:bookmarkEnd w:id="608"/>
      <w:r w:rsidRPr="00990D3B">
        <w:t>Worksheet 5.2. Data Element Validity Requirements</w:t>
      </w:r>
      <w:bookmarkEnd w:id="607"/>
      <w:bookmarkEnd w:id="609"/>
    </w:p>
    <w:p w:rsidR="009B6AF6" w:rsidRPr="00990D3B" w:rsidP="00C200ED" w14:paraId="5C5A877E" w14:textId="0376F463">
      <w:pPr>
        <w:pStyle w:val="EQRNormalSSWORKSHEET"/>
      </w:pPr>
      <w:r w:rsidRPr="00990D3B">
        <w:rPr>
          <w:b/>
        </w:rPr>
        <w:t xml:space="preserve">Instructions. </w:t>
      </w:r>
      <w:r w:rsidRPr="00990D3B" w:rsidR="00A37EE8">
        <w:t xml:space="preserve">Use the table below to </w:t>
      </w:r>
      <w:r w:rsidRPr="00990D3B">
        <w:t>document the state’s specific requirements for validating each data element by type of service</w:t>
      </w:r>
      <w:r w:rsidRPr="00990D3B" w:rsidR="00A37EE8">
        <w:t>. This information can be used to e</w:t>
      </w:r>
      <w:r w:rsidRPr="00990D3B">
        <w:t xml:space="preserve">valuate each file received to validate the specific data elements. </w:t>
      </w:r>
      <w:r w:rsidRPr="00990D3B" w:rsidR="00A37EE8">
        <w:t>A</w:t>
      </w:r>
      <w:r w:rsidRPr="00990D3B">
        <w:t xml:space="preserve">dd rows as necessary to incorporate all data elements for which the state identifies specific validation requirements. Definitions for this activity include: </w:t>
      </w:r>
    </w:p>
    <w:p w:rsidR="009B6AF6" w:rsidRPr="00990D3B" w:rsidP="00ED0F7C" w14:paraId="180CE33D" w14:textId="50D47222">
      <w:pPr>
        <w:pStyle w:val="EQRNormalSSWSbullet"/>
      </w:pPr>
      <w:r w:rsidRPr="00990D3B">
        <w:rPr>
          <w:b/>
        </w:rPr>
        <w:t>Expectation.</w:t>
      </w:r>
      <w:r w:rsidRPr="00990D3B">
        <w:rPr>
          <w:b/>
          <w:i/>
        </w:rPr>
        <w:t xml:space="preserve"> </w:t>
      </w:r>
      <w:r w:rsidRPr="00990D3B" w:rsidR="00A37EE8">
        <w:rPr>
          <w:bCs/>
          <w:iCs/>
        </w:rPr>
        <w:t>T</w:t>
      </w:r>
      <w:r w:rsidRPr="00990D3B">
        <w:t>he general requirement(s) for validating each data element.</w:t>
      </w:r>
    </w:p>
    <w:p w:rsidR="009B6AF6" w:rsidRPr="00990D3B" w:rsidP="00EA1C3A" w14:paraId="4176554E" w14:textId="5F1DB1D6">
      <w:pPr>
        <w:pStyle w:val="EQRNormalSSWSbullet"/>
      </w:pPr>
      <w:r w:rsidRPr="00990D3B">
        <w:rPr>
          <w:b/>
        </w:rPr>
        <w:t xml:space="preserve">Validation </w:t>
      </w:r>
      <w:r w:rsidRPr="00990D3B" w:rsidR="00A37EE8">
        <w:rPr>
          <w:b/>
        </w:rPr>
        <w:t>c</w:t>
      </w:r>
      <w:r w:rsidRPr="00990D3B">
        <w:rPr>
          <w:b/>
        </w:rPr>
        <w:t>riteria.</w:t>
      </w:r>
      <w:r w:rsidRPr="00990D3B">
        <w:rPr>
          <w:b/>
          <w:i/>
        </w:rPr>
        <w:t xml:space="preserve"> </w:t>
      </w:r>
      <w:r w:rsidRPr="00990D3B" w:rsidR="00A37EE8">
        <w:rPr>
          <w:bCs/>
          <w:iCs/>
        </w:rPr>
        <w:t>T</w:t>
      </w:r>
      <w:r w:rsidRPr="00990D3B">
        <w:t xml:space="preserve">he validation threshold for each data element. Typically, the column will include a quantitative expression of the description in the Expectation column. </w:t>
      </w:r>
    </w:p>
    <w:p w:rsidR="006A057F" w:rsidRPr="00990D3B" w:rsidP="00C83B5D" w14:paraId="2FC2281D" w14:textId="6BEBE90F">
      <w:pPr>
        <w:pStyle w:val="EQRNormalSSWORKSHEET"/>
      </w:pPr>
      <w:r w:rsidRPr="00990D3B">
        <w:t xml:space="preserve">Acronyms: </w:t>
      </w:r>
      <w:r w:rsidRPr="00990D3B" w:rsidR="00E00514">
        <w:t xml:space="preserve">CPT = Current Procedural Terminology; </w:t>
      </w:r>
      <w:r w:rsidRPr="00990D3B">
        <w:t>EQRO = External Quality Review Organization;</w:t>
      </w:r>
      <w:r w:rsidRPr="00990D3B" w:rsidR="00E00514">
        <w:t xml:space="preserve"> FDOS= First Date of Service; HCPCS = Healthcare Common Procedure Coding System; ID = Identification; LDOS = Last Date of Service; </w:t>
      </w:r>
      <w:r w:rsidRPr="00990D3B">
        <w:t xml:space="preserve">MCP= Managed Care Plan; </w:t>
      </w:r>
      <w:r w:rsidRPr="00990D3B" w:rsidR="00E00514">
        <w:t>SSN= Social Security Number; UB = Uniform Billing</w:t>
      </w:r>
      <w:r w:rsidRPr="00990D3B" w:rsidR="00BD1FC3">
        <w:t xml:space="preserve">. </w:t>
      </w:r>
    </w:p>
    <w:tbl>
      <w:tblPr>
        <w:tblStyle w:val="TableGrid"/>
        <w:tblW w:w="5000" w:type="pct"/>
        <w:tblInd w:w="-5" w:type="dxa"/>
        <w:tblLayout w:type="fixed"/>
        <w:tblLook w:val="04A0"/>
      </w:tblPr>
      <w:tblGrid>
        <w:gridCol w:w="2562"/>
        <w:gridCol w:w="3624"/>
        <w:gridCol w:w="3164"/>
      </w:tblGrid>
      <w:tr w14:paraId="44DE7220" w14:textId="77777777" w:rsidTr="000105F3">
        <w:tblPrEx>
          <w:tblW w:w="5000" w:type="pct"/>
          <w:tblInd w:w="-5" w:type="dxa"/>
          <w:tblLayout w:type="fixed"/>
          <w:tblLook w:val="04A0"/>
        </w:tblPrEx>
        <w:trPr>
          <w:cantSplit/>
          <w:trHeight w:val="20"/>
          <w:tblHeader/>
        </w:trPr>
        <w:tc>
          <w:tcPr>
            <w:tcW w:w="9350" w:type="dxa"/>
            <w:gridSpan w:val="3"/>
          </w:tcPr>
          <w:p w:rsidR="009B6AF6" w:rsidRPr="00990D3B" w:rsidP="00C200ED" w14:paraId="73B36960" w14:textId="5C3A5A96">
            <w:pPr>
              <w:pStyle w:val="EQRTableText"/>
              <w:rPr>
                <w:b/>
                <w:bCs/>
              </w:rPr>
            </w:pPr>
            <w:r w:rsidRPr="00990D3B">
              <w:rPr>
                <w:b/>
                <w:bCs/>
              </w:rPr>
              <w:t xml:space="preserve">Service </w:t>
            </w:r>
            <w:r w:rsidRPr="00990D3B" w:rsidR="00BD1FC3">
              <w:rPr>
                <w:b/>
                <w:bCs/>
              </w:rPr>
              <w:t>t</w:t>
            </w:r>
            <w:r w:rsidRPr="00990D3B">
              <w:rPr>
                <w:b/>
                <w:bCs/>
              </w:rPr>
              <w:t>ype:</w:t>
            </w:r>
          </w:p>
        </w:tc>
      </w:tr>
      <w:tr w14:paraId="3FC39451" w14:textId="77777777" w:rsidTr="000105F3">
        <w:tblPrEx>
          <w:tblW w:w="5000" w:type="pct"/>
          <w:tblInd w:w="-5" w:type="dxa"/>
          <w:tblLayout w:type="fixed"/>
          <w:tblLook w:val="04A0"/>
        </w:tblPrEx>
        <w:trPr>
          <w:cantSplit/>
          <w:trHeight w:val="20"/>
          <w:tblHeader/>
        </w:trPr>
        <w:tc>
          <w:tcPr>
            <w:tcW w:w="2562" w:type="dxa"/>
          </w:tcPr>
          <w:p w:rsidR="009B6AF6" w:rsidRPr="00990D3B" w:rsidP="00C200ED" w14:paraId="24CCFEFB" w14:textId="77777777">
            <w:pPr>
              <w:pStyle w:val="EQRTableText"/>
              <w:rPr>
                <w:b/>
                <w:bCs/>
              </w:rPr>
            </w:pPr>
            <w:r w:rsidRPr="00990D3B">
              <w:rPr>
                <w:b/>
                <w:bCs/>
              </w:rPr>
              <w:t>Data element</w:t>
            </w:r>
          </w:p>
        </w:tc>
        <w:tc>
          <w:tcPr>
            <w:tcW w:w="3624" w:type="dxa"/>
          </w:tcPr>
          <w:p w:rsidR="009B6AF6" w:rsidRPr="00990D3B" w:rsidP="00C200ED" w14:paraId="675EB65A" w14:textId="77777777">
            <w:pPr>
              <w:pStyle w:val="EQRTableText"/>
              <w:rPr>
                <w:b/>
                <w:bCs/>
              </w:rPr>
            </w:pPr>
            <w:r w:rsidRPr="00990D3B">
              <w:rPr>
                <w:b/>
                <w:bCs/>
              </w:rPr>
              <w:t>Expectation</w:t>
            </w:r>
          </w:p>
        </w:tc>
        <w:tc>
          <w:tcPr>
            <w:tcW w:w="3164" w:type="dxa"/>
          </w:tcPr>
          <w:p w:rsidR="009B6AF6" w:rsidRPr="00990D3B" w:rsidP="00C200ED" w14:paraId="37868C5D" w14:textId="2B9D346C">
            <w:pPr>
              <w:pStyle w:val="EQRTableText"/>
              <w:rPr>
                <w:b/>
                <w:bCs/>
              </w:rPr>
            </w:pPr>
            <w:r w:rsidRPr="00990D3B">
              <w:rPr>
                <w:b/>
                <w:bCs/>
              </w:rPr>
              <w:t>V</w:t>
            </w:r>
            <w:r w:rsidRPr="00990D3B">
              <w:rPr>
                <w:b/>
                <w:bCs/>
              </w:rPr>
              <w:t>alidation criteria</w:t>
            </w:r>
          </w:p>
        </w:tc>
      </w:tr>
      <w:tr w14:paraId="6F8F9015" w14:textId="77777777" w:rsidTr="000105F3">
        <w:tblPrEx>
          <w:tblW w:w="5000" w:type="pct"/>
          <w:tblInd w:w="-5" w:type="dxa"/>
          <w:tblLayout w:type="fixed"/>
          <w:tblLook w:val="04A0"/>
        </w:tblPrEx>
        <w:trPr>
          <w:cantSplit/>
          <w:trHeight w:val="20"/>
        </w:trPr>
        <w:tc>
          <w:tcPr>
            <w:tcW w:w="2562" w:type="dxa"/>
          </w:tcPr>
          <w:p w:rsidR="009B6AF6" w:rsidRPr="00990D3B" w:rsidP="00C200ED" w14:paraId="4D1DBAAC" w14:textId="14F92291">
            <w:pPr>
              <w:pStyle w:val="EQRTableText"/>
            </w:pPr>
          </w:p>
        </w:tc>
        <w:tc>
          <w:tcPr>
            <w:tcW w:w="3624" w:type="dxa"/>
          </w:tcPr>
          <w:p w:rsidR="009B6AF6" w:rsidRPr="00990D3B" w:rsidP="00C200ED" w14:paraId="088F2AC2" w14:textId="62208773">
            <w:pPr>
              <w:pStyle w:val="EQRTableText"/>
            </w:pPr>
          </w:p>
        </w:tc>
        <w:tc>
          <w:tcPr>
            <w:tcW w:w="3164" w:type="dxa"/>
          </w:tcPr>
          <w:p w:rsidR="009B6AF6" w:rsidRPr="00990D3B" w:rsidP="00C200ED" w14:paraId="776818E2" w14:textId="37EEE052">
            <w:pPr>
              <w:pStyle w:val="EQRTableText"/>
            </w:pPr>
          </w:p>
        </w:tc>
      </w:tr>
      <w:tr w14:paraId="02EADC84" w14:textId="77777777" w:rsidTr="000105F3">
        <w:tblPrEx>
          <w:tblW w:w="5000" w:type="pct"/>
          <w:tblInd w:w="-5" w:type="dxa"/>
          <w:tblLayout w:type="fixed"/>
          <w:tblLook w:val="04A0"/>
        </w:tblPrEx>
        <w:trPr>
          <w:cantSplit/>
          <w:trHeight w:val="20"/>
        </w:trPr>
        <w:tc>
          <w:tcPr>
            <w:tcW w:w="2562" w:type="dxa"/>
          </w:tcPr>
          <w:p w:rsidR="009B6AF6" w:rsidRPr="00990D3B" w:rsidP="00C200ED" w14:paraId="71976ABD" w14:textId="008073F6">
            <w:pPr>
              <w:pStyle w:val="EQRTableText"/>
            </w:pPr>
          </w:p>
        </w:tc>
        <w:tc>
          <w:tcPr>
            <w:tcW w:w="3624" w:type="dxa"/>
          </w:tcPr>
          <w:p w:rsidR="009B6AF6" w:rsidRPr="00990D3B" w:rsidP="00C200ED" w14:paraId="58E6D144" w14:textId="598C9016">
            <w:pPr>
              <w:pStyle w:val="EQRTableText"/>
            </w:pPr>
          </w:p>
        </w:tc>
        <w:tc>
          <w:tcPr>
            <w:tcW w:w="3164" w:type="dxa"/>
          </w:tcPr>
          <w:p w:rsidR="009B6AF6" w:rsidRPr="00990D3B" w:rsidP="00C200ED" w14:paraId="29F6FA3E" w14:textId="34AFDBB5">
            <w:pPr>
              <w:pStyle w:val="EQRTableText"/>
            </w:pPr>
          </w:p>
        </w:tc>
      </w:tr>
    </w:tbl>
    <w:p w:rsidR="00ED2673" w:rsidRPr="00990D3B" w:rsidP="00532FA0" w14:paraId="59221B01" w14:textId="3044AB76">
      <w:pPr>
        <w:pStyle w:val="EQRNormalSSWORKSHEET"/>
      </w:pPr>
    </w:p>
    <w:p w:rsidR="00BD1FC3" w:rsidRPr="00990D3B" w:rsidP="00565EB9" w14:paraId="299DA353" w14:textId="6212EB2C">
      <w:pPr>
        <w:pStyle w:val="EQRMarkforExhibitWORKSHEET"/>
      </w:pPr>
      <w:bookmarkStart w:id="610" w:name="_Toc201751535"/>
      <w:r w:rsidRPr="00990D3B">
        <w:t>Example Worksheet 5.2. Data Element Validity Requirements</w:t>
      </w:r>
      <w:bookmarkEnd w:id="610"/>
    </w:p>
    <w:tbl>
      <w:tblPr>
        <w:tblStyle w:val="TableGrid"/>
        <w:tblW w:w="5000" w:type="pct"/>
        <w:tblInd w:w="-5" w:type="dxa"/>
        <w:tblLayout w:type="fixed"/>
        <w:tblLook w:val="04A0"/>
      </w:tblPr>
      <w:tblGrid>
        <w:gridCol w:w="2562"/>
        <w:gridCol w:w="3624"/>
        <w:gridCol w:w="3164"/>
      </w:tblGrid>
      <w:tr w14:paraId="00EC2D7F" w14:textId="77777777" w:rsidTr="00666AC0">
        <w:tblPrEx>
          <w:tblW w:w="5000" w:type="pct"/>
          <w:tblInd w:w="-5" w:type="dxa"/>
          <w:tblLayout w:type="fixed"/>
          <w:tblLook w:val="04A0"/>
        </w:tblPrEx>
        <w:trPr>
          <w:cantSplit/>
          <w:trHeight w:val="20"/>
          <w:tblHeader/>
        </w:trPr>
        <w:tc>
          <w:tcPr>
            <w:tcW w:w="9350" w:type="dxa"/>
            <w:gridSpan w:val="3"/>
          </w:tcPr>
          <w:p w:rsidR="00BD1FC3" w:rsidRPr="00990D3B" w:rsidP="00C83B5D" w14:paraId="5005932E" w14:textId="045B4557">
            <w:pPr>
              <w:pStyle w:val="EQRTableHeaderLeft"/>
              <w:rPr>
                <w:color w:val="auto"/>
              </w:rPr>
            </w:pPr>
            <w:r w:rsidRPr="00990D3B">
              <w:rPr>
                <w:color w:val="auto"/>
              </w:rPr>
              <w:t>Service type:</w:t>
            </w:r>
            <w:r w:rsidRPr="00990D3B" w:rsidR="00D71154">
              <w:rPr>
                <w:color w:val="auto"/>
              </w:rPr>
              <w:t xml:space="preserve"> Inpatient </w:t>
            </w:r>
          </w:p>
        </w:tc>
      </w:tr>
      <w:tr w14:paraId="54B16AE1" w14:textId="77777777" w:rsidTr="00666AC0">
        <w:tblPrEx>
          <w:tblW w:w="5000" w:type="pct"/>
          <w:tblInd w:w="-5" w:type="dxa"/>
          <w:tblLayout w:type="fixed"/>
          <w:tblLook w:val="04A0"/>
        </w:tblPrEx>
        <w:trPr>
          <w:cantSplit/>
          <w:trHeight w:val="20"/>
          <w:tblHeader/>
        </w:trPr>
        <w:tc>
          <w:tcPr>
            <w:tcW w:w="2562" w:type="dxa"/>
          </w:tcPr>
          <w:p w:rsidR="00BD1FC3" w:rsidRPr="00990D3B" w:rsidP="00C83B5D" w14:paraId="7F9A162F" w14:textId="77777777">
            <w:pPr>
              <w:pStyle w:val="EQRTableHeaderLeft"/>
              <w:rPr>
                <w:color w:val="auto"/>
              </w:rPr>
            </w:pPr>
            <w:r w:rsidRPr="00990D3B">
              <w:rPr>
                <w:color w:val="auto"/>
              </w:rPr>
              <w:t>Data element</w:t>
            </w:r>
          </w:p>
        </w:tc>
        <w:tc>
          <w:tcPr>
            <w:tcW w:w="3624" w:type="dxa"/>
          </w:tcPr>
          <w:p w:rsidR="00BD1FC3" w:rsidRPr="00990D3B" w:rsidP="00C83B5D" w14:paraId="5551F9FE" w14:textId="77777777">
            <w:pPr>
              <w:pStyle w:val="EQRTableHeaderCenter"/>
              <w:rPr>
                <w:color w:val="auto"/>
              </w:rPr>
            </w:pPr>
            <w:r w:rsidRPr="00990D3B">
              <w:rPr>
                <w:color w:val="auto"/>
              </w:rPr>
              <w:t>Expectation</w:t>
            </w:r>
          </w:p>
        </w:tc>
        <w:tc>
          <w:tcPr>
            <w:tcW w:w="3164" w:type="dxa"/>
          </w:tcPr>
          <w:p w:rsidR="00BD1FC3" w:rsidRPr="00990D3B" w:rsidP="00C83B5D" w14:paraId="44F06076" w14:textId="5D15FFDC">
            <w:pPr>
              <w:pStyle w:val="EQRTableHeaderCenter"/>
              <w:rPr>
                <w:color w:val="auto"/>
              </w:rPr>
            </w:pPr>
            <w:r w:rsidRPr="00990D3B">
              <w:rPr>
                <w:color w:val="auto"/>
              </w:rPr>
              <w:t>Validation criteria</w:t>
            </w:r>
          </w:p>
        </w:tc>
      </w:tr>
      <w:tr w14:paraId="4FA4033E" w14:textId="77777777" w:rsidTr="00666AC0">
        <w:tblPrEx>
          <w:tblW w:w="5000" w:type="pct"/>
          <w:tblInd w:w="-5" w:type="dxa"/>
          <w:tblLayout w:type="fixed"/>
          <w:tblLook w:val="04A0"/>
        </w:tblPrEx>
        <w:trPr>
          <w:cantSplit/>
          <w:trHeight w:val="20"/>
        </w:trPr>
        <w:tc>
          <w:tcPr>
            <w:tcW w:w="2562" w:type="dxa"/>
          </w:tcPr>
          <w:p w:rsidR="00BD1FC3" w:rsidRPr="00990D3B" w:rsidP="00666AC0" w14:paraId="355E15AD" w14:textId="77777777">
            <w:pPr>
              <w:pStyle w:val="EQRTableText"/>
            </w:pPr>
            <w:r w:rsidRPr="00990D3B">
              <w:t>Enrollee ID</w:t>
            </w:r>
          </w:p>
        </w:tc>
        <w:tc>
          <w:tcPr>
            <w:tcW w:w="3624" w:type="dxa"/>
          </w:tcPr>
          <w:p w:rsidR="00BD1FC3" w:rsidRPr="00990D3B" w:rsidP="00666AC0" w14:paraId="757262D0" w14:textId="77777777">
            <w:pPr>
              <w:pStyle w:val="EQRTableText"/>
            </w:pPr>
            <w:r w:rsidRPr="00990D3B">
              <w:t>A valid enrollee ID (e.g., Medicaid ID Number; SSN) as documented in the state’s eligibility file.</w:t>
            </w:r>
          </w:p>
        </w:tc>
        <w:tc>
          <w:tcPr>
            <w:tcW w:w="3164" w:type="dxa"/>
          </w:tcPr>
          <w:p w:rsidR="00BD1FC3" w:rsidRPr="00990D3B" w:rsidP="00666AC0" w14:paraId="4045C504" w14:textId="77777777">
            <w:pPr>
              <w:pStyle w:val="EQRTableText"/>
            </w:pPr>
            <w:r w:rsidRPr="00990D3B">
              <w:t>98% valid.</w:t>
            </w:r>
          </w:p>
        </w:tc>
      </w:tr>
      <w:tr w14:paraId="7D0A35C2" w14:textId="77777777" w:rsidTr="00666AC0">
        <w:tblPrEx>
          <w:tblW w:w="5000" w:type="pct"/>
          <w:tblInd w:w="-5" w:type="dxa"/>
          <w:tblLayout w:type="fixed"/>
          <w:tblLook w:val="04A0"/>
        </w:tblPrEx>
        <w:trPr>
          <w:cantSplit/>
          <w:trHeight w:val="20"/>
        </w:trPr>
        <w:tc>
          <w:tcPr>
            <w:tcW w:w="2562" w:type="dxa"/>
          </w:tcPr>
          <w:p w:rsidR="00BD1FC3" w:rsidRPr="00990D3B" w:rsidP="00666AC0" w14:paraId="621D44BA" w14:textId="77777777">
            <w:pPr>
              <w:pStyle w:val="EQRTableText"/>
            </w:pPr>
            <w:r w:rsidRPr="00990D3B">
              <w:t>Date of service (FDOS; LDOS)</w:t>
            </w:r>
          </w:p>
        </w:tc>
        <w:tc>
          <w:tcPr>
            <w:tcW w:w="3624" w:type="dxa"/>
          </w:tcPr>
          <w:p w:rsidR="00BD1FC3" w:rsidRPr="00990D3B" w:rsidP="00666AC0" w14:paraId="17E2804B" w14:textId="77777777">
            <w:pPr>
              <w:pStyle w:val="EQRTableText"/>
            </w:pPr>
            <w:r w:rsidRPr="00990D3B">
              <w:t>Dates of service should be distributed across the entire period analyzed. Look for large month-to-month increases or decreases. Also, look for months with encounters that may be missing entirely.</w:t>
            </w:r>
          </w:p>
        </w:tc>
        <w:tc>
          <w:tcPr>
            <w:tcW w:w="3164" w:type="dxa"/>
          </w:tcPr>
          <w:p w:rsidR="00BD1FC3" w:rsidRPr="00990D3B" w:rsidP="00666AC0" w14:paraId="67608639" w14:textId="77777777">
            <w:pPr>
              <w:pStyle w:val="EQRTableText"/>
            </w:pPr>
            <w:r w:rsidRPr="00990D3B">
              <w:t>Calculate the average number of encounters per month over the period specified in the study. In general, month-to-month differences should be relatively small. Document any outliers and request an explanation from the MCP.</w:t>
            </w:r>
          </w:p>
        </w:tc>
      </w:tr>
      <w:tr w14:paraId="183A8663" w14:textId="77777777" w:rsidTr="00666AC0">
        <w:tblPrEx>
          <w:tblW w:w="5000" w:type="pct"/>
          <w:tblInd w:w="-5" w:type="dxa"/>
          <w:tblLayout w:type="fixed"/>
          <w:tblLook w:val="04A0"/>
        </w:tblPrEx>
        <w:trPr>
          <w:cantSplit/>
          <w:trHeight w:val="20"/>
        </w:trPr>
        <w:tc>
          <w:tcPr>
            <w:tcW w:w="2562" w:type="dxa"/>
          </w:tcPr>
          <w:p w:rsidR="00BD1FC3" w:rsidRPr="00990D3B" w:rsidP="00666AC0" w14:paraId="0BBD59C0" w14:textId="77777777">
            <w:pPr>
              <w:pStyle w:val="EQRTableText"/>
            </w:pPr>
            <w:r w:rsidRPr="00990D3B">
              <w:t>Unit of service (Quantity)</w:t>
            </w:r>
          </w:p>
        </w:tc>
        <w:tc>
          <w:tcPr>
            <w:tcW w:w="3624" w:type="dxa"/>
          </w:tcPr>
          <w:p w:rsidR="00BD1FC3" w:rsidRPr="00990D3B" w:rsidP="00666AC0" w14:paraId="7A28E167" w14:textId="77777777">
            <w:pPr>
              <w:pStyle w:val="EQRTableText"/>
            </w:pPr>
            <w:r w:rsidRPr="00990D3B">
              <w:t>This field should generally include the units billed for each type of medical service (e.g., 2 units ≥ 23 minutes through 37 minutes).</w:t>
            </w:r>
          </w:p>
        </w:tc>
        <w:tc>
          <w:tcPr>
            <w:tcW w:w="3164" w:type="dxa"/>
          </w:tcPr>
          <w:p w:rsidR="00BD1FC3" w:rsidRPr="00990D3B" w:rsidP="00666AC0" w14:paraId="0D5C37A3" w14:textId="77777777">
            <w:pPr>
              <w:pStyle w:val="EQRTableText"/>
              <w:spacing w:after="120"/>
            </w:pPr>
            <w:r w:rsidRPr="00990D3B">
              <w:t>X% non-zero.</w:t>
            </w:r>
          </w:p>
          <w:p w:rsidR="00BD1FC3" w:rsidRPr="00990D3B" w:rsidP="00666AC0" w14:paraId="25CF2E93" w14:textId="77777777">
            <w:pPr>
              <w:pStyle w:val="EQRTableText"/>
            </w:pPr>
            <w:r w:rsidRPr="00990D3B">
              <w:t>&lt; Y% should be 1 if CPT</w:t>
            </w:r>
            <w:r w:rsidRPr="00990D3B">
              <w:rPr>
                <w:rFonts w:cs="Arial"/>
              </w:rPr>
              <w:t>®</w:t>
            </w:r>
            <w:r w:rsidRPr="00990D3B">
              <w:t xml:space="preserve"> code in range 99200-99215, 99241-99291.</w:t>
            </w:r>
          </w:p>
        </w:tc>
      </w:tr>
      <w:tr w14:paraId="7E66704A" w14:textId="77777777" w:rsidTr="00666AC0">
        <w:tblPrEx>
          <w:tblW w:w="5000" w:type="pct"/>
          <w:tblInd w:w="-5" w:type="dxa"/>
          <w:tblLayout w:type="fixed"/>
          <w:tblLook w:val="04A0"/>
        </w:tblPrEx>
        <w:trPr>
          <w:cantSplit/>
          <w:trHeight w:val="20"/>
        </w:trPr>
        <w:tc>
          <w:tcPr>
            <w:tcW w:w="2562" w:type="dxa"/>
          </w:tcPr>
          <w:p w:rsidR="00BD1FC3" w:rsidRPr="00990D3B" w:rsidP="00666AC0" w14:paraId="1842344C" w14:textId="77777777">
            <w:pPr>
              <w:pStyle w:val="EQRTableText"/>
            </w:pPr>
            <w:r w:rsidRPr="00990D3B">
              <w:t>Procedure code</w:t>
            </w:r>
          </w:p>
        </w:tc>
        <w:tc>
          <w:tcPr>
            <w:tcW w:w="3624" w:type="dxa"/>
            <w:tcMar>
              <w:top w:w="14" w:type="dxa"/>
              <w:left w:w="115" w:type="dxa"/>
              <w:right w:w="115" w:type="dxa"/>
            </w:tcMar>
          </w:tcPr>
          <w:p w:rsidR="00BD1FC3" w:rsidRPr="00990D3B" w:rsidP="00666AC0" w14:paraId="3EDD0128" w14:textId="77777777">
            <w:pPr>
              <w:pStyle w:val="EQRTableText"/>
            </w:pPr>
            <w:r w:rsidRPr="00990D3B">
              <w:t>Should include valid CPT</w:t>
            </w:r>
            <w:r w:rsidRPr="00990D3B">
              <w:rPr>
                <w:rFonts w:cs="Arial"/>
              </w:rPr>
              <w:t>®</w:t>
            </w:r>
            <w:r w:rsidRPr="00990D3B">
              <w:t xml:space="preserve"> and HCPCS values, or another state-approved code.</w:t>
            </w:r>
          </w:p>
        </w:tc>
        <w:tc>
          <w:tcPr>
            <w:tcW w:w="3164" w:type="dxa"/>
          </w:tcPr>
          <w:p w:rsidR="00BD1FC3" w:rsidRPr="00990D3B" w:rsidP="00666AC0" w14:paraId="3F822230" w14:textId="77777777">
            <w:pPr>
              <w:pStyle w:val="EQRTableText"/>
            </w:pPr>
            <w:r w:rsidRPr="00990D3B">
              <w:t>At least 98% of the values in this field should be valid (i.e., non-zero, not blank, and not 8-or-filled) and in the expected format.</w:t>
            </w:r>
          </w:p>
        </w:tc>
      </w:tr>
      <w:tr w14:paraId="35AEA3CC" w14:textId="77777777" w:rsidTr="00666AC0">
        <w:tblPrEx>
          <w:tblW w:w="5000" w:type="pct"/>
          <w:tblInd w:w="-5" w:type="dxa"/>
          <w:tblLayout w:type="fixed"/>
          <w:tblLook w:val="04A0"/>
        </w:tblPrEx>
        <w:trPr>
          <w:cantSplit/>
          <w:trHeight w:val="20"/>
        </w:trPr>
        <w:tc>
          <w:tcPr>
            <w:tcW w:w="2562" w:type="dxa"/>
          </w:tcPr>
          <w:p w:rsidR="00BD1FC3" w:rsidRPr="00990D3B" w:rsidP="00666AC0" w14:paraId="3AEEB374" w14:textId="77777777">
            <w:pPr>
              <w:pStyle w:val="EQRTableText"/>
            </w:pPr>
            <w:r w:rsidRPr="00990D3B">
              <w:t>Revenue code (Hospital)</w:t>
            </w:r>
          </w:p>
        </w:tc>
        <w:tc>
          <w:tcPr>
            <w:tcW w:w="3624" w:type="dxa"/>
            <w:tcMar>
              <w:top w:w="14" w:type="dxa"/>
              <w:left w:w="115" w:type="dxa"/>
              <w:right w:w="115" w:type="dxa"/>
            </w:tcMar>
          </w:tcPr>
          <w:p w:rsidR="00BD1FC3" w:rsidRPr="00990D3B" w:rsidP="00666AC0" w14:paraId="72674A9F" w14:textId="77777777">
            <w:pPr>
              <w:pStyle w:val="EQRTableText"/>
            </w:pPr>
            <w:r w:rsidRPr="00990D3B">
              <w:t>If the facility uses a UB04 claim form, this field should always be populated on inpatient encounters.</w:t>
            </w:r>
          </w:p>
        </w:tc>
        <w:tc>
          <w:tcPr>
            <w:tcW w:w="3164" w:type="dxa"/>
          </w:tcPr>
          <w:p w:rsidR="00BD1FC3" w:rsidRPr="00990D3B" w:rsidP="00666AC0" w14:paraId="7FA69BA9" w14:textId="77777777">
            <w:pPr>
              <w:pStyle w:val="EQRTableText"/>
            </w:pPr>
            <w:r w:rsidRPr="00990D3B">
              <w:t>At least 98% of the values for this field on inpatient claims should be valid and in the expected format.</w:t>
            </w:r>
          </w:p>
        </w:tc>
      </w:tr>
    </w:tbl>
    <w:p w:rsidR="00ED2673" w:rsidRPr="00990D3B" w14:paraId="2B1F3417" w14:textId="77777777">
      <w:pPr>
        <w:spacing w:line="240" w:lineRule="auto"/>
        <w:rPr>
          <w:rFonts w:ascii="Arial Black" w:eastAsia="Arial" w:hAnsi="Arial Black" w:cs="Arial"/>
          <w:color w:val="000000" w:themeColor="text1"/>
          <w:sz w:val="19"/>
          <w:szCs w:val="19"/>
        </w:rPr>
      </w:pPr>
      <w:r w:rsidRPr="00990D3B">
        <w:br w:type="page"/>
      </w:r>
    </w:p>
    <w:p w:rsidR="009B6AF6" w:rsidRPr="00990D3B" w:rsidP="00565EB9" w14:paraId="13C10D4A" w14:textId="0C72CC95">
      <w:pPr>
        <w:pStyle w:val="EQRMarkforExhibitWORKSHEET"/>
      </w:pPr>
      <w:bookmarkStart w:id="611" w:name="WSp5n03"/>
      <w:bookmarkStart w:id="612" w:name="_Toc125619173"/>
      <w:bookmarkStart w:id="613" w:name="_Toc201751536"/>
      <w:bookmarkEnd w:id="611"/>
      <w:r w:rsidRPr="00990D3B">
        <w:t>Worksheet 5.3. Evaluation of Submitted Fields</w:t>
      </w:r>
      <w:bookmarkEnd w:id="612"/>
      <w:bookmarkEnd w:id="613"/>
    </w:p>
    <w:p w:rsidR="009B6AF6" w:rsidRPr="00990D3B" w:rsidP="00D71154" w14:paraId="702786E1" w14:textId="0CEAF75A">
      <w:pPr>
        <w:pStyle w:val="EQRTableText"/>
      </w:pPr>
      <w:r w:rsidRPr="00990D3B">
        <w:rPr>
          <w:b/>
        </w:rPr>
        <w:t>Instructions</w:t>
      </w:r>
      <w:r w:rsidRPr="00990D3B">
        <w:t xml:space="preserve">. </w:t>
      </w:r>
      <w:r w:rsidRPr="00990D3B" w:rsidR="00D71154">
        <w:t xml:space="preserve">Use the table below to </w:t>
      </w:r>
      <w:r w:rsidRPr="00990D3B">
        <w:t xml:space="preserve">document findings for each data element. </w:t>
      </w:r>
      <w:r w:rsidRPr="00990D3B" w:rsidR="00D71154">
        <w:t xml:space="preserve">Add rows as needed. </w:t>
      </w:r>
      <w:r w:rsidRPr="00990D3B">
        <w:t xml:space="preserve">To complete </w:t>
      </w:r>
      <w:r w:rsidRPr="00990D3B" w:rsidR="00D71154">
        <w:t>the table,</w:t>
      </w:r>
      <w:r w:rsidRPr="00990D3B">
        <w:t xml:space="preserve"> ask the following questions:</w:t>
      </w:r>
      <w:r w:rsidRPr="00990D3B" w:rsidR="00D71154">
        <w:t xml:space="preserve"> </w:t>
      </w:r>
    </w:p>
    <w:p w:rsidR="009B6AF6" w:rsidRPr="00990D3B" w:rsidP="002D35CF" w14:paraId="376E4C04" w14:textId="3C594B25">
      <w:pPr>
        <w:pStyle w:val="EQRNormalSSWSquestionNUMBER"/>
        <w:numPr>
          <w:ilvl w:val="0"/>
          <w:numId w:val="221"/>
        </w:numPr>
      </w:pPr>
      <w:r w:rsidRPr="00990D3B">
        <w:t>Is there information in the field, and is the information of the type (e.g., numeric) and format (e.g., MM/DD/YYYY) required?</w:t>
      </w:r>
    </w:p>
    <w:p w:rsidR="009B6AF6" w:rsidRPr="00990D3B" w:rsidP="00ED0F7C" w14:paraId="1D670D0C" w14:textId="33C0A74A">
      <w:pPr>
        <w:pStyle w:val="EQRNormalSSWSbullet"/>
      </w:pPr>
      <w:r w:rsidRPr="00990D3B">
        <w:t>C</w:t>
      </w:r>
      <w:r w:rsidRPr="00990D3B">
        <w:t>heck each data element to determine whether its values are of the type and size specified in the state’s data dictionary. For example, if CPT</w:t>
      </w:r>
      <w:r w:rsidRPr="00990D3B">
        <w:rPr>
          <w:rFonts w:cs="Arial"/>
        </w:rPr>
        <w:t>®</w:t>
      </w:r>
      <w:r w:rsidRPr="00990D3B">
        <w:t xml:space="preserve">-4 codes are required, the field should have 5 characters. If the state’s </w:t>
      </w:r>
      <w:r w:rsidRPr="00990D3B" w:rsidR="00832946">
        <w:t>Medicaid and CHIP</w:t>
      </w:r>
      <w:r w:rsidRPr="00990D3B">
        <w:t xml:space="preserve"> beneficiary ID is required, the field should include the specified number of alpha, numeric, or alphanumeric characters.</w:t>
      </w:r>
    </w:p>
    <w:p w:rsidR="009B6AF6" w:rsidRPr="00990D3B" w:rsidP="004227E1" w14:paraId="156C45CD" w14:textId="120339A1">
      <w:pPr>
        <w:pStyle w:val="EQRNormalSSWSquestionNUMBER"/>
      </w:pPr>
      <w:r w:rsidRPr="00990D3B">
        <w:t>Compared to a generally accepted external standard, are the values in the specified field valid? For example, do the values in the field PROC-CODE match those found in the ICD-10-CM tables?</w:t>
      </w:r>
    </w:p>
    <w:p w:rsidR="00E00514" w:rsidRPr="00990D3B" w:rsidP="00ED2673" w14:paraId="333BF486" w14:textId="1D416C5B">
      <w:pPr>
        <w:pStyle w:val="EQRNormalSSWORKSHEET"/>
        <w:spacing w:before="0" w:line="240" w:lineRule="auto"/>
        <w:rPr>
          <w:sz w:val="20"/>
          <w:szCs w:val="20"/>
        </w:rPr>
      </w:pPr>
      <w:r w:rsidRPr="00990D3B">
        <w:t>Acronyms: CHIP = Children’s Health Insurance Program;</w:t>
      </w:r>
      <w:r w:rsidRPr="00990D3B" w:rsidR="00D13B85">
        <w:t xml:space="preserve"> CPT = Current Procedural Terminology;</w:t>
      </w:r>
      <w:r w:rsidRPr="00990D3B">
        <w:t xml:space="preserve"> </w:t>
      </w:r>
      <w:r w:rsidRPr="00990D3B" w:rsidR="00D13B85">
        <w:t xml:space="preserve">ICD= International Classification of Diseases; ID = Identifier; </w:t>
      </w:r>
      <w:r w:rsidRPr="00990D3B">
        <w:t>EQRO = External Quality Review Organization</w:t>
      </w:r>
      <w:r w:rsidRPr="00990D3B" w:rsidR="00D13B85">
        <w:t xml:space="preserve">. </w:t>
      </w:r>
    </w:p>
    <w:tbl>
      <w:tblPr>
        <w:tblStyle w:val="TableGrid"/>
        <w:tblW w:w="5000" w:type="pct"/>
        <w:tblLook w:val="04A0"/>
      </w:tblPr>
      <w:tblGrid>
        <w:gridCol w:w="1623"/>
        <w:gridCol w:w="859"/>
        <w:gridCol w:w="1018"/>
        <w:gridCol w:w="927"/>
        <w:gridCol w:w="998"/>
        <w:gridCol w:w="986"/>
        <w:gridCol w:w="998"/>
        <w:gridCol w:w="960"/>
        <w:gridCol w:w="981"/>
      </w:tblGrid>
      <w:tr w14:paraId="745EF045" w14:textId="77777777" w:rsidTr="00CE4B81">
        <w:tblPrEx>
          <w:tblW w:w="5000" w:type="pct"/>
          <w:tblLook w:val="04A0"/>
        </w:tblPrEx>
        <w:trPr>
          <w:cantSplit/>
          <w:tblHeader/>
        </w:trPr>
        <w:tc>
          <w:tcPr>
            <w:tcW w:w="1623" w:type="dxa"/>
            <w:vMerge w:val="restart"/>
            <w:vAlign w:val="bottom"/>
          </w:tcPr>
          <w:p w:rsidR="002C4AAC" w:rsidRPr="00990D3B" w:rsidP="003F200D" w14:paraId="75BE850A" w14:textId="535E8060">
            <w:pPr>
              <w:pStyle w:val="EQRTableText"/>
              <w:rPr>
                <w:b/>
                <w:bCs/>
              </w:rPr>
            </w:pPr>
            <w:r w:rsidRPr="00990D3B">
              <w:rPr>
                <w:b/>
                <w:bCs/>
              </w:rPr>
              <w:t>Required field</w:t>
            </w:r>
          </w:p>
        </w:tc>
        <w:tc>
          <w:tcPr>
            <w:tcW w:w="1877" w:type="dxa"/>
            <w:gridSpan w:val="2"/>
            <w:vAlign w:val="bottom"/>
          </w:tcPr>
          <w:p w:rsidR="002C4AAC" w:rsidRPr="00990D3B" w:rsidP="004227E1" w14:paraId="2902B9FC" w14:textId="454B687B">
            <w:pPr>
              <w:pStyle w:val="EQRTableHeaderCenter"/>
              <w:rPr>
                <w:color w:val="auto"/>
              </w:rPr>
            </w:pPr>
            <w:r w:rsidRPr="00990D3B">
              <w:rPr>
                <w:color w:val="auto"/>
              </w:rPr>
              <w:t>Field is populated</w:t>
            </w:r>
          </w:p>
        </w:tc>
        <w:tc>
          <w:tcPr>
            <w:tcW w:w="1925" w:type="dxa"/>
            <w:gridSpan w:val="2"/>
            <w:vAlign w:val="bottom"/>
          </w:tcPr>
          <w:p w:rsidR="002C4AAC" w:rsidRPr="00990D3B" w:rsidP="004227E1" w14:paraId="68A5BB02" w14:textId="15F92D0A">
            <w:pPr>
              <w:pStyle w:val="EQRTableHeaderCenter"/>
              <w:rPr>
                <w:color w:val="auto"/>
              </w:rPr>
            </w:pPr>
            <w:r w:rsidRPr="00990D3B">
              <w:rPr>
                <w:color w:val="auto"/>
              </w:rPr>
              <w:t>Correct type</w:t>
            </w:r>
          </w:p>
        </w:tc>
        <w:tc>
          <w:tcPr>
            <w:tcW w:w="1984" w:type="dxa"/>
            <w:gridSpan w:val="2"/>
            <w:vAlign w:val="bottom"/>
          </w:tcPr>
          <w:p w:rsidR="002C4AAC" w:rsidRPr="00990D3B" w:rsidP="004227E1" w14:paraId="390419FD" w14:textId="00DCAEA0">
            <w:pPr>
              <w:pStyle w:val="EQRTableHeaderCenter"/>
              <w:rPr>
                <w:color w:val="auto"/>
              </w:rPr>
            </w:pPr>
            <w:r w:rsidRPr="00990D3B">
              <w:rPr>
                <w:color w:val="auto"/>
              </w:rPr>
              <w:t>Correct size</w:t>
            </w:r>
          </w:p>
        </w:tc>
        <w:tc>
          <w:tcPr>
            <w:tcW w:w="1941" w:type="dxa"/>
            <w:gridSpan w:val="2"/>
            <w:vAlign w:val="bottom"/>
          </w:tcPr>
          <w:p w:rsidR="002C4AAC" w:rsidRPr="00990D3B" w:rsidP="004227E1" w14:paraId="6D65C5B7" w14:textId="1A980F71">
            <w:pPr>
              <w:pStyle w:val="EQRTableHeaderCenter"/>
              <w:rPr>
                <w:color w:val="auto"/>
              </w:rPr>
            </w:pPr>
            <w:r w:rsidRPr="00990D3B">
              <w:rPr>
                <w:color w:val="auto"/>
              </w:rPr>
              <w:t>Value is valid</w:t>
            </w:r>
          </w:p>
        </w:tc>
      </w:tr>
      <w:tr w14:paraId="70EB6B42" w14:textId="77777777" w:rsidTr="00CE4B81">
        <w:tblPrEx>
          <w:tblW w:w="5000" w:type="pct"/>
          <w:tblLook w:val="04A0"/>
        </w:tblPrEx>
        <w:trPr>
          <w:cantSplit/>
          <w:tblHeader/>
        </w:trPr>
        <w:tc>
          <w:tcPr>
            <w:tcW w:w="1623" w:type="dxa"/>
            <w:vMerge/>
            <w:vAlign w:val="bottom"/>
          </w:tcPr>
          <w:p w:rsidR="002C4AAC" w:rsidRPr="00990D3B" w:rsidP="003F200D" w14:paraId="79346B64" w14:textId="4C96E1BA">
            <w:pPr>
              <w:pStyle w:val="EQRTableText"/>
              <w:rPr>
                <w:b/>
                <w:bCs/>
              </w:rPr>
            </w:pPr>
          </w:p>
        </w:tc>
        <w:tc>
          <w:tcPr>
            <w:tcW w:w="859" w:type="dxa"/>
            <w:vAlign w:val="bottom"/>
          </w:tcPr>
          <w:p w:rsidR="002C4AAC" w:rsidRPr="00990D3B" w:rsidP="001A5FBB" w14:paraId="6B08E3EC" w14:textId="77777777">
            <w:pPr>
              <w:pStyle w:val="EQRTableText"/>
              <w:jc w:val="center"/>
              <w:rPr>
                <w:b/>
                <w:bCs/>
              </w:rPr>
            </w:pPr>
            <w:r w:rsidRPr="00990D3B">
              <w:rPr>
                <w:b/>
                <w:bCs/>
              </w:rPr>
              <w:t>#</w:t>
            </w:r>
          </w:p>
        </w:tc>
        <w:tc>
          <w:tcPr>
            <w:tcW w:w="1018" w:type="dxa"/>
            <w:vAlign w:val="bottom"/>
          </w:tcPr>
          <w:p w:rsidR="002C4AAC" w:rsidRPr="00990D3B" w:rsidP="001A5FBB" w14:paraId="4F1CB3AB" w14:textId="77777777">
            <w:pPr>
              <w:pStyle w:val="EQRTableText"/>
              <w:jc w:val="center"/>
              <w:rPr>
                <w:b/>
                <w:bCs/>
              </w:rPr>
            </w:pPr>
            <w:r w:rsidRPr="00990D3B">
              <w:rPr>
                <w:b/>
                <w:bCs/>
              </w:rPr>
              <w:t>%</w:t>
            </w:r>
          </w:p>
        </w:tc>
        <w:tc>
          <w:tcPr>
            <w:tcW w:w="927" w:type="dxa"/>
            <w:vAlign w:val="bottom"/>
          </w:tcPr>
          <w:p w:rsidR="002C4AAC" w:rsidRPr="00990D3B" w:rsidP="001A5FBB" w14:paraId="1B25865C" w14:textId="77777777">
            <w:pPr>
              <w:pStyle w:val="EQRTableText"/>
              <w:jc w:val="center"/>
              <w:rPr>
                <w:b/>
                <w:bCs/>
              </w:rPr>
            </w:pPr>
            <w:r w:rsidRPr="00990D3B">
              <w:rPr>
                <w:b/>
                <w:bCs/>
              </w:rPr>
              <w:t>#</w:t>
            </w:r>
          </w:p>
        </w:tc>
        <w:tc>
          <w:tcPr>
            <w:tcW w:w="998" w:type="dxa"/>
            <w:vAlign w:val="bottom"/>
          </w:tcPr>
          <w:p w:rsidR="002C4AAC" w:rsidRPr="00990D3B" w:rsidP="001A5FBB" w14:paraId="09A025BB" w14:textId="77777777">
            <w:pPr>
              <w:pStyle w:val="EQRTableText"/>
              <w:jc w:val="center"/>
              <w:rPr>
                <w:b/>
                <w:bCs/>
              </w:rPr>
            </w:pPr>
            <w:r w:rsidRPr="00990D3B">
              <w:rPr>
                <w:b/>
                <w:bCs/>
              </w:rPr>
              <w:t>%</w:t>
            </w:r>
          </w:p>
        </w:tc>
        <w:tc>
          <w:tcPr>
            <w:tcW w:w="986" w:type="dxa"/>
            <w:vAlign w:val="bottom"/>
          </w:tcPr>
          <w:p w:rsidR="002C4AAC" w:rsidRPr="00990D3B" w:rsidP="001A5FBB" w14:paraId="5FD43426" w14:textId="77777777">
            <w:pPr>
              <w:pStyle w:val="EQRTableText"/>
              <w:jc w:val="center"/>
              <w:rPr>
                <w:b/>
                <w:bCs/>
              </w:rPr>
            </w:pPr>
            <w:r w:rsidRPr="00990D3B">
              <w:rPr>
                <w:b/>
                <w:bCs/>
              </w:rPr>
              <w:t>#</w:t>
            </w:r>
          </w:p>
        </w:tc>
        <w:tc>
          <w:tcPr>
            <w:tcW w:w="998" w:type="dxa"/>
            <w:vAlign w:val="bottom"/>
          </w:tcPr>
          <w:p w:rsidR="002C4AAC" w:rsidRPr="00990D3B" w:rsidP="001A5FBB" w14:paraId="6AE17F00" w14:textId="77777777">
            <w:pPr>
              <w:pStyle w:val="EQRTableText"/>
              <w:jc w:val="center"/>
              <w:rPr>
                <w:b/>
                <w:bCs/>
              </w:rPr>
            </w:pPr>
            <w:r w:rsidRPr="00990D3B">
              <w:rPr>
                <w:b/>
                <w:bCs/>
              </w:rPr>
              <w:t>%</w:t>
            </w:r>
          </w:p>
        </w:tc>
        <w:tc>
          <w:tcPr>
            <w:tcW w:w="960" w:type="dxa"/>
            <w:vAlign w:val="bottom"/>
          </w:tcPr>
          <w:p w:rsidR="002C4AAC" w:rsidRPr="00990D3B" w:rsidP="001A5FBB" w14:paraId="67D22419" w14:textId="77777777">
            <w:pPr>
              <w:pStyle w:val="EQRTableText"/>
              <w:jc w:val="center"/>
              <w:rPr>
                <w:b/>
                <w:bCs/>
              </w:rPr>
            </w:pPr>
            <w:r w:rsidRPr="00990D3B">
              <w:rPr>
                <w:b/>
                <w:bCs/>
              </w:rPr>
              <w:t>#</w:t>
            </w:r>
          </w:p>
        </w:tc>
        <w:tc>
          <w:tcPr>
            <w:tcW w:w="981" w:type="dxa"/>
            <w:vAlign w:val="bottom"/>
          </w:tcPr>
          <w:p w:rsidR="002C4AAC" w:rsidRPr="00990D3B" w:rsidP="001A5FBB" w14:paraId="03BFD217" w14:textId="77777777">
            <w:pPr>
              <w:pStyle w:val="EQRTableText"/>
              <w:jc w:val="center"/>
              <w:rPr>
                <w:b/>
                <w:bCs/>
              </w:rPr>
            </w:pPr>
            <w:r w:rsidRPr="00990D3B">
              <w:rPr>
                <w:b/>
                <w:bCs/>
              </w:rPr>
              <w:t>%</w:t>
            </w:r>
          </w:p>
        </w:tc>
      </w:tr>
      <w:tr w14:paraId="12F408C7" w14:textId="77777777" w:rsidTr="000105F3">
        <w:tblPrEx>
          <w:tblW w:w="5000" w:type="pct"/>
          <w:tblLook w:val="04A0"/>
        </w:tblPrEx>
        <w:trPr>
          <w:cantSplit/>
        </w:trPr>
        <w:tc>
          <w:tcPr>
            <w:tcW w:w="1623" w:type="dxa"/>
          </w:tcPr>
          <w:p w:rsidR="009B6AF6" w:rsidRPr="00990D3B" w:rsidP="003F200D" w14:paraId="127EB7F1" w14:textId="3A48B2B3">
            <w:pPr>
              <w:pStyle w:val="EQRTableText"/>
            </w:pPr>
            <w:r w:rsidRPr="00990D3B">
              <w:t>Enrollee</w:t>
            </w:r>
            <w:r w:rsidRPr="00990D3B">
              <w:t xml:space="preserve"> ID</w:t>
            </w:r>
          </w:p>
        </w:tc>
        <w:tc>
          <w:tcPr>
            <w:tcW w:w="859" w:type="dxa"/>
          </w:tcPr>
          <w:p w:rsidR="009B6AF6" w:rsidRPr="00990D3B" w:rsidP="003F200D" w14:paraId="226360DC" w14:textId="77777777">
            <w:pPr>
              <w:pStyle w:val="EQRTableText"/>
            </w:pPr>
            <w:r w:rsidRPr="00990D3B">
              <w:t> </w:t>
            </w:r>
          </w:p>
        </w:tc>
        <w:tc>
          <w:tcPr>
            <w:tcW w:w="1018" w:type="dxa"/>
          </w:tcPr>
          <w:p w:rsidR="009B6AF6" w:rsidRPr="00990D3B" w:rsidP="003F200D" w14:paraId="59879643" w14:textId="77777777">
            <w:pPr>
              <w:pStyle w:val="EQRTableText"/>
            </w:pPr>
            <w:r w:rsidRPr="00990D3B">
              <w:t> </w:t>
            </w:r>
          </w:p>
        </w:tc>
        <w:tc>
          <w:tcPr>
            <w:tcW w:w="927" w:type="dxa"/>
          </w:tcPr>
          <w:p w:rsidR="009B6AF6" w:rsidRPr="00990D3B" w:rsidP="003F200D" w14:paraId="419C66F9" w14:textId="77777777">
            <w:pPr>
              <w:pStyle w:val="EQRTableText"/>
            </w:pPr>
            <w:r w:rsidRPr="00990D3B">
              <w:t> </w:t>
            </w:r>
          </w:p>
        </w:tc>
        <w:tc>
          <w:tcPr>
            <w:tcW w:w="998" w:type="dxa"/>
          </w:tcPr>
          <w:p w:rsidR="009B6AF6" w:rsidRPr="00990D3B" w:rsidP="003F200D" w14:paraId="2827481C" w14:textId="77777777">
            <w:pPr>
              <w:pStyle w:val="EQRTableText"/>
            </w:pPr>
            <w:r w:rsidRPr="00990D3B">
              <w:t> </w:t>
            </w:r>
          </w:p>
        </w:tc>
        <w:tc>
          <w:tcPr>
            <w:tcW w:w="986" w:type="dxa"/>
          </w:tcPr>
          <w:p w:rsidR="009B6AF6" w:rsidRPr="00990D3B" w:rsidP="003F200D" w14:paraId="060611FF" w14:textId="77777777">
            <w:pPr>
              <w:pStyle w:val="EQRTableText"/>
            </w:pPr>
            <w:r w:rsidRPr="00990D3B">
              <w:t> </w:t>
            </w:r>
          </w:p>
        </w:tc>
        <w:tc>
          <w:tcPr>
            <w:tcW w:w="998" w:type="dxa"/>
          </w:tcPr>
          <w:p w:rsidR="009B6AF6" w:rsidRPr="00990D3B" w:rsidP="003F200D" w14:paraId="31ED237A" w14:textId="77777777">
            <w:pPr>
              <w:pStyle w:val="EQRTableText"/>
            </w:pPr>
            <w:r w:rsidRPr="00990D3B">
              <w:t> </w:t>
            </w:r>
          </w:p>
        </w:tc>
        <w:tc>
          <w:tcPr>
            <w:tcW w:w="960" w:type="dxa"/>
          </w:tcPr>
          <w:p w:rsidR="009B6AF6" w:rsidRPr="00990D3B" w:rsidP="003F200D" w14:paraId="7176CFDE" w14:textId="77777777">
            <w:pPr>
              <w:pStyle w:val="EQRTableText"/>
            </w:pPr>
            <w:r w:rsidRPr="00990D3B">
              <w:t> </w:t>
            </w:r>
          </w:p>
        </w:tc>
        <w:tc>
          <w:tcPr>
            <w:tcW w:w="981" w:type="dxa"/>
          </w:tcPr>
          <w:p w:rsidR="009B6AF6" w:rsidRPr="00990D3B" w:rsidP="003F200D" w14:paraId="76115B9A" w14:textId="77777777">
            <w:pPr>
              <w:pStyle w:val="EQRTableText"/>
            </w:pPr>
            <w:r w:rsidRPr="00990D3B">
              <w:t> </w:t>
            </w:r>
          </w:p>
        </w:tc>
      </w:tr>
      <w:tr w14:paraId="143A9BA1" w14:textId="77777777" w:rsidTr="000105F3">
        <w:tblPrEx>
          <w:tblW w:w="5000" w:type="pct"/>
          <w:tblLook w:val="04A0"/>
        </w:tblPrEx>
        <w:trPr>
          <w:cantSplit/>
        </w:trPr>
        <w:tc>
          <w:tcPr>
            <w:tcW w:w="1623" w:type="dxa"/>
          </w:tcPr>
          <w:p w:rsidR="009B6AF6" w:rsidRPr="00990D3B" w:rsidP="003F200D" w14:paraId="37016813" w14:textId="77777777">
            <w:pPr>
              <w:pStyle w:val="EQRTableText"/>
            </w:pPr>
            <w:r w:rsidRPr="00990D3B">
              <w:t>Plan ID</w:t>
            </w:r>
          </w:p>
        </w:tc>
        <w:tc>
          <w:tcPr>
            <w:tcW w:w="859" w:type="dxa"/>
          </w:tcPr>
          <w:p w:rsidR="009B6AF6" w:rsidRPr="00990D3B" w:rsidP="003F200D" w14:paraId="4C027A11" w14:textId="77777777">
            <w:pPr>
              <w:pStyle w:val="EQRTableText"/>
            </w:pPr>
            <w:r w:rsidRPr="00990D3B">
              <w:t> </w:t>
            </w:r>
          </w:p>
        </w:tc>
        <w:tc>
          <w:tcPr>
            <w:tcW w:w="1018" w:type="dxa"/>
          </w:tcPr>
          <w:p w:rsidR="009B6AF6" w:rsidRPr="00990D3B" w:rsidP="003F200D" w14:paraId="1611BDDD" w14:textId="77777777">
            <w:pPr>
              <w:pStyle w:val="EQRTableText"/>
            </w:pPr>
            <w:r w:rsidRPr="00990D3B">
              <w:t> </w:t>
            </w:r>
          </w:p>
        </w:tc>
        <w:tc>
          <w:tcPr>
            <w:tcW w:w="927" w:type="dxa"/>
          </w:tcPr>
          <w:p w:rsidR="009B6AF6" w:rsidRPr="00990D3B" w:rsidP="003F200D" w14:paraId="41AD790A" w14:textId="77777777">
            <w:pPr>
              <w:pStyle w:val="EQRTableText"/>
            </w:pPr>
            <w:r w:rsidRPr="00990D3B">
              <w:t> </w:t>
            </w:r>
          </w:p>
        </w:tc>
        <w:tc>
          <w:tcPr>
            <w:tcW w:w="998" w:type="dxa"/>
          </w:tcPr>
          <w:p w:rsidR="009B6AF6" w:rsidRPr="00990D3B" w:rsidP="003F200D" w14:paraId="37093F7D" w14:textId="77777777">
            <w:pPr>
              <w:pStyle w:val="EQRTableText"/>
            </w:pPr>
            <w:r w:rsidRPr="00990D3B">
              <w:t> </w:t>
            </w:r>
          </w:p>
        </w:tc>
        <w:tc>
          <w:tcPr>
            <w:tcW w:w="986" w:type="dxa"/>
          </w:tcPr>
          <w:p w:rsidR="009B6AF6" w:rsidRPr="00990D3B" w:rsidP="003F200D" w14:paraId="78D5637E" w14:textId="77777777">
            <w:pPr>
              <w:pStyle w:val="EQRTableText"/>
            </w:pPr>
            <w:r w:rsidRPr="00990D3B">
              <w:t> </w:t>
            </w:r>
          </w:p>
        </w:tc>
        <w:tc>
          <w:tcPr>
            <w:tcW w:w="998" w:type="dxa"/>
          </w:tcPr>
          <w:p w:rsidR="009B6AF6" w:rsidRPr="00990D3B" w:rsidP="003F200D" w14:paraId="2D56C4BF" w14:textId="77777777">
            <w:pPr>
              <w:pStyle w:val="EQRTableText"/>
            </w:pPr>
            <w:r w:rsidRPr="00990D3B">
              <w:t> </w:t>
            </w:r>
          </w:p>
        </w:tc>
        <w:tc>
          <w:tcPr>
            <w:tcW w:w="960" w:type="dxa"/>
          </w:tcPr>
          <w:p w:rsidR="009B6AF6" w:rsidRPr="00990D3B" w:rsidP="003F200D" w14:paraId="74C6A37B" w14:textId="77777777">
            <w:pPr>
              <w:pStyle w:val="EQRTableText"/>
            </w:pPr>
            <w:r w:rsidRPr="00990D3B">
              <w:t> </w:t>
            </w:r>
          </w:p>
        </w:tc>
        <w:tc>
          <w:tcPr>
            <w:tcW w:w="981" w:type="dxa"/>
          </w:tcPr>
          <w:p w:rsidR="009B6AF6" w:rsidRPr="00990D3B" w:rsidP="003F200D" w14:paraId="037AAC8F" w14:textId="77777777">
            <w:pPr>
              <w:pStyle w:val="EQRTableText"/>
            </w:pPr>
            <w:r w:rsidRPr="00990D3B">
              <w:t> </w:t>
            </w:r>
          </w:p>
        </w:tc>
      </w:tr>
      <w:tr w14:paraId="0303FB66" w14:textId="77777777" w:rsidTr="000105F3">
        <w:tblPrEx>
          <w:tblW w:w="5000" w:type="pct"/>
          <w:tblLook w:val="04A0"/>
        </w:tblPrEx>
        <w:trPr>
          <w:cantSplit/>
        </w:trPr>
        <w:tc>
          <w:tcPr>
            <w:tcW w:w="1623" w:type="dxa"/>
          </w:tcPr>
          <w:p w:rsidR="009B6AF6" w:rsidRPr="00990D3B" w:rsidP="003F200D" w14:paraId="27713360" w14:textId="77777777">
            <w:pPr>
              <w:pStyle w:val="EQRTableText"/>
            </w:pPr>
            <w:r w:rsidRPr="00990D3B">
              <w:t>Billing provider ID</w:t>
            </w:r>
          </w:p>
        </w:tc>
        <w:tc>
          <w:tcPr>
            <w:tcW w:w="859" w:type="dxa"/>
          </w:tcPr>
          <w:p w:rsidR="009B6AF6" w:rsidRPr="00990D3B" w:rsidP="003F200D" w14:paraId="3CCCB315" w14:textId="77777777">
            <w:pPr>
              <w:pStyle w:val="EQRTableText"/>
            </w:pPr>
            <w:r w:rsidRPr="00990D3B">
              <w:t> </w:t>
            </w:r>
          </w:p>
        </w:tc>
        <w:tc>
          <w:tcPr>
            <w:tcW w:w="1018" w:type="dxa"/>
          </w:tcPr>
          <w:p w:rsidR="009B6AF6" w:rsidRPr="00990D3B" w:rsidP="003F200D" w14:paraId="13FEF1DE" w14:textId="77777777">
            <w:pPr>
              <w:pStyle w:val="EQRTableText"/>
            </w:pPr>
            <w:r w:rsidRPr="00990D3B">
              <w:t> </w:t>
            </w:r>
          </w:p>
        </w:tc>
        <w:tc>
          <w:tcPr>
            <w:tcW w:w="927" w:type="dxa"/>
          </w:tcPr>
          <w:p w:rsidR="009B6AF6" w:rsidRPr="00990D3B" w:rsidP="003F200D" w14:paraId="36917ED5" w14:textId="77777777">
            <w:pPr>
              <w:pStyle w:val="EQRTableText"/>
            </w:pPr>
            <w:r w:rsidRPr="00990D3B">
              <w:t> </w:t>
            </w:r>
          </w:p>
        </w:tc>
        <w:tc>
          <w:tcPr>
            <w:tcW w:w="998" w:type="dxa"/>
          </w:tcPr>
          <w:p w:rsidR="009B6AF6" w:rsidRPr="00990D3B" w:rsidP="003F200D" w14:paraId="06BB792A" w14:textId="77777777">
            <w:pPr>
              <w:pStyle w:val="EQRTableText"/>
            </w:pPr>
            <w:r w:rsidRPr="00990D3B">
              <w:t> </w:t>
            </w:r>
          </w:p>
        </w:tc>
        <w:tc>
          <w:tcPr>
            <w:tcW w:w="986" w:type="dxa"/>
          </w:tcPr>
          <w:p w:rsidR="009B6AF6" w:rsidRPr="00990D3B" w:rsidP="003F200D" w14:paraId="6123F42E" w14:textId="77777777">
            <w:pPr>
              <w:pStyle w:val="EQRTableText"/>
            </w:pPr>
            <w:r w:rsidRPr="00990D3B">
              <w:t> </w:t>
            </w:r>
          </w:p>
        </w:tc>
        <w:tc>
          <w:tcPr>
            <w:tcW w:w="998" w:type="dxa"/>
          </w:tcPr>
          <w:p w:rsidR="009B6AF6" w:rsidRPr="00990D3B" w:rsidP="003F200D" w14:paraId="3B5B8432" w14:textId="77777777">
            <w:pPr>
              <w:pStyle w:val="EQRTableText"/>
            </w:pPr>
            <w:r w:rsidRPr="00990D3B">
              <w:t> </w:t>
            </w:r>
          </w:p>
        </w:tc>
        <w:tc>
          <w:tcPr>
            <w:tcW w:w="960" w:type="dxa"/>
          </w:tcPr>
          <w:p w:rsidR="009B6AF6" w:rsidRPr="00990D3B" w:rsidP="003F200D" w14:paraId="40EB32D4" w14:textId="77777777">
            <w:pPr>
              <w:pStyle w:val="EQRTableText"/>
            </w:pPr>
            <w:r w:rsidRPr="00990D3B">
              <w:t> </w:t>
            </w:r>
          </w:p>
        </w:tc>
        <w:tc>
          <w:tcPr>
            <w:tcW w:w="981" w:type="dxa"/>
          </w:tcPr>
          <w:p w:rsidR="009B6AF6" w:rsidRPr="00990D3B" w:rsidP="003F200D" w14:paraId="1A09BF7E" w14:textId="77777777">
            <w:pPr>
              <w:pStyle w:val="EQRTableText"/>
            </w:pPr>
            <w:r w:rsidRPr="00990D3B">
              <w:t> </w:t>
            </w:r>
          </w:p>
        </w:tc>
      </w:tr>
      <w:tr w14:paraId="7CC58E0C" w14:textId="77777777" w:rsidTr="000105F3">
        <w:tblPrEx>
          <w:tblW w:w="5000" w:type="pct"/>
          <w:tblLook w:val="04A0"/>
        </w:tblPrEx>
        <w:trPr>
          <w:cantSplit/>
        </w:trPr>
        <w:tc>
          <w:tcPr>
            <w:tcW w:w="1623" w:type="dxa"/>
          </w:tcPr>
          <w:p w:rsidR="009B6AF6" w:rsidRPr="00990D3B" w:rsidP="003F200D" w14:paraId="4AD03B7D" w14:textId="77777777">
            <w:pPr>
              <w:pStyle w:val="EQRTableText"/>
            </w:pPr>
            <w:r w:rsidRPr="00990D3B">
              <w:t>Rendering provider ID</w:t>
            </w:r>
          </w:p>
        </w:tc>
        <w:tc>
          <w:tcPr>
            <w:tcW w:w="859" w:type="dxa"/>
          </w:tcPr>
          <w:p w:rsidR="009B6AF6" w:rsidRPr="00990D3B" w:rsidP="003F200D" w14:paraId="31871689" w14:textId="77777777">
            <w:pPr>
              <w:pStyle w:val="EQRTableText"/>
            </w:pPr>
            <w:r w:rsidRPr="00990D3B">
              <w:t> </w:t>
            </w:r>
          </w:p>
        </w:tc>
        <w:tc>
          <w:tcPr>
            <w:tcW w:w="1018" w:type="dxa"/>
          </w:tcPr>
          <w:p w:rsidR="009B6AF6" w:rsidRPr="00990D3B" w:rsidP="003F200D" w14:paraId="2678545F" w14:textId="77777777">
            <w:pPr>
              <w:pStyle w:val="EQRTableText"/>
            </w:pPr>
            <w:r w:rsidRPr="00990D3B">
              <w:t> </w:t>
            </w:r>
          </w:p>
        </w:tc>
        <w:tc>
          <w:tcPr>
            <w:tcW w:w="927" w:type="dxa"/>
          </w:tcPr>
          <w:p w:rsidR="009B6AF6" w:rsidRPr="00990D3B" w:rsidP="003F200D" w14:paraId="714988BD" w14:textId="77777777">
            <w:pPr>
              <w:pStyle w:val="EQRTableText"/>
            </w:pPr>
            <w:r w:rsidRPr="00990D3B">
              <w:t> </w:t>
            </w:r>
          </w:p>
        </w:tc>
        <w:tc>
          <w:tcPr>
            <w:tcW w:w="998" w:type="dxa"/>
          </w:tcPr>
          <w:p w:rsidR="009B6AF6" w:rsidRPr="00990D3B" w:rsidP="003F200D" w14:paraId="2D0FBEC3" w14:textId="77777777">
            <w:pPr>
              <w:pStyle w:val="EQRTableText"/>
            </w:pPr>
            <w:r w:rsidRPr="00990D3B">
              <w:t> </w:t>
            </w:r>
          </w:p>
        </w:tc>
        <w:tc>
          <w:tcPr>
            <w:tcW w:w="986" w:type="dxa"/>
          </w:tcPr>
          <w:p w:rsidR="009B6AF6" w:rsidRPr="00990D3B" w:rsidP="003F200D" w14:paraId="5015FB4E" w14:textId="77777777">
            <w:pPr>
              <w:pStyle w:val="EQRTableText"/>
            </w:pPr>
            <w:r w:rsidRPr="00990D3B">
              <w:t> </w:t>
            </w:r>
          </w:p>
        </w:tc>
        <w:tc>
          <w:tcPr>
            <w:tcW w:w="998" w:type="dxa"/>
          </w:tcPr>
          <w:p w:rsidR="009B6AF6" w:rsidRPr="00990D3B" w:rsidP="003F200D" w14:paraId="7656CF93" w14:textId="77777777">
            <w:pPr>
              <w:pStyle w:val="EQRTableText"/>
            </w:pPr>
            <w:r w:rsidRPr="00990D3B">
              <w:t> </w:t>
            </w:r>
          </w:p>
        </w:tc>
        <w:tc>
          <w:tcPr>
            <w:tcW w:w="960" w:type="dxa"/>
          </w:tcPr>
          <w:p w:rsidR="009B6AF6" w:rsidRPr="00990D3B" w:rsidP="003F200D" w14:paraId="7B663E59" w14:textId="77777777">
            <w:pPr>
              <w:pStyle w:val="EQRTableText"/>
            </w:pPr>
            <w:r w:rsidRPr="00990D3B">
              <w:t> </w:t>
            </w:r>
          </w:p>
        </w:tc>
        <w:tc>
          <w:tcPr>
            <w:tcW w:w="981" w:type="dxa"/>
          </w:tcPr>
          <w:p w:rsidR="009B6AF6" w:rsidRPr="00990D3B" w:rsidP="003F200D" w14:paraId="1C72D797" w14:textId="77777777">
            <w:pPr>
              <w:pStyle w:val="EQRTableText"/>
            </w:pPr>
            <w:r w:rsidRPr="00990D3B">
              <w:t> </w:t>
            </w:r>
          </w:p>
        </w:tc>
      </w:tr>
      <w:tr w14:paraId="748D1AFE" w14:textId="77777777" w:rsidTr="000105F3">
        <w:tblPrEx>
          <w:tblW w:w="5000" w:type="pct"/>
          <w:tblLook w:val="04A0"/>
        </w:tblPrEx>
        <w:trPr>
          <w:cantSplit/>
        </w:trPr>
        <w:tc>
          <w:tcPr>
            <w:tcW w:w="1623" w:type="dxa"/>
          </w:tcPr>
          <w:p w:rsidR="009B6AF6" w:rsidRPr="00990D3B" w:rsidP="003F200D" w14:paraId="41E76C87" w14:textId="77777777">
            <w:pPr>
              <w:pStyle w:val="EQRTableText"/>
            </w:pPr>
            <w:r w:rsidRPr="00990D3B">
              <w:t>Primary diagnosis code</w:t>
            </w:r>
          </w:p>
        </w:tc>
        <w:tc>
          <w:tcPr>
            <w:tcW w:w="859" w:type="dxa"/>
          </w:tcPr>
          <w:p w:rsidR="009B6AF6" w:rsidRPr="00990D3B" w:rsidP="003F200D" w14:paraId="663B4EC8" w14:textId="77777777">
            <w:pPr>
              <w:pStyle w:val="EQRTableText"/>
            </w:pPr>
            <w:r w:rsidRPr="00990D3B">
              <w:t> </w:t>
            </w:r>
          </w:p>
        </w:tc>
        <w:tc>
          <w:tcPr>
            <w:tcW w:w="1018" w:type="dxa"/>
          </w:tcPr>
          <w:p w:rsidR="009B6AF6" w:rsidRPr="00990D3B" w:rsidP="003F200D" w14:paraId="0C4A4366" w14:textId="77777777">
            <w:pPr>
              <w:pStyle w:val="EQRTableText"/>
            </w:pPr>
            <w:r w:rsidRPr="00990D3B">
              <w:t> </w:t>
            </w:r>
          </w:p>
        </w:tc>
        <w:tc>
          <w:tcPr>
            <w:tcW w:w="927" w:type="dxa"/>
          </w:tcPr>
          <w:p w:rsidR="009B6AF6" w:rsidRPr="00990D3B" w:rsidP="003F200D" w14:paraId="18085362" w14:textId="77777777">
            <w:pPr>
              <w:pStyle w:val="EQRTableText"/>
            </w:pPr>
            <w:r w:rsidRPr="00990D3B">
              <w:t> </w:t>
            </w:r>
          </w:p>
        </w:tc>
        <w:tc>
          <w:tcPr>
            <w:tcW w:w="998" w:type="dxa"/>
          </w:tcPr>
          <w:p w:rsidR="009B6AF6" w:rsidRPr="00990D3B" w:rsidP="003F200D" w14:paraId="12739A57" w14:textId="77777777">
            <w:pPr>
              <w:pStyle w:val="EQRTableText"/>
            </w:pPr>
            <w:r w:rsidRPr="00990D3B">
              <w:t> </w:t>
            </w:r>
          </w:p>
        </w:tc>
        <w:tc>
          <w:tcPr>
            <w:tcW w:w="986" w:type="dxa"/>
          </w:tcPr>
          <w:p w:rsidR="009B6AF6" w:rsidRPr="00990D3B" w:rsidP="003F200D" w14:paraId="77F4B6DF" w14:textId="77777777">
            <w:pPr>
              <w:pStyle w:val="EQRTableText"/>
            </w:pPr>
            <w:r w:rsidRPr="00990D3B">
              <w:t> </w:t>
            </w:r>
          </w:p>
        </w:tc>
        <w:tc>
          <w:tcPr>
            <w:tcW w:w="998" w:type="dxa"/>
          </w:tcPr>
          <w:p w:rsidR="009B6AF6" w:rsidRPr="00990D3B" w:rsidP="003F200D" w14:paraId="02187CDB" w14:textId="77777777">
            <w:pPr>
              <w:pStyle w:val="EQRTableText"/>
            </w:pPr>
            <w:r w:rsidRPr="00990D3B">
              <w:t> </w:t>
            </w:r>
          </w:p>
        </w:tc>
        <w:tc>
          <w:tcPr>
            <w:tcW w:w="960" w:type="dxa"/>
          </w:tcPr>
          <w:p w:rsidR="009B6AF6" w:rsidRPr="00990D3B" w:rsidP="003F200D" w14:paraId="007A8A25" w14:textId="77777777">
            <w:pPr>
              <w:pStyle w:val="EQRTableText"/>
            </w:pPr>
            <w:r w:rsidRPr="00990D3B">
              <w:t> </w:t>
            </w:r>
          </w:p>
        </w:tc>
        <w:tc>
          <w:tcPr>
            <w:tcW w:w="981" w:type="dxa"/>
          </w:tcPr>
          <w:p w:rsidR="009B6AF6" w:rsidRPr="00990D3B" w:rsidP="003F200D" w14:paraId="781263D7" w14:textId="77777777">
            <w:pPr>
              <w:pStyle w:val="EQRTableText"/>
            </w:pPr>
            <w:r w:rsidRPr="00990D3B">
              <w:t> </w:t>
            </w:r>
          </w:p>
        </w:tc>
      </w:tr>
      <w:tr w14:paraId="0BAF885C" w14:textId="77777777" w:rsidTr="000105F3">
        <w:tblPrEx>
          <w:tblW w:w="5000" w:type="pct"/>
          <w:tblLook w:val="04A0"/>
        </w:tblPrEx>
        <w:trPr>
          <w:cantSplit/>
        </w:trPr>
        <w:tc>
          <w:tcPr>
            <w:tcW w:w="1623" w:type="dxa"/>
          </w:tcPr>
          <w:p w:rsidR="009B6AF6" w:rsidRPr="00990D3B" w:rsidP="003F200D" w14:paraId="64518505" w14:textId="77777777">
            <w:pPr>
              <w:pStyle w:val="EQRTableText"/>
            </w:pPr>
            <w:r w:rsidRPr="00990D3B">
              <w:t>Primary procedure code</w:t>
            </w:r>
          </w:p>
        </w:tc>
        <w:tc>
          <w:tcPr>
            <w:tcW w:w="859" w:type="dxa"/>
          </w:tcPr>
          <w:p w:rsidR="009B6AF6" w:rsidRPr="00990D3B" w:rsidP="003F200D" w14:paraId="26690FAC" w14:textId="77777777">
            <w:pPr>
              <w:pStyle w:val="EQRTableText"/>
            </w:pPr>
            <w:r w:rsidRPr="00990D3B">
              <w:t> </w:t>
            </w:r>
          </w:p>
        </w:tc>
        <w:tc>
          <w:tcPr>
            <w:tcW w:w="1018" w:type="dxa"/>
          </w:tcPr>
          <w:p w:rsidR="009B6AF6" w:rsidRPr="00990D3B" w:rsidP="003F200D" w14:paraId="278B00D1" w14:textId="77777777">
            <w:pPr>
              <w:pStyle w:val="EQRTableText"/>
            </w:pPr>
            <w:r w:rsidRPr="00990D3B">
              <w:t> </w:t>
            </w:r>
          </w:p>
        </w:tc>
        <w:tc>
          <w:tcPr>
            <w:tcW w:w="927" w:type="dxa"/>
          </w:tcPr>
          <w:p w:rsidR="009B6AF6" w:rsidRPr="00990D3B" w:rsidP="003F200D" w14:paraId="1AAB28C5" w14:textId="77777777">
            <w:pPr>
              <w:pStyle w:val="EQRTableText"/>
            </w:pPr>
            <w:r w:rsidRPr="00990D3B">
              <w:t> </w:t>
            </w:r>
          </w:p>
        </w:tc>
        <w:tc>
          <w:tcPr>
            <w:tcW w:w="998" w:type="dxa"/>
          </w:tcPr>
          <w:p w:rsidR="009B6AF6" w:rsidRPr="00990D3B" w:rsidP="003F200D" w14:paraId="3347D50D" w14:textId="77777777">
            <w:pPr>
              <w:pStyle w:val="EQRTableText"/>
            </w:pPr>
            <w:r w:rsidRPr="00990D3B">
              <w:t> </w:t>
            </w:r>
          </w:p>
        </w:tc>
        <w:tc>
          <w:tcPr>
            <w:tcW w:w="986" w:type="dxa"/>
          </w:tcPr>
          <w:p w:rsidR="009B6AF6" w:rsidRPr="00990D3B" w:rsidP="003F200D" w14:paraId="65C51223" w14:textId="77777777">
            <w:pPr>
              <w:pStyle w:val="EQRTableText"/>
            </w:pPr>
            <w:r w:rsidRPr="00990D3B">
              <w:t> </w:t>
            </w:r>
          </w:p>
        </w:tc>
        <w:tc>
          <w:tcPr>
            <w:tcW w:w="998" w:type="dxa"/>
          </w:tcPr>
          <w:p w:rsidR="009B6AF6" w:rsidRPr="00990D3B" w:rsidP="003F200D" w14:paraId="5455AE51" w14:textId="77777777">
            <w:pPr>
              <w:pStyle w:val="EQRTableText"/>
            </w:pPr>
            <w:r w:rsidRPr="00990D3B">
              <w:t> </w:t>
            </w:r>
          </w:p>
        </w:tc>
        <w:tc>
          <w:tcPr>
            <w:tcW w:w="960" w:type="dxa"/>
          </w:tcPr>
          <w:p w:rsidR="009B6AF6" w:rsidRPr="00990D3B" w:rsidP="003F200D" w14:paraId="760D3EF3" w14:textId="77777777">
            <w:pPr>
              <w:pStyle w:val="EQRTableText"/>
            </w:pPr>
            <w:r w:rsidRPr="00990D3B">
              <w:t> </w:t>
            </w:r>
          </w:p>
        </w:tc>
        <w:tc>
          <w:tcPr>
            <w:tcW w:w="981" w:type="dxa"/>
          </w:tcPr>
          <w:p w:rsidR="009B6AF6" w:rsidRPr="00990D3B" w:rsidP="003F200D" w14:paraId="7534F532" w14:textId="77777777">
            <w:pPr>
              <w:pStyle w:val="EQRTableText"/>
            </w:pPr>
            <w:r w:rsidRPr="00990D3B">
              <w:t> </w:t>
            </w:r>
          </w:p>
        </w:tc>
      </w:tr>
      <w:tr w14:paraId="082151E7" w14:textId="77777777" w:rsidTr="000105F3">
        <w:tblPrEx>
          <w:tblW w:w="5000" w:type="pct"/>
          <w:tblLook w:val="04A0"/>
        </w:tblPrEx>
        <w:trPr>
          <w:cantSplit/>
        </w:trPr>
        <w:tc>
          <w:tcPr>
            <w:tcW w:w="1623" w:type="dxa"/>
          </w:tcPr>
          <w:p w:rsidR="009B6AF6" w:rsidRPr="00990D3B" w:rsidP="003F200D" w14:paraId="680EFB60" w14:textId="77777777">
            <w:pPr>
              <w:pStyle w:val="EQRTableText"/>
            </w:pPr>
            <w:r w:rsidRPr="00990D3B">
              <w:t>First date of service</w:t>
            </w:r>
          </w:p>
        </w:tc>
        <w:tc>
          <w:tcPr>
            <w:tcW w:w="859" w:type="dxa"/>
          </w:tcPr>
          <w:p w:rsidR="009B6AF6" w:rsidRPr="00990D3B" w:rsidP="003F200D" w14:paraId="21CE766E" w14:textId="77777777">
            <w:pPr>
              <w:pStyle w:val="EQRTableText"/>
            </w:pPr>
            <w:r w:rsidRPr="00990D3B">
              <w:t> </w:t>
            </w:r>
          </w:p>
        </w:tc>
        <w:tc>
          <w:tcPr>
            <w:tcW w:w="1018" w:type="dxa"/>
          </w:tcPr>
          <w:p w:rsidR="009B6AF6" w:rsidRPr="00990D3B" w:rsidP="003F200D" w14:paraId="08A22AAA" w14:textId="77777777">
            <w:pPr>
              <w:pStyle w:val="EQRTableText"/>
            </w:pPr>
            <w:r w:rsidRPr="00990D3B">
              <w:t> </w:t>
            </w:r>
          </w:p>
        </w:tc>
        <w:tc>
          <w:tcPr>
            <w:tcW w:w="927" w:type="dxa"/>
          </w:tcPr>
          <w:p w:rsidR="009B6AF6" w:rsidRPr="00990D3B" w:rsidP="003F200D" w14:paraId="504B60EC" w14:textId="77777777">
            <w:pPr>
              <w:pStyle w:val="EQRTableText"/>
            </w:pPr>
            <w:r w:rsidRPr="00990D3B">
              <w:t> </w:t>
            </w:r>
          </w:p>
        </w:tc>
        <w:tc>
          <w:tcPr>
            <w:tcW w:w="998" w:type="dxa"/>
          </w:tcPr>
          <w:p w:rsidR="009B6AF6" w:rsidRPr="00990D3B" w:rsidP="003F200D" w14:paraId="76D21B2B" w14:textId="77777777">
            <w:pPr>
              <w:pStyle w:val="EQRTableText"/>
            </w:pPr>
            <w:r w:rsidRPr="00990D3B">
              <w:t> </w:t>
            </w:r>
          </w:p>
        </w:tc>
        <w:tc>
          <w:tcPr>
            <w:tcW w:w="986" w:type="dxa"/>
          </w:tcPr>
          <w:p w:rsidR="009B6AF6" w:rsidRPr="00990D3B" w:rsidP="003F200D" w14:paraId="75692DDD" w14:textId="77777777">
            <w:pPr>
              <w:pStyle w:val="EQRTableText"/>
            </w:pPr>
            <w:r w:rsidRPr="00990D3B">
              <w:t> </w:t>
            </w:r>
          </w:p>
        </w:tc>
        <w:tc>
          <w:tcPr>
            <w:tcW w:w="998" w:type="dxa"/>
          </w:tcPr>
          <w:p w:rsidR="009B6AF6" w:rsidRPr="00990D3B" w:rsidP="003F200D" w14:paraId="5F117131" w14:textId="77777777">
            <w:pPr>
              <w:pStyle w:val="EQRTableText"/>
            </w:pPr>
            <w:r w:rsidRPr="00990D3B">
              <w:t> </w:t>
            </w:r>
          </w:p>
        </w:tc>
        <w:tc>
          <w:tcPr>
            <w:tcW w:w="960" w:type="dxa"/>
          </w:tcPr>
          <w:p w:rsidR="009B6AF6" w:rsidRPr="00990D3B" w:rsidP="003F200D" w14:paraId="3B305305" w14:textId="77777777">
            <w:pPr>
              <w:pStyle w:val="EQRTableText"/>
            </w:pPr>
            <w:r w:rsidRPr="00990D3B">
              <w:t> </w:t>
            </w:r>
          </w:p>
        </w:tc>
        <w:tc>
          <w:tcPr>
            <w:tcW w:w="981" w:type="dxa"/>
          </w:tcPr>
          <w:p w:rsidR="009B6AF6" w:rsidRPr="00990D3B" w:rsidP="003F200D" w14:paraId="47EDC813" w14:textId="77777777">
            <w:pPr>
              <w:pStyle w:val="EQRTableText"/>
            </w:pPr>
            <w:r w:rsidRPr="00990D3B">
              <w:t> </w:t>
            </w:r>
          </w:p>
        </w:tc>
      </w:tr>
      <w:tr w14:paraId="0A60BE1C" w14:textId="77777777" w:rsidTr="000105F3">
        <w:tblPrEx>
          <w:tblW w:w="5000" w:type="pct"/>
          <w:tblLook w:val="04A0"/>
        </w:tblPrEx>
        <w:trPr>
          <w:cantSplit/>
        </w:trPr>
        <w:tc>
          <w:tcPr>
            <w:tcW w:w="1623" w:type="dxa"/>
          </w:tcPr>
          <w:p w:rsidR="009B6AF6" w:rsidRPr="00990D3B" w:rsidP="003F200D" w14:paraId="014FCBF6" w14:textId="77777777">
            <w:pPr>
              <w:pStyle w:val="EQRTableText"/>
            </w:pPr>
            <w:r w:rsidRPr="00990D3B">
              <w:t>Last date of service</w:t>
            </w:r>
          </w:p>
        </w:tc>
        <w:tc>
          <w:tcPr>
            <w:tcW w:w="859" w:type="dxa"/>
          </w:tcPr>
          <w:p w:rsidR="009B6AF6" w:rsidRPr="00990D3B" w:rsidP="003F200D" w14:paraId="6D5042F4" w14:textId="77777777">
            <w:pPr>
              <w:pStyle w:val="EQRTableText"/>
            </w:pPr>
            <w:r w:rsidRPr="00990D3B">
              <w:t> </w:t>
            </w:r>
          </w:p>
        </w:tc>
        <w:tc>
          <w:tcPr>
            <w:tcW w:w="1018" w:type="dxa"/>
          </w:tcPr>
          <w:p w:rsidR="009B6AF6" w:rsidRPr="00990D3B" w:rsidP="003F200D" w14:paraId="3B257963" w14:textId="77777777">
            <w:pPr>
              <w:pStyle w:val="EQRTableText"/>
            </w:pPr>
            <w:r w:rsidRPr="00990D3B">
              <w:t> </w:t>
            </w:r>
          </w:p>
        </w:tc>
        <w:tc>
          <w:tcPr>
            <w:tcW w:w="927" w:type="dxa"/>
          </w:tcPr>
          <w:p w:rsidR="009B6AF6" w:rsidRPr="00990D3B" w:rsidP="003F200D" w14:paraId="27AE9BD0" w14:textId="77777777">
            <w:pPr>
              <w:pStyle w:val="EQRTableText"/>
            </w:pPr>
            <w:r w:rsidRPr="00990D3B">
              <w:t> </w:t>
            </w:r>
          </w:p>
        </w:tc>
        <w:tc>
          <w:tcPr>
            <w:tcW w:w="998" w:type="dxa"/>
          </w:tcPr>
          <w:p w:rsidR="009B6AF6" w:rsidRPr="00990D3B" w:rsidP="003F200D" w14:paraId="709C5406" w14:textId="77777777">
            <w:pPr>
              <w:pStyle w:val="EQRTableText"/>
            </w:pPr>
            <w:r w:rsidRPr="00990D3B">
              <w:t> </w:t>
            </w:r>
          </w:p>
        </w:tc>
        <w:tc>
          <w:tcPr>
            <w:tcW w:w="986" w:type="dxa"/>
          </w:tcPr>
          <w:p w:rsidR="009B6AF6" w:rsidRPr="00990D3B" w:rsidP="003F200D" w14:paraId="385065BD" w14:textId="77777777">
            <w:pPr>
              <w:pStyle w:val="EQRTableText"/>
            </w:pPr>
            <w:r w:rsidRPr="00990D3B">
              <w:t> </w:t>
            </w:r>
          </w:p>
        </w:tc>
        <w:tc>
          <w:tcPr>
            <w:tcW w:w="998" w:type="dxa"/>
          </w:tcPr>
          <w:p w:rsidR="009B6AF6" w:rsidRPr="00990D3B" w:rsidP="003F200D" w14:paraId="7F5BCB5D" w14:textId="77777777">
            <w:pPr>
              <w:pStyle w:val="EQRTableText"/>
            </w:pPr>
            <w:r w:rsidRPr="00990D3B">
              <w:t> </w:t>
            </w:r>
          </w:p>
        </w:tc>
        <w:tc>
          <w:tcPr>
            <w:tcW w:w="960" w:type="dxa"/>
          </w:tcPr>
          <w:p w:rsidR="009B6AF6" w:rsidRPr="00990D3B" w:rsidP="003F200D" w14:paraId="7F95A877" w14:textId="77777777">
            <w:pPr>
              <w:pStyle w:val="EQRTableText"/>
            </w:pPr>
            <w:r w:rsidRPr="00990D3B">
              <w:t> </w:t>
            </w:r>
          </w:p>
        </w:tc>
        <w:tc>
          <w:tcPr>
            <w:tcW w:w="981" w:type="dxa"/>
          </w:tcPr>
          <w:p w:rsidR="009B6AF6" w:rsidRPr="00990D3B" w:rsidP="003F200D" w14:paraId="2B6CDCD6" w14:textId="77777777">
            <w:pPr>
              <w:pStyle w:val="EQRTableText"/>
            </w:pPr>
            <w:r w:rsidRPr="00990D3B">
              <w:t> </w:t>
            </w:r>
          </w:p>
        </w:tc>
      </w:tr>
      <w:tr w14:paraId="4D4DEA02" w14:textId="77777777" w:rsidTr="000105F3">
        <w:tblPrEx>
          <w:tblW w:w="5000" w:type="pct"/>
          <w:tblLook w:val="04A0"/>
        </w:tblPrEx>
        <w:trPr>
          <w:cantSplit/>
        </w:trPr>
        <w:tc>
          <w:tcPr>
            <w:tcW w:w="1623" w:type="dxa"/>
          </w:tcPr>
          <w:p w:rsidR="009B6AF6" w:rsidRPr="00990D3B" w:rsidP="003F200D" w14:paraId="3C69ECC6" w14:textId="77777777">
            <w:pPr>
              <w:pStyle w:val="EQRTableText"/>
            </w:pPr>
            <w:r w:rsidRPr="00990D3B">
              <w:t>Quantity (units)</w:t>
            </w:r>
          </w:p>
        </w:tc>
        <w:tc>
          <w:tcPr>
            <w:tcW w:w="859" w:type="dxa"/>
          </w:tcPr>
          <w:p w:rsidR="009B6AF6" w:rsidRPr="00990D3B" w:rsidP="003F200D" w14:paraId="46AD2F09" w14:textId="77777777">
            <w:pPr>
              <w:pStyle w:val="EQRTableText"/>
            </w:pPr>
            <w:r w:rsidRPr="00990D3B">
              <w:t> </w:t>
            </w:r>
          </w:p>
        </w:tc>
        <w:tc>
          <w:tcPr>
            <w:tcW w:w="1018" w:type="dxa"/>
          </w:tcPr>
          <w:p w:rsidR="009B6AF6" w:rsidRPr="00990D3B" w:rsidP="003F200D" w14:paraId="7CF25491" w14:textId="77777777">
            <w:pPr>
              <w:pStyle w:val="EQRTableText"/>
            </w:pPr>
            <w:r w:rsidRPr="00990D3B">
              <w:t> </w:t>
            </w:r>
          </w:p>
        </w:tc>
        <w:tc>
          <w:tcPr>
            <w:tcW w:w="927" w:type="dxa"/>
          </w:tcPr>
          <w:p w:rsidR="009B6AF6" w:rsidRPr="00990D3B" w:rsidP="003F200D" w14:paraId="77A338E1" w14:textId="77777777">
            <w:pPr>
              <w:pStyle w:val="EQRTableText"/>
            </w:pPr>
            <w:r w:rsidRPr="00990D3B">
              <w:t> </w:t>
            </w:r>
          </w:p>
        </w:tc>
        <w:tc>
          <w:tcPr>
            <w:tcW w:w="998" w:type="dxa"/>
          </w:tcPr>
          <w:p w:rsidR="009B6AF6" w:rsidRPr="00990D3B" w:rsidP="003F200D" w14:paraId="4BCA19D5" w14:textId="77777777">
            <w:pPr>
              <w:pStyle w:val="EQRTableText"/>
            </w:pPr>
            <w:r w:rsidRPr="00990D3B">
              <w:t> </w:t>
            </w:r>
          </w:p>
        </w:tc>
        <w:tc>
          <w:tcPr>
            <w:tcW w:w="986" w:type="dxa"/>
          </w:tcPr>
          <w:p w:rsidR="009B6AF6" w:rsidRPr="00990D3B" w:rsidP="003F200D" w14:paraId="234DD13B" w14:textId="77777777">
            <w:pPr>
              <w:pStyle w:val="EQRTableText"/>
            </w:pPr>
            <w:r w:rsidRPr="00990D3B">
              <w:t> </w:t>
            </w:r>
          </w:p>
        </w:tc>
        <w:tc>
          <w:tcPr>
            <w:tcW w:w="998" w:type="dxa"/>
          </w:tcPr>
          <w:p w:rsidR="009B6AF6" w:rsidRPr="00990D3B" w:rsidP="003F200D" w14:paraId="7B607788" w14:textId="77777777">
            <w:pPr>
              <w:pStyle w:val="EQRTableText"/>
            </w:pPr>
            <w:r w:rsidRPr="00990D3B">
              <w:t> </w:t>
            </w:r>
          </w:p>
        </w:tc>
        <w:tc>
          <w:tcPr>
            <w:tcW w:w="960" w:type="dxa"/>
          </w:tcPr>
          <w:p w:rsidR="009B6AF6" w:rsidRPr="00990D3B" w:rsidP="003F200D" w14:paraId="3ED697F7" w14:textId="77777777">
            <w:pPr>
              <w:pStyle w:val="EQRTableText"/>
            </w:pPr>
            <w:r w:rsidRPr="00990D3B">
              <w:t> </w:t>
            </w:r>
          </w:p>
        </w:tc>
        <w:tc>
          <w:tcPr>
            <w:tcW w:w="981" w:type="dxa"/>
          </w:tcPr>
          <w:p w:rsidR="009B6AF6" w:rsidRPr="00990D3B" w:rsidP="003F200D" w14:paraId="4990A670" w14:textId="77777777">
            <w:pPr>
              <w:pStyle w:val="EQRTableText"/>
            </w:pPr>
            <w:r w:rsidRPr="00990D3B">
              <w:t> </w:t>
            </w:r>
          </w:p>
        </w:tc>
      </w:tr>
    </w:tbl>
    <w:p w:rsidR="00D13B85" w:rsidRPr="00990D3B" w:rsidP="00B5252D" w14:paraId="60B09335" w14:textId="77777777">
      <w:pPr>
        <w:pStyle w:val="ParagraphContinued"/>
      </w:pPr>
    </w:p>
    <w:p w:rsidR="00D13B85" w:rsidRPr="00990D3B" w:rsidP="00B5252D" w14:paraId="5CB740C4" w14:textId="77777777">
      <w:pPr>
        <w:pStyle w:val="ParagraphContinued"/>
      </w:pPr>
    </w:p>
    <w:p w:rsidR="00D13B85" w:rsidRPr="00990D3B" w:rsidP="00B5252D" w14:paraId="46602C91" w14:textId="19D98619">
      <w:pPr>
        <w:pStyle w:val="ParagraphContinued"/>
      </w:pPr>
    </w:p>
    <w:p w:rsidR="00ED2673" w:rsidRPr="00990D3B" w14:paraId="677C13F7" w14:textId="77777777">
      <w:pPr>
        <w:spacing w:line="240" w:lineRule="auto"/>
        <w:rPr>
          <w:rFonts w:ascii="Arial Black" w:eastAsia="Arial" w:hAnsi="Arial Black" w:cs="Arial"/>
          <w:color w:val="000000" w:themeColor="text1"/>
          <w:sz w:val="19"/>
          <w:szCs w:val="19"/>
        </w:rPr>
      </w:pPr>
      <w:bookmarkStart w:id="614" w:name="WSp5n04"/>
      <w:r w:rsidRPr="00990D3B">
        <w:br w:type="page"/>
      </w:r>
    </w:p>
    <w:p w:rsidR="009B6AF6" w:rsidRPr="00990D3B" w:rsidP="00565EB9" w14:paraId="59FF27E8" w14:textId="6500B712">
      <w:pPr>
        <w:pStyle w:val="EQRMarkforExhibitWORKSHEET"/>
      </w:pPr>
      <w:bookmarkStart w:id="615" w:name="_Toc125619174"/>
      <w:bookmarkStart w:id="616" w:name="_Toc201751537"/>
      <w:r w:rsidRPr="00990D3B">
        <w:t>Worksheet 5.4</w:t>
      </w:r>
      <w:bookmarkEnd w:id="614"/>
      <w:r w:rsidRPr="00990D3B">
        <w:t>. Benchmark Utilization Rates</w:t>
      </w:r>
      <w:bookmarkEnd w:id="615"/>
      <w:bookmarkEnd w:id="616"/>
    </w:p>
    <w:p w:rsidR="009B6AF6" w:rsidRPr="00990D3B" w:rsidP="001A5FBB" w14:paraId="2CAAD94E" w14:textId="11B4FBDD">
      <w:pPr>
        <w:pStyle w:val="EQRNormalSSWORKSHEET"/>
      </w:pPr>
      <w:r w:rsidRPr="00990D3B">
        <w:rPr>
          <w:b/>
        </w:rPr>
        <w:t>Instructions</w:t>
      </w:r>
      <w:r w:rsidRPr="00990D3B">
        <w:t xml:space="preserve">. </w:t>
      </w:r>
      <w:r w:rsidRPr="00990D3B" w:rsidR="00D71154">
        <w:t>Use</w:t>
      </w:r>
      <w:r w:rsidRPr="00990D3B">
        <w:t xml:space="preserve"> this worksheet to compare findings </w:t>
      </w:r>
      <w:r w:rsidRPr="00990D3B" w:rsidR="00D71154">
        <w:t xml:space="preserve">from the </w:t>
      </w:r>
      <w:r w:rsidRPr="00990D3B" w:rsidR="00F07840">
        <w:t xml:space="preserve">validation of encounter data activity </w:t>
      </w:r>
      <w:r w:rsidRPr="00990D3B">
        <w:t xml:space="preserve">to state-identified benchmarks. Revise the column headings to reflect the specific benchmarks identified by the state. </w:t>
      </w:r>
      <w:r w:rsidRPr="00990D3B" w:rsidR="00F07840">
        <w:t>A</w:t>
      </w:r>
      <w:r w:rsidRPr="00990D3B">
        <w:t xml:space="preserve">dd measures as specified by state validation requirements. CMS suggests that eligibility measures, if included, should align with the eligibility group code in T-MSIS. </w:t>
      </w:r>
    </w:p>
    <w:p w:rsidR="00D13B85" w:rsidRPr="00990D3B" w:rsidP="001A5FBB" w14:paraId="6488DE20" w14:textId="4C703A5B">
      <w:pPr>
        <w:pStyle w:val="EQRNormalSSWORKSHEET"/>
      </w:pPr>
      <w:r w:rsidRPr="00990D3B">
        <w:t xml:space="preserve">Acronyms: </w:t>
      </w:r>
      <w:r w:rsidRPr="00990D3B" w:rsidR="00900FEF">
        <w:t xml:space="preserve">CMS= Centers for Medicare &amp; Medicaid Services; CPT = Current Procedural Terminology; </w:t>
      </w:r>
      <w:r w:rsidRPr="00990D3B">
        <w:t xml:space="preserve">EQRO = External Quality Review Organization; </w:t>
      </w:r>
      <w:r w:rsidRPr="00990D3B" w:rsidR="00900FEF">
        <w:t>FFS</w:t>
      </w:r>
      <w:r w:rsidRPr="00990D3B" w:rsidR="00D578C9">
        <w:t xml:space="preserve"> </w:t>
      </w:r>
      <w:r w:rsidRPr="00990D3B" w:rsidR="00900FEF">
        <w:t xml:space="preserve">= Fee-for-Service; </w:t>
      </w:r>
      <w:r w:rsidRPr="00990D3B">
        <w:t xml:space="preserve">IPA = Independent Practice Association; </w:t>
      </w:r>
      <w:r w:rsidRPr="00990D3B" w:rsidR="00900FEF">
        <w:t xml:space="preserve">LOS = Length of Stay; </w:t>
      </w:r>
      <w:r w:rsidRPr="00990D3B">
        <w:t xml:space="preserve">MCP= Managed Care Plan; </w:t>
      </w:r>
      <w:r w:rsidRPr="00990D3B" w:rsidR="00900FEF">
        <w:t xml:space="preserve">MS-DRG = Medicare Severity Diagnosis Related Groups; </w:t>
      </w:r>
      <w:r w:rsidRPr="00990D3B">
        <w:t>PCCM = Primary Care Case Management;</w:t>
      </w:r>
      <w:r w:rsidRPr="00990D3B" w:rsidR="00900FEF">
        <w:t xml:space="preserve"> Rx</w:t>
      </w:r>
      <w:r w:rsidRPr="00990D3B" w:rsidR="00D578C9">
        <w:t xml:space="preserve"> </w:t>
      </w:r>
      <w:r w:rsidRPr="00990D3B" w:rsidR="00900FEF">
        <w:t xml:space="preserve">= Pharmacy; T-MSIS = Transformed Medicaid Statistical Information System. </w:t>
      </w:r>
    </w:p>
    <w:tbl>
      <w:tblPr>
        <w:tblStyle w:val="TableGrid"/>
        <w:tblW w:w="5000" w:type="pct"/>
        <w:tblLayout w:type="fixed"/>
        <w:tblCellMar>
          <w:left w:w="115" w:type="dxa"/>
          <w:right w:w="115" w:type="dxa"/>
        </w:tblCellMar>
        <w:tblLook w:val="04A0"/>
      </w:tblPr>
      <w:tblGrid>
        <w:gridCol w:w="3415"/>
        <w:gridCol w:w="1483"/>
        <w:gridCol w:w="1484"/>
        <w:gridCol w:w="1484"/>
        <w:gridCol w:w="1484"/>
      </w:tblGrid>
      <w:tr w14:paraId="5686FDA3" w14:textId="77777777" w:rsidTr="001A5FBB">
        <w:tblPrEx>
          <w:tblW w:w="5000" w:type="pct"/>
          <w:tblLayout w:type="fixed"/>
          <w:tblCellMar>
            <w:left w:w="115" w:type="dxa"/>
            <w:right w:w="115" w:type="dxa"/>
          </w:tblCellMar>
          <w:tblLook w:val="04A0"/>
        </w:tblPrEx>
        <w:trPr>
          <w:cantSplit/>
          <w:tblHeader/>
        </w:trPr>
        <w:tc>
          <w:tcPr>
            <w:tcW w:w="3415" w:type="dxa"/>
            <w:vAlign w:val="bottom"/>
          </w:tcPr>
          <w:p w:rsidR="009B6AF6" w:rsidRPr="00990D3B" w:rsidP="004227E1" w14:paraId="315F6000" w14:textId="77777777">
            <w:pPr>
              <w:pStyle w:val="EQRTableHeaderLeft"/>
              <w:rPr>
                <w:color w:val="auto"/>
              </w:rPr>
            </w:pPr>
            <w:r w:rsidRPr="00990D3B">
              <w:rPr>
                <w:color w:val="auto"/>
              </w:rPr>
              <w:t>Measure</w:t>
            </w:r>
          </w:p>
        </w:tc>
        <w:tc>
          <w:tcPr>
            <w:tcW w:w="1483" w:type="dxa"/>
            <w:vAlign w:val="bottom"/>
          </w:tcPr>
          <w:p w:rsidR="009B6AF6" w:rsidRPr="00990D3B" w:rsidP="004227E1" w14:paraId="32F2B199" w14:textId="37886DC6">
            <w:pPr>
              <w:pStyle w:val="EQRTableHeaderCenter"/>
              <w:rPr>
                <w:color w:val="auto"/>
              </w:rPr>
            </w:pPr>
            <w:r w:rsidRPr="00990D3B">
              <w:rPr>
                <w:color w:val="auto"/>
              </w:rPr>
              <w:t xml:space="preserve">MCP </w:t>
            </w:r>
            <w:r w:rsidRPr="00990D3B" w:rsidR="00F07840">
              <w:rPr>
                <w:color w:val="auto"/>
              </w:rPr>
              <w:t>r</w:t>
            </w:r>
            <w:r w:rsidRPr="00990D3B">
              <w:rPr>
                <w:color w:val="auto"/>
              </w:rPr>
              <w:t>ate</w:t>
            </w:r>
          </w:p>
        </w:tc>
        <w:tc>
          <w:tcPr>
            <w:tcW w:w="1484" w:type="dxa"/>
            <w:vAlign w:val="bottom"/>
          </w:tcPr>
          <w:p w:rsidR="009B6AF6" w:rsidRPr="00990D3B" w:rsidP="004227E1" w14:paraId="23940D01" w14:textId="2E2CEC1A">
            <w:pPr>
              <w:pStyle w:val="EQRTableHeaderCenter"/>
              <w:rPr>
                <w:color w:val="auto"/>
              </w:rPr>
            </w:pPr>
            <w:r w:rsidRPr="00990D3B">
              <w:rPr>
                <w:color w:val="auto"/>
              </w:rPr>
              <w:t xml:space="preserve">FFS/PCCM </w:t>
            </w:r>
            <w:r w:rsidRPr="00990D3B" w:rsidR="00F07840">
              <w:rPr>
                <w:color w:val="auto"/>
              </w:rPr>
              <w:t>r</w:t>
            </w:r>
            <w:r w:rsidRPr="00990D3B">
              <w:rPr>
                <w:color w:val="auto"/>
              </w:rPr>
              <w:t>ate</w:t>
            </w:r>
          </w:p>
        </w:tc>
        <w:tc>
          <w:tcPr>
            <w:tcW w:w="1484" w:type="dxa"/>
            <w:vAlign w:val="bottom"/>
          </w:tcPr>
          <w:p w:rsidR="009B6AF6" w:rsidRPr="00990D3B" w:rsidP="004227E1" w14:paraId="01C3B1B7" w14:textId="5C493327">
            <w:pPr>
              <w:pStyle w:val="EQRTableHeaderCenter"/>
              <w:rPr>
                <w:color w:val="auto"/>
              </w:rPr>
            </w:pPr>
            <w:r w:rsidRPr="00990D3B">
              <w:rPr>
                <w:color w:val="auto"/>
              </w:rPr>
              <w:t xml:space="preserve">Comparable </w:t>
            </w:r>
            <w:r w:rsidRPr="00990D3B" w:rsidR="00F07840">
              <w:rPr>
                <w:color w:val="auto"/>
              </w:rPr>
              <w:t>s</w:t>
            </w:r>
            <w:r w:rsidRPr="00990D3B">
              <w:rPr>
                <w:color w:val="auto"/>
              </w:rPr>
              <w:t xml:space="preserve">tate(s) </w:t>
            </w:r>
            <w:r w:rsidRPr="00990D3B" w:rsidR="00F07840">
              <w:rPr>
                <w:color w:val="auto"/>
              </w:rPr>
              <w:t>r</w:t>
            </w:r>
            <w:r w:rsidRPr="00990D3B">
              <w:rPr>
                <w:color w:val="auto"/>
              </w:rPr>
              <w:t>ate(s)</w:t>
            </w:r>
          </w:p>
        </w:tc>
        <w:tc>
          <w:tcPr>
            <w:tcW w:w="1484" w:type="dxa"/>
            <w:vAlign w:val="bottom"/>
          </w:tcPr>
          <w:p w:rsidR="009B6AF6" w:rsidRPr="00990D3B" w:rsidP="004227E1" w14:paraId="4B855E7F" w14:textId="0D84C66D">
            <w:pPr>
              <w:pStyle w:val="EQRTableHeaderCenter"/>
              <w:rPr>
                <w:color w:val="auto"/>
              </w:rPr>
            </w:pPr>
            <w:r w:rsidRPr="00990D3B">
              <w:rPr>
                <w:color w:val="auto"/>
              </w:rPr>
              <w:t>Other</w:t>
            </w:r>
            <w:r w:rsidRPr="00990D3B">
              <w:rPr>
                <w:color w:val="auto"/>
              </w:rPr>
              <w:t xml:space="preserve"> </w:t>
            </w:r>
            <w:r w:rsidRPr="00990D3B" w:rsidR="00F07840">
              <w:rPr>
                <w:color w:val="auto"/>
              </w:rPr>
              <w:t>c</w:t>
            </w:r>
            <w:r w:rsidRPr="00990D3B">
              <w:rPr>
                <w:color w:val="auto"/>
              </w:rPr>
              <w:t xml:space="preserve">omparable </w:t>
            </w:r>
            <w:r w:rsidRPr="00990D3B" w:rsidR="00F07840">
              <w:rPr>
                <w:color w:val="auto"/>
              </w:rPr>
              <w:t>r</w:t>
            </w:r>
            <w:r w:rsidRPr="00990D3B">
              <w:rPr>
                <w:color w:val="auto"/>
              </w:rPr>
              <w:t>ate (specify)</w:t>
            </w:r>
          </w:p>
        </w:tc>
      </w:tr>
      <w:tr w14:paraId="2BD296A0"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1A5FBB" w14:paraId="13BD3C58" w14:textId="77777777">
            <w:pPr>
              <w:pStyle w:val="EQRTableText"/>
              <w:rPr>
                <w:b/>
              </w:rPr>
            </w:pPr>
            <w:r w:rsidRPr="00990D3B">
              <w:rPr>
                <w:b/>
              </w:rPr>
              <w:t>Inpatient discharges</w:t>
            </w:r>
          </w:p>
        </w:tc>
        <w:tc>
          <w:tcPr>
            <w:tcW w:w="1483" w:type="dxa"/>
          </w:tcPr>
          <w:p w:rsidR="009B6AF6" w:rsidRPr="00990D3B" w:rsidP="001A5FBB" w14:paraId="5DC0C58C" w14:textId="77777777">
            <w:pPr>
              <w:pStyle w:val="EQRTableText"/>
            </w:pPr>
            <w:r w:rsidRPr="00990D3B">
              <w:t> </w:t>
            </w:r>
          </w:p>
        </w:tc>
        <w:tc>
          <w:tcPr>
            <w:tcW w:w="1484" w:type="dxa"/>
          </w:tcPr>
          <w:p w:rsidR="009B6AF6" w:rsidRPr="00990D3B" w:rsidP="001A5FBB" w14:paraId="476773EF" w14:textId="77777777">
            <w:pPr>
              <w:pStyle w:val="EQRTableText"/>
            </w:pPr>
            <w:r w:rsidRPr="00990D3B">
              <w:t> </w:t>
            </w:r>
          </w:p>
        </w:tc>
        <w:tc>
          <w:tcPr>
            <w:tcW w:w="1484" w:type="dxa"/>
          </w:tcPr>
          <w:p w:rsidR="009B6AF6" w:rsidRPr="00990D3B" w:rsidP="001A5FBB" w14:paraId="66D77D20" w14:textId="77777777">
            <w:pPr>
              <w:pStyle w:val="EQRTableText"/>
            </w:pPr>
            <w:r w:rsidRPr="00990D3B">
              <w:t> </w:t>
            </w:r>
          </w:p>
        </w:tc>
        <w:tc>
          <w:tcPr>
            <w:tcW w:w="1484" w:type="dxa"/>
          </w:tcPr>
          <w:p w:rsidR="009B6AF6" w:rsidRPr="00990D3B" w:rsidP="001A5FBB" w14:paraId="73E824A4" w14:textId="77777777">
            <w:pPr>
              <w:pStyle w:val="EQRTableText"/>
            </w:pPr>
            <w:r w:rsidRPr="00990D3B">
              <w:t> </w:t>
            </w:r>
          </w:p>
        </w:tc>
      </w:tr>
      <w:tr w14:paraId="1DDC8D39"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1A5FBB" w14:paraId="48E93318" w14:textId="77777777">
            <w:pPr>
              <w:pStyle w:val="EQRTableText"/>
              <w:rPr>
                <w:b/>
              </w:rPr>
            </w:pPr>
            <w:r w:rsidRPr="00990D3B">
              <w:rPr>
                <w:b/>
              </w:rPr>
              <w:t>Inpatient LOS</w:t>
            </w:r>
          </w:p>
        </w:tc>
        <w:tc>
          <w:tcPr>
            <w:tcW w:w="1483" w:type="dxa"/>
          </w:tcPr>
          <w:p w:rsidR="009B6AF6" w:rsidRPr="00990D3B" w:rsidP="001A5FBB" w14:paraId="3559F7AF" w14:textId="77777777">
            <w:pPr>
              <w:pStyle w:val="EQRTableText"/>
            </w:pPr>
            <w:r w:rsidRPr="00990D3B">
              <w:t> </w:t>
            </w:r>
          </w:p>
        </w:tc>
        <w:tc>
          <w:tcPr>
            <w:tcW w:w="1484" w:type="dxa"/>
          </w:tcPr>
          <w:p w:rsidR="009B6AF6" w:rsidRPr="00990D3B" w:rsidP="001A5FBB" w14:paraId="577FD7DA" w14:textId="77777777">
            <w:pPr>
              <w:pStyle w:val="EQRTableText"/>
            </w:pPr>
            <w:r w:rsidRPr="00990D3B">
              <w:t> </w:t>
            </w:r>
          </w:p>
        </w:tc>
        <w:tc>
          <w:tcPr>
            <w:tcW w:w="1484" w:type="dxa"/>
          </w:tcPr>
          <w:p w:rsidR="009B6AF6" w:rsidRPr="00990D3B" w:rsidP="001A5FBB" w14:paraId="5E88B9E2" w14:textId="77777777">
            <w:pPr>
              <w:pStyle w:val="EQRTableText"/>
            </w:pPr>
            <w:r w:rsidRPr="00990D3B">
              <w:t> </w:t>
            </w:r>
          </w:p>
        </w:tc>
        <w:tc>
          <w:tcPr>
            <w:tcW w:w="1484" w:type="dxa"/>
          </w:tcPr>
          <w:p w:rsidR="009B6AF6" w:rsidRPr="00990D3B" w:rsidP="001A5FBB" w14:paraId="3E4FFE53" w14:textId="77777777">
            <w:pPr>
              <w:pStyle w:val="EQRTableText"/>
            </w:pPr>
            <w:r w:rsidRPr="00990D3B">
              <w:t> </w:t>
            </w:r>
          </w:p>
        </w:tc>
      </w:tr>
      <w:tr w14:paraId="3851B256"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B27133" w14:paraId="312279BB" w14:textId="77777777">
            <w:pPr>
              <w:pStyle w:val="EQRTableText"/>
            </w:pPr>
            <w:r w:rsidRPr="00990D3B">
              <w:t>Overall</w:t>
            </w:r>
          </w:p>
        </w:tc>
        <w:tc>
          <w:tcPr>
            <w:tcW w:w="1483" w:type="dxa"/>
          </w:tcPr>
          <w:p w:rsidR="009B6AF6" w:rsidRPr="00990D3B" w:rsidP="001A5FBB" w14:paraId="12A4D35A" w14:textId="77777777">
            <w:pPr>
              <w:pStyle w:val="EQRTableText"/>
            </w:pPr>
            <w:r w:rsidRPr="00990D3B">
              <w:t> </w:t>
            </w:r>
          </w:p>
        </w:tc>
        <w:tc>
          <w:tcPr>
            <w:tcW w:w="1484" w:type="dxa"/>
          </w:tcPr>
          <w:p w:rsidR="009B6AF6" w:rsidRPr="00990D3B" w:rsidP="001A5FBB" w14:paraId="584CE40F" w14:textId="77777777">
            <w:pPr>
              <w:pStyle w:val="EQRTableText"/>
            </w:pPr>
            <w:r w:rsidRPr="00990D3B">
              <w:t> </w:t>
            </w:r>
          </w:p>
        </w:tc>
        <w:tc>
          <w:tcPr>
            <w:tcW w:w="1484" w:type="dxa"/>
          </w:tcPr>
          <w:p w:rsidR="009B6AF6" w:rsidRPr="00990D3B" w:rsidP="001A5FBB" w14:paraId="18D5EE6A" w14:textId="77777777">
            <w:pPr>
              <w:pStyle w:val="EQRTableText"/>
            </w:pPr>
            <w:r w:rsidRPr="00990D3B">
              <w:t> </w:t>
            </w:r>
          </w:p>
        </w:tc>
        <w:tc>
          <w:tcPr>
            <w:tcW w:w="1484" w:type="dxa"/>
          </w:tcPr>
          <w:p w:rsidR="009B6AF6" w:rsidRPr="00990D3B" w:rsidP="001A5FBB" w14:paraId="62281F9D" w14:textId="77777777">
            <w:pPr>
              <w:pStyle w:val="EQRTableText"/>
            </w:pPr>
            <w:r w:rsidRPr="00990D3B">
              <w:t> </w:t>
            </w:r>
          </w:p>
        </w:tc>
      </w:tr>
      <w:tr w14:paraId="6EF6E6EE"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B27133" w14:paraId="31336117" w14:textId="77777777">
            <w:pPr>
              <w:pStyle w:val="EQRTableText"/>
            </w:pPr>
            <w:r w:rsidRPr="00990D3B">
              <w:t>By high-volume MS-DRGs</w:t>
            </w:r>
          </w:p>
        </w:tc>
        <w:tc>
          <w:tcPr>
            <w:tcW w:w="1483" w:type="dxa"/>
          </w:tcPr>
          <w:p w:rsidR="009B6AF6" w:rsidRPr="00990D3B" w:rsidP="001A5FBB" w14:paraId="1B206CA6" w14:textId="77777777">
            <w:pPr>
              <w:pStyle w:val="EQRTableText"/>
            </w:pPr>
            <w:r w:rsidRPr="00990D3B">
              <w:t> </w:t>
            </w:r>
          </w:p>
        </w:tc>
        <w:tc>
          <w:tcPr>
            <w:tcW w:w="1484" w:type="dxa"/>
          </w:tcPr>
          <w:p w:rsidR="009B6AF6" w:rsidRPr="00990D3B" w:rsidP="001A5FBB" w14:paraId="45F4E61C" w14:textId="77777777">
            <w:pPr>
              <w:pStyle w:val="EQRTableText"/>
            </w:pPr>
            <w:r w:rsidRPr="00990D3B">
              <w:t> </w:t>
            </w:r>
          </w:p>
        </w:tc>
        <w:tc>
          <w:tcPr>
            <w:tcW w:w="1484" w:type="dxa"/>
          </w:tcPr>
          <w:p w:rsidR="009B6AF6" w:rsidRPr="00990D3B" w:rsidP="001A5FBB" w14:paraId="5F2C96CA" w14:textId="77777777">
            <w:pPr>
              <w:pStyle w:val="EQRTableText"/>
            </w:pPr>
            <w:r w:rsidRPr="00990D3B">
              <w:t> </w:t>
            </w:r>
          </w:p>
        </w:tc>
        <w:tc>
          <w:tcPr>
            <w:tcW w:w="1484" w:type="dxa"/>
          </w:tcPr>
          <w:p w:rsidR="009B6AF6" w:rsidRPr="00990D3B" w:rsidP="001A5FBB" w14:paraId="4CA19C52" w14:textId="77777777">
            <w:pPr>
              <w:pStyle w:val="EQRTableText"/>
            </w:pPr>
            <w:r w:rsidRPr="00990D3B">
              <w:t> </w:t>
            </w:r>
          </w:p>
        </w:tc>
      </w:tr>
      <w:tr w14:paraId="421B7D60"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B27133" w14:paraId="11061CF1" w14:textId="77777777">
            <w:pPr>
              <w:pStyle w:val="EQRTableText"/>
            </w:pPr>
            <w:r w:rsidRPr="00990D3B">
              <w:t>By eligibility category/cohort</w:t>
            </w:r>
          </w:p>
        </w:tc>
        <w:tc>
          <w:tcPr>
            <w:tcW w:w="1483" w:type="dxa"/>
          </w:tcPr>
          <w:p w:rsidR="009B6AF6" w:rsidRPr="00990D3B" w:rsidP="001A5FBB" w14:paraId="3291135B" w14:textId="77777777">
            <w:pPr>
              <w:pStyle w:val="EQRTableText"/>
            </w:pPr>
            <w:r w:rsidRPr="00990D3B">
              <w:t> </w:t>
            </w:r>
          </w:p>
        </w:tc>
        <w:tc>
          <w:tcPr>
            <w:tcW w:w="1484" w:type="dxa"/>
          </w:tcPr>
          <w:p w:rsidR="009B6AF6" w:rsidRPr="00990D3B" w:rsidP="001A5FBB" w14:paraId="02A060AE" w14:textId="77777777">
            <w:pPr>
              <w:pStyle w:val="EQRTableText"/>
            </w:pPr>
            <w:r w:rsidRPr="00990D3B">
              <w:t> </w:t>
            </w:r>
          </w:p>
        </w:tc>
        <w:tc>
          <w:tcPr>
            <w:tcW w:w="1484" w:type="dxa"/>
          </w:tcPr>
          <w:p w:rsidR="009B6AF6" w:rsidRPr="00990D3B" w:rsidP="001A5FBB" w14:paraId="5DA9A5C9" w14:textId="77777777">
            <w:pPr>
              <w:pStyle w:val="EQRTableText"/>
            </w:pPr>
            <w:r w:rsidRPr="00990D3B">
              <w:t> </w:t>
            </w:r>
          </w:p>
        </w:tc>
        <w:tc>
          <w:tcPr>
            <w:tcW w:w="1484" w:type="dxa"/>
          </w:tcPr>
          <w:p w:rsidR="009B6AF6" w:rsidRPr="00990D3B" w:rsidP="001A5FBB" w14:paraId="504A012A" w14:textId="77777777">
            <w:pPr>
              <w:pStyle w:val="EQRTableText"/>
            </w:pPr>
            <w:r w:rsidRPr="00990D3B">
              <w:t> </w:t>
            </w:r>
          </w:p>
        </w:tc>
      </w:tr>
      <w:tr w14:paraId="215F2CD9"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1A5FBB" w14:paraId="33A5B2E7" w14:textId="77777777">
            <w:pPr>
              <w:pStyle w:val="EQRTableText"/>
              <w:rPr>
                <w:b/>
              </w:rPr>
            </w:pPr>
            <w:r w:rsidRPr="00990D3B">
              <w:rPr>
                <w:b/>
              </w:rPr>
              <w:t>Ambulatory surgeries</w:t>
            </w:r>
          </w:p>
        </w:tc>
        <w:tc>
          <w:tcPr>
            <w:tcW w:w="1483" w:type="dxa"/>
          </w:tcPr>
          <w:p w:rsidR="009B6AF6" w:rsidRPr="00990D3B" w:rsidP="001A5FBB" w14:paraId="76CD1863" w14:textId="77777777">
            <w:pPr>
              <w:pStyle w:val="EQRTableText"/>
            </w:pPr>
            <w:r w:rsidRPr="00990D3B">
              <w:t> </w:t>
            </w:r>
          </w:p>
        </w:tc>
        <w:tc>
          <w:tcPr>
            <w:tcW w:w="1484" w:type="dxa"/>
          </w:tcPr>
          <w:p w:rsidR="009B6AF6" w:rsidRPr="00990D3B" w:rsidP="001A5FBB" w14:paraId="352D9151" w14:textId="77777777">
            <w:pPr>
              <w:pStyle w:val="EQRTableText"/>
            </w:pPr>
            <w:r w:rsidRPr="00990D3B">
              <w:t> </w:t>
            </w:r>
          </w:p>
        </w:tc>
        <w:tc>
          <w:tcPr>
            <w:tcW w:w="1484" w:type="dxa"/>
          </w:tcPr>
          <w:p w:rsidR="009B6AF6" w:rsidRPr="00990D3B" w:rsidP="001A5FBB" w14:paraId="302C93F0" w14:textId="77777777">
            <w:pPr>
              <w:pStyle w:val="EQRTableText"/>
            </w:pPr>
            <w:r w:rsidRPr="00990D3B">
              <w:t> </w:t>
            </w:r>
          </w:p>
        </w:tc>
        <w:tc>
          <w:tcPr>
            <w:tcW w:w="1484" w:type="dxa"/>
          </w:tcPr>
          <w:p w:rsidR="009B6AF6" w:rsidRPr="00990D3B" w:rsidP="001A5FBB" w14:paraId="39342AEA" w14:textId="77777777">
            <w:pPr>
              <w:pStyle w:val="EQRTableText"/>
            </w:pPr>
            <w:r w:rsidRPr="00990D3B">
              <w:t> </w:t>
            </w:r>
          </w:p>
        </w:tc>
      </w:tr>
      <w:tr w14:paraId="7D094563"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B27133" w14:paraId="5B485281" w14:textId="77777777">
            <w:pPr>
              <w:pStyle w:val="EQRTableText"/>
            </w:pPr>
            <w:r w:rsidRPr="00990D3B">
              <w:t>Total number of surgeries</w:t>
            </w:r>
          </w:p>
        </w:tc>
        <w:tc>
          <w:tcPr>
            <w:tcW w:w="1483" w:type="dxa"/>
          </w:tcPr>
          <w:p w:rsidR="009B6AF6" w:rsidRPr="00990D3B" w:rsidP="001A5FBB" w14:paraId="0091F842" w14:textId="77777777">
            <w:pPr>
              <w:pStyle w:val="EQRTableText"/>
            </w:pPr>
            <w:r w:rsidRPr="00990D3B">
              <w:t> </w:t>
            </w:r>
          </w:p>
        </w:tc>
        <w:tc>
          <w:tcPr>
            <w:tcW w:w="1484" w:type="dxa"/>
          </w:tcPr>
          <w:p w:rsidR="009B6AF6" w:rsidRPr="00990D3B" w:rsidP="001A5FBB" w14:paraId="7AEDA3D6" w14:textId="77777777">
            <w:pPr>
              <w:pStyle w:val="EQRTableText"/>
            </w:pPr>
            <w:r w:rsidRPr="00990D3B">
              <w:t> </w:t>
            </w:r>
          </w:p>
        </w:tc>
        <w:tc>
          <w:tcPr>
            <w:tcW w:w="1484" w:type="dxa"/>
          </w:tcPr>
          <w:p w:rsidR="009B6AF6" w:rsidRPr="00990D3B" w:rsidP="001A5FBB" w14:paraId="09B33ADD" w14:textId="77777777">
            <w:pPr>
              <w:pStyle w:val="EQRTableText"/>
            </w:pPr>
            <w:r w:rsidRPr="00990D3B">
              <w:t> </w:t>
            </w:r>
          </w:p>
        </w:tc>
        <w:tc>
          <w:tcPr>
            <w:tcW w:w="1484" w:type="dxa"/>
          </w:tcPr>
          <w:p w:rsidR="009B6AF6" w:rsidRPr="00990D3B" w:rsidP="001A5FBB" w14:paraId="3BE5E183" w14:textId="77777777">
            <w:pPr>
              <w:pStyle w:val="EQRTableText"/>
            </w:pPr>
            <w:r w:rsidRPr="00990D3B">
              <w:t> </w:t>
            </w:r>
          </w:p>
        </w:tc>
      </w:tr>
      <w:tr w14:paraId="0C5F9D15"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B27133" w14:paraId="67B7EF42" w14:textId="77777777">
            <w:pPr>
              <w:pStyle w:val="EQRTableText"/>
            </w:pPr>
            <w:r w:rsidRPr="00990D3B">
              <w:t>By high-volume CPTs® or ambulatory surgery categories</w:t>
            </w:r>
          </w:p>
        </w:tc>
        <w:tc>
          <w:tcPr>
            <w:tcW w:w="1483" w:type="dxa"/>
          </w:tcPr>
          <w:p w:rsidR="009B6AF6" w:rsidRPr="00990D3B" w:rsidP="001A5FBB" w14:paraId="1662A067" w14:textId="77777777">
            <w:pPr>
              <w:pStyle w:val="EQRTableText"/>
            </w:pPr>
            <w:r w:rsidRPr="00990D3B">
              <w:t> </w:t>
            </w:r>
          </w:p>
        </w:tc>
        <w:tc>
          <w:tcPr>
            <w:tcW w:w="1484" w:type="dxa"/>
          </w:tcPr>
          <w:p w:rsidR="009B6AF6" w:rsidRPr="00990D3B" w:rsidP="001A5FBB" w14:paraId="60B058B2" w14:textId="77777777">
            <w:pPr>
              <w:pStyle w:val="EQRTableText"/>
            </w:pPr>
            <w:r w:rsidRPr="00990D3B">
              <w:t> </w:t>
            </w:r>
          </w:p>
        </w:tc>
        <w:tc>
          <w:tcPr>
            <w:tcW w:w="1484" w:type="dxa"/>
          </w:tcPr>
          <w:p w:rsidR="009B6AF6" w:rsidRPr="00990D3B" w:rsidP="001A5FBB" w14:paraId="6847973A" w14:textId="77777777">
            <w:pPr>
              <w:pStyle w:val="EQRTableText"/>
            </w:pPr>
            <w:r w:rsidRPr="00990D3B">
              <w:t> </w:t>
            </w:r>
          </w:p>
        </w:tc>
        <w:tc>
          <w:tcPr>
            <w:tcW w:w="1484" w:type="dxa"/>
          </w:tcPr>
          <w:p w:rsidR="009B6AF6" w:rsidRPr="00990D3B" w:rsidP="001A5FBB" w14:paraId="1D8181DC" w14:textId="77777777">
            <w:pPr>
              <w:pStyle w:val="EQRTableText"/>
            </w:pPr>
            <w:r w:rsidRPr="00990D3B">
              <w:t> </w:t>
            </w:r>
          </w:p>
        </w:tc>
      </w:tr>
      <w:tr w14:paraId="575A44B5"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B27133" w14:paraId="4B19DF08" w14:textId="77777777">
            <w:pPr>
              <w:pStyle w:val="EQRTableText"/>
            </w:pPr>
            <w:r w:rsidRPr="00990D3B">
              <w:t>Total surgeries (per 1,000 members)</w:t>
            </w:r>
          </w:p>
        </w:tc>
        <w:tc>
          <w:tcPr>
            <w:tcW w:w="1483" w:type="dxa"/>
          </w:tcPr>
          <w:p w:rsidR="009B6AF6" w:rsidRPr="00990D3B" w:rsidP="001A5FBB" w14:paraId="3A8E1CC9" w14:textId="77777777">
            <w:pPr>
              <w:pStyle w:val="EQRTableText"/>
            </w:pPr>
            <w:r w:rsidRPr="00990D3B">
              <w:t> </w:t>
            </w:r>
          </w:p>
        </w:tc>
        <w:tc>
          <w:tcPr>
            <w:tcW w:w="1484" w:type="dxa"/>
          </w:tcPr>
          <w:p w:rsidR="009B6AF6" w:rsidRPr="00990D3B" w:rsidP="001A5FBB" w14:paraId="78F30D8D" w14:textId="77777777">
            <w:pPr>
              <w:pStyle w:val="EQRTableText"/>
            </w:pPr>
            <w:r w:rsidRPr="00990D3B">
              <w:t> </w:t>
            </w:r>
          </w:p>
        </w:tc>
        <w:tc>
          <w:tcPr>
            <w:tcW w:w="1484" w:type="dxa"/>
          </w:tcPr>
          <w:p w:rsidR="009B6AF6" w:rsidRPr="00990D3B" w:rsidP="001A5FBB" w14:paraId="1F5BE5D1" w14:textId="77777777">
            <w:pPr>
              <w:pStyle w:val="EQRTableText"/>
            </w:pPr>
            <w:r w:rsidRPr="00990D3B">
              <w:t> </w:t>
            </w:r>
          </w:p>
        </w:tc>
        <w:tc>
          <w:tcPr>
            <w:tcW w:w="1484" w:type="dxa"/>
          </w:tcPr>
          <w:p w:rsidR="009B6AF6" w:rsidRPr="00990D3B" w:rsidP="001A5FBB" w14:paraId="238C45B0" w14:textId="77777777">
            <w:pPr>
              <w:pStyle w:val="EQRTableText"/>
            </w:pPr>
            <w:r w:rsidRPr="00990D3B">
              <w:t> </w:t>
            </w:r>
          </w:p>
        </w:tc>
      </w:tr>
      <w:tr w14:paraId="0C38478A"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B27133" w14:paraId="3D0AB071" w14:textId="77777777">
            <w:pPr>
              <w:pStyle w:val="EQRTableText"/>
            </w:pPr>
            <w:r w:rsidRPr="00990D3B">
              <w:t>By high-volume CPTs® or ambulatory surgery categories</w:t>
            </w:r>
          </w:p>
        </w:tc>
        <w:tc>
          <w:tcPr>
            <w:tcW w:w="1483" w:type="dxa"/>
          </w:tcPr>
          <w:p w:rsidR="009B6AF6" w:rsidRPr="00990D3B" w:rsidP="001A5FBB" w14:paraId="5E1FACFA" w14:textId="77777777">
            <w:pPr>
              <w:pStyle w:val="EQRTableText"/>
            </w:pPr>
            <w:r w:rsidRPr="00990D3B">
              <w:t> </w:t>
            </w:r>
          </w:p>
        </w:tc>
        <w:tc>
          <w:tcPr>
            <w:tcW w:w="1484" w:type="dxa"/>
          </w:tcPr>
          <w:p w:rsidR="009B6AF6" w:rsidRPr="00990D3B" w:rsidP="001A5FBB" w14:paraId="003BC911" w14:textId="77777777">
            <w:pPr>
              <w:pStyle w:val="EQRTableText"/>
            </w:pPr>
            <w:r w:rsidRPr="00990D3B">
              <w:t> </w:t>
            </w:r>
          </w:p>
        </w:tc>
        <w:tc>
          <w:tcPr>
            <w:tcW w:w="1484" w:type="dxa"/>
          </w:tcPr>
          <w:p w:rsidR="009B6AF6" w:rsidRPr="00990D3B" w:rsidP="001A5FBB" w14:paraId="109D4747" w14:textId="77777777">
            <w:pPr>
              <w:pStyle w:val="EQRTableText"/>
            </w:pPr>
            <w:r w:rsidRPr="00990D3B">
              <w:t> </w:t>
            </w:r>
          </w:p>
        </w:tc>
        <w:tc>
          <w:tcPr>
            <w:tcW w:w="1484" w:type="dxa"/>
          </w:tcPr>
          <w:p w:rsidR="009B6AF6" w:rsidRPr="00990D3B" w:rsidP="001A5FBB" w14:paraId="7CC427D0" w14:textId="77777777">
            <w:pPr>
              <w:pStyle w:val="EQRTableText"/>
            </w:pPr>
            <w:r w:rsidRPr="00990D3B">
              <w:t> </w:t>
            </w:r>
          </w:p>
        </w:tc>
      </w:tr>
      <w:tr w14:paraId="49ED05A0"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1A5FBB" w14:paraId="661D3141" w14:textId="77777777">
            <w:pPr>
              <w:pStyle w:val="EQRTableText"/>
              <w:rPr>
                <w:b/>
              </w:rPr>
            </w:pPr>
            <w:r w:rsidRPr="00990D3B">
              <w:rPr>
                <w:b/>
              </w:rPr>
              <w:t>Providers</w:t>
            </w:r>
          </w:p>
        </w:tc>
        <w:tc>
          <w:tcPr>
            <w:tcW w:w="1483" w:type="dxa"/>
          </w:tcPr>
          <w:p w:rsidR="009B6AF6" w:rsidRPr="00990D3B" w:rsidP="001A5FBB" w14:paraId="08F76654" w14:textId="77777777">
            <w:pPr>
              <w:pStyle w:val="EQRTableText"/>
            </w:pPr>
            <w:r w:rsidRPr="00990D3B">
              <w:t> </w:t>
            </w:r>
          </w:p>
        </w:tc>
        <w:tc>
          <w:tcPr>
            <w:tcW w:w="1484" w:type="dxa"/>
          </w:tcPr>
          <w:p w:rsidR="009B6AF6" w:rsidRPr="00990D3B" w:rsidP="001A5FBB" w14:paraId="161D6495" w14:textId="77777777">
            <w:pPr>
              <w:pStyle w:val="EQRTableText"/>
            </w:pPr>
            <w:r w:rsidRPr="00990D3B">
              <w:t> </w:t>
            </w:r>
          </w:p>
        </w:tc>
        <w:tc>
          <w:tcPr>
            <w:tcW w:w="1484" w:type="dxa"/>
          </w:tcPr>
          <w:p w:rsidR="009B6AF6" w:rsidRPr="00990D3B" w:rsidP="001A5FBB" w14:paraId="00A86739" w14:textId="77777777">
            <w:pPr>
              <w:pStyle w:val="EQRTableText"/>
            </w:pPr>
            <w:r w:rsidRPr="00990D3B">
              <w:t> </w:t>
            </w:r>
          </w:p>
        </w:tc>
        <w:tc>
          <w:tcPr>
            <w:tcW w:w="1484" w:type="dxa"/>
          </w:tcPr>
          <w:p w:rsidR="009B6AF6" w:rsidRPr="00990D3B" w:rsidP="001A5FBB" w14:paraId="578CA6EF" w14:textId="77777777">
            <w:pPr>
              <w:pStyle w:val="EQRTableText"/>
            </w:pPr>
            <w:r w:rsidRPr="00990D3B">
              <w:t> </w:t>
            </w:r>
          </w:p>
        </w:tc>
      </w:tr>
      <w:tr w14:paraId="087A2821"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B27133" w14:paraId="24FDB886" w14:textId="77777777">
            <w:pPr>
              <w:pStyle w:val="EQRTableText"/>
            </w:pPr>
            <w:r w:rsidRPr="00990D3B">
              <w:t>Primary care physicians</w:t>
            </w:r>
          </w:p>
        </w:tc>
        <w:tc>
          <w:tcPr>
            <w:tcW w:w="1483" w:type="dxa"/>
          </w:tcPr>
          <w:p w:rsidR="009B6AF6" w:rsidRPr="00990D3B" w:rsidP="001A5FBB" w14:paraId="349CA7A6" w14:textId="77777777">
            <w:pPr>
              <w:pStyle w:val="EQRTableText"/>
            </w:pPr>
            <w:r w:rsidRPr="00990D3B">
              <w:t> </w:t>
            </w:r>
          </w:p>
        </w:tc>
        <w:tc>
          <w:tcPr>
            <w:tcW w:w="1484" w:type="dxa"/>
          </w:tcPr>
          <w:p w:rsidR="009B6AF6" w:rsidRPr="00990D3B" w:rsidP="001A5FBB" w14:paraId="78D86344" w14:textId="77777777">
            <w:pPr>
              <w:pStyle w:val="EQRTableText"/>
            </w:pPr>
            <w:r w:rsidRPr="00990D3B">
              <w:t> </w:t>
            </w:r>
          </w:p>
        </w:tc>
        <w:tc>
          <w:tcPr>
            <w:tcW w:w="1484" w:type="dxa"/>
          </w:tcPr>
          <w:p w:rsidR="009B6AF6" w:rsidRPr="00990D3B" w:rsidP="001A5FBB" w14:paraId="20653159" w14:textId="77777777">
            <w:pPr>
              <w:pStyle w:val="EQRTableText"/>
            </w:pPr>
            <w:r w:rsidRPr="00990D3B">
              <w:t> </w:t>
            </w:r>
          </w:p>
        </w:tc>
        <w:tc>
          <w:tcPr>
            <w:tcW w:w="1484" w:type="dxa"/>
          </w:tcPr>
          <w:p w:rsidR="009B6AF6" w:rsidRPr="00990D3B" w:rsidP="001A5FBB" w14:paraId="6522F0BB" w14:textId="77777777">
            <w:pPr>
              <w:pStyle w:val="EQRTableText"/>
            </w:pPr>
            <w:r w:rsidRPr="00990D3B">
              <w:t> </w:t>
            </w:r>
          </w:p>
        </w:tc>
      </w:tr>
      <w:tr w14:paraId="67C564DA"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B27133" w14:paraId="51622692" w14:textId="77777777">
            <w:pPr>
              <w:pStyle w:val="EQRTableText"/>
            </w:pPr>
            <w:r w:rsidRPr="00990D3B">
              <w:t>Specialists</w:t>
            </w:r>
          </w:p>
        </w:tc>
        <w:tc>
          <w:tcPr>
            <w:tcW w:w="1483" w:type="dxa"/>
          </w:tcPr>
          <w:p w:rsidR="009B6AF6" w:rsidRPr="00990D3B" w:rsidP="001A5FBB" w14:paraId="3D6E8BCD" w14:textId="77777777">
            <w:pPr>
              <w:pStyle w:val="EQRTableText"/>
            </w:pPr>
            <w:r w:rsidRPr="00990D3B">
              <w:t> </w:t>
            </w:r>
          </w:p>
        </w:tc>
        <w:tc>
          <w:tcPr>
            <w:tcW w:w="1484" w:type="dxa"/>
          </w:tcPr>
          <w:p w:rsidR="009B6AF6" w:rsidRPr="00990D3B" w:rsidP="001A5FBB" w14:paraId="54F60C5E" w14:textId="77777777">
            <w:pPr>
              <w:pStyle w:val="EQRTableText"/>
            </w:pPr>
            <w:r w:rsidRPr="00990D3B">
              <w:t> </w:t>
            </w:r>
          </w:p>
        </w:tc>
        <w:tc>
          <w:tcPr>
            <w:tcW w:w="1484" w:type="dxa"/>
          </w:tcPr>
          <w:p w:rsidR="009B6AF6" w:rsidRPr="00990D3B" w:rsidP="001A5FBB" w14:paraId="7E454444" w14:textId="77777777">
            <w:pPr>
              <w:pStyle w:val="EQRTableText"/>
            </w:pPr>
            <w:r w:rsidRPr="00990D3B">
              <w:t> </w:t>
            </w:r>
          </w:p>
        </w:tc>
        <w:tc>
          <w:tcPr>
            <w:tcW w:w="1484" w:type="dxa"/>
          </w:tcPr>
          <w:p w:rsidR="009B6AF6" w:rsidRPr="00990D3B" w:rsidP="001A5FBB" w14:paraId="4258E7E7" w14:textId="77777777">
            <w:pPr>
              <w:pStyle w:val="EQRTableText"/>
            </w:pPr>
            <w:r w:rsidRPr="00990D3B">
              <w:t> </w:t>
            </w:r>
          </w:p>
        </w:tc>
      </w:tr>
      <w:tr w14:paraId="0B693164"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B27133" w14:paraId="1ABAFA88" w14:textId="77777777">
            <w:pPr>
              <w:pStyle w:val="EQRTableText"/>
            </w:pPr>
            <w:r w:rsidRPr="00990D3B">
              <w:t>Other (e.g., mental health providers)</w:t>
            </w:r>
          </w:p>
        </w:tc>
        <w:tc>
          <w:tcPr>
            <w:tcW w:w="1483" w:type="dxa"/>
          </w:tcPr>
          <w:p w:rsidR="009B6AF6" w:rsidRPr="00990D3B" w:rsidP="001A5FBB" w14:paraId="1229E623" w14:textId="77777777">
            <w:pPr>
              <w:pStyle w:val="EQRTableText"/>
            </w:pPr>
            <w:r w:rsidRPr="00990D3B">
              <w:t> </w:t>
            </w:r>
          </w:p>
        </w:tc>
        <w:tc>
          <w:tcPr>
            <w:tcW w:w="1484" w:type="dxa"/>
          </w:tcPr>
          <w:p w:rsidR="009B6AF6" w:rsidRPr="00990D3B" w:rsidP="001A5FBB" w14:paraId="6C6E7F10" w14:textId="77777777">
            <w:pPr>
              <w:pStyle w:val="EQRTableText"/>
            </w:pPr>
            <w:r w:rsidRPr="00990D3B">
              <w:t> </w:t>
            </w:r>
          </w:p>
        </w:tc>
        <w:tc>
          <w:tcPr>
            <w:tcW w:w="1484" w:type="dxa"/>
          </w:tcPr>
          <w:p w:rsidR="009B6AF6" w:rsidRPr="00990D3B" w:rsidP="001A5FBB" w14:paraId="660D8B69" w14:textId="77777777">
            <w:pPr>
              <w:pStyle w:val="EQRTableText"/>
            </w:pPr>
            <w:r w:rsidRPr="00990D3B">
              <w:t> </w:t>
            </w:r>
          </w:p>
        </w:tc>
        <w:tc>
          <w:tcPr>
            <w:tcW w:w="1484" w:type="dxa"/>
          </w:tcPr>
          <w:p w:rsidR="009B6AF6" w:rsidRPr="00990D3B" w:rsidP="001A5FBB" w14:paraId="30AA2C10" w14:textId="77777777">
            <w:pPr>
              <w:pStyle w:val="EQRTableText"/>
            </w:pPr>
            <w:r w:rsidRPr="00990D3B">
              <w:t> </w:t>
            </w:r>
          </w:p>
        </w:tc>
      </w:tr>
      <w:tr w14:paraId="7D39C1E4"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1A5FBB" w14:paraId="5D98790E" w14:textId="77777777">
            <w:pPr>
              <w:pStyle w:val="EQRTableText"/>
              <w:rPr>
                <w:b/>
              </w:rPr>
            </w:pPr>
            <w:r w:rsidRPr="00990D3B">
              <w:rPr>
                <w:b/>
              </w:rPr>
              <w:t>Enrollees</w:t>
            </w:r>
          </w:p>
        </w:tc>
        <w:tc>
          <w:tcPr>
            <w:tcW w:w="1483" w:type="dxa"/>
          </w:tcPr>
          <w:p w:rsidR="009B6AF6" w:rsidRPr="00990D3B" w:rsidP="001A5FBB" w14:paraId="3D6902F9" w14:textId="77777777">
            <w:pPr>
              <w:pStyle w:val="EQRTableText"/>
            </w:pPr>
            <w:r w:rsidRPr="00990D3B">
              <w:t> </w:t>
            </w:r>
          </w:p>
        </w:tc>
        <w:tc>
          <w:tcPr>
            <w:tcW w:w="1484" w:type="dxa"/>
          </w:tcPr>
          <w:p w:rsidR="009B6AF6" w:rsidRPr="00990D3B" w:rsidP="001A5FBB" w14:paraId="00A3F216" w14:textId="77777777">
            <w:pPr>
              <w:pStyle w:val="EQRTableText"/>
            </w:pPr>
            <w:r w:rsidRPr="00990D3B">
              <w:t> </w:t>
            </w:r>
          </w:p>
        </w:tc>
        <w:tc>
          <w:tcPr>
            <w:tcW w:w="1484" w:type="dxa"/>
          </w:tcPr>
          <w:p w:rsidR="009B6AF6" w:rsidRPr="00990D3B" w:rsidP="001A5FBB" w14:paraId="2C8AF17D" w14:textId="77777777">
            <w:pPr>
              <w:pStyle w:val="EQRTableText"/>
            </w:pPr>
            <w:r w:rsidRPr="00990D3B">
              <w:t> </w:t>
            </w:r>
          </w:p>
        </w:tc>
        <w:tc>
          <w:tcPr>
            <w:tcW w:w="1484" w:type="dxa"/>
          </w:tcPr>
          <w:p w:rsidR="009B6AF6" w:rsidRPr="00990D3B" w:rsidP="001A5FBB" w14:paraId="695F046D" w14:textId="77777777">
            <w:pPr>
              <w:pStyle w:val="EQRTableText"/>
            </w:pPr>
            <w:r w:rsidRPr="00990D3B">
              <w:t> </w:t>
            </w:r>
          </w:p>
        </w:tc>
      </w:tr>
      <w:tr w14:paraId="1A7D7E0A"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B27133" w14:paraId="2BD04CC1" w14:textId="77777777">
            <w:pPr>
              <w:pStyle w:val="EQRTableText"/>
            </w:pPr>
            <w:r w:rsidRPr="00990D3B">
              <w:t>Total number of enrollees</w:t>
            </w:r>
          </w:p>
        </w:tc>
        <w:tc>
          <w:tcPr>
            <w:tcW w:w="1483" w:type="dxa"/>
          </w:tcPr>
          <w:p w:rsidR="009B6AF6" w:rsidRPr="00990D3B" w:rsidP="001A5FBB" w14:paraId="711D4494" w14:textId="77777777">
            <w:pPr>
              <w:pStyle w:val="EQRTableText"/>
            </w:pPr>
            <w:r w:rsidRPr="00990D3B">
              <w:t> </w:t>
            </w:r>
          </w:p>
        </w:tc>
        <w:tc>
          <w:tcPr>
            <w:tcW w:w="1484" w:type="dxa"/>
          </w:tcPr>
          <w:p w:rsidR="009B6AF6" w:rsidRPr="00990D3B" w:rsidP="001A5FBB" w14:paraId="0ADCD203" w14:textId="77777777">
            <w:pPr>
              <w:pStyle w:val="EQRTableText"/>
            </w:pPr>
            <w:r w:rsidRPr="00990D3B">
              <w:t> </w:t>
            </w:r>
          </w:p>
        </w:tc>
        <w:tc>
          <w:tcPr>
            <w:tcW w:w="1484" w:type="dxa"/>
          </w:tcPr>
          <w:p w:rsidR="009B6AF6" w:rsidRPr="00990D3B" w:rsidP="001A5FBB" w14:paraId="54717476" w14:textId="77777777">
            <w:pPr>
              <w:pStyle w:val="EQRTableText"/>
            </w:pPr>
            <w:r w:rsidRPr="00990D3B">
              <w:t> </w:t>
            </w:r>
          </w:p>
        </w:tc>
        <w:tc>
          <w:tcPr>
            <w:tcW w:w="1484" w:type="dxa"/>
          </w:tcPr>
          <w:p w:rsidR="009B6AF6" w:rsidRPr="00990D3B" w:rsidP="001A5FBB" w14:paraId="1F8DB5A0" w14:textId="77777777">
            <w:pPr>
              <w:pStyle w:val="EQRTableText"/>
            </w:pPr>
            <w:r w:rsidRPr="00990D3B">
              <w:t> </w:t>
            </w:r>
          </w:p>
        </w:tc>
      </w:tr>
      <w:tr w14:paraId="665C6150"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B27133" w14:paraId="5B5900FA" w14:textId="77777777">
            <w:pPr>
              <w:pStyle w:val="EQRTableText"/>
            </w:pPr>
            <w:r w:rsidRPr="00990D3B">
              <w:t>By eligibility category</w:t>
            </w:r>
          </w:p>
        </w:tc>
        <w:tc>
          <w:tcPr>
            <w:tcW w:w="1483" w:type="dxa"/>
          </w:tcPr>
          <w:p w:rsidR="009B6AF6" w:rsidRPr="00990D3B" w:rsidP="001A5FBB" w14:paraId="00874B45" w14:textId="77777777">
            <w:pPr>
              <w:pStyle w:val="EQRTableText"/>
            </w:pPr>
            <w:r w:rsidRPr="00990D3B">
              <w:t> </w:t>
            </w:r>
          </w:p>
        </w:tc>
        <w:tc>
          <w:tcPr>
            <w:tcW w:w="1484" w:type="dxa"/>
          </w:tcPr>
          <w:p w:rsidR="009B6AF6" w:rsidRPr="00990D3B" w:rsidP="001A5FBB" w14:paraId="615F3E60" w14:textId="77777777">
            <w:pPr>
              <w:pStyle w:val="EQRTableText"/>
            </w:pPr>
            <w:r w:rsidRPr="00990D3B">
              <w:t> </w:t>
            </w:r>
          </w:p>
        </w:tc>
        <w:tc>
          <w:tcPr>
            <w:tcW w:w="1484" w:type="dxa"/>
          </w:tcPr>
          <w:p w:rsidR="009B6AF6" w:rsidRPr="00990D3B" w:rsidP="001A5FBB" w14:paraId="1DE8DE71" w14:textId="77777777">
            <w:pPr>
              <w:pStyle w:val="EQRTableText"/>
            </w:pPr>
            <w:r w:rsidRPr="00990D3B">
              <w:t> </w:t>
            </w:r>
          </w:p>
        </w:tc>
        <w:tc>
          <w:tcPr>
            <w:tcW w:w="1484" w:type="dxa"/>
          </w:tcPr>
          <w:p w:rsidR="009B6AF6" w:rsidRPr="00990D3B" w:rsidP="001A5FBB" w14:paraId="09AA53C5" w14:textId="77777777">
            <w:pPr>
              <w:pStyle w:val="EQRTableText"/>
            </w:pPr>
            <w:r w:rsidRPr="00990D3B">
              <w:t> </w:t>
            </w:r>
          </w:p>
        </w:tc>
      </w:tr>
      <w:tr w14:paraId="2E302A3A"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B27133" w14:paraId="010E3579" w14:textId="3F02DCB1">
            <w:pPr>
              <w:pStyle w:val="EQRTableText"/>
            </w:pPr>
            <w:r w:rsidRPr="00990D3B">
              <w:t xml:space="preserve">By age, </w:t>
            </w:r>
            <w:r w:rsidRPr="00990D3B" w:rsidR="00A27E6A">
              <w:t xml:space="preserve">sex </w:t>
            </w:r>
            <w:r w:rsidRPr="00990D3B">
              <w:t>categories</w:t>
            </w:r>
          </w:p>
        </w:tc>
        <w:tc>
          <w:tcPr>
            <w:tcW w:w="1483" w:type="dxa"/>
          </w:tcPr>
          <w:p w:rsidR="009B6AF6" w:rsidRPr="00990D3B" w:rsidP="001A5FBB" w14:paraId="19261CA8" w14:textId="77777777">
            <w:pPr>
              <w:pStyle w:val="EQRTableText"/>
            </w:pPr>
            <w:r w:rsidRPr="00990D3B">
              <w:t> </w:t>
            </w:r>
          </w:p>
        </w:tc>
        <w:tc>
          <w:tcPr>
            <w:tcW w:w="1484" w:type="dxa"/>
          </w:tcPr>
          <w:p w:rsidR="009B6AF6" w:rsidRPr="00990D3B" w:rsidP="001A5FBB" w14:paraId="66260743" w14:textId="77777777">
            <w:pPr>
              <w:pStyle w:val="EQRTableText"/>
            </w:pPr>
            <w:r w:rsidRPr="00990D3B">
              <w:t> </w:t>
            </w:r>
          </w:p>
        </w:tc>
        <w:tc>
          <w:tcPr>
            <w:tcW w:w="1484" w:type="dxa"/>
          </w:tcPr>
          <w:p w:rsidR="009B6AF6" w:rsidRPr="00990D3B" w:rsidP="001A5FBB" w14:paraId="5BF17D74" w14:textId="77777777">
            <w:pPr>
              <w:pStyle w:val="EQRTableText"/>
            </w:pPr>
            <w:r w:rsidRPr="00990D3B">
              <w:t> </w:t>
            </w:r>
          </w:p>
        </w:tc>
        <w:tc>
          <w:tcPr>
            <w:tcW w:w="1484" w:type="dxa"/>
          </w:tcPr>
          <w:p w:rsidR="009B6AF6" w:rsidRPr="00990D3B" w:rsidP="001A5FBB" w14:paraId="5A66A0B5" w14:textId="77777777">
            <w:pPr>
              <w:pStyle w:val="EQRTableText"/>
            </w:pPr>
            <w:r w:rsidRPr="00990D3B">
              <w:t> </w:t>
            </w:r>
          </w:p>
        </w:tc>
      </w:tr>
      <w:tr w14:paraId="6B47AA60"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1A5FBB" w14:paraId="08D0D12F" w14:textId="77777777">
            <w:pPr>
              <w:pStyle w:val="EQRTableText"/>
              <w:rPr>
                <w:b/>
              </w:rPr>
            </w:pPr>
            <w:r w:rsidRPr="00990D3B">
              <w:rPr>
                <w:b/>
              </w:rPr>
              <w:t>Service utilization</w:t>
            </w:r>
          </w:p>
        </w:tc>
        <w:tc>
          <w:tcPr>
            <w:tcW w:w="1483" w:type="dxa"/>
          </w:tcPr>
          <w:p w:rsidR="009B6AF6" w:rsidRPr="00990D3B" w:rsidP="001A5FBB" w14:paraId="4DF5B0F2" w14:textId="77777777">
            <w:pPr>
              <w:pStyle w:val="EQRTableText"/>
            </w:pPr>
            <w:r w:rsidRPr="00990D3B">
              <w:t> </w:t>
            </w:r>
          </w:p>
        </w:tc>
        <w:tc>
          <w:tcPr>
            <w:tcW w:w="1484" w:type="dxa"/>
          </w:tcPr>
          <w:p w:rsidR="009B6AF6" w:rsidRPr="00990D3B" w:rsidP="001A5FBB" w14:paraId="65920895" w14:textId="77777777">
            <w:pPr>
              <w:pStyle w:val="EQRTableText"/>
            </w:pPr>
            <w:r w:rsidRPr="00990D3B">
              <w:t> </w:t>
            </w:r>
          </w:p>
        </w:tc>
        <w:tc>
          <w:tcPr>
            <w:tcW w:w="1484" w:type="dxa"/>
          </w:tcPr>
          <w:p w:rsidR="009B6AF6" w:rsidRPr="00990D3B" w:rsidP="001A5FBB" w14:paraId="2E601FB6" w14:textId="77777777">
            <w:pPr>
              <w:pStyle w:val="EQRTableText"/>
            </w:pPr>
            <w:r w:rsidRPr="00990D3B">
              <w:t> </w:t>
            </w:r>
          </w:p>
        </w:tc>
        <w:tc>
          <w:tcPr>
            <w:tcW w:w="1484" w:type="dxa"/>
          </w:tcPr>
          <w:p w:rsidR="009B6AF6" w:rsidRPr="00990D3B" w:rsidP="001A5FBB" w14:paraId="38AD4BF4" w14:textId="77777777">
            <w:pPr>
              <w:pStyle w:val="EQRTableText"/>
            </w:pPr>
            <w:r w:rsidRPr="00990D3B">
              <w:t> </w:t>
            </w:r>
          </w:p>
        </w:tc>
      </w:tr>
      <w:tr w14:paraId="1F3509A2"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B27133" w14:paraId="376023CE" w14:textId="77777777">
            <w:pPr>
              <w:pStyle w:val="EQRTableText"/>
            </w:pPr>
            <w:r w:rsidRPr="00990D3B">
              <w:t>Total number of service users</w:t>
            </w:r>
          </w:p>
        </w:tc>
        <w:tc>
          <w:tcPr>
            <w:tcW w:w="1483" w:type="dxa"/>
          </w:tcPr>
          <w:p w:rsidR="009B6AF6" w:rsidRPr="00990D3B" w:rsidP="001A5FBB" w14:paraId="7E4A6448" w14:textId="77777777">
            <w:pPr>
              <w:pStyle w:val="EQRTableText"/>
            </w:pPr>
            <w:r w:rsidRPr="00990D3B">
              <w:t> </w:t>
            </w:r>
          </w:p>
        </w:tc>
        <w:tc>
          <w:tcPr>
            <w:tcW w:w="1484" w:type="dxa"/>
          </w:tcPr>
          <w:p w:rsidR="009B6AF6" w:rsidRPr="00990D3B" w:rsidP="001A5FBB" w14:paraId="06F6252E" w14:textId="77777777">
            <w:pPr>
              <w:pStyle w:val="EQRTableText"/>
            </w:pPr>
            <w:r w:rsidRPr="00990D3B">
              <w:t> </w:t>
            </w:r>
          </w:p>
        </w:tc>
        <w:tc>
          <w:tcPr>
            <w:tcW w:w="1484" w:type="dxa"/>
          </w:tcPr>
          <w:p w:rsidR="009B6AF6" w:rsidRPr="00990D3B" w:rsidP="001A5FBB" w14:paraId="2BFD157A" w14:textId="77777777">
            <w:pPr>
              <w:pStyle w:val="EQRTableText"/>
            </w:pPr>
            <w:r w:rsidRPr="00990D3B">
              <w:t> </w:t>
            </w:r>
          </w:p>
        </w:tc>
        <w:tc>
          <w:tcPr>
            <w:tcW w:w="1484" w:type="dxa"/>
          </w:tcPr>
          <w:p w:rsidR="009B6AF6" w:rsidRPr="00990D3B" w:rsidP="001A5FBB" w14:paraId="272DB2E7" w14:textId="77777777">
            <w:pPr>
              <w:pStyle w:val="EQRTableText"/>
            </w:pPr>
            <w:r w:rsidRPr="00990D3B">
              <w:t> </w:t>
            </w:r>
          </w:p>
        </w:tc>
      </w:tr>
      <w:tr w14:paraId="35214275"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B27133" w14:paraId="50BF4ACA" w14:textId="77777777">
            <w:pPr>
              <w:pStyle w:val="EQRTableText"/>
            </w:pPr>
            <w:r w:rsidRPr="00990D3B">
              <w:t>By eligibility category</w:t>
            </w:r>
          </w:p>
        </w:tc>
        <w:tc>
          <w:tcPr>
            <w:tcW w:w="1483" w:type="dxa"/>
          </w:tcPr>
          <w:p w:rsidR="009B6AF6" w:rsidRPr="00990D3B" w:rsidP="001A5FBB" w14:paraId="55A51766" w14:textId="77777777">
            <w:pPr>
              <w:pStyle w:val="EQRTableText"/>
            </w:pPr>
            <w:r w:rsidRPr="00990D3B">
              <w:t> </w:t>
            </w:r>
          </w:p>
        </w:tc>
        <w:tc>
          <w:tcPr>
            <w:tcW w:w="1484" w:type="dxa"/>
          </w:tcPr>
          <w:p w:rsidR="009B6AF6" w:rsidRPr="00990D3B" w:rsidP="001A5FBB" w14:paraId="397F9319" w14:textId="77777777">
            <w:pPr>
              <w:pStyle w:val="EQRTableText"/>
            </w:pPr>
            <w:r w:rsidRPr="00990D3B">
              <w:t> </w:t>
            </w:r>
          </w:p>
        </w:tc>
        <w:tc>
          <w:tcPr>
            <w:tcW w:w="1484" w:type="dxa"/>
          </w:tcPr>
          <w:p w:rsidR="009B6AF6" w:rsidRPr="00990D3B" w:rsidP="001A5FBB" w14:paraId="6E3B0743" w14:textId="77777777">
            <w:pPr>
              <w:pStyle w:val="EQRTableText"/>
            </w:pPr>
            <w:r w:rsidRPr="00990D3B">
              <w:t> </w:t>
            </w:r>
          </w:p>
        </w:tc>
        <w:tc>
          <w:tcPr>
            <w:tcW w:w="1484" w:type="dxa"/>
          </w:tcPr>
          <w:p w:rsidR="009B6AF6" w:rsidRPr="00990D3B" w:rsidP="001A5FBB" w14:paraId="699285BB" w14:textId="77777777">
            <w:pPr>
              <w:pStyle w:val="EQRTableText"/>
            </w:pPr>
            <w:r w:rsidRPr="00990D3B">
              <w:t> </w:t>
            </w:r>
          </w:p>
        </w:tc>
      </w:tr>
      <w:tr w14:paraId="69B0D009"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B27133" w14:paraId="57FF4F14" w14:textId="33CAA4A4">
            <w:pPr>
              <w:pStyle w:val="EQRTableText"/>
            </w:pPr>
            <w:r w:rsidRPr="00990D3B">
              <w:t xml:space="preserve">By age, </w:t>
            </w:r>
            <w:r w:rsidRPr="00990D3B" w:rsidR="00A27E6A">
              <w:t xml:space="preserve">sex </w:t>
            </w:r>
            <w:r w:rsidRPr="00990D3B">
              <w:t>categories</w:t>
            </w:r>
          </w:p>
        </w:tc>
        <w:tc>
          <w:tcPr>
            <w:tcW w:w="1483" w:type="dxa"/>
          </w:tcPr>
          <w:p w:rsidR="009B6AF6" w:rsidRPr="00990D3B" w:rsidP="001A5FBB" w14:paraId="7889A487" w14:textId="77777777">
            <w:pPr>
              <w:pStyle w:val="EQRTableText"/>
            </w:pPr>
            <w:r w:rsidRPr="00990D3B">
              <w:t> </w:t>
            </w:r>
          </w:p>
        </w:tc>
        <w:tc>
          <w:tcPr>
            <w:tcW w:w="1484" w:type="dxa"/>
          </w:tcPr>
          <w:p w:rsidR="009B6AF6" w:rsidRPr="00990D3B" w:rsidP="001A5FBB" w14:paraId="5379CF52" w14:textId="77777777">
            <w:pPr>
              <w:pStyle w:val="EQRTableText"/>
            </w:pPr>
            <w:r w:rsidRPr="00990D3B">
              <w:t> </w:t>
            </w:r>
          </w:p>
        </w:tc>
        <w:tc>
          <w:tcPr>
            <w:tcW w:w="1484" w:type="dxa"/>
          </w:tcPr>
          <w:p w:rsidR="009B6AF6" w:rsidRPr="00990D3B" w:rsidP="001A5FBB" w14:paraId="0313556F" w14:textId="77777777">
            <w:pPr>
              <w:pStyle w:val="EQRTableText"/>
            </w:pPr>
            <w:r w:rsidRPr="00990D3B">
              <w:t> </w:t>
            </w:r>
          </w:p>
        </w:tc>
        <w:tc>
          <w:tcPr>
            <w:tcW w:w="1484" w:type="dxa"/>
          </w:tcPr>
          <w:p w:rsidR="009B6AF6" w:rsidRPr="00990D3B" w:rsidP="001A5FBB" w14:paraId="17C1323B" w14:textId="77777777">
            <w:pPr>
              <w:pStyle w:val="EQRTableText"/>
            </w:pPr>
            <w:r w:rsidRPr="00990D3B">
              <w:t> </w:t>
            </w:r>
          </w:p>
        </w:tc>
      </w:tr>
      <w:tr w14:paraId="1818F731"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1A5FBB" w14:paraId="3F29C881" w14:textId="77777777">
            <w:pPr>
              <w:pStyle w:val="EQRTableText"/>
              <w:rPr>
                <w:b/>
              </w:rPr>
            </w:pPr>
            <w:r w:rsidRPr="00990D3B">
              <w:rPr>
                <w:b/>
              </w:rPr>
              <w:t>Visits</w:t>
            </w:r>
          </w:p>
        </w:tc>
        <w:tc>
          <w:tcPr>
            <w:tcW w:w="1483" w:type="dxa"/>
          </w:tcPr>
          <w:p w:rsidR="009B6AF6" w:rsidRPr="00990D3B" w:rsidP="001A5FBB" w14:paraId="40FDD188" w14:textId="77777777">
            <w:pPr>
              <w:pStyle w:val="EQRTableText"/>
            </w:pPr>
            <w:r w:rsidRPr="00990D3B">
              <w:t> </w:t>
            </w:r>
          </w:p>
        </w:tc>
        <w:tc>
          <w:tcPr>
            <w:tcW w:w="1484" w:type="dxa"/>
          </w:tcPr>
          <w:p w:rsidR="009B6AF6" w:rsidRPr="00990D3B" w:rsidP="001A5FBB" w14:paraId="645C31FC" w14:textId="77777777">
            <w:pPr>
              <w:pStyle w:val="EQRTableText"/>
            </w:pPr>
            <w:r w:rsidRPr="00990D3B">
              <w:t> </w:t>
            </w:r>
          </w:p>
        </w:tc>
        <w:tc>
          <w:tcPr>
            <w:tcW w:w="1484" w:type="dxa"/>
          </w:tcPr>
          <w:p w:rsidR="009B6AF6" w:rsidRPr="00990D3B" w:rsidP="001A5FBB" w14:paraId="3FF679BF" w14:textId="77777777">
            <w:pPr>
              <w:pStyle w:val="EQRTableText"/>
            </w:pPr>
            <w:r w:rsidRPr="00990D3B">
              <w:t> </w:t>
            </w:r>
          </w:p>
        </w:tc>
        <w:tc>
          <w:tcPr>
            <w:tcW w:w="1484" w:type="dxa"/>
          </w:tcPr>
          <w:p w:rsidR="009B6AF6" w:rsidRPr="00990D3B" w:rsidP="001A5FBB" w14:paraId="6DA96F1F" w14:textId="77777777">
            <w:pPr>
              <w:pStyle w:val="EQRTableText"/>
            </w:pPr>
            <w:r w:rsidRPr="00990D3B">
              <w:t> </w:t>
            </w:r>
          </w:p>
        </w:tc>
      </w:tr>
      <w:tr w14:paraId="1E62BF0E"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1A5FBB" w14:paraId="10CFE141" w14:textId="77777777">
            <w:pPr>
              <w:pStyle w:val="EQRTableText"/>
              <w:ind w:left="144"/>
            </w:pPr>
            <w:r w:rsidRPr="00990D3B">
              <w:t>Total number of visits</w:t>
            </w:r>
          </w:p>
        </w:tc>
        <w:tc>
          <w:tcPr>
            <w:tcW w:w="1483" w:type="dxa"/>
          </w:tcPr>
          <w:p w:rsidR="009B6AF6" w:rsidRPr="00990D3B" w:rsidP="001A5FBB" w14:paraId="120134E9" w14:textId="77777777">
            <w:pPr>
              <w:pStyle w:val="EQRTableText"/>
            </w:pPr>
            <w:r w:rsidRPr="00990D3B">
              <w:t> </w:t>
            </w:r>
          </w:p>
        </w:tc>
        <w:tc>
          <w:tcPr>
            <w:tcW w:w="1484" w:type="dxa"/>
          </w:tcPr>
          <w:p w:rsidR="009B6AF6" w:rsidRPr="00990D3B" w:rsidP="001A5FBB" w14:paraId="53578E42" w14:textId="77777777">
            <w:pPr>
              <w:pStyle w:val="EQRTableText"/>
            </w:pPr>
            <w:r w:rsidRPr="00990D3B">
              <w:t> </w:t>
            </w:r>
          </w:p>
        </w:tc>
        <w:tc>
          <w:tcPr>
            <w:tcW w:w="1484" w:type="dxa"/>
          </w:tcPr>
          <w:p w:rsidR="009B6AF6" w:rsidRPr="00990D3B" w:rsidP="001A5FBB" w14:paraId="60F95BFB" w14:textId="77777777">
            <w:pPr>
              <w:pStyle w:val="EQRTableText"/>
            </w:pPr>
            <w:r w:rsidRPr="00990D3B">
              <w:t> </w:t>
            </w:r>
          </w:p>
        </w:tc>
        <w:tc>
          <w:tcPr>
            <w:tcW w:w="1484" w:type="dxa"/>
          </w:tcPr>
          <w:p w:rsidR="009B6AF6" w:rsidRPr="00990D3B" w:rsidP="001A5FBB" w14:paraId="594A9C80" w14:textId="77777777">
            <w:pPr>
              <w:pStyle w:val="EQRTableText"/>
            </w:pPr>
            <w:r w:rsidRPr="00990D3B">
              <w:t> </w:t>
            </w:r>
          </w:p>
        </w:tc>
      </w:tr>
      <w:tr w14:paraId="1BC7AAD5"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353140" w14:paraId="4D484CC9" w14:textId="77777777">
            <w:pPr>
              <w:pStyle w:val="EQRTableText"/>
            </w:pPr>
            <w:r w:rsidRPr="00990D3B">
              <w:t>Average visits per enrollee</w:t>
            </w:r>
          </w:p>
        </w:tc>
        <w:tc>
          <w:tcPr>
            <w:tcW w:w="1483" w:type="dxa"/>
          </w:tcPr>
          <w:p w:rsidR="009B6AF6" w:rsidRPr="00990D3B" w:rsidP="001A5FBB" w14:paraId="69B6868C" w14:textId="77777777">
            <w:pPr>
              <w:pStyle w:val="EQRTableText"/>
            </w:pPr>
            <w:r w:rsidRPr="00990D3B">
              <w:t> </w:t>
            </w:r>
          </w:p>
        </w:tc>
        <w:tc>
          <w:tcPr>
            <w:tcW w:w="1484" w:type="dxa"/>
          </w:tcPr>
          <w:p w:rsidR="009B6AF6" w:rsidRPr="00990D3B" w:rsidP="001A5FBB" w14:paraId="1A54864C" w14:textId="77777777">
            <w:pPr>
              <w:pStyle w:val="EQRTableText"/>
            </w:pPr>
            <w:r w:rsidRPr="00990D3B">
              <w:t> </w:t>
            </w:r>
          </w:p>
        </w:tc>
        <w:tc>
          <w:tcPr>
            <w:tcW w:w="1484" w:type="dxa"/>
          </w:tcPr>
          <w:p w:rsidR="009B6AF6" w:rsidRPr="00990D3B" w:rsidP="001A5FBB" w14:paraId="37B0D87E" w14:textId="77777777">
            <w:pPr>
              <w:pStyle w:val="EQRTableText"/>
            </w:pPr>
            <w:r w:rsidRPr="00990D3B">
              <w:t> </w:t>
            </w:r>
          </w:p>
        </w:tc>
        <w:tc>
          <w:tcPr>
            <w:tcW w:w="1484" w:type="dxa"/>
          </w:tcPr>
          <w:p w:rsidR="009B6AF6" w:rsidRPr="00990D3B" w:rsidP="001A5FBB" w14:paraId="166E2D2C" w14:textId="77777777">
            <w:pPr>
              <w:pStyle w:val="EQRTableText"/>
            </w:pPr>
            <w:r w:rsidRPr="00990D3B">
              <w:t> </w:t>
            </w:r>
          </w:p>
        </w:tc>
      </w:tr>
      <w:tr w14:paraId="6F23C4E5"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353140" w14:paraId="55F1698C" w14:textId="77777777">
            <w:pPr>
              <w:pStyle w:val="EQRTableText"/>
            </w:pPr>
            <w:r w:rsidRPr="00990D3B">
              <w:t>Average visits per user</w:t>
            </w:r>
          </w:p>
        </w:tc>
        <w:tc>
          <w:tcPr>
            <w:tcW w:w="1483" w:type="dxa"/>
          </w:tcPr>
          <w:p w:rsidR="009B6AF6" w:rsidRPr="00990D3B" w:rsidP="001A5FBB" w14:paraId="296AF43B" w14:textId="77777777">
            <w:pPr>
              <w:pStyle w:val="EQRTableText"/>
            </w:pPr>
            <w:r w:rsidRPr="00990D3B">
              <w:t> </w:t>
            </w:r>
          </w:p>
        </w:tc>
        <w:tc>
          <w:tcPr>
            <w:tcW w:w="1484" w:type="dxa"/>
          </w:tcPr>
          <w:p w:rsidR="009B6AF6" w:rsidRPr="00990D3B" w:rsidP="001A5FBB" w14:paraId="07284325" w14:textId="77777777">
            <w:pPr>
              <w:pStyle w:val="EQRTableText"/>
            </w:pPr>
            <w:r w:rsidRPr="00990D3B">
              <w:t> </w:t>
            </w:r>
          </w:p>
        </w:tc>
        <w:tc>
          <w:tcPr>
            <w:tcW w:w="1484" w:type="dxa"/>
          </w:tcPr>
          <w:p w:rsidR="009B6AF6" w:rsidRPr="00990D3B" w:rsidP="001A5FBB" w14:paraId="2EA48F66" w14:textId="77777777">
            <w:pPr>
              <w:pStyle w:val="EQRTableText"/>
            </w:pPr>
            <w:r w:rsidRPr="00990D3B">
              <w:t> </w:t>
            </w:r>
          </w:p>
        </w:tc>
        <w:tc>
          <w:tcPr>
            <w:tcW w:w="1484" w:type="dxa"/>
          </w:tcPr>
          <w:p w:rsidR="009B6AF6" w:rsidRPr="00990D3B" w:rsidP="001A5FBB" w14:paraId="7A1E154B" w14:textId="77777777">
            <w:pPr>
              <w:pStyle w:val="EQRTableText"/>
            </w:pPr>
            <w:r w:rsidRPr="00990D3B">
              <w:t> </w:t>
            </w:r>
          </w:p>
        </w:tc>
      </w:tr>
      <w:tr w14:paraId="059999FE"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353140" w14:paraId="4A457FB3" w14:textId="77777777">
            <w:pPr>
              <w:pStyle w:val="EQRTableText"/>
            </w:pPr>
            <w:r w:rsidRPr="00990D3B">
              <w:t>By visit type (e.g., well-child)</w:t>
            </w:r>
          </w:p>
        </w:tc>
        <w:tc>
          <w:tcPr>
            <w:tcW w:w="1483" w:type="dxa"/>
          </w:tcPr>
          <w:p w:rsidR="009B6AF6" w:rsidRPr="00990D3B" w:rsidP="001A5FBB" w14:paraId="6740CF44" w14:textId="77777777">
            <w:pPr>
              <w:pStyle w:val="EQRTableText"/>
            </w:pPr>
            <w:r w:rsidRPr="00990D3B">
              <w:t> </w:t>
            </w:r>
          </w:p>
        </w:tc>
        <w:tc>
          <w:tcPr>
            <w:tcW w:w="1484" w:type="dxa"/>
          </w:tcPr>
          <w:p w:rsidR="009B6AF6" w:rsidRPr="00990D3B" w:rsidP="001A5FBB" w14:paraId="3C5C4A5B" w14:textId="77777777">
            <w:pPr>
              <w:pStyle w:val="EQRTableText"/>
            </w:pPr>
            <w:r w:rsidRPr="00990D3B">
              <w:t> </w:t>
            </w:r>
          </w:p>
        </w:tc>
        <w:tc>
          <w:tcPr>
            <w:tcW w:w="1484" w:type="dxa"/>
          </w:tcPr>
          <w:p w:rsidR="009B6AF6" w:rsidRPr="00990D3B" w:rsidP="001A5FBB" w14:paraId="3B9D590E" w14:textId="77777777">
            <w:pPr>
              <w:pStyle w:val="EQRTableText"/>
            </w:pPr>
            <w:r w:rsidRPr="00990D3B">
              <w:t> </w:t>
            </w:r>
          </w:p>
        </w:tc>
        <w:tc>
          <w:tcPr>
            <w:tcW w:w="1484" w:type="dxa"/>
          </w:tcPr>
          <w:p w:rsidR="009B6AF6" w:rsidRPr="00990D3B" w:rsidP="001A5FBB" w14:paraId="1E6E3951" w14:textId="77777777">
            <w:pPr>
              <w:pStyle w:val="EQRTableText"/>
            </w:pPr>
            <w:r w:rsidRPr="00990D3B">
              <w:t> </w:t>
            </w:r>
          </w:p>
        </w:tc>
      </w:tr>
      <w:tr w14:paraId="115318E2"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F6228C" w14:paraId="70B55646" w14:textId="77777777">
            <w:pPr>
              <w:pStyle w:val="EQRTableText"/>
              <w:keepNext/>
              <w:rPr>
                <w:b/>
              </w:rPr>
            </w:pPr>
            <w:r w:rsidRPr="00990D3B">
              <w:rPr>
                <w:b/>
              </w:rPr>
              <w:t>Other service types (e.g., Rx)</w:t>
            </w:r>
          </w:p>
        </w:tc>
        <w:tc>
          <w:tcPr>
            <w:tcW w:w="1483" w:type="dxa"/>
          </w:tcPr>
          <w:p w:rsidR="009B6AF6" w:rsidRPr="00990D3B" w:rsidP="00F6228C" w14:paraId="77BBB3B0" w14:textId="77777777">
            <w:pPr>
              <w:pStyle w:val="EQRTableText"/>
              <w:keepNext/>
            </w:pPr>
            <w:r w:rsidRPr="00990D3B">
              <w:t> </w:t>
            </w:r>
          </w:p>
        </w:tc>
        <w:tc>
          <w:tcPr>
            <w:tcW w:w="1484" w:type="dxa"/>
          </w:tcPr>
          <w:p w:rsidR="009B6AF6" w:rsidRPr="00990D3B" w:rsidP="00F6228C" w14:paraId="76E9554E" w14:textId="77777777">
            <w:pPr>
              <w:pStyle w:val="EQRTableText"/>
              <w:keepNext/>
            </w:pPr>
            <w:r w:rsidRPr="00990D3B">
              <w:t> </w:t>
            </w:r>
          </w:p>
        </w:tc>
        <w:tc>
          <w:tcPr>
            <w:tcW w:w="1484" w:type="dxa"/>
          </w:tcPr>
          <w:p w:rsidR="009B6AF6" w:rsidRPr="00990D3B" w:rsidP="00F6228C" w14:paraId="707A809A" w14:textId="77777777">
            <w:pPr>
              <w:pStyle w:val="EQRTableText"/>
              <w:keepNext/>
            </w:pPr>
            <w:r w:rsidRPr="00990D3B">
              <w:t> </w:t>
            </w:r>
          </w:p>
        </w:tc>
        <w:tc>
          <w:tcPr>
            <w:tcW w:w="1484" w:type="dxa"/>
          </w:tcPr>
          <w:p w:rsidR="009B6AF6" w:rsidRPr="00990D3B" w:rsidP="00F6228C" w14:paraId="26A48A1C" w14:textId="77777777">
            <w:pPr>
              <w:pStyle w:val="EQRTableText"/>
              <w:keepNext/>
            </w:pPr>
            <w:r w:rsidRPr="00990D3B">
              <w:t> </w:t>
            </w:r>
          </w:p>
        </w:tc>
      </w:tr>
      <w:tr w14:paraId="29084AFC"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353140" w14:paraId="3BEE5F3B" w14:textId="77777777">
            <w:pPr>
              <w:pStyle w:val="EQRTableText"/>
            </w:pPr>
            <w:r w:rsidRPr="00990D3B">
              <w:t>Total number by service type</w:t>
            </w:r>
          </w:p>
        </w:tc>
        <w:tc>
          <w:tcPr>
            <w:tcW w:w="1483" w:type="dxa"/>
          </w:tcPr>
          <w:p w:rsidR="009B6AF6" w:rsidRPr="00990D3B" w:rsidP="001A5FBB" w14:paraId="42C83F10" w14:textId="77777777">
            <w:pPr>
              <w:pStyle w:val="EQRTableText"/>
            </w:pPr>
            <w:r w:rsidRPr="00990D3B">
              <w:t> </w:t>
            </w:r>
          </w:p>
        </w:tc>
        <w:tc>
          <w:tcPr>
            <w:tcW w:w="1484" w:type="dxa"/>
          </w:tcPr>
          <w:p w:rsidR="009B6AF6" w:rsidRPr="00990D3B" w:rsidP="001A5FBB" w14:paraId="1728207B" w14:textId="77777777">
            <w:pPr>
              <w:pStyle w:val="EQRTableText"/>
            </w:pPr>
            <w:r w:rsidRPr="00990D3B">
              <w:t> </w:t>
            </w:r>
          </w:p>
        </w:tc>
        <w:tc>
          <w:tcPr>
            <w:tcW w:w="1484" w:type="dxa"/>
          </w:tcPr>
          <w:p w:rsidR="009B6AF6" w:rsidRPr="00990D3B" w:rsidP="001A5FBB" w14:paraId="7972D616" w14:textId="77777777">
            <w:pPr>
              <w:pStyle w:val="EQRTableText"/>
            </w:pPr>
            <w:r w:rsidRPr="00990D3B">
              <w:t> </w:t>
            </w:r>
          </w:p>
        </w:tc>
        <w:tc>
          <w:tcPr>
            <w:tcW w:w="1484" w:type="dxa"/>
          </w:tcPr>
          <w:p w:rsidR="009B6AF6" w:rsidRPr="00990D3B" w:rsidP="001A5FBB" w14:paraId="458C0E2A" w14:textId="77777777">
            <w:pPr>
              <w:pStyle w:val="EQRTableText"/>
            </w:pPr>
            <w:r w:rsidRPr="00990D3B">
              <w:t> </w:t>
            </w:r>
          </w:p>
        </w:tc>
      </w:tr>
      <w:tr w14:paraId="6AD13E6E"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353140" w14:paraId="3E316456" w14:textId="77777777">
            <w:pPr>
              <w:pStyle w:val="EQRTableText"/>
            </w:pPr>
            <w:r w:rsidRPr="00990D3B">
              <w:t>Encounters by enrollee/service type</w:t>
            </w:r>
          </w:p>
        </w:tc>
        <w:tc>
          <w:tcPr>
            <w:tcW w:w="1483" w:type="dxa"/>
          </w:tcPr>
          <w:p w:rsidR="009B6AF6" w:rsidRPr="00990D3B" w:rsidP="001A5FBB" w14:paraId="07E31954" w14:textId="77777777">
            <w:pPr>
              <w:pStyle w:val="EQRTableText"/>
            </w:pPr>
            <w:r w:rsidRPr="00990D3B">
              <w:t> </w:t>
            </w:r>
          </w:p>
        </w:tc>
        <w:tc>
          <w:tcPr>
            <w:tcW w:w="1484" w:type="dxa"/>
          </w:tcPr>
          <w:p w:rsidR="009B6AF6" w:rsidRPr="00990D3B" w:rsidP="001A5FBB" w14:paraId="2E4F5614" w14:textId="77777777">
            <w:pPr>
              <w:pStyle w:val="EQRTableText"/>
            </w:pPr>
            <w:r w:rsidRPr="00990D3B">
              <w:t> </w:t>
            </w:r>
          </w:p>
        </w:tc>
        <w:tc>
          <w:tcPr>
            <w:tcW w:w="1484" w:type="dxa"/>
          </w:tcPr>
          <w:p w:rsidR="009B6AF6" w:rsidRPr="00990D3B" w:rsidP="001A5FBB" w14:paraId="34A5F756" w14:textId="77777777">
            <w:pPr>
              <w:pStyle w:val="EQRTableText"/>
            </w:pPr>
            <w:r w:rsidRPr="00990D3B">
              <w:t> </w:t>
            </w:r>
          </w:p>
        </w:tc>
        <w:tc>
          <w:tcPr>
            <w:tcW w:w="1484" w:type="dxa"/>
          </w:tcPr>
          <w:p w:rsidR="009B6AF6" w:rsidRPr="00990D3B" w:rsidP="001A5FBB" w14:paraId="5E0E6F50" w14:textId="77777777">
            <w:pPr>
              <w:pStyle w:val="EQRTableText"/>
            </w:pPr>
            <w:r w:rsidRPr="00990D3B">
              <w:t> </w:t>
            </w:r>
          </w:p>
        </w:tc>
      </w:tr>
      <w:tr w14:paraId="1317345F" w14:textId="77777777" w:rsidTr="001A5FBB">
        <w:tblPrEx>
          <w:tblW w:w="5000" w:type="pct"/>
          <w:tblLayout w:type="fixed"/>
          <w:tblCellMar>
            <w:left w:w="115" w:type="dxa"/>
            <w:right w:w="115" w:type="dxa"/>
          </w:tblCellMar>
          <w:tblLook w:val="04A0"/>
        </w:tblPrEx>
        <w:trPr>
          <w:cantSplit/>
        </w:trPr>
        <w:tc>
          <w:tcPr>
            <w:tcW w:w="3415" w:type="dxa"/>
          </w:tcPr>
          <w:p w:rsidR="009B6AF6" w:rsidRPr="00990D3B" w:rsidP="00353140" w14:paraId="7854F127" w14:textId="77777777">
            <w:pPr>
              <w:pStyle w:val="EQRTableText"/>
            </w:pPr>
            <w:r w:rsidRPr="00990D3B">
              <w:t>Encounters by enrollee/service type</w:t>
            </w:r>
          </w:p>
        </w:tc>
        <w:tc>
          <w:tcPr>
            <w:tcW w:w="1483" w:type="dxa"/>
          </w:tcPr>
          <w:p w:rsidR="009B6AF6" w:rsidRPr="00990D3B" w:rsidP="001A5FBB" w14:paraId="6DB45449" w14:textId="77777777">
            <w:pPr>
              <w:pStyle w:val="EQRTableText"/>
            </w:pPr>
            <w:r w:rsidRPr="00990D3B">
              <w:t> </w:t>
            </w:r>
          </w:p>
        </w:tc>
        <w:tc>
          <w:tcPr>
            <w:tcW w:w="1484" w:type="dxa"/>
          </w:tcPr>
          <w:p w:rsidR="009B6AF6" w:rsidRPr="00990D3B" w:rsidP="001A5FBB" w14:paraId="3A125CBF" w14:textId="77777777">
            <w:pPr>
              <w:pStyle w:val="EQRTableText"/>
            </w:pPr>
            <w:r w:rsidRPr="00990D3B">
              <w:t> </w:t>
            </w:r>
          </w:p>
        </w:tc>
        <w:tc>
          <w:tcPr>
            <w:tcW w:w="1484" w:type="dxa"/>
          </w:tcPr>
          <w:p w:rsidR="009B6AF6" w:rsidRPr="00990D3B" w:rsidP="001A5FBB" w14:paraId="6D7CD856" w14:textId="77777777">
            <w:pPr>
              <w:pStyle w:val="EQRTableText"/>
            </w:pPr>
            <w:r w:rsidRPr="00990D3B">
              <w:t> </w:t>
            </w:r>
          </w:p>
        </w:tc>
        <w:tc>
          <w:tcPr>
            <w:tcW w:w="1484" w:type="dxa"/>
          </w:tcPr>
          <w:p w:rsidR="009B6AF6" w:rsidRPr="00990D3B" w:rsidP="001A5FBB" w14:paraId="698449FC" w14:textId="77777777">
            <w:pPr>
              <w:pStyle w:val="EQRTableText"/>
            </w:pPr>
            <w:r w:rsidRPr="00990D3B">
              <w:t> </w:t>
            </w:r>
          </w:p>
        </w:tc>
      </w:tr>
    </w:tbl>
    <w:p w:rsidR="009B6AF6" w:rsidRPr="00990D3B" w:rsidP="000105F3" w14:paraId="7C40E298" w14:textId="48FA2727">
      <w:pPr>
        <w:pStyle w:val="EQRNormalSSWORKSHEET"/>
        <w:spacing w:before="0" w:line="240" w:lineRule="auto"/>
        <w:rPr>
          <w:sz w:val="16"/>
          <w:szCs w:val="16"/>
        </w:rPr>
      </w:pPr>
      <w:r w:rsidRPr="00990D3B">
        <w:rPr>
          <w:sz w:val="16"/>
          <w:szCs w:val="16"/>
        </w:rPr>
        <w:br w:type="page"/>
      </w:r>
    </w:p>
    <w:p w:rsidR="009B6AF6" w:rsidRPr="00990D3B" w:rsidP="00565EB9" w14:paraId="6041E95D" w14:textId="77777777">
      <w:pPr>
        <w:pStyle w:val="EQRMarkforExhibitWORKSHEET"/>
      </w:pPr>
      <w:bookmarkStart w:id="617" w:name="WSp5n05"/>
      <w:bookmarkStart w:id="618" w:name="_Toc125619175"/>
      <w:bookmarkStart w:id="619" w:name="_Toc201751538"/>
      <w:r w:rsidRPr="00990D3B">
        <w:t>Worksheet 5.5</w:t>
      </w:r>
      <w:bookmarkEnd w:id="617"/>
      <w:r w:rsidRPr="00990D3B">
        <w:t>. Medical Record Review for Encounter Data Validation</w:t>
      </w:r>
      <w:bookmarkEnd w:id="618"/>
      <w:bookmarkEnd w:id="619"/>
    </w:p>
    <w:p w:rsidR="009B6AF6" w:rsidRPr="00990D3B" w:rsidP="001A4FE5" w14:paraId="5BA27045" w14:textId="04C561E7">
      <w:pPr>
        <w:pStyle w:val="EQRNormalSSWORKSHEET"/>
      </w:pPr>
      <w:r w:rsidRPr="00990D3B">
        <w:rPr>
          <w:b/>
        </w:rPr>
        <w:t>Instructions</w:t>
      </w:r>
      <w:r w:rsidRPr="00990D3B">
        <w:t xml:space="preserve">. Complete </w:t>
      </w:r>
      <w:r w:rsidRPr="00990D3B" w:rsidR="00F07840">
        <w:t>the table below for e</w:t>
      </w:r>
      <w:r w:rsidRPr="00990D3B">
        <w:t xml:space="preserve">ach record in the sample. Transfer results from the Event Validation and the Data Field Validation tables to </w:t>
      </w:r>
      <w:hyperlink w:anchor="WSp5n06" w:tooltip="Worksheet 5.6" w:history="1">
        <w:r w:rsidRPr="00990D3B">
          <w:rPr>
            <w:rStyle w:val="Hyperlink"/>
          </w:rPr>
          <w:t>Worksheet 5.6</w:t>
        </w:r>
      </w:hyperlink>
      <w:r w:rsidRPr="00990D3B">
        <w:t>.</w:t>
      </w:r>
    </w:p>
    <w:p w:rsidR="00F07840" w:rsidRPr="00990D3B" w:rsidP="001A4FE5" w14:paraId="31E8A8E3" w14:textId="2C5CC44C">
      <w:pPr>
        <w:pStyle w:val="EQRNormalSSWORKSHEET"/>
      </w:pPr>
      <w:r w:rsidRPr="00990D3B">
        <w:t>For the Event Validation Table, include one line for each procedure in the record for selected date. If no match is found (i.e., the event is missing from either the medical record or the encounter record), record the results on the Medical Record Review Results Summary Sheet below, and stop. If the event is present on both the medical and encounter records, proceed to validation of the specified data fields.</w:t>
      </w:r>
    </w:p>
    <w:p w:rsidR="00900FEF" w:rsidRPr="00990D3B" w:rsidP="00FD5CB0" w14:paraId="6DF19C01" w14:textId="121D94DC">
      <w:pPr>
        <w:pStyle w:val="EQRNormalSSWORKSHEET"/>
      </w:pPr>
      <w:r w:rsidRPr="00990D3B">
        <w:t>Acronyms: Dx = Diagnosis; EQRO = External Quality Review Organization; IPA = Independent Practice Association; IP</w:t>
      </w:r>
      <w:r w:rsidRPr="00990D3B" w:rsidR="000E758E">
        <w:t xml:space="preserve"> </w:t>
      </w:r>
      <w:r w:rsidRPr="00990D3B">
        <w:t>= Inpatient;</w:t>
      </w:r>
      <w:r w:rsidRPr="00990D3B" w:rsidR="008430E8">
        <w:t xml:space="preserve"> MCP= Managed Care Plan;</w:t>
      </w:r>
      <w:r w:rsidRPr="00990D3B">
        <w:t xml:space="preserve"> TIN = Taxpayer Identification Number. </w:t>
      </w:r>
    </w:p>
    <w:tbl>
      <w:tblPr>
        <w:tblStyle w:val="TableGrid"/>
        <w:tblW w:w="5000" w:type="pct"/>
        <w:tblLook w:val="04A0"/>
      </w:tblPr>
      <w:tblGrid>
        <w:gridCol w:w="2339"/>
        <w:gridCol w:w="2335"/>
        <w:gridCol w:w="2341"/>
        <w:gridCol w:w="2335"/>
      </w:tblGrid>
      <w:tr w14:paraId="7D35492F" w14:textId="77777777" w:rsidTr="00FD5CB0">
        <w:tblPrEx>
          <w:tblW w:w="5000" w:type="pct"/>
          <w:tblLook w:val="04A0"/>
        </w:tblPrEx>
        <w:trPr>
          <w:cantSplit/>
          <w:tblHeader/>
        </w:trPr>
        <w:tc>
          <w:tcPr>
            <w:tcW w:w="4674" w:type="dxa"/>
            <w:gridSpan w:val="2"/>
            <w:vAlign w:val="bottom"/>
          </w:tcPr>
          <w:p w:rsidR="009B6AF6" w:rsidRPr="00990D3B" w:rsidP="00763FB8" w14:paraId="01B9FEF5" w14:textId="1249C7FB">
            <w:pPr>
              <w:pStyle w:val="EQRTableHeaderLeft"/>
              <w:rPr>
                <w:color w:val="auto"/>
              </w:rPr>
            </w:pPr>
            <w:r w:rsidRPr="00990D3B">
              <w:rPr>
                <w:color w:val="auto"/>
              </w:rPr>
              <w:t xml:space="preserve">Reviewer </w:t>
            </w:r>
            <w:r w:rsidRPr="00990D3B" w:rsidR="00F07840">
              <w:rPr>
                <w:color w:val="auto"/>
              </w:rPr>
              <w:t>n</w:t>
            </w:r>
            <w:r w:rsidRPr="00990D3B">
              <w:rPr>
                <w:color w:val="auto"/>
              </w:rPr>
              <w:t>ame:</w:t>
            </w:r>
          </w:p>
        </w:tc>
        <w:tc>
          <w:tcPr>
            <w:tcW w:w="4676" w:type="dxa"/>
            <w:gridSpan w:val="2"/>
            <w:vAlign w:val="bottom"/>
          </w:tcPr>
          <w:p w:rsidR="009B6AF6" w:rsidRPr="00990D3B" w:rsidP="00763FB8" w14:paraId="5776A218" w14:textId="25393E44">
            <w:pPr>
              <w:pStyle w:val="EQRTableHeaderCenter"/>
              <w:rPr>
                <w:color w:val="auto"/>
              </w:rPr>
            </w:pPr>
            <w:r w:rsidRPr="00990D3B">
              <w:rPr>
                <w:color w:val="auto"/>
              </w:rPr>
              <w:t xml:space="preserve">Review </w:t>
            </w:r>
            <w:r w:rsidRPr="00990D3B" w:rsidR="00F07840">
              <w:rPr>
                <w:color w:val="auto"/>
              </w:rPr>
              <w:t>c</w:t>
            </w:r>
            <w:r w:rsidRPr="00990D3B">
              <w:rPr>
                <w:color w:val="auto"/>
              </w:rPr>
              <w:t xml:space="preserve">ompletion </w:t>
            </w:r>
            <w:r w:rsidRPr="00990D3B" w:rsidR="00F07840">
              <w:rPr>
                <w:color w:val="auto"/>
              </w:rPr>
              <w:t>d</w:t>
            </w:r>
            <w:r w:rsidRPr="00990D3B">
              <w:rPr>
                <w:color w:val="auto"/>
              </w:rPr>
              <w:t>ate:</w:t>
            </w:r>
          </w:p>
        </w:tc>
      </w:tr>
      <w:tr w14:paraId="7F2EE80A" w14:textId="77777777" w:rsidTr="00FD5CB0">
        <w:tblPrEx>
          <w:tblW w:w="5000" w:type="pct"/>
          <w:tblLook w:val="04A0"/>
        </w:tblPrEx>
        <w:trPr>
          <w:cantSplit/>
          <w:tblHeader/>
        </w:trPr>
        <w:tc>
          <w:tcPr>
            <w:tcW w:w="2339" w:type="dxa"/>
            <w:vAlign w:val="bottom"/>
          </w:tcPr>
          <w:p w:rsidR="009B6AF6" w:rsidRPr="00990D3B" w:rsidP="00763FB8" w14:paraId="00459873" w14:textId="77777777">
            <w:pPr>
              <w:pStyle w:val="EQRTableHeaderLeft"/>
              <w:rPr>
                <w:color w:val="auto"/>
              </w:rPr>
            </w:pPr>
            <w:r w:rsidRPr="00990D3B">
              <w:rPr>
                <w:color w:val="auto"/>
              </w:rPr>
              <w:t>Data element</w:t>
            </w:r>
          </w:p>
        </w:tc>
        <w:tc>
          <w:tcPr>
            <w:tcW w:w="2335" w:type="dxa"/>
            <w:vAlign w:val="bottom"/>
          </w:tcPr>
          <w:p w:rsidR="009B6AF6" w:rsidRPr="00990D3B" w:rsidP="00763FB8" w14:paraId="08F6175F" w14:textId="77777777">
            <w:pPr>
              <w:pStyle w:val="EQRTableHeaderCenter"/>
              <w:rPr>
                <w:color w:val="auto"/>
              </w:rPr>
            </w:pPr>
            <w:r w:rsidRPr="00990D3B">
              <w:rPr>
                <w:color w:val="auto"/>
              </w:rPr>
              <w:t>Field value</w:t>
            </w:r>
          </w:p>
        </w:tc>
        <w:tc>
          <w:tcPr>
            <w:tcW w:w="2341" w:type="dxa"/>
            <w:vAlign w:val="bottom"/>
          </w:tcPr>
          <w:p w:rsidR="009B6AF6" w:rsidRPr="00990D3B" w:rsidP="00763FB8" w14:paraId="63EB55B4" w14:textId="77777777">
            <w:pPr>
              <w:pStyle w:val="EQRTableHeaderLeft"/>
              <w:rPr>
                <w:color w:val="auto"/>
              </w:rPr>
            </w:pPr>
            <w:r w:rsidRPr="00990D3B">
              <w:rPr>
                <w:color w:val="auto"/>
              </w:rPr>
              <w:t>Data element</w:t>
            </w:r>
          </w:p>
        </w:tc>
        <w:tc>
          <w:tcPr>
            <w:tcW w:w="2335" w:type="dxa"/>
            <w:vAlign w:val="bottom"/>
          </w:tcPr>
          <w:p w:rsidR="009B6AF6" w:rsidRPr="00990D3B" w:rsidP="00763FB8" w14:paraId="5643B977" w14:textId="77777777">
            <w:pPr>
              <w:pStyle w:val="EQRTableHeaderCenter"/>
              <w:rPr>
                <w:color w:val="auto"/>
              </w:rPr>
            </w:pPr>
            <w:r w:rsidRPr="00990D3B">
              <w:rPr>
                <w:color w:val="auto"/>
              </w:rPr>
              <w:t>Field value</w:t>
            </w:r>
          </w:p>
        </w:tc>
      </w:tr>
      <w:tr w14:paraId="21F67BFD" w14:textId="77777777" w:rsidTr="00FD5CB0">
        <w:tblPrEx>
          <w:tblW w:w="5000" w:type="pct"/>
          <w:tblLook w:val="04A0"/>
        </w:tblPrEx>
        <w:trPr>
          <w:cantSplit/>
        </w:trPr>
        <w:tc>
          <w:tcPr>
            <w:tcW w:w="2339" w:type="dxa"/>
          </w:tcPr>
          <w:p w:rsidR="009B6AF6" w:rsidRPr="00990D3B" w:rsidP="001A4FE5" w14:paraId="4588B15B" w14:textId="77777777">
            <w:pPr>
              <w:pStyle w:val="EQRTableText"/>
            </w:pPr>
            <w:r w:rsidRPr="00990D3B">
              <w:t>Medical record ID number</w:t>
            </w:r>
          </w:p>
        </w:tc>
        <w:tc>
          <w:tcPr>
            <w:tcW w:w="2335" w:type="dxa"/>
          </w:tcPr>
          <w:p w:rsidR="009B6AF6" w:rsidRPr="00990D3B" w:rsidP="001A4FE5" w14:paraId="2808D54A" w14:textId="77777777">
            <w:pPr>
              <w:pStyle w:val="EQRTableText"/>
            </w:pPr>
            <w:r w:rsidRPr="00990D3B">
              <w:t> </w:t>
            </w:r>
          </w:p>
        </w:tc>
        <w:tc>
          <w:tcPr>
            <w:tcW w:w="2341" w:type="dxa"/>
          </w:tcPr>
          <w:p w:rsidR="009B6AF6" w:rsidRPr="00990D3B" w:rsidP="001A4FE5" w14:paraId="75EB3A91" w14:textId="77777777">
            <w:pPr>
              <w:pStyle w:val="EQRTableText"/>
            </w:pPr>
            <w:r w:rsidRPr="00990D3B">
              <w:t>Practice name</w:t>
            </w:r>
          </w:p>
        </w:tc>
        <w:tc>
          <w:tcPr>
            <w:tcW w:w="2335" w:type="dxa"/>
          </w:tcPr>
          <w:p w:rsidR="009B6AF6" w:rsidRPr="00990D3B" w:rsidP="001A4FE5" w14:paraId="5C32BFD7" w14:textId="77777777">
            <w:pPr>
              <w:pStyle w:val="EQRTableText"/>
            </w:pPr>
            <w:r w:rsidRPr="00990D3B">
              <w:t> </w:t>
            </w:r>
          </w:p>
        </w:tc>
      </w:tr>
      <w:tr w14:paraId="50764211" w14:textId="77777777" w:rsidTr="00FD5CB0">
        <w:tblPrEx>
          <w:tblW w:w="5000" w:type="pct"/>
          <w:tblLook w:val="04A0"/>
        </w:tblPrEx>
        <w:trPr>
          <w:cantSplit/>
        </w:trPr>
        <w:tc>
          <w:tcPr>
            <w:tcW w:w="2339" w:type="dxa"/>
          </w:tcPr>
          <w:p w:rsidR="009B6AF6" w:rsidRPr="00990D3B" w:rsidP="001A4FE5" w14:paraId="07FF6D6F" w14:textId="77777777">
            <w:pPr>
              <w:pStyle w:val="EQRTableText"/>
            </w:pPr>
            <w:r w:rsidRPr="00990D3B">
              <w:t>Patient name</w:t>
            </w:r>
          </w:p>
        </w:tc>
        <w:tc>
          <w:tcPr>
            <w:tcW w:w="2335" w:type="dxa"/>
          </w:tcPr>
          <w:p w:rsidR="009B6AF6" w:rsidRPr="00990D3B" w:rsidP="001A4FE5" w14:paraId="6D15EA9A" w14:textId="77777777">
            <w:pPr>
              <w:pStyle w:val="EQRTableText"/>
            </w:pPr>
            <w:r w:rsidRPr="00990D3B">
              <w:t> </w:t>
            </w:r>
          </w:p>
        </w:tc>
        <w:tc>
          <w:tcPr>
            <w:tcW w:w="2341" w:type="dxa"/>
          </w:tcPr>
          <w:p w:rsidR="009B6AF6" w:rsidRPr="00990D3B" w:rsidP="001A4FE5" w14:paraId="7CD60762" w14:textId="77777777">
            <w:pPr>
              <w:pStyle w:val="EQRTableText"/>
            </w:pPr>
            <w:r w:rsidRPr="00990D3B">
              <w:t>Practice TIN</w:t>
            </w:r>
          </w:p>
        </w:tc>
        <w:tc>
          <w:tcPr>
            <w:tcW w:w="2335" w:type="dxa"/>
          </w:tcPr>
          <w:p w:rsidR="009B6AF6" w:rsidRPr="00990D3B" w:rsidP="001A4FE5" w14:paraId="39E63B1B" w14:textId="77777777">
            <w:pPr>
              <w:pStyle w:val="EQRTableText"/>
            </w:pPr>
            <w:r w:rsidRPr="00990D3B">
              <w:t> </w:t>
            </w:r>
          </w:p>
        </w:tc>
      </w:tr>
      <w:tr w14:paraId="4CD569E3" w14:textId="77777777" w:rsidTr="00FD5CB0">
        <w:tblPrEx>
          <w:tblW w:w="5000" w:type="pct"/>
          <w:tblLook w:val="04A0"/>
        </w:tblPrEx>
        <w:trPr>
          <w:cantSplit/>
        </w:trPr>
        <w:tc>
          <w:tcPr>
            <w:tcW w:w="2339" w:type="dxa"/>
          </w:tcPr>
          <w:p w:rsidR="009B6AF6" w:rsidRPr="00990D3B" w:rsidP="001A4FE5" w14:paraId="63D1560C" w14:textId="77777777">
            <w:pPr>
              <w:pStyle w:val="EQRTableText"/>
            </w:pPr>
            <w:r w:rsidRPr="00990D3B">
              <w:t>Patient ID number</w:t>
            </w:r>
          </w:p>
        </w:tc>
        <w:tc>
          <w:tcPr>
            <w:tcW w:w="2335" w:type="dxa"/>
          </w:tcPr>
          <w:p w:rsidR="009B6AF6" w:rsidRPr="00990D3B" w:rsidP="001A4FE5" w14:paraId="70DEFC53" w14:textId="77777777">
            <w:pPr>
              <w:pStyle w:val="EQRTableText"/>
            </w:pPr>
            <w:r w:rsidRPr="00990D3B">
              <w:t> </w:t>
            </w:r>
          </w:p>
        </w:tc>
        <w:tc>
          <w:tcPr>
            <w:tcW w:w="2341" w:type="dxa"/>
          </w:tcPr>
          <w:p w:rsidR="009B6AF6" w:rsidRPr="00990D3B" w:rsidP="001A4FE5" w14:paraId="3582E08F" w14:textId="77777777">
            <w:pPr>
              <w:pStyle w:val="EQRTableText"/>
            </w:pPr>
            <w:r w:rsidRPr="00990D3B">
              <w:t>Rendering provider name</w:t>
            </w:r>
          </w:p>
        </w:tc>
        <w:tc>
          <w:tcPr>
            <w:tcW w:w="2335" w:type="dxa"/>
          </w:tcPr>
          <w:p w:rsidR="009B6AF6" w:rsidRPr="00990D3B" w:rsidP="001A4FE5" w14:paraId="78ED90B5" w14:textId="77777777">
            <w:pPr>
              <w:pStyle w:val="EQRTableText"/>
            </w:pPr>
            <w:r w:rsidRPr="00990D3B">
              <w:t> </w:t>
            </w:r>
          </w:p>
        </w:tc>
      </w:tr>
      <w:tr w14:paraId="2F990A23" w14:textId="77777777" w:rsidTr="00FD5CB0">
        <w:tblPrEx>
          <w:tblW w:w="5000" w:type="pct"/>
          <w:tblLook w:val="04A0"/>
        </w:tblPrEx>
        <w:trPr>
          <w:cantSplit/>
        </w:trPr>
        <w:tc>
          <w:tcPr>
            <w:tcW w:w="2339" w:type="dxa"/>
          </w:tcPr>
          <w:p w:rsidR="009B6AF6" w:rsidRPr="00990D3B" w:rsidP="001A4FE5" w14:paraId="324C064D" w14:textId="21845346">
            <w:pPr>
              <w:pStyle w:val="EQRTableText"/>
            </w:pPr>
            <w:r w:rsidRPr="00990D3B">
              <w:t xml:space="preserve">Patient </w:t>
            </w:r>
            <w:r w:rsidRPr="00990D3B" w:rsidR="00A27E6A">
              <w:t>sex</w:t>
            </w:r>
          </w:p>
        </w:tc>
        <w:tc>
          <w:tcPr>
            <w:tcW w:w="2335" w:type="dxa"/>
          </w:tcPr>
          <w:p w:rsidR="009B6AF6" w:rsidRPr="00990D3B" w:rsidP="001A4FE5" w14:paraId="299A93D6" w14:textId="77777777">
            <w:pPr>
              <w:pStyle w:val="EQRTableText"/>
            </w:pPr>
            <w:r w:rsidRPr="00990D3B">
              <w:t> </w:t>
            </w:r>
          </w:p>
        </w:tc>
        <w:tc>
          <w:tcPr>
            <w:tcW w:w="2341" w:type="dxa"/>
          </w:tcPr>
          <w:p w:rsidR="009B6AF6" w:rsidRPr="00990D3B" w:rsidP="001A4FE5" w14:paraId="2A2646BF" w14:textId="77777777">
            <w:pPr>
              <w:pStyle w:val="EQRTableText"/>
            </w:pPr>
            <w:r w:rsidRPr="00990D3B">
              <w:t>Rendering provider PIN</w:t>
            </w:r>
          </w:p>
        </w:tc>
        <w:tc>
          <w:tcPr>
            <w:tcW w:w="2335" w:type="dxa"/>
          </w:tcPr>
          <w:p w:rsidR="009B6AF6" w:rsidRPr="00990D3B" w:rsidP="001A4FE5" w14:paraId="1974C43D" w14:textId="77777777">
            <w:pPr>
              <w:pStyle w:val="EQRTableText"/>
            </w:pPr>
            <w:r w:rsidRPr="00990D3B">
              <w:t> </w:t>
            </w:r>
          </w:p>
        </w:tc>
      </w:tr>
      <w:tr w14:paraId="766434C6" w14:textId="77777777" w:rsidTr="00FD5CB0">
        <w:tblPrEx>
          <w:tblW w:w="5000" w:type="pct"/>
          <w:tblLook w:val="04A0"/>
        </w:tblPrEx>
        <w:trPr>
          <w:cantSplit/>
        </w:trPr>
        <w:tc>
          <w:tcPr>
            <w:tcW w:w="2339" w:type="dxa"/>
          </w:tcPr>
          <w:p w:rsidR="009B6AF6" w:rsidRPr="00990D3B" w:rsidP="001A4FE5" w14:paraId="1D26C07A" w14:textId="77777777">
            <w:pPr>
              <w:pStyle w:val="EQRTableText"/>
            </w:pPr>
            <w:r w:rsidRPr="00990D3B">
              <w:t>Patient date of birth</w:t>
            </w:r>
          </w:p>
        </w:tc>
        <w:tc>
          <w:tcPr>
            <w:tcW w:w="2335" w:type="dxa"/>
          </w:tcPr>
          <w:p w:rsidR="009B6AF6" w:rsidRPr="00990D3B" w:rsidP="001A4FE5" w14:paraId="72B2C10A" w14:textId="77777777">
            <w:pPr>
              <w:pStyle w:val="EQRTableText"/>
            </w:pPr>
            <w:r w:rsidRPr="00990D3B">
              <w:t> </w:t>
            </w:r>
          </w:p>
        </w:tc>
        <w:tc>
          <w:tcPr>
            <w:tcW w:w="2341" w:type="dxa"/>
          </w:tcPr>
          <w:p w:rsidR="009B6AF6" w:rsidRPr="00990D3B" w:rsidP="001A4FE5" w14:paraId="4EA489BA" w14:textId="77777777">
            <w:pPr>
              <w:pStyle w:val="EQRTableText"/>
            </w:pPr>
            <w:r w:rsidRPr="00990D3B">
              <w:t>Primary diagnosis</w:t>
            </w:r>
          </w:p>
        </w:tc>
        <w:tc>
          <w:tcPr>
            <w:tcW w:w="2335" w:type="dxa"/>
          </w:tcPr>
          <w:p w:rsidR="009B6AF6" w:rsidRPr="00990D3B" w:rsidP="001A4FE5" w14:paraId="19449065" w14:textId="77777777">
            <w:pPr>
              <w:pStyle w:val="EQRTableText"/>
            </w:pPr>
            <w:r w:rsidRPr="00990D3B">
              <w:t> </w:t>
            </w:r>
          </w:p>
        </w:tc>
      </w:tr>
      <w:tr w14:paraId="77CC8FA9" w14:textId="77777777" w:rsidTr="00FD5CB0">
        <w:tblPrEx>
          <w:tblW w:w="5000" w:type="pct"/>
          <w:tblLook w:val="04A0"/>
        </w:tblPrEx>
        <w:trPr>
          <w:cantSplit/>
        </w:trPr>
        <w:tc>
          <w:tcPr>
            <w:tcW w:w="2339" w:type="dxa"/>
          </w:tcPr>
          <w:p w:rsidR="009B6AF6" w:rsidRPr="00990D3B" w:rsidP="001A4FE5" w14:paraId="7D499812" w14:textId="77777777">
            <w:pPr>
              <w:pStyle w:val="EQRTableText"/>
            </w:pPr>
            <w:r w:rsidRPr="00990D3B">
              <w:t>First date of service</w:t>
            </w:r>
          </w:p>
        </w:tc>
        <w:tc>
          <w:tcPr>
            <w:tcW w:w="2335" w:type="dxa"/>
          </w:tcPr>
          <w:p w:rsidR="009B6AF6" w:rsidRPr="00990D3B" w:rsidP="001A4FE5" w14:paraId="0B5BEC65" w14:textId="77777777">
            <w:pPr>
              <w:pStyle w:val="EQRTableText"/>
            </w:pPr>
            <w:r w:rsidRPr="00990D3B">
              <w:t> </w:t>
            </w:r>
          </w:p>
        </w:tc>
        <w:tc>
          <w:tcPr>
            <w:tcW w:w="2341" w:type="dxa"/>
          </w:tcPr>
          <w:p w:rsidR="009B6AF6" w:rsidRPr="00990D3B" w:rsidP="001A4FE5" w14:paraId="608889EC" w14:textId="77777777">
            <w:pPr>
              <w:pStyle w:val="EQRTableText"/>
            </w:pPr>
            <w:r w:rsidRPr="00990D3B">
              <w:t>Principal procedure</w:t>
            </w:r>
          </w:p>
        </w:tc>
        <w:tc>
          <w:tcPr>
            <w:tcW w:w="2335" w:type="dxa"/>
          </w:tcPr>
          <w:p w:rsidR="009B6AF6" w:rsidRPr="00990D3B" w:rsidP="001A4FE5" w14:paraId="71201B84" w14:textId="77777777">
            <w:pPr>
              <w:pStyle w:val="EQRTableText"/>
            </w:pPr>
            <w:r w:rsidRPr="00990D3B">
              <w:t> </w:t>
            </w:r>
          </w:p>
        </w:tc>
      </w:tr>
      <w:tr w14:paraId="1A3993BA" w14:textId="77777777" w:rsidTr="00FD5CB0">
        <w:tblPrEx>
          <w:tblW w:w="5000" w:type="pct"/>
          <w:tblLook w:val="04A0"/>
        </w:tblPrEx>
        <w:trPr>
          <w:cantSplit/>
        </w:trPr>
        <w:tc>
          <w:tcPr>
            <w:tcW w:w="2339" w:type="dxa"/>
          </w:tcPr>
          <w:p w:rsidR="009B6AF6" w:rsidRPr="00990D3B" w:rsidP="001A4FE5" w14:paraId="7DB03835" w14:textId="77777777">
            <w:pPr>
              <w:pStyle w:val="EQRTableText"/>
            </w:pPr>
            <w:r w:rsidRPr="00990D3B">
              <w:t>Last date of service</w:t>
            </w:r>
          </w:p>
        </w:tc>
        <w:tc>
          <w:tcPr>
            <w:tcW w:w="2335" w:type="dxa"/>
          </w:tcPr>
          <w:p w:rsidR="009B6AF6" w:rsidRPr="00990D3B" w:rsidP="001A4FE5" w14:paraId="6C694628" w14:textId="77777777">
            <w:pPr>
              <w:pStyle w:val="EQRTableText"/>
            </w:pPr>
            <w:r w:rsidRPr="00990D3B">
              <w:t> </w:t>
            </w:r>
          </w:p>
        </w:tc>
        <w:tc>
          <w:tcPr>
            <w:tcW w:w="2341" w:type="dxa"/>
          </w:tcPr>
          <w:p w:rsidR="009B6AF6" w:rsidRPr="00990D3B" w:rsidP="001A4FE5" w14:paraId="1DB564F2" w14:textId="77777777">
            <w:pPr>
              <w:pStyle w:val="EQRTableText"/>
            </w:pPr>
            <w:r w:rsidRPr="00990D3B">
              <w:t> </w:t>
            </w:r>
          </w:p>
        </w:tc>
        <w:tc>
          <w:tcPr>
            <w:tcW w:w="2335" w:type="dxa"/>
          </w:tcPr>
          <w:p w:rsidR="009B6AF6" w:rsidRPr="00990D3B" w:rsidP="001A4FE5" w14:paraId="52EE477E" w14:textId="77777777">
            <w:pPr>
              <w:pStyle w:val="EQRTableText"/>
            </w:pPr>
            <w:r w:rsidRPr="00990D3B">
              <w:t> </w:t>
            </w:r>
          </w:p>
        </w:tc>
      </w:tr>
    </w:tbl>
    <w:p w:rsidR="009B6AF6" w:rsidRPr="00990D3B" w:rsidP="00B27133" w14:paraId="2DE51014" w14:textId="48E87AC9">
      <w:pPr>
        <w:pStyle w:val="H2EQRWorksheet"/>
      </w:pPr>
      <w:r w:rsidRPr="00990D3B">
        <w:t>Event Validation Table</w:t>
      </w:r>
    </w:p>
    <w:tbl>
      <w:tblPr>
        <w:tblStyle w:val="TableGrid"/>
        <w:tblW w:w="5000" w:type="pct"/>
        <w:tblLook w:val="04A0"/>
      </w:tblPr>
      <w:tblGrid>
        <w:gridCol w:w="1556"/>
        <w:gridCol w:w="1562"/>
        <w:gridCol w:w="1917"/>
        <w:gridCol w:w="1620"/>
        <w:gridCol w:w="1139"/>
        <w:gridCol w:w="1556"/>
      </w:tblGrid>
      <w:tr w14:paraId="6CE2FBC8" w14:textId="77777777" w:rsidTr="00F6228C">
        <w:tblPrEx>
          <w:tblW w:w="5000" w:type="pct"/>
          <w:tblLook w:val="04A0"/>
        </w:tblPrEx>
        <w:trPr>
          <w:cantSplit/>
          <w:tblHeader/>
        </w:trPr>
        <w:tc>
          <w:tcPr>
            <w:tcW w:w="1556" w:type="dxa"/>
            <w:vAlign w:val="bottom"/>
          </w:tcPr>
          <w:p w:rsidR="00CB5ECB" w:rsidRPr="00990D3B" w:rsidP="00B27133" w14:paraId="47A68A02" w14:textId="5CF583D2">
            <w:pPr>
              <w:pStyle w:val="EQRTableHeaderLeft"/>
              <w:rPr>
                <w:color w:val="auto"/>
              </w:rPr>
            </w:pPr>
            <w:r w:rsidRPr="00990D3B">
              <w:rPr>
                <w:color w:val="auto"/>
              </w:rPr>
              <w:t xml:space="preserve">Line </w:t>
            </w:r>
            <w:r w:rsidRPr="00990D3B" w:rsidR="00F07840">
              <w:rPr>
                <w:color w:val="auto"/>
              </w:rPr>
              <w:t>n</w:t>
            </w:r>
            <w:r w:rsidRPr="00990D3B">
              <w:rPr>
                <w:color w:val="auto"/>
              </w:rPr>
              <w:t>umber</w:t>
            </w:r>
          </w:p>
        </w:tc>
        <w:tc>
          <w:tcPr>
            <w:tcW w:w="1562" w:type="dxa"/>
            <w:vAlign w:val="bottom"/>
          </w:tcPr>
          <w:p w:rsidR="00CB5ECB" w:rsidRPr="00990D3B" w:rsidP="00B27133" w14:paraId="5B095826" w14:textId="77777777">
            <w:pPr>
              <w:pStyle w:val="EQRTableHeaderCenter"/>
              <w:rPr>
                <w:color w:val="auto"/>
              </w:rPr>
            </w:pPr>
            <w:r w:rsidRPr="00990D3B">
              <w:rPr>
                <w:color w:val="auto"/>
              </w:rPr>
              <w:t>Procedure</w:t>
            </w:r>
          </w:p>
        </w:tc>
        <w:tc>
          <w:tcPr>
            <w:tcW w:w="1917" w:type="dxa"/>
            <w:vAlign w:val="bottom"/>
          </w:tcPr>
          <w:p w:rsidR="00CB5ECB" w:rsidRPr="00990D3B" w:rsidP="00B27133" w14:paraId="10879973" w14:textId="10468A7C">
            <w:pPr>
              <w:pStyle w:val="EQRTableHeaderCenter"/>
              <w:rPr>
                <w:color w:val="auto"/>
              </w:rPr>
            </w:pPr>
            <w:r w:rsidRPr="00990D3B">
              <w:rPr>
                <w:color w:val="auto"/>
              </w:rPr>
              <w:t xml:space="preserve">Event </w:t>
            </w:r>
            <w:r w:rsidRPr="00990D3B" w:rsidR="00F07840">
              <w:rPr>
                <w:color w:val="auto"/>
              </w:rPr>
              <w:t>n</w:t>
            </w:r>
            <w:r w:rsidRPr="00990D3B">
              <w:rPr>
                <w:color w:val="auto"/>
              </w:rPr>
              <w:t xml:space="preserve">oted on </w:t>
            </w:r>
            <w:r w:rsidRPr="00990D3B" w:rsidR="00F07840">
              <w:rPr>
                <w:color w:val="auto"/>
              </w:rPr>
              <w:t>e</w:t>
            </w:r>
            <w:r w:rsidRPr="00990D3B">
              <w:rPr>
                <w:color w:val="auto"/>
              </w:rPr>
              <w:t xml:space="preserve">ncounter </w:t>
            </w:r>
            <w:r w:rsidRPr="00990D3B" w:rsidR="00F07840">
              <w:rPr>
                <w:color w:val="auto"/>
              </w:rPr>
              <w:t>re</w:t>
            </w:r>
            <w:r w:rsidRPr="00990D3B">
              <w:rPr>
                <w:color w:val="auto"/>
              </w:rPr>
              <w:t>cord</w:t>
            </w:r>
          </w:p>
        </w:tc>
        <w:tc>
          <w:tcPr>
            <w:tcW w:w="1620" w:type="dxa"/>
            <w:vAlign w:val="bottom"/>
          </w:tcPr>
          <w:p w:rsidR="00CB5ECB" w:rsidRPr="00990D3B" w:rsidP="00B27133" w14:paraId="3D169CFB" w14:textId="7682DBEF">
            <w:pPr>
              <w:pStyle w:val="EQRTableHeaderCenter"/>
              <w:rPr>
                <w:color w:val="auto"/>
              </w:rPr>
            </w:pPr>
            <w:r w:rsidRPr="00990D3B">
              <w:rPr>
                <w:color w:val="auto"/>
              </w:rPr>
              <w:t xml:space="preserve">Event </w:t>
            </w:r>
            <w:r w:rsidRPr="00990D3B" w:rsidR="00F07840">
              <w:rPr>
                <w:color w:val="auto"/>
              </w:rPr>
              <w:t>n</w:t>
            </w:r>
            <w:r w:rsidRPr="00990D3B">
              <w:rPr>
                <w:color w:val="auto"/>
              </w:rPr>
              <w:t xml:space="preserve">oted in </w:t>
            </w:r>
            <w:r w:rsidRPr="00990D3B" w:rsidR="00F07840">
              <w:rPr>
                <w:color w:val="auto"/>
              </w:rPr>
              <w:t>m</w:t>
            </w:r>
            <w:r w:rsidRPr="00990D3B">
              <w:rPr>
                <w:color w:val="auto"/>
              </w:rPr>
              <w:t xml:space="preserve">edical </w:t>
            </w:r>
            <w:r w:rsidRPr="00990D3B" w:rsidR="00F07840">
              <w:rPr>
                <w:color w:val="auto"/>
              </w:rPr>
              <w:t>r</w:t>
            </w:r>
            <w:r w:rsidRPr="00990D3B">
              <w:rPr>
                <w:color w:val="auto"/>
              </w:rPr>
              <w:t>ecord</w:t>
            </w:r>
          </w:p>
        </w:tc>
        <w:tc>
          <w:tcPr>
            <w:tcW w:w="1139" w:type="dxa"/>
            <w:vAlign w:val="bottom"/>
          </w:tcPr>
          <w:p w:rsidR="00CB5ECB" w:rsidRPr="00990D3B" w:rsidP="00B27133" w14:paraId="2791189C" w14:textId="67BDAA77">
            <w:pPr>
              <w:pStyle w:val="EQRTableHeaderCenter"/>
              <w:rPr>
                <w:color w:val="auto"/>
              </w:rPr>
            </w:pPr>
            <w:r w:rsidRPr="00990D3B">
              <w:rPr>
                <w:color w:val="auto"/>
              </w:rPr>
              <w:t>Match?</w:t>
            </w:r>
            <w:r w:rsidRPr="00990D3B" w:rsidR="00B27133">
              <w:rPr>
                <w:color w:val="auto"/>
              </w:rPr>
              <w:br/>
            </w:r>
            <w:r w:rsidRPr="00990D3B">
              <w:rPr>
                <w:color w:val="auto"/>
              </w:rPr>
              <w:t>(Y/N)</w:t>
            </w:r>
          </w:p>
        </w:tc>
        <w:tc>
          <w:tcPr>
            <w:tcW w:w="1556" w:type="dxa"/>
            <w:vAlign w:val="bottom"/>
          </w:tcPr>
          <w:p w:rsidR="00CB5ECB" w:rsidRPr="00990D3B" w:rsidP="00B27133" w14:paraId="0469E0D5" w14:textId="3FBCD43E">
            <w:pPr>
              <w:pStyle w:val="EQRTableHeaderCenter"/>
              <w:rPr>
                <w:color w:val="auto"/>
              </w:rPr>
            </w:pPr>
            <w:r w:rsidRPr="00990D3B">
              <w:rPr>
                <w:color w:val="auto"/>
              </w:rPr>
              <w:t>Comments</w:t>
            </w:r>
          </w:p>
        </w:tc>
      </w:tr>
      <w:tr w14:paraId="18983B6F" w14:textId="77777777" w:rsidTr="00F6228C">
        <w:tblPrEx>
          <w:tblW w:w="5000" w:type="pct"/>
          <w:tblLook w:val="04A0"/>
        </w:tblPrEx>
        <w:trPr>
          <w:cantSplit/>
        </w:trPr>
        <w:tc>
          <w:tcPr>
            <w:tcW w:w="1556" w:type="dxa"/>
          </w:tcPr>
          <w:p w:rsidR="009B6AF6" w:rsidRPr="00990D3B" w:rsidP="003F200D" w14:paraId="5AE20E88" w14:textId="77777777">
            <w:pPr>
              <w:pStyle w:val="EQRTableText"/>
            </w:pPr>
            <w:r w:rsidRPr="00990D3B">
              <w:t>1</w:t>
            </w:r>
          </w:p>
        </w:tc>
        <w:tc>
          <w:tcPr>
            <w:tcW w:w="1562" w:type="dxa"/>
          </w:tcPr>
          <w:p w:rsidR="009B6AF6" w:rsidRPr="00990D3B" w:rsidP="003F200D" w14:paraId="2D546062" w14:textId="77777777">
            <w:pPr>
              <w:pStyle w:val="EQRTableText"/>
            </w:pPr>
            <w:r w:rsidRPr="00990D3B">
              <w:t> </w:t>
            </w:r>
          </w:p>
        </w:tc>
        <w:tc>
          <w:tcPr>
            <w:tcW w:w="1917" w:type="dxa"/>
          </w:tcPr>
          <w:p w:rsidR="009B6AF6" w:rsidRPr="00990D3B" w:rsidP="003F200D" w14:paraId="19025570" w14:textId="77777777">
            <w:pPr>
              <w:pStyle w:val="EQRTableText"/>
            </w:pPr>
            <w:r w:rsidRPr="00990D3B">
              <w:t> </w:t>
            </w:r>
          </w:p>
        </w:tc>
        <w:tc>
          <w:tcPr>
            <w:tcW w:w="1620" w:type="dxa"/>
          </w:tcPr>
          <w:p w:rsidR="009B6AF6" w:rsidRPr="00990D3B" w:rsidP="003F200D" w14:paraId="09946842" w14:textId="77777777">
            <w:pPr>
              <w:pStyle w:val="EQRTableText"/>
            </w:pPr>
            <w:r w:rsidRPr="00990D3B">
              <w:t> </w:t>
            </w:r>
          </w:p>
        </w:tc>
        <w:tc>
          <w:tcPr>
            <w:tcW w:w="1139" w:type="dxa"/>
          </w:tcPr>
          <w:p w:rsidR="009B6AF6" w:rsidRPr="00990D3B" w:rsidP="003F200D" w14:paraId="1D7052CB" w14:textId="77777777">
            <w:pPr>
              <w:pStyle w:val="EQRTableText"/>
            </w:pPr>
            <w:r w:rsidRPr="00990D3B">
              <w:t> </w:t>
            </w:r>
          </w:p>
        </w:tc>
        <w:tc>
          <w:tcPr>
            <w:tcW w:w="1556" w:type="dxa"/>
          </w:tcPr>
          <w:p w:rsidR="009B6AF6" w:rsidRPr="00990D3B" w:rsidP="003F200D" w14:paraId="7924ECAA" w14:textId="77777777">
            <w:pPr>
              <w:pStyle w:val="EQRTableText"/>
            </w:pPr>
            <w:r w:rsidRPr="00990D3B">
              <w:t> </w:t>
            </w:r>
          </w:p>
        </w:tc>
      </w:tr>
      <w:tr w14:paraId="1F8BD3F9" w14:textId="77777777" w:rsidTr="00F6228C">
        <w:tblPrEx>
          <w:tblW w:w="5000" w:type="pct"/>
          <w:tblLook w:val="04A0"/>
        </w:tblPrEx>
        <w:trPr>
          <w:cantSplit/>
        </w:trPr>
        <w:tc>
          <w:tcPr>
            <w:tcW w:w="1556" w:type="dxa"/>
          </w:tcPr>
          <w:p w:rsidR="009B6AF6" w:rsidRPr="00990D3B" w:rsidP="003F200D" w14:paraId="232CC69A" w14:textId="77777777">
            <w:pPr>
              <w:pStyle w:val="EQRTableText"/>
            </w:pPr>
            <w:r w:rsidRPr="00990D3B">
              <w:t>…</w:t>
            </w:r>
          </w:p>
        </w:tc>
        <w:tc>
          <w:tcPr>
            <w:tcW w:w="1562" w:type="dxa"/>
          </w:tcPr>
          <w:p w:rsidR="009B6AF6" w:rsidRPr="00990D3B" w:rsidP="003F200D" w14:paraId="07CBBB0B" w14:textId="77777777">
            <w:pPr>
              <w:pStyle w:val="EQRTableText"/>
            </w:pPr>
            <w:r w:rsidRPr="00990D3B">
              <w:t> </w:t>
            </w:r>
          </w:p>
        </w:tc>
        <w:tc>
          <w:tcPr>
            <w:tcW w:w="1917" w:type="dxa"/>
          </w:tcPr>
          <w:p w:rsidR="009B6AF6" w:rsidRPr="00990D3B" w:rsidP="003F200D" w14:paraId="2DD35835" w14:textId="77777777">
            <w:pPr>
              <w:pStyle w:val="EQRTableText"/>
            </w:pPr>
            <w:r w:rsidRPr="00990D3B">
              <w:t> </w:t>
            </w:r>
          </w:p>
        </w:tc>
        <w:tc>
          <w:tcPr>
            <w:tcW w:w="1620" w:type="dxa"/>
          </w:tcPr>
          <w:p w:rsidR="009B6AF6" w:rsidRPr="00990D3B" w:rsidP="003F200D" w14:paraId="1FEBC079" w14:textId="77777777">
            <w:pPr>
              <w:pStyle w:val="EQRTableText"/>
            </w:pPr>
            <w:r w:rsidRPr="00990D3B">
              <w:t> </w:t>
            </w:r>
          </w:p>
        </w:tc>
        <w:tc>
          <w:tcPr>
            <w:tcW w:w="1139" w:type="dxa"/>
          </w:tcPr>
          <w:p w:rsidR="009B6AF6" w:rsidRPr="00990D3B" w:rsidP="003F200D" w14:paraId="3243A5EB" w14:textId="77777777">
            <w:pPr>
              <w:pStyle w:val="EQRTableText"/>
            </w:pPr>
            <w:r w:rsidRPr="00990D3B">
              <w:t> </w:t>
            </w:r>
          </w:p>
        </w:tc>
        <w:tc>
          <w:tcPr>
            <w:tcW w:w="1556" w:type="dxa"/>
          </w:tcPr>
          <w:p w:rsidR="009B6AF6" w:rsidRPr="00990D3B" w:rsidP="003F200D" w14:paraId="6840F88B" w14:textId="77777777">
            <w:pPr>
              <w:pStyle w:val="EQRTableText"/>
            </w:pPr>
            <w:r w:rsidRPr="00990D3B">
              <w:t> </w:t>
            </w:r>
          </w:p>
        </w:tc>
      </w:tr>
      <w:tr w14:paraId="4F07565B" w14:textId="77777777" w:rsidTr="00F6228C">
        <w:tblPrEx>
          <w:tblW w:w="5000" w:type="pct"/>
          <w:tblLook w:val="04A0"/>
        </w:tblPrEx>
        <w:trPr>
          <w:cantSplit/>
        </w:trPr>
        <w:tc>
          <w:tcPr>
            <w:tcW w:w="1556" w:type="dxa"/>
          </w:tcPr>
          <w:p w:rsidR="009B6AF6" w:rsidRPr="00990D3B" w:rsidP="003F200D" w14:paraId="524FCB60" w14:textId="77777777">
            <w:pPr>
              <w:pStyle w:val="EQRTableText"/>
            </w:pPr>
            <w:r w:rsidRPr="00990D3B">
              <w:t>…</w:t>
            </w:r>
          </w:p>
        </w:tc>
        <w:tc>
          <w:tcPr>
            <w:tcW w:w="1562" w:type="dxa"/>
          </w:tcPr>
          <w:p w:rsidR="009B6AF6" w:rsidRPr="00990D3B" w:rsidP="003F200D" w14:paraId="5A3A0C7F" w14:textId="77777777">
            <w:pPr>
              <w:pStyle w:val="EQRTableText"/>
            </w:pPr>
            <w:r w:rsidRPr="00990D3B">
              <w:t> </w:t>
            </w:r>
          </w:p>
        </w:tc>
        <w:tc>
          <w:tcPr>
            <w:tcW w:w="1917" w:type="dxa"/>
          </w:tcPr>
          <w:p w:rsidR="009B6AF6" w:rsidRPr="00990D3B" w:rsidP="003F200D" w14:paraId="7FFE502E" w14:textId="77777777">
            <w:pPr>
              <w:pStyle w:val="EQRTableText"/>
            </w:pPr>
            <w:r w:rsidRPr="00990D3B">
              <w:t> </w:t>
            </w:r>
          </w:p>
        </w:tc>
        <w:tc>
          <w:tcPr>
            <w:tcW w:w="1620" w:type="dxa"/>
          </w:tcPr>
          <w:p w:rsidR="009B6AF6" w:rsidRPr="00990D3B" w:rsidP="003F200D" w14:paraId="5A56F211" w14:textId="77777777">
            <w:pPr>
              <w:pStyle w:val="EQRTableText"/>
            </w:pPr>
            <w:r w:rsidRPr="00990D3B">
              <w:t> </w:t>
            </w:r>
          </w:p>
        </w:tc>
        <w:tc>
          <w:tcPr>
            <w:tcW w:w="1139" w:type="dxa"/>
          </w:tcPr>
          <w:p w:rsidR="009B6AF6" w:rsidRPr="00990D3B" w:rsidP="003F200D" w14:paraId="54914BAB" w14:textId="77777777">
            <w:pPr>
              <w:pStyle w:val="EQRTableText"/>
            </w:pPr>
            <w:r w:rsidRPr="00990D3B">
              <w:t> </w:t>
            </w:r>
          </w:p>
        </w:tc>
        <w:tc>
          <w:tcPr>
            <w:tcW w:w="1556" w:type="dxa"/>
          </w:tcPr>
          <w:p w:rsidR="009B6AF6" w:rsidRPr="00990D3B" w:rsidP="003F200D" w14:paraId="6510C2A0" w14:textId="77777777">
            <w:pPr>
              <w:pStyle w:val="EQRTableText"/>
            </w:pPr>
            <w:r w:rsidRPr="00990D3B">
              <w:t> </w:t>
            </w:r>
          </w:p>
        </w:tc>
      </w:tr>
      <w:tr w14:paraId="77F4730D" w14:textId="77777777" w:rsidTr="00F6228C">
        <w:tblPrEx>
          <w:tblW w:w="5000" w:type="pct"/>
          <w:tblLook w:val="04A0"/>
        </w:tblPrEx>
        <w:trPr>
          <w:cantSplit/>
        </w:trPr>
        <w:tc>
          <w:tcPr>
            <w:tcW w:w="1556" w:type="dxa"/>
          </w:tcPr>
          <w:p w:rsidR="009B6AF6" w:rsidRPr="00990D3B" w:rsidP="003F200D" w14:paraId="6788BFEA" w14:textId="77777777">
            <w:pPr>
              <w:pStyle w:val="EQRTableText"/>
            </w:pPr>
            <w:r w:rsidRPr="00990D3B">
              <w:t>…</w:t>
            </w:r>
          </w:p>
        </w:tc>
        <w:tc>
          <w:tcPr>
            <w:tcW w:w="1562" w:type="dxa"/>
          </w:tcPr>
          <w:p w:rsidR="009B6AF6" w:rsidRPr="00990D3B" w:rsidP="003F200D" w14:paraId="04377291" w14:textId="77777777">
            <w:pPr>
              <w:pStyle w:val="EQRTableText"/>
            </w:pPr>
            <w:r w:rsidRPr="00990D3B">
              <w:t> </w:t>
            </w:r>
          </w:p>
        </w:tc>
        <w:tc>
          <w:tcPr>
            <w:tcW w:w="1917" w:type="dxa"/>
          </w:tcPr>
          <w:p w:rsidR="009B6AF6" w:rsidRPr="00990D3B" w:rsidP="003F200D" w14:paraId="5E32D022" w14:textId="77777777">
            <w:pPr>
              <w:pStyle w:val="EQRTableText"/>
            </w:pPr>
            <w:r w:rsidRPr="00990D3B">
              <w:t> </w:t>
            </w:r>
          </w:p>
        </w:tc>
        <w:tc>
          <w:tcPr>
            <w:tcW w:w="1620" w:type="dxa"/>
          </w:tcPr>
          <w:p w:rsidR="009B6AF6" w:rsidRPr="00990D3B" w:rsidP="003F200D" w14:paraId="5E678FAD" w14:textId="77777777">
            <w:pPr>
              <w:pStyle w:val="EQRTableText"/>
            </w:pPr>
            <w:r w:rsidRPr="00990D3B">
              <w:t> </w:t>
            </w:r>
          </w:p>
        </w:tc>
        <w:tc>
          <w:tcPr>
            <w:tcW w:w="1139" w:type="dxa"/>
          </w:tcPr>
          <w:p w:rsidR="009B6AF6" w:rsidRPr="00990D3B" w:rsidP="003F200D" w14:paraId="45FFCC32" w14:textId="77777777">
            <w:pPr>
              <w:pStyle w:val="EQRTableText"/>
            </w:pPr>
            <w:r w:rsidRPr="00990D3B">
              <w:t> </w:t>
            </w:r>
          </w:p>
        </w:tc>
        <w:tc>
          <w:tcPr>
            <w:tcW w:w="1556" w:type="dxa"/>
          </w:tcPr>
          <w:p w:rsidR="009B6AF6" w:rsidRPr="00990D3B" w:rsidP="003F200D" w14:paraId="014966AC" w14:textId="77777777">
            <w:pPr>
              <w:pStyle w:val="EQRTableText"/>
            </w:pPr>
            <w:r w:rsidRPr="00990D3B">
              <w:t> </w:t>
            </w:r>
          </w:p>
        </w:tc>
      </w:tr>
      <w:tr w14:paraId="166A22E9" w14:textId="77777777" w:rsidTr="00F6228C">
        <w:tblPrEx>
          <w:tblW w:w="5000" w:type="pct"/>
          <w:tblLook w:val="04A0"/>
        </w:tblPrEx>
        <w:trPr>
          <w:cantSplit/>
        </w:trPr>
        <w:tc>
          <w:tcPr>
            <w:tcW w:w="1556" w:type="dxa"/>
          </w:tcPr>
          <w:p w:rsidR="009B6AF6" w:rsidRPr="00990D3B" w:rsidP="003F200D" w14:paraId="77EEBE1E" w14:textId="77777777">
            <w:pPr>
              <w:pStyle w:val="EQRTableText"/>
            </w:pPr>
            <w:r w:rsidRPr="00990D3B">
              <w:t>N</w:t>
            </w:r>
          </w:p>
        </w:tc>
        <w:tc>
          <w:tcPr>
            <w:tcW w:w="1562" w:type="dxa"/>
          </w:tcPr>
          <w:p w:rsidR="009B6AF6" w:rsidRPr="00990D3B" w:rsidP="003F200D" w14:paraId="1D008F25" w14:textId="77777777">
            <w:pPr>
              <w:pStyle w:val="EQRTableText"/>
            </w:pPr>
            <w:r w:rsidRPr="00990D3B">
              <w:t> </w:t>
            </w:r>
          </w:p>
        </w:tc>
        <w:tc>
          <w:tcPr>
            <w:tcW w:w="1917" w:type="dxa"/>
          </w:tcPr>
          <w:p w:rsidR="009B6AF6" w:rsidRPr="00990D3B" w:rsidP="003F200D" w14:paraId="398036DD" w14:textId="77777777">
            <w:pPr>
              <w:pStyle w:val="EQRTableText"/>
            </w:pPr>
            <w:r w:rsidRPr="00990D3B">
              <w:t> </w:t>
            </w:r>
          </w:p>
        </w:tc>
        <w:tc>
          <w:tcPr>
            <w:tcW w:w="1620" w:type="dxa"/>
          </w:tcPr>
          <w:p w:rsidR="009B6AF6" w:rsidRPr="00990D3B" w:rsidP="003F200D" w14:paraId="06C58D83" w14:textId="77777777">
            <w:pPr>
              <w:pStyle w:val="EQRTableText"/>
            </w:pPr>
            <w:r w:rsidRPr="00990D3B">
              <w:t> </w:t>
            </w:r>
          </w:p>
        </w:tc>
        <w:tc>
          <w:tcPr>
            <w:tcW w:w="1139" w:type="dxa"/>
          </w:tcPr>
          <w:p w:rsidR="009B6AF6" w:rsidRPr="00990D3B" w:rsidP="003F200D" w14:paraId="63D28A2B" w14:textId="77777777">
            <w:pPr>
              <w:pStyle w:val="EQRTableText"/>
            </w:pPr>
            <w:r w:rsidRPr="00990D3B">
              <w:t> </w:t>
            </w:r>
          </w:p>
        </w:tc>
        <w:tc>
          <w:tcPr>
            <w:tcW w:w="1556" w:type="dxa"/>
          </w:tcPr>
          <w:p w:rsidR="009B6AF6" w:rsidRPr="00990D3B" w:rsidP="003F200D" w14:paraId="1F0B7A93" w14:textId="77777777">
            <w:pPr>
              <w:pStyle w:val="EQRTableText"/>
            </w:pPr>
            <w:r w:rsidRPr="00990D3B">
              <w:t> </w:t>
            </w:r>
          </w:p>
        </w:tc>
      </w:tr>
    </w:tbl>
    <w:p w:rsidR="009B6AF6" w:rsidRPr="00990D3B" w:rsidP="00E71EFE" w14:paraId="596EBB56" w14:textId="5D8AD129">
      <w:pPr>
        <w:pStyle w:val="H2EQRWorksheet"/>
      </w:pPr>
      <w:r w:rsidRPr="00990D3B">
        <w:t xml:space="preserve">Required </w:t>
      </w:r>
      <w:r w:rsidRPr="00990D3B" w:rsidR="00F07840">
        <w:t>r</w:t>
      </w:r>
      <w:r w:rsidRPr="00990D3B">
        <w:t>eview: (Check One)</w:t>
      </w:r>
    </w:p>
    <w:p w:rsidR="009B6AF6" w:rsidRPr="00990D3B" w:rsidP="003F200D" w14:paraId="0815C004" w14:textId="77777777">
      <w:pPr>
        <w:pStyle w:val="EQRNormalSSWORKSHEET"/>
      </w:pPr>
      <w:r w:rsidRPr="00990D3B">
        <w:t xml:space="preserve">[   </w:t>
      </w:r>
      <w:r w:rsidRPr="00990D3B">
        <w:t xml:space="preserve">  ]</w:t>
      </w:r>
      <w:r w:rsidRPr="00990D3B">
        <w:t xml:space="preserve"> Office visit: Includes all services, except dental and mental health/substance abuse</w:t>
      </w:r>
    </w:p>
    <w:p w:rsidR="009B6AF6" w:rsidRPr="00990D3B" w:rsidP="003F200D" w14:paraId="457410E6" w14:textId="77777777">
      <w:pPr>
        <w:pStyle w:val="EQRNormalSSWORKSHEET"/>
      </w:pPr>
      <w:r w:rsidRPr="00990D3B">
        <w:t xml:space="preserve">[   </w:t>
      </w:r>
      <w:r w:rsidRPr="00990D3B">
        <w:t xml:space="preserve">  ]</w:t>
      </w:r>
      <w:r w:rsidRPr="00990D3B">
        <w:t xml:space="preserve"> Office visit: Includes mental health/substance abuse services only</w:t>
      </w:r>
    </w:p>
    <w:p w:rsidR="009B6AF6" w:rsidRPr="00990D3B" w:rsidP="003F200D" w14:paraId="10B93148" w14:textId="77777777">
      <w:pPr>
        <w:pStyle w:val="EQRNormalSSWORKSHEET"/>
      </w:pPr>
      <w:r w:rsidRPr="00990D3B">
        <w:t xml:space="preserve">[   </w:t>
      </w:r>
      <w:r w:rsidRPr="00990D3B">
        <w:t xml:space="preserve">  ]</w:t>
      </w:r>
      <w:r w:rsidRPr="00990D3B">
        <w:t xml:space="preserve"> Office visit: Includes dental services only</w:t>
      </w:r>
    </w:p>
    <w:p w:rsidR="009B6AF6" w:rsidRPr="00990D3B" w:rsidP="003F200D" w14:paraId="2BA455F3" w14:textId="29481F72">
      <w:pPr>
        <w:pStyle w:val="EQRNormalSSWORKSHEET"/>
      </w:pPr>
      <w:r w:rsidRPr="00990D3B">
        <w:t xml:space="preserve">[   </w:t>
      </w:r>
      <w:r w:rsidRPr="00990D3B">
        <w:t xml:space="preserve">  ]</w:t>
      </w:r>
      <w:r w:rsidRPr="00990D3B">
        <w:t xml:space="preserve"> </w:t>
      </w:r>
      <w:r w:rsidRPr="00990D3B" w:rsidR="00F2255D">
        <w:t xml:space="preserve">IP </w:t>
      </w:r>
      <w:r w:rsidRPr="00990D3B">
        <w:t>admission: Includes all IP services, except mental health/substance abuse services</w:t>
      </w:r>
    </w:p>
    <w:p w:rsidR="009B6AF6" w:rsidRPr="00990D3B" w:rsidP="003F200D" w14:paraId="5A8206FE" w14:textId="77777777">
      <w:pPr>
        <w:pStyle w:val="EQRNormalSSWORKSHEET"/>
      </w:pPr>
      <w:r w:rsidRPr="00990D3B">
        <w:t xml:space="preserve">[   </w:t>
      </w:r>
      <w:r w:rsidRPr="00990D3B">
        <w:t xml:space="preserve">  ]</w:t>
      </w:r>
      <w:r w:rsidRPr="00990D3B">
        <w:t xml:space="preserve"> IP admission: Includes mental health/substance abuse services only</w:t>
      </w:r>
    </w:p>
    <w:p w:rsidR="009B6AF6" w:rsidRPr="00990D3B" w:rsidP="003F200D" w14:paraId="4953358F" w14:textId="77777777">
      <w:pPr>
        <w:pStyle w:val="EQRNormalSSWORKSHEET"/>
      </w:pPr>
      <w:r w:rsidRPr="00990D3B">
        <w:t xml:space="preserve">[   </w:t>
      </w:r>
      <w:r w:rsidRPr="00990D3B">
        <w:t xml:space="preserve">  ]</w:t>
      </w:r>
      <w:r w:rsidRPr="00990D3B">
        <w:t xml:space="preserve"> Other types of encounters utilized by the state (e.g., lab/x-ray; physical therapy)</w:t>
      </w:r>
    </w:p>
    <w:p w:rsidR="00900FEF" w:rsidRPr="00990D3B" w:rsidP="003F200D" w14:paraId="23AF69BB" w14:textId="77777777">
      <w:pPr>
        <w:pStyle w:val="EQRNormalSSWORKSHEET"/>
      </w:pPr>
      <w:r w:rsidRPr="00990D3B">
        <w:t xml:space="preserve">[   </w:t>
      </w:r>
      <w:r w:rsidRPr="00990D3B">
        <w:t xml:space="preserve">  ]</w:t>
      </w:r>
      <w:r w:rsidRPr="00990D3B">
        <w:t xml:space="preserve"> Specify other service type: _______________________</w:t>
      </w:r>
    </w:p>
    <w:p w:rsidR="009B6AF6" w:rsidRPr="00990D3B" w:rsidP="002B40CC" w14:paraId="199B73AD" w14:textId="3BBE1364">
      <w:pPr>
        <w:pStyle w:val="H2EQRWorksheet"/>
      </w:pPr>
      <w:r w:rsidRPr="00990D3B">
        <w:t>Data Field Validation Table</w:t>
      </w:r>
    </w:p>
    <w:tbl>
      <w:tblPr>
        <w:tblStyle w:val="TableGrid"/>
        <w:tblW w:w="5000" w:type="pct"/>
        <w:tblLook w:val="04A0"/>
      </w:tblPr>
      <w:tblGrid>
        <w:gridCol w:w="1555"/>
        <w:gridCol w:w="1556"/>
        <w:gridCol w:w="1558"/>
        <w:gridCol w:w="1555"/>
        <w:gridCol w:w="1549"/>
        <w:gridCol w:w="1577"/>
      </w:tblGrid>
      <w:tr w14:paraId="62E94963" w14:textId="77777777" w:rsidTr="00CB5ECB">
        <w:tblPrEx>
          <w:tblW w:w="5000" w:type="pct"/>
          <w:tblLook w:val="04A0"/>
        </w:tblPrEx>
        <w:trPr>
          <w:cantSplit/>
        </w:trPr>
        <w:tc>
          <w:tcPr>
            <w:tcW w:w="9350" w:type="dxa"/>
            <w:gridSpan w:val="6"/>
            <w:vAlign w:val="bottom"/>
          </w:tcPr>
          <w:p w:rsidR="009B6AF6" w:rsidRPr="00990D3B" w:rsidP="00E71EFE" w14:paraId="7BB17BDA" w14:textId="4C39BD8A">
            <w:pPr>
              <w:pStyle w:val="EQRTableHeaderLeft"/>
              <w:rPr>
                <w:color w:val="auto"/>
              </w:rPr>
            </w:pPr>
            <w:r w:rsidRPr="00990D3B">
              <w:rPr>
                <w:color w:val="auto"/>
              </w:rPr>
              <w:t xml:space="preserve">Diagnosis </w:t>
            </w:r>
            <w:r w:rsidRPr="00990D3B" w:rsidR="00F07840">
              <w:rPr>
                <w:color w:val="auto"/>
              </w:rPr>
              <w:t>c</w:t>
            </w:r>
            <w:r w:rsidRPr="00990D3B">
              <w:rPr>
                <w:color w:val="auto"/>
              </w:rPr>
              <w:t xml:space="preserve">odes and </w:t>
            </w:r>
            <w:r w:rsidRPr="00990D3B" w:rsidR="00F07840">
              <w:rPr>
                <w:color w:val="auto"/>
              </w:rPr>
              <w:t>d</w:t>
            </w:r>
            <w:r w:rsidRPr="00990D3B">
              <w:rPr>
                <w:color w:val="auto"/>
              </w:rPr>
              <w:t>escriptors</w:t>
            </w:r>
          </w:p>
        </w:tc>
      </w:tr>
      <w:tr w14:paraId="65A95644" w14:textId="77777777" w:rsidTr="00CB5ECB">
        <w:tblPrEx>
          <w:tblW w:w="5000" w:type="pct"/>
          <w:tblLook w:val="04A0"/>
        </w:tblPrEx>
        <w:trPr>
          <w:cantSplit/>
        </w:trPr>
        <w:tc>
          <w:tcPr>
            <w:tcW w:w="1555" w:type="dxa"/>
            <w:vAlign w:val="bottom"/>
          </w:tcPr>
          <w:p w:rsidR="009B6AF6" w:rsidRPr="00990D3B" w:rsidP="00E71EFE" w14:paraId="2AB14A16" w14:textId="77777777">
            <w:pPr>
              <w:pStyle w:val="EQRTableHeaderLeft"/>
              <w:rPr>
                <w:bCs/>
                <w:color w:val="auto"/>
              </w:rPr>
            </w:pPr>
            <w:r w:rsidRPr="00990D3B">
              <w:rPr>
                <w:bCs/>
                <w:color w:val="auto"/>
              </w:rPr>
              <w:t>Encounter line #</w:t>
            </w:r>
          </w:p>
        </w:tc>
        <w:tc>
          <w:tcPr>
            <w:tcW w:w="1556" w:type="dxa"/>
            <w:vAlign w:val="bottom"/>
          </w:tcPr>
          <w:p w:rsidR="009B6AF6" w:rsidRPr="00990D3B" w:rsidP="00E71EFE" w14:paraId="6E73EFC7" w14:textId="77777777">
            <w:pPr>
              <w:pStyle w:val="EQRTableHeaderCenter"/>
              <w:rPr>
                <w:color w:val="auto"/>
              </w:rPr>
            </w:pPr>
            <w:r w:rsidRPr="00990D3B">
              <w:rPr>
                <w:color w:val="auto"/>
              </w:rPr>
              <w:t>Encounter Dx code</w:t>
            </w:r>
          </w:p>
        </w:tc>
        <w:tc>
          <w:tcPr>
            <w:tcW w:w="1558" w:type="dxa"/>
            <w:vAlign w:val="bottom"/>
          </w:tcPr>
          <w:p w:rsidR="009B6AF6" w:rsidRPr="00990D3B" w:rsidP="00E71EFE" w14:paraId="70C29190" w14:textId="77777777">
            <w:pPr>
              <w:pStyle w:val="EQRTableHeaderCenter"/>
              <w:rPr>
                <w:color w:val="auto"/>
              </w:rPr>
            </w:pPr>
            <w:r w:rsidRPr="00990D3B">
              <w:rPr>
                <w:color w:val="auto"/>
              </w:rPr>
              <w:t>Dx description</w:t>
            </w:r>
          </w:p>
        </w:tc>
        <w:tc>
          <w:tcPr>
            <w:tcW w:w="1555" w:type="dxa"/>
            <w:vAlign w:val="bottom"/>
          </w:tcPr>
          <w:p w:rsidR="009B6AF6" w:rsidRPr="00990D3B" w:rsidP="00E71EFE" w14:paraId="73572D48" w14:textId="77777777">
            <w:pPr>
              <w:pStyle w:val="EQRTableHeaderCenter"/>
              <w:rPr>
                <w:color w:val="auto"/>
              </w:rPr>
            </w:pPr>
            <w:r w:rsidRPr="00990D3B">
              <w:rPr>
                <w:color w:val="auto"/>
              </w:rPr>
              <w:t>Medical record Dx code</w:t>
            </w:r>
          </w:p>
        </w:tc>
        <w:tc>
          <w:tcPr>
            <w:tcW w:w="1549" w:type="dxa"/>
            <w:vAlign w:val="bottom"/>
          </w:tcPr>
          <w:p w:rsidR="00CB5ECB" w:rsidRPr="00990D3B" w:rsidP="00E71EFE" w14:paraId="7271199D" w14:textId="4277628F">
            <w:pPr>
              <w:pStyle w:val="EQRTableHeaderCenter"/>
              <w:rPr>
                <w:color w:val="auto"/>
              </w:rPr>
            </w:pPr>
            <w:r w:rsidRPr="00990D3B">
              <w:rPr>
                <w:color w:val="auto"/>
              </w:rPr>
              <w:t>Match</w:t>
            </w:r>
            <w:r w:rsidRPr="00990D3B">
              <w:rPr>
                <w:color w:val="auto"/>
              </w:rPr>
              <w:t>?</w:t>
            </w:r>
            <w:r w:rsidRPr="00990D3B" w:rsidR="00E71EFE">
              <w:rPr>
                <w:color w:val="auto"/>
              </w:rPr>
              <w:br/>
            </w:r>
            <w:r w:rsidRPr="00990D3B">
              <w:rPr>
                <w:color w:val="auto"/>
              </w:rPr>
              <w:t>(Y/N)</w:t>
            </w:r>
          </w:p>
        </w:tc>
        <w:tc>
          <w:tcPr>
            <w:tcW w:w="1577" w:type="dxa"/>
            <w:vAlign w:val="bottom"/>
          </w:tcPr>
          <w:p w:rsidR="009B6AF6" w:rsidRPr="00990D3B" w:rsidP="00E71EFE" w14:paraId="77F0A2FA" w14:textId="4A271687">
            <w:pPr>
              <w:pStyle w:val="EQRTableHeaderCenter"/>
              <w:rPr>
                <w:color w:val="auto"/>
              </w:rPr>
            </w:pPr>
            <w:r w:rsidRPr="00990D3B">
              <w:rPr>
                <w:color w:val="auto"/>
              </w:rPr>
              <w:t>Comments</w:t>
            </w:r>
          </w:p>
        </w:tc>
      </w:tr>
      <w:tr w14:paraId="47BF8973" w14:textId="77777777" w:rsidTr="00CB5ECB">
        <w:tblPrEx>
          <w:tblW w:w="5000" w:type="pct"/>
          <w:tblLook w:val="04A0"/>
        </w:tblPrEx>
        <w:trPr>
          <w:cantSplit/>
        </w:trPr>
        <w:tc>
          <w:tcPr>
            <w:tcW w:w="1555" w:type="dxa"/>
          </w:tcPr>
          <w:p w:rsidR="009B6AF6" w:rsidRPr="00990D3B" w:rsidP="006456EA" w14:paraId="2C5F5BE0" w14:textId="77777777">
            <w:pPr>
              <w:pStyle w:val="EQRTableText"/>
            </w:pPr>
            <w:r w:rsidRPr="00990D3B">
              <w:t>1</w:t>
            </w:r>
          </w:p>
        </w:tc>
        <w:tc>
          <w:tcPr>
            <w:tcW w:w="1556" w:type="dxa"/>
          </w:tcPr>
          <w:p w:rsidR="009B6AF6" w:rsidRPr="00990D3B" w:rsidP="006456EA" w14:paraId="61546CCD" w14:textId="77777777">
            <w:pPr>
              <w:pStyle w:val="EQRTableText"/>
            </w:pPr>
            <w:r w:rsidRPr="00990D3B">
              <w:t> </w:t>
            </w:r>
          </w:p>
        </w:tc>
        <w:tc>
          <w:tcPr>
            <w:tcW w:w="1558" w:type="dxa"/>
          </w:tcPr>
          <w:p w:rsidR="009B6AF6" w:rsidRPr="00990D3B" w:rsidP="006456EA" w14:paraId="7EDED8CC" w14:textId="77777777">
            <w:pPr>
              <w:pStyle w:val="EQRTableText"/>
            </w:pPr>
            <w:r w:rsidRPr="00990D3B">
              <w:t> </w:t>
            </w:r>
          </w:p>
        </w:tc>
        <w:tc>
          <w:tcPr>
            <w:tcW w:w="1555" w:type="dxa"/>
          </w:tcPr>
          <w:p w:rsidR="009B6AF6" w:rsidRPr="00990D3B" w:rsidP="006456EA" w14:paraId="463012A1" w14:textId="77777777">
            <w:pPr>
              <w:pStyle w:val="EQRTableText"/>
            </w:pPr>
            <w:r w:rsidRPr="00990D3B">
              <w:t> </w:t>
            </w:r>
          </w:p>
        </w:tc>
        <w:tc>
          <w:tcPr>
            <w:tcW w:w="1549" w:type="dxa"/>
          </w:tcPr>
          <w:p w:rsidR="009B6AF6" w:rsidRPr="00990D3B" w:rsidP="006456EA" w14:paraId="3D478288" w14:textId="77777777">
            <w:pPr>
              <w:pStyle w:val="EQRTableText"/>
            </w:pPr>
            <w:r w:rsidRPr="00990D3B">
              <w:t> </w:t>
            </w:r>
          </w:p>
        </w:tc>
        <w:tc>
          <w:tcPr>
            <w:tcW w:w="1577" w:type="dxa"/>
          </w:tcPr>
          <w:p w:rsidR="009B6AF6" w:rsidRPr="00990D3B" w:rsidP="006456EA" w14:paraId="7B675F4A" w14:textId="77777777">
            <w:pPr>
              <w:pStyle w:val="EQRTableText"/>
            </w:pPr>
            <w:r w:rsidRPr="00990D3B">
              <w:t> </w:t>
            </w:r>
          </w:p>
        </w:tc>
      </w:tr>
      <w:tr w14:paraId="51B4464E" w14:textId="77777777" w:rsidTr="00CB5ECB">
        <w:tblPrEx>
          <w:tblW w:w="5000" w:type="pct"/>
          <w:tblLook w:val="04A0"/>
        </w:tblPrEx>
        <w:trPr>
          <w:cantSplit/>
        </w:trPr>
        <w:tc>
          <w:tcPr>
            <w:tcW w:w="1555" w:type="dxa"/>
          </w:tcPr>
          <w:p w:rsidR="009B6AF6" w:rsidRPr="00990D3B" w:rsidP="006456EA" w14:paraId="1A08EC74" w14:textId="77777777">
            <w:pPr>
              <w:pStyle w:val="EQRTableText"/>
            </w:pPr>
            <w:r w:rsidRPr="00990D3B">
              <w:t>…</w:t>
            </w:r>
          </w:p>
        </w:tc>
        <w:tc>
          <w:tcPr>
            <w:tcW w:w="1556" w:type="dxa"/>
          </w:tcPr>
          <w:p w:rsidR="009B6AF6" w:rsidRPr="00990D3B" w:rsidP="006456EA" w14:paraId="6363D24A" w14:textId="77777777">
            <w:pPr>
              <w:pStyle w:val="EQRTableText"/>
            </w:pPr>
            <w:r w:rsidRPr="00990D3B">
              <w:t> </w:t>
            </w:r>
          </w:p>
        </w:tc>
        <w:tc>
          <w:tcPr>
            <w:tcW w:w="1558" w:type="dxa"/>
          </w:tcPr>
          <w:p w:rsidR="009B6AF6" w:rsidRPr="00990D3B" w:rsidP="006456EA" w14:paraId="07874AE9" w14:textId="77777777">
            <w:pPr>
              <w:pStyle w:val="EQRTableText"/>
            </w:pPr>
            <w:r w:rsidRPr="00990D3B">
              <w:t> </w:t>
            </w:r>
          </w:p>
        </w:tc>
        <w:tc>
          <w:tcPr>
            <w:tcW w:w="1555" w:type="dxa"/>
          </w:tcPr>
          <w:p w:rsidR="009B6AF6" w:rsidRPr="00990D3B" w:rsidP="006456EA" w14:paraId="6C5180F1" w14:textId="77777777">
            <w:pPr>
              <w:pStyle w:val="EQRTableText"/>
            </w:pPr>
            <w:r w:rsidRPr="00990D3B">
              <w:t> </w:t>
            </w:r>
          </w:p>
        </w:tc>
        <w:tc>
          <w:tcPr>
            <w:tcW w:w="1549" w:type="dxa"/>
          </w:tcPr>
          <w:p w:rsidR="009B6AF6" w:rsidRPr="00990D3B" w:rsidP="006456EA" w14:paraId="0DCC9584" w14:textId="77777777">
            <w:pPr>
              <w:pStyle w:val="EQRTableText"/>
            </w:pPr>
            <w:r w:rsidRPr="00990D3B">
              <w:t> </w:t>
            </w:r>
          </w:p>
        </w:tc>
        <w:tc>
          <w:tcPr>
            <w:tcW w:w="1577" w:type="dxa"/>
          </w:tcPr>
          <w:p w:rsidR="009B6AF6" w:rsidRPr="00990D3B" w:rsidP="006456EA" w14:paraId="7C909515" w14:textId="77777777">
            <w:pPr>
              <w:pStyle w:val="EQRTableText"/>
            </w:pPr>
            <w:r w:rsidRPr="00990D3B">
              <w:t> </w:t>
            </w:r>
          </w:p>
        </w:tc>
      </w:tr>
      <w:tr w14:paraId="29AADD4A" w14:textId="77777777" w:rsidTr="00CB5ECB">
        <w:tblPrEx>
          <w:tblW w:w="5000" w:type="pct"/>
          <w:tblLook w:val="04A0"/>
        </w:tblPrEx>
        <w:trPr>
          <w:cantSplit/>
        </w:trPr>
        <w:tc>
          <w:tcPr>
            <w:tcW w:w="1555" w:type="dxa"/>
          </w:tcPr>
          <w:p w:rsidR="009B6AF6" w:rsidRPr="00990D3B" w:rsidP="006456EA" w14:paraId="0BFA0BF6" w14:textId="77777777">
            <w:pPr>
              <w:pStyle w:val="EQRTableText"/>
            </w:pPr>
            <w:r w:rsidRPr="00990D3B">
              <w:t>N</w:t>
            </w:r>
          </w:p>
        </w:tc>
        <w:tc>
          <w:tcPr>
            <w:tcW w:w="1556" w:type="dxa"/>
          </w:tcPr>
          <w:p w:rsidR="009B6AF6" w:rsidRPr="00990D3B" w:rsidP="006456EA" w14:paraId="12A985E1" w14:textId="77777777">
            <w:pPr>
              <w:pStyle w:val="EQRTableText"/>
            </w:pPr>
            <w:r w:rsidRPr="00990D3B">
              <w:t> </w:t>
            </w:r>
          </w:p>
        </w:tc>
        <w:tc>
          <w:tcPr>
            <w:tcW w:w="1558" w:type="dxa"/>
          </w:tcPr>
          <w:p w:rsidR="009B6AF6" w:rsidRPr="00990D3B" w:rsidP="006456EA" w14:paraId="0C81D458" w14:textId="77777777">
            <w:pPr>
              <w:pStyle w:val="EQRTableText"/>
            </w:pPr>
            <w:r w:rsidRPr="00990D3B">
              <w:t> </w:t>
            </w:r>
          </w:p>
        </w:tc>
        <w:tc>
          <w:tcPr>
            <w:tcW w:w="1555" w:type="dxa"/>
          </w:tcPr>
          <w:p w:rsidR="009B6AF6" w:rsidRPr="00990D3B" w:rsidP="006456EA" w14:paraId="6BBBF202" w14:textId="77777777">
            <w:pPr>
              <w:pStyle w:val="EQRTableText"/>
            </w:pPr>
            <w:r w:rsidRPr="00990D3B">
              <w:t> </w:t>
            </w:r>
          </w:p>
        </w:tc>
        <w:tc>
          <w:tcPr>
            <w:tcW w:w="1549" w:type="dxa"/>
          </w:tcPr>
          <w:p w:rsidR="009B6AF6" w:rsidRPr="00990D3B" w:rsidP="006456EA" w14:paraId="24401FDA" w14:textId="77777777">
            <w:pPr>
              <w:pStyle w:val="EQRTableText"/>
            </w:pPr>
            <w:r w:rsidRPr="00990D3B">
              <w:t> </w:t>
            </w:r>
          </w:p>
        </w:tc>
        <w:tc>
          <w:tcPr>
            <w:tcW w:w="1577" w:type="dxa"/>
          </w:tcPr>
          <w:p w:rsidR="009B6AF6" w:rsidRPr="00990D3B" w:rsidP="006456EA" w14:paraId="4B12C20A" w14:textId="77777777">
            <w:pPr>
              <w:pStyle w:val="EQRTableText"/>
            </w:pPr>
            <w:r w:rsidRPr="00990D3B">
              <w:t> </w:t>
            </w:r>
          </w:p>
        </w:tc>
      </w:tr>
    </w:tbl>
    <w:p w:rsidR="002C4AAC" w:rsidRPr="002C4AAC" w14:paraId="6EB1BE19" w14:textId="77777777">
      <w:pPr>
        <w:spacing w:after="0"/>
        <w:rPr>
          <w:sz w:val="2"/>
          <w:szCs w:val="2"/>
        </w:rPr>
      </w:pPr>
    </w:p>
    <w:tbl>
      <w:tblPr>
        <w:tblStyle w:val="TableGrid"/>
        <w:tblW w:w="5000" w:type="pct"/>
        <w:tblLook w:val="04A0"/>
      </w:tblPr>
      <w:tblGrid>
        <w:gridCol w:w="1555"/>
        <w:gridCol w:w="1556"/>
        <w:gridCol w:w="1558"/>
        <w:gridCol w:w="1555"/>
        <w:gridCol w:w="1549"/>
        <w:gridCol w:w="1577"/>
      </w:tblGrid>
      <w:tr w14:paraId="3D641B8E" w14:textId="77777777" w:rsidTr="00CB5ECB">
        <w:tblPrEx>
          <w:tblW w:w="5000" w:type="pct"/>
          <w:tblLook w:val="04A0"/>
        </w:tblPrEx>
        <w:trPr>
          <w:cantSplit/>
        </w:trPr>
        <w:tc>
          <w:tcPr>
            <w:tcW w:w="9350" w:type="dxa"/>
            <w:gridSpan w:val="6"/>
            <w:vAlign w:val="bottom"/>
          </w:tcPr>
          <w:p w:rsidR="009B6AF6" w:rsidRPr="00990D3B" w:rsidP="00E71EFE" w14:paraId="1AF829B1" w14:textId="4F7372BC">
            <w:pPr>
              <w:pStyle w:val="EQRTableHeaderLeft"/>
              <w:rPr>
                <w:color w:val="auto"/>
              </w:rPr>
            </w:pPr>
            <w:r w:rsidRPr="00990D3B">
              <w:rPr>
                <w:color w:val="auto"/>
              </w:rPr>
              <w:t xml:space="preserve">Procedure </w:t>
            </w:r>
            <w:r w:rsidRPr="00990D3B" w:rsidR="00F07840">
              <w:rPr>
                <w:color w:val="auto"/>
              </w:rPr>
              <w:t>c</w:t>
            </w:r>
            <w:r w:rsidRPr="00990D3B">
              <w:rPr>
                <w:color w:val="auto"/>
              </w:rPr>
              <w:t xml:space="preserve">odes and </w:t>
            </w:r>
            <w:r w:rsidRPr="00990D3B" w:rsidR="00F07840">
              <w:rPr>
                <w:color w:val="auto"/>
              </w:rPr>
              <w:t>d</w:t>
            </w:r>
            <w:r w:rsidRPr="00990D3B">
              <w:rPr>
                <w:color w:val="auto"/>
              </w:rPr>
              <w:t>escriptors</w:t>
            </w:r>
          </w:p>
        </w:tc>
      </w:tr>
      <w:tr w14:paraId="6F841109" w14:textId="77777777" w:rsidTr="00CB5ECB">
        <w:tblPrEx>
          <w:tblW w:w="5000" w:type="pct"/>
          <w:tblLook w:val="04A0"/>
        </w:tblPrEx>
        <w:trPr>
          <w:cantSplit/>
        </w:trPr>
        <w:tc>
          <w:tcPr>
            <w:tcW w:w="1555" w:type="dxa"/>
            <w:vAlign w:val="bottom"/>
          </w:tcPr>
          <w:p w:rsidR="00CB5ECB" w:rsidRPr="00990D3B" w:rsidP="00E71EFE" w14:paraId="4481EF87" w14:textId="77777777">
            <w:pPr>
              <w:pStyle w:val="EQRTableHeaderLeft"/>
              <w:rPr>
                <w:color w:val="auto"/>
              </w:rPr>
            </w:pPr>
            <w:r w:rsidRPr="00990D3B">
              <w:rPr>
                <w:color w:val="auto"/>
              </w:rPr>
              <w:t>Encounter line #</w:t>
            </w:r>
          </w:p>
        </w:tc>
        <w:tc>
          <w:tcPr>
            <w:tcW w:w="1556" w:type="dxa"/>
            <w:vAlign w:val="bottom"/>
          </w:tcPr>
          <w:p w:rsidR="00CB5ECB" w:rsidRPr="00990D3B" w:rsidP="00E71EFE" w14:paraId="47CED8D2" w14:textId="77777777">
            <w:pPr>
              <w:pStyle w:val="EQRTableHeaderCenter"/>
              <w:rPr>
                <w:color w:val="auto"/>
              </w:rPr>
            </w:pPr>
            <w:r w:rsidRPr="00990D3B">
              <w:rPr>
                <w:color w:val="auto"/>
              </w:rPr>
              <w:t>Encounter procedure code</w:t>
            </w:r>
          </w:p>
        </w:tc>
        <w:tc>
          <w:tcPr>
            <w:tcW w:w="1558" w:type="dxa"/>
            <w:vAlign w:val="bottom"/>
          </w:tcPr>
          <w:p w:rsidR="00CB5ECB" w:rsidRPr="00990D3B" w:rsidP="00E71EFE" w14:paraId="6560D4C4" w14:textId="77777777">
            <w:pPr>
              <w:pStyle w:val="EQRTableHeaderCenter"/>
              <w:rPr>
                <w:color w:val="auto"/>
              </w:rPr>
            </w:pPr>
            <w:r w:rsidRPr="00990D3B">
              <w:rPr>
                <w:color w:val="auto"/>
              </w:rPr>
              <w:t>Procedure description</w:t>
            </w:r>
          </w:p>
        </w:tc>
        <w:tc>
          <w:tcPr>
            <w:tcW w:w="1555" w:type="dxa"/>
            <w:vAlign w:val="bottom"/>
          </w:tcPr>
          <w:p w:rsidR="00CB5ECB" w:rsidRPr="00990D3B" w:rsidP="00E71EFE" w14:paraId="4ECF534C" w14:textId="77777777">
            <w:pPr>
              <w:pStyle w:val="EQRTableHeaderCenter"/>
              <w:rPr>
                <w:color w:val="auto"/>
              </w:rPr>
            </w:pPr>
            <w:r w:rsidRPr="00990D3B">
              <w:rPr>
                <w:color w:val="auto"/>
              </w:rPr>
              <w:t>Medical record procedure code</w:t>
            </w:r>
          </w:p>
        </w:tc>
        <w:tc>
          <w:tcPr>
            <w:tcW w:w="1549" w:type="dxa"/>
            <w:vAlign w:val="bottom"/>
          </w:tcPr>
          <w:p w:rsidR="00CB5ECB" w:rsidRPr="00990D3B" w:rsidP="00E71EFE" w14:paraId="02BB5A43" w14:textId="7F3BC8AC">
            <w:pPr>
              <w:pStyle w:val="EQRTableHeaderCenter"/>
              <w:rPr>
                <w:color w:val="auto"/>
              </w:rPr>
            </w:pPr>
            <w:r w:rsidRPr="00990D3B">
              <w:rPr>
                <w:color w:val="auto"/>
              </w:rPr>
              <w:t>Match?</w:t>
            </w:r>
            <w:r w:rsidRPr="00990D3B" w:rsidR="00E71EFE">
              <w:rPr>
                <w:color w:val="auto"/>
              </w:rPr>
              <w:br/>
            </w:r>
            <w:r w:rsidRPr="00990D3B">
              <w:rPr>
                <w:color w:val="auto"/>
              </w:rPr>
              <w:t>(Y/N)</w:t>
            </w:r>
          </w:p>
        </w:tc>
        <w:tc>
          <w:tcPr>
            <w:tcW w:w="1577" w:type="dxa"/>
            <w:vAlign w:val="bottom"/>
          </w:tcPr>
          <w:p w:rsidR="00CB5ECB" w:rsidRPr="00990D3B" w:rsidP="00E71EFE" w14:paraId="68827309" w14:textId="5898283C">
            <w:pPr>
              <w:pStyle w:val="EQRTableHeaderCenter"/>
              <w:rPr>
                <w:color w:val="auto"/>
              </w:rPr>
            </w:pPr>
            <w:r w:rsidRPr="00990D3B">
              <w:rPr>
                <w:color w:val="auto"/>
              </w:rPr>
              <w:t>Comments</w:t>
            </w:r>
          </w:p>
        </w:tc>
      </w:tr>
      <w:tr w14:paraId="5EF7BA7F" w14:textId="77777777" w:rsidTr="00CB5ECB">
        <w:tblPrEx>
          <w:tblW w:w="5000" w:type="pct"/>
          <w:tblLook w:val="04A0"/>
        </w:tblPrEx>
        <w:trPr>
          <w:cantSplit/>
        </w:trPr>
        <w:tc>
          <w:tcPr>
            <w:tcW w:w="1555" w:type="dxa"/>
          </w:tcPr>
          <w:p w:rsidR="009B6AF6" w:rsidRPr="00990D3B" w:rsidP="006456EA" w14:paraId="388E8546" w14:textId="77777777">
            <w:pPr>
              <w:pStyle w:val="EQRTableText"/>
            </w:pPr>
            <w:r w:rsidRPr="00990D3B">
              <w:t>1</w:t>
            </w:r>
          </w:p>
        </w:tc>
        <w:tc>
          <w:tcPr>
            <w:tcW w:w="1556" w:type="dxa"/>
          </w:tcPr>
          <w:p w:rsidR="009B6AF6" w:rsidRPr="00990D3B" w:rsidP="006456EA" w14:paraId="4E9BA3C6" w14:textId="77777777">
            <w:pPr>
              <w:pStyle w:val="EQRTableText"/>
            </w:pPr>
            <w:r w:rsidRPr="00990D3B">
              <w:t> </w:t>
            </w:r>
          </w:p>
        </w:tc>
        <w:tc>
          <w:tcPr>
            <w:tcW w:w="1558" w:type="dxa"/>
          </w:tcPr>
          <w:p w:rsidR="009B6AF6" w:rsidRPr="00990D3B" w:rsidP="006456EA" w14:paraId="43E6B87F" w14:textId="77777777">
            <w:pPr>
              <w:pStyle w:val="EQRTableText"/>
            </w:pPr>
            <w:r w:rsidRPr="00990D3B">
              <w:t> </w:t>
            </w:r>
          </w:p>
        </w:tc>
        <w:tc>
          <w:tcPr>
            <w:tcW w:w="1555" w:type="dxa"/>
          </w:tcPr>
          <w:p w:rsidR="009B6AF6" w:rsidRPr="00990D3B" w:rsidP="006456EA" w14:paraId="0540CA9D" w14:textId="77777777">
            <w:pPr>
              <w:pStyle w:val="EQRTableText"/>
            </w:pPr>
            <w:r w:rsidRPr="00990D3B">
              <w:t> </w:t>
            </w:r>
          </w:p>
        </w:tc>
        <w:tc>
          <w:tcPr>
            <w:tcW w:w="1549" w:type="dxa"/>
          </w:tcPr>
          <w:p w:rsidR="009B6AF6" w:rsidRPr="00990D3B" w:rsidP="006456EA" w14:paraId="21A9A0C9" w14:textId="77777777">
            <w:pPr>
              <w:pStyle w:val="EQRTableText"/>
            </w:pPr>
            <w:r w:rsidRPr="00990D3B">
              <w:t> </w:t>
            </w:r>
          </w:p>
        </w:tc>
        <w:tc>
          <w:tcPr>
            <w:tcW w:w="1577" w:type="dxa"/>
          </w:tcPr>
          <w:p w:rsidR="009B6AF6" w:rsidRPr="00990D3B" w:rsidP="006456EA" w14:paraId="0389F7E5" w14:textId="77777777">
            <w:pPr>
              <w:pStyle w:val="EQRTableText"/>
            </w:pPr>
            <w:r w:rsidRPr="00990D3B">
              <w:t> </w:t>
            </w:r>
          </w:p>
        </w:tc>
      </w:tr>
      <w:tr w14:paraId="18FB5FF2" w14:textId="77777777" w:rsidTr="00CB5ECB">
        <w:tblPrEx>
          <w:tblW w:w="5000" w:type="pct"/>
          <w:tblLook w:val="04A0"/>
        </w:tblPrEx>
        <w:trPr>
          <w:cantSplit/>
        </w:trPr>
        <w:tc>
          <w:tcPr>
            <w:tcW w:w="1555" w:type="dxa"/>
          </w:tcPr>
          <w:p w:rsidR="009B6AF6" w:rsidRPr="00990D3B" w:rsidP="006456EA" w14:paraId="60BA7DB7" w14:textId="77777777">
            <w:pPr>
              <w:pStyle w:val="EQRTableText"/>
            </w:pPr>
            <w:r w:rsidRPr="00990D3B">
              <w:t>…</w:t>
            </w:r>
          </w:p>
        </w:tc>
        <w:tc>
          <w:tcPr>
            <w:tcW w:w="1556" w:type="dxa"/>
          </w:tcPr>
          <w:p w:rsidR="009B6AF6" w:rsidRPr="00990D3B" w:rsidP="006456EA" w14:paraId="6D75BEAD" w14:textId="77777777">
            <w:pPr>
              <w:pStyle w:val="EQRTableText"/>
            </w:pPr>
            <w:r w:rsidRPr="00990D3B">
              <w:t> </w:t>
            </w:r>
          </w:p>
        </w:tc>
        <w:tc>
          <w:tcPr>
            <w:tcW w:w="1558" w:type="dxa"/>
          </w:tcPr>
          <w:p w:rsidR="009B6AF6" w:rsidRPr="00990D3B" w:rsidP="006456EA" w14:paraId="5920F3F3" w14:textId="77777777">
            <w:pPr>
              <w:pStyle w:val="EQRTableText"/>
            </w:pPr>
            <w:r w:rsidRPr="00990D3B">
              <w:t> </w:t>
            </w:r>
          </w:p>
        </w:tc>
        <w:tc>
          <w:tcPr>
            <w:tcW w:w="1555" w:type="dxa"/>
          </w:tcPr>
          <w:p w:rsidR="009B6AF6" w:rsidRPr="00990D3B" w:rsidP="006456EA" w14:paraId="603B89EA" w14:textId="77777777">
            <w:pPr>
              <w:pStyle w:val="EQRTableText"/>
            </w:pPr>
            <w:r w:rsidRPr="00990D3B">
              <w:t> </w:t>
            </w:r>
          </w:p>
        </w:tc>
        <w:tc>
          <w:tcPr>
            <w:tcW w:w="1549" w:type="dxa"/>
          </w:tcPr>
          <w:p w:rsidR="009B6AF6" w:rsidRPr="00990D3B" w:rsidP="006456EA" w14:paraId="6726D1A3" w14:textId="77777777">
            <w:pPr>
              <w:pStyle w:val="EQRTableText"/>
            </w:pPr>
            <w:r w:rsidRPr="00990D3B">
              <w:t> </w:t>
            </w:r>
          </w:p>
        </w:tc>
        <w:tc>
          <w:tcPr>
            <w:tcW w:w="1577" w:type="dxa"/>
          </w:tcPr>
          <w:p w:rsidR="009B6AF6" w:rsidRPr="00990D3B" w:rsidP="006456EA" w14:paraId="57454F2D" w14:textId="77777777">
            <w:pPr>
              <w:pStyle w:val="EQRTableText"/>
            </w:pPr>
            <w:r w:rsidRPr="00990D3B">
              <w:t> </w:t>
            </w:r>
          </w:p>
        </w:tc>
      </w:tr>
      <w:tr w14:paraId="5C85C690" w14:textId="77777777" w:rsidTr="00CB5ECB">
        <w:tblPrEx>
          <w:tblW w:w="5000" w:type="pct"/>
          <w:tblLook w:val="04A0"/>
        </w:tblPrEx>
        <w:trPr>
          <w:cantSplit/>
        </w:trPr>
        <w:tc>
          <w:tcPr>
            <w:tcW w:w="1555" w:type="dxa"/>
          </w:tcPr>
          <w:p w:rsidR="009B6AF6" w:rsidRPr="00990D3B" w:rsidP="006456EA" w14:paraId="7E9C7E48" w14:textId="77777777">
            <w:pPr>
              <w:pStyle w:val="EQRTableText"/>
            </w:pPr>
            <w:r w:rsidRPr="00990D3B">
              <w:t>N</w:t>
            </w:r>
          </w:p>
        </w:tc>
        <w:tc>
          <w:tcPr>
            <w:tcW w:w="1556" w:type="dxa"/>
          </w:tcPr>
          <w:p w:rsidR="009B6AF6" w:rsidRPr="00990D3B" w:rsidP="006456EA" w14:paraId="54A59946" w14:textId="77777777">
            <w:pPr>
              <w:pStyle w:val="EQRTableText"/>
            </w:pPr>
            <w:r w:rsidRPr="00990D3B">
              <w:t> </w:t>
            </w:r>
          </w:p>
        </w:tc>
        <w:tc>
          <w:tcPr>
            <w:tcW w:w="1558" w:type="dxa"/>
          </w:tcPr>
          <w:p w:rsidR="009B6AF6" w:rsidRPr="00990D3B" w:rsidP="006456EA" w14:paraId="6FF5FBDA" w14:textId="77777777">
            <w:pPr>
              <w:pStyle w:val="EQRTableText"/>
            </w:pPr>
            <w:r w:rsidRPr="00990D3B">
              <w:t> </w:t>
            </w:r>
          </w:p>
        </w:tc>
        <w:tc>
          <w:tcPr>
            <w:tcW w:w="1555" w:type="dxa"/>
          </w:tcPr>
          <w:p w:rsidR="009B6AF6" w:rsidRPr="00990D3B" w:rsidP="006456EA" w14:paraId="4ACBC9D7" w14:textId="77777777">
            <w:pPr>
              <w:pStyle w:val="EQRTableText"/>
            </w:pPr>
            <w:r w:rsidRPr="00990D3B">
              <w:t> </w:t>
            </w:r>
          </w:p>
        </w:tc>
        <w:tc>
          <w:tcPr>
            <w:tcW w:w="1549" w:type="dxa"/>
          </w:tcPr>
          <w:p w:rsidR="009B6AF6" w:rsidRPr="00990D3B" w:rsidP="006456EA" w14:paraId="070B0976" w14:textId="77777777">
            <w:pPr>
              <w:pStyle w:val="EQRTableText"/>
            </w:pPr>
            <w:r w:rsidRPr="00990D3B">
              <w:t> </w:t>
            </w:r>
          </w:p>
        </w:tc>
        <w:tc>
          <w:tcPr>
            <w:tcW w:w="1577" w:type="dxa"/>
          </w:tcPr>
          <w:p w:rsidR="009B6AF6" w:rsidRPr="00990D3B" w:rsidP="006456EA" w14:paraId="4D76AADD" w14:textId="77777777">
            <w:pPr>
              <w:pStyle w:val="EQRTableText"/>
            </w:pPr>
            <w:r w:rsidRPr="00990D3B">
              <w:t> </w:t>
            </w:r>
          </w:p>
        </w:tc>
      </w:tr>
    </w:tbl>
    <w:p w:rsidR="002C4AAC" w:rsidRPr="002C4AAC" w14:paraId="6F210B7F" w14:textId="77777777">
      <w:pPr>
        <w:spacing w:after="0"/>
        <w:rPr>
          <w:sz w:val="2"/>
          <w:szCs w:val="2"/>
        </w:rPr>
      </w:pPr>
    </w:p>
    <w:tbl>
      <w:tblPr>
        <w:tblStyle w:val="TableGrid"/>
        <w:tblW w:w="5000" w:type="pct"/>
        <w:tblLook w:val="04A0"/>
      </w:tblPr>
      <w:tblGrid>
        <w:gridCol w:w="1555"/>
        <w:gridCol w:w="1556"/>
        <w:gridCol w:w="1558"/>
        <w:gridCol w:w="1555"/>
        <w:gridCol w:w="1549"/>
        <w:gridCol w:w="1577"/>
      </w:tblGrid>
      <w:tr w14:paraId="34C5F9DA" w14:textId="77777777" w:rsidTr="00CB5ECB">
        <w:tblPrEx>
          <w:tblW w:w="5000" w:type="pct"/>
          <w:tblLook w:val="04A0"/>
        </w:tblPrEx>
        <w:trPr>
          <w:cantSplit/>
        </w:trPr>
        <w:tc>
          <w:tcPr>
            <w:tcW w:w="9350" w:type="dxa"/>
            <w:gridSpan w:val="6"/>
            <w:vAlign w:val="bottom"/>
          </w:tcPr>
          <w:p w:rsidR="009B6AF6" w:rsidRPr="00990D3B" w:rsidP="00E71EFE" w14:paraId="131F59D5" w14:textId="29311124">
            <w:pPr>
              <w:pStyle w:val="EQRTableHeaderLeft"/>
              <w:rPr>
                <w:color w:val="auto"/>
              </w:rPr>
            </w:pPr>
            <w:r w:rsidRPr="00990D3B">
              <w:rPr>
                <w:color w:val="auto"/>
              </w:rPr>
              <w:t xml:space="preserve">Revenue </w:t>
            </w:r>
            <w:r w:rsidRPr="00990D3B" w:rsidR="00F07840">
              <w:rPr>
                <w:color w:val="auto"/>
              </w:rPr>
              <w:t>c</w:t>
            </w:r>
            <w:r w:rsidRPr="00990D3B">
              <w:rPr>
                <w:color w:val="auto"/>
              </w:rPr>
              <w:t xml:space="preserve">odes and </w:t>
            </w:r>
            <w:r w:rsidRPr="00990D3B" w:rsidR="00F07840">
              <w:rPr>
                <w:color w:val="auto"/>
              </w:rPr>
              <w:t>d</w:t>
            </w:r>
            <w:r w:rsidRPr="00990D3B">
              <w:rPr>
                <w:color w:val="auto"/>
              </w:rPr>
              <w:t>escriptors</w:t>
            </w:r>
          </w:p>
        </w:tc>
      </w:tr>
      <w:tr w14:paraId="39D3CD38" w14:textId="77777777" w:rsidTr="00CB5ECB">
        <w:tblPrEx>
          <w:tblW w:w="5000" w:type="pct"/>
          <w:tblLook w:val="04A0"/>
        </w:tblPrEx>
        <w:trPr>
          <w:cantSplit/>
        </w:trPr>
        <w:tc>
          <w:tcPr>
            <w:tcW w:w="1555" w:type="dxa"/>
            <w:vAlign w:val="bottom"/>
          </w:tcPr>
          <w:p w:rsidR="00CB5ECB" w:rsidRPr="00990D3B" w:rsidP="00E71EFE" w14:paraId="2A0EDFE3" w14:textId="77777777">
            <w:pPr>
              <w:pStyle w:val="EQRTableHeaderLeft"/>
              <w:rPr>
                <w:color w:val="auto"/>
              </w:rPr>
            </w:pPr>
            <w:r w:rsidRPr="00990D3B">
              <w:rPr>
                <w:color w:val="auto"/>
              </w:rPr>
              <w:t>Encounter line #</w:t>
            </w:r>
          </w:p>
        </w:tc>
        <w:tc>
          <w:tcPr>
            <w:tcW w:w="1556" w:type="dxa"/>
            <w:vAlign w:val="bottom"/>
          </w:tcPr>
          <w:p w:rsidR="00CB5ECB" w:rsidRPr="00990D3B" w:rsidP="00E71EFE" w14:paraId="17AFCA14" w14:textId="77777777">
            <w:pPr>
              <w:pStyle w:val="EQRTableHeaderCenter"/>
              <w:rPr>
                <w:color w:val="auto"/>
              </w:rPr>
            </w:pPr>
            <w:r w:rsidRPr="00990D3B">
              <w:rPr>
                <w:color w:val="auto"/>
              </w:rPr>
              <w:t>Encounter revenue code</w:t>
            </w:r>
          </w:p>
        </w:tc>
        <w:tc>
          <w:tcPr>
            <w:tcW w:w="1558" w:type="dxa"/>
            <w:vAlign w:val="bottom"/>
          </w:tcPr>
          <w:p w:rsidR="00CB5ECB" w:rsidRPr="00990D3B" w:rsidP="00E71EFE" w14:paraId="4DE82719" w14:textId="77777777">
            <w:pPr>
              <w:pStyle w:val="EQRTableHeaderCenter"/>
              <w:rPr>
                <w:color w:val="auto"/>
              </w:rPr>
            </w:pPr>
            <w:r w:rsidRPr="00990D3B">
              <w:rPr>
                <w:color w:val="auto"/>
              </w:rPr>
              <w:t>Revenue description</w:t>
            </w:r>
          </w:p>
        </w:tc>
        <w:tc>
          <w:tcPr>
            <w:tcW w:w="1555" w:type="dxa"/>
            <w:vAlign w:val="bottom"/>
          </w:tcPr>
          <w:p w:rsidR="00CB5ECB" w:rsidRPr="00990D3B" w:rsidP="00E71EFE" w14:paraId="5E30CF02" w14:textId="77777777">
            <w:pPr>
              <w:pStyle w:val="EQRTableHeaderCenter"/>
              <w:rPr>
                <w:color w:val="auto"/>
              </w:rPr>
            </w:pPr>
            <w:r w:rsidRPr="00990D3B">
              <w:rPr>
                <w:color w:val="auto"/>
              </w:rPr>
              <w:t>Medical record revenue code</w:t>
            </w:r>
          </w:p>
        </w:tc>
        <w:tc>
          <w:tcPr>
            <w:tcW w:w="1549" w:type="dxa"/>
            <w:vAlign w:val="bottom"/>
          </w:tcPr>
          <w:p w:rsidR="00CB5ECB" w:rsidRPr="00990D3B" w:rsidP="00E71EFE" w14:paraId="11827345" w14:textId="7792C634">
            <w:pPr>
              <w:pStyle w:val="EQRTableHeaderCenter"/>
              <w:rPr>
                <w:color w:val="auto"/>
              </w:rPr>
            </w:pPr>
            <w:r w:rsidRPr="00990D3B">
              <w:rPr>
                <w:color w:val="auto"/>
              </w:rPr>
              <w:t>Match?</w:t>
            </w:r>
            <w:r w:rsidRPr="00990D3B" w:rsidR="00E71EFE">
              <w:rPr>
                <w:color w:val="auto"/>
              </w:rPr>
              <w:br/>
            </w:r>
            <w:r w:rsidRPr="00990D3B">
              <w:rPr>
                <w:color w:val="auto"/>
              </w:rPr>
              <w:t>(Y/N)</w:t>
            </w:r>
          </w:p>
        </w:tc>
        <w:tc>
          <w:tcPr>
            <w:tcW w:w="1577" w:type="dxa"/>
            <w:vAlign w:val="bottom"/>
          </w:tcPr>
          <w:p w:rsidR="00CB5ECB" w:rsidRPr="00990D3B" w:rsidP="00E71EFE" w14:paraId="548CD4FD" w14:textId="702E1D28">
            <w:pPr>
              <w:pStyle w:val="EQRTableHeaderCenter"/>
              <w:rPr>
                <w:color w:val="auto"/>
              </w:rPr>
            </w:pPr>
            <w:r w:rsidRPr="00990D3B">
              <w:rPr>
                <w:color w:val="auto"/>
              </w:rPr>
              <w:t>Comments</w:t>
            </w:r>
          </w:p>
        </w:tc>
      </w:tr>
      <w:tr w14:paraId="7A6C1F8A" w14:textId="77777777" w:rsidTr="00CB5ECB">
        <w:tblPrEx>
          <w:tblW w:w="5000" w:type="pct"/>
          <w:tblLook w:val="04A0"/>
        </w:tblPrEx>
        <w:trPr>
          <w:cantSplit/>
        </w:trPr>
        <w:tc>
          <w:tcPr>
            <w:tcW w:w="1555" w:type="dxa"/>
          </w:tcPr>
          <w:p w:rsidR="009B6AF6" w:rsidRPr="00990D3B" w:rsidP="006456EA" w14:paraId="0D74B8FC" w14:textId="77777777">
            <w:pPr>
              <w:pStyle w:val="EQRTableText"/>
            </w:pPr>
            <w:r w:rsidRPr="00990D3B">
              <w:t>1</w:t>
            </w:r>
          </w:p>
        </w:tc>
        <w:tc>
          <w:tcPr>
            <w:tcW w:w="1556" w:type="dxa"/>
          </w:tcPr>
          <w:p w:rsidR="009B6AF6" w:rsidRPr="00990D3B" w:rsidP="006456EA" w14:paraId="51E954A4" w14:textId="77777777">
            <w:pPr>
              <w:pStyle w:val="EQRTableText"/>
            </w:pPr>
            <w:r w:rsidRPr="00990D3B">
              <w:t> </w:t>
            </w:r>
          </w:p>
        </w:tc>
        <w:tc>
          <w:tcPr>
            <w:tcW w:w="1558" w:type="dxa"/>
          </w:tcPr>
          <w:p w:rsidR="009B6AF6" w:rsidRPr="00990D3B" w:rsidP="006456EA" w14:paraId="7F610126" w14:textId="77777777">
            <w:pPr>
              <w:pStyle w:val="EQRTableText"/>
            </w:pPr>
            <w:r w:rsidRPr="00990D3B">
              <w:t> </w:t>
            </w:r>
          </w:p>
        </w:tc>
        <w:tc>
          <w:tcPr>
            <w:tcW w:w="1555" w:type="dxa"/>
          </w:tcPr>
          <w:p w:rsidR="009B6AF6" w:rsidRPr="00990D3B" w:rsidP="006456EA" w14:paraId="47760C62" w14:textId="77777777">
            <w:pPr>
              <w:pStyle w:val="EQRTableText"/>
            </w:pPr>
            <w:r w:rsidRPr="00990D3B">
              <w:t> </w:t>
            </w:r>
          </w:p>
        </w:tc>
        <w:tc>
          <w:tcPr>
            <w:tcW w:w="1549" w:type="dxa"/>
          </w:tcPr>
          <w:p w:rsidR="009B6AF6" w:rsidRPr="00990D3B" w:rsidP="006456EA" w14:paraId="16C5F5ED" w14:textId="77777777">
            <w:pPr>
              <w:pStyle w:val="EQRTableText"/>
            </w:pPr>
            <w:r w:rsidRPr="00990D3B">
              <w:t> </w:t>
            </w:r>
          </w:p>
        </w:tc>
        <w:tc>
          <w:tcPr>
            <w:tcW w:w="1577" w:type="dxa"/>
          </w:tcPr>
          <w:p w:rsidR="009B6AF6" w:rsidRPr="00990D3B" w:rsidP="006456EA" w14:paraId="43785545" w14:textId="77777777">
            <w:pPr>
              <w:pStyle w:val="EQRTableText"/>
            </w:pPr>
            <w:r w:rsidRPr="00990D3B">
              <w:t> </w:t>
            </w:r>
          </w:p>
        </w:tc>
      </w:tr>
      <w:tr w14:paraId="37792D71" w14:textId="77777777" w:rsidTr="00CB5ECB">
        <w:tblPrEx>
          <w:tblW w:w="5000" w:type="pct"/>
          <w:tblLook w:val="04A0"/>
        </w:tblPrEx>
        <w:trPr>
          <w:cantSplit/>
        </w:trPr>
        <w:tc>
          <w:tcPr>
            <w:tcW w:w="1555" w:type="dxa"/>
          </w:tcPr>
          <w:p w:rsidR="009B6AF6" w:rsidRPr="00990D3B" w:rsidP="006456EA" w14:paraId="2102EB6B" w14:textId="77777777">
            <w:pPr>
              <w:pStyle w:val="EQRTableText"/>
            </w:pPr>
            <w:r w:rsidRPr="00990D3B">
              <w:t>…</w:t>
            </w:r>
          </w:p>
        </w:tc>
        <w:tc>
          <w:tcPr>
            <w:tcW w:w="1556" w:type="dxa"/>
          </w:tcPr>
          <w:p w:rsidR="009B6AF6" w:rsidRPr="00990D3B" w:rsidP="006456EA" w14:paraId="080E2C22" w14:textId="77777777">
            <w:pPr>
              <w:pStyle w:val="EQRTableText"/>
            </w:pPr>
            <w:r w:rsidRPr="00990D3B">
              <w:t> </w:t>
            </w:r>
          </w:p>
        </w:tc>
        <w:tc>
          <w:tcPr>
            <w:tcW w:w="1558" w:type="dxa"/>
          </w:tcPr>
          <w:p w:rsidR="009B6AF6" w:rsidRPr="00990D3B" w:rsidP="006456EA" w14:paraId="22BFDA09" w14:textId="77777777">
            <w:pPr>
              <w:pStyle w:val="EQRTableText"/>
            </w:pPr>
            <w:r w:rsidRPr="00990D3B">
              <w:t> </w:t>
            </w:r>
          </w:p>
        </w:tc>
        <w:tc>
          <w:tcPr>
            <w:tcW w:w="1555" w:type="dxa"/>
          </w:tcPr>
          <w:p w:rsidR="009B6AF6" w:rsidRPr="00990D3B" w:rsidP="006456EA" w14:paraId="351C6243" w14:textId="77777777">
            <w:pPr>
              <w:pStyle w:val="EQRTableText"/>
            </w:pPr>
            <w:r w:rsidRPr="00990D3B">
              <w:t> </w:t>
            </w:r>
          </w:p>
        </w:tc>
        <w:tc>
          <w:tcPr>
            <w:tcW w:w="1549" w:type="dxa"/>
          </w:tcPr>
          <w:p w:rsidR="009B6AF6" w:rsidRPr="00990D3B" w:rsidP="006456EA" w14:paraId="1CF279C3" w14:textId="77777777">
            <w:pPr>
              <w:pStyle w:val="EQRTableText"/>
            </w:pPr>
            <w:r w:rsidRPr="00990D3B">
              <w:t> </w:t>
            </w:r>
          </w:p>
        </w:tc>
        <w:tc>
          <w:tcPr>
            <w:tcW w:w="1577" w:type="dxa"/>
          </w:tcPr>
          <w:p w:rsidR="009B6AF6" w:rsidRPr="00990D3B" w:rsidP="006456EA" w14:paraId="1D35E404" w14:textId="77777777">
            <w:pPr>
              <w:pStyle w:val="EQRTableText"/>
            </w:pPr>
            <w:r w:rsidRPr="00990D3B">
              <w:t> </w:t>
            </w:r>
          </w:p>
        </w:tc>
      </w:tr>
      <w:tr w14:paraId="59B75875" w14:textId="77777777" w:rsidTr="00CB5ECB">
        <w:tblPrEx>
          <w:tblW w:w="5000" w:type="pct"/>
          <w:tblLook w:val="04A0"/>
        </w:tblPrEx>
        <w:trPr>
          <w:cantSplit/>
        </w:trPr>
        <w:tc>
          <w:tcPr>
            <w:tcW w:w="1555" w:type="dxa"/>
          </w:tcPr>
          <w:p w:rsidR="009B6AF6" w:rsidRPr="00990D3B" w:rsidP="006456EA" w14:paraId="3ED12689" w14:textId="77777777">
            <w:pPr>
              <w:pStyle w:val="EQRTableText"/>
            </w:pPr>
            <w:r w:rsidRPr="00990D3B">
              <w:t>N</w:t>
            </w:r>
          </w:p>
        </w:tc>
        <w:tc>
          <w:tcPr>
            <w:tcW w:w="1556" w:type="dxa"/>
          </w:tcPr>
          <w:p w:rsidR="009B6AF6" w:rsidRPr="00990D3B" w:rsidP="006456EA" w14:paraId="78C0317B" w14:textId="77777777">
            <w:pPr>
              <w:pStyle w:val="EQRTableText"/>
            </w:pPr>
            <w:r w:rsidRPr="00990D3B">
              <w:t> </w:t>
            </w:r>
          </w:p>
        </w:tc>
        <w:tc>
          <w:tcPr>
            <w:tcW w:w="1558" w:type="dxa"/>
          </w:tcPr>
          <w:p w:rsidR="009B6AF6" w:rsidRPr="00990D3B" w:rsidP="006456EA" w14:paraId="0037221D" w14:textId="77777777">
            <w:pPr>
              <w:pStyle w:val="EQRTableText"/>
            </w:pPr>
            <w:r w:rsidRPr="00990D3B">
              <w:t> </w:t>
            </w:r>
          </w:p>
        </w:tc>
        <w:tc>
          <w:tcPr>
            <w:tcW w:w="1555" w:type="dxa"/>
          </w:tcPr>
          <w:p w:rsidR="009B6AF6" w:rsidRPr="00990D3B" w:rsidP="006456EA" w14:paraId="5E2471B3" w14:textId="77777777">
            <w:pPr>
              <w:pStyle w:val="EQRTableText"/>
            </w:pPr>
            <w:r w:rsidRPr="00990D3B">
              <w:t> </w:t>
            </w:r>
          </w:p>
        </w:tc>
        <w:tc>
          <w:tcPr>
            <w:tcW w:w="1549" w:type="dxa"/>
          </w:tcPr>
          <w:p w:rsidR="009B6AF6" w:rsidRPr="00990D3B" w:rsidP="006456EA" w14:paraId="372ABE97" w14:textId="77777777">
            <w:pPr>
              <w:pStyle w:val="EQRTableText"/>
            </w:pPr>
            <w:r w:rsidRPr="00990D3B">
              <w:t> </w:t>
            </w:r>
          </w:p>
        </w:tc>
        <w:tc>
          <w:tcPr>
            <w:tcW w:w="1577" w:type="dxa"/>
          </w:tcPr>
          <w:p w:rsidR="009B6AF6" w:rsidRPr="00990D3B" w:rsidP="006456EA" w14:paraId="7DDE718E" w14:textId="77777777">
            <w:pPr>
              <w:pStyle w:val="EQRTableText"/>
            </w:pPr>
            <w:r w:rsidRPr="00990D3B">
              <w:t> </w:t>
            </w:r>
          </w:p>
        </w:tc>
      </w:tr>
    </w:tbl>
    <w:p w:rsidR="009B6AF6" w:rsidRPr="00990D3B" w:rsidP="00E71EFE" w14:paraId="69C974B7" w14:textId="7DC1BA42">
      <w:pPr>
        <w:pStyle w:val="EQRTableFootnoteCaption"/>
      </w:pPr>
      <w:r w:rsidRPr="00990D3B">
        <w:t>Note:</w:t>
      </w:r>
      <w:r w:rsidRPr="00990D3B" w:rsidR="00E63E7A">
        <w:t xml:space="preserve"> </w:t>
      </w:r>
      <w:r w:rsidRPr="00990D3B" w:rsidR="00F07840">
        <w:t>E</w:t>
      </w:r>
      <w:r w:rsidRPr="00990D3B">
        <w:t>dit this table to include all data elements under review.</w:t>
      </w:r>
    </w:p>
    <w:p w:rsidR="00900FEF" w:rsidRPr="00990D3B" w:rsidP="00E63E7A" w14:paraId="4C636D2C" w14:textId="77777777">
      <w:pPr>
        <w:pStyle w:val="EQRTableFootnoteCaption"/>
      </w:pPr>
    </w:p>
    <w:p w:rsidR="00E71EFE" w:rsidRPr="00990D3B" w14:paraId="09130247" w14:textId="036FFE79">
      <w:pPr>
        <w:spacing w:line="240" w:lineRule="auto"/>
        <w:rPr>
          <w:rFonts w:ascii="Arial Black" w:eastAsia="Arial" w:hAnsi="Arial Black" w:cs="Arial"/>
          <w:color w:val="000000" w:themeColor="text1"/>
          <w:sz w:val="19"/>
          <w:szCs w:val="19"/>
        </w:rPr>
      </w:pPr>
      <w:bookmarkStart w:id="620" w:name="WSp5n06"/>
      <w:bookmarkStart w:id="621" w:name="_Toc125619176"/>
      <w:r w:rsidRPr="00990D3B">
        <w:rPr>
          <w:rFonts w:ascii="Arial Black" w:eastAsia="Arial" w:hAnsi="Arial Black" w:cs="Arial"/>
          <w:color w:val="000000" w:themeColor="text1"/>
          <w:sz w:val="19"/>
          <w:szCs w:val="19"/>
        </w:rPr>
        <w:br w:type="page"/>
      </w:r>
    </w:p>
    <w:p w:rsidR="009B6AF6" w:rsidRPr="00990D3B" w:rsidP="00A54412" w14:paraId="552706C4" w14:textId="4AC52B18">
      <w:pPr>
        <w:pStyle w:val="EQRMarkforExhibitWORKSHEET"/>
      </w:pPr>
      <w:bookmarkStart w:id="622" w:name="_Toc201751539"/>
      <w:r w:rsidRPr="00990D3B">
        <w:t>Worksheet 5.6</w:t>
      </w:r>
      <w:bookmarkEnd w:id="620"/>
      <w:r w:rsidRPr="00990D3B">
        <w:t>. Medical Record Review Results Summary Sheet</w:t>
      </w:r>
      <w:bookmarkEnd w:id="621"/>
      <w:bookmarkEnd w:id="622"/>
    </w:p>
    <w:p w:rsidR="00F07840" w:rsidRPr="00990D3B" w:rsidP="00B27133" w14:paraId="45A899DA" w14:textId="595CBFEF">
      <w:pPr>
        <w:pStyle w:val="EQRNormalSSWORKSHEET"/>
      </w:pPr>
      <w:r w:rsidRPr="00990D3B">
        <w:rPr>
          <w:b/>
          <w:bCs/>
        </w:rPr>
        <w:t xml:space="preserve">Instructions. </w:t>
      </w:r>
      <w:r w:rsidRPr="00990D3B">
        <w:t xml:space="preserve">Use this worksheet to summarize the results of the medical record review, including the error rate and </w:t>
      </w:r>
      <w:r w:rsidRPr="00990D3B" w:rsidR="00E71EFE">
        <w:t>reasons</w:t>
      </w:r>
      <w:r w:rsidRPr="00990D3B">
        <w:t xml:space="preserve"> for errors. </w:t>
      </w:r>
    </w:p>
    <w:p w:rsidR="009B6AF6" w:rsidRPr="00990D3B" w:rsidP="006456EA" w14:paraId="553B7A4C" w14:textId="77777777">
      <w:pPr>
        <w:pStyle w:val="EQRNormalSSWORKSHEET"/>
      </w:pPr>
      <w:r w:rsidRPr="00990D3B">
        <w:rPr>
          <w:szCs w:val="24"/>
        </w:rPr>
        <w:t>Research question:</w:t>
      </w:r>
      <w:r w:rsidRPr="00990D3B">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6AF6" w:rsidRPr="00990D3B" w:rsidP="006456EA" w14:paraId="65CFA16E" w14:textId="77777777">
      <w:pPr>
        <w:pStyle w:val="EQRNormalSSWORKSHEET"/>
        <w:rPr>
          <w:szCs w:val="24"/>
        </w:rPr>
      </w:pPr>
      <w:r w:rsidRPr="00990D3B">
        <w:rPr>
          <w:szCs w:val="24"/>
        </w:rPr>
        <w:t xml:space="preserve">Sample </w:t>
      </w:r>
      <w:r w:rsidRPr="00990D3B">
        <w:rPr>
          <w:szCs w:val="24"/>
        </w:rPr>
        <w:t>size: _</w:t>
      </w:r>
      <w:r w:rsidRPr="00990D3B">
        <w:rPr>
          <w:szCs w:val="24"/>
        </w:rPr>
        <w:t>__________</w:t>
      </w:r>
    </w:p>
    <w:p w:rsidR="009B6AF6" w:rsidRPr="00990D3B" w:rsidP="006456EA" w14:paraId="6970E169" w14:textId="77777777">
      <w:pPr>
        <w:pStyle w:val="EQRNormalSSWORKSHEET"/>
        <w:rPr>
          <w:szCs w:val="24"/>
        </w:rPr>
      </w:pPr>
      <w:r w:rsidRPr="00990D3B">
        <w:rPr>
          <w:szCs w:val="24"/>
        </w:rPr>
        <w:t>Sampling methodology: __________________________________________________________________________</w:t>
      </w:r>
    </w:p>
    <w:p w:rsidR="009B6AF6" w:rsidRPr="00990D3B" w:rsidP="006456EA" w14:paraId="2A845AED" w14:textId="5F450DBA">
      <w:pPr>
        <w:pStyle w:val="EQRNormalSSWORKSHEET"/>
        <w:rPr>
          <w:szCs w:val="24"/>
        </w:rPr>
      </w:pPr>
      <w:r w:rsidRPr="00990D3B">
        <w:rPr>
          <w:szCs w:val="24"/>
        </w:rPr>
        <w:t>Summary</w:t>
      </w:r>
      <w:r w:rsidRPr="00990D3B" w:rsidR="00F07840">
        <w:rPr>
          <w:szCs w:val="24"/>
        </w:rPr>
        <w:t xml:space="preserve"> of h</w:t>
      </w:r>
      <w:r w:rsidRPr="00990D3B">
        <w:rPr>
          <w:szCs w:val="24"/>
        </w:rPr>
        <w:t>ow the MCP addresses medical record review auditing or accuracy checks: __________________________________________________________________________________________________________________________________________________________________________________________</w:t>
      </w:r>
    </w:p>
    <w:p w:rsidR="009B6AF6" w:rsidRPr="00990D3B" w:rsidP="006456EA" w14:paraId="32A11183" w14:textId="77777777">
      <w:pPr>
        <w:pStyle w:val="EQRNormalSSWORKSHEET"/>
        <w:rPr>
          <w:szCs w:val="24"/>
        </w:rPr>
      </w:pPr>
      <w:r w:rsidRPr="00990D3B">
        <w:rPr>
          <w:szCs w:val="24"/>
        </w:rPr>
        <w:t>Record of substitutions (list substitutions and reasons):</w:t>
      </w:r>
    </w:p>
    <w:tbl>
      <w:tblPr>
        <w:tblStyle w:val="TableGrid"/>
        <w:tblW w:w="5000" w:type="pct"/>
        <w:tblLook w:val="04A0"/>
      </w:tblPr>
      <w:tblGrid>
        <w:gridCol w:w="3181"/>
        <w:gridCol w:w="2961"/>
        <w:gridCol w:w="3208"/>
      </w:tblGrid>
      <w:tr w14:paraId="446D8C62" w14:textId="77777777" w:rsidTr="00ED381A">
        <w:tblPrEx>
          <w:tblW w:w="5000" w:type="pct"/>
          <w:tblLook w:val="04A0"/>
        </w:tblPrEx>
        <w:trPr>
          <w:cantSplit/>
        </w:trPr>
        <w:tc>
          <w:tcPr>
            <w:tcW w:w="3181" w:type="dxa"/>
            <w:vAlign w:val="bottom"/>
          </w:tcPr>
          <w:p w:rsidR="009B6AF6" w:rsidRPr="00990D3B" w:rsidP="00E71EFE" w14:paraId="68299924" w14:textId="67FB643F">
            <w:pPr>
              <w:pStyle w:val="EQRTableHeaderLeft"/>
              <w:rPr>
                <w:color w:val="auto"/>
              </w:rPr>
            </w:pPr>
            <w:r w:rsidRPr="00990D3B">
              <w:rPr>
                <w:color w:val="auto"/>
              </w:rPr>
              <w:t xml:space="preserve">Original </w:t>
            </w:r>
            <w:r w:rsidRPr="00990D3B" w:rsidR="00F07840">
              <w:rPr>
                <w:color w:val="auto"/>
              </w:rPr>
              <w:t>r</w:t>
            </w:r>
            <w:r w:rsidRPr="00990D3B">
              <w:rPr>
                <w:color w:val="auto"/>
              </w:rPr>
              <w:t xml:space="preserve">ecord </w:t>
            </w:r>
          </w:p>
        </w:tc>
        <w:tc>
          <w:tcPr>
            <w:tcW w:w="2961" w:type="dxa"/>
            <w:vAlign w:val="bottom"/>
          </w:tcPr>
          <w:p w:rsidR="009B6AF6" w:rsidRPr="00990D3B" w:rsidP="00E71EFE" w14:paraId="1EE4F005" w14:textId="7C546B0B">
            <w:pPr>
              <w:pStyle w:val="EQRTableHeaderCenter"/>
              <w:rPr>
                <w:color w:val="auto"/>
              </w:rPr>
            </w:pPr>
            <w:r w:rsidRPr="00990D3B">
              <w:rPr>
                <w:color w:val="auto"/>
              </w:rPr>
              <w:t xml:space="preserve">Replacement </w:t>
            </w:r>
            <w:r w:rsidRPr="00990D3B" w:rsidR="00F07840">
              <w:rPr>
                <w:color w:val="auto"/>
              </w:rPr>
              <w:t>r</w:t>
            </w:r>
            <w:r w:rsidRPr="00990D3B">
              <w:rPr>
                <w:color w:val="auto"/>
              </w:rPr>
              <w:t>ecord</w:t>
            </w:r>
          </w:p>
        </w:tc>
        <w:tc>
          <w:tcPr>
            <w:tcW w:w="3208" w:type="dxa"/>
            <w:vAlign w:val="bottom"/>
          </w:tcPr>
          <w:p w:rsidR="009B6AF6" w:rsidRPr="00990D3B" w:rsidP="00E71EFE" w14:paraId="4FD89F8C" w14:textId="31E3A3D9">
            <w:pPr>
              <w:pStyle w:val="EQRTableHeaderCenter"/>
              <w:rPr>
                <w:color w:val="auto"/>
              </w:rPr>
            </w:pPr>
            <w:r w:rsidRPr="00990D3B">
              <w:rPr>
                <w:color w:val="auto"/>
              </w:rPr>
              <w:t xml:space="preserve">Replacement </w:t>
            </w:r>
            <w:r w:rsidRPr="00990D3B" w:rsidR="00F07840">
              <w:rPr>
                <w:color w:val="auto"/>
              </w:rPr>
              <w:t>r</w:t>
            </w:r>
            <w:r w:rsidRPr="00990D3B">
              <w:rPr>
                <w:color w:val="auto"/>
              </w:rPr>
              <w:t>eason</w:t>
            </w:r>
          </w:p>
        </w:tc>
      </w:tr>
      <w:tr w14:paraId="44D7241E" w14:textId="77777777" w:rsidTr="00ED381A">
        <w:tblPrEx>
          <w:tblW w:w="5000" w:type="pct"/>
          <w:tblLook w:val="04A0"/>
        </w:tblPrEx>
        <w:trPr>
          <w:cantSplit/>
        </w:trPr>
        <w:tc>
          <w:tcPr>
            <w:tcW w:w="3181" w:type="dxa"/>
          </w:tcPr>
          <w:p w:rsidR="009B6AF6" w:rsidRPr="00990D3B" w:rsidP="006456EA" w14:paraId="39AF733A" w14:textId="77777777">
            <w:pPr>
              <w:pStyle w:val="EQRTableText"/>
            </w:pPr>
            <w:r w:rsidRPr="00990D3B">
              <w:t>1.</w:t>
            </w:r>
          </w:p>
        </w:tc>
        <w:tc>
          <w:tcPr>
            <w:tcW w:w="2961" w:type="dxa"/>
          </w:tcPr>
          <w:p w:rsidR="009B6AF6" w:rsidRPr="00990D3B" w:rsidP="006456EA" w14:paraId="1AE459EE" w14:textId="77777777">
            <w:pPr>
              <w:pStyle w:val="EQRTableText"/>
            </w:pPr>
            <w:r w:rsidRPr="00990D3B">
              <w:t> </w:t>
            </w:r>
          </w:p>
        </w:tc>
        <w:tc>
          <w:tcPr>
            <w:tcW w:w="3208" w:type="dxa"/>
          </w:tcPr>
          <w:p w:rsidR="009B6AF6" w:rsidRPr="00990D3B" w:rsidP="006456EA" w14:paraId="455ABB7A" w14:textId="77777777">
            <w:pPr>
              <w:pStyle w:val="EQRTableText"/>
            </w:pPr>
            <w:r w:rsidRPr="00990D3B">
              <w:t> </w:t>
            </w:r>
          </w:p>
        </w:tc>
      </w:tr>
      <w:tr w14:paraId="7A65A886" w14:textId="77777777" w:rsidTr="00ED381A">
        <w:tblPrEx>
          <w:tblW w:w="5000" w:type="pct"/>
          <w:tblLook w:val="04A0"/>
        </w:tblPrEx>
        <w:trPr>
          <w:cantSplit/>
        </w:trPr>
        <w:tc>
          <w:tcPr>
            <w:tcW w:w="3181" w:type="dxa"/>
          </w:tcPr>
          <w:p w:rsidR="009B6AF6" w:rsidRPr="00990D3B" w:rsidP="006456EA" w14:paraId="0C9162DA" w14:textId="77777777">
            <w:pPr>
              <w:pStyle w:val="EQRTableText"/>
            </w:pPr>
            <w:r w:rsidRPr="00990D3B">
              <w:t xml:space="preserve">2. </w:t>
            </w:r>
          </w:p>
        </w:tc>
        <w:tc>
          <w:tcPr>
            <w:tcW w:w="2961" w:type="dxa"/>
          </w:tcPr>
          <w:p w:rsidR="009B6AF6" w:rsidRPr="00990D3B" w:rsidP="006456EA" w14:paraId="4089F167" w14:textId="77777777">
            <w:pPr>
              <w:pStyle w:val="EQRTableText"/>
            </w:pPr>
            <w:r w:rsidRPr="00990D3B">
              <w:t> </w:t>
            </w:r>
          </w:p>
        </w:tc>
        <w:tc>
          <w:tcPr>
            <w:tcW w:w="3208" w:type="dxa"/>
          </w:tcPr>
          <w:p w:rsidR="009B6AF6" w:rsidRPr="00990D3B" w:rsidP="006456EA" w14:paraId="06FEDCB4" w14:textId="77777777">
            <w:pPr>
              <w:pStyle w:val="EQRTableText"/>
            </w:pPr>
            <w:r w:rsidRPr="00990D3B">
              <w:t> </w:t>
            </w:r>
          </w:p>
        </w:tc>
      </w:tr>
      <w:tr w14:paraId="201DABF4" w14:textId="77777777" w:rsidTr="00ED381A">
        <w:tblPrEx>
          <w:tblW w:w="5000" w:type="pct"/>
          <w:tblLook w:val="04A0"/>
        </w:tblPrEx>
        <w:trPr>
          <w:cantSplit/>
        </w:trPr>
        <w:tc>
          <w:tcPr>
            <w:tcW w:w="3181" w:type="dxa"/>
          </w:tcPr>
          <w:p w:rsidR="009B6AF6" w:rsidRPr="00990D3B" w:rsidP="006456EA" w14:paraId="28FF134B" w14:textId="77777777">
            <w:pPr>
              <w:pStyle w:val="EQRTableText"/>
            </w:pPr>
            <w:r w:rsidRPr="00990D3B">
              <w:t>3.</w:t>
            </w:r>
          </w:p>
        </w:tc>
        <w:tc>
          <w:tcPr>
            <w:tcW w:w="2961" w:type="dxa"/>
          </w:tcPr>
          <w:p w:rsidR="009B6AF6" w:rsidRPr="00990D3B" w:rsidP="006456EA" w14:paraId="5C93EC67" w14:textId="77777777">
            <w:pPr>
              <w:pStyle w:val="EQRTableText"/>
            </w:pPr>
            <w:r w:rsidRPr="00990D3B">
              <w:t> </w:t>
            </w:r>
          </w:p>
        </w:tc>
        <w:tc>
          <w:tcPr>
            <w:tcW w:w="3208" w:type="dxa"/>
          </w:tcPr>
          <w:p w:rsidR="009B6AF6" w:rsidRPr="00990D3B" w:rsidP="006456EA" w14:paraId="31E10230" w14:textId="77777777">
            <w:pPr>
              <w:pStyle w:val="EQRTableText"/>
            </w:pPr>
            <w:r w:rsidRPr="00990D3B">
              <w:t> </w:t>
            </w:r>
          </w:p>
        </w:tc>
      </w:tr>
    </w:tbl>
    <w:p w:rsidR="00F07840" w:rsidRPr="00990D3B" w:rsidP="00F07840" w14:paraId="53A37D0D" w14:textId="5DBD05AC">
      <w:pPr>
        <w:pStyle w:val="EQRNormalSSWORKSHEET"/>
        <w:spacing w:before="80"/>
      </w:pPr>
    </w:p>
    <w:tbl>
      <w:tblPr>
        <w:tblStyle w:val="TableGrid"/>
        <w:tblW w:w="5000" w:type="pct"/>
        <w:tblLook w:val="04A0"/>
      </w:tblPr>
      <w:tblGrid>
        <w:gridCol w:w="985"/>
        <w:gridCol w:w="2525"/>
        <w:gridCol w:w="1543"/>
        <w:gridCol w:w="2089"/>
        <w:gridCol w:w="2208"/>
      </w:tblGrid>
      <w:tr w14:paraId="7D106C87" w14:textId="77777777" w:rsidTr="006456EA">
        <w:tblPrEx>
          <w:tblW w:w="5000" w:type="pct"/>
          <w:tblLook w:val="04A0"/>
        </w:tblPrEx>
        <w:trPr>
          <w:cantSplit/>
        </w:trPr>
        <w:tc>
          <w:tcPr>
            <w:tcW w:w="985" w:type="dxa"/>
            <w:vAlign w:val="bottom"/>
          </w:tcPr>
          <w:p w:rsidR="009B6AF6" w:rsidRPr="00990D3B" w:rsidP="00E71EFE" w14:paraId="12F4C046" w14:textId="3933689C">
            <w:pPr>
              <w:pStyle w:val="EQRTableHeaderCenter"/>
              <w:rPr>
                <w:color w:val="auto"/>
              </w:rPr>
            </w:pPr>
            <w:r w:rsidRPr="00990D3B">
              <w:rPr>
                <w:color w:val="auto"/>
              </w:rPr>
              <w:t>Record</w:t>
            </w:r>
            <w:r w:rsidRPr="00990D3B" w:rsidR="00BF5806">
              <w:rPr>
                <w:color w:val="auto"/>
              </w:rPr>
              <w:t xml:space="preserve"> </w:t>
            </w:r>
            <w:r w:rsidRPr="00990D3B" w:rsidR="009D495B">
              <w:rPr>
                <w:color w:val="auto"/>
              </w:rPr>
              <w:t>n</w:t>
            </w:r>
            <w:r w:rsidRPr="00990D3B">
              <w:rPr>
                <w:color w:val="auto"/>
              </w:rPr>
              <w:t xml:space="preserve">umbers </w:t>
            </w:r>
            <w:r w:rsidRPr="00990D3B" w:rsidR="009D495B">
              <w:rPr>
                <w:color w:val="auto"/>
              </w:rPr>
              <w:t>r</w:t>
            </w:r>
            <w:r w:rsidRPr="00990D3B">
              <w:rPr>
                <w:color w:val="auto"/>
              </w:rPr>
              <w:t>eviewed</w:t>
            </w:r>
          </w:p>
        </w:tc>
        <w:tc>
          <w:tcPr>
            <w:tcW w:w="2525" w:type="dxa"/>
            <w:vAlign w:val="bottom"/>
          </w:tcPr>
          <w:p w:rsidR="009B6AF6" w:rsidRPr="00990D3B" w:rsidP="00E71EFE" w14:paraId="5280F1CE" w14:textId="41FC60A8">
            <w:pPr>
              <w:pStyle w:val="EQRTableHeaderCenter"/>
              <w:rPr>
                <w:color w:val="auto"/>
              </w:rPr>
            </w:pPr>
            <w:r w:rsidRPr="00990D3B">
              <w:rPr>
                <w:color w:val="auto"/>
              </w:rPr>
              <w:t xml:space="preserve">Event </w:t>
            </w:r>
            <w:r w:rsidRPr="00990D3B" w:rsidR="009D495B">
              <w:rPr>
                <w:color w:val="auto"/>
              </w:rPr>
              <w:t>n</w:t>
            </w:r>
            <w:r w:rsidRPr="00990D3B">
              <w:rPr>
                <w:color w:val="auto"/>
              </w:rPr>
              <w:t xml:space="preserve">oted on </w:t>
            </w:r>
            <w:r w:rsidRPr="00990D3B" w:rsidR="009D495B">
              <w:rPr>
                <w:color w:val="auto"/>
              </w:rPr>
              <w:t>e</w:t>
            </w:r>
            <w:r w:rsidRPr="00990D3B">
              <w:rPr>
                <w:color w:val="auto"/>
              </w:rPr>
              <w:t xml:space="preserve">ncounter </w:t>
            </w:r>
            <w:r w:rsidRPr="00990D3B" w:rsidR="009D495B">
              <w:rPr>
                <w:color w:val="auto"/>
              </w:rPr>
              <w:t>r</w:t>
            </w:r>
            <w:r w:rsidRPr="00990D3B">
              <w:rPr>
                <w:color w:val="auto"/>
              </w:rPr>
              <w:t>ecord</w:t>
            </w:r>
          </w:p>
        </w:tc>
        <w:tc>
          <w:tcPr>
            <w:tcW w:w="1543" w:type="dxa"/>
            <w:vAlign w:val="bottom"/>
          </w:tcPr>
          <w:p w:rsidR="009B6AF6" w:rsidRPr="00990D3B" w:rsidP="00E71EFE" w14:paraId="37C94467" w14:textId="328808AE">
            <w:pPr>
              <w:pStyle w:val="EQRTableHeaderCenter"/>
              <w:rPr>
                <w:color w:val="auto"/>
              </w:rPr>
            </w:pPr>
            <w:r w:rsidRPr="00990D3B">
              <w:rPr>
                <w:color w:val="auto"/>
              </w:rPr>
              <w:t xml:space="preserve">Event </w:t>
            </w:r>
            <w:r w:rsidRPr="00990D3B" w:rsidR="009D495B">
              <w:rPr>
                <w:color w:val="auto"/>
              </w:rPr>
              <w:t>r</w:t>
            </w:r>
            <w:r w:rsidRPr="00990D3B">
              <w:rPr>
                <w:color w:val="auto"/>
              </w:rPr>
              <w:t xml:space="preserve">ecorded in </w:t>
            </w:r>
            <w:r w:rsidRPr="00990D3B" w:rsidR="009D495B">
              <w:rPr>
                <w:color w:val="auto"/>
              </w:rPr>
              <w:t>m</w:t>
            </w:r>
            <w:r w:rsidRPr="00990D3B">
              <w:rPr>
                <w:color w:val="auto"/>
              </w:rPr>
              <w:t xml:space="preserve">edical </w:t>
            </w:r>
            <w:r w:rsidRPr="00990D3B" w:rsidR="009D495B">
              <w:rPr>
                <w:color w:val="auto"/>
              </w:rPr>
              <w:t>r</w:t>
            </w:r>
            <w:r w:rsidRPr="00990D3B">
              <w:rPr>
                <w:color w:val="auto"/>
              </w:rPr>
              <w:t>ecord</w:t>
            </w:r>
          </w:p>
        </w:tc>
        <w:tc>
          <w:tcPr>
            <w:tcW w:w="2089" w:type="dxa"/>
            <w:vAlign w:val="bottom"/>
          </w:tcPr>
          <w:p w:rsidR="009B6AF6" w:rsidRPr="00990D3B" w:rsidP="00E71EFE" w14:paraId="3F51F1B8" w14:textId="5CDE96A6">
            <w:pPr>
              <w:pStyle w:val="EQRTableHeaderCenter"/>
              <w:rPr>
                <w:color w:val="auto"/>
              </w:rPr>
            </w:pPr>
            <w:r w:rsidRPr="00990D3B">
              <w:rPr>
                <w:color w:val="auto"/>
              </w:rPr>
              <w:t xml:space="preserve">Match? </w:t>
            </w:r>
            <w:r w:rsidRPr="00990D3B" w:rsidR="00E71EFE">
              <w:rPr>
                <w:color w:val="auto"/>
              </w:rPr>
              <w:br/>
            </w:r>
            <w:r w:rsidRPr="00990D3B">
              <w:rPr>
                <w:color w:val="auto"/>
              </w:rPr>
              <w:t>(Y/</w:t>
            </w:r>
            <w:r w:rsidRPr="00990D3B" w:rsidR="009D495B">
              <w:rPr>
                <w:color w:val="auto"/>
              </w:rPr>
              <w:t>N</w:t>
            </w:r>
            <w:r w:rsidRPr="00990D3B">
              <w:rPr>
                <w:color w:val="auto"/>
              </w:rPr>
              <w:t>)</w:t>
            </w:r>
          </w:p>
        </w:tc>
        <w:tc>
          <w:tcPr>
            <w:tcW w:w="2208" w:type="dxa"/>
            <w:vAlign w:val="bottom"/>
          </w:tcPr>
          <w:p w:rsidR="009B6AF6" w:rsidRPr="00990D3B" w:rsidP="00E71EFE" w14:paraId="45B2F291" w14:textId="77777777">
            <w:pPr>
              <w:pStyle w:val="EQRTableHeaderCenter"/>
              <w:rPr>
                <w:color w:val="auto"/>
              </w:rPr>
            </w:pPr>
            <w:r w:rsidRPr="00990D3B">
              <w:rPr>
                <w:color w:val="auto"/>
              </w:rPr>
              <w:t>Notes / Comments</w:t>
            </w:r>
          </w:p>
        </w:tc>
      </w:tr>
      <w:tr w14:paraId="60E87D15" w14:textId="77777777" w:rsidTr="006456EA">
        <w:tblPrEx>
          <w:tblW w:w="5000" w:type="pct"/>
          <w:tblLook w:val="04A0"/>
        </w:tblPrEx>
        <w:trPr>
          <w:cantSplit/>
        </w:trPr>
        <w:tc>
          <w:tcPr>
            <w:tcW w:w="985" w:type="dxa"/>
          </w:tcPr>
          <w:p w:rsidR="009B6AF6" w:rsidRPr="00990D3B" w:rsidP="004F2FE0" w14:paraId="7A207EA9" w14:textId="77777777">
            <w:pPr>
              <w:pStyle w:val="EQRTableText"/>
            </w:pPr>
            <w:r w:rsidRPr="00990D3B">
              <w:t>1</w:t>
            </w:r>
          </w:p>
        </w:tc>
        <w:tc>
          <w:tcPr>
            <w:tcW w:w="2525" w:type="dxa"/>
          </w:tcPr>
          <w:p w:rsidR="009B6AF6" w:rsidRPr="00990D3B" w:rsidP="004F2FE0" w14:paraId="4BA810E8" w14:textId="77777777">
            <w:pPr>
              <w:pStyle w:val="EQRTableText"/>
            </w:pPr>
            <w:r w:rsidRPr="00990D3B">
              <w:t> </w:t>
            </w:r>
          </w:p>
        </w:tc>
        <w:tc>
          <w:tcPr>
            <w:tcW w:w="1543" w:type="dxa"/>
          </w:tcPr>
          <w:p w:rsidR="009B6AF6" w:rsidRPr="00990D3B" w:rsidP="004F2FE0" w14:paraId="099D6356" w14:textId="77777777">
            <w:pPr>
              <w:pStyle w:val="EQRTableText"/>
            </w:pPr>
            <w:r w:rsidRPr="00990D3B">
              <w:t> </w:t>
            </w:r>
          </w:p>
        </w:tc>
        <w:tc>
          <w:tcPr>
            <w:tcW w:w="2089" w:type="dxa"/>
          </w:tcPr>
          <w:p w:rsidR="009B6AF6" w:rsidRPr="00990D3B" w:rsidP="004F2FE0" w14:paraId="75F87F8E" w14:textId="77777777">
            <w:pPr>
              <w:pStyle w:val="EQRTableText"/>
            </w:pPr>
            <w:r w:rsidRPr="00990D3B">
              <w:t> </w:t>
            </w:r>
          </w:p>
        </w:tc>
        <w:tc>
          <w:tcPr>
            <w:tcW w:w="2208" w:type="dxa"/>
          </w:tcPr>
          <w:p w:rsidR="009B6AF6" w:rsidRPr="00990D3B" w:rsidP="004F2FE0" w14:paraId="594255F5" w14:textId="77777777">
            <w:pPr>
              <w:pStyle w:val="EQRTableText"/>
            </w:pPr>
            <w:r w:rsidRPr="00990D3B">
              <w:t> </w:t>
            </w:r>
          </w:p>
        </w:tc>
      </w:tr>
      <w:tr w14:paraId="62663D82" w14:textId="77777777" w:rsidTr="006456EA">
        <w:tblPrEx>
          <w:tblW w:w="5000" w:type="pct"/>
          <w:tblLook w:val="04A0"/>
        </w:tblPrEx>
        <w:trPr>
          <w:cantSplit/>
        </w:trPr>
        <w:tc>
          <w:tcPr>
            <w:tcW w:w="985" w:type="dxa"/>
          </w:tcPr>
          <w:p w:rsidR="009B6AF6" w:rsidRPr="00990D3B" w:rsidP="004F2FE0" w14:paraId="521369BE" w14:textId="77777777">
            <w:pPr>
              <w:pStyle w:val="EQRTableText"/>
            </w:pPr>
            <w:r w:rsidRPr="00990D3B">
              <w:t>2</w:t>
            </w:r>
          </w:p>
        </w:tc>
        <w:tc>
          <w:tcPr>
            <w:tcW w:w="2525" w:type="dxa"/>
          </w:tcPr>
          <w:p w:rsidR="009B6AF6" w:rsidRPr="00990D3B" w:rsidP="004F2FE0" w14:paraId="4DCC7311" w14:textId="77777777">
            <w:pPr>
              <w:pStyle w:val="EQRTableText"/>
            </w:pPr>
            <w:r w:rsidRPr="00990D3B">
              <w:t> </w:t>
            </w:r>
          </w:p>
        </w:tc>
        <w:tc>
          <w:tcPr>
            <w:tcW w:w="1543" w:type="dxa"/>
          </w:tcPr>
          <w:p w:rsidR="009B6AF6" w:rsidRPr="00990D3B" w:rsidP="004F2FE0" w14:paraId="3767333C" w14:textId="77777777">
            <w:pPr>
              <w:pStyle w:val="EQRTableText"/>
            </w:pPr>
            <w:r w:rsidRPr="00990D3B">
              <w:t> </w:t>
            </w:r>
          </w:p>
        </w:tc>
        <w:tc>
          <w:tcPr>
            <w:tcW w:w="2089" w:type="dxa"/>
          </w:tcPr>
          <w:p w:rsidR="009B6AF6" w:rsidRPr="00990D3B" w:rsidP="004F2FE0" w14:paraId="0D255965" w14:textId="77777777">
            <w:pPr>
              <w:pStyle w:val="EQRTableText"/>
            </w:pPr>
            <w:r w:rsidRPr="00990D3B">
              <w:t> </w:t>
            </w:r>
          </w:p>
        </w:tc>
        <w:tc>
          <w:tcPr>
            <w:tcW w:w="2208" w:type="dxa"/>
          </w:tcPr>
          <w:p w:rsidR="009B6AF6" w:rsidRPr="00990D3B" w:rsidP="004F2FE0" w14:paraId="6CE32DF0" w14:textId="77777777">
            <w:pPr>
              <w:pStyle w:val="EQRTableText"/>
            </w:pPr>
            <w:r w:rsidRPr="00990D3B">
              <w:t> </w:t>
            </w:r>
          </w:p>
        </w:tc>
      </w:tr>
      <w:tr w14:paraId="0081B64C" w14:textId="77777777" w:rsidTr="006456EA">
        <w:tblPrEx>
          <w:tblW w:w="5000" w:type="pct"/>
          <w:tblLook w:val="04A0"/>
        </w:tblPrEx>
        <w:trPr>
          <w:cantSplit/>
        </w:trPr>
        <w:tc>
          <w:tcPr>
            <w:tcW w:w="985" w:type="dxa"/>
          </w:tcPr>
          <w:p w:rsidR="009B6AF6" w:rsidRPr="00990D3B" w:rsidP="004F2FE0" w14:paraId="07527EAB" w14:textId="77777777">
            <w:pPr>
              <w:pStyle w:val="EQRTableText"/>
            </w:pPr>
            <w:r w:rsidRPr="00990D3B">
              <w:t>3</w:t>
            </w:r>
          </w:p>
        </w:tc>
        <w:tc>
          <w:tcPr>
            <w:tcW w:w="2525" w:type="dxa"/>
          </w:tcPr>
          <w:p w:rsidR="009B6AF6" w:rsidRPr="00990D3B" w:rsidP="004F2FE0" w14:paraId="02D222D1" w14:textId="77777777">
            <w:pPr>
              <w:pStyle w:val="EQRTableText"/>
            </w:pPr>
            <w:r w:rsidRPr="00990D3B">
              <w:t> </w:t>
            </w:r>
          </w:p>
        </w:tc>
        <w:tc>
          <w:tcPr>
            <w:tcW w:w="1543" w:type="dxa"/>
          </w:tcPr>
          <w:p w:rsidR="009B6AF6" w:rsidRPr="00990D3B" w:rsidP="004F2FE0" w14:paraId="528E6459" w14:textId="77777777">
            <w:pPr>
              <w:pStyle w:val="EQRTableText"/>
            </w:pPr>
            <w:r w:rsidRPr="00990D3B">
              <w:t> </w:t>
            </w:r>
          </w:p>
        </w:tc>
        <w:tc>
          <w:tcPr>
            <w:tcW w:w="2089" w:type="dxa"/>
          </w:tcPr>
          <w:p w:rsidR="009B6AF6" w:rsidRPr="00990D3B" w:rsidP="004F2FE0" w14:paraId="3BAC7B8F" w14:textId="77777777">
            <w:pPr>
              <w:pStyle w:val="EQRTableText"/>
            </w:pPr>
            <w:r w:rsidRPr="00990D3B">
              <w:t> </w:t>
            </w:r>
          </w:p>
        </w:tc>
        <w:tc>
          <w:tcPr>
            <w:tcW w:w="2208" w:type="dxa"/>
          </w:tcPr>
          <w:p w:rsidR="009B6AF6" w:rsidRPr="00990D3B" w:rsidP="004F2FE0" w14:paraId="630CE388" w14:textId="77777777">
            <w:pPr>
              <w:pStyle w:val="EQRTableText"/>
            </w:pPr>
            <w:r w:rsidRPr="00990D3B">
              <w:t> </w:t>
            </w:r>
          </w:p>
        </w:tc>
      </w:tr>
      <w:tr w14:paraId="5FEB8B35" w14:textId="77777777" w:rsidTr="006456EA">
        <w:tblPrEx>
          <w:tblW w:w="5000" w:type="pct"/>
          <w:tblLook w:val="04A0"/>
        </w:tblPrEx>
        <w:trPr>
          <w:cantSplit/>
        </w:trPr>
        <w:tc>
          <w:tcPr>
            <w:tcW w:w="985" w:type="dxa"/>
          </w:tcPr>
          <w:p w:rsidR="009B6AF6" w:rsidRPr="00990D3B" w:rsidP="004F2FE0" w14:paraId="1818B374" w14:textId="77777777">
            <w:pPr>
              <w:pStyle w:val="EQRTableText"/>
            </w:pPr>
            <w:r w:rsidRPr="00990D3B">
              <w:t>…</w:t>
            </w:r>
          </w:p>
        </w:tc>
        <w:tc>
          <w:tcPr>
            <w:tcW w:w="2525" w:type="dxa"/>
          </w:tcPr>
          <w:p w:rsidR="009B6AF6" w:rsidRPr="00990D3B" w:rsidP="004F2FE0" w14:paraId="06A9229D" w14:textId="77777777">
            <w:pPr>
              <w:pStyle w:val="EQRTableText"/>
            </w:pPr>
            <w:r w:rsidRPr="00990D3B">
              <w:t> </w:t>
            </w:r>
          </w:p>
        </w:tc>
        <w:tc>
          <w:tcPr>
            <w:tcW w:w="1543" w:type="dxa"/>
          </w:tcPr>
          <w:p w:rsidR="009B6AF6" w:rsidRPr="00990D3B" w:rsidP="004F2FE0" w14:paraId="21A1A0BA" w14:textId="77777777">
            <w:pPr>
              <w:pStyle w:val="EQRTableText"/>
            </w:pPr>
            <w:r w:rsidRPr="00990D3B">
              <w:t> </w:t>
            </w:r>
          </w:p>
        </w:tc>
        <w:tc>
          <w:tcPr>
            <w:tcW w:w="2089" w:type="dxa"/>
          </w:tcPr>
          <w:p w:rsidR="009B6AF6" w:rsidRPr="00990D3B" w:rsidP="004F2FE0" w14:paraId="509FC22E" w14:textId="77777777">
            <w:pPr>
              <w:pStyle w:val="EQRTableText"/>
            </w:pPr>
            <w:r w:rsidRPr="00990D3B">
              <w:t> </w:t>
            </w:r>
          </w:p>
        </w:tc>
        <w:tc>
          <w:tcPr>
            <w:tcW w:w="2208" w:type="dxa"/>
          </w:tcPr>
          <w:p w:rsidR="009B6AF6" w:rsidRPr="00990D3B" w:rsidP="004F2FE0" w14:paraId="1BE94AE9" w14:textId="77777777">
            <w:pPr>
              <w:pStyle w:val="EQRTableText"/>
            </w:pPr>
            <w:r w:rsidRPr="00990D3B">
              <w:t> </w:t>
            </w:r>
          </w:p>
        </w:tc>
      </w:tr>
      <w:tr w14:paraId="4E05D222" w14:textId="77777777" w:rsidTr="006456EA">
        <w:tblPrEx>
          <w:tblW w:w="5000" w:type="pct"/>
          <w:tblLook w:val="04A0"/>
        </w:tblPrEx>
        <w:trPr>
          <w:cantSplit/>
        </w:trPr>
        <w:tc>
          <w:tcPr>
            <w:tcW w:w="985" w:type="dxa"/>
          </w:tcPr>
          <w:p w:rsidR="009B6AF6" w:rsidRPr="00990D3B" w:rsidP="004F2FE0" w14:paraId="6A4863CB" w14:textId="77777777">
            <w:pPr>
              <w:pStyle w:val="EQRTableText"/>
            </w:pPr>
            <w:r w:rsidRPr="00990D3B">
              <w:t>N</w:t>
            </w:r>
          </w:p>
        </w:tc>
        <w:tc>
          <w:tcPr>
            <w:tcW w:w="2525" w:type="dxa"/>
          </w:tcPr>
          <w:p w:rsidR="009B6AF6" w:rsidRPr="00990D3B" w:rsidP="004F2FE0" w14:paraId="76294007" w14:textId="77777777">
            <w:pPr>
              <w:pStyle w:val="EQRTableText"/>
            </w:pPr>
            <w:r w:rsidRPr="00990D3B">
              <w:t> </w:t>
            </w:r>
          </w:p>
        </w:tc>
        <w:tc>
          <w:tcPr>
            <w:tcW w:w="1543" w:type="dxa"/>
          </w:tcPr>
          <w:p w:rsidR="009B6AF6" w:rsidRPr="00990D3B" w:rsidP="004F2FE0" w14:paraId="278A5238" w14:textId="77777777">
            <w:pPr>
              <w:pStyle w:val="EQRTableText"/>
            </w:pPr>
            <w:r w:rsidRPr="00990D3B">
              <w:t> </w:t>
            </w:r>
          </w:p>
        </w:tc>
        <w:tc>
          <w:tcPr>
            <w:tcW w:w="2089" w:type="dxa"/>
          </w:tcPr>
          <w:p w:rsidR="009B6AF6" w:rsidRPr="00990D3B" w:rsidP="004F2FE0" w14:paraId="0080E39F" w14:textId="77777777">
            <w:pPr>
              <w:pStyle w:val="EQRTableText"/>
            </w:pPr>
            <w:r w:rsidRPr="00990D3B">
              <w:t> </w:t>
            </w:r>
          </w:p>
        </w:tc>
        <w:tc>
          <w:tcPr>
            <w:tcW w:w="2208" w:type="dxa"/>
          </w:tcPr>
          <w:p w:rsidR="009B6AF6" w:rsidRPr="00990D3B" w:rsidP="004F2FE0" w14:paraId="6BA903DB" w14:textId="77777777">
            <w:pPr>
              <w:pStyle w:val="EQRTableText"/>
            </w:pPr>
            <w:r w:rsidRPr="00990D3B">
              <w:t> </w:t>
            </w:r>
          </w:p>
        </w:tc>
      </w:tr>
    </w:tbl>
    <w:p w:rsidR="009B6AF6" w:rsidRPr="00990D3B" w:rsidP="00365B1E" w14:paraId="505B452E" w14:textId="77777777">
      <w:pPr>
        <w:pStyle w:val="EQRNormalSSWORKSHEET"/>
      </w:pPr>
      <w:r w:rsidRPr="00990D3B">
        <w:t>Error rate (total records with errors/total records in sample</w:t>
      </w:r>
      <w:r w:rsidRPr="00990D3B">
        <w:t>): _</w:t>
      </w:r>
      <w:r w:rsidRPr="00990D3B">
        <w:t xml:space="preserve">___________ </w:t>
      </w:r>
    </w:p>
    <w:p w:rsidR="009B6AF6" w:rsidRPr="00990D3B" w:rsidP="00365B1E" w14:paraId="5879E5F4" w14:textId="77777777">
      <w:pPr>
        <w:pStyle w:val="EQRNormalSSWORKSHEET"/>
      </w:pPr>
      <w:r w:rsidRPr="00990D3B">
        <w:t>Reviewer summary of findings (including reasons for errors):</w:t>
      </w:r>
    </w:p>
    <w:tbl>
      <w:tblPr>
        <w:tblStyle w:val="TableGrid"/>
        <w:tblW w:w="0" w:type="auto"/>
        <w:tblLook w:val="04A0"/>
      </w:tblPr>
      <w:tblGrid>
        <w:gridCol w:w="9350"/>
      </w:tblGrid>
      <w:tr w14:paraId="232448E4" w14:textId="77777777" w:rsidTr="00ED381A">
        <w:tblPrEx>
          <w:tblW w:w="0" w:type="auto"/>
          <w:tblLook w:val="04A0"/>
        </w:tblPrEx>
        <w:trPr>
          <w:trHeight w:val="1520"/>
        </w:trPr>
        <w:tc>
          <w:tcPr>
            <w:tcW w:w="9350" w:type="dxa"/>
          </w:tcPr>
          <w:p w:rsidR="009B6AF6" w:rsidRPr="00990D3B" w:rsidP="00365B1E" w14:paraId="57779F3A" w14:textId="77777777">
            <w:pPr>
              <w:pStyle w:val="EQRTableText"/>
            </w:pPr>
            <w:r w:rsidRPr="00990D3B">
              <w:t> </w:t>
            </w:r>
          </w:p>
        </w:tc>
      </w:tr>
    </w:tbl>
    <w:p w:rsidR="00B27133" w:rsidRPr="00990D3B" w14:paraId="62AC7807" w14:textId="77777777">
      <w:pPr>
        <w:spacing w:line="240" w:lineRule="auto"/>
        <w:rPr>
          <w:rFonts w:ascii="Arial" w:eastAsia="Calibri" w:hAnsi="Arial"/>
          <w:sz w:val="22"/>
          <w:szCs w:val="23"/>
        </w:rPr>
      </w:pPr>
      <w:bookmarkStart w:id="623" w:name="WSp5n07"/>
      <w:r w:rsidRPr="00990D3B">
        <w:br w:type="page"/>
      </w:r>
    </w:p>
    <w:p w:rsidR="009B6AF6" w:rsidRPr="00990D3B" w:rsidP="00A54412" w14:paraId="0C440725" w14:textId="6CF1E2B5">
      <w:pPr>
        <w:pStyle w:val="EQRMarkforExhibitWORKSHEET"/>
      </w:pPr>
      <w:bookmarkStart w:id="624" w:name="_Toc125619177"/>
      <w:bookmarkStart w:id="625" w:name="_Toc201751540"/>
      <w:r w:rsidRPr="00990D3B">
        <w:t>Worksheet 5.7</w:t>
      </w:r>
      <w:bookmarkEnd w:id="623"/>
      <w:r w:rsidRPr="00990D3B">
        <w:t>. Suggested Format for Reporting Encounter Data Validation Information in the EQR Technical Report</w:t>
      </w:r>
      <w:bookmarkEnd w:id="624"/>
      <w:bookmarkEnd w:id="625"/>
    </w:p>
    <w:p w:rsidR="00B27133" w:rsidRPr="00990D3B" w:rsidP="00B27133" w14:paraId="4E9E813A" w14:textId="77777777">
      <w:pPr>
        <w:pStyle w:val="EQRNormalSSWORKSHEET"/>
      </w:pPr>
      <w:r w:rsidRPr="00990D3B">
        <w:rPr>
          <w:b/>
        </w:rPr>
        <w:t>Instructions</w:t>
      </w:r>
      <w:r w:rsidRPr="00990D3B">
        <w:t xml:space="preserve">. Use </w:t>
      </w:r>
      <w:hyperlink w:anchor="WSp5n07" w:history="1">
        <w:r w:rsidRPr="00990D3B">
          <w:rPr>
            <w:rStyle w:val="Hyperlink"/>
            <w:color w:val="auto"/>
          </w:rPr>
          <w:t>Worksheet 5.7</w:t>
        </w:r>
      </w:hyperlink>
      <w:r w:rsidRPr="00990D3B">
        <w:t xml:space="preserve"> as a framework to report findings from the encounter data validation activities in Protocol 5</w:t>
      </w:r>
      <w:r w:rsidRPr="00990D3B" w:rsidR="009D495B">
        <w:t>. Complete one worksheet per</w:t>
      </w:r>
      <w:r w:rsidRPr="00990D3B">
        <w:t xml:space="preserve"> MCP. </w:t>
      </w:r>
    </w:p>
    <w:p w:rsidR="008430E8" w:rsidRPr="00990D3B" w:rsidP="00B27133" w14:paraId="1F4363A2" w14:textId="55C701D7">
      <w:pPr>
        <w:pStyle w:val="EQRNormalSSWORKSHEET"/>
      </w:pPr>
      <w:r w:rsidRPr="00990D3B">
        <w:rPr>
          <w:szCs w:val="22"/>
        </w:rPr>
        <w:t xml:space="preserve">Acronyms: </w:t>
      </w:r>
      <w:r w:rsidRPr="00990D3B">
        <w:t xml:space="preserve">CHIP= Children’s Health Insurance Program; IPA = Independent Practice Association; LTSS = Long-Term Services and Supports; MCP= Managed Care Plan; MCO = Managed Care Organization; PAHP= Prepaid Ambulatory Health Plan; PIHP = Prepaid Inpatient Health Plan; PCCM = Primary </w:t>
      </w:r>
      <w:r w:rsidRPr="00990D3B" w:rsidR="002046E0">
        <w:t xml:space="preserve">Care </w:t>
      </w:r>
      <w:r w:rsidRPr="00990D3B">
        <w:t>Case Management.</w:t>
      </w:r>
    </w:p>
    <w:tbl>
      <w:tblPr>
        <w:tblStyle w:val="TableGrid"/>
        <w:tblW w:w="5000" w:type="pct"/>
        <w:tblLook w:val="04A0"/>
      </w:tblPr>
      <w:tblGrid>
        <w:gridCol w:w="2515"/>
        <w:gridCol w:w="6835"/>
      </w:tblGrid>
      <w:tr w14:paraId="105B36AD" w14:textId="77777777" w:rsidTr="009D495B">
        <w:tblPrEx>
          <w:tblW w:w="5000" w:type="pct"/>
          <w:tblLook w:val="04A0"/>
        </w:tblPrEx>
        <w:tc>
          <w:tcPr>
            <w:tcW w:w="2515" w:type="dxa"/>
          </w:tcPr>
          <w:p w:rsidR="009B6AF6" w:rsidRPr="00990D3B" w:rsidP="00AC44F2" w14:paraId="39C9AEFB" w14:textId="529FFB98">
            <w:pPr>
              <w:pStyle w:val="EQRTableText"/>
            </w:pPr>
            <w:r w:rsidRPr="00990D3B">
              <w:t xml:space="preserve">MCP </w:t>
            </w:r>
            <w:r w:rsidRPr="00990D3B" w:rsidR="008430E8">
              <w:t>n</w:t>
            </w:r>
            <w:r w:rsidRPr="00990D3B">
              <w:t xml:space="preserve">ame </w:t>
            </w:r>
          </w:p>
        </w:tc>
        <w:tc>
          <w:tcPr>
            <w:tcW w:w="6835" w:type="dxa"/>
          </w:tcPr>
          <w:p w:rsidR="009B6AF6" w:rsidRPr="00990D3B" w:rsidP="00AC44F2" w14:paraId="094AA9A8" w14:textId="77777777">
            <w:pPr>
              <w:pStyle w:val="EQRTableText"/>
            </w:pPr>
            <w:r w:rsidRPr="00990D3B">
              <w:t> </w:t>
            </w:r>
          </w:p>
        </w:tc>
      </w:tr>
      <w:tr w14:paraId="4B631EFE" w14:textId="77777777" w:rsidTr="009D495B">
        <w:tblPrEx>
          <w:tblW w:w="5000" w:type="pct"/>
          <w:tblLook w:val="04A0"/>
        </w:tblPrEx>
        <w:tc>
          <w:tcPr>
            <w:tcW w:w="2515" w:type="dxa"/>
          </w:tcPr>
          <w:p w:rsidR="009B6AF6" w:rsidRPr="00990D3B" w:rsidP="00AC44F2" w14:paraId="164D3782" w14:textId="710C7CF1">
            <w:pPr>
              <w:pStyle w:val="EQRTableText"/>
            </w:pPr>
            <w:r w:rsidRPr="00990D3B">
              <w:t>MCP contact name and title</w:t>
            </w:r>
            <w:r w:rsidRPr="00990D3B" w:rsidR="00AA11BE">
              <w:t>:</w:t>
            </w:r>
          </w:p>
        </w:tc>
        <w:tc>
          <w:tcPr>
            <w:tcW w:w="6835" w:type="dxa"/>
          </w:tcPr>
          <w:p w:rsidR="009B6AF6" w:rsidRPr="00990D3B" w:rsidP="00AC44F2" w14:paraId="2B573398" w14:textId="77777777">
            <w:pPr>
              <w:pStyle w:val="EQRTableText"/>
            </w:pPr>
            <w:r w:rsidRPr="00990D3B">
              <w:t> </w:t>
            </w:r>
          </w:p>
        </w:tc>
      </w:tr>
      <w:tr w14:paraId="6FB3D35B" w14:textId="77777777" w:rsidTr="009D495B">
        <w:tblPrEx>
          <w:tblW w:w="5000" w:type="pct"/>
          <w:tblLook w:val="04A0"/>
        </w:tblPrEx>
        <w:trPr>
          <w:trHeight w:val="179"/>
        </w:trPr>
        <w:tc>
          <w:tcPr>
            <w:tcW w:w="2515" w:type="dxa"/>
          </w:tcPr>
          <w:p w:rsidR="009B6AF6" w:rsidRPr="00990D3B" w:rsidP="00AC44F2" w14:paraId="34A8C8C5" w14:textId="05B8675C">
            <w:pPr>
              <w:pStyle w:val="EQRTableText"/>
            </w:pPr>
            <w:r w:rsidRPr="00990D3B">
              <w:t>Mailing address</w:t>
            </w:r>
            <w:r w:rsidRPr="00990D3B" w:rsidR="00AA11BE">
              <w:t>:</w:t>
            </w:r>
          </w:p>
        </w:tc>
        <w:tc>
          <w:tcPr>
            <w:tcW w:w="6835" w:type="dxa"/>
          </w:tcPr>
          <w:p w:rsidR="009B6AF6" w:rsidRPr="00990D3B" w:rsidP="00AC44F2" w14:paraId="4A2B06E1" w14:textId="77777777">
            <w:pPr>
              <w:pStyle w:val="EQRTableText"/>
            </w:pPr>
            <w:r w:rsidRPr="00990D3B">
              <w:t> </w:t>
            </w:r>
          </w:p>
        </w:tc>
      </w:tr>
      <w:tr w14:paraId="30100EC4" w14:textId="77777777" w:rsidTr="009D495B">
        <w:tblPrEx>
          <w:tblW w:w="5000" w:type="pct"/>
          <w:tblLook w:val="04A0"/>
        </w:tblPrEx>
        <w:tc>
          <w:tcPr>
            <w:tcW w:w="2515" w:type="dxa"/>
          </w:tcPr>
          <w:p w:rsidR="009B6AF6" w:rsidRPr="00990D3B" w:rsidP="00AC44F2" w14:paraId="60C0404B" w14:textId="24293AF4">
            <w:pPr>
              <w:pStyle w:val="EQRTableText"/>
            </w:pPr>
            <w:r w:rsidRPr="00990D3B">
              <w:t>Phone/fax numbers</w:t>
            </w:r>
            <w:r w:rsidRPr="00990D3B" w:rsidR="00AA11BE">
              <w:t>:</w:t>
            </w:r>
          </w:p>
        </w:tc>
        <w:tc>
          <w:tcPr>
            <w:tcW w:w="6835" w:type="dxa"/>
          </w:tcPr>
          <w:p w:rsidR="009B6AF6" w:rsidRPr="00990D3B" w:rsidP="00AC44F2" w14:paraId="4A6F6F5D" w14:textId="77777777">
            <w:pPr>
              <w:pStyle w:val="EQRTableText"/>
            </w:pPr>
            <w:r w:rsidRPr="00990D3B">
              <w:t> </w:t>
            </w:r>
          </w:p>
        </w:tc>
      </w:tr>
      <w:tr w14:paraId="1294D537" w14:textId="77777777" w:rsidTr="009D495B">
        <w:tblPrEx>
          <w:tblW w:w="5000" w:type="pct"/>
          <w:tblLook w:val="04A0"/>
        </w:tblPrEx>
        <w:tc>
          <w:tcPr>
            <w:tcW w:w="2515" w:type="dxa"/>
          </w:tcPr>
          <w:p w:rsidR="009B6AF6" w:rsidRPr="00990D3B" w:rsidP="00AC44F2" w14:paraId="73132FB8" w14:textId="0E52881F">
            <w:pPr>
              <w:pStyle w:val="EQRTableText"/>
            </w:pPr>
            <w:r w:rsidRPr="00990D3B">
              <w:t>Email address</w:t>
            </w:r>
            <w:r w:rsidRPr="00990D3B" w:rsidR="00AA11BE">
              <w:t>:</w:t>
            </w:r>
          </w:p>
        </w:tc>
        <w:tc>
          <w:tcPr>
            <w:tcW w:w="6835" w:type="dxa"/>
          </w:tcPr>
          <w:p w:rsidR="009B6AF6" w:rsidRPr="00990D3B" w:rsidP="00AC44F2" w14:paraId="421AA0BA" w14:textId="77777777">
            <w:pPr>
              <w:pStyle w:val="EQRTableText"/>
            </w:pPr>
            <w:r w:rsidRPr="00990D3B">
              <w:t> </w:t>
            </w:r>
          </w:p>
        </w:tc>
      </w:tr>
      <w:tr w14:paraId="61C8F75F" w14:textId="77777777" w:rsidTr="009D495B">
        <w:tblPrEx>
          <w:tblW w:w="5000" w:type="pct"/>
          <w:tblLook w:val="04A0"/>
        </w:tblPrEx>
        <w:tc>
          <w:tcPr>
            <w:tcW w:w="2515" w:type="dxa"/>
          </w:tcPr>
          <w:p w:rsidR="009B6AF6" w:rsidRPr="00990D3B" w:rsidP="00AC44F2" w14:paraId="72C46A0E" w14:textId="0D433F84">
            <w:pPr>
              <w:pStyle w:val="EQRTableText"/>
            </w:pPr>
            <w:r w:rsidRPr="00990D3B">
              <w:t>EQRO interview date</w:t>
            </w:r>
            <w:r w:rsidRPr="00990D3B" w:rsidR="00AA11BE">
              <w:t>:</w:t>
            </w:r>
          </w:p>
        </w:tc>
        <w:tc>
          <w:tcPr>
            <w:tcW w:w="6835" w:type="dxa"/>
          </w:tcPr>
          <w:p w:rsidR="009B6AF6" w:rsidRPr="00990D3B" w:rsidP="00AC44F2" w14:paraId="74259B6F" w14:textId="77777777">
            <w:pPr>
              <w:pStyle w:val="EQRTableText"/>
            </w:pPr>
            <w:r w:rsidRPr="00990D3B">
              <w:t> </w:t>
            </w:r>
          </w:p>
        </w:tc>
      </w:tr>
      <w:tr w14:paraId="119744F2" w14:textId="77777777" w:rsidTr="009D495B">
        <w:tblPrEx>
          <w:tblW w:w="5000" w:type="pct"/>
          <w:tblLook w:val="04A0"/>
        </w:tblPrEx>
        <w:tc>
          <w:tcPr>
            <w:tcW w:w="2515" w:type="dxa"/>
          </w:tcPr>
          <w:p w:rsidR="009B6AF6" w:rsidRPr="00990D3B" w:rsidP="00AC44F2" w14:paraId="75C6CFB3" w14:textId="364A469D">
            <w:pPr>
              <w:pStyle w:val="EQRTableText"/>
            </w:pPr>
            <w:r w:rsidRPr="00990D3B">
              <w:t>Type of delivery system (check all that apply)</w:t>
            </w:r>
            <w:r w:rsidRPr="00990D3B" w:rsidR="00AA11BE">
              <w:t>:</w:t>
            </w:r>
          </w:p>
        </w:tc>
        <w:tc>
          <w:tcPr>
            <w:tcW w:w="6835" w:type="dxa"/>
          </w:tcPr>
          <w:p w:rsidR="009B6AF6" w:rsidRPr="00990D3B" w:rsidP="00AC44F2" w14:paraId="671AFE36" w14:textId="77777777">
            <w:pPr>
              <w:pStyle w:val="EQRTableText"/>
            </w:pPr>
            <w:r w:rsidRPr="00990D3B">
              <w:t xml:space="preserve">□ Staff model </w:t>
            </w:r>
            <w:r w:rsidRPr="00990D3B">
              <w:t>□  Network</w:t>
            </w:r>
            <w:r w:rsidRPr="00990D3B">
              <w:t xml:space="preserve">  </w:t>
            </w:r>
            <w:r w:rsidRPr="00990D3B">
              <w:t>□  IPA</w:t>
            </w:r>
            <w:r w:rsidRPr="00990D3B">
              <w:t xml:space="preserve"> </w:t>
            </w:r>
          </w:p>
        </w:tc>
      </w:tr>
      <w:tr w14:paraId="1E52F696" w14:textId="77777777" w:rsidTr="009D495B">
        <w:tblPrEx>
          <w:tblW w:w="5000" w:type="pct"/>
          <w:tblLook w:val="04A0"/>
        </w:tblPrEx>
        <w:tc>
          <w:tcPr>
            <w:tcW w:w="2515" w:type="dxa"/>
          </w:tcPr>
          <w:p w:rsidR="009B6AF6" w:rsidRPr="00990D3B" w:rsidP="00AC44F2" w14:paraId="733CBDE5" w14:textId="00A0AA68">
            <w:pPr>
              <w:pStyle w:val="EQRTableText"/>
            </w:pPr>
            <w:r w:rsidRPr="00990D3B">
              <w:t>Plan type</w:t>
            </w:r>
            <w:r w:rsidRPr="00990D3B" w:rsidR="00AA11BE">
              <w:t>:</w:t>
            </w:r>
          </w:p>
        </w:tc>
        <w:tc>
          <w:tcPr>
            <w:tcW w:w="6835" w:type="dxa"/>
          </w:tcPr>
          <w:p w:rsidR="009B6AF6" w:rsidRPr="00990D3B" w:rsidP="00AC44F2" w14:paraId="7C4DED0E" w14:textId="343519D0">
            <w:pPr>
              <w:pStyle w:val="EQRTableText"/>
            </w:pPr>
            <w:r w:rsidRPr="00990D3B">
              <w:t>□  MCO</w:t>
            </w:r>
            <w:r w:rsidRPr="00990D3B">
              <w:t xml:space="preserve"> </w:t>
            </w:r>
            <w:r w:rsidRPr="00990D3B">
              <w:t>□  PIHP</w:t>
            </w:r>
            <w:r w:rsidRPr="00990D3B">
              <w:t xml:space="preserve"> </w:t>
            </w:r>
            <w:r w:rsidRPr="00990D3B">
              <w:t>□  PAHP</w:t>
            </w:r>
            <w:r w:rsidRPr="00990D3B">
              <w:t xml:space="preserve"> </w:t>
            </w:r>
            <w:r w:rsidRPr="00990D3B">
              <w:t>□  PCCM</w:t>
            </w:r>
            <w:r w:rsidRPr="00990D3B">
              <w:t xml:space="preserve"> </w:t>
            </w:r>
            <w:r w:rsidRPr="00990D3B">
              <w:t>□  LTSS</w:t>
            </w:r>
          </w:p>
          <w:p w:rsidR="009B6AF6" w:rsidRPr="00990D3B" w:rsidP="00AC44F2" w14:paraId="548C1D75" w14:textId="77777777">
            <w:pPr>
              <w:pStyle w:val="EQRTableText"/>
            </w:pPr>
            <w:r w:rsidRPr="00990D3B">
              <w:t>□  Other</w:t>
            </w:r>
            <w:r w:rsidRPr="00990D3B">
              <w:t>: specify ___________________________________</w:t>
            </w:r>
          </w:p>
        </w:tc>
      </w:tr>
      <w:tr w14:paraId="3DE792CF" w14:textId="77777777" w:rsidTr="009D495B">
        <w:tblPrEx>
          <w:tblW w:w="5000" w:type="pct"/>
          <w:tblLook w:val="04A0"/>
        </w:tblPrEx>
        <w:tc>
          <w:tcPr>
            <w:tcW w:w="2515" w:type="dxa"/>
          </w:tcPr>
          <w:p w:rsidR="009B6AF6" w:rsidRPr="00990D3B" w:rsidP="00AC44F2" w14:paraId="6FCA8D3D" w14:textId="5A83B8EB">
            <w:pPr>
              <w:pStyle w:val="EQRTableText"/>
            </w:pPr>
            <w:r w:rsidRPr="00990D3B">
              <w:t>Programs (please check)</w:t>
            </w:r>
            <w:r w:rsidRPr="00990D3B" w:rsidR="00AA11BE">
              <w:t>:</w:t>
            </w:r>
          </w:p>
        </w:tc>
        <w:tc>
          <w:tcPr>
            <w:tcW w:w="6835" w:type="dxa"/>
          </w:tcPr>
          <w:p w:rsidR="009B6AF6" w:rsidRPr="00990D3B" w:rsidP="00AC44F2" w14:paraId="48995891" w14:textId="77777777">
            <w:pPr>
              <w:pStyle w:val="EQRTableText"/>
            </w:pPr>
            <w:r w:rsidRPr="00990D3B">
              <w:t>□ Medicaid (Title XIX only) □ CHIP (Title XXI only) □ Medicaid and CHIP</w:t>
            </w:r>
          </w:p>
        </w:tc>
      </w:tr>
    </w:tbl>
    <w:p w:rsidR="009B6AF6" w:rsidRPr="00990D3B" w:rsidP="00E71EFE" w14:paraId="7CF61354" w14:textId="77777777">
      <w:pPr>
        <w:pStyle w:val="NoSpacing"/>
      </w:pPr>
    </w:p>
    <w:tbl>
      <w:tblPr>
        <w:tblStyle w:val="TableGrid"/>
        <w:tblW w:w="0" w:type="auto"/>
        <w:tblLook w:val="04A0"/>
      </w:tblPr>
      <w:tblGrid>
        <w:gridCol w:w="1946"/>
        <w:gridCol w:w="1928"/>
        <w:gridCol w:w="1915"/>
        <w:gridCol w:w="1915"/>
        <w:gridCol w:w="1646"/>
      </w:tblGrid>
      <w:tr w14:paraId="2A28D62B" w14:textId="77777777" w:rsidTr="0049502B">
        <w:tblPrEx>
          <w:tblW w:w="0" w:type="auto"/>
          <w:tblLook w:val="04A0"/>
        </w:tblPrEx>
        <w:trPr>
          <w:tblHeader/>
        </w:trPr>
        <w:tc>
          <w:tcPr>
            <w:tcW w:w="1946" w:type="dxa"/>
            <w:vAlign w:val="bottom"/>
          </w:tcPr>
          <w:p w:rsidR="009B6AF6" w:rsidRPr="00990D3B" w:rsidP="002F136D" w14:paraId="3330AD68" w14:textId="108B8FA2">
            <w:pPr>
              <w:pStyle w:val="EQRTableHeaderLeft"/>
              <w:rPr>
                <w:color w:val="auto"/>
              </w:rPr>
            </w:pPr>
            <w:r w:rsidRPr="00990D3B">
              <w:rPr>
                <w:color w:val="auto"/>
              </w:rPr>
              <w:t xml:space="preserve">Encounter </w:t>
            </w:r>
            <w:r w:rsidRPr="00990D3B" w:rsidR="009D495B">
              <w:rPr>
                <w:color w:val="auto"/>
              </w:rPr>
              <w:t>ty</w:t>
            </w:r>
            <w:r w:rsidRPr="00990D3B">
              <w:rPr>
                <w:color w:val="auto"/>
              </w:rPr>
              <w:t>pe</w:t>
            </w:r>
          </w:p>
        </w:tc>
        <w:tc>
          <w:tcPr>
            <w:tcW w:w="1928" w:type="dxa"/>
            <w:vAlign w:val="bottom"/>
          </w:tcPr>
          <w:p w:rsidR="009B6AF6" w:rsidRPr="00990D3B" w:rsidP="00AE3C43" w14:paraId="6D79391C" w14:textId="53A9D7F3">
            <w:pPr>
              <w:pStyle w:val="EQRTableHeaderCenter"/>
              <w:rPr>
                <w:color w:val="auto"/>
              </w:rPr>
            </w:pPr>
            <w:r w:rsidRPr="00990D3B">
              <w:rPr>
                <w:color w:val="auto"/>
              </w:rPr>
              <w:t xml:space="preserve">Records </w:t>
            </w:r>
            <w:r w:rsidRPr="00990D3B" w:rsidR="009D495B">
              <w:rPr>
                <w:color w:val="auto"/>
              </w:rPr>
              <w:t>r</w:t>
            </w:r>
            <w:r w:rsidRPr="00990D3B">
              <w:rPr>
                <w:color w:val="auto"/>
              </w:rPr>
              <w:t xml:space="preserve">eceived and </w:t>
            </w:r>
            <w:r w:rsidRPr="00990D3B" w:rsidR="009D495B">
              <w:rPr>
                <w:color w:val="auto"/>
              </w:rPr>
              <w:t>r</w:t>
            </w:r>
            <w:r w:rsidRPr="00990D3B">
              <w:rPr>
                <w:color w:val="auto"/>
              </w:rPr>
              <w:t>eviewed</w:t>
            </w:r>
          </w:p>
        </w:tc>
        <w:tc>
          <w:tcPr>
            <w:tcW w:w="1915" w:type="dxa"/>
            <w:vAlign w:val="bottom"/>
          </w:tcPr>
          <w:p w:rsidR="009B6AF6" w:rsidRPr="00990D3B" w:rsidP="00AE3C43" w14:paraId="5E90C834" w14:textId="3D3EC5DA">
            <w:pPr>
              <w:pStyle w:val="EQRTableHeaderCenter"/>
              <w:rPr>
                <w:color w:val="auto"/>
              </w:rPr>
            </w:pPr>
            <w:r w:rsidRPr="00990D3B">
              <w:rPr>
                <w:color w:val="auto"/>
              </w:rPr>
              <w:t xml:space="preserve">Total </w:t>
            </w:r>
            <w:r w:rsidRPr="00990D3B" w:rsidR="009D495B">
              <w:rPr>
                <w:color w:val="auto"/>
              </w:rPr>
              <w:t>e</w:t>
            </w:r>
            <w:r w:rsidRPr="00990D3B">
              <w:rPr>
                <w:color w:val="auto"/>
              </w:rPr>
              <w:t xml:space="preserve">lements </w:t>
            </w:r>
            <w:r w:rsidRPr="00990D3B" w:rsidR="009D495B">
              <w:rPr>
                <w:color w:val="auto"/>
              </w:rPr>
              <w:t>p</w:t>
            </w:r>
            <w:r w:rsidRPr="00990D3B">
              <w:rPr>
                <w:color w:val="auto"/>
              </w:rPr>
              <w:t>ossible</w:t>
            </w:r>
          </w:p>
        </w:tc>
        <w:tc>
          <w:tcPr>
            <w:tcW w:w="1915" w:type="dxa"/>
            <w:vAlign w:val="bottom"/>
          </w:tcPr>
          <w:p w:rsidR="009B6AF6" w:rsidRPr="00990D3B" w:rsidP="00AE3C43" w14:paraId="735D556B" w14:textId="454DC616">
            <w:pPr>
              <w:pStyle w:val="EQRTableHeaderCenter"/>
              <w:rPr>
                <w:color w:val="auto"/>
              </w:rPr>
            </w:pPr>
            <w:r w:rsidRPr="00990D3B">
              <w:rPr>
                <w:color w:val="auto"/>
              </w:rPr>
              <w:t xml:space="preserve">Total </w:t>
            </w:r>
            <w:r w:rsidRPr="00990D3B" w:rsidR="009D495B">
              <w:rPr>
                <w:color w:val="auto"/>
              </w:rPr>
              <w:t>m</w:t>
            </w:r>
            <w:r w:rsidRPr="00990D3B">
              <w:rPr>
                <w:color w:val="auto"/>
              </w:rPr>
              <w:t xml:space="preserve">atched </w:t>
            </w:r>
            <w:r w:rsidRPr="00990D3B" w:rsidR="009D495B">
              <w:rPr>
                <w:color w:val="auto"/>
              </w:rPr>
              <w:t>e</w:t>
            </w:r>
            <w:r w:rsidRPr="00990D3B">
              <w:rPr>
                <w:color w:val="auto"/>
              </w:rPr>
              <w:t>lements</w:t>
            </w:r>
          </w:p>
        </w:tc>
        <w:tc>
          <w:tcPr>
            <w:tcW w:w="1646" w:type="dxa"/>
            <w:vAlign w:val="bottom"/>
          </w:tcPr>
          <w:p w:rsidR="009B6AF6" w:rsidRPr="00990D3B" w:rsidP="00AE3C43" w14:paraId="5EA2E49A" w14:textId="59E96A7E">
            <w:pPr>
              <w:pStyle w:val="EQRTableHeaderCenter"/>
              <w:rPr>
                <w:color w:val="auto"/>
              </w:rPr>
            </w:pPr>
            <w:r w:rsidRPr="00990D3B">
              <w:rPr>
                <w:color w:val="auto"/>
              </w:rPr>
              <w:t xml:space="preserve">Percentage of </w:t>
            </w:r>
            <w:r w:rsidRPr="00990D3B" w:rsidR="009D495B">
              <w:rPr>
                <w:color w:val="auto"/>
              </w:rPr>
              <w:t>m</w:t>
            </w:r>
            <w:r w:rsidRPr="00990D3B">
              <w:rPr>
                <w:color w:val="auto"/>
              </w:rPr>
              <w:t xml:space="preserve">atched </w:t>
            </w:r>
            <w:r w:rsidRPr="00990D3B" w:rsidR="009D495B">
              <w:rPr>
                <w:color w:val="auto"/>
              </w:rPr>
              <w:t>e</w:t>
            </w:r>
            <w:r w:rsidRPr="00990D3B">
              <w:rPr>
                <w:color w:val="auto"/>
              </w:rPr>
              <w:t>lements</w:t>
            </w:r>
          </w:p>
        </w:tc>
      </w:tr>
      <w:tr w14:paraId="0A06BF2B" w14:textId="77777777" w:rsidTr="00AC44F2">
        <w:tblPrEx>
          <w:tblW w:w="0" w:type="auto"/>
          <w:tblLook w:val="04A0"/>
        </w:tblPrEx>
        <w:tc>
          <w:tcPr>
            <w:tcW w:w="1946" w:type="dxa"/>
          </w:tcPr>
          <w:p w:rsidR="009B6AF6" w:rsidRPr="00990D3B" w:rsidP="00A86FB3" w14:paraId="7BACEA83" w14:textId="77777777">
            <w:pPr>
              <w:spacing w:before="60" w:after="60"/>
              <w:rPr>
                <w:rFonts w:ascii="Arial" w:hAnsi="Arial" w:cs="Arial"/>
                <w:sz w:val="18"/>
                <w:szCs w:val="18"/>
              </w:rPr>
            </w:pPr>
            <w:r w:rsidRPr="00990D3B">
              <w:rPr>
                <w:rFonts w:ascii="Arial" w:hAnsi="Arial" w:cs="Arial"/>
                <w:sz w:val="18"/>
                <w:szCs w:val="18"/>
              </w:rPr>
              <w:t>Inpatient</w:t>
            </w:r>
          </w:p>
        </w:tc>
        <w:tc>
          <w:tcPr>
            <w:tcW w:w="1928" w:type="dxa"/>
          </w:tcPr>
          <w:p w:rsidR="009B6AF6" w:rsidRPr="00990D3B" w:rsidP="00A86FB3" w14:paraId="33AD9AF4"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B6AF6" w:rsidRPr="00990D3B" w:rsidP="00A86FB3" w14:paraId="261E43C1"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B6AF6" w:rsidRPr="00990D3B" w:rsidP="00A86FB3" w14:paraId="721A1708" w14:textId="77777777">
            <w:pPr>
              <w:spacing w:before="60" w:after="60"/>
              <w:rPr>
                <w:rFonts w:ascii="Arial" w:hAnsi="Arial" w:cs="Arial"/>
                <w:sz w:val="18"/>
                <w:szCs w:val="18"/>
              </w:rPr>
            </w:pPr>
            <w:r w:rsidRPr="00990D3B">
              <w:rPr>
                <w:rFonts w:ascii="Arial" w:hAnsi="Arial" w:cs="Arial"/>
                <w:sz w:val="18"/>
                <w:szCs w:val="18"/>
              </w:rPr>
              <w:t> </w:t>
            </w:r>
          </w:p>
        </w:tc>
        <w:tc>
          <w:tcPr>
            <w:tcW w:w="1646" w:type="dxa"/>
          </w:tcPr>
          <w:p w:rsidR="009B6AF6" w:rsidRPr="00990D3B" w:rsidP="00A86FB3" w14:paraId="6DF27887" w14:textId="77777777">
            <w:pPr>
              <w:spacing w:before="60" w:after="60"/>
              <w:rPr>
                <w:rFonts w:ascii="Arial" w:hAnsi="Arial" w:cs="Arial"/>
                <w:sz w:val="18"/>
                <w:szCs w:val="18"/>
              </w:rPr>
            </w:pPr>
            <w:r w:rsidRPr="00990D3B">
              <w:rPr>
                <w:rFonts w:ascii="Arial" w:hAnsi="Arial" w:cs="Arial"/>
                <w:sz w:val="18"/>
                <w:szCs w:val="18"/>
              </w:rPr>
              <w:t> </w:t>
            </w:r>
          </w:p>
        </w:tc>
      </w:tr>
      <w:tr w14:paraId="1488F2EA" w14:textId="77777777" w:rsidTr="00AC44F2">
        <w:tblPrEx>
          <w:tblW w:w="0" w:type="auto"/>
          <w:tblLook w:val="04A0"/>
        </w:tblPrEx>
        <w:tc>
          <w:tcPr>
            <w:tcW w:w="1946" w:type="dxa"/>
          </w:tcPr>
          <w:p w:rsidR="009B6AF6" w:rsidRPr="00990D3B" w:rsidP="00A86FB3" w14:paraId="3FE08C4B" w14:textId="77777777">
            <w:pPr>
              <w:spacing w:before="60" w:after="60"/>
              <w:rPr>
                <w:rFonts w:ascii="Arial" w:hAnsi="Arial" w:cs="Arial"/>
                <w:sz w:val="18"/>
                <w:szCs w:val="18"/>
              </w:rPr>
            </w:pPr>
            <w:r w:rsidRPr="00990D3B">
              <w:rPr>
                <w:rFonts w:ascii="Arial" w:hAnsi="Arial" w:cs="Arial"/>
                <w:sz w:val="18"/>
                <w:szCs w:val="18"/>
              </w:rPr>
              <w:t>Outpatient</w:t>
            </w:r>
          </w:p>
        </w:tc>
        <w:tc>
          <w:tcPr>
            <w:tcW w:w="1928" w:type="dxa"/>
          </w:tcPr>
          <w:p w:rsidR="009B6AF6" w:rsidRPr="00990D3B" w:rsidP="00A86FB3" w14:paraId="2472F183"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B6AF6" w:rsidRPr="00990D3B" w:rsidP="00A86FB3" w14:paraId="68A80761"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B6AF6" w:rsidRPr="00990D3B" w:rsidP="00A86FB3" w14:paraId="112FF772" w14:textId="77777777">
            <w:pPr>
              <w:spacing w:before="60" w:after="60"/>
              <w:rPr>
                <w:rFonts w:ascii="Arial" w:hAnsi="Arial" w:cs="Arial"/>
                <w:sz w:val="18"/>
                <w:szCs w:val="18"/>
              </w:rPr>
            </w:pPr>
            <w:r w:rsidRPr="00990D3B">
              <w:rPr>
                <w:rFonts w:ascii="Arial" w:hAnsi="Arial" w:cs="Arial"/>
                <w:sz w:val="18"/>
                <w:szCs w:val="18"/>
              </w:rPr>
              <w:t> </w:t>
            </w:r>
          </w:p>
        </w:tc>
        <w:tc>
          <w:tcPr>
            <w:tcW w:w="1646" w:type="dxa"/>
          </w:tcPr>
          <w:p w:rsidR="009B6AF6" w:rsidRPr="00990D3B" w:rsidP="00A86FB3" w14:paraId="783496C5" w14:textId="77777777">
            <w:pPr>
              <w:spacing w:before="60" w:after="60"/>
              <w:rPr>
                <w:rFonts w:ascii="Arial" w:hAnsi="Arial" w:cs="Arial"/>
                <w:sz w:val="18"/>
                <w:szCs w:val="18"/>
              </w:rPr>
            </w:pPr>
            <w:r w:rsidRPr="00990D3B">
              <w:rPr>
                <w:rFonts w:ascii="Arial" w:hAnsi="Arial" w:cs="Arial"/>
                <w:sz w:val="18"/>
                <w:szCs w:val="18"/>
              </w:rPr>
              <w:t> </w:t>
            </w:r>
          </w:p>
        </w:tc>
      </w:tr>
      <w:tr w14:paraId="552D198B" w14:textId="77777777" w:rsidTr="00AC44F2">
        <w:tblPrEx>
          <w:tblW w:w="0" w:type="auto"/>
          <w:tblLook w:val="04A0"/>
        </w:tblPrEx>
        <w:tc>
          <w:tcPr>
            <w:tcW w:w="1946" w:type="dxa"/>
          </w:tcPr>
          <w:p w:rsidR="009B6AF6" w:rsidRPr="00990D3B" w:rsidP="00A86FB3" w14:paraId="64DBAB7C" w14:textId="77777777">
            <w:pPr>
              <w:spacing w:before="60" w:after="60"/>
              <w:rPr>
                <w:rFonts w:ascii="Arial" w:hAnsi="Arial" w:cs="Arial"/>
                <w:sz w:val="18"/>
                <w:szCs w:val="18"/>
              </w:rPr>
            </w:pPr>
            <w:r w:rsidRPr="00990D3B">
              <w:rPr>
                <w:rFonts w:ascii="Arial" w:hAnsi="Arial" w:cs="Arial"/>
                <w:sz w:val="18"/>
                <w:szCs w:val="18"/>
              </w:rPr>
              <w:t>Office visit</w:t>
            </w:r>
          </w:p>
        </w:tc>
        <w:tc>
          <w:tcPr>
            <w:tcW w:w="1928" w:type="dxa"/>
          </w:tcPr>
          <w:p w:rsidR="009B6AF6" w:rsidRPr="00990D3B" w:rsidP="00A86FB3" w14:paraId="5A4EA1E4"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B6AF6" w:rsidRPr="00990D3B" w:rsidP="00A86FB3" w14:paraId="15A58C9C"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B6AF6" w:rsidRPr="00990D3B" w:rsidP="00A86FB3" w14:paraId="0B0FFBEA" w14:textId="77777777">
            <w:pPr>
              <w:spacing w:before="60" w:after="60"/>
              <w:rPr>
                <w:rFonts w:ascii="Arial" w:hAnsi="Arial" w:cs="Arial"/>
                <w:sz w:val="18"/>
                <w:szCs w:val="18"/>
              </w:rPr>
            </w:pPr>
            <w:r w:rsidRPr="00990D3B">
              <w:rPr>
                <w:rFonts w:ascii="Arial" w:hAnsi="Arial" w:cs="Arial"/>
                <w:sz w:val="18"/>
                <w:szCs w:val="18"/>
              </w:rPr>
              <w:t> </w:t>
            </w:r>
          </w:p>
        </w:tc>
        <w:tc>
          <w:tcPr>
            <w:tcW w:w="1646" w:type="dxa"/>
          </w:tcPr>
          <w:p w:rsidR="009B6AF6" w:rsidRPr="00990D3B" w:rsidP="00A86FB3" w14:paraId="7F3FFF2B" w14:textId="77777777">
            <w:pPr>
              <w:spacing w:before="60" w:after="60"/>
              <w:rPr>
                <w:rFonts w:ascii="Arial" w:hAnsi="Arial" w:cs="Arial"/>
                <w:sz w:val="18"/>
                <w:szCs w:val="18"/>
              </w:rPr>
            </w:pPr>
            <w:r w:rsidRPr="00990D3B">
              <w:rPr>
                <w:rFonts w:ascii="Arial" w:hAnsi="Arial" w:cs="Arial"/>
                <w:sz w:val="18"/>
                <w:szCs w:val="18"/>
              </w:rPr>
              <w:t> </w:t>
            </w:r>
          </w:p>
        </w:tc>
      </w:tr>
      <w:tr w14:paraId="6EAC5064" w14:textId="77777777" w:rsidTr="00AC44F2">
        <w:tblPrEx>
          <w:tblW w:w="0" w:type="auto"/>
          <w:tblLook w:val="04A0"/>
        </w:tblPrEx>
        <w:tc>
          <w:tcPr>
            <w:tcW w:w="1946" w:type="dxa"/>
          </w:tcPr>
          <w:p w:rsidR="009B6AF6" w:rsidRPr="00990D3B" w:rsidP="00A86FB3" w14:paraId="3E39CC54" w14:textId="77777777">
            <w:pPr>
              <w:spacing w:before="60" w:after="60"/>
              <w:rPr>
                <w:rFonts w:ascii="Arial" w:hAnsi="Arial" w:cs="Arial"/>
                <w:sz w:val="18"/>
                <w:szCs w:val="18"/>
              </w:rPr>
            </w:pPr>
            <w:r w:rsidRPr="00990D3B">
              <w:rPr>
                <w:rFonts w:ascii="Arial" w:hAnsi="Arial" w:cs="Arial"/>
                <w:sz w:val="18"/>
                <w:szCs w:val="18"/>
              </w:rPr>
              <w:t>Total</w:t>
            </w:r>
          </w:p>
        </w:tc>
        <w:tc>
          <w:tcPr>
            <w:tcW w:w="1928" w:type="dxa"/>
          </w:tcPr>
          <w:p w:rsidR="009B6AF6" w:rsidRPr="00990D3B" w:rsidP="00A86FB3" w14:paraId="4A607C65"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B6AF6" w:rsidRPr="00990D3B" w:rsidP="00A86FB3" w14:paraId="72910C46"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B6AF6" w:rsidRPr="00990D3B" w:rsidP="00A86FB3" w14:paraId="4190D49D" w14:textId="77777777">
            <w:pPr>
              <w:spacing w:before="60" w:after="60"/>
              <w:rPr>
                <w:rFonts w:ascii="Arial" w:hAnsi="Arial" w:cs="Arial"/>
                <w:sz w:val="18"/>
                <w:szCs w:val="18"/>
              </w:rPr>
            </w:pPr>
            <w:r w:rsidRPr="00990D3B">
              <w:rPr>
                <w:rFonts w:ascii="Arial" w:hAnsi="Arial" w:cs="Arial"/>
                <w:sz w:val="18"/>
                <w:szCs w:val="18"/>
              </w:rPr>
              <w:t> </w:t>
            </w:r>
          </w:p>
        </w:tc>
        <w:tc>
          <w:tcPr>
            <w:tcW w:w="1646" w:type="dxa"/>
          </w:tcPr>
          <w:p w:rsidR="009B6AF6" w:rsidRPr="00990D3B" w:rsidP="00A86FB3" w14:paraId="6C395630" w14:textId="77777777">
            <w:pPr>
              <w:spacing w:before="60" w:after="60"/>
              <w:rPr>
                <w:rFonts w:ascii="Arial" w:hAnsi="Arial" w:cs="Arial"/>
                <w:sz w:val="18"/>
                <w:szCs w:val="18"/>
              </w:rPr>
            </w:pPr>
            <w:r w:rsidRPr="00990D3B">
              <w:rPr>
                <w:rFonts w:ascii="Arial" w:hAnsi="Arial" w:cs="Arial"/>
                <w:sz w:val="18"/>
                <w:szCs w:val="18"/>
              </w:rPr>
              <w:t> </w:t>
            </w:r>
          </w:p>
        </w:tc>
      </w:tr>
    </w:tbl>
    <w:p w:rsidR="009B6AF6" w:rsidRPr="00990D3B" w:rsidP="00E71EFE" w14:paraId="63950E54" w14:textId="77777777">
      <w:pPr>
        <w:pStyle w:val="NoSpacing"/>
      </w:pPr>
    </w:p>
    <w:tbl>
      <w:tblPr>
        <w:tblStyle w:val="TableGrid"/>
        <w:tblW w:w="0" w:type="auto"/>
        <w:tblLook w:val="04A0"/>
      </w:tblPr>
      <w:tblGrid>
        <w:gridCol w:w="1946"/>
        <w:gridCol w:w="1928"/>
        <w:gridCol w:w="1915"/>
        <w:gridCol w:w="1915"/>
        <w:gridCol w:w="1646"/>
      </w:tblGrid>
      <w:tr w14:paraId="149522E0" w14:textId="77777777" w:rsidTr="0049502B">
        <w:tblPrEx>
          <w:tblW w:w="0" w:type="auto"/>
          <w:tblLook w:val="04A0"/>
        </w:tblPrEx>
        <w:trPr>
          <w:tblHeader/>
        </w:trPr>
        <w:tc>
          <w:tcPr>
            <w:tcW w:w="1946" w:type="dxa"/>
            <w:vAlign w:val="bottom"/>
          </w:tcPr>
          <w:p w:rsidR="009B6AF6" w:rsidRPr="00990D3B" w:rsidP="00B42A3C" w14:paraId="683098E6" w14:textId="65808F66">
            <w:pPr>
              <w:pStyle w:val="EQRTableHeaderLeft"/>
              <w:rPr>
                <w:color w:val="000000" w:themeColor="text1"/>
              </w:rPr>
            </w:pPr>
            <w:r w:rsidRPr="00990D3B">
              <w:rPr>
                <w:color w:val="000000" w:themeColor="text1"/>
              </w:rPr>
              <w:t xml:space="preserve">Inpatient </w:t>
            </w:r>
            <w:r w:rsidRPr="00990D3B" w:rsidR="009D495B">
              <w:rPr>
                <w:color w:val="000000" w:themeColor="text1"/>
              </w:rPr>
              <w:t>e</w:t>
            </w:r>
            <w:r w:rsidRPr="00990D3B">
              <w:rPr>
                <w:color w:val="000000" w:themeColor="text1"/>
              </w:rPr>
              <w:t xml:space="preserve">ncounter </w:t>
            </w:r>
            <w:r w:rsidRPr="00990D3B" w:rsidR="009D495B">
              <w:rPr>
                <w:color w:val="000000" w:themeColor="text1"/>
              </w:rPr>
              <w:t>t</w:t>
            </w:r>
            <w:r w:rsidRPr="00990D3B">
              <w:rPr>
                <w:color w:val="000000" w:themeColor="text1"/>
              </w:rPr>
              <w:t>ype</w:t>
            </w:r>
          </w:p>
        </w:tc>
        <w:tc>
          <w:tcPr>
            <w:tcW w:w="1928" w:type="dxa"/>
            <w:vAlign w:val="bottom"/>
          </w:tcPr>
          <w:p w:rsidR="009B6AF6" w:rsidRPr="00990D3B" w:rsidP="00AE3C43" w14:paraId="2B66A904" w14:textId="2981BFB2">
            <w:pPr>
              <w:pStyle w:val="EQRTableHeaderCenter"/>
              <w:rPr>
                <w:color w:val="auto"/>
              </w:rPr>
            </w:pPr>
            <w:r w:rsidRPr="00990D3B">
              <w:rPr>
                <w:color w:val="auto"/>
              </w:rPr>
              <w:t xml:space="preserve">Diagnosis </w:t>
            </w:r>
            <w:r w:rsidRPr="00990D3B" w:rsidR="009D495B">
              <w:rPr>
                <w:color w:val="auto"/>
              </w:rPr>
              <w:t>c</w:t>
            </w:r>
            <w:r w:rsidRPr="00990D3B">
              <w:rPr>
                <w:color w:val="auto"/>
              </w:rPr>
              <w:t>odes</w:t>
            </w:r>
          </w:p>
        </w:tc>
        <w:tc>
          <w:tcPr>
            <w:tcW w:w="1915" w:type="dxa"/>
            <w:vAlign w:val="bottom"/>
          </w:tcPr>
          <w:p w:rsidR="009B6AF6" w:rsidRPr="00990D3B" w:rsidP="00AE3C43" w14:paraId="1C6EC2CA" w14:textId="01577FEF">
            <w:pPr>
              <w:pStyle w:val="EQRTableHeaderCenter"/>
              <w:rPr>
                <w:color w:val="auto"/>
              </w:rPr>
            </w:pPr>
            <w:r w:rsidRPr="00990D3B">
              <w:rPr>
                <w:color w:val="auto"/>
              </w:rPr>
              <w:t xml:space="preserve">Procedure </w:t>
            </w:r>
            <w:r w:rsidRPr="00990D3B" w:rsidR="009D495B">
              <w:rPr>
                <w:color w:val="auto"/>
              </w:rPr>
              <w:t>c</w:t>
            </w:r>
            <w:r w:rsidRPr="00990D3B">
              <w:rPr>
                <w:color w:val="auto"/>
              </w:rPr>
              <w:t>odes</w:t>
            </w:r>
          </w:p>
        </w:tc>
        <w:tc>
          <w:tcPr>
            <w:tcW w:w="1915" w:type="dxa"/>
            <w:vAlign w:val="bottom"/>
          </w:tcPr>
          <w:p w:rsidR="009B6AF6" w:rsidRPr="00990D3B" w:rsidP="00AE3C43" w14:paraId="60338C08" w14:textId="0636315A">
            <w:pPr>
              <w:pStyle w:val="EQRTableHeaderCenter"/>
              <w:rPr>
                <w:color w:val="auto"/>
              </w:rPr>
            </w:pPr>
            <w:r w:rsidRPr="00990D3B">
              <w:rPr>
                <w:color w:val="auto"/>
              </w:rPr>
              <w:t xml:space="preserve">Revenue </w:t>
            </w:r>
            <w:r w:rsidRPr="00990D3B" w:rsidR="009D495B">
              <w:rPr>
                <w:color w:val="auto"/>
              </w:rPr>
              <w:t>c</w:t>
            </w:r>
            <w:r w:rsidRPr="00990D3B">
              <w:rPr>
                <w:color w:val="auto"/>
              </w:rPr>
              <w:t>odes</w:t>
            </w:r>
          </w:p>
        </w:tc>
        <w:tc>
          <w:tcPr>
            <w:tcW w:w="1646" w:type="dxa"/>
            <w:vAlign w:val="bottom"/>
          </w:tcPr>
          <w:p w:rsidR="009B6AF6" w:rsidRPr="00990D3B" w:rsidP="00AE3C43" w14:paraId="34900824" w14:textId="77777777">
            <w:pPr>
              <w:pStyle w:val="EQRTableHeaderCenter"/>
              <w:rPr>
                <w:color w:val="auto"/>
              </w:rPr>
            </w:pPr>
            <w:r w:rsidRPr="00990D3B">
              <w:rPr>
                <w:color w:val="auto"/>
              </w:rPr>
              <w:t>Total</w:t>
            </w:r>
          </w:p>
        </w:tc>
      </w:tr>
      <w:tr w14:paraId="404610A3" w14:textId="77777777" w:rsidTr="00AC44F2">
        <w:tblPrEx>
          <w:tblW w:w="0" w:type="auto"/>
          <w:tblLook w:val="04A0"/>
        </w:tblPrEx>
        <w:tc>
          <w:tcPr>
            <w:tcW w:w="1946" w:type="dxa"/>
          </w:tcPr>
          <w:p w:rsidR="009B6AF6" w:rsidRPr="00990D3B" w:rsidP="00DD38AC" w14:paraId="38679E07" w14:textId="77777777">
            <w:pPr>
              <w:spacing w:before="60" w:after="60"/>
              <w:rPr>
                <w:rFonts w:ascii="Arial" w:hAnsi="Arial" w:cs="Arial"/>
                <w:sz w:val="18"/>
                <w:szCs w:val="18"/>
              </w:rPr>
            </w:pPr>
            <w:r w:rsidRPr="00990D3B">
              <w:rPr>
                <w:rFonts w:ascii="Arial" w:hAnsi="Arial" w:cs="Arial"/>
                <w:sz w:val="18"/>
                <w:szCs w:val="18"/>
              </w:rPr>
              <w:t>Match</w:t>
            </w:r>
          </w:p>
        </w:tc>
        <w:tc>
          <w:tcPr>
            <w:tcW w:w="1928" w:type="dxa"/>
          </w:tcPr>
          <w:p w:rsidR="009B6AF6" w:rsidRPr="00990D3B" w:rsidP="00DD38AC" w14:paraId="7A264449"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B6AF6" w:rsidRPr="00990D3B" w:rsidP="00DD38AC" w14:paraId="2916AB3E"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B6AF6" w:rsidRPr="00990D3B" w:rsidP="00DD38AC" w14:paraId="65B433C7" w14:textId="77777777">
            <w:pPr>
              <w:spacing w:before="60" w:after="60"/>
              <w:rPr>
                <w:rFonts w:ascii="Arial" w:hAnsi="Arial" w:cs="Arial"/>
                <w:sz w:val="18"/>
                <w:szCs w:val="18"/>
              </w:rPr>
            </w:pPr>
            <w:r w:rsidRPr="00990D3B">
              <w:rPr>
                <w:rFonts w:ascii="Arial" w:hAnsi="Arial" w:cs="Arial"/>
                <w:sz w:val="18"/>
                <w:szCs w:val="18"/>
              </w:rPr>
              <w:t> </w:t>
            </w:r>
          </w:p>
        </w:tc>
        <w:tc>
          <w:tcPr>
            <w:tcW w:w="1646" w:type="dxa"/>
          </w:tcPr>
          <w:p w:rsidR="009B6AF6" w:rsidRPr="00990D3B" w:rsidP="00DD38AC" w14:paraId="4D33335B" w14:textId="77777777">
            <w:pPr>
              <w:spacing w:before="60" w:after="60"/>
              <w:rPr>
                <w:rFonts w:ascii="Arial" w:hAnsi="Arial" w:cs="Arial"/>
                <w:sz w:val="18"/>
                <w:szCs w:val="18"/>
              </w:rPr>
            </w:pPr>
            <w:r w:rsidRPr="00990D3B">
              <w:rPr>
                <w:rFonts w:ascii="Arial" w:hAnsi="Arial" w:cs="Arial"/>
                <w:sz w:val="18"/>
                <w:szCs w:val="18"/>
              </w:rPr>
              <w:t> </w:t>
            </w:r>
          </w:p>
        </w:tc>
      </w:tr>
      <w:tr w14:paraId="601CC3D5" w14:textId="77777777" w:rsidTr="00AC44F2">
        <w:tblPrEx>
          <w:tblW w:w="0" w:type="auto"/>
          <w:tblLook w:val="04A0"/>
        </w:tblPrEx>
        <w:tc>
          <w:tcPr>
            <w:tcW w:w="1946" w:type="dxa"/>
          </w:tcPr>
          <w:p w:rsidR="009B6AF6" w:rsidRPr="00990D3B" w:rsidP="00DD38AC" w14:paraId="5AF90A3D" w14:textId="59E5886E">
            <w:pPr>
              <w:spacing w:before="60" w:after="60"/>
              <w:rPr>
                <w:rFonts w:ascii="Arial" w:hAnsi="Arial" w:cs="Arial"/>
                <w:sz w:val="18"/>
                <w:szCs w:val="18"/>
              </w:rPr>
            </w:pPr>
            <w:r w:rsidRPr="00990D3B">
              <w:rPr>
                <w:rFonts w:ascii="Arial" w:hAnsi="Arial" w:cs="Arial"/>
                <w:sz w:val="18"/>
                <w:szCs w:val="18"/>
              </w:rPr>
              <w:t xml:space="preserve">No </w:t>
            </w:r>
            <w:r w:rsidRPr="00990D3B" w:rsidR="009D495B">
              <w:rPr>
                <w:rFonts w:ascii="Arial" w:hAnsi="Arial" w:cs="Arial"/>
                <w:sz w:val="18"/>
                <w:szCs w:val="18"/>
              </w:rPr>
              <w:t>m</w:t>
            </w:r>
            <w:r w:rsidRPr="00990D3B">
              <w:rPr>
                <w:rFonts w:ascii="Arial" w:hAnsi="Arial" w:cs="Arial"/>
                <w:sz w:val="18"/>
                <w:szCs w:val="18"/>
              </w:rPr>
              <w:t>atch</w:t>
            </w:r>
          </w:p>
        </w:tc>
        <w:tc>
          <w:tcPr>
            <w:tcW w:w="1928" w:type="dxa"/>
          </w:tcPr>
          <w:p w:rsidR="009B6AF6" w:rsidRPr="00990D3B" w:rsidP="00DD38AC" w14:paraId="1F0ABBE0"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B6AF6" w:rsidRPr="00990D3B" w:rsidP="00DD38AC" w14:paraId="79D6418F"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B6AF6" w:rsidRPr="00990D3B" w:rsidP="00DD38AC" w14:paraId="2B9E0C34" w14:textId="77777777">
            <w:pPr>
              <w:spacing w:before="60" w:after="60"/>
              <w:rPr>
                <w:rFonts w:ascii="Arial" w:hAnsi="Arial" w:cs="Arial"/>
                <w:sz w:val="18"/>
                <w:szCs w:val="18"/>
              </w:rPr>
            </w:pPr>
            <w:r w:rsidRPr="00990D3B">
              <w:rPr>
                <w:rFonts w:ascii="Arial" w:hAnsi="Arial" w:cs="Arial"/>
                <w:sz w:val="18"/>
                <w:szCs w:val="18"/>
              </w:rPr>
              <w:t> </w:t>
            </w:r>
          </w:p>
        </w:tc>
        <w:tc>
          <w:tcPr>
            <w:tcW w:w="1646" w:type="dxa"/>
          </w:tcPr>
          <w:p w:rsidR="009B6AF6" w:rsidRPr="00990D3B" w:rsidP="00DD38AC" w14:paraId="6946E71A" w14:textId="77777777">
            <w:pPr>
              <w:spacing w:before="60" w:after="60"/>
              <w:rPr>
                <w:rFonts w:ascii="Arial" w:hAnsi="Arial" w:cs="Arial"/>
                <w:sz w:val="18"/>
                <w:szCs w:val="18"/>
              </w:rPr>
            </w:pPr>
            <w:r w:rsidRPr="00990D3B">
              <w:rPr>
                <w:rFonts w:ascii="Arial" w:hAnsi="Arial" w:cs="Arial"/>
                <w:sz w:val="18"/>
                <w:szCs w:val="18"/>
              </w:rPr>
              <w:t> </w:t>
            </w:r>
          </w:p>
        </w:tc>
      </w:tr>
      <w:tr w14:paraId="6F8BEE0B" w14:textId="77777777" w:rsidTr="00AC44F2">
        <w:tblPrEx>
          <w:tblW w:w="0" w:type="auto"/>
          <w:tblLook w:val="04A0"/>
        </w:tblPrEx>
        <w:tc>
          <w:tcPr>
            <w:tcW w:w="1946" w:type="dxa"/>
          </w:tcPr>
          <w:p w:rsidR="009B6AF6" w:rsidRPr="00990D3B" w:rsidP="00DD38AC" w14:paraId="4A91B817" w14:textId="1F461B53">
            <w:pPr>
              <w:spacing w:before="60" w:after="60"/>
              <w:rPr>
                <w:rFonts w:ascii="Arial" w:hAnsi="Arial" w:cs="Arial"/>
                <w:sz w:val="18"/>
                <w:szCs w:val="18"/>
              </w:rPr>
            </w:pPr>
            <w:r w:rsidRPr="00990D3B">
              <w:rPr>
                <w:rFonts w:ascii="Arial" w:hAnsi="Arial" w:cs="Arial"/>
                <w:sz w:val="18"/>
                <w:szCs w:val="18"/>
              </w:rPr>
              <w:t xml:space="preserve">Total </w:t>
            </w:r>
            <w:r w:rsidRPr="00990D3B" w:rsidR="009D495B">
              <w:rPr>
                <w:rFonts w:ascii="Arial" w:hAnsi="Arial" w:cs="Arial"/>
                <w:sz w:val="18"/>
                <w:szCs w:val="18"/>
              </w:rPr>
              <w:t>e</w:t>
            </w:r>
            <w:r w:rsidRPr="00990D3B">
              <w:rPr>
                <w:rFonts w:ascii="Arial" w:hAnsi="Arial" w:cs="Arial"/>
                <w:sz w:val="18"/>
                <w:szCs w:val="18"/>
              </w:rPr>
              <w:t>lements</w:t>
            </w:r>
          </w:p>
        </w:tc>
        <w:tc>
          <w:tcPr>
            <w:tcW w:w="1928" w:type="dxa"/>
          </w:tcPr>
          <w:p w:rsidR="009B6AF6" w:rsidRPr="00990D3B" w:rsidP="00DD38AC" w14:paraId="535031E8"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B6AF6" w:rsidRPr="00990D3B" w:rsidP="00DD38AC" w14:paraId="46976C2B"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B6AF6" w:rsidRPr="00990D3B" w:rsidP="00DD38AC" w14:paraId="3A1D9420" w14:textId="77777777">
            <w:pPr>
              <w:spacing w:before="60" w:after="60"/>
              <w:rPr>
                <w:rFonts w:ascii="Arial" w:hAnsi="Arial" w:cs="Arial"/>
                <w:sz w:val="18"/>
                <w:szCs w:val="18"/>
              </w:rPr>
            </w:pPr>
            <w:r w:rsidRPr="00990D3B">
              <w:rPr>
                <w:rFonts w:ascii="Arial" w:hAnsi="Arial" w:cs="Arial"/>
                <w:sz w:val="18"/>
                <w:szCs w:val="18"/>
              </w:rPr>
              <w:t> </w:t>
            </w:r>
          </w:p>
        </w:tc>
        <w:tc>
          <w:tcPr>
            <w:tcW w:w="1646" w:type="dxa"/>
          </w:tcPr>
          <w:p w:rsidR="009B6AF6" w:rsidRPr="00990D3B" w:rsidP="00DD38AC" w14:paraId="1BC855AF" w14:textId="77777777">
            <w:pPr>
              <w:spacing w:before="60" w:after="60"/>
              <w:rPr>
                <w:rFonts w:ascii="Arial" w:hAnsi="Arial" w:cs="Arial"/>
                <w:sz w:val="18"/>
                <w:szCs w:val="18"/>
              </w:rPr>
            </w:pPr>
            <w:r w:rsidRPr="00990D3B">
              <w:rPr>
                <w:rFonts w:ascii="Arial" w:hAnsi="Arial" w:cs="Arial"/>
                <w:sz w:val="18"/>
                <w:szCs w:val="18"/>
              </w:rPr>
              <w:t> </w:t>
            </w:r>
          </w:p>
        </w:tc>
      </w:tr>
      <w:tr w14:paraId="62E310FC" w14:textId="77777777" w:rsidTr="00AC44F2">
        <w:tblPrEx>
          <w:tblW w:w="0" w:type="auto"/>
          <w:tblLook w:val="04A0"/>
        </w:tblPrEx>
        <w:tc>
          <w:tcPr>
            <w:tcW w:w="1946" w:type="dxa"/>
          </w:tcPr>
          <w:p w:rsidR="009B6AF6" w:rsidRPr="00990D3B" w:rsidP="00DD38AC" w14:paraId="6638032C" w14:textId="6328E8FF">
            <w:pPr>
              <w:tabs>
                <w:tab w:val="right" w:pos="1730"/>
              </w:tabs>
              <w:spacing w:before="60" w:after="60"/>
              <w:rPr>
                <w:rFonts w:ascii="Arial" w:hAnsi="Arial" w:cs="Arial"/>
                <w:sz w:val="18"/>
                <w:szCs w:val="18"/>
              </w:rPr>
            </w:pPr>
            <w:r w:rsidRPr="00990D3B">
              <w:rPr>
                <w:rFonts w:ascii="Arial" w:hAnsi="Arial" w:cs="Arial"/>
                <w:sz w:val="18"/>
                <w:szCs w:val="18"/>
              </w:rPr>
              <w:t xml:space="preserve">Match </w:t>
            </w:r>
            <w:r w:rsidRPr="00990D3B" w:rsidR="009D495B">
              <w:rPr>
                <w:rFonts w:ascii="Arial" w:hAnsi="Arial" w:cs="Arial"/>
                <w:sz w:val="18"/>
                <w:szCs w:val="18"/>
              </w:rPr>
              <w:t>p</w:t>
            </w:r>
            <w:r w:rsidRPr="00990D3B">
              <w:rPr>
                <w:rFonts w:ascii="Arial" w:hAnsi="Arial" w:cs="Arial"/>
                <w:sz w:val="18"/>
                <w:szCs w:val="18"/>
              </w:rPr>
              <w:t>ercent</w:t>
            </w:r>
            <w:r w:rsidRPr="00990D3B">
              <w:rPr>
                <w:rFonts w:ascii="Arial" w:hAnsi="Arial" w:cs="Arial"/>
                <w:sz w:val="18"/>
                <w:szCs w:val="18"/>
              </w:rPr>
              <w:tab/>
            </w:r>
          </w:p>
        </w:tc>
        <w:tc>
          <w:tcPr>
            <w:tcW w:w="1928" w:type="dxa"/>
          </w:tcPr>
          <w:p w:rsidR="009B6AF6" w:rsidRPr="00990D3B" w:rsidP="00DD38AC" w14:paraId="0DDE8D79"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B6AF6" w:rsidRPr="00990D3B" w:rsidP="00DD38AC" w14:paraId="2DE6104F"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B6AF6" w:rsidRPr="00990D3B" w:rsidP="00DD38AC" w14:paraId="6E0C66C3" w14:textId="77777777">
            <w:pPr>
              <w:spacing w:before="60" w:after="60"/>
              <w:rPr>
                <w:rFonts w:ascii="Arial" w:hAnsi="Arial" w:cs="Arial"/>
                <w:sz w:val="18"/>
                <w:szCs w:val="18"/>
              </w:rPr>
            </w:pPr>
            <w:r w:rsidRPr="00990D3B">
              <w:rPr>
                <w:rFonts w:ascii="Arial" w:hAnsi="Arial" w:cs="Arial"/>
                <w:sz w:val="18"/>
                <w:szCs w:val="18"/>
              </w:rPr>
              <w:t> </w:t>
            </w:r>
          </w:p>
        </w:tc>
        <w:tc>
          <w:tcPr>
            <w:tcW w:w="1646" w:type="dxa"/>
          </w:tcPr>
          <w:p w:rsidR="009B6AF6" w:rsidRPr="00990D3B" w:rsidP="00DD38AC" w14:paraId="6CCF2C4A" w14:textId="77777777">
            <w:pPr>
              <w:spacing w:before="60" w:after="60"/>
              <w:rPr>
                <w:rFonts w:ascii="Arial" w:hAnsi="Arial" w:cs="Arial"/>
                <w:sz w:val="18"/>
                <w:szCs w:val="18"/>
              </w:rPr>
            </w:pPr>
            <w:r w:rsidRPr="00990D3B">
              <w:rPr>
                <w:rFonts w:ascii="Arial" w:hAnsi="Arial" w:cs="Arial"/>
                <w:sz w:val="18"/>
                <w:szCs w:val="18"/>
              </w:rPr>
              <w:t> </w:t>
            </w:r>
          </w:p>
        </w:tc>
      </w:tr>
    </w:tbl>
    <w:p w:rsidR="009B6AF6" w:rsidRPr="00990D3B" w:rsidP="00E71EFE" w14:paraId="3C0F885C" w14:textId="77777777">
      <w:pPr>
        <w:pStyle w:val="NoSpacing"/>
      </w:pPr>
    </w:p>
    <w:tbl>
      <w:tblPr>
        <w:tblStyle w:val="TableGrid"/>
        <w:tblW w:w="0" w:type="auto"/>
        <w:tblLook w:val="04A0"/>
      </w:tblPr>
      <w:tblGrid>
        <w:gridCol w:w="1946"/>
        <w:gridCol w:w="1928"/>
        <w:gridCol w:w="1915"/>
        <w:gridCol w:w="1915"/>
        <w:gridCol w:w="1646"/>
      </w:tblGrid>
      <w:tr w14:paraId="618FEA79" w14:textId="77777777" w:rsidTr="0049502B">
        <w:tblPrEx>
          <w:tblW w:w="0" w:type="auto"/>
          <w:tblLook w:val="04A0"/>
        </w:tblPrEx>
        <w:trPr>
          <w:tblHeader/>
        </w:trPr>
        <w:tc>
          <w:tcPr>
            <w:tcW w:w="1946" w:type="dxa"/>
            <w:vAlign w:val="bottom"/>
          </w:tcPr>
          <w:p w:rsidR="009D495B" w:rsidRPr="00990D3B" w:rsidP="00B42A3C" w14:paraId="3AEF1214" w14:textId="1C899AE9">
            <w:pPr>
              <w:pStyle w:val="EQRTableHeaderLeft"/>
              <w:rPr>
                <w:color w:val="000000" w:themeColor="text1"/>
              </w:rPr>
            </w:pPr>
            <w:r w:rsidRPr="00990D3B">
              <w:rPr>
                <w:color w:val="000000" w:themeColor="text1"/>
              </w:rPr>
              <w:t>Outpatient encounter type</w:t>
            </w:r>
          </w:p>
        </w:tc>
        <w:tc>
          <w:tcPr>
            <w:tcW w:w="1928" w:type="dxa"/>
            <w:vAlign w:val="bottom"/>
          </w:tcPr>
          <w:p w:rsidR="009D495B" w:rsidRPr="00990D3B" w:rsidP="002F136D" w14:paraId="00956F3F" w14:textId="35299147">
            <w:pPr>
              <w:pStyle w:val="EQRTableHeaderCenter"/>
              <w:rPr>
                <w:color w:val="auto"/>
              </w:rPr>
            </w:pPr>
            <w:r w:rsidRPr="00990D3B">
              <w:rPr>
                <w:color w:val="auto"/>
              </w:rPr>
              <w:t>Diagnosis codes</w:t>
            </w:r>
          </w:p>
        </w:tc>
        <w:tc>
          <w:tcPr>
            <w:tcW w:w="1915" w:type="dxa"/>
            <w:vAlign w:val="bottom"/>
          </w:tcPr>
          <w:p w:rsidR="009D495B" w:rsidRPr="00990D3B" w:rsidP="002F136D" w14:paraId="7FD97F87" w14:textId="0905BBE5">
            <w:pPr>
              <w:pStyle w:val="EQRTableHeaderCenter"/>
              <w:rPr>
                <w:color w:val="auto"/>
              </w:rPr>
            </w:pPr>
            <w:r w:rsidRPr="00990D3B">
              <w:rPr>
                <w:color w:val="auto"/>
              </w:rPr>
              <w:t>Procedure codes</w:t>
            </w:r>
          </w:p>
        </w:tc>
        <w:tc>
          <w:tcPr>
            <w:tcW w:w="1915" w:type="dxa"/>
            <w:vAlign w:val="bottom"/>
          </w:tcPr>
          <w:p w:rsidR="009D495B" w:rsidRPr="00990D3B" w:rsidP="002F136D" w14:paraId="55FE4E5C" w14:textId="49ACCC73">
            <w:pPr>
              <w:pStyle w:val="EQRTableHeaderCenter"/>
              <w:rPr>
                <w:color w:val="auto"/>
              </w:rPr>
            </w:pPr>
            <w:r w:rsidRPr="00990D3B">
              <w:rPr>
                <w:color w:val="auto"/>
              </w:rPr>
              <w:t>Revenue codes</w:t>
            </w:r>
          </w:p>
        </w:tc>
        <w:tc>
          <w:tcPr>
            <w:tcW w:w="1646" w:type="dxa"/>
            <w:vAlign w:val="bottom"/>
          </w:tcPr>
          <w:p w:rsidR="009D495B" w:rsidRPr="00990D3B" w:rsidP="002F136D" w14:paraId="18110F98" w14:textId="77777777">
            <w:pPr>
              <w:pStyle w:val="EQRTableHeaderCenter"/>
              <w:rPr>
                <w:color w:val="auto"/>
              </w:rPr>
            </w:pPr>
            <w:r w:rsidRPr="00990D3B">
              <w:rPr>
                <w:color w:val="auto"/>
              </w:rPr>
              <w:t>Total</w:t>
            </w:r>
          </w:p>
        </w:tc>
      </w:tr>
      <w:tr w14:paraId="3B4601E1" w14:textId="77777777" w:rsidTr="00AC44F2">
        <w:tblPrEx>
          <w:tblW w:w="0" w:type="auto"/>
          <w:tblLook w:val="04A0"/>
        </w:tblPrEx>
        <w:tc>
          <w:tcPr>
            <w:tcW w:w="1946" w:type="dxa"/>
          </w:tcPr>
          <w:p w:rsidR="009D495B" w:rsidRPr="00990D3B" w:rsidP="009D495B" w14:paraId="6922FCE5" w14:textId="7E2B2544">
            <w:pPr>
              <w:spacing w:before="60" w:after="60"/>
              <w:rPr>
                <w:rFonts w:ascii="Arial" w:hAnsi="Arial" w:cs="Arial"/>
                <w:sz w:val="18"/>
                <w:szCs w:val="18"/>
              </w:rPr>
            </w:pPr>
            <w:r w:rsidRPr="00990D3B">
              <w:rPr>
                <w:rFonts w:ascii="Arial" w:hAnsi="Arial" w:cs="Arial"/>
                <w:sz w:val="18"/>
                <w:szCs w:val="18"/>
              </w:rPr>
              <w:t>Match</w:t>
            </w:r>
          </w:p>
        </w:tc>
        <w:tc>
          <w:tcPr>
            <w:tcW w:w="1928" w:type="dxa"/>
          </w:tcPr>
          <w:p w:rsidR="009D495B" w:rsidRPr="00990D3B" w:rsidP="009D495B" w14:paraId="7E4CCE54"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D495B" w:rsidRPr="00990D3B" w:rsidP="009D495B" w14:paraId="6394775B"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D495B" w:rsidRPr="00990D3B" w:rsidP="009D495B" w14:paraId="51B3CE3A" w14:textId="77777777">
            <w:pPr>
              <w:spacing w:before="60" w:after="60"/>
              <w:rPr>
                <w:rFonts w:ascii="Arial" w:hAnsi="Arial" w:cs="Arial"/>
                <w:sz w:val="18"/>
                <w:szCs w:val="18"/>
              </w:rPr>
            </w:pPr>
            <w:r w:rsidRPr="00990D3B">
              <w:rPr>
                <w:rFonts w:ascii="Arial" w:hAnsi="Arial" w:cs="Arial"/>
                <w:sz w:val="18"/>
                <w:szCs w:val="18"/>
              </w:rPr>
              <w:t> </w:t>
            </w:r>
          </w:p>
        </w:tc>
        <w:tc>
          <w:tcPr>
            <w:tcW w:w="1646" w:type="dxa"/>
          </w:tcPr>
          <w:p w:rsidR="009D495B" w:rsidRPr="00990D3B" w:rsidP="009D495B" w14:paraId="79FB5DAF" w14:textId="77777777">
            <w:pPr>
              <w:spacing w:before="60" w:after="60"/>
              <w:rPr>
                <w:rFonts w:ascii="Arial" w:hAnsi="Arial" w:cs="Arial"/>
                <w:sz w:val="18"/>
                <w:szCs w:val="18"/>
              </w:rPr>
            </w:pPr>
            <w:r w:rsidRPr="00990D3B">
              <w:rPr>
                <w:rFonts w:ascii="Arial" w:hAnsi="Arial" w:cs="Arial"/>
                <w:sz w:val="18"/>
                <w:szCs w:val="18"/>
              </w:rPr>
              <w:t> </w:t>
            </w:r>
          </w:p>
        </w:tc>
      </w:tr>
      <w:tr w14:paraId="60BB3EBB" w14:textId="77777777" w:rsidTr="00AC44F2">
        <w:tblPrEx>
          <w:tblW w:w="0" w:type="auto"/>
          <w:tblLook w:val="04A0"/>
        </w:tblPrEx>
        <w:tc>
          <w:tcPr>
            <w:tcW w:w="1946" w:type="dxa"/>
          </w:tcPr>
          <w:p w:rsidR="009D495B" w:rsidRPr="00990D3B" w:rsidP="009D495B" w14:paraId="07C2DF98" w14:textId="66D0AB57">
            <w:pPr>
              <w:spacing w:before="60" w:after="60"/>
              <w:rPr>
                <w:rFonts w:ascii="Arial" w:hAnsi="Arial" w:cs="Arial"/>
                <w:sz w:val="18"/>
                <w:szCs w:val="18"/>
              </w:rPr>
            </w:pPr>
            <w:r w:rsidRPr="00990D3B">
              <w:rPr>
                <w:rFonts w:ascii="Arial" w:hAnsi="Arial" w:cs="Arial"/>
                <w:sz w:val="18"/>
                <w:szCs w:val="18"/>
              </w:rPr>
              <w:t>No match</w:t>
            </w:r>
          </w:p>
        </w:tc>
        <w:tc>
          <w:tcPr>
            <w:tcW w:w="1928" w:type="dxa"/>
          </w:tcPr>
          <w:p w:rsidR="009D495B" w:rsidRPr="00990D3B" w:rsidP="009D495B" w14:paraId="5A088F4D"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D495B" w:rsidRPr="00990D3B" w:rsidP="009D495B" w14:paraId="156E68F2"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D495B" w:rsidRPr="00990D3B" w:rsidP="009D495B" w14:paraId="47BCDBF0" w14:textId="77777777">
            <w:pPr>
              <w:spacing w:before="60" w:after="60"/>
              <w:rPr>
                <w:rFonts w:ascii="Arial" w:hAnsi="Arial" w:cs="Arial"/>
                <w:sz w:val="18"/>
                <w:szCs w:val="18"/>
              </w:rPr>
            </w:pPr>
            <w:r w:rsidRPr="00990D3B">
              <w:rPr>
                <w:rFonts w:ascii="Arial" w:hAnsi="Arial" w:cs="Arial"/>
                <w:sz w:val="18"/>
                <w:szCs w:val="18"/>
              </w:rPr>
              <w:t> </w:t>
            </w:r>
          </w:p>
        </w:tc>
        <w:tc>
          <w:tcPr>
            <w:tcW w:w="1646" w:type="dxa"/>
          </w:tcPr>
          <w:p w:rsidR="009D495B" w:rsidRPr="00990D3B" w:rsidP="009D495B" w14:paraId="334E5FBA" w14:textId="77777777">
            <w:pPr>
              <w:spacing w:before="60" w:after="60"/>
              <w:rPr>
                <w:rFonts w:ascii="Arial" w:hAnsi="Arial" w:cs="Arial"/>
                <w:sz w:val="18"/>
                <w:szCs w:val="18"/>
              </w:rPr>
            </w:pPr>
            <w:r w:rsidRPr="00990D3B">
              <w:rPr>
                <w:rFonts w:ascii="Arial" w:hAnsi="Arial" w:cs="Arial"/>
                <w:sz w:val="18"/>
                <w:szCs w:val="18"/>
              </w:rPr>
              <w:t> </w:t>
            </w:r>
          </w:p>
        </w:tc>
      </w:tr>
      <w:tr w14:paraId="2387ED2E" w14:textId="77777777" w:rsidTr="00AC44F2">
        <w:tblPrEx>
          <w:tblW w:w="0" w:type="auto"/>
          <w:tblLook w:val="04A0"/>
        </w:tblPrEx>
        <w:tc>
          <w:tcPr>
            <w:tcW w:w="1946" w:type="dxa"/>
          </w:tcPr>
          <w:p w:rsidR="009D495B" w:rsidRPr="00990D3B" w:rsidP="009D495B" w14:paraId="0A6275D0" w14:textId="2A6628E7">
            <w:pPr>
              <w:spacing w:before="60" w:after="60"/>
              <w:rPr>
                <w:rFonts w:ascii="Arial" w:hAnsi="Arial" w:cs="Arial"/>
                <w:sz w:val="18"/>
                <w:szCs w:val="18"/>
              </w:rPr>
            </w:pPr>
            <w:r w:rsidRPr="00990D3B">
              <w:rPr>
                <w:rFonts w:ascii="Arial" w:hAnsi="Arial" w:cs="Arial"/>
                <w:sz w:val="18"/>
                <w:szCs w:val="18"/>
              </w:rPr>
              <w:t>Total elements</w:t>
            </w:r>
          </w:p>
        </w:tc>
        <w:tc>
          <w:tcPr>
            <w:tcW w:w="1928" w:type="dxa"/>
          </w:tcPr>
          <w:p w:rsidR="009D495B" w:rsidRPr="00990D3B" w:rsidP="009D495B" w14:paraId="7E4E52EC"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D495B" w:rsidRPr="00990D3B" w:rsidP="009D495B" w14:paraId="1DD027F0"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D495B" w:rsidRPr="00990D3B" w:rsidP="009D495B" w14:paraId="5598F3EF" w14:textId="77777777">
            <w:pPr>
              <w:spacing w:before="60" w:after="60"/>
              <w:rPr>
                <w:rFonts w:ascii="Arial" w:hAnsi="Arial" w:cs="Arial"/>
                <w:sz w:val="18"/>
                <w:szCs w:val="18"/>
              </w:rPr>
            </w:pPr>
            <w:r w:rsidRPr="00990D3B">
              <w:rPr>
                <w:rFonts w:ascii="Arial" w:hAnsi="Arial" w:cs="Arial"/>
                <w:sz w:val="18"/>
                <w:szCs w:val="18"/>
              </w:rPr>
              <w:t> </w:t>
            </w:r>
          </w:p>
        </w:tc>
        <w:tc>
          <w:tcPr>
            <w:tcW w:w="1646" w:type="dxa"/>
          </w:tcPr>
          <w:p w:rsidR="009D495B" w:rsidRPr="00990D3B" w:rsidP="009D495B" w14:paraId="67D2F82E" w14:textId="77777777">
            <w:pPr>
              <w:spacing w:before="60" w:after="60"/>
              <w:rPr>
                <w:rFonts w:ascii="Arial" w:hAnsi="Arial" w:cs="Arial"/>
                <w:sz w:val="18"/>
                <w:szCs w:val="18"/>
              </w:rPr>
            </w:pPr>
            <w:r w:rsidRPr="00990D3B">
              <w:rPr>
                <w:rFonts w:ascii="Arial" w:hAnsi="Arial" w:cs="Arial"/>
                <w:sz w:val="18"/>
                <w:szCs w:val="18"/>
              </w:rPr>
              <w:t> </w:t>
            </w:r>
          </w:p>
        </w:tc>
      </w:tr>
      <w:tr w14:paraId="64B4EE63" w14:textId="77777777" w:rsidTr="00AC44F2">
        <w:tblPrEx>
          <w:tblW w:w="0" w:type="auto"/>
          <w:tblLook w:val="04A0"/>
        </w:tblPrEx>
        <w:tc>
          <w:tcPr>
            <w:tcW w:w="1946" w:type="dxa"/>
          </w:tcPr>
          <w:p w:rsidR="009D495B" w:rsidRPr="00990D3B" w:rsidP="009D495B" w14:paraId="30A2C9D7" w14:textId="143FCD9E">
            <w:pPr>
              <w:spacing w:before="60" w:after="60"/>
              <w:rPr>
                <w:rFonts w:ascii="Arial" w:hAnsi="Arial" w:cs="Arial"/>
                <w:sz w:val="18"/>
                <w:szCs w:val="18"/>
              </w:rPr>
            </w:pPr>
            <w:r w:rsidRPr="00990D3B">
              <w:rPr>
                <w:rFonts w:ascii="Arial" w:hAnsi="Arial" w:cs="Arial"/>
                <w:sz w:val="18"/>
                <w:szCs w:val="18"/>
              </w:rPr>
              <w:t>Match percent</w:t>
            </w:r>
            <w:r w:rsidRPr="00990D3B">
              <w:rPr>
                <w:rFonts w:ascii="Arial" w:hAnsi="Arial" w:cs="Arial"/>
                <w:sz w:val="18"/>
                <w:szCs w:val="18"/>
              </w:rPr>
              <w:tab/>
            </w:r>
          </w:p>
        </w:tc>
        <w:tc>
          <w:tcPr>
            <w:tcW w:w="1928" w:type="dxa"/>
          </w:tcPr>
          <w:p w:rsidR="009D495B" w:rsidRPr="00990D3B" w:rsidP="009D495B" w14:paraId="7026058F"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D495B" w:rsidRPr="00990D3B" w:rsidP="009D495B" w14:paraId="7DB03196" w14:textId="77777777">
            <w:pPr>
              <w:spacing w:before="60" w:after="60"/>
              <w:rPr>
                <w:rFonts w:ascii="Arial" w:hAnsi="Arial" w:cs="Arial"/>
                <w:sz w:val="18"/>
                <w:szCs w:val="18"/>
              </w:rPr>
            </w:pPr>
            <w:r w:rsidRPr="00990D3B">
              <w:rPr>
                <w:rFonts w:ascii="Arial" w:hAnsi="Arial" w:cs="Arial"/>
                <w:sz w:val="18"/>
                <w:szCs w:val="18"/>
              </w:rPr>
              <w:t> </w:t>
            </w:r>
          </w:p>
        </w:tc>
        <w:tc>
          <w:tcPr>
            <w:tcW w:w="1915" w:type="dxa"/>
          </w:tcPr>
          <w:p w:rsidR="009D495B" w:rsidRPr="00990D3B" w:rsidP="009D495B" w14:paraId="6B6B4465" w14:textId="77777777">
            <w:pPr>
              <w:spacing w:before="60" w:after="60"/>
              <w:rPr>
                <w:rFonts w:ascii="Arial" w:hAnsi="Arial" w:cs="Arial"/>
                <w:sz w:val="18"/>
                <w:szCs w:val="18"/>
              </w:rPr>
            </w:pPr>
            <w:r w:rsidRPr="00990D3B">
              <w:rPr>
                <w:rFonts w:ascii="Arial" w:hAnsi="Arial" w:cs="Arial"/>
                <w:sz w:val="18"/>
                <w:szCs w:val="18"/>
              </w:rPr>
              <w:t> </w:t>
            </w:r>
          </w:p>
        </w:tc>
        <w:tc>
          <w:tcPr>
            <w:tcW w:w="1646" w:type="dxa"/>
          </w:tcPr>
          <w:p w:rsidR="009D495B" w:rsidRPr="00990D3B" w:rsidP="009D495B" w14:paraId="0D2BCF1B" w14:textId="77777777">
            <w:pPr>
              <w:spacing w:before="60" w:after="60"/>
              <w:rPr>
                <w:rFonts w:ascii="Arial" w:hAnsi="Arial" w:cs="Arial"/>
                <w:sz w:val="18"/>
                <w:szCs w:val="18"/>
              </w:rPr>
            </w:pPr>
            <w:r w:rsidRPr="00990D3B">
              <w:rPr>
                <w:rFonts w:ascii="Arial" w:hAnsi="Arial" w:cs="Arial"/>
                <w:sz w:val="18"/>
                <w:szCs w:val="18"/>
              </w:rPr>
              <w:t> </w:t>
            </w:r>
          </w:p>
        </w:tc>
      </w:tr>
    </w:tbl>
    <w:p w:rsidR="009B6AF6" w:rsidRPr="00990D3B" w:rsidP="00E71EFE" w14:paraId="0C2A32EB" w14:textId="77777777">
      <w:pPr>
        <w:pStyle w:val="NoSpacing"/>
      </w:pPr>
    </w:p>
    <w:tbl>
      <w:tblPr>
        <w:tblStyle w:val="TableGrid"/>
        <w:tblW w:w="0" w:type="auto"/>
        <w:tblLook w:val="04A0"/>
      </w:tblPr>
      <w:tblGrid>
        <w:gridCol w:w="1946"/>
        <w:gridCol w:w="1928"/>
        <w:gridCol w:w="1915"/>
        <w:gridCol w:w="1915"/>
        <w:gridCol w:w="1646"/>
      </w:tblGrid>
      <w:tr w14:paraId="0FC9EEB9" w14:textId="77777777" w:rsidTr="0049502B">
        <w:tblPrEx>
          <w:tblW w:w="0" w:type="auto"/>
          <w:tblLook w:val="04A0"/>
        </w:tblPrEx>
        <w:trPr>
          <w:tblHeader/>
        </w:trPr>
        <w:tc>
          <w:tcPr>
            <w:tcW w:w="1946" w:type="dxa"/>
            <w:vAlign w:val="bottom"/>
          </w:tcPr>
          <w:p w:rsidR="009D495B" w:rsidRPr="00C55F06" w:rsidP="00B42A3C" w14:paraId="1DA9B47C" w14:textId="7CCE0BE5">
            <w:pPr>
              <w:pStyle w:val="EQRTableHeaderLeft"/>
              <w:rPr>
                <w:color w:val="auto"/>
              </w:rPr>
            </w:pPr>
            <w:r w:rsidRPr="00C55F06">
              <w:rPr>
                <w:color w:val="auto"/>
              </w:rPr>
              <w:t>Office visit encounter type</w:t>
            </w:r>
          </w:p>
        </w:tc>
        <w:tc>
          <w:tcPr>
            <w:tcW w:w="1928" w:type="dxa"/>
            <w:vAlign w:val="bottom"/>
          </w:tcPr>
          <w:p w:rsidR="009D495B" w:rsidRPr="00C55F06" w:rsidP="002F136D" w14:paraId="127DBC1C" w14:textId="7A2DD689">
            <w:pPr>
              <w:pStyle w:val="EQRTableHeaderCenter"/>
              <w:rPr>
                <w:color w:val="auto"/>
              </w:rPr>
            </w:pPr>
            <w:r w:rsidRPr="00C55F06">
              <w:rPr>
                <w:color w:val="auto"/>
              </w:rPr>
              <w:t>Diagnosis codes</w:t>
            </w:r>
          </w:p>
        </w:tc>
        <w:tc>
          <w:tcPr>
            <w:tcW w:w="1915" w:type="dxa"/>
            <w:vAlign w:val="bottom"/>
          </w:tcPr>
          <w:p w:rsidR="009D495B" w:rsidRPr="00C55F06" w:rsidP="002F136D" w14:paraId="7CA64773" w14:textId="6045691D">
            <w:pPr>
              <w:pStyle w:val="EQRTableHeaderCenter"/>
              <w:rPr>
                <w:color w:val="auto"/>
              </w:rPr>
            </w:pPr>
            <w:r w:rsidRPr="00C55F06">
              <w:rPr>
                <w:color w:val="auto"/>
              </w:rPr>
              <w:t>Procedure codes</w:t>
            </w:r>
          </w:p>
        </w:tc>
        <w:tc>
          <w:tcPr>
            <w:tcW w:w="1915" w:type="dxa"/>
            <w:vAlign w:val="bottom"/>
          </w:tcPr>
          <w:p w:rsidR="009D495B" w:rsidRPr="00C55F06" w:rsidP="002F136D" w14:paraId="120FF959" w14:textId="2E56FB2C">
            <w:pPr>
              <w:pStyle w:val="EQRTableHeaderCenter"/>
              <w:rPr>
                <w:color w:val="auto"/>
              </w:rPr>
            </w:pPr>
            <w:r w:rsidRPr="00C55F06">
              <w:rPr>
                <w:color w:val="auto"/>
              </w:rPr>
              <w:t>Revenue codes</w:t>
            </w:r>
          </w:p>
        </w:tc>
        <w:tc>
          <w:tcPr>
            <w:tcW w:w="1646" w:type="dxa"/>
            <w:vAlign w:val="bottom"/>
          </w:tcPr>
          <w:p w:rsidR="009D495B" w:rsidRPr="00C55F06" w:rsidP="002F136D" w14:paraId="09DD7479" w14:textId="77777777">
            <w:pPr>
              <w:pStyle w:val="EQRTableHeaderCenter"/>
              <w:rPr>
                <w:color w:val="auto"/>
              </w:rPr>
            </w:pPr>
            <w:r w:rsidRPr="00C55F06">
              <w:rPr>
                <w:color w:val="auto"/>
              </w:rPr>
              <w:t>Total</w:t>
            </w:r>
          </w:p>
        </w:tc>
      </w:tr>
      <w:tr w14:paraId="1B4A3E00" w14:textId="77777777" w:rsidTr="00AC44F2">
        <w:tblPrEx>
          <w:tblW w:w="0" w:type="auto"/>
          <w:tblLook w:val="04A0"/>
        </w:tblPrEx>
        <w:tc>
          <w:tcPr>
            <w:tcW w:w="1946" w:type="dxa"/>
          </w:tcPr>
          <w:p w:rsidR="009D495B" w:rsidRPr="00C55F06" w:rsidP="009D495B" w14:paraId="50D7DB7D" w14:textId="1DA81ED3">
            <w:pPr>
              <w:spacing w:before="60" w:after="60"/>
              <w:rPr>
                <w:rFonts w:ascii="Arial" w:hAnsi="Arial" w:cs="Arial"/>
                <w:sz w:val="18"/>
                <w:szCs w:val="18"/>
              </w:rPr>
            </w:pPr>
            <w:r w:rsidRPr="00C55F06">
              <w:rPr>
                <w:rFonts w:ascii="Arial" w:hAnsi="Arial" w:cs="Arial"/>
                <w:sz w:val="18"/>
                <w:szCs w:val="18"/>
              </w:rPr>
              <w:t>Match</w:t>
            </w:r>
          </w:p>
        </w:tc>
        <w:tc>
          <w:tcPr>
            <w:tcW w:w="1928" w:type="dxa"/>
          </w:tcPr>
          <w:p w:rsidR="009D495B" w:rsidRPr="00C55F06" w:rsidP="009D495B" w14:paraId="040C31AA" w14:textId="77777777">
            <w:pPr>
              <w:spacing w:before="60" w:after="60"/>
              <w:rPr>
                <w:rFonts w:ascii="Arial" w:hAnsi="Arial" w:cs="Arial"/>
                <w:sz w:val="18"/>
                <w:szCs w:val="18"/>
              </w:rPr>
            </w:pPr>
            <w:r w:rsidRPr="00C55F06">
              <w:rPr>
                <w:rFonts w:ascii="Arial" w:hAnsi="Arial" w:cs="Arial"/>
                <w:sz w:val="18"/>
                <w:szCs w:val="18"/>
              </w:rPr>
              <w:t> </w:t>
            </w:r>
          </w:p>
        </w:tc>
        <w:tc>
          <w:tcPr>
            <w:tcW w:w="1915" w:type="dxa"/>
          </w:tcPr>
          <w:p w:rsidR="009D495B" w:rsidRPr="00C55F06" w:rsidP="009D495B" w14:paraId="62DA05C5" w14:textId="77777777">
            <w:pPr>
              <w:spacing w:before="60" w:after="60"/>
              <w:rPr>
                <w:rFonts w:ascii="Arial" w:hAnsi="Arial" w:cs="Arial"/>
                <w:sz w:val="18"/>
                <w:szCs w:val="18"/>
              </w:rPr>
            </w:pPr>
            <w:r w:rsidRPr="00C55F06">
              <w:rPr>
                <w:rFonts w:ascii="Arial" w:hAnsi="Arial" w:cs="Arial"/>
                <w:sz w:val="18"/>
                <w:szCs w:val="18"/>
              </w:rPr>
              <w:t> </w:t>
            </w:r>
          </w:p>
        </w:tc>
        <w:tc>
          <w:tcPr>
            <w:tcW w:w="1915" w:type="dxa"/>
          </w:tcPr>
          <w:p w:rsidR="009D495B" w:rsidRPr="00C55F06" w:rsidP="009D495B" w14:paraId="611C4D8D" w14:textId="77777777">
            <w:pPr>
              <w:spacing w:before="60" w:after="60"/>
              <w:rPr>
                <w:rFonts w:ascii="Arial" w:hAnsi="Arial" w:cs="Arial"/>
                <w:sz w:val="18"/>
                <w:szCs w:val="18"/>
              </w:rPr>
            </w:pPr>
            <w:r w:rsidRPr="00C55F06">
              <w:rPr>
                <w:rFonts w:ascii="Arial" w:hAnsi="Arial" w:cs="Arial"/>
                <w:sz w:val="18"/>
                <w:szCs w:val="18"/>
              </w:rPr>
              <w:t> </w:t>
            </w:r>
          </w:p>
        </w:tc>
        <w:tc>
          <w:tcPr>
            <w:tcW w:w="1646" w:type="dxa"/>
          </w:tcPr>
          <w:p w:rsidR="009D495B" w:rsidRPr="00C55F06" w:rsidP="009D495B" w14:paraId="15D80526" w14:textId="77777777">
            <w:pPr>
              <w:spacing w:before="60" w:after="60"/>
              <w:rPr>
                <w:rFonts w:ascii="Arial" w:hAnsi="Arial" w:cs="Arial"/>
                <w:sz w:val="18"/>
                <w:szCs w:val="18"/>
              </w:rPr>
            </w:pPr>
            <w:r w:rsidRPr="00C55F06">
              <w:rPr>
                <w:rFonts w:ascii="Arial" w:hAnsi="Arial" w:cs="Arial"/>
                <w:sz w:val="18"/>
                <w:szCs w:val="18"/>
              </w:rPr>
              <w:t> </w:t>
            </w:r>
          </w:p>
        </w:tc>
      </w:tr>
      <w:tr w14:paraId="3AEE2530" w14:textId="77777777" w:rsidTr="00AC44F2">
        <w:tblPrEx>
          <w:tblW w:w="0" w:type="auto"/>
          <w:tblLook w:val="04A0"/>
        </w:tblPrEx>
        <w:tc>
          <w:tcPr>
            <w:tcW w:w="1946" w:type="dxa"/>
          </w:tcPr>
          <w:p w:rsidR="009D495B" w:rsidRPr="00C55F06" w:rsidP="009D495B" w14:paraId="0A394C83" w14:textId="5B8ACCF9">
            <w:pPr>
              <w:spacing w:before="60" w:after="60"/>
              <w:rPr>
                <w:rFonts w:ascii="Arial" w:hAnsi="Arial" w:cs="Arial"/>
                <w:sz w:val="18"/>
                <w:szCs w:val="18"/>
              </w:rPr>
            </w:pPr>
            <w:r w:rsidRPr="00C55F06">
              <w:rPr>
                <w:rFonts w:ascii="Arial" w:hAnsi="Arial" w:cs="Arial"/>
                <w:sz w:val="18"/>
                <w:szCs w:val="18"/>
              </w:rPr>
              <w:t>No match</w:t>
            </w:r>
          </w:p>
        </w:tc>
        <w:tc>
          <w:tcPr>
            <w:tcW w:w="1928" w:type="dxa"/>
          </w:tcPr>
          <w:p w:rsidR="009D495B" w:rsidRPr="00C55F06" w:rsidP="009D495B" w14:paraId="5338EE24" w14:textId="77777777">
            <w:pPr>
              <w:spacing w:before="60" w:after="60"/>
              <w:rPr>
                <w:rFonts w:ascii="Arial" w:hAnsi="Arial" w:cs="Arial"/>
                <w:sz w:val="18"/>
                <w:szCs w:val="18"/>
              </w:rPr>
            </w:pPr>
            <w:r w:rsidRPr="00C55F06">
              <w:rPr>
                <w:rFonts w:ascii="Arial" w:hAnsi="Arial" w:cs="Arial"/>
                <w:sz w:val="18"/>
                <w:szCs w:val="18"/>
              </w:rPr>
              <w:t> </w:t>
            </w:r>
          </w:p>
        </w:tc>
        <w:tc>
          <w:tcPr>
            <w:tcW w:w="1915" w:type="dxa"/>
          </w:tcPr>
          <w:p w:rsidR="009D495B" w:rsidRPr="00C55F06" w:rsidP="009D495B" w14:paraId="4A14CFE4" w14:textId="77777777">
            <w:pPr>
              <w:spacing w:before="60" w:after="60"/>
              <w:rPr>
                <w:rFonts w:ascii="Arial" w:hAnsi="Arial" w:cs="Arial"/>
                <w:sz w:val="18"/>
                <w:szCs w:val="18"/>
              </w:rPr>
            </w:pPr>
            <w:r w:rsidRPr="00C55F06">
              <w:rPr>
                <w:rFonts w:ascii="Arial" w:hAnsi="Arial" w:cs="Arial"/>
                <w:sz w:val="18"/>
                <w:szCs w:val="18"/>
              </w:rPr>
              <w:t> </w:t>
            </w:r>
          </w:p>
        </w:tc>
        <w:tc>
          <w:tcPr>
            <w:tcW w:w="1915" w:type="dxa"/>
          </w:tcPr>
          <w:p w:rsidR="009D495B" w:rsidRPr="00C55F06" w:rsidP="009D495B" w14:paraId="1B783E7D" w14:textId="77777777">
            <w:pPr>
              <w:spacing w:before="60" w:after="60"/>
              <w:rPr>
                <w:rFonts w:ascii="Arial" w:hAnsi="Arial" w:cs="Arial"/>
                <w:sz w:val="18"/>
                <w:szCs w:val="18"/>
              </w:rPr>
            </w:pPr>
            <w:r w:rsidRPr="00C55F06">
              <w:rPr>
                <w:rFonts w:ascii="Arial" w:hAnsi="Arial" w:cs="Arial"/>
                <w:sz w:val="18"/>
                <w:szCs w:val="18"/>
              </w:rPr>
              <w:t> </w:t>
            </w:r>
          </w:p>
        </w:tc>
        <w:tc>
          <w:tcPr>
            <w:tcW w:w="1646" w:type="dxa"/>
          </w:tcPr>
          <w:p w:rsidR="009D495B" w:rsidRPr="00C55F06" w:rsidP="009D495B" w14:paraId="6F020106" w14:textId="77777777">
            <w:pPr>
              <w:spacing w:before="60" w:after="60"/>
              <w:rPr>
                <w:rFonts w:ascii="Arial" w:hAnsi="Arial" w:cs="Arial"/>
                <w:sz w:val="18"/>
                <w:szCs w:val="18"/>
              </w:rPr>
            </w:pPr>
            <w:r w:rsidRPr="00C55F06">
              <w:rPr>
                <w:rFonts w:ascii="Arial" w:hAnsi="Arial" w:cs="Arial"/>
                <w:sz w:val="18"/>
                <w:szCs w:val="18"/>
              </w:rPr>
              <w:t> </w:t>
            </w:r>
          </w:p>
        </w:tc>
      </w:tr>
      <w:tr w14:paraId="5C16BEA5" w14:textId="77777777" w:rsidTr="00AC44F2">
        <w:tblPrEx>
          <w:tblW w:w="0" w:type="auto"/>
          <w:tblLook w:val="04A0"/>
        </w:tblPrEx>
        <w:tc>
          <w:tcPr>
            <w:tcW w:w="1946" w:type="dxa"/>
          </w:tcPr>
          <w:p w:rsidR="009D495B" w:rsidRPr="00C55F06" w:rsidP="009D495B" w14:paraId="5D156C64" w14:textId="7C573571">
            <w:pPr>
              <w:spacing w:before="60" w:after="60"/>
              <w:rPr>
                <w:rFonts w:ascii="Arial" w:hAnsi="Arial" w:cs="Arial"/>
                <w:sz w:val="18"/>
                <w:szCs w:val="18"/>
              </w:rPr>
            </w:pPr>
            <w:r w:rsidRPr="00C55F06">
              <w:rPr>
                <w:rFonts w:ascii="Arial" w:hAnsi="Arial" w:cs="Arial"/>
                <w:sz w:val="18"/>
                <w:szCs w:val="18"/>
              </w:rPr>
              <w:t>Total elements</w:t>
            </w:r>
          </w:p>
        </w:tc>
        <w:tc>
          <w:tcPr>
            <w:tcW w:w="1928" w:type="dxa"/>
          </w:tcPr>
          <w:p w:rsidR="009D495B" w:rsidRPr="00C55F06" w:rsidP="009D495B" w14:paraId="19EC1CE2" w14:textId="77777777">
            <w:pPr>
              <w:spacing w:before="60" w:after="60"/>
              <w:rPr>
                <w:rFonts w:ascii="Arial" w:hAnsi="Arial" w:cs="Arial"/>
                <w:sz w:val="18"/>
                <w:szCs w:val="18"/>
              </w:rPr>
            </w:pPr>
            <w:r w:rsidRPr="00C55F06">
              <w:rPr>
                <w:rFonts w:ascii="Arial" w:hAnsi="Arial" w:cs="Arial"/>
                <w:sz w:val="18"/>
                <w:szCs w:val="18"/>
              </w:rPr>
              <w:t> </w:t>
            </w:r>
          </w:p>
        </w:tc>
        <w:tc>
          <w:tcPr>
            <w:tcW w:w="1915" w:type="dxa"/>
          </w:tcPr>
          <w:p w:rsidR="009D495B" w:rsidRPr="00C55F06" w:rsidP="009D495B" w14:paraId="121CDACD" w14:textId="77777777">
            <w:pPr>
              <w:spacing w:before="60" w:after="60"/>
              <w:rPr>
                <w:rFonts w:ascii="Arial" w:hAnsi="Arial" w:cs="Arial"/>
                <w:sz w:val="18"/>
                <w:szCs w:val="18"/>
              </w:rPr>
            </w:pPr>
            <w:r w:rsidRPr="00C55F06">
              <w:rPr>
                <w:rFonts w:ascii="Arial" w:hAnsi="Arial" w:cs="Arial"/>
                <w:sz w:val="18"/>
                <w:szCs w:val="18"/>
              </w:rPr>
              <w:t> </w:t>
            </w:r>
          </w:p>
        </w:tc>
        <w:tc>
          <w:tcPr>
            <w:tcW w:w="1915" w:type="dxa"/>
          </w:tcPr>
          <w:p w:rsidR="009D495B" w:rsidRPr="00C55F06" w:rsidP="009D495B" w14:paraId="7802B5FF" w14:textId="77777777">
            <w:pPr>
              <w:spacing w:before="60" w:after="60"/>
              <w:rPr>
                <w:rFonts w:ascii="Arial" w:hAnsi="Arial" w:cs="Arial"/>
                <w:sz w:val="18"/>
                <w:szCs w:val="18"/>
              </w:rPr>
            </w:pPr>
            <w:r w:rsidRPr="00C55F06">
              <w:rPr>
                <w:rFonts w:ascii="Arial" w:hAnsi="Arial" w:cs="Arial"/>
                <w:sz w:val="18"/>
                <w:szCs w:val="18"/>
              </w:rPr>
              <w:t> </w:t>
            </w:r>
          </w:p>
        </w:tc>
        <w:tc>
          <w:tcPr>
            <w:tcW w:w="1646" w:type="dxa"/>
          </w:tcPr>
          <w:p w:rsidR="009D495B" w:rsidRPr="00C55F06" w:rsidP="009D495B" w14:paraId="1B0CFB70" w14:textId="77777777">
            <w:pPr>
              <w:spacing w:before="60" w:after="60"/>
              <w:rPr>
                <w:rFonts w:ascii="Arial" w:hAnsi="Arial" w:cs="Arial"/>
                <w:sz w:val="18"/>
                <w:szCs w:val="18"/>
              </w:rPr>
            </w:pPr>
            <w:r w:rsidRPr="00C55F06">
              <w:rPr>
                <w:rFonts w:ascii="Arial" w:hAnsi="Arial" w:cs="Arial"/>
                <w:sz w:val="18"/>
                <w:szCs w:val="18"/>
              </w:rPr>
              <w:t> </w:t>
            </w:r>
          </w:p>
        </w:tc>
      </w:tr>
      <w:tr w14:paraId="7E4D57B5" w14:textId="77777777" w:rsidTr="00A86FB3">
        <w:tblPrEx>
          <w:tblW w:w="0" w:type="auto"/>
          <w:tblLook w:val="04A0"/>
        </w:tblPrEx>
        <w:trPr>
          <w:trHeight w:val="233"/>
        </w:trPr>
        <w:tc>
          <w:tcPr>
            <w:tcW w:w="1946" w:type="dxa"/>
          </w:tcPr>
          <w:p w:rsidR="009D495B" w:rsidRPr="00C55F06" w:rsidP="009D495B" w14:paraId="6F9C9A4D" w14:textId="712460B9">
            <w:pPr>
              <w:spacing w:before="60" w:after="60"/>
              <w:rPr>
                <w:rFonts w:ascii="Arial" w:hAnsi="Arial" w:cs="Arial"/>
                <w:sz w:val="18"/>
                <w:szCs w:val="18"/>
              </w:rPr>
            </w:pPr>
            <w:r w:rsidRPr="00C55F06">
              <w:rPr>
                <w:rFonts w:ascii="Arial" w:hAnsi="Arial" w:cs="Arial"/>
                <w:sz w:val="18"/>
                <w:szCs w:val="18"/>
              </w:rPr>
              <w:t>Match percent</w:t>
            </w:r>
            <w:r w:rsidRPr="00C55F06">
              <w:rPr>
                <w:rFonts w:ascii="Arial" w:hAnsi="Arial" w:cs="Arial"/>
                <w:sz w:val="18"/>
                <w:szCs w:val="18"/>
              </w:rPr>
              <w:tab/>
            </w:r>
          </w:p>
        </w:tc>
        <w:tc>
          <w:tcPr>
            <w:tcW w:w="1928" w:type="dxa"/>
          </w:tcPr>
          <w:p w:rsidR="009D495B" w:rsidRPr="00C55F06" w:rsidP="009D495B" w14:paraId="65D87E6C" w14:textId="77777777">
            <w:pPr>
              <w:spacing w:before="60" w:after="60"/>
              <w:rPr>
                <w:rFonts w:ascii="Arial" w:hAnsi="Arial" w:cs="Arial"/>
                <w:sz w:val="18"/>
                <w:szCs w:val="18"/>
              </w:rPr>
            </w:pPr>
            <w:r w:rsidRPr="00C55F06">
              <w:rPr>
                <w:rFonts w:ascii="Arial" w:hAnsi="Arial" w:cs="Arial"/>
                <w:sz w:val="18"/>
                <w:szCs w:val="18"/>
              </w:rPr>
              <w:t> </w:t>
            </w:r>
          </w:p>
        </w:tc>
        <w:tc>
          <w:tcPr>
            <w:tcW w:w="1915" w:type="dxa"/>
          </w:tcPr>
          <w:p w:rsidR="009D495B" w:rsidRPr="00C55F06" w:rsidP="009D495B" w14:paraId="3D76D837" w14:textId="77777777">
            <w:pPr>
              <w:spacing w:before="60" w:after="60"/>
              <w:rPr>
                <w:rFonts w:ascii="Arial" w:hAnsi="Arial" w:cs="Arial"/>
                <w:sz w:val="18"/>
                <w:szCs w:val="18"/>
              </w:rPr>
            </w:pPr>
            <w:r w:rsidRPr="00C55F06">
              <w:rPr>
                <w:rFonts w:ascii="Arial" w:hAnsi="Arial" w:cs="Arial"/>
                <w:sz w:val="18"/>
                <w:szCs w:val="18"/>
              </w:rPr>
              <w:t> </w:t>
            </w:r>
          </w:p>
        </w:tc>
        <w:tc>
          <w:tcPr>
            <w:tcW w:w="1915" w:type="dxa"/>
          </w:tcPr>
          <w:p w:rsidR="009D495B" w:rsidRPr="00C55F06" w:rsidP="009D495B" w14:paraId="13518DCD" w14:textId="77777777">
            <w:pPr>
              <w:spacing w:before="60" w:after="60"/>
              <w:rPr>
                <w:rFonts w:ascii="Arial" w:hAnsi="Arial" w:cs="Arial"/>
                <w:sz w:val="18"/>
                <w:szCs w:val="18"/>
              </w:rPr>
            </w:pPr>
            <w:r w:rsidRPr="00C55F06">
              <w:rPr>
                <w:rFonts w:ascii="Arial" w:hAnsi="Arial" w:cs="Arial"/>
                <w:sz w:val="18"/>
                <w:szCs w:val="18"/>
              </w:rPr>
              <w:t> </w:t>
            </w:r>
          </w:p>
        </w:tc>
        <w:tc>
          <w:tcPr>
            <w:tcW w:w="1646" w:type="dxa"/>
          </w:tcPr>
          <w:p w:rsidR="009D495B" w:rsidRPr="00C55F06" w:rsidP="009D495B" w14:paraId="3AB9A074" w14:textId="77777777">
            <w:pPr>
              <w:spacing w:before="60" w:after="60"/>
              <w:rPr>
                <w:rFonts w:ascii="Arial" w:hAnsi="Arial" w:cs="Arial"/>
                <w:sz w:val="18"/>
                <w:szCs w:val="18"/>
              </w:rPr>
            </w:pPr>
            <w:r w:rsidRPr="00C55F06">
              <w:rPr>
                <w:rFonts w:ascii="Arial" w:hAnsi="Arial" w:cs="Arial"/>
                <w:sz w:val="18"/>
                <w:szCs w:val="18"/>
              </w:rPr>
              <w:t> </w:t>
            </w:r>
          </w:p>
        </w:tc>
      </w:tr>
    </w:tbl>
    <w:p w:rsidR="009B6AF6" w:rsidRPr="00990D3B" w:rsidP="00E71EFE" w14:paraId="17118042" w14:textId="77777777">
      <w:pPr>
        <w:pStyle w:val="NoSpacing"/>
      </w:pPr>
    </w:p>
    <w:tbl>
      <w:tblPr>
        <w:tblStyle w:val="TableGrid"/>
        <w:tblW w:w="9354" w:type="dxa"/>
        <w:tblLook w:val="04A0"/>
      </w:tblPr>
      <w:tblGrid>
        <w:gridCol w:w="2362"/>
        <w:gridCol w:w="2341"/>
        <w:gridCol w:w="2325"/>
        <w:gridCol w:w="2326"/>
      </w:tblGrid>
      <w:tr w14:paraId="56D7B958" w14:textId="77777777" w:rsidTr="0049502B">
        <w:tblPrEx>
          <w:tblW w:w="9354" w:type="dxa"/>
          <w:tblLook w:val="04A0"/>
        </w:tblPrEx>
        <w:trPr>
          <w:trHeight w:val="262"/>
          <w:tblHeader/>
        </w:trPr>
        <w:tc>
          <w:tcPr>
            <w:tcW w:w="9354" w:type="dxa"/>
            <w:gridSpan w:val="4"/>
          </w:tcPr>
          <w:p w:rsidR="009B6AF6" w:rsidRPr="00990D3B" w:rsidP="00B27133" w14:paraId="157223E5" w14:textId="77777777">
            <w:pPr>
              <w:pStyle w:val="EQRTableHeaderLeft"/>
              <w:rPr>
                <w:color w:val="auto"/>
              </w:rPr>
            </w:pPr>
            <w:r w:rsidRPr="00990D3B">
              <w:rPr>
                <w:color w:val="auto"/>
              </w:rPr>
              <w:t>No Match for Diagnosis Code Element</w:t>
            </w:r>
          </w:p>
        </w:tc>
      </w:tr>
      <w:tr w14:paraId="65BE2C36" w14:textId="77777777" w:rsidTr="0049502B">
        <w:tblPrEx>
          <w:tblW w:w="9354" w:type="dxa"/>
          <w:tblLook w:val="04A0"/>
        </w:tblPrEx>
        <w:trPr>
          <w:trHeight w:val="944"/>
          <w:tblHeader/>
        </w:trPr>
        <w:tc>
          <w:tcPr>
            <w:tcW w:w="2362" w:type="dxa"/>
            <w:vAlign w:val="bottom"/>
          </w:tcPr>
          <w:p w:rsidR="009B6AF6" w:rsidRPr="00990D3B" w:rsidP="00B42A3C" w14:paraId="2CEE44CE" w14:textId="2B4B5500">
            <w:pPr>
              <w:pStyle w:val="EQRTableHeaderLeft"/>
              <w:rPr>
                <w:color w:val="auto"/>
              </w:rPr>
            </w:pPr>
            <w:r w:rsidRPr="00990D3B">
              <w:rPr>
                <w:color w:val="auto"/>
              </w:rPr>
              <w:t xml:space="preserve">Encounter </w:t>
            </w:r>
            <w:r w:rsidRPr="00990D3B" w:rsidR="009D495B">
              <w:rPr>
                <w:color w:val="auto"/>
              </w:rPr>
              <w:t>t</w:t>
            </w:r>
            <w:r w:rsidRPr="00990D3B">
              <w:rPr>
                <w:color w:val="auto"/>
              </w:rPr>
              <w:t>ype</w:t>
            </w:r>
          </w:p>
        </w:tc>
        <w:tc>
          <w:tcPr>
            <w:tcW w:w="2341" w:type="dxa"/>
            <w:vAlign w:val="bottom"/>
          </w:tcPr>
          <w:p w:rsidR="009B6AF6" w:rsidRPr="00990D3B" w:rsidP="002F136D" w14:paraId="4BD25286" w14:textId="67364EEA">
            <w:pPr>
              <w:pStyle w:val="EQRTableHeaderCenter"/>
              <w:rPr>
                <w:color w:val="auto"/>
              </w:rPr>
            </w:pPr>
            <w:r w:rsidRPr="00990D3B">
              <w:rPr>
                <w:color w:val="auto"/>
              </w:rPr>
              <w:t xml:space="preserve">Total </w:t>
            </w:r>
            <w:r w:rsidRPr="00990D3B" w:rsidR="009D495B">
              <w:rPr>
                <w:color w:val="auto"/>
              </w:rPr>
              <w:t>e</w:t>
            </w:r>
            <w:r w:rsidRPr="00990D3B">
              <w:rPr>
                <w:color w:val="auto"/>
              </w:rPr>
              <w:t>lements</w:t>
            </w:r>
          </w:p>
        </w:tc>
        <w:tc>
          <w:tcPr>
            <w:tcW w:w="2325" w:type="dxa"/>
            <w:vAlign w:val="bottom"/>
          </w:tcPr>
          <w:p w:rsidR="009B6AF6" w:rsidRPr="00990D3B" w:rsidP="002F136D" w14:paraId="5EB4C7A7" w14:textId="5AA19723">
            <w:pPr>
              <w:pStyle w:val="EQRTableHeaderCenter"/>
              <w:rPr>
                <w:color w:val="auto"/>
              </w:rPr>
            </w:pPr>
            <w:r w:rsidRPr="00990D3B">
              <w:rPr>
                <w:color w:val="auto"/>
              </w:rPr>
              <w:t xml:space="preserve">Lack of </w:t>
            </w:r>
            <w:r w:rsidRPr="00990D3B" w:rsidR="009D495B">
              <w:rPr>
                <w:color w:val="auto"/>
              </w:rPr>
              <w:t>m</w:t>
            </w:r>
            <w:r w:rsidRPr="00990D3B">
              <w:rPr>
                <w:color w:val="auto"/>
              </w:rPr>
              <w:t xml:space="preserve">edical </w:t>
            </w:r>
            <w:r w:rsidRPr="00990D3B" w:rsidR="009D495B">
              <w:rPr>
                <w:color w:val="auto"/>
              </w:rPr>
              <w:t>r</w:t>
            </w:r>
            <w:r w:rsidRPr="00990D3B">
              <w:rPr>
                <w:color w:val="auto"/>
              </w:rPr>
              <w:t xml:space="preserve">ecord </w:t>
            </w:r>
            <w:r w:rsidRPr="00990D3B" w:rsidR="009D495B">
              <w:rPr>
                <w:color w:val="auto"/>
              </w:rPr>
              <w:t>d</w:t>
            </w:r>
            <w:r w:rsidRPr="00990D3B">
              <w:rPr>
                <w:color w:val="auto"/>
              </w:rPr>
              <w:t>ocumentation</w:t>
            </w:r>
          </w:p>
        </w:tc>
        <w:tc>
          <w:tcPr>
            <w:tcW w:w="2325" w:type="dxa"/>
            <w:vAlign w:val="bottom"/>
          </w:tcPr>
          <w:p w:rsidR="009B6AF6" w:rsidRPr="00990D3B" w:rsidP="002F136D" w14:paraId="585C3DDD" w14:textId="0BF53CC1">
            <w:pPr>
              <w:pStyle w:val="EQRTableHeaderCenter"/>
              <w:rPr>
                <w:color w:val="auto"/>
              </w:rPr>
            </w:pPr>
            <w:r w:rsidRPr="00990D3B">
              <w:rPr>
                <w:color w:val="auto"/>
              </w:rPr>
              <w:t xml:space="preserve">Incorrect </w:t>
            </w:r>
            <w:r w:rsidRPr="00990D3B" w:rsidR="009D495B">
              <w:rPr>
                <w:color w:val="auto"/>
              </w:rPr>
              <w:t>p</w:t>
            </w:r>
            <w:r w:rsidRPr="00990D3B">
              <w:rPr>
                <w:color w:val="auto"/>
              </w:rPr>
              <w:t xml:space="preserve">rincipal </w:t>
            </w:r>
            <w:r w:rsidRPr="00990D3B" w:rsidR="009D495B">
              <w:rPr>
                <w:color w:val="auto"/>
              </w:rPr>
              <w:t>d</w:t>
            </w:r>
            <w:r w:rsidRPr="00990D3B">
              <w:rPr>
                <w:color w:val="auto"/>
              </w:rPr>
              <w:t>iagnosis (</w:t>
            </w:r>
            <w:r w:rsidRPr="00990D3B" w:rsidR="009D495B">
              <w:rPr>
                <w:color w:val="auto"/>
              </w:rPr>
              <w:t>i</w:t>
            </w:r>
            <w:r w:rsidRPr="00990D3B">
              <w:rPr>
                <w:color w:val="auto"/>
              </w:rPr>
              <w:t xml:space="preserve">npatient) or </w:t>
            </w:r>
            <w:r w:rsidRPr="00990D3B" w:rsidR="009D495B">
              <w:rPr>
                <w:color w:val="auto"/>
              </w:rPr>
              <w:t>i</w:t>
            </w:r>
            <w:r w:rsidRPr="00990D3B">
              <w:rPr>
                <w:color w:val="auto"/>
              </w:rPr>
              <w:t xml:space="preserve">ncorrect </w:t>
            </w:r>
            <w:r w:rsidRPr="00990D3B" w:rsidR="009D495B">
              <w:rPr>
                <w:color w:val="auto"/>
              </w:rPr>
              <w:t>d</w:t>
            </w:r>
            <w:r w:rsidRPr="00990D3B">
              <w:rPr>
                <w:color w:val="auto"/>
              </w:rPr>
              <w:t xml:space="preserve">iagnosis </w:t>
            </w:r>
            <w:r w:rsidRPr="00990D3B" w:rsidR="009D495B">
              <w:rPr>
                <w:color w:val="auto"/>
              </w:rPr>
              <w:t>c</w:t>
            </w:r>
            <w:r w:rsidRPr="00990D3B">
              <w:rPr>
                <w:color w:val="auto"/>
              </w:rPr>
              <w:t>odes</w:t>
            </w:r>
          </w:p>
        </w:tc>
      </w:tr>
      <w:tr w14:paraId="2D92CDC9" w14:textId="77777777" w:rsidTr="00AC44F2">
        <w:tblPrEx>
          <w:tblW w:w="9354" w:type="dxa"/>
          <w:tblLook w:val="04A0"/>
        </w:tblPrEx>
        <w:trPr>
          <w:trHeight w:val="274"/>
        </w:trPr>
        <w:tc>
          <w:tcPr>
            <w:tcW w:w="2362" w:type="dxa"/>
          </w:tcPr>
          <w:p w:rsidR="009B6AF6" w:rsidRPr="00990D3B" w:rsidP="0049502B" w14:paraId="4BB30728" w14:textId="77777777">
            <w:pPr>
              <w:spacing w:before="60" w:after="60"/>
              <w:rPr>
                <w:rFonts w:ascii="Arial" w:hAnsi="Arial" w:cs="Arial"/>
                <w:sz w:val="18"/>
                <w:szCs w:val="18"/>
              </w:rPr>
            </w:pPr>
            <w:r w:rsidRPr="00990D3B">
              <w:rPr>
                <w:rFonts w:ascii="Arial" w:hAnsi="Arial" w:cs="Arial"/>
                <w:sz w:val="18"/>
                <w:szCs w:val="18"/>
              </w:rPr>
              <w:t>Inpatient</w:t>
            </w:r>
          </w:p>
        </w:tc>
        <w:tc>
          <w:tcPr>
            <w:tcW w:w="2341" w:type="dxa"/>
          </w:tcPr>
          <w:p w:rsidR="009B6AF6" w:rsidRPr="00990D3B" w:rsidP="0049502B" w14:paraId="2E2666D2" w14:textId="77777777">
            <w:pPr>
              <w:spacing w:before="60" w:after="60"/>
              <w:rPr>
                <w:rFonts w:ascii="Arial" w:hAnsi="Arial" w:cs="Arial"/>
                <w:sz w:val="18"/>
                <w:szCs w:val="18"/>
              </w:rPr>
            </w:pPr>
            <w:r w:rsidRPr="00990D3B">
              <w:rPr>
                <w:rFonts w:ascii="Arial" w:hAnsi="Arial" w:cs="Arial"/>
                <w:sz w:val="18"/>
                <w:szCs w:val="18"/>
              </w:rPr>
              <w:t> </w:t>
            </w:r>
          </w:p>
        </w:tc>
        <w:tc>
          <w:tcPr>
            <w:tcW w:w="2325" w:type="dxa"/>
          </w:tcPr>
          <w:p w:rsidR="009B6AF6" w:rsidRPr="00990D3B" w:rsidP="0049502B" w14:paraId="12433F3D" w14:textId="77777777">
            <w:pPr>
              <w:spacing w:before="60" w:after="60"/>
              <w:rPr>
                <w:rFonts w:ascii="Arial" w:hAnsi="Arial" w:cs="Arial"/>
                <w:sz w:val="18"/>
                <w:szCs w:val="18"/>
              </w:rPr>
            </w:pPr>
            <w:r w:rsidRPr="00990D3B">
              <w:rPr>
                <w:rFonts w:ascii="Arial" w:hAnsi="Arial" w:cs="Arial"/>
                <w:sz w:val="18"/>
                <w:szCs w:val="18"/>
              </w:rPr>
              <w:t> </w:t>
            </w:r>
          </w:p>
        </w:tc>
        <w:tc>
          <w:tcPr>
            <w:tcW w:w="2325" w:type="dxa"/>
          </w:tcPr>
          <w:p w:rsidR="009B6AF6" w:rsidRPr="00990D3B" w:rsidP="0049502B" w14:paraId="38DDBC6F" w14:textId="77777777">
            <w:pPr>
              <w:spacing w:before="60" w:after="60"/>
              <w:rPr>
                <w:rFonts w:ascii="Arial" w:hAnsi="Arial" w:cs="Arial"/>
                <w:sz w:val="18"/>
                <w:szCs w:val="18"/>
              </w:rPr>
            </w:pPr>
            <w:r w:rsidRPr="00990D3B">
              <w:rPr>
                <w:rFonts w:ascii="Arial" w:hAnsi="Arial" w:cs="Arial"/>
                <w:sz w:val="18"/>
                <w:szCs w:val="18"/>
              </w:rPr>
              <w:t> </w:t>
            </w:r>
          </w:p>
        </w:tc>
      </w:tr>
      <w:tr w14:paraId="45C295BE" w14:textId="77777777" w:rsidTr="00AC44F2">
        <w:tblPrEx>
          <w:tblW w:w="9354" w:type="dxa"/>
          <w:tblLook w:val="04A0"/>
        </w:tblPrEx>
        <w:trPr>
          <w:trHeight w:val="274"/>
        </w:trPr>
        <w:tc>
          <w:tcPr>
            <w:tcW w:w="2362" w:type="dxa"/>
          </w:tcPr>
          <w:p w:rsidR="009B6AF6" w:rsidRPr="00990D3B" w:rsidP="0049502B" w14:paraId="73ED5B3A" w14:textId="77777777">
            <w:pPr>
              <w:spacing w:before="60" w:after="60"/>
              <w:rPr>
                <w:rFonts w:ascii="Arial" w:hAnsi="Arial" w:cs="Arial"/>
                <w:sz w:val="18"/>
                <w:szCs w:val="18"/>
              </w:rPr>
            </w:pPr>
            <w:r w:rsidRPr="00990D3B">
              <w:rPr>
                <w:rFonts w:ascii="Arial" w:hAnsi="Arial" w:cs="Arial"/>
                <w:sz w:val="18"/>
                <w:szCs w:val="18"/>
              </w:rPr>
              <w:t>Outpatient</w:t>
            </w:r>
          </w:p>
        </w:tc>
        <w:tc>
          <w:tcPr>
            <w:tcW w:w="2341" w:type="dxa"/>
          </w:tcPr>
          <w:p w:rsidR="009B6AF6" w:rsidRPr="00990D3B" w:rsidP="0049502B" w14:paraId="73D1BDA6" w14:textId="77777777">
            <w:pPr>
              <w:spacing w:before="60" w:after="60"/>
              <w:rPr>
                <w:rFonts w:ascii="Arial" w:hAnsi="Arial" w:cs="Arial"/>
                <w:sz w:val="18"/>
                <w:szCs w:val="18"/>
              </w:rPr>
            </w:pPr>
            <w:r w:rsidRPr="00990D3B">
              <w:rPr>
                <w:rFonts w:ascii="Arial" w:hAnsi="Arial" w:cs="Arial"/>
                <w:sz w:val="18"/>
                <w:szCs w:val="18"/>
              </w:rPr>
              <w:t> </w:t>
            </w:r>
          </w:p>
        </w:tc>
        <w:tc>
          <w:tcPr>
            <w:tcW w:w="2325" w:type="dxa"/>
          </w:tcPr>
          <w:p w:rsidR="009B6AF6" w:rsidRPr="00990D3B" w:rsidP="0049502B" w14:paraId="506573A1" w14:textId="77777777">
            <w:pPr>
              <w:spacing w:before="60" w:after="60"/>
              <w:rPr>
                <w:rFonts w:ascii="Arial" w:hAnsi="Arial" w:cs="Arial"/>
                <w:sz w:val="18"/>
                <w:szCs w:val="18"/>
              </w:rPr>
            </w:pPr>
            <w:r w:rsidRPr="00990D3B">
              <w:rPr>
                <w:rFonts w:ascii="Arial" w:hAnsi="Arial" w:cs="Arial"/>
                <w:sz w:val="18"/>
                <w:szCs w:val="18"/>
              </w:rPr>
              <w:t> </w:t>
            </w:r>
          </w:p>
        </w:tc>
        <w:tc>
          <w:tcPr>
            <w:tcW w:w="2325" w:type="dxa"/>
          </w:tcPr>
          <w:p w:rsidR="009B6AF6" w:rsidRPr="00990D3B" w:rsidP="0049502B" w14:paraId="5F11B7BC" w14:textId="77777777">
            <w:pPr>
              <w:spacing w:before="60" w:after="60"/>
              <w:rPr>
                <w:rFonts w:ascii="Arial" w:hAnsi="Arial" w:cs="Arial"/>
                <w:sz w:val="18"/>
                <w:szCs w:val="18"/>
              </w:rPr>
            </w:pPr>
            <w:r w:rsidRPr="00990D3B">
              <w:rPr>
                <w:rFonts w:ascii="Arial" w:hAnsi="Arial" w:cs="Arial"/>
                <w:sz w:val="18"/>
                <w:szCs w:val="18"/>
              </w:rPr>
              <w:t> </w:t>
            </w:r>
          </w:p>
        </w:tc>
      </w:tr>
      <w:tr w14:paraId="37E715AE" w14:textId="77777777" w:rsidTr="00AC44F2">
        <w:tblPrEx>
          <w:tblW w:w="9354" w:type="dxa"/>
          <w:tblLook w:val="04A0"/>
        </w:tblPrEx>
        <w:trPr>
          <w:trHeight w:val="262"/>
        </w:trPr>
        <w:tc>
          <w:tcPr>
            <w:tcW w:w="2362" w:type="dxa"/>
          </w:tcPr>
          <w:p w:rsidR="009B6AF6" w:rsidRPr="00990D3B" w:rsidP="0049502B" w14:paraId="54F769D2" w14:textId="0FC66D96">
            <w:pPr>
              <w:spacing w:before="60" w:after="60"/>
              <w:rPr>
                <w:rFonts w:ascii="Arial" w:hAnsi="Arial" w:cs="Arial"/>
                <w:sz w:val="18"/>
                <w:szCs w:val="18"/>
              </w:rPr>
            </w:pPr>
            <w:r w:rsidRPr="00990D3B">
              <w:rPr>
                <w:rFonts w:ascii="Arial" w:hAnsi="Arial" w:cs="Arial"/>
                <w:sz w:val="18"/>
                <w:szCs w:val="18"/>
              </w:rPr>
              <w:t xml:space="preserve">Office </w:t>
            </w:r>
            <w:r w:rsidRPr="00990D3B" w:rsidR="009D495B">
              <w:rPr>
                <w:rFonts w:ascii="Arial" w:hAnsi="Arial" w:cs="Arial"/>
                <w:sz w:val="18"/>
                <w:szCs w:val="18"/>
              </w:rPr>
              <w:t>v</w:t>
            </w:r>
            <w:r w:rsidRPr="00990D3B">
              <w:rPr>
                <w:rFonts w:ascii="Arial" w:hAnsi="Arial" w:cs="Arial"/>
                <w:sz w:val="18"/>
                <w:szCs w:val="18"/>
              </w:rPr>
              <w:t>isit</w:t>
            </w:r>
          </w:p>
        </w:tc>
        <w:tc>
          <w:tcPr>
            <w:tcW w:w="2341" w:type="dxa"/>
          </w:tcPr>
          <w:p w:rsidR="009B6AF6" w:rsidRPr="00990D3B" w:rsidP="0049502B" w14:paraId="32A3884A" w14:textId="77777777">
            <w:pPr>
              <w:spacing w:before="60" w:after="60"/>
              <w:rPr>
                <w:rFonts w:ascii="Arial" w:hAnsi="Arial" w:cs="Arial"/>
                <w:sz w:val="18"/>
                <w:szCs w:val="18"/>
              </w:rPr>
            </w:pPr>
            <w:r w:rsidRPr="00990D3B">
              <w:rPr>
                <w:rFonts w:ascii="Arial" w:hAnsi="Arial" w:cs="Arial"/>
                <w:sz w:val="18"/>
                <w:szCs w:val="18"/>
              </w:rPr>
              <w:t> </w:t>
            </w:r>
          </w:p>
        </w:tc>
        <w:tc>
          <w:tcPr>
            <w:tcW w:w="2325" w:type="dxa"/>
          </w:tcPr>
          <w:p w:rsidR="009B6AF6" w:rsidRPr="00990D3B" w:rsidP="0049502B" w14:paraId="46B0410B" w14:textId="77777777">
            <w:pPr>
              <w:spacing w:before="60" w:after="60"/>
              <w:rPr>
                <w:rFonts w:ascii="Arial" w:hAnsi="Arial" w:cs="Arial"/>
                <w:sz w:val="18"/>
                <w:szCs w:val="18"/>
              </w:rPr>
            </w:pPr>
            <w:r w:rsidRPr="00990D3B">
              <w:rPr>
                <w:rFonts w:ascii="Arial" w:hAnsi="Arial" w:cs="Arial"/>
                <w:sz w:val="18"/>
                <w:szCs w:val="18"/>
              </w:rPr>
              <w:t> </w:t>
            </w:r>
          </w:p>
        </w:tc>
        <w:tc>
          <w:tcPr>
            <w:tcW w:w="2325" w:type="dxa"/>
          </w:tcPr>
          <w:p w:rsidR="009B6AF6" w:rsidRPr="00990D3B" w:rsidP="0049502B" w14:paraId="72BC2BBE" w14:textId="77777777">
            <w:pPr>
              <w:spacing w:before="60" w:after="60"/>
              <w:rPr>
                <w:rFonts w:ascii="Arial" w:hAnsi="Arial" w:cs="Arial"/>
                <w:sz w:val="18"/>
                <w:szCs w:val="18"/>
              </w:rPr>
            </w:pPr>
            <w:r w:rsidRPr="00990D3B">
              <w:rPr>
                <w:rFonts w:ascii="Arial" w:hAnsi="Arial" w:cs="Arial"/>
                <w:sz w:val="18"/>
                <w:szCs w:val="18"/>
              </w:rPr>
              <w:t> </w:t>
            </w:r>
          </w:p>
        </w:tc>
      </w:tr>
      <w:tr w14:paraId="6E8FEF3F" w14:textId="77777777" w:rsidTr="00AC44F2">
        <w:tblPrEx>
          <w:tblW w:w="9354" w:type="dxa"/>
          <w:tblLook w:val="04A0"/>
        </w:tblPrEx>
        <w:trPr>
          <w:trHeight w:val="262"/>
        </w:trPr>
        <w:tc>
          <w:tcPr>
            <w:tcW w:w="2362" w:type="dxa"/>
          </w:tcPr>
          <w:p w:rsidR="009B6AF6" w:rsidRPr="00990D3B" w:rsidP="0049502B" w14:paraId="37377F37" w14:textId="77777777">
            <w:pPr>
              <w:spacing w:before="60" w:after="60"/>
              <w:rPr>
                <w:rFonts w:ascii="Arial" w:hAnsi="Arial" w:cs="Arial"/>
                <w:sz w:val="18"/>
                <w:szCs w:val="18"/>
              </w:rPr>
            </w:pPr>
            <w:r w:rsidRPr="00990D3B">
              <w:rPr>
                <w:rFonts w:ascii="Arial" w:hAnsi="Arial" w:cs="Arial"/>
                <w:sz w:val="18"/>
                <w:szCs w:val="18"/>
              </w:rPr>
              <w:t>Total</w:t>
            </w:r>
          </w:p>
        </w:tc>
        <w:tc>
          <w:tcPr>
            <w:tcW w:w="2341" w:type="dxa"/>
          </w:tcPr>
          <w:p w:rsidR="009B6AF6" w:rsidRPr="00990D3B" w:rsidP="0049502B" w14:paraId="67183400" w14:textId="77777777">
            <w:pPr>
              <w:spacing w:before="60" w:after="60"/>
              <w:rPr>
                <w:rFonts w:ascii="Arial" w:hAnsi="Arial" w:cs="Arial"/>
                <w:sz w:val="18"/>
                <w:szCs w:val="18"/>
              </w:rPr>
            </w:pPr>
            <w:r w:rsidRPr="00990D3B">
              <w:rPr>
                <w:rFonts w:ascii="Arial" w:hAnsi="Arial" w:cs="Arial"/>
                <w:sz w:val="18"/>
                <w:szCs w:val="18"/>
              </w:rPr>
              <w:t> </w:t>
            </w:r>
          </w:p>
        </w:tc>
        <w:tc>
          <w:tcPr>
            <w:tcW w:w="2325" w:type="dxa"/>
          </w:tcPr>
          <w:p w:rsidR="009B6AF6" w:rsidRPr="00990D3B" w:rsidP="0049502B" w14:paraId="268FC7BB" w14:textId="77777777">
            <w:pPr>
              <w:spacing w:before="60" w:after="60"/>
              <w:rPr>
                <w:rFonts w:ascii="Arial" w:hAnsi="Arial" w:cs="Arial"/>
                <w:sz w:val="18"/>
                <w:szCs w:val="18"/>
              </w:rPr>
            </w:pPr>
            <w:r w:rsidRPr="00990D3B">
              <w:rPr>
                <w:rFonts w:ascii="Arial" w:hAnsi="Arial" w:cs="Arial"/>
                <w:sz w:val="18"/>
                <w:szCs w:val="18"/>
              </w:rPr>
              <w:t> </w:t>
            </w:r>
          </w:p>
        </w:tc>
        <w:tc>
          <w:tcPr>
            <w:tcW w:w="2325" w:type="dxa"/>
          </w:tcPr>
          <w:p w:rsidR="009B6AF6" w:rsidRPr="00990D3B" w:rsidP="0049502B" w14:paraId="74EE21B4" w14:textId="77777777">
            <w:pPr>
              <w:spacing w:before="60" w:after="60"/>
              <w:rPr>
                <w:rFonts w:ascii="Arial" w:hAnsi="Arial" w:cs="Arial"/>
                <w:sz w:val="18"/>
                <w:szCs w:val="18"/>
              </w:rPr>
            </w:pPr>
            <w:r w:rsidRPr="00990D3B">
              <w:rPr>
                <w:rFonts w:ascii="Arial" w:hAnsi="Arial" w:cs="Arial"/>
                <w:sz w:val="18"/>
                <w:szCs w:val="18"/>
              </w:rPr>
              <w:t> </w:t>
            </w:r>
          </w:p>
        </w:tc>
      </w:tr>
    </w:tbl>
    <w:p w:rsidR="009B6AF6" w:rsidRPr="00990D3B" w:rsidP="00E71EFE" w14:paraId="2A61B8E1" w14:textId="77777777">
      <w:pPr>
        <w:pStyle w:val="NoSpacing"/>
      </w:pPr>
    </w:p>
    <w:tbl>
      <w:tblPr>
        <w:tblStyle w:val="TableGrid"/>
        <w:tblW w:w="9354" w:type="dxa"/>
        <w:tblLook w:val="04A0"/>
      </w:tblPr>
      <w:tblGrid>
        <w:gridCol w:w="2362"/>
        <w:gridCol w:w="2341"/>
        <w:gridCol w:w="2325"/>
        <w:gridCol w:w="2326"/>
      </w:tblGrid>
      <w:tr w14:paraId="171410BA" w14:textId="77777777" w:rsidTr="0049502B">
        <w:tblPrEx>
          <w:tblW w:w="9354" w:type="dxa"/>
          <w:tblLook w:val="04A0"/>
        </w:tblPrEx>
        <w:trPr>
          <w:trHeight w:val="262"/>
          <w:tblHeader/>
        </w:trPr>
        <w:tc>
          <w:tcPr>
            <w:tcW w:w="9354" w:type="dxa"/>
            <w:gridSpan w:val="4"/>
          </w:tcPr>
          <w:p w:rsidR="009B6AF6" w:rsidRPr="00990D3B" w:rsidP="00B42A3C" w14:paraId="01FE6277" w14:textId="77777777">
            <w:pPr>
              <w:pStyle w:val="EQRTableHeaderLeft"/>
              <w:rPr>
                <w:color w:val="auto"/>
              </w:rPr>
            </w:pPr>
            <w:r w:rsidRPr="00990D3B">
              <w:rPr>
                <w:color w:val="auto"/>
              </w:rPr>
              <w:t>No Match for Procedure Code Element</w:t>
            </w:r>
          </w:p>
        </w:tc>
      </w:tr>
      <w:tr w14:paraId="25287747" w14:textId="77777777" w:rsidTr="009D495B">
        <w:tblPrEx>
          <w:tblW w:w="9354" w:type="dxa"/>
          <w:tblLook w:val="04A0"/>
        </w:tblPrEx>
        <w:trPr>
          <w:trHeight w:val="845"/>
          <w:tblHeader/>
        </w:trPr>
        <w:tc>
          <w:tcPr>
            <w:tcW w:w="2362" w:type="dxa"/>
            <w:vAlign w:val="bottom"/>
          </w:tcPr>
          <w:p w:rsidR="009D495B" w:rsidRPr="00990D3B" w:rsidP="00B42A3C" w14:paraId="77D26A77" w14:textId="70D44BE5">
            <w:pPr>
              <w:pStyle w:val="EQRTableHeaderLeft"/>
              <w:rPr>
                <w:color w:val="auto"/>
              </w:rPr>
            </w:pPr>
            <w:r w:rsidRPr="00990D3B">
              <w:rPr>
                <w:color w:val="auto"/>
              </w:rPr>
              <w:t>Encounter type</w:t>
            </w:r>
          </w:p>
        </w:tc>
        <w:tc>
          <w:tcPr>
            <w:tcW w:w="2341" w:type="dxa"/>
            <w:vAlign w:val="bottom"/>
          </w:tcPr>
          <w:p w:rsidR="009D495B" w:rsidRPr="00990D3B" w:rsidP="002F136D" w14:paraId="5E4B3F3B" w14:textId="44277511">
            <w:pPr>
              <w:pStyle w:val="EQRTableHeaderCenter"/>
              <w:rPr>
                <w:color w:val="auto"/>
              </w:rPr>
            </w:pPr>
            <w:r w:rsidRPr="00990D3B">
              <w:rPr>
                <w:color w:val="auto"/>
              </w:rPr>
              <w:t>Total elements</w:t>
            </w:r>
          </w:p>
        </w:tc>
        <w:tc>
          <w:tcPr>
            <w:tcW w:w="2325" w:type="dxa"/>
            <w:vAlign w:val="bottom"/>
          </w:tcPr>
          <w:p w:rsidR="009D495B" w:rsidRPr="00990D3B" w:rsidP="002F136D" w14:paraId="07C598C6" w14:textId="259E933A">
            <w:pPr>
              <w:pStyle w:val="EQRTableHeaderCenter"/>
              <w:rPr>
                <w:color w:val="auto"/>
              </w:rPr>
            </w:pPr>
            <w:r w:rsidRPr="00990D3B">
              <w:rPr>
                <w:color w:val="auto"/>
              </w:rPr>
              <w:t>Lack of medical record documentation</w:t>
            </w:r>
          </w:p>
        </w:tc>
        <w:tc>
          <w:tcPr>
            <w:tcW w:w="2326" w:type="dxa"/>
            <w:vAlign w:val="bottom"/>
          </w:tcPr>
          <w:p w:rsidR="009D495B" w:rsidRPr="00990D3B" w:rsidP="002F136D" w14:paraId="42828B58" w14:textId="68B0610E">
            <w:pPr>
              <w:pStyle w:val="EQRTableHeaderCenter"/>
              <w:rPr>
                <w:color w:val="auto"/>
              </w:rPr>
            </w:pPr>
            <w:r w:rsidRPr="00990D3B">
              <w:rPr>
                <w:color w:val="auto"/>
              </w:rPr>
              <w:t>Incorrect principal diagnosis (inpatient) or incorrect diagnosis codes</w:t>
            </w:r>
          </w:p>
        </w:tc>
      </w:tr>
      <w:tr w14:paraId="66937888" w14:textId="77777777" w:rsidTr="009D495B">
        <w:tblPrEx>
          <w:tblW w:w="9354" w:type="dxa"/>
          <w:tblLook w:val="04A0"/>
        </w:tblPrEx>
        <w:trPr>
          <w:trHeight w:val="274"/>
        </w:trPr>
        <w:tc>
          <w:tcPr>
            <w:tcW w:w="2362" w:type="dxa"/>
          </w:tcPr>
          <w:p w:rsidR="009B6AF6" w:rsidRPr="00990D3B" w:rsidP="0049502B" w14:paraId="1C749D23" w14:textId="77777777">
            <w:pPr>
              <w:spacing w:before="60" w:after="60"/>
              <w:rPr>
                <w:rFonts w:ascii="Arial" w:hAnsi="Arial" w:cs="Arial"/>
                <w:sz w:val="18"/>
                <w:szCs w:val="18"/>
              </w:rPr>
            </w:pPr>
            <w:r w:rsidRPr="00990D3B">
              <w:rPr>
                <w:rFonts w:ascii="Arial" w:hAnsi="Arial" w:cs="Arial"/>
                <w:sz w:val="18"/>
                <w:szCs w:val="18"/>
              </w:rPr>
              <w:t>Inpatient</w:t>
            </w:r>
          </w:p>
        </w:tc>
        <w:tc>
          <w:tcPr>
            <w:tcW w:w="2341" w:type="dxa"/>
          </w:tcPr>
          <w:p w:rsidR="009B6AF6" w:rsidRPr="00990D3B" w:rsidP="0049502B" w14:paraId="40BCFFFC" w14:textId="77777777">
            <w:pPr>
              <w:spacing w:before="60" w:after="60"/>
              <w:rPr>
                <w:rFonts w:ascii="Arial" w:hAnsi="Arial" w:cs="Arial"/>
                <w:sz w:val="18"/>
                <w:szCs w:val="18"/>
              </w:rPr>
            </w:pPr>
            <w:r w:rsidRPr="00990D3B">
              <w:rPr>
                <w:rFonts w:ascii="Arial" w:hAnsi="Arial" w:cs="Arial"/>
                <w:sz w:val="18"/>
                <w:szCs w:val="18"/>
              </w:rPr>
              <w:t> </w:t>
            </w:r>
          </w:p>
        </w:tc>
        <w:tc>
          <w:tcPr>
            <w:tcW w:w="2325" w:type="dxa"/>
          </w:tcPr>
          <w:p w:rsidR="009B6AF6" w:rsidRPr="00990D3B" w:rsidP="0049502B" w14:paraId="2DB55032" w14:textId="77777777">
            <w:pPr>
              <w:spacing w:before="60" w:after="60"/>
              <w:rPr>
                <w:rFonts w:ascii="Arial" w:hAnsi="Arial" w:cs="Arial"/>
                <w:sz w:val="18"/>
                <w:szCs w:val="18"/>
              </w:rPr>
            </w:pPr>
            <w:r w:rsidRPr="00990D3B">
              <w:rPr>
                <w:rFonts w:ascii="Arial" w:hAnsi="Arial" w:cs="Arial"/>
                <w:sz w:val="18"/>
                <w:szCs w:val="18"/>
              </w:rPr>
              <w:t> </w:t>
            </w:r>
          </w:p>
        </w:tc>
        <w:tc>
          <w:tcPr>
            <w:tcW w:w="2326" w:type="dxa"/>
          </w:tcPr>
          <w:p w:rsidR="009B6AF6" w:rsidRPr="00990D3B" w:rsidP="0049502B" w14:paraId="1FD26C5A" w14:textId="77777777">
            <w:pPr>
              <w:spacing w:before="60" w:after="60"/>
              <w:rPr>
                <w:rFonts w:ascii="Arial" w:hAnsi="Arial" w:cs="Arial"/>
                <w:sz w:val="18"/>
                <w:szCs w:val="18"/>
              </w:rPr>
            </w:pPr>
            <w:r w:rsidRPr="00990D3B">
              <w:rPr>
                <w:rFonts w:ascii="Arial" w:hAnsi="Arial" w:cs="Arial"/>
                <w:sz w:val="18"/>
                <w:szCs w:val="18"/>
              </w:rPr>
              <w:t> </w:t>
            </w:r>
          </w:p>
        </w:tc>
      </w:tr>
      <w:tr w14:paraId="7318894D" w14:textId="77777777" w:rsidTr="009D495B">
        <w:tblPrEx>
          <w:tblW w:w="9354" w:type="dxa"/>
          <w:tblLook w:val="04A0"/>
        </w:tblPrEx>
        <w:trPr>
          <w:trHeight w:val="274"/>
        </w:trPr>
        <w:tc>
          <w:tcPr>
            <w:tcW w:w="2362" w:type="dxa"/>
          </w:tcPr>
          <w:p w:rsidR="009B6AF6" w:rsidRPr="00990D3B" w:rsidP="0049502B" w14:paraId="4283F051" w14:textId="77777777">
            <w:pPr>
              <w:spacing w:before="60" w:after="60"/>
              <w:rPr>
                <w:rFonts w:ascii="Arial" w:hAnsi="Arial" w:cs="Arial"/>
                <w:sz w:val="18"/>
                <w:szCs w:val="18"/>
              </w:rPr>
            </w:pPr>
            <w:r w:rsidRPr="00990D3B">
              <w:rPr>
                <w:rFonts w:ascii="Arial" w:hAnsi="Arial" w:cs="Arial"/>
                <w:sz w:val="18"/>
                <w:szCs w:val="18"/>
              </w:rPr>
              <w:t>Outpatient</w:t>
            </w:r>
          </w:p>
        </w:tc>
        <w:tc>
          <w:tcPr>
            <w:tcW w:w="2341" w:type="dxa"/>
          </w:tcPr>
          <w:p w:rsidR="009B6AF6" w:rsidRPr="00990D3B" w:rsidP="0049502B" w14:paraId="5AA73761" w14:textId="77777777">
            <w:pPr>
              <w:spacing w:before="60" w:after="60"/>
              <w:rPr>
                <w:rFonts w:ascii="Arial" w:hAnsi="Arial" w:cs="Arial"/>
                <w:sz w:val="18"/>
                <w:szCs w:val="18"/>
              </w:rPr>
            </w:pPr>
            <w:r w:rsidRPr="00990D3B">
              <w:rPr>
                <w:rFonts w:ascii="Arial" w:hAnsi="Arial" w:cs="Arial"/>
                <w:sz w:val="18"/>
                <w:szCs w:val="18"/>
              </w:rPr>
              <w:t> </w:t>
            </w:r>
          </w:p>
        </w:tc>
        <w:tc>
          <w:tcPr>
            <w:tcW w:w="2325" w:type="dxa"/>
          </w:tcPr>
          <w:p w:rsidR="009B6AF6" w:rsidRPr="00990D3B" w:rsidP="0049502B" w14:paraId="5C0469EA" w14:textId="77777777">
            <w:pPr>
              <w:spacing w:before="60" w:after="60"/>
              <w:rPr>
                <w:rFonts w:ascii="Arial" w:hAnsi="Arial" w:cs="Arial"/>
                <w:sz w:val="18"/>
                <w:szCs w:val="18"/>
              </w:rPr>
            </w:pPr>
            <w:r w:rsidRPr="00990D3B">
              <w:rPr>
                <w:rFonts w:ascii="Arial" w:hAnsi="Arial" w:cs="Arial"/>
                <w:sz w:val="18"/>
                <w:szCs w:val="18"/>
              </w:rPr>
              <w:t> </w:t>
            </w:r>
          </w:p>
        </w:tc>
        <w:tc>
          <w:tcPr>
            <w:tcW w:w="2326" w:type="dxa"/>
          </w:tcPr>
          <w:p w:rsidR="009B6AF6" w:rsidRPr="00990D3B" w:rsidP="0049502B" w14:paraId="30602281" w14:textId="77777777">
            <w:pPr>
              <w:spacing w:before="60" w:after="60"/>
              <w:rPr>
                <w:rFonts w:ascii="Arial" w:hAnsi="Arial" w:cs="Arial"/>
                <w:sz w:val="18"/>
                <w:szCs w:val="18"/>
              </w:rPr>
            </w:pPr>
            <w:r w:rsidRPr="00990D3B">
              <w:rPr>
                <w:rFonts w:ascii="Arial" w:hAnsi="Arial" w:cs="Arial"/>
                <w:sz w:val="18"/>
                <w:szCs w:val="18"/>
              </w:rPr>
              <w:t> </w:t>
            </w:r>
          </w:p>
        </w:tc>
      </w:tr>
      <w:tr w14:paraId="57996B60" w14:textId="77777777" w:rsidTr="009D495B">
        <w:tblPrEx>
          <w:tblW w:w="9354" w:type="dxa"/>
          <w:tblLook w:val="04A0"/>
        </w:tblPrEx>
        <w:trPr>
          <w:trHeight w:val="262"/>
        </w:trPr>
        <w:tc>
          <w:tcPr>
            <w:tcW w:w="2362" w:type="dxa"/>
          </w:tcPr>
          <w:p w:rsidR="009B6AF6" w:rsidRPr="00990D3B" w:rsidP="0049502B" w14:paraId="0F583208" w14:textId="7798E4EE">
            <w:pPr>
              <w:spacing w:before="60" w:after="60"/>
              <w:rPr>
                <w:rFonts w:ascii="Arial" w:hAnsi="Arial" w:cs="Arial"/>
                <w:sz w:val="18"/>
                <w:szCs w:val="18"/>
              </w:rPr>
            </w:pPr>
            <w:r w:rsidRPr="00990D3B">
              <w:rPr>
                <w:rFonts w:ascii="Arial" w:hAnsi="Arial" w:cs="Arial"/>
                <w:sz w:val="18"/>
                <w:szCs w:val="18"/>
              </w:rPr>
              <w:t xml:space="preserve">Office </w:t>
            </w:r>
            <w:r w:rsidRPr="00990D3B" w:rsidR="009D495B">
              <w:rPr>
                <w:rFonts w:ascii="Arial" w:hAnsi="Arial" w:cs="Arial"/>
                <w:sz w:val="18"/>
                <w:szCs w:val="18"/>
              </w:rPr>
              <w:t>v</w:t>
            </w:r>
            <w:r w:rsidRPr="00990D3B">
              <w:rPr>
                <w:rFonts w:ascii="Arial" w:hAnsi="Arial" w:cs="Arial"/>
                <w:sz w:val="18"/>
                <w:szCs w:val="18"/>
              </w:rPr>
              <w:t>isit</w:t>
            </w:r>
          </w:p>
        </w:tc>
        <w:tc>
          <w:tcPr>
            <w:tcW w:w="2341" w:type="dxa"/>
          </w:tcPr>
          <w:p w:rsidR="009B6AF6" w:rsidRPr="00990D3B" w:rsidP="0049502B" w14:paraId="4584157A" w14:textId="77777777">
            <w:pPr>
              <w:spacing w:before="60" w:after="60"/>
              <w:rPr>
                <w:rFonts w:ascii="Arial" w:hAnsi="Arial" w:cs="Arial"/>
                <w:sz w:val="18"/>
                <w:szCs w:val="18"/>
              </w:rPr>
            </w:pPr>
            <w:r w:rsidRPr="00990D3B">
              <w:rPr>
                <w:rFonts w:ascii="Arial" w:hAnsi="Arial" w:cs="Arial"/>
                <w:sz w:val="18"/>
                <w:szCs w:val="18"/>
              </w:rPr>
              <w:t> </w:t>
            </w:r>
          </w:p>
        </w:tc>
        <w:tc>
          <w:tcPr>
            <w:tcW w:w="2325" w:type="dxa"/>
          </w:tcPr>
          <w:p w:rsidR="009B6AF6" w:rsidRPr="00990D3B" w:rsidP="0049502B" w14:paraId="7738C87A" w14:textId="77777777">
            <w:pPr>
              <w:spacing w:before="60" w:after="60"/>
              <w:rPr>
                <w:rFonts w:ascii="Arial" w:hAnsi="Arial" w:cs="Arial"/>
                <w:sz w:val="18"/>
                <w:szCs w:val="18"/>
              </w:rPr>
            </w:pPr>
            <w:r w:rsidRPr="00990D3B">
              <w:rPr>
                <w:rFonts w:ascii="Arial" w:hAnsi="Arial" w:cs="Arial"/>
                <w:sz w:val="18"/>
                <w:szCs w:val="18"/>
              </w:rPr>
              <w:t> </w:t>
            </w:r>
          </w:p>
        </w:tc>
        <w:tc>
          <w:tcPr>
            <w:tcW w:w="2326" w:type="dxa"/>
          </w:tcPr>
          <w:p w:rsidR="009B6AF6" w:rsidRPr="00990D3B" w:rsidP="0049502B" w14:paraId="586FE462" w14:textId="77777777">
            <w:pPr>
              <w:spacing w:before="60" w:after="60"/>
              <w:rPr>
                <w:rFonts w:ascii="Arial" w:hAnsi="Arial" w:cs="Arial"/>
                <w:sz w:val="18"/>
                <w:szCs w:val="18"/>
              </w:rPr>
            </w:pPr>
            <w:r w:rsidRPr="00990D3B">
              <w:rPr>
                <w:rFonts w:ascii="Arial" w:hAnsi="Arial" w:cs="Arial"/>
                <w:sz w:val="18"/>
                <w:szCs w:val="18"/>
              </w:rPr>
              <w:t> </w:t>
            </w:r>
          </w:p>
        </w:tc>
      </w:tr>
      <w:tr w14:paraId="65110F37" w14:textId="77777777" w:rsidTr="009D495B">
        <w:tblPrEx>
          <w:tblW w:w="9354" w:type="dxa"/>
          <w:tblLook w:val="04A0"/>
        </w:tblPrEx>
        <w:trPr>
          <w:trHeight w:val="262"/>
        </w:trPr>
        <w:tc>
          <w:tcPr>
            <w:tcW w:w="2362" w:type="dxa"/>
          </w:tcPr>
          <w:p w:rsidR="009B6AF6" w:rsidRPr="00990D3B" w:rsidP="0049502B" w14:paraId="33B931AB" w14:textId="77777777">
            <w:pPr>
              <w:spacing w:before="60" w:after="60"/>
              <w:rPr>
                <w:rFonts w:ascii="Arial" w:hAnsi="Arial" w:cs="Arial"/>
                <w:sz w:val="18"/>
                <w:szCs w:val="18"/>
              </w:rPr>
            </w:pPr>
            <w:r w:rsidRPr="00990D3B">
              <w:rPr>
                <w:rFonts w:ascii="Arial" w:hAnsi="Arial" w:cs="Arial"/>
                <w:sz w:val="18"/>
                <w:szCs w:val="18"/>
              </w:rPr>
              <w:t>Total</w:t>
            </w:r>
          </w:p>
        </w:tc>
        <w:tc>
          <w:tcPr>
            <w:tcW w:w="2341" w:type="dxa"/>
          </w:tcPr>
          <w:p w:rsidR="009B6AF6" w:rsidRPr="00990D3B" w:rsidP="0049502B" w14:paraId="62B34742" w14:textId="77777777">
            <w:pPr>
              <w:spacing w:before="60" w:after="60"/>
              <w:rPr>
                <w:rFonts w:ascii="Arial" w:hAnsi="Arial" w:cs="Arial"/>
                <w:sz w:val="18"/>
                <w:szCs w:val="18"/>
              </w:rPr>
            </w:pPr>
            <w:r w:rsidRPr="00990D3B">
              <w:rPr>
                <w:rFonts w:ascii="Arial" w:hAnsi="Arial" w:cs="Arial"/>
                <w:sz w:val="18"/>
                <w:szCs w:val="18"/>
              </w:rPr>
              <w:t> </w:t>
            </w:r>
          </w:p>
        </w:tc>
        <w:tc>
          <w:tcPr>
            <w:tcW w:w="2325" w:type="dxa"/>
          </w:tcPr>
          <w:p w:rsidR="009B6AF6" w:rsidRPr="00990D3B" w:rsidP="0049502B" w14:paraId="12C19C86" w14:textId="77777777">
            <w:pPr>
              <w:spacing w:before="60" w:after="60"/>
              <w:rPr>
                <w:rFonts w:ascii="Arial" w:hAnsi="Arial" w:cs="Arial"/>
                <w:sz w:val="18"/>
                <w:szCs w:val="18"/>
              </w:rPr>
            </w:pPr>
            <w:r w:rsidRPr="00990D3B">
              <w:rPr>
                <w:rFonts w:ascii="Arial" w:hAnsi="Arial" w:cs="Arial"/>
                <w:sz w:val="18"/>
                <w:szCs w:val="18"/>
              </w:rPr>
              <w:t> </w:t>
            </w:r>
          </w:p>
        </w:tc>
        <w:tc>
          <w:tcPr>
            <w:tcW w:w="2326" w:type="dxa"/>
          </w:tcPr>
          <w:p w:rsidR="009B6AF6" w:rsidRPr="00990D3B" w:rsidP="0049502B" w14:paraId="289E8996" w14:textId="77777777">
            <w:pPr>
              <w:spacing w:before="60" w:after="60"/>
              <w:rPr>
                <w:rFonts w:ascii="Arial" w:hAnsi="Arial" w:cs="Arial"/>
                <w:sz w:val="18"/>
                <w:szCs w:val="18"/>
              </w:rPr>
            </w:pPr>
            <w:r w:rsidRPr="00990D3B">
              <w:rPr>
                <w:rFonts w:ascii="Arial" w:hAnsi="Arial" w:cs="Arial"/>
                <w:sz w:val="18"/>
                <w:szCs w:val="18"/>
              </w:rPr>
              <w:t> </w:t>
            </w:r>
          </w:p>
        </w:tc>
      </w:tr>
    </w:tbl>
    <w:p w:rsidR="009B6AF6" w:rsidRPr="00990D3B" w:rsidP="00E71EFE" w14:paraId="383E5A60" w14:textId="77777777">
      <w:pPr>
        <w:pStyle w:val="NoSpacing"/>
      </w:pPr>
    </w:p>
    <w:tbl>
      <w:tblPr>
        <w:tblStyle w:val="TableGrid"/>
        <w:tblW w:w="9354" w:type="dxa"/>
        <w:tblLook w:val="04A0"/>
      </w:tblPr>
      <w:tblGrid>
        <w:gridCol w:w="2362"/>
        <w:gridCol w:w="2341"/>
        <w:gridCol w:w="2325"/>
        <w:gridCol w:w="2326"/>
      </w:tblGrid>
      <w:tr w14:paraId="52C99D47" w14:textId="77777777" w:rsidTr="000B33AC">
        <w:tblPrEx>
          <w:tblW w:w="9354" w:type="dxa"/>
          <w:tblLook w:val="04A0"/>
        </w:tblPrEx>
        <w:trPr>
          <w:tblHeader/>
        </w:trPr>
        <w:tc>
          <w:tcPr>
            <w:tcW w:w="9354" w:type="dxa"/>
            <w:gridSpan w:val="4"/>
          </w:tcPr>
          <w:p w:rsidR="009B6AF6" w:rsidRPr="00990D3B" w:rsidP="00B42A3C" w14:paraId="4B1DD6E3" w14:textId="77777777">
            <w:pPr>
              <w:pStyle w:val="EQRTableHeaderLeft"/>
              <w:rPr>
                <w:color w:val="auto"/>
              </w:rPr>
            </w:pPr>
            <w:r w:rsidRPr="00990D3B">
              <w:rPr>
                <w:color w:val="auto"/>
              </w:rPr>
              <w:t>No Match for Revenue Code Element</w:t>
            </w:r>
          </w:p>
        </w:tc>
      </w:tr>
      <w:tr w14:paraId="490336DF" w14:textId="77777777" w:rsidTr="000B33AC">
        <w:tblPrEx>
          <w:tblW w:w="9354" w:type="dxa"/>
          <w:tblLook w:val="04A0"/>
        </w:tblPrEx>
        <w:trPr>
          <w:tblHeader/>
        </w:trPr>
        <w:tc>
          <w:tcPr>
            <w:tcW w:w="2362" w:type="dxa"/>
            <w:vAlign w:val="bottom"/>
          </w:tcPr>
          <w:p w:rsidR="009D495B" w:rsidRPr="00990D3B" w:rsidP="00B42A3C" w14:paraId="1BA38C54" w14:textId="5D960633">
            <w:pPr>
              <w:pStyle w:val="EQRTableHeaderLeft"/>
              <w:rPr>
                <w:color w:val="auto"/>
              </w:rPr>
            </w:pPr>
            <w:r w:rsidRPr="00990D3B">
              <w:rPr>
                <w:color w:val="auto"/>
              </w:rPr>
              <w:t>Encounter type</w:t>
            </w:r>
          </w:p>
        </w:tc>
        <w:tc>
          <w:tcPr>
            <w:tcW w:w="2341" w:type="dxa"/>
            <w:vAlign w:val="bottom"/>
          </w:tcPr>
          <w:p w:rsidR="009D495B" w:rsidRPr="00990D3B" w:rsidP="002F136D" w14:paraId="6C4B3CB1" w14:textId="33F4FE43">
            <w:pPr>
              <w:pStyle w:val="EQRTableHeaderCenter"/>
              <w:rPr>
                <w:color w:val="auto"/>
              </w:rPr>
            </w:pPr>
            <w:r w:rsidRPr="00990D3B">
              <w:rPr>
                <w:color w:val="auto"/>
              </w:rPr>
              <w:t>Total elements</w:t>
            </w:r>
          </w:p>
        </w:tc>
        <w:tc>
          <w:tcPr>
            <w:tcW w:w="2325" w:type="dxa"/>
            <w:vAlign w:val="bottom"/>
          </w:tcPr>
          <w:p w:rsidR="009D495B" w:rsidRPr="00990D3B" w:rsidP="002F136D" w14:paraId="1D644BC3" w14:textId="017D8229">
            <w:pPr>
              <w:pStyle w:val="EQRTableHeaderCenter"/>
              <w:rPr>
                <w:color w:val="auto"/>
              </w:rPr>
            </w:pPr>
            <w:r w:rsidRPr="00990D3B">
              <w:rPr>
                <w:color w:val="auto"/>
              </w:rPr>
              <w:t>Lack of medical record documentation</w:t>
            </w:r>
          </w:p>
        </w:tc>
        <w:tc>
          <w:tcPr>
            <w:tcW w:w="2326" w:type="dxa"/>
            <w:vAlign w:val="bottom"/>
          </w:tcPr>
          <w:p w:rsidR="009D495B" w:rsidRPr="00990D3B" w:rsidP="002F136D" w14:paraId="2BBB3C40" w14:textId="0DB9CD02">
            <w:pPr>
              <w:pStyle w:val="EQRTableHeaderCenter"/>
              <w:rPr>
                <w:color w:val="auto"/>
              </w:rPr>
            </w:pPr>
            <w:r w:rsidRPr="00990D3B">
              <w:rPr>
                <w:color w:val="auto"/>
              </w:rPr>
              <w:t>Incorrect principal diagnosis (inpatient) or incorrect diagnosis codes</w:t>
            </w:r>
          </w:p>
        </w:tc>
      </w:tr>
      <w:tr w14:paraId="39B2B610" w14:textId="77777777" w:rsidTr="000B33AC">
        <w:tblPrEx>
          <w:tblW w:w="9354" w:type="dxa"/>
          <w:tblLook w:val="04A0"/>
        </w:tblPrEx>
        <w:tc>
          <w:tcPr>
            <w:tcW w:w="2362" w:type="dxa"/>
          </w:tcPr>
          <w:p w:rsidR="009B6AF6" w:rsidRPr="00990D3B" w:rsidP="0049502B" w14:paraId="1B5CD7C4" w14:textId="77777777">
            <w:pPr>
              <w:spacing w:before="60" w:after="60"/>
              <w:rPr>
                <w:rFonts w:ascii="Arial" w:hAnsi="Arial" w:cs="Arial"/>
                <w:sz w:val="18"/>
                <w:szCs w:val="18"/>
              </w:rPr>
            </w:pPr>
            <w:r w:rsidRPr="00990D3B">
              <w:rPr>
                <w:rFonts w:ascii="Arial" w:hAnsi="Arial" w:cs="Arial"/>
                <w:sz w:val="18"/>
                <w:szCs w:val="18"/>
              </w:rPr>
              <w:t>Inpatient</w:t>
            </w:r>
          </w:p>
        </w:tc>
        <w:tc>
          <w:tcPr>
            <w:tcW w:w="2341" w:type="dxa"/>
          </w:tcPr>
          <w:p w:rsidR="009B6AF6" w:rsidRPr="00990D3B" w:rsidP="0049502B" w14:paraId="53CE2A02" w14:textId="77777777">
            <w:pPr>
              <w:spacing w:before="60" w:after="60"/>
              <w:rPr>
                <w:rFonts w:ascii="Arial" w:hAnsi="Arial" w:cs="Arial"/>
                <w:sz w:val="18"/>
                <w:szCs w:val="18"/>
              </w:rPr>
            </w:pPr>
            <w:r w:rsidRPr="00990D3B">
              <w:rPr>
                <w:rFonts w:ascii="Arial" w:hAnsi="Arial" w:cs="Arial"/>
                <w:sz w:val="18"/>
                <w:szCs w:val="18"/>
              </w:rPr>
              <w:t> </w:t>
            </w:r>
          </w:p>
        </w:tc>
        <w:tc>
          <w:tcPr>
            <w:tcW w:w="2325" w:type="dxa"/>
          </w:tcPr>
          <w:p w:rsidR="009B6AF6" w:rsidRPr="00990D3B" w:rsidP="0049502B" w14:paraId="272E6439" w14:textId="77777777">
            <w:pPr>
              <w:spacing w:before="60" w:after="60"/>
              <w:rPr>
                <w:rFonts w:ascii="Arial" w:hAnsi="Arial" w:cs="Arial"/>
                <w:sz w:val="18"/>
                <w:szCs w:val="18"/>
              </w:rPr>
            </w:pPr>
            <w:r w:rsidRPr="00990D3B">
              <w:rPr>
                <w:rFonts w:ascii="Arial" w:hAnsi="Arial" w:cs="Arial"/>
                <w:sz w:val="18"/>
                <w:szCs w:val="18"/>
              </w:rPr>
              <w:t> </w:t>
            </w:r>
          </w:p>
        </w:tc>
        <w:tc>
          <w:tcPr>
            <w:tcW w:w="2326" w:type="dxa"/>
          </w:tcPr>
          <w:p w:rsidR="009B6AF6" w:rsidRPr="00990D3B" w:rsidP="0049502B" w14:paraId="39C79BD9" w14:textId="77777777">
            <w:pPr>
              <w:spacing w:before="60" w:after="60"/>
              <w:rPr>
                <w:rFonts w:ascii="Arial" w:hAnsi="Arial" w:cs="Arial"/>
                <w:sz w:val="18"/>
                <w:szCs w:val="18"/>
              </w:rPr>
            </w:pPr>
            <w:r w:rsidRPr="00990D3B">
              <w:rPr>
                <w:rFonts w:ascii="Arial" w:hAnsi="Arial" w:cs="Arial"/>
                <w:sz w:val="18"/>
                <w:szCs w:val="18"/>
              </w:rPr>
              <w:t> </w:t>
            </w:r>
          </w:p>
        </w:tc>
      </w:tr>
      <w:tr w14:paraId="62F652C2" w14:textId="77777777" w:rsidTr="000B33AC">
        <w:tblPrEx>
          <w:tblW w:w="9354" w:type="dxa"/>
          <w:tblLook w:val="04A0"/>
        </w:tblPrEx>
        <w:tc>
          <w:tcPr>
            <w:tcW w:w="2362" w:type="dxa"/>
          </w:tcPr>
          <w:p w:rsidR="009B6AF6" w:rsidRPr="00990D3B" w:rsidP="0049502B" w14:paraId="17FF62AD" w14:textId="77777777">
            <w:pPr>
              <w:spacing w:before="60" w:after="60"/>
              <w:rPr>
                <w:rFonts w:ascii="Arial" w:hAnsi="Arial" w:cs="Arial"/>
                <w:sz w:val="18"/>
                <w:szCs w:val="18"/>
              </w:rPr>
            </w:pPr>
            <w:r w:rsidRPr="00990D3B">
              <w:rPr>
                <w:rFonts w:ascii="Arial" w:hAnsi="Arial" w:cs="Arial"/>
                <w:sz w:val="18"/>
                <w:szCs w:val="18"/>
              </w:rPr>
              <w:t>Outpatient</w:t>
            </w:r>
          </w:p>
        </w:tc>
        <w:tc>
          <w:tcPr>
            <w:tcW w:w="2341" w:type="dxa"/>
          </w:tcPr>
          <w:p w:rsidR="009B6AF6" w:rsidRPr="00990D3B" w:rsidP="0049502B" w14:paraId="3B7938AD" w14:textId="77777777">
            <w:pPr>
              <w:spacing w:before="60" w:after="60"/>
              <w:rPr>
                <w:rFonts w:ascii="Arial" w:hAnsi="Arial" w:cs="Arial"/>
                <w:sz w:val="18"/>
                <w:szCs w:val="18"/>
              </w:rPr>
            </w:pPr>
            <w:r w:rsidRPr="00990D3B">
              <w:rPr>
                <w:rFonts w:ascii="Arial" w:hAnsi="Arial" w:cs="Arial"/>
                <w:sz w:val="18"/>
                <w:szCs w:val="18"/>
              </w:rPr>
              <w:t> </w:t>
            </w:r>
          </w:p>
        </w:tc>
        <w:tc>
          <w:tcPr>
            <w:tcW w:w="2325" w:type="dxa"/>
          </w:tcPr>
          <w:p w:rsidR="009B6AF6" w:rsidRPr="00990D3B" w:rsidP="0049502B" w14:paraId="348016AC" w14:textId="77777777">
            <w:pPr>
              <w:spacing w:before="60" w:after="60"/>
              <w:rPr>
                <w:rFonts w:ascii="Arial" w:hAnsi="Arial" w:cs="Arial"/>
                <w:sz w:val="18"/>
                <w:szCs w:val="18"/>
              </w:rPr>
            </w:pPr>
            <w:r w:rsidRPr="00990D3B">
              <w:rPr>
                <w:rFonts w:ascii="Arial" w:hAnsi="Arial" w:cs="Arial"/>
                <w:sz w:val="18"/>
                <w:szCs w:val="18"/>
              </w:rPr>
              <w:t> </w:t>
            </w:r>
          </w:p>
        </w:tc>
        <w:tc>
          <w:tcPr>
            <w:tcW w:w="2326" w:type="dxa"/>
          </w:tcPr>
          <w:p w:rsidR="009B6AF6" w:rsidRPr="00990D3B" w:rsidP="0049502B" w14:paraId="30F28573" w14:textId="77777777">
            <w:pPr>
              <w:spacing w:before="60" w:after="60"/>
              <w:rPr>
                <w:rFonts w:ascii="Arial" w:hAnsi="Arial" w:cs="Arial"/>
                <w:sz w:val="18"/>
                <w:szCs w:val="18"/>
              </w:rPr>
            </w:pPr>
            <w:r w:rsidRPr="00990D3B">
              <w:rPr>
                <w:rFonts w:ascii="Arial" w:hAnsi="Arial" w:cs="Arial"/>
                <w:sz w:val="18"/>
                <w:szCs w:val="18"/>
              </w:rPr>
              <w:t> </w:t>
            </w:r>
          </w:p>
        </w:tc>
      </w:tr>
      <w:tr w14:paraId="5A609AF1" w14:textId="77777777" w:rsidTr="000B33AC">
        <w:tblPrEx>
          <w:tblW w:w="9354" w:type="dxa"/>
          <w:tblLook w:val="04A0"/>
        </w:tblPrEx>
        <w:tc>
          <w:tcPr>
            <w:tcW w:w="2362" w:type="dxa"/>
          </w:tcPr>
          <w:p w:rsidR="009B6AF6" w:rsidRPr="00990D3B" w:rsidP="0049502B" w14:paraId="1ED1CF58" w14:textId="77777777">
            <w:pPr>
              <w:spacing w:before="60" w:after="60"/>
              <w:rPr>
                <w:rFonts w:ascii="Arial" w:hAnsi="Arial" w:cs="Arial"/>
                <w:sz w:val="18"/>
                <w:szCs w:val="18"/>
              </w:rPr>
            </w:pPr>
            <w:r w:rsidRPr="00990D3B">
              <w:rPr>
                <w:rFonts w:ascii="Arial" w:hAnsi="Arial" w:cs="Arial"/>
                <w:sz w:val="18"/>
                <w:szCs w:val="18"/>
              </w:rPr>
              <w:t>Total</w:t>
            </w:r>
          </w:p>
        </w:tc>
        <w:tc>
          <w:tcPr>
            <w:tcW w:w="2341" w:type="dxa"/>
          </w:tcPr>
          <w:p w:rsidR="009B6AF6" w:rsidRPr="00990D3B" w:rsidP="0049502B" w14:paraId="720C27E6" w14:textId="77777777">
            <w:pPr>
              <w:spacing w:before="60" w:after="60"/>
              <w:rPr>
                <w:rFonts w:ascii="Arial" w:hAnsi="Arial" w:cs="Arial"/>
                <w:sz w:val="18"/>
                <w:szCs w:val="18"/>
              </w:rPr>
            </w:pPr>
            <w:r w:rsidRPr="00990D3B">
              <w:rPr>
                <w:rFonts w:ascii="Arial" w:hAnsi="Arial" w:cs="Arial"/>
                <w:sz w:val="18"/>
                <w:szCs w:val="18"/>
              </w:rPr>
              <w:t> </w:t>
            </w:r>
          </w:p>
        </w:tc>
        <w:tc>
          <w:tcPr>
            <w:tcW w:w="2325" w:type="dxa"/>
          </w:tcPr>
          <w:p w:rsidR="009B6AF6" w:rsidRPr="00990D3B" w:rsidP="0049502B" w14:paraId="5763A6F4" w14:textId="77777777">
            <w:pPr>
              <w:spacing w:before="60" w:after="60"/>
              <w:rPr>
                <w:rFonts w:ascii="Arial" w:hAnsi="Arial" w:cs="Arial"/>
                <w:sz w:val="18"/>
                <w:szCs w:val="18"/>
              </w:rPr>
            </w:pPr>
            <w:r w:rsidRPr="00990D3B">
              <w:rPr>
                <w:rFonts w:ascii="Arial" w:hAnsi="Arial" w:cs="Arial"/>
                <w:sz w:val="18"/>
                <w:szCs w:val="18"/>
              </w:rPr>
              <w:t> </w:t>
            </w:r>
          </w:p>
        </w:tc>
        <w:tc>
          <w:tcPr>
            <w:tcW w:w="2326" w:type="dxa"/>
          </w:tcPr>
          <w:p w:rsidR="009B6AF6" w:rsidRPr="00990D3B" w:rsidP="0049502B" w14:paraId="2508B6FC" w14:textId="77777777">
            <w:pPr>
              <w:spacing w:before="60" w:after="60"/>
              <w:rPr>
                <w:rFonts w:ascii="Arial" w:hAnsi="Arial" w:cs="Arial"/>
                <w:sz w:val="18"/>
                <w:szCs w:val="18"/>
              </w:rPr>
            </w:pPr>
            <w:r w:rsidRPr="00990D3B">
              <w:rPr>
                <w:rFonts w:ascii="Arial" w:hAnsi="Arial" w:cs="Arial"/>
                <w:sz w:val="18"/>
                <w:szCs w:val="18"/>
              </w:rPr>
              <w:t> </w:t>
            </w:r>
          </w:p>
        </w:tc>
      </w:tr>
    </w:tbl>
    <w:p w:rsidR="009B6AF6" w:rsidRPr="00990D3B" w:rsidP="002F429C" w14:paraId="2EFB94BD" w14:textId="79C9F695">
      <w:pPr>
        <w:pStyle w:val="ParagraphContinued"/>
        <w:jc w:val="center"/>
      </w:pPr>
      <w:r w:rsidRPr="00990D3B">
        <w:t>END OF WORKSHEETS FOR PROTOCOL 5</w:t>
      </w:r>
    </w:p>
    <w:p w:rsidR="009B6AF6" w:rsidRPr="00990D3B" w:rsidP="004E5005" w14:paraId="1DDBD90B" w14:textId="77777777">
      <w:pPr>
        <w:pStyle w:val="Paragraph0"/>
        <w:sectPr w:rsidSect="00A65C6B">
          <w:footerReference w:type="even" r:id="rId174"/>
          <w:footerReference w:type="default" r:id="rId175"/>
          <w:headerReference w:type="first" r:id="rId176"/>
          <w:footerReference w:type="first" r:id="rId177"/>
          <w:pgSz w:w="12240" w:h="15840" w:code="1"/>
          <w:pgMar w:top="1440" w:right="1440" w:bottom="1440" w:left="1440" w:header="720" w:footer="720" w:gutter="0"/>
          <w:cols w:space="720"/>
          <w:titlePg/>
          <w:docGrid w:linePitch="360"/>
        </w:sectPr>
      </w:pPr>
    </w:p>
    <w:p w:rsidR="00C71D17" w:rsidRPr="00990D3B" w:rsidP="001E0F84" w14:paraId="403FD1AC" w14:textId="2FC5EC09">
      <w:pPr>
        <w:pStyle w:val="H1"/>
      </w:pPr>
      <w:bookmarkStart w:id="626" w:name="Protocol6"/>
      <w:bookmarkStart w:id="627" w:name="_Toc493246392"/>
      <w:bookmarkStart w:id="628" w:name="_Toc14777712"/>
      <w:bookmarkStart w:id="629" w:name="_Toc183005610"/>
      <w:bookmarkStart w:id="630" w:name="_Toc201751380"/>
      <w:r w:rsidRPr="00990D3B">
        <w:t>Protocol 6</w:t>
      </w:r>
      <w:bookmarkEnd w:id="626"/>
      <w:r w:rsidRPr="00990D3B">
        <w:t xml:space="preserve">. Administration or Validation of </w:t>
      </w:r>
      <w:r w:rsidRPr="00990D3B">
        <w:t>Quality of Care</w:t>
      </w:r>
      <w:r w:rsidRPr="00990D3B">
        <w:t xml:space="preserve"> Surveys</w:t>
      </w:r>
      <w:bookmarkEnd w:id="627"/>
      <w:bookmarkEnd w:id="628"/>
      <w:bookmarkEnd w:id="629"/>
      <w:bookmarkEnd w:id="630"/>
    </w:p>
    <w:p w:rsidR="00FA5177" w:rsidRPr="00990D3B" w:rsidP="00FA5177" w14:paraId="23E2BE2D" w14:textId="144BA12E">
      <w:pPr>
        <w:pStyle w:val="EQRMANDATORYorOPTIONAL"/>
      </w:pPr>
      <w:r w:rsidRPr="00990D3B">
        <w:t>AN OPTIONAL EQR-RELATED ACTIVITY</w:t>
      </w:r>
    </w:p>
    <w:tbl>
      <w:tblPr>
        <w:tblW w:w="7200" w:type="dxa"/>
        <w:tblBorders>
          <w:insideV w:val="single" w:sz="2" w:space="0" w:color="00559D"/>
        </w:tblBorders>
        <w:tblLayout w:type="fixed"/>
        <w:tblLook w:val="04A0"/>
      </w:tblPr>
      <w:tblGrid>
        <w:gridCol w:w="7200"/>
      </w:tblGrid>
      <w:tr w14:paraId="1A5C5D0D" w14:textId="77777777" w:rsidTr="005355F4">
        <w:tblPrEx>
          <w:tblW w:w="7200" w:type="dxa"/>
          <w:tblBorders>
            <w:insideV w:val="single" w:sz="2" w:space="0" w:color="00559D"/>
          </w:tblBorders>
          <w:tblLayout w:type="fixed"/>
          <w:tblLook w:val="04A0"/>
        </w:tblPrEx>
        <w:trPr>
          <w:tblHeader/>
        </w:trPr>
        <w:tc>
          <w:tcPr>
            <w:tcW w:w="7200" w:type="dxa"/>
            <w:shd w:val="clear" w:color="auto" w:fill="1CA8B7"/>
            <w:vAlign w:val="bottom"/>
          </w:tcPr>
          <w:p w:rsidR="00102B29" w:rsidRPr="006F5BEC" w:rsidP="00024603" w14:paraId="30E9F4AD" w14:textId="2B109B9B">
            <w:pPr>
              <w:pStyle w:val="EQRACTIVITY"/>
              <w:rPr>
                <w:color w:val="auto"/>
              </w:rPr>
            </w:pPr>
            <w:r w:rsidRPr="006F5BEC">
              <w:rPr>
                <w:color w:val="auto"/>
              </w:rPr>
              <w:t>SECTION I. ADMINISTERING A SURVEY</w:t>
            </w:r>
          </w:p>
        </w:tc>
      </w:tr>
      <w:tr w14:paraId="6668F8F5" w14:textId="77777777" w:rsidTr="005355F4">
        <w:tblPrEx>
          <w:tblW w:w="7200" w:type="dxa"/>
          <w:tblLayout w:type="fixed"/>
          <w:tblLook w:val="04A0"/>
        </w:tblPrEx>
        <w:tc>
          <w:tcPr>
            <w:tcW w:w="7200" w:type="dxa"/>
            <w:shd w:val="clear" w:color="auto" w:fill="EEF5F8"/>
          </w:tcPr>
          <w:p w:rsidR="00024603" w:rsidRPr="00990D3B" w:rsidP="0069607B" w14:paraId="646A8B25" w14:textId="76634AB2">
            <w:pPr>
              <w:pStyle w:val="EQRACTIVITY"/>
            </w:pPr>
            <w:hyperlink w:anchor="P6AI1" w:tooltip="ACTIVITY 1: IDENTIFY THE SURVEY PURPOSE, OBJECTIVES, AND AUDIENCE" w:history="1">
              <w:r w:rsidRPr="00990D3B">
                <w:rPr>
                  <w:rStyle w:val="Hyperlink"/>
                </w:rPr>
                <w:t>ACTIVITY 1: IDENTIFY THE SURVEY PURPOSE, OBJECTIVES, AND AUDIENCE</w:t>
              </w:r>
            </w:hyperlink>
          </w:p>
        </w:tc>
      </w:tr>
      <w:tr w14:paraId="4C5B1B3A" w14:textId="77777777" w:rsidTr="005355F4">
        <w:tblPrEx>
          <w:tblW w:w="7200" w:type="dxa"/>
          <w:tblLayout w:type="fixed"/>
          <w:tblLook w:val="04A0"/>
        </w:tblPrEx>
        <w:tc>
          <w:tcPr>
            <w:tcW w:w="7200" w:type="dxa"/>
          </w:tcPr>
          <w:p w:rsidR="00024603" w:rsidRPr="00990D3B" w:rsidP="0069607B" w14:paraId="6423CC22" w14:textId="520BF19B">
            <w:pPr>
              <w:pStyle w:val="EQRACTIVITY"/>
            </w:pPr>
            <w:hyperlink w:anchor="P6AI2" w:tooltip="ACTIVITY 2: DEVELOP A WORK PLAN" w:history="1">
              <w:r w:rsidRPr="00990D3B">
                <w:rPr>
                  <w:rStyle w:val="Hyperlink"/>
                </w:rPr>
                <w:t>ACTIVITY 2: DEVELOP A WORK PLAN</w:t>
              </w:r>
            </w:hyperlink>
          </w:p>
        </w:tc>
      </w:tr>
      <w:tr w14:paraId="0237D753" w14:textId="77777777" w:rsidTr="005355F4">
        <w:tblPrEx>
          <w:tblW w:w="7200" w:type="dxa"/>
          <w:tblLayout w:type="fixed"/>
          <w:tblLook w:val="04A0"/>
        </w:tblPrEx>
        <w:tc>
          <w:tcPr>
            <w:tcW w:w="7200" w:type="dxa"/>
            <w:tcBorders>
              <w:bottom w:val="nil"/>
            </w:tcBorders>
            <w:shd w:val="clear" w:color="auto" w:fill="EEF5F8"/>
          </w:tcPr>
          <w:p w:rsidR="00024603" w:rsidRPr="00990D3B" w:rsidP="0069607B" w14:paraId="5E3068F8" w14:textId="37EC529F">
            <w:pPr>
              <w:pStyle w:val="EQRACTIVITY"/>
            </w:pPr>
            <w:hyperlink w:anchor="P6AI3" w:tooltip="ACTIVITY 3: SELECT THE SURVEY INSTRUMENT" w:history="1">
              <w:r w:rsidRPr="00990D3B">
                <w:rPr>
                  <w:rStyle w:val="Hyperlink"/>
                </w:rPr>
                <w:t>ACTIVITY 3: SELECT THE SURVEY INSTRUMENT</w:t>
              </w:r>
            </w:hyperlink>
          </w:p>
        </w:tc>
      </w:tr>
      <w:tr w14:paraId="1152FDEA" w14:textId="77777777" w:rsidTr="005355F4">
        <w:tblPrEx>
          <w:tblW w:w="7200" w:type="dxa"/>
          <w:tblLayout w:type="fixed"/>
          <w:tblLook w:val="04A0"/>
        </w:tblPrEx>
        <w:tc>
          <w:tcPr>
            <w:tcW w:w="7200" w:type="dxa"/>
            <w:tcBorders>
              <w:bottom w:val="nil"/>
            </w:tcBorders>
          </w:tcPr>
          <w:p w:rsidR="00024603" w:rsidRPr="00990D3B" w:rsidP="0069607B" w14:paraId="334C4DD7" w14:textId="79080896">
            <w:pPr>
              <w:pStyle w:val="EQRACTIVITY"/>
            </w:pPr>
            <w:hyperlink w:anchor="P6AI4" w:tooltip="ACTIVITY 4: DEVELOP THE SAMPLING PLAN" w:history="1">
              <w:r w:rsidRPr="00990D3B">
                <w:rPr>
                  <w:rStyle w:val="Hyperlink"/>
                </w:rPr>
                <w:t>ACTIVI</w:t>
              </w:r>
              <w:r w:rsidRPr="00990D3B" w:rsidR="0045472F">
                <w:rPr>
                  <w:rStyle w:val="Hyperlink"/>
                </w:rPr>
                <w:t>TY 4: DEVELOP THE SAMPLING PLAN</w:t>
              </w:r>
            </w:hyperlink>
          </w:p>
        </w:tc>
      </w:tr>
      <w:tr w14:paraId="33414E34" w14:textId="77777777" w:rsidTr="005355F4">
        <w:tblPrEx>
          <w:tblW w:w="7200" w:type="dxa"/>
          <w:tblLayout w:type="fixed"/>
          <w:tblLook w:val="04A0"/>
        </w:tblPrEx>
        <w:tc>
          <w:tcPr>
            <w:tcW w:w="7200" w:type="dxa"/>
            <w:tcBorders>
              <w:bottom w:val="nil"/>
            </w:tcBorders>
            <w:shd w:val="clear" w:color="auto" w:fill="EEF5F8"/>
          </w:tcPr>
          <w:p w:rsidR="00024603" w:rsidRPr="00990D3B" w:rsidP="0069607B" w14:paraId="37E3A518" w14:textId="66835EBE">
            <w:pPr>
              <w:pStyle w:val="EQRACTIVITY"/>
            </w:pPr>
            <w:hyperlink w:anchor="P6AI5" w:tooltip="ACTIVITY 5: DEVELOP A STRATEGY TO MAXIMIZE RESPONSE" w:history="1">
              <w:r w:rsidRPr="00990D3B">
                <w:rPr>
                  <w:rStyle w:val="Hyperlink"/>
                </w:rPr>
                <w:t>ACTIVITY 5: DEVELOP A STRATEGY TO MAXIMIZE RESPONSE</w:t>
              </w:r>
            </w:hyperlink>
          </w:p>
        </w:tc>
      </w:tr>
      <w:tr w14:paraId="28F96850" w14:textId="77777777" w:rsidTr="005355F4">
        <w:tblPrEx>
          <w:tblW w:w="7200" w:type="dxa"/>
          <w:tblLayout w:type="fixed"/>
          <w:tblLook w:val="04A0"/>
        </w:tblPrEx>
        <w:tc>
          <w:tcPr>
            <w:tcW w:w="7200" w:type="dxa"/>
            <w:tcBorders>
              <w:bottom w:val="nil"/>
            </w:tcBorders>
          </w:tcPr>
          <w:p w:rsidR="00024603" w:rsidRPr="00990D3B" w:rsidP="0069607B" w14:paraId="6B61FB7A" w14:textId="217F7F76">
            <w:pPr>
              <w:pStyle w:val="EQRACTIVITY"/>
            </w:pPr>
            <w:hyperlink w:anchor="P6AI6" w:tooltip="ACTIVITY 6: DEVELOP A QUALITY ASSURANCE PLAN" w:history="1">
              <w:r w:rsidRPr="00990D3B">
                <w:rPr>
                  <w:rStyle w:val="Hyperlink"/>
                </w:rPr>
                <w:t>ACTIVITY 6: DE</w:t>
              </w:r>
              <w:r w:rsidRPr="00990D3B" w:rsidR="0045472F">
                <w:rPr>
                  <w:rStyle w:val="Hyperlink"/>
                </w:rPr>
                <w:t>VELOP A QUALITY ASSURANCE PLAN</w:t>
              </w:r>
            </w:hyperlink>
          </w:p>
        </w:tc>
      </w:tr>
      <w:tr w14:paraId="08155B49" w14:textId="77777777" w:rsidTr="005355F4">
        <w:tblPrEx>
          <w:tblW w:w="7200" w:type="dxa"/>
          <w:tblLayout w:type="fixed"/>
          <w:tblLook w:val="04A0"/>
        </w:tblPrEx>
        <w:tc>
          <w:tcPr>
            <w:tcW w:w="7200" w:type="dxa"/>
            <w:tcBorders>
              <w:bottom w:val="nil"/>
            </w:tcBorders>
            <w:shd w:val="clear" w:color="auto" w:fill="EEF5F8"/>
          </w:tcPr>
          <w:p w:rsidR="00024603" w:rsidRPr="00990D3B" w:rsidP="0069607B" w14:paraId="03239B9C" w14:textId="39BA4644">
            <w:pPr>
              <w:pStyle w:val="EQRACTIVITY"/>
              <w:ind w:right="-108"/>
            </w:pPr>
            <w:hyperlink w:anchor="P6AI7" w:tooltip="ACTIVITY 7: IMPLEMENT THE SURVEY ACCORDING TO THE WORK PLAN" w:history="1">
              <w:r w:rsidRPr="00990D3B">
                <w:rPr>
                  <w:rStyle w:val="Hyperlink"/>
                </w:rPr>
                <w:t xml:space="preserve">ACTIVITY 7: </w:t>
              </w:r>
              <w:r w:rsidRPr="00990D3B">
                <w:rPr>
                  <w:rStyle w:val="Hyperlink"/>
                  <w:spacing w:val="-4"/>
                </w:rPr>
                <w:t>IMPLEMENT THE SURVEY ACCORDING TO THE WORK PLAN</w:t>
              </w:r>
            </w:hyperlink>
          </w:p>
        </w:tc>
      </w:tr>
      <w:tr w14:paraId="754B1C2E" w14:textId="77777777" w:rsidTr="005355F4">
        <w:tblPrEx>
          <w:tblW w:w="7200" w:type="dxa"/>
          <w:tblLayout w:type="fixed"/>
          <w:tblLook w:val="04A0"/>
        </w:tblPrEx>
        <w:tc>
          <w:tcPr>
            <w:tcW w:w="7200" w:type="dxa"/>
            <w:tcBorders>
              <w:bottom w:val="nil"/>
            </w:tcBorders>
          </w:tcPr>
          <w:p w:rsidR="00024603" w:rsidRPr="00990D3B" w:rsidP="0069607B" w14:paraId="365BA80F" w14:textId="31BD3C98">
            <w:pPr>
              <w:pStyle w:val="EQRACTIVITY"/>
            </w:pPr>
            <w:hyperlink w:anchor="P6AI8" w:tooltip="ACTIVITY 8: PREPARE AND ANALYZE SURVEY DATA AND PRESENT RESULTS IN A FINAL REPORT" w:history="1">
              <w:r w:rsidRPr="00990D3B">
                <w:rPr>
                  <w:rStyle w:val="Hyperlink"/>
                </w:rPr>
                <w:t>ACTIVITY 8: PREPARE AND ANALYZE SURVEY DATA AND PRESENT RESULTS IN A FINAL REPORT</w:t>
              </w:r>
            </w:hyperlink>
          </w:p>
        </w:tc>
      </w:tr>
      <w:tr w14:paraId="551D505F" w14:textId="77777777" w:rsidTr="005355F4">
        <w:tblPrEx>
          <w:tblW w:w="7200" w:type="dxa"/>
          <w:tblLayout w:type="fixed"/>
          <w:tblLook w:val="04A0"/>
        </w:tblPrEx>
        <w:tc>
          <w:tcPr>
            <w:tcW w:w="7200" w:type="dxa"/>
            <w:tcBorders>
              <w:bottom w:val="nil"/>
            </w:tcBorders>
            <w:shd w:val="clear" w:color="auto" w:fill="1CA8B7"/>
          </w:tcPr>
          <w:p w:rsidR="00102B29" w:rsidRPr="006F5BEC" w:rsidP="00024603" w14:paraId="5D851256" w14:textId="5AB1BF2E">
            <w:pPr>
              <w:pStyle w:val="EQRACTIVITY"/>
              <w:rPr>
                <w:color w:val="auto"/>
              </w:rPr>
            </w:pPr>
            <w:r w:rsidRPr="006F5BEC">
              <w:rPr>
                <w:color w:val="auto"/>
              </w:rPr>
              <w:t>SECTION II. VALIDATING A SURVEY</w:t>
            </w:r>
          </w:p>
        </w:tc>
      </w:tr>
      <w:tr w14:paraId="575C019D" w14:textId="77777777" w:rsidTr="005355F4">
        <w:tblPrEx>
          <w:tblW w:w="7200" w:type="dxa"/>
          <w:tblLayout w:type="fixed"/>
          <w:tblLook w:val="04A0"/>
        </w:tblPrEx>
        <w:tc>
          <w:tcPr>
            <w:tcW w:w="7200" w:type="dxa"/>
            <w:tcBorders>
              <w:bottom w:val="nil"/>
            </w:tcBorders>
            <w:shd w:val="clear" w:color="auto" w:fill="EEF5F8"/>
          </w:tcPr>
          <w:p w:rsidR="0045472F" w:rsidRPr="00990D3B" w:rsidP="0069607B" w14:paraId="71DA1B73" w14:textId="07904650">
            <w:pPr>
              <w:pStyle w:val="EQRACTIVITY"/>
            </w:pPr>
            <w:hyperlink w:anchor="P6AII1" w:tooltip="ACTIVITY 1: REVIEW THE SURVEY PURPOSE, OBJECTIVES, AND AUDIENCE" w:history="1">
              <w:r w:rsidRPr="00990D3B">
                <w:rPr>
                  <w:rStyle w:val="Hyperlink"/>
                </w:rPr>
                <w:t>ACTIVITY 1: REVIEW THE SURVEY PURPOSE, OBJECTIVES, AND AUDIENCE</w:t>
              </w:r>
            </w:hyperlink>
          </w:p>
        </w:tc>
      </w:tr>
      <w:tr w14:paraId="40C367CF" w14:textId="77777777" w:rsidTr="005355F4">
        <w:tblPrEx>
          <w:tblW w:w="7200" w:type="dxa"/>
          <w:tblLayout w:type="fixed"/>
          <w:tblLook w:val="04A0"/>
        </w:tblPrEx>
        <w:tc>
          <w:tcPr>
            <w:tcW w:w="7200" w:type="dxa"/>
            <w:tcBorders>
              <w:bottom w:val="nil"/>
            </w:tcBorders>
          </w:tcPr>
          <w:p w:rsidR="0045472F" w:rsidRPr="00990D3B" w:rsidP="0069607B" w14:paraId="30C64149" w14:textId="0D2DD5A3">
            <w:pPr>
              <w:pStyle w:val="EQRACTIVITY"/>
            </w:pPr>
            <w:hyperlink w:anchor="P6AII2" w:tooltip="ACTIVITY 2: REVIEW THE WORK PLAN" w:history="1">
              <w:r w:rsidRPr="00990D3B">
                <w:rPr>
                  <w:rStyle w:val="Hyperlink"/>
                </w:rPr>
                <w:t>ACTIVITY 2: REVIEW THE WORK PLAN</w:t>
              </w:r>
            </w:hyperlink>
          </w:p>
        </w:tc>
      </w:tr>
      <w:tr w14:paraId="16D508FE" w14:textId="77777777" w:rsidTr="005355F4">
        <w:tblPrEx>
          <w:tblW w:w="7200" w:type="dxa"/>
          <w:tblLayout w:type="fixed"/>
          <w:tblLook w:val="04A0"/>
        </w:tblPrEx>
        <w:tc>
          <w:tcPr>
            <w:tcW w:w="7200" w:type="dxa"/>
            <w:tcBorders>
              <w:bottom w:val="nil"/>
            </w:tcBorders>
            <w:shd w:val="clear" w:color="auto" w:fill="EEF5F8"/>
          </w:tcPr>
          <w:p w:rsidR="0045472F" w:rsidRPr="00990D3B" w14:paraId="78C774B4" w14:textId="29C7EA43">
            <w:pPr>
              <w:pStyle w:val="EQRACTIVITY"/>
            </w:pPr>
            <w:hyperlink w:anchor="P6AII3" w:tooltip="ACTIVITY 3: REVIEW THE RELIABILITY AND VALIDITY OF THE SURVEY INSTRUMENT" w:history="1">
              <w:r w:rsidRPr="00990D3B">
                <w:rPr>
                  <w:rStyle w:val="Hyperlink"/>
                </w:rPr>
                <w:t xml:space="preserve">ACTIVITY 3: REVIEW THE RELIABILITY </w:t>
              </w:r>
              <w:r w:rsidRPr="00990D3B" w:rsidR="002F5C88">
                <w:rPr>
                  <w:rStyle w:val="Hyperlink"/>
                </w:rPr>
                <w:t xml:space="preserve">AND </w:t>
              </w:r>
              <w:r w:rsidRPr="00990D3B">
                <w:rPr>
                  <w:rStyle w:val="Hyperlink"/>
                </w:rPr>
                <w:t>VALIDITY OF THE SURVEY INSTRUMENT</w:t>
              </w:r>
            </w:hyperlink>
          </w:p>
        </w:tc>
      </w:tr>
      <w:tr w14:paraId="7F55AF51" w14:textId="77777777" w:rsidTr="005355F4">
        <w:tblPrEx>
          <w:tblW w:w="7200" w:type="dxa"/>
          <w:tblLayout w:type="fixed"/>
          <w:tblLook w:val="04A0"/>
        </w:tblPrEx>
        <w:tc>
          <w:tcPr>
            <w:tcW w:w="7200" w:type="dxa"/>
            <w:tcBorders>
              <w:bottom w:val="nil"/>
            </w:tcBorders>
          </w:tcPr>
          <w:p w:rsidR="0045472F" w:rsidRPr="00990D3B" w:rsidP="0069607B" w14:paraId="18C2AC38" w14:textId="027446A6">
            <w:pPr>
              <w:pStyle w:val="EQRACTIVITY"/>
            </w:pPr>
            <w:hyperlink w:anchor="P6AII4" w:tooltip="ACTIVITY 4: REVIEW THE SAMPLING PLAN" w:history="1">
              <w:r w:rsidRPr="00990D3B">
                <w:rPr>
                  <w:rStyle w:val="Hyperlink"/>
                </w:rPr>
                <w:t>ACTIVITY 4: REVIEW THE SAMPLING PLAN</w:t>
              </w:r>
            </w:hyperlink>
          </w:p>
        </w:tc>
      </w:tr>
      <w:tr w14:paraId="6BF19558" w14:textId="77777777" w:rsidTr="005355F4">
        <w:tblPrEx>
          <w:tblW w:w="7200" w:type="dxa"/>
          <w:tblLayout w:type="fixed"/>
          <w:tblLook w:val="04A0"/>
        </w:tblPrEx>
        <w:tc>
          <w:tcPr>
            <w:tcW w:w="7200" w:type="dxa"/>
            <w:tcBorders>
              <w:bottom w:val="nil"/>
            </w:tcBorders>
            <w:shd w:val="clear" w:color="auto" w:fill="EEF5F8"/>
          </w:tcPr>
          <w:p w:rsidR="0045472F" w:rsidRPr="00990D3B" w:rsidP="0069607B" w14:paraId="123A91A1" w14:textId="7089B03C">
            <w:pPr>
              <w:pStyle w:val="EQRACTIVITY"/>
            </w:pPr>
            <w:hyperlink w:anchor="P6AII5" w:tooltip="ACTIVITY 5: REVIEW THE ADEQUACY OF THE RESPONSE RATE" w:history="1">
              <w:r w:rsidRPr="00990D3B">
                <w:rPr>
                  <w:rStyle w:val="Hyperlink"/>
                </w:rPr>
                <w:t>ACTIVITY 5: REVIEW THE ADEQUACY OF THE RESPONSE RATE</w:t>
              </w:r>
            </w:hyperlink>
          </w:p>
        </w:tc>
      </w:tr>
      <w:tr w14:paraId="69C2A580" w14:textId="77777777" w:rsidTr="005355F4">
        <w:tblPrEx>
          <w:tblW w:w="7200" w:type="dxa"/>
          <w:tblLayout w:type="fixed"/>
          <w:tblLook w:val="04A0"/>
        </w:tblPrEx>
        <w:tc>
          <w:tcPr>
            <w:tcW w:w="7200" w:type="dxa"/>
            <w:tcBorders>
              <w:bottom w:val="nil"/>
            </w:tcBorders>
          </w:tcPr>
          <w:p w:rsidR="0045472F" w:rsidRPr="00990D3B" w:rsidP="0069607B" w14:paraId="160570BC" w14:textId="3A2053B1">
            <w:pPr>
              <w:pStyle w:val="EQRACTIVITY"/>
            </w:pPr>
            <w:hyperlink w:anchor="P6AII6" w:tooltip="ACTIVITY 6: REVIEW THE QUALITY ASSURANCE PLAN" w:history="1">
              <w:r w:rsidRPr="00990D3B">
                <w:rPr>
                  <w:rStyle w:val="Hyperlink"/>
                </w:rPr>
                <w:t>ACTIVITY 6: REVIEW THE QUALITY ASSURANCE PLAN</w:t>
              </w:r>
            </w:hyperlink>
          </w:p>
        </w:tc>
      </w:tr>
      <w:tr w14:paraId="73E6FEA4" w14:textId="77777777" w:rsidTr="005355F4">
        <w:tblPrEx>
          <w:tblW w:w="7200" w:type="dxa"/>
          <w:tblLayout w:type="fixed"/>
          <w:tblLook w:val="04A0"/>
        </w:tblPrEx>
        <w:tc>
          <w:tcPr>
            <w:tcW w:w="7200" w:type="dxa"/>
            <w:tcBorders>
              <w:bottom w:val="nil"/>
            </w:tcBorders>
            <w:shd w:val="clear" w:color="auto" w:fill="EEF5F8"/>
          </w:tcPr>
          <w:p w:rsidR="0045472F" w:rsidRPr="00990D3B" w:rsidP="0069607B" w14:paraId="6B5696E0" w14:textId="663587C9">
            <w:pPr>
              <w:pStyle w:val="EQRACTIVITY"/>
            </w:pPr>
            <w:hyperlink w:anchor="P6AII7" w:tooltip="ACTIVITY 7: REVIEW THE SURVEY IMPLEMENTATION" w:history="1">
              <w:r w:rsidRPr="00990D3B">
                <w:rPr>
                  <w:rStyle w:val="Hyperlink"/>
                </w:rPr>
                <w:t>ACTIVITY 7: REVIEW THE SURVEY IMPLEMENTATION</w:t>
              </w:r>
            </w:hyperlink>
          </w:p>
        </w:tc>
      </w:tr>
      <w:tr w14:paraId="132D6AAF" w14:textId="77777777" w:rsidTr="005355F4">
        <w:tblPrEx>
          <w:tblW w:w="7200" w:type="dxa"/>
          <w:tblLayout w:type="fixed"/>
          <w:tblLook w:val="04A0"/>
        </w:tblPrEx>
        <w:tc>
          <w:tcPr>
            <w:tcW w:w="7200" w:type="dxa"/>
            <w:tcBorders>
              <w:bottom w:val="nil"/>
            </w:tcBorders>
          </w:tcPr>
          <w:p w:rsidR="0045472F" w:rsidRPr="00990D3B" w:rsidP="0069607B" w14:paraId="7884A150" w14:textId="58EA813D">
            <w:pPr>
              <w:pStyle w:val="EQRACTIVITY"/>
              <w:ind w:right="-108"/>
            </w:pPr>
            <w:hyperlink w:anchor="P6AII8" w:tooltip="ACTIVITY 8: REVIEW THE SURVEY DATA ANALYSIS AND FINAL REPORT" w:history="1">
              <w:r w:rsidRPr="00990D3B">
                <w:rPr>
                  <w:rStyle w:val="Hyperlink"/>
                </w:rPr>
                <w:t xml:space="preserve">ACTIVITY 8: REVIEW THE SURVEY </w:t>
              </w:r>
              <w:r w:rsidRPr="00990D3B">
                <w:rPr>
                  <w:rStyle w:val="Hyperlink"/>
                  <w:spacing w:val="-4"/>
                </w:rPr>
                <w:t>DATA ANALYSIS AND FINAL REPORT</w:t>
              </w:r>
            </w:hyperlink>
          </w:p>
        </w:tc>
      </w:tr>
    </w:tbl>
    <w:p w:rsidR="00102B29" w:rsidRPr="00990D3B" w:rsidP="001E0F84" w14:paraId="1D5CE66E" w14:textId="77777777">
      <w:pPr>
        <w:pStyle w:val="H2"/>
      </w:pPr>
      <w:bookmarkStart w:id="631" w:name="_Toc493246393"/>
      <w:bookmarkStart w:id="632" w:name="_Toc496116393"/>
      <w:bookmarkStart w:id="633" w:name="_Toc14777713"/>
      <w:bookmarkStart w:id="634" w:name="_Toc183005611"/>
      <w:bookmarkStart w:id="635" w:name="_Toc201751381"/>
      <w:r w:rsidRPr="00990D3B">
        <w:t>Background</w:t>
      </w:r>
      <w:bookmarkEnd w:id="631"/>
      <w:bookmarkEnd w:id="632"/>
      <w:bookmarkEnd w:id="633"/>
      <w:bookmarkEnd w:id="634"/>
      <w:bookmarkEnd w:id="635"/>
    </w:p>
    <w:p w:rsidR="00EF3D93" w:rsidRPr="00990D3B" w:rsidP="004E5005" w14:paraId="6B8154A6" w14:textId="3998D132">
      <w:pPr>
        <w:pStyle w:val="ParagraphContinued"/>
      </w:pPr>
      <w:r w:rsidRPr="00990D3B">
        <w:t xml:space="preserve">Surveys are an important resource for assessing the experience of managed care enrollees and providers. Information derived from surveys can help states and managed care plans (MCPs) create a person-centered health care environment for those enrolled in Medicaid and the Children’s Health Insurance Program (CHIP). Enrollee surveys can be </w:t>
      </w:r>
      <w:r w:rsidRPr="00990D3B">
        <w:t>used</w:t>
      </w:r>
      <w:r w:rsidRPr="00990D3B">
        <w:t xml:space="preserve"> to assess experience with their </w:t>
      </w:r>
      <w:r w:rsidRPr="00990D3B" w:rsidR="008E4338">
        <w:t>MCP</w:t>
      </w:r>
      <w:r w:rsidRPr="00990D3B">
        <w:t xml:space="preserve"> and its providers, and the quality of care they receive. Provider surveys can be used to assess the characteristics of providers and practices that serve Medicaid</w:t>
      </w:r>
      <w:r w:rsidRPr="00990D3B" w:rsidR="00832946">
        <w:t xml:space="preserve"> and </w:t>
      </w:r>
      <w:r w:rsidRPr="00990D3B">
        <w:t>CHIP enrollees, their accessibility and availability, and their experience with the Medicaid</w:t>
      </w:r>
      <w:r w:rsidRPr="00990D3B" w:rsidR="00832946">
        <w:t xml:space="preserve"> and </w:t>
      </w:r>
      <w:r w:rsidRPr="00990D3B">
        <w:t>CHIP program</w:t>
      </w:r>
      <w:r w:rsidRPr="00990D3B" w:rsidR="00832946">
        <w:t>s</w:t>
      </w:r>
      <w:r w:rsidRPr="00990D3B">
        <w:t xml:space="preserve">. </w:t>
      </w:r>
    </w:p>
    <w:p w:rsidR="00EF3D93" w:rsidRPr="00990D3B" w:rsidP="004E5005" w14:paraId="5B9952BF" w14:textId="71DECC44">
      <w:pPr>
        <w:pStyle w:val="Paragraph0"/>
      </w:pPr>
      <w:r w:rsidRPr="00990D3B">
        <w:t xml:space="preserve">This protocol provides guidance for administering and validating consumer or provider surveys. These surveys may be administered by states or MCPs (or their vendors) and validated by an </w:t>
      </w:r>
      <w:r w:rsidRPr="00990D3B" w:rsidR="00D353E6">
        <w:t>e</w:t>
      </w:r>
      <w:r w:rsidRPr="00990D3B">
        <w:t xml:space="preserve">xternal </w:t>
      </w:r>
      <w:r w:rsidRPr="00990D3B" w:rsidR="00D353E6">
        <w:t>q</w:t>
      </w:r>
      <w:r w:rsidRPr="00990D3B">
        <w:t xml:space="preserve">uality </w:t>
      </w:r>
      <w:r w:rsidRPr="00990D3B" w:rsidR="00D353E6">
        <w:t>r</w:t>
      </w:r>
      <w:r w:rsidRPr="00990D3B">
        <w:t xml:space="preserve">eview </w:t>
      </w:r>
      <w:r w:rsidRPr="00990D3B" w:rsidR="00D353E6">
        <w:t>o</w:t>
      </w:r>
      <w:r w:rsidRPr="00990D3B">
        <w:t>rganization (EQRO) or administered by the EQRO on behalf of a state or MCP. Because this protocol may be used for a variety of purposes, it does not specify one survey instrument, sampling method, or analytical approach.</w:t>
      </w:r>
    </w:p>
    <w:p w:rsidR="00EF3D93" w:rsidRPr="00990D3B" w:rsidP="004E5005" w14:paraId="24085FB3" w14:textId="226CECCD">
      <w:pPr>
        <w:pStyle w:val="Paragraph0"/>
      </w:pPr>
      <w:r w:rsidRPr="00990D3B">
        <w:t xml:space="preserve">An overarching goal of this protocol is to provide guidance about designing and conducting surveys that produce valid and reliable results. In this context, validity refers to surveys that measure what they were intended to measure. Reliability refers to the internal consistency of a survey and the reproducibility of survey results when administered under different conditions (e.g., by different people or at different times). Please refer to the </w:t>
      </w:r>
      <w:hyperlink w:anchor="P6App" w:tooltip="Technical Appendix" w:history="1">
        <w:r w:rsidRPr="00990D3B">
          <w:rPr>
            <w:rStyle w:val="Hyperlink"/>
          </w:rPr>
          <w:t>Technical Appendix</w:t>
        </w:r>
      </w:hyperlink>
      <w:r w:rsidRPr="00990D3B" w:rsidR="00FE60B8">
        <w:t xml:space="preserve"> </w:t>
      </w:r>
      <w:r w:rsidRPr="00990D3B">
        <w:t>at the end of this protocol for further discussion about potential sources of survey error that can affect the overall quality of a survey.</w:t>
      </w:r>
    </w:p>
    <w:p w:rsidR="00EF3D93" w:rsidRPr="00990D3B" w:rsidP="009B3409" w14:paraId="704C2898" w14:textId="0150A846">
      <w:pPr>
        <w:pStyle w:val="H2"/>
        <w:rPr>
          <w:lang w:bidi="en-US"/>
        </w:rPr>
      </w:pPr>
      <w:bookmarkStart w:id="636" w:name="_Toc14777714"/>
      <w:bookmarkStart w:id="637" w:name="_Toc183005612"/>
      <w:bookmarkStart w:id="638" w:name="_Toc201751382"/>
      <w:r w:rsidRPr="00990D3B">
        <w:rPr>
          <w:lang w:bidi="en-US"/>
        </w:rPr>
        <w:t>Getting Started on Protocol 6</w:t>
      </w:r>
      <w:bookmarkEnd w:id="636"/>
      <w:bookmarkEnd w:id="637"/>
      <w:bookmarkEnd w:id="638"/>
    </w:p>
    <w:p w:rsidR="00EF3D93" w:rsidRPr="00990D3B" w:rsidP="005355F4" w14:paraId="34BE55DE" w14:textId="7593ADA9">
      <w:pPr>
        <w:pStyle w:val="ParagraphContinued"/>
      </w:pPr>
      <w:r w:rsidRPr="00990D3B">
        <w:t>To complete this protocol, the EQRO undertakes eight activities</w:t>
      </w:r>
      <w:r w:rsidRPr="00990D3B">
        <w:t xml:space="preserve"> related to administering and validating a survey (</w:t>
      </w:r>
      <w:hyperlink w:anchor="Figure6i" w:tooltip="Figure 6.1" w:history="1">
        <w:r w:rsidRPr="00990D3B">
          <w:rPr>
            <w:rStyle w:val="Hyperlink"/>
          </w:rPr>
          <w:t>Figure 6.1</w:t>
        </w:r>
      </w:hyperlink>
      <w:r w:rsidRPr="00990D3B" w:rsidR="00D22F41">
        <w:rPr>
          <w:rStyle w:val="Hyperlink"/>
        </w:rPr>
        <w:t xml:space="preserve">, </w:t>
      </w:r>
      <w:r w:rsidRPr="00990D3B" w:rsidR="00D22F41">
        <w:rPr>
          <w:rStyle w:val="Hyperlink"/>
          <w:color w:val="auto"/>
        </w:rPr>
        <w:t>next page</w:t>
      </w:r>
      <w:r w:rsidRPr="00990D3B">
        <w:t xml:space="preserve">). </w:t>
      </w:r>
      <w:r w:rsidRPr="00990D3B" w:rsidR="00134A41">
        <w:t>Section I of this protocol describes the activities associated with administering a survey. Section II describes the activities associated with validating a survey.</w:t>
      </w:r>
      <w:r w:rsidRPr="00990D3B" w:rsidR="00E047D1">
        <w:t xml:space="preserve"> </w:t>
      </w:r>
      <w:r w:rsidRPr="00990D3B" w:rsidR="00781A3B">
        <w:t xml:space="preserve">When an EQRO validates a survey, </w:t>
      </w:r>
      <w:r w:rsidRPr="00990D3B" w:rsidR="00CC1842">
        <w:t>the</w:t>
      </w:r>
      <w:r w:rsidRPr="00990D3B" w:rsidR="004F4BBD">
        <w:t xml:space="preserve"> activities </w:t>
      </w:r>
      <w:r w:rsidRPr="00990D3B" w:rsidR="00CC1842">
        <w:t xml:space="preserve">in </w:t>
      </w:r>
      <w:hyperlink w:anchor="Figure6i" w:tooltip="Figure 6.1" w:history="1">
        <w:r w:rsidRPr="00990D3B" w:rsidR="00975AB5">
          <w:rPr>
            <w:rStyle w:val="Hyperlink"/>
          </w:rPr>
          <w:t>Figure 6.1</w:t>
        </w:r>
      </w:hyperlink>
      <w:r w:rsidRPr="00990D3B" w:rsidR="00D22F41">
        <w:rPr>
          <w:rStyle w:val="Hyperlink"/>
        </w:rPr>
        <w:t xml:space="preserve"> </w:t>
      </w:r>
      <w:r w:rsidRPr="00990D3B" w:rsidR="004F4BBD">
        <w:t>focus on</w:t>
      </w:r>
      <w:r w:rsidRPr="00990D3B" w:rsidR="00CC1842">
        <w:t xml:space="preserve"> ensuring the survey was administered correctly. </w:t>
      </w:r>
      <w:r w:rsidRPr="00990D3B">
        <w:t xml:space="preserve">Although the focus of the </w:t>
      </w:r>
      <w:r w:rsidRPr="00990D3B" w:rsidR="003774F6">
        <w:t>external quality review (</w:t>
      </w:r>
      <w:r w:rsidRPr="00990D3B">
        <w:t>EQR</w:t>
      </w:r>
      <w:r w:rsidRPr="00990D3B" w:rsidR="003774F6">
        <w:t>)</w:t>
      </w:r>
      <w:r w:rsidRPr="00990D3B">
        <w:t xml:space="preserve">-related activity will differ depending on whether the EQRO’s role is to administer or validate a survey, these eight activities are common to both roles. </w:t>
      </w:r>
    </w:p>
    <w:p w:rsidR="00CB788B" w:rsidRPr="00990D3B" w:rsidP="00ED0043" w14:paraId="16946D33" w14:textId="67E00D6C">
      <w:pPr>
        <w:pStyle w:val="MarkforFigureHeading"/>
      </w:pPr>
      <w:bookmarkStart w:id="639" w:name="Figure6i"/>
      <w:bookmarkEnd w:id="639"/>
      <w:r w:rsidRPr="00990D3B">
        <w:t>Figure 6.1. Protocol 6 Activities</w:t>
      </w:r>
    </w:p>
    <w:p w:rsidR="00997455" w:rsidRPr="00990D3B" w:rsidP="008E4239" w14:paraId="0DC50AC2" w14:textId="6C834BDD">
      <w:pPr>
        <w:pStyle w:val="NoSpacing"/>
      </w:pPr>
      <w:r w:rsidRPr="00990D3B">
        <w:rPr>
          <w:noProof/>
        </w:rPr>
        <w:drawing>
          <wp:inline distT="0" distB="0" distL="0" distR="0">
            <wp:extent cx="5944235" cy="7407275"/>
            <wp:effectExtent l="0" t="0" r="0" b="3175"/>
            <wp:docPr id="22" name="Picture 22" descr="Protocol 6 has eight activities. The first activity is to identify the survey purpose, objectives, and audience. The second activity is to develop a work plan. The third activity is to select the survey instrument. The fourth activity is to develop the sampling plan. Activity 4 has four steps: (1) define the study population, (2) determine the type of sampling to be used, (3) determine the number of units to sample, and (4) select the sample. Activity 5 is to develop a strategy to maximize response. Activity 5 has four steps: (1) maximize completeness of sample information before survey launch, (2) design a data collection strategy that maximizes response, (3) specify the method used to calculate the response rate, and (4) include a plan for a non-response analysis. The sixth activity is to develop a quality assurance plan. The seventh activity is to implement the survey according to the work plan. The eighth activity is to prepare and analyze survey data and present results in a final report. Activity 8 has five steps: (1) implement post-processing procedures, (2) calculate the sampling weights, (3) conduct a non-response analysis, (4) analyze survey data, and (5) prepare and submit a final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Protocol 6 has eight activities. The first activity is to identify the survey purpose, objectives, and audience. The second activity is to develop a work plan. The third activity is to select the survey instrument. The fourth activity is to develop the sampling plan. Activity 4 has four steps: (1) define the study population, (2) determine the type of sampling to be used, (3) determine the number of units to sample, and (4) select the sample. Activity 5 is to develop a strategy to maximize response. Activity 5 has four steps: (1) maximize completeness of sample information before survey launch, (2) design a data collection strategy that maximizes response, (3) specify the method used to calculate the response rate, and (4) include a plan for a non-response analysis. The sixth activity is to develop a quality assurance plan. The seventh activity is to implement the survey according to the work plan. The eighth activity is to prepare and analyze survey data and present results in a final report. Activity 8 has five steps: (1) implement post-processing procedures, (2) calculate the sampling weights, (3) conduct a non-response analysis, (4) analyze survey data, and (5) prepare and submit a final report."/>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4235" cy="7407275"/>
                    </a:xfrm>
                    <a:prstGeom prst="rect">
                      <a:avLst/>
                    </a:prstGeom>
                    <a:noFill/>
                  </pic:spPr>
                </pic:pic>
              </a:graphicData>
            </a:graphic>
          </wp:inline>
        </w:drawing>
      </w:r>
    </w:p>
    <w:p w:rsidR="005D3554" w:rsidRPr="00990D3B" w:rsidP="001C419E" w14:paraId="50D019F1" w14:textId="52C02776">
      <w:pPr>
        <w:pStyle w:val="EQRTableFootnoteCaption"/>
      </w:pPr>
      <w:r w:rsidRPr="00990D3B">
        <w:rPr>
          <w:rFonts w:eastAsia="Calibri"/>
        </w:rPr>
        <w:t>Note:</w:t>
      </w:r>
      <w:r w:rsidRPr="00990D3B" w:rsidR="001C419E">
        <w:rPr>
          <w:rFonts w:eastAsia="Calibri"/>
        </w:rPr>
        <w:t xml:space="preserve"> </w:t>
      </w:r>
      <w:r w:rsidRPr="00990D3B">
        <w:rPr>
          <w:rFonts w:eastAsia="Calibri"/>
        </w:rPr>
        <w:t>These activities pertain to survey implementation. Survey validation activities involve reviewing the adequacy of survey implementation.</w:t>
      </w:r>
      <w:r w:rsidRPr="00990D3B">
        <w:br w:type="page"/>
      </w:r>
    </w:p>
    <w:p w:rsidR="00EF3D93" w:rsidRPr="00990D3B" w:rsidP="004E5005" w14:paraId="0F8566CA" w14:textId="46AF5EAE">
      <w:pPr>
        <w:pStyle w:val="Paragraph0"/>
      </w:pPr>
      <w:r w:rsidRPr="00990D3B">
        <w:t xml:space="preserve">Two supplemental resources are available to help EQROs administer and validate a survey: </w:t>
      </w:r>
    </w:p>
    <w:p w:rsidR="00EF3D93" w:rsidRPr="00990D3B" w:rsidP="00FB7CAF" w14:paraId="0BC503B7" w14:textId="2D47A012">
      <w:pPr>
        <w:pStyle w:val="EQRBulletBLUE"/>
      </w:pPr>
      <w:hyperlink w:anchor="WSp6" w:tooltip="Worksheets for Protocol 6. Survey Administration and Validation Tools" w:history="1">
        <w:r w:rsidRPr="00990D3B">
          <w:rPr>
            <w:rStyle w:val="Hyperlink"/>
          </w:rPr>
          <w:t>Worksheets for Protocol 6. Survey Administration and Validation Tools</w:t>
        </w:r>
      </w:hyperlink>
      <w:r w:rsidRPr="00990D3B">
        <w:t xml:space="preserve">, which can be used to guide the EQRO’s activities as follows: </w:t>
      </w:r>
    </w:p>
    <w:p w:rsidR="00EF3D93" w:rsidRPr="00990D3B" w:rsidP="00411ED7" w14:paraId="202C3D07" w14:textId="080B3139">
      <w:pPr>
        <w:pStyle w:val="EQRBulletBLUE2ndlevel"/>
      </w:pPr>
      <w:r w:rsidRPr="00990D3B">
        <w:t xml:space="preserve">For survey administration: Use the worksheets to track and document steps performed in designing and implementing the survey. In the “Comments” column, </w:t>
      </w:r>
      <w:r w:rsidRPr="00990D3B" w:rsidR="004A54B5">
        <w:t>document decisions or findings</w:t>
      </w:r>
    </w:p>
    <w:p w:rsidR="00EF3D93" w:rsidRPr="00990D3B" w:rsidP="00411ED7" w14:paraId="5C2DFC33" w14:textId="3D012FB8">
      <w:pPr>
        <w:pStyle w:val="EQRBulletBLUE2ndlevel"/>
      </w:pPr>
      <w:r w:rsidRPr="00990D3B">
        <w:t>For survey validation: Use the worksheets to track and document steps performed in validating the survey. In the “Comments” column, document the outcome of validation activities, including sources reviewed. The worksheets can also be used as an outline for the final report to the state. Expand the tool to include other a</w:t>
      </w:r>
      <w:r w:rsidRPr="00990D3B" w:rsidR="004A54B5">
        <w:t>ctivities or findings as needed</w:t>
      </w:r>
    </w:p>
    <w:p w:rsidR="00EF3D93" w:rsidRPr="00990D3B" w:rsidP="00FB7CAF" w14:paraId="6B311561" w14:textId="797E363E">
      <w:pPr>
        <w:pStyle w:val="EQRBulletBLUE"/>
      </w:pPr>
      <w:hyperlink w:anchor="AppB" w:tooltip="Appendix B. Sampling Approaches for EQR Data Collection Activities" w:history="1">
        <w:r w:rsidRPr="00990D3B">
          <w:rPr>
            <w:rStyle w:val="Hyperlink"/>
          </w:rPr>
          <w:t>Appendix B. Sampling Approaches for EQR Data Collection Activities</w:t>
        </w:r>
      </w:hyperlink>
      <w:r w:rsidRPr="00990D3B">
        <w:t xml:space="preserve">, which provides </w:t>
      </w:r>
      <w:r w:rsidRPr="00990D3B" w:rsidR="004A54B5">
        <w:t>an overview of sampling methods</w:t>
      </w:r>
    </w:p>
    <w:p w:rsidR="003C290C" w:rsidRPr="00990D3B" w:rsidP="003C290C" w14:paraId="725AFC65" w14:textId="493A755F">
      <w:pPr>
        <w:pStyle w:val="EQRFigure"/>
      </w:pPr>
      <w:r w:rsidRPr="00990D3B">
        <w:drawing>
          <wp:inline distT="0" distB="0" distL="0" distR="0">
            <wp:extent cx="5236475" cy="1191770"/>
            <wp:effectExtent l="0" t="0" r="2540" b="8890"/>
            <wp:docPr id="262" name="Picture 262" descr="TIP: Navigate to the corresponding worksheet by clicking the WORKSHEET box under each section. An image of a sample WORKSHEET box is included in the TIP text. Worksheet boxes are single lines of hyperlinked text with a box border that read &quot;Worksheet X.X&quot; with the first number representing the protocol number, and second number representing the worksheet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TIP: Navigate to the corresponding worksheet by clicking the WORKSHEET box under each section. An image of a sample WORKSHEET box is included in the TIP text. Worksheet boxes are single lines of hyperlinked text with a box border that read &quot;Worksheet X.X&quot; with the first number representing the protocol number, and second number representing the worksheet number."/>
                    <pic:cNvPicPr/>
                  </pic:nvPicPr>
                  <pic:blipFill>
                    <a:blip xmlns:r="http://schemas.openxmlformats.org/officeDocument/2006/relationships" r:embed="rId10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36475" cy="1191770"/>
                    </a:xfrm>
                    <a:prstGeom prst="rect">
                      <a:avLst/>
                    </a:prstGeom>
                  </pic:spPr>
                </pic:pic>
              </a:graphicData>
            </a:graphic>
          </wp:inline>
        </w:drawing>
      </w:r>
    </w:p>
    <w:p w:rsidR="000B33AC" w:rsidRPr="00990D3B" w14:paraId="7D0461C7" w14:textId="77777777">
      <w:pPr>
        <w:spacing w:line="240" w:lineRule="auto"/>
        <w:rPr>
          <w:b/>
          <w:sz w:val="28"/>
        </w:rPr>
      </w:pPr>
      <w:r w:rsidRPr="00990D3B">
        <w:br w:type="page"/>
      </w:r>
    </w:p>
    <w:p w:rsidR="00EF3D93" w:rsidRPr="00990D3B" w:rsidP="00B67F27" w14:paraId="5A211130" w14:textId="12DE80EB">
      <w:pPr>
        <w:pStyle w:val="H2"/>
      </w:pPr>
      <w:bookmarkStart w:id="640" w:name="P6Sec1"/>
      <w:bookmarkStart w:id="641" w:name="_Toc14777715"/>
      <w:bookmarkStart w:id="642" w:name="_Toc183005613"/>
      <w:bookmarkStart w:id="643" w:name="_Toc201751383"/>
      <w:bookmarkEnd w:id="640"/>
      <w:r w:rsidRPr="00990D3B">
        <w:t>S</w:t>
      </w:r>
      <w:r w:rsidRPr="00990D3B" w:rsidR="00CE29A6">
        <w:t>ection</w:t>
      </w:r>
      <w:r w:rsidRPr="00990D3B">
        <w:t xml:space="preserve"> I. A</w:t>
      </w:r>
      <w:r w:rsidRPr="00990D3B" w:rsidR="00947EA5">
        <w:t xml:space="preserve">dministering </w:t>
      </w:r>
      <w:r w:rsidRPr="00990D3B" w:rsidR="00D8425E">
        <w:t>a</w:t>
      </w:r>
      <w:r w:rsidRPr="00990D3B" w:rsidR="00CE29A6">
        <w:t xml:space="preserve"> Survey</w:t>
      </w:r>
      <w:bookmarkEnd w:id="641"/>
      <w:bookmarkEnd w:id="642"/>
      <w:bookmarkEnd w:id="643"/>
    </w:p>
    <w:p w:rsidR="0035433A" w:rsidRPr="00990D3B" w:rsidP="00BC5DEB" w14:paraId="096C65BD" w14:textId="11B4C5DA">
      <w:pPr>
        <w:pStyle w:val="H2"/>
      </w:pPr>
      <w:bookmarkStart w:id="644" w:name="P6Act11"/>
      <w:bookmarkStart w:id="645" w:name="P6AI1"/>
      <w:bookmarkStart w:id="646" w:name="_Toc14777716"/>
      <w:bookmarkStart w:id="647" w:name="_Toc183005614"/>
      <w:bookmarkStart w:id="648" w:name="_Toc201751384"/>
      <w:bookmarkEnd w:id="644"/>
      <w:bookmarkEnd w:id="645"/>
      <w:r w:rsidRPr="00990D3B">
        <w:t>A</w:t>
      </w:r>
      <w:r w:rsidRPr="00990D3B" w:rsidR="00125F00">
        <w:t xml:space="preserve">ctivity </w:t>
      </w:r>
      <w:r w:rsidRPr="00990D3B" w:rsidR="00622DF7">
        <w:t>I.</w:t>
      </w:r>
      <w:r w:rsidRPr="00990D3B" w:rsidR="00125F00">
        <w:t>1</w:t>
      </w:r>
      <w:r w:rsidRPr="00990D3B" w:rsidR="00EF3D93">
        <w:t>: I</w:t>
      </w:r>
      <w:r w:rsidRPr="00990D3B" w:rsidR="00125F00">
        <w:t>dentify</w:t>
      </w:r>
      <w:r w:rsidRPr="00990D3B" w:rsidR="00EF3D93">
        <w:t xml:space="preserve"> </w:t>
      </w:r>
      <w:r w:rsidRPr="00990D3B" w:rsidR="00125F00">
        <w:t xml:space="preserve">the Survey </w:t>
      </w:r>
      <w:r w:rsidRPr="00990D3B" w:rsidR="00EF3D93">
        <w:t>P</w:t>
      </w:r>
      <w:r w:rsidRPr="00990D3B" w:rsidR="00125F00">
        <w:t>urpose</w:t>
      </w:r>
      <w:r w:rsidRPr="00990D3B" w:rsidR="00EF3D93">
        <w:t>, O</w:t>
      </w:r>
      <w:r w:rsidRPr="00990D3B" w:rsidR="00125F00">
        <w:t>bjectives</w:t>
      </w:r>
      <w:r w:rsidRPr="00990D3B" w:rsidR="00EF3D93">
        <w:t xml:space="preserve">, </w:t>
      </w:r>
      <w:r w:rsidRPr="00990D3B" w:rsidR="00125F00">
        <w:t xml:space="preserve">and </w:t>
      </w:r>
      <w:r w:rsidRPr="00990D3B" w:rsidR="00EF3D93">
        <w:t>A</w:t>
      </w:r>
      <w:r w:rsidRPr="00990D3B" w:rsidR="00125F00">
        <w:t>udience</w:t>
      </w:r>
      <w:bookmarkEnd w:id="646"/>
      <w:bookmarkEnd w:id="647"/>
      <w:bookmarkEnd w:id="648"/>
    </w:p>
    <w:p w:rsidR="00EF3D93" w:rsidRPr="00990D3B" w:rsidP="001C419E" w14:paraId="4908DC01" w14:textId="7BC9AFBA">
      <w:pPr>
        <w:pStyle w:val="ParagraphContinued"/>
        <w:rPr>
          <w:noProof/>
        </w:rPr>
      </w:pPr>
      <w:r w:rsidRPr="00990D3B">
        <w:rPr>
          <w:noProof/>
        </w:rPr>
        <mc:AlternateContent>
          <mc:Choice Requires="wps">
            <w:drawing>
              <wp:anchor distT="0" distB="0" distL="114300" distR="114300" simplePos="0" relativeHeight="251842560" behindDoc="0" locked="0" layoutInCell="1" allowOverlap="1">
                <wp:simplePos x="0" y="0"/>
                <wp:positionH relativeFrom="column">
                  <wp:posOffset>3689350</wp:posOffset>
                </wp:positionH>
                <wp:positionV relativeFrom="paragraph">
                  <wp:posOffset>457835</wp:posOffset>
                </wp:positionV>
                <wp:extent cx="2194560" cy="1301115"/>
                <wp:effectExtent l="19050" t="19050" r="15240" b="13970"/>
                <wp:wrapTight wrapText="bothSides">
                  <wp:wrapPolygon>
                    <wp:start x="21788" y="21916"/>
                    <wp:lineTo x="21788" y="84"/>
                    <wp:lineTo x="38" y="84"/>
                    <wp:lineTo x="38" y="21916"/>
                    <wp:lineTo x="21788" y="21916"/>
                  </wp:wrapPolygon>
                </wp:wrapTight>
                <wp:docPr id="1883635681" name="Text Box 9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1301115"/>
                        </a:xfrm>
                        <a:prstGeom prst="rect">
                          <a:avLst/>
                        </a:prstGeom>
                        <a:solidFill>
                          <a:srgbClr val="EEF5F8"/>
                        </a:solidFill>
                        <a:ln w="28575" cap="rnd">
                          <a:solidFill>
                            <a:srgbClr val="A5DAD9"/>
                          </a:solidFill>
                          <a:prstDash val="solid"/>
                          <a:miter lim="800000"/>
                          <a:headEnd/>
                          <a:tailEnd/>
                        </a:ln>
                      </wps:spPr>
                      <wps:txbx>
                        <w:txbxContent>
                          <w:p w:rsidR="00ED33C3" w:rsidRPr="00D41CCB" w:rsidP="00C60D44" w14:textId="51121003">
                            <w:pPr>
                              <w:pStyle w:val="EQRTextboxheading"/>
                            </w:pPr>
                            <w:r w:rsidRPr="00D41CCB">
                              <w:t>Resource for Activity 1</w:t>
                            </w:r>
                          </w:p>
                          <w:p w:rsidR="00ED33C3" w:rsidRPr="00C60D44" w:rsidP="00C60D44" w14:textId="043B6450">
                            <w:pPr>
                              <w:pStyle w:val="EQRTextboxbody"/>
                            </w:pPr>
                            <w:hyperlink w:anchor="WSp6n01" w:tooltip="Worksheet 6.1. Survey Purpose, Objectives, and Audience" w:history="1">
                              <w:r w:rsidRPr="00170346">
                                <w:rPr>
                                  <w:rStyle w:val="Hyperlink"/>
                                </w:rPr>
                                <w:t>Worksheet 6.1. Survey Purpose, Objectives, and Audience</w:t>
                              </w:r>
                            </w:hyperlink>
                          </w:p>
                          <w:p w:rsidR="00ED33C3" w:rsidRPr="004B37FD" w:rsidP="00C60D44" w14:textId="0AFC6ECA">
                            <w:pPr>
                              <w:pStyle w:val="EQRTextboxbullet"/>
                            </w:pPr>
                            <w:r w:rsidRPr="00C60D44">
                              <w:t>Provides a set of questions to assess the clarity of the survey purpose, objectives, and audience</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9" o:spid="_x0000_s1179" type="#_x0000_t202" style="width:172.8pt;height:102.45pt;margin-top:36.05pt;margin-left:290.5pt;flip:y;mso-height-percent:0;mso-height-relative:page;mso-width-percent:0;mso-width-relative:page;mso-wrap-distance-bottom:0;mso-wrap-distance-left:9pt;mso-wrap-distance-right:9pt;mso-wrap-distance-top:0;mso-wrap-style:square;position:absolute;rotation:180;visibility:visible;v-text-anchor:top;z-index:251843584" fillcolor="#eef5f8" strokecolor="#a5dad9" strokeweight="2.25pt">
                <v:stroke endcap="round"/>
                <v:textbox style="mso-fit-shape-to-text:t" inset="8.64pt,,8.64pt">
                  <w:txbxContent>
                    <w:p w:rsidR="00ED33C3" w:rsidRPr="00D41CCB" w:rsidP="00C60D44" w14:paraId="514D35FF" w14:textId="51121003">
                      <w:pPr>
                        <w:pStyle w:val="EQRTextboxheading"/>
                      </w:pPr>
                      <w:r w:rsidRPr="00D41CCB">
                        <w:t>Resource for Activity 1</w:t>
                      </w:r>
                    </w:p>
                    <w:p w:rsidR="00ED33C3" w:rsidRPr="00C60D44" w:rsidP="00C60D44" w14:paraId="5106BFE4" w14:textId="043B6450">
                      <w:pPr>
                        <w:pStyle w:val="EQRTextboxbody"/>
                      </w:pPr>
                      <w:hyperlink w:anchor="WSp6n01" w:tooltip="Worksheet 6.1. Survey Purpose, Objectives, and Audience" w:history="1">
                        <w:r w:rsidRPr="00170346">
                          <w:rPr>
                            <w:rStyle w:val="Hyperlink"/>
                          </w:rPr>
                          <w:t>Worksheet 6.1. Survey Purpose, Objectives, and Audience</w:t>
                        </w:r>
                      </w:hyperlink>
                    </w:p>
                    <w:p w:rsidR="00ED33C3" w:rsidRPr="004B37FD" w:rsidP="00C60D44" w14:paraId="759FBAE4" w14:textId="0AFC6ECA">
                      <w:pPr>
                        <w:pStyle w:val="EQRTextboxbullet"/>
                      </w:pPr>
                      <w:r w:rsidRPr="00C60D44">
                        <w:t>Provides a set of questions to assess the clarity of the survey purpose, objectives, and audience</w:t>
                      </w:r>
                    </w:p>
                  </w:txbxContent>
                </v:textbox>
                <w10:wrap type="tight"/>
              </v:shape>
            </w:pict>
          </mc:Fallback>
        </mc:AlternateContent>
      </w:r>
      <w:r w:rsidRPr="00990D3B">
        <w:rPr>
          <w:noProof/>
        </w:rPr>
        <mc:AlternateContent>
          <mc:Choice Requires="wps">
            <w:drawing>
              <wp:anchor distT="0" distB="0" distL="114300" distR="114300" simplePos="0" relativeHeight="251844608" behindDoc="0" locked="0" layoutInCell="1" allowOverlap="1">
                <wp:simplePos x="0" y="0"/>
                <wp:positionH relativeFrom="column">
                  <wp:posOffset>3689350</wp:posOffset>
                </wp:positionH>
                <wp:positionV relativeFrom="paragraph">
                  <wp:posOffset>97155</wp:posOffset>
                </wp:positionV>
                <wp:extent cx="2193925" cy="297815"/>
                <wp:effectExtent l="19050" t="19050" r="15875" b="26670"/>
                <wp:wrapTight wrapText="bothSides">
                  <wp:wrapPolygon>
                    <wp:start x="21788" y="22985"/>
                    <wp:lineTo x="21788" y="-554"/>
                    <wp:lineTo x="31" y="-554"/>
                    <wp:lineTo x="31" y="22985"/>
                    <wp:lineTo x="21788" y="22985"/>
                  </wp:wrapPolygon>
                </wp:wrapTight>
                <wp:docPr id="608370037" name="Text Box 9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6847EB" w:rsidP="00C60D44" w14:textId="5DB0EC78">
                            <w:pPr>
                              <w:pStyle w:val="EQRWORKSHEETText"/>
                              <w:rPr>
                                <w:color w:val="006068" w:themeColor="accent1" w:themeShade="BF"/>
                              </w:rPr>
                            </w:pPr>
                            <w:hyperlink w:anchor="WSp6n01" w:tooltip="WORKSHEET 6.1" w:history="1">
                              <w:r w:rsidRPr="006847EB">
                                <w:rPr>
                                  <w:color w:val="006068" w:themeColor="accent1" w:themeShade="BF"/>
                                </w:rPr>
                                <w:t>WORKSHEET 6.1</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8" o:spid="_x0000_s1180" type="#_x0000_t202" style="width:172.75pt;height:23.45pt;margin-top:7.65pt;margin-left:290.5pt;flip:y;mso-height-percent:0;mso-height-relative:page;mso-width-percent:0;mso-width-relative:page;mso-wrap-distance-bottom:0;mso-wrap-distance-left:9pt;mso-wrap-distance-right:9pt;mso-wrap-distance-top:0;mso-wrap-style:square;position:absolute;rotation:180;visibility:visible;v-text-anchor:top;z-index:251845632" fillcolor="#eef5f8" strokecolor="#a5dad9" strokeweight="2.25pt">
                <v:stroke endcap="round"/>
                <v:textbox style="mso-fit-shape-to-text:t" inset="8.64pt,,8.64pt">
                  <w:txbxContent>
                    <w:p w:rsidR="00ED33C3" w:rsidRPr="006847EB" w:rsidP="00C60D44" w14:paraId="049BF848" w14:textId="5DB0EC78">
                      <w:pPr>
                        <w:pStyle w:val="EQRWORKSHEETText"/>
                        <w:rPr>
                          <w:color w:val="006068" w:themeColor="accent1" w:themeShade="BF"/>
                        </w:rPr>
                      </w:pPr>
                      <w:hyperlink w:anchor="WSp6n01" w:tooltip="WORKSHEET 6.1" w:history="1">
                        <w:r w:rsidRPr="006847EB">
                          <w:rPr>
                            <w:color w:val="006068" w:themeColor="accent1" w:themeShade="BF"/>
                          </w:rPr>
                          <w:t>WORKSHEET 6.1</w:t>
                        </w:r>
                      </w:hyperlink>
                    </w:p>
                  </w:txbxContent>
                </v:textbox>
                <w10:wrap type="tight"/>
              </v:shape>
            </w:pict>
          </mc:Fallback>
        </mc:AlternateContent>
      </w:r>
      <w:r w:rsidRPr="00990D3B" w:rsidR="00EF3D93">
        <w:t xml:space="preserve">The first step in developing a survey is to identify </w:t>
      </w:r>
      <w:r w:rsidRPr="00990D3B" w:rsidR="00EF3D93">
        <w:t>the survey</w:t>
      </w:r>
      <w:r w:rsidRPr="00990D3B" w:rsidR="00EF3D93">
        <w:t xml:space="preserve"> purpose, objectives, and audience. </w:t>
      </w:r>
      <w:r w:rsidRPr="00990D3B" w:rsidR="00D22F41">
        <w:t>This provides the</w:t>
      </w:r>
      <w:r w:rsidRPr="00990D3B" w:rsidR="00EF3D93">
        <w:t xml:space="preserve"> EQRO </w:t>
      </w:r>
      <w:r w:rsidRPr="00990D3B" w:rsidR="00D22F41">
        <w:t>with</w:t>
      </w:r>
      <w:r w:rsidRPr="00990D3B" w:rsidR="00EF3D93">
        <w:t xml:space="preserve"> a clear understanding of how </w:t>
      </w:r>
      <w:r w:rsidRPr="00990D3B" w:rsidR="00D22F41">
        <w:t>the</w:t>
      </w:r>
      <w:r w:rsidRPr="00990D3B" w:rsidR="00EF3D93">
        <w:t xml:space="preserve"> state will use the survey results, including what the state wants to learn from the survey and what it plans to do with the results (</w:t>
      </w:r>
      <w:r w:rsidRPr="00990D3B" w:rsidR="00D353E6">
        <w:t>s</w:t>
      </w:r>
      <w:r w:rsidRPr="00990D3B" w:rsidR="00EF3D93">
        <w:t xml:space="preserve">ee </w:t>
      </w:r>
      <w:hyperlink w:anchor="Box6n1" w:tooltip="Box 6.1" w:history="1">
        <w:r w:rsidRPr="00990D3B" w:rsidR="00B76DC8">
          <w:rPr>
            <w:rStyle w:val="Hyperlink"/>
          </w:rPr>
          <w:t>B</w:t>
        </w:r>
        <w:r w:rsidRPr="00990D3B" w:rsidR="00644FDD">
          <w:rPr>
            <w:rStyle w:val="Hyperlink"/>
          </w:rPr>
          <w:t>ox</w:t>
        </w:r>
        <w:r w:rsidRPr="00990D3B" w:rsidR="00B76DC8">
          <w:rPr>
            <w:rStyle w:val="Hyperlink"/>
          </w:rPr>
          <w:t xml:space="preserve"> 6.1</w:t>
        </w:r>
      </w:hyperlink>
      <w:r w:rsidRPr="00990D3B" w:rsidR="00644FDD">
        <w:t>).</w:t>
      </w:r>
      <w:r w:rsidRPr="00990D3B" w:rsidR="00802FEB">
        <w:rPr>
          <w:noProof/>
        </w:rPr>
        <w:t xml:space="preserve"> </w:t>
      </w:r>
    </w:p>
    <w:p w:rsidR="00EF3D93" w:rsidRPr="00990D3B" w:rsidP="001C419E" w14:paraId="73ECFEDB" w14:textId="354ADBF4">
      <w:pPr>
        <w:pStyle w:val="Paragraph0"/>
      </w:pPr>
      <w:bookmarkStart w:id="649" w:name="Box6n1"/>
      <w:bookmarkEnd w:id="649"/>
      <w:r w:rsidRPr="00990D3B">
        <w:t>The state should also specify the audience for the findings, since the survey content, analysis plan, and report format will vary based on the audience. Such audiences and uses could include the following:</w:t>
      </w:r>
    </w:p>
    <w:p w:rsidR="00EF3D93" w:rsidRPr="00990D3B" w:rsidP="00FB7CAF" w14:paraId="65FA185C" w14:textId="7769ED6F">
      <w:pPr>
        <w:pStyle w:val="EQRBulletBLUE"/>
      </w:pPr>
      <w:r w:rsidRPr="00990D3B">
        <w:rPr>
          <w:b/>
        </w:rPr>
        <w:t>Enrollees</w:t>
      </w:r>
      <w:r w:rsidRPr="00990D3B">
        <w:rPr>
          <w:b/>
        </w:rPr>
        <w:t xml:space="preserve"> and their families.</w:t>
      </w:r>
      <w:r w:rsidRPr="00990D3B">
        <w:t xml:space="preserve"> Increasingly, consumers rely on survey information to </w:t>
      </w:r>
      <w:r w:rsidRPr="00990D3B">
        <w:t>inform</w:t>
      </w:r>
      <w:r w:rsidRPr="00990D3B">
        <w:t xml:space="preserve"> their choice of health care options. To support this use, the survey design must allow for comparisons among MCPs, potentially controlling </w:t>
      </w:r>
      <w:r w:rsidRPr="00990D3B" w:rsidR="00231B56">
        <w:t xml:space="preserve">for </w:t>
      </w:r>
      <w:r w:rsidRPr="00990D3B">
        <w:t xml:space="preserve">or stratifying </w:t>
      </w:r>
      <w:r w:rsidRPr="00990D3B" w:rsidR="004A54B5">
        <w:t>enrollee characteristics</w:t>
      </w:r>
      <w:r w:rsidRPr="00990D3B" w:rsidR="00DA2DF3">
        <w:t>.</w:t>
      </w:r>
    </w:p>
    <w:p w:rsidR="00EF3D93" w:rsidRPr="00990D3B" w:rsidP="00FB7CAF" w14:paraId="4685648D" w14:textId="29827669">
      <w:pPr>
        <w:pStyle w:val="EQRBulletBLUE"/>
      </w:pPr>
      <w:r w:rsidRPr="00990D3B">
        <w:rPr>
          <w:b/>
        </w:rPr>
        <w:t>MCPs and providers.</w:t>
      </w:r>
      <w:r w:rsidRPr="00990D3B">
        <w:t xml:space="preserve"> To promote value-based purchasing in Medicaid and CHIP, information on the quality of care provided by MCPs and providers can be used to identify higher- and lower-performing </w:t>
      </w:r>
      <w:r w:rsidRPr="00990D3B" w:rsidR="00C73417">
        <w:t xml:space="preserve">MCPs </w:t>
      </w:r>
      <w:r w:rsidRPr="00990D3B">
        <w:t xml:space="preserve">and practices and support </w:t>
      </w:r>
      <w:r w:rsidRPr="00990D3B" w:rsidR="004A54B5">
        <w:t>quality improvement initiatives</w:t>
      </w:r>
      <w:r w:rsidRPr="00990D3B" w:rsidR="00DA2DF3">
        <w:t>.</w:t>
      </w:r>
    </w:p>
    <w:p w:rsidR="00EF3D93" w:rsidRPr="00990D3B" w:rsidP="00FB7CAF" w14:paraId="066F5AFB" w14:textId="7B3FEAF4">
      <w:pPr>
        <w:pStyle w:val="EQRBulletBLUE"/>
      </w:pPr>
      <w:r w:rsidRPr="00990D3B">
        <w:rPr>
          <w:b/>
        </w:rPr>
        <w:t xml:space="preserve">State policymakers. </w:t>
      </w:r>
      <w:r w:rsidRPr="00990D3B">
        <w:t>With increasing recognition of the link between better care, better health, and more affordable care, information on enrollee experiences in managed care, barriers to care, and the role of social determinants can be used to develop initiatives to reduce disp</w:t>
      </w:r>
      <w:r w:rsidRPr="00990D3B" w:rsidR="004A54B5">
        <w:t>arities and improve outcomes</w:t>
      </w:r>
      <w:r w:rsidRPr="00990D3B" w:rsidR="00DA2DF3">
        <w:t>.</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59899D11" w14:textId="77777777" w:rsidTr="000F67F7">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216"/>
        </w:trPr>
        <w:tc>
          <w:tcPr>
            <w:tcW w:w="9314" w:type="dxa"/>
            <w:shd w:val="clear" w:color="auto" w:fill="EEF5F8"/>
          </w:tcPr>
          <w:p w:rsidR="00B32829" w:rsidRPr="00990D3B" w:rsidP="000F67F7" w14:paraId="5FAA1BB1" w14:textId="77777777">
            <w:pPr>
              <w:pStyle w:val="EQRTextboxheading"/>
              <w:keepNext/>
              <w:spacing w:before="0" w:after="0"/>
            </w:pPr>
            <w:r w:rsidRPr="00990D3B">
              <w:t>Box 6.1 Examples of Survey Uses</w:t>
            </w:r>
          </w:p>
          <w:p w:rsidR="00E51680" w:rsidRPr="00990D3B" w:rsidP="000E758E" w14:paraId="345FC808" w14:textId="64B58FFC">
            <w:pPr>
              <w:pStyle w:val="EQRTextboxbody"/>
              <w:spacing w:after="0"/>
            </w:pPr>
            <w:r w:rsidRPr="00990D3B">
              <w:t>Surveys are a valuable tool for capturing enrollee experiences and perceptions of care. States and EQROs can use survey results in a variety of ways to support oversight, accountability, and program improvement. The examples below highlight common applications of survey data in Medicaid and CHIP programs:</w:t>
            </w:r>
          </w:p>
        </w:tc>
      </w:tr>
      <w:tr w14:paraId="524FDF07" w14:textId="77777777" w:rsidTr="000F67F7">
        <w:tblPrEx>
          <w:tblW w:w="0" w:type="auto"/>
          <w:tblCellMar>
            <w:top w:w="72" w:type="dxa"/>
            <w:left w:w="173" w:type="dxa"/>
            <w:bottom w:w="72" w:type="dxa"/>
            <w:right w:w="173" w:type="dxa"/>
          </w:tblCellMar>
          <w:tblLook w:val="04A0"/>
        </w:tblPrEx>
        <w:trPr>
          <w:cantSplit/>
          <w:trHeight w:val="666"/>
        </w:trPr>
        <w:tc>
          <w:tcPr>
            <w:tcW w:w="9314" w:type="dxa"/>
            <w:shd w:val="clear" w:color="auto" w:fill="EEF5F8"/>
          </w:tcPr>
          <w:p w:rsidR="00B32829" w:rsidRPr="00990D3B" w:rsidP="000F67F7" w14:paraId="0F5B7DEE" w14:textId="5C419C98">
            <w:pPr>
              <w:pStyle w:val="EQRTextboxbullet"/>
            </w:pPr>
            <w:r w:rsidRPr="00990D3B">
              <w:t>Monitor and evaluate access, timeliness, and quality of care provided to Medicaid and CHIP enrollees</w:t>
            </w:r>
            <w:r w:rsidRPr="00990D3B" w:rsidR="00DA2DF3">
              <w:t>.</w:t>
            </w:r>
          </w:p>
          <w:p w:rsidR="00B32829" w:rsidRPr="00990D3B" w:rsidP="000F67F7" w14:paraId="43FAC464" w14:textId="62B714FA">
            <w:pPr>
              <w:pStyle w:val="EQRTextboxbullet"/>
            </w:pPr>
            <w:r w:rsidRPr="00990D3B">
              <w:t>Inform value-based purchasing and quality improvement initiatives</w:t>
            </w:r>
            <w:r w:rsidRPr="00990D3B" w:rsidR="00DA2DF3">
              <w:t>.</w:t>
            </w:r>
          </w:p>
          <w:p w:rsidR="00B32829" w:rsidRPr="00990D3B" w:rsidP="000F67F7" w14:paraId="064CFB43" w14:textId="3AC383C9">
            <w:pPr>
              <w:pStyle w:val="EQRTextboxbullet"/>
            </w:pPr>
            <w:r w:rsidRPr="00990D3B">
              <w:t xml:space="preserve">Provide information to help Medicaid and CHIP </w:t>
            </w:r>
            <w:r w:rsidRPr="00990D3B">
              <w:t>enrollees</w:t>
            </w:r>
            <w:r w:rsidRPr="00990D3B">
              <w:t xml:space="preserve"> make informed choices among MCPs</w:t>
            </w:r>
            <w:r w:rsidRPr="00990D3B" w:rsidR="00DA2DF3">
              <w:t>.</w:t>
            </w:r>
          </w:p>
        </w:tc>
      </w:tr>
    </w:tbl>
    <w:p w:rsidR="00D00866" w:rsidRPr="00990D3B" w:rsidP="004E5005" w14:paraId="58C388F1" w14:textId="454952B1">
      <w:pPr>
        <w:pStyle w:val="ParagraphContinued"/>
      </w:pPr>
      <w:r w:rsidRPr="00990D3B">
        <w:t>Next, the state should specify survey domains that align with the intended use of the survey results. For example, if the survey results will be used to help enrollees choose a</w:t>
      </w:r>
      <w:r w:rsidRPr="00990D3B" w:rsidR="008D1A82">
        <w:t>n</w:t>
      </w:r>
      <w:r w:rsidRPr="00990D3B">
        <w:t xml:space="preserve"> </w:t>
      </w:r>
      <w:r w:rsidRPr="00990D3B" w:rsidR="00C858E7">
        <w:t>MCP</w:t>
      </w:r>
      <w:r w:rsidRPr="00990D3B">
        <w:t>, specific measurement domains might include experience with the primary care provider, access to specialty care, and treatment planning, among others.</w:t>
      </w:r>
    </w:p>
    <w:p w:rsidR="00D31C6C" w:rsidRPr="00990D3B" w:rsidP="004E5005" w14:paraId="1961FE06" w14:textId="3AFAC32C">
      <w:pPr>
        <w:pStyle w:val="Paragraph0"/>
      </w:pPr>
      <w:r w:rsidRPr="00990D3B">
        <w:t xml:space="preserve">Finally, the state should specify the unit of analysis, including populations or subpopulations of interest. Depending on the purpose of the survey, the unit of analysis could be the entire managed care population in the </w:t>
      </w:r>
      <w:r w:rsidRPr="00990D3B">
        <w:t>state</w:t>
      </w:r>
      <w:r w:rsidRPr="00990D3B">
        <w:t xml:space="preserve"> or it could be targeted </w:t>
      </w:r>
      <w:r w:rsidRPr="00990D3B">
        <w:t>to</w:t>
      </w:r>
      <w:r w:rsidRPr="00990D3B">
        <w:t xml:space="preserve"> subpopulations, for example, individual MCPs, provider groups, children with chronic conditions, new Medicaid </w:t>
      </w:r>
      <w:r w:rsidRPr="00990D3B" w:rsidR="009A1594">
        <w:t xml:space="preserve">and CHIP </w:t>
      </w:r>
      <w:r w:rsidRPr="00990D3B">
        <w:t>enrollees</w:t>
      </w:r>
      <w:r w:rsidRPr="00990D3B">
        <w:t>, or individuals recently disenrolled from an MCP. This information is used to develop the sampling approach, instrument design, and analysis plan.</w:t>
      </w:r>
    </w:p>
    <w:p w:rsidR="0035433A" w:rsidRPr="00990D3B" w:rsidP="00926509" w14:paraId="1D0D9C94" w14:textId="5BBF29F3">
      <w:pPr>
        <w:pStyle w:val="H2"/>
      </w:pPr>
      <w:bookmarkStart w:id="650" w:name="P6ActI2"/>
      <w:bookmarkStart w:id="651" w:name="P6AI2"/>
      <w:bookmarkStart w:id="652" w:name="_Toc14777717"/>
      <w:bookmarkStart w:id="653" w:name="_Toc183005615"/>
      <w:bookmarkStart w:id="654" w:name="_Toc201751385"/>
      <w:bookmarkEnd w:id="650"/>
      <w:bookmarkEnd w:id="651"/>
      <w:r w:rsidRPr="00990D3B">
        <w:t>A</w:t>
      </w:r>
      <w:r w:rsidRPr="00990D3B" w:rsidR="00125F00">
        <w:t>ctivity</w:t>
      </w:r>
      <w:r w:rsidRPr="00990D3B" w:rsidR="000204AC">
        <w:t xml:space="preserve"> </w:t>
      </w:r>
      <w:r w:rsidRPr="00990D3B" w:rsidR="00E33E1D">
        <w:t>I.</w:t>
      </w:r>
      <w:r w:rsidRPr="00990D3B" w:rsidR="000204AC">
        <w:t>2: D</w:t>
      </w:r>
      <w:r w:rsidRPr="00990D3B" w:rsidR="00125F00">
        <w:t xml:space="preserve">evelop </w:t>
      </w:r>
      <w:r w:rsidRPr="00990D3B" w:rsidR="00D8425E">
        <w:t>a</w:t>
      </w:r>
      <w:r w:rsidRPr="00990D3B" w:rsidR="00125F00">
        <w:t xml:space="preserve"> </w:t>
      </w:r>
      <w:r w:rsidRPr="00990D3B" w:rsidR="000204AC">
        <w:t>W</w:t>
      </w:r>
      <w:r w:rsidRPr="00990D3B" w:rsidR="00125F00">
        <w:t>ork Plan</w:t>
      </w:r>
      <w:bookmarkEnd w:id="652"/>
      <w:bookmarkEnd w:id="653"/>
      <w:bookmarkEnd w:id="654"/>
    </w:p>
    <w:p w:rsidR="00926509" w:rsidRPr="00990D3B" w:rsidP="00CD237D" w14:paraId="3555EF41" w14:textId="355B0830">
      <w:pPr>
        <w:pStyle w:val="ParagraphContinued"/>
        <w:rPr>
          <w:noProof/>
        </w:rPr>
      </w:pPr>
      <w:r w:rsidRPr="00990D3B">
        <w:rPr>
          <w:noProof/>
        </w:rPr>
        <mc:AlternateContent>
          <mc:Choice Requires="wps">
            <w:drawing>
              <wp:anchor distT="0" distB="0" distL="114300" distR="114300" simplePos="0" relativeHeight="251848704" behindDoc="0" locked="0" layoutInCell="1" allowOverlap="1">
                <wp:simplePos x="0" y="0"/>
                <wp:positionH relativeFrom="column">
                  <wp:posOffset>3660140</wp:posOffset>
                </wp:positionH>
                <wp:positionV relativeFrom="paragraph">
                  <wp:posOffset>33655</wp:posOffset>
                </wp:positionV>
                <wp:extent cx="2193925" cy="297815"/>
                <wp:effectExtent l="19050" t="19050" r="0" b="7620"/>
                <wp:wrapTight wrapText="bothSides">
                  <wp:wrapPolygon>
                    <wp:start x="21788" y="22985"/>
                    <wp:lineTo x="21788" y="-554"/>
                    <wp:lineTo x="31" y="-554"/>
                    <wp:lineTo x="31" y="22985"/>
                    <wp:lineTo x="21788" y="22985"/>
                  </wp:wrapPolygon>
                </wp:wrapTight>
                <wp:docPr id="1469522625" name="Text Box 9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6847EB" w:rsidP="00040CDA" w14:textId="15780734">
                            <w:pPr>
                              <w:pStyle w:val="EQRWORKSHEETText"/>
                              <w:rPr>
                                <w:color w:val="006068" w:themeColor="accent1" w:themeShade="BF"/>
                              </w:rPr>
                            </w:pPr>
                            <w:hyperlink w:anchor="WSp6n02" w:tooltip="WORKSHEET 6.2" w:history="1">
                              <w:r w:rsidRPr="006847EB">
                                <w:rPr>
                                  <w:color w:val="006068" w:themeColor="accent1" w:themeShade="BF"/>
                                </w:rPr>
                                <w:t>WORKSHEET 6.2</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6" o:spid="_x0000_s1181" type="#_x0000_t202" style="width:172.75pt;height:23.45pt;margin-top:2.65pt;margin-left:288.2pt;flip:y;mso-height-percent:0;mso-height-relative:page;mso-width-percent:0;mso-width-relative:page;mso-wrap-distance-bottom:0;mso-wrap-distance-left:9pt;mso-wrap-distance-right:9pt;mso-wrap-distance-top:0;mso-wrap-style:square;position:absolute;rotation:180;visibility:visible;v-text-anchor:top;z-index:251849728" fillcolor="#eef5f8" strokecolor="#a5dad9" strokeweight="2.25pt">
                <v:stroke endcap="round"/>
                <v:textbox style="mso-fit-shape-to-text:t" inset="8.64pt,,8.64pt">
                  <w:txbxContent>
                    <w:p w:rsidR="00ED33C3" w:rsidRPr="006847EB" w:rsidP="00040CDA" w14:paraId="2BAC7688" w14:textId="15780734">
                      <w:pPr>
                        <w:pStyle w:val="EQRWORKSHEETText"/>
                        <w:rPr>
                          <w:color w:val="006068" w:themeColor="accent1" w:themeShade="BF"/>
                        </w:rPr>
                      </w:pPr>
                      <w:hyperlink w:anchor="WSp6n02" w:tooltip="WORKSHEET 6.2" w:history="1">
                        <w:r w:rsidRPr="006847EB">
                          <w:rPr>
                            <w:color w:val="006068" w:themeColor="accent1" w:themeShade="BF"/>
                          </w:rPr>
                          <w:t>WORKSHEET 6.2</w:t>
                        </w:r>
                      </w:hyperlink>
                    </w:p>
                  </w:txbxContent>
                </v:textbox>
                <w10:wrap type="tight"/>
              </v:shape>
            </w:pict>
          </mc:Fallback>
        </mc:AlternateContent>
      </w:r>
      <w:r w:rsidRPr="00990D3B">
        <w:rPr>
          <w:noProof/>
        </w:rPr>
        <mc:AlternateContent>
          <mc:Choice Requires="wps">
            <w:drawing>
              <wp:anchor distT="0" distB="0" distL="114300" distR="114300" simplePos="0" relativeHeight="251846656" behindDoc="0" locked="0" layoutInCell="1" allowOverlap="1">
                <wp:simplePos x="0" y="0"/>
                <wp:positionH relativeFrom="column">
                  <wp:posOffset>3660637</wp:posOffset>
                </wp:positionH>
                <wp:positionV relativeFrom="paragraph">
                  <wp:posOffset>394969</wp:posOffset>
                </wp:positionV>
                <wp:extent cx="2195195" cy="996315"/>
                <wp:effectExtent l="19050" t="19050" r="0" b="0"/>
                <wp:wrapTight wrapText="bothSides">
                  <wp:wrapPolygon>
                    <wp:start x="21787" y="22013"/>
                    <wp:lineTo x="21787" y="110"/>
                    <wp:lineTo x="44" y="110"/>
                    <wp:lineTo x="44" y="22013"/>
                    <wp:lineTo x="21787" y="22013"/>
                  </wp:wrapPolygon>
                </wp:wrapTight>
                <wp:docPr id="740500939" name="Text Box 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996315"/>
                        </a:xfrm>
                        <a:prstGeom prst="rect">
                          <a:avLst/>
                        </a:prstGeom>
                        <a:solidFill>
                          <a:srgbClr val="EEF5F8"/>
                        </a:solidFill>
                        <a:ln w="28575" cap="rnd">
                          <a:solidFill>
                            <a:srgbClr val="A5DAD9"/>
                          </a:solidFill>
                          <a:prstDash val="solid"/>
                          <a:miter lim="800000"/>
                          <a:headEnd/>
                          <a:tailEnd/>
                        </a:ln>
                      </wps:spPr>
                      <wps:txbx>
                        <w:txbxContent>
                          <w:p w:rsidR="00ED33C3" w:rsidRPr="00D41CCB" w:rsidP="00040CDA" w14:textId="2428A785">
                            <w:pPr>
                              <w:pStyle w:val="EQRTextboxheading"/>
                            </w:pPr>
                            <w:r w:rsidRPr="00D41CCB">
                              <w:t xml:space="preserve">Resource for Activity </w:t>
                            </w:r>
                            <w:r>
                              <w:t>2</w:t>
                            </w:r>
                          </w:p>
                          <w:p w:rsidR="00ED33C3" w:rsidP="00040CDA" w14:textId="72B04A5F">
                            <w:pPr>
                              <w:pStyle w:val="EQRTextboxbody"/>
                            </w:pPr>
                            <w:hyperlink w:anchor="WSp6n02" w:tooltip="Worksheet 6.2. Work Plan" w:history="1">
                              <w:r w:rsidRPr="00170346">
                                <w:rPr>
                                  <w:rStyle w:val="Hyperlink"/>
                                </w:rPr>
                                <w:t>Worksheet 6.2. Work Plan</w:t>
                              </w:r>
                            </w:hyperlink>
                          </w:p>
                          <w:p w:rsidR="00ED33C3" w:rsidRPr="004B37FD" w:rsidP="00040CDA" w14:textId="0CEA6A64">
                            <w:pPr>
                              <w:pStyle w:val="EQRTextboxbullet"/>
                            </w:pPr>
                            <w:r>
                              <w:t>Provides a set of questions to assess the work plan</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7" o:spid="_x0000_s1182" type="#_x0000_t202" style="width:172.85pt;height:78.45pt;margin-top:31.1pt;margin-left:288.25pt;flip:y;mso-height-percent:0;mso-height-relative:page;mso-width-percent:0;mso-width-relative:page;mso-wrap-distance-bottom:0;mso-wrap-distance-left:9pt;mso-wrap-distance-right:9pt;mso-wrap-distance-top:0;mso-wrap-style:square;position:absolute;rotation:180;visibility:visible;v-text-anchor:top;z-index:251847680" fillcolor="#eef5f8" strokecolor="#a5dad9" strokeweight="2.25pt">
                <v:stroke endcap="round"/>
                <v:textbox style="mso-fit-shape-to-text:t" inset="8.64pt,,8.64pt">
                  <w:txbxContent>
                    <w:p w:rsidR="00ED33C3" w:rsidRPr="00D41CCB" w:rsidP="00040CDA" w14:paraId="490C8E57" w14:textId="2428A785">
                      <w:pPr>
                        <w:pStyle w:val="EQRTextboxheading"/>
                      </w:pPr>
                      <w:r w:rsidRPr="00D41CCB">
                        <w:t xml:space="preserve">Resource for Activity </w:t>
                      </w:r>
                      <w:r>
                        <w:t>2</w:t>
                      </w:r>
                    </w:p>
                    <w:p w:rsidR="00ED33C3" w:rsidP="00040CDA" w14:paraId="1488B1F4" w14:textId="72B04A5F">
                      <w:pPr>
                        <w:pStyle w:val="EQRTextboxbody"/>
                      </w:pPr>
                      <w:hyperlink w:anchor="WSp6n02" w:tooltip="Worksheet 6.2. Work Plan" w:history="1">
                        <w:r w:rsidRPr="00170346">
                          <w:rPr>
                            <w:rStyle w:val="Hyperlink"/>
                          </w:rPr>
                          <w:t>Worksheet 6.2. Work Plan</w:t>
                        </w:r>
                      </w:hyperlink>
                    </w:p>
                    <w:p w:rsidR="00ED33C3" w:rsidRPr="004B37FD" w:rsidP="00040CDA" w14:paraId="5EF124AD" w14:textId="0CEA6A64">
                      <w:pPr>
                        <w:pStyle w:val="EQRTextboxbullet"/>
                      </w:pPr>
                      <w:r>
                        <w:t>Provides a set of questions to assess the work plan</w:t>
                      </w:r>
                    </w:p>
                  </w:txbxContent>
                </v:textbox>
                <w10:wrap type="tight"/>
              </v:shape>
            </w:pict>
          </mc:Fallback>
        </mc:AlternateContent>
      </w:r>
      <w:r w:rsidRPr="00990D3B" w:rsidR="000204AC">
        <w:t>After determining the intended use of the survey in collaboration with the state, the EQRO prepare</w:t>
      </w:r>
      <w:r w:rsidRPr="00990D3B" w:rsidR="009A1594">
        <w:t>s</w:t>
      </w:r>
      <w:r w:rsidRPr="00990D3B" w:rsidR="000204AC">
        <w:t xml:space="preserve"> a work plan that will govern the implementation of the survey (including the project management plan, schedule, and reporting requirements). Key issues to address in the work plan are summarized in </w:t>
      </w:r>
      <w:hyperlink w:anchor="WSp6n02" w:tooltip="Worksheet 6.2" w:history="1">
        <w:r w:rsidRPr="00990D3B" w:rsidR="000204AC">
          <w:rPr>
            <w:rStyle w:val="Hyperlink"/>
          </w:rPr>
          <w:t>Worksheet 6.2</w:t>
        </w:r>
      </w:hyperlink>
      <w:r w:rsidRPr="00990D3B" w:rsidR="000204AC">
        <w:t xml:space="preserve">. Refer to Activity </w:t>
      </w:r>
      <w:r w:rsidRPr="00990D3B" w:rsidR="00401D9B">
        <w:t>I.</w:t>
      </w:r>
      <w:r w:rsidRPr="00990D3B" w:rsidR="000204AC">
        <w:t>6 for examples of typical weekly data collection schedules. The EQRO should obtain state approval of the work plan before implementing the survey and then administer the survey in accordance with the approved work plan.</w:t>
      </w:r>
      <w:r w:rsidRPr="00990D3B" w:rsidR="00B55C7D">
        <w:rPr>
          <w:noProof/>
        </w:rPr>
        <w:t xml:space="preserve"> </w:t>
      </w:r>
    </w:p>
    <w:p w:rsidR="0035433A" w:rsidRPr="00990D3B" w:rsidP="00926509" w14:paraId="09DE0D7F" w14:textId="77777777">
      <w:pPr>
        <w:pStyle w:val="H2"/>
      </w:pPr>
      <w:bookmarkStart w:id="655" w:name="P6ActI3"/>
      <w:bookmarkStart w:id="656" w:name="P6AI3"/>
      <w:bookmarkStart w:id="657" w:name="_Toc14777718"/>
      <w:bookmarkStart w:id="658" w:name="_Toc183005616"/>
      <w:bookmarkStart w:id="659" w:name="_Toc201751386"/>
      <w:bookmarkEnd w:id="655"/>
      <w:bookmarkEnd w:id="656"/>
      <w:r w:rsidRPr="00990D3B">
        <w:t>A</w:t>
      </w:r>
      <w:r w:rsidRPr="00990D3B" w:rsidR="00125F00">
        <w:t>ctivity</w:t>
      </w:r>
      <w:r w:rsidRPr="00990D3B" w:rsidR="000204AC">
        <w:t xml:space="preserve"> </w:t>
      </w:r>
      <w:r w:rsidRPr="00990D3B" w:rsidR="00E33E1D">
        <w:t>I.</w:t>
      </w:r>
      <w:r w:rsidRPr="00990D3B" w:rsidR="000204AC">
        <w:t>3: S</w:t>
      </w:r>
      <w:r w:rsidRPr="00990D3B" w:rsidR="00125F00">
        <w:t>elect the</w:t>
      </w:r>
      <w:r w:rsidRPr="00990D3B" w:rsidR="000204AC">
        <w:t xml:space="preserve"> S</w:t>
      </w:r>
      <w:r w:rsidRPr="00990D3B" w:rsidR="00125F00">
        <w:t xml:space="preserve">urvey </w:t>
      </w:r>
      <w:r w:rsidRPr="00990D3B" w:rsidR="000204AC">
        <w:t>I</w:t>
      </w:r>
      <w:r w:rsidRPr="00990D3B" w:rsidR="00125F00">
        <w:t>nstrument</w:t>
      </w:r>
      <w:bookmarkEnd w:id="657"/>
      <w:bookmarkEnd w:id="658"/>
      <w:bookmarkEnd w:id="659"/>
    </w:p>
    <w:p w:rsidR="000204AC" w:rsidRPr="00990D3B" w:rsidP="005B7C25" w14:paraId="223F7068" w14:textId="487A6AD4">
      <w:pPr>
        <w:pStyle w:val="ParagraphContinued"/>
      </w:pPr>
      <w:r w:rsidRPr="00990D3B">
        <w:rPr>
          <w:noProof/>
        </w:rPr>
        <mc:AlternateContent>
          <mc:Choice Requires="wps">
            <w:drawing>
              <wp:anchor distT="0" distB="0" distL="114300" distR="114300" simplePos="0" relativeHeight="251852800" behindDoc="0" locked="0" layoutInCell="1" allowOverlap="1">
                <wp:simplePos x="0" y="0"/>
                <wp:positionH relativeFrom="column">
                  <wp:posOffset>3660140</wp:posOffset>
                </wp:positionH>
                <wp:positionV relativeFrom="paragraph">
                  <wp:posOffset>109220</wp:posOffset>
                </wp:positionV>
                <wp:extent cx="2193925" cy="297815"/>
                <wp:effectExtent l="19050" t="19050" r="15875" b="26670"/>
                <wp:wrapTight wrapText="bothSides">
                  <wp:wrapPolygon>
                    <wp:start x="21788" y="22985"/>
                    <wp:lineTo x="21788" y="-554"/>
                    <wp:lineTo x="31" y="-554"/>
                    <wp:lineTo x="31" y="22985"/>
                    <wp:lineTo x="21788" y="22985"/>
                  </wp:wrapPolygon>
                </wp:wrapTight>
                <wp:docPr id="178700354" name="Text Box 9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6847EB" w:rsidP="00DB6793" w14:textId="57D6EB77">
                            <w:pPr>
                              <w:pStyle w:val="EQRWORKSHEETText"/>
                              <w:rPr>
                                <w:color w:val="006068" w:themeColor="accent1" w:themeShade="BF"/>
                              </w:rPr>
                            </w:pPr>
                            <w:hyperlink w:anchor="WSp6n03" w:tooltip="WORKSHEET 6.3" w:history="1">
                              <w:r w:rsidRPr="006847EB">
                                <w:rPr>
                                  <w:color w:val="006068" w:themeColor="accent1" w:themeShade="BF"/>
                                </w:rPr>
                                <w:t>WORKSHEET 6.3</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4" o:spid="_x0000_s1183" type="#_x0000_t202" style="width:172.75pt;height:23.45pt;margin-top:8.6pt;margin-left:288.2pt;flip:y;mso-height-percent:0;mso-height-relative:page;mso-width-percent:0;mso-width-relative:page;mso-wrap-distance-bottom:0;mso-wrap-distance-left:9pt;mso-wrap-distance-right:9pt;mso-wrap-distance-top:0;mso-wrap-style:square;position:absolute;rotation:180;visibility:visible;v-text-anchor:top;z-index:251853824" fillcolor="#eef5f8" strokecolor="#a5dad9" strokeweight="2.25pt">
                <v:stroke endcap="round"/>
                <v:textbox style="mso-fit-shape-to-text:t" inset="8.64pt,,8.64pt">
                  <w:txbxContent>
                    <w:p w:rsidR="00ED33C3" w:rsidRPr="006847EB" w:rsidP="00DB6793" w14:paraId="65BBD059" w14:textId="57D6EB77">
                      <w:pPr>
                        <w:pStyle w:val="EQRWORKSHEETText"/>
                        <w:rPr>
                          <w:color w:val="006068" w:themeColor="accent1" w:themeShade="BF"/>
                        </w:rPr>
                      </w:pPr>
                      <w:hyperlink w:anchor="WSp6n03" w:tooltip="WORKSHEET 6.3" w:history="1">
                        <w:r w:rsidRPr="006847EB">
                          <w:rPr>
                            <w:color w:val="006068" w:themeColor="accent1" w:themeShade="BF"/>
                          </w:rPr>
                          <w:t>WORKSHEET 6.3</w:t>
                        </w:r>
                      </w:hyperlink>
                    </w:p>
                  </w:txbxContent>
                </v:textbox>
                <w10:wrap type="tight"/>
              </v:shape>
            </w:pict>
          </mc:Fallback>
        </mc:AlternateContent>
      </w:r>
      <w:r w:rsidRPr="00990D3B">
        <w:rPr>
          <w:noProof/>
        </w:rPr>
        <mc:AlternateContent>
          <mc:Choice Requires="wps">
            <w:drawing>
              <wp:anchor distT="0" distB="0" distL="114300" distR="114300" simplePos="0" relativeHeight="251850752" behindDoc="0" locked="0" layoutInCell="1" allowOverlap="1">
                <wp:simplePos x="0" y="0"/>
                <wp:positionH relativeFrom="column">
                  <wp:posOffset>3660140</wp:posOffset>
                </wp:positionH>
                <wp:positionV relativeFrom="paragraph">
                  <wp:posOffset>469900</wp:posOffset>
                </wp:positionV>
                <wp:extent cx="2195195" cy="996315"/>
                <wp:effectExtent l="19050" t="19050" r="14605" b="13970"/>
                <wp:wrapTight wrapText="bothSides">
                  <wp:wrapPolygon>
                    <wp:start x="21787" y="22013"/>
                    <wp:lineTo x="21787" y="110"/>
                    <wp:lineTo x="44" y="110"/>
                    <wp:lineTo x="44" y="22013"/>
                    <wp:lineTo x="21787" y="22013"/>
                  </wp:wrapPolygon>
                </wp:wrapTight>
                <wp:docPr id="706742850" name="Text Box 9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996315"/>
                        </a:xfrm>
                        <a:prstGeom prst="rect">
                          <a:avLst/>
                        </a:prstGeom>
                        <a:solidFill>
                          <a:srgbClr val="EEF5F8"/>
                        </a:solidFill>
                        <a:ln w="28575" cap="rnd">
                          <a:solidFill>
                            <a:srgbClr val="A5DAD9"/>
                          </a:solidFill>
                          <a:prstDash val="solid"/>
                          <a:miter lim="800000"/>
                          <a:headEnd/>
                          <a:tailEnd/>
                        </a:ln>
                      </wps:spPr>
                      <wps:txbx>
                        <w:txbxContent>
                          <w:p w:rsidR="00ED33C3" w:rsidRPr="00D41CCB" w:rsidP="00DB6793" w14:textId="708D999A">
                            <w:pPr>
                              <w:pStyle w:val="EQRTextboxheading"/>
                            </w:pPr>
                            <w:r w:rsidRPr="00D41CCB">
                              <w:t xml:space="preserve">Resource for Activity </w:t>
                            </w:r>
                            <w:r>
                              <w:t>3</w:t>
                            </w:r>
                          </w:p>
                          <w:p w:rsidR="00ED33C3" w:rsidP="00DB6793" w14:textId="11C7F3F5">
                            <w:pPr>
                              <w:pStyle w:val="EQRTextboxbody"/>
                            </w:pPr>
                            <w:hyperlink w:anchor="WSp6n03" w:tooltip="Worksheet 6.3. Survey Instrument" w:history="1">
                              <w:r w:rsidRPr="00170346">
                                <w:rPr>
                                  <w:rStyle w:val="Hyperlink"/>
                                </w:rPr>
                                <w:t>Worksheet 6.3. Survey Instrument</w:t>
                              </w:r>
                            </w:hyperlink>
                          </w:p>
                          <w:p w:rsidR="00ED33C3" w:rsidRPr="004B37FD" w:rsidP="00DB6793" w14:textId="0508A087">
                            <w:pPr>
                              <w:pStyle w:val="EQRTextboxbullet"/>
                            </w:pPr>
                            <w:r>
                              <w:t>Provides a set of questions to assess the selection of the survey instrument</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5" o:spid="_x0000_s1184" type="#_x0000_t202" style="width:172.85pt;height:78.45pt;margin-top:37pt;margin-left:288.2pt;flip:y;mso-height-percent:0;mso-height-relative:page;mso-width-percent:0;mso-width-relative:page;mso-wrap-distance-bottom:0;mso-wrap-distance-left:9pt;mso-wrap-distance-right:9pt;mso-wrap-distance-top:0;mso-wrap-style:square;position:absolute;rotation:180;visibility:visible;v-text-anchor:top;z-index:251851776" fillcolor="#eef5f8" strokecolor="#a5dad9" strokeweight="2.25pt">
                <v:stroke endcap="round"/>
                <v:textbox style="mso-fit-shape-to-text:t" inset="8.64pt,,8.64pt">
                  <w:txbxContent>
                    <w:p w:rsidR="00ED33C3" w:rsidRPr="00D41CCB" w:rsidP="00DB6793" w14:paraId="588D27BF" w14:textId="708D999A">
                      <w:pPr>
                        <w:pStyle w:val="EQRTextboxheading"/>
                      </w:pPr>
                      <w:r w:rsidRPr="00D41CCB">
                        <w:t xml:space="preserve">Resource for Activity </w:t>
                      </w:r>
                      <w:r>
                        <w:t>3</w:t>
                      </w:r>
                    </w:p>
                    <w:p w:rsidR="00ED33C3" w:rsidP="00DB6793" w14:paraId="36A9EFB2" w14:textId="11C7F3F5">
                      <w:pPr>
                        <w:pStyle w:val="EQRTextboxbody"/>
                      </w:pPr>
                      <w:hyperlink w:anchor="WSp6n03" w:tooltip="Worksheet 6.3. Survey Instrument" w:history="1">
                        <w:r w:rsidRPr="00170346">
                          <w:rPr>
                            <w:rStyle w:val="Hyperlink"/>
                          </w:rPr>
                          <w:t>Worksheet 6.3. Survey Instrument</w:t>
                        </w:r>
                      </w:hyperlink>
                    </w:p>
                    <w:p w:rsidR="00ED33C3" w:rsidRPr="004B37FD" w:rsidP="00DB6793" w14:paraId="7A3ECE43" w14:textId="0508A087">
                      <w:pPr>
                        <w:pStyle w:val="EQRTextboxbullet"/>
                      </w:pPr>
                      <w:r>
                        <w:t>Provides a set of questions to assess the selection of the survey instrument</w:t>
                      </w:r>
                    </w:p>
                  </w:txbxContent>
                </v:textbox>
                <w10:wrap type="tight"/>
              </v:shape>
            </w:pict>
          </mc:Fallback>
        </mc:AlternateContent>
      </w:r>
      <w:r w:rsidRPr="00990D3B" w:rsidR="000204AC">
        <w:t xml:space="preserve">The state’s choice of a survey instrument should be consistent with the purpose of </w:t>
      </w:r>
      <w:r w:rsidRPr="00990D3B" w:rsidR="000204AC">
        <w:t>the data</w:t>
      </w:r>
      <w:r w:rsidRPr="00990D3B" w:rsidR="000204AC">
        <w:t xml:space="preserve"> collection, unit of analysis, and goal of collecting valid and reliable data. This protocol describes three options for selecting the survey instrument:</w:t>
      </w:r>
      <w:r w:rsidRPr="00990D3B" w:rsidR="00B55C7D">
        <w:rPr>
          <w:noProof/>
        </w:rPr>
        <w:t xml:space="preserve"> </w:t>
      </w:r>
    </w:p>
    <w:p w:rsidR="000204AC" w:rsidRPr="00990D3B" w:rsidP="00FB7CAF" w14:paraId="76C805EB" w14:textId="79666003">
      <w:pPr>
        <w:pStyle w:val="EQRBulletBLUE"/>
      </w:pPr>
      <w:r w:rsidRPr="00990D3B">
        <w:rPr>
          <w:b/>
          <w:bCs/>
        </w:rPr>
        <w:t>Option 1.</w:t>
      </w:r>
      <w:r w:rsidRPr="00990D3B">
        <w:t xml:space="preserve"> </w:t>
      </w:r>
      <w:r w:rsidRPr="00990D3B">
        <w:t>Use an existing validated survey instrument</w:t>
      </w:r>
      <w:r w:rsidRPr="00990D3B" w:rsidR="00DA2DF3">
        <w:t>.</w:t>
      </w:r>
    </w:p>
    <w:p w:rsidR="000204AC" w:rsidRPr="00990D3B" w:rsidP="00FB7CAF" w14:paraId="7297F4CA" w14:textId="0783C41D">
      <w:pPr>
        <w:pStyle w:val="EQRBulletBLUE"/>
      </w:pPr>
      <w:r w:rsidRPr="00990D3B">
        <w:rPr>
          <w:b/>
          <w:bCs/>
        </w:rPr>
        <w:t>Option 2.</w:t>
      </w:r>
      <w:r w:rsidRPr="00990D3B">
        <w:t xml:space="preserve"> </w:t>
      </w:r>
      <w:r w:rsidRPr="00990D3B">
        <w:t>Adapt an existing survey instrument with additional state-specific questions</w:t>
      </w:r>
      <w:r w:rsidRPr="00990D3B" w:rsidR="00DA2DF3">
        <w:t>.</w:t>
      </w:r>
    </w:p>
    <w:p w:rsidR="000204AC" w:rsidRPr="00990D3B" w:rsidP="00FB7CAF" w14:paraId="4A96E34A" w14:textId="3404E238">
      <w:pPr>
        <w:pStyle w:val="EQRBulletBLUE"/>
      </w:pPr>
      <w:r w:rsidRPr="00990D3B">
        <w:rPr>
          <w:b/>
          <w:bCs/>
        </w:rPr>
        <w:t>Option 3.</w:t>
      </w:r>
      <w:r w:rsidRPr="00990D3B">
        <w:t xml:space="preserve"> </w:t>
      </w:r>
      <w:r w:rsidRPr="00990D3B">
        <w:t>Develop a new survey instrument</w:t>
      </w:r>
      <w:r w:rsidRPr="00990D3B" w:rsidR="00DA2DF3">
        <w:t xml:space="preserve">. </w:t>
      </w:r>
    </w:p>
    <w:p w:rsidR="000204AC" w:rsidRPr="00990D3B" w:rsidP="005B7C25" w14:paraId="199A7C1B" w14:textId="4471DC94">
      <w:pPr>
        <w:pStyle w:val="ParagraphContinued"/>
      </w:pPr>
      <w:r w:rsidRPr="00990D3B">
        <w:t xml:space="preserve">The state may choose among the three options independently or in consultation with the EQRO. However, there often are trade-offs in selecting an instrument. Use of an existing instrument may provide the greatest assurance of validity and reliability but omit certain key domains of interest. In contrast, development of a new survey instrument may provide the closest alignment with the intended use of the survey </w:t>
      </w:r>
      <w:r w:rsidRPr="00990D3B">
        <w:t>results</w:t>
      </w:r>
      <w:r w:rsidRPr="00990D3B">
        <w:t xml:space="preserve"> but validity and reliability may be untested. Thus, another option is to adapt an existing survey instrument by adding state-specific questions to address gaps in survey content. These three options are summarized in more detail below.</w:t>
      </w:r>
    </w:p>
    <w:p w:rsidR="000204AC" w:rsidRPr="00990D3B" w:rsidP="000D0C6B" w14:paraId="5697D2B4" w14:textId="78E62972">
      <w:pPr>
        <w:pStyle w:val="H4"/>
      </w:pPr>
      <w:r w:rsidRPr="00990D3B">
        <w:t xml:space="preserve">Option 1. Use an </w:t>
      </w:r>
      <w:r w:rsidRPr="00990D3B" w:rsidR="003C5F95">
        <w:t>e</w:t>
      </w:r>
      <w:r w:rsidRPr="00990D3B">
        <w:t xml:space="preserve">xisting </w:t>
      </w:r>
      <w:r w:rsidRPr="00990D3B" w:rsidR="003C5F95">
        <w:t>v</w:t>
      </w:r>
      <w:r w:rsidRPr="00990D3B">
        <w:t xml:space="preserve">alidated </w:t>
      </w:r>
      <w:r w:rsidRPr="00990D3B" w:rsidR="003C5F95">
        <w:t>s</w:t>
      </w:r>
      <w:r w:rsidRPr="00990D3B">
        <w:t xml:space="preserve">urvey </w:t>
      </w:r>
      <w:r w:rsidRPr="00990D3B" w:rsidR="003C5F95">
        <w:t>i</w:t>
      </w:r>
      <w:r w:rsidRPr="00990D3B">
        <w:t>nstrument</w:t>
      </w:r>
    </w:p>
    <w:p w:rsidR="000204AC" w:rsidRPr="00990D3B" w:rsidP="00CD237D" w14:paraId="197B1464" w14:textId="77777777">
      <w:pPr>
        <w:pStyle w:val="ParagraphContinued"/>
      </w:pPr>
      <w:r w:rsidRPr="00990D3B">
        <w:t xml:space="preserve">Use of an existing well-validated instrument offers several benefits such as: </w:t>
      </w:r>
    </w:p>
    <w:p w:rsidR="000204AC" w:rsidRPr="00990D3B" w:rsidP="00FB7CAF" w14:paraId="21CA015E" w14:textId="16EBBD87">
      <w:pPr>
        <w:pStyle w:val="EQRBulletBLUE"/>
      </w:pPr>
      <w:r w:rsidRPr="00990D3B">
        <w:t>Readily accessible</w:t>
      </w:r>
      <w:r w:rsidRPr="00990D3B" w:rsidR="00ED08B9">
        <w:t>.</w:t>
      </w:r>
    </w:p>
    <w:p w:rsidR="000204AC" w:rsidRPr="00990D3B" w:rsidP="00FB7CAF" w14:paraId="5DA34019" w14:textId="37292DB3">
      <w:pPr>
        <w:pStyle w:val="EQRBulletBLUE"/>
      </w:pPr>
      <w:r w:rsidRPr="00990D3B">
        <w:t xml:space="preserve">Cost </w:t>
      </w:r>
      <w:r w:rsidRPr="00990D3B">
        <w:t>efficient</w:t>
      </w:r>
      <w:r w:rsidRPr="00990D3B" w:rsidR="00ED08B9">
        <w:t xml:space="preserve">. </w:t>
      </w:r>
    </w:p>
    <w:p w:rsidR="000204AC" w:rsidRPr="00990D3B" w:rsidP="00FB7CAF" w14:paraId="5ADEEDD3" w14:textId="1D5197BE">
      <w:pPr>
        <w:pStyle w:val="EQRBulletBLUE"/>
      </w:pPr>
      <w:r w:rsidRPr="00990D3B">
        <w:t>Minimal development and testing hours</w:t>
      </w:r>
      <w:r w:rsidRPr="00990D3B" w:rsidR="00ED08B9">
        <w:t>.</w:t>
      </w:r>
    </w:p>
    <w:p w:rsidR="000204AC" w:rsidRPr="00990D3B" w:rsidP="00FB7CAF" w14:paraId="3556A353" w14:textId="79EFD406">
      <w:pPr>
        <w:pStyle w:val="EQRBulletBLUE"/>
      </w:pPr>
      <w:r w:rsidRPr="00990D3B">
        <w:t>Often translated into Spanish or other languages</w:t>
      </w:r>
      <w:r w:rsidRPr="00990D3B" w:rsidR="00ED08B9">
        <w:t>.</w:t>
      </w:r>
    </w:p>
    <w:p w:rsidR="000204AC" w:rsidRPr="00990D3B" w:rsidP="00FB7CAF" w14:paraId="57C481AA" w14:textId="5E6935C0">
      <w:pPr>
        <w:pStyle w:val="EQRBulletBLUE"/>
      </w:pPr>
      <w:r w:rsidRPr="00990D3B">
        <w:t>Available benchmark data that can be used for context and comparisons</w:t>
      </w:r>
      <w:r w:rsidRPr="00990D3B" w:rsidR="00ED08B9">
        <w:t>.</w:t>
      </w:r>
    </w:p>
    <w:p w:rsidR="00ED08B9" w:rsidRPr="00990D3B" w:rsidP="00FB7CAF" w14:paraId="32E52234" w14:textId="77777777">
      <w:pPr>
        <w:pStyle w:val="EQRBulletBLUE"/>
      </w:pPr>
      <w:r w:rsidRPr="00990D3B">
        <w:t>Potential for rapid launch of data collection to investigate time-sensitive issues</w:t>
      </w:r>
      <w:r w:rsidRPr="00990D3B">
        <w:t>.</w:t>
      </w:r>
    </w:p>
    <w:p w:rsidR="003C5F95" w:rsidRPr="00990D3B" w:rsidP="00CD237D" w14:paraId="667EDC39" w14:textId="2FC3E7BD">
      <w:pPr>
        <w:pStyle w:val="ParagraphContinued"/>
      </w:pPr>
      <w:r w:rsidRPr="00990D3B">
        <w:t xml:space="preserve">The state or EQRO can select from a variety of existing survey instruments. </w:t>
      </w:r>
      <w:hyperlink w:anchor="Box6n1" w:tooltip="Table 6.1" w:history="1">
        <w:r w:rsidRPr="00990D3B">
          <w:rPr>
            <w:rStyle w:val="Hyperlink"/>
          </w:rPr>
          <w:t>Table 6.1</w:t>
        </w:r>
      </w:hyperlink>
      <w:r w:rsidRPr="00990D3B">
        <w:t xml:space="preserve"> </w:t>
      </w:r>
      <w:r w:rsidRPr="00990D3B" w:rsidR="000032FF">
        <w:t xml:space="preserve">provides examples of </w:t>
      </w:r>
      <w:r w:rsidRPr="00990D3B">
        <w:t xml:space="preserve">instruments that have been used to gather </w:t>
      </w:r>
      <w:r w:rsidRPr="00990D3B" w:rsidR="0070573E">
        <w:t>enrollee</w:t>
      </w:r>
      <w:r w:rsidRPr="00990D3B">
        <w:t xml:space="preserve"> feedback about experiences with health care, and provider feedback on organizational issues. </w:t>
      </w:r>
    </w:p>
    <w:p w:rsidR="00D20A7E" w:rsidRPr="00990D3B" w:rsidP="00E71C07" w14:paraId="53411DC4" w14:textId="7B020828">
      <w:pPr>
        <w:pStyle w:val="MarkforTableHeading"/>
      </w:pPr>
      <w:bookmarkStart w:id="660" w:name="Table6n1"/>
      <w:bookmarkStart w:id="661" w:name="_Toc83134599"/>
      <w:bookmarkEnd w:id="660"/>
      <w:r w:rsidRPr="00990D3B">
        <w:t xml:space="preserve">Table 6.1. Examples of </w:t>
      </w:r>
      <w:r w:rsidRPr="00990D3B" w:rsidR="00E85662">
        <w:t>E</w:t>
      </w:r>
      <w:r w:rsidRPr="00990D3B">
        <w:t xml:space="preserve">xisting </w:t>
      </w:r>
      <w:r w:rsidRPr="00990D3B" w:rsidR="00E85662">
        <w:t>V</w:t>
      </w:r>
      <w:r w:rsidRPr="00990D3B">
        <w:t xml:space="preserve">alidated </w:t>
      </w:r>
      <w:r w:rsidRPr="00990D3B" w:rsidR="00E85662">
        <w:t>S</w:t>
      </w:r>
      <w:r w:rsidRPr="00990D3B">
        <w:t xml:space="preserve">urvey </w:t>
      </w:r>
      <w:r w:rsidRPr="00990D3B" w:rsidR="00E85662">
        <w:t>I</w:t>
      </w:r>
      <w:r w:rsidRPr="00990D3B">
        <w:t>nstruments</w:t>
      </w:r>
      <w:bookmarkEnd w:id="661"/>
    </w:p>
    <w:tbl>
      <w:tblPr>
        <w:tblStyle w:val="CORESETTable"/>
        <w:tblW w:w="5000" w:type="pct"/>
        <w:tblLayout w:type="fixed"/>
        <w:tblLook w:val="0620"/>
      </w:tblPr>
      <w:tblGrid>
        <w:gridCol w:w="1434"/>
        <w:gridCol w:w="7916"/>
      </w:tblGrid>
      <w:tr w14:paraId="7964C090" w14:textId="77777777" w:rsidTr="00CC0014">
        <w:tblPrEx>
          <w:tblW w:w="5000" w:type="pct"/>
          <w:tblLayout w:type="fixed"/>
          <w:tblLook w:val="0620"/>
        </w:tblPrEx>
        <w:trPr>
          <w:cantSplit/>
          <w:tblHeader/>
        </w:trPr>
        <w:tc>
          <w:tcPr>
            <w:tcW w:w="767" w:type="pct"/>
          </w:tcPr>
          <w:p w:rsidR="00E33E1D" w:rsidRPr="00990D3B" w:rsidP="00664FD1" w14:paraId="729FA9B9" w14:textId="4EA6728B">
            <w:pPr>
              <w:pStyle w:val="TableHeaderLeft"/>
              <w:rPr>
                <w:b/>
                <w:bCs/>
              </w:rPr>
            </w:pPr>
            <w:r w:rsidRPr="00990D3B">
              <w:rPr>
                <w:b/>
                <w:bCs/>
              </w:rPr>
              <w:t>Example</w:t>
            </w:r>
          </w:p>
        </w:tc>
        <w:tc>
          <w:tcPr>
            <w:tcW w:w="4233" w:type="pct"/>
          </w:tcPr>
          <w:p w:rsidR="00E33E1D" w:rsidRPr="00990D3B" w:rsidP="00ED08B9" w14:paraId="723F1710" w14:textId="1DACBB49">
            <w:pPr>
              <w:pStyle w:val="TableHeaderCenter"/>
              <w:jc w:val="left"/>
              <w:rPr>
                <w:b/>
                <w:bCs/>
              </w:rPr>
            </w:pPr>
            <w:r w:rsidRPr="00990D3B">
              <w:rPr>
                <w:b/>
                <w:bCs/>
              </w:rPr>
              <w:t>Description</w:t>
            </w:r>
          </w:p>
        </w:tc>
      </w:tr>
      <w:tr w14:paraId="446B4311" w14:textId="77777777" w:rsidTr="00CC0014">
        <w:tblPrEx>
          <w:tblW w:w="5000" w:type="pct"/>
          <w:tblLayout w:type="fixed"/>
          <w:tblLook w:val="0620"/>
        </w:tblPrEx>
        <w:tc>
          <w:tcPr>
            <w:tcW w:w="5000" w:type="pct"/>
            <w:gridSpan w:val="2"/>
          </w:tcPr>
          <w:p w:rsidR="00E33E1D" w:rsidRPr="00990D3B" w:rsidP="00E33E1D" w14:paraId="445678F6" w14:textId="4F302F5C">
            <w:pPr>
              <w:pStyle w:val="EQRTableText"/>
              <w:keepNext/>
              <w:rPr>
                <w:b/>
                <w:szCs w:val="18"/>
              </w:rPr>
            </w:pPr>
            <w:r w:rsidRPr="00990D3B">
              <w:rPr>
                <w:b/>
              </w:rPr>
              <w:t>Enrollee</w:t>
            </w:r>
            <w:r w:rsidRPr="00990D3B">
              <w:rPr>
                <w:b/>
              </w:rPr>
              <w:t xml:space="preserve"> surveys</w:t>
            </w:r>
          </w:p>
        </w:tc>
      </w:tr>
      <w:tr w14:paraId="49A12BD7" w14:textId="77777777" w:rsidTr="00CC0014">
        <w:tblPrEx>
          <w:tblW w:w="5000" w:type="pct"/>
          <w:tblLayout w:type="fixed"/>
          <w:tblLook w:val="0620"/>
        </w:tblPrEx>
        <w:tc>
          <w:tcPr>
            <w:tcW w:w="767" w:type="pct"/>
          </w:tcPr>
          <w:p w:rsidR="00E33E1D" w:rsidRPr="00990D3B" w:rsidP="003C290C" w14:paraId="08C8719F" w14:textId="0695A9FA">
            <w:pPr>
              <w:pStyle w:val="EQRTableText"/>
              <w:rPr>
                <w:rFonts w:cs="Arial"/>
                <w:szCs w:val="18"/>
              </w:rPr>
            </w:pPr>
            <w:r w:rsidRPr="00990D3B">
              <w:t>Consumer Assessment of Healthcare Providers and Systems (</w:t>
            </w:r>
            <w:r w:rsidRPr="00990D3B">
              <w:t>CAHPS®</w:t>
            </w:r>
            <w:r w:rsidRPr="00990D3B">
              <w:t>)</w:t>
            </w:r>
          </w:p>
        </w:tc>
        <w:tc>
          <w:tcPr>
            <w:tcW w:w="4233" w:type="pct"/>
          </w:tcPr>
          <w:p w:rsidR="00E33E1D" w:rsidRPr="00990D3B" w:rsidP="00827DA4" w14:paraId="38ADCD03" w14:textId="0F25936F">
            <w:pPr>
              <w:pStyle w:val="TableListBullet"/>
              <w:rPr>
                <w:iCs/>
              </w:rPr>
            </w:pPr>
            <w:r w:rsidRPr="00990D3B">
              <w:t xml:space="preserve">Developed by </w:t>
            </w:r>
            <w:r w:rsidRPr="00990D3B" w:rsidR="003774F6">
              <w:t>Agency for Healthcare Research and Quality (</w:t>
            </w:r>
            <w:r w:rsidRPr="00990D3B">
              <w:t>AHRQ</w:t>
            </w:r>
            <w:r w:rsidRPr="00990D3B" w:rsidR="003774F6">
              <w:t>)</w:t>
            </w:r>
            <w:r w:rsidRPr="00990D3B">
              <w:t xml:space="preserve"> in collaboration with the CAHPS®</w:t>
            </w:r>
            <w:r w:rsidRPr="00990D3B">
              <w:rPr>
                <w:vertAlign w:val="superscript"/>
              </w:rPr>
              <w:t xml:space="preserve"> </w:t>
            </w:r>
            <w:r w:rsidRPr="00990D3B">
              <w:t xml:space="preserve">Consortium, the </w:t>
            </w:r>
            <w:r w:rsidRPr="00990D3B">
              <w:rPr>
                <w:rFonts w:cs="Arial"/>
              </w:rPr>
              <w:t>CAHPS® survey instruments and reporting formats</w:t>
            </w:r>
            <w:r w:rsidRPr="00990D3B">
              <w:t xml:space="preserve"> have undergone rigorous testi</w:t>
            </w:r>
            <w:r w:rsidRPr="00990D3B" w:rsidR="004A54B5">
              <w:t>ng for reliability and validity</w:t>
            </w:r>
            <w:r w:rsidRPr="00990D3B" w:rsidR="00ED08B9">
              <w:t>.</w:t>
            </w:r>
          </w:p>
          <w:p w:rsidR="00E33E1D" w:rsidRPr="00990D3B" w:rsidP="00827DA4" w14:paraId="7E9EC314" w14:textId="2E9FAD4E">
            <w:pPr>
              <w:pStyle w:val="TableListBullet"/>
            </w:pPr>
            <w:r w:rsidRPr="00990D3B">
              <w:t xml:space="preserve">States frequently use the CAHPS® surveys to assess enrollees’ experiences with managed care; versions include a Health Plan Survey; Clinician &amp; Group Survey; Hospital Survey; and Cancer Care Survey. An overview is available at </w:t>
            </w:r>
            <w:hyperlink r:id="rId179" w:tooltip="CAHPS website." w:history="1">
              <w:r w:rsidRPr="00990D3B">
                <w:rPr>
                  <w:rStyle w:val="Hyperlink"/>
                  <w:iCs/>
                  <w:szCs w:val="18"/>
                </w:rPr>
                <w:t>https://www.ahrq.gov/cahps/index.html</w:t>
              </w:r>
            </w:hyperlink>
            <w:r w:rsidRPr="00990D3B" w:rsidR="00ED08B9">
              <w:rPr>
                <w:rStyle w:val="Hyperlink"/>
                <w:iCs/>
                <w:szCs w:val="18"/>
              </w:rPr>
              <w:t>.</w:t>
            </w:r>
          </w:p>
          <w:p w:rsidR="00E33E1D" w:rsidRPr="00990D3B" w:rsidP="00827DA4" w14:paraId="2BAED20C" w14:textId="5B1B410E">
            <w:pPr>
              <w:pStyle w:val="TableListBullet"/>
            </w:pPr>
            <w:r w:rsidRPr="00990D3B">
              <w:t xml:space="preserve">Includes surveys for Child </w:t>
            </w:r>
            <w:r w:rsidRPr="00990D3B" w:rsidR="009701EA">
              <w:t xml:space="preserve">and Adult </w:t>
            </w:r>
            <w:r w:rsidRPr="00990D3B">
              <w:t xml:space="preserve">Medicaid </w:t>
            </w:r>
            <w:r w:rsidRPr="00990D3B" w:rsidR="009701EA">
              <w:t xml:space="preserve">and CHIP </w:t>
            </w:r>
            <w:r w:rsidRPr="00990D3B">
              <w:t xml:space="preserve">enrollees available at </w:t>
            </w:r>
            <w:hyperlink r:id="rId107" w:tooltip="CAHPS Health Plan Survey" w:history="1">
              <w:r w:rsidRPr="00990D3B" w:rsidR="00C71025">
                <w:rPr>
                  <w:rStyle w:val="Hyperlink"/>
                  <w:szCs w:val="18"/>
                </w:rPr>
                <w:t>https://www.ahrq.gov/cahps/surveys-guidance/hp/index.html</w:t>
              </w:r>
            </w:hyperlink>
            <w:r w:rsidRPr="00990D3B" w:rsidR="00ED08B9">
              <w:rPr>
                <w:rStyle w:val="Hyperlink"/>
                <w:szCs w:val="18"/>
              </w:rPr>
              <w:t>.</w:t>
            </w:r>
          </w:p>
          <w:p w:rsidR="00E33E1D" w:rsidRPr="00990D3B" w:rsidP="00827DA4" w14:paraId="6CBCF2E5" w14:textId="64F13A98">
            <w:pPr>
              <w:pStyle w:val="TableListBullet"/>
              <w:rPr>
                <w:iCs/>
              </w:rPr>
            </w:pPr>
            <w:r w:rsidRPr="00990D3B">
              <w:t xml:space="preserve">Allows for the addition of </w:t>
            </w:r>
            <w:r w:rsidRPr="00990D3B">
              <w:rPr>
                <w:iCs/>
              </w:rPr>
              <w:t>supplemental</w:t>
            </w:r>
            <w:r w:rsidRPr="00990D3B">
              <w:t xml:space="preserve"> questions; see </w:t>
            </w:r>
            <w:hyperlink r:id="rId180" w:tooltip="Browse Supplemental Items for CAHPS Surveys" w:history="1">
              <w:r w:rsidRPr="00990D3B">
                <w:rPr>
                  <w:rStyle w:val="Hyperlink"/>
                  <w:szCs w:val="18"/>
                </w:rPr>
                <w:t>https://www.ahrq.gov/cahps/surveys-guidance/item-sets/search.html</w:t>
              </w:r>
            </w:hyperlink>
            <w:r w:rsidRPr="00990D3B" w:rsidR="00ED08B9">
              <w:rPr>
                <w:rStyle w:val="Hyperlink"/>
              </w:rPr>
              <w:t xml:space="preserve">. </w:t>
            </w:r>
          </w:p>
          <w:p w:rsidR="00E33E1D" w:rsidRPr="00990D3B" w:rsidP="00827DA4" w14:paraId="27BF218C" w14:textId="4B170614">
            <w:pPr>
              <w:pStyle w:val="TableListBullet"/>
              <w:rPr>
                <w:iCs/>
              </w:rPr>
            </w:pPr>
            <w:r w:rsidRPr="00990D3B">
              <w:t xml:space="preserve">National and regional benchmarks are available; information about the CAHPS database is available at </w:t>
            </w:r>
            <w:hyperlink r:id="rId181" w:tooltip="CAHPS Databases" w:history="1">
              <w:r w:rsidRPr="00990D3B">
                <w:rPr>
                  <w:rStyle w:val="Hyperlink"/>
                  <w:szCs w:val="18"/>
                </w:rPr>
                <w:t>https://www.ahrq.gov/cahps/cahps-database/index.html</w:t>
              </w:r>
            </w:hyperlink>
            <w:r w:rsidRPr="00990D3B" w:rsidR="00ED08B9">
              <w:rPr>
                <w:rStyle w:val="Hyperlink"/>
                <w:szCs w:val="18"/>
              </w:rPr>
              <w:t>.</w:t>
            </w:r>
          </w:p>
          <w:p w:rsidR="00E33E1D" w:rsidRPr="00990D3B" w:rsidP="00827DA4" w14:paraId="367495B6" w14:textId="009E12CD">
            <w:pPr>
              <w:pStyle w:val="TableListBullet"/>
              <w:rPr>
                <w:rStyle w:val="Hyperlink"/>
                <w:color w:val="auto"/>
              </w:rPr>
            </w:pPr>
            <w:r w:rsidRPr="00990D3B">
              <w:t xml:space="preserve">Note that there are two versions of CAHPS (AHRQ and </w:t>
            </w:r>
            <w:r w:rsidRPr="00990D3B" w:rsidR="00CB2B9B">
              <w:t>National Committee for Quality Assurance [</w:t>
            </w:r>
            <w:r w:rsidRPr="00990D3B">
              <w:t>NCQA</w:t>
            </w:r>
            <w:r w:rsidRPr="00990D3B" w:rsidR="00CB2B9B">
              <w:t>]</w:t>
            </w:r>
            <w:r w:rsidRPr="00990D3B">
              <w:t xml:space="preserve">); more information about the differences between the two versions is available at </w:t>
            </w:r>
            <w:hyperlink r:id="rId182" w:tooltip="NCQA's Version of the Health Plan Survey" w:history="1">
              <w:r w:rsidRPr="00990D3B">
                <w:rPr>
                  <w:rStyle w:val="Hyperlink"/>
                  <w:szCs w:val="18"/>
                </w:rPr>
                <w:t>https://www.ahrq.gov/cahps/surveys-guidance/hp/about/NCQAs-CAHPS-HP-Survey.html</w:t>
              </w:r>
            </w:hyperlink>
            <w:r w:rsidRPr="00990D3B" w:rsidR="00ED08B9">
              <w:rPr>
                <w:rStyle w:val="Hyperlink"/>
                <w:szCs w:val="18"/>
              </w:rPr>
              <w:t>.</w:t>
            </w:r>
          </w:p>
          <w:p w:rsidR="009701EA" w:rsidRPr="00990D3B" w:rsidP="00827DA4" w14:paraId="118C2CD9" w14:textId="6FCACC76">
            <w:pPr>
              <w:pStyle w:val="TableListBullet"/>
            </w:pPr>
            <w:r w:rsidRPr="00990D3B">
              <w:t xml:space="preserve">A CAHPS Health Plan survey fielding guide is available at </w:t>
            </w:r>
            <w:hyperlink r:id="rId181" w:tooltip="Fielding the CAHPS® Health Plan Survey 5.0." w:history="1">
              <w:r w:rsidRPr="00990D3B">
                <w:rPr>
                  <w:rStyle w:val="Hyperlink"/>
                  <w:szCs w:val="22"/>
                  <w:lang w:bidi="en-US"/>
                </w:rPr>
                <w:t>https://www.ahrq.gov/sites/default/files/wysiwyg/cahps/surveys-guidance/hp/fielding-the-survey-hp50-2013.pdf</w:t>
              </w:r>
            </w:hyperlink>
            <w:r w:rsidRPr="00990D3B" w:rsidR="00ED08B9">
              <w:rPr>
                <w:rStyle w:val="Hyperlink"/>
                <w:szCs w:val="22"/>
                <w:lang w:bidi="en-US"/>
              </w:rPr>
              <w:t>.</w:t>
            </w:r>
          </w:p>
        </w:tc>
      </w:tr>
      <w:tr w14:paraId="7C507F2F" w14:textId="77777777" w:rsidTr="00CC0014">
        <w:tblPrEx>
          <w:tblW w:w="5000" w:type="pct"/>
          <w:tblLayout w:type="fixed"/>
          <w:tblLook w:val="0620"/>
        </w:tblPrEx>
        <w:tc>
          <w:tcPr>
            <w:tcW w:w="767" w:type="pct"/>
          </w:tcPr>
          <w:p w:rsidR="00E33E1D" w:rsidRPr="00990D3B" w:rsidP="00DC292E" w14:paraId="39893B06" w14:textId="770C8DCA">
            <w:pPr>
              <w:pStyle w:val="EQRTableText"/>
            </w:pPr>
            <w:r w:rsidRPr="00990D3B">
              <w:t>CAHPS Behavioral Health Care Surveys</w:t>
            </w:r>
          </w:p>
        </w:tc>
        <w:tc>
          <w:tcPr>
            <w:tcW w:w="4233" w:type="pct"/>
          </w:tcPr>
          <w:p w:rsidR="00E33E1D" w:rsidRPr="00990D3B" w:rsidP="00827DA4" w14:paraId="52132BEE" w14:textId="5165E56B">
            <w:pPr>
              <w:pStyle w:val="TableListBullet"/>
            </w:pPr>
            <w:r w:rsidRPr="00990D3B">
              <w:t>Two CAHPS products are available to assess patient experience with behavioral health, mental health, or substance use services: (1) supplemental items for the CAHPS Health Plan Survey and Clinician &amp; Group Survey and (2) CAHPS Experience of Care and Health Outcomes (ECHO) Survey</w:t>
            </w:r>
            <w:r w:rsidRPr="00990D3B" w:rsidR="00ED08B9">
              <w:t>.</w:t>
            </w:r>
          </w:p>
          <w:p w:rsidR="00EC01B6" w:rsidRPr="00990D3B" w:rsidP="00827DA4" w14:paraId="60AA3217" w14:textId="032F0ED8">
            <w:pPr>
              <w:pStyle w:val="TableListBullet"/>
            </w:pPr>
            <w:r w:rsidRPr="00990D3B">
              <w:t xml:space="preserve">More information about CAHPS mental health surveys is available at </w:t>
            </w:r>
            <w:hyperlink r:id="rId183" w:tooltip="CAHPS Mental Health Care Surveys" w:history="1">
              <w:r w:rsidRPr="00990D3B">
                <w:rPr>
                  <w:rStyle w:val="Hyperlink"/>
                </w:rPr>
                <w:t>https://www.ahrq.gov/cahps/surveys-guidance/echo/index.html</w:t>
              </w:r>
            </w:hyperlink>
            <w:r w:rsidRPr="00990D3B" w:rsidR="00ED08B9">
              <w:rPr>
                <w:rStyle w:val="Hyperlink"/>
              </w:rPr>
              <w:t>.</w:t>
            </w:r>
          </w:p>
        </w:tc>
      </w:tr>
      <w:tr w14:paraId="543AACAC" w14:textId="77777777" w:rsidTr="00CC0014">
        <w:tblPrEx>
          <w:tblW w:w="5000" w:type="pct"/>
          <w:tblLayout w:type="fixed"/>
          <w:tblLook w:val="0620"/>
        </w:tblPrEx>
        <w:tc>
          <w:tcPr>
            <w:tcW w:w="767" w:type="pct"/>
          </w:tcPr>
          <w:p w:rsidR="00B629B1" w:rsidRPr="00990D3B" w:rsidP="00DC292E" w14:paraId="1C689A73" w14:textId="08172C00">
            <w:pPr>
              <w:pStyle w:val="EQRTableText"/>
            </w:pPr>
            <w:r w:rsidRPr="00990D3B">
              <w:t xml:space="preserve">Long-term </w:t>
            </w:r>
            <w:r w:rsidRPr="00990D3B" w:rsidR="00947EB3">
              <w:t>S</w:t>
            </w:r>
            <w:r w:rsidRPr="00990D3B">
              <w:t xml:space="preserve">ervices and </w:t>
            </w:r>
            <w:r w:rsidRPr="00990D3B" w:rsidR="00947EB3">
              <w:t>S</w:t>
            </w:r>
            <w:r w:rsidRPr="00990D3B">
              <w:t xml:space="preserve">upports (LTSS) </w:t>
            </w:r>
            <w:r w:rsidRPr="00990D3B" w:rsidR="00947EB3">
              <w:t>S</w:t>
            </w:r>
            <w:r w:rsidRPr="00990D3B">
              <w:t>urveys</w:t>
            </w:r>
          </w:p>
        </w:tc>
        <w:tc>
          <w:tcPr>
            <w:tcW w:w="4233" w:type="pct"/>
          </w:tcPr>
          <w:p w:rsidR="00B629B1" w:rsidRPr="00990D3B" w:rsidP="00B629B1" w14:paraId="675BD3A0" w14:textId="772125D5">
            <w:pPr>
              <w:pStyle w:val="TableListBullet"/>
            </w:pPr>
            <w:r w:rsidRPr="00990D3B">
              <w:t>Standardized instruments for measuring experiences with LTSS and home and community-based services (HCBS) include the HCBS CAHPS, National Core Indicators, and National Core Indicators-Aging and Disabilities</w:t>
            </w:r>
            <w:r w:rsidRPr="00990D3B" w:rsidR="00ED08B9">
              <w:t>.</w:t>
            </w:r>
          </w:p>
          <w:p w:rsidR="00B629B1" w:rsidRPr="00990D3B" w:rsidP="00B629B1" w14:paraId="6E917FF6" w14:textId="4DAA157A">
            <w:pPr>
              <w:pStyle w:val="TableListBullet"/>
            </w:pPr>
            <w:r w:rsidRPr="00990D3B">
              <w:t>More information about HCBS CAHPS is available at</w:t>
            </w:r>
            <w:r w:rsidRPr="00990D3B" w:rsidR="00891F73">
              <w:t xml:space="preserve"> </w:t>
            </w:r>
            <w:hyperlink r:id="rId62" w:tooltip="CAHPS Home and Community Based Services Survey" w:history="1">
              <w:r w:rsidRPr="00990D3B" w:rsidR="00891F73">
                <w:rPr>
                  <w:rStyle w:val="Hyperlink"/>
                </w:rPr>
                <w:t>https://www.medicaid.gov/medicaid/quality-of-care/quality-of-care-performance-measurement/cahps-home-and-community-based-services-survey/index.html</w:t>
              </w:r>
            </w:hyperlink>
            <w:r w:rsidRPr="00990D3B" w:rsidR="00ED08B9">
              <w:rPr>
                <w:rStyle w:val="Hyperlink"/>
              </w:rPr>
              <w:t>.</w:t>
            </w:r>
          </w:p>
          <w:p w:rsidR="00B629B1" w:rsidRPr="00990D3B" w:rsidP="00B629B1" w14:paraId="0DA4C77A" w14:textId="4E9576EF">
            <w:pPr>
              <w:pStyle w:val="TableListBullet"/>
            </w:pPr>
            <w:r w:rsidRPr="00990D3B">
              <w:t>More information about National Core Indicators is available at</w:t>
            </w:r>
            <w:r w:rsidRPr="00990D3B" w:rsidR="00891F73">
              <w:t xml:space="preserve"> </w:t>
            </w:r>
            <w:hyperlink r:id="rId184" w:tooltip="National Core Indicators website." w:history="1">
              <w:r w:rsidRPr="00990D3B" w:rsidR="00891F73">
                <w:rPr>
                  <w:rStyle w:val="Hyperlink"/>
                </w:rPr>
                <w:t>https://www.nationalcoreindicators.org/</w:t>
              </w:r>
            </w:hyperlink>
            <w:r w:rsidRPr="00990D3B" w:rsidR="00ED08B9">
              <w:rPr>
                <w:rStyle w:val="Hyperlink"/>
              </w:rPr>
              <w:t>.</w:t>
            </w:r>
          </w:p>
          <w:p w:rsidR="00B629B1" w:rsidRPr="00990D3B" w:rsidP="00B629B1" w14:paraId="73F9E107" w14:textId="3B4BC57D">
            <w:pPr>
              <w:pStyle w:val="TableListBullet"/>
            </w:pPr>
            <w:r w:rsidRPr="00990D3B">
              <w:t xml:space="preserve">More information about National Core Indicators-Aging and Disabilities is available at </w:t>
            </w:r>
            <w:hyperlink r:id="rId182" w:tooltip="National Core Indicators-Aging and Disabilities" w:history="1">
              <w:r w:rsidRPr="00990D3B" w:rsidR="00891F73">
                <w:rPr>
                  <w:rStyle w:val="Hyperlink"/>
                </w:rPr>
                <w:t>http://www.advancingstates.org/initiatives/national-core-indicators-aging-and-disabilities</w:t>
              </w:r>
            </w:hyperlink>
            <w:r w:rsidRPr="00990D3B" w:rsidR="00ED08B9">
              <w:rPr>
                <w:rStyle w:val="Hyperlink"/>
              </w:rPr>
              <w:t>.</w:t>
            </w:r>
            <w:r w:rsidRPr="00990D3B" w:rsidR="00891F73">
              <w:t xml:space="preserve"> </w:t>
            </w:r>
          </w:p>
        </w:tc>
      </w:tr>
      <w:tr w14:paraId="6EDCD59F" w14:textId="77777777" w:rsidTr="00CC0014">
        <w:tblPrEx>
          <w:tblW w:w="5000" w:type="pct"/>
          <w:tblLayout w:type="fixed"/>
          <w:tblLook w:val="0620"/>
        </w:tblPrEx>
        <w:tc>
          <w:tcPr>
            <w:tcW w:w="5000" w:type="pct"/>
            <w:gridSpan w:val="2"/>
          </w:tcPr>
          <w:p w:rsidR="00E33E1D" w:rsidRPr="00990D3B" w:rsidP="00E33E1D" w14:paraId="472B9AC2" w14:textId="5F49F374">
            <w:pPr>
              <w:pStyle w:val="EQRTableText"/>
              <w:keepNext/>
              <w:rPr>
                <w:b/>
              </w:rPr>
            </w:pPr>
            <w:r w:rsidRPr="00990D3B">
              <w:rPr>
                <w:b/>
              </w:rPr>
              <w:t>Provider and practice surveys</w:t>
            </w:r>
          </w:p>
        </w:tc>
      </w:tr>
      <w:tr w14:paraId="3EF328E9" w14:textId="77777777" w:rsidTr="00CC0014">
        <w:tblPrEx>
          <w:tblW w:w="5000" w:type="pct"/>
          <w:tblLayout w:type="fixed"/>
          <w:tblLook w:val="0620"/>
        </w:tblPrEx>
        <w:tc>
          <w:tcPr>
            <w:tcW w:w="767" w:type="pct"/>
          </w:tcPr>
          <w:p w:rsidR="00E33E1D" w:rsidRPr="00990D3B" w:rsidP="003C290C" w14:paraId="508FBCD4" w14:textId="431EE50B">
            <w:pPr>
              <w:pStyle w:val="EQRTableText"/>
            </w:pPr>
            <w:r w:rsidRPr="00990D3B">
              <w:t xml:space="preserve">Patient Centered Medical Home Assessment </w:t>
            </w:r>
            <w:r w:rsidRPr="00990D3B">
              <w:br/>
              <w:t>(PCMH-A)</w:t>
            </w:r>
          </w:p>
        </w:tc>
        <w:tc>
          <w:tcPr>
            <w:tcW w:w="4233" w:type="pct"/>
          </w:tcPr>
          <w:p w:rsidR="00E33E1D" w:rsidRPr="00990D3B" w:rsidP="00827DA4" w14:paraId="6F99152A" w14:textId="74DC93AB">
            <w:pPr>
              <w:pStyle w:val="TableListBullet"/>
            </w:pPr>
            <w:r w:rsidRPr="00990D3B">
              <w:t>Standardized practice-level survey instrument</w:t>
            </w:r>
            <w:r w:rsidRPr="00990D3B" w:rsidR="00ED08B9">
              <w:t>.</w:t>
            </w:r>
          </w:p>
          <w:p w:rsidR="00E33E1D" w:rsidRPr="00990D3B" w:rsidP="00827DA4" w14:paraId="5ECDD468" w14:textId="212FF436">
            <w:pPr>
              <w:pStyle w:val="TableListBullet"/>
            </w:pPr>
            <w:r w:rsidRPr="00990D3B">
              <w:t>Designed to help practices monitor their progress as they transition to a medical home care model and identify areas for improvement</w:t>
            </w:r>
            <w:r w:rsidRPr="00990D3B" w:rsidR="00ED08B9">
              <w:t>.</w:t>
            </w:r>
          </w:p>
          <w:p w:rsidR="00E33E1D" w:rsidRPr="00990D3B" w:rsidP="00827DA4" w14:paraId="195A8635" w14:textId="3350F1B6">
            <w:pPr>
              <w:pStyle w:val="TableListBullet"/>
              <w:rPr>
                <w:rStyle w:val="Hyperlink"/>
                <w:color w:val="auto"/>
              </w:rPr>
            </w:pPr>
            <w:r w:rsidRPr="00990D3B">
              <w:t xml:space="preserve">More information is available at </w:t>
            </w:r>
            <w:hyperlink r:id="rId185" w:tooltip="Patient-Centered Medical Home Assessment (PCMH-A)." w:history="1">
              <w:r w:rsidRPr="00990D3B">
                <w:rPr>
                  <w:rStyle w:val="Hyperlink"/>
                </w:rPr>
                <w:t>http://www.safetynetmedicalhome.org/sites/default/files/PCMH-A.pdf</w:t>
              </w:r>
            </w:hyperlink>
            <w:r w:rsidRPr="00990D3B" w:rsidR="00ED08B9">
              <w:rPr>
                <w:rStyle w:val="Hyperlink"/>
              </w:rPr>
              <w:t>.</w:t>
            </w:r>
          </w:p>
          <w:p w:rsidR="00E33E1D" w:rsidRPr="00990D3B" w:rsidP="00827DA4" w14:paraId="354BFB44" w14:textId="795A7A27">
            <w:pPr>
              <w:pStyle w:val="TableListBullet"/>
            </w:pPr>
            <w:r w:rsidRPr="00990D3B">
              <w:t xml:space="preserve">A modified PCMH-A survey was developed for the Comprehensive Primary Care Initiative (PCPI) evaluation; for more information see </w:t>
            </w:r>
            <w:hyperlink r:id="rId186" w:tooltip="Evaluation of the Comprehensive Primary Care Initiative: Second Annual Report." w:history="1">
              <w:r w:rsidRPr="00990D3B">
                <w:rPr>
                  <w:rStyle w:val="Hyperlink"/>
                </w:rPr>
                <w:t>https://innovation.cms.gov/Files/reports/cpci-evalrpt2.pdf</w:t>
              </w:r>
            </w:hyperlink>
            <w:r w:rsidRPr="00990D3B" w:rsidR="00ED08B9">
              <w:rPr>
                <w:rStyle w:val="Hyperlink"/>
              </w:rPr>
              <w:t>.</w:t>
            </w:r>
          </w:p>
        </w:tc>
      </w:tr>
      <w:tr w14:paraId="23F38282" w14:textId="77777777" w:rsidTr="00CC0014">
        <w:tblPrEx>
          <w:tblW w:w="5000" w:type="pct"/>
          <w:tblLayout w:type="fixed"/>
          <w:tblLook w:val="0620"/>
        </w:tblPrEx>
        <w:tc>
          <w:tcPr>
            <w:tcW w:w="767" w:type="pct"/>
          </w:tcPr>
          <w:p w:rsidR="00E33E1D" w:rsidRPr="00990D3B" w:rsidP="00A275F2" w14:paraId="0DE13442" w14:textId="5A0538D9">
            <w:pPr>
              <w:pStyle w:val="EQRTableText"/>
              <w:rPr>
                <w:rFonts w:cs="Arial"/>
                <w:szCs w:val="18"/>
              </w:rPr>
            </w:pPr>
            <w:r w:rsidRPr="00990D3B">
              <w:t>Staff Experience Survey</w:t>
            </w:r>
          </w:p>
        </w:tc>
        <w:tc>
          <w:tcPr>
            <w:tcW w:w="4233" w:type="pct"/>
          </w:tcPr>
          <w:p w:rsidR="00E33E1D" w:rsidRPr="00990D3B" w:rsidP="00827DA4" w14:paraId="06A44DA9" w14:textId="765CF18E">
            <w:pPr>
              <w:pStyle w:val="TableListBullet"/>
            </w:pPr>
            <w:r w:rsidRPr="00990D3B">
              <w:t>Developed by the University of Chicago to assess staff experience across multiple domains: access to care and communication with patients, tracking data, electronic medical record, care management, quality improvement, work satisfaction, work environment, work activities, and</w:t>
            </w:r>
            <w:r w:rsidRPr="00990D3B" w:rsidR="004A54B5">
              <w:t xml:space="preserve"> demographics</w:t>
            </w:r>
            <w:r w:rsidRPr="00990D3B" w:rsidR="00ED08B9">
              <w:t>.</w:t>
            </w:r>
          </w:p>
          <w:p w:rsidR="00E33E1D" w:rsidRPr="00990D3B" w:rsidP="00827DA4" w14:paraId="1191DDB7" w14:textId="57C19CCC">
            <w:pPr>
              <w:pStyle w:val="TableListBullet"/>
            </w:pPr>
            <w:r w:rsidRPr="00990D3B">
              <w:t xml:space="preserve">Survey instrument is available at </w:t>
            </w:r>
            <w:hyperlink r:id="rId187" w:tooltip="Patient-Centered Medical Home Characteristics and Staff Morale in Safety Net Clinics" w:history="1">
              <w:r w:rsidRPr="00990D3B" w:rsidR="00660FC5">
                <w:rPr>
                  <w:rStyle w:val="Hyperlink"/>
                </w:rPr>
                <w:t>https://www.ncbi.nlm.nih.gov/pmc/articles/PMC3752653/</w:t>
              </w:r>
            </w:hyperlink>
            <w:r w:rsidRPr="00990D3B" w:rsidR="00ED08B9">
              <w:rPr>
                <w:rStyle w:val="Hyperlink"/>
              </w:rPr>
              <w:t>.</w:t>
            </w:r>
          </w:p>
        </w:tc>
      </w:tr>
    </w:tbl>
    <w:p w:rsidR="005D5108" w:rsidRPr="00990D3B" w:rsidP="004E5005" w14:paraId="6522D1A3" w14:textId="20F88414">
      <w:pPr>
        <w:pStyle w:val="ParagraphContinued"/>
      </w:pPr>
      <w:r w:rsidRPr="00990D3B">
        <w:t>Even when using an existing instrument, the EQRO should review the instrument’s reliability and validity based on published or unpublished documentation</w:t>
      </w:r>
      <w:r w:rsidRPr="00990D3B" w:rsidR="00E85662">
        <w:t xml:space="preserve"> (see </w:t>
      </w:r>
      <w:hyperlink w:anchor="Box6n2" w:tooltip="Box 6.2" w:history="1">
        <w:r w:rsidRPr="00990D3B" w:rsidR="00157221">
          <w:rPr>
            <w:rStyle w:val="Hyperlink"/>
          </w:rPr>
          <w:t>Box 6.2</w:t>
        </w:r>
      </w:hyperlink>
      <w:r w:rsidRPr="00990D3B" w:rsidR="00E85662">
        <w:t>)</w:t>
      </w:r>
      <w:r w:rsidRPr="00990D3B">
        <w:t>. For example, existing validated survey instruments may not have been validated in a Medicaid or CHIP population or not tested in languages other than English. Selecting instruments not validated in the target population may not yield valid or reliable results for that population. When using an existing survey instrument, the EQRO should document findings related to reliability and validity testing of the survey instrument, preferably in a comparable population.</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4B689747" w14:textId="77777777" w:rsidTr="0069355D">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Pr>
        <w:tc>
          <w:tcPr>
            <w:tcW w:w="9314" w:type="dxa"/>
            <w:shd w:val="clear" w:color="auto" w:fill="EEF5F8"/>
          </w:tcPr>
          <w:p w:rsidR="00B32829" w:rsidRPr="00990D3B" w:rsidP="000F67F7" w14:paraId="0A39185E" w14:textId="2D486562">
            <w:pPr>
              <w:pStyle w:val="EQRTextboxheading"/>
              <w:keepNext/>
              <w:spacing w:before="0" w:after="0"/>
            </w:pPr>
            <w:bookmarkStart w:id="662" w:name="Box6n2"/>
            <w:bookmarkEnd w:id="662"/>
            <w:r w:rsidRPr="00990D3B">
              <w:t xml:space="preserve">Box 6.2 </w:t>
            </w:r>
            <w:r w:rsidRPr="00990D3B" w:rsidR="00E51680">
              <w:t xml:space="preserve">Definitions of </w:t>
            </w:r>
            <w:r w:rsidRPr="00990D3B">
              <w:t xml:space="preserve">Validity and </w:t>
            </w:r>
            <w:r w:rsidRPr="00990D3B" w:rsidR="00E51680">
              <w:t>R</w:t>
            </w:r>
            <w:r w:rsidRPr="00990D3B">
              <w:t>eliability</w:t>
            </w:r>
          </w:p>
        </w:tc>
      </w:tr>
      <w:tr w14:paraId="3C60A3F7" w14:textId="77777777" w:rsidTr="0069355D">
        <w:tblPrEx>
          <w:tblW w:w="0" w:type="auto"/>
          <w:tblCellMar>
            <w:top w:w="72" w:type="dxa"/>
            <w:left w:w="173" w:type="dxa"/>
            <w:bottom w:w="72" w:type="dxa"/>
            <w:right w:w="173" w:type="dxa"/>
          </w:tblCellMar>
          <w:tblLook w:val="04A0"/>
        </w:tblPrEx>
        <w:trPr>
          <w:cantSplit/>
        </w:trPr>
        <w:tc>
          <w:tcPr>
            <w:tcW w:w="9314" w:type="dxa"/>
            <w:shd w:val="clear" w:color="auto" w:fill="EEF5F8"/>
          </w:tcPr>
          <w:p w:rsidR="00B32829" w:rsidRPr="00990D3B" w:rsidP="0069355D" w14:paraId="7302C673" w14:textId="4EBC7E51">
            <w:pPr>
              <w:pStyle w:val="EQRTextboxbody"/>
            </w:pPr>
            <w:r w:rsidRPr="00990D3B">
              <w:rPr>
                <w:b/>
                <w:bCs/>
              </w:rPr>
              <w:t>Validity</w:t>
            </w:r>
            <w:r w:rsidRPr="00990D3B">
              <w:t xml:space="preserve"> refers to the degree to which the survey </w:t>
            </w:r>
            <w:r w:rsidRPr="00990D3B">
              <w:t>is measuring</w:t>
            </w:r>
            <w:r w:rsidRPr="00990D3B">
              <w:t xml:space="preserve"> what was intended to be measured and is made up of two components</w:t>
            </w:r>
            <w:r w:rsidRPr="00990D3B" w:rsidR="00ED08B9">
              <w:t xml:space="preserve"> (1) face </w:t>
            </w:r>
            <w:r w:rsidRPr="00990D3B" w:rsidR="00BA2DC9">
              <w:t>validity</w:t>
            </w:r>
            <w:r w:rsidRPr="00990D3B" w:rsidR="00ED08B9">
              <w:t xml:space="preserve"> and (2) content validity. </w:t>
            </w:r>
          </w:p>
          <w:p w:rsidR="00B32829" w:rsidRPr="00990D3B" w:rsidP="00B32829" w14:paraId="4C84191F" w14:textId="32B7F387">
            <w:pPr>
              <w:pStyle w:val="EQRTextboxbullet"/>
            </w:pPr>
            <w:r w:rsidRPr="00990D3B">
              <w:t>Face validity refers to the degree to which the survey is measuring what was intended to be measured</w:t>
            </w:r>
            <w:r w:rsidRPr="00990D3B" w:rsidR="004C03F3">
              <w:t>.</w:t>
            </w:r>
            <w:r w:rsidRPr="00990D3B">
              <w:t xml:space="preserve"> </w:t>
            </w:r>
          </w:p>
          <w:p w:rsidR="00B32829" w:rsidRPr="00990D3B" w:rsidP="00B32829" w14:paraId="02C4911C" w14:textId="56064AB9">
            <w:pPr>
              <w:pStyle w:val="EQRTextboxbullet"/>
            </w:pPr>
            <w:r w:rsidRPr="00990D3B">
              <w:t>Content validity refers to whether the survey questions accurately represent the concept or subject matter being measured</w:t>
            </w:r>
            <w:r w:rsidRPr="00990D3B" w:rsidR="004C03F3">
              <w:t>.</w:t>
            </w:r>
          </w:p>
          <w:p w:rsidR="00B32829" w:rsidRPr="00990D3B" w:rsidP="00ED08B9" w14:paraId="04834E54" w14:textId="028125D5">
            <w:pPr>
              <w:pStyle w:val="EQRTextboxbody"/>
            </w:pPr>
            <w:r w:rsidRPr="00990D3B">
              <w:rPr>
                <w:b/>
                <w:bCs/>
              </w:rPr>
              <w:t>Reliability</w:t>
            </w:r>
            <w:r w:rsidRPr="00990D3B">
              <w:t xml:space="preserve"> refers to</w:t>
            </w:r>
            <w:r w:rsidRPr="00990D3B" w:rsidR="00ED08B9">
              <w:t xml:space="preserve"> the i</w:t>
            </w:r>
            <w:r w:rsidRPr="00990D3B">
              <w:t>nternal consistency of a survey</w:t>
            </w:r>
            <w:r w:rsidRPr="00990D3B" w:rsidR="00ED08B9">
              <w:t xml:space="preserve"> and r</w:t>
            </w:r>
            <w:r w:rsidRPr="00990D3B">
              <w:t>eproducibility of survey results when administered under different conditions (such as by different people or at different times)</w:t>
            </w:r>
            <w:r w:rsidRPr="00990D3B" w:rsidR="00ED08B9">
              <w:t>.</w:t>
            </w:r>
          </w:p>
        </w:tc>
      </w:tr>
    </w:tbl>
    <w:p w:rsidR="007453B5" w:rsidRPr="00990D3B" w:rsidP="000D0C6B" w14:paraId="497789C8" w14:textId="64C02EE8">
      <w:pPr>
        <w:pStyle w:val="Heading4"/>
      </w:pPr>
      <w:r w:rsidRPr="00990D3B">
        <w:t xml:space="preserve">Option 2. Adapt an </w:t>
      </w:r>
      <w:r w:rsidRPr="00990D3B" w:rsidR="00F37B4E">
        <w:t>e</w:t>
      </w:r>
      <w:r w:rsidRPr="00990D3B">
        <w:t xml:space="preserve">xisting </w:t>
      </w:r>
      <w:r w:rsidRPr="00990D3B" w:rsidR="00F37B4E">
        <w:t>s</w:t>
      </w:r>
      <w:r w:rsidRPr="00990D3B">
        <w:t>urvey</w:t>
      </w:r>
    </w:p>
    <w:p w:rsidR="007453B5" w:rsidRPr="00990D3B" w:rsidP="005755E2" w14:paraId="09EDA85C" w14:textId="77777777">
      <w:pPr>
        <w:pStyle w:val="ParagraphContinued"/>
      </w:pPr>
      <w:r w:rsidRPr="00990D3B">
        <w:t xml:space="preserve">Another option is to adapt an existing survey by adding or deleting items, modifying questions, or using only certain groups of questions relevant to the state’s survey objectives. Modifying an existing questionnaire provides the state with the flexibility to add or change the survey content while providing many of the advantages of using a pre-existing questionnaire. However, adding, deleting, or modifying questions may undermine the validity and reliability of the questions, as well as the survey overall. Validated questionnaires are tested “as a </w:t>
      </w:r>
      <w:r w:rsidRPr="00990D3B">
        <w:t>whole,”</w:t>
      </w:r>
      <w:r w:rsidRPr="00990D3B">
        <w:t xml:space="preserve"> and modifications can change the focus and purpose of the questionnaire. </w:t>
      </w:r>
    </w:p>
    <w:p w:rsidR="00ED08B9" w:rsidRPr="00990D3B" w:rsidP="005755E2" w14:paraId="74FD3819" w14:textId="77777777">
      <w:pPr>
        <w:pStyle w:val="Paragraph0"/>
      </w:pPr>
      <w:r w:rsidRPr="00990D3B">
        <w:t xml:space="preserve">Some surveys, such as the CAHPS® Medicaid Health Plan Survey, provide optional supplemental questions the state can consider using to customize the questionnaire. This has the advantage of providing a validated instrument that allows comparisons, while accommodating special questions of particular interest to the state or MCPs. </w:t>
      </w:r>
    </w:p>
    <w:p w:rsidR="007453B5" w:rsidRPr="00990D3B" w:rsidP="005755E2" w14:paraId="78DD53FC" w14:textId="1E13B46B">
      <w:pPr>
        <w:pStyle w:val="Paragraph0"/>
      </w:pPr>
      <w:r w:rsidRPr="00990D3B">
        <w:t xml:space="preserve">When the EQRO </w:t>
      </w:r>
      <w:r w:rsidRPr="00990D3B">
        <w:t>adapts</w:t>
      </w:r>
      <w:r w:rsidRPr="00990D3B">
        <w:t xml:space="preserve"> an existing questionnaire, it should consult with an expert in survey design about incorporating the modification and conducting appropriate tests for reliability and validity. Any new translations should also be tested.  </w:t>
      </w:r>
    </w:p>
    <w:p w:rsidR="007453B5" w:rsidRPr="00990D3B" w:rsidP="000D0C6B" w14:paraId="5DEBE6DA" w14:textId="263E9113">
      <w:pPr>
        <w:pStyle w:val="Heading4"/>
      </w:pPr>
      <w:r w:rsidRPr="00990D3B">
        <w:t xml:space="preserve">Option 3. Develop a </w:t>
      </w:r>
      <w:r w:rsidRPr="00990D3B" w:rsidR="00DE0914">
        <w:t>n</w:t>
      </w:r>
      <w:r w:rsidRPr="00990D3B">
        <w:t xml:space="preserve">ew </w:t>
      </w:r>
      <w:r w:rsidRPr="00990D3B" w:rsidR="00DE0914">
        <w:t>s</w:t>
      </w:r>
      <w:r w:rsidRPr="00990D3B">
        <w:t xml:space="preserve">urvey </w:t>
      </w:r>
      <w:r w:rsidRPr="00990D3B" w:rsidR="00DE0914">
        <w:t>i</w:t>
      </w:r>
      <w:r w:rsidRPr="00990D3B">
        <w:t>nstrument</w:t>
      </w:r>
    </w:p>
    <w:p w:rsidR="007453B5" w:rsidRPr="00990D3B" w:rsidP="005755E2" w14:paraId="3E042039" w14:textId="29D63D52">
      <w:pPr>
        <w:pStyle w:val="ParagraphContinued"/>
      </w:pPr>
      <w:r w:rsidRPr="00990D3B">
        <w:t xml:space="preserve">The state or EQRO may also decide to develop a new survey instrument when the survey purpose requires answers to questions not measured by existing instruments. A well-designed instrument can capture information of interest and relevance to the questions under study. </w:t>
      </w:r>
    </w:p>
    <w:p w:rsidR="005D5108" w:rsidRPr="00990D3B" w:rsidP="005755E2" w14:paraId="229D328B" w14:textId="354CCF04">
      <w:pPr>
        <w:pStyle w:val="Paragraph0"/>
      </w:pPr>
      <w:hyperlink w:anchor="Box6n3" w:tooltip="Box 6.3" w:history="1">
        <w:r w:rsidRPr="00990D3B">
          <w:rPr>
            <w:rStyle w:val="Hyperlink"/>
          </w:rPr>
          <w:t>Box 6.3</w:t>
        </w:r>
      </w:hyperlink>
      <w:r w:rsidRPr="00990D3B" w:rsidR="00B748CA">
        <w:t xml:space="preserve"> includes best practices in questionnaire design that </w:t>
      </w:r>
      <w:r w:rsidRPr="00990D3B" w:rsidR="007453B5">
        <w:t>state</w:t>
      </w:r>
      <w:r w:rsidRPr="00990D3B" w:rsidR="00B748CA">
        <w:t>s</w:t>
      </w:r>
      <w:r w:rsidRPr="00990D3B" w:rsidR="007453B5">
        <w:t xml:space="preserve"> or EQRO</w:t>
      </w:r>
      <w:r w:rsidRPr="00990D3B" w:rsidR="00B748CA">
        <w:t>s</w:t>
      </w:r>
      <w:r w:rsidRPr="00990D3B" w:rsidR="007453B5">
        <w:t xml:space="preserve"> should follow. If possible, the state or EQRO should involve a survey design expert to address issues associated with respondent burden, </w:t>
      </w:r>
      <w:r w:rsidRPr="00990D3B" w:rsidR="00D31C6C">
        <w:t>comprehension, and readability.</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299BCD40" w14:textId="77777777" w:rsidTr="000F67F7">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216"/>
        </w:trPr>
        <w:tc>
          <w:tcPr>
            <w:tcW w:w="9314" w:type="dxa"/>
            <w:shd w:val="clear" w:color="auto" w:fill="EEF5F8"/>
          </w:tcPr>
          <w:p w:rsidR="0069355D" w:rsidRPr="00990D3B" w:rsidP="00D955ED" w14:paraId="1FB698F0" w14:textId="77777777">
            <w:pPr>
              <w:pStyle w:val="EQRTextboxheading"/>
              <w:keepNext/>
              <w:spacing w:before="0"/>
            </w:pPr>
            <w:bookmarkStart w:id="663" w:name="Box6n3"/>
            <w:bookmarkEnd w:id="663"/>
            <w:r w:rsidRPr="00990D3B">
              <w:t>Box 6.3. Best Practices in Questionnaire Design</w:t>
            </w:r>
          </w:p>
          <w:p w:rsidR="00E51680" w:rsidRPr="00990D3B" w:rsidP="00D955ED" w14:paraId="78D1F473" w14:textId="5BC659A3">
            <w:pPr>
              <w:pStyle w:val="EQRTextboxbody"/>
              <w:spacing w:after="0"/>
            </w:pPr>
            <w:r w:rsidRPr="00990D3B">
              <w:t>Well-designed questionnaires are essential for collecting accurate, reliable, and meaningful data. The best practices below support the development of clear, accessible, and unbiased survey instruments that encourage valid responses across diverse Medicaid and CHIP populations:</w:t>
            </w:r>
          </w:p>
        </w:tc>
      </w:tr>
      <w:tr w14:paraId="3F905BAC" w14:textId="77777777" w:rsidTr="000F67F7">
        <w:tblPrEx>
          <w:tblW w:w="0" w:type="auto"/>
          <w:tblCellMar>
            <w:top w:w="72" w:type="dxa"/>
            <w:left w:w="173" w:type="dxa"/>
            <w:bottom w:w="72" w:type="dxa"/>
            <w:right w:w="173" w:type="dxa"/>
          </w:tblCellMar>
          <w:tblLook w:val="04A0"/>
        </w:tblPrEx>
        <w:trPr>
          <w:cantSplit/>
          <w:trHeight w:val="1764"/>
        </w:trPr>
        <w:tc>
          <w:tcPr>
            <w:tcW w:w="9314" w:type="dxa"/>
            <w:shd w:val="clear" w:color="auto" w:fill="EEF5F8"/>
          </w:tcPr>
          <w:p w:rsidR="0069355D" w:rsidRPr="00990D3B" w:rsidP="0069355D" w14:paraId="069255E1" w14:textId="4A6D7C64">
            <w:pPr>
              <w:pStyle w:val="EQRTextboxbullet"/>
            </w:pPr>
            <w:r w:rsidRPr="00990D3B">
              <w:t>Questions are worded clearly and briefly, and in an unbiased manner so respondents can readily understand key terms and concepts</w:t>
            </w:r>
            <w:r w:rsidRPr="00990D3B" w:rsidR="004C03F3">
              <w:t>.</w:t>
            </w:r>
          </w:p>
          <w:p w:rsidR="0069355D" w:rsidRPr="00990D3B" w:rsidP="0069355D" w14:paraId="36F54CBE" w14:textId="6549D25B">
            <w:pPr>
              <w:pStyle w:val="EQRTextboxbullet"/>
            </w:pPr>
            <w:r w:rsidRPr="00990D3B">
              <w:t>Questions request information that respondents can reasonably be expected to report</w:t>
            </w:r>
            <w:r w:rsidRPr="00990D3B" w:rsidR="004C03F3">
              <w:t>.</w:t>
            </w:r>
          </w:p>
          <w:p w:rsidR="0069355D" w:rsidRPr="00990D3B" w:rsidP="0069355D" w14:paraId="7B8DD63E" w14:textId="5C17D894">
            <w:pPr>
              <w:pStyle w:val="EQRTextboxbullet"/>
            </w:pPr>
            <w:r w:rsidRPr="00990D3B">
              <w:t>Question response categories are appropriate, mutually exclusive, and reasonably exhaustive given the intent of the questions</w:t>
            </w:r>
            <w:r w:rsidRPr="00990D3B" w:rsidR="004C03F3">
              <w:t>.</w:t>
            </w:r>
          </w:p>
          <w:p w:rsidR="0069355D" w:rsidRPr="00990D3B" w:rsidP="0069355D" w14:paraId="0B60F27A" w14:textId="19DC98B5">
            <w:pPr>
              <w:pStyle w:val="EQRTextboxbullet"/>
            </w:pPr>
            <w:r w:rsidRPr="00990D3B">
              <w:t>Questions are accompanied by clear, concise instructions and probes so that respondents will know exactly what is expected of them</w:t>
            </w:r>
            <w:r w:rsidRPr="00990D3B" w:rsidR="004C03F3">
              <w:t>.</w:t>
            </w:r>
          </w:p>
          <w:p w:rsidR="0069355D" w:rsidRPr="00990D3B" w:rsidP="0069355D" w14:paraId="59918B0D" w14:textId="3EDB23A8">
            <w:pPr>
              <w:pStyle w:val="EQRTextboxbullet"/>
            </w:pPr>
            <w:r w:rsidRPr="00990D3B">
              <w:t>All questions can be easily understood by someone with a sixth-grade reading leve</w:t>
            </w:r>
            <w:r w:rsidRPr="00990D3B" w:rsidR="00091C17">
              <w:t>l</w:t>
            </w:r>
            <w:r w:rsidRPr="00990D3B" w:rsidR="004C03F3">
              <w:t>.</w:t>
            </w:r>
          </w:p>
        </w:tc>
      </w:tr>
    </w:tbl>
    <w:p w:rsidR="007453B5" w:rsidRPr="00990D3B" w:rsidP="004E5005" w14:paraId="3A34F0B3" w14:textId="78696FCD">
      <w:pPr>
        <w:pStyle w:val="ParagraphContinued"/>
      </w:pPr>
      <w:r w:rsidRPr="00990D3B">
        <w:t xml:space="preserve">In addition, the state or EQRO should work with a survey design expert to assess face and content validity and conduct a pretest of the instrument for reliability. Although assessment of </w:t>
      </w:r>
      <w:r w:rsidRPr="00990D3B">
        <w:t>the validity and reliability of new surveys can be costly and time consuming, such testing is key to identifying methodological flaws that could make the results suspect.</w:t>
      </w:r>
    </w:p>
    <w:p w:rsidR="007453B5" w:rsidRPr="00990D3B" w:rsidP="004E5005" w14:paraId="1C02C677" w14:textId="277A3236">
      <w:pPr>
        <w:pStyle w:val="Paragraph0"/>
      </w:pPr>
      <w:r w:rsidRPr="00990D3B">
        <w:t xml:space="preserve">Face and content validity can be assessed by conducting cognitive interviews or convening one or more focus groups that include targeted survey respondents or individuals with subject matter expertise. A factor analysis could also be conducted to verify that the individual items that comprise a scale are measuring the domain of interest. Reliability can be assessed using the test-retest method in which the survey is administered to the same group at two different times. A correlation coefficient is calculated and indicates the reproducibility of results. Correlation coefficients with </w:t>
      </w:r>
      <w:r w:rsidRPr="00990D3B">
        <w:t>r-values</w:t>
      </w:r>
      <w:r w:rsidRPr="00990D3B">
        <w:t xml:space="preserve"> at or above 0.70 indicate good reliability. However, even with high reliability, a new survey instrument will have limited benchmarks for comparison of results.</w:t>
      </w:r>
    </w:p>
    <w:p w:rsidR="001E494B" w:rsidRPr="00990D3B" w:rsidP="00157221" w14:paraId="702712D8" w14:textId="700D3B6D">
      <w:pPr>
        <w:pStyle w:val="H2"/>
      </w:pPr>
      <w:bookmarkStart w:id="664" w:name="P6AI4"/>
      <w:bookmarkStart w:id="665" w:name="_Toc14777719"/>
      <w:bookmarkStart w:id="666" w:name="_Toc183005617"/>
      <w:bookmarkStart w:id="667" w:name="_Toc201751387"/>
      <w:r w:rsidRPr="00990D3B">
        <w:t>A</w:t>
      </w:r>
      <w:r w:rsidRPr="00990D3B" w:rsidR="00125F00">
        <w:t>ctivity</w:t>
      </w:r>
      <w:r w:rsidRPr="00990D3B">
        <w:t xml:space="preserve"> </w:t>
      </w:r>
      <w:r w:rsidRPr="00990D3B" w:rsidR="00E33E1D">
        <w:t>I.</w:t>
      </w:r>
      <w:r w:rsidRPr="00990D3B">
        <w:t>4</w:t>
      </w:r>
      <w:bookmarkEnd w:id="664"/>
      <w:r w:rsidRPr="00990D3B">
        <w:t>: D</w:t>
      </w:r>
      <w:r w:rsidRPr="00990D3B" w:rsidR="00125F00">
        <w:t>evelop the Sampling Plan</w:t>
      </w:r>
      <w:bookmarkEnd w:id="665"/>
      <w:bookmarkEnd w:id="666"/>
      <w:bookmarkEnd w:id="667"/>
    </w:p>
    <w:p w:rsidR="007453B5" w:rsidRPr="00990D3B" w:rsidP="000D0C6B" w14:paraId="44882FDF" w14:textId="2E3E50FC">
      <w:pPr>
        <w:pStyle w:val="ParagraphContinued"/>
      </w:pPr>
      <w:r w:rsidRPr="00990D3B">
        <w:rPr>
          <w:noProof/>
        </w:rPr>
        <mc:AlternateContent>
          <mc:Choice Requires="wps">
            <w:drawing>
              <wp:anchor distT="0" distB="0" distL="114300" distR="114300" simplePos="0" relativeHeight="251856896" behindDoc="0" locked="0" layoutInCell="1" allowOverlap="1">
                <wp:simplePos x="0" y="0"/>
                <wp:positionH relativeFrom="column">
                  <wp:posOffset>3562350</wp:posOffset>
                </wp:positionH>
                <wp:positionV relativeFrom="paragraph">
                  <wp:posOffset>78105</wp:posOffset>
                </wp:positionV>
                <wp:extent cx="2193925" cy="297815"/>
                <wp:effectExtent l="19050" t="19050" r="0" b="7620"/>
                <wp:wrapTight wrapText="bothSides">
                  <wp:wrapPolygon>
                    <wp:start x="21788" y="22985"/>
                    <wp:lineTo x="21788" y="-554"/>
                    <wp:lineTo x="31" y="-554"/>
                    <wp:lineTo x="31" y="22985"/>
                    <wp:lineTo x="21788" y="22985"/>
                  </wp:wrapPolygon>
                </wp:wrapTight>
                <wp:docPr id="1965371739" name="Text Box 9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6847EB" w:rsidP="0069355D" w14:textId="006835CC">
                            <w:pPr>
                              <w:pStyle w:val="EQRWORKSHEETText"/>
                              <w:rPr>
                                <w:color w:val="006068" w:themeColor="accent1" w:themeShade="BF"/>
                              </w:rPr>
                            </w:pPr>
                            <w:hyperlink w:anchor="WSp6n04" w:tooltip="WORKSHEET 6.4" w:history="1">
                              <w:r w:rsidRPr="006847EB">
                                <w:rPr>
                                  <w:color w:val="006068" w:themeColor="accent1" w:themeShade="BF"/>
                                </w:rPr>
                                <w:t>WORKSHEET 6.4</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2" o:spid="_x0000_s1185" type="#_x0000_t202" style="width:172.75pt;height:23.45pt;margin-top:6.15pt;margin-left:280.5pt;flip:y;mso-height-percent:0;mso-height-relative:page;mso-width-percent:0;mso-width-relative:page;mso-wrap-distance-bottom:0;mso-wrap-distance-left:9pt;mso-wrap-distance-right:9pt;mso-wrap-distance-top:0;mso-wrap-style:square;position:absolute;rotation:180;visibility:visible;v-text-anchor:top;z-index:251857920" fillcolor="#eef5f8" strokecolor="#a5dad9" strokeweight="2.25pt">
                <v:stroke endcap="round"/>
                <v:textbox style="mso-fit-shape-to-text:t" inset="8.64pt,,8.64pt">
                  <w:txbxContent>
                    <w:p w:rsidR="00ED33C3" w:rsidRPr="006847EB" w:rsidP="0069355D" w14:paraId="3BEA914E" w14:textId="006835CC">
                      <w:pPr>
                        <w:pStyle w:val="EQRWORKSHEETText"/>
                        <w:rPr>
                          <w:color w:val="006068" w:themeColor="accent1" w:themeShade="BF"/>
                        </w:rPr>
                      </w:pPr>
                      <w:hyperlink w:anchor="WSp6n04" w:tooltip="WORKSHEET 6.4" w:history="1">
                        <w:r w:rsidRPr="006847EB">
                          <w:rPr>
                            <w:color w:val="006068" w:themeColor="accent1" w:themeShade="BF"/>
                          </w:rPr>
                          <w:t>WORKSHEET 6.4</w:t>
                        </w:r>
                      </w:hyperlink>
                    </w:p>
                  </w:txbxContent>
                </v:textbox>
                <w10:wrap type="tight"/>
              </v:shape>
            </w:pict>
          </mc:Fallback>
        </mc:AlternateContent>
      </w:r>
      <w:r w:rsidRPr="00990D3B" w:rsidR="009D5A03">
        <w:rPr>
          <w:noProof/>
        </w:rPr>
        <mc:AlternateContent>
          <mc:Choice Requires="wps">
            <w:drawing>
              <wp:anchor distT="0" distB="0" distL="114300" distR="114300" simplePos="0" relativeHeight="251854848" behindDoc="0" locked="0" layoutInCell="1" allowOverlap="1">
                <wp:simplePos x="0" y="0"/>
                <wp:positionH relativeFrom="column">
                  <wp:posOffset>3560445</wp:posOffset>
                </wp:positionH>
                <wp:positionV relativeFrom="paragraph">
                  <wp:posOffset>455881</wp:posOffset>
                </wp:positionV>
                <wp:extent cx="2195195" cy="2063115"/>
                <wp:effectExtent l="19050" t="19050" r="14605" b="13970"/>
                <wp:wrapTight wrapText="bothSides">
                  <wp:wrapPolygon>
                    <wp:start x="21787" y="21800"/>
                    <wp:lineTo x="21787" y="53"/>
                    <wp:lineTo x="44" y="53"/>
                    <wp:lineTo x="44" y="21800"/>
                    <wp:lineTo x="21787" y="21800"/>
                  </wp:wrapPolygon>
                </wp:wrapTight>
                <wp:docPr id="1704902897" name="Text Box 9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2063115"/>
                        </a:xfrm>
                        <a:prstGeom prst="rect">
                          <a:avLst/>
                        </a:prstGeom>
                        <a:solidFill>
                          <a:srgbClr val="EEF5F8"/>
                        </a:solidFill>
                        <a:ln w="28575" cap="rnd">
                          <a:solidFill>
                            <a:srgbClr val="A5DAD9"/>
                          </a:solidFill>
                          <a:prstDash val="solid"/>
                          <a:miter lim="800000"/>
                          <a:headEnd/>
                          <a:tailEnd/>
                        </a:ln>
                      </wps:spPr>
                      <wps:txbx>
                        <w:txbxContent>
                          <w:p w:rsidR="00ED33C3" w:rsidRPr="00D41CCB" w:rsidP="0069355D" w14:textId="30D6D378">
                            <w:pPr>
                              <w:pStyle w:val="EQRTextboxheading"/>
                            </w:pPr>
                            <w:r w:rsidRPr="00D41CCB">
                              <w:t>Resource</w:t>
                            </w:r>
                            <w:r w:rsidR="00450A4A">
                              <w:t>s</w:t>
                            </w:r>
                            <w:r w:rsidRPr="00D41CCB">
                              <w:t xml:space="preserve"> for Activity </w:t>
                            </w:r>
                            <w:r>
                              <w:t>4</w:t>
                            </w:r>
                          </w:p>
                          <w:p w:rsidR="00ED33C3" w:rsidRPr="0069355D" w:rsidP="0069355D" w14:textId="613D0C57">
                            <w:pPr>
                              <w:pStyle w:val="EQRTextboxbody"/>
                            </w:pPr>
                            <w:hyperlink w:anchor="WSp6n04" w:tooltip="Worksheet 6.4. Sampling Plan" w:history="1">
                              <w:r w:rsidRPr="00C51167">
                                <w:rPr>
                                  <w:rStyle w:val="Hyperlink"/>
                                </w:rPr>
                                <w:t>Worksheet 6.4. Sampling Plan</w:t>
                              </w:r>
                            </w:hyperlink>
                          </w:p>
                          <w:p w:rsidR="00ED33C3" w:rsidRPr="0069355D" w:rsidP="0069355D" w14:textId="77777777">
                            <w:pPr>
                              <w:pStyle w:val="EQRTextboxbullet"/>
                            </w:pPr>
                            <w:r w:rsidRPr="0069355D">
                              <w:t xml:space="preserve">Provides a set of questions to assess the sampling plan </w:t>
                            </w:r>
                          </w:p>
                          <w:p w:rsidR="00ED33C3" w:rsidRPr="009D5A03" w:rsidP="0069355D" w14:textId="2B236B20">
                            <w:pPr>
                              <w:pStyle w:val="EQRTextboxbody"/>
                              <w:rPr>
                                <w:color w:val="1CA8B7"/>
                              </w:rPr>
                            </w:pPr>
                            <w:hyperlink w:anchor="AppC" w:tooltip="Appendix C. Sampling Approaches for EQR Data Collection Activities" w:history="1">
                              <w:r w:rsidRPr="009D5A03">
                                <w:rPr>
                                  <w:rStyle w:val="Hyperlink"/>
                                </w:rPr>
                                <w:t xml:space="preserve">Appendix </w:t>
                              </w:r>
                              <w:r w:rsidRPr="009D5A03" w:rsidR="004B2DC4">
                                <w:rPr>
                                  <w:rStyle w:val="Hyperlink"/>
                                </w:rPr>
                                <w:t>C</w:t>
                              </w:r>
                              <w:r w:rsidRPr="009D5A03">
                                <w:rPr>
                                  <w:rStyle w:val="Hyperlink"/>
                                </w:rPr>
                                <w:t>. Sampling Approaches for EQR Data Collection Activities</w:t>
                              </w:r>
                            </w:hyperlink>
                          </w:p>
                          <w:p w:rsidR="00ED33C3" w:rsidRPr="004B37FD" w:rsidP="0069355D" w14:textId="17879A94">
                            <w:pPr>
                              <w:pStyle w:val="EQRTextboxbullet"/>
                            </w:pPr>
                            <w:r w:rsidRPr="0069355D">
                              <w:t>Provides an overview of sampling approaches and guidance for determining sample sizes for EQR data collection activities</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3" o:spid="_x0000_s1186" type="#_x0000_t202" style="width:172.85pt;height:162.45pt;margin-top:35.9pt;margin-left:280.35pt;flip:y;mso-height-percent:0;mso-height-relative:page;mso-width-percent:0;mso-width-relative:page;mso-wrap-distance-bottom:0;mso-wrap-distance-left:9pt;mso-wrap-distance-right:9pt;mso-wrap-distance-top:0;mso-wrap-style:square;position:absolute;rotation:180;visibility:visible;v-text-anchor:top;z-index:251855872" fillcolor="#eef5f8" strokecolor="#a5dad9" strokeweight="2.25pt">
                <v:stroke endcap="round"/>
                <v:textbox style="mso-fit-shape-to-text:t" inset="8.64pt,,8.64pt">
                  <w:txbxContent>
                    <w:p w:rsidR="00ED33C3" w:rsidRPr="00D41CCB" w:rsidP="0069355D" w14:paraId="12171741" w14:textId="30D6D378">
                      <w:pPr>
                        <w:pStyle w:val="EQRTextboxheading"/>
                      </w:pPr>
                      <w:r w:rsidRPr="00D41CCB">
                        <w:t>Resource</w:t>
                      </w:r>
                      <w:r w:rsidR="00450A4A">
                        <w:t>s</w:t>
                      </w:r>
                      <w:r w:rsidRPr="00D41CCB">
                        <w:t xml:space="preserve"> for Activity </w:t>
                      </w:r>
                      <w:r>
                        <w:t>4</w:t>
                      </w:r>
                    </w:p>
                    <w:p w:rsidR="00ED33C3" w:rsidRPr="0069355D" w:rsidP="0069355D" w14:paraId="31467719" w14:textId="613D0C57">
                      <w:pPr>
                        <w:pStyle w:val="EQRTextboxbody"/>
                      </w:pPr>
                      <w:hyperlink w:anchor="WSp6n04" w:tooltip="Worksheet 6.4. Sampling Plan" w:history="1">
                        <w:r w:rsidRPr="00C51167">
                          <w:rPr>
                            <w:rStyle w:val="Hyperlink"/>
                          </w:rPr>
                          <w:t>Worksheet 6.4. Sampling Plan</w:t>
                        </w:r>
                      </w:hyperlink>
                    </w:p>
                    <w:p w:rsidR="00ED33C3" w:rsidRPr="0069355D" w:rsidP="0069355D" w14:paraId="7753CD79" w14:textId="77777777">
                      <w:pPr>
                        <w:pStyle w:val="EQRTextboxbullet"/>
                      </w:pPr>
                      <w:r w:rsidRPr="0069355D">
                        <w:t xml:space="preserve">Provides a set of questions to assess the sampling plan </w:t>
                      </w:r>
                    </w:p>
                    <w:p w:rsidR="00ED33C3" w:rsidRPr="009D5A03" w:rsidP="0069355D" w14:paraId="64FEA187" w14:textId="2B236B20">
                      <w:pPr>
                        <w:pStyle w:val="EQRTextboxbody"/>
                        <w:rPr>
                          <w:color w:val="1CA8B7"/>
                        </w:rPr>
                      </w:pPr>
                      <w:hyperlink w:anchor="AppC" w:tooltip="Appendix C. Sampling Approaches for EQR Data Collection Activities" w:history="1">
                        <w:r w:rsidRPr="009D5A03">
                          <w:rPr>
                            <w:rStyle w:val="Hyperlink"/>
                          </w:rPr>
                          <w:t xml:space="preserve">Appendix </w:t>
                        </w:r>
                        <w:r w:rsidRPr="009D5A03" w:rsidR="004B2DC4">
                          <w:rPr>
                            <w:rStyle w:val="Hyperlink"/>
                          </w:rPr>
                          <w:t>C</w:t>
                        </w:r>
                        <w:r w:rsidRPr="009D5A03">
                          <w:rPr>
                            <w:rStyle w:val="Hyperlink"/>
                          </w:rPr>
                          <w:t>. Sampling Approaches for EQR Data Collection Activities</w:t>
                        </w:r>
                      </w:hyperlink>
                    </w:p>
                    <w:p w:rsidR="00ED33C3" w:rsidRPr="004B37FD" w:rsidP="0069355D" w14:paraId="31F0CAD2" w14:textId="17879A94">
                      <w:pPr>
                        <w:pStyle w:val="EQRTextboxbullet"/>
                      </w:pPr>
                      <w:r w:rsidRPr="0069355D">
                        <w:t>Provides an overview of sampling approaches and guidance for determining sample sizes for EQR data collection activities</w:t>
                      </w:r>
                    </w:p>
                  </w:txbxContent>
                </v:textbox>
                <w10:wrap type="tight"/>
              </v:shape>
            </w:pict>
          </mc:Fallback>
        </mc:AlternateContent>
      </w:r>
      <w:r w:rsidRPr="00990D3B" w:rsidR="007453B5">
        <w:t>The EQRO should develop a sampling plan that represents all eligible enrollees within the MCP</w:t>
      </w:r>
      <w:r w:rsidRPr="00990D3B" w:rsidR="009D5A03">
        <w:t xml:space="preserve">. </w:t>
      </w:r>
      <w:r w:rsidRPr="00990D3B" w:rsidR="007453B5">
        <w:t xml:space="preserve">Refer to </w:t>
      </w:r>
      <w:hyperlink w:anchor="AppC" w:tooltip="Appendix C" w:history="1">
        <w:r w:rsidRPr="00990D3B" w:rsidR="004B2DC4">
          <w:rPr>
            <w:rStyle w:val="Hyperlink"/>
          </w:rPr>
          <w:t>Appendix C</w:t>
        </w:r>
      </w:hyperlink>
      <w:r w:rsidRPr="00990D3B" w:rsidR="007453B5">
        <w:t xml:space="preserve"> for an overview of sampling approaches that can be used for drawing a survey sample. In general, the sampling plan should incorporate information from the five steps described below.</w:t>
      </w:r>
      <w:r w:rsidRPr="00990D3B" w:rsidR="001953D1">
        <w:rPr>
          <w:noProof/>
        </w:rPr>
        <w:t xml:space="preserve"> </w:t>
      </w:r>
    </w:p>
    <w:p w:rsidR="007453B5" w:rsidRPr="00990D3B" w:rsidP="00BF1725" w14:paraId="37A14F4F" w14:textId="60E8A90F">
      <w:pPr>
        <w:pStyle w:val="H3"/>
      </w:pPr>
      <w:bookmarkStart w:id="668" w:name="P6AI4Step1"/>
      <w:bookmarkEnd w:id="668"/>
      <w:r w:rsidRPr="00990D3B">
        <w:t>Step 1: Define the Study Population</w:t>
      </w:r>
    </w:p>
    <w:p w:rsidR="007453B5" w:rsidRPr="00990D3B" w:rsidP="004E5005" w14:paraId="426C669C" w14:textId="3D8EEAC9">
      <w:pPr>
        <w:pStyle w:val="ParagraphContinued"/>
      </w:pPr>
      <w:r w:rsidRPr="00990D3B">
        <w:t xml:space="preserve">In this step, the </w:t>
      </w:r>
      <w:r w:rsidRPr="00990D3B">
        <w:t>EQRO first define</w:t>
      </w:r>
      <w:r w:rsidRPr="00990D3B">
        <w:t>s</w:t>
      </w:r>
      <w:r w:rsidRPr="00990D3B">
        <w:t xml:space="preserve"> the population to be studied (for example, all Medicaid or CHIP beneficiaries enrolled in an MCP or all children with chronic conditions) and then determine which data source(s) to use to construct a list of all units in the study population (this list is referred to as the sampling frame). The sampling frame will be used to draw the sample for data collection. The sampling frame should include all the information necessary to determine whether units in the population are eligible for the study (e.g., dates of Medicaid coverage and MCP enrollment) and any information that would be used for stratification by subgroup (e.g., age, </w:t>
      </w:r>
      <w:r w:rsidRPr="00990D3B" w:rsidR="00A27E6A">
        <w:t>sex</w:t>
      </w:r>
      <w:r w:rsidRPr="00990D3B">
        <w:t>, zip code of residence).</w:t>
      </w:r>
    </w:p>
    <w:p w:rsidR="007453B5" w:rsidRPr="00990D3B" w:rsidP="00BF1725" w14:paraId="53A95180" w14:textId="77777777">
      <w:pPr>
        <w:pStyle w:val="H3"/>
      </w:pPr>
      <w:bookmarkStart w:id="669" w:name="P6AI4Step2"/>
      <w:bookmarkEnd w:id="669"/>
      <w:r w:rsidRPr="00990D3B">
        <w:t>Step 2: Determine the Type of Sampling to be Used</w:t>
      </w:r>
    </w:p>
    <w:p w:rsidR="007453B5" w:rsidRPr="00990D3B" w:rsidP="004E5005" w14:paraId="21A88BBF" w14:textId="77777777">
      <w:pPr>
        <w:pStyle w:val="Paragraph0"/>
      </w:pPr>
      <w:r w:rsidRPr="00990D3B">
        <w:t xml:space="preserve">There are two basic types of sampling methods. </w:t>
      </w:r>
    </w:p>
    <w:p w:rsidR="007453B5" w:rsidRPr="00990D3B" w:rsidP="002D35CF" w14:paraId="5A05D59C" w14:textId="41D160BD">
      <w:pPr>
        <w:pStyle w:val="ListNumber"/>
        <w:numPr>
          <w:ilvl w:val="0"/>
          <w:numId w:val="66"/>
        </w:numPr>
      </w:pPr>
      <w:r w:rsidRPr="00990D3B">
        <w:rPr>
          <w:b/>
        </w:rPr>
        <w:t>Probability (or random) sampling methods</w:t>
      </w:r>
      <w:r w:rsidRPr="00990D3B" w:rsidR="009D5A03">
        <w:t xml:space="preserve">. These methods </w:t>
      </w:r>
      <w:r w:rsidRPr="00990D3B">
        <w:t>leave selection of population units to chance and not to convenience or preference on the part of the individuals conducting the study or otherwise participating in the study. Probability sampling removes systematic bias in the selected sample due to observed and unobserved di</w:t>
      </w:r>
      <w:r w:rsidRPr="00990D3B" w:rsidR="004A54B5">
        <w:t>fferences in the sampling units</w:t>
      </w:r>
      <w:r w:rsidRPr="00990D3B" w:rsidR="009D5A03">
        <w:t>.</w:t>
      </w:r>
    </w:p>
    <w:p w:rsidR="007453B5" w:rsidRPr="00990D3B" w:rsidP="002D35CF" w14:paraId="2CE0967E" w14:textId="5FDB1BE2">
      <w:pPr>
        <w:pStyle w:val="ListNumber"/>
        <w:numPr>
          <w:ilvl w:val="0"/>
          <w:numId w:val="66"/>
        </w:numPr>
      </w:pPr>
      <w:r w:rsidRPr="00990D3B">
        <w:rPr>
          <w:b/>
        </w:rPr>
        <w:t>Non-probability sampling methods</w:t>
      </w:r>
      <w:r w:rsidRPr="00990D3B" w:rsidR="009D5A03">
        <w:rPr>
          <w:b/>
        </w:rPr>
        <w:t xml:space="preserve">. </w:t>
      </w:r>
      <w:r w:rsidRPr="00990D3B" w:rsidR="009D5A03">
        <w:rPr>
          <w:bCs/>
        </w:rPr>
        <w:t>These methods are</w:t>
      </w:r>
      <w:r w:rsidRPr="00990D3B" w:rsidR="009D5A03">
        <w:rPr>
          <w:b/>
        </w:rPr>
        <w:t xml:space="preserve"> </w:t>
      </w:r>
      <w:r w:rsidRPr="00990D3B">
        <w:t>used when subjects are scarce or hard to sample (no sampling frame) and/or the study relies on volunteers. The sample is based on the choice of those administering the survey rather than chance; theref</w:t>
      </w:r>
      <w:r w:rsidRPr="00990D3B" w:rsidR="004A54B5">
        <w:t>ore, some bias can be expected</w:t>
      </w:r>
      <w:r w:rsidRPr="00990D3B" w:rsidR="009D5A03">
        <w:t>.</w:t>
      </w:r>
    </w:p>
    <w:p w:rsidR="007453B5" w:rsidRPr="00990D3B" w:rsidP="004E5005" w14:paraId="3EFA2AED" w14:textId="00E8CFD8">
      <w:pPr>
        <w:pStyle w:val="ParagraphContinued"/>
      </w:pPr>
      <w:r w:rsidRPr="00990D3B">
        <w:t xml:space="preserve">Probability sampling is preferable to non-probability sampling when feasible because it removes systematic bias from the sample. For more information on commonly used types of probability and non-probability sampling methods, see </w:t>
      </w:r>
      <w:hyperlink w:anchor="AppC" w:tooltip="Appendix C" w:history="1">
        <w:r w:rsidRPr="00990D3B" w:rsidR="004B2DC4">
          <w:rPr>
            <w:rStyle w:val="Hyperlink"/>
          </w:rPr>
          <w:t>Appendix C</w:t>
        </w:r>
      </w:hyperlink>
      <w:r w:rsidRPr="00990D3B">
        <w:t>.</w:t>
      </w:r>
    </w:p>
    <w:p w:rsidR="007453B5" w:rsidRPr="00990D3B" w:rsidP="00BF1725" w14:paraId="1E4DA70F" w14:textId="77777777">
      <w:pPr>
        <w:pStyle w:val="H3"/>
      </w:pPr>
      <w:bookmarkStart w:id="670" w:name="P6AI4Step3"/>
      <w:bookmarkEnd w:id="670"/>
      <w:r w:rsidRPr="00990D3B">
        <w:t>Step 3: Determine the Number of Units to Sample</w:t>
      </w:r>
    </w:p>
    <w:p w:rsidR="007453B5" w:rsidRPr="00990D3B" w:rsidP="004E5005" w14:paraId="240E9F93" w14:textId="77777777">
      <w:pPr>
        <w:pStyle w:val="ParagraphContinued"/>
      </w:pPr>
      <w:r w:rsidRPr="00990D3B">
        <w:t xml:space="preserve">The number of units selected in the sample depends on several factors, including the level of precision required to achieve statistically valid results, the expected number of respondents (i.e., the response rate), and other constraints on the financial and personnel resources available to administer the survey. Samples with a larger number of units will provide a higher level of </w:t>
      </w:r>
      <w:r w:rsidRPr="00990D3B">
        <w:t>precision, but</w:t>
      </w:r>
      <w:r w:rsidRPr="00990D3B">
        <w:t xml:space="preserve"> may be more expensive to collect data from and present more of a burden on financial and personnel resources. </w:t>
      </w:r>
    </w:p>
    <w:p w:rsidR="007453B5" w:rsidRPr="00990D3B" w:rsidP="004E5005" w14:paraId="600C9BEC" w14:textId="5829AF2F">
      <w:pPr>
        <w:pStyle w:val="Paragraph0"/>
      </w:pPr>
      <w:r w:rsidRPr="00990D3B">
        <w:t xml:space="preserve">For the CAHPS® Medicaid Health Plan Survey, </w:t>
      </w:r>
      <w:r w:rsidRPr="00990D3B" w:rsidR="00E3044A">
        <w:t xml:space="preserve">the target number of completed surveys is 411 per </w:t>
      </w:r>
      <w:r w:rsidRPr="00990D3B" w:rsidR="00497545">
        <w:t>MCP</w:t>
      </w:r>
      <w:r w:rsidRPr="00990D3B" w:rsidR="00E3044A">
        <w:t xml:space="preserve">. The recommended initial sample sizes are 1,350 for the Medicaid Adult Version and 1,650 for the Medicaid Child </w:t>
      </w:r>
      <w:r w:rsidRPr="00990D3B" w:rsidR="00414D97">
        <w:t xml:space="preserve">Version. </w:t>
      </w:r>
      <w:r w:rsidRPr="00990D3B">
        <w:t xml:space="preserve">For other surveys, the EQRO should consider contacting a sampling statistician to conduct a statistical power analysis to help determine the optimal number of units to sample to meet precision targets while accounting for financial and personnel burden. </w:t>
      </w:r>
    </w:p>
    <w:p w:rsidR="007453B5" w:rsidRPr="00990D3B" w:rsidP="004E5005" w14:paraId="5EC69E8D" w14:textId="212A3173">
      <w:pPr>
        <w:pStyle w:val="Paragraph0"/>
        <w:rPr>
          <w:color w:val="000000" w:themeColor="text1"/>
        </w:rPr>
      </w:pPr>
      <w:r w:rsidRPr="00990D3B">
        <w:rPr>
          <w:color w:val="000000" w:themeColor="text1"/>
        </w:rPr>
        <w:t xml:space="preserve">Given the interdependence between sample size, response rate, and precision, a goal is to achieve the highest response rate possible. See </w:t>
      </w:r>
      <w:hyperlink w:anchor="P6AI5" w:tooltip="Activity I.5" w:history="1">
        <w:r w:rsidRPr="00990D3B">
          <w:rPr>
            <w:rStyle w:val="Hyperlink"/>
            <w:color w:val="000000" w:themeColor="text1"/>
          </w:rPr>
          <w:t xml:space="preserve">Activity </w:t>
        </w:r>
        <w:r w:rsidRPr="00990D3B" w:rsidR="001903C4">
          <w:rPr>
            <w:rStyle w:val="Hyperlink"/>
            <w:color w:val="000000" w:themeColor="text1"/>
          </w:rPr>
          <w:t>I.</w:t>
        </w:r>
        <w:r w:rsidRPr="00990D3B">
          <w:rPr>
            <w:rStyle w:val="Hyperlink"/>
            <w:color w:val="000000" w:themeColor="text1"/>
          </w:rPr>
          <w:t>5</w:t>
        </w:r>
      </w:hyperlink>
      <w:r w:rsidRPr="00990D3B">
        <w:rPr>
          <w:color w:val="000000" w:themeColor="text1"/>
        </w:rPr>
        <w:t xml:space="preserve"> for strategies to maximize survey response.</w:t>
      </w:r>
    </w:p>
    <w:p w:rsidR="007453B5" w:rsidRPr="00990D3B" w:rsidP="00BF1725" w14:paraId="04BD5DB2" w14:textId="77777777">
      <w:pPr>
        <w:pStyle w:val="H3"/>
      </w:pPr>
      <w:bookmarkStart w:id="671" w:name="P6AI4Step4"/>
      <w:bookmarkEnd w:id="671"/>
      <w:r w:rsidRPr="00990D3B">
        <w:t>Step 4: Select the Sample</w:t>
      </w:r>
    </w:p>
    <w:p w:rsidR="000204AC" w:rsidRPr="00990D3B" w:rsidP="004E5005" w14:paraId="700342B2" w14:textId="61389F6B">
      <w:pPr>
        <w:pStyle w:val="ParagraphContinued"/>
      </w:pPr>
      <w:r w:rsidRPr="00990D3B">
        <w:t xml:space="preserve">In this step, the EQRO determines how the sample will be selected. For probability sampling methods, the sample can be </w:t>
      </w:r>
      <w:r w:rsidRPr="00990D3B" w:rsidR="00B14A9C">
        <w:t>drawn</w:t>
      </w:r>
      <w:r w:rsidRPr="00990D3B">
        <w:t xml:space="preserve"> using statistical software packages. For non-probability samples, the sample is selected by the EQRO based on convenience or perceived representativeness of the study population. The sampling plan should clearly explain the sampling methods, and describe the procedures used to minimize bias. For more information on selecting the sample, see </w:t>
      </w:r>
      <w:hyperlink w:anchor="AppC" w:tooltip="Appendix C" w:history="1">
        <w:r w:rsidRPr="00990D3B" w:rsidR="004B2DC4">
          <w:rPr>
            <w:rStyle w:val="Hyperlink"/>
          </w:rPr>
          <w:t>Appendix C</w:t>
        </w:r>
      </w:hyperlink>
      <w:r w:rsidRPr="00990D3B">
        <w:t>.</w:t>
      </w:r>
    </w:p>
    <w:p w:rsidR="001E494B" w:rsidRPr="00990D3B" w:rsidP="00BF1725" w14:paraId="5308503B" w14:textId="4D785DDB">
      <w:pPr>
        <w:pStyle w:val="H2"/>
      </w:pPr>
      <w:bookmarkStart w:id="672" w:name="P6AI5"/>
      <w:bookmarkStart w:id="673" w:name="_Toc14777720"/>
      <w:bookmarkStart w:id="674" w:name="_Toc183005618"/>
      <w:bookmarkStart w:id="675" w:name="_Toc201751388"/>
      <w:r w:rsidRPr="00990D3B">
        <w:t>A</w:t>
      </w:r>
      <w:r w:rsidRPr="00990D3B" w:rsidR="006463DD">
        <w:t>ctivity</w:t>
      </w:r>
      <w:r w:rsidRPr="00990D3B">
        <w:t xml:space="preserve"> </w:t>
      </w:r>
      <w:r w:rsidRPr="00990D3B" w:rsidR="00E33E1D">
        <w:t>I.</w:t>
      </w:r>
      <w:r w:rsidRPr="00990D3B">
        <w:t>5</w:t>
      </w:r>
      <w:bookmarkEnd w:id="672"/>
      <w:r w:rsidRPr="00990D3B">
        <w:t>: D</w:t>
      </w:r>
      <w:r w:rsidRPr="00990D3B" w:rsidR="006463DD">
        <w:t xml:space="preserve">evelop </w:t>
      </w:r>
      <w:r w:rsidRPr="00990D3B" w:rsidR="00D8425E">
        <w:t>a</w:t>
      </w:r>
      <w:r w:rsidRPr="00990D3B">
        <w:t xml:space="preserve"> S</w:t>
      </w:r>
      <w:r w:rsidRPr="00990D3B" w:rsidR="006463DD">
        <w:t xml:space="preserve">trategy to Maximize </w:t>
      </w:r>
      <w:r w:rsidRPr="00990D3B">
        <w:t>R</w:t>
      </w:r>
      <w:r w:rsidRPr="00990D3B" w:rsidR="006463DD">
        <w:t>esponse</w:t>
      </w:r>
      <w:bookmarkEnd w:id="673"/>
      <w:bookmarkEnd w:id="674"/>
      <w:bookmarkEnd w:id="675"/>
    </w:p>
    <w:p w:rsidR="00876237" w:rsidRPr="00990D3B" w:rsidP="00091C17" w14:paraId="63E4E5B2" w14:textId="07041D4C">
      <w:pPr>
        <w:pStyle w:val="ParagraphContinued"/>
      </w:pPr>
      <w:r w:rsidRPr="00990D3B">
        <w:rPr>
          <w:noProof/>
        </w:rPr>
        <mc:AlternateContent>
          <mc:Choice Requires="wps">
            <w:drawing>
              <wp:anchor distT="0" distB="0" distL="114300" distR="114300" simplePos="0" relativeHeight="251860992" behindDoc="0" locked="0" layoutInCell="1" allowOverlap="1">
                <wp:simplePos x="0" y="0"/>
                <wp:positionH relativeFrom="column">
                  <wp:posOffset>3702685</wp:posOffset>
                </wp:positionH>
                <wp:positionV relativeFrom="paragraph">
                  <wp:posOffset>202565</wp:posOffset>
                </wp:positionV>
                <wp:extent cx="2193925" cy="297815"/>
                <wp:effectExtent l="19050" t="19050" r="0" b="7620"/>
                <wp:wrapTight wrapText="bothSides">
                  <wp:wrapPolygon>
                    <wp:start x="21788" y="22985"/>
                    <wp:lineTo x="21788" y="-554"/>
                    <wp:lineTo x="31" y="-554"/>
                    <wp:lineTo x="31" y="22985"/>
                    <wp:lineTo x="21788" y="22985"/>
                  </wp:wrapPolygon>
                </wp:wrapTight>
                <wp:docPr id="1890678418" name="Text Box 9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6847EB" w:rsidP="0069355D" w14:textId="38E9AAD7">
                            <w:pPr>
                              <w:pStyle w:val="EQRWORKSHEETText"/>
                              <w:rPr>
                                <w:color w:val="006068" w:themeColor="accent1" w:themeShade="BF"/>
                              </w:rPr>
                            </w:pPr>
                            <w:hyperlink w:anchor="WSp6n05" w:tooltip="WORKSHEET 6.5" w:history="1">
                              <w:r w:rsidRPr="006847EB">
                                <w:rPr>
                                  <w:color w:val="006068" w:themeColor="accent1" w:themeShade="BF"/>
                                </w:rPr>
                                <w:t>WORKSHEET 6.5</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0" o:spid="_x0000_s1187" type="#_x0000_t202" style="width:172.75pt;height:23.45pt;margin-top:15.95pt;margin-left:291.55pt;flip:y;mso-height-percent:0;mso-height-relative:page;mso-width-percent:0;mso-width-relative:page;mso-wrap-distance-bottom:0;mso-wrap-distance-left:9pt;mso-wrap-distance-right:9pt;mso-wrap-distance-top:0;mso-wrap-style:square;position:absolute;rotation:180;visibility:visible;v-text-anchor:top;z-index:251862016" fillcolor="#eef5f8" strokecolor="#a5dad9" strokeweight="2.25pt">
                <v:stroke endcap="round"/>
                <v:textbox style="mso-fit-shape-to-text:t" inset="8.64pt,,8.64pt">
                  <w:txbxContent>
                    <w:p w:rsidR="00ED33C3" w:rsidRPr="006847EB" w:rsidP="0069355D" w14:paraId="57958E5F" w14:textId="38E9AAD7">
                      <w:pPr>
                        <w:pStyle w:val="EQRWORKSHEETText"/>
                        <w:rPr>
                          <w:color w:val="006068" w:themeColor="accent1" w:themeShade="BF"/>
                        </w:rPr>
                      </w:pPr>
                      <w:hyperlink w:anchor="WSp6n05" w:tooltip="WORKSHEET 6.5" w:history="1">
                        <w:r w:rsidRPr="006847EB">
                          <w:rPr>
                            <w:color w:val="006068" w:themeColor="accent1" w:themeShade="BF"/>
                          </w:rPr>
                          <w:t>WORKSHEET 6.5</w:t>
                        </w:r>
                      </w:hyperlink>
                    </w:p>
                  </w:txbxContent>
                </v:textbox>
                <w10:wrap type="tight"/>
              </v:shape>
            </w:pict>
          </mc:Fallback>
        </mc:AlternateContent>
      </w:r>
      <w:r w:rsidRPr="00990D3B">
        <w:rPr>
          <w:noProof/>
        </w:rPr>
        <mc:AlternateContent>
          <mc:Choice Requires="wps">
            <w:drawing>
              <wp:anchor distT="0" distB="0" distL="114300" distR="114300" simplePos="0" relativeHeight="251858944" behindDoc="0" locked="0" layoutInCell="1" allowOverlap="1">
                <wp:simplePos x="0" y="0"/>
                <wp:positionH relativeFrom="column">
                  <wp:posOffset>3702878</wp:posOffset>
                </wp:positionH>
                <wp:positionV relativeFrom="paragraph">
                  <wp:posOffset>563468</wp:posOffset>
                </wp:positionV>
                <wp:extent cx="2195195" cy="1453515"/>
                <wp:effectExtent l="19050" t="19050" r="0" b="0"/>
                <wp:wrapTight wrapText="bothSides">
                  <wp:wrapPolygon>
                    <wp:start x="21787" y="21883"/>
                    <wp:lineTo x="21787" y="76"/>
                    <wp:lineTo x="44" y="76"/>
                    <wp:lineTo x="44" y="21883"/>
                    <wp:lineTo x="21787" y="21883"/>
                  </wp:wrapPolygon>
                </wp:wrapTight>
                <wp:docPr id="1563961934" name="Text Box 9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453515"/>
                        </a:xfrm>
                        <a:prstGeom prst="rect">
                          <a:avLst/>
                        </a:prstGeom>
                        <a:solidFill>
                          <a:srgbClr val="EEF5F8"/>
                        </a:solidFill>
                        <a:ln w="28575" cap="rnd">
                          <a:solidFill>
                            <a:srgbClr val="A5DAD9"/>
                          </a:solidFill>
                          <a:prstDash val="solid"/>
                          <a:miter lim="800000"/>
                          <a:headEnd/>
                          <a:tailEnd/>
                        </a:ln>
                      </wps:spPr>
                      <wps:txbx>
                        <w:txbxContent>
                          <w:p w:rsidR="00ED33C3" w:rsidRPr="00D41CCB" w:rsidP="0069355D" w14:textId="126AFB71">
                            <w:pPr>
                              <w:pStyle w:val="EQRTextboxheading"/>
                            </w:pPr>
                            <w:r w:rsidRPr="00D41CCB">
                              <w:t xml:space="preserve">Resource for Activity </w:t>
                            </w:r>
                            <w:r>
                              <w:t>5</w:t>
                            </w:r>
                          </w:p>
                          <w:p w:rsidR="00ED33C3" w:rsidP="00091C17" w14:textId="10666BFC">
                            <w:pPr>
                              <w:pStyle w:val="EQRTextboxbody"/>
                            </w:pPr>
                            <w:hyperlink w:anchor="WSp6n05" w:tooltip="Worksheet 6.5. Strategy to Maximize Response" w:history="1">
                              <w:r w:rsidRPr="00DD3524">
                                <w:rPr>
                                  <w:rStyle w:val="Hyperlink"/>
                                </w:rPr>
                                <w:t>Worksheet 6.5. Strategy to Maximize Response</w:t>
                              </w:r>
                            </w:hyperlink>
                          </w:p>
                          <w:p w:rsidR="00ED33C3" w:rsidRPr="004B37FD" w:rsidP="00091C17" w14:textId="17FC0FA5">
                            <w:pPr>
                              <w:pStyle w:val="EQRTextboxbullet"/>
                            </w:pPr>
                            <w:r>
                              <w:t>Provides a set of questions to assess the strategy for locating sample members and specific data needed to administer the survey</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1" o:spid="_x0000_s1188" type="#_x0000_t202" style="width:172.85pt;height:114.45pt;margin-top:44.35pt;margin-left:291.55pt;flip:y;mso-height-percent:0;mso-height-relative:page;mso-width-percent:0;mso-width-relative:page;mso-wrap-distance-bottom:0;mso-wrap-distance-left:9pt;mso-wrap-distance-right:9pt;mso-wrap-distance-top:0;mso-wrap-style:square;position:absolute;rotation:180;visibility:visible;v-text-anchor:top;z-index:251859968" fillcolor="#eef5f8" strokecolor="#a5dad9" strokeweight="2.25pt">
                <v:stroke endcap="round"/>
                <v:textbox style="mso-fit-shape-to-text:t" inset="8.64pt,,8.64pt">
                  <w:txbxContent>
                    <w:p w:rsidR="00ED33C3" w:rsidRPr="00D41CCB" w:rsidP="0069355D" w14:paraId="30144256" w14:textId="126AFB71">
                      <w:pPr>
                        <w:pStyle w:val="EQRTextboxheading"/>
                      </w:pPr>
                      <w:r w:rsidRPr="00D41CCB">
                        <w:t xml:space="preserve">Resource for Activity </w:t>
                      </w:r>
                      <w:r>
                        <w:t>5</w:t>
                      </w:r>
                    </w:p>
                    <w:p w:rsidR="00ED33C3" w:rsidP="00091C17" w14:paraId="639E9D40" w14:textId="10666BFC">
                      <w:pPr>
                        <w:pStyle w:val="EQRTextboxbody"/>
                      </w:pPr>
                      <w:hyperlink w:anchor="WSp6n05" w:tooltip="Worksheet 6.5. Strategy to Maximize Response" w:history="1">
                        <w:r w:rsidRPr="00DD3524">
                          <w:rPr>
                            <w:rStyle w:val="Hyperlink"/>
                          </w:rPr>
                          <w:t>Worksheet 6.5. Strategy to Maximize Response</w:t>
                        </w:r>
                      </w:hyperlink>
                    </w:p>
                    <w:p w:rsidR="00ED33C3" w:rsidRPr="004B37FD" w:rsidP="00091C17" w14:paraId="7638DF7D" w14:textId="17FC0FA5">
                      <w:pPr>
                        <w:pStyle w:val="EQRTextboxbullet"/>
                      </w:pPr>
                      <w:r>
                        <w:t>Provides a set of questions to assess the strategy for locating sample members and specific data needed to administer the survey</w:t>
                      </w:r>
                    </w:p>
                  </w:txbxContent>
                </v:textbox>
                <w10:wrap type="tight"/>
              </v:shape>
            </w:pict>
          </mc:Fallback>
        </mc:AlternateContent>
      </w:r>
      <w:r w:rsidRPr="00990D3B" w:rsidR="00876237">
        <w:t xml:space="preserve">The EQRO should develop a strategy for maximizing survey response that includes a plan for both locating and </w:t>
      </w:r>
      <w:r w:rsidRPr="00990D3B" w:rsidR="00786B06">
        <w:t>contacting the sample members.</w:t>
      </w:r>
    </w:p>
    <w:p w:rsidR="00876237" w:rsidRPr="00990D3B" w:rsidP="005C3FDB" w14:paraId="5F4CBE78" w14:textId="064CECAA">
      <w:pPr>
        <w:pStyle w:val="H3"/>
      </w:pPr>
      <w:bookmarkStart w:id="676" w:name="P6AI5Step1"/>
      <w:bookmarkEnd w:id="676"/>
      <w:r w:rsidRPr="00990D3B">
        <w:t xml:space="preserve">Step 1: Maximize Completeness of Sample Information </w:t>
      </w:r>
      <w:r w:rsidRPr="00990D3B" w:rsidR="005C47BB">
        <w:t xml:space="preserve">Before </w:t>
      </w:r>
      <w:r w:rsidRPr="00990D3B">
        <w:t xml:space="preserve">Survey Launch </w:t>
      </w:r>
    </w:p>
    <w:p w:rsidR="00876237" w:rsidRPr="00990D3B" w:rsidP="004E5005" w14:paraId="1E33F583" w14:textId="62F08921">
      <w:pPr>
        <w:pStyle w:val="ParagraphContinued"/>
      </w:pPr>
      <w:r w:rsidRPr="00990D3B">
        <w:t>Before the survey is implemented, the EQRO identif</w:t>
      </w:r>
      <w:r w:rsidRPr="00990D3B" w:rsidR="00B80BB5">
        <w:t xml:space="preserve">ies </w:t>
      </w:r>
      <w:r w:rsidRPr="00990D3B">
        <w:t>the specific data it needs to locate sample members and develop a strategy for ensuring the locating information is complete. The following information is frequently used to locate sampl</w:t>
      </w:r>
      <w:r w:rsidRPr="00990D3B" w:rsidR="00696C1E">
        <w:t xml:space="preserve">e members in Medicaid </w:t>
      </w:r>
      <w:r w:rsidRPr="00990D3B" w:rsidR="00581013">
        <w:t xml:space="preserve">and CHIP </w:t>
      </w:r>
      <w:r w:rsidRPr="00990D3B" w:rsidR="00696C1E">
        <w:t>surveys:</w:t>
      </w:r>
    </w:p>
    <w:p w:rsidR="00876237" w:rsidRPr="00990D3B" w:rsidP="00FB7CAF" w14:paraId="4A5E55FE" w14:textId="77F3BDF1">
      <w:pPr>
        <w:pStyle w:val="EQRBulletBLUE"/>
      </w:pPr>
      <w:r w:rsidRPr="00990D3B">
        <w:t>First and last name</w:t>
      </w:r>
      <w:r w:rsidRPr="00990D3B" w:rsidR="004C03F3">
        <w:t>.</w:t>
      </w:r>
    </w:p>
    <w:p w:rsidR="00876237" w:rsidRPr="00990D3B" w:rsidP="00FB7CAF" w14:paraId="2015BBFB" w14:textId="5CCAC58E">
      <w:pPr>
        <w:pStyle w:val="EQRBulletBLUE"/>
      </w:pPr>
      <w:r w:rsidRPr="00990D3B">
        <w:t>Address</w:t>
      </w:r>
      <w:r w:rsidRPr="00990D3B" w:rsidR="004C03F3">
        <w:t>.</w:t>
      </w:r>
    </w:p>
    <w:p w:rsidR="00876237" w:rsidRPr="00990D3B" w:rsidP="00FB7CAF" w14:paraId="7CD94354" w14:textId="61B71390">
      <w:pPr>
        <w:pStyle w:val="EQRBulletBLUE"/>
      </w:pPr>
      <w:r w:rsidRPr="00990D3B">
        <w:t>Home and cell phone numbers</w:t>
      </w:r>
      <w:r w:rsidRPr="00990D3B" w:rsidR="004C03F3">
        <w:t>.</w:t>
      </w:r>
    </w:p>
    <w:p w:rsidR="00876237" w:rsidRPr="00990D3B" w:rsidP="00FB7CAF" w14:paraId="35F8E1BB" w14:textId="47765A8C">
      <w:pPr>
        <w:pStyle w:val="EQRBulletBLUE"/>
      </w:pPr>
      <w:r w:rsidRPr="00990D3B">
        <w:t>E-mail address</w:t>
      </w:r>
      <w:r w:rsidRPr="00990D3B" w:rsidR="004C03F3">
        <w:t>.</w:t>
      </w:r>
      <w:r w:rsidRPr="00990D3B">
        <w:t xml:space="preserve"> </w:t>
      </w:r>
    </w:p>
    <w:p w:rsidR="00876237" w:rsidRPr="00990D3B" w:rsidP="00FB7CAF" w14:paraId="27F89249" w14:textId="227C8188">
      <w:pPr>
        <w:pStyle w:val="EQRBulletBLUE"/>
      </w:pPr>
      <w:r w:rsidRPr="00990D3B">
        <w:t>Date of birth</w:t>
      </w:r>
      <w:r w:rsidRPr="00990D3B" w:rsidR="004C03F3">
        <w:t>.</w:t>
      </w:r>
      <w:r w:rsidRPr="00990D3B">
        <w:t xml:space="preserve"> </w:t>
      </w:r>
    </w:p>
    <w:p w:rsidR="00876237" w:rsidRPr="00990D3B" w:rsidP="00FB7CAF" w14:paraId="0610BBB6" w14:textId="1D81FBA0">
      <w:pPr>
        <w:pStyle w:val="EQRBulletBLUE"/>
      </w:pPr>
      <w:r w:rsidRPr="00990D3B">
        <w:t>Primary language</w:t>
      </w:r>
      <w:r w:rsidRPr="00990D3B" w:rsidR="004C03F3">
        <w:t>.</w:t>
      </w:r>
    </w:p>
    <w:p w:rsidR="00876237" w:rsidRPr="00990D3B" w:rsidP="00FB7CAF" w14:paraId="4AFDE9A4" w14:textId="1E9EEBF7">
      <w:pPr>
        <w:pStyle w:val="EQRBulletBLUE"/>
      </w:pPr>
      <w:r w:rsidRPr="00990D3B">
        <w:t>Preferred language</w:t>
      </w:r>
      <w:r w:rsidRPr="00990D3B" w:rsidR="004C03F3">
        <w:t>.</w:t>
      </w:r>
    </w:p>
    <w:p w:rsidR="00876237" w:rsidRPr="00990D3B" w:rsidP="00FB7CAF" w14:paraId="09F91F15" w14:textId="51CF171B">
      <w:pPr>
        <w:pStyle w:val="EQRBulletBLUE"/>
      </w:pPr>
      <w:r w:rsidRPr="00990D3B">
        <w:t>Name of MCP</w:t>
      </w:r>
      <w:r w:rsidRPr="00990D3B" w:rsidR="004C03F3">
        <w:t>.</w:t>
      </w:r>
      <w:r w:rsidRPr="00990D3B">
        <w:t xml:space="preserve"> </w:t>
      </w:r>
    </w:p>
    <w:p w:rsidR="00876237" w:rsidRPr="00990D3B" w:rsidP="00FB7CAF" w14:paraId="352A2EB0" w14:textId="10B63F61">
      <w:pPr>
        <w:pStyle w:val="EQRBulletBLUE"/>
      </w:pPr>
      <w:r w:rsidRPr="00990D3B">
        <w:t>Length of enrollment</w:t>
      </w:r>
      <w:r w:rsidRPr="00990D3B" w:rsidR="004C03F3">
        <w:t>.</w:t>
      </w:r>
    </w:p>
    <w:p w:rsidR="00876237" w:rsidRPr="00990D3B" w:rsidP="004E5005" w14:paraId="2E4DE969" w14:textId="036D6494">
      <w:pPr>
        <w:pStyle w:val="ParagraphContinued"/>
      </w:pPr>
      <w:r w:rsidRPr="00990D3B">
        <w:t xml:space="preserve">These data elements should be used for the purpose of contacting sample members and should be kept separate from the survey data to protect the confidentiality of the sample members’ survey responses and </w:t>
      </w:r>
      <w:r w:rsidRPr="00990D3B">
        <w:t>protected</w:t>
      </w:r>
      <w:r w:rsidRPr="00990D3B">
        <w:t xml:space="preserve"> health information (PHI). The survey data provided by the sample member should be identified by a unique, numeric identification number, not by name or </w:t>
      </w:r>
      <w:r w:rsidRPr="00990D3B">
        <w:t>other</w:t>
      </w:r>
      <w:r w:rsidRPr="00990D3B">
        <w:t xml:space="preserve"> identifying characteristic.</w:t>
      </w:r>
    </w:p>
    <w:p w:rsidR="00876237" w:rsidRPr="00990D3B" w:rsidP="004E5005" w14:paraId="7E0021F4" w14:textId="1DCF246D">
      <w:pPr>
        <w:pStyle w:val="Paragraph0"/>
      </w:pPr>
      <w:r w:rsidRPr="00990D3B">
        <w:t>The EQRO should collect complete contact information and consider that some information may be verified through the state’s eligibility files or the MCPs’ enrollee files. The EQRO may also need to establish a data use agreement with the state or MCP for the protection and handling of PHI. The EQRO should also expect missing data in the state data files and document its plans to locate and contact respondents, including sending names in the sample file to a telephone number look-up vendor or using a change-of-address database vendor.</w:t>
      </w:r>
    </w:p>
    <w:p w:rsidR="00876237" w:rsidRPr="00990D3B" w:rsidP="005C3FDB" w14:paraId="66239269" w14:textId="2F8D151E">
      <w:pPr>
        <w:pStyle w:val="H3"/>
      </w:pPr>
      <w:bookmarkStart w:id="677" w:name="P6AI5Step2"/>
      <w:bookmarkEnd w:id="677"/>
      <w:r w:rsidRPr="00990D3B">
        <w:t>Step 2: Design a Data Collection Strategy t</w:t>
      </w:r>
      <w:r w:rsidRPr="00990D3B" w:rsidR="00FE2E58">
        <w:t>hat Maximizes Response</w:t>
      </w:r>
    </w:p>
    <w:p w:rsidR="009D5A03" w:rsidRPr="00990D3B" w:rsidP="004E5005" w14:paraId="215CE85A" w14:textId="77777777">
      <w:pPr>
        <w:pStyle w:val="ParagraphContinued"/>
      </w:pPr>
      <w:r w:rsidRPr="00990D3B">
        <w:t>The EQRO should design a data collection strategy that maximizes response and fits within th</w:t>
      </w:r>
      <w:r w:rsidRPr="00990D3B" w:rsidR="009F3A32">
        <w:t>e available budget and schedule</w:t>
      </w:r>
      <w:r w:rsidRPr="00990D3B" w:rsidR="00AD55A0">
        <w:t>.</w:t>
      </w:r>
      <w:r w:rsidRPr="00990D3B" w:rsidR="009F3A32">
        <w:t xml:space="preserve"> </w:t>
      </w:r>
      <w:r w:rsidRPr="00990D3B">
        <w:t>The data collection strategies described below represent best practices in the field of survey research and are frequently used to maximize survey response.</w:t>
      </w:r>
      <w:r w:rsidRPr="00990D3B" w:rsidR="003162DF">
        <w:rPr>
          <w:rFonts w:ascii="ZWAdobeF" w:hAnsi="ZWAdobeF" w:cs="ZWAdobeF"/>
          <w:sz w:val="2"/>
          <w:szCs w:val="2"/>
        </w:rPr>
        <w:t>71F</w:t>
      </w:r>
      <w:r>
        <w:rPr>
          <w:rStyle w:val="FootnoteReference"/>
        </w:rPr>
        <w:footnoteReference w:id="80"/>
      </w:r>
      <w:r w:rsidRPr="00990D3B" w:rsidR="007D63E6">
        <w:t xml:space="preserve"> </w:t>
      </w:r>
    </w:p>
    <w:p w:rsidR="001903C4" w:rsidRPr="00990D3B" w:rsidP="004E5005" w14:paraId="6179AE67" w14:textId="587A9DB5">
      <w:pPr>
        <w:pStyle w:val="ParagraphContinued"/>
      </w:pPr>
      <w:r w:rsidRPr="00990D3B">
        <w:t xml:space="preserve">The EQRO should design a data collection plan that uses some or </w:t>
      </w:r>
      <w:r w:rsidRPr="00990D3B">
        <w:t>all of</w:t>
      </w:r>
      <w:r w:rsidRPr="00990D3B">
        <w:t xml:space="preserve"> the </w:t>
      </w:r>
      <w:r w:rsidRPr="00990D3B" w:rsidR="009D5A03">
        <w:t>following strategies</w:t>
      </w:r>
      <w:r w:rsidRPr="00990D3B">
        <w:t>:</w:t>
      </w:r>
    </w:p>
    <w:p w:rsidR="00876237" w:rsidRPr="00990D3B" w:rsidP="00FB7CAF" w14:paraId="1A669ECD" w14:textId="058CBC58">
      <w:pPr>
        <w:pStyle w:val="EQRBulletBLUE"/>
      </w:pPr>
      <w:r w:rsidRPr="00990D3B">
        <w:rPr>
          <w:b/>
        </w:rPr>
        <w:t>Advance letter.</w:t>
      </w:r>
      <w:r w:rsidRPr="00990D3B">
        <w:t xml:space="preserve"> Including an introductory letter before starting data collection lends legitimacy to the survey. A good letter emphasizes survey sponsorship (e.g., on state government letterhead signed by the </w:t>
      </w:r>
      <w:r w:rsidRPr="00990D3B" w:rsidR="00364658">
        <w:t xml:space="preserve">program </w:t>
      </w:r>
      <w:r w:rsidRPr="00990D3B">
        <w:t>director), describes the purpose of the survey, includes a statement about sample member confidentiality, provides information on how the sample member was selected for the survey, and describes benefits to the sample member as a result of participation (and emphasizes there is no penalty for not responding). In addition, the letter should be personalized and addr</w:t>
      </w:r>
      <w:r w:rsidRPr="00990D3B" w:rsidR="004A54B5">
        <w:t>essed to the respondent by name</w:t>
      </w:r>
      <w:r w:rsidRPr="00990D3B" w:rsidR="00042260">
        <w:t>.</w:t>
      </w:r>
    </w:p>
    <w:p w:rsidR="00876237" w:rsidRPr="00990D3B" w:rsidP="00FB7CAF" w14:paraId="6DE6DD56" w14:textId="5289C56C">
      <w:pPr>
        <w:pStyle w:val="EQRBulletBLUE"/>
      </w:pPr>
      <w:r w:rsidRPr="00990D3B">
        <w:rPr>
          <w:b/>
        </w:rPr>
        <w:t xml:space="preserve">Multiple and varied call attempts. </w:t>
      </w:r>
      <w:r w:rsidRPr="00990D3B">
        <w:t>Best practices to increase survey response include the use of varied contact attempts. This can include multiple contact attempts at different times of the day, mailing a reminder postcard or second survey if conducting a self-administered paper survey, making a follow-up phone call to non-respondents to a mail survey, or conducting repeat calls in a telephone survey. The EQRO should track and follow up on the number of respondents that could not be</w:t>
      </w:r>
      <w:r w:rsidRPr="00990D3B" w:rsidR="004A54B5">
        <w:t xml:space="preserve"> contacted or failed to respond</w:t>
      </w:r>
      <w:r w:rsidRPr="00990D3B" w:rsidR="00042260">
        <w:t>.</w:t>
      </w:r>
    </w:p>
    <w:p w:rsidR="00876237" w:rsidRPr="00990D3B" w:rsidP="00FB7CAF" w14:paraId="7ECEE663" w14:textId="32EDE844">
      <w:pPr>
        <w:pStyle w:val="EQRBulletBLUE"/>
      </w:pPr>
      <w:r w:rsidRPr="00990D3B">
        <w:rPr>
          <w:b/>
        </w:rPr>
        <w:t xml:space="preserve">Multi-mode surveys. </w:t>
      </w:r>
      <w:r w:rsidRPr="00990D3B">
        <w:t>Combining two or more modes of data collection (such as mail and phone) in a single survey effort can lead to higher response rates than single-mode surveys. This is because multi-mode surveys may:</w:t>
      </w:r>
    </w:p>
    <w:p w:rsidR="00861221" w:rsidRPr="00990D3B" w:rsidP="00411ED7" w14:paraId="0A0218EE" w14:textId="3AAA142D">
      <w:pPr>
        <w:pStyle w:val="EQRBulletBLUE2ndlevel"/>
      </w:pPr>
      <w:r w:rsidRPr="00990D3B">
        <w:t>Lower costs by beginning data collection in a cost-effective mode</w:t>
      </w:r>
      <w:r w:rsidRPr="00990D3B" w:rsidR="004C03F3">
        <w:t>.</w:t>
      </w:r>
    </w:p>
    <w:p w:rsidR="00861221" w:rsidRPr="00990D3B" w:rsidP="00411ED7" w14:paraId="0D8324B3" w14:textId="29D4D512">
      <w:pPr>
        <w:pStyle w:val="EQRBulletBLUE2ndlevel"/>
      </w:pPr>
      <w:r w:rsidRPr="00990D3B">
        <w:t>Allow the data collection to continue for longer periods</w:t>
      </w:r>
      <w:r w:rsidRPr="00990D3B" w:rsidR="004C03F3">
        <w:t>.</w:t>
      </w:r>
    </w:p>
    <w:p w:rsidR="00861221" w:rsidRPr="00990D3B" w:rsidP="00411ED7" w14:paraId="7B23B061" w14:textId="64FEDB65">
      <w:pPr>
        <w:pStyle w:val="EQRBulletBLUE2ndlevel"/>
      </w:pPr>
      <w:r w:rsidRPr="00990D3B">
        <w:t>Increase the timeliness of response (for example, results from a web-based survey can be received faster than results by mail)</w:t>
      </w:r>
      <w:r w:rsidRPr="00990D3B" w:rsidR="004C03F3">
        <w:t>.</w:t>
      </w:r>
      <w:r w:rsidRPr="00990D3B">
        <w:t xml:space="preserve"> </w:t>
      </w:r>
    </w:p>
    <w:p w:rsidR="00861221" w:rsidRPr="00990D3B" w:rsidP="00411ED7" w14:paraId="233272C6" w14:textId="2D32DA76">
      <w:pPr>
        <w:pStyle w:val="EQRBulletBLUE2ndlevel"/>
      </w:pPr>
      <w:r w:rsidRPr="00990D3B">
        <w:t>Limit coverage error</w:t>
      </w:r>
      <w:r w:rsidRPr="00990D3B" w:rsidR="00414D97">
        <w:t xml:space="preserve"> </w:t>
      </w:r>
      <w:r w:rsidRPr="00990D3B">
        <w:t>by offering the survey by mail or web if the population of interest may not have consistent telephone service. In addition, as more households have access to the internet, using email and text messaging (with respondent permission) has become an increasingly common method to contact respondents</w:t>
      </w:r>
      <w:r w:rsidRPr="00990D3B" w:rsidR="00384496">
        <w:t xml:space="preserve">. </w:t>
      </w:r>
      <w:hyperlink w:anchor="Box6n4" w:tooltip="Box 6.4" w:history="1">
        <w:r w:rsidRPr="00990D3B" w:rsidR="007D18C5">
          <w:rPr>
            <w:rStyle w:val="Hyperlink"/>
          </w:rPr>
          <w:t>Box 6.</w:t>
        </w:r>
        <w:r w:rsidRPr="00990D3B" w:rsidR="00D90991">
          <w:rPr>
            <w:rStyle w:val="Hyperlink"/>
          </w:rPr>
          <w:t>4</w:t>
        </w:r>
      </w:hyperlink>
      <w:r w:rsidRPr="00990D3B" w:rsidR="007D18C5">
        <w:t xml:space="preserve"> </w:t>
      </w:r>
      <w:r w:rsidR="00D61AD6">
        <w:t xml:space="preserve">(next page) </w:t>
      </w:r>
      <w:r w:rsidRPr="00990D3B" w:rsidR="00384496">
        <w:t xml:space="preserve">provides additional information </w:t>
      </w:r>
      <w:r w:rsidRPr="00990D3B" w:rsidR="00D90991">
        <w:t>about</w:t>
      </w:r>
      <w:r w:rsidRPr="00990D3B" w:rsidR="00384496">
        <w:t xml:space="preserve"> integrating web-based outreach </w:t>
      </w:r>
      <w:r w:rsidRPr="00990D3B" w:rsidR="00384496">
        <w:t>in</w:t>
      </w:r>
      <w:r w:rsidRPr="00990D3B" w:rsidR="00384496">
        <w:t xml:space="preserve"> data collection.</w:t>
      </w:r>
    </w:p>
    <w:p w:rsidR="00861221" w:rsidRPr="00990D3B" w:rsidP="00FB7CAF" w14:paraId="6169E161" w14:textId="6DC74D3F">
      <w:pPr>
        <w:pStyle w:val="EQRBulletBLUE"/>
      </w:pPr>
      <w:r w:rsidRPr="00990D3B">
        <w:rPr>
          <w:b/>
        </w:rPr>
        <w:t xml:space="preserve">Multiple languages. </w:t>
      </w:r>
      <w:r w:rsidRPr="00990D3B">
        <w:t xml:space="preserve">The state and MCPs should have information about each </w:t>
      </w:r>
      <w:r w:rsidRPr="00990D3B" w:rsidR="004A5E5A">
        <w:t>enrollee’s</w:t>
      </w:r>
      <w:r w:rsidRPr="00990D3B">
        <w:t xml:space="preserve"> primary and/or preferred language. If this information is not readily available, the EQRO </w:t>
      </w:r>
      <w:r w:rsidRPr="00990D3B">
        <w:t xml:space="preserve">might include a sentence in the advance letter translated into the most common languages in the area, inviting the individual to call for more information or to </w:t>
      </w:r>
      <w:r w:rsidRPr="00990D3B" w:rsidR="004A54B5">
        <w:t>request a specific</w:t>
      </w:r>
      <w:r w:rsidRPr="00990D3B" w:rsidR="000D0C6B">
        <w:t> </w:t>
      </w:r>
      <w:r w:rsidRPr="00990D3B" w:rsidR="004A54B5">
        <w:t>translation</w:t>
      </w:r>
      <w:r w:rsidRPr="00990D3B" w:rsidR="00042260">
        <w:t>.</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0809E99B" w14:textId="77777777" w:rsidTr="000F67F7">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216"/>
        </w:trPr>
        <w:tc>
          <w:tcPr>
            <w:tcW w:w="9314" w:type="dxa"/>
            <w:shd w:val="clear" w:color="auto" w:fill="EEF5F8"/>
          </w:tcPr>
          <w:p w:rsidR="00091C17" w:rsidRPr="00990D3B" w:rsidP="000F67F7" w14:paraId="4E2EA2F6" w14:textId="77777777">
            <w:pPr>
              <w:pStyle w:val="EQRTextboxheading"/>
              <w:keepNext/>
              <w:spacing w:before="0" w:after="0"/>
            </w:pPr>
            <w:bookmarkStart w:id="678" w:name="Box6n4"/>
            <w:bookmarkEnd w:id="678"/>
            <w:r w:rsidRPr="00990D3B">
              <w:t>Box 6.4. Integrating Web-Based Outreach in Data Collection</w:t>
            </w:r>
          </w:p>
          <w:p w:rsidR="00450A4A" w:rsidRPr="00990D3B" w:rsidP="00450A4A" w14:paraId="02656CC1" w14:textId="27FEBE36">
            <w:pPr>
              <w:pStyle w:val="EQRTextboxbody"/>
              <w:spacing w:after="0"/>
            </w:pPr>
            <w:r w:rsidRPr="00990D3B">
              <w:t>To improve response rates and streamline the data collection process, states and their EQROs can consider incorporating web-based outreach methods. The following strategies offer ways to integrate electronic communication and online survey tools while remaining attentive to the accessibility and preferences of the target population.</w:t>
            </w:r>
          </w:p>
        </w:tc>
      </w:tr>
      <w:tr w14:paraId="6CED645C" w14:textId="77777777" w:rsidTr="00091C17">
        <w:tblPrEx>
          <w:tblW w:w="0" w:type="auto"/>
          <w:tblCellMar>
            <w:top w:w="72" w:type="dxa"/>
            <w:left w:w="173" w:type="dxa"/>
            <w:bottom w:w="72" w:type="dxa"/>
            <w:right w:w="173" w:type="dxa"/>
          </w:tblCellMar>
          <w:tblLook w:val="04A0"/>
        </w:tblPrEx>
        <w:trPr>
          <w:cantSplit/>
          <w:trHeight w:val="1485"/>
        </w:trPr>
        <w:tc>
          <w:tcPr>
            <w:tcW w:w="9314" w:type="dxa"/>
            <w:shd w:val="clear" w:color="auto" w:fill="EEF5F8"/>
          </w:tcPr>
          <w:p w:rsidR="00091C17" w:rsidRPr="00990D3B" w:rsidP="00091C17" w14:paraId="5533F1A5" w14:textId="140375D5">
            <w:pPr>
              <w:pStyle w:val="EQRTextboxbullet"/>
            </w:pPr>
            <w:r w:rsidRPr="00990D3B">
              <w:t>Send the advance letter by email in place of, or in addition to, first class mail</w:t>
            </w:r>
            <w:r w:rsidRPr="00990D3B" w:rsidR="004C03F3">
              <w:t>.</w:t>
            </w:r>
          </w:p>
          <w:p w:rsidR="00091C17" w:rsidRPr="00990D3B" w:rsidP="00091C17" w14:paraId="44CA2D5E" w14:textId="28E877D2">
            <w:pPr>
              <w:pStyle w:val="EQRTextboxbullet"/>
            </w:pPr>
            <w:r w:rsidRPr="00990D3B">
              <w:t>Send the reminder postcard by email in place of, or in addition to first class mail</w:t>
            </w:r>
            <w:r w:rsidRPr="00990D3B" w:rsidR="004C03F3">
              <w:t>.</w:t>
            </w:r>
          </w:p>
          <w:p w:rsidR="00091C17" w:rsidRPr="00990D3B" w:rsidP="00091C17" w14:paraId="1B3B549B" w14:textId="794976F2">
            <w:pPr>
              <w:pStyle w:val="EQRTextboxbullet"/>
            </w:pPr>
            <w:r w:rsidRPr="00990D3B">
              <w:t>Include a hyperlink to an online version of the survey in the advance letter or advance email</w:t>
            </w:r>
            <w:r w:rsidRPr="00990D3B" w:rsidR="004C03F3">
              <w:t>.</w:t>
            </w:r>
          </w:p>
          <w:p w:rsidR="00091C17" w:rsidRPr="00990D3B" w:rsidP="00091C17" w14:paraId="4E296F89" w14:textId="126522F2">
            <w:pPr>
              <w:pStyle w:val="EQRTextboxbullet"/>
            </w:pPr>
            <w:r w:rsidRPr="00990D3B">
              <w:t>Begin data collection with an online survey and follow-up with non-respondents by mail and/or telephone</w:t>
            </w:r>
            <w:r w:rsidRPr="00990D3B" w:rsidR="004C03F3">
              <w:t>.</w:t>
            </w:r>
          </w:p>
          <w:p w:rsidR="00091C17" w:rsidRPr="00990D3B" w:rsidP="00091C17" w14:paraId="6F1AA9B5" w14:textId="4CFA494C">
            <w:pPr>
              <w:pStyle w:val="EQRTextboxbullet"/>
            </w:pPr>
            <w:r w:rsidRPr="00990D3B">
              <w:t>When deciding which mode(s) to use, always consider the population's access to and preferences for each mode</w:t>
            </w:r>
            <w:r w:rsidRPr="00990D3B" w:rsidR="004C03F3">
              <w:t>.</w:t>
            </w:r>
          </w:p>
        </w:tc>
      </w:tr>
    </w:tbl>
    <w:p w:rsidR="00861221" w:rsidRPr="00990D3B" w:rsidP="004E5005" w14:paraId="35F84312" w14:textId="3A477230">
      <w:pPr>
        <w:pStyle w:val="ParagraphContinued"/>
      </w:pPr>
      <w:r w:rsidRPr="00990D3B">
        <w:t xml:space="preserve">The strategies should be tailored to </w:t>
      </w:r>
      <w:r w:rsidRPr="00990D3B">
        <w:t>the survey</w:t>
      </w:r>
      <w:r w:rsidRPr="00990D3B">
        <w:t xml:space="preserve"> population. In particular, the EQRO should customize strategies for provider surveys. While the design and contact strategies listed above also are effective when surveying health care professionals (such as physicians, nurses, and practice staff), health care professionals historically are a difficult population to reach. A meta-</w:t>
      </w:r>
      <w:r w:rsidRPr="00990D3B" w:rsidR="00CB2B9B">
        <w:t>analysis</w:t>
      </w:r>
      <w:r w:rsidRPr="00990D3B">
        <w:t xml:space="preserve"> of 154 surveys of health care professionals found statistically significant improvements in response rates when using mail-based data collection (compared to the web-based mode) and when monetary incentives were offered (compared to those that did not offer a monetary incentive or offered a non-monetary incentive).</w:t>
      </w:r>
      <w:r w:rsidRPr="00990D3B" w:rsidR="00CB2B9B">
        <w:rPr>
          <w:rStyle w:val="FootnoteReference"/>
        </w:rPr>
        <w:t xml:space="preserve"> </w:t>
      </w:r>
      <w:r>
        <w:rPr>
          <w:rStyle w:val="FootnoteReference"/>
        </w:rPr>
        <w:footnoteReference w:id="81"/>
      </w:r>
      <w:r w:rsidRPr="00990D3B">
        <w:t xml:space="preserve"> In addition, surveys with one or two follow</w:t>
      </w:r>
      <w:r w:rsidRPr="00990D3B" w:rsidR="00414D97">
        <w:t>-up</w:t>
      </w:r>
      <w:r w:rsidRPr="00990D3B">
        <w:t xml:space="preserve"> attempts yielded higher response rates than studies with three or more follow-ups.</w:t>
      </w:r>
      <w:r w:rsidRPr="00990D3B">
        <w:rPr>
          <w:noProof/>
        </w:rPr>
        <w:t xml:space="preserve"> </w:t>
      </w:r>
    </w:p>
    <w:p w:rsidR="00861221" w:rsidRPr="00990D3B" w:rsidP="002544C7" w14:paraId="1031D48C" w14:textId="2043815E">
      <w:pPr>
        <w:pStyle w:val="H3"/>
      </w:pPr>
      <w:bookmarkStart w:id="679" w:name="P6AI5Step3"/>
      <w:bookmarkEnd w:id="679"/>
      <w:r w:rsidRPr="00990D3B">
        <w:t>Step 3: Specify the Method Used to Calculate the Response Rate</w:t>
      </w:r>
    </w:p>
    <w:p w:rsidR="00861221" w:rsidRPr="00990D3B" w:rsidP="004E5005" w14:paraId="62B3AB84" w14:textId="73B1E9B8">
      <w:pPr>
        <w:pStyle w:val="ParagraphContinued"/>
      </w:pPr>
      <w:r w:rsidRPr="00990D3B">
        <w:t>The sampling plan should specify the method that will be used to calculate the response rate. The EQRO should use a standard methodology to calculate the response rate. The American Association of Public Opinion Research (AAPOR) provides a list of standard definitions</w:t>
      </w:r>
      <w:r w:rsidRPr="00990D3B" w:rsidR="00287388">
        <w:t>,</w:t>
      </w:r>
      <w:r w:rsidRPr="00990D3B">
        <w:t xml:space="preserve"> </w:t>
      </w:r>
      <w:r w:rsidRPr="00990D3B" w:rsidR="00696F46">
        <w:t>which</w:t>
      </w:r>
      <w:r w:rsidRPr="00990D3B" w:rsidR="00F30608">
        <w:t xml:space="preserve"> is available at</w:t>
      </w:r>
      <w:r w:rsidRPr="00990D3B" w:rsidR="00432079">
        <w:t xml:space="preserve"> </w:t>
      </w:r>
      <w:r w:rsidRPr="00990D3B" w:rsidR="000D33AF">
        <w:rPr>
          <w:rStyle w:val="Hyperlink"/>
        </w:rPr>
        <w:t>https://www.aapor.org/wp-content/uploads/2024/03/Standards-Definitions-10th-edition.pdf</w:t>
      </w:r>
      <w:r w:rsidRPr="00990D3B">
        <w:t>.</w:t>
      </w:r>
    </w:p>
    <w:p w:rsidR="00861221" w:rsidRPr="00990D3B" w:rsidP="004E5005" w14:paraId="21C7CAAF" w14:textId="55CE44C4">
      <w:pPr>
        <w:pStyle w:val="Paragraph0"/>
      </w:pPr>
      <w:r w:rsidRPr="00990D3B">
        <w:t xml:space="preserve">The sampling plan should also note target response rates for similar surveys, which can be used as a benchmark to assess the adequacy of the response rate after the survey is implemented, such other surveys conducted by the state or by other states, or other types of surveys implementing the same methodology. </w:t>
      </w:r>
    </w:p>
    <w:p w:rsidR="00861221" w:rsidRPr="00990D3B" w:rsidP="007D18C5" w14:paraId="08B76C5A" w14:textId="0E1DA4B7">
      <w:pPr>
        <w:pStyle w:val="H3"/>
      </w:pPr>
      <w:bookmarkStart w:id="680" w:name="P6AI5Step4"/>
      <w:bookmarkEnd w:id="680"/>
      <w:r w:rsidRPr="00990D3B">
        <w:t>Step 4: Include a Plan for a Non-Response Analysis</w:t>
      </w:r>
    </w:p>
    <w:p w:rsidR="000204AC" w:rsidRPr="00990D3B" w:rsidP="004E5005" w14:paraId="48229F00" w14:textId="38F8FC7B">
      <w:pPr>
        <w:pStyle w:val="ParagraphContinued"/>
        <w:rPr>
          <w:color w:val="000000" w:themeColor="text1"/>
        </w:rPr>
      </w:pPr>
      <w:r w:rsidRPr="00990D3B">
        <w:rPr>
          <w:color w:val="000000" w:themeColor="text1"/>
        </w:rPr>
        <w:t>Finally, after the survey is complete, a non-response analysis should be conducted, as discussed</w:t>
      </w:r>
      <w:r w:rsidRPr="00990D3B" w:rsidR="000D0C6B">
        <w:rPr>
          <w:color w:val="000000" w:themeColor="text1"/>
        </w:rPr>
        <w:t> </w:t>
      </w:r>
      <w:r w:rsidRPr="00990D3B">
        <w:rPr>
          <w:color w:val="000000" w:themeColor="text1"/>
        </w:rPr>
        <w:t xml:space="preserve">in </w:t>
      </w:r>
      <w:hyperlink w:anchor="P6AI8" w:tooltip="Activity I.8" w:history="1">
        <w:r w:rsidRPr="00990D3B" w:rsidR="002C1D82">
          <w:rPr>
            <w:rStyle w:val="Hyperlink"/>
            <w:color w:val="000000" w:themeColor="text1"/>
          </w:rPr>
          <w:t>Activity I.</w:t>
        </w:r>
        <w:r w:rsidRPr="00990D3B">
          <w:rPr>
            <w:rStyle w:val="Hyperlink"/>
            <w:color w:val="000000" w:themeColor="text1"/>
          </w:rPr>
          <w:t>8</w:t>
        </w:r>
      </w:hyperlink>
      <w:r w:rsidRPr="00990D3B">
        <w:rPr>
          <w:color w:val="000000" w:themeColor="text1"/>
        </w:rPr>
        <w:t>. The sampling plan should describe the approach that will be taken to a</w:t>
      </w:r>
      <w:r w:rsidRPr="00990D3B" w:rsidR="000D0C6B">
        <w:rPr>
          <w:color w:val="000000" w:themeColor="text1"/>
        </w:rPr>
        <w:t> </w:t>
      </w:r>
      <w:r w:rsidRPr="00990D3B">
        <w:rPr>
          <w:color w:val="000000" w:themeColor="text1"/>
        </w:rPr>
        <w:t>non-response analysis to assess whether there are differences between respondents and non</w:t>
      </w:r>
      <w:r w:rsidRPr="00990D3B" w:rsidR="000D0C6B">
        <w:rPr>
          <w:color w:val="000000" w:themeColor="text1"/>
          <w:vertAlign w:val="subscript"/>
        </w:rPr>
        <w:t>-</w:t>
      </w:r>
      <w:r w:rsidRPr="00990D3B">
        <w:rPr>
          <w:color w:val="000000" w:themeColor="text1"/>
        </w:rPr>
        <w:t>respondents.</w:t>
      </w:r>
    </w:p>
    <w:p w:rsidR="001E494B" w:rsidRPr="00990D3B" w:rsidP="00576CF3" w14:paraId="27475F20" w14:textId="77777777">
      <w:pPr>
        <w:pStyle w:val="H2"/>
      </w:pPr>
      <w:bookmarkStart w:id="681" w:name="P6AI6"/>
      <w:bookmarkStart w:id="682" w:name="_Toc14777721"/>
      <w:bookmarkStart w:id="683" w:name="_Toc183005619"/>
      <w:bookmarkStart w:id="684" w:name="_Toc201751389"/>
      <w:r w:rsidRPr="00990D3B">
        <w:t>A</w:t>
      </w:r>
      <w:r w:rsidRPr="00990D3B" w:rsidR="00261D9F">
        <w:t>ctivity</w:t>
      </w:r>
      <w:r w:rsidRPr="00990D3B">
        <w:t xml:space="preserve"> </w:t>
      </w:r>
      <w:r w:rsidRPr="00990D3B" w:rsidR="00E33E1D">
        <w:t>I.</w:t>
      </w:r>
      <w:r w:rsidRPr="00990D3B">
        <w:t>6</w:t>
      </w:r>
      <w:bookmarkEnd w:id="681"/>
      <w:r w:rsidRPr="00990D3B">
        <w:t>: D</w:t>
      </w:r>
      <w:r w:rsidRPr="00990D3B" w:rsidR="00261D9F">
        <w:t>evelop</w:t>
      </w:r>
      <w:r w:rsidRPr="00990D3B">
        <w:t xml:space="preserve"> </w:t>
      </w:r>
      <w:r w:rsidRPr="00990D3B" w:rsidR="00D8425E">
        <w:t>a</w:t>
      </w:r>
      <w:r w:rsidRPr="00990D3B" w:rsidR="00AD1138">
        <w:t xml:space="preserve"> </w:t>
      </w:r>
      <w:r w:rsidRPr="00990D3B">
        <w:t>Q</w:t>
      </w:r>
      <w:r w:rsidRPr="00990D3B" w:rsidR="00261D9F">
        <w:t xml:space="preserve">uality </w:t>
      </w:r>
      <w:r w:rsidRPr="00990D3B">
        <w:t>A</w:t>
      </w:r>
      <w:r w:rsidRPr="00990D3B" w:rsidR="00261D9F">
        <w:t>ssurance Plan</w:t>
      </w:r>
      <w:bookmarkEnd w:id="682"/>
      <w:bookmarkEnd w:id="683"/>
      <w:bookmarkEnd w:id="684"/>
    </w:p>
    <w:p w:rsidR="00723032" w:rsidRPr="00990D3B" w:rsidP="000D0C6B" w14:paraId="7BB46840" w14:textId="754EF39E">
      <w:pPr>
        <w:pStyle w:val="ParagraphContinued"/>
      </w:pPr>
      <w:r w:rsidRPr="00990D3B">
        <w:rPr>
          <w:noProof/>
        </w:rPr>
        <mc:AlternateContent>
          <mc:Choice Requires="wps">
            <w:drawing>
              <wp:anchor distT="0" distB="0" distL="114300" distR="114300" simplePos="0" relativeHeight="251863040" behindDoc="0" locked="0" layoutInCell="1" allowOverlap="1">
                <wp:simplePos x="0" y="0"/>
                <wp:positionH relativeFrom="column">
                  <wp:posOffset>3735705</wp:posOffset>
                </wp:positionH>
                <wp:positionV relativeFrom="paragraph">
                  <wp:posOffset>421005</wp:posOffset>
                </wp:positionV>
                <wp:extent cx="2194560" cy="1148080"/>
                <wp:effectExtent l="19050" t="19050" r="15240" b="13970"/>
                <wp:wrapTight wrapText="bothSides">
                  <wp:wrapPolygon>
                    <wp:start x="21788" y="21958"/>
                    <wp:lineTo x="21788" y="96"/>
                    <wp:lineTo x="38" y="96"/>
                    <wp:lineTo x="38" y="21958"/>
                    <wp:lineTo x="21788" y="21958"/>
                  </wp:wrapPolygon>
                </wp:wrapTight>
                <wp:docPr id="502062466" name="Text Box 8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1148080"/>
                        </a:xfrm>
                        <a:prstGeom prst="rect">
                          <a:avLst/>
                        </a:prstGeom>
                        <a:solidFill>
                          <a:srgbClr val="EEF5F8"/>
                        </a:solidFill>
                        <a:ln w="28575" cap="rnd">
                          <a:solidFill>
                            <a:srgbClr val="A5DAD9"/>
                          </a:solidFill>
                          <a:prstDash val="solid"/>
                          <a:miter lim="800000"/>
                          <a:headEnd/>
                          <a:tailEnd/>
                        </a:ln>
                      </wps:spPr>
                      <wps:txbx>
                        <w:txbxContent>
                          <w:p w:rsidR="00ED33C3" w:rsidRPr="00D41CCB" w:rsidP="00091C17" w14:textId="6B15D212">
                            <w:pPr>
                              <w:pStyle w:val="EQRTextboxheading"/>
                            </w:pPr>
                            <w:r w:rsidRPr="00D41CCB">
                              <w:t xml:space="preserve">Resource for Activity </w:t>
                            </w:r>
                            <w:r>
                              <w:t>6</w:t>
                            </w:r>
                          </w:p>
                          <w:p w:rsidR="00ED33C3" w:rsidP="00830CB6" w14:textId="6735D72F">
                            <w:pPr>
                              <w:pStyle w:val="EQRTextboxbody"/>
                            </w:pPr>
                            <w:hyperlink w:anchor="WSp6n06" w:tooltip="Worksheet 6.6. Quality Assurance Plan" w:history="1">
                              <w:r w:rsidRPr="00C51167">
                                <w:rPr>
                                  <w:rStyle w:val="Hyperlink"/>
                                </w:rPr>
                                <w:t>Worksheet 6.6. Quality Assurance Plan</w:t>
                              </w:r>
                            </w:hyperlink>
                          </w:p>
                          <w:p w:rsidR="00ED33C3" w:rsidRPr="004B37FD" w:rsidP="00830CB6" w14:textId="0E058F19">
                            <w:pPr>
                              <w:pStyle w:val="EQRTextboxbullet"/>
                            </w:pPr>
                            <w:r>
                              <w:t>Provides a set of quality check questions to assess the quality assurance plan</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7" o:spid="_x0000_s1189" type="#_x0000_t202" style="width:172.8pt;height:90.4pt;margin-top:33.15pt;margin-left:294.15pt;flip:y;mso-height-percent:0;mso-height-relative:page;mso-width-percent:0;mso-width-relative:page;mso-wrap-distance-bottom:0;mso-wrap-distance-left:9pt;mso-wrap-distance-right:9pt;mso-wrap-distance-top:0;mso-wrap-style:square;position:absolute;rotation:180;visibility:visible;v-text-anchor:top;z-index:251864064" fillcolor="#eef5f8" strokecolor="#a5dad9" strokeweight="2.25pt">
                <v:stroke endcap="round"/>
                <v:textbox style="mso-fit-shape-to-text:t" inset="8.64pt,,8.64pt">
                  <w:txbxContent>
                    <w:p w:rsidR="00ED33C3" w:rsidRPr="00D41CCB" w:rsidP="00091C17" w14:paraId="4DBEC242" w14:textId="6B15D212">
                      <w:pPr>
                        <w:pStyle w:val="EQRTextboxheading"/>
                      </w:pPr>
                      <w:r w:rsidRPr="00D41CCB">
                        <w:t xml:space="preserve">Resource for Activity </w:t>
                      </w:r>
                      <w:r>
                        <w:t>6</w:t>
                      </w:r>
                    </w:p>
                    <w:p w:rsidR="00ED33C3" w:rsidP="00830CB6" w14:paraId="5ADE6620" w14:textId="6735D72F">
                      <w:pPr>
                        <w:pStyle w:val="EQRTextboxbody"/>
                      </w:pPr>
                      <w:hyperlink w:anchor="WSp6n06" w:tooltip="Worksheet 6.6. Quality Assurance Plan" w:history="1">
                        <w:r w:rsidRPr="00C51167">
                          <w:rPr>
                            <w:rStyle w:val="Hyperlink"/>
                          </w:rPr>
                          <w:t>Worksheet 6.6. Quality Assurance Plan</w:t>
                        </w:r>
                      </w:hyperlink>
                    </w:p>
                    <w:p w:rsidR="00ED33C3" w:rsidRPr="004B37FD" w:rsidP="00830CB6" w14:paraId="26730755" w14:textId="0E058F19">
                      <w:pPr>
                        <w:pStyle w:val="EQRTextboxbullet"/>
                      </w:pPr>
                      <w:r>
                        <w:t>Provides a set of quality check questions to assess the quality assurance plan</w:t>
                      </w:r>
                    </w:p>
                  </w:txbxContent>
                </v:textbox>
                <w10:wrap type="tight"/>
              </v:shape>
            </w:pict>
          </mc:Fallback>
        </mc:AlternateContent>
      </w:r>
      <w:r w:rsidRPr="00990D3B">
        <w:rPr>
          <w:noProof/>
        </w:rPr>
        <mc:AlternateContent>
          <mc:Choice Requires="wps">
            <w:drawing>
              <wp:anchor distT="0" distB="0" distL="114300" distR="114300" simplePos="0" relativeHeight="251865088" behindDoc="0" locked="0" layoutInCell="1" allowOverlap="1">
                <wp:simplePos x="0" y="0"/>
                <wp:positionH relativeFrom="column">
                  <wp:posOffset>3715385</wp:posOffset>
                </wp:positionH>
                <wp:positionV relativeFrom="paragraph">
                  <wp:posOffset>67945</wp:posOffset>
                </wp:positionV>
                <wp:extent cx="2193925" cy="297180"/>
                <wp:effectExtent l="19050" t="19050" r="15875" b="26670"/>
                <wp:wrapTight wrapText="bothSides">
                  <wp:wrapPolygon>
                    <wp:start x="21788" y="22985"/>
                    <wp:lineTo x="21788" y="-554"/>
                    <wp:lineTo x="31" y="-554"/>
                    <wp:lineTo x="31" y="22985"/>
                    <wp:lineTo x="21788" y="22985"/>
                  </wp:wrapPolygon>
                </wp:wrapTight>
                <wp:docPr id="266784856" name="Text Box 8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180"/>
                        </a:xfrm>
                        <a:prstGeom prst="rect">
                          <a:avLst/>
                        </a:prstGeom>
                        <a:solidFill>
                          <a:srgbClr val="EEF5F8"/>
                        </a:solidFill>
                        <a:ln w="28575" cap="rnd">
                          <a:solidFill>
                            <a:srgbClr val="A5DAD9"/>
                          </a:solidFill>
                          <a:prstDash val="solid"/>
                          <a:miter lim="800000"/>
                          <a:headEnd/>
                          <a:tailEnd/>
                        </a:ln>
                      </wps:spPr>
                      <wps:txbx>
                        <w:txbxContent>
                          <w:p w:rsidR="00ED33C3" w:rsidRPr="006847EB" w:rsidP="00091C17" w14:textId="4F26ACB6">
                            <w:pPr>
                              <w:pStyle w:val="EQRWORKSHEETText"/>
                              <w:rPr>
                                <w:color w:val="006068" w:themeColor="accent1" w:themeShade="BF"/>
                              </w:rPr>
                            </w:pPr>
                            <w:hyperlink w:anchor="WSp6n06" w:tooltip="WORKSHEET 6.6" w:history="1">
                              <w:r w:rsidRPr="006847EB">
                                <w:rPr>
                                  <w:color w:val="006068" w:themeColor="accent1" w:themeShade="BF"/>
                                </w:rPr>
                                <w:t>WORKSHEET 6.6</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8" o:spid="_x0000_s1190" type="#_x0000_t202" style="width:172.75pt;height:23.4pt;margin-top:5.35pt;margin-left:292.55pt;flip:y;mso-height-percent:0;mso-height-relative:page;mso-width-percent:0;mso-width-relative:page;mso-wrap-distance-bottom:0;mso-wrap-distance-left:9pt;mso-wrap-distance-right:9pt;mso-wrap-distance-top:0;mso-wrap-style:square;position:absolute;rotation:180;visibility:visible;v-text-anchor:top;z-index:251866112" fillcolor="#eef5f8" strokecolor="#a5dad9" strokeweight="2.25pt">
                <v:stroke endcap="round"/>
                <v:textbox style="mso-fit-shape-to-text:t" inset="8.64pt,,8.64pt">
                  <w:txbxContent>
                    <w:p w:rsidR="00ED33C3" w:rsidRPr="006847EB" w:rsidP="00091C17" w14:paraId="1028BB96" w14:textId="4F26ACB6">
                      <w:pPr>
                        <w:pStyle w:val="EQRWORKSHEETText"/>
                        <w:rPr>
                          <w:color w:val="006068" w:themeColor="accent1" w:themeShade="BF"/>
                        </w:rPr>
                      </w:pPr>
                      <w:hyperlink w:anchor="WSp6n06" w:tooltip="WORKSHEET 6.6" w:history="1">
                        <w:r w:rsidRPr="006847EB">
                          <w:rPr>
                            <w:color w:val="006068" w:themeColor="accent1" w:themeShade="BF"/>
                          </w:rPr>
                          <w:t>WORKSHEET 6.6</w:t>
                        </w:r>
                      </w:hyperlink>
                    </w:p>
                  </w:txbxContent>
                </v:textbox>
                <w10:wrap type="tight"/>
              </v:shape>
            </w:pict>
          </mc:Fallback>
        </mc:AlternateContent>
      </w:r>
      <w:r w:rsidRPr="00990D3B" w:rsidR="001E0824">
        <w:t>The EQRO should develop a quality assurance plan that contains quality checks for all phases of the data collection effort</w:t>
      </w:r>
      <w:r w:rsidRPr="00990D3B" w:rsidR="00450A4A">
        <w:t xml:space="preserve">. </w:t>
      </w:r>
      <w:r w:rsidRPr="00990D3B" w:rsidR="001E0824">
        <w:t xml:space="preserve">The quality assurance plan should describe the checks to be </w:t>
      </w:r>
      <w:r w:rsidRPr="00990D3B" w:rsidR="001E0824">
        <w:t>performed</w:t>
      </w:r>
      <w:r w:rsidRPr="00990D3B" w:rsidR="001E0824">
        <w:t xml:space="preserve"> and the processes used to implement the checks (</w:t>
      </w:r>
      <w:r w:rsidRPr="00990D3B" w:rsidR="00D353E6">
        <w:t>s</w:t>
      </w:r>
      <w:r w:rsidRPr="00990D3B" w:rsidR="001E0824">
        <w:t xml:space="preserve">ee </w:t>
      </w:r>
      <w:hyperlink w:anchor="Box6n5" w:tooltip="Box 6.5" w:history="1">
        <w:r w:rsidRPr="00990D3B" w:rsidR="00B76DC8">
          <w:rPr>
            <w:rStyle w:val="Hyperlink"/>
          </w:rPr>
          <w:t>Box 6.</w:t>
        </w:r>
        <w:r w:rsidRPr="00990D3B" w:rsidR="00414D97">
          <w:rPr>
            <w:rStyle w:val="Hyperlink"/>
          </w:rPr>
          <w:t>5</w:t>
        </w:r>
      </w:hyperlink>
      <w:r w:rsidRPr="00990D3B" w:rsidR="001E0824">
        <w:t xml:space="preserve">). The quality checks should cover the sampling and locating processes, be customized by data collection mode, and specify data quality controls. </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045E9661" w14:textId="77777777" w:rsidTr="000F67F7">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216"/>
        </w:trPr>
        <w:tc>
          <w:tcPr>
            <w:tcW w:w="9314" w:type="dxa"/>
            <w:shd w:val="clear" w:color="auto" w:fill="EEF5F8"/>
          </w:tcPr>
          <w:p w:rsidR="00091C17" w:rsidRPr="00990D3B" w:rsidP="000F67F7" w14:paraId="238E5D3E" w14:textId="77777777">
            <w:pPr>
              <w:pStyle w:val="EQRTextboxheading"/>
              <w:keepNext/>
              <w:spacing w:before="0" w:after="0"/>
            </w:pPr>
            <w:bookmarkStart w:id="685" w:name="Box6n5"/>
            <w:bookmarkStart w:id="686" w:name="P6AI7"/>
            <w:bookmarkStart w:id="687" w:name="_Toc14777722"/>
            <w:bookmarkEnd w:id="685"/>
            <w:r w:rsidRPr="00990D3B">
              <w:t>Box 6.5. Tips for Quality Assurance Checks</w:t>
            </w:r>
          </w:p>
          <w:p w:rsidR="00581013" w:rsidRPr="00990D3B" w:rsidP="00581013" w14:paraId="33E21C25" w14:textId="6337FC7F">
            <w:pPr>
              <w:pStyle w:val="EQRTextboxbody"/>
              <w:spacing w:after="0"/>
            </w:pPr>
            <w:r w:rsidRPr="00990D3B">
              <w:t xml:space="preserve">A well-defined quality assurance (QA) plan helps ensure the accuracy and integrity of survey data collection and processing. The plan should document the QA procedures in detail. The tips below outline key elements to include when planning and conducting quality checks. </w:t>
            </w:r>
          </w:p>
        </w:tc>
      </w:tr>
      <w:tr w14:paraId="7B04C2C7" w14:textId="77777777" w:rsidTr="00B413BD">
        <w:tblPrEx>
          <w:tblW w:w="0" w:type="auto"/>
          <w:tblCellMar>
            <w:top w:w="72" w:type="dxa"/>
            <w:left w:w="173" w:type="dxa"/>
            <w:bottom w:w="72" w:type="dxa"/>
            <w:right w:w="173" w:type="dxa"/>
          </w:tblCellMar>
          <w:tblLook w:val="04A0"/>
        </w:tblPrEx>
        <w:trPr>
          <w:cantSplit/>
          <w:trHeight w:val="2331"/>
        </w:trPr>
        <w:tc>
          <w:tcPr>
            <w:tcW w:w="9314" w:type="dxa"/>
            <w:shd w:val="clear" w:color="auto" w:fill="EEF5F8"/>
          </w:tcPr>
          <w:p w:rsidR="00B413BD" w:rsidRPr="00990D3B" w:rsidP="00450A4A" w14:paraId="3B751667" w14:textId="37EC5837">
            <w:pPr>
              <w:pStyle w:val="EQRTextboxbody"/>
              <w:spacing w:before="0"/>
            </w:pPr>
            <w:r w:rsidRPr="00990D3B">
              <w:t>The quality assurance plan should describe each quality check and clearly identify:</w:t>
            </w:r>
          </w:p>
          <w:p w:rsidR="00B413BD" w:rsidRPr="00990D3B" w:rsidP="00B413BD" w14:paraId="15E94829" w14:textId="38DAC8F8">
            <w:pPr>
              <w:pStyle w:val="EQRTextboxbullet"/>
            </w:pPr>
            <w:r w:rsidRPr="00990D3B">
              <w:t>What checks are being performed</w:t>
            </w:r>
            <w:r w:rsidRPr="00990D3B" w:rsidR="004C03F3">
              <w:t>.</w:t>
            </w:r>
          </w:p>
          <w:p w:rsidR="00B413BD" w:rsidRPr="00990D3B" w:rsidP="00B413BD" w14:paraId="3181FF19" w14:textId="3C5C9C33">
            <w:pPr>
              <w:pStyle w:val="EQRTextboxbullet"/>
            </w:pPr>
            <w:r w:rsidRPr="00990D3B">
              <w:t>How the checks are performed</w:t>
            </w:r>
            <w:r w:rsidRPr="00990D3B" w:rsidR="004C03F3">
              <w:t>.</w:t>
            </w:r>
          </w:p>
          <w:p w:rsidR="00B413BD" w:rsidRPr="00990D3B" w:rsidP="00B413BD" w14:paraId="63243061" w14:textId="47E11CA8">
            <w:pPr>
              <w:pStyle w:val="EQRTextboxbullet"/>
            </w:pPr>
            <w:r w:rsidRPr="00990D3B">
              <w:t>Who performs the checks</w:t>
            </w:r>
            <w:r w:rsidRPr="00990D3B" w:rsidR="004C03F3">
              <w:t>.</w:t>
            </w:r>
          </w:p>
          <w:p w:rsidR="00B413BD" w:rsidRPr="00990D3B" w:rsidP="00B413BD" w14:paraId="7E60F252" w14:textId="2215217D">
            <w:pPr>
              <w:pStyle w:val="EQRTextboxbullet"/>
            </w:pPr>
            <w:r w:rsidRPr="00990D3B">
              <w:t>Frequency of the checks</w:t>
            </w:r>
            <w:r w:rsidRPr="00990D3B" w:rsidR="004C03F3">
              <w:t>.</w:t>
            </w:r>
          </w:p>
          <w:p w:rsidR="00B413BD" w:rsidRPr="00990D3B" w:rsidP="00B413BD" w14:paraId="683D2202" w14:textId="1FB284B1">
            <w:pPr>
              <w:pStyle w:val="EQRTextboxbullet"/>
            </w:pPr>
            <w:r w:rsidRPr="00990D3B">
              <w:t>Percentage of survey records that are to be checked</w:t>
            </w:r>
            <w:r w:rsidRPr="00990D3B" w:rsidR="004C03F3">
              <w:t>.</w:t>
            </w:r>
          </w:p>
          <w:p w:rsidR="00B413BD" w:rsidRPr="00990D3B" w:rsidP="00B413BD" w14:paraId="0C4E8810" w14:textId="1E992A55">
            <w:pPr>
              <w:pStyle w:val="EQRTextboxbullet"/>
            </w:pPr>
            <w:r w:rsidRPr="00990D3B">
              <w:t xml:space="preserve">Corrective actions </w:t>
            </w:r>
            <w:r w:rsidRPr="00990D3B">
              <w:t>required</w:t>
            </w:r>
            <w:r w:rsidRPr="00990D3B">
              <w:t xml:space="preserve"> if an issue is identified</w:t>
            </w:r>
            <w:r w:rsidRPr="00990D3B" w:rsidR="004C03F3">
              <w:t>.</w:t>
            </w:r>
          </w:p>
          <w:p w:rsidR="00091C17" w:rsidRPr="00990D3B" w:rsidP="00B413BD" w14:paraId="1DB31A4D" w14:textId="74F9C2E9">
            <w:pPr>
              <w:pStyle w:val="EQRTextboxbullet"/>
            </w:pPr>
            <w:r w:rsidRPr="00990D3B">
              <w:t>How the issue was resolved</w:t>
            </w:r>
            <w:r w:rsidRPr="00990D3B" w:rsidR="004C03F3">
              <w:t>.</w:t>
            </w:r>
          </w:p>
        </w:tc>
      </w:tr>
    </w:tbl>
    <w:p w:rsidR="00885BBE" w:rsidRPr="00990D3B" w:rsidP="00885BBE" w14:paraId="3F810BF4" w14:textId="77777777">
      <w:bookmarkStart w:id="688" w:name="_Toc183005620"/>
    </w:p>
    <w:p w:rsidR="00885BBE" w:rsidRPr="00990D3B" w:rsidP="00885BBE" w14:paraId="2972F785" w14:textId="77777777">
      <w:r w:rsidRPr="00990D3B">
        <w:br w:type="page"/>
      </w:r>
    </w:p>
    <w:p w:rsidR="00CA5838" w:rsidRPr="00990D3B" w:rsidP="00576CF3" w14:paraId="45F5B7E8" w14:textId="54B4717F">
      <w:pPr>
        <w:pStyle w:val="H2"/>
      </w:pPr>
      <w:bookmarkStart w:id="689" w:name="_Toc201751390"/>
      <w:r w:rsidRPr="00990D3B">
        <w:t>Activity</w:t>
      </w:r>
      <w:r w:rsidRPr="00990D3B" w:rsidR="001E0824">
        <w:t xml:space="preserve"> </w:t>
      </w:r>
      <w:r w:rsidRPr="00990D3B" w:rsidR="00E33E1D">
        <w:t>I.</w:t>
      </w:r>
      <w:r w:rsidRPr="00990D3B" w:rsidR="001E0824">
        <w:t>7</w:t>
      </w:r>
      <w:bookmarkEnd w:id="686"/>
      <w:r w:rsidRPr="00990D3B" w:rsidR="001E0824">
        <w:t>: I</w:t>
      </w:r>
      <w:r w:rsidRPr="00990D3B" w:rsidR="0018305F">
        <w:t>mplement the Survey</w:t>
      </w:r>
      <w:r w:rsidRPr="00990D3B" w:rsidR="001E0824">
        <w:t xml:space="preserve"> A</w:t>
      </w:r>
      <w:r w:rsidRPr="00990D3B" w:rsidR="0018305F">
        <w:t xml:space="preserve">ccording to the </w:t>
      </w:r>
      <w:r w:rsidRPr="00990D3B" w:rsidR="001E0824">
        <w:t>W</w:t>
      </w:r>
      <w:r w:rsidRPr="00990D3B" w:rsidR="0018305F">
        <w:t>ork</w:t>
      </w:r>
      <w:r w:rsidRPr="00990D3B" w:rsidR="00885BBE">
        <w:t> </w:t>
      </w:r>
      <w:r w:rsidRPr="00990D3B" w:rsidR="0018305F">
        <w:t>Plan</w:t>
      </w:r>
      <w:bookmarkEnd w:id="687"/>
      <w:bookmarkEnd w:id="688"/>
      <w:bookmarkEnd w:id="689"/>
    </w:p>
    <w:p w:rsidR="00385857" w:rsidRPr="00990D3B" w:rsidP="00885BBE" w14:paraId="29286731" w14:textId="1EC6CCCC">
      <w:pPr>
        <w:pStyle w:val="ParagraphContinued"/>
        <w:rPr>
          <w:noProof/>
        </w:rPr>
      </w:pPr>
      <w:r w:rsidRPr="00990D3B">
        <w:rPr>
          <w:noProof/>
        </w:rPr>
        <mc:AlternateContent>
          <mc:Choice Requires="wps">
            <w:drawing>
              <wp:anchor distT="0" distB="0" distL="114300" distR="114300" simplePos="0" relativeHeight="251867136" behindDoc="0" locked="0" layoutInCell="1" allowOverlap="1">
                <wp:simplePos x="0" y="0"/>
                <wp:positionH relativeFrom="column">
                  <wp:posOffset>3676650</wp:posOffset>
                </wp:positionH>
                <wp:positionV relativeFrom="paragraph">
                  <wp:posOffset>385396</wp:posOffset>
                </wp:positionV>
                <wp:extent cx="2195195" cy="1148715"/>
                <wp:effectExtent l="19050" t="19050" r="14605" b="13970"/>
                <wp:wrapTight wrapText="bothSides">
                  <wp:wrapPolygon>
                    <wp:start x="21787" y="21958"/>
                    <wp:lineTo x="21787" y="96"/>
                    <wp:lineTo x="44" y="96"/>
                    <wp:lineTo x="44" y="21958"/>
                    <wp:lineTo x="21787" y="21958"/>
                  </wp:wrapPolygon>
                </wp:wrapTight>
                <wp:docPr id="742785586" name="Text Box 8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148715"/>
                        </a:xfrm>
                        <a:prstGeom prst="rect">
                          <a:avLst/>
                        </a:prstGeom>
                        <a:solidFill>
                          <a:srgbClr val="EEF5F8"/>
                        </a:solidFill>
                        <a:ln w="28575" cap="rnd">
                          <a:solidFill>
                            <a:srgbClr val="A5DAD9"/>
                          </a:solidFill>
                          <a:prstDash val="solid"/>
                          <a:miter lim="800000"/>
                          <a:headEnd/>
                          <a:tailEnd/>
                        </a:ln>
                      </wps:spPr>
                      <wps:txbx>
                        <w:txbxContent>
                          <w:p w:rsidR="00ED33C3" w:rsidRPr="00D41CCB" w:rsidP="00B413BD" w14:textId="431E9A6A">
                            <w:pPr>
                              <w:pStyle w:val="EQRTextboxheading"/>
                            </w:pPr>
                            <w:r w:rsidRPr="00D41CCB">
                              <w:t xml:space="preserve">Resource for Activity </w:t>
                            </w:r>
                            <w:r>
                              <w:t>7</w:t>
                            </w:r>
                          </w:p>
                          <w:p w:rsidR="00ED33C3" w:rsidP="00B413BD" w14:textId="038A0CB7">
                            <w:pPr>
                              <w:pStyle w:val="EQRTextboxbody"/>
                            </w:pPr>
                            <w:hyperlink w:anchor="WSp6n07" w:tooltip="Worksheet 6.7. Survey Implementation According to the Work Plan" w:history="1">
                              <w:r w:rsidRPr="00C51167">
                                <w:rPr>
                                  <w:rStyle w:val="Hyperlink"/>
                                </w:rPr>
                                <w:t>Worksheet 6.7. Survey Implementation According to the Work Plan</w:t>
                              </w:r>
                            </w:hyperlink>
                          </w:p>
                          <w:p w:rsidR="00ED33C3" w:rsidRPr="004B37FD" w:rsidP="00B413BD" w14:textId="5025721D">
                            <w:pPr>
                              <w:pStyle w:val="EQRTextboxbullet"/>
                            </w:pPr>
                            <w:r>
                              <w:t>Provides a set of questions to assess survey implementation</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6" o:spid="_x0000_s1191" type="#_x0000_t202" style="width:172.85pt;height:90.45pt;margin-top:30.35pt;margin-left:289.5pt;flip:y;mso-height-percent:0;mso-height-relative:page;mso-width-percent:0;mso-width-relative:page;mso-wrap-distance-bottom:0;mso-wrap-distance-left:9pt;mso-wrap-distance-right:9pt;mso-wrap-distance-top:0;mso-wrap-style:square;position:absolute;rotation:180;visibility:visible;v-text-anchor:top;z-index:251868160" fillcolor="#eef5f8" strokecolor="#a5dad9" strokeweight="2.25pt">
                <v:stroke endcap="round"/>
                <v:textbox style="mso-fit-shape-to-text:t" inset="8.64pt,,8.64pt">
                  <w:txbxContent>
                    <w:p w:rsidR="00ED33C3" w:rsidRPr="00D41CCB" w:rsidP="00B413BD" w14:paraId="2B3A72F8" w14:textId="431E9A6A">
                      <w:pPr>
                        <w:pStyle w:val="EQRTextboxheading"/>
                      </w:pPr>
                      <w:r w:rsidRPr="00D41CCB">
                        <w:t xml:space="preserve">Resource for Activity </w:t>
                      </w:r>
                      <w:r>
                        <w:t>7</w:t>
                      </w:r>
                    </w:p>
                    <w:p w:rsidR="00ED33C3" w:rsidP="00B413BD" w14:paraId="254F2570" w14:textId="038A0CB7">
                      <w:pPr>
                        <w:pStyle w:val="EQRTextboxbody"/>
                      </w:pPr>
                      <w:hyperlink w:anchor="WSp6n07" w:tooltip="Worksheet 6.7. Survey Implementation According to the Work Plan" w:history="1">
                        <w:r w:rsidRPr="00C51167">
                          <w:rPr>
                            <w:rStyle w:val="Hyperlink"/>
                          </w:rPr>
                          <w:t>Worksheet 6.7. Survey Implementation According to the Work Plan</w:t>
                        </w:r>
                      </w:hyperlink>
                    </w:p>
                    <w:p w:rsidR="00ED33C3" w:rsidRPr="004B37FD" w:rsidP="00B413BD" w14:paraId="0C236F49" w14:textId="5025721D">
                      <w:pPr>
                        <w:pStyle w:val="EQRTextboxbullet"/>
                      </w:pPr>
                      <w:r>
                        <w:t>Provides a set of questions to assess survey implementation</w:t>
                      </w:r>
                    </w:p>
                  </w:txbxContent>
                </v:textbox>
                <w10:wrap type="tight"/>
              </v:shape>
            </w:pict>
          </mc:Fallback>
        </mc:AlternateContent>
      </w:r>
      <w:r w:rsidRPr="00990D3B">
        <w:rPr>
          <w:noProof/>
        </w:rPr>
        <mc:AlternateContent>
          <mc:Choice Requires="wps">
            <w:drawing>
              <wp:anchor distT="0" distB="0" distL="114300" distR="114300" simplePos="0" relativeHeight="251869184" behindDoc="0" locked="0" layoutInCell="1" allowOverlap="1">
                <wp:simplePos x="0" y="0"/>
                <wp:positionH relativeFrom="column">
                  <wp:posOffset>3651397</wp:posOffset>
                </wp:positionH>
                <wp:positionV relativeFrom="paragraph">
                  <wp:posOffset>29210</wp:posOffset>
                </wp:positionV>
                <wp:extent cx="2193925" cy="297180"/>
                <wp:effectExtent l="19050" t="19050" r="0" b="7620"/>
                <wp:wrapTight wrapText="bothSides">
                  <wp:wrapPolygon>
                    <wp:start x="21788" y="22985"/>
                    <wp:lineTo x="21788" y="-554"/>
                    <wp:lineTo x="31" y="-554"/>
                    <wp:lineTo x="31" y="22985"/>
                    <wp:lineTo x="21788" y="22985"/>
                  </wp:wrapPolygon>
                </wp:wrapTight>
                <wp:docPr id="942619630" name="Text Box 8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180"/>
                        </a:xfrm>
                        <a:prstGeom prst="rect">
                          <a:avLst/>
                        </a:prstGeom>
                        <a:solidFill>
                          <a:srgbClr val="EEF5F8"/>
                        </a:solidFill>
                        <a:ln w="28575" cap="rnd">
                          <a:solidFill>
                            <a:srgbClr val="A5DAD9"/>
                          </a:solidFill>
                          <a:prstDash val="solid"/>
                          <a:miter lim="800000"/>
                          <a:headEnd/>
                          <a:tailEnd/>
                        </a:ln>
                      </wps:spPr>
                      <wps:txbx>
                        <w:txbxContent>
                          <w:p w:rsidR="00ED33C3" w:rsidRPr="006847EB" w:rsidP="00B413BD" w14:textId="5D190692">
                            <w:pPr>
                              <w:pStyle w:val="EQRWORKSHEETText"/>
                              <w:rPr>
                                <w:color w:val="006068" w:themeColor="accent1" w:themeShade="BF"/>
                              </w:rPr>
                            </w:pPr>
                            <w:hyperlink w:anchor="WSp6n07" w:tooltip="WORKSHEET 6.7" w:history="1">
                              <w:r w:rsidRPr="006847EB">
                                <w:rPr>
                                  <w:color w:val="006068" w:themeColor="accent1" w:themeShade="BF"/>
                                </w:rPr>
                                <w:t>WORKSHEET 6.7</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9" o:spid="_x0000_s1192" type="#_x0000_t202" style="width:172.75pt;height:23.4pt;margin-top:2.3pt;margin-left:287.5pt;flip:y;mso-height-percent:0;mso-height-relative:page;mso-width-percent:0;mso-width-relative:page;mso-wrap-distance-bottom:0;mso-wrap-distance-left:9pt;mso-wrap-distance-right:9pt;mso-wrap-distance-top:0;mso-wrap-style:square;position:absolute;rotation:180;visibility:visible;v-text-anchor:top;z-index:251870208" fillcolor="#eef5f8" strokecolor="#a5dad9" strokeweight="2.25pt">
                <v:stroke endcap="round"/>
                <v:textbox style="mso-fit-shape-to-text:t" inset="8.64pt,,8.64pt">
                  <w:txbxContent>
                    <w:p w:rsidR="00ED33C3" w:rsidRPr="006847EB" w:rsidP="00B413BD" w14:paraId="46710754" w14:textId="5D190692">
                      <w:pPr>
                        <w:pStyle w:val="EQRWORKSHEETText"/>
                        <w:rPr>
                          <w:color w:val="006068" w:themeColor="accent1" w:themeShade="BF"/>
                        </w:rPr>
                      </w:pPr>
                      <w:hyperlink w:anchor="WSp6n07" w:tooltip="WORKSHEET 6.7" w:history="1">
                        <w:r w:rsidRPr="006847EB">
                          <w:rPr>
                            <w:color w:val="006068" w:themeColor="accent1" w:themeShade="BF"/>
                          </w:rPr>
                          <w:t>WORKSHEET 6.7</w:t>
                        </w:r>
                      </w:hyperlink>
                    </w:p>
                  </w:txbxContent>
                </v:textbox>
                <w10:wrap type="tight"/>
              </v:shape>
            </w:pict>
          </mc:Fallback>
        </mc:AlternateContent>
      </w:r>
      <w:r w:rsidRPr="00990D3B" w:rsidR="001E0824">
        <w:t>The EQRO should implement the survey according to the weekly data collection schedule laid out in the work plan (</w:t>
      </w:r>
      <w:r w:rsidRPr="00990D3B" w:rsidR="001E0824">
        <w:rPr>
          <w:color w:val="000000" w:themeColor="text1"/>
        </w:rPr>
        <w:t>se</w:t>
      </w:r>
      <w:r w:rsidRPr="00990D3B" w:rsidR="000C22B2">
        <w:rPr>
          <w:color w:val="000000" w:themeColor="text1"/>
        </w:rPr>
        <w:t xml:space="preserve">e </w:t>
      </w:r>
      <w:hyperlink w:anchor="P6AII2" w:tooltip="Activity I.2" w:history="1">
        <w:r w:rsidRPr="00990D3B" w:rsidR="000C22B2">
          <w:rPr>
            <w:rStyle w:val="Hyperlink"/>
            <w:color w:val="000000" w:themeColor="text1"/>
          </w:rPr>
          <w:t>Activit</w:t>
        </w:r>
        <w:r w:rsidRPr="00990D3B" w:rsidR="00C14750">
          <w:rPr>
            <w:rStyle w:val="Hyperlink"/>
            <w:color w:val="000000" w:themeColor="text1"/>
          </w:rPr>
          <w:t>y</w:t>
        </w:r>
        <w:r w:rsidRPr="00990D3B" w:rsidR="001E0824">
          <w:rPr>
            <w:rStyle w:val="Hyperlink"/>
            <w:color w:val="000000" w:themeColor="text1"/>
          </w:rPr>
          <w:t xml:space="preserve"> </w:t>
        </w:r>
        <w:r w:rsidRPr="00990D3B" w:rsidR="00606BD1">
          <w:rPr>
            <w:rStyle w:val="Hyperlink"/>
            <w:color w:val="000000" w:themeColor="text1"/>
          </w:rPr>
          <w:t>I.</w:t>
        </w:r>
        <w:r w:rsidRPr="00990D3B" w:rsidR="001E0824">
          <w:rPr>
            <w:rStyle w:val="Hyperlink"/>
            <w:color w:val="000000" w:themeColor="text1"/>
          </w:rPr>
          <w:t>2</w:t>
        </w:r>
      </w:hyperlink>
      <w:r w:rsidRPr="00990D3B" w:rsidR="001E0824">
        <w:rPr>
          <w:color w:val="000000" w:themeColor="text1"/>
        </w:rPr>
        <w:t xml:space="preserve">). Although </w:t>
      </w:r>
      <w:r w:rsidRPr="00990D3B" w:rsidR="001E0824">
        <w:t xml:space="preserve">there is no set time frame for data collection, on average, data collection activities range from 10 to 14 weeks. Three sample data collection schedules by week are included in </w:t>
      </w:r>
      <w:hyperlink w:anchor="Table6n2" w:tooltip="Table 6.2" w:history="1">
        <w:r w:rsidRPr="00990D3B" w:rsidR="001E0824">
          <w:rPr>
            <w:rStyle w:val="Hyperlink"/>
          </w:rPr>
          <w:t>Table 6.2</w:t>
        </w:r>
      </w:hyperlink>
      <w:r w:rsidRPr="00990D3B">
        <w:t xml:space="preserve"> (</w:t>
      </w:r>
      <w:r w:rsidRPr="00990D3B" w:rsidR="00B14271">
        <w:t>below</w:t>
      </w:r>
      <w:r w:rsidRPr="00990D3B">
        <w:t>).</w:t>
      </w:r>
      <w:r w:rsidRPr="00990D3B" w:rsidR="001E0824">
        <w:t xml:space="preserve"> Any deviations from the work plan should be documented and the reasons for those deviations should be explained.</w:t>
      </w:r>
    </w:p>
    <w:p w:rsidR="00723032" w:rsidRPr="00990D3B" w:rsidP="00E71C07" w14:paraId="796CFB12" w14:textId="096B5268">
      <w:pPr>
        <w:pStyle w:val="MarkforTableHeading"/>
      </w:pPr>
      <w:bookmarkStart w:id="690" w:name="Table6n2"/>
      <w:bookmarkStart w:id="691" w:name="_Toc83134600"/>
      <w:bookmarkEnd w:id="690"/>
      <w:r w:rsidRPr="00990D3B">
        <w:t xml:space="preserve">Table 6.2. Sample </w:t>
      </w:r>
      <w:r w:rsidRPr="00990D3B" w:rsidR="00B748CA">
        <w:t>D</w:t>
      </w:r>
      <w:r w:rsidRPr="00990D3B">
        <w:t xml:space="preserve">ata </w:t>
      </w:r>
      <w:r w:rsidRPr="00990D3B" w:rsidR="00B748CA">
        <w:t>C</w:t>
      </w:r>
      <w:r w:rsidRPr="00990D3B">
        <w:t xml:space="preserve">ollection </w:t>
      </w:r>
      <w:r w:rsidRPr="00990D3B" w:rsidR="00B748CA">
        <w:t>S</w:t>
      </w:r>
      <w:r w:rsidRPr="00990D3B">
        <w:t>chedules by</w:t>
      </w:r>
      <w:r w:rsidRPr="00990D3B">
        <w:t xml:space="preserve"> </w:t>
      </w:r>
      <w:r w:rsidRPr="00990D3B" w:rsidR="00B748CA">
        <w:t>W</w:t>
      </w:r>
      <w:r w:rsidRPr="00990D3B">
        <w:t>eek</w:t>
      </w:r>
      <w:bookmarkEnd w:id="691"/>
    </w:p>
    <w:tbl>
      <w:tblPr>
        <w:tblStyle w:val="CORESETTable"/>
        <w:tblW w:w="5000" w:type="pct"/>
        <w:tblLayout w:type="fixed"/>
        <w:tblLook w:val="0620"/>
      </w:tblPr>
      <w:tblGrid>
        <w:gridCol w:w="1080"/>
        <w:gridCol w:w="2757"/>
        <w:gridCol w:w="2757"/>
        <w:gridCol w:w="2756"/>
      </w:tblGrid>
      <w:tr w14:paraId="40250D40" w14:textId="77777777" w:rsidTr="000B33AC">
        <w:tblPrEx>
          <w:tblW w:w="5000" w:type="pct"/>
          <w:tblLayout w:type="fixed"/>
          <w:tblLook w:val="0620"/>
        </w:tblPrEx>
        <w:tc>
          <w:tcPr>
            <w:tcW w:w="577" w:type="pct"/>
          </w:tcPr>
          <w:p w:rsidR="00723032" w:rsidRPr="00990D3B" w:rsidP="00664FD1" w14:paraId="352A0945" w14:textId="76F7D186">
            <w:pPr>
              <w:pStyle w:val="TableHeaderLeft"/>
              <w:rPr>
                <w:b/>
                <w:bCs/>
              </w:rPr>
            </w:pPr>
            <w:r w:rsidRPr="00990D3B">
              <w:rPr>
                <w:b/>
                <w:bCs/>
              </w:rPr>
              <w:t xml:space="preserve">Data </w:t>
            </w:r>
            <w:r w:rsidRPr="00990D3B" w:rsidR="00B748CA">
              <w:rPr>
                <w:b/>
                <w:bCs/>
              </w:rPr>
              <w:t>C</w:t>
            </w:r>
            <w:r w:rsidRPr="00990D3B">
              <w:rPr>
                <w:b/>
                <w:bCs/>
              </w:rPr>
              <w:t xml:space="preserve">ollection </w:t>
            </w:r>
            <w:r w:rsidRPr="00990D3B" w:rsidR="00B748CA">
              <w:rPr>
                <w:b/>
                <w:bCs/>
              </w:rPr>
              <w:t>W</w:t>
            </w:r>
            <w:r w:rsidRPr="00990D3B">
              <w:rPr>
                <w:b/>
                <w:bCs/>
              </w:rPr>
              <w:t>eek</w:t>
            </w:r>
          </w:p>
        </w:tc>
        <w:tc>
          <w:tcPr>
            <w:tcW w:w="1474" w:type="pct"/>
          </w:tcPr>
          <w:p w:rsidR="00723032" w:rsidRPr="00990D3B" w:rsidP="00B96B0E" w14:paraId="28B27A8D" w14:textId="6D44CF91">
            <w:pPr>
              <w:pStyle w:val="TableHeaderCenter"/>
              <w:rPr>
                <w:b/>
                <w:bCs/>
              </w:rPr>
            </w:pPr>
            <w:r w:rsidRPr="00990D3B">
              <w:rPr>
                <w:b/>
                <w:bCs/>
              </w:rPr>
              <w:t xml:space="preserve">Mail-only </w:t>
            </w:r>
            <w:r w:rsidRPr="00990D3B" w:rsidR="00C45992">
              <w:rPr>
                <w:b/>
                <w:bCs/>
              </w:rPr>
              <w:t>P</w:t>
            </w:r>
            <w:r w:rsidRPr="00990D3B">
              <w:rPr>
                <w:b/>
                <w:bCs/>
              </w:rPr>
              <w:t>rotocol</w:t>
            </w:r>
          </w:p>
        </w:tc>
        <w:tc>
          <w:tcPr>
            <w:tcW w:w="1474" w:type="pct"/>
          </w:tcPr>
          <w:p w:rsidR="00723032" w:rsidRPr="00990D3B" w:rsidP="00B96B0E" w14:paraId="0CF08923" w14:textId="1C2DF84B">
            <w:pPr>
              <w:pStyle w:val="TableHeaderCenter"/>
              <w:rPr>
                <w:b/>
                <w:bCs/>
              </w:rPr>
            </w:pPr>
            <w:r w:rsidRPr="00990D3B">
              <w:rPr>
                <w:b/>
                <w:bCs/>
              </w:rPr>
              <w:t xml:space="preserve">Telephone-only </w:t>
            </w:r>
            <w:r w:rsidRPr="00990D3B" w:rsidR="00B748CA">
              <w:rPr>
                <w:b/>
                <w:bCs/>
              </w:rPr>
              <w:t>P</w:t>
            </w:r>
            <w:r w:rsidRPr="00990D3B">
              <w:rPr>
                <w:b/>
                <w:bCs/>
              </w:rPr>
              <w:t>rotocol</w:t>
            </w:r>
          </w:p>
        </w:tc>
        <w:tc>
          <w:tcPr>
            <w:tcW w:w="1474" w:type="pct"/>
          </w:tcPr>
          <w:p w:rsidR="00723032" w:rsidRPr="00990D3B" w:rsidP="00B96B0E" w14:paraId="62144EEF" w14:textId="41F024F3">
            <w:pPr>
              <w:pStyle w:val="TableHeaderCenter"/>
              <w:rPr>
                <w:b/>
                <w:bCs/>
              </w:rPr>
            </w:pPr>
            <w:r w:rsidRPr="00990D3B">
              <w:rPr>
                <w:b/>
                <w:bCs/>
              </w:rPr>
              <w:t xml:space="preserve">Mixed-mode </w:t>
            </w:r>
            <w:r w:rsidRPr="00990D3B" w:rsidR="00B748CA">
              <w:rPr>
                <w:b/>
                <w:bCs/>
              </w:rPr>
              <w:t>E</w:t>
            </w:r>
            <w:r w:rsidRPr="00990D3B">
              <w:rPr>
                <w:b/>
                <w:bCs/>
              </w:rPr>
              <w:t>xample:</w:t>
            </w:r>
            <w:r w:rsidRPr="00990D3B">
              <w:rPr>
                <w:b/>
                <w:bCs/>
              </w:rPr>
              <w:br/>
              <w:t xml:space="preserve">Mail with </w:t>
            </w:r>
            <w:r w:rsidRPr="00990D3B" w:rsidR="00B748CA">
              <w:rPr>
                <w:b/>
                <w:bCs/>
              </w:rPr>
              <w:t>T</w:t>
            </w:r>
            <w:r w:rsidRPr="00990D3B">
              <w:rPr>
                <w:b/>
                <w:bCs/>
              </w:rPr>
              <w:t xml:space="preserve">elephone </w:t>
            </w:r>
            <w:r w:rsidRPr="00990D3B" w:rsidR="00B748CA">
              <w:rPr>
                <w:b/>
                <w:bCs/>
              </w:rPr>
              <w:t>F</w:t>
            </w:r>
            <w:r w:rsidRPr="00990D3B">
              <w:rPr>
                <w:b/>
                <w:bCs/>
              </w:rPr>
              <w:t>ollow-up</w:t>
            </w:r>
          </w:p>
        </w:tc>
      </w:tr>
      <w:tr w14:paraId="61A0C78D" w14:textId="77777777" w:rsidTr="000B33AC">
        <w:tblPrEx>
          <w:tblW w:w="5000" w:type="pct"/>
          <w:tblLayout w:type="fixed"/>
          <w:tblLook w:val="0620"/>
        </w:tblPrEx>
        <w:tc>
          <w:tcPr>
            <w:tcW w:w="577" w:type="pct"/>
          </w:tcPr>
          <w:p w:rsidR="006E6B1F" w:rsidRPr="00990D3B" w:rsidP="00AD5C9E" w14:paraId="687A35B3" w14:textId="42874AAF">
            <w:pPr>
              <w:pStyle w:val="EQRTableText"/>
              <w:keepNext/>
              <w:keepLines/>
              <w:rPr>
                <w:rFonts w:cs="Arial"/>
                <w:szCs w:val="18"/>
              </w:rPr>
            </w:pPr>
            <w:r w:rsidRPr="00990D3B">
              <w:t>1</w:t>
            </w:r>
          </w:p>
        </w:tc>
        <w:tc>
          <w:tcPr>
            <w:tcW w:w="1474" w:type="pct"/>
          </w:tcPr>
          <w:p w:rsidR="006E6B1F" w:rsidRPr="00990D3B" w:rsidP="00AD5C9E" w14:paraId="336B11FC" w14:textId="5B48FD5B">
            <w:pPr>
              <w:pStyle w:val="EQRTableText"/>
              <w:keepNext/>
              <w:keepLines/>
              <w:rPr>
                <w:rFonts w:cs="Arial"/>
                <w:szCs w:val="18"/>
              </w:rPr>
            </w:pPr>
            <w:r w:rsidRPr="00990D3B">
              <w:t>Mail initial survey with cover letter to sample members</w:t>
            </w:r>
          </w:p>
        </w:tc>
        <w:tc>
          <w:tcPr>
            <w:tcW w:w="1474" w:type="pct"/>
          </w:tcPr>
          <w:p w:rsidR="006E6B1F" w:rsidRPr="00990D3B" w:rsidP="00AD5C9E" w14:paraId="0EA84E6F" w14:textId="7A3FD74B">
            <w:pPr>
              <w:pStyle w:val="EQRTableText"/>
              <w:keepNext/>
              <w:keepLines/>
            </w:pPr>
            <w:r w:rsidRPr="00990D3B">
              <w:rPr>
                <w:iCs/>
              </w:rPr>
              <w:t>Mail advance letters and begin telephone contact to sample members</w:t>
            </w:r>
          </w:p>
        </w:tc>
        <w:tc>
          <w:tcPr>
            <w:tcW w:w="1474" w:type="pct"/>
          </w:tcPr>
          <w:p w:rsidR="006E6B1F" w:rsidRPr="00990D3B" w:rsidP="00AD5C9E" w14:paraId="4BF06D60" w14:textId="348A5783">
            <w:pPr>
              <w:pStyle w:val="EQRTableText"/>
              <w:keepNext/>
              <w:keepLines/>
            </w:pPr>
            <w:r w:rsidRPr="00990D3B">
              <w:rPr>
                <w:iCs/>
              </w:rPr>
              <w:t>Mail initial survey with cover letter to sample members</w:t>
            </w:r>
          </w:p>
        </w:tc>
      </w:tr>
      <w:tr w14:paraId="3E0283F4" w14:textId="77777777" w:rsidTr="000B33AC">
        <w:tblPrEx>
          <w:tblW w:w="5000" w:type="pct"/>
          <w:tblLayout w:type="fixed"/>
          <w:tblLook w:val="0620"/>
        </w:tblPrEx>
        <w:tc>
          <w:tcPr>
            <w:tcW w:w="577" w:type="pct"/>
          </w:tcPr>
          <w:p w:rsidR="006E6B1F" w:rsidRPr="00990D3B" w:rsidP="00AD5C9E" w14:paraId="70145798" w14:textId="3A4C0C2A">
            <w:pPr>
              <w:pStyle w:val="EQRTableText"/>
              <w:keepNext/>
              <w:keepLines/>
            </w:pPr>
            <w:r w:rsidRPr="00990D3B">
              <w:t>2</w:t>
            </w:r>
          </w:p>
        </w:tc>
        <w:tc>
          <w:tcPr>
            <w:tcW w:w="1474" w:type="pct"/>
          </w:tcPr>
          <w:p w:rsidR="006E6B1F" w:rsidRPr="00990D3B" w:rsidP="00AD5C9E" w14:paraId="57714739" w14:textId="127B7D5B">
            <w:pPr>
              <w:pStyle w:val="EQRTableText"/>
              <w:keepNext/>
              <w:keepLines/>
            </w:pPr>
            <w:r w:rsidRPr="00990D3B">
              <w:t>Mail optional postcard and receipt returned surveys</w:t>
            </w:r>
          </w:p>
        </w:tc>
        <w:tc>
          <w:tcPr>
            <w:tcW w:w="1474" w:type="pct"/>
          </w:tcPr>
          <w:p w:rsidR="006E6B1F" w:rsidRPr="00990D3B" w:rsidP="00AD5C9E" w14:paraId="46AB0EF2" w14:textId="2684B439">
            <w:pPr>
              <w:pStyle w:val="EQRTableText"/>
              <w:keepNext/>
              <w:keepLines/>
            </w:pPr>
            <w:r w:rsidRPr="00990D3B">
              <w:t>Mail optional postcard and continue telephone follow-up</w:t>
            </w:r>
          </w:p>
        </w:tc>
        <w:tc>
          <w:tcPr>
            <w:tcW w:w="1474" w:type="pct"/>
          </w:tcPr>
          <w:p w:rsidR="006E6B1F" w:rsidRPr="00990D3B" w:rsidP="00AD5C9E" w14:paraId="5FEDB9EC" w14:textId="4C02AFF8">
            <w:pPr>
              <w:pStyle w:val="EQRTableText"/>
              <w:keepNext/>
              <w:keepLines/>
            </w:pPr>
            <w:r w:rsidRPr="00990D3B">
              <w:t>Mail optional postcard and receipt returned surveys</w:t>
            </w:r>
          </w:p>
        </w:tc>
      </w:tr>
      <w:tr w14:paraId="0B541ECC" w14:textId="77777777" w:rsidTr="000B33AC">
        <w:tblPrEx>
          <w:tblW w:w="5000" w:type="pct"/>
          <w:tblLayout w:type="fixed"/>
          <w:tblLook w:val="0620"/>
        </w:tblPrEx>
        <w:tc>
          <w:tcPr>
            <w:tcW w:w="577" w:type="pct"/>
          </w:tcPr>
          <w:p w:rsidR="006E6B1F" w:rsidRPr="00990D3B" w:rsidP="00AD5C9E" w14:paraId="7DB2F1BF" w14:textId="1E259EF4">
            <w:pPr>
              <w:pStyle w:val="EQRTableText"/>
              <w:keepNext/>
              <w:keepLines/>
            </w:pPr>
            <w:r w:rsidRPr="00990D3B">
              <w:t>3</w:t>
            </w:r>
          </w:p>
        </w:tc>
        <w:tc>
          <w:tcPr>
            <w:tcW w:w="1474" w:type="pct"/>
          </w:tcPr>
          <w:p w:rsidR="006E6B1F" w:rsidRPr="00990D3B" w:rsidP="00AD5C9E" w14:paraId="54F132F5" w14:textId="244FB2A9">
            <w:pPr>
              <w:pStyle w:val="EQRTableText"/>
              <w:keepNext/>
              <w:keepLines/>
            </w:pPr>
            <w:r w:rsidRPr="00990D3B">
              <w:t>Receipt returned surveys</w:t>
            </w:r>
          </w:p>
        </w:tc>
        <w:tc>
          <w:tcPr>
            <w:tcW w:w="1474" w:type="pct"/>
          </w:tcPr>
          <w:p w:rsidR="006E6B1F" w:rsidRPr="00990D3B" w:rsidP="00AD5C9E" w14:paraId="443CD1EC" w14:textId="1084A7EB">
            <w:pPr>
              <w:pStyle w:val="EQRTableText"/>
              <w:keepNext/>
              <w:keepLines/>
            </w:pPr>
            <w:r w:rsidRPr="00990D3B">
              <w:t>Continue telephone follow-up (weeks 3–10)</w:t>
            </w:r>
          </w:p>
        </w:tc>
        <w:tc>
          <w:tcPr>
            <w:tcW w:w="1474" w:type="pct"/>
          </w:tcPr>
          <w:p w:rsidR="006E6B1F" w:rsidRPr="00990D3B" w:rsidP="00AD5C9E" w14:paraId="6C4E1A4E" w14:textId="46B66BF7">
            <w:pPr>
              <w:pStyle w:val="EQRTableText"/>
              <w:keepNext/>
              <w:keepLines/>
            </w:pPr>
            <w:r w:rsidRPr="00990D3B">
              <w:t>Receipt returned surveys</w:t>
            </w:r>
          </w:p>
        </w:tc>
      </w:tr>
      <w:tr w14:paraId="685F9856" w14:textId="77777777" w:rsidTr="000B33AC">
        <w:tblPrEx>
          <w:tblW w:w="5000" w:type="pct"/>
          <w:tblLayout w:type="fixed"/>
          <w:tblLook w:val="0620"/>
        </w:tblPrEx>
        <w:tc>
          <w:tcPr>
            <w:tcW w:w="577" w:type="pct"/>
          </w:tcPr>
          <w:p w:rsidR="006E6B1F" w:rsidRPr="00990D3B" w:rsidP="006E6B1F" w14:paraId="1101E4E2" w14:textId="5F58B54D">
            <w:pPr>
              <w:pStyle w:val="EQRTableText"/>
              <w:keepNext/>
              <w:keepLines/>
            </w:pPr>
            <w:r w:rsidRPr="00990D3B">
              <w:t>4</w:t>
            </w:r>
          </w:p>
        </w:tc>
        <w:tc>
          <w:tcPr>
            <w:tcW w:w="1474" w:type="pct"/>
          </w:tcPr>
          <w:p w:rsidR="006E6B1F" w:rsidRPr="00990D3B" w:rsidP="006E6B1F" w14:paraId="10B671B8" w14:textId="69302B41">
            <w:pPr>
              <w:pStyle w:val="EQRTableText"/>
              <w:keepNext/>
              <w:keepLines/>
            </w:pPr>
            <w:r w:rsidRPr="00990D3B">
              <w:t>Mail second survey with cover letter to non-respondents</w:t>
            </w:r>
          </w:p>
        </w:tc>
        <w:tc>
          <w:tcPr>
            <w:tcW w:w="1474" w:type="pct"/>
          </w:tcPr>
          <w:p w:rsidR="006E6B1F" w:rsidRPr="006847EB" w:rsidP="006E6B1F" w14:paraId="42355B7D" w14:textId="48AC5660">
            <w:pPr>
              <w:pStyle w:val="EQRTableText"/>
              <w:keepNext/>
              <w:keepLines/>
            </w:pPr>
          </w:p>
        </w:tc>
        <w:tc>
          <w:tcPr>
            <w:tcW w:w="1474" w:type="pct"/>
          </w:tcPr>
          <w:p w:rsidR="006E6B1F" w:rsidRPr="00990D3B" w:rsidP="006E6B1F" w14:paraId="1403945E" w14:textId="77F8461C">
            <w:pPr>
              <w:pStyle w:val="EQRTableText"/>
              <w:keepNext/>
              <w:keepLines/>
            </w:pPr>
            <w:r w:rsidRPr="00990D3B">
              <w:t>Mail second survey with cover letter to non-respondents</w:t>
            </w:r>
          </w:p>
        </w:tc>
      </w:tr>
      <w:tr w14:paraId="5F94BC9B" w14:textId="77777777" w:rsidTr="000B33AC">
        <w:tblPrEx>
          <w:tblW w:w="5000" w:type="pct"/>
          <w:tblLayout w:type="fixed"/>
          <w:tblLook w:val="0620"/>
        </w:tblPrEx>
        <w:tc>
          <w:tcPr>
            <w:tcW w:w="577" w:type="pct"/>
          </w:tcPr>
          <w:p w:rsidR="006E6B1F" w:rsidRPr="00990D3B" w:rsidP="006E6B1F" w14:paraId="5E80CC42" w14:textId="0AA696C9">
            <w:pPr>
              <w:pStyle w:val="EQRTableText"/>
              <w:keepNext/>
              <w:keepLines/>
            </w:pPr>
            <w:r w:rsidRPr="00990D3B">
              <w:t>5</w:t>
            </w:r>
          </w:p>
        </w:tc>
        <w:tc>
          <w:tcPr>
            <w:tcW w:w="1474" w:type="pct"/>
          </w:tcPr>
          <w:p w:rsidR="006E6B1F" w:rsidRPr="00990D3B" w:rsidP="006E6B1F" w14:paraId="0E28E2A9" w14:textId="49ECBC26">
            <w:pPr>
              <w:pStyle w:val="EQRTableText"/>
              <w:keepNext/>
              <w:keepLines/>
            </w:pPr>
            <w:r w:rsidRPr="00990D3B">
              <w:t>Receipt returned surveys (weeks 5–10)</w:t>
            </w:r>
          </w:p>
        </w:tc>
        <w:tc>
          <w:tcPr>
            <w:tcW w:w="1474" w:type="pct"/>
          </w:tcPr>
          <w:p w:rsidR="006E6B1F" w:rsidRPr="006847EB" w:rsidP="006E6B1F" w14:paraId="518C2956" w14:textId="167A8B0D">
            <w:pPr>
              <w:pStyle w:val="EQRTableText"/>
              <w:keepNext/>
              <w:keepLines/>
            </w:pPr>
          </w:p>
        </w:tc>
        <w:tc>
          <w:tcPr>
            <w:tcW w:w="1474" w:type="pct"/>
          </w:tcPr>
          <w:p w:rsidR="006E6B1F" w:rsidRPr="00990D3B" w:rsidP="006E6B1F" w14:paraId="091AAE13" w14:textId="1B7D461E">
            <w:pPr>
              <w:pStyle w:val="EQRTableText"/>
              <w:keepNext/>
              <w:keepLines/>
            </w:pPr>
            <w:r w:rsidRPr="00990D3B">
              <w:t>Receipt returned surveys</w:t>
            </w:r>
          </w:p>
        </w:tc>
      </w:tr>
      <w:tr w14:paraId="00D5265A" w14:textId="77777777" w:rsidTr="000B33AC">
        <w:tblPrEx>
          <w:tblW w:w="5000" w:type="pct"/>
          <w:tblLayout w:type="fixed"/>
          <w:tblLook w:val="0620"/>
        </w:tblPrEx>
        <w:tc>
          <w:tcPr>
            <w:tcW w:w="577" w:type="pct"/>
          </w:tcPr>
          <w:p w:rsidR="006E6B1F" w:rsidRPr="00990D3B" w:rsidP="006E6B1F" w14:paraId="6F1634D2" w14:textId="2FF7AD6A">
            <w:pPr>
              <w:pStyle w:val="EQRTableText"/>
              <w:keepNext/>
              <w:keepLines/>
            </w:pPr>
            <w:r w:rsidRPr="00990D3B">
              <w:t>6</w:t>
            </w:r>
          </w:p>
        </w:tc>
        <w:tc>
          <w:tcPr>
            <w:tcW w:w="1474" w:type="pct"/>
          </w:tcPr>
          <w:p w:rsidR="006E6B1F" w:rsidRPr="006847EB" w:rsidP="006E6B1F" w14:paraId="41F5518D" w14:textId="139E37DE">
            <w:pPr>
              <w:pStyle w:val="EQRTableText"/>
              <w:keepNext/>
              <w:keepLines/>
            </w:pPr>
          </w:p>
        </w:tc>
        <w:tc>
          <w:tcPr>
            <w:tcW w:w="1474" w:type="pct"/>
          </w:tcPr>
          <w:p w:rsidR="006E6B1F" w:rsidRPr="006847EB" w:rsidP="006E6B1F" w14:paraId="7B467266" w14:textId="763533F5">
            <w:pPr>
              <w:pStyle w:val="EQRTableText"/>
              <w:keepNext/>
              <w:keepLines/>
            </w:pPr>
          </w:p>
        </w:tc>
        <w:tc>
          <w:tcPr>
            <w:tcW w:w="1474" w:type="pct"/>
          </w:tcPr>
          <w:p w:rsidR="006E6B1F" w:rsidRPr="00990D3B" w:rsidP="006E6B1F" w14:paraId="589FADA3" w14:textId="466F0293">
            <w:pPr>
              <w:pStyle w:val="EQRTableText"/>
              <w:keepNext/>
              <w:keepLines/>
            </w:pPr>
            <w:r w:rsidRPr="00990D3B">
              <w:t xml:space="preserve">Telephone </w:t>
            </w:r>
            <w:r w:rsidRPr="00990D3B">
              <w:t>follow</w:t>
            </w:r>
            <w:r w:rsidRPr="00990D3B">
              <w:t xml:space="preserve"> up to non-respondents and receipt returned surveys (weeks 6–12)</w:t>
            </w:r>
          </w:p>
        </w:tc>
      </w:tr>
      <w:tr w14:paraId="5A4313EE" w14:textId="77777777" w:rsidTr="000B33AC">
        <w:tblPrEx>
          <w:tblW w:w="5000" w:type="pct"/>
          <w:tblLayout w:type="fixed"/>
          <w:tblLook w:val="0620"/>
        </w:tblPrEx>
        <w:tc>
          <w:tcPr>
            <w:tcW w:w="577" w:type="pct"/>
          </w:tcPr>
          <w:p w:rsidR="006E6B1F" w:rsidRPr="00990D3B" w:rsidP="006E6B1F" w14:paraId="3DA91AD0" w14:textId="4C245139">
            <w:pPr>
              <w:pStyle w:val="EQRTableText"/>
              <w:keepNext/>
              <w:keepLines/>
            </w:pPr>
            <w:r w:rsidRPr="00990D3B">
              <w:t>7</w:t>
            </w:r>
          </w:p>
        </w:tc>
        <w:tc>
          <w:tcPr>
            <w:tcW w:w="1474" w:type="pct"/>
          </w:tcPr>
          <w:p w:rsidR="006E6B1F" w:rsidRPr="006847EB" w:rsidP="006E6B1F" w14:paraId="1B766FC3" w14:textId="37D1EFC1">
            <w:pPr>
              <w:pStyle w:val="EQRTableText"/>
              <w:keepNext/>
              <w:keepLines/>
            </w:pPr>
          </w:p>
        </w:tc>
        <w:tc>
          <w:tcPr>
            <w:tcW w:w="1474" w:type="pct"/>
          </w:tcPr>
          <w:p w:rsidR="006E6B1F" w:rsidRPr="006847EB" w:rsidP="006E6B1F" w14:paraId="29AA4948" w14:textId="72172DB8">
            <w:pPr>
              <w:pStyle w:val="EQRTableText"/>
              <w:keepNext/>
              <w:keepLines/>
            </w:pPr>
          </w:p>
        </w:tc>
        <w:tc>
          <w:tcPr>
            <w:tcW w:w="1474" w:type="pct"/>
          </w:tcPr>
          <w:p w:rsidR="006E6B1F" w:rsidRPr="006847EB" w:rsidP="006E6B1F" w14:paraId="04CA26E7" w14:textId="3671795D">
            <w:pPr>
              <w:pStyle w:val="EQRTableText"/>
              <w:keepNext/>
              <w:keepLines/>
            </w:pPr>
          </w:p>
        </w:tc>
      </w:tr>
      <w:tr w14:paraId="71CB56E3" w14:textId="77777777" w:rsidTr="000B33AC">
        <w:tblPrEx>
          <w:tblW w:w="5000" w:type="pct"/>
          <w:tblLayout w:type="fixed"/>
          <w:tblLook w:val="0620"/>
        </w:tblPrEx>
        <w:tc>
          <w:tcPr>
            <w:tcW w:w="577" w:type="pct"/>
          </w:tcPr>
          <w:p w:rsidR="006E6B1F" w:rsidRPr="00990D3B" w:rsidP="006E6B1F" w14:paraId="723ED09E" w14:textId="284CE0C2">
            <w:pPr>
              <w:pStyle w:val="EQRTableText"/>
              <w:keepNext/>
              <w:keepLines/>
            </w:pPr>
            <w:r w:rsidRPr="00990D3B">
              <w:t>8</w:t>
            </w:r>
          </w:p>
        </w:tc>
        <w:tc>
          <w:tcPr>
            <w:tcW w:w="1474" w:type="pct"/>
          </w:tcPr>
          <w:p w:rsidR="006E6B1F" w:rsidRPr="006847EB" w:rsidP="006E6B1F" w14:paraId="6ED63907" w14:textId="0BE78A1F">
            <w:pPr>
              <w:pStyle w:val="EQRTableText"/>
              <w:keepNext/>
              <w:keepLines/>
            </w:pPr>
          </w:p>
        </w:tc>
        <w:tc>
          <w:tcPr>
            <w:tcW w:w="1474" w:type="pct"/>
          </w:tcPr>
          <w:p w:rsidR="006E6B1F" w:rsidRPr="006847EB" w:rsidP="006E6B1F" w14:paraId="2B56B6A8" w14:textId="7E41E573">
            <w:pPr>
              <w:pStyle w:val="EQRTableText"/>
              <w:keepNext/>
              <w:keepLines/>
            </w:pPr>
          </w:p>
        </w:tc>
        <w:tc>
          <w:tcPr>
            <w:tcW w:w="1474" w:type="pct"/>
          </w:tcPr>
          <w:p w:rsidR="006E6B1F" w:rsidRPr="006847EB" w:rsidP="006E6B1F" w14:paraId="38AA2146" w14:textId="3A49B08A">
            <w:pPr>
              <w:pStyle w:val="EQRTableText"/>
              <w:keepNext/>
              <w:keepLines/>
            </w:pPr>
          </w:p>
        </w:tc>
      </w:tr>
      <w:tr w14:paraId="16BCB891" w14:textId="77777777" w:rsidTr="000B33AC">
        <w:tblPrEx>
          <w:tblW w:w="5000" w:type="pct"/>
          <w:tblLayout w:type="fixed"/>
          <w:tblLook w:val="0620"/>
        </w:tblPrEx>
        <w:tc>
          <w:tcPr>
            <w:tcW w:w="577" w:type="pct"/>
          </w:tcPr>
          <w:p w:rsidR="006E6B1F" w:rsidRPr="00990D3B" w:rsidP="006E6B1F" w14:paraId="3D676A90" w14:textId="28573F48">
            <w:pPr>
              <w:pStyle w:val="EQRTableText"/>
              <w:keepNext/>
              <w:keepLines/>
            </w:pPr>
            <w:r w:rsidRPr="00990D3B">
              <w:t>9</w:t>
            </w:r>
          </w:p>
        </w:tc>
        <w:tc>
          <w:tcPr>
            <w:tcW w:w="1474" w:type="pct"/>
          </w:tcPr>
          <w:p w:rsidR="006E6B1F" w:rsidRPr="006847EB" w:rsidP="006E6B1F" w14:paraId="436FDFF8" w14:textId="4CAA73EB">
            <w:pPr>
              <w:pStyle w:val="EQRTableText"/>
              <w:keepNext/>
              <w:keepLines/>
            </w:pPr>
          </w:p>
        </w:tc>
        <w:tc>
          <w:tcPr>
            <w:tcW w:w="1474" w:type="pct"/>
          </w:tcPr>
          <w:p w:rsidR="006E6B1F" w:rsidRPr="006847EB" w:rsidP="006E6B1F" w14:paraId="35EFF5C6" w14:textId="410C657D">
            <w:pPr>
              <w:pStyle w:val="EQRTableText"/>
              <w:keepNext/>
              <w:keepLines/>
            </w:pPr>
          </w:p>
        </w:tc>
        <w:tc>
          <w:tcPr>
            <w:tcW w:w="1474" w:type="pct"/>
          </w:tcPr>
          <w:p w:rsidR="006E6B1F" w:rsidRPr="006847EB" w:rsidP="006E6B1F" w14:paraId="51B48E1C" w14:textId="38066A1C">
            <w:pPr>
              <w:pStyle w:val="EQRTableText"/>
              <w:keepNext/>
              <w:keepLines/>
            </w:pPr>
          </w:p>
        </w:tc>
      </w:tr>
      <w:tr w14:paraId="676BB160" w14:textId="77777777" w:rsidTr="000B33AC">
        <w:tblPrEx>
          <w:tblW w:w="5000" w:type="pct"/>
          <w:tblLayout w:type="fixed"/>
          <w:tblLook w:val="0620"/>
        </w:tblPrEx>
        <w:tc>
          <w:tcPr>
            <w:tcW w:w="577" w:type="pct"/>
          </w:tcPr>
          <w:p w:rsidR="006E6B1F" w:rsidRPr="00990D3B" w:rsidP="006E6B1F" w14:paraId="7E3A4563" w14:textId="3623679A">
            <w:pPr>
              <w:pStyle w:val="EQRTableText"/>
              <w:keepNext/>
              <w:keepLines/>
            </w:pPr>
            <w:r w:rsidRPr="00990D3B">
              <w:t>10</w:t>
            </w:r>
          </w:p>
        </w:tc>
        <w:tc>
          <w:tcPr>
            <w:tcW w:w="1474" w:type="pct"/>
          </w:tcPr>
          <w:p w:rsidR="006E6B1F" w:rsidRPr="00990D3B" w:rsidP="006E6B1F" w14:paraId="1C84EAD7" w14:textId="074A4C80">
            <w:pPr>
              <w:pStyle w:val="EQRTableText"/>
              <w:keepNext/>
              <w:keepLines/>
            </w:pPr>
            <w:r w:rsidRPr="00990D3B">
              <w:rPr>
                <w:b/>
              </w:rPr>
              <w:t>End data collection</w:t>
            </w:r>
          </w:p>
        </w:tc>
        <w:tc>
          <w:tcPr>
            <w:tcW w:w="1474" w:type="pct"/>
          </w:tcPr>
          <w:p w:rsidR="006E6B1F" w:rsidRPr="00990D3B" w:rsidP="006E6B1F" w14:paraId="323207F5" w14:textId="48657DE7">
            <w:pPr>
              <w:pStyle w:val="EQRTableText"/>
              <w:keepNext/>
              <w:keepLines/>
            </w:pPr>
            <w:r w:rsidRPr="00990D3B">
              <w:rPr>
                <w:b/>
              </w:rPr>
              <w:t>End data collection</w:t>
            </w:r>
          </w:p>
        </w:tc>
        <w:tc>
          <w:tcPr>
            <w:tcW w:w="1474" w:type="pct"/>
          </w:tcPr>
          <w:p w:rsidR="006E6B1F" w:rsidRPr="006847EB" w:rsidP="006E6B1F" w14:paraId="44681147" w14:textId="6921950D">
            <w:pPr>
              <w:pStyle w:val="EQRTableText"/>
              <w:keepNext/>
              <w:keepLines/>
            </w:pPr>
          </w:p>
        </w:tc>
      </w:tr>
      <w:tr w14:paraId="03736FFC" w14:textId="77777777" w:rsidTr="000B33AC">
        <w:tblPrEx>
          <w:tblW w:w="5000" w:type="pct"/>
          <w:tblLayout w:type="fixed"/>
          <w:tblLook w:val="0620"/>
        </w:tblPrEx>
        <w:tc>
          <w:tcPr>
            <w:tcW w:w="577" w:type="pct"/>
          </w:tcPr>
          <w:p w:rsidR="006E6B1F" w:rsidRPr="00990D3B" w:rsidP="006E6B1F" w14:paraId="27DAB907" w14:textId="789BD19E">
            <w:pPr>
              <w:pStyle w:val="EQRTableText"/>
              <w:keepNext/>
              <w:keepLines/>
            </w:pPr>
            <w:r w:rsidRPr="00990D3B">
              <w:t>11</w:t>
            </w:r>
          </w:p>
        </w:tc>
        <w:tc>
          <w:tcPr>
            <w:tcW w:w="1474" w:type="pct"/>
          </w:tcPr>
          <w:p w:rsidR="006E6B1F" w:rsidRPr="006847EB" w:rsidP="006E6B1F" w14:paraId="0CF9020F" w14:textId="7547D037">
            <w:pPr>
              <w:pStyle w:val="EQRTableText"/>
              <w:keepNext/>
              <w:keepLines/>
            </w:pPr>
          </w:p>
        </w:tc>
        <w:tc>
          <w:tcPr>
            <w:tcW w:w="1474" w:type="pct"/>
          </w:tcPr>
          <w:p w:rsidR="006E6B1F" w:rsidRPr="006847EB" w:rsidP="006E6B1F" w14:paraId="47D0BBFC" w14:textId="422DE21A">
            <w:pPr>
              <w:pStyle w:val="EQRTableText"/>
              <w:keepNext/>
              <w:keepLines/>
            </w:pPr>
          </w:p>
        </w:tc>
        <w:tc>
          <w:tcPr>
            <w:tcW w:w="1474" w:type="pct"/>
          </w:tcPr>
          <w:p w:rsidR="006E6B1F" w:rsidRPr="006847EB" w:rsidP="006E6B1F" w14:paraId="2DC897C7" w14:textId="48600E9B">
            <w:pPr>
              <w:pStyle w:val="EQRTableText"/>
              <w:keepNext/>
              <w:keepLines/>
            </w:pPr>
          </w:p>
        </w:tc>
      </w:tr>
      <w:tr w14:paraId="6DD85E57" w14:textId="77777777" w:rsidTr="000B33AC">
        <w:tblPrEx>
          <w:tblW w:w="5000" w:type="pct"/>
          <w:tblLayout w:type="fixed"/>
          <w:tblLook w:val="0620"/>
        </w:tblPrEx>
        <w:tc>
          <w:tcPr>
            <w:tcW w:w="577" w:type="pct"/>
          </w:tcPr>
          <w:p w:rsidR="006E6B1F" w:rsidRPr="00990D3B" w:rsidP="007D63E6" w14:paraId="6859AF2F" w14:textId="025E05BD">
            <w:pPr>
              <w:pStyle w:val="EQRTableText"/>
              <w:keepLines/>
              <w:rPr>
                <w:rFonts w:cs="Arial"/>
                <w:szCs w:val="18"/>
              </w:rPr>
            </w:pPr>
            <w:r w:rsidRPr="00990D3B">
              <w:t>12</w:t>
            </w:r>
          </w:p>
        </w:tc>
        <w:tc>
          <w:tcPr>
            <w:tcW w:w="1474" w:type="pct"/>
          </w:tcPr>
          <w:p w:rsidR="006E6B1F" w:rsidRPr="006847EB" w:rsidP="006E6B1F" w14:paraId="53A281F4" w14:textId="61D7FF7E">
            <w:pPr>
              <w:pStyle w:val="EQRTableText"/>
              <w:keepNext/>
              <w:keepLines/>
              <w:rPr>
                <w:rFonts w:cs="Arial"/>
                <w:szCs w:val="18"/>
              </w:rPr>
            </w:pPr>
          </w:p>
        </w:tc>
        <w:tc>
          <w:tcPr>
            <w:tcW w:w="1474" w:type="pct"/>
          </w:tcPr>
          <w:p w:rsidR="006E6B1F" w:rsidRPr="006847EB" w:rsidP="006E6B1F" w14:paraId="4EBD7A7F" w14:textId="5F0BC6D7">
            <w:pPr>
              <w:pStyle w:val="EQRTableText"/>
              <w:keepNext/>
              <w:keepLines/>
            </w:pPr>
          </w:p>
        </w:tc>
        <w:tc>
          <w:tcPr>
            <w:tcW w:w="1474" w:type="pct"/>
          </w:tcPr>
          <w:p w:rsidR="006E6B1F" w:rsidRPr="00990D3B" w:rsidP="006E6B1F" w14:paraId="355DE2F3" w14:textId="456EDE18">
            <w:pPr>
              <w:pStyle w:val="EQRTableText"/>
              <w:keepNext/>
              <w:keepLines/>
            </w:pPr>
            <w:r w:rsidRPr="00990D3B">
              <w:rPr>
                <w:b/>
              </w:rPr>
              <w:t>End data collection</w:t>
            </w:r>
          </w:p>
        </w:tc>
      </w:tr>
    </w:tbl>
    <w:p w:rsidR="00CA5838" w:rsidRPr="00990D3B" w:rsidP="00576CF3" w14:paraId="00C37CE4" w14:textId="77777777">
      <w:pPr>
        <w:pStyle w:val="H2"/>
      </w:pPr>
      <w:bookmarkStart w:id="692" w:name="P6AI8"/>
      <w:bookmarkStart w:id="693" w:name="_Toc14777723"/>
      <w:bookmarkStart w:id="694" w:name="_Toc183005621"/>
      <w:bookmarkStart w:id="695" w:name="_Toc201751391"/>
      <w:r w:rsidRPr="00990D3B">
        <w:t>A</w:t>
      </w:r>
      <w:r w:rsidRPr="00990D3B" w:rsidR="0018305F">
        <w:t>ctivity</w:t>
      </w:r>
      <w:r w:rsidRPr="00990D3B">
        <w:t xml:space="preserve"> </w:t>
      </w:r>
      <w:r w:rsidRPr="00990D3B" w:rsidR="00E33E1D">
        <w:t>I.</w:t>
      </w:r>
      <w:r w:rsidRPr="00990D3B">
        <w:t>8</w:t>
      </w:r>
      <w:bookmarkEnd w:id="692"/>
      <w:r w:rsidRPr="00990D3B">
        <w:t>: P</w:t>
      </w:r>
      <w:r w:rsidRPr="00990D3B" w:rsidR="0018305F">
        <w:t xml:space="preserve">repare and </w:t>
      </w:r>
      <w:r w:rsidRPr="00990D3B">
        <w:t>A</w:t>
      </w:r>
      <w:r w:rsidRPr="00990D3B" w:rsidR="0018305F">
        <w:t xml:space="preserve">nalyze </w:t>
      </w:r>
      <w:r w:rsidRPr="00990D3B">
        <w:t>S</w:t>
      </w:r>
      <w:r w:rsidRPr="00990D3B" w:rsidR="0018305F">
        <w:t xml:space="preserve">urvey </w:t>
      </w:r>
      <w:r w:rsidRPr="00990D3B">
        <w:t>D</w:t>
      </w:r>
      <w:r w:rsidRPr="00990D3B" w:rsidR="0018305F">
        <w:t xml:space="preserve">ata and </w:t>
      </w:r>
      <w:r w:rsidRPr="00990D3B">
        <w:t>P</w:t>
      </w:r>
      <w:r w:rsidRPr="00990D3B" w:rsidR="0018305F">
        <w:t xml:space="preserve">resent </w:t>
      </w:r>
      <w:r w:rsidRPr="00990D3B">
        <w:t>R</w:t>
      </w:r>
      <w:r w:rsidRPr="00990D3B" w:rsidR="0018305F">
        <w:t>esults in a</w:t>
      </w:r>
      <w:r w:rsidRPr="00990D3B">
        <w:t xml:space="preserve"> F</w:t>
      </w:r>
      <w:r w:rsidRPr="00990D3B" w:rsidR="0018305F">
        <w:t xml:space="preserve">inal </w:t>
      </w:r>
      <w:r w:rsidRPr="00990D3B">
        <w:t>R</w:t>
      </w:r>
      <w:r w:rsidRPr="00990D3B" w:rsidR="0018305F">
        <w:t>eport</w:t>
      </w:r>
      <w:bookmarkEnd w:id="693"/>
      <w:bookmarkEnd w:id="694"/>
      <w:bookmarkEnd w:id="695"/>
    </w:p>
    <w:p w:rsidR="00261D9F" w:rsidRPr="00990D3B" w:rsidP="00B93E40" w14:paraId="27171286" w14:textId="1345C9F6">
      <w:pPr>
        <w:pStyle w:val="ParagraphContinued"/>
      </w:pPr>
      <w:r w:rsidRPr="00990D3B">
        <w:rPr>
          <w:noProof/>
        </w:rPr>
        <mc:AlternateContent>
          <mc:Choice Requires="wps">
            <w:drawing>
              <wp:anchor distT="0" distB="0" distL="114300" distR="114300" simplePos="0" relativeHeight="251871232" behindDoc="0" locked="0" layoutInCell="1" allowOverlap="1">
                <wp:simplePos x="0" y="0"/>
                <wp:positionH relativeFrom="column">
                  <wp:posOffset>3619500</wp:posOffset>
                </wp:positionH>
                <wp:positionV relativeFrom="paragraph">
                  <wp:posOffset>450850</wp:posOffset>
                </wp:positionV>
                <wp:extent cx="2195195" cy="1148715"/>
                <wp:effectExtent l="19050" t="19050" r="0" b="0"/>
                <wp:wrapTight wrapText="bothSides">
                  <wp:wrapPolygon>
                    <wp:start x="21787" y="21958"/>
                    <wp:lineTo x="21787" y="96"/>
                    <wp:lineTo x="44" y="96"/>
                    <wp:lineTo x="44" y="21958"/>
                    <wp:lineTo x="21787" y="21958"/>
                  </wp:wrapPolygon>
                </wp:wrapTight>
                <wp:docPr id="674032690" name="Text Box 8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148715"/>
                        </a:xfrm>
                        <a:prstGeom prst="rect">
                          <a:avLst/>
                        </a:prstGeom>
                        <a:solidFill>
                          <a:srgbClr val="EEF5F8"/>
                        </a:solidFill>
                        <a:ln w="28575" cap="rnd">
                          <a:solidFill>
                            <a:srgbClr val="A5DAD9"/>
                          </a:solidFill>
                          <a:prstDash val="solid"/>
                          <a:miter lim="800000"/>
                          <a:headEnd/>
                          <a:tailEnd/>
                        </a:ln>
                      </wps:spPr>
                      <wps:txbx>
                        <w:txbxContent>
                          <w:p w:rsidR="00ED33C3" w:rsidRPr="00D41CCB" w:rsidP="00B93E40" w14:textId="6EE7670C">
                            <w:pPr>
                              <w:pStyle w:val="EQRTextboxheading"/>
                            </w:pPr>
                            <w:r w:rsidRPr="00D41CCB">
                              <w:t xml:space="preserve">Resource for Activity </w:t>
                            </w:r>
                            <w:r>
                              <w:t>8</w:t>
                            </w:r>
                          </w:p>
                          <w:p w:rsidR="00ED33C3" w:rsidP="00B93E40" w14:textId="249A6091">
                            <w:pPr>
                              <w:pStyle w:val="EQRTextboxbody"/>
                            </w:pPr>
                            <w:hyperlink w:anchor="WSp6n08" w:tooltip="Worksheet 6.8. Survey Data Analysis and Final Report" w:history="1">
                              <w:r w:rsidRPr="002B0982">
                                <w:rPr>
                                  <w:rStyle w:val="Hyperlink"/>
                                </w:rPr>
                                <w:t>Worksheet 6.8. Survey Data Analysis and Final Report</w:t>
                              </w:r>
                            </w:hyperlink>
                          </w:p>
                          <w:p w:rsidR="00ED33C3" w:rsidRPr="004B37FD" w:rsidP="00B93E40" w14:textId="6CDB92B8">
                            <w:pPr>
                              <w:pStyle w:val="EQRTextboxbullet"/>
                            </w:pPr>
                            <w:r>
                              <w:t>Provides a set of questions to assess the data analysis and final report</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5" o:spid="_x0000_s1193" type="#_x0000_t202" style="width:172.85pt;height:90.45pt;margin-top:35.5pt;margin-left:285pt;flip:y;mso-height-percent:0;mso-height-relative:page;mso-width-percent:0;mso-width-relative:page;mso-wrap-distance-bottom:0;mso-wrap-distance-left:9pt;mso-wrap-distance-right:9pt;mso-wrap-distance-top:0;mso-wrap-style:square;position:absolute;rotation:180;visibility:visible;v-text-anchor:top;z-index:251872256" fillcolor="#eef5f8" strokecolor="#a5dad9" strokeweight="2.25pt">
                <v:stroke endcap="round"/>
                <v:textbox style="mso-fit-shape-to-text:t" inset="8.64pt,,8.64pt">
                  <w:txbxContent>
                    <w:p w:rsidR="00ED33C3" w:rsidRPr="00D41CCB" w:rsidP="00B93E40" w14:paraId="45AE1173" w14:textId="6EE7670C">
                      <w:pPr>
                        <w:pStyle w:val="EQRTextboxheading"/>
                      </w:pPr>
                      <w:r w:rsidRPr="00D41CCB">
                        <w:t xml:space="preserve">Resource for Activity </w:t>
                      </w:r>
                      <w:r>
                        <w:t>8</w:t>
                      </w:r>
                    </w:p>
                    <w:p w:rsidR="00ED33C3" w:rsidP="00B93E40" w14:paraId="2AD4304E" w14:textId="249A6091">
                      <w:pPr>
                        <w:pStyle w:val="EQRTextboxbody"/>
                      </w:pPr>
                      <w:hyperlink w:anchor="WSp6n08" w:tooltip="Worksheet 6.8. Survey Data Analysis and Final Report" w:history="1">
                        <w:r w:rsidRPr="002B0982">
                          <w:rPr>
                            <w:rStyle w:val="Hyperlink"/>
                          </w:rPr>
                          <w:t>Worksheet 6.8. Survey Data Analysis and Final Report</w:t>
                        </w:r>
                      </w:hyperlink>
                    </w:p>
                    <w:p w:rsidR="00ED33C3" w:rsidRPr="004B37FD" w:rsidP="00B93E40" w14:paraId="52D5DFAA" w14:textId="6CDB92B8">
                      <w:pPr>
                        <w:pStyle w:val="EQRTextboxbullet"/>
                      </w:pPr>
                      <w:r>
                        <w:t>Provides a set of questions to assess the data analysis and final report</w:t>
                      </w:r>
                    </w:p>
                  </w:txbxContent>
                </v:textbox>
                <w10:wrap type="tight"/>
              </v:shape>
            </w:pict>
          </mc:Fallback>
        </mc:AlternateContent>
      </w:r>
      <w:r w:rsidRPr="00990D3B">
        <w:rPr>
          <w:noProof/>
        </w:rPr>
        <mc:AlternateContent>
          <mc:Choice Requires="wps">
            <w:drawing>
              <wp:anchor distT="0" distB="0" distL="114300" distR="114300" simplePos="0" relativeHeight="251873280" behindDoc="0" locked="0" layoutInCell="1" allowOverlap="1">
                <wp:simplePos x="0" y="0"/>
                <wp:positionH relativeFrom="column">
                  <wp:posOffset>3619500</wp:posOffset>
                </wp:positionH>
                <wp:positionV relativeFrom="paragraph">
                  <wp:posOffset>90170</wp:posOffset>
                </wp:positionV>
                <wp:extent cx="2193925" cy="297815"/>
                <wp:effectExtent l="19050" t="19050" r="0" b="7620"/>
                <wp:wrapTight wrapText="bothSides">
                  <wp:wrapPolygon>
                    <wp:start x="21788" y="22985"/>
                    <wp:lineTo x="21788" y="-554"/>
                    <wp:lineTo x="31" y="-554"/>
                    <wp:lineTo x="31" y="22985"/>
                    <wp:lineTo x="21788" y="22985"/>
                  </wp:wrapPolygon>
                </wp:wrapTight>
                <wp:docPr id="534995128" name="Text Box 8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6847EB" w:rsidP="00B93E40" w14:textId="64612772">
                            <w:pPr>
                              <w:pStyle w:val="EQRWORKSHEETText"/>
                              <w:rPr>
                                <w:color w:val="006068" w:themeColor="accent1" w:themeShade="BF"/>
                              </w:rPr>
                            </w:pPr>
                            <w:hyperlink w:anchor="WSp6n08" w:tooltip="WORKSHEET 6.8" w:history="1">
                              <w:r w:rsidRPr="006847EB">
                                <w:rPr>
                                  <w:color w:val="006068" w:themeColor="accent1" w:themeShade="BF"/>
                                </w:rPr>
                                <w:t>WORKSHEET 6.8</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4" o:spid="_x0000_s1194" type="#_x0000_t202" style="width:172.75pt;height:23.45pt;margin-top:7.1pt;margin-left:285pt;flip:y;mso-height-percent:0;mso-height-relative:page;mso-width-percent:0;mso-width-relative:page;mso-wrap-distance-bottom:0;mso-wrap-distance-left:9pt;mso-wrap-distance-right:9pt;mso-wrap-distance-top:0;mso-wrap-style:square;position:absolute;rotation:180;visibility:visible;v-text-anchor:top;z-index:251874304" fillcolor="#eef5f8" strokecolor="#a5dad9" strokeweight="2.25pt">
                <v:stroke endcap="round"/>
                <v:textbox style="mso-fit-shape-to-text:t" inset="8.64pt,,8.64pt">
                  <w:txbxContent>
                    <w:p w:rsidR="00ED33C3" w:rsidRPr="006847EB" w:rsidP="00B93E40" w14:paraId="7B9FFE57" w14:textId="64612772">
                      <w:pPr>
                        <w:pStyle w:val="EQRWORKSHEETText"/>
                        <w:rPr>
                          <w:color w:val="006068" w:themeColor="accent1" w:themeShade="BF"/>
                        </w:rPr>
                      </w:pPr>
                      <w:hyperlink w:anchor="WSp6n08" w:tooltip="WORKSHEET 6.8" w:history="1">
                        <w:r w:rsidRPr="006847EB">
                          <w:rPr>
                            <w:color w:val="006068" w:themeColor="accent1" w:themeShade="BF"/>
                          </w:rPr>
                          <w:t>WORKSHEET 6.8</w:t>
                        </w:r>
                      </w:hyperlink>
                    </w:p>
                  </w:txbxContent>
                </v:textbox>
                <w10:wrap type="tight"/>
              </v:shape>
            </w:pict>
          </mc:Fallback>
        </mc:AlternateContent>
      </w:r>
      <w:r w:rsidRPr="00990D3B" w:rsidR="00261D9F">
        <w:t>Once the surveys have been completed and returned, the EQRO must prepare the data for analysis. This may include post</w:t>
      </w:r>
      <w:r w:rsidRPr="00990D3B" w:rsidR="00610B4F">
        <w:t>-</w:t>
      </w:r>
      <w:r w:rsidRPr="00990D3B" w:rsidR="00261D9F">
        <w:t>processing procedures (e.g., cleaning and editing, creating weights</w:t>
      </w:r>
      <w:r w:rsidRPr="00990D3B" w:rsidR="00E34AE7">
        <w:t>,</w:t>
      </w:r>
      <w:r w:rsidRPr="00990D3B" w:rsidR="00261D9F">
        <w:t xml:space="preserve"> and conducting a nonresponse analysis). Then the EQRO proceeds with the data analysis in accordance with the work plan and prepares the final report</w:t>
      </w:r>
      <w:r w:rsidRPr="00990D3B" w:rsidR="00450A4A">
        <w:t xml:space="preserve">. </w:t>
      </w:r>
    </w:p>
    <w:p w:rsidR="00261D9F" w:rsidRPr="00990D3B" w:rsidP="00576CF3" w14:paraId="3B2E55E7" w14:textId="11105002">
      <w:pPr>
        <w:pStyle w:val="H3"/>
      </w:pPr>
      <w:bookmarkStart w:id="696" w:name="P6AI8Step1"/>
      <w:bookmarkEnd w:id="696"/>
      <w:r w:rsidRPr="00990D3B">
        <w:t>Step 1</w:t>
      </w:r>
      <w:r w:rsidRPr="00990D3B" w:rsidR="00BF3AFB">
        <w:t>:</w:t>
      </w:r>
      <w:r w:rsidRPr="00990D3B">
        <w:t xml:space="preserve"> Implement Post-Processing Procedures</w:t>
      </w:r>
    </w:p>
    <w:p w:rsidR="00261D9F" w:rsidRPr="00990D3B" w:rsidP="004E5005" w14:paraId="7BA253BC" w14:textId="18F57B9D">
      <w:pPr>
        <w:pStyle w:val="ParagraphContinued"/>
        <w:rPr>
          <w:color w:val="000000" w:themeColor="text1"/>
        </w:rPr>
      </w:pPr>
      <w:r w:rsidRPr="00990D3B">
        <w:rPr>
          <w:color w:val="000000" w:themeColor="text1"/>
        </w:rPr>
        <w:t>In this step, the EQRO implements procedures, c</w:t>
      </w:r>
      <w:r w:rsidRPr="00990D3B">
        <w:rPr>
          <w:color w:val="000000" w:themeColor="text1"/>
        </w:rPr>
        <w:t>onsistent with the quality assurance plan (</w:t>
      </w:r>
      <w:hyperlink w:anchor="P6AII6" w:tooltip="Activity I.6" w:history="1">
        <w:r w:rsidRPr="00990D3B" w:rsidR="000C22B2">
          <w:rPr>
            <w:rStyle w:val="Hyperlink"/>
            <w:color w:val="000000" w:themeColor="text1"/>
          </w:rPr>
          <w:t>Activity I.6</w:t>
        </w:r>
      </w:hyperlink>
      <w:r w:rsidRPr="00990D3B">
        <w:rPr>
          <w:color w:val="000000" w:themeColor="text1"/>
        </w:rPr>
        <w:t>), to handle responses that fail edit checks, address missing data, and remove data from surveys determined to be unusable. The EQRO should specify the criteria used to remove surveys or data from the final analytic file (including the threshold used to determine a completed case). The EQRO should document the reasons for all exclusions or adjustments of data used for the analysis.</w:t>
      </w:r>
    </w:p>
    <w:p w:rsidR="00261D9F" w:rsidRPr="00990D3B" w:rsidP="00576CF3" w14:paraId="1D7344D1" w14:textId="5DFE4B4D">
      <w:pPr>
        <w:pStyle w:val="H3"/>
      </w:pPr>
      <w:bookmarkStart w:id="697" w:name="P6AI8Step2"/>
      <w:bookmarkEnd w:id="697"/>
      <w:r w:rsidRPr="00990D3B">
        <w:t>Step 2</w:t>
      </w:r>
      <w:r w:rsidRPr="00990D3B" w:rsidR="00BF3AFB">
        <w:t>:</w:t>
      </w:r>
      <w:r w:rsidRPr="00990D3B">
        <w:t xml:space="preserve"> Calculate the Sampling Weights</w:t>
      </w:r>
    </w:p>
    <w:p w:rsidR="00261D9F" w:rsidRPr="00990D3B" w:rsidP="004E5005" w14:paraId="6A23C098" w14:textId="48C80E29">
      <w:pPr>
        <w:pStyle w:val="ParagraphContinued"/>
      </w:pPr>
      <w:r w:rsidRPr="00990D3B">
        <w:t xml:space="preserve">When a sample is selected in such a way that there are different probabilities of selection for different units, sampling weights must be constructed and used for any analyses conducted with data collected from the sample. The weights </w:t>
      </w:r>
      <w:r w:rsidRPr="00990D3B">
        <w:t>take into account</w:t>
      </w:r>
      <w:r w:rsidRPr="00990D3B">
        <w:t xml:space="preserve"> the sample design and nonresponse of sampled units. The weighted results, therefore, are representative of the </w:t>
      </w:r>
      <w:r w:rsidRPr="00990D3B">
        <w:t>population</w:t>
      </w:r>
      <w:r w:rsidRPr="00990D3B">
        <w:t xml:space="preserve"> not just the units that responded to the survey. </w:t>
      </w:r>
    </w:p>
    <w:p w:rsidR="00261D9F" w:rsidRPr="00990D3B" w:rsidP="004E5005" w14:paraId="78A069AC" w14:textId="77777777">
      <w:pPr>
        <w:pStyle w:val="Paragraph0"/>
      </w:pPr>
      <w:r w:rsidRPr="00990D3B">
        <w:t>The sampling weight is equal to one over the probability of selection for a unit. For example, if the probability of selection is 0.25 for a unit, the sampling weight is 1/0.25 = 4. In probability sampling, the sampling weights are used to make inferences to the study population. The sampling weights would also need to be adjusted to account for nonresponse if there is considerable nonresponse during data collection. The EQRO should consult a sampling statistician to help calculate the sampling weights.</w:t>
      </w:r>
    </w:p>
    <w:p w:rsidR="00261D9F" w:rsidRPr="00990D3B" w:rsidP="00576CF3" w14:paraId="3D02DF40" w14:textId="26282C5E">
      <w:pPr>
        <w:pStyle w:val="H3"/>
      </w:pPr>
      <w:bookmarkStart w:id="698" w:name="P6AI8Step3"/>
      <w:bookmarkEnd w:id="698"/>
      <w:r w:rsidRPr="00990D3B">
        <w:t>Step 3</w:t>
      </w:r>
      <w:r w:rsidRPr="00990D3B" w:rsidR="00BF3AFB">
        <w:t>:</w:t>
      </w:r>
      <w:r w:rsidRPr="00990D3B">
        <w:t xml:space="preserve"> Conduct a Non-</w:t>
      </w:r>
      <w:r w:rsidRPr="00990D3B" w:rsidR="00D8425E">
        <w:t>R</w:t>
      </w:r>
      <w:r w:rsidRPr="00990D3B">
        <w:t xml:space="preserve">esponse Analysis </w:t>
      </w:r>
    </w:p>
    <w:p w:rsidR="00261D9F" w:rsidRPr="00990D3B" w:rsidP="004E5005" w14:paraId="323B6627" w14:textId="77777777">
      <w:pPr>
        <w:pStyle w:val="ParagraphContinued"/>
      </w:pPr>
      <w:r w:rsidRPr="00990D3B">
        <w:t xml:space="preserve">The response rate is only one indicator of survey quality. Another indicator is the extent to which non-respondents may differ from respondents on the key variables in the survey sample. Because significant differences may bias the survey estimates, it is important to conduct a nonresponse analysis to assess the representativeness of the survey respondents. </w:t>
      </w:r>
    </w:p>
    <w:p w:rsidR="00261D9F" w:rsidRPr="00990D3B" w:rsidP="004E5005" w14:paraId="2BCAC015" w14:textId="77777777">
      <w:pPr>
        <w:pStyle w:val="Paragraph0"/>
      </w:pPr>
      <w:r w:rsidRPr="00990D3B">
        <w:t>Before beginning the data analysis, the EQRO should compare the characteristics of respondents and non-respondents using means and frequency distributions. The analysis should rely on information available in the sample frame (such as information found in state Medicaid eligibility files). Tests of statistical significance (e.g., t-tests and chi-square tests) should be performed to determine whether the differences are statistically significant. If there are substantial differences between respondents and non-respondents, the EQRO should consult a statistician to assess what types of adjustments might be necessary to account for potential bias in the survey responses.</w:t>
      </w:r>
    </w:p>
    <w:p w:rsidR="00261D9F" w:rsidRPr="00990D3B" w:rsidP="00576CF3" w14:paraId="1C37BE46" w14:textId="10C4B71C">
      <w:pPr>
        <w:pStyle w:val="H3"/>
      </w:pPr>
      <w:bookmarkStart w:id="699" w:name="P6AI8Step4"/>
      <w:bookmarkEnd w:id="699"/>
      <w:r w:rsidRPr="00990D3B">
        <w:t>Step 4</w:t>
      </w:r>
      <w:r w:rsidRPr="00990D3B" w:rsidR="00BF3AFB">
        <w:t>:</w:t>
      </w:r>
      <w:r w:rsidRPr="00990D3B">
        <w:t xml:space="preserve"> Analyze Survey Data</w:t>
      </w:r>
    </w:p>
    <w:p w:rsidR="00261D9F" w:rsidRPr="00990D3B" w:rsidP="004E5005" w14:paraId="218B3256" w14:textId="77777777">
      <w:pPr>
        <w:pStyle w:val="ParagraphContinued"/>
      </w:pPr>
      <w:r w:rsidRPr="00990D3B">
        <w:t>Following the analysis plan laid out in the work plan and approved by the state, the EQRO should generate means or frequency distributions for each survey question and calculate statistics. The analysis should include a description of the population characteristics</w:t>
      </w:r>
      <w:r w:rsidRPr="00990D3B">
        <w:t>, performance</w:t>
      </w:r>
      <w:r w:rsidRPr="00990D3B">
        <w:t xml:space="preserve"> on the outcome measures included in the survey (such as access, timeliness, and quality of care or experience of care).</w:t>
      </w:r>
    </w:p>
    <w:p w:rsidR="00261D9F" w:rsidRPr="00990D3B" w:rsidP="004E5005" w14:paraId="7416DBD7" w14:textId="7EE15FDA">
      <w:pPr>
        <w:pStyle w:val="Paragraph0"/>
      </w:pPr>
      <w:r w:rsidRPr="00990D3B">
        <w:t xml:space="preserve">In addition, the EQRO should examine differences in survey results among MCPs, between MCPs and the FFS or PCCM population (if applicable), or between MCPs in the state and nationally or regionally (if benchmarks are available). The EQRO could also analyze and report on variations among subpopulations within each MCP. For example, the state may be interested in whether responses differ significantly across geographic locations, racial/ethnic groups, socioeconomic groups, or other identifiable subgroups. </w:t>
      </w:r>
      <w:r w:rsidRPr="00D9288D" w:rsidR="00D9288D">
        <w:rPr>
          <w:bCs/>
          <w:szCs w:val="16"/>
        </w:rPr>
        <w:t>Analysis of survey findings across enrollee subgroups is optional and is not a required element of Protocol 6 unless otherwise specified under separate regulatory authorities.</w:t>
      </w:r>
      <w:r w:rsidRPr="00D90EF8" w:rsidR="00D9288D">
        <w:rPr>
          <w:bCs/>
          <w:szCs w:val="16"/>
        </w:rPr>
        <w:t xml:space="preserve"> </w:t>
      </w:r>
      <w:r w:rsidRPr="00990D3B">
        <w:t xml:space="preserve">For recurring surveys with </w:t>
      </w:r>
      <w:r w:rsidRPr="00990D3B" w:rsidR="003D61CB">
        <w:t>trended</w:t>
      </w:r>
      <w:r w:rsidRPr="00990D3B" w:rsidR="003D61CB">
        <w:t xml:space="preserve"> </w:t>
      </w:r>
      <w:r w:rsidRPr="00990D3B">
        <w:t>results, the EQRO could examine changes over time on key metrics.</w:t>
      </w:r>
    </w:p>
    <w:p w:rsidR="00261D9F" w:rsidRPr="00990D3B" w:rsidP="004E5005" w14:paraId="2BFCB5B4" w14:textId="7D4DFF86">
      <w:pPr>
        <w:pStyle w:val="Paragraph0"/>
      </w:pPr>
      <w:r w:rsidRPr="00990D3B">
        <w:t>Results should be weighted, account for the complex sample design in computing variances (if applicable</w:t>
      </w:r>
      <w:r w:rsidRPr="00990D3B">
        <w:t>), and</w:t>
      </w:r>
      <w:r w:rsidRPr="00990D3B">
        <w:t xml:space="preserve"> take into </w:t>
      </w:r>
      <w:r w:rsidRPr="00990D3B" w:rsidR="00606BD1">
        <w:t xml:space="preserve">consideration </w:t>
      </w:r>
      <w:r w:rsidRPr="00990D3B">
        <w:t>the adequacy of sample sizes to support the analyses.</w:t>
      </w:r>
    </w:p>
    <w:p w:rsidR="00261D9F" w:rsidRPr="00990D3B" w:rsidP="004E5005" w14:paraId="18D371C4" w14:textId="77777777">
      <w:pPr>
        <w:pStyle w:val="Paragraph0"/>
      </w:pPr>
      <w:r w:rsidRPr="00990D3B">
        <w:t>Some surveys include open-ended, qualitative responses related to experience or satisfaction. In such cases, the open-ended responses should be reviewed, coded into categories if feasible, and synthesized for analysis. Such information can enrich the quantitative data analysis and provide a “voice” to illustrate the numerical findings.</w:t>
      </w:r>
    </w:p>
    <w:p w:rsidR="00261D9F" w:rsidRPr="00990D3B" w:rsidP="00802EE2" w14:paraId="02C02899" w14:textId="65B15C26">
      <w:pPr>
        <w:pStyle w:val="H3"/>
      </w:pPr>
      <w:bookmarkStart w:id="700" w:name="P6AI8Step5"/>
      <w:bookmarkEnd w:id="700"/>
      <w:r w:rsidRPr="00990D3B">
        <w:t>Step 5</w:t>
      </w:r>
      <w:r w:rsidRPr="00990D3B" w:rsidR="00BF3AFB">
        <w:t>:</w:t>
      </w:r>
      <w:r w:rsidRPr="00990D3B">
        <w:t xml:space="preserve"> Prepare and Submit a Final Report</w:t>
      </w:r>
    </w:p>
    <w:p w:rsidR="00261D9F" w:rsidRPr="00990D3B" w:rsidP="004E5005" w14:paraId="20E2387F" w14:textId="762740F3">
      <w:pPr>
        <w:pStyle w:val="ParagraphContinued"/>
      </w:pPr>
      <w:r w:rsidRPr="00990D3B">
        <w:t xml:space="preserve">In this step, the </w:t>
      </w:r>
      <w:r w:rsidRPr="00990D3B">
        <w:t>EQRO prepare</w:t>
      </w:r>
      <w:r w:rsidRPr="00990D3B">
        <w:t>s</w:t>
      </w:r>
      <w:r w:rsidRPr="00990D3B">
        <w:t xml:space="preserve"> and submit</w:t>
      </w:r>
      <w:r w:rsidRPr="00990D3B" w:rsidR="005D7271">
        <w:t>s</w:t>
      </w:r>
      <w:r w:rsidRPr="00990D3B">
        <w:t xml:space="preserve"> reports in the agreed format, which may include: </w:t>
      </w:r>
    </w:p>
    <w:p w:rsidR="00261D9F" w:rsidRPr="00990D3B" w:rsidP="00FB7CAF" w14:paraId="219E1B7C" w14:textId="3B2BC174">
      <w:pPr>
        <w:pStyle w:val="EQRBulletBLUE"/>
      </w:pPr>
      <w:r w:rsidRPr="00990D3B">
        <w:t>Survey purpose and objectives</w:t>
      </w:r>
      <w:r w:rsidRPr="00990D3B" w:rsidR="00581013">
        <w:t>.</w:t>
      </w:r>
      <w:r w:rsidRPr="00990D3B">
        <w:tab/>
      </w:r>
    </w:p>
    <w:p w:rsidR="00261D9F" w:rsidRPr="00990D3B" w:rsidP="00FB7CAF" w14:paraId="49912921" w14:textId="226790A4">
      <w:pPr>
        <w:pStyle w:val="EQRBulletBLUE"/>
      </w:pPr>
      <w:r w:rsidRPr="00990D3B">
        <w:t>Survey implementation procedures, including challenges encountered, lessons learned, and recommendations for improving future efforts</w:t>
      </w:r>
      <w:r w:rsidRPr="00990D3B" w:rsidR="00581013">
        <w:t>.</w:t>
      </w:r>
    </w:p>
    <w:p w:rsidR="00261D9F" w:rsidRPr="00990D3B" w:rsidP="00FB7CAF" w14:paraId="60E3C2F5" w14:textId="4F07264A">
      <w:pPr>
        <w:pStyle w:val="EQRBulletBLUE"/>
      </w:pPr>
      <w:r w:rsidRPr="00990D3B">
        <w:t>Overview of analytic findings, including subgroup analyses and tests of statistical significance</w:t>
      </w:r>
      <w:r w:rsidRPr="00990D3B" w:rsidR="00581013">
        <w:t>.</w:t>
      </w:r>
    </w:p>
    <w:p w:rsidR="00261D9F" w:rsidRPr="00990D3B" w:rsidP="00FB7CAF" w14:paraId="1CBB2765" w14:textId="54FA1E30">
      <w:pPr>
        <w:pStyle w:val="EQRBulletBLUE"/>
      </w:pPr>
      <w:r w:rsidRPr="00990D3B">
        <w:t>Methodologically appropriate, comparative information about MCP performance</w:t>
      </w:r>
      <w:r w:rsidRPr="00990D3B" w:rsidR="00581013">
        <w:t>.</w:t>
      </w:r>
    </w:p>
    <w:p w:rsidR="00261D9F" w:rsidRPr="00990D3B" w:rsidP="00FB7CAF" w14:paraId="52E300DE" w14:textId="6CC1379D">
      <w:pPr>
        <w:pStyle w:val="EQRBulletBLUE"/>
      </w:pPr>
      <w:r w:rsidRPr="00990D3B">
        <w:t>A detailed assessment of each MCP’s strengths and weaknesses with respect to access, quality, and/or timeliness of health care furnished to enrollees</w:t>
      </w:r>
      <w:r w:rsidRPr="00990D3B" w:rsidR="00581013">
        <w:t>.</w:t>
      </w:r>
    </w:p>
    <w:p w:rsidR="00261D9F" w:rsidRPr="00990D3B" w:rsidP="00FB7CAF" w14:paraId="69A520CF" w14:textId="7A6ED269">
      <w:pPr>
        <w:pStyle w:val="EQRBulletBLUE"/>
      </w:pPr>
      <w:r w:rsidRPr="00990D3B">
        <w:t>Conclusions drawn from the data</w:t>
      </w:r>
      <w:r w:rsidRPr="00990D3B" w:rsidR="00581013">
        <w:t>.</w:t>
      </w:r>
    </w:p>
    <w:p w:rsidR="00261D9F" w:rsidRPr="00990D3B" w:rsidP="004E5005" w14:paraId="7EE88F12" w14:textId="77777777">
      <w:pPr>
        <w:pStyle w:val="ParagraphContinued"/>
      </w:pPr>
      <w:r w:rsidRPr="00990D3B">
        <w:t>Results from the survey should always be presented for groups and not for individual respondents. Statistical graphs should accompany narrative text to aid comparison and interpretation. For example, bar graphs and comparison charts, such as those recommended by CAHPS®, convey important information about the performance of each MCP and indicate meaningful differences among MCPs.</w:t>
      </w:r>
    </w:p>
    <w:p w:rsidR="00261D9F" w:rsidRPr="00990D3B" w:rsidP="004E5005" w14:paraId="3AC598A1" w14:textId="77777777">
      <w:pPr>
        <w:pStyle w:val="Paragraph0"/>
      </w:pPr>
      <w:r w:rsidRPr="00990D3B">
        <w:t>The EQRO should submit a draft report and provide the state with an opportunity to review and comment on the draft report. The EQRO should then revise the draft and submit a final report that incorporates state comments. Other deliverables may include a raw data file and analysis files, as well as public reports, presentations, or web sites developed for public reporting.</w:t>
      </w:r>
    </w:p>
    <w:p w:rsidR="00261D9F" w:rsidRPr="00990D3B" w:rsidP="00B67F27" w14:paraId="497D3254" w14:textId="5C2060E6">
      <w:pPr>
        <w:pStyle w:val="H2"/>
      </w:pPr>
      <w:bookmarkStart w:id="701" w:name="P6Sec2"/>
      <w:bookmarkStart w:id="702" w:name="_Toc14777724"/>
      <w:bookmarkStart w:id="703" w:name="_Toc183005622"/>
      <w:bookmarkStart w:id="704" w:name="_Toc201751392"/>
      <w:bookmarkEnd w:id="701"/>
      <w:r w:rsidRPr="00990D3B">
        <w:t>S</w:t>
      </w:r>
      <w:r w:rsidRPr="00990D3B" w:rsidR="00E33E1D">
        <w:t>ection</w:t>
      </w:r>
      <w:r w:rsidRPr="00990D3B" w:rsidR="0066795C">
        <w:t xml:space="preserve"> II</w:t>
      </w:r>
      <w:r w:rsidRPr="00990D3B" w:rsidR="002E3090">
        <w:t>.</w:t>
      </w:r>
      <w:r w:rsidRPr="00990D3B" w:rsidR="0066795C">
        <w:t xml:space="preserve"> V</w:t>
      </w:r>
      <w:r w:rsidRPr="00990D3B" w:rsidR="00E33E1D">
        <w:t xml:space="preserve">alidating </w:t>
      </w:r>
      <w:r w:rsidRPr="00990D3B" w:rsidR="00D8425E">
        <w:t>a</w:t>
      </w:r>
      <w:r w:rsidRPr="00990D3B" w:rsidR="0066795C">
        <w:t xml:space="preserve"> S</w:t>
      </w:r>
      <w:r w:rsidRPr="00990D3B" w:rsidR="00E33E1D">
        <w:t>urvey</w:t>
      </w:r>
      <w:bookmarkEnd w:id="702"/>
      <w:bookmarkEnd w:id="703"/>
      <w:bookmarkEnd w:id="704"/>
    </w:p>
    <w:p w:rsidR="00261D9F" w:rsidRPr="00990D3B" w:rsidP="004E5005" w14:paraId="63009230" w14:textId="46CC71BE">
      <w:pPr>
        <w:pStyle w:val="ParagraphContinued"/>
        <w:rPr>
          <w:color w:val="000000" w:themeColor="text1"/>
        </w:rPr>
      </w:pPr>
      <w:hyperlink w:anchor="Protocol6" w:tooltip="Protocol 6" w:history="1">
        <w:r w:rsidRPr="00990D3B">
          <w:rPr>
            <w:rStyle w:val="Hyperlink"/>
            <w:color w:val="000000" w:themeColor="text1"/>
          </w:rPr>
          <w:t>Protocol 6</w:t>
        </w:r>
      </w:hyperlink>
      <w:r w:rsidRPr="00990D3B">
        <w:rPr>
          <w:color w:val="000000" w:themeColor="text1"/>
        </w:rPr>
        <w:t xml:space="preserve"> also contains guidance for EQROs charged with validating a survey conducted by a state, MCP, or a ve</w:t>
      </w:r>
      <w:r w:rsidRPr="00990D3B" w:rsidR="0066795C">
        <w:rPr>
          <w:color w:val="000000" w:themeColor="text1"/>
        </w:rPr>
        <w:t>ndor hired by the state or MCP.</w:t>
      </w:r>
      <w:r w:rsidRPr="00990D3B" w:rsidR="003162DF">
        <w:rPr>
          <w:rFonts w:ascii="ZWAdobeF" w:hAnsi="ZWAdobeF" w:cs="ZWAdobeF"/>
          <w:color w:val="000000" w:themeColor="text1"/>
          <w:sz w:val="2"/>
          <w:szCs w:val="2"/>
        </w:rPr>
        <w:t>73F</w:t>
      </w:r>
      <w:r>
        <w:rPr>
          <w:rStyle w:val="FootnoteReference"/>
          <w:color w:val="000000" w:themeColor="text1"/>
        </w:rPr>
        <w:footnoteReference w:id="82"/>
      </w:r>
      <w:r w:rsidRPr="00990D3B">
        <w:rPr>
          <w:color w:val="000000" w:themeColor="text1"/>
        </w:rPr>
        <w:t xml:space="preserve"> The activities described in this section focus on reviewing the survey design and implementation for validity, reliability, and methodological rigor. They do not include collecting additional survey data from survey respondents to verify their responses or test for survey validity and reliability. </w:t>
      </w:r>
    </w:p>
    <w:p w:rsidR="00261D9F" w:rsidRPr="00990D3B" w:rsidP="004E5005" w14:paraId="27F514D4" w14:textId="14773553">
      <w:pPr>
        <w:pStyle w:val="Paragraph0"/>
      </w:pPr>
      <w:r w:rsidRPr="00990D3B">
        <w:t xml:space="preserve">The EQRO should use the </w:t>
      </w:r>
      <w:bookmarkStart w:id="705" w:name="_Hlk97556767"/>
      <w:hyperlink w:anchor="WSp6" w:tooltip="Worksheets for Protocol 6" w:history="1">
        <w:r w:rsidRPr="00990D3B">
          <w:rPr>
            <w:rStyle w:val="Hyperlink"/>
          </w:rPr>
          <w:t>Worksheets for Protocol 6</w:t>
        </w:r>
      </w:hyperlink>
      <w:bookmarkEnd w:id="705"/>
      <w:r w:rsidRPr="00990D3B">
        <w:t xml:space="preserve"> or a similar tool to guide the validation process. The EQRO should identify the documentation it used to review the survey procedures and note its findings for each activity. In addition, the EQRO should note the absence of documentation for a particular activity as it may be relevant to the survey validation. </w:t>
      </w:r>
    </w:p>
    <w:p w:rsidR="00261D9F" w:rsidRPr="00990D3B" w:rsidP="004E5005" w14:paraId="002CD73F" w14:textId="770FA980">
      <w:pPr>
        <w:pStyle w:val="Paragraph0"/>
      </w:pPr>
      <w:r w:rsidRPr="00990D3B">
        <w:t xml:space="preserve">Upon completion of the validation activities, the EQRO should synthesize all of the validation findings </w:t>
      </w:r>
      <w:r w:rsidRPr="00990D3B">
        <w:rPr>
          <w:color w:val="000000" w:themeColor="text1"/>
        </w:rPr>
        <w:t xml:space="preserve">from </w:t>
      </w:r>
      <w:hyperlink w:anchor="P6AII1" w:tooltip="Activities II.1" w:history="1">
        <w:r w:rsidRPr="00990D3B">
          <w:rPr>
            <w:rStyle w:val="Hyperlink"/>
            <w:color w:val="000000" w:themeColor="text1"/>
          </w:rPr>
          <w:t xml:space="preserve">Activities </w:t>
        </w:r>
        <w:r w:rsidRPr="00990D3B" w:rsidR="00F02F9E">
          <w:rPr>
            <w:rStyle w:val="Hyperlink"/>
            <w:color w:val="000000" w:themeColor="text1"/>
          </w:rPr>
          <w:t>I</w:t>
        </w:r>
        <w:r w:rsidRPr="00990D3B" w:rsidR="00526E7D">
          <w:rPr>
            <w:rStyle w:val="Hyperlink"/>
            <w:color w:val="000000" w:themeColor="text1"/>
          </w:rPr>
          <w:t>I</w:t>
        </w:r>
        <w:r w:rsidRPr="00990D3B" w:rsidR="00F02F9E">
          <w:rPr>
            <w:rStyle w:val="Hyperlink"/>
            <w:color w:val="000000" w:themeColor="text1"/>
          </w:rPr>
          <w:t>.</w:t>
        </w:r>
        <w:r w:rsidRPr="00990D3B">
          <w:rPr>
            <w:rStyle w:val="Hyperlink"/>
            <w:color w:val="000000" w:themeColor="text1"/>
          </w:rPr>
          <w:t>1</w:t>
        </w:r>
      </w:hyperlink>
      <w:r w:rsidRPr="00990D3B">
        <w:rPr>
          <w:color w:val="000000" w:themeColor="text1"/>
        </w:rPr>
        <w:t xml:space="preserve"> through </w:t>
      </w:r>
      <w:hyperlink w:anchor="P6AII8" w:tooltip="II.8" w:history="1">
        <w:r w:rsidRPr="00990D3B" w:rsidR="00F02F9E">
          <w:rPr>
            <w:rStyle w:val="Hyperlink"/>
            <w:color w:val="000000" w:themeColor="text1"/>
          </w:rPr>
          <w:t>I</w:t>
        </w:r>
        <w:r w:rsidRPr="00990D3B" w:rsidR="00526E7D">
          <w:rPr>
            <w:rStyle w:val="Hyperlink"/>
            <w:color w:val="000000" w:themeColor="text1"/>
          </w:rPr>
          <w:t>I</w:t>
        </w:r>
        <w:r w:rsidRPr="00990D3B" w:rsidR="00F02F9E">
          <w:rPr>
            <w:rStyle w:val="Hyperlink"/>
            <w:color w:val="000000" w:themeColor="text1"/>
          </w:rPr>
          <w:t>.</w:t>
        </w:r>
        <w:r w:rsidRPr="00990D3B">
          <w:rPr>
            <w:rStyle w:val="Hyperlink"/>
            <w:color w:val="000000" w:themeColor="text1"/>
          </w:rPr>
          <w:t>8</w:t>
        </w:r>
      </w:hyperlink>
      <w:r w:rsidRPr="00990D3B">
        <w:rPr>
          <w:color w:val="000000" w:themeColor="text1"/>
        </w:rPr>
        <w:t xml:space="preserve"> based </w:t>
      </w:r>
      <w:r w:rsidRPr="00990D3B">
        <w:t xml:space="preserve">on the findings documented in the </w:t>
      </w:r>
      <w:hyperlink w:anchor="WSp6" w:tooltip="Worksheets for Protocol 6" w:history="1">
        <w:r w:rsidRPr="00990D3B" w:rsidR="00774FD7">
          <w:rPr>
            <w:rStyle w:val="Hyperlink"/>
          </w:rPr>
          <w:t>Worksheets for Protocol 6</w:t>
        </w:r>
      </w:hyperlink>
      <w:r w:rsidRPr="00990D3B">
        <w:t xml:space="preserve">. The EQRO should submit a final validation report that assesses the overall quality of the survey, and in particular, the extent to which the survey achieved its purpose and objectives. Key elements of this assessment are whether the survey findings can be generalized </w:t>
      </w:r>
      <w:r w:rsidRPr="00990D3B">
        <w:t xml:space="preserve">to the population from which the sample was drawn and whether the data quality and completeness can support the survey’s intended uses. </w:t>
      </w:r>
    </w:p>
    <w:p w:rsidR="00723032" w:rsidRPr="00990D3B" w:rsidP="004E5005" w14:paraId="2FB9D0F6" w14:textId="1B36DFA8">
      <w:pPr>
        <w:pStyle w:val="Paragraph0"/>
      </w:pPr>
      <w:r w:rsidRPr="00990D3B">
        <w:t>Although survey validation is an optional EQR-related activity, CMS recommends that surveys be validated when states intend to use survey results for such decisions as consumer health plan selection, health plan or provider payment, or performance incentives (e.g., auto-assignment).</w:t>
      </w:r>
    </w:p>
    <w:p w:rsidR="00CA5838" w:rsidRPr="00990D3B" w:rsidP="007B6B55" w14:paraId="1C87D64C" w14:textId="4EE172C3">
      <w:pPr>
        <w:pStyle w:val="H2"/>
      </w:pPr>
      <w:bookmarkStart w:id="706" w:name="P6AII1"/>
      <w:bookmarkStart w:id="707" w:name="_Toc14777725"/>
      <w:bookmarkStart w:id="708" w:name="_Toc183005623"/>
      <w:bookmarkStart w:id="709" w:name="_Toc201751393"/>
      <w:r w:rsidRPr="00990D3B">
        <w:t>A</w:t>
      </w:r>
      <w:r w:rsidRPr="00990D3B" w:rsidR="00171C0C">
        <w:t xml:space="preserve">ctivity </w:t>
      </w:r>
      <w:r w:rsidRPr="00990D3B">
        <w:t>II.</w:t>
      </w:r>
      <w:r w:rsidRPr="00990D3B" w:rsidR="00171C0C">
        <w:t>1</w:t>
      </w:r>
      <w:bookmarkEnd w:id="706"/>
      <w:r w:rsidRPr="00990D3B" w:rsidR="00171C0C">
        <w:t>: Review the Survey Purpose, Objectives, and</w:t>
      </w:r>
      <w:r w:rsidRPr="00990D3B" w:rsidR="00885BBE">
        <w:t> </w:t>
      </w:r>
      <w:r w:rsidRPr="00990D3B" w:rsidR="00171C0C">
        <w:t>Audience</w:t>
      </w:r>
      <w:bookmarkEnd w:id="707"/>
      <w:bookmarkEnd w:id="708"/>
      <w:bookmarkEnd w:id="709"/>
    </w:p>
    <w:p w:rsidR="00ED2B03" w:rsidRPr="00990D3B" w:rsidP="00885BBE" w14:paraId="730C5790" w14:textId="082B88F7">
      <w:pPr>
        <w:pStyle w:val="ParagraphContinued"/>
      </w:pPr>
      <w:r w:rsidRPr="00990D3B">
        <w:rPr>
          <w:noProof/>
        </w:rPr>
        <mc:AlternateContent>
          <mc:Choice Requires="wps">
            <w:drawing>
              <wp:anchor distT="0" distB="0" distL="114300" distR="114300" simplePos="0" relativeHeight="251875328" behindDoc="0" locked="0" layoutInCell="1" allowOverlap="1">
                <wp:simplePos x="0" y="0"/>
                <wp:positionH relativeFrom="column">
                  <wp:posOffset>3683000</wp:posOffset>
                </wp:positionH>
                <wp:positionV relativeFrom="paragraph">
                  <wp:posOffset>376555</wp:posOffset>
                </wp:positionV>
                <wp:extent cx="2195195" cy="1301115"/>
                <wp:effectExtent l="19050" t="19050" r="0" b="0"/>
                <wp:wrapTight wrapText="bothSides">
                  <wp:wrapPolygon>
                    <wp:start x="21787" y="21916"/>
                    <wp:lineTo x="21787" y="84"/>
                    <wp:lineTo x="44" y="84"/>
                    <wp:lineTo x="44" y="21916"/>
                    <wp:lineTo x="21787" y="21916"/>
                  </wp:wrapPolygon>
                </wp:wrapTight>
                <wp:docPr id="1737843713" name="Text Box 8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301115"/>
                        </a:xfrm>
                        <a:prstGeom prst="rect">
                          <a:avLst/>
                        </a:prstGeom>
                        <a:solidFill>
                          <a:srgbClr val="EEF5F8"/>
                        </a:solidFill>
                        <a:ln w="28575" cap="rnd">
                          <a:solidFill>
                            <a:srgbClr val="A5DAD9"/>
                          </a:solidFill>
                          <a:prstDash val="solid"/>
                          <a:miter lim="800000"/>
                          <a:headEnd/>
                          <a:tailEnd/>
                        </a:ln>
                      </wps:spPr>
                      <wps:txbx>
                        <w:txbxContent>
                          <w:p w:rsidR="00ED33C3" w:rsidRPr="00D41CCB" w:rsidP="00B93E40" w14:textId="0E3FE411">
                            <w:pPr>
                              <w:pStyle w:val="EQRTextboxheading"/>
                            </w:pPr>
                            <w:r w:rsidRPr="00D41CCB">
                              <w:t xml:space="preserve">Resource for Activity </w:t>
                            </w:r>
                            <w:r>
                              <w:t>1</w:t>
                            </w:r>
                          </w:p>
                          <w:p w:rsidR="00ED33C3" w:rsidP="00B93E40" w14:textId="2AD7260E">
                            <w:pPr>
                              <w:pStyle w:val="EQRTextboxbody"/>
                            </w:pPr>
                            <w:hyperlink w:anchor="WSp6n01" w:tooltip="Worksheet 6.1. Survey Purpose, Objectives, and Audience" w:history="1">
                              <w:r w:rsidRPr="00774FD7">
                                <w:rPr>
                                  <w:rStyle w:val="Hyperlink"/>
                                </w:rPr>
                                <w:t>Worksheet 6.1. Survey Purpose, Objectives, and Audience</w:t>
                              </w:r>
                            </w:hyperlink>
                          </w:p>
                          <w:p w:rsidR="00ED33C3" w:rsidRPr="004B37FD" w:rsidP="00B93E40" w14:textId="346AE708">
                            <w:pPr>
                              <w:pStyle w:val="EQRTextboxbullet"/>
                            </w:pPr>
                            <w:r>
                              <w:t>Provides a set of questions to assess the clarity of the survey purpose, objectives, and audience</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3" o:spid="_x0000_s1195" type="#_x0000_t202" style="width:172.85pt;height:102.45pt;margin-top:29.65pt;margin-left:290pt;flip:y;mso-height-percent:0;mso-height-relative:page;mso-width-percent:0;mso-width-relative:page;mso-wrap-distance-bottom:0;mso-wrap-distance-left:9pt;mso-wrap-distance-right:9pt;mso-wrap-distance-top:0;mso-wrap-style:square;position:absolute;rotation:180;visibility:visible;v-text-anchor:top;z-index:251876352" fillcolor="#eef5f8" strokecolor="#a5dad9" strokeweight="2.25pt">
                <v:stroke endcap="round"/>
                <v:textbox style="mso-fit-shape-to-text:t" inset="8.64pt,,8.64pt">
                  <w:txbxContent>
                    <w:p w:rsidR="00ED33C3" w:rsidRPr="00D41CCB" w:rsidP="00B93E40" w14:paraId="2D2C3098" w14:textId="0E3FE411">
                      <w:pPr>
                        <w:pStyle w:val="EQRTextboxheading"/>
                      </w:pPr>
                      <w:r w:rsidRPr="00D41CCB">
                        <w:t xml:space="preserve">Resource for Activity </w:t>
                      </w:r>
                      <w:r>
                        <w:t>1</w:t>
                      </w:r>
                    </w:p>
                    <w:p w:rsidR="00ED33C3" w:rsidP="00B93E40" w14:paraId="5E4FBF4D" w14:textId="2AD7260E">
                      <w:pPr>
                        <w:pStyle w:val="EQRTextboxbody"/>
                      </w:pPr>
                      <w:hyperlink w:anchor="WSp6n01" w:tooltip="Worksheet 6.1. Survey Purpose, Objectives, and Audience" w:history="1">
                        <w:r w:rsidRPr="00774FD7">
                          <w:rPr>
                            <w:rStyle w:val="Hyperlink"/>
                          </w:rPr>
                          <w:t>Worksheet 6.1. Survey Purpose, Objectives, and Audience</w:t>
                        </w:r>
                      </w:hyperlink>
                    </w:p>
                    <w:p w:rsidR="00ED33C3" w:rsidRPr="004B37FD" w:rsidP="00B93E40" w14:paraId="260E54E2" w14:textId="346AE708">
                      <w:pPr>
                        <w:pStyle w:val="EQRTextboxbullet"/>
                      </w:pPr>
                      <w:r>
                        <w:t>Provides a set of questions to assess the clarity of the survey purpose, objectives, and audience</w:t>
                      </w:r>
                    </w:p>
                  </w:txbxContent>
                </v:textbox>
                <w10:wrap type="tight"/>
              </v:shape>
            </w:pict>
          </mc:Fallback>
        </mc:AlternateContent>
      </w:r>
      <w:r w:rsidRPr="00990D3B">
        <w:rPr>
          <w:noProof/>
        </w:rPr>
        <mc:AlternateContent>
          <mc:Choice Requires="wps">
            <w:drawing>
              <wp:anchor distT="0" distB="0" distL="114300" distR="114300" simplePos="0" relativeHeight="251877376" behindDoc="0" locked="0" layoutInCell="1" allowOverlap="1">
                <wp:simplePos x="0" y="0"/>
                <wp:positionH relativeFrom="column">
                  <wp:posOffset>3683000</wp:posOffset>
                </wp:positionH>
                <wp:positionV relativeFrom="paragraph">
                  <wp:posOffset>15875</wp:posOffset>
                </wp:positionV>
                <wp:extent cx="2193925" cy="297815"/>
                <wp:effectExtent l="19050" t="19050" r="0" b="7620"/>
                <wp:wrapTight wrapText="bothSides">
                  <wp:wrapPolygon>
                    <wp:start x="21788" y="22985"/>
                    <wp:lineTo x="21788" y="-554"/>
                    <wp:lineTo x="31" y="-554"/>
                    <wp:lineTo x="31" y="22985"/>
                    <wp:lineTo x="21788" y="22985"/>
                  </wp:wrapPolygon>
                </wp:wrapTight>
                <wp:docPr id="1449003791" name="Text Box 8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6847EB" w:rsidP="00B93E40" w14:textId="2F1A4274">
                            <w:pPr>
                              <w:pStyle w:val="EQRWORKSHEETText"/>
                              <w:rPr>
                                <w:color w:val="006068" w:themeColor="accent1" w:themeShade="BF"/>
                              </w:rPr>
                            </w:pPr>
                            <w:hyperlink w:anchor="WSp6n01" w:tooltip="WORKSHEET 6.1" w:history="1">
                              <w:r w:rsidRPr="006847EB">
                                <w:rPr>
                                  <w:color w:val="006068" w:themeColor="accent1" w:themeShade="BF"/>
                                </w:rPr>
                                <w:t>WORKSHEET 6.1</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2" o:spid="_x0000_s1196" type="#_x0000_t202" style="width:172.75pt;height:23.45pt;margin-top:1.25pt;margin-left:290pt;flip:y;mso-height-percent:0;mso-height-relative:page;mso-width-percent:0;mso-width-relative:page;mso-wrap-distance-bottom:0;mso-wrap-distance-left:9pt;mso-wrap-distance-right:9pt;mso-wrap-distance-top:0;mso-wrap-style:square;position:absolute;rotation:180;visibility:visible;v-text-anchor:top;z-index:251878400" fillcolor="#eef5f8" strokecolor="#a5dad9" strokeweight="2.25pt">
                <v:stroke endcap="round"/>
                <v:textbox style="mso-fit-shape-to-text:t" inset="8.64pt,,8.64pt">
                  <w:txbxContent>
                    <w:p w:rsidR="00ED33C3" w:rsidRPr="006847EB" w:rsidP="00B93E40" w14:paraId="0AFC2536" w14:textId="2F1A4274">
                      <w:pPr>
                        <w:pStyle w:val="EQRWORKSHEETText"/>
                        <w:rPr>
                          <w:color w:val="006068" w:themeColor="accent1" w:themeShade="BF"/>
                        </w:rPr>
                      </w:pPr>
                      <w:hyperlink w:anchor="WSp6n01" w:tooltip="WORKSHEET 6.1" w:history="1">
                        <w:r w:rsidRPr="006847EB">
                          <w:rPr>
                            <w:color w:val="006068" w:themeColor="accent1" w:themeShade="BF"/>
                          </w:rPr>
                          <w:t>WORKSHEET 6.1</w:t>
                        </w:r>
                      </w:hyperlink>
                    </w:p>
                  </w:txbxContent>
                </v:textbox>
                <w10:wrap type="tight"/>
              </v:shape>
            </w:pict>
          </mc:Fallback>
        </mc:AlternateContent>
      </w:r>
      <w:r w:rsidRPr="00990D3B" w:rsidR="00171C0C">
        <w:t xml:space="preserve">To understand and evaluate the adequacy of the survey to meet its intended uses, the EQRO should seek information from written sources or through interviews about the survey’s purpose, objectives, and audience. See </w:t>
      </w:r>
      <w:hyperlink w:anchor="P6AI1" w:tooltip="Activity I.1" w:history="1">
        <w:r w:rsidRPr="00990D3B" w:rsidR="00F02F9E">
          <w:rPr>
            <w:rStyle w:val="Hyperlink"/>
            <w:color w:val="000000" w:themeColor="text1"/>
          </w:rPr>
          <w:t>Activity I.</w:t>
        </w:r>
        <w:r w:rsidRPr="00990D3B" w:rsidR="00171C0C">
          <w:rPr>
            <w:rStyle w:val="Hyperlink"/>
            <w:color w:val="000000" w:themeColor="text1"/>
          </w:rPr>
          <w:t>1</w:t>
        </w:r>
      </w:hyperlink>
      <w:r w:rsidRPr="00990D3B" w:rsidR="00171C0C">
        <w:rPr>
          <w:color w:val="000000" w:themeColor="text1"/>
        </w:rPr>
        <w:t xml:space="preserve"> for more information about defining the survey </w:t>
      </w:r>
      <w:r w:rsidRPr="00990D3B" w:rsidR="00171C0C">
        <w:t>purpose, objectives, and audience.</w:t>
      </w:r>
    </w:p>
    <w:p w:rsidR="00ED2B03" w:rsidRPr="00990D3B" w:rsidP="000C2AFB" w14:paraId="7980E53E" w14:textId="3DD156FA">
      <w:pPr>
        <w:pStyle w:val="H2"/>
      </w:pPr>
      <w:bookmarkStart w:id="710" w:name="P6AII2"/>
      <w:bookmarkStart w:id="711" w:name="_Toc14777726"/>
      <w:bookmarkStart w:id="712" w:name="_Toc183005624"/>
      <w:bookmarkStart w:id="713" w:name="_Toc201751394"/>
      <w:r w:rsidRPr="00990D3B">
        <w:t>A</w:t>
      </w:r>
      <w:r w:rsidRPr="00990D3B" w:rsidR="003632A0">
        <w:t>ctivity</w:t>
      </w:r>
      <w:r w:rsidRPr="00990D3B">
        <w:t xml:space="preserve"> </w:t>
      </w:r>
      <w:r w:rsidRPr="00990D3B" w:rsidR="00E33E1D">
        <w:t>II.</w:t>
      </w:r>
      <w:r w:rsidRPr="00990D3B">
        <w:t>2</w:t>
      </w:r>
      <w:bookmarkEnd w:id="710"/>
      <w:r w:rsidRPr="00990D3B">
        <w:t>: Review the Work Plan</w:t>
      </w:r>
      <w:bookmarkEnd w:id="711"/>
      <w:bookmarkEnd w:id="712"/>
      <w:bookmarkEnd w:id="713"/>
    </w:p>
    <w:p w:rsidR="00171C0C" w:rsidRPr="00990D3B" w:rsidP="00D81187" w14:paraId="6FC22D15" w14:textId="10239E8B">
      <w:pPr>
        <w:pStyle w:val="ParagraphContinued"/>
      </w:pPr>
      <w:r w:rsidRPr="00990D3B">
        <w:rPr>
          <w:noProof/>
        </w:rPr>
        <mc:AlternateContent>
          <mc:Choice Requires="wps">
            <w:drawing>
              <wp:anchor distT="0" distB="0" distL="114300" distR="114300" simplePos="0" relativeHeight="251885568" behindDoc="0" locked="0" layoutInCell="1" allowOverlap="1">
                <wp:simplePos x="0" y="0"/>
                <wp:positionH relativeFrom="column">
                  <wp:posOffset>3705225</wp:posOffset>
                </wp:positionH>
                <wp:positionV relativeFrom="paragraph">
                  <wp:posOffset>2686050</wp:posOffset>
                </wp:positionV>
                <wp:extent cx="2193925" cy="297815"/>
                <wp:effectExtent l="19050" t="19050" r="0" b="7620"/>
                <wp:wrapTight wrapText="bothSides">
                  <wp:wrapPolygon>
                    <wp:start x="21788" y="22985"/>
                    <wp:lineTo x="21788" y="-554"/>
                    <wp:lineTo x="31" y="-554"/>
                    <wp:lineTo x="31" y="22985"/>
                    <wp:lineTo x="21788" y="22985"/>
                  </wp:wrapPolygon>
                </wp:wrapTight>
                <wp:docPr id="487015374" name="Text Box 7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6847EB" w:rsidP="00D81187" w14:textId="59FA8FE7">
                            <w:pPr>
                              <w:pStyle w:val="EQRWORKSHEETText"/>
                              <w:rPr>
                                <w:color w:val="006068" w:themeColor="accent1" w:themeShade="BF"/>
                              </w:rPr>
                            </w:pPr>
                            <w:hyperlink w:anchor="WSp6n03" w:tooltip="WORKSHEET 6.3" w:history="1">
                              <w:r w:rsidRPr="006847EB">
                                <w:rPr>
                                  <w:color w:val="006068" w:themeColor="accent1" w:themeShade="BF"/>
                                </w:rPr>
                                <w:t>WORKSHEET 6.3</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8" o:spid="_x0000_s1197" type="#_x0000_t202" style="width:172.75pt;height:23.45pt;margin-top:211.5pt;margin-left:291.75pt;flip:y;mso-height-percent:0;mso-height-relative:page;mso-width-percent:0;mso-width-relative:page;mso-wrap-distance-bottom:0;mso-wrap-distance-left:9pt;mso-wrap-distance-right:9pt;mso-wrap-distance-top:0;mso-wrap-style:square;position:absolute;rotation:180;visibility:visible;v-text-anchor:top;z-index:251886592" fillcolor="#eef5f8" strokecolor="#a5dad9" strokeweight="2.25pt">
                <v:stroke endcap="round"/>
                <v:textbox style="mso-fit-shape-to-text:t" inset="8.64pt,,8.64pt">
                  <w:txbxContent>
                    <w:p w:rsidR="00ED33C3" w:rsidRPr="006847EB" w:rsidP="00D81187" w14:paraId="16382256" w14:textId="59FA8FE7">
                      <w:pPr>
                        <w:pStyle w:val="EQRWORKSHEETText"/>
                        <w:rPr>
                          <w:color w:val="006068" w:themeColor="accent1" w:themeShade="BF"/>
                        </w:rPr>
                      </w:pPr>
                      <w:hyperlink w:anchor="WSp6n03" w:tooltip="WORKSHEET 6.3" w:history="1">
                        <w:r w:rsidRPr="006847EB">
                          <w:rPr>
                            <w:color w:val="006068" w:themeColor="accent1" w:themeShade="BF"/>
                          </w:rPr>
                          <w:t>WORKSHEET 6.3</w:t>
                        </w:r>
                      </w:hyperlink>
                    </w:p>
                  </w:txbxContent>
                </v:textbox>
                <w10:wrap type="tight"/>
              </v:shape>
            </w:pict>
          </mc:Fallback>
        </mc:AlternateContent>
      </w:r>
      <w:r w:rsidRPr="00990D3B">
        <w:rPr>
          <w:noProof/>
        </w:rPr>
        <mc:AlternateContent>
          <mc:Choice Requires="wps">
            <w:drawing>
              <wp:anchor distT="0" distB="0" distL="114300" distR="114300" simplePos="0" relativeHeight="251883520" behindDoc="0" locked="0" layoutInCell="1" allowOverlap="1">
                <wp:simplePos x="0" y="0"/>
                <wp:positionH relativeFrom="column">
                  <wp:posOffset>3705225</wp:posOffset>
                </wp:positionH>
                <wp:positionV relativeFrom="paragraph">
                  <wp:posOffset>3046730</wp:posOffset>
                </wp:positionV>
                <wp:extent cx="2195195" cy="996315"/>
                <wp:effectExtent l="19050" t="19050" r="0" b="0"/>
                <wp:wrapTight wrapText="bothSides">
                  <wp:wrapPolygon>
                    <wp:start x="21787" y="22013"/>
                    <wp:lineTo x="21787" y="110"/>
                    <wp:lineTo x="44" y="110"/>
                    <wp:lineTo x="44" y="22013"/>
                    <wp:lineTo x="21787" y="22013"/>
                  </wp:wrapPolygon>
                </wp:wrapTight>
                <wp:docPr id="1637178097" name="Text Box 7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996315"/>
                        </a:xfrm>
                        <a:prstGeom prst="rect">
                          <a:avLst/>
                        </a:prstGeom>
                        <a:solidFill>
                          <a:srgbClr val="EEF5F8"/>
                        </a:solidFill>
                        <a:ln w="28575" cap="rnd">
                          <a:solidFill>
                            <a:srgbClr val="A5DAD9"/>
                          </a:solidFill>
                          <a:prstDash val="solid"/>
                          <a:miter lim="800000"/>
                          <a:headEnd/>
                          <a:tailEnd/>
                        </a:ln>
                      </wps:spPr>
                      <wps:txbx>
                        <w:txbxContent>
                          <w:p w:rsidR="00ED33C3" w:rsidRPr="00D41CCB" w:rsidP="00D81187" w14:textId="52CDC24F">
                            <w:pPr>
                              <w:pStyle w:val="EQRTextboxheading"/>
                            </w:pPr>
                            <w:r w:rsidRPr="00D41CCB">
                              <w:t xml:space="preserve">Resource for Activity </w:t>
                            </w:r>
                            <w:r>
                              <w:t>2</w:t>
                            </w:r>
                          </w:p>
                          <w:p w:rsidR="00ED33C3" w:rsidP="00D81187" w14:textId="5328CFC5">
                            <w:pPr>
                              <w:pStyle w:val="EQRTextboxbody"/>
                            </w:pPr>
                            <w:hyperlink w:anchor="WSp6n03" w:tooltip="Worksheet 6.3. Survey Instrument" w:history="1">
                              <w:r w:rsidRPr="00774FD7">
                                <w:rPr>
                                  <w:rStyle w:val="Hyperlink"/>
                                </w:rPr>
                                <w:t>Worksheet 6.3. Survey Instrument</w:t>
                              </w:r>
                            </w:hyperlink>
                          </w:p>
                          <w:p w:rsidR="00ED33C3" w:rsidRPr="004B37FD" w:rsidP="00D81187" w14:textId="77777777">
                            <w:pPr>
                              <w:pStyle w:val="EQRTextboxbullet"/>
                            </w:pPr>
                            <w:r>
                              <w:t>Provides a set of questions to assess the selection of the survey instrument</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9" o:spid="_x0000_s1198" type="#_x0000_t202" style="width:172.85pt;height:78.45pt;margin-top:239.9pt;margin-left:291.75pt;flip:y;mso-height-percent:0;mso-height-relative:page;mso-width-percent:0;mso-width-relative:page;mso-wrap-distance-bottom:0;mso-wrap-distance-left:9pt;mso-wrap-distance-right:9pt;mso-wrap-distance-top:0;mso-wrap-style:square;position:absolute;rotation:180;visibility:visible;v-text-anchor:top;z-index:251884544" fillcolor="#eef5f8" strokecolor="#a5dad9" strokeweight="2.25pt">
                <v:stroke endcap="round"/>
                <v:textbox style="mso-fit-shape-to-text:t" inset="8.64pt,,8.64pt">
                  <w:txbxContent>
                    <w:p w:rsidR="00ED33C3" w:rsidRPr="00D41CCB" w:rsidP="00D81187" w14:paraId="305A1E47" w14:textId="52CDC24F">
                      <w:pPr>
                        <w:pStyle w:val="EQRTextboxheading"/>
                      </w:pPr>
                      <w:r w:rsidRPr="00D41CCB">
                        <w:t xml:space="preserve">Resource for Activity </w:t>
                      </w:r>
                      <w:r>
                        <w:t>2</w:t>
                      </w:r>
                    </w:p>
                    <w:p w:rsidR="00ED33C3" w:rsidP="00D81187" w14:paraId="0C48449D" w14:textId="5328CFC5">
                      <w:pPr>
                        <w:pStyle w:val="EQRTextboxbody"/>
                      </w:pPr>
                      <w:hyperlink w:anchor="WSp6n03" w:tooltip="Worksheet 6.3. Survey Instrument" w:history="1">
                        <w:r w:rsidRPr="00774FD7">
                          <w:rPr>
                            <w:rStyle w:val="Hyperlink"/>
                          </w:rPr>
                          <w:t>Worksheet 6.3. Survey Instrument</w:t>
                        </w:r>
                      </w:hyperlink>
                    </w:p>
                    <w:p w:rsidR="00ED33C3" w:rsidRPr="004B37FD" w:rsidP="00D81187" w14:paraId="4B7D0510" w14:textId="77777777">
                      <w:pPr>
                        <w:pStyle w:val="EQRTextboxbullet"/>
                      </w:pPr>
                      <w:r>
                        <w:t>Provides a set of questions to assess the selection of the survey instrument</w:t>
                      </w:r>
                    </w:p>
                  </w:txbxContent>
                </v:textbox>
                <w10:wrap type="tight"/>
              </v:shape>
            </w:pict>
          </mc:Fallback>
        </mc:AlternateContent>
      </w:r>
      <w:r w:rsidRPr="00990D3B">
        <w:rPr>
          <w:noProof/>
        </w:rPr>
        <mc:AlternateContent>
          <mc:Choice Requires="wps">
            <w:drawing>
              <wp:anchor distT="0" distB="0" distL="114300" distR="114300" simplePos="0" relativeHeight="251881472" behindDoc="0" locked="0" layoutInCell="1" allowOverlap="1">
                <wp:simplePos x="0" y="0"/>
                <wp:positionH relativeFrom="column">
                  <wp:posOffset>3705225</wp:posOffset>
                </wp:positionH>
                <wp:positionV relativeFrom="paragraph">
                  <wp:posOffset>152400</wp:posOffset>
                </wp:positionV>
                <wp:extent cx="2193290" cy="297815"/>
                <wp:effectExtent l="19050" t="19050" r="0" b="7620"/>
                <wp:wrapTight wrapText="bothSides">
                  <wp:wrapPolygon>
                    <wp:start x="21788" y="22985"/>
                    <wp:lineTo x="21788" y="-554"/>
                    <wp:lineTo x="25" y="-554"/>
                    <wp:lineTo x="25" y="22985"/>
                    <wp:lineTo x="21788" y="22985"/>
                  </wp:wrapPolygon>
                </wp:wrapTight>
                <wp:docPr id="1664257955" name="Text Box 8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290" cy="297815"/>
                        </a:xfrm>
                        <a:prstGeom prst="rect">
                          <a:avLst/>
                        </a:prstGeom>
                        <a:solidFill>
                          <a:srgbClr val="EEF5F8"/>
                        </a:solidFill>
                        <a:ln w="28575" cap="rnd">
                          <a:solidFill>
                            <a:srgbClr val="A5DAD9"/>
                          </a:solidFill>
                          <a:prstDash val="solid"/>
                          <a:miter lim="800000"/>
                          <a:headEnd/>
                          <a:tailEnd/>
                        </a:ln>
                      </wps:spPr>
                      <wps:txbx>
                        <w:txbxContent>
                          <w:p w:rsidR="00ED33C3" w:rsidRPr="006847EB" w:rsidP="00D81187" w14:textId="7C370131">
                            <w:pPr>
                              <w:pStyle w:val="EQRWORKSHEETText"/>
                              <w:rPr>
                                <w:color w:val="006068" w:themeColor="accent1" w:themeShade="BF"/>
                              </w:rPr>
                            </w:pPr>
                            <w:hyperlink w:anchor="WSp6n02" w:tooltip="WORKSHEET 6.2" w:history="1">
                              <w:r w:rsidRPr="006847EB">
                                <w:rPr>
                                  <w:color w:val="006068" w:themeColor="accent1" w:themeShade="BF"/>
                                </w:rPr>
                                <w:t>WORKSHEET 6.2</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0" o:spid="_x0000_s1199" type="#_x0000_t202" style="width:172.7pt;height:23.45pt;margin-top:12pt;margin-left:291.75pt;flip:y;mso-height-percent:0;mso-height-relative:page;mso-width-percent:0;mso-width-relative:page;mso-wrap-distance-bottom:0;mso-wrap-distance-left:9pt;mso-wrap-distance-right:9pt;mso-wrap-distance-top:0;mso-wrap-style:square;position:absolute;rotation:180;visibility:visible;v-text-anchor:top;z-index:251882496" fillcolor="#eef5f8" strokecolor="#a5dad9" strokeweight="2.25pt">
                <v:stroke endcap="round"/>
                <v:textbox style="mso-fit-shape-to-text:t" inset="8.64pt,,8.64pt">
                  <w:txbxContent>
                    <w:p w:rsidR="00ED33C3" w:rsidRPr="006847EB" w:rsidP="00D81187" w14:paraId="0571B708" w14:textId="7C370131">
                      <w:pPr>
                        <w:pStyle w:val="EQRWORKSHEETText"/>
                        <w:rPr>
                          <w:color w:val="006068" w:themeColor="accent1" w:themeShade="BF"/>
                        </w:rPr>
                      </w:pPr>
                      <w:hyperlink w:anchor="WSp6n02" w:tooltip="WORKSHEET 6.2" w:history="1">
                        <w:r w:rsidRPr="006847EB">
                          <w:rPr>
                            <w:color w:val="006068" w:themeColor="accent1" w:themeShade="BF"/>
                          </w:rPr>
                          <w:t>WORKSHEET 6.2</w:t>
                        </w:r>
                      </w:hyperlink>
                    </w:p>
                  </w:txbxContent>
                </v:textbox>
                <w10:wrap type="tight"/>
              </v:shape>
            </w:pict>
          </mc:Fallback>
        </mc:AlternateContent>
      </w:r>
      <w:r w:rsidRPr="00990D3B">
        <w:rPr>
          <w:noProof/>
        </w:rPr>
        <mc:AlternateContent>
          <mc:Choice Requires="wps">
            <w:drawing>
              <wp:anchor distT="0" distB="0" distL="114300" distR="114300" simplePos="0" relativeHeight="251879424" behindDoc="0" locked="0" layoutInCell="1" allowOverlap="1">
                <wp:simplePos x="0" y="0"/>
                <wp:positionH relativeFrom="column">
                  <wp:posOffset>3705639</wp:posOffset>
                </wp:positionH>
                <wp:positionV relativeFrom="paragraph">
                  <wp:posOffset>513383</wp:posOffset>
                </wp:positionV>
                <wp:extent cx="2194560" cy="996315"/>
                <wp:effectExtent l="19050" t="19050" r="0" b="0"/>
                <wp:wrapTight wrapText="bothSides">
                  <wp:wrapPolygon>
                    <wp:start x="21788" y="22013"/>
                    <wp:lineTo x="21788" y="110"/>
                    <wp:lineTo x="38" y="110"/>
                    <wp:lineTo x="38" y="22013"/>
                    <wp:lineTo x="21788" y="22013"/>
                  </wp:wrapPolygon>
                </wp:wrapTight>
                <wp:docPr id="834289690" name="Text Box 8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996315"/>
                        </a:xfrm>
                        <a:prstGeom prst="rect">
                          <a:avLst/>
                        </a:prstGeom>
                        <a:solidFill>
                          <a:srgbClr val="EEF5F8"/>
                        </a:solidFill>
                        <a:ln w="28575" cap="rnd">
                          <a:solidFill>
                            <a:srgbClr val="A5DAD9"/>
                          </a:solidFill>
                          <a:prstDash val="solid"/>
                          <a:miter lim="800000"/>
                          <a:headEnd/>
                          <a:tailEnd/>
                        </a:ln>
                      </wps:spPr>
                      <wps:txbx>
                        <w:txbxContent>
                          <w:p w:rsidR="00ED33C3" w:rsidRPr="00D41CCB" w:rsidP="00D81187" w14:textId="77777777">
                            <w:pPr>
                              <w:pStyle w:val="EQRTextboxheading"/>
                            </w:pPr>
                            <w:r w:rsidRPr="00D41CCB">
                              <w:t xml:space="preserve">Resource for Activity </w:t>
                            </w:r>
                            <w:r>
                              <w:t>2</w:t>
                            </w:r>
                          </w:p>
                          <w:p w:rsidR="00ED33C3" w:rsidP="00D81187" w14:textId="6178EF41">
                            <w:pPr>
                              <w:pStyle w:val="EQRTextboxbody"/>
                            </w:pPr>
                            <w:hyperlink w:anchor="WSp6n02" w:tooltip="Worksheet 6.2. Work Plan" w:history="1">
                              <w:r w:rsidRPr="00132C66">
                                <w:rPr>
                                  <w:rStyle w:val="Hyperlink"/>
                                </w:rPr>
                                <w:t xml:space="preserve">Worksheet 6.2. </w:t>
                              </w:r>
                              <w:r w:rsidR="00333704">
                                <w:rPr>
                                  <w:rStyle w:val="Hyperlink"/>
                                </w:rPr>
                                <w:t xml:space="preserve">Survey </w:t>
                              </w:r>
                              <w:r w:rsidRPr="00132C66">
                                <w:rPr>
                                  <w:rStyle w:val="Hyperlink"/>
                                </w:rPr>
                                <w:t>Work Plan</w:t>
                              </w:r>
                            </w:hyperlink>
                          </w:p>
                          <w:p w:rsidR="00ED33C3" w:rsidRPr="004B37FD" w:rsidP="00D81187" w14:textId="77777777">
                            <w:pPr>
                              <w:pStyle w:val="EQRTextboxbullet"/>
                            </w:pPr>
                            <w:r>
                              <w:t>Provides a set of questions to assess the work plan</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1" o:spid="_x0000_s1200" type="#_x0000_t202" style="width:172.8pt;height:78.45pt;margin-top:40.4pt;margin-left:291.8pt;flip:y;mso-height-percent:0;mso-height-relative:page;mso-width-percent:0;mso-width-relative:page;mso-wrap-distance-bottom:0;mso-wrap-distance-left:9pt;mso-wrap-distance-right:9pt;mso-wrap-distance-top:0;mso-wrap-style:square;position:absolute;rotation:180;visibility:visible;v-text-anchor:top;z-index:251880448" fillcolor="#eef5f8" strokecolor="#a5dad9" strokeweight="2.25pt">
                <v:stroke endcap="round"/>
                <v:textbox style="mso-fit-shape-to-text:t" inset="8.64pt,,8.64pt">
                  <w:txbxContent>
                    <w:p w:rsidR="00ED33C3" w:rsidRPr="00D41CCB" w:rsidP="00D81187" w14:paraId="056562CC" w14:textId="77777777">
                      <w:pPr>
                        <w:pStyle w:val="EQRTextboxheading"/>
                      </w:pPr>
                      <w:r w:rsidRPr="00D41CCB">
                        <w:t xml:space="preserve">Resource for Activity </w:t>
                      </w:r>
                      <w:r>
                        <w:t>2</w:t>
                      </w:r>
                    </w:p>
                    <w:p w:rsidR="00ED33C3" w:rsidP="00D81187" w14:paraId="1D8BEAFA" w14:textId="6178EF41">
                      <w:pPr>
                        <w:pStyle w:val="EQRTextboxbody"/>
                      </w:pPr>
                      <w:hyperlink w:anchor="WSp6n02" w:tooltip="Worksheet 6.2. Work Plan" w:history="1">
                        <w:r w:rsidRPr="00132C66">
                          <w:rPr>
                            <w:rStyle w:val="Hyperlink"/>
                          </w:rPr>
                          <w:t xml:space="preserve">Worksheet 6.2. </w:t>
                        </w:r>
                        <w:r w:rsidR="00333704">
                          <w:rPr>
                            <w:rStyle w:val="Hyperlink"/>
                          </w:rPr>
                          <w:t xml:space="preserve">Survey </w:t>
                        </w:r>
                        <w:r w:rsidRPr="00132C66">
                          <w:rPr>
                            <w:rStyle w:val="Hyperlink"/>
                          </w:rPr>
                          <w:t>Work Plan</w:t>
                        </w:r>
                      </w:hyperlink>
                    </w:p>
                    <w:p w:rsidR="00ED33C3" w:rsidRPr="004B37FD" w:rsidP="00D81187" w14:paraId="1BC23B82" w14:textId="77777777">
                      <w:pPr>
                        <w:pStyle w:val="EQRTextboxbullet"/>
                      </w:pPr>
                      <w:r>
                        <w:t>Provides a set of questions to assess the work plan</w:t>
                      </w:r>
                    </w:p>
                  </w:txbxContent>
                </v:textbox>
                <w10:wrap type="tight"/>
              </v:shape>
            </w:pict>
          </mc:Fallback>
        </mc:AlternateContent>
      </w:r>
      <w:r w:rsidRPr="00990D3B" w:rsidR="00171C0C">
        <w:t xml:space="preserve">To understand the survey implementation plan, the EQRO should review the work plan, including the project management plan, schedule, reporting requirements, data preparation plan, data analysis plan, and security protocols and procedures. The work plan provides a foundation for understanding the rigor of the overall survey approach; deviations from the work plan may signal concerns related to the effectiveness of survey implementation. </w:t>
      </w:r>
      <w:r w:rsidRPr="00990D3B" w:rsidR="00171C0C">
        <w:rPr>
          <w:color w:val="000000" w:themeColor="text1"/>
        </w:rPr>
        <w:t xml:space="preserve">See </w:t>
      </w:r>
      <w:hyperlink w:anchor="P6AI2" w:tooltip="Activity I.2" w:history="1">
        <w:r w:rsidRPr="00990D3B" w:rsidR="00171C0C">
          <w:rPr>
            <w:rStyle w:val="Hyperlink"/>
            <w:color w:val="000000" w:themeColor="text1"/>
          </w:rPr>
          <w:t xml:space="preserve">Activity </w:t>
        </w:r>
        <w:r w:rsidRPr="00990D3B" w:rsidR="00F02F9E">
          <w:rPr>
            <w:rStyle w:val="Hyperlink"/>
            <w:color w:val="000000" w:themeColor="text1"/>
          </w:rPr>
          <w:t>I.</w:t>
        </w:r>
        <w:r w:rsidRPr="00990D3B" w:rsidR="00171C0C">
          <w:rPr>
            <w:rStyle w:val="Hyperlink"/>
            <w:color w:val="000000" w:themeColor="text1"/>
          </w:rPr>
          <w:t>2</w:t>
        </w:r>
      </w:hyperlink>
      <w:r w:rsidRPr="00990D3B" w:rsidR="00171C0C">
        <w:rPr>
          <w:color w:val="000000" w:themeColor="text1"/>
        </w:rPr>
        <w:t xml:space="preserve"> for </w:t>
      </w:r>
      <w:r w:rsidRPr="00990D3B" w:rsidR="00171C0C">
        <w:t>more information about developing a work plan.</w:t>
      </w:r>
    </w:p>
    <w:p w:rsidR="00ED2B03" w:rsidRPr="00990D3B" w:rsidP="000C2AFB" w14:paraId="47298888" w14:textId="743F27F3">
      <w:pPr>
        <w:pStyle w:val="H2"/>
      </w:pPr>
      <w:bookmarkStart w:id="714" w:name="P6AII3"/>
      <w:bookmarkStart w:id="715" w:name="_Toc14777727"/>
      <w:bookmarkStart w:id="716" w:name="_Toc183005625"/>
      <w:bookmarkStart w:id="717" w:name="_Toc201751395"/>
      <w:r w:rsidRPr="00990D3B">
        <w:t>A</w:t>
      </w:r>
      <w:r w:rsidRPr="00990D3B" w:rsidR="005E024B">
        <w:t>ctivity</w:t>
      </w:r>
      <w:r w:rsidRPr="00990D3B">
        <w:t xml:space="preserve"> </w:t>
      </w:r>
      <w:r w:rsidRPr="00990D3B" w:rsidR="001426AE">
        <w:t>II.</w:t>
      </w:r>
      <w:r w:rsidRPr="00990D3B">
        <w:t>3</w:t>
      </w:r>
      <w:bookmarkEnd w:id="714"/>
      <w:r w:rsidRPr="00990D3B">
        <w:t>: R</w:t>
      </w:r>
      <w:r w:rsidRPr="00990D3B" w:rsidR="005E024B">
        <w:t xml:space="preserve">eview the </w:t>
      </w:r>
      <w:r w:rsidRPr="00990D3B">
        <w:t>R</w:t>
      </w:r>
      <w:r w:rsidRPr="00990D3B" w:rsidR="005E024B">
        <w:t xml:space="preserve">eliability and </w:t>
      </w:r>
      <w:r w:rsidRPr="00990D3B">
        <w:t>V</w:t>
      </w:r>
      <w:r w:rsidRPr="00990D3B" w:rsidR="005E024B">
        <w:t>alidity of the Survey Instrument</w:t>
      </w:r>
      <w:bookmarkEnd w:id="715"/>
      <w:bookmarkEnd w:id="716"/>
      <w:bookmarkEnd w:id="717"/>
    </w:p>
    <w:p w:rsidR="00171C0C" w:rsidRPr="00990D3B" w:rsidP="00D81187" w14:paraId="02EEA670" w14:textId="6648BAAF">
      <w:pPr>
        <w:pStyle w:val="ParagraphContinued"/>
      </w:pPr>
      <w:r w:rsidRPr="00990D3B">
        <w:t xml:space="preserve">As discussed </w:t>
      </w:r>
      <w:r w:rsidRPr="00990D3B">
        <w:rPr>
          <w:color w:val="000000" w:themeColor="text1"/>
        </w:rPr>
        <w:t xml:space="preserve">in </w:t>
      </w:r>
      <w:hyperlink w:anchor="P6AI3" w:tooltip="Activity I.3" w:history="1">
        <w:r w:rsidRPr="00990D3B" w:rsidR="00F02F9E">
          <w:rPr>
            <w:rStyle w:val="Hyperlink"/>
            <w:color w:val="000000" w:themeColor="text1"/>
          </w:rPr>
          <w:t>Activity I.</w:t>
        </w:r>
        <w:r w:rsidRPr="00990D3B">
          <w:rPr>
            <w:rStyle w:val="Hyperlink"/>
            <w:color w:val="000000" w:themeColor="text1"/>
          </w:rPr>
          <w:t>3</w:t>
        </w:r>
      </w:hyperlink>
      <w:r w:rsidRPr="00990D3B">
        <w:rPr>
          <w:color w:val="000000" w:themeColor="text1"/>
        </w:rPr>
        <w:t>, there are three options for selecting a survey instrument</w:t>
      </w:r>
      <w:r w:rsidRPr="00990D3B">
        <w:t xml:space="preserve">: </w:t>
      </w:r>
    </w:p>
    <w:p w:rsidR="00171C0C" w:rsidRPr="00990D3B" w:rsidP="002D35CF" w14:paraId="1873CB97" w14:textId="2CB76227">
      <w:pPr>
        <w:pStyle w:val="ListNumber"/>
        <w:numPr>
          <w:ilvl w:val="0"/>
          <w:numId w:val="57"/>
        </w:numPr>
      </w:pPr>
      <w:r w:rsidRPr="00990D3B">
        <w:t>Use an existing validated survey instrument</w:t>
      </w:r>
      <w:r w:rsidRPr="00990D3B" w:rsidR="004C03F3">
        <w:t>.</w:t>
      </w:r>
    </w:p>
    <w:p w:rsidR="00171C0C" w:rsidRPr="00990D3B" w:rsidP="00BA007D" w14:paraId="2D561C7A" w14:textId="123D2F3D">
      <w:pPr>
        <w:pStyle w:val="ListNumber"/>
      </w:pPr>
      <w:r w:rsidRPr="00990D3B">
        <w:t>Adapt an existing survey instrument with additional state-specific questions</w:t>
      </w:r>
      <w:r w:rsidRPr="00990D3B" w:rsidR="004C03F3">
        <w:t>.</w:t>
      </w:r>
      <w:r w:rsidRPr="00990D3B">
        <w:t xml:space="preserve"> </w:t>
      </w:r>
    </w:p>
    <w:p w:rsidR="00171C0C" w:rsidRPr="00990D3B" w:rsidP="00BA007D" w14:paraId="5B8F3CC6" w14:textId="5049EC0F">
      <w:pPr>
        <w:pStyle w:val="ListNumber"/>
      </w:pPr>
      <w:r w:rsidRPr="00990D3B">
        <w:t>Develop a new survey instrument</w:t>
      </w:r>
      <w:r w:rsidRPr="00990D3B" w:rsidR="004C03F3">
        <w:t>.</w:t>
      </w:r>
      <w:r w:rsidRPr="00990D3B">
        <w:t xml:space="preserve"> </w:t>
      </w:r>
    </w:p>
    <w:p w:rsidR="00171C0C" w:rsidRPr="00990D3B" w:rsidP="004E5005" w14:paraId="211B6A92" w14:textId="468C028B">
      <w:pPr>
        <w:pStyle w:val="ParagraphContinued"/>
      </w:pPr>
      <w:r w:rsidRPr="00990D3B">
        <w:t xml:space="preserve">Each of these approaches involves trade-offs. For example, use of an existing validated survey instrument increases assurances about the instrument’s validity and reliability, but the instrument may have gaps in survey content for the specific survey purpose. Development of a new survey </w:t>
      </w:r>
      <w:r w:rsidRPr="00990D3B">
        <w:t xml:space="preserve">instrument may result in more targeted content for the specific survey </w:t>
      </w:r>
      <w:r w:rsidRPr="00990D3B">
        <w:t>purpose, but</w:t>
      </w:r>
      <w:r w:rsidRPr="00990D3B">
        <w:t xml:space="preserve"> require more effort to ensure validity and reliability of the instrument. As part of this validation activity, the EQRO is charged with assessing the extent to which there is sufficient documentation of the validity and reliability of the selected survey instrument. </w:t>
      </w:r>
    </w:p>
    <w:p w:rsidR="00B93E40" w:rsidRPr="00990D3B" w:rsidP="000C2AFB" w14:paraId="18999787" w14:textId="147F1CDB">
      <w:pPr>
        <w:pStyle w:val="Paragraph0"/>
      </w:pPr>
      <w:r w:rsidRPr="00990D3B">
        <w:t xml:space="preserve">The EQRO should not conduct independent validity and reliability testing of the survey instrument; however, it should note whether such testing was done. </w:t>
      </w:r>
      <w:r w:rsidRPr="00990D3B">
        <w:t>The EQRO</w:t>
      </w:r>
      <w:r w:rsidRPr="00990D3B">
        <w:t xml:space="preserve"> should consider the adequacy of the survey’s reliability and validity testing in determining whether to rely on the survey findings to inform the EQRO’s analysis and evaluation of access, quality, and timeliness of health care. </w:t>
      </w:r>
      <w:r w:rsidRPr="00990D3B">
        <w:rPr>
          <w:color w:val="000000" w:themeColor="text1"/>
        </w:rPr>
        <w:t xml:space="preserve">See </w:t>
      </w:r>
      <w:hyperlink w:anchor="P6AI3" w:tooltip="Activity I.3" w:history="1">
        <w:r w:rsidRPr="00990D3B" w:rsidR="00774FD7">
          <w:rPr>
            <w:rStyle w:val="Hyperlink"/>
            <w:color w:val="000000" w:themeColor="text1"/>
          </w:rPr>
          <w:t>Activity I.3</w:t>
        </w:r>
      </w:hyperlink>
      <w:r w:rsidRPr="00990D3B">
        <w:rPr>
          <w:color w:val="000000" w:themeColor="text1"/>
        </w:rPr>
        <w:t xml:space="preserve"> for </w:t>
      </w:r>
      <w:r w:rsidRPr="00990D3B">
        <w:t>more information about assessing the validity and reliability of survey instruments.</w:t>
      </w:r>
      <w:bookmarkStart w:id="718" w:name="P6AII4"/>
    </w:p>
    <w:p w:rsidR="00ED2B03" w:rsidRPr="00990D3B" w:rsidP="000C2AFB" w14:paraId="41C5CA6B" w14:textId="38E3BD02">
      <w:pPr>
        <w:pStyle w:val="H2"/>
      </w:pPr>
      <w:bookmarkStart w:id="719" w:name="_Toc14777728"/>
      <w:bookmarkStart w:id="720" w:name="_Toc183005626"/>
      <w:bookmarkStart w:id="721" w:name="_Toc201751396"/>
      <w:r w:rsidRPr="00990D3B">
        <w:t>A</w:t>
      </w:r>
      <w:r w:rsidRPr="00990D3B" w:rsidR="005E024B">
        <w:t>ctivity</w:t>
      </w:r>
      <w:r w:rsidRPr="00990D3B">
        <w:t xml:space="preserve"> </w:t>
      </w:r>
      <w:r w:rsidRPr="00990D3B" w:rsidR="001426AE">
        <w:t>II.</w:t>
      </w:r>
      <w:r w:rsidRPr="00990D3B">
        <w:t>4</w:t>
      </w:r>
      <w:bookmarkEnd w:id="718"/>
      <w:r w:rsidRPr="00990D3B">
        <w:t>: R</w:t>
      </w:r>
      <w:r w:rsidRPr="00990D3B" w:rsidR="005E024B">
        <w:t xml:space="preserve">eview the </w:t>
      </w:r>
      <w:r w:rsidRPr="00990D3B">
        <w:t>S</w:t>
      </w:r>
      <w:r w:rsidRPr="00990D3B" w:rsidR="005E024B">
        <w:t>ampling Plan</w:t>
      </w:r>
      <w:bookmarkEnd w:id="719"/>
      <w:bookmarkEnd w:id="720"/>
      <w:bookmarkEnd w:id="721"/>
    </w:p>
    <w:p w:rsidR="00171C0C" w:rsidRPr="00990D3B" w:rsidP="00391F02" w14:paraId="38A26F90" w14:textId="6549CFA8">
      <w:pPr>
        <w:pStyle w:val="ParagraphContinued"/>
      </w:pPr>
      <w:r w:rsidRPr="00990D3B">
        <w:rPr>
          <w:noProof/>
        </w:rPr>
        <mc:AlternateContent>
          <mc:Choice Requires="wps">
            <w:drawing>
              <wp:anchor distT="0" distB="0" distL="114300" distR="114300" simplePos="0" relativeHeight="251887616" behindDoc="0" locked="0" layoutInCell="1" allowOverlap="1">
                <wp:simplePos x="0" y="0"/>
                <wp:positionH relativeFrom="column">
                  <wp:posOffset>3797300</wp:posOffset>
                </wp:positionH>
                <wp:positionV relativeFrom="paragraph">
                  <wp:posOffset>459105</wp:posOffset>
                </wp:positionV>
                <wp:extent cx="2195195" cy="2063115"/>
                <wp:effectExtent l="19050" t="19050" r="0" b="0"/>
                <wp:wrapTight wrapText="bothSides">
                  <wp:wrapPolygon>
                    <wp:start x="21787" y="21800"/>
                    <wp:lineTo x="21787" y="53"/>
                    <wp:lineTo x="44" y="53"/>
                    <wp:lineTo x="44" y="21800"/>
                    <wp:lineTo x="21787" y="21800"/>
                  </wp:wrapPolygon>
                </wp:wrapTight>
                <wp:docPr id="1502622861" name="Text Box 7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2063115"/>
                        </a:xfrm>
                        <a:prstGeom prst="rect">
                          <a:avLst/>
                        </a:prstGeom>
                        <a:solidFill>
                          <a:srgbClr val="EEF5F8"/>
                        </a:solidFill>
                        <a:ln w="28575" cap="rnd">
                          <a:solidFill>
                            <a:srgbClr val="A5DAD9"/>
                          </a:solidFill>
                          <a:prstDash val="solid"/>
                          <a:miter lim="800000"/>
                          <a:headEnd/>
                          <a:tailEnd/>
                        </a:ln>
                      </wps:spPr>
                      <wps:txbx>
                        <w:txbxContent>
                          <w:p w:rsidR="00ED33C3" w:rsidRPr="00D41CCB" w:rsidP="00391F02" w14:textId="189A2A71">
                            <w:pPr>
                              <w:pStyle w:val="EQRTextboxheading"/>
                            </w:pPr>
                            <w:r w:rsidRPr="00D41CCB">
                              <w:t>Resource</w:t>
                            </w:r>
                            <w:r w:rsidR="00450A4A">
                              <w:t>s</w:t>
                            </w:r>
                            <w:r w:rsidRPr="00D41CCB">
                              <w:t xml:space="preserve"> for Activity </w:t>
                            </w:r>
                            <w:r>
                              <w:t>4</w:t>
                            </w:r>
                          </w:p>
                          <w:p w:rsidR="00ED33C3" w:rsidRPr="0069355D" w:rsidP="00391F02" w14:textId="3757ED0A">
                            <w:pPr>
                              <w:pStyle w:val="EQRTextboxbody"/>
                            </w:pPr>
                            <w:hyperlink w:anchor="WSp6n04" w:tooltip="Worksheet 6.4. Sampling Plan" w:history="1">
                              <w:r w:rsidRPr="00774FD7">
                                <w:rPr>
                                  <w:rStyle w:val="Hyperlink"/>
                                </w:rPr>
                                <w:t xml:space="preserve">Worksheet 6.4. </w:t>
                              </w:r>
                              <w:r w:rsidR="00333704">
                                <w:rPr>
                                  <w:rStyle w:val="Hyperlink"/>
                                </w:rPr>
                                <w:t xml:space="preserve">Survey </w:t>
                              </w:r>
                              <w:r w:rsidRPr="00774FD7">
                                <w:rPr>
                                  <w:rStyle w:val="Hyperlink"/>
                                </w:rPr>
                                <w:t>Sampling Plan</w:t>
                              </w:r>
                            </w:hyperlink>
                          </w:p>
                          <w:p w:rsidR="00ED33C3" w:rsidRPr="0069355D" w:rsidP="00391F02" w14:textId="77777777">
                            <w:pPr>
                              <w:pStyle w:val="EQRTextboxbullet"/>
                            </w:pPr>
                            <w:r w:rsidRPr="0069355D">
                              <w:t xml:space="preserve">Provides a set of questions to assess the sampling plan </w:t>
                            </w:r>
                          </w:p>
                          <w:p w:rsidR="00ED33C3" w:rsidRPr="00450A4A" w:rsidP="00391F02" w14:textId="0EC79B55">
                            <w:pPr>
                              <w:pStyle w:val="EQRTextboxbody"/>
                              <w:rPr>
                                <w:color w:val="1CA8B7"/>
                              </w:rPr>
                            </w:pPr>
                            <w:hyperlink w:anchor="AppC" w:tooltip="Appendix C. Sampling Approaches for EQR Data Collection Activities" w:history="1">
                              <w:r w:rsidRPr="00450A4A">
                                <w:rPr>
                                  <w:rStyle w:val="Hyperlink"/>
                                </w:rPr>
                                <w:t xml:space="preserve">Appendix </w:t>
                              </w:r>
                              <w:r w:rsidRPr="00450A4A" w:rsidR="004B2DC4">
                                <w:rPr>
                                  <w:rStyle w:val="Hyperlink"/>
                                </w:rPr>
                                <w:t>C</w:t>
                              </w:r>
                              <w:r w:rsidRPr="00450A4A">
                                <w:rPr>
                                  <w:rStyle w:val="Hyperlink"/>
                                </w:rPr>
                                <w:t>. Sampling Approaches for EQR Data Collection Activities</w:t>
                              </w:r>
                            </w:hyperlink>
                          </w:p>
                          <w:p w:rsidR="00ED33C3" w:rsidRPr="004B37FD" w:rsidP="00391F02" w14:textId="77777777">
                            <w:pPr>
                              <w:pStyle w:val="EQRTextboxbullet"/>
                            </w:pPr>
                            <w:r w:rsidRPr="0069355D">
                              <w:t>Provides an overview of sampling approaches and guidance for determining sample sizes for EQR data collection activities</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7" o:spid="_x0000_s1201" type="#_x0000_t202" style="width:172.85pt;height:162.45pt;margin-top:36.15pt;margin-left:299pt;flip:y;mso-height-percent:0;mso-height-relative:page;mso-width-percent:0;mso-width-relative:page;mso-wrap-distance-bottom:0;mso-wrap-distance-left:9pt;mso-wrap-distance-right:9pt;mso-wrap-distance-top:0;mso-wrap-style:square;position:absolute;rotation:180;visibility:visible;v-text-anchor:top;z-index:251888640" fillcolor="#eef5f8" strokecolor="#a5dad9" strokeweight="2.25pt">
                <v:stroke endcap="round"/>
                <v:textbox style="mso-fit-shape-to-text:t" inset="8.64pt,,8.64pt">
                  <w:txbxContent>
                    <w:p w:rsidR="00ED33C3" w:rsidRPr="00D41CCB" w:rsidP="00391F02" w14:paraId="5624B4F8" w14:textId="189A2A71">
                      <w:pPr>
                        <w:pStyle w:val="EQRTextboxheading"/>
                      </w:pPr>
                      <w:r w:rsidRPr="00D41CCB">
                        <w:t>Resource</w:t>
                      </w:r>
                      <w:r w:rsidR="00450A4A">
                        <w:t>s</w:t>
                      </w:r>
                      <w:r w:rsidRPr="00D41CCB">
                        <w:t xml:space="preserve"> for Activity </w:t>
                      </w:r>
                      <w:r>
                        <w:t>4</w:t>
                      </w:r>
                    </w:p>
                    <w:p w:rsidR="00ED33C3" w:rsidRPr="0069355D" w:rsidP="00391F02" w14:paraId="593F7E69" w14:textId="3757ED0A">
                      <w:pPr>
                        <w:pStyle w:val="EQRTextboxbody"/>
                      </w:pPr>
                      <w:hyperlink w:anchor="WSp6n04" w:tooltip="Worksheet 6.4. Sampling Plan" w:history="1">
                        <w:r w:rsidRPr="00774FD7">
                          <w:rPr>
                            <w:rStyle w:val="Hyperlink"/>
                          </w:rPr>
                          <w:t xml:space="preserve">Worksheet 6.4. </w:t>
                        </w:r>
                        <w:r w:rsidR="00333704">
                          <w:rPr>
                            <w:rStyle w:val="Hyperlink"/>
                          </w:rPr>
                          <w:t xml:space="preserve">Survey </w:t>
                        </w:r>
                        <w:r w:rsidRPr="00774FD7">
                          <w:rPr>
                            <w:rStyle w:val="Hyperlink"/>
                          </w:rPr>
                          <w:t>Sampling Plan</w:t>
                        </w:r>
                      </w:hyperlink>
                    </w:p>
                    <w:p w:rsidR="00ED33C3" w:rsidRPr="0069355D" w:rsidP="00391F02" w14:paraId="73E166B2" w14:textId="77777777">
                      <w:pPr>
                        <w:pStyle w:val="EQRTextboxbullet"/>
                      </w:pPr>
                      <w:r w:rsidRPr="0069355D">
                        <w:t xml:space="preserve">Provides a set of questions to assess the sampling plan </w:t>
                      </w:r>
                    </w:p>
                    <w:p w:rsidR="00ED33C3" w:rsidRPr="00450A4A" w:rsidP="00391F02" w14:paraId="292DB1BA" w14:textId="0EC79B55">
                      <w:pPr>
                        <w:pStyle w:val="EQRTextboxbody"/>
                        <w:rPr>
                          <w:color w:val="1CA8B7"/>
                        </w:rPr>
                      </w:pPr>
                      <w:hyperlink w:anchor="AppC" w:tooltip="Appendix C. Sampling Approaches for EQR Data Collection Activities" w:history="1">
                        <w:r w:rsidRPr="00450A4A">
                          <w:rPr>
                            <w:rStyle w:val="Hyperlink"/>
                          </w:rPr>
                          <w:t xml:space="preserve">Appendix </w:t>
                        </w:r>
                        <w:r w:rsidRPr="00450A4A" w:rsidR="004B2DC4">
                          <w:rPr>
                            <w:rStyle w:val="Hyperlink"/>
                          </w:rPr>
                          <w:t>C</w:t>
                        </w:r>
                        <w:r w:rsidRPr="00450A4A">
                          <w:rPr>
                            <w:rStyle w:val="Hyperlink"/>
                          </w:rPr>
                          <w:t>. Sampling Approaches for EQR Data Collection Activities</w:t>
                        </w:r>
                      </w:hyperlink>
                    </w:p>
                    <w:p w:rsidR="00ED33C3" w:rsidRPr="004B37FD" w:rsidP="00391F02" w14:paraId="5907F82C" w14:textId="77777777">
                      <w:pPr>
                        <w:pStyle w:val="EQRTextboxbullet"/>
                      </w:pPr>
                      <w:r w:rsidRPr="0069355D">
                        <w:t>Provides an overview of sampling approaches and guidance for determining sample sizes for EQR data collection activities</w:t>
                      </w:r>
                    </w:p>
                  </w:txbxContent>
                </v:textbox>
                <w10:wrap type="tight"/>
              </v:shape>
            </w:pict>
          </mc:Fallback>
        </mc:AlternateContent>
      </w:r>
      <w:r w:rsidRPr="00990D3B">
        <w:rPr>
          <w:noProof/>
        </w:rPr>
        <mc:AlternateContent>
          <mc:Choice Requires="wps">
            <w:drawing>
              <wp:anchor distT="0" distB="0" distL="114300" distR="114300" simplePos="0" relativeHeight="251889664" behindDoc="0" locked="0" layoutInCell="1" allowOverlap="1">
                <wp:simplePos x="0" y="0"/>
                <wp:positionH relativeFrom="column">
                  <wp:posOffset>3797300</wp:posOffset>
                </wp:positionH>
                <wp:positionV relativeFrom="paragraph">
                  <wp:posOffset>98425</wp:posOffset>
                </wp:positionV>
                <wp:extent cx="2193925" cy="297815"/>
                <wp:effectExtent l="19050" t="19050" r="0" b="7620"/>
                <wp:wrapTight wrapText="bothSides">
                  <wp:wrapPolygon>
                    <wp:start x="21788" y="22985"/>
                    <wp:lineTo x="21788" y="-554"/>
                    <wp:lineTo x="31" y="-554"/>
                    <wp:lineTo x="31" y="22985"/>
                    <wp:lineTo x="21788" y="22985"/>
                  </wp:wrapPolygon>
                </wp:wrapTight>
                <wp:docPr id="240333147" name="Text Box 7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6847EB" w:rsidP="00391F02" w14:textId="0A5DF03E">
                            <w:pPr>
                              <w:pStyle w:val="EQRWORKSHEETText"/>
                              <w:rPr>
                                <w:color w:val="006068" w:themeColor="accent1" w:themeShade="BF"/>
                              </w:rPr>
                            </w:pPr>
                            <w:hyperlink w:anchor="WSp6n04" w:tooltip="WORKSHEET 6.4" w:history="1">
                              <w:r w:rsidRPr="006847EB">
                                <w:rPr>
                                  <w:color w:val="006068" w:themeColor="accent1" w:themeShade="BF"/>
                                </w:rPr>
                                <w:t>WORKSHEET 6.4</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6" o:spid="_x0000_s1202" type="#_x0000_t202" style="width:172.75pt;height:23.45pt;margin-top:7.75pt;margin-left:299pt;flip:y;mso-height-percent:0;mso-height-relative:page;mso-width-percent:0;mso-width-relative:page;mso-wrap-distance-bottom:0;mso-wrap-distance-left:9pt;mso-wrap-distance-right:9pt;mso-wrap-distance-top:0;mso-wrap-style:square;position:absolute;rotation:180;visibility:visible;v-text-anchor:top;z-index:251890688" fillcolor="#eef5f8" strokecolor="#a5dad9" strokeweight="2.25pt">
                <v:stroke endcap="round"/>
                <v:textbox style="mso-fit-shape-to-text:t" inset="8.64pt,,8.64pt">
                  <w:txbxContent>
                    <w:p w:rsidR="00ED33C3" w:rsidRPr="006847EB" w:rsidP="00391F02" w14:paraId="26F18317" w14:textId="0A5DF03E">
                      <w:pPr>
                        <w:pStyle w:val="EQRWORKSHEETText"/>
                        <w:rPr>
                          <w:color w:val="006068" w:themeColor="accent1" w:themeShade="BF"/>
                        </w:rPr>
                      </w:pPr>
                      <w:hyperlink w:anchor="WSp6n04" w:tooltip="WORKSHEET 6.4" w:history="1">
                        <w:r w:rsidRPr="006847EB">
                          <w:rPr>
                            <w:color w:val="006068" w:themeColor="accent1" w:themeShade="BF"/>
                          </w:rPr>
                          <w:t>WORKSHEET 6.4</w:t>
                        </w:r>
                      </w:hyperlink>
                    </w:p>
                  </w:txbxContent>
                </v:textbox>
                <w10:wrap type="tight"/>
              </v:shape>
            </w:pict>
          </mc:Fallback>
        </mc:AlternateContent>
      </w:r>
      <w:r w:rsidRPr="00990D3B" w:rsidR="00171C0C">
        <w:t xml:space="preserve">The EQRO should assess the sample plan documentation for the following: </w:t>
      </w:r>
    </w:p>
    <w:p w:rsidR="00171C0C" w:rsidRPr="00990D3B" w:rsidP="00FB7CAF" w14:paraId="4A9ECABE" w14:textId="3EF1DE6E">
      <w:pPr>
        <w:pStyle w:val="EQRBulletBLUE"/>
      </w:pPr>
      <w:r w:rsidRPr="00990D3B">
        <w:rPr>
          <w:b/>
          <w:bCs/>
        </w:rPr>
        <w:t>Clear defi</w:t>
      </w:r>
      <w:r w:rsidRPr="00990D3B" w:rsidR="00F02F9E">
        <w:rPr>
          <w:b/>
          <w:bCs/>
        </w:rPr>
        <w:t xml:space="preserve">nition of the study </w:t>
      </w:r>
      <w:r w:rsidRPr="00990D3B" w:rsidR="00A768F0">
        <w:rPr>
          <w:b/>
          <w:bCs/>
        </w:rPr>
        <w:t>population.</w:t>
      </w:r>
      <w:r w:rsidRPr="00990D3B" w:rsidR="00A768F0">
        <w:t xml:space="preserve"> The</w:t>
      </w:r>
      <w:r w:rsidRPr="00990D3B">
        <w:t xml:space="preserve"> EQRO should document whether there was a clear def</w:t>
      </w:r>
      <w:r w:rsidRPr="00990D3B" w:rsidR="00AB24F6">
        <w:t>inition of the study population</w:t>
      </w:r>
      <w:r w:rsidRPr="00990D3B" w:rsidR="004C03F3">
        <w:t>.</w:t>
      </w:r>
    </w:p>
    <w:p w:rsidR="00171C0C" w:rsidRPr="00990D3B" w:rsidP="00FB7CAF" w14:paraId="48D4B649" w14:textId="5FEEF9C6">
      <w:pPr>
        <w:pStyle w:val="EQRBulletBLUE"/>
      </w:pPr>
      <w:r w:rsidRPr="00990D3B">
        <w:rPr>
          <w:b/>
          <w:bCs/>
        </w:rPr>
        <w:t>Appropriate speci</w:t>
      </w:r>
      <w:r w:rsidRPr="00990D3B" w:rsidR="00F02F9E">
        <w:rPr>
          <w:b/>
          <w:bCs/>
        </w:rPr>
        <w:t xml:space="preserve">fications for the sample </w:t>
      </w:r>
      <w:r w:rsidRPr="00990D3B" w:rsidR="00A768F0">
        <w:rPr>
          <w:b/>
          <w:bCs/>
        </w:rPr>
        <w:t>frame.</w:t>
      </w:r>
      <w:r w:rsidRPr="00990D3B" w:rsidR="00A768F0">
        <w:t xml:space="preserve"> The</w:t>
      </w:r>
      <w:r w:rsidRPr="00990D3B">
        <w:t xml:space="preserve"> EQRO should assess whether the sampling frame was clearly described and appro</w:t>
      </w:r>
      <w:r w:rsidRPr="00990D3B" w:rsidR="00AB24F6">
        <w:t>priate to the survey objectives</w:t>
      </w:r>
      <w:r w:rsidRPr="00990D3B" w:rsidR="004C03F3">
        <w:t>.</w:t>
      </w:r>
      <w:r w:rsidRPr="00990D3B">
        <w:t xml:space="preserve">  </w:t>
      </w:r>
    </w:p>
    <w:p w:rsidR="00171C0C" w:rsidRPr="00990D3B" w:rsidP="00FB7CAF" w14:paraId="2361F180" w14:textId="1A9F631A">
      <w:pPr>
        <w:pStyle w:val="EQRBulletBLUE"/>
      </w:pPr>
      <w:r w:rsidRPr="00990D3B">
        <w:rPr>
          <w:b/>
          <w:bCs/>
        </w:rPr>
        <w:t>Quality of the sampli</w:t>
      </w:r>
      <w:r w:rsidRPr="00990D3B" w:rsidR="00F02F9E">
        <w:rPr>
          <w:b/>
          <w:bCs/>
        </w:rPr>
        <w:t>ng frame.</w:t>
      </w:r>
      <w:r w:rsidRPr="00990D3B" w:rsidR="00F02F9E">
        <w:t xml:space="preserve"> </w:t>
      </w:r>
      <w:r w:rsidRPr="00990D3B">
        <w:t xml:space="preserve">The EQRO should assess whether the sampling frame is free from bias. The sampling frame should include all members of the population to be </w:t>
      </w:r>
      <w:r w:rsidRPr="00990D3B" w:rsidR="004C03F3">
        <w:t>studied and</w:t>
      </w:r>
      <w:r w:rsidRPr="00990D3B">
        <w:t xml:space="preserve"> not omit</w:t>
      </w:r>
      <w:r w:rsidRPr="00990D3B" w:rsidR="00AB24F6">
        <w:t xml:space="preserve"> any members of the population</w:t>
      </w:r>
      <w:r w:rsidRPr="00990D3B" w:rsidR="004C03F3">
        <w:t>.</w:t>
      </w:r>
    </w:p>
    <w:p w:rsidR="00171C0C" w:rsidRPr="00990D3B" w:rsidP="00FB7CAF" w14:paraId="7F7A9350" w14:textId="298A0A8F">
      <w:pPr>
        <w:pStyle w:val="EQRBulletBLUE"/>
      </w:pPr>
      <w:r w:rsidRPr="00990D3B">
        <w:rPr>
          <w:b/>
          <w:bCs/>
        </w:rPr>
        <w:t>Type of sampling method used.</w:t>
      </w:r>
      <w:r w:rsidRPr="00990D3B">
        <w:t xml:space="preserve"> The EQRO should evaluate whether the sampling method used was appropriate to the survey’s purpose (e.g., use of probability versus non-probability methods). For more information, see </w:t>
      </w:r>
      <w:hyperlink w:anchor="AppC" w:tooltip="Appendix C" w:history="1">
        <w:r w:rsidRPr="00990D3B" w:rsidR="004B2DC4">
          <w:rPr>
            <w:rStyle w:val="Hyperlink"/>
          </w:rPr>
          <w:t>Appendix C</w:t>
        </w:r>
      </w:hyperlink>
      <w:r w:rsidRPr="00990D3B" w:rsidR="004B2DC4">
        <w:rPr>
          <w:rStyle w:val="Hyperlink"/>
          <w:color w:val="auto"/>
        </w:rPr>
        <w:t>.</w:t>
      </w:r>
    </w:p>
    <w:p w:rsidR="00171C0C" w:rsidRPr="00990D3B" w:rsidP="00FB7CAF" w14:paraId="1C725FC6" w14:textId="55E46EC8">
      <w:pPr>
        <w:pStyle w:val="EQRBulletBLUE"/>
      </w:pPr>
      <w:r w:rsidRPr="00990D3B">
        <w:rPr>
          <w:b/>
          <w:bCs/>
        </w:rPr>
        <w:t>Adequacy of the sample size.</w:t>
      </w:r>
      <w:r w:rsidRPr="00990D3B">
        <w:t xml:space="preserve"> The EQRO should determine whether the sample size was appropriate for the survey. Two factors influence the determination of the appropriate sample size for a survey (1) the acceptable margin of error, and (2) the confidence levels</w:t>
      </w:r>
      <w:r w:rsidRPr="00990D3B" w:rsidR="004C03F3">
        <w:t>.</w:t>
      </w:r>
    </w:p>
    <w:p w:rsidR="00171C0C" w:rsidRPr="00990D3B" w:rsidP="00FB7CAF" w14:paraId="6AD0DE35" w14:textId="377AD948">
      <w:pPr>
        <w:pStyle w:val="EQRBulletBLUE"/>
      </w:pPr>
      <w:r w:rsidRPr="00990D3B">
        <w:rPr>
          <w:b/>
          <w:bCs/>
        </w:rPr>
        <w:t>Procedures for sample selection.</w:t>
      </w:r>
      <w:r w:rsidRPr="00990D3B">
        <w:t xml:space="preserve"> The EQRO should review the sample selection procedures including reviewing the statistical program or other process used to generate the sample. The EQRO should determine the extent to which the selection of sample members was con</w:t>
      </w:r>
      <w:r w:rsidRPr="00990D3B" w:rsidR="00AB24F6">
        <w:t>ducted to protect against bias</w:t>
      </w:r>
      <w:r w:rsidRPr="00990D3B" w:rsidR="004C03F3">
        <w:t>.</w:t>
      </w:r>
    </w:p>
    <w:p w:rsidR="008671C9" w:rsidRPr="00990D3B" w:rsidP="00885BBE" w14:paraId="75CAA7A7" w14:textId="432D7625">
      <w:pPr>
        <w:pStyle w:val="ParagraphContinued"/>
      </w:pPr>
      <w:r w:rsidRPr="00990D3B">
        <w:t xml:space="preserve">The level of detail involved in this review requires that the EQRO use professional statisticians. The EQRO must evaluate whether the sample selected was sufficiently representative of the </w:t>
      </w:r>
      <w:r w:rsidRPr="00990D3B">
        <w:t xml:space="preserve">study population for the EQRO to have confidence in the survey findings. See </w:t>
      </w:r>
      <w:hyperlink w:anchor="P6AI4" w:tooltip="Activity I.4" w:history="1">
        <w:r w:rsidRPr="00990D3B">
          <w:rPr>
            <w:rStyle w:val="Hyperlink"/>
            <w:color w:val="auto"/>
          </w:rPr>
          <w:t xml:space="preserve">Activity </w:t>
        </w:r>
        <w:r w:rsidRPr="00990D3B" w:rsidR="00F02F9E">
          <w:rPr>
            <w:rStyle w:val="Hyperlink"/>
            <w:color w:val="auto"/>
          </w:rPr>
          <w:t>I.</w:t>
        </w:r>
        <w:r w:rsidRPr="00990D3B">
          <w:rPr>
            <w:rStyle w:val="Hyperlink"/>
            <w:color w:val="auto"/>
          </w:rPr>
          <w:t>4</w:t>
        </w:r>
      </w:hyperlink>
      <w:r w:rsidRPr="00990D3B">
        <w:t xml:space="preserve"> for more information about developing a sampling plan.</w:t>
      </w:r>
      <w:r w:rsidRPr="00990D3B">
        <w:br w:type="page"/>
      </w:r>
    </w:p>
    <w:p w:rsidR="00712FF4" w:rsidRPr="00990D3B" w:rsidP="00442AA6" w14:paraId="13015081" w14:textId="7B5F717E">
      <w:pPr>
        <w:pStyle w:val="H2"/>
      </w:pPr>
      <w:bookmarkStart w:id="722" w:name="P6AII5"/>
      <w:bookmarkStart w:id="723" w:name="_Toc14777729"/>
      <w:bookmarkStart w:id="724" w:name="_Toc183005627"/>
      <w:bookmarkStart w:id="725" w:name="_Toc201751397"/>
      <w:r w:rsidRPr="00990D3B">
        <w:t>Activity</w:t>
      </w:r>
      <w:r w:rsidRPr="00990D3B" w:rsidR="00171C0C">
        <w:t xml:space="preserve"> </w:t>
      </w:r>
      <w:r w:rsidRPr="00990D3B" w:rsidR="001426AE">
        <w:t>II.</w:t>
      </w:r>
      <w:r w:rsidRPr="00990D3B" w:rsidR="00171C0C">
        <w:t>5</w:t>
      </w:r>
      <w:bookmarkEnd w:id="722"/>
      <w:r w:rsidRPr="00990D3B" w:rsidR="00171C0C">
        <w:t>: R</w:t>
      </w:r>
      <w:r w:rsidRPr="00990D3B">
        <w:t xml:space="preserve">eview the </w:t>
      </w:r>
      <w:r w:rsidRPr="00990D3B" w:rsidR="00171C0C">
        <w:t>A</w:t>
      </w:r>
      <w:r w:rsidRPr="00990D3B">
        <w:t>dequacy of the Response Rate</w:t>
      </w:r>
      <w:bookmarkEnd w:id="723"/>
      <w:bookmarkEnd w:id="724"/>
      <w:bookmarkEnd w:id="725"/>
    </w:p>
    <w:p w:rsidR="00171C0C" w:rsidRPr="00990D3B" w:rsidP="00391F02" w14:paraId="602F1C04" w14:textId="25546F5E">
      <w:pPr>
        <w:pStyle w:val="ParagraphContinued"/>
      </w:pPr>
      <w:r w:rsidRPr="00990D3B">
        <w:rPr>
          <w:noProof/>
        </w:rPr>
        <mc:AlternateContent>
          <mc:Choice Requires="wps">
            <w:drawing>
              <wp:anchor distT="0" distB="0" distL="114300" distR="114300" simplePos="0" relativeHeight="251891712" behindDoc="0" locked="0" layoutInCell="1" allowOverlap="1">
                <wp:simplePos x="0" y="0"/>
                <wp:positionH relativeFrom="column">
                  <wp:posOffset>3676650</wp:posOffset>
                </wp:positionH>
                <wp:positionV relativeFrom="paragraph">
                  <wp:posOffset>573405</wp:posOffset>
                </wp:positionV>
                <wp:extent cx="2195195" cy="1453515"/>
                <wp:effectExtent l="19050" t="19050" r="0" b="0"/>
                <wp:wrapTight wrapText="bothSides">
                  <wp:wrapPolygon>
                    <wp:start x="21787" y="21883"/>
                    <wp:lineTo x="21787" y="76"/>
                    <wp:lineTo x="44" y="76"/>
                    <wp:lineTo x="44" y="21883"/>
                    <wp:lineTo x="21787" y="21883"/>
                  </wp:wrapPolygon>
                </wp:wrapTight>
                <wp:docPr id="983218647" name="Text Box 7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453515"/>
                        </a:xfrm>
                        <a:prstGeom prst="rect">
                          <a:avLst/>
                        </a:prstGeom>
                        <a:solidFill>
                          <a:srgbClr val="EEF5F8"/>
                        </a:solidFill>
                        <a:ln w="28575" cap="rnd">
                          <a:solidFill>
                            <a:srgbClr val="A5DAD9"/>
                          </a:solidFill>
                          <a:prstDash val="solid"/>
                          <a:miter lim="800000"/>
                          <a:headEnd/>
                          <a:tailEnd/>
                        </a:ln>
                      </wps:spPr>
                      <wps:txbx>
                        <w:txbxContent>
                          <w:p w:rsidR="00ED33C3" w:rsidRPr="00D41CCB" w:rsidP="00391F02" w14:textId="77777777">
                            <w:pPr>
                              <w:pStyle w:val="EQRTextboxheading"/>
                            </w:pPr>
                            <w:r w:rsidRPr="00D41CCB">
                              <w:t xml:space="preserve">Resource for Activity </w:t>
                            </w:r>
                            <w:r>
                              <w:t>5</w:t>
                            </w:r>
                          </w:p>
                          <w:p w:rsidR="00ED33C3" w:rsidP="00391F02" w14:textId="7401880F">
                            <w:pPr>
                              <w:pStyle w:val="EQRTextboxbody"/>
                            </w:pPr>
                            <w:hyperlink w:anchor="WSp6n05" w:tooltip="Worksheet 6.5. Strategy to Maximize Response" w:history="1">
                              <w:r w:rsidRPr="009642BD">
                                <w:rPr>
                                  <w:rStyle w:val="Hyperlink"/>
                                </w:rPr>
                                <w:t>Worksheet 6.5. Strategy to Maximize</w:t>
                              </w:r>
                              <w:r w:rsidR="00333704">
                                <w:rPr>
                                  <w:rStyle w:val="Hyperlink"/>
                                </w:rPr>
                                <w:t xml:space="preserve"> Survey </w:t>
                              </w:r>
                              <w:r w:rsidRPr="009642BD">
                                <w:rPr>
                                  <w:rStyle w:val="Hyperlink"/>
                                </w:rPr>
                                <w:t>Response</w:t>
                              </w:r>
                            </w:hyperlink>
                          </w:p>
                          <w:p w:rsidR="00ED33C3" w:rsidRPr="004B37FD" w:rsidP="00391F02" w14:textId="77777777">
                            <w:pPr>
                              <w:pStyle w:val="EQRTextboxbullet"/>
                            </w:pPr>
                            <w:r>
                              <w:t>Provides a set of questions to assess the strategy for locating sample members and specific data needed to administer the survey</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5" o:spid="_x0000_s1203" type="#_x0000_t202" style="width:172.85pt;height:114.45pt;margin-top:45.15pt;margin-left:289.5pt;flip:y;mso-height-percent:0;mso-height-relative:page;mso-width-percent:0;mso-width-relative:page;mso-wrap-distance-bottom:0;mso-wrap-distance-left:9pt;mso-wrap-distance-right:9pt;mso-wrap-distance-top:0;mso-wrap-style:square;position:absolute;rotation:180;visibility:visible;v-text-anchor:top;z-index:251892736" fillcolor="#eef5f8" strokecolor="#a5dad9" strokeweight="2.25pt">
                <v:stroke endcap="round"/>
                <v:textbox style="mso-fit-shape-to-text:t" inset="8.64pt,,8.64pt">
                  <w:txbxContent>
                    <w:p w:rsidR="00ED33C3" w:rsidRPr="00D41CCB" w:rsidP="00391F02" w14:paraId="6DFB5C2F" w14:textId="77777777">
                      <w:pPr>
                        <w:pStyle w:val="EQRTextboxheading"/>
                      </w:pPr>
                      <w:r w:rsidRPr="00D41CCB">
                        <w:t xml:space="preserve">Resource for Activity </w:t>
                      </w:r>
                      <w:r>
                        <w:t>5</w:t>
                      </w:r>
                    </w:p>
                    <w:p w:rsidR="00ED33C3" w:rsidP="00391F02" w14:paraId="5F0C70AE" w14:textId="7401880F">
                      <w:pPr>
                        <w:pStyle w:val="EQRTextboxbody"/>
                      </w:pPr>
                      <w:hyperlink w:anchor="WSp6n05" w:tooltip="Worksheet 6.5. Strategy to Maximize Response" w:history="1">
                        <w:r w:rsidRPr="009642BD">
                          <w:rPr>
                            <w:rStyle w:val="Hyperlink"/>
                          </w:rPr>
                          <w:t>Worksheet 6.5. Strategy to Maximize</w:t>
                        </w:r>
                        <w:r w:rsidR="00333704">
                          <w:rPr>
                            <w:rStyle w:val="Hyperlink"/>
                          </w:rPr>
                          <w:t xml:space="preserve"> Survey </w:t>
                        </w:r>
                        <w:r w:rsidRPr="009642BD">
                          <w:rPr>
                            <w:rStyle w:val="Hyperlink"/>
                          </w:rPr>
                          <w:t>Response</w:t>
                        </w:r>
                      </w:hyperlink>
                    </w:p>
                    <w:p w:rsidR="00ED33C3" w:rsidRPr="004B37FD" w:rsidP="00391F02" w14:paraId="7B4BBBEB" w14:textId="77777777">
                      <w:pPr>
                        <w:pStyle w:val="EQRTextboxbullet"/>
                      </w:pPr>
                      <w:r>
                        <w:t>Provides a set of questions to assess the strategy for locating sample members and specific data needed to administer the survey</w:t>
                      </w:r>
                    </w:p>
                  </w:txbxContent>
                </v:textbox>
                <w10:wrap type="tight"/>
              </v:shape>
            </w:pict>
          </mc:Fallback>
        </mc:AlternateContent>
      </w:r>
      <w:r w:rsidRPr="00990D3B">
        <w:rPr>
          <w:noProof/>
        </w:rPr>
        <mc:AlternateContent>
          <mc:Choice Requires="wps">
            <w:drawing>
              <wp:anchor distT="0" distB="0" distL="114300" distR="114300" simplePos="0" relativeHeight="251893760" behindDoc="0" locked="0" layoutInCell="1" allowOverlap="1">
                <wp:simplePos x="0" y="0"/>
                <wp:positionH relativeFrom="column">
                  <wp:posOffset>3676650</wp:posOffset>
                </wp:positionH>
                <wp:positionV relativeFrom="paragraph">
                  <wp:posOffset>212725</wp:posOffset>
                </wp:positionV>
                <wp:extent cx="2193925" cy="297815"/>
                <wp:effectExtent l="19050" t="19050" r="0" b="7620"/>
                <wp:wrapTight wrapText="bothSides">
                  <wp:wrapPolygon>
                    <wp:start x="21788" y="22985"/>
                    <wp:lineTo x="21788" y="-554"/>
                    <wp:lineTo x="31" y="-554"/>
                    <wp:lineTo x="31" y="22985"/>
                    <wp:lineTo x="21788" y="22985"/>
                  </wp:wrapPolygon>
                </wp:wrapTight>
                <wp:docPr id="1235468625" name="Text Box 7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6847EB" w:rsidP="00391F02" w14:textId="0A9FA92C">
                            <w:pPr>
                              <w:pStyle w:val="EQRWORKSHEETText"/>
                              <w:rPr>
                                <w:color w:val="006068" w:themeColor="accent1" w:themeShade="BF"/>
                              </w:rPr>
                            </w:pPr>
                            <w:hyperlink w:anchor="WSp6n05" w:tooltip="WORKSHEET 6.5" w:history="1">
                              <w:r w:rsidRPr="006847EB">
                                <w:rPr>
                                  <w:color w:val="006068" w:themeColor="accent1" w:themeShade="BF"/>
                                </w:rPr>
                                <w:t>WORKSHEET 6.5</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4" o:spid="_x0000_s1204" type="#_x0000_t202" style="width:172.75pt;height:23.45pt;margin-top:16.75pt;margin-left:289.5pt;flip:y;mso-height-percent:0;mso-height-relative:page;mso-width-percent:0;mso-width-relative:page;mso-wrap-distance-bottom:0;mso-wrap-distance-left:9pt;mso-wrap-distance-right:9pt;mso-wrap-distance-top:0;mso-wrap-style:square;position:absolute;rotation:180;visibility:visible;v-text-anchor:top;z-index:251894784" fillcolor="#eef5f8" strokecolor="#a5dad9" strokeweight="2.25pt">
                <v:stroke endcap="round"/>
                <v:textbox style="mso-fit-shape-to-text:t" inset="8.64pt,,8.64pt">
                  <w:txbxContent>
                    <w:p w:rsidR="00ED33C3" w:rsidRPr="006847EB" w:rsidP="00391F02" w14:paraId="5E2AE02F" w14:textId="0A9FA92C">
                      <w:pPr>
                        <w:pStyle w:val="EQRWORKSHEETText"/>
                        <w:rPr>
                          <w:color w:val="006068" w:themeColor="accent1" w:themeShade="BF"/>
                        </w:rPr>
                      </w:pPr>
                      <w:hyperlink w:anchor="WSp6n05" w:tooltip="WORKSHEET 6.5" w:history="1">
                        <w:r w:rsidRPr="006847EB">
                          <w:rPr>
                            <w:color w:val="006068" w:themeColor="accent1" w:themeShade="BF"/>
                          </w:rPr>
                          <w:t>WORKSHEET 6.5</w:t>
                        </w:r>
                      </w:hyperlink>
                    </w:p>
                  </w:txbxContent>
                </v:textbox>
                <w10:wrap type="tight"/>
              </v:shape>
            </w:pict>
          </mc:Fallback>
        </mc:AlternateContent>
      </w:r>
      <w:r w:rsidRPr="00990D3B" w:rsidR="00171C0C">
        <w:t xml:space="preserve">In this activity, the EQRO should review the methods used to maximize the response rate, as well as the methods used to calculate the response rate. In addition, the EQRO should assess potential sources of non-response and bias, and the extent to which the response rate weakens or strengthens the generalizability of the survey findings. </w:t>
      </w:r>
    </w:p>
    <w:p w:rsidR="00171C0C" w:rsidRPr="00990D3B" w:rsidP="004E5005" w14:paraId="21EBECEF" w14:textId="3E7844C2">
      <w:pPr>
        <w:pStyle w:val="Paragraph0"/>
      </w:pPr>
      <w:r w:rsidRPr="00990D3B">
        <w:t xml:space="preserve">The EQRO should determine whether a standard methodology was used to calculate the response rate. The AAPOR provides a list of standard definitions and response rate calculators on its website at </w:t>
      </w:r>
      <w:hyperlink r:id="rId188" w:tooltip="American Association of Public Opinion Research website." w:history="1">
        <w:r w:rsidRPr="00990D3B" w:rsidR="00A3595E">
          <w:rPr>
            <w:rStyle w:val="Hyperlink"/>
          </w:rPr>
          <w:t>http://www.aapor.org/Standards-Ethics/Standard-Definitions-(1).aspx</w:t>
        </w:r>
      </w:hyperlink>
      <w:r w:rsidRPr="00990D3B">
        <w:t xml:space="preserve">. To provide context for the assessment of the adequacy of the response rate, the EQRO should consider benchmarking the response rate against those achieved by similar surveys. As discussed in </w:t>
      </w:r>
      <w:hyperlink w:anchor="P6AI8" w:tooltip="Activity I.8" w:history="1">
        <w:r w:rsidRPr="00990D3B">
          <w:rPr>
            <w:rStyle w:val="Hyperlink"/>
            <w:color w:val="auto"/>
          </w:rPr>
          <w:t xml:space="preserve">Activity </w:t>
        </w:r>
        <w:r w:rsidRPr="00990D3B" w:rsidR="00F02F9E">
          <w:rPr>
            <w:rStyle w:val="Hyperlink"/>
            <w:color w:val="auto"/>
          </w:rPr>
          <w:t>I.</w:t>
        </w:r>
        <w:r w:rsidRPr="00990D3B">
          <w:rPr>
            <w:rStyle w:val="Hyperlink"/>
            <w:color w:val="auto"/>
          </w:rPr>
          <w:t>8</w:t>
        </w:r>
      </w:hyperlink>
      <w:r w:rsidRPr="00990D3B">
        <w:t xml:space="preserve">, a nonresponse analysis can provide insights into the representativeness of the survey when response rates are low. See </w:t>
      </w:r>
      <w:hyperlink w:anchor="P6AI5" w:tooltip="Activity I.5" w:history="1">
        <w:r w:rsidRPr="00990D3B">
          <w:rPr>
            <w:rStyle w:val="Hyperlink"/>
            <w:color w:val="auto"/>
          </w:rPr>
          <w:t xml:space="preserve">Activity </w:t>
        </w:r>
        <w:r w:rsidRPr="00990D3B" w:rsidR="00D85F88">
          <w:rPr>
            <w:rStyle w:val="Hyperlink"/>
            <w:color w:val="auto"/>
          </w:rPr>
          <w:t>I</w:t>
        </w:r>
        <w:r w:rsidRPr="00990D3B" w:rsidR="00F02F9E">
          <w:rPr>
            <w:rStyle w:val="Hyperlink"/>
            <w:color w:val="auto"/>
          </w:rPr>
          <w:t>.</w:t>
        </w:r>
        <w:r w:rsidRPr="00990D3B">
          <w:rPr>
            <w:rStyle w:val="Hyperlink"/>
            <w:color w:val="auto"/>
          </w:rPr>
          <w:t>5</w:t>
        </w:r>
      </w:hyperlink>
      <w:r w:rsidRPr="00990D3B">
        <w:t xml:space="preserve"> for more information on strategies to maximize response.</w:t>
      </w:r>
    </w:p>
    <w:p w:rsidR="00171C0C" w:rsidRPr="00990D3B" w:rsidP="00442AA6" w14:paraId="72ED4A7D" w14:textId="1EA2FF81">
      <w:pPr>
        <w:pStyle w:val="H2"/>
      </w:pPr>
      <w:bookmarkStart w:id="726" w:name="P6AII6"/>
      <w:bookmarkStart w:id="727" w:name="_Toc14777730"/>
      <w:bookmarkStart w:id="728" w:name="_Toc183005628"/>
      <w:bookmarkStart w:id="729" w:name="_Toc201751398"/>
      <w:r w:rsidRPr="00990D3B">
        <w:t>Activity</w:t>
      </w:r>
      <w:r w:rsidRPr="00990D3B">
        <w:t xml:space="preserve"> </w:t>
      </w:r>
      <w:r w:rsidRPr="00990D3B" w:rsidR="001426AE">
        <w:t>II.</w:t>
      </w:r>
      <w:r w:rsidRPr="00990D3B">
        <w:t>6</w:t>
      </w:r>
      <w:bookmarkEnd w:id="726"/>
      <w:r w:rsidRPr="00990D3B">
        <w:t xml:space="preserve">: </w:t>
      </w:r>
      <w:r w:rsidRPr="00990D3B">
        <w:t>R</w:t>
      </w:r>
      <w:r w:rsidRPr="00990D3B">
        <w:t>eview</w:t>
      </w:r>
      <w:r w:rsidRPr="00990D3B">
        <w:t xml:space="preserve"> the </w:t>
      </w:r>
      <w:r w:rsidRPr="00990D3B">
        <w:t>Q</w:t>
      </w:r>
      <w:r w:rsidRPr="00990D3B">
        <w:t xml:space="preserve">uality </w:t>
      </w:r>
      <w:r w:rsidRPr="00990D3B">
        <w:t>A</w:t>
      </w:r>
      <w:r w:rsidRPr="00990D3B">
        <w:t xml:space="preserve">ssurance </w:t>
      </w:r>
      <w:r w:rsidRPr="00990D3B">
        <w:t>P</w:t>
      </w:r>
      <w:r w:rsidRPr="00990D3B">
        <w:t>lan</w:t>
      </w:r>
      <w:bookmarkEnd w:id="727"/>
      <w:bookmarkEnd w:id="728"/>
      <w:bookmarkEnd w:id="729"/>
    </w:p>
    <w:p w:rsidR="00712FF4" w:rsidRPr="00990D3B" w:rsidP="00391F02" w14:paraId="792D4295" w14:textId="530E9CD0">
      <w:pPr>
        <w:pStyle w:val="ParagraphContinued"/>
      </w:pPr>
      <w:r w:rsidRPr="00990D3B">
        <w:rPr>
          <w:noProof/>
        </w:rPr>
        <mc:AlternateContent>
          <mc:Choice Requires="wps">
            <w:drawing>
              <wp:anchor distT="0" distB="0" distL="114300" distR="114300" simplePos="0" relativeHeight="251897856" behindDoc="0" locked="0" layoutInCell="1" allowOverlap="1">
                <wp:simplePos x="0" y="0"/>
                <wp:positionH relativeFrom="column">
                  <wp:posOffset>3723640</wp:posOffset>
                </wp:positionH>
                <wp:positionV relativeFrom="paragraph">
                  <wp:posOffset>94615</wp:posOffset>
                </wp:positionV>
                <wp:extent cx="2193925" cy="297815"/>
                <wp:effectExtent l="19050" t="19050" r="0" b="7620"/>
                <wp:wrapTight wrapText="bothSides">
                  <wp:wrapPolygon>
                    <wp:start x="21788" y="22985"/>
                    <wp:lineTo x="21788" y="-554"/>
                    <wp:lineTo x="31" y="-554"/>
                    <wp:lineTo x="31" y="22985"/>
                    <wp:lineTo x="21788" y="22985"/>
                  </wp:wrapPolygon>
                </wp:wrapTight>
                <wp:docPr id="1410944088" name="Text Box 7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6847EB" w:rsidP="00391F02" w14:textId="05733CCB">
                            <w:pPr>
                              <w:pStyle w:val="EQRWORKSHEETText"/>
                              <w:rPr>
                                <w:color w:val="006068" w:themeColor="accent1" w:themeShade="BF"/>
                              </w:rPr>
                            </w:pPr>
                            <w:hyperlink w:anchor="WSp6n06" w:tooltip="WORKSHEET 6.6" w:history="1">
                              <w:r w:rsidRPr="006847EB">
                                <w:rPr>
                                  <w:color w:val="006068" w:themeColor="accent1" w:themeShade="BF"/>
                                </w:rPr>
                                <w:t>WORKSHEET 6.6</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2" o:spid="_x0000_s1205" type="#_x0000_t202" style="width:172.75pt;height:23.45pt;margin-top:7.45pt;margin-left:293.2pt;flip:y;mso-height-percent:0;mso-height-relative:page;mso-width-percent:0;mso-width-relative:page;mso-wrap-distance-bottom:0;mso-wrap-distance-left:9pt;mso-wrap-distance-right:9pt;mso-wrap-distance-top:0;mso-wrap-style:square;position:absolute;rotation:180;visibility:visible;v-text-anchor:top;z-index:251898880" fillcolor="#eef5f8" strokecolor="#a5dad9" strokeweight="2.25pt">
                <v:stroke endcap="round"/>
                <v:textbox style="mso-fit-shape-to-text:t" inset="8.64pt,,8.64pt">
                  <w:txbxContent>
                    <w:p w:rsidR="00ED33C3" w:rsidRPr="006847EB" w:rsidP="00391F02" w14:paraId="7B40D474" w14:textId="05733CCB">
                      <w:pPr>
                        <w:pStyle w:val="EQRWORKSHEETText"/>
                        <w:rPr>
                          <w:color w:val="006068" w:themeColor="accent1" w:themeShade="BF"/>
                        </w:rPr>
                      </w:pPr>
                      <w:hyperlink w:anchor="WSp6n06" w:tooltip="WORKSHEET 6.6" w:history="1">
                        <w:r w:rsidRPr="006847EB">
                          <w:rPr>
                            <w:color w:val="006068" w:themeColor="accent1" w:themeShade="BF"/>
                          </w:rPr>
                          <w:t>WORKSHEET 6.6</w:t>
                        </w:r>
                      </w:hyperlink>
                    </w:p>
                  </w:txbxContent>
                </v:textbox>
                <w10:wrap type="tight"/>
              </v:shape>
            </w:pict>
          </mc:Fallback>
        </mc:AlternateContent>
      </w:r>
      <w:r w:rsidRPr="00990D3B">
        <w:rPr>
          <w:noProof/>
        </w:rPr>
        <mc:AlternateContent>
          <mc:Choice Requires="wps">
            <w:drawing>
              <wp:anchor distT="0" distB="0" distL="114300" distR="114300" simplePos="0" relativeHeight="251895808" behindDoc="0" locked="0" layoutInCell="1" allowOverlap="1">
                <wp:simplePos x="0" y="0"/>
                <wp:positionH relativeFrom="column">
                  <wp:posOffset>3724137</wp:posOffset>
                </wp:positionH>
                <wp:positionV relativeFrom="paragraph">
                  <wp:posOffset>455295</wp:posOffset>
                </wp:positionV>
                <wp:extent cx="2195195" cy="1148715"/>
                <wp:effectExtent l="19050" t="19050" r="0" b="0"/>
                <wp:wrapTight wrapText="bothSides">
                  <wp:wrapPolygon>
                    <wp:start x="21787" y="21958"/>
                    <wp:lineTo x="21787" y="96"/>
                    <wp:lineTo x="44" y="96"/>
                    <wp:lineTo x="44" y="21958"/>
                    <wp:lineTo x="21787" y="21958"/>
                  </wp:wrapPolygon>
                </wp:wrapTight>
                <wp:docPr id="91482049" name="Text Box 7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148715"/>
                        </a:xfrm>
                        <a:prstGeom prst="rect">
                          <a:avLst/>
                        </a:prstGeom>
                        <a:solidFill>
                          <a:srgbClr val="EEF5F8"/>
                        </a:solidFill>
                        <a:ln w="28575" cap="rnd">
                          <a:solidFill>
                            <a:srgbClr val="A5DAD9"/>
                          </a:solidFill>
                          <a:prstDash val="solid"/>
                          <a:miter lim="800000"/>
                          <a:headEnd/>
                          <a:tailEnd/>
                        </a:ln>
                      </wps:spPr>
                      <wps:txbx>
                        <w:txbxContent>
                          <w:p w:rsidR="00ED33C3" w:rsidRPr="00D41CCB" w:rsidP="00391F02" w14:textId="77777777">
                            <w:pPr>
                              <w:pStyle w:val="EQRTextboxheading"/>
                            </w:pPr>
                            <w:r w:rsidRPr="00D41CCB">
                              <w:t xml:space="preserve">Resource for Activity </w:t>
                            </w:r>
                            <w:r>
                              <w:t>6</w:t>
                            </w:r>
                          </w:p>
                          <w:p w:rsidR="00ED33C3" w:rsidP="00391F02" w14:textId="2EA67DC0">
                            <w:pPr>
                              <w:pStyle w:val="EQRTextboxbody"/>
                            </w:pPr>
                            <w:hyperlink w:anchor="WSp6n06" w:tooltip="Worksheet 6.6. Quality Assurance Plan" w:history="1">
                              <w:r w:rsidRPr="00774FD7">
                                <w:rPr>
                                  <w:rStyle w:val="Hyperlink"/>
                                </w:rPr>
                                <w:t xml:space="preserve">Worksheet 6.6. </w:t>
                              </w:r>
                              <w:r w:rsidR="00333704">
                                <w:rPr>
                                  <w:rStyle w:val="Hyperlink"/>
                                </w:rPr>
                                <w:t xml:space="preserve">Survey </w:t>
                              </w:r>
                              <w:r w:rsidRPr="00774FD7">
                                <w:rPr>
                                  <w:rStyle w:val="Hyperlink"/>
                                </w:rPr>
                                <w:t>Quality Assurance Plan</w:t>
                              </w:r>
                            </w:hyperlink>
                          </w:p>
                          <w:p w:rsidR="00ED33C3" w:rsidRPr="004B37FD" w:rsidP="00391F02" w14:textId="77777777">
                            <w:pPr>
                              <w:pStyle w:val="EQRTextboxbullet"/>
                            </w:pPr>
                            <w:r>
                              <w:t>Provides a set of quality check questions to assess the quality assurance plan</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3" o:spid="_x0000_s1206" type="#_x0000_t202" style="width:172.85pt;height:90.45pt;margin-top:35.85pt;margin-left:293.25pt;flip:y;mso-height-percent:0;mso-height-relative:page;mso-width-percent:0;mso-width-relative:page;mso-wrap-distance-bottom:0;mso-wrap-distance-left:9pt;mso-wrap-distance-right:9pt;mso-wrap-distance-top:0;mso-wrap-style:square;position:absolute;rotation:180;visibility:visible;v-text-anchor:top;z-index:251896832" fillcolor="#eef5f8" strokecolor="#a5dad9" strokeweight="2.25pt">
                <v:stroke endcap="round"/>
                <v:textbox style="mso-fit-shape-to-text:t" inset="8.64pt,,8.64pt">
                  <w:txbxContent>
                    <w:p w:rsidR="00ED33C3" w:rsidRPr="00D41CCB" w:rsidP="00391F02" w14:paraId="343A29FE" w14:textId="77777777">
                      <w:pPr>
                        <w:pStyle w:val="EQRTextboxheading"/>
                      </w:pPr>
                      <w:r w:rsidRPr="00D41CCB">
                        <w:t xml:space="preserve">Resource for Activity </w:t>
                      </w:r>
                      <w:r>
                        <w:t>6</w:t>
                      </w:r>
                    </w:p>
                    <w:p w:rsidR="00ED33C3" w:rsidP="00391F02" w14:paraId="3669D6FB" w14:textId="2EA67DC0">
                      <w:pPr>
                        <w:pStyle w:val="EQRTextboxbody"/>
                      </w:pPr>
                      <w:hyperlink w:anchor="WSp6n06" w:tooltip="Worksheet 6.6. Quality Assurance Plan" w:history="1">
                        <w:r w:rsidRPr="00774FD7">
                          <w:rPr>
                            <w:rStyle w:val="Hyperlink"/>
                          </w:rPr>
                          <w:t xml:space="preserve">Worksheet 6.6. </w:t>
                        </w:r>
                        <w:r w:rsidR="00333704">
                          <w:rPr>
                            <w:rStyle w:val="Hyperlink"/>
                          </w:rPr>
                          <w:t xml:space="preserve">Survey </w:t>
                        </w:r>
                        <w:r w:rsidRPr="00774FD7">
                          <w:rPr>
                            <w:rStyle w:val="Hyperlink"/>
                          </w:rPr>
                          <w:t>Quality Assurance Plan</w:t>
                        </w:r>
                      </w:hyperlink>
                    </w:p>
                    <w:p w:rsidR="00ED33C3" w:rsidRPr="004B37FD" w:rsidP="00391F02" w14:paraId="15692FA1" w14:textId="77777777">
                      <w:pPr>
                        <w:pStyle w:val="EQRTextboxbullet"/>
                      </w:pPr>
                      <w:r>
                        <w:t>Provides a set of quality check questions to assess the quality assurance plan</w:t>
                      </w:r>
                    </w:p>
                  </w:txbxContent>
                </v:textbox>
                <w10:wrap type="tight"/>
              </v:shape>
            </w:pict>
          </mc:Fallback>
        </mc:AlternateContent>
      </w:r>
      <w:r w:rsidRPr="00990D3B" w:rsidR="00171C0C">
        <w:t xml:space="preserve">The EQRO should review the quality assurance plan to ensure that it contains quality checks for all phases of the data collection effort. Specific areas for focus include checks during the sampling and locating processes, customization by data collection mode, and specification of data quality controls. In addition, the EQRO should be sure that the plan specifies how the checks will be implemented. See </w:t>
      </w:r>
      <w:hyperlink w:anchor="P6AI6" w:tooltip="Activity I.6" w:history="1">
        <w:r w:rsidRPr="00990D3B" w:rsidR="00171C0C">
          <w:rPr>
            <w:rStyle w:val="Hyperlink"/>
            <w:color w:val="auto"/>
          </w:rPr>
          <w:t xml:space="preserve">Activity </w:t>
        </w:r>
        <w:r w:rsidRPr="00990D3B" w:rsidR="00F02F9E">
          <w:rPr>
            <w:rStyle w:val="Hyperlink"/>
            <w:color w:val="auto"/>
          </w:rPr>
          <w:t>I.</w:t>
        </w:r>
        <w:r w:rsidRPr="00990D3B" w:rsidR="00171C0C">
          <w:rPr>
            <w:rStyle w:val="Hyperlink"/>
            <w:color w:val="auto"/>
          </w:rPr>
          <w:t>6</w:t>
        </w:r>
      </w:hyperlink>
      <w:r w:rsidRPr="00990D3B" w:rsidR="00171C0C">
        <w:t xml:space="preserve"> for more information on the quality assurance plan.</w:t>
      </w:r>
    </w:p>
    <w:p w:rsidR="00CC1E41" w:rsidRPr="00990D3B" w:rsidP="00442AA6" w14:paraId="42BD3FB7" w14:textId="34043F19">
      <w:pPr>
        <w:pStyle w:val="H2"/>
      </w:pPr>
      <w:bookmarkStart w:id="730" w:name="P6AII7"/>
      <w:bookmarkStart w:id="731" w:name="_Toc14777731"/>
      <w:bookmarkStart w:id="732" w:name="_Toc183005629"/>
      <w:bookmarkStart w:id="733" w:name="_Toc201751399"/>
      <w:r w:rsidRPr="00990D3B">
        <w:t>Activity</w:t>
      </w:r>
      <w:r w:rsidRPr="00990D3B" w:rsidR="00171C0C">
        <w:t xml:space="preserve"> </w:t>
      </w:r>
      <w:r w:rsidRPr="00990D3B" w:rsidR="001426AE">
        <w:t>II.</w:t>
      </w:r>
      <w:r w:rsidRPr="00990D3B" w:rsidR="00171C0C">
        <w:t>7</w:t>
      </w:r>
      <w:bookmarkEnd w:id="730"/>
      <w:r w:rsidRPr="00990D3B" w:rsidR="00171C0C">
        <w:t>: R</w:t>
      </w:r>
      <w:r w:rsidRPr="00990D3B">
        <w:t xml:space="preserve">eview the </w:t>
      </w:r>
      <w:r w:rsidRPr="00990D3B" w:rsidR="00171C0C">
        <w:t>S</w:t>
      </w:r>
      <w:r w:rsidRPr="00990D3B">
        <w:t xml:space="preserve">urvey </w:t>
      </w:r>
      <w:r w:rsidRPr="00990D3B" w:rsidR="00171C0C">
        <w:t>I</w:t>
      </w:r>
      <w:r w:rsidRPr="00990D3B">
        <w:t>mplementation</w:t>
      </w:r>
      <w:bookmarkEnd w:id="731"/>
      <w:bookmarkEnd w:id="732"/>
      <w:bookmarkEnd w:id="733"/>
    </w:p>
    <w:p w:rsidR="00171C0C" w:rsidRPr="00990D3B" w:rsidP="000237F8" w14:paraId="4B13006C" w14:textId="5224E7BE">
      <w:pPr>
        <w:pStyle w:val="ParagraphContinued"/>
      </w:pPr>
      <w:r w:rsidRPr="00990D3B">
        <w:rPr>
          <w:noProof/>
        </w:rPr>
        <mc:AlternateContent>
          <mc:Choice Requires="wps">
            <w:drawing>
              <wp:anchor distT="0" distB="0" distL="114300" distR="114300" simplePos="0" relativeHeight="251899904" behindDoc="0" locked="0" layoutInCell="1" allowOverlap="1">
                <wp:simplePos x="0" y="0"/>
                <wp:positionH relativeFrom="column">
                  <wp:posOffset>3803650</wp:posOffset>
                </wp:positionH>
                <wp:positionV relativeFrom="paragraph">
                  <wp:posOffset>478155</wp:posOffset>
                </wp:positionV>
                <wp:extent cx="2194560" cy="1148715"/>
                <wp:effectExtent l="19050" t="19050" r="0" b="0"/>
                <wp:wrapTight wrapText="bothSides">
                  <wp:wrapPolygon>
                    <wp:start x="21788" y="21958"/>
                    <wp:lineTo x="21788" y="96"/>
                    <wp:lineTo x="38" y="96"/>
                    <wp:lineTo x="38" y="21958"/>
                    <wp:lineTo x="21788" y="21958"/>
                  </wp:wrapPolygon>
                </wp:wrapTight>
                <wp:docPr id="713907709" name="Text Box 7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1148715"/>
                        </a:xfrm>
                        <a:prstGeom prst="rect">
                          <a:avLst/>
                        </a:prstGeom>
                        <a:solidFill>
                          <a:srgbClr val="EEF5F8"/>
                        </a:solidFill>
                        <a:ln w="28575" cap="rnd">
                          <a:solidFill>
                            <a:srgbClr val="A5DAD9"/>
                          </a:solidFill>
                          <a:prstDash val="solid"/>
                          <a:miter lim="800000"/>
                          <a:headEnd/>
                          <a:tailEnd/>
                        </a:ln>
                      </wps:spPr>
                      <wps:txbx>
                        <w:txbxContent>
                          <w:p w:rsidR="00ED33C3" w:rsidRPr="00D41CCB" w:rsidP="000237F8" w14:textId="77777777">
                            <w:pPr>
                              <w:pStyle w:val="EQRTextboxheading"/>
                            </w:pPr>
                            <w:r w:rsidRPr="00D41CCB">
                              <w:t xml:space="preserve">Resource for Activity </w:t>
                            </w:r>
                            <w:r>
                              <w:t>7</w:t>
                            </w:r>
                          </w:p>
                          <w:p w:rsidR="00ED33C3" w:rsidP="000237F8" w14:textId="59CE1366">
                            <w:pPr>
                              <w:pStyle w:val="EQRTextboxbody"/>
                            </w:pPr>
                            <w:hyperlink w:anchor="WSp6n07" w:tooltip="Worksheet 6.7. Survey Implementation According to the Work Plan" w:history="1">
                              <w:r w:rsidRPr="00555377">
                                <w:rPr>
                                  <w:rStyle w:val="Hyperlink"/>
                                </w:rPr>
                                <w:t>Worksheet 6.7. Survey Implementation According to the Work Plan</w:t>
                              </w:r>
                            </w:hyperlink>
                          </w:p>
                          <w:p w:rsidR="00ED33C3" w:rsidRPr="004B37FD" w:rsidP="000237F8" w14:textId="77777777">
                            <w:pPr>
                              <w:pStyle w:val="EQRTextboxbullet"/>
                            </w:pPr>
                            <w:r>
                              <w:t>Provides a set of questions to assess survey implementation</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1" o:spid="_x0000_s1207" type="#_x0000_t202" style="width:172.8pt;height:90.45pt;margin-top:37.65pt;margin-left:299.5pt;flip:y;mso-height-percent:0;mso-height-relative:page;mso-width-percent:0;mso-width-relative:page;mso-wrap-distance-bottom:0;mso-wrap-distance-left:9pt;mso-wrap-distance-right:9pt;mso-wrap-distance-top:0;mso-wrap-style:square;position:absolute;rotation:180;visibility:visible;v-text-anchor:top;z-index:251900928" fillcolor="#eef5f8" strokecolor="#a5dad9" strokeweight="2.25pt">
                <v:stroke endcap="round"/>
                <v:textbox style="mso-fit-shape-to-text:t" inset="8.64pt,,8.64pt">
                  <w:txbxContent>
                    <w:p w:rsidR="00ED33C3" w:rsidRPr="00D41CCB" w:rsidP="000237F8" w14:paraId="48822420" w14:textId="77777777">
                      <w:pPr>
                        <w:pStyle w:val="EQRTextboxheading"/>
                      </w:pPr>
                      <w:r w:rsidRPr="00D41CCB">
                        <w:t xml:space="preserve">Resource for Activity </w:t>
                      </w:r>
                      <w:r>
                        <w:t>7</w:t>
                      </w:r>
                    </w:p>
                    <w:p w:rsidR="00ED33C3" w:rsidP="000237F8" w14:paraId="43B0AF6C" w14:textId="59CE1366">
                      <w:pPr>
                        <w:pStyle w:val="EQRTextboxbody"/>
                      </w:pPr>
                      <w:hyperlink w:anchor="WSp6n07" w:tooltip="Worksheet 6.7. Survey Implementation According to the Work Plan" w:history="1">
                        <w:r w:rsidRPr="00555377">
                          <w:rPr>
                            <w:rStyle w:val="Hyperlink"/>
                          </w:rPr>
                          <w:t>Worksheet 6.7. Survey Implementation According to the Work Plan</w:t>
                        </w:r>
                      </w:hyperlink>
                    </w:p>
                    <w:p w:rsidR="00ED33C3" w:rsidRPr="004B37FD" w:rsidP="000237F8" w14:paraId="6C46AD3B" w14:textId="77777777">
                      <w:pPr>
                        <w:pStyle w:val="EQRTextboxbullet"/>
                      </w:pPr>
                      <w:r>
                        <w:t>Provides a set of questions to assess survey implementation</w:t>
                      </w:r>
                    </w:p>
                  </w:txbxContent>
                </v:textbox>
                <w10:wrap type="tight"/>
              </v:shape>
            </w:pict>
          </mc:Fallback>
        </mc:AlternateContent>
      </w:r>
      <w:r w:rsidRPr="00990D3B">
        <w:rPr>
          <w:noProof/>
        </w:rPr>
        <mc:AlternateContent>
          <mc:Choice Requires="wps">
            <w:drawing>
              <wp:anchor distT="0" distB="0" distL="114300" distR="114300" simplePos="0" relativeHeight="251901952" behindDoc="0" locked="0" layoutInCell="1" allowOverlap="1">
                <wp:simplePos x="0" y="0"/>
                <wp:positionH relativeFrom="column">
                  <wp:posOffset>3803650</wp:posOffset>
                </wp:positionH>
                <wp:positionV relativeFrom="paragraph">
                  <wp:posOffset>117475</wp:posOffset>
                </wp:positionV>
                <wp:extent cx="2193290" cy="297815"/>
                <wp:effectExtent l="19050" t="19050" r="0" b="7620"/>
                <wp:wrapTight wrapText="bothSides">
                  <wp:wrapPolygon>
                    <wp:start x="21788" y="22985"/>
                    <wp:lineTo x="21788" y="-554"/>
                    <wp:lineTo x="25" y="-554"/>
                    <wp:lineTo x="25" y="22985"/>
                    <wp:lineTo x="21788" y="22985"/>
                  </wp:wrapPolygon>
                </wp:wrapTight>
                <wp:docPr id="1124539259" name="Text Box 7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290" cy="297815"/>
                        </a:xfrm>
                        <a:prstGeom prst="rect">
                          <a:avLst/>
                        </a:prstGeom>
                        <a:solidFill>
                          <a:srgbClr val="EEF5F8"/>
                        </a:solidFill>
                        <a:ln w="28575" cap="rnd">
                          <a:solidFill>
                            <a:srgbClr val="A5DAD9"/>
                          </a:solidFill>
                          <a:prstDash val="solid"/>
                          <a:miter lim="800000"/>
                          <a:headEnd/>
                          <a:tailEnd/>
                        </a:ln>
                      </wps:spPr>
                      <wps:txbx>
                        <w:txbxContent>
                          <w:p w:rsidR="00ED33C3" w:rsidRPr="006847EB" w:rsidP="000237F8" w14:textId="62E5FB55">
                            <w:pPr>
                              <w:pStyle w:val="EQRWORKSHEETText"/>
                              <w:rPr>
                                <w:color w:val="006068" w:themeColor="accent1" w:themeShade="BF"/>
                              </w:rPr>
                            </w:pPr>
                            <w:hyperlink w:anchor="WSp6n07" w:tooltip="WORKSHEET 6.7" w:history="1">
                              <w:r w:rsidRPr="006847EB">
                                <w:rPr>
                                  <w:color w:val="006068" w:themeColor="accent1" w:themeShade="BF"/>
                                </w:rPr>
                                <w:t>WORKSHEET 6.7</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0" o:spid="_x0000_s1208" type="#_x0000_t202" style="width:172.7pt;height:23.45pt;margin-top:9.25pt;margin-left:299.5pt;flip:y;mso-height-percent:0;mso-height-relative:page;mso-width-percent:0;mso-width-relative:page;mso-wrap-distance-bottom:0;mso-wrap-distance-left:9pt;mso-wrap-distance-right:9pt;mso-wrap-distance-top:0;mso-wrap-style:square;position:absolute;rotation:180;visibility:visible;v-text-anchor:top;z-index:251902976" fillcolor="#eef5f8" strokecolor="#a5dad9" strokeweight="2.25pt">
                <v:stroke endcap="round"/>
                <v:textbox style="mso-fit-shape-to-text:t" inset="8.64pt,,8.64pt">
                  <w:txbxContent>
                    <w:p w:rsidR="00ED33C3" w:rsidRPr="006847EB" w:rsidP="000237F8" w14:paraId="70A8D7D3" w14:textId="62E5FB55">
                      <w:pPr>
                        <w:pStyle w:val="EQRWORKSHEETText"/>
                        <w:rPr>
                          <w:color w:val="006068" w:themeColor="accent1" w:themeShade="BF"/>
                        </w:rPr>
                      </w:pPr>
                      <w:hyperlink w:anchor="WSp6n07" w:tooltip="WORKSHEET 6.7" w:history="1">
                        <w:r w:rsidRPr="006847EB">
                          <w:rPr>
                            <w:color w:val="006068" w:themeColor="accent1" w:themeShade="BF"/>
                          </w:rPr>
                          <w:t>WORKSHEET 6.7</w:t>
                        </w:r>
                      </w:hyperlink>
                    </w:p>
                  </w:txbxContent>
                </v:textbox>
                <w10:wrap type="tight"/>
              </v:shape>
            </w:pict>
          </mc:Fallback>
        </mc:AlternateContent>
      </w:r>
      <w:r w:rsidRPr="00990D3B" w:rsidR="00171C0C">
        <w:t xml:space="preserve">The EQRO should review documentation regarding the survey implementation and assess whether implementation conformed to the work plan. The EQRO should specifically consider the following: </w:t>
      </w:r>
    </w:p>
    <w:p w:rsidR="00171C0C" w:rsidRPr="00990D3B" w:rsidP="00FB7CAF" w14:paraId="33040687" w14:textId="5F79F027">
      <w:pPr>
        <w:pStyle w:val="EQRBulletBLUE"/>
      </w:pPr>
      <w:r w:rsidRPr="00990D3B">
        <w:t>Adherence to the sampling plan</w:t>
      </w:r>
      <w:r w:rsidRPr="00990D3B" w:rsidR="00581013">
        <w:t>.</w:t>
      </w:r>
    </w:p>
    <w:p w:rsidR="00171C0C" w:rsidRPr="00990D3B" w:rsidP="00FB7CAF" w14:paraId="3C7B33F9" w14:textId="361BF105">
      <w:pPr>
        <w:pStyle w:val="EQRBulletBLUE"/>
      </w:pPr>
      <w:r w:rsidRPr="00990D3B">
        <w:t>How the survey questionnaire was administered, including formatting and distribution of mailed surveys or scripting and training of telephone interviewers</w:t>
      </w:r>
      <w:r w:rsidRPr="00990D3B" w:rsidR="00581013">
        <w:t>.</w:t>
      </w:r>
    </w:p>
    <w:p w:rsidR="00171C0C" w:rsidRPr="00990D3B" w:rsidP="00FB7CAF" w14:paraId="5D85A382" w14:textId="467AD33E">
      <w:pPr>
        <w:pStyle w:val="EQRBulletBLUE"/>
      </w:pPr>
      <w:r w:rsidRPr="00990D3B">
        <w:t>Changes to the survey schedule</w:t>
      </w:r>
      <w:r w:rsidRPr="00990D3B" w:rsidR="00581013">
        <w:t>.</w:t>
      </w:r>
    </w:p>
    <w:p w:rsidR="00171C0C" w:rsidRPr="00990D3B" w:rsidP="00FB7CAF" w14:paraId="6ADE9A13" w14:textId="3E990E36">
      <w:pPr>
        <w:pStyle w:val="EQRBulletBLUE"/>
      </w:pPr>
      <w:r w:rsidRPr="00990D3B">
        <w:t>Evidence of implementation of the quality assurance checks</w:t>
      </w:r>
      <w:r w:rsidRPr="00990D3B" w:rsidR="00581013">
        <w:t>.</w:t>
      </w:r>
    </w:p>
    <w:p w:rsidR="00171C0C" w:rsidRPr="00990D3B" w:rsidP="00FB7CAF" w14:paraId="78C9C1A9" w14:textId="6CA5C82E">
      <w:pPr>
        <w:pStyle w:val="EQRBulletBLUE"/>
      </w:pPr>
      <w:r w:rsidRPr="00990D3B">
        <w:t>Problems detected and corrections implemented during the survey process</w:t>
      </w:r>
      <w:r w:rsidRPr="00990D3B" w:rsidR="00581013">
        <w:t>.</w:t>
      </w:r>
    </w:p>
    <w:p w:rsidR="00BA0262" w:rsidRPr="00990D3B" w:rsidP="00FB7CAF" w14:paraId="53D9CF48" w14:textId="7672F6FE">
      <w:pPr>
        <w:pStyle w:val="EQRBulletBLUE"/>
      </w:pPr>
      <w:r w:rsidRPr="00990D3B">
        <w:t>Confidentiality procedures followed</w:t>
      </w:r>
      <w:r w:rsidRPr="00990D3B" w:rsidR="00581013">
        <w:t>.</w:t>
      </w:r>
    </w:p>
    <w:p w:rsidR="00171C0C" w:rsidRPr="00990D3B" w:rsidP="00FB7CAF" w14:paraId="70B7B5CB" w14:textId="6661301A">
      <w:pPr>
        <w:pStyle w:val="EQRBulletBLUE"/>
      </w:pPr>
      <w:r w:rsidRPr="00990D3B">
        <w:t>Data collection, data entry, and data quality control methods used, including reports of missing data, data that failed edit checks, and incomplete or unusable surveys</w:t>
      </w:r>
      <w:r w:rsidRPr="00990D3B" w:rsidR="00581013">
        <w:t>.</w:t>
      </w:r>
    </w:p>
    <w:p w:rsidR="00171C0C" w:rsidRPr="00990D3B" w:rsidP="00576E96" w14:paraId="52C61B6A" w14:textId="6AFDE661">
      <w:pPr>
        <w:pStyle w:val="ParagraphContinued"/>
      </w:pPr>
      <w:r w:rsidRPr="00990D3B">
        <w:t xml:space="preserve">See </w:t>
      </w:r>
      <w:hyperlink w:anchor="P6AI7" w:tooltip="Activity I.7" w:history="1">
        <w:r w:rsidRPr="00990D3B">
          <w:rPr>
            <w:rStyle w:val="Hyperlink"/>
            <w:color w:val="auto"/>
          </w:rPr>
          <w:t xml:space="preserve">Activity </w:t>
        </w:r>
        <w:r w:rsidRPr="00990D3B" w:rsidR="00465B79">
          <w:rPr>
            <w:rStyle w:val="Hyperlink"/>
            <w:color w:val="auto"/>
          </w:rPr>
          <w:t>I.</w:t>
        </w:r>
        <w:r w:rsidRPr="00990D3B">
          <w:rPr>
            <w:rStyle w:val="Hyperlink"/>
            <w:color w:val="auto"/>
          </w:rPr>
          <w:t>7</w:t>
        </w:r>
      </w:hyperlink>
      <w:r w:rsidRPr="00990D3B">
        <w:t xml:space="preserve"> for more information on survey implementation.</w:t>
      </w:r>
    </w:p>
    <w:p w:rsidR="00CC1E41" w:rsidRPr="00990D3B" w:rsidP="00442AA6" w14:paraId="2A74C83C" w14:textId="259A768F">
      <w:pPr>
        <w:pStyle w:val="H2"/>
      </w:pPr>
      <w:bookmarkStart w:id="734" w:name="P6AII8"/>
      <w:bookmarkStart w:id="735" w:name="_Toc14777732"/>
      <w:bookmarkStart w:id="736" w:name="_Toc183005630"/>
      <w:bookmarkStart w:id="737" w:name="_Toc201751400"/>
      <w:r w:rsidRPr="00990D3B">
        <w:t>A</w:t>
      </w:r>
      <w:r w:rsidRPr="00990D3B" w:rsidR="0003073F">
        <w:t>ctivity</w:t>
      </w:r>
      <w:r w:rsidRPr="00990D3B">
        <w:t xml:space="preserve"> </w:t>
      </w:r>
      <w:r w:rsidRPr="00990D3B" w:rsidR="001426AE">
        <w:t>II.</w:t>
      </w:r>
      <w:r w:rsidRPr="00990D3B">
        <w:t>8</w:t>
      </w:r>
      <w:bookmarkEnd w:id="734"/>
      <w:r w:rsidRPr="00990D3B">
        <w:t xml:space="preserve">: </w:t>
      </w:r>
      <w:r w:rsidRPr="00990D3B">
        <w:t>R</w:t>
      </w:r>
      <w:r w:rsidRPr="00990D3B" w:rsidR="0003073F">
        <w:t>eview</w:t>
      </w:r>
      <w:r w:rsidRPr="00990D3B" w:rsidR="0003073F">
        <w:t xml:space="preserve"> the </w:t>
      </w:r>
      <w:r w:rsidRPr="00990D3B">
        <w:t>S</w:t>
      </w:r>
      <w:r w:rsidRPr="00990D3B" w:rsidR="0003073F">
        <w:t xml:space="preserve">urvey </w:t>
      </w:r>
      <w:r w:rsidRPr="00990D3B">
        <w:t>D</w:t>
      </w:r>
      <w:r w:rsidRPr="00990D3B" w:rsidR="0003073F">
        <w:t xml:space="preserve">ata </w:t>
      </w:r>
      <w:r w:rsidRPr="00990D3B">
        <w:t>A</w:t>
      </w:r>
      <w:r w:rsidRPr="00990D3B" w:rsidR="0003073F">
        <w:t>nalysis and Final</w:t>
      </w:r>
      <w:r w:rsidRPr="00990D3B" w:rsidR="00D33E3C">
        <w:t> </w:t>
      </w:r>
      <w:r w:rsidRPr="00990D3B">
        <w:t>R</w:t>
      </w:r>
      <w:r w:rsidRPr="00990D3B" w:rsidR="0003073F">
        <w:t>eport</w:t>
      </w:r>
      <w:bookmarkEnd w:id="735"/>
      <w:bookmarkEnd w:id="736"/>
      <w:bookmarkEnd w:id="737"/>
    </w:p>
    <w:p w:rsidR="00171C0C" w:rsidRPr="00990D3B" w:rsidP="000237F8" w14:paraId="1E905420" w14:textId="73063F75">
      <w:pPr>
        <w:pStyle w:val="ParagraphContinued"/>
      </w:pPr>
      <w:r w:rsidRPr="00990D3B">
        <w:rPr>
          <w:noProof/>
        </w:rPr>
        <mc:AlternateContent>
          <mc:Choice Requires="wps">
            <w:drawing>
              <wp:anchor distT="0" distB="0" distL="114300" distR="114300" simplePos="0" relativeHeight="251906048" behindDoc="0" locked="0" layoutInCell="1" allowOverlap="1">
                <wp:simplePos x="0" y="0"/>
                <wp:positionH relativeFrom="column">
                  <wp:posOffset>3714750</wp:posOffset>
                </wp:positionH>
                <wp:positionV relativeFrom="paragraph">
                  <wp:posOffset>158115</wp:posOffset>
                </wp:positionV>
                <wp:extent cx="2193925" cy="297180"/>
                <wp:effectExtent l="19050" t="19050" r="0" b="7620"/>
                <wp:wrapTight wrapText="bothSides">
                  <wp:wrapPolygon>
                    <wp:start x="21788" y="22985"/>
                    <wp:lineTo x="21788" y="-554"/>
                    <wp:lineTo x="31" y="-554"/>
                    <wp:lineTo x="31" y="22985"/>
                    <wp:lineTo x="21788" y="22985"/>
                  </wp:wrapPolygon>
                </wp:wrapTight>
                <wp:docPr id="442663100" name="Text Box 6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180"/>
                        </a:xfrm>
                        <a:prstGeom prst="rect">
                          <a:avLst/>
                        </a:prstGeom>
                        <a:solidFill>
                          <a:srgbClr val="EEF5F8"/>
                        </a:solidFill>
                        <a:ln w="28575" cap="rnd">
                          <a:solidFill>
                            <a:srgbClr val="A5DAD9"/>
                          </a:solidFill>
                          <a:prstDash val="solid"/>
                          <a:miter lim="800000"/>
                          <a:headEnd/>
                          <a:tailEnd/>
                        </a:ln>
                      </wps:spPr>
                      <wps:txbx>
                        <w:txbxContent>
                          <w:p w:rsidR="00ED33C3" w:rsidRPr="006847EB" w:rsidP="000237F8" w14:textId="763195E8">
                            <w:pPr>
                              <w:pStyle w:val="EQRWORKSHEETText"/>
                              <w:rPr>
                                <w:color w:val="006068" w:themeColor="accent1" w:themeShade="BF"/>
                              </w:rPr>
                            </w:pPr>
                            <w:hyperlink w:anchor="WSp6n08" w:tooltip="WORKSHEET 6.8" w:history="1">
                              <w:r w:rsidRPr="006847EB">
                                <w:rPr>
                                  <w:color w:val="006068" w:themeColor="accent1" w:themeShade="BF"/>
                                </w:rPr>
                                <w:t>WORKSHEET 6.8</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9" o:spid="_x0000_s1209" type="#_x0000_t202" style="width:172.75pt;height:23.4pt;margin-top:12.45pt;margin-left:292.5pt;flip:y;mso-height-percent:0;mso-height-relative:page;mso-width-percent:0;mso-width-relative:page;mso-wrap-distance-bottom:0;mso-wrap-distance-left:9pt;mso-wrap-distance-right:9pt;mso-wrap-distance-top:0;mso-wrap-style:square;position:absolute;rotation:180;visibility:visible;v-text-anchor:top;z-index:251907072" fillcolor="#eef5f8" strokecolor="#a5dad9" strokeweight="2.25pt">
                <v:stroke endcap="round"/>
                <v:textbox style="mso-fit-shape-to-text:t" inset="8.64pt,,8.64pt">
                  <w:txbxContent>
                    <w:p w:rsidR="00ED33C3" w:rsidRPr="006847EB" w:rsidP="000237F8" w14:paraId="4E44A599" w14:textId="763195E8">
                      <w:pPr>
                        <w:pStyle w:val="EQRWORKSHEETText"/>
                        <w:rPr>
                          <w:color w:val="006068" w:themeColor="accent1" w:themeShade="BF"/>
                        </w:rPr>
                      </w:pPr>
                      <w:hyperlink w:anchor="WSp6n08" w:tooltip="WORKSHEET 6.8" w:history="1">
                        <w:r w:rsidRPr="006847EB">
                          <w:rPr>
                            <w:color w:val="006068" w:themeColor="accent1" w:themeShade="BF"/>
                          </w:rPr>
                          <w:t>WORKSHEET 6.8</w:t>
                        </w:r>
                      </w:hyperlink>
                    </w:p>
                  </w:txbxContent>
                </v:textbox>
                <w10:wrap type="tight"/>
              </v:shape>
            </w:pict>
          </mc:Fallback>
        </mc:AlternateContent>
      </w:r>
      <w:r w:rsidRPr="00990D3B">
        <w:rPr>
          <w:noProof/>
        </w:rPr>
        <mc:AlternateContent>
          <mc:Choice Requires="wps">
            <w:drawing>
              <wp:anchor distT="0" distB="0" distL="114300" distR="114300" simplePos="0" relativeHeight="251904000" behindDoc="0" locked="0" layoutInCell="1" allowOverlap="1">
                <wp:simplePos x="0" y="0"/>
                <wp:positionH relativeFrom="column">
                  <wp:posOffset>3714750</wp:posOffset>
                </wp:positionH>
                <wp:positionV relativeFrom="paragraph">
                  <wp:posOffset>519430</wp:posOffset>
                </wp:positionV>
                <wp:extent cx="2195195" cy="1148715"/>
                <wp:effectExtent l="19050" t="19050" r="0" b="0"/>
                <wp:wrapTight wrapText="bothSides">
                  <wp:wrapPolygon>
                    <wp:start x="21787" y="21958"/>
                    <wp:lineTo x="21787" y="96"/>
                    <wp:lineTo x="44" y="96"/>
                    <wp:lineTo x="44" y="21958"/>
                    <wp:lineTo x="21787" y="21958"/>
                  </wp:wrapPolygon>
                </wp:wrapTight>
                <wp:docPr id="1573496295" name="Text Box 6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148715"/>
                        </a:xfrm>
                        <a:prstGeom prst="rect">
                          <a:avLst/>
                        </a:prstGeom>
                        <a:solidFill>
                          <a:srgbClr val="EEF5F8"/>
                        </a:solidFill>
                        <a:ln w="28575" cap="rnd">
                          <a:solidFill>
                            <a:srgbClr val="A5DAD9"/>
                          </a:solidFill>
                          <a:prstDash val="solid"/>
                          <a:miter lim="800000"/>
                          <a:headEnd/>
                          <a:tailEnd/>
                        </a:ln>
                      </wps:spPr>
                      <wps:txbx>
                        <w:txbxContent>
                          <w:p w:rsidR="00ED33C3" w:rsidRPr="00D41CCB" w:rsidP="000237F8" w14:textId="77777777">
                            <w:pPr>
                              <w:pStyle w:val="EQRTextboxheading"/>
                            </w:pPr>
                            <w:r w:rsidRPr="00D41CCB">
                              <w:t xml:space="preserve">Resource for Activity </w:t>
                            </w:r>
                            <w:r>
                              <w:t>8</w:t>
                            </w:r>
                          </w:p>
                          <w:p w:rsidR="00ED33C3" w:rsidP="000237F8" w14:textId="59627841">
                            <w:pPr>
                              <w:pStyle w:val="EQRTextboxbody"/>
                            </w:pPr>
                            <w:hyperlink w:anchor="WSp6n08" w:tooltip="Worksheet 6.8. Survey Data Analysis and Final Report" w:history="1">
                              <w:r w:rsidRPr="00555377">
                                <w:rPr>
                                  <w:rStyle w:val="Hyperlink"/>
                                </w:rPr>
                                <w:t>Worksheet 6.8. Survey Data Analysis and Final Report</w:t>
                              </w:r>
                            </w:hyperlink>
                          </w:p>
                          <w:p w:rsidR="00ED33C3" w:rsidRPr="004B37FD" w:rsidP="000237F8" w14:textId="77777777">
                            <w:pPr>
                              <w:pStyle w:val="EQRTextboxbullet"/>
                            </w:pPr>
                            <w:r>
                              <w:t>Provides a set of questions to assess the data analysis and final report</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8" o:spid="_x0000_s1210" type="#_x0000_t202" style="width:172.85pt;height:90.45pt;margin-top:40.9pt;margin-left:292.5pt;flip:y;mso-height-percent:0;mso-height-relative:page;mso-width-percent:0;mso-width-relative:page;mso-wrap-distance-bottom:0;mso-wrap-distance-left:9pt;mso-wrap-distance-right:9pt;mso-wrap-distance-top:0;mso-wrap-style:square;position:absolute;rotation:180;visibility:visible;v-text-anchor:top;z-index:251905024" fillcolor="#eef5f8" strokecolor="#a5dad9" strokeweight="2.25pt">
                <v:stroke endcap="round"/>
                <v:textbox style="mso-fit-shape-to-text:t" inset="8.64pt,,8.64pt">
                  <w:txbxContent>
                    <w:p w:rsidR="00ED33C3" w:rsidRPr="00D41CCB" w:rsidP="000237F8" w14:paraId="6E0CE604" w14:textId="77777777">
                      <w:pPr>
                        <w:pStyle w:val="EQRTextboxheading"/>
                      </w:pPr>
                      <w:r w:rsidRPr="00D41CCB">
                        <w:t xml:space="preserve">Resource for Activity </w:t>
                      </w:r>
                      <w:r>
                        <w:t>8</w:t>
                      </w:r>
                    </w:p>
                    <w:p w:rsidR="00ED33C3" w:rsidP="000237F8" w14:paraId="7FE11991" w14:textId="59627841">
                      <w:pPr>
                        <w:pStyle w:val="EQRTextboxbody"/>
                      </w:pPr>
                      <w:hyperlink w:anchor="WSp6n08" w:tooltip="Worksheet 6.8. Survey Data Analysis and Final Report" w:history="1">
                        <w:r w:rsidRPr="00555377">
                          <w:rPr>
                            <w:rStyle w:val="Hyperlink"/>
                          </w:rPr>
                          <w:t>Worksheet 6.8. Survey Data Analysis and Final Report</w:t>
                        </w:r>
                      </w:hyperlink>
                    </w:p>
                    <w:p w:rsidR="00ED33C3" w:rsidRPr="004B37FD" w:rsidP="000237F8" w14:paraId="799EC217" w14:textId="77777777">
                      <w:pPr>
                        <w:pStyle w:val="EQRTextboxbullet"/>
                      </w:pPr>
                      <w:r>
                        <w:t>Provides a set of questions to assess the data analysis and final report</w:t>
                      </w:r>
                    </w:p>
                  </w:txbxContent>
                </v:textbox>
                <w10:wrap type="tight"/>
              </v:shape>
            </w:pict>
          </mc:Fallback>
        </mc:AlternateContent>
      </w:r>
      <w:r w:rsidRPr="00990D3B" w:rsidR="00171C0C">
        <w:t>The EQRO should review how the survey data were analyzed, including the statistical procedures used and comparisons made. The EQRO should assess whether the analysis was appropriate to the survey purpose, whether appropriate statistical tests were applied, and how well the survey findings were supported by the data. In its final validation report, the EQRO should document its conclusions and provide written findings on:</w:t>
      </w:r>
    </w:p>
    <w:p w:rsidR="00171C0C" w:rsidRPr="00990D3B" w:rsidP="00FB7CAF" w14:paraId="21F80ECB" w14:textId="7CA27243">
      <w:pPr>
        <w:pStyle w:val="EQRBulletBLUE"/>
      </w:pPr>
      <w:r w:rsidRPr="00990D3B">
        <w:t>The survey’s technical strengths and weaknesses</w:t>
      </w:r>
      <w:r w:rsidRPr="00990D3B" w:rsidR="00581013">
        <w:t>.</w:t>
      </w:r>
    </w:p>
    <w:p w:rsidR="00171C0C" w:rsidRPr="00990D3B" w:rsidP="00FB7CAF" w14:paraId="445C39F1" w14:textId="6B974F31">
      <w:pPr>
        <w:pStyle w:val="EQRBulletBLUE"/>
      </w:pPr>
      <w:r w:rsidRPr="00990D3B">
        <w:t>Appropriateness of analysis methods (e.g., data quality, sample sizes, weighting and adjustment for complex sample design if applicable, significance testing)</w:t>
      </w:r>
      <w:r w:rsidRPr="00990D3B" w:rsidR="00581013">
        <w:t>.</w:t>
      </w:r>
    </w:p>
    <w:p w:rsidR="00171C0C" w:rsidRPr="00990D3B" w:rsidP="00FB7CAF" w14:paraId="2127B53C" w14:textId="700ACFAE">
      <w:pPr>
        <w:pStyle w:val="EQRBulletBLUE"/>
      </w:pPr>
      <w:r w:rsidRPr="00990D3B">
        <w:t>Appropriateness of presentation approaches (such as text, tables, figures)</w:t>
      </w:r>
      <w:r w:rsidRPr="00990D3B" w:rsidR="00581013">
        <w:t>.</w:t>
      </w:r>
    </w:p>
    <w:p w:rsidR="00171C0C" w:rsidRPr="00990D3B" w:rsidP="00FB7CAF" w14:paraId="0B607ABE" w14:textId="60143002">
      <w:pPr>
        <w:pStyle w:val="EQRBulletBLUE"/>
      </w:pPr>
      <w:r w:rsidRPr="00990D3B">
        <w:t>Appropriateness of conclusions drawn from the survey data</w:t>
      </w:r>
      <w:r w:rsidRPr="00990D3B" w:rsidR="00581013">
        <w:t>.</w:t>
      </w:r>
      <w:r w:rsidRPr="00990D3B">
        <w:t xml:space="preserve"> </w:t>
      </w:r>
    </w:p>
    <w:p w:rsidR="00171C0C" w:rsidRPr="00990D3B" w:rsidP="00FB7CAF" w14:paraId="0F518A7E" w14:textId="2B0C0D27">
      <w:pPr>
        <w:pStyle w:val="EQRBulletBLUE"/>
      </w:pPr>
      <w:r w:rsidRPr="00990D3B">
        <w:t>The limitations and generalizability of survey findings</w:t>
      </w:r>
      <w:r w:rsidRPr="00990D3B" w:rsidR="00581013">
        <w:t>.</w:t>
      </w:r>
      <w:r w:rsidRPr="00990D3B">
        <w:t xml:space="preserve"> </w:t>
      </w:r>
    </w:p>
    <w:p w:rsidR="00CC1E41" w:rsidRPr="00990D3B" w:rsidP="004E5005" w14:paraId="0FFBD00A" w14:textId="14163E4D">
      <w:pPr>
        <w:pStyle w:val="ParagraphContinued"/>
      </w:pPr>
      <w:r w:rsidRPr="00990D3B">
        <w:t xml:space="preserve">See </w:t>
      </w:r>
      <w:hyperlink w:anchor="P6AI8" w:tooltip="Activity I.8" w:history="1">
        <w:r w:rsidRPr="00990D3B">
          <w:rPr>
            <w:rStyle w:val="Hyperlink"/>
            <w:color w:val="auto"/>
          </w:rPr>
          <w:t xml:space="preserve">Activity </w:t>
        </w:r>
        <w:r w:rsidRPr="00990D3B" w:rsidR="00465B79">
          <w:rPr>
            <w:rStyle w:val="Hyperlink"/>
            <w:color w:val="auto"/>
          </w:rPr>
          <w:t>I.</w:t>
        </w:r>
        <w:r w:rsidRPr="00990D3B">
          <w:rPr>
            <w:rStyle w:val="Hyperlink"/>
            <w:color w:val="auto"/>
          </w:rPr>
          <w:t>8</w:t>
        </w:r>
      </w:hyperlink>
      <w:r w:rsidRPr="00990D3B">
        <w:t xml:space="preserve"> for more information about the presentation of survey findings.</w:t>
      </w:r>
    </w:p>
    <w:p w:rsidR="00853D5C" w:rsidRPr="00990D3B" w:rsidP="000B33AC" w14:paraId="724F3214" w14:textId="3CDA2944">
      <w:pPr>
        <w:pStyle w:val="H2"/>
      </w:pPr>
      <w:bookmarkStart w:id="738" w:name="P6App"/>
      <w:bookmarkStart w:id="739" w:name="_Toc14777733"/>
      <w:bookmarkStart w:id="740" w:name="_Toc183005631"/>
      <w:bookmarkStart w:id="741" w:name="_Toc201751401"/>
      <w:r w:rsidRPr="00990D3B">
        <w:t>Technical</w:t>
      </w:r>
      <w:r w:rsidRPr="00990D3B">
        <w:t xml:space="preserve"> </w:t>
      </w:r>
      <w:r w:rsidRPr="00990D3B">
        <w:t>Appendix for P</w:t>
      </w:r>
      <w:r w:rsidRPr="00990D3B">
        <w:t>rotocol 6</w:t>
      </w:r>
      <w:bookmarkEnd w:id="738"/>
      <w:r w:rsidRPr="00990D3B">
        <w:t xml:space="preserve">: </w:t>
      </w:r>
      <w:r w:rsidRPr="00990D3B">
        <w:t>Understanding</w:t>
      </w:r>
      <w:r w:rsidRPr="00990D3B">
        <w:t xml:space="preserve"> </w:t>
      </w:r>
      <w:r w:rsidRPr="00990D3B">
        <w:t>P</w:t>
      </w:r>
      <w:r w:rsidRPr="00990D3B">
        <w:t xml:space="preserve">otential </w:t>
      </w:r>
      <w:r w:rsidRPr="00990D3B">
        <w:t>S</w:t>
      </w:r>
      <w:r w:rsidRPr="00990D3B">
        <w:t>ources of S</w:t>
      </w:r>
      <w:r w:rsidRPr="00990D3B">
        <w:t>urvey</w:t>
      </w:r>
      <w:r w:rsidRPr="00990D3B">
        <w:t xml:space="preserve"> E</w:t>
      </w:r>
      <w:r w:rsidRPr="00990D3B">
        <w:t>rror</w:t>
      </w:r>
      <w:bookmarkEnd w:id="739"/>
      <w:bookmarkEnd w:id="740"/>
      <w:bookmarkEnd w:id="741"/>
    </w:p>
    <w:p w:rsidR="00853D5C" w:rsidRPr="00990D3B" w:rsidP="004E5005" w14:paraId="63411BE7" w14:textId="6F5359A3">
      <w:pPr>
        <w:pStyle w:val="ParagraphContinued"/>
      </w:pPr>
      <w:r w:rsidRPr="00990D3B">
        <w:t xml:space="preserve">Survey results are used increasingly for “high-stakes” activities such as consumer health plan selection, health plan or provider payment, or performance incentives (e.g., auto-assignment). As a result, there is increasing scrutiny </w:t>
      </w:r>
      <w:r w:rsidRPr="00990D3B">
        <w:t>on</w:t>
      </w:r>
      <w:r w:rsidRPr="00990D3B">
        <w:t xml:space="preserve"> the quality and integrity of surveys to support such initiatives. States and MCPs cannot afford “errors” in a survey, as the consequences may be substantial from </w:t>
      </w:r>
      <w:r w:rsidRPr="00990D3B">
        <w:t>a</w:t>
      </w:r>
      <w:r w:rsidRPr="00990D3B">
        <w:t xml:space="preserve"> </w:t>
      </w:r>
      <w:r w:rsidRPr="00990D3B" w:rsidR="0070573E">
        <w:t>enrollee</w:t>
      </w:r>
      <w:r w:rsidRPr="00990D3B">
        <w:t>, provider, health plan</w:t>
      </w:r>
      <w:r w:rsidRPr="00990D3B" w:rsidR="00C14B34">
        <w:t>, and state</w:t>
      </w:r>
      <w:r w:rsidRPr="00990D3B">
        <w:t xml:space="preserve"> perspective.</w:t>
      </w:r>
    </w:p>
    <w:p w:rsidR="00853D5C" w:rsidRPr="00990D3B" w:rsidP="004E5005" w14:paraId="53D869D3" w14:textId="77777777">
      <w:pPr>
        <w:pStyle w:val="Paragraph0"/>
        <w:rPr>
          <w:bCs/>
        </w:rPr>
      </w:pPr>
      <w:r w:rsidRPr="00990D3B">
        <w:t xml:space="preserve">This appendix provides additional information on how to assess the overall quality of the survey effort using a Total Survey Error (TSE) </w:t>
      </w:r>
      <w:r w:rsidRPr="00990D3B">
        <w:rPr>
          <w:bCs/>
        </w:rPr>
        <w:t>paradigm. The TSE paradigm identifies potential sources of survey error and examines the accumulation of all errors that arise in the design, collection, processing, and analysis of survey data.</w:t>
      </w:r>
      <w:r w:rsidRPr="00990D3B">
        <w:rPr>
          <w:bCs/>
          <w:vertAlign w:val="superscript"/>
        </w:rPr>
        <w:t xml:space="preserve"> </w:t>
      </w:r>
      <w:r w:rsidRPr="00990D3B">
        <w:rPr>
          <w:bCs/>
        </w:rPr>
        <w:t xml:space="preserve">It is important to note that in the TSE paradigm, errors are sources of uncertainty, a deviation of a survey response from its underlying true value. Errors are not mistakes. </w:t>
      </w:r>
    </w:p>
    <w:p w:rsidR="00171C0C" w:rsidRPr="00990D3B" w:rsidP="004E5005" w14:paraId="2866C597" w14:textId="27681C23">
      <w:pPr>
        <w:pStyle w:val="Paragraph0"/>
      </w:pPr>
      <w:r w:rsidRPr="00990D3B">
        <w:t xml:space="preserve">The TSE paradigm is included in </w:t>
      </w:r>
      <w:hyperlink w:anchor="Figure62" w:tooltip="Figure 6.2" w:history="1">
        <w:r w:rsidRPr="00990D3B">
          <w:rPr>
            <w:rStyle w:val="Hyperlink"/>
          </w:rPr>
          <w:t>Figure 6.2</w:t>
        </w:r>
      </w:hyperlink>
      <w:r w:rsidRPr="00990D3B" w:rsidR="004C03F3">
        <w:t>.</w:t>
      </w:r>
      <w:r w:rsidRPr="00990D3B" w:rsidR="00324865">
        <w:t xml:space="preserve"> </w:t>
      </w:r>
      <w:hyperlink w:anchor="Table6n3" w:tooltip="Table 6.3" w:history="1">
        <w:r w:rsidRPr="00990D3B">
          <w:rPr>
            <w:rStyle w:val="Hyperlink"/>
          </w:rPr>
          <w:t>Table 6.3</w:t>
        </w:r>
      </w:hyperlink>
      <w:r w:rsidRPr="00990D3B">
        <w:t xml:space="preserve"> </w:t>
      </w:r>
      <w:r w:rsidRPr="00990D3B" w:rsidR="00324865">
        <w:t xml:space="preserve">(next page) </w:t>
      </w:r>
      <w:r w:rsidRPr="00990D3B">
        <w:t>describes which errors may arise in the process and steps that EQROs (or survey vendors) can take to remedy the errors. This information can inform the administration and validation of surveys to improve overall survey quality.</w:t>
      </w:r>
    </w:p>
    <w:p w:rsidR="00171C0C" w:rsidRPr="00990D3B" w:rsidP="00ED0043" w14:paraId="4CD5AE05" w14:textId="48939061">
      <w:pPr>
        <w:pStyle w:val="MarkforFigureHeading"/>
      </w:pPr>
      <w:bookmarkStart w:id="742" w:name="Figure62"/>
      <w:bookmarkEnd w:id="742"/>
      <w:r w:rsidRPr="00990D3B">
        <w:t xml:space="preserve">Figure 6.2. The Total Survey Error Paradigm: Understanding Potential Sources of Error </w:t>
      </w:r>
      <w:r w:rsidRPr="00990D3B" w:rsidR="00F51BE5">
        <w:t>in</w:t>
      </w:r>
      <w:r w:rsidRPr="00990D3B" w:rsidR="00D33E3C">
        <w:t> </w:t>
      </w:r>
      <w:r w:rsidRPr="00990D3B" w:rsidR="00F51BE5">
        <w:t>Surveys</w:t>
      </w:r>
    </w:p>
    <w:p w:rsidR="00330153" w:rsidRPr="00990D3B" w:rsidP="00581013" w14:paraId="586D553D" w14:textId="48425E8F">
      <w:pPr>
        <w:jc w:val="center"/>
      </w:pPr>
      <w:r w:rsidRPr="00990D3B">
        <w:rPr>
          <w:noProof/>
        </w:rPr>
        <w:drawing>
          <wp:inline distT="0" distB="0" distL="0" distR="0">
            <wp:extent cx="5913486" cy="4121150"/>
            <wp:effectExtent l="0" t="0" r="0" b="0"/>
            <wp:docPr id="715" name="Picture 715" descr="This figure depicts where errors may occur in survey data collection that affect survey results. Errors can occur in survey measurement and representation. This figure shows tiered boxes, arranged vertically, each of which is connected to the next by downward-facing arrows. Between each arrow linking two tiered boxes is the type of error that can occur. The left-hand side of the figure shows where errors can occur during the measurement phase. Measurement is connected to the construct box by an arrow then pointing down to measurement. Between the construct (the subject matter that one wishes to measure using survey questions) and measurement of that construct, specification error can occur. This is depicted by an oval to the left of the construction and measurement boxes with an arrow positioned vertically from the oval to the horizontal arrow linking construct and measurement. Moving down to the arrow between the measurement and response boxes, the next error that can occur is measurement error. This is depicted by an oval to the left of the measurement and response boxes with an arrow positioned vertically from the oval to the horizontal arrow linking measurement and response. Moving down to the arrow from response to edited response, processing error can occur. This is depicted by an oval to the left of the response box and edited response box with an arrow positioned vertically from the oval to the horizontal arrow linking response and edited response. Moving down to the arrow from edited response to survey statistic, the next error is inferential error. This is depicted by an oval to the left of the edited response and survey statistic boxes with an arrow positioned vertically from the oval to the horizontal arrow linking edited response with survey statistic. &#10;The right-hand side of the figure shows where errors can occur under representation. First, an arrow leads down from the representation box down to target population box. The next arrow is from target population down to sampling frame. Between target population and sampling frame, coverage error can occur. This is depicted by an oval to the right of the target population and sampling frame boxes with an arrow positioned vertically from the oval to the horizontal arrow linking the target population and sampling frame. Moving down to the arrow between sampling frame and sample, sampling error can occur. This is depicted by an oval to the right of the sampling frame and sample boxes with an arrow positioned vertically from the oval to the horizontal arrow linking sampling frame and sample. Moving down to the arrow between sample and respondents, non-response error can occur. This is depicted by an oval to the right of the sample and respondent boxes with an arrow positioned vertically from the oval to the horizontal arrow linking sample and respondent. Moving down to the arrow between respondents and post-survey adjustments, adjustment error can occur. This is depicted by an oval to the right of the respondents and post-survey adjustment boxes with an arrow positioned vertically from the oval to the horizontal arrow linking respondents and post-survey adjustments. An arrow then extends from post-survey adjustments box to the survey statistic box. This is intended to show that all of these potential errors affect the survey statis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Picture 715" descr="This figure depicts where errors may occur in survey data collection that affect survey results. Errors can occur in survey measurement and representation. This figure shows tiered boxes, arranged vertically, each of which is connected to the next by downward-facing arrows. Between each arrow linking two tiered boxes is the type of error that can occur. The left-hand side of the figure shows where errors can occur during the measurement phase. Measurement is connected to the construct box by an arrow then pointing down to measurement. Between the construct (the subject matter that one wishes to measure using survey questions) and measurement of that construct, specification error can occur. This is depicted by an oval to the left of the construction and measurement boxes with an arrow positioned vertically from the oval to the horizontal arrow linking construct and measurement. Moving down to the arrow between the measurement and response boxes, the next error that can occur is measurement error. This is depicted by an oval to the left of the measurement and response boxes with an arrow positioned vertically from the oval to the horizontal arrow linking measurement and response. Moving down to the arrow from response to edited response, processing error can occur. This is depicted by an oval to the left of the response box and edited response box with an arrow positioned vertically from the oval to the horizontal arrow linking response and edited response. Moving down to the arrow from edited response to survey statistic, the next error is inferential error. This is depicted by an oval to the left of the edited response and survey statistic boxes with an arrow positioned vertically from the oval to the horizontal arrow linking edited response with survey statistic. &#10;The right-hand side of the figure shows where errors can occur under representation. First, an arrow leads down from the representation box down to target population box. The next arrow is from target population down to sampling frame. Between target population and sampling frame, coverage error can occur. This is depicted by an oval to the right of the target population and sampling frame boxes with an arrow positioned vertically from the oval to the horizontal arrow linking the target population and sampling frame. Moving down to the arrow between sampling frame and sample, sampling error can occur. This is depicted by an oval to the right of the sampling frame and sample boxes with an arrow positioned vertically from the oval to the horizontal arrow linking sampling frame and sample. Moving down to the arrow between sample and respondents, non-response error can occur. This is depicted by an oval to the right of the sample and respondent boxes with an arrow positioned vertically from the oval to the horizontal arrow linking sample and respondent. Moving down to the arrow between respondents and post-survey adjustments, adjustment error can occur. This is depicted by an oval to the right of the respondents and post-survey adjustment boxes with an arrow positioned vertically from the oval to the horizontal arrow linking respondents and post-survey adjustments. An arrow then extends from post-survey adjustments box to the survey statistic box. This is intended to show that all of these potential errors affect the survey statistic."/>
                    <pic:cNvPicPr/>
                  </pic:nvPicPr>
                  <pic:blipFill>
                    <a:blip xmlns:r="http://schemas.openxmlformats.org/officeDocument/2006/relationships" r:embed="rId189">
                      <a:extLst>
                        <a:ext xmlns:a="http://schemas.openxmlformats.org/drawingml/2006/main" uri="{28A0092B-C50C-407E-A947-70E740481C1C}">
                          <a14:useLocalDpi xmlns:a14="http://schemas.microsoft.com/office/drawing/2010/main" val="0"/>
                        </a:ext>
                      </a:extLst>
                    </a:blip>
                    <a:stretch>
                      <a:fillRect/>
                    </a:stretch>
                  </pic:blipFill>
                  <pic:spPr>
                    <a:xfrm>
                      <a:off x="0" y="0"/>
                      <a:ext cx="5928059" cy="4131306"/>
                    </a:xfrm>
                    <a:prstGeom prst="rect">
                      <a:avLst/>
                    </a:prstGeom>
                  </pic:spPr>
                </pic:pic>
              </a:graphicData>
            </a:graphic>
          </wp:inline>
        </w:drawing>
      </w:r>
    </w:p>
    <w:p w:rsidR="00703643" w:rsidRPr="00990D3B" w:rsidP="00D33E3C" w14:paraId="264BC912" w14:textId="00A75A42">
      <w:pPr>
        <w:pStyle w:val="EQRTableFootnoteCaption"/>
      </w:pPr>
      <w:r w:rsidRPr="00990D3B">
        <w:t>Source:</w:t>
      </w:r>
      <w:r w:rsidRPr="00990D3B" w:rsidR="00D33E3C">
        <w:t xml:space="preserve"> </w:t>
      </w:r>
      <w:r w:rsidRPr="00990D3B">
        <w:t>Adapted from Groves, R.M. et al, Survey Methodology, Hoboken, NJ, John Wiley &amp; Sons, 2004.</w:t>
      </w:r>
    </w:p>
    <w:p w:rsidR="00F51BE5" w:rsidRPr="00990D3B" w:rsidP="00112219" w14:paraId="3AB4B7AF" w14:textId="23A1F3BE">
      <w:pPr>
        <w:pStyle w:val="TableSource"/>
      </w:pPr>
    </w:p>
    <w:p w:rsidR="00324865" w:rsidRPr="00990D3B" w:rsidP="00112219" w14:paraId="7EAD9724" w14:textId="77777777">
      <w:pPr>
        <w:pStyle w:val="TableSource"/>
      </w:pPr>
    </w:p>
    <w:p w:rsidR="002168C0" w:rsidRPr="00990D3B" w:rsidP="00E71C07" w14:paraId="57C438B8" w14:textId="73F85B53">
      <w:pPr>
        <w:pStyle w:val="MarkforTableHeading"/>
      </w:pPr>
      <w:bookmarkStart w:id="743" w:name="Table6n3"/>
      <w:bookmarkStart w:id="744" w:name="_Toc83134601"/>
      <w:bookmarkEnd w:id="743"/>
      <w:r w:rsidRPr="00990D3B">
        <w:t xml:space="preserve">Table 6.3. Mapping </w:t>
      </w:r>
      <w:r w:rsidRPr="00990D3B" w:rsidR="00B748CA">
        <w:t>C</w:t>
      </w:r>
      <w:r w:rsidRPr="00990D3B">
        <w:t xml:space="preserve">ommon </w:t>
      </w:r>
      <w:r w:rsidRPr="00990D3B" w:rsidR="00B748CA">
        <w:t>S</w:t>
      </w:r>
      <w:r w:rsidRPr="00990D3B">
        <w:t xml:space="preserve">ources of </w:t>
      </w:r>
      <w:r w:rsidRPr="00990D3B" w:rsidR="00B748CA">
        <w:t>S</w:t>
      </w:r>
      <w:r w:rsidRPr="00990D3B">
        <w:t xml:space="preserve">urvey </w:t>
      </w:r>
      <w:r w:rsidRPr="00990D3B" w:rsidR="00B748CA">
        <w:t>E</w:t>
      </w:r>
      <w:r w:rsidRPr="00990D3B">
        <w:t xml:space="preserve">rror to </w:t>
      </w:r>
      <w:r w:rsidRPr="00990D3B" w:rsidR="00B748CA">
        <w:t>D</w:t>
      </w:r>
      <w:r w:rsidRPr="00990D3B">
        <w:t xml:space="preserve">ata </w:t>
      </w:r>
      <w:r w:rsidRPr="00990D3B" w:rsidR="00B748CA">
        <w:t>C</w:t>
      </w:r>
      <w:r w:rsidRPr="00990D3B">
        <w:t xml:space="preserve">ollection </w:t>
      </w:r>
      <w:r w:rsidRPr="00990D3B" w:rsidR="00B748CA">
        <w:t>A</w:t>
      </w:r>
      <w:r w:rsidRPr="00990D3B">
        <w:t xml:space="preserve">ctivities and </w:t>
      </w:r>
      <w:r w:rsidRPr="00990D3B" w:rsidR="00B748CA">
        <w:t>R</w:t>
      </w:r>
      <w:r w:rsidRPr="00990D3B">
        <w:t xml:space="preserve">emedies to </w:t>
      </w:r>
      <w:r w:rsidRPr="00990D3B" w:rsidR="00B748CA">
        <w:t>M</w:t>
      </w:r>
      <w:r w:rsidRPr="00990D3B">
        <w:t xml:space="preserve">inimize </w:t>
      </w:r>
      <w:r w:rsidRPr="00990D3B" w:rsidR="00B748CA">
        <w:t>E</w:t>
      </w:r>
      <w:r w:rsidRPr="00990D3B">
        <w:t>rror</w:t>
      </w:r>
      <w:bookmarkEnd w:id="744"/>
    </w:p>
    <w:tbl>
      <w:tblPr>
        <w:tblStyle w:val="CORESETTable"/>
        <w:tblW w:w="5000" w:type="pct"/>
        <w:tblLayout w:type="fixed"/>
        <w:tblLook w:val="0620"/>
      </w:tblPr>
      <w:tblGrid>
        <w:gridCol w:w="899"/>
        <w:gridCol w:w="1376"/>
        <w:gridCol w:w="3228"/>
        <w:gridCol w:w="3847"/>
      </w:tblGrid>
      <w:tr w14:paraId="5D2B52B8" w14:textId="77777777" w:rsidTr="004B7AFE">
        <w:tblPrEx>
          <w:tblW w:w="5000" w:type="pct"/>
          <w:tblLayout w:type="fixed"/>
          <w:tblLook w:val="0620"/>
        </w:tblPrEx>
        <w:trPr>
          <w:tblHeader/>
        </w:trPr>
        <w:tc>
          <w:tcPr>
            <w:tcW w:w="481" w:type="pct"/>
          </w:tcPr>
          <w:p w:rsidR="00F51BE5" w:rsidRPr="00990D3B" w:rsidP="00324865" w14:paraId="362C877A" w14:textId="1B8EBAB7">
            <w:pPr>
              <w:pStyle w:val="TableHeaderLeft"/>
              <w:jc w:val="center"/>
            </w:pPr>
            <w:r w:rsidRPr="00990D3B">
              <w:t>Activity</w:t>
            </w:r>
          </w:p>
        </w:tc>
        <w:tc>
          <w:tcPr>
            <w:tcW w:w="736" w:type="pct"/>
          </w:tcPr>
          <w:p w:rsidR="00F51BE5" w:rsidRPr="00990D3B" w:rsidP="00324865" w14:paraId="655627EA" w14:textId="19D47159">
            <w:pPr>
              <w:pStyle w:val="TableHeaderLeft"/>
              <w:jc w:val="center"/>
            </w:pPr>
            <w:r w:rsidRPr="00990D3B">
              <w:t xml:space="preserve">Common </w:t>
            </w:r>
            <w:r w:rsidRPr="00990D3B" w:rsidR="00B748CA">
              <w:t>E</w:t>
            </w:r>
            <w:r w:rsidRPr="00990D3B">
              <w:t>rrors</w:t>
            </w:r>
          </w:p>
        </w:tc>
        <w:tc>
          <w:tcPr>
            <w:tcW w:w="1726" w:type="pct"/>
          </w:tcPr>
          <w:p w:rsidR="00F51BE5" w:rsidRPr="00990D3B" w:rsidP="00324865" w14:paraId="5EEF3D66" w14:textId="369047A1">
            <w:pPr>
              <w:pStyle w:val="TableHeaderCenter"/>
            </w:pPr>
            <w:r w:rsidRPr="00990D3B">
              <w:t>Definition</w:t>
            </w:r>
          </w:p>
        </w:tc>
        <w:tc>
          <w:tcPr>
            <w:tcW w:w="2057" w:type="pct"/>
          </w:tcPr>
          <w:p w:rsidR="00F51BE5" w:rsidRPr="00990D3B" w:rsidP="00324865" w14:paraId="3546189F" w14:textId="7D93C359">
            <w:pPr>
              <w:pStyle w:val="TableHeaderCenter"/>
            </w:pPr>
            <w:r w:rsidRPr="00990D3B">
              <w:t>Remedies</w:t>
            </w:r>
          </w:p>
        </w:tc>
      </w:tr>
      <w:tr w14:paraId="7F631924" w14:textId="77777777" w:rsidTr="000B33AC">
        <w:tblPrEx>
          <w:tblW w:w="5000" w:type="pct"/>
          <w:tblLayout w:type="fixed"/>
          <w:tblLook w:val="0620"/>
        </w:tblPrEx>
        <w:tc>
          <w:tcPr>
            <w:tcW w:w="481" w:type="pct"/>
          </w:tcPr>
          <w:p w:rsidR="00F51BE5" w:rsidRPr="00990D3B" w:rsidP="00F51BE5" w14:paraId="62113735" w14:textId="4F50FB0E">
            <w:pPr>
              <w:pStyle w:val="EQRTableText"/>
              <w:rPr>
                <w:rFonts w:cs="Arial"/>
                <w:szCs w:val="18"/>
              </w:rPr>
            </w:pPr>
            <w:r w:rsidRPr="00990D3B">
              <w:t>1</w:t>
            </w:r>
          </w:p>
        </w:tc>
        <w:tc>
          <w:tcPr>
            <w:tcW w:w="736" w:type="pct"/>
          </w:tcPr>
          <w:p w:rsidR="00F51BE5" w:rsidRPr="00990D3B" w:rsidP="00F51BE5" w14:paraId="497FC857" w14:textId="70BC2C1D">
            <w:pPr>
              <w:pStyle w:val="EQRTableText"/>
              <w:rPr>
                <w:rFonts w:cs="Arial"/>
                <w:szCs w:val="18"/>
              </w:rPr>
            </w:pPr>
            <w:r w:rsidRPr="00990D3B">
              <w:rPr>
                <w:iCs/>
              </w:rPr>
              <w:t>Specification error</w:t>
            </w:r>
          </w:p>
        </w:tc>
        <w:tc>
          <w:tcPr>
            <w:tcW w:w="1726" w:type="pct"/>
          </w:tcPr>
          <w:p w:rsidR="00F51BE5" w:rsidRPr="00990D3B" w:rsidP="00410F8F" w14:paraId="4E8CDF47" w14:textId="7DF5412E">
            <w:pPr>
              <w:pStyle w:val="EQRTableText"/>
            </w:pPr>
            <w:r w:rsidRPr="00990D3B">
              <w:t>Sometimes called validity, are we measuring what we say we are measuring?</w:t>
            </w:r>
          </w:p>
        </w:tc>
        <w:tc>
          <w:tcPr>
            <w:tcW w:w="2057" w:type="pct"/>
          </w:tcPr>
          <w:p w:rsidR="00F51BE5" w:rsidRPr="00990D3B" w:rsidP="00D33E3C" w14:paraId="2127653A" w14:textId="44D26A3C">
            <w:pPr>
              <w:pStyle w:val="EQRTableTextbullet"/>
            </w:pPr>
            <w:r w:rsidRPr="00990D3B">
              <w:t>Use validated scales, pretesting, cognitive testing, focus groups</w:t>
            </w:r>
          </w:p>
        </w:tc>
      </w:tr>
      <w:tr w14:paraId="14C41E2E" w14:textId="77777777" w:rsidTr="000B33AC">
        <w:tblPrEx>
          <w:tblW w:w="5000" w:type="pct"/>
          <w:tblLayout w:type="fixed"/>
          <w:tblLook w:val="0620"/>
        </w:tblPrEx>
        <w:tc>
          <w:tcPr>
            <w:tcW w:w="481" w:type="pct"/>
          </w:tcPr>
          <w:p w:rsidR="00F51BE5" w:rsidRPr="00990D3B" w:rsidP="00F51BE5" w14:paraId="6B5E24ED" w14:textId="5742689F">
            <w:pPr>
              <w:pStyle w:val="EQRTableText"/>
              <w:rPr>
                <w:rFonts w:cs="Arial"/>
                <w:szCs w:val="18"/>
              </w:rPr>
            </w:pPr>
            <w:r w:rsidRPr="00990D3B">
              <w:t>2</w:t>
            </w:r>
          </w:p>
        </w:tc>
        <w:tc>
          <w:tcPr>
            <w:tcW w:w="736" w:type="pct"/>
          </w:tcPr>
          <w:p w:rsidR="00F51BE5" w:rsidRPr="00990D3B" w:rsidP="00F51BE5" w14:paraId="15BB7FA7" w14:textId="29B47A06">
            <w:pPr>
              <w:pStyle w:val="EQRTableText"/>
              <w:rPr>
                <w:rFonts w:cs="Arial"/>
                <w:szCs w:val="18"/>
              </w:rPr>
            </w:pPr>
            <w:r w:rsidRPr="00990D3B">
              <w:t>Measurement error</w:t>
            </w:r>
          </w:p>
        </w:tc>
        <w:tc>
          <w:tcPr>
            <w:tcW w:w="1726" w:type="pct"/>
          </w:tcPr>
          <w:p w:rsidR="00F51BE5" w:rsidRPr="00990D3B" w:rsidP="00410F8F" w14:paraId="551CDE57" w14:textId="0BB9FEFE">
            <w:pPr>
              <w:pStyle w:val="EQRTableText"/>
            </w:pPr>
            <w:r w:rsidRPr="00990D3B">
              <w:t xml:space="preserve">When an answer to a question is inaccurate, imprecise, or cannot be compared to other respondents’ answers due to the questionnaire, respondent, interviewer, or mode </w:t>
            </w:r>
          </w:p>
        </w:tc>
        <w:tc>
          <w:tcPr>
            <w:tcW w:w="2057" w:type="pct"/>
          </w:tcPr>
          <w:p w:rsidR="00F51BE5" w:rsidRPr="00990D3B" w:rsidP="00D33E3C" w14:paraId="7977FC55" w14:textId="77777777">
            <w:pPr>
              <w:pStyle w:val="EQRTableTextbullet"/>
              <w:rPr>
                <w:rStyle w:val="Hyperlink"/>
                <w:color w:val="auto"/>
              </w:rPr>
            </w:pPr>
            <w:r w:rsidRPr="00990D3B">
              <w:t>Design survey using best practices:</w:t>
            </w:r>
          </w:p>
          <w:p w:rsidR="00F51BE5" w:rsidRPr="00990D3B" w:rsidP="00D33E3C" w14:paraId="0B185393" w14:textId="77777777">
            <w:pPr>
              <w:pStyle w:val="EQRTableTextbullet"/>
            </w:pPr>
            <w:r w:rsidRPr="00990D3B">
              <w:t>Programming checks</w:t>
            </w:r>
          </w:p>
          <w:p w:rsidR="00F51BE5" w:rsidRPr="00990D3B" w:rsidP="00D33E3C" w14:paraId="3F4AEA45" w14:textId="77777777">
            <w:pPr>
              <w:pStyle w:val="EQRTableTextbullet"/>
            </w:pPr>
            <w:r w:rsidRPr="00990D3B">
              <w:t>Validated scales</w:t>
            </w:r>
          </w:p>
          <w:p w:rsidR="00F51BE5" w:rsidRPr="00990D3B" w:rsidP="00D33E3C" w14:paraId="380A37ED" w14:textId="77777777">
            <w:pPr>
              <w:pStyle w:val="EQRTableTextbullet"/>
            </w:pPr>
            <w:r w:rsidRPr="00990D3B">
              <w:t>Multiple languages</w:t>
            </w:r>
          </w:p>
          <w:p w:rsidR="00F51BE5" w:rsidRPr="00990D3B" w:rsidP="00D33E3C" w14:paraId="4F8AA40B" w14:textId="7B105749">
            <w:pPr>
              <w:pStyle w:val="EQRTableTextbullet"/>
            </w:pPr>
            <w:r w:rsidRPr="00990D3B">
              <w:t>Multiple modes to participate</w:t>
            </w:r>
          </w:p>
        </w:tc>
      </w:tr>
      <w:tr w14:paraId="1058A173" w14:textId="77777777" w:rsidTr="000B33AC">
        <w:tblPrEx>
          <w:tblW w:w="5000" w:type="pct"/>
          <w:tblLayout w:type="fixed"/>
          <w:tblLook w:val="0620"/>
        </w:tblPrEx>
        <w:tc>
          <w:tcPr>
            <w:tcW w:w="481" w:type="pct"/>
          </w:tcPr>
          <w:p w:rsidR="00F51BE5" w:rsidRPr="00990D3B" w:rsidP="00F51BE5" w14:paraId="5204CC67" w14:textId="28BA3973">
            <w:pPr>
              <w:pStyle w:val="EQRTableText"/>
              <w:rPr>
                <w:rFonts w:cs="Arial"/>
                <w:szCs w:val="18"/>
              </w:rPr>
            </w:pPr>
            <w:r w:rsidRPr="00990D3B">
              <w:t>3</w:t>
            </w:r>
          </w:p>
        </w:tc>
        <w:tc>
          <w:tcPr>
            <w:tcW w:w="736" w:type="pct"/>
          </w:tcPr>
          <w:p w:rsidR="00F51BE5" w:rsidRPr="00990D3B" w:rsidP="00F51BE5" w14:paraId="1D226988" w14:textId="185677B8">
            <w:pPr>
              <w:pStyle w:val="EQRTableText"/>
              <w:rPr>
                <w:rFonts w:cs="Arial"/>
                <w:szCs w:val="18"/>
              </w:rPr>
            </w:pPr>
            <w:r w:rsidRPr="00990D3B">
              <w:t>Coverage error</w:t>
            </w:r>
          </w:p>
        </w:tc>
        <w:tc>
          <w:tcPr>
            <w:tcW w:w="1726" w:type="pct"/>
          </w:tcPr>
          <w:p w:rsidR="00F51BE5" w:rsidRPr="00990D3B" w:rsidP="00410F8F" w14:paraId="4C373F47" w14:textId="483B93D4">
            <w:pPr>
              <w:pStyle w:val="EQRTableText"/>
            </w:pPr>
            <w:r w:rsidRPr="00990D3B">
              <w:t>When who/the group you want to study differs from who is available to study</w:t>
            </w:r>
          </w:p>
        </w:tc>
        <w:tc>
          <w:tcPr>
            <w:tcW w:w="2057" w:type="pct"/>
          </w:tcPr>
          <w:p w:rsidR="00F51BE5" w:rsidRPr="00990D3B" w:rsidP="00D33E3C" w14:paraId="30A2F885" w14:textId="77777777">
            <w:pPr>
              <w:pStyle w:val="EQRTableTextbullet"/>
            </w:pPr>
            <w:r w:rsidRPr="00990D3B">
              <w:t>Offer multiple modes to participate</w:t>
            </w:r>
          </w:p>
          <w:p w:rsidR="00F51BE5" w:rsidRPr="00990D3B" w:rsidP="00D33E3C" w14:paraId="7E835B75" w14:textId="7724CB3F">
            <w:pPr>
              <w:pStyle w:val="EQRTableTextbullet"/>
            </w:pPr>
            <w:r w:rsidRPr="00990D3B">
              <w:t>Use dual frame samples</w:t>
            </w:r>
          </w:p>
        </w:tc>
      </w:tr>
      <w:tr w14:paraId="338AFC37" w14:textId="77777777" w:rsidTr="000B33AC">
        <w:tblPrEx>
          <w:tblW w:w="5000" w:type="pct"/>
          <w:tblLayout w:type="fixed"/>
          <w:tblLook w:val="0620"/>
        </w:tblPrEx>
        <w:tc>
          <w:tcPr>
            <w:tcW w:w="481" w:type="pct"/>
          </w:tcPr>
          <w:p w:rsidR="00F51BE5" w:rsidRPr="00990D3B" w:rsidP="00F51BE5" w14:paraId="5C482EC2" w14:textId="61A8A8D0">
            <w:pPr>
              <w:pStyle w:val="EQRTableText"/>
              <w:rPr>
                <w:rFonts w:cs="Arial"/>
                <w:szCs w:val="18"/>
              </w:rPr>
            </w:pPr>
            <w:r w:rsidRPr="00990D3B">
              <w:rPr>
                <w:rFonts w:cs="Arial"/>
                <w:szCs w:val="18"/>
              </w:rPr>
              <w:t>3</w:t>
            </w:r>
          </w:p>
        </w:tc>
        <w:tc>
          <w:tcPr>
            <w:tcW w:w="736" w:type="pct"/>
          </w:tcPr>
          <w:p w:rsidR="00F51BE5" w:rsidRPr="00990D3B" w:rsidP="00F51BE5" w14:paraId="5836B8DE" w14:textId="59963449">
            <w:pPr>
              <w:pStyle w:val="EQRTableText"/>
              <w:rPr>
                <w:rFonts w:cs="Arial"/>
                <w:szCs w:val="18"/>
              </w:rPr>
            </w:pPr>
            <w:r w:rsidRPr="00990D3B">
              <w:t>Sampling error</w:t>
            </w:r>
          </w:p>
        </w:tc>
        <w:tc>
          <w:tcPr>
            <w:tcW w:w="1726" w:type="pct"/>
          </w:tcPr>
          <w:p w:rsidR="00F51BE5" w:rsidRPr="00990D3B" w:rsidP="00410F8F" w14:paraId="465F082C" w14:textId="7260ACDB">
            <w:pPr>
              <w:pStyle w:val="EQRTableText"/>
            </w:pPr>
            <w:r w:rsidRPr="00990D3B">
              <w:t>When the survey includes only a subset of the target population. This error cannot be avoided unless a census is conducted</w:t>
            </w:r>
          </w:p>
        </w:tc>
        <w:tc>
          <w:tcPr>
            <w:tcW w:w="2057" w:type="pct"/>
          </w:tcPr>
          <w:p w:rsidR="00F51BE5" w:rsidRPr="00990D3B" w:rsidP="00D33E3C" w14:paraId="01D453AF" w14:textId="77777777">
            <w:pPr>
              <w:pStyle w:val="EQRTableTextbullet"/>
            </w:pPr>
            <w:r w:rsidRPr="00990D3B">
              <w:t>Conduct power calculations</w:t>
            </w:r>
          </w:p>
          <w:p w:rsidR="00F51BE5" w:rsidRPr="00990D3B" w:rsidP="00D33E3C" w14:paraId="499B1972" w14:textId="77777777">
            <w:pPr>
              <w:pStyle w:val="EQRTableTextbullet"/>
            </w:pPr>
            <w:r w:rsidRPr="00990D3B">
              <w:t>Create sampling weights</w:t>
            </w:r>
          </w:p>
          <w:p w:rsidR="00F51BE5" w:rsidRPr="00990D3B" w:rsidP="00D33E3C" w14:paraId="46C94C90" w14:textId="5E2BFF15">
            <w:pPr>
              <w:pStyle w:val="EQRTableTextbullet"/>
            </w:pPr>
            <w:r w:rsidRPr="00990D3B">
              <w:t>Conduct all analyses using weights</w:t>
            </w:r>
          </w:p>
        </w:tc>
      </w:tr>
      <w:tr w14:paraId="221D0782" w14:textId="77777777" w:rsidTr="000B33AC">
        <w:tblPrEx>
          <w:tblW w:w="5000" w:type="pct"/>
          <w:tblLayout w:type="fixed"/>
          <w:tblLook w:val="0620"/>
        </w:tblPrEx>
        <w:tc>
          <w:tcPr>
            <w:tcW w:w="481" w:type="pct"/>
          </w:tcPr>
          <w:p w:rsidR="00F51BE5" w:rsidRPr="00990D3B" w:rsidP="00F51BE5" w14:paraId="0329D69C" w14:textId="58E5C336">
            <w:pPr>
              <w:pStyle w:val="EQRTableText"/>
              <w:rPr>
                <w:rFonts w:cs="Arial"/>
                <w:szCs w:val="18"/>
              </w:rPr>
            </w:pPr>
            <w:r w:rsidRPr="00990D3B">
              <w:t>4</w:t>
            </w:r>
          </w:p>
        </w:tc>
        <w:tc>
          <w:tcPr>
            <w:tcW w:w="736" w:type="pct"/>
          </w:tcPr>
          <w:p w:rsidR="00F51BE5" w:rsidRPr="00990D3B" w:rsidP="00F51BE5" w14:paraId="771AC3AF" w14:textId="017ECEC1">
            <w:pPr>
              <w:pStyle w:val="EQRTableText"/>
              <w:rPr>
                <w:rFonts w:cs="Arial"/>
                <w:szCs w:val="18"/>
              </w:rPr>
            </w:pPr>
            <w:r w:rsidRPr="00990D3B">
              <w:t>Nonresponse error</w:t>
            </w:r>
          </w:p>
        </w:tc>
        <w:tc>
          <w:tcPr>
            <w:tcW w:w="1726" w:type="pct"/>
          </w:tcPr>
          <w:p w:rsidR="00F51BE5" w:rsidRPr="00990D3B" w:rsidP="00410F8F" w14:paraId="58D20670" w14:textId="78CE774F">
            <w:pPr>
              <w:pStyle w:val="EQRTableText"/>
            </w:pPr>
            <w:r w:rsidRPr="00990D3B">
              <w:t>When people in the survey sample do not respond and are different from those who do respond in a way that is important to the study. There is Unit nonresponse (sample members who do not respond to the survey) and Item nonresponse (sample members who skip or refuse specific questions)</w:t>
            </w:r>
          </w:p>
        </w:tc>
        <w:tc>
          <w:tcPr>
            <w:tcW w:w="2057" w:type="pct"/>
          </w:tcPr>
          <w:p w:rsidR="00F51BE5" w:rsidRPr="00990D3B" w:rsidP="00D33E3C" w14:paraId="23C4108E" w14:textId="77777777">
            <w:pPr>
              <w:pStyle w:val="EQRTableTextbullet"/>
            </w:pPr>
            <w:r w:rsidRPr="00990D3B">
              <w:t>Use proven contact strategies, such as advance letters and vary modes for nonresponse follow up</w:t>
            </w:r>
          </w:p>
          <w:p w:rsidR="00F51BE5" w:rsidRPr="00990D3B" w:rsidP="00D33E3C" w14:paraId="33BBEA88" w14:textId="77777777">
            <w:pPr>
              <w:pStyle w:val="EQRTableTextbullet"/>
            </w:pPr>
            <w:r w:rsidRPr="00990D3B">
              <w:t>Institute range checks</w:t>
            </w:r>
          </w:p>
          <w:p w:rsidR="00F51BE5" w:rsidRPr="00990D3B" w:rsidP="00D33E3C" w14:paraId="4B21402B" w14:textId="77777777">
            <w:pPr>
              <w:pStyle w:val="EQRTableTextbullet"/>
            </w:pPr>
            <w:r w:rsidRPr="00990D3B">
              <w:t>Monitor skip patterns and missing data through frequency reviews</w:t>
            </w:r>
          </w:p>
          <w:p w:rsidR="00F51BE5" w:rsidRPr="00990D3B" w:rsidP="00D33E3C" w14:paraId="55A78684" w14:textId="77777777">
            <w:pPr>
              <w:pStyle w:val="EQRTableTextbullet"/>
            </w:pPr>
            <w:r w:rsidRPr="00990D3B">
              <w:t xml:space="preserve">Conduct critical item retrieval </w:t>
            </w:r>
          </w:p>
          <w:p w:rsidR="00F51BE5" w:rsidRPr="00990D3B" w:rsidP="00D33E3C" w14:paraId="16E04814" w14:textId="77777777">
            <w:pPr>
              <w:pStyle w:val="EQRTableTextbullet"/>
            </w:pPr>
            <w:r w:rsidRPr="00990D3B">
              <w:t>Conduct nonresponse bias analysis</w:t>
            </w:r>
          </w:p>
          <w:p w:rsidR="00F51BE5" w:rsidRPr="00990D3B" w:rsidP="00D33E3C" w14:paraId="0C4DDCD1" w14:textId="3539DDBD">
            <w:pPr>
              <w:pStyle w:val="EQRTableTextbullet"/>
            </w:pPr>
            <w:r w:rsidRPr="00990D3B">
              <w:t>Make nonresponse adjustments</w:t>
            </w:r>
          </w:p>
        </w:tc>
      </w:tr>
      <w:tr w14:paraId="26039B4C" w14:textId="77777777" w:rsidTr="000B33AC">
        <w:tblPrEx>
          <w:tblW w:w="5000" w:type="pct"/>
          <w:tblLayout w:type="fixed"/>
          <w:tblLook w:val="0620"/>
        </w:tblPrEx>
        <w:tc>
          <w:tcPr>
            <w:tcW w:w="481" w:type="pct"/>
          </w:tcPr>
          <w:p w:rsidR="00F51BE5" w:rsidRPr="00990D3B" w:rsidP="00F51BE5" w14:paraId="381F917F" w14:textId="07FC7787">
            <w:pPr>
              <w:pStyle w:val="EQRTableText"/>
              <w:rPr>
                <w:rFonts w:cs="Arial"/>
                <w:szCs w:val="18"/>
              </w:rPr>
            </w:pPr>
            <w:r w:rsidRPr="00990D3B">
              <w:t>5</w:t>
            </w:r>
          </w:p>
        </w:tc>
        <w:tc>
          <w:tcPr>
            <w:tcW w:w="736" w:type="pct"/>
          </w:tcPr>
          <w:p w:rsidR="00F51BE5" w:rsidRPr="00990D3B" w:rsidP="00F51BE5" w14:paraId="2E1D7F04" w14:textId="7B821DAD">
            <w:pPr>
              <w:pStyle w:val="EQRTableText"/>
              <w:rPr>
                <w:rFonts w:cs="Arial"/>
                <w:szCs w:val="18"/>
              </w:rPr>
            </w:pPr>
            <w:r w:rsidRPr="00990D3B">
              <w:t>Processing error</w:t>
            </w:r>
          </w:p>
        </w:tc>
        <w:tc>
          <w:tcPr>
            <w:tcW w:w="1726" w:type="pct"/>
          </w:tcPr>
          <w:p w:rsidR="00F51BE5" w:rsidRPr="00990D3B" w:rsidP="00410F8F" w14:paraId="3C9E9A0A" w14:textId="49B9796C">
            <w:pPr>
              <w:pStyle w:val="EQRTableText"/>
            </w:pPr>
            <w:r w:rsidRPr="00990D3B">
              <w:t>Problems that occur when preparing “raw” datasets set for analysis, such as inconsistent coding, treatment of outliers, or deriving new variables</w:t>
            </w:r>
          </w:p>
        </w:tc>
        <w:tc>
          <w:tcPr>
            <w:tcW w:w="2057" w:type="pct"/>
          </w:tcPr>
          <w:p w:rsidR="00F51BE5" w:rsidRPr="00990D3B" w:rsidP="00D33E3C" w14:paraId="6B73FC93" w14:textId="77777777">
            <w:pPr>
              <w:pStyle w:val="EQRTableTextbullet"/>
            </w:pPr>
            <w:r w:rsidRPr="00990D3B">
              <w:t>Develop cleaning and coding specifications</w:t>
            </w:r>
          </w:p>
          <w:p w:rsidR="00F51BE5" w:rsidRPr="00990D3B" w:rsidP="00D33E3C" w14:paraId="2B884674" w14:textId="5BAD7329">
            <w:pPr>
              <w:pStyle w:val="EQRTableTextbullet"/>
            </w:pPr>
            <w:r w:rsidRPr="00990D3B">
              <w:t>Perform double entry, adjudication, data review</w:t>
            </w:r>
          </w:p>
        </w:tc>
      </w:tr>
      <w:tr w14:paraId="112004AD" w14:textId="77777777" w:rsidTr="000B33AC">
        <w:tblPrEx>
          <w:tblW w:w="5000" w:type="pct"/>
          <w:tblLayout w:type="fixed"/>
          <w:tblLook w:val="0620"/>
        </w:tblPrEx>
        <w:tc>
          <w:tcPr>
            <w:tcW w:w="481" w:type="pct"/>
          </w:tcPr>
          <w:p w:rsidR="00F51BE5" w:rsidRPr="00990D3B" w:rsidP="00F51BE5" w14:paraId="0871546A" w14:textId="2827CB21">
            <w:pPr>
              <w:pStyle w:val="EQRTableText"/>
              <w:rPr>
                <w:rFonts w:cs="Arial"/>
                <w:szCs w:val="18"/>
              </w:rPr>
            </w:pPr>
            <w:r w:rsidRPr="00990D3B">
              <w:t>6</w:t>
            </w:r>
          </w:p>
        </w:tc>
        <w:tc>
          <w:tcPr>
            <w:tcW w:w="736" w:type="pct"/>
          </w:tcPr>
          <w:p w:rsidR="00F51BE5" w:rsidRPr="00990D3B" w:rsidP="00F51BE5" w14:paraId="7EC016C2" w14:textId="19A885A9">
            <w:pPr>
              <w:pStyle w:val="EQRTableText"/>
              <w:rPr>
                <w:rFonts w:cs="Arial"/>
                <w:szCs w:val="18"/>
              </w:rPr>
            </w:pPr>
            <w:r w:rsidRPr="00990D3B">
              <w:t>Adjustment error</w:t>
            </w:r>
          </w:p>
        </w:tc>
        <w:tc>
          <w:tcPr>
            <w:tcW w:w="1726" w:type="pct"/>
          </w:tcPr>
          <w:p w:rsidR="00F51BE5" w:rsidRPr="00990D3B" w:rsidP="00410F8F" w14:paraId="2A360FC8" w14:textId="711C619C">
            <w:pPr>
              <w:pStyle w:val="EQRTableText"/>
            </w:pPr>
            <w:r w:rsidRPr="00990D3B">
              <w:t xml:space="preserve">Mistakes in efforts to improve the quality of the survey estimates </w:t>
            </w:r>
            <w:r w:rsidRPr="00990D3B">
              <w:t>as a result of</w:t>
            </w:r>
            <w:r w:rsidRPr="00990D3B">
              <w:t xml:space="preserve"> coverage, sampling, and non-response errors</w:t>
            </w:r>
          </w:p>
        </w:tc>
        <w:tc>
          <w:tcPr>
            <w:tcW w:w="2057" w:type="pct"/>
          </w:tcPr>
          <w:p w:rsidR="00F51BE5" w:rsidRPr="00990D3B" w:rsidP="00D33E3C" w14:paraId="77083682" w14:textId="68D986DE">
            <w:pPr>
              <w:pStyle w:val="EQRTableTextbullet"/>
            </w:pPr>
            <w:r w:rsidRPr="00990D3B">
              <w:t>Use post-survey adjustments such as weighting and imputation</w:t>
            </w:r>
          </w:p>
        </w:tc>
      </w:tr>
      <w:tr w14:paraId="1F9E20A6" w14:textId="77777777" w:rsidTr="000B33AC">
        <w:tblPrEx>
          <w:tblW w:w="5000" w:type="pct"/>
          <w:tblLayout w:type="fixed"/>
          <w:tblLook w:val="0620"/>
        </w:tblPrEx>
        <w:tc>
          <w:tcPr>
            <w:tcW w:w="481" w:type="pct"/>
          </w:tcPr>
          <w:p w:rsidR="00F51BE5" w:rsidRPr="00990D3B" w:rsidP="00F51BE5" w14:paraId="79E76D3B" w14:textId="1E611DD0">
            <w:pPr>
              <w:pStyle w:val="EQRTableText"/>
              <w:rPr>
                <w:rFonts w:cs="Arial"/>
                <w:szCs w:val="18"/>
              </w:rPr>
            </w:pPr>
            <w:r w:rsidRPr="00990D3B">
              <w:rPr>
                <w:rFonts w:cs="Arial"/>
                <w:szCs w:val="18"/>
              </w:rPr>
              <w:t>6</w:t>
            </w:r>
          </w:p>
        </w:tc>
        <w:tc>
          <w:tcPr>
            <w:tcW w:w="736" w:type="pct"/>
          </w:tcPr>
          <w:p w:rsidR="00F51BE5" w:rsidRPr="00990D3B" w:rsidP="00F51BE5" w14:paraId="3E565CA1" w14:textId="1BB1C9E1">
            <w:pPr>
              <w:pStyle w:val="EQRTableText"/>
              <w:rPr>
                <w:rFonts w:cs="Arial"/>
                <w:szCs w:val="18"/>
              </w:rPr>
            </w:pPr>
            <w:r w:rsidRPr="00990D3B">
              <w:t>Inferential error</w:t>
            </w:r>
          </w:p>
        </w:tc>
        <w:tc>
          <w:tcPr>
            <w:tcW w:w="1726" w:type="pct"/>
          </w:tcPr>
          <w:p w:rsidR="00F51BE5" w:rsidRPr="00990D3B" w:rsidP="00410F8F" w14:paraId="378B004D" w14:textId="0E9A886B">
            <w:pPr>
              <w:pStyle w:val="EQRTableText"/>
            </w:pPr>
            <w:r w:rsidRPr="00990D3B">
              <w:t>Making opinionated statements, drawing incorrect conclusions, or going beyond the limits of the design</w:t>
            </w:r>
          </w:p>
        </w:tc>
        <w:tc>
          <w:tcPr>
            <w:tcW w:w="2057" w:type="pct"/>
          </w:tcPr>
          <w:p w:rsidR="00F51BE5" w:rsidRPr="00990D3B" w:rsidP="00D33E3C" w14:paraId="597035E1" w14:textId="77777777">
            <w:pPr>
              <w:pStyle w:val="EQRTableTextbullet"/>
            </w:pPr>
            <w:r w:rsidRPr="00990D3B">
              <w:t>Prepare comprehensive quality assurance plans</w:t>
            </w:r>
          </w:p>
          <w:p w:rsidR="00F51BE5" w:rsidRPr="00990D3B" w:rsidP="00D33E3C" w14:paraId="4E07E30C" w14:textId="40CFDDBE">
            <w:pPr>
              <w:pStyle w:val="EQRTableTextbullet"/>
            </w:pPr>
            <w:r w:rsidRPr="00990D3B">
              <w:t>Develop rigorous data analysis plans</w:t>
            </w:r>
          </w:p>
        </w:tc>
      </w:tr>
    </w:tbl>
    <w:p w:rsidR="00F51BE5" w:rsidRPr="00990D3B" w:rsidP="00FF4154" w14:paraId="4BFE8070" w14:textId="42CA4799">
      <w:pPr>
        <w:pStyle w:val="TableSource"/>
      </w:pPr>
      <w:r w:rsidRPr="00990D3B">
        <w:t>Source:</w:t>
      </w:r>
      <w:r w:rsidRPr="00990D3B" w:rsidR="00FF4154">
        <w:tab/>
      </w:r>
      <w:r w:rsidRPr="00990D3B">
        <w:t>Adapted from Groves, R.M. et al, Survey Methodology, Hoboken, NJ, John Wiley &amp; Sons, 2004.</w:t>
      </w:r>
    </w:p>
    <w:p w:rsidR="00EC63AA" w:rsidRPr="00990D3B" w:rsidP="009B3409" w14:paraId="6D57D4E6" w14:textId="65A4CA61">
      <w:pPr>
        <w:pStyle w:val="ParagraphContinued"/>
        <w:jc w:val="center"/>
      </w:pPr>
      <w:r w:rsidRPr="00990D3B">
        <w:t>END OF PROTOCOL 6</w:t>
      </w:r>
    </w:p>
    <w:p w:rsidR="000E1D80" w:rsidRPr="00990D3B" w:rsidP="004E5005" w14:paraId="026F562D" w14:textId="77777777">
      <w:pPr>
        <w:pStyle w:val="Paragraph0"/>
        <w:sectPr w:rsidSect="00A65C6B">
          <w:footerReference w:type="even" r:id="rId190"/>
          <w:footerReference w:type="default" r:id="rId191"/>
          <w:headerReference w:type="first" r:id="rId192"/>
          <w:footerReference w:type="first" r:id="rId193"/>
          <w:pgSz w:w="12240" w:h="15840" w:code="1"/>
          <w:pgMar w:top="1440" w:right="1440" w:bottom="1440" w:left="1440" w:header="720" w:footer="720" w:gutter="0"/>
          <w:cols w:space="720"/>
          <w:titlePg/>
          <w:docGrid w:linePitch="360"/>
        </w:sectPr>
      </w:pPr>
    </w:p>
    <w:p w:rsidR="002D5FD7" w:rsidRPr="00990D3B" w:rsidP="00D306E4" w14:paraId="01C67BF4" w14:textId="1905073C">
      <w:pPr>
        <w:pStyle w:val="H2"/>
      </w:pPr>
      <w:bookmarkStart w:id="745" w:name="WSp6"/>
      <w:bookmarkStart w:id="746" w:name="_Toc14777734"/>
      <w:bookmarkStart w:id="747" w:name="_Toc183005632"/>
      <w:bookmarkStart w:id="748" w:name="_Toc201751402"/>
      <w:r w:rsidRPr="00990D3B">
        <w:t>Worksheets for Protocol 6</w:t>
      </w:r>
      <w:bookmarkEnd w:id="745"/>
      <w:r w:rsidRPr="00990D3B">
        <w:t>:</w:t>
      </w:r>
      <w:r w:rsidRPr="00990D3B" w:rsidR="00D306E4">
        <w:t xml:space="preserve"> </w:t>
      </w:r>
      <w:r w:rsidRPr="00990D3B">
        <w:t>Survey Administration and Validation Tools</w:t>
      </w:r>
      <w:bookmarkEnd w:id="746"/>
      <w:bookmarkEnd w:id="747"/>
      <w:bookmarkEnd w:id="748"/>
    </w:p>
    <w:p w:rsidR="002D5FD7" w:rsidRPr="00990D3B" w:rsidP="002D0382" w14:paraId="368DFEA8" w14:textId="6FEB8598">
      <w:pPr>
        <w:pStyle w:val="EQRNormalSSWORKSHEET"/>
      </w:pPr>
      <w:r w:rsidRPr="00990D3B">
        <w:rPr>
          <w:b/>
        </w:rPr>
        <w:t xml:space="preserve">Instructions. </w:t>
      </w:r>
      <w:r w:rsidRPr="00990D3B">
        <w:t xml:space="preserve">Use these or similar worksheets as a guide when administering or validating a survey. Each numbered worksheet corresponds to an activity in the protocol. For each question, please check “Yes,” “No,” or “Not </w:t>
      </w:r>
      <w:r w:rsidRPr="00990D3B" w:rsidR="00507D5D">
        <w:t>A</w:t>
      </w:r>
      <w:r w:rsidRPr="00990D3B">
        <w:t xml:space="preserve">pplicable.” If the answer is “No” or “Not </w:t>
      </w:r>
      <w:r w:rsidRPr="00990D3B" w:rsidR="00507D5D">
        <w:t>A</w:t>
      </w:r>
      <w:r w:rsidRPr="00990D3B">
        <w:t xml:space="preserve">pplicable,” please explain in the Comments column. </w:t>
      </w:r>
    </w:p>
    <w:p w:rsidR="002D5FD7" w:rsidRPr="00990D3B" w:rsidP="002D0382" w14:paraId="006F43A9" w14:textId="222A63FC">
      <w:pPr>
        <w:pStyle w:val="EQRNormalSSWSbullet"/>
      </w:pPr>
      <w:r w:rsidRPr="00990D3B">
        <w:t>For survey administration: Use the worksheets to track and document steps performed in designing and implementing the survey. In the “Comments” column, document decisions or findings</w:t>
      </w:r>
      <w:r w:rsidRPr="00990D3B" w:rsidR="004C03F3">
        <w:t>.</w:t>
      </w:r>
    </w:p>
    <w:p w:rsidR="002D5FD7" w:rsidRPr="00990D3B" w:rsidP="002D0382" w14:paraId="47835F98" w14:textId="4F4A7836">
      <w:pPr>
        <w:pStyle w:val="EQRNormalSSWSbullet"/>
      </w:pPr>
      <w:r w:rsidRPr="00990D3B">
        <w:t>For survey validation: Use the worksheets to track and document steps performed in validating the survey. In the “Comments” column, document the outcome of validation activities, including sources reviewed. The worksheets can also be used as an outline for the final report to the state. Expand the tool to include other activities or findings as needed</w:t>
      </w:r>
      <w:r w:rsidRPr="00990D3B" w:rsidR="004C03F3">
        <w:t>.</w:t>
      </w:r>
    </w:p>
    <w:tbl>
      <w:tblPr>
        <w:tblStyle w:val="TableGrid"/>
        <w:tblW w:w="5073" w:type="pct"/>
        <w:tblLook w:val="04A0"/>
      </w:tblPr>
      <w:tblGrid>
        <w:gridCol w:w="3488"/>
        <w:gridCol w:w="5999"/>
      </w:tblGrid>
      <w:tr w14:paraId="71414D83" w14:textId="77777777" w:rsidTr="00D955ED">
        <w:tblPrEx>
          <w:tblW w:w="5073" w:type="pct"/>
          <w:tblLook w:val="04A0"/>
        </w:tblPrEx>
        <w:trPr>
          <w:tblHeader/>
        </w:trPr>
        <w:tc>
          <w:tcPr>
            <w:tcW w:w="3488" w:type="dxa"/>
            <w:tcBorders>
              <w:bottom w:val="single" w:sz="4" w:space="0" w:color="000000" w:themeColor="text1"/>
            </w:tcBorders>
          </w:tcPr>
          <w:p w:rsidR="002D5FD7" w:rsidRPr="00990D3B" w:rsidP="002D0382" w14:paraId="44FB72EA" w14:textId="060D0FEB">
            <w:pPr>
              <w:pStyle w:val="EQRTableHeaderLeft"/>
              <w:rPr>
                <w:color w:val="auto"/>
              </w:rPr>
            </w:pPr>
            <w:r w:rsidRPr="00990D3B">
              <w:rPr>
                <w:color w:val="auto"/>
              </w:rPr>
              <w:t xml:space="preserve">Worksheet </w:t>
            </w:r>
            <w:r w:rsidRPr="00990D3B" w:rsidR="00B748CA">
              <w:rPr>
                <w:color w:val="auto"/>
              </w:rPr>
              <w:t>N</w:t>
            </w:r>
            <w:r w:rsidRPr="00990D3B">
              <w:rPr>
                <w:color w:val="auto"/>
              </w:rPr>
              <w:t>ame</w:t>
            </w:r>
          </w:p>
        </w:tc>
        <w:tc>
          <w:tcPr>
            <w:tcW w:w="5999" w:type="dxa"/>
            <w:tcBorders>
              <w:bottom w:val="single" w:sz="4" w:space="0" w:color="000000" w:themeColor="text1"/>
            </w:tcBorders>
          </w:tcPr>
          <w:p w:rsidR="002D5FD7" w:rsidRPr="00990D3B" w:rsidP="002D0382" w14:paraId="7D7449D4" w14:textId="2E153A76">
            <w:pPr>
              <w:pStyle w:val="EQRTableHeaderCenter"/>
              <w:rPr>
                <w:color w:val="auto"/>
              </w:rPr>
            </w:pPr>
            <w:r w:rsidRPr="00990D3B">
              <w:rPr>
                <w:color w:val="auto"/>
              </w:rPr>
              <w:t xml:space="preserve">Protocol </w:t>
            </w:r>
            <w:r w:rsidRPr="00990D3B" w:rsidR="00B748CA">
              <w:rPr>
                <w:color w:val="auto"/>
              </w:rPr>
              <w:t>A</w:t>
            </w:r>
            <w:r w:rsidRPr="00990D3B">
              <w:rPr>
                <w:color w:val="auto"/>
              </w:rPr>
              <w:t xml:space="preserve">ctivity and </w:t>
            </w:r>
            <w:r w:rsidRPr="00990D3B" w:rsidR="00B748CA">
              <w:rPr>
                <w:color w:val="auto"/>
              </w:rPr>
              <w:t>S</w:t>
            </w:r>
            <w:r w:rsidRPr="00990D3B">
              <w:rPr>
                <w:color w:val="auto"/>
              </w:rPr>
              <w:t>tep</w:t>
            </w:r>
          </w:p>
        </w:tc>
      </w:tr>
      <w:tr w14:paraId="13B90C9F" w14:textId="77777777" w:rsidTr="009A17D3">
        <w:tblPrEx>
          <w:tblW w:w="5073" w:type="pct"/>
          <w:tblLook w:val="04A0"/>
        </w:tblPrEx>
        <w:tc>
          <w:tcPr>
            <w:tcW w:w="3488" w:type="dxa"/>
            <w:tcBorders>
              <w:right w:val="nil"/>
            </w:tcBorders>
            <w:vAlign w:val="center"/>
          </w:tcPr>
          <w:p w:rsidR="002D5FD7" w:rsidRPr="00990D3B" w:rsidP="002D0382" w14:paraId="61C83DFA" w14:textId="6F4884F2">
            <w:pPr>
              <w:pStyle w:val="EQRTableText"/>
            </w:pPr>
          </w:p>
        </w:tc>
        <w:tc>
          <w:tcPr>
            <w:tcW w:w="5999" w:type="dxa"/>
            <w:tcBorders>
              <w:left w:val="nil"/>
            </w:tcBorders>
            <w:vAlign w:val="center"/>
          </w:tcPr>
          <w:p w:rsidR="009A17D3" w:rsidRPr="00990D3B" w:rsidP="009A17D3" w14:paraId="4C21247C" w14:textId="649339C1">
            <w:pPr>
              <w:pStyle w:val="EQRTableText"/>
              <w:rPr>
                <w:rStyle w:val="Hyperlink"/>
              </w:rPr>
            </w:pPr>
            <w:r w:rsidRPr="00990D3B">
              <w:fldChar w:fldCharType="begin"/>
            </w:r>
            <w:r w:rsidRPr="00990D3B">
              <w:instrText>HYPERLINK  \l "P6Sec1" \o "Section I. Administering the Survey"</w:instrText>
            </w:r>
            <w:r w:rsidRPr="00990D3B">
              <w:fldChar w:fldCharType="separate"/>
            </w:r>
            <w:r w:rsidRPr="00990D3B">
              <w:rPr>
                <w:rStyle w:val="Hyperlink"/>
              </w:rPr>
              <w:t>Section I. Administering the Survey</w:t>
            </w:r>
          </w:p>
          <w:p w:rsidR="002D5FD7" w:rsidRPr="00990D3B" w:rsidP="009A17D3" w14:paraId="59FE8173" w14:textId="44214799">
            <w:pPr>
              <w:pStyle w:val="EQRTableText"/>
            </w:pPr>
            <w:r w:rsidRPr="00990D3B">
              <w:fldChar w:fldCharType="end"/>
            </w:r>
            <w:hyperlink w:anchor="P6Sec2" w:tooltip="Section II. Validating the Survey" w:history="1">
              <w:r w:rsidRPr="00990D3B">
                <w:rPr>
                  <w:rStyle w:val="Hyperlink"/>
                </w:rPr>
                <w:t>Section II. Validating the Survey</w:t>
              </w:r>
            </w:hyperlink>
          </w:p>
        </w:tc>
      </w:tr>
      <w:tr w14:paraId="12B3E0CF" w14:textId="77777777" w:rsidTr="00D955ED">
        <w:tblPrEx>
          <w:tblW w:w="5073" w:type="pct"/>
          <w:tblLook w:val="04A0"/>
        </w:tblPrEx>
        <w:tc>
          <w:tcPr>
            <w:tcW w:w="3488" w:type="dxa"/>
          </w:tcPr>
          <w:p w:rsidR="002D5FD7" w:rsidRPr="00990D3B" w:rsidP="008F2417" w14:paraId="3D25DC32" w14:textId="2182E9B6">
            <w:pPr>
              <w:pStyle w:val="EQRTableText"/>
            </w:pPr>
            <w:hyperlink w:anchor="WSp6n01" w:tooltip="Worksheet 6.1. Survey Purpose, Objectives, and Audienc" w:history="1">
              <w:r w:rsidRPr="00990D3B">
                <w:rPr>
                  <w:rStyle w:val="Hyperlink"/>
                </w:rPr>
                <w:t>Worksheet 6.1. Survey Purpose, Objectives, and Audience</w:t>
              </w:r>
            </w:hyperlink>
          </w:p>
        </w:tc>
        <w:tc>
          <w:tcPr>
            <w:tcW w:w="5999" w:type="dxa"/>
          </w:tcPr>
          <w:p w:rsidR="002D5FD7" w:rsidRPr="00990D3B" w:rsidP="008F2417" w14:paraId="707D38FC" w14:textId="534F64F9">
            <w:pPr>
              <w:pStyle w:val="EQRTableText"/>
            </w:pPr>
            <w:hyperlink w:anchor="P6AI1" w:tooltip="Section I. Activity 1. Define the Survey Purpose, Objectives, and Audience" w:history="1">
              <w:r w:rsidRPr="00990D3B">
                <w:rPr>
                  <w:rStyle w:val="Hyperlink"/>
                </w:rPr>
                <w:t>Section I. Activity 1. Define the Survey Purpose, Objectives, and Audience</w:t>
              </w:r>
            </w:hyperlink>
            <w:r w:rsidRPr="00990D3B">
              <w:t xml:space="preserve"> </w:t>
            </w:r>
          </w:p>
          <w:p w:rsidR="002D5FD7" w:rsidRPr="00990D3B" w:rsidP="008F2417" w14:paraId="0F001F0D" w14:textId="097B3D69">
            <w:pPr>
              <w:pStyle w:val="EQRTableText"/>
            </w:pPr>
            <w:hyperlink w:anchor="P6AII1" w:tooltip="Section II. Activity 1. Review the Survey Purpose, Objectives, and Audience" w:history="1">
              <w:r w:rsidRPr="00990D3B">
                <w:rPr>
                  <w:rStyle w:val="Hyperlink"/>
                </w:rPr>
                <w:t xml:space="preserve">Section II. Activity 1. </w:t>
              </w:r>
              <w:r w:rsidRPr="00990D3B">
                <w:rPr>
                  <w:rStyle w:val="Hyperlink"/>
                </w:rPr>
                <w:t>Review</w:t>
              </w:r>
              <w:r w:rsidRPr="00990D3B">
                <w:rPr>
                  <w:rStyle w:val="Hyperlink"/>
                </w:rPr>
                <w:t xml:space="preserve"> the Survey Purpose, Objectives, and Audience</w:t>
              </w:r>
            </w:hyperlink>
          </w:p>
        </w:tc>
      </w:tr>
      <w:tr w14:paraId="698AFD01" w14:textId="77777777" w:rsidTr="00D955ED">
        <w:tblPrEx>
          <w:tblW w:w="5073" w:type="pct"/>
          <w:tblLook w:val="04A0"/>
        </w:tblPrEx>
        <w:tc>
          <w:tcPr>
            <w:tcW w:w="3488" w:type="dxa"/>
          </w:tcPr>
          <w:p w:rsidR="002D5FD7" w:rsidRPr="00990D3B" w:rsidP="008F2417" w14:paraId="19C429B0" w14:textId="3D9CAB46">
            <w:pPr>
              <w:pStyle w:val="EQRTableText"/>
            </w:pPr>
            <w:hyperlink w:anchor="WSp6n02" w:tooltip="Worksheet 6.2. Work Plan" w:history="1">
              <w:r w:rsidRPr="00990D3B">
                <w:rPr>
                  <w:rStyle w:val="Hyperlink"/>
                </w:rPr>
                <w:t xml:space="preserve">Worksheet 6.2. </w:t>
              </w:r>
              <w:r w:rsidRPr="00990D3B" w:rsidR="00333704">
                <w:rPr>
                  <w:rStyle w:val="Hyperlink"/>
                </w:rPr>
                <w:t xml:space="preserve">Survey </w:t>
              </w:r>
              <w:r w:rsidRPr="00990D3B">
                <w:rPr>
                  <w:rStyle w:val="Hyperlink"/>
                </w:rPr>
                <w:t>Work Plan</w:t>
              </w:r>
            </w:hyperlink>
          </w:p>
        </w:tc>
        <w:tc>
          <w:tcPr>
            <w:tcW w:w="5999" w:type="dxa"/>
          </w:tcPr>
          <w:p w:rsidR="002D5FD7" w:rsidRPr="00990D3B" w:rsidP="008F2417" w14:paraId="157FF92A" w14:textId="4208423B">
            <w:pPr>
              <w:pStyle w:val="EQRTableText"/>
            </w:pPr>
            <w:hyperlink w:anchor="P6AI2" w:tooltip="Section I. Activity 2. Develop the Work Plan" w:history="1">
              <w:r w:rsidRPr="00990D3B">
                <w:rPr>
                  <w:rStyle w:val="Hyperlink"/>
                </w:rPr>
                <w:t>Section I. Activity 2. Develop the Work Plan</w:t>
              </w:r>
            </w:hyperlink>
            <w:r w:rsidRPr="00990D3B">
              <w:t xml:space="preserve">  </w:t>
            </w:r>
          </w:p>
          <w:p w:rsidR="002D5FD7" w:rsidRPr="00990D3B" w:rsidP="008F2417" w14:paraId="69868AE2" w14:textId="543BA15F">
            <w:pPr>
              <w:pStyle w:val="EQRTableText"/>
            </w:pPr>
            <w:hyperlink w:anchor="P6AII2" w:tooltip="Section II. Activity 2. Review the Work Plan" w:history="1">
              <w:r w:rsidRPr="00990D3B">
                <w:rPr>
                  <w:rStyle w:val="Hyperlink"/>
                </w:rPr>
                <w:t xml:space="preserve">Section II. Activity 2. </w:t>
              </w:r>
              <w:r w:rsidRPr="00990D3B">
                <w:rPr>
                  <w:rStyle w:val="Hyperlink"/>
                </w:rPr>
                <w:t>Review</w:t>
              </w:r>
              <w:r w:rsidRPr="00990D3B">
                <w:rPr>
                  <w:rStyle w:val="Hyperlink"/>
                </w:rPr>
                <w:t xml:space="preserve"> the Work Plan</w:t>
              </w:r>
            </w:hyperlink>
            <w:r w:rsidRPr="00990D3B">
              <w:t xml:space="preserve">  </w:t>
            </w:r>
          </w:p>
        </w:tc>
      </w:tr>
      <w:tr w14:paraId="1509EC25" w14:textId="77777777" w:rsidTr="00D955ED">
        <w:tblPrEx>
          <w:tblW w:w="5073" w:type="pct"/>
          <w:tblLook w:val="04A0"/>
        </w:tblPrEx>
        <w:tc>
          <w:tcPr>
            <w:tcW w:w="3488" w:type="dxa"/>
          </w:tcPr>
          <w:p w:rsidR="002D5FD7" w:rsidRPr="00990D3B" w:rsidP="008F2417" w14:paraId="141907B3" w14:textId="2A0E1080">
            <w:pPr>
              <w:pStyle w:val="EQRTableText"/>
            </w:pPr>
            <w:hyperlink w:anchor="WSp6n03" w:tooltip="Worksheet 6.3. Survey Instrument" w:history="1">
              <w:r w:rsidRPr="00990D3B">
                <w:rPr>
                  <w:rStyle w:val="Hyperlink"/>
                </w:rPr>
                <w:t>Worksheet 6.3. Survey Instrument</w:t>
              </w:r>
            </w:hyperlink>
          </w:p>
        </w:tc>
        <w:tc>
          <w:tcPr>
            <w:tcW w:w="5999" w:type="dxa"/>
          </w:tcPr>
          <w:p w:rsidR="002D5FD7" w:rsidRPr="00990D3B" w:rsidP="008F2417" w14:paraId="1F492CEE" w14:textId="2A4F8BE4">
            <w:pPr>
              <w:pStyle w:val="EQRTableText"/>
            </w:pPr>
            <w:hyperlink w:anchor="P6AI3" w:tooltip="Section I. Activity 3. Select the Survey Instrument" w:history="1">
              <w:r w:rsidRPr="00990D3B">
                <w:rPr>
                  <w:rStyle w:val="Hyperlink"/>
                </w:rPr>
                <w:t>Section I. Activity 3. Select the Survey Instrument</w:t>
              </w:r>
            </w:hyperlink>
          </w:p>
          <w:p w:rsidR="002D5FD7" w:rsidRPr="00990D3B" w:rsidP="008F2417" w14:paraId="554D6433" w14:textId="434F9C3E">
            <w:pPr>
              <w:pStyle w:val="EQRTableText"/>
            </w:pPr>
            <w:hyperlink w:anchor="P6AII3" w:tooltip="Section II. Activity 3. Review the Validity and Reliability of the Survey Instrument" w:history="1">
              <w:r w:rsidRPr="00990D3B">
                <w:rPr>
                  <w:rStyle w:val="Hyperlink"/>
                </w:rPr>
                <w:t>Section II. Activity 3. Review the Validity and Reliability of the Survey Instrument</w:t>
              </w:r>
            </w:hyperlink>
          </w:p>
        </w:tc>
      </w:tr>
      <w:tr w14:paraId="73DE465F" w14:textId="77777777" w:rsidTr="00D955ED">
        <w:tblPrEx>
          <w:tblW w:w="5073" w:type="pct"/>
          <w:tblLook w:val="04A0"/>
        </w:tblPrEx>
        <w:tc>
          <w:tcPr>
            <w:tcW w:w="3488" w:type="dxa"/>
          </w:tcPr>
          <w:p w:rsidR="002D5FD7" w:rsidRPr="00990D3B" w:rsidP="008F2417" w14:paraId="38B50555" w14:textId="54FE5E57">
            <w:pPr>
              <w:pStyle w:val="EQRTableText"/>
            </w:pPr>
            <w:hyperlink w:anchor="WSp6n04" w:tooltip="Worksheet 6.4. Sampling Plan" w:history="1">
              <w:r w:rsidRPr="00990D3B">
                <w:rPr>
                  <w:rStyle w:val="Hyperlink"/>
                </w:rPr>
                <w:t xml:space="preserve">Worksheet 6.4. </w:t>
              </w:r>
              <w:r w:rsidRPr="00990D3B" w:rsidR="00333704">
                <w:rPr>
                  <w:rStyle w:val="Hyperlink"/>
                </w:rPr>
                <w:t xml:space="preserve">Survey </w:t>
              </w:r>
              <w:r w:rsidRPr="00990D3B">
                <w:rPr>
                  <w:rStyle w:val="Hyperlink"/>
                </w:rPr>
                <w:t>Sampling Plan</w:t>
              </w:r>
            </w:hyperlink>
            <w:r w:rsidRPr="00990D3B">
              <w:t xml:space="preserve"> </w:t>
            </w:r>
          </w:p>
        </w:tc>
        <w:tc>
          <w:tcPr>
            <w:tcW w:w="5999" w:type="dxa"/>
          </w:tcPr>
          <w:p w:rsidR="002D5FD7" w:rsidRPr="00990D3B" w:rsidP="008F2417" w14:paraId="139A6912" w14:textId="545DFBCC">
            <w:pPr>
              <w:pStyle w:val="EQRTableText"/>
            </w:pPr>
            <w:hyperlink w:anchor="P6AI4" w:tooltip="Section I. Activity 4. Develop the Sampling Plan" w:history="1">
              <w:r w:rsidRPr="00990D3B">
                <w:rPr>
                  <w:rStyle w:val="Hyperlink"/>
                </w:rPr>
                <w:t>Section I. Activity 4. Develop the Sampling Plan</w:t>
              </w:r>
            </w:hyperlink>
          </w:p>
          <w:p w:rsidR="002D5FD7" w:rsidRPr="00990D3B" w:rsidP="008F2417" w14:paraId="25BD8D31" w14:textId="6B00E1A0">
            <w:pPr>
              <w:pStyle w:val="EQRTableText"/>
            </w:pPr>
            <w:hyperlink w:anchor="P6AII4" w:tooltip="Section II. Activity 4. Review the Sampling Plan" w:history="1">
              <w:r w:rsidRPr="00990D3B">
                <w:rPr>
                  <w:rStyle w:val="Hyperlink"/>
                </w:rPr>
                <w:t xml:space="preserve">Section II. Activity 4. </w:t>
              </w:r>
              <w:r w:rsidRPr="00990D3B">
                <w:rPr>
                  <w:rStyle w:val="Hyperlink"/>
                </w:rPr>
                <w:t>Review</w:t>
              </w:r>
              <w:r w:rsidRPr="00990D3B">
                <w:rPr>
                  <w:rStyle w:val="Hyperlink"/>
                </w:rPr>
                <w:t xml:space="preserve"> the Sampling Plan</w:t>
              </w:r>
            </w:hyperlink>
          </w:p>
        </w:tc>
      </w:tr>
      <w:tr w14:paraId="10C6FFC7" w14:textId="77777777" w:rsidTr="00D955ED">
        <w:tblPrEx>
          <w:tblW w:w="5073" w:type="pct"/>
          <w:tblLook w:val="04A0"/>
        </w:tblPrEx>
        <w:tc>
          <w:tcPr>
            <w:tcW w:w="3488" w:type="dxa"/>
          </w:tcPr>
          <w:p w:rsidR="002D5FD7" w:rsidRPr="00990D3B" w:rsidP="008F2417" w14:paraId="313EA5D8" w14:textId="765A93D8">
            <w:pPr>
              <w:pStyle w:val="EQRTableText"/>
            </w:pPr>
            <w:hyperlink w:anchor="WSp6n05" w:tooltip="Worksheet 6.5 Strategy to Maximize Response" w:history="1">
              <w:r w:rsidRPr="00990D3B">
                <w:rPr>
                  <w:rStyle w:val="Hyperlink"/>
                </w:rPr>
                <w:t>Worksheet 6.5 Strategy to Maximize</w:t>
              </w:r>
              <w:r w:rsidRPr="00990D3B" w:rsidR="00333704">
                <w:rPr>
                  <w:rStyle w:val="Hyperlink"/>
                </w:rPr>
                <w:t xml:space="preserve"> Survey</w:t>
              </w:r>
              <w:r w:rsidRPr="00990D3B">
                <w:rPr>
                  <w:rStyle w:val="Hyperlink"/>
                </w:rPr>
                <w:t xml:space="preserve"> Response</w:t>
              </w:r>
            </w:hyperlink>
          </w:p>
        </w:tc>
        <w:tc>
          <w:tcPr>
            <w:tcW w:w="5999" w:type="dxa"/>
          </w:tcPr>
          <w:p w:rsidR="002D5FD7" w:rsidRPr="00990D3B" w:rsidP="008F2417" w14:paraId="4B6D28B5" w14:textId="029CA9DC">
            <w:pPr>
              <w:pStyle w:val="EQRTableText"/>
            </w:pPr>
            <w:hyperlink w:anchor="P6AI5" w:tooltip="Section I. Activity 5. Develop a Strategy to Maximize Response" w:history="1">
              <w:r w:rsidRPr="00990D3B">
                <w:rPr>
                  <w:rStyle w:val="Hyperlink"/>
                </w:rPr>
                <w:t>Section I. Activity 5. Develop a Strategy to Maximize Response</w:t>
              </w:r>
            </w:hyperlink>
          </w:p>
          <w:p w:rsidR="002D5FD7" w:rsidRPr="00990D3B" w:rsidP="008F2417" w14:paraId="35BF8E68" w14:textId="1D1FD8A8">
            <w:pPr>
              <w:pStyle w:val="EQRTableText"/>
            </w:pPr>
            <w:hyperlink w:anchor="P6AII5" w:tooltip="Section II. Activity 5. Review the Adequacy of the Response Rate" w:history="1">
              <w:r w:rsidRPr="00990D3B">
                <w:rPr>
                  <w:rStyle w:val="Hyperlink"/>
                </w:rPr>
                <w:t>Section II. Activity 5. Review the Adequacy of the Response Rate</w:t>
              </w:r>
            </w:hyperlink>
          </w:p>
        </w:tc>
      </w:tr>
      <w:tr w14:paraId="4C713FB9" w14:textId="77777777" w:rsidTr="00D955ED">
        <w:tblPrEx>
          <w:tblW w:w="5073" w:type="pct"/>
          <w:tblLook w:val="04A0"/>
        </w:tblPrEx>
        <w:tc>
          <w:tcPr>
            <w:tcW w:w="3488" w:type="dxa"/>
          </w:tcPr>
          <w:p w:rsidR="002D5FD7" w:rsidRPr="00990D3B" w:rsidP="008F2417" w14:paraId="3D4F4085" w14:textId="7ECB8D16">
            <w:pPr>
              <w:pStyle w:val="EQRTableText"/>
            </w:pPr>
            <w:hyperlink w:anchor="WSp6n06" w:tooltip="Worksheet 6.6. Quality Assurance Plan" w:history="1">
              <w:r w:rsidRPr="00990D3B">
                <w:rPr>
                  <w:rStyle w:val="Hyperlink"/>
                </w:rPr>
                <w:t xml:space="preserve">Worksheet 6.6. </w:t>
              </w:r>
              <w:r w:rsidRPr="00990D3B" w:rsidR="00333704">
                <w:rPr>
                  <w:rStyle w:val="Hyperlink"/>
                </w:rPr>
                <w:t xml:space="preserve">Survey </w:t>
              </w:r>
              <w:r w:rsidRPr="00990D3B">
                <w:rPr>
                  <w:rStyle w:val="Hyperlink"/>
                </w:rPr>
                <w:t>Quality Assurance Plan</w:t>
              </w:r>
            </w:hyperlink>
            <w:r w:rsidRPr="00990D3B">
              <w:t xml:space="preserve"> </w:t>
            </w:r>
          </w:p>
        </w:tc>
        <w:tc>
          <w:tcPr>
            <w:tcW w:w="5999" w:type="dxa"/>
          </w:tcPr>
          <w:p w:rsidR="002D5FD7" w:rsidRPr="00990D3B" w:rsidP="008F2417" w14:paraId="246B163E" w14:textId="24F25635">
            <w:pPr>
              <w:pStyle w:val="EQRTableText"/>
            </w:pPr>
            <w:hyperlink w:anchor="P6AI6" w:tooltip="Section I. Activity 6. Develop a Quality Assurance Plan" w:history="1">
              <w:r w:rsidRPr="00990D3B">
                <w:rPr>
                  <w:rStyle w:val="Hyperlink"/>
                </w:rPr>
                <w:t xml:space="preserve">Section I. Activity 6. </w:t>
              </w:r>
              <w:r w:rsidRPr="00990D3B">
                <w:rPr>
                  <w:rStyle w:val="Hyperlink"/>
                </w:rPr>
                <w:t>Develop</w:t>
              </w:r>
              <w:r w:rsidRPr="00990D3B">
                <w:rPr>
                  <w:rStyle w:val="Hyperlink"/>
                </w:rPr>
                <w:t xml:space="preserve"> a Quality Assurance Plan</w:t>
              </w:r>
            </w:hyperlink>
          </w:p>
          <w:p w:rsidR="002D5FD7" w:rsidRPr="00990D3B" w:rsidP="008F2417" w14:paraId="3B411FE4" w14:textId="3ADFAFB3">
            <w:pPr>
              <w:pStyle w:val="EQRTableText"/>
            </w:pPr>
            <w:hyperlink w:anchor="P6AII6" w:tooltip="Section II. Activity 6. Review the Quality Assurance Plan" w:history="1">
              <w:r w:rsidRPr="00990D3B">
                <w:rPr>
                  <w:rStyle w:val="Hyperlink"/>
                </w:rPr>
                <w:t xml:space="preserve">Section II. Activity 6. </w:t>
              </w:r>
              <w:r w:rsidRPr="00990D3B">
                <w:rPr>
                  <w:rStyle w:val="Hyperlink"/>
                </w:rPr>
                <w:t>Review</w:t>
              </w:r>
              <w:r w:rsidRPr="00990D3B">
                <w:rPr>
                  <w:rStyle w:val="Hyperlink"/>
                </w:rPr>
                <w:t xml:space="preserve"> the Quality Assurance Plan</w:t>
              </w:r>
            </w:hyperlink>
          </w:p>
        </w:tc>
      </w:tr>
      <w:tr w14:paraId="30EC7131" w14:textId="77777777" w:rsidTr="00D955ED">
        <w:tblPrEx>
          <w:tblW w:w="5073" w:type="pct"/>
          <w:tblLook w:val="04A0"/>
        </w:tblPrEx>
        <w:tc>
          <w:tcPr>
            <w:tcW w:w="3488" w:type="dxa"/>
          </w:tcPr>
          <w:p w:rsidR="002D5FD7" w:rsidRPr="00990D3B" w:rsidP="008F2417" w14:paraId="2FA68A81" w14:textId="54B14541">
            <w:pPr>
              <w:pStyle w:val="EQRTableText"/>
            </w:pPr>
            <w:hyperlink w:anchor="WSp6n07" w:tooltip="Worksheet 6.7. Survey Implementation According to the Work Plan" w:history="1">
              <w:r w:rsidRPr="00990D3B">
                <w:rPr>
                  <w:rStyle w:val="Hyperlink"/>
                </w:rPr>
                <w:t>Worksheet 6.7. Survey Implementation According to the Work Plan</w:t>
              </w:r>
            </w:hyperlink>
            <w:r w:rsidRPr="00990D3B">
              <w:t xml:space="preserve"> </w:t>
            </w:r>
          </w:p>
        </w:tc>
        <w:tc>
          <w:tcPr>
            <w:tcW w:w="5999" w:type="dxa"/>
          </w:tcPr>
          <w:p w:rsidR="002D5FD7" w:rsidRPr="00990D3B" w:rsidP="008F2417" w14:paraId="231C38BA" w14:textId="18300842">
            <w:pPr>
              <w:pStyle w:val="EQRTableText"/>
            </w:pPr>
            <w:hyperlink w:anchor="P6AI7" w:tooltip="Section I. Activity 7. Implement the Survey According to the Work Plan" w:history="1">
              <w:r w:rsidRPr="00990D3B">
                <w:rPr>
                  <w:rStyle w:val="Hyperlink"/>
                </w:rPr>
                <w:t>Section I. Activity 7. Implement the Survey According to the Work Plan</w:t>
              </w:r>
            </w:hyperlink>
            <w:r w:rsidRPr="00990D3B">
              <w:t xml:space="preserve"> </w:t>
            </w:r>
          </w:p>
          <w:p w:rsidR="002D5FD7" w:rsidRPr="00990D3B" w:rsidP="008F2417" w14:paraId="0CB90473" w14:textId="37120FE3">
            <w:pPr>
              <w:pStyle w:val="EQRTableText"/>
            </w:pPr>
            <w:hyperlink w:anchor="P6AII7" w:tooltip="Section II. Activity 7. Review the Survey Implementation" w:history="1">
              <w:r w:rsidRPr="00990D3B">
                <w:rPr>
                  <w:rStyle w:val="Hyperlink"/>
                </w:rPr>
                <w:t xml:space="preserve">Section II. Activity 7. </w:t>
              </w:r>
              <w:r w:rsidRPr="00990D3B">
                <w:rPr>
                  <w:rStyle w:val="Hyperlink"/>
                </w:rPr>
                <w:t>Review</w:t>
              </w:r>
              <w:r w:rsidRPr="00990D3B">
                <w:rPr>
                  <w:rStyle w:val="Hyperlink"/>
                </w:rPr>
                <w:t xml:space="preserve"> the Survey Implementation</w:t>
              </w:r>
            </w:hyperlink>
          </w:p>
        </w:tc>
      </w:tr>
      <w:tr w14:paraId="1EBFD845" w14:textId="77777777" w:rsidTr="00D955ED">
        <w:tblPrEx>
          <w:tblW w:w="5073" w:type="pct"/>
          <w:tblLook w:val="04A0"/>
        </w:tblPrEx>
        <w:tc>
          <w:tcPr>
            <w:tcW w:w="3488" w:type="dxa"/>
          </w:tcPr>
          <w:p w:rsidR="002D5FD7" w:rsidRPr="00990D3B" w:rsidP="008F2417" w14:paraId="79BF2E3A" w14:textId="7D7A9370">
            <w:pPr>
              <w:pStyle w:val="EQRTableText"/>
            </w:pPr>
            <w:hyperlink w:anchor="WSp6n08" w:tooltip="Worksheet 6.8. Survey Data Analysis and Final Report" w:history="1">
              <w:r w:rsidRPr="00990D3B">
                <w:rPr>
                  <w:rStyle w:val="Hyperlink"/>
                </w:rPr>
                <w:t>Worksheet 6.8. Survey Data Analysis and Final Report</w:t>
              </w:r>
            </w:hyperlink>
          </w:p>
        </w:tc>
        <w:tc>
          <w:tcPr>
            <w:tcW w:w="5999" w:type="dxa"/>
          </w:tcPr>
          <w:p w:rsidR="002D5FD7" w:rsidRPr="00990D3B" w:rsidP="008F2417" w14:paraId="365D6793" w14:textId="3D82D4C9">
            <w:pPr>
              <w:pStyle w:val="EQRTableText"/>
            </w:pPr>
            <w:hyperlink w:anchor="P6AI8" w:tooltip="Section I. Activity 8. Prepare and Analyze Survey Data and Present Results in a Final Report" w:history="1">
              <w:r w:rsidRPr="00990D3B">
                <w:rPr>
                  <w:rStyle w:val="Hyperlink"/>
                </w:rPr>
                <w:t>Section I. Activity 8. Prepare and Analyze Survey Data and Present Results in a Final Report</w:t>
              </w:r>
            </w:hyperlink>
          </w:p>
          <w:p w:rsidR="002D5FD7" w:rsidRPr="00990D3B" w:rsidP="008F2417" w14:paraId="385B39A9" w14:textId="386ABB08">
            <w:pPr>
              <w:pStyle w:val="EQRTableText"/>
            </w:pPr>
            <w:hyperlink w:anchor="P6AII8" w:tooltip="Section II. Activity 8. Review the Survey Data Analysis and Final Report" w:history="1">
              <w:r w:rsidRPr="00990D3B">
                <w:rPr>
                  <w:rStyle w:val="Hyperlink"/>
                </w:rPr>
                <w:t xml:space="preserve">Section II. Activity 8. </w:t>
              </w:r>
              <w:r w:rsidRPr="00990D3B">
                <w:rPr>
                  <w:rStyle w:val="Hyperlink"/>
                </w:rPr>
                <w:t>Review</w:t>
              </w:r>
              <w:r w:rsidRPr="00990D3B">
                <w:rPr>
                  <w:rStyle w:val="Hyperlink"/>
                </w:rPr>
                <w:t xml:space="preserve"> the Survey Data Analysis and Final Report</w:t>
              </w:r>
            </w:hyperlink>
          </w:p>
        </w:tc>
      </w:tr>
    </w:tbl>
    <w:p w:rsidR="002D5FD7" w:rsidRPr="00990D3B" w:rsidP="006323E5" w14:paraId="50B27686" w14:textId="364CAAA8"/>
    <w:p w:rsidR="00D955ED" w:rsidRPr="00990D3B" w:rsidP="006323E5" w14:paraId="491B2A4B" w14:textId="77777777">
      <w:pPr>
        <w:rPr>
          <w:rFonts w:eastAsia="Arial"/>
        </w:rPr>
      </w:pPr>
      <w:bookmarkStart w:id="749" w:name="_Toc125619178"/>
      <w:r w:rsidRPr="00990D3B">
        <w:br w:type="page"/>
      </w:r>
    </w:p>
    <w:p w:rsidR="002D5FD7" w:rsidRPr="00990D3B" w:rsidP="00A54412" w14:paraId="6979DBCD" w14:textId="1C96327A">
      <w:pPr>
        <w:pStyle w:val="EQRMarkforExhibitWORKSHEET"/>
      </w:pPr>
      <w:bookmarkStart w:id="750" w:name="_Toc201751541"/>
      <w:r w:rsidRPr="00990D3B">
        <w:t>W</w:t>
      </w:r>
      <w:bookmarkStart w:id="751" w:name="WSp6n01"/>
      <w:bookmarkEnd w:id="751"/>
      <w:r w:rsidRPr="00990D3B">
        <w:t>orksheet 6.1. Survey Purpose, Objectives, and Audience</w:t>
      </w:r>
      <w:bookmarkEnd w:id="749"/>
      <w:bookmarkEnd w:id="750"/>
    </w:p>
    <w:p w:rsidR="002D5FD7" w:rsidRPr="00990D3B" w:rsidP="008F2417" w14:paraId="22CBB3FF" w14:textId="0016476C">
      <w:pPr>
        <w:pStyle w:val="EQRNormalSSWORKSHEET"/>
      </w:pPr>
      <w:r w:rsidRPr="00990D3B">
        <w:rPr>
          <w:b/>
          <w:bCs/>
        </w:rPr>
        <w:t>Instructions.</w:t>
      </w:r>
      <w:r w:rsidRPr="00990D3B">
        <w:t xml:space="preserve"> </w:t>
      </w:r>
      <w:r w:rsidRPr="00990D3B">
        <w:t xml:space="preserve">Assess the clarity of the </w:t>
      </w:r>
      <w:r w:rsidRPr="00990D3B">
        <w:t>survey</w:t>
      </w:r>
      <w:r w:rsidRPr="00990D3B">
        <w:t xml:space="preserve"> purpose and audience by answering the following questions. Insert comments to explain “No” and “Not </w:t>
      </w:r>
      <w:r w:rsidRPr="00990D3B" w:rsidR="00507D5D">
        <w:t>A</w:t>
      </w:r>
      <w:r w:rsidRPr="00990D3B">
        <w:t>pplicable” responses.</w:t>
      </w:r>
    </w:p>
    <w:p w:rsidR="008430E8" w:rsidRPr="00990D3B" w:rsidP="008430E8" w14:paraId="54D7989A" w14:textId="20BEEAE2">
      <w:pPr>
        <w:pStyle w:val="EQRNormalSSWORKSHEET"/>
        <w:spacing w:before="0" w:line="240" w:lineRule="auto"/>
      </w:pPr>
      <w:r w:rsidRPr="00990D3B">
        <w:t xml:space="preserve">Acronyms: MCP = Managed Care Plan; NA = Not Applicable. </w:t>
      </w:r>
    </w:p>
    <w:p w:rsidR="00324865" w:rsidRPr="00990D3B" w:rsidP="00324865" w14:paraId="44640071" w14:textId="77777777">
      <w:pPr>
        <w:pStyle w:val="EQRNormalSSWORKSHEET"/>
      </w:pPr>
      <w:r w:rsidRPr="00990D3B">
        <w:rPr>
          <w:b/>
        </w:rPr>
        <w:t xml:space="preserve">Survey purpose, objectives, and audience: </w:t>
      </w:r>
      <w:r w:rsidRPr="00990D3B">
        <w:t>________________________________________________________</w:t>
      </w:r>
    </w:p>
    <w:tbl>
      <w:tblPr>
        <w:tblStyle w:val="TableGrid"/>
        <w:tblW w:w="0" w:type="auto"/>
        <w:tblLook w:val="04A0"/>
      </w:tblPr>
      <w:tblGrid>
        <w:gridCol w:w="4372"/>
        <w:gridCol w:w="608"/>
        <w:gridCol w:w="608"/>
        <w:gridCol w:w="707"/>
        <w:gridCol w:w="3055"/>
      </w:tblGrid>
      <w:tr w14:paraId="20F96155" w14:textId="77777777" w:rsidTr="00324865">
        <w:tblPrEx>
          <w:tblW w:w="0" w:type="auto"/>
          <w:tblLook w:val="04A0"/>
        </w:tblPrEx>
        <w:trPr>
          <w:tblHeader/>
        </w:trPr>
        <w:tc>
          <w:tcPr>
            <w:tcW w:w="4372" w:type="dxa"/>
            <w:vAlign w:val="bottom"/>
          </w:tcPr>
          <w:p w:rsidR="002D5FD7" w:rsidRPr="00990D3B" w:rsidP="008F2417" w14:paraId="7BC50B90" w14:textId="77777777">
            <w:pPr>
              <w:pStyle w:val="EQRTableHeaderLeft"/>
              <w:rPr>
                <w:color w:val="auto"/>
              </w:rPr>
            </w:pPr>
            <w:r w:rsidRPr="00990D3B">
              <w:rPr>
                <w:color w:val="auto"/>
              </w:rPr>
              <w:t>Question</w:t>
            </w:r>
          </w:p>
        </w:tc>
        <w:tc>
          <w:tcPr>
            <w:tcW w:w="608" w:type="dxa"/>
            <w:vAlign w:val="bottom"/>
          </w:tcPr>
          <w:p w:rsidR="002D5FD7" w:rsidRPr="00990D3B" w:rsidP="008F2417" w14:paraId="5159808F" w14:textId="77777777">
            <w:pPr>
              <w:pStyle w:val="EQRTableHeaderCenter"/>
              <w:rPr>
                <w:color w:val="auto"/>
              </w:rPr>
            </w:pPr>
            <w:r w:rsidRPr="00990D3B">
              <w:rPr>
                <w:color w:val="auto"/>
              </w:rPr>
              <w:t>Yes</w:t>
            </w:r>
          </w:p>
        </w:tc>
        <w:tc>
          <w:tcPr>
            <w:tcW w:w="608" w:type="dxa"/>
            <w:vAlign w:val="bottom"/>
          </w:tcPr>
          <w:p w:rsidR="002D5FD7" w:rsidRPr="00990D3B" w:rsidP="008F2417" w14:paraId="71A5C17E" w14:textId="77777777">
            <w:pPr>
              <w:pStyle w:val="EQRTableHeaderCenter"/>
              <w:rPr>
                <w:color w:val="auto"/>
              </w:rPr>
            </w:pPr>
            <w:r w:rsidRPr="00990D3B">
              <w:rPr>
                <w:color w:val="auto"/>
              </w:rPr>
              <w:t>No</w:t>
            </w:r>
          </w:p>
        </w:tc>
        <w:tc>
          <w:tcPr>
            <w:tcW w:w="707" w:type="dxa"/>
            <w:vAlign w:val="bottom"/>
          </w:tcPr>
          <w:p w:rsidR="002D5FD7" w:rsidRPr="00990D3B" w:rsidP="008F2417" w14:paraId="7EFCECEA" w14:textId="2EC3E29E">
            <w:pPr>
              <w:pStyle w:val="EQRTableHeaderCenter"/>
              <w:rPr>
                <w:color w:val="auto"/>
              </w:rPr>
            </w:pPr>
            <w:r w:rsidRPr="00990D3B">
              <w:rPr>
                <w:color w:val="auto"/>
              </w:rPr>
              <w:t>NA</w:t>
            </w:r>
          </w:p>
        </w:tc>
        <w:tc>
          <w:tcPr>
            <w:tcW w:w="3055" w:type="dxa"/>
            <w:vAlign w:val="bottom"/>
          </w:tcPr>
          <w:p w:rsidR="002D5FD7" w:rsidRPr="00990D3B" w:rsidP="008F2417" w14:paraId="4819CDCF" w14:textId="77777777">
            <w:pPr>
              <w:pStyle w:val="EQRTableHeaderCenter"/>
              <w:rPr>
                <w:color w:val="auto"/>
              </w:rPr>
            </w:pPr>
            <w:r w:rsidRPr="00990D3B">
              <w:rPr>
                <w:color w:val="auto"/>
              </w:rPr>
              <w:t>Comments</w:t>
            </w:r>
          </w:p>
        </w:tc>
      </w:tr>
      <w:tr w14:paraId="4EF3D460" w14:textId="77777777" w:rsidTr="00324865">
        <w:tblPrEx>
          <w:tblW w:w="0" w:type="auto"/>
          <w:tblLook w:val="04A0"/>
        </w:tblPrEx>
        <w:tc>
          <w:tcPr>
            <w:tcW w:w="4372" w:type="dxa"/>
          </w:tcPr>
          <w:p w:rsidR="002D5FD7" w:rsidRPr="00990D3B" w:rsidP="008F2417" w14:paraId="1A17B945" w14:textId="310BE65E">
            <w:pPr>
              <w:pStyle w:val="EQRTableText"/>
            </w:pPr>
            <w:r w:rsidRPr="00990D3B">
              <w:t>Was there a clear, written statement of the survey purpose that addresses access, timeliness, and/or quality of care</w:t>
            </w:r>
            <w:r w:rsidRPr="00990D3B" w:rsidR="00324865">
              <w:t>?</w:t>
            </w:r>
          </w:p>
        </w:tc>
        <w:tc>
          <w:tcPr>
            <w:tcW w:w="608" w:type="dxa"/>
          </w:tcPr>
          <w:p w:rsidR="002D5FD7" w:rsidRPr="00990D3B" w:rsidP="0069548F" w14:paraId="1B2B592C" w14:textId="77777777">
            <w:pPr>
              <w:pStyle w:val="EQRTableText"/>
              <w:jc w:val="center"/>
            </w:pPr>
            <w:r w:rsidRPr="00990D3B">
              <w:t> </w:t>
            </w:r>
          </w:p>
        </w:tc>
        <w:tc>
          <w:tcPr>
            <w:tcW w:w="608" w:type="dxa"/>
          </w:tcPr>
          <w:p w:rsidR="002D5FD7" w:rsidRPr="00990D3B" w:rsidP="0069548F" w14:paraId="69089CF0" w14:textId="77777777">
            <w:pPr>
              <w:pStyle w:val="EQRTableText"/>
              <w:jc w:val="center"/>
            </w:pPr>
            <w:r w:rsidRPr="00990D3B">
              <w:t> </w:t>
            </w:r>
          </w:p>
        </w:tc>
        <w:tc>
          <w:tcPr>
            <w:tcW w:w="707" w:type="dxa"/>
          </w:tcPr>
          <w:p w:rsidR="002D5FD7" w:rsidRPr="00990D3B" w:rsidP="0069548F" w14:paraId="0A79869F" w14:textId="77777777">
            <w:pPr>
              <w:pStyle w:val="EQRTableText"/>
              <w:jc w:val="center"/>
            </w:pPr>
            <w:r w:rsidRPr="00990D3B">
              <w:t> </w:t>
            </w:r>
          </w:p>
        </w:tc>
        <w:tc>
          <w:tcPr>
            <w:tcW w:w="3055" w:type="dxa"/>
          </w:tcPr>
          <w:p w:rsidR="002D5FD7" w:rsidRPr="00990D3B" w:rsidP="008F2417" w14:paraId="732E36A9" w14:textId="77777777">
            <w:pPr>
              <w:pStyle w:val="EQRTableText"/>
            </w:pPr>
            <w:r w:rsidRPr="00990D3B">
              <w:t> </w:t>
            </w:r>
          </w:p>
        </w:tc>
      </w:tr>
      <w:tr w14:paraId="4D3876EE" w14:textId="77777777" w:rsidTr="00324865">
        <w:tblPrEx>
          <w:tblW w:w="0" w:type="auto"/>
          <w:tblLook w:val="04A0"/>
        </w:tblPrEx>
        <w:tc>
          <w:tcPr>
            <w:tcW w:w="4372" w:type="dxa"/>
          </w:tcPr>
          <w:p w:rsidR="002D5FD7" w:rsidRPr="00990D3B" w:rsidP="008F2417" w14:paraId="7B273EC3" w14:textId="77777777">
            <w:pPr>
              <w:pStyle w:val="EQRTableText"/>
            </w:pPr>
            <w:r w:rsidRPr="00990D3B">
              <w:t>Was the unit of analysis clearly stated?</w:t>
            </w:r>
          </w:p>
        </w:tc>
        <w:tc>
          <w:tcPr>
            <w:tcW w:w="608" w:type="dxa"/>
          </w:tcPr>
          <w:p w:rsidR="002D5FD7" w:rsidRPr="00990D3B" w:rsidP="0069548F" w14:paraId="2B9FC184" w14:textId="77777777">
            <w:pPr>
              <w:pStyle w:val="EQRTableText"/>
              <w:jc w:val="center"/>
            </w:pPr>
            <w:r w:rsidRPr="00990D3B">
              <w:t> </w:t>
            </w:r>
          </w:p>
        </w:tc>
        <w:tc>
          <w:tcPr>
            <w:tcW w:w="608" w:type="dxa"/>
          </w:tcPr>
          <w:p w:rsidR="002D5FD7" w:rsidRPr="00990D3B" w:rsidP="0069548F" w14:paraId="2ACFB667" w14:textId="77777777">
            <w:pPr>
              <w:pStyle w:val="EQRTableText"/>
              <w:jc w:val="center"/>
            </w:pPr>
            <w:r w:rsidRPr="00990D3B">
              <w:t> </w:t>
            </w:r>
          </w:p>
        </w:tc>
        <w:tc>
          <w:tcPr>
            <w:tcW w:w="707" w:type="dxa"/>
          </w:tcPr>
          <w:p w:rsidR="002D5FD7" w:rsidRPr="00990D3B" w:rsidP="0069548F" w14:paraId="7D9551E6" w14:textId="77777777">
            <w:pPr>
              <w:pStyle w:val="EQRTableText"/>
              <w:jc w:val="center"/>
            </w:pPr>
            <w:r w:rsidRPr="00990D3B">
              <w:t> </w:t>
            </w:r>
          </w:p>
        </w:tc>
        <w:tc>
          <w:tcPr>
            <w:tcW w:w="3055" w:type="dxa"/>
          </w:tcPr>
          <w:p w:rsidR="002D5FD7" w:rsidRPr="00990D3B" w:rsidP="008F2417" w14:paraId="6473E581" w14:textId="77777777">
            <w:pPr>
              <w:pStyle w:val="EQRTableText"/>
            </w:pPr>
            <w:r w:rsidRPr="00990D3B">
              <w:t> </w:t>
            </w:r>
          </w:p>
        </w:tc>
      </w:tr>
      <w:tr w14:paraId="37BB50B5" w14:textId="77777777" w:rsidTr="00324865">
        <w:tblPrEx>
          <w:tblW w:w="0" w:type="auto"/>
          <w:tblLook w:val="04A0"/>
        </w:tblPrEx>
        <w:tc>
          <w:tcPr>
            <w:tcW w:w="4372" w:type="dxa"/>
          </w:tcPr>
          <w:p w:rsidR="002D5FD7" w:rsidRPr="00990D3B" w:rsidP="008F2417" w14:paraId="0A3765FA" w14:textId="77777777">
            <w:pPr>
              <w:pStyle w:val="EQRTableText"/>
            </w:pPr>
            <w:r w:rsidRPr="00990D3B">
              <w:t>Did the unit of analysis include individual MCPs?</w:t>
            </w:r>
          </w:p>
        </w:tc>
        <w:tc>
          <w:tcPr>
            <w:tcW w:w="608" w:type="dxa"/>
          </w:tcPr>
          <w:p w:rsidR="002D5FD7" w:rsidRPr="00990D3B" w:rsidP="0069548F" w14:paraId="0A4FCF50" w14:textId="77777777">
            <w:pPr>
              <w:pStyle w:val="EQRTableText"/>
              <w:jc w:val="center"/>
            </w:pPr>
            <w:r w:rsidRPr="00990D3B">
              <w:t> </w:t>
            </w:r>
          </w:p>
        </w:tc>
        <w:tc>
          <w:tcPr>
            <w:tcW w:w="608" w:type="dxa"/>
          </w:tcPr>
          <w:p w:rsidR="002D5FD7" w:rsidRPr="00990D3B" w:rsidP="0069548F" w14:paraId="32D0D8F9" w14:textId="77777777">
            <w:pPr>
              <w:pStyle w:val="EQRTableText"/>
              <w:jc w:val="center"/>
            </w:pPr>
            <w:r w:rsidRPr="00990D3B">
              <w:t> </w:t>
            </w:r>
          </w:p>
        </w:tc>
        <w:tc>
          <w:tcPr>
            <w:tcW w:w="707" w:type="dxa"/>
          </w:tcPr>
          <w:p w:rsidR="002D5FD7" w:rsidRPr="00990D3B" w:rsidP="0069548F" w14:paraId="1120A90B" w14:textId="77777777">
            <w:pPr>
              <w:pStyle w:val="EQRTableText"/>
              <w:jc w:val="center"/>
            </w:pPr>
            <w:r w:rsidRPr="00990D3B">
              <w:t> </w:t>
            </w:r>
          </w:p>
        </w:tc>
        <w:tc>
          <w:tcPr>
            <w:tcW w:w="3055" w:type="dxa"/>
          </w:tcPr>
          <w:p w:rsidR="002D5FD7" w:rsidRPr="00990D3B" w:rsidP="008F2417" w14:paraId="2D01C3A5" w14:textId="77777777">
            <w:pPr>
              <w:pStyle w:val="EQRTableText"/>
            </w:pPr>
            <w:r w:rsidRPr="00990D3B">
              <w:t> </w:t>
            </w:r>
          </w:p>
        </w:tc>
      </w:tr>
      <w:tr w14:paraId="6D95C007" w14:textId="77777777" w:rsidTr="00324865">
        <w:tblPrEx>
          <w:tblW w:w="0" w:type="auto"/>
          <w:tblLook w:val="04A0"/>
        </w:tblPrEx>
        <w:tc>
          <w:tcPr>
            <w:tcW w:w="4372" w:type="dxa"/>
          </w:tcPr>
          <w:p w:rsidR="002D5FD7" w:rsidRPr="00990D3B" w:rsidP="008F2417" w14:paraId="2813F956" w14:textId="77777777">
            <w:pPr>
              <w:pStyle w:val="EQRTableText"/>
            </w:pPr>
            <w:r w:rsidRPr="00990D3B">
              <w:t xml:space="preserve">Was there a clear and measurable written study objective? </w:t>
            </w:r>
          </w:p>
        </w:tc>
        <w:tc>
          <w:tcPr>
            <w:tcW w:w="608" w:type="dxa"/>
          </w:tcPr>
          <w:p w:rsidR="002D5FD7" w:rsidRPr="00990D3B" w:rsidP="0069548F" w14:paraId="215119F5" w14:textId="77777777">
            <w:pPr>
              <w:pStyle w:val="EQRTableText"/>
              <w:jc w:val="center"/>
            </w:pPr>
            <w:r w:rsidRPr="00990D3B">
              <w:t> </w:t>
            </w:r>
          </w:p>
        </w:tc>
        <w:tc>
          <w:tcPr>
            <w:tcW w:w="608" w:type="dxa"/>
          </w:tcPr>
          <w:p w:rsidR="002D5FD7" w:rsidRPr="00990D3B" w:rsidP="0069548F" w14:paraId="3F5D8AF2" w14:textId="77777777">
            <w:pPr>
              <w:pStyle w:val="EQRTableText"/>
              <w:jc w:val="center"/>
            </w:pPr>
            <w:r w:rsidRPr="00990D3B">
              <w:t> </w:t>
            </w:r>
          </w:p>
        </w:tc>
        <w:tc>
          <w:tcPr>
            <w:tcW w:w="707" w:type="dxa"/>
          </w:tcPr>
          <w:p w:rsidR="002D5FD7" w:rsidRPr="00990D3B" w:rsidP="0069548F" w14:paraId="02A82F93" w14:textId="77777777">
            <w:pPr>
              <w:pStyle w:val="EQRTableText"/>
              <w:jc w:val="center"/>
            </w:pPr>
            <w:r w:rsidRPr="00990D3B">
              <w:t> </w:t>
            </w:r>
          </w:p>
        </w:tc>
        <w:tc>
          <w:tcPr>
            <w:tcW w:w="3055" w:type="dxa"/>
          </w:tcPr>
          <w:p w:rsidR="002D5FD7" w:rsidRPr="00990D3B" w:rsidP="008F2417" w14:paraId="0935BCB9" w14:textId="77777777">
            <w:pPr>
              <w:pStyle w:val="EQRTableText"/>
            </w:pPr>
            <w:r w:rsidRPr="00990D3B">
              <w:t> </w:t>
            </w:r>
          </w:p>
        </w:tc>
      </w:tr>
      <w:tr w14:paraId="1816CAFF" w14:textId="77777777" w:rsidTr="00324865">
        <w:tblPrEx>
          <w:tblW w:w="0" w:type="auto"/>
          <w:tblLook w:val="04A0"/>
        </w:tblPrEx>
        <w:tc>
          <w:tcPr>
            <w:tcW w:w="4372" w:type="dxa"/>
          </w:tcPr>
          <w:p w:rsidR="002D5FD7" w:rsidRPr="00990D3B" w:rsidP="008F2417" w14:paraId="24F4AD91" w14:textId="77777777">
            <w:pPr>
              <w:pStyle w:val="EQRTableText"/>
            </w:pPr>
            <w:r w:rsidRPr="00990D3B">
              <w:t>Was the audience for and intended use of the survey findings identified?</w:t>
            </w:r>
          </w:p>
        </w:tc>
        <w:tc>
          <w:tcPr>
            <w:tcW w:w="608" w:type="dxa"/>
            <w:tcBorders>
              <w:bottom w:val="single" w:sz="4" w:space="0" w:color="000000" w:themeColor="text1"/>
            </w:tcBorders>
          </w:tcPr>
          <w:p w:rsidR="002D5FD7" w:rsidRPr="00990D3B" w:rsidP="0069548F" w14:paraId="59B366EB" w14:textId="77777777">
            <w:pPr>
              <w:pStyle w:val="EQRTableText"/>
              <w:jc w:val="center"/>
            </w:pPr>
            <w:r w:rsidRPr="00990D3B">
              <w:t> </w:t>
            </w:r>
          </w:p>
        </w:tc>
        <w:tc>
          <w:tcPr>
            <w:tcW w:w="608" w:type="dxa"/>
            <w:tcBorders>
              <w:bottom w:val="single" w:sz="4" w:space="0" w:color="000000" w:themeColor="text1"/>
            </w:tcBorders>
          </w:tcPr>
          <w:p w:rsidR="002D5FD7" w:rsidRPr="00990D3B" w:rsidP="0069548F" w14:paraId="52803E01" w14:textId="77777777">
            <w:pPr>
              <w:pStyle w:val="EQRTableText"/>
              <w:jc w:val="center"/>
            </w:pPr>
            <w:r w:rsidRPr="00990D3B">
              <w:t> </w:t>
            </w:r>
          </w:p>
        </w:tc>
        <w:tc>
          <w:tcPr>
            <w:tcW w:w="707" w:type="dxa"/>
            <w:tcBorders>
              <w:bottom w:val="single" w:sz="4" w:space="0" w:color="000000" w:themeColor="text1"/>
            </w:tcBorders>
          </w:tcPr>
          <w:p w:rsidR="002D5FD7" w:rsidRPr="00990D3B" w:rsidP="0069548F" w14:paraId="1CD79723" w14:textId="77777777">
            <w:pPr>
              <w:pStyle w:val="EQRTableText"/>
              <w:jc w:val="center"/>
            </w:pPr>
            <w:r w:rsidRPr="00990D3B">
              <w:t> </w:t>
            </w:r>
          </w:p>
        </w:tc>
        <w:tc>
          <w:tcPr>
            <w:tcW w:w="3055" w:type="dxa"/>
          </w:tcPr>
          <w:p w:rsidR="002D5FD7" w:rsidRPr="00990D3B" w:rsidP="008F2417" w14:paraId="15CDED56" w14:textId="77777777">
            <w:pPr>
              <w:pStyle w:val="EQRTableText"/>
            </w:pPr>
            <w:r w:rsidRPr="00990D3B">
              <w:t> </w:t>
            </w:r>
          </w:p>
        </w:tc>
      </w:tr>
      <w:tr w14:paraId="60E8E996" w14:textId="77777777" w:rsidTr="00324865">
        <w:tblPrEx>
          <w:tblW w:w="0" w:type="auto"/>
          <w:tblLook w:val="04A0"/>
        </w:tblPrEx>
        <w:tc>
          <w:tcPr>
            <w:tcW w:w="4372" w:type="dxa"/>
          </w:tcPr>
          <w:p w:rsidR="002D5FD7" w:rsidRPr="00990D3B" w:rsidP="008F2417" w14:paraId="3D764871" w14:textId="1C2F9E92">
            <w:pPr>
              <w:pStyle w:val="EQRTableText"/>
            </w:pPr>
            <w:r w:rsidRPr="00990D3B">
              <w:t>Overall validation assessment: In the comments section, note any recommendations for improving the survey purpose, objective, and audience</w:t>
            </w:r>
            <w:r w:rsidRPr="00990D3B" w:rsidR="00324865">
              <w:t>.</w:t>
            </w:r>
          </w:p>
        </w:tc>
        <w:tc>
          <w:tcPr>
            <w:tcW w:w="608" w:type="dxa"/>
            <w:shd w:val="clear" w:color="auto" w:fill="BFBFBF" w:themeFill="background1" w:themeFillShade="BF"/>
          </w:tcPr>
          <w:p w:rsidR="002D5FD7" w:rsidRPr="00990D3B" w:rsidP="0069548F" w14:paraId="7DC5EC8A" w14:textId="77777777">
            <w:pPr>
              <w:pStyle w:val="EQRTableText"/>
              <w:jc w:val="center"/>
            </w:pPr>
            <w:r w:rsidRPr="00990D3B">
              <w:t> </w:t>
            </w:r>
          </w:p>
        </w:tc>
        <w:tc>
          <w:tcPr>
            <w:tcW w:w="608" w:type="dxa"/>
            <w:shd w:val="clear" w:color="auto" w:fill="BFBFBF" w:themeFill="background1" w:themeFillShade="BF"/>
          </w:tcPr>
          <w:p w:rsidR="002D5FD7" w:rsidRPr="00990D3B" w:rsidP="0069548F" w14:paraId="2D107401" w14:textId="77777777">
            <w:pPr>
              <w:pStyle w:val="EQRTableText"/>
              <w:jc w:val="center"/>
            </w:pPr>
            <w:r w:rsidRPr="00990D3B">
              <w:t> </w:t>
            </w:r>
          </w:p>
        </w:tc>
        <w:tc>
          <w:tcPr>
            <w:tcW w:w="707" w:type="dxa"/>
            <w:shd w:val="clear" w:color="auto" w:fill="BFBFBF" w:themeFill="background1" w:themeFillShade="BF"/>
          </w:tcPr>
          <w:p w:rsidR="002D5FD7" w:rsidRPr="00990D3B" w:rsidP="0069548F" w14:paraId="6B3F063B" w14:textId="77777777">
            <w:pPr>
              <w:pStyle w:val="EQRTableText"/>
              <w:jc w:val="center"/>
            </w:pPr>
            <w:r w:rsidRPr="00990D3B">
              <w:t> </w:t>
            </w:r>
          </w:p>
        </w:tc>
        <w:tc>
          <w:tcPr>
            <w:tcW w:w="3055" w:type="dxa"/>
          </w:tcPr>
          <w:p w:rsidR="002D5FD7" w:rsidRPr="00990D3B" w:rsidP="008F2417" w14:paraId="6BDEE44A" w14:textId="77777777">
            <w:pPr>
              <w:pStyle w:val="EQRTableText"/>
            </w:pPr>
            <w:r w:rsidRPr="00990D3B">
              <w:t> </w:t>
            </w:r>
          </w:p>
        </w:tc>
      </w:tr>
    </w:tbl>
    <w:p w:rsidR="002D5FD7" w:rsidRPr="00990D3B" w:rsidP="0069548F" w14:paraId="1830F935" w14:textId="77777777">
      <w:pPr>
        <w:pStyle w:val="EQRNormalSSWORKSHEET"/>
      </w:pPr>
      <w:r w:rsidRPr="00990D3B">
        <w:br w:type="page"/>
      </w:r>
    </w:p>
    <w:p w:rsidR="002D5FD7" w:rsidRPr="00990D3B" w:rsidP="00A54412" w14:paraId="29D528DE" w14:textId="4AC9435D">
      <w:pPr>
        <w:pStyle w:val="EQRMarkforExhibitWORKSHEET"/>
      </w:pPr>
      <w:bookmarkStart w:id="752" w:name="WSp6n02"/>
      <w:bookmarkStart w:id="753" w:name="_Toc125619179"/>
      <w:bookmarkStart w:id="754" w:name="_Toc201751542"/>
      <w:r w:rsidRPr="00990D3B">
        <w:t>Worksheet 6.2</w:t>
      </w:r>
      <w:bookmarkEnd w:id="752"/>
      <w:r w:rsidRPr="00990D3B">
        <w:t xml:space="preserve">. </w:t>
      </w:r>
      <w:r w:rsidRPr="00990D3B" w:rsidR="00333704">
        <w:t xml:space="preserve">Survey </w:t>
      </w:r>
      <w:r w:rsidRPr="00990D3B">
        <w:t>Work Plan</w:t>
      </w:r>
      <w:bookmarkEnd w:id="753"/>
      <w:bookmarkEnd w:id="754"/>
    </w:p>
    <w:p w:rsidR="002D5FD7" w:rsidRPr="00990D3B" w:rsidP="0069548F" w14:paraId="5F395D9C" w14:textId="31FCA91A">
      <w:pPr>
        <w:pStyle w:val="EQRNormalSSWORKSHEET"/>
      </w:pPr>
      <w:r w:rsidRPr="00990D3B">
        <w:rPr>
          <w:b/>
          <w:bCs/>
        </w:rPr>
        <w:t xml:space="preserve">Instructions. </w:t>
      </w:r>
      <w:r w:rsidRPr="00990D3B">
        <w:t xml:space="preserve">Assess the adequacy of the work plan by answering the following questions. Insert comments to explain “No” and “Not </w:t>
      </w:r>
      <w:r w:rsidRPr="00990D3B" w:rsidR="00507D5D">
        <w:t>A</w:t>
      </w:r>
      <w:r w:rsidRPr="00990D3B">
        <w:t xml:space="preserve">pplicable” responses. Note: Validation of the work plan occurs in conjunction with </w:t>
      </w:r>
      <w:hyperlink w:anchor="P6AI5" w:tooltip="Activity 5" w:history="1">
        <w:r w:rsidRPr="00990D3B">
          <w:rPr>
            <w:rStyle w:val="Hyperlink"/>
          </w:rPr>
          <w:t>Activity 5</w:t>
        </w:r>
      </w:hyperlink>
      <w:r w:rsidRPr="00990D3B">
        <w:t>, Review Survey Implementation According to the Work Plan.</w:t>
      </w:r>
    </w:p>
    <w:p w:rsidR="008430E8" w:rsidRPr="00990D3B" w:rsidP="008430E8" w14:paraId="44B6F30D" w14:textId="234CC9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Arial" w:hAnsi="Arial" w:cs="Arial"/>
          <w:sz w:val="18"/>
          <w:szCs w:val="18"/>
        </w:rPr>
      </w:pPr>
      <w:r w:rsidRPr="00990D3B">
        <w:rPr>
          <w:rFonts w:ascii="Arial" w:hAnsi="Arial" w:cs="Arial"/>
          <w:sz w:val="18"/>
          <w:szCs w:val="18"/>
        </w:rPr>
        <w:t>Acronyms: EQRO = External Quality Review Organization; HIP</w:t>
      </w:r>
      <w:r w:rsidRPr="00990D3B" w:rsidR="007249DE">
        <w:rPr>
          <w:rFonts w:ascii="Arial" w:hAnsi="Arial" w:cs="Arial"/>
          <w:sz w:val="18"/>
          <w:szCs w:val="18"/>
        </w:rPr>
        <w:t>A</w:t>
      </w:r>
      <w:r w:rsidRPr="00990D3B">
        <w:rPr>
          <w:rFonts w:ascii="Arial" w:hAnsi="Arial" w:cs="Arial"/>
          <w:sz w:val="18"/>
          <w:szCs w:val="18"/>
        </w:rPr>
        <w:t>A = Health Insurance Portability and Accountability Act; NA = Not Applicable.</w:t>
      </w:r>
    </w:p>
    <w:p w:rsidR="00324865" w:rsidRPr="00990D3B" w:rsidP="00324865" w14:paraId="615A0DA7" w14:textId="77777777">
      <w:pPr>
        <w:pStyle w:val="EQRNormalSSWORKSHEET"/>
        <w:rPr>
          <w:b/>
        </w:rPr>
      </w:pPr>
      <w:r w:rsidRPr="00990D3B">
        <w:rPr>
          <w:b/>
        </w:rPr>
        <w:t>Date of work plan: ______________________________________________________</w:t>
      </w:r>
    </w:p>
    <w:tbl>
      <w:tblPr>
        <w:tblStyle w:val="TableGrid"/>
        <w:tblW w:w="5000" w:type="pct"/>
        <w:tblLook w:val="04A0"/>
      </w:tblPr>
      <w:tblGrid>
        <w:gridCol w:w="4372"/>
        <w:gridCol w:w="608"/>
        <w:gridCol w:w="608"/>
        <w:gridCol w:w="617"/>
        <w:gridCol w:w="3145"/>
      </w:tblGrid>
      <w:tr w14:paraId="237C511A" w14:textId="77777777" w:rsidTr="00324865">
        <w:tblPrEx>
          <w:tblW w:w="5000" w:type="pct"/>
          <w:tblLook w:val="04A0"/>
        </w:tblPrEx>
        <w:trPr>
          <w:tblHeader/>
        </w:trPr>
        <w:tc>
          <w:tcPr>
            <w:tcW w:w="4372" w:type="dxa"/>
            <w:vAlign w:val="bottom"/>
          </w:tcPr>
          <w:p w:rsidR="002D5FD7" w:rsidRPr="00990D3B" w:rsidP="0069548F" w14:paraId="36C91D4A" w14:textId="77777777">
            <w:pPr>
              <w:pStyle w:val="EQRTableHeaderLeft"/>
              <w:rPr>
                <w:color w:val="auto"/>
              </w:rPr>
            </w:pPr>
            <w:r w:rsidRPr="00990D3B">
              <w:rPr>
                <w:color w:val="auto"/>
              </w:rPr>
              <w:t>Question</w:t>
            </w:r>
          </w:p>
        </w:tc>
        <w:tc>
          <w:tcPr>
            <w:tcW w:w="608" w:type="dxa"/>
            <w:vAlign w:val="bottom"/>
          </w:tcPr>
          <w:p w:rsidR="002D5FD7" w:rsidRPr="00990D3B" w:rsidP="0069548F" w14:paraId="5C755DC6" w14:textId="77777777">
            <w:pPr>
              <w:pStyle w:val="EQRTableHeaderCenter"/>
              <w:rPr>
                <w:color w:val="auto"/>
              </w:rPr>
            </w:pPr>
            <w:r w:rsidRPr="00990D3B">
              <w:rPr>
                <w:color w:val="auto"/>
              </w:rPr>
              <w:t>Yes</w:t>
            </w:r>
          </w:p>
        </w:tc>
        <w:tc>
          <w:tcPr>
            <w:tcW w:w="608" w:type="dxa"/>
            <w:vAlign w:val="bottom"/>
          </w:tcPr>
          <w:p w:rsidR="002D5FD7" w:rsidRPr="00990D3B" w:rsidP="0069548F" w14:paraId="1D9B501F" w14:textId="77777777">
            <w:pPr>
              <w:pStyle w:val="EQRTableHeaderCenter"/>
              <w:rPr>
                <w:color w:val="auto"/>
              </w:rPr>
            </w:pPr>
            <w:r w:rsidRPr="00990D3B">
              <w:rPr>
                <w:color w:val="auto"/>
              </w:rPr>
              <w:t>No</w:t>
            </w:r>
          </w:p>
        </w:tc>
        <w:tc>
          <w:tcPr>
            <w:tcW w:w="617" w:type="dxa"/>
            <w:vAlign w:val="bottom"/>
          </w:tcPr>
          <w:p w:rsidR="002D5FD7" w:rsidRPr="00990D3B" w:rsidP="0069548F" w14:paraId="6A5D6AE8" w14:textId="4C05D87E">
            <w:pPr>
              <w:pStyle w:val="EQRTableHeaderCenter"/>
              <w:rPr>
                <w:color w:val="auto"/>
              </w:rPr>
            </w:pPr>
            <w:r w:rsidRPr="00990D3B">
              <w:rPr>
                <w:color w:val="auto"/>
              </w:rPr>
              <w:t>NA</w:t>
            </w:r>
          </w:p>
        </w:tc>
        <w:tc>
          <w:tcPr>
            <w:tcW w:w="3145" w:type="dxa"/>
            <w:vAlign w:val="bottom"/>
          </w:tcPr>
          <w:p w:rsidR="002D5FD7" w:rsidRPr="00990D3B" w:rsidP="0069548F" w14:paraId="1CDB4896" w14:textId="77777777">
            <w:pPr>
              <w:pStyle w:val="EQRTableHeaderCenter"/>
              <w:rPr>
                <w:color w:val="auto"/>
              </w:rPr>
            </w:pPr>
            <w:r w:rsidRPr="00990D3B">
              <w:rPr>
                <w:color w:val="auto"/>
              </w:rPr>
              <w:t>Comments</w:t>
            </w:r>
          </w:p>
        </w:tc>
      </w:tr>
      <w:tr w14:paraId="20AA8D78" w14:textId="77777777" w:rsidTr="00324865">
        <w:tblPrEx>
          <w:tblW w:w="5000" w:type="pct"/>
          <w:tblLook w:val="04A0"/>
        </w:tblPrEx>
        <w:tc>
          <w:tcPr>
            <w:tcW w:w="4372" w:type="dxa"/>
          </w:tcPr>
          <w:p w:rsidR="002D5FD7" w:rsidRPr="00990D3B" w:rsidP="0069548F" w14:paraId="7340052B" w14:textId="77777777">
            <w:pPr>
              <w:pStyle w:val="EQRTableText"/>
            </w:pPr>
            <w:r w:rsidRPr="00990D3B">
              <w:t>Did the work plan include a project management plan (including key staff and roles)?</w:t>
            </w:r>
          </w:p>
        </w:tc>
        <w:tc>
          <w:tcPr>
            <w:tcW w:w="608" w:type="dxa"/>
          </w:tcPr>
          <w:p w:rsidR="002D5FD7" w:rsidRPr="00990D3B" w:rsidP="0069548F" w14:paraId="7A1341B2" w14:textId="77777777">
            <w:pPr>
              <w:pStyle w:val="EQRTableText"/>
              <w:jc w:val="center"/>
            </w:pPr>
            <w:r w:rsidRPr="00990D3B">
              <w:t> </w:t>
            </w:r>
          </w:p>
        </w:tc>
        <w:tc>
          <w:tcPr>
            <w:tcW w:w="608" w:type="dxa"/>
          </w:tcPr>
          <w:p w:rsidR="002D5FD7" w:rsidRPr="00990D3B" w:rsidP="0069548F" w14:paraId="4FCC4C43" w14:textId="77777777">
            <w:pPr>
              <w:pStyle w:val="EQRTableText"/>
              <w:jc w:val="center"/>
            </w:pPr>
            <w:r w:rsidRPr="00990D3B">
              <w:t> </w:t>
            </w:r>
          </w:p>
        </w:tc>
        <w:tc>
          <w:tcPr>
            <w:tcW w:w="617" w:type="dxa"/>
          </w:tcPr>
          <w:p w:rsidR="002D5FD7" w:rsidRPr="00990D3B" w:rsidP="0069548F" w14:paraId="6B969741" w14:textId="77777777">
            <w:pPr>
              <w:pStyle w:val="EQRTableText"/>
              <w:jc w:val="center"/>
            </w:pPr>
            <w:r w:rsidRPr="00990D3B">
              <w:t> </w:t>
            </w:r>
          </w:p>
        </w:tc>
        <w:tc>
          <w:tcPr>
            <w:tcW w:w="3145" w:type="dxa"/>
          </w:tcPr>
          <w:p w:rsidR="002D5FD7" w:rsidRPr="00990D3B" w:rsidP="0069548F" w14:paraId="0B358E8E" w14:textId="77777777">
            <w:pPr>
              <w:pStyle w:val="EQRTableText"/>
            </w:pPr>
            <w:r w:rsidRPr="00990D3B">
              <w:t> </w:t>
            </w:r>
          </w:p>
        </w:tc>
      </w:tr>
      <w:tr w14:paraId="7BC70B43" w14:textId="77777777" w:rsidTr="00324865">
        <w:tblPrEx>
          <w:tblW w:w="5000" w:type="pct"/>
          <w:tblLook w:val="04A0"/>
        </w:tblPrEx>
        <w:tc>
          <w:tcPr>
            <w:tcW w:w="4372" w:type="dxa"/>
          </w:tcPr>
          <w:p w:rsidR="002D5FD7" w:rsidRPr="00990D3B" w:rsidP="0069548F" w14:paraId="4A01EAB1" w14:textId="77777777">
            <w:pPr>
              <w:pStyle w:val="EQRTableText"/>
            </w:pPr>
            <w:r w:rsidRPr="00990D3B">
              <w:t xml:space="preserve">Did the work plan include a project schedule (including timelines and </w:t>
            </w:r>
            <w:r w:rsidRPr="00990D3B">
              <w:t>deliverable</w:t>
            </w:r>
            <w:r w:rsidRPr="00990D3B">
              <w:t xml:space="preserve"> dates)? </w:t>
            </w:r>
          </w:p>
        </w:tc>
        <w:tc>
          <w:tcPr>
            <w:tcW w:w="608" w:type="dxa"/>
          </w:tcPr>
          <w:p w:rsidR="002D5FD7" w:rsidRPr="00990D3B" w:rsidP="0069548F" w14:paraId="469567AF" w14:textId="77777777">
            <w:pPr>
              <w:pStyle w:val="EQRTableText"/>
              <w:jc w:val="center"/>
            </w:pPr>
            <w:r w:rsidRPr="00990D3B">
              <w:t> </w:t>
            </w:r>
          </w:p>
        </w:tc>
        <w:tc>
          <w:tcPr>
            <w:tcW w:w="608" w:type="dxa"/>
          </w:tcPr>
          <w:p w:rsidR="002D5FD7" w:rsidRPr="00990D3B" w:rsidP="0069548F" w14:paraId="6CB7872D" w14:textId="77777777">
            <w:pPr>
              <w:pStyle w:val="EQRTableText"/>
              <w:jc w:val="center"/>
            </w:pPr>
            <w:r w:rsidRPr="00990D3B">
              <w:t> </w:t>
            </w:r>
          </w:p>
        </w:tc>
        <w:tc>
          <w:tcPr>
            <w:tcW w:w="617" w:type="dxa"/>
          </w:tcPr>
          <w:p w:rsidR="002D5FD7" w:rsidRPr="00990D3B" w:rsidP="0069548F" w14:paraId="57C9CB0C" w14:textId="77777777">
            <w:pPr>
              <w:pStyle w:val="EQRTableText"/>
              <w:jc w:val="center"/>
            </w:pPr>
            <w:r w:rsidRPr="00990D3B">
              <w:t> </w:t>
            </w:r>
          </w:p>
        </w:tc>
        <w:tc>
          <w:tcPr>
            <w:tcW w:w="3145" w:type="dxa"/>
          </w:tcPr>
          <w:p w:rsidR="002D5FD7" w:rsidRPr="00990D3B" w:rsidP="0069548F" w14:paraId="737F7561" w14:textId="77777777">
            <w:pPr>
              <w:pStyle w:val="EQRTableText"/>
            </w:pPr>
            <w:r w:rsidRPr="00990D3B">
              <w:t> </w:t>
            </w:r>
          </w:p>
        </w:tc>
      </w:tr>
      <w:tr w14:paraId="3739190C" w14:textId="77777777" w:rsidTr="00324865">
        <w:tblPrEx>
          <w:tblW w:w="5000" w:type="pct"/>
          <w:tblLook w:val="04A0"/>
        </w:tblPrEx>
        <w:tc>
          <w:tcPr>
            <w:tcW w:w="4372" w:type="dxa"/>
          </w:tcPr>
          <w:p w:rsidR="002D5FD7" w:rsidRPr="00990D3B" w:rsidP="0069548F" w14:paraId="1E080174" w14:textId="77777777">
            <w:pPr>
              <w:pStyle w:val="EQRTableText"/>
            </w:pPr>
            <w:r w:rsidRPr="00990D3B">
              <w:t>Did the work plan specify project reporting requirements (including the number, format, and content of the reports)?</w:t>
            </w:r>
          </w:p>
          <w:p w:rsidR="002D5FD7" w:rsidRPr="00990D3B" w:rsidP="002D5FD7" w14:paraId="342C7936" w14:textId="77777777">
            <w:pPr>
              <w:pStyle w:val="EQRTableTextbullet"/>
              <w:spacing w:line="240" w:lineRule="auto"/>
              <w:ind w:left="216" w:hanging="216"/>
            </w:pPr>
            <w:r w:rsidRPr="00990D3B">
              <w:t>The work plan should include a description of any reports that the EQRO will be responsible to publicly release, if this is part of the EQRO’s scope of work</w:t>
            </w:r>
          </w:p>
        </w:tc>
        <w:tc>
          <w:tcPr>
            <w:tcW w:w="608" w:type="dxa"/>
          </w:tcPr>
          <w:p w:rsidR="002D5FD7" w:rsidRPr="00990D3B" w:rsidP="0069548F" w14:paraId="2932DDB1" w14:textId="77777777">
            <w:pPr>
              <w:pStyle w:val="EQRTableText"/>
              <w:jc w:val="center"/>
            </w:pPr>
            <w:r w:rsidRPr="00990D3B">
              <w:t> </w:t>
            </w:r>
          </w:p>
        </w:tc>
        <w:tc>
          <w:tcPr>
            <w:tcW w:w="608" w:type="dxa"/>
          </w:tcPr>
          <w:p w:rsidR="002D5FD7" w:rsidRPr="00990D3B" w:rsidP="0069548F" w14:paraId="1F6F974F" w14:textId="77777777">
            <w:pPr>
              <w:pStyle w:val="EQRTableText"/>
              <w:jc w:val="center"/>
            </w:pPr>
            <w:r w:rsidRPr="00990D3B">
              <w:t> </w:t>
            </w:r>
          </w:p>
        </w:tc>
        <w:tc>
          <w:tcPr>
            <w:tcW w:w="617" w:type="dxa"/>
          </w:tcPr>
          <w:p w:rsidR="002D5FD7" w:rsidRPr="00990D3B" w:rsidP="0069548F" w14:paraId="170C7A88" w14:textId="77777777">
            <w:pPr>
              <w:pStyle w:val="EQRTableText"/>
              <w:jc w:val="center"/>
            </w:pPr>
            <w:r w:rsidRPr="00990D3B">
              <w:t> </w:t>
            </w:r>
          </w:p>
        </w:tc>
        <w:tc>
          <w:tcPr>
            <w:tcW w:w="3145" w:type="dxa"/>
          </w:tcPr>
          <w:p w:rsidR="002D5FD7" w:rsidRPr="00990D3B" w:rsidP="0069548F" w14:paraId="54C57C29" w14:textId="77777777">
            <w:pPr>
              <w:pStyle w:val="EQRTableText"/>
            </w:pPr>
            <w:r w:rsidRPr="00990D3B">
              <w:t> </w:t>
            </w:r>
          </w:p>
        </w:tc>
      </w:tr>
      <w:tr w14:paraId="2145322F" w14:textId="77777777" w:rsidTr="00324865">
        <w:tblPrEx>
          <w:tblW w:w="5000" w:type="pct"/>
          <w:tblLook w:val="04A0"/>
        </w:tblPrEx>
        <w:tc>
          <w:tcPr>
            <w:tcW w:w="4372" w:type="dxa"/>
          </w:tcPr>
          <w:p w:rsidR="002D5FD7" w:rsidRPr="00990D3B" w:rsidP="0069548F" w14:paraId="2482A745" w14:textId="77777777">
            <w:pPr>
              <w:pStyle w:val="EQRTableText"/>
            </w:pPr>
            <w:r w:rsidRPr="00990D3B">
              <w:t>Did the work plan include a data preparation plan, such as production of data files, data file format, and delivery?</w:t>
            </w:r>
          </w:p>
        </w:tc>
        <w:tc>
          <w:tcPr>
            <w:tcW w:w="608" w:type="dxa"/>
          </w:tcPr>
          <w:p w:rsidR="002D5FD7" w:rsidRPr="00990D3B" w:rsidP="0069548F" w14:paraId="4357C79A" w14:textId="77777777">
            <w:pPr>
              <w:pStyle w:val="EQRTableText"/>
              <w:jc w:val="center"/>
            </w:pPr>
            <w:r w:rsidRPr="00990D3B">
              <w:t> </w:t>
            </w:r>
          </w:p>
        </w:tc>
        <w:tc>
          <w:tcPr>
            <w:tcW w:w="608" w:type="dxa"/>
          </w:tcPr>
          <w:p w:rsidR="002D5FD7" w:rsidRPr="00990D3B" w:rsidP="0069548F" w14:paraId="19912801" w14:textId="77777777">
            <w:pPr>
              <w:pStyle w:val="EQRTableText"/>
              <w:jc w:val="center"/>
            </w:pPr>
            <w:r w:rsidRPr="00990D3B">
              <w:t> </w:t>
            </w:r>
          </w:p>
        </w:tc>
        <w:tc>
          <w:tcPr>
            <w:tcW w:w="617" w:type="dxa"/>
          </w:tcPr>
          <w:p w:rsidR="002D5FD7" w:rsidRPr="00990D3B" w:rsidP="0069548F" w14:paraId="70B865A8" w14:textId="77777777">
            <w:pPr>
              <w:pStyle w:val="EQRTableText"/>
              <w:jc w:val="center"/>
            </w:pPr>
            <w:r w:rsidRPr="00990D3B">
              <w:t> </w:t>
            </w:r>
          </w:p>
        </w:tc>
        <w:tc>
          <w:tcPr>
            <w:tcW w:w="3145" w:type="dxa"/>
          </w:tcPr>
          <w:p w:rsidR="002D5FD7" w:rsidRPr="00990D3B" w:rsidP="0069548F" w14:paraId="6D20E02E" w14:textId="77777777">
            <w:pPr>
              <w:pStyle w:val="EQRTableText"/>
            </w:pPr>
            <w:r w:rsidRPr="00990D3B">
              <w:t> </w:t>
            </w:r>
          </w:p>
        </w:tc>
      </w:tr>
      <w:tr w14:paraId="1871CF0F" w14:textId="77777777" w:rsidTr="00324865">
        <w:tblPrEx>
          <w:tblW w:w="5000" w:type="pct"/>
          <w:tblLook w:val="04A0"/>
        </w:tblPrEx>
        <w:tc>
          <w:tcPr>
            <w:tcW w:w="4372" w:type="dxa"/>
          </w:tcPr>
          <w:p w:rsidR="002D5FD7" w:rsidRPr="00990D3B" w:rsidP="0069548F" w14:paraId="76A2F715" w14:textId="77777777">
            <w:pPr>
              <w:pStyle w:val="EQRTableText"/>
            </w:pPr>
            <w:r w:rsidRPr="00990D3B">
              <w:t>Did the work plan include a data analysis plan (including the use of a statistician as appropriate)?</w:t>
            </w:r>
          </w:p>
          <w:p w:rsidR="002D5FD7" w:rsidRPr="00990D3B" w:rsidP="002D5FD7" w14:paraId="64EDE1CE" w14:textId="73C73F5C">
            <w:pPr>
              <w:pStyle w:val="EQRTableTextbullet"/>
              <w:spacing w:line="240" w:lineRule="auto"/>
              <w:ind w:left="216" w:hanging="216"/>
            </w:pPr>
            <w:r w:rsidRPr="00990D3B">
              <w:t>The EQRO should use a statistician to develop an analysis plan that supports the survey purpose and objectives and is consistent with the intended use of results</w:t>
            </w:r>
            <w:r w:rsidRPr="00990D3B" w:rsidR="00324865">
              <w:t>.</w:t>
            </w:r>
          </w:p>
          <w:p w:rsidR="002D5FD7" w:rsidRPr="00990D3B" w:rsidP="002D5FD7" w14:paraId="14FC7B5F" w14:textId="33BEBE19">
            <w:pPr>
              <w:pStyle w:val="EQRTableTextbullet"/>
              <w:spacing w:line="240" w:lineRule="auto"/>
              <w:ind w:left="216" w:hanging="216"/>
            </w:pPr>
            <w:r w:rsidRPr="00990D3B">
              <w:t xml:space="preserve">If feasible, the EQRO should provide the state with a mock-up of the analysis before administering the survey. This will </w:t>
            </w:r>
            <w:r w:rsidRPr="00990D3B">
              <w:t>assure</w:t>
            </w:r>
            <w:r w:rsidRPr="00990D3B">
              <w:t xml:space="preserve"> the survey analysis will be consistent with the intended use of results</w:t>
            </w:r>
            <w:r w:rsidRPr="00990D3B" w:rsidR="00324865">
              <w:t>.</w:t>
            </w:r>
          </w:p>
        </w:tc>
        <w:tc>
          <w:tcPr>
            <w:tcW w:w="608" w:type="dxa"/>
          </w:tcPr>
          <w:p w:rsidR="002D5FD7" w:rsidRPr="00990D3B" w:rsidP="0069548F" w14:paraId="3515B5B1" w14:textId="77777777">
            <w:pPr>
              <w:pStyle w:val="EQRTableText"/>
              <w:jc w:val="center"/>
            </w:pPr>
            <w:r w:rsidRPr="00990D3B">
              <w:t> </w:t>
            </w:r>
          </w:p>
        </w:tc>
        <w:tc>
          <w:tcPr>
            <w:tcW w:w="608" w:type="dxa"/>
          </w:tcPr>
          <w:p w:rsidR="002D5FD7" w:rsidRPr="00990D3B" w:rsidP="0069548F" w14:paraId="1CE81A66" w14:textId="77777777">
            <w:pPr>
              <w:pStyle w:val="EQRTableText"/>
              <w:jc w:val="center"/>
            </w:pPr>
            <w:r w:rsidRPr="00990D3B">
              <w:t> </w:t>
            </w:r>
          </w:p>
        </w:tc>
        <w:tc>
          <w:tcPr>
            <w:tcW w:w="617" w:type="dxa"/>
          </w:tcPr>
          <w:p w:rsidR="002D5FD7" w:rsidRPr="00990D3B" w:rsidP="0069548F" w14:paraId="0F497F65" w14:textId="77777777">
            <w:pPr>
              <w:pStyle w:val="EQRTableText"/>
              <w:jc w:val="center"/>
            </w:pPr>
            <w:r w:rsidRPr="00990D3B">
              <w:t> </w:t>
            </w:r>
          </w:p>
        </w:tc>
        <w:tc>
          <w:tcPr>
            <w:tcW w:w="3145" w:type="dxa"/>
          </w:tcPr>
          <w:p w:rsidR="002D5FD7" w:rsidRPr="00990D3B" w:rsidP="0069548F" w14:paraId="11A8EBFC" w14:textId="77777777">
            <w:pPr>
              <w:pStyle w:val="EQRTableText"/>
            </w:pPr>
            <w:r w:rsidRPr="00990D3B">
              <w:t> </w:t>
            </w:r>
          </w:p>
        </w:tc>
      </w:tr>
      <w:tr w14:paraId="4F6A0077" w14:textId="77777777" w:rsidTr="00324865">
        <w:tblPrEx>
          <w:tblW w:w="5000" w:type="pct"/>
          <w:tblLook w:val="04A0"/>
        </w:tblPrEx>
        <w:tc>
          <w:tcPr>
            <w:tcW w:w="4372" w:type="dxa"/>
          </w:tcPr>
          <w:p w:rsidR="002D5FD7" w:rsidRPr="00990D3B" w:rsidP="0069548F" w14:paraId="612121E1" w14:textId="77777777">
            <w:pPr>
              <w:pStyle w:val="EQRTableText"/>
            </w:pPr>
            <w:r w:rsidRPr="00990D3B">
              <w:t xml:space="preserve">Did the work plan include data security protocols and procedures for assuring the confidentiality of data in compliance with HIPAA? </w:t>
            </w:r>
          </w:p>
        </w:tc>
        <w:tc>
          <w:tcPr>
            <w:tcW w:w="608" w:type="dxa"/>
            <w:tcBorders>
              <w:bottom w:val="single" w:sz="4" w:space="0" w:color="000000" w:themeColor="text1"/>
            </w:tcBorders>
          </w:tcPr>
          <w:p w:rsidR="002D5FD7" w:rsidRPr="00990D3B" w:rsidP="0069548F" w14:paraId="4F1D8DC1" w14:textId="77777777">
            <w:pPr>
              <w:pStyle w:val="EQRTableText"/>
              <w:jc w:val="center"/>
            </w:pPr>
            <w:r w:rsidRPr="00990D3B">
              <w:t> </w:t>
            </w:r>
          </w:p>
        </w:tc>
        <w:tc>
          <w:tcPr>
            <w:tcW w:w="608" w:type="dxa"/>
            <w:tcBorders>
              <w:bottom w:val="single" w:sz="4" w:space="0" w:color="000000" w:themeColor="text1"/>
            </w:tcBorders>
          </w:tcPr>
          <w:p w:rsidR="002D5FD7" w:rsidRPr="00990D3B" w:rsidP="0069548F" w14:paraId="3BD3F6DC" w14:textId="77777777">
            <w:pPr>
              <w:pStyle w:val="EQRTableText"/>
              <w:jc w:val="center"/>
            </w:pPr>
            <w:r w:rsidRPr="00990D3B">
              <w:t> </w:t>
            </w:r>
          </w:p>
        </w:tc>
        <w:tc>
          <w:tcPr>
            <w:tcW w:w="617" w:type="dxa"/>
            <w:tcBorders>
              <w:bottom w:val="single" w:sz="4" w:space="0" w:color="000000" w:themeColor="text1"/>
            </w:tcBorders>
          </w:tcPr>
          <w:p w:rsidR="002D5FD7" w:rsidRPr="00990D3B" w:rsidP="0069548F" w14:paraId="4DB23647" w14:textId="77777777">
            <w:pPr>
              <w:pStyle w:val="EQRTableText"/>
              <w:jc w:val="center"/>
            </w:pPr>
            <w:r w:rsidRPr="00990D3B">
              <w:t> </w:t>
            </w:r>
          </w:p>
        </w:tc>
        <w:tc>
          <w:tcPr>
            <w:tcW w:w="3145" w:type="dxa"/>
          </w:tcPr>
          <w:p w:rsidR="002D5FD7" w:rsidRPr="00990D3B" w:rsidP="0069548F" w14:paraId="48D93243" w14:textId="77777777">
            <w:pPr>
              <w:pStyle w:val="EQRTableText"/>
            </w:pPr>
            <w:r w:rsidRPr="00990D3B">
              <w:t> </w:t>
            </w:r>
          </w:p>
        </w:tc>
      </w:tr>
      <w:tr w14:paraId="22C46E79" w14:textId="77777777" w:rsidTr="00324865">
        <w:tblPrEx>
          <w:tblW w:w="5000" w:type="pct"/>
          <w:tblLook w:val="04A0"/>
        </w:tblPrEx>
        <w:tc>
          <w:tcPr>
            <w:tcW w:w="4372" w:type="dxa"/>
          </w:tcPr>
          <w:p w:rsidR="002D5FD7" w:rsidRPr="00990D3B" w:rsidP="0069548F" w14:paraId="30A0C40D" w14:textId="4A640CBC">
            <w:pPr>
              <w:pStyle w:val="EQRTableText"/>
            </w:pPr>
            <w:r w:rsidRPr="00990D3B">
              <w:t>Overall validation assessment: In the comments section, note any recommendations for improving the work plan</w:t>
            </w:r>
            <w:r w:rsidRPr="00990D3B" w:rsidR="00324865">
              <w:t>.</w:t>
            </w:r>
          </w:p>
        </w:tc>
        <w:tc>
          <w:tcPr>
            <w:tcW w:w="608" w:type="dxa"/>
            <w:shd w:val="clear" w:color="auto" w:fill="BFBFBF" w:themeFill="background1" w:themeFillShade="BF"/>
          </w:tcPr>
          <w:p w:rsidR="002D5FD7" w:rsidRPr="00990D3B" w:rsidP="0069548F" w14:paraId="228DF300" w14:textId="77777777">
            <w:pPr>
              <w:pStyle w:val="EQRTableText"/>
              <w:jc w:val="center"/>
            </w:pPr>
            <w:r w:rsidRPr="00990D3B">
              <w:t> </w:t>
            </w:r>
          </w:p>
        </w:tc>
        <w:tc>
          <w:tcPr>
            <w:tcW w:w="608" w:type="dxa"/>
            <w:shd w:val="clear" w:color="auto" w:fill="BFBFBF" w:themeFill="background1" w:themeFillShade="BF"/>
          </w:tcPr>
          <w:p w:rsidR="002D5FD7" w:rsidRPr="00990D3B" w:rsidP="0069548F" w14:paraId="3AB01D65" w14:textId="77777777">
            <w:pPr>
              <w:pStyle w:val="EQRTableText"/>
              <w:jc w:val="center"/>
            </w:pPr>
            <w:r w:rsidRPr="00990D3B">
              <w:t> </w:t>
            </w:r>
          </w:p>
        </w:tc>
        <w:tc>
          <w:tcPr>
            <w:tcW w:w="617" w:type="dxa"/>
            <w:shd w:val="clear" w:color="auto" w:fill="BFBFBF" w:themeFill="background1" w:themeFillShade="BF"/>
          </w:tcPr>
          <w:p w:rsidR="002D5FD7" w:rsidRPr="00990D3B" w:rsidP="0069548F" w14:paraId="11646FBB" w14:textId="77777777">
            <w:pPr>
              <w:pStyle w:val="EQRTableText"/>
              <w:jc w:val="center"/>
            </w:pPr>
            <w:r w:rsidRPr="00990D3B">
              <w:t> </w:t>
            </w:r>
          </w:p>
        </w:tc>
        <w:tc>
          <w:tcPr>
            <w:tcW w:w="3145" w:type="dxa"/>
          </w:tcPr>
          <w:p w:rsidR="002D5FD7" w:rsidRPr="00990D3B" w:rsidP="0069548F" w14:paraId="551F09B6" w14:textId="77777777">
            <w:pPr>
              <w:pStyle w:val="EQRTableText"/>
            </w:pPr>
            <w:r w:rsidRPr="00990D3B">
              <w:t> </w:t>
            </w:r>
          </w:p>
        </w:tc>
      </w:tr>
    </w:tbl>
    <w:p w:rsidR="002D5FD7" w:rsidRPr="00990D3B" w:rsidP="0069548F" w14:paraId="714A3A59" w14:textId="77777777">
      <w:pPr>
        <w:spacing w:line="23" w:lineRule="atLeast"/>
        <w:rPr>
          <w:rFonts w:ascii="Arial" w:hAnsi="Arial" w:cs="Arial"/>
          <w:sz w:val="18"/>
          <w:szCs w:val="18"/>
        </w:rPr>
      </w:pPr>
      <w:r w:rsidRPr="00990D3B">
        <w:rPr>
          <w:rFonts w:ascii="Arial" w:hAnsi="Arial" w:cs="Arial"/>
          <w:sz w:val="18"/>
          <w:szCs w:val="18"/>
        </w:rPr>
        <w:br w:type="page"/>
      </w:r>
    </w:p>
    <w:p w:rsidR="002D5FD7" w:rsidRPr="00990D3B" w:rsidP="00A54412" w14:paraId="47AD6623" w14:textId="77777777">
      <w:pPr>
        <w:pStyle w:val="EQRMarkforExhibitWORKSHEET"/>
      </w:pPr>
      <w:bookmarkStart w:id="755" w:name="WSp6n03"/>
      <w:bookmarkStart w:id="756" w:name="_Toc125619180"/>
      <w:bookmarkStart w:id="757" w:name="_Toc201751543"/>
      <w:r w:rsidRPr="00990D3B">
        <w:t>Worksheet 6.3</w:t>
      </w:r>
      <w:bookmarkEnd w:id="755"/>
      <w:r w:rsidRPr="00990D3B">
        <w:t>. Survey Instrument</w:t>
      </w:r>
      <w:bookmarkEnd w:id="756"/>
      <w:bookmarkEnd w:id="757"/>
    </w:p>
    <w:p w:rsidR="00D33E3C" w:rsidRPr="00990D3B" w:rsidP="00D33E3C" w14:paraId="1AFF0CFA" w14:textId="77777777">
      <w:pPr>
        <w:pStyle w:val="EQRNormalSSWORKSHEET"/>
      </w:pPr>
      <w:r w:rsidRPr="00990D3B">
        <w:rPr>
          <w:b/>
          <w:bCs/>
        </w:rPr>
        <w:t xml:space="preserve">Instructions. </w:t>
      </w:r>
      <w:r w:rsidRPr="00990D3B" w:rsidR="002D5FD7">
        <w:t xml:space="preserve">Assess the selection of the survey instrument by answering the following questions. Insert comments to explain “No” and “Not </w:t>
      </w:r>
      <w:r w:rsidRPr="00990D3B" w:rsidR="00507D5D">
        <w:t>A</w:t>
      </w:r>
      <w:r w:rsidRPr="00990D3B" w:rsidR="002D5FD7">
        <w:t>pplicable</w:t>
      </w:r>
      <w:r w:rsidRPr="00990D3B" w:rsidR="00C346C2">
        <w:t>”</w:t>
      </w:r>
      <w:r w:rsidRPr="00990D3B" w:rsidR="002D5FD7">
        <w:t xml:space="preserve"> responses. Complete a separate worksheet for each survey instrument.</w:t>
      </w:r>
    </w:p>
    <w:p w:rsidR="008430E8" w:rsidRPr="00990D3B" w:rsidP="00D33E3C" w14:paraId="732D1A58" w14:textId="784F7316">
      <w:pPr>
        <w:pStyle w:val="EQRNormalSSWORKSHEET"/>
        <w:rPr>
          <w:rFonts w:cs="Arial"/>
        </w:rPr>
      </w:pPr>
      <w:r w:rsidRPr="00990D3B">
        <w:rPr>
          <w:rFonts w:cs="Arial"/>
        </w:rPr>
        <w:t>Acronyms: CHIP= Children’s Health Insurance Program; NA = Not Applicable.</w:t>
      </w:r>
    </w:p>
    <w:p w:rsidR="00324865" w:rsidRPr="00990D3B" w:rsidP="00324865" w14:paraId="03F0D0C6" w14:textId="77777777">
      <w:pPr>
        <w:pStyle w:val="EQRNormalSSWORKSHEET"/>
      </w:pPr>
      <w:r w:rsidRPr="00990D3B">
        <w:rPr>
          <w:b/>
        </w:rPr>
        <w:t>Name of survey instrument</w:t>
      </w:r>
      <w:r w:rsidRPr="00990D3B">
        <w:t>______________________________________________________________________</w:t>
      </w:r>
    </w:p>
    <w:tbl>
      <w:tblPr>
        <w:tblStyle w:val="TableGrid"/>
        <w:tblW w:w="5000" w:type="pct"/>
        <w:tblLook w:val="04A0"/>
      </w:tblPr>
      <w:tblGrid>
        <w:gridCol w:w="4279"/>
        <w:gridCol w:w="602"/>
        <w:gridCol w:w="600"/>
        <w:gridCol w:w="634"/>
        <w:gridCol w:w="3235"/>
      </w:tblGrid>
      <w:tr w14:paraId="00610E0E" w14:textId="77777777" w:rsidTr="00252C67">
        <w:tblPrEx>
          <w:tblW w:w="5000" w:type="pct"/>
          <w:tblLook w:val="04A0"/>
        </w:tblPrEx>
        <w:trPr>
          <w:tblHeader/>
        </w:trPr>
        <w:tc>
          <w:tcPr>
            <w:tcW w:w="4279" w:type="dxa"/>
            <w:vAlign w:val="bottom"/>
          </w:tcPr>
          <w:p w:rsidR="002D5FD7" w:rsidRPr="00990D3B" w:rsidP="0069548F" w14:paraId="4FE2B1AD" w14:textId="77777777">
            <w:pPr>
              <w:pStyle w:val="EQRTableHeaderLeft"/>
              <w:rPr>
                <w:color w:val="auto"/>
              </w:rPr>
            </w:pPr>
            <w:r w:rsidRPr="00990D3B">
              <w:rPr>
                <w:color w:val="auto"/>
              </w:rPr>
              <w:t>Question</w:t>
            </w:r>
          </w:p>
        </w:tc>
        <w:tc>
          <w:tcPr>
            <w:tcW w:w="602" w:type="dxa"/>
            <w:vAlign w:val="bottom"/>
          </w:tcPr>
          <w:p w:rsidR="002D5FD7" w:rsidRPr="00990D3B" w:rsidP="0069548F" w14:paraId="46C729F1" w14:textId="77777777">
            <w:pPr>
              <w:pStyle w:val="EQRTableHeaderCenter"/>
              <w:rPr>
                <w:color w:val="auto"/>
              </w:rPr>
            </w:pPr>
            <w:r w:rsidRPr="00990D3B">
              <w:rPr>
                <w:color w:val="auto"/>
              </w:rPr>
              <w:t>Yes</w:t>
            </w:r>
          </w:p>
        </w:tc>
        <w:tc>
          <w:tcPr>
            <w:tcW w:w="600" w:type="dxa"/>
            <w:vAlign w:val="bottom"/>
          </w:tcPr>
          <w:p w:rsidR="002D5FD7" w:rsidRPr="00990D3B" w:rsidP="0069548F" w14:paraId="61A0D233" w14:textId="77777777">
            <w:pPr>
              <w:pStyle w:val="EQRTableHeaderCenter"/>
              <w:rPr>
                <w:color w:val="auto"/>
              </w:rPr>
            </w:pPr>
            <w:r w:rsidRPr="00990D3B">
              <w:rPr>
                <w:color w:val="auto"/>
              </w:rPr>
              <w:t>No</w:t>
            </w:r>
          </w:p>
        </w:tc>
        <w:tc>
          <w:tcPr>
            <w:tcW w:w="634" w:type="dxa"/>
            <w:vAlign w:val="bottom"/>
          </w:tcPr>
          <w:p w:rsidR="002D5FD7" w:rsidRPr="00990D3B" w:rsidP="0069548F" w14:paraId="71ACCB96" w14:textId="7B71EB65">
            <w:pPr>
              <w:pStyle w:val="EQRTableHeaderCenter"/>
              <w:rPr>
                <w:color w:val="auto"/>
              </w:rPr>
            </w:pPr>
            <w:r w:rsidRPr="00990D3B">
              <w:rPr>
                <w:color w:val="auto"/>
              </w:rPr>
              <w:t>NA</w:t>
            </w:r>
          </w:p>
        </w:tc>
        <w:tc>
          <w:tcPr>
            <w:tcW w:w="3235" w:type="dxa"/>
            <w:vAlign w:val="bottom"/>
          </w:tcPr>
          <w:p w:rsidR="002D5FD7" w:rsidRPr="00990D3B" w:rsidP="0069548F" w14:paraId="0D0B2A43" w14:textId="77777777">
            <w:pPr>
              <w:pStyle w:val="EQRTableHeaderCenter"/>
              <w:rPr>
                <w:color w:val="auto"/>
              </w:rPr>
            </w:pPr>
            <w:r w:rsidRPr="00990D3B">
              <w:rPr>
                <w:color w:val="auto"/>
              </w:rPr>
              <w:t>Comments</w:t>
            </w:r>
          </w:p>
        </w:tc>
      </w:tr>
      <w:tr w14:paraId="4B5D97EF" w14:textId="77777777" w:rsidTr="00252C67">
        <w:tblPrEx>
          <w:tblW w:w="5000" w:type="pct"/>
          <w:tblLook w:val="04A0"/>
        </w:tblPrEx>
        <w:tc>
          <w:tcPr>
            <w:tcW w:w="4279" w:type="dxa"/>
          </w:tcPr>
          <w:p w:rsidR="002D5FD7" w:rsidRPr="00990D3B" w:rsidP="0069548F" w14:paraId="2664EE07" w14:textId="77777777">
            <w:pPr>
              <w:pStyle w:val="EQRTableText"/>
            </w:pPr>
            <w:r w:rsidRPr="00990D3B">
              <w:t>Was the selected survey instrument appropriate for the purpose of the survey and the unit of analysis?</w:t>
            </w:r>
          </w:p>
        </w:tc>
        <w:tc>
          <w:tcPr>
            <w:tcW w:w="602" w:type="dxa"/>
          </w:tcPr>
          <w:p w:rsidR="002D5FD7" w:rsidRPr="00990D3B" w:rsidP="0069548F" w14:paraId="090C4C34" w14:textId="77777777">
            <w:pPr>
              <w:pStyle w:val="EQRTableText"/>
              <w:jc w:val="center"/>
            </w:pPr>
            <w:r w:rsidRPr="00990D3B">
              <w:t> </w:t>
            </w:r>
          </w:p>
        </w:tc>
        <w:tc>
          <w:tcPr>
            <w:tcW w:w="600" w:type="dxa"/>
          </w:tcPr>
          <w:p w:rsidR="002D5FD7" w:rsidRPr="00990D3B" w:rsidP="0069548F" w14:paraId="37D41798" w14:textId="77777777">
            <w:pPr>
              <w:pStyle w:val="EQRTableText"/>
              <w:jc w:val="center"/>
            </w:pPr>
            <w:r w:rsidRPr="00990D3B">
              <w:t> </w:t>
            </w:r>
          </w:p>
        </w:tc>
        <w:tc>
          <w:tcPr>
            <w:tcW w:w="634" w:type="dxa"/>
          </w:tcPr>
          <w:p w:rsidR="002D5FD7" w:rsidRPr="00990D3B" w:rsidP="0069548F" w14:paraId="5E99FE9B" w14:textId="77777777">
            <w:pPr>
              <w:pStyle w:val="EQRTableText"/>
              <w:jc w:val="center"/>
            </w:pPr>
            <w:r w:rsidRPr="00990D3B">
              <w:t> </w:t>
            </w:r>
          </w:p>
        </w:tc>
        <w:tc>
          <w:tcPr>
            <w:tcW w:w="3235" w:type="dxa"/>
          </w:tcPr>
          <w:p w:rsidR="002D5FD7" w:rsidRPr="00990D3B" w:rsidP="0069548F" w14:paraId="54C958B9" w14:textId="77777777">
            <w:pPr>
              <w:pStyle w:val="EQRTableText"/>
            </w:pPr>
            <w:r w:rsidRPr="00990D3B">
              <w:t> </w:t>
            </w:r>
          </w:p>
        </w:tc>
      </w:tr>
      <w:tr w14:paraId="081C76FD" w14:textId="77777777" w:rsidTr="00252C67">
        <w:tblPrEx>
          <w:tblW w:w="5000" w:type="pct"/>
          <w:tblLook w:val="04A0"/>
        </w:tblPrEx>
        <w:tc>
          <w:tcPr>
            <w:tcW w:w="4279" w:type="dxa"/>
          </w:tcPr>
          <w:p w:rsidR="002D5FD7" w:rsidRPr="00990D3B" w:rsidP="0069548F" w14:paraId="609A86C9" w14:textId="77777777">
            <w:pPr>
              <w:pStyle w:val="EQRTableText"/>
            </w:pPr>
            <w:r w:rsidRPr="00990D3B">
              <w:t>Were new items developed for the survey?</w:t>
            </w:r>
          </w:p>
        </w:tc>
        <w:tc>
          <w:tcPr>
            <w:tcW w:w="602" w:type="dxa"/>
          </w:tcPr>
          <w:p w:rsidR="002D5FD7" w:rsidRPr="00990D3B" w:rsidP="0069548F" w14:paraId="2331BA7E" w14:textId="77777777">
            <w:pPr>
              <w:pStyle w:val="EQRTableText"/>
              <w:jc w:val="center"/>
            </w:pPr>
            <w:r w:rsidRPr="00990D3B">
              <w:t> </w:t>
            </w:r>
          </w:p>
        </w:tc>
        <w:tc>
          <w:tcPr>
            <w:tcW w:w="600" w:type="dxa"/>
          </w:tcPr>
          <w:p w:rsidR="002D5FD7" w:rsidRPr="00990D3B" w:rsidP="0069548F" w14:paraId="45CC35B6" w14:textId="77777777">
            <w:pPr>
              <w:pStyle w:val="EQRTableText"/>
              <w:jc w:val="center"/>
            </w:pPr>
            <w:r w:rsidRPr="00990D3B">
              <w:t> </w:t>
            </w:r>
          </w:p>
        </w:tc>
        <w:tc>
          <w:tcPr>
            <w:tcW w:w="634" w:type="dxa"/>
          </w:tcPr>
          <w:p w:rsidR="002D5FD7" w:rsidRPr="00990D3B" w:rsidP="0069548F" w14:paraId="46355AF6" w14:textId="77777777">
            <w:pPr>
              <w:pStyle w:val="EQRTableText"/>
              <w:jc w:val="center"/>
            </w:pPr>
            <w:r w:rsidRPr="00990D3B">
              <w:t> </w:t>
            </w:r>
          </w:p>
        </w:tc>
        <w:tc>
          <w:tcPr>
            <w:tcW w:w="3235" w:type="dxa"/>
          </w:tcPr>
          <w:p w:rsidR="002D5FD7" w:rsidRPr="00990D3B" w:rsidP="0069548F" w14:paraId="07EF7307" w14:textId="77777777">
            <w:pPr>
              <w:pStyle w:val="EQRTableText"/>
            </w:pPr>
            <w:r w:rsidRPr="00990D3B">
              <w:t> </w:t>
            </w:r>
          </w:p>
        </w:tc>
      </w:tr>
      <w:tr w14:paraId="3F1D7A76" w14:textId="77777777" w:rsidTr="00252C67">
        <w:tblPrEx>
          <w:tblW w:w="5000" w:type="pct"/>
          <w:tblLook w:val="04A0"/>
        </w:tblPrEx>
        <w:tc>
          <w:tcPr>
            <w:tcW w:w="4279" w:type="dxa"/>
          </w:tcPr>
          <w:p w:rsidR="002D5FD7" w:rsidRPr="00990D3B" w:rsidP="0069548F" w14:paraId="470D782A" w14:textId="77777777">
            <w:pPr>
              <w:pStyle w:val="EQRTableText"/>
            </w:pPr>
            <w:r w:rsidRPr="00990D3B">
              <w:t>If new items were developed, was a test of validity and reliability conducted for the new items?</w:t>
            </w:r>
          </w:p>
        </w:tc>
        <w:tc>
          <w:tcPr>
            <w:tcW w:w="602" w:type="dxa"/>
          </w:tcPr>
          <w:p w:rsidR="002D5FD7" w:rsidRPr="00990D3B" w:rsidP="0069548F" w14:paraId="6AC7BC32" w14:textId="77777777">
            <w:pPr>
              <w:pStyle w:val="EQRTableText"/>
              <w:jc w:val="center"/>
            </w:pPr>
            <w:r w:rsidRPr="00990D3B">
              <w:t> </w:t>
            </w:r>
          </w:p>
        </w:tc>
        <w:tc>
          <w:tcPr>
            <w:tcW w:w="600" w:type="dxa"/>
          </w:tcPr>
          <w:p w:rsidR="002D5FD7" w:rsidRPr="00990D3B" w:rsidP="0069548F" w14:paraId="0B8BBB4F" w14:textId="77777777">
            <w:pPr>
              <w:pStyle w:val="EQRTableText"/>
              <w:jc w:val="center"/>
            </w:pPr>
            <w:r w:rsidRPr="00990D3B">
              <w:t> </w:t>
            </w:r>
          </w:p>
        </w:tc>
        <w:tc>
          <w:tcPr>
            <w:tcW w:w="634" w:type="dxa"/>
          </w:tcPr>
          <w:p w:rsidR="002D5FD7" w:rsidRPr="00990D3B" w:rsidP="0069548F" w14:paraId="0A9D83F8" w14:textId="77777777">
            <w:pPr>
              <w:pStyle w:val="EQRTableText"/>
              <w:jc w:val="center"/>
            </w:pPr>
            <w:r w:rsidRPr="00990D3B">
              <w:t> </w:t>
            </w:r>
          </w:p>
        </w:tc>
        <w:tc>
          <w:tcPr>
            <w:tcW w:w="3235" w:type="dxa"/>
          </w:tcPr>
          <w:p w:rsidR="002D5FD7" w:rsidRPr="00990D3B" w:rsidP="0069548F" w14:paraId="57DC7265" w14:textId="77777777">
            <w:pPr>
              <w:pStyle w:val="EQRTableText"/>
            </w:pPr>
            <w:r w:rsidRPr="00990D3B">
              <w:t> </w:t>
            </w:r>
          </w:p>
        </w:tc>
      </w:tr>
      <w:tr w14:paraId="4138349D" w14:textId="77777777" w:rsidTr="00252C67">
        <w:tblPrEx>
          <w:tblW w:w="5000" w:type="pct"/>
          <w:tblLook w:val="04A0"/>
        </w:tblPrEx>
        <w:tc>
          <w:tcPr>
            <w:tcW w:w="4279" w:type="dxa"/>
          </w:tcPr>
          <w:p w:rsidR="002D5FD7" w:rsidRPr="00990D3B" w:rsidP="0069548F" w14:paraId="68EFDEAD" w14:textId="77777777">
            <w:pPr>
              <w:pStyle w:val="EQRTableText"/>
            </w:pPr>
            <w:r w:rsidRPr="00990D3B">
              <w:t xml:space="preserve">Was the overall survey instrument tested for face validity and content </w:t>
            </w:r>
            <w:r w:rsidRPr="00990D3B">
              <w:t>validity</w:t>
            </w:r>
            <w:r w:rsidRPr="00990D3B">
              <w:t xml:space="preserve"> and found to be valid?</w:t>
            </w:r>
          </w:p>
        </w:tc>
        <w:tc>
          <w:tcPr>
            <w:tcW w:w="602" w:type="dxa"/>
          </w:tcPr>
          <w:p w:rsidR="002D5FD7" w:rsidRPr="00990D3B" w:rsidP="0069548F" w14:paraId="553E7C92" w14:textId="77777777">
            <w:pPr>
              <w:pStyle w:val="EQRTableText"/>
              <w:jc w:val="center"/>
            </w:pPr>
            <w:r w:rsidRPr="00990D3B">
              <w:t> </w:t>
            </w:r>
          </w:p>
        </w:tc>
        <w:tc>
          <w:tcPr>
            <w:tcW w:w="600" w:type="dxa"/>
          </w:tcPr>
          <w:p w:rsidR="002D5FD7" w:rsidRPr="00990D3B" w:rsidP="0069548F" w14:paraId="593DD231" w14:textId="77777777">
            <w:pPr>
              <w:pStyle w:val="EQRTableText"/>
              <w:jc w:val="center"/>
            </w:pPr>
            <w:r w:rsidRPr="00990D3B">
              <w:t> </w:t>
            </w:r>
          </w:p>
        </w:tc>
        <w:tc>
          <w:tcPr>
            <w:tcW w:w="634" w:type="dxa"/>
          </w:tcPr>
          <w:p w:rsidR="002D5FD7" w:rsidRPr="00990D3B" w:rsidP="0069548F" w14:paraId="33B583E2" w14:textId="77777777">
            <w:pPr>
              <w:pStyle w:val="EQRTableText"/>
              <w:jc w:val="center"/>
            </w:pPr>
            <w:r w:rsidRPr="00990D3B">
              <w:t> </w:t>
            </w:r>
          </w:p>
        </w:tc>
        <w:tc>
          <w:tcPr>
            <w:tcW w:w="3235" w:type="dxa"/>
          </w:tcPr>
          <w:p w:rsidR="002D5FD7" w:rsidRPr="00990D3B" w:rsidP="0069548F" w14:paraId="55914606" w14:textId="77777777">
            <w:pPr>
              <w:pStyle w:val="EQRTableText"/>
            </w:pPr>
            <w:r w:rsidRPr="00990D3B">
              <w:t> </w:t>
            </w:r>
          </w:p>
        </w:tc>
      </w:tr>
      <w:tr w14:paraId="636EA479" w14:textId="77777777" w:rsidTr="00252C67">
        <w:tblPrEx>
          <w:tblW w:w="5000" w:type="pct"/>
          <w:tblLook w:val="04A0"/>
        </w:tblPrEx>
        <w:tc>
          <w:tcPr>
            <w:tcW w:w="4279" w:type="dxa"/>
          </w:tcPr>
          <w:p w:rsidR="002D5FD7" w:rsidRPr="00990D3B" w:rsidP="0069548F" w14:paraId="24473C1C" w14:textId="77777777">
            <w:pPr>
              <w:pStyle w:val="EQRTableText"/>
            </w:pPr>
            <w:r w:rsidRPr="00990D3B">
              <w:t xml:space="preserve">Was the overall survey instrument tested for reliability and found to be reliable? </w:t>
            </w:r>
          </w:p>
        </w:tc>
        <w:tc>
          <w:tcPr>
            <w:tcW w:w="602" w:type="dxa"/>
          </w:tcPr>
          <w:p w:rsidR="002D5FD7" w:rsidRPr="00990D3B" w:rsidP="0069548F" w14:paraId="5BD9C62D" w14:textId="77777777">
            <w:pPr>
              <w:pStyle w:val="EQRTableText"/>
              <w:jc w:val="center"/>
            </w:pPr>
            <w:r w:rsidRPr="00990D3B">
              <w:t> </w:t>
            </w:r>
          </w:p>
        </w:tc>
        <w:tc>
          <w:tcPr>
            <w:tcW w:w="600" w:type="dxa"/>
          </w:tcPr>
          <w:p w:rsidR="002D5FD7" w:rsidRPr="00990D3B" w:rsidP="0069548F" w14:paraId="4C949B8A" w14:textId="77777777">
            <w:pPr>
              <w:pStyle w:val="EQRTableText"/>
              <w:jc w:val="center"/>
            </w:pPr>
            <w:r w:rsidRPr="00990D3B">
              <w:t> </w:t>
            </w:r>
          </w:p>
        </w:tc>
        <w:tc>
          <w:tcPr>
            <w:tcW w:w="634" w:type="dxa"/>
          </w:tcPr>
          <w:p w:rsidR="002D5FD7" w:rsidRPr="00990D3B" w:rsidP="0069548F" w14:paraId="7C1FEC40" w14:textId="77777777">
            <w:pPr>
              <w:pStyle w:val="EQRTableText"/>
              <w:jc w:val="center"/>
            </w:pPr>
            <w:r w:rsidRPr="00990D3B">
              <w:t> </w:t>
            </w:r>
          </w:p>
        </w:tc>
        <w:tc>
          <w:tcPr>
            <w:tcW w:w="3235" w:type="dxa"/>
          </w:tcPr>
          <w:p w:rsidR="002D5FD7" w:rsidRPr="00990D3B" w:rsidP="0069548F" w14:paraId="6FB73B66" w14:textId="77777777">
            <w:pPr>
              <w:pStyle w:val="EQRTableText"/>
            </w:pPr>
            <w:r w:rsidRPr="00990D3B">
              <w:t> </w:t>
            </w:r>
          </w:p>
        </w:tc>
      </w:tr>
      <w:tr w14:paraId="04A2C0D3" w14:textId="77777777" w:rsidTr="00252C67">
        <w:tblPrEx>
          <w:tblW w:w="5000" w:type="pct"/>
          <w:tblLook w:val="04A0"/>
        </w:tblPrEx>
        <w:tc>
          <w:tcPr>
            <w:tcW w:w="4279" w:type="dxa"/>
          </w:tcPr>
          <w:p w:rsidR="002D5FD7" w:rsidRPr="00990D3B" w:rsidP="0069548F" w14:paraId="26A8AFDE" w14:textId="77777777">
            <w:pPr>
              <w:pStyle w:val="EQRTableText"/>
            </w:pPr>
            <w:r w:rsidRPr="00990D3B">
              <w:t xml:space="preserve">Was testing performed for the specific target population (e.g., Medicaid or CHIP) and languages? </w:t>
            </w:r>
          </w:p>
        </w:tc>
        <w:tc>
          <w:tcPr>
            <w:tcW w:w="602" w:type="dxa"/>
          </w:tcPr>
          <w:p w:rsidR="002D5FD7" w:rsidRPr="00990D3B" w:rsidP="0069548F" w14:paraId="306F9F6E" w14:textId="77777777">
            <w:pPr>
              <w:pStyle w:val="EQRTableText"/>
              <w:jc w:val="center"/>
            </w:pPr>
            <w:r w:rsidRPr="00990D3B">
              <w:t> </w:t>
            </w:r>
          </w:p>
        </w:tc>
        <w:tc>
          <w:tcPr>
            <w:tcW w:w="600" w:type="dxa"/>
          </w:tcPr>
          <w:p w:rsidR="002D5FD7" w:rsidRPr="00990D3B" w:rsidP="0069548F" w14:paraId="45441940" w14:textId="77777777">
            <w:pPr>
              <w:pStyle w:val="EQRTableText"/>
              <w:jc w:val="center"/>
            </w:pPr>
            <w:r w:rsidRPr="00990D3B">
              <w:t> </w:t>
            </w:r>
          </w:p>
        </w:tc>
        <w:tc>
          <w:tcPr>
            <w:tcW w:w="634" w:type="dxa"/>
          </w:tcPr>
          <w:p w:rsidR="002D5FD7" w:rsidRPr="00990D3B" w:rsidP="0069548F" w14:paraId="6089815E" w14:textId="77777777">
            <w:pPr>
              <w:pStyle w:val="EQRTableText"/>
              <w:jc w:val="center"/>
            </w:pPr>
            <w:r w:rsidRPr="00990D3B">
              <w:t> </w:t>
            </w:r>
          </w:p>
        </w:tc>
        <w:tc>
          <w:tcPr>
            <w:tcW w:w="3235" w:type="dxa"/>
          </w:tcPr>
          <w:p w:rsidR="002D5FD7" w:rsidRPr="00990D3B" w:rsidP="0069548F" w14:paraId="1634DA2D" w14:textId="77777777">
            <w:pPr>
              <w:pStyle w:val="EQRTableText"/>
            </w:pPr>
            <w:r w:rsidRPr="00990D3B">
              <w:t> </w:t>
            </w:r>
          </w:p>
        </w:tc>
      </w:tr>
      <w:tr w14:paraId="15CDF3A1" w14:textId="77777777" w:rsidTr="00252C67">
        <w:tblPrEx>
          <w:tblW w:w="5000" w:type="pct"/>
          <w:tblLook w:val="04A0"/>
        </w:tblPrEx>
        <w:tc>
          <w:tcPr>
            <w:tcW w:w="4279" w:type="dxa"/>
          </w:tcPr>
          <w:p w:rsidR="002D5FD7" w:rsidRPr="00990D3B" w:rsidP="0069548F" w14:paraId="72CC1546" w14:textId="77777777">
            <w:pPr>
              <w:pStyle w:val="EQRTableText"/>
            </w:pPr>
            <w:r w:rsidRPr="00990D3B">
              <w:t>Overall validation assessment: In the comments section, note any recommendations for improving the selection of the survey instrument</w:t>
            </w:r>
          </w:p>
        </w:tc>
        <w:tc>
          <w:tcPr>
            <w:tcW w:w="602" w:type="dxa"/>
            <w:shd w:val="clear" w:color="auto" w:fill="BFBFBF" w:themeFill="background1" w:themeFillShade="BF"/>
          </w:tcPr>
          <w:p w:rsidR="002D5FD7" w:rsidRPr="00990D3B" w:rsidP="0069548F" w14:paraId="1A59083B" w14:textId="77777777">
            <w:pPr>
              <w:pStyle w:val="EQRTableText"/>
              <w:jc w:val="center"/>
            </w:pPr>
            <w:r w:rsidRPr="00990D3B">
              <w:t> </w:t>
            </w:r>
          </w:p>
        </w:tc>
        <w:tc>
          <w:tcPr>
            <w:tcW w:w="600" w:type="dxa"/>
            <w:shd w:val="clear" w:color="auto" w:fill="BFBFBF" w:themeFill="background1" w:themeFillShade="BF"/>
          </w:tcPr>
          <w:p w:rsidR="002D5FD7" w:rsidRPr="00990D3B" w:rsidP="0069548F" w14:paraId="649D8531" w14:textId="77777777">
            <w:pPr>
              <w:pStyle w:val="EQRTableText"/>
              <w:jc w:val="center"/>
            </w:pPr>
            <w:r w:rsidRPr="00990D3B">
              <w:t> </w:t>
            </w:r>
          </w:p>
        </w:tc>
        <w:tc>
          <w:tcPr>
            <w:tcW w:w="634" w:type="dxa"/>
            <w:shd w:val="clear" w:color="auto" w:fill="BFBFBF" w:themeFill="background1" w:themeFillShade="BF"/>
          </w:tcPr>
          <w:p w:rsidR="002D5FD7" w:rsidRPr="00990D3B" w:rsidP="0069548F" w14:paraId="0A0B86C4" w14:textId="77777777">
            <w:pPr>
              <w:pStyle w:val="EQRTableText"/>
              <w:jc w:val="center"/>
            </w:pPr>
            <w:r w:rsidRPr="00990D3B">
              <w:t> </w:t>
            </w:r>
          </w:p>
        </w:tc>
        <w:tc>
          <w:tcPr>
            <w:tcW w:w="3235" w:type="dxa"/>
          </w:tcPr>
          <w:p w:rsidR="002D5FD7" w:rsidRPr="00990D3B" w:rsidP="0069548F" w14:paraId="773DB822" w14:textId="77777777">
            <w:pPr>
              <w:pStyle w:val="EQRTableText"/>
            </w:pPr>
            <w:r w:rsidRPr="00990D3B">
              <w:t> </w:t>
            </w:r>
          </w:p>
        </w:tc>
      </w:tr>
    </w:tbl>
    <w:p w:rsidR="002D5FD7" w:rsidRPr="00990D3B" w:rsidP="00CF6947" w14:paraId="190823F5" w14:textId="77777777">
      <w:pPr>
        <w:pStyle w:val="EQRNormalSSWORKSHEET"/>
      </w:pPr>
    </w:p>
    <w:p w:rsidR="002D5FD7" w:rsidRPr="00990D3B" w:rsidP="00CF6947" w14:paraId="685837E2" w14:textId="77777777">
      <w:pPr>
        <w:pStyle w:val="EQRNormalSSWORKSHEET"/>
      </w:pPr>
      <w:r w:rsidRPr="00990D3B">
        <w:br w:type="page"/>
      </w:r>
    </w:p>
    <w:p w:rsidR="002D5FD7" w:rsidRPr="00990D3B" w:rsidP="00A54412" w14:paraId="1B64B6B1" w14:textId="7B838CB8">
      <w:pPr>
        <w:pStyle w:val="EQRMarkforExhibitWORKSHEET"/>
      </w:pPr>
      <w:bookmarkStart w:id="758" w:name="WSp6n04"/>
      <w:bookmarkStart w:id="759" w:name="_Toc125619181"/>
      <w:bookmarkStart w:id="760" w:name="_Toc201751544"/>
      <w:r w:rsidRPr="00990D3B">
        <w:t>Worksheet 6.4</w:t>
      </w:r>
      <w:bookmarkEnd w:id="758"/>
      <w:r w:rsidRPr="00990D3B">
        <w:t xml:space="preserve">. </w:t>
      </w:r>
      <w:r w:rsidRPr="00990D3B" w:rsidR="00333704">
        <w:t xml:space="preserve">Survey </w:t>
      </w:r>
      <w:r w:rsidRPr="00990D3B">
        <w:t>Sampling Plan</w:t>
      </w:r>
      <w:bookmarkEnd w:id="759"/>
      <w:bookmarkEnd w:id="760"/>
    </w:p>
    <w:p w:rsidR="002D5FD7" w:rsidRPr="00990D3B" w:rsidP="00CF6947" w14:paraId="01C152C3" w14:textId="13B4DFF5">
      <w:pPr>
        <w:pStyle w:val="EQRNormalSSWORKSHEET"/>
      </w:pPr>
      <w:r w:rsidRPr="00990D3B">
        <w:rPr>
          <w:b/>
          <w:bCs/>
        </w:rPr>
        <w:t xml:space="preserve">Instructions. </w:t>
      </w:r>
      <w:r w:rsidRPr="00990D3B">
        <w:t xml:space="preserve">Assess the sampling plan by answering the following questions. Insert comments to explain “No” and “Not </w:t>
      </w:r>
      <w:r w:rsidRPr="00990D3B" w:rsidR="00507D5D">
        <w:t>A</w:t>
      </w:r>
      <w:r w:rsidRPr="00990D3B">
        <w:t>pplicable” responses.</w:t>
      </w:r>
    </w:p>
    <w:p w:rsidR="00252C67" w:rsidRPr="00990D3B" w:rsidP="00252C67" w14:paraId="0315CDC0" w14:textId="2E5C57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Arial" w:hAnsi="Arial" w:cs="Arial"/>
          <w:sz w:val="18"/>
          <w:szCs w:val="18"/>
        </w:rPr>
      </w:pPr>
      <w:r w:rsidRPr="00990D3B">
        <w:rPr>
          <w:rFonts w:ascii="Arial" w:hAnsi="Arial" w:cs="Arial"/>
          <w:sz w:val="18"/>
          <w:szCs w:val="18"/>
        </w:rPr>
        <w:t>Acronyms: NA = Not Applicable.</w:t>
      </w:r>
    </w:p>
    <w:tbl>
      <w:tblPr>
        <w:tblStyle w:val="TableGrid"/>
        <w:tblW w:w="5000" w:type="pct"/>
        <w:tblLook w:val="04A0"/>
      </w:tblPr>
      <w:tblGrid>
        <w:gridCol w:w="4637"/>
        <w:gridCol w:w="594"/>
        <w:gridCol w:w="558"/>
        <w:gridCol w:w="596"/>
        <w:gridCol w:w="2965"/>
      </w:tblGrid>
      <w:tr w14:paraId="4D11E8AC" w14:textId="77777777" w:rsidTr="00324865">
        <w:tblPrEx>
          <w:tblW w:w="5000" w:type="pct"/>
          <w:tblLook w:val="04A0"/>
        </w:tblPrEx>
        <w:trPr>
          <w:tblHeader/>
        </w:trPr>
        <w:tc>
          <w:tcPr>
            <w:tcW w:w="4637" w:type="dxa"/>
            <w:vAlign w:val="bottom"/>
          </w:tcPr>
          <w:p w:rsidR="002D5FD7" w:rsidRPr="00990D3B" w:rsidP="00CF6947" w14:paraId="7090A7A1" w14:textId="77777777">
            <w:pPr>
              <w:pStyle w:val="EQRTableHeaderLeft"/>
              <w:rPr>
                <w:color w:val="auto"/>
              </w:rPr>
            </w:pPr>
            <w:r w:rsidRPr="00990D3B">
              <w:rPr>
                <w:color w:val="auto"/>
              </w:rPr>
              <w:t>Question</w:t>
            </w:r>
          </w:p>
        </w:tc>
        <w:tc>
          <w:tcPr>
            <w:tcW w:w="594" w:type="dxa"/>
            <w:vAlign w:val="bottom"/>
          </w:tcPr>
          <w:p w:rsidR="002D5FD7" w:rsidRPr="00990D3B" w:rsidP="00CF6947" w14:paraId="787BAC72" w14:textId="77777777">
            <w:pPr>
              <w:pStyle w:val="EQRTableHeaderCenter"/>
              <w:rPr>
                <w:color w:val="auto"/>
              </w:rPr>
            </w:pPr>
            <w:r w:rsidRPr="00990D3B">
              <w:rPr>
                <w:color w:val="auto"/>
              </w:rPr>
              <w:t>Yes</w:t>
            </w:r>
          </w:p>
        </w:tc>
        <w:tc>
          <w:tcPr>
            <w:tcW w:w="558" w:type="dxa"/>
            <w:vAlign w:val="bottom"/>
          </w:tcPr>
          <w:p w:rsidR="002D5FD7" w:rsidRPr="00990D3B" w:rsidP="00CF6947" w14:paraId="3B9383FB" w14:textId="77777777">
            <w:pPr>
              <w:pStyle w:val="EQRTableHeaderCenter"/>
              <w:rPr>
                <w:color w:val="auto"/>
              </w:rPr>
            </w:pPr>
            <w:r w:rsidRPr="00990D3B">
              <w:rPr>
                <w:color w:val="auto"/>
              </w:rPr>
              <w:t>No</w:t>
            </w:r>
          </w:p>
        </w:tc>
        <w:tc>
          <w:tcPr>
            <w:tcW w:w="596" w:type="dxa"/>
            <w:vAlign w:val="bottom"/>
          </w:tcPr>
          <w:p w:rsidR="002D5FD7" w:rsidRPr="00990D3B" w:rsidP="00CF6947" w14:paraId="253B03AF" w14:textId="218A8B83">
            <w:pPr>
              <w:pStyle w:val="EQRTableHeaderCenter"/>
              <w:rPr>
                <w:color w:val="auto"/>
              </w:rPr>
            </w:pPr>
            <w:r w:rsidRPr="00990D3B">
              <w:rPr>
                <w:color w:val="auto"/>
              </w:rPr>
              <w:t>NA</w:t>
            </w:r>
          </w:p>
        </w:tc>
        <w:tc>
          <w:tcPr>
            <w:tcW w:w="2965" w:type="dxa"/>
            <w:vAlign w:val="bottom"/>
          </w:tcPr>
          <w:p w:rsidR="002D5FD7" w:rsidRPr="00990D3B" w:rsidP="00CF6947" w14:paraId="64091FB2" w14:textId="77777777">
            <w:pPr>
              <w:pStyle w:val="EQRTableHeaderCenter"/>
              <w:rPr>
                <w:color w:val="auto"/>
              </w:rPr>
            </w:pPr>
            <w:r w:rsidRPr="00990D3B">
              <w:rPr>
                <w:color w:val="auto"/>
              </w:rPr>
              <w:t>Comments</w:t>
            </w:r>
          </w:p>
        </w:tc>
      </w:tr>
      <w:tr w14:paraId="2405C61A" w14:textId="77777777" w:rsidTr="00324865">
        <w:tblPrEx>
          <w:tblW w:w="5000" w:type="pct"/>
          <w:tblLook w:val="04A0"/>
        </w:tblPrEx>
        <w:tc>
          <w:tcPr>
            <w:tcW w:w="4637" w:type="dxa"/>
          </w:tcPr>
          <w:p w:rsidR="002D5FD7" w:rsidRPr="00990D3B" w:rsidP="00CF6947" w14:paraId="4317F5BC" w14:textId="77777777">
            <w:pPr>
              <w:pStyle w:val="EQRTableText"/>
            </w:pPr>
            <w:r w:rsidRPr="00990D3B">
              <w:t>Was the study population clearly defined?</w:t>
            </w:r>
          </w:p>
        </w:tc>
        <w:tc>
          <w:tcPr>
            <w:tcW w:w="594" w:type="dxa"/>
          </w:tcPr>
          <w:p w:rsidR="002D5FD7" w:rsidRPr="00990D3B" w:rsidP="00CF6947" w14:paraId="093B12AE" w14:textId="77777777">
            <w:pPr>
              <w:pStyle w:val="EQRTableText"/>
              <w:jc w:val="center"/>
            </w:pPr>
            <w:r w:rsidRPr="00990D3B">
              <w:t> </w:t>
            </w:r>
          </w:p>
        </w:tc>
        <w:tc>
          <w:tcPr>
            <w:tcW w:w="558" w:type="dxa"/>
          </w:tcPr>
          <w:p w:rsidR="002D5FD7" w:rsidRPr="00990D3B" w:rsidP="00CF6947" w14:paraId="3A484779" w14:textId="77777777">
            <w:pPr>
              <w:pStyle w:val="EQRTableText"/>
              <w:jc w:val="center"/>
            </w:pPr>
            <w:r w:rsidRPr="00990D3B">
              <w:t> </w:t>
            </w:r>
          </w:p>
        </w:tc>
        <w:tc>
          <w:tcPr>
            <w:tcW w:w="596" w:type="dxa"/>
          </w:tcPr>
          <w:p w:rsidR="002D5FD7" w:rsidRPr="00990D3B" w:rsidP="00CF6947" w14:paraId="01EAB185" w14:textId="77777777">
            <w:pPr>
              <w:pStyle w:val="EQRTableText"/>
              <w:jc w:val="center"/>
            </w:pPr>
            <w:r w:rsidRPr="00990D3B">
              <w:t> </w:t>
            </w:r>
          </w:p>
        </w:tc>
        <w:tc>
          <w:tcPr>
            <w:tcW w:w="2965" w:type="dxa"/>
          </w:tcPr>
          <w:p w:rsidR="002D5FD7" w:rsidRPr="00990D3B" w:rsidP="00CF6947" w14:paraId="23A8F683" w14:textId="77777777">
            <w:pPr>
              <w:pStyle w:val="EQRTableText"/>
            </w:pPr>
            <w:r w:rsidRPr="00990D3B">
              <w:t> </w:t>
            </w:r>
          </w:p>
        </w:tc>
      </w:tr>
      <w:tr w14:paraId="56ED386A" w14:textId="77777777" w:rsidTr="00324865">
        <w:tblPrEx>
          <w:tblW w:w="5000" w:type="pct"/>
          <w:tblLook w:val="04A0"/>
        </w:tblPrEx>
        <w:tc>
          <w:tcPr>
            <w:tcW w:w="4637" w:type="dxa"/>
          </w:tcPr>
          <w:p w:rsidR="002D5FD7" w:rsidRPr="00990D3B" w:rsidP="00CF6947" w14:paraId="0C8D9B01" w14:textId="77777777">
            <w:pPr>
              <w:pStyle w:val="EQRTableText"/>
            </w:pPr>
            <w:r w:rsidRPr="00990D3B">
              <w:t>Was the sampling frame clearly defined and appropriate based on the survey objectives?</w:t>
            </w:r>
          </w:p>
        </w:tc>
        <w:tc>
          <w:tcPr>
            <w:tcW w:w="594" w:type="dxa"/>
          </w:tcPr>
          <w:p w:rsidR="002D5FD7" w:rsidRPr="00990D3B" w:rsidP="00CF6947" w14:paraId="2F803AC0" w14:textId="77777777">
            <w:pPr>
              <w:pStyle w:val="EQRTableText"/>
              <w:jc w:val="center"/>
            </w:pPr>
            <w:r w:rsidRPr="00990D3B">
              <w:t> </w:t>
            </w:r>
          </w:p>
        </w:tc>
        <w:tc>
          <w:tcPr>
            <w:tcW w:w="558" w:type="dxa"/>
          </w:tcPr>
          <w:p w:rsidR="002D5FD7" w:rsidRPr="00990D3B" w:rsidP="00CF6947" w14:paraId="655A92DE" w14:textId="77777777">
            <w:pPr>
              <w:pStyle w:val="EQRTableText"/>
              <w:jc w:val="center"/>
            </w:pPr>
            <w:r w:rsidRPr="00990D3B">
              <w:t> </w:t>
            </w:r>
          </w:p>
        </w:tc>
        <w:tc>
          <w:tcPr>
            <w:tcW w:w="596" w:type="dxa"/>
          </w:tcPr>
          <w:p w:rsidR="002D5FD7" w:rsidRPr="00990D3B" w:rsidP="00CF6947" w14:paraId="5EC1348D" w14:textId="77777777">
            <w:pPr>
              <w:pStyle w:val="EQRTableText"/>
              <w:jc w:val="center"/>
            </w:pPr>
            <w:r w:rsidRPr="00990D3B">
              <w:t> </w:t>
            </w:r>
          </w:p>
        </w:tc>
        <w:tc>
          <w:tcPr>
            <w:tcW w:w="2965" w:type="dxa"/>
          </w:tcPr>
          <w:p w:rsidR="002D5FD7" w:rsidRPr="00990D3B" w:rsidP="00CF6947" w14:paraId="3509E043" w14:textId="77777777">
            <w:pPr>
              <w:pStyle w:val="EQRTableText"/>
            </w:pPr>
            <w:r w:rsidRPr="00990D3B">
              <w:t> </w:t>
            </w:r>
          </w:p>
        </w:tc>
      </w:tr>
      <w:tr w14:paraId="0890387E" w14:textId="77777777" w:rsidTr="00324865">
        <w:tblPrEx>
          <w:tblW w:w="5000" w:type="pct"/>
          <w:tblLook w:val="04A0"/>
        </w:tblPrEx>
        <w:tc>
          <w:tcPr>
            <w:tcW w:w="4637" w:type="dxa"/>
          </w:tcPr>
          <w:p w:rsidR="002D5FD7" w:rsidRPr="00990D3B" w:rsidP="00CF6947" w14:paraId="659A1EAF" w14:textId="77777777">
            <w:pPr>
              <w:pStyle w:val="EQRTableText"/>
            </w:pPr>
            <w:r w:rsidRPr="00990D3B">
              <w:t xml:space="preserve">Was the sampling frame free from bias? </w:t>
            </w:r>
          </w:p>
        </w:tc>
        <w:tc>
          <w:tcPr>
            <w:tcW w:w="594" w:type="dxa"/>
          </w:tcPr>
          <w:p w:rsidR="002D5FD7" w:rsidRPr="00990D3B" w:rsidP="00CF6947" w14:paraId="64981A28" w14:textId="77777777">
            <w:pPr>
              <w:pStyle w:val="EQRTableText"/>
              <w:jc w:val="center"/>
            </w:pPr>
            <w:r w:rsidRPr="00990D3B">
              <w:t> </w:t>
            </w:r>
          </w:p>
        </w:tc>
        <w:tc>
          <w:tcPr>
            <w:tcW w:w="558" w:type="dxa"/>
          </w:tcPr>
          <w:p w:rsidR="002D5FD7" w:rsidRPr="00990D3B" w:rsidP="00CF6947" w14:paraId="3A3050AA" w14:textId="77777777">
            <w:pPr>
              <w:pStyle w:val="EQRTableText"/>
              <w:jc w:val="center"/>
            </w:pPr>
            <w:r w:rsidRPr="00990D3B">
              <w:t> </w:t>
            </w:r>
          </w:p>
        </w:tc>
        <w:tc>
          <w:tcPr>
            <w:tcW w:w="596" w:type="dxa"/>
          </w:tcPr>
          <w:p w:rsidR="002D5FD7" w:rsidRPr="00990D3B" w:rsidP="00CF6947" w14:paraId="6A936551" w14:textId="77777777">
            <w:pPr>
              <w:pStyle w:val="EQRTableText"/>
              <w:jc w:val="center"/>
            </w:pPr>
            <w:r w:rsidRPr="00990D3B">
              <w:t> </w:t>
            </w:r>
          </w:p>
        </w:tc>
        <w:tc>
          <w:tcPr>
            <w:tcW w:w="2965" w:type="dxa"/>
          </w:tcPr>
          <w:p w:rsidR="002D5FD7" w:rsidRPr="00990D3B" w:rsidP="00CF6947" w14:paraId="33A2D348" w14:textId="77777777">
            <w:pPr>
              <w:pStyle w:val="EQRTableText"/>
            </w:pPr>
            <w:r w:rsidRPr="00990D3B">
              <w:t> </w:t>
            </w:r>
          </w:p>
        </w:tc>
      </w:tr>
      <w:tr w14:paraId="284F2500" w14:textId="77777777" w:rsidTr="00324865">
        <w:tblPrEx>
          <w:tblW w:w="5000" w:type="pct"/>
          <w:tblLook w:val="04A0"/>
        </w:tblPrEx>
        <w:tc>
          <w:tcPr>
            <w:tcW w:w="4637" w:type="dxa"/>
          </w:tcPr>
          <w:p w:rsidR="002D5FD7" w:rsidRPr="00990D3B" w:rsidP="00CF6947" w14:paraId="1FD3EA41" w14:textId="77777777">
            <w:pPr>
              <w:pStyle w:val="EQRTableText"/>
            </w:pPr>
            <w:r w:rsidRPr="00990D3B">
              <w:t>Was the sampling method appropriate to the survey purpose?</w:t>
            </w:r>
          </w:p>
        </w:tc>
        <w:tc>
          <w:tcPr>
            <w:tcW w:w="594" w:type="dxa"/>
          </w:tcPr>
          <w:p w:rsidR="002D5FD7" w:rsidRPr="00990D3B" w:rsidP="00CF6947" w14:paraId="1FCE8719" w14:textId="77777777">
            <w:pPr>
              <w:pStyle w:val="EQRTableText"/>
              <w:jc w:val="center"/>
            </w:pPr>
            <w:r w:rsidRPr="00990D3B">
              <w:t> </w:t>
            </w:r>
          </w:p>
        </w:tc>
        <w:tc>
          <w:tcPr>
            <w:tcW w:w="558" w:type="dxa"/>
          </w:tcPr>
          <w:p w:rsidR="002D5FD7" w:rsidRPr="00990D3B" w:rsidP="00CF6947" w14:paraId="5121887F" w14:textId="77777777">
            <w:pPr>
              <w:pStyle w:val="EQRTableText"/>
              <w:jc w:val="center"/>
            </w:pPr>
            <w:r w:rsidRPr="00990D3B">
              <w:t> </w:t>
            </w:r>
          </w:p>
        </w:tc>
        <w:tc>
          <w:tcPr>
            <w:tcW w:w="596" w:type="dxa"/>
          </w:tcPr>
          <w:p w:rsidR="002D5FD7" w:rsidRPr="00990D3B" w:rsidP="00CF6947" w14:paraId="0E7E55BE" w14:textId="77777777">
            <w:pPr>
              <w:pStyle w:val="EQRTableText"/>
              <w:jc w:val="center"/>
            </w:pPr>
            <w:r w:rsidRPr="00990D3B">
              <w:t> </w:t>
            </w:r>
          </w:p>
        </w:tc>
        <w:tc>
          <w:tcPr>
            <w:tcW w:w="2965" w:type="dxa"/>
          </w:tcPr>
          <w:p w:rsidR="002D5FD7" w:rsidRPr="00990D3B" w:rsidP="00CF6947" w14:paraId="1FAC1931" w14:textId="77777777">
            <w:pPr>
              <w:pStyle w:val="EQRTableText"/>
            </w:pPr>
            <w:r w:rsidRPr="00990D3B">
              <w:t> </w:t>
            </w:r>
          </w:p>
        </w:tc>
      </w:tr>
      <w:tr w14:paraId="0C37A136" w14:textId="77777777" w:rsidTr="00324865">
        <w:tblPrEx>
          <w:tblW w:w="5000" w:type="pct"/>
          <w:tblLook w:val="04A0"/>
        </w:tblPrEx>
        <w:tc>
          <w:tcPr>
            <w:tcW w:w="4637" w:type="dxa"/>
          </w:tcPr>
          <w:p w:rsidR="002D5FD7" w:rsidRPr="00990D3B" w:rsidP="00CF6947" w14:paraId="7F4B2D50" w14:textId="77777777">
            <w:pPr>
              <w:pStyle w:val="EQRTableText"/>
            </w:pPr>
            <w:r w:rsidRPr="00990D3B">
              <w:t>Was the sample size sufficient for the intended use of the survey (acceptable margin of error, level of certainty required)?</w:t>
            </w:r>
          </w:p>
        </w:tc>
        <w:tc>
          <w:tcPr>
            <w:tcW w:w="594" w:type="dxa"/>
          </w:tcPr>
          <w:p w:rsidR="002D5FD7" w:rsidRPr="00990D3B" w:rsidP="00CF6947" w14:paraId="02165EBC" w14:textId="77777777">
            <w:pPr>
              <w:pStyle w:val="EQRTableText"/>
              <w:jc w:val="center"/>
            </w:pPr>
            <w:r w:rsidRPr="00990D3B">
              <w:t> </w:t>
            </w:r>
          </w:p>
        </w:tc>
        <w:tc>
          <w:tcPr>
            <w:tcW w:w="558" w:type="dxa"/>
          </w:tcPr>
          <w:p w:rsidR="002D5FD7" w:rsidRPr="00990D3B" w:rsidP="00CF6947" w14:paraId="2F3D11C3" w14:textId="77777777">
            <w:pPr>
              <w:pStyle w:val="EQRTableText"/>
              <w:jc w:val="center"/>
            </w:pPr>
            <w:r w:rsidRPr="00990D3B">
              <w:t> </w:t>
            </w:r>
          </w:p>
        </w:tc>
        <w:tc>
          <w:tcPr>
            <w:tcW w:w="596" w:type="dxa"/>
          </w:tcPr>
          <w:p w:rsidR="002D5FD7" w:rsidRPr="00990D3B" w:rsidP="00CF6947" w14:paraId="54DF39E9" w14:textId="77777777">
            <w:pPr>
              <w:pStyle w:val="EQRTableText"/>
              <w:jc w:val="center"/>
            </w:pPr>
            <w:r w:rsidRPr="00990D3B">
              <w:t> </w:t>
            </w:r>
          </w:p>
        </w:tc>
        <w:tc>
          <w:tcPr>
            <w:tcW w:w="2965" w:type="dxa"/>
          </w:tcPr>
          <w:p w:rsidR="002D5FD7" w:rsidRPr="00990D3B" w:rsidP="00CF6947" w14:paraId="12BD88D9" w14:textId="77777777">
            <w:pPr>
              <w:pStyle w:val="EQRTableText"/>
            </w:pPr>
            <w:r w:rsidRPr="00990D3B">
              <w:t> </w:t>
            </w:r>
          </w:p>
        </w:tc>
      </w:tr>
      <w:tr w14:paraId="1185E1D1" w14:textId="77777777" w:rsidTr="00324865">
        <w:tblPrEx>
          <w:tblW w:w="5000" w:type="pct"/>
          <w:tblLook w:val="04A0"/>
        </w:tblPrEx>
        <w:tc>
          <w:tcPr>
            <w:tcW w:w="4637" w:type="dxa"/>
          </w:tcPr>
          <w:p w:rsidR="002D5FD7" w:rsidRPr="00990D3B" w:rsidP="00CF6947" w14:paraId="4D3046D2" w14:textId="77777777">
            <w:pPr>
              <w:pStyle w:val="EQRTableText"/>
            </w:pPr>
            <w:r w:rsidRPr="00990D3B">
              <w:t xml:space="preserve">Were the procedures used to select the sample appropriate and protected against bias? </w:t>
            </w:r>
          </w:p>
        </w:tc>
        <w:tc>
          <w:tcPr>
            <w:tcW w:w="594" w:type="dxa"/>
          </w:tcPr>
          <w:p w:rsidR="002D5FD7" w:rsidRPr="00990D3B" w:rsidP="00CF6947" w14:paraId="5019B497" w14:textId="77777777">
            <w:pPr>
              <w:pStyle w:val="EQRTableText"/>
              <w:jc w:val="center"/>
            </w:pPr>
            <w:r w:rsidRPr="00990D3B">
              <w:t> </w:t>
            </w:r>
          </w:p>
        </w:tc>
        <w:tc>
          <w:tcPr>
            <w:tcW w:w="558" w:type="dxa"/>
          </w:tcPr>
          <w:p w:rsidR="002D5FD7" w:rsidRPr="00990D3B" w:rsidP="00CF6947" w14:paraId="0531D795" w14:textId="77777777">
            <w:pPr>
              <w:pStyle w:val="EQRTableText"/>
              <w:jc w:val="center"/>
            </w:pPr>
            <w:r w:rsidRPr="00990D3B">
              <w:t> </w:t>
            </w:r>
          </w:p>
        </w:tc>
        <w:tc>
          <w:tcPr>
            <w:tcW w:w="596" w:type="dxa"/>
          </w:tcPr>
          <w:p w:rsidR="002D5FD7" w:rsidRPr="00990D3B" w:rsidP="00CF6947" w14:paraId="6428109F" w14:textId="77777777">
            <w:pPr>
              <w:pStyle w:val="EQRTableText"/>
              <w:jc w:val="center"/>
            </w:pPr>
            <w:r w:rsidRPr="00990D3B">
              <w:t> </w:t>
            </w:r>
          </w:p>
        </w:tc>
        <w:tc>
          <w:tcPr>
            <w:tcW w:w="2965" w:type="dxa"/>
          </w:tcPr>
          <w:p w:rsidR="002D5FD7" w:rsidRPr="00990D3B" w:rsidP="00CF6947" w14:paraId="70128504" w14:textId="77777777">
            <w:pPr>
              <w:pStyle w:val="EQRTableText"/>
            </w:pPr>
            <w:r w:rsidRPr="00990D3B">
              <w:t> </w:t>
            </w:r>
          </w:p>
        </w:tc>
      </w:tr>
      <w:tr w14:paraId="74F66D17" w14:textId="77777777" w:rsidTr="00324865">
        <w:tblPrEx>
          <w:tblW w:w="5000" w:type="pct"/>
          <w:tblLook w:val="04A0"/>
        </w:tblPrEx>
        <w:tc>
          <w:tcPr>
            <w:tcW w:w="4637" w:type="dxa"/>
          </w:tcPr>
          <w:p w:rsidR="002D5FD7" w:rsidRPr="00990D3B" w:rsidP="00CF6947" w14:paraId="5834D00A" w14:textId="2FBC9866">
            <w:pPr>
              <w:pStyle w:val="EQRTableText"/>
            </w:pPr>
            <w:r w:rsidRPr="00990D3B">
              <w:t>Overall validation assessment: In the comments section, note any recommendations for improving the sampling plan</w:t>
            </w:r>
            <w:r w:rsidRPr="00990D3B" w:rsidR="00324865">
              <w:t>.</w:t>
            </w:r>
          </w:p>
        </w:tc>
        <w:tc>
          <w:tcPr>
            <w:tcW w:w="594" w:type="dxa"/>
            <w:shd w:val="clear" w:color="auto" w:fill="BFBFBF" w:themeFill="background1" w:themeFillShade="BF"/>
          </w:tcPr>
          <w:p w:rsidR="002D5FD7" w:rsidRPr="00990D3B" w:rsidP="00CF6947" w14:paraId="7D1DE38D" w14:textId="77777777">
            <w:pPr>
              <w:pStyle w:val="EQRTableText"/>
              <w:jc w:val="center"/>
            </w:pPr>
            <w:r w:rsidRPr="00990D3B">
              <w:t> </w:t>
            </w:r>
          </w:p>
        </w:tc>
        <w:tc>
          <w:tcPr>
            <w:tcW w:w="558" w:type="dxa"/>
            <w:shd w:val="clear" w:color="auto" w:fill="BFBFBF" w:themeFill="background1" w:themeFillShade="BF"/>
          </w:tcPr>
          <w:p w:rsidR="002D5FD7" w:rsidRPr="00990D3B" w:rsidP="00CF6947" w14:paraId="7EAF82D8" w14:textId="77777777">
            <w:pPr>
              <w:pStyle w:val="EQRTableText"/>
              <w:jc w:val="center"/>
            </w:pPr>
            <w:r w:rsidRPr="00990D3B">
              <w:t> </w:t>
            </w:r>
          </w:p>
        </w:tc>
        <w:tc>
          <w:tcPr>
            <w:tcW w:w="596" w:type="dxa"/>
            <w:shd w:val="clear" w:color="auto" w:fill="BFBFBF" w:themeFill="background1" w:themeFillShade="BF"/>
          </w:tcPr>
          <w:p w:rsidR="002D5FD7" w:rsidRPr="00990D3B" w:rsidP="00CF6947" w14:paraId="2E3B8497" w14:textId="77777777">
            <w:pPr>
              <w:pStyle w:val="EQRTableText"/>
              <w:jc w:val="center"/>
            </w:pPr>
            <w:r w:rsidRPr="00990D3B">
              <w:t> </w:t>
            </w:r>
          </w:p>
        </w:tc>
        <w:tc>
          <w:tcPr>
            <w:tcW w:w="2965" w:type="dxa"/>
          </w:tcPr>
          <w:p w:rsidR="002D5FD7" w:rsidRPr="00990D3B" w:rsidP="00CF6947" w14:paraId="3C5A72E4" w14:textId="77777777">
            <w:pPr>
              <w:pStyle w:val="EQRTableText"/>
            </w:pPr>
            <w:r w:rsidRPr="00990D3B">
              <w:t> </w:t>
            </w:r>
          </w:p>
        </w:tc>
      </w:tr>
    </w:tbl>
    <w:p w:rsidR="002D5FD7" w:rsidRPr="00990D3B" w:rsidP="00857AEB" w14:paraId="2CC40A83" w14:textId="77777777">
      <w:pPr>
        <w:pStyle w:val="EQRNormalSSWORKSHEET"/>
      </w:pPr>
    </w:p>
    <w:p w:rsidR="002D5FD7" w:rsidRPr="00990D3B" w:rsidP="00857AEB" w14:paraId="77D40081" w14:textId="77777777">
      <w:pPr>
        <w:pStyle w:val="EQRNormalSSWORKSHEET"/>
      </w:pPr>
      <w:r w:rsidRPr="00990D3B">
        <w:br w:type="page"/>
      </w:r>
    </w:p>
    <w:p w:rsidR="002D5FD7" w:rsidRPr="00990D3B" w:rsidP="00A54412" w14:paraId="1B24488E" w14:textId="33122770">
      <w:pPr>
        <w:pStyle w:val="EQRMarkforExhibitWORKSHEET"/>
      </w:pPr>
      <w:bookmarkStart w:id="761" w:name="WSp6n05"/>
      <w:bookmarkStart w:id="762" w:name="_Toc125619182"/>
      <w:bookmarkStart w:id="763" w:name="_Toc201751545"/>
      <w:r w:rsidRPr="00990D3B">
        <w:t>Worksheet 6.5</w:t>
      </w:r>
      <w:bookmarkEnd w:id="761"/>
      <w:r w:rsidRPr="00990D3B">
        <w:t xml:space="preserve">. Strategy to Maximize </w:t>
      </w:r>
      <w:r w:rsidRPr="00990D3B" w:rsidR="00333704">
        <w:t xml:space="preserve">Survey </w:t>
      </w:r>
      <w:r w:rsidRPr="00990D3B">
        <w:t>Response</w:t>
      </w:r>
      <w:bookmarkEnd w:id="762"/>
      <w:bookmarkEnd w:id="763"/>
    </w:p>
    <w:p w:rsidR="002D5FD7" w:rsidRPr="00990D3B" w:rsidP="00CF6947" w14:paraId="5A003472" w14:textId="5D41359D">
      <w:pPr>
        <w:pStyle w:val="EQRNormalSSWORKSHEET"/>
      </w:pPr>
      <w:r w:rsidRPr="00990D3B">
        <w:rPr>
          <w:b/>
          <w:bCs/>
        </w:rPr>
        <w:t xml:space="preserve">Instructions. </w:t>
      </w:r>
      <w:r w:rsidRPr="00990D3B">
        <w:t xml:space="preserve">Assess the strategy for locating sample members and specific data needed to administer the survey by answering the following questions. Insert comments to explain “No” and “Not </w:t>
      </w:r>
      <w:r w:rsidRPr="00990D3B" w:rsidR="00507D5D">
        <w:t>A</w:t>
      </w:r>
      <w:r w:rsidRPr="00990D3B">
        <w:t>pplicable” responses.</w:t>
      </w:r>
    </w:p>
    <w:p w:rsidR="00252C67" w:rsidRPr="00990D3B" w:rsidP="00252C67" w14:paraId="0C0EDE21" w14:textId="24E52C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Arial" w:hAnsi="Arial" w:cs="Arial"/>
          <w:sz w:val="18"/>
          <w:szCs w:val="18"/>
        </w:rPr>
      </w:pPr>
      <w:r w:rsidRPr="00990D3B">
        <w:rPr>
          <w:rFonts w:ascii="Arial" w:hAnsi="Arial" w:cs="Arial"/>
          <w:sz w:val="18"/>
          <w:szCs w:val="18"/>
        </w:rPr>
        <w:t>Acronyms: NA = Not Applicable.</w:t>
      </w:r>
    </w:p>
    <w:tbl>
      <w:tblPr>
        <w:tblStyle w:val="TableGrid"/>
        <w:tblW w:w="0" w:type="auto"/>
        <w:tblLook w:val="04A0"/>
      </w:tblPr>
      <w:tblGrid>
        <w:gridCol w:w="4372"/>
        <w:gridCol w:w="608"/>
        <w:gridCol w:w="608"/>
        <w:gridCol w:w="617"/>
        <w:gridCol w:w="3145"/>
      </w:tblGrid>
      <w:tr w14:paraId="17E410F1" w14:textId="77777777" w:rsidTr="00252C67">
        <w:tblPrEx>
          <w:tblW w:w="0" w:type="auto"/>
          <w:tblLook w:val="04A0"/>
        </w:tblPrEx>
        <w:tc>
          <w:tcPr>
            <w:tcW w:w="4372" w:type="dxa"/>
            <w:vAlign w:val="bottom"/>
          </w:tcPr>
          <w:p w:rsidR="002D5FD7" w:rsidRPr="00990D3B" w:rsidP="00CF6947" w14:paraId="54E8D07B" w14:textId="77777777">
            <w:pPr>
              <w:pStyle w:val="EQRTableHeaderLeft"/>
              <w:rPr>
                <w:color w:val="auto"/>
              </w:rPr>
            </w:pPr>
            <w:r w:rsidRPr="00990D3B">
              <w:rPr>
                <w:color w:val="auto"/>
              </w:rPr>
              <w:t>Question</w:t>
            </w:r>
          </w:p>
        </w:tc>
        <w:tc>
          <w:tcPr>
            <w:tcW w:w="608" w:type="dxa"/>
            <w:vAlign w:val="bottom"/>
          </w:tcPr>
          <w:p w:rsidR="002D5FD7" w:rsidRPr="00990D3B" w:rsidP="00CF6947" w14:paraId="0292DB13" w14:textId="77777777">
            <w:pPr>
              <w:pStyle w:val="EQRTableHeaderCenter"/>
              <w:rPr>
                <w:color w:val="auto"/>
              </w:rPr>
            </w:pPr>
            <w:r w:rsidRPr="00990D3B">
              <w:rPr>
                <w:color w:val="auto"/>
              </w:rPr>
              <w:t>Yes</w:t>
            </w:r>
          </w:p>
        </w:tc>
        <w:tc>
          <w:tcPr>
            <w:tcW w:w="608" w:type="dxa"/>
            <w:vAlign w:val="bottom"/>
          </w:tcPr>
          <w:p w:rsidR="002D5FD7" w:rsidRPr="00990D3B" w:rsidP="00CF6947" w14:paraId="56EB19F4" w14:textId="77777777">
            <w:pPr>
              <w:pStyle w:val="EQRTableHeaderCenter"/>
              <w:rPr>
                <w:color w:val="auto"/>
              </w:rPr>
            </w:pPr>
            <w:r w:rsidRPr="00990D3B">
              <w:rPr>
                <w:color w:val="auto"/>
              </w:rPr>
              <w:t>No</w:t>
            </w:r>
          </w:p>
        </w:tc>
        <w:tc>
          <w:tcPr>
            <w:tcW w:w="617" w:type="dxa"/>
            <w:vAlign w:val="bottom"/>
          </w:tcPr>
          <w:p w:rsidR="002D5FD7" w:rsidRPr="00990D3B" w:rsidP="00CF6947" w14:paraId="144F8C5F" w14:textId="74023E19">
            <w:pPr>
              <w:pStyle w:val="EQRTableHeaderCenter"/>
              <w:rPr>
                <w:color w:val="auto"/>
              </w:rPr>
            </w:pPr>
            <w:r w:rsidRPr="00990D3B">
              <w:rPr>
                <w:color w:val="auto"/>
              </w:rPr>
              <w:t>NA</w:t>
            </w:r>
          </w:p>
        </w:tc>
        <w:tc>
          <w:tcPr>
            <w:tcW w:w="3145" w:type="dxa"/>
            <w:vAlign w:val="bottom"/>
          </w:tcPr>
          <w:p w:rsidR="002D5FD7" w:rsidRPr="00990D3B" w:rsidP="00CF6947" w14:paraId="4AC8E41D" w14:textId="77777777">
            <w:pPr>
              <w:pStyle w:val="EQRTableHeaderCenter"/>
              <w:rPr>
                <w:color w:val="auto"/>
              </w:rPr>
            </w:pPr>
            <w:r w:rsidRPr="00990D3B">
              <w:rPr>
                <w:color w:val="auto"/>
              </w:rPr>
              <w:t>Comments</w:t>
            </w:r>
          </w:p>
        </w:tc>
      </w:tr>
      <w:tr w14:paraId="153EA86F" w14:textId="77777777" w:rsidTr="00252C67">
        <w:tblPrEx>
          <w:tblW w:w="0" w:type="auto"/>
          <w:tblLook w:val="04A0"/>
        </w:tblPrEx>
        <w:tc>
          <w:tcPr>
            <w:tcW w:w="4372" w:type="dxa"/>
          </w:tcPr>
          <w:p w:rsidR="002D5FD7" w:rsidRPr="00990D3B" w:rsidP="009113C5" w14:paraId="236AB050" w14:textId="77777777">
            <w:pPr>
              <w:pStyle w:val="EQRTableText"/>
            </w:pPr>
            <w:r w:rsidRPr="00990D3B">
              <w:t xml:space="preserve">Was locating of sample members conducted to ensure complete contact information? </w:t>
            </w:r>
          </w:p>
          <w:p w:rsidR="002D5FD7" w:rsidRPr="00990D3B" w:rsidP="009113C5" w14:paraId="4EFAC0D5" w14:textId="77777777">
            <w:pPr>
              <w:pStyle w:val="EQRTableText"/>
            </w:pPr>
            <w:r w:rsidRPr="00990D3B">
              <w:t>Locating is a technique used to improve response rates by locating and contacting sample members. This includes verified collection of data, such as first and last name, home address, email address, phone number(s), date of birth, language preference, etc.</w:t>
            </w:r>
          </w:p>
        </w:tc>
        <w:tc>
          <w:tcPr>
            <w:tcW w:w="608" w:type="dxa"/>
          </w:tcPr>
          <w:p w:rsidR="002D5FD7" w:rsidRPr="00990D3B" w:rsidP="00CF6947" w14:paraId="04C48812" w14:textId="77777777">
            <w:pPr>
              <w:pStyle w:val="EQRTableText"/>
              <w:jc w:val="center"/>
            </w:pPr>
            <w:r w:rsidRPr="00990D3B">
              <w:t> </w:t>
            </w:r>
          </w:p>
        </w:tc>
        <w:tc>
          <w:tcPr>
            <w:tcW w:w="608" w:type="dxa"/>
          </w:tcPr>
          <w:p w:rsidR="002D5FD7" w:rsidRPr="00990D3B" w:rsidP="00CF6947" w14:paraId="02A4C21B" w14:textId="77777777">
            <w:pPr>
              <w:pStyle w:val="EQRTableText"/>
              <w:jc w:val="center"/>
            </w:pPr>
            <w:r w:rsidRPr="00990D3B">
              <w:t> </w:t>
            </w:r>
          </w:p>
        </w:tc>
        <w:tc>
          <w:tcPr>
            <w:tcW w:w="617" w:type="dxa"/>
          </w:tcPr>
          <w:p w:rsidR="002D5FD7" w:rsidRPr="00990D3B" w:rsidP="00CF6947" w14:paraId="05B735B1" w14:textId="77777777">
            <w:pPr>
              <w:pStyle w:val="EQRTableText"/>
              <w:jc w:val="center"/>
            </w:pPr>
            <w:r w:rsidRPr="00990D3B">
              <w:t> </w:t>
            </w:r>
          </w:p>
        </w:tc>
        <w:tc>
          <w:tcPr>
            <w:tcW w:w="3145" w:type="dxa"/>
          </w:tcPr>
          <w:p w:rsidR="002D5FD7" w:rsidRPr="00990D3B" w:rsidP="00CF6947" w14:paraId="60937D66" w14:textId="77777777">
            <w:pPr>
              <w:pStyle w:val="EQRTableText"/>
            </w:pPr>
            <w:r w:rsidRPr="00990D3B">
              <w:t> </w:t>
            </w:r>
          </w:p>
        </w:tc>
      </w:tr>
      <w:tr w14:paraId="0A1FAA4D" w14:textId="77777777" w:rsidTr="00252C67">
        <w:tblPrEx>
          <w:tblW w:w="0" w:type="auto"/>
          <w:tblLook w:val="04A0"/>
        </w:tblPrEx>
        <w:tc>
          <w:tcPr>
            <w:tcW w:w="4372" w:type="dxa"/>
          </w:tcPr>
          <w:p w:rsidR="002D5FD7" w:rsidRPr="00990D3B" w:rsidP="00CF6947" w14:paraId="1FD07495" w14:textId="77777777">
            <w:pPr>
              <w:pStyle w:val="EQRTableText"/>
            </w:pPr>
            <w:r w:rsidRPr="00990D3B">
              <w:t>Were any of the following strategies included to maximize response:</w:t>
            </w:r>
          </w:p>
          <w:p w:rsidR="002D5FD7" w:rsidRPr="00990D3B" w:rsidP="002D5FD7" w14:paraId="1B152BD5" w14:textId="77777777">
            <w:pPr>
              <w:pStyle w:val="EQRTableTextbullet"/>
              <w:spacing w:line="240" w:lineRule="auto"/>
              <w:ind w:left="216" w:hanging="216"/>
            </w:pPr>
            <w:r w:rsidRPr="00990D3B">
              <w:t>Advance letter</w:t>
            </w:r>
          </w:p>
          <w:p w:rsidR="002D5FD7" w:rsidRPr="00990D3B" w:rsidP="002D5FD7" w14:paraId="163F4A98" w14:textId="77777777">
            <w:pPr>
              <w:pStyle w:val="EQRTableTextbullet"/>
              <w:spacing w:line="240" w:lineRule="auto"/>
              <w:ind w:left="216" w:hanging="216"/>
            </w:pPr>
            <w:r w:rsidRPr="00990D3B">
              <w:t>Multiple and varied call attempts</w:t>
            </w:r>
          </w:p>
          <w:p w:rsidR="002D5FD7" w:rsidRPr="00990D3B" w:rsidP="002D5FD7" w14:paraId="151D763F" w14:textId="77777777">
            <w:pPr>
              <w:pStyle w:val="EQRTableTextbullet"/>
              <w:spacing w:line="240" w:lineRule="auto"/>
              <w:ind w:left="216" w:hanging="216"/>
            </w:pPr>
            <w:r w:rsidRPr="00990D3B">
              <w:t>Multi-mode surveys</w:t>
            </w:r>
          </w:p>
          <w:p w:rsidR="002D5FD7" w:rsidRPr="00990D3B" w:rsidP="002D5FD7" w14:paraId="264E1E3D" w14:textId="77777777">
            <w:pPr>
              <w:pStyle w:val="EQRTableTextbullet"/>
              <w:spacing w:line="240" w:lineRule="auto"/>
              <w:ind w:left="216" w:hanging="216"/>
            </w:pPr>
            <w:r w:rsidRPr="00990D3B">
              <w:t>Multiple languages</w:t>
            </w:r>
          </w:p>
        </w:tc>
        <w:tc>
          <w:tcPr>
            <w:tcW w:w="608" w:type="dxa"/>
          </w:tcPr>
          <w:p w:rsidR="002D5FD7" w:rsidRPr="00990D3B" w:rsidP="00CF6947" w14:paraId="1DEACB5A" w14:textId="77777777">
            <w:pPr>
              <w:pStyle w:val="EQRTableText"/>
              <w:jc w:val="center"/>
            </w:pPr>
            <w:r w:rsidRPr="00990D3B">
              <w:t> </w:t>
            </w:r>
          </w:p>
        </w:tc>
        <w:tc>
          <w:tcPr>
            <w:tcW w:w="608" w:type="dxa"/>
          </w:tcPr>
          <w:p w:rsidR="002D5FD7" w:rsidRPr="00990D3B" w:rsidP="00CF6947" w14:paraId="5387F038" w14:textId="77777777">
            <w:pPr>
              <w:pStyle w:val="EQRTableText"/>
              <w:jc w:val="center"/>
            </w:pPr>
            <w:r w:rsidRPr="00990D3B">
              <w:t> </w:t>
            </w:r>
          </w:p>
        </w:tc>
        <w:tc>
          <w:tcPr>
            <w:tcW w:w="617" w:type="dxa"/>
          </w:tcPr>
          <w:p w:rsidR="002D5FD7" w:rsidRPr="00990D3B" w:rsidP="00CF6947" w14:paraId="21177AD9" w14:textId="77777777">
            <w:pPr>
              <w:pStyle w:val="EQRTableText"/>
              <w:jc w:val="center"/>
            </w:pPr>
            <w:r w:rsidRPr="00990D3B">
              <w:t> </w:t>
            </w:r>
          </w:p>
        </w:tc>
        <w:tc>
          <w:tcPr>
            <w:tcW w:w="3145" w:type="dxa"/>
          </w:tcPr>
          <w:p w:rsidR="002D5FD7" w:rsidRPr="00990D3B" w:rsidP="00CF6947" w14:paraId="1CD09CE4" w14:textId="77777777">
            <w:pPr>
              <w:pStyle w:val="EQRTableText"/>
            </w:pPr>
            <w:r w:rsidRPr="00990D3B">
              <w:t> </w:t>
            </w:r>
          </w:p>
        </w:tc>
      </w:tr>
      <w:tr w14:paraId="17696BD2" w14:textId="77777777" w:rsidTr="00252C67">
        <w:tblPrEx>
          <w:tblW w:w="0" w:type="auto"/>
          <w:tblLook w:val="04A0"/>
        </w:tblPrEx>
        <w:tc>
          <w:tcPr>
            <w:tcW w:w="4372" w:type="dxa"/>
          </w:tcPr>
          <w:p w:rsidR="002D5FD7" w:rsidRPr="00990D3B" w:rsidP="00CF6947" w14:paraId="7BD50CC8" w14:textId="15154044">
            <w:pPr>
              <w:pStyle w:val="EQRTableText"/>
            </w:pPr>
            <w:r w:rsidRPr="00990D3B">
              <w:t xml:space="preserve">Were strategies customized to the study population (e.g., providers versus </w:t>
            </w:r>
            <w:r w:rsidRPr="00990D3B" w:rsidR="00622633">
              <w:t>enrollees</w:t>
            </w:r>
            <w:r w:rsidRPr="00990D3B">
              <w:t>)?</w:t>
            </w:r>
          </w:p>
        </w:tc>
        <w:tc>
          <w:tcPr>
            <w:tcW w:w="608" w:type="dxa"/>
          </w:tcPr>
          <w:p w:rsidR="002D5FD7" w:rsidRPr="00990D3B" w:rsidP="00CF6947" w14:paraId="3758596E" w14:textId="77777777">
            <w:pPr>
              <w:pStyle w:val="EQRTableText"/>
              <w:jc w:val="center"/>
            </w:pPr>
            <w:r w:rsidRPr="00990D3B">
              <w:t> </w:t>
            </w:r>
          </w:p>
        </w:tc>
        <w:tc>
          <w:tcPr>
            <w:tcW w:w="608" w:type="dxa"/>
          </w:tcPr>
          <w:p w:rsidR="002D5FD7" w:rsidRPr="00990D3B" w:rsidP="00CF6947" w14:paraId="536BA5B4" w14:textId="77777777">
            <w:pPr>
              <w:pStyle w:val="EQRTableText"/>
              <w:jc w:val="center"/>
            </w:pPr>
            <w:r w:rsidRPr="00990D3B">
              <w:t> </w:t>
            </w:r>
          </w:p>
        </w:tc>
        <w:tc>
          <w:tcPr>
            <w:tcW w:w="617" w:type="dxa"/>
          </w:tcPr>
          <w:p w:rsidR="002D5FD7" w:rsidRPr="00990D3B" w:rsidP="00CF6947" w14:paraId="63C0D4F0" w14:textId="77777777">
            <w:pPr>
              <w:pStyle w:val="EQRTableText"/>
              <w:jc w:val="center"/>
            </w:pPr>
            <w:r w:rsidRPr="00990D3B">
              <w:t> </w:t>
            </w:r>
          </w:p>
        </w:tc>
        <w:tc>
          <w:tcPr>
            <w:tcW w:w="3145" w:type="dxa"/>
          </w:tcPr>
          <w:p w:rsidR="002D5FD7" w:rsidRPr="00990D3B" w:rsidP="00CF6947" w14:paraId="77B5E043" w14:textId="77777777">
            <w:pPr>
              <w:pStyle w:val="EQRTableText"/>
            </w:pPr>
            <w:r w:rsidRPr="00990D3B">
              <w:t> </w:t>
            </w:r>
          </w:p>
        </w:tc>
      </w:tr>
      <w:tr w14:paraId="66472272" w14:textId="77777777" w:rsidTr="00252C67">
        <w:tblPrEx>
          <w:tblW w:w="0" w:type="auto"/>
          <w:tblLook w:val="04A0"/>
        </w:tblPrEx>
        <w:tc>
          <w:tcPr>
            <w:tcW w:w="4372" w:type="dxa"/>
          </w:tcPr>
          <w:p w:rsidR="002D5FD7" w:rsidRPr="00990D3B" w:rsidP="00CF6947" w14:paraId="425A05F8" w14:textId="77777777">
            <w:pPr>
              <w:pStyle w:val="EQRTableText"/>
            </w:pPr>
            <w:r w:rsidRPr="00990D3B">
              <w:t>Was the method specified for calculating the response rate, and if so, was the method in accordance with industry standards?</w:t>
            </w:r>
          </w:p>
        </w:tc>
        <w:tc>
          <w:tcPr>
            <w:tcW w:w="608" w:type="dxa"/>
          </w:tcPr>
          <w:p w:rsidR="002D5FD7" w:rsidRPr="00990D3B" w:rsidP="00CF6947" w14:paraId="12A3DB28" w14:textId="77777777">
            <w:pPr>
              <w:pStyle w:val="EQRTableText"/>
              <w:jc w:val="center"/>
            </w:pPr>
            <w:r w:rsidRPr="00990D3B">
              <w:t> </w:t>
            </w:r>
          </w:p>
        </w:tc>
        <w:tc>
          <w:tcPr>
            <w:tcW w:w="608" w:type="dxa"/>
          </w:tcPr>
          <w:p w:rsidR="002D5FD7" w:rsidRPr="00990D3B" w:rsidP="00CF6947" w14:paraId="331B3BC3" w14:textId="77777777">
            <w:pPr>
              <w:pStyle w:val="EQRTableText"/>
              <w:jc w:val="center"/>
            </w:pPr>
            <w:r w:rsidRPr="00990D3B">
              <w:t> </w:t>
            </w:r>
          </w:p>
        </w:tc>
        <w:tc>
          <w:tcPr>
            <w:tcW w:w="617" w:type="dxa"/>
          </w:tcPr>
          <w:p w:rsidR="002D5FD7" w:rsidRPr="00990D3B" w:rsidP="00CF6947" w14:paraId="36D08474" w14:textId="77777777">
            <w:pPr>
              <w:pStyle w:val="EQRTableText"/>
              <w:jc w:val="center"/>
            </w:pPr>
            <w:r w:rsidRPr="00990D3B">
              <w:t> </w:t>
            </w:r>
          </w:p>
        </w:tc>
        <w:tc>
          <w:tcPr>
            <w:tcW w:w="3145" w:type="dxa"/>
          </w:tcPr>
          <w:p w:rsidR="002D5FD7" w:rsidRPr="00990D3B" w:rsidP="00CF6947" w14:paraId="78761D18" w14:textId="77777777">
            <w:pPr>
              <w:pStyle w:val="EQRTableText"/>
            </w:pPr>
            <w:r w:rsidRPr="00990D3B">
              <w:t> </w:t>
            </w:r>
          </w:p>
        </w:tc>
      </w:tr>
      <w:tr w14:paraId="124EDF31" w14:textId="77777777" w:rsidTr="00252C67">
        <w:tblPrEx>
          <w:tblW w:w="0" w:type="auto"/>
          <w:tblLook w:val="04A0"/>
        </w:tblPrEx>
        <w:tc>
          <w:tcPr>
            <w:tcW w:w="4372" w:type="dxa"/>
          </w:tcPr>
          <w:p w:rsidR="002D5FD7" w:rsidRPr="00990D3B" w:rsidP="00CF6947" w14:paraId="52014BA6" w14:textId="77777777">
            <w:pPr>
              <w:pStyle w:val="EQRTableText"/>
            </w:pPr>
            <w:r w:rsidRPr="00990D3B">
              <w:t xml:space="preserve">Was a plan included </w:t>
            </w:r>
            <w:r w:rsidRPr="00990D3B">
              <w:t>to conduct</w:t>
            </w:r>
            <w:r w:rsidRPr="00990D3B">
              <w:t xml:space="preserve"> a non-response analysis?</w:t>
            </w:r>
          </w:p>
        </w:tc>
        <w:tc>
          <w:tcPr>
            <w:tcW w:w="608" w:type="dxa"/>
          </w:tcPr>
          <w:p w:rsidR="002D5FD7" w:rsidRPr="00990D3B" w:rsidP="00CF6947" w14:paraId="16C01026" w14:textId="77777777">
            <w:pPr>
              <w:pStyle w:val="EQRTableText"/>
              <w:jc w:val="center"/>
            </w:pPr>
            <w:r w:rsidRPr="00990D3B">
              <w:t> </w:t>
            </w:r>
          </w:p>
        </w:tc>
        <w:tc>
          <w:tcPr>
            <w:tcW w:w="608" w:type="dxa"/>
          </w:tcPr>
          <w:p w:rsidR="002D5FD7" w:rsidRPr="00990D3B" w:rsidP="00CF6947" w14:paraId="61384A69" w14:textId="77777777">
            <w:pPr>
              <w:pStyle w:val="EQRTableText"/>
              <w:jc w:val="center"/>
            </w:pPr>
            <w:r w:rsidRPr="00990D3B">
              <w:t> </w:t>
            </w:r>
          </w:p>
        </w:tc>
        <w:tc>
          <w:tcPr>
            <w:tcW w:w="617" w:type="dxa"/>
          </w:tcPr>
          <w:p w:rsidR="002D5FD7" w:rsidRPr="00990D3B" w:rsidP="00CF6947" w14:paraId="478B785C" w14:textId="77777777">
            <w:pPr>
              <w:pStyle w:val="EQRTableText"/>
              <w:jc w:val="center"/>
            </w:pPr>
            <w:r w:rsidRPr="00990D3B">
              <w:t> </w:t>
            </w:r>
          </w:p>
        </w:tc>
        <w:tc>
          <w:tcPr>
            <w:tcW w:w="3145" w:type="dxa"/>
          </w:tcPr>
          <w:p w:rsidR="002D5FD7" w:rsidRPr="00990D3B" w:rsidP="00CF6947" w14:paraId="4C952F92" w14:textId="77777777">
            <w:pPr>
              <w:pStyle w:val="EQRTableText"/>
            </w:pPr>
            <w:r w:rsidRPr="00990D3B">
              <w:t> </w:t>
            </w:r>
          </w:p>
        </w:tc>
      </w:tr>
      <w:tr w14:paraId="4E7016A3" w14:textId="77777777" w:rsidTr="00252C67">
        <w:tblPrEx>
          <w:tblW w:w="0" w:type="auto"/>
          <w:tblLook w:val="04A0"/>
        </w:tblPrEx>
        <w:tc>
          <w:tcPr>
            <w:tcW w:w="4372" w:type="dxa"/>
          </w:tcPr>
          <w:p w:rsidR="002D5FD7" w:rsidRPr="00990D3B" w:rsidP="00CF6947" w14:paraId="76D50488" w14:textId="77777777">
            <w:pPr>
              <w:pStyle w:val="EQRTableText"/>
            </w:pPr>
            <w:r w:rsidRPr="00990D3B">
              <w:t>Overall validation assessment: In the comments section, note any recommendations for improving the response strategy</w:t>
            </w:r>
          </w:p>
        </w:tc>
        <w:tc>
          <w:tcPr>
            <w:tcW w:w="608" w:type="dxa"/>
            <w:shd w:val="clear" w:color="auto" w:fill="BFBFBF" w:themeFill="background1" w:themeFillShade="BF"/>
          </w:tcPr>
          <w:p w:rsidR="002D5FD7" w:rsidRPr="00990D3B" w:rsidP="00CF6947" w14:paraId="651BDC46" w14:textId="77777777">
            <w:pPr>
              <w:pStyle w:val="EQRTableText"/>
              <w:jc w:val="center"/>
            </w:pPr>
            <w:r w:rsidRPr="00990D3B">
              <w:t> </w:t>
            </w:r>
          </w:p>
        </w:tc>
        <w:tc>
          <w:tcPr>
            <w:tcW w:w="608" w:type="dxa"/>
            <w:shd w:val="clear" w:color="auto" w:fill="BFBFBF" w:themeFill="background1" w:themeFillShade="BF"/>
          </w:tcPr>
          <w:p w:rsidR="002D5FD7" w:rsidRPr="00990D3B" w:rsidP="00CF6947" w14:paraId="78DE67D5" w14:textId="77777777">
            <w:pPr>
              <w:pStyle w:val="EQRTableText"/>
              <w:jc w:val="center"/>
            </w:pPr>
            <w:r w:rsidRPr="00990D3B">
              <w:t> </w:t>
            </w:r>
          </w:p>
        </w:tc>
        <w:tc>
          <w:tcPr>
            <w:tcW w:w="617" w:type="dxa"/>
            <w:shd w:val="clear" w:color="auto" w:fill="BFBFBF" w:themeFill="background1" w:themeFillShade="BF"/>
          </w:tcPr>
          <w:p w:rsidR="002D5FD7" w:rsidRPr="00990D3B" w:rsidP="00CF6947" w14:paraId="074240A2" w14:textId="77777777">
            <w:pPr>
              <w:pStyle w:val="EQRTableText"/>
              <w:jc w:val="center"/>
            </w:pPr>
            <w:r w:rsidRPr="00990D3B">
              <w:t> </w:t>
            </w:r>
          </w:p>
        </w:tc>
        <w:tc>
          <w:tcPr>
            <w:tcW w:w="3145" w:type="dxa"/>
          </w:tcPr>
          <w:p w:rsidR="002D5FD7" w:rsidRPr="00990D3B" w:rsidP="00CF6947" w14:paraId="13B629D9" w14:textId="77777777">
            <w:pPr>
              <w:pStyle w:val="EQRTableText"/>
            </w:pPr>
            <w:r w:rsidRPr="00990D3B">
              <w:t> </w:t>
            </w:r>
          </w:p>
        </w:tc>
      </w:tr>
    </w:tbl>
    <w:p w:rsidR="002D5FD7" w:rsidRPr="00990D3B" w:rsidP="00857AEB" w14:paraId="3D215CE2" w14:textId="77777777">
      <w:pPr>
        <w:pStyle w:val="EQRNormalSSWORKSHEET"/>
      </w:pPr>
      <w:r w:rsidRPr="00990D3B">
        <w:br w:type="page"/>
      </w:r>
    </w:p>
    <w:p w:rsidR="002D5FD7" w:rsidRPr="00990D3B" w:rsidP="00A54412" w14:paraId="43F512A2" w14:textId="742A0063">
      <w:pPr>
        <w:pStyle w:val="EQRMarkforExhibitWORKSHEET"/>
      </w:pPr>
      <w:bookmarkStart w:id="764" w:name="WSp6n06"/>
      <w:bookmarkStart w:id="765" w:name="_Toc125619183"/>
      <w:bookmarkStart w:id="766" w:name="_Toc201751546"/>
      <w:r w:rsidRPr="00990D3B">
        <w:t>Worksheet 6.6</w:t>
      </w:r>
      <w:bookmarkEnd w:id="764"/>
      <w:r w:rsidRPr="00990D3B">
        <w:t xml:space="preserve">. </w:t>
      </w:r>
      <w:r w:rsidRPr="00990D3B" w:rsidR="00333704">
        <w:t xml:space="preserve">Survey </w:t>
      </w:r>
      <w:r w:rsidRPr="00990D3B">
        <w:t>Quality Assurance Plan</w:t>
      </w:r>
      <w:bookmarkEnd w:id="765"/>
      <w:bookmarkEnd w:id="766"/>
    </w:p>
    <w:p w:rsidR="003650D1" w:rsidRPr="00990D3B" w:rsidP="003650D1" w14:paraId="3CBEA395" w14:textId="77777777">
      <w:pPr>
        <w:pStyle w:val="EQRNormalSSWORKSHEET"/>
      </w:pPr>
      <w:r w:rsidRPr="00990D3B">
        <w:rPr>
          <w:b/>
          <w:bCs/>
        </w:rPr>
        <w:t xml:space="preserve">Instructions. </w:t>
      </w:r>
      <w:r w:rsidRPr="00990D3B" w:rsidR="002D5FD7">
        <w:t xml:space="preserve">Assess the quality assurance plan by indicating whether the following quality checks were included in the plan. Insert comments to explain “No” and “Not </w:t>
      </w:r>
      <w:r w:rsidRPr="00990D3B" w:rsidR="00507D5D">
        <w:t>A</w:t>
      </w:r>
      <w:r w:rsidRPr="00990D3B" w:rsidR="002D5FD7">
        <w:t>pplicable</w:t>
      </w:r>
      <w:r w:rsidRPr="00990D3B" w:rsidR="00A91107">
        <w:t>”</w:t>
      </w:r>
      <w:r w:rsidRPr="00990D3B" w:rsidR="002D5FD7">
        <w:t xml:space="preserve"> responses. Note: The assessment of whether the plan was implemented appropriately is included in </w:t>
      </w:r>
      <w:hyperlink w:anchor="WSp6n07" w:tooltip="Worksheet 6.7" w:history="1">
        <w:r w:rsidRPr="00990D3B" w:rsidR="002D5FD7">
          <w:rPr>
            <w:rStyle w:val="Hyperlink"/>
          </w:rPr>
          <w:t>Worksheet 6.7</w:t>
        </w:r>
      </w:hyperlink>
      <w:r w:rsidRPr="00990D3B" w:rsidR="002D5FD7">
        <w:t>.</w:t>
      </w:r>
    </w:p>
    <w:p w:rsidR="00252C67" w:rsidRPr="00990D3B" w:rsidP="003650D1" w14:paraId="1AEAEAED" w14:textId="74355304">
      <w:pPr>
        <w:pStyle w:val="EQRNormalSSWORKSHEET"/>
        <w:rPr>
          <w:rFonts w:cs="Arial"/>
        </w:rPr>
      </w:pPr>
      <w:r w:rsidRPr="00990D3B">
        <w:rPr>
          <w:rFonts w:cs="Arial"/>
        </w:rPr>
        <w:t>Acronyms: NA = Not Applicable.</w:t>
      </w:r>
    </w:p>
    <w:p w:rsidR="00252C67" w:rsidRPr="00990D3B" w:rsidP="00252C67" w14:paraId="4E826E8F" w14:textId="77777777">
      <w:pPr>
        <w:pStyle w:val="EQRNormalSSWORKSHEET"/>
        <w:rPr>
          <w:b/>
        </w:rPr>
      </w:pPr>
      <w:r w:rsidRPr="00990D3B">
        <w:rPr>
          <w:b/>
        </w:rPr>
        <w:t>Date of quality assurance plan: _________________________________________________</w:t>
      </w:r>
    </w:p>
    <w:tbl>
      <w:tblPr>
        <w:tblStyle w:val="TableGrid"/>
        <w:tblW w:w="5000" w:type="pct"/>
        <w:tblLook w:val="04A0"/>
      </w:tblPr>
      <w:tblGrid>
        <w:gridCol w:w="4372"/>
        <w:gridCol w:w="608"/>
        <w:gridCol w:w="608"/>
        <w:gridCol w:w="707"/>
        <w:gridCol w:w="3055"/>
      </w:tblGrid>
      <w:tr w14:paraId="337F5BB2" w14:textId="77777777" w:rsidTr="00252C67">
        <w:tblPrEx>
          <w:tblW w:w="5000" w:type="pct"/>
          <w:tblLook w:val="04A0"/>
        </w:tblPrEx>
        <w:trPr>
          <w:tblHeader/>
        </w:trPr>
        <w:tc>
          <w:tcPr>
            <w:tcW w:w="4372" w:type="dxa"/>
            <w:vAlign w:val="bottom"/>
          </w:tcPr>
          <w:p w:rsidR="002D5FD7" w:rsidRPr="00990D3B" w:rsidP="00CF6947" w14:paraId="1FD1D878" w14:textId="77777777">
            <w:pPr>
              <w:pStyle w:val="EQRTableHeaderLeft"/>
              <w:rPr>
                <w:color w:val="auto"/>
              </w:rPr>
            </w:pPr>
            <w:r w:rsidRPr="00990D3B">
              <w:rPr>
                <w:color w:val="auto"/>
              </w:rPr>
              <w:t>Question</w:t>
            </w:r>
          </w:p>
        </w:tc>
        <w:tc>
          <w:tcPr>
            <w:tcW w:w="608" w:type="dxa"/>
            <w:tcBorders>
              <w:bottom w:val="single" w:sz="4" w:space="0" w:color="000000" w:themeColor="text1"/>
            </w:tcBorders>
            <w:vAlign w:val="bottom"/>
          </w:tcPr>
          <w:p w:rsidR="002D5FD7" w:rsidRPr="00990D3B" w:rsidP="00CF6947" w14:paraId="506A4737" w14:textId="77777777">
            <w:pPr>
              <w:pStyle w:val="EQRTableHeaderCenter"/>
              <w:rPr>
                <w:color w:val="auto"/>
              </w:rPr>
            </w:pPr>
            <w:r w:rsidRPr="00990D3B">
              <w:rPr>
                <w:color w:val="auto"/>
              </w:rPr>
              <w:t>Yes</w:t>
            </w:r>
          </w:p>
        </w:tc>
        <w:tc>
          <w:tcPr>
            <w:tcW w:w="608" w:type="dxa"/>
            <w:tcBorders>
              <w:bottom w:val="single" w:sz="4" w:space="0" w:color="000000" w:themeColor="text1"/>
            </w:tcBorders>
            <w:vAlign w:val="bottom"/>
          </w:tcPr>
          <w:p w:rsidR="002D5FD7" w:rsidRPr="00990D3B" w:rsidP="00CF6947" w14:paraId="183AD7BC" w14:textId="77777777">
            <w:pPr>
              <w:pStyle w:val="EQRTableHeaderCenter"/>
              <w:rPr>
                <w:color w:val="auto"/>
              </w:rPr>
            </w:pPr>
            <w:r w:rsidRPr="00990D3B">
              <w:rPr>
                <w:color w:val="auto"/>
              </w:rPr>
              <w:t>No</w:t>
            </w:r>
          </w:p>
        </w:tc>
        <w:tc>
          <w:tcPr>
            <w:tcW w:w="707" w:type="dxa"/>
            <w:tcBorders>
              <w:bottom w:val="single" w:sz="4" w:space="0" w:color="000000" w:themeColor="text1"/>
            </w:tcBorders>
            <w:vAlign w:val="bottom"/>
          </w:tcPr>
          <w:p w:rsidR="002D5FD7" w:rsidRPr="00990D3B" w:rsidP="005D7271" w14:paraId="2472F71A" w14:textId="07EAA098">
            <w:pPr>
              <w:pStyle w:val="EQRTableHeaderCenter"/>
              <w:rPr>
                <w:color w:val="auto"/>
              </w:rPr>
            </w:pPr>
            <w:r w:rsidRPr="00990D3B">
              <w:rPr>
                <w:color w:val="auto"/>
              </w:rPr>
              <w:t>NA</w:t>
            </w:r>
          </w:p>
        </w:tc>
        <w:tc>
          <w:tcPr>
            <w:tcW w:w="3055" w:type="dxa"/>
            <w:tcBorders>
              <w:bottom w:val="single" w:sz="4" w:space="0" w:color="000000" w:themeColor="text1"/>
            </w:tcBorders>
            <w:vAlign w:val="bottom"/>
          </w:tcPr>
          <w:p w:rsidR="002D5FD7" w:rsidRPr="00990D3B" w:rsidP="00CF6947" w14:paraId="697E75F0" w14:textId="77777777">
            <w:pPr>
              <w:pStyle w:val="EQRTableHeaderCenter"/>
              <w:rPr>
                <w:color w:val="auto"/>
              </w:rPr>
            </w:pPr>
            <w:r w:rsidRPr="00990D3B">
              <w:rPr>
                <w:color w:val="auto"/>
              </w:rPr>
              <w:t>Comments</w:t>
            </w:r>
          </w:p>
        </w:tc>
      </w:tr>
      <w:tr w14:paraId="5CFF8EDA" w14:textId="77777777" w:rsidTr="00252C67">
        <w:tblPrEx>
          <w:tblW w:w="5000" w:type="pct"/>
          <w:tblLook w:val="04A0"/>
        </w:tblPrEx>
        <w:tc>
          <w:tcPr>
            <w:tcW w:w="4372" w:type="dxa"/>
          </w:tcPr>
          <w:p w:rsidR="002D5FD7" w:rsidRPr="00990D3B" w:rsidP="00CF6947" w14:paraId="37ED7788" w14:textId="77777777">
            <w:pPr>
              <w:pStyle w:val="EQRTableText"/>
            </w:pPr>
            <w:r w:rsidRPr="00990D3B">
              <w:rPr>
                <w:b/>
              </w:rPr>
              <w:t>Sampling.</w:t>
            </w:r>
            <w:r w:rsidRPr="00990D3B">
              <w:t xml:space="preserve"> Did the plan include a check to ensure the sample was constructed as specified in the sampling plan? </w:t>
            </w:r>
          </w:p>
        </w:tc>
        <w:tc>
          <w:tcPr>
            <w:tcW w:w="608" w:type="dxa"/>
          </w:tcPr>
          <w:p w:rsidR="002D5FD7" w:rsidRPr="00990D3B" w:rsidP="00B5627B" w14:paraId="2C0F7B44" w14:textId="77777777">
            <w:pPr>
              <w:pStyle w:val="EQRTableText"/>
              <w:jc w:val="center"/>
            </w:pPr>
            <w:r w:rsidRPr="00990D3B">
              <w:t> </w:t>
            </w:r>
          </w:p>
        </w:tc>
        <w:tc>
          <w:tcPr>
            <w:tcW w:w="608" w:type="dxa"/>
          </w:tcPr>
          <w:p w:rsidR="002D5FD7" w:rsidRPr="00990D3B" w:rsidP="00B5627B" w14:paraId="68F8B7E4" w14:textId="77777777">
            <w:pPr>
              <w:pStyle w:val="EQRTableText"/>
              <w:jc w:val="center"/>
            </w:pPr>
            <w:r w:rsidRPr="00990D3B">
              <w:t> </w:t>
            </w:r>
          </w:p>
        </w:tc>
        <w:tc>
          <w:tcPr>
            <w:tcW w:w="707" w:type="dxa"/>
          </w:tcPr>
          <w:p w:rsidR="002D5FD7" w:rsidRPr="00990D3B" w:rsidP="00B5627B" w14:paraId="28B39E04" w14:textId="77777777">
            <w:pPr>
              <w:pStyle w:val="EQRTableText"/>
              <w:jc w:val="center"/>
            </w:pPr>
            <w:r w:rsidRPr="00990D3B">
              <w:t> </w:t>
            </w:r>
          </w:p>
        </w:tc>
        <w:tc>
          <w:tcPr>
            <w:tcW w:w="3055" w:type="dxa"/>
          </w:tcPr>
          <w:p w:rsidR="002D5FD7" w:rsidRPr="00990D3B" w:rsidP="00CF6947" w14:paraId="0DC1C06B" w14:textId="77777777">
            <w:pPr>
              <w:pStyle w:val="EQRTableText"/>
            </w:pPr>
            <w:r w:rsidRPr="00990D3B">
              <w:t> </w:t>
            </w:r>
          </w:p>
        </w:tc>
      </w:tr>
      <w:tr w14:paraId="1D10E317" w14:textId="77777777" w:rsidTr="00252C67">
        <w:tblPrEx>
          <w:tblW w:w="5000" w:type="pct"/>
          <w:tblLook w:val="04A0"/>
        </w:tblPrEx>
        <w:tc>
          <w:tcPr>
            <w:tcW w:w="4372" w:type="dxa"/>
          </w:tcPr>
          <w:p w:rsidR="002D5FD7" w:rsidRPr="00990D3B" w:rsidP="00CF6947" w14:paraId="5318340F" w14:textId="77777777">
            <w:pPr>
              <w:pStyle w:val="EQRTableText"/>
            </w:pPr>
            <w:r w:rsidRPr="00990D3B">
              <w:rPr>
                <w:b/>
              </w:rPr>
              <w:t>Locating.</w:t>
            </w:r>
            <w:r w:rsidRPr="00990D3B">
              <w:t xml:space="preserve"> Did the plan include a check that initial contact was made for every sample member? </w:t>
            </w:r>
          </w:p>
        </w:tc>
        <w:tc>
          <w:tcPr>
            <w:tcW w:w="608" w:type="dxa"/>
          </w:tcPr>
          <w:p w:rsidR="002D5FD7" w:rsidRPr="00990D3B" w:rsidP="00B5627B" w14:paraId="62920EBF" w14:textId="77777777">
            <w:pPr>
              <w:pStyle w:val="EQRTableText"/>
              <w:jc w:val="center"/>
            </w:pPr>
            <w:r w:rsidRPr="00990D3B">
              <w:t> </w:t>
            </w:r>
          </w:p>
        </w:tc>
        <w:tc>
          <w:tcPr>
            <w:tcW w:w="608" w:type="dxa"/>
          </w:tcPr>
          <w:p w:rsidR="002D5FD7" w:rsidRPr="00990D3B" w:rsidP="00B5627B" w14:paraId="184C936D" w14:textId="77777777">
            <w:pPr>
              <w:pStyle w:val="EQRTableText"/>
              <w:jc w:val="center"/>
            </w:pPr>
            <w:r w:rsidRPr="00990D3B">
              <w:t> </w:t>
            </w:r>
          </w:p>
        </w:tc>
        <w:tc>
          <w:tcPr>
            <w:tcW w:w="707" w:type="dxa"/>
          </w:tcPr>
          <w:p w:rsidR="002D5FD7" w:rsidRPr="00990D3B" w:rsidP="00B5627B" w14:paraId="4CC06E80" w14:textId="77777777">
            <w:pPr>
              <w:pStyle w:val="EQRTableText"/>
              <w:jc w:val="center"/>
            </w:pPr>
            <w:r w:rsidRPr="00990D3B">
              <w:t> </w:t>
            </w:r>
          </w:p>
        </w:tc>
        <w:tc>
          <w:tcPr>
            <w:tcW w:w="3055" w:type="dxa"/>
          </w:tcPr>
          <w:p w:rsidR="002D5FD7" w:rsidRPr="00990D3B" w:rsidP="00CF6947" w14:paraId="0D5BFD4B" w14:textId="77777777">
            <w:pPr>
              <w:pStyle w:val="EQRTableText"/>
            </w:pPr>
            <w:r w:rsidRPr="00990D3B">
              <w:t> </w:t>
            </w:r>
          </w:p>
        </w:tc>
      </w:tr>
      <w:tr w14:paraId="6E82B8EA" w14:textId="77777777" w:rsidTr="00252C67">
        <w:tblPrEx>
          <w:tblW w:w="5000" w:type="pct"/>
          <w:tblLook w:val="04A0"/>
        </w:tblPrEx>
        <w:tc>
          <w:tcPr>
            <w:tcW w:w="4372" w:type="dxa"/>
          </w:tcPr>
          <w:p w:rsidR="002D5FD7" w:rsidRPr="00990D3B" w:rsidP="00CF6947" w14:paraId="2BE4AFB7" w14:textId="77777777">
            <w:pPr>
              <w:pStyle w:val="EQRTableText"/>
            </w:pPr>
            <w:r w:rsidRPr="00990D3B">
              <w:rPr>
                <w:b/>
              </w:rPr>
              <w:t>Mail data collection.</w:t>
            </w:r>
            <w:r w:rsidRPr="00990D3B">
              <w:t xml:space="preserve"> Were the following quality checks included in the plan?</w:t>
            </w:r>
          </w:p>
          <w:p w:rsidR="002D5FD7" w:rsidRPr="00990D3B" w:rsidP="002D5FD7" w14:paraId="7F35C875" w14:textId="77777777">
            <w:pPr>
              <w:pStyle w:val="EQRTableTextbullet"/>
              <w:spacing w:line="240" w:lineRule="auto"/>
              <w:ind w:left="216" w:hanging="216"/>
            </w:pPr>
            <w:r w:rsidRPr="00990D3B">
              <w:t>Was the survey reviewed for respondent reading level (surveys should be written at a 6th grade reading level to ensure most respondents are able to read and understand the content)</w:t>
            </w:r>
          </w:p>
          <w:p w:rsidR="002D5FD7" w:rsidRPr="00990D3B" w:rsidP="002D5FD7" w14:paraId="4D582D8F" w14:textId="77777777">
            <w:pPr>
              <w:pStyle w:val="EQRTableTextbullet"/>
              <w:spacing w:line="240" w:lineRule="auto"/>
              <w:ind w:left="216" w:hanging="216"/>
            </w:pPr>
            <w:r w:rsidRPr="00990D3B">
              <w:t>Were specifications and procedures developed for formatting, reproducing, and distributing the survey questionnaire?</w:t>
            </w:r>
          </w:p>
          <w:p w:rsidR="002D5FD7" w:rsidRPr="00990D3B" w:rsidP="002D5FD7" w14:paraId="4AD8A6EF" w14:textId="77777777">
            <w:pPr>
              <w:pStyle w:val="EQRTableTextbullet"/>
              <w:spacing w:line="240" w:lineRule="auto"/>
              <w:ind w:left="216" w:hanging="216"/>
            </w:pPr>
            <w:r w:rsidRPr="00990D3B">
              <w:t>Were contents of the mailing packet, such as the cover letter and questionnaire, reviewed for accuracy, print smearing, fading, and misalignment?</w:t>
            </w:r>
          </w:p>
          <w:p w:rsidR="002D5FD7" w:rsidRPr="00990D3B" w:rsidP="002D5FD7" w14:paraId="7488EC72" w14:textId="77777777">
            <w:pPr>
              <w:pStyle w:val="EQRTableTextbullet"/>
              <w:spacing w:line="240" w:lineRule="auto"/>
              <w:ind w:left="216" w:hanging="216"/>
            </w:pPr>
            <w:r w:rsidRPr="00990D3B">
              <w:t>Were the returned mail surveys data entry reviewed for accuracy?</w:t>
            </w:r>
          </w:p>
        </w:tc>
        <w:tc>
          <w:tcPr>
            <w:tcW w:w="608" w:type="dxa"/>
          </w:tcPr>
          <w:p w:rsidR="002D5FD7" w:rsidRPr="00990D3B" w:rsidP="00B5627B" w14:paraId="43E3D883" w14:textId="77777777">
            <w:pPr>
              <w:pStyle w:val="EQRTableText"/>
              <w:jc w:val="center"/>
            </w:pPr>
            <w:r w:rsidRPr="00990D3B">
              <w:t> </w:t>
            </w:r>
          </w:p>
        </w:tc>
        <w:tc>
          <w:tcPr>
            <w:tcW w:w="608" w:type="dxa"/>
          </w:tcPr>
          <w:p w:rsidR="002D5FD7" w:rsidRPr="00990D3B" w:rsidP="00B5627B" w14:paraId="16F5E040" w14:textId="77777777">
            <w:pPr>
              <w:pStyle w:val="EQRTableText"/>
              <w:jc w:val="center"/>
            </w:pPr>
            <w:r w:rsidRPr="00990D3B">
              <w:t> </w:t>
            </w:r>
          </w:p>
        </w:tc>
        <w:tc>
          <w:tcPr>
            <w:tcW w:w="707" w:type="dxa"/>
          </w:tcPr>
          <w:p w:rsidR="002D5FD7" w:rsidRPr="00990D3B" w:rsidP="00B5627B" w14:paraId="71A8B5BD" w14:textId="77777777">
            <w:pPr>
              <w:pStyle w:val="EQRTableText"/>
              <w:jc w:val="center"/>
            </w:pPr>
            <w:r w:rsidRPr="00990D3B">
              <w:t> </w:t>
            </w:r>
          </w:p>
        </w:tc>
        <w:tc>
          <w:tcPr>
            <w:tcW w:w="3055" w:type="dxa"/>
          </w:tcPr>
          <w:p w:rsidR="002D5FD7" w:rsidRPr="00990D3B" w:rsidP="00CF6947" w14:paraId="7051003B" w14:textId="77777777">
            <w:pPr>
              <w:pStyle w:val="EQRTableText"/>
            </w:pPr>
            <w:r w:rsidRPr="00990D3B">
              <w:t> </w:t>
            </w:r>
          </w:p>
        </w:tc>
      </w:tr>
      <w:tr w14:paraId="4A4D4DE7" w14:textId="77777777" w:rsidTr="00252C67">
        <w:tblPrEx>
          <w:tblW w:w="5000" w:type="pct"/>
          <w:tblLook w:val="04A0"/>
        </w:tblPrEx>
        <w:tc>
          <w:tcPr>
            <w:tcW w:w="4372" w:type="dxa"/>
          </w:tcPr>
          <w:p w:rsidR="002D5FD7" w:rsidRPr="00990D3B" w:rsidP="00CF6947" w14:paraId="27FCCEFD" w14:textId="77777777">
            <w:pPr>
              <w:pStyle w:val="EQRTableText"/>
            </w:pPr>
            <w:r w:rsidRPr="00990D3B">
              <w:rPr>
                <w:b/>
              </w:rPr>
              <w:t>Telephone data collection.</w:t>
            </w:r>
            <w:r w:rsidRPr="00990D3B">
              <w:t xml:space="preserve"> Were the following quality checks included in the plan?</w:t>
            </w:r>
          </w:p>
          <w:p w:rsidR="002D5FD7" w:rsidRPr="00990D3B" w:rsidP="002D5FD7" w14:paraId="289D7BA1" w14:textId="77777777">
            <w:pPr>
              <w:pStyle w:val="EQRTableTextbullet"/>
              <w:spacing w:line="240" w:lineRule="auto"/>
              <w:ind w:left="216" w:hanging="216"/>
            </w:pPr>
            <w:r w:rsidRPr="00990D3B">
              <w:t>Were interviewer training and telephone scripts reviewed for accuracy?</w:t>
            </w:r>
          </w:p>
          <w:p w:rsidR="002D5FD7" w:rsidRPr="00990D3B" w:rsidP="002D5FD7" w14:paraId="3C9CA069" w14:textId="77777777">
            <w:pPr>
              <w:pStyle w:val="EQRTableTextbullet"/>
              <w:spacing w:line="240" w:lineRule="auto"/>
              <w:ind w:left="216" w:hanging="216"/>
            </w:pPr>
            <w:r w:rsidRPr="00990D3B">
              <w:t>Were telephone interviews monitored to confirm that interviewers read questions verbatim and accurately captured responses?</w:t>
            </w:r>
          </w:p>
        </w:tc>
        <w:tc>
          <w:tcPr>
            <w:tcW w:w="608" w:type="dxa"/>
          </w:tcPr>
          <w:p w:rsidR="002D5FD7" w:rsidRPr="00990D3B" w:rsidP="00B5627B" w14:paraId="5FC2BC93" w14:textId="77777777">
            <w:pPr>
              <w:pStyle w:val="EQRTableText"/>
              <w:jc w:val="center"/>
            </w:pPr>
            <w:r w:rsidRPr="00990D3B">
              <w:t> </w:t>
            </w:r>
          </w:p>
        </w:tc>
        <w:tc>
          <w:tcPr>
            <w:tcW w:w="608" w:type="dxa"/>
          </w:tcPr>
          <w:p w:rsidR="002D5FD7" w:rsidRPr="00990D3B" w:rsidP="00B5627B" w14:paraId="4CC94AD6" w14:textId="77777777">
            <w:pPr>
              <w:pStyle w:val="EQRTableText"/>
              <w:jc w:val="center"/>
            </w:pPr>
            <w:r w:rsidRPr="00990D3B">
              <w:t> </w:t>
            </w:r>
          </w:p>
        </w:tc>
        <w:tc>
          <w:tcPr>
            <w:tcW w:w="707" w:type="dxa"/>
          </w:tcPr>
          <w:p w:rsidR="002D5FD7" w:rsidRPr="00990D3B" w:rsidP="00B5627B" w14:paraId="6148E21C" w14:textId="77777777">
            <w:pPr>
              <w:pStyle w:val="EQRTableText"/>
              <w:jc w:val="center"/>
            </w:pPr>
            <w:r w:rsidRPr="00990D3B">
              <w:t> </w:t>
            </w:r>
          </w:p>
        </w:tc>
        <w:tc>
          <w:tcPr>
            <w:tcW w:w="3055" w:type="dxa"/>
          </w:tcPr>
          <w:p w:rsidR="002D5FD7" w:rsidRPr="00990D3B" w:rsidP="00CF6947" w14:paraId="44173B5E" w14:textId="77777777">
            <w:pPr>
              <w:pStyle w:val="EQRTableText"/>
            </w:pPr>
            <w:r w:rsidRPr="00990D3B">
              <w:t> </w:t>
            </w:r>
          </w:p>
        </w:tc>
      </w:tr>
      <w:tr w14:paraId="21879B9C" w14:textId="77777777" w:rsidTr="00252C67">
        <w:tblPrEx>
          <w:tblW w:w="5000" w:type="pct"/>
          <w:tblLook w:val="04A0"/>
        </w:tblPrEx>
        <w:tc>
          <w:tcPr>
            <w:tcW w:w="4372" w:type="dxa"/>
          </w:tcPr>
          <w:p w:rsidR="002D5FD7" w:rsidRPr="00990D3B" w:rsidP="00CF6947" w14:paraId="12B27F12" w14:textId="77777777">
            <w:pPr>
              <w:pStyle w:val="EQRTableText"/>
            </w:pPr>
            <w:r w:rsidRPr="00990D3B">
              <w:rPr>
                <w:b/>
              </w:rPr>
              <w:t>Web-based data collection</w:t>
            </w:r>
            <w:r w:rsidRPr="00990D3B">
              <w:t xml:space="preserve">. Did the plan include a check that the web-based instrument programming and content was tested for accuracy? </w:t>
            </w:r>
          </w:p>
        </w:tc>
        <w:tc>
          <w:tcPr>
            <w:tcW w:w="608" w:type="dxa"/>
          </w:tcPr>
          <w:p w:rsidR="002D5FD7" w:rsidRPr="00990D3B" w:rsidP="00B5627B" w14:paraId="64C19B72" w14:textId="77777777">
            <w:pPr>
              <w:pStyle w:val="EQRTableText"/>
              <w:jc w:val="center"/>
            </w:pPr>
            <w:r w:rsidRPr="00990D3B">
              <w:t> </w:t>
            </w:r>
          </w:p>
        </w:tc>
        <w:tc>
          <w:tcPr>
            <w:tcW w:w="608" w:type="dxa"/>
          </w:tcPr>
          <w:p w:rsidR="002D5FD7" w:rsidRPr="00990D3B" w:rsidP="00B5627B" w14:paraId="7275504F" w14:textId="77777777">
            <w:pPr>
              <w:pStyle w:val="EQRTableText"/>
              <w:jc w:val="center"/>
            </w:pPr>
            <w:r w:rsidRPr="00990D3B">
              <w:t> </w:t>
            </w:r>
          </w:p>
        </w:tc>
        <w:tc>
          <w:tcPr>
            <w:tcW w:w="707" w:type="dxa"/>
          </w:tcPr>
          <w:p w:rsidR="002D5FD7" w:rsidRPr="00990D3B" w:rsidP="00B5627B" w14:paraId="1996D61F" w14:textId="77777777">
            <w:pPr>
              <w:pStyle w:val="EQRTableText"/>
              <w:jc w:val="center"/>
            </w:pPr>
            <w:r w:rsidRPr="00990D3B">
              <w:t> </w:t>
            </w:r>
          </w:p>
        </w:tc>
        <w:tc>
          <w:tcPr>
            <w:tcW w:w="3055" w:type="dxa"/>
          </w:tcPr>
          <w:p w:rsidR="002D5FD7" w:rsidRPr="00990D3B" w:rsidP="00CF6947" w14:paraId="4AA11AA2" w14:textId="77777777">
            <w:pPr>
              <w:pStyle w:val="EQRTableText"/>
            </w:pPr>
            <w:r w:rsidRPr="00990D3B">
              <w:t> </w:t>
            </w:r>
          </w:p>
        </w:tc>
      </w:tr>
      <w:tr w14:paraId="11DA7DEA" w14:textId="77777777" w:rsidTr="00252C67">
        <w:tblPrEx>
          <w:tblW w:w="5000" w:type="pct"/>
          <w:tblLook w:val="04A0"/>
        </w:tblPrEx>
        <w:tc>
          <w:tcPr>
            <w:tcW w:w="4372" w:type="dxa"/>
          </w:tcPr>
          <w:p w:rsidR="002D5FD7" w:rsidRPr="00990D3B" w:rsidP="00CF6947" w14:paraId="6A697295" w14:textId="77777777">
            <w:pPr>
              <w:pStyle w:val="EQRTableText"/>
            </w:pPr>
            <w:r w:rsidRPr="00990D3B">
              <w:rPr>
                <w:b/>
              </w:rPr>
              <w:t>Data quality controls.</w:t>
            </w:r>
            <w:r w:rsidRPr="00990D3B">
              <w:t xml:space="preserve"> Did the plan include procedures to handle responses that fail edit checks, treatment of missing data, and determination of usable/complete surveys? (Note: The plan should establish a pre-determined number of questions that must be answered by the respondent to be considered a usable case.)</w:t>
            </w:r>
          </w:p>
        </w:tc>
        <w:tc>
          <w:tcPr>
            <w:tcW w:w="608" w:type="dxa"/>
          </w:tcPr>
          <w:p w:rsidR="002D5FD7" w:rsidRPr="00990D3B" w:rsidP="00B5627B" w14:paraId="6A5D9FD5" w14:textId="77777777">
            <w:pPr>
              <w:pStyle w:val="EQRTableText"/>
              <w:jc w:val="center"/>
            </w:pPr>
            <w:r w:rsidRPr="00990D3B">
              <w:t> </w:t>
            </w:r>
          </w:p>
        </w:tc>
        <w:tc>
          <w:tcPr>
            <w:tcW w:w="608" w:type="dxa"/>
          </w:tcPr>
          <w:p w:rsidR="002D5FD7" w:rsidRPr="00990D3B" w:rsidP="00B5627B" w14:paraId="24C9A930" w14:textId="77777777">
            <w:pPr>
              <w:pStyle w:val="EQRTableText"/>
              <w:jc w:val="center"/>
            </w:pPr>
            <w:r w:rsidRPr="00990D3B">
              <w:t> </w:t>
            </w:r>
          </w:p>
        </w:tc>
        <w:tc>
          <w:tcPr>
            <w:tcW w:w="707" w:type="dxa"/>
          </w:tcPr>
          <w:p w:rsidR="002D5FD7" w:rsidRPr="00990D3B" w:rsidP="00B5627B" w14:paraId="676C651C" w14:textId="77777777">
            <w:pPr>
              <w:pStyle w:val="EQRTableText"/>
              <w:jc w:val="center"/>
            </w:pPr>
            <w:r w:rsidRPr="00990D3B">
              <w:t> </w:t>
            </w:r>
          </w:p>
        </w:tc>
        <w:tc>
          <w:tcPr>
            <w:tcW w:w="3055" w:type="dxa"/>
          </w:tcPr>
          <w:p w:rsidR="002D5FD7" w:rsidRPr="00990D3B" w:rsidP="00CF6947" w14:paraId="446FD8BC" w14:textId="77777777">
            <w:pPr>
              <w:pStyle w:val="EQRTableText"/>
            </w:pPr>
            <w:r w:rsidRPr="00990D3B">
              <w:t> </w:t>
            </w:r>
          </w:p>
        </w:tc>
      </w:tr>
      <w:tr w14:paraId="6B968933" w14:textId="77777777" w:rsidTr="00252C67">
        <w:tblPrEx>
          <w:tblW w:w="5000" w:type="pct"/>
          <w:tblLook w:val="04A0"/>
        </w:tblPrEx>
        <w:tc>
          <w:tcPr>
            <w:tcW w:w="4372" w:type="dxa"/>
          </w:tcPr>
          <w:p w:rsidR="002D5FD7" w:rsidRPr="00990D3B" w:rsidP="00CF6947" w14:paraId="061D36C7" w14:textId="38B8589A">
            <w:pPr>
              <w:pStyle w:val="EQRTableText"/>
            </w:pPr>
            <w:r w:rsidRPr="00990D3B">
              <w:t>Overall validation assessment: In the comments section, note any recommendations for improving the quality assurance plan</w:t>
            </w:r>
            <w:r w:rsidRPr="00990D3B" w:rsidR="00252C67">
              <w:t>.</w:t>
            </w:r>
          </w:p>
        </w:tc>
        <w:tc>
          <w:tcPr>
            <w:tcW w:w="608" w:type="dxa"/>
            <w:shd w:val="clear" w:color="auto" w:fill="BFBFBF" w:themeFill="background1" w:themeFillShade="BF"/>
          </w:tcPr>
          <w:p w:rsidR="002D5FD7" w:rsidRPr="00990D3B" w:rsidP="00B5627B" w14:paraId="29CB2FAF" w14:textId="77777777">
            <w:pPr>
              <w:pStyle w:val="EQRTableText"/>
              <w:jc w:val="center"/>
            </w:pPr>
            <w:r w:rsidRPr="00990D3B">
              <w:t> </w:t>
            </w:r>
          </w:p>
        </w:tc>
        <w:tc>
          <w:tcPr>
            <w:tcW w:w="608" w:type="dxa"/>
            <w:shd w:val="clear" w:color="auto" w:fill="BFBFBF" w:themeFill="background1" w:themeFillShade="BF"/>
          </w:tcPr>
          <w:p w:rsidR="002D5FD7" w:rsidRPr="00990D3B" w:rsidP="00B5627B" w14:paraId="72F119AC" w14:textId="77777777">
            <w:pPr>
              <w:pStyle w:val="EQRTableText"/>
              <w:jc w:val="center"/>
            </w:pPr>
            <w:r w:rsidRPr="00990D3B">
              <w:t> </w:t>
            </w:r>
          </w:p>
        </w:tc>
        <w:tc>
          <w:tcPr>
            <w:tcW w:w="707" w:type="dxa"/>
            <w:shd w:val="clear" w:color="auto" w:fill="BFBFBF" w:themeFill="background1" w:themeFillShade="BF"/>
          </w:tcPr>
          <w:p w:rsidR="002D5FD7" w:rsidRPr="00990D3B" w:rsidP="00B5627B" w14:paraId="2672D82B" w14:textId="77777777">
            <w:pPr>
              <w:pStyle w:val="EQRTableText"/>
              <w:jc w:val="center"/>
            </w:pPr>
            <w:r w:rsidRPr="00990D3B">
              <w:t> </w:t>
            </w:r>
          </w:p>
        </w:tc>
        <w:tc>
          <w:tcPr>
            <w:tcW w:w="3055" w:type="dxa"/>
          </w:tcPr>
          <w:p w:rsidR="002D5FD7" w:rsidRPr="00990D3B" w:rsidP="00CF6947" w14:paraId="1EDBA6B1" w14:textId="77777777">
            <w:pPr>
              <w:pStyle w:val="EQRTableText"/>
            </w:pPr>
            <w:r w:rsidRPr="00990D3B">
              <w:t> </w:t>
            </w:r>
          </w:p>
        </w:tc>
      </w:tr>
    </w:tbl>
    <w:p w:rsidR="002D5FD7" w:rsidRPr="00990D3B" w:rsidP="00A54412" w14:paraId="50F5EF1E" w14:textId="77777777">
      <w:pPr>
        <w:pStyle w:val="EQRMarkforExhibitWORKSHEET"/>
      </w:pPr>
      <w:bookmarkStart w:id="767" w:name="WSp6n07"/>
      <w:bookmarkStart w:id="768" w:name="_Toc125619184"/>
      <w:bookmarkStart w:id="769" w:name="_Toc201751547"/>
      <w:r w:rsidRPr="00990D3B">
        <w:t>Worksheet 6.7</w:t>
      </w:r>
      <w:bookmarkEnd w:id="767"/>
      <w:r w:rsidRPr="00990D3B">
        <w:t>. Survey Implementation According to the Work Plan</w:t>
      </w:r>
      <w:bookmarkEnd w:id="768"/>
      <w:bookmarkEnd w:id="769"/>
    </w:p>
    <w:p w:rsidR="003650D1" w:rsidRPr="00990D3B" w:rsidP="003650D1" w14:paraId="428E02E0" w14:textId="77777777">
      <w:pPr>
        <w:pStyle w:val="EQRNormalSSWORKSHEET"/>
      </w:pPr>
      <w:r w:rsidRPr="00990D3B">
        <w:rPr>
          <w:b/>
          <w:bCs/>
        </w:rPr>
        <w:t xml:space="preserve">Instructions. </w:t>
      </w:r>
      <w:r w:rsidRPr="00990D3B" w:rsidR="002D5FD7">
        <w:t xml:space="preserve">Assess the implementation of the survey by answering the following questions. Insert comments to explain “No” and “Not </w:t>
      </w:r>
      <w:r w:rsidRPr="00990D3B" w:rsidR="00507D5D">
        <w:t>A</w:t>
      </w:r>
      <w:r w:rsidRPr="00990D3B" w:rsidR="002D5FD7">
        <w:t>pplicable” responses.</w:t>
      </w:r>
    </w:p>
    <w:p w:rsidR="00252C67" w:rsidRPr="00990D3B" w:rsidP="003650D1" w14:paraId="2D130C91" w14:textId="4289FBCF">
      <w:pPr>
        <w:pStyle w:val="EQRNormalSSWORKSHEET"/>
        <w:rPr>
          <w:rFonts w:cs="Arial"/>
        </w:rPr>
      </w:pPr>
      <w:r w:rsidRPr="00990D3B">
        <w:rPr>
          <w:rFonts w:cs="Arial"/>
        </w:rPr>
        <w:t>Acronyms: NA = Not Applicable.</w:t>
      </w:r>
    </w:p>
    <w:tbl>
      <w:tblPr>
        <w:tblStyle w:val="TableGrid"/>
        <w:tblW w:w="5000" w:type="pct"/>
        <w:tblLook w:val="04A0"/>
      </w:tblPr>
      <w:tblGrid>
        <w:gridCol w:w="4637"/>
        <w:gridCol w:w="594"/>
        <w:gridCol w:w="558"/>
        <w:gridCol w:w="596"/>
        <w:gridCol w:w="2965"/>
      </w:tblGrid>
      <w:tr w14:paraId="0C024335" w14:textId="77777777" w:rsidTr="00252C67">
        <w:tblPrEx>
          <w:tblW w:w="5000" w:type="pct"/>
          <w:tblLook w:val="04A0"/>
        </w:tblPrEx>
        <w:trPr>
          <w:tblHeader/>
        </w:trPr>
        <w:tc>
          <w:tcPr>
            <w:tcW w:w="4637" w:type="dxa"/>
            <w:vAlign w:val="bottom"/>
          </w:tcPr>
          <w:p w:rsidR="002D5FD7" w:rsidRPr="00990D3B" w:rsidP="00B5627B" w14:paraId="77709F10" w14:textId="77777777">
            <w:pPr>
              <w:pStyle w:val="EQRTableHeaderLeft"/>
              <w:rPr>
                <w:color w:val="auto"/>
              </w:rPr>
            </w:pPr>
            <w:r w:rsidRPr="00990D3B">
              <w:rPr>
                <w:color w:val="auto"/>
              </w:rPr>
              <w:t>Question</w:t>
            </w:r>
          </w:p>
        </w:tc>
        <w:tc>
          <w:tcPr>
            <w:tcW w:w="594" w:type="dxa"/>
            <w:tcBorders>
              <w:bottom w:val="single" w:sz="4" w:space="0" w:color="000000" w:themeColor="text1"/>
            </w:tcBorders>
            <w:vAlign w:val="bottom"/>
          </w:tcPr>
          <w:p w:rsidR="002D5FD7" w:rsidRPr="00990D3B" w:rsidP="00B5627B" w14:paraId="369313A9" w14:textId="77777777">
            <w:pPr>
              <w:pStyle w:val="EQRTableHeaderCenter"/>
              <w:rPr>
                <w:color w:val="auto"/>
              </w:rPr>
            </w:pPr>
            <w:r w:rsidRPr="00990D3B">
              <w:rPr>
                <w:color w:val="auto"/>
              </w:rPr>
              <w:t>Yes</w:t>
            </w:r>
          </w:p>
        </w:tc>
        <w:tc>
          <w:tcPr>
            <w:tcW w:w="558" w:type="dxa"/>
            <w:tcBorders>
              <w:bottom w:val="single" w:sz="4" w:space="0" w:color="000000" w:themeColor="text1"/>
            </w:tcBorders>
            <w:vAlign w:val="bottom"/>
          </w:tcPr>
          <w:p w:rsidR="002D5FD7" w:rsidRPr="00990D3B" w:rsidP="00B5627B" w14:paraId="43661522" w14:textId="77777777">
            <w:pPr>
              <w:pStyle w:val="EQRTableHeaderCenter"/>
              <w:rPr>
                <w:color w:val="auto"/>
              </w:rPr>
            </w:pPr>
            <w:r w:rsidRPr="00990D3B">
              <w:rPr>
                <w:color w:val="auto"/>
              </w:rPr>
              <w:t>No</w:t>
            </w:r>
          </w:p>
        </w:tc>
        <w:tc>
          <w:tcPr>
            <w:tcW w:w="596" w:type="dxa"/>
            <w:tcBorders>
              <w:bottom w:val="single" w:sz="4" w:space="0" w:color="000000" w:themeColor="text1"/>
            </w:tcBorders>
            <w:vAlign w:val="bottom"/>
          </w:tcPr>
          <w:p w:rsidR="002D5FD7" w:rsidRPr="00990D3B" w:rsidP="00B5627B" w14:paraId="3E4591EB" w14:textId="7E49726E">
            <w:pPr>
              <w:pStyle w:val="EQRTableHeaderCenter"/>
              <w:rPr>
                <w:color w:val="auto"/>
              </w:rPr>
            </w:pPr>
            <w:r w:rsidRPr="00990D3B">
              <w:rPr>
                <w:color w:val="auto"/>
              </w:rPr>
              <w:t>NA</w:t>
            </w:r>
          </w:p>
        </w:tc>
        <w:tc>
          <w:tcPr>
            <w:tcW w:w="2965" w:type="dxa"/>
            <w:tcBorders>
              <w:bottom w:val="single" w:sz="4" w:space="0" w:color="000000" w:themeColor="text1"/>
            </w:tcBorders>
            <w:vAlign w:val="bottom"/>
          </w:tcPr>
          <w:p w:rsidR="002D5FD7" w:rsidRPr="00990D3B" w:rsidP="00B5627B" w14:paraId="0DFBB2AD" w14:textId="77777777">
            <w:pPr>
              <w:pStyle w:val="EQRTableHeaderCenter"/>
              <w:rPr>
                <w:color w:val="auto"/>
              </w:rPr>
            </w:pPr>
            <w:r w:rsidRPr="00990D3B">
              <w:rPr>
                <w:color w:val="auto"/>
              </w:rPr>
              <w:t>Comments</w:t>
            </w:r>
          </w:p>
        </w:tc>
      </w:tr>
      <w:tr w14:paraId="48DB6BAD" w14:textId="77777777" w:rsidTr="00252C67">
        <w:tblPrEx>
          <w:tblW w:w="5000" w:type="pct"/>
          <w:tblLook w:val="04A0"/>
        </w:tblPrEx>
        <w:tc>
          <w:tcPr>
            <w:tcW w:w="4637" w:type="dxa"/>
          </w:tcPr>
          <w:p w:rsidR="002D5FD7" w:rsidRPr="00990D3B" w:rsidP="00B5627B" w14:paraId="4DD9101C" w14:textId="77777777">
            <w:pPr>
              <w:pStyle w:val="EQRTableText"/>
            </w:pPr>
            <w:r w:rsidRPr="00990D3B">
              <w:t>Was the weekly data collection plan implemented as described in the work plan?</w:t>
            </w:r>
          </w:p>
        </w:tc>
        <w:tc>
          <w:tcPr>
            <w:tcW w:w="594" w:type="dxa"/>
          </w:tcPr>
          <w:p w:rsidR="002D5FD7" w:rsidRPr="00990D3B" w:rsidP="00B5627B" w14:paraId="1B4BE36E" w14:textId="77777777">
            <w:pPr>
              <w:pStyle w:val="EQRTableText"/>
              <w:jc w:val="center"/>
            </w:pPr>
            <w:r w:rsidRPr="00990D3B">
              <w:t> </w:t>
            </w:r>
          </w:p>
        </w:tc>
        <w:tc>
          <w:tcPr>
            <w:tcW w:w="558" w:type="dxa"/>
          </w:tcPr>
          <w:p w:rsidR="002D5FD7" w:rsidRPr="00990D3B" w:rsidP="00B5627B" w14:paraId="4960C3F5" w14:textId="77777777">
            <w:pPr>
              <w:pStyle w:val="EQRTableText"/>
              <w:jc w:val="center"/>
            </w:pPr>
            <w:r w:rsidRPr="00990D3B">
              <w:t> </w:t>
            </w:r>
          </w:p>
        </w:tc>
        <w:tc>
          <w:tcPr>
            <w:tcW w:w="596" w:type="dxa"/>
          </w:tcPr>
          <w:p w:rsidR="002D5FD7" w:rsidRPr="00990D3B" w:rsidP="00B5627B" w14:paraId="204A7568" w14:textId="77777777">
            <w:pPr>
              <w:pStyle w:val="EQRTableText"/>
              <w:jc w:val="center"/>
            </w:pPr>
            <w:r w:rsidRPr="00990D3B">
              <w:t> </w:t>
            </w:r>
          </w:p>
        </w:tc>
        <w:tc>
          <w:tcPr>
            <w:tcW w:w="2965" w:type="dxa"/>
          </w:tcPr>
          <w:p w:rsidR="002D5FD7" w:rsidRPr="00990D3B" w:rsidP="00B5627B" w14:paraId="6386E3BB" w14:textId="77777777">
            <w:pPr>
              <w:pStyle w:val="EQRTableText"/>
            </w:pPr>
            <w:r w:rsidRPr="00990D3B">
              <w:t> </w:t>
            </w:r>
          </w:p>
        </w:tc>
      </w:tr>
      <w:tr w14:paraId="003ACCAE" w14:textId="77777777" w:rsidTr="00252C67">
        <w:tblPrEx>
          <w:tblW w:w="5000" w:type="pct"/>
          <w:tblLook w:val="04A0"/>
        </w:tblPrEx>
        <w:tc>
          <w:tcPr>
            <w:tcW w:w="4637" w:type="dxa"/>
          </w:tcPr>
          <w:p w:rsidR="002D5FD7" w:rsidRPr="00990D3B" w:rsidP="00B5627B" w14:paraId="24BEB786" w14:textId="77777777">
            <w:pPr>
              <w:pStyle w:val="EQRTableText"/>
            </w:pPr>
            <w:r w:rsidRPr="00990D3B">
              <w:t>If deviations from the data collection plan occurred, were the reasons for the deviations explained?</w:t>
            </w:r>
          </w:p>
        </w:tc>
        <w:tc>
          <w:tcPr>
            <w:tcW w:w="594" w:type="dxa"/>
          </w:tcPr>
          <w:p w:rsidR="002D5FD7" w:rsidRPr="00990D3B" w:rsidP="00B5627B" w14:paraId="439343D4" w14:textId="77777777">
            <w:pPr>
              <w:pStyle w:val="EQRTableText"/>
              <w:jc w:val="center"/>
            </w:pPr>
            <w:r w:rsidRPr="00990D3B">
              <w:t> </w:t>
            </w:r>
          </w:p>
        </w:tc>
        <w:tc>
          <w:tcPr>
            <w:tcW w:w="558" w:type="dxa"/>
          </w:tcPr>
          <w:p w:rsidR="002D5FD7" w:rsidRPr="00990D3B" w:rsidP="00B5627B" w14:paraId="039E060B" w14:textId="77777777">
            <w:pPr>
              <w:pStyle w:val="EQRTableText"/>
              <w:jc w:val="center"/>
            </w:pPr>
            <w:r w:rsidRPr="00990D3B">
              <w:t> </w:t>
            </w:r>
          </w:p>
        </w:tc>
        <w:tc>
          <w:tcPr>
            <w:tcW w:w="596" w:type="dxa"/>
          </w:tcPr>
          <w:p w:rsidR="002D5FD7" w:rsidRPr="00990D3B" w:rsidP="00B5627B" w14:paraId="605A884B" w14:textId="77777777">
            <w:pPr>
              <w:pStyle w:val="EQRTableText"/>
              <w:jc w:val="center"/>
            </w:pPr>
            <w:r w:rsidRPr="00990D3B">
              <w:t> </w:t>
            </w:r>
          </w:p>
        </w:tc>
        <w:tc>
          <w:tcPr>
            <w:tcW w:w="2965" w:type="dxa"/>
          </w:tcPr>
          <w:p w:rsidR="002D5FD7" w:rsidRPr="00990D3B" w:rsidP="00B5627B" w14:paraId="0C2B9D36" w14:textId="77777777">
            <w:pPr>
              <w:pStyle w:val="EQRTableText"/>
            </w:pPr>
            <w:r w:rsidRPr="00990D3B">
              <w:t> </w:t>
            </w:r>
          </w:p>
        </w:tc>
      </w:tr>
      <w:tr w14:paraId="2045D57E" w14:textId="77777777" w:rsidTr="00252C67">
        <w:tblPrEx>
          <w:tblW w:w="5000" w:type="pct"/>
          <w:tblLook w:val="04A0"/>
        </w:tblPrEx>
        <w:tc>
          <w:tcPr>
            <w:tcW w:w="4637" w:type="dxa"/>
          </w:tcPr>
          <w:p w:rsidR="002D5FD7" w:rsidRPr="00990D3B" w:rsidP="00B5627B" w14:paraId="6ACADB31" w14:textId="79FE6E76">
            <w:pPr>
              <w:pStyle w:val="EQRTableText"/>
            </w:pPr>
            <w:r w:rsidRPr="00990D3B">
              <w:t xml:space="preserve">Were quality assurance checks implemented as specified in the quality assurance plan (see </w:t>
            </w:r>
            <w:hyperlink w:anchor="WSp6n06" w:tooltip="Worksheet 6.6" w:history="1">
              <w:r w:rsidRPr="00990D3B">
                <w:rPr>
                  <w:rStyle w:val="Hyperlink"/>
                </w:rPr>
                <w:t>Worksheet 6.6</w:t>
              </w:r>
            </w:hyperlink>
            <w:r w:rsidRPr="00990D3B">
              <w:t>)? If deviations occurred, please explain in the Comments column</w:t>
            </w:r>
          </w:p>
          <w:p w:rsidR="002D5FD7" w:rsidRPr="00990D3B" w:rsidP="002D5FD7" w14:paraId="0347D88C" w14:textId="77777777">
            <w:pPr>
              <w:pStyle w:val="EQRTableTextbullet"/>
              <w:spacing w:line="240" w:lineRule="auto"/>
              <w:ind w:left="216" w:hanging="216"/>
            </w:pPr>
            <w:r w:rsidRPr="00990D3B">
              <w:t>Was the sampling plan verified to ensure the sample was constructed as specified?</w:t>
            </w:r>
          </w:p>
          <w:p w:rsidR="002D5FD7" w:rsidRPr="00990D3B" w:rsidP="002D5FD7" w14:paraId="764B2A61" w14:textId="77777777">
            <w:pPr>
              <w:pStyle w:val="EQRTableTextbullet"/>
              <w:spacing w:line="240" w:lineRule="auto"/>
              <w:ind w:left="216" w:hanging="216"/>
            </w:pPr>
            <w:r w:rsidRPr="00990D3B">
              <w:t>Was initial contact made for every sample member?</w:t>
            </w:r>
          </w:p>
          <w:p w:rsidR="002D5FD7" w:rsidRPr="00990D3B" w:rsidP="002D5FD7" w14:paraId="3CA5BBEF" w14:textId="77777777">
            <w:pPr>
              <w:pStyle w:val="EQRTableTextbullet"/>
              <w:spacing w:line="240" w:lineRule="auto"/>
              <w:ind w:left="216" w:hanging="216"/>
            </w:pPr>
            <w:r w:rsidRPr="00990D3B">
              <w:t>Were specified quality checks made in accordance with the data collection mode (mail, telephone, web-based, or mixed mode)?</w:t>
            </w:r>
          </w:p>
          <w:p w:rsidR="002D5FD7" w:rsidRPr="00990D3B" w:rsidP="002D5FD7" w14:paraId="3D279192" w14:textId="77777777">
            <w:pPr>
              <w:pStyle w:val="EQRTableTextbullet"/>
              <w:spacing w:line="240" w:lineRule="auto"/>
              <w:ind w:left="216" w:hanging="216"/>
            </w:pPr>
            <w:r w:rsidRPr="00990D3B">
              <w:t xml:space="preserve">Were procedures developed to handle responses that fail </w:t>
            </w:r>
            <w:r w:rsidRPr="00990D3B">
              <w:t>edit</w:t>
            </w:r>
            <w:r w:rsidRPr="00990D3B">
              <w:t xml:space="preserve"> checks, treatment of missing data, and removal of surveys or data determined to be unusable? </w:t>
            </w:r>
          </w:p>
        </w:tc>
        <w:tc>
          <w:tcPr>
            <w:tcW w:w="594" w:type="dxa"/>
          </w:tcPr>
          <w:p w:rsidR="002D5FD7" w:rsidRPr="00990D3B" w:rsidP="00B5627B" w14:paraId="32086E66" w14:textId="77777777">
            <w:pPr>
              <w:pStyle w:val="EQRTableText"/>
              <w:jc w:val="center"/>
            </w:pPr>
            <w:r w:rsidRPr="00990D3B">
              <w:t> </w:t>
            </w:r>
          </w:p>
        </w:tc>
        <w:tc>
          <w:tcPr>
            <w:tcW w:w="558" w:type="dxa"/>
          </w:tcPr>
          <w:p w:rsidR="002D5FD7" w:rsidRPr="00990D3B" w:rsidP="00B5627B" w14:paraId="0880092A" w14:textId="77777777">
            <w:pPr>
              <w:pStyle w:val="EQRTableText"/>
              <w:jc w:val="center"/>
            </w:pPr>
            <w:r w:rsidRPr="00990D3B">
              <w:t> </w:t>
            </w:r>
          </w:p>
        </w:tc>
        <w:tc>
          <w:tcPr>
            <w:tcW w:w="596" w:type="dxa"/>
          </w:tcPr>
          <w:p w:rsidR="002D5FD7" w:rsidRPr="00990D3B" w:rsidP="00B5627B" w14:paraId="32EC3606" w14:textId="77777777">
            <w:pPr>
              <w:pStyle w:val="EQRTableText"/>
              <w:jc w:val="center"/>
            </w:pPr>
            <w:r w:rsidRPr="00990D3B">
              <w:t> </w:t>
            </w:r>
          </w:p>
        </w:tc>
        <w:tc>
          <w:tcPr>
            <w:tcW w:w="2965" w:type="dxa"/>
          </w:tcPr>
          <w:p w:rsidR="002D5FD7" w:rsidRPr="00990D3B" w:rsidP="00B5627B" w14:paraId="2AE14CA3" w14:textId="77777777">
            <w:pPr>
              <w:pStyle w:val="EQRTableText"/>
            </w:pPr>
            <w:r w:rsidRPr="00990D3B">
              <w:t> </w:t>
            </w:r>
          </w:p>
        </w:tc>
      </w:tr>
      <w:tr w14:paraId="2202228D" w14:textId="77777777" w:rsidTr="00252C67">
        <w:tblPrEx>
          <w:tblW w:w="5000" w:type="pct"/>
          <w:tblLook w:val="04A0"/>
        </w:tblPrEx>
        <w:tc>
          <w:tcPr>
            <w:tcW w:w="4637" w:type="dxa"/>
          </w:tcPr>
          <w:p w:rsidR="002D5FD7" w:rsidRPr="00990D3B" w:rsidP="00B5627B" w14:paraId="321C192B" w14:textId="4877EE20">
            <w:pPr>
              <w:pStyle w:val="EQRTableText"/>
            </w:pPr>
            <w:r w:rsidRPr="00990D3B">
              <w:t>Overall validation assessment: In the comments section, note any recommendations for improving the implementation of the survey</w:t>
            </w:r>
            <w:r w:rsidRPr="00990D3B" w:rsidR="00252C67">
              <w:t>.</w:t>
            </w:r>
          </w:p>
        </w:tc>
        <w:tc>
          <w:tcPr>
            <w:tcW w:w="594" w:type="dxa"/>
            <w:shd w:val="clear" w:color="auto" w:fill="BFBFBF" w:themeFill="background1" w:themeFillShade="BF"/>
          </w:tcPr>
          <w:p w:rsidR="002D5FD7" w:rsidRPr="00990D3B" w:rsidP="00B5627B" w14:paraId="7AFE4AA7" w14:textId="77777777">
            <w:pPr>
              <w:pStyle w:val="EQRTableText"/>
              <w:jc w:val="center"/>
            </w:pPr>
            <w:r w:rsidRPr="00990D3B">
              <w:t> </w:t>
            </w:r>
          </w:p>
        </w:tc>
        <w:tc>
          <w:tcPr>
            <w:tcW w:w="558" w:type="dxa"/>
            <w:shd w:val="clear" w:color="auto" w:fill="BFBFBF" w:themeFill="background1" w:themeFillShade="BF"/>
          </w:tcPr>
          <w:p w:rsidR="002D5FD7" w:rsidRPr="00990D3B" w:rsidP="00B5627B" w14:paraId="0882E62D" w14:textId="77777777">
            <w:pPr>
              <w:pStyle w:val="EQRTableText"/>
              <w:jc w:val="center"/>
            </w:pPr>
            <w:r w:rsidRPr="00990D3B">
              <w:t> </w:t>
            </w:r>
          </w:p>
        </w:tc>
        <w:tc>
          <w:tcPr>
            <w:tcW w:w="596" w:type="dxa"/>
            <w:shd w:val="clear" w:color="auto" w:fill="BFBFBF" w:themeFill="background1" w:themeFillShade="BF"/>
          </w:tcPr>
          <w:p w:rsidR="002D5FD7" w:rsidRPr="00990D3B" w:rsidP="00B5627B" w14:paraId="20C5096B" w14:textId="77777777">
            <w:pPr>
              <w:pStyle w:val="EQRTableText"/>
              <w:jc w:val="center"/>
            </w:pPr>
            <w:r w:rsidRPr="00990D3B">
              <w:t> </w:t>
            </w:r>
          </w:p>
        </w:tc>
        <w:tc>
          <w:tcPr>
            <w:tcW w:w="2965" w:type="dxa"/>
          </w:tcPr>
          <w:p w:rsidR="002D5FD7" w:rsidRPr="00990D3B" w:rsidP="00B5627B" w14:paraId="420702C5" w14:textId="77777777">
            <w:pPr>
              <w:pStyle w:val="EQRTableText"/>
            </w:pPr>
            <w:r w:rsidRPr="00990D3B">
              <w:t> </w:t>
            </w:r>
          </w:p>
        </w:tc>
      </w:tr>
    </w:tbl>
    <w:p w:rsidR="002D5FD7" w:rsidRPr="00990D3B" w:rsidP="003A5EEC" w14:paraId="46F42CAD" w14:textId="77777777">
      <w:pPr>
        <w:pStyle w:val="EQRNormalSSWORKSHEET"/>
      </w:pPr>
    </w:p>
    <w:p w:rsidR="002D5FD7" w:rsidRPr="00990D3B" w:rsidP="003A5EEC" w14:paraId="2062BE31" w14:textId="77777777">
      <w:pPr>
        <w:pStyle w:val="EQRNormalSSWORKSHEET"/>
      </w:pPr>
      <w:r w:rsidRPr="00990D3B">
        <w:br w:type="page"/>
      </w:r>
    </w:p>
    <w:p w:rsidR="002D5FD7" w:rsidRPr="00990D3B" w:rsidP="00A54412" w14:paraId="0727335F" w14:textId="77777777">
      <w:pPr>
        <w:pStyle w:val="EQRMarkforExhibitWORKSHEET"/>
      </w:pPr>
      <w:bookmarkStart w:id="770" w:name="WSp6n08"/>
      <w:bookmarkStart w:id="771" w:name="_Toc125619185"/>
      <w:bookmarkStart w:id="772" w:name="_Toc201751548"/>
      <w:r w:rsidRPr="00990D3B">
        <w:t>Worksheet 6.8</w:t>
      </w:r>
      <w:bookmarkEnd w:id="770"/>
      <w:r w:rsidRPr="00990D3B">
        <w:t>. Survey Data Analysis and Final Report</w:t>
      </w:r>
      <w:bookmarkEnd w:id="771"/>
      <w:bookmarkEnd w:id="772"/>
    </w:p>
    <w:p w:rsidR="003650D1" w:rsidRPr="00990D3B" w:rsidP="003650D1" w14:paraId="7D4D31DD" w14:textId="77777777">
      <w:pPr>
        <w:pStyle w:val="EQRNormalSSWORKSHEET"/>
      </w:pPr>
      <w:r w:rsidRPr="00990D3B">
        <w:rPr>
          <w:b/>
          <w:bCs/>
        </w:rPr>
        <w:t>Instructions.</w:t>
      </w:r>
      <w:r w:rsidRPr="00990D3B">
        <w:t xml:space="preserve"> </w:t>
      </w:r>
      <w:r w:rsidRPr="00990D3B" w:rsidR="002D5FD7">
        <w:t xml:space="preserve">Assess the data analysis and final report by answering the following questions. Insert comments to explain “No” and “Not </w:t>
      </w:r>
      <w:r w:rsidRPr="00990D3B" w:rsidR="00507D5D">
        <w:t>A</w:t>
      </w:r>
      <w:r w:rsidRPr="00990D3B" w:rsidR="002D5FD7">
        <w:t>pplicable” responses.</w:t>
      </w:r>
    </w:p>
    <w:p w:rsidR="00252C67" w:rsidRPr="00990D3B" w:rsidP="003650D1" w14:paraId="3A6957E3" w14:textId="21636602">
      <w:pPr>
        <w:pStyle w:val="EQRNormalSSWORKSHEET"/>
        <w:rPr>
          <w:rFonts w:cs="Arial"/>
        </w:rPr>
      </w:pPr>
      <w:r w:rsidRPr="00990D3B">
        <w:rPr>
          <w:rFonts w:cs="Arial"/>
        </w:rPr>
        <w:t>Acronyms: NA = Not Applicable.</w:t>
      </w:r>
    </w:p>
    <w:tbl>
      <w:tblPr>
        <w:tblStyle w:val="TableGrid"/>
        <w:tblW w:w="5000" w:type="pct"/>
        <w:tblLook w:val="04A0"/>
      </w:tblPr>
      <w:tblGrid>
        <w:gridCol w:w="4378"/>
        <w:gridCol w:w="607"/>
        <w:gridCol w:w="608"/>
        <w:gridCol w:w="612"/>
        <w:gridCol w:w="3145"/>
      </w:tblGrid>
      <w:tr w14:paraId="46658CE5" w14:textId="77777777" w:rsidTr="00252C67">
        <w:tblPrEx>
          <w:tblW w:w="5000" w:type="pct"/>
          <w:tblLook w:val="04A0"/>
        </w:tblPrEx>
        <w:trPr>
          <w:tblHeader/>
        </w:trPr>
        <w:tc>
          <w:tcPr>
            <w:tcW w:w="4378" w:type="dxa"/>
            <w:vAlign w:val="bottom"/>
          </w:tcPr>
          <w:p w:rsidR="002D5FD7" w:rsidRPr="00990D3B" w:rsidP="00B5627B" w14:paraId="1161BCE0" w14:textId="77777777">
            <w:pPr>
              <w:pStyle w:val="EQRTableHeaderLeft"/>
              <w:rPr>
                <w:color w:val="auto"/>
              </w:rPr>
            </w:pPr>
            <w:r w:rsidRPr="00990D3B">
              <w:rPr>
                <w:color w:val="auto"/>
              </w:rPr>
              <w:t>Question</w:t>
            </w:r>
          </w:p>
        </w:tc>
        <w:tc>
          <w:tcPr>
            <w:tcW w:w="607" w:type="dxa"/>
            <w:tcBorders>
              <w:bottom w:val="single" w:sz="4" w:space="0" w:color="000000" w:themeColor="text1"/>
            </w:tcBorders>
            <w:vAlign w:val="bottom"/>
          </w:tcPr>
          <w:p w:rsidR="002D5FD7" w:rsidRPr="00990D3B" w:rsidP="00B5627B" w14:paraId="6D97963E" w14:textId="77777777">
            <w:pPr>
              <w:pStyle w:val="EQRTableHeaderCenter"/>
              <w:rPr>
                <w:color w:val="auto"/>
              </w:rPr>
            </w:pPr>
            <w:r w:rsidRPr="00990D3B">
              <w:rPr>
                <w:color w:val="auto"/>
              </w:rPr>
              <w:t>Yes</w:t>
            </w:r>
          </w:p>
        </w:tc>
        <w:tc>
          <w:tcPr>
            <w:tcW w:w="608" w:type="dxa"/>
            <w:tcBorders>
              <w:bottom w:val="single" w:sz="4" w:space="0" w:color="000000" w:themeColor="text1"/>
            </w:tcBorders>
            <w:vAlign w:val="bottom"/>
          </w:tcPr>
          <w:p w:rsidR="002D5FD7" w:rsidRPr="00990D3B" w:rsidP="00B5627B" w14:paraId="6B6BC38E" w14:textId="77777777">
            <w:pPr>
              <w:pStyle w:val="EQRTableHeaderCenter"/>
              <w:rPr>
                <w:color w:val="auto"/>
              </w:rPr>
            </w:pPr>
            <w:r w:rsidRPr="00990D3B">
              <w:rPr>
                <w:color w:val="auto"/>
              </w:rPr>
              <w:t>No</w:t>
            </w:r>
          </w:p>
        </w:tc>
        <w:tc>
          <w:tcPr>
            <w:tcW w:w="612" w:type="dxa"/>
            <w:tcBorders>
              <w:bottom w:val="single" w:sz="4" w:space="0" w:color="000000" w:themeColor="text1"/>
            </w:tcBorders>
            <w:vAlign w:val="bottom"/>
          </w:tcPr>
          <w:p w:rsidR="002D5FD7" w:rsidRPr="00990D3B" w:rsidP="00B5627B" w14:paraId="203A0251" w14:textId="602D5DA5">
            <w:pPr>
              <w:pStyle w:val="EQRTableHeaderCenter"/>
              <w:rPr>
                <w:color w:val="auto"/>
              </w:rPr>
            </w:pPr>
            <w:r w:rsidRPr="00990D3B">
              <w:rPr>
                <w:color w:val="auto"/>
              </w:rPr>
              <w:t>NA</w:t>
            </w:r>
          </w:p>
        </w:tc>
        <w:tc>
          <w:tcPr>
            <w:tcW w:w="3145" w:type="dxa"/>
            <w:tcBorders>
              <w:bottom w:val="single" w:sz="4" w:space="0" w:color="000000" w:themeColor="text1"/>
            </w:tcBorders>
            <w:vAlign w:val="bottom"/>
          </w:tcPr>
          <w:p w:rsidR="002D5FD7" w:rsidRPr="00990D3B" w:rsidP="00B5627B" w14:paraId="6C77AE45" w14:textId="77777777">
            <w:pPr>
              <w:pStyle w:val="EQRTableHeaderCenter"/>
              <w:rPr>
                <w:color w:val="auto"/>
              </w:rPr>
            </w:pPr>
            <w:r w:rsidRPr="00990D3B">
              <w:rPr>
                <w:color w:val="auto"/>
              </w:rPr>
              <w:t>Comments</w:t>
            </w:r>
          </w:p>
        </w:tc>
      </w:tr>
      <w:tr w14:paraId="39BB1496" w14:textId="77777777" w:rsidTr="00252C67">
        <w:tblPrEx>
          <w:tblW w:w="5000" w:type="pct"/>
          <w:tblLook w:val="04A0"/>
        </w:tblPrEx>
        <w:tc>
          <w:tcPr>
            <w:tcW w:w="4378" w:type="dxa"/>
          </w:tcPr>
          <w:p w:rsidR="002D5FD7" w:rsidRPr="00990D3B" w:rsidP="00B5627B" w14:paraId="40DB0289" w14:textId="77777777">
            <w:pPr>
              <w:pStyle w:val="EQRTableText"/>
            </w:pPr>
            <w:r w:rsidRPr="00990D3B">
              <w:t>Were post-processing procedures</w:t>
            </w:r>
            <w:r w:rsidRPr="00990D3B">
              <w:t xml:space="preserve"> implemented to address the following:</w:t>
            </w:r>
          </w:p>
          <w:p w:rsidR="002D5FD7" w:rsidRPr="00990D3B" w:rsidP="002D5FD7" w14:paraId="2CFD1757" w14:textId="77777777">
            <w:pPr>
              <w:pStyle w:val="EQRTableTextbullet"/>
              <w:spacing w:line="240" w:lineRule="auto"/>
              <w:ind w:left="216" w:hanging="216"/>
            </w:pPr>
            <w:r w:rsidRPr="00990D3B">
              <w:t>Responses that failed edit checks</w:t>
            </w:r>
          </w:p>
          <w:p w:rsidR="002D5FD7" w:rsidRPr="00990D3B" w:rsidP="002D5FD7" w14:paraId="047528B8" w14:textId="77777777">
            <w:pPr>
              <w:pStyle w:val="EQRTableTextbullet"/>
              <w:spacing w:line="240" w:lineRule="auto"/>
              <w:ind w:left="216" w:hanging="216"/>
            </w:pPr>
            <w:r w:rsidRPr="00990D3B">
              <w:t xml:space="preserve">Missing data </w:t>
            </w:r>
          </w:p>
          <w:p w:rsidR="002D5FD7" w:rsidRPr="00990D3B" w:rsidP="002D5FD7" w14:paraId="1DA7D298" w14:textId="77777777">
            <w:pPr>
              <w:pStyle w:val="EQRTableTextbullet"/>
              <w:spacing w:line="240" w:lineRule="auto"/>
              <w:ind w:left="216" w:hanging="216"/>
            </w:pPr>
            <w:r w:rsidRPr="00990D3B">
              <w:t>Removal of surveys or data determined to be unusable</w:t>
            </w:r>
          </w:p>
        </w:tc>
        <w:tc>
          <w:tcPr>
            <w:tcW w:w="607" w:type="dxa"/>
          </w:tcPr>
          <w:p w:rsidR="002D5FD7" w:rsidRPr="00990D3B" w:rsidP="00B5627B" w14:paraId="4A46CA17" w14:textId="77777777">
            <w:pPr>
              <w:pStyle w:val="EQRTableText"/>
              <w:jc w:val="center"/>
            </w:pPr>
            <w:r w:rsidRPr="00990D3B">
              <w:t> </w:t>
            </w:r>
          </w:p>
        </w:tc>
        <w:tc>
          <w:tcPr>
            <w:tcW w:w="608" w:type="dxa"/>
          </w:tcPr>
          <w:p w:rsidR="002D5FD7" w:rsidRPr="00990D3B" w:rsidP="00B5627B" w14:paraId="18C3A907" w14:textId="77777777">
            <w:pPr>
              <w:pStyle w:val="EQRTableText"/>
              <w:jc w:val="center"/>
            </w:pPr>
            <w:r w:rsidRPr="00990D3B">
              <w:t> </w:t>
            </w:r>
          </w:p>
        </w:tc>
        <w:tc>
          <w:tcPr>
            <w:tcW w:w="612" w:type="dxa"/>
          </w:tcPr>
          <w:p w:rsidR="002D5FD7" w:rsidRPr="00990D3B" w:rsidP="00B5627B" w14:paraId="25382EC3" w14:textId="77777777">
            <w:pPr>
              <w:pStyle w:val="EQRTableText"/>
              <w:jc w:val="center"/>
            </w:pPr>
            <w:r w:rsidRPr="00990D3B">
              <w:t> </w:t>
            </w:r>
          </w:p>
        </w:tc>
        <w:tc>
          <w:tcPr>
            <w:tcW w:w="3145" w:type="dxa"/>
          </w:tcPr>
          <w:p w:rsidR="002D5FD7" w:rsidRPr="00990D3B" w:rsidP="00B5627B" w14:paraId="7766B1AC" w14:textId="77777777">
            <w:pPr>
              <w:pStyle w:val="EQRTableText"/>
            </w:pPr>
            <w:r w:rsidRPr="00990D3B">
              <w:t> </w:t>
            </w:r>
          </w:p>
        </w:tc>
      </w:tr>
      <w:tr w14:paraId="56E63931" w14:textId="77777777" w:rsidTr="00252C67">
        <w:tblPrEx>
          <w:tblW w:w="5000" w:type="pct"/>
          <w:tblLook w:val="04A0"/>
        </w:tblPrEx>
        <w:tc>
          <w:tcPr>
            <w:tcW w:w="4378" w:type="dxa"/>
          </w:tcPr>
          <w:p w:rsidR="002D5FD7" w:rsidRPr="00990D3B" w:rsidP="00B5627B" w14:paraId="59119722" w14:textId="77777777">
            <w:pPr>
              <w:pStyle w:val="EQRTableText"/>
            </w:pPr>
            <w:r w:rsidRPr="00990D3B">
              <w:t>Were weights created as appropriate for analyzing survey responses and generalizing results to the study population?</w:t>
            </w:r>
          </w:p>
        </w:tc>
        <w:tc>
          <w:tcPr>
            <w:tcW w:w="607" w:type="dxa"/>
          </w:tcPr>
          <w:p w:rsidR="002D5FD7" w:rsidRPr="00990D3B" w:rsidP="00B5627B" w14:paraId="12DFC89F" w14:textId="77777777">
            <w:pPr>
              <w:pStyle w:val="EQRTableText"/>
              <w:jc w:val="center"/>
            </w:pPr>
            <w:r w:rsidRPr="00990D3B">
              <w:t> </w:t>
            </w:r>
          </w:p>
        </w:tc>
        <w:tc>
          <w:tcPr>
            <w:tcW w:w="608" w:type="dxa"/>
          </w:tcPr>
          <w:p w:rsidR="002D5FD7" w:rsidRPr="00990D3B" w:rsidP="00B5627B" w14:paraId="2E204A5D" w14:textId="77777777">
            <w:pPr>
              <w:pStyle w:val="EQRTableText"/>
              <w:jc w:val="center"/>
            </w:pPr>
            <w:r w:rsidRPr="00990D3B">
              <w:t> </w:t>
            </w:r>
          </w:p>
        </w:tc>
        <w:tc>
          <w:tcPr>
            <w:tcW w:w="612" w:type="dxa"/>
          </w:tcPr>
          <w:p w:rsidR="002D5FD7" w:rsidRPr="00990D3B" w:rsidP="00B5627B" w14:paraId="27D19A05" w14:textId="77777777">
            <w:pPr>
              <w:pStyle w:val="EQRTableText"/>
              <w:jc w:val="center"/>
            </w:pPr>
            <w:r w:rsidRPr="00990D3B">
              <w:t> </w:t>
            </w:r>
          </w:p>
        </w:tc>
        <w:tc>
          <w:tcPr>
            <w:tcW w:w="3145" w:type="dxa"/>
          </w:tcPr>
          <w:p w:rsidR="002D5FD7" w:rsidRPr="00990D3B" w:rsidP="00B5627B" w14:paraId="2F0E6931" w14:textId="77777777">
            <w:pPr>
              <w:pStyle w:val="EQRTableText"/>
            </w:pPr>
            <w:r w:rsidRPr="00990D3B">
              <w:t> </w:t>
            </w:r>
          </w:p>
        </w:tc>
      </w:tr>
      <w:tr w14:paraId="0F0FC190" w14:textId="77777777" w:rsidTr="00252C67">
        <w:tblPrEx>
          <w:tblW w:w="5000" w:type="pct"/>
          <w:tblLook w:val="04A0"/>
        </w:tblPrEx>
        <w:tc>
          <w:tcPr>
            <w:tcW w:w="4378" w:type="dxa"/>
          </w:tcPr>
          <w:p w:rsidR="002D5FD7" w:rsidRPr="00990D3B" w:rsidP="00B5627B" w14:paraId="592CF613" w14:textId="77777777">
            <w:pPr>
              <w:pStyle w:val="EQRTableText"/>
            </w:pPr>
            <w:r w:rsidRPr="00990D3B">
              <w:t>Was a nonresponse analysis conducted to determine if survey respondents differ from respondents on key variables important to the findings?</w:t>
            </w:r>
          </w:p>
        </w:tc>
        <w:tc>
          <w:tcPr>
            <w:tcW w:w="607" w:type="dxa"/>
          </w:tcPr>
          <w:p w:rsidR="002D5FD7" w:rsidRPr="00990D3B" w:rsidP="00B5627B" w14:paraId="2CE9189C" w14:textId="77777777">
            <w:pPr>
              <w:pStyle w:val="EQRTableText"/>
              <w:jc w:val="center"/>
            </w:pPr>
            <w:r w:rsidRPr="00990D3B">
              <w:t> </w:t>
            </w:r>
          </w:p>
        </w:tc>
        <w:tc>
          <w:tcPr>
            <w:tcW w:w="608" w:type="dxa"/>
          </w:tcPr>
          <w:p w:rsidR="002D5FD7" w:rsidRPr="00990D3B" w:rsidP="00B5627B" w14:paraId="0561ED1F" w14:textId="77777777">
            <w:pPr>
              <w:pStyle w:val="EQRTableText"/>
              <w:jc w:val="center"/>
            </w:pPr>
            <w:r w:rsidRPr="00990D3B">
              <w:t> </w:t>
            </w:r>
          </w:p>
        </w:tc>
        <w:tc>
          <w:tcPr>
            <w:tcW w:w="612" w:type="dxa"/>
          </w:tcPr>
          <w:p w:rsidR="002D5FD7" w:rsidRPr="00990D3B" w:rsidP="00B5627B" w14:paraId="18D26693" w14:textId="77777777">
            <w:pPr>
              <w:pStyle w:val="EQRTableText"/>
              <w:jc w:val="center"/>
            </w:pPr>
            <w:r w:rsidRPr="00990D3B">
              <w:t> </w:t>
            </w:r>
          </w:p>
        </w:tc>
        <w:tc>
          <w:tcPr>
            <w:tcW w:w="3145" w:type="dxa"/>
          </w:tcPr>
          <w:p w:rsidR="002D5FD7" w:rsidRPr="00990D3B" w:rsidP="00B5627B" w14:paraId="5AB5E49A" w14:textId="77777777">
            <w:pPr>
              <w:pStyle w:val="EQRTableText"/>
            </w:pPr>
            <w:r w:rsidRPr="00990D3B">
              <w:t> </w:t>
            </w:r>
          </w:p>
        </w:tc>
      </w:tr>
      <w:tr w14:paraId="5D7120BB" w14:textId="77777777" w:rsidTr="00252C67">
        <w:tblPrEx>
          <w:tblW w:w="5000" w:type="pct"/>
          <w:tblLook w:val="04A0"/>
        </w:tblPrEx>
        <w:tc>
          <w:tcPr>
            <w:tcW w:w="4378" w:type="dxa"/>
          </w:tcPr>
          <w:p w:rsidR="002D5FD7" w:rsidRPr="00990D3B" w:rsidP="00B5627B" w14:paraId="6A816E14" w14:textId="77777777">
            <w:pPr>
              <w:pStyle w:val="EQRTableText"/>
            </w:pPr>
            <w:r w:rsidRPr="00990D3B">
              <w:t>Were survey data analyzed following the analysis plan laid out in the work plan?</w:t>
            </w:r>
          </w:p>
        </w:tc>
        <w:tc>
          <w:tcPr>
            <w:tcW w:w="607" w:type="dxa"/>
          </w:tcPr>
          <w:p w:rsidR="002D5FD7" w:rsidRPr="00990D3B" w:rsidP="00B5627B" w14:paraId="0268DB06" w14:textId="77777777">
            <w:pPr>
              <w:pStyle w:val="EQRTableText"/>
              <w:jc w:val="center"/>
            </w:pPr>
            <w:r w:rsidRPr="00990D3B">
              <w:t> </w:t>
            </w:r>
          </w:p>
        </w:tc>
        <w:tc>
          <w:tcPr>
            <w:tcW w:w="608" w:type="dxa"/>
          </w:tcPr>
          <w:p w:rsidR="002D5FD7" w:rsidRPr="00990D3B" w:rsidP="00B5627B" w14:paraId="0BA71BEC" w14:textId="77777777">
            <w:pPr>
              <w:pStyle w:val="EQRTableText"/>
              <w:jc w:val="center"/>
            </w:pPr>
            <w:r w:rsidRPr="00990D3B">
              <w:t> </w:t>
            </w:r>
          </w:p>
        </w:tc>
        <w:tc>
          <w:tcPr>
            <w:tcW w:w="612" w:type="dxa"/>
          </w:tcPr>
          <w:p w:rsidR="002D5FD7" w:rsidRPr="00990D3B" w:rsidP="00B5627B" w14:paraId="24E6DCB1" w14:textId="77777777">
            <w:pPr>
              <w:pStyle w:val="EQRTableText"/>
              <w:jc w:val="center"/>
            </w:pPr>
            <w:r w:rsidRPr="00990D3B">
              <w:t> </w:t>
            </w:r>
          </w:p>
        </w:tc>
        <w:tc>
          <w:tcPr>
            <w:tcW w:w="3145" w:type="dxa"/>
          </w:tcPr>
          <w:p w:rsidR="002D5FD7" w:rsidRPr="00990D3B" w:rsidP="00B5627B" w14:paraId="47AD465C" w14:textId="77777777">
            <w:pPr>
              <w:pStyle w:val="EQRTableText"/>
            </w:pPr>
            <w:r w:rsidRPr="00990D3B">
              <w:t> </w:t>
            </w:r>
          </w:p>
        </w:tc>
      </w:tr>
      <w:tr w14:paraId="29BD063B" w14:textId="77777777" w:rsidTr="00252C67">
        <w:tblPrEx>
          <w:tblW w:w="5000" w:type="pct"/>
          <w:tblLook w:val="04A0"/>
        </w:tblPrEx>
        <w:tc>
          <w:tcPr>
            <w:tcW w:w="4378" w:type="dxa"/>
          </w:tcPr>
          <w:p w:rsidR="002D5FD7" w:rsidRPr="00990D3B" w:rsidP="00B5627B" w14:paraId="58019E44" w14:textId="77777777">
            <w:pPr>
              <w:pStyle w:val="EQRTableText"/>
            </w:pPr>
            <w:r w:rsidRPr="00990D3B">
              <w:t>Did the final report include a comprehensive overview of survey purpose/objective, implementation, and substantive findings?</w:t>
            </w:r>
          </w:p>
        </w:tc>
        <w:tc>
          <w:tcPr>
            <w:tcW w:w="607" w:type="dxa"/>
          </w:tcPr>
          <w:p w:rsidR="002D5FD7" w:rsidRPr="00990D3B" w:rsidP="00B5627B" w14:paraId="51218BF7" w14:textId="77777777">
            <w:pPr>
              <w:pStyle w:val="EQRTableText"/>
              <w:jc w:val="center"/>
            </w:pPr>
            <w:r w:rsidRPr="00990D3B">
              <w:t> </w:t>
            </w:r>
          </w:p>
        </w:tc>
        <w:tc>
          <w:tcPr>
            <w:tcW w:w="608" w:type="dxa"/>
          </w:tcPr>
          <w:p w:rsidR="002D5FD7" w:rsidRPr="00990D3B" w:rsidP="00B5627B" w14:paraId="0F0366D7" w14:textId="77777777">
            <w:pPr>
              <w:pStyle w:val="EQRTableText"/>
              <w:jc w:val="center"/>
            </w:pPr>
            <w:r w:rsidRPr="00990D3B">
              <w:t> </w:t>
            </w:r>
          </w:p>
        </w:tc>
        <w:tc>
          <w:tcPr>
            <w:tcW w:w="612" w:type="dxa"/>
          </w:tcPr>
          <w:p w:rsidR="002D5FD7" w:rsidRPr="00990D3B" w:rsidP="00B5627B" w14:paraId="108CECFF" w14:textId="77777777">
            <w:pPr>
              <w:pStyle w:val="EQRTableText"/>
              <w:jc w:val="center"/>
            </w:pPr>
            <w:r w:rsidRPr="00990D3B">
              <w:t> </w:t>
            </w:r>
          </w:p>
        </w:tc>
        <w:tc>
          <w:tcPr>
            <w:tcW w:w="3145" w:type="dxa"/>
          </w:tcPr>
          <w:p w:rsidR="002D5FD7" w:rsidRPr="00990D3B" w:rsidP="00B5627B" w14:paraId="096CB088" w14:textId="77777777">
            <w:pPr>
              <w:pStyle w:val="EQRTableText"/>
            </w:pPr>
            <w:r w:rsidRPr="00990D3B">
              <w:t> </w:t>
            </w:r>
          </w:p>
        </w:tc>
      </w:tr>
      <w:tr w14:paraId="78AC7906" w14:textId="77777777" w:rsidTr="00252C67">
        <w:tblPrEx>
          <w:tblW w:w="5000" w:type="pct"/>
          <w:tblLook w:val="04A0"/>
        </w:tblPrEx>
        <w:tc>
          <w:tcPr>
            <w:tcW w:w="4378" w:type="dxa"/>
          </w:tcPr>
          <w:p w:rsidR="002D5FD7" w:rsidRPr="00990D3B" w:rsidP="00AB24F6" w14:paraId="53A4E172" w14:textId="77777777">
            <w:pPr>
              <w:pStyle w:val="EQRTableText"/>
            </w:pPr>
            <w:r w:rsidRPr="00990D3B">
              <w:t>Overall validation assessment: In the comments section, note any recommendations for improving the data analysis and final report</w:t>
            </w:r>
          </w:p>
        </w:tc>
        <w:tc>
          <w:tcPr>
            <w:tcW w:w="607" w:type="dxa"/>
            <w:shd w:val="clear" w:color="auto" w:fill="BFBFBF" w:themeFill="background1" w:themeFillShade="BF"/>
          </w:tcPr>
          <w:p w:rsidR="002D5FD7" w:rsidRPr="00990D3B" w:rsidP="00B5627B" w14:paraId="7769AE59" w14:textId="77777777">
            <w:pPr>
              <w:pStyle w:val="EQRTableText"/>
              <w:jc w:val="center"/>
            </w:pPr>
            <w:r w:rsidRPr="00990D3B">
              <w:t> </w:t>
            </w:r>
          </w:p>
        </w:tc>
        <w:tc>
          <w:tcPr>
            <w:tcW w:w="608" w:type="dxa"/>
            <w:shd w:val="clear" w:color="auto" w:fill="BFBFBF" w:themeFill="background1" w:themeFillShade="BF"/>
          </w:tcPr>
          <w:p w:rsidR="002D5FD7" w:rsidRPr="00990D3B" w:rsidP="00B5627B" w14:paraId="2C5287AA" w14:textId="77777777">
            <w:pPr>
              <w:pStyle w:val="EQRTableText"/>
              <w:jc w:val="center"/>
            </w:pPr>
            <w:r w:rsidRPr="00990D3B">
              <w:t> </w:t>
            </w:r>
          </w:p>
        </w:tc>
        <w:tc>
          <w:tcPr>
            <w:tcW w:w="612" w:type="dxa"/>
            <w:shd w:val="clear" w:color="auto" w:fill="BFBFBF" w:themeFill="background1" w:themeFillShade="BF"/>
          </w:tcPr>
          <w:p w:rsidR="002D5FD7" w:rsidRPr="00990D3B" w:rsidP="00B5627B" w14:paraId="752B5DFF" w14:textId="77777777">
            <w:pPr>
              <w:pStyle w:val="EQRTableText"/>
              <w:jc w:val="center"/>
            </w:pPr>
            <w:r w:rsidRPr="00990D3B">
              <w:t> </w:t>
            </w:r>
          </w:p>
        </w:tc>
        <w:tc>
          <w:tcPr>
            <w:tcW w:w="3145" w:type="dxa"/>
          </w:tcPr>
          <w:p w:rsidR="002D5FD7" w:rsidRPr="00990D3B" w:rsidP="00B5627B" w14:paraId="1BC1E64B" w14:textId="77777777">
            <w:pPr>
              <w:pStyle w:val="EQRTableText"/>
            </w:pPr>
            <w:r w:rsidRPr="00990D3B">
              <w:t> </w:t>
            </w:r>
          </w:p>
        </w:tc>
      </w:tr>
    </w:tbl>
    <w:p w:rsidR="002D5FD7" w:rsidRPr="00990D3B" w:rsidP="00B5252D" w14:paraId="18652D8C" w14:textId="77777777">
      <w:pPr>
        <w:pStyle w:val="ParagraphContinued"/>
      </w:pPr>
    </w:p>
    <w:p w:rsidR="00B5627B" w:rsidRPr="00990D3B" w:rsidP="009B3409" w14:paraId="47D1D41B" w14:textId="77777777">
      <w:pPr>
        <w:pStyle w:val="ParagraphContinued"/>
        <w:jc w:val="center"/>
      </w:pPr>
      <w:r w:rsidRPr="00990D3B">
        <w:t>END OF WORKSHEETS FOR PROTOCOL 6</w:t>
      </w:r>
    </w:p>
    <w:p w:rsidR="00F51BE5" w:rsidRPr="00990D3B" w:rsidP="004E5005" w14:paraId="57292041" w14:textId="77777777">
      <w:pPr>
        <w:pStyle w:val="Paragraph0"/>
      </w:pPr>
    </w:p>
    <w:p w:rsidR="00F51BE5" w:rsidRPr="00990D3B" w:rsidP="004E5005" w14:paraId="585622C9" w14:textId="77777777">
      <w:pPr>
        <w:pStyle w:val="ParagraphContinued"/>
        <w:sectPr w:rsidSect="00A65C6B">
          <w:footerReference w:type="even" r:id="rId194"/>
          <w:footerReference w:type="default" r:id="rId195"/>
          <w:headerReference w:type="first" r:id="rId196"/>
          <w:footerReference w:type="first" r:id="rId197"/>
          <w:pgSz w:w="12240" w:h="15840" w:code="1"/>
          <w:pgMar w:top="1440" w:right="1440" w:bottom="1440" w:left="1440" w:header="720" w:footer="720" w:gutter="0"/>
          <w:cols w:space="720"/>
          <w:titlePg/>
          <w:docGrid w:linePitch="360"/>
        </w:sectPr>
      </w:pPr>
    </w:p>
    <w:p w:rsidR="00A20C56" w:rsidRPr="00990D3B" w:rsidP="00F5349F" w14:paraId="1DE6081F" w14:textId="363F9C2C">
      <w:pPr>
        <w:pStyle w:val="H1"/>
      </w:pPr>
      <w:bookmarkStart w:id="773" w:name="Protocol7"/>
      <w:bookmarkStart w:id="774" w:name="_Toc493246394"/>
      <w:bookmarkStart w:id="775" w:name="_Toc14777735"/>
      <w:bookmarkStart w:id="776" w:name="_Toc183005633"/>
      <w:bookmarkStart w:id="777" w:name="_Toc201751403"/>
      <w:r w:rsidRPr="00990D3B">
        <w:t>Protocol 7</w:t>
      </w:r>
      <w:bookmarkEnd w:id="773"/>
      <w:r w:rsidRPr="00990D3B">
        <w:t>. Calculation of Additional Performance Measures</w:t>
      </w:r>
      <w:bookmarkEnd w:id="774"/>
      <w:bookmarkEnd w:id="775"/>
      <w:bookmarkEnd w:id="776"/>
      <w:bookmarkEnd w:id="777"/>
    </w:p>
    <w:p w:rsidR="00B7540A" w:rsidRPr="00990D3B" w:rsidP="00B7540A" w14:paraId="5166FC61" w14:textId="0D6FB6C8">
      <w:pPr>
        <w:pStyle w:val="EQRMANDATORYorOPTIONAL"/>
      </w:pPr>
      <w:r w:rsidRPr="00990D3B">
        <w:t>AN OPTIONAL EQR-RELATED ACTIVITY</w:t>
      </w:r>
    </w:p>
    <w:tbl>
      <w:tblPr>
        <w:tblW w:w="7200" w:type="dxa"/>
        <w:tblBorders>
          <w:insideV w:val="single" w:sz="2" w:space="0" w:color="00559D"/>
        </w:tblBorders>
        <w:tblLayout w:type="fixed"/>
        <w:tblLook w:val="04A0"/>
      </w:tblPr>
      <w:tblGrid>
        <w:gridCol w:w="7200"/>
      </w:tblGrid>
      <w:tr w14:paraId="54EDBE8F" w14:textId="77777777" w:rsidTr="008B1063">
        <w:tblPrEx>
          <w:tblW w:w="7200" w:type="dxa"/>
          <w:tblBorders>
            <w:insideV w:val="single" w:sz="2" w:space="0" w:color="00559D"/>
          </w:tblBorders>
          <w:tblLayout w:type="fixed"/>
          <w:tblLook w:val="04A0"/>
        </w:tblPrEx>
        <w:trPr>
          <w:trHeight w:val="144"/>
          <w:tblHeader/>
        </w:trPr>
        <w:tc>
          <w:tcPr>
            <w:tcW w:w="7200" w:type="dxa"/>
            <w:shd w:val="clear" w:color="auto" w:fill="1CA8B7"/>
            <w:vAlign w:val="bottom"/>
          </w:tcPr>
          <w:p w:rsidR="00102B29" w:rsidRPr="00990D3B" w:rsidP="00C2571C" w14:paraId="4AEBD8EC" w14:textId="004AF3BA">
            <w:pPr>
              <w:pStyle w:val="EQRACTIVITY"/>
            </w:pPr>
            <w:r w:rsidRPr="00990D3B">
              <w:t> </w:t>
            </w:r>
          </w:p>
        </w:tc>
      </w:tr>
      <w:tr w14:paraId="03C2A86E" w14:textId="77777777" w:rsidTr="008B1063">
        <w:tblPrEx>
          <w:tblW w:w="7200" w:type="dxa"/>
          <w:tblLayout w:type="fixed"/>
          <w:tblLook w:val="04A0"/>
        </w:tblPrEx>
        <w:trPr>
          <w:trHeight w:val="20"/>
        </w:trPr>
        <w:tc>
          <w:tcPr>
            <w:tcW w:w="7200" w:type="dxa"/>
            <w:shd w:val="clear" w:color="auto" w:fill="EEF5F8"/>
          </w:tcPr>
          <w:p w:rsidR="00102B29" w:rsidRPr="00990D3B" w:rsidP="007B375F" w14:paraId="3FB45236" w14:textId="5FADD7FE">
            <w:pPr>
              <w:pStyle w:val="EQRACTIVITY"/>
            </w:pPr>
            <w:hyperlink w:anchor="P7A1" w:tooltip="ACTIVITY 1: PREPARE FOR MEASUREMENT" w:history="1">
              <w:r w:rsidRPr="00990D3B">
                <w:rPr>
                  <w:rStyle w:val="Hyperlink"/>
                </w:rPr>
                <w:t>ACTIVITY 1: PREPARE FOR MEASUREMENT</w:t>
              </w:r>
            </w:hyperlink>
          </w:p>
        </w:tc>
      </w:tr>
      <w:tr w14:paraId="498D0C82" w14:textId="77777777" w:rsidTr="008B1063">
        <w:tblPrEx>
          <w:tblW w:w="7200" w:type="dxa"/>
          <w:tblLayout w:type="fixed"/>
          <w:tblLook w:val="04A0"/>
        </w:tblPrEx>
        <w:trPr>
          <w:trHeight w:val="20"/>
        </w:trPr>
        <w:tc>
          <w:tcPr>
            <w:tcW w:w="7200" w:type="dxa"/>
          </w:tcPr>
          <w:p w:rsidR="00102B29" w:rsidRPr="00990D3B" w:rsidP="007B375F" w14:paraId="5DC42A06" w14:textId="2B88E8DF">
            <w:pPr>
              <w:pStyle w:val="EQRACTIVITY"/>
            </w:pPr>
            <w:hyperlink w:anchor="P7A2" w:tooltip="ACTIVITY 2: CALCULATE MEASURES" w:history="1">
              <w:r w:rsidRPr="00990D3B">
                <w:rPr>
                  <w:rStyle w:val="Hyperlink"/>
                </w:rPr>
                <w:t>ACTIVITY 2: CALCULATE MEASURES</w:t>
              </w:r>
            </w:hyperlink>
          </w:p>
        </w:tc>
      </w:tr>
      <w:tr w14:paraId="1945BC7F" w14:textId="77777777" w:rsidTr="008B1063">
        <w:tblPrEx>
          <w:tblW w:w="7200" w:type="dxa"/>
          <w:tblLayout w:type="fixed"/>
          <w:tblLook w:val="04A0"/>
        </w:tblPrEx>
        <w:trPr>
          <w:trHeight w:val="20"/>
        </w:trPr>
        <w:tc>
          <w:tcPr>
            <w:tcW w:w="7200" w:type="dxa"/>
            <w:tcBorders>
              <w:bottom w:val="nil"/>
            </w:tcBorders>
            <w:shd w:val="clear" w:color="auto" w:fill="EEF5F8"/>
          </w:tcPr>
          <w:p w:rsidR="00102B29" w:rsidRPr="00990D3B" w:rsidP="007B375F" w14:paraId="4325B962" w14:textId="6633BC25">
            <w:pPr>
              <w:pStyle w:val="EQRACTIVITY"/>
            </w:pPr>
            <w:hyperlink w:anchor="P7A3" w:tooltip="ACTIVITY 3: REPORT RESULTS" w:history="1">
              <w:r w:rsidRPr="00990D3B">
                <w:rPr>
                  <w:rStyle w:val="Hyperlink"/>
                </w:rPr>
                <w:t>ACTIVITY 3: REPORT RESULTS</w:t>
              </w:r>
            </w:hyperlink>
            <w:r w:rsidRPr="00990D3B" w:rsidR="009972E4">
              <w:t xml:space="preserve"> TO THE STATE</w:t>
            </w:r>
          </w:p>
        </w:tc>
      </w:tr>
    </w:tbl>
    <w:p w:rsidR="005B4D54" w:rsidRPr="00990D3B" w:rsidP="00CA738F" w14:paraId="6B76B5C9" w14:textId="77777777">
      <w:pPr>
        <w:pStyle w:val="H2"/>
      </w:pPr>
      <w:bookmarkStart w:id="778" w:name="_Toc493246395"/>
      <w:bookmarkStart w:id="779" w:name="_Toc496116394"/>
      <w:bookmarkStart w:id="780" w:name="_Toc14777736"/>
      <w:bookmarkStart w:id="781" w:name="_Toc183005634"/>
      <w:bookmarkStart w:id="782" w:name="_Toc201751404"/>
      <w:r w:rsidRPr="00990D3B">
        <w:t>Background</w:t>
      </w:r>
      <w:bookmarkEnd w:id="778"/>
      <w:bookmarkEnd w:id="779"/>
      <w:bookmarkEnd w:id="780"/>
      <w:bookmarkEnd w:id="781"/>
      <w:bookmarkEnd w:id="782"/>
    </w:p>
    <w:p w:rsidR="005F38E5" w:rsidRPr="00990D3B" w:rsidP="004E5005" w14:paraId="6B1A6662" w14:textId="6B87FACC">
      <w:pPr>
        <w:pStyle w:val="ParagraphContinued"/>
      </w:pPr>
      <w:r w:rsidRPr="00990D3B">
        <w:t>One purpose of quality measure</w:t>
      </w:r>
      <w:r w:rsidRPr="00990D3B">
        <w:t>ment</w:t>
      </w:r>
      <w:r w:rsidRPr="00990D3B">
        <w:t xml:space="preserve"> is to evaluate the degree to which evidence-based treatment guidelines are followed, where indicated, </w:t>
      </w:r>
      <w:r w:rsidRPr="00990D3B" w:rsidR="00484532">
        <w:t xml:space="preserve">and </w:t>
      </w:r>
      <w:r w:rsidRPr="00990D3B">
        <w:t xml:space="preserve">to </w:t>
      </w:r>
      <w:r w:rsidRPr="00990D3B" w:rsidR="00484532">
        <w:t xml:space="preserve">assess the results of care. </w:t>
      </w:r>
      <w:r w:rsidRPr="00990D3B">
        <w:t xml:space="preserve">The use of quality measurement helps strengthen accountability and support performance improvement initiatives at numerous levels. </w:t>
      </w:r>
      <w:r w:rsidRPr="00990D3B">
        <w:t xml:space="preserve">Performance </w:t>
      </w:r>
      <w:r w:rsidRPr="00990D3B">
        <w:t xml:space="preserve">measures can be used to demonstrate a variety of activities and health care outcomes for </w:t>
      </w:r>
      <w:r w:rsidRPr="00990D3B">
        <w:t>particular populations</w:t>
      </w:r>
      <w:r w:rsidRPr="00990D3B">
        <w:t xml:space="preserve">. For example, states use performance measures to monitor the performance of individual managed care plans (MCPs) at a point in time, to track their performance over time, to compare performance among MCPs, and to inform the selection and evaluation of quality improvement activities. </w:t>
      </w:r>
    </w:p>
    <w:p w:rsidR="00CE5950" w:rsidRPr="00990D3B" w:rsidP="004E5005" w14:paraId="7EBDC64C" w14:textId="4BCF3876">
      <w:pPr>
        <w:pStyle w:val="Paragraph0"/>
      </w:pPr>
      <w:r w:rsidRPr="00990D3B">
        <w:t xml:space="preserve">Federal regulations at </w:t>
      </w:r>
      <w:r w:rsidRPr="00990D3B" w:rsidR="001C7FC0">
        <w:t>42 C.F.R.</w:t>
      </w:r>
      <w:r w:rsidRPr="00990D3B" w:rsidR="007854DF">
        <w:t xml:space="preserve"> </w:t>
      </w:r>
      <w:r w:rsidRPr="00990D3B">
        <w:t>438.330(c) require</w:t>
      </w:r>
      <w:r w:rsidRPr="00990D3B" w:rsidR="00F949DE">
        <w:t xml:space="preserve"> states to specify standard performance measures for MCPs to include in their c</w:t>
      </w:r>
      <w:r w:rsidRPr="00990D3B" w:rsidR="0091772F">
        <w:t>omprehensive quality assessment and performance improvement (QAPI) program</w:t>
      </w:r>
      <w:r w:rsidRPr="00990D3B" w:rsidR="00F949DE">
        <w:t>s.</w:t>
      </w:r>
      <w:r w:rsidRPr="00990D3B" w:rsidR="003162DF">
        <w:rPr>
          <w:rFonts w:ascii="ZWAdobeF" w:hAnsi="ZWAdobeF" w:cs="ZWAdobeF"/>
          <w:sz w:val="2"/>
          <w:szCs w:val="2"/>
        </w:rPr>
        <w:t>74F</w:t>
      </w:r>
      <w:r>
        <w:rPr>
          <w:vertAlign w:val="superscript"/>
          <w:lang w:bidi="en-US"/>
        </w:rPr>
        <w:footnoteReference w:id="83"/>
      </w:r>
      <w:r w:rsidRPr="00990D3B" w:rsidR="00F949DE">
        <w:t xml:space="preserve"> Each year, the MCPs must</w:t>
      </w:r>
      <w:r w:rsidRPr="00990D3B" w:rsidR="0091772F">
        <w:t>: (1)</w:t>
      </w:r>
      <w:r w:rsidRPr="00990D3B" w:rsidR="00252C67">
        <w:t xml:space="preserve"> </w:t>
      </w:r>
      <w:r w:rsidRPr="00990D3B" w:rsidR="0091772F">
        <w:t xml:space="preserve">measure </w:t>
      </w:r>
      <w:r w:rsidRPr="00990D3B">
        <w:t>and report</w:t>
      </w:r>
      <w:r w:rsidRPr="00990D3B" w:rsidR="0091772F">
        <w:t xml:space="preserve"> to the state standard</w:t>
      </w:r>
      <w:r w:rsidRPr="00990D3B">
        <w:t xml:space="preserve"> performance measures specified by the state</w:t>
      </w:r>
      <w:r w:rsidRPr="00990D3B" w:rsidR="0091772F">
        <w:t>; (2)</w:t>
      </w:r>
      <w:r w:rsidRPr="00990D3B" w:rsidR="00E64E5A">
        <w:t xml:space="preserve"> </w:t>
      </w:r>
      <w:r w:rsidRPr="00990D3B" w:rsidR="0091772F">
        <w:t xml:space="preserve">submit </w:t>
      </w:r>
      <w:r w:rsidRPr="00990D3B" w:rsidR="00E64E5A">
        <w:t xml:space="preserve">specified </w:t>
      </w:r>
      <w:r w:rsidRPr="00990D3B" w:rsidR="0091772F">
        <w:t>data to the state</w:t>
      </w:r>
      <w:r w:rsidRPr="00990D3B" w:rsidR="00E64E5A">
        <w:t xml:space="preserve"> which enables the state to calc</w:t>
      </w:r>
      <w:r w:rsidRPr="00990D3B" w:rsidR="0091772F">
        <w:t xml:space="preserve">ulate the standard performance measures; or (3) a combination of these approaches. </w:t>
      </w:r>
      <w:r w:rsidRPr="00990D3B">
        <w:t xml:space="preserve">Validation of the performance measures </w:t>
      </w:r>
      <w:r w:rsidRPr="00990D3B" w:rsidR="00F949DE">
        <w:t>specified by the state for inclusion in MCPs’</w:t>
      </w:r>
      <w:r w:rsidRPr="00990D3B">
        <w:t xml:space="preserve"> QAPI</w:t>
      </w:r>
      <w:r w:rsidRPr="00990D3B" w:rsidR="00F949DE">
        <w:t xml:space="preserve"> programs</w:t>
      </w:r>
      <w:r w:rsidRPr="00990D3B">
        <w:t xml:space="preserve"> is a mandatory external quality review (EQR)-related activity (see </w:t>
      </w:r>
      <w:r w:rsidRPr="00990D3B" w:rsidR="001C7FC0">
        <w:t>42 C.F.R.</w:t>
      </w:r>
      <w:r w:rsidRPr="00990D3B" w:rsidR="007854DF">
        <w:t xml:space="preserve"> </w:t>
      </w:r>
      <w:r w:rsidRPr="00990D3B">
        <w:t xml:space="preserve">438.358(b)(1)(ii)), as described in </w:t>
      </w:r>
      <w:hyperlink w:anchor="Protocol2" w:tooltip="Protocol 2. Validation of Performance Measures Reported by the Managed Care Plan" w:history="1">
        <w:r w:rsidRPr="00990D3B" w:rsidR="007B7D2D">
          <w:rPr>
            <w:rStyle w:val="Hyperlink"/>
          </w:rPr>
          <w:t>Protocol 2.</w:t>
        </w:r>
      </w:hyperlink>
    </w:p>
    <w:p w:rsidR="00CE5950" w:rsidRPr="00990D3B" w:rsidP="004E5005" w14:paraId="2CC63D5F" w14:textId="68CA3E49">
      <w:pPr>
        <w:pStyle w:val="Paragraph0"/>
      </w:pPr>
      <w:r w:rsidRPr="00990D3B">
        <w:t xml:space="preserve">Federal regulations at </w:t>
      </w:r>
      <w:r w:rsidRPr="00990D3B" w:rsidR="001C7FC0">
        <w:t>42 C.F.R.</w:t>
      </w:r>
      <w:r w:rsidRPr="00990D3B">
        <w:t xml:space="preserve"> </w:t>
      </w:r>
      <w:r w:rsidRPr="00990D3B">
        <w:t>438.358(c)</w:t>
      </w:r>
      <w:r w:rsidRPr="00990D3B">
        <w:t xml:space="preserve">(3) specify that the external quality review organization (EQRO) may calculate performance measures in addition to </w:t>
      </w:r>
      <w:r w:rsidRPr="00990D3B">
        <w:t>those</w:t>
      </w:r>
      <w:r w:rsidRPr="00990D3B" w:rsidR="00EC6738">
        <w:t xml:space="preserve"> specified by the state for inclusion in</w:t>
      </w:r>
      <w:r w:rsidRPr="00990D3B">
        <w:t xml:space="preserve"> MCPs</w:t>
      </w:r>
      <w:r w:rsidRPr="00990D3B" w:rsidR="00EC6738">
        <w:t>’</w:t>
      </w:r>
      <w:r w:rsidRPr="00990D3B">
        <w:t xml:space="preserve"> QAPI programs. Calculation of these additional performance measures </w:t>
      </w:r>
      <w:r w:rsidRPr="00990D3B">
        <w:t>are</w:t>
      </w:r>
      <w:r w:rsidRPr="00990D3B">
        <w:t xml:space="preserve"> an optional EQR-related activity.</w:t>
      </w:r>
    </w:p>
    <w:p w:rsidR="00CE5950" w:rsidRPr="00990D3B" w:rsidP="004E5005" w14:paraId="27DB01AD" w14:textId="31C45C6C">
      <w:pPr>
        <w:pStyle w:val="Paragraph0"/>
        <w:rPr>
          <w:spacing w:val="-2"/>
        </w:rPr>
      </w:pPr>
      <w:r w:rsidRPr="00990D3B">
        <w:rPr>
          <w:spacing w:val="-2"/>
        </w:rPr>
        <w:t xml:space="preserve">In many cases, states and MCPs use measures included in the </w:t>
      </w:r>
      <w:r w:rsidRPr="00990D3B" w:rsidR="00A653B6">
        <w:rPr>
          <w:spacing w:val="-2"/>
        </w:rPr>
        <w:t>Centers for Medicare &amp; Medicaid Services (</w:t>
      </w:r>
      <w:r w:rsidRPr="00990D3B" w:rsidR="004408A6">
        <w:rPr>
          <w:spacing w:val="-2"/>
        </w:rPr>
        <w:t>CMS</w:t>
      </w:r>
      <w:r w:rsidRPr="00990D3B" w:rsidR="00A653B6">
        <w:rPr>
          <w:spacing w:val="-2"/>
        </w:rPr>
        <w:t>)</w:t>
      </w:r>
      <w:r w:rsidRPr="00990D3B" w:rsidR="00CD536E">
        <w:t xml:space="preserve"> Child and Adult Core Set measures</w:t>
      </w:r>
      <w:r w:rsidRPr="00990D3B">
        <w:rPr>
          <w:spacing w:val="-2"/>
        </w:rPr>
        <w:t xml:space="preserve"> to monitor and track quality</w:t>
      </w:r>
      <w:r w:rsidRPr="00990D3B" w:rsidR="005248DB">
        <w:rPr>
          <w:spacing w:val="-2"/>
        </w:rPr>
        <w:t xml:space="preserve"> </w:t>
      </w:r>
      <w:r w:rsidRPr="00990D3B">
        <w:t>of care in Medicaid and</w:t>
      </w:r>
      <w:r w:rsidRPr="00990D3B" w:rsidR="00A653B6">
        <w:t xml:space="preserve"> Children’s Health Insurance Program</w:t>
      </w:r>
      <w:r w:rsidRPr="00990D3B">
        <w:t xml:space="preserve"> </w:t>
      </w:r>
      <w:r w:rsidRPr="00990D3B" w:rsidR="00A653B6">
        <w:t>(</w:t>
      </w:r>
      <w:r w:rsidRPr="00990D3B">
        <w:t>CHIP</w:t>
      </w:r>
      <w:r w:rsidRPr="00990D3B" w:rsidR="00A653B6">
        <w:t>)</w:t>
      </w:r>
      <w:r w:rsidRPr="00990D3B">
        <w:t>.</w:t>
      </w:r>
      <w:r w:rsidRPr="00990D3B" w:rsidR="003162DF">
        <w:rPr>
          <w:rFonts w:ascii="ZWAdobeF" w:hAnsi="ZWAdobeF" w:cs="ZWAdobeF"/>
          <w:sz w:val="2"/>
          <w:szCs w:val="2"/>
        </w:rPr>
        <w:t>75F</w:t>
      </w:r>
      <w:r>
        <w:rPr>
          <w:rStyle w:val="FootnoteReference"/>
          <w:spacing w:val="-2"/>
          <w:szCs w:val="22"/>
        </w:rPr>
        <w:footnoteReference w:id="84"/>
      </w:r>
      <w:r w:rsidRPr="00990D3B">
        <w:t xml:space="preserve"> While use of these measures by states is voluntary, CMS encourages states to adopt and use the Child and Adult Core Set measures to support their managed care quality measurement and improvement initiatives. Many Core Set measures are part of </w:t>
      </w:r>
      <w:r w:rsidRPr="00990D3B" w:rsidR="00AA749B">
        <w:t xml:space="preserve">the </w:t>
      </w:r>
      <w:r w:rsidRPr="00990D3B">
        <w:t>Healthcare Effectiveness Data and Information Set (HEDIS®</w:t>
      </w:r>
      <w:r w:rsidRPr="00990D3B" w:rsidR="00484532">
        <w:t>)</w:t>
      </w:r>
      <w:r w:rsidRPr="00990D3B">
        <w:t>, and</w:t>
      </w:r>
      <w:r w:rsidRPr="00990D3B">
        <w:t xml:space="preserve"> have national and regional benchmarks.</w:t>
      </w:r>
    </w:p>
    <w:p w:rsidR="00CE5950" w:rsidRPr="00990D3B" w:rsidP="004E5005" w14:paraId="47D0B799" w14:textId="77777777">
      <w:pPr>
        <w:pStyle w:val="Paragraph0"/>
      </w:pPr>
      <w:r w:rsidRPr="00990D3B">
        <w:t xml:space="preserve">This protocol provides guidance to </w:t>
      </w:r>
      <w:r w:rsidRPr="00990D3B">
        <w:t>states</w:t>
      </w:r>
      <w:r w:rsidRPr="00990D3B">
        <w:t xml:space="preserve"> on the calculation of additional (non-QAPI) performance measures to monitor the care provided by MCPs to </w:t>
      </w:r>
      <w:r w:rsidRPr="00990D3B">
        <w:t>enrollees</w:t>
      </w:r>
      <w:r w:rsidRPr="00990D3B">
        <w:t xml:space="preserve"> covered by Medicaid and CHIP.  </w:t>
      </w:r>
    </w:p>
    <w:p w:rsidR="003175E8" w:rsidRPr="00990D3B" w:rsidP="00C023EF" w14:paraId="3EADF633" w14:textId="104FF478">
      <w:pPr>
        <w:pStyle w:val="H2"/>
      </w:pPr>
      <w:bookmarkStart w:id="783" w:name="_Toc14777737"/>
      <w:bookmarkStart w:id="784" w:name="_Toc183005635"/>
      <w:bookmarkStart w:id="785" w:name="_Toc201751405"/>
      <w:r w:rsidRPr="00990D3B">
        <w:t>G</w:t>
      </w:r>
      <w:r w:rsidRPr="00990D3B">
        <w:rPr>
          <w:lang w:bidi="en-US"/>
        </w:rPr>
        <w:t>etting Started on Protocol</w:t>
      </w:r>
      <w:r w:rsidRPr="00990D3B">
        <w:t xml:space="preserve"> 7</w:t>
      </w:r>
      <w:bookmarkEnd w:id="783"/>
      <w:bookmarkEnd w:id="784"/>
      <w:bookmarkEnd w:id="785"/>
    </w:p>
    <w:p w:rsidR="003175E8" w:rsidRPr="00990D3B" w:rsidP="004E5005" w14:paraId="32CADACB" w14:textId="4296604A">
      <w:pPr>
        <w:pStyle w:val="ParagraphContinued"/>
      </w:pPr>
      <w:r w:rsidRPr="00990D3B">
        <w:t xml:space="preserve">To complete this protocol, the EQRO undertakes three activities: </w:t>
      </w:r>
      <w:r w:rsidRPr="00990D3B">
        <w:t>preparation for measurement, calculation, and reporting (</w:t>
      </w:r>
      <w:hyperlink w:anchor="Figure71" w:tooltip="Figure 7.1" w:history="1">
        <w:r w:rsidRPr="00990D3B">
          <w:rPr>
            <w:rStyle w:val="Hyperlink"/>
          </w:rPr>
          <w:t>Figure 7.1</w:t>
        </w:r>
      </w:hyperlink>
      <w:r w:rsidRPr="00990D3B">
        <w:t xml:space="preserve">). </w:t>
      </w:r>
    </w:p>
    <w:p w:rsidR="00D00866" w:rsidRPr="00990D3B" w:rsidP="00ED0043" w14:paraId="5284004E" w14:textId="2B38768A">
      <w:pPr>
        <w:pStyle w:val="MarkforFigureHeading"/>
      </w:pPr>
      <w:bookmarkStart w:id="786" w:name="Figure71"/>
      <w:bookmarkEnd w:id="786"/>
      <w:r w:rsidRPr="00990D3B">
        <w:t>Figure 7.1. Protocol 7 Activities</w:t>
      </w:r>
    </w:p>
    <w:p w:rsidR="00372A9E" w:rsidRPr="00990D3B" w:rsidP="00FB4F13" w14:paraId="7E82A15F" w14:textId="1380220E">
      <w:pPr>
        <w:pStyle w:val="EQRFigure"/>
      </w:pPr>
      <w:r w:rsidRPr="00990D3B">
        <w:drawing>
          <wp:inline distT="0" distB="0" distL="0" distR="0">
            <wp:extent cx="5944235" cy="2682240"/>
            <wp:effectExtent l="0" t="0" r="0" b="3810"/>
            <wp:docPr id="28" name="Picture 28" descr="Protocol 7 has three activities. The first activity is to prepare for measurement. Activity 1 has three steps: (1) identify the performance measures to be calculated, (2) prepare for data collection, and (3) identify required data elements, data sources, and data quality issues. The second activity is to calculate measures. Activity 2 has five steps: (1) collect performance measure data, (2) clean data, (3) integrate data into performance measure repository, and (4) conduct preliminary analysis, and (5) calculate the denominates, numerators, and rates. The third activity is to report results. Activity 3 has three steps: (1) report preliminary performance measure results, (2) analyze performance measure results, and (3) submit a final report to the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Protocol 7 has three activities. The first activity is to prepare for measurement. Activity 1 has three steps: (1) identify the performance measures to be calculated, (2) prepare for data collection, and (3) identify required data elements, data sources, and data quality issues. The second activity is to calculate measures. Activity 2 has five steps: (1) collect performance measure data, (2) clean data, (3) integrate data into performance measure repository, and (4) conduct preliminary analysis, and (5) calculate the denominates, numerators, and rates. The third activity is to report results. Activity 3 has three steps: (1) report preliminary performance measure results, (2) analyze performance measure results, and (3) submit a final report to the state."/>
                    <pic:cNvPicPr>
                      <a:picLocks noChangeAspect="1" noChangeArrowheads="1"/>
                    </pic:cNvPicPr>
                  </pic:nvPicPr>
                  <pic:blipFill>
                    <a:blip xmlns:r="http://schemas.openxmlformats.org/officeDocument/2006/relationships" r:embed="rId19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4235" cy="2682240"/>
                    </a:xfrm>
                    <a:prstGeom prst="rect">
                      <a:avLst/>
                    </a:prstGeom>
                    <a:noFill/>
                  </pic:spPr>
                </pic:pic>
              </a:graphicData>
            </a:graphic>
          </wp:inline>
        </w:drawing>
      </w:r>
    </w:p>
    <w:p w:rsidR="00484532" w:rsidRPr="00990D3B" w:rsidP="004E5005" w14:paraId="3D427CAB" w14:textId="75132ECB">
      <w:pPr>
        <w:pStyle w:val="Paragraph0"/>
      </w:pPr>
      <w:r w:rsidRPr="00990D3B">
        <w:t xml:space="preserve">Two </w:t>
      </w:r>
      <w:r w:rsidRPr="00990D3B">
        <w:t>supplemental resources are available to help EQROs calculate additional performance measures:</w:t>
      </w:r>
    </w:p>
    <w:p w:rsidR="00484532" w:rsidRPr="00990D3B" w:rsidP="00FB7CAF" w14:paraId="3AB58776" w14:textId="7C9704F7">
      <w:pPr>
        <w:pStyle w:val="EQRBulletBLUE"/>
      </w:pPr>
      <w:hyperlink w:anchor="WSp7" w:tooltip="Worksheets for Protocol 7. Performance Measure Calculation Tools" w:history="1">
        <w:r w:rsidRPr="00990D3B">
          <w:rPr>
            <w:rStyle w:val="Hyperlink"/>
          </w:rPr>
          <w:t>Worksheets</w:t>
        </w:r>
        <w:r w:rsidRPr="00990D3B" w:rsidR="00EC6738">
          <w:rPr>
            <w:rStyle w:val="Hyperlink"/>
          </w:rPr>
          <w:t xml:space="preserve"> </w:t>
        </w:r>
        <w:r w:rsidRPr="00990D3B">
          <w:rPr>
            <w:rStyle w:val="Hyperlink"/>
          </w:rPr>
          <w:t>for Protocol 7. Performance Measure Calculation Tools</w:t>
        </w:r>
      </w:hyperlink>
      <w:r w:rsidRPr="00990D3B">
        <w:t>, which can be used to identify the performance measures to be calculated, document the technical specifications for each measure, develop a master list of data elements, indicate the data sources and any known data quality issues, and specif</w:t>
      </w:r>
      <w:r w:rsidRPr="00990D3B" w:rsidR="00B54B4C">
        <w:t>y</w:t>
      </w:r>
      <w:r w:rsidRPr="00990D3B">
        <w:t xml:space="preserve"> the file format for the transmission of the required data elements</w:t>
      </w:r>
    </w:p>
    <w:p w:rsidR="00484532" w:rsidRPr="00990D3B" w:rsidP="00FB7CAF" w14:paraId="343C906D" w14:textId="50F2F201">
      <w:pPr>
        <w:pStyle w:val="EQRBulletBLUE"/>
      </w:pPr>
      <w:hyperlink w:anchor="AppB" w:tooltip="Appendix B. Information System Capabilities Assessment" w:history="1">
        <w:r w:rsidRPr="00990D3B">
          <w:rPr>
            <w:rStyle w:val="Hyperlink"/>
          </w:rPr>
          <w:t>Appendix B</w:t>
        </w:r>
        <w:r w:rsidRPr="00990D3B">
          <w:rPr>
            <w:rStyle w:val="Hyperlink"/>
          </w:rPr>
          <w:t>. Information System Capabilities Assessment</w:t>
        </w:r>
      </w:hyperlink>
      <w:r w:rsidRPr="00990D3B">
        <w:t>, which is used to assess the MCP’s data collection, pr</w:t>
      </w:r>
      <w:r w:rsidRPr="00990D3B" w:rsidR="00AB24F6">
        <w:t>ocessing, and reporting systems</w:t>
      </w:r>
    </w:p>
    <w:p w:rsidR="00484532" w:rsidRPr="00990D3B" w:rsidP="00A62CAD" w14:paraId="6B7160BF" w14:textId="368F8D21">
      <w:pPr>
        <w:pStyle w:val="EQRFigure"/>
      </w:pPr>
      <w:r w:rsidRPr="00990D3B">
        <w:drawing>
          <wp:inline distT="0" distB="0" distL="0" distR="0">
            <wp:extent cx="5236475" cy="1191770"/>
            <wp:effectExtent l="0" t="0" r="2540" b="8890"/>
            <wp:docPr id="266" name="Picture 266" descr="TIP: Navigate to the corresponding worksheet by clicking the WORKSHEET box under each section. An image of a sample WORKSHEET box is included in the TIP text. Worksheet boxes are single lines of hyperlinked text with a box border that read &quot;Worksheet X.X&quot; with the first number representing the protocol number, and second number representing the worksheet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TIP: Navigate to the corresponding worksheet by clicking the WORKSHEET box under each section. An image of a sample WORKSHEET box is included in the TIP text. Worksheet boxes are single lines of hyperlinked text with a box border that read &quot;Worksheet X.X&quot; with the first number representing the protocol number, and second number representing the worksheet number."/>
                    <pic:cNvPicPr/>
                  </pic:nvPicPr>
                  <pic:blipFill>
                    <a:blip xmlns:r="http://schemas.openxmlformats.org/officeDocument/2006/relationships" r:embed="rId10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36475" cy="1191770"/>
                    </a:xfrm>
                    <a:prstGeom prst="rect">
                      <a:avLst/>
                    </a:prstGeom>
                  </pic:spPr>
                </pic:pic>
              </a:graphicData>
            </a:graphic>
          </wp:inline>
        </w:drawing>
      </w:r>
    </w:p>
    <w:p w:rsidR="005074A6" w:rsidRPr="00990D3B" w:rsidP="002B374F" w14:paraId="409006A0" w14:textId="207F232F">
      <w:pPr>
        <w:pStyle w:val="H2"/>
      </w:pPr>
      <w:bookmarkStart w:id="787" w:name="P7A1"/>
      <w:bookmarkStart w:id="788" w:name="_Toc14777738"/>
      <w:bookmarkStart w:id="789" w:name="_Toc183005636"/>
      <w:bookmarkStart w:id="790" w:name="_Toc201751406"/>
      <w:r w:rsidRPr="00990D3B">
        <w:t>Activity 1</w:t>
      </w:r>
      <w:bookmarkEnd w:id="787"/>
      <w:r w:rsidRPr="00990D3B">
        <w:t>: Prepare for Measurement</w:t>
      </w:r>
      <w:bookmarkEnd w:id="788"/>
      <w:bookmarkEnd w:id="789"/>
      <w:bookmarkEnd w:id="790"/>
    </w:p>
    <w:p w:rsidR="002D5FD7" w:rsidRPr="00990D3B" w:rsidP="006E75DD" w14:paraId="7E059808" w14:textId="0C437891">
      <w:pPr>
        <w:pStyle w:val="H3"/>
      </w:pPr>
      <w:bookmarkStart w:id="791" w:name="P7A1Step1"/>
      <w:bookmarkEnd w:id="791"/>
      <w:r w:rsidRPr="00990D3B">
        <w:t>Step 1: Identify the Performance Measures to be Calculated</w:t>
      </w:r>
    </w:p>
    <w:p w:rsidR="005074A6" w:rsidRPr="00990D3B" w:rsidP="003650D1" w14:paraId="6C7BA884" w14:textId="36B55C05">
      <w:pPr>
        <w:pStyle w:val="ParagraphContinued"/>
      </w:pPr>
      <w:r w:rsidRPr="00990D3B">
        <w:rPr>
          <w:noProof/>
        </w:rPr>
        <mc:AlternateContent>
          <mc:Choice Requires="wps">
            <w:drawing>
              <wp:anchor distT="0" distB="0" distL="114300" distR="114300" simplePos="0" relativeHeight="251949056" behindDoc="0" locked="0" layoutInCell="1" allowOverlap="1">
                <wp:simplePos x="0" y="0"/>
                <wp:positionH relativeFrom="column">
                  <wp:posOffset>3587750</wp:posOffset>
                </wp:positionH>
                <wp:positionV relativeFrom="paragraph">
                  <wp:posOffset>403225</wp:posOffset>
                </wp:positionV>
                <wp:extent cx="2193925" cy="297180"/>
                <wp:effectExtent l="19050" t="19050" r="0" b="7620"/>
                <wp:wrapTight wrapText="bothSides">
                  <wp:wrapPolygon>
                    <wp:start x="21788" y="22985"/>
                    <wp:lineTo x="21788" y="-554"/>
                    <wp:lineTo x="31" y="-554"/>
                    <wp:lineTo x="31" y="22985"/>
                    <wp:lineTo x="21788" y="22985"/>
                  </wp:wrapPolygon>
                </wp:wrapTight>
                <wp:docPr id="678313485" name="Text Box 6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180"/>
                        </a:xfrm>
                        <a:prstGeom prst="rect">
                          <a:avLst/>
                        </a:prstGeom>
                        <a:solidFill>
                          <a:srgbClr val="EEF5F8"/>
                        </a:solidFill>
                        <a:ln w="28575" cap="rnd">
                          <a:solidFill>
                            <a:srgbClr val="A5DAD9"/>
                          </a:solidFill>
                          <a:prstDash val="solid"/>
                          <a:miter lim="800000"/>
                          <a:headEnd/>
                          <a:tailEnd/>
                        </a:ln>
                      </wps:spPr>
                      <wps:txbx>
                        <w:txbxContent>
                          <w:p w:rsidR="0008037A" w:rsidRPr="0090682E" w:rsidP="00CB2162" w14:textId="77777777">
                            <w:pPr>
                              <w:pStyle w:val="EQRWORKSHEETText"/>
                              <w:rPr>
                                <w:spacing w:val="-2"/>
                              </w:rPr>
                            </w:pPr>
                            <w:hyperlink w:anchor="WSp7n02" w:tooltip="WORKSHEET 7.2" w:history="1">
                              <w:r>
                                <w:rPr>
                                  <w:rStyle w:val="Hyperlink"/>
                                  <w:color w:val="006981"/>
                                </w:rPr>
                                <w:t>WORKSHEET 7.2</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4" o:spid="_x0000_s1211" type="#_x0000_t202" style="width:172.75pt;height:23.4pt;margin-top:31.75pt;margin-left:282.5pt;flip:y;mso-height-percent:0;mso-height-relative:page;mso-width-percent:0;mso-width-relative:page;mso-wrap-distance-bottom:0;mso-wrap-distance-left:9pt;mso-wrap-distance-right:9pt;mso-wrap-distance-top:0;mso-wrap-style:square;position:absolute;rotation:180;visibility:visible;v-text-anchor:top;z-index:251950080" fillcolor="#eef5f8" strokecolor="#a5dad9" strokeweight="2.25pt">
                <v:stroke endcap="round"/>
                <v:textbox style="mso-fit-shape-to-text:t" inset="8.64pt,,8.64pt">
                  <w:txbxContent>
                    <w:p w:rsidR="0008037A" w:rsidRPr="0090682E" w:rsidP="00CB2162" w14:paraId="6E8F7848" w14:textId="77777777">
                      <w:pPr>
                        <w:pStyle w:val="EQRWORKSHEETText"/>
                        <w:rPr>
                          <w:spacing w:val="-2"/>
                        </w:rPr>
                      </w:pPr>
                      <w:hyperlink w:anchor="WSp7n02" w:tooltip="WORKSHEET 7.2" w:history="1">
                        <w:r>
                          <w:rPr>
                            <w:rStyle w:val="Hyperlink"/>
                            <w:color w:val="006981"/>
                          </w:rPr>
                          <w:t>WORKSHEET 7.2</w:t>
                        </w:r>
                      </w:hyperlink>
                    </w:p>
                  </w:txbxContent>
                </v:textbox>
                <w10:wrap type="tight"/>
              </v:shape>
            </w:pict>
          </mc:Fallback>
        </mc:AlternateContent>
      </w:r>
      <w:r w:rsidRPr="00990D3B">
        <w:rPr>
          <w:noProof/>
        </w:rPr>
        <mc:AlternateContent>
          <mc:Choice Requires="wps">
            <w:drawing>
              <wp:anchor distT="0" distB="0" distL="114300" distR="114300" simplePos="0" relativeHeight="251951104" behindDoc="0" locked="0" layoutInCell="1" allowOverlap="1">
                <wp:simplePos x="0" y="0"/>
                <wp:positionH relativeFrom="column">
                  <wp:posOffset>3587750</wp:posOffset>
                </wp:positionH>
                <wp:positionV relativeFrom="paragraph">
                  <wp:posOffset>47625</wp:posOffset>
                </wp:positionV>
                <wp:extent cx="2193925" cy="297180"/>
                <wp:effectExtent l="19050" t="19050" r="0" b="7620"/>
                <wp:wrapTight wrapText="bothSides">
                  <wp:wrapPolygon>
                    <wp:start x="21788" y="22985"/>
                    <wp:lineTo x="21788" y="-554"/>
                    <wp:lineTo x="31" y="-554"/>
                    <wp:lineTo x="31" y="22985"/>
                    <wp:lineTo x="21788" y="22985"/>
                  </wp:wrapPolygon>
                </wp:wrapTight>
                <wp:docPr id="414209767" name="Text Box 6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180"/>
                        </a:xfrm>
                        <a:prstGeom prst="rect">
                          <a:avLst/>
                        </a:prstGeom>
                        <a:solidFill>
                          <a:srgbClr val="EEF5F8"/>
                        </a:solidFill>
                        <a:ln w="28575" cap="rnd">
                          <a:solidFill>
                            <a:srgbClr val="A5DAD9"/>
                          </a:solidFill>
                          <a:prstDash val="solid"/>
                          <a:miter lim="800000"/>
                          <a:headEnd/>
                          <a:tailEnd/>
                        </a:ln>
                      </wps:spPr>
                      <wps:txbx>
                        <w:txbxContent>
                          <w:p w:rsidR="0008037A" w:rsidRPr="0090682E" w:rsidP="00CB2162" w14:textId="77777777">
                            <w:pPr>
                              <w:pStyle w:val="EQRWORKSHEETText"/>
                              <w:rPr>
                                <w:spacing w:val="-2"/>
                              </w:rPr>
                            </w:pPr>
                            <w:hyperlink w:anchor="WSp7n01" w:tooltip="WORKSHEET 7.1" w:history="1">
                              <w:r>
                                <w:rPr>
                                  <w:rStyle w:val="Hyperlink"/>
                                  <w:color w:val="006981"/>
                                </w:rPr>
                                <w:t>WORKSHEET 7.1</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3" o:spid="_x0000_s1212" type="#_x0000_t202" style="width:172.75pt;height:23.4pt;margin-top:3.75pt;margin-left:282.5pt;flip:y;mso-height-percent:0;mso-height-relative:page;mso-width-percent:0;mso-width-relative:page;mso-wrap-distance-bottom:0;mso-wrap-distance-left:9pt;mso-wrap-distance-right:9pt;mso-wrap-distance-top:0;mso-wrap-style:square;position:absolute;rotation:180;visibility:visible;v-text-anchor:top;z-index:251952128" fillcolor="#eef5f8" strokecolor="#a5dad9" strokeweight="2.25pt">
                <v:stroke endcap="round"/>
                <v:textbox style="mso-fit-shape-to-text:t" inset="8.64pt,,8.64pt">
                  <w:txbxContent>
                    <w:p w:rsidR="0008037A" w:rsidRPr="0090682E" w:rsidP="00CB2162" w14:paraId="3D26331A" w14:textId="77777777">
                      <w:pPr>
                        <w:pStyle w:val="EQRWORKSHEETText"/>
                        <w:rPr>
                          <w:spacing w:val="-2"/>
                        </w:rPr>
                      </w:pPr>
                      <w:hyperlink w:anchor="WSp7n01" w:tooltip="WORKSHEET 7.1" w:history="1">
                        <w:r>
                          <w:rPr>
                            <w:rStyle w:val="Hyperlink"/>
                            <w:color w:val="006981"/>
                          </w:rPr>
                          <w:t>WORKSHEET 7.1</w:t>
                        </w:r>
                      </w:hyperlink>
                    </w:p>
                  </w:txbxContent>
                </v:textbox>
                <w10:wrap type="tight"/>
              </v:shape>
            </w:pict>
          </mc:Fallback>
        </mc:AlternateContent>
      </w:r>
      <w:r w:rsidRPr="00990D3B">
        <w:rPr>
          <w:noProof/>
        </w:rPr>
        <mc:AlternateContent>
          <mc:Choice Requires="wps">
            <w:drawing>
              <wp:anchor distT="0" distB="0" distL="114300" distR="114300" simplePos="0" relativeHeight="251953152" behindDoc="0" locked="0" layoutInCell="1" allowOverlap="1">
                <wp:simplePos x="0" y="0"/>
                <wp:positionH relativeFrom="column">
                  <wp:posOffset>3587750</wp:posOffset>
                </wp:positionH>
                <wp:positionV relativeFrom="paragraph">
                  <wp:posOffset>760730</wp:posOffset>
                </wp:positionV>
                <wp:extent cx="2194560" cy="3129280"/>
                <wp:effectExtent l="19050" t="19050" r="0" b="0"/>
                <wp:wrapTight wrapText="bothSides">
                  <wp:wrapPolygon>
                    <wp:start x="21788" y="21731"/>
                    <wp:lineTo x="21788" y="35"/>
                    <wp:lineTo x="38" y="35"/>
                    <wp:lineTo x="38" y="21731"/>
                    <wp:lineTo x="21788" y="21731"/>
                  </wp:wrapPolygon>
                </wp:wrapTight>
                <wp:docPr id="1808296441" name="Text Box 6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3129280"/>
                        </a:xfrm>
                        <a:prstGeom prst="rect">
                          <a:avLst/>
                        </a:prstGeom>
                        <a:solidFill>
                          <a:srgbClr val="EEF5F8"/>
                        </a:solidFill>
                        <a:ln w="28575" cap="rnd">
                          <a:solidFill>
                            <a:srgbClr val="A5DAD9"/>
                          </a:solidFill>
                          <a:prstDash val="solid"/>
                          <a:miter lim="800000"/>
                          <a:headEnd/>
                          <a:tailEnd/>
                        </a:ln>
                      </wps:spPr>
                      <wps:txbx>
                        <w:txbxContent>
                          <w:p w:rsidR="0008037A" w:rsidP="00CB2162" w14:textId="77777777">
                            <w:pPr>
                              <w:pStyle w:val="EQRTextboxheading"/>
                            </w:pPr>
                            <w:r>
                              <w:t>Resources for Activity 1, Step 1</w:t>
                            </w:r>
                          </w:p>
                          <w:p w:rsidR="0008037A" w:rsidRPr="00CB2162" w:rsidP="00CB2162" w14:textId="77777777">
                            <w:pPr>
                              <w:pStyle w:val="EQRTextboxbody"/>
                            </w:pPr>
                            <w:hyperlink w:anchor="WSp7n01" w:tooltip="Worksheet 7.1. List of Performance Measures to be Calculated" w:history="1">
                              <w:r w:rsidRPr="00037C77">
                                <w:rPr>
                                  <w:rStyle w:val="Hyperlink"/>
                                </w:rPr>
                                <w:t>Worksheet 7.1. List of Performance Measures to be Calculated</w:t>
                              </w:r>
                            </w:hyperlink>
                          </w:p>
                          <w:p w:rsidR="0008037A" w:rsidRPr="00CB2162" w:rsidP="00CB2162" w14:textId="77777777">
                            <w:pPr>
                              <w:pStyle w:val="EQRTextboxbullet"/>
                            </w:pPr>
                            <w:r w:rsidRPr="00CB2162">
                              <w:t>Provides a template for identifying the measures the EQRO will calculate for the state, including the source, how frequently to calculate each measure, and when each measure is due to the state</w:t>
                            </w:r>
                          </w:p>
                          <w:p w:rsidR="0008037A" w:rsidRPr="00CB2162" w:rsidP="00CB2162" w14:textId="21C6727A">
                            <w:pPr>
                              <w:pStyle w:val="EQRTextboxbody"/>
                            </w:pPr>
                            <w:hyperlink w:anchor="WSp7n02" w:tooltip="Worksheet 7.2. Companion Performance Measurement Tool" w:history="1">
                              <w:r w:rsidRPr="00037C77">
                                <w:rPr>
                                  <w:rStyle w:val="Hyperlink"/>
                                </w:rPr>
                                <w:t>Worksheet 7.2. Companion Performance Measurement Tool</w:t>
                              </w:r>
                            </w:hyperlink>
                          </w:p>
                          <w:p w:rsidR="0008037A" w:rsidRPr="0090682E" w:rsidP="00CB2162" w14:textId="77777777">
                            <w:pPr>
                              <w:pStyle w:val="EQRTextboxbullet"/>
                              <w:rPr>
                                <w:spacing w:val="-2"/>
                              </w:rPr>
                            </w:pPr>
                            <w:r w:rsidRPr="00CB2162">
                              <w:t>Provides a template for documenting additional information about measures in</w:t>
                            </w:r>
                            <w:r w:rsidRPr="000E1F61">
                              <w:t xml:space="preserve"> </w:t>
                            </w:r>
                            <w:hyperlink w:anchor="WSp7n01" w:tooltip="Worksheet 7.1" w:history="1">
                              <w:r w:rsidRPr="008A62F7">
                                <w:rPr>
                                  <w:rStyle w:val="Hyperlink"/>
                                </w:rPr>
                                <w:t>Worksheet 7.1</w:t>
                              </w:r>
                            </w:hyperlink>
                            <w:r w:rsidRPr="000E1F61">
                              <w:t>,</w:t>
                            </w:r>
                            <w:r w:rsidRPr="00CB2162">
                              <w:t xml:space="preserve"> including technical specifications, benchmarks, performance standards, or other information about state requirements</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2" o:spid="_x0000_s1213" type="#_x0000_t202" style="width:172.8pt;height:246.4pt;margin-top:59.9pt;margin-left:282.5pt;flip:y;mso-height-percent:0;mso-height-relative:page;mso-width-percent:0;mso-width-relative:page;mso-wrap-distance-bottom:0;mso-wrap-distance-left:9pt;mso-wrap-distance-right:9pt;mso-wrap-distance-top:0;mso-wrap-style:square;position:absolute;rotation:180;visibility:visible;v-text-anchor:top;z-index:251954176" fillcolor="#eef5f8" strokecolor="#a5dad9" strokeweight="2.25pt">
                <v:stroke endcap="round"/>
                <v:textbox style="mso-fit-shape-to-text:t" inset="8.64pt,,8.64pt">
                  <w:txbxContent>
                    <w:p w:rsidR="0008037A" w:rsidP="00CB2162" w14:paraId="2D047489" w14:textId="77777777">
                      <w:pPr>
                        <w:pStyle w:val="EQRTextboxheading"/>
                      </w:pPr>
                      <w:r>
                        <w:t>Resources for Activity 1, Step 1</w:t>
                      </w:r>
                    </w:p>
                    <w:p w:rsidR="0008037A" w:rsidRPr="00CB2162" w:rsidP="00CB2162" w14:paraId="1EF765FE" w14:textId="77777777">
                      <w:pPr>
                        <w:pStyle w:val="EQRTextboxbody"/>
                      </w:pPr>
                      <w:hyperlink w:anchor="WSp7n01" w:tooltip="Worksheet 7.1. List of Performance Measures to be Calculated" w:history="1">
                        <w:r w:rsidRPr="00037C77">
                          <w:rPr>
                            <w:rStyle w:val="Hyperlink"/>
                          </w:rPr>
                          <w:t>Worksheet 7.1. List of Performance Measures to be Calculated</w:t>
                        </w:r>
                      </w:hyperlink>
                    </w:p>
                    <w:p w:rsidR="0008037A" w:rsidRPr="00CB2162" w:rsidP="00CB2162" w14:paraId="141079EC" w14:textId="77777777">
                      <w:pPr>
                        <w:pStyle w:val="EQRTextboxbullet"/>
                      </w:pPr>
                      <w:r w:rsidRPr="00CB2162">
                        <w:t>Provides a template for identifying the measures the EQRO will calculate for the state, including the source, how frequently to calculate each measure, and when each measure is due to the state</w:t>
                      </w:r>
                    </w:p>
                    <w:p w:rsidR="0008037A" w:rsidRPr="00CB2162" w:rsidP="00CB2162" w14:paraId="5722127F" w14:textId="21C6727A">
                      <w:pPr>
                        <w:pStyle w:val="EQRTextboxbody"/>
                      </w:pPr>
                      <w:hyperlink w:anchor="WSp7n02" w:tooltip="Worksheet 7.2. Companion Performance Measurement Tool" w:history="1">
                        <w:r w:rsidRPr="00037C77">
                          <w:rPr>
                            <w:rStyle w:val="Hyperlink"/>
                          </w:rPr>
                          <w:t>Worksheet 7.2. Companion Performance Measurement Tool</w:t>
                        </w:r>
                      </w:hyperlink>
                    </w:p>
                    <w:p w:rsidR="0008037A" w:rsidRPr="0090682E" w:rsidP="00CB2162" w14:paraId="512C8214" w14:textId="77777777">
                      <w:pPr>
                        <w:pStyle w:val="EQRTextboxbullet"/>
                        <w:rPr>
                          <w:spacing w:val="-2"/>
                        </w:rPr>
                      </w:pPr>
                      <w:r w:rsidRPr="00CB2162">
                        <w:t>Provides a template for documenting additional information about measures in</w:t>
                      </w:r>
                      <w:r w:rsidRPr="000E1F61">
                        <w:t xml:space="preserve"> </w:t>
                      </w:r>
                      <w:hyperlink w:anchor="WSp7n01" w:tooltip="Worksheet 7.1" w:history="1">
                        <w:r w:rsidRPr="008A62F7">
                          <w:rPr>
                            <w:rStyle w:val="Hyperlink"/>
                          </w:rPr>
                          <w:t>Worksheet 7.1</w:t>
                        </w:r>
                      </w:hyperlink>
                      <w:r w:rsidRPr="000E1F61">
                        <w:t>,</w:t>
                      </w:r>
                      <w:r w:rsidRPr="00CB2162">
                        <w:t xml:space="preserve"> including technical specifications, benchmarks, performance standards, or other information about state requirements</w:t>
                      </w:r>
                    </w:p>
                  </w:txbxContent>
                </v:textbox>
                <w10:wrap type="tight"/>
              </v:shape>
            </w:pict>
          </mc:Fallback>
        </mc:AlternateContent>
      </w:r>
      <w:r w:rsidRPr="00990D3B">
        <w:t xml:space="preserve">In this step, the </w:t>
      </w:r>
      <w:r w:rsidRPr="00990D3B" w:rsidR="005074A6">
        <w:t>state provide</w:t>
      </w:r>
      <w:r w:rsidRPr="00990D3B">
        <w:t>s</w:t>
      </w:r>
      <w:r w:rsidRPr="00990D3B" w:rsidR="005074A6">
        <w:t xml:space="preserve"> the EQRO with a list of performance measures to be calculated along with technical specifications for their calculation. The EQRO must understand the state’s specifications for each performance measure (e.g., sampling guidelines, data sources, measurement period, instructions for calculating numerators and denominators), as well as the state’s requirements for benchmarking, analysis, and</w:t>
      </w:r>
      <w:r w:rsidRPr="00990D3B" w:rsidR="003650D1">
        <w:t> </w:t>
      </w:r>
      <w:r w:rsidRPr="00990D3B" w:rsidR="005074A6">
        <w:t>reporting.</w:t>
      </w:r>
      <w:r w:rsidRPr="00990D3B" w:rsidR="009C4858">
        <w:rPr>
          <w:noProof/>
        </w:rPr>
        <w:t xml:space="preserve"> </w:t>
      </w:r>
    </w:p>
    <w:p w:rsidR="005074A6" w:rsidRPr="00990D3B" w:rsidP="004E5005" w14:paraId="5EFCB794" w14:textId="737928E0">
      <w:pPr>
        <w:pStyle w:val="Paragraph0"/>
      </w:pPr>
      <w:r w:rsidRPr="00990D3B">
        <w:t>The EQRO must also understand the state’s requirements for the timing and format of the performance measure report. The EQRO should create a list of performance measures to be calculated to document the measures required by the state and the reporting frequency and timeline for each measure</w:t>
      </w:r>
      <w:r w:rsidRPr="00990D3B" w:rsidR="00252C67">
        <w:t xml:space="preserve">. </w:t>
      </w:r>
      <w:r w:rsidRPr="00990D3B">
        <w:t xml:space="preserve">For each performance measure listed in </w:t>
      </w:r>
      <w:hyperlink w:anchor="WSp7n01" w:tooltip="Worksheet 7.1" w:history="1">
        <w:r w:rsidRPr="00990D3B">
          <w:rPr>
            <w:rStyle w:val="Hyperlink"/>
          </w:rPr>
          <w:t>Worksheet 7.1</w:t>
        </w:r>
      </w:hyperlink>
      <w:r w:rsidRPr="00990D3B">
        <w:t xml:space="preserve">, the EQRO should complete a companion performance measurement worksheet that contains the technical specifications for the measure, benchmarks, performance standards, and other information needed to </w:t>
      </w:r>
      <w:r w:rsidRPr="00990D3B">
        <w:t>analyze the performance measure according to the state’s requirements (</w:t>
      </w:r>
      <w:hyperlink w:anchor="WSp7n02" w:tooltip="Worksheet 7.2" w:history="1">
        <w:r w:rsidRPr="00990D3B">
          <w:rPr>
            <w:rStyle w:val="Hyperlink"/>
          </w:rPr>
          <w:t>Worksheet 7.2</w:t>
        </w:r>
      </w:hyperlink>
      <w:r w:rsidRPr="00990D3B">
        <w:t xml:space="preserve">). The EQRO </w:t>
      </w:r>
      <w:r w:rsidRPr="00990D3B">
        <w:t>may need to</w:t>
      </w:r>
      <w:r w:rsidRPr="00990D3B">
        <w:t xml:space="preserve"> request clarification from the state, measure steward, or other expert if the measure specifications are unclear.</w:t>
      </w:r>
    </w:p>
    <w:p w:rsidR="005074A6" w:rsidRPr="00990D3B" w:rsidP="00DE42F8" w14:paraId="201B8AB3" w14:textId="77777777">
      <w:pPr>
        <w:pStyle w:val="H3"/>
      </w:pPr>
      <w:bookmarkStart w:id="792" w:name="P7A1Step2"/>
      <w:bookmarkEnd w:id="792"/>
      <w:r w:rsidRPr="00990D3B">
        <w:t>Step 2: Prepare for Data Collection</w:t>
      </w:r>
    </w:p>
    <w:p w:rsidR="00D566CC" w:rsidRPr="00990D3B" w:rsidP="003650D1" w14:paraId="71E3E93A" w14:textId="014C6439">
      <w:pPr>
        <w:pStyle w:val="ParagraphContinued"/>
      </w:pPr>
      <w:r w:rsidRPr="00990D3B">
        <w:t xml:space="preserve">In this step, the EQRO </w:t>
      </w:r>
      <w:r w:rsidRPr="00990D3B">
        <w:t>send</w:t>
      </w:r>
      <w:r w:rsidRPr="00990D3B">
        <w:t>s</w:t>
      </w:r>
      <w:r w:rsidRPr="00990D3B">
        <w:t xml:space="preserve"> an introductory communication to the MCP outlining the purpose, process, and timeline for its performance measure calculation activities. In addition, the EQRO should request </w:t>
      </w:r>
      <w:r w:rsidRPr="00990D3B">
        <w:t>a contact</w:t>
      </w:r>
      <w:r w:rsidRPr="00990D3B">
        <w:t xml:space="preserve"> within the MCP to schedule activities and provide requested documents and other information. </w:t>
      </w:r>
    </w:p>
    <w:p w:rsidR="005074A6" w:rsidRPr="00990D3B" w:rsidP="004E5005" w14:paraId="593433C3" w14:textId="41251298">
      <w:pPr>
        <w:pStyle w:val="Paragraph0"/>
      </w:pPr>
      <w:r w:rsidRPr="00990D3B">
        <w:t>The EQRO should inform the MCP that it may be necessary to interview MCP or vendor staff with responsibility for data collect</w:t>
      </w:r>
      <w:r w:rsidRPr="00990D3B" w:rsidR="00C754BF">
        <w:t>ion or performance measurement.</w:t>
      </w:r>
      <w:r w:rsidRPr="00990D3B">
        <w:t xml:space="preserve"> The information provided by the MCP should inform the EQRO of the location of the required data, which organization (state, EQRO, or MCP) will need to collect and integrate specific data elements, and how to access the data. Information obtained from MCP staff may improve the efficiency and accuracy of the EQRO’s effort to collect and integrate the data necessary for calculating performance measures. </w:t>
      </w:r>
    </w:p>
    <w:p w:rsidR="005074A6" w:rsidRPr="00990D3B" w:rsidP="004E5005" w14:paraId="42B2B687" w14:textId="77777777">
      <w:pPr>
        <w:pStyle w:val="Paragraph0"/>
      </w:pPr>
      <w:r w:rsidRPr="00990D3B">
        <w:t xml:space="preserve">During this step, the EQRO should also review or conduct an Information Systems Capabilities Assessment (ISCA) for each MCP </w:t>
      </w:r>
      <w:r w:rsidRPr="00990D3B">
        <w:t>to</w:t>
      </w:r>
      <w:r w:rsidRPr="00990D3B">
        <w:t>:</w:t>
      </w:r>
    </w:p>
    <w:p w:rsidR="005074A6" w:rsidRPr="00990D3B" w:rsidP="00FB7CAF" w14:paraId="5D112817" w14:textId="0E736FBB">
      <w:pPr>
        <w:pStyle w:val="EQRBulletBLUE"/>
      </w:pPr>
      <w:r w:rsidRPr="00990D3B">
        <w:t>Understand data sources, flows, and integr</w:t>
      </w:r>
      <w:r w:rsidRPr="00990D3B" w:rsidR="00AB24F6">
        <w:t>ation processes used by the MCP</w:t>
      </w:r>
      <w:r w:rsidRPr="00990D3B" w:rsidR="00DA0C32">
        <w:t>.</w:t>
      </w:r>
    </w:p>
    <w:p w:rsidR="005074A6" w:rsidRPr="00990D3B" w:rsidP="00FB7CAF" w14:paraId="763BEC65" w14:textId="01F58F4B">
      <w:pPr>
        <w:pStyle w:val="EQRBulletBLUE"/>
      </w:pPr>
      <w:r w:rsidRPr="00990D3B">
        <w:t>Identify where the EQRO needs to work with outside data so</w:t>
      </w:r>
      <w:r w:rsidRPr="00990D3B" w:rsidR="00AB24F6">
        <w:t>urces to obtain additional data</w:t>
      </w:r>
      <w:r w:rsidRPr="00990D3B" w:rsidR="00DA0C32">
        <w:t>.</w:t>
      </w:r>
    </w:p>
    <w:p w:rsidR="005074A6" w:rsidRPr="00990D3B" w:rsidP="00FB7CAF" w14:paraId="73E8CA10" w14:textId="302A6A81">
      <w:pPr>
        <w:pStyle w:val="EQRBulletBLUE"/>
      </w:pPr>
      <w:r w:rsidRPr="00990D3B">
        <w:t>Determine which data elements are integrated by the MCP and which data e</w:t>
      </w:r>
      <w:r w:rsidRPr="00990D3B" w:rsidR="00AB24F6">
        <w:t>lements the EQRO must integrate</w:t>
      </w:r>
      <w:r w:rsidRPr="00990D3B" w:rsidR="00DA0C32">
        <w:t>.</w:t>
      </w:r>
    </w:p>
    <w:p w:rsidR="005074A6" w:rsidRPr="00990D3B" w:rsidP="003650D1" w14:paraId="449CACE4" w14:textId="2E88BC7B">
      <w:pPr>
        <w:pStyle w:val="ParagraphContinued"/>
      </w:pPr>
      <w:hyperlink w:anchor="AppB" w:tooltip="Appendix B" w:history="1">
        <w:r w:rsidRPr="00990D3B">
          <w:rPr>
            <w:rStyle w:val="Hyperlink"/>
          </w:rPr>
          <w:t>Appendix B</w:t>
        </w:r>
      </w:hyperlink>
      <w:r w:rsidRPr="00990D3B">
        <w:t xml:space="preserve"> contains the IS</w:t>
      </w:r>
      <w:r w:rsidRPr="00990D3B" w:rsidR="007B7D2D">
        <w:t>C</w:t>
      </w:r>
      <w:r w:rsidRPr="00990D3B">
        <w:t>A tool and instructions for completing the ISCA. For more information on how the EQRO should conduct or review an existing IS</w:t>
      </w:r>
      <w:r w:rsidRPr="00990D3B" w:rsidR="007B7D2D">
        <w:t>C</w:t>
      </w:r>
      <w:r w:rsidRPr="00990D3B">
        <w:t xml:space="preserve">A as part of its performance measurement activities, please refer to </w:t>
      </w:r>
      <w:hyperlink w:anchor="P2A1Step2" w:tooltip="Protocol 2, Activity 1, Step 2" w:history="1">
        <w:r w:rsidRPr="00990D3B">
          <w:rPr>
            <w:rStyle w:val="Hyperlink"/>
          </w:rPr>
          <w:t>Protocol 2, Activity 1, Step 2</w:t>
        </w:r>
      </w:hyperlink>
      <w:r w:rsidRPr="00990D3B">
        <w:t xml:space="preserve">. </w:t>
      </w:r>
    </w:p>
    <w:p w:rsidR="00834C2D" w:rsidRPr="00990D3B" w:rsidP="004E5005" w14:paraId="14BD6400" w14:textId="46E0B150">
      <w:pPr>
        <w:pStyle w:val="Paragraph0"/>
      </w:pPr>
      <w:r w:rsidRPr="00990D3B">
        <w:t xml:space="preserve">If data </w:t>
      </w:r>
      <w:r w:rsidRPr="00990D3B">
        <w:t>will be</w:t>
      </w:r>
      <w:r w:rsidRPr="00990D3B">
        <w:t xml:space="preserve"> collected from other sources such as state public health registries, vital records, hospital discharge abstract database</w:t>
      </w:r>
      <w:r w:rsidRPr="00990D3B" w:rsidR="00EC6738">
        <w:t>s</w:t>
      </w:r>
      <w:r w:rsidRPr="00990D3B">
        <w:t>, or behavioral health vendor</w:t>
      </w:r>
      <w:r w:rsidRPr="00990D3B" w:rsidR="00EC6738">
        <w:t>s</w:t>
      </w:r>
      <w:r w:rsidRPr="00990D3B">
        <w:t xml:space="preserve"> under contract to the state, the EQRO should establish contact with the organizations responsible for these data sources.</w:t>
      </w:r>
    </w:p>
    <w:p w:rsidR="00DE42F8" w:rsidRPr="00990D3B" w14:paraId="7BE69B71" w14:textId="77777777">
      <w:pPr>
        <w:spacing w:line="240" w:lineRule="auto"/>
        <w:rPr>
          <w:b/>
          <w:sz w:val="28"/>
        </w:rPr>
      </w:pPr>
      <w:bookmarkStart w:id="793" w:name="_Toc278894247"/>
      <w:bookmarkStart w:id="794" w:name="_Toc325365799"/>
      <w:r w:rsidRPr="00990D3B">
        <w:br w:type="page"/>
      </w:r>
    </w:p>
    <w:p w:rsidR="002D5FD7" w:rsidRPr="00990D3B" w:rsidP="00DE42F8" w14:paraId="129E9BBA" w14:textId="5661D7E0">
      <w:pPr>
        <w:pStyle w:val="H3"/>
      </w:pPr>
      <w:bookmarkStart w:id="795" w:name="P7A1Step3"/>
      <w:bookmarkEnd w:id="795"/>
      <w:r w:rsidRPr="00990D3B">
        <w:t xml:space="preserve">Step </w:t>
      </w:r>
      <w:r w:rsidRPr="00990D3B">
        <w:rPr>
          <w:caps/>
        </w:rPr>
        <w:t>3</w:t>
      </w:r>
      <w:r w:rsidRPr="00990D3B">
        <w:t xml:space="preserve">: </w:t>
      </w:r>
      <w:bookmarkEnd w:id="793"/>
      <w:bookmarkEnd w:id="794"/>
      <w:r w:rsidRPr="00990D3B">
        <w:t>Identify Required Data Elements, Data Sources, and Data Quality</w:t>
      </w:r>
      <w:r w:rsidRPr="00990D3B" w:rsidR="00F46347">
        <w:t> </w:t>
      </w:r>
      <w:r w:rsidRPr="00990D3B">
        <w:t>Issues</w:t>
      </w:r>
    </w:p>
    <w:p w:rsidR="00834C2D" w:rsidRPr="00990D3B" w:rsidP="006E75DD" w14:paraId="71ABC803" w14:textId="2EDFCB38">
      <w:pPr>
        <w:pStyle w:val="ParagraphContinued"/>
      </w:pPr>
      <w:r w:rsidRPr="00990D3B">
        <w:rPr>
          <w:noProof/>
        </w:rPr>
        <mc:AlternateContent>
          <mc:Choice Requires="wps">
            <w:drawing>
              <wp:anchor distT="0" distB="0" distL="114300" distR="114300" simplePos="0" relativeHeight="251908096" behindDoc="0" locked="0" layoutInCell="1" allowOverlap="1">
                <wp:simplePos x="0" y="0"/>
                <wp:positionH relativeFrom="column">
                  <wp:posOffset>3721100</wp:posOffset>
                </wp:positionH>
                <wp:positionV relativeFrom="paragraph">
                  <wp:posOffset>870585</wp:posOffset>
                </wp:positionV>
                <wp:extent cx="2194560" cy="2367280"/>
                <wp:effectExtent l="19050" t="19050" r="0" b="0"/>
                <wp:wrapTight wrapText="bothSides">
                  <wp:wrapPolygon>
                    <wp:start x="21788" y="21774"/>
                    <wp:lineTo x="21788" y="46"/>
                    <wp:lineTo x="38" y="46"/>
                    <wp:lineTo x="38" y="21774"/>
                    <wp:lineTo x="21788" y="21774"/>
                  </wp:wrapPolygon>
                </wp:wrapTight>
                <wp:docPr id="666963603" name="Text Box 6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367280"/>
                        </a:xfrm>
                        <a:prstGeom prst="rect">
                          <a:avLst/>
                        </a:prstGeom>
                        <a:solidFill>
                          <a:srgbClr val="EEF5F8"/>
                        </a:solidFill>
                        <a:ln w="28575" cap="rnd">
                          <a:solidFill>
                            <a:srgbClr val="A5DAD9"/>
                          </a:solidFill>
                          <a:prstDash val="solid"/>
                          <a:miter lim="800000"/>
                          <a:headEnd/>
                          <a:tailEnd/>
                        </a:ln>
                      </wps:spPr>
                      <wps:txbx>
                        <w:txbxContent>
                          <w:p w:rsidR="00ED33C3" w:rsidP="006E75DD" w14:textId="0C7800B3">
                            <w:pPr>
                              <w:pStyle w:val="EQRTextboxheading"/>
                            </w:pPr>
                            <w:r>
                              <w:t>Resources for Activity 1, Step 3</w:t>
                            </w:r>
                          </w:p>
                          <w:p w:rsidR="00ED33C3" w:rsidP="006E75DD" w14:textId="7CB2EC5C">
                            <w:pPr>
                              <w:pStyle w:val="EQRTextboxbody"/>
                              <w:suppressOverlap/>
                            </w:pPr>
                            <w:hyperlink w:anchor="WSp7n03" w:tooltip="Worksheet 7.3. Data Element Master Checklist" w:history="1">
                              <w:r w:rsidRPr="00A44C04">
                                <w:rPr>
                                  <w:rStyle w:val="Hyperlink"/>
                                </w:rPr>
                                <w:t>Worksheet 7.3. Data Element Master Checklist</w:t>
                              </w:r>
                            </w:hyperlink>
                          </w:p>
                          <w:p w:rsidR="00ED33C3" w:rsidP="006E75DD" w14:textId="77777777">
                            <w:pPr>
                              <w:pStyle w:val="EQRTextboxbullet"/>
                            </w:pPr>
                            <w:r>
                              <w:t>Provides a template for identifying the data elements needed to calculate each performance measure</w:t>
                            </w:r>
                          </w:p>
                          <w:p w:rsidR="00ED33C3" w:rsidP="006E75DD" w14:textId="0CC3E4F5">
                            <w:pPr>
                              <w:pStyle w:val="EQRTextboxbody"/>
                              <w:suppressOverlap/>
                            </w:pPr>
                            <w:hyperlink w:anchor="WSp7n04" w:tooltip="Worksheet 7.4. Data Availability and Data Quality" w:history="1">
                              <w:r w:rsidRPr="00A44C04">
                                <w:rPr>
                                  <w:rStyle w:val="Hyperlink"/>
                                </w:rPr>
                                <w:t>Worksheet 7.4. Data Availability and Data Quality</w:t>
                              </w:r>
                            </w:hyperlink>
                          </w:p>
                          <w:p w:rsidR="00ED33C3" w:rsidRPr="0090682E" w:rsidP="006E75DD" w14:textId="37AA1CF2">
                            <w:pPr>
                              <w:pStyle w:val="EQRTextboxbullet"/>
                              <w:rPr>
                                <w:spacing w:val="-2"/>
                              </w:rPr>
                            </w:pPr>
                            <w:r>
                              <w:t>Provides a template for documenting data availability and data quality issues (e.g., completeness and integration)</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1" o:spid="_x0000_s1214" type="#_x0000_t202" style="width:172.8pt;height:186.4pt;margin-top:68.55pt;margin-left:293pt;flip:y;mso-height-percent:0;mso-height-relative:page;mso-width-percent:0;mso-width-relative:page;mso-wrap-distance-bottom:0;mso-wrap-distance-left:9pt;mso-wrap-distance-right:9pt;mso-wrap-distance-top:0;mso-wrap-style:square;position:absolute;rotation:180;visibility:visible;v-text-anchor:top;z-index:251909120" fillcolor="#eef5f8" strokecolor="#a5dad9" strokeweight="2.25pt">
                <v:stroke endcap="round"/>
                <v:textbox style="mso-fit-shape-to-text:t" inset="8.64pt,,8.64pt">
                  <w:txbxContent>
                    <w:p w:rsidR="00ED33C3" w:rsidP="006E75DD" w14:paraId="1E81A55E" w14:textId="0C7800B3">
                      <w:pPr>
                        <w:pStyle w:val="EQRTextboxheading"/>
                      </w:pPr>
                      <w:r>
                        <w:t>Resources for Activity 1, Step 3</w:t>
                      </w:r>
                    </w:p>
                    <w:p w:rsidR="00ED33C3" w:rsidP="006E75DD" w14:paraId="1B5E8811" w14:textId="7CB2EC5C">
                      <w:pPr>
                        <w:pStyle w:val="EQRTextboxbody"/>
                        <w:suppressOverlap/>
                      </w:pPr>
                      <w:hyperlink w:anchor="WSp7n03" w:tooltip="Worksheet 7.3. Data Element Master Checklist" w:history="1">
                        <w:r w:rsidRPr="00A44C04">
                          <w:rPr>
                            <w:rStyle w:val="Hyperlink"/>
                          </w:rPr>
                          <w:t>Worksheet 7.3. Data Element Master Checklist</w:t>
                        </w:r>
                      </w:hyperlink>
                    </w:p>
                    <w:p w:rsidR="00ED33C3" w:rsidP="006E75DD" w14:paraId="1496C64D" w14:textId="77777777">
                      <w:pPr>
                        <w:pStyle w:val="EQRTextboxbullet"/>
                      </w:pPr>
                      <w:r>
                        <w:t>Provides a template for identifying the data elements needed to calculate each performance measure</w:t>
                      </w:r>
                    </w:p>
                    <w:p w:rsidR="00ED33C3" w:rsidP="006E75DD" w14:paraId="77422E71" w14:textId="0CC3E4F5">
                      <w:pPr>
                        <w:pStyle w:val="EQRTextboxbody"/>
                        <w:suppressOverlap/>
                      </w:pPr>
                      <w:hyperlink w:anchor="WSp7n04" w:tooltip="Worksheet 7.4. Data Availability and Data Quality" w:history="1">
                        <w:r w:rsidRPr="00A44C04">
                          <w:rPr>
                            <w:rStyle w:val="Hyperlink"/>
                          </w:rPr>
                          <w:t>Worksheet 7.4. Data Availability and Data Quality</w:t>
                        </w:r>
                      </w:hyperlink>
                    </w:p>
                    <w:p w:rsidR="00ED33C3" w:rsidRPr="0090682E" w:rsidP="006E75DD" w14:paraId="2A8A5007" w14:textId="37AA1CF2">
                      <w:pPr>
                        <w:pStyle w:val="EQRTextboxbullet"/>
                        <w:rPr>
                          <w:spacing w:val="-2"/>
                        </w:rPr>
                      </w:pPr>
                      <w:r>
                        <w:t>Provides a template for documenting data availability and data quality issues (e.g., completeness and integration)</w:t>
                      </w:r>
                    </w:p>
                  </w:txbxContent>
                </v:textbox>
                <w10:wrap type="tight"/>
              </v:shape>
            </w:pict>
          </mc:Fallback>
        </mc:AlternateContent>
      </w:r>
      <w:r w:rsidRPr="00990D3B">
        <w:rPr>
          <w:noProof/>
        </w:rPr>
        <mc:AlternateContent>
          <mc:Choice Requires="wps">
            <w:drawing>
              <wp:anchor distT="0" distB="0" distL="114300" distR="114300" simplePos="0" relativeHeight="251910144" behindDoc="0" locked="0" layoutInCell="1" allowOverlap="1">
                <wp:simplePos x="0" y="0"/>
                <wp:positionH relativeFrom="column">
                  <wp:posOffset>3721100</wp:posOffset>
                </wp:positionH>
                <wp:positionV relativeFrom="paragraph">
                  <wp:posOffset>509270</wp:posOffset>
                </wp:positionV>
                <wp:extent cx="2193925" cy="297180"/>
                <wp:effectExtent l="19050" t="19050" r="0" b="7620"/>
                <wp:wrapTight wrapText="bothSides">
                  <wp:wrapPolygon>
                    <wp:start x="21788" y="22985"/>
                    <wp:lineTo x="21788" y="-554"/>
                    <wp:lineTo x="31" y="-554"/>
                    <wp:lineTo x="31" y="22985"/>
                    <wp:lineTo x="21788" y="22985"/>
                  </wp:wrapPolygon>
                </wp:wrapTight>
                <wp:docPr id="1806136639" name="Text Box 6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180"/>
                        </a:xfrm>
                        <a:prstGeom prst="rect">
                          <a:avLst/>
                        </a:prstGeom>
                        <a:solidFill>
                          <a:srgbClr val="EEF5F8"/>
                        </a:solidFill>
                        <a:ln w="28575" cap="rnd">
                          <a:solidFill>
                            <a:srgbClr val="A5DAD9"/>
                          </a:solidFill>
                          <a:prstDash val="solid"/>
                          <a:miter lim="800000"/>
                          <a:headEnd/>
                          <a:tailEnd/>
                        </a:ln>
                      </wps:spPr>
                      <wps:txbx>
                        <w:txbxContent>
                          <w:p w:rsidR="00ED33C3" w:rsidRPr="0090682E" w:rsidP="006E75DD" w14:textId="3BBF6A0E">
                            <w:pPr>
                              <w:pStyle w:val="EQRWORKSHEETText"/>
                              <w:rPr>
                                <w:spacing w:val="-2"/>
                              </w:rPr>
                            </w:pPr>
                            <w:hyperlink w:anchor="WSp7n04" w:tooltip="WORKSHEET 7.4" w:history="1">
                              <w:r>
                                <w:rPr>
                                  <w:rStyle w:val="Hyperlink"/>
                                  <w:color w:val="006981"/>
                                </w:rPr>
                                <w:t>WORKSHEET 7.4</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0" o:spid="_x0000_s1215" type="#_x0000_t202" style="width:172.75pt;height:23.4pt;margin-top:40.1pt;margin-left:293pt;flip:y;mso-height-percent:0;mso-height-relative:page;mso-width-percent:0;mso-width-relative:page;mso-wrap-distance-bottom:0;mso-wrap-distance-left:9pt;mso-wrap-distance-right:9pt;mso-wrap-distance-top:0;mso-wrap-style:square;position:absolute;rotation:180;visibility:visible;v-text-anchor:top;z-index:251911168" fillcolor="#eef5f8" strokecolor="#a5dad9" strokeweight="2.25pt">
                <v:stroke endcap="round"/>
                <v:textbox style="mso-fit-shape-to-text:t" inset="8.64pt,,8.64pt">
                  <w:txbxContent>
                    <w:p w:rsidR="00ED33C3" w:rsidRPr="0090682E" w:rsidP="006E75DD" w14:paraId="2EEA0DD5" w14:textId="3BBF6A0E">
                      <w:pPr>
                        <w:pStyle w:val="EQRWORKSHEETText"/>
                        <w:rPr>
                          <w:spacing w:val="-2"/>
                        </w:rPr>
                      </w:pPr>
                      <w:hyperlink w:anchor="WSp7n04" w:tooltip="WORKSHEET 7.4" w:history="1">
                        <w:r>
                          <w:rPr>
                            <w:rStyle w:val="Hyperlink"/>
                            <w:color w:val="006981"/>
                          </w:rPr>
                          <w:t>WORKSHEET 7.4</w:t>
                        </w:r>
                      </w:hyperlink>
                    </w:p>
                  </w:txbxContent>
                </v:textbox>
                <w10:wrap type="tight"/>
              </v:shape>
            </w:pict>
          </mc:Fallback>
        </mc:AlternateContent>
      </w:r>
      <w:r w:rsidRPr="00990D3B">
        <w:rPr>
          <w:noProof/>
        </w:rPr>
        <mc:AlternateContent>
          <mc:Choice Requires="wps">
            <w:drawing>
              <wp:anchor distT="0" distB="0" distL="114300" distR="114300" simplePos="0" relativeHeight="251912192" behindDoc="0" locked="0" layoutInCell="1" allowOverlap="1">
                <wp:simplePos x="0" y="0"/>
                <wp:positionH relativeFrom="column">
                  <wp:posOffset>3721100</wp:posOffset>
                </wp:positionH>
                <wp:positionV relativeFrom="paragraph">
                  <wp:posOffset>153670</wp:posOffset>
                </wp:positionV>
                <wp:extent cx="2193925" cy="297180"/>
                <wp:effectExtent l="19050" t="19050" r="0" b="7620"/>
                <wp:wrapTight wrapText="bothSides">
                  <wp:wrapPolygon>
                    <wp:start x="21788" y="22985"/>
                    <wp:lineTo x="21788" y="-554"/>
                    <wp:lineTo x="31" y="-554"/>
                    <wp:lineTo x="31" y="22985"/>
                    <wp:lineTo x="21788" y="22985"/>
                  </wp:wrapPolygon>
                </wp:wrapTight>
                <wp:docPr id="308553950" name="Text Box 5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180"/>
                        </a:xfrm>
                        <a:prstGeom prst="rect">
                          <a:avLst/>
                        </a:prstGeom>
                        <a:solidFill>
                          <a:srgbClr val="EEF5F8"/>
                        </a:solidFill>
                        <a:ln w="28575" cap="rnd">
                          <a:solidFill>
                            <a:srgbClr val="A5DAD9"/>
                          </a:solidFill>
                          <a:prstDash val="solid"/>
                          <a:miter lim="800000"/>
                          <a:headEnd/>
                          <a:tailEnd/>
                        </a:ln>
                      </wps:spPr>
                      <wps:txbx>
                        <w:txbxContent>
                          <w:p w:rsidR="00ED33C3" w:rsidRPr="0090682E" w:rsidP="006E75DD" w14:textId="181DEC77">
                            <w:pPr>
                              <w:pStyle w:val="EQRWORKSHEETText"/>
                              <w:rPr>
                                <w:spacing w:val="-2"/>
                              </w:rPr>
                            </w:pPr>
                            <w:hyperlink w:anchor="WSp7n03" w:tooltip="WORKSHEET 7.3" w:history="1">
                              <w:r>
                                <w:rPr>
                                  <w:rStyle w:val="Hyperlink"/>
                                  <w:color w:val="006981"/>
                                </w:rPr>
                                <w:t>WORKSHEET 7.3</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9" o:spid="_x0000_s1216" type="#_x0000_t202" style="width:172.75pt;height:23.4pt;margin-top:12.1pt;margin-left:293pt;flip:y;mso-height-percent:0;mso-height-relative:page;mso-width-percent:0;mso-width-relative:page;mso-wrap-distance-bottom:0;mso-wrap-distance-left:9pt;mso-wrap-distance-right:9pt;mso-wrap-distance-top:0;mso-wrap-style:square;position:absolute;rotation:180;visibility:visible;v-text-anchor:top;z-index:251913216" fillcolor="#eef5f8" strokecolor="#a5dad9" strokeweight="2.25pt">
                <v:stroke endcap="round"/>
                <v:textbox style="mso-fit-shape-to-text:t" inset="8.64pt,,8.64pt">
                  <w:txbxContent>
                    <w:p w:rsidR="00ED33C3" w:rsidRPr="0090682E" w:rsidP="006E75DD" w14:paraId="71FFD284" w14:textId="181DEC77">
                      <w:pPr>
                        <w:pStyle w:val="EQRWORKSHEETText"/>
                        <w:rPr>
                          <w:spacing w:val="-2"/>
                        </w:rPr>
                      </w:pPr>
                      <w:hyperlink w:anchor="WSp7n03" w:tooltip="WORKSHEET 7.3" w:history="1">
                        <w:r>
                          <w:rPr>
                            <w:rStyle w:val="Hyperlink"/>
                            <w:color w:val="006981"/>
                          </w:rPr>
                          <w:t>WORKSHEET 7.3</w:t>
                        </w:r>
                      </w:hyperlink>
                    </w:p>
                  </w:txbxContent>
                </v:textbox>
                <w10:wrap type="tight"/>
              </v:shape>
            </w:pict>
          </mc:Fallback>
        </mc:AlternateContent>
      </w:r>
      <w:r w:rsidRPr="00990D3B" w:rsidR="00D566CC">
        <w:t>Next, the EQRO prepare</w:t>
      </w:r>
      <w:r w:rsidRPr="00990D3B" w:rsidR="00896613">
        <w:t>s</w:t>
      </w:r>
      <w:r w:rsidRPr="00990D3B" w:rsidR="00D566CC">
        <w:t xml:space="preserve"> a master list of data </w:t>
      </w:r>
      <w:r w:rsidRPr="00990D3B" w:rsidR="00D566CC">
        <w:t>elements  and</w:t>
      </w:r>
      <w:r w:rsidRPr="00990D3B" w:rsidR="00D566CC">
        <w:t xml:space="preserve"> identif</w:t>
      </w:r>
      <w:r w:rsidRPr="00990D3B" w:rsidR="00DA0C32">
        <w:t xml:space="preserve">ies </w:t>
      </w:r>
      <w:r w:rsidRPr="00990D3B" w:rsidR="00D566CC">
        <w:t>available data sources for each required data element, noting any completeness or integration issues for each elemen</w:t>
      </w:r>
      <w:r w:rsidRPr="00990D3B" w:rsidR="00DA0C32">
        <w:t xml:space="preserve">t. </w:t>
      </w:r>
    </w:p>
    <w:p w:rsidR="00834C2D" w:rsidRPr="00990D3B" w:rsidP="004E5005" w14:paraId="662514EC" w14:textId="4B32270C">
      <w:pPr>
        <w:pStyle w:val="Paragraph0"/>
      </w:pPr>
      <w:r w:rsidRPr="00990D3B">
        <w:t xml:space="preserve">Data sources may include those maintained by an MCP in a data repository, such as claims or enrollment data. Data sources may also include sources external to the MCP, such as a state registry, provider medical record, MCP vendor, or state vendor. The EQRO should document data capture or integration issues for the required data elements, such as an inability to capture individual prenatal care services when the MCP pays for maternity care using a global fee. As another example, the EQRO may identify issues associated with data sources external to the MCP, such as difficulty accessing confidential information about mental health services that the state contracts with another organization to manage, incomplete data in a voluntary state registry, or challenges in obtaining vital records required for data linkage. </w:t>
      </w:r>
    </w:p>
    <w:p w:rsidR="00834C2D" w:rsidRPr="00990D3B" w:rsidP="0074734E" w14:paraId="37A08910" w14:textId="70FB83B3">
      <w:pPr>
        <w:pStyle w:val="H2"/>
      </w:pPr>
      <w:bookmarkStart w:id="796" w:name="P7A2"/>
      <w:bookmarkStart w:id="797" w:name="_Toc278894248"/>
      <w:bookmarkStart w:id="798" w:name="_Toc325365800"/>
      <w:bookmarkStart w:id="799" w:name="_Toc14777739"/>
      <w:bookmarkStart w:id="800" w:name="_Toc183005637"/>
      <w:bookmarkStart w:id="801" w:name="_Toc201751407"/>
      <w:r w:rsidRPr="00990D3B">
        <w:t>A</w:t>
      </w:r>
      <w:r w:rsidRPr="00990D3B" w:rsidR="00AA1098">
        <w:t>ctivity</w:t>
      </w:r>
      <w:r w:rsidRPr="00990D3B">
        <w:t xml:space="preserve"> 2</w:t>
      </w:r>
      <w:bookmarkEnd w:id="796"/>
      <w:r w:rsidRPr="00990D3B" w:rsidR="005B6FAA">
        <w:t xml:space="preserve">: </w:t>
      </w:r>
      <w:r w:rsidRPr="00990D3B">
        <w:t>C</w:t>
      </w:r>
      <w:r w:rsidRPr="00990D3B" w:rsidR="00AA1098">
        <w:t xml:space="preserve">alculate </w:t>
      </w:r>
      <w:r w:rsidRPr="00990D3B">
        <w:t>M</w:t>
      </w:r>
      <w:bookmarkEnd w:id="797"/>
      <w:bookmarkEnd w:id="798"/>
      <w:r w:rsidRPr="00990D3B" w:rsidR="00AA1098">
        <w:t>easures</w:t>
      </w:r>
      <w:bookmarkEnd w:id="799"/>
      <w:bookmarkEnd w:id="800"/>
      <w:bookmarkEnd w:id="801"/>
    </w:p>
    <w:p w:rsidR="002D5FD7" w:rsidRPr="00990D3B" w:rsidP="0074734E" w14:paraId="48F4C3BD" w14:textId="77777777">
      <w:pPr>
        <w:pStyle w:val="H3"/>
      </w:pPr>
      <w:bookmarkStart w:id="802" w:name="P7A2Step1"/>
      <w:bookmarkStart w:id="803" w:name="_Toc278894249"/>
      <w:bookmarkStart w:id="804" w:name="_Toc325365801"/>
      <w:bookmarkEnd w:id="802"/>
      <w:r w:rsidRPr="00990D3B">
        <w:t>Step 1: Collect Performance Measure Data</w:t>
      </w:r>
      <w:bookmarkEnd w:id="803"/>
      <w:bookmarkEnd w:id="804"/>
    </w:p>
    <w:p w:rsidR="00834C2D" w:rsidRPr="00990D3B" w:rsidP="006E75DD" w14:paraId="19408E9D" w14:textId="656784F6">
      <w:pPr>
        <w:pStyle w:val="ParagraphContinued"/>
      </w:pPr>
      <w:r w:rsidRPr="00990D3B">
        <w:rPr>
          <w:noProof/>
        </w:rPr>
        <mc:AlternateContent>
          <mc:Choice Requires="wps">
            <w:drawing>
              <wp:anchor distT="0" distB="0" distL="114300" distR="114300" simplePos="0" relativeHeight="251914240" behindDoc="0" locked="0" layoutInCell="1" allowOverlap="1">
                <wp:simplePos x="0" y="0"/>
                <wp:positionH relativeFrom="column">
                  <wp:posOffset>3723640</wp:posOffset>
                </wp:positionH>
                <wp:positionV relativeFrom="paragraph">
                  <wp:posOffset>384810</wp:posOffset>
                </wp:positionV>
                <wp:extent cx="2195195" cy="1301115"/>
                <wp:effectExtent l="19050" t="19050" r="0" b="0"/>
                <wp:wrapTight wrapText="bothSides">
                  <wp:wrapPolygon>
                    <wp:start x="21787" y="21916"/>
                    <wp:lineTo x="21787" y="84"/>
                    <wp:lineTo x="44" y="84"/>
                    <wp:lineTo x="44" y="21916"/>
                    <wp:lineTo x="21787" y="21916"/>
                  </wp:wrapPolygon>
                </wp:wrapTight>
                <wp:docPr id="740322916" name="Text Box 5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1301115"/>
                        </a:xfrm>
                        <a:prstGeom prst="rect">
                          <a:avLst/>
                        </a:prstGeom>
                        <a:solidFill>
                          <a:srgbClr val="EEF5F8"/>
                        </a:solidFill>
                        <a:ln w="28575" cap="rnd">
                          <a:solidFill>
                            <a:srgbClr val="A5DAD9"/>
                          </a:solidFill>
                          <a:prstDash val="solid"/>
                          <a:miter lim="800000"/>
                          <a:headEnd/>
                          <a:tailEnd/>
                        </a:ln>
                      </wps:spPr>
                      <wps:txbx>
                        <w:txbxContent>
                          <w:p w:rsidR="00ED33C3" w:rsidRPr="00D41CCB" w:rsidP="008F5FF1" w14:textId="6BE6CA9F">
                            <w:pPr>
                              <w:pStyle w:val="EQRTextboxheading"/>
                            </w:pPr>
                            <w:r w:rsidRPr="00D41CCB">
                              <w:t xml:space="preserve">Resource for Activity </w:t>
                            </w:r>
                            <w:r>
                              <w:t>2, Step 1</w:t>
                            </w:r>
                          </w:p>
                          <w:p w:rsidR="00ED33C3" w:rsidRPr="00E86365" w:rsidP="00E86365" w14:textId="667E051B">
                            <w:pPr>
                              <w:pStyle w:val="EQRTextboxbody"/>
                            </w:pPr>
                            <w:hyperlink w:anchor="WSp7n05" w:tooltip="Worksheet 7.5. Illustrative File Format for Transmission of Claims Data" w:history="1">
                              <w:r w:rsidRPr="00A44C04">
                                <w:rPr>
                                  <w:rStyle w:val="Hyperlink"/>
                                </w:rPr>
                                <w:t>Worksheet 7.5. Illustrative File Format for Transmission of Claims Data</w:t>
                              </w:r>
                            </w:hyperlink>
                          </w:p>
                          <w:p w:rsidR="00ED33C3" w:rsidRPr="004B37FD" w:rsidP="00E86365" w14:textId="3B304858">
                            <w:pPr>
                              <w:pStyle w:val="EQRTextboxbullet"/>
                            </w:pPr>
                            <w:r w:rsidRPr="00E86365">
                              <w:t>Provides a template for constructing an electronic data shell or file format including definitions for all data fields</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8" o:spid="_x0000_s1217" type="#_x0000_t202" style="width:172.85pt;height:102.45pt;margin-top:30.3pt;margin-left:293.2pt;flip:y;mso-height-percent:0;mso-height-relative:page;mso-width-percent:0;mso-width-relative:page;mso-wrap-distance-bottom:0;mso-wrap-distance-left:9pt;mso-wrap-distance-right:9pt;mso-wrap-distance-top:0;mso-wrap-style:square;position:absolute;rotation:180;visibility:visible;v-text-anchor:top;z-index:251915264" fillcolor="#eef5f8" strokecolor="#a5dad9" strokeweight="2.25pt">
                <v:stroke endcap="round"/>
                <v:textbox style="mso-fit-shape-to-text:t" inset="8.64pt,,8.64pt">
                  <w:txbxContent>
                    <w:p w:rsidR="00ED33C3" w:rsidRPr="00D41CCB" w:rsidP="008F5FF1" w14:paraId="5F93FEA7" w14:textId="6BE6CA9F">
                      <w:pPr>
                        <w:pStyle w:val="EQRTextboxheading"/>
                      </w:pPr>
                      <w:r w:rsidRPr="00D41CCB">
                        <w:t xml:space="preserve">Resource for Activity </w:t>
                      </w:r>
                      <w:r>
                        <w:t>2, Step 1</w:t>
                      </w:r>
                    </w:p>
                    <w:p w:rsidR="00ED33C3" w:rsidRPr="00E86365" w:rsidP="00E86365" w14:paraId="3C7DA503" w14:textId="667E051B">
                      <w:pPr>
                        <w:pStyle w:val="EQRTextboxbody"/>
                      </w:pPr>
                      <w:hyperlink w:anchor="WSp7n05" w:tooltip="Worksheet 7.5. Illustrative File Format for Transmission of Claims Data" w:history="1">
                        <w:r w:rsidRPr="00A44C04">
                          <w:rPr>
                            <w:rStyle w:val="Hyperlink"/>
                          </w:rPr>
                          <w:t>Worksheet 7.5. Illustrative File Format for Transmission of Claims Data</w:t>
                        </w:r>
                      </w:hyperlink>
                    </w:p>
                    <w:p w:rsidR="00ED33C3" w:rsidRPr="004B37FD" w:rsidP="00E86365" w14:paraId="6BDD2137" w14:textId="3B304858">
                      <w:pPr>
                        <w:pStyle w:val="EQRTextboxbullet"/>
                      </w:pPr>
                      <w:r w:rsidRPr="00E86365">
                        <w:t>Provides a template for constructing an electronic data shell or file format including definitions for all data fields</w:t>
                      </w:r>
                    </w:p>
                  </w:txbxContent>
                </v:textbox>
                <w10:wrap type="tight"/>
              </v:shape>
            </w:pict>
          </mc:Fallback>
        </mc:AlternateContent>
      </w:r>
      <w:r w:rsidRPr="00990D3B">
        <w:rPr>
          <w:noProof/>
        </w:rPr>
        <mc:AlternateContent>
          <mc:Choice Requires="wps">
            <w:drawing>
              <wp:anchor distT="0" distB="0" distL="114300" distR="114300" simplePos="0" relativeHeight="251916288" behindDoc="0" locked="0" layoutInCell="1" allowOverlap="1">
                <wp:simplePos x="0" y="0"/>
                <wp:positionH relativeFrom="column">
                  <wp:posOffset>3723696</wp:posOffset>
                </wp:positionH>
                <wp:positionV relativeFrom="paragraph">
                  <wp:posOffset>24187</wp:posOffset>
                </wp:positionV>
                <wp:extent cx="2193925" cy="297815"/>
                <wp:effectExtent l="19050" t="19050" r="0" b="7620"/>
                <wp:wrapTight wrapText="bothSides">
                  <wp:wrapPolygon>
                    <wp:start x="21788" y="22985"/>
                    <wp:lineTo x="21788" y="-554"/>
                    <wp:lineTo x="31" y="-554"/>
                    <wp:lineTo x="31" y="22985"/>
                    <wp:lineTo x="21788" y="22985"/>
                  </wp:wrapPolygon>
                </wp:wrapTight>
                <wp:docPr id="585642419" name="Text Box 5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6847EB" w:rsidP="008F5FF1" w14:textId="5298462B">
                            <w:pPr>
                              <w:pStyle w:val="EQRWORKSHEETText"/>
                              <w:rPr>
                                <w:color w:val="006068" w:themeColor="accent1" w:themeShade="BF"/>
                              </w:rPr>
                            </w:pPr>
                            <w:hyperlink w:anchor="WSp7n05" w:tooltip="WORKSHEET 7.5" w:history="1">
                              <w:r w:rsidRPr="006847EB">
                                <w:rPr>
                                  <w:color w:val="006068" w:themeColor="accent1" w:themeShade="BF"/>
                                </w:rPr>
                                <w:t>WORKSHEET 7.5</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7" o:spid="_x0000_s1218" type="#_x0000_t202" style="width:172.75pt;height:23.45pt;margin-top:1.9pt;margin-left:293.2pt;flip:y;mso-height-percent:0;mso-height-relative:page;mso-width-percent:0;mso-width-relative:page;mso-wrap-distance-bottom:0;mso-wrap-distance-left:9pt;mso-wrap-distance-right:9pt;mso-wrap-distance-top:0;mso-wrap-style:square;position:absolute;rotation:180;visibility:visible;v-text-anchor:top;z-index:251917312" fillcolor="#eef5f8" strokecolor="#a5dad9" strokeweight="2.25pt">
                <v:stroke endcap="round"/>
                <v:textbox style="mso-fit-shape-to-text:t" inset="8.64pt,,8.64pt">
                  <w:txbxContent>
                    <w:p w:rsidR="00ED33C3" w:rsidRPr="006847EB" w:rsidP="008F5FF1" w14:paraId="2A6E46A6" w14:textId="5298462B">
                      <w:pPr>
                        <w:pStyle w:val="EQRWORKSHEETText"/>
                        <w:rPr>
                          <w:color w:val="006068" w:themeColor="accent1" w:themeShade="BF"/>
                        </w:rPr>
                      </w:pPr>
                      <w:hyperlink w:anchor="WSp7n05" w:tooltip="WORKSHEET 7.5" w:history="1">
                        <w:r w:rsidRPr="006847EB">
                          <w:rPr>
                            <w:color w:val="006068" w:themeColor="accent1" w:themeShade="BF"/>
                          </w:rPr>
                          <w:t>WORKSHEET 7.5</w:t>
                        </w:r>
                      </w:hyperlink>
                    </w:p>
                  </w:txbxContent>
                </v:textbox>
                <w10:wrap type="tight"/>
              </v:shape>
            </w:pict>
          </mc:Fallback>
        </mc:AlternateContent>
      </w:r>
      <w:r w:rsidRPr="00990D3B" w:rsidR="00834C2D">
        <w:t xml:space="preserve">After the required data elements and data sources have been identified, the EQRO will request the data needed to calculate the performance measures from the MCP or other data suppliers. For each data source, the EQRO should specify how the data are to be transmitted to the EQRO, including appropriate privacy and security safeguards. To ensure accurate and complete data for measure calculation, the EQRO should develop a file format </w:t>
      </w:r>
      <w:r w:rsidRPr="00990D3B" w:rsidR="00C53F00">
        <w:t xml:space="preserve">that specifies the content and structure of the data file along </w:t>
      </w:r>
      <w:r w:rsidRPr="00990D3B" w:rsidR="00834C2D">
        <w:t>with definitions of all data fields</w:t>
      </w:r>
      <w:r w:rsidRPr="00990D3B" w:rsidR="00DA0C32">
        <w:t>.</w:t>
      </w:r>
    </w:p>
    <w:p w:rsidR="00834C2D" w:rsidRPr="00990D3B" w:rsidP="004E5005" w14:paraId="5CABE1F8" w14:textId="3579E4C7">
      <w:pPr>
        <w:pStyle w:val="ParagraphContinued"/>
      </w:pPr>
      <w:r w:rsidRPr="00990D3B">
        <w:t xml:space="preserve">The EQRO should construct file formats that are customized to each data supplier. The file format for obtaining data from the MCP data repository will likely include all data elements that originate from claims/encounter, eligibility, and provider transaction systems. (In some cases, the data will be available in a state data </w:t>
      </w:r>
      <w:r w:rsidRPr="00990D3B">
        <w:t>repository</w:t>
      </w:r>
      <w:r w:rsidRPr="00990D3B">
        <w:t xml:space="preserve"> and the file format should reflect the state system </w:t>
      </w:r>
      <w:r w:rsidRPr="00990D3B">
        <w:t xml:space="preserve">structure.) A file format used to obtain vital records or immunization registry data would contain different data fields and definitions applicable to those sources. </w:t>
      </w:r>
    </w:p>
    <w:p w:rsidR="00834C2D" w:rsidRPr="00990D3B" w:rsidP="004E5005" w14:paraId="4908C521" w14:textId="77777777">
      <w:pPr>
        <w:pStyle w:val="Paragraph0"/>
      </w:pPr>
      <w:r w:rsidRPr="00990D3B">
        <w:t>If the EQRO needs to conduct medical record review, it should develop the following resources:</w:t>
      </w:r>
    </w:p>
    <w:p w:rsidR="00834C2D" w:rsidRPr="00990D3B" w:rsidP="00FB7CAF" w14:paraId="707F5B40" w14:textId="2040C5AA">
      <w:pPr>
        <w:pStyle w:val="EQRBulletBLUE"/>
      </w:pPr>
      <w:r w:rsidRPr="00990D3B">
        <w:t>Abstraction tools</w:t>
      </w:r>
      <w:r w:rsidRPr="00990D3B" w:rsidR="00DA0C32">
        <w:t>.</w:t>
      </w:r>
    </w:p>
    <w:p w:rsidR="00834C2D" w:rsidRPr="00990D3B" w:rsidP="00FB7CAF" w14:paraId="60DCA567" w14:textId="677C2E50">
      <w:pPr>
        <w:pStyle w:val="EQRBulletBLUE"/>
      </w:pPr>
      <w:r w:rsidRPr="00990D3B">
        <w:t xml:space="preserve">Training for personnel conducting </w:t>
      </w:r>
      <w:r w:rsidRPr="00990D3B">
        <w:t>the medical</w:t>
      </w:r>
      <w:r w:rsidRPr="00990D3B">
        <w:t xml:space="preserve"> record abstraction</w:t>
      </w:r>
      <w:r w:rsidRPr="00990D3B" w:rsidR="00DA0C32">
        <w:t>.</w:t>
      </w:r>
    </w:p>
    <w:p w:rsidR="00834C2D" w:rsidRPr="00990D3B" w:rsidP="00FB7CAF" w14:paraId="0BC243B4" w14:textId="561A13AE">
      <w:pPr>
        <w:pStyle w:val="EQRBulletBLUE"/>
      </w:pPr>
      <w:r w:rsidRPr="00990D3B">
        <w:t>Quality assurance procedures to assess the accuracy and reliability of the medical record abstraction</w:t>
      </w:r>
      <w:r w:rsidRPr="00990D3B" w:rsidR="00DA0C32">
        <w:t>.</w:t>
      </w:r>
    </w:p>
    <w:p w:rsidR="00834C2D" w:rsidRPr="00990D3B" w:rsidP="00FB7CAF" w14:paraId="36ABF75B" w14:textId="1E49A105">
      <w:pPr>
        <w:pStyle w:val="EQRBulletBLUE"/>
      </w:pPr>
      <w:r w:rsidRPr="00990D3B">
        <w:t>Electronic data entry edits for abstracted medical record information</w:t>
      </w:r>
      <w:r w:rsidRPr="00990D3B" w:rsidR="00DA0C32">
        <w:t>.</w:t>
      </w:r>
      <w:r w:rsidRPr="00990D3B">
        <w:t xml:space="preserve"> </w:t>
      </w:r>
    </w:p>
    <w:p w:rsidR="00834C2D" w:rsidRPr="00990D3B" w:rsidP="004E5005" w14:paraId="7E3D22EA" w14:textId="46BD0E88">
      <w:pPr>
        <w:pStyle w:val="ParagraphContinued"/>
      </w:pPr>
      <w:r w:rsidRPr="00990D3B">
        <w:t xml:space="preserve">If the MCP or other entity is performing medical record review and supplying those data to the EQRO, the EQRO should refer to </w:t>
      </w:r>
      <w:hyperlink w:anchor="Protocol2" w:tooltip="Protocol 2" w:history="1">
        <w:r w:rsidRPr="00990D3B">
          <w:rPr>
            <w:rStyle w:val="Hyperlink"/>
          </w:rPr>
          <w:t>Protocol 2</w:t>
        </w:r>
      </w:hyperlink>
      <w:r w:rsidRPr="00990D3B">
        <w:t xml:space="preserve"> to validate the abstracted medical record information.</w:t>
      </w:r>
    </w:p>
    <w:p w:rsidR="00834C2D" w:rsidRPr="00990D3B" w:rsidP="0074734E" w14:paraId="0A716871" w14:textId="77777777">
      <w:pPr>
        <w:pStyle w:val="H3"/>
        <w:rPr>
          <w:caps/>
        </w:rPr>
      </w:pPr>
      <w:bookmarkStart w:id="805" w:name="P7A2Step2"/>
      <w:bookmarkStart w:id="806" w:name="_Toc278894250"/>
      <w:bookmarkStart w:id="807" w:name="_Toc325365802"/>
      <w:bookmarkEnd w:id="805"/>
      <w:r w:rsidRPr="00990D3B">
        <w:t>Step 2: Clean Data</w:t>
      </w:r>
      <w:bookmarkEnd w:id="806"/>
      <w:bookmarkEnd w:id="807"/>
    </w:p>
    <w:p w:rsidR="00834C2D" w:rsidRPr="00990D3B" w:rsidP="004E5005" w14:paraId="3BC06D39" w14:textId="77777777">
      <w:pPr>
        <w:pStyle w:val="ParagraphContinued"/>
      </w:pPr>
      <w:r w:rsidRPr="00990D3B">
        <w:t>As the EQRO receives data, it should evaluate each incoming data stream to ensure that the number of bits received is equal to the number sent. After entering the data into its repository, the EQRO should clean the data using electronic edits. Examples of edits include the following:</w:t>
      </w:r>
    </w:p>
    <w:p w:rsidR="00834C2D" w:rsidRPr="00990D3B" w:rsidP="00FB7CAF" w14:paraId="602B0A0F" w14:textId="76F29C43">
      <w:pPr>
        <w:pStyle w:val="EQRBulletBLUE"/>
      </w:pPr>
      <w:r w:rsidRPr="00990D3B">
        <w:t>Valid procedure codes (e.g., active code, required number of digits)</w:t>
      </w:r>
      <w:r w:rsidRPr="00990D3B" w:rsidR="004C03F3">
        <w:t>.</w:t>
      </w:r>
    </w:p>
    <w:p w:rsidR="00834C2D" w:rsidRPr="00990D3B" w:rsidP="00FB7CAF" w14:paraId="6E2DBFEE" w14:textId="54619EB7">
      <w:pPr>
        <w:pStyle w:val="EQRBulletBLUE"/>
      </w:pPr>
      <w:r w:rsidRPr="00990D3B">
        <w:t>Valid diagnosis codes (e.g., active code, required number of digits)</w:t>
      </w:r>
      <w:r w:rsidRPr="00990D3B" w:rsidR="004C03F3">
        <w:t>.</w:t>
      </w:r>
    </w:p>
    <w:p w:rsidR="00834C2D" w:rsidRPr="00990D3B" w:rsidP="00FB7CAF" w14:paraId="6C290F89" w14:textId="4012AD5E">
      <w:pPr>
        <w:pStyle w:val="EQRBulletBLUE"/>
      </w:pPr>
      <w:r w:rsidRPr="00990D3B">
        <w:t xml:space="preserve">Internal consistency of diagnosis and procedure codes (e.g., consistent with the enrollee’s age or </w:t>
      </w:r>
      <w:r w:rsidRPr="00990D3B" w:rsidR="00A27E6A">
        <w:t>sex</w:t>
      </w:r>
      <w:r w:rsidRPr="00990D3B">
        <w:t>, or the practitioner’s specialty)</w:t>
      </w:r>
      <w:r w:rsidRPr="00990D3B" w:rsidR="004C03F3">
        <w:t>.</w:t>
      </w:r>
    </w:p>
    <w:p w:rsidR="00834C2D" w:rsidRPr="00990D3B" w:rsidP="00FB7CAF" w14:paraId="7E45E131" w14:textId="3AED0C0B">
      <w:pPr>
        <w:pStyle w:val="EQRBulletBLUE"/>
      </w:pPr>
      <w:r w:rsidRPr="00990D3B">
        <w:t>Correct field size and type (e.g., alpha, numeric, date)</w:t>
      </w:r>
      <w:r w:rsidRPr="00990D3B" w:rsidR="004C03F3">
        <w:t>.</w:t>
      </w:r>
    </w:p>
    <w:p w:rsidR="00834C2D" w:rsidRPr="00990D3B" w:rsidP="00FB7CAF" w14:paraId="59DD20B1" w14:textId="32F3C2CF">
      <w:pPr>
        <w:pStyle w:val="EQRBulletBLUE"/>
      </w:pPr>
      <w:r w:rsidRPr="00990D3B">
        <w:t>Valid date ranges (e.g., “to” date is later than “from” date; dates occur during the appropriate time</w:t>
      </w:r>
      <w:r w:rsidRPr="00990D3B" w:rsidR="00566F1D">
        <w:t xml:space="preserve"> </w:t>
      </w:r>
      <w:r w:rsidRPr="00990D3B">
        <w:t>frame for the measure)</w:t>
      </w:r>
      <w:r w:rsidRPr="00990D3B" w:rsidR="004C03F3">
        <w:t>.</w:t>
      </w:r>
    </w:p>
    <w:p w:rsidR="00834C2D" w:rsidRPr="00990D3B" w:rsidP="00FB7CAF" w14:paraId="133C04F0" w14:textId="4C855D9C">
      <w:pPr>
        <w:pStyle w:val="EQRBulletBLUE"/>
      </w:pPr>
      <w:r w:rsidRPr="00990D3B">
        <w:t>Valid practitioners (e.g., active provider)</w:t>
      </w:r>
      <w:r w:rsidRPr="00990D3B" w:rsidR="004C03F3">
        <w:t>.</w:t>
      </w:r>
    </w:p>
    <w:p w:rsidR="00834C2D" w:rsidRPr="00990D3B" w:rsidP="00FB7CAF" w14:paraId="00962E7A" w14:textId="3364FE6B">
      <w:pPr>
        <w:pStyle w:val="EQRBulletBLUE"/>
      </w:pPr>
      <w:r w:rsidRPr="00990D3B">
        <w:t>Valid enrollees (e.g., eligible on date of service)</w:t>
      </w:r>
      <w:r w:rsidRPr="00990D3B" w:rsidR="004C03F3">
        <w:t>.</w:t>
      </w:r>
      <w:r w:rsidRPr="00990D3B">
        <w:t xml:space="preserve"> </w:t>
      </w:r>
    </w:p>
    <w:p w:rsidR="00834C2D" w:rsidRPr="00990D3B" w:rsidP="004E5005" w14:paraId="1C81B625" w14:textId="7EA4179C">
      <w:pPr>
        <w:pStyle w:val="ParagraphContinued"/>
      </w:pPr>
      <w:r w:rsidRPr="00990D3B">
        <w:t xml:space="preserve">Data that </w:t>
      </w:r>
      <w:r w:rsidRPr="00990D3B">
        <w:t>pass</w:t>
      </w:r>
      <w:r w:rsidRPr="00990D3B">
        <w:t xml:space="preserve"> the edit should be integrated in the EQRO’s performance measure repository (see </w:t>
      </w:r>
      <w:hyperlink w:anchor="P7A2Step3" w:tooltip="Step 3" w:history="1">
        <w:r w:rsidRPr="00990D3B">
          <w:rPr>
            <w:rStyle w:val="Hyperlink"/>
            <w:color w:val="auto"/>
          </w:rPr>
          <w:t>Step 3</w:t>
        </w:r>
      </w:hyperlink>
      <w:r w:rsidRPr="00990D3B">
        <w:t xml:space="preserve">). When data fail an edit, the EQRO should contact the supplier and request the data be corrected and resubmitted. The EQRO should document the nature and extent of failures, including information about whether it received corrected information. This documentation is necessary for the EQRO to understand the accuracy and completeness of the data underlying the performance measures it will calculate. </w:t>
      </w:r>
    </w:p>
    <w:p w:rsidR="00834C2D" w:rsidRPr="00990D3B" w:rsidP="0074734E" w14:paraId="37356948" w14:textId="77777777">
      <w:pPr>
        <w:pStyle w:val="H3"/>
        <w:rPr>
          <w:caps/>
        </w:rPr>
      </w:pPr>
      <w:bookmarkStart w:id="808" w:name="P7A3"/>
      <w:bookmarkStart w:id="809" w:name="P7A2Step3"/>
      <w:bookmarkStart w:id="810" w:name="_Toc278894251"/>
      <w:bookmarkStart w:id="811" w:name="_Toc325365803"/>
      <w:bookmarkEnd w:id="808"/>
      <w:bookmarkEnd w:id="809"/>
      <w:r w:rsidRPr="00990D3B">
        <w:t xml:space="preserve">Step 3: </w:t>
      </w:r>
      <w:bookmarkEnd w:id="810"/>
      <w:bookmarkEnd w:id="811"/>
      <w:r w:rsidRPr="00990D3B">
        <w:t>Integrate Data into Performance Measure Repository</w:t>
      </w:r>
    </w:p>
    <w:p w:rsidR="00834C2D" w:rsidRPr="00990D3B" w:rsidP="004E5005" w14:paraId="1714CB35" w14:textId="15A7202F">
      <w:pPr>
        <w:pStyle w:val="ParagraphContinued"/>
      </w:pPr>
      <w:r w:rsidRPr="00990D3B">
        <w:t xml:space="preserve">The EQRO may receive data from multiple MCPs, multiple sources within each MCP, and other organizations, such as a statewide registry or other state vendors responsible for delivering specific benefits like pharmacy or mental health services. To calculate performance measures, the data must be integrated across the various data sources so that all services provided to a specific enrollee can be associated with that enrollee. The ISCA, reviewed in </w:t>
      </w:r>
      <w:hyperlink w:anchor="P7A1Step3" w:tooltip="Activity 1, Step 3" w:history="1">
        <w:r w:rsidRPr="00990D3B">
          <w:rPr>
            <w:rStyle w:val="Hyperlink"/>
            <w:color w:val="auto"/>
          </w:rPr>
          <w:t>Activity 1, Step 3</w:t>
        </w:r>
      </w:hyperlink>
      <w:r w:rsidRPr="00990D3B">
        <w:t xml:space="preserve">, will provide information about the adequacy of data integration within each MCP. </w:t>
      </w:r>
    </w:p>
    <w:p w:rsidR="00834C2D" w:rsidRPr="00990D3B" w:rsidP="004E5005" w14:paraId="13C47C89" w14:textId="4A5D6C7C">
      <w:pPr>
        <w:pStyle w:val="Paragraph0"/>
      </w:pPr>
      <w:r w:rsidRPr="00990D3B">
        <w:t>During this step, the EQRO also assess</w:t>
      </w:r>
      <w:r w:rsidRPr="00990D3B" w:rsidR="00614031">
        <w:t>es</w:t>
      </w:r>
      <w:r w:rsidRPr="00990D3B">
        <w:t xml:space="preserve"> the integration of data from non-MCP data suppliers, such as the state’s encounter data repository or other vendors. This may include administering relevant portions of the ISCA to these other suppliers. The EQRO must determine which portions of the ISCA are relevant depending on the specific data elements the supplier provides and the degree of data integration the supplier must perform. The assessment includes assessing the reliability of data transmissions within and from each data supplier. The EQRO may have different degrees of access to these data suppliers and must work with them, to the extent </w:t>
      </w:r>
      <w:r w:rsidRPr="00990D3B">
        <w:t>possible</w:t>
      </w:r>
      <w:r w:rsidRPr="00990D3B">
        <w:t>, to understand the data flows and procedures used to ensure data integrity. For each data supplier, the EQRO may need to:</w:t>
      </w:r>
    </w:p>
    <w:p w:rsidR="00834C2D" w:rsidRPr="00990D3B" w:rsidP="00FB7CAF" w14:paraId="73EA43CC" w14:textId="66F37A76">
      <w:pPr>
        <w:pStyle w:val="EQRBulletBLUE"/>
      </w:pPr>
      <w:r w:rsidRPr="00990D3B">
        <w:t>Examine the details of the data supplier’s processes to accurately and completely transfer data from the transaction files (i.e., enrollment, provider, encounter/claims) into its data repository, if any</w:t>
      </w:r>
      <w:r w:rsidRPr="00990D3B" w:rsidR="00DA0C32">
        <w:t>.</w:t>
      </w:r>
    </w:p>
    <w:p w:rsidR="00834C2D" w:rsidRPr="00990D3B" w:rsidP="00FB7CAF" w14:paraId="7D37D381" w14:textId="07E710A9">
      <w:pPr>
        <w:pStyle w:val="EQRBulletBLUE"/>
      </w:pPr>
      <w:r w:rsidRPr="00990D3B">
        <w:t>Examine samples of data to assess completeness and accuracy</w:t>
      </w:r>
      <w:r w:rsidRPr="00990D3B" w:rsidR="00DA0C32">
        <w:t>.</w:t>
      </w:r>
    </w:p>
    <w:p w:rsidR="00834C2D" w:rsidRPr="00990D3B" w:rsidP="00FB7CAF" w14:paraId="61B9F95E" w14:textId="20F132E9">
      <w:pPr>
        <w:pStyle w:val="EQRBulletBLUE"/>
      </w:pPr>
      <w:r w:rsidRPr="00990D3B">
        <w:t>Investigate the data supplier’s processes to consolidate multiple files</w:t>
      </w:r>
      <w:r w:rsidRPr="00990D3B" w:rsidR="00C53F00">
        <w:t xml:space="preserve"> (sometimes referred to as deduplicating or “de-duping” of files)</w:t>
      </w:r>
      <w:r w:rsidRPr="00990D3B">
        <w:t>, and to extract required information from its data repository</w:t>
      </w:r>
      <w:r w:rsidRPr="00990D3B" w:rsidR="00DA0C32">
        <w:t>.</w:t>
      </w:r>
    </w:p>
    <w:p w:rsidR="00834C2D" w:rsidRPr="00990D3B" w:rsidP="00FB7CAF" w14:paraId="36A06E94" w14:textId="368D518C">
      <w:pPr>
        <w:pStyle w:val="EQRBulletBLUE"/>
      </w:pPr>
      <w:r w:rsidRPr="00990D3B">
        <w:t>Compare actual results of file consolidations or extracts to those that should have resulted according to documented algorithms or specifications</w:t>
      </w:r>
      <w:r w:rsidRPr="00990D3B" w:rsidR="00DA0C32">
        <w:t>.</w:t>
      </w:r>
    </w:p>
    <w:p w:rsidR="00834C2D" w:rsidRPr="00990D3B" w:rsidP="00FB7CAF" w14:paraId="43BEFF07" w14:textId="6516A4EB">
      <w:pPr>
        <w:pStyle w:val="EQRBulletBLUE"/>
      </w:pPr>
      <w:r w:rsidRPr="00990D3B">
        <w:t>Review procedures for consolidating data from vendors in ways that ensure the accurate, timely, and complete integration of the data</w:t>
      </w:r>
      <w:r w:rsidRPr="00990D3B" w:rsidR="00DA0C32">
        <w:t>.</w:t>
      </w:r>
    </w:p>
    <w:p w:rsidR="00834C2D" w:rsidRPr="00990D3B" w:rsidP="00FB7CAF" w14:paraId="114A9287" w14:textId="591D6C82">
      <w:pPr>
        <w:pStyle w:val="EQRBulletBLUE"/>
      </w:pPr>
      <w:r w:rsidRPr="00990D3B">
        <w:t>Review computer program reports or documentation that reflect these vendor coordination activities, and spot check to verify that no data necessary to performance measure reporting are lost or inappropriately modified during transfer</w:t>
      </w:r>
      <w:r w:rsidRPr="00990D3B" w:rsidR="00DA0C32">
        <w:t>.</w:t>
      </w:r>
    </w:p>
    <w:p w:rsidR="00834C2D" w:rsidRPr="00990D3B" w:rsidP="00FB7CAF" w14:paraId="74E3F67E" w14:textId="4FA7D7CD">
      <w:pPr>
        <w:pStyle w:val="EQRBulletBLUE"/>
      </w:pPr>
      <w:r w:rsidRPr="00990D3B">
        <w:t xml:space="preserve">Assess the extent to which proper linkage mechanisms have been employed to </w:t>
      </w:r>
      <w:r w:rsidRPr="00990D3B">
        <w:t>join</w:t>
      </w:r>
      <w:r w:rsidRPr="00990D3B">
        <w:t xml:space="preserve"> data from all necessary sources (e.g., identifying an enrollee with a given disease/condition)</w:t>
      </w:r>
      <w:r w:rsidRPr="00990D3B" w:rsidR="00DA0C32">
        <w:t>.</w:t>
      </w:r>
    </w:p>
    <w:p w:rsidR="00834C2D" w:rsidRPr="00990D3B" w:rsidP="004E5005" w14:paraId="68743B7A" w14:textId="77777777">
      <w:pPr>
        <w:pStyle w:val="ParagraphContinued"/>
      </w:pPr>
      <w:r w:rsidRPr="00990D3B">
        <w:t>To ensure proper data integration within its own data repository, the EQRO must undertake the following activities:</w:t>
      </w:r>
    </w:p>
    <w:p w:rsidR="00834C2D" w:rsidRPr="00990D3B" w:rsidP="00FB7CAF" w14:paraId="4E1AB353" w14:textId="197F7DF6">
      <w:pPr>
        <w:pStyle w:val="EQRBulletBLUE"/>
      </w:pPr>
      <w:r w:rsidRPr="00990D3B">
        <w:t>Write program logic or source code for each measure that identifies, tracks, and links enrollment within and across product lines (Medicaid and</w:t>
      </w:r>
      <w:r w:rsidRPr="00990D3B" w:rsidR="00D95C86">
        <w:t xml:space="preserve"> CHIP), by age and sex</w:t>
      </w:r>
      <w:r w:rsidRPr="00990D3B">
        <w:t xml:space="preserve">, as well as </w:t>
      </w:r>
      <w:r w:rsidRPr="00990D3B">
        <w:t>through possible periods of enrollment and disenrollment, which complies with the specifications of each performance measure</w:t>
      </w:r>
      <w:r w:rsidRPr="00990D3B" w:rsidR="00DA0C32">
        <w:t>.</w:t>
      </w:r>
    </w:p>
    <w:p w:rsidR="00834C2D" w:rsidRPr="00990D3B" w:rsidP="00FB7CAF" w14:paraId="715E6897" w14:textId="109AA159">
      <w:pPr>
        <w:pStyle w:val="EQRBulletBLUE"/>
      </w:pPr>
      <w:r w:rsidRPr="00990D3B">
        <w:t>Conduct tests of data to assess completeness, integration, and integrity, and to ensure there is no double-counting of services reported through different data systems or supplier</w:t>
      </w:r>
      <w:r w:rsidRPr="00990D3B" w:rsidR="001D1ECB">
        <w:t>s</w:t>
      </w:r>
      <w:r w:rsidRPr="00990D3B" w:rsidR="00DA0C32">
        <w:t>.</w:t>
      </w:r>
    </w:p>
    <w:p w:rsidR="00834C2D" w:rsidRPr="00990D3B" w:rsidP="00FB7CAF" w14:paraId="4DDF6935" w14:textId="1BD7F9A0">
      <w:pPr>
        <w:pStyle w:val="EQRBulletBLUE"/>
        <w:rPr>
          <w:b/>
        </w:rPr>
      </w:pPr>
      <w:r w:rsidRPr="00990D3B">
        <w:t xml:space="preserve">Assure that all </w:t>
      </w:r>
      <w:r w:rsidRPr="00990D3B">
        <w:t>enrollees</w:t>
      </w:r>
      <w:r w:rsidRPr="00990D3B">
        <w:t xml:space="preserve"> who were eligible to receive the specified services were included in the initial population from which the final denominator was produced. </w:t>
      </w:r>
      <w:r w:rsidRPr="00990D3B" w:rsidR="00840049">
        <w:t xml:space="preserve">The eligible population will include both enrollees who received the services and those who did not. </w:t>
      </w:r>
      <w:r w:rsidRPr="00990D3B">
        <w:t>This same activity applies to provider groups or other relevant populations identified in the specifications of each performance measure</w:t>
      </w:r>
      <w:bookmarkStart w:id="812" w:name="_Toc278894252"/>
      <w:bookmarkStart w:id="813" w:name="_Toc325365804"/>
      <w:r w:rsidRPr="00990D3B" w:rsidR="00DA0C32">
        <w:t>.</w:t>
      </w:r>
    </w:p>
    <w:p w:rsidR="00834C2D" w:rsidRPr="00990D3B" w:rsidP="00027D34" w14:paraId="0ED3F5F1" w14:textId="77777777">
      <w:pPr>
        <w:pStyle w:val="H3"/>
        <w:rPr>
          <w:caps/>
        </w:rPr>
      </w:pPr>
      <w:bookmarkStart w:id="814" w:name="P7A1Step4"/>
      <w:bookmarkStart w:id="815" w:name="P7A2Step4"/>
      <w:bookmarkEnd w:id="814"/>
      <w:bookmarkEnd w:id="815"/>
      <w:r w:rsidRPr="00990D3B">
        <w:t>Step</w:t>
      </w:r>
      <w:r w:rsidRPr="00990D3B">
        <w:rPr>
          <w:caps/>
        </w:rPr>
        <w:t xml:space="preserve"> 4: </w:t>
      </w:r>
      <w:r w:rsidRPr="00990D3B">
        <w:t>Conduct Preliminary Analysis</w:t>
      </w:r>
      <w:bookmarkEnd w:id="812"/>
      <w:bookmarkEnd w:id="813"/>
    </w:p>
    <w:p w:rsidR="00834C2D" w:rsidRPr="00990D3B" w:rsidP="004E5005" w14:paraId="748ED04D" w14:textId="77777777">
      <w:pPr>
        <w:pStyle w:val="ParagraphContinued"/>
      </w:pPr>
      <w:r w:rsidRPr="00990D3B">
        <w:t>The EQRO will assess the completeness, accuracy, and reasonableness of the data in its repository, and work with the MCP and other data suppliers until the data are satisfactory. Referring to the ISCA conducted for the MCP and other data suppliers, the EQRO will have identified areas of potential weakness. These should be considered in conducting analyses of missing data, data quality, and supplier data issues.</w:t>
      </w:r>
    </w:p>
    <w:p w:rsidR="00834C2D" w:rsidRPr="00990D3B" w:rsidP="004E5005" w14:paraId="25DA0B31" w14:textId="11DA7471">
      <w:pPr>
        <w:pStyle w:val="Paragraph0"/>
      </w:pPr>
      <w:r w:rsidRPr="00990D3B">
        <w:rPr>
          <w:b/>
        </w:rPr>
        <w:t xml:space="preserve">Missing Data. </w:t>
      </w:r>
      <w:r w:rsidRPr="00990D3B">
        <w:t>The EQRO will analyze its repository for evidence of missing data. To determine completeness, the EQRO should compare its data with data from the state, from prior years, and from similar populations. Based on findings from the ISCA, the EQRO may pursue specific concerns such as missing beneficiaries; missing providers, provider locations, or provider types; and missing services or service types. Knowledge of the data suppliers’ contractual relationships with providers from the ISCA as well as knowledge of the expected magnitude of reporting will help identify specific areas to investigate for missing data. The EQRO should be aware of instances when the MCP was unable to submit data, when submitted data failed edits, and when data were not resubmitted.</w:t>
      </w:r>
    </w:p>
    <w:p w:rsidR="00834C2D" w:rsidRPr="00990D3B" w:rsidP="004E5005" w14:paraId="38EC1BF6" w14:textId="77777777">
      <w:pPr>
        <w:pStyle w:val="Paragraph0"/>
      </w:pPr>
      <w:r w:rsidRPr="00990D3B">
        <w:rPr>
          <w:b/>
        </w:rPr>
        <w:t xml:space="preserve">Other Data Quality Issues. </w:t>
      </w:r>
      <w:r w:rsidRPr="00990D3B">
        <w:t>The EQRO should analyze the data it has received to identify data quality problems such as inability to process or retain certain fields. Some MCPs may lack the capacity to capture or maintain all the data elements that are required for submission, such as secondary diagnoses or procedure codes or some coding specificity.</w:t>
      </w:r>
    </w:p>
    <w:p w:rsidR="00834C2D" w:rsidRPr="00990D3B" w:rsidP="004E5005" w14:paraId="54F978F1" w14:textId="280D2DD9">
      <w:pPr>
        <w:pStyle w:val="Paragraph0"/>
      </w:pPr>
      <w:r w:rsidRPr="00990D3B">
        <w:rPr>
          <w:b/>
        </w:rPr>
        <w:t xml:space="preserve">Supplier Data Issues. </w:t>
      </w:r>
      <w:r w:rsidRPr="00990D3B">
        <w:t xml:space="preserve">Using the edit checks from </w:t>
      </w:r>
      <w:hyperlink w:anchor="P7A2Step2" w:tooltip="Activity 2, Step 2" w:history="1">
        <w:r w:rsidRPr="00990D3B">
          <w:rPr>
            <w:rStyle w:val="Hyperlink"/>
            <w:color w:val="auto"/>
          </w:rPr>
          <w:t>Activity 2, Step 2</w:t>
        </w:r>
      </w:hyperlink>
      <w:r w:rsidRPr="00990D3B">
        <w:t xml:space="preserve">, the EQRO should identify problems in how data suppliers compiled and submitted their data to the EQRO. </w:t>
      </w:r>
    </w:p>
    <w:p w:rsidR="00834C2D" w:rsidRPr="00990D3B" w:rsidP="004E5005" w14:paraId="01A1A7D2" w14:textId="07E3CB2C">
      <w:pPr>
        <w:pStyle w:val="Paragraph0"/>
        <w:rPr>
          <w:b/>
        </w:rPr>
      </w:pPr>
      <w:r w:rsidRPr="00990D3B">
        <w:t xml:space="preserve">Significant issues may affect the feasibility of calculating valid and reliable performance measures. Before proceeding to </w:t>
      </w:r>
      <w:hyperlink w:anchor="P7A2Step5" w:tooltip="Step 5" w:history="1">
        <w:r w:rsidRPr="00990D3B">
          <w:rPr>
            <w:rStyle w:val="Hyperlink"/>
            <w:color w:val="auto"/>
          </w:rPr>
          <w:t>Step 5</w:t>
        </w:r>
      </w:hyperlink>
      <w:r w:rsidRPr="00990D3B">
        <w:t xml:space="preserve">, the EQRO should report significant issues to the state and determine whether the data are suitable for calculating selected measures. </w:t>
      </w:r>
    </w:p>
    <w:p w:rsidR="00834C2D" w:rsidRPr="00990D3B" w:rsidP="00027D34" w14:paraId="31AFD6D7" w14:textId="77777777">
      <w:pPr>
        <w:pStyle w:val="H3"/>
        <w:rPr>
          <w:caps/>
        </w:rPr>
      </w:pPr>
      <w:bookmarkStart w:id="816" w:name="P7A2Step5"/>
      <w:bookmarkStart w:id="817" w:name="_Toc278894253"/>
      <w:bookmarkStart w:id="818" w:name="_Toc325365805"/>
      <w:bookmarkEnd w:id="816"/>
      <w:r w:rsidRPr="00990D3B">
        <w:t xml:space="preserve">Step </w:t>
      </w:r>
      <w:r w:rsidRPr="00990D3B">
        <w:rPr>
          <w:caps/>
        </w:rPr>
        <w:t xml:space="preserve">5: </w:t>
      </w:r>
      <w:r w:rsidRPr="00990D3B">
        <w:t>Calculate the Denominators, Numerators, and Rates</w:t>
      </w:r>
      <w:bookmarkEnd w:id="817"/>
      <w:bookmarkEnd w:id="818"/>
    </w:p>
    <w:p w:rsidR="00834C2D" w:rsidRPr="00990D3B" w:rsidP="004E5005" w14:paraId="41D1CEBF" w14:textId="73B97AAE">
      <w:pPr>
        <w:pStyle w:val="ParagraphContinued"/>
      </w:pPr>
      <w:r w:rsidRPr="00990D3B">
        <w:t>Following the specifications provided by the state, the EQRO calculates performance measures from its data repository. To do this, the EQRO must purchase or write and test source code to properly apply all specifications to identify the denominator population. The EQRO must apply specified continuous enrollment and other eligibility criteria and implement exclusions from the</w:t>
      </w:r>
      <w:r w:rsidRPr="00990D3B" w:rsidR="00F46347">
        <w:t> </w:t>
      </w:r>
      <w:r w:rsidRPr="00990D3B">
        <w:t>denominator.</w:t>
      </w:r>
    </w:p>
    <w:p w:rsidR="00834C2D" w:rsidRPr="00990D3B" w:rsidP="004E5005" w14:paraId="28F55629" w14:textId="7D17A0C4">
      <w:pPr>
        <w:pStyle w:val="Paragraph0"/>
      </w:pPr>
      <w:r w:rsidRPr="00990D3B">
        <w:t xml:space="preserve">Once the EQRO has identified all eligible </w:t>
      </w:r>
      <w:r w:rsidRPr="00990D3B" w:rsidR="00622633">
        <w:t>enrollees</w:t>
      </w:r>
      <w:r w:rsidRPr="00990D3B">
        <w:t xml:space="preserve"> in the denominator for a measure, it must apply the specifications to identify cases that qualify for inclusion in the numerator. Where sampling is </w:t>
      </w:r>
      <w:r w:rsidRPr="00990D3B">
        <w:t>required</w:t>
      </w:r>
      <w:r w:rsidRPr="00990D3B">
        <w:t xml:space="preserve"> such as for medical record review, the EQRO must follow the specifications for selecting an appropriate sample. The EQRO should follow the medical record review process outlined in </w:t>
      </w:r>
      <w:hyperlink w:anchor="P7A2Step1" w:tooltip="Activity 2, Step 1" w:history="1">
        <w:r w:rsidRPr="00990D3B">
          <w:rPr>
            <w:rStyle w:val="Hyperlink"/>
            <w:color w:val="auto"/>
          </w:rPr>
          <w:t>Activity 2, Step 1</w:t>
        </w:r>
      </w:hyperlink>
      <w:r w:rsidRPr="00990D3B">
        <w:t xml:space="preserve"> regardless of when in the measure calculation process the medical record review takes place.</w:t>
      </w:r>
    </w:p>
    <w:p w:rsidR="00834C2D" w:rsidRPr="00990D3B" w:rsidP="00027D34" w14:paraId="66F719BD" w14:textId="5FE2E3A3">
      <w:pPr>
        <w:pStyle w:val="H2"/>
      </w:pPr>
      <w:bookmarkStart w:id="819" w:name="_Toc278894254"/>
      <w:bookmarkStart w:id="820" w:name="_Toc325365806"/>
      <w:bookmarkStart w:id="821" w:name="_Toc14777740"/>
      <w:bookmarkStart w:id="822" w:name="_Toc183005638"/>
      <w:bookmarkStart w:id="823" w:name="_Toc201751408"/>
      <w:r w:rsidRPr="00990D3B">
        <w:t>A</w:t>
      </w:r>
      <w:r w:rsidRPr="00990D3B" w:rsidR="008B680F">
        <w:t>ctivity</w:t>
      </w:r>
      <w:r w:rsidRPr="00990D3B">
        <w:t xml:space="preserve"> 3: R</w:t>
      </w:r>
      <w:r w:rsidRPr="00990D3B" w:rsidR="008B680F">
        <w:t>eport</w:t>
      </w:r>
      <w:r w:rsidRPr="00990D3B">
        <w:t xml:space="preserve"> R</w:t>
      </w:r>
      <w:bookmarkEnd w:id="819"/>
      <w:bookmarkEnd w:id="820"/>
      <w:r w:rsidRPr="00990D3B" w:rsidR="008B680F">
        <w:t>esults</w:t>
      </w:r>
      <w:bookmarkEnd w:id="821"/>
      <w:bookmarkEnd w:id="822"/>
      <w:bookmarkEnd w:id="823"/>
      <w:r w:rsidRPr="00990D3B" w:rsidR="009972E4">
        <w:t xml:space="preserve"> to the State</w:t>
      </w:r>
    </w:p>
    <w:p w:rsidR="00834C2D" w:rsidRPr="00990D3B" w:rsidP="00027D34" w14:paraId="30A3665D" w14:textId="61324C84">
      <w:pPr>
        <w:pStyle w:val="H3"/>
        <w:rPr>
          <w:caps/>
        </w:rPr>
      </w:pPr>
      <w:bookmarkStart w:id="824" w:name="P7A3Step1"/>
      <w:bookmarkStart w:id="825" w:name="_Toc278894255"/>
      <w:bookmarkStart w:id="826" w:name="_Toc325365807"/>
      <w:bookmarkEnd w:id="824"/>
      <w:r w:rsidRPr="00990D3B">
        <w:t xml:space="preserve">Step 1: Report Preliminary Performance Measure </w:t>
      </w:r>
      <w:bookmarkEnd w:id="825"/>
      <w:bookmarkEnd w:id="826"/>
      <w:r w:rsidRPr="00990D3B">
        <w:t>Results</w:t>
      </w:r>
    </w:p>
    <w:p w:rsidR="00834C2D" w:rsidRPr="00990D3B" w:rsidP="004E5005" w14:paraId="079ADD8C" w14:textId="0E7F8999">
      <w:pPr>
        <w:pStyle w:val="ParagraphContinued"/>
      </w:pPr>
      <w:r w:rsidRPr="00990D3B">
        <w:t>Before sharing performance measure results with the state, the EQRO share</w:t>
      </w:r>
      <w:r w:rsidRPr="00990D3B" w:rsidR="00A17BF1">
        <w:t>s</w:t>
      </w:r>
      <w:r w:rsidRPr="00990D3B">
        <w:t xml:space="preserve"> its preliminary findings with the MCPs to obtain their feedback about the accuracy of the results. The report should include, at a minimum, the following elements for each performance measure: </w:t>
      </w:r>
    </w:p>
    <w:p w:rsidR="00834C2D" w:rsidRPr="00990D3B" w:rsidP="00FB7CAF" w14:paraId="5B31FC94" w14:textId="4481130E">
      <w:pPr>
        <w:pStyle w:val="EQRBulletBLUE"/>
      </w:pPr>
      <w:r w:rsidRPr="00990D3B">
        <w:t>Data source(s)</w:t>
      </w:r>
      <w:r w:rsidRPr="00990D3B" w:rsidR="004C03F3">
        <w:t>.</w:t>
      </w:r>
    </w:p>
    <w:p w:rsidR="00834C2D" w:rsidRPr="00990D3B" w:rsidP="00FB7CAF" w14:paraId="27B3A6DD" w14:textId="26C4E52B">
      <w:pPr>
        <w:pStyle w:val="EQRBulletBLUE"/>
      </w:pPr>
      <w:r w:rsidRPr="00990D3B">
        <w:t>Method (administrative, medical record review, hybrid)</w:t>
      </w:r>
      <w:r w:rsidRPr="00990D3B" w:rsidR="004C03F3">
        <w:t>.</w:t>
      </w:r>
    </w:p>
    <w:p w:rsidR="00834C2D" w:rsidRPr="00990D3B" w:rsidP="00FB7CAF" w14:paraId="321531BF" w14:textId="6A98575E">
      <w:pPr>
        <w:pStyle w:val="EQRBulletBLUE"/>
      </w:pPr>
      <w:r w:rsidRPr="00990D3B">
        <w:t>Denominator</w:t>
      </w:r>
      <w:r w:rsidRPr="00990D3B" w:rsidR="004C03F3">
        <w:t>.</w:t>
      </w:r>
      <w:r w:rsidRPr="00990D3B">
        <w:t xml:space="preserve"> </w:t>
      </w:r>
    </w:p>
    <w:p w:rsidR="00834C2D" w:rsidRPr="00990D3B" w:rsidP="00FB7CAF" w14:paraId="72222E79" w14:textId="715CAC8D">
      <w:pPr>
        <w:pStyle w:val="EQRBulletBLUE"/>
      </w:pPr>
      <w:r w:rsidRPr="00990D3B">
        <w:t>Sample size (if relevant)</w:t>
      </w:r>
      <w:r w:rsidRPr="00990D3B" w:rsidR="004C03F3">
        <w:t>.</w:t>
      </w:r>
      <w:r w:rsidRPr="00990D3B">
        <w:t xml:space="preserve"> </w:t>
      </w:r>
    </w:p>
    <w:p w:rsidR="00834C2D" w:rsidRPr="00990D3B" w:rsidP="00FB7CAF" w14:paraId="245DB9BE" w14:textId="0B54A3A6">
      <w:pPr>
        <w:pStyle w:val="EQRBulletBLUE"/>
      </w:pPr>
      <w:r w:rsidRPr="00990D3B">
        <w:t>Administrative numerator events (if relevant)</w:t>
      </w:r>
      <w:r w:rsidRPr="00990D3B" w:rsidR="004C03F3">
        <w:t>.</w:t>
      </w:r>
      <w:r w:rsidRPr="00990D3B">
        <w:t xml:space="preserve"> </w:t>
      </w:r>
    </w:p>
    <w:p w:rsidR="00834C2D" w:rsidRPr="00990D3B" w:rsidP="00FB7CAF" w14:paraId="3AAB6326" w14:textId="349E23B8">
      <w:pPr>
        <w:pStyle w:val="EQRBulletBLUE"/>
      </w:pPr>
      <w:r w:rsidRPr="00990D3B">
        <w:t>Medical record numerator events (if relevant)</w:t>
      </w:r>
      <w:r w:rsidRPr="00990D3B" w:rsidR="004C03F3">
        <w:t>.</w:t>
      </w:r>
    </w:p>
    <w:p w:rsidR="00834C2D" w:rsidRPr="00990D3B" w:rsidP="00FB7CAF" w14:paraId="5C077A53" w14:textId="31CD1EE3">
      <w:pPr>
        <w:pStyle w:val="EQRBulletBLUE"/>
      </w:pPr>
      <w:r w:rsidRPr="00990D3B">
        <w:t>Calculated rate</w:t>
      </w:r>
      <w:r w:rsidRPr="00990D3B" w:rsidR="004C03F3">
        <w:t>.</w:t>
      </w:r>
    </w:p>
    <w:p w:rsidR="00834C2D" w:rsidRPr="00990D3B" w:rsidP="00FB7CAF" w14:paraId="25ECB3F8" w14:textId="2526CA86">
      <w:pPr>
        <w:pStyle w:val="EQRBulletBLUE"/>
      </w:pPr>
      <w:r w:rsidRPr="00990D3B">
        <w:t>Deviations from the measure specifications (if relevant)</w:t>
      </w:r>
      <w:r w:rsidRPr="00990D3B" w:rsidR="004C03F3">
        <w:t>.</w:t>
      </w:r>
    </w:p>
    <w:p w:rsidR="00834C2D" w:rsidRPr="00990D3B" w:rsidP="004E5005" w14:paraId="04C10791" w14:textId="77777777">
      <w:pPr>
        <w:pStyle w:val="ParagraphContinued"/>
      </w:pPr>
      <w:r w:rsidRPr="00990D3B">
        <w:t xml:space="preserve">To enable the MCP to understand and interpret the results, the report may also analyze MCP performance in relation to external benchmarks or prior-year performance. </w:t>
      </w:r>
    </w:p>
    <w:p w:rsidR="00834C2D" w:rsidRPr="00990D3B" w:rsidP="004E5005" w14:paraId="7C4BEA50" w14:textId="77777777">
      <w:pPr>
        <w:pStyle w:val="Paragraph0"/>
      </w:pPr>
      <w:r w:rsidRPr="00990D3B">
        <w:t xml:space="preserve">The EQRO should invite the MCP to offer comments and documentation to support correction of any factual errors or to clarify results. The EQRO should provide a reasonable </w:t>
      </w:r>
      <w:r w:rsidRPr="00990D3B">
        <w:t>period of time</w:t>
      </w:r>
      <w:r w:rsidRPr="00990D3B">
        <w:t xml:space="preserve"> for the MCP to provide its comments. The EQRO should then recalculate measures based on the comments, if necessary, and revise its findings where appropriate.</w:t>
      </w:r>
    </w:p>
    <w:p w:rsidR="00834C2D" w:rsidRPr="00990D3B" w:rsidP="00027D34" w14:paraId="0768F873" w14:textId="683E2155">
      <w:pPr>
        <w:pStyle w:val="H3"/>
        <w:rPr>
          <w:caps/>
        </w:rPr>
      </w:pPr>
      <w:bookmarkStart w:id="827" w:name="P7A3Step2"/>
      <w:bookmarkStart w:id="828" w:name="_Toc278894256"/>
      <w:bookmarkStart w:id="829" w:name="_Toc325365808"/>
      <w:bookmarkEnd w:id="827"/>
      <w:r w:rsidRPr="00990D3B">
        <w:t xml:space="preserve">Step 2: Analyze </w:t>
      </w:r>
      <w:bookmarkEnd w:id="828"/>
      <w:bookmarkEnd w:id="829"/>
      <w:r w:rsidRPr="00990D3B">
        <w:t>Performance Measure Results</w:t>
      </w:r>
    </w:p>
    <w:p w:rsidR="00834C2D" w:rsidRPr="00990D3B" w:rsidP="004E5005" w14:paraId="61101124" w14:textId="4DCE78F0">
      <w:pPr>
        <w:pStyle w:val="ParagraphContinued"/>
      </w:pPr>
      <w:r w:rsidRPr="00990D3B">
        <w:t xml:space="preserve">Using the final calculations from </w:t>
      </w:r>
      <w:hyperlink w:anchor="P7A3Step1" w:tooltip="Activity 3 Step 1" w:history="1">
        <w:r w:rsidRPr="00990D3B">
          <w:rPr>
            <w:rStyle w:val="Hyperlink"/>
            <w:color w:val="auto"/>
          </w:rPr>
          <w:t>Activity 3 Step 1</w:t>
        </w:r>
      </w:hyperlink>
      <w:r w:rsidRPr="00990D3B">
        <w:t>, the EQRO conduct</w:t>
      </w:r>
      <w:r w:rsidRPr="00990D3B" w:rsidR="00A17BF1">
        <w:t>s</w:t>
      </w:r>
      <w:r w:rsidRPr="00990D3B">
        <w:t xml:space="preserve"> all analyses required by the state. The results should be presented in a format prescribed by the state, or if the state has not prescribed a format, in a way that facilitates the state’s intended use of the performance measures. Decisions about the format include the balance between text, tables, and graphics, as well as the level of detail. In addition, the EQRO should determine whether the data should be analyzed for each MCP individually, or whether individual MCP results should also be compared to results for other MCPs or in relation to external benchmarks. </w:t>
      </w:r>
    </w:p>
    <w:p w:rsidR="00834C2D" w:rsidRPr="00990D3B" w:rsidP="00027D34" w14:paraId="406E8937" w14:textId="77777777">
      <w:pPr>
        <w:pStyle w:val="H3"/>
        <w:rPr>
          <w:smallCaps/>
        </w:rPr>
      </w:pPr>
      <w:bookmarkStart w:id="830" w:name="P7A3Step3"/>
      <w:bookmarkStart w:id="831" w:name="_Toc278894257"/>
      <w:bookmarkStart w:id="832" w:name="_Toc325365809"/>
      <w:bookmarkEnd w:id="830"/>
      <w:r w:rsidRPr="00990D3B">
        <w:t xml:space="preserve">Step 3: Submit a Final Report to the </w:t>
      </w:r>
      <w:bookmarkEnd w:id="831"/>
      <w:bookmarkEnd w:id="832"/>
      <w:r w:rsidRPr="00990D3B">
        <w:t>State</w:t>
      </w:r>
    </w:p>
    <w:p w:rsidR="00834C2D" w:rsidRPr="00990D3B" w:rsidP="004E5005" w14:paraId="6B92D579" w14:textId="05027E89">
      <w:pPr>
        <w:pStyle w:val="ParagraphContinued"/>
      </w:pPr>
      <w:r w:rsidRPr="00990D3B">
        <w:t>The EQRO submit</w:t>
      </w:r>
      <w:r w:rsidRPr="00990D3B" w:rsidR="00C009EF">
        <w:t>s</w:t>
      </w:r>
      <w:r w:rsidRPr="00990D3B">
        <w:t xml:space="preserve"> a final report containing the performance measure results, analyses, and recommendations </w:t>
      </w:r>
      <w:r w:rsidRPr="00990D3B">
        <w:t>in</w:t>
      </w:r>
      <w:r w:rsidRPr="00990D3B">
        <w:t xml:space="preserve"> the format prescribed by the state </w:t>
      </w:r>
      <w:r w:rsidRPr="00990D3B">
        <w:t>and in</w:t>
      </w:r>
      <w:r w:rsidRPr="00990D3B">
        <w:t xml:space="preserve"> the time frame required. The content of the final report should include the following elements:</w:t>
      </w:r>
    </w:p>
    <w:p w:rsidR="00834C2D" w:rsidRPr="00990D3B" w:rsidP="00FB7CAF" w14:paraId="7B1482A2" w14:textId="6AA96EEF">
      <w:pPr>
        <w:pStyle w:val="EQRBulletBLUE"/>
      </w:pPr>
      <w:r w:rsidRPr="00990D3B">
        <w:t>A summary of the EQRO’s performance measurement activities, including documentation of the activities performed</w:t>
      </w:r>
      <w:r w:rsidRPr="00990D3B" w:rsidR="00DA0C32">
        <w:t>.</w:t>
      </w:r>
    </w:p>
    <w:p w:rsidR="00834C2D" w:rsidRPr="00990D3B" w:rsidP="00FB7CAF" w14:paraId="5CE46E78" w14:textId="270F6CFB">
      <w:pPr>
        <w:pStyle w:val="EQRBulletBLUE"/>
      </w:pPr>
      <w:r w:rsidRPr="00990D3B">
        <w:t>Work papers and detailed results of key steps of the measure calculation process, MCP-specific performance measure rates, and accompanying analyses</w:t>
      </w:r>
      <w:r w:rsidRPr="00990D3B" w:rsidR="00DA0C32">
        <w:t>.</w:t>
      </w:r>
    </w:p>
    <w:p w:rsidR="00834C2D" w:rsidRPr="00990D3B" w:rsidP="00FB7CAF" w14:paraId="426EE7E8" w14:textId="1B8F8861">
      <w:pPr>
        <w:pStyle w:val="EQRBulletBLUE"/>
      </w:pPr>
      <w:r w:rsidRPr="00990D3B">
        <w:t>Discussion of areas of MCP strength and opportunities for improvement in both data management and performance</w:t>
      </w:r>
      <w:r w:rsidRPr="00990D3B" w:rsidR="00DA0C32">
        <w:t>.</w:t>
      </w:r>
    </w:p>
    <w:p w:rsidR="00834C2D" w:rsidRPr="00990D3B" w:rsidP="00FB7CAF" w14:paraId="33C381DA" w14:textId="7F53A2E8">
      <w:pPr>
        <w:pStyle w:val="EQRBulletBLUE"/>
      </w:pPr>
      <w:r w:rsidRPr="00990D3B">
        <w:t>Recommendations for improving MCP performance</w:t>
      </w:r>
      <w:r w:rsidRPr="00990D3B" w:rsidR="00DA0C32">
        <w:t>.</w:t>
      </w:r>
    </w:p>
    <w:p w:rsidR="00834C2D" w:rsidRPr="00990D3B" w:rsidP="004E5005" w14:paraId="6E59687A" w14:textId="77777777">
      <w:pPr>
        <w:pStyle w:val="ParagraphContinued"/>
      </w:pPr>
      <w:r w:rsidRPr="00990D3B">
        <w:t>The EQRO should submit a draft report on performance measure results to the state (separate from the EQR technical report) and revise the final report based on feedback from the state.</w:t>
      </w:r>
      <w:bookmarkStart w:id="833" w:name="_Toc278894258"/>
      <w:bookmarkStart w:id="834" w:name="_Toc325365810"/>
    </w:p>
    <w:bookmarkEnd w:id="833"/>
    <w:bookmarkEnd w:id="834"/>
    <w:p w:rsidR="00834C2D" w:rsidRPr="00990D3B" w:rsidP="009B3409" w14:paraId="4156822C" w14:textId="09AD9224">
      <w:pPr>
        <w:pStyle w:val="ParagraphContinued"/>
        <w:jc w:val="center"/>
      </w:pPr>
      <w:r w:rsidRPr="00990D3B">
        <w:t>END OF PROTOCOL 7</w:t>
      </w:r>
    </w:p>
    <w:p w:rsidR="004C0F8D" w:rsidRPr="00990D3B" w:rsidP="004E5005" w14:paraId="62765D07" w14:textId="77777777">
      <w:pPr>
        <w:pStyle w:val="Paragraph0"/>
        <w:sectPr w:rsidSect="00A65C6B">
          <w:footerReference w:type="even" r:id="rId199"/>
          <w:footerReference w:type="default" r:id="rId200"/>
          <w:headerReference w:type="first" r:id="rId201"/>
          <w:footerReference w:type="first" r:id="rId202"/>
          <w:pgSz w:w="12240" w:h="15840" w:code="1"/>
          <w:pgMar w:top="1440" w:right="1440" w:bottom="1440" w:left="1440" w:header="720" w:footer="720" w:gutter="0"/>
          <w:cols w:space="720"/>
          <w:titlePg/>
          <w:docGrid w:linePitch="360"/>
        </w:sectPr>
      </w:pPr>
    </w:p>
    <w:p w:rsidR="00D7261B" w:rsidRPr="00990D3B" w:rsidP="00697F16" w14:paraId="1D904B50" w14:textId="11B818D2">
      <w:pPr>
        <w:pStyle w:val="H2"/>
      </w:pPr>
      <w:bookmarkStart w:id="835" w:name="WSp7"/>
      <w:bookmarkStart w:id="836" w:name="_Toc14777741"/>
      <w:bookmarkStart w:id="837" w:name="_Toc183005639"/>
      <w:bookmarkStart w:id="838" w:name="_Toc201751409"/>
      <w:r w:rsidRPr="00990D3B">
        <w:t>Worksheets for Protocol 7</w:t>
      </w:r>
      <w:bookmarkEnd w:id="835"/>
      <w:r w:rsidRPr="00990D3B">
        <w:t>:</w:t>
      </w:r>
      <w:r w:rsidRPr="00990D3B" w:rsidR="00D306E4">
        <w:t xml:space="preserve"> </w:t>
      </w:r>
      <w:r w:rsidRPr="00990D3B">
        <w:t>Performance Measure Calculation Tools</w:t>
      </w:r>
      <w:bookmarkEnd w:id="836"/>
      <w:bookmarkEnd w:id="837"/>
      <w:bookmarkEnd w:id="838"/>
    </w:p>
    <w:p w:rsidR="00D7261B" w:rsidRPr="00990D3B" w:rsidP="00DF0DF8" w14:paraId="43A5FBE7" w14:textId="77777777">
      <w:pPr>
        <w:pStyle w:val="EQRNormalSSWORKSHEET"/>
      </w:pPr>
      <w:r w:rsidRPr="00990D3B">
        <w:rPr>
          <w:b/>
        </w:rPr>
        <w:t xml:space="preserve">Instructions. </w:t>
      </w:r>
      <w:r w:rsidRPr="00990D3B">
        <w:t xml:space="preserve">Use these or similar worksheets to identify the performance measures to be calculated, document the technical specifications for each measure, develop a master list of data elements, indicate the data source and any known data quality issues, and specify the file format for the transmission of the required data elements. This tool includes the following worksheets </w:t>
      </w:r>
      <w:r w:rsidRPr="00990D3B">
        <w:t>crosswalked</w:t>
      </w:r>
      <w:r w:rsidRPr="00990D3B">
        <w:t xml:space="preserve"> to the applicable Activity and Step: </w:t>
      </w:r>
    </w:p>
    <w:tbl>
      <w:tblPr>
        <w:tblStyle w:val="TableGrid"/>
        <w:tblW w:w="5000" w:type="pct"/>
        <w:tblLook w:val="04A0"/>
      </w:tblPr>
      <w:tblGrid>
        <w:gridCol w:w="3685"/>
        <w:gridCol w:w="5665"/>
      </w:tblGrid>
      <w:tr w14:paraId="527C6AC0" w14:textId="77777777" w:rsidTr="00B15B08">
        <w:tblPrEx>
          <w:tblW w:w="5000" w:type="pct"/>
          <w:tblLook w:val="04A0"/>
        </w:tblPrEx>
        <w:trPr>
          <w:cantSplit/>
          <w:tblHeader/>
        </w:trPr>
        <w:tc>
          <w:tcPr>
            <w:tcW w:w="3685" w:type="dxa"/>
          </w:tcPr>
          <w:p w:rsidR="00D7261B" w:rsidRPr="00990D3B" w:rsidP="00DF0DF8" w14:paraId="51BD9D77" w14:textId="22478C20">
            <w:pPr>
              <w:pStyle w:val="EQRTableHeaderLeft"/>
              <w:rPr>
                <w:color w:val="auto"/>
              </w:rPr>
            </w:pPr>
            <w:r w:rsidRPr="00990D3B">
              <w:rPr>
                <w:color w:val="auto"/>
              </w:rPr>
              <w:t xml:space="preserve">Worksheet </w:t>
            </w:r>
            <w:r w:rsidRPr="00990D3B" w:rsidR="004D2626">
              <w:rPr>
                <w:color w:val="auto"/>
              </w:rPr>
              <w:t>N</w:t>
            </w:r>
            <w:r w:rsidRPr="00990D3B">
              <w:rPr>
                <w:color w:val="auto"/>
              </w:rPr>
              <w:t>ame</w:t>
            </w:r>
          </w:p>
        </w:tc>
        <w:tc>
          <w:tcPr>
            <w:tcW w:w="5665" w:type="dxa"/>
          </w:tcPr>
          <w:p w:rsidR="00D7261B" w:rsidRPr="00990D3B" w:rsidP="00DF0DF8" w14:paraId="724EC22F" w14:textId="3A084388">
            <w:pPr>
              <w:pStyle w:val="EQRTableHeaderCenter"/>
              <w:rPr>
                <w:color w:val="auto"/>
              </w:rPr>
            </w:pPr>
            <w:r w:rsidRPr="00990D3B">
              <w:rPr>
                <w:color w:val="auto"/>
              </w:rPr>
              <w:t xml:space="preserve">Protocol </w:t>
            </w:r>
            <w:r w:rsidRPr="00990D3B" w:rsidR="004D2626">
              <w:rPr>
                <w:color w:val="auto"/>
              </w:rPr>
              <w:t>A</w:t>
            </w:r>
            <w:r w:rsidRPr="00990D3B">
              <w:rPr>
                <w:color w:val="auto"/>
              </w:rPr>
              <w:t xml:space="preserve">ctivity and </w:t>
            </w:r>
            <w:r w:rsidRPr="00990D3B" w:rsidR="004D2626">
              <w:rPr>
                <w:color w:val="auto"/>
              </w:rPr>
              <w:t>S</w:t>
            </w:r>
            <w:r w:rsidRPr="00990D3B">
              <w:rPr>
                <w:color w:val="auto"/>
              </w:rPr>
              <w:t>tep</w:t>
            </w:r>
          </w:p>
        </w:tc>
      </w:tr>
      <w:tr w14:paraId="46FFD019" w14:textId="77777777" w:rsidTr="00B15B08">
        <w:tblPrEx>
          <w:tblW w:w="5000" w:type="pct"/>
          <w:tblLook w:val="04A0"/>
        </w:tblPrEx>
        <w:trPr>
          <w:cantSplit/>
        </w:trPr>
        <w:tc>
          <w:tcPr>
            <w:tcW w:w="3685" w:type="dxa"/>
          </w:tcPr>
          <w:p w:rsidR="00D7261B" w:rsidRPr="00990D3B" w:rsidP="00561227" w14:paraId="0A183453" w14:textId="225621BA">
            <w:pPr>
              <w:pStyle w:val="EQRTableText"/>
            </w:pPr>
            <w:hyperlink w:anchor="WSp7n01" w:tooltip="Worksheet 7.1. List of Performance Measures to be Calculated" w:history="1">
              <w:r w:rsidRPr="00990D3B">
                <w:rPr>
                  <w:rStyle w:val="Hyperlink"/>
                </w:rPr>
                <w:t>Worksheet 7.1. List of Performance Measures to be Calculated</w:t>
              </w:r>
            </w:hyperlink>
          </w:p>
        </w:tc>
        <w:tc>
          <w:tcPr>
            <w:tcW w:w="5665" w:type="dxa"/>
          </w:tcPr>
          <w:p w:rsidR="00D7261B" w:rsidRPr="00990D3B" w:rsidP="00DF0DF8" w14:paraId="5D9C0F32" w14:textId="40EE65DE">
            <w:pPr>
              <w:pStyle w:val="EQRTableText"/>
            </w:pPr>
            <w:hyperlink w:anchor="P7A1Step1" w:tooltip="Activity 1. Step 1. Define the Scope of the Validation" w:history="1">
              <w:r w:rsidRPr="00990D3B">
                <w:rPr>
                  <w:rStyle w:val="Hyperlink"/>
                </w:rPr>
                <w:t>Activity 1. Step 1. Define the Scope of the Validation</w:t>
              </w:r>
            </w:hyperlink>
          </w:p>
        </w:tc>
      </w:tr>
      <w:tr w14:paraId="68176691" w14:textId="77777777" w:rsidTr="00B15B08">
        <w:tblPrEx>
          <w:tblW w:w="5000" w:type="pct"/>
          <w:tblLook w:val="04A0"/>
        </w:tblPrEx>
        <w:trPr>
          <w:cantSplit/>
        </w:trPr>
        <w:tc>
          <w:tcPr>
            <w:tcW w:w="3685" w:type="dxa"/>
          </w:tcPr>
          <w:p w:rsidR="00D7261B" w:rsidRPr="00990D3B" w:rsidP="00561227" w14:paraId="5EDF2E3D" w14:textId="59CCECD0">
            <w:pPr>
              <w:pStyle w:val="EQRTableText"/>
            </w:pPr>
            <w:hyperlink w:anchor="WSp7n02" w:tooltip="Worksheet 7.2. Companion Performance Measurement Tool" w:history="1">
              <w:r w:rsidRPr="00990D3B">
                <w:rPr>
                  <w:rStyle w:val="Hyperlink"/>
                </w:rPr>
                <w:t>Worksheet 7.2. Companion Performance Measurement Tool</w:t>
              </w:r>
            </w:hyperlink>
          </w:p>
        </w:tc>
        <w:tc>
          <w:tcPr>
            <w:tcW w:w="5665" w:type="dxa"/>
          </w:tcPr>
          <w:p w:rsidR="00D7261B" w:rsidRPr="00990D3B" w:rsidP="00DF0DF8" w14:paraId="32FDCE3A" w14:textId="7FE200EC">
            <w:pPr>
              <w:pStyle w:val="EQRTableText"/>
            </w:pPr>
            <w:hyperlink w:anchor="P7A1Step1" w:tooltip="Activity 1. Step. 1. Define the Scope of the Validation" w:history="1">
              <w:r w:rsidRPr="00990D3B">
                <w:rPr>
                  <w:rStyle w:val="Hyperlink"/>
                </w:rPr>
                <w:t>Activity 1. Step. 1. Define the Scope of the Validation</w:t>
              </w:r>
            </w:hyperlink>
          </w:p>
          <w:p w:rsidR="00D7261B" w:rsidRPr="00990D3B" w:rsidP="00DF0DF8" w14:paraId="4DDD4868" w14:textId="1529F4D2">
            <w:pPr>
              <w:pStyle w:val="EQRTableText"/>
            </w:pPr>
            <w:hyperlink w:anchor="P7A1Step3" w:tooltip="Activity 1. Step 3. Conduct Detailed Review of Measures" w:history="1">
              <w:r w:rsidRPr="00990D3B">
                <w:rPr>
                  <w:rStyle w:val="Hyperlink"/>
                </w:rPr>
                <w:t>Activity 1. Step 3. Conduct Detailed Review of Measures</w:t>
              </w:r>
            </w:hyperlink>
          </w:p>
          <w:p w:rsidR="00D7261B" w:rsidRPr="00990D3B" w:rsidP="00DF0DF8" w14:paraId="3D2FA69B" w14:textId="03B210EF">
            <w:pPr>
              <w:pStyle w:val="EQRTableText"/>
            </w:pPr>
            <w:hyperlink w:anchor="P7A2Step4" w:tooltip="Activity 2. Step 4. Complete the Detailed Review of Measures" w:history="1">
              <w:r w:rsidRPr="00990D3B">
                <w:rPr>
                  <w:rStyle w:val="Hyperlink"/>
                </w:rPr>
                <w:t>Activity 2. Step 4. Complete the Detailed Review of Measures</w:t>
              </w:r>
            </w:hyperlink>
          </w:p>
        </w:tc>
      </w:tr>
      <w:tr w14:paraId="72BA5C7D" w14:textId="77777777" w:rsidTr="00B15B08">
        <w:tblPrEx>
          <w:tblW w:w="5000" w:type="pct"/>
          <w:tblLook w:val="04A0"/>
        </w:tblPrEx>
        <w:trPr>
          <w:cantSplit/>
        </w:trPr>
        <w:tc>
          <w:tcPr>
            <w:tcW w:w="3685" w:type="dxa"/>
          </w:tcPr>
          <w:p w:rsidR="00D7261B" w:rsidRPr="00990D3B" w:rsidP="00561227" w14:paraId="64C6B5D8" w14:textId="3922492E">
            <w:pPr>
              <w:pStyle w:val="EQRTableText"/>
            </w:pPr>
            <w:hyperlink w:anchor="WSp7n03" w:tooltip="Worksheet 7.3. Data Element Master Checklist" w:history="1">
              <w:r w:rsidRPr="00990D3B">
                <w:rPr>
                  <w:rStyle w:val="Hyperlink"/>
                </w:rPr>
                <w:t>Worksheet 7.3. Data Element Master Checklist</w:t>
              </w:r>
            </w:hyperlink>
          </w:p>
        </w:tc>
        <w:tc>
          <w:tcPr>
            <w:tcW w:w="5665" w:type="dxa"/>
          </w:tcPr>
          <w:p w:rsidR="00D7261B" w:rsidRPr="00990D3B" w:rsidP="00DF0DF8" w14:paraId="363B1243" w14:textId="3DB6B15B">
            <w:pPr>
              <w:pStyle w:val="EQRTableText"/>
            </w:pPr>
            <w:hyperlink w:anchor="P7A1Step4" w:tooltip="Activity 1. Step 4. Initiate Review of Medical Record Data Collection" w:history="1">
              <w:r w:rsidRPr="00990D3B">
                <w:rPr>
                  <w:rStyle w:val="Hyperlink"/>
                </w:rPr>
                <w:t>Activity 1. Step 4. Initiate Review of Medical Record Data Collection</w:t>
              </w:r>
            </w:hyperlink>
          </w:p>
          <w:p w:rsidR="00D7261B" w:rsidRPr="00990D3B" w:rsidP="00DF0DF8" w14:paraId="1338524F" w14:textId="2DD4C18C">
            <w:pPr>
              <w:pStyle w:val="EQRTableText"/>
            </w:pPr>
            <w:hyperlink w:anchor="P7A3" w:tooltip="Activity 3. Post-Site Visit Activities" w:history="1">
              <w:r w:rsidRPr="00990D3B">
                <w:rPr>
                  <w:rStyle w:val="Hyperlink"/>
                </w:rPr>
                <w:t>Activity 3. Post-Site Visit Activities</w:t>
              </w:r>
            </w:hyperlink>
          </w:p>
        </w:tc>
      </w:tr>
      <w:tr w14:paraId="10C4AEEF" w14:textId="77777777" w:rsidTr="00B15B08">
        <w:tblPrEx>
          <w:tblW w:w="5000" w:type="pct"/>
          <w:tblLook w:val="04A0"/>
        </w:tblPrEx>
        <w:trPr>
          <w:cantSplit/>
        </w:trPr>
        <w:tc>
          <w:tcPr>
            <w:tcW w:w="3685" w:type="dxa"/>
          </w:tcPr>
          <w:p w:rsidR="00D7261B" w:rsidRPr="00990D3B" w:rsidP="00561227" w14:paraId="727B25A9" w14:textId="17BB3E5A">
            <w:pPr>
              <w:pStyle w:val="EQRTableText"/>
            </w:pPr>
            <w:hyperlink w:anchor="WSp7n04" w:tooltip="Worksheet 7.4. Data Availability and Data Quality" w:history="1">
              <w:r w:rsidRPr="00990D3B">
                <w:rPr>
                  <w:rStyle w:val="Hyperlink"/>
                </w:rPr>
                <w:t>Worksheet 7.4. Data Availability and Data Quality</w:t>
              </w:r>
            </w:hyperlink>
          </w:p>
        </w:tc>
        <w:tc>
          <w:tcPr>
            <w:tcW w:w="5665" w:type="dxa"/>
          </w:tcPr>
          <w:p w:rsidR="00D7261B" w:rsidRPr="00990D3B" w:rsidP="00DF0DF8" w14:paraId="7960C724" w14:textId="43A2D174">
            <w:pPr>
              <w:pStyle w:val="EQRTableText"/>
            </w:pPr>
            <w:hyperlink w:anchor="P7A2Step5" w:tooltip="Activity 2. Step 5. Prepare for the MCP Site Visit" w:history="1">
              <w:r w:rsidRPr="00990D3B">
                <w:rPr>
                  <w:rStyle w:val="Hyperlink"/>
                </w:rPr>
                <w:t>Activity 2. Step 5. Prepare for the MCP Site Visit</w:t>
              </w:r>
            </w:hyperlink>
          </w:p>
        </w:tc>
      </w:tr>
      <w:tr w14:paraId="31FDB340" w14:textId="77777777" w:rsidTr="00B15B08">
        <w:tblPrEx>
          <w:tblW w:w="5000" w:type="pct"/>
          <w:tblLook w:val="04A0"/>
        </w:tblPrEx>
        <w:trPr>
          <w:cantSplit/>
        </w:trPr>
        <w:tc>
          <w:tcPr>
            <w:tcW w:w="3685" w:type="dxa"/>
          </w:tcPr>
          <w:p w:rsidR="00D7261B" w:rsidRPr="00990D3B" w:rsidP="00561227" w14:paraId="6477CE3B" w14:textId="68163AB4">
            <w:pPr>
              <w:pStyle w:val="EQRTableText"/>
            </w:pPr>
            <w:hyperlink w:anchor="WSp7n05" w:tooltip="Worksheet 7.5. Illustrative File Format for Transmission of Claims Data" w:history="1">
              <w:r w:rsidRPr="00990D3B">
                <w:rPr>
                  <w:rStyle w:val="Hyperlink"/>
                </w:rPr>
                <w:t xml:space="preserve">Worksheet 7.5. </w:t>
              </w:r>
              <w:r w:rsidRPr="00990D3B">
                <w:rPr>
                  <w:rStyle w:val="Hyperlink"/>
                  <w:bCs/>
                </w:rPr>
                <w:t>Illustrative File Format for Transmission of Claims Data</w:t>
              </w:r>
            </w:hyperlink>
          </w:p>
        </w:tc>
        <w:tc>
          <w:tcPr>
            <w:tcW w:w="5665" w:type="dxa"/>
          </w:tcPr>
          <w:p w:rsidR="00D7261B" w:rsidRPr="00990D3B" w:rsidP="00DF0DF8" w14:paraId="632F8B3E" w14:textId="1744B0E4">
            <w:pPr>
              <w:pStyle w:val="EQRTableText"/>
            </w:pPr>
            <w:hyperlink w:anchor="P7A2Step1" w:tooltip="Activity 2. Step 1. Review Information Systems Underlying Performance Measurement" w:history="1">
              <w:r w:rsidRPr="00990D3B">
                <w:rPr>
                  <w:rStyle w:val="Hyperlink"/>
                </w:rPr>
                <w:t xml:space="preserve">Activity 2. Step 1. </w:t>
              </w:r>
              <w:r w:rsidRPr="00990D3B">
                <w:rPr>
                  <w:rStyle w:val="Hyperlink"/>
                </w:rPr>
                <w:t>Review</w:t>
              </w:r>
              <w:r w:rsidRPr="00990D3B">
                <w:rPr>
                  <w:rStyle w:val="Hyperlink"/>
                </w:rPr>
                <w:t xml:space="preserve"> Information Systems Underlying Performance Measurement</w:t>
              </w:r>
            </w:hyperlink>
          </w:p>
        </w:tc>
      </w:tr>
    </w:tbl>
    <w:p w:rsidR="00D7261B" w:rsidRPr="00990D3B" w:rsidP="00DF0DF8" w14:paraId="6CD25D0A" w14:textId="77777777">
      <w:pPr>
        <w:pStyle w:val="EQRNormalSSWORKSHEET"/>
      </w:pPr>
    </w:p>
    <w:p w:rsidR="006141E4" w:rsidRPr="00990D3B" w14:paraId="35303E0F" w14:textId="77777777">
      <w:pPr>
        <w:spacing w:line="240" w:lineRule="auto"/>
        <w:rPr>
          <w:rFonts w:ascii="Arial" w:eastAsia="Calibri" w:hAnsi="Arial"/>
          <w:sz w:val="18"/>
          <w:szCs w:val="18"/>
        </w:rPr>
      </w:pPr>
      <w:r w:rsidRPr="00990D3B">
        <w:br w:type="page"/>
      </w:r>
    </w:p>
    <w:p w:rsidR="00D7261B" w:rsidRPr="00990D3B" w:rsidP="00A54412" w14:paraId="72E26AA4" w14:textId="77777777">
      <w:pPr>
        <w:pStyle w:val="EQRMarkforExhibitWORKSHEET"/>
      </w:pPr>
      <w:bookmarkStart w:id="839" w:name="WSp7n01"/>
      <w:bookmarkStart w:id="840" w:name="_Toc125619186"/>
      <w:bookmarkStart w:id="841" w:name="_Toc201751549"/>
      <w:r w:rsidRPr="00990D3B">
        <w:t>Worksheet 7.1</w:t>
      </w:r>
      <w:bookmarkEnd w:id="839"/>
      <w:r w:rsidRPr="00990D3B">
        <w:t>. List of Performance Measures to be Calculated</w:t>
      </w:r>
      <w:bookmarkEnd w:id="840"/>
      <w:bookmarkEnd w:id="841"/>
    </w:p>
    <w:p w:rsidR="00D7261B" w:rsidRPr="00990D3B" w:rsidP="00DF0E89" w14:paraId="73220A17" w14:textId="1CE526A9">
      <w:pPr>
        <w:pStyle w:val="EQRNormalSSWORKSHEET"/>
      </w:pPr>
      <w:r w:rsidRPr="00990D3B">
        <w:rPr>
          <w:b/>
          <w:bCs/>
        </w:rPr>
        <w:t xml:space="preserve">Instructions. </w:t>
      </w:r>
      <w:r w:rsidRPr="00990D3B" w:rsidR="00BF74CF">
        <w:t xml:space="preserve">Use this worksheet </w:t>
      </w:r>
      <w:r w:rsidRPr="00990D3B">
        <w:t xml:space="preserve">to identify the </w:t>
      </w:r>
      <w:r w:rsidRPr="00990D3B" w:rsidR="001A4E60">
        <w:t xml:space="preserve">performance </w:t>
      </w:r>
      <w:r w:rsidRPr="00990D3B">
        <w:t xml:space="preserve">measures to be calculated, including the measure source, how frequently the measure is reported, and the reporting deadline. </w:t>
      </w:r>
      <w:r w:rsidRPr="00990D3B" w:rsidR="001A4E60">
        <w:t xml:space="preserve">Include NQF number (if applicable), and measure steward. </w:t>
      </w:r>
      <w:r w:rsidRPr="00990D3B" w:rsidR="00BF74CF">
        <w:t>N</w:t>
      </w:r>
      <w:r w:rsidRPr="00990D3B" w:rsidR="001A4E60">
        <w:t>ote whether the measure uses HEDIS®</w:t>
      </w:r>
      <w:r w:rsidRPr="00990D3B" w:rsidR="001A4E60">
        <w:rPr>
          <w:vertAlign w:val="superscript"/>
        </w:rPr>
        <w:t xml:space="preserve"> </w:t>
      </w:r>
      <w:r w:rsidRPr="00990D3B" w:rsidR="001A4E60">
        <w:t xml:space="preserve">or Child/Adult Core Set specifications or if it is homegrown. </w:t>
      </w:r>
      <w:r w:rsidRPr="00990D3B">
        <w:t xml:space="preserve">Complete the worksheet for each </w:t>
      </w:r>
      <w:r w:rsidRPr="00990D3B" w:rsidR="001A4E60">
        <w:t xml:space="preserve">performance </w:t>
      </w:r>
      <w:r w:rsidRPr="00990D3B">
        <w:t>measure to be calculated, adapt</w:t>
      </w:r>
      <w:r w:rsidRPr="00990D3B" w:rsidR="001A4E60">
        <w:t xml:space="preserve">ing </w:t>
      </w:r>
      <w:r w:rsidRPr="00990D3B">
        <w:t xml:space="preserve">as needed. </w:t>
      </w:r>
    </w:p>
    <w:p w:rsidR="008430E8" w:rsidRPr="00990D3B" w:rsidP="00F3252F" w14:paraId="65E67221" w14:textId="2C175341">
      <w:pPr>
        <w:pStyle w:val="EQRNormalSSWORKSHEET"/>
        <w:spacing w:before="0" w:line="240" w:lineRule="auto"/>
      </w:pPr>
      <w:r w:rsidRPr="00990D3B">
        <w:t>Acronyms:</w:t>
      </w:r>
      <w:r w:rsidRPr="00990D3B" w:rsidR="002060F5">
        <w:t xml:space="preserve"> HEDIS</w:t>
      </w:r>
      <w:r w:rsidRPr="00990D3B" w:rsidR="007249DE">
        <w:t xml:space="preserve"> </w:t>
      </w:r>
      <w:r w:rsidRPr="00990D3B" w:rsidR="002060F5">
        <w:t xml:space="preserve">= Healthcare Effectiveness Data and Information Set; </w:t>
      </w:r>
      <w:r w:rsidRPr="00990D3B">
        <w:t>NQF</w:t>
      </w:r>
      <w:r w:rsidRPr="00990D3B" w:rsidR="007249DE">
        <w:t xml:space="preserve"> </w:t>
      </w:r>
      <w:r w:rsidRPr="00990D3B">
        <w:t>= National Quality Forum</w:t>
      </w:r>
      <w:r w:rsidRPr="00990D3B" w:rsidR="00643E59">
        <w:t>; MCP</w:t>
      </w:r>
      <w:r w:rsidRPr="00990D3B">
        <w:t xml:space="preserve"> = Managed Care Plan; NA = Not Applicable. </w:t>
      </w:r>
    </w:p>
    <w:tbl>
      <w:tblPr>
        <w:tblStyle w:val="TableGrid"/>
        <w:tblW w:w="5000" w:type="pct"/>
        <w:tblLook w:val="04A0"/>
      </w:tblPr>
      <w:tblGrid>
        <w:gridCol w:w="1102"/>
        <w:gridCol w:w="990"/>
        <w:gridCol w:w="3150"/>
        <w:gridCol w:w="1800"/>
        <w:gridCol w:w="1065"/>
        <w:gridCol w:w="1243"/>
      </w:tblGrid>
      <w:tr w14:paraId="258FFD2C" w14:textId="77777777" w:rsidTr="00697F16">
        <w:tblPrEx>
          <w:tblW w:w="5000" w:type="pct"/>
          <w:tblLook w:val="04A0"/>
        </w:tblPrEx>
        <w:trPr>
          <w:cantSplit/>
        </w:trPr>
        <w:tc>
          <w:tcPr>
            <w:tcW w:w="1102" w:type="dxa"/>
            <w:shd w:val="clear" w:color="auto" w:fill="FFFFFF" w:themeFill="background1"/>
            <w:vAlign w:val="bottom"/>
          </w:tcPr>
          <w:p w:rsidR="00D7261B" w:rsidRPr="00990D3B" w:rsidP="004959A0" w14:paraId="7BE9FF93" w14:textId="77777777">
            <w:pPr>
              <w:pStyle w:val="EQRTableText"/>
              <w:rPr>
                <w:b/>
                <w:bCs/>
              </w:rPr>
            </w:pPr>
            <w:r w:rsidRPr="00990D3B">
              <w:rPr>
                <w:b/>
                <w:bCs/>
              </w:rPr>
              <w:t>NQF # (</w:t>
            </w:r>
            <w:r w:rsidRPr="00990D3B">
              <w:rPr>
                <w:b/>
                <w:bCs/>
              </w:rPr>
              <w:t>if applicable)</w:t>
            </w:r>
          </w:p>
        </w:tc>
        <w:tc>
          <w:tcPr>
            <w:tcW w:w="990" w:type="dxa"/>
            <w:shd w:val="clear" w:color="auto" w:fill="FFFFFF" w:themeFill="background1"/>
            <w:vAlign w:val="bottom"/>
          </w:tcPr>
          <w:p w:rsidR="00D7261B" w:rsidRPr="00990D3B" w:rsidP="004959A0" w14:paraId="5AFEA7E8" w14:textId="460B3B95">
            <w:pPr>
              <w:pStyle w:val="EQRTableText"/>
              <w:jc w:val="center"/>
              <w:rPr>
                <w:b/>
                <w:bCs/>
              </w:rPr>
            </w:pPr>
            <w:r w:rsidRPr="00990D3B">
              <w:rPr>
                <w:b/>
                <w:bCs/>
              </w:rPr>
              <w:t xml:space="preserve">Measure </w:t>
            </w:r>
            <w:r w:rsidRPr="00990D3B" w:rsidR="00DA0C32">
              <w:rPr>
                <w:b/>
                <w:bCs/>
              </w:rPr>
              <w:t>s</w:t>
            </w:r>
            <w:r w:rsidRPr="00990D3B">
              <w:rPr>
                <w:b/>
                <w:bCs/>
              </w:rPr>
              <w:t>teward</w:t>
            </w:r>
          </w:p>
        </w:tc>
        <w:tc>
          <w:tcPr>
            <w:tcW w:w="3150" w:type="dxa"/>
            <w:shd w:val="clear" w:color="auto" w:fill="FFFFFF" w:themeFill="background1"/>
            <w:vAlign w:val="bottom"/>
          </w:tcPr>
          <w:p w:rsidR="00D7261B" w:rsidRPr="00990D3B" w:rsidP="004959A0" w14:paraId="767C52B5" w14:textId="48CE491B">
            <w:pPr>
              <w:pStyle w:val="EQRTableText"/>
              <w:jc w:val="center"/>
              <w:rPr>
                <w:b/>
                <w:bCs/>
              </w:rPr>
            </w:pPr>
            <w:r w:rsidRPr="00990D3B">
              <w:rPr>
                <w:b/>
                <w:bCs/>
              </w:rPr>
              <w:t xml:space="preserve">Performance </w:t>
            </w:r>
            <w:r w:rsidRPr="00990D3B" w:rsidR="00DA0C32">
              <w:rPr>
                <w:b/>
                <w:bCs/>
              </w:rPr>
              <w:t>m</w:t>
            </w:r>
            <w:r w:rsidRPr="00990D3B">
              <w:rPr>
                <w:b/>
                <w:bCs/>
              </w:rPr>
              <w:t>easure</w:t>
            </w:r>
          </w:p>
        </w:tc>
        <w:tc>
          <w:tcPr>
            <w:tcW w:w="1800" w:type="dxa"/>
            <w:shd w:val="clear" w:color="auto" w:fill="FFFFFF" w:themeFill="background1"/>
            <w:vAlign w:val="bottom"/>
          </w:tcPr>
          <w:p w:rsidR="00D7261B" w:rsidRPr="00990D3B" w:rsidP="004959A0" w14:paraId="1A7DEB62" w14:textId="09A77A69">
            <w:pPr>
              <w:pStyle w:val="EQRTableText"/>
              <w:jc w:val="center"/>
              <w:rPr>
                <w:b/>
                <w:bCs/>
              </w:rPr>
            </w:pPr>
            <w:r w:rsidRPr="00990D3B">
              <w:rPr>
                <w:b/>
                <w:bCs/>
              </w:rPr>
              <w:t xml:space="preserve">Measure </w:t>
            </w:r>
            <w:r w:rsidRPr="00990D3B" w:rsidR="00DA0C32">
              <w:rPr>
                <w:b/>
                <w:bCs/>
              </w:rPr>
              <w:t>s</w:t>
            </w:r>
            <w:r w:rsidRPr="00990D3B">
              <w:rPr>
                <w:b/>
                <w:bCs/>
              </w:rPr>
              <w:t>ource</w:t>
            </w:r>
          </w:p>
        </w:tc>
        <w:tc>
          <w:tcPr>
            <w:tcW w:w="1065" w:type="dxa"/>
            <w:shd w:val="clear" w:color="auto" w:fill="FFFFFF" w:themeFill="background1"/>
            <w:vAlign w:val="bottom"/>
          </w:tcPr>
          <w:p w:rsidR="00D7261B" w:rsidRPr="00990D3B" w:rsidP="004959A0" w14:paraId="6BBBCB5E" w14:textId="4408AFFF">
            <w:pPr>
              <w:pStyle w:val="EQRTableText"/>
              <w:jc w:val="center"/>
              <w:rPr>
                <w:b/>
                <w:bCs/>
              </w:rPr>
            </w:pPr>
            <w:r w:rsidRPr="00990D3B">
              <w:rPr>
                <w:b/>
                <w:bCs/>
              </w:rPr>
              <w:t xml:space="preserve">Reporting </w:t>
            </w:r>
            <w:r w:rsidRPr="00990D3B" w:rsidR="00DA0C32">
              <w:rPr>
                <w:b/>
                <w:bCs/>
              </w:rPr>
              <w:t>f</w:t>
            </w:r>
            <w:r w:rsidRPr="00990D3B">
              <w:rPr>
                <w:b/>
                <w:bCs/>
              </w:rPr>
              <w:t>requency</w:t>
            </w:r>
          </w:p>
        </w:tc>
        <w:tc>
          <w:tcPr>
            <w:tcW w:w="1243" w:type="dxa"/>
            <w:shd w:val="clear" w:color="auto" w:fill="FFFFFF" w:themeFill="background1"/>
            <w:vAlign w:val="bottom"/>
          </w:tcPr>
          <w:p w:rsidR="00D7261B" w:rsidRPr="00990D3B" w:rsidP="004959A0" w14:paraId="1E75BAE7" w14:textId="36C06552">
            <w:pPr>
              <w:pStyle w:val="EQRTableText"/>
              <w:jc w:val="center"/>
              <w:rPr>
                <w:b/>
                <w:bCs/>
              </w:rPr>
            </w:pPr>
            <w:r w:rsidRPr="00990D3B">
              <w:rPr>
                <w:b/>
                <w:bCs/>
              </w:rPr>
              <w:t xml:space="preserve">Reporting </w:t>
            </w:r>
            <w:r w:rsidRPr="00990D3B" w:rsidR="00DA0C32">
              <w:rPr>
                <w:b/>
                <w:bCs/>
              </w:rPr>
              <w:t>d</w:t>
            </w:r>
            <w:r w:rsidRPr="00990D3B">
              <w:rPr>
                <w:b/>
                <w:bCs/>
              </w:rPr>
              <w:t>eadline</w:t>
            </w:r>
          </w:p>
        </w:tc>
      </w:tr>
      <w:tr w14:paraId="127A5D3E" w14:textId="77777777" w:rsidTr="004959A0">
        <w:tblPrEx>
          <w:tblW w:w="5000" w:type="pct"/>
          <w:tblLook w:val="04A0"/>
        </w:tblPrEx>
        <w:trPr>
          <w:cantSplit/>
        </w:trPr>
        <w:tc>
          <w:tcPr>
            <w:tcW w:w="1102" w:type="dxa"/>
          </w:tcPr>
          <w:p w:rsidR="00D7261B" w:rsidRPr="00990D3B" w:rsidP="004959A0" w14:paraId="1FF03EE1" w14:textId="77777777">
            <w:pPr>
              <w:pStyle w:val="EQRTableText"/>
            </w:pPr>
            <w:r w:rsidRPr="00990D3B">
              <w:t> </w:t>
            </w:r>
          </w:p>
        </w:tc>
        <w:tc>
          <w:tcPr>
            <w:tcW w:w="990" w:type="dxa"/>
          </w:tcPr>
          <w:p w:rsidR="00D7261B" w:rsidRPr="00990D3B" w:rsidP="004959A0" w14:paraId="5EA8F290" w14:textId="77777777">
            <w:pPr>
              <w:pStyle w:val="EQRTableText"/>
            </w:pPr>
            <w:r w:rsidRPr="00990D3B">
              <w:t> </w:t>
            </w:r>
          </w:p>
        </w:tc>
        <w:tc>
          <w:tcPr>
            <w:tcW w:w="3150" w:type="dxa"/>
          </w:tcPr>
          <w:p w:rsidR="00D7261B" w:rsidRPr="00990D3B" w:rsidP="004959A0" w14:paraId="126E5A54" w14:textId="77777777">
            <w:pPr>
              <w:pStyle w:val="EQRTableText"/>
            </w:pPr>
            <w:r w:rsidRPr="00990D3B">
              <w:t> </w:t>
            </w:r>
          </w:p>
        </w:tc>
        <w:tc>
          <w:tcPr>
            <w:tcW w:w="1800" w:type="dxa"/>
          </w:tcPr>
          <w:p w:rsidR="00D7261B" w:rsidRPr="00990D3B" w:rsidP="004959A0" w14:paraId="2E8BFE17" w14:textId="77777777">
            <w:pPr>
              <w:pStyle w:val="EQRTableText"/>
            </w:pPr>
            <w:r w:rsidRPr="00990D3B">
              <w:t> </w:t>
            </w:r>
          </w:p>
        </w:tc>
        <w:tc>
          <w:tcPr>
            <w:tcW w:w="1065" w:type="dxa"/>
          </w:tcPr>
          <w:p w:rsidR="00D7261B" w:rsidRPr="00990D3B" w:rsidP="004959A0" w14:paraId="4B9F8D53" w14:textId="77777777">
            <w:pPr>
              <w:pStyle w:val="EQRTableText"/>
            </w:pPr>
            <w:r w:rsidRPr="00990D3B">
              <w:t> </w:t>
            </w:r>
          </w:p>
        </w:tc>
        <w:tc>
          <w:tcPr>
            <w:tcW w:w="1243" w:type="dxa"/>
          </w:tcPr>
          <w:p w:rsidR="00D7261B" w:rsidRPr="00990D3B" w:rsidP="004959A0" w14:paraId="42FD823E" w14:textId="77777777">
            <w:pPr>
              <w:pStyle w:val="EQRTableText"/>
            </w:pPr>
            <w:r w:rsidRPr="00990D3B">
              <w:t> </w:t>
            </w:r>
          </w:p>
        </w:tc>
      </w:tr>
      <w:tr w14:paraId="5F3B7B21" w14:textId="77777777" w:rsidTr="004959A0">
        <w:tblPrEx>
          <w:tblW w:w="5000" w:type="pct"/>
          <w:tblLook w:val="04A0"/>
        </w:tblPrEx>
        <w:trPr>
          <w:cantSplit/>
        </w:trPr>
        <w:tc>
          <w:tcPr>
            <w:tcW w:w="1102" w:type="dxa"/>
          </w:tcPr>
          <w:p w:rsidR="00D7261B" w:rsidRPr="00990D3B" w:rsidP="004959A0" w14:paraId="7B57C965" w14:textId="77777777">
            <w:pPr>
              <w:pStyle w:val="EQRTableText"/>
            </w:pPr>
            <w:r w:rsidRPr="00990D3B">
              <w:t> </w:t>
            </w:r>
          </w:p>
        </w:tc>
        <w:tc>
          <w:tcPr>
            <w:tcW w:w="990" w:type="dxa"/>
          </w:tcPr>
          <w:p w:rsidR="00D7261B" w:rsidRPr="00990D3B" w:rsidP="004959A0" w14:paraId="71D61888" w14:textId="77777777">
            <w:pPr>
              <w:pStyle w:val="EQRTableText"/>
            </w:pPr>
            <w:r w:rsidRPr="00990D3B">
              <w:t> </w:t>
            </w:r>
          </w:p>
        </w:tc>
        <w:tc>
          <w:tcPr>
            <w:tcW w:w="3150" w:type="dxa"/>
          </w:tcPr>
          <w:p w:rsidR="00D7261B" w:rsidRPr="00990D3B" w:rsidP="004959A0" w14:paraId="3D780887" w14:textId="77777777">
            <w:pPr>
              <w:pStyle w:val="EQRTableText"/>
            </w:pPr>
            <w:r w:rsidRPr="00990D3B">
              <w:t> </w:t>
            </w:r>
          </w:p>
        </w:tc>
        <w:tc>
          <w:tcPr>
            <w:tcW w:w="1800" w:type="dxa"/>
          </w:tcPr>
          <w:p w:rsidR="00D7261B" w:rsidRPr="00990D3B" w:rsidP="004959A0" w14:paraId="40EBE4E8" w14:textId="77777777">
            <w:pPr>
              <w:pStyle w:val="EQRTableText"/>
            </w:pPr>
            <w:r w:rsidRPr="00990D3B">
              <w:t> </w:t>
            </w:r>
          </w:p>
        </w:tc>
        <w:tc>
          <w:tcPr>
            <w:tcW w:w="1065" w:type="dxa"/>
          </w:tcPr>
          <w:p w:rsidR="00D7261B" w:rsidRPr="00990D3B" w:rsidP="004959A0" w14:paraId="34B96529" w14:textId="77777777">
            <w:pPr>
              <w:pStyle w:val="EQRTableText"/>
            </w:pPr>
            <w:r w:rsidRPr="00990D3B">
              <w:t> </w:t>
            </w:r>
          </w:p>
        </w:tc>
        <w:tc>
          <w:tcPr>
            <w:tcW w:w="1243" w:type="dxa"/>
          </w:tcPr>
          <w:p w:rsidR="00D7261B" w:rsidRPr="00990D3B" w:rsidP="004959A0" w14:paraId="476A974F" w14:textId="77777777">
            <w:pPr>
              <w:pStyle w:val="EQRTableText"/>
            </w:pPr>
            <w:r w:rsidRPr="00990D3B">
              <w:t> </w:t>
            </w:r>
          </w:p>
        </w:tc>
      </w:tr>
      <w:tr w14:paraId="32794791" w14:textId="77777777" w:rsidTr="004959A0">
        <w:tblPrEx>
          <w:tblW w:w="5000" w:type="pct"/>
          <w:tblLook w:val="04A0"/>
        </w:tblPrEx>
        <w:trPr>
          <w:cantSplit/>
        </w:trPr>
        <w:tc>
          <w:tcPr>
            <w:tcW w:w="1102" w:type="dxa"/>
          </w:tcPr>
          <w:p w:rsidR="00D7261B" w:rsidRPr="00990D3B" w:rsidP="004959A0" w14:paraId="07EF7B21" w14:textId="77777777">
            <w:pPr>
              <w:pStyle w:val="EQRTableText"/>
            </w:pPr>
            <w:r w:rsidRPr="00990D3B">
              <w:t> </w:t>
            </w:r>
          </w:p>
        </w:tc>
        <w:tc>
          <w:tcPr>
            <w:tcW w:w="990" w:type="dxa"/>
          </w:tcPr>
          <w:p w:rsidR="00D7261B" w:rsidRPr="00990D3B" w:rsidP="004959A0" w14:paraId="0953682C" w14:textId="77777777">
            <w:pPr>
              <w:pStyle w:val="EQRTableText"/>
            </w:pPr>
            <w:r w:rsidRPr="00990D3B">
              <w:t> </w:t>
            </w:r>
          </w:p>
        </w:tc>
        <w:tc>
          <w:tcPr>
            <w:tcW w:w="3150" w:type="dxa"/>
          </w:tcPr>
          <w:p w:rsidR="00D7261B" w:rsidRPr="00990D3B" w:rsidP="004959A0" w14:paraId="5FD028E3" w14:textId="77777777">
            <w:pPr>
              <w:pStyle w:val="EQRTableText"/>
            </w:pPr>
            <w:r w:rsidRPr="00990D3B">
              <w:t> </w:t>
            </w:r>
          </w:p>
        </w:tc>
        <w:tc>
          <w:tcPr>
            <w:tcW w:w="1800" w:type="dxa"/>
          </w:tcPr>
          <w:p w:rsidR="00D7261B" w:rsidRPr="00990D3B" w:rsidP="004959A0" w14:paraId="4FBD828D" w14:textId="77777777">
            <w:pPr>
              <w:pStyle w:val="EQRTableText"/>
            </w:pPr>
            <w:r w:rsidRPr="00990D3B">
              <w:t> </w:t>
            </w:r>
          </w:p>
        </w:tc>
        <w:tc>
          <w:tcPr>
            <w:tcW w:w="1065" w:type="dxa"/>
          </w:tcPr>
          <w:p w:rsidR="00D7261B" w:rsidRPr="00990D3B" w:rsidP="004959A0" w14:paraId="34463F41" w14:textId="77777777">
            <w:pPr>
              <w:pStyle w:val="EQRTableText"/>
            </w:pPr>
            <w:r w:rsidRPr="00990D3B">
              <w:t> </w:t>
            </w:r>
          </w:p>
        </w:tc>
        <w:tc>
          <w:tcPr>
            <w:tcW w:w="1243" w:type="dxa"/>
          </w:tcPr>
          <w:p w:rsidR="00D7261B" w:rsidRPr="00990D3B" w:rsidP="004959A0" w14:paraId="05F566E6" w14:textId="77777777">
            <w:pPr>
              <w:pStyle w:val="EQRTableText"/>
            </w:pPr>
            <w:r w:rsidRPr="00990D3B">
              <w:t> </w:t>
            </w:r>
          </w:p>
        </w:tc>
      </w:tr>
      <w:tr w14:paraId="1AFD3584" w14:textId="77777777" w:rsidTr="004959A0">
        <w:tblPrEx>
          <w:tblW w:w="5000" w:type="pct"/>
          <w:tblLook w:val="04A0"/>
        </w:tblPrEx>
        <w:trPr>
          <w:cantSplit/>
        </w:trPr>
        <w:tc>
          <w:tcPr>
            <w:tcW w:w="1102" w:type="dxa"/>
          </w:tcPr>
          <w:p w:rsidR="00D7261B" w:rsidRPr="00990D3B" w:rsidP="004959A0" w14:paraId="71BB607C" w14:textId="77777777">
            <w:pPr>
              <w:pStyle w:val="EQRTableText"/>
            </w:pPr>
            <w:r w:rsidRPr="00990D3B">
              <w:t> </w:t>
            </w:r>
          </w:p>
        </w:tc>
        <w:tc>
          <w:tcPr>
            <w:tcW w:w="990" w:type="dxa"/>
          </w:tcPr>
          <w:p w:rsidR="00D7261B" w:rsidRPr="00990D3B" w:rsidP="004959A0" w14:paraId="3C717AF2" w14:textId="77777777">
            <w:pPr>
              <w:pStyle w:val="EQRTableText"/>
            </w:pPr>
            <w:r w:rsidRPr="00990D3B">
              <w:t> </w:t>
            </w:r>
          </w:p>
        </w:tc>
        <w:tc>
          <w:tcPr>
            <w:tcW w:w="3150" w:type="dxa"/>
          </w:tcPr>
          <w:p w:rsidR="00D7261B" w:rsidRPr="00990D3B" w:rsidP="004959A0" w14:paraId="6886602A" w14:textId="77777777">
            <w:pPr>
              <w:pStyle w:val="EQRTableText"/>
            </w:pPr>
            <w:r w:rsidRPr="00990D3B">
              <w:t> </w:t>
            </w:r>
          </w:p>
        </w:tc>
        <w:tc>
          <w:tcPr>
            <w:tcW w:w="1800" w:type="dxa"/>
          </w:tcPr>
          <w:p w:rsidR="00D7261B" w:rsidRPr="00990D3B" w:rsidP="004959A0" w14:paraId="06242BB0" w14:textId="77777777">
            <w:pPr>
              <w:pStyle w:val="EQRTableText"/>
            </w:pPr>
            <w:r w:rsidRPr="00990D3B">
              <w:t> </w:t>
            </w:r>
          </w:p>
        </w:tc>
        <w:tc>
          <w:tcPr>
            <w:tcW w:w="1065" w:type="dxa"/>
          </w:tcPr>
          <w:p w:rsidR="00D7261B" w:rsidRPr="00990D3B" w:rsidP="004959A0" w14:paraId="34ACBF27" w14:textId="77777777">
            <w:pPr>
              <w:pStyle w:val="EQRTableText"/>
            </w:pPr>
            <w:r w:rsidRPr="00990D3B">
              <w:t> </w:t>
            </w:r>
          </w:p>
        </w:tc>
        <w:tc>
          <w:tcPr>
            <w:tcW w:w="1243" w:type="dxa"/>
          </w:tcPr>
          <w:p w:rsidR="00D7261B" w:rsidRPr="00990D3B" w:rsidP="004959A0" w14:paraId="622E0831" w14:textId="77777777">
            <w:pPr>
              <w:pStyle w:val="EQRTableText"/>
            </w:pPr>
            <w:r w:rsidRPr="00990D3B">
              <w:t> </w:t>
            </w:r>
          </w:p>
        </w:tc>
      </w:tr>
    </w:tbl>
    <w:p w:rsidR="00AC78CD" w:rsidRPr="00990D3B" w:rsidP="00B5252D" w14:paraId="28F42D51" w14:textId="77777777">
      <w:pPr>
        <w:pStyle w:val="ParagraphContinued"/>
      </w:pPr>
    </w:p>
    <w:p w:rsidR="002060F5" w:rsidRPr="00990D3B" w:rsidP="008E2051" w14:paraId="691EB09F" w14:textId="2872A2D5">
      <w:pPr>
        <w:pStyle w:val="EQRMarkforExhibitWORKSHEET"/>
      </w:pPr>
      <w:bookmarkStart w:id="842" w:name="_Toc201751550"/>
      <w:r w:rsidRPr="00990D3B">
        <w:t xml:space="preserve">Example </w:t>
      </w:r>
      <w:r w:rsidRPr="00990D3B" w:rsidR="00AC78CD">
        <w:t xml:space="preserve">Worksheet 7.1 List </w:t>
      </w:r>
      <w:r w:rsidRPr="00990D3B">
        <w:t>of Performance Measure to be Calculated</w:t>
      </w:r>
      <w:bookmarkEnd w:id="842"/>
      <w:r w:rsidRPr="00990D3B">
        <w:t xml:space="preserve"> </w:t>
      </w:r>
    </w:p>
    <w:tbl>
      <w:tblPr>
        <w:tblStyle w:val="TableGrid"/>
        <w:tblW w:w="5000" w:type="pct"/>
        <w:tblLook w:val="04A0"/>
      </w:tblPr>
      <w:tblGrid>
        <w:gridCol w:w="1075"/>
        <w:gridCol w:w="990"/>
        <w:gridCol w:w="3240"/>
        <w:gridCol w:w="1800"/>
        <w:gridCol w:w="990"/>
        <w:gridCol w:w="1255"/>
      </w:tblGrid>
      <w:tr w14:paraId="491FC78F" w14:textId="77777777" w:rsidTr="001A4E60">
        <w:tblPrEx>
          <w:tblW w:w="5000" w:type="pct"/>
          <w:tblLook w:val="04A0"/>
        </w:tblPrEx>
        <w:trPr>
          <w:cantSplit/>
        </w:trPr>
        <w:tc>
          <w:tcPr>
            <w:tcW w:w="1075" w:type="dxa"/>
            <w:shd w:val="clear" w:color="auto" w:fill="FFFFFF" w:themeFill="background1"/>
            <w:vAlign w:val="bottom"/>
          </w:tcPr>
          <w:p w:rsidR="001A4E60" w:rsidRPr="00990D3B" w:rsidP="001A4E60" w14:paraId="3637674F" w14:textId="626255B9">
            <w:pPr>
              <w:pStyle w:val="EQRTableText"/>
              <w:rPr>
                <w:b/>
                <w:bCs/>
              </w:rPr>
            </w:pPr>
            <w:r w:rsidRPr="00990D3B">
              <w:rPr>
                <w:b/>
                <w:bCs/>
              </w:rPr>
              <w:t>NQF # (</w:t>
            </w:r>
            <w:r w:rsidRPr="00990D3B">
              <w:rPr>
                <w:b/>
                <w:bCs/>
              </w:rPr>
              <w:t>if applicable)</w:t>
            </w:r>
          </w:p>
        </w:tc>
        <w:tc>
          <w:tcPr>
            <w:tcW w:w="990" w:type="dxa"/>
            <w:shd w:val="clear" w:color="auto" w:fill="FFFFFF" w:themeFill="background1"/>
            <w:vAlign w:val="bottom"/>
          </w:tcPr>
          <w:p w:rsidR="001A4E60" w:rsidRPr="00990D3B" w:rsidP="001A4E60" w14:paraId="06830ECE" w14:textId="46568B32">
            <w:pPr>
              <w:pStyle w:val="EQRTableText"/>
              <w:jc w:val="center"/>
              <w:rPr>
                <w:b/>
                <w:bCs/>
              </w:rPr>
            </w:pPr>
            <w:r w:rsidRPr="00990D3B">
              <w:rPr>
                <w:b/>
                <w:bCs/>
              </w:rPr>
              <w:t>Measure steward</w:t>
            </w:r>
          </w:p>
        </w:tc>
        <w:tc>
          <w:tcPr>
            <w:tcW w:w="3240" w:type="dxa"/>
            <w:shd w:val="clear" w:color="auto" w:fill="FFFFFF" w:themeFill="background1"/>
            <w:vAlign w:val="bottom"/>
          </w:tcPr>
          <w:p w:rsidR="001A4E60" w:rsidRPr="00990D3B" w:rsidP="001A4E60" w14:paraId="6CDBA4CA" w14:textId="4CA2758C">
            <w:pPr>
              <w:pStyle w:val="EQRTableText"/>
              <w:jc w:val="center"/>
              <w:rPr>
                <w:b/>
                <w:bCs/>
              </w:rPr>
            </w:pPr>
            <w:r w:rsidRPr="00990D3B">
              <w:rPr>
                <w:b/>
                <w:bCs/>
              </w:rPr>
              <w:t>Performance measure</w:t>
            </w:r>
          </w:p>
        </w:tc>
        <w:tc>
          <w:tcPr>
            <w:tcW w:w="1800" w:type="dxa"/>
            <w:shd w:val="clear" w:color="auto" w:fill="FFFFFF" w:themeFill="background1"/>
            <w:vAlign w:val="bottom"/>
          </w:tcPr>
          <w:p w:rsidR="001A4E60" w:rsidRPr="00990D3B" w:rsidP="001A4E60" w14:paraId="414DBCD0" w14:textId="65B2B050">
            <w:pPr>
              <w:pStyle w:val="EQRTableText"/>
              <w:jc w:val="center"/>
              <w:rPr>
                <w:b/>
                <w:bCs/>
              </w:rPr>
            </w:pPr>
            <w:r w:rsidRPr="00990D3B">
              <w:rPr>
                <w:b/>
                <w:bCs/>
              </w:rPr>
              <w:t>Measure source</w:t>
            </w:r>
          </w:p>
        </w:tc>
        <w:tc>
          <w:tcPr>
            <w:tcW w:w="990" w:type="dxa"/>
            <w:shd w:val="clear" w:color="auto" w:fill="FFFFFF" w:themeFill="background1"/>
            <w:vAlign w:val="bottom"/>
          </w:tcPr>
          <w:p w:rsidR="001A4E60" w:rsidRPr="00990D3B" w:rsidP="001A4E60" w14:paraId="5E5152E6" w14:textId="3B0C9CDF">
            <w:pPr>
              <w:pStyle w:val="EQRTableText"/>
              <w:jc w:val="center"/>
              <w:rPr>
                <w:b/>
                <w:bCs/>
              </w:rPr>
            </w:pPr>
            <w:r w:rsidRPr="00990D3B">
              <w:rPr>
                <w:b/>
                <w:bCs/>
              </w:rPr>
              <w:t>Reporting frequency</w:t>
            </w:r>
          </w:p>
        </w:tc>
        <w:tc>
          <w:tcPr>
            <w:tcW w:w="1255" w:type="dxa"/>
            <w:shd w:val="clear" w:color="auto" w:fill="FFFFFF" w:themeFill="background1"/>
            <w:vAlign w:val="bottom"/>
          </w:tcPr>
          <w:p w:rsidR="001A4E60" w:rsidRPr="00990D3B" w:rsidP="001A4E60" w14:paraId="70E62B80" w14:textId="680FD969">
            <w:pPr>
              <w:pStyle w:val="EQRTableText"/>
              <w:jc w:val="center"/>
              <w:rPr>
                <w:b/>
                <w:bCs/>
              </w:rPr>
            </w:pPr>
            <w:r w:rsidRPr="00990D3B">
              <w:rPr>
                <w:b/>
                <w:bCs/>
              </w:rPr>
              <w:t>Reporting deadline</w:t>
            </w:r>
          </w:p>
        </w:tc>
      </w:tr>
      <w:tr w14:paraId="24A5A949" w14:textId="77777777" w:rsidTr="001A4E60">
        <w:tblPrEx>
          <w:tblW w:w="5000" w:type="pct"/>
          <w:tblLook w:val="04A0"/>
        </w:tblPrEx>
        <w:trPr>
          <w:cantSplit/>
        </w:trPr>
        <w:tc>
          <w:tcPr>
            <w:tcW w:w="1075" w:type="dxa"/>
          </w:tcPr>
          <w:p w:rsidR="00D7261B" w:rsidRPr="00990D3B" w:rsidP="00DF0E89" w14:paraId="63378EBE" w14:textId="77777777">
            <w:pPr>
              <w:pStyle w:val="EQRTableText"/>
            </w:pPr>
            <w:r w:rsidRPr="00990D3B">
              <w:t>0038</w:t>
            </w:r>
          </w:p>
        </w:tc>
        <w:tc>
          <w:tcPr>
            <w:tcW w:w="990" w:type="dxa"/>
          </w:tcPr>
          <w:p w:rsidR="00D7261B" w:rsidRPr="00990D3B" w:rsidP="00DF0E89" w14:paraId="656BE809" w14:textId="77777777">
            <w:pPr>
              <w:pStyle w:val="EQRTableText"/>
            </w:pPr>
            <w:r w:rsidRPr="00990D3B">
              <w:t>NCQA</w:t>
            </w:r>
          </w:p>
        </w:tc>
        <w:tc>
          <w:tcPr>
            <w:tcW w:w="3240" w:type="dxa"/>
          </w:tcPr>
          <w:p w:rsidR="00D7261B" w:rsidRPr="00990D3B" w:rsidP="00DF0E89" w14:paraId="77B19960" w14:textId="77777777">
            <w:pPr>
              <w:pStyle w:val="EQRTableText"/>
            </w:pPr>
            <w:r w:rsidRPr="00990D3B">
              <w:t>Childhood Immunization Status (CIS-CH)</w:t>
            </w:r>
          </w:p>
        </w:tc>
        <w:tc>
          <w:tcPr>
            <w:tcW w:w="1800" w:type="dxa"/>
          </w:tcPr>
          <w:p w:rsidR="00D7261B" w:rsidRPr="00990D3B" w:rsidP="00DF0E89" w14:paraId="7355FE98" w14:textId="698E3253">
            <w:pPr>
              <w:pStyle w:val="EQRTableText"/>
            </w:pPr>
            <w:r w:rsidRPr="00990D3B">
              <w:t xml:space="preserve">HEDIS® </w:t>
            </w:r>
            <w:r w:rsidRPr="00990D3B" w:rsidR="00916BCA">
              <w:t xml:space="preserve">MY </w:t>
            </w:r>
            <w:r w:rsidRPr="00990D3B" w:rsidR="000E6D9C">
              <w:t>2025</w:t>
            </w:r>
            <w:r w:rsidRPr="00990D3B">
              <w:t>/ Child Core Set</w:t>
            </w:r>
          </w:p>
        </w:tc>
        <w:tc>
          <w:tcPr>
            <w:tcW w:w="990" w:type="dxa"/>
          </w:tcPr>
          <w:p w:rsidR="00D7261B" w:rsidRPr="00990D3B" w:rsidP="00DF0E89" w14:paraId="4514FDD6" w14:textId="77777777">
            <w:pPr>
              <w:pStyle w:val="EQRTableText"/>
            </w:pPr>
            <w:r w:rsidRPr="00990D3B">
              <w:t>Annual</w:t>
            </w:r>
          </w:p>
        </w:tc>
        <w:tc>
          <w:tcPr>
            <w:tcW w:w="1255" w:type="dxa"/>
          </w:tcPr>
          <w:p w:rsidR="00D7261B" w:rsidRPr="00990D3B" w:rsidP="00DF0E89" w14:paraId="515AD4E1" w14:textId="77777777">
            <w:pPr>
              <w:pStyle w:val="EQRTableText"/>
            </w:pPr>
            <w:r w:rsidRPr="00990D3B">
              <w:t>June 30th</w:t>
            </w:r>
          </w:p>
        </w:tc>
      </w:tr>
      <w:tr w14:paraId="044CF393" w14:textId="77777777" w:rsidTr="001A4E60">
        <w:tblPrEx>
          <w:tblW w:w="5000" w:type="pct"/>
          <w:tblLook w:val="04A0"/>
        </w:tblPrEx>
        <w:trPr>
          <w:cantSplit/>
        </w:trPr>
        <w:tc>
          <w:tcPr>
            <w:tcW w:w="1075" w:type="dxa"/>
          </w:tcPr>
          <w:p w:rsidR="00D7261B" w:rsidRPr="00990D3B" w:rsidP="00DF0E89" w14:paraId="025C1E6E" w14:textId="77777777">
            <w:pPr>
              <w:pStyle w:val="EQRTableText"/>
            </w:pPr>
            <w:r w:rsidRPr="00990D3B">
              <w:t>1407</w:t>
            </w:r>
          </w:p>
        </w:tc>
        <w:tc>
          <w:tcPr>
            <w:tcW w:w="990" w:type="dxa"/>
          </w:tcPr>
          <w:p w:rsidR="00D7261B" w:rsidRPr="00990D3B" w:rsidP="00DF0E89" w14:paraId="23080B53" w14:textId="77777777">
            <w:pPr>
              <w:pStyle w:val="EQRTableText"/>
            </w:pPr>
            <w:r w:rsidRPr="00990D3B">
              <w:t>NCQA</w:t>
            </w:r>
          </w:p>
        </w:tc>
        <w:tc>
          <w:tcPr>
            <w:tcW w:w="3240" w:type="dxa"/>
          </w:tcPr>
          <w:p w:rsidR="00D7261B" w:rsidRPr="00990D3B" w:rsidP="00DF0E89" w14:paraId="06A72CD3" w14:textId="77777777">
            <w:pPr>
              <w:pStyle w:val="EQRTableText"/>
            </w:pPr>
            <w:r w:rsidRPr="00990D3B">
              <w:t>Immunizations for Adolescents (IMA-CH)</w:t>
            </w:r>
          </w:p>
        </w:tc>
        <w:tc>
          <w:tcPr>
            <w:tcW w:w="1800" w:type="dxa"/>
          </w:tcPr>
          <w:p w:rsidR="00D7261B" w:rsidRPr="00990D3B" w:rsidP="00DF0E89" w14:paraId="566F5193" w14:textId="0F2D90FE">
            <w:pPr>
              <w:pStyle w:val="EQRTableText"/>
            </w:pPr>
            <w:r w:rsidRPr="00990D3B">
              <w:t xml:space="preserve">HEDIS® </w:t>
            </w:r>
            <w:r w:rsidRPr="00990D3B" w:rsidR="00916BCA">
              <w:t xml:space="preserve">MY </w:t>
            </w:r>
            <w:r w:rsidRPr="00990D3B" w:rsidR="000E6D9C">
              <w:t>2025</w:t>
            </w:r>
            <w:r w:rsidRPr="00990D3B">
              <w:t>/ Child Core Set</w:t>
            </w:r>
          </w:p>
        </w:tc>
        <w:tc>
          <w:tcPr>
            <w:tcW w:w="990" w:type="dxa"/>
          </w:tcPr>
          <w:p w:rsidR="00D7261B" w:rsidRPr="00990D3B" w:rsidP="00DF0E89" w14:paraId="079953B7" w14:textId="77777777">
            <w:pPr>
              <w:pStyle w:val="EQRTableText"/>
            </w:pPr>
            <w:r w:rsidRPr="00990D3B">
              <w:t>Annual</w:t>
            </w:r>
          </w:p>
        </w:tc>
        <w:tc>
          <w:tcPr>
            <w:tcW w:w="1255" w:type="dxa"/>
          </w:tcPr>
          <w:p w:rsidR="00D7261B" w:rsidRPr="00990D3B" w:rsidP="00DF0E89" w14:paraId="202D48C2" w14:textId="77777777">
            <w:pPr>
              <w:pStyle w:val="EQRTableText"/>
            </w:pPr>
            <w:r w:rsidRPr="00990D3B">
              <w:t>June 30th</w:t>
            </w:r>
          </w:p>
        </w:tc>
      </w:tr>
      <w:tr w14:paraId="647D72B4" w14:textId="77777777" w:rsidTr="001A4E60">
        <w:tblPrEx>
          <w:tblW w:w="5000" w:type="pct"/>
          <w:tblLook w:val="04A0"/>
        </w:tblPrEx>
        <w:trPr>
          <w:cantSplit/>
        </w:trPr>
        <w:tc>
          <w:tcPr>
            <w:tcW w:w="1075" w:type="dxa"/>
          </w:tcPr>
          <w:p w:rsidR="004D2626" w:rsidRPr="00990D3B" w:rsidP="004D2626" w14:paraId="34859271" w14:textId="10638E93">
            <w:pPr>
              <w:pStyle w:val="EQRTableText"/>
            </w:pPr>
            <w:r w:rsidRPr="00990D3B">
              <w:t>1392</w:t>
            </w:r>
          </w:p>
        </w:tc>
        <w:tc>
          <w:tcPr>
            <w:tcW w:w="990" w:type="dxa"/>
          </w:tcPr>
          <w:p w:rsidR="004D2626" w:rsidRPr="00990D3B" w:rsidP="004D2626" w14:paraId="034FDA03" w14:textId="12531C42">
            <w:pPr>
              <w:pStyle w:val="EQRTableText"/>
            </w:pPr>
            <w:r w:rsidRPr="00990D3B">
              <w:t>NCQA</w:t>
            </w:r>
          </w:p>
        </w:tc>
        <w:tc>
          <w:tcPr>
            <w:tcW w:w="3240" w:type="dxa"/>
          </w:tcPr>
          <w:p w:rsidR="004D2626" w:rsidRPr="00990D3B" w:rsidP="004D2626" w14:paraId="296B5A37" w14:textId="74680BA2">
            <w:pPr>
              <w:pStyle w:val="EQRTableText"/>
            </w:pPr>
            <w:r w:rsidRPr="00990D3B">
              <w:t>Well-Child Visits in the First 30 Months of Life (W30-CH)</w:t>
            </w:r>
          </w:p>
        </w:tc>
        <w:tc>
          <w:tcPr>
            <w:tcW w:w="1800" w:type="dxa"/>
          </w:tcPr>
          <w:p w:rsidR="004D2626" w:rsidRPr="00990D3B" w:rsidP="004D2626" w14:paraId="1670C182" w14:textId="622016E5">
            <w:pPr>
              <w:pStyle w:val="EQRTableText"/>
            </w:pPr>
            <w:r w:rsidRPr="00990D3B">
              <w:t xml:space="preserve">HEDIS® </w:t>
            </w:r>
            <w:r w:rsidRPr="00990D3B" w:rsidR="00916BCA">
              <w:t xml:space="preserve">MY </w:t>
            </w:r>
            <w:r w:rsidRPr="00990D3B" w:rsidR="000E6D9C">
              <w:t>2025</w:t>
            </w:r>
            <w:r w:rsidRPr="00990D3B">
              <w:t>/ Child Core Set</w:t>
            </w:r>
          </w:p>
        </w:tc>
        <w:tc>
          <w:tcPr>
            <w:tcW w:w="990" w:type="dxa"/>
          </w:tcPr>
          <w:p w:rsidR="004D2626" w:rsidRPr="00990D3B" w:rsidP="004D2626" w14:paraId="7EBC5451" w14:textId="02FC145F">
            <w:pPr>
              <w:pStyle w:val="EQRTableText"/>
            </w:pPr>
            <w:r w:rsidRPr="00990D3B">
              <w:t>Annual</w:t>
            </w:r>
          </w:p>
        </w:tc>
        <w:tc>
          <w:tcPr>
            <w:tcW w:w="1255" w:type="dxa"/>
          </w:tcPr>
          <w:p w:rsidR="004D2626" w:rsidRPr="00990D3B" w:rsidP="004D2626" w14:paraId="19FB9B31" w14:textId="1BA6229B">
            <w:pPr>
              <w:pStyle w:val="EQRTableText"/>
            </w:pPr>
            <w:r w:rsidRPr="00990D3B">
              <w:t>June 30th</w:t>
            </w:r>
          </w:p>
        </w:tc>
      </w:tr>
    </w:tbl>
    <w:p w:rsidR="00D7261B" w:rsidRPr="00990D3B" w:rsidP="00DF0E89" w14:paraId="791B7BF7" w14:textId="77777777">
      <w:pPr>
        <w:pStyle w:val="EQRNormalSSWORKSHEET"/>
      </w:pPr>
    </w:p>
    <w:p w:rsidR="00D7261B" w:rsidRPr="00990D3B" w:rsidP="00DF0E89" w14:paraId="2E6FAEF7" w14:textId="77777777">
      <w:pPr>
        <w:pStyle w:val="EQRNormalSSWORKSHEET"/>
      </w:pPr>
      <w:r w:rsidRPr="00990D3B">
        <w:br w:type="page"/>
      </w:r>
    </w:p>
    <w:p w:rsidR="00D7261B" w:rsidRPr="00990D3B" w:rsidP="00A54412" w14:paraId="0D97F381" w14:textId="77777777">
      <w:pPr>
        <w:pStyle w:val="EQRMarkforExhibitWORKSHEET"/>
      </w:pPr>
      <w:bookmarkStart w:id="843" w:name="WSp7n02"/>
      <w:bookmarkStart w:id="844" w:name="_Toc125619187"/>
      <w:bookmarkStart w:id="845" w:name="_Toc201751551"/>
      <w:r w:rsidRPr="00990D3B">
        <w:t>Worksheet 7.2</w:t>
      </w:r>
      <w:bookmarkEnd w:id="843"/>
      <w:r w:rsidRPr="00990D3B">
        <w:t>. Companion Performance Measurement Tool</w:t>
      </w:r>
      <w:bookmarkEnd w:id="844"/>
      <w:bookmarkEnd w:id="845"/>
    </w:p>
    <w:p w:rsidR="00D7261B" w:rsidRPr="00990D3B" w:rsidP="00DF0E89" w14:paraId="19655111" w14:textId="2FCA799A">
      <w:pPr>
        <w:pStyle w:val="EQRNormalSSWORKSHEET"/>
      </w:pPr>
      <w:r w:rsidRPr="00990D3B">
        <w:rPr>
          <w:b/>
          <w:bCs/>
        </w:rPr>
        <w:t xml:space="preserve">Instructions. </w:t>
      </w:r>
      <w:r w:rsidRPr="00990D3B">
        <w:t>Use t</w:t>
      </w:r>
      <w:r w:rsidRPr="00990D3B">
        <w:t xml:space="preserve">his worksheet to document the technical specifications and benchmarks for each </w:t>
      </w:r>
      <w:r w:rsidRPr="00990D3B">
        <w:t xml:space="preserve">performance </w:t>
      </w:r>
      <w:r w:rsidRPr="00990D3B">
        <w:t xml:space="preserve">measure to be calculated. Complete the worksheet for each measure listed in </w:t>
      </w:r>
      <w:hyperlink w:anchor="WSp7n01" w:tooltip="Worksheet 7.1" w:history="1">
        <w:r w:rsidRPr="00990D3B">
          <w:rPr>
            <w:rStyle w:val="Hyperlink"/>
          </w:rPr>
          <w:t>Worksheet 7.1</w:t>
        </w:r>
      </w:hyperlink>
      <w:r w:rsidRPr="00990D3B">
        <w:t>, adapt</w:t>
      </w:r>
      <w:r w:rsidRPr="00990D3B">
        <w:t xml:space="preserve">ing </w:t>
      </w:r>
      <w:r w:rsidRPr="00990D3B">
        <w:t>as needed.</w:t>
      </w:r>
    </w:p>
    <w:p w:rsidR="002060F5" w:rsidRPr="00990D3B" w:rsidP="002060F5" w14:paraId="1ED68805" w14:textId="5F404997">
      <w:pPr>
        <w:pStyle w:val="EQRNormalSSWORKSHEET"/>
        <w:spacing w:before="0" w:line="240" w:lineRule="auto"/>
      </w:pPr>
      <w:r w:rsidRPr="00990D3B">
        <w:t xml:space="preserve">Acronyms: PIP = Performance Improvement Project; QI = Quality Improvement. </w:t>
      </w:r>
    </w:p>
    <w:p w:rsidR="00D7261B" w:rsidRPr="00990D3B" w:rsidP="00DF0DF8" w14:paraId="5EE3AB4D" w14:textId="1B2514F4">
      <w:pPr>
        <w:spacing w:line="280" w:lineRule="exact"/>
        <w:rPr>
          <w:rFonts w:ascii="Arial" w:hAnsi="Arial" w:cs="Arial"/>
          <w:sz w:val="18"/>
          <w:szCs w:val="18"/>
        </w:rPr>
      </w:pPr>
      <w:r w:rsidRPr="00990D3B">
        <w:rPr>
          <w:rFonts w:ascii="Arial" w:hAnsi="Arial" w:cs="Arial"/>
          <w:b/>
          <w:sz w:val="18"/>
          <w:szCs w:val="18"/>
        </w:rPr>
        <w:t xml:space="preserve">Measure </w:t>
      </w:r>
      <w:r w:rsidRPr="00990D3B" w:rsidR="00B53E25">
        <w:rPr>
          <w:rFonts w:ascii="Arial" w:hAnsi="Arial" w:cs="Arial"/>
          <w:b/>
          <w:sz w:val="18"/>
          <w:szCs w:val="18"/>
        </w:rPr>
        <w:t>n</w:t>
      </w:r>
      <w:r w:rsidRPr="00990D3B">
        <w:rPr>
          <w:rFonts w:ascii="Arial" w:hAnsi="Arial" w:cs="Arial"/>
          <w:b/>
          <w:sz w:val="18"/>
          <w:szCs w:val="18"/>
        </w:rPr>
        <w:t xml:space="preserve">ame and </w:t>
      </w:r>
      <w:r w:rsidRPr="00990D3B" w:rsidR="00B53E25">
        <w:rPr>
          <w:rFonts w:ascii="Arial" w:hAnsi="Arial" w:cs="Arial"/>
          <w:b/>
          <w:sz w:val="18"/>
          <w:szCs w:val="18"/>
        </w:rPr>
        <w:t>d</w:t>
      </w:r>
      <w:r w:rsidRPr="00990D3B">
        <w:rPr>
          <w:rFonts w:ascii="Arial" w:hAnsi="Arial" w:cs="Arial"/>
          <w:b/>
          <w:sz w:val="18"/>
          <w:szCs w:val="18"/>
        </w:rPr>
        <w:t>escription</w:t>
      </w:r>
      <w:r w:rsidRPr="00990D3B">
        <w:rPr>
          <w:rFonts w:ascii="Arial" w:hAnsi="Arial" w:cs="Arial"/>
          <w:sz w:val="18"/>
          <w:szCs w:val="18"/>
        </w:rPr>
        <w:t xml:space="preserve"> __________________________________________________________________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95"/>
        <w:gridCol w:w="7555"/>
      </w:tblGrid>
      <w:tr w14:paraId="75C96F36" w14:textId="77777777" w:rsidTr="001A4E60">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rPr>
          <w:cantSplit/>
          <w:tblHeader/>
        </w:trPr>
        <w:tc>
          <w:tcPr>
            <w:tcW w:w="1795" w:type="dxa"/>
            <w:tcBorders>
              <w:bottom w:val="single" w:sz="4" w:space="0" w:color="000000"/>
            </w:tcBorders>
            <w:shd w:val="clear" w:color="auto" w:fill="FFFFFF" w:themeFill="background1"/>
            <w:vAlign w:val="bottom"/>
          </w:tcPr>
          <w:p w:rsidR="00D7261B" w:rsidRPr="00990D3B" w:rsidP="00DF0E89" w14:paraId="5F2F96AB" w14:textId="77777777">
            <w:pPr>
              <w:pStyle w:val="EQRTableText"/>
              <w:rPr>
                <w:b/>
                <w:bCs/>
              </w:rPr>
            </w:pPr>
            <w:r w:rsidRPr="00990D3B">
              <w:rPr>
                <w:b/>
                <w:bCs/>
              </w:rPr>
              <w:t>Characteristics</w:t>
            </w:r>
          </w:p>
        </w:tc>
        <w:tc>
          <w:tcPr>
            <w:tcW w:w="7555" w:type="dxa"/>
            <w:tcBorders>
              <w:bottom w:val="single" w:sz="4" w:space="0" w:color="000000"/>
            </w:tcBorders>
            <w:shd w:val="clear" w:color="auto" w:fill="FFFFFF" w:themeFill="background1"/>
            <w:vAlign w:val="bottom"/>
          </w:tcPr>
          <w:p w:rsidR="00D7261B" w:rsidRPr="00990D3B" w:rsidP="00DF0E89" w14:paraId="3FB3F4F7" w14:textId="61750A77">
            <w:pPr>
              <w:pStyle w:val="EQRTableText"/>
              <w:rPr>
                <w:b/>
                <w:bCs/>
              </w:rPr>
            </w:pPr>
            <w:r w:rsidRPr="00990D3B">
              <w:rPr>
                <w:b/>
                <w:bCs/>
              </w:rPr>
              <w:t xml:space="preserve">Measure </w:t>
            </w:r>
            <w:r w:rsidRPr="00990D3B" w:rsidR="001A4E60">
              <w:rPr>
                <w:b/>
                <w:bCs/>
              </w:rPr>
              <w:t>s</w:t>
            </w:r>
            <w:r w:rsidRPr="00990D3B">
              <w:rPr>
                <w:b/>
                <w:bCs/>
              </w:rPr>
              <w:t>pecifications</w:t>
            </w:r>
          </w:p>
        </w:tc>
      </w:tr>
      <w:tr w14:paraId="4FD9A121" w14:textId="77777777" w:rsidTr="001A4E60">
        <w:tblPrEx>
          <w:tblW w:w="5000" w:type="pct"/>
          <w:tblLayout w:type="fixed"/>
          <w:tblLook w:val="00A0"/>
        </w:tblPrEx>
        <w:trPr>
          <w:cantSplit/>
        </w:trPr>
        <w:tc>
          <w:tcPr>
            <w:tcW w:w="1795" w:type="dxa"/>
          </w:tcPr>
          <w:p w:rsidR="00D7261B" w:rsidRPr="00990D3B" w:rsidP="00DF0E89" w14:paraId="4BBC4F65" w14:textId="77777777">
            <w:pPr>
              <w:pStyle w:val="EQRTableText"/>
            </w:pPr>
            <w:r w:rsidRPr="00990D3B">
              <w:t>Measure purpose (check all that apply)</w:t>
            </w:r>
          </w:p>
        </w:tc>
        <w:tc>
          <w:tcPr>
            <w:tcW w:w="7555" w:type="dxa"/>
          </w:tcPr>
          <w:p w:rsidR="00D7261B" w:rsidRPr="00990D3B" w:rsidP="00D65E61" w14:paraId="123EBB5F" w14:textId="77777777">
            <w:pPr>
              <w:pStyle w:val="EQRTableTextBOX"/>
            </w:pPr>
            <w:r w:rsidRPr="00990D3B">
              <w:t>QI or PIP</w:t>
            </w:r>
          </w:p>
          <w:p w:rsidR="00D7261B" w:rsidRPr="00990D3B" w:rsidP="0084173F" w14:paraId="0BA6F1A6" w14:textId="77777777">
            <w:pPr>
              <w:pStyle w:val="EQRTableText"/>
              <w:numPr>
                <w:ilvl w:val="0"/>
                <w:numId w:val="24"/>
              </w:numPr>
              <w:spacing w:line="240" w:lineRule="auto"/>
              <w:ind w:left="288" w:hanging="288"/>
            </w:pPr>
            <w:r w:rsidRPr="00990D3B">
              <w:t>Demonstration/waiver program (e.g., 1115 demonstration)</w:t>
            </w:r>
          </w:p>
          <w:p w:rsidR="00D7261B" w:rsidRPr="00990D3B" w:rsidP="0084173F" w14:paraId="1E912162" w14:textId="64BBE1B4">
            <w:pPr>
              <w:pStyle w:val="EQRTableText"/>
              <w:numPr>
                <w:ilvl w:val="0"/>
                <w:numId w:val="24"/>
              </w:numPr>
              <w:spacing w:line="240" w:lineRule="auto"/>
              <w:ind w:left="288" w:hanging="288"/>
            </w:pPr>
            <w:r w:rsidRPr="00990D3B">
              <w:t>Pay</w:t>
            </w:r>
            <w:r w:rsidRPr="00990D3B" w:rsidR="00B53E25">
              <w:t>-</w:t>
            </w:r>
            <w:r w:rsidRPr="00990D3B">
              <w:t>for</w:t>
            </w:r>
            <w:r w:rsidRPr="00990D3B" w:rsidR="00B53E25">
              <w:t>-</w:t>
            </w:r>
            <w:r w:rsidRPr="00990D3B">
              <w:t>performance/Value-based purchasing</w:t>
            </w:r>
          </w:p>
          <w:p w:rsidR="00D7261B" w:rsidRPr="00990D3B" w:rsidP="0084173F" w14:paraId="40BA694B" w14:textId="77777777">
            <w:pPr>
              <w:pStyle w:val="EQRTableText"/>
              <w:numPr>
                <w:ilvl w:val="0"/>
                <w:numId w:val="24"/>
              </w:numPr>
              <w:spacing w:line="240" w:lineRule="auto"/>
              <w:ind w:left="288" w:hanging="288"/>
            </w:pPr>
            <w:r w:rsidRPr="00990D3B">
              <w:t>Public reporting</w:t>
            </w:r>
          </w:p>
          <w:p w:rsidR="00D7261B" w:rsidRPr="00990D3B" w:rsidP="0084173F" w14:paraId="4A664108" w14:textId="77777777">
            <w:pPr>
              <w:pStyle w:val="EQRTableText"/>
              <w:numPr>
                <w:ilvl w:val="0"/>
                <w:numId w:val="24"/>
              </w:numPr>
              <w:spacing w:line="240" w:lineRule="auto"/>
              <w:ind w:left="288" w:hanging="288"/>
            </w:pPr>
            <w:r w:rsidRPr="00990D3B">
              <w:t>Other (specify) ____________________</w:t>
            </w:r>
          </w:p>
        </w:tc>
      </w:tr>
      <w:tr w14:paraId="5DE40BA7" w14:textId="77777777" w:rsidTr="001A4E60">
        <w:tblPrEx>
          <w:tblW w:w="5000" w:type="pct"/>
          <w:tblLayout w:type="fixed"/>
          <w:tblLook w:val="00A0"/>
        </w:tblPrEx>
        <w:trPr>
          <w:cantSplit/>
        </w:trPr>
        <w:tc>
          <w:tcPr>
            <w:tcW w:w="1795" w:type="dxa"/>
          </w:tcPr>
          <w:p w:rsidR="00D7261B" w:rsidRPr="00990D3B" w:rsidP="00DF0E89" w14:paraId="6B0744EE" w14:textId="77777777">
            <w:pPr>
              <w:pStyle w:val="EQRTableText"/>
            </w:pPr>
            <w:r w:rsidRPr="00990D3B">
              <w:t>Data collection method (check one)</w:t>
            </w:r>
          </w:p>
        </w:tc>
        <w:tc>
          <w:tcPr>
            <w:tcW w:w="7555" w:type="dxa"/>
          </w:tcPr>
          <w:p w:rsidR="00D7261B" w:rsidRPr="00990D3B" w:rsidP="00D65E61" w14:paraId="10EC456A" w14:textId="77777777">
            <w:pPr>
              <w:pStyle w:val="EQRTableTextBOX"/>
            </w:pPr>
            <w:r w:rsidRPr="00990D3B">
              <w:t>Administrative</w:t>
            </w:r>
          </w:p>
          <w:p w:rsidR="00D7261B" w:rsidRPr="00990D3B" w:rsidP="00D65E61" w14:paraId="532FBD29" w14:textId="0E4C0FED">
            <w:pPr>
              <w:pStyle w:val="EQRTableTextBOX"/>
            </w:pPr>
            <w:r w:rsidRPr="00990D3B">
              <w:t xml:space="preserve">Medical </w:t>
            </w:r>
            <w:r w:rsidRPr="00990D3B" w:rsidR="00B53E25">
              <w:t>r</w:t>
            </w:r>
            <w:r w:rsidRPr="00990D3B">
              <w:t xml:space="preserve">ecord </w:t>
            </w:r>
            <w:r w:rsidRPr="00990D3B" w:rsidR="00B53E25">
              <w:t>r</w:t>
            </w:r>
            <w:r w:rsidRPr="00990D3B">
              <w:t>eview</w:t>
            </w:r>
          </w:p>
          <w:p w:rsidR="00D7261B" w:rsidRPr="00990D3B" w:rsidP="00D65E61" w14:paraId="6978BCF0" w14:textId="77777777">
            <w:pPr>
              <w:pStyle w:val="EQRTableTextBOX"/>
            </w:pPr>
            <w:r w:rsidRPr="00990D3B">
              <w:t>Hybrid (administrative supplemented by medical record review)</w:t>
            </w:r>
          </w:p>
          <w:p w:rsidR="00D7261B" w:rsidRPr="00990D3B" w:rsidP="00D65E61" w14:paraId="57F5245E" w14:textId="77777777">
            <w:pPr>
              <w:pStyle w:val="EQRTableTextBOX"/>
            </w:pPr>
            <w:r w:rsidRPr="00990D3B">
              <w:t>Survey</w:t>
            </w:r>
          </w:p>
          <w:p w:rsidR="00D7261B" w:rsidRPr="00990D3B" w:rsidP="00D65E61" w14:paraId="72811A8A" w14:textId="77777777">
            <w:pPr>
              <w:pStyle w:val="EQRTableTextBOX"/>
            </w:pPr>
            <w:r w:rsidRPr="00990D3B">
              <w:t>Other (specify) ____________________</w:t>
            </w:r>
          </w:p>
        </w:tc>
      </w:tr>
      <w:tr w14:paraId="73C6FF34" w14:textId="77777777" w:rsidTr="001A4E60">
        <w:tblPrEx>
          <w:tblW w:w="5000" w:type="pct"/>
          <w:tblLayout w:type="fixed"/>
          <w:tblLook w:val="00A0"/>
        </w:tblPrEx>
        <w:trPr>
          <w:cantSplit/>
        </w:trPr>
        <w:tc>
          <w:tcPr>
            <w:tcW w:w="1795" w:type="dxa"/>
          </w:tcPr>
          <w:p w:rsidR="00D7261B" w:rsidRPr="00990D3B" w:rsidP="00DF0E89" w14:paraId="109FF8B0" w14:textId="77777777">
            <w:pPr>
              <w:pStyle w:val="EQRTableText"/>
            </w:pPr>
            <w:r w:rsidRPr="00990D3B">
              <w:t>Sampling method (if applicable)</w:t>
            </w:r>
          </w:p>
        </w:tc>
        <w:tc>
          <w:tcPr>
            <w:tcW w:w="7555" w:type="dxa"/>
          </w:tcPr>
          <w:p w:rsidR="00D7261B" w:rsidRPr="00990D3B" w:rsidP="00DF0E89" w14:paraId="64142471" w14:textId="77777777">
            <w:pPr>
              <w:pStyle w:val="EQRTableText"/>
            </w:pPr>
            <w:r w:rsidRPr="00990D3B">
              <w:t>Specifications for sample size, sampling method and replacement methods: ____________________________________________________________</w:t>
            </w:r>
          </w:p>
        </w:tc>
      </w:tr>
      <w:tr w14:paraId="72CFAFD6" w14:textId="77777777" w:rsidTr="001A4E60">
        <w:tblPrEx>
          <w:tblW w:w="5000" w:type="pct"/>
          <w:tblLayout w:type="fixed"/>
          <w:tblLook w:val="00A0"/>
        </w:tblPrEx>
        <w:trPr>
          <w:cantSplit/>
        </w:trPr>
        <w:tc>
          <w:tcPr>
            <w:tcW w:w="1795" w:type="dxa"/>
          </w:tcPr>
          <w:p w:rsidR="00D7261B" w:rsidRPr="00990D3B" w:rsidP="00DF0E89" w14:paraId="34396D45" w14:textId="77777777">
            <w:pPr>
              <w:pStyle w:val="EQRTableText"/>
            </w:pPr>
            <w:r w:rsidRPr="00990D3B">
              <w:t>Age</w:t>
            </w:r>
          </w:p>
        </w:tc>
        <w:tc>
          <w:tcPr>
            <w:tcW w:w="7555" w:type="dxa"/>
          </w:tcPr>
          <w:p w:rsidR="00D7261B" w:rsidRPr="00990D3B" w:rsidP="00DF0E89" w14:paraId="1A21C1D1" w14:textId="77777777">
            <w:pPr>
              <w:pStyle w:val="EQRTableText"/>
            </w:pPr>
            <w:r w:rsidRPr="00990D3B">
              <w:t>Lower age limit: ____________________</w:t>
            </w:r>
          </w:p>
          <w:p w:rsidR="00D7261B" w:rsidRPr="00990D3B" w:rsidP="00DF0E89" w14:paraId="1C1528EC" w14:textId="77777777">
            <w:pPr>
              <w:pStyle w:val="EQRTableText"/>
            </w:pPr>
            <w:r w:rsidRPr="00990D3B">
              <w:t>Upper age limit: ____________________</w:t>
            </w:r>
          </w:p>
        </w:tc>
      </w:tr>
      <w:tr w14:paraId="5D6761D1" w14:textId="77777777" w:rsidTr="001A4E60">
        <w:tblPrEx>
          <w:tblW w:w="5000" w:type="pct"/>
          <w:tblLayout w:type="fixed"/>
          <w:tblLook w:val="00A0"/>
        </w:tblPrEx>
        <w:trPr>
          <w:cantSplit/>
        </w:trPr>
        <w:tc>
          <w:tcPr>
            <w:tcW w:w="1795" w:type="dxa"/>
          </w:tcPr>
          <w:p w:rsidR="00D7261B" w:rsidRPr="00990D3B" w:rsidP="00DF0E89" w14:paraId="2499973C" w14:textId="77777777">
            <w:pPr>
              <w:pStyle w:val="EQRTableText"/>
            </w:pPr>
            <w:r w:rsidRPr="00990D3B">
              <w:t>Sex (check one)</w:t>
            </w:r>
          </w:p>
        </w:tc>
        <w:tc>
          <w:tcPr>
            <w:tcW w:w="7555" w:type="dxa"/>
          </w:tcPr>
          <w:p w:rsidR="00D7261B" w:rsidRPr="00990D3B" w:rsidP="00D65E61" w14:paraId="334BA141" w14:textId="77777777">
            <w:pPr>
              <w:pStyle w:val="EQRTableTextBOX"/>
            </w:pPr>
            <w:r w:rsidRPr="00990D3B">
              <w:t>Males only</w:t>
            </w:r>
          </w:p>
          <w:p w:rsidR="00D7261B" w:rsidRPr="00990D3B" w:rsidP="00D65E61" w14:paraId="777606E3" w14:textId="77777777">
            <w:pPr>
              <w:pStyle w:val="EQRTableTextBOX"/>
            </w:pPr>
            <w:r w:rsidRPr="00990D3B">
              <w:t>Females only</w:t>
            </w:r>
          </w:p>
          <w:p w:rsidR="00D7261B" w:rsidRPr="00990D3B" w:rsidP="00D65E61" w14:paraId="05F32F39" w14:textId="77777777">
            <w:pPr>
              <w:pStyle w:val="EQRTableTextBOX"/>
            </w:pPr>
            <w:r w:rsidRPr="00990D3B">
              <w:t>Males and females</w:t>
            </w:r>
          </w:p>
        </w:tc>
      </w:tr>
      <w:tr w14:paraId="583242FC" w14:textId="77777777" w:rsidTr="001A4E60">
        <w:tblPrEx>
          <w:tblW w:w="5000" w:type="pct"/>
          <w:tblLayout w:type="fixed"/>
          <w:tblLook w:val="00A0"/>
        </w:tblPrEx>
        <w:trPr>
          <w:cantSplit/>
        </w:trPr>
        <w:tc>
          <w:tcPr>
            <w:tcW w:w="1795" w:type="dxa"/>
          </w:tcPr>
          <w:p w:rsidR="00D7261B" w:rsidRPr="00990D3B" w:rsidP="00DF0E89" w14:paraId="62206D09" w14:textId="77777777">
            <w:pPr>
              <w:pStyle w:val="EQRTableText"/>
            </w:pPr>
            <w:r w:rsidRPr="00990D3B">
              <w:t>Continuous enrollment</w:t>
            </w:r>
          </w:p>
        </w:tc>
        <w:tc>
          <w:tcPr>
            <w:tcW w:w="7555" w:type="dxa"/>
          </w:tcPr>
          <w:p w:rsidR="00D7261B" w:rsidRPr="00990D3B" w:rsidP="00D65E61" w14:paraId="1103D182" w14:textId="77777777">
            <w:pPr>
              <w:pStyle w:val="EQRTableTextBOX"/>
            </w:pPr>
            <w:r w:rsidRPr="00990D3B">
              <w:t>No</w:t>
            </w:r>
          </w:p>
          <w:p w:rsidR="00D7261B" w:rsidRPr="00990D3B" w:rsidP="00D65E61" w14:paraId="5A891688" w14:textId="77777777">
            <w:pPr>
              <w:pStyle w:val="EQRTableTextBOX"/>
            </w:pPr>
            <w:r w:rsidRPr="00990D3B">
              <w:t>Yes (specify) ________________________</w:t>
            </w:r>
          </w:p>
        </w:tc>
      </w:tr>
      <w:tr w14:paraId="636AC219" w14:textId="77777777" w:rsidTr="001A4E60">
        <w:tblPrEx>
          <w:tblW w:w="5000" w:type="pct"/>
          <w:tblLayout w:type="fixed"/>
          <w:tblLook w:val="00A0"/>
        </w:tblPrEx>
        <w:trPr>
          <w:cantSplit/>
        </w:trPr>
        <w:tc>
          <w:tcPr>
            <w:tcW w:w="1795" w:type="dxa"/>
          </w:tcPr>
          <w:p w:rsidR="00D7261B" w:rsidRPr="00990D3B" w:rsidP="00DF0E89" w14:paraId="1B40A6C0" w14:textId="77777777">
            <w:pPr>
              <w:pStyle w:val="EQRTableText"/>
            </w:pPr>
            <w:r w:rsidRPr="00990D3B">
              <w:t>Index event (e.g., birthday; discharge; prescription; diagnosis; procedure)</w:t>
            </w:r>
          </w:p>
        </w:tc>
        <w:tc>
          <w:tcPr>
            <w:tcW w:w="7555" w:type="dxa"/>
          </w:tcPr>
          <w:p w:rsidR="00D7261B" w:rsidRPr="00990D3B" w:rsidP="00D65E61" w14:paraId="1A49C821" w14:textId="77777777">
            <w:pPr>
              <w:pStyle w:val="EQRTableTextBOX"/>
            </w:pPr>
            <w:r w:rsidRPr="00990D3B">
              <w:t>No</w:t>
            </w:r>
          </w:p>
          <w:p w:rsidR="00D7261B" w:rsidRPr="00990D3B" w:rsidP="00D65E61" w14:paraId="1B8F4C31" w14:textId="77777777">
            <w:pPr>
              <w:pStyle w:val="EQRTableTextBOX"/>
            </w:pPr>
            <w:r w:rsidRPr="00990D3B">
              <w:t>Yes (specify) ________________________</w:t>
            </w:r>
          </w:p>
        </w:tc>
      </w:tr>
      <w:tr w14:paraId="2D019EC4" w14:textId="77777777" w:rsidTr="001A4E60">
        <w:tblPrEx>
          <w:tblW w:w="5000" w:type="pct"/>
          <w:tblLayout w:type="fixed"/>
          <w:tblLook w:val="00A0"/>
        </w:tblPrEx>
        <w:trPr>
          <w:cantSplit/>
        </w:trPr>
        <w:tc>
          <w:tcPr>
            <w:tcW w:w="1795" w:type="dxa"/>
          </w:tcPr>
          <w:p w:rsidR="00D7261B" w:rsidRPr="00990D3B" w:rsidP="00DF0E89" w14:paraId="11A5322B" w14:textId="55D16838">
            <w:pPr>
              <w:pStyle w:val="EQRTableText"/>
            </w:pPr>
            <w:r w:rsidRPr="00990D3B">
              <w:t xml:space="preserve">Denominator elements and data sources (e.g., </w:t>
            </w:r>
            <w:r w:rsidRPr="00990D3B" w:rsidR="002F4DD4">
              <w:t>enrollee</w:t>
            </w:r>
            <w:r w:rsidRPr="00990D3B">
              <w:t xml:space="preserve"> ID, age, </w:t>
            </w:r>
            <w:r w:rsidRPr="00990D3B" w:rsidR="00A27E6A">
              <w:t>sex</w:t>
            </w:r>
            <w:r w:rsidRPr="00990D3B">
              <w:t>, enrollment and disenrollment dates, diagnoses, procedures)</w:t>
            </w:r>
          </w:p>
        </w:tc>
        <w:tc>
          <w:tcPr>
            <w:tcW w:w="7555" w:type="dxa"/>
          </w:tcPr>
          <w:p w:rsidR="00D7261B" w:rsidRPr="00990D3B" w:rsidP="00DF0E89" w14:paraId="0982637B" w14:textId="77777777">
            <w:pPr>
              <w:pStyle w:val="EQRTableText"/>
            </w:pPr>
            <w:r w:rsidRPr="00990D3B">
              <w:t>A list of each data element needed to establish eligibility for the denominator: _____________________________________________</w:t>
            </w:r>
          </w:p>
          <w:p w:rsidR="00D7261B" w:rsidRPr="00990D3B" w:rsidP="00DF0E89" w14:paraId="6A2F2093" w14:textId="77777777">
            <w:pPr>
              <w:pStyle w:val="EQRTableText"/>
            </w:pPr>
            <w:r w:rsidRPr="00990D3B">
              <w:t>For each denominator element, the allowable data source(s): _____________________________________________</w:t>
            </w:r>
          </w:p>
        </w:tc>
      </w:tr>
      <w:tr w14:paraId="43DA3BB3" w14:textId="77777777" w:rsidTr="001A4E60">
        <w:tblPrEx>
          <w:tblW w:w="5000" w:type="pct"/>
          <w:tblLayout w:type="fixed"/>
          <w:tblLook w:val="00A0"/>
        </w:tblPrEx>
        <w:trPr>
          <w:cantSplit/>
          <w:trHeight w:val="845"/>
        </w:trPr>
        <w:tc>
          <w:tcPr>
            <w:tcW w:w="1795" w:type="dxa"/>
          </w:tcPr>
          <w:p w:rsidR="00D7261B" w:rsidRPr="00990D3B" w:rsidP="00DF0E89" w14:paraId="3234863E" w14:textId="77777777">
            <w:pPr>
              <w:pStyle w:val="EQRTableText"/>
            </w:pPr>
            <w:r w:rsidRPr="00990D3B">
              <w:t>Numerator elements and data sources (e.g., procedure codes, diagnosis codes, pharmacy codes, lab results, dates of service)</w:t>
            </w:r>
          </w:p>
        </w:tc>
        <w:tc>
          <w:tcPr>
            <w:tcW w:w="7555" w:type="dxa"/>
          </w:tcPr>
          <w:p w:rsidR="00D7261B" w:rsidRPr="00990D3B" w:rsidP="00DF0E89" w14:paraId="240EC57A" w14:textId="77777777">
            <w:pPr>
              <w:pStyle w:val="EQRTableText"/>
            </w:pPr>
            <w:r w:rsidRPr="00990D3B">
              <w:t>A list of each data element needed to establish eligibility for the numerator: _____________________________________________</w:t>
            </w:r>
          </w:p>
          <w:p w:rsidR="00D7261B" w:rsidRPr="00990D3B" w:rsidP="00DF0E89" w14:paraId="65BAA1B3" w14:textId="77777777">
            <w:pPr>
              <w:pStyle w:val="EQRTableText"/>
            </w:pPr>
            <w:r w:rsidRPr="00990D3B">
              <w:t>For each numerator element, the allowable data source(s): _____________________________________________</w:t>
            </w:r>
          </w:p>
        </w:tc>
      </w:tr>
      <w:tr w14:paraId="0709F344" w14:textId="77777777" w:rsidTr="001A4E60">
        <w:tblPrEx>
          <w:tblW w:w="5000" w:type="pct"/>
          <w:tblLayout w:type="fixed"/>
          <w:tblLook w:val="00A0"/>
        </w:tblPrEx>
        <w:trPr>
          <w:cantSplit/>
        </w:trPr>
        <w:tc>
          <w:tcPr>
            <w:tcW w:w="1795" w:type="dxa"/>
          </w:tcPr>
          <w:p w:rsidR="00D7261B" w:rsidRPr="00990D3B" w:rsidP="00DF0E89" w14:paraId="26311C8B" w14:textId="77777777">
            <w:pPr>
              <w:pStyle w:val="EQRTableText"/>
            </w:pPr>
            <w:r w:rsidRPr="00990D3B">
              <w:t>Denominator</w:t>
            </w:r>
          </w:p>
        </w:tc>
        <w:tc>
          <w:tcPr>
            <w:tcW w:w="7555" w:type="dxa"/>
          </w:tcPr>
          <w:p w:rsidR="00D7261B" w:rsidRPr="00990D3B" w:rsidP="00DF0E89" w14:paraId="4520C428" w14:textId="77777777">
            <w:pPr>
              <w:pStyle w:val="EQRTableText"/>
            </w:pPr>
            <w:r w:rsidRPr="00990D3B">
              <w:t>Denominator statement: _______________________________________________________________</w:t>
            </w:r>
          </w:p>
          <w:p w:rsidR="00D7261B" w:rsidRPr="00990D3B" w:rsidP="00DF0E89" w14:paraId="15120D33" w14:textId="77777777">
            <w:pPr>
              <w:pStyle w:val="EQRTableText"/>
            </w:pPr>
            <w:r w:rsidRPr="00990D3B">
              <w:t>Inclusions/exclusions: _______________________________________________________________</w:t>
            </w:r>
          </w:p>
          <w:p w:rsidR="00D7261B" w:rsidRPr="00990D3B" w:rsidP="00DF0E89" w14:paraId="709108C2" w14:textId="77777777">
            <w:pPr>
              <w:pStyle w:val="EQRTableText"/>
            </w:pPr>
            <w:r w:rsidRPr="00990D3B">
              <w:t>Denominator time window: _______________________________________________________________</w:t>
            </w:r>
          </w:p>
        </w:tc>
      </w:tr>
      <w:tr w14:paraId="4669075B" w14:textId="77777777" w:rsidTr="001A4E60">
        <w:tblPrEx>
          <w:tblW w:w="5000" w:type="pct"/>
          <w:tblLayout w:type="fixed"/>
          <w:tblLook w:val="00A0"/>
        </w:tblPrEx>
        <w:trPr>
          <w:cantSplit/>
        </w:trPr>
        <w:tc>
          <w:tcPr>
            <w:tcW w:w="1795" w:type="dxa"/>
          </w:tcPr>
          <w:p w:rsidR="00D7261B" w:rsidRPr="00990D3B" w:rsidP="00DF0E89" w14:paraId="23C623B0" w14:textId="77777777">
            <w:pPr>
              <w:pStyle w:val="EQRTableText"/>
            </w:pPr>
            <w:r w:rsidRPr="00990D3B">
              <w:t>Numerator</w:t>
            </w:r>
          </w:p>
        </w:tc>
        <w:tc>
          <w:tcPr>
            <w:tcW w:w="7555" w:type="dxa"/>
          </w:tcPr>
          <w:p w:rsidR="00D7261B" w:rsidRPr="00990D3B" w:rsidP="00DF0E89" w14:paraId="0353E252" w14:textId="77777777">
            <w:pPr>
              <w:pStyle w:val="EQRTableText"/>
            </w:pPr>
            <w:r w:rsidRPr="00990D3B">
              <w:t>Numerator statement:  _______________________________________________________________</w:t>
            </w:r>
          </w:p>
          <w:p w:rsidR="00D7261B" w:rsidRPr="00990D3B" w:rsidP="00DF0E89" w14:paraId="441E0CED" w14:textId="77777777">
            <w:pPr>
              <w:pStyle w:val="EQRTableText"/>
            </w:pPr>
            <w:r w:rsidRPr="00990D3B">
              <w:t>Inclusions/exclusions: _______________________________________________________________</w:t>
            </w:r>
          </w:p>
          <w:p w:rsidR="00D7261B" w:rsidRPr="00990D3B" w:rsidP="00DF0E89" w14:paraId="4FE2AF39" w14:textId="77777777">
            <w:pPr>
              <w:pStyle w:val="EQRTableText"/>
            </w:pPr>
            <w:r w:rsidRPr="00990D3B">
              <w:t>Numerator time window: _______________________________________________________________</w:t>
            </w:r>
          </w:p>
        </w:tc>
      </w:tr>
      <w:tr w14:paraId="07E98C1F" w14:textId="77777777" w:rsidTr="001A4E60">
        <w:tblPrEx>
          <w:tblW w:w="5000" w:type="pct"/>
          <w:tblLayout w:type="fixed"/>
          <w:tblLook w:val="00A0"/>
        </w:tblPrEx>
        <w:trPr>
          <w:cantSplit/>
        </w:trPr>
        <w:tc>
          <w:tcPr>
            <w:tcW w:w="1795" w:type="dxa"/>
          </w:tcPr>
          <w:p w:rsidR="00D7261B" w:rsidRPr="00990D3B" w:rsidP="00DF0E89" w14:paraId="464C0C3E" w14:textId="77777777">
            <w:pPr>
              <w:pStyle w:val="EQRTableText"/>
            </w:pPr>
            <w:r w:rsidRPr="00990D3B">
              <w:t>Rate calculation</w:t>
            </w:r>
          </w:p>
        </w:tc>
        <w:tc>
          <w:tcPr>
            <w:tcW w:w="7555" w:type="dxa"/>
          </w:tcPr>
          <w:p w:rsidR="00D7261B" w:rsidRPr="00990D3B" w:rsidP="00DF0E89" w14:paraId="6E7E8CB9" w14:textId="77777777">
            <w:pPr>
              <w:pStyle w:val="EQRTableText"/>
            </w:pPr>
            <w:r w:rsidRPr="00990D3B">
              <w:t>Formula for calculation of rate: _________________________________________________________</w:t>
            </w:r>
          </w:p>
        </w:tc>
      </w:tr>
      <w:tr w14:paraId="3A31D3B6" w14:textId="77777777" w:rsidTr="001A4E60">
        <w:tblPrEx>
          <w:tblW w:w="5000" w:type="pct"/>
          <w:tblLayout w:type="fixed"/>
          <w:tblLook w:val="00A0"/>
        </w:tblPrEx>
        <w:trPr>
          <w:cantSplit/>
        </w:trPr>
        <w:tc>
          <w:tcPr>
            <w:tcW w:w="1795" w:type="dxa"/>
          </w:tcPr>
          <w:p w:rsidR="00D7261B" w:rsidRPr="00990D3B" w:rsidP="00DF0E89" w14:paraId="25B13EEE" w14:textId="77777777">
            <w:pPr>
              <w:pStyle w:val="EQRTableText"/>
            </w:pPr>
            <w:r w:rsidRPr="00990D3B">
              <w:t>Benchmark(s) (check all that apply)</w:t>
            </w:r>
          </w:p>
        </w:tc>
        <w:tc>
          <w:tcPr>
            <w:tcW w:w="7555" w:type="dxa"/>
          </w:tcPr>
          <w:p w:rsidR="00D7261B" w:rsidRPr="00990D3B" w:rsidP="00D65E61" w14:paraId="1BC7F6BF" w14:textId="77777777">
            <w:pPr>
              <w:pStyle w:val="EQRTableTextBOX"/>
            </w:pPr>
            <w:r w:rsidRPr="00990D3B">
              <w:t>State-level (specify): ____________________________________________________________</w:t>
            </w:r>
          </w:p>
          <w:p w:rsidR="00D7261B" w:rsidRPr="00990D3B" w:rsidP="00D65E61" w14:paraId="6151BF66" w14:textId="77777777">
            <w:pPr>
              <w:pStyle w:val="EQRTableTextBOX"/>
            </w:pPr>
            <w:r w:rsidRPr="00990D3B">
              <w:t>Regional (specify): ____________________________________________________________</w:t>
            </w:r>
          </w:p>
          <w:p w:rsidR="00D7261B" w:rsidRPr="00990D3B" w:rsidP="00D65E61" w14:paraId="182886DF" w14:textId="77777777">
            <w:pPr>
              <w:pStyle w:val="EQRTableTextBOX"/>
            </w:pPr>
            <w:r w:rsidRPr="00990D3B">
              <w:t>National (specify): ____________________________________________________________</w:t>
            </w:r>
          </w:p>
          <w:p w:rsidR="00D7261B" w:rsidRPr="00990D3B" w:rsidP="00D65E61" w14:paraId="65CAD22E" w14:textId="77777777">
            <w:pPr>
              <w:pStyle w:val="EQRTableTextBOX"/>
            </w:pPr>
            <w:r w:rsidRPr="00990D3B">
              <w:t>Other (specify): ____________________________________________________________</w:t>
            </w:r>
          </w:p>
          <w:p w:rsidR="00D7261B" w:rsidRPr="00990D3B" w:rsidP="00391813" w14:paraId="30EE1F41" w14:textId="77777777">
            <w:pPr>
              <w:pStyle w:val="EQRTableText"/>
            </w:pPr>
            <w:r w:rsidRPr="00990D3B">
              <w:t>Source(s): ____________________________________________________________</w:t>
            </w:r>
          </w:p>
        </w:tc>
      </w:tr>
      <w:tr w14:paraId="4098ED9E" w14:textId="77777777" w:rsidTr="001A4E60">
        <w:tblPrEx>
          <w:tblW w:w="5000" w:type="pct"/>
          <w:tblLayout w:type="fixed"/>
          <w:tblLook w:val="00A0"/>
        </w:tblPrEx>
        <w:trPr>
          <w:cantSplit/>
        </w:trPr>
        <w:tc>
          <w:tcPr>
            <w:tcW w:w="1795" w:type="dxa"/>
          </w:tcPr>
          <w:p w:rsidR="00D7261B" w:rsidRPr="00990D3B" w:rsidP="00DF0E89" w14:paraId="2493B174" w14:textId="77777777">
            <w:pPr>
              <w:pStyle w:val="EQRTableText"/>
            </w:pPr>
            <w:r w:rsidRPr="00990D3B">
              <w:t>Other analysis requirements (e.g., change from prior year or comparison to state average or best in state, including statistical tests)</w:t>
            </w:r>
          </w:p>
        </w:tc>
        <w:tc>
          <w:tcPr>
            <w:tcW w:w="7555" w:type="dxa"/>
          </w:tcPr>
          <w:p w:rsidR="00D7261B" w:rsidRPr="00990D3B" w:rsidP="00DF0E89" w14:paraId="510B7BCB" w14:textId="77777777">
            <w:pPr>
              <w:pStyle w:val="EQRTableText"/>
            </w:pPr>
            <w:r w:rsidRPr="00990D3B">
              <w:t>List required analyses: _____________________________________________________________</w:t>
            </w:r>
          </w:p>
        </w:tc>
      </w:tr>
    </w:tbl>
    <w:p w:rsidR="00D7261B" w:rsidRPr="00990D3B" w:rsidP="00EF6C42" w14:paraId="45E09C31" w14:textId="77777777">
      <w:pPr>
        <w:pStyle w:val="EQRNormalSSWORKSHEET"/>
      </w:pPr>
    </w:p>
    <w:p w:rsidR="00D7261B" w:rsidRPr="00990D3B" w:rsidP="00EF6C42" w14:paraId="54D4DCD1" w14:textId="77777777">
      <w:pPr>
        <w:pStyle w:val="EQRNormalSSWORKSHEET"/>
      </w:pPr>
      <w:r w:rsidRPr="00990D3B">
        <w:br w:type="page"/>
      </w:r>
    </w:p>
    <w:p w:rsidR="00D7261B" w:rsidRPr="00990D3B" w:rsidP="00A54412" w14:paraId="05280FAD" w14:textId="77777777">
      <w:pPr>
        <w:pStyle w:val="EQRMarkforExhibitWORKSHEET"/>
      </w:pPr>
      <w:bookmarkStart w:id="846" w:name="WSp7n03"/>
      <w:bookmarkStart w:id="847" w:name="_Toc125619188"/>
      <w:bookmarkStart w:id="848" w:name="_Toc201751552"/>
      <w:r w:rsidRPr="00990D3B">
        <w:t>Worksheet 7.3</w:t>
      </w:r>
      <w:bookmarkEnd w:id="846"/>
      <w:r w:rsidRPr="00990D3B">
        <w:t>. Data Element Master Checklist</w:t>
      </w:r>
      <w:bookmarkEnd w:id="847"/>
      <w:bookmarkEnd w:id="848"/>
    </w:p>
    <w:p w:rsidR="00D7261B" w:rsidRPr="00990D3B" w:rsidP="008E2051" w14:paraId="6CEE19D7" w14:textId="6D8EDD33">
      <w:pPr>
        <w:pStyle w:val="EQRNormalSSWORKSHEET"/>
      </w:pPr>
      <w:r w:rsidRPr="00990D3B">
        <w:rPr>
          <w:b/>
          <w:bCs/>
        </w:rPr>
        <w:t xml:space="preserve">Instructions. </w:t>
      </w:r>
      <w:r w:rsidRPr="00990D3B">
        <w:t>Use t</w:t>
      </w:r>
      <w:r w:rsidRPr="00990D3B">
        <w:t>his checklist to develop a master list of data elements needed to calculate each performance measure. Indicate whether each data element is required to calculate the measure.</w:t>
      </w:r>
      <w:r w:rsidRPr="00990D3B">
        <w:t xml:space="preserve"> Adapt the table as needed.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15"/>
        <w:gridCol w:w="1547"/>
        <w:gridCol w:w="1547"/>
        <w:gridCol w:w="1547"/>
        <w:gridCol w:w="1547"/>
        <w:gridCol w:w="1547"/>
      </w:tblGrid>
      <w:tr w14:paraId="00A8676F" w14:textId="77777777" w:rsidTr="001A4E60">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cantSplit/>
          <w:tblHeader/>
        </w:trPr>
        <w:tc>
          <w:tcPr>
            <w:tcW w:w="1615" w:type="dxa"/>
            <w:shd w:val="clear" w:color="auto" w:fill="FFFFFF" w:themeFill="background1"/>
            <w:vAlign w:val="bottom"/>
          </w:tcPr>
          <w:p w:rsidR="001A4E60" w:rsidRPr="00990D3B" w:rsidP="001A4E60" w14:paraId="05623D94" w14:textId="1F1D5510">
            <w:pPr>
              <w:pStyle w:val="EQRTableText"/>
              <w:rPr>
                <w:b/>
                <w:bCs/>
              </w:rPr>
            </w:pPr>
            <w:r w:rsidRPr="00990D3B">
              <w:rPr>
                <w:b/>
                <w:bCs/>
              </w:rPr>
              <w:t> Data elements</w:t>
            </w:r>
          </w:p>
        </w:tc>
        <w:tc>
          <w:tcPr>
            <w:tcW w:w="1547" w:type="dxa"/>
            <w:tcBorders>
              <w:bottom w:val="single" w:sz="4" w:space="0" w:color="000000"/>
            </w:tcBorders>
            <w:shd w:val="clear" w:color="auto" w:fill="FFFFFF" w:themeFill="background1"/>
            <w:vAlign w:val="bottom"/>
          </w:tcPr>
          <w:p w:rsidR="001A4E60" w:rsidRPr="00990D3B" w:rsidP="001A4E60" w14:paraId="24E0FC9B" w14:textId="0F286F5C">
            <w:pPr>
              <w:pStyle w:val="EQRTableText"/>
              <w:rPr>
                <w:b/>
                <w:bCs/>
              </w:rPr>
            </w:pPr>
            <w:r w:rsidRPr="00990D3B">
              <w:rPr>
                <w:b/>
                <w:bCs/>
              </w:rPr>
              <w:t>[Performance measure]</w:t>
            </w:r>
          </w:p>
        </w:tc>
        <w:tc>
          <w:tcPr>
            <w:tcW w:w="1547" w:type="dxa"/>
            <w:tcBorders>
              <w:bottom w:val="single" w:sz="4" w:space="0" w:color="000000"/>
            </w:tcBorders>
            <w:shd w:val="clear" w:color="auto" w:fill="FFFFFF" w:themeFill="background1"/>
            <w:vAlign w:val="bottom"/>
          </w:tcPr>
          <w:p w:rsidR="001A4E60" w:rsidRPr="00990D3B" w:rsidP="001A4E60" w14:paraId="664795BB" w14:textId="64454481">
            <w:pPr>
              <w:pStyle w:val="EQRTableText"/>
              <w:rPr>
                <w:b/>
                <w:bCs/>
              </w:rPr>
            </w:pPr>
            <w:r w:rsidRPr="00990D3B">
              <w:rPr>
                <w:b/>
                <w:bCs/>
              </w:rPr>
              <w:t>[Performance measure]</w:t>
            </w:r>
          </w:p>
        </w:tc>
        <w:tc>
          <w:tcPr>
            <w:tcW w:w="1547" w:type="dxa"/>
            <w:tcBorders>
              <w:bottom w:val="single" w:sz="4" w:space="0" w:color="000000"/>
            </w:tcBorders>
            <w:shd w:val="clear" w:color="auto" w:fill="FFFFFF" w:themeFill="background1"/>
            <w:vAlign w:val="bottom"/>
          </w:tcPr>
          <w:p w:rsidR="001A4E60" w:rsidRPr="00990D3B" w:rsidP="001A4E60" w14:paraId="63481573" w14:textId="5934032E">
            <w:pPr>
              <w:pStyle w:val="EQRTableText"/>
              <w:rPr>
                <w:b/>
                <w:bCs/>
              </w:rPr>
            </w:pPr>
            <w:r w:rsidRPr="00990D3B">
              <w:rPr>
                <w:b/>
                <w:bCs/>
              </w:rPr>
              <w:t>[Performance measure]</w:t>
            </w:r>
          </w:p>
        </w:tc>
        <w:tc>
          <w:tcPr>
            <w:tcW w:w="1547" w:type="dxa"/>
            <w:tcBorders>
              <w:bottom w:val="single" w:sz="4" w:space="0" w:color="000000"/>
            </w:tcBorders>
            <w:shd w:val="clear" w:color="auto" w:fill="FFFFFF" w:themeFill="background1"/>
            <w:vAlign w:val="bottom"/>
          </w:tcPr>
          <w:p w:rsidR="001A4E60" w:rsidRPr="00990D3B" w:rsidP="001A4E60" w14:paraId="5F6BD9E8" w14:textId="0BA95E3E">
            <w:pPr>
              <w:pStyle w:val="EQRTableText"/>
              <w:rPr>
                <w:b/>
                <w:bCs/>
              </w:rPr>
            </w:pPr>
            <w:r w:rsidRPr="00990D3B">
              <w:rPr>
                <w:b/>
                <w:bCs/>
              </w:rPr>
              <w:t>[Performance measure]</w:t>
            </w:r>
          </w:p>
        </w:tc>
        <w:tc>
          <w:tcPr>
            <w:tcW w:w="1547" w:type="dxa"/>
            <w:shd w:val="clear" w:color="auto" w:fill="FFFFFF" w:themeFill="background1"/>
            <w:vAlign w:val="bottom"/>
          </w:tcPr>
          <w:p w:rsidR="001A4E60" w:rsidRPr="00990D3B" w:rsidP="001A4E60" w14:paraId="47938028" w14:textId="0D777F23">
            <w:pPr>
              <w:pStyle w:val="EQRTableText"/>
              <w:rPr>
                <w:b/>
                <w:bCs/>
              </w:rPr>
            </w:pPr>
            <w:r w:rsidRPr="00990D3B">
              <w:rPr>
                <w:b/>
                <w:bCs/>
              </w:rPr>
              <w:t>[Performance measure]</w:t>
            </w:r>
          </w:p>
        </w:tc>
      </w:tr>
      <w:tr w14:paraId="656537A1" w14:textId="77777777" w:rsidTr="00396DE8">
        <w:tblPrEx>
          <w:tblW w:w="5000" w:type="pct"/>
          <w:tblLook w:val="00A0"/>
        </w:tblPrEx>
        <w:trPr>
          <w:cantSplit/>
        </w:trPr>
        <w:tc>
          <w:tcPr>
            <w:tcW w:w="1615" w:type="dxa"/>
            <w:tcBorders>
              <w:right w:val="nil"/>
            </w:tcBorders>
          </w:tcPr>
          <w:p w:rsidR="00D7261B" w:rsidRPr="00990D3B" w:rsidP="00396DE8" w14:paraId="5794CC30" w14:textId="6559AC1B">
            <w:pPr>
              <w:pStyle w:val="EQRTableText"/>
              <w:rPr>
                <w:b/>
              </w:rPr>
            </w:pPr>
            <w:r w:rsidRPr="00990D3B">
              <w:rPr>
                <w:b/>
              </w:rPr>
              <w:t>Denominator</w:t>
            </w:r>
            <w:r w:rsidRPr="00990D3B" w:rsidR="001A4E60">
              <w:rPr>
                <w:b/>
              </w:rPr>
              <w:t xml:space="preserve"> </w:t>
            </w:r>
          </w:p>
        </w:tc>
        <w:tc>
          <w:tcPr>
            <w:tcW w:w="1547" w:type="dxa"/>
            <w:tcBorders>
              <w:left w:val="nil"/>
              <w:right w:val="nil"/>
            </w:tcBorders>
          </w:tcPr>
          <w:p w:rsidR="00D7261B" w:rsidRPr="00990D3B" w:rsidP="00396DE8" w14:paraId="026A367E" w14:textId="77777777">
            <w:pPr>
              <w:pStyle w:val="EQRTableText"/>
            </w:pPr>
            <w:r w:rsidRPr="00990D3B">
              <w:t> </w:t>
            </w:r>
          </w:p>
        </w:tc>
        <w:tc>
          <w:tcPr>
            <w:tcW w:w="1547" w:type="dxa"/>
            <w:tcBorders>
              <w:left w:val="nil"/>
              <w:right w:val="nil"/>
            </w:tcBorders>
          </w:tcPr>
          <w:p w:rsidR="00D7261B" w:rsidRPr="00990D3B" w:rsidP="00396DE8" w14:paraId="3FB931AD" w14:textId="77777777">
            <w:pPr>
              <w:pStyle w:val="EQRTableText"/>
            </w:pPr>
            <w:r w:rsidRPr="00990D3B">
              <w:t> </w:t>
            </w:r>
          </w:p>
        </w:tc>
        <w:tc>
          <w:tcPr>
            <w:tcW w:w="1547" w:type="dxa"/>
            <w:tcBorders>
              <w:left w:val="nil"/>
              <w:right w:val="nil"/>
            </w:tcBorders>
          </w:tcPr>
          <w:p w:rsidR="00D7261B" w:rsidRPr="00990D3B" w:rsidP="00396DE8" w14:paraId="3EB392A4" w14:textId="77777777">
            <w:pPr>
              <w:pStyle w:val="EQRTableText"/>
            </w:pPr>
            <w:r w:rsidRPr="00990D3B">
              <w:t> </w:t>
            </w:r>
          </w:p>
        </w:tc>
        <w:tc>
          <w:tcPr>
            <w:tcW w:w="1547" w:type="dxa"/>
            <w:tcBorders>
              <w:left w:val="nil"/>
              <w:right w:val="nil"/>
            </w:tcBorders>
          </w:tcPr>
          <w:p w:rsidR="00D7261B" w:rsidRPr="00990D3B" w:rsidP="00396DE8" w14:paraId="0A0D716D" w14:textId="77777777">
            <w:pPr>
              <w:pStyle w:val="EQRTableText"/>
            </w:pPr>
            <w:r w:rsidRPr="00990D3B">
              <w:t> </w:t>
            </w:r>
          </w:p>
        </w:tc>
        <w:tc>
          <w:tcPr>
            <w:tcW w:w="1547" w:type="dxa"/>
            <w:tcBorders>
              <w:left w:val="nil"/>
            </w:tcBorders>
          </w:tcPr>
          <w:p w:rsidR="00D7261B" w:rsidRPr="00990D3B" w:rsidP="00396DE8" w14:paraId="40C51FE4" w14:textId="77777777">
            <w:pPr>
              <w:pStyle w:val="EQRTableText"/>
            </w:pPr>
            <w:r w:rsidRPr="00990D3B">
              <w:t> </w:t>
            </w:r>
          </w:p>
        </w:tc>
      </w:tr>
      <w:tr w14:paraId="6C65FD20" w14:textId="77777777" w:rsidTr="00396DE8">
        <w:tblPrEx>
          <w:tblW w:w="5000" w:type="pct"/>
          <w:tblLook w:val="00A0"/>
        </w:tblPrEx>
        <w:trPr>
          <w:cantSplit/>
        </w:trPr>
        <w:tc>
          <w:tcPr>
            <w:tcW w:w="1615" w:type="dxa"/>
          </w:tcPr>
          <w:p w:rsidR="00D7261B" w:rsidRPr="00990D3B" w:rsidP="00396DE8" w14:paraId="77141877" w14:textId="77777777">
            <w:pPr>
              <w:pStyle w:val="EQRTableText"/>
            </w:pPr>
            <w:r w:rsidRPr="00990D3B">
              <w:t>Date of birth</w:t>
            </w:r>
          </w:p>
        </w:tc>
        <w:tc>
          <w:tcPr>
            <w:tcW w:w="1547" w:type="dxa"/>
          </w:tcPr>
          <w:p w:rsidR="00D7261B" w:rsidRPr="00990D3B" w:rsidP="00396DE8" w14:paraId="58FB8C88" w14:textId="77777777">
            <w:pPr>
              <w:pStyle w:val="EQRTableText"/>
            </w:pPr>
            <w:r w:rsidRPr="00990D3B">
              <w:t> </w:t>
            </w:r>
          </w:p>
        </w:tc>
        <w:tc>
          <w:tcPr>
            <w:tcW w:w="1547" w:type="dxa"/>
          </w:tcPr>
          <w:p w:rsidR="00D7261B" w:rsidRPr="00990D3B" w:rsidP="00396DE8" w14:paraId="454B2E9F" w14:textId="77777777">
            <w:pPr>
              <w:pStyle w:val="EQRTableText"/>
            </w:pPr>
            <w:r w:rsidRPr="00990D3B">
              <w:t> </w:t>
            </w:r>
          </w:p>
        </w:tc>
        <w:tc>
          <w:tcPr>
            <w:tcW w:w="1547" w:type="dxa"/>
          </w:tcPr>
          <w:p w:rsidR="00D7261B" w:rsidRPr="00990D3B" w:rsidP="00396DE8" w14:paraId="70487535" w14:textId="77777777">
            <w:pPr>
              <w:pStyle w:val="EQRTableText"/>
            </w:pPr>
            <w:r w:rsidRPr="00990D3B">
              <w:t> </w:t>
            </w:r>
          </w:p>
        </w:tc>
        <w:tc>
          <w:tcPr>
            <w:tcW w:w="1547" w:type="dxa"/>
          </w:tcPr>
          <w:p w:rsidR="00D7261B" w:rsidRPr="00990D3B" w:rsidP="00396DE8" w14:paraId="26C55E3A" w14:textId="77777777">
            <w:pPr>
              <w:pStyle w:val="EQRTableText"/>
            </w:pPr>
            <w:r w:rsidRPr="00990D3B">
              <w:t> </w:t>
            </w:r>
          </w:p>
        </w:tc>
        <w:tc>
          <w:tcPr>
            <w:tcW w:w="1547" w:type="dxa"/>
          </w:tcPr>
          <w:p w:rsidR="00D7261B" w:rsidRPr="00990D3B" w:rsidP="00396DE8" w14:paraId="7CBCA72A" w14:textId="77777777">
            <w:pPr>
              <w:pStyle w:val="EQRTableText"/>
            </w:pPr>
            <w:r w:rsidRPr="00990D3B">
              <w:t> </w:t>
            </w:r>
          </w:p>
        </w:tc>
      </w:tr>
      <w:tr w14:paraId="257E79E9" w14:textId="77777777" w:rsidTr="00396DE8">
        <w:tblPrEx>
          <w:tblW w:w="5000" w:type="pct"/>
          <w:tblLook w:val="00A0"/>
        </w:tblPrEx>
        <w:trPr>
          <w:cantSplit/>
        </w:trPr>
        <w:tc>
          <w:tcPr>
            <w:tcW w:w="1615" w:type="dxa"/>
          </w:tcPr>
          <w:p w:rsidR="00D7261B" w:rsidRPr="00990D3B" w:rsidP="00396DE8" w14:paraId="1FACB308" w14:textId="77777777">
            <w:pPr>
              <w:pStyle w:val="EQRTableText"/>
            </w:pPr>
            <w:r w:rsidRPr="00990D3B">
              <w:t>Sex</w:t>
            </w:r>
          </w:p>
        </w:tc>
        <w:tc>
          <w:tcPr>
            <w:tcW w:w="1547" w:type="dxa"/>
          </w:tcPr>
          <w:p w:rsidR="00D7261B" w:rsidRPr="00990D3B" w:rsidP="00396DE8" w14:paraId="3F5CFDDE" w14:textId="77777777">
            <w:pPr>
              <w:pStyle w:val="EQRTableText"/>
            </w:pPr>
            <w:r w:rsidRPr="00990D3B">
              <w:t> </w:t>
            </w:r>
          </w:p>
        </w:tc>
        <w:tc>
          <w:tcPr>
            <w:tcW w:w="1547" w:type="dxa"/>
          </w:tcPr>
          <w:p w:rsidR="00D7261B" w:rsidRPr="00990D3B" w:rsidP="00396DE8" w14:paraId="6D83FDD2" w14:textId="77777777">
            <w:pPr>
              <w:pStyle w:val="EQRTableText"/>
            </w:pPr>
            <w:r w:rsidRPr="00990D3B">
              <w:t> </w:t>
            </w:r>
          </w:p>
        </w:tc>
        <w:tc>
          <w:tcPr>
            <w:tcW w:w="1547" w:type="dxa"/>
          </w:tcPr>
          <w:p w:rsidR="00D7261B" w:rsidRPr="00990D3B" w:rsidP="00396DE8" w14:paraId="7BAD48C3" w14:textId="77777777">
            <w:pPr>
              <w:pStyle w:val="EQRTableText"/>
            </w:pPr>
            <w:r w:rsidRPr="00990D3B">
              <w:t> </w:t>
            </w:r>
          </w:p>
        </w:tc>
        <w:tc>
          <w:tcPr>
            <w:tcW w:w="1547" w:type="dxa"/>
          </w:tcPr>
          <w:p w:rsidR="00D7261B" w:rsidRPr="00990D3B" w:rsidP="00396DE8" w14:paraId="41CD5B33" w14:textId="77777777">
            <w:pPr>
              <w:pStyle w:val="EQRTableText"/>
            </w:pPr>
            <w:r w:rsidRPr="00990D3B">
              <w:t> </w:t>
            </w:r>
          </w:p>
        </w:tc>
        <w:tc>
          <w:tcPr>
            <w:tcW w:w="1547" w:type="dxa"/>
          </w:tcPr>
          <w:p w:rsidR="00D7261B" w:rsidRPr="00990D3B" w:rsidP="00396DE8" w14:paraId="7E307ED4" w14:textId="77777777">
            <w:pPr>
              <w:pStyle w:val="EQRTableText"/>
            </w:pPr>
            <w:r w:rsidRPr="00990D3B">
              <w:t> </w:t>
            </w:r>
          </w:p>
        </w:tc>
      </w:tr>
      <w:tr w14:paraId="2B66BC8A" w14:textId="77777777" w:rsidTr="00396DE8">
        <w:tblPrEx>
          <w:tblW w:w="5000" w:type="pct"/>
          <w:tblLook w:val="00A0"/>
        </w:tblPrEx>
        <w:trPr>
          <w:cantSplit/>
        </w:trPr>
        <w:tc>
          <w:tcPr>
            <w:tcW w:w="1615" w:type="dxa"/>
          </w:tcPr>
          <w:p w:rsidR="00D7261B" w:rsidRPr="00990D3B" w:rsidP="00396DE8" w14:paraId="0017B2E5" w14:textId="77777777">
            <w:pPr>
              <w:pStyle w:val="EQRTableText"/>
            </w:pPr>
            <w:r w:rsidRPr="00990D3B">
              <w:t>Enrollment date</w:t>
            </w:r>
          </w:p>
        </w:tc>
        <w:tc>
          <w:tcPr>
            <w:tcW w:w="1547" w:type="dxa"/>
          </w:tcPr>
          <w:p w:rsidR="00D7261B" w:rsidRPr="00990D3B" w:rsidP="00396DE8" w14:paraId="2836A71A" w14:textId="77777777">
            <w:pPr>
              <w:pStyle w:val="EQRTableText"/>
            </w:pPr>
            <w:r w:rsidRPr="00990D3B">
              <w:t> </w:t>
            </w:r>
          </w:p>
        </w:tc>
        <w:tc>
          <w:tcPr>
            <w:tcW w:w="1547" w:type="dxa"/>
          </w:tcPr>
          <w:p w:rsidR="00D7261B" w:rsidRPr="00990D3B" w:rsidP="00396DE8" w14:paraId="53B554DB" w14:textId="77777777">
            <w:pPr>
              <w:pStyle w:val="EQRTableText"/>
            </w:pPr>
            <w:r w:rsidRPr="00990D3B">
              <w:t> </w:t>
            </w:r>
          </w:p>
        </w:tc>
        <w:tc>
          <w:tcPr>
            <w:tcW w:w="1547" w:type="dxa"/>
          </w:tcPr>
          <w:p w:rsidR="00D7261B" w:rsidRPr="00990D3B" w:rsidP="00396DE8" w14:paraId="6E8536D0" w14:textId="77777777">
            <w:pPr>
              <w:pStyle w:val="EQRTableText"/>
            </w:pPr>
            <w:r w:rsidRPr="00990D3B">
              <w:t> </w:t>
            </w:r>
          </w:p>
        </w:tc>
        <w:tc>
          <w:tcPr>
            <w:tcW w:w="1547" w:type="dxa"/>
          </w:tcPr>
          <w:p w:rsidR="00D7261B" w:rsidRPr="00990D3B" w:rsidP="00396DE8" w14:paraId="0794C0ED" w14:textId="77777777">
            <w:pPr>
              <w:pStyle w:val="EQRTableText"/>
            </w:pPr>
            <w:r w:rsidRPr="00990D3B">
              <w:t> </w:t>
            </w:r>
          </w:p>
        </w:tc>
        <w:tc>
          <w:tcPr>
            <w:tcW w:w="1547" w:type="dxa"/>
          </w:tcPr>
          <w:p w:rsidR="00D7261B" w:rsidRPr="00990D3B" w:rsidP="00396DE8" w14:paraId="70BA0535" w14:textId="77777777">
            <w:pPr>
              <w:pStyle w:val="EQRTableText"/>
            </w:pPr>
            <w:r w:rsidRPr="00990D3B">
              <w:t> </w:t>
            </w:r>
          </w:p>
        </w:tc>
      </w:tr>
      <w:tr w14:paraId="6D09DF13" w14:textId="77777777" w:rsidTr="00396DE8">
        <w:tblPrEx>
          <w:tblW w:w="5000" w:type="pct"/>
          <w:tblLook w:val="00A0"/>
        </w:tblPrEx>
        <w:trPr>
          <w:cantSplit/>
        </w:trPr>
        <w:tc>
          <w:tcPr>
            <w:tcW w:w="1615" w:type="dxa"/>
          </w:tcPr>
          <w:p w:rsidR="00D7261B" w:rsidRPr="00990D3B" w:rsidP="00396DE8" w14:paraId="1F5BBE65" w14:textId="77777777">
            <w:pPr>
              <w:pStyle w:val="EQRTableText"/>
            </w:pPr>
            <w:r w:rsidRPr="00990D3B">
              <w:t>Disenrollment date</w:t>
            </w:r>
          </w:p>
        </w:tc>
        <w:tc>
          <w:tcPr>
            <w:tcW w:w="1547" w:type="dxa"/>
          </w:tcPr>
          <w:p w:rsidR="00D7261B" w:rsidRPr="00990D3B" w:rsidP="00396DE8" w14:paraId="1DA3EE61" w14:textId="77777777">
            <w:pPr>
              <w:pStyle w:val="EQRTableText"/>
            </w:pPr>
            <w:r w:rsidRPr="00990D3B">
              <w:t> </w:t>
            </w:r>
          </w:p>
        </w:tc>
        <w:tc>
          <w:tcPr>
            <w:tcW w:w="1547" w:type="dxa"/>
          </w:tcPr>
          <w:p w:rsidR="00D7261B" w:rsidRPr="00990D3B" w:rsidP="00396DE8" w14:paraId="34FCAFDE" w14:textId="77777777">
            <w:pPr>
              <w:pStyle w:val="EQRTableText"/>
            </w:pPr>
            <w:r w:rsidRPr="00990D3B">
              <w:t> </w:t>
            </w:r>
          </w:p>
        </w:tc>
        <w:tc>
          <w:tcPr>
            <w:tcW w:w="1547" w:type="dxa"/>
          </w:tcPr>
          <w:p w:rsidR="00D7261B" w:rsidRPr="00990D3B" w:rsidP="00396DE8" w14:paraId="5CF3AD11" w14:textId="77777777">
            <w:pPr>
              <w:pStyle w:val="EQRTableText"/>
            </w:pPr>
            <w:r w:rsidRPr="00990D3B">
              <w:t> </w:t>
            </w:r>
          </w:p>
        </w:tc>
        <w:tc>
          <w:tcPr>
            <w:tcW w:w="1547" w:type="dxa"/>
          </w:tcPr>
          <w:p w:rsidR="00D7261B" w:rsidRPr="00990D3B" w:rsidP="00396DE8" w14:paraId="0B4341B7" w14:textId="77777777">
            <w:pPr>
              <w:pStyle w:val="EQRTableText"/>
            </w:pPr>
            <w:r w:rsidRPr="00990D3B">
              <w:t> </w:t>
            </w:r>
          </w:p>
        </w:tc>
        <w:tc>
          <w:tcPr>
            <w:tcW w:w="1547" w:type="dxa"/>
          </w:tcPr>
          <w:p w:rsidR="00D7261B" w:rsidRPr="00990D3B" w:rsidP="00396DE8" w14:paraId="2E3CC978" w14:textId="77777777">
            <w:pPr>
              <w:pStyle w:val="EQRTableText"/>
            </w:pPr>
            <w:r w:rsidRPr="00990D3B">
              <w:t> </w:t>
            </w:r>
          </w:p>
        </w:tc>
      </w:tr>
      <w:tr w14:paraId="02733ABF" w14:textId="77777777" w:rsidTr="00396DE8">
        <w:tblPrEx>
          <w:tblW w:w="5000" w:type="pct"/>
          <w:tblLook w:val="00A0"/>
        </w:tblPrEx>
        <w:trPr>
          <w:cantSplit/>
        </w:trPr>
        <w:tc>
          <w:tcPr>
            <w:tcW w:w="1615" w:type="dxa"/>
          </w:tcPr>
          <w:p w:rsidR="00D7261B" w:rsidRPr="00990D3B" w:rsidP="00396DE8" w14:paraId="2EBFDDFB" w14:textId="77777777">
            <w:pPr>
              <w:pStyle w:val="EQRTableText"/>
            </w:pPr>
            <w:r w:rsidRPr="00990D3B">
              <w:t>Diagnosis code</w:t>
            </w:r>
          </w:p>
        </w:tc>
        <w:tc>
          <w:tcPr>
            <w:tcW w:w="1547" w:type="dxa"/>
          </w:tcPr>
          <w:p w:rsidR="00D7261B" w:rsidRPr="00990D3B" w:rsidP="00396DE8" w14:paraId="11B3A640" w14:textId="77777777">
            <w:pPr>
              <w:pStyle w:val="EQRTableText"/>
            </w:pPr>
            <w:r w:rsidRPr="00990D3B">
              <w:t> </w:t>
            </w:r>
          </w:p>
        </w:tc>
        <w:tc>
          <w:tcPr>
            <w:tcW w:w="1547" w:type="dxa"/>
          </w:tcPr>
          <w:p w:rsidR="00D7261B" w:rsidRPr="00990D3B" w:rsidP="00396DE8" w14:paraId="33FDA457" w14:textId="77777777">
            <w:pPr>
              <w:pStyle w:val="EQRTableText"/>
            </w:pPr>
            <w:r w:rsidRPr="00990D3B">
              <w:t> </w:t>
            </w:r>
          </w:p>
        </w:tc>
        <w:tc>
          <w:tcPr>
            <w:tcW w:w="1547" w:type="dxa"/>
          </w:tcPr>
          <w:p w:rsidR="00D7261B" w:rsidRPr="00990D3B" w:rsidP="00396DE8" w14:paraId="24967533" w14:textId="77777777">
            <w:pPr>
              <w:pStyle w:val="EQRTableText"/>
            </w:pPr>
            <w:r w:rsidRPr="00990D3B">
              <w:t> </w:t>
            </w:r>
          </w:p>
        </w:tc>
        <w:tc>
          <w:tcPr>
            <w:tcW w:w="1547" w:type="dxa"/>
          </w:tcPr>
          <w:p w:rsidR="00D7261B" w:rsidRPr="00990D3B" w:rsidP="00396DE8" w14:paraId="3B1AE5F7" w14:textId="77777777">
            <w:pPr>
              <w:pStyle w:val="EQRTableText"/>
            </w:pPr>
            <w:r w:rsidRPr="00990D3B">
              <w:t> </w:t>
            </w:r>
          </w:p>
        </w:tc>
        <w:tc>
          <w:tcPr>
            <w:tcW w:w="1547" w:type="dxa"/>
          </w:tcPr>
          <w:p w:rsidR="00D7261B" w:rsidRPr="00990D3B" w:rsidP="00396DE8" w14:paraId="11F516AA" w14:textId="77777777">
            <w:pPr>
              <w:pStyle w:val="EQRTableText"/>
            </w:pPr>
            <w:r w:rsidRPr="00990D3B">
              <w:t> </w:t>
            </w:r>
          </w:p>
        </w:tc>
      </w:tr>
      <w:tr w14:paraId="6492A074" w14:textId="77777777" w:rsidTr="00396DE8">
        <w:tblPrEx>
          <w:tblW w:w="5000" w:type="pct"/>
          <w:tblLook w:val="00A0"/>
        </w:tblPrEx>
        <w:trPr>
          <w:cantSplit/>
        </w:trPr>
        <w:tc>
          <w:tcPr>
            <w:tcW w:w="1615" w:type="dxa"/>
          </w:tcPr>
          <w:p w:rsidR="00D7261B" w:rsidRPr="00990D3B" w:rsidP="00396DE8" w14:paraId="19A173B3" w14:textId="77777777">
            <w:pPr>
              <w:pStyle w:val="EQRTableText"/>
            </w:pPr>
            <w:r w:rsidRPr="00990D3B">
              <w:t>Procedure code</w:t>
            </w:r>
          </w:p>
        </w:tc>
        <w:tc>
          <w:tcPr>
            <w:tcW w:w="1547" w:type="dxa"/>
          </w:tcPr>
          <w:p w:rsidR="00D7261B" w:rsidRPr="00990D3B" w:rsidP="00396DE8" w14:paraId="61E06A5A" w14:textId="77777777">
            <w:pPr>
              <w:pStyle w:val="EQRTableText"/>
            </w:pPr>
            <w:r w:rsidRPr="00990D3B">
              <w:t> </w:t>
            </w:r>
          </w:p>
        </w:tc>
        <w:tc>
          <w:tcPr>
            <w:tcW w:w="1547" w:type="dxa"/>
          </w:tcPr>
          <w:p w:rsidR="00D7261B" w:rsidRPr="00990D3B" w:rsidP="00396DE8" w14:paraId="795CE4BF" w14:textId="77777777">
            <w:pPr>
              <w:pStyle w:val="EQRTableText"/>
            </w:pPr>
            <w:r w:rsidRPr="00990D3B">
              <w:t> </w:t>
            </w:r>
          </w:p>
        </w:tc>
        <w:tc>
          <w:tcPr>
            <w:tcW w:w="1547" w:type="dxa"/>
          </w:tcPr>
          <w:p w:rsidR="00D7261B" w:rsidRPr="00990D3B" w:rsidP="00396DE8" w14:paraId="7BC05C5C" w14:textId="77777777">
            <w:pPr>
              <w:pStyle w:val="EQRTableText"/>
            </w:pPr>
            <w:r w:rsidRPr="00990D3B">
              <w:t> </w:t>
            </w:r>
          </w:p>
        </w:tc>
        <w:tc>
          <w:tcPr>
            <w:tcW w:w="1547" w:type="dxa"/>
          </w:tcPr>
          <w:p w:rsidR="00D7261B" w:rsidRPr="00990D3B" w:rsidP="00396DE8" w14:paraId="1DA421B2" w14:textId="77777777">
            <w:pPr>
              <w:pStyle w:val="EQRTableText"/>
            </w:pPr>
            <w:r w:rsidRPr="00990D3B">
              <w:t> </w:t>
            </w:r>
          </w:p>
        </w:tc>
        <w:tc>
          <w:tcPr>
            <w:tcW w:w="1547" w:type="dxa"/>
          </w:tcPr>
          <w:p w:rsidR="00D7261B" w:rsidRPr="00990D3B" w:rsidP="00396DE8" w14:paraId="3CAD6F46" w14:textId="77777777">
            <w:pPr>
              <w:pStyle w:val="EQRTableText"/>
            </w:pPr>
            <w:r w:rsidRPr="00990D3B">
              <w:t> </w:t>
            </w:r>
          </w:p>
        </w:tc>
      </w:tr>
      <w:tr w14:paraId="22FDF324" w14:textId="77777777" w:rsidTr="00396DE8">
        <w:tblPrEx>
          <w:tblW w:w="5000" w:type="pct"/>
          <w:tblLook w:val="00A0"/>
        </w:tblPrEx>
        <w:trPr>
          <w:cantSplit/>
        </w:trPr>
        <w:tc>
          <w:tcPr>
            <w:tcW w:w="1615" w:type="dxa"/>
          </w:tcPr>
          <w:p w:rsidR="00D7261B" w:rsidRPr="00990D3B" w:rsidP="00396DE8" w14:paraId="68225BAE" w14:textId="77777777">
            <w:pPr>
              <w:pStyle w:val="EQRTableText"/>
            </w:pPr>
            <w:r w:rsidRPr="00990D3B">
              <w:t>Service date</w:t>
            </w:r>
          </w:p>
        </w:tc>
        <w:tc>
          <w:tcPr>
            <w:tcW w:w="1547" w:type="dxa"/>
          </w:tcPr>
          <w:p w:rsidR="00D7261B" w:rsidRPr="00990D3B" w:rsidP="00396DE8" w14:paraId="0923FE60" w14:textId="77777777">
            <w:pPr>
              <w:pStyle w:val="EQRTableText"/>
            </w:pPr>
            <w:r w:rsidRPr="00990D3B">
              <w:t> </w:t>
            </w:r>
          </w:p>
        </w:tc>
        <w:tc>
          <w:tcPr>
            <w:tcW w:w="1547" w:type="dxa"/>
          </w:tcPr>
          <w:p w:rsidR="00D7261B" w:rsidRPr="00990D3B" w:rsidP="00396DE8" w14:paraId="44E26C63" w14:textId="77777777">
            <w:pPr>
              <w:pStyle w:val="EQRTableText"/>
            </w:pPr>
            <w:r w:rsidRPr="00990D3B">
              <w:t> </w:t>
            </w:r>
          </w:p>
        </w:tc>
        <w:tc>
          <w:tcPr>
            <w:tcW w:w="1547" w:type="dxa"/>
          </w:tcPr>
          <w:p w:rsidR="00D7261B" w:rsidRPr="00990D3B" w:rsidP="00396DE8" w14:paraId="3D64DEB1" w14:textId="77777777">
            <w:pPr>
              <w:pStyle w:val="EQRTableText"/>
            </w:pPr>
            <w:r w:rsidRPr="00990D3B">
              <w:t> </w:t>
            </w:r>
          </w:p>
        </w:tc>
        <w:tc>
          <w:tcPr>
            <w:tcW w:w="1547" w:type="dxa"/>
          </w:tcPr>
          <w:p w:rsidR="00D7261B" w:rsidRPr="00990D3B" w:rsidP="00396DE8" w14:paraId="61C00623" w14:textId="77777777">
            <w:pPr>
              <w:pStyle w:val="EQRTableText"/>
            </w:pPr>
            <w:r w:rsidRPr="00990D3B">
              <w:t> </w:t>
            </w:r>
          </w:p>
        </w:tc>
        <w:tc>
          <w:tcPr>
            <w:tcW w:w="1547" w:type="dxa"/>
          </w:tcPr>
          <w:p w:rsidR="00D7261B" w:rsidRPr="00990D3B" w:rsidP="00396DE8" w14:paraId="1EB864C1" w14:textId="77777777">
            <w:pPr>
              <w:pStyle w:val="EQRTableText"/>
            </w:pPr>
            <w:r w:rsidRPr="00990D3B">
              <w:t> </w:t>
            </w:r>
          </w:p>
        </w:tc>
      </w:tr>
      <w:tr w14:paraId="4F12B454" w14:textId="77777777" w:rsidTr="00396DE8">
        <w:tblPrEx>
          <w:tblW w:w="5000" w:type="pct"/>
          <w:tblLook w:val="00A0"/>
        </w:tblPrEx>
        <w:trPr>
          <w:cantSplit/>
        </w:trPr>
        <w:tc>
          <w:tcPr>
            <w:tcW w:w="1615" w:type="dxa"/>
          </w:tcPr>
          <w:p w:rsidR="00D7261B" w:rsidRPr="00990D3B" w:rsidP="00396DE8" w14:paraId="03657A4F" w14:textId="77777777">
            <w:pPr>
              <w:pStyle w:val="EQRTableText"/>
            </w:pPr>
            <w:r w:rsidRPr="00990D3B">
              <w:t>Provider ID</w:t>
            </w:r>
          </w:p>
        </w:tc>
        <w:tc>
          <w:tcPr>
            <w:tcW w:w="1547" w:type="dxa"/>
            <w:tcBorders>
              <w:bottom w:val="single" w:sz="4" w:space="0" w:color="000000"/>
            </w:tcBorders>
          </w:tcPr>
          <w:p w:rsidR="00D7261B" w:rsidRPr="00990D3B" w:rsidP="00396DE8" w14:paraId="6711CE16" w14:textId="77777777">
            <w:pPr>
              <w:pStyle w:val="EQRTableText"/>
            </w:pPr>
            <w:r w:rsidRPr="00990D3B">
              <w:t> </w:t>
            </w:r>
          </w:p>
        </w:tc>
        <w:tc>
          <w:tcPr>
            <w:tcW w:w="1547" w:type="dxa"/>
            <w:tcBorders>
              <w:bottom w:val="single" w:sz="4" w:space="0" w:color="000000"/>
            </w:tcBorders>
          </w:tcPr>
          <w:p w:rsidR="00D7261B" w:rsidRPr="00990D3B" w:rsidP="00396DE8" w14:paraId="311C1456" w14:textId="77777777">
            <w:pPr>
              <w:pStyle w:val="EQRTableText"/>
            </w:pPr>
            <w:r w:rsidRPr="00990D3B">
              <w:t> </w:t>
            </w:r>
          </w:p>
        </w:tc>
        <w:tc>
          <w:tcPr>
            <w:tcW w:w="1547" w:type="dxa"/>
            <w:tcBorders>
              <w:bottom w:val="single" w:sz="4" w:space="0" w:color="000000"/>
            </w:tcBorders>
          </w:tcPr>
          <w:p w:rsidR="00D7261B" w:rsidRPr="00990D3B" w:rsidP="00396DE8" w14:paraId="1D44E1C3" w14:textId="77777777">
            <w:pPr>
              <w:pStyle w:val="EQRTableText"/>
            </w:pPr>
            <w:r w:rsidRPr="00990D3B">
              <w:t> </w:t>
            </w:r>
          </w:p>
        </w:tc>
        <w:tc>
          <w:tcPr>
            <w:tcW w:w="1547" w:type="dxa"/>
            <w:tcBorders>
              <w:bottom w:val="single" w:sz="4" w:space="0" w:color="000000"/>
            </w:tcBorders>
          </w:tcPr>
          <w:p w:rsidR="00D7261B" w:rsidRPr="00990D3B" w:rsidP="00396DE8" w14:paraId="7695CA5B" w14:textId="77777777">
            <w:pPr>
              <w:pStyle w:val="EQRTableText"/>
            </w:pPr>
            <w:r w:rsidRPr="00990D3B">
              <w:t> </w:t>
            </w:r>
          </w:p>
        </w:tc>
        <w:tc>
          <w:tcPr>
            <w:tcW w:w="1547" w:type="dxa"/>
          </w:tcPr>
          <w:p w:rsidR="00D7261B" w:rsidRPr="00990D3B" w:rsidP="00396DE8" w14:paraId="6B810110" w14:textId="77777777">
            <w:pPr>
              <w:pStyle w:val="EQRTableText"/>
            </w:pPr>
            <w:r w:rsidRPr="00990D3B">
              <w:t> </w:t>
            </w:r>
          </w:p>
        </w:tc>
      </w:tr>
      <w:tr w14:paraId="4D09142A" w14:textId="77777777" w:rsidTr="00396DE8">
        <w:tblPrEx>
          <w:tblW w:w="5000" w:type="pct"/>
          <w:tblLook w:val="00A0"/>
        </w:tblPrEx>
        <w:trPr>
          <w:cantSplit/>
        </w:trPr>
        <w:tc>
          <w:tcPr>
            <w:tcW w:w="1615" w:type="dxa"/>
            <w:tcBorders>
              <w:right w:val="nil"/>
            </w:tcBorders>
          </w:tcPr>
          <w:p w:rsidR="00D7261B" w:rsidRPr="00990D3B" w:rsidP="00396DE8" w14:paraId="1B9CDB8D" w14:textId="7E939B89">
            <w:pPr>
              <w:pStyle w:val="EQRTableText"/>
              <w:rPr>
                <w:b/>
              </w:rPr>
            </w:pPr>
            <w:r w:rsidRPr="00990D3B">
              <w:rPr>
                <w:b/>
              </w:rPr>
              <w:t xml:space="preserve">Numerator </w:t>
            </w:r>
          </w:p>
        </w:tc>
        <w:tc>
          <w:tcPr>
            <w:tcW w:w="1547" w:type="dxa"/>
            <w:tcBorders>
              <w:left w:val="nil"/>
              <w:right w:val="nil"/>
            </w:tcBorders>
          </w:tcPr>
          <w:p w:rsidR="00D7261B" w:rsidRPr="00990D3B" w:rsidP="00396DE8" w14:paraId="6B9F6C50" w14:textId="77777777">
            <w:pPr>
              <w:pStyle w:val="EQRTableText"/>
            </w:pPr>
            <w:r w:rsidRPr="00990D3B">
              <w:t> </w:t>
            </w:r>
          </w:p>
        </w:tc>
        <w:tc>
          <w:tcPr>
            <w:tcW w:w="1547" w:type="dxa"/>
            <w:tcBorders>
              <w:left w:val="nil"/>
              <w:right w:val="nil"/>
            </w:tcBorders>
          </w:tcPr>
          <w:p w:rsidR="00D7261B" w:rsidRPr="00990D3B" w:rsidP="00396DE8" w14:paraId="5E0B2CD3" w14:textId="77777777">
            <w:pPr>
              <w:pStyle w:val="EQRTableText"/>
            </w:pPr>
            <w:r w:rsidRPr="00990D3B">
              <w:t> </w:t>
            </w:r>
          </w:p>
        </w:tc>
        <w:tc>
          <w:tcPr>
            <w:tcW w:w="1547" w:type="dxa"/>
            <w:tcBorders>
              <w:left w:val="nil"/>
              <w:right w:val="nil"/>
            </w:tcBorders>
          </w:tcPr>
          <w:p w:rsidR="00D7261B" w:rsidRPr="00990D3B" w:rsidP="00396DE8" w14:paraId="6DC38CEA" w14:textId="77777777">
            <w:pPr>
              <w:pStyle w:val="EQRTableText"/>
            </w:pPr>
            <w:r w:rsidRPr="00990D3B">
              <w:t> </w:t>
            </w:r>
          </w:p>
        </w:tc>
        <w:tc>
          <w:tcPr>
            <w:tcW w:w="1547" w:type="dxa"/>
            <w:tcBorders>
              <w:left w:val="nil"/>
              <w:right w:val="nil"/>
            </w:tcBorders>
          </w:tcPr>
          <w:p w:rsidR="00D7261B" w:rsidRPr="00990D3B" w:rsidP="00396DE8" w14:paraId="0201ED4A" w14:textId="77777777">
            <w:pPr>
              <w:pStyle w:val="EQRTableText"/>
            </w:pPr>
            <w:r w:rsidRPr="00990D3B">
              <w:t> </w:t>
            </w:r>
          </w:p>
        </w:tc>
        <w:tc>
          <w:tcPr>
            <w:tcW w:w="1547" w:type="dxa"/>
            <w:tcBorders>
              <w:left w:val="nil"/>
            </w:tcBorders>
          </w:tcPr>
          <w:p w:rsidR="00D7261B" w:rsidRPr="00990D3B" w:rsidP="00396DE8" w14:paraId="1EF8E229" w14:textId="77777777">
            <w:pPr>
              <w:pStyle w:val="EQRTableText"/>
            </w:pPr>
            <w:r w:rsidRPr="00990D3B">
              <w:t> </w:t>
            </w:r>
          </w:p>
        </w:tc>
      </w:tr>
      <w:tr w14:paraId="32184B4F" w14:textId="77777777" w:rsidTr="00396DE8">
        <w:tblPrEx>
          <w:tblW w:w="5000" w:type="pct"/>
          <w:tblLook w:val="00A0"/>
        </w:tblPrEx>
        <w:trPr>
          <w:cantSplit/>
        </w:trPr>
        <w:tc>
          <w:tcPr>
            <w:tcW w:w="1615" w:type="dxa"/>
          </w:tcPr>
          <w:p w:rsidR="00D7261B" w:rsidRPr="00990D3B" w:rsidP="00396DE8" w14:paraId="705774DC" w14:textId="77777777">
            <w:pPr>
              <w:pStyle w:val="EQRTableText"/>
            </w:pPr>
            <w:r w:rsidRPr="00990D3B">
              <w:t>Diagnosis code</w:t>
            </w:r>
          </w:p>
        </w:tc>
        <w:tc>
          <w:tcPr>
            <w:tcW w:w="1547" w:type="dxa"/>
          </w:tcPr>
          <w:p w:rsidR="00D7261B" w:rsidRPr="00990D3B" w:rsidP="00396DE8" w14:paraId="662B0173" w14:textId="77777777">
            <w:pPr>
              <w:pStyle w:val="EQRTableText"/>
            </w:pPr>
            <w:r w:rsidRPr="00990D3B">
              <w:t> </w:t>
            </w:r>
          </w:p>
        </w:tc>
        <w:tc>
          <w:tcPr>
            <w:tcW w:w="1547" w:type="dxa"/>
          </w:tcPr>
          <w:p w:rsidR="00D7261B" w:rsidRPr="00990D3B" w:rsidP="00396DE8" w14:paraId="1AE3776A" w14:textId="77777777">
            <w:pPr>
              <w:pStyle w:val="EQRTableText"/>
            </w:pPr>
            <w:r w:rsidRPr="00990D3B">
              <w:t> </w:t>
            </w:r>
          </w:p>
        </w:tc>
        <w:tc>
          <w:tcPr>
            <w:tcW w:w="1547" w:type="dxa"/>
          </w:tcPr>
          <w:p w:rsidR="00D7261B" w:rsidRPr="00990D3B" w:rsidP="00396DE8" w14:paraId="2368E0CC" w14:textId="77777777">
            <w:pPr>
              <w:pStyle w:val="EQRTableText"/>
            </w:pPr>
            <w:r w:rsidRPr="00990D3B">
              <w:t> </w:t>
            </w:r>
          </w:p>
        </w:tc>
        <w:tc>
          <w:tcPr>
            <w:tcW w:w="1547" w:type="dxa"/>
          </w:tcPr>
          <w:p w:rsidR="00D7261B" w:rsidRPr="00990D3B" w:rsidP="00396DE8" w14:paraId="0984A9EF" w14:textId="77777777">
            <w:pPr>
              <w:pStyle w:val="EQRTableText"/>
            </w:pPr>
            <w:r w:rsidRPr="00990D3B">
              <w:t> </w:t>
            </w:r>
          </w:p>
        </w:tc>
        <w:tc>
          <w:tcPr>
            <w:tcW w:w="1547" w:type="dxa"/>
          </w:tcPr>
          <w:p w:rsidR="00D7261B" w:rsidRPr="00990D3B" w:rsidP="00396DE8" w14:paraId="4177F5AA" w14:textId="77777777">
            <w:pPr>
              <w:pStyle w:val="EQRTableText"/>
            </w:pPr>
            <w:r w:rsidRPr="00990D3B">
              <w:t> </w:t>
            </w:r>
          </w:p>
        </w:tc>
      </w:tr>
      <w:tr w14:paraId="69F2927D" w14:textId="77777777" w:rsidTr="00396DE8">
        <w:tblPrEx>
          <w:tblW w:w="5000" w:type="pct"/>
          <w:tblLook w:val="00A0"/>
        </w:tblPrEx>
        <w:trPr>
          <w:cantSplit/>
        </w:trPr>
        <w:tc>
          <w:tcPr>
            <w:tcW w:w="1615" w:type="dxa"/>
          </w:tcPr>
          <w:p w:rsidR="00D7261B" w:rsidRPr="00990D3B" w:rsidP="00396DE8" w14:paraId="690DD34A" w14:textId="77777777">
            <w:pPr>
              <w:pStyle w:val="EQRTableText"/>
            </w:pPr>
            <w:r w:rsidRPr="00990D3B">
              <w:t>Procedure code</w:t>
            </w:r>
          </w:p>
        </w:tc>
        <w:tc>
          <w:tcPr>
            <w:tcW w:w="1547" w:type="dxa"/>
          </w:tcPr>
          <w:p w:rsidR="00D7261B" w:rsidRPr="00990D3B" w:rsidP="00396DE8" w14:paraId="526FA38F" w14:textId="77777777">
            <w:pPr>
              <w:pStyle w:val="EQRTableText"/>
            </w:pPr>
            <w:r w:rsidRPr="00990D3B">
              <w:t> </w:t>
            </w:r>
          </w:p>
        </w:tc>
        <w:tc>
          <w:tcPr>
            <w:tcW w:w="1547" w:type="dxa"/>
          </w:tcPr>
          <w:p w:rsidR="00D7261B" w:rsidRPr="00990D3B" w:rsidP="00396DE8" w14:paraId="1FE29173" w14:textId="77777777">
            <w:pPr>
              <w:pStyle w:val="EQRTableText"/>
            </w:pPr>
            <w:r w:rsidRPr="00990D3B">
              <w:t> </w:t>
            </w:r>
          </w:p>
        </w:tc>
        <w:tc>
          <w:tcPr>
            <w:tcW w:w="1547" w:type="dxa"/>
          </w:tcPr>
          <w:p w:rsidR="00D7261B" w:rsidRPr="00990D3B" w:rsidP="00396DE8" w14:paraId="51F29CDA" w14:textId="77777777">
            <w:pPr>
              <w:pStyle w:val="EQRTableText"/>
            </w:pPr>
            <w:r w:rsidRPr="00990D3B">
              <w:t> </w:t>
            </w:r>
          </w:p>
        </w:tc>
        <w:tc>
          <w:tcPr>
            <w:tcW w:w="1547" w:type="dxa"/>
          </w:tcPr>
          <w:p w:rsidR="00D7261B" w:rsidRPr="00990D3B" w:rsidP="00396DE8" w14:paraId="63783A40" w14:textId="77777777">
            <w:pPr>
              <w:pStyle w:val="EQRTableText"/>
            </w:pPr>
            <w:r w:rsidRPr="00990D3B">
              <w:t> </w:t>
            </w:r>
          </w:p>
        </w:tc>
        <w:tc>
          <w:tcPr>
            <w:tcW w:w="1547" w:type="dxa"/>
          </w:tcPr>
          <w:p w:rsidR="00D7261B" w:rsidRPr="00990D3B" w:rsidP="00396DE8" w14:paraId="165F880A" w14:textId="77777777">
            <w:pPr>
              <w:pStyle w:val="EQRTableText"/>
            </w:pPr>
            <w:r w:rsidRPr="00990D3B">
              <w:t> </w:t>
            </w:r>
          </w:p>
        </w:tc>
      </w:tr>
      <w:tr w14:paraId="3AA9DC8C" w14:textId="77777777" w:rsidTr="00396DE8">
        <w:tblPrEx>
          <w:tblW w:w="5000" w:type="pct"/>
          <w:tblLook w:val="00A0"/>
        </w:tblPrEx>
        <w:trPr>
          <w:cantSplit/>
        </w:trPr>
        <w:tc>
          <w:tcPr>
            <w:tcW w:w="1615" w:type="dxa"/>
          </w:tcPr>
          <w:p w:rsidR="00D7261B" w:rsidRPr="00990D3B" w:rsidP="00396DE8" w14:paraId="19EAC1B8" w14:textId="77777777">
            <w:pPr>
              <w:pStyle w:val="EQRTableText"/>
            </w:pPr>
            <w:r w:rsidRPr="00990D3B">
              <w:t>Pharmacy code</w:t>
            </w:r>
          </w:p>
        </w:tc>
        <w:tc>
          <w:tcPr>
            <w:tcW w:w="1547" w:type="dxa"/>
          </w:tcPr>
          <w:p w:rsidR="00D7261B" w:rsidRPr="00990D3B" w:rsidP="00396DE8" w14:paraId="5E16706E" w14:textId="77777777">
            <w:pPr>
              <w:pStyle w:val="EQRTableText"/>
            </w:pPr>
            <w:r w:rsidRPr="00990D3B">
              <w:t> </w:t>
            </w:r>
          </w:p>
        </w:tc>
        <w:tc>
          <w:tcPr>
            <w:tcW w:w="1547" w:type="dxa"/>
          </w:tcPr>
          <w:p w:rsidR="00D7261B" w:rsidRPr="00990D3B" w:rsidP="00396DE8" w14:paraId="1DE41BD5" w14:textId="77777777">
            <w:pPr>
              <w:pStyle w:val="EQRTableText"/>
            </w:pPr>
            <w:r w:rsidRPr="00990D3B">
              <w:t> </w:t>
            </w:r>
          </w:p>
        </w:tc>
        <w:tc>
          <w:tcPr>
            <w:tcW w:w="1547" w:type="dxa"/>
          </w:tcPr>
          <w:p w:rsidR="00D7261B" w:rsidRPr="00990D3B" w:rsidP="00396DE8" w14:paraId="530C751F" w14:textId="77777777">
            <w:pPr>
              <w:pStyle w:val="EQRTableText"/>
            </w:pPr>
            <w:r w:rsidRPr="00990D3B">
              <w:t> </w:t>
            </w:r>
          </w:p>
        </w:tc>
        <w:tc>
          <w:tcPr>
            <w:tcW w:w="1547" w:type="dxa"/>
          </w:tcPr>
          <w:p w:rsidR="00D7261B" w:rsidRPr="00990D3B" w:rsidP="00396DE8" w14:paraId="1FF60FB0" w14:textId="77777777">
            <w:pPr>
              <w:pStyle w:val="EQRTableText"/>
            </w:pPr>
            <w:r w:rsidRPr="00990D3B">
              <w:t> </w:t>
            </w:r>
          </w:p>
        </w:tc>
        <w:tc>
          <w:tcPr>
            <w:tcW w:w="1547" w:type="dxa"/>
          </w:tcPr>
          <w:p w:rsidR="00D7261B" w:rsidRPr="00990D3B" w:rsidP="00396DE8" w14:paraId="3DC49C38" w14:textId="77777777">
            <w:pPr>
              <w:pStyle w:val="EQRTableText"/>
            </w:pPr>
            <w:r w:rsidRPr="00990D3B">
              <w:t> </w:t>
            </w:r>
          </w:p>
        </w:tc>
      </w:tr>
      <w:tr w14:paraId="5A7FF441" w14:textId="77777777" w:rsidTr="00396DE8">
        <w:tblPrEx>
          <w:tblW w:w="5000" w:type="pct"/>
          <w:tblLook w:val="00A0"/>
        </w:tblPrEx>
        <w:trPr>
          <w:cantSplit/>
        </w:trPr>
        <w:tc>
          <w:tcPr>
            <w:tcW w:w="1615" w:type="dxa"/>
          </w:tcPr>
          <w:p w:rsidR="00D7261B" w:rsidRPr="00990D3B" w:rsidP="00396DE8" w14:paraId="217EB649" w14:textId="77777777">
            <w:pPr>
              <w:pStyle w:val="EQRTableText"/>
            </w:pPr>
            <w:r w:rsidRPr="00990D3B">
              <w:t>Lab order</w:t>
            </w:r>
          </w:p>
        </w:tc>
        <w:tc>
          <w:tcPr>
            <w:tcW w:w="1547" w:type="dxa"/>
          </w:tcPr>
          <w:p w:rsidR="00D7261B" w:rsidRPr="00990D3B" w:rsidP="00396DE8" w14:paraId="1523D6AE" w14:textId="77777777">
            <w:pPr>
              <w:pStyle w:val="EQRTableText"/>
            </w:pPr>
            <w:r w:rsidRPr="00990D3B">
              <w:t> </w:t>
            </w:r>
          </w:p>
        </w:tc>
        <w:tc>
          <w:tcPr>
            <w:tcW w:w="1547" w:type="dxa"/>
          </w:tcPr>
          <w:p w:rsidR="00D7261B" w:rsidRPr="00990D3B" w:rsidP="00396DE8" w14:paraId="1AEF819E" w14:textId="77777777">
            <w:pPr>
              <w:pStyle w:val="EQRTableText"/>
            </w:pPr>
            <w:r w:rsidRPr="00990D3B">
              <w:t> </w:t>
            </w:r>
          </w:p>
        </w:tc>
        <w:tc>
          <w:tcPr>
            <w:tcW w:w="1547" w:type="dxa"/>
          </w:tcPr>
          <w:p w:rsidR="00D7261B" w:rsidRPr="00990D3B" w:rsidP="00396DE8" w14:paraId="714C4AE9" w14:textId="77777777">
            <w:pPr>
              <w:pStyle w:val="EQRTableText"/>
            </w:pPr>
            <w:r w:rsidRPr="00990D3B">
              <w:t> </w:t>
            </w:r>
          </w:p>
        </w:tc>
        <w:tc>
          <w:tcPr>
            <w:tcW w:w="1547" w:type="dxa"/>
          </w:tcPr>
          <w:p w:rsidR="00D7261B" w:rsidRPr="00990D3B" w:rsidP="00396DE8" w14:paraId="16E2B58C" w14:textId="77777777">
            <w:pPr>
              <w:pStyle w:val="EQRTableText"/>
            </w:pPr>
            <w:r w:rsidRPr="00990D3B">
              <w:t> </w:t>
            </w:r>
          </w:p>
        </w:tc>
        <w:tc>
          <w:tcPr>
            <w:tcW w:w="1547" w:type="dxa"/>
          </w:tcPr>
          <w:p w:rsidR="00D7261B" w:rsidRPr="00990D3B" w:rsidP="00396DE8" w14:paraId="125B7ABA" w14:textId="77777777">
            <w:pPr>
              <w:pStyle w:val="EQRTableText"/>
            </w:pPr>
            <w:r w:rsidRPr="00990D3B">
              <w:t> </w:t>
            </w:r>
          </w:p>
        </w:tc>
      </w:tr>
      <w:tr w14:paraId="1217AA11" w14:textId="77777777" w:rsidTr="00396DE8">
        <w:tblPrEx>
          <w:tblW w:w="5000" w:type="pct"/>
          <w:tblLook w:val="00A0"/>
        </w:tblPrEx>
        <w:trPr>
          <w:cantSplit/>
        </w:trPr>
        <w:tc>
          <w:tcPr>
            <w:tcW w:w="1615" w:type="dxa"/>
          </w:tcPr>
          <w:p w:rsidR="00D7261B" w:rsidRPr="00990D3B" w:rsidP="00396DE8" w14:paraId="79CA54C6" w14:textId="77777777">
            <w:pPr>
              <w:pStyle w:val="EQRTableText"/>
            </w:pPr>
            <w:r w:rsidRPr="00990D3B">
              <w:t>Lab result</w:t>
            </w:r>
          </w:p>
        </w:tc>
        <w:tc>
          <w:tcPr>
            <w:tcW w:w="1547" w:type="dxa"/>
          </w:tcPr>
          <w:p w:rsidR="00D7261B" w:rsidRPr="00990D3B" w:rsidP="00396DE8" w14:paraId="62233719" w14:textId="77777777">
            <w:pPr>
              <w:pStyle w:val="EQRTableText"/>
            </w:pPr>
            <w:r w:rsidRPr="00990D3B">
              <w:t> </w:t>
            </w:r>
          </w:p>
        </w:tc>
        <w:tc>
          <w:tcPr>
            <w:tcW w:w="1547" w:type="dxa"/>
          </w:tcPr>
          <w:p w:rsidR="00D7261B" w:rsidRPr="00990D3B" w:rsidP="00396DE8" w14:paraId="7C05ADFE" w14:textId="77777777">
            <w:pPr>
              <w:pStyle w:val="EQRTableText"/>
            </w:pPr>
            <w:r w:rsidRPr="00990D3B">
              <w:t> </w:t>
            </w:r>
          </w:p>
        </w:tc>
        <w:tc>
          <w:tcPr>
            <w:tcW w:w="1547" w:type="dxa"/>
          </w:tcPr>
          <w:p w:rsidR="00D7261B" w:rsidRPr="00990D3B" w:rsidP="00396DE8" w14:paraId="00F0E968" w14:textId="77777777">
            <w:pPr>
              <w:pStyle w:val="EQRTableText"/>
            </w:pPr>
            <w:r w:rsidRPr="00990D3B">
              <w:t> </w:t>
            </w:r>
          </w:p>
        </w:tc>
        <w:tc>
          <w:tcPr>
            <w:tcW w:w="1547" w:type="dxa"/>
          </w:tcPr>
          <w:p w:rsidR="00D7261B" w:rsidRPr="00990D3B" w:rsidP="00396DE8" w14:paraId="3536DF46" w14:textId="77777777">
            <w:pPr>
              <w:pStyle w:val="EQRTableText"/>
            </w:pPr>
            <w:r w:rsidRPr="00990D3B">
              <w:t> </w:t>
            </w:r>
          </w:p>
        </w:tc>
        <w:tc>
          <w:tcPr>
            <w:tcW w:w="1547" w:type="dxa"/>
          </w:tcPr>
          <w:p w:rsidR="00D7261B" w:rsidRPr="00990D3B" w:rsidP="00396DE8" w14:paraId="15204585" w14:textId="77777777">
            <w:pPr>
              <w:pStyle w:val="EQRTableText"/>
            </w:pPr>
            <w:r w:rsidRPr="00990D3B">
              <w:t> </w:t>
            </w:r>
          </w:p>
        </w:tc>
      </w:tr>
    </w:tbl>
    <w:p w:rsidR="00D7261B" w:rsidRPr="00990D3B" w:rsidP="00396DE8" w14:paraId="30E4067C" w14:textId="77777777">
      <w:pPr>
        <w:pStyle w:val="EQRNormalSSWORKSHEET"/>
      </w:pPr>
    </w:p>
    <w:p w:rsidR="00D7261B" w:rsidRPr="00990D3B" w:rsidP="00396DE8" w14:paraId="36D99D00" w14:textId="77777777">
      <w:pPr>
        <w:pStyle w:val="EQRNormalSSWORKSHEET"/>
      </w:pPr>
      <w:r w:rsidRPr="00990D3B">
        <w:br w:type="page"/>
      </w:r>
    </w:p>
    <w:p w:rsidR="00D7261B" w:rsidRPr="00990D3B" w:rsidP="00A54412" w14:paraId="5568D1F1" w14:textId="77777777">
      <w:pPr>
        <w:pStyle w:val="EQRMarkforExhibitWORKSHEET"/>
      </w:pPr>
      <w:bookmarkStart w:id="849" w:name="WSp7n04"/>
      <w:bookmarkStart w:id="850" w:name="_Toc125619189"/>
      <w:bookmarkStart w:id="851" w:name="_Toc201751553"/>
      <w:r w:rsidRPr="00990D3B">
        <w:t>Worksheet 7.4</w:t>
      </w:r>
      <w:bookmarkEnd w:id="849"/>
      <w:r w:rsidRPr="00990D3B">
        <w:t>. Data Availability and Data Quality</w:t>
      </w:r>
      <w:bookmarkEnd w:id="850"/>
      <w:bookmarkEnd w:id="851"/>
      <w:r w:rsidRPr="00990D3B">
        <w:t xml:space="preserve"> </w:t>
      </w:r>
    </w:p>
    <w:p w:rsidR="00D7261B" w:rsidRPr="00990D3B" w:rsidP="00396DE8" w14:paraId="314AF0E7" w14:textId="3F8DAD2D">
      <w:pPr>
        <w:pStyle w:val="EQRNormalSSWORKSHEET"/>
      </w:pPr>
      <w:r w:rsidRPr="00990D3B">
        <w:rPr>
          <w:b/>
          <w:bCs/>
        </w:rPr>
        <w:t>Instructions.</w:t>
      </w:r>
      <w:r w:rsidRPr="00990D3B">
        <w:t xml:space="preserve"> Use th</w:t>
      </w:r>
      <w:r w:rsidRPr="00990D3B">
        <w:t>is worksheet to document the data availability and data quality issues for each data element required to calculate the denominator and numerator for each</w:t>
      </w:r>
      <w:r w:rsidRPr="00990D3B">
        <w:t xml:space="preserve"> performance</w:t>
      </w:r>
      <w:r w:rsidRPr="00990D3B">
        <w:t xml:space="preserve"> measure in </w:t>
      </w:r>
      <w:hyperlink w:anchor="WSp7n01" w:tooltip="Worksheet 7.1" w:history="1">
        <w:r w:rsidRPr="00990D3B">
          <w:rPr>
            <w:rStyle w:val="Hyperlink"/>
          </w:rPr>
          <w:t>Worksheet 7.1</w:t>
        </w:r>
      </w:hyperlink>
      <w:r w:rsidRPr="00990D3B">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01"/>
        <w:gridCol w:w="2056"/>
        <w:gridCol w:w="1207"/>
        <w:gridCol w:w="3386"/>
      </w:tblGrid>
      <w:tr w14:paraId="5A187AF5" w14:textId="77777777" w:rsidTr="001A4E60">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cantSplit/>
          <w:tblHeader/>
        </w:trPr>
        <w:tc>
          <w:tcPr>
            <w:tcW w:w="2722" w:type="dxa"/>
            <w:shd w:val="clear" w:color="auto" w:fill="FFFFFF" w:themeFill="background1"/>
            <w:vAlign w:val="bottom"/>
          </w:tcPr>
          <w:p w:rsidR="00D7261B" w:rsidRPr="00990D3B" w:rsidP="008E2051" w14:paraId="2308AC68" w14:textId="488A40D3">
            <w:pPr>
              <w:pStyle w:val="EQRTableText"/>
              <w:spacing w:before="0" w:after="0"/>
              <w:rPr>
                <w:b/>
                <w:bCs/>
              </w:rPr>
            </w:pPr>
            <w:r w:rsidRPr="00990D3B">
              <w:rPr>
                <w:b/>
                <w:bCs/>
              </w:rPr>
              <w:t> </w:t>
            </w:r>
            <w:r w:rsidRPr="00990D3B" w:rsidR="001A4E60">
              <w:rPr>
                <w:b/>
                <w:bCs/>
              </w:rPr>
              <w:t>Data elements</w:t>
            </w:r>
          </w:p>
        </w:tc>
        <w:tc>
          <w:tcPr>
            <w:tcW w:w="2070" w:type="dxa"/>
            <w:tcBorders>
              <w:bottom w:val="single" w:sz="4" w:space="0" w:color="000000"/>
            </w:tcBorders>
            <w:shd w:val="clear" w:color="auto" w:fill="FFFFFF" w:themeFill="background1"/>
            <w:vAlign w:val="bottom"/>
          </w:tcPr>
          <w:p w:rsidR="00D7261B" w:rsidRPr="00990D3B" w:rsidP="001A4E60" w14:paraId="1ECAC722" w14:textId="1093EA04">
            <w:pPr>
              <w:pStyle w:val="EQRTableText"/>
              <w:spacing w:before="0" w:after="0"/>
              <w:jc w:val="center"/>
              <w:rPr>
                <w:b/>
                <w:bCs/>
              </w:rPr>
            </w:pPr>
            <w:r w:rsidRPr="00990D3B">
              <w:rPr>
                <w:b/>
                <w:bCs/>
              </w:rPr>
              <w:t xml:space="preserve">Available </w:t>
            </w:r>
            <w:r w:rsidRPr="00990D3B" w:rsidR="001A4E60">
              <w:rPr>
                <w:b/>
                <w:bCs/>
              </w:rPr>
              <w:t>d</w:t>
            </w:r>
            <w:r w:rsidRPr="00990D3B">
              <w:rPr>
                <w:b/>
                <w:bCs/>
              </w:rPr>
              <w:t xml:space="preserve">ata </w:t>
            </w:r>
            <w:r w:rsidRPr="00990D3B" w:rsidR="004F0605">
              <w:rPr>
                <w:b/>
                <w:bCs/>
              </w:rPr>
              <w:t>S</w:t>
            </w:r>
            <w:r w:rsidRPr="00990D3B">
              <w:rPr>
                <w:b/>
                <w:bCs/>
              </w:rPr>
              <w:t>ource(s)?</w:t>
            </w:r>
          </w:p>
        </w:tc>
        <w:tc>
          <w:tcPr>
            <w:tcW w:w="1143" w:type="dxa"/>
            <w:tcBorders>
              <w:bottom w:val="single" w:sz="4" w:space="0" w:color="000000"/>
            </w:tcBorders>
            <w:shd w:val="clear" w:color="auto" w:fill="FFFFFF" w:themeFill="background1"/>
            <w:vAlign w:val="bottom"/>
          </w:tcPr>
          <w:p w:rsidR="001A4E60" w:rsidRPr="00990D3B" w:rsidP="008E2051" w14:paraId="6446236A" w14:textId="14D3A946">
            <w:pPr>
              <w:pStyle w:val="EQRTableText"/>
              <w:spacing w:before="0" w:after="0"/>
              <w:jc w:val="center"/>
              <w:rPr>
                <w:b/>
                <w:bCs/>
              </w:rPr>
            </w:pPr>
            <w:r w:rsidRPr="00990D3B">
              <w:rPr>
                <w:b/>
                <w:bCs/>
              </w:rPr>
              <w:t xml:space="preserve">In </w:t>
            </w:r>
            <w:r w:rsidRPr="00990D3B">
              <w:rPr>
                <w:b/>
                <w:bCs/>
              </w:rPr>
              <w:t>d</w:t>
            </w:r>
            <w:r w:rsidRPr="00990D3B">
              <w:rPr>
                <w:b/>
                <w:bCs/>
              </w:rPr>
              <w:t xml:space="preserve">ata </w:t>
            </w:r>
            <w:r w:rsidRPr="00990D3B">
              <w:rPr>
                <w:b/>
                <w:bCs/>
              </w:rPr>
              <w:t>r</w:t>
            </w:r>
            <w:r w:rsidRPr="00990D3B">
              <w:rPr>
                <w:b/>
                <w:bCs/>
              </w:rPr>
              <w:t>epository?</w:t>
            </w:r>
            <w:r w:rsidRPr="00990D3B" w:rsidR="008E2051">
              <w:rPr>
                <w:b/>
                <w:bCs/>
              </w:rPr>
              <w:br/>
            </w:r>
            <w:r w:rsidRPr="00990D3B">
              <w:rPr>
                <w:b/>
                <w:bCs/>
              </w:rPr>
              <w:t>(Y/N)</w:t>
            </w:r>
          </w:p>
        </w:tc>
        <w:tc>
          <w:tcPr>
            <w:tcW w:w="3415" w:type="dxa"/>
            <w:shd w:val="clear" w:color="auto" w:fill="FFFFFF" w:themeFill="background1"/>
            <w:vAlign w:val="bottom"/>
          </w:tcPr>
          <w:p w:rsidR="00D7261B" w:rsidRPr="00990D3B" w:rsidP="008E2051" w14:paraId="71C97EF5" w14:textId="179423C2">
            <w:pPr>
              <w:pStyle w:val="EQRTableText"/>
              <w:spacing w:before="0" w:after="0"/>
              <w:jc w:val="center"/>
              <w:rPr>
                <w:b/>
                <w:bCs/>
              </w:rPr>
            </w:pPr>
            <w:r w:rsidRPr="00990D3B">
              <w:rPr>
                <w:b/>
                <w:bCs/>
              </w:rPr>
              <w:t xml:space="preserve">Identified </w:t>
            </w:r>
            <w:r w:rsidRPr="00990D3B" w:rsidR="001A4E60">
              <w:rPr>
                <w:b/>
                <w:bCs/>
              </w:rPr>
              <w:t>d</w:t>
            </w:r>
            <w:r w:rsidRPr="00990D3B">
              <w:rPr>
                <w:b/>
                <w:bCs/>
              </w:rPr>
              <w:t xml:space="preserve">ata </w:t>
            </w:r>
            <w:r w:rsidRPr="00990D3B" w:rsidR="001A4E60">
              <w:rPr>
                <w:b/>
                <w:bCs/>
              </w:rPr>
              <w:t>q</w:t>
            </w:r>
            <w:r w:rsidRPr="00990D3B">
              <w:rPr>
                <w:b/>
                <w:bCs/>
              </w:rPr>
              <w:t xml:space="preserve">uality </w:t>
            </w:r>
            <w:r w:rsidRPr="00990D3B" w:rsidR="004F0605">
              <w:rPr>
                <w:b/>
                <w:bCs/>
              </w:rPr>
              <w:t>I</w:t>
            </w:r>
            <w:r w:rsidRPr="00990D3B">
              <w:rPr>
                <w:b/>
                <w:bCs/>
              </w:rPr>
              <w:t xml:space="preserve">ssues </w:t>
            </w:r>
            <w:r w:rsidRPr="00990D3B" w:rsidR="008E2051">
              <w:rPr>
                <w:b/>
                <w:bCs/>
              </w:rPr>
              <w:br/>
            </w:r>
            <w:r w:rsidRPr="00990D3B">
              <w:rPr>
                <w:b/>
                <w:bCs/>
              </w:rPr>
              <w:t>(e.g., data completeness, integration issues)</w:t>
            </w:r>
          </w:p>
        </w:tc>
      </w:tr>
      <w:tr w14:paraId="5BA5CB65" w14:textId="77777777" w:rsidTr="001A4E60">
        <w:tblPrEx>
          <w:tblW w:w="5000" w:type="pct"/>
          <w:tblLook w:val="00A0"/>
        </w:tblPrEx>
        <w:trPr>
          <w:cantSplit/>
        </w:trPr>
        <w:tc>
          <w:tcPr>
            <w:tcW w:w="2722" w:type="dxa"/>
            <w:tcBorders>
              <w:right w:val="nil"/>
            </w:tcBorders>
          </w:tcPr>
          <w:p w:rsidR="00D7261B" w:rsidRPr="00990D3B" w:rsidP="001A4E60" w14:paraId="7831EFE1" w14:textId="64069838">
            <w:pPr>
              <w:pStyle w:val="EQRTableText"/>
              <w:rPr>
                <w:b/>
              </w:rPr>
            </w:pPr>
            <w:r w:rsidRPr="00990D3B">
              <w:rPr>
                <w:b/>
              </w:rPr>
              <w:t>Denominator</w:t>
            </w:r>
          </w:p>
        </w:tc>
        <w:tc>
          <w:tcPr>
            <w:tcW w:w="2070" w:type="dxa"/>
            <w:tcBorders>
              <w:left w:val="nil"/>
              <w:right w:val="nil"/>
            </w:tcBorders>
            <w:vAlign w:val="center"/>
          </w:tcPr>
          <w:p w:rsidR="00D7261B" w:rsidRPr="00990D3B" w:rsidP="001A4E60" w14:paraId="2ECC73A4" w14:textId="77777777">
            <w:pPr>
              <w:pStyle w:val="EQRTableText"/>
            </w:pPr>
            <w:r w:rsidRPr="00990D3B">
              <w:t> </w:t>
            </w:r>
          </w:p>
        </w:tc>
        <w:tc>
          <w:tcPr>
            <w:tcW w:w="1143" w:type="dxa"/>
            <w:tcBorders>
              <w:left w:val="nil"/>
              <w:right w:val="nil"/>
            </w:tcBorders>
            <w:vAlign w:val="center"/>
          </w:tcPr>
          <w:p w:rsidR="00D7261B" w:rsidRPr="00990D3B" w:rsidP="001A4E60" w14:paraId="747D1971" w14:textId="77777777">
            <w:pPr>
              <w:pStyle w:val="EQRTableText"/>
            </w:pPr>
            <w:r w:rsidRPr="00990D3B">
              <w:t> </w:t>
            </w:r>
          </w:p>
        </w:tc>
        <w:tc>
          <w:tcPr>
            <w:tcW w:w="3415" w:type="dxa"/>
            <w:tcBorders>
              <w:left w:val="nil"/>
            </w:tcBorders>
            <w:vAlign w:val="center"/>
          </w:tcPr>
          <w:p w:rsidR="00D7261B" w:rsidRPr="00990D3B" w:rsidP="001A4E60" w14:paraId="7E45ED19" w14:textId="77777777">
            <w:pPr>
              <w:pStyle w:val="EQRTableText"/>
            </w:pPr>
            <w:r w:rsidRPr="00990D3B">
              <w:t> </w:t>
            </w:r>
          </w:p>
        </w:tc>
      </w:tr>
      <w:tr w14:paraId="3D939C26" w14:textId="77777777" w:rsidTr="001A4E60">
        <w:tblPrEx>
          <w:tblW w:w="5000" w:type="pct"/>
          <w:tblLook w:val="00A0"/>
        </w:tblPrEx>
        <w:trPr>
          <w:cantSplit/>
        </w:trPr>
        <w:tc>
          <w:tcPr>
            <w:tcW w:w="2722" w:type="dxa"/>
          </w:tcPr>
          <w:p w:rsidR="00D7261B" w:rsidRPr="00990D3B" w:rsidP="001A4E60" w14:paraId="0278D084" w14:textId="77777777">
            <w:pPr>
              <w:pStyle w:val="EQRTableText"/>
            </w:pPr>
            <w:r w:rsidRPr="00990D3B">
              <w:t>Date of birth</w:t>
            </w:r>
          </w:p>
        </w:tc>
        <w:tc>
          <w:tcPr>
            <w:tcW w:w="2070" w:type="dxa"/>
            <w:vAlign w:val="center"/>
          </w:tcPr>
          <w:p w:rsidR="00D7261B" w:rsidRPr="00990D3B" w:rsidP="001A4E60" w14:paraId="6FE3FDDD" w14:textId="77777777">
            <w:pPr>
              <w:pStyle w:val="EQRTableText"/>
            </w:pPr>
            <w:r w:rsidRPr="00990D3B">
              <w:t> </w:t>
            </w:r>
          </w:p>
        </w:tc>
        <w:tc>
          <w:tcPr>
            <w:tcW w:w="1143" w:type="dxa"/>
          </w:tcPr>
          <w:p w:rsidR="00D7261B" w:rsidRPr="00990D3B" w:rsidP="00D65E61" w14:paraId="419AF509" w14:textId="5F9078C0">
            <w:pPr>
              <w:pStyle w:val="EQRTableTextBOX"/>
            </w:pPr>
          </w:p>
        </w:tc>
        <w:tc>
          <w:tcPr>
            <w:tcW w:w="3415" w:type="dxa"/>
            <w:vAlign w:val="center"/>
          </w:tcPr>
          <w:p w:rsidR="00D7261B" w:rsidRPr="00990D3B" w:rsidP="001A4E60" w14:paraId="70B72858" w14:textId="77777777">
            <w:pPr>
              <w:pStyle w:val="EQRTableText"/>
            </w:pPr>
            <w:r w:rsidRPr="00990D3B">
              <w:t> </w:t>
            </w:r>
          </w:p>
        </w:tc>
      </w:tr>
      <w:tr w14:paraId="6BDB0D6C" w14:textId="77777777" w:rsidTr="001A4E60">
        <w:tblPrEx>
          <w:tblW w:w="5000" w:type="pct"/>
          <w:tblLook w:val="00A0"/>
        </w:tblPrEx>
        <w:trPr>
          <w:cantSplit/>
        </w:trPr>
        <w:tc>
          <w:tcPr>
            <w:tcW w:w="2722" w:type="dxa"/>
          </w:tcPr>
          <w:p w:rsidR="00D7261B" w:rsidRPr="00990D3B" w:rsidP="001A4E60" w14:paraId="62DA3219" w14:textId="77777777">
            <w:pPr>
              <w:pStyle w:val="EQRTableText"/>
            </w:pPr>
            <w:r w:rsidRPr="00990D3B">
              <w:t>Sex</w:t>
            </w:r>
          </w:p>
        </w:tc>
        <w:tc>
          <w:tcPr>
            <w:tcW w:w="2070" w:type="dxa"/>
            <w:vAlign w:val="center"/>
          </w:tcPr>
          <w:p w:rsidR="00D7261B" w:rsidRPr="00990D3B" w:rsidP="001A4E60" w14:paraId="67C0D02E" w14:textId="77777777">
            <w:pPr>
              <w:pStyle w:val="EQRTableText"/>
            </w:pPr>
            <w:r w:rsidRPr="00990D3B">
              <w:t> </w:t>
            </w:r>
          </w:p>
        </w:tc>
        <w:tc>
          <w:tcPr>
            <w:tcW w:w="1143" w:type="dxa"/>
            <w:vAlign w:val="center"/>
          </w:tcPr>
          <w:p w:rsidR="00D7261B" w:rsidRPr="00990D3B" w:rsidP="00D65E61" w14:paraId="64D90AD1" w14:textId="447543CD">
            <w:pPr>
              <w:pStyle w:val="EQRTableTextBOX"/>
            </w:pPr>
          </w:p>
        </w:tc>
        <w:tc>
          <w:tcPr>
            <w:tcW w:w="3415" w:type="dxa"/>
            <w:vAlign w:val="center"/>
          </w:tcPr>
          <w:p w:rsidR="00D7261B" w:rsidRPr="00990D3B" w:rsidP="001A4E60" w14:paraId="7580DE3F" w14:textId="77777777">
            <w:pPr>
              <w:pStyle w:val="EQRTableText"/>
            </w:pPr>
            <w:r w:rsidRPr="00990D3B">
              <w:t> </w:t>
            </w:r>
          </w:p>
        </w:tc>
      </w:tr>
      <w:tr w14:paraId="1BE682C0" w14:textId="77777777" w:rsidTr="001A4E60">
        <w:tblPrEx>
          <w:tblW w:w="5000" w:type="pct"/>
          <w:tblLook w:val="00A0"/>
        </w:tblPrEx>
        <w:trPr>
          <w:cantSplit/>
        </w:trPr>
        <w:tc>
          <w:tcPr>
            <w:tcW w:w="2722" w:type="dxa"/>
          </w:tcPr>
          <w:p w:rsidR="00D7261B" w:rsidRPr="00990D3B" w:rsidP="001A4E60" w14:paraId="4D9ECFDC" w14:textId="77777777">
            <w:pPr>
              <w:pStyle w:val="EQRTableText"/>
            </w:pPr>
            <w:r w:rsidRPr="00990D3B">
              <w:t xml:space="preserve">Enrollment date  </w:t>
            </w:r>
          </w:p>
        </w:tc>
        <w:tc>
          <w:tcPr>
            <w:tcW w:w="2070" w:type="dxa"/>
            <w:vAlign w:val="center"/>
          </w:tcPr>
          <w:p w:rsidR="00D7261B" w:rsidRPr="00990D3B" w:rsidP="001A4E60" w14:paraId="60990CDA" w14:textId="77777777">
            <w:pPr>
              <w:pStyle w:val="EQRTableText"/>
            </w:pPr>
            <w:r w:rsidRPr="00990D3B">
              <w:t> </w:t>
            </w:r>
          </w:p>
        </w:tc>
        <w:tc>
          <w:tcPr>
            <w:tcW w:w="1143" w:type="dxa"/>
            <w:vAlign w:val="center"/>
          </w:tcPr>
          <w:p w:rsidR="00D7261B" w:rsidRPr="00990D3B" w:rsidP="00D65E61" w14:paraId="08AEED2D" w14:textId="61B6F872">
            <w:pPr>
              <w:pStyle w:val="EQRTableTextBOX"/>
            </w:pPr>
          </w:p>
        </w:tc>
        <w:tc>
          <w:tcPr>
            <w:tcW w:w="3415" w:type="dxa"/>
            <w:vAlign w:val="center"/>
          </w:tcPr>
          <w:p w:rsidR="00D7261B" w:rsidRPr="00990D3B" w:rsidP="001A4E60" w14:paraId="39CD814F" w14:textId="77777777">
            <w:pPr>
              <w:pStyle w:val="EQRTableText"/>
            </w:pPr>
            <w:r w:rsidRPr="00990D3B">
              <w:t> </w:t>
            </w:r>
          </w:p>
        </w:tc>
      </w:tr>
      <w:tr w14:paraId="00A934B0" w14:textId="77777777" w:rsidTr="001A4E60">
        <w:tblPrEx>
          <w:tblW w:w="5000" w:type="pct"/>
          <w:tblLook w:val="00A0"/>
        </w:tblPrEx>
        <w:trPr>
          <w:cantSplit/>
        </w:trPr>
        <w:tc>
          <w:tcPr>
            <w:tcW w:w="2722" w:type="dxa"/>
          </w:tcPr>
          <w:p w:rsidR="00D7261B" w:rsidRPr="00990D3B" w:rsidP="001A4E60" w14:paraId="7532CB6D" w14:textId="77777777">
            <w:pPr>
              <w:pStyle w:val="EQRTableText"/>
            </w:pPr>
            <w:r w:rsidRPr="00990D3B">
              <w:t>Disenrollment date</w:t>
            </w:r>
          </w:p>
        </w:tc>
        <w:tc>
          <w:tcPr>
            <w:tcW w:w="2070" w:type="dxa"/>
            <w:vAlign w:val="center"/>
          </w:tcPr>
          <w:p w:rsidR="00D7261B" w:rsidRPr="00990D3B" w:rsidP="001A4E60" w14:paraId="38B2FFF8" w14:textId="77777777">
            <w:pPr>
              <w:pStyle w:val="EQRTableText"/>
            </w:pPr>
            <w:r w:rsidRPr="00990D3B">
              <w:t> </w:t>
            </w:r>
          </w:p>
        </w:tc>
        <w:tc>
          <w:tcPr>
            <w:tcW w:w="1143" w:type="dxa"/>
            <w:vAlign w:val="center"/>
          </w:tcPr>
          <w:p w:rsidR="00D7261B" w:rsidRPr="00990D3B" w:rsidP="00D65E61" w14:paraId="564A1D19" w14:textId="4366199C">
            <w:pPr>
              <w:pStyle w:val="EQRTableTextBOX"/>
            </w:pPr>
          </w:p>
        </w:tc>
        <w:tc>
          <w:tcPr>
            <w:tcW w:w="3415" w:type="dxa"/>
            <w:vAlign w:val="center"/>
          </w:tcPr>
          <w:p w:rsidR="00D7261B" w:rsidRPr="00990D3B" w:rsidP="001A4E60" w14:paraId="744B1D1F" w14:textId="77777777">
            <w:pPr>
              <w:pStyle w:val="EQRTableText"/>
            </w:pPr>
            <w:r w:rsidRPr="00990D3B">
              <w:t> </w:t>
            </w:r>
          </w:p>
        </w:tc>
      </w:tr>
      <w:tr w14:paraId="20131FF1" w14:textId="77777777" w:rsidTr="001A4E60">
        <w:tblPrEx>
          <w:tblW w:w="5000" w:type="pct"/>
          <w:tblLook w:val="00A0"/>
        </w:tblPrEx>
        <w:trPr>
          <w:cantSplit/>
        </w:trPr>
        <w:tc>
          <w:tcPr>
            <w:tcW w:w="2722" w:type="dxa"/>
          </w:tcPr>
          <w:p w:rsidR="00D7261B" w:rsidRPr="00990D3B" w:rsidP="001A4E60" w14:paraId="7656F251" w14:textId="77777777">
            <w:pPr>
              <w:pStyle w:val="EQRTableText"/>
            </w:pPr>
            <w:r w:rsidRPr="00990D3B">
              <w:t>Diagnosis code</w:t>
            </w:r>
          </w:p>
        </w:tc>
        <w:tc>
          <w:tcPr>
            <w:tcW w:w="2070" w:type="dxa"/>
            <w:vAlign w:val="center"/>
          </w:tcPr>
          <w:p w:rsidR="00D7261B" w:rsidRPr="00990D3B" w:rsidP="001A4E60" w14:paraId="009AF7FB" w14:textId="77777777">
            <w:pPr>
              <w:pStyle w:val="EQRTableText"/>
            </w:pPr>
            <w:r w:rsidRPr="00990D3B">
              <w:t> </w:t>
            </w:r>
          </w:p>
        </w:tc>
        <w:tc>
          <w:tcPr>
            <w:tcW w:w="1143" w:type="dxa"/>
            <w:vAlign w:val="center"/>
          </w:tcPr>
          <w:p w:rsidR="00D7261B" w:rsidRPr="00990D3B" w:rsidP="00D65E61" w14:paraId="1CFE3EF8" w14:textId="3EF15A9A">
            <w:pPr>
              <w:pStyle w:val="EQRTableTextBOX"/>
            </w:pPr>
          </w:p>
        </w:tc>
        <w:tc>
          <w:tcPr>
            <w:tcW w:w="3415" w:type="dxa"/>
            <w:vAlign w:val="center"/>
          </w:tcPr>
          <w:p w:rsidR="00D7261B" w:rsidRPr="00990D3B" w:rsidP="001A4E60" w14:paraId="60C27BC5" w14:textId="77777777">
            <w:pPr>
              <w:pStyle w:val="EQRTableText"/>
            </w:pPr>
            <w:r w:rsidRPr="00990D3B">
              <w:t> </w:t>
            </w:r>
          </w:p>
        </w:tc>
      </w:tr>
      <w:tr w14:paraId="2663948C" w14:textId="77777777" w:rsidTr="001A4E60">
        <w:tblPrEx>
          <w:tblW w:w="5000" w:type="pct"/>
          <w:tblLook w:val="00A0"/>
        </w:tblPrEx>
        <w:trPr>
          <w:cantSplit/>
        </w:trPr>
        <w:tc>
          <w:tcPr>
            <w:tcW w:w="2722" w:type="dxa"/>
          </w:tcPr>
          <w:p w:rsidR="00D7261B" w:rsidRPr="00990D3B" w:rsidP="001A4E60" w14:paraId="18BD1F32" w14:textId="77777777">
            <w:pPr>
              <w:pStyle w:val="EQRTableText"/>
            </w:pPr>
            <w:r w:rsidRPr="00990D3B">
              <w:t>Procedure code</w:t>
            </w:r>
          </w:p>
        </w:tc>
        <w:tc>
          <w:tcPr>
            <w:tcW w:w="2070" w:type="dxa"/>
            <w:vAlign w:val="center"/>
          </w:tcPr>
          <w:p w:rsidR="00D7261B" w:rsidRPr="00990D3B" w:rsidP="001A4E60" w14:paraId="2A626EF2" w14:textId="77777777">
            <w:pPr>
              <w:pStyle w:val="EQRTableText"/>
            </w:pPr>
            <w:r w:rsidRPr="00990D3B">
              <w:t> </w:t>
            </w:r>
          </w:p>
        </w:tc>
        <w:tc>
          <w:tcPr>
            <w:tcW w:w="1143" w:type="dxa"/>
            <w:vAlign w:val="center"/>
          </w:tcPr>
          <w:p w:rsidR="00D7261B" w:rsidRPr="00990D3B" w:rsidP="00D65E61" w14:paraId="4AB3C5F3" w14:textId="4C2D931F">
            <w:pPr>
              <w:pStyle w:val="EQRTableTextBOX"/>
            </w:pPr>
          </w:p>
        </w:tc>
        <w:tc>
          <w:tcPr>
            <w:tcW w:w="3415" w:type="dxa"/>
            <w:vAlign w:val="center"/>
          </w:tcPr>
          <w:p w:rsidR="00D7261B" w:rsidRPr="00990D3B" w:rsidP="001A4E60" w14:paraId="6DBDD364" w14:textId="77777777">
            <w:pPr>
              <w:pStyle w:val="EQRTableText"/>
            </w:pPr>
            <w:r w:rsidRPr="00990D3B">
              <w:t> </w:t>
            </w:r>
          </w:p>
        </w:tc>
      </w:tr>
      <w:tr w14:paraId="5644A48A" w14:textId="77777777" w:rsidTr="001A4E60">
        <w:tblPrEx>
          <w:tblW w:w="5000" w:type="pct"/>
          <w:tblLook w:val="00A0"/>
        </w:tblPrEx>
        <w:trPr>
          <w:cantSplit/>
        </w:trPr>
        <w:tc>
          <w:tcPr>
            <w:tcW w:w="2722" w:type="dxa"/>
          </w:tcPr>
          <w:p w:rsidR="00D7261B" w:rsidRPr="00990D3B" w:rsidP="001A4E60" w14:paraId="55468404" w14:textId="77777777">
            <w:pPr>
              <w:pStyle w:val="EQRTableText"/>
            </w:pPr>
            <w:r w:rsidRPr="00990D3B">
              <w:t>Service date</w:t>
            </w:r>
          </w:p>
        </w:tc>
        <w:tc>
          <w:tcPr>
            <w:tcW w:w="2070" w:type="dxa"/>
            <w:vAlign w:val="center"/>
          </w:tcPr>
          <w:p w:rsidR="00D7261B" w:rsidRPr="00990D3B" w:rsidP="001A4E60" w14:paraId="0D438066" w14:textId="77777777">
            <w:pPr>
              <w:pStyle w:val="EQRTableText"/>
            </w:pPr>
            <w:r w:rsidRPr="00990D3B">
              <w:t> </w:t>
            </w:r>
          </w:p>
        </w:tc>
        <w:tc>
          <w:tcPr>
            <w:tcW w:w="1143" w:type="dxa"/>
            <w:vAlign w:val="center"/>
          </w:tcPr>
          <w:p w:rsidR="00D7261B" w:rsidRPr="00990D3B" w:rsidP="00D65E61" w14:paraId="591C9722" w14:textId="0B71E98D">
            <w:pPr>
              <w:pStyle w:val="EQRTableTextBOX"/>
            </w:pPr>
          </w:p>
        </w:tc>
        <w:tc>
          <w:tcPr>
            <w:tcW w:w="3415" w:type="dxa"/>
            <w:vAlign w:val="center"/>
          </w:tcPr>
          <w:p w:rsidR="00D7261B" w:rsidRPr="00990D3B" w:rsidP="001A4E60" w14:paraId="38DECBFE" w14:textId="77777777">
            <w:pPr>
              <w:pStyle w:val="EQRTableText"/>
            </w:pPr>
            <w:r w:rsidRPr="00990D3B">
              <w:t> </w:t>
            </w:r>
          </w:p>
        </w:tc>
      </w:tr>
      <w:tr w14:paraId="060E52A9" w14:textId="77777777" w:rsidTr="001A4E60">
        <w:tblPrEx>
          <w:tblW w:w="5000" w:type="pct"/>
          <w:tblLook w:val="00A0"/>
        </w:tblPrEx>
        <w:trPr>
          <w:cantSplit/>
        </w:trPr>
        <w:tc>
          <w:tcPr>
            <w:tcW w:w="2722" w:type="dxa"/>
          </w:tcPr>
          <w:p w:rsidR="00D7261B" w:rsidRPr="00990D3B" w:rsidP="001A4E60" w14:paraId="22693719" w14:textId="77777777">
            <w:pPr>
              <w:pStyle w:val="EQRTableText"/>
            </w:pPr>
            <w:r w:rsidRPr="00990D3B">
              <w:t>Provider ID</w:t>
            </w:r>
          </w:p>
        </w:tc>
        <w:tc>
          <w:tcPr>
            <w:tcW w:w="2070" w:type="dxa"/>
            <w:tcBorders>
              <w:bottom w:val="single" w:sz="4" w:space="0" w:color="000000"/>
            </w:tcBorders>
            <w:vAlign w:val="center"/>
          </w:tcPr>
          <w:p w:rsidR="00D7261B" w:rsidRPr="00990D3B" w:rsidP="001A4E60" w14:paraId="39738250" w14:textId="77777777">
            <w:pPr>
              <w:pStyle w:val="EQRTableText"/>
            </w:pPr>
            <w:r w:rsidRPr="00990D3B">
              <w:t> </w:t>
            </w:r>
          </w:p>
        </w:tc>
        <w:tc>
          <w:tcPr>
            <w:tcW w:w="1143" w:type="dxa"/>
            <w:tcBorders>
              <w:bottom w:val="single" w:sz="4" w:space="0" w:color="000000"/>
            </w:tcBorders>
            <w:vAlign w:val="center"/>
          </w:tcPr>
          <w:p w:rsidR="00D7261B" w:rsidRPr="00990D3B" w:rsidP="00D65E61" w14:paraId="0439B8DE" w14:textId="2C197F2B">
            <w:pPr>
              <w:pStyle w:val="EQRTableTextBOX"/>
            </w:pPr>
          </w:p>
        </w:tc>
        <w:tc>
          <w:tcPr>
            <w:tcW w:w="3415" w:type="dxa"/>
            <w:vAlign w:val="center"/>
          </w:tcPr>
          <w:p w:rsidR="00D7261B" w:rsidRPr="00990D3B" w:rsidP="001A4E60" w14:paraId="3575DF8F" w14:textId="77777777">
            <w:pPr>
              <w:pStyle w:val="EQRTableText"/>
            </w:pPr>
            <w:r w:rsidRPr="00990D3B">
              <w:t> </w:t>
            </w:r>
          </w:p>
        </w:tc>
      </w:tr>
      <w:tr w14:paraId="3509E699" w14:textId="77777777" w:rsidTr="001A4E60">
        <w:tblPrEx>
          <w:tblW w:w="5000" w:type="pct"/>
          <w:tblLook w:val="00A0"/>
        </w:tblPrEx>
        <w:trPr>
          <w:cantSplit/>
        </w:trPr>
        <w:tc>
          <w:tcPr>
            <w:tcW w:w="2722" w:type="dxa"/>
          </w:tcPr>
          <w:p w:rsidR="00D7261B" w:rsidRPr="00990D3B" w:rsidP="001A4E60" w14:paraId="6E85CB79" w14:textId="77777777">
            <w:pPr>
              <w:pStyle w:val="EQRTableText"/>
            </w:pPr>
            <w:r w:rsidRPr="00990D3B">
              <w:t>[INSERT other denominator data elements]</w:t>
            </w:r>
          </w:p>
        </w:tc>
        <w:tc>
          <w:tcPr>
            <w:tcW w:w="2070" w:type="dxa"/>
            <w:tcBorders>
              <w:bottom w:val="single" w:sz="4" w:space="0" w:color="000000"/>
            </w:tcBorders>
            <w:vAlign w:val="center"/>
          </w:tcPr>
          <w:p w:rsidR="00D7261B" w:rsidRPr="00990D3B" w:rsidP="001A4E60" w14:paraId="1DDBD5FF" w14:textId="77777777">
            <w:pPr>
              <w:pStyle w:val="EQRTableText"/>
            </w:pPr>
            <w:r w:rsidRPr="00990D3B">
              <w:t> </w:t>
            </w:r>
          </w:p>
        </w:tc>
        <w:tc>
          <w:tcPr>
            <w:tcW w:w="1143" w:type="dxa"/>
            <w:tcBorders>
              <w:bottom w:val="single" w:sz="4" w:space="0" w:color="000000"/>
            </w:tcBorders>
            <w:vAlign w:val="center"/>
          </w:tcPr>
          <w:p w:rsidR="00D7261B" w:rsidRPr="00990D3B" w:rsidP="00D65E61" w14:paraId="3854B919" w14:textId="69307042">
            <w:pPr>
              <w:pStyle w:val="EQRTableTextBOX"/>
            </w:pPr>
          </w:p>
        </w:tc>
        <w:tc>
          <w:tcPr>
            <w:tcW w:w="3415" w:type="dxa"/>
            <w:vAlign w:val="center"/>
          </w:tcPr>
          <w:p w:rsidR="00D7261B" w:rsidRPr="00990D3B" w:rsidP="001A4E60" w14:paraId="254DCEF9" w14:textId="77777777">
            <w:pPr>
              <w:pStyle w:val="EQRTableText"/>
            </w:pPr>
            <w:r w:rsidRPr="00990D3B">
              <w:t> </w:t>
            </w:r>
          </w:p>
        </w:tc>
      </w:tr>
      <w:tr w14:paraId="4E7A6674" w14:textId="77777777" w:rsidTr="001A4E60">
        <w:tblPrEx>
          <w:tblW w:w="5000" w:type="pct"/>
          <w:tblLook w:val="00A0"/>
        </w:tblPrEx>
        <w:trPr>
          <w:cantSplit/>
        </w:trPr>
        <w:tc>
          <w:tcPr>
            <w:tcW w:w="2722" w:type="dxa"/>
            <w:tcBorders>
              <w:right w:val="nil"/>
            </w:tcBorders>
          </w:tcPr>
          <w:p w:rsidR="00D7261B" w:rsidRPr="00990D3B" w:rsidP="001A4E60" w14:paraId="57E041A4" w14:textId="6374A101">
            <w:pPr>
              <w:pStyle w:val="EQRTableText"/>
              <w:rPr>
                <w:b/>
              </w:rPr>
            </w:pPr>
            <w:r w:rsidRPr="00990D3B">
              <w:rPr>
                <w:b/>
              </w:rPr>
              <w:t xml:space="preserve">Numerator </w:t>
            </w:r>
          </w:p>
        </w:tc>
        <w:tc>
          <w:tcPr>
            <w:tcW w:w="2070" w:type="dxa"/>
            <w:tcBorders>
              <w:left w:val="nil"/>
              <w:right w:val="nil"/>
            </w:tcBorders>
            <w:vAlign w:val="center"/>
          </w:tcPr>
          <w:p w:rsidR="00D7261B" w:rsidRPr="00990D3B" w:rsidP="001A4E60" w14:paraId="5143040C" w14:textId="77777777">
            <w:pPr>
              <w:pStyle w:val="EQRTableText"/>
            </w:pPr>
            <w:r w:rsidRPr="00990D3B">
              <w:t> </w:t>
            </w:r>
          </w:p>
        </w:tc>
        <w:tc>
          <w:tcPr>
            <w:tcW w:w="1143" w:type="dxa"/>
            <w:tcBorders>
              <w:left w:val="nil"/>
              <w:right w:val="nil"/>
            </w:tcBorders>
            <w:vAlign w:val="center"/>
          </w:tcPr>
          <w:p w:rsidR="00D7261B" w:rsidRPr="00990D3B" w:rsidP="001A4E60" w14:paraId="12FF278A" w14:textId="77777777">
            <w:pPr>
              <w:pStyle w:val="EQRTableText"/>
            </w:pPr>
            <w:r w:rsidRPr="00990D3B">
              <w:t> </w:t>
            </w:r>
          </w:p>
        </w:tc>
        <w:tc>
          <w:tcPr>
            <w:tcW w:w="3415" w:type="dxa"/>
            <w:tcBorders>
              <w:left w:val="nil"/>
            </w:tcBorders>
            <w:vAlign w:val="center"/>
          </w:tcPr>
          <w:p w:rsidR="00D7261B" w:rsidRPr="00990D3B" w:rsidP="001A4E60" w14:paraId="619C912D" w14:textId="77777777">
            <w:pPr>
              <w:pStyle w:val="EQRTableText"/>
            </w:pPr>
            <w:r w:rsidRPr="00990D3B">
              <w:t> </w:t>
            </w:r>
          </w:p>
        </w:tc>
      </w:tr>
      <w:tr w14:paraId="57E80E83" w14:textId="77777777" w:rsidTr="001A4E60">
        <w:tblPrEx>
          <w:tblW w:w="5000" w:type="pct"/>
          <w:tblLook w:val="00A0"/>
        </w:tblPrEx>
        <w:trPr>
          <w:cantSplit/>
        </w:trPr>
        <w:tc>
          <w:tcPr>
            <w:tcW w:w="2722" w:type="dxa"/>
          </w:tcPr>
          <w:p w:rsidR="00D7261B" w:rsidRPr="00990D3B" w:rsidP="001A4E60" w14:paraId="48B95AB0" w14:textId="77777777">
            <w:pPr>
              <w:pStyle w:val="EQRTableText"/>
            </w:pPr>
            <w:r w:rsidRPr="00990D3B">
              <w:t>Diagnosis code</w:t>
            </w:r>
          </w:p>
        </w:tc>
        <w:tc>
          <w:tcPr>
            <w:tcW w:w="2070" w:type="dxa"/>
            <w:vAlign w:val="center"/>
          </w:tcPr>
          <w:p w:rsidR="00D7261B" w:rsidRPr="00990D3B" w:rsidP="001A4E60" w14:paraId="09D8F705" w14:textId="77777777">
            <w:pPr>
              <w:pStyle w:val="EQRTableText"/>
            </w:pPr>
            <w:r w:rsidRPr="00990D3B">
              <w:t> </w:t>
            </w:r>
          </w:p>
        </w:tc>
        <w:tc>
          <w:tcPr>
            <w:tcW w:w="1143" w:type="dxa"/>
            <w:vAlign w:val="center"/>
          </w:tcPr>
          <w:p w:rsidR="00D7261B" w:rsidRPr="00990D3B" w:rsidP="00D65E61" w14:paraId="20F2A2B9" w14:textId="6F9FA257">
            <w:pPr>
              <w:pStyle w:val="EQRTableTextBOX"/>
            </w:pPr>
          </w:p>
        </w:tc>
        <w:tc>
          <w:tcPr>
            <w:tcW w:w="3415" w:type="dxa"/>
            <w:vAlign w:val="center"/>
          </w:tcPr>
          <w:p w:rsidR="00D7261B" w:rsidRPr="00990D3B" w:rsidP="001A4E60" w14:paraId="17594CE8" w14:textId="77777777">
            <w:pPr>
              <w:pStyle w:val="EQRTableText"/>
            </w:pPr>
            <w:r w:rsidRPr="00990D3B">
              <w:t> </w:t>
            </w:r>
          </w:p>
        </w:tc>
      </w:tr>
      <w:tr w14:paraId="08F45BA9" w14:textId="77777777" w:rsidTr="001A4E60">
        <w:tblPrEx>
          <w:tblW w:w="5000" w:type="pct"/>
          <w:tblLook w:val="00A0"/>
        </w:tblPrEx>
        <w:trPr>
          <w:cantSplit/>
        </w:trPr>
        <w:tc>
          <w:tcPr>
            <w:tcW w:w="2722" w:type="dxa"/>
          </w:tcPr>
          <w:p w:rsidR="00D7261B" w:rsidRPr="00990D3B" w:rsidP="001A4E60" w14:paraId="7C819433" w14:textId="77777777">
            <w:pPr>
              <w:pStyle w:val="EQRTableText"/>
            </w:pPr>
            <w:r w:rsidRPr="00990D3B">
              <w:t>Procedure code</w:t>
            </w:r>
          </w:p>
        </w:tc>
        <w:tc>
          <w:tcPr>
            <w:tcW w:w="2070" w:type="dxa"/>
            <w:vAlign w:val="center"/>
          </w:tcPr>
          <w:p w:rsidR="00D7261B" w:rsidRPr="00990D3B" w:rsidP="001A4E60" w14:paraId="121F55DA" w14:textId="77777777">
            <w:pPr>
              <w:pStyle w:val="EQRTableText"/>
            </w:pPr>
            <w:r w:rsidRPr="00990D3B">
              <w:t> </w:t>
            </w:r>
          </w:p>
        </w:tc>
        <w:tc>
          <w:tcPr>
            <w:tcW w:w="1143" w:type="dxa"/>
            <w:vAlign w:val="center"/>
          </w:tcPr>
          <w:p w:rsidR="00D7261B" w:rsidRPr="00990D3B" w:rsidP="00D65E61" w14:paraId="7E077A1E" w14:textId="319170FE">
            <w:pPr>
              <w:pStyle w:val="EQRTableTextBOX"/>
            </w:pPr>
          </w:p>
        </w:tc>
        <w:tc>
          <w:tcPr>
            <w:tcW w:w="3415" w:type="dxa"/>
            <w:vAlign w:val="center"/>
          </w:tcPr>
          <w:p w:rsidR="00D7261B" w:rsidRPr="00990D3B" w:rsidP="001A4E60" w14:paraId="7FE4D60B" w14:textId="77777777">
            <w:pPr>
              <w:pStyle w:val="EQRTableText"/>
            </w:pPr>
            <w:r w:rsidRPr="00990D3B">
              <w:t> </w:t>
            </w:r>
          </w:p>
        </w:tc>
      </w:tr>
      <w:tr w14:paraId="37085C6A" w14:textId="77777777" w:rsidTr="001A4E60">
        <w:tblPrEx>
          <w:tblW w:w="5000" w:type="pct"/>
          <w:tblLook w:val="00A0"/>
        </w:tblPrEx>
        <w:trPr>
          <w:cantSplit/>
        </w:trPr>
        <w:tc>
          <w:tcPr>
            <w:tcW w:w="2722" w:type="dxa"/>
          </w:tcPr>
          <w:p w:rsidR="00D7261B" w:rsidRPr="00990D3B" w:rsidP="001A4E60" w14:paraId="216D1905" w14:textId="77777777">
            <w:pPr>
              <w:pStyle w:val="EQRTableText"/>
            </w:pPr>
            <w:r w:rsidRPr="00990D3B">
              <w:t>Pharmacy code</w:t>
            </w:r>
          </w:p>
        </w:tc>
        <w:tc>
          <w:tcPr>
            <w:tcW w:w="2070" w:type="dxa"/>
            <w:vAlign w:val="center"/>
          </w:tcPr>
          <w:p w:rsidR="00D7261B" w:rsidRPr="00990D3B" w:rsidP="001A4E60" w14:paraId="71659840" w14:textId="77777777">
            <w:pPr>
              <w:pStyle w:val="EQRTableText"/>
            </w:pPr>
            <w:r w:rsidRPr="00990D3B">
              <w:t> </w:t>
            </w:r>
          </w:p>
        </w:tc>
        <w:tc>
          <w:tcPr>
            <w:tcW w:w="1143" w:type="dxa"/>
            <w:vAlign w:val="center"/>
          </w:tcPr>
          <w:p w:rsidR="00D7261B" w:rsidRPr="00990D3B" w:rsidP="00D65E61" w14:paraId="3BB7098C" w14:textId="326A3C37">
            <w:pPr>
              <w:pStyle w:val="EQRTableTextBOX"/>
            </w:pPr>
          </w:p>
        </w:tc>
        <w:tc>
          <w:tcPr>
            <w:tcW w:w="3415" w:type="dxa"/>
            <w:vAlign w:val="center"/>
          </w:tcPr>
          <w:p w:rsidR="00D7261B" w:rsidRPr="00990D3B" w:rsidP="001A4E60" w14:paraId="77F6181F" w14:textId="77777777">
            <w:pPr>
              <w:pStyle w:val="EQRTableText"/>
            </w:pPr>
            <w:r w:rsidRPr="00990D3B">
              <w:t> </w:t>
            </w:r>
          </w:p>
        </w:tc>
      </w:tr>
      <w:tr w14:paraId="47AB999C" w14:textId="77777777" w:rsidTr="001A4E60">
        <w:tblPrEx>
          <w:tblW w:w="5000" w:type="pct"/>
          <w:tblLook w:val="00A0"/>
        </w:tblPrEx>
        <w:trPr>
          <w:cantSplit/>
        </w:trPr>
        <w:tc>
          <w:tcPr>
            <w:tcW w:w="2722" w:type="dxa"/>
          </w:tcPr>
          <w:p w:rsidR="00D7261B" w:rsidRPr="00990D3B" w:rsidP="001A4E60" w14:paraId="56CE31C9" w14:textId="77777777">
            <w:pPr>
              <w:pStyle w:val="EQRTableText"/>
            </w:pPr>
            <w:r w:rsidRPr="00990D3B">
              <w:t>Lab order</w:t>
            </w:r>
          </w:p>
        </w:tc>
        <w:tc>
          <w:tcPr>
            <w:tcW w:w="2070" w:type="dxa"/>
            <w:vAlign w:val="center"/>
          </w:tcPr>
          <w:p w:rsidR="00D7261B" w:rsidRPr="00990D3B" w:rsidP="001A4E60" w14:paraId="3F58DFB6" w14:textId="77777777">
            <w:pPr>
              <w:pStyle w:val="EQRTableText"/>
            </w:pPr>
            <w:r w:rsidRPr="00990D3B">
              <w:t> </w:t>
            </w:r>
          </w:p>
        </w:tc>
        <w:tc>
          <w:tcPr>
            <w:tcW w:w="1143" w:type="dxa"/>
            <w:vAlign w:val="center"/>
          </w:tcPr>
          <w:p w:rsidR="00D7261B" w:rsidRPr="00990D3B" w:rsidP="00D65E61" w14:paraId="24A406E4" w14:textId="785A0413">
            <w:pPr>
              <w:pStyle w:val="EQRTableTextBOX"/>
            </w:pPr>
          </w:p>
        </w:tc>
        <w:tc>
          <w:tcPr>
            <w:tcW w:w="3415" w:type="dxa"/>
            <w:vAlign w:val="center"/>
          </w:tcPr>
          <w:p w:rsidR="00D7261B" w:rsidRPr="00990D3B" w:rsidP="001A4E60" w14:paraId="43A90EDA" w14:textId="77777777">
            <w:pPr>
              <w:pStyle w:val="EQRTableText"/>
            </w:pPr>
            <w:r w:rsidRPr="00990D3B">
              <w:t> </w:t>
            </w:r>
          </w:p>
        </w:tc>
      </w:tr>
      <w:tr w14:paraId="1CF5A315" w14:textId="77777777" w:rsidTr="001A4E60">
        <w:tblPrEx>
          <w:tblW w:w="5000" w:type="pct"/>
          <w:tblLook w:val="00A0"/>
        </w:tblPrEx>
        <w:trPr>
          <w:cantSplit/>
        </w:trPr>
        <w:tc>
          <w:tcPr>
            <w:tcW w:w="2722" w:type="dxa"/>
          </w:tcPr>
          <w:p w:rsidR="00D7261B" w:rsidRPr="00990D3B" w:rsidP="001A4E60" w14:paraId="1D30DC67" w14:textId="77777777">
            <w:pPr>
              <w:pStyle w:val="EQRTableText"/>
            </w:pPr>
            <w:r w:rsidRPr="00990D3B">
              <w:t>Lab result</w:t>
            </w:r>
          </w:p>
        </w:tc>
        <w:tc>
          <w:tcPr>
            <w:tcW w:w="2070" w:type="dxa"/>
            <w:vAlign w:val="center"/>
          </w:tcPr>
          <w:p w:rsidR="00D7261B" w:rsidRPr="00990D3B" w:rsidP="001A4E60" w14:paraId="76841004" w14:textId="77777777">
            <w:pPr>
              <w:pStyle w:val="EQRTableText"/>
            </w:pPr>
            <w:r w:rsidRPr="00990D3B">
              <w:t> </w:t>
            </w:r>
          </w:p>
        </w:tc>
        <w:tc>
          <w:tcPr>
            <w:tcW w:w="1143" w:type="dxa"/>
            <w:vAlign w:val="center"/>
          </w:tcPr>
          <w:p w:rsidR="00D7261B" w:rsidRPr="00990D3B" w:rsidP="00D65E61" w14:paraId="6E7E841B" w14:textId="360440B6">
            <w:pPr>
              <w:pStyle w:val="EQRTableTextBOX"/>
            </w:pPr>
          </w:p>
        </w:tc>
        <w:tc>
          <w:tcPr>
            <w:tcW w:w="3415" w:type="dxa"/>
            <w:vAlign w:val="center"/>
          </w:tcPr>
          <w:p w:rsidR="00D7261B" w:rsidRPr="00990D3B" w:rsidP="001A4E60" w14:paraId="069F00FD" w14:textId="77777777">
            <w:pPr>
              <w:pStyle w:val="EQRTableText"/>
            </w:pPr>
            <w:r w:rsidRPr="00990D3B">
              <w:t> </w:t>
            </w:r>
          </w:p>
        </w:tc>
      </w:tr>
      <w:tr w14:paraId="44011ECD" w14:textId="77777777" w:rsidTr="001A4E60">
        <w:tblPrEx>
          <w:tblW w:w="5000" w:type="pct"/>
          <w:tblLook w:val="00A0"/>
        </w:tblPrEx>
        <w:trPr>
          <w:cantSplit/>
        </w:trPr>
        <w:tc>
          <w:tcPr>
            <w:tcW w:w="2722" w:type="dxa"/>
          </w:tcPr>
          <w:p w:rsidR="00D7261B" w:rsidRPr="00990D3B" w:rsidP="001A4E60" w14:paraId="167E26D0" w14:textId="77777777">
            <w:pPr>
              <w:pStyle w:val="EQRTableText"/>
            </w:pPr>
            <w:r w:rsidRPr="00990D3B">
              <w:t>[INSERT other numerator data elements]</w:t>
            </w:r>
          </w:p>
        </w:tc>
        <w:tc>
          <w:tcPr>
            <w:tcW w:w="2070" w:type="dxa"/>
            <w:tcBorders>
              <w:bottom w:val="single" w:sz="4" w:space="0" w:color="000000"/>
            </w:tcBorders>
            <w:vAlign w:val="center"/>
          </w:tcPr>
          <w:p w:rsidR="00D7261B" w:rsidRPr="00990D3B" w:rsidP="001A4E60" w14:paraId="00A3A64D" w14:textId="77777777">
            <w:pPr>
              <w:pStyle w:val="EQRTableText"/>
            </w:pPr>
            <w:r w:rsidRPr="00990D3B">
              <w:t> </w:t>
            </w:r>
          </w:p>
        </w:tc>
        <w:tc>
          <w:tcPr>
            <w:tcW w:w="1143" w:type="dxa"/>
            <w:tcBorders>
              <w:bottom w:val="single" w:sz="4" w:space="0" w:color="000000"/>
            </w:tcBorders>
            <w:vAlign w:val="center"/>
          </w:tcPr>
          <w:p w:rsidR="00D7261B" w:rsidRPr="00990D3B" w:rsidP="00D65E61" w14:paraId="34CC9191" w14:textId="00374B2A">
            <w:pPr>
              <w:pStyle w:val="EQRTableTextBOX"/>
            </w:pPr>
          </w:p>
        </w:tc>
        <w:tc>
          <w:tcPr>
            <w:tcW w:w="3415" w:type="dxa"/>
            <w:vAlign w:val="center"/>
          </w:tcPr>
          <w:p w:rsidR="00D7261B" w:rsidRPr="00990D3B" w:rsidP="001A4E60" w14:paraId="26F9460D" w14:textId="77777777">
            <w:pPr>
              <w:pStyle w:val="EQRTableText"/>
            </w:pPr>
            <w:r w:rsidRPr="00990D3B">
              <w:t> </w:t>
            </w:r>
          </w:p>
        </w:tc>
      </w:tr>
    </w:tbl>
    <w:p w:rsidR="00D7261B" w:rsidRPr="00990D3B" w:rsidP="00396DE8" w14:paraId="7A0777E5" w14:textId="77777777">
      <w:pPr>
        <w:pStyle w:val="EQRNormalSSWORKSHEET"/>
      </w:pPr>
    </w:p>
    <w:p w:rsidR="00D7261B" w:rsidRPr="00990D3B" w:rsidP="00396DE8" w14:paraId="0B8F9769" w14:textId="77777777">
      <w:pPr>
        <w:pStyle w:val="EQRNormalSSWORKSHEET"/>
      </w:pPr>
      <w:r w:rsidRPr="00990D3B">
        <w:br w:type="page"/>
      </w:r>
    </w:p>
    <w:p w:rsidR="00D7261B" w:rsidRPr="00990D3B" w:rsidP="00A54412" w14:paraId="1EB05D81" w14:textId="26D1B815">
      <w:pPr>
        <w:pStyle w:val="EQRMarkforExhibitWORKSHEET"/>
      </w:pPr>
      <w:bookmarkStart w:id="852" w:name="WSp7n05"/>
      <w:bookmarkStart w:id="853" w:name="_Toc125619190"/>
      <w:bookmarkStart w:id="854" w:name="_Toc201751554"/>
      <w:r w:rsidRPr="00990D3B">
        <w:t>Worksheet 7.5</w:t>
      </w:r>
      <w:bookmarkEnd w:id="852"/>
      <w:r w:rsidRPr="00990D3B">
        <w:t>. File Format for Transmission of Claims Data</w:t>
      </w:r>
      <w:bookmarkEnd w:id="853"/>
      <w:r w:rsidRPr="00990D3B" w:rsidR="00BF74CF">
        <w:t xml:space="preserve"> Template</w:t>
      </w:r>
      <w:bookmarkEnd w:id="854"/>
      <w:r w:rsidRPr="00990D3B" w:rsidR="00BF74CF">
        <w:t xml:space="preserve"> </w:t>
      </w:r>
    </w:p>
    <w:p w:rsidR="00D7261B" w:rsidRPr="00990D3B" w:rsidP="00B36EAF" w14:paraId="6EFFE6D7" w14:textId="0DADF32D">
      <w:pPr>
        <w:pStyle w:val="EQRNormalSSWORKSHEET"/>
      </w:pPr>
      <w:r w:rsidRPr="00990D3B">
        <w:rPr>
          <w:b/>
          <w:bCs/>
        </w:rPr>
        <w:t xml:space="preserve">Instructions. </w:t>
      </w:r>
      <w:r w:rsidRPr="00990D3B">
        <w:t>Use t</w:t>
      </w:r>
      <w:r w:rsidRPr="00990D3B">
        <w:t xml:space="preserve">his worksheet </w:t>
      </w:r>
      <w:r w:rsidRPr="00990D3B">
        <w:t xml:space="preserve">to </w:t>
      </w:r>
      <w:r w:rsidRPr="00990D3B">
        <w:t>construct</w:t>
      </w:r>
      <w:r w:rsidRPr="00990D3B">
        <w:t xml:space="preserve"> </w:t>
      </w:r>
      <w:r w:rsidRPr="00990D3B">
        <w:t xml:space="preserve">an electronic data shell or file format, including definitions for all data fields. Complete </w:t>
      </w:r>
      <w:r w:rsidRPr="00990D3B">
        <w:t xml:space="preserve">one row </w:t>
      </w:r>
      <w:r w:rsidRPr="00990D3B">
        <w:t xml:space="preserve">for each data </w:t>
      </w:r>
      <w:r w:rsidRPr="00990D3B">
        <w:t>field</w:t>
      </w:r>
      <w:r w:rsidRPr="00990D3B">
        <w:t xml:space="preserve"> in the claims file, adapt</w:t>
      </w:r>
      <w:r w:rsidRPr="00990D3B">
        <w:t xml:space="preserve">ing </w:t>
      </w:r>
      <w:r w:rsidRPr="00990D3B">
        <w:t xml:space="preserve">as needed. </w:t>
      </w:r>
      <w:r w:rsidRPr="00990D3B">
        <w:tab/>
      </w:r>
    </w:p>
    <w:p w:rsidR="002060F5" w:rsidRPr="00990D3B" w:rsidP="002060F5" w14:paraId="6F945C72" w14:textId="50D637D3">
      <w:pPr>
        <w:pStyle w:val="EQRNormalSSWORKSHEET"/>
        <w:spacing w:before="0" w:line="240" w:lineRule="auto"/>
      </w:pPr>
      <w:r w:rsidRPr="00990D3B">
        <w:t xml:space="preserve">Acronyms: </w:t>
      </w:r>
      <w:r w:rsidRPr="00990D3B">
        <w:t>Phy</w:t>
      </w:r>
      <w:r w:rsidRPr="00990D3B">
        <w:t xml:space="preserve">= Physician Claim; RX= Pharmacy Claims; UB = Institutional Claims.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5"/>
        <w:gridCol w:w="1710"/>
        <w:gridCol w:w="1710"/>
        <w:gridCol w:w="1350"/>
        <w:gridCol w:w="1620"/>
        <w:gridCol w:w="2155"/>
      </w:tblGrid>
      <w:tr w14:paraId="6FFF5261" w14:textId="77777777" w:rsidTr="008E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422"/>
          <w:tblHeader/>
        </w:trPr>
        <w:tc>
          <w:tcPr>
            <w:tcW w:w="805" w:type="dxa"/>
            <w:tcBorders>
              <w:bottom w:val="single" w:sz="4" w:space="0" w:color="auto"/>
            </w:tcBorders>
            <w:vAlign w:val="bottom"/>
          </w:tcPr>
          <w:p w:rsidR="00D7261B" w:rsidRPr="00990D3B" w:rsidP="00056829" w14:paraId="6A47C329" w14:textId="77777777">
            <w:pPr>
              <w:pStyle w:val="EQRTableText"/>
              <w:spacing w:before="0" w:after="0"/>
              <w:rPr>
                <w:b/>
                <w:bCs/>
              </w:rPr>
            </w:pPr>
            <w:r w:rsidRPr="00990D3B">
              <w:rPr>
                <w:b/>
                <w:bCs/>
              </w:rPr>
              <w:t>Field #</w:t>
            </w:r>
          </w:p>
        </w:tc>
        <w:tc>
          <w:tcPr>
            <w:tcW w:w="1710" w:type="dxa"/>
            <w:tcBorders>
              <w:bottom w:val="single" w:sz="4" w:space="0" w:color="auto"/>
            </w:tcBorders>
            <w:noWrap/>
            <w:vAlign w:val="bottom"/>
          </w:tcPr>
          <w:p w:rsidR="00D7261B" w:rsidRPr="00990D3B" w:rsidP="00056829" w14:paraId="5E16DBE0" w14:textId="34DC1F20">
            <w:pPr>
              <w:pStyle w:val="EQRTableText"/>
              <w:spacing w:before="0" w:after="0"/>
              <w:jc w:val="center"/>
              <w:rPr>
                <w:b/>
                <w:bCs/>
              </w:rPr>
            </w:pPr>
            <w:r w:rsidRPr="00990D3B">
              <w:rPr>
                <w:b/>
                <w:bCs/>
              </w:rPr>
              <w:t xml:space="preserve">Data </w:t>
            </w:r>
            <w:r w:rsidRPr="00990D3B" w:rsidR="00056829">
              <w:rPr>
                <w:b/>
                <w:bCs/>
              </w:rPr>
              <w:t>f</w:t>
            </w:r>
            <w:r w:rsidRPr="00990D3B">
              <w:rPr>
                <w:b/>
                <w:bCs/>
              </w:rPr>
              <w:t>ield</w:t>
            </w:r>
          </w:p>
        </w:tc>
        <w:tc>
          <w:tcPr>
            <w:tcW w:w="1710" w:type="dxa"/>
            <w:vAlign w:val="bottom"/>
          </w:tcPr>
          <w:p w:rsidR="00056829" w:rsidRPr="00990D3B" w:rsidP="008E2051" w14:paraId="2DFE145E" w14:textId="2AFB9980">
            <w:pPr>
              <w:pStyle w:val="EQRTableText"/>
              <w:spacing w:before="0" w:after="0"/>
              <w:jc w:val="center"/>
              <w:rPr>
                <w:b/>
                <w:bCs/>
              </w:rPr>
            </w:pPr>
            <w:r w:rsidRPr="00990D3B">
              <w:rPr>
                <w:b/>
                <w:bCs/>
              </w:rPr>
              <w:t>Claim type</w:t>
            </w:r>
            <w:r w:rsidRPr="00990D3B" w:rsidR="008E2051">
              <w:rPr>
                <w:b/>
                <w:bCs/>
              </w:rPr>
              <w:br/>
            </w:r>
            <w:r w:rsidRPr="00990D3B">
              <w:rPr>
                <w:b/>
                <w:bCs/>
              </w:rPr>
              <w:t>(</w:t>
            </w:r>
            <w:r w:rsidRPr="00990D3B">
              <w:rPr>
                <w:b/>
                <w:bCs/>
              </w:rPr>
              <w:t>Phy</w:t>
            </w:r>
            <w:r w:rsidRPr="00990D3B">
              <w:rPr>
                <w:b/>
                <w:bCs/>
              </w:rPr>
              <w:t>, RX, UB)</w:t>
            </w:r>
          </w:p>
        </w:tc>
        <w:tc>
          <w:tcPr>
            <w:tcW w:w="1350" w:type="dxa"/>
            <w:tcBorders>
              <w:bottom w:val="single" w:sz="4" w:space="0" w:color="auto"/>
            </w:tcBorders>
            <w:vAlign w:val="bottom"/>
          </w:tcPr>
          <w:p w:rsidR="00D7261B" w:rsidRPr="00990D3B" w:rsidP="00056829" w14:paraId="07601485" w14:textId="4D9B322F">
            <w:pPr>
              <w:pStyle w:val="EQRTableText"/>
              <w:spacing w:before="0" w:after="0"/>
              <w:jc w:val="center"/>
              <w:rPr>
                <w:b/>
                <w:bCs/>
              </w:rPr>
            </w:pPr>
            <w:r w:rsidRPr="00990D3B">
              <w:rPr>
                <w:b/>
                <w:bCs/>
              </w:rPr>
              <w:t xml:space="preserve">Data </w:t>
            </w:r>
            <w:r w:rsidRPr="00990D3B" w:rsidR="00056829">
              <w:rPr>
                <w:b/>
                <w:bCs/>
              </w:rPr>
              <w:t>t</w:t>
            </w:r>
            <w:r w:rsidRPr="00990D3B">
              <w:rPr>
                <w:b/>
                <w:bCs/>
              </w:rPr>
              <w:t>ype/</w:t>
            </w:r>
            <w:r w:rsidRPr="00990D3B" w:rsidR="00056829">
              <w:rPr>
                <w:b/>
                <w:bCs/>
              </w:rPr>
              <w:t>f</w:t>
            </w:r>
            <w:r w:rsidRPr="00990D3B">
              <w:rPr>
                <w:b/>
                <w:bCs/>
              </w:rPr>
              <w:t>ormat</w:t>
            </w:r>
          </w:p>
        </w:tc>
        <w:tc>
          <w:tcPr>
            <w:tcW w:w="1620" w:type="dxa"/>
            <w:tcBorders>
              <w:bottom w:val="single" w:sz="4" w:space="0" w:color="auto"/>
            </w:tcBorders>
            <w:noWrap/>
            <w:vAlign w:val="bottom"/>
          </w:tcPr>
          <w:p w:rsidR="00D7261B" w:rsidRPr="00990D3B" w:rsidP="00056829" w14:paraId="0BFFF8E7" w14:textId="17C410C9">
            <w:pPr>
              <w:pStyle w:val="EQRTableText"/>
              <w:spacing w:before="0" w:after="0"/>
              <w:jc w:val="center"/>
              <w:rPr>
                <w:b/>
                <w:bCs/>
              </w:rPr>
            </w:pPr>
            <w:r w:rsidRPr="00990D3B">
              <w:rPr>
                <w:b/>
                <w:bCs/>
              </w:rPr>
              <w:t>Req</w:t>
            </w:r>
            <w:r w:rsidRPr="00990D3B" w:rsidR="00663D02">
              <w:rPr>
                <w:b/>
                <w:bCs/>
              </w:rPr>
              <w:t xml:space="preserve">uired </w:t>
            </w:r>
            <w:r w:rsidRPr="00990D3B" w:rsidR="00056829">
              <w:rPr>
                <w:b/>
                <w:bCs/>
              </w:rPr>
              <w:t>o</w:t>
            </w:r>
            <w:r w:rsidRPr="00990D3B">
              <w:rPr>
                <w:b/>
                <w:bCs/>
              </w:rPr>
              <w:t>pt</w:t>
            </w:r>
            <w:r w:rsidRPr="00990D3B" w:rsidR="00663D02">
              <w:rPr>
                <w:b/>
                <w:bCs/>
              </w:rPr>
              <w:t>ional</w:t>
            </w:r>
          </w:p>
        </w:tc>
        <w:tc>
          <w:tcPr>
            <w:tcW w:w="2155" w:type="dxa"/>
            <w:tcBorders>
              <w:bottom w:val="single" w:sz="4" w:space="0" w:color="auto"/>
            </w:tcBorders>
            <w:vAlign w:val="bottom"/>
          </w:tcPr>
          <w:p w:rsidR="00D7261B" w:rsidRPr="00990D3B" w:rsidP="00056829" w14:paraId="75FC6D70" w14:textId="77777777">
            <w:pPr>
              <w:pStyle w:val="EQRTableText"/>
              <w:spacing w:before="0" w:after="0"/>
              <w:jc w:val="center"/>
              <w:rPr>
                <w:b/>
                <w:bCs/>
              </w:rPr>
            </w:pPr>
            <w:r w:rsidRPr="00990D3B">
              <w:rPr>
                <w:b/>
                <w:bCs/>
              </w:rPr>
              <w:t>Comments</w:t>
            </w:r>
          </w:p>
        </w:tc>
      </w:tr>
      <w:tr w14:paraId="65D20102" w14:textId="77777777" w:rsidTr="00697F16">
        <w:tblPrEx>
          <w:tblW w:w="5000" w:type="pct"/>
          <w:tblLook w:val="0000"/>
        </w:tblPrEx>
        <w:trPr>
          <w:cantSplit/>
          <w:trHeight w:val="255"/>
        </w:trPr>
        <w:tc>
          <w:tcPr>
            <w:tcW w:w="805" w:type="dxa"/>
            <w:tcBorders>
              <w:top w:val="single" w:sz="4" w:space="0" w:color="auto"/>
            </w:tcBorders>
          </w:tcPr>
          <w:p w:rsidR="00D7261B" w:rsidRPr="00990D3B" w:rsidP="00B36EAF" w14:paraId="31083446" w14:textId="6F727432">
            <w:pPr>
              <w:pStyle w:val="EQRTableText"/>
            </w:pPr>
          </w:p>
        </w:tc>
        <w:tc>
          <w:tcPr>
            <w:tcW w:w="1710" w:type="dxa"/>
            <w:tcBorders>
              <w:top w:val="single" w:sz="4" w:space="0" w:color="auto"/>
            </w:tcBorders>
            <w:noWrap/>
          </w:tcPr>
          <w:p w:rsidR="00D7261B" w:rsidRPr="00990D3B" w:rsidP="00B36EAF" w14:paraId="22CA1D99" w14:textId="014FDA32">
            <w:pPr>
              <w:pStyle w:val="EQRTableText"/>
            </w:pPr>
          </w:p>
        </w:tc>
        <w:tc>
          <w:tcPr>
            <w:tcW w:w="1710" w:type="dxa"/>
          </w:tcPr>
          <w:p w:rsidR="00D7261B" w:rsidRPr="00990D3B" w:rsidP="00B36EAF" w14:paraId="3EDE4AF4" w14:textId="06979C32">
            <w:pPr>
              <w:pStyle w:val="EQRTableText"/>
            </w:pPr>
          </w:p>
        </w:tc>
        <w:tc>
          <w:tcPr>
            <w:tcW w:w="1350" w:type="dxa"/>
            <w:tcBorders>
              <w:top w:val="single" w:sz="4" w:space="0" w:color="auto"/>
            </w:tcBorders>
          </w:tcPr>
          <w:p w:rsidR="00D7261B" w:rsidRPr="00990D3B" w:rsidP="00B36EAF" w14:paraId="70EE3A58" w14:textId="5BFFFCF1">
            <w:pPr>
              <w:pStyle w:val="EQRTableText"/>
            </w:pPr>
          </w:p>
        </w:tc>
        <w:tc>
          <w:tcPr>
            <w:tcW w:w="1620" w:type="dxa"/>
            <w:tcBorders>
              <w:top w:val="single" w:sz="4" w:space="0" w:color="auto"/>
            </w:tcBorders>
            <w:noWrap/>
          </w:tcPr>
          <w:p w:rsidR="00D7261B" w:rsidRPr="00990D3B" w:rsidP="00B36EAF" w14:paraId="7E413BA6" w14:textId="45EE24A1">
            <w:pPr>
              <w:pStyle w:val="EQRTableText"/>
            </w:pPr>
          </w:p>
        </w:tc>
        <w:tc>
          <w:tcPr>
            <w:tcW w:w="2155" w:type="dxa"/>
            <w:tcBorders>
              <w:top w:val="single" w:sz="4" w:space="0" w:color="auto"/>
            </w:tcBorders>
          </w:tcPr>
          <w:p w:rsidR="00D7261B" w:rsidRPr="00990D3B" w:rsidP="00B36EAF" w14:paraId="279A4EE9" w14:textId="5B90327F">
            <w:pPr>
              <w:pStyle w:val="EQRTableText"/>
            </w:pPr>
          </w:p>
        </w:tc>
      </w:tr>
      <w:tr w14:paraId="1B40D926" w14:textId="77777777" w:rsidTr="00697F16">
        <w:tblPrEx>
          <w:tblW w:w="5000" w:type="pct"/>
          <w:tblLook w:val="0000"/>
        </w:tblPrEx>
        <w:trPr>
          <w:cantSplit/>
          <w:trHeight w:val="255"/>
        </w:trPr>
        <w:tc>
          <w:tcPr>
            <w:tcW w:w="805" w:type="dxa"/>
          </w:tcPr>
          <w:p w:rsidR="00D7261B" w:rsidRPr="00990D3B" w:rsidP="00B36EAF" w14:paraId="447D84B1" w14:textId="37744B97">
            <w:pPr>
              <w:pStyle w:val="EQRTableText"/>
            </w:pPr>
          </w:p>
        </w:tc>
        <w:tc>
          <w:tcPr>
            <w:tcW w:w="1710" w:type="dxa"/>
            <w:noWrap/>
          </w:tcPr>
          <w:p w:rsidR="00D7261B" w:rsidRPr="00990D3B" w:rsidP="00B36EAF" w14:paraId="1E584169" w14:textId="6862F595">
            <w:pPr>
              <w:pStyle w:val="EQRTableText"/>
            </w:pPr>
          </w:p>
        </w:tc>
        <w:tc>
          <w:tcPr>
            <w:tcW w:w="1710" w:type="dxa"/>
          </w:tcPr>
          <w:p w:rsidR="00D7261B" w:rsidRPr="00990D3B" w:rsidP="00B36EAF" w14:paraId="3AD21B15" w14:textId="46CAAD30">
            <w:pPr>
              <w:pStyle w:val="EQRTableText"/>
            </w:pPr>
          </w:p>
        </w:tc>
        <w:tc>
          <w:tcPr>
            <w:tcW w:w="1350" w:type="dxa"/>
          </w:tcPr>
          <w:p w:rsidR="00D7261B" w:rsidRPr="00990D3B" w:rsidP="00B36EAF" w14:paraId="2965C87A" w14:textId="0C0C1693">
            <w:pPr>
              <w:pStyle w:val="EQRTableText"/>
            </w:pPr>
          </w:p>
        </w:tc>
        <w:tc>
          <w:tcPr>
            <w:tcW w:w="1620" w:type="dxa"/>
            <w:noWrap/>
          </w:tcPr>
          <w:p w:rsidR="00D7261B" w:rsidRPr="00990D3B" w:rsidP="00B36EAF" w14:paraId="40C8AD9D" w14:textId="085A5218">
            <w:pPr>
              <w:pStyle w:val="EQRTableText"/>
            </w:pPr>
          </w:p>
        </w:tc>
        <w:tc>
          <w:tcPr>
            <w:tcW w:w="2155" w:type="dxa"/>
          </w:tcPr>
          <w:p w:rsidR="00D7261B" w:rsidRPr="00990D3B" w:rsidP="00B36EAF" w14:paraId="7386F3B8" w14:textId="14E09FAC">
            <w:pPr>
              <w:pStyle w:val="EQRTableText"/>
            </w:pPr>
          </w:p>
        </w:tc>
      </w:tr>
      <w:tr w14:paraId="01E46979" w14:textId="77777777" w:rsidTr="00697F16">
        <w:tblPrEx>
          <w:tblW w:w="5000" w:type="pct"/>
          <w:tblLook w:val="0000"/>
        </w:tblPrEx>
        <w:trPr>
          <w:cantSplit/>
          <w:trHeight w:val="255"/>
        </w:trPr>
        <w:tc>
          <w:tcPr>
            <w:tcW w:w="805" w:type="dxa"/>
          </w:tcPr>
          <w:p w:rsidR="00D7261B" w:rsidRPr="00990D3B" w:rsidP="00B36EAF" w14:paraId="21D751A9" w14:textId="2C26B957">
            <w:pPr>
              <w:pStyle w:val="EQRTableText"/>
            </w:pPr>
          </w:p>
        </w:tc>
        <w:tc>
          <w:tcPr>
            <w:tcW w:w="1710" w:type="dxa"/>
            <w:noWrap/>
          </w:tcPr>
          <w:p w:rsidR="00D7261B" w:rsidRPr="00990D3B" w:rsidP="00B36EAF" w14:paraId="5C64857A" w14:textId="739166EE">
            <w:pPr>
              <w:pStyle w:val="EQRTableText"/>
            </w:pPr>
          </w:p>
        </w:tc>
        <w:tc>
          <w:tcPr>
            <w:tcW w:w="1710" w:type="dxa"/>
          </w:tcPr>
          <w:p w:rsidR="00D7261B" w:rsidRPr="00990D3B" w:rsidP="00B36EAF" w14:paraId="1761854B" w14:textId="2415CE20">
            <w:pPr>
              <w:pStyle w:val="EQRTableText"/>
            </w:pPr>
          </w:p>
        </w:tc>
        <w:tc>
          <w:tcPr>
            <w:tcW w:w="1350" w:type="dxa"/>
          </w:tcPr>
          <w:p w:rsidR="00D7261B" w:rsidRPr="00990D3B" w:rsidP="00B36EAF" w14:paraId="13435E46" w14:textId="726B93E6">
            <w:pPr>
              <w:pStyle w:val="EQRTableText"/>
            </w:pPr>
          </w:p>
        </w:tc>
        <w:tc>
          <w:tcPr>
            <w:tcW w:w="1620" w:type="dxa"/>
            <w:noWrap/>
          </w:tcPr>
          <w:p w:rsidR="00D7261B" w:rsidRPr="00990D3B" w:rsidP="00B36EAF" w14:paraId="1A84569C" w14:textId="16D487D4">
            <w:pPr>
              <w:pStyle w:val="EQRTableText"/>
            </w:pPr>
          </w:p>
        </w:tc>
        <w:tc>
          <w:tcPr>
            <w:tcW w:w="2155" w:type="dxa"/>
          </w:tcPr>
          <w:p w:rsidR="00D7261B" w:rsidRPr="00990D3B" w:rsidP="00D72D01" w14:paraId="61FB5478" w14:textId="0384C05E">
            <w:pPr>
              <w:pStyle w:val="EQRTableText"/>
            </w:pPr>
          </w:p>
        </w:tc>
      </w:tr>
      <w:tr w14:paraId="1B54526F" w14:textId="77777777" w:rsidTr="00697F16">
        <w:tblPrEx>
          <w:tblW w:w="5000" w:type="pct"/>
          <w:tblLook w:val="0000"/>
        </w:tblPrEx>
        <w:trPr>
          <w:cantSplit/>
          <w:trHeight w:val="255"/>
        </w:trPr>
        <w:tc>
          <w:tcPr>
            <w:tcW w:w="805" w:type="dxa"/>
          </w:tcPr>
          <w:p w:rsidR="00D7261B" w:rsidRPr="00990D3B" w:rsidP="00B36EAF" w14:paraId="32AEED52" w14:textId="2DB1F23D">
            <w:pPr>
              <w:pStyle w:val="EQRTableText"/>
            </w:pPr>
          </w:p>
        </w:tc>
        <w:tc>
          <w:tcPr>
            <w:tcW w:w="1710" w:type="dxa"/>
            <w:noWrap/>
          </w:tcPr>
          <w:p w:rsidR="00D7261B" w:rsidRPr="00990D3B" w:rsidP="00B36EAF" w14:paraId="7BD33CA1" w14:textId="65F61C8B">
            <w:pPr>
              <w:pStyle w:val="EQRTableText"/>
            </w:pPr>
          </w:p>
        </w:tc>
        <w:tc>
          <w:tcPr>
            <w:tcW w:w="1710" w:type="dxa"/>
          </w:tcPr>
          <w:p w:rsidR="00D7261B" w:rsidRPr="00990D3B" w:rsidP="00B36EAF" w14:paraId="71C9D529" w14:textId="562509CF">
            <w:pPr>
              <w:pStyle w:val="EQRTableText"/>
            </w:pPr>
          </w:p>
        </w:tc>
        <w:tc>
          <w:tcPr>
            <w:tcW w:w="1350" w:type="dxa"/>
          </w:tcPr>
          <w:p w:rsidR="00D7261B" w:rsidRPr="00990D3B" w:rsidP="00B36EAF" w14:paraId="67037CA7" w14:textId="3D0078BF">
            <w:pPr>
              <w:pStyle w:val="EQRTableText"/>
            </w:pPr>
          </w:p>
        </w:tc>
        <w:tc>
          <w:tcPr>
            <w:tcW w:w="1620" w:type="dxa"/>
            <w:noWrap/>
          </w:tcPr>
          <w:p w:rsidR="00D7261B" w:rsidRPr="00990D3B" w:rsidP="00B36EAF" w14:paraId="0BD20F21" w14:textId="0FE0C55F">
            <w:pPr>
              <w:pStyle w:val="EQRTableText"/>
            </w:pPr>
          </w:p>
        </w:tc>
        <w:tc>
          <w:tcPr>
            <w:tcW w:w="2155" w:type="dxa"/>
          </w:tcPr>
          <w:p w:rsidR="00D7261B" w:rsidRPr="00990D3B" w:rsidP="00B36EAF" w14:paraId="149B0D27" w14:textId="64A10244">
            <w:pPr>
              <w:pStyle w:val="EQRTableText"/>
            </w:pPr>
          </w:p>
        </w:tc>
      </w:tr>
      <w:tr w14:paraId="4BD2C388" w14:textId="77777777" w:rsidTr="00697F16">
        <w:tblPrEx>
          <w:tblW w:w="5000" w:type="pct"/>
          <w:tblLook w:val="0000"/>
        </w:tblPrEx>
        <w:trPr>
          <w:cantSplit/>
          <w:trHeight w:val="255"/>
        </w:trPr>
        <w:tc>
          <w:tcPr>
            <w:tcW w:w="805" w:type="dxa"/>
          </w:tcPr>
          <w:p w:rsidR="00D7261B" w:rsidRPr="00990D3B" w:rsidP="00B36EAF" w14:paraId="0CEB27D2" w14:textId="7C932436">
            <w:pPr>
              <w:pStyle w:val="EQRTableText"/>
            </w:pPr>
          </w:p>
        </w:tc>
        <w:tc>
          <w:tcPr>
            <w:tcW w:w="1710" w:type="dxa"/>
            <w:noWrap/>
          </w:tcPr>
          <w:p w:rsidR="00D7261B" w:rsidRPr="00990D3B" w:rsidP="00B36EAF" w14:paraId="34635F4F" w14:textId="3B3BB4C8">
            <w:pPr>
              <w:pStyle w:val="EQRTableText"/>
            </w:pPr>
          </w:p>
        </w:tc>
        <w:tc>
          <w:tcPr>
            <w:tcW w:w="1710" w:type="dxa"/>
          </w:tcPr>
          <w:p w:rsidR="00D7261B" w:rsidRPr="00990D3B" w:rsidP="00B36EAF" w14:paraId="634C2021" w14:textId="458C879F">
            <w:pPr>
              <w:pStyle w:val="EQRTableText"/>
            </w:pPr>
          </w:p>
        </w:tc>
        <w:tc>
          <w:tcPr>
            <w:tcW w:w="1350" w:type="dxa"/>
          </w:tcPr>
          <w:p w:rsidR="00D7261B" w:rsidRPr="00990D3B" w:rsidP="00B36EAF" w14:paraId="7A79884C" w14:textId="46339FF6">
            <w:pPr>
              <w:pStyle w:val="EQRTableText"/>
            </w:pPr>
          </w:p>
        </w:tc>
        <w:tc>
          <w:tcPr>
            <w:tcW w:w="1620" w:type="dxa"/>
            <w:noWrap/>
          </w:tcPr>
          <w:p w:rsidR="00D7261B" w:rsidRPr="00990D3B" w:rsidP="00B36EAF" w14:paraId="236EC48C" w14:textId="02926B86">
            <w:pPr>
              <w:pStyle w:val="EQRTableText"/>
            </w:pPr>
          </w:p>
        </w:tc>
        <w:tc>
          <w:tcPr>
            <w:tcW w:w="2155" w:type="dxa"/>
          </w:tcPr>
          <w:p w:rsidR="00D7261B" w:rsidRPr="00990D3B" w:rsidP="00B36EAF" w14:paraId="6B76E8ED" w14:textId="1EA6DDA9">
            <w:pPr>
              <w:pStyle w:val="EQRTableText"/>
            </w:pPr>
          </w:p>
        </w:tc>
      </w:tr>
      <w:tr w14:paraId="5007D9C4" w14:textId="77777777" w:rsidTr="00697F16">
        <w:tblPrEx>
          <w:tblW w:w="5000" w:type="pct"/>
          <w:tblLook w:val="0000"/>
        </w:tblPrEx>
        <w:trPr>
          <w:cantSplit/>
          <w:trHeight w:val="255"/>
        </w:trPr>
        <w:tc>
          <w:tcPr>
            <w:tcW w:w="805" w:type="dxa"/>
          </w:tcPr>
          <w:p w:rsidR="00D7261B" w:rsidRPr="00990D3B" w:rsidP="00B36EAF" w14:paraId="6FA426EC" w14:textId="33F01F33">
            <w:pPr>
              <w:pStyle w:val="EQRTableText"/>
            </w:pPr>
          </w:p>
        </w:tc>
        <w:tc>
          <w:tcPr>
            <w:tcW w:w="1710" w:type="dxa"/>
            <w:noWrap/>
          </w:tcPr>
          <w:p w:rsidR="00D7261B" w:rsidRPr="00990D3B" w:rsidP="00B36EAF" w14:paraId="077628DE" w14:textId="1C1D87D1">
            <w:pPr>
              <w:pStyle w:val="EQRTableText"/>
            </w:pPr>
          </w:p>
        </w:tc>
        <w:tc>
          <w:tcPr>
            <w:tcW w:w="1710" w:type="dxa"/>
          </w:tcPr>
          <w:p w:rsidR="00D7261B" w:rsidRPr="00990D3B" w:rsidP="00B36EAF" w14:paraId="5B0A8D4F" w14:textId="12107322">
            <w:pPr>
              <w:pStyle w:val="EQRTableText"/>
            </w:pPr>
          </w:p>
        </w:tc>
        <w:tc>
          <w:tcPr>
            <w:tcW w:w="1350" w:type="dxa"/>
          </w:tcPr>
          <w:p w:rsidR="00D7261B" w:rsidRPr="00990D3B" w:rsidP="00B36EAF" w14:paraId="3EDC0689" w14:textId="0196D25A">
            <w:pPr>
              <w:pStyle w:val="EQRTableText"/>
            </w:pPr>
          </w:p>
        </w:tc>
        <w:tc>
          <w:tcPr>
            <w:tcW w:w="1620" w:type="dxa"/>
            <w:noWrap/>
          </w:tcPr>
          <w:p w:rsidR="00D7261B" w:rsidRPr="00990D3B" w:rsidP="00B36EAF" w14:paraId="19F392C2" w14:textId="5D4A2C6A">
            <w:pPr>
              <w:pStyle w:val="EQRTableText"/>
            </w:pPr>
          </w:p>
        </w:tc>
        <w:tc>
          <w:tcPr>
            <w:tcW w:w="2155" w:type="dxa"/>
          </w:tcPr>
          <w:p w:rsidR="00D7261B" w:rsidRPr="00990D3B" w:rsidP="00B36EAF" w14:paraId="3051DFEA" w14:textId="33E1175D">
            <w:pPr>
              <w:pStyle w:val="EQRTableText"/>
            </w:pPr>
          </w:p>
        </w:tc>
      </w:tr>
    </w:tbl>
    <w:p w:rsidR="00697F16" w:rsidRPr="00990D3B" w:rsidP="004E5005" w14:paraId="616A3047" w14:textId="77777777">
      <w:pPr>
        <w:pStyle w:val="Paragraph0"/>
      </w:pPr>
    </w:p>
    <w:p w:rsidR="00056829" w:rsidRPr="00990D3B" w:rsidP="00056829" w14:paraId="45720E87" w14:textId="6D5BB425">
      <w:pPr>
        <w:pStyle w:val="EQRMarkforExhibitWORKSHEET"/>
      </w:pPr>
      <w:bookmarkStart w:id="855" w:name="_Toc201751555"/>
      <w:r w:rsidRPr="00990D3B">
        <w:t>Example Worksheet 7.5. File Format for Transmission of Claims Data</w:t>
      </w:r>
      <w:r w:rsidRPr="00990D3B" w:rsidR="00BF74CF">
        <w:t xml:space="preserve"> Template</w:t>
      </w:r>
      <w:bookmarkEnd w:id="85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5"/>
        <w:gridCol w:w="1710"/>
        <w:gridCol w:w="1620"/>
        <w:gridCol w:w="1621"/>
        <w:gridCol w:w="1439"/>
        <w:gridCol w:w="2155"/>
      </w:tblGrid>
      <w:tr w14:paraId="0DF9ACE3" w14:textId="77777777" w:rsidTr="008E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422"/>
          <w:tblHeader/>
        </w:trPr>
        <w:tc>
          <w:tcPr>
            <w:tcW w:w="805" w:type="dxa"/>
            <w:tcBorders>
              <w:bottom w:val="single" w:sz="4" w:space="0" w:color="auto"/>
            </w:tcBorders>
            <w:vAlign w:val="bottom"/>
          </w:tcPr>
          <w:p w:rsidR="00056829" w:rsidRPr="00990D3B" w:rsidP="00056829" w14:paraId="6B355407" w14:textId="4D346BA2">
            <w:pPr>
              <w:pStyle w:val="EQRTableText"/>
              <w:spacing w:before="0" w:after="0"/>
              <w:rPr>
                <w:b/>
                <w:bCs/>
              </w:rPr>
            </w:pPr>
            <w:r w:rsidRPr="00990D3B">
              <w:rPr>
                <w:b/>
                <w:bCs/>
              </w:rPr>
              <w:t>Field #</w:t>
            </w:r>
          </w:p>
        </w:tc>
        <w:tc>
          <w:tcPr>
            <w:tcW w:w="1710" w:type="dxa"/>
            <w:tcBorders>
              <w:bottom w:val="single" w:sz="4" w:space="0" w:color="auto"/>
            </w:tcBorders>
            <w:noWrap/>
            <w:vAlign w:val="bottom"/>
          </w:tcPr>
          <w:p w:rsidR="00056829" w:rsidRPr="00990D3B" w:rsidP="00056829" w14:paraId="77E58DBF" w14:textId="235C7A84">
            <w:pPr>
              <w:pStyle w:val="EQRTableText"/>
              <w:spacing w:before="0" w:after="0"/>
              <w:jc w:val="center"/>
              <w:rPr>
                <w:b/>
                <w:bCs/>
              </w:rPr>
            </w:pPr>
            <w:r w:rsidRPr="00990D3B">
              <w:rPr>
                <w:b/>
                <w:bCs/>
              </w:rPr>
              <w:t>Data field</w:t>
            </w:r>
          </w:p>
        </w:tc>
        <w:tc>
          <w:tcPr>
            <w:tcW w:w="1620" w:type="dxa"/>
            <w:vAlign w:val="bottom"/>
          </w:tcPr>
          <w:p w:rsidR="00056829" w:rsidRPr="00990D3B" w:rsidP="008E2051" w14:paraId="3C7BC64F" w14:textId="5D3366DD">
            <w:pPr>
              <w:pStyle w:val="EQRTableText"/>
              <w:spacing w:before="0" w:after="0"/>
              <w:jc w:val="center"/>
              <w:rPr>
                <w:b/>
                <w:bCs/>
              </w:rPr>
            </w:pPr>
            <w:r w:rsidRPr="00990D3B">
              <w:rPr>
                <w:b/>
                <w:bCs/>
              </w:rPr>
              <w:t>Claim type</w:t>
            </w:r>
            <w:r w:rsidRPr="00990D3B" w:rsidR="008E2051">
              <w:rPr>
                <w:b/>
                <w:bCs/>
              </w:rPr>
              <w:br/>
            </w:r>
            <w:r w:rsidRPr="00990D3B">
              <w:rPr>
                <w:b/>
                <w:bCs/>
              </w:rPr>
              <w:t>(</w:t>
            </w:r>
            <w:r w:rsidRPr="00990D3B">
              <w:rPr>
                <w:b/>
                <w:bCs/>
              </w:rPr>
              <w:t>Phy</w:t>
            </w:r>
            <w:r w:rsidRPr="00990D3B">
              <w:rPr>
                <w:b/>
                <w:bCs/>
              </w:rPr>
              <w:t>, RX, UB)</w:t>
            </w:r>
          </w:p>
        </w:tc>
        <w:tc>
          <w:tcPr>
            <w:tcW w:w="1621" w:type="dxa"/>
            <w:tcBorders>
              <w:bottom w:val="single" w:sz="4" w:space="0" w:color="auto"/>
            </w:tcBorders>
            <w:vAlign w:val="bottom"/>
          </w:tcPr>
          <w:p w:rsidR="00056829" w:rsidRPr="00990D3B" w:rsidP="00056829" w14:paraId="73738A28" w14:textId="3B430EAB">
            <w:pPr>
              <w:pStyle w:val="EQRTableText"/>
              <w:spacing w:before="0" w:after="0"/>
              <w:jc w:val="center"/>
              <w:rPr>
                <w:b/>
                <w:bCs/>
              </w:rPr>
            </w:pPr>
            <w:r w:rsidRPr="00990D3B">
              <w:rPr>
                <w:b/>
                <w:bCs/>
              </w:rPr>
              <w:t>Data type/format</w:t>
            </w:r>
          </w:p>
        </w:tc>
        <w:tc>
          <w:tcPr>
            <w:tcW w:w="1439" w:type="dxa"/>
            <w:tcBorders>
              <w:bottom w:val="single" w:sz="4" w:space="0" w:color="auto"/>
            </w:tcBorders>
            <w:noWrap/>
            <w:vAlign w:val="bottom"/>
          </w:tcPr>
          <w:p w:rsidR="00056829" w:rsidRPr="00990D3B" w:rsidP="00056829" w14:paraId="328808FC" w14:textId="29CCFA27">
            <w:pPr>
              <w:pStyle w:val="EQRTableText"/>
              <w:spacing w:before="0" w:after="0"/>
              <w:jc w:val="center"/>
              <w:rPr>
                <w:b/>
                <w:bCs/>
              </w:rPr>
            </w:pPr>
            <w:r w:rsidRPr="00990D3B">
              <w:rPr>
                <w:b/>
                <w:bCs/>
              </w:rPr>
              <w:t>Required optional</w:t>
            </w:r>
          </w:p>
        </w:tc>
        <w:tc>
          <w:tcPr>
            <w:tcW w:w="2155" w:type="dxa"/>
            <w:tcBorders>
              <w:bottom w:val="single" w:sz="4" w:space="0" w:color="auto"/>
            </w:tcBorders>
            <w:vAlign w:val="bottom"/>
          </w:tcPr>
          <w:p w:rsidR="00056829" w:rsidRPr="00990D3B" w:rsidP="00056829" w14:paraId="27CD671E" w14:textId="608757C6">
            <w:pPr>
              <w:pStyle w:val="EQRTableText"/>
              <w:spacing w:before="0" w:after="0"/>
              <w:jc w:val="center"/>
              <w:rPr>
                <w:b/>
                <w:bCs/>
              </w:rPr>
            </w:pPr>
            <w:r w:rsidRPr="00990D3B">
              <w:rPr>
                <w:b/>
                <w:bCs/>
              </w:rPr>
              <w:t>Comments</w:t>
            </w:r>
          </w:p>
        </w:tc>
      </w:tr>
      <w:tr w14:paraId="25345D4C" w14:textId="77777777" w:rsidTr="00056829">
        <w:tblPrEx>
          <w:tblW w:w="5000" w:type="pct"/>
          <w:tblLayout w:type="fixed"/>
          <w:tblLook w:val="0000"/>
        </w:tblPrEx>
        <w:trPr>
          <w:cantSplit/>
          <w:trHeight w:val="255"/>
        </w:trPr>
        <w:tc>
          <w:tcPr>
            <w:tcW w:w="805" w:type="dxa"/>
            <w:tcBorders>
              <w:top w:val="single" w:sz="4" w:space="0" w:color="auto"/>
            </w:tcBorders>
          </w:tcPr>
          <w:p w:rsidR="00056829" w:rsidRPr="00990D3B" w:rsidP="00666AC0" w14:paraId="3E6A42C7" w14:textId="77777777">
            <w:pPr>
              <w:pStyle w:val="EQRTableText"/>
            </w:pPr>
            <w:r w:rsidRPr="00990D3B">
              <w:t>1</w:t>
            </w:r>
          </w:p>
        </w:tc>
        <w:tc>
          <w:tcPr>
            <w:tcW w:w="1710" w:type="dxa"/>
            <w:tcBorders>
              <w:top w:val="single" w:sz="4" w:space="0" w:color="auto"/>
            </w:tcBorders>
            <w:noWrap/>
          </w:tcPr>
          <w:p w:rsidR="00056829" w:rsidRPr="00990D3B" w:rsidP="00666AC0" w14:paraId="0D909C9F" w14:textId="77777777">
            <w:pPr>
              <w:pStyle w:val="EQRTableText"/>
            </w:pPr>
            <w:r w:rsidRPr="00990D3B">
              <w:t>Row Type</w:t>
            </w:r>
          </w:p>
        </w:tc>
        <w:tc>
          <w:tcPr>
            <w:tcW w:w="1620" w:type="dxa"/>
          </w:tcPr>
          <w:p w:rsidR="00056829" w:rsidRPr="00990D3B" w:rsidP="00666AC0" w14:paraId="7FD52872" w14:textId="50632719">
            <w:pPr>
              <w:pStyle w:val="EQRTableText"/>
            </w:pPr>
            <w:r w:rsidRPr="00990D3B">
              <w:t xml:space="preserve">UB, </w:t>
            </w:r>
            <w:r w:rsidRPr="00990D3B">
              <w:t>Phy</w:t>
            </w:r>
            <w:r w:rsidRPr="00990D3B">
              <w:t>, Rx</w:t>
            </w:r>
          </w:p>
        </w:tc>
        <w:tc>
          <w:tcPr>
            <w:tcW w:w="1621" w:type="dxa"/>
            <w:tcBorders>
              <w:top w:val="single" w:sz="4" w:space="0" w:color="auto"/>
            </w:tcBorders>
          </w:tcPr>
          <w:p w:rsidR="00056829" w:rsidRPr="00990D3B" w:rsidP="00666AC0" w14:paraId="2F7D8F75" w14:textId="77777777">
            <w:pPr>
              <w:pStyle w:val="EQRTableText"/>
            </w:pPr>
            <w:r w:rsidRPr="00990D3B">
              <w:t>Char(</w:t>
            </w:r>
            <w:r w:rsidRPr="00990D3B">
              <w:t>1)</w:t>
            </w:r>
          </w:p>
        </w:tc>
        <w:tc>
          <w:tcPr>
            <w:tcW w:w="1439" w:type="dxa"/>
            <w:tcBorders>
              <w:top w:val="single" w:sz="4" w:space="0" w:color="auto"/>
            </w:tcBorders>
            <w:noWrap/>
          </w:tcPr>
          <w:p w:rsidR="00056829" w:rsidRPr="00990D3B" w:rsidP="00666AC0" w14:paraId="7EF540A9" w14:textId="77777777">
            <w:pPr>
              <w:pStyle w:val="EQRTableText"/>
            </w:pPr>
            <w:r w:rsidRPr="00990D3B">
              <w:t>Required</w:t>
            </w:r>
          </w:p>
        </w:tc>
        <w:tc>
          <w:tcPr>
            <w:tcW w:w="2155" w:type="dxa"/>
            <w:tcBorders>
              <w:top w:val="single" w:sz="4" w:space="0" w:color="auto"/>
            </w:tcBorders>
          </w:tcPr>
          <w:p w:rsidR="00056829" w:rsidRPr="00990D3B" w:rsidP="00666AC0" w14:paraId="21BE8656" w14:textId="77777777">
            <w:pPr>
              <w:pStyle w:val="EQRTableText"/>
            </w:pPr>
            <w:r w:rsidRPr="00990D3B">
              <w:t>1=UB, 2=Phys, 3=Rx</w:t>
            </w:r>
          </w:p>
        </w:tc>
      </w:tr>
      <w:tr w14:paraId="50E3A9D5" w14:textId="77777777" w:rsidTr="00056829">
        <w:tblPrEx>
          <w:tblW w:w="5000" w:type="pct"/>
          <w:tblLayout w:type="fixed"/>
          <w:tblLook w:val="0000"/>
        </w:tblPrEx>
        <w:trPr>
          <w:cantSplit/>
          <w:trHeight w:val="255"/>
        </w:trPr>
        <w:tc>
          <w:tcPr>
            <w:tcW w:w="805" w:type="dxa"/>
          </w:tcPr>
          <w:p w:rsidR="00056829" w:rsidRPr="00990D3B" w:rsidP="00666AC0" w14:paraId="64EBEE18" w14:textId="77777777">
            <w:pPr>
              <w:pStyle w:val="EQRTableText"/>
            </w:pPr>
            <w:r w:rsidRPr="00990D3B">
              <w:t>2</w:t>
            </w:r>
          </w:p>
        </w:tc>
        <w:tc>
          <w:tcPr>
            <w:tcW w:w="1710" w:type="dxa"/>
            <w:noWrap/>
          </w:tcPr>
          <w:p w:rsidR="00056829" w:rsidRPr="00990D3B" w:rsidP="00666AC0" w14:paraId="4A1A057B" w14:textId="77777777">
            <w:pPr>
              <w:pStyle w:val="EQRTableText"/>
            </w:pPr>
            <w:r w:rsidRPr="00990D3B">
              <w:t>Claim Status</w:t>
            </w:r>
          </w:p>
        </w:tc>
        <w:tc>
          <w:tcPr>
            <w:tcW w:w="1620" w:type="dxa"/>
          </w:tcPr>
          <w:p w:rsidR="00056829" w:rsidRPr="00990D3B" w:rsidP="00666AC0" w14:paraId="635115B3" w14:textId="1C2E5393">
            <w:pPr>
              <w:pStyle w:val="EQRTableText"/>
            </w:pPr>
            <w:r w:rsidRPr="00990D3B">
              <w:t xml:space="preserve">UB, </w:t>
            </w:r>
            <w:r w:rsidRPr="00990D3B">
              <w:t>Phy</w:t>
            </w:r>
            <w:r w:rsidRPr="00990D3B">
              <w:t>, Rx</w:t>
            </w:r>
          </w:p>
        </w:tc>
        <w:tc>
          <w:tcPr>
            <w:tcW w:w="1621" w:type="dxa"/>
          </w:tcPr>
          <w:p w:rsidR="00056829" w:rsidRPr="00990D3B" w:rsidP="00666AC0" w14:paraId="38BA61F3" w14:textId="77777777">
            <w:pPr>
              <w:pStyle w:val="EQRTableText"/>
            </w:pPr>
            <w:r w:rsidRPr="00990D3B">
              <w:t>Char(</w:t>
            </w:r>
            <w:r w:rsidRPr="00990D3B">
              <w:t>1)</w:t>
            </w:r>
          </w:p>
        </w:tc>
        <w:tc>
          <w:tcPr>
            <w:tcW w:w="1439" w:type="dxa"/>
            <w:noWrap/>
          </w:tcPr>
          <w:p w:rsidR="00056829" w:rsidRPr="00990D3B" w:rsidP="00666AC0" w14:paraId="614C6CA9" w14:textId="77777777">
            <w:pPr>
              <w:pStyle w:val="EQRTableText"/>
            </w:pPr>
            <w:r w:rsidRPr="00990D3B">
              <w:t>Required</w:t>
            </w:r>
          </w:p>
        </w:tc>
        <w:tc>
          <w:tcPr>
            <w:tcW w:w="2155" w:type="dxa"/>
          </w:tcPr>
          <w:p w:rsidR="00056829" w:rsidRPr="00990D3B" w:rsidP="00666AC0" w14:paraId="4BF170E0" w14:textId="77777777">
            <w:pPr>
              <w:pStyle w:val="EQRTableText"/>
            </w:pPr>
            <w:r w:rsidRPr="00990D3B">
              <w:t>P=Paid, D=Denied</w:t>
            </w:r>
          </w:p>
          <w:p w:rsidR="00056829" w:rsidRPr="00990D3B" w:rsidP="00666AC0" w14:paraId="08842748" w14:textId="77777777">
            <w:pPr>
              <w:pStyle w:val="EQRTableText"/>
            </w:pPr>
            <w:r w:rsidRPr="00990D3B">
              <w:t>Denied claims are highly desirable for accurate performance measurement</w:t>
            </w:r>
          </w:p>
        </w:tc>
      </w:tr>
      <w:tr w14:paraId="31A1CF77" w14:textId="77777777" w:rsidTr="00056829">
        <w:tblPrEx>
          <w:tblW w:w="5000" w:type="pct"/>
          <w:tblLayout w:type="fixed"/>
          <w:tblLook w:val="0000"/>
        </w:tblPrEx>
        <w:trPr>
          <w:cantSplit/>
          <w:trHeight w:val="255"/>
        </w:trPr>
        <w:tc>
          <w:tcPr>
            <w:tcW w:w="805" w:type="dxa"/>
          </w:tcPr>
          <w:p w:rsidR="00056829" w:rsidRPr="00990D3B" w:rsidP="00666AC0" w14:paraId="48F71E74" w14:textId="77777777">
            <w:pPr>
              <w:pStyle w:val="EQRTableText"/>
            </w:pPr>
            <w:r w:rsidRPr="00990D3B">
              <w:t>3</w:t>
            </w:r>
          </w:p>
        </w:tc>
        <w:tc>
          <w:tcPr>
            <w:tcW w:w="1710" w:type="dxa"/>
            <w:noWrap/>
          </w:tcPr>
          <w:p w:rsidR="00056829" w:rsidRPr="00990D3B" w:rsidP="00666AC0" w14:paraId="4B582C52" w14:textId="77777777">
            <w:pPr>
              <w:pStyle w:val="EQRTableText"/>
            </w:pPr>
            <w:r w:rsidRPr="00990D3B">
              <w:t>Recipient ID</w:t>
            </w:r>
          </w:p>
        </w:tc>
        <w:tc>
          <w:tcPr>
            <w:tcW w:w="1620" w:type="dxa"/>
          </w:tcPr>
          <w:p w:rsidR="00056829" w:rsidRPr="00990D3B" w:rsidP="00666AC0" w14:paraId="10A91A03" w14:textId="1085413C">
            <w:pPr>
              <w:pStyle w:val="EQRTableText"/>
            </w:pPr>
            <w:r w:rsidRPr="00990D3B">
              <w:t xml:space="preserve">UB, </w:t>
            </w:r>
            <w:r w:rsidRPr="00990D3B">
              <w:t>Phy</w:t>
            </w:r>
            <w:r w:rsidRPr="00990D3B">
              <w:t>, Rx</w:t>
            </w:r>
          </w:p>
        </w:tc>
        <w:tc>
          <w:tcPr>
            <w:tcW w:w="1621" w:type="dxa"/>
          </w:tcPr>
          <w:p w:rsidR="00056829" w:rsidRPr="00990D3B" w:rsidP="00666AC0" w14:paraId="42579EDC" w14:textId="77777777">
            <w:pPr>
              <w:pStyle w:val="EQRTableText"/>
            </w:pPr>
            <w:r w:rsidRPr="00990D3B">
              <w:t>Varchar(</w:t>
            </w:r>
            <w:r w:rsidRPr="00990D3B">
              <w:t>50)</w:t>
            </w:r>
          </w:p>
        </w:tc>
        <w:tc>
          <w:tcPr>
            <w:tcW w:w="1439" w:type="dxa"/>
            <w:noWrap/>
          </w:tcPr>
          <w:p w:rsidR="00056829" w:rsidRPr="00990D3B" w:rsidP="00666AC0" w14:paraId="3676397C" w14:textId="77777777">
            <w:pPr>
              <w:pStyle w:val="EQRTableText"/>
            </w:pPr>
            <w:r w:rsidRPr="00990D3B">
              <w:t>Required</w:t>
            </w:r>
          </w:p>
        </w:tc>
        <w:tc>
          <w:tcPr>
            <w:tcW w:w="2155" w:type="dxa"/>
          </w:tcPr>
          <w:p w:rsidR="00056829" w:rsidRPr="00990D3B" w:rsidP="00666AC0" w14:paraId="70882289" w14:textId="77777777">
            <w:pPr>
              <w:pStyle w:val="EQRTableText"/>
            </w:pPr>
            <w:r w:rsidRPr="00990D3B">
              <w:t xml:space="preserve">Medicaid or CHIP identifier supplied by the State for the member. Native or encrypted. If encrypted, separate encryption </w:t>
            </w:r>
            <w:r w:rsidRPr="00990D3B">
              <w:t>key</w:t>
            </w:r>
            <w:r w:rsidRPr="00990D3B">
              <w:t xml:space="preserve"> must be provided.</w:t>
            </w:r>
          </w:p>
        </w:tc>
      </w:tr>
      <w:tr w14:paraId="525695B2" w14:textId="77777777" w:rsidTr="00056829">
        <w:tblPrEx>
          <w:tblW w:w="5000" w:type="pct"/>
          <w:tblLayout w:type="fixed"/>
          <w:tblLook w:val="0000"/>
        </w:tblPrEx>
        <w:trPr>
          <w:cantSplit/>
          <w:trHeight w:val="255"/>
        </w:trPr>
        <w:tc>
          <w:tcPr>
            <w:tcW w:w="805" w:type="dxa"/>
          </w:tcPr>
          <w:p w:rsidR="00056829" w:rsidRPr="00990D3B" w:rsidP="00666AC0" w14:paraId="27A0DF13" w14:textId="77777777">
            <w:pPr>
              <w:pStyle w:val="EQRTableText"/>
            </w:pPr>
            <w:r w:rsidRPr="00990D3B">
              <w:t>4</w:t>
            </w:r>
          </w:p>
        </w:tc>
        <w:tc>
          <w:tcPr>
            <w:tcW w:w="1710" w:type="dxa"/>
            <w:noWrap/>
          </w:tcPr>
          <w:p w:rsidR="00056829" w:rsidRPr="00990D3B" w:rsidP="00666AC0" w14:paraId="619AA362" w14:textId="77777777">
            <w:pPr>
              <w:pStyle w:val="EQRTableText"/>
            </w:pPr>
            <w:r w:rsidRPr="00990D3B">
              <w:t xml:space="preserve">Claim Number </w:t>
            </w:r>
          </w:p>
        </w:tc>
        <w:tc>
          <w:tcPr>
            <w:tcW w:w="1620" w:type="dxa"/>
          </w:tcPr>
          <w:p w:rsidR="00056829" w:rsidRPr="00990D3B" w:rsidP="00666AC0" w14:paraId="047ACB62" w14:textId="2324E712">
            <w:pPr>
              <w:pStyle w:val="EQRTableText"/>
            </w:pPr>
            <w:r w:rsidRPr="00990D3B">
              <w:t xml:space="preserve">UB, </w:t>
            </w:r>
            <w:r w:rsidRPr="00990D3B">
              <w:t>Phy</w:t>
            </w:r>
            <w:r w:rsidRPr="00990D3B">
              <w:t>, Rx</w:t>
            </w:r>
          </w:p>
        </w:tc>
        <w:tc>
          <w:tcPr>
            <w:tcW w:w="1621" w:type="dxa"/>
          </w:tcPr>
          <w:p w:rsidR="00056829" w:rsidRPr="00990D3B" w:rsidP="00666AC0" w14:paraId="75D92DD7" w14:textId="77777777">
            <w:pPr>
              <w:pStyle w:val="EQRTableText"/>
            </w:pPr>
            <w:r w:rsidRPr="00990D3B">
              <w:t>Varchar(</w:t>
            </w:r>
            <w:r w:rsidRPr="00990D3B">
              <w:t>80)</w:t>
            </w:r>
          </w:p>
        </w:tc>
        <w:tc>
          <w:tcPr>
            <w:tcW w:w="1439" w:type="dxa"/>
            <w:noWrap/>
          </w:tcPr>
          <w:p w:rsidR="00056829" w:rsidRPr="00990D3B" w:rsidP="00666AC0" w14:paraId="27C076A3" w14:textId="77777777">
            <w:pPr>
              <w:pStyle w:val="EQRTableText"/>
            </w:pPr>
            <w:r w:rsidRPr="00990D3B">
              <w:t>Required</w:t>
            </w:r>
          </w:p>
        </w:tc>
        <w:tc>
          <w:tcPr>
            <w:tcW w:w="2155" w:type="dxa"/>
          </w:tcPr>
          <w:p w:rsidR="00056829" w:rsidRPr="00990D3B" w:rsidP="00666AC0" w14:paraId="1D94037D" w14:textId="77777777">
            <w:pPr>
              <w:pStyle w:val="EQRTableText"/>
            </w:pPr>
            <w:r w:rsidRPr="00990D3B">
              <w:t>Required if source is not sending final-only versions of claims</w:t>
            </w:r>
          </w:p>
        </w:tc>
      </w:tr>
      <w:tr w14:paraId="78C5BCCC" w14:textId="77777777" w:rsidTr="00056829">
        <w:tblPrEx>
          <w:tblW w:w="5000" w:type="pct"/>
          <w:tblLayout w:type="fixed"/>
          <w:tblLook w:val="0000"/>
        </w:tblPrEx>
        <w:trPr>
          <w:cantSplit/>
          <w:trHeight w:val="255"/>
        </w:trPr>
        <w:tc>
          <w:tcPr>
            <w:tcW w:w="805" w:type="dxa"/>
          </w:tcPr>
          <w:p w:rsidR="00056829" w:rsidRPr="00990D3B" w:rsidP="00666AC0" w14:paraId="5EB9ABD9" w14:textId="77777777">
            <w:pPr>
              <w:pStyle w:val="EQRTableText"/>
            </w:pPr>
            <w:r w:rsidRPr="00990D3B">
              <w:t>5</w:t>
            </w:r>
          </w:p>
        </w:tc>
        <w:tc>
          <w:tcPr>
            <w:tcW w:w="1710" w:type="dxa"/>
            <w:noWrap/>
          </w:tcPr>
          <w:p w:rsidR="00056829" w:rsidRPr="00990D3B" w:rsidP="00666AC0" w14:paraId="14028A0A" w14:textId="77777777">
            <w:pPr>
              <w:pStyle w:val="EQRTableText"/>
            </w:pPr>
            <w:r w:rsidRPr="00990D3B">
              <w:t xml:space="preserve">Prior Version Claim Number </w:t>
            </w:r>
          </w:p>
        </w:tc>
        <w:tc>
          <w:tcPr>
            <w:tcW w:w="1620" w:type="dxa"/>
          </w:tcPr>
          <w:p w:rsidR="00056829" w:rsidRPr="00990D3B" w:rsidP="00666AC0" w14:paraId="40764BD1" w14:textId="0B4E2BC7">
            <w:pPr>
              <w:pStyle w:val="EQRTableText"/>
            </w:pPr>
            <w:r w:rsidRPr="00990D3B">
              <w:t xml:space="preserve">UB, </w:t>
            </w:r>
            <w:r w:rsidRPr="00990D3B">
              <w:t>Phy</w:t>
            </w:r>
            <w:r w:rsidRPr="00990D3B">
              <w:t>, Rx</w:t>
            </w:r>
          </w:p>
        </w:tc>
        <w:tc>
          <w:tcPr>
            <w:tcW w:w="1621" w:type="dxa"/>
          </w:tcPr>
          <w:p w:rsidR="00056829" w:rsidRPr="00990D3B" w:rsidP="00666AC0" w14:paraId="154774E2" w14:textId="77777777">
            <w:pPr>
              <w:pStyle w:val="EQRTableText"/>
            </w:pPr>
            <w:r w:rsidRPr="00990D3B">
              <w:t>Varchar(</w:t>
            </w:r>
            <w:r w:rsidRPr="00990D3B">
              <w:t>80)</w:t>
            </w:r>
          </w:p>
        </w:tc>
        <w:tc>
          <w:tcPr>
            <w:tcW w:w="1439" w:type="dxa"/>
            <w:noWrap/>
          </w:tcPr>
          <w:p w:rsidR="00056829" w:rsidRPr="00990D3B" w:rsidP="00666AC0" w14:paraId="715BC16A" w14:textId="77777777">
            <w:pPr>
              <w:pStyle w:val="EQRTableText"/>
            </w:pPr>
            <w:r w:rsidRPr="00990D3B">
              <w:t>Required</w:t>
            </w:r>
          </w:p>
        </w:tc>
        <w:tc>
          <w:tcPr>
            <w:tcW w:w="2155" w:type="dxa"/>
          </w:tcPr>
          <w:p w:rsidR="00056829" w:rsidRPr="00990D3B" w:rsidP="00666AC0" w14:paraId="6817EC00" w14:textId="77777777">
            <w:pPr>
              <w:pStyle w:val="EQRTableText"/>
            </w:pPr>
            <w:r w:rsidRPr="00990D3B">
              <w:t>Required if source is not sending final-only versions of claims</w:t>
            </w:r>
          </w:p>
        </w:tc>
      </w:tr>
      <w:tr w14:paraId="1E8696DF" w14:textId="77777777" w:rsidTr="00056829">
        <w:tblPrEx>
          <w:tblW w:w="5000" w:type="pct"/>
          <w:tblLayout w:type="fixed"/>
          <w:tblLook w:val="0000"/>
        </w:tblPrEx>
        <w:trPr>
          <w:cantSplit/>
          <w:trHeight w:val="255"/>
        </w:trPr>
        <w:tc>
          <w:tcPr>
            <w:tcW w:w="805" w:type="dxa"/>
          </w:tcPr>
          <w:p w:rsidR="00056829" w:rsidRPr="00990D3B" w:rsidP="00666AC0" w14:paraId="54E8E787" w14:textId="77777777">
            <w:pPr>
              <w:pStyle w:val="EQRTableText"/>
            </w:pPr>
            <w:r w:rsidRPr="00990D3B">
              <w:t>6</w:t>
            </w:r>
          </w:p>
        </w:tc>
        <w:tc>
          <w:tcPr>
            <w:tcW w:w="1710" w:type="dxa"/>
            <w:noWrap/>
          </w:tcPr>
          <w:p w:rsidR="00056829" w:rsidRPr="00990D3B" w:rsidP="00666AC0" w14:paraId="060704FB" w14:textId="77777777">
            <w:pPr>
              <w:pStyle w:val="EQRTableText"/>
            </w:pPr>
            <w:r w:rsidRPr="00990D3B">
              <w:t>Claim Received Date</w:t>
            </w:r>
          </w:p>
        </w:tc>
        <w:tc>
          <w:tcPr>
            <w:tcW w:w="1620" w:type="dxa"/>
          </w:tcPr>
          <w:p w:rsidR="00056829" w:rsidRPr="00990D3B" w:rsidP="00666AC0" w14:paraId="5656C9FA" w14:textId="2A21827D">
            <w:pPr>
              <w:pStyle w:val="EQRTableText"/>
            </w:pPr>
            <w:r w:rsidRPr="00990D3B">
              <w:t xml:space="preserve">UB, </w:t>
            </w:r>
            <w:r w:rsidRPr="00990D3B">
              <w:t>Phy</w:t>
            </w:r>
            <w:r w:rsidRPr="00990D3B">
              <w:t>, Rx</w:t>
            </w:r>
          </w:p>
        </w:tc>
        <w:tc>
          <w:tcPr>
            <w:tcW w:w="1621" w:type="dxa"/>
          </w:tcPr>
          <w:p w:rsidR="00056829" w:rsidRPr="00990D3B" w:rsidP="00666AC0" w14:paraId="5A8F6FE2" w14:textId="77777777">
            <w:pPr>
              <w:pStyle w:val="EQRTableText"/>
            </w:pPr>
            <w:r w:rsidRPr="00990D3B">
              <w:t>yyyymmdd</w:t>
            </w:r>
          </w:p>
        </w:tc>
        <w:tc>
          <w:tcPr>
            <w:tcW w:w="1439" w:type="dxa"/>
            <w:noWrap/>
          </w:tcPr>
          <w:p w:rsidR="00056829" w:rsidRPr="00990D3B" w:rsidP="00666AC0" w14:paraId="4BC418CD" w14:textId="77777777">
            <w:pPr>
              <w:pStyle w:val="EQRTableText"/>
            </w:pPr>
            <w:r w:rsidRPr="00990D3B">
              <w:t>Required</w:t>
            </w:r>
          </w:p>
        </w:tc>
        <w:tc>
          <w:tcPr>
            <w:tcW w:w="2155" w:type="dxa"/>
          </w:tcPr>
          <w:p w:rsidR="00056829" w:rsidRPr="00990D3B" w:rsidP="00666AC0" w14:paraId="3CF8594C" w14:textId="77777777">
            <w:pPr>
              <w:pStyle w:val="EQRTableText"/>
            </w:pPr>
            <w:r w:rsidRPr="00990D3B">
              <w:t xml:space="preserve">Required if source is not sending final-only versions of claims </w:t>
            </w:r>
          </w:p>
        </w:tc>
      </w:tr>
      <w:tr w14:paraId="2FD55C16" w14:textId="77777777" w:rsidTr="00056829">
        <w:tblPrEx>
          <w:tblW w:w="5000" w:type="pct"/>
          <w:tblLayout w:type="fixed"/>
          <w:tblLook w:val="0000"/>
        </w:tblPrEx>
        <w:trPr>
          <w:cantSplit/>
          <w:trHeight w:val="255"/>
        </w:trPr>
        <w:tc>
          <w:tcPr>
            <w:tcW w:w="805" w:type="dxa"/>
          </w:tcPr>
          <w:p w:rsidR="00056829" w:rsidRPr="00990D3B" w:rsidP="00666AC0" w14:paraId="2C56AFD2" w14:textId="77777777">
            <w:pPr>
              <w:pStyle w:val="EQRTableText"/>
            </w:pPr>
            <w:r w:rsidRPr="00990D3B">
              <w:t>7</w:t>
            </w:r>
          </w:p>
        </w:tc>
        <w:tc>
          <w:tcPr>
            <w:tcW w:w="1710" w:type="dxa"/>
            <w:noWrap/>
          </w:tcPr>
          <w:p w:rsidR="00056829" w:rsidRPr="00990D3B" w:rsidP="00666AC0" w14:paraId="14A3D7B8" w14:textId="77777777">
            <w:pPr>
              <w:pStyle w:val="EQRTableText"/>
            </w:pPr>
            <w:r w:rsidRPr="00990D3B">
              <w:t>Claim Paid Date</w:t>
            </w:r>
          </w:p>
        </w:tc>
        <w:tc>
          <w:tcPr>
            <w:tcW w:w="1620" w:type="dxa"/>
          </w:tcPr>
          <w:p w:rsidR="00056829" w:rsidRPr="00990D3B" w:rsidP="00666AC0" w14:paraId="6C976BCF" w14:textId="64081FFF">
            <w:pPr>
              <w:pStyle w:val="EQRTableText"/>
            </w:pPr>
            <w:r w:rsidRPr="00990D3B">
              <w:t xml:space="preserve">UB, </w:t>
            </w:r>
            <w:r w:rsidRPr="00990D3B">
              <w:t>Phy</w:t>
            </w:r>
            <w:r w:rsidRPr="00990D3B">
              <w:t>, Rx</w:t>
            </w:r>
          </w:p>
        </w:tc>
        <w:tc>
          <w:tcPr>
            <w:tcW w:w="1621" w:type="dxa"/>
          </w:tcPr>
          <w:p w:rsidR="00056829" w:rsidRPr="00990D3B" w:rsidP="00666AC0" w14:paraId="080FC65C" w14:textId="77777777">
            <w:pPr>
              <w:pStyle w:val="EQRTableText"/>
            </w:pPr>
            <w:r w:rsidRPr="00990D3B">
              <w:t>yyyymmdd</w:t>
            </w:r>
          </w:p>
        </w:tc>
        <w:tc>
          <w:tcPr>
            <w:tcW w:w="1439" w:type="dxa"/>
            <w:noWrap/>
          </w:tcPr>
          <w:p w:rsidR="00056829" w:rsidRPr="00990D3B" w:rsidP="00666AC0" w14:paraId="60396919" w14:textId="77777777">
            <w:pPr>
              <w:pStyle w:val="EQRTableText"/>
            </w:pPr>
            <w:r w:rsidRPr="00990D3B">
              <w:t>Required</w:t>
            </w:r>
          </w:p>
        </w:tc>
        <w:tc>
          <w:tcPr>
            <w:tcW w:w="2155" w:type="dxa"/>
          </w:tcPr>
          <w:p w:rsidR="00056829" w:rsidRPr="00990D3B" w:rsidP="00666AC0" w14:paraId="1581CE55" w14:textId="77777777">
            <w:pPr>
              <w:pStyle w:val="EQRTableText"/>
            </w:pPr>
            <w:r w:rsidRPr="00990D3B">
              <w:t xml:space="preserve">Required if source is not sending final-only versions of claims </w:t>
            </w:r>
          </w:p>
        </w:tc>
      </w:tr>
      <w:tr w14:paraId="5F66EB92" w14:textId="77777777" w:rsidTr="00056829">
        <w:tblPrEx>
          <w:tblW w:w="5000" w:type="pct"/>
          <w:tblLayout w:type="fixed"/>
          <w:tblLook w:val="0000"/>
        </w:tblPrEx>
        <w:trPr>
          <w:cantSplit/>
          <w:trHeight w:val="255"/>
        </w:trPr>
        <w:tc>
          <w:tcPr>
            <w:tcW w:w="805" w:type="dxa"/>
          </w:tcPr>
          <w:p w:rsidR="00056829" w:rsidRPr="00990D3B" w:rsidP="00666AC0" w14:paraId="273A7D3A" w14:textId="77777777">
            <w:pPr>
              <w:pStyle w:val="EQRTableText"/>
            </w:pPr>
            <w:r w:rsidRPr="00990D3B">
              <w:t>8</w:t>
            </w:r>
          </w:p>
        </w:tc>
        <w:tc>
          <w:tcPr>
            <w:tcW w:w="1710" w:type="dxa"/>
            <w:noWrap/>
          </w:tcPr>
          <w:p w:rsidR="00056829" w:rsidRPr="00990D3B" w:rsidP="00666AC0" w14:paraId="09E2ED9E" w14:textId="77777777">
            <w:pPr>
              <w:pStyle w:val="EQRTableText"/>
            </w:pPr>
            <w:r w:rsidRPr="00990D3B">
              <w:t>Billing Provider ID</w:t>
            </w:r>
          </w:p>
        </w:tc>
        <w:tc>
          <w:tcPr>
            <w:tcW w:w="1620" w:type="dxa"/>
          </w:tcPr>
          <w:p w:rsidR="00056829" w:rsidRPr="00990D3B" w:rsidP="00666AC0" w14:paraId="61C28E2E" w14:textId="0106C1FC">
            <w:pPr>
              <w:pStyle w:val="EQRTableText"/>
            </w:pPr>
            <w:r w:rsidRPr="00990D3B">
              <w:t xml:space="preserve">UB, </w:t>
            </w:r>
            <w:r w:rsidRPr="00990D3B">
              <w:t>Phy</w:t>
            </w:r>
            <w:r w:rsidRPr="00990D3B">
              <w:t>, Rx</w:t>
            </w:r>
          </w:p>
        </w:tc>
        <w:tc>
          <w:tcPr>
            <w:tcW w:w="1621" w:type="dxa"/>
          </w:tcPr>
          <w:p w:rsidR="00056829" w:rsidRPr="00990D3B" w:rsidP="00666AC0" w14:paraId="7FD554FF" w14:textId="77777777">
            <w:pPr>
              <w:pStyle w:val="EQRTableText"/>
            </w:pPr>
            <w:r w:rsidRPr="00990D3B">
              <w:t>Varchar(</w:t>
            </w:r>
            <w:r w:rsidRPr="00990D3B">
              <w:t>30)</w:t>
            </w:r>
          </w:p>
        </w:tc>
        <w:tc>
          <w:tcPr>
            <w:tcW w:w="1439" w:type="dxa"/>
            <w:noWrap/>
          </w:tcPr>
          <w:p w:rsidR="00056829" w:rsidRPr="00990D3B" w:rsidP="00666AC0" w14:paraId="362AB61F" w14:textId="77777777">
            <w:pPr>
              <w:pStyle w:val="EQRTableText"/>
            </w:pPr>
            <w:r w:rsidRPr="00990D3B">
              <w:t>Required</w:t>
            </w:r>
          </w:p>
        </w:tc>
        <w:tc>
          <w:tcPr>
            <w:tcW w:w="2155" w:type="dxa"/>
          </w:tcPr>
          <w:p w:rsidR="00056829" w:rsidRPr="00990D3B" w:rsidP="00666AC0" w14:paraId="1F9983ED" w14:textId="77777777">
            <w:pPr>
              <w:pStyle w:val="EQRTableText"/>
            </w:pPr>
            <w:r w:rsidRPr="00990D3B">
              <w:t>Any internal identifier for the billing provider. Must be unique to one clinician or entity. Must exist on the provider file. If supplying for Rx, use pharmacy provider ID.</w:t>
            </w:r>
          </w:p>
        </w:tc>
      </w:tr>
      <w:tr w14:paraId="3450E5B5" w14:textId="77777777" w:rsidTr="00056829">
        <w:tblPrEx>
          <w:tblW w:w="5000" w:type="pct"/>
          <w:tblLayout w:type="fixed"/>
          <w:tblLook w:val="0000"/>
        </w:tblPrEx>
        <w:trPr>
          <w:cantSplit/>
          <w:trHeight w:val="255"/>
        </w:trPr>
        <w:tc>
          <w:tcPr>
            <w:tcW w:w="805" w:type="dxa"/>
          </w:tcPr>
          <w:p w:rsidR="00056829" w:rsidRPr="00990D3B" w:rsidP="00666AC0" w14:paraId="0A681D07" w14:textId="77777777">
            <w:pPr>
              <w:pStyle w:val="EQRTableText"/>
            </w:pPr>
            <w:r w:rsidRPr="00990D3B">
              <w:t>9</w:t>
            </w:r>
          </w:p>
        </w:tc>
        <w:tc>
          <w:tcPr>
            <w:tcW w:w="1710" w:type="dxa"/>
            <w:noWrap/>
          </w:tcPr>
          <w:p w:rsidR="00056829" w:rsidRPr="00990D3B" w:rsidP="00666AC0" w14:paraId="572E58FA" w14:textId="77777777">
            <w:pPr>
              <w:pStyle w:val="EQRTableText"/>
            </w:pPr>
            <w:r w:rsidRPr="00990D3B">
              <w:t>Principal Diagnosis</w:t>
            </w:r>
          </w:p>
        </w:tc>
        <w:tc>
          <w:tcPr>
            <w:tcW w:w="1620" w:type="dxa"/>
          </w:tcPr>
          <w:p w:rsidR="00056829" w:rsidRPr="00990D3B" w:rsidP="00666AC0" w14:paraId="28185AF2" w14:textId="6E1788CB">
            <w:pPr>
              <w:pStyle w:val="EQRTableText"/>
            </w:pPr>
            <w:r w:rsidRPr="00990D3B">
              <w:t xml:space="preserve">UB, </w:t>
            </w:r>
            <w:r w:rsidRPr="00990D3B">
              <w:t>Phy</w:t>
            </w:r>
            <w:r w:rsidRPr="00990D3B">
              <w:t xml:space="preserve">         </w:t>
            </w:r>
          </w:p>
        </w:tc>
        <w:tc>
          <w:tcPr>
            <w:tcW w:w="1621" w:type="dxa"/>
          </w:tcPr>
          <w:p w:rsidR="00056829" w:rsidRPr="00990D3B" w:rsidP="00666AC0" w14:paraId="4965AD83" w14:textId="77777777">
            <w:pPr>
              <w:pStyle w:val="EQRTableText"/>
            </w:pPr>
            <w:r w:rsidRPr="00990D3B">
              <w:t>Varchar(</w:t>
            </w:r>
            <w:r w:rsidRPr="00990D3B">
              <w:t>5)</w:t>
            </w:r>
          </w:p>
        </w:tc>
        <w:tc>
          <w:tcPr>
            <w:tcW w:w="1439" w:type="dxa"/>
            <w:noWrap/>
          </w:tcPr>
          <w:p w:rsidR="00056829" w:rsidRPr="00990D3B" w:rsidP="00666AC0" w14:paraId="5CBE4BE3" w14:textId="77777777">
            <w:pPr>
              <w:pStyle w:val="EQRTableText"/>
            </w:pPr>
            <w:r w:rsidRPr="00990D3B">
              <w:t>Required</w:t>
            </w:r>
          </w:p>
        </w:tc>
        <w:tc>
          <w:tcPr>
            <w:tcW w:w="2155" w:type="dxa"/>
          </w:tcPr>
          <w:p w:rsidR="00056829" w:rsidRPr="00990D3B" w:rsidP="00666AC0" w14:paraId="0B722061" w14:textId="77777777">
            <w:pPr>
              <w:pStyle w:val="EQRTableText"/>
            </w:pPr>
            <w:r w:rsidRPr="00990D3B">
              <w:t xml:space="preserve">No </w:t>
            </w:r>
            <w:r w:rsidRPr="00990D3B">
              <w:t>periods,</w:t>
            </w:r>
            <w:r w:rsidRPr="00990D3B">
              <w:t xml:space="preserve"> left justified</w:t>
            </w:r>
          </w:p>
        </w:tc>
      </w:tr>
      <w:tr w14:paraId="7287D030" w14:textId="77777777" w:rsidTr="00056829">
        <w:tblPrEx>
          <w:tblW w:w="5000" w:type="pct"/>
          <w:tblLayout w:type="fixed"/>
          <w:tblLook w:val="0000"/>
        </w:tblPrEx>
        <w:trPr>
          <w:cantSplit/>
          <w:trHeight w:val="255"/>
        </w:trPr>
        <w:tc>
          <w:tcPr>
            <w:tcW w:w="805" w:type="dxa"/>
          </w:tcPr>
          <w:p w:rsidR="00056829" w:rsidRPr="00990D3B" w:rsidP="00056829" w14:paraId="1E891AA3" w14:textId="77777777">
            <w:pPr>
              <w:pStyle w:val="EQRTableText"/>
            </w:pPr>
            <w:r w:rsidRPr="00990D3B">
              <w:t>10</w:t>
            </w:r>
          </w:p>
        </w:tc>
        <w:tc>
          <w:tcPr>
            <w:tcW w:w="1710" w:type="dxa"/>
            <w:noWrap/>
          </w:tcPr>
          <w:p w:rsidR="00056829" w:rsidRPr="00990D3B" w:rsidP="00056829" w14:paraId="0CCF9671" w14:textId="77777777">
            <w:pPr>
              <w:pStyle w:val="EQRTableText"/>
            </w:pPr>
            <w:r w:rsidRPr="00990D3B">
              <w:t>Diagnosis 2</w:t>
            </w:r>
          </w:p>
        </w:tc>
        <w:tc>
          <w:tcPr>
            <w:tcW w:w="1620" w:type="dxa"/>
          </w:tcPr>
          <w:p w:rsidR="00056829" w:rsidRPr="00990D3B" w:rsidP="00056829" w14:paraId="12CB1B82" w14:textId="40760EEF">
            <w:pPr>
              <w:pStyle w:val="EQRTableText"/>
            </w:pPr>
            <w:r w:rsidRPr="00990D3B">
              <w:t xml:space="preserve">UB, </w:t>
            </w:r>
            <w:r w:rsidRPr="00990D3B">
              <w:t>Phy</w:t>
            </w:r>
            <w:r w:rsidRPr="00990D3B">
              <w:t xml:space="preserve">         </w:t>
            </w:r>
          </w:p>
        </w:tc>
        <w:tc>
          <w:tcPr>
            <w:tcW w:w="1621" w:type="dxa"/>
          </w:tcPr>
          <w:p w:rsidR="00056829" w:rsidRPr="00990D3B" w:rsidP="00056829" w14:paraId="14EB1562" w14:textId="77777777">
            <w:pPr>
              <w:pStyle w:val="EQRTableText"/>
            </w:pPr>
            <w:r w:rsidRPr="00990D3B">
              <w:t>Varchar(</w:t>
            </w:r>
            <w:r w:rsidRPr="00990D3B">
              <w:t>5)</w:t>
            </w:r>
          </w:p>
        </w:tc>
        <w:tc>
          <w:tcPr>
            <w:tcW w:w="1439" w:type="dxa"/>
            <w:noWrap/>
          </w:tcPr>
          <w:p w:rsidR="00056829" w:rsidRPr="00990D3B" w:rsidP="00056829" w14:paraId="19A00B33" w14:textId="77777777">
            <w:pPr>
              <w:pStyle w:val="EQRTableText"/>
            </w:pPr>
            <w:r w:rsidRPr="00990D3B">
              <w:t>Required</w:t>
            </w:r>
          </w:p>
        </w:tc>
        <w:tc>
          <w:tcPr>
            <w:tcW w:w="2155" w:type="dxa"/>
          </w:tcPr>
          <w:p w:rsidR="00056829" w:rsidRPr="00990D3B" w:rsidP="00056829" w14:paraId="2BDA58A7" w14:textId="77777777">
            <w:pPr>
              <w:pStyle w:val="EQRTableText"/>
            </w:pPr>
            <w:r w:rsidRPr="00990D3B">
              <w:t xml:space="preserve">No </w:t>
            </w:r>
            <w:r w:rsidRPr="00990D3B">
              <w:t>periods,</w:t>
            </w:r>
            <w:r w:rsidRPr="00990D3B">
              <w:t xml:space="preserve"> left justified</w:t>
            </w:r>
          </w:p>
        </w:tc>
      </w:tr>
      <w:tr w14:paraId="7A7F5695" w14:textId="77777777" w:rsidTr="00056829">
        <w:tblPrEx>
          <w:tblW w:w="5000" w:type="pct"/>
          <w:tblLayout w:type="fixed"/>
          <w:tblLook w:val="0000"/>
        </w:tblPrEx>
        <w:trPr>
          <w:cantSplit/>
          <w:trHeight w:val="255"/>
        </w:trPr>
        <w:tc>
          <w:tcPr>
            <w:tcW w:w="805" w:type="dxa"/>
          </w:tcPr>
          <w:p w:rsidR="00056829" w:rsidRPr="00990D3B" w:rsidP="00056829" w14:paraId="5F4AB341" w14:textId="77777777">
            <w:pPr>
              <w:pStyle w:val="EQRTableText"/>
            </w:pPr>
            <w:r w:rsidRPr="00990D3B">
              <w:t>11</w:t>
            </w:r>
          </w:p>
        </w:tc>
        <w:tc>
          <w:tcPr>
            <w:tcW w:w="1710" w:type="dxa"/>
            <w:noWrap/>
          </w:tcPr>
          <w:p w:rsidR="00056829" w:rsidRPr="00990D3B" w:rsidP="00056829" w14:paraId="4FCB9B28" w14:textId="77777777">
            <w:pPr>
              <w:pStyle w:val="EQRTableText"/>
            </w:pPr>
            <w:r w:rsidRPr="00990D3B">
              <w:t>Diagnosis 3</w:t>
            </w:r>
          </w:p>
        </w:tc>
        <w:tc>
          <w:tcPr>
            <w:tcW w:w="1620" w:type="dxa"/>
          </w:tcPr>
          <w:p w:rsidR="00056829" w:rsidRPr="00990D3B" w:rsidP="00056829" w14:paraId="510C1F81" w14:textId="6BDAAE25">
            <w:pPr>
              <w:pStyle w:val="EQRTableText"/>
            </w:pPr>
            <w:r w:rsidRPr="00990D3B">
              <w:t xml:space="preserve">UB, </w:t>
            </w:r>
            <w:r w:rsidRPr="00990D3B">
              <w:t>Phy</w:t>
            </w:r>
            <w:r w:rsidRPr="00990D3B">
              <w:t xml:space="preserve">         </w:t>
            </w:r>
          </w:p>
        </w:tc>
        <w:tc>
          <w:tcPr>
            <w:tcW w:w="1621" w:type="dxa"/>
          </w:tcPr>
          <w:p w:rsidR="00056829" w:rsidRPr="00990D3B" w:rsidP="00056829" w14:paraId="592166C3" w14:textId="77777777">
            <w:pPr>
              <w:pStyle w:val="EQRTableText"/>
            </w:pPr>
            <w:r w:rsidRPr="00990D3B">
              <w:t>Varchar(</w:t>
            </w:r>
            <w:r w:rsidRPr="00990D3B">
              <w:t>5)</w:t>
            </w:r>
          </w:p>
        </w:tc>
        <w:tc>
          <w:tcPr>
            <w:tcW w:w="1439" w:type="dxa"/>
            <w:noWrap/>
          </w:tcPr>
          <w:p w:rsidR="00056829" w:rsidRPr="00990D3B" w:rsidP="00056829" w14:paraId="71702AF1" w14:textId="77777777">
            <w:pPr>
              <w:pStyle w:val="EQRTableText"/>
            </w:pPr>
            <w:r w:rsidRPr="00990D3B">
              <w:t>Required</w:t>
            </w:r>
          </w:p>
        </w:tc>
        <w:tc>
          <w:tcPr>
            <w:tcW w:w="2155" w:type="dxa"/>
          </w:tcPr>
          <w:p w:rsidR="00056829" w:rsidRPr="00990D3B" w:rsidP="00056829" w14:paraId="772C5329" w14:textId="77777777">
            <w:pPr>
              <w:pStyle w:val="EQRTableText"/>
            </w:pPr>
            <w:r w:rsidRPr="00990D3B">
              <w:t xml:space="preserve">No </w:t>
            </w:r>
            <w:r w:rsidRPr="00990D3B">
              <w:t>periods,</w:t>
            </w:r>
            <w:r w:rsidRPr="00990D3B">
              <w:t xml:space="preserve"> left justified</w:t>
            </w:r>
          </w:p>
        </w:tc>
      </w:tr>
    </w:tbl>
    <w:p w:rsidR="00056829" w:rsidRPr="00990D3B" w:rsidP="004E5005" w14:paraId="3EA9FCCF" w14:textId="77777777">
      <w:pPr>
        <w:pStyle w:val="Paragraph0"/>
      </w:pPr>
    </w:p>
    <w:p w:rsidR="002168C0" w:rsidRPr="00990D3B" w:rsidP="009B3409" w14:paraId="0F200E0A" w14:textId="73BE2A50">
      <w:pPr>
        <w:pStyle w:val="ParagraphContinued"/>
        <w:jc w:val="center"/>
        <w:rPr>
          <w:rFonts w:cstheme="minorHAnsi"/>
          <w:szCs w:val="24"/>
        </w:rPr>
      </w:pPr>
      <w:r w:rsidRPr="00990D3B">
        <w:rPr>
          <w:rFonts w:cstheme="minorHAnsi"/>
          <w:szCs w:val="24"/>
        </w:rPr>
        <w:t>END OF WORKSHEETS FOR PROTOCOL 7</w:t>
      </w:r>
    </w:p>
    <w:p w:rsidR="00F27565" w:rsidRPr="00990D3B" w:rsidP="00847C2E" w14:paraId="0B7899F6" w14:textId="77777777">
      <w:pPr>
        <w:pStyle w:val="EQRNormalSSP1"/>
        <w:spacing w:after="0"/>
        <w:rPr>
          <w:rFonts w:asciiTheme="majorHAnsi" w:hAnsiTheme="majorHAnsi" w:cstheme="majorHAnsi"/>
          <w:sz w:val="20"/>
          <w:szCs w:val="22"/>
        </w:rPr>
        <w:sectPr w:rsidSect="001E223F">
          <w:pgSz w:w="12240" w:h="15840" w:code="1"/>
          <w:pgMar w:top="1440" w:right="1440" w:bottom="1440" w:left="1440" w:header="720" w:footer="720" w:gutter="0"/>
          <w:cols w:space="720"/>
          <w:docGrid w:linePitch="360"/>
        </w:sectPr>
      </w:pPr>
    </w:p>
    <w:p w:rsidR="00FC5764" w:rsidRPr="00990D3B" w:rsidP="00F91489" w14:paraId="0FC7AE46" w14:textId="58767B03">
      <w:pPr>
        <w:pStyle w:val="H1"/>
      </w:pPr>
      <w:bookmarkStart w:id="856" w:name="Protocol8"/>
      <w:bookmarkStart w:id="857" w:name="_Toc493246396"/>
      <w:bookmarkStart w:id="858" w:name="_Toc14777742"/>
      <w:bookmarkStart w:id="859" w:name="_Toc183005640"/>
      <w:bookmarkStart w:id="860" w:name="_Toc201751410"/>
      <w:r w:rsidRPr="00990D3B">
        <w:t>Protocol 8</w:t>
      </w:r>
      <w:bookmarkEnd w:id="856"/>
      <w:r w:rsidRPr="00990D3B">
        <w:t>. Implementation of Additional Performance Improvement Projects</w:t>
      </w:r>
      <w:bookmarkEnd w:id="857"/>
      <w:bookmarkEnd w:id="858"/>
      <w:bookmarkEnd w:id="859"/>
      <w:bookmarkEnd w:id="860"/>
    </w:p>
    <w:p w:rsidR="00AA3C06" w:rsidRPr="00990D3B" w:rsidP="00607101" w14:paraId="5A878AB5" w14:textId="3EC18967">
      <w:pPr>
        <w:pStyle w:val="EQRMANDATORYorOPTIONAL"/>
      </w:pPr>
      <w:r w:rsidRPr="00990D3B">
        <w:t xml:space="preserve">An </w:t>
      </w:r>
      <w:r w:rsidRPr="00990D3B" w:rsidR="00607101">
        <w:t>O</w:t>
      </w:r>
      <w:r w:rsidRPr="00990D3B">
        <w:t xml:space="preserve">ptional </w:t>
      </w:r>
      <w:r w:rsidRPr="00990D3B" w:rsidR="00607101">
        <w:t>EQR</w:t>
      </w:r>
      <w:r w:rsidRPr="00990D3B">
        <w:t>-R</w:t>
      </w:r>
      <w:r w:rsidRPr="00990D3B" w:rsidR="00607101">
        <w:t xml:space="preserve">elated </w:t>
      </w:r>
      <w:r w:rsidRPr="00990D3B">
        <w:t>A</w:t>
      </w:r>
      <w:r w:rsidRPr="00990D3B" w:rsidR="00607101">
        <w:t>ctivity</w:t>
      </w:r>
    </w:p>
    <w:tbl>
      <w:tblPr>
        <w:tblW w:w="7200" w:type="dxa"/>
        <w:tblBorders>
          <w:insideV w:val="single" w:sz="2" w:space="0" w:color="00559D"/>
        </w:tblBorders>
        <w:tblLayout w:type="fixed"/>
        <w:tblLook w:val="04A0"/>
      </w:tblPr>
      <w:tblGrid>
        <w:gridCol w:w="7200"/>
      </w:tblGrid>
      <w:tr w14:paraId="76AA547C" w14:textId="77777777" w:rsidTr="008B1063">
        <w:tblPrEx>
          <w:tblW w:w="7200" w:type="dxa"/>
          <w:tblBorders>
            <w:insideV w:val="single" w:sz="2" w:space="0" w:color="00559D"/>
          </w:tblBorders>
          <w:tblLayout w:type="fixed"/>
          <w:tblLook w:val="04A0"/>
        </w:tblPrEx>
        <w:trPr>
          <w:trHeight w:val="144"/>
          <w:tblHeader/>
        </w:trPr>
        <w:tc>
          <w:tcPr>
            <w:tcW w:w="7200" w:type="dxa"/>
            <w:shd w:val="clear" w:color="auto" w:fill="1CA8B7"/>
            <w:vAlign w:val="bottom"/>
          </w:tcPr>
          <w:p w:rsidR="005B4D54" w:rsidRPr="00990D3B" w:rsidP="00FA5177" w14:paraId="5C0CEB43" w14:textId="727D898C">
            <w:pPr>
              <w:pStyle w:val="EQRACTIVITY"/>
            </w:pPr>
            <w:r w:rsidRPr="00990D3B">
              <w:t> </w:t>
            </w:r>
          </w:p>
        </w:tc>
      </w:tr>
      <w:tr w14:paraId="3BF7CECF" w14:textId="77777777" w:rsidTr="008B1063">
        <w:tblPrEx>
          <w:tblW w:w="7200" w:type="dxa"/>
          <w:tblLayout w:type="fixed"/>
          <w:tblLook w:val="04A0"/>
        </w:tblPrEx>
        <w:trPr>
          <w:trHeight w:val="20"/>
        </w:trPr>
        <w:tc>
          <w:tcPr>
            <w:tcW w:w="7200" w:type="dxa"/>
            <w:shd w:val="clear" w:color="auto" w:fill="EEF5F8"/>
          </w:tcPr>
          <w:p w:rsidR="009F6484" w:rsidRPr="00990D3B" w:rsidP="008A3399" w14:paraId="7F780F81" w14:textId="5AEC999A">
            <w:pPr>
              <w:pStyle w:val="EQRACTIVITY"/>
            </w:pPr>
            <w:hyperlink w:anchor="P8A1" w:tooltip="ACTIVITY 1: SELECT THE PIP TOPIC" w:history="1">
              <w:r w:rsidRPr="00990D3B">
                <w:rPr>
                  <w:rStyle w:val="Hyperlink"/>
                </w:rPr>
                <w:t xml:space="preserve">ACTIVITY 1: SELECT THE </w:t>
              </w:r>
              <w:r w:rsidRPr="006F5BEC" w:rsidR="00C31755">
                <w:rPr>
                  <w:color w:val="005260"/>
                </w:rPr>
                <w:t>PIP</w:t>
              </w:r>
              <w:r w:rsidRPr="00990D3B">
                <w:rPr>
                  <w:rStyle w:val="Hyperlink"/>
                </w:rPr>
                <w:t xml:space="preserve"> TOPIC</w:t>
              </w:r>
            </w:hyperlink>
          </w:p>
        </w:tc>
      </w:tr>
      <w:tr w14:paraId="38884941" w14:textId="77777777" w:rsidTr="008B1063">
        <w:tblPrEx>
          <w:tblW w:w="7200" w:type="dxa"/>
          <w:tblLayout w:type="fixed"/>
          <w:tblLook w:val="04A0"/>
        </w:tblPrEx>
        <w:trPr>
          <w:trHeight w:val="20"/>
        </w:trPr>
        <w:tc>
          <w:tcPr>
            <w:tcW w:w="7200" w:type="dxa"/>
          </w:tcPr>
          <w:p w:rsidR="009F6484" w:rsidRPr="00990D3B" w:rsidP="00504872" w14:paraId="2CC5BA49" w14:textId="30AB7D99">
            <w:pPr>
              <w:pStyle w:val="EQRACTIVITY"/>
              <w:rPr>
                <w:rStyle w:val="Hyperlink"/>
              </w:rPr>
            </w:pPr>
            <w:hyperlink w:anchor="P8A2" w:tooltip="ACTIVITY 2: DEFINE THE PIP AIM STATEMENT" w:history="1">
              <w:r w:rsidRPr="00990D3B">
                <w:rPr>
                  <w:rStyle w:val="Hyperlink"/>
                </w:rPr>
                <w:t xml:space="preserve">ACTIVITY 2: DEFINE THE </w:t>
              </w:r>
              <w:r w:rsidRPr="00990D3B" w:rsidR="00C31755">
                <w:rPr>
                  <w:rStyle w:val="Hyperlink"/>
                </w:rPr>
                <w:t>PIP</w:t>
              </w:r>
              <w:r w:rsidRPr="00990D3B">
                <w:rPr>
                  <w:rStyle w:val="Hyperlink"/>
                </w:rPr>
                <w:t xml:space="preserve"> </w:t>
              </w:r>
              <w:r w:rsidRPr="00990D3B" w:rsidR="00504872">
                <w:rPr>
                  <w:rStyle w:val="Hyperlink"/>
                </w:rPr>
                <w:t>AIM STATEMENT</w:t>
              </w:r>
            </w:hyperlink>
          </w:p>
        </w:tc>
      </w:tr>
      <w:tr w14:paraId="419582FD" w14:textId="77777777" w:rsidTr="008B1063">
        <w:tblPrEx>
          <w:tblW w:w="7200" w:type="dxa"/>
          <w:tblLayout w:type="fixed"/>
          <w:tblLook w:val="04A0"/>
        </w:tblPrEx>
        <w:trPr>
          <w:trHeight w:val="20"/>
        </w:trPr>
        <w:tc>
          <w:tcPr>
            <w:tcW w:w="7200" w:type="dxa"/>
            <w:tcBorders>
              <w:bottom w:val="nil"/>
            </w:tcBorders>
            <w:shd w:val="clear" w:color="auto" w:fill="EEF5F8"/>
          </w:tcPr>
          <w:p w:rsidR="009F6484" w:rsidRPr="00990D3B" w:rsidP="008A3399" w14:paraId="5F6F0812" w14:textId="47CC9804">
            <w:pPr>
              <w:pStyle w:val="EQRACTIVITY"/>
            </w:pPr>
            <w:hyperlink w:anchor="P8A3" w:tooltip="ACTIVITY 3: IDENTIFY THE PIP POPULATION" w:history="1">
              <w:r w:rsidRPr="00990D3B">
                <w:rPr>
                  <w:rStyle w:val="Hyperlink"/>
                </w:rPr>
                <w:t xml:space="preserve">ACTIVITY 3: IDENTIFY THE </w:t>
              </w:r>
              <w:r w:rsidRPr="006F5BEC" w:rsidR="00C31755">
                <w:rPr>
                  <w:color w:val="005260"/>
                </w:rPr>
                <w:t>PIP</w:t>
              </w:r>
              <w:r w:rsidRPr="00990D3B">
                <w:rPr>
                  <w:rStyle w:val="Hyperlink"/>
                </w:rPr>
                <w:t xml:space="preserve"> POPULATION</w:t>
              </w:r>
            </w:hyperlink>
          </w:p>
        </w:tc>
      </w:tr>
      <w:tr w14:paraId="641A32B6" w14:textId="77777777" w:rsidTr="008B1063">
        <w:tblPrEx>
          <w:tblW w:w="7200" w:type="dxa"/>
          <w:tblLayout w:type="fixed"/>
          <w:tblLook w:val="04A0"/>
        </w:tblPrEx>
        <w:trPr>
          <w:trHeight w:val="20"/>
        </w:trPr>
        <w:tc>
          <w:tcPr>
            <w:tcW w:w="7200" w:type="dxa"/>
          </w:tcPr>
          <w:p w:rsidR="009F6484" w:rsidRPr="00990D3B" w:rsidP="008A3399" w14:paraId="1FCF05B2" w14:textId="0B099454">
            <w:pPr>
              <w:pStyle w:val="EQRACTIVITY"/>
            </w:pPr>
            <w:hyperlink w:anchor="P8A4" w:tooltip="ACTIVITY 4: USE SOUND SAMPLING METHODS" w:history="1">
              <w:r w:rsidRPr="00990D3B">
                <w:rPr>
                  <w:rStyle w:val="Hyperlink"/>
                </w:rPr>
                <w:t>ACTIVITY 4: USE SOUND SAMPLING METHODS</w:t>
              </w:r>
            </w:hyperlink>
          </w:p>
        </w:tc>
      </w:tr>
      <w:tr w14:paraId="2E4F65D8" w14:textId="77777777" w:rsidTr="008B1063">
        <w:tblPrEx>
          <w:tblW w:w="7200" w:type="dxa"/>
          <w:tblLayout w:type="fixed"/>
          <w:tblLook w:val="04A0"/>
        </w:tblPrEx>
        <w:trPr>
          <w:trHeight w:val="20"/>
        </w:trPr>
        <w:tc>
          <w:tcPr>
            <w:tcW w:w="7200" w:type="dxa"/>
            <w:tcBorders>
              <w:bottom w:val="nil"/>
            </w:tcBorders>
            <w:shd w:val="clear" w:color="auto" w:fill="EEF5F8"/>
          </w:tcPr>
          <w:p w:rsidR="009F6484" w:rsidRPr="00990D3B" w:rsidP="008A3399" w14:paraId="5C186108" w14:textId="084E947D">
            <w:pPr>
              <w:pStyle w:val="EQRACTIVITY"/>
            </w:pPr>
            <w:hyperlink w:anchor="P8A5" w:tooltip="ACTIVITY 5: SELECT THE PIP VARIABLES" w:history="1">
              <w:r w:rsidRPr="00990D3B">
                <w:rPr>
                  <w:rStyle w:val="Hyperlink"/>
                </w:rPr>
                <w:t xml:space="preserve">ACTIVITY 5: SELECT THE </w:t>
              </w:r>
              <w:r w:rsidRPr="006F5BEC" w:rsidR="00C31755">
                <w:rPr>
                  <w:color w:val="005260"/>
                </w:rPr>
                <w:t xml:space="preserve">PIP </w:t>
              </w:r>
              <w:r w:rsidRPr="00990D3B">
                <w:rPr>
                  <w:rStyle w:val="Hyperlink"/>
                </w:rPr>
                <w:t>VARIABLES</w:t>
              </w:r>
            </w:hyperlink>
          </w:p>
        </w:tc>
      </w:tr>
      <w:tr w14:paraId="052D93D7" w14:textId="77777777" w:rsidTr="008B1063">
        <w:tblPrEx>
          <w:tblW w:w="7200" w:type="dxa"/>
          <w:tblLayout w:type="fixed"/>
          <w:tblLook w:val="04A0"/>
        </w:tblPrEx>
        <w:trPr>
          <w:trHeight w:val="20"/>
        </w:trPr>
        <w:tc>
          <w:tcPr>
            <w:tcW w:w="7200" w:type="dxa"/>
          </w:tcPr>
          <w:p w:rsidR="009F6484" w:rsidRPr="00990D3B" w:rsidP="008A3399" w14:paraId="3702E590" w14:textId="74871240">
            <w:pPr>
              <w:pStyle w:val="EQRACTIVITY"/>
            </w:pPr>
            <w:hyperlink w:anchor="P8A6" w:tooltip="ACTIVITY 6: COLLECT VALID AND RELIABLE DATA" w:history="1">
              <w:r w:rsidRPr="00990D3B">
                <w:rPr>
                  <w:rStyle w:val="Hyperlink"/>
                </w:rPr>
                <w:t>ACTIVITY 6: COLLECT VALID AND RELIABLE DATA</w:t>
              </w:r>
            </w:hyperlink>
          </w:p>
        </w:tc>
      </w:tr>
      <w:tr w14:paraId="0AB6D802" w14:textId="77777777" w:rsidTr="008B1063">
        <w:tblPrEx>
          <w:tblW w:w="7200" w:type="dxa"/>
          <w:tblLayout w:type="fixed"/>
          <w:tblLook w:val="04A0"/>
        </w:tblPrEx>
        <w:trPr>
          <w:trHeight w:val="20"/>
        </w:trPr>
        <w:tc>
          <w:tcPr>
            <w:tcW w:w="7200" w:type="dxa"/>
            <w:tcBorders>
              <w:bottom w:val="nil"/>
            </w:tcBorders>
            <w:shd w:val="clear" w:color="auto" w:fill="EEF5F8"/>
          </w:tcPr>
          <w:p w:rsidR="009F6484" w:rsidRPr="00990D3B" w:rsidP="00BA0174" w14:paraId="408D605E" w14:textId="3981BECD">
            <w:pPr>
              <w:pStyle w:val="EQRACTIVITY"/>
            </w:pPr>
            <w:hyperlink w:anchor="P8A7" w:tooltip="ACTIVITY 7: ANALYZE DATA AND INTERPRET RESULTS" w:history="1">
              <w:r w:rsidRPr="00990D3B">
                <w:rPr>
                  <w:rStyle w:val="Hyperlink"/>
                </w:rPr>
                <w:t>ACTIVITY 7: ANALYZE DATA AND INTERPRET RESULTS</w:t>
              </w:r>
            </w:hyperlink>
          </w:p>
        </w:tc>
      </w:tr>
      <w:tr w14:paraId="6D1CE5D1" w14:textId="77777777" w:rsidTr="008B1063">
        <w:tblPrEx>
          <w:tblW w:w="7200" w:type="dxa"/>
          <w:tblLayout w:type="fixed"/>
          <w:tblLook w:val="04A0"/>
        </w:tblPrEx>
        <w:trPr>
          <w:trHeight w:val="20"/>
        </w:trPr>
        <w:tc>
          <w:tcPr>
            <w:tcW w:w="7200" w:type="dxa"/>
          </w:tcPr>
          <w:p w:rsidR="009F6484" w:rsidRPr="00990D3B" w:rsidP="008A3399" w14:paraId="238980BF" w14:textId="346E9D8F">
            <w:pPr>
              <w:pStyle w:val="EQRACTIVITY"/>
            </w:pPr>
            <w:hyperlink w:anchor="P8A8" w:tooltip="ACTIVITY 8: REVIEW IMPROVEMENT STRATEGIES" w:history="1">
              <w:r w:rsidRPr="00990D3B">
                <w:rPr>
                  <w:rStyle w:val="Hyperlink"/>
                </w:rPr>
                <w:t>ACTIVITY 8: REVIEW IMPROVEMENT STRATEGIES</w:t>
              </w:r>
            </w:hyperlink>
          </w:p>
        </w:tc>
      </w:tr>
      <w:tr w14:paraId="689CEBCE" w14:textId="77777777" w:rsidTr="00B67F27">
        <w:tblPrEx>
          <w:tblW w:w="7200" w:type="dxa"/>
          <w:tblLayout w:type="fixed"/>
          <w:tblLook w:val="04A0"/>
        </w:tblPrEx>
        <w:trPr>
          <w:trHeight w:val="20"/>
        </w:trPr>
        <w:tc>
          <w:tcPr>
            <w:tcW w:w="7200" w:type="dxa"/>
            <w:shd w:val="clear" w:color="auto" w:fill="EEF5F8"/>
          </w:tcPr>
          <w:p w:rsidR="009F6484" w:rsidRPr="00990D3B" w:rsidP="008A3399" w14:paraId="08A9793E" w14:textId="2C4E1DBD">
            <w:pPr>
              <w:pStyle w:val="EQRACTIVITY"/>
            </w:pPr>
            <w:hyperlink w:anchor="P8A9" w:tooltip="ACTIVITY 9: ASSESS WHETHER SIGNIFICANT AND SUSTAINED IMPROVEMENT OCCURRED" w:history="1">
              <w:r w:rsidRPr="00990D3B">
                <w:rPr>
                  <w:rStyle w:val="Hyperlink"/>
                </w:rPr>
                <w:t>ACTIVITY 9: ASSESS WHETHER SIGNIFICANT AND SUSTAINED IMPROVEMENT OCCURRED</w:t>
              </w:r>
            </w:hyperlink>
          </w:p>
        </w:tc>
      </w:tr>
      <w:tr w14:paraId="7B76522B" w14:textId="77777777" w:rsidTr="008B1063">
        <w:tblPrEx>
          <w:tblW w:w="7200" w:type="dxa"/>
          <w:tblLayout w:type="fixed"/>
          <w:tblLook w:val="04A0"/>
        </w:tblPrEx>
        <w:trPr>
          <w:trHeight w:val="20"/>
        </w:trPr>
        <w:tc>
          <w:tcPr>
            <w:tcW w:w="7200" w:type="dxa"/>
            <w:tcBorders>
              <w:bottom w:val="nil"/>
            </w:tcBorders>
            <w:shd w:val="clear" w:color="auto" w:fill="EEF5F8"/>
          </w:tcPr>
          <w:p w:rsidR="00914689" w:rsidRPr="00990D3B" w:rsidP="008A3399" w14:paraId="55F6E32E" w14:textId="26CF0565">
            <w:pPr>
              <w:pStyle w:val="EQRACTIVITY"/>
            </w:pPr>
            <w:hyperlink w:anchor="P8A10" w:tooltip="ACTIVITY 10: REPORT RESULTS TO STATE" w:history="1">
              <w:r w:rsidRPr="00990D3B">
                <w:rPr>
                  <w:rStyle w:val="Hyperlink"/>
                </w:rPr>
                <w:t>ACTIVITY 10: REPORT RESULTS TO STATE</w:t>
              </w:r>
            </w:hyperlink>
          </w:p>
        </w:tc>
      </w:tr>
    </w:tbl>
    <w:p w:rsidR="005B4D54" w:rsidRPr="00990D3B" w:rsidP="00A200FB" w14:paraId="68D66B78" w14:textId="77777777">
      <w:pPr>
        <w:pStyle w:val="H2"/>
      </w:pPr>
      <w:bookmarkStart w:id="861" w:name="_Toc14777743"/>
      <w:bookmarkStart w:id="862" w:name="_Toc183005641"/>
      <w:bookmarkStart w:id="863" w:name="_Toc201751411"/>
      <w:r w:rsidRPr="00990D3B">
        <w:t>Background</w:t>
      </w:r>
      <w:bookmarkEnd w:id="861"/>
      <w:bookmarkEnd w:id="862"/>
      <w:bookmarkEnd w:id="863"/>
    </w:p>
    <w:p w:rsidR="009F6484" w:rsidRPr="00990D3B" w:rsidP="004E5005" w14:paraId="007FF291" w14:textId="7BA76562">
      <w:pPr>
        <w:pStyle w:val="ParagraphContinued"/>
      </w:pPr>
      <w:r w:rsidRPr="00990D3B">
        <w:t xml:space="preserve">Federal regulations at </w:t>
      </w:r>
      <w:r w:rsidRPr="00990D3B" w:rsidR="001C7FC0">
        <w:t>42 C.F.R.</w:t>
      </w:r>
      <w:r w:rsidRPr="00990D3B" w:rsidR="007854DF">
        <w:t xml:space="preserve"> </w:t>
      </w:r>
      <w:r w:rsidRPr="00990D3B">
        <w:t>438.330(b)(1)</w:t>
      </w:r>
      <w:r w:rsidRPr="00990D3B" w:rsidR="00294585">
        <w:t xml:space="preserve"> and 457.1240(b)</w:t>
      </w:r>
      <w:r w:rsidRPr="00990D3B">
        <w:t xml:space="preserve"> require that</w:t>
      </w:r>
      <w:r w:rsidRPr="00990D3B" w:rsidR="00547CED">
        <w:t xml:space="preserve"> Medicaid and </w:t>
      </w:r>
      <w:r w:rsidRPr="00990D3B" w:rsidR="00A653B6">
        <w:t>Children’s Health Insurance Program (</w:t>
      </w:r>
      <w:r w:rsidRPr="00990D3B" w:rsidR="00547CED">
        <w:t>CHIP</w:t>
      </w:r>
      <w:r w:rsidRPr="00990D3B" w:rsidR="00A653B6">
        <w:t>)</w:t>
      </w:r>
      <w:r w:rsidRPr="00990D3B">
        <w:t xml:space="preserve"> managed care plans (MCPs) conduct performance improvement project</w:t>
      </w:r>
      <w:r w:rsidRPr="00990D3B" w:rsidR="00547CED">
        <w:t>s</w:t>
      </w:r>
      <w:r w:rsidRPr="00990D3B">
        <w:t xml:space="preserve"> (PIP</w:t>
      </w:r>
      <w:r w:rsidRPr="00990D3B" w:rsidR="00547CED">
        <w:t>s</w:t>
      </w:r>
      <w:r w:rsidRPr="00990D3B">
        <w:t>)</w:t>
      </w:r>
      <w:r w:rsidRPr="00990D3B" w:rsidR="00547CED">
        <w:t xml:space="preserve"> that focus on both clinical and </w:t>
      </w:r>
      <w:r w:rsidRPr="00990D3B" w:rsidR="00D72373">
        <w:t>non-clinical</w:t>
      </w:r>
      <w:r w:rsidRPr="00990D3B" w:rsidR="00547CED">
        <w:t xml:space="preserve"> areas</w:t>
      </w:r>
      <w:r w:rsidRPr="00990D3B">
        <w:t xml:space="preserve"> as part of a comprehensive quality assessment and performance improvement (QAPI) program.</w:t>
      </w:r>
      <w:r w:rsidRPr="00990D3B" w:rsidR="003162DF">
        <w:rPr>
          <w:rFonts w:ascii="ZWAdobeF" w:hAnsi="ZWAdobeF" w:cs="ZWAdobeF"/>
          <w:sz w:val="2"/>
          <w:szCs w:val="2"/>
        </w:rPr>
        <w:t>76F</w:t>
      </w:r>
      <w:r>
        <w:rPr>
          <w:vertAlign w:val="superscript"/>
        </w:rPr>
        <w:footnoteReference w:id="85"/>
      </w:r>
      <w:r w:rsidRPr="00990D3B" w:rsidR="00CE4CE4">
        <w:t xml:space="preserve"> </w:t>
      </w:r>
      <w:r w:rsidRPr="00990D3B">
        <w:t xml:space="preserve">Validation of the PIPs </w:t>
      </w:r>
      <w:r w:rsidRPr="00990D3B" w:rsidR="00547CED">
        <w:t xml:space="preserve">conducted by MCPs as a part of their QAPI programs </w:t>
      </w:r>
      <w:r w:rsidRPr="00990D3B">
        <w:t xml:space="preserve">is a mandatory external quality review (EQR)-related activity, as described in </w:t>
      </w:r>
      <w:hyperlink w:anchor="Protocol1" w:tooltip="Protocol 1. Validation of Performance Improvement Projects" w:history="1">
        <w:r w:rsidRPr="00990D3B" w:rsidR="00D566CC">
          <w:rPr>
            <w:rStyle w:val="Hyperlink"/>
          </w:rPr>
          <w:t>Protocol 1</w:t>
        </w:r>
        <w:r w:rsidRPr="00990D3B" w:rsidR="00133826">
          <w:rPr>
            <w:rStyle w:val="Hyperlink"/>
            <w:color w:val="auto"/>
          </w:rPr>
          <w:t>.</w:t>
        </w:r>
        <w:r w:rsidRPr="00990D3B">
          <w:rPr>
            <w:rStyle w:val="Hyperlink"/>
            <w:color w:val="auto"/>
          </w:rPr>
          <w:t xml:space="preserve"> </w:t>
        </w:r>
      </w:hyperlink>
      <w:r w:rsidRPr="00990D3B">
        <w:t xml:space="preserve"> </w:t>
      </w:r>
    </w:p>
    <w:p w:rsidR="008900D3" w:rsidRPr="00990D3B" w:rsidP="004E5005" w14:paraId="21AB48EE" w14:textId="2606AB0C">
      <w:pPr>
        <w:pStyle w:val="Paragraph0"/>
      </w:pPr>
      <w:r w:rsidRPr="00990D3B">
        <w:t xml:space="preserve">In addition, </w:t>
      </w:r>
      <w:r w:rsidRPr="00990D3B" w:rsidR="00914689">
        <w:t>f</w:t>
      </w:r>
      <w:r w:rsidRPr="00990D3B">
        <w:t xml:space="preserve">ederal regulations at </w:t>
      </w:r>
      <w:r w:rsidRPr="00990D3B" w:rsidR="001C7FC0">
        <w:t>42 C.F.R.</w:t>
      </w:r>
      <w:r w:rsidRPr="00990D3B" w:rsidR="007854DF">
        <w:t xml:space="preserve"> </w:t>
      </w:r>
      <w:r w:rsidRPr="00990D3B">
        <w:t xml:space="preserve">438.358(c)(4) and 457.1250(a) specify that the </w:t>
      </w:r>
      <w:r w:rsidRPr="00990D3B" w:rsidR="004959A0">
        <w:t>external quality review organization (</w:t>
      </w:r>
      <w:r w:rsidRPr="00990D3B">
        <w:t>EQRO</w:t>
      </w:r>
      <w:r w:rsidRPr="00990D3B" w:rsidR="004959A0">
        <w:t>)</w:t>
      </w:r>
      <w:r w:rsidRPr="00990D3B">
        <w:t xml:space="preserve"> may conduct PIPs in addition to those performed by the MCPs as a part of their QAPI programs. These additional PIPs are an optional EQR-related activity.</w:t>
      </w:r>
      <w:r w:rsidRPr="00990D3B" w:rsidR="008167E4">
        <w:t xml:space="preserve"> </w:t>
      </w:r>
      <w:r w:rsidRPr="00990D3B">
        <w:t xml:space="preserve">These PIPs can be conducted in conjunction with </w:t>
      </w:r>
      <w:r w:rsidRPr="00990D3B" w:rsidR="0089003E">
        <w:t xml:space="preserve">the Centers for Medicare &amp; Medicaid Services </w:t>
      </w:r>
      <w:r w:rsidRPr="00990D3B" w:rsidR="0089003E">
        <w:t>(</w:t>
      </w:r>
      <w:r w:rsidRPr="00990D3B">
        <w:t>CMS</w:t>
      </w:r>
      <w:r w:rsidRPr="00990D3B" w:rsidR="0089003E">
        <w:t>)</w:t>
      </w:r>
      <w:r w:rsidRPr="00990D3B">
        <w:t xml:space="preserve"> and state quality improvement priorities or </w:t>
      </w:r>
      <w:r w:rsidRPr="00990D3B">
        <w:t>to align</w:t>
      </w:r>
      <w:r w:rsidRPr="00990D3B">
        <w:t xml:space="preserve"> with national quality improvement</w:t>
      </w:r>
      <w:r w:rsidRPr="00990D3B" w:rsidR="008E2051">
        <w:t> </w:t>
      </w:r>
      <w:r w:rsidRPr="00990D3B">
        <w:t>initiatives.</w:t>
      </w:r>
    </w:p>
    <w:p w:rsidR="00D566CC" w:rsidRPr="00990D3B" w:rsidP="004E5005" w14:paraId="23A83203" w14:textId="11C9CF8F">
      <w:pPr>
        <w:pStyle w:val="Paragraph0"/>
      </w:pPr>
      <w:r w:rsidRPr="00990D3B">
        <w:t xml:space="preserve">These activities are eligible for enhanced </w:t>
      </w:r>
      <w:r w:rsidRPr="00990D3B" w:rsidR="003D61CB">
        <w:t>f</w:t>
      </w:r>
      <w:r w:rsidRPr="00990D3B">
        <w:t>ederal financial participation at a 75 percent rate</w:t>
      </w:r>
      <w:r w:rsidRPr="00990D3B" w:rsidR="008900D3">
        <w:t xml:space="preserve"> (1) when conducted by a qualified EQRO</w:t>
      </w:r>
      <w:r w:rsidRPr="00990D3B" w:rsidR="007546EE">
        <w:t xml:space="preserve"> on an </w:t>
      </w:r>
      <w:r w:rsidRPr="00990D3B" w:rsidR="00625CBC">
        <w:t>managed care organization (MCO)</w:t>
      </w:r>
      <w:r w:rsidRPr="00990D3B" w:rsidR="008900D3">
        <w:t>, (2) when the EQR-related activities are completed using methodologies consistent with the protocols contained within this document, and (3) when the state receives approval of its EQRO contract from CMS.</w:t>
      </w:r>
      <w:r w:rsidRPr="00990D3B" w:rsidR="003162DF">
        <w:rPr>
          <w:rFonts w:ascii="ZWAdobeF" w:hAnsi="ZWAdobeF" w:cs="ZWAdobeF"/>
          <w:sz w:val="2"/>
          <w:szCs w:val="2"/>
        </w:rPr>
        <w:t>77F</w:t>
      </w:r>
      <w:r>
        <w:rPr>
          <w:rStyle w:val="FootnoteReference"/>
          <w:rFonts w:cs="Arial"/>
          <w:szCs w:val="22"/>
        </w:rPr>
        <w:footnoteReference w:id="86"/>
      </w:r>
      <w:r w:rsidRPr="00990D3B" w:rsidR="008900D3">
        <w:rPr>
          <w:vertAlign w:val="superscript"/>
        </w:rPr>
        <w:t>,</w:t>
      </w:r>
      <w:r w:rsidRPr="00990D3B" w:rsidR="003162DF">
        <w:rPr>
          <w:rFonts w:ascii="ZWAdobeF" w:hAnsi="ZWAdobeF" w:cs="ZWAdobeF"/>
          <w:sz w:val="2"/>
          <w:szCs w:val="2"/>
        </w:rPr>
        <w:t>78F</w:t>
      </w:r>
      <w:r>
        <w:rPr>
          <w:rStyle w:val="FootnoteReference"/>
        </w:rPr>
        <w:footnoteReference w:id="87"/>
      </w:r>
    </w:p>
    <w:p w:rsidR="00486D54" w:rsidRPr="00990D3B" w:rsidP="004E5005" w14:paraId="069360AE" w14:textId="42F75A11">
      <w:pPr>
        <w:pStyle w:val="Paragraph0"/>
      </w:pPr>
      <w:r w:rsidRPr="00990D3B">
        <w:t xml:space="preserve">This protocol provides guidance to states on </w:t>
      </w:r>
      <w:r w:rsidRPr="00990D3B" w:rsidR="00071B0E">
        <w:t>implementing</w:t>
      </w:r>
      <w:r w:rsidRPr="00990D3B">
        <w:t xml:space="preserve"> additional (non-QAPI) PIPs</w:t>
      </w:r>
      <w:r w:rsidRPr="00990D3B" w:rsidR="004959A0">
        <w:t xml:space="preserve"> </w:t>
      </w:r>
      <w:r w:rsidRPr="00990D3B" w:rsidR="008900D3">
        <w:t xml:space="preserve">using EQROs </w:t>
      </w:r>
      <w:r w:rsidRPr="00990D3B" w:rsidR="004959A0">
        <w:t>to assess and improve processes and outcomes of care provided by MCPs in the state</w:t>
      </w:r>
      <w:r w:rsidRPr="00990D3B">
        <w:t xml:space="preserve">. </w:t>
      </w:r>
    </w:p>
    <w:p w:rsidR="005B4D54" w:rsidRPr="00990D3B" w:rsidP="008167E4" w14:paraId="7CBAA74F" w14:textId="724A632B">
      <w:pPr>
        <w:pStyle w:val="H2"/>
        <w:rPr>
          <w:lang w:bidi="en-US"/>
        </w:rPr>
      </w:pPr>
      <w:bookmarkStart w:id="864" w:name="_Toc14777744"/>
      <w:bookmarkStart w:id="865" w:name="_Toc183005642"/>
      <w:bookmarkStart w:id="866" w:name="_Toc201751412"/>
      <w:r w:rsidRPr="00990D3B">
        <w:rPr>
          <w:lang w:bidi="en-US"/>
        </w:rPr>
        <w:t>G</w:t>
      </w:r>
      <w:r w:rsidRPr="00990D3B" w:rsidR="00E52581">
        <w:rPr>
          <w:lang w:bidi="en-US"/>
        </w:rPr>
        <w:t>etting</w:t>
      </w:r>
      <w:r w:rsidRPr="00990D3B">
        <w:rPr>
          <w:lang w:bidi="en-US"/>
        </w:rPr>
        <w:t xml:space="preserve"> S</w:t>
      </w:r>
      <w:r w:rsidRPr="00990D3B" w:rsidR="00E52581">
        <w:rPr>
          <w:lang w:bidi="en-US"/>
        </w:rPr>
        <w:t>tarted on</w:t>
      </w:r>
      <w:r w:rsidRPr="00990D3B">
        <w:rPr>
          <w:lang w:bidi="en-US"/>
        </w:rPr>
        <w:t xml:space="preserve"> P</w:t>
      </w:r>
      <w:r w:rsidRPr="00990D3B" w:rsidR="00E52581">
        <w:rPr>
          <w:lang w:bidi="en-US"/>
        </w:rPr>
        <w:t xml:space="preserve">rotocol </w:t>
      </w:r>
      <w:r w:rsidRPr="00990D3B">
        <w:rPr>
          <w:lang w:bidi="en-US"/>
        </w:rPr>
        <w:t>8</w:t>
      </w:r>
      <w:bookmarkEnd w:id="864"/>
      <w:bookmarkEnd w:id="865"/>
      <w:bookmarkEnd w:id="866"/>
    </w:p>
    <w:p w:rsidR="00B45CA0" w:rsidRPr="00990D3B" w:rsidP="004E5005" w14:paraId="31A1B853" w14:textId="37BF9F6F">
      <w:pPr>
        <w:pStyle w:val="ParagraphContinued"/>
      </w:pPr>
      <w:r w:rsidRPr="00990D3B">
        <w:t xml:space="preserve">To complete this protocol, the EQRO undertakes ten activities for </w:t>
      </w:r>
      <w:r w:rsidRPr="00990D3B" w:rsidR="00F55873">
        <w:t>implementing additional PIPs (</w:t>
      </w:r>
      <w:hyperlink w:anchor="Figure8i" w:tooltip="Figure 8.1" w:history="1">
        <w:r w:rsidRPr="00990D3B" w:rsidR="00F55873">
          <w:rPr>
            <w:rStyle w:val="Hyperlink"/>
          </w:rPr>
          <w:t xml:space="preserve">Figure </w:t>
        </w:r>
        <w:r w:rsidRPr="00990D3B" w:rsidR="004959A0">
          <w:rPr>
            <w:rStyle w:val="Hyperlink"/>
          </w:rPr>
          <w:t>8.</w:t>
        </w:r>
        <w:r w:rsidRPr="00990D3B" w:rsidR="00F55873">
          <w:rPr>
            <w:rStyle w:val="Hyperlink"/>
          </w:rPr>
          <w:t>1</w:t>
        </w:r>
      </w:hyperlink>
      <w:r w:rsidRPr="00990D3B" w:rsidR="00625CBC">
        <w:rPr>
          <w:rStyle w:val="Hyperlink"/>
        </w:rPr>
        <w:t xml:space="preserve">, </w:t>
      </w:r>
      <w:r w:rsidRPr="00990D3B" w:rsidR="00625CBC">
        <w:rPr>
          <w:rStyle w:val="Hyperlink"/>
          <w:color w:val="auto"/>
        </w:rPr>
        <w:t xml:space="preserve">next </w:t>
      </w:r>
      <w:r w:rsidRPr="00990D3B" w:rsidR="00BF74CF">
        <w:rPr>
          <w:rStyle w:val="Hyperlink"/>
          <w:color w:val="auto"/>
        </w:rPr>
        <w:t>page</w:t>
      </w:r>
      <w:r w:rsidRPr="00990D3B" w:rsidR="00F55873">
        <w:t xml:space="preserve">). </w:t>
      </w:r>
    </w:p>
    <w:p w:rsidR="00B45CA0" w:rsidRPr="00990D3B" w:rsidP="00ED0043" w14:paraId="24291FD2" w14:textId="41173231">
      <w:pPr>
        <w:pStyle w:val="MarkforFigureHeading"/>
      </w:pPr>
      <w:bookmarkStart w:id="867" w:name="Figure8i"/>
      <w:bookmarkEnd w:id="867"/>
      <w:r w:rsidRPr="00990D3B">
        <w:rPr>
          <w:lang w:bidi="en-US"/>
        </w:rPr>
        <w:t>Figure 8.1. Protocol 8 Activities</w:t>
      </w:r>
    </w:p>
    <w:p w:rsidR="00800D9D" w:rsidRPr="00990D3B" w:rsidP="007800BE" w14:paraId="62BDAABB" w14:textId="44B9C1CD">
      <w:pPr>
        <w:pStyle w:val="NoSpacing"/>
      </w:pPr>
      <w:r w:rsidRPr="00990D3B">
        <w:rPr>
          <w:noProof/>
        </w:rPr>
        <w:drawing>
          <wp:inline distT="0" distB="0" distL="0" distR="0">
            <wp:extent cx="5943600" cy="5077968"/>
            <wp:effectExtent l="0" t="0" r="0" b="8890"/>
            <wp:docPr id="1562672582" name="Picture 1" descr="This graphic shows the activities and steps included in Protocol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72582" name="Picture 1" descr="This graphic shows the activities and steps included in Protocol 8."/>
                    <pic:cNvPicPr/>
                  </pic:nvPicPr>
                  <pic:blipFill>
                    <a:blip xmlns:r="http://schemas.openxmlformats.org/officeDocument/2006/relationships" r:embed="rId203">
                      <a:extLst>
                        <a:ext xmlns:a="http://schemas.openxmlformats.org/drawingml/2006/main" uri="{28A0092B-C50C-407E-A947-70E740481C1C}">
                          <a14:useLocalDpi xmlns:a14="http://schemas.microsoft.com/office/drawing/2010/main" val="0"/>
                        </a:ext>
                      </a:extLst>
                    </a:blip>
                    <a:stretch>
                      <a:fillRect/>
                    </a:stretch>
                  </pic:blipFill>
                  <pic:spPr>
                    <a:xfrm>
                      <a:off x="0" y="0"/>
                      <a:ext cx="5943600" cy="5077968"/>
                    </a:xfrm>
                    <a:prstGeom prst="rect">
                      <a:avLst/>
                    </a:prstGeom>
                  </pic:spPr>
                </pic:pic>
              </a:graphicData>
            </a:graphic>
          </wp:inline>
        </w:drawing>
      </w:r>
    </w:p>
    <w:p w:rsidR="004959A0" w:rsidRPr="00990D3B" w:rsidP="004E5005" w14:paraId="36D51B0C" w14:textId="6E40DC7A">
      <w:pPr>
        <w:pStyle w:val="ParagraphContinued"/>
      </w:pPr>
      <w:r w:rsidRPr="00990D3B">
        <w:t xml:space="preserve">As shown in </w:t>
      </w:r>
      <w:hyperlink w:anchor="Table8n1" w:tooltip="Table 8.1" w:history="1">
        <w:r w:rsidRPr="00990D3B">
          <w:rPr>
            <w:rStyle w:val="Hyperlink"/>
          </w:rPr>
          <w:t>Table 8.1</w:t>
        </w:r>
      </w:hyperlink>
      <w:r w:rsidRPr="00990D3B">
        <w:t xml:space="preserve">, these activities align with the nine steps in </w:t>
      </w:r>
      <w:hyperlink w:anchor="P1A1" w:tooltip="Activity 1, Protocol 1, Validation of Performance Improvement Projects" w:history="1">
        <w:r w:rsidRPr="00990D3B">
          <w:rPr>
            <w:rStyle w:val="Hyperlink"/>
          </w:rPr>
          <w:t>Activity 1, Protocol 1</w:t>
        </w:r>
      </w:hyperlink>
      <w:r w:rsidRPr="00990D3B">
        <w:t xml:space="preserve">. </w:t>
      </w:r>
      <w:r w:rsidRPr="00990D3B" w:rsidR="001A421F">
        <w:t xml:space="preserve">To streamline the content in this protocol, and avoid duplication with Protocol 1, please refer to the relevant sections in Protocol 1 and the associated worksheets. </w:t>
      </w:r>
    </w:p>
    <w:p w:rsidR="005C3248" w:rsidRPr="00990D3B" w:rsidP="00E71C07" w14:paraId="10F5B9B5" w14:textId="61C12494">
      <w:pPr>
        <w:pStyle w:val="MarkforTableHeading"/>
      </w:pPr>
      <w:bookmarkStart w:id="868" w:name="Table8n1"/>
      <w:bookmarkStart w:id="869" w:name="_Toc83134602"/>
      <w:bookmarkEnd w:id="868"/>
      <w:r w:rsidRPr="00990D3B">
        <w:t>Table 8.1. Crosswalk between Protocol 8</w:t>
      </w:r>
      <w:r w:rsidRPr="00990D3B" w:rsidR="00625CBC">
        <w:t xml:space="preserve"> (</w:t>
      </w:r>
      <w:r w:rsidRPr="00990D3B">
        <w:t>PIP Implementation</w:t>
      </w:r>
      <w:r w:rsidRPr="00990D3B" w:rsidR="00625CBC">
        <w:t xml:space="preserve">) </w:t>
      </w:r>
      <w:r w:rsidRPr="00990D3B" w:rsidR="00026795">
        <w:t>and Protocol 1</w:t>
      </w:r>
      <w:r w:rsidRPr="00990D3B" w:rsidR="00625CBC">
        <w:t xml:space="preserve"> (</w:t>
      </w:r>
      <w:r w:rsidRPr="00990D3B" w:rsidR="00026795">
        <w:t>PIP Validation</w:t>
      </w:r>
      <w:bookmarkEnd w:id="869"/>
      <w:r w:rsidRPr="00990D3B" w:rsidR="00625CBC">
        <w:t>)</w:t>
      </w:r>
    </w:p>
    <w:tbl>
      <w:tblPr>
        <w:tblStyle w:val="CORESETTable"/>
        <w:tblW w:w="5000" w:type="pct"/>
        <w:tblLook w:val="0620"/>
      </w:tblPr>
      <w:tblGrid>
        <w:gridCol w:w="3324"/>
        <w:gridCol w:w="3690"/>
        <w:gridCol w:w="2336"/>
      </w:tblGrid>
      <w:tr w14:paraId="08EEA978" w14:textId="77777777" w:rsidTr="009C2551">
        <w:tblPrEx>
          <w:tblW w:w="5000" w:type="pct"/>
          <w:tblLook w:val="0620"/>
        </w:tblPrEx>
        <w:trPr>
          <w:tblHeader/>
        </w:trPr>
        <w:tc>
          <w:tcPr>
            <w:tcW w:w="1778" w:type="pct"/>
          </w:tcPr>
          <w:p w:rsidR="000B0BBF" w:rsidRPr="00990D3B" w:rsidP="00625CBC" w14:paraId="4559A3C2" w14:textId="4947A8A2">
            <w:pPr>
              <w:pStyle w:val="TableHeaderLeft"/>
              <w:rPr>
                <w:b/>
                <w:bCs/>
              </w:rPr>
            </w:pPr>
            <w:r w:rsidRPr="00990D3B">
              <w:rPr>
                <w:b/>
                <w:bCs/>
              </w:rPr>
              <w:t>Protocol 8. PIP Implementation Activities</w:t>
            </w:r>
          </w:p>
        </w:tc>
        <w:tc>
          <w:tcPr>
            <w:tcW w:w="1973" w:type="pct"/>
          </w:tcPr>
          <w:p w:rsidR="000B0BBF" w:rsidRPr="00990D3B" w:rsidP="00625CBC" w14:paraId="1AEC14EF" w14:textId="6E727407">
            <w:pPr>
              <w:pStyle w:val="TableHeaderCenter"/>
              <w:jc w:val="left"/>
              <w:rPr>
                <w:b/>
                <w:bCs/>
              </w:rPr>
            </w:pPr>
            <w:r w:rsidRPr="00990D3B">
              <w:rPr>
                <w:b/>
                <w:bCs/>
              </w:rPr>
              <w:t xml:space="preserve">Protocol 1. PIP Validation </w:t>
            </w:r>
            <w:r w:rsidRPr="00990D3B" w:rsidR="00C55FA6">
              <w:rPr>
                <w:b/>
                <w:bCs/>
              </w:rPr>
              <w:br/>
            </w:r>
            <w:r w:rsidRPr="00990D3B">
              <w:rPr>
                <w:b/>
                <w:bCs/>
              </w:rPr>
              <w:t>Activity 1 Steps</w:t>
            </w:r>
          </w:p>
        </w:tc>
        <w:tc>
          <w:tcPr>
            <w:tcW w:w="1249" w:type="pct"/>
          </w:tcPr>
          <w:p w:rsidR="000B0BBF" w:rsidRPr="00990D3B" w:rsidP="00625CBC" w14:paraId="6DEBC4ED" w14:textId="5D7074EC">
            <w:pPr>
              <w:pStyle w:val="TableHeaderCenter"/>
              <w:jc w:val="left"/>
              <w:rPr>
                <w:b/>
                <w:bCs/>
              </w:rPr>
            </w:pPr>
            <w:r w:rsidRPr="00990D3B">
              <w:rPr>
                <w:b/>
                <w:bCs/>
              </w:rPr>
              <w:t>Protocol 1. PIP Validation Tool Worksheets</w:t>
            </w:r>
          </w:p>
        </w:tc>
      </w:tr>
      <w:tr w14:paraId="4A94382F" w14:textId="77777777" w:rsidTr="00625CBC">
        <w:tblPrEx>
          <w:tblW w:w="5000" w:type="pct"/>
          <w:tblLook w:val="0620"/>
        </w:tblPrEx>
        <w:tc>
          <w:tcPr>
            <w:tcW w:w="1778" w:type="pct"/>
          </w:tcPr>
          <w:p w:rsidR="004A7D97" w:rsidRPr="00990D3B" w:rsidP="004A7D97" w14:paraId="46E80D53" w14:textId="20D1DF72">
            <w:pPr>
              <w:pStyle w:val="EQRTableText"/>
              <w:rPr>
                <w:rFonts w:cs="Arial"/>
                <w:szCs w:val="18"/>
              </w:rPr>
            </w:pPr>
            <w:r w:rsidRPr="00990D3B">
              <w:rPr>
                <w:rFonts w:cs="Arial"/>
              </w:rPr>
              <w:t xml:space="preserve">Activity 1. Select the </w:t>
            </w:r>
            <w:r w:rsidRPr="00990D3B" w:rsidR="00C31755">
              <w:t>PIP</w:t>
            </w:r>
            <w:r w:rsidRPr="00990D3B">
              <w:rPr>
                <w:rFonts w:cs="Arial"/>
              </w:rPr>
              <w:t xml:space="preserve"> Topic</w:t>
            </w:r>
          </w:p>
        </w:tc>
        <w:tc>
          <w:tcPr>
            <w:tcW w:w="1973" w:type="pct"/>
          </w:tcPr>
          <w:p w:rsidR="004A7D97" w:rsidRPr="00990D3B" w:rsidP="004A7D97" w14:paraId="678A5ED8" w14:textId="2E75E285">
            <w:pPr>
              <w:pStyle w:val="EQRTableText"/>
            </w:pPr>
            <w:r w:rsidRPr="00990D3B">
              <w:rPr>
                <w:rFonts w:cs="Arial"/>
                <w:iCs/>
              </w:rPr>
              <w:t xml:space="preserve">Step 1. </w:t>
            </w:r>
            <w:r w:rsidRPr="00990D3B">
              <w:rPr>
                <w:rFonts w:cs="Arial"/>
                <w:iCs/>
              </w:rPr>
              <w:t>Review</w:t>
            </w:r>
            <w:r w:rsidRPr="00990D3B">
              <w:rPr>
                <w:rFonts w:cs="Arial"/>
                <w:iCs/>
              </w:rPr>
              <w:t xml:space="preserve"> the Selected </w:t>
            </w:r>
            <w:r w:rsidRPr="00990D3B" w:rsidR="00C31755">
              <w:t>PIP</w:t>
            </w:r>
            <w:r w:rsidRPr="00990D3B">
              <w:rPr>
                <w:rFonts w:cs="Arial"/>
                <w:iCs/>
              </w:rPr>
              <w:t xml:space="preserve"> Topic</w:t>
            </w:r>
          </w:p>
        </w:tc>
        <w:tc>
          <w:tcPr>
            <w:tcW w:w="1249" w:type="pct"/>
          </w:tcPr>
          <w:p w:rsidR="004A7D97" w:rsidRPr="00990D3B" w:rsidP="004A7D97" w14:paraId="42657DB4" w14:textId="2843F9C8">
            <w:pPr>
              <w:pStyle w:val="EQRTableText"/>
            </w:pPr>
            <w:hyperlink w:anchor="WSp1n1" w:tooltip="Worksheet 1.1" w:history="1">
              <w:r w:rsidRPr="00990D3B">
                <w:rPr>
                  <w:rStyle w:val="Hyperlink"/>
                  <w:rFonts w:cs="Arial"/>
                  <w:iCs/>
                </w:rPr>
                <w:t>Worksheet 1.1</w:t>
              </w:r>
            </w:hyperlink>
          </w:p>
        </w:tc>
      </w:tr>
      <w:tr w14:paraId="7E365645" w14:textId="77777777" w:rsidTr="00625CBC">
        <w:tblPrEx>
          <w:tblW w:w="5000" w:type="pct"/>
          <w:tblLook w:val="0620"/>
        </w:tblPrEx>
        <w:tc>
          <w:tcPr>
            <w:tcW w:w="1778" w:type="pct"/>
          </w:tcPr>
          <w:p w:rsidR="004A7D97" w:rsidRPr="00990D3B" w:rsidP="00E579C0" w14:paraId="552E4833" w14:textId="13C97139">
            <w:pPr>
              <w:pStyle w:val="EQRTableText"/>
              <w:rPr>
                <w:rFonts w:cs="Arial"/>
                <w:szCs w:val="18"/>
              </w:rPr>
            </w:pPr>
            <w:r w:rsidRPr="00990D3B">
              <w:rPr>
                <w:rFonts w:cs="Arial"/>
              </w:rPr>
              <w:t xml:space="preserve">Activity 2. Define the </w:t>
            </w:r>
            <w:r w:rsidRPr="00990D3B" w:rsidR="00C31755">
              <w:t xml:space="preserve">PIP </w:t>
            </w:r>
            <w:r w:rsidRPr="00990D3B" w:rsidR="00E579C0">
              <w:rPr>
                <w:rFonts w:cs="Arial"/>
              </w:rPr>
              <w:t>Aim Statement</w:t>
            </w:r>
          </w:p>
        </w:tc>
        <w:tc>
          <w:tcPr>
            <w:tcW w:w="1973" w:type="pct"/>
          </w:tcPr>
          <w:p w:rsidR="004A7D97" w:rsidRPr="00990D3B" w:rsidP="00E579C0" w14:paraId="6B94B473" w14:textId="7205E1DE">
            <w:pPr>
              <w:pStyle w:val="EQRTableText"/>
            </w:pPr>
            <w:r w:rsidRPr="00990D3B">
              <w:rPr>
                <w:rFonts w:cs="Arial"/>
              </w:rPr>
              <w:t xml:space="preserve">Step 2. </w:t>
            </w:r>
            <w:r w:rsidRPr="00990D3B">
              <w:rPr>
                <w:rFonts w:cs="Arial"/>
                <w:iCs/>
              </w:rPr>
              <w:t>Review</w:t>
            </w:r>
            <w:r w:rsidRPr="00990D3B">
              <w:rPr>
                <w:rFonts w:cs="Arial"/>
                <w:iCs/>
              </w:rPr>
              <w:t xml:space="preserve"> the </w:t>
            </w:r>
            <w:r w:rsidRPr="00990D3B" w:rsidR="00C31755">
              <w:t>PIP</w:t>
            </w:r>
            <w:r w:rsidRPr="00990D3B">
              <w:rPr>
                <w:rFonts w:cs="Arial"/>
                <w:iCs/>
              </w:rPr>
              <w:t xml:space="preserve"> </w:t>
            </w:r>
            <w:r w:rsidRPr="00990D3B" w:rsidR="00E579C0">
              <w:rPr>
                <w:rFonts w:cs="Arial"/>
                <w:iCs/>
              </w:rPr>
              <w:t>Aim Statement</w:t>
            </w:r>
          </w:p>
        </w:tc>
        <w:tc>
          <w:tcPr>
            <w:tcW w:w="1249" w:type="pct"/>
          </w:tcPr>
          <w:p w:rsidR="004A7D97" w:rsidRPr="00990D3B" w:rsidP="004A7D97" w14:paraId="42DB9D82" w14:textId="553C6FBD">
            <w:pPr>
              <w:pStyle w:val="EQRTableText"/>
              <w:rPr>
                <w:szCs w:val="18"/>
              </w:rPr>
            </w:pPr>
            <w:hyperlink w:anchor="WSp1n2" w:tooltip="Worksheet 1.2" w:history="1">
              <w:r w:rsidRPr="00990D3B">
                <w:rPr>
                  <w:rStyle w:val="Hyperlink"/>
                </w:rPr>
                <w:t>Worksheet 1.2</w:t>
              </w:r>
            </w:hyperlink>
          </w:p>
        </w:tc>
      </w:tr>
      <w:tr w14:paraId="19672C27" w14:textId="77777777" w:rsidTr="00625CBC">
        <w:tblPrEx>
          <w:tblW w:w="5000" w:type="pct"/>
          <w:tblLook w:val="0620"/>
        </w:tblPrEx>
        <w:tc>
          <w:tcPr>
            <w:tcW w:w="1778" w:type="pct"/>
          </w:tcPr>
          <w:p w:rsidR="004A7D97" w:rsidRPr="00990D3B" w:rsidP="004A7D97" w14:paraId="208BEF4C" w14:textId="32095E97">
            <w:pPr>
              <w:pStyle w:val="EQRTableText"/>
              <w:rPr>
                <w:rFonts w:cs="Arial"/>
                <w:szCs w:val="18"/>
              </w:rPr>
            </w:pPr>
            <w:r w:rsidRPr="00990D3B">
              <w:rPr>
                <w:rFonts w:cs="Arial"/>
              </w:rPr>
              <w:t xml:space="preserve">Activity 3. Identify the </w:t>
            </w:r>
            <w:r w:rsidRPr="00990D3B" w:rsidR="00C31755">
              <w:t>PIP</w:t>
            </w:r>
            <w:r w:rsidRPr="00990D3B">
              <w:rPr>
                <w:rFonts w:cs="Arial"/>
              </w:rPr>
              <w:t xml:space="preserve"> Population</w:t>
            </w:r>
          </w:p>
        </w:tc>
        <w:tc>
          <w:tcPr>
            <w:tcW w:w="1973" w:type="pct"/>
          </w:tcPr>
          <w:p w:rsidR="004A7D97" w:rsidRPr="00990D3B" w:rsidP="004A7D97" w14:paraId="33680AFB" w14:textId="150A900A">
            <w:pPr>
              <w:pStyle w:val="EQRTableText"/>
            </w:pPr>
            <w:r w:rsidRPr="00990D3B">
              <w:rPr>
                <w:rFonts w:cs="Arial"/>
              </w:rPr>
              <w:t xml:space="preserve">Step 3. </w:t>
            </w:r>
            <w:r w:rsidRPr="00990D3B">
              <w:rPr>
                <w:rFonts w:cs="Arial"/>
                <w:iCs/>
              </w:rPr>
              <w:t>Review</w:t>
            </w:r>
            <w:r w:rsidRPr="00990D3B">
              <w:rPr>
                <w:rFonts w:cs="Arial"/>
                <w:iCs/>
              </w:rPr>
              <w:t xml:space="preserve"> the Identified </w:t>
            </w:r>
            <w:r w:rsidRPr="00990D3B" w:rsidR="00C31755">
              <w:t>PIP</w:t>
            </w:r>
            <w:r w:rsidRPr="00990D3B">
              <w:rPr>
                <w:rFonts w:cs="Arial"/>
                <w:iCs/>
              </w:rPr>
              <w:t xml:space="preserve"> Population</w:t>
            </w:r>
          </w:p>
        </w:tc>
        <w:tc>
          <w:tcPr>
            <w:tcW w:w="1249" w:type="pct"/>
          </w:tcPr>
          <w:p w:rsidR="004A7D97" w:rsidRPr="00990D3B" w:rsidP="004A7D97" w14:paraId="397A06E4" w14:textId="2D4ED6A0">
            <w:pPr>
              <w:pStyle w:val="EQRTableText"/>
              <w:rPr>
                <w:szCs w:val="18"/>
              </w:rPr>
            </w:pPr>
            <w:hyperlink w:anchor="WSp1n3" w:tooltip="Worksheet 1.3" w:history="1">
              <w:r w:rsidRPr="00990D3B">
                <w:rPr>
                  <w:rStyle w:val="Hyperlink"/>
                </w:rPr>
                <w:t>Worksheet 1.3</w:t>
              </w:r>
            </w:hyperlink>
          </w:p>
        </w:tc>
      </w:tr>
      <w:tr w14:paraId="198BBF2A" w14:textId="77777777" w:rsidTr="00625CBC">
        <w:tblPrEx>
          <w:tblW w:w="5000" w:type="pct"/>
          <w:tblLook w:val="0620"/>
        </w:tblPrEx>
        <w:tc>
          <w:tcPr>
            <w:tcW w:w="1778" w:type="pct"/>
          </w:tcPr>
          <w:p w:rsidR="004A7D97" w:rsidRPr="00990D3B" w:rsidP="004A7D97" w14:paraId="25D2EB88" w14:textId="3B4D86E0">
            <w:pPr>
              <w:pStyle w:val="EQRTableText"/>
              <w:rPr>
                <w:rFonts w:cs="Arial"/>
                <w:szCs w:val="18"/>
              </w:rPr>
            </w:pPr>
            <w:r w:rsidRPr="00990D3B">
              <w:rPr>
                <w:rFonts w:cs="Arial"/>
              </w:rPr>
              <w:t>Activity 4. Use Sound Sampling Methods</w:t>
            </w:r>
          </w:p>
        </w:tc>
        <w:tc>
          <w:tcPr>
            <w:tcW w:w="1973" w:type="pct"/>
          </w:tcPr>
          <w:p w:rsidR="004A7D97" w:rsidRPr="00990D3B" w:rsidP="004A7D97" w14:paraId="27A28E09" w14:textId="283C0DFA">
            <w:pPr>
              <w:pStyle w:val="EQRTableText"/>
            </w:pPr>
            <w:r w:rsidRPr="00990D3B">
              <w:rPr>
                <w:rFonts w:cs="Arial"/>
              </w:rPr>
              <w:t xml:space="preserve">Step 4. </w:t>
            </w:r>
            <w:r w:rsidRPr="00990D3B">
              <w:rPr>
                <w:rFonts w:cs="Arial"/>
                <w:iCs/>
              </w:rPr>
              <w:t>Review</w:t>
            </w:r>
            <w:r w:rsidRPr="00990D3B">
              <w:rPr>
                <w:rFonts w:cs="Arial"/>
                <w:iCs/>
              </w:rPr>
              <w:t xml:space="preserve"> the Sampling Method</w:t>
            </w:r>
          </w:p>
        </w:tc>
        <w:tc>
          <w:tcPr>
            <w:tcW w:w="1249" w:type="pct"/>
          </w:tcPr>
          <w:p w:rsidR="004A7D97" w:rsidRPr="00990D3B" w:rsidP="004A7D97" w14:paraId="222FA9A4" w14:textId="70255C0A">
            <w:pPr>
              <w:pStyle w:val="EQRTableText"/>
              <w:rPr>
                <w:szCs w:val="18"/>
              </w:rPr>
            </w:pPr>
            <w:hyperlink w:anchor="WSp1n4" w:tooltip="Worksheet 1.4" w:history="1">
              <w:r w:rsidRPr="00990D3B">
                <w:rPr>
                  <w:rStyle w:val="Hyperlink"/>
                </w:rPr>
                <w:t>Worksheet 1.4</w:t>
              </w:r>
            </w:hyperlink>
          </w:p>
        </w:tc>
      </w:tr>
      <w:tr w14:paraId="783B9D52" w14:textId="77777777" w:rsidTr="00625CBC">
        <w:tblPrEx>
          <w:tblW w:w="5000" w:type="pct"/>
          <w:tblLook w:val="0620"/>
        </w:tblPrEx>
        <w:tc>
          <w:tcPr>
            <w:tcW w:w="1778" w:type="pct"/>
          </w:tcPr>
          <w:p w:rsidR="004A7D97" w:rsidRPr="00990D3B" w:rsidP="004A7D97" w14:paraId="6A41647E" w14:textId="2C7E9A41">
            <w:pPr>
              <w:pStyle w:val="EQRTableText"/>
              <w:rPr>
                <w:rFonts w:cs="Arial"/>
                <w:szCs w:val="18"/>
              </w:rPr>
            </w:pPr>
            <w:r w:rsidRPr="00990D3B">
              <w:rPr>
                <w:rFonts w:cs="Arial"/>
              </w:rPr>
              <w:t xml:space="preserve">Activity 5. Select the </w:t>
            </w:r>
            <w:r w:rsidRPr="00990D3B" w:rsidR="00C31755">
              <w:t>PIP</w:t>
            </w:r>
            <w:r w:rsidRPr="00990D3B">
              <w:rPr>
                <w:rFonts w:cs="Arial"/>
              </w:rPr>
              <w:t xml:space="preserve"> Variables</w:t>
            </w:r>
          </w:p>
        </w:tc>
        <w:tc>
          <w:tcPr>
            <w:tcW w:w="1973" w:type="pct"/>
          </w:tcPr>
          <w:p w:rsidR="004A7D97" w:rsidRPr="00990D3B" w:rsidP="004A7D97" w14:paraId="69B9209E" w14:textId="51447DA3">
            <w:pPr>
              <w:pStyle w:val="EQRTableText"/>
            </w:pPr>
            <w:r w:rsidRPr="00990D3B">
              <w:t xml:space="preserve">Step 5. </w:t>
            </w:r>
            <w:r w:rsidRPr="00990D3B">
              <w:rPr>
                <w:iCs/>
              </w:rPr>
              <w:t>Review</w:t>
            </w:r>
            <w:r w:rsidRPr="00990D3B">
              <w:rPr>
                <w:iCs/>
              </w:rPr>
              <w:t xml:space="preserve"> the Selected </w:t>
            </w:r>
            <w:r w:rsidRPr="00990D3B" w:rsidR="00C31755">
              <w:t>PIP</w:t>
            </w:r>
            <w:r w:rsidRPr="00990D3B">
              <w:rPr>
                <w:iCs/>
              </w:rPr>
              <w:t xml:space="preserve"> Variable</w:t>
            </w:r>
            <w:r w:rsidRPr="00990D3B" w:rsidR="00DC1754">
              <w:rPr>
                <w:iCs/>
              </w:rPr>
              <w:t>s and Performance Measures</w:t>
            </w:r>
          </w:p>
        </w:tc>
        <w:tc>
          <w:tcPr>
            <w:tcW w:w="1249" w:type="pct"/>
          </w:tcPr>
          <w:p w:rsidR="004A7D97" w:rsidRPr="00990D3B" w:rsidP="004A7D97" w14:paraId="7E254E59" w14:textId="53F3F13F">
            <w:pPr>
              <w:pStyle w:val="EQRTableText"/>
              <w:rPr>
                <w:szCs w:val="18"/>
              </w:rPr>
            </w:pPr>
            <w:hyperlink w:anchor="WSp1n5" w:tooltip="Worksheet 1.5" w:history="1">
              <w:r w:rsidRPr="00990D3B">
                <w:rPr>
                  <w:rStyle w:val="Hyperlink"/>
                </w:rPr>
                <w:t>Worksheet 1.5</w:t>
              </w:r>
            </w:hyperlink>
          </w:p>
        </w:tc>
      </w:tr>
      <w:tr w14:paraId="5789F14E" w14:textId="77777777" w:rsidTr="00625CBC">
        <w:tblPrEx>
          <w:tblW w:w="5000" w:type="pct"/>
          <w:tblLook w:val="0620"/>
        </w:tblPrEx>
        <w:tc>
          <w:tcPr>
            <w:tcW w:w="1778" w:type="pct"/>
          </w:tcPr>
          <w:p w:rsidR="004A7D97" w:rsidRPr="00990D3B" w:rsidP="004A7D97" w14:paraId="227F6446" w14:textId="6DFA7CF5">
            <w:pPr>
              <w:pStyle w:val="EQRTableText"/>
              <w:rPr>
                <w:rFonts w:cs="Arial"/>
                <w:szCs w:val="18"/>
              </w:rPr>
            </w:pPr>
            <w:r w:rsidRPr="00990D3B">
              <w:rPr>
                <w:rFonts w:cs="Arial"/>
              </w:rPr>
              <w:t>Activity 6. Collect Valid and Reliable Data</w:t>
            </w:r>
          </w:p>
        </w:tc>
        <w:tc>
          <w:tcPr>
            <w:tcW w:w="1973" w:type="pct"/>
          </w:tcPr>
          <w:p w:rsidR="004A7D97" w:rsidRPr="00990D3B" w:rsidP="004A7D97" w14:paraId="0C36952B" w14:textId="5912FCD5">
            <w:pPr>
              <w:pStyle w:val="EQRTableText"/>
            </w:pPr>
            <w:r w:rsidRPr="00990D3B">
              <w:t xml:space="preserve">Step 6. </w:t>
            </w:r>
            <w:r w:rsidRPr="00990D3B">
              <w:rPr>
                <w:iCs/>
              </w:rPr>
              <w:t>Review</w:t>
            </w:r>
            <w:r w:rsidRPr="00990D3B">
              <w:rPr>
                <w:iCs/>
              </w:rPr>
              <w:t xml:space="preserve"> the Data Collection Procedure</w:t>
            </w:r>
            <w:r w:rsidRPr="00990D3B" w:rsidR="00DC1754">
              <w:rPr>
                <w:iCs/>
              </w:rPr>
              <w:t>s</w:t>
            </w:r>
          </w:p>
        </w:tc>
        <w:tc>
          <w:tcPr>
            <w:tcW w:w="1249" w:type="pct"/>
          </w:tcPr>
          <w:p w:rsidR="004A7D97" w:rsidRPr="00990D3B" w:rsidP="004A7D97" w14:paraId="25054DE4" w14:textId="1BAECEDE">
            <w:pPr>
              <w:pStyle w:val="EQRTableText"/>
              <w:rPr>
                <w:szCs w:val="18"/>
              </w:rPr>
            </w:pPr>
            <w:hyperlink w:anchor="WSp1n6" w:tooltip="Worksheet 1.6" w:history="1">
              <w:r w:rsidRPr="00990D3B">
                <w:rPr>
                  <w:rStyle w:val="Hyperlink"/>
                </w:rPr>
                <w:t>Worksheet 1.6</w:t>
              </w:r>
            </w:hyperlink>
          </w:p>
        </w:tc>
      </w:tr>
      <w:tr w14:paraId="4093EDB1" w14:textId="77777777" w:rsidTr="00625CBC">
        <w:tblPrEx>
          <w:tblW w:w="5000" w:type="pct"/>
          <w:tblLook w:val="0620"/>
        </w:tblPrEx>
        <w:tc>
          <w:tcPr>
            <w:tcW w:w="1778" w:type="pct"/>
          </w:tcPr>
          <w:p w:rsidR="004A7D97" w:rsidRPr="00990D3B" w:rsidP="00DC1754" w14:paraId="3804744E" w14:textId="0EE783FA">
            <w:pPr>
              <w:pStyle w:val="EQRTableText"/>
              <w:rPr>
                <w:rFonts w:cs="Arial"/>
                <w:szCs w:val="18"/>
              </w:rPr>
            </w:pPr>
            <w:r w:rsidRPr="00990D3B">
              <w:rPr>
                <w:rFonts w:cs="Arial"/>
              </w:rPr>
              <w:t xml:space="preserve">Activity 7. </w:t>
            </w:r>
            <w:r w:rsidRPr="00990D3B">
              <w:rPr>
                <w:rFonts w:cs="Arial"/>
              </w:rPr>
              <w:t>Analyze</w:t>
            </w:r>
            <w:r w:rsidRPr="00990D3B">
              <w:rPr>
                <w:rFonts w:cs="Arial"/>
              </w:rPr>
              <w:t xml:space="preserve"> Data and Interpret Results</w:t>
            </w:r>
          </w:p>
        </w:tc>
        <w:tc>
          <w:tcPr>
            <w:tcW w:w="1973" w:type="pct"/>
          </w:tcPr>
          <w:p w:rsidR="004A7D97" w:rsidRPr="00990D3B" w:rsidP="00DC1754" w14:paraId="1DEE93CD" w14:textId="4B94C449">
            <w:pPr>
              <w:pStyle w:val="EQRTableText"/>
            </w:pPr>
            <w:r w:rsidRPr="00990D3B">
              <w:t xml:space="preserve">Step 7. </w:t>
            </w:r>
            <w:r w:rsidRPr="00990D3B">
              <w:rPr>
                <w:iCs/>
              </w:rPr>
              <w:t>Review</w:t>
            </w:r>
            <w:r w:rsidRPr="00990D3B">
              <w:rPr>
                <w:iCs/>
              </w:rPr>
              <w:t xml:space="preserve"> Data Analysis and Interpretation of </w:t>
            </w:r>
            <w:r w:rsidRPr="00990D3B" w:rsidR="00C31755">
              <w:t>PIP</w:t>
            </w:r>
            <w:r w:rsidRPr="00990D3B">
              <w:rPr>
                <w:iCs/>
              </w:rPr>
              <w:t xml:space="preserve"> Results</w:t>
            </w:r>
          </w:p>
        </w:tc>
        <w:tc>
          <w:tcPr>
            <w:tcW w:w="1249" w:type="pct"/>
          </w:tcPr>
          <w:p w:rsidR="004A7D97" w:rsidRPr="00990D3B" w:rsidP="004A7D97" w14:paraId="64A8F38A" w14:textId="562BF78D">
            <w:pPr>
              <w:pStyle w:val="EQRTableText"/>
              <w:rPr>
                <w:szCs w:val="18"/>
              </w:rPr>
            </w:pPr>
            <w:hyperlink w:anchor="WSp1n7" w:tooltip="Worksheet 1.7" w:history="1">
              <w:r w:rsidRPr="00990D3B">
                <w:rPr>
                  <w:rStyle w:val="Hyperlink"/>
                </w:rPr>
                <w:t>Worksheet 1.7</w:t>
              </w:r>
            </w:hyperlink>
          </w:p>
        </w:tc>
      </w:tr>
      <w:tr w14:paraId="0899A8B0" w14:textId="77777777" w:rsidTr="00625CBC">
        <w:tblPrEx>
          <w:tblW w:w="5000" w:type="pct"/>
          <w:tblLook w:val="0620"/>
        </w:tblPrEx>
        <w:tc>
          <w:tcPr>
            <w:tcW w:w="1778" w:type="pct"/>
          </w:tcPr>
          <w:p w:rsidR="004A7D97" w:rsidRPr="00990D3B" w:rsidP="004A7D97" w14:paraId="5CBA7D28" w14:textId="002358E8">
            <w:pPr>
              <w:pStyle w:val="EQRTableText"/>
              <w:rPr>
                <w:rFonts w:cs="Arial"/>
                <w:szCs w:val="18"/>
              </w:rPr>
            </w:pPr>
            <w:r w:rsidRPr="00990D3B">
              <w:rPr>
                <w:rFonts w:cs="Arial"/>
              </w:rPr>
              <w:t>Activity 8. Review Improvement Strategies</w:t>
            </w:r>
          </w:p>
        </w:tc>
        <w:tc>
          <w:tcPr>
            <w:tcW w:w="1973" w:type="pct"/>
          </w:tcPr>
          <w:p w:rsidR="004A7D97" w:rsidRPr="00990D3B" w:rsidP="004A7D97" w14:paraId="79604603" w14:textId="67166A5C">
            <w:pPr>
              <w:pStyle w:val="EQRTableText"/>
            </w:pPr>
            <w:r w:rsidRPr="00990D3B">
              <w:t xml:space="preserve">Step 8. </w:t>
            </w:r>
            <w:r w:rsidRPr="00990D3B">
              <w:rPr>
                <w:iCs/>
              </w:rPr>
              <w:t>Assess the Improvement Strategies</w:t>
            </w:r>
          </w:p>
        </w:tc>
        <w:tc>
          <w:tcPr>
            <w:tcW w:w="1249" w:type="pct"/>
          </w:tcPr>
          <w:p w:rsidR="004A7D97" w:rsidRPr="00990D3B" w:rsidP="004A7D97" w14:paraId="7D6AE329" w14:textId="50551F00">
            <w:pPr>
              <w:pStyle w:val="EQRTableText"/>
              <w:rPr>
                <w:szCs w:val="18"/>
              </w:rPr>
            </w:pPr>
            <w:hyperlink w:anchor="WSp1n8" w:tooltip="Worksheet 1.8" w:history="1">
              <w:r w:rsidRPr="00990D3B">
                <w:rPr>
                  <w:rStyle w:val="Hyperlink"/>
                </w:rPr>
                <w:t>Worksheet 1.8</w:t>
              </w:r>
            </w:hyperlink>
          </w:p>
        </w:tc>
      </w:tr>
      <w:tr w14:paraId="149E0311" w14:textId="77777777" w:rsidTr="00625CBC">
        <w:tblPrEx>
          <w:tblW w:w="5000" w:type="pct"/>
          <w:tblLook w:val="0620"/>
        </w:tblPrEx>
        <w:tc>
          <w:tcPr>
            <w:tcW w:w="1778" w:type="pct"/>
          </w:tcPr>
          <w:p w:rsidR="004A7D97" w:rsidRPr="00990D3B" w:rsidP="004A7D97" w14:paraId="31953544" w14:textId="7EE4CC73">
            <w:pPr>
              <w:pStyle w:val="EQRTableText"/>
              <w:rPr>
                <w:rFonts w:cs="Arial"/>
                <w:szCs w:val="18"/>
              </w:rPr>
            </w:pPr>
            <w:r w:rsidRPr="00990D3B">
              <w:rPr>
                <w:rFonts w:cs="Arial"/>
              </w:rPr>
              <w:t>Activity 9. Assess Whether Significant and Sustained Improvement Occurred</w:t>
            </w:r>
          </w:p>
        </w:tc>
        <w:tc>
          <w:tcPr>
            <w:tcW w:w="1973" w:type="pct"/>
          </w:tcPr>
          <w:p w:rsidR="004A7D97" w:rsidRPr="00990D3B" w:rsidP="004A7D97" w14:paraId="44293643" w14:textId="2A8452F6">
            <w:pPr>
              <w:pStyle w:val="EQRTableText"/>
            </w:pPr>
            <w:r w:rsidRPr="00990D3B">
              <w:t xml:space="preserve">Step 9. </w:t>
            </w:r>
            <w:r w:rsidRPr="00990D3B">
              <w:rPr>
                <w:iCs/>
              </w:rPr>
              <w:t>Assess the Likelihood that Significant and Sustained Improvement Occurred</w:t>
            </w:r>
          </w:p>
        </w:tc>
        <w:tc>
          <w:tcPr>
            <w:tcW w:w="1249" w:type="pct"/>
          </w:tcPr>
          <w:p w:rsidR="004A7D97" w:rsidRPr="00990D3B" w:rsidP="004A7D97" w14:paraId="7C1389E5" w14:textId="53DDF94D">
            <w:pPr>
              <w:pStyle w:val="EQRTableText"/>
              <w:rPr>
                <w:szCs w:val="18"/>
              </w:rPr>
            </w:pPr>
            <w:hyperlink w:anchor="WSp1n9" w:tooltip="Worksheet 1.9" w:history="1">
              <w:r w:rsidRPr="00990D3B">
                <w:rPr>
                  <w:rStyle w:val="Hyperlink"/>
                </w:rPr>
                <w:t>Worksheet 1.9</w:t>
              </w:r>
            </w:hyperlink>
          </w:p>
        </w:tc>
      </w:tr>
    </w:tbl>
    <w:p w:rsidR="004959A0" w:rsidRPr="00990D3B" w:rsidP="004E5005" w14:paraId="05737016" w14:textId="0778FE5B">
      <w:pPr>
        <w:pStyle w:val="ParagraphContinued"/>
      </w:pPr>
      <w:r w:rsidRPr="00990D3B">
        <w:t xml:space="preserve">Three supplemental resources are available to help </w:t>
      </w:r>
      <w:r w:rsidRPr="00990D3B" w:rsidR="001D1ECB">
        <w:t>EQROs design</w:t>
      </w:r>
      <w:r w:rsidRPr="00990D3B">
        <w:t xml:space="preserve"> and implement additional PIPs</w:t>
      </w:r>
      <w:r w:rsidRPr="00990D3B" w:rsidR="00161D2B">
        <w:t xml:space="preserve"> which can </w:t>
      </w:r>
      <w:r w:rsidRPr="00990D3B" w:rsidR="00807870">
        <w:t>lead to significant and sustain</w:t>
      </w:r>
      <w:r w:rsidRPr="00990D3B" w:rsidR="00161D2B">
        <w:t>ed improvement in health care delivery processes and outcomes:</w:t>
      </w:r>
    </w:p>
    <w:p w:rsidR="004959A0" w:rsidRPr="00990D3B" w:rsidP="00FB7CAF" w14:paraId="389FB47D" w14:textId="75204743">
      <w:pPr>
        <w:pStyle w:val="EQRBulletBLUE"/>
        <w:rPr>
          <w:rStyle w:val="Hyperlink"/>
        </w:rPr>
      </w:pPr>
      <w:hyperlink w:anchor="Protocol1" w:tooltip="Protocol 1. Validation of Performance Improvement Projects" w:history="1">
        <w:r w:rsidRPr="00990D3B">
          <w:rPr>
            <w:rStyle w:val="Hyperlink"/>
          </w:rPr>
          <w:t>Protocol 1. Validation of Performance Improvement Projects</w:t>
        </w:r>
      </w:hyperlink>
    </w:p>
    <w:p w:rsidR="004959A0" w:rsidRPr="00990D3B" w:rsidP="00FB7CAF" w14:paraId="61DBF799" w14:textId="049314E2">
      <w:pPr>
        <w:pStyle w:val="EQRBulletBLUE"/>
        <w:rPr>
          <w:rStyle w:val="Hyperlink"/>
        </w:rPr>
      </w:pPr>
      <w:hyperlink w:anchor="WSp1" w:tooltip="Worksheets for Protocol 1. PIP Validation Tools and Reporting Framework" w:history="1">
        <w:r w:rsidRPr="00990D3B">
          <w:rPr>
            <w:rStyle w:val="Hyperlink"/>
          </w:rPr>
          <w:t>Worksheets for Protocol 1. PIP Validation Tools and Reporting Framework</w:t>
        </w:r>
      </w:hyperlink>
    </w:p>
    <w:p w:rsidR="004959A0" w:rsidRPr="00990D3B" w:rsidP="00FB7CAF" w14:paraId="4EB6A0C4" w14:textId="27A5F23A">
      <w:pPr>
        <w:pStyle w:val="EQRBulletBLUE"/>
        <w:rPr>
          <w:rStyle w:val="Hyperlink"/>
        </w:rPr>
      </w:pPr>
      <w:hyperlink w:anchor="AppC" w:tooltip="Appendix C. Sampling Approaches for EQR Data Collection Activities" w:history="1">
        <w:r w:rsidRPr="00990D3B">
          <w:rPr>
            <w:rStyle w:val="Hyperlink"/>
          </w:rPr>
          <w:t xml:space="preserve">Appendix </w:t>
        </w:r>
        <w:r w:rsidRPr="00990D3B" w:rsidR="00875181">
          <w:rPr>
            <w:rStyle w:val="Hyperlink"/>
          </w:rPr>
          <w:t>C</w:t>
        </w:r>
        <w:r w:rsidRPr="00990D3B">
          <w:rPr>
            <w:rStyle w:val="Hyperlink"/>
          </w:rPr>
          <w:t>. Sampling Approaches for EQR Data Collection Activities</w:t>
        </w:r>
      </w:hyperlink>
      <w:r w:rsidRPr="00990D3B">
        <w:rPr>
          <w:rStyle w:val="Hyperlink"/>
        </w:rPr>
        <w:t xml:space="preserve">  </w:t>
      </w:r>
    </w:p>
    <w:p w:rsidR="00C55FA6" w:rsidRPr="00990D3B" w:rsidP="007749E7" w14:paraId="30A73099" w14:textId="6242CC58">
      <w:pPr>
        <w:pStyle w:val="H2"/>
      </w:pPr>
      <w:bookmarkStart w:id="870" w:name="P8A1"/>
      <w:bookmarkStart w:id="871" w:name="_Toc14777745"/>
      <w:bookmarkStart w:id="872" w:name="_Toc183005643"/>
      <w:bookmarkStart w:id="873" w:name="_Toc201751413"/>
      <w:r w:rsidRPr="00990D3B">
        <w:t>Activity 1</w:t>
      </w:r>
      <w:bookmarkEnd w:id="870"/>
      <w:r w:rsidRPr="00990D3B">
        <w:t xml:space="preserve">: Select the </w:t>
      </w:r>
      <w:r w:rsidRPr="00990D3B" w:rsidR="00C31755">
        <w:t>PIP</w:t>
      </w:r>
      <w:r w:rsidRPr="00990D3B">
        <w:t xml:space="preserve"> Topic</w:t>
      </w:r>
      <w:bookmarkEnd w:id="871"/>
      <w:bookmarkEnd w:id="872"/>
      <w:bookmarkEnd w:id="873"/>
    </w:p>
    <w:p w:rsidR="001A421F" w:rsidRPr="00990D3B" w:rsidP="004E5005" w14:paraId="71725214" w14:textId="1E6DF21D">
      <w:pPr>
        <w:pStyle w:val="ParagraphContinued"/>
      </w:pPr>
      <w:bookmarkStart w:id="874" w:name="_Toc325368121"/>
      <w:r w:rsidRPr="00990D3B">
        <w:t xml:space="preserve">Additional PIP topics should target improvement in clinical </w:t>
      </w:r>
      <w:r w:rsidRPr="00990D3B" w:rsidR="00161D2B">
        <w:t>and/</w:t>
      </w:r>
      <w:r w:rsidRPr="00990D3B">
        <w:t xml:space="preserve">or </w:t>
      </w:r>
      <w:r w:rsidRPr="00990D3B" w:rsidR="00D72373">
        <w:t>non-clinical</w:t>
      </w:r>
      <w:r w:rsidRPr="00990D3B">
        <w:t xml:space="preserve"> services provided to Medicaid and CHIP enrollees in the state. Selected topics should reflect the characteristics of </w:t>
      </w:r>
      <w:r w:rsidRPr="00990D3B" w:rsidR="00832946">
        <w:t>Medicaid and CHIP</w:t>
      </w:r>
      <w:r w:rsidRPr="00990D3B">
        <w:t xml:space="preserve"> </w:t>
      </w:r>
      <w:r w:rsidRPr="00990D3B">
        <w:t>enrollees</w:t>
      </w:r>
      <w:r w:rsidRPr="00990D3B">
        <w:t xml:space="preserve"> in terms of demographics, prevalence of disease, and the potential consequences of the disease. It is recommended that PIP topics align with the CMS</w:t>
      </w:r>
      <w:r w:rsidRPr="00990D3B" w:rsidR="00221A70">
        <w:t>-identified priorities for quality improvement</w:t>
      </w:r>
      <w:r w:rsidRPr="00990D3B" w:rsidR="003162DF">
        <w:rPr>
          <w:rFonts w:ascii="ZWAdobeF" w:hAnsi="ZWAdobeF" w:cs="ZWAdobeF"/>
          <w:sz w:val="2"/>
          <w:szCs w:val="2"/>
        </w:rPr>
        <w:t>80F</w:t>
      </w:r>
      <w:r>
        <w:rPr>
          <w:rStyle w:val="FootnoteReference"/>
          <w:rFonts w:cs="Arial"/>
          <w:szCs w:val="22"/>
        </w:rPr>
        <w:footnoteReference w:id="88"/>
      </w:r>
      <w:r w:rsidRPr="00990D3B">
        <w:t xml:space="preserve"> and the state’s managed care quality strategy. The </w:t>
      </w:r>
      <w:r w:rsidRPr="00990D3B" w:rsidR="00161D2B">
        <w:t xml:space="preserve">EQRO </w:t>
      </w:r>
      <w:r w:rsidRPr="00990D3B">
        <w:t xml:space="preserve">should also review </w:t>
      </w:r>
      <w:r w:rsidRPr="00990D3B" w:rsidR="00161D2B">
        <w:t xml:space="preserve">the state’s </w:t>
      </w:r>
      <w:r w:rsidRPr="00990D3B" w:rsidR="00C03E4A">
        <w:t xml:space="preserve">previous EQRs and </w:t>
      </w:r>
      <w:r w:rsidRPr="00990D3B">
        <w:t xml:space="preserve">performance on the CMS </w:t>
      </w:r>
      <w:r w:rsidRPr="00990D3B" w:rsidR="002D7861">
        <w:t>Child and Adult Core Set measures</w:t>
      </w:r>
      <w:r w:rsidRPr="00990D3B">
        <w:t xml:space="preserve"> to identify measures whose performance could be impacted by a managed care PIP.</w:t>
      </w:r>
      <w:r w:rsidRPr="00990D3B" w:rsidR="003162DF">
        <w:rPr>
          <w:rFonts w:ascii="ZWAdobeF" w:hAnsi="ZWAdobeF" w:cs="ZWAdobeF"/>
          <w:sz w:val="2"/>
          <w:szCs w:val="2"/>
        </w:rPr>
        <w:t>81F</w:t>
      </w:r>
      <w:r>
        <w:rPr>
          <w:rStyle w:val="FootnoteReference"/>
          <w:rFonts w:cs="Arial"/>
          <w:szCs w:val="22"/>
        </w:rPr>
        <w:footnoteReference w:id="89"/>
      </w:r>
      <w:r w:rsidRPr="00990D3B">
        <w:t xml:space="preserve"> Additional PIPs can be used to help drive improvement on these measures. For more information about selecting a </w:t>
      </w:r>
      <w:r w:rsidRPr="00990D3B" w:rsidR="00C31755">
        <w:t>PIP</w:t>
      </w:r>
      <w:r w:rsidRPr="00990D3B">
        <w:t xml:space="preserve"> topic, see </w:t>
      </w:r>
      <w:hyperlink w:anchor="P1A1Step1" w:history="1">
        <w:r w:rsidRPr="00990D3B">
          <w:rPr>
            <w:rStyle w:val="Hyperlink"/>
          </w:rPr>
          <w:t>Protocol 1, Activity 1, Step 1</w:t>
        </w:r>
      </w:hyperlink>
      <w:r w:rsidRPr="00990D3B">
        <w:t>.</w:t>
      </w:r>
    </w:p>
    <w:p w:rsidR="00C55FA6" w:rsidRPr="00990D3B" w:rsidP="007749E7" w14:paraId="3786457A" w14:textId="175FEE3E">
      <w:pPr>
        <w:pStyle w:val="H2"/>
      </w:pPr>
      <w:bookmarkStart w:id="875" w:name="P8A2"/>
      <w:bookmarkStart w:id="876" w:name="_Toc14777746"/>
      <w:bookmarkStart w:id="877" w:name="_Toc183005644"/>
      <w:bookmarkStart w:id="878" w:name="_Toc201751414"/>
      <w:r w:rsidRPr="00990D3B">
        <w:t>A</w:t>
      </w:r>
      <w:r w:rsidRPr="00990D3B" w:rsidR="004A4DED">
        <w:t>ctivity</w:t>
      </w:r>
      <w:r w:rsidRPr="00990D3B">
        <w:t xml:space="preserve"> 2</w:t>
      </w:r>
      <w:bookmarkEnd w:id="875"/>
      <w:r w:rsidRPr="00990D3B">
        <w:t>: D</w:t>
      </w:r>
      <w:r w:rsidRPr="00990D3B" w:rsidR="004A4DED">
        <w:t xml:space="preserve">efine the </w:t>
      </w:r>
      <w:r w:rsidRPr="00990D3B" w:rsidR="00B2532C">
        <w:t>PIP</w:t>
      </w:r>
      <w:r w:rsidRPr="00990D3B" w:rsidR="004A4DED">
        <w:t xml:space="preserve"> </w:t>
      </w:r>
      <w:bookmarkEnd w:id="874"/>
      <w:r w:rsidRPr="00990D3B" w:rsidR="00916BCA">
        <w:t>Aim Statement</w:t>
      </w:r>
      <w:bookmarkEnd w:id="876"/>
      <w:bookmarkEnd w:id="877"/>
      <w:bookmarkEnd w:id="878"/>
    </w:p>
    <w:p w:rsidR="00C55FA6" w:rsidRPr="00990D3B" w:rsidP="004E5005" w14:paraId="352430C3" w14:textId="00C26668">
      <w:pPr>
        <w:pStyle w:val="ParagraphContinued"/>
      </w:pPr>
      <w:r w:rsidRPr="00990D3B">
        <w:t xml:space="preserve">The </w:t>
      </w:r>
      <w:r w:rsidRPr="00990D3B" w:rsidR="00B2532C">
        <w:t>PIP</w:t>
      </w:r>
      <w:r w:rsidRPr="00990D3B">
        <w:t xml:space="preserve"> </w:t>
      </w:r>
      <w:r w:rsidRPr="00990D3B" w:rsidR="00E579C0">
        <w:t>aim</w:t>
      </w:r>
      <w:r w:rsidRPr="00990D3B" w:rsidR="00504872">
        <w:t xml:space="preserve"> statement </w:t>
      </w:r>
      <w:r w:rsidRPr="00990D3B">
        <w:t xml:space="preserve">identifies the focus of the </w:t>
      </w:r>
      <w:r w:rsidRPr="00990D3B" w:rsidR="00B2532C">
        <w:t>PIP</w:t>
      </w:r>
      <w:r w:rsidRPr="00990D3B">
        <w:t xml:space="preserve"> and establishes the framework for data collection and analysis. The </w:t>
      </w:r>
      <w:r w:rsidRPr="00990D3B" w:rsidR="00B2532C">
        <w:t>PIP</w:t>
      </w:r>
      <w:r w:rsidRPr="00990D3B">
        <w:t xml:space="preserve"> </w:t>
      </w:r>
      <w:r w:rsidRPr="00990D3B" w:rsidR="00E579C0">
        <w:t>aim</w:t>
      </w:r>
      <w:r w:rsidRPr="00990D3B" w:rsidR="00504872">
        <w:t xml:space="preserve"> statement </w:t>
      </w:r>
      <w:r w:rsidRPr="00990D3B">
        <w:t xml:space="preserve">should define the improvement strategy, population, and </w:t>
      </w:r>
      <w:r w:rsidRPr="00990D3B">
        <w:t>time period</w:t>
      </w:r>
      <w:r w:rsidRPr="00990D3B">
        <w:t xml:space="preserve">. It should be clear, concise, and answerable. When identifying the </w:t>
      </w:r>
      <w:r w:rsidRPr="00990D3B" w:rsidR="00B2532C">
        <w:t>PIP</w:t>
      </w:r>
      <w:r w:rsidRPr="00990D3B">
        <w:t xml:space="preserve"> </w:t>
      </w:r>
      <w:r w:rsidRPr="00990D3B" w:rsidR="002B6A63">
        <w:t>aim</w:t>
      </w:r>
      <w:r w:rsidRPr="00990D3B" w:rsidR="00504872">
        <w:t xml:space="preserve"> statement</w:t>
      </w:r>
      <w:r w:rsidRPr="00990D3B">
        <w:t>, potential sources of information include:</w:t>
      </w:r>
    </w:p>
    <w:p w:rsidR="00C55FA6" w:rsidRPr="00990D3B" w:rsidP="00FB7CAF" w14:paraId="486F81B4" w14:textId="205E3DF2">
      <w:pPr>
        <w:pStyle w:val="EQRBulletBLUE"/>
      </w:pPr>
      <w:r w:rsidRPr="00990D3B">
        <w:t xml:space="preserve">State performance on </w:t>
      </w:r>
      <w:r w:rsidRPr="00990D3B" w:rsidR="001D1ECB">
        <w:t xml:space="preserve">the </w:t>
      </w:r>
      <w:r w:rsidRPr="00990D3B">
        <w:t>Child and Adult Core Set</w:t>
      </w:r>
      <w:r w:rsidRPr="00990D3B" w:rsidR="00916BCA">
        <w:t>s</w:t>
      </w:r>
      <w:r w:rsidRPr="00990D3B" w:rsidR="00DE07DC">
        <w:t>.</w:t>
      </w:r>
      <w:r w:rsidRPr="00990D3B">
        <w:t xml:space="preserve"> </w:t>
      </w:r>
    </w:p>
    <w:p w:rsidR="00C55FA6" w:rsidRPr="00990D3B" w:rsidP="00FB7CAF" w14:paraId="78CFC090" w14:textId="5A7B2901">
      <w:pPr>
        <w:pStyle w:val="EQRBulletBLUE"/>
      </w:pPr>
      <w:r w:rsidRPr="00990D3B">
        <w:t>State data relevant to the topic being studied</w:t>
      </w:r>
      <w:r w:rsidRPr="00990D3B" w:rsidR="00DE07DC">
        <w:t>.</w:t>
      </w:r>
    </w:p>
    <w:p w:rsidR="00C55FA6" w:rsidRPr="00990D3B" w:rsidP="00FB7CAF" w14:paraId="551B3CE9" w14:textId="41E0FF21">
      <w:pPr>
        <w:pStyle w:val="EQRBulletBLUE"/>
      </w:pPr>
      <w:r w:rsidRPr="00990D3B">
        <w:t>MCP data relevant to the topic being studied</w:t>
      </w:r>
      <w:r w:rsidRPr="00990D3B" w:rsidR="00DE07DC">
        <w:t>.</w:t>
      </w:r>
    </w:p>
    <w:p w:rsidR="00C55FA6" w:rsidRPr="00990D3B" w:rsidP="00FB7CAF" w14:paraId="10FCA65E" w14:textId="6FA860D0">
      <w:pPr>
        <w:pStyle w:val="EQRBulletBLUE"/>
      </w:pPr>
      <w:r w:rsidRPr="00990D3B">
        <w:t>Enrollee</w:t>
      </w:r>
      <w:r w:rsidRPr="00990D3B">
        <w:t xml:space="preserve"> focus groups or surveys</w:t>
      </w:r>
      <w:r w:rsidRPr="00990D3B" w:rsidR="00DE07DC">
        <w:t>.</w:t>
      </w:r>
    </w:p>
    <w:p w:rsidR="00C55FA6" w:rsidRPr="00990D3B" w:rsidP="00FB7CAF" w14:paraId="478710F5" w14:textId="299704E0">
      <w:pPr>
        <w:pStyle w:val="EQRBulletBLUE"/>
      </w:pPr>
      <w:r w:rsidRPr="00990D3B">
        <w:t>Relevant clinical literature on recommended care and external benchmarks</w:t>
      </w:r>
      <w:bookmarkStart w:id="879" w:name="_Toc325044805"/>
      <w:r w:rsidRPr="00990D3B" w:rsidR="00DE07DC">
        <w:t>.</w:t>
      </w:r>
    </w:p>
    <w:p w:rsidR="00C55FA6" w:rsidRPr="00990D3B" w:rsidP="004E5005" w14:paraId="23A2524F" w14:textId="01EE0E8E">
      <w:pPr>
        <w:pStyle w:val="ParagraphContinued"/>
      </w:pPr>
      <w:r w:rsidRPr="00990D3B">
        <w:t xml:space="preserve">For more information about developing the </w:t>
      </w:r>
      <w:r w:rsidRPr="00990D3B" w:rsidR="00B2532C">
        <w:t>PIP</w:t>
      </w:r>
      <w:r w:rsidRPr="00990D3B">
        <w:t xml:space="preserve"> </w:t>
      </w:r>
      <w:r w:rsidRPr="00990D3B" w:rsidR="002B6A63">
        <w:t>aim</w:t>
      </w:r>
      <w:r w:rsidRPr="00990D3B" w:rsidR="00504872">
        <w:t xml:space="preserve"> statement</w:t>
      </w:r>
      <w:r w:rsidRPr="00990D3B">
        <w:t xml:space="preserve">, see </w:t>
      </w:r>
      <w:hyperlink w:anchor="P1A1Step2" w:tooltip="Protocol 1, Activity 1, Step 2" w:history="1">
        <w:r w:rsidRPr="00990D3B">
          <w:rPr>
            <w:rStyle w:val="Hyperlink"/>
          </w:rPr>
          <w:t>Protocol 1, Activity 1, Step 2</w:t>
        </w:r>
      </w:hyperlink>
      <w:r w:rsidRPr="00990D3B">
        <w:t>.</w:t>
      </w:r>
    </w:p>
    <w:p w:rsidR="00C55FA6" w:rsidRPr="00990D3B" w:rsidP="007749E7" w14:paraId="253C693B" w14:textId="5C21EF9A">
      <w:pPr>
        <w:pStyle w:val="H2"/>
      </w:pPr>
      <w:bookmarkStart w:id="880" w:name="P8A3"/>
      <w:bookmarkStart w:id="881" w:name="_Toc14777747"/>
      <w:bookmarkStart w:id="882" w:name="_Toc183005645"/>
      <w:bookmarkStart w:id="883" w:name="_Toc201751415"/>
      <w:r w:rsidRPr="00990D3B">
        <w:t>A</w:t>
      </w:r>
      <w:r w:rsidRPr="00990D3B" w:rsidR="004A4DED">
        <w:t>ctivity</w:t>
      </w:r>
      <w:r w:rsidRPr="00990D3B">
        <w:t xml:space="preserve"> 3</w:t>
      </w:r>
      <w:bookmarkEnd w:id="880"/>
      <w:r w:rsidRPr="00990D3B">
        <w:t>: I</w:t>
      </w:r>
      <w:r w:rsidRPr="00990D3B" w:rsidR="009362FE">
        <w:t>dentify</w:t>
      </w:r>
      <w:r w:rsidRPr="00990D3B">
        <w:t xml:space="preserve"> </w:t>
      </w:r>
      <w:r w:rsidRPr="00990D3B" w:rsidR="009362FE">
        <w:t xml:space="preserve">the </w:t>
      </w:r>
      <w:r w:rsidRPr="00990D3B" w:rsidR="00B2532C">
        <w:t>PIP</w:t>
      </w:r>
      <w:r w:rsidRPr="00990D3B">
        <w:t xml:space="preserve"> P</w:t>
      </w:r>
      <w:bookmarkEnd w:id="879"/>
      <w:r w:rsidRPr="00990D3B" w:rsidR="009362FE">
        <w:t>opulation</w:t>
      </w:r>
      <w:bookmarkEnd w:id="881"/>
      <w:bookmarkEnd w:id="882"/>
      <w:bookmarkEnd w:id="883"/>
    </w:p>
    <w:p w:rsidR="00C55FA6" w:rsidRPr="00990D3B" w:rsidP="004E5005" w14:paraId="199DCFAE" w14:textId="1F068175">
      <w:pPr>
        <w:pStyle w:val="ParagraphContinued"/>
      </w:pPr>
      <w:r w:rsidRPr="00990D3B">
        <w:t xml:space="preserve">The additional PIP must clearly identify the target population in relation to the </w:t>
      </w:r>
      <w:r w:rsidRPr="00990D3B" w:rsidR="000A6555">
        <w:t xml:space="preserve">PIP </w:t>
      </w:r>
      <w:r w:rsidRPr="00990D3B" w:rsidR="00E579C0">
        <w:t>aim</w:t>
      </w:r>
      <w:r w:rsidRPr="00990D3B" w:rsidR="00504872">
        <w:t xml:space="preserve"> statement</w:t>
      </w:r>
      <w:r w:rsidRPr="00990D3B">
        <w:t xml:space="preserve"> (such as age, length of enrollment, diagnoses, procedures, and other characteristics). Depending on the nature of the </w:t>
      </w:r>
      <w:r w:rsidRPr="00990D3B" w:rsidR="000A6555">
        <w:t xml:space="preserve">PIP </w:t>
      </w:r>
      <w:r w:rsidRPr="00990D3B" w:rsidR="00E579C0">
        <w:t>aim</w:t>
      </w:r>
      <w:r w:rsidRPr="00990D3B" w:rsidR="00504872">
        <w:t xml:space="preserve"> statement</w:t>
      </w:r>
      <w:r w:rsidRPr="00990D3B">
        <w:t xml:space="preserve">, population, and available data, the PIP may include the entire population or a sample of the population. </w:t>
      </w:r>
      <w:r w:rsidRPr="00990D3B" w:rsidR="00817FBD">
        <w:t>PIPs</w:t>
      </w:r>
      <w:r w:rsidRPr="00990D3B">
        <w:t xml:space="preserve"> that rely on existing administrative data, such as claims and encounter data, registry data, or vital records are typically based on the universe of the </w:t>
      </w:r>
      <w:r w:rsidRPr="00990D3B" w:rsidR="00332DA6">
        <w:t>PIP’s</w:t>
      </w:r>
      <w:r w:rsidRPr="00990D3B">
        <w:t xml:space="preserve"> population. </w:t>
      </w:r>
      <w:r w:rsidRPr="00990D3B" w:rsidR="000A6555">
        <w:t>PIPs</w:t>
      </w:r>
      <w:r w:rsidRPr="00990D3B">
        <w:t xml:space="preserve"> that require medical record review typically include a representative sample of the identified population. If a sample is used, go to Activity 4. If the entire population </w:t>
      </w:r>
      <w:r w:rsidRPr="00990D3B">
        <w:t>will be</w:t>
      </w:r>
      <w:r w:rsidRPr="00990D3B">
        <w:t xml:space="preserve"> studied, skip Activity 4 and go to Activity 5. If </w:t>
      </w:r>
      <w:r w:rsidRPr="00990D3B" w:rsidR="0089003E">
        <w:t>Healthcare Effectiveness Data and Information Set (</w:t>
      </w:r>
      <w:r w:rsidRPr="00990D3B">
        <w:t>HEDIS®</w:t>
      </w:r>
      <w:r w:rsidRPr="00990D3B" w:rsidR="0089003E">
        <w:t>)</w:t>
      </w:r>
      <w:r w:rsidRPr="00990D3B">
        <w:t xml:space="preserve"> measures and sampling methodology are used, go to Activity 5. For more information about identifying the </w:t>
      </w:r>
      <w:r w:rsidRPr="00990D3B" w:rsidR="000A6555">
        <w:t>PIP</w:t>
      </w:r>
      <w:r w:rsidRPr="00990D3B">
        <w:t xml:space="preserve"> population, see </w:t>
      </w:r>
      <w:hyperlink w:anchor="P1A1Step3" w:tooltip="Protocol 1, Activity 1, Step 3" w:history="1">
        <w:r w:rsidRPr="00990D3B">
          <w:rPr>
            <w:rStyle w:val="Hyperlink"/>
          </w:rPr>
          <w:t>Protocol</w:t>
        </w:r>
        <w:r w:rsidRPr="00990D3B" w:rsidR="00A94E0D">
          <w:rPr>
            <w:rStyle w:val="Hyperlink"/>
          </w:rPr>
          <w:t> </w:t>
        </w:r>
        <w:r w:rsidRPr="00990D3B">
          <w:rPr>
            <w:rStyle w:val="Hyperlink"/>
          </w:rPr>
          <w:t>1, Activity 1, Step 3</w:t>
        </w:r>
      </w:hyperlink>
      <w:r w:rsidRPr="00990D3B">
        <w:t>.</w:t>
      </w:r>
    </w:p>
    <w:p w:rsidR="00C55FA6" w:rsidRPr="00990D3B" w:rsidP="00D23852" w14:paraId="5635187B" w14:textId="6D40FFED">
      <w:pPr>
        <w:pStyle w:val="H2"/>
      </w:pPr>
      <w:bookmarkStart w:id="884" w:name="P8A4"/>
      <w:bookmarkStart w:id="885" w:name="_Toc325044807"/>
      <w:bookmarkStart w:id="886" w:name="_Toc14777748"/>
      <w:bookmarkStart w:id="887" w:name="_Toc183005646"/>
      <w:bookmarkStart w:id="888" w:name="_Toc201751416"/>
      <w:r w:rsidRPr="00990D3B">
        <w:t>A</w:t>
      </w:r>
      <w:r w:rsidRPr="00990D3B" w:rsidR="004A4DED">
        <w:t>ctivity 4</w:t>
      </w:r>
      <w:bookmarkEnd w:id="884"/>
      <w:r w:rsidRPr="00990D3B">
        <w:t xml:space="preserve">: </w:t>
      </w:r>
      <w:r w:rsidRPr="00990D3B" w:rsidR="009362FE">
        <w:t>Use</w:t>
      </w:r>
      <w:r w:rsidRPr="00990D3B">
        <w:t xml:space="preserve"> </w:t>
      </w:r>
      <w:r w:rsidRPr="00990D3B" w:rsidR="00AC0B6D">
        <w:t>S</w:t>
      </w:r>
      <w:r w:rsidRPr="00990D3B" w:rsidR="009362FE">
        <w:t>ound</w:t>
      </w:r>
      <w:r w:rsidRPr="00990D3B">
        <w:t xml:space="preserve"> </w:t>
      </w:r>
      <w:r w:rsidRPr="00990D3B" w:rsidR="00AC0B6D">
        <w:t>S</w:t>
      </w:r>
      <w:r w:rsidRPr="00990D3B">
        <w:t xml:space="preserve">ampling </w:t>
      </w:r>
      <w:r w:rsidRPr="00990D3B" w:rsidR="00AC0B6D">
        <w:t>M</w:t>
      </w:r>
      <w:r w:rsidRPr="00990D3B">
        <w:t>ethods</w:t>
      </w:r>
      <w:bookmarkEnd w:id="885"/>
      <w:bookmarkEnd w:id="886"/>
      <w:bookmarkEnd w:id="887"/>
      <w:bookmarkEnd w:id="888"/>
    </w:p>
    <w:p w:rsidR="00C55FA6" w:rsidRPr="00990D3B" w:rsidP="004E5005" w14:paraId="4DF91175" w14:textId="4C0857D6">
      <w:pPr>
        <w:pStyle w:val="ParagraphContinued"/>
      </w:pPr>
      <w:r w:rsidRPr="00990D3B">
        <w:t xml:space="preserve">Appropriate sampling methods are necessary to ensure the collection of information that produces valid and reliable results. Refer to </w:t>
      </w:r>
      <w:hyperlink w:anchor="AppC" w:tooltip="Appendix C" w:history="1">
        <w:r w:rsidRPr="00990D3B" w:rsidR="006D10B9">
          <w:rPr>
            <w:rStyle w:val="Hyperlink"/>
          </w:rPr>
          <w:t>Appendix C</w:t>
        </w:r>
      </w:hyperlink>
      <w:r w:rsidRPr="00990D3B">
        <w:t xml:space="preserve"> for an overview of sampling methodologies applicable to PIPs. When HEDIS® measures are used and sampling is required (e.g., for measures calculated using the hybrid method), HEDIS® sampling methodology should be used. For more information about sampling approaches for EQR activities, see </w:t>
      </w:r>
      <w:hyperlink w:anchor="P2A1Step4" w:tooltip="Protocol 1, Activity 1, Step 4" w:history="1">
        <w:r w:rsidRPr="00990D3B">
          <w:rPr>
            <w:rStyle w:val="Hyperlink"/>
          </w:rPr>
          <w:t>Protocol 1, Activity 1, Step 4</w:t>
        </w:r>
      </w:hyperlink>
      <w:r w:rsidRPr="00990D3B">
        <w:t xml:space="preserve">, and </w:t>
      </w:r>
      <w:hyperlink w:anchor="AppC" w:tooltip="Appendix C" w:history="1">
        <w:r w:rsidRPr="00990D3B" w:rsidR="006D10B9">
          <w:rPr>
            <w:rStyle w:val="Hyperlink"/>
          </w:rPr>
          <w:t>Appendix C</w:t>
        </w:r>
      </w:hyperlink>
      <w:r w:rsidRPr="00990D3B">
        <w:t>.</w:t>
      </w:r>
    </w:p>
    <w:p w:rsidR="00C55FA6" w:rsidRPr="00990D3B" w:rsidP="00D23852" w14:paraId="671F891F" w14:textId="206C0098">
      <w:pPr>
        <w:pStyle w:val="H2"/>
      </w:pPr>
      <w:bookmarkStart w:id="889" w:name="P8A5"/>
      <w:bookmarkStart w:id="890" w:name="_Toc14777749"/>
      <w:bookmarkStart w:id="891" w:name="_Toc183005647"/>
      <w:bookmarkStart w:id="892" w:name="_Toc201751417"/>
      <w:r w:rsidRPr="00990D3B">
        <w:t>A</w:t>
      </w:r>
      <w:r w:rsidRPr="00990D3B" w:rsidR="004A4DED">
        <w:t>ctivity</w:t>
      </w:r>
      <w:r w:rsidRPr="00990D3B">
        <w:t xml:space="preserve"> 5</w:t>
      </w:r>
      <w:bookmarkEnd w:id="889"/>
      <w:r w:rsidRPr="00990D3B">
        <w:t>: S</w:t>
      </w:r>
      <w:r w:rsidRPr="00990D3B" w:rsidR="009362FE">
        <w:t xml:space="preserve">elect the </w:t>
      </w:r>
      <w:r w:rsidRPr="00990D3B" w:rsidR="000A6555">
        <w:t>PIP</w:t>
      </w:r>
      <w:r w:rsidRPr="00990D3B" w:rsidR="009362FE">
        <w:t xml:space="preserve"> Variables</w:t>
      </w:r>
      <w:bookmarkEnd w:id="890"/>
      <w:bookmarkEnd w:id="891"/>
      <w:bookmarkEnd w:id="892"/>
    </w:p>
    <w:p w:rsidR="00C55FA6" w:rsidRPr="00990D3B" w:rsidP="004E5005" w14:paraId="3FDC5F60" w14:textId="03431953">
      <w:pPr>
        <w:pStyle w:val="ParagraphContinued"/>
      </w:pPr>
      <w:r w:rsidRPr="00990D3B">
        <w:t xml:space="preserve">The next step is to select the </w:t>
      </w:r>
      <w:r w:rsidRPr="00990D3B" w:rsidR="000A6555">
        <w:t>PIP</w:t>
      </w:r>
      <w:r w:rsidRPr="00990D3B">
        <w:t xml:space="preserve"> variables. </w:t>
      </w:r>
      <w:r w:rsidRPr="00990D3B" w:rsidR="000A6555">
        <w:t>V</w:t>
      </w:r>
      <w:r w:rsidRPr="00990D3B">
        <w:t xml:space="preserve">ariables can take a variety of forms as long as the selected variables measure performance on the </w:t>
      </w:r>
      <w:r w:rsidRPr="00990D3B" w:rsidR="000A6555">
        <w:t>PIP</w:t>
      </w:r>
      <w:r w:rsidRPr="00990D3B">
        <w:t xml:space="preserve"> </w:t>
      </w:r>
      <w:r w:rsidRPr="00990D3B" w:rsidR="00E579C0">
        <w:t>aim</w:t>
      </w:r>
      <w:r w:rsidRPr="00990D3B" w:rsidR="00504872">
        <w:t xml:space="preserve"> statement</w:t>
      </w:r>
      <w:r w:rsidRPr="00990D3B">
        <w:t xml:space="preserve"> objectively and reliably and </w:t>
      </w:r>
      <w:r w:rsidRPr="00990D3B">
        <w:t xml:space="preserve">use clearly defined indicators of performance. The additional PIP should include the number and type of </w:t>
      </w:r>
      <w:r w:rsidRPr="00990D3B" w:rsidR="000A6555">
        <w:t>PIP</w:t>
      </w:r>
      <w:r w:rsidRPr="00990D3B">
        <w:t xml:space="preserve"> variables that are adequate to answer the </w:t>
      </w:r>
      <w:r w:rsidRPr="00990D3B" w:rsidR="000A6555">
        <w:t>PIP</w:t>
      </w:r>
      <w:r w:rsidRPr="00990D3B">
        <w:t xml:space="preserve"> </w:t>
      </w:r>
      <w:r w:rsidRPr="00990D3B" w:rsidR="00E579C0">
        <w:t>aim</w:t>
      </w:r>
      <w:r w:rsidRPr="00990D3B" w:rsidR="00504872">
        <w:t xml:space="preserve"> statement</w:t>
      </w:r>
      <w:r w:rsidRPr="00990D3B">
        <w:t xml:space="preserve"> and for which appropriate and reliable data are available to measure performance and track improvement over time. </w:t>
      </w:r>
      <w:r w:rsidRPr="00990D3B" w:rsidR="006F091E">
        <w:t xml:space="preserve">Data availability should also be considered </w:t>
      </w:r>
      <w:r w:rsidRPr="00990D3B" w:rsidR="00CE4C7D">
        <w:t xml:space="preserve">when selecting </w:t>
      </w:r>
      <w:r w:rsidRPr="00990D3B" w:rsidR="00817FBD">
        <w:t>PIP</w:t>
      </w:r>
      <w:r w:rsidRPr="00990D3B" w:rsidR="00CE4C7D">
        <w:t xml:space="preserve"> variables, </w:t>
      </w:r>
      <w:r w:rsidRPr="00990D3B" w:rsidR="006F091E">
        <w:t xml:space="preserve">as more frequent access to data, such as on a monthly, quarterly, or semi-annual basis, supports </w:t>
      </w:r>
      <w:r w:rsidRPr="00990D3B" w:rsidR="00A768F0">
        <w:t>continuous</w:t>
      </w:r>
      <w:r w:rsidRPr="00990D3B" w:rsidR="006F091E">
        <w:t xml:space="preserve"> quality improvement and Plan Do Study Act (PDSA) efforts</w:t>
      </w:r>
      <w:r w:rsidRPr="00990D3B" w:rsidR="00CE4C7D">
        <w:t xml:space="preserve"> and can </w:t>
      </w:r>
      <w:r w:rsidRPr="00990D3B" w:rsidR="00CE4C7D">
        <w:t>allow and</w:t>
      </w:r>
      <w:r w:rsidRPr="00990D3B" w:rsidR="00CE4C7D">
        <w:t xml:space="preserve"> MCP or state to correct or revise </w:t>
      </w:r>
      <w:r w:rsidRPr="00990D3B" w:rsidR="00CE4C7D">
        <w:t>course</w:t>
      </w:r>
      <w:r w:rsidRPr="00990D3B" w:rsidR="00CE4C7D">
        <w:t xml:space="preserve"> more quickly, if needed</w:t>
      </w:r>
      <w:r w:rsidRPr="00990D3B" w:rsidR="006F091E">
        <w:t xml:space="preserve">. </w:t>
      </w:r>
      <w:r w:rsidRPr="00990D3B" w:rsidR="00191480">
        <w:t xml:space="preserve">See </w:t>
      </w:r>
      <w:hyperlink w:anchor="Protocol1" w:tooltip="Protocol 1" w:history="1">
        <w:r w:rsidRPr="00990D3B" w:rsidR="00191480">
          <w:rPr>
            <w:rStyle w:val="Hyperlink"/>
          </w:rPr>
          <w:t>Protocol 1</w:t>
        </w:r>
      </w:hyperlink>
      <w:r w:rsidRPr="00990D3B" w:rsidR="00191480">
        <w:t xml:space="preserve"> for more information on PDSA cycles</w:t>
      </w:r>
      <w:r w:rsidRPr="00990D3B" w:rsidR="007E75A3">
        <w:t>.</w:t>
      </w:r>
      <w:r>
        <w:rPr>
          <w:rStyle w:val="FootnoteReference"/>
        </w:rPr>
        <w:footnoteReference w:id="90"/>
      </w:r>
      <w:r w:rsidRPr="00990D3B" w:rsidR="00191480">
        <w:rPr>
          <w:rFonts w:ascii="ZWAdobeF" w:hAnsi="ZWAdobeF" w:cs="ZWAdobeF"/>
          <w:sz w:val="2"/>
          <w:szCs w:val="2"/>
        </w:rPr>
        <w:t>4F</w:t>
      </w:r>
      <w:r w:rsidRPr="00990D3B" w:rsidR="00191480">
        <w:t xml:space="preserve"> </w:t>
      </w:r>
      <w:r w:rsidRPr="00990D3B" w:rsidR="006F091E">
        <w:t xml:space="preserve">CMS encourages states to select </w:t>
      </w:r>
      <w:r w:rsidRPr="00990D3B" w:rsidR="000A6555">
        <w:t>PIP</w:t>
      </w:r>
      <w:r w:rsidRPr="00990D3B" w:rsidR="006F091E">
        <w:t xml:space="preserve"> variables and performance measures that can be examined on at least a semi-annual basis. </w:t>
      </w:r>
    </w:p>
    <w:p w:rsidR="00C55FA6" w:rsidRPr="00990D3B" w:rsidP="004E5005" w14:paraId="0443BC0C" w14:textId="045DFC29">
      <w:pPr>
        <w:pStyle w:val="Paragraph0"/>
      </w:pPr>
      <w:r w:rsidRPr="00990D3B">
        <w:t xml:space="preserve">To the extent possible, CMS encourages EQROs to choose variables for PIPs that reflect health outcomes. Performance measures are then used to measure these outcomes. </w:t>
      </w:r>
      <w:r w:rsidRPr="00990D3B">
        <w:t xml:space="preserve">When selecting </w:t>
      </w:r>
      <w:r w:rsidRPr="00990D3B">
        <w:t>measures</w:t>
      </w:r>
      <w:r w:rsidRPr="00990D3B">
        <w:t xml:space="preserve"> for an additional PIP, first consider existing performance measures because the specifications for these measures often have been refined over time, may reflect current clinical guidance, and may have benchmarks for assessing performance. </w:t>
      </w:r>
      <w:r w:rsidRPr="00990D3B" w:rsidR="001102C3">
        <w:t>CMS encourages the use of the</w:t>
      </w:r>
      <w:r w:rsidRPr="00990D3B">
        <w:t xml:space="preserve"> following existing performance measure sets:</w:t>
      </w:r>
      <w:r w:rsidRPr="00990D3B" w:rsidR="001102C3">
        <w:t xml:space="preserve"> Child and Adult Core Set measures, behavioral health clinic quality measures, and Core Quality Measures Collaborative</w:t>
      </w:r>
      <w:r w:rsidRPr="00990D3B" w:rsidR="001102C3">
        <w:rPr>
          <w:rStyle w:val="Hyperlink"/>
          <w:rFonts w:cs="Arial"/>
          <w:szCs w:val="22"/>
        </w:rPr>
        <w:t>.</w:t>
      </w:r>
      <w:r w:rsidRPr="00990D3B" w:rsidR="003162DF">
        <w:rPr>
          <w:rStyle w:val="Hyperlink"/>
          <w:rFonts w:ascii="ZWAdobeF" w:hAnsi="ZWAdobeF" w:cs="ZWAdobeF"/>
          <w:color w:val="auto"/>
          <w:sz w:val="2"/>
          <w:szCs w:val="2"/>
        </w:rPr>
        <w:t>82F</w:t>
      </w:r>
      <w:r>
        <w:rPr>
          <w:rStyle w:val="FootnoteReference"/>
          <w:szCs w:val="22"/>
        </w:rPr>
        <w:footnoteReference w:id="91"/>
      </w:r>
      <w:r w:rsidRPr="00990D3B" w:rsidR="001102C3">
        <w:rPr>
          <w:rStyle w:val="Hyperlink"/>
          <w:rFonts w:cs="Arial"/>
          <w:szCs w:val="22"/>
        </w:rPr>
        <w:t xml:space="preserve"> </w:t>
      </w:r>
      <w:r w:rsidRPr="00990D3B" w:rsidR="001102C3">
        <w:rPr>
          <w:rStyle w:val="Hyperlink"/>
          <w:rFonts w:cs="Arial"/>
          <w:color w:val="auto"/>
          <w:szCs w:val="22"/>
        </w:rPr>
        <w:t>Other e</w:t>
      </w:r>
      <w:r w:rsidRPr="00990D3B">
        <w:t xml:space="preserve">xamples of existing measures include </w:t>
      </w:r>
      <w:r w:rsidRPr="00990D3B" w:rsidR="0089003E">
        <w:t>National Committee for Quality Assurance’s (</w:t>
      </w:r>
      <w:r w:rsidRPr="00990D3B">
        <w:t>NCQA’s</w:t>
      </w:r>
      <w:r w:rsidRPr="00990D3B" w:rsidR="0089003E">
        <w:t>)</w:t>
      </w:r>
      <w:r w:rsidRPr="00990D3B">
        <w:t xml:space="preserve"> HEDIS® or measures developed by </w:t>
      </w:r>
      <w:r w:rsidRPr="00990D3B" w:rsidR="0089003E">
        <w:t>the Agency for Healthcare Research and Quality (</w:t>
      </w:r>
      <w:r w:rsidRPr="00990D3B">
        <w:t>AHRQ</w:t>
      </w:r>
      <w:r w:rsidRPr="00990D3B" w:rsidR="0089003E">
        <w:t>)</w:t>
      </w:r>
      <w:r w:rsidRPr="00990D3B">
        <w:t xml:space="preserve"> (such as the prevention quality indicators, inpatient quality indicators, patient safety indicators, and pediatric quality indicators).</w:t>
      </w:r>
      <w:r w:rsidRPr="00990D3B" w:rsidR="003162DF">
        <w:rPr>
          <w:rFonts w:ascii="ZWAdobeF" w:hAnsi="ZWAdobeF" w:cs="ZWAdobeF"/>
          <w:sz w:val="2"/>
          <w:szCs w:val="2"/>
        </w:rPr>
        <w:t>83F</w:t>
      </w:r>
      <w:r>
        <w:rPr>
          <w:vertAlign w:val="superscript"/>
        </w:rPr>
        <w:footnoteReference w:id="92"/>
      </w:r>
      <w:r w:rsidRPr="00990D3B">
        <w:t xml:space="preserve"> </w:t>
      </w:r>
    </w:p>
    <w:p w:rsidR="00C55FA6" w:rsidRPr="00990D3B" w:rsidP="004E5005" w14:paraId="3591C77E" w14:textId="77777777">
      <w:pPr>
        <w:pStyle w:val="Paragraph0"/>
      </w:pPr>
      <w:r w:rsidRPr="00990D3B">
        <w:t>When there are gaps in existing measures, new measures may need to be developed based on current clinical practice guidelines or health services research. Consider the following questions:</w:t>
      </w:r>
    </w:p>
    <w:p w:rsidR="00C55FA6" w:rsidRPr="00990D3B" w:rsidP="00FB7CAF" w14:paraId="349EE9EA" w14:textId="35A3D68E">
      <w:pPr>
        <w:pStyle w:val="EQRBulletBLUE"/>
      </w:pPr>
      <w:r w:rsidRPr="00990D3B">
        <w:t xml:space="preserve">Does the measure address accepted clinical guidelines relevant to the </w:t>
      </w:r>
      <w:r w:rsidRPr="00990D3B" w:rsidR="00972D60">
        <w:t>focus</w:t>
      </w:r>
      <w:r w:rsidRPr="00990D3B">
        <w:t xml:space="preserve"> study question?</w:t>
      </w:r>
    </w:p>
    <w:p w:rsidR="00C55FA6" w:rsidRPr="00990D3B" w:rsidP="00FB7CAF" w14:paraId="4F80983D" w14:textId="77777777">
      <w:pPr>
        <w:pStyle w:val="EQRBulletBLUE"/>
      </w:pPr>
      <w:r w:rsidRPr="00990D3B">
        <w:t xml:space="preserve">Does the measure address an important aspect of care or operations that is meaningful to MCP </w:t>
      </w:r>
      <w:r w:rsidRPr="00990D3B">
        <w:t>enrollees</w:t>
      </w:r>
      <w:r w:rsidRPr="00990D3B">
        <w:t>?</w:t>
      </w:r>
    </w:p>
    <w:p w:rsidR="00C55FA6" w:rsidRPr="00990D3B" w:rsidP="00FB7CAF" w14:paraId="135D3B06" w14:textId="684F66D7">
      <w:pPr>
        <w:pStyle w:val="EQRBulletBLUE"/>
      </w:pPr>
      <w:r w:rsidRPr="00990D3B">
        <w:t xml:space="preserve">Do the available data sources allow the </w:t>
      </w:r>
      <w:r w:rsidRPr="00990D3B" w:rsidR="00CE4C7D">
        <w:t xml:space="preserve">measure </w:t>
      </w:r>
      <w:r w:rsidRPr="00990D3B">
        <w:t xml:space="preserve">to </w:t>
      </w:r>
      <w:r w:rsidRPr="00990D3B" w:rsidR="00CE4C7D">
        <w:t xml:space="preserve">be calculated </w:t>
      </w:r>
      <w:r w:rsidRPr="00990D3B">
        <w:t>reliably and accurately? Are there any limitations on the ability to collect valid and reliable data?</w:t>
      </w:r>
    </w:p>
    <w:p w:rsidR="00C55FA6" w:rsidRPr="00990D3B" w:rsidP="00FB7CAF" w14:paraId="7AAE0701" w14:textId="77777777">
      <w:pPr>
        <w:pStyle w:val="EQRBulletBLUE"/>
      </w:pPr>
      <w:r w:rsidRPr="00990D3B">
        <w:t>Are all criteria used in the measure defined clearly (e.g., time periods, characteristics of eligible enrollees, services to be assessed, and exclusion criteria)?</w:t>
      </w:r>
    </w:p>
    <w:p w:rsidR="00C55FA6" w:rsidRPr="00990D3B" w:rsidP="004E5005" w14:paraId="014FA98D" w14:textId="6C7F8634">
      <w:pPr>
        <w:pStyle w:val="ParagraphContinued"/>
      </w:pPr>
      <w:r w:rsidRPr="00990D3B">
        <w:t xml:space="preserve">For more information about the selection of </w:t>
      </w:r>
      <w:r w:rsidRPr="00990D3B" w:rsidR="000A6555">
        <w:t>PIP</w:t>
      </w:r>
      <w:r w:rsidRPr="00990D3B">
        <w:t xml:space="preserve"> variables, see </w:t>
      </w:r>
      <w:hyperlink w:anchor="P1A1Step5" w:tooltip="Protocol 1, Activity 1, Step 5" w:history="1">
        <w:r w:rsidRPr="00990D3B">
          <w:rPr>
            <w:rStyle w:val="Hyperlink"/>
          </w:rPr>
          <w:t>Protocol 1, Activity 1, Step 5</w:t>
        </w:r>
      </w:hyperlink>
      <w:r w:rsidRPr="00990D3B">
        <w:t xml:space="preserve">. </w:t>
      </w:r>
    </w:p>
    <w:p w:rsidR="00C55FA6" w:rsidRPr="00990D3B" w:rsidP="00D23852" w14:paraId="6828472F" w14:textId="161D2935">
      <w:pPr>
        <w:pStyle w:val="H2"/>
      </w:pPr>
      <w:bookmarkStart w:id="893" w:name="P8A6"/>
      <w:bookmarkStart w:id="894" w:name="_Toc325044808"/>
      <w:bookmarkStart w:id="895" w:name="_Toc14777750"/>
      <w:bookmarkStart w:id="896" w:name="_Toc183005648"/>
      <w:bookmarkStart w:id="897" w:name="_Toc201751418"/>
      <w:r w:rsidRPr="00990D3B">
        <w:t>A</w:t>
      </w:r>
      <w:r w:rsidRPr="00990D3B" w:rsidR="004A4DED">
        <w:t>ctivity</w:t>
      </w:r>
      <w:r w:rsidRPr="00990D3B">
        <w:t xml:space="preserve"> 6</w:t>
      </w:r>
      <w:bookmarkEnd w:id="893"/>
      <w:r w:rsidRPr="00990D3B">
        <w:t xml:space="preserve">: </w:t>
      </w:r>
      <w:r w:rsidRPr="00990D3B" w:rsidR="00AB275D">
        <w:t>Collect Valid and</w:t>
      </w:r>
      <w:r w:rsidRPr="00990D3B">
        <w:t xml:space="preserve"> </w:t>
      </w:r>
      <w:r w:rsidRPr="00990D3B" w:rsidR="00AC0B6D">
        <w:t>R</w:t>
      </w:r>
      <w:r w:rsidRPr="00990D3B" w:rsidR="00AB275D">
        <w:t xml:space="preserve">eliable </w:t>
      </w:r>
      <w:bookmarkEnd w:id="894"/>
      <w:r w:rsidRPr="00990D3B" w:rsidR="00AC0B6D">
        <w:t>D</w:t>
      </w:r>
      <w:r w:rsidRPr="00990D3B" w:rsidR="00AB275D">
        <w:t>ata</w:t>
      </w:r>
      <w:bookmarkEnd w:id="895"/>
      <w:bookmarkEnd w:id="896"/>
      <w:bookmarkEnd w:id="897"/>
    </w:p>
    <w:p w:rsidR="00C55FA6" w:rsidRPr="00990D3B" w:rsidP="004E5005" w14:paraId="6C3FC26B" w14:textId="6EB3AE0C">
      <w:pPr>
        <w:pStyle w:val="ParagraphContinued"/>
      </w:pPr>
      <w:r w:rsidRPr="00990D3B">
        <w:t xml:space="preserve">Data collection procedures </w:t>
      </w:r>
      <w:r w:rsidRPr="00990D3B" w:rsidR="00AA1264">
        <w:t xml:space="preserve">during implementation of the PIP </w:t>
      </w:r>
      <w:r w:rsidRPr="00990D3B">
        <w:t xml:space="preserve">must ensure that the data used to measure performance are valid and reliable. Validity means that the data </w:t>
      </w:r>
      <w:r w:rsidRPr="00990D3B">
        <w:t>are</w:t>
      </w:r>
      <w:r w:rsidRPr="00990D3B">
        <w:t xml:space="preserve"> measuring what is intended to be measured. Reliability means that the data </w:t>
      </w:r>
      <w:r w:rsidRPr="00990D3B">
        <w:t>are producing</w:t>
      </w:r>
      <w:r w:rsidRPr="00990D3B">
        <w:t xml:space="preserve"> consistent results.</w:t>
      </w:r>
    </w:p>
    <w:p w:rsidR="00C55FA6" w:rsidRPr="00990D3B" w:rsidP="004E5005" w14:paraId="11F364F6" w14:textId="7E290747">
      <w:pPr>
        <w:pStyle w:val="Paragraph0"/>
      </w:pPr>
      <w:r w:rsidRPr="00990D3B">
        <w:t xml:space="preserve">To ensure validity and reliability of the data collected as part of </w:t>
      </w:r>
      <w:r w:rsidRPr="00990D3B" w:rsidR="00AA1264">
        <w:t xml:space="preserve">implementing </w:t>
      </w:r>
      <w:r w:rsidRPr="00990D3B">
        <w:t>the PIP, the data collection plan should specify:</w:t>
      </w:r>
    </w:p>
    <w:p w:rsidR="00C55FA6" w:rsidRPr="00990D3B" w:rsidP="00FB7CAF" w14:paraId="4174E644" w14:textId="526714B6">
      <w:pPr>
        <w:pStyle w:val="EQRBulletBLUE"/>
      </w:pPr>
      <w:r w:rsidRPr="00990D3B">
        <w:t>The data sources for the PIP</w:t>
      </w:r>
      <w:r w:rsidRPr="00990D3B" w:rsidR="001A1FDB">
        <w:t>.</w:t>
      </w:r>
    </w:p>
    <w:p w:rsidR="00C55FA6" w:rsidRPr="00990D3B" w:rsidP="00FB7CAF" w14:paraId="3CB2A1AF" w14:textId="3CB9BD17">
      <w:pPr>
        <w:pStyle w:val="EQRBulletBLUE"/>
      </w:pPr>
      <w:r w:rsidRPr="00990D3B">
        <w:t>The data to be collected</w:t>
      </w:r>
      <w:r w:rsidRPr="00990D3B" w:rsidR="001A1FDB">
        <w:t>.</w:t>
      </w:r>
    </w:p>
    <w:p w:rsidR="00E33C11" w:rsidRPr="00990D3B" w:rsidP="00FB7CAF" w14:paraId="28ECC2C4" w14:textId="0D826E06">
      <w:pPr>
        <w:pStyle w:val="EQRBulletBLUE"/>
      </w:pPr>
      <w:r w:rsidRPr="00990D3B">
        <w:t>How and when the data are to be collected</w:t>
      </w:r>
      <w:r w:rsidRPr="00990D3B" w:rsidR="001A1FDB">
        <w:t>.</w:t>
      </w:r>
    </w:p>
    <w:p w:rsidR="00C55FA6" w:rsidRPr="00990D3B" w:rsidP="00FB7CAF" w14:paraId="2BF18E64" w14:textId="7BC6A776">
      <w:pPr>
        <w:pStyle w:val="EQRBulletBLUE"/>
      </w:pPr>
      <w:r w:rsidRPr="00990D3B">
        <w:t>F</w:t>
      </w:r>
      <w:r w:rsidRPr="00990D3B" w:rsidR="008B3B4B">
        <w:t>requency</w:t>
      </w:r>
      <w:r w:rsidRPr="00990D3B">
        <w:t xml:space="preserve"> of data collection</w:t>
      </w:r>
      <w:r w:rsidRPr="00990D3B" w:rsidR="001A1FDB">
        <w:t>.</w:t>
      </w:r>
    </w:p>
    <w:p w:rsidR="00C55FA6" w:rsidRPr="00990D3B" w:rsidP="00FB7CAF" w14:paraId="6CF067AB" w14:textId="609B481E">
      <w:pPr>
        <w:pStyle w:val="EQRBulletBLUE"/>
      </w:pPr>
      <w:r w:rsidRPr="00990D3B">
        <w:t>Who will collect the data</w:t>
      </w:r>
      <w:r w:rsidRPr="00990D3B" w:rsidR="001A1FDB">
        <w:t>.</w:t>
      </w:r>
    </w:p>
    <w:p w:rsidR="00C55FA6" w:rsidRPr="00990D3B" w:rsidP="00FB7CAF" w14:paraId="5DC6070D" w14:textId="12ED5EB3">
      <w:pPr>
        <w:pStyle w:val="EQRBulletBLUE"/>
      </w:pPr>
      <w:r w:rsidRPr="00990D3B">
        <w:t xml:space="preserve">Instruments used to collect </w:t>
      </w:r>
      <w:r w:rsidRPr="00990D3B">
        <w:t>the data</w:t>
      </w:r>
      <w:r w:rsidRPr="00990D3B" w:rsidR="001A1FDB">
        <w:t>.</w:t>
      </w:r>
    </w:p>
    <w:p w:rsidR="00C55FA6" w:rsidRPr="00990D3B" w:rsidP="004E5005" w14:paraId="11096859" w14:textId="42474312">
      <w:pPr>
        <w:pStyle w:val="ParagraphContinued"/>
      </w:pPr>
      <w:r w:rsidRPr="00990D3B">
        <w:t xml:space="preserve">The PIP may involve two main kinds of data collection: administrative data sources and medical record review. Procedures to collect data from administrative data systems will be different from procedures for visual inspection of medical records or other primary source documents. However, both types of data collection require assurances that data are valid and reliable. For more information about assuring the validity and reliability of PIP data collection procedures, see </w:t>
      </w:r>
      <w:hyperlink w:anchor="P1A1Step6" w:tooltip="Protocol 1, Activity 1, Step 6" w:history="1">
        <w:r w:rsidRPr="00990D3B">
          <w:rPr>
            <w:rStyle w:val="Hyperlink"/>
          </w:rPr>
          <w:t>Protocol 1, Activity 1, Step 6</w:t>
        </w:r>
      </w:hyperlink>
      <w:r w:rsidRPr="00990D3B">
        <w:t>.</w:t>
      </w:r>
    </w:p>
    <w:p w:rsidR="00C55FA6" w:rsidRPr="00990D3B" w:rsidP="00D23852" w14:paraId="30F4E404" w14:textId="10FA6283">
      <w:pPr>
        <w:pStyle w:val="H2"/>
      </w:pPr>
      <w:bookmarkStart w:id="898" w:name="P8A7"/>
      <w:bookmarkStart w:id="899" w:name="_Toc325044809"/>
      <w:bookmarkStart w:id="900" w:name="_Toc14777751"/>
      <w:bookmarkStart w:id="901" w:name="_Toc183005649"/>
      <w:bookmarkStart w:id="902" w:name="_Toc201751419"/>
      <w:r w:rsidRPr="00990D3B">
        <w:t>A</w:t>
      </w:r>
      <w:r w:rsidRPr="00990D3B" w:rsidR="004A4DED">
        <w:t>ctivity</w:t>
      </w:r>
      <w:r w:rsidRPr="00990D3B">
        <w:t xml:space="preserve"> 7</w:t>
      </w:r>
      <w:bookmarkEnd w:id="898"/>
      <w:r w:rsidRPr="00990D3B">
        <w:t xml:space="preserve">: </w:t>
      </w:r>
      <w:r w:rsidRPr="00990D3B" w:rsidR="00FE01E1">
        <w:t>A</w:t>
      </w:r>
      <w:r w:rsidRPr="00990D3B">
        <w:t xml:space="preserve">nalyze </w:t>
      </w:r>
      <w:r w:rsidRPr="00990D3B" w:rsidR="00FE01E1">
        <w:t>D</w:t>
      </w:r>
      <w:r w:rsidRPr="00990D3B">
        <w:t xml:space="preserve">ata and </w:t>
      </w:r>
      <w:r w:rsidRPr="00990D3B" w:rsidR="00FE01E1">
        <w:t>I</w:t>
      </w:r>
      <w:r w:rsidRPr="00990D3B">
        <w:t xml:space="preserve">nterpret </w:t>
      </w:r>
      <w:r w:rsidRPr="00990D3B" w:rsidR="00FE01E1">
        <w:t>R</w:t>
      </w:r>
      <w:r w:rsidRPr="00990D3B">
        <w:t>esults</w:t>
      </w:r>
      <w:bookmarkEnd w:id="899"/>
      <w:bookmarkEnd w:id="900"/>
      <w:bookmarkEnd w:id="901"/>
      <w:bookmarkEnd w:id="902"/>
    </w:p>
    <w:p w:rsidR="00C55FA6" w:rsidRPr="00990D3B" w:rsidP="004E5005" w14:paraId="3DDC4472" w14:textId="2DB8EA98">
      <w:pPr>
        <w:pStyle w:val="ParagraphContinued"/>
      </w:pPr>
      <w:r w:rsidRPr="00990D3B">
        <w:t xml:space="preserve">Data analysis begins with assessing performance on the selected clinical or </w:t>
      </w:r>
      <w:r w:rsidRPr="00990D3B" w:rsidR="00D72373">
        <w:t>non-clinical</w:t>
      </w:r>
      <w:r w:rsidRPr="00990D3B">
        <w:t xml:space="preserve"> measures using appropriate statistical techniques, as specified in the data analysis plan. Interpretation and analysis of the </w:t>
      </w:r>
      <w:r w:rsidRPr="00990D3B" w:rsidR="000A6555">
        <w:t>PIP</w:t>
      </w:r>
      <w:r w:rsidRPr="00990D3B">
        <w:t xml:space="preserve"> data should be based on a continuous improvement philosophy and reflect an understanding of lessons learned and opportunities for improvement. Interpretation of the </w:t>
      </w:r>
      <w:r w:rsidRPr="00990D3B" w:rsidR="000A6555">
        <w:t>PIP</w:t>
      </w:r>
      <w:r w:rsidRPr="00990D3B">
        <w:t xml:space="preserve"> results should involve assessing the causes of less-than-optimal performance and collecting data to support the assessment. Accurate data analysis, including measurements at multiple points in time </w:t>
      </w:r>
      <w:r w:rsidRPr="00990D3B" w:rsidR="001B6771">
        <w:t xml:space="preserve">and tests for statistical significance, </w:t>
      </w:r>
      <w:r w:rsidRPr="00990D3B" w:rsidR="003C20BF">
        <w:t xml:space="preserve">is </w:t>
      </w:r>
      <w:r w:rsidRPr="00990D3B">
        <w:t xml:space="preserve">essential because the state or MCP may implement changes based on the results. For more information on data analysis and interpretation of </w:t>
      </w:r>
      <w:r w:rsidRPr="00990D3B" w:rsidR="000A6555">
        <w:t>PIP</w:t>
      </w:r>
      <w:r w:rsidRPr="00990D3B">
        <w:t xml:space="preserve"> results, see </w:t>
      </w:r>
      <w:hyperlink w:anchor="P1A1Step7" w:tooltip="Protocol 1, Activity 1, Step 7" w:history="1">
        <w:r w:rsidRPr="00990D3B">
          <w:rPr>
            <w:rStyle w:val="Hyperlink"/>
          </w:rPr>
          <w:t>Protocol 1, Activity 1, Step 7</w:t>
        </w:r>
      </w:hyperlink>
      <w:r w:rsidRPr="00990D3B">
        <w:t>.</w:t>
      </w:r>
    </w:p>
    <w:p w:rsidR="00C55FA6" w:rsidRPr="00990D3B" w:rsidP="00460A22" w14:paraId="463A9ED5" w14:textId="0D90B593">
      <w:pPr>
        <w:pStyle w:val="H2"/>
      </w:pPr>
      <w:bookmarkStart w:id="903" w:name="P8A8"/>
      <w:bookmarkStart w:id="904" w:name="_Toc325044810"/>
      <w:bookmarkStart w:id="905" w:name="_Toc14777752"/>
      <w:bookmarkStart w:id="906" w:name="_Toc183005650"/>
      <w:bookmarkStart w:id="907" w:name="_Toc201751420"/>
      <w:r w:rsidRPr="00990D3B">
        <w:t>A</w:t>
      </w:r>
      <w:r w:rsidRPr="00990D3B" w:rsidR="004A4DED">
        <w:t>ctivity</w:t>
      </w:r>
      <w:r w:rsidRPr="00990D3B">
        <w:t xml:space="preserve"> 8</w:t>
      </w:r>
      <w:bookmarkEnd w:id="903"/>
      <w:r w:rsidRPr="00990D3B">
        <w:t xml:space="preserve">: </w:t>
      </w:r>
      <w:r w:rsidRPr="00990D3B" w:rsidR="00C44134">
        <w:t>R</w:t>
      </w:r>
      <w:r w:rsidRPr="00990D3B">
        <w:t xml:space="preserve">eview </w:t>
      </w:r>
      <w:r w:rsidRPr="00990D3B" w:rsidR="00C44134">
        <w:t>I</w:t>
      </w:r>
      <w:r w:rsidRPr="00990D3B">
        <w:t xml:space="preserve">mprovement </w:t>
      </w:r>
      <w:r w:rsidRPr="00990D3B" w:rsidR="00C44134">
        <w:t>S</w:t>
      </w:r>
      <w:r w:rsidRPr="00990D3B">
        <w:t>trategies</w:t>
      </w:r>
      <w:bookmarkEnd w:id="904"/>
      <w:bookmarkEnd w:id="905"/>
      <w:bookmarkEnd w:id="906"/>
      <w:bookmarkEnd w:id="907"/>
    </w:p>
    <w:p w:rsidR="00C55FA6" w:rsidRPr="00990D3B" w:rsidP="004E5005" w14:paraId="51EC2DEA" w14:textId="1424883D">
      <w:pPr>
        <w:pStyle w:val="ParagraphContinued"/>
      </w:pPr>
      <w:r w:rsidRPr="00990D3B">
        <w:t xml:space="preserve">Building on the data analysis and interpretation of </w:t>
      </w:r>
      <w:r w:rsidRPr="00990D3B" w:rsidR="000A6555">
        <w:t>PIP</w:t>
      </w:r>
      <w:r w:rsidRPr="00990D3B">
        <w:t xml:space="preserve"> results in Activity 7, the next step is to review the improvement strategies implemented as part of the PIP. Significant, sustained improvement is the result of developing and implementing effective improvement strategies (including strategies that are culturally and linguistically appropriate for the target population). Selected strategies should be evidence-based, that is, there should be existing evidence (published or unpublished) suggesting that the test of change would be likely to lead to the desired improvement in processes or outcomes (as measured by the </w:t>
      </w:r>
      <w:r w:rsidRPr="00990D3B" w:rsidR="000A6555">
        <w:t>PIP</w:t>
      </w:r>
      <w:r w:rsidRPr="00990D3B">
        <w:t xml:space="preserve"> variables). The effectiveness of the improvement strategy is determined by measuring change in performance according to predefined measures. </w:t>
      </w:r>
    </w:p>
    <w:p w:rsidR="00C55FA6" w:rsidRPr="00990D3B" w:rsidP="004E5005" w14:paraId="6CAA505C" w14:textId="5D245670">
      <w:pPr>
        <w:pStyle w:val="Paragraph0"/>
      </w:pPr>
      <w:r w:rsidRPr="00990D3B">
        <w:t xml:space="preserve">CMS encourages states to work with their EQROs and MCPs to determine which </w:t>
      </w:r>
      <w:r w:rsidRPr="00990D3B" w:rsidR="003C20BF">
        <w:t xml:space="preserve">PIP </w:t>
      </w:r>
      <w:r w:rsidRPr="00990D3B">
        <w:t>methodology best suits the needs of the state, its MCPs, and their beneficiaries. For example</w:t>
      </w:r>
      <w:r w:rsidRPr="00990D3B" w:rsidR="00610B4F">
        <w:t>,</w:t>
      </w:r>
      <w:r w:rsidRPr="00990D3B">
        <w:t xml:space="preserve"> a state may use the Institute for Healthcare Improvement</w:t>
      </w:r>
      <w:r w:rsidRPr="00990D3B" w:rsidR="003C20BF">
        <w:t>’s</w:t>
      </w:r>
      <w:r w:rsidRPr="00990D3B">
        <w:t xml:space="preserve"> (IHI) Model for Improvement to guide improvement work and test changes on a small scale using PDSA cycles</w:t>
      </w:r>
      <w:r w:rsidRPr="00990D3B" w:rsidR="00977D67">
        <w:t xml:space="preserve">. </w:t>
      </w:r>
      <w:r w:rsidRPr="00990D3B" w:rsidR="003C20BF">
        <w:t xml:space="preserve">PDSA cycles </w:t>
      </w:r>
      <w:r w:rsidRPr="00990D3B" w:rsidR="003C20BF">
        <w:t>provide</w:t>
      </w:r>
      <w:r w:rsidRPr="00990D3B" w:rsidR="003C20BF">
        <w:t xml:space="preserve"> a methodology to test changes on a small scale and to apply rapid-cycle learning principles to adjust intervention strategies over the course of </w:t>
      </w:r>
      <w:r w:rsidRPr="00990D3B" w:rsidR="003C20BF">
        <w:t>the improvement</w:t>
      </w:r>
      <w:r w:rsidRPr="00990D3B" w:rsidR="003C20BF">
        <w:t xml:space="preserve">. </w:t>
      </w:r>
      <w:r w:rsidRPr="00990D3B">
        <w:t>Th</w:t>
      </w:r>
      <w:r w:rsidRPr="00990D3B" w:rsidR="003C20BF">
        <w:t>is</w:t>
      </w:r>
      <w:r w:rsidRPr="00990D3B">
        <w:t xml:space="preserve"> approach involves a continuous cycle of measuring and analyzing performance and requires frequent reflection and course correction. Data should be evaluated on a regular </w:t>
      </w:r>
      <w:r w:rsidRPr="00990D3B">
        <w:t>basis</w:t>
      </w:r>
      <w:r w:rsidRPr="00990D3B">
        <w:t xml:space="preserve"> and interventions should be adjusted based on what was learned. </w:t>
      </w:r>
      <w:r w:rsidRPr="00990D3B" w:rsidR="00EC4B36">
        <w:t xml:space="preserve">Interventions can then be scaled to larger settings or populations if found effective. </w:t>
      </w:r>
      <w:r w:rsidRPr="00990D3B">
        <w:t>PIPs</w:t>
      </w:r>
      <w:r w:rsidRPr="00990D3B" w:rsidR="00D96CD3">
        <w:t>, based on the</w:t>
      </w:r>
      <w:r w:rsidRPr="00990D3B" w:rsidR="003C20BF">
        <w:t xml:space="preserve"> Model for Improvement and PDSA process are sometimes known as </w:t>
      </w:r>
      <w:r w:rsidRPr="00990D3B" w:rsidR="001B6771">
        <w:t>r</w:t>
      </w:r>
      <w:r w:rsidRPr="00990D3B" w:rsidR="00D96CD3">
        <w:t>apid-cycle PIPs</w:t>
      </w:r>
      <w:r w:rsidRPr="00990D3B" w:rsidR="00610B4F">
        <w:t xml:space="preserve">. </w:t>
      </w:r>
      <w:r w:rsidRPr="00990D3B">
        <w:t xml:space="preserve">For more information on the use of the IHI Model for Improvement and PDSA cycles, see </w:t>
      </w:r>
      <w:hyperlink w:anchor="P1A1Step8" w:tooltip="Protocol 1, Activity 1, Step 8" w:history="1">
        <w:r w:rsidRPr="00990D3B">
          <w:rPr>
            <w:rStyle w:val="Hyperlink"/>
          </w:rPr>
          <w:t>Protocol 1, Activity 1, Step 8</w:t>
        </w:r>
      </w:hyperlink>
      <w:r w:rsidRPr="00990D3B">
        <w:t xml:space="preserve">. </w:t>
      </w:r>
    </w:p>
    <w:p w:rsidR="00C55FA6" w:rsidRPr="00990D3B" w:rsidP="00460A22" w14:paraId="5CD9B7E8" w14:textId="7BE06DD9">
      <w:pPr>
        <w:pStyle w:val="H2"/>
      </w:pPr>
      <w:bookmarkStart w:id="908" w:name="P8A9"/>
      <w:bookmarkStart w:id="909" w:name="_Toc325044811"/>
      <w:bookmarkStart w:id="910" w:name="_Toc14777753"/>
      <w:bookmarkStart w:id="911" w:name="_Toc183005651"/>
      <w:bookmarkStart w:id="912" w:name="_Toc201751421"/>
      <w:r w:rsidRPr="00990D3B">
        <w:t>A</w:t>
      </w:r>
      <w:r w:rsidRPr="00990D3B" w:rsidR="004A4DED">
        <w:t>ctivity</w:t>
      </w:r>
      <w:r w:rsidRPr="00990D3B">
        <w:t xml:space="preserve"> 9</w:t>
      </w:r>
      <w:bookmarkEnd w:id="908"/>
      <w:r w:rsidRPr="00990D3B">
        <w:t xml:space="preserve">: </w:t>
      </w:r>
      <w:bookmarkEnd w:id="909"/>
      <w:r w:rsidRPr="00990D3B">
        <w:t>Assess W</w:t>
      </w:r>
      <w:r w:rsidRPr="00990D3B" w:rsidR="00C44134">
        <w:t>hether</w:t>
      </w:r>
      <w:r w:rsidRPr="00990D3B">
        <w:t xml:space="preserve"> S</w:t>
      </w:r>
      <w:r w:rsidRPr="00990D3B" w:rsidR="00C44134">
        <w:t xml:space="preserve">ignificant and </w:t>
      </w:r>
      <w:r w:rsidRPr="00990D3B">
        <w:t>S</w:t>
      </w:r>
      <w:r w:rsidRPr="00990D3B" w:rsidR="00C44134">
        <w:t xml:space="preserve">ustained </w:t>
      </w:r>
      <w:r w:rsidRPr="00990D3B">
        <w:t>I</w:t>
      </w:r>
      <w:r w:rsidRPr="00990D3B" w:rsidR="00C44134">
        <w:t xml:space="preserve">mprovement </w:t>
      </w:r>
      <w:r w:rsidRPr="00990D3B">
        <w:t>O</w:t>
      </w:r>
      <w:r w:rsidRPr="00990D3B" w:rsidR="00C44134">
        <w:t>ccurred</w:t>
      </w:r>
      <w:bookmarkEnd w:id="910"/>
      <w:bookmarkEnd w:id="911"/>
      <w:bookmarkEnd w:id="912"/>
    </w:p>
    <w:p w:rsidR="00C55FA6" w:rsidRPr="00990D3B" w:rsidP="004E5005" w14:paraId="27711B12" w14:textId="0EDA9635">
      <w:pPr>
        <w:pStyle w:val="ParagraphContinued"/>
      </w:pPr>
      <w:r w:rsidRPr="00990D3B">
        <w:t xml:space="preserve">A PIP is intended to result in significant and sustained improvement in health care delivery processes and outcomes, rather than short-term or random </w:t>
      </w:r>
      <w:r w:rsidRPr="00990D3B">
        <w:t>change</w:t>
      </w:r>
      <w:r w:rsidRPr="00990D3B">
        <w:t>. The final activity in the PIP</w:t>
      </w:r>
      <w:r w:rsidRPr="00990D3B" w:rsidR="00AD3A9D">
        <w:t xml:space="preserve">, before reporting results, </w:t>
      </w:r>
      <w:r w:rsidRPr="00990D3B">
        <w:t>is to assess whether the PIP resulted in statistically significant changes over time that could reasonably be attributed to the improvement strategy implemented as part of the PIP.</w:t>
      </w:r>
    </w:p>
    <w:p w:rsidR="00C55FA6" w:rsidRPr="00990D3B" w:rsidP="004E5005" w14:paraId="39284892" w14:textId="21A7DAA3">
      <w:pPr>
        <w:pStyle w:val="Paragraph0"/>
      </w:pPr>
      <w:r w:rsidRPr="00990D3B">
        <w:t xml:space="preserve">To assess whether significant and sustained improvement occurred, repeated measurements are required, using the same methodology used for the baseline measurement. In addition, tests of statistical significance are required to assess whether there is evidence of statistically significant improvement. For more information on assessing the likelihood that significant and sustained improvement occurred, see </w:t>
      </w:r>
      <w:hyperlink w:anchor="P1A1Step9" w:tooltip="Protocol 1, Activity 1, Step 9" w:history="1">
        <w:r w:rsidRPr="00990D3B">
          <w:rPr>
            <w:rStyle w:val="Hyperlink"/>
          </w:rPr>
          <w:t>Protocol 1, Activity 1, Step 9</w:t>
        </w:r>
      </w:hyperlink>
      <w:r w:rsidRPr="00990D3B">
        <w:t>.</w:t>
      </w:r>
    </w:p>
    <w:p w:rsidR="00977D67" w:rsidRPr="00990D3B" w:rsidP="00977D67" w14:paraId="4DE5E794" w14:textId="18E7F896">
      <w:pPr>
        <w:pStyle w:val="H2"/>
      </w:pPr>
      <w:bookmarkStart w:id="913" w:name="P8A10"/>
      <w:bookmarkStart w:id="914" w:name="_Toc201751422"/>
      <w:bookmarkStart w:id="915" w:name="_Toc183005652"/>
      <w:bookmarkStart w:id="916" w:name="_Hlk184369077"/>
      <w:bookmarkEnd w:id="913"/>
      <w:r w:rsidRPr="00990D3B">
        <w:t>Activity 10: R</w:t>
      </w:r>
      <w:r w:rsidRPr="00990D3B" w:rsidR="00AD3A9D">
        <w:t xml:space="preserve">eport Results to </w:t>
      </w:r>
      <w:r w:rsidRPr="00990D3B" w:rsidR="009972E4">
        <w:t xml:space="preserve">the </w:t>
      </w:r>
      <w:r w:rsidRPr="00990D3B" w:rsidR="00AD3A9D">
        <w:t>State</w:t>
      </w:r>
      <w:bookmarkEnd w:id="914"/>
      <w:r w:rsidRPr="00990D3B" w:rsidR="00AD3A9D">
        <w:t xml:space="preserve"> </w:t>
      </w:r>
      <w:bookmarkEnd w:id="915"/>
    </w:p>
    <w:bookmarkEnd w:id="916"/>
    <w:p w:rsidR="003D61CB" w:rsidRPr="00990D3B" w:rsidP="003D61CB" w14:paraId="6AE429C0" w14:textId="5034A9A6">
      <w:pPr>
        <w:pStyle w:val="ParagraphContinued"/>
      </w:pPr>
      <w:r w:rsidRPr="00990D3B">
        <w:t xml:space="preserve">In this step, the </w:t>
      </w:r>
      <w:r w:rsidRPr="00990D3B">
        <w:t xml:space="preserve">EQRO submits a final report containing the PIP results, analyses, and recommendations in the format prescribed by the state and in the </w:t>
      </w:r>
      <w:r w:rsidRPr="00990D3B" w:rsidR="007E75A3">
        <w:t xml:space="preserve">required </w:t>
      </w:r>
      <w:r w:rsidRPr="00990D3B">
        <w:t xml:space="preserve">time frame. The final report </w:t>
      </w:r>
      <w:r w:rsidRPr="00990D3B" w:rsidR="007E75A3">
        <w:t xml:space="preserve">content </w:t>
      </w:r>
      <w:r w:rsidRPr="00990D3B">
        <w:t>should include the following elements:</w:t>
      </w:r>
    </w:p>
    <w:p w:rsidR="003D61CB" w:rsidRPr="00990D3B" w:rsidP="00FB7CAF" w14:paraId="4E22AE2C" w14:textId="5031E498">
      <w:pPr>
        <w:pStyle w:val="EQRBulletBLUE"/>
      </w:pPr>
      <w:r w:rsidRPr="00990D3B">
        <w:t>A summary of the EQRO’s PIP activities, including documentation of the activities performed</w:t>
      </w:r>
      <w:r w:rsidRPr="00990D3B" w:rsidR="001A1FDB">
        <w:t>.</w:t>
      </w:r>
    </w:p>
    <w:p w:rsidR="003D61CB" w:rsidRPr="00990D3B" w:rsidP="00FB7CAF" w14:paraId="2380BEE7" w14:textId="511B9C0F">
      <w:pPr>
        <w:pStyle w:val="EQRBulletBLUE"/>
      </w:pPr>
      <w:r w:rsidRPr="00990D3B">
        <w:t xml:space="preserve">Work papers and detailed results of key steps of the PIP process, MCP-specific performance measure rates, and </w:t>
      </w:r>
      <w:r w:rsidRPr="00990D3B" w:rsidR="00FE3477">
        <w:t xml:space="preserve">outcomes data from </w:t>
      </w:r>
      <w:r w:rsidRPr="00990D3B">
        <w:t>accompanying analyses</w:t>
      </w:r>
      <w:r w:rsidRPr="00990D3B" w:rsidR="001A1FDB">
        <w:t>.</w:t>
      </w:r>
    </w:p>
    <w:p w:rsidR="003D61CB" w:rsidRPr="00990D3B" w:rsidP="00FB7CAF" w14:paraId="1D28737F" w14:textId="45300AA7">
      <w:pPr>
        <w:pStyle w:val="EQRBulletBLUE"/>
      </w:pPr>
      <w:r w:rsidRPr="00990D3B">
        <w:t>Discussion of MCP strength</w:t>
      </w:r>
      <w:r w:rsidRPr="00990D3B" w:rsidR="003B5D13">
        <w:t>s</w:t>
      </w:r>
      <w:r w:rsidRPr="00990D3B">
        <w:t xml:space="preserve"> and opportunities for improvement in both data management and performance</w:t>
      </w:r>
      <w:r w:rsidRPr="00990D3B" w:rsidR="001A1FDB">
        <w:t>.</w:t>
      </w:r>
    </w:p>
    <w:p w:rsidR="003D61CB" w:rsidRPr="00990D3B" w:rsidP="00FB7CAF" w14:paraId="33E37EDE" w14:textId="7452CCE1">
      <w:pPr>
        <w:pStyle w:val="EQRBulletBLUE"/>
      </w:pPr>
      <w:r w:rsidRPr="00990D3B">
        <w:t>Recommendations for improving MCP performance</w:t>
      </w:r>
      <w:r w:rsidRPr="00990D3B" w:rsidR="001A1FDB">
        <w:t>.</w:t>
      </w:r>
    </w:p>
    <w:p w:rsidR="003D61CB" w:rsidRPr="00990D3B" w:rsidP="003D61CB" w14:paraId="3986D92D" w14:textId="791A5767">
      <w:pPr>
        <w:pStyle w:val="ParagraphContinued"/>
      </w:pPr>
      <w:r w:rsidRPr="00990D3B">
        <w:t xml:space="preserve">The EQRO should </w:t>
      </w:r>
      <w:r w:rsidRPr="00990D3B" w:rsidR="007E75A3">
        <w:t xml:space="preserve">refer to </w:t>
      </w:r>
      <w:hyperlink w:anchor="Protocol1" w:history="1">
        <w:r w:rsidRPr="00990D3B" w:rsidR="007E75A3">
          <w:rPr>
            <w:rStyle w:val="Hyperlink"/>
          </w:rPr>
          <w:t>Protocol 1</w:t>
        </w:r>
      </w:hyperlink>
      <w:r w:rsidRPr="00990D3B" w:rsidR="007E75A3">
        <w:rPr>
          <w:color w:val="00828C" w:themeColor="accent1"/>
        </w:rPr>
        <w:t xml:space="preserve"> </w:t>
      </w:r>
      <w:r w:rsidRPr="00990D3B" w:rsidR="007E75A3">
        <w:t xml:space="preserve">as needed to </w:t>
      </w:r>
      <w:r w:rsidRPr="00990D3B">
        <w:t xml:space="preserve">submit a draft report on </w:t>
      </w:r>
      <w:r w:rsidRPr="00990D3B" w:rsidR="0014675A">
        <w:t>PIP</w:t>
      </w:r>
      <w:r w:rsidRPr="00990D3B">
        <w:t xml:space="preserve"> results to the state (separate from the EQR technical report)</w:t>
      </w:r>
      <w:r w:rsidRPr="00990D3B" w:rsidR="0014675A">
        <w:t>,</w:t>
      </w:r>
      <w:r w:rsidRPr="00990D3B" w:rsidR="00373044">
        <w:t xml:space="preserve"> </w:t>
      </w:r>
      <w:r w:rsidRPr="00990D3B">
        <w:t>and revise the final report based on feedback from the state.</w:t>
      </w:r>
    </w:p>
    <w:p w:rsidR="00977D67" w:rsidRPr="00990D3B" w:rsidP="004E5005" w14:paraId="0980EC69" w14:textId="77777777">
      <w:pPr>
        <w:pStyle w:val="Paragraph0"/>
      </w:pPr>
    </w:p>
    <w:p w:rsidR="00205165" w:rsidRPr="00990D3B" w:rsidP="009B3409" w14:paraId="1C21C4EC" w14:textId="49281607">
      <w:pPr>
        <w:pStyle w:val="Paragraph0"/>
        <w:jc w:val="center"/>
      </w:pPr>
      <w:r w:rsidRPr="00990D3B">
        <w:t>END OF PROTOCOL 8</w:t>
      </w:r>
    </w:p>
    <w:p w:rsidR="005B4D54" w:rsidRPr="00990D3B" w:rsidP="005B4D54" w14:paraId="7F276E51" w14:textId="26C01822"/>
    <w:p w:rsidR="00B03695" w:rsidRPr="00990D3B" w:rsidP="005B4D54" w14:paraId="126C4E24" w14:textId="2F7D155B">
      <w:pPr>
        <w:tabs>
          <w:tab w:val="left" w:pos="915"/>
        </w:tabs>
        <w:sectPr w:rsidSect="00C24E61">
          <w:headerReference w:type="even" r:id="rId204"/>
          <w:footerReference w:type="even" r:id="rId205"/>
          <w:footerReference w:type="default" r:id="rId206"/>
          <w:headerReference w:type="first" r:id="rId207"/>
          <w:pgSz w:w="12240" w:h="15840" w:code="1"/>
          <w:pgMar w:top="1440" w:right="1440" w:bottom="1440" w:left="1440" w:header="720" w:footer="720" w:gutter="0"/>
          <w:cols w:space="720"/>
          <w:titlePg/>
          <w:docGrid w:linePitch="360"/>
        </w:sectPr>
      </w:pPr>
    </w:p>
    <w:p w:rsidR="00A20C56" w:rsidRPr="00990D3B" w:rsidP="00F405D7" w14:paraId="2D324386" w14:textId="6F6F5E44">
      <w:pPr>
        <w:pStyle w:val="H1"/>
      </w:pPr>
      <w:bookmarkStart w:id="917" w:name="Protocol9"/>
      <w:bookmarkStart w:id="918" w:name="_Toc493246398"/>
      <w:bookmarkStart w:id="919" w:name="_Toc14777754"/>
      <w:bookmarkStart w:id="920" w:name="_Toc183005653"/>
      <w:bookmarkStart w:id="921" w:name="_Toc201751423"/>
      <w:r w:rsidRPr="00990D3B">
        <w:t>Protocol 9</w:t>
      </w:r>
      <w:bookmarkEnd w:id="917"/>
      <w:r w:rsidRPr="00990D3B">
        <w:t xml:space="preserve">. </w:t>
      </w:r>
      <w:bookmarkEnd w:id="918"/>
      <w:r w:rsidRPr="00990D3B">
        <w:t>Conducting Focus Studies of Health Care Quality</w:t>
      </w:r>
      <w:bookmarkEnd w:id="919"/>
      <w:bookmarkEnd w:id="920"/>
      <w:bookmarkEnd w:id="921"/>
    </w:p>
    <w:p w:rsidR="006852ED" w:rsidRPr="00990D3B" w:rsidP="006852ED" w14:paraId="30C7E300" w14:textId="7675DD2E">
      <w:pPr>
        <w:pStyle w:val="EQRMANDATORYorOPTIONAL"/>
      </w:pPr>
      <w:r w:rsidRPr="00990D3B">
        <w:t>An Optional EQR-Related Activity</w:t>
      </w:r>
    </w:p>
    <w:tbl>
      <w:tblPr>
        <w:tblW w:w="7200" w:type="dxa"/>
        <w:tblBorders>
          <w:insideV w:val="single" w:sz="2" w:space="0" w:color="00559D"/>
        </w:tblBorders>
        <w:tblLayout w:type="fixed"/>
        <w:tblLook w:val="04A0"/>
      </w:tblPr>
      <w:tblGrid>
        <w:gridCol w:w="7200"/>
      </w:tblGrid>
      <w:tr w14:paraId="21881CC0" w14:textId="77777777" w:rsidTr="00872107">
        <w:tblPrEx>
          <w:tblW w:w="7200" w:type="dxa"/>
          <w:tblBorders>
            <w:insideV w:val="single" w:sz="2" w:space="0" w:color="00559D"/>
          </w:tblBorders>
          <w:tblLayout w:type="fixed"/>
          <w:tblLook w:val="04A0"/>
        </w:tblPrEx>
        <w:trPr>
          <w:trHeight w:val="144"/>
          <w:tblHeader/>
        </w:trPr>
        <w:tc>
          <w:tcPr>
            <w:tcW w:w="7200" w:type="dxa"/>
            <w:shd w:val="clear" w:color="auto" w:fill="1CA8B7"/>
            <w:vAlign w:val="bottom"/>
          </w:tcPr>
          <w:p w:rsidR="005B4D54" w:rsidRPr="00990D3B" w:rsidP="00FA5177" w14:paraId="53593D0E" w14:textId="5512B8CB">
            <w:pPr>
              <w:pStyle w:val="EQRACTIVITY"/>
            </w:pPr>
            <w:r w:rsidRPr="00990D3B">
              <w:t> </w:t>
            </w:r>
          </w:p>
        </w:tc>
      </w:tr>
      <w:tr w14:paraId="5A29FFC0" w14:textId="77777777" w:rsidTr="00872107">
        <w:tblPrEx>
          <w:tblW w:w="7200" w:type="dxa"/>
          <w:tblLayout w:type="fixed"/>
          <w:tblLook w:val="04A0"/>
        </w:tblPrEx>
        <w:trPr>
          <w:trHeight w:val="20"/>
        </w:trPr>
        <w:tc>
          <w:tcPr>
            <w:tcW w:w="7200" w:type="dxa"/>
            <w:shd w:val="clear" w:color="auto" w:fill="EEF5F8"/>
          </w:tcPr>
          <w:p w:rsidR="00FF3C9A" w:rsidRPr="00990D3B" w:rsidP="006F5B6B" w14:paraId="7DC3C358" w14:textId="7EC20061">
            <w:pPr>
              <w:pStyle w:val="EQRACTIVITY"/>
            </w:pPr>
            <w:hyperlink w:anchor="P9A1" w:tooltip="ACTIVITY 1: SELECT THE STUDY TOPIC(S)" w:history="1">
              <w:r w:rsidRPr="00990D3B">
                <w:rPr>
                  <w:rStyle w:val="Hyperlink"/>
                </w:rPr>
                <w:t>ACTIVITY 1: SELECT THE STUDY TOPIC(S)</w:t>
              </w:r>
            </w:hyperlink>
          </w:p>
        </w:tc>
      </w:tr>
      <w:tr w14:paraId="38B8B73F" w14:textId="77777777" w:rsidTr="00872107">
        <w:tblPrEx>
          <w:tblW w:w="7200" w:type="dxa"/>
          <w:tblLayout w:type="fixed"/>
          <w:tblLook w:val="04A0"/>
        </w:tblPrEx>
        <w:trPr>
          <w:trHeight w:val="20"/>
        </w:trPr>
        <w:tc>
          <w:tcPr>
            <w:tcW w:w="7200" w:type="dxa"/>
          </w:tcPr>
          <w:p w:rsidR="00FF3C9A" w:rsidRPr="00990D3B" w:rsidP="006F5B6B" w14:paraId="18456176" w14:textId="142AC7BE">
            <w:pPr>
              <w:pStyle w:val="EQRACTIVITY"/>
            </w:pPr>
            <w:hyperlink w:anchor="P9A2" w:tooltip="ACTIVITY 2: DEFINE THE STUDY QUESTION(S)" w:history="1">
              <w:r w:rsidRPr="00990D3B">
                <w:rPr>
                  <w:rStyle w:val="Hyperlink"/>
                </w:rPr>
                <w:t>ACTIVITY 2: DEFINE THE STUDY QUESTION(S)</w:t>
              </w:r>
            </w:hyperlink>
          </w:p>
        </w:tc>
      </w:tr>
      <w:tr w14:paraId="30D39417" w14:textId="77777777" w:rsidTr="00872107">
        <w:tblPrEx>
          <w:tblW w:w="7200" w:type="dxa"/>
          <w:tblLayout w:type="fixed"/>
          <w:tblLook w:val="04A0"/>
        </w:tblPrEx>
        <w:trPr>
          <w:trHeight w:val="20"/>
        </w:trPr>
        <w:tc>
          <w:tcPr>
            <w:tcW w:w="7200" w:type="dxa"/>
            <w:tcBorders>
              <w:bottom w:val="nil"/>
            </w:tcBorders>
            <w:shd w:val="clear" w:color="auto" w:fill="EEF5F8"/>
          </w:tcPr>
          <w:p w:rsidR="00FF3C9A" w:rsidRPr="00990D3B" w:rsidP="006F5B6B" w14:paraId="215ABB63" w14:textId="0E3DBC67">
            <w:pPr>
              <w:pStyle w:val="EQRACTIVITY"/>
            </w:pPr>
            <w:hyperlink w:anchor="P9A3" w:tooltip="ACTIVITY 3: SELECT THE STUDY VARIABLE(S)" w:history="1">
              <w:r w:rsidRPr="00990D3B">
                <w:rPr>
                  <w:rStyle w:val="Hyperlink"/>
                </w:rPr>
                <w:t>ACTIVITY 3: SELECT THE STUDY VARIABLE(S)</w:t>
              </w:r>
            </w:hyperlink>
          </w:p>
        </w:tc>
      </w:tr>
      <w:tr w14:paraId="50972C40" w14:textId="77777777" w:rsidTr="00872107">
        <w:tblPrEx>
          <w:tblW w:w="7200" w:type="dxa"/>
          <w:tblLayout w:type="fixed"/>
          <w:tblLook w:val="04A0"/>
        </w:tblPrEx>
        <w:trPr>
          <w:trHeight w:val="20"/>
        </w:trPr>
        <w:tc>
          <w:tcPr>
            <w:tcW w:w="7200" w:type="dxa"/>
          </w:tcPr>
          <w:p w:rsidR="00FF3C9A" w:rsidRPr="00990D3B" w:rsidP="006F5B6B" w14:paraId="3FE50900" w14:textId="290CE228">
            <w:pPr>
              <w:pStyle w:val="EQRACTIVITY"/>
            </w:pPr>
            <w:hyperlink w:anchor="P9A4" w:tooltip="ACTIVITY 4: DEVELOP A PLAN TO STUDY THE POPULATION" w:history="1">
              <w:r w:rsidRPr="00990D3B">
                <w:rPr>
                  <w:rStyle w:val="Hyperlink"/>
                </w:rPr>
                <w:t>ACTIVITY 4: DEVELOP A PLAN TO STUDY THE POPULATION</w:t>
              </w:r>
            </w:hyperlink>
          </w:p>
        </w:tc>
      </w:tr>
      <w:tr w14:paraId="7EE5891C" w14:textId="77777777" w:rsidTr="00872107">
        <w:tblPrEx>
          <w:tblW w:w="7200" w:type="dxa"/>
          <w:tblLayout w:type="fixed"/>
          <w:tblLook w:val="04A0"/>
        </w:tblPrEx>
        <w:trPr>
          <w:trHeight w:val="20"/>
        </w:trPr>
        <w:tc>
          <w:tcPr>
            <w:tcW w:w="7200" w:type="dxa"/>
            <w:tcBorders>
              <w:bottom w:val="nil"/>
            </w:tcBorders>
            <w:shd w:val="clear" w:color="auto" w:fill="EEF5F8"/>
          </w:tcPr>
          <w:p w:rsidR="00FF3C9A" w:rsidRPr="00990D3B" w:rsidP="006F5B6B" w14:paraId="528978A1" w14:textId="5F969150">
            <w:pPr>
              <w:pStyle w:val="EQRACTIVITY"/>
            </w:pPr>
            <w:hyperlink w:anchor="P9A5" w:tooltip="ACTIVITY 5: COLLECT DATA" w:history="1">
              <w:r w:rsidRPr="00990D3B">
                <w:rPr>
                  <w:rStyle w:val="Hyperlink"/>
                </w:rPr>
                <w:t>ACTIVITY 5: COLLECT DATA</w:t>
              </w:r>
            </w:hyperlink>
          </w:p>
        </w:tc>
      </w:tr>
      <w:tr w14:paraId="49F3945A" w14:textId="77777777" w:rsidTr="00872107">
        <w:tblPrEx>
          <w:tblW w:w="7200" w:type="dxa"/>
          <w:tblLayout w:type="fixed"/>
          <w:tblLook w:val="04A0"/>
        </w:tblPrEx>
        <w:trPr>
          <w:trHeight w:val="20"/>
        </w:trPr>
        <w:tc>
          <w:tcPr>
            <w:tcW w:w="7200" w:type="dxa"/>
          </w:tcPr>
          <w:p w:rsidR="00FF3C9A" w:rsidRPr="00990D3B" w:rsidP="006F5B6B" w14:paraId="46C9E218" w14:textId="7D0C080E">
            <w:pPr>
              <w:pStyle w:val="EQRACTIVITY"/>
            </w:pPr>
            <w:hyperlink w:anchor="P9A6" w:tooltip="ACTIVITY 6: ANALYZE AND INTERPRET STUDY RESULTS" w:history="1">
              <w:r w:rsidRPr="00990D3B">
                <w:rPr>
                  <w:rStyle w:val="Hyperlink"/>
                </w:rPr>
                <w:t>ACTIVITY 6: ANALYZE AND INTERPRET STUDY RESULTS</w:t>
              </w:r>
            </w:hyperlink>
          </w:p>
        </w:tc>
      </w:tr>
      <w:tr w14:paraId="2B1F80C8" w14:textId="77777777" w:rsidTr="00872107">
        <w:tblPrEx>
          <w:tblW w:w="7200" w:type="dxa"/>
          <w:tblLayout w:type="fixed"/>
          <w:tblLook w:val="04A0"/>
        </w:tblPrEx>
        <w:trPr>
          <w:trHeight w:val="20"/>
        </w:trPr>
        <w:tc>
          <w:tcPr>
            <w:tcW w:w="7200" w:type="dxa"/>
            <w:tcBorders>
              <w:bottom w:val="nil"/>
            </w:tcBorders>
            <w:shd w:val="clear" w:color="auto" w:fill="EEF5F8"/>
          </w:tcPr>
          <w:p w:rsidR="00FF3C9A" w:rsidRPr="00990D3B" w:rsidP="006F5B6B" w14:paraId="208F0E2C" w14:textId="3261A693">
            <w:pPr>
              <w:pStyle w:val="EQRACTIVITY"/>
            </w:pPr>
            <w:hyperlink w:anchor="P9A7" w:tooltip="ACTIVITY 7: REPORT RESULTS TO THE STATE" w:history="1">
              <w:r w:rsidRPr="00990D3B">
                <w:rPr>
                  <w:rStyle w:val="Hyperlink"/>
                </w:rPr>
                <w:t>ACTIVITY 7: REPORT RESULTS TO THE STATE</w:t>
              </w:r>
            </w:hyperlink>
          </w:p>
        </w:tc>
      </w:tr>
    </w:tbl>
    <w:p w:rsidR="005B4D54" w:rsidRPr="00990D3B" w:rsidP="00F405D7" w14:paraId="2E725FFA" w14:textId="78288A2B">
      <w:pPr>
        <w:pStyle w:val="H2"/>
      </w:pPr>
      <w:bookmarkStart w:id="922" w:name="_Toc493246399"/>
      <w:bookmarkStart w:id="923" w:name="_Toc496116396"/>
      <w:bookmarkStart w:id="924" w:name="_Toc14777755"/>
      <w:bookmarkStart w:id="925" w:name="_Toc183005654"/>
      <w:bookmarkStart w:id="926" w:name="_Toc201751424"/>
      <w:r w:rsidRPr="00990D3B">
        <w:t>Background</w:t>
      </w:r>
      <w:bookmarkEnd w:id="922"/>
      <w:bookmarkEnd w:id="923"/>
      <w:bookmarkEnd w:id="924"/>
      <w:bookmarkEnd w:id="925"/>
      <w:bookmarkEnd w:id="926"/>
    </w:p>
    <w:p w:rsidR="00AD6AF6" w:rsidRPr="00990D3B" w:rsidP="004E5005" w14:paraId="7D2FB95C" w14:textId="33D6311F">
      <w:pPr>
        <w:pStyle w:val="ParagraphContinued"/>
      </w:pPr>
      <w:r w:rsidRPr="00990D3B">
        <w:t>S</w:t>
      </w:r>
      <w:r w:rsidRPr="00990D3B">
        <w:t xml:space="preserve">tates may </w:t>
      </w:r>
      <w:r w:rsidRPr="00990D3B">
        <w:t>direct their external quality review organizations (</w:t>
      </w:r>
      <w:r w:rsidRPr="00990D3B">
        <w:t>EQROs</w:t>
      </w:r>
      <w:r w:rsidRPr="00990D3B">
        <w:t>)</w:t>
      </w:r>
      <w:r w:rsidRPr="00990D3B">
        <w:t xml:space="preserve"> to conduct</w:t>
      </w:r>
      <w:r w:rsidRPr="00990D3B">
        <w:t xml:space="preserve"> focus studies</w:t>
      </w:r>
      <w:r w:rsidRPr="00990D3B">
        <w:t xml:space="preserve"> for quality improvement, administrative, legislative, or other purposes. </w:t>
      </w:r>
      <w:r w:rsidRPr="00990D3B">
        <w:t>Similar to</w:t>
      </w:r>
      <w:r w:rsidRPr="00990D3B">
        <w:t xml:space="preserve"> performance improvement projects (PIPs), </w:t>
      </w:r>
      <w:r w:rsidRPr="00990D3B" w:rsidR="00972D60">
        <w:t>focus</w:t>
      </w:r>
      <w:r w:rsidRPr="00990D3B">
        <w:t xml:space="preserve"> studies </w:t>
      </w:r>
      <w:r w:rsidRPr="00990D3B" w:rsidR="00270B1D">
        <w:t>may</w:t>
      </w:r>
      <w:r w:rsidRPr="00990D3B">
        <w:t xml:space="preserve"> examine</w:t>
      </w:r>
      <w:r w:rsidRPr="00990D3B">
        <w:t xml:space="preserve"> clinical or </w:t>
      </w:r>
      <w:r w:rsidRPr="00990D3B" w:rsidR="00D72373">
        <w:t>non-clinical</w:t>
      </w:r>
      <w:r w:rsidRPr="00990D3B">
        <w:t xml:space="preserve"> aspects of care provided by managed care plans (MCPs). </w:t>
      </w:r>
      <w:r w:rsidRPr="00990D3B" w:rsidR="00281FAC">
        <w:t xml:space="preserve">However, there are key differences between focus studies and PIPs (see </w:t>
      </w:r>
      <w:hyperlink w:anchor="Box9n1" w:tooltip="Box 9.1" w:history="1">
        <w:r w:rsidRPr="00990D3B" w:rsidR="00281FAC">
          <w:rPr>
            <w:rStyle w:val="Hyperlink"/>
          </w:rPr>
          <w:t>Box 9.1</w:t>
        </w:r>
      </w:hyperlink>
      <w:r w:rsidRPr="00990D3B" w:rsidR="00281FAC">
        <w:t>). F</w:t>
      </w:r>
      <w:r w:rsidRPr="00990D3B" w:rsidR="00972D60">
        <w:t>ocus</w:t>
      </w:r>
      <w:r w:rsidRPr="00990D3B">
        <w:t xml:space="preserve"> studies assess quality of care at a point in time, whereas PIPs assess improvement over time</w:t>
      </w:r>
      <w:r w:rsidRPr="00990D3B" w:rsidR="007D0C0B">
        <w:t>.</w:t>
      </w:r>
      <w:r w:rsidRPr="00990D3B">
        <w:t xml:space="preserve"> For example, a </w:t>
      </w:r>
      <w:r w:rsidRPr="00990D3B" w:rsidR="00972D60">
        <w:t>focus</w:t>
      </w:r>
      <w:r w:rsidRPr="00990D3B">
        <w:t xml:space="preserve"> study may be conducted for a single year to provide the state with information about the baseline status of health care quality for a particular aspect of care across</w:t>
      </w:r>
      <w:r w:rsidRPr="00990D3B" w:rsidR="00270B1D">
        <w:t xml:space="preserve"> managed care in</w:t>
      </w:r>
      <w:r w:rsidRPr="00990D3B">
        <w:t xml:space="preserve"> the state or for subpopulations</w:t>
      </w:r>
      <w:r w:rsidRPr="00990D3B" w:rsidR="00270B1D">
        <w:t xml:space="preserve"> served by managed care</w:t>
      </w:r>
      <w:r w:rsidRPr="00990D3B">
        <w:t xml:space="preserve"> within the state. By comparison, PIPs are designed to achieve significant improvement, sustained over time, in health outcomes and enrollee experience</w:t>
      </w:r>
      <w:r w:rsidRPr="00990D3B" w:rsidR="00281FAC">
        <w:t>. PIPs</w:t>
      </w:r>
      <w:r w:rsidRPr="00990D3B">
        <w:t xml:space="preserve"> include the implementation of interventions to achieve improvement, evaluation of the intervention’s effectiveness (including performance measurement), and initiation of activities to increase or sustain improvement.</w:t>
      </w:r>
      <w:r w:rsidRPr="00990D3B" w:rsidR="007D0C0B">
        <w:t xml:space="preserve"> </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7177"/>
      </w:tblGrid>
      <w:tr w14:paraId="33231D62" w14:textId="77777777" w:rsidTr="008F39A0">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216"/>
        </w:trPr>
        <w:tc>
          <w:tcPr>
            <w:tcW w:w="7177" w:type="dxa"/>
            <w:shd w:val="clear" w:color="auto" w:fill="EEF5F8"/>
          </w:tcPr>
          <w:p w:rsidR="008F39A0" w:rsidRPr="00990D3B" w:rsidP="000F67F7" w14:paraId="543C94BE" w14:textId="515D8A81">
            <w:pPr>
              <w:pStyle w:val="EQRTextboxheading"/>
              <w:keepNext/>
              <w:spacing w:before="0" w:after="0"/>
            </w:pPr>
            <w:bookmarkStart w:id="927" w:name="Box9n1"/>
            <w:bookmarkEnd w:id="927"/>
            <w:r w:rsidRPr="00990D3B">
              <w:t>Box 9.1. How Does a Focus Study Differ from a PIP?</w:t>
            </w:r>
          </w:p>
        </w:tc>
      </w:tr>
      <w:tr w14:paraId="01C813D2" w14:textId="77777777" w:rsidTr="008F39A0">
        <w:tblPrEx>
          <w:tblW w:w="0" w:type="auto"/>
          <w:tblCellMar>
            <w:top w:w="72" w:type="dxa"/>
            <w:left w:w="173" w:type="dxa"/>
            <w:bottom w:w="72" w:type="dxa"/>
            <w:right w:w="173" w:type="dxa"/>
          </w:tblCellMar>
          <w:tblLook w:val="04A0"/>
        </w:tblPrEx>
        <w:trPr>
          <w:cantSplit/>
          <w:trHeight w:val="1224"/>
        </w:trPr>
        <w:tc>
          <w:tcPr>
            <w:tcW w:w="7177" w:type="dxa"/>
            <w:shd w:val="clear" w:color="auto" w:fill="EEF5F8"/>
          </w:tcPr>
          <w:p w:rsidR="008F39A0" w:rsidRPr="00990D3B" w:rsidP="0064036B" w14:paraId="4F6BAC7E" w14:textId="10720A46">
            <w:pPr>
              <w:pStyle w:val="EQRTextboxbullet"/>
            </w:pPr>
            <w:r w:rsidRPr="00990D3B">
              <w:rPr>
                <w:b/>
                <w:bCs/>
              </w:rPr>
              <w:t>Focus Study</w:t>
            </w:r>
            <w:r w:rsidRPr="00990D3B" w:rsidR="001A1FDB">
              <w:rPr>
                <w:b/>
                <w:bCs/>
              </w:rPr>
              <w:t xml:space="preserve">. </w:t>
            </w:r>
            <w:r w:rsidRPr="00990D3B" w:rsidR="001A1FDB">
              <w:t xml:space="preserve">A structured review of a specific </w:t>
            </w:r>
            <w:r w:rsidRPr="00990D3B">
              <w:t xml:space="preserve">aspect of clinical care or </w:t>
            </w:r>
            <w:r w:rsidRPr="00990D3B" w:rsidR="00D72373">
              <w:t>non-clinical</w:t>
            </w:r>
            <w:r w:rsidRPr="00990D3B">
              <w:t xml:space="preserve"> services provided by an MCP at a point in time.</w:t>
            </w:r>
            <w:r w:rsidRPr="00990D3B" w:rsidR="00B932D5">
              <w:t xml:space="preserve"> It does not require implementation of an intervention. Focus studies can help identify areas for further investigation or improvement.</w:t>
            </w:r>
          </w:p>
          <w:p w:rsidR="001A1FDB" w:rsidRPr="00990D3B" w:rsidP="0064036B" w14:paraId="2FCDB5E6" w14:textId="464CEB66">
            <w:pPr>
              <w:pStyle w:val="EQRTextboxbullet"/>
            </w:pPr>
            <w:r w:rsidRPr="00990D3B">
              <w:rPr>
                <w:b/>
                <w:bCs/>
              </w:rPr>
              <w:t>PIP</w:t>
            </w:r>
            <w:r w:rsidRPr="00990D3B" w:rsidR="00B932D5">
              <w:rPr>
                <w:b/>
                <w:bCs/>
              </w:rPr>
              <w:t>.</w:t>
            </w:r>
            <w:r w:rsidRPr="00990D3B" w:rsidR="00B932D5">
              <w:t xml:space="preserve"> A </w:t>
            </w:r>
            <w:r w:rsidRPr="00990D3B">
              <w:t>project that implements an intervention designed to achieve and sustain significant improvement over time.</w:t>
            </w:r>
            <w:r w:rsidRPr="00990D3B" w:rsidR="00B932D5">
              <w:t xml:space="preserve"> </w:t>
            </w:r>
          </w:p>
        </w:tc>
      </w:tr>
    </w:tbl>
    <w:p w:rsidR="005B4D54" w:rsidRPr="00990D3B" w:rsidP="004E5005" w14:paraId="74D8C74B" w14:textId="1ED59C44">
      <w:pPr>
        <w:pStyle w:val="ParagraphContinued"/>
      </w:pPr>
      <w:r w:rsidRPr="00990D3B">
        <w:t xml:space="preserve">Although the goals and regulations for </w:t>
      </w:r>
      <w:r w:rsidRPr="00990D3B" w:rsidR="00972D60">
        <w:t>focus</w:t>
      </w:r>
      <w:r w:rsidRPr="00990D3B">
        <w:t xml:space="preserve"> studies and PIPs differ, EQROs can use similar processes to design both types of projects. Both must be designed, conducted, and reported in a methodologically sound manner. Because of these similarities, the process for conducting </w:t>
      </w:r>
      <w:r w:rsidRPr="00990D3B" w:rsidR="00972D60">
        <w:t>focus</w:t>
      </w:r>
      <w:r w:rsidRPr="00990D3B">
        <w:t xml:space="preserve"> studies described in this protocol mirrors many of the activities in </w:t>
      </w:r>
      <w:hyperlink w:anchor="Protocol8" w:tooltip="Protocol 8" w:history="1">
        <w:r w:rsidRPr="00990D3B">
          <w:rPr>
            <w:rStyle w:val="Hyperlink"/>
          </w:rPr>
          <w:t>Protocol 8</w:t>
        </w:r>
      </w:hyperlink>
      <w:r w:rsidRPr="00990D3B">
        <w:t xml:space="preserve"> for conducting</w:t>
      </w:r>
      <w:r w:rsidRPr="00990D3B" w:rsidR="006D4683">
        <w:t> </w:t>
      </w:r>
      <w:r w:rsidRPr="00990D3B">
        <w:t xml:space="preserve">PIPs. </w:t>
      </w:r>
    </w:p>
    <w:p w:rsidR="005B4D54" w:rsidRPr="00990D3B" w:rsidP="00C023EF" w14:paraId="3B628168" w14:textId="59C69F99">
      <w:pPr>
        <w:pStyle w:val="H2"/>
        <w:rPr>
          <w:lang w:bidi="en-US"/>
        </w:rPr>
      </w:pPr>
      <w:bookmarkStart w:id="928" w:name="_Toc14777756"/>
      <w:bookmarkStart w:id="929" w:name="_Toc183005655"/>
      <w:bookmarkStart w:id="930" w:name="_Toc201751425"/>
      <w:r w:rsidRPr="00990D3B">
        <w:rPr>
          <w:lang w:bidi="en-US"/>
        </w:rPr>
        <w:t>G</w:t>
      </w:r>
      <w:r w:rsidRPr="00990D3B" w:rsidR="00E52581">
        <w:rPr>
          <w:lang w:bidi="en-US"/>
        </w:rPr>
        <w:t>etting Started on Protocol</w:t>
      </w:r>
      <w:r w:rsidRPr="00990D3B">
        <w:rPr>
          <w:lang w:bidi="en-US"/>
        </w:rPr>
        <w:t xml:space="preserve"> 9</w:t>
      </w:r>
      <w:bookmarkEnd w:id="928"/>
      <w:bookmarkEnd w:id="929"/>
      <w:bookmarkEnd w:id="930"/>
    </w:p>
    <w:p w:rsidR="005729C1" w:rsidRPr="00990D3B" w:rsidP="004E5005" w14:paraId="318410A4" w14:textId="5367A3D4">
      <w:pPr>
        <w:pStyle w:val="ParagraphContinued"/>
      </w:pPr>
      <w:r w:rsidRPr="00990D3B">
        <w:t>To complete this protocol, the EQRO undertakes seven activities for each MCP (</w:t>
      </w:r>
      <w:hyperlink w:anchor="Figure9n1" w:tooltip="Figure 9.1" w:history="1">
        <w:r w:rsidRPr="00990D3B">
          <w:rPr>
            <w:rStyle w:val="Hyperlink"/>
          </w:rPr>
          <w:t xml:space="preserve">Figure </w:t>
        </w:r>
        <w:r w:rsidRPr="00990D3B" w:rsidR="00103C96">
          <w:rPr>
            <w:rStyle w:val="Hyperlink"/>
          </w:rPr>
          <w:t>9.</w:t>
        </w:r>
        <w:r w:rsidRPr="00990D3B">
          <w:rPr>
            <w:rStyle w:val="Hyperlink"/>
          </w:rPr>
          <w:t>1</w:t>
        </w:r>
      </w:hyperlink>
      <w:r w:rsidRPr="00990D3B">
        <w:t>).</w:t>
      </w:r>
    </w:p>
    <w:p w:rsidR="005729C1" w:rsidRPr="00990D3B" w:rsidP="00ED0043" w14:paraId="3AEAF4AC" w14:textId="70E61669">
      <w:pPr>
        <w:pStyle w:val="MarkforFigureHeading"/>
      </w:pPr>
      <w:bookmarkStart w:id="931" w:name="Figure9n1"/>
      <w:bookmarkEnd w:id="931"/>
      <w:r w:rsidRPr="00990D3B">
        <w:t xml:space="preserve">Figure </w:t>
      </w:r>
      <w:r w:rsidRPr="00990D3B" w:rsidR="00103C96">
        <w:t>9.</w:t>
      </w:r>
      <w:r w:rsidRPr="00990D3B">
        <w:t xml:space="preserve">1. Overview of Protocol 9 </w:t>
      </w:r>
      <w:r w:rsidRPr="00990D3B" w:rsidR="00CD536E">
        <w:t>A</w:t>
      </w:r>
      <w:r w:rsidRPr="00990D3B">
        <w:t>ctivities</w:t>
      </w:r>
    </w:p>
    <w:p w:rsidR="0033713E" w:rsidRPr="00990D3B" w:rsidP="004252B0" w14:paraId="08536B92" w14:textId="6D3C4861">
      <w:pPr>
        <w:pStyle w:val="EQRFigure"/>
      </w:pPr>
      <w:r w:rsidRPr="00990D3B">
        <w:drawing>
          <wp:inline distT="0" distB="0" distL="0" distR="0">
            <wp:extent cx="5944235" cy="5864860"/>
            <wp:effectExtent l="0" t="0" r="0" b="2540"/>
            <wp:docPr id="31" name="Picture 31" descr="Protocol 9 has seven activities. The first activity is to select the study topic(s). The second activity is to define the study question(s). The third activity is to select the study variable(s). The fourth activity is to develop a plan to study the population. The fifth activity is to collect data. The sixth activity is to analyze and interpret study results. The seventh activity is to report results to the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Protocol 9 has seven activities. The first activity is to select the study topic(s). The second activity is to define the study question(s). The third activity is to select the study variable(s). The fourth activity is to develop a plan to study the population. The fifth activity is to collect data. The sixth activity is to analyze and interpret study results. The seventh activity is to report results to the state."/>
                    <pic:cNvPicPr>
                      <a:picLocks noChangeAspect="1" noChangeArrowheads="1"/>
                    </pic:cNvPicPr>
                  </pic:nvPicPr>
                  <pic:blipFill>
                    <a:blip xmlns:r="http://schemas.openxmlformats.org/officeDocument/2006/relationships" r:embed="rId20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4235" cy="5864860"/>
                    </a:xfrm>
                    <a:prstGeom prst="rect">
                      <a:avLst/>
                    </a:prstGeom>
                    <a:noFill/>
                  </pic:spPr>
                </pic:pic>
              </a:graphicData>
            </a:graphic>
          </wp:inline>
        </w:drawing>
      </w:r>
    </w:p>
    <w:p w:rsidR="004252B0" w:rsidRPr="00990D3B" w:rsidP="000510B7" w14:paraId="61FA2B47" w14:textId="14A6F646">
      <w:pPr>
        <w:pStyle w:val="H2"/>
      </w:pPr>
      <w:bookmarkStart w:id="932" w:name="P9A1"/>
      <w:bookmarkStart w:id="933" w:name="_Toc14777757"/>
      <w:bookmarkStart w:id="934" w:name="_Toc183005656"/>
      <w:bookmarkStart w:id="935" w:name="_Toc201751426"/>
      <w:r w:rsidRPr="00990D3B">
        <w:t>A</w:t>
      </w:r>
      <w:r w:rsidRPr="00990D3B" w:rsidR="007E5859">
        <w:t>ctivity</w:t>
      </w:r>
      <w:r w:rsidRPr="00990D3B">
        <w:t xml:space="preserve"> 1</w:t>
      </w:r>
      <w:bookmarkEnd w:id="932"/>
      <w:r w:rsidRPr="00990D3B">
        <w:t>: S</w:t>
      </w:r>
      <w:r w:rsidRPr="00990D3B" w:rsidR="00196379">
        <w:t>elect the Study Topic</w:t>
      </w:r>
      <w:r w:rsidRPr="00990D3B">
        <w:t>(</w:t>
      </w:r>
      <w:r w:rsidRPr="00990D3B" w:rsidR="00196379">
        <w:t>s</w:t>
      </w:r>
      <w:r w:rsidRPr="00990D3B">
        <w:t>)</w:t>
      </w:r>
      <w:bookmarkEnd w:id="933"/>
      <w:bookmarkEnd w:id="934"/>
      <w:bookmarkEnd w:id="935"/>
    </w:p>
    <w:p w:rsidR="004252B0" w:rsidRPr="00990D3B" w:rsidP="0083769C" w14:paraId="555B29F8" w14:textId="2CEC19FB">
      <w:pPr>
        <w:pStyle w:val="ParagraphContinued"/>
      </w:pPr>
      <w:r w:rsidRPr="00990D3B">
        <w:t>Focus</w:t>
      </w:r>
      <w:r w:rsidRPr="00990D3B">
        <w:t xml:space="preserve"> studies may target a single MCP</w:t>
      </w:r>
      <w:r w:rsidRPr="00990D3B" w:rsidR="005E7490">
        <w:t>, a subset of MCPs,</w:t>
      </w:r>
      <w:r w:rsidRPr="00990D3B">
        <w:t xml:space="preserve"> or all MCPs in the state. They should target relevant areas of clinical care and </w:t>
      </w:r>
      <w:r w:rsidRPr="00990D3B" w:rsidR="00D72373">
        <w:t>non-clinical</w:t>
      </w:r>
      <w:r w:rsidRPr="00990D3B">
        <w:t xml:space="preserve"> services in which </w:t>
      </w:r>
      <w:r w:rsidRPr="00990D3B" w:rsidR="00270B1D">
        <w:t xml:space="preserve">it is known or suspected that </w:t>
      </w:r>
      <w:r w:rsidRPr="00990D3B">
        <w:t xml:space="preserve">improvement is needed. For example, the </w:t>
      </w:r>
      <w:r w:rsidRPr="00990D3B">
        <w:t>focus</w:t>
      </w:r>
      <w:r w:rsidRPr="00990D3B">
        <w:t xml:space="preserve"> study may </w:t>
      </w:r>
      <w:r w:rsidRPr="00990D3B" w:rsidR="00270B1D">
        <w:t xml:space="preserve">examine </w:t>
      </w:r>
      <w:r w:rsidRPr="00990D3B">
        <w:t xml:space="preserve">patterns of over- or under-utilization of services </w:t>
      </w:r>
      <w:r w:rsidRPr="00990D3B" w:rsidR="00BB1AFF">
        <w:t xml:space="preserve">to </w:t>
      </w:r>
      <w:r w:rsidRPr="00990D3B" w:rsidR="00BA10FF">
        <w:t>assess</w:t>
      </w:r>
      <w:r w:rsidRPr="00990D3B" w:rsidR="00270B1D">
        <w:t xml:space="preserve"> the potential</w:t>
      </w:r>
      <w:r w:rsidRPr="00990D3B">
        <w:t xml:space="preserve"> threat to health or functional status</w:t>
      </w:r>
      <w:r w:rsidRPr="00990D3B" w:rsidR="00270B1D">
        <w:t xml:space="preserve"> of enrollees</w:t>
      </w:r>
      <w:r w:rsidRPr="00990D3B">
        <w:t>. Selected topics should</w:t>
      </w:r>
      <w:r w:rsidRPr="00990D3B">
        <w:t>:</w:t>
      </w:r>
    </w:p>
    <w:p w:rsidR="004252B0" w:rsidRPr="00990D3B" w:rsidP="00FB7CAF" w14:paraId="2565ED81" w14:textId="71355ADB">
      <w:pPr>
        <w:pStyle w:val="EQRBulletBLUE"/>
      </w:pPr>
      <w:r w:rsidRPr="00990D3B">
        <w:t>Reflect MCP enrollment in terms of demographic characteristics, prevalence of disease, and the potential consequences of the disease</w:t>
      </w:r>
      <w:r w:rsidRPr="00990D3B" w:rsidR="00B932D5">
        <w:t>.</w:t>
      </w:r>
    </w:p>
    <w:p w:rsidR="004252B0" w:rsidRPr="00990D3B" w:rsidP="00FB7CAF" w14:paraId="5255429B" w14:textId="4E6B0517">
      <w:pPr>
        <w:pStyle w:val="EQRBulletBLUE"/>
      </w:pPr>
      <w:r w:rsidRPr="00990D3B">
        <w:t>Affect a significant portion of enrollees</w:t>
      </w:r>
      <w:r w:rsidRPr="00990D3B" w:rsidR="005E7490">
        <w:t xml:space="preserve">, </w:t>
      </w:r>
      <w:r w:rsidRPr="00990D3B" w:rsidR="00586066">
        <w:t>a specified subpopulation of enrollees</w:t>
      </w:r>
      <w:r w:rsidRPr="00990D3B" w:rsidR="005E7490">
        <w:t>,</w:t>
      </w:r>
      <w:r w:rsidRPr="00990D3B" w:rsidR="00586066">
        <w:t xml:space="preserve"> or a significant portion of enrollees</w:t>
      </w:r>
      <w:r w:rsidRPr="00990D3B">
        <w:t xml:space="preserve"> impacted by a specific health care issue (such as oral health or maternal and infant health)</w:t>
      </w:r>
      <w:r w:rsidRPr="00990D3B" w:rsidR="00B932D5">
        <w:t>.</w:t>
      </w:r>
    </w:p>
    <w:p w:rsidR="00632831" w:rsidRPr="00990D3B" w:rsidP="00FB7CAF" w14:paraId="20B80021" w14:textId="3C624763">
      <w:pPr>
        <w:pStyle w:val="EQRBulletBLUE"/>
      </w:pPr>
      <w:r w:rsidRPr="00990D3B">
        <w:t xml:space="preserve">Align with </w:t>
      </w:r>
      <w:r w:rsidRPr="00990D3B" w:rsidR="00F349EB">
        <w:t xml:space="preserve">CMS-identified </w:t>
      </w:r>
      <w:r w:rsidRPr="00990D3B">
        <w:t xml:space="preserve">priority areas </w:t>
      </w:r>
      <w:r w:rsidRPr="00990D3B" w:rsidR="00A241C1">
        <w:t>for quality improvement</w:t>
      </w:r>
      <w:r w:rsidRPr="00990D3B" w:rsidR="00B932D5">
        <w:t>.</w:t>
      </w:r>
      <w:r w:rsidRPr="00990D3B" w:rsidR="00A241C1">
        <w:t xml:space="preserve"> </w:t>
      </w:r>
      <w:r>
        <w:rPr>
          <w:rStyle w:val="FootnoteReference"/>
          <w:szCs w:val="22"/>
        </w:rPr>
        <w:footnoteReference w:id="93"/>
      </w:r>
      <w:r w:rsidRPr="00990D3B">
        <w:rPr>
          <w:vertAlign w:val="superscript"/>
        </w:rPr>
        <w:t xml:space="preserve"> </w:t>
      </w:r>
    </w:p>
    <w:p w:rsidR="00026795" w:rsidRPr="00990D3B" w:rsidP="0038276B" w14:paraId="5E187A7B" w14:textId="155019DF">
      <w:pPr>
        <w:pStyle w:val="ParagraphContinued"/>
        <w:spacing w:before="200" w:after="200"/>
      </w:pPr>
      <w:r w:rsidRPr="00990D3B">
        <w:t xml:space="preserve">When selecting the </w:t>
      </w:r>
      <w:r w:rsidRPr="00990D3B" w:rsidR="00972D60">
        <w:t>focus</w:t>
      </w:r>
      <w:r w:rsidRPr="00990D3B">
        <w:t xml:space="preserve"> study topic, the EQRO and state should consider a variety of factors related to enrollee characteristics, health risks, experience of care, and special population or service needs</w:t>
      </w:r>
      <w:r w:rsidRPr="00990D3B" w:rsidR="00281FAC">
        <w:t>.</w:t>
      </w:r>
      <w:r w:rsidRPr="00990D3B" w:rsidR="00C90BB3">
        <w:t xml:space="preserve"> </w:t>
      </w:r>
      <w:hyperlink w:anchor="Box9n2" w:tooltip="Box 9.2" w:history="1">
        <w:r w:rsidRPr="00990D3B" w:rsidR="000510B7">
          <w:rPr>
            <w:rStyle w:val="Hyperlink"/>
          </w:rPr>
          <w:t>Box 9.2</w:t>
        </w:r>
      </w:hyperlink>
      <w:r w:rsidRPr="00990D3B" w:rsidR="00C90BB3">
        <w:t xml:space="preserve"> </w:t>
      </w:r>
      <w:r w:rsidR="00D61AD6">
        <w:t xml:space="preserve">(next page) </w:t>
      </w:r>
      <w:r w:rsidRPr="00990D3B" w:rsidR="00C90BB3">
        <w:t>provides additional information on selecting a focus study topic.</w:t>
      </w:r>
      <w:r w:rsidRPr="00990D3B">
        <w:t xml:space="preserve"> </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1D16B569" w14:textId="77777777" w:rsidTr="000F67F7">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Pr>
        <w:tc>
          <w:tcPr>
            <w:tcW w:w="9314" w:type="dxa"/>
            <w:shd w:val="clear" w:color="auto" w:fill="EEF5F8"/>
          </w:tcPr>
          <w:p w:rsidR="00770F32" w:rsidRPr="00990D3B" w:rsidP="000F67F7" w14:paraId="3DC26705" w14:textId="77777777">
            <w:pPr>
              <w:pStyle w:val="EQRTextboxheading"/>
              <w:keepNext/>
              <w:spacing w:before="0" w:after="0"/>
            </w:pPr>
            <w:bookmarkStart w:id="936" w:name="Box9n2"/>
            <w:bookmarkStart w:id="937" w:name="_Hlk95389458"/>
            <w:bookmarkEnd w:id="936"/>
            <w:r w:rsidRPr="00990D3B">
              <w:t>Box 9.2 Factors to Consider when Selecting a Focus Study Topic</w:t>
            </w:r>
          </w:p>
          <w:p w:rsidR="001E0799" w:rsidRPr="00990D3B" w:rsidP="00CF035B" w14:paraId="4D5DA884" w14:textId="4D797F7D">
            <w:pPr>
              <w:pStyle w:val="EQRTextboxbody"/>
              <w:spacing w:after="0"/>
            </w:pPr>
            <w:r w:rsidRPr="00990D3B">
              <w:t>To help ensure that a focus study yields meaningful and actionable insights, states and EQROs should consider a range of factors when selecting a topic. These may include enrollee demographics and health risks, performance on key quality measures, input from enrollees, and areas of known or emerging need—particularly for high-risk or underserved populations and services. The list below offers examples to guide topic selection across different care settings and enrollee experiences.</w:t>
            </w:r>
          </w:p>
        </w:tc>
      </w:tr>
      <w:tr w14:paraId="162F7324" w14:textId="77777777" w:rsidTr="000F67F7">
        <w:tblPrEx>
          <w:tblW w:w="0" w:type="auto"/>
          <w:tblCellMar>
            <w:top w:w="72" w:type="dxa"/>
            <w:left w:w="173" w:type="dxa"/>
            <w:bottom w:w="72" w:type="dxa"/>
            <w:right w:w="173" w:type="dxa"/>
          </w:tblCellMar>
          <w:tblLook w:val="04A0"/>
        </w:tblPrEx>
        <w:trPr>
          <w:cantSplit/>
        </w:trPr>
        <w:tc>
          <w:tcPr>
            <w:tcW w:w="9314" w:type="dxa"/>
            <w:shd w:val="clear" w:color="auto" w:fill="EEF5F8"/>
          </w:tcPr>
          <w:p w:rsidR="00770F32" w:rsidRPr="00990D3B" w:rsidP="00770F32" w14:paraId="1F114D9B" w14:textId="77777777">
            <w:pPr>
              <w:pStyle w:val="EQRTextboxbullet"/>
            </w:pPr>
            <w:r w:rsidRPr="00990D3B">
              <w:t xml:space="preserve">Demographic and epidemiologic information about current MCP </w:t>
            </w:r>
            <w:r w:rsidRPr="00990D3B">
              <w:t>enrollees</w:t>
            </w:r>
          </w:p>
          <w:p w:rsidR="00770F32" w:rsidRPr="00990D3B" w:rsidP="00770F32" w14:paraId="75DB0115" w14:textId="77777777">
            <w:pPr>
              <w:pStyle w:val="EQRTextboxbullet"/>
            </w:pPr>
            <w:r w:rsidRPr="00990D3B">
              <w:t>Enrollee health risks and disease prevalence</w:t>
            </w:r>
          </w:p>
          <w:p w:rsidR="00770F32" w:rsidRPr="00990D3B" w:rsidP="00770F32" w14:paraId="6DC5714C" w14:textId="77777777">
            <w:pPr>
              <w:pStyle w:val="EQRTextboxbullet"/>
            </w:pPr>
            <w:r w:rsidRPr="00990D3B">
              <w:t>State performance on CMS Child and Adult Core Set measures</w:t>
            </w:r>
          </w:p>
          <w:p w:rsidR="00770F32" w:rsidRPr="00990D3B" w:rsidP="00770F32" w14:paraId="4A985563" w14:textId="77777777">
            <w:pPr>
              <w:pStyle w:val="EQRTextboxbullet"/>
            </w:pPr>
            <w:r w:rsidRPr="00990D3B">
              <w:t xml:space="preserve">Input from </w:t>
            </w:r>
            <w:r w:rsidRPr="00990D3B">
              <w:t>enrollees</w:t>
            </w:r>
            <w:r w:rsidRPr="00990D3B">
              <w:t xml:space="preserve"> about specific services, such as mental health or substance abuse</w:t>
            </w:r>
          </w:p>
          <w:p w:rsidR="00770F32" w:rsidRPr="00990D3B" w:rsidP="00770F32" w14:paraId="55A85A3B" w14:textId="77777777">
            <w:pPr>
              <w:pStyle w:val="EQRTextboxbullet"/>
            </w:pPr>
            <w:r w:rsidRPr="00990D3B">
              <w:t>A spectrum of enrollee populations, services, and experiences:</w:t>
            </w:r>
          </w:p>
          <w:p w:rsidR="00770F32" w:rsidRPr="00990D3B" w:rsidP="00770F32" w14:paraId="6930C96C" w14:textId="77777777">
            <w:pPr>
              <w:pStyle w:val="EQRTextboxbullet2ndlevel"/>
            </w:pPr>
            <w:r w:rsidRPr="00990D3B">
              <w:t>Care for children with special health care needs</w:t>
            </w:r>
          </w:p>
          <w:p w:rsidR="00770F32" w:rsidRPr="00990D3B" w:rsidP="00770F32" w14:paraId="0FAC151F" w14:textId="77777777">
            <w:pPr>
              <w:pStyle w:val="EQRTextboxbullet2ndlevel"/>
            </w:pPr>
            <w:r w:rsidRPr="00990D3B">
              <w:t>Care for adults with physical disabilities</w:t>
            </w:r>
          </w:p>
          <w:p w:rsidR="00770F32" w:rsidRPr="00990D3B" w:rsidP="00770F32" w14:paraId="57B2F46B" w14:textId="77777777">
            <w:pPr>
              <w:pStyle w:val="EQRTextboxbullet2ndlevel"/>
            </w:pPr>
            <w:r w:rsidRPr="00990D3B">
              <w:t>Care for people with intellectual and developmental disabilities</w:t>
            </w:r>
          </w:p>
          <w:p w:rsidR="00770F32" w:rsidRPr="00990D3B" w:rsidP="00770F32" w14:paraId="07578285" w14:textId="7B518065">
            <w:pPr>
              <w:pStyle w:val="EQRTextboxbullet2ndlevel"/>
            </w:pPr>
            <w:r w:rsidRPr="00990D3B">
              <w:t xml:space="preserve">Care for people with </w:t>
            </w:r>
            <w:r w:rsidRPr="00990D3B" w:rsidR="006B018E">
              <w:t xml:space="preserve">Medicare and Medicaid </w:t>
            </w:r>
            <w:r w:rsidRPr="00990D3B">
              <w:t xml:space="preserve">dual eligibility who use long-term services and </w:t>
            </w:r>
            <w:r w:rsidRPr="00990D3B">
              <w:t>supports</w:t>
            </w:r>
            <w:r w:rsidRPr="00990D3B">
              <w:t xml:space="preserve"> (LTSS)</w:t>
            </w:r>
          </w:p>
          <w:p w:rsidR="00770F32" w:rsidRPr="00990D3B" w:rsidP="00770F32" w14:paraId="4336CD08" w14:textId="77777777">
            <w:pPr>
              <w:pStyle w:val="EQRTextboxbullet2ndlevel"/>
            </w:pPr>
            <w:r w:rsidRPr="00990D3B">
              <w:t>Preventive care</w:t>
            </w:r>
          </w:p>
          <w:p w:rsidR="00770F32" w:rsidRPr="00990D3B" w:rsidP="00770F32" w14:paraId="286485E6" w14:textId="77777777">
            <w:pPr>
              <w:pStyle w:val="EQRTextboxbullet2ndlevel"/>
            </w:pPr>
            <w:r w:rsidRPr="00990D3B">
              <w:t>Acute and chronic care</w:t>
            </w:r>
          </w:p>
          <w:p w:rsidR="00770F32" w:rsidRPr="00990D3B" w:rsidP="00770F32" w14:paraId="337181CD" w14:textId="77777777">
            <w:pPr>
              <w:pStyle w:val="EQRTextboxbullet2ndlevel"/>
            </w:pPr>
            <w:r w:rsidRPr="00990D3B">
              <w:t>High-volume and high-risk services (even if they are low frequency)</w:t>
            </w:r>
          </w:p>
          <w:p w:rsidR="00770F32" w:rsidRPr="00990D3B" w:rsidP="00770F32" w14:paraId="248D669F" w14:textId="77777777">
            <w:pPr>
              <w:pStyle w:val="EQRTextboxbullet2ndlevel"/>
            </w:pPr>
            <w:r w:rsidRPr="00990D3B">
              <w:t>Specialized care received from centers (burn, transplant, and cardiac surgery centers)</w:t>
            </w:r>
          </w:p>
          <w:p w:rsidR="00770F32" w:rsidRPr="00990D3B" w:rsidP="00770F32" w14:paraId="5FA6B0BC" w14:textId="77777777">
            <w:pPr>
              <w:pStyle w:val="EQRTextboxbullet2ndlevel"/>
            </w:pPr>
            <w:r w:rsidRPr="00990D3B">
              <w:t xml:space="preserve">Access to and availability of care </w:t>
            </w:r>
          </w:p>
          <w:p w:rsidR="00770F32" w:rsidRPr="00990D3B" w:rsidP="00770F32" w14:paraId="18D7075F" w14:textId="77777777">
            <w:pPr>
              <w:pStyle w:val="EQRTextboxbullet2ndlevel"/>
            </w:pPr>
            <w:r w:rsidRPr="00990D3B">
              <w:t>Continuity or coordination of care from multiple providers and over multiple episodes</w:t>
            </w:r>
          </w:p>
          <w:p w:rsidR="00770F32" w:rsidRPr="00990D3B" w:rsidP="00770F32" w14:paraId="6D05E502" w14:textId="0C4290A5">
            <w:pPr>
              <w:pStyle w:val="EQRTextboxbullet2ndlevel"/>
            </w:pPr>
            <w:r w:rsidRPr="00990D3B">
              <w:t>Appeals and grievances</w:t>
            </w:r>
          </w:p>
        </w:tc>
      </w:tr>
    </w:tbl>
    <w:p w:rsidR="00C60BC0" w:rsidRPr="00990D3B" w:rsidP="000510B7" w14:paraId="676473C5" w14:textId="4003BE51">
      <w:pPr>
        <w:pStyle w:val="H2"/>
      </w:pPr>
      <w:bookmarkStart w:id="938" w:name="P9A2"/>
      <w:bookmarkStart w:id="939" w:name="_Toc14777758"/>
      <w:bookmarkStart w:id="940" w:name="_Toc183005657"/>
      <w:bookmarkStart w:id="941" w:name="_Toc201751427"/>
      <w:bookmarkEnd w:id="937"/>
      <w:r w:rsidRPr="00990D3B">
        <w:t>A</w:t>
      </w:r>
      <w:r w:rsidRPr="00990D3B" w:rsidR="007E5859">
        <w:t>ctivity</w:t>
      </w:r>
      <w:r w:rsidRPr="00990D3B">
        <w:t xml:space="preserve"> </w:t>
      </w:r>
      <w:r w:rsidRPr="00990D3B" w:rsidR="006D22A2">
        <w:t>2</w:t>
      </w:r>
      <w:bookmarkEnd w:id="938"/>
      <w:r w:rsidRPr="00990D3B" w:rsidR="006D22A2">
        <w:t>: D</w:t>
      </w:r>
      <w:r w:rsidRPr="00990D3B" w:rsidR="00196379">
        <w:t>efine the Study Question</w:t>
      </w:r>
      <w:r w:rsidRPr="00990D3B" w:rsidR="006D22A2">
        <w:t>(</w:t>
      </w:r>
      <w:r w:rsidRPr="00990D3B" w:rsidR="00196379">
        <w:t>s</w:t>
      </w:r>
      <w:r w:rsidRPr="00990D3B" w:rsidR="006D22A2">
        <w:t>)</w:t>
      </w:r>
      <w:bookmarkEnd w:id="939"/>
      <w:bookmarkEnd w:id="940"/>
      <w:bookmarkEnd w:id="941"/>
    </w:p>
    <w:p w:rsidR="0033713E" w:rsidRPr="00990D3B" w:rsidP="004E5005" w14:paraId="6B204F7A" w14:textId="5CFDB48D">
      <w:pPr>
        <w:pStyle w:val="ParagraphContinued"/>
      </w:pPr>
      <w:r w:rsidRPr="00990D3B">
        <w:t>In this activity, the EQRO defines the study question(s). The study question identifies the focus of the study and establishes the framework for data collection and analysis. The study question should be clear, concise, and answerable</w:t>
      </w:r>
      <w:r w:rsidRPr="00990D3B" w:rsidR="00C90BB3">
        <w:t xml:space="preserve">. </w:t>
      </w:r>
      <w:hyperlink w:anchor="Box9n3" w:tooltip="Box 9.3" w:history="1">
        <w:r w:rsidRPr="00990D3B" w:rsidR="000510B7">
          <w:rPr>
            <w:rStyle w:val="Hyperlink"/>
          </w:rPr>
          <w:t>Box 9.3</w:t>
        </w:r>
      </w:hyperlink>
      <w:r w:rsidRPr="00990D3B" w:rsidR="00C90BB3">
        <w:t xml:space="preserve"> provides </w:t>
      </w:r>
      <w:r w:rsidRPr="00990D3B" w:rsidR="00C90BB3">
        <w:t>considerations</w:t>
      </w:r>
      <w:r w:rsidRPr="00990D3B" w:rsidR="00C90BB3">
        <w:t xml:space="preserve"> for the study question(s).</w:t>
      </w:r>
      <w:r w:rsidRPr="00990D3B">
        <w:t xml:space="preserve"> </w:t>
      </w:r>
      <w:hyperlink w:anchor="Table9n1" w:tooltip="Table 9.1" w:history="1">
        <w:r w:rsidRPr="00990D3B">
          <w:rPr>
            <w:rStyle w:val="Hyperlink"/>
          </w:rPr>
          <w:t xml:space="preserve">Table </w:t>
        </w:r>
        <w:r w:rsidRPr="00990D3B" w:rsidR="006D22A2">
          <w:rPr>
            <w:rStyle w:val="Hyperlink"/>
          </w:rPr>
          <w:t>9.</w:t>
        </w:r>
        <w:r w:rsidRPr="00990D3B">
          <w:rPr>
            <w:rStyle w:val="Hyperlink"/>
          </w:rPr>
          <w:t>1</w:t>
        </w:r>
      </w:hyperlink>
      <w:r w:rsidRPr="00990D3B" w:rsidR="001E0799">
        <w:rPr>
          <w:rStyle w:val="Hyperlink"/>
        </w:rPr>
        <w:t xml:space="preserve"> </w:t>
      </w:r>
      <w:r w:rsidRPr="00990D3B" w:rsidR="001E0799">
        <w:rPr>
          <w:rStyle w:val="Hyperlink"/>
          <w:color w:val="auto"/>
        </w:rPr>
        <w:t>(next page)</w:t>
      </w:r>
      <w:r w:rsidRPr="00990D3B">
        <w:t xml:space="preserve"> critiques illustrative study questions for </w:t>
      </w:r>
      <w:r w:rsidRPr="00990D3B">
        <w:t xml:space="preserve">a </w:t>
      </w:r>
      <w:r w:rsidRPr="00990D3B" w:rsidR="00972D60">
        <w:t>focus</w:t>
      </w:r>
      <w:r w:rsidRPr="00990D3B">
        <w:t xml:space="preserve"> study.</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64143F7F" w14:textId="77777777" w:rsidTr="000F67F7">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Pr>
        <w:tc>
          <w:tcPr>
            <w:tcW w:w="9314" w:type="dxa"/>
            <w:shd w:val="clear" w:color="auto" w:fill="EEF5F8"/>
          </w:tcPr>
          <w:p w:rsidR="00F75446" w:rsidRPr="00990D3B" w:rsidP="000F67F7" w14:paraId="62E0C5E1" w14:textId="600448BE">
            <w:pPr>
              <w:pStyle w:val="EQRTextboxheading"/>
              <w:keepNext/>
              <w:spacing w:before="0" w:after="0"/>
            </w:pPr>
            <w:bookmarkStart w:id="942" w:name="Box9n3"/>
            <w:bookmarkStart w:id="943" w:name="_Hlk95389767"/>
            <w:bookmarkEnd w:id="942"/>
            <w:r w:rsidRPr="00990D3B">
              <w:t xml:space="preserve">Box 9.3 How </w:t>
            </w:r>
            <w:r w:rsidRPr="00990D3B" w:rsidR="001E0799">
              <w:t>D</w:t>
            </w:r>
            <w:r w:rsidRPr="00990D3B">
              <w:t xml:space="preserve">o </w:t>
            </w:r>
            <w:r w:rsidRPr="00990D3B" w:rsidR="001E0799">
              <w:t>W</w:t>
            </w:r>
            <w:r w:rsidRPr="00990D3B">
              <w:t xml:space="preserve">e </w:t>
            </w:r>
            <w:r w:rsidRPr="00990D3B" w:rsidR="001E0799">
              <w:t>K</w:t>
            </w:r>
            <w:r w:rsidRPr="00990D3B">
              <w:t xml:space="preserve">now </w:t>
            </w:r>
            <w:r w:rsidRPr="00990D3B" w:rsidR="001E0799">
              <w:t>I</w:t>
            </w:r>
            <w:r w:rsidRPr="00990D3B">
              <w:t xml:space="preserve">f a </w:t>
            </w:r>
            <w:r w:rsidRPr="00990D3B" w:rsidR="001E0799">
              <w:t>F</w:t>
            </w:r>
            <w:r w:rsidRPr="00990D3B">
              <w:t xml:space="preserve">ocus </w:t>
            </w:r>
            <w:r w:rsidRPr="00990D3B" w:rsidR="001E0799">
              <w:t>S</w:t>
            </w:r>
            <w:r w:rsidRPr="00990D3B">
              <w:t xml:space="preserve">tudy </w:t>
            </w:r>
            <w:r w:rsidRPr="00990D3B" w:rsidR="001E0799">
              <w:t>Q</w:t>
            </w:r>
            <w:r w:rsidRPr="00990D3B">
              <w:t xml:space="preserve">uestion is </w:t>
            </w:r>
            <w:r w:rsidRPr="00990D3B" w:rsidR="001E0799">
              <w:t>C</w:t>
            </w:r>
            <w:r w:rsidRPr="00990D3B">
              <w:t xml:space="preserve">lear, </w:t>
            </w:r>
            <w:r w:rsidRPr="00990D3B" w:rsidR="001E0799">
              <w:t>C</w:t>
            </w:r>
            <w:r w:rsidRPr="00990D3B">
              <w:t xml:space="preserve">oncise, and </w:t>
            </w:r>
            <w:r w:rsidRPr="00990D3B" w:rsidR="001E0799">
              <w:t>A</w:t>
            </w:r>
            <w:r w:rsidRPr="00990D3B">
              <w:t>nswerable?</w:t>
            </w:r>
          </w:p>
        </w:tc>
      </w:tr>
      <w:tr w14:paraId="315AA539" w14:textId="77777777" w:rsidTr="000F67F7">
        <w:tblPrEx>
          <w:tblW w:w="0" w:type="auto"/>
          <w:tblCellMar>
            <w:top w:w="72" w:type="dxa"/>
            <w:left w:w="173" w:type="dxa"/>
            <w:bottom w:w="72" w:type="dxa"/>
            <w:right w:w="173" w:type="dxa"/>
          </w:tblCellMar>
          <w:tblLook w:val="04A0"/>
        </w:tblPrEx>
        <w:trPr>
          <w:cantSplit/>
        </w:trPr>
        <w:tc>
          <w:tcPr>
            <w:tcW w:w="9314" w:type="dxa"/>
            <w:shd w:val="clear" w:color="auto" w:fill="EEF5F8"/>
          </w:tcPr>
          <w:p w:rsidR="00F75446" w:rsidRPr="00990D3B" w:rsidP="001E0799" w14:paraId="043049A2" w14:textId="77777777">
            <w:pPr>
              <w:pStyle w:val="EQRTextboxbody"/>
              <w:spacing w:before="0"/>
            </w:pPr>
            <w:r w:rsidRPr="00990D3B">
              <w:t xml:space="preserve">A good focus study question specifies measurable indicators and analytics for a defined population and </w:t>
            </w:r>
            <w:r w:rsidRPr="00990D3B">
              <w:t>time period</w:t>
            </w:r>
            <w:r w:rsidRPr="00990D3B">
              <w:t xml:space="preserve">. Potential sources of information to help form the </w:t>
            </w:r>
            <w:r w:rsidRPr="00990D3B">
              <w:t>study question</w:t>
            </w:r>
            <w:r w:rsidRPr="00990D3B">
              <w:t xml:space="preserve"> include:</w:t>
            </w:r>
          </w:p>
          <w:p w:rsidR="00F75446" w:rsidRPr="00990D3B" w:rsidP="00F75446" w14:paraId="4B856C12" w14:textId="77777777">
            <w:pPr>
              <w:pStyle w:val="EQRTextboxbullet"/>
            </w:pPr>
            <w:r w:rsidRPr="00990D3B">
              <w:t>State data relevant to the topic being studied</w:t>
            </w:r>
          </w:p>
          <w:p w:rsidR="00F75446" w:rsidRPr="00990D3B" w:rsidP="00F75446" w14:paraId="588FCC6C" w14:textId="77777777">
            <w:pPr>
              <w:pStyle w:val="EQRTextboxbullet"/>
            </w:pPr>
            <w:r w:rsidRPr="00990D3B">
              <w:t>MCP data relevant to the topic being studied</w:t>
            </w:r>
          </w:p>
          <w:p w:rsidR="00F75446" w:rsidRPr="00990D3B" w:rsidP="00F75446" w14:paraId="1FA23BEE" w14:textId="77777777">
            <w:pPr>
              <w:pStyle w:val="EQRTextboxbullet"/>
            </w:pPr>
            <w:r w:rsidRPr="00990D3B">
              <w:t xml:space="preserve">CMS Child and Adult Core Set measures </w:t>
            </w:r>
          </w:p>
          <w:p w:rsidR="00F75446" w:rsidRPr="00990D3B" w:rsidP="00F75446" w14:paraId="2DE1D422" w14:textId="77777777">
            <w:pPr>
              <w:pStyle w:val="EQRTextboxbullet"/>
            </w:pPr>
            <w:r w:rsidRPr="00990D3B">
              <w:t>Enrollee</w:t>
            </w:r>
            <w:r w:rsidRPr="00990D3B">
              <w:t xml:space="preserve"> focus groups or surveys</w:t>
            </w:r>
          </w:p>
          <w:p w:rsidR="00F75446" w:rsidRPr="00990D3B" w:rsidP="00F75446" w14:paraId="43766DAF" w14:textId="4B93D872">
            <w:pPr>
              <w:pStyle w:val="EQRTextboxbullet"/>
            </w:pPr>
            <w:r w:rsidRPr="00990D3B">
              <w:t>Relevant clinical literature on recommended care and external benchmark</w:t>
            </w:r>
          </w:p>
        </w:tc>
      </w:tr>
      <w:bookmarkEnd w:id="943"/>
    </w:tbl>
    <w:p w:rsidR="0064036B" w:rsidRPr="00990D3B" w:rsidP="008652F8" w14:paraId="7A6EE18D" w14:textId="0ED5A421">
      <w:pPr>
        <w:pStyle w:val="NoSpacing"/>
      </w:pPr>
    </w:p>
    <w:p w:rsidR="0064036B" w:rsidRPr="00990D3B" w14:paraId="35063844" w14:textId="77777777">
      <w:pPr>
        <w:spacing w:line="240" w:lineRule="auto"/>
        <w:rPr>
          <w:rFonts w:eastAsiaTheme="minorEastAsia" w:cstheme="minorBidi"/>
          <w:szCs w:val="22"/>
        </w:rPr>
      </w:pPr>
      <w:r w:rsidRPr="00990D3B">
        <w:br w:type="page"/>
      </w:r>
    </w:p>
    <w:p w:rsidR="00CE5350" w:rsidRPr="00990D3B" w:rsidP="00E71C07" w14:paraId="0147677A" w14:textId="2F9AE4D3">
      <w:pPr>
        <w:pStyle w:val="MarkforTableHeading"/>
      </w:pPr>
      <w:bookmarkStart w:id="944" w:name="Table9n1"/>
      <w:bookmarkStart w:id="945" w:name="_Toc83134603"/>
      <w:bookmarkEnd w:id="944"/>
      <w:r w:rsidRPr="00990D3B">
        <w:t xml:space="preserve">Table </w:t>
      </w:r>
      <w:r w:rsidRPr="00990D3B" w:rsidR="007D697F">
        <w:t>9.</w:t>
      </w:r>
      <w:r w:rsidRPr="00990D3B">
        <w:t xml:space="preserve">1. Examples of </w:t>
      </w:r>
      <w:r w:rsidRPr="00990D3B" w:rsidR="00CD536E">
        <w:t>F</w:t>
      </w:r>
      <w:r w:rsidRPr="00990D3B" w:rsidR="00972D60">
        <w:t>ocus</w:t>
      </w:r>
      <w:r w:rsidRPr="00990D3B">
        <w:t xml:space="preserve"> </w:t>
      </w:r>
      <w:r w:rsidRPr="00990D3B" w:rsidR="00CD536E">
        <w:t>S</w:t>
      </w:r>
      <w:r w:rsidRPr="00990D3B">
        <w:t xml:space="preserve">tudy </w:t>
      </w:r>
      <w:r w:rsidRPr="00990D3B" w:rsidR="00CD536E">
        <w:t>Q</w:t>
      </w:r>
      <w:r w:rsidRPr="00990D3B">
        <w:t>uestions</w:t>
      </w:r>
      <w:bookmarkEnd w:id="945"/>
    </w:p>
    <w:tbl>
      <w:tblPr>
        <w:tblStyle w:val="CORESETTable"/>
        <w:tblW w:w="5000" w:type="pct"/>
        <w:tblLook w:val="0620"/>
      </w:tblPr>
      <w:tblGrid>
        <w:gridCol w:w="1016"/>
        <w:gridCol w:w="4108"/>
        <w:gridCol w:w="4226"/>
      </w:tblGrid>
      <w:tr w14:paraId="32511211" w14:textId="77777777" w:rsidTr="00F317A0">
        <w:tblPrEx>
          <w:tblW w:w="5000" w:type="pct"/>
          <w:tblLook w:val="0620"/>
        </w:tblPrEx>
        <w:tc>
          <w:tcPr>
            <w:tcW w:w="543" w:type="pct"/>
          </w:tcPr>
          <w:p w:rsidR="006D22A2" w:rsidRPr="00990D3B" w:rsidP="00664FD1" w14:paraId="0F9FB873" w14:textId="4A48242E">
            <w:pPr>
              <w:pStyle w:val="TableHeaderLeft"/>
              <w:rPr>
                <w:b/>
                <w:bCs/>
              </w:rPr>
            </w:pPr>
            <w:r w:rsidRPr="00990D3B">
              <w:rPr>
                <w:b/>
                <w:bCs/>
              </w:rPr>
              <w:t> </w:t>
            </w:r>
          </w:p>
        </w:tc>
        <w:tc>
          <w:tcPr>
            <w:tcW w:w="2197" w:type="pct"/>
          </w:tcPr>
          <w:p w:rsidR="006D22A2" w:rsidRPr="00990D3B" w:rsidP="00664FD1" w14:paraId="7D73CF6B" w14:textId="695C02B6">
            <w:pPr>
              <w:pStyle w:val="TableHeaderLeft"/>
              <w:rPr>
                <w:b/>
                <w:bCs/>
              </w:rPr>
            </w:pPr>
            <w:r w:rsidRPr="00990D3B">
              <w:rPr>
                <w:b/>
                <w:bCs/>
              </w:rPr>
              <w:t xml:space="preserve">Illustrative </w:t>
            </w:r>
            <w:r w:rsidRPr="00990D3B" w:rsidR="00CD536E">
              <w:rPr>
                <w:b/>
                <w:bCs/>
              </w:rPr>
              <w:t>S</w:t>
            </w:r>
            <w:r w:rsidRPr="00990D3B">
              <w:rPr>
                <w:b/>
                <w:bCs/>
              </w:rPr>
              <w:t xml:space="preserve">tudy </w:t>
            </w:r>
            <w:r w:rsidRPr="00990D3B" w:rsidR="00CD536E">
              <w:rPr>
                <w:b/>
                <w:bCs/>
              </w:rPr>
              <w:t>Q</w:t>
            </w:r>
            <w:r w:rsidRPr="00990D3B">
              <w:rPr>
                <w:b/>
                <w:bCs/>
              </w:rPr>
              <w:t>uestions</w:t>
            </w:r>
          </w:p>
        </w:tc>
        <w:tc>
          <w:tcPr>
            <w:tcW w:w="2260" w:type="pct"/>
          </w:tcPr>
          <w:p w:rsidR="006D22A2" w:rsidRPr="00990D3B" w:rsidP="001E0799" w14:paraId="5EE92C30" w14:textId="77777777">
            <w:pPr>
              <w:pStyle w:val="TableHeaderCenter"/>
              <w:jc w:val="left"/>
              <w:rPr>
                <w:b/>
                <w:bCs/>
              </w:rPr>
            </w:pPr>
            <w:r w:rsidRPr="00990D3B">
              <w:rPr>
                <w:b/>
                <w:bCs/>
              </w:rPr>
              <w:t>Critique</w:t>
            </w:r>
          </w:p>
        </w:tc>
      </w:tr>
      <w:tr w14:paraId="09F44CED" w14:textId="77777777" w:rsidTr="00F317A0">
        <w:tblPrEx>
          <w:tblW w:w="5000" w:type="pct"/>
          <w:tblLook w:val="0620"/>
        </w:tblPrEx>
        <w:tc>
          <w:tcPr>
            <w:tcW w:w="543" w:type="pct"/>
          </w:tcPr>
          <w:p w:rsidR="00CE5350" w:rsidRPr="00990D3B" w:rsidP="00CE5350" w14:paraId="6B2EEDD7" w14:textId="32FD39D1">
            <w:pPr>
              <w:pStyle w:val="EQRTableText"/>
              <w:rPr>
                <w:rFonts w:cs="Arial"/>
                <w:szCs w:val="18"/>
              </w:rPr>
            </w:pPr>
            <w:r w:rsidRPr="00990D3B">
              <w:rPr>
                <w:rFonts w:cs="Arial"/>
                <w:szCs w:val="18"/>
              </w:rPr>
              <w:t xml:space="preserve">Poor </w:t>
            </w:r>
            <w:r w:rsidRPr="00990D3B" w:rsidR="00EC5E41">
              <w:rPr>
                <w:rFonts w:cs="Arial"/>
                <w:szCs w:val="18"/>
              </w:rPr>
              <w:t>s</w:t>
            </w:r>
            <w:r w:rsidRPr="00990D3B">
              <w:rPr>
                <w:rFonts w:cs="Arial"/>
                <w:szCs w:val="18"/>
              </w:rPr>
              <w:t xml:space="preserve">tudy </w:t>
            </w:r>
            <w:r w:rsidRPr="00990D3B" w:rsidR="00EC5E41">
              <w:rPr>
                <w:rFonts w:cs="Arial"/>
                <w:szCs w:val="18"/>
              </w:rPr>
              <w:t>q</w:t>
            </w:r>
            <w:r w:rsidRPr="00990D3B">
              <w:rPr>
                <w:rFonts w:cs="Arial"/>
                <w:szCs w:val="18"/>
              </w:rPr>
              <w:t>uestion</w:t>
            </w:r>
          </w:p>
        </w:tc>
        <w:tc>
          <w:tcPr>
            <w:tcW w:w="2197" w:type="pct"/>
          </w:tcPr>
          <w:p w:rsidR="00CE5350" w:rsidRPr="00990D3B" w:rsidP="00CE5350" w14:paraId="02673EE1" w14:textId="7B26B714">
            <w:pPr>
              <w:pStyle w:val="EQRTableText"/>
              <w:rPr>
                <w:rFonts w:cs="Arial"/>
                <w:szCs w:val="18"/>
              </w:rPr>
            </w:pPr>
            <w:r w:rsidRPr="00990D3B">
              <w:t>What is the status of preventive dental care in Medicaid?</w:t>
            </w:r>
          </w:p>
        </w:tc>
        <w:tc>
          <w:tcPr>
            <w:tcW w:w="2260" w:type="pct"/>
          </w:tcPr>
          <w:p w:rsidR="00CE5350" w:rsidRPr="00990D3B" w:rsidP="00827DA4" w14:paraId="2EF462B5" w14:textId="77777777">
            <w:pPr>
              <w:pStyle w:val="TableListBullet"/>
            </w:pPr>
            <w:r w:rsidRPr="00990D3B">
              <w:t>Does not specify measurable indicators and analytics</w:t>
            </w:r>
          </w:p>
          <w:p w:rsidR="00CE5350" w:rsidRPr="00990D3B" w:rsidP="00827DA4" w14:paraId="14C5F929" w14:textId="2C0A1254">
            <w:pPr>
              <w:pStyle w:val="TableListBullet"/>
            </w:pPr>
            <w:r w:rsidRPr="00990D3B">
              <w:t xml:space="preserve">Does not define the population and </w:t>
            </w:r>
            <w:r w:rsidRPr="00990D3B">
              <w:t>time period</w:t>
            </w:r>
          </w:p>
        </w:tc>
      </w:tr>
      <w:tr w14:paraId="2E28B21F" w14:textId="77777777" w:rsidTr="00F317A0">
        <w:tblPrEx>
          <w:tblW w:w="5000" w:type="pct"/>
          <w:tblLook w:val="0620"/>
        </w:tblPrEx>
        <w:tc>
          <w:tcPr>
            <w:tcW w:w="543" w:type="pct"/>
          </w:tcPr>
          <w:p w:rsidR="00CE5350" w:rsidRPr="00990D3B" w:rsidP="00CE5350" w14:paraId="7C37C7F5" w14:textId="0773BF70">
            <w:pPr>
              <w:pStyle w:val="EQRTableText"/>
              <w:rPr>
                <w:rFonts w:cs="Arial"/>
                <w:szCs w:val="18"/>
              </w:rPr>
            </w:pPr>
            <w:r w:rsidRPr="00990D3B">
              <w:rPr>
                <w:rFonts w:cs="Arial"/>
                <w:szCs w:val="18"/>
              </w:rPr>
              <w:t xml:space="preserve">Good </w:t>
            </w:r>
            <w:r w:rsidRPr="00990D3B" w:rsidR="00EC5E41">
              <w:rPr>
                <w:rFonts w:cs="Arial"/>
                <w:szCs w:val="18"/>
              </w:rPr>
              <w:t>s</w:t>
            </w:r>
            <w:r w:rsidRPr="00990D3B">
              <w:rPr>
                <w:rFonts w:cs="Arial"/>
                <w:szCs w:val="18"/>
              </w:rPr>
              <w:t xml:space="preserve">tudy </w:t>
            </w:r>
            <w:r w:rsidRPr="00990D3B" w:rsidR="00EC5E41">
              <w:rPr>
                <w:rFonts w:cs="Arial"/>
                <w:szCs w:val="18"/>
              </w:rPr>
              <w:t>q</w:t>
            </w:r>
            <w:r w:rsidRPr="00990D3B">
              <w:rPr>
                <w:rFonts w:cs="Arial"/>
                <w:szCs w:val="18"/>
              </w:rPr>
              <w:t>uestion</w:t>
            </w:r>
          </w:p>
        </w:tc>
        <w:tc>
          <w:tcPr>
            <w:tcW w:w="2197" w:type="pct"/>
          </w:tcPr>
          <w:p w:rsidR="00CE5350" w:rsidRPr="00990D3B" w:rsidP="00CE5350" w14:paraId="02FEF420" w14:textId="77CBE8AC">
            <w:pPr>
              <w:pStyle w:val="EQRTableText"/>
              <w:rPr>
                <w:rFonts w:cs="Arial"/>
                <w:szCs w:val="18"/>
              </w:rPr>
            </w:pPr>
            <w:r w:rsidRPr="00990D3B">
              <w:rPr>
                <w:rFonts w:cs="Arial"/>
                <w:szCs w:val="18"/>
              </w:rPr>
              <w:t>How does the rate of preventive dental visits among children enrolled in Medicaid for at least six months in calendar year 20</w:t>
            </w:r>
            <w:r w:rsidRPr="00990D3B" w:rsidR="0064449A">
              <w:rPr>
                <w:rFonts w:cs="Arial"/>
                <w:szCs w:val="18"/>
              </w:rPr>
              <w:t>2</w:t>
            </w:r>
            <w:r w:rsidRPr="00990D3B" w:rsidR="003B5D13">
              <w:rPr>
                <w:rFonts w:cs="Arial"/>
                <w:szCs w:val="18"/>
              </w:rPr>
              <w:t>5</w:t>
            </w:r>
            <w:r w:rsidRPr="00990D3B">
              <w:rPr>
                <w:rFonts w:cs="Arial"/>
                <w:szCs w:val="18"/>
              </w:rPr>
              <w:t xml:space="preserve"> vary by </w:t>
            </w:r>
            <w:r w:rsidRPr="00990D3B" w:rsidR="00A17122">
              <w:rPr>
                <w:rFonts w:cs="Arial"/>
                <w:szCs w:val="18"/>
              </w:rPr>
              <w:t xml:space="preserve">factors such as </w:t>
            </w:r>
            <w:r w:rsidRPr="00990D3B">
              <w:rPr>
                <w:rFonts w:cs="Arial"/>
                <w:szCs w:val="18"/>
              </w:rPr>
              <w:t>age</w:t>
            </w:r>
            <w:r w:rsidRPr="00990D3B" w:rsidR="00A17122">
              <w:rPr>
                <w:rFonts w:cs="Arial"/>
                <w:szCs w:val="18"/>
              </w:rPr>
              <w:t xml:space="preserve"> or </w:t>
            </w:r>
            <w:r w:rsidRPr="00990D3B">
              <w:rPr>
                <w:rFonts w:cs="Arial"/>
                <w:szCs w:val="18"/>
              </w:rPr>
              <w:t>geographic location?</w:t>
            </w:r>
          </w:p>
        </w:tc>
        <w:tc>
          <w:tcPr>
            <w:tcW w:w="2260" w:type="pct"/>
          </w:tcPr>
          <w:p w:rsidR="00CE5350" w:rsidRPr="00990D3B" w:rsidP="00827DA4" w14:paraId="0333CD30" w14:textId="77777777">
            <w:pPr>
              <w:pStyle w:val="TableListBullet"/>
            </w:pPr>
            <w:r w:rsidRPr="00990D3B">
              <w:t xml:space="preserve">Specifies the measurable indicator (preventive dental visits) </w:t>
            </w:r>
          </w:p>
          <w:p w:rsidR="00CE5350" w:rsidRPr="00990D3B" w:rsidP="00827DA4" w14:paraId="75535405" w14:textId="64A9F595">
            <w:pPr>
              <w:pStyle w:val="TableListBullet"/>
            </w:pPr>
            <w:r w:rsidRPr="00990D3B">
              <w:t xml:space="preserve">Specifies the analytic issue of interest (variation in utilization rates by age, geographic location, </w:t>
            </w:r>
            <w:r w:rsidRPr="00990D3B" w:rsidR="00A17122">
              <w:t>or other factors</w:t>
            </w:r>
            <w:r w:rsidRPr="00990D3B">
              <w:t>)</w:t>
            </w:r>
          </w:p>
          <w:p w:rsidR="00CE5350" w:rsidRPr="00990D3B" w:rsidP="00827DA4" w14:paraId="6ECC4966" w14:textId="0BED8EBB">
            <w:pPr>
              <w:pStyle w:val="TableListBullet"/>
            </w:pPr>
            <w:r w:rsidRPr="00990D3B">
              <w:t xml:space="preserve">Defines the population and </w:t>
            </w:r>
            <w:r w:rsidRPr="00990D3B">
              <w:t>time period</w:t>
            </w:r>
            <w:r w:rsidRPr="00990D3B">
              <w:t xml:space="preserve"> (children enrolled in Medicaid for at least six months in calendar year </w:t>
            </w:r>
            <w:r w:rsidRPr="00990D3B" w:rsidR="003B5D13">
              <w:t>2025</w:t>
            </w:r>
            <w:r w:rsidRPr="00990D3B">
              <w:t>)</w:t>
            </w:r>
          </w:p>
        </w:tc>
      </w:tr>
    </w:tbl>
    <w:p w:rsidR="00736912" w:rsidRPr="00990D3B" w:rsidP="000510B7" w14:paraId="191BE2D4" w14:textId="70D0C78F">
      <w:pPr>
        <w:pStyle w:val="H2"/>
      </w:pPr>
      <w:bookmarkStart w:id="946" w:name="P9A3"/>
      <w:bookmarkStart w:id="947" w:name="_Toc281312235"/>
      <w:bookmarkStart w:id="948" w:name="_Toc325368122"/>
      <w:bookmarkStart w:id="949" w:name="_Toc14777759"/>
      <w:bookmarkStart w:id="950" w:name="_Toc183005658"/>
      <w:bookmarkStart w:id="951" w:name="_Toc201751428"/>
      <w:r w:rsidRPr="00990D3B">
        <w:t>A</w:t>
      </w:r>
      <w:r w:rsidRPr="00990D3B" w:rsidR="007E5859">
        <w:t>ctivity</w:t>
      </w:r>
      <w:r w:rsidRPr="00990D3B">
        <w:t xml:space="preserve"> 3</w:t>
      </w:r>
      <w:bookmarkEnd w:id="946"/>
      <w:r w:rsidRPr="00990D3B">
        <w:t>: S</w:t>
      </w:r>
      <w:r w:rsidRPr="00990D3B" w:rsidR="00196379">
        <w:t>elect the Study Variable(s)</w:t>
      </w:r>
      <w:bookmarkEnd w:id="947"/>
      <w:bookmarkEnd w:id="948"/>
      <w:bookmarkEnd w:id="949"/>
      <w:bookmarkEnd w:id="950"/>
      <w:bookmarkEnd w:id="951"/>
    </w:p>
    <w:p w:rsidR="00736912" w:rsidRPr="00990D3B" w:rsidP="004E5005" w14:paraId="5DD991F7" w14:textId="0EBE6B75">
      <w:pPr>
        <w:pStyle w:val="ParagraphContinued"/>
      </w:pPr>
      <w:r w:rsidRPr="00990D3B">
        <w:t>In this activity, the EQRO selects the study variable(s)</w:t>
      </w:r>
      <w:r w:rsidRPr="00990D3B" w:rsidR="00CA6732">
        <w:t xml:space="preserve"> (see </w:t>
      </w:r>
      <w:hyperlink w:anchor="Box9n4" w:tooltip="Box 9.4" w:history="1">
        <w:r w:rsidRPr="00990D3B" w:rsidR="00CA6732">
          <w:rPr>
            <w:rStyle w:val="Hyperlink"/>
          </w:rPr>
          <w:t>Box 9.4</w:t>
        </w:r>
      </w:hyperlink>
      <w:r w:rsidRPr="00990D3B" w:rsidR="00CA6732">
        <w:t>)</w:t>
      </w:r>
      <w:r w:rsidRPr="00990D3B">
        <w:t xml:space="preserve">. Study variables can take a variety of forms as long as the selected variables identify the MCP’s performance on the study questions objectively and reliably and use clearly defined measurable indicators of performance. The study variables for the </w:t>
      </w:r>
      <w:r w:rsidRPr="00990D3B" w:rsidR="00972D60">
        <w:t>focus</w:t>
      </w:r>
      <w:r w:rsidRPr="00990D3B">
        <w:t xml:space="preserve"> study should allow the EQRO to measure the MCP’s performance on the elements of care identified in the study question(s).</w:t>
      </w:r>
      <w:r w:rsidRPr="00990D3B">
        <w:rPr>
          <w:noProof/>
        </w:rPr>
        <w:t xml:space="preserve"> </w:t>
      </w:r>
      <w:r w:rsidRPr="00990D3B">
        <w:t xml:space="preserve">For example, for a </w:t>
      </w:r>
      <w:r w:rsidRPr="00990D3B" w:rsidR="00972D60">
        <w:t>focus</w:t>
      </w:r>
      <w:r w:rsidRPr="00990D3B">
        <w:t xml:space="preserve"> study on preventive dental services in an MCP, the EQRO should select one or more study variables that directly assess enrollees’ access to and use of these services. Examples of </w:t>
      </w:r>
      <w:r w:rsidRPr="00990D3B" w:rsidR="0044746A">
        <w:t xml:space="preserve">such </w:t>
      </w:r>
      <w:r w:rsidRPr="00990D3B">
        <w:t>study variables may include:</w:t>
      </w:r>
      <w:r w:rsidRPr="00990D3B" w:rsidR="00043631">
        <w:rPr>
          <w:noProof/>
        </w:rPr>
        <w:t xml:space="preserve"> </w:t>
      </w:r>
    </w:p>
    <w:p w:rsidR="00736912" w:rsidRPr="00990D3B" w:rsidP="00FB7CAF" w14:paraId="7EC19E59" w14:textId="21A2BBDA">
      <w:pPr>
        <w:pStyle w:val="EQRBulletBLUE"/>
      </w:pPr>
      <w:r w:rsidRPr="00990D3B">
        <w:t>The proportion of eligible enrollees who received any preventive dental service within a defined time</w:t>
      </w:r>
      <w:r w:rsidRPr="00990D3B" w:rsidR="00566F1D">
        <w:t xml:space="preserve"> </w:t>
      </w:r>
      <w:r w:rsidRPr="00990D3B">
        <w:t>frame</w:t>
      </w:r>
      <w:r w:rsidRPr="00990D3B" w:rsidR="00DE07DC">
        <w:t>.</w:t>
      </w:r>
    </w:p>
    <w:p w:rsidR="00736912" w:rsidRPr="00990D3B" w:rsidP="00FB7CAF" w14:paraId="64E4B291" w14:textId="7B0D4FB1">
      <w:pPr>
        <w:pStyle w:val="EQRBulletBLUE"/>
      </w:pPr>
      <w:r w:rsidRPr="00990D3B">
        <w:t>The proportion of eligible enrollees who received a dental sealant within a defined time</w:t>
      </w:r>
      <w:r w:rsidRPr="00990D3B" w:rsidR="002340E1">
        <w:t> </w:t>
      </w:r>
      <w:r w:rsidRPr="00990D3B">
        <w:t>frame</w:t>
      </w:r>
      <w:r w:rsidRPr="00990D3B" w:rsidR="00DE07DC">
        <w:t>.</w:t>
      </w:r>
    </w:p>
    <w:p w:rsidR="00736912" w:rsidRPr="00990D3B" w:rsidP="00FB7CAF" w14:paraId="34A356CB" w14:textId="48B72DAA">
      <w:pPr>
        <w:pStyle w:val="EQRBulletBLUE"/>
      </w:pPr>
      <w:r w:rsidRPr="00990D3B">
        <w:t>The ratio of dental service providers providing preventive services per 1,000 MCP enrollees within a defined geographic area</w:t>
      </w:r>
      <w:r w:rsidRPr="00990D3B" w:rsidR="00DE07DC">
        <w:t>.</w:t>
      </w:r>
    </w:p>
    <w:p w:rsidR="00736912" w:rsidRPr="00990D3B" w:rsidP="00FB7CAF" w14:paraId="794575B8" w14:textId="365FB00B">
      <w:pPr>
        <w:pStyle w:val="EQRBulletBLUE"/>
      </w:pPr>
      <w:r w:rsidRPr="00990D3B">
        <w:t>The proportion of MCP enrollees who report being able to obtain preventive dental services within a specified time</w:t>
      </w:r>
      <w:r w:rsidRPr="00990D3B" w:rsidR="00566F1D">
        <w:t xml:space="preserve"> </w:t>
      </w:r>
      <w:r w:rsidRPr="00990D3B">
        <w:t>frame in an enrollee survey</w:t>
      </w:r>
      <w:r w:rsidRPr="00990D3B" w:rsidR="00DE07DC">
        <w:t>.</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742FB8A1" w14:textId="77777777" w:rsidTr="000F67F7">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Pr>
        <w:tc>
          <w:tcPr>
            <w:tcW w:w="9314" w:type="dxa"/>
            <w:shd w:val="clear" w:color="auto" w:fill="EEF5F8"/>
          </w:tcPr>
          <w:p w:rsidR="008652F8" w:rsidRPr="00990D3B" w:rsidP="000F67F7" w14:paraId="2072EE61" w14:textId="082A1869">
            <w:pPr>
              <w:pStyle w:val="EQRTextboxheading"/>
              <w:keepNext/>
              <w:spacing w:before="0" w:after="0"/>
            </w:pPr>
            <w:bookmarkStart w:id="952" w:name="Box9n4"/>
            <w:bookmarkEnd w:id="952"/>
            <w:r w:rsidRPr="00990D3B">
              <w:t>Box 9.4 What is a Study Variable?</w:t>
            </w:r>
          </w:p>
        </w:tc>
      </w:tr>
      <w:tr w14:paraId="36BCFAB7" w14:textId="77777777" w:rsidTr="000F67F7">
        <w:tblPrEx>
          <w:tblW w:w="0" w:type="auto"/>
          <w:tblCellMar>
            <w:top w:w="72" w:type="dxa"/>
            <w:left w:w="173" w:type="dxa"/>
            <w:bottom w:w="72" w:type="dxa"/>
            <w:right w:w="173" w:type="dxa"/>
          </w:tblCellMar>
          <w:tblLook w:val="04A0"/>
        </w:tblPrEx>
        <w:trPr>
          <w:cantSplit/>
        </w:trPr>
        <w:tc>
          <w:tcPr>
            <w:tcW w:w="9314" w:type="dxa"/>
            <w:shd w:val="clear" w:color="auto" w:fill="EEF5F8"/>
          </w:tcPr>
          <w:p w:rsidR="008652F8" w:rsidRPr="00990D3B" w:rsidP="001E0799" w14:paraId="74CB4FB0" w14:textId="115CAD65">
            <w:pPr>
              <w:pStyle w:val="EQRTextboxbody"/>
              <w:spacing w:before="0"/>
            </w:pPr>
            <w:r w:rsidRPr="00990D3B">
              <w:t>A study variable is a measurable characteristic, quality, trait, or attribute of a particular individual, object, or situation being studied. When selecting study variables, consider different types of variables and choose the variables that are best suited to the available data, resources, and study questions.</w:t>
            </w:r>
          </w:p>
        </w:tc>
      </w:tr>
    </w:tbl>
    <w:p w:rsidR="00736912" w:rsidRPr="00990D3B" w:rsidP="004E5005" w14:paraId="78C21B16" w14:textId="45A609BB">
      <w:pPr>
        <w:pStyle w:val="ParagraphContinued"/>
      </w:pPr>
      <w:r w:rsidRPr="00990D3B">
        <w:t xml:space="preserve">The EQRO should choose the number and type of study variables that are adequate to answer the study question(s) and for which appropriate and reliable data are available to determine the state </w:t>
      </w:r>
      <w:r w:rsidRPr="00990D3B">
        <w:t>of the population at a point in time. Study variables may be continuous, categorical, or discrete (</w:t>
      </w:r>
      <w:hyperlink w:anchor="Table9n2" w:tooltip="Table 9.2" w:history="1">
        <w:r w:rsidRPr="00990D3B">
          <w:rPr>
            <w:rStyle w:val="Hyperlink"/>
          </w:rPr>
          <w:t xml:space="preserve">Table </w:t>
        </w:r>
        <w:r w:rsidRPr="00990D3B" w:rsidR="00992C0A">
          <w:rPr>
            <w:rStyle w:val="Hyperlink"/>
          </w:rPr>
          <w:t>9.</w:t>
        </w:r>
        <w:r w:rsidRPr="00990D3B">
          <w:rPr>
            <w:rStyle w:val="Hyperlink"/>
          </w:rPr>
          <w:t>2</w:t>
        </w:r>
      </w:hyperlink>
      <w:r w:rsidRPr="00990D3B">
        <w:t>), and use a variety of measurement scales to assess performance (</w:t>
      </w:r>
      <w:hyperlink w:anchor="Table9n3" w:tooltip="Table 9.3" w:history="1">
        <w:r w:rsidRPr="00990D3B">
          <w:rPr>
            <w:rStyle w:val="Hyperlink"/>
          </w:rPr>
          <w:t xml:space="preserve">Table </w:t>
        </w:r>
        <w:r w:rsidRPr="00990D3B" w:rsidR="00992C0A">
          <w:rPr>
            <w:rStyle w:val="Hyperlink"/>
          </w:rPr>
          <w:t>9.</w:t>
        </w:r>
        <w:r w:rsidRPr="00990D3B">
          <w:rPr>
            <w:rStyle w:val="Hyperlink"/>
          </w:rPr>
          <w:t>3</w:t>
        </w:r>
      </w:hyperlink>
      <w:r w:rsidRPr="00990D3B">
        <w:t xml:space="preserve">). </w:t>
      </w:r>
    </w:p>
    <w:p w:rsidR="0033713E" w:rsidRPr="00990D3B" w:rsidP="00E71C07" w14:paraId="7D1C4C42" w14:textId="6F3A27BC">
      <w:pPr>
        <w:pStyle w:val="MarkforTableHeading"/>
      </w:pPr>
      <w:bookmarkStart w:id="953" w:name="Table9n2"/>
      <w:bookmarkStart w:id="954" w:name="_Toc83134604"/>
      <w:bookmarkEnd w:id="953"/>
      <w:r w:rsidRPr="00990D3B">
        <w:t xml:space="preserve">Table </w:t>
      </w:r>
      <w:r w:rsidRPr="00990D3B" w:rsidR="00992C0A">
        <w:t>9.</w:t>
      </w:r>
      <w:r w:rsidRPr="00990D3B">
        <w:t xml:space="preserve">2. Types of </w:t>
      </w:r>
      <w:r w:rsidRPr="00990D3B" w:rsidR="008E1F11">
        <w:t>V</w:t>
      </w:r>
      <w:r w:rsidRPr="00990D3B">
        <w:t xml:space="preserve">ariables for </w:t>
      </w:r>
      <w:r w:rsidRPr="00990D3B" w:rsidR="008E1F11">
        <w:t>F</w:t>
      </w:r>
      <w:r w:rsidRPr="00990D3B" w:rsidR="00972D60">
        <w:t>ocus</w:t>
      </w:r>
      <w:r w:rsidRPr="00990D3B">
        <w:t xml:space="preserve"> </w:t>
      </w:r>
      <w:r w:rsidRPr="00990D3B" w:rsidR="008E1F11">
        <w:t>S</w:t>
      </w:r>
      <w:r w:rsidRPr="00990D3B">
        <w:t>tudies</w:t>
      </w:r>
      <w:bookmarkEnd w:id="954"/>
    </w:p>
    <w:tbl>
      <w:tblPr>
        <w:tblStyle w:val="CORESETTable"/>
        <w:tblW w:w="5000" w:type="pct"/>
        <w:tblLook w:val="0620"/>
      </w:tblPr>
      <w:tblGrid>
        <w:gridCol w:w="1438"/>
        <w:gridCol w:w="4406"/>
        <w:gridCol w:w="3506"/>
      </w:tblGrid>
      <w:tr w14:paraId="3799F595" w14:textId="77777777" w:rsidTr="005A2865">
        <w:tblPrEx>
          <w:tblW w:w="5000" w:type="pct"/>
          <w:tblLook w:val="0620"/>
        </w:tblPrEx>
        <w:tc>
          <w:tcPr>
            <w:tcW w:w="769" w:type="pct"/>
          </w:tcPr>
          <w:p w:rsidR="00337082" w:rsidRPr="00990D3B" w:rsidP="00664FD1" w14:paraId="6D18F515" w14:textId="04E2E4A0">
            <w:pPr>
              <w:pStyle w:val="TableHeaderLeft"/>
              <w:rPr>
                <w:b/>
                <w:bCs/>
              </w:rPr>
            </w:pPr>
            <w:r w:rsidRPr="00990D3B">
              <w:rPr>
                <w:b/>
                <w:bCs/>
              </w:rPr>
              <w:t xml:space="preserve">Variable </w:t>
            </w:r>
            <w:r w:rsidRPr="00990D3B" w:rsidR="008B3525">
              <w:rPr>
                <w:b/>
                <w:bCs/>
              </w:rPr>
              <w:t>T</w:t>
            </w:r>
            <w:r w:rsidRPr="00990D3B">
              <w:rPr>
                <w:b/>
                <w:bCs/>
              </w:rPr>
              <w:t>ype</w:t>
            </w:r>
          </w:p>
        </w:tc>
        <w:tc>
          <w:tcPr>
            <w:tcW w:w="2356" w:type="pct"/>
          </w:tcPr>
          <w:p w:rsidR="00337082" w:rsidRPr="00990D3B" w:rsidP="00B96B0E" w14:paraId="717F1765" w14:textId="77777777">
            <w:pPr>
              <w:pStyle w:val="TableHeaderCenter"/>
              <w:rPr>
                <w:b/>
                <w:bCs/>
              </w:rPr>
            </w:pPr>
            <w:r w:rsidRPr="00990D3B">
              <w:rPr>
                <w:b/>
                <w:bCs/>
              </w:rPr>
              <w:t>Definition</w:t>
            </w:r>
          </w:p>
        </w:tc>
        <w:tc>
          <w:tcPr>
            <w:tcW w:w="1875" w:type="pct"/>
          </w:tcPr>
          <w:p w:rsidR="00337082" w:rsidRPr="00990D3B" w:rsidP="00B96B0E" w14:paraId="33B165C5" w14:textId="77777777">
            <w:pPr>
              <w:pStyle w:val="TableHeaderCenter"/>
              <w:rPr>
                <w:b/>
                <w:bCs/>
              </w:rPr>
            </w:pPr>
            <w:r w:rsidRPr="00990D3B">
              <w:rPr>
                <w:b/>
                <w:bCs/>
              </w:rPr>
              <w:t>Example</w:t>
            </w:r>
          </w:p>
        </w:tc>
      </w:tr>
      <w:tr w14:paraId="4AB7F4C8" w14:textId="77777777" w:rsidTr="005A2865">
        <w:tblPrEx>
          <w:tblW w:w="5000" w:type="pct"/>
          <w:tblLook w:val="0620"/>
        </w:tblPrEx>
        <w:tc>
          <w:tcPr>
            <w:tcW w:w="769" w:type="pct"/>
          </w:tcPr>
          <w:p w:rsidR="00337082" w:rsidRPr="00990D3B" w:rsidP="00337082" w14:paraId="286F25C1" w14:textId="495F2338">
            <w:pPr>
              <w:pStyle w:val="EQRTableText"/>
              <w:rPr>
                <w:rFonts w:cs="Arial"/>
                <w:szCs w:val="18"/>
              </w:rPr>
            </w:pPr>
            <w:r w:rsidRPr="00990D3B">
              <w:t>Continuous</w:t>
            </w:r>
          </w:p>
        </w:tc>
        <w:tc>
          <w:tcPr>
            <w:tcW w:w="2356" w:type="pct"/>
          </w:tcPr>
          <w:p w:rsidR="005D3E50" w:rsidRPr="00990D3B" w:rsidP="005D3E50" w14:paraId="52FE5AAA" w14:textId="77777777">
            <w:pPr>
              <w:pStyle w:val="EQRTableText"/>
            </w:pPr>
            <w:r w:rsidRPr="00990D3B">
              <w:t>Have a range of numerical values</w:t>
            </w:r>
          </w:p>
          <w:p w:rsidR="00337082" w:rsidRPr="00990D3B" w:rsidP="005D3E50" w14:paraId="1200A50B" w14:textId="02E904C7">
            <w:pPr>
              <w:pStyle w:val="EQRTableText"/>
            </w:pPr>
            <w:r w:rsidRPr="00990D3B">
              <w:rPr>
                <w:rFonts w:cs="Arial"/>
                <w:szCs w:val="18"/>
              </w:rPr>
              <w:t xml:space="preserve">Note: Data collected for a continuous variable can be </w:t>
            </w:r>
            <w:r w:rsidRPr="00990D3B">
              <w:rPr>
                <w:rFonts w:cs="Arial"/>
                <w:szCs w:val="18"/>
              </w:rPr>
              <w:t>recoded</w:t>
            </w:r>
            <w:r w:rsidRPr="00990D3B">
              <w:rPr>
                <w:rFonts w:cs="Arial"/>
                <w:szCs w:val="18"/>
              </w:rPr>
              <w:t xml:space="preserve"> as a discrete variable (e.g., an enrollee’s blood pressure is above or below a specified level)</w:t>
            </w:r>
          </w:p>
        </w:tc>
        <w:tc>
          <w:tcPr>
            <w:tcW w:w="1875" w:type="pct"/>
          </w:tcPr>
          <w:p w:rsidR="00337082" w:rsidRPr="00990D3B" w:rsidP="00827DA4" w14:paraId="3DC85D81" w14:textId="53FBA6D8">
            <w:pPr>
              <w:pStyle w:val="TableListBullet"/>
            </w:pPr>
            <w:r w:rsidRPr="00990D3B">
              <w:t>Age, blood pressure, temperature, height/weight, body mass index, birthweight</w:t>
            </w:r>
          </w:p>
        </w:tc>
      </w:tr>
      <w:tr w14:paraId="532E2542" w14:textId="77777777" w:rsidTr="005A2865">
        <w:tblPrEx>
          <w:tblW w:w="5000" w:type="pct"/>
          <w:tblLook w:val="0620"/>
        </w:tblPrEx>
        <w:tc>
          <w:tcPr>
            <w:tcW w:w="769" w:type="pct"/>
          </w:tcPr>
          <w:p w:rsidR="00337082" w:rsidRPr="00990D3B" w:rsidP="00337082" w14:paraId="0E366B1C" w14:textId="4AC7212F">
            <w:pPr>
              <w:pStyle w:val="EQRTableText"/>
              <w:rPr>
                <w:rFonts w:cs="Arial"/>
                <w:szCs w:val="18"/>
              </w:rPr>
            </w:pPr>
            <w:r w:rsidRPr="00990D3B">
              <w:t>Categorical</w:t>
            </w:r>
          </w:p>
        </w:tc>
        <w:tc>
          <w:tcPr>
            <w:tcW w:w="2356" w:type="pct"/>
          </w:tcPr>
          <w:p w:rsidR="00337082" w:rsidRPr="00990D3B" w:rsidP="00337082" w14:paraId="58B7CB77" w14:textId="1F289E05">
            <w:pPr>
              <w:pStyle w:val="EQRTableText"/>
            </w:pPr>
            <w:r w:rsidRPr="00990D3B">
              <w:rPr>
                <w:rFonts w:cs="Arial"/>
                <w:szCs w:val="18"/>
              </w:rPr>
              <w:t>Have a range of non-ordered, qualitative values (or categories)</w:t>
            </w:r>
          </w:p>
        </w:tc>
        <w:tc>
          <w:tcPr>
            <w:tcW w:w="1875" w:type="pct"/>
          </w:tcPr>
          <w:p w:rsidR="00337082" w:rsidRPr="00990D3B" w:rsidP="00827DA4" w14:paraId="1E057A36" w14:textId="4E172628">
            <w:pPr>
              <w:pStyle w:val="TableListBullet"/>
            </w:pPr>
            <w:r w:rsidRPr="00990D3B">
              <w:t>An enrollee survey question that asks enrollees to identify the most important among a list of incentives offered to improve well-care visit rates</w:t>
            </w:r>
          </w:p>
        </w:tc>
      </w:tr>
      <w:tr w14:paraId="6E450106" w14:textId="77777777" w:rsidTr="005A2865">
        <w:tblPrEx>
          <w:tblW w:w="5000" w:type="pct"/>
          <w:tblLook w:val="0620"/>
        </w:tblPrEx>
        <w:tc>
          <w:tcPr>
            <w:tcW w:w="769" w:type="pct"/>
          </w:tcPr>
          <w:p w:rsidR="00337082" w:rsidRPr="00990D3B" w:rsidP="00337082" w14:paraId="2C58454C" w14:textId="16CB6134">
            <w:pPr>
              <w:pStyle w:val="EQRTableText"/>
              <w:rPr>
                <w:rFonts w:cs="Arial"/>
                <w:szCs w:val="18"/>
              </w:rPr>
            </w:pPr>
            <w:r w:rsidRPr="00990D3B">
              <w:rPr>
                <w:rFonts w:cs="Arial"/>
                <w:szCs w:val="18"/>
              </w:rPr>
              <w:t>Discrete</w:t>
            </w:r>
          </w:p>
        </w:tc>
        <w:tc>
          <w:tcPr>
            <w:tcW w:w="2356" w:type="pct"/>
          </w:tcPr>
          <w:p w:rsidR="005D3E50" w:rsidRPr="00990D3B" w:rsidP="005D3E50" w14:paraId="20A180AC" w14:textId="77777777">
            <w:pPr>
              <w:pStyle w:val="EQRTableText"/>
            </w:pPr>
            <w:r w:rsidRPr="00990D3B">
              <w:t xml:space="preserve">Have a limited number of possible categories </w:t>
            </w:r>
          </w:p>
          <w:p w:rsidR="00337082" w:rsidRPr="00990D3B" w:rsidP="005D3E50" w14:paraId="7F14B32B" w14:textId="6ED1FFCD">
            <w:pPr>
              <w:pStyle w:val="EQRTableText"/>
            </w:pPr>
            <w:r w:rsidRPr="00990D3B">
              <w:rPr>
                <w:rFonts w:cs="Arial"/>
                <w:szCs w:val="18"/>
              </w:rPr>
              <w:t>Note: binary variables have two categories</w:t>
            </w:r>
          </w:p>
        </w:tc>
        <w:tc>
          <w:tcPr>
            <w:tcW w:w="1875" w:type="pct"/>
          </w:tcPr>
          <w:p w:rsidR="00337082" w:rsidRPr="00990D3B" w:rsidP="00827DA4" w14:paraId="582A6A83" w14:textId="6414F950">
            <w:pPr>
              <w:pStyle w:val="TableListBullet"/>
            </w:pPr>
            <w:r w:rsidRPr="00990D3B">
              <w:t>An enrollee has/has not received a flu shot in the past 12 months</w:t>
            </w:r>
          </w:p>
        </w:tc>
      </w:tr>
    </w:tbl>
    <w:p w:rsidR="008652F8" w:rsidRPr="00990D3B" w:rsidP="008652F8" w14:paraId="6436DCF9" w14:textId="77777777">
      <w:pPr>
        <w:pStyle w:val="NoSpacing"/>
      </w:pPr>
      <w:bookmarkStart w:id="955" w:name="_Toc83134605"/>
    </w:p>
    <w:p w:rsidR="00337082" w:rsidRPr="00990D3B" w:rsidP="00E71C07" w14:paraId="414721BE" w14:textId="30F93A1B">
      <w:pPr>
        <w:pStyle w:val="MarkforTableHeading"/>
      </w:pPr>
      <w:bookmarkStart w:id="956" w:name="Table9n3"/>
      <w:bookmarkEnd w:id="956"/>
      <w:r w:rsidRPr="00990D3B">
        <w:t xml:space="preserve">Table </w:t>
      </w:r>
      <w:r w:rsidRPr="00990D3B" w:rsidR="00D67205">
        <w:t>9.</w:t>
      </w:r>
      <w:r w:rsidRPr="00990D3B">
        <w:t xml:space="preserve">3. Types of </w:t>
      </w:r>
      <w:r w:rsidRPr="00990D3B" w:rsidR="008B3525">
        <w:t>M</w:t>
      </w:r>
      <w:r w:rsidRPr="00990D3B">
        <w:t xml:space="preserve">easurement </w:t>
      </w:r>
      <w:r w:rsidRPr="00990D3B" w:rsidR="008B3525">
        <w:t>S</w:t>
      </w:r>
      <w:r w:rsidRPr="00990D3B">
        <w:t xml:space="preserve">cales for </w:t>
      </w:r>
      <w:r w:rsidRPr="00990D3B" w:rsidR="008B3525">
        <w:t>F</w:t>
      </w:r>
      <w:r w:rsidRPr="00990D3B" w:rsidR="00972D60">
        <w:t>ocus</w:t>
      </w:r>
      <w:r w:rsidRPr="00990D3B">
        <w:t xml:space="preserve"> </w:t>
      </w:r>
      <w:r w:rsidRPr="00990D3B" w:rsidR="008B3525">
        <w:t>S</w:t>
      </w:r>
      <w:r w:rsidRPr="00990D3B">
        <w:t>tudies</w:t>
      </w:r>
      <w:bookmarkEnd w:id="955"/>
    </w:p>
    <w:tbl>
      <w:tblPr>
        <w:tblStyle w:val="CORESETTable"/>
        <w:tblW w:w="5000" w:type="pct"/>
        <w:tblLook w:val="0620"/>
      </w:tblPr>
      <w:tblGrid>
        <w:gridCol w:w="1438"/>
        <w:gridCol w:w="4406"/>
        <w:gridCol w:w="3506"/>
      </w:tblGrid>
      <w:tr w14:paraId="26B49D66" w14:textId="77777777" w:rsidTr="0073110E">
        <w:tblPrEx>
          <w:tblW w:w="5000" w:type="pct"/>
          <w:tblLook w:val="0620"/>
        </w:tblPrEx>
        <w:tc>
          <w:tcPr>
            <w:tcW w:w="769" w:type="pct"/>
          </w:tcPr>
          <w:p w:rsidR="00337082" w:rsidRPr="00990D3B" w:rsidP="00664FD1" w14:paraId="2FE71D4F" w14:textId="5DDFAB03">
            <w:pPr>
              <w:pStyle w:val="TableHeaderLeft"/>
              <w:rPr>
                <w:b/>
                <w:bCs/>
              </w:rPr>
            </w:pPr>
            <w:r w:rsidRPr="00990D3B">
              <w:rPr>
                <w:b/>
                <w:bCs/>
              </w:rPr>
              <w:t xml:space="preserve">Measurement </w:t>
            </w:r>
            <w:r w:rsidRPr="00990D3B" w:rsidR="008B3525">
              <w:rPr>
                <w:b/>
                <w:bCs/>
              </w:rPr>
              <w:t>S</w:t>
            </w:r>
            <w:r w:rsidRPr="00990D3B">
              <w:rPr>
                <w:b/>
                <w:bCs/>
              </w:rPr>
              <w:t>cale</w:t>
            </w:r>
          </w:p>
        </w:tc>
        <w:tc>
          <w:tcPr>
            <w:tcW w:w="2356" w:type="pct"/>
          </w:tcPr>
          <w:p w:rsidR="00337082" w:rsidRPr="00990D3B" w:rsidP="00B96B0E" w14:paraId="505C375D" w14:textId="77777777">
            <w:pPr>
              <w:pStyle w:val="TableHeaderCenter"/>
              <w:rPr>
                <w:b/>
                <w:bCs/>
              </w:rPr>
            </w:pPr>
            <w:r w:rsidRPr="00990D3B">
              <w:rPr>
                <w:b/>
                <w:bCs/>
              </w:rPr>
              <w:t>Definition</w:t>
            </w:r>
          </w:p>
        </w:tc>
        <w:tc>
          <w:tcPr>
            <w:tcW w:w="1875" w:type="pct"/>
          </w:tcPr>
          <w:p w:rsidR="00337082" w:rsidRPr="00990D3B" w:rsidP="00B96B0E" w14:paraId="7CC4D88D" w14:textId="77777777">
            <w:pPr>
              <w:pStyle w:val="TableHeaderCenter"/>
              <w:rPr>
                <w:b/>
                <w:bCs/>
              </w:rPr>
            </w:pPr>
            <w:r w:rsidRPr="00990D3B">
              <w:rPr>
                <w:b/>
                <w:bCs/>
              </w:rPr>
              <w:t>Example</w:t>
            </w:r>
          </w:p>
        </w:tc>
      </w:tr>
      <w:tr w14:paraId="5EF2C20F" w14:textId="77777777" w:rsidTr="0073110E">
        <w:tblPrEx>
          <w:tblW w:w="5000" w:type="pct"/>
          <w:tblLook w:val="0620"/>
        </w:tblPrEx>
        <w:tc>
          <w:tcPr>
            <w:tcW w:w="769" w:type="pct"/>
          </w:tcPr>
          <w:p w:rsidR="00337082" w:rsidRPr="00990D3B" w:rsidP="001B1C98" w14:paraId="7A071569" w14:textId="77777777">
            <w:pPr>
              <w:pStyle w:val="EQRTableText"/>
              <w:rPr>
                <w:rFonts w:cs="Arial"/>
                <w:szCs w:val="18"/>
              </w:rPr>
            </w:pPr>
            <w:r w:rsidRPr="00990D3B">
              <w:rPr>
                <w:rFonts w:cs="Arial"/>
                <w:szCs w:val="18"/>
              </w:rPr>
              <w:t>Interval</w:t>
            </w:r>
          </w:p>
        </w:tc>
        <w:tc>
          <w:tcPr>
            <w:tcW w:w="2356" w:type="pct"/>
          </w:tcPr>
          <w:p w:rsidR="00337082" w:rsidRPr="00990D3B" w:rsidP="001B1C98" w14:paraId="7CCD68A8" w14:textId="39AE825C">
            <w:pPr>
              <w:pStyle w:val="EQRTableText"/>
            </w:pPr>
            <w:r w:rsidRPr="00990D3B">
              <w:rPr>
                <w:rFonts w:cs="Arial"/>
                <w:szCs w:val="18"/>
              </w:rPr>
              <w:t>The distances between numbers denote significant and interpretable differences</w:t>
            </w:r>
            <w:r w:rsidRPr="00990D3B" w:rsidR="005545D1">
              <w:rPr>
                <w:rFonts w:cs="Arial"/>
                <w:szCs w:val="18"/>
              </w:rPr>
              <w:t xml:space="preserve"> (e.g., dollars, degrees, inches, pounds) and the differences are interpretable as higher or lower.</w:t>
            </w:r>
          </w:p>
        </w:tc>
        <w:tc>
          <w:tcPr>
            <w:tcW w:w="1875" w:type="pct"/>
          </w:tcPr>
          <w:p w:rsidR="00337082" w:rsidRPr="00990D3B" w:rsidP="00827DA4" w14:paraId="6F34FD9F" w14:textId="7F5A3A2E">
            <w:pPr>
              <w:pStyle w:val="TableListBullet"/>
            </w:pPr>
            <w:r w:rsidRPr="00990D3B">
              <w:t>The interval between an annual income of $40,000 and $30,000 = $10,000</w:t>
            </w:r>
          </w:p>
        </w:tc>
      </w:tr>
      <w:tr w14:paraId="56ED7AA5" w14:textId="77777777" w:rsidTr="0073110E">
        <w:tblPrEx>
          <w:tblW w:w="5000" w:type="pct"/>
          <w:tblLook w:val="0620"/>
        </w:tblPrEx>
        <w:tc>
          <w:tcPr>
            <w:tcW w:w="769" w:type="pct"/>
          </w:tcPr>
          <w:p w:rsidR="00337082" w:rsidRPr="00990D3B" w:rsidP="001B1C98" w14:paraId="220B98AF" w14:textId="77777777">
            <w:pPr>
              <w:pStyle w:val="EQRTableText"/>
              <w:rPr>
                <w:rFonts w:cs="Arial"/>
                <w:szCs w:val="18"/>
              </w:rPr>
            </w:pPr>
            <w:r w:rsidRPr="00990D3B">
              <w:rPr>
                <w:rFonts w:cs="Arial"/>
                <w:szCs w:val="18"/>
              </w:rPr>
              <w:t>Ordinal</w:t>
            </w:r>
          </w:p>
        </w:tc>
        <w:tc>
          <w:tcPr>
            <w:tcW w:w="2356" w:type="pct"/>
          </w:tcPr>
          <w:p w:rsidR="00337082" w:rsidRPr="00990D3B" w:rsidP="001B1C98" w14:paraId="31ED463F" w14:textId="51462BA2">
            <w:pPr>
              <w:pStyle w:val="EQRTableText"/>
            </w:pPr>
            <w:r w:rsidRPr="00990D3B">
              <w:rPr>
                <w:rFonts w:cs="Arial"/>
                <w:szCs w:val="18"/>
              </w:rPr>
              <w:t>Can be treated as quantitative in some circumstances, and qualitative in others</w:t>
            </w:r>
          </w:p>
        </w:tc>
        <w:tc>
          <w:tcPr>
            <w:tcW w:w="1875" w:type="pct"/>
          </w:tcPr>
          <w:p w:rsidR="00337082" w:rsidRPr="00990D3B" w:rsidP="00827DA4" w14:paraId="76AC9C1A" w14:textId="2536ED1B">
            <w:pPr>
              <w:pStyle w:val="TableListBullet"/>
            </w:pPr>
            <w:r w:rsidRPr="00990D3B">
              <w:t>An enrollee survey question that asks enrollees to rank their experience of care on a scale from 1 (low quality) to 5 (high quality)</w:t>
            </w:r>
          </w:p>
        </w:tc>
      </w:tr>
      <w:tr w14:paraId="52C57AAE" w14:textId="77777777" w:rsidTr="0073110E">
        <w:tblPrEx>
          <w:tblW w:w="5000" w:type="pct"/>
          <w:tblLook w:val="0620"/>
        </w:tblPrEx>
        <w:tc>
          <w:tcPr>
            <w:tcW w:w="769" w:type="pct"/>
          </w:tcPr>
          <w:p w:rsidR="00337082" w:rsidRPr="00990D3B" w:rsidP="001B1C98" w14:paraId="6F86E6AD" w14:textId="77777777">
            <w:pPr>
              <w:pStyle w:val="EQRTableText"/>
              <w:rPr>
                <w:rFonts w:cs="Arial"/>
                <w:szCs w:val="18"/>
              </w:rPr>
            </w:pPr>
            <w:r w:rsidRPr="00990D3B">
              <w:rPr>
                <w:rFonts w:cs="Arial"/>
                <w:szCs w:val="18"/>
              </w:rPr>
              <w:t>Nominal</w:t>
            </w:r>
          </w:p>
        </w:tc>
        <w:tc>
          <w:tcPr>
            <w:tcW w:w="2356" w:type="pct"/>
          </w:tcPr>
          <w:p w:rsidR="00337082" w:rsidRPr="00990D3B" w:rsidP="001B1C98" w14:paraId="254C79C7" w14:textId="445D3EEE">
            <w:pPr>
              <w:pStyle w:val="EQRTableText"/>
            </w:pPr>
            <w:r w:rsidRPr="00990D3B">
              <w:rPr>
                <w:rFonts w:cs="Arial"/>
                <w:szCs w:val="18"/>
              </w:rPr>
              <w:t>The set of categories for a qualitative variable</w:t>
            </w:r>
          </w:p>
        </w:tc>
        <w:tc>
          <w:tcPr>
            <w:tcW w:w="1875" w:type="pct"/>
          </w:tcPr>
          <w:p w:rsidR="00337082" w:rsidRPr="00990D3B" w:rsidP="00827DA4" w14:paraId="01E895BF" w14:textId="1E6C4BAF">
            <w:pPr>
              <w:pStyle w:val="TableListBullet"/>
            </w:pPr>
            <w:r w:rsidRPr="00990D3B">
              <w:t>Mode of transportation to work (car, bus, subway, bicycle, walk)</w:t>
            </w:r>
          </w:p>
        </w:tc>
      </w:tr>
    </w:tbl>
    <w:p w:rsidR="004C2C1C" w:rsidRPr="00990D3B" w:rsidP="004E5005" w14:paraId="4925070A" w14:textId="3389516F">
      <w:pPr>
        <w:pStyle w:val="ParagraphContinued"/>
      </w:pPr>
      <w:r w:rsidRPr="00990D3B">
        <w:t xml:space="preserve">When selecting study variables, the EQRO should consider measures that currently exist within the health services research community or the managed care industry because the specifications for these measures often have been refined over time, may reflect current clinical guidance, and may have benchmarks for assessing MCP performance. </w:t>
      </w:r>
      <w:r w:rsidRPr="00990D3B" w:rsidR="0044746A">
        <w:t xml:space="preserve">CMS encourages use of the CMS </w:t>
      </w:r>
      <w:r w:rsidRPr="00990D3B" w:rsidR="008B3525">
        <w:rPr>
          <w:rFonts w:cs="Arial"/>
          <w:szCs w:val="22"/>
        </w:rPr>
        <w:t>Child and Adult Core Set measures</w:t>
      </w:r>
      <w:r w:rsidRPr="00990D3B" w:rsidR="0044746A">
        <w:t>, behavioral health clinic quality measures, and Core Quality Measures Collaborative for examples</w:t>
      </w:r>
      <w:r w:rsidRPr="00990D3B" w:rsidR="0044746A">
        <w:rPr>
          <w:rStyle w:val="Hyperlink"/>
          <w:rFonts w:cs="Arial"/>
          <w:szCs w:val="22"/>
        </w:rPr>
        <w:t>.</w:t>
      </w:r>
      <w:r w:rsidRPr="00990D3B" w:rsidR="003162DF">
        <w:rPr>
          <w:rStyle w:val="Hyperlink"/>
          <w:rFonts w:ascii="ZWAdobeF" w:hAnsi="ZWAdobeF" w:cs="ZWAdobeF"/>
          <w:color w:val="auto"/>
          <w:sz w:val="2"/>
          <w:szCs w:val="2"/>
        </w:rPr>
        <w:t>86F</w:t>
      </w:r>
      <w:r>
        <w:rPr>
          <w:rStyle w:val="FootnoteReference"/>
          <w:szCs w:val="22"/>
        </w:rPr>
        <w:footnoteReference w:id="94"/>
      </w:r>
      <w:r w:rsidRPr="00990D3B" w:rsidR="0044746A">
        <w:rPr>
          <w:rStyle w:val="Hyperlink"/>
          <w:rFonts w:cs="Arial"/>
          <w:szCs w:val="22"/>
        </w:rPr>
        <w:t xml:space="preserve"> </w:t>
      </w:r>
      <w:r w:rsidRPr="00990D3B" w:rsidR="0044746A">
        <w:rPr>
          <w:rStyle w:val="Hyperlink"/>
          <w:rFonts w:cs="Arial"/>
          <w:color w:val="auto"/>
          <w:szCs w:val="22"/>
        </w:rPr>
        <w:t xml:space="preserve">Additional </w:t>
      </w:r>
      <w:r w:rsidRPr="00990D3B" w:rsidR="00BB1AFF">
        <w:t>e</w:t>
      </w:r>
      <w:r w:rsidRPr="00990D3B">
        <w:t xml:space="preserve">xamples of existing measures include </w:t>
      </w:r>
      <w:r w:rsidRPr="00990D3B" w:rsidR="009710AE">
        <w:t xml:space="preserve">the </w:t>
      </w:r>
      <w:r w:rsidRPr="00990D3B" w:rsidR="009710AE">
        <w:t>National Committee for Quality Assurance’s (</w:t>
      </w:r>
      <w:r w:rsidRPr="00990D3B">
        <w:t>NCQA’s</w:t>
      </w:r>
      <w:r w:rsidRPr="00990D3B" w:rsidR="009710AE">
        <w:t>)</w:t>
      </w:r>
      <w:r w:rsidRPr="00990D3B">
        <w:t xml:space="preserve"> Healthcare Effectiveness Data Information Set (HEDIS</w:t>
      </w:r>
      <w:r w:rsidRPr="00990D3B" w:rsidR="00435748">
        <w:t>®</w:t>
      </w:r>
      <w:r w:rsidRPr="00990D3B">
        <w:t xml:space="preserve">) or measures  developed by </w:t>
      </w:r>
      <w:r w:rsidRPr="00990D3B" w:rsidR="009710AE">
        <w:t>the Agency for Healthcare Research and Quality (</w:t>
      </w:r>
      <w:r w:rsidRPr="00990D3B">
        <w:t>AHRQ</w:t>
      </w:r>
      <w:r w:rsidRPr="00990D3B" w:rsidR="009710AE">
        <w:t>)</w:t>
      </w:r>
      <w:r w:rsidRPr="00990D3B">
        <w:t xml:space="preserve"> (such as the prevention quality indicators, inpatient quality indicators, patient safety indicators, and pediatric quality indicators).</w:t>
      </w:r>
      <w:r w:rsidRPr="00990D3B" w:rsidR="003162DF">
        <w:rPr>
          <w:rFonts w:ascii="ZWAdobeF" w:hAnsi="ZWAdobeF" w:cs="ZWAdobeF"/>
          <w:sz w:val="2"/>
          <w:szCs w:val="2"/>
        </w:rPr>
        <w:t>87F</w:t>
      </w:r>
      <w:r>
        <w:rPr>
          <w:rStyle w:val="FootnoteReference"/>
          <w:rFonts w:cs="Arial"/>
          <w:szCs w:val="22"/>
        </w:rPr>
        <w:footnoteReference w:id="95"/>
      </w:r>
      <w:r w:rsidRPr="00990D3B">
        <w:t xml:space="preserve"> </w:t>
      </w:r>
    </w:p>
    <w:p w:rsidR="00F60A19" w:rsidRPr="00990D3B" w:rsidP="004E5005" w14:paraId="01F95CDB" w14:textId="77777777">
      <w:pPr>
        <w:pStyle w:val="Paragraph0"/>
      </w:pPr>
      <w:r w:rsidRPr="00990D3B">
        <w:t>When there are gaps in existing measures, the EQRO may develop new measures based on current clinical practice guidelines or health services research. The EQRO should consider the following questions:</w:t>
      </w:r>
    </w:p>
    <w:p w:rsidR="00F60A19" w:rsidRPr="00990D3B" w:rsidP="00FB7CAF" w14:paraId="566BDFBA" w14:textId="0605643D">
      <w:pPr>
        <w:pStyle w:val="EQRBulletBLUE"/>
      </w:pPr>
      <w:r w:rsidRPr="00990D3B">
        <w:t xml:space="preserve">Does the measure address accepted clinical guidelines relevant to the </w:t>
      </w:r>
      <w:r w:rsidRPr="00990D3B" w:rsidR="00972D60">
        <w:t>focus</w:t>
      </w:r>
      <w:r w:rsidRPr="00990D3B">
        <w:t xml:space="preserve"> study question?</w:t>
      </w:r>
    </w:p>
    <w:p w:rsidR="00F60A19" w:rsidRPr="00990D3B" w:rsidP="00FB7CAF" w14:paraId="0372B5D2" w14:textId="77777777">
      <w:pPr>
        <w:pStyle w:val="EQRBulletBLUE"/>
      </w:pPr>
      <w:r w:rsidRPr="00990D3B">
        <w:t xml:space="preserve">Does the measure address an important aspect of care or operations that is meaningful to MCP </w:t>
      </w:r>
      <w:r w:rsidRPr="00990D3B">
        <w:t>enrollees</w:t>
      </w:r>
      <w:r w:rsidRPr="00990D3B">
        <w:t>?</w:t>
      </w:r>
    </w:p>
    <w:p w:rsidR="00F60A19" w:rsidRPr="00990D3B" w:rsidP="00FB7CAF" w14:paraId="62B5FC33" w14:textId="0E492957">
      <w:pPr>
        <w:pStyle w:val="EQRBulletBLUE"/>
      </w:pPr>
      <w:r w:rsidRPr="00990D3B">
        <w:t>Do the available data sources allow the EQRO to reliably and accurately calculate the measure? Are there any limitations on the ability to collect valid and reliable data?</w:t>
      </w:r>
    </w:p>
    <w:p w:rsidR="00F60A19" w:rsidRPr="00990D3B" w:rsidP="00FB7CAF" w14:paraId="7A99123B" w14:textId="4911B5CB">
      <w:pPr>
        <w:pStyle w:val="EQRBulletBLUE"/>
      </w:pPr>
      <w:r w:rsidRPr="00990D3B">
        <w:t>Are all criteria used in the measure defined clearly (e.g., time periods, characteristics of eligible enrollees, services to be assessed, and exclusion criteria)?</w:t>
      </w:r>
    </w:p>
    <w:p w:rsidR="00F60A19" w:rsidRPr="00990D3B" w:rsidP="000510B7" w14:paraId="29F5DDDB" w14:textId="39F22DEB">
      <w:pPr>
        <w:pStyle w:val="H2"/>
      </w:pPr>
      <w:bookmarkStart w:id="957" w:name="P9A4"/>
      <w:bookmarkStart w:id="958" w:name="_Toc14777760"/>
      <w:bookmarkStart w:id="959" w:name="_Toc183005659"/>
      <w:bookmarkStart w:id="960" w:name="_Toc201751429"/>
      <w:r w:rsidRPr="00990D3B">
        <w:t>A</w:t>
      </w:r>
      <w:r w:rsidRPr="00990D3B" w:rsidR="007E5859">
        <w:t>ctivity</w:t>
      </w:r>
      <w:r w:rsidRPr="00990D3B">
        <w:t xml:space="preserve"> 4</w:t>
      </w:r>
      <w:bookmarkEnd w:id="957"/>
      <w:r w:rsidRPr="00990D3B">
        <w:t>: D</w:t>
      </w:r>
      <w:r w:rsidRPr="00990D3B" w:rsidR="00196379">
        <w:t xml:space="preserve">evelop </w:t>
      </w:r>
      <w:r w:rsidRPr="00990D3B" w:rsidR="00D8425E">
        <w:t>a</w:t>
      </w:r>
      <w:r w:rsidRPr="00990D3B">
        <w:t xml:space="preserve"> P</w:t>
      </w:r>
      <w:r w:rsidRPr="00990D3B" w:rsidR="00196379">
        <w:t xml:space="preserve">lan to </w:t>
      </w:r>
      <w:r w:rsidRPr="00990D3B">
        <w:t>S</w:t>
      </w:r>
      <w:r w:rsidRPr="00990D3B" w:rsidR="00196379">
        <w:t>tudy the Population</w:t>
      </w:r>
      <w:bookmarkEnd w:id="958"/>
      <w:bookmarkEnd w:id="959"/>
      <w:bookmarkEnd w:id="960"/>
    </w:p>
    <w:p w:rsidR="0021083F" w:rsidRPr="00990D3B" w:rsidP="004E5005" w14:paraId="00DAD2C9" w14:textId="7CDCE838">
      <w:pPr>
        <w:pStyle w:val="ParagraphContinued"/>
      </w:pPr>
      <w:r w:rsidRPr="00990D3B">
        <w:t xml:space="preserve">The </w:t>
      </w:r>
      <w:r w:rsidRPr="00990D3B" w:rsidR="00972D60">
        <w:t>focus</w:t>
      </w:r>
      <w:r w:rsidRPr="00990D3B">
        <w:t xml:space="preserve"> study should be designed to assess performance for all eligible </w:t>
      </w:r>
      <w:r w:rsidRPr="00990D3B">
        <w:t>enrollees</w:t>
      </w:r>
      <w:r w:rsidRPr="00990D3B">
        <w:t xml:space="preserve"> in the population being studied (e.g., a single MCP, all MCPs in the state, or all Medicaid beneficiaries in the state). If the study focuses on a specific service (e.g., preventive dental care) or condition (e.g., diabetes), the EQRO should include all members of the population that meet measure-specific eligibility criteria</w:t>
      </w:r>
      <w:r w:rsidRPr="00990D3B" w:rsidR="006565B5">
        <w:t xml:space="preserve"> (see </w:t>
      </w:r>
      <w:hyperlink w:anchor="Box9n5" w:tooltip="Box 9.5" w:history="1">
        <w:r w:rsidRPr="00990D3B" w:rsidR="006565B5">
          <w:rPr>
            <w:rStyle w:val="Hyperlink"/>
          </w:rPr>
          <w:t>Box 9.5</w:t>
        </w:r>
      </w:hyperlink>
      <w:r w:rsidRPr="00990D3B" w:rsidR="006565B5">
        <w:t>)</w:t>
      </w:r>
      <w:r w:rsidRPr="00990D3B">
        <w:t xml:space="preserve">. For example, in a </w:t>
      </w:r>
      <w:r w:rsidRPr="00990D3B" w:rsidR="00972D60">
        <w:t>focus</w:t>
      </w:r>
      <w:r w:rsidRPr="00990D3B">
        <w:t xml:space="preserve"> study on human papillomavirus</w:t>
      </w:r>
      <w:r w:rsidRPr="00990D3B" w:rsidR="00776CB7">
        <w:t xml:space="preserve"> </w:t>
      </w:r>
      <w:r w:rsidRPr="00990D3B" w:rsidR="00FC10EB">
        <w:t xml:space="preserve">(HPV) </w:t>
      </w:r>
      <w:r w:rsidRPr="00990D3B">
        <w:t xml:space="preserve">vaccine rates, the EQRO should specify the population of MCP enrollees who meet the eligibility criteria based on age or other </w:t>
      </w:r>
      <w:r w:rsidRPr="00990D3B" w:rsidR="00A768F0">
        <w:t>factors</w:t>
      </w:r>
      <w:r w:rsidRPr="00990D3B">
        <w:t xml:space="preserve">. </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3FCB2135" w14:textId="77777777" w:rsidTr="000F67F7">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Pr>
        <w:tc>
          <w:tcPr>
            <w:tcW w:w="9314" w:type="dxa"/>
            <w:shd w:val="clear" w:color="auto" w:fill="EEF5F8"/>
          </w:tcPr>
          <w:p w:rsidR="008652F8" w:rsidRPr="00990D3B" w:rsidP="000F67F7" w14:paraId="5F57A112" w14:textId="6BDDA892">
            <w:pPr>
              <w:pStyle w:val="EQRTextboxheading"/>
              <w:keepNext/>
              <w:spacing w:before="0" w:after="0"/>
            </w:pPr>
            <w:bookmarkStart w:id="961" w:name="Box9n5"/>
            <w:bookmarkEnd w:id="961"/>
            <w:r w:rsidRPr="00990D3B">
              <w:t>Box 9.</w:t>
            </w:r>
            <w:r w:rsidRPr="00990D3B" w:rsidR="003F1A7C">
              <w:t>5</w:t>
            </w:r>
            <w:r w:rsidRPr="00990D3B">
              <w:t xml:space="preserve"> </w:t>
            </w:r>
            <w:r w:rsidRPr="00990D3B" w:rsidR="003F1A7C">
              <w:t>Tips for Defining the Study Population</w:t>
            </w:r>
          </w:p>
        </w:tc>
      </w:tr>
      <w:tr w14:paraId="3B168648" w14:textId="77777777" w:rsidTr="00B2023F">
        <w:tblPrEx>
          <w:tblW w:w="0" w:type="auto"/>
          <w:tblCellMar>
            <w:top w:w="72" w:type="dxa"/>
            <w:left w:w="173" w:type="dxa"/>
            <w:bottom w:w="72" w:type="dxa"/>
            <w:right w:w="173" w:type="dxa"/>
          </w:tblCellMar>
          <w:tblLook w:val="04A0"/>
        </w:tblPrEx>
        <w:trPr>
          <w:cantSplit/>
          <w:trHeight w:val="531"/>
        </w:trPr>
        <w:tc>
          <w:tcPr>
            <w:tcW w:w="9314" w:type="dxa"/>
            <w:shd w:val="clear" w:color="auto" w:fill="EEF5F8"/>
          </w:tcPr>
          <w:p w:rsidR="008652F8" w:rsidRPr="00990D3B" w:rsidP="00B2023F" w14:paraId="70BDC409" w14:textId="5E010134">
            <w:pPr>
              <w:pStyle w:val="EQRTextboxbody"/>
              <w:spacing w:before="0"/>
            </w:pPr>
            <w:r w:rsidRPr="00990D3B">
              <w:t>EQROs should carefully review the technical specifications for existing measures or develop detailed specifications for new measures to define the measure-eligible population included in the denominator for the study variables.</w:t>
            </w:r>
          </w:p>
        </w:tc>
      </w:tr>
    </w:tbl>
    <w:p w:rsidR="00F60A19" w:rsidRPr="00990D3B" w:rsidP="00CA6732" w14:paraId="584CDF31" w14:textId="007CBFC5">
      <w:pPr>
        <w:pStyle w:val="Paragraph0"/>
        <w:spacing w:before="240"/>
      </w:pPr>
      <w:r w:rsidRPr="00990D3B">
        <w:t>Once the study population is defined, the EQRO should decide whether to review performance for every enrollee in the study population or whether performance needs to be assessed for a representative sample of the population</w:t>
      </w:r>
      <w:r w:rsidRPr="00990D3B" w:rsidR="006565B5">
        <w:t xml:space="preserve"> (see </w:t>
      </w:r>
      <w:hyperlink w:anchor="Box9n6" w:tooltip="Box 9.6" w:history="1">
        <w:r w:rsidRPr="00990D3B" w:rsidR="006565B5">
          <w:rPr>
            <w:rStyle w:val="Hyperlink"/>
          </w:rPr>
          <w:t>Box 9.6</w:t>
        </w:r>
      </w:hyperlink>
      <w:r w:rsidRPr="00990D3B" w:rsidR="00B2023F">
        <w:rPr>
          <w:rStyle w:val="Hyperlink"/>
          <w:color w:val="auto"/>
        </w:rPr>
        <w:t>, next page</w:t>
      </w:r>
      <w:r w:rsidRPr="00990D3B" w:rsidR="006565B5">
        <w:t>)</w:t>
      </w:r>
      <w:r w:rsidRPr="00990D3B">
        <w:t xml:space="preserve">. The appropriate method for the </w:t>
      </w:r>
      <w:r w:rsidRPr="00990D3B" w:rsidR="00972D60">
        <w:t>focus</w:t>
      </w:r>
      <w:r w:rsidRPr="00990D3B">
        <w:t xml:space="preserve"> study may depend on factors related to the availability and quality of data.</w:t>
      </w:r>
      <w:r w:rsidRPr="00990D3B" w:rsidR="00550623">
        <w:t xml:space="preserve"> </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48B513DD" w14:textId="77777777" w:rsidTr="000F67F7">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Pr>
        <w:tc>
          <w:tcPr>
            <w:tcW w:w="9314" w:type="dxa"/>
            <w:shd w:val="clear" w:color="auto" w:fill="EEF5F8"/>
          </w:tcPr>
          <w:p w:rsidR="008652F8" w:rsidRPr="00990D3B" w:rsidP="000F67F7" w14:paraId="73DEE2F0" w14:textId="1753A63E">
            <w:pPr>
              <w:pStyle w:val="EQRTextboxheading"/>
              <w:keepNext/>
              <w:spacing w:before="0" w:after="0"/>
            </w:pPr>
            <w:bookmarkStart w:id="962" w:name="Box9n6"/>
            <w:bookmarkEnd w:id="962"/>
            <w:r w:rsidRPr="00990D3B">
              <w:t>Box 9.</w:t>
            </w:r>
            <w:r w:rsidRPr="00990D3B" w:rsidR="00E55961">
              <w:t>6.</w:t>
            </w:r>
            <w:r w:rsidRPr="00990D3B">
              <w:t xml:space="preserve"> </w:t>
            </w:r>
            <w:r w:rsidRPr="00990D3B" w:rsidR="00E55961">
              <w:t xml:space="preserve">Factors to Consider in Deciding Whether to Study </w:t>
            </w:r>
            <w:r w:rsidRPr="00990D3B" w:rsidR="00E55961">
              <w:t>the Total</w:t>
            </w:r>
            <w:r w:rsidRPr="00990D3B" w:rsidR="00E55961">
              <w:t xml:space="preserve"> Population or a Sample</w:t>
            </w:r>
          </w:p>
        </w:tc>
      </w:tr>
      <w:tr w14:paraId="1430A0F2" w14:textId="77777777" w:rsidTr="000F67F7">
        <w:tblPrEx>
          <w:tblW w:w="0" w:type="auto"/>
          <w:tblCellMar>
            <w:top w:w="72" w:type="dxa"/>
            <w:left w:w="173" w:type="dxa"/>
            <w:bottom w:w="72" w:type="dxa"/>
            <w:right w:w="173" w:type="dxa"/>
          </w:tblCellMar>
          <w:tblLook w:val="04A0"/>
        </w:tblPrEx>
        <w:trPr>
          <w:cantSplit/>
        </w:trPr>
        <w:tc>
          <w:tcPr>
            <w:tcW w:w="9314" w:type="dxa"/>
            <w:shd w:val="clear" w:color="auto" w:fill="EEF5F8"/>
          </w:tcPr>
          <w:p w:rsidR="002972B5" w:rsidRPr="00990D3B" w:rsidP="008B7F82" w14:paraId="52137D2B" w14:textId="406E92FE">
            <w:pPr>
              <w:pStyle w:val="EQRTextboxbody"/>
              <w:spacing w:before="0"/>
            </w:pPr>
            <w:r w:rsidRPr="00990D3B">
              <w:t>If the information needed for a study variable is reliable and complete for the population in an available data source (such as claims/encounters or enrollment data), measuring the total population might be appropriate</w:t>
            </w:r>
            <w:r w:rsidRPr="00990D3B" w:rsidR="00B2023F">
              <w:t xml:space="preserve">. </w:t>
            </w:r>
            <w:r w:rsidRPr="00990D3B">
              <w:t>For example, if the MCP's encounter data reliably provide information about the use of prenatal care (e.g., date, type of visit, type of provider), then the EQRO can use these records to assess performance for the total study population</w:t>
            </w:r>
          </w:p>
          <w:p w:rsidR="0022659A" w:rsidRPr="00990D3B" w:rsidP="00B2023F" w14:paraId="5D08DFC7" w14:textId="6EDDB85D">
            <w:pPr>
              <w:pStyle w:val="EQRTextboxbody"/>
            </w:pPr>
            <w:r w:rsidRPr="00990D3B">
              <w:t>If the EQRO has concerns about the reliability and completeness of administrative data, it may be more appropriate to conduct the study for a sample of the population</w:t>
            </w:r>
            <w:r w:rsidRPr="00990D3B" w:rsidR="00B2023F">
              <w:t xml:space="preserve">. </w:t>
            </w:r>
            <w:r w:rsidRPr="00990D3B">
              <w:t xml:space="preserve">For example, a study on childhood obesity that requires data on body mass index (BMI) assessments may not be able to obtain this information in existing administrative data and may need to use medical records for a </w:t>
            </w:r>
            <w:r w:rsidRPr="00990D3B">
              <w:t>sample of</w:t>
            </w:r>
            <w:r w:rsidRPr="00990D3B">
              <w:t xml:space="preserve"> enrollees</w:t>
            </w:r>
          </w:p>
          <w:p w:rsidR="008652F8" w:rsidRPr="00990D3B" w:rsidP="00B2023F" w14:paraId="7A43C02E" w14:textId="026DE57F">
            <w:pPr>
              <w:pStyle w:val="EQRTextboxbody"/>
            </w:pPr>
            <w:r w:rsidRPr="00990D3B">
              <w:t>Similarly, a study on prenatal and postpartum care may need to use medical records where an MCP pays for maternity care using a bundled payment approach; in such cases, administrative data may not provide the necessary level of detail on the number and date of prenatal and postpartum care visits</w:t>
            </w:r>
            <w:r w:rsidRPr="00990D3B" w:rsidR="00B2023F">
              <w:t>.</w:t>
            </w:r>
          </w:p>
        </w:tc>
      </w:tr>
    </w:tbl>
    <w:p w:rsidR="005A2865" w:rsidRPr="00990D3B" w:rsidP="00CA6732" w14:paraId="72C5F02A" w14:textId="7D381032">
      <w:pPr>
        <w:pStyle w:val="ParagraphContinued"/>
      </w:pPr>
      <w:r w:rsidRPr="00990D3B">
        <w:t xml:space="preserve">If the EQRO decides to assess performance for a sample of the study population, it should use standard statistical methods to select the sample. The sample should be drawn in a way that ensures that </w:t>
      </w:r>
      <w:r w:rsidRPr="00990D3B" w:rsidR="0054265A">
        <w:t>it</w:t>
      </w:r>
      <w:r w:rsidRPr="00990D3B">
        <w:t xml:space="preserve"> </w:t>
      </w:r>
      <w:r w:rsidRPr="00990D3B">
        <w:t>will reflect</w:t>
      </w:r>
      <w:r w:rsidRPr="00990D3B">
        <w:t xml:space="preserve"> the total study population. If the sample is not representative, then the </w:t>
      </w:r>
      <w:r w:rsidRPr="00990D3B" w:rsidR="00972D60">
        <w:t>focus</w:t>
      </w:r>
      <w:r w:rsidRPr="00990D3B">
        <w:t xml:space="preserve"> study will not produce valid and reliable (generalizable) results. To ensure that the sample is representative, every enrollee in the study population should have an equal probability of being selected for the sample and the sample should be large enough to reflect the diversity in the study population. If the </w:t>
      </w:r>
      <w:r w:rsidRPr="00990D3B" w:rsidR="00972D60">
        <w:t>focus</w:t>
      </w:r>
      <w:r w:rsidRPr="00990D3B">
        <w:t xml:space="preserve"> study results will be assessed for </w:t>
      </w:r>
      <w:r w:rsidRPr="00990D3B">
        <w:t>particular subpopulations</w:t>
      </w:r>
      <w:r w:rsidRPr="00990D3B">
        <w:t xml:space="preserve"> of enrollees, the sampling strategy should be designed so that there are </w:t>
      </w:r>
      <w:r w:rsidRPr="00990D3B">
        <w:t>sufficient numbers of</w:t>
      </w:r>
      <w:r w:rsidRPr="00990D3B">
        <w:t xml:space="preserve"> enrollees in each subpopulation included in the sample. Please refer to </w:t>
      </w:r>
      <w:hyperlink w:anchor="AppC" w:tooltip="Appendix B" w:history="1">
        <w:r w:rsidRPr="00990D3B" w:rsidR="00875181">
          <w:rPr>
            <w:rStyle w:val="Hyperlink"/>
          </w:rPr>
          <w:t xml:space="preserve">Appendix C </w:t>
        </w:r>
      </w:hyperlink>
      <w:r w:rsidRPr="00990D3B">
        <w:t>for additional guidance on sampling approaches and sample sizes.</w:t>
      </w:r>
    </w:p>
    <w:p w:rsidR="00986658" w:rsidRPr="00990D3B" w:rsidP="00F20A1B" w14:paraId="6AACEEF0" w14:textId="2A322C84">
      <w:pPr>
        <w:pStyle w:val="H2"/>
      </w:pPr>
      <w:bookmarkStart w:id="963" w:name="P9A5"/>
      <w:bookmarkStart w:id="964" w:name="_Toc14777761"/>
      <w:bookmarkStart w:id="965" w:name="_Toc183005660"/>
      <w:bookmarkStart w:id="966" w:name="_Toc201751430"/>
      <w:r w:rsidRPr="00990D3B">
        <w:t>A</w:t>
      </w:r>
      <w:r w:rsidRPr="00990D3B" w:rsidR="007E5859">
        <w:t>ctivity</w:t>
      </w:r>
      <w:r w:rsidRPr="00990D3B">
        <w:t xml:space="preserve"> 5</w:t>
      </w:r>
      <w:bookmarkEnd w:id="963"/>
      <w:r w:rsidRPr="00990D3B">
        <w:t>: C</w:t>
      </w:r>
      <w:r w:rsidRPr="00990D3B" w:rsidR="00196379">
        <w:t xml:space="preserve">ollect </w:t>
      </w:r>
      <w:r w:rsidRPr="00990D3B" w:rsidR="00D92F6E">
        <w:t>D</w:t>
      </w:r>
      <w:r w:rsidRPr="00990D3B" w:rsidR="00196379">
        <w:t>ata</w:t>
      </w:r>
      <w:bookmarkEnd w:id="964"/>
      <w:bookmarkEnd w:id="965"/>
      <w:bookmarkEnd w:id="966"/>
    </w:p>
    <w:p w:rsidR="00986658" w:rsidRPr="00990D3B" w:rsidP="004E5005" w14:paraId="075753C5" w14:textId="47EB5667">
      <w:pPr>
        <w:pStyle w:val="ParagraphContinued"/>
      </w:pPr>
      <w:r w:rsidRPr="00990D3B">
        <w:t xml:space="preserve">Once the EQRO has established the </w:t>
      </w:r>
      <w:r w:rsidRPr="00990D3B" w:rsidR="00972D60">
        <w:t>focus</w:t>
      </w:r>
      <w:r w:rsidRPr="00990D3B">
        <w:t xml:space="preserve"> study topic, question(s), variable(s), and population, the next step is to collect data. Because data collection can be costly and burdensome, the EQRO should first develop a data collection plan that specifies:</w:t>
      </w:r>
    </w:p>
    <w:p w:rsidR="00986658" w:rsidRPr="00990D3B" w:rsidP="00FB7CAF" w14:paraId="3C35533B" w14:textId="0FF1754F">
      <w:pPr>
        <w:pStyle w:val="EQRBulletBLUE"/>
      </w:pPr>
      <w:r w:rsidRPr="00990D3B">
        <w:t xml:space="preserve">The data sources for the </w:t>
      </w:r>
      <w:r w:rsidRPr="00990D3B" w:rsidR="00972D60">
        <w:t>focus</w:t>
      </w:r>
      <w:r w:rsidRPr="00990D3B">
        <w:t xml:space="preserve"> study</w:t>
      </w:r>
      <w:r w:rsidRPr="00990D3B" w:rsidR="00DE07DC">
        <w:t>.</w:t>
      </w:r>
    </w:p>
    <w:p w:rsidR="00986658" w:rsidRPr="00990D3B" w:rsidP="00FB7CAF" w14:paraId="64C6CDC8" w14:textId="3D2E0CF9">
      <w:pPr>
        <w:pStyle w:val="EQRBulletBLUE"/>
      </w:pPr>
      <w:r w:rsidRPr="00990D3B">
        <w:t>The data to be collected</w:t>
      </w:r>
      <w:r w:rsidRPr="00990D3B" w:rsidR="00DE07DC">
        <w:t>.</w:t>
      </w:r>
      <w:r w:rsidRPr="00990D3B">
        <w:t xml:space="preserve"> </w:t>
      </w:r>
    </w:p>
    <w:p w:rsidR="00986658" w:rsidRPr="00990D3B" w:rsidP="00FB7CAF" w14:paraId="39D15935" w14:textId="2AB48BEB">
      <w:pPr>
        <w:pStyle w:val="EQRBulletBLUE"/>
      </w:pPr>
      <w:r w:rsidRPr="00990D3B">
        <w:t>How and when the data will be collected</w:t>
      </w:r>
      <w:r w:rsidRPr="00990D3B" w:rsidR="00DE07DC">
        <w:t>.</w:t>
      </w:r>
    </w:p>
    <w:p w:rsidR="0044746A" w:rsidRPr="00990D3B" w:rsidP="00FB7CAF" w14:paraId="27C3A142" w14:textId="6B687994">
      <w:pPr>
        <w:pStyle w:val="EQRBulletBLUE"/>
      </w:pPr>
      <w:r w:rsidRPr="00990D3B">
        <w:t>Frequency of data collection</w:t>
      </w:r>
      <w:r w:rsidRPr="00990D3B" w:rsidR="00DE07DC">
        <w:t>.</w:t>
      </w:r>
    </w:p>
    <w:p w:rsidR="00986658" w:rsidRPr="00990D3B" w:rsidP="00FB7CAF" w14:paraId="2F582125" w14:textId="220D2059">
      <w:pPr>
        <w:pStyle w:val="EQRBulletBLUE"/>
      </w:pPr>
      <w:r w:rsidRPr="00990D3B">
        <w:t>Who will collect the data</w:t>
      </w:r>
      <w:r w:rsidRPr="00990D3B" w:rsidR="00DE07DC">
        <w:t>.</w:t>
      </w:r>
      <w:r w:rsidRPr="00990D3B">
        <w:t xml:space="preserve"> </w:t>
      </w:r>
    </w:p>
    <w:p w:rsidR="00986658" w:rsidRPr="00990D3B" w:rsidP="00FB7CAF" w14:paraId="62FC4894" w14:textId="6C9EBA4A">
      <w:pPr>
        <w:pStyle w:val="EQRBulletBLUE"/>
      </w:pPr>
      <w:r w:rsidRPr="00990D3B">
        <w:t xml:space="preserve">Instruments that will be used to collect </w:t>
      </w:r>
      <w:r w:rsidRPr="00990D3B">
        <w:t>the data</w:t>
      </w:r>
      <w:r w:rsidRPr="00990D3B" w:rsidR="00DE07DC">
        <w:t>.</w:t>
      </w:r>
    </w:p>
    <w:p w:rsidR="00986658" w:rsidRPr="00990D3B" w:rsidP="004E5005" w14:paraId="03794231" w14:textId="77777777">
      <w:pPr>
        <w:pStyle w:val="ParagraphContinued"/>
      </w:pPr>
      <w:r w:rsidRPr="00990D3B">
        <w:t xml:space="preserve">The plan should clearly specify the data sources and explain how the EQRO will ensure that the collected data are complete and reliable for the total study population. For example, if the EQRO </w:t>
      </w:r>
      <w:r w:rsidRPr="00990D3B">
        <w:t>will analyze</w:t>
      </w:r>
      <w:r w:rsidRPr="00990D3B">
        <w:t xml:space="preserve"> claims or encounter records for an MCP, the EQRO should assess the data to ensure that it contains consistent and complete information for all enrollees included in the study </w:t>
      </w:r>
      <w:r w:rsidRPr="00990D3B">
        <w:t>population. Moreover, the EQRO should ensure that diagnosis and procedure codes are used consistently across providers and that services provided in all settings are included.</w:t>
      </w:r>
    </w:p>
    <w:p w:rsidR="006C32F8" w:rsidRPr="00990D3B" w:rsidP="004E5005" w14:paraId="433C30E5" w14:textId="06D6ABCA">
      <w:pPr>
        <w:pStyle w:val="Paragraph0"/>
      </w:pPr>
      <w:r w:rsidRPr="00990D3B">
        <w:t xml:space="preserve">If the EQRO plans to develop original data collection tools for the </w:t>
      </w:r>
      <w:r w:rsidRPr="00990D3B" w:rsidR="00972D60">
        <w:t>focus</w:t>
      </w:r>
      <w:r w:rsidRPr="00990D3B">
        <w:t xml:space="preserve"> study, these tools should be designed to obtain reliable results for all subpopulations included in the study. In addition, the data collection plan should confirm that the individuals conducting the data collection have the necessary expertise and training for the task. For example, if the </w:t>
      </w:r>
      <w:r w:rsidRPr="00990D3B" w:rsidR="00972D60">
        <w:t>focus</w:t>
      </w:r>
      <w:r w:rsidRPr="00990D3B">
        <w:t xml:space="preserve"> study requires a survey, interviewers should be trained to conduct the survey in a systematic, unbiased manner. Similarly, if the </w:t>
      </w:r>
      <w:r w:rsidRPr="00990D3B" w:rsidR="00972D60">
        <w:t>focus</w:t>
      </w:r>
      <w:r w:rsidRPr="00990D3B">
        <w:t xml:space="preserve"> study requires medical record reviews, special attention should be given to the qualifications of the medical record reviewers, the specificity of the guidelines for data collection, and plans for ensuring inter- and intra-rater reliability. The reviewers should have a standard protocol for reviewing records, have the knowledge to interpret the records, and have been trained to identify and code the information in the records using consistent decision rules.</w:t>
      </w:r>
      <w:r w:rsidRPr="00990D3B" w:rsidR="00B8297B">
        <w:t xml:space="preserve"> </w:t>
      </w:r>
      <w:hyperlink w:anchor="Box9n7" w:tooltip="Box 9.7" w:history="1">
        <w:r w:rsidRPr="00990D3B" w:rsidR="00F20A1B">
          <w:rPr>
            <w:rStyle w:val="Hyperlink"/>
          </w:rPr>
          <w:t>Box 9.</w:t>
        </w:r>
        <w:r w:rsidRPr="00990D3B" w:rsidR="006565B5">
          <w:rPr>
            <w:rStyle w:val="Hyperlink"/>
          </w:rPr>
          <w:t>7</w:t>
        </w:r>
      </w:hyperlink>
      <w:r w:rsidRPr="00990D3B" w:rsidR="00B8297B">
        <w:t xml:space="preserve"> </w:t>
      </w:r>
      <w:r w:rsidRPr="00990D3B" w:rsidR="006565B5">
        <w:t>identifies</w:t>
      </w:r>
      <w:r w:rsidRPr="00990D3B" w:rsidR="00B8297B">
        <w:t xml:space="preserve"> considerations for medical record reviews.</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7536E38D" w14:textId="77777777" w:rsidTr="000F67F7">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Pr>
        <w:tc>
          <w:tcPr>
            <w:tcW w:w="9314" w:type="dxa"/>
            <w:shd w:val="clear" w:color="auto" w:fill="EEF5F8"/>
          </w:tcPr>
          <w:p w:rsidR="001E3716" w:rsidRPr="00990D3B" w:rsidP="000F67F7" w14:paraId="55B754A3" w14:textId="17665A39">
            <w:pPr>
              <w:pStyle w:val="EQRTextboxheading"/>
              <w:keepNext/>
              <w:spacing w:before="0" w:after="0"/>
            </w:pPr>
            <w:bookmarkStart w:id="967" w:name="Box9n7"/>
            <w:bookmarkStart w:id="968" w:name="_Hlk95391127"/>
            <w:bookmarkEnd w:id="967"/>
            <w:r w:rsidRPr="00990D3B">
              <w:t>Box 9.</w:t>
            </w:r>
            <w:r w:rsidRPr="00990D3B" w:rsidR="0036527A">
              <w:t>7</w:t>
            </w:r>
            <w:r w:rsidRPr="00990D3B">
              <w:t xml:space="preserve">. </w:t>
            </w:r>
            <w:r w:rsidRPr="00990D3B" w:rsidR="0036527A">
              <w:t>Considerations for Medical Record Reviews</w:t>
            </w:r>
          </w:p>
        </w:tc>
      </w:tr>
      <w:tr w14:paraId="079086A5" w14:textId="77777777" w:rsidTr="000F67F7">
        <w:tblPrEx>
          <w:tblW w:w="0" w:type="auto"/>
          <w:tblCellMar>
            <w:top w:w="72" w:type="dxa"/>
            <w:left w:w="173" w:type="dxa"/>
            <w:bottom w:w="72" w:type="dxa"/>
            <w:right w:w="173" w:type="dxa"/>
          </w:tblCellMar>
          <w:tblLook w:val="04A0"/>
        </w:tblPrEx>
        <w:trPr>
          <w:cantSplit/>
        </w:trPr>
        <w:tc>
          <w:tcPr>
            <w:tcW w:w="9314" w:type="dxa"/>
            <w:shd w:val="clear" w:color="auto" w:fill="EEF5F8"/>
          </w:tcPr>
          <w:p w:rsidR="0036527A" w:rsidRPr="00990D3B" w:rsidP="008B7F82" w14:paraId="1CE10932" w14:textId="56450E7D">
            <w:pPr>
              <w:pStyle w:val="EQRTextboxbody"/>
              <w:spacing w:before="0" w:after="0"/>
            </w:pPr>
            <w:r w:rsidRPr="00990D3B">
              <w:t xml:space="preserve">Medical record reviewers require </w:t>
            </w:r>
            <w:r w:rsidRPr="00990D3B">
              <w:t>the conceptual</w:t>
            </w:r>
            <w:r w:rsidRPr="00990D3B">
              <w:t xml:space="preserve"> and organizational skills to abstract data. These skills will vary depending on the nature of the data and the degree of professional judgment required. For example, experienced clinical staff (such as registered nurses) should be used to extract the appropriate data from medical records to support a judgment about whether clinical criteria are met. In contrast, trained medical assistants or medical records clerks may collect data if the abstraction involves verifying the presence of a diagnostic test report</w:t>
            </w:r>
            <w:r w:rsidRPr="00990D3B" w:rsidR="00507DB2">
              <w:t>.</w:t>
            </w:r>
          </w:p>
          <w:p w:rsidR="0036527A" w:rsidRPr="00990D3B" w:rsidP="00B2023F" w14:paraId="002A7AEA" w14:textId="3BA73454">
            <w:pPr>
              <w:pStyle w:val="EQRTextboxbody"/>
            </w:pPr>
            <w:r w:rsidRPr="00990D3B">
              <w:t>Guidelines for obtaining and recording the data are essential. A glossary of terms should be developed before data collection begins to ensure consistent interpretation among and between reviewers. In addition, reviewers should have clear and succinct written instructions, including an overview of the study, how to complete each section of the form, and general guidance on how to handle situations not covered by the instructions. This is particularly important when multiple reviewers are collecting data</w:t>
            </w:r>
            <w:r w:rsidRPr="00990D3B" w:rsidR="00507DB2">
              <w:t>.</w:t>
            </w:r>
          </w:p>
          <w:p w:rsidR="001E3716" w:rsidRPr="00990D3B" w:rsidP="00B2023F" w14:paraId="2DA3FF93" w14:textId="3605DD53">
            <w:pPr>
              <w:pStyle w:val="EQRTextboxbody"/>
            </w:pPr>
            <w:r w:rsidRPr="00990D3B">
              <w:t>Plans for ensuring inter- and intra-rater reliability are key. The number of reviewers used for a given project affects the reliability of the data. A smaller number of staff promotes inter-rater reliability; however, it may also increase the amount of time it takes to complete the task. The focus study should also consider and address intra-rater reliability (i.e., reproducibility of judgments by the same abstractor at a different time)</w:t>
            </w:r>
            <w:r w:rsidRPr="00990D3B" w:rsidR="00507DB2">
              <w:t>.</w:t>
            </w:r>
          </w:p>
        </w:tc>
      </w:tr>
    </w:tbl>
    <w:p w:rsidR="0095163D" w:rsidRPr="00990D3B" w:rsidP="00F20A1B" w14:paraId="2695EC10" w14:textId="59CE5540">
      <w:pPr>
        <w:pStyle w:val="H2"/>
      </w:pPr>
      <w:bookmarkStart w:id="969" w:name="P9A6"/>
      <w:bookmarkStart w:id="970" w:name="_Toc14777762"/>
      <w:bookmarkStart w:id="971" w:name="_Toc183005661"/>
      <w:bookmarkStart w:id="972" w:name="_Toc201751431"/>
      <w:bookmarkEnd w:id="968"/>
      <w:r w:rsidRPr="00990D3B">
        <w:t>A</w:t>
      </w:r>
      <w:r w:rsidRPr="00990D3B" w:rsidR="007E5859">
        <w:t>ctivity</w:t>
      </w:r>
      <w:r w:rsidRPr="00990D3B">
        <w:t xml:space="preserve"> 6</w:t>
      </w:r>
      <w:bookmarkEnd w:id="969"/>
      <w:r w:rsidRPr="00990D3B">
        <w:t xml:space="preserve">: </w:t>
      </w:r>
      <w:r w:rsidRPr="00990D3B" w:rsidR="00196379">
        <w:t>Analyze and Interpret Study Results</w:t>
      </w:r>
      <w:bookmarkEnd w:id="970"/>
      <w:bookmarkEnd w:id="971"/>
      <w:bookmarkEnd w:id="972"/>
    </w:p>
    <w:p w:rsidR="0095163D" w:rsidRPr="00990D3B" w:rsidP="004E5005" w14:paraId="608DFC2D" w14:textId="2B225404">
      <w:pPr>
        <w:pStyle w:val="ParagraphContinued"/>
      </w:pPr>
      <w:r w:rsidRPr="00990D3B">
        <w:t xml:space="preserve">Before beginning the </w:t>
      </w:r>
      <w:r w:rsidRPr="00990D3B" w:rsidR="00972D60">
        <w:t>focus</w:t>
      </w:r>
      <w:r w:rsidRPr="00990D3B">
        <w:t xml:space="preserve"> study, the EQRO should establish a plan for analyzing and interpreting the data. Data analysis begins with examining performance on the selected clinical or </w:t>
      </w:r>
      <w:r w:rsidRPr="00990D3B" w:rsidR="00D72373">
        <w:t>non-clinical</w:t>
      </w:r>
      <w:r w:rsidRPr="00990D3B">
        <w:t xml:space="preserve"> indicators. Accurate data analysis is essential because the state and MCPs may implement changes in treatment and operations based on the results. The review should be conducted using statistical analysis techniques defined in the data analysis plan. </w:t>
      </w:r>
    </w:p>
    <w:p w:rsidR="0095163D" w:rsidRPr="00990D3B" w:rsidP="004E5005" w14:paraId="4210266F" w14:textId="77777777">
      <w:pPr>
        <w:pStyle w:val="Paragraph0"/>
      </w:pPr>
      <w:r w:rsidRPr="00990D3B">
        <w:t>Interpretation and analysis of the study data should involve developing hypotheses about the causes of less-than-optimal performance and collecting data to validate the hypotheses. Interpretation and analysis should also be based on a continuous improvement philosophy to identify areas for improving administrative or delivery system processes.</w:t>
      </w:r>
    </w:p>
    <w:p w:rsidR="0095163D" w:rsidRPr="00990D3B" w:rsidP="004E5005" w14:paraId="009F533C" w14:textId="77777777">
      <w:pPr>
        <w:pStyle w:val="Paragraph0"/>
      </w:pPr>
      <w:r w:rsidRPr="00990D3B">
        <w:t>The EQRO should conduct a quality assurance (QA) review of the analysis before it is finalized. When reviewing the data analysis and study results, the QA reviewer should consider the following questions:</w:t>
      </w:r>
    </w:p>
    <w:p w:rsidR="0095163D" w:rsidRPr="00990D3B" w:rsidP="00FB7CAF" w14:paraId="7B48CF47" w14:textId="77777777">
      <w:pPr>
        <w:pStyle w:val="EQRBulletBLUE"/>
      </w:pPr>
      <w:r w:rsidRPr="00990D3B">
        <w:t>Was the analysis conducted in accordance with the data analysis plan? Were conventional methods used to conduct the analysis?</w:t>
      </w:r>
    </w:p>
    <w:p w:rsidR="0095163D" w:rsidRPr="00990D3B" w:rsidP="00FB7CAF" w14:paraId="3344D69F" w14:textId="77777777">
      <w:pPr>
        <w:pStyle w:val="EQRBulletBLUE"/>
      </w:pPr>
      <w:r w:rsidRPr="00990D3B">
        <w:t>Are numerical results and findings presented in an accurate, clear, and easily understood manner?</w:t>
      </w:r>
    </w:p>
    <w:p w:rsidR="0095163D" w:rsidRPr="00990D3B" w:rsidP="00FB7CAF" w14:paraId="72EA727E" w14:textId="77777777">
      <w:pPr>
        <w:pStyle w:val="EQRBulletBLUE"/>
      </w:pPr>
      <w:r w:rsidRPr="00990D3B">
        <w:t>Does the analysis identify:</w:t>
      </w:r>
    </w:p>
    <w:p w:rsidR="0095163D" w:rsidRPr="00990D3B" w:rsidP="00411ED7" w14:paraId="273738B9" w14:textId="4686D2CF">
      <w:pPr>
        <w:pStyle w:val="EQRBulletBLUE2ndlevel"/>
      </w:pPr>
      <w:r w:rsidRPr="00990D3B">
        <w:t xml:space="preserve">The </w:t>
      </w:r>
      <w:r w:rsidRPr="00990D3B" w:rsidR="00972D60">
        <w:t>focus</w:t>
      </w:r>
      <w:r w:rsidRPr="00990D3B">
        <w:t xml:space="preserve"> study question and variables used to address the question?</w:t>
      </w:r>
    </w:p>
    <w:p w:rsidR="0095163D" w:rsidRPr="00990D3B" w:rsidP="00411ED7" w14:paraId="0C87C8E2" w14:textId="77777777">
      <w:pPr>
        <w:pStyle w:val="EQRBulletBLUE2ndlevel"/>
      </w:pPr>
      <w:r w:rsidRPr="00990D3B">
        <w:t xml:space="preserve">Realistic and unambiguous targets/benchmarks for </w:t>
      </w:r>
      <w:r w:rsidRPr="00990D3B">
        <w:t>the measures</w:t>
      </w:r>
      <w:r w:rsidRPr="00990D3B">
        <w:t>?</w:t>
      </w:r>
    </w:p>
    <w:p w:rsidR="0095163D" w:rsidRPr="00990D3B" w:rsidP="00411ED7" w14:paraId="50323801" w14:textId="77777777">
      <w:pPr>
        <w:pStyle w:val="EQRBulletBLUE2ndlevel"/>
      </w:pPr>
      <w:r w:rsidRPr="00990D3B">
        <w:t>Performance by key subgroups (e.g., by age, geographic location, health status, MCP)?</w:t>
      </w:r>
    </w:p>
    <w:p w:rsidR="0095163D" w:rsidRPr="00990D3B" w:rsidP="00411ED7" w14:paraId="319B5728" w14:textId="77777777">
      <w:pPr>
        <w:pStyle w:val="EQRBulletBLUE2ndlevel"/>
      </w:pPr>
      <w:r w:rsidRPr="00990D3B">
        <w:t>Statistical significance of differences among subgroups?</w:t>
      </w:r>
    </w:p>
    <w:p w:rsidR="0095163D" w:rsidRPr="00990D3B" w:rsidP="00411ED7" w14:paraId="2F6B5660" w14:textId="77777777">
      <w:pPr>
        <w:pStyle w:val="EQRBulletBLUE2ndlevel"/>
      </w:pPr>
      <w:r w:rsidRPr="00990D3B">
        <w:t>Factors that threaten the validity and reliability of the findings (e.g., missing data)?</w:t>
      </w:r>
    </w:p>
    <w:p w:rsidR="0095163D" w:rsidRPr="00990D3B" w:rsidP="00FB7CAF" w14:paraId="43DD673C" w14:textId="3D523122">
      <w:pPr>
        <w:pStyle w:val="EQRBulletBLUE"/>
      </w:pPr>
      <w:r w:rsidRPr="00990D3B">
        <w:t xml:space="preserve">Does the analysis of the study data include an interpretation of the extent to which the </w:t>
      </w:r>
      <w:r w:rsidRPr="00990D3B" w:rsidR="00972D60">
        <w:t>focus</w:t>
      </w:r>
      <w:r w:rsidRPr="00990D3B">
        <w:t xml:space="preserve"> study is successful and what follow-up activities are planned as a result?</w:t>
      </w:r>
    </w:p>
    <w:p w:rsidR="0095163D" w:rsidRPr="00990D3B" w:rsidP="00F20A1B" w14:paraId="1FCE31C8" w14:textId="6A4C93CF">
      <w:pPr>
        <w:pStyle w:val="H2"/>
      </w:pPr>
      <w:bookmarkStart w:id="973" w:name="P9A7"/>
      <w:bookmarkStart w:id="974" w:name="_Toc14777763"/>
      <w:bookmarkStart w:id="975" w:name="_Toc183005662"/>
      <w:bookmarkStart w:id="976" w:name="_Toc201751432"/>
      <w:r w:rsidRPr="00990D3B">
        <w:t>A</w:t>
      </w:r>
      <w:r w:rsidRPr="00990D3B" w:rsidR="007E5859">
        <w:t>ctivity</w:t>
      </w:r>
      <w:r w:rsidRPr="00990D3B">
        <w:t xml:space="preserve"> 7</w:t>
      </w:r>
      <w:bookmarkEnd w:id="973"/>
      <w:r w:rsidRPr="00990D3B">
        <w:t xml:space="preserve">: </w:t>
      </w:r>
      <w:r w:rsidRPr="00990D3B" w:rsidR="00675BF6">
        <w:t>R</w:t>
      </w:r>
      <w:r w:rsidRPr="00990D3B" w:rsidR="00196379">
        <w:t>eport</w:t>
      </w:r>
      <w:r w:rsidRPr="00990D3B" w:rsidR="00675BF6">
        <w:t xml:space="preserve"> R</w:t>
      </w:r>
      <w:r w:rsidRPr="00990D3B" w:rsidR="00196379">
        <w:t xml:space="preserve">esults to the </w:t>
      </w:r>
      <w:r w:rsidRPr="00990D3B" w:rsidR="00675BF6">
        <w:t>S</w:t>
      </w:r>
      <w:r w:rsidRPr="00990D3B" w:rsidR="00196379">
        <w:t>tate</w:t>
      </w:r>
      <w:bookmarkEnd w:id="974"/>
      <w:bookmarkEnd w:id="975"/>
      <w:bookmarkEnd w:id="976"/>
    </w:p>
    <w:p w:rsidR="0095163D" w:rsidRPr="00990D3B" w:rsidP="004E5005" w14:paraId="445875FC" w14:textId="3203F60C">
      <w:pPr>
        <w:pStyle w:val="ParagraphContinued"/>
      </w:pPr>
      <w:r w:rsidRPr="00990D3B">
        <w:t xml:space="preserve">After completing the </w:t>
      </w:r>
      <w:r w:rsidRPr="00990D3B" w:rsidR="00972D60">
        <w:t>focus</w:t>
      </w:r>
      <w:r w:rsidRPr="00990D3B">
        <w:t xml:space="preserve"> study (including the QA review), the EQRO will report the results to the state </w:t>
      </w:r>
      <w:r w:rsidRPr="00990D3B" w:rsidR="006565B5">
        <w:t xml:space="preserve">(see </w:t>
      </w:r>
      <w:hyperlink w:anchor="Box9n8" w:tooltip="Box 9.8" w:history="1">
        <w:r w:rsidRPr="00990D3B" w:rsidR="006565B5">
          <w:rPr>
            <w:rStyle w:val="Hyperlink"/>
          </w:rPr>
          <w:t>Box 9.8</w:t>
        </w:r>
      </w:hyperlink>
      <w:r w:rsidRPr="00990D3B" w:rsidR="00B2023F">
        <w:rPr>
          <w:rStyle w:val="Hyperlink"/>
        </w:rPr>
        <w:t xml:space="preserve">, </w:t>
      </w:r>
      <w:r w:rsidRPr="00990D3B" w:rsidR="00B2023F">
        <w:rPr>
          <w:rStyle w:val="Hyperlink"/>
          <w:color w:val="auto"/>
        </w:rPr>
        <w:t>next page</w:t>
      </w:r>
      <w:r w:rsidRPr="00990D3B" w:rsidR="006565B5">
        <w:t>)</w:t>
      </w:r>
      <w:r w:rsidRPr="00990D3B">
        <w:t xml:space="preserve">. Because the state may use the report to meet its reporting requirements to federal or state agencies, the state legislature, local advocacy groups, or other interested parties, the state may need the report to include specific information presented in a specific format. At minimum, the report should include the following information about the </w:t>
      </w:r>
      <w:r w:rsidRPr="00990D3B" w:rsidR="00972D60">
        <w:t>focus</w:t>
      </w:r>
      <w:r w:rsidRPr="00990D3B">
        <w:t xml:space="preserve"> study:</w:t>
      </w:r>
    </w:p>
    <w:p w:rsidR="0095163D" w:rsidRPr="00990D3B" w:rsidP="00FB7CAF" w14:paraId="10B32475" w14:textId="51E36E6F">
      <w:pPr>
        <w:pStyle w:val="EQRBulletBLUE"/>
      </w:pPr>
      <w:r w:rsidRPr="00990D3B">
        <w:t>Overall summary of findings</w:t>
      </w:r>
      <w:r w:rsidRPr="00990D3B" w:rsidR="00B2023F">
        <w:t>.</w:t>
      </w:r>
    </w:p>
    <w:p w:rsidR="0095163D" w:rsidRPr="00990D3B" w:rsidP="00FB7CAF" w14:paraId="438A6329" w14:textId="52DEC880">
      <w:pPr>
        <w:pStyle w:val="EQRBulletBLUE"/>
      </w:pPr>
      <w:r w:rsidRPr="00990D3B">
        <w:t>Study question and objectives</w:t>
      </w:r>
      <w:r w:rsidRPr="00990D3B" w:rsidR="00B2023F">
        <w:t>.</w:t>
      </w:r>
    </w:p>
    <w:p w:rsidR="0095163D" w:rsidRPr="00990D3B" w:rsidP="00FB7CAF" w14:paraId="2F0B00C0" w14:textId="624F18B9">
      <w:pPr>
        <w:pStyle w:val="EQRBulletBLUE"/>
      </w:pPr>
      <w:r w:rsidRPr="00990D3B">
        <w:t>Methods of data collection and analysis</w:t>
      </w:r>
      <w:r w:rsidRPr="00990D3B" w:rsidR="00B2023F">
        <w:t>.</w:t>
      </w:r>
    </w:p>
    <w:p w:rsidR="0095163D" w:rsidRPr="00990D3B" w:rsidP="00FB7CAF" w14:paraId="54288BF5" w14:textId="38587E57">
      <w:pPr>
        <w:pStyle w:val="EQRBulletBLUE"/>
      </w:pPr>
      <w:r w:rsidRPr="00990D3B">
        <w:t>Detailed findings, including tables and graphics</w:t>
      </w:r>
      <w:r w:rsidRPr="00990D3B" w:rsidR="00B2023F">
        <w:t>.</w:t>
      </w:r>
    </w:p>
    <w:p w:rsidR="0095163D" w:rsidRPr="00990D3B" w:rsidP="00FB7CAF" w14:paraId="328E1769" w14:textId="0F1C3565">
      <w:pPr>
        <w:pStyle w:val="EQRBulletBLUE"/>
      </w:pPr>
      <w:r w:rsidRPr="00990D3B">
        <w:t>Conclusions drawn from the data</w:t>
      </w:r>
      <w:r w:rsidRPr="00990D3B" w:rsidR="00B2023F">
        <w:t>.</w:t>
      </w:r>
    </w:p>
    <w:p w:rsidR="00F317A0" w:rsidRPr="00990D3B" w:rsidP="006565B5" w14:paraId="1C8794ED" w14:textId="0B0C16D6">
      <w:pPr>
        <w:pStyle w:val="ParagraphContinued"/>
      </w:pPr>
      <w:r w:rsidRPr="00990D3B">
        <w:t xml:space="preserve">To ensure that the report includes appropriate information in the desired format, the EQRO should submit an outline to the state before writing up the results. The EQRO should also confirm the </w:t>
      </w:r>
      <w:r w:rsidRPr="00990D3B">
        <w:t>audience</w:t>
      </w:r>
      <w:r w:rsidRPr="00990D3B">
        <w:t xml:space="preserve"> for the report and the plans for dissemination (e.g., to CMS, MCPs, providers, advocates, state legislators). With this information, the report can be appropriately targeted to the intended audience.</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1CBF7B36" w14:textId="77777777" w:rsidTr="000F67F7">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Pr>
        <w:tc>
          <w:tcPr>
            <w:tcW w:w="9314" w:type="dxa"/>
            <w:shd w:val="clear" w:color="auto" w:fill="EEF5F8"/>
          </w:tcPr>
          <w:p w:rsidR="0036527A" w:rsidRPr="00990D3B" w:rsidP="000F67F7" w14:paraId="505BBDF4" w14:textId="77777777">
            <w:pPr>
              <w:pStyle w:val="EQRTextboxheading"/>
              <w:keepNext/>
              <w:spacing w:before="0" w:after="0"/>
            </w:pPr>
            <w:bookmarkStart w:id="977" w:name="Box9n8"/>
            <w:bookmarkEnd w:id="977"/>
            <w:r w:rsidRPr="00990D3B">
              <w:t>Box 9.8. Tips on Reporting on Focus Studies in EQR Technical Reports</w:t>
            </w:r>
          </w:p>
          <w:p w:rsidR="00B2023F" w:rsidRPr="00990D3B" w:rsidP="008B7F82" w14:paraId="320FA1D0" w14:textId="7F289826">
            <w:pPr>
              <w:pStyle w:val="EQRTextboxbody"/>
              <w:spacing w:after="0"/>
            </w:pPr>
            <w:r w:rsidRPr="00990D3B">
              <w:t xml:space="preserve">When presenting focus study results in an EQR technical report, EQROs should aim to clearly articulate the study’s purpose, methods, findings, and implications. The tips below highlight key elements to include </w:t>
            </w:r>
            <w:r w:rsidRPr="00990D3B">
              <w:t>to strengthen</w:t>
            </w:r>
            <w:r w:rsidRPr="00990D3B">
              <w:t xml:space="preserve"> the clarity, relevance, and utility of the report</w:t>
            </w:r>
            <w:r w:rsidRPr="00990D3B" w:rsidR="008B7F82">
              <w:t>.</w:t>
            </w:r>
            <w:r w:rsidRPr="00990D3B">
              <w:t xml:space="preserve"> </w:t>
            </w:r>
          </w:p>
        </w:tc>
      </w:tr>
      <w:tr w14:paraId="5237523C" w14:textId="77777777" w:rsidTr="000F67F7">
        <w:tblPrEx>
          <w:tblW w:w="0" w:type="auto"/>
          <w:tblCellMar>
            <w:top w:w="72" w:type="dxa"/>
            <w:left w:w="173" w:type="dxa"/>
            <w:bottom w:w="72" w:type="dxa"/>
            <w:right w:w="173" w:type="dxa"/>
          </w:tblCellMar>
          <w:tblLook w:val="04A0"/>
        </w:tblPrEx>
        <w:trPr>
          <w:cantSplit/>
        </w:trPr>
        <w:tc>
          <w:tcPr>
            <w:tcW w:w="9314" w:type="dxa"/>
            <w:shd w:val="clear" w:color="auto" w:fill="EEF5F8"/>
          </w:tcPr>
          <w:p w:rsidR="0036527A" w:rsidRPr="00990D3B" w:rsidP="0036527A" w14:paraId="03FACAFB" w14:textId="0604055F">
            <w:pPr>
              <w:pStyle w:val="EQRTextboxbullet"/>
            </w:pPr>
            <w:r w:rsidRPr="00990D3B">
              <w:t>Define the study question and objectives, methods, and data sources clearly and completely. Specify the study population and time frame</w:t>
            </w:r>
            <w:r w:rsidRPr="00990D3B" w:rsidR="00507DB2">
              <w:t>.</w:t>
            </w:r>
          </w:p>
          <w:p w:rsidR="0036527A" w:rsidRPr="00990D3B" w:rsidP="0036527A" w14:paraId="4749C34B" w14:textId="77777777">
            <w:pPr>
              <w:pStyle w:val="EQRTextboxbullet"/>
            </w:pPr>
            <w:r w:rsidRPr="00990D3B">
              <w:t>Use tables and graphics to “tell a story</w:t>
            </w:r>
            <w:r w:rsidRPr="00990D3B">
              <w:t>” with</w:t>
            </w:r>
            <w:r w:rsidRPr="00990D3B">
              <w:t xml:space="preserve"> the data; make sure to answer the study question with the data.</w:t>
            </w:r>
          </w:p>
          <w:p w:rsidR="0036527A" w:rsidRPr="00990D3B" w:rsidP="0036527A" w14:paraId="73D5F25A" w14:textId="026EE0FD">
            <w:pPr>
              <w:pStyle w:val="EQRTextboxbullet"/>
            </w:pPr>
            <w:r w:rsidRPr="00990D3B">
              <w:t>If comparisons are made between subgroups, conduct tests of statistical significance to determine whether differences are statistically meaningful</w:t>
            </w:r>
            <w:r w:rsidRPr="00990D3B" w:rsidR="00507DB2">
              <w:t>.</w:t>
            </w:r>
          </w:p>
          <w:p w:rsidR="0036527A" w:rsidRPr="00990D3B" w:rsidP="0036527A" w14:paraId="71BF6C4A" w14:textId="77777777">
            <w:pPr>
              <w:pStyle w:val="EQRTextboxbullet"/>
            </w:pPr>
            <w:r w:rsidRPr="00990D3B">
              <w:t>Describe the implications of the findings for understanding current performance and for developing quality improvement initiatives. Identify strengths and weaknesses related to quality, timeliness, and access.</w:t>
            </w:r>
          </w:p>
          <w:p w:rsidR="0036527A" w:rsidRPr="00990D3B" w:rsidP="0036527A" w14:paraId="16122C39" w14:textId="51BB55C5">
            <w:pPr>
              <w:pStyle w:val="EQRTextboxbullet"/>
            </w:pPr>
            <w:r w:rsidRPr="00990D3B">
              <w:t>Clearly state the study limitations and caveats</w:t>
            </w:r>
            <w:r w:rsidRPr="00990D3B" w:rsidR="00507DB2">
              <w:t>.</w:t>
            </w:r>
          </w:p>
        </w:tc>
      </w:tr>
    </w:tbl>
    <w:p w:rsidR="0036527A" w:rsidRPr="00990D3B" w:rsidP="0036527A" w14:paraId="69D4B4D4" w14:textId="202A25D9">
      <w:pPr>
        <w:pStyle w:val="Paragraph0"/>
      </w:pPr>
    </w:p>
    <w:p w:rsidR="0036527A" w:rsidRPr="00990D3B" w:rsidP="0036527A" w14:paraId="0BFAC0D7" w14:textId="77777777">
      <w:pPr>
        <w:pStyle w:val="Paragraph0"/>
      </w:pPr>
    </w:p>
    <w:p w:rsidR="00A1601A" w:rsidRPr="00990D3B" w:rsidP="006C32F8" w14:paraId="50119564" w14:textId="7CA995FA">
      <w:pPr>
        <w:pStyle w:val="ParagraphContinued"/>
        <w:jc w:val="center"/>
      </w:pPr>
      <w:r w:rsidRPr="00990D3B">
        <w:t>END OF PROTOCOL 9</w:t>
      </w:r>
    </w:p>
    <w:p w:rsidR="00C64D3A" w:rsidRPr="00990D3B" w:rsidP="004E5005" w14:paraId="70DDD7FB" w14:textId="77777777">
      <w:pPr>
        <w:pStyle w:val="Paragraph0"/>
        <w:sectPr w:rsidSect="00533692">
          <w:headerReference w:type="default" r:id="rId209"/>
          <w:footerReference w:type="even" r:id="rId210"/>
          <w:footerReference w:type="default" r:id="rId211"/>
          <w:headerReference w:type="first" r:id="rId212"/>
          <w:pgSz w:w="12240" w:h="15840" w:code="1"/>
          <w:pgMar w:top="1440" w:right="1440" w:bottom="1440" w:left="1440" w:header="720" w:footer="720" w:gutter="0"/>
          <w:cols w:space="720"/>
          <w:titlePg/>
          <w:docGrid w:linePitch="360"/>
        </w:sectPr>
      </w:pPr>
    </w:p>
    <w:p w:rsidR="001A3542" w:rsidRPr="00990D3B" w:rsidP="00666AC0" w14:paraId="05CD53AA" w14:textId="77777777">
      <w:pPr>
        <w:pStyle w:val="H1"/>
        <w:rPr>
          <w:szCs w:val="32"/>
        </w:rPr>
      </w:pPr>
      <w:bookmarkStart w:id="978" w:name="Protocol10"/>
      <w:bookmarkStart w:id="979" w:name="_Toc201751433"/>
      <w:bookmarkEnd w:id="978"/>
      <w:r w:rsidRPr="00990D3B">
        <w:rPr>
          <w:szCs w:val="32"/>
        </w:rPr>
        <w:t>Protocol 10. Assist with the Quality Ratings for Medicaid and CHIP Quality Rating System</w:t>
      </w:r>
      <w:bookmarkEnd w:id="979"/>
      <w:r w:rsidRPr="00990D3B">
        <w:rPr>
          <w:szCs w:val="32"/>
        </w:rPr>
        <w:t xml:space="preserve"> </w:t>
      </w:r>
    </w:p>
    <w:p w:rsidR="001A3542" w:rsidRPr="00990D3B" w:rsidP="00666AC0" w14:paraId="310F422D" w14:textId="77777777">
      <w:pPr>
        <w:pStyle w:val="EQRMANDATORYorOPTIONAL"/>
      </w:pPr>
      <w:r w:rsidRPr="00990D3B">
        <w:t>AN OPTIONAL EQR-RELATED ACTIVITY</w:t>
      </w:r>
    </w:p>
    <w:tbl>
      <w:tblPr>
        <w:tblStyle w:val="CORESETTab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65"/>
      </w:tblGrid>
      <w:tr w14:paraId="60884C55" w14:textId="77777777" w:rsidTr="00666AC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0" w:type="dxa"/>
            <w:shd w:val="clear" w:color="auto" w:fill="1CA8B7"/>
          </w:tcPr>
          <w:p w:rsidR="001A3542" w:rsidRPr="00990D3B" w14:paraId="316A92A3" w14:textId="71053638">
            <w:pPr>
              <w:pStyle w:val="Feature2"/>
              <w:rPr>
                <w:rStyle w:val="CSDarkBlue"/>
                <w:rFonts w:ascii="Arial Black" w:hAnsi="Arial Black"/>
                <w:color w:val="FFFFFF" w:themeColor="background1"/>
                <w:sz w:val="18"/>
                <w:szCs w:val="18"/>
              </w:rPr>
            </w:pPr>
            <w:hyperlink w:anchor="P10S1" w:tooltip="SECTION I. PREPARING FOR MAC QRS EQR ACTIVITIES " w:history="1">
              <w:r w:rsidRPr="006F5BEC">
                <w:rPr>
                  <w:rStyle w:val="Hyperlink"/>
                  <w:rFonts w:ascii="Arial Black" w:hAnsi="Arial Black"/>
                  <w:b w:val="0"/>
                  <w:color w:val="auto"/>
                  <w:sz w:val="18"/>
                  <w:szCs w:val="18"/>
                </w:rPr>
                <w:t xml:space="preserve">SECTION I. PREPARING FOR MAC QRS EQR ACTIVITIES </w:t>
              </w:r>
            </w:hyperlink>
          </w:p>
        </w:tc>
      </w:tr>
      <w:tr w14:paraId="60D177C1" w14:textId="77777777" w:rsidTr="00666AC0">
        <w:tblPrEx>
          <w:tblW w:w="0" w:type="auto"/>
          <w:tblLook w:val="04A0"/>
        </w:tblPrEx>
        <w:trPr>
          <w:trHeight w:val="440"/>
        </w:trPr>
        <w:tc>
          <w:tcPr>
            <w:tcW w:w="7465" w:type="dxa"/>
          </w:tcPr>
          <w:p w:rsidR="001A3542" w:rsidRPr="00990D3B" w14:paraId="67E53FE7" w14:textId="01D8AD2A">
            <w:pPr>
              <w:pStyle w:val="Feature2"/>
              <w:rPr>
                <w:rStyle w:val="CSTealBold"/>
                <w:rFonts w:ascii="Arial Black" w:hAnsi="Arial Black"/>
                <w:color w:val="1CA8B7"/>
                <w:sz w:val="18"/>
                <w:szCs w:val="18"/>
              </w:rPr>
            </w:pPr>
            <w:hyperlink w:anchor="P10S1A1" w:tooltip="ACTIVITY 1: IDENTIFY THE MEASURES TO BE CALCULATED" w:history="1">
              <w:r w:rsidRPr="00990D3B">
                <w:rPr>
                  <w:rStyle w:val="Hyperlink"/>
                  <w:rFonts w:ascii="Arial Black" w:hAnsi="Arial Black"/>
                  <w:sz w:val="18"/>
                  <w:szCs w:val="18"/>
                </w:rPr>
                <w:t>ACTIVITY 1: IDENTIFY THE MEASURES TO BE CALCULATED</w:t>
              </w:r>
            </w:hyperlink>
            <w:r w:rsidRPr="00990D3B">
              <w:rPr>
                <w:rStyle w:val="CSTealBold"/>
                <w:rFonts w:ascii="Arial Black" w:hAnsi="Arial Black"/>
                <w:color w:val="1CA8B7"/>
                <w:sz w:val="18"/>
                <w:szCs w:val="18"/>
              </w:rPr>
              <w:t xml:space="preserve">  </w:t>
            </w:r>
          </w:p>
        </w:tc>
      </w:tr>
      <w:tr w14:paraId="1F661CE2" w14:textId="77777777" w:rsidTr="00666AC0">
        <w:tblPrEx>
          <w:tblW w:w="0" w:type="auto"/>
          <w:tblLook w:val="04A0"/>
        </w:tblPrEx>
        <w:tc>
          <w:tcPr>
            <w:tcW w:w="7465" w:type="dxa"/>
          </w:tcPr>
          <w:p w:rsidR="001A3542" w:rsidRPr="00990D3B" w14:paraId="5EEC0419" w14:textId="68686DEF">
            <w:pPr>
              <w:pStyle w:val="Feature2"/>
              <w:rPr>
                <w:rStyle w:val="CSTealBold"/>
                <w:rFonts w:ascii="Arial Black" w:hAnsi="Arial Black"/>
                <w:color w:val="1CA8B7"/>
                <w:sz w:val="18"/>
                <w:szCs w:val="18"/>
              </w:rPr>
            </w:pPr>
            <w:hyperlink w:anchor="P10S1A2" w:tooltip="ACTIVITY 2: IDENTIFY DATA SOURCES" w:history="1">
              <w:r w:rsidRPr="00990D3B">
                <w:rPr>
                  <w:rStyle w:val="Hyperlink"/>
                  <w:rFonts w:ascii="Arial Black" w:hAnsi="Arial Black"/>
                  <w:sz w:val="18"/>
                  <w:szCs w:val="18"/>
                </w:rPr>
                <w:t>ACTIVITY 2: IDENTIFY DATA SOURCES</w:t>
              </w:r>
            </w:hyperlink>
            <w:r w:rsidRPr="00990D3B">
              <w:rPr>
                <w:rStyle w:val="CSTealBold"/>
                <w:rFonts w:ascii="Arial Black" w:hAnsi="Arial Black"/>
                <w:color w:val="1CA8B7"/>
                <w:sz w:val="18"/>
                <w:szCs w:val="18"/>
              </w:rPr>
              <w:t xml:space="preserve"> </w:t>
            </w:r>
          </w:p>
        </w:tc>
      </w:tr>
      <w:tr w14:paraId="552908E2" w14:textId="77777777" w:rsidTr="00666AC0">
        <w:tblPrEx>
          <w:tblW w:w="0" w:type="auto"/>
          <w:tblLook w:val="04A0"/>
        </w:tblPrEx>
        <w:tc>
          <w:tcPr>
            <w:tcW w:w="7465" w:type="dxa"/>
          </w:tcPr>
          <w:p w:rsidR="001A3542" w:rsidRPr="00990D3B" w14:paraId="2B6ECFDD" w14:textId="44978009">
            <w:pPr>
              <w:pStyle w:val="Feature2"/>
              <w:rPr>
                <w:rStyle w:val="CSTealBold"/>
                <w:rFonts w:ascii="Arial Black" w:hAnsi="Arial Black"/>
                <w:color w:val="1CA8B7"/>
                <w:sz w:val="18"/>
                <w:szCs w:val="18"/>
              </w:rPr>
            </w:pPr>
            <w:hyperlink w:anchor="P10S1A3" w:tooltip="ACTIVITY 3: CONFIRM ALL MEASURES CALCULATE FOR EACH MCP" w:history="1">
              <w:r w:rsidRPr="00990D3B">
                <w:rPr>
                  <w:rStyle w:val="Hyperlink"/>
                  <w:rFonts w:ascii="Arial Black" w:hAnsi="Arial Black"/>
                  <w:sz w:val="18"/>
                  <w:szCs w:val="18"/>
                </w:rPr>
                <w:t>ACTIVITY 3: CONFIRM ALL MEASURES CALCULATE FOR EACH MCP</w:t>
              </w:r>
            </w:hyperlink>
            <w:r w:rsidRPr="00990D3B">
              <w:rPr>
                <w:rStyle w:val="CSTealBold"/>
                <w:rFonts w:ascii="Arial Black" w:hAnsi="Arial Black"/>
                <w:color w:val="1CA8B7"/>
                <w:sz w:val="18"/>
                <w:szCs w:val="18"/>
              </w:rPr>
              <w:t xml:space="preserve"> </w:t>
            </w:r>
          </w:p>
        </w:tc>
      </w:tr>
      <w:tr w14:paraId="092B00F8" w14:textId="77777777" w:rsidTr="00666AC0">
        <w:tblPrEx>
          <w:tblW w:w="0" w:type="auto"/>
          <w:tblLook w:val="04A0"/>
        </w:tblPrEx>
        <w:tc>
          <w:tcPr>
            <w:tcW w:w="7465" w:type="dxa"/>
          </w:tcPr>
          <w:p w:rsidR="001A3542" w:rsidRPr="00990D3B" w14:paraId="22469767" w14:textId="65B569F6">
            <w:pPr>
              <w:pStyle w:val="Feature2"/>
              <w:rPr>
                <w:rStyle w:val="CSTealBold"/>
                <w:rFonts w:ascii="Arial Black" w:hAnsi="Arial Black"/>
                <w:color w:val="1CA8B7"/>
                <w:sz w:val="18"/>
                <w:szCs w:val="18"/>
              </w:rPr>
            </w:pPr>
            <w:hyperlink w:anchor="P10S1A4" w:tooltip="ACTIVITY 4: SUBMIT FINDINGS AND NEXT STEPS TO THE STATE" w:history="1">
              <w:r w:rsidRPr="00990D3B">
                <w:rPr>
                  <w:rStyle w:val="Hyperlink"/>
                  <w:rFonts w:ascii="Arial Black" w:hAnsi="Arial Black"/>
                  <w:sz w:val="18"/>
                  <w:szCs w:val="18"/>
                </w:rPr>
                <w:t>ACTIVITY 4: SUBMIT FINDINGS AND NEXT STEPS TO THE STATE</w:t>
              </w:r>
            </w:hyperlink>
          </w:p>
        </w:tc>
      </w:tr>
      <w:tr w14:paraId="5629EC31" w14:textId="77777777" w:rsidTr="00666AC0">
        <w:tblPrEx>
          <w:tblW w:w="0" w:type="auto"/>
          <w:tblLook w:val="04A0"/>
        </w:tblPrEx>
        <w:tc>
          <w:tcPr>
            <w:tcW w:w="0" w:type="dxa"/>
            <w:shd w:val="clear" w:color="auto" w:fill="1CA8B7"/>
          </w:tcPr>
          <w:p w:rsidR="001A3542" w:rsidRPr="00990D3B" w14:paraId="51D0E68F" w14:textId="501DFF4C">
            <w:pPr>
              <w:pStyle w:val="Feature2"/>
              <w:rPr>
                <w:rStyle w:val="CSTealBold"/>
                <w:rFonts w:ascii="Arial Black" w:hAnsi="Arial Black"/>
                <w:color w:val="FFFFFF" w:themeColor="background1"/>
                <w:sz w:val="18"/>
                <w:szCs w:val="16"/>
              </w:rPr>
            </w:pPr>
            <w:hyperlink w:anchor="P10S2" w:tooltip="SECTION II. VALIDATING MAC QRS DATA" w:history="1">
              <w:r w:rsidRPr="006F5BEC">
                <w:rPr>
                  <w:rStyle w:val="Hyperlink"/>
                  <w:rFonts w:ascii="Arial Black" w:hAnsi="Arial Black"/>
                  <w:color w:val="auto"/>
                  <w:sz w:val="18"/>
                  <w:szCs w:val="16"/>
                </w:rPr>
                <w:t>SECTION II. VALIDATING MAC QRS DATA</w:t>
              </w:r>
            </w:hyperlink>
            <w:r w:rsidRPr="00990D3B">
              <w:rPr>
                <w:rStyle w:val="CSTealBold"/>
                <w:rFonts w:ascii="Arial Black" w:hAnsi="Arial Black"/>
                <w:color w:val="FFFFFF" w:themeColor="background1"/>
                <w:sz w:val="18"/>
                <w:szCs w:val="16"/>
              </w:rPr>
              <w:t xml:space="preserve"> </w:t>
            </w:r>
          </w:p>
        </w:tc>
      </w:tr>
      <w:tr w14:paraId="1F7737C9" w14:textId="77777777" w:rsidTr="00666AC0">
        <w:tblPrEx>
          <w:tblW w:w="0" w:type="auto"/>
          <w:tblLook w:val="04A0"/>
        </w:tblPrEx>
        <w:tc>
          <w:tcPr>
            <w:tcW w:w="7465" w:type="dxa"/>
          </w:tcPr>
          <w:p w:rsidR="001A3542" w:rsidRPr="00990D3B" w14:paraId="2156F163" w14:textId="331E91BE">
            <w:pPr>
              <w:pStyle w:val="Feature2"/>
              <w:rPr>
                <w:rStyle w:val="CSTealBold"/>
                <w:rFonts w:ascii="Arial Black" w:hAnsi="Arial Black"/>
                <w:color w:val="1CA8B7"/>
                <w:sz w:val="18"/>
                <w:szCs w:val="16"/>
              </w:rPr>
            </w:pPr>
            <w:hyperlink w:anchor="P10S2A1" w:tooltip="ACTIVITY 1: Review MCP Data and Information Systems Capabilities" w:history="1">
              <w:r w:rsidRPr="00990D3B">
                <w:rPr>
                  <w:rStyle w:val="Hyperlink"/>
                  <w:rFonts w:ascii="Arial Black" w:hAnsi="Arial Black"/>
                  <w:sz w:val="18"/>
                  <w:szCs w:val="16"/>
                </w:rPr>
                <w:t xml:space="preserve">ACTIVITY 1: </w:t>
              </w:r>
              <w:r w:rsidRPr="00990D3B">
                <w:rPr>
                  <w:rStyle w:val="Hyperlink"/>
                  <w:rFonts w:ascii="Arial Black" w:hAnsi="Arial Black"/>
                  <w:caps/>
                  <w:sz w:val="18"/>
                  <w:szCs w:val="16"/>
                </w:rPr>
                <w:t>Review MCP Data and Information Systems Capabilities</w:t>
              </w:r>
            </w:hyperlink>
            <w:r w:rsidRPr="00990D3B">
              <w:rPr>
                <w:rStyle w:val="CSTealBold"/>
                <w:rFonts w:ascii="Arial Black" w:hAnsi="Arial Black"/>
                <w:color w:val="1CA8B7"/>
                <w:sz w:val="18"/>
                <w:szCs w:val="16"/>
              </w:rPr>
              <w:t xml:space="preserve"> </w:t>
            </w:r>
          </w:p>
        </w:tc>
      </w:tr>
      <w:tr w14:paraId="199BA9F2" w14:textId="77777777" w:rsidTr="00666AC0">
        <w:tblPrEx>
          <w:tblW w:w="0" w:type="auto"/>
          <w:tblLook w:val="04A0"/>
        </w:tblPrEx>
        <w:tc>
          <w:tcPr>
            <w:tcW w:w="7465" w:type="dxa"/>
          </w:tcPr>
          <w:p w:rsidR="001A3542" w:rsidRPr="00990D3B" w14:paraId="3BA3E52C" w14:textId="754EDB89">
            <w:pPr>
              <w:pStyle w:val="Feature2"/>
              <w:rPr>
                <w:rStyle w:val="CSTealBold"/>
                <w:rFonts w:ascii="Arial Black" w:hAnsi="Arial Black"/>
                <w:caps/>
                <w:color w:val="1CA8B7"/>
                <w:sz w:val="18"/>
                <w:szCs w:val="16"/>
              </w:rPr>
            </w:pPr>
            <w:hyperlink w:anchor="P10S2A2" w:tooltip="ACTIVITY 2: Validate Data" w:history="1">
              <w:r w:rsidRPr="00990D3B">
                <w:rPr>
                  <w:rStyle w:val="Hyperlink"/>
                  <w:rFonts w:ascii="Arial Black" w:hAnsi="Arial Black"/>
                  <w:caps/>
                  <w:sz w:val="18"/>
                  <w:szCs w:val="16"/>
                </w:rPr>
                <w:t>ACTIVITY 2: Validate Data</w:t>
              </w:r>
            </w:hyperlink>
          </w:p>
        </w:tc>
      </w:tr>
      <w:tr w14:paraId="5ECB7727" w14:textId="77777777" w:rsidTr="00666AC0">
        <w:tblPrEx>
          <w:tblW w:w="0" w:type="auto"/>
          <w:tblLook w:val="04A0"/>
        </w:tblPrEx>
        <w:tc>
          <w:tcPr>
            <w:tcW w:w="7465" w:type="dxa"/>
          </w:tcPr>
          <w:p w:rsidR="001A3542" w:rsidRPr="00990D3B" w14:paraId="03D35E0B" w14:textId="57251983">
            <w:pPr>
              <w:pStyle w:val="Feature2"/>
              <w:rPr>
                <w:rStyle w:val="CSTealBold"/>
                <w:rFonts w:ascii="Arial Black" w:hAnsi="Arial Black"/>
                <w:caps/>
                <w:color w:val="1CA8B7"/>
                <w:sz w:val="18"/>
                <w:szCs w:val="16"/>
              </w:rPr>
            </w:pPr>
            <w:hyperlink w:anchor="P10S2A3" w:tooltip="ACTIVITY 3: Submit Findings to the State" w:history="1">
              <w:r w:rsidRPr="00990D3B">
                <w:rPr>
                  <w:rStyle w:val="Hyperlink"/>
                  <w:rFonts w:ascii="Arial Black" w:hAnsi="Arial Black"/>
                  <w:caps/>
                  <w:sz w:val="18"/>
                  <w:szCs w:val="16"/>
                </w:rPr>
                <w:t xml:space="preserve">ACTIVITY 3: </w:t>
              </w:r>
              <w:r w:rsidRPr="00990D3B" w:rsidR="009972E4">
                <w:rPr>
                  <w:rStyle w:val="Hyperlink"/>
                  <w:rFonts w:ascii="Arial Black" w:hAnsi="Arial Black"/>
                  <w:caps/>
                  <w:sz w:val="18"/>
                  <w:szCs w:val="16"/>
                </w:rPr>
                <w:t>REPORT RESULTS</w:t>
              </w:r>
              <w:r w:rsidRPr="00990D3B">
                <w:rPr>
                  <w:rStyle w:val="Hyperlink"/>
                  <w:rFonts w:ascii="Arial Black" w:hAnsi="Arial Black"/>
                  <w:caps/>
                  <w:sz w:val="18"/>
                  <w:szCs w:val="16"/>
                </w:rPr>
                <w:t xml:space="preserve"> to the State</w:t>
              </w:r>
            </w:hyperlink>
          </w:p>
        </w:tc>
      </w:tr>
      <w:tr w14:paraId="28770E04" w14:textId="77777777" w:rsidTr="00666AC0">
        <w:tblPrEx>
          <w:tblW w:w="0" w:type="auto"/>
          <w:tblLook w:val="04A0"/>
        </w:tblPrEx>
        <w:tc>
          <w:tcPr>
            <w:tcW w:w="0" w:type="dxa"/>
            <w:shd w:val="clear" w:color="auto" w:fill="1CA8B7"/>
          </w:tcPr>
          <w:p w:rsidR="001A3542" w:rsidRPr="00990D3B" w14:paraId="3EA704FC" w14:textId="5C26EDE3">
            <w:pPr>
              <w:pStyle w:val="Feature2"/>
              <w:rPr>
                <w:rStyle w:val="CSTealBold"/>
                <w:rFonts w:ascii="Arial Black" w:hAnsi="Arial Black"/>
                <w:color w:val="FFFFFF" w:themeColor="background1"/>
                <w:sz w:val="18"/>
                <w:szCs w:val="16"/>
              </w:rPr>
            </w:pPr>
            <w:hyperlink w:anchor="P10S3" w:tooltip="SECTION III: CALCULATING MAC QRS MEASURE PERFORMANCE RATE" w:history="1">
              <w:r w:rsidRPr="006F5BEC">
                <w:rPr>
                  <w:rStyle w:val="Hyperlink"/>
                  <w:rFonts w:ascii="Arial Black" w:hAnsi="Arial Black"/>
                  <w:color w:val="auto"/>
                  <w:sz w:val="18"/>
                  <w:szCs w:val="16"/>
                </w:rPr>
                <w:t>SECTION III: CALCULATING MAC QRS MEASURE PERFORMANCE RATE</w:t>
              </w:r>
            </w:hyperlink>
            <w:r w:rsidRPr="00990D3B">
              <w:rPr>
                <w:rStyle w:val="CSTealBold"/>
                <w:rFonts w:ascii="Arial Black" w:hAnsi="Arial Black"/>
                <w:color w:val="FFFFFF" w:themeColor="background1"/>
                <w:sz w:val="18"/>
                <w:szCs w:val="16"/>
              </w:rPr>
              <w:t xml:space="preserve"> </w:t>
            </w:r>
          </w:p>
        </w:tc>
      </w:tr>
      <w:tr w14:paraId="08A3AD87" w14:textId="77777777" w:rsidTr="00666AC0">
        <w:tblPrEx>
          <w:tblW w:w="0" w:type="auto"/>
          <w:tblLook w:val="04A0"/>
        </w:tblPrEx>
        <w:tc>
          <w:tcPr>
            <w:tcW w:w="7465" w:type="dxa"/>
          </w:tcPr>
          <w:p w:rsidR="001A3542" w:rsidRPr="00990D3B" w14:paraId="7A617A74" w14:textId="619F450F">
            <w:pPr>
              <w:pStyle w:val="Feature2"/>
              <w:rPr>
                <w:rStyle w:val="CSTealBold"/>
                <w:rFonts w:ascii="Arial Black" w:hAnsi="Arial Black"/>
                <w:caps/>
                <w:color w:val="1CA8B7"/>
                <w:sz w:val="18"/>
                <w:szCs w:val="18"/>
              </w:rPr>
            </w:pPr>
            <w:hyperlink w:anchor="P10S3A1" w:tooltip="ACTIVITY 1: Collect Data" w:history="1">
              <w:r w:rsidRPr="00990D3B">
                <w:rPr>
                  <w:rStyle w:val="Hyperlink"/>
                  <w:rFonts w:ascii="Arial Black" w:hAnsi="Arial Black"/>
                  <w:caps/>
                  <w:sz w:val="18"/>
                  <w:szCs w:val="18"/>
                </w:rPr>
                <w:t>ACTIVITY 1: Collect Data</w:t>
              </w:r>
            </w:hyperlink>
            <w:r w:rsidRPr="00990D3B">
              <w:rPr>
                <w:rStyle w:val="CSTealBold"/>
                <w:rFonts w:ascii="Arial Black" w:hAnsi="Arial Black"/>
                <w:caps/>
                <w:color w:val="1CA8B7"/>
                <w:sz w:val="18"/>
                <w:szCs w:val="18"/>
              </w:rPr>
              <w:t xml:space="preserve"> </w:t>
            </w:r>
          </w:p>
        </w:tc>
      </w:tr>
      <w:tr w14:paraId="0D2279EC" w14:textId="77777777" w:rsidTr="00666AC0">
        <w:tblPrEx>
          <w:tblW w:w="0" w:type="auto"/>
          <w:tblLook w:val="04A0"/>
        </w:tblPrEx>
        <w:tc>
          <w:tcPr>
            <w:tcW w:w="7465" w:type="dxa"/>
          </w:tcPr>
          <w:p w:rsidR="001A3542" w:rsidRPr="00990D3B" w14:paraId="0A44D16A" w14:textId="08F582C1">
            <w:pPr>
              <w:pStyle w:val="Feature2"/>
              <w:rPr>
                <w:rStyle w:val="CSTealBold"/>
                <w:rFonts w:ascii="Arial Black" w:hAnsi="Arial Black"/>
                <w:caps/>
                <w:color w:val="1CA8B7"/>
                <w:sz w:val="18"/>
                <w:szCs w:val="18"/>
              </w:rPr>
            </w:pPr>
            <w:hyperlink w:anchor="P10S3A2" w:tooltip="ACTIVITY 2: Integrate Data" w:history="1">
              <w:r w:rsidRPr="00990D3B">
                <w:rPr>
                  <w:rStyle w:val="Hyperlink"/>
                  <w:rFonts w:ascii="Arial Black" w:hAnsi="Arial Black"/>
                  <w:caps/>
                  <w:sz w:val="18"/>
                  <w:szCs w:val="18"/>
                </w:rPr>
                <w:t xml:space="preserve">ACTIVITY 2: Integrate Data </w:t>
              </w:r>
            </w:hyperlink>
          </w:p>
        </w:tc>
      </w:tr>
      <w:tr w14:paraId="275D63F7" w14:textId="77777777" w:rsidTr="00666AC0">
        <w:tblPrEx>
          <w:tblW w:w="0" w:type="auto"/>
          <w:tblLook w:val="04A0"/>
        </w:tblPrEx>
        <w:tc>
          <w:tcPr>
            <w:tcW w:w="7465" w:type="dxa"/>
          </w:tcPr>
          <w:p w:rsidR="001A3542" w:rsidRPr="00990D3B" w14:paraId="7EABFEDD" w14:textId="66DA8E3C">
            <w:pPr>
              <w:pStyle w:val="Feature2"/>
              <w:rPr>
                <w:rStyle w:val="CSTealBold"/>
                <w:rFonts w:ascii="Arial Black" w:hAnsi="Arial Black"/>
                <w:caps/>
                <w:color w:val="1CA8B7"/>
                <w:sz w:val="18"/>
                <w:szCs w:val="18"/>
              </w:rPr>
            </w:pPr>
            <w:hyperlink w:anchor="P10S3A3" w:tooltip="ACTIVITY 3: Calculate Measure Performance Rates" w:history="1">
              <w:r w:rsidRPr="00990D3B">
                <w:rPr>
                  <w:rStyle w:val="Hyperlink"/>
                  <w:rFonts w:ascii="Arial Black" w:hAnsi="Arial Black"/>
                  <w:caps/>
                  <w:sz w:val="18"/>
                  <w:szCs w:val="18"/>
                </w:rPr>
                <w:t>ACTIVITY 3: Calculate Measure Performance Rates</w:t>
              </w:r>
            </w:hyperlink>
          </w:p>
        </w:tc>
      </w:tr>
      <w:tr w14:paraId="17AED6C9" w14:textId="77777777" w:rsidTr="00666AC0">
        <w:tblPrEx>
          <w:tblW w:w="0" w:type="auto"/>
          <w:tblLook w:val="04A0"/>
        </w:tblPrEx>
        <w:tc>
          <w:tcPr>
            <w:tcW w:w="7465" w:type="dxa"/>
          </w:tcPr>
          <w:p w:rsidR="001A3542" w:rsidRPr="00990D3B" w14:paraId="44D0C1FD" w14:textId="06110851">
            <w:pPr>
              <w:pStyle w:val="Feature2"/>
              <w:rPr>
                <w:rStyle w:val="CSTealBold"/>
                <w:rFonts w:ascii="Arial Black" w:hAnsi="Arial Black"/>
                <w:caps/>
                <w:color w:val="1CA8B7"/>
                <w:sz w:val="18"/>
                <w:szCs w:val="18"/>
              </w:rPr>
            </w:pPr>
            <w:hyperlink w:anchor="P10S3A4" w:tooltip="ACTIVITY 4: Stratify Measure Performance Rates" w:history="1">
              <w:r w:rsidRPr="00990D3B">
                <w:rPr>
                  <w:rStyle w:val="Hyperlink"/>
                  <w:rFonts w:ascii="Arial Black" w:hAnsi="Arial Black"/>
                  <w:caps/>
                  <w:sz w:val="18"/>
                  <w:szCs w:val="18"/>
                </w:rPr>
                <w:t>ACTIVITY 4: Stratify Measure Performance Rates</w:t>
              </w:r>
            </w:hyperlink>
          </w:p>
        </w:tc>
      </w:tr>
      <w:tr w14:paraId="2EBBC02B" w14:textId="77777777" w:rsidTr="00666AC0">
        <w:tblPrEx>
          <w:tblW w:w="0" w:type="auto"/>
          <w:tblLook w:val="04A0"/>
        </w:tblPrEx>
        <w:tc>
          <w:tcPr>
            <w:tcW w:w="7465" w:type="dxa"/>
          </w:tcPr>
          <w:p w:rsidR="001A3542" w:rsidRPr="00990D3B" w14:paraId="2972A8A0" w14:textId="29510451">
            <w:pPr>
              <w:pStyle w:val="Feature2"/>
              <w:rPr>
                <w:rStyle w:val="CSTealBold"/>
                <w:rFonts w:ascii="Arial Black" w:hAnsi="Arial Black"/>
                <w:caps/>
                <w:color w:val="1CA8B7"/>
                <w:sz w:val="18"/>
                <w:szCs w:val="18"/>
              </w:rPr>
            </w:pPr>
            <w:hyperlink w:anchor="P10S3A5" w:tooltip="ACTIVITY 5: Validate Measure Performance Rates" w:history="1">
              <w:r w:rsidRPr="00990D3B">
                <w:rPr>
                  <w:rStyle w:val="Hyperlink"/>
                  <w:rFonts w:ascii="Arial Black" w:hAnsi="Arial Black"/>
                  <w:caps/>
                  <w:sz w:val="18"/>
                  <w:szCs w:val="18"/>
                </w:rPr>
                <w:t>ACTIVITY 5: Validate Measure Performance Rates</w:t>
              </w:r>
            </w:hyperlink>
          </w:p>
        </w:tc>
      </w:tr>
      <w:tr w14:paraId="58F7275F" w14:textId="77777777" w:rsidTr="00666AC0">
        <w:tblPrEx>
          <w:tblW w:w="0" w:type="auto"/>
          <w:tblLook w:val="04A0"/>
        </w:tblPrEx>
        <w:tc>
          <w:tcPr>
            <w:tcW w:w="7465" w:type="dxa"/>
          </w:tcPr>
          <w:p w:rsidR="001A3542" w:rsidRPr="00990D3B" w14:paraId="73C7F461" w14:textId="7F1D94A4">
            <w:pPr>
              <w:pStyle w:val="Feature2"/>
              <w:rPr>
                <w:rStyle w:val="CSTealBold"/>
                <w:rFonts w:ascii="Arial Black" w:hAnsi="Arial Black"/>
                <w:caps/>
                <w:color w:val="1CA8B7"/>
                <w:sz w:val="18"/>
                <w:szCs w:val="18"/>
              </w:rPr>
            </w:pPr>
            <w:hyperlink w:anchor="P10S3A6" w:tooltip="ACTIVITY 6: Report Final Results to the State" w:history="1">
              <w:r w:rsidRPr="00990D3B">
                <w:rPr>
                  <w:rStyle w:val="Hyperlink"/>
                  <w:rFonts w:ascii="Arial Black" w:hAnsi="Arial Black"/>
                  <w:caps/>
                  <w:sz w:val="18"/>
                  <w:szCs w:val="18"/>
                </w:rPr>
                <w:t>ACTIVITY 6: Report Final Results to the State</w:t>
              </w:r>
            </w:hyperlink>
          </w:p>
        </w:tc>
      </w:tr>
    </w:tbl>
    <w:p w:rsidR="001A3542" w:rsidRPr="00990D3B" w:rsidP="00666AC0" w14:paraId="1CAE445A" w14:textId="77777777">
      <w:pPr>
        <w:pStyle w:val="H2"/>
      </w:pPr>
      <w:bookmarkStart w:id="980" w:name="_Toc201751434"/>
      <w:r w:rsidRPr="00990D3B">
        <w:t>Background</w:t>
      </w:r>
      <w:bookmarkEnd w:id="980"/>
    </w:p>
    <w:p w:rsidR="001A3542" w:rsidRPr="00990D3B" w:rsidP="00666AC0" w14:paraId="6480E631" w14:textId="1E0BFD9E">
      <w:pPr>
        <w:pStyle w:val="Paragraph0"/>
        <w:rPr>
          <w:vertAlign w:val="superscript"/>
        </w:rPr>
      </w:pPr>
      <w:r w:rsidRPr="00990D3B">
        <w:t>States that contract with managed care organizations (MCOs), prepaid inpatient hospital plans (PIHPs), or prepaid ambulatory health plans (PAHPs) to deliver Medicaid or Children’s Health Insurance Program (CHIP) services must establish a Medicaid and CHIP Quality Rating System (MAC QRS) – a state-run public website that provides quality information about managed care plans (MCPs).</w:t>
      </w:r>
      <w:r>
        <w:rPr>
          <w:rStyle w:val="FootnoteReference"/>
        </w:rPr>
        <w:footnoteReference w:id="96"/>
      </w:r>
      <w:r w:rsidRPr="00990D3B">
        <w:rPr>
          <w:vertAlign w:val="superscript"/>
        </w:rPr>
        <w:t xml:space="preserve">  </w:t>
      </w:r>
      <w:hyperlink w:anchor="Box10n1" w:tooltip="Box 10.1" w:history="1">
        <w:r w:rsidRPr="00990D3B">
          <w:rPr>
            <w:rStyle w:val="Hyperlink"/>
          </w:rPr>
          <w:t>Box 10.1</w:t>
        </w:r>
      </w:hyperlink>
      <w:r w:rsidRPr="00990D3B">
        <w:rPr>
          <w:color w:val="1CA8B7"/>
        </w:rPr>
        <w:t xml:space="preserve"> </w:t>
      </w:r>
      <w:r w:rsidRPr="00990D3B" w:rsidR="00DE07DC">
        <w:t xml:space="preserve">(next page) </w:t>
      </w:r>
      <w:r w:rsidRPr="00990D3B">
        <w:t xml:space="preserve">defines key QRS-related terms in this protocol. </w:t>
      </w:r>
    </w:p>
    <w:tbl>
      <w:tblPr>
        <w:tblStyle w:val="TableGrid"/>
        <w:tblpPr w:leftFromText="180" w:rightFromText="180" w:vertAnchor="text" w:horzAnchor="margin" w:tblpY="1"/>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203"/>
      </w:tblGrid>
      <w:tr w14:paraId="21BD5A79" w14:textId="77777777" w:rsidTr="00666AC0">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261"/>
        </w:trPr>
        <w:tc>
          <w:tcPr>
            <w:tcW w:w="9203" w:type="dxa"/>
            <w:shd w:val="clear" w:color="auto" w:fill="EEF5F8"/>
          </w:tcPr>
          <w:p w:rsidR="001A3542" w:rsidRPr="00990D3B" w:rsidP="00666AC0" w14:paraId="400BDA2A" w14:textId="77777777">
            <w:pPr>
              <w:pStyle w:val="EQRTextboxheading"/>
              <w:keepNext/>
              <w:spacing w:before="0" w:after="0"/>
            </w:pPr>
            <w:bookmarkStart w:id="981" w:name="Box10n1"/>
            <w:bookmarkEnd w:id="981"/>
            <w:r w:rsidRPr="00990D3B">
              <w:t xml:space="preserve">Box 10.1. Key Terms Used in the MAC QRS EQR Protocol </w:t>
            </w:r>
          </w:p>
        </w:tc>
      </w:tr>
      <w:tr w14:paraId="4A6ED7D4" w14:textId="77777777" w:rsidTr="00666AC0">
        <w:tblPrEx>
          <w:tblW w:w="0" w:type="auto"/>
          <w:tblCellMar>
            <w:top w:w="72" w:type="dxa"/>
            <w:left w:w="173" w:type="dxa"/>
            <w:bottom w:w="72" w:type="dxa"/>
            <w:right w:w="173" w:type="dxa"/>
          </w:tblCellMar>
          <w:tblLook w:val="04A0"/>
        </w:tblPrEx>
        <w:trPr>
          <w:cantSplit/>
          <w:trHeight w:val="1224"/>
        </w:trPr>
        <w:tc>
          <w:tcPr>
            <w:tcW w:w="9203" w:type="dxa"/>
            <w:shd w:val="clear" w:color="auto" w:fill="EEF5F8"/>
          </w:tcPr>
          <w:p w:rsidR="001A3542" w:rsidRPr="00990D3B" w:rsidP="00666AC0" w14:paraId="784485EE" w14:textId="77777777">
            <w:pPr>
              <w:pStyle w:val="EQRTextboxbody"/>
            </w:pPr>
            <w:r w:rsidRPr="00990D3B">
              <w:rPr>
                <w:b/>
                <w:bCs/>
              </w:rPr>
              <w:t>Managed care program</w:t>
            </w:r>
            <w:r w:rsidRPr="00990D3B">
              <w:t>. A state’s Medicaid or CHIP managed care delivery system. Some states operate multiple managed care programs, each with distinct benefits and eligibility criteria for different Medicaid and CHIP populations.</w:t>
            </w:r>
          </w:p>
          <w:p w:rsidR="001A3542" w:rsidRPr="00990D3B" w:rsidP="00666AC0" w14:paraId="77D30194" w14:textId="77777777">
            <w:pPr>
              <w:pStyle w:val="EQRTextboxbody"/>
            </w:pPr>
            <w:r w:rsidRPr="00990D3B">
              <w:rPr>
                <w:b/>
                <w:bCs/>
              </w:rPr>
              <w:t>MAC QRS mandatory measures.</w:t>
            </w:r>
            <w:r w:rsidRPr="00990D3B">
              <w:t xml:space="preserve"> The set of quality measures identified as mandatory by CMS in the current MAC QRS Technical Resource Manual. These measures must be included in a state’s MAC QRS if the measure assesses a service or action covered by a managed care program in the state.</w:t>
            </w:r>
          </w:p>
          <w:p w:rsidR="001A3542" w:rsidRPr="00990D3B" w:rsidP="00666AC0" w14:paraId="74F0905C" w14:textId="77777777">
            <w:pPr>
              <w:pStyle w:val="EQRTextboxbody"/>
            </w:pPr>
            <w:r w:rsidRPr="00990D3B">
              <w:rPr>
                <w:b/>
                <w:bCs/>
              </w:rPr>
              <w:t>MAC QRS quality measures</w:t>
            </w:r>
            <w:r w:rsidRPr="00990D3B">
              <w:t xml:space="preserve">. The MAC </w:t>
            </w:r>
            <w:r w:rsidRPr="00990D3B">
              <w:t>QRS</w:t>
            </w:r>
            <w:r w:rsidRPr="00990D3B">
              <w:t xml:space="preserve"> mandatory measures and any additional quality measures a state chooses to include in its MAC QRS. </w:t>
            </w:r>
          </w:p>
          <w:p w:rsidR="001A3542" w:rsidRPr="00990D3B" w:rsidP="00666AC0" w14:paraId="4BDF1487" w14:textId="77777777">
            <w:pPr>
              <w:pStyle w:val="EQRTextboxbody"/>
            </w:pPr>
            <w:r w:rsidRPr="00990D3B">
              <w:rPr>
                <w:b/>
                <w:bCs/>
              </w:rPr>
              <w:t>Measure performance rate</w:t>
            </w:r>
            <w:r w:rsidRPr="00990D3B">
              <w:t xml:space="preserve">.  The calculated rate for a MAC QRS quality measure. </w:t>
            </w:r>
          </w:p>
          <w:p w:rsidR="001A3542" w:rsidRPr="00990D3B" w:rsidP="00666AC0" w14:paraId="482369AA" w14:textId="75C996FC">
            <w:pPr>
              <w:pStyle w:val="EQRTextboxbody"/>
            </w:pPr>
            <w:r w:rsidRPr="00990D3B">
              <w:rPr>
                <w:b/>
                <w:bCs/>
              </w:rPr>
              <w:t>Quality rating.</w:t>
            </w:r>
            <w:r w:rsidRPr="00990D3B">
              <w:t xml:space="preserve"> The numeric or other value calculated for a MAC QRS quality measure or an assigned indicator </w:t>
            </w:r>
            <w:r w:rsidRPr="00990D3B" w:rsidR="00F702AB">
              <w:t>noting that</w:t>
            </w:r>
            <w:r w:rsidRPr="00990D3B">
              <w:t xml:space="preserve"> data for the measure are not available.</w:t>
            </w:r>
          </w:p>
          <w:p w:rsidR="001A3542" w:rsidRPr="00990D3B" w:rsidP="00666AC0" w14:paraId="11998ACF" w14:textId="77777777">
            <w:pPr>
              <w:pStyle w:val="EQRTextboxbody"/>
            </w:pPr>
            <w:r w:rsidRPr="00990D3B">
              <w:rPr>
                <w:b/>
                <w:bCs/>
              </w:rPr>
              <w:t>Issuing a quality rating.</w:t>
            </w:r>
            <w:r w:rsidRPr="00990D3B">
              <w:t xml:space="preserve"> The publication of a quality rating for a MAC QRS quality measure by a state.</w:t>
            </w:r>
          </w:p>
        </w:tc>
      </w:tr>
    </w:tbl>
    <w:p w:rsidR="001A3542" w:rsidRPr="00990D3B" w:rsidP="00317AAF" w14:paraId="11AFD599" w14:textId="493601B1">
      <w:pPr>
        <w:pStyle w:val="ParagraphContinued"/>
      </w:pPr>
      <w:r w:rsidRPr="00990D3B">
        <w:t>The goals of the MAC QRS are to (1) empower beneficiaries with meaningful information they can use to compare MCPs and choose the one that best meets their needs and preferences; (2) support states in driving MCP performance improvements; and (3) hold states and MCPs accountable for the quality of care provided to enrollees.</w:t>
      </w:r>
      <w:r>
        <w:rPr>
          <w:rStyle w:val="FootnoteReference"/>
        </w:rPr>
        <w:footnoteReference w:id="97"/>
      </w:r>
      <w:r w:rsidRPr="00990D3B">
        <w:t xml:space="preserve"> To support these goals, and promote transparency, MAC QRS websites must include key plan information, such as plan benefits and quality ratings for MAC QRS mandatory measures.</w:t>
      </w:r>
      <w:r>
        <w:rPr>
          <w:rStyle w:val="FootnoteReference"/>
        </w:rPr>
        <w:footnoteReference w:id="98"/>
      </w:r>
      <w:r w:rsidRPr="00990D3B">
        <w:t xml:space="preserve"> </w:t>
      </w:r>
      <w:hyperlink w:anchor="Box10n2" w:tooltip="Box 10.2" w:history="1">
        <w:r w:rsidRPr="00990D3B">
          <w:rPr>
            <w:rStyle w:val="Hyperlink"/>
          </w:rPr>
          <w:t>Box 10.2</w:t>
        </w:r>
      </w:hyperlink>
      <w:r w:rsidRPr="00990D3B">
        <w:rPr>
          <w:color w:val="1CA8B7"/>
        </w:rPr>
        <w:t xml:space="preserve"> </w:t>
      </w:r>
      <w:r w:rsidRPr="00990D3B" w:rsidR="00DE07DC">
        <w:t xml:space="preserve">(next page) </w:t>
      </w:r>
      <w:r w:rsidRPr="00990D3B">
        <w:t>outlines key MAC QRS requirements established in Medicaid and CHIP regulations.</w:t>
      </w:r>
      <w:r>
        <w:rPr>
          <w:rStyle w:val="FootnoteReference"/>
        </w:rPr>
        <w:footnoteReference w:id="99"/>
      </w:r>
      <w:r w:rsidRPr="00990D3B">
        <w:t xml:space="preserve">  </w:t>
      </w:r>
    </w:p>
    <w:tbl>
      <w:tblPr>
        <w:tblStyle w:val="TableGrid"/>
        <w:tblpPr w:leftFromText="187" w:rightFromText="187" w:vertAnchor="page" w:horzAnchor="margin" w:tblpY="1426"/>
        <w:tblOverlap w:val="never"/>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157"/>
      </w:tblGrid>
      <w:tr w14:paraId="5FEAE2F9" w14:textId="77777777" w:rsidTr="00666AC0">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423"/>
        </w:trPr>
        <w:tc>
          <w:tcPr>
            <w:tcW w:w="9157" w:type="dxa"/>
            <w:shd w:val="clear" w:color="auto" w:fill="EEF5F8"/>
          </w:tcPr>
          <w:p w:rsidR="001A3542" w:rsidRPr="00990D3B" w:rsidP="00666AC0" w14:paraId="21A206C8" w14:textId="77777777">
            <w:pPr>
              <w:pStyle w:val="EQRTextboxheading"/>
              <w:keepNext/>
            </w:pPr>
            <w:bookmarkStart w:id="982" w:name="Box10n2"/>
            <w:bookmarkEnd w:id="982"/>
            <w:r w:rsidRPr="00990D3B">
              <w:t>Box 10.2. Key MAC QRS Requirements under 42 C.F.R. 438.505, 438.515, and 438.520</w:t>
            </w:r>
          </w:p>
        </w:tc>
      </w:tr>
      <w:tr w14:paraId="018EAEBD" w14:textId="77777777" w:rsidTr="00666AC0">
        <w:tblPrEx>
          <w:tblW w:w="0" w:type="auto"/>
          <w:tblCellMar>
            <w:top w:w="72" w:type="dxa"/>
            <w:left w:w="173" w:type="dxa"/>
            <w:bottom w:w="72" w:type="dxa"/>
            <w:right w:w="173" w:type="dxa"/>
          </w:tblCellMar>
          <w:tblLook w:val="04A0"/>
        </w:tblPrEx>
        <w:trPr>
          <w:cantSplit/>
          <w:trHeight w:val="23"/>
        </w:trPr>
        <w:tc>
          <w:tcPr>
            <w:tcW w:w="9157" w:type="dxa"/>
            <w:shd w:val="clear" w:color="auto" w:fill="EEF5F8"/>
          </w:tcPr>
          <w:p w:rsidR="001A3542" w:rsidRPr="00990D3B" w:rsidP="001A3542" w14:paraId="51124CC3" w14:textId="77777777">
            <w:pPr>
              <w:pStyle w:val="EQRTextboxbullet"/>
            </w:pPr>
            <w:r w:rsidRPr="00990D3B">
              <w:t>All states contracting with MCOs, PIHPs, or PAHPs to deliver Medicaid or CHIP services must implement a MAC QRS (42 C.F.R. 438.505(a) and (b)).</w:t>
            </w:r>
          </w:p>
          <w:p w:rsidR="001A3542" w:rsidRPr="00990D3B" w:rsidP="001A3542" w14:paraId="4617BAAB" w14:textId="77777777">
            <w:pPr>
              <w:pStyle w:val="EQRTextboxbullet"/>
            </w:pPr>
            <w:r w:rsidRPr="00990D3B">
              <w:t>States must adopt the MAC QRS framework, which includes the mandatory MAC QRS measures, the CMS-developed MAC QRS methodology or an alternative methodology approved by CMS, and MAC QRS website display requirements. (42 C.F.R. 438.505(a)(1)(i); 438.510(a)(1); 438.520(a).</w:t>
            </w:r>
          </w:p>
          <w:p w:rsidR="001A3542" w:rsidRPr="00990D3B" w:rsidP="001A3542" w14:paraId="17610632" w14:textId="77777777">
            <w:pPr>
              <w:pStyle w:val="EQRTextboxbullet"/>
            </w:pPr>
            <w:r w:rsidRPr="00990D3B">
              <w:t>States may implement website features beyond those required at 42 C.F.R. 438.520(a) and/or include other quality measures in addition to the MAC QRS mandatory measures (42 C.F.R. 438.520(c)).</w:t>
            </w:r>
          </w:p>
          <w:p w:rsidR="001A3542" w:rsidRPr="00990D3B" w:rsidP="001A3542" w14:paraId="00375800" w14:textId="77777777">
            <w:pPr>
              <w:pStyle w:val="EQRTextboxbullet"/>
            </w:pPr>
            <w:r w:rsidRPr="00990D3B">
              <w:t xml:space="preserve">States must </w:t>
            </w:r>
            <w:r w:rsidRPr="00990D3B">
              <w:t>calculate measure</w:t>
            </w:r>
            <w:r w:rsidRPr="00990D3B">
              <w:t xml:space="preserve"> performance rates and issue a quality rating for each MCP that covers services or actions assessed in MAC QRS mandatory measures (42 C.F.R. 438.515(a)(3) and (4)). States must ensure that: </w:t>
            </w:r>
          </w:p>
          <w:p w:rsidR="001A3542" w:rsidRPr="00990D3B" w:rsidP="00317AAF" w14:paraId="6637B570" w14:textId="77777777">
            <w:pPr>
              <w:pStyle w:val="EQRTextboxbullet2ndlevel"/>
            </w:pPr>
            <w:r w:rsidRPr="00990D3B">
              <w:t>The data necessary to calculate quality ratings for each assigned MAC QRS mandatory measure are collected from the relevant MCPs. If MCPs cannot provide all necessary data, states must supplement it, where feasible without undue burden, with data from other sources. Other necessary data sources may include Medicare data (from Medicare Advantage plans, Medicare providers, and CMS), data from another Medicaid MCP, and Medicaid fee-for-service data (42 C.F.R. 438.515(a)(1)).</w:t>
            </w:r>
          </w:p>
          <w:p w:rsidR="001A3542" w:rsidRPr="00990D3B" w:rsidP="00317AAF" w14:paraId="023887CC" w14:textId="77777777">
            <w:pPr>
              <w:pStyle w:val="EQRTextboxbullet2ndlevel"/>
            </w:pPr>
            <w:r w:rsidRPr="00990D3B">
              <w:t xml:space="preserve">Quality ratings for MAC QRS mandatory measures must incorporate data from all </w:t>
            </w:r>
            <w:r w:rsidRPr="00990D3B">
              <w:t>enrollees</w:t>
            </w:r>
            <w:r w:rsidRPr="00990D3B">
              <w:t xml:space="preserve"> covered by the MCP who receive the services or actions assessed by the measure. This requirement helps ensure the MAC QRS quality ratings accurately reflect the quality of care received by all the MCP’s enrollees (42 C.F.R. 438.515(b)(1)). </w:t>
            </w:r>
          </w:p>
          <w:p w:rsidR="001A3542" w:rsidRPr="00990D3B" w:rsidP="00317AAF" w14:paraId="4DBE5382" w14:textId="77777777">
            <w:pPr>
              <w:pStyle w:val="EQRTextboxbullet2ndlevel"/>
            </w:pPr>
            <w:r w:rsidRPr="00990D3B">
              <w:t>They issue quality ratings for MAC QRS mandatory measures at the plan level for each managed care program in which an MCP participates. This ensures that MCPs operating across multiple managed care programs within the same state receive distinct quality ratings for each program (42 C.F.R. 438.515(b)(2)).</w:t>
            </w:r>
          </w:p>
          <w:p w:rsidR="001A3542" w:rsidRPr="00990D3B" w:rsidP="00317AAF" w14:paraId="19967720" w14:textId="77777777">
            <w:pPr>
              <w:pStyle w:val="EQRTextboxbullet2ndlevel"/>
            </w:pPr>
            <w:r w:rsidRPr="00990D3B">
              <w:t xml:space="preserve">An independent entity, with no conflicts of interest, validates the data used to calculate MAC QRS mandatory measure quality ratings. As shown in </w:t>
            </w:r>
            <w:r w:rsidRPr="00C55F06">
              <w:t>Table 10.1</w:t>
            </w:r>
            <w:r w:rsidRPr="00990D3B">
              <w:t xml:space="preserve">, this excludes MCPs from validating data that are used to calculate MAC QRS quality ratings (42 C.F.R. 438.515(a)(2)). </w:t>
            </w:r>
          </w:p>
          <w:p w:rsidR="001A3542" w:rsidRPr="00990D3B" w:rsidP="00317AAF" w14:paraId="3C64C963" w14:textId="302F4CE8">
            <w:pPr>
              <w:pStyle w:val="EQRTextboxbullet2ndlevel"/>
            </w:pPr>
            <w:r w:rsidRPr="00990D3B">
              <w:t xml:space="preserve"> MAC QRS mandatory measures are stratified by </w:t>
            </w:r>
            <w:r w:rsidRPr="00990D3B" w:rsidR="00306BA1">
              <w:t xml:space="preserve">factors specified by CMS </w:t>
            </w:r>
            <w:r w:rsidRPr="00990D3B">
              <w:t>42 C.F.R. 438.520(a)(2)(v)).</w:t>
            </w:r>
          </w:p>
        </w:tc>
      </w:tr>
    </w:tbl>
    <w:p w:rsidR="001A3542" w:rsidRPr="00990D3B" w:rsidP="00317AAF" w14:paraId="71C71779" w14:textId="61FFFD79">
      <w:pPr>
        <w:pStyle w:val="ParagraphContinued"/>
      </w:pPr>
      <w:r w:rsidRPr="00990D3B">
        <w:t>This protocol guides data validation and measure performance rate calculation for MAC QRS. The activities apply to</w:t>
      </w:r>
      <w:r w:rsidRPr="00990D3B">
        <w:t xml:space="preserve"> </w:t>
      </w:r>
      <w:r w:rsidRPr="00990D3B">
        <w:t xml:space="preserve">all MAC QRS quality measures, including those in the mandatory measure set and any additional measures a state chooses to include. </w:t>
      </w:r>
      <w:hyperlink w:anchor="Table10n1" w:tooltip="Table 10.1" w:history="1">
        <w:r w:rsidRPr="00990D3B">
          <w:rPr>
            <w:rStyle w:val="Hyperlink"/>
          </w:rPr>
          <w:t>Table 10.1</w:t>
        </w:r>
      </w:hyperlink>
      <w:r w:rsidRPr="00990D3B">
        <w:t xml:space="preserve"> clarifies which entities (the state, the EQRO, or the MCP) may perform each MAC QRS-related activity. </w:t>
      </w:r>
    </w:p>
    <w:p w:rsidR="001A3542" w:rsidRPr="00990D3B" w:rsidP="00666AC0" w14:paraId="7DDC5EA9" w14:textId="77777777">
      <w:pPr>
        <w:pStyle w:val="MarkforTableHeading"/>
        <w:rPr>
          <w:b/>
          <w:bCs/>
        </w:rPr>
      </w:pPr>
      <w:bookmarkStart w:id="983" w:name="Table10n1"/>
      <w:bookmarkEnd w:id="983"/>
      <w:r w:rsidRPr="00990D3B">
        <w:t xml:space="preserve">Table </w:t>
      </w:r>
      <w:r w:rsidRPr="00990D3B">
        <w:t>10.1. Entities Authorized to Conduct MAC QRS Quality Rating-Related Activities</w:t>
      </w:r>
    </w:p>
    <w:tbl>
      <w:tblPr>
        <w:tblStyle w:val="CORESETTable"/>
        <w:tblW w:w="0" w:type="auto"/>
        <w:tblLook w:val="04A0"/>
      </w:tblPr>
      <w:tblGrid>
        <w:gridCol w:w="3775"/>
        <w:gridCol w:w="1858"/>
        <w:gridCol w:w="1858"/>
        <w:gridCol w:w="1859"/>
      </w:tblGrid>
      <w:tr w14:paraId="63BE12BE" w14:textId="77777777" w:rsidTr="0073110E">
        <w:tblPrEx>
          <w:tblW w:w="0" w:type="auto"/>
          <w:tblLook w:val="04A0"/>
        </w:tblPrEx>
        <w:trPr>
          <w:tblHeader/>
        </w:trPr>
        <w:tc>
          <w:tcPr>
            <w:tcW w:w="3775" w:type="dxa"/>
          </w:tcPr>
          <w:p w:rsidR="001A3542" w:rsidRPr="00990D3B" w:rsidP="00666AC0" w14:paraId="0A287435" w14:textId="77777777">
            <w:pPr>
              <w:pStyle w:val="Paragraph0"/>
              <w:rPr>
                <w:rFonts w:asciiTheme="majorHAnsi" w:hAnsiTheme="majorHAnsi" w:cstheme="majorHAnsi"/>
                <w:szCs w:val="18"/>
              </w:rPr>
            </w:pPr>
          </w:p>
        </w:tc>
        <w:tc>
          <w:tcPr>
            <w:tcW w:w="5575" w:type="dxa"/>
            <w:gridSpan w:val="3"/>
          </w:tcPr>
          <w:p w:rsidR="001A3542" w:rsidRPr="00990D3B" w:rsidP="00666AC0" w14:paraId="4CFEBDA4" w14:textId="77777777">
            <w:pPr>
              <w:pStyle w:val="Paragraph0"/>
              <w:jc w:val="center"/>
              <w:rPr>
                <w:rFonts w:asciiTheme="majorHAnsi" w:hAnsiTheme="majorHAnsi" w:cstheme="majorHAnsi"/>
                <w:szCs w:val="18"/>
              </w:rPr>
            </w:pPr>
            <w:r w:rsidRPr="00990D3B">
              <w:rPr>
                <w:rFonts w:asciiTheme="majorHAnsi" w:hAnsiTheme="majorHAnsi" w:cstheme="majorHAnsi"/>
                <w:szCs w:val="18"/>
              </w:rPr>
              <w:t>Entity</w:t>
            </w:r>
          </w:p>
        </w:tc>
      </w:tr>
      <w:tr w14:paraId="58F47BA5" w14:textId="77777777" w:rsidTr="0073110E">
        <w:tblPrEx>
          <w:tblW w:w="0" w:type="auto"/>
          <w:tblLook w:val="04A0"/>
        </w:tblPrEx>
        <w:trPr>
          <w:tblHeader/>
        </w:trPr>
        <w:tc>
          <w:tcPr>
            <w:tcW w:w="3775" w:type="dxa"/>
          </w:tcPr>
          <w:p w:rsidR="001A3542" w:rsidRPr="00990D3B" w:rsidP="00666AC0" w14:paraId="0DE1FEE2" w14:textId="77777777">
            <w:pPr>
              <w:pStyle w:val="Paragraph0"/>
              <w:rPr>
                <w:rFonts w:asciiTheme="majorHAnsi" w:hAnsiTheme="majorHAnsi" w:cstheme="majorHAnsi"/>
                <w:szCs w:val="18"/>
              </w:rPr>
            </w:pPr>
            <w:r w:rsidRPr="00990D3B">
              <w:rPr>
                <w:rFonts w:asciiTheme="majorHAnsi" w:hAnsiTheme="majorHAnsi" w:cstheme="majorHAnsi"/>
                <w:szCs w:val="18"/>
              </w:rPr>
              <w:t>Activity</w:t>
            </w:r>
          </w:p>
        </w:tc>
        <w:tc>
          <w:tcPr>
            <w:tcW w:w="1858" w:type="dxa"/>
          </w:tcPr>
          <w:p w:rsidR="001A3542" w:rsidRPr="00990D3B" w:rsidP="00666AC0" w14:paraId="31FBE13F" w14:textId="77777777">
            <w:pPr>
              <w:pStyle w:val="Paragraph0"/>
              <w:jc w:val="center"/>
              <w:rPr>
                <w:rFonts w:asciiTheme="majorHAnsi" w:hAnsiTheme="majorHAnsi" w:cstheme="majorHAnsi"/>
                <w:b w:val="0"/>
                <w:bCs/>
                <w:szCs w:val="18"/>
              </w:rPr>
            </w:pPr>
            <w:r w:rsidRPr="00990D3B">
              <w:rPr>
                <w:rFonts w:asciiTheme="majorHAnsi" w:hAnsiTheme="majorHAnsi" w:cstheme="majorHAnsi"/>
                <w:bCs/>
                <w:szCs w:val="18"/>
              </w:rPr>
              <w:t>State</w:t>
            </w:r>
          </w:p>
        </w:tc>
        <w:tc>
          <w:tcPr>
            <w:tcW w:w="1858" w:type="dxa"/>
          </w:tcPr>
          <w:p w:rsidR="001A3542" w:rsidRPr="00990D3B" w:rsidP="00666AC0" w14:paraId="26FCE9C2" w14:textId="4FD895C9">
            <w:pPr>
              <w:pStyle w:val="Paragraph0"/>
              <w:jc w:val="center"/>
              <w:rPr>
                <w:rFonts w:asciiTheme="majorHAnsi" w:hAnsiTheme="majorHAnsi" w:cstheme="majorHAnsi"/>
                <w:b w:val="0"/>
                <w:bCs/>
                <w:szCs w:val="18"/>
              </w:rPr>
            </w:pPr>
            <w:r w:rsidRPr="00990D3B">
              <w:rPr>
                <w:rFonts w:asciiTheme="majorHAnsi" w:hAnsiTheme="majorHAnsi" w:cstheme="majorHAnsi"/>
                <w:bCs/>
                <w:szCs w:val="18"/>
              </w:rPr>
              <w:t>MCP</w:t>
            </w:r>
            <w:r w:rsidRPr="00BC57B8" w:rsidR="00BC57B8">
              <w:rPr>
                <w:rFonts w:asciiTheme="majorHAnsi" w:hAnsiTheme="majorHAnsi" w:cstheme="majorHAnsi"/>
                <w:bCs/>
                <w:szCs w:val="18"/>
                <w:vertAlign w:val="superscript"/>
              </w:rPr>
              <w:t>a</w:t>
            </w:r>
          </w:p>
        </w:tc>
        <w:tc>
          <w:tcPr>
            <w:tcW w:w="1859" w:type="dxa"/>
          </w:tcPr>
          <w:p w:rsidR="001A3542" w:rsidRPr="00990D3B" w:rsidP="00666AC0" w14:paraId="4FA06FF9" w14:textId="77777777">
            <w:pPr>
              <w:pStyle w:val="Paragraph0"/>
              <w:jc w:val="center"/>
              <w:rPr>
                <w:rFonts w:asciiTheme="majorHAnsi" w:hAnsiTheme="majorHAnsi" w:cstheme="majorHAnsi"/>
                <w:b w:val="0"/>
                <w:bCs/>
                <w:szCs w:val="18"/>
              </w:rPr>
            </w:pPr>
            <w:r w:rsidRPr="00990D3B">
              <w:rPr>
                <w:rFonts w:asciiTheme="majorHAnsi" w:hAnsiTheme="majorHAnsi" w:cstheme="majorHAnsi"/>
                <w:bCs/>
                <w:szCs w:val="18"/>
              </w:rPr>
              <w:t>EQRO</w:t>
            </w:r>
          </w:p>
        </w:tc>
      </w:tr>
      <w:tr w14:paraId="0096046D" w14:textId="77777777" w:rsidTr="0073110E">
        <w:tblPrEx>
          <w:tblW w:w="0" w:type="auto"/>
          <w:tblLook w:val="04A0"/>
        </w:tblPrEx>
        <w:tc>
          <w:tcPr>
            <w:tcW w:w="3775" w:type="dxa"/>
            <w:shd w:val="clear" w:color="auto" w:fill="EEF5F5" w:themeFill="background2"/>
          </w:tcPr>
          <w:p w:rsidR="001A3542" w:rsidRPr="00990D3B" w:rsidP="00666AC0" w14:paraId="36386121" w14:textId="77777777">
            <w:pPr>
              <w:pStyle w:val="Paragraph0"/>
              <w:spacing w:before="60" w:after="60"/>
              <w:rPr>
                <w:rFonts w:asciiTheme="majorHAnsi" w:hAnsiTheme="majorHAnsi" w:cstheme="majorHAnsi"/>
                <w:b/>
                <w:bCs/>
                <w:szCs w:val="18"/>
              </w:rPr>
            </w:pPr>
            <w:r w:rsidRPr="00990D3B">
              <w:rPr>
                <w:rFonts w:asciiTheme="majorHAnsi" w:hAnsiTheme="majorHAnsi" w:cstheme="majorHAnsi"/>
                <w:szCs w:val="18"/>
              </w:rPr>
              <w:t>Collecting Data</w:t>
            </w:r>
          </w:p>
        </w:tc>
        <w:tc>
          <w:tcPr>
            <w:tcW w:w="1858" w:type="dxa"/>
            <w:shd w:val="clear" w:color="auto" w:fill="EEF5F5" w:themeFill="background2"/>
          </w:tcPr>
          <w:p w:rsidR="001A3542" w:rsidRPr="00990D3B" w:rsidP="00666AC0" w14:paraId="2BF2EFF4" w14:textId="77777777">
            <w:pPr>
              <w:pStyle w:val="Paragraph0"/>
              <w:spacing w:before="60" w:after="60"/>
              <w:jc w:val="center"/>
              <w:rPr>
                <w:rFonts w:asciiTheme="majorHAnsi" w:hAnsiTheme="majorHAnsi" w:cstheme="majorHAnsi"/>
                <w:szCs w:val="18"/>
              </w:rPr>
            </w:pPr>
            <w:r w:rsidRPr="00990D3B">
              <w:rPr>
                <w:rFonts w:asciiTheme="majorHAnsi" w:hAnsiTheme="majorHAnsi" w:cstheme="majorHAnsi"/>
                <w:szCs w:val="18"/>
              </w:rPr>
              <w:t>Yes</w:t>
            </w:r>
          </w:p>
        </w:tc>
        <w:tc>
          <w:tcPr>
            <w:tcW w:w="1858" w:type="dxa"/>
            <w:shd w:val="clear" w:color="auto" w:fill="EEF5F5" w:themeFill="background2"/>
          </w:tcPr>
          <w:p w:rsidR="001A3542" w:rsidRPr="00990D3B" w:rsidP="00666AC0" w14:paraId="21EC29A0" w14:textId="77777777">
            <w:pPr>
              <w:pStyle w:val="Paragraph0"/>
              <w:spacing w:before="60" w:after="60"/>
              <w:jc w:val="center"/>
              <w:rPr>
                <w:rFonts w:asciiTheme="majorHAnsi" w:hAnsiTheme="majorHAnsi" w:cstheme="majorHAnsi"/>
                <w:szCs w:val="18"/>
              </w:rPr>
            </w:pPr>
            <w:r w:rsidRPr="00990D3B">
              <w:rPr>
                <w:rFonts w:asciiTheme="majorHAnsi" w:hAnsiTheme="majorHAnsi" w:cstheme="majorHAnsi"/>
                <w:szCs w:val="18"/>
              </w:rPr>
              <w:t>Yes</w:t>
            </w:r>
          </w:p>
        </w:tc>
        <w:tc>
          <w:tcPr>
            <w:tcW w:w="1859" w:type="dxa"/>
            <w:shd w:val="clear" w:color="auto" w:fill="EEF5F5" w:themeFill="background2"/>
          </w:tcPr>
          <w:p w:rsidR="001A3542" w:rsidRPr="00990D3B" w:rsidP="00666AC0" w14:paraId="7C05ABA0" w14:textId="77777777">
            <w:pPr>
              <w:pStyle w:val="Paragraph0"/>
              <w:spacing w:before="60" w:after="60"/>
              <w:jc w:val="center"/>
              <w:rPr>
                <w:rFonts w:asciiTheme="majorHAnsi" w:hAnsiTheme="majorHAnsi" w:cstheme="majorHAnsi"/>
                <w:szCs w:val="18"/>
              </w:rPr>
            </w:pPr>
            <w:r w:rsidRPr="00990D3B">
              <w:rPr>
                <w:rFonts w:asciiTheme="majorHAnsi" w:hAnsiTheme="majorHAnsi" w:cstheme="majorHAnsi"/>
                <w:szCs w:val="18"/>
              </w:rPr>
              <w:t>Yes</w:t>
            </w:r>
          </w:p>
        </w:tc>
      </w:tr>
      <w:tr w14:paraId="65CCFAE5" w14:textId="77777777" w:rsidTr="0073110E">
        <w:tblPrEx>
          <w:tblW w:w="0" w:type="auto"/>
          <w:tblLook w:val="04A0"/>
        </w:tblPrEx>
        <w:tc>
          <w:tcPr>
            <w:tcW w:w="3775" w:type="dxa"/>
          </w:tcPr>
          <w:p w:rsidR="001A3542" w:rsidRPr="00990D3B" w:rsidP="00666AC0" w14:paraId="16348146" w14:textId="77777777">
            <w:pPr>
              <w:pStyle w:val="Paragraph0"/>
              <w:tabs>
                <w:tab w:val="right" w:pos="2749"/>
              </w:tabs>
              <w:spacing w:before="60" w:after="60"/>
              <w:rPr>
                <w:rFonts w:asciiTheme="majorHAnsi" w:hAnsiTheme="majorHAnsi" w:cstheme="majorHAnsi"/>
                <w:b/>
                <w:bCs/>
                <w:szCs w:val="18"/>
              </w:rPr>
            </w:pPr>
            <w:r w:rsidRPr="00990D3B">
              <w:rPr>
                <w:rFonts w:asciiTheme="majorHAnsi" w:hAnsiTheme="majorHAnsi" w:cstheme="majorBidi"/>
                <w:szCs w:val="18"/>
              </w:rPr>
              <w:t>Validating Data</w:t>
            </w:r>
            <w:r w:rsidRPr="00990D3B">
              <w:rPr>
                <w:rFonts w:asciiTheme="majorHAnsi" w:hAnsiTheme="majorHAnsi" w:cstheme="majorBidi"/>
                <w:szCs w:val="18"/>
              </w:rPr>
              <w:tab/>
            </w:r>
          </w:p>
        </w:tc>
        <w:tc>
          <w:tcPr>
            <w:tcW w:w="1858" w:type="dxa"/>
          </w:tcPr>
          <w:p w:rsidR="001A3542" w:rsidRPr="00990D3B" w:rsidP="00666AC0" w14:paraId="77500C54" w14:textId="77777777">
            <w:pPr>
              <w:pStyle w:val="Paragraph0"/>
              <w:spacing w:before="60" w:after="60"/>
              <w:jc w:val="center"/>
              <w:rPr>
                <w:rFonts w:asciiTheme="majorHAnsi" w:hAnsiTheme="majorHAnsi" w:cstheme="majorHAnsi"/>
                <w:szCs w:val="18"/>
              </w:rPr>
            </w:pPr>
            <w:r w:rsidRPr="00990D3B">
              <w:rPr>
                <w:rFonts w:asciiTheme="majorHAnsi" w:hAnsiTheme="majorHAnsi" w:cstheme="majorHAnsi"/>
                <w:szCs w:val="18"/>
              </w:rPr>
              <w:t>Yes</w:t>
            </w:r>
          </w:p>
        </w:tc>
        <w:tc>
          <w:tcPr>
            <w:tcW w:w="1858" w:type="dxa"/>
          </w:tcPr>
          <w:p w:rsidR="001A3542" w:rsidRPr="00990D3B" w:rsidP="00666AC0" w14:paraId="54F5FD2B" w14:textId="77777777">
            <w:pPr>
              <w:pStyle w:val="Paragraph0"/>
              <w:spacing w:before="60" w:after="60"/>
              <w:jc w:val="center"/>
              <w:rPr>
                <w:rFonts w:asciiTheme="majorHAnsi" w:hAnsiTheme="majorHAnsi" w:cstheme="majorHAnsi"/>
                <w:szCs w:val="18"/>
              </w:rPr>
            </w:pPr>
            <w:r w:rsidRPr="00990D3B">
              <w:rPr>
                <w:rFonts w:asciiTheme="majorHAnsi" w:hAnsiTheme="majorHAnsi" w:cstheme="majorHAnsi"/>
                <w:szCs w:val="18"/>
              </w:rPr>
              <w:t>No</w:t>
            </w:r>
          </w:p>
        </w:tc>
        <w:tc>
          <w:tcPr>
            <w:tcW w:w="1859" w:type="dxa"/>
          </w:tcPr>
          <w:p w:rsidR="001A3542" w:rsidRPr="00990D3B" w:rsidP="00666AC0" w14:paraId="7BFE4C95" w14:textId="77777777">
            <w:pPr>
              <w:pStyle w:val="Paragraph0"/>
              <w:spacing w:before="60" w:after="60"/>
              <w:jc w:val="center"/>
              <w:rPr>
                <w:rFonts w:asciiTheme="majorHAnsi" w:hAnsiTheme="majorHAnsi" w:cstheme="majorHAnsi"/>
                <w:szCs w:val="18"/>
              </w:rPr>
            </w:pPr>
            <w:r w:rsidRPr="00990D3B">
              <w:rPr>
                <w:rFonts w:asciiTheme="majorHAnsi" w:hAnsiTheme="majorHAnsi" w:cstheme="majorHAnsi"/>
                <w:szCs w:val="18"/>
              </w:rPr>
              <w:t>Yes</w:t>
            </w:r>
          </w:p>
        </w:tc>
      </w:tr>
      <w:tr w14:paraId="6BADB980" w14:textId="77777777" w:rsidTr="0073110E">
        <w:tblPrEx>
          <w:tblW w:w="0" w:type="auto"/>
          <w:tblLook w:val="04A0"/>
        </w:tblPrEx>
        <w:tc>
          <w:tcPr>
            <w:tcW w:w="3775" w:type="dxa"/>
            <w:shd w:val="clear" w:color="auto" w:fill="EEF5F5" w:themeFill="background2"/>
          </w:tcPr>
          <w:p w:rsidR="001A3542" w:rsidRPr="00990D3B" w:rsidP="00666AC0" w14:paraId="03C20C52" w14:textId="77777777">
            <w:pPr>
              <w:pStyle w:val="Paragraph0"/>
              <w:spacing w:before="60" w:after="60"/>
              <w:rPr>
                <w:rFonts w:asciiTheme="majorHAnsi" w:hAnsiTheme="majorHAnsi" w:cstheme="majorHAnsi"/>
                <w:b/>
                <w:bCs/>
                <w:szCs w:val="18"/>
              </w:rPr>
            </w:pPr>
            <w:r w:rsidRPr="00990D3B">
              <w:rPr>
                <w:rFonts w:asciiTheme="majorHAnsi" w:hAnsiTheme="majorHAnsi" w:cstheme="majorHAnsi"/>
                <w:szCs w:val="18"/>
              </w:rPr>
              <w:t>Calculating Measure Performance Rates</w:t>
            </w:r>
          </w:p>
        </w:tc>
        <w:tc>
          <w:tcPr>
            <w:tcW w:w="1858" w:type="dxa"/>
            <w:shd w:val="clear" w:color="auto" w:fill="EEF5F5" w:themeFill="background2"/>
          </w:tcPr>
          <w:p w:rsidR="001A3542" w:rsidRPr="00990D3B" w:rsidP="00666AC0" w14:paraId="465F5332" w14:textId="77777777">
            <w:pPr>
              <w:pStyle w:val="Paragraph0"/>
              <w:spacing w:before="60" w:after="60"/>
              <w:jc w:val="center"/>
              <w:rPr>
                <w:rFonts w:asciiTheme="majorHAnsi" w:hAnsiTheme="majorHAnsi" w:cstheme="majorHAnsi"/>
                <w:szCs w:val="18"/>
              </w:rPr>
            </w:pPr>
            <w:r w:rsidRPr="00990D3B">
              <w:rPr>
                <w:rFonts w:asciiTheme="majorHAnsi" w:hAnsiTheme="majorHAnsi" w:cstheme="majorHAnsi"/>
                <w:szCs w:val="18"/>
              </w:rPr>
              <w:t>Yes</w:t>
            </w:r>
          </w:p>
        </w:tc>
        <w:tc>
          <w:tcPr>
            <w:tcW w:w="1858" w:type="dxa"/>
            <w:shd w:val="clear" w:color="auto" w:fill="EEF5F5" w:themeFill="background2"/>
          </w:tcPr>
          <w:p w:rsidR="001A3542" w:rsidRPr="00990D3B" w:rsidP="00666AC0" w14:paraId="520781D9" w14:textId="77777777">
            <w:pPr>
              <w:pStyle w:val="Paragraph0"/>
              <w:spacing w:before="60" w:after="60"/>
              <w:jc w:val="center"/>
              <w:rPr>
                <w:rFonts w:asciiTheme="majorHAnsi" w:hAnsiTheme="majorHAnsi" w:cstheme="majorHAnsi"/>
                <w:szCs w:val="18"/>
              </w:rPr>
            </w:pPr>
            <w:r w:rsidRPr="00990D3B">
              <w:rPr>
                <w:rFonts w:asciiTheme="majorHAnsi" w:hAnsiTheme="majorHAnsi" w:cstheme="majorHAnsi"/>
                <w:szCs w:val="18"/>
              </w:rPr>
              <w:t>Yes</w:t>
            </w:r>
          </w:p>
        </w:tc>
        <w:tc>
          <w:tcPr>
            <w:tcW w:w="1859" w:type="dxa"/>
            <w:shd w:val="clear" w:color="auto" w:fill="EEF5F5" w:themeFill="background2"/>
          </w:tcPr>
          <w:p w:rsidR="001A3542" w:rsidRPr="00990D3B" w:rsidP="00666AC0" w14:paraId="050D5620" w14:textId="77777777">
            <w:pPr>
              <w:pStyle w:val="Paragraph0"/>
              <w:spacing w:before="60" w:after="60"/>
              <w:jc w:val="center"/>
              <w:rPr>
                <w:rFonts w:asciiTheme="majorHAnsi" w:hAnsiTheme="majorHAnsi" w:cstheme="majorHAnsi"/>
                <w:szCs w:val="18"/>
              </w:rPr>
            </w:pPr>
            <w:r w:rsidRPr="00990D3B">
              <w:rPr>
                <w:rFonts w:asciiTheme="majorHAnsi" w:hAnsiTheme="majorHAnsi" w:cstheme="majorHAnsi"/>
                <w:szCs w:val="18"/>
              </w:rPr>
              <w:t>Yes</w:t>
            </w:r>
          </w:p>
        </w:tc>
      </w:tr>
      <w:tr w14:paraId="3C9DAB45" w14:textId="77777777" w:rsidTr="0073110E">
        <w:tblPrEx>
          <w:tblW w:w="0" w:type="auto"/>
          <w:tblLook w:val="04A0"/>
        </w:tblPrEx>
        <w:tc>
          <w:tcPr>
            <w:tcW w:w="3775" w:type="dxa"/>
          </w:tcPr>
          <w:p w:rsidR="001A3542" w:rsidRPr="00990D3B" w:rsidP="00666AC0" w14:paraId="02B26654" w14:textId="77777777">
            <w:pPr>
              <w:pStyle w:val="Paragraph0"/>
              <w:spacing w:before="60" w:after="60"/>
              <w:rPr>
                <w:rFonts w:asciiTheme="majorHAnsi" w:hAnsiTheme="majorHAnsi" w:cstheme="majorBidi"/>
                <w:b/>
                <w:bCs/>
                <w:szCs w:val="18"/>
              </w:rPr>
            </w:pPr>
            <w:r w:rsidRPr="00990D3B">
              <w:rPr>
                <w:rFonts w:asciiTheme="majorHAnsi" w:hAnsiTheme="majorHAnsi" w:cstheme="majorBidi"/>
                <w:szCs w:val="18"/>
              </w:rPr>
              <w:t>Validating Measure Performance Rates</w:t>
            </w:r>
            <w:r>
              <w:rPr>
                <w:rStyle w:val="FootnoteReference"/>
                <w:rFonts w:asciiTheme="majorHAnsi" w:hAnsiTheme="majorHAnsi" w:cstheme="majorBidi"/>
                <w:szCs w:val="18"/>
              </w:rPr>
              <w:footnoteReference w:id="100"/>
            </w:r>
          </w:p>
        </w:tc>
        <w:tc>
          <w:tcPr>
            <w:tcW w:w="1858" w:type="dxa"/>
          </w:tcPr>
          <w:p w:rsidR="001A3542" w:rsidRPr="00990D3B" w:rsidP="00666AC0" w14:paraId="110C5DB0" w14:textId="77777777">
            <w:pPr>
              <w:pStyle w:val="Paragraph0"/>
              <w:spacing w:before="60" w:after="60"/>
              <w:jc w:val="center"/>
              <w:rPr>
                <w:rFonts w:asciiTheme="majorHAnsi" w:hAnsiTheme="majorHAnsi" w:cstheme="majorHAnsi"/>
                <w:szCs w:val="18"/>
              </w:rPr>
            </w:pPr>
            <w:r w:rsidRPr="00990D3B">
              <w:rPr>
                <w:rFonts w:asciiTheme="majorHAnsi" w:hAnsiTheme="majorHAnsi" w:cstheme="majorHAnsi"/>
                <w:szCs w:val="18"/>
              </w:rPr>
              <w:t>Yes</w:t>
            </w:r>
          </w:p>
        </w:tc>
        <w:tc>
          <w:tcPr>
            <w:tcW w:w="1858" w:type="dxa"/>
          </w:tcPr>
          <w:p w:rsidR="001A3542" w:rsidRPr="00990D3B" w:rsidP="00666AC0" w14:paraId="2272F31F" w14:textId="77777777">
            <w:pPr>
              <w:pStyle w:val="Paragraph0"/>
              <w:spacing w:before="60" w:after="60"/>
              <w:jc w:val="center"/>
              <w:rPr>
                <w:rFonts w:asciiTheme="majorHAnsi" w:hAnsiTheme="majorHAnsi" w:cstheme="majorHAnsi"/>
                <w:szCs w:val="18"/>
              </w:rPr>
            </w:pPr>
            <w:r w:rsidRPr="00990D3B">
              <w:rPr>
                <w:rFonts w:asciiTheme="majorHAnsi" w:hAnsiTheme="majorHAnsi" w:cstheme="majorHAnsi"/>
                <w:szCs w:val="18"/>
              </w:rPr>
              <w:t>No</w:t>
            </w:r>
          </w:p>
        </w:tc>
        <w:tc>
          <w:tcPr>
            <w:tcW w:w="1859" w:type="dxa"/>
          </w:tcPr>
          <w:p w:rsidR="001A3542" w:rsidRPr="00990D3B" w:rsidP="00666AC0" w14:paraId="2EE5B000" w14:textId="77777777">
            <w:pPr>
              <w:pStyle w:val="Paragraph0"/>
              <w:spacing w:before="60" w:after="60"/>
              <w:jc w:val="center"/>
              <w:rPr>
                <w:rFonts w:asciiTheme="majorHAnsi" w:hAnsiTheme="majorHAnsi" w:cstheme="majorHAnsi"/>
                <w:szCs w:val="18"/>
              </w:rPr>
            </w:pPr>
            <w:r w:rsidRPr="00990D3B">
              <w:rPr>
                <w:rFonts w:asciiTheme="majorHAnsi" w:hAnsiTheme="majorHAnsi" w:cstheme="majorHAnsi"/>
                <w:szCs w:val="18"/>
              </w:rPr>
              <w:t>Yes</w:t>
            </w:r>
          </w:p>
        </w:tc>
      </w:tr>
      <w:tr w14:paraId="3FD1134C" w14:textId="77777777" w:rsidTr="0073110E">
        <w:tblPrEx>
          <w:tblW w:w="0" w:type="auto"/>
          <w:tblLook w:val="04A0"/>
        </w:tblPrEx>
        <w:tc>
          <w:tcPr>
            <w:tcW w:w="3775" w:type="dxa"/>
            <w:shd w:val="clear" w:color="auto" w:fill="EEF5F5" w:themeFill="background2"/>
          </w:tcPr>
          <w:p w:rsidR="001A3542" w:rsidRPr="00990D3B" w:rsidP="00666AC0" w14:paraId="07C0438C" w14:textId="77777777">
            <w:pPr>
              <w:pStyle w:val="Paragraph0"/>
              <w:spacing w:before="60" w:after="60"/>
              <w:rPr>
                <w:rFonts w:asciiTheme="majorHAnsi" w:hAnsiTheme="majorHAnsi" w:cstheme="majorHAnsi"/>
                <w:b/>
                <w:bCs/>
                <w:szCs w:val="18"/>
                <w:vertAlign w:val="superscript"/>
              </w:rPr>
            </w:pPr>
            <w:r w:rsidRPr="00990D3B">
              <w:rPr>
                <w:rFonts w:asciiTheme="majorHAnsi" w:hAnsiTheme="majorHAnsi" w:cstheme="majorHAnsi"/>
                <w:szCs w:val="18"/>
              </w:rPr>
              <w:t>Issuing Quality Ratings</w:t>
            </w:r>
          </w:p>
        </w:tc>
        <w:tc>
          <w:tcPr>
            <w:tcW w:w="1858" w:type="dxa"/>
            <w:shd w:val="clear" w:color="auto" w:fill="EEF5F5" w:themeFill="background2"/>
          </w:tcPr>
          <w:p w:rsidR="001A3542" w:rsidRPr="00990D3B" w:rsidP="00666AC0" w14:paraId="75EBFE4A" w14:textId="77777777">
            <w:pPr>
              <w:pStyle w:val="Paragraph0"/>
              <w:spacing w:before="60" w:after="60"/>
              <w:jc w:val="center"/>
              <w:rPr>
                <w:rFonts w:asciiTheme="majorHAnsi" w:hAnsiTheme="majorHAnsi" w:cstheme="majorHAnsi"/>
                <w:szCs w:val="18"/>
              </w:rPr>
            </w:pPr>
            <w:r w:rsidRPr="00990D3B">
              <w:rPr>
                <w:rFonts w:asciiTheme="majorHAnsi" w:hAnsiTheme="majorHAnsi" w:cstheme="majorHAnsi"/>
                <w:szCs w:val="18"/>
              </w:rPr>
              <w:t>Yes</w:t>
            </w:r>
          </w:p>
        </w:tc>
        <w:tc>
          <w:tcPr>
            <w:tcW w:w="1858" w:type="dxa"/>
            <w:shd w:val="clear" w:color="auto" w:fill="EEF5F5" w:themeFill="background2"/>
          </w:tcPr>
          <w:p w:rsidR="001A3542" w:rsidRPr="00990D3B" w:rsidP="00666AC0" w14:paraId="79875211" w14:textId="77777777">
            <w:pPr>
              <w:pStyle w:val="Paragraph0"/>
              <w:spacing w:before="60" w:after="60"/>
              <w:jc w:val="center"/>
              <w:rPr>
                <w:rFonts w:asciiTheme="majorHAnsi" w:hAnsiTheme="majorHAnsi" w:cstheme="majorHAnsi"/>
                <w:szCs w:val="18"/>
              </w:rPr>
            </w:pPr>
            <w:r w:rsidRPr="00990D3B">
              <w:rPr>
                <w:rFonts w:asciiTheme="majorHAnsi" w:hAnsiTheme="majorHAnsi" w:cstheme="majorHAnsi"/>
                <w:szCs w:val="18"/>
              </w:rPr>
              <w:t>No</w:t>
            </w:r>
          </w:p>
        </w:tc>
        <w:tc>
          <w:tcPr>
            <w:tcW w:w="1859" w:type="dxa"/>
            <w:shd w:val="clear" w:color="auto" w:fill="EEF5F5" w:themeFill="background2"/>
          </w:tcPr>
          <w:p w:rsidR="001A3542" w:rsidRPr="00990D3B" w:rsidP="00666AC0" w14:paraId="576459AD" w14:textId="77777777">
            <w:pPr>
              <w:pStyle w:val="Paragraph0"/>
              <w:spacing w:before="60" w:after="60"/>
              <w:jc w:val="center"/>
              <w:rPr>
                <w:rFonts w:asciiTheme="majorHAnsi" w:hAnsiTheme="majorHAnsi" w:cstheme="majorHAnsi"/>
                <w:szCs w:val="18"/>
              </w:rPr>
            </w:pPr>
            <w:r w:rsidRPr="00990D3B">
              <w:rPr>
                <w:rFonts w:asciiTheme="majorHAnsi" w:hAnsiTheme="majorHAnsi" w:cstheme="majorHAnsi"/>
                <w:szCs w:val="18"/>
              </w:rPr>
              <w:t>No</w:t>
            </w:r>
          </w:p>
        </w:tc>
      </w:tr>
    </w:tbl>
    <w:p w:rsidR="00BC57B8" w:rsidRPr="0087691D" w:rsidP="00BC57B8" w14:paraId="5D8BA14E" w14:textId="0594EA1A">
      <w:pPr>
        <w:pStyle w:val="FootnoteText"/>
        <w:rPr>
          <w:szCs w:val="18"/>
        </w:rPr>
      </w:pPr>
      <w:bookmarkStart w:id="984" w:name="_Toc201751435"/>
      <w:r w:rsidRPr="00BC57B8">
        <w:rPr>
          <w:szCs w:val="18"/>
          <w:vertAlign w:val="superscript"/>
        </w:rPr>
        <w:t>a</w:t>
      </w:r>
      <w:r>
        <w:rPr>
          <w:szCs w:val="18"/>
        </w:rPr>
        <w:tab/>
      </w:r>
      <w:r w:rsidRPr="0087691D">
        <w:rPr>
          <w:szCs w:val="18"/>
        </w:rPr>
        <w:t xml:space="preserve">EQR-related activities may only be conducted by the state, its agent (provided it is not an MCP), or an EQRO. While MCPs may carry out certain QRS activities, they are not eligible for </w:t>
      </w:r>
      <w:r>
        <w:rPr>
          <w:szCs w:val="18"/>
        </w:rPr>
        <w:t>federal financial participation (FFP)</w:t>
      </w:r>
      <w:r w:rsidRPr="0087691D">
        <w:rPr>
          <w:szCs w:val="18"/>
        </w:rPr>
        <w:t>.</w:t>
      </w:r>
    </w:p>
    <w:p w:rsidR="001A3542" w:rsidRPr="00990D3B" w:rsidP="00666AC0" w14:paraId="2BF5E64F" w14:textId="061CFE2F">
      <w:pPr>
        <w:pStyle w:val="H2"/>
      </w:pPr>
      <w:r w:rsidRPr="00990D3B">
        <w:t>Getting Started on Protocol 10</w:t>
      </w:r>
      <w:bookmarkEnd w:id="984"/>
    </w:p>
    <w:p w:rsidR="001A3542" w:rsidRPr="00990D3B" w:rsidP="0073110E" w14:paraId="13912F55" w14:textId="7BC0B416">
      <w:pPr>
        <w:pStyle w:val="ParagraphContinued"/>
      </w:pPr>
      <w:r w:rsidRPr="00990D3B">
        <w:t>To complete this protocol, the EQRO undertakes 13 activities (</w:t>
      </w:r>
      <w:hyperlink w:anchor="Figure10n1" w:tooltip="Figure 10.1" w:history="1">
        <w:r w:rsidRPr="00990D3B">
          <w:rPr>
            <w:rStyle w:val="Hyperlink"/>
          </w:rPr>
          <w:t>Figure 10.1</w:t>
        </w:r>
      </w:hyperlink>
      <w:r w:rsidRPr="00990D3B" w:rsidR="00DE07DC">
        <w:t>, next page</w:t>
      </w:r>
      <w:r w:rsidRPr="00990D3B">
        <w:t>).</w:t>
      </w:r>
      <w:r>
        <w:rPr>
          <w:rStyle w:val="FootnoteReference"/>
        </w:rPr>
        <w:footnoteReference w:id="101"/>
      </w:r>
      <w:r w:rsidRPr="00990D3B">
        <w:t xml:space="preserve"> </w:t>
      </w:r>
    </w:p>
    <w:p w:rsidR="001A3542" w:rsidRPr="00990D3B" w:rsidP="00666AC0" w14:paraId="43D1800F" w14:textId="77777777">
      <w:pPr>
        <w:pStyle w:val="MarkforFigureHeading"/>
      </w:pPr>
      <w:bookmarkStart w:id="985" w:name="Figure10n1"/>
      <w:bookmarkEnd w:id="985"/>
      <w:r w:rsidRPr="00990D3B">
        <w:rPr>
          <w:lang w:bidi="en-US"/>
        </w:rPr>
        <w:t>Figure 10.1. Protocol 10 Activities</w:t>
      </w:r>
    </w:p>
    <w:p w:rsidR="001A3542" w:rsidRPr="00990D3B" w:rsidP="00666AC0" w14:paraId="572A916B" w14:textId="703745C8">
      <w:pPr>
        <w:pStyle w:val="Paragraph0"/>
      </w:pPr>
      <w:r w:rsidRPr="00990D3B">
        <w:rPr>
          <w:noProof/>
        </w:rPr>
        <w:drawing>
          <wp:inline distT="0" distB="0" distL="0" distR="0">
            <wp:extent cx="5690448" cy="6565900"/>
            <wp:effectExtent l="0" t="0" r="5715" b="6350"/>
            <wp:docPr id="352121252" name="Picture 1" descr="This graphic shows the activities and steps included in Protocol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121252" name="Picture 1" descr="This graphic shows the activities and steps included in Protocol 10"/>
                    <pic:cNvPicPr/>
                  </pic:nvPicPr>
                  <pic:blipFill>
                    <a:blip xmlns:r="http://schemas.openxmlformats.org/officeDocument/2006/relationships" r:embed="rId2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693260" cy="6569145"/>
                    </a:xfrm>
                    <a:prstGeom prst="rect">
                      <a:avLst/>
                    </a:prstGeom>
                  </pic:spPr>
                </pic:pic>
              </a:graphicData>
            </a:graphic>
          </wp:inline>
        </w:drawing>
      </w:r>
      <w:r w:rsidRPr="00990D3B" w:rsidR="001F4F5E">
        <w:t xml:space="preserve"> </w:t>
      </w:r>
    </w:p>
    <w:p w:rsidR="00243AA5" w:rsidRPr="00990D3B" w14:paraId="7FBBAD56" w14:textId="71E15C3E">
      <w:pPr>
        <w:spacing w:line="240" w:lineRule="auto"/>
      </w:pPr>
      <w:r w:rsidRPr="00990D3B">
        <w:br w:type="page"/>
      </w:r>
    </w:p>
    <w:p w:rsidR="001A3542" w:rsidRPr="00990D3B" w:rsidP="006C1A54" w14:paraId="1719AB23" w14:textId="362EB579">
      <w:pPr>
        <w:pStyle w:val="ParagraphContinued"/>
      </w:pPr>
      <w:r w:rsidRPr="00990D3B">
        <w:t xml:space="preserve">As shown in </w:t>
      </w:r>
      <w:hyperlink w:anchor="Figure10n2" w:tooltip="Figure 10.2" w:history="1">
        <w:r w:rsidRPr="00990D3B">
          <w:rPr>
            <w:rStyle w:val="Hyperlink"/>
          </w:rPr>
          <w:t>Figure 10.2</w:t>
        </w:r>
      </w:hyperlink>
      <w:r w:rsidRPr="00990D3B">
        <w:rPr>
          <w:color w:val="1CA8B7"/>
        </w:rPr>
        <w:t xml:space="preserve"> </w:t>
      </w:r>
      <w:r w:rsidRPr="00990D3B">
        <w:t>(next page), the</w:t>
      </w:r>
      <w:r w:rsidRPr="00990D3B">
        <w:t xml:space="preserve"> </w:t>
      </w:r>
      <w:r w:rsidRPr="00990D3B">
        <w:t xml:space="preserve">activities in this protocol integrate other EQR protocols related to collecting data, calculating measures, and validating data and quality measures. To streamline the content, this protocol refers to relevant sections in </w:t>
      </w:r>
      <w:r w:rsidRPr="00A3358C">
        <w:rPr>
          <w:color w:val="005968"/>
        </w:rPr>
        <w:t>Protocols 2</w:t>
      </w:r>
      <w:r w:rsidRPr="00990D3B">
        <w:t xml:space="preserve">, </w:t>
      </w:r>
      <w:r w:rsidRPr="00A3358C">
        <w:rPr>
          <w:color w:val="005968"/>
        </w:rPr>
        <w:t>5</w:t>
      </w:r>
      <w:r w:rsidRPr="00990D3B">
        <w:t>,</w:t>
      </w:r>
      <w:r w:rsidRPr="00A3358C">
        <w:rPr>
          <w:color w:val="005968"/>
        </w:rPr>
        <w:t xml:space="preserve"> 6</w:t>
      </w:r>
      <w:r w:rsidRPr="00990D3B">
        <w:t>, and</w:t>
      </w:r>
      <w:r w:rsidRPr="00A3358C">
        <w:rPr>
          <w:color w:val="005968"/>
        </w:rPr>
        <w:t xml:space="preserve"> 7</w:t>
      </w:r>
      <w:r w:rsidRPr="00990D3B">
        <w:t xml:space="preserve"> when those activities may be used to complete steps related to calculating MAC QRS measure performance rates (see </w:t>
      </w:r>
      <w:hyperlink w:anchor="Table10n2" w:tooltip="Table 10.2" w:history="1">
        <w:r w:rsidRPr="00990D3B">
          <w:rPr>
            <w:rStyle w:val="Hyperlink"/>
          </w:rPr>
          <w:t>Table 10.2</w:t>
        </w:r>
      </w:hyperlink>
      <w:r w:rsidRPr="00990D3B">
        <w:t>).</w:t>
      </w:r>
    </w:p>
    <w:p w:rsidR="001A3542" w:rsidRPr="00990D3B" w:rsidP="00666AC0" w14:paraId="4EC71B75" w14:textId="77777777">
      <w:pPr>
        <w:pStyle w:val="ParagraphContinued"/>
      </w:pPr>
      <w:r w:rsidRPr="00990D3B">
        <w:t xml:space="preserve">Two resources are available to help EQROs with MAC QRS quality ratings: </w:t>
      </w:r>
    </w:p>
    <w:p w:rsidR="001A3542" w:rsidRPr="00990D3B" w:rsidP="00FB7CAF" w14:paraId="477524C1" w14:textId="33ED3F7D">
      <w:pPr>
        <w:pStyle w:val="EQRBulletBLUE"/>
      </w:pPr>
      <w:hyperlink w:anchor="WS10" w:history="1">
        <w:r w:rsidRPr="00990D3B">
          <w:rPr>
            <w:rStyle w:val="Hyperlink"/>
          </w:rPr>
          <w:t>Worksheets for Protocol 10. Assist with the Quality Ratings for Medicaid and CHIP Quality Rating System</w:t>
        </w:r>
      </w:hyperlink>
      <w:r w:rsidRPr="00990D3B">
        <w:t xml:space="preserve">, which can be used to assign QRS measures to MCPs, identify the entities from which the EQRO will need to collect data to calculate MAC QRS quality measures, and share findings with the state. </w:t>
      </w:r>
    </w:p>
    <w:p w:rsidR="001A3542" w:rsidRPr="00990D3B" w:rsidP="00FB7CAF" w14:paraId="740FE45D" w14:textId="62E57A91">
      <w:pPr>
        <w:pStyle w:val="EQRBulletBLUE"/>
      </w:pPr>
      <w:hyperlink w:anchor="AppB" w:tooltip="Appendix B. Information System Capabilities Assessment" w:history="1">
        <w:r w:rsidRPr="00990D3B">
          <w:rPr>
            <w:rStyle w:val="Hyperlink"/>
            <w:rFonts w:eastAsia="Calibri"/>
          </w:rPr>
          <w:t>Appendix B. Information System Capabilities Assessment</w:t>
        </w:r>
      </w:hyperlink>
      <w:r w:rsidRPr="00A3358C">
        <w:rPr>
          <w:color w:val="005968"/>
        </w:rPr>
        <w:t>,</w:t>
      </w:r>
      <w:r w:rsidRPr="00990D3B">
        <w:t xml:space="preserve"> which is used to assess the MCP’s data collection, processing, and reporting systems.</w:t>
      </w:r>
    </w:p>
    <w:p w:rsidR="001A3542" w:rsidRPr="00990D3B" w:rsidP="00666AC0" w14:paraId="20B8C557" w14:textId="77777777">
      <w:pPr>
        <w:pStyle w:val="Paragraph0"/>
        <w:ind w:left="781"/>
      </w:pPr>
    </w:p>
    <w:p w:rsidR="001A3542" w:rsidRPr="00990D3B" w:rsidP="00666AC0" w14:paraId="6B775054" w14:textId="77777777">
      <w:pPr>
        <w:pStyle w:val="EQRFigure"/>
        <w:ind w:left="720"/>
      </w:pPr>
      <w:r w:rsidRPr="00990D3B">
        <w:drawing>
          <wp:inline distT="0" distB="0" distL="0" distR="0">
            <wp:extent cx="5236475" cy="1191770"/>
            <wp:effectExtent l="0" t="0" r="2540" b="8890"/>
            <wp:docPr id="1802822952" name="Picture 1802822952" descr="TIP: Navigate to the corresponding worksheet by clicking the WORKSHEET box under each section. An image of a sample WORKSHEET box is included in the TIP text. Worksheet boxes are single lines of hyperlinked text with a box border that read &quot;Worksheet X.X&quot; with the first number representing the protocol number, and second number representing the worksheet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822952" name="Picture 690" descr="TIP: Navigate to the corresponding worksheet by clicking the WORKSHEET box under each section. An image of a sample WORKSHEET box is included in the TIP text. Worksheet boxes are single lines of hyperlinked text with a box border that read &quot;Worksheet X.X&quot; with the first number representing the protocol number, and second number representing the worksheet number."/>
                    <pic:cNvPicPr/>
                  </pic:nvPicPr>
                  <pic:blipFill>
                    <a:blip xmlns:r="http://schemas.openxmlformats.org/officeDocument/2006/relationships" r:embed="rId10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36475" cy="1191770"/>
                    </a:xfrm>
                    <a:prstGeom prst="rect">
                      <a:avLst/>
                    </a:prstGeom>
                  </pic:spPr>
                </pic:pic>
              </a:graphicData>
            </a:graphic>
          </wp:inline>
        </w:drawing>
      </w:r>
    </w:p>
    <w:p w:rsidR="001A3542" w:rsidRPr="00990D3B" w:rsidP="00666AC0" w14:paraId="5B51896B" w14:textId="77777777">
      <w:pPr>
        <w:pStyle w:val="Paragraph0"/>
      </w:pPr>
    </w:p>
    <w:p w:rsidR="001A3542" w:rsidRPr="00990D3B" w:rsidP="00666AC0" w14:paraId="6211C515" w14:textId="77777777">
      <w:pPr>
        <w:pStyle w:val="MarkforTableHeading"/>
      </w:pPr>
      <w:r w:rsidRPr="00990D3B">
        <w:br w:type="page"/>
      </w:r>
      <w:bookmarkStart w:id="986" w:name="Figure10n2"/>
      <w:bookmarkEnd w:id="986"/>
      <w:r w:rsidRPr="00990D3B">
        <w:rPr>
          <w:lang w:bidi="en-US"/>
        </w:rPr>
        <w:t>Figure 10.2. Protocol 10 Workflow</w:t>
      </w:r>
    </w:p>
    <w:p w:rsidR="001A3542" w:rsidRPr="00990D3B" w:rsidP="00666AC0" w14:paraId="5EC29017" w14:textId="77777777">
      <w:pPr>
        <w:pStyle w:val="Paragraph0"/>
      </w:pPr>
      <w:r w:rsidRPr="00990D3B">
        <w:rPr>
          <w:noProof/>
        </w:rPr>
        <w:drawing>
          <wp:inline distT="0" distB="0" distL="0" distR="0">
            <wp:extent cx="5943600" cy="7132320"/>
            <wp:effectExtent l="0" t="0" r="0" b="0"/>
            <wp:docPr id="672293516" name="Picture 1" descr="This graphic shows the workflow of how activities and tasks for Protocol 10 interact with other EQR protoc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293516" name="Picture 1" descr="This graphic shows the workflow of how activities and tasks for Protocol 10 interact with other EQR protocols."/>
                    <pic:cNvPicPr/>
                  </pic:nvPicPr>
                  <pic:blipFill>
                    <a:blip xmlns:r="http://schemas.openxmlformats.org/officeDocument/2006/relationships" r:embed="rId214"/>
                    <a:stretch>
                      <a:fillRect/>
                    </a:stretch>
                  </pic:blipFill>
                  <pic:spPr>
                    <a:xfrm>
                      <a:off x="0" y="0"/>
                      <a:ext cx="5943600" cy="7132320"/>
                    </a:xfrm>
                    <a:prstGeom prst="rect">
                      <a:avLst/>
                    </a:prstGeom>
                  </pic:spPr>
                </pic:pic>
              </a:graphicData>
            </a:graphic>
          </wp:inline>
        </w:drawing>
      </w:r>
    </w:p>
    <w:p w:rsidR="001A3542" w:rsidRPr="00990D3B" w:rsidP="00243AA5" w14:paraId="691EBDE9" w14:textId="77777777"/>
    <w:p w:rsidR="001A3542" w:rsidRPr="00990D3B" w14:paraId="5B6881A3" w14:textId="77777777">
      <w:pPr>
        <w:spacing w:line="240" w:lineRule="auto"/>
        <w:rPr>
          <w:rFonts w:asciiTheme="majorHAnsi" w:hAnsiTheme="majorHAnsi"/>
          <w:b/>
          <w:sz w:val="18"/>
          <w:szCs w:val="18"/>
        </w:rPr>
      </w:pPr>
      <w:r w:rsidRPr="00990D3B">
        <w:rPr>
          <w:sz w:val="18"/>
          <w:szCs w:val="18"/>
        </w:rPr>
        <w:br w:type="page"/>
      </w:r>
    </w:p>
    <w:p w:rsidR="001A3542" w:rsidRPr="00990D3B" w:rsidP="00666AC0" w14:paraId="2F2853D3" w14:textId="77777777">
      <w:pPr>
        <w:pStyle w:val="MarkforTableHeading"/>
        <w:rPr>
          <w:sz w:val="18"/>
          <w:szCs w:val="18"/>
        </w:rPr>
      </w:pPr>
      <w:bookmarkStart w:id="987" w:name="Table10n2"/>
      <w:bookmarkEnd w:id="987"/>
      <w:r w:rsidRPr="00990D3B">
        <w:t xml:space="preserve">Table 10.2. Crosswalk Between Protocol 10 and Other Protocols  </w:t>
      </w:r>
    </w:p>
    <w:tbl>
      <w:tblPr>
        <w:tblStyle w:val="CORESETTable"/>
        <w:tblW w:w="0" w:type="auto"/>
        <w:tblLook w:val="04A0"/>
      </w:tblPr>
      <w:tblGrid>
        <w:gridCol w:w="2785"/>
        <w:gridCol w:w="3960"/>
        <w:gridCol w:w="2605"/>
      </w:tblGrid>
      <w:tr w14:paraId="783462E7" w14:textId="77777777" w:rsidTr="00666AC0">
        <w:tblPrEx>
          <w:tblW w:w="0" w:type="auto"/>
          <w:tblLook w:val="04A0"/>
        </w:tblPrEx>
        <w:tc>
          <w:tcPr>
            <w:tcW w:w="2785" w:type="dxa"/>
          </w:tcPr>
          <w:p w:rsidR="001A3542" w:rsidRPr="00990D3B" w14:paraId="39248591" w14:textId="77777777">
            <w:pPr>
              <w:pStyle w:val="Paragraph0"/>
              <w:jc w:val="center"/>
              <w:rPr>
                <w:rFonts w:asciiTheme="majorHAnsi" w:hAnsiTheme="majorHAnsi" w:cstheme="majorHAnsi"/>
                <w:bCs/>
                <w:szCs w:val="18"/>
              </w:rPr>
            </w:pPr>
            <w:r w:rsidRPr="00990D3B">
              <w:rPr>
                <w:rFonts w:asciiTheme="majorHAnsi" w:hAnsiTheme="majorHAnsi" w:cstheme="majorHAnsi"/>
                <w:bCs/>
                <w:szCs w:val="12"/>
              </w:rPr>
              <w:t>Protocol 10</w:t>
            </w:r>
          </w:p>
        </w:tc>
        <w:tc>
          <w:tcPr>
            <w:tcW w:w="3960" w:type="dxa"/>
          </w:tcPr>
          <w:p w:rsidR="001A3542" w:rsidRPr="00990D3B" w14:paraId="4924E331" w14:textId="77777777">
            <w:pPr>
              <w:pStyle w:val="Paragraph0"/>
              <w:jc w:val="center"/>
              <w:rPr>
                <w:rFonts w:asciiTheme="majorHAnsi" w:hAnsiTheme="majorHAnsi" w:cstheme="majorHAnsi"/>
                <w:bCs/>
                <w:szCs w:val="18"/>
              </w:rPr>
            </w:pPr>
            <w:r w:rsidRPr="00990D3B">
              <w:rPr>
                <w:rFonts w:asciiTheme="majorHAnsi" w:hAnsiTheme="majorHAnsi" w:cstheme="majorHAnsi"/>
                <w:bCs/>
                <w:szCs w:val="18"/>
              </w:rPr>
              <w:t xml:space="preserve">Other Protocols </w:t>
            </w:r>
          </w:p>
        </w:tc>
        <w:tc>
          <w:tcPr>
            <w:tcW w:w="2605" w:type="dxa"/>
          </w:tcPr>
          <w:p w:rsidR="001A3542" w:rsidRPr="00990D3B" w14:paraId="272CAEA3" w14:textId="77777777">
            <w:pPr>
              <w:pStyle w:val="Paragraph0"/>
              <w:jc w:val="center"/>
              <w:rPr>
                <w:rFonts w:asciiTheme="majorHAnsi" w:hAnsiTheme="majorHAnsi" w:cstheme="majorHAnsi"/>
                <w:szCs w:val="18"/>
              </w:rPr>
            </w:pPr>
            <w:r w:rsidRPr="00990D3B">
              <w:rPr>
                <w:rFonts w:asciiTheme="majorHAnsi" w:hAnsiTheme="majorHAnsi" w:cstheme="majorHAnsi"/>
                <w:szCs w:val="18"/>
              </w:rPr>
              <w:t>Worksheets Associated with Other Protocols</w:t>
            </w:r>
          </w:p>
        </w:tc>
      </w:tr>
      <w:tr w14:paraId="34D1B71A" w14:textId="77777777" w:rsidTr="006C1A54">
        <w:tblPrEx>
          <w:tblW w:w="0" w:type="auto"/>
          <w:tblLook w:val="04A0"/>
        </w:tblPrEx>
        <w:tc>
          <w:tcPr>
            <w:tcW w:w="9350" w:type="dxa"/>
            <w:gridSpan w:val="3"/>
            <w:shd w:val="clear" w:color="auto" w:fill="00559D" w:themeFill="text2"/>
          </w:tcPr>
          <w:p w:rsidR="001A3542" w:rsidRPr="00990D3B" w:rsidP="006C1A54" w14:paraId="0CC320E5" w14:textId="77777777">
            <w:pPr>
              <w:pStyle w:val="TableRowHead"/>
              <w:rPr>
                <w:color w:val="FFFFFF" w:themeColor="background1"/>
              </w:rPr>
            </w:pPr>
            <w:r w:rsidRPr="00990D3B">
              <w:rPr>
                <w:color w:val="FFFFFF" w:themeColor="background1"/>
              </w:rPr>
              <w:t>Section I. Preparing for MAC QRS EQR Activities</w:t>
            </w:r>
          </w:p>
        </w:tc>
      </w:tr>
      <w:tr w14:paraId="6A2E5FF2" w14:textId="77777777" w:rsidTr="00666AC0">
        <w:tblPrEx>
          <w:tblW w:w="0" w:type="auto"/>
          <w:tblLook w:val="04A0"/>
        </w:tblPrEx>
        <w:tc>
          <w:tcPr>
            <w:tcW w:w="2785" w:type="dxa"/>
          </w:tcPr>
          <w:p w:rsidR="001A3542" w:rsidRPr="00990D3B" w:rsidP="003105CB" w14:paraId="6C6A25FA" w14:textId="77777777">
            <w:pPr>
              <w:pStyle w:val="EQRTableText"/>
            </w:pPr>
            <w:r w:rsidRPr="00990D3B">
              <w:t>Activity 1. Identify the Quality Measures to be Calculated</w:t>
            </w:r>
          </w:p>
        </w:tc>
        <w:tc>
          <w:tcPr>
            <w:tcW w:w="3960" w:type="dxa"/>
          </w:tcPr>
          <w:p w:rsidR="001A3542" w:rsidRPr="00990D3B" w:rsidP="003105CB" w14:paraId="3F3FD73D" w14:textId="77777777">
            <w:pPr>
              <w:pStyle w:val="EQRTableText"/>
            </w:pPr>
            <w:r w:rsidRPr="00990D3B">
              <w:t>Protocol 7, Activity 1, Step 1. Identify the Performance Measures to be Calculated</w:t>
            </w:r>
          </w:p>
        </w:tc>
        <w:tc>
          <w:tcPr>
            <w:tcW w:w="2605" w:type="dxa"/>
          </w:tcPr>
          <w:p w:rsidR="001A3542" w:rsidRPr="00990D3B" w:rsidP="003105CB" w14:paraId="0F311CE6" w14:textId="481C6F34">
            <w:pPr>
              <w:pStyle w:val="EQRTableText"/>
            </w:pPr>
            <w:hyperlink w:anchor="WSp7n01" w:tooltip="Worksheets 7.1" w:history="1">
              <w:r w:rsidRPr="00990D3B">
                <w:rPr>
                  <w:rStyle w:val="Hyperlink"/>
                </w:rPr>
                <w:t>Worksheets 7.1</w:t>
              </w:r>
            </w:hyperlink>
            <w:r w:rsidRPr="00990D3B">
              <w:t xml:space="preserve"> and </w:t>
            </w:r>
            <w:hyperlink w:anchor="WSp7n02" w:tooltip="Worksheet 7.2" w:history="1">
              <w:r w:rsidRPr="00990D3B">
                <w:rPr>
                  <w:rStyle w:val="Hyperlink"/>
                </w:rPr>
                <w:t>7.2</w:t>
              </w:r>
            </w:hyperlink>
          </w:p>
        </w:tc>
      </w:tr>
      <w:tr w14:paraId="2EF1B124" w14:textId="77777777" w:rsidTr="006C1A54">
        <w:tblPrEx>
          <w:tblW w:w="0" w:type="auto"/>
          <w:tblLook w:val="04A0"/>
        </w:tblPrEx>
        <w:tc>
          <w:tcPr>
            <w:tcW w:w="2785" w:type="dxa"/>
            <w:shd w:val="clear" w:color="auto" w:fill="EEF5F5" w:themeFill="background2"/>
          </w:tcPr>
          <w:p w:rsidR="001A3542" w:rsidRPr="00990D3B" w:rsidP="003105CB" w14:paraId="1023B031" w14:textId="77777777">
            <w:pPr>
              <w:pStyle w:val="EQRTableText"/>
            </w:pPr>
            <w:r w:rsidRPr="00990D3B">
              <w:t>Activity 2. Identify Data Sources</w:t>
            </w:r>
          </w:p>
        </w:tc>
        <w:tc>
          <w:tcPr>
            <w:tcW w:w="3960" w:type="dxa"/>
            <w:shd w:val="clear" w:color="auto" w:fill="EEF5F5" w:themeFill="background2"/>
          </w:tcPr>
          <w:p w:rsidR="001A3542" w:rsidRPr="00990D3B" w:rsidP="003105CB" w14:paraId="442B0325" w14:textId="77777777">
            <w:pPr>
              <w:pStyle w:val="EQRTableText"/>
            </w:pPr>
            <w:r w:rsidRPr="00990D3B">
              <w:t>Protocol 7, Activity 1, Step 3. Identify Required Data Elements, Data Sources, and Data Quality Issues</w:t>
            </w:r>
          </w:p>
        </w:tc>
        <w:tc>
          <w:tcPr>
            <w:tcW w:w="2605" w:type="dxa"/>
            <w:shd w:val="clear" w:color="auto" w:fill="EEF5F5" w:themeFill="background2"/>
          </w:tcPr>
          <w:p w:rsidR="001A3542" w:rsidRPr="00990D3B" w:rsidP="003105CB" w14:paraId="412476E3" w14:textId="71FCBCEF">
            <w:pPr>
              <w:pStyle w:val="EQRTableText"/>
            </w:pPr>
            <w:hyperlink w:anchor="WSp7n03" w:tooltip="Worksheet 7.3" w:history="1">
              <w:r w:rsidRPr="00990D3B">
                <w:rPr>
                  <w:rStyle w:val="Hyperlink"/>
                </w:rPr>
                <w:t>Worksheet 7.3</w:t>
              </w:r>
            </w:hyperlink>
            <w:r w:rsidRPr="00990D3B">
              <w:t xml:space="preserve"> and </w:t>
            </w:r>
            <w:hyperlink w:anchor="WSp7n04" w:tooltip="Worksheet 7.4" w:history="1">
              <w:r w:rsidRPr="00990D3B">
                <w:rPr>
                  <w:rStyle w:val="Hyperlink"/>
                </w:rPr>
                <w:t>7.4</w:t>
              </w:r>
            </w:hyperlink>
          </w:p>
        </w:tc>
      </w:tr>
      <w:tr w14:paraId="7EDD5A67" w14:textId="77777777" w:rsidTr="006C1A54">
        <w:tblPrEx>
          <w:tblW w:w="0" w:type="auto"/>
          <w:tblLook w:val="04A0"/>
        </w:tblPrEx>
        <w:tc>
          <w:tcPr>
            <w:tcW w:w="9350" w:type="dxa"/>
            <w:gridSpan w:val="3"/>
            <w:shd w:val="clear" w:color="auto" w:fill="00559D" w:themeFill="text2"/>
          </w:tcPr>
          <w:p w:rsidR="001A3542" w:rsidRPr="00990D3B" w:rsidP="006C1A54" w14:paraId="09258148" w14:textId="77777777">
            <w:pPr>
              <w:pStyle w:val="TableRowHead"/>
              <w:rPr>
                <w:color w:val="FFFFFF" w:themeColor="background1"/>
              </w:rPr>
            </w:pPr>
            <w:r w:rsidRPr="00990D3B">
              <w:rPr>
                <w:color w:val="FFFFFF" w:themeColor="background1"/>
              </w:rPr>
              <w:t>Section II. Validating MAC QRS Data</w:t>
            </w:r>
          </w:p>
        </w:tc>
      </w:tr>
      <w:tr w14:paraId="72265EBD" w14:textId="77777777" w:rsidTr="006C1A54">
        <w:tblPrEx>
          <w:tblW w:w="0" w:type="auto"/>
          <w:tblLook w:val="04A0"/>
        </w:tblPrEx>
        <w:tc>
          <w:tcPr>
            <w:tcW w:w="2785" w:type="dxa"/>
            <w:shd w:val="clear" w:color="auto" w:fill="EEF5F5" w:themeFill="background2"/>
          </w:tcPr>
          <w:p w:rsidR="001A3542" w:rsidRPr="00990D3B" w:rsidP="003105CB" w14:paraId="0CE22AEA" w14:textId="77777777">
            <w:pPr>
              <w:pStyle w:val="EQRTableText"/>
            </w:pPr>
            <w:r w:rsidRPr="00990D3B">
              <w:t xml:space="preserve">Activity 1. </w:t>
            </w:r>
            <w:r w:rsidRPr="00990D3B">
              <w:t>Review</w:t>
            </w:r>
            <w:r w:rsidRPr="00990D3B">
              <w:t xml:space="preserve"> MCP’s Data and Information Systems Capabilities</w:t>
            </w:r>
          </w:p>
        </w:tc>
        <w:tc>
          <w:tcPr>
            <w:tcW w:w="3960" w:type="dxa"/>
            <w:shd w:val="clear" w:color="auto" w:fill="EEF5F5" w:themeFill="background2"/>
          </w:tcPr>
          <w:p w:rsidR="001A3542" w:rsidRPr="00990D3B" w:rsidP="003105CB" w14:paraId="5B951279" w14:textId="77777777">
            <w:pPr>
              <w:pStyle w:val="EQRTableText"/>
            </w:pPr>
            <w:r w:rsidRPr="00990D3B">
              <w:t>Protocol 2, Activity 1, Step 2. Assess the Integrity of the MCP’s Information System</w:t>
            </w:r>
          </w:p>
        </w:tc>
        <w:tc>
          <w:tcPr>
            <w:tcW w:w="2605" w:type="dxa"/>
            <w:shd w:val="clear" w:color="auto" w:fill="EEF5F5" w:themeFill="background2"/>
          </w:tcPr>
          <w:p w:rsidR="001A3542" w:rsidRPr="00990D3B" w:rsidP="003105CB" w14:paraId="00F28008" w14:textId="73254AB4">
            <w:pPr>
              <w:pStyle w:val="EQRTableText"/>
            </w:pPr>
            <w:hyperlink w:anchor="WSB1" w:tooltip="Worksheet B.1" w:history="1">
              <w:r w:rsidRPr="00990D3B">
                <w:rPr>
                  <w:rStyle w:val="Hyperlink"/>
                </w:rPr>
                <w:t>Worksheet B.1</w:t>
              </w:r>
            </w:hyperlink>
            <w:r w:rsidRPr="00990D3B">
              <w:t xml:space="preserve"> and </w:t>
            </w:r>
            <w:hyperlink w:anchor="WSB2" w:tooltip="Worksheet B.2" w:history="1">
              <w:r w:rsidRPr="00990D3B">
                <w:rPr>
                  <w:rStyle w:val="Hyperlink"/>
                </w:rPr>
                <w:t>B.2</w:t>
              </w:r>
            </w:hyperlink>
          </w:p>
        </w:tc>
      </w:tr>
      <w:tr w14:paraId="59DE4C80" w14:textId="77777777" w:rsidTr="00666AC0">
        <w:tblPrEx>
          <w:tblW w:w="0" w:type="auto"/>
          <w:tblLook w:val="04A0"/>
        </w:tblPrEx>
        <w:tc>
          <w:tcPr>
            <w:tcW w:w="2785" w:type="dxa"/>
          </w:tcPr>
          <w:p w:rsidR="001A3542" w:rsidRPr="00990D3B" w:rsidP="003105CB" w14:paraId="450D5C77" w14:textId="77777777">
            <w:pPr>
              <w:pStyle w:val="EQRTableText"/>
            </w:pPr>
            <w:r w:rsidRPr="00990D3B">
              <w:t>Activity 2. Validate Data</w:t>
            </w:r>
          </w:p>
        </w:tc>
        <w:tc>
          <w:tcPr>
            <w:tcW w:w="3960" w:type="dxa"/>
          </w:tcPr>
          <w:p w:rsidR="001A3542" w:rsidRPr="00990D3B" w:rsidP="003105CB" w14:paraId="2CA12483" w14:textId="77777777">
            <w:pPr>
              <w:pStyle w:val="EQRTableText"/>
            </w:pPr>
            <w:r w:rsidRPr="00990D3B">
              <w:t>Protocol 5. Validation of Encounter Data Reported by the Managed Care Plan</w:t>
            </w:r>
          </w:p>
        </w:tc>
        <w:tc>
          <w:tcPr>
            <w:tcW w:w="2605" w:type="dxa"/>
          </w:tcPr>
          <w:p w:rsidR="001A3542" w:rsidRPr="00990D3B" w:rsidP="003105CB" w14:paraId="2465363B" w14:textId="1D06ED56">
            <w:pPr>
              <w:pStyle w:val="EQRTableText"/>
            </w:pPr>
            <w:r w:rsidRPr="00990D3B">
              <w:t>Worksheets 5.1- 5.7</w:t>
            </w:r>
          </w:p>
        </w:tc>
      </w:tr>
      <w:tr w14:paraId="18F42AE2" w14:textId="77777777" w:rsidTr="006C1A54">
        <w:tblPrEx>
          <w:tblW w:w="0" w:type="auto"/>
          <w:tblLook w:val="04A0"/>
        </w:tblPrEx>
        <w:tc>
          <w:tcPr>
            <w:tcW w:w="9350" w:type="dxa"/>
            <w:gridSpan w:val="3"/>
            <w:shd w:val="clear" w:color="auto" w:fill="00559D" w:themeFill="text2"/>
          </w:tcPr>
          <w:p w:rsidR="001A3542" w:rsidRPr="00990D3B" w:rsidP="006C1A54" w14:paraId="4029A6E3" w14:textId="77777777">
            <w:pPr>
              <w:pStyle w:val="TableRowHead"/>
              <w:rPr>
                <w:color w:val="FFFFFF" w:themeColor="background1"/>
              </w:rPr>
            </w:pPr>
            <w:r w:rsidRPr="00990D3B">
              <w:rPr>
                <w:color w:val="FFFFFF" w:themeColor="background1"/>
              </w:rPr>
              <w:t>Section III. Calculating MAC QRS Measure Performance Rates</w:t>
            </w:r>
          </w:p>
        </w:tc>
      </w:tr>
      <w:tr w14:paraId="09A68FEF" w14:textId="77777777" w:rsidTr="00666AC0">
        <w:tblPrEx>
          <w:tblW w:w="0" w:type="auto"/>
          <w:tblLook w:val="04A0"/>
        </w:tblPrEx>
        <w:tc>
          <w:tcPr>
            <w:tcW w:w="2785" w:type="dxa"/>
          </w:tcPr>
          <w:p w:rsidR="001A3542" w:rsidRPr="00990D3B" w:rsidP="003105CB" w14:paraId="6A1DE076" w14:textId="77777777">
            <w:pPr>
              <w:pStyle w:val="EQRTableText"/>
            </w:pPr>
            <w:r w:rsidRPr="00990D3B">
              <w:t>Activity 1. Collect Data</w:t>
            </w:r>
          </w:p>
        </w:tc>
        <w:tc>
          <w:tcPr>
            <w:tcW w:w="3960" w:type="dxa"/>
          </w:tcPr>
          <w:p w:rsidR="001A3542" w:rsidRPr="00990D3B" w:rsidP="003105CB" w14:paraId="17391032" w14:textId="77777777">
            <w:pPr>
              <w:pStyle w:val="EQRTableText"/>
            </w:pPr>
            <w:r w:rsidRPr="00990D3B">
              <w:t xml:space="preserve">Protocol 7, Activity 1, Step 2. </w:t>
            </w:r>
            <w:r w:rsidRPr="00990D3B">
              <w:t>Prepare</w:t>
            </w:r>
            <w:r w:rsidRPr="00990D3B">
              <w:t xml:space="preserve"> for Data Collection</w:t>
            </w:r>
          </w:p>
          <w:p w:rsidR="001A3542" w:rsidRPr="00990D3B" w:rsidP="003105CB" w14:paraId="032F1546" w14:textId="77777777">
            <w:pPr>
              <w:pStyle w:val="EQRTableText"/>
            </w:pPr>
            <w:r w:rsidRPr="00990D3B">
              <w:t>Protocol 7, Activity 1, Step 3. Identify Required Data Elements, Data Sources, and Data Quality Issues</w:t>
            </w:r>
          </w:p>
        </w:tc>
        <w:tc>
          <w:tcPr>
            <w:tcW w:w="2605" w:type="dxa"/>
          </w:tcPr>
          <w:p w:rsidR="001A3542" w:rsidRPr="00990D3B" w:rsidP="003105CB" w14:paraId="404FE05E" w14:textId="0CD62820">
            <w:pPr>
              <w:pStyle w:val="EQRTableText"/>
            </w:pPr>
            <w:hyperlink w:anchor="WSp7n03" w:tooltip="Worksheets 7.3" w:history="1">
              <w:r w:rsidRPr="00990D3B">
                <w:rPr>
                  <w:rStyle w:val="Hyperlink"/>
                </w:rPr>
                <w:t>Worksheets 7.3</w:t>
              </w:r>
            </w:hyperlink>
            <w:r w:rsidRPr="00990D3B">
              <w:t xml:space="preserve"> and </w:t>
            </w:r>
            <w:hyperlink w:anchor="WSp7n04" w:tooltip="Worksheets 7.4" w:history="1">
              <w:r w:rsidRPr="00990D3B">
                <w:rPr>
                  <w:rStyle w:val="Hyperlink"/>
                </w:rPr>
                <w:t>7.4</w:t>
              </w:r>
            </w:hyperlink>
          </w:p>
          <w:p w:rsidR="001A3542" w:rsidRPr="00990D3B" w:rsidP="003105CB" w14:paraId="535F49FF" w14:textId="0FB8D44C">
            <w:pPr>
              <w:pStyle w:val="EQRTableText"/>
            </w:pPr>
            <w:hyperlink w:anchor="WSB1" w:tooltip="Worksheet B.1" w:history="1">
              <w:r w:rsidRPr="00990D3B">
                <w:rPr>
                  <w:rStyle w:val="Hyperlink"/>
                </w:rPr>
                <w:t>Worksheet B.1</w:t>
              </w:r>
            </w:hyperlink>
            <w:r w:rsidRPr="00990D3B">
              <w:t xml:space="preserve"> and </w:t>
            </w:r>
            <w:hyperlink w:anchor="WSB2" w:tooltip="Worksheet B.2" w:history="1">
              <w:r w:rsidRPr="00990D3B">
                <w:rPr>
                  <w:rStyle w:val="Hyperlink"/>
                </w:rPr>
                <w:t>B.2</w:t>
              </w:r>
            </w:hyperlink>
          </w:p>
        </w:tc>
      </w:tr>
      <w:tr w14:paraId="793A2C24" w14:textId="77777777" w:rsidTr="006C1A54">
        <w:tblPrEx>
          <w:tblW w:w="0" w:type="auto"/>
          <w:tblLook w:val="04A0"/>
        </w:tblPrEx>
        <w:tc>
          <w:tcPr>
            <w:tcW w:w="2785" w:type="dxa"/>
            <w:shd w:val="clear" w:color="auto" w:fill="EEF5F5" w:themeFill="background2"/>
          </w:tcPr>
          <w:p w:rsidR="001A3542" w:rsidRPr="00990D3B" w:rsidP="003105CB" w14:paraId="55EC8490" w14:textId="77777777">
            <w:pPr>
              <w:pStyle w:val="EQRTableText"/>
            </w:pPr>
            <w:r w:rsidRPr="00990D3B">
              <w:t>Activity 2. Integrate Data</w:t>
            </w:r>
          </w:p>
        </w:tc>
        <w:tc>
          <w:tcPr>
            <w:tcW w:w="3960" w:type="dxa"/>
            <w:shd w:val="clear" w:color="auto" w:fill="EEF5F5" w:themeFill="background2"/>
          </w:tcPr>
          <w:p w:rsidR="001A3542" w:rsidRPr="00990D3B" w:rsidP="003105CB" w14:paraId="6DA65FC0" w14:textId="77777777">
            <w:pPr>
              <w:pStyle w:val="EQRTableText"/>
            </w:pPr>
            <w:r w:rsidRPr="00990D3B">
              <w:t>Protocol 7, Activity 2, Step 3. Integrate Data into Performance Measure Repository</w:t>
            </w:r>
          </w:p>
        </w:tc>
        <w:tc>
          <w:tcPr>
            <w:tcW w:w="2605" w:type="dxa"/>
            <w:shd w:val="clear" w:color="auto" w:fill="EEF5F5" w:themeFill="background2"/>
          </w:tcPr>
          <w:p w:rsidR="001A3542" w:rsidRPr="00990D3B" w:rsidP="003105CB" w14:paraId="22B447FB" w14:textId="77777777">
            <w:pPr>
              <w:pStyle w:val="EQRTableText"/>
            </w:pPr>
            <w:r w:rsidRPr="00990D3B">
              <w:t>No associated worksheets</w:t>
            </w:r>
          </w:p>
        </w:tc>
      </w:tr>
      <w:tr w14:paraId="3202BA2A" w14:textId="77777777" w:rsidTr="00666AC0">
        <w:tblPrEx>
          <w:tblW w:w="0" w:type="auto"/>
          <w:tblLook w:val="04A0"/>
        </w:tblPrEx>
        <w:tc>
          <w:tcPr>
            <w:tcW w:w="2785" w:type="dxa"/>
          </w:tcPr>
          <w:p w:rsidR="001A3542" w:rsidRPr="00990D3B" w:rsidP="003105CB" w14:paraId="47BC579D" w14:textId="77777777">
            <w:pPr>
              <w:pStyle w:val="EQRTableText"/>
            </w:pPr>
            <w:r w:rsidRPr="00990D3B">
              <w:t>Activity 3. Calculate Measure Performance Rates</w:t>
            </w:r>
          </w:p>
        </w:tc>
        <w:tc>
          <w:tcPr>
            <w:tcW w:w="3960" w:type="dxa"/>
          </w:tcPr>
          <w:p w:rsidR="001A3542" w:rsidRPr="00990D3B" w:rsidP="003105CB" w14:paraId="1F7A09AA" w14:textId="77777777">
            <w:pPr>
              <w:pStyle w:val="EQRTableText"/>
            </w:pPr>
            <w:r w:rsidRPr="00990D3B">
              <w:t>Protocol 6, Section I. Administering a Survey</w:t>
            </w:r>
          </w:p>
          <w:p w:rsidR="001A3542" w:rsidRPr="00990D3B" w:rsidP="003105CB" w14:paraId="2A4BCBA2" w14:textId="77777777">
            <w:pPr>
              <w:pStyle w:val="EQRTableText"/>
            </w:pPr>
            <w:r w:rsidRPr="00990D3B">
              <w:t>Protocol 7, Activity 2, Step 4. Conduct Preliminary Analysis</w:t>
            </w:r>
          </w:p>
          <w:p w:rsidR="001A3542" w:rsidRPr="00990D3B" w:rsidP="003105CB" w14:paraId="38CFCC49" w14:textId="77777777">
            <w:pPr>
              <w:pStyle w:val="EQRTableText"/>
            </w:pPr>
            <w:r w:rsidRPr="00990D3B">
              <w:t>Protocol 7, Activity 2, Step 5. Calculate the Denominators, Numerators, and Rates</w:t>
            </w:r>
          </w:p>
        </w:tc>
        <w:tc>
          <w:tcPr>
            <w:tcW w:w="2605" w:type="dxa"/>
          </w:tcPr>
          <w:p w:rsidR="001A3542" w:rsidRPr="00990D3B" w:rsidP="003105CB" w14:paraId="16DCDC79" w14:textId="77777777">
            <w:pPr>
              <w:pStyle w:val="EQRTableText"/>
            </w:pPr>
            <w:r w:rsidRPr="00990D3B">
              <w:t xml:space="preserve">Worksheet 6.1 – 6.8 </w:t>
            </w:r>
          </w:p>
        </w:tc>
      </w:tr>
      <w:tr w14:paraId="5B6AC6F8" w14:textId="77777777" w:rsidTr="006C1A54">
        <w:tblPrEx>
          <w:tblW w:w="0" w:type="auto"/>
          <w:tblLook w:val="04A0"/>
        </w:tblPrEx>
        <w:tc>
          <w:tcPr>
            <w:tcW w:w="2785" w:type="dxa"/>
            <w:shd w:val="clear" w:color="auto" w:fill="EEF5F5" w:themeFill="background2"/>
          </w:tcPr>
          <w:p w:rsidR="001A3542" w:rsidRPr="00990D3B" w:rsidP="003105CB" w14:paraId="2DACBD8B" w14:textId="77777777">
            <w:pPr>
              <w:pStyle w:val="EQRTableText"/>
            </w:pPr>
            <w:r w:rsidRPr="00990D3B">
              <w:t>Activity 5. Validate Measure Performance Rates</w:t>
            </w:r>
          </w:p>
        </w:tc>
        <w:tc>
          <w:tcPr>
            <w:tcW w:w="3960" w:type="dxa"/>
            <w:shd w:val="clear" w:color="auto" w:fill="EEF5F5" w:themeFill="background2"/>
          </w:tcPr>
          <w:p w:rsidR="001A3542" w:rsidRPr="00990D3B" w:rsidP="003105CB" w14:paraId="56F040A1" w14:textId="77777777">
            <w:pPr>
              <w:pStyle w:val="EQRTableText"/>
            </w:pPr>
            <w:r w:rsidRPr="00990D3B">
              <w:t xml:space="preserve">Protocol 2. Validation of Performance Measures </w:t>
            </w:r>
          </w:p>
          <w:p w:rsidR="001A3542" w:rsidRPr="00990D3B" w:rsidP="003105CB" w14:paraId="5AD64886" w14:textId="77777777">
            <w:pPr>
              <w:pStyle w:val="EQRTableText"/>
            </w:pPr>
            <w:r w:rsidRPr="00990D3B">
              <w:t xml:space="preserve">Protocol 6, Section II. Validating a Survey </w:t>
            </w:r>
          </w:p>
        </w:tc>
        <w:tc>
          <w:tcPr>
            <w:tcW w:w="2605" w:type="dxa"/>
            <w:shd w:val="clear" w:color="auto" w:fill="EEF5F5" w:themeFill="background2"/>
          </w:tcPr>
          <w:p w:rsidR="001A3542" w:rsidRPr="00990D3B" w:rsidP="003105CB" w14:paraId="69A932D7" w14:textId="77777777">
            <w:pPr>
              <w:pStyle w:val="EQRTableText"/>
            </w:pPr>
            <w:r w:rsidRPr="00990D3B">
              <w:t>Protocol 2: Worksheets 2.1- 2.14</w:t>
            </w:r>
          </w:p>
          <w:p w:rsidR="001A3542" w:rsidRPr="00990D3B" w:rsidP="003105CB" w14:paraId="1B104D1B" w14:textId="77777777">
            <w:pPr>
              <w:pStyle w:val="EQRTableText"/>
            </w:pPr>
            <w:r w:rsidRPr="00990D3B">
              <w:t>Protocol 6: Worksheets 6.1 – 6.8</w:t>
            </w:r>
          </w:p>
        </w:tc>
      </w:tr>
    </w:tbl>
    <w:p w:rsidR="001A3542" w:rsidRPr="00990D3B" w:rsidP="00E52B04" w14:paraId="55D444C4" w14:textId="1BE587C4">
      <w:pPr>
        <w:pStyle w:val="H2"/>
      </w:pPr>
      <w:bookmarkStart w:id="988" w:name="P10S1"/>
      <w:bookmarkStart w:id="989" w:name="_Toc201751436"/>
      <w:bookmarkEnd w:id="988"/>
      <w:r w:rsidRPr="00990D3B">
        <w:t>Section I. Preparing for MAC QRS EQR Activities</w:t>
      </w:r>
      <w:bookmarkEnd w:id="989"/>
    </w:p>
    <w:p w:rsidR="001A3542" w:rsidRPr="00990D3B" w:rsidP="0095080F" w14:paraId="4B5F059E" w14:textId="77777777">
      <w:pPr>
        <w:pStyle w:val="ParagraphContinued"/>
      </w:pPr>
      <w:r w:rsidRPr="00990D3B">
        <w:t xml:space="preserve">Section I of this protocol outlines the activities involved in preparing for MAC QRS EQR, including identifying the quality measures that should be assigned to each MCP, confirming the measures that must be calculated and/or validated, and identifying the necessary data to complete MAC QRS measure calculations. </w:t>
      </w:r>
    </w:p>
    <w:p w:rsidR="001A3542" w:rsidRPr="00990D3B" w:rsidP="00E538C2" w14:paraId="17676640" w14:textId="77777777">
      <w:pPr>
        <w:pStyle w:val="H2"/>
      </w:pPr>
      <w:bookmarkStart w:id="990" w:name="P10S1A1"/>
      <w:bookmarkStart w:id="991" w:name="_Toc201751437"/>
      <w:bookmarkEnd w:id="990"/>
      <w:r w:rsidRPr="00990D3B">
        <w:t>Activity I.1: Identify the Quality Measures to be Calculated</w:t>
      </w:r>
      <w:bookmarkEnd w:id="991"/>
    </w:p>
    <w:p w:rsidR="001A3542" w:rsidRPr="00990D3B" w:rsidP="0095080F" w14:paraId="74CA75A5" w14:textId="646B6999">
      <w:pPr>
        <w:pStyle w:val="ParagraphContinued"/>
      </w:pPr>
      <w:r w:rsidRPr="00990D3B">
        <w:rPr>
          <w:rFonts w:ascii="Times New Roman" w:hAnsi="Times New Roman"/>
          <w:noProof/>
        </w:rPr>
        <mc:AlternateContent>
          <mc:Choice Requires="wps">
            <w:drawing>
              <wp:anchor distT="0" distB="0" distL="114300" distR="114300" simplePos="0" relativeHeight="251977728" behindDoc="1" locked="0" layoutInCell="1" allowOverlap="1">
                <wp:simplePos x="0" y="0"/>
                <wp:positionH relativeFrom="column">
                  <wp:posOffset>3942715</wp:posOffset>
                </wp:positionH>
                <wp:positionV relativeFrom="paragraph">
                  <wp:posOffset>424180</wp:posOffset>
                </wp:positionV>
                <wp:extent cx="2194560" cy="1148080"/>
                <wp:effectExtent l="19050" t="19050" r="15240" b="13970"/>
                <wp:wrapSquare wrapText="bothSides"/>
                <wp:docPr id="482" name="Text Box 482" descr="P532TB54#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1148080"/>
                        </a:xfrm>
                        <a:prstGeom prst="rect">
                          <a:avLst/>
                        </a:prstGeom>
                        <a:solidFill>
                          <a:srgbClr val="EEF5F8"/>
                        </a:solidFill>
                        <a:ln w="28575" cap="rnd">
                          <a:solidFill>
                            <a:srgbClr val="A5DAD9"/>
                          </a:solidFill>
                          <a:prstDash val="solid"/>
                          <a:miter lim="800000"/>
                          <a:headEnd/>
                          <a:tailEnd/>
                        </a:ln>
                      </wps:spPr>
                      <wps:txbx>
                        <w:txbxContent>
                          <w:p w:rsidR="001A3542" w:rsidP="00666AC0" w14:textId="77777777">
                            <w:pPr>
                              <w:pStyle w:val="EQRTextboxheading"/>
                            </w:pPr>
                            <w:r>
                              <w:t>Resource for Activity I.1</w:t>
                            </w:r>
                          </w:p>
                          <w:p w:rsidR="001A3542" w:rsidRPr="00A95E97" w:rsidP="00666AC0" w14:textId="3C62B126">
                            <w:pPr>
                              <w:pStyle w:val="EQRTextboxbody"/>
                              <w:rPr>
                                <w:color w:val="1CA8B7"/>
                              </w:rPr>
                            </w:pPr>
                            <w:hyperlink w:anchor="WS10n1" w:tooltip="Worksheet 10.1. Assigning MAC QRS Measures to MCPs" w:history="1">
                              <w:r w:rsidRPr="002C77DD">
                                <w:rPr>
                                  <w:rStyle w:val="Hyperlink"/>
                                </w:rPr>
                                <w:t>Worksheet 10.1. Assigning MAC QRS Measures to MCPs</w:t>
                              </w:r>
                            </w:hyperlink>
                          </w:p>
                          <w:p w:rsidR="001A3542" w:rsidRPr="0090682E" w:rsidP="002D35CF" w14:textId="77777777">
                            <w:pPr>
                              <w:pStyle w:val="EQRTextboxbody"/>
                              <w:numPr>
                                <w:ilvl w:val="0"/>
                                <w:numId w:val="222"/>
                              </w:numPr>
                              <w:rPr>
                                <w:spacing w:val="-2"/>
                              </w:rPr>
                            </w:pPr>
                            <w:r>
                              <w:t xml:space="preserve">Provides a template for </w:t>
                            </w:r>
                            <w:r w:rsidRPr="00A03FA7">
                              <w:t>identify</w:t>
                            </w:r>
                            <w:r>
                              <w:t>ing</w:t>
                            </w:r>
                            <w:r w:rsidRPr="00A03FA7">
                              <w:t xml:space="preserve"> the entities responsible for contributing data to calculate each MAC QRS quality measure</w:t>
                            </w:r>
                          </w:p>
                        </w:txbxContent>
                      </wps:txbx>
                      <wps:bodyPr rot="0" vert="horz" wrap="square" lIns="109728" tIns="45720" rIns="109728" bIns="45720" anchor="t" anchorCtr="0" upright="1">
                        <a:spAutoFit/>
                      </wps:bodyPr>
                    </wps:wsp>
                  </a:graphicData>
                </a:graphic>
              </wp:anchor>
            </w:drawing>
          </mc:Choice>
          <mc:Fallback>
            <w:pict>
              <v:shape id="Text Box 482" o:spid="_x0000_s1219" type="#_x0000_t202" alt="P532TB54#y1" style="width:172.8pt;height:90.4pt;margin-top:33.4pt;margin-left:310.45pt;flip:y;mso-wrap-distance-bottom:0;mso-wrap-distance-left:9pt;mso-wrap-distance-right:9pt;mso-wrap-distance-top:0;mso-wrap-style:square;position:absolute;rotation:180;visibility:visible;v-text-anchor:top;z-index:-251337728" fillcolor="#eef5f8" strokecolor="#a5dad9" strokeweight="2.25pt">
                <v:stroke endcap="round"/>
                <v:textbox style="mso-fit-shape-to-text:t" inset="8.64pt,,8.64pt">
                  <w:txbxContent>
                    <w:p w:rsidR="001A3542" w:rsidP="00666AC0" w14:paraId="7C3FFF90" w14:textId="77777777">
                      <w:pPr>
                        <w:pStyle w:val="EQRTextboxheading"/>
                      </w:pPr>
                      <w:r>
                        <w:t>Resource for Activity I.1</w:t>
                      </w:r>
                    </w:p>
                    <w:p w:rsidR="001A3542" w:rsidRPr="00A95E97" w:rsidP="00666AC0" w14:paraId="3E3C3857" w14:textId="3C62B126">
                      <w:pPr>
                        <w:pStyle w:val="EQRTextboxbody"/>
                        <w:rPr>
                          <w:color w:val="1CA8B7"/>
                        </w:rPr>
                      </w:pPr>
                      <w:hyperlink w:anchor="WS10n1" w:tooltip="Worksheet 10.1. Assigning MAC QRS Measures to MCPs" w:history="1">
                        <w:r w:rsidRPr="002C77DD">
                          <w:rPr>
                            <w:rStyle w:val="Hyperlink"/>
                          </w:rPr>
                          <w:t>Worksheet 10.1. Assigning MAC QRS Measures to MCPs</w:t>
                        </w:r>
                      </w:hyperlink>
                    </w:p>
                    <w:p w:rsidR="001A3542" w:rsidRPr="0090682E" w:rsidP="002D35CF" w14:paraId="274A335B" w14:textId="77777777">
                      <w:pPr>
                        <w:pStyle w:val="EQRTextboxbody"/>
                        <w:numPr>
                          <w:ilvl w:val="0"/>
                          <w:numId w:val="222"/>
                        </w:numPr>
                        <w:rPr>
                          <w:spacing w:val="-2"/>
                        </w:rPr>
                      </w:pPr>
                      <w:r>
                        <w:t xml:space="preserve">Provides a template for </w:t>
                      </w:r>
                      <w:r w:rsidRPr="00A03FA7">
                        <w:t>identify</w:t>
                      </w:r>
                      <w:r>
                        <w:t>ing</w:t>
                      </w:r>
                      <w:r w:rsidRPr="00A03FA7">
                        <w:t xml:space="preserve"> the entities responsible for contributing data to calculate each MAC QRS quality measure</w:t>
                      </w:r>
                    </w:p>
                  </w:txbxContent>
                </v:textbox>
                <w10:wrap type="square"/>
              </v:shape>
            </w:pict>
          </mc:Fallback>
        </mc:AlternateContent>
      </w:r>
      <w:r w:rsidRPr="00990D3B">
        <w:rPr>
          <w:rFonts w:ascii="Times New Roman" w:hAnsi="Times New Roman"/>
          <w:noProof/>
        </w:rPr>
        <mc:AlternateContent>
          <mc:Choice Requires="wps">
            <w:drawing>
              <wp:anchor distT="0" distB="0" distL="114300" distR="114300" simplePos="0" relativeHeight="251975680" behindDoc="0" locked="0" layoutInCell="1" allowOverlap="1">
                <wp:simplePos x="0" y="0"/>
                <wp:positionH relativeFrom="column">
                  <wp:posOffset>3947795</wp:posOffset>
                </wp:positionH>
                <wp:positionV relativeFrom="paragraph">
                  <wp:posOffset>22860</wp:posOffset>
                </wp:positionV>
                <wp:extent cx="2193925" cy="297180"/>
                <wp:effectExtent l="19050" t="19050" r="15875" b="26670"/>
                <wp:wrapTight wrapText="bothSides">
                  <wp:wrapPolygon>
                    <wp:start x="21788" y="22985"/>
                    <wp:lineTo x="21788" y="-554"/>
                    <wp:lineTo x="31" y="-554"/>
                    <wp:lineTo x="31" y="22985"/>
                    <wp:lineTo x="21788" y="22985"/>
                  </wp:wrapPolygon>
                </wp:wrapTight>
                <wp:docPr id="483" name="Text Box 483" descr="P532TB55#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180"/>
                        </a:xfrm>
                        <a:prstGeom prst="rect">
                          <a:avLst/>
                        </a:prstGeom>
                        <a:solidFill>
                          <a:srgbClr val="EEF5F8"/>
                        </a:solidFill>
                        <a:ln w="28575" cap="rnd">
                          <a:solidFill>
                            <a:srgbClr val="A5DAD9"/>
                          </a:solidFill>
                          <a:prstDash val="solid"/>
                          <a:miter lim="800000"/>
                          <a:headEnd/>
                          <a:tailEnd/>
                        </a:ln>
                      </wps:spPr>
                      <wps:txbx>
                        <w:txbxContent>
                          <w:p w:rsidR="001A3542" w:rsidRPr="00A95E97" w:rsidP="00666AC0" w14:textId="090DB4DF">
                            <w:pPr>
                              <w:pStyle w:val="EQRWORKSHEETText"/>
                              <w:rPr>
                                <w:spacing w:val="-2"/>
                              </w:rPr>
                            </w:pPr>
                            <w:hyperlink w:anchor="WS10n1" w:tooltip="WORKSHEET 10.1" w:history="1">
                              <w:r w:rsidRPr="00F76022">
                                <w:rPr>
                                  <w:rStyle w:val="Hyperlink"/>
                                </w:rPr>
                                <w:t>WORKSHEET 10.1</w:t>
                              </w:r>
                            </w:hyperlink>
                          </w:p>
                        </w:txbxContent>
                      </wps:txbx>
                      <wps:bodyPr rot="0" vert="horz" wrap="square" lIns="109728" tIns="45720" rIns="109728" bIns="45720" anchor="t" anchorCtr="0" upright="1">
                        <a:spAutoFit/>
                      </wps:bodyPr>
                    </wps:wsp>
                  </a:graphicData>
                </a:graphic>
              </wp:anchor>
            </w:drawing>
          </mc:Choice>
          <mc:Fallback>
            <w:pict>
              <v:shape id="Text Box 483" o:spid="_x0000_s1220" type="#_x0000_t202" alt="P532TB55#y1" style="width:172.75pt;height:23.4pt;margin-top:1.8pt;margin-left:310.85pt;flip:y;mso-wrap-distance-bottom:0;mso-wrap-distance-left:9pt;mso-wrap-distance-right:9pt;mso-wrap-distance-top:0;mso-wrap-style:square;position:absolute;rotation:180;visibility:visible;v-text-anchor:top;z-index:251976704" fillcolor="#eef5f8" strokecolor="#a5dad9" strokeweight="2.25pt">
                <v:stroke endcap="round"/>
                <v:textbox style="mso-fit-shape-to-text:t" inset="8.64pt,,8.64pt">
                  <w:txbxContent>
                    <w:p w:rsidR="001A3542" w:rsidRPr="00A95E97" w:rsidP="00666AC0" w14:paraId="0B59B732" w14:textId="090DB4DF">
                      <w:pPr>
                        <w:pStyle w:val="EQRWORKSHEETText"/>
                        <w:rPr>
                          <w:spacing w:val="-2"/>
                        </w:rPr>
                      </w:pPr>
                      <w:hyperlink w:anchor="WS10n1" w:tooltip="WORKSHEET 10.1" w:history="1">
                        <w:r w:rsidRPr="00F76022">
                          <w:rPr>
                            <w:rStyle w:val="Hyperlink"/>
                          </w:rPr>
                          <w:t>WORKSHEET 10.1</w:t>
                        </w:r>
                      </w:hyperlink>
                    </w:p>
                  </w:txbxContent>
                </v:textbox>
                <w10:wrap type="tight"/>
              </v:shape>
            </w:pict>
          </mc:Fallback>
        </mc:AlternateContent>
      </w:r>
      <w:r w:rsidRPr="00990D3B">
        <w:t>In this activity, the EQRO reviews the MAC QRS mandatory measure set and technical specifications to understand the services or actions included in each measure's numerator.</w:t>
      </w:r>
      <w:r>
        <w:rPr>
          <w:rStyle w:val="FootnoteReference"/>
        </w:rPr>
        <w:footnoteReference w:id="102"/>
      </w:r>
      <w:r w:rsidRPr="00990D3B">
        <w:t xml:space="preserve"> For best practices and additional associated worksheets for this activity, review </w:t>
      </w:r>
      <w:hyperlink w:anchor="P7A1Step1" w:tooltip="Protocol 7, Activity 1, Step 1" w:history="1">
        <w:r w:rsidRPr="00990D3B">
          <w:rPr>
            <w:rStyle w:val="Hyperlink"/>
          </w:rPr>
          <w:t>Protocol 7, Activity 1, Step 1</w:t>
        </w:r>
      </w:hyperlink>
      <w:r w:rsidRPr="00990D3B">
        <w:t xml:space="preserve">. </w:t>
      </w:r>
    </w:p>
    <w:p w:rsidR="001A3542" w:rsidRPr="00990D3B" w:rsidP="00666AC0" w14:paraId="16103753" w14:textId="77777777">
      <w:pPr>
        <w:pStyle w:val="Paragraph0"/>
      </w:pPr>
      <w:r w:rsidRPr="00990D3B">
        <w:t>The EQRO also reviews each Medicaid and CHIP MCP contract to understand the services offered by each MCP. The state uses this information to determine which MAC QRS mandatory measures apply to its Medicaid and CHIP managed care program(s) and to determine which measures each MCP is responsible for based on whether the MCP covers all or some of the services or actions reviewed in</w:t>
      </w:r>
      <w:r w:rsidRPr="00990D3B">
        <w:rPr>
          <w:rStyle w:val="CommentReference"/>
        </w:rPr>
        <w:t xml:space="preserve"> </w:t>
      </w:r>
      <w:r w:rsidRPr="00990D3B">
        <w:t>the measure.</w:t>
      </w:r>
      <w:r>
        <w:rPr>
          <w:rStyle w:val="FootnoteReference"/>
        </w:rPr>
        <w:footnoteReference w:id="103"/>
      </w:r>
      <w:r w:rsidRPr="00990D3B">
        <w:rPr>
          <w:vertAlign w:val="superscript"/>
        </w:rPr>
        <w:t xml:space="preserve"> </w:t>
      </w:r>
      <w:r w:rsidRPr="00990D3B">
        <w:t xml:space="preserve"> For each of its managed care programs, the state then assigns a set of MAC QRS quality measures to assess the performance of the participating MCPs. </w:t>
      </w:r>
    </w:p>
    <w:p w:rsidR="001A3542" w:rsidRPr="00990D3B" w:rsidP="00666AC0" w14:paraId="072732B6" w14:textId="77777777">
      <w:pPr>
        <w:pStyle w:val="H2"/>
      </w:pPr>
      <w:bookmarkStart w:id="992" w:name="P10S1A2"/>
      <w:bookmarkStart w:id="993" w:name="_Toc201751438"/>
      <w:bookmarkEnd w:id="992"/>
      <w:r w:rsidRPr="00990D3B">
        <w:t>Activity I.2: Identify MAC QRS Data Sources</w:t>
      </w:r>
      <w:bookmarkEnd w:id="993"/>
      <w:r w:rsidRPr="00990D3B">
        <w:t xml:space="preserve"> </w:t>
      </w:r>
    </w:p>
    <w:p w:rsidR="001A3542" w:rsidRPr="00990D3B" w:rsidP="00666AC0" w14:paraId="05D13581" w14:textId="6B50157B">
      <w:pPr>
        <w:pStyle w:val="Paragraph0"/>
      </w:pPr>
      <w:r w:rsidRPr="00990D3B">
        <w:rPr>
          <w:rFonts w:ascii="Times New Roman" w:hAnsi="Times New Roman"/>
          <w:noProof/>
        </w:rPr>
        <mc:AlternateContent>
          <mc:Choice Requires="wps">
            <w:drawing>
              <wp:anchor distT="0" distB="0" distL="114300" distR="114300" simplePos="0" relativeHeight="251987968" behindDoc="0" locked="0" layoutInCell="1" allowOverlap="1">
                <wp:simplePos x="0" y="0"/>
                <wp:positionH relativeFrom="column">
                  <wp:posOffset>3954780</wp:posOffset>
                </wp:positionH>
                <wp:positionV relativeFrom="paragraph">
                  <wp:posOffset>30480</wp:posOffset>
                </wp:positionV>
                <wp:extent cx="2193925" cy="266700"/>
                <wp:effectExtent l="19050" t="19050" r="15875" b="19050"/>
                <wp:wrapTight wrapText="bothSides">
                  <wp:wrapPolygon>
                    <wp:start x="21788" y="23143"/>
                    <wp:lineTo x="21788" y="0"/>
                    <wp:lineTo x="31" y="0"/>
                    <wp:lineTo x="31" y="23143"/>
                    <wp:lineTo x="21788" y="23143"/>
                  </wp:wrapPolygon>
                </wp:wrapTight>
                <wp:docPr id="1654547590" name="Text Box 1654547590" descr="P532TB55#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66700"/>
                        </a:xfrm>
                        <a:prstGeom prst="rect">
                          <a:avLst/>
                        </a:prstGeom>
                        <a:solidFill>
                          <a:srgbClr val="EEF5F8"/>
                        </a:solidFill>
                        <a:ln w="28575" cap="rnd">
                          <a:solidFill>
                            <a:srgbClr val="A5DAD9"/>
                          </a:solidFill>
                          <a:prstDash val="solid"/>
                          <a:miter lim="800000"/>
                          <a:headEnd/>
                          <a:tailEnd/>
                        </a:ln>
                      </wps:spPr>
                      <wps:txbx>
                        <w:txbxContent>
                          <w:p w:rsidR="001A3542" w:rsidRPr="006D3FE0" w:rsidP="00666AC0" w14:textId="3D979612">
                            <w:pPr>
                              <w:pStyle w:val="EQRWORKSHEETText"/>
                              <w:rPr>
                                <w:spacing w:val="-2"/>
                              </w:rPr>
                            </w:pPr>
                            <w:hyperlink w:anchor="WS10n2" w:tooltip="WORKSHEET 10.2" w:history="1">
                              <w:r w:rsidRPr="00F76022">
                                <w:rPr>
                                  <w:rStyle w:val="Hyperlink"/>
                                </w:rPr>
                                <w:t>WORKSHEET 10.2</w:t>
                              </w:r>
                            </w:hyperlink>
                          </w:p>
                        </w:txbxContent>
                      </wps:txbx>
                      <wps:bodyPr rot="0" vert="horz" wrap="square" lIns="109728" tIns="45720" rIns="109728" bIns="45720" anchor="t" anchorCtr="0" upright="1"/>
                    </wps:wsp>
                  </a:graphicData>
                </a:graphic>
                <wp14:sizeRelV relativeFrom="margin">
                  <wp14:pctHeight>0</wp14:pctHeight>
                </wp14:sizeRelV>
              </wp:anchor>
            </w:drawing>
          </mc:Choice>
          <mc:Fallback>
            <w:pict>
              <v:shape id="Text Box 1654547590" o:spid="_x0000_s1221" type="#_x0000_t202" alt="P532TB55#y1" style="width:172.75pt;height:21pt;margin-top:2.4pt;margin-left:311.4pt;flip:y;mso-height-percent:0;mso-height-relative:margin;mso-wrap-distance-bottom:0;mso-wrap-distance-left:9pt;mso-wrap-distance-right:9pt;mso-wrap-distance-top:0;mso-wrap-style:square;position:absolute;rotation:180;visibility:visible;v-text-anchor:top;z-index:251988992" fillcolor="#eef5f8" strokecolor="#a5dad9" strokeweight="2.25pt">
                <v:stroke endcap="round"/>
                <v:textbox inset="8.64pt,,8.64pt">
                  <w:txbxContent>
                    <w:p w:rsidR="001A3542" w:rsidRPr="006D3FE0" w:rsidP="00666AC0" w14:paraId="1D3ED8EB" w14:textId="3D979612">
                      <w:pPr>
                        <w:pStyle w:val="EQRWORKSHEETText"/>
                        <w:rPr>
                          <w:spacing w:val="-2"/>
                        </w:rPr>
                      </w:pPr>
                      <w:hyperlink w:anchor="WS10n2" w:tooltip="WORKSHEET 10.2" w:history="1">
                        <w:r w:rsidRPr="00F76022">
                          <w:rPr>
                            <w:rStyle w:val="Hyperlink"/>
                          </w:rPr>
                          <w:t>WORKSHEET 10.2</w:t>
                        </w:r>
                      </w:hyperlink>
                    </w:p>
                  </w:txbxContent>
                </v:textbox>
                <w10:wrap type="tight"/>
              </v:shape>
            </w:pict>
          </mc:Fallback>
        </mc:AlternateContent>
      </w:r>
      <w:r w:rsidRPr="00990D3B">
        <w:rPr>
          <w:rFonts w:ascii="Times New Roman" w:hAnsi="Times New Roman"/>
          <w:noProof/>
        </w:rPr>
        <mc:AlternateContent>
          <mc:Choice Requires="wps">
            <w:drawing>
              <wp:anchor distT="0" distB="0" distL="114300" distR="114300" simplePos="0" relativeHeight="251985920" behindDoc="1" locked="0" layoutInCell="1" allowOverlap="1">
                <wp:simplePos x="0" y="0"/>
                <wp:positionH relativeFrom="column">
                  <wp:posOffset>3952713</wp:posOffset>
                </wp:positionH>
                <wp:positionV relativeFrom="paragraph">
                  <wp:posOffset>436747</wp:posOffset>
                </wp:positionV>
                <wp:extent cx="2194560" cy="1148080"/>
                <wp:effectExtent l="19050" t="19050" r="15240" b="13970"/>
                <wp:wrapSquare wrapText="bothSides"/>
                <wp:docPr id="124155348" name="Text Box 124155348" descr="P532TB54#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1148080"/>
                        </a:xfrm>
                        <a:prstGeom prst="rect">
                          <a:avLst/>
                        </a:prstGeom>
                        <a:solidFill>
                          <a:srgbClr val="EEF5F8"/>
                        </a:solidFill>
                        <a:ln w="28575" cap="rnd">
                          <a:solidFill>
                            <a:srgbClr val="A5DAD9"/>
                          </a:solidFill>
                          <a:prstDash val="solid"/>
                          <a:miter lim="800000"/>
                          <a:headEnd/>
                          <a:tailEnd/>
                        </a:ln>
                      </wps:spPr>
                      <wps:txbx>
                        <w:txbxContent>
                          <w:p w:rsidR="001A3542" w:rsidRPr="00081E4D" w:rsidP="00666AC0" w14:textId="77777777">
                            <w:pPr>
                              <w:pStyle w:val="EQRTextboxheading"/>
                            </w:pPr>
                            <w:r w:rsidRPr="00081E4D">
                              <w:t>Resource for Activity I.2</w:t>
                            </w:r>
                          </w:p>
                          <w:p w:rsidR="001A3542" w:rsidRPr="00081E4D" w:rsidP="00666AC0" w14:textId="03AEFE1E">
                            <w:pPr>
                              <w:pStyle w:val="EQRTextboxbody"/>
                              <w:rPr>
                                <w:color w:val="1CA8B7"/>
                              </w:rPr>
                            </w:pPr>
                            <w:hyperlink w:anchor="WS10n2" w:tooltip="Worksheet 10.2. MAC QRS Data Requirements Template" w:history="1">
                              <w:r w:rsidRPr="00F76022">
                                <w:rPr>
                                  <w:rStyle w:val="Hyperlink"/>
                                </w:rPr>
                                <w:t>Worksheet 10.2. MAC QRS Data Requirements Template</w:t>
                              </w:r>
                            </w:hyperlink>
                            <w:r w:rsidRPr="00081E4D">
                              <w:rPr>
                                <w:color w:val="1CA8B7"/>
                              </w:rPr>
                              <w:t xml:space="preserve"> </w:t>
                            </w:r>
                          </w:p>
                          <w:p w:rsidR="001A3542" w:rsidRPr="00081E4D" w:rsidP="002D35CF" w14:textId="77777777">
                            <w:pPr>
                              <w:pStyle w:val="EQRTextboxbody"/>
                              <w:numPr>
                                <w:ilvl w:val="0"/>
                                <w:numId w:val="222"/>
                              </w:numPr>
                              <w:rPr>
                                <w:spacing w:val="-2"/>
                              </w:rPr>
                            </w:pPr>
                            <w:r w:rsidRPr="00081E4D">
                              <w:t>Provides a template for identifying the data elements and sources required to calculate each MAC QRS measure</w:t>
                            </w:r>
                          </w:p>
                        </w:txbxContent>
                      </wps:txbx>
                      <wps:bodyPr rot="0" vert="horz" wrap="square" lIns="109728" tIns="45720" rIns="109728" bIns="45720" anchor="t" anchorCtr="0" upright="1">
                        <a:spAutoFit/>
                      </wps:bodyPr>
                    </wps:wsp>
                  </a:graphicData>
                </a:graphic>
              </wp:anchor>
            </w:drawing>
          </mc:Choice>
          <mc:Fallback>
            <w:pict>
              <v:shape id="Text Box 124155348" o:spid="_x0000_s1222" type="#_x0000_t202" alt="P532TB54#y1" style="width:172.8pt;height:90.4pt;margin-top:34.4pt;margin-left:311.25pt;flip:y;mso-wrap-distance-bottom:0;mso-wrap-distance-left:9pt;mso-wrap-distance-right:9pt;mso-wrap-distance-top:0;mso-wrap-style:square;position:absolute;rotation:180;visibility:visible;v-text-anchor:top;z-index:-251329536" fillcolor="#eef5f8" strokecolor="#a5dad9" strokeweight="2.25pt">
                <v:stroke endcap="round"/>
                <v:textbox style="mso-fit-shape-to-text:t" inset="8.64pt,,8.64pt">
                  <w:txbxContent>
                    <w:p w:rsidR="001A3542" w:rsidRPr="00081E4D" w:rsidP="00666AC0" w14:paraId="1FD865B3" w14:textId="77777777">
                      <w:pPr>
                        <w:pStyle w:val="EQRTextboxheading"/>
                      </w:pPr>
                      <w:r w:rsidRPr="00081E4D">
                        <w:t>Resource for Activity I.2</w:t>
                      </w:r>
                    </w:p>
                    <w:p w:rsidR="001A3542" w:rsidRPr="00081E4D" w:rsidP="00666AC0" w14:paraId="4BC24810" w14:textId="03AEFE1E">
                      <w:pPr>
                        <w:pStyle w:val="EQRTextboxbody"/>
                        <w:rPr>
                          <w:color w:val="1CA8B7"/>
                        </w:rPr>
                      </w:pPr>
                      <w:hyperlink w:anchor="WS10n2" w:tooltip="Worksheet 10.2. MAC QRS Data Requirements Template" w:history="1">
                        <w:r w:rsidRPr="00F76022">
                          <w:rPr>
                            <w:rStyle w:val="Hyperlink"/>
                          </w:rPr>
                          <w:t>Worksheet 10.2. MAC QRS Data Requirements Template</w:t>
                        </w:r>
                      </w:hyperlink>
                      <w:r w:rsidRPr="00081E4D">
                        <w:rPr>
                          <w:color w:val="1CA8B7"/>
                        </w:rPr>
                        <w:t xml:space="preserve"> </w:t>
                      </w:r>
                    </w:p>
                    <w:p w:rsidR="001A3542" w:rsidRPr="00081E4D" w:rsidP="002D35CF" w14:paraId="775364F3" w14:textId="77777777">
                      <w:pPr>
                        <w:pStyle w:val="EQRTextboxbody"/>
                        <w:numPr>
                          <w:ilvl w:val="0"/>
                          <w:numId w:val="222"/>
                        </w:numPr>
                        <w:rPr>
                          <w:spacing w:val="-2"/>
                        </w:rPr>
                      </w:pPr>
                      <w:r w:rsidRPr="00081E4D">
                        <w:t>Provides a template for identifying the data elements and sources required to calculate each MAC QRS measure</w:t>
                      </w:r>
                    </w:p>
                  </w:txbxContent>
                </v:textbox>
                <w10:wrap type="square"/>
              </v:shape>
            </w:pict>
          </mc:Fallback>
        </mc:AlternateContent>
      </w:r>
      <w:r w:rsidRPr="00990D3B">
        <w:t>While measure performance rates for many MAC QRS mandatory measures can be calculated using data from a single MCP, necessary data may also come from another Medicaid MCP, a Medicare Advantage plan, the Medicare fee-for-service (FFS) program, or the state’s Medicaid FFS program.</w:t>
      </w:r>
      <w:r>
        <w:rPr>
          <w:rStyle w:val="FootnoteReference"/>
        </w:rPr>
        <w:footnoteReference w:id="104"/>
      </w:r>
      <w:r w:rsidRPr="00990D3B">
        <w:t xml:space="preserve"> Depending on how a state structures its managed care program(s), different MCPs may cover the services included in a measure. In this activity, the EQRO compiles a list of necessary data sources for each MAC QRS quality measure. </w:t>
      </w:r>
      <w:hyperlink w:anchor="Box10n3" w:tooltip="Box 10.3" w:history="1">
        <w:r w:rsidRPr="00990D3B">
          <w:rPr>
            <w:rStyle w:val="Hyperlink"/>
          </w:rPr>
          <w:t>Box 10.3</w:t>
        </w:r>
      </w:hyperlink>
      <w:r w:rsidRPr="00990D3B">
        <w:rPr>
          <w:color w:val="1CA8B7"/>
        </w:rPr>
        <w:t xml:space="preserve"> </w:t>
      </w:r>
      <w:r w:rsidRPr="00990D3B">
        <w:t xml:space="preserve">(next page) illustrates how calculating a measure performance rate may require multiple data sources. </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8956"/>
      </w:tblGrid>
      <w:tr w14:paraId="48759316" w14:textId="77777777" w:rsidTr="00C27E04">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216"/>
        </w:trPr>
        <w:tc>
          <w:tcPr>
            <w:tcW w:w="8956" w:type="dxa"/>
            <w:shd w:val="clear" w:color="auto" w:fill="EEF5F8"/>
          </w:tcPr>
          <w:p w:rsidR="001A3542" w:rsidRPr="00990D3B" w:rsidP="00C27E04" w14:paraId="45FE50FB" w14:textId="77777777">
            <w:pPr>
              <w:pStyle w:val="EQRTextboxheading"/>
              <w:keepNext/>
              <w:spacing w:before="0" w:after="0"/>
            </w:pPr>
            <w:bookmarkStart w:id="994" w:name="Box10n3"/>
            <w:bookmarkEnd w:id="994"/>
            <w:r w:rsidRPr="00990D3B">
              <w:t xml:space="preserve">Box 10.3. Measure Requiring Multiple Data Sources Example: Follow-Up After Hospitalization for Mental Illness (FUH) </w:t>
            </w:r>
          </w:p>
        </w:tc>
      </w:tr>
      <w:tr w14:paraId="348D96FC" w14:textId="77777777" w:rsidTr="00C27E04">
        <w:tblPrEx>
          <w:tblW w:w="0" w:type="auto"/>
          <w:tblCellMar>
            <w:top w:w="72" w:type="dxa"/>
            <w:left w:w="173" w:type="dxa"/>
            <w:bottom w:w="72" w:type="dxa"/>
            <w:right w:w="173" w:type="dxa"/>
          </w:tblCellMar>
          <w:tblLook w:val="04A0"/>
        </w:tblPrEx>
        <w:trPr>
          <w:cantSplit/>
          <w:trHeight w:val="558"/>
        </w:trPr>
        <w:tc>
          <w:tcPr>
            <w:tcW w:w="8956" w:type="dxa"/>
            <w:shd w:val="clear" w:color="auto" w:fill="EEF5F8"/>
          </w:tcPr>
          <w:p w:rsidR="001A3542" w:rsidRPr="00990D3B" w:rsidP="00C27E04" w14:paraId="61988E07" w14:textId="77777777">
            <w:pPr>
              <w:pStyle w:val="EQRTextboxbody"/>
            </w:pPr>
            <w:r w:rsidRPr="00990D3B">
              <w:t xml:space="preserve">Data for hospitalization with mental illness diagnosis, as well as follow-up behavioral health services, are required to calculate the FUH quality measure. A state could use different entities to provide inpatient hospitalization and follow-up outpatient behavioral health services. For example, the inpatient stay could be covered by Medicaid FFS, and the follow-up behavioral health service could be covered by a Medicaid MCP, such as a behavioral health PAHP. If the state determines that the MCP that covers follow-up services should be held accountable for the FUH measure, data will need to be collected from both the MCP that covers the behavioral health services and Medicaid FFS program that covers inpatient stays to calculate the performance measure and issue a quality rating to the MCP. </w:t>
            </w:r>
          </w:p>
        </w:tc>
      </w:tr>
    </w:tbl>
    <w:p w:rsidR="001A3542" w:rsidRPr="00990D3B" w:rsidP="00666AC0" w14:paraId="30826701" w14:textId="77777777">
      <w:pPr>
        <w:pStyle w:val="H2"/>
      </w:pPr>
      <w:bookmarkStart w:id="995" w:name="P10S1A3"/>
      <w:bookmarkStart w:id="996" w:name="_Toc201751439"/>
      <w:bookmarkEnd w:id="995"/>
      <w:r w:rsidRPr="00990D3B">
        <w:t>Activity I.3: Confirm All Measures Calculated for Each MCP</w:t>
      </w:r>
      <w:bookmarkEnd w:id="996"/>
      <w:r w:rsidRPr="00990D3B">
        <w:t xml:space="preserve"> </w:t>
      </w:r>
    </w:p>
    <w:p w:rsidR="001A3542" w:rsidRPr="00990D3B" w:rsidP="00C27E04" w14:paraId="15B67180" w14:textId="1D404413">
      <w:pPr>
        <w:pStyle w:val="ParagraphContinued"/>
      </w:pPr>
      <w:r w:rsidRPr="00990D3B">
        <w:rPr>
          <w:rFonts w:ascii="Times New Roman" w:hAnsi="Times New Roman"/>
          <w:noProof/>
        </w:rPr>
        <mc:AlternateContent>
          <mc:Choice Requires="wps">
            <w:drawing>
              <wp:anchor distT="0" distB="0" distL="114300" distR="114300" simplePos="0" relativeHeight="251992064" behindDoc="1" locked="0" layoutInCell="1" allowOverlap="1">
                <wp:simplePos x="0" y="0"/>
                <wp:positionH relativeFrom="column">
                  <wp:posOffset>4186555</wp:posOffset>
                </wp:positionH>
                <wp:positionV relativeFrom="paragraph">
                  <wp:posOffset>463550</wp:posOffset>
                </wp:positionV>
                <wp:extent cx="2194560" cy="1479550"/>
                <wp:effectExtent l="19050" t="19050" r="15240" b="25400"/>
                <wp:wrapSquare wrapText="bothSides"/>
                <wp:docPr id="65308062" name="Text Box 65308062" descr="P532TB54#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1479550"/>
                        </a:xfrm>
                        <a:prstGeom prst="rect">
                          <a:avLst/>
                        </a:prstGeom>
                        <a:solidFill>
                          <a:srgbClr val="EEF5F8"/>
                        </a:solidFill>
                        <a:ln w="28575" cap="rnd">
                          <a:solidFill>
                            <a:srgbClr val="A5DAD9"/>
                          </a:solidFill>
                          <a:prstDash val="solid"/>
                          <a:miter lim="800000"/>
                          <a:headEnd/>
                          <a:tailEnd/>
                        </a:ln>
                      </wps:spPr>
                      <wps:txbx>
                        <w:txbxContent>
                          <w:p w:rsidR="001A3542" w:rsidRPr="008F10D1" w:rsidP="00666AC0" w14:textId="7B8FB78C">
                            <w:pPr>
                              <w:pStyle w:val="EQRTextboxheading"/>
                            </w:pPr>
                            <w:r w:rsidRPr="008F10D1">
                              <w:t>Resource for Activities I.3 and</w:t>
                            </w:r>
                            <w:r w:rsidR="00087463">
                              <w:t> </w:t>
                            </w:r>
                            <w:r w:rsidRPr="008F10D1">
                              <w:t>I.4</w:t>
                            </w:r>
                          </w:p>
                          <w:p w:rsidR="001A3542" w:rsidRPr="008F10D1" w:rsidP="00666AC0" w14:textId="4CC1DC4F">
                            <w:pPr>
                              <w:pStyle w:val="EQRTextboxbody"/>
                              <w:rPr>
                                <w:color w:val="1CA8B7"/>
                              </w:rPr>
                            </w:pPr>
                            <w:hyperlink w:anchor="WS10n3" w:tooltip="Worksheet 10.3. MAC QRS Measure Reporting Requirements Template" w:history="1">
                              <w:r w:rsidRPr="00665977">
                                <w:rPr>
                                  <w:rStyle w:val="Hyperlink"/>
                                </w:rPr>
                                <w:t>Worksheet 10.3. MAC QRS Measure Reporting Requirements Template</w:t>
                              </w:r>
                            </w:hyperlink>
                            <w:r w:rsidRPr="008F10D1">
                              <w:rPr>
                                <w:color w:val="1CA8B7"/>
                              </w:rPr>
                              <w:t xml:space="preserve"> </w:t>
                            </w:r>
                          </w:p>
                          <w:p w:rsidR="001A3542" w:rsidRPr="008F10D1" w:rsidP="002D35CF" w14:textId="77777777">
                            <w:pPr>
                              <w:pStyle w:val="EQRTextboxbody"/>
                              <w:numPr>
                                <w:ilvl w:val="0"/>
                                <w:numId w:val="222"/>
                              </w:numPr>
                              <w:rPr>
                                <w:spacing w:val="-2"/>
                              </w:rPr>
                            </w:pPr>
                            <w:r w:rsidRPr="008F10D1">
                              <w:t>Provides a template for compiling a list of MAC QRS measures attributed to an MCP</w:t>
                            </w:r>
                          </w:p>
                        </w:txbxContent>
                      </wps:txbx>
                      <wps:bodyPr rot="0" vert="horz" wrap="square" lIns="109728" tIns="45720" rIns="109728" bIns="45720" anchor="t" anchorCtr="0" upright="1"/>
                    </wps:wsp>
                  </a:graphicData>
                </a:graphic>
                <wp14:sizeRelV relativeFrom="margin">
                  <wp14:pctHeight>0</wp14:pctHeight>
                </wp14:sizeRelV>
              </wp:anchor>
            </w:drawing>
          </mc:Choice>
          <mc:Fallback>
            <w:pict>
              <v:shape id="Text Box 65308062" o:spid="_x0000_s1223" type="#_x0000_t202" alt="P532TB54#y1" style="width:172.8pt;height:116.5pt;margin-top:36.5pt;margin-left:329.65pt;flip:y;mso-height-percent:0;mso-height-relative:margin;mso-wrap-distance-bottom:0;mso-wrap-distance-left:9pt;mso-wrap-distance-right:9pt;mso-wrap-distance-top:0;mso-wrap-style:square;position:absolute;rotation:180;visibility:visible;v-text-anchor:top;z-index:-251323392" fillcolor="#eef5f8" strokecolor="#a5dad9" strokeweight="2.25pt">
                <v:stroke endcap="round"/>
                <v:textbox inset="8.64pt,,8.64pt">
                  <w:txbxContent>
                    <w:p w:rsidR="001A3542" w:rsidRPr="008F10D1" w:rsidP="00666AC0" w14:paraId="30895615" w14:textId="7B8FB78C">
                      <w:pPr>
                        <w:pStyle w:val="EQRTextboxheading"/>
                      </w:pPr>
                      <w:r w:rsidRPr="008F10D1">
                        <w:t>Resource for Activities I.3 and</w:t>
                      </w:r>
                      <w:r w:rsidR="00087463">
                        <w:t> </w:t>
                      </w:r>
                      <w:r w:rsidRPr="008F10D1">
                        <w:t>I.4</w:t>
                      </w:r>
                    </w:p>
                    <w:p w:rsidR="001A3542" w:rsidRPr="008F10D1" w:rsidP="00666AC0" w14:paraId="1FB8324E" w14:textId="4CC1DC4F">
                      <w:pPr>
                        <w:pStyle w:val="EQRTextboxbody"/>
                        <w:rPr>
                          <w:color w:val="1CA8B7"/>
                        </w:rPr>
                      </w:pPr>
                      <w:hyperlink w:anchor="WS10n3" w:tooltip="Worksheet 10.3. MAC QRS Measure Reporting Requirements Template" w:history="1">
                        <w:r w:rsidRPr="00665977">
                          <w:rPr>
                            <w:rStyle w:val="Hyperlink"/>
                          </w:rPr>
                          <w:t>Worksheet 10.3. MAC QRS Measure Reporting Requirements Template</w:t>
                        </w:r>
                      </w:hyperlink>
                      <w:r w:rsidRPr="008F10D1">
                        <w:rPr>
                          <w:color w:val="1CA8B7"/>
                        </w:rPr>
                        <w:t xml:space="preserve"> </w:t>
                      </w:r>
                    </w:p>
                    <w:p w:rsidR="001A3542" w:rsidRPr="008F10D1" w:rsidP="002D35CF" w14:paraId="786EA988" w14:textId="77777777">
                      <w:pPr>
                        <w:pStyle w:val="EQRTextboxbody"/>
                        <w:numPr>
                          <w:ilvl w:val="0"/>
                          <w:numId w:val="222"/>
                        </w:numPr>
                        <w:rPr>
                          <w:spacing w:val="-2"/>
                        </w:rPr>
                      </w:pPr>
                      <w:r w:rsidRPr="008F10D1">
                        <w:t>Provides a template for compiling a list of MAC QRS measures attributed to an MCP</w:t>
                      </w:r>
                    </w:p>
                  </w:txbxContent>
                </v:textbox>
                <w10:wrap type="square"/>
              </v:shape>
            </w:pict>
          </mc:Fallback>
        </mc:AlternateContent>
      </w:r>
      <w:r w:rsidRPr="00990D3B">
        <w:rPr>
          <w:rFonts w:ascii="Times New Roman" w:hAnsi="Times New Roman"/>
          <w:noProof/>
        </w:rPr>
        <mc:AlternateContent>
          <mc:Choice Requires="wps">
            <w:drawing>
              <wp:anchor distT="0" distB="0" distL="114300" distR="114300" simplePos="0" relativeHeight="251990016" behindDoc="0" locked="0" layoutInCell="1" allowOverlap="1">
                <wp:simplePos x="0" y="0"/>
                <wp:positionH relativeFrom="column">
                  <wp:posOffset>4188327</wp:posOffset>
                </wp:positionH>
                <wp:positionV relativeFrom="paragraph">
                  <wp:posOffset>85134</wp:posOffset>
                </wp:positionV>
                <wp:extent cx="2193925" cy="297180"/>
                <wp:effectExtent l="19050" t="19050" r="15875" b="26670"/>
                <wp:wrapTight wrapText="bothSides">
                  <wp:wrapPolygon>
                    <wp:start x="21788" y="22985"/>
                    <wp:lineTo x="21788" y="-554"/>
                    <wp:lineTo x="31" y="-554"/>
                    <wp:lineTo x="31" y="22985"/>
                    <wp:lineTo x="21788" y="22985"/>
                  </wp:wrapPolygon>
                </wp:wrapTight>
                <wp:docPr id="1947981695" name="Text Box 1947981695" descr="P532TB55#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180"/>
                        </a:xfrm>
                        <a:prstGeom prst="rect">
                          <a:avLst/>
                        </a:prstGeom>
                        <a:solidFill>
                          <a:srgbClr val="EEF5F8"/>
                        </a:solidFill>
                        <a:ln w="28575" cap="rnd">
                          <a:solidFill>
                            <a:srgbClr val="A5DAD9"/>
                          </a:solidFill>
                          <a:prstDash val="solid"/>
                          <a:miter lim="800000"/>
                          <a:headEnd/>
                          <a:tailEnd/>
                        </a:ln>
                      </wps:spPr>
                      <wps:txbx>
                        <w:txbxContent>
                          <w:p w:rsidR="001A3542" w:rsidRPr="008D46EF" w:rsidP="00666AC0" w14:textId="41727BFE">
                            <w:pPr>
                              <w:pStyle w:val="EQRWORKSHEETText"/>
                              <w:rPr>
                                <w:spacing w:val="-2"/>
                              </w:rPr>
                            </w:pPr>
                            <w:hyperlink w:anchor="WS10n3" w:tooltip="WORKSHEET 10.3" w:history="1">
                              <w:r w:rsidRPr="00665977">
                                <w:rPr>
                                  <w:rStyle w:val="Hyperlink"/>
                                </w:rPr>
                                <w:t>WORKSHEET 10.3</w:t>
                              </w:r>
                            </w:hyperlink>
                          </w:p>
                        </w:txbxContent>
                      </wps:txbx>
                      <wps:bodyPr rot="0" vert="horz" wrap="square" lIns="109728" tIns="45720" rIns="109728" bIns="45720" anchor="t" anchorCtr="0" upright="1">
                        <a:spAutoFit/>
                      </wps:bodyPr>
                    </wps:wsp>
                  </a:graphicData>
                </a:graphic>
              </wp:anchor>
            </w:drawing>
          </mc:Choice>
          <mc:Fallback>
            <w:pict>
              <v:shape id="Text Box 1947981695" o:spid="_x0000_s1224" type="#_x0000_t202" alt="P532TB55#y1" style="width:172.75pt;height:23.4pt;margin-top:6.7pt;margin-left:329.8pt;flip:y;mso-wrap-distance-bottom:0;mso-wrap-distance-left:9pt;mso-wrap-distance-right:9pt;mso-wrap-distance-top:0;mso-wrap-style:square;position:absolute;rotation:180;visibility:visible;v-text-anchor:top;z-index:251991040" fillcolor="#eef5f8" strokecolor="#a5dad9" strokeweight="2.25pt">
                <v:stroke endcap="round"/>
                <v:textbox style="mso-fit-shape-to-text:t" inset="8.64pt,,8.64pt">
                  <w:txbxContent>
                    <w:p w:rsidR="001A3542" w:rsidRPr="008D46EF" w:rsidP="00666AC0" w14:paraId="434980BB" w14:textId="41727BFE">
                      <w:pPr>
                        <w:pStyle w:val="EQRWORKSHEETText"/>
                        <w:rPr>
                          <w:spacing w:val="-2"/>
                        </w:rPr>
                      </w:pPr>
                      <w:hyperlink w:anchor="WS10n3" w:tooltip="WORKSHEET 10.3" w:history="1">
                        <w:r w:rsidRPr="00665977">
                          <w:rPr>
                            <w:rStyle w:val="Hyperlink"/>
                          </w:rPr>
                          <w:t>WORKSHEET 10.3</w:t>
                        </w:r>
                      </w:hyperlink>
                    </w:p>
                  </w:txbxContent>
                </v:textbox>
                <w10:wrap type="tight"/>
              </v:shape>
            </w:pict>
          </mc:Fallback>
        </mc:AlternateContent>
      </w:r>
      <w:r w:rsidRPr="00990D3B">
        <w:t xml:space="preserve">In this activity, the EQRO obtains a list of measures that have already been calculated for each MCP and compares it to the list of assigned measures identified in Activity I.1. </w:t>
      </w:r>
      <w:r w:rsidRPr="00990D3B">
        <w:t>If</w:t>
      </w:r>
      <w:r w:rsidRPr="00990D3B">
        <w:t xml:space="preserve"> all necessary data for a measure can be obtained from a single MCP, the EQRO determines whether the measure has been calculated at the program-plan level.</w:t>
      </w:r>
      <w:r>
        <w:rPr>
          <w:rStyle w:val="FootnoteReference"/>
        </w:rPr>
        <w:footnoteReference w:id="105"/>
      </w:r>
      <w:r w:rsidRPr="00990D3B">
        <w:t xml:space="preserve"> If multiple data sources are necessary, the EQRO confirms whether the MCP incorporated them in its</w:t>
      </w:r>
      <w:r w:rsidRPr="00990D3B" w:rsidR="00C27E04">
        <w:t> </w:t>
      </w:r>
      <w:r w:rsidRPr="00990D3B">
        <w:t xml:space="preserve">calculation. </w:t>
      </w:r>
    </w:p>
    <w:p w:rsidR="001A3542" w:rsidRPr="00990D3B" w:rsidP="00666AC0" w14:paraId="132CF0B4" w14:textId="77777777">
      <w:pPr>
        <w:pStyle w:val="Paragraph0"/>
      </w:pPr>
      <w:r w:rsidRPr="00990D3B">
        <w:t xml:space="preserve">If the measure(s) is not calculated at the program-plan level required for MAC QRS, or if the EQRO finds that the measure does not include all necessary data sources, the measure must be re-calculated in accordance with the activities outlined in Section II and III of this protocol. </w:t>
      </w:r>
    </w:p>
    <w:p w:rsidR="001A3542" w:rsidRPr="00990D3B" w:rsidP="00666AC0" w14:paraId="3E1ADB85" w14:textId="77777777">
      <w:pPr>
        <w:pStyle w:val="H2"/>
      </w:pPr>
      <w:bookmarkStart w:id="997" w:name="P10S1A4"/>
      <w:bookmarkStart w:id="998" w:name="_Toc201751440"/>
      <w:bookmarkEnd w:id="997"/>
      <w:r w:rsidRPr="00990D3B">
        <w:t>Activity I.4: Submit Findings and Next Steps to the State</w:t>
      </w:r>
      <w:bookmarkEnd w:id="998"/>
    </w:p>
    <w:p w:rsidR="001A3542" w:rsidRPr="00990D3B" w:rsidP="00C27E04" w14:paraId="276444A6" w14:textId="77777777">
      <w:pPr>
        <w:pStyle w:val="ParagraphContinued"/>
      </w:pPr>
      <w:r w:rsidRPr="00990D3B">
        <w:t xml:space="preserve">In this activity, the EQRO presents its findings to the state from Activities I.1 to I.3. For each MCP, the report should detail: </w:t>
      </w:r>
    </w:p>
    <w:p w:rsidR="001A3542" w:rsidRPr="00990D3B" w:rsidP="00FB7CAF" w14:paraId="4CAA6B25" w14:textId="063F2576">
      <w:pPr>
        <w:pStyle w:val="EQRBulletBLUE"/>
      </w:pPr>
      <w:r w:rsidRPr="00990D3B">
        <w:t>The assigned MAC QRS quality measures, as identified by the state, for each managed care</w:t>
      </w:r>
      <w:r w:rsidRPr="00990D3B" w:rsidR="00382AC9">
        <w:t> </w:t>
      </w:r>
      <w:r w:rsidRPr="00990D3B">
        <w:t xml:space="preserve">program. </w:t>
      </w:r>
    </w:p>
    <w:p w:rsidR="001A3542" w:rsidRPr="00990D3B" w:rsidP="00FB7CAF" w14:paraId="40DD5849" w14:textId="77777777">
      <w:pPr>
        <w:pStyle w:val="EQRBulletBLUE"/>
      </w:pPr>
      <w:r w:rsidRPr="00990D3B">
        <w:t xml:space="preserve">The data sources </w:t>
      </w:r>
      <w:r w:rsidRPr="00990D3B">
        <w:t>required to</w:t>
      </w:r>
      <w:r w:rsidRPr="00990D3B">
        <w:t xml:space="preserve"> calculate each MCP’s assigned MAC QRS quality measures.   </w:t>
      </w:r>
    </w:p>
    <w:p w:rsidR="001A3542" w:rsidRPr="00990D3B" w:rsidP="00FB7CAF" w14:paraId="0690CD4D" w14:textId="77777777">
      <w:pPr>
        <w:pStyle w:val="EQRBulletBLUE"/>
      </w:pPr>
      <w:r w:rsidRPr="00990D3B">
        <w:t>The</w:t>
      </w:r>
      <w:r w:rsidRPr="00990D3B">
        <w:t xml:space="preserve"> </w:t>
      </w:r>
      <w:r w:rsidRPr="00990D3B">
        <w:t>MAC QRS quality measures that still need to be calculated and a list of any measures that were already calculated, if applicable.</w:t>
      </w:r>
    </w:p>
    <w:p w:rsidR="001A3542" w:rsidRPr="00990D3B" w:rsidP="00666AC0" w14:paraId="7C20C235" w14:textId="77777777">
      <w:pPr>
        <w:pStyle w:val="Paragraph0"/>
      </w:pPr>
      <w:r w:rsidRPr="00990D3B">
        <w:t xml:space="preserve">The </w:t>
      </w:r>
      <w:r w:rsidRPr="00990D3B">
        <w:t xml:space="preserve">EQRO should also identify any anticipated challenges in acquiring necessary data and begin working with the state to develop plans to address them. </w:t>
      </w:r>
    </w:p>
    <w:p w:rsidR="001A3542" w:rsidRPr="00990D3B" w:rsidP="00666AC0" w14:paraId="0FC77726" w14:textId="77777777">
      <w:pPr>
        <w:pStyle w:val="H1"/>
        <w:keepNext w:val="0"/>
        <w:pageBreakBefore w:val="0"/>
        <w:rPr>
          <w:color w:val="00828C"/>
          <w:sz w:val="28"/>
          <w:szCs w:val="28"/>
        </w:rPr>
      </w:pPr>
      <w:bookmarkStart w:id="999" w:name="P10S2"/>
      <w:bookmarkStart w:id="1000" w:name="_Toc201751441"/>
      <w:bookmarkEnd w:id="999"/>
      <w:r w:rsidRPr="00990D3B">
        <w:rPr>
          <w:color w:val="00828C"/>
          <w:sz w:val="28"/>
          <w:szCs w:val="28"/>
        </w:rPr>
        <w:t>Section II. Validating MAC QRS Data</w:t>
      </w:r>
      <w:bookmarkEnd w:id="1000"/>
    </w:p>
    <w:p w:rsidR="001A3542" w:rsidRPr="00990D3B" w:rsidP="00666AC0" w14:paraId="7232A513" w14:textId="77777777">
      <w:pPr>
        <w:pStyle w:val="Paragraph0"/>
      </w:pPr>
      <w:r w:rsidRPr="00990D3B">
        <w:t xml:space="preserve">Protocol 10 also provides guidance for EQROs responsible for validating MAC QRS data. The activities described in this section focus on reviewing the MCP’s information systems, validating data from other relevant sources, and assessing the integration of those sources with the MCP’s systems, as needed. </w:t>
      </w:r>
    </w:p>
    <w:p w:rsidR="001A3542" w:rsidRPr="00990D3B" w:rsidP="00666AC0" w14:paraId="1BF3B38E" w14:textId="77777777">
      <w:pPr>
        <w:pStyle w:val="H2"/>
        <w:rPr>
          <w:color w:val="00828C"/>
        </w:rPr>
      </w:pPr>
      <w:bookmarkStart w:id="1001" w:name="P10S2A1"/>
      <w:bookmarkStart w:id="1002" w:name="_Toc201751442"/>
      <w:bookmarkEnd w:id="1001"/>
      <w:r w:rsidRPr="00990D3B">
        <w:rPr>
          <w:rFonts w:ascii="Times New Roman" w:hAnsi="Times New Roman"/>
          <w:noProof/>
          <w:color w:val="00828C"/>
        </w:rPr>
        <mc:AlternateContent>
          <mc:Choice Requires="wps">
            <w:drawing>
              <wp:anchor distT="0" distB="0" distL="114300" distR="114300" simplePos="0" relativeHeight="251979776" behindDoc="0" locked="0" layoutInCell="1" allowOverlap="1">
                <wp:simplePos x="0" y="0"/>
                <wp:positionH relativeFrom="column">
                  <wp:posOffset>4210050</wp:posOffset>
                </wp:positionH>
                <wp:positionV relativeFrom="paragraph">
                  <wp:posOffset>514985</wp:posOffset>
                </wp:positionV>
                <wp:extent cx="2193925" cy="297180"/>
                <wp:effectExtent l="19050" t="19050" r="15875" b="26670"/>
                <wp:wrapTight wrapText="bothSides">
                  <wp:wrapPolygon>
                    <wp:start x="21788" y="22985"/>
                    <wp:lineTo x="21788" y="-554"/>
                    <wp:lineTo x="31" y="-554"/>
                    <wp:lineTo x="31" y="22985"/>
                    <wp:lineTo x="21788" y="22985"/>
                  </wp:wrapPolygon>
                </wp:wrapTight>
                <wp:docPr id="699550634" name="Text Box 699550634" descr="P532TB55#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180"/>
                        </a:xfrm>
                        <a:prstGeom prst="rect">
                          <a:avLst/>
                        </a:prstGeom>
                        <a:solidFill>
                          <a:srgbClr val="EEF5F8"/>
                        </a:solidFill>
                        <a:ln w="28575" cap="rnd">
                          <a:solidFill>
                            <a:srgbClr val="A5DAD9"/>
                          </a:solidFill>
                          <a:prstDash val="solid"/>
                          <a:miter lim="800000"/>
                          <a:headEnd/>
                          <a:tailEnd/>
                        </a:ln>
                      </wps:spPr>
                      <wps:txbx>
                        <w:txbxContent>
                          <w:p w:rsidR="001A3542" w:rsidRPr="00B76E08" w:rsidP="00666AC0" w14:textId="34D0F130">
                            <w:pPr>
                              <w:pStyle w:val="EQRWORKSHEETText"/>
                              <w:rPr>
                                <w:spacing w:val="-2"/>
                              </w:rPr>
                            </w:pPr>
                            <w:hyperlink w:anchor="WSB1" w:tooltip="WORKSHEET B.1" w:history="1">
                              <w:r w:rsidRPr="00947C70">
                                <w:rPr>
                                  <w:rStyle w:val="Hyperlink"/>
                                  <w:color w:val="005761"/>
                                </w:rPr>
                                <w:t>WORKSHEET B.</w:t>
                              </w:r>
                            </w:hyperlink>
                            <w:r w:rsidRPr="00947C70">
                              <w:rPr>
                                <w:rStyle w:val="Hyperlink"/>
                                <w:color w:val="005761"/>
                              </w:rPr>
                              <w:t>1</w:t>
                            </w:r>
                          </w:p>
                        </w:txbxContent>
                      </wps:txbx>
                      <wps:bodyPr rot="0" vert="horz" wrap="square" lIns="109728" tIns="45720" rIns="109728" bIns="45720" anchor="t" anchorCtr="0" upright="1">
                        <a:spAutoFit/>
                      </wps:bodyPr>
                    </wps:wsp>
                  </a:graphicData>
                </a:graphic>
              </wp:anchor>
            </w:drawing>
          </mc:Choice>
          <mc:Fallback>
            <w:pict>
              <v:shape id="Text Box 699550634" o:spid="_x0000_s1225" type="#_x0000_t202" alt="P532TB55#y1" style="width:172.75pt;height:23.4pt;margin-top:40.55pt;margin-left:331.5pt;flip:y;mso-wrap-distance-bottom:0;mso-wrap-distance-left:9pt;mso-wrap-distance-right:9pt;mso-wrap-distance-top:0;mso-wrap-style:square;position:absolute;rotation:180;visibility:visible;v-text-anchor:top;z-index:251980800" fillcolor="#eef5f8" strokecolor="#a5dad9" strokeweight="2.25pt">
                <v:stroke endcap="round"/>
                <v:textbox style="mso-fit-shape-to-text:t" inset="8.64pt,,8.64pt">
                  <w:txbxContent>
                    <w:p w:rsidR="001A3542" w:rsidRPr="00B76E08" w:rsidP="00666AC0" w14:paraId="241C0C0A" w14:textId="34D0F130">
                      <w:pPr>
                        <w:pStyle w:val="EQRWORKSHEETText"/>
                        <w:rPr>
                          <w:spacing w:val="-2"/>
                        </w:rPr>
                      </w:pPr>
                      <w:hyperlink w:anchor="WSB1" w:tooltip="WORKSHEET B.1" w:history="1">
                        <w:r w:rsidRPr="00947C70">
                          <w:rPr>
                            <w:rStyle w:val="Hyperlink"/>
                            <w:color w:val="005761"/>
                          </w:rPr>
                          <w:t>WORKSHEET B.</w:t>
                        </w:r>
                      </w:hyperlink>
                      <w:r w:rsidRPr="00947C70">
                        <w:rPr>
                          <w:rStyle w:val="Hyperlink"/>
                          <w:color w:val="005761"/>
                        </w:rPr>
                        <w:t>1</w:t>
                      </w:r>
                    </w:p>
                  </w:txbxContent>
                </v:textbox>
                <w10:wrap type="tight"/>
              </v:shape>
            </w:pict>
          </mc:Fallback>
        </mc:AlternateContent>
      </w:r>
      <w:r w:rsidRPr="00990D3B">
        <w:rPr>
          <w:color w:val="00828C"/>
        </w:rPr>
        <w:t xml:space="preserve">Activity II.1: </w:t>
      </w:r>
      <w:r w:rsidRPr="00990D3B">
        <w:rPr>
          <w:color w:val="00828C"/>
        </w:rPr>
        <w:t>Review</w:t>
      </w:r>
      <w:r w:rsidRPr="00990D3B">
        <w:rPr>
          <w:color w:val="00828C"/>
        </w:rPr>
        <w:t xml:space="preserve"> MCP Data and Information Systems Capabilities</w:t>
      </w:r>
      <w:bookmarkEnd w:id="1002"/>
      <w:r w:rsidRPr="00990D3B">
        <w:rPr>
          <w:color w:val="00828C"/>
        </w:rPr>
        <w:t xml:space="preserve"> </w:t>
      </w:r>
    </w:p>
    <w:p w:rsidR="001A3542" w:rsidRPr="00990D3B" w:rsidP="00C27E04" w14:paraId="6F3C068E" w14:textId="77777777">
      <w:pPr>
        <w:pStyle w:val="ParagraphContinued"/>
      </w:pPr>
      <w:r w:rsidRPr="00990D3B">
        <w:rPr>
          <w:rFonts w:ascii="Times New Roman" w:hAnsi="Times New Roman"/>
          <w:noProof/>
        </w:rPr>
        <mc:AlternateContent>
          <mc:Choice Requires="wps">
            <w:drawing>
              <wp:anchor distT="0" distB="0" distL="114300" distR="114300" simplePos="0" relativeHeight="251981824" behindDoc="0" locked="0" layoutInCell="1" allowOverlap="1">
                <wp:simplePos x="0" y="0"/>
                <wp:positionH relativeFrom="column">
                  <wp:posOffset>4210050</wp:posOffset>
                </wp:positionH>
                <wp:positionV relativeFrom="paragraph">
                  <wp:posOffset>327660</wp:posOffset>
                </wp:positionV>
                <wp:extent cx="2193925" cy="297180"/>
                <wp:effectExtent l="19050" t="19050" r="15875" b="26670"/>
                <wp:wrapTight wrapText="bothSides">
                  <wp:wrapPolygon>
                    <wp:start x="21788" y="22985"/>
                    <wp:lineTo x="21788" y="-554"/>
                    <wp:lineTo x="31" y="-554"/>
                    <wp:lineTo x="31" y="22985"/>
                    <wp:lineTo x="21788" y="22985"/>
                  </wp:wrapPolygon>
                </wp:wrapTight>
                <wp:docPr id="62877378" name="Text Box 62877378" descr="P532TB55#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180"/>
                        </a:xfrm>
                        <a:prstGeom prst="rect">
                          <a:avLst/>
                        </a:prstGeom>
                        <a:solidFill>
                          <a:srgbClr val="EEF5F8"/>
                        </a:solidFill>
                        <a:ln w="28575" cap="rnd">
                          <a:solidFill>
                            <a:srgbClr val="A5DAD9"/>
                          </a:solidFill>
                          <a:prstDash val="solid"/>
                          <a:miter lim="800000"/>
                          <a:headEnd/>
                          <a:tailEnd/>
                        </a:ln>
                      </wps:spPr>
                      <wps:txbx>
                        <w:txbxContent>
                          <w:p w:rsidR="001A3542" w:rsidRPr="00B76E08" w:rsidP="00666AC0" w14:textId="0D1BD884">
                            <w:pPr>
                              <w:pStyle w:val="EQRWORKSHEETText"/>
                              <w:rPr>
                                <w:spacing w:val="-2"/>
                              </w:rPr>
                            </w:pPr>
                            <w:hyperlink w:anchor="WSB2" w:tooltip="WORKSHEET B.2" w:history="1">
                              <w:r w:rsidRPr="000E79DA">
                                <w:rPr>
                                  <w:rStyle w:val="Hyperlink"/>
                                </w:rPr>
                                <w:t>WORKSHEET B.2</w:t>
                              </w:r>
                            </w:hyperlink>
                          </w:p>
                        </w:txbxContent>
                      </wps:txbx>
                      <wps:bodyPr rot="0" vert="horz" wrap="square" lIns="109728" tIns="45720" rIns="109728" bIns="45720" anchor="t" anchorCtr="0" upright="1">
                        <a:spAutoFit/>
                      </wps:bodyPr>
                    </wps:wsp>
                  </a:graphicData>
                </a:graphic>
              </wp:anchor>
            </w:drawing>
          </mc:Choice>
          <mc:Fallback>
            <w:pict>
              <v:shape id="Text Box 62877378" o:spid="_x0000_s1226" type="#_x0000_t202" alt="P532TB55#y1" style="width:172.75pt;height:23.4pt;margin-top:25.8pt;margin-left:331.5pt;flip:y;mso-wrap-distance-bottom:0;mso-wrap-distance-left:9pt;mso-wrap-distance-right:9pt;mso-wrap-distance-top:0;mso-wrap-style:square;position:absolute;rotation:180;visibility:visible;v-text-anchor:top;z-index:251982848" fillcolor="#eef5f8" strokecolor="#a5dad9" strokeweight="2.25pt">
                <v:stroke endcap="round"/>
                <v:textbox style="mso-fit-shape-to-text:t" inset="8.64pt,,8.64pt">
                  <w:txbxContent>
                    <w:p w:rsidR="001A3542" w:rsidRPr="00B76E08" w:rsidP="00666AC0" w14:paraId="12E87A95" w14:textId="0D1BD884">
                      <w:pPr>
                        <w:pStyle w:val="EQRWORKSHEETText"/>
                        <w:rPr>
                          <w:spacing w:val="-2"/>
                        </w:rPr>
                      </w:pPr>
                      <w:hyperlink w:anchor="WSB2" w:tooltip="WORKSHEET B.2" w:history="1">
                        <w:r w:rsidRPr="000E79DA">
                          <w:rPr>
                            <w:rStyle w:val="Hyperlink"/>
                          </w:rPr>
                          <w:t>WORKSHEET B.2</w:t>
                        </w:r>
                      </w:hyperlink>
                    </w:p>
                  </w:txbxContent>
                </v:textbox>
                <w10:wrap type="tight"/>
              </v:shape>
            </w:pict>
          </mc:Fallback>
        </mc:AlternateContent>
      </w:r>
      <w:r w:rsidRPr="00990D3B">
        <w:rPr>
          <w:noProof/>
        </w:rPr>
        <mc:AlternateContent>
          <mc:Choice Requires="wps">
            <w:drawing>
              <wp:anchor distT="0" distB="0" distL="114300" distR="114300" simplePos="0" relativeHeight="251983872" behindDoc="0" locked="0" layoutInCell="1" allowOverlap="1">
                <wp:simplePos x="0" y="0"/>
                <wp:positionH relativeFrom="column">
                  <wp:posOffset>4206875</wp:posOffset>
                </wp:positionH>
                <wp:positionV relativeFrom="paragraph">
                  <wp:posOffset>681355</wp:posOffset>
                </wp:positionV>
                <wp:extent cx="2195195" cy="3968115"/>
                <wp:effectExtent l="19050" t="19050" r="14605" b="13970"/>
                <wp:wrapTight wrapText="bothSides">
                  <wp:wrapPolygon>
                    <wp:start x="21787" y="21712"/>
                    <wp:lineTo x="21787" y="30"/>
                    <wp:lineTo x="44" y="30"/>
                    <wp:lineTo x="44" y="21712"/>
                    <wp:lineTo x="21787" y="21712"/>
                  </wp:wrapPolygon>
                </wp:wrapTight>
                <wp:docPr id="391872202" name="Text Box 18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3968115"/>
                        </a:xfrm>
                        <a:prstGeom prst="rect">
                          <a:avLst/>
                        </a:prstGeom>
                        <a:solidFill>
                          <a:srgbClr val="EEF5F8"/>
                        </a:solidFill>
                        <a:ln w="28575" cap="rnd">
                          <a:solidFill>
                            <a:srgbClr val="A5DAD9"/>
                          </a:solidFill>
                          <a:prstDash val="solid"/>
                          <a:miter lim="800000"/>
                          <a:headEnd/>
                          <a:tailEnd/>
                        </a:ln>
                      </wps:spPr>
                      <wps:txbx>
                        <w:txbxContent>
                          <w:p w:rsidR="001A3542" w:rsidRPr="00620616" w:rsidP="00666AC0" w14:textId="77777777">
                            <w:pPr>
                              <w:pStyle w:val="EQRTextboxheading"/>
                            </w:pPr>
                            <w:r w:rsidRPr="00620616">
                              <w:t>Resources to Conduct an ISCA</w:t>
                            </w:r>
                          </w:p>
                          <w:p w:rsidR="001A3542" w:rsidRPr="00620616" w:rsidP="00666AC0" w14:textId="77777777">
                            <w:pPr>
                              <w:pStyle w:val="EQRTextboxbody"/>
                            </w:pPr>
                            <w:r w:rsidRPr="00620616">
                              <w:t>The ISCA validate</w:t>
                            </w:r>
                            <w:r>
                              <w:t>s</w:t>
                            </w:r>
                            <w:r w:rsidRPr="00620616">
                              <w:t xml:space="preserve"> MCP information systems, processes, and data. The ISCA provides a foundation for the validation of performance measures.</w:t>
                            </w:r>
                          </w:p>
                          <w:p w:rsidR="001A3542" w:rsidRPr="00C27E04" w:rsidP="00666AC0" w14:textId="73D000C3">
                            <w:pPr>
                              <w:pStyle w:val="EQRTextboxbody"/>
                              <w:rPr>
                                <w:rStyle w:val="Hyperlink"/>
                              </w:rPr>
                            </w:pPr>
                            <w:r>
                              <w:fldChar w:fldCharType="begin"/>
                            </w:r>
                            <w:r w:rsidR="000E79DA">
                              <w:instrText>HYPERLINK  \l "AppB" \o "Appendix B"</w:instrText>
                            </w:r>
                            <w:r>
                              <w:fldChar w:fldCharType="separate"/>
                            </w:r>
                            <w:r w:rsidRPr="00C27E04">
                              <w:rPr>
                                <w:rStyle w:val="Hyperlink"/>
                              </w:rPr>
                              <w:t>Appendix B. Information Systems Capabilities Assessment</w:t>
                            </w:r>
                          </w:p>
                          <w:p w:rsidR="001A3542" w:rsidRPr="00620616" w:rsidP="00666AC0" w14:textId="7574F1BE">
                            <w:pPr>
                              <w:pStyle w:val="EQRTextboxbullet"/>
                            </w:pPr>
                            <w:r>
                              <w:rPr>
                                <w:rFonts w:cs="Times New Roman"/>
                                <w:szCs w:val="19"/>
                              </w:rPr>
                              <w:fldChar w:fldCharType="end"/>
                            </w:r>
                            <w:r w:rsidRPr="00620616">
                              <w:t>Explains how to conduct the ISCA</w:t>
                            </w:r>
                          </w:p>
                          <w:p w:rsidR="001A3542" w:rsidRPr="00D66FA0" w:rsidP="00666AC0" w14:textId="27683739">
                            <w:pPr>
                              <w:pStyle w:val="EQRTextboxbody"/>
                              <w:rPr>
                                <w:color w:val="1CA8B7"/>
                              </w:rPr>
                            </w:pPr>
                            <w:hyperlink w:anchor="WSB1" w:tooltip="Worksheet B.1. ISCA Tool" w:history="1">
                              <w:r w:rsidRPr="00D66FA0">
                                <w:rPr>
                                  <w:rStyle w:val="Hyperlink"/>
                                </w:rPr>
                                <w:t>Worksheet B.1. ISCA Tool</w:t>
                              </w:r>
                            </w:hyperlink>
                          </w:p>
                          <w:p w:rsidR="001A3542" w:rsidRPr="00620616" w:rsidP="00666AC0" w14:textId="77777777">
                            <w:pPr>
                              <w:pStyle w:val="EQRTextboxbullet"/>
                            </w:pPr>
                            <w:r w:rsidRPr="00620616">
                              <w:t>Provides a template for MCPs to document the capabilities of the information systems, processes, and data</w:t>
                            </w:r>
                          </w:p>
                          <w:p w:rsidR="001A3542" w:rsidRPr="00D66FA0" w:rsidP="00666AC0" w14:textId="15C27B12">
                            <w:pPr>
                              <w:pStyle w:val="EQRTextboxbody"/>
                              <w:rPr>
                                <w:color w:val="1CA8B7"/>
                              </w:rPr>
                            </w:pPr>
                            <w:hyperlink w:anchor="WSB2" w:tooltip="Worksheet B.2. ISCA Interview Guide" w:history="1">
                              <w:r w:rsidRPr="00D66FA0">
                                <w:rPr>
                                  <w:rStyle w:val="Hyperlink"/>
                                </w:rPr>
                                <w:t>Worksheet B.2. ISCA Interview Guide</w:t>
                              </w:r>
                            </w:hyperlink>
                          </w:p>
                          <w:p w:rsidR="001A3542" w:rsidRPr="00881F60" w:rsidP="00666AC0" w14:textId="6EB6D6BC">
                            <w:pPr>
                              <w:pStyle w:val="EQRTextboxbullet"/>
                              <w:rPr>
                                <w:spacing w:val="-2"/>
                              </w:rPr>
                            </w:pPr>
                            <w:r w:rsidRPr="00620616">
                              <w:t>Provides a guide to EQROs for conducting follow-up interviews with MCP staff to record responses and document specific issues based on findings from</w:t>
                            </w:r>
                            <w:r w:rsidRPr="000E1F61">
                              <w:t xml:space="preserve"> </w:t>
                            </w:r>
                            <w:hyperlink w:anchor="WSB1" w:tooltip="Worksheet B.1" w:history="1">
                              <w:r w:rsidRPr="00D66FA0">
                                <w:rPr>
                                  <w:rStyle w:val="Hyperlink"/>
                                </w:rPr>
                                <w:t>Worksheet B.1</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227" type="#_x0000_t202" style="width:172.85pt;height:312.45pt;margin-top:53.65pt;margin-left:331.25pt;flip:y;mso-height-percent:0;mso-height-relative:page;mso-width-percent:0;mso-width-relative:page;mso-wrap-distance-bottom:0;mso-wrap-distance-left:9pt;mso-wrap-distance-right:9pt;mso-wrap-distance-top:0;mso-wrap-style:square;position:absolute;rotation:180;visibility:visible;v-text-anchor:top;z-index:251984896" fillcolor="#eef5f8" strokecolor="#a5dad9" strokeweight="2.25pt">
                <v:stroke endcap="round"/>
                <v:textbox style="mso-fit-shape-to-text:t" inset="8.64pt,,8.64pt">
                  <w:txbxContent>
                    <w:p w:rsidR="001A3542" w:rsidRPr="00620616" w:rsidP="00666AC0" w14:paraId="2A19E5A3" w14:textId="77777777">
                      <w:pPr>
                        <w:pStyle w:val="EQRTextboxheading"/>
                      </w:pPr>
                      <w:r w:rsidRPr="00620616">
                        <w:t>Resources to Conduct an ISCA</w:t>
                      </w:r>
                    </w:p>
                    <w:p w:rsidR="001A3542" w:rsidRPr="00620616" w:rsidP="00666AC0" w14:paraId="3E8B72A9" w14:textId="77777777">
                      <w:pPr>
                        <w:pStyle w:val="EQRTextboxbody"/>
                      </w:pPr>
                      <w:r w:rsidRPr="00620616">
                        <w:t>The ISCA validate</w:t>
                      </w:r>
                      <w:r>
                        <w:t>s</w:t>
                      </w:r>
                      <w:r w:rsidRPr="00620616">
                        <w:t xml:space="preserve"> MCP information systems, processes, and data. The ISCA provides a foundation for the validation of performance measures.</w:t>
                      </w:r>
                    </w:p>
                    <w:p w:rsidR="001A3542" w:rsidRPr="00C27E04" w:rsidP="00666AC0" w14:paraId="06BA8C13" w14:textId="73D000C3">
                      <w:pPr>
                        <w:pStyle w:val="EQRTextboxbody"/>
                        <w:rPr>
                          <w:rStyle w:val="Hyperlink"/>
                        </w:rPr>
                      </w:pPr>
                      <w:r>
                        <w:fldChar w:fldCharType="begin"/>
                      </w:r>
                      <w:r w:rsidR="000E79DA">
                        <w:instrText>HYPERLINK  \l "AppB" \o "Appendix B"</w:instrText>
                      </w:r>
                      <w:r>
                        <w:fldChar w:fldCharType="separate"/>
                      </w:r>
                      <w:r w:rsidRPr="00C27E04">
                        <w:rPr>
                          <w:rStyle w:val="Hyperlink"/>
                        </w:rPr>
                        <w:t>Appendix B. Information Systems Capabilities Assessment</w:t>
                      </w:r>
                    </w:p>
                    <w:p w:rsidR="001A3542" w:rsidRPr="00620616" w:rsidP="00666AC0" w14:paraId="3D9C5DBD" w14:textId="7574F1BE">
                      <w:pPr>
                        <w:pStyle w:val="EQRTextboxbullet"/>
                      </w:pPr>
                      <w:r>
                        <w:rPr>
                          <w:rFonts w:cs="Times New Roman"/>
                          <w:szCs w:val="19"/>
                        </w:rPr>
                        <w:fldChar w:fldCharType="end"/>
                      </w:r>
                      <w:r w:rsidRPr="00620616">
                        <w:t>Explains how to conduct the ISCA</w:t>
                      </w:r>
                    </w:p>
                    <w:p w:rsidR="001A3542" w:rsidRPr="00D66FA0" w:rsidP="00666AC0" w14:paraId="32C4F547" w14:textId="27683739">
                      <w:pPr>
                        <w:pStyle w:val="EQRTextboxbody"/>
                        <w:rPr>
                          <w:color w:val="1CA8B7"/>
                        </w:rPr>
                      </w:pPr>
                      <w:hyperlink w:anchor="WSB1" w:tooltip="Worksheet B.1. ISCA Tool" w:history="1">
                        <w:r w:rsidRPr="00D66FA0">
                          <w:rPr>
                            <w:rStyle w:val="Hyperlink"/>
                          </w:rPr>
                          <w:t>Worksheet B.1. ISCA Tool</w:t>
                        </w:r>
                      </w:hyperlink>
                    </w:p>
                    <w:p w:rsidR="001A3542" w:rsidRPr="00620616" w:rsidP="00666AC0" w14:paraId="4902618F" w14:textId="77777777">
                      <w:pPr>
                        <w:pStyle w:val="EQRTextboxbullet"/>
                      </w:pPr>
                      <w:r w:rsidRPr="00620616">
                        <w:t>Provides a template for MCPs to document the capabilities of the information systems, processes, and data</w:t>
                      </w:r>
                    </w:p>
                    <w:p w:rsidR="001A3542" w:rsidRPr="00D66FA0" w:rsidP="00666AC0" w14:paraId="7B6590B3" w14:textId="15C27B12">
                      <w:pPr>
                        <w:pStyle w:val="EQRTextboxbody"/>
                        <w:rPr>
                          <w:color w:val="1CA8B7"/>
                        </w:rPr>
                      </w:pPr>
                      <w:hyperlink w:anchor="WSB2" w:tooltip="Worksheet B.2. ISCA Interview Guide" w:history="1">
                        <w:r w:rsidRPr="00D66FA0">
                          <w:rPr>
                            <w:rStyle w:val="Hyperlink"/>
                          </w:rPr>
                          <w:t>Worksheet B.2. ISCA Interview Guide</w:t>
                        </w:r>
                      </w:hyperlink>
                    </w:p>
                    <w:p w:rsidR="001A3542" w:rsidRPr="00881F60" w:rsidP="00666AC0" w14:paraId="026D167F" w14:textId="6EB6D6BC">
                      <w:pPr>
                        <w:pStyle w:val="EQRTextboxbullet"/>
                        <w:rPr>
                          <w:spacing w:val="-2"/>
                        </w:rPr>
                      </w:pPr>
                      <w:r w:rsidRPr="00620616">
                        <w:t>Provides a guide to EQROs for conducting follow-up interviews with MCP staff to record responses and document specific issues based on findings from</w:t>
                      </w:r>
                      <w:r w:rsidRPr="000E1F61">
                        <w:t xml:space="preserve"> </w:t>
                      </w:r>
                      <w:hyperlink w:anchor="WSB1" w:tooltip="Worksheet B.1" w:history="1">
                        <w:r w:rsidRPr="00D66FA0">
                          <w:rPr>
                            <w:rStyle w:val="Hyperlink"/>
                          </w:rPr>
                          <w:t>Worksheet B.1</w:t>
                        </w:r>
                      </w:hyperlink>
                    </w:p>
                  </w:txbxContent>
                </v:textbox>
                <w10:wrap type="tight"/>
              </v:shape>
            </w:pict>
          </mc:Fallback>
        </mc:AlternateContent>
      </w:r>
      <w:r w:rsidRPr="00990D3B">
        <w:t>In this activity, the EQRO reviews the Information Systems Capability Assessment (ISCA) to understand each MCP’s data and systems capabilities.</w:t>
      </w:r>
    </w:p>
    <w:p w:rsidR="001A3542" w:rsidRPr="00990D3B" w:rsidP="00666AC0" w14:paraId="6CD469B9" w14:textId="4A279263">
      <w:pPr>
        <w:pStyle w:val="Paragraph0"/>
      </w:pPr>
      <w:r w:rsidRPr="00990D3B">
        <w:rPr>
          <w:noProof/>
        </w:rPr>
        <w:t>The</w:t>
      </w:r>
      <w:r w:rsidRPr="00990D3B">
        <w:t xml:space="preserve"> EQRO first determines whether the MCP has completed an ISCA within the past two years. If</w:t>
      </w:r>
      <w:r w:rsidRPr="00990D3B">
        <w:t xml:space="preserve"> </w:t>
      </w:r>
      <w:r w:rsidRPr="00990D3B">
        <w:t xml:space="preserve">not, the EQRO must conduct an ISCA following the process outlined in </w:t>
      </w:r>
      <w:hyperlink w:anchor="AppB" w:tooltip="Appendix B" w:history="1">
        <w:r w:rsidRPr="00990D3B">
          <w:rPr>
            <w:rStyle w:val="Hyperlink"/>
          </w:rPr>
          <w:t>Appendix B</w:t>
        </w:r>
      </w:hyperlink>
      <w:r w:rsidRPr="00A3358C">
        <w:rPr>
          <w:color w:val="005968"/>
        </w:rPr>
        <w:t xml:space="preserve">. </w:t>
      </w:r>
      <w:r w:rsidRPr="00990D3B">
        <w:rPr>
          <w:rFonts w:eastAsiaTheme="minorEastAsia" w:cstheme="minorBidi"/>
          <w:szCs w:val="24"/>
        </w:rPr>
        <w:t xml:space="preserve">For </w:t>
      </w:r>
      <w:r w:rsidRPr="00990D3B">
        <w:t xml:space="preserve">more information on how the EQRO should conduct an ISCA, review </w:t>
      </w:r>
      <w:hyperlink w:anchor="P2A1Step2" w:tooltip="Protocol 2, Activity 1, Step 2" w:history="1">
        <w:r w:rsidRPr="00990D3B">
          <w:rPr>
            <w:rStyle w:val="Hyperlink"/>
          </w:rPr>
          <w:t>Protocol 2, Activity 1, Step 2</w:t>
        </w:r>
      </w:hyperlink>
      <w:r w:rsidRPr="00A3358C">
        <w:rPr>
          <w:color w:val="005968"/>
        </w:rPr>
        <w:t>.</w:t>
      </w:r>
    </w:p>
    <w:p w:rsidR="001A3542" w:rsidRPr="00990D3B" w:rsidP="00666AC0" w14:paraId="2BE8CD07" w14:textId="77777777">
      <w:pPr>
        <w:pStyle w:val="Paragraph0"/>
      </w:pPr>
      <w:r w:rsidRPr="00990D3B">
        <w:t>If the state assigned the MCP any MAC QRS quality measures that require data from multiple sources, review:</w:t>
      </w:r>
    </w:p>
    <w:p w:rsidR="001A3542" w:rsidRPr="00990D3B" w:rsidP="00FB7CAF" w14:paraId="1D0E51E6" w14:textId="48AD28AD">
      <w:pPr>
        <w:pStyle w:val="EQRBulletBLUE"/>
      </w:pPr>
      <w:hyperlink w:anchor="WSB1S5" w:tooltip="Worksheet B.1 Section 5" w:history="1">
        <w:r w:rsidRPr="00990D3B">
          <w:rPr>
            <w:rStyle w:val="Hyperlink"/>
          </w:rPr>
          <w:t>Worksheet B.1 Section 5</w:t>
        </w:r>
      </w:hyperlink>
      <w:r w:rsidRPr="00990D3B">
        <w:t>,</w:t>
      </w:r>
    </w:p>
    <w:p w:rsidR="001A3542" w:rsidRPr="00990D3B" w:rsidP="00FB7CAF" w14:paraId="49689B8D" w14:textId="291EB6A9">
      <w:pPr>
        <w:pStyle w:val="EQRBulletBLUE"/>
      </w:pPr>
      <w:hyperlink w:anchor="WSB1SB" w:tooltip="Worksheet B.1 Section B" w:history="1">
        <w:r w:rsidRPr="00990D3B">
          <w:rPr>
            <w:rStyle w:val="Hyperlink"/>
          </w:rPr>
          <w:t>Worksheet B.1 Section B</w:t>
        </w:r>
      </w:hyperlink>
      <w:r w:rsidRPr="00990D3B">
        <w:t xml:space="preserve">, and </w:t>
      </w:r>
    </w:p>
    <w:p w:rsidR="001A3542" w:rsidRPr="00990D3B" w:rsidP="00FB7CAF" w14:paraId="4D245680" w14:textId="6A1F2BD3">
      <w:pPr>
        <w:pStyle w:val="EQRBulletBLUE"/>
      </w:pPr>
      <w:hyperlink w:anchor="WSB2Sec5A" w:tooltip="Worksheet B.2 Section 5A" w:history="1">
        <w:r w:rsidRPr="00990D3B">
          <w:rPr>
            <w:rStyle w:val="Hyperlink"/>
          </w:rPr>
          <w:t>Worksheet B.2 Sections 5A</w:t>
        </w:r>
      </w:hyperlink>
      <w:r w:rsidRPr="00990D3B">
        <w:t xml:space="preserve">, </w:t>
      </w:r>
      <w:hyperlink w:anchor="WSB2Sec5B" w:history="1">
        <w:r w:rsidRPr="00990D3B">
          <w:rPr>
            <w:rStyle w:val="Hyperlink"/>
          </w:rPr>
          <w:t>5B</w:t>
        </w:r>
      </w:hyperlink>
      <w:r w:rsidRPr="00990D3B">
        <w:t xml:space="preserve">, </w:t>
      </w:r>
      <w:hyperlink w:anchor="WSB2Sec5B" w:history="1">
        <w:r w:rsidRPr="00990D3B">
          <w:rPr>
            <w:rStyle w:val="Hyperlink"/>
          </w:rPr>
          <w:t>5C</w:t>
        </w:r>
      </w:hyperlink>
      <w:r w:rsidRPr="00990D3B">
        <w:t xml:space="preserve">, and </w:t>
      </w:r>
      <w:hyperlink w:anchor="WSB2Sec5D" w:history="1">
        <w:r w:rsidRPr="00990D3B">
          <w:rPr>
            <w:rStyle w:val="Hyperlink"/>
          </w:rPr>
          <w:t>5D</w:t>
        </w:r>
      </w:hyperlink>
      <w:r w:rsidRPr="00990D3B">
        <w:t xml:space="preserve">. </w:t>
      </w:r>
    </w:p>
    <w:p w:rsidR="001A3542" w:rsidRPr="00990D3B" w:rsidP="00666AC0" w14:paraId="06174405" w14:textId="77777777">
      <w:pPr>
        <w:pStyle w:val="H2"/>
      </w:pPr>
      <w:bookmarkStart w:id="1003" w:name="P10S2A22"/>
      <w:bookmarkStart w:id="1004" w:name="P10S2A2"/>
      <w:bookmarkStart w:id="1005" w:name="_Toc201751443"/>
      <w:bookmarkEnd w:id="1003"/>
      <w:bookmarkEnd w:id="1004"/>
      <w:r w:rsidRPr="00990D3B">
        <w:t>Activity II.2: Validate MAC QRS Data</w:t>
      </w:r>
      <w:bookmarkEnd w:id="1005"/>
    </w:p>
    <w:p w:rsidR="001A3542" w:rsidRPr="00990D3B" w:rsidP="009F7DD4" w14:paraId="45992D49" w14:textId="77777777">
      <w:pPr>
        <w:pStyle w:val="ParagraphContinued"/>
      </w:pPr>
      <w:r w:rsidRPr="00990D3B">
        <w:t>In this activity, the EQRO ensures that the data used to calculate MAC QRS quality measures are complete and accurate. All data, regardless of the source, must be validated</w:t>
      </w:r>
      <w:r w:rsidRPr="00990D3B">
        <w:t>.</w:t>
      </w:r>
      <w:r w:rsidRPr="00990D3B">
        <w:t xml:space="preserve"> To determine the necessary validation steps, the EQRO should reference the list of measures and data sources developed in Section I. The validation process for each MCP depends on the measures assigned to it:  </w:t>
      </w:r>
    </w:p>
    <w:p w:rsidR="001A3542" w:rsidRPr="00990D3B" w:rsidP="00FB7CAF" w14:paraId="206B2F93" w14:textId="77777777">
      <w:pPr>
        <w:pStyle w:val="EQRBulletBLUE"/>
      </w:pPr>
      <w:r w:rsidRPr="00990D3B">
        <w:t xml:space="preserve">If the MCP’s MAC QRS quality measures </w:t>
      </w:r>
      <w:r w:rsidRPr="00990D3B">
        <w:rPr>
          <w:b/>
        </w:rPr>
        <w:t xml:space="preserve">only require </w:t>
      </w:r>
      <w:r w:rsidRPr="00990D3B">
        <w:rPr>
          <w:b/>
          <w:bCs/>
        </w:rPr>
        <w:t xml:space="preserve">Medicaid </w:t>
      </w:r>
      <w:r w:rsidRPr="00990D3B">
        <w:rPr>
          <w:b/>
        </w:rPr>
        <w:t>MCP data</w:t>
      </w:r>
      <w:r w:rsidRPr="00990D3B">
        <w:t xml:space="preserve">, complete Step 1 and proceed to Activity II.3. </w:t>
      </w:r>
    </w:p>
    <w:p w:rsidR="001A3542" w:rsidRPr="00990D3B" w:rsidP="00FB7CAF" w14:paraId="4B0CDD03" w14:textId="77777777">
      <w:pPr>
        <w:pStyle w:val="EQRBulletBLUE"/>
      </w:pPr>
      <w:r w:rsidRPr="00990D3B">
        <w:t xml:space="preserve">If the MCP’s MAC QRS quality measures </w:t>
      </w:r>
      <w:r w:rsidRPr="00990D3B">
        <w:rPr>
          <w:b/>
        </w:rPr>
        <w:t>require Medicaid FFS data</w:t>
      </w:r>
      <w:r w:rsidRPr="00990D3B">
        <w:t xml:space="preserve">, complete Steps 1 and 2 before proceeding to Activity II.3. </w:t>
      </w:r>
    </w:p>
    <w:p w:rsidR="001A3542" w:rsidRPr="00990D3B" w:rsidP="00FB7CAF" w14:paraId="4787A849" w14:textId="77777777">
      <w:pPr>
        <w:pStyle w:val="EQRBulletBLUE"/>
      </w:pPr>
      <w:r w:rsidRPr="00990D3B">
        <w:t xml:space="preserve">If </w:t>
      </w:r>
      <w:r w:rsidRPr="00990D3B">
        <w:t xml:space="preserve">the </w:t>
      </w:r>
      <w:r w:rsidRPr="00990D3B">
        <w:t xml:space="preserve">MCP’s MAC QRS quality measures </w:t>
      </w:r>
      <w:r w:rsidRPr="00990D3B">
        <w:rPr>
          <w:b/>
        </w:rPr>
        <w:t>require Medicare data</w:t>
      </w:r>
      <w:r w:rsidRPr="00990D3B">
        <w:t xml:space="preserve">, complete Steps 1 and 3 before proceeding to Activity II.3. If the MCP’s measures also require Medicaid FFS data, include Step 2.  </w:t>
      </w:r>
    </w:p>
    <w:p w:rsidR="001A3542" w:rsidRPr="00990D3B" w:rsidP="00666AC0" w14:paraId="3A4FDD73" w14:textId="77777777">
      <w:pPr>
        <w:pStyle w:val="H3"/>
      </w:pPr>
      <w:r w:rsidRPr="00990D3B">
        <w:t>Step 1: Validate MCP Encounter Data</w:t>
      </w:r>
    </w:p>
    <w:p w:rsidR="001A3542" w:rsidRPr="00990D3B" w:rsidP="009F7DD4" w14:paraId="24EF51F5" w14:textId="160A0F58">
      <w:pPr>
        <w:pStyle w:val="ParagraphContinued"/>
      </w:pPr>
      <w:r w:rsidRPr="00990D3B">
        <w:t xml:space="preserve">MCP encounter data </w:t>
      </w:r>
      <w:r w:rsidRPr="00990D3B">
        <w:t>include</w:t>
      </w:r>
      <w:r w:rsidRPr="00990D3B">
        <w:t xml:space="preserve"> information about the procedures and services an enrollee received from the MCP. For more information about validating MCP encounter data, review </w:t>
      </w:r>
      <w:hyperlink w:anchor="Protocol5" w:tooltip="Protocol 5" w:history="1">
        <w:r w:rsidRPr="00990D3B">
          <w:rPr>
            <w:rStyle w:val="Hyperlink"/>
          </w:rPr>
          <w:t>Protocol 5</w:t>
        </w:r>
      </w:hyperlink>
      <w:r w:rsidRPr="00990D3B">
        <w:t>. If</w:t>
      </w:r>
      <w:r w:rsidRPr="00990D3B">
        <w:t xml:space="preserve"> </w:t>
      </w:r>
      <w:r w:rsidRPr="00990D3B">
        <w:t xml:space="preserve">the MCP’s data has already been validated using </w:t>
      </w:r>
      <w:hyperlink w:anchor="Protocol5" w:tooltip="Protocol 5" w:history="1">
        <w:r w:rsidRPr="00990D3B">
          <w:rPr>
            <w:rStyle w:val="Hyperlink"/>
          </w:rPr>
          <w:t>Protocol 5</w:t>
        </w:r>
      </w:hyperlink>
      <w:r w:rsidRPr="00990D3B">
        <w:t xml:space="preserve">, or a comparable process, proceed to Activity 3. </w:t>
      </w:r>
    </w:p>
    <w:p w:rsidR="001A3542" w:rsidRPr="00990D3B" w:rsidP="00666AC0" w14:paraId="0C27DAEE" w14:textId="77777777">
      <w:pPr>
        <w:pStyle w:val="H3"/>
      </w:pPr>
      <w:r w:rsidRPr="00990D3B">
        <w:t>Step 2: Validate Medicaid FFS Data</w:t>
      </w:r>
    </w:p>
    <w:p w:rsidR="001A3542" w:rsidRPr="00990D3B" w:rsidP="009F7DD4" w14:paraId="70069567" w14:textId="0C257EB2">
      <w:pPr>
        <w:pStyle w:val="ParagraphContinued"/>
      </w:pPr>
      <w:r w:rsidRPr="00990D3B">
        <w:t xml:space="preserve">Medicaid FFS claims data include records for all procedures and services that were provided to a beneficiary on </w:t>
      </w:r>
      <w:r w:rsidRPr="00990D3B">
        <w:t>a</w:t>
      </w:r>
      <w:r w:rsidRPr="00990D3B">
        <w:t xml:space="preserve"> FFS-basis, including records for claims that were denied by the Medicaid program. The approach to validating Medicaid FFS data aligns closely with the process for validating MCP encounter data. Therefore, the EQRO can apply the same process for validating MCP encounter data</w:t>
      </w:r>
      <w:r w:rsidRPr="00990D3B">
        <w:t xml:space="preserve"> </w:t>
      </w:r>
      <w:r w:rsidRPr="00990D3B">
        <w:t xml:space="preserve">described in </w:t>
      </w:r>
      <w:hyperlink w:anchor="Protocol5" w:tooltip="Protocol 5" w:history="1">
        <w:r w:rsidRPr="00990D3B">
          <w:rPr>
            <w:rStyle w:val="Hyperlink"/>
          </w:rPr>
          <w:t>Protocol 5</w:t>
        </w:r>
      </w:hyperlink>
      <w:r w:rsidRPr="00990D3B">
        <w:t xml:space="preserve">, to validate Medicaid FFS data in this step. </w:t>
      </w:r>
    </w:p>
    <w:p w:rsidR="001A3542" w:rsidRPr="00990D3B" w:rsidP="00666AC0" w14:paraId="479E926B" w14:textId="5699477D">
      <w:pPr>
        <w:pStyle w:val="Paragraph0"/>
      </w:pPr>
      <w:r w:rsidRPr="00990D3B">
        <w:rPr>
          <w:rFonts w:ascii="Times New Roman" w:hAnsi="Times New Roman"/>
          <w:szCs w:val="24"/>
        </w:rPr>
        <w:t>Medicaid FFS data may</w:t>
      </w:r>
      <w:r w:rsidRPr="00990D3B">
        <w:rPr>
          <w:rFonts w:ascii="Times New Roman" w:hAnsi="Times New Roman"/>
          <w:szCs w:val="24"/>
        </w:rPr>
        <w:t xml:space="preserve"> be</w:t>
      </w:r>
      <w:r w:rsidRPr="00990D3B">
        <w:rPr>
          <w:rFonts w:ascii="Times New Roman" w:hAnsi="Times New Roman"/>
          <w:szCs w:val="24"/>
        </w:rPr>
        <w:t xml:space="preserve"> more detailed than MCP encounter records that are submitted by MCPs to the Medicaid program. As a result, FFS claims may include information not found in MCP encounter data, such as more granular diagnosis, Current Procedural Terminology (</w:t>
      </w:r>
      <w:r w:rsidRPr="00990D3B">
        <w:t>CPT</w:t>
      </w:r>
      <w:r w:rsidRPr="00990D3B">
        <w:rPr>
          <w:rFonts w:cs="Arial"/>
        </w:rPr>
        <w:t>®</w:t>
      </w:r>
      <w:r w:rsidRPr="00990D3B">
        <w:rPr>
          <w:rFonts w:ascii="ZWAdobeF" w:hAnsi="ZWAdobeF" w:cs="ZWAdobeF"/>
          <w:sz w:val="2"/>
          <w:szCs w:val="2"/>
        </w:rPr>
        <w:t>50F</w:t>
      </w:r>
      <w:r w:rsidRPr="00990D3B">
        <w:rPr>
          <w:rFonts w:ascii="Times New Roman" w:hAnsi="Times New Roman"/>
          <w:szCs w:val="24"/>
        </w:rPr>
        <w:t>), and revenue codes. During the validation process, the EQRO</w:t>
      </w:r>
      <w:r w:rsidRPr="00990D3B">
        <w:rPr>
          <w:rFonts w:ascii="Times New Roman" w:hAnsi="Times New Roman"/>
          <w:szCs w:val="24"/>
        </w:rPr>
        <w:t xml:space="preserve"> </w:t>
      </w:r>
      <w:r w:rsidRPr="00990D3B">
        <w:rPr>
          <w:rFonts w:ascii="Times New Roman" w:hAnsi="Times New Roman"/>
          <w:szCs w:val="24"/>
        </w:rPr>
        <w:t xml:space="preserve">should ensure FFS data are in a format compatible with the MCP encounter data to enable integration. This involves standardizing fields such as diagnosis codes, </w:t>
      </w:r>
      <w:r w:rsidRPr="00990D3B">
        <w:t>CPT</w:t>
      </w:r>
      <w:r w:rsidRPr="00990D3B">
        <w:rPr>
          <w:rFonts w:cs="Arial"/>
        </w:rPr>
        <w:t>®</w:t>
      </w:r>
      <w:r w:rsidRPr="00990D3B">
        <w:rPr>
          <w:rFonts w:ascii="ZWAdobeF" w:hAnsi="ZWAdobeF" w:cs="ZWAdobeF"/>
          <w:sz w:val="2"/>
          <w:szCs w:val="2"/>
        </w:rPr>
        <w:t>50F</w:t>
      </w:r>
      <w:r w:rsidRPr="00990D3B">
        <w:rPr>
          <w:rFonts w:ascii="Times New Roman" w:hAnsi="Times New Roman"/>
          <w:szCs w:val="24"/>
        </w:rPr>
        <w:t xml:space="preserve">codes, and service dates. </w:t>
      </w:r>
      <w:hyperlink w:anchor="Box10n4" w:tooltip="Box 10.4" w:history="1">
        <w:r w:rsidRPr="00990D3B">
          <w:rPr>
            <w:rStyle w:val="Hyperlink"/>
          </w:rPr>
          <w:t>Box 10.4</w:t>
        </w:r>
      </w:hyperlink>
      <w:r w:rsidRPr="00990D3B">
        <w:rPr>
          <w:color w:val="1CA8B7"/>
        </w:rPr>
        <w:t xml:space="preserve"> </w:t>
      </w:r>
      <w:r w:rsidRPr="00990D3B">
        <w:t xml:space="preserve">(next page) provides additional considerations for validating Medicaid FFS data. </w:t>
      </w:r>
    </w:p>
    <w:tbl>
      <w:tblPr>
        <w:tblStyle w:val="TableGrid"/>
        <w:tblW w:w="0" w:type="auto"/>
        <w:jc w:val="center"/>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7A5749F5" w14:textId="77777777" w:rsidTr="00666AC0">
        <w:tblPrEx>
          <w:tblW w:w="0" w:type="auto"/>
          <w:jc w:val="center"/>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216"/>
          <w:jc w:val="center"/>
        </w:trPr>
        <w:tc>
          <w:tcPr>
            <w:tcW w:w="9360" w:type="dxa"/>
            <w:shd w:val="clear" w:color="auto" w:fill="EEF5F8"/>
          </w:tcPr>
          <w:p w:rsidR="001A3542" w:rsidRPr="00990D3B" w14:paraId="2963F268" w14:textId="77777777">
            <w:pPr>
              <w:pStyle w:val="EQRTextboxheading"/>
              <w:keepNext/>
              <w:spacing w:before="0" w:after="0"/>
            </w:pPr>
            <w:bookmarkStart w:id="1006" w:name="Box10n4"/>
            <w:bookmarkEnd w:id="1006"/>
            <w:r w:rsidRPr="00990D3B">
              <w:t>Box 10.4. Considerations For Validating Medicaid FFS Data</w:t>
            </w:r>
          </w:p>
        </w:tc>
      </w:tr>
      <w:tr w14:paraId="2B18FC66" w14:textId="77777777" w:rsidTr="00666AC0">
        <w:tblPrEx>
          <w:tblW w:w="0" w:type="auto"/>
          <w:jc w:val="center"/>
          <w:tblCellMar>
            <w:top w:w="72" w:type="dxa"/>
            <w:left w:w="173" w:type="dxa"/>
            <w:bottom w:w="72" w:type="dxa"/>
            <w:right w:w="173" w:type="dxa"/>
          </w:tblCellMar>
          <w:tblLook w:val="04A0"/>
        </w:tblPrEx>
        <w:trPr>
          <w:cantSplit/>
          <w:trHeight w:val="1224"/>
          <w:jc w:val="center"/>
        </w:trPr>
        <w:tc>
          <w:tcPr>
            <w:tcW w:w="9360" w:type="dxa"/>
            <w:shd w:val="clear" w:color="auto" w:fill="EEF5F8"/>
          </w:tcPr>
          <w:p w:rsidR="001A3542" w:rsidRPr="00990D3B" w:rsidP="001A3542" w14:paraId="01BD3578" w14:textId="77777777">
            <w:pPr>
              <w:pStyle w:val="EQRTextboxbullet"/>
            </w:pPr>
            <w:r w:rsidRPr="00990D3B">
              <w:t xml:space="preserve">Data integrity can vary between institutional and professional claims due to differences in billing forms and processes. These variations may affect data completeness and consistency. The EQRO should adhere to the state’s policy for ensuring high-quality FFS data by reviewing the data submission protocols, validating the alignment of institutional and professional claims with expected coding standards, and addressing gaps or inconsistencies arising from differences in billing practices or documentation requirements. Cross-checks and reconciliation with state-level or program-wide policies can help ensure data integrity across claim types. </w:t>
            </w:r>
          </w:p>
          <w:p w:rsidR="001A3542" w:rsidRPr="00990D3B" w:rsidP="001A3542" w14:paraId="52B8DAA4" w14:textId="77777777">
            <w:pPr>
              <w:pStyle w:val="EQRTextboxbullet"/>
            </w:pPr>
            <w:r w:rsidRPr="00990D3B">
              <w:t xml:space="preserve">In some states, the population covered on an FFS-basis is limited, resulting in small sample sizes. This can make it more challenging to identify systemic issues, such as missing data patterns, non-use of certain types of codes used in measure specifications (such as Logical Observation Identifiers, Names, and Codes [LOINC®] codes or Z codes) or coding errors. To ensure transparency and accuracy, the EQRO should document any limitations and adjustments made during the validation process to account for small samples. </w:t>
            </w:r>
          </w:p>
          <w:p w:rsidR="001A3542" w:rsidRPr="00990D3B" w:rsidP="001A3542" w14:paraId="18A89934" w14:textId="77777777">
            <w:pPr>
              <w:pStyle w:val="EQRTextboxbullet"/>
            </w:pPr>
            <w:r w:rsidRPr="00990D3B">
              <w:t xml:space="preserve">Small samples can also raise privacy and confidentiality concerns. To mitigate these risks, </w:t>
            </w:r>
            <w:r w:rsidRPr="00990D3B">
              <w:t>the EQRO’s</w:t>
            </w:r>
            <w:r w:rsidRPr="00990D3B">
              <w:t xml:space="preserve"> validation processes should incorporate data suppression techniques or aggregate data as needed to ensure compliance with privacy standards.</w:t>
            </w:r>
          </w:p>
          <w:p w:rsidR="001A3542" w:rsidRPr="00990D3B" w:rsidP="001A3542" w14:paraId="170A1F48" w14:textId="77777777">
            <w:pPr>
              <w:pStyle w:val="EQRTextboxbullet"/>
            </w:pPr>
            <w:r w:rsidRPr="00990D3B">
              <w:t xml:space="preserve">Validating denied claims requires distinct considerations compared to validating paid claims. The EQRO should adhere to the state’s policy on handling denied claims, such as whether they should be treated as missing data, to ensure consistency and accuracy in the validation process. The EQRO should:  </w:t>
            </w:r>
          </w:p>
          <w:p w:rsidR="001A3542" w:rsidRPr="00990D3B" w:rsidP="001A3542" w14:paraId="7A5EDA41" w14:textId="77777777">
            <w:pPr>
              <w:pStyle w:val="EQRTextboxbullet"/>
            </w:pPr>
            <w:r w:rsidRPr="00990D3B">
              <w:t>Ensure that denial codes and reasons are accurately recorded and align with the state’s policies or national coding standards (e.g., American National Standards Institute (ANSI) reason codes).</w:t>
            </w:r>
          </w:p>
          <w:p w:rsidR="001A3542" w:rsidRPr="00990D3B" w:rsidP="001A3542" w14:paraId="23E7EC4C" w14:textId="77777777">
            <w:pPr>
              <w:pStyle w:val="EQRTextboxbullet"/>
            </w:pPr>
            <w:r w:rsidRPr="00990D3B">
              <w:t xml:space="preserve">Review whether denial reasons are consistently applied across similar claims and providers. </w:t>
            </w:r>
          </w:p>
          <w:p w:rsidR="001A3542" w:rsidRPr="00990D3B" w:rsidP="001A3542" w14:paraId="1360DCAE" w14:textId="77777777">
            <w:pPr>
              <w:pStyle w:val="EQRTextboxbullet"/>
            </w:pPr>
            <w:r w:rsidRPr="00990D3B">
              <w:t xml:space="preserve">Confirm that all denied claims are captured in the dataset, as some systems or providers may not consistently report denied claims.  </w:t>
            </w:r>
          </w:p>
          <w:p w:rsidR="001A3542" w:rsidRPr="00990D3B" w:rsidP="001A3542" w14:paraId="05FEB41D" w14:textId="77777777">
            <w:pPr>
              <w:pStyle w:val="EQRTextboxbullet"/>
            </w:pPr>
            <w:r w:rsidRPr="00990D3B">
              <w:t xml:space="preserve">Check for gaps in denial records, such as missing denial dates, codes, or provider information. </w:t>
            </w:r>
          </w:p>
          <w:p w:rsidR="001A3542" w:rsidRPr="00990D3B" w:rsidP="001A3542" w14:paraId="17507928" w14:textId="77777777">
            <w:pPr>
              <w:pStyle w:val="EQRTextboxbullet"/>
            </w:pPr>
            <w:r w:rsidRPr="00990D3B">
              <w:t xml:space="preserve">Analyze trends in denied claims by service type, provider, region, or beneficiary characteristics to identify systematic issues. High denial rates associated with specific services or providers could indicate documentation errors.  </w:t>
            </w:r>
          </w:p>
          <w:p w:rsidR="001A3542" w:rsidRPr="00990D3B" w:rsidP="001A3542" w14:paraId="0544A4FD" w14:textId="77777777">
            <w:pPr>
              <w:pStyle w:val="EQRTextboxbullet"/>
            </w:pPr>
            <w:r w:rsidRPr="00990D3B">
              <w:t xml:space="preserve">Track whether denied claims are resubmitted or appealed and their final outcomes. The EQRO can verify that resubmitted claims are processed correctly and do not result in duplicate records. </w:t>
            </w:r>
          </w:p>
          <w:p w:rsidR="001A3542" w:rsidRPr="00990D3B" w:rsidP="001A3542" w14:paraId="357A2CE4" w14:textId="77777777">
            <w:pPr>
              <w:pStyle w:val="EQRTextboxbullet"/>
            </w:pPr>
            <w:r w:rsidRPr="00990D3B">
              <w:t xml:space="preserve">Assess how denied claims impact the calculation of quality ratings, particularly for measures relying on complete service utilization data. </w:t>
            </w:r>
          </w:p>
        </w:tc>
      </w:tr>
    </w:tbl>
    <w:p w:rsidR="001A3542" w:rsidRPr="00990D3B" w:rsidP="00C825A2" w14:paraId="6ADBBE5E" w14:textId="77777777">
      <w:pPr>
        <w:pStyle w:val="H3"/>
        <w:spacing w:before="160"/>
      </w:pPr>
      <w:r w:rsidRPr="00990D3B">
        <w:t>Step 3: Validate Medicare Data</w:t>
      </w:r>
    </w:p>
    <w:p w:rsidR="001A3542" w:rsidRPr="00990D3B" w:rsidP="00C825A2" w14:paraId="0B22FB63" w14:textId="77777777">
      <w:pPr>
        <w:pStyle w:val="ParagraphContinued"/>
      </w:pPr>
      <w:r w:rsidRPr="00990D3B">
        <w:t>Medicare data used in MAC QRS calculations for an MCP may include both FFS claims data and encounter records. Medicare FFS data capture services directly reimbursed by Medicare, including Parts A (inpatient coverage), B (outpatient and medical coverage), and D (prescription drug coverage).</w:t>
      </w:r>
      <w:r>
        <w:rPr>
          <w:rStyle w:val="FootnoteReference"/>
        </w:rPr>
        <w:footnoteReference w:id="106"/>
      </w:r>
      <w:r w:rsidRPr="00990D3B">
        <w:t xml:space="preserve"> Medicare Advantage (MA) encounter data include services provided to beneficiaries by MA plans and are submitted by those plans to document care delivery. </w:t>
      </w:r>
    </w:p>
    <w:p w:rsidR="001A3542" w:rsidRPr="00990D3B" w:rsidP="008814D0" w14:paraId="5812B358" w14:textId="01D66596">
      <w:pPr>
        <w:pStyle w:val="Paragraph0"/>
      </w:pPr>
      <w:r w:rsidRPr="00990D3B">
        <w:t xml:space="preserve">The approach to validating Medicare data, both Medicare FFS and MA, aligns closely with the process for validating MCP encounter data. Therefore, while </w:t>
      </w:r>
      <w:hyperlink w:anchor="Protocol5" w:tooltip="Protocol 5" w:history="1">
        <w:r w:rsidRPr="00990D3B">
          <w:rPr>
            <w:rStyle w:val="Hyperlink"/>
          </w:rPr>
          <w:t>Protocol 5</w:t>
        </w:r>
      </w:hyperlink>
      <w:r w:rsidRPr="00990D3B">
        <w:t xml:space="preserve"> provides guidance for </w:t>
      </w:r>
      <w:r w:rsidRPr="00990D3B">
        <w:t xml:space="preserve">validating MCP encounter data, the EQRO can apply the same process to validate Medicare data in this step. </w:t>
      </w:r>
      <w:bookmarkStart w:id="1007" w:name="Box10n5"/>
      <w:bookmarkEnd w:id="1007"/>
      <w:hyperlink w:anchor="Box10n5" w:tooltip="Box 10.5" w:history="1">
        <w:r w:rsidRPr="00990D3B">
          <w:rPr>
            <w:rStyle w:val="Hyperlink"/>
          </w:rPr>
          <w:t>Box 10.5</w:t>
        </w:r>
      </w:hyperlink>
      <w:r w:rsidRPr="00990D3B">
        <w:t xml:space="preserve"> provides additional considerations for validating Medicare data. </w:t>
      </w:r>
    </w:p>
    <w:tbl>
      <w:tblPr>
        <w:tblStyle w:val="TableGrid"/>
        <w:tblW w:w="0" w:type="auto"/>
        <w:jc w:val="center"/>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554DAA08" w14:textId="77777777" w:rsidTr="00666AC0">
        <w:tblPrEx>
          <w:tblW w:w="0" w:type="auto"/>
          <w:jc w:val="center"/>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216"/>
          <w:jc w:val="center"/>
        </w:trPr>
        <w:tc>
          <w:tcPr>
            <w:tcW w:w="9540" w:type="dxa"/>
            <w:shd w:val="clear" w:color="auto" w:fill="EEF5F8"/>
          </w:tcPr>
          <w:p w:rsidR="001A3542" w:rsidRPr="00990D3B" w14:paraId="60772184" w14:textId="77777777">
            <w:pPr>
              <w:pStyle w:val="EQRTextboxheading"/>
              <w:keepNext/>
              <w:spacing w:before="0" w:after="0"/>
            </w:pPr>
            <w:r w:rsidRPr="00990D3B">
              <w:t>Box 10.5. Considerations for Validating Medicare Data</w:t>
            </w:r>
          </w:p>
        </w:tc>
      </w:tr>
      <w:tr w14:paraId="0CE9A51C" w14:textId="77777777" w:rsidTr="00666AC0">
        <w:tblPrEx>
          <w:tblW w:w="0" w:type="auto"/>
          <w:jc w:val="center"/>
          <w:tblCellMar>
            <w:top w:w="72" w:type="dxa"/>
            <w:left w:w="173" w:type="dxa"/>
            <w:bottom w:w="72" w:type="dxa"/>
            <w:right w:w="173" w:type="dxa"/>
          </w:tblCellMar>
          <w:tblLook w:val="04A0"/>
        </w:tblPrEx>
        <w:trPr>
          <w:cantSplit/>
          <w:trHeight w:val="6120"/>
          <w:jc w:val="center"/>
        </w:trPr>
        <w:tc>
          <w:tcPr>
            <w:tcW w:w="9540" w:type="dxa"/>
            <w:shd w:val="clear" w:color="auto" w:fill="EEF5F8"/>
          </w:tcPr>
          <w:p w:rsidR="001A3542" w:rsidRPr="00990D3B" w:rsidP="001A3542" w14:paraId="1F80D005" w14:textId="77777777">
            <w:pPr>
              <w:pStyle w:val="EQRTextboxbullet"/>
            </w:pPr>
            <w:r w:rsidRPr="00990D3B">
              <w:t xml:space="preserve">Medicare data may require integration across Parts A (inpatient coverage), B (outpatient and medical coverage), C (Medicare Advantage), and D (prescription drug coverage). When quality rating calculations rely on multiple Medicare data sources, the EQRO should ensure the Medicare sources align and reconcile any inconsistencies to ensure consistent integration. </w:t>
            </w:r>
          </w:p>
          <w:p w:rsidR="001A3542" w:rsidRPr="00990D3B" w:rsidP="001A3542" w14:paraId="2BB924DD" w14:textId="77777777">
            <w:pPr>
              <w:pStyle w:val="EQRTextboxbullet"/>
            </w:pPr>
            <w:r w:rsidRPr="00990D3B">
              <w:t>To facilitate data integration, the EQRO should reconcile Medicare data with the relevant Medicaid data to identify and address any discrepancies. This includes:</w:t>
            </w:r>
          </w:p>
          <w:p w:rsidR="001A3542" w:rsidRPr="00990D3B" w:rsidP="008814D0" w14:paraId="78C7EBFA" w14:textId="77777777">
            <w:pPr>
              <w:pStyle w:val="EQRTextboxbullet2ndlevel"/>
            </w:pPr>
            <w:r w:rsidRPr="00990D3B">
              <w:t xml:space="preserve">Ensuring the Medicare Beneficiary Identifiers (MBIs) are complete, accurate, and match Medicaid beneficiary identifiers. </w:t>
            </w:r>
          </w:p>
          <w:p w:rsidR="001A3542" w:rsidRPr="00990D3B" w:rsidP="008814D0" w14:paraId="28B4D0C8" w14:textId="77777777">
            <w:pPr>
              <w:pStyle w:val="EQRTextboxbullet2ndlevel"/>
            </w:pPr>
            <w:r w:rsidRPr="00990D3B">
              <w:t xml:space="preserve">Standardizing fields such as diagnosis codes, CPT®, or Healthcare Common Procedural Coding System (HCPCS) codes, and service dates to ensure compatibility across data sets. </w:t>
            </w:r>
          </w:p>
          <w:p w:rsidR="001A3542" w:rsidRPr="00990D3B" w:rsidP="001A3542" w14:paraId="3BBA3EFB" w14:textId="77777777">
            <w:pPr>
              <w:pStyle w:val="EQRTextboxbullet"/>
            </w:pPr>
            <w:r w:rsidRPr="00990D3B">
              <w:t>As Medicare FFS claims are submitted for reimbursement, fields that are not directly tied to reimbursement (e.g., demographics or provider details) may be incomplete. The EQRO should review non-reimbursement fields for accuracy and completeness to ensure they meet the requirements for MAC QRS quality rating calculation.</w:t>
            </w:r>
          </w:p>
          <w:p w:rsidR="001A3542" w:rsidRPr="00990D3B" w:rsidP="001A3542" w14:paraId="730EF11B" w14:textId="77777777">
            <w:pPr>
              <w:pStyle w:val="EQRTextboxbullet"/>
            </w:pPr>
            <w:r w:rsidRPr="00990D3B">
              <w:t xml:space="preserve">When validating </w:t>
            </w:r>
            <w:r w:rsidRPr="00990D3B">
              <w:t>denied claims</w:t>
            </w:r>
            <w:r w:rsidRPr="00990D3B">
              <w:t>, the EQRO should ensure that denial codes and reasons are accurately recorded and align with the CMS policies or national coding standards (e.g., ANSI reason codes). The EQRO should also:</w:t>
            </w:r>
          </w:p>
          <w:p w:rsidR="001A3542" w:rsidRPr="00990D3B" w:rsidP="008814D0" w14:paraId="1F44956B" w14:textId="77777777">
            <w:pPr>
              <w:pStyle w:val="EQRTextboxbullet2ndlevel"/>
            </w:pPr>
            <w:r w:rsidRPr="00990D3B">
              <w:t xml:space="preserve">Review whether denial reasons are consistently applied across similar claims and providers. </w:t>
            </w:r>
          </w:p>
          <w:p w:rsidR="001A3542" w:rsidRPr="00990D3B" w:rsidP="008814D0" w14:paraId="2524E00C" w14:textId="77777777">
            <w:pPr>
              <w:pStyle w:val="EQRTextboxbullet2ndlevel"/>
            </w:pPr>
            <w:r w:rsidRPr="00990D3B">
              <w:t xml:space="preserve">Check for gaps in denial records, such as missing denial dates, codes, or provider information. </w:t>
            </w:r>
          </w:p>
          <w:p w:rsidR="001A3542" w:rsidRPr="00990D3B" w:rsidP="008814D0" w14:paraId="12B3EC5A" w14:textId="4E01D15A">
            <w:pPr>
              <w:pStyle w:val="EQRTextboxbullet2ndlevel"/>
            </w:pPr>
            <w:r w:rsidRPr="00990D3B">
              <w:t>Analyze trends in denied claims by service type, provider, region, or beneficiary characteristics to identify systematic issues. High denial rates associated with specific services or providers could indicate documentation</w:t>
            </w:r>
            <w:r w:rsidRPr="00990D3B" w:rsidR="00E52B04">
              <w:t> </w:t>
            </w:r>
            <w:r w:rsidRPr="00990D3B">
              <w:t xml:space="preserve">errors.  </w:t>
            </w:r>
          </w:p>
          <w:p w:rsidR="001A3542" w:rsidRPr="00990D3B" w:rsidP="008814D0" w14:paraId="1B7EF0D2" w14:textId="77777777">
            <w:pPr>
              <w:pStyle w:val="EQRTextboxbullet2ndlevel"/>
            </w:pPr>
            <w:r w:rsidRPr="00990D3B">
              <w:t xml:space="preserve">Assess how denied claims impact the calculation of quality ratings, particularly for measures relying on complete service utilization data. </w:t>
            </w:r>
          </w:p>
          <w:p w:rsidR="001A3542" w:rsidRPr="00990D3B" w:rsidP="001A3542" w14:paraId="6FE95DA3" w14:textId="77777777">
            <w:pPr>
              <w:pStyle w:val="EQRTextboxbullet"/>
            </w:pPr>
            <w:r w:rsidRPr="00990D3B">
              <w:t xml:space="preserve">For information on Medicare data and file layouts, review the CMS data dictionaries and resources section of the State Data Resource Center (SDRC) website at </w:t>
            </w:r>
            <w:hyperlink r:id="rId215" w:history="1">
              <w:r w:rsidRPr="00990D3B">
                <w:rPr>
                  <w:rStyle w:val="Hyperlink"/>
                </w:rPr>
                <w:t>https://www.statedataresourcecenter.com/available-data/medicare-data/data-dictionaries-and-resources</w:t>
              </w:r>
            </w:hyperlink>
            <w:r w:rsidRPr="006F5BEC">
              <w:rPr>
                <w:color w:val="005260"/>
              </w:rPr>
              <w:t xml:space="preserve">. </w:t>
            </w:r>
          </w:p>
          <w:p w:rsidR="001A3542" w:rsidRPr="00990D3B" w:rsidP="001A3542" w14:paraId="66BA1CA4" w14:textId="77777777">
            <w:pPr>
              <w:pStyle w:val="EQRTextboxbullet"/>
              <w:rPr>
                <w:sz w:val="18"/>
                <w:szCs w:val="18"/>
              </w:rPr>
            </w:pPr>
            <w:r w:rsidRPr="00990D3B">
              <w:t>Medicare data are subject to CMS audits, which require a high standard of documentation and data accuracy. When validating Medicare data, the EQRO should record the validation methods, decisions, and any adjustments made and ensure that the data meet CMS’s stringent quality and reporting requirements.</w:t>
            </w:r>
            <w:r>
              <w:rPr>
                <w:rStyle w:val="FootnoteReference"/>
                <w:rFonts w:asciiTheme="majorHAnsi" w:hAnsiTheme="majorHAnsi" w:cstheme="majorHAnsi"/>
                <w:color w:val="00559D" w:themeColor="text2"/>
              </w:rPr>
              <w:footnoteReference w:id="107"/>
            </w:r>
            <w:r w:rsidRPr="00990D3B">
              <w:t xml:space="preserve"> </w:t>
            </w:r>
          </w:p>
        </w:tc>
      </w:tr>
    </w:tbl>
    <w:p w:rsidR="001A3542" w:rsidRPr="00990D3B" w:rsidP="00666AC0" w14:paraId="7A6FDB5D" w14:textId="77777777"/>
    <w:p w:rsidR="001A3542" w:rsidRPr="00990D3B" w:rsidP="004F52A9" w14:paraId="303F87D5" w14:textId="77777777">
      <w:r w:rsidRPr="00990D3B">
        <w:br w:type="page"/>
      </w:r>
    </w:p>
    <w:p w:rsidR="001A3542" w:rsidRPr="00990D3B" w:rsidP="00666AC0" w14:paraId="104AB266" w14:textId="594ABA59">
      <w:pPr>
        <w:pStyle w:val="H2"/>
      </w:pPr>
      <w:bookmarkStart w:id="1008" w:name="P10S2A23"/>
      <w:bookmarkStart w:id="1009" w:name="P10S2A3"/>
      <w:bookmarkStart w:id="1010" w:name="_Toc201751444"/>
      <w:bookmarkEnd w:id="1008"/>
      <w:bookmarkEnd w:id="1009"/>
      <w:r w:rsidRPr="00990D3B">
        <w:t xml:space="preserve">Activity II.3: </w:t>
      </w:r>
      <w:r w:rsidRPr="00990D3B" w:rsidR="007A7412">
        <w:t>Report Results</w:t>
      </w:r>
      <w:r w:rsidRPr="00990D3B">
        <w:t xml:space="preserve"> to the State</w:t>
      </w:r>
      <w:bookmarkEnd w:id="1010"/>
    </w:p>
    <w:p w:rsidR="001A3542" w:rsidRPr="00990D3B" w:rsidP="009F7DD4" w14:paraId="1CAAB97D" w14:textId="77777777">
      <w:pPr>
        <w:pStyle w:val="ParagraphContinued"/>
      </w:pPr>
      <w:r w:rsidRPr="00990D3B">
        <w:t xml:space="preserve">In this activity, the EQRO submits a report to the state summarizing the results of all data validation activities. The report should identify any major challenges encountered during the validation process, including a summary of error rates, missing values, duplicate records, and inconsistencies in coding or formatting. </w:t>
      </w:r>
    </w:p>
    <w:p w:rsidR="001A3542" w:rsidRPr="00990D3B" w:rsidP="00666AC0" w14:paraId="5C9AC05B" w14:textId="77777777">
      <w:pPr>
        <w:pStyle w:val="Paragraph0"/>
      </w:pPr>
      <w:r w:rsidRPr="00990D3B">
        <w:t xml:space="preserve">The report should also present findings from the ISCA and offer a comprehensive assessment of each MCP’s data capabilities, including: </w:t>
      </w:r>
    </w:p>
    <w:p w:rsidR="001A3542" w:rsidRPr="00990D3B" w:rsidP="00FB7CAF" w14:paraId="37D25BFE" w14:textId="77777777">
      <w:pPr>
        <w:pStyle w:val="EQRBulletBLUE"/>
      </w:pPr>
      <w:r w:rsidRPr="00990D3B">
        <w:t>Any identified weaknesses in data systems or processes that may impact the quality of data used to calculate MAC QRS quality measures</w:t>
      </w:r>
    </w:p>
    <w:p w:rsidR="001A3542" w:rsidRPr="00990D3B" w:rsidP="00FB7CAF" w14:paraId="1C1FFF8F" w14:textId="64E8974B">
      <w:pPr>
        <w:pStyle w:val="EQRBulletBLUE"/>
      </w:pPr>
      <w:r w:rsidRPr="00990D3B">
        <w:t>The MCP’s readiness for data integration, if required for calculating MAC QRS quality</w:t>
      </w:r>
      <w:r w:rsidRPr="00990D3B" w:rsidR="004F52A9">
        <w:t> </w:t>
      </w:r>
      <w:r w:rsidRPr="00990D3B">
        <w:t>measures</w:t>
      </w:r>
    </w:p>
    <w:p w:rsidR="001A3542" w:rsidRPr="00990D3B" w:rsidP="00FB7CAF" w14:paraId="129BD417" w14:textId="77777777">
      <w:pPr>
        <w:pStyle w:val="EQRBulletBLUE"/>
      </w:pPr>
      <w:r w:rsidRPr="00990D3B">
        <w:t>Documentation of updates or corrections made to the ISCA during the review process</w:t>
      </w:r>
    </w:p>
    <w:p w:rsidR="001A3542" w:rsidRPr="00990D3B" w:rsidP="00666AC0" w14:paraId="7F24203D" w14:textId="77777777">
      <w:pPr>
        <w:spacing w:before="100" w:beforeAutospacing="1" w:after="100" w:afterAutospacing="1" w:line="240" w:lineRule="auto"/>
        <w:rPr>
          <w:rFonts w:ascii="Times New Roman" w:hAnsi="Times New Roman"/>
          <w:szCs w:val="24"/>
        </w:rPr>
      </w:pPr>
      <w:r w:rsidRPr="00990D3B">
        <w:rPr>
          <w:rFonts w:ascii="Times New Roman" w:hAnsi="Times New Roman"/>
          <w:szCs w:val="24"/>
        </w:rPr>
        <w:t>Once submitted, the state and EQRO should review the data validation findings and work together to address issues identified during the validation process.</w:t>
      </w:r>
    </w:p>
    <w:p w:rsidR="001A3542" w:rsidRPr="00990D3B" w:rsidP="00666AC0" w14:paraId="27F5B29B" w14:textId="77777777">
      <w:pPr>
        <w:pStyle w:val="H1"/>
        <w:pageBreakBefore w:val="0"/>
        <w:spacing w:before="360"/>
        <w:rPr>
          <w:color w:val="00828C"/>
          <w:sz w:val="28"/>
          <w:szCs w:val="18"/>
        </w:rPr>
      </w:pPr>
      <w:bookmarkStart w:id="1011" w:name="P10S3"/>
      <w:bookmarkStart w:id="1012" w:name="_Toc201751445"/>
      <w:bookmarkStart w:id="1013" w:name="_Hlk183599106"/>
      <w:bookmarkEnd w:id="1011"/>
      <w:r w:rsidRPr="00990D3B">
        <w:rPr>
          <w:color w:val="00828C"/>
          <w:sz w:val="28"/>
          <w:szCs w:val="18"/>
        </w:rPr>
        <w:t>Section III. Calculate MAC QRS Measure Performance Rates</w:t>
      </w:r>
      <w:bookmarkEnd w:id="1012"/>
    </w:p>
    <w:p w:rsidR="001A3542" w:rsidRPr="00990D3B" w:rsidP="009F7DD4" w14:paraId="17D1B443" w14:textId="77777777">
      <w:pPr>
        <w:pStyle w:val="ParagraphContinued"/>
      </w:pPr>
      <w:r w:rsidRPr="00990D3B">
        <w:t>Section III describes the activities associated with calculating MAC QRS measure performance rates, including collecting and integrating data, calculating the rates, and stratifying them. While not required, this section also provides guidance for validating measure performance rates.</w:t>
      </w:r>
    </w:p>
    <w:p w:rsidR="001A3542" w:rsidRPr="00990D3B" w:rsidP="00666AC0" w14:paraId="62FD1A8C" w14:textId="77777777">
      <w:pPr>
        <w:pStyle w:val="Paragraph0"/>
      </w:pPr>
      <w:r w:rsidRPr="00990D3B">
        <w:t>The process for calculating measure performance rates for each MCP depends on whether and how the MCP has already calculated the measure:</w:t>
      </w:r>
    </w:p>
    <w:p w:rsidR="001A3542" w:rsidRPr="00990D3B" w:rsidP="00FB7CAF" w14:paraId="22F04D25" w14:textId="77777777">
      <w:pPr>
        <w:pStyle w:val="EQRBulletBLUE"/>
      </w:pPr>
      <w:r w:rsidRPr="00990D3B">
        <w:t xml:space="preserve">For measure performance rates that have </w:t>
      </w:r>
      <w:r w:rsidRPr="00990D3B">
        <w:rPr>
          <w:b/>
          <w:bCs/>
        </w:rPr>
        <w:t>not yet been calculated</w:t>
      </w:r>
      <w:r w:rsidRPr="00990D3B">
        <w:t>, proceed to Activity III.1.</w:t>
      </w:r>
    </w:p>
    <w:p w:rsidR="001A3542" w:rsidRPr="00990D3B" w:rsidP="00FB7CAF" w14:paraId="77CC4793" w14:textId="125B9CEA">
      <w:pPr>
        <w:pStyle w:val="EQRBulletBLUE"/>
      </w:pPr>
      <w:r w:rsidRPr="00990D3B">
        <w:t xml:space="preserve">For measure performance rates that </w:t>
      </w:r>
      <w:r w:rsidRPr="00990D3B">
        <w:rPr>
          <w:b/>
          <w:bCs/>
        </w:rPr>
        <w:t>have already been calculated</w:t>
      </w:r>
      <w:r w:rsidRPr="00990D3B">
        <w:t>, proceed to Activity</w:t>
      </w:r>
      <w:r w:rsidRPr="00990D3B" w:rsidR="003B28F9">
        <w:t> </w:t>
      </w:r>
      <w:r w:rsidRPr="00990D3B">
        <w:t>III.4.</w:t>
      </w:r>
      <w:r>
        <w:rPr>
          <w:rStyle w:val="FootnoteReference"/>
        </w:rPr>
        <w:footnoteReference w:id="108"/>
      </w:r>
    </w:p>
    <w:p w:rsidR="001A3542" w:rsidRPr="00990D3B" w:rsidP="00FB7CAF" w14:paraId="72E2C903" w14:textId="2DECD22A">
      <w:pPr>
        <w:pStyle w:val="EQRBulletBLUE"/>
      </w:pPr>
      <w:r w:rsidRPr="00990D3B">
        <w:t xml:space="preserve">For measure performance rates that have been calculated and stratified by required </w:t>
      </w:r>
      <w:r w:rsidRPr="00990D3B" w:rsidR="00F768C5">
        <w:t xml:space="preserve">and/or state-selected </w:t>
      </w:r>
      <w:r w:rsidRPr="00990D3B">
        <w:t>demographic factors, proceed to Activity III.5.</w:t>
      </w:r>
    </w:p>
    <w:p w:rsidR="001A3542" w:rsidRPr="00990D3B" w:rsidP="00FB7CAF" w14:paraId="0146669D" w14:textId="77777777">
      <w:pPr>
        <w:pStyle w:val="EQRBulletBLUE"/>
      </w:pPr>
      <w:r w:rsidRPr="00990D3B">
        <w:t xml:space="preserve">For measure performance rates that </w:t>
      </w:r>
      <w:r w:rsidRPr="00990D3B">
        <w:rPr>
          <w:b/>
          <w:bCs/>
        </w:rPr>
        <w:t>have been calculated, stratified, and validated</w:t>
      </w:r>
      <w:r w:rsidRPr="00990D3B">
        <w:t>, proceed to Activity III.6.</w:t>
      </w:r>
    </w:p>
    <w:p w:rsidR="001A3542" w:rsidRPr="00990D3B" w:rsidP="00666AC0" w14:paraId="04DB4585" w14:textId="77777777">
      <w:pPr>
        <w:pStyle w:val="Paragraph0"/>
      </w:pPr>
    </w:p>
    <w:p w:rsidR="001A3542" w:rsidRPr="00990D3B" w:rsidP="00666AC0" w14:paraId="6B06A06F" w14:textId="77777777">
      <w:pPr>
        <w:pStyle w:val="H2"/>
      </w:pPr>
      <w:bookmarkStart w:id="1014" w:name="P10S2A31"/>
      <w:bookmarkStart w:id="1015" w:name="P10S3A1"/>
      <w:bookmarkStart w:id="1016" w:name="_Toc201751446"/>
      <w:bookmarkEnd w:id="1013"/>
      <w:bookmarkEnd w:id="1014"/>
      <w:bookmarkEnd w:id="1015"/>
      <w:r w:rsidRPr="00990D3B">
        <w:t>Activity III.1: Collect Data</w:t>
      </w:r>
      <w:bookmarkEnd w:id="1016"/>
    </w:p>
    <w:p w:rsidR="001A3542" w:rsidRPr="00990D3B" w:rsidP="009F7DD4" w14:paraId="7845B299" w14:textId="77777777">
      <w:pPr>
        <w:pStyle w:val="ParagraphContinued"/>
      </w:pPr>
      <w:r w:rsidRPr="00990D3B">
        <w:t xml:space="preserve">In this activity, </w:t>
      </w:r>
      <w:r w:rsidRPr="00990D3B">
        <w:t xml:space="preserve">the </w:t>
      </w:r>
      <w:r w:rsidRPr="00990D3B">
        <w:t xml:space="preserve">EQRO obtains the data necessary to </w:t>
      </w:r>
      <w:r w:rsidRPr="00990D3B">
        <w:t>calculate measure</w:t>
      </w:r>
      <w:r w:rsidRPr="00990D3B">
        <w:t xml:space="preserve"> performance rates for each MCP. In addition to the rated MCP’s data, this might include data from another MCP, the state’s Medicaid FFS program, or Medicare.</w:t>
      </w:r>
      <w:r>
        <w:rPr>
          <w:rStyle w:val="FootnoteReference"/>
        </w:rPr>
        <w:footnoteReference w:id="109"/>
      </w:r>
      <w:r w:rsidRPr="00990D3B">
        <w:t xml:space="preserve"> </w:t>
      </w:r>
    </w:p>
    <w:p w:rsidR="001A3542" w:rsidRPr="00990D3B" w:rsidP="00666AC0" w14:paraId="24E1844E" w14:textId="77777777">
      <w:pPr>
        <w:pStyle w:val="Paragraph0"/>
      </w:pPr>
      <w:r w:rsidRPr="00990D3B">
        <w:t xml:space="preserve">For each entity providing data, the EQRO specifies the required transmission method and ensures that appropriate privacy and security safeguards are in place. To ensure accurate and complete data, the EQRO can also develop a standardized file format that specifies the data file’s content and structure and provides definitions for all data fields. </w:t>
      </w:r>
    </w:p>
    <w:p w:rsidR="001A3542" w:rsidRPr="00990D3B" w:rsidP="00666AC0" w14:paraId="7A9D6D63" w14:textId="580D2672">
      <w:pPr>
        <w:pStyle w:val="Paragraph0"/>
      </w:pPr>
      <w:r w:rsidRPr="00990D3B">
        <w:t xml:space="preserve">For more information on collecting and preparing data, review </w:t>
      </w:r>
      <w:hyperlink w:anchor="P7A1Step2" w:tooltip="Protocol 7, Activity 1, Step 2" w:history="1">
        <w:r w:rsidRPr="00990D3B">
          <w:rPr>
            <w:rStyle w:val="Hyperlink"/>
          </w:rPr>
          <w:t>Protocol 7, Activity 1, Steps 2</w:t>
        </w:r>
      </w:hyperlink>
      <w:r w:rsidRPr="00990D3B">
        <w:t xml:space="preserve"> and </w:t>
      </w:r>
      <w:hyperlink w:anchor="P7A1Step3" w:history="1">
        <w:r w:rsidRPr="00990D3B">
          <w:rPr>
            <w:rStyle w:val="Hyperlink"/>
          </w:rPr>
          <w:t>3</w:t>
        </w:r>
      </w:hyperlink>
      <w:r w:rsidRPr="00990D3B">
        <w:t>.</w:t>
      </w:r>
      <w:r w:rsidRPr="00990D3B">
        <w:rPr>
          <w:color w:val="1CA8B7"/>
        </w:rPr>
        <w:t xml:space="preserve"> </w:t>
      </w:r>
      <w:hyperlink w:anchor="Box10n6" w:tooltip="Box 10.6" w:history="1">
        <w:r w:rsidRPr="00990D3B">
          <w:rPr>
            <w:rStyle w:val="Hyperlink"/>
          </w:rPr>
          <w:t>Box 10.6</w:t>
        </w:r>
      </w:hyperlink>
      <w:r w:rsidRPr="00990D3B">
        <w:t xml:space="preserve"> includes specific considerations for requesting Medicare data. </w:t>
      </w:r>
    </w:p>
    <w:tbl>
      <w:tblPr>
        <w:tblStyle w:val="TableGrid"/>
        <w:tblW w:w="9337" w:type="dxa"/>
        <w:jc w:val="center"/>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37"/>
      </w:tblGrid>
      <w:tr w14:paraId="689A2FD8" w14:textId="77777777" w:rsidTr="00666AC0">
        <w:tblPrEx>
          <w:tblW w:w="9337" w:type="dxa"/>
          <w:jc w:val="center"/>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216"/>
          <w:jc w:val="center"/>
        </w:trPr>
        <w:tc>
          <w:tcPr>
            <w:tcW w:w="9337" w:type="dxa"/>
            <w:shd w:val="clear" w:color="auto" w:fill="EEF5F8"/>
          </w:tcPr>
          <w:p w:rsidR="001A3542" w:rsidRPr="00990D3B" w14:paraId="047A72FE" w14:textId="77777777">
            <w:pPr>
              <w:pStyle w:val="EQRTextboxheading"/>
              <w:keepNext/>
              <w:spacing w:before="0" w:after="0"/>
            </w:pPr>
            <w:bookmarkStart w:id="1017" w:name="Box10n6"/>
            <w:bookmarkEnd w:id="1017"/>
            <w:r w:rsidRPr="00990D3B">
              <w:t xml:space="preserve">Box 10.6. Considerations for Accessing Medicare Data  </w:t>
            </w:r>
          </w:p>
        </w:tc>
      </w:tr>
      <w:tr w14:paraId="603656A6" w14:textId="77777777" w:rsidTr="00666AC0">
        <w:tblPrEx>
          <w:tblW w:w="9337" w:type="dxa"/>
          <w:jc w:val="center"/>
          <w:tblCellMar>
            <w:top w:w="72" w:type="dxa"/>
            <w:left w:w="173" w:type="dxa"/>
            <w:bottom w:w="72" w:type="dxa"/>
            <w:right w:w="173" w:type="dxa"/>
          </w:tblCellMar>
          <w:tblLook w:val="04A0"/>
        </w:tblPrEx>
        <w:trPr>
          <w:cantSplit/>
          <w:trHeight w:val="1296"/>
          <w:jc w:val="center"/>
        </w:trPr>
        <w:tc>
          <w:tcPr>
            <w:tcW w:w="9337" w:type="dxa"/>
            <w:shd w:val="clear" w:color="auto" w:fill="EEF5F8"/>
          </w:tcPr>
          <w:p w:rsidR="001A3542" w:rsidRPr="00990D3B" w:rsidP="001A3542" w14:paraId="7E2A6CCC" w14:textId="77777777">
            <w:pPr>
              <w:pStyle w:val="EQRTextboxbullet"/>
            </w:pPr>
            <w:r w:rsidRPr="00990D3B">
              <w:t>For MCPs that enroll beneficiaries who are dually eligible, Medicare data may be necessary to calculate measure performance rates for certain MAC QRS quality measures. Relevant data include Medicare Parts A (inpatient coverage), B (outpatient and medical coverage), C (Medicare Advantage), and D (prescription drug coverage).</w:t>
            </w:r>
          </w:p>
          <w:p w:rsidR="001A3542" w:rsidRPr="00990D3B" w:rsidP="001A3542" w14:paraId="3C9CCD90" w14:textId="77777777">
            <w:pPr>
              <w:pStyle w:val="EQRTextboxbullet"/>
            </w:pPr>
            <w:r w:rsidRPr="00990D3B">
              <w:t>Medicare Parts A and B claims, Part D Prescription Drug Event files, and other data files are accessible upon request from the State Data Resource Center (SDRC).</w:t>
            </w:r>
            <w:r>
              <w:rPr>
                <w:rStyle w:val="FootnoteReference"/>
                <w:rFonts w:asciiTheme="majorHAnsi" w:hAnsiTheme="majorHAnsi" w:cstheme="majorHAnsi"/>
                <w:color w:val="00559D" w:themeColor="text2"/>
              </w:rPr>
              <w:footnoteReference w:id="110"/>
            </w:r>
            <w:r w:rsidRPr="00990D3B">
              <w:t xml:space="preserve"> </w:t>
            </w:r>
          </w:p>
          <w:p w:rsidR="001A3542" w:rsidRPr="00990D3B" w:rsidP="001A3542" w14:paraId="6686E61A" w14:textId="77777777">
            <w:pPr>
              <w:pStyle w:val="EQRTextboxbullet"/>
            </w:pPr>
            <w:r w:rsidRPr="00990D3B">
              <w:t>All entities handling Medicare data must comply with CMS privacy and security regulations. The EQRO must establish secure data-sharing protocols with all parties accessing the data to ensure compliance. The EQRO should also document how the Medicare data are used to maintain audit trails and demonstrate compliance with CMS rules and privacy regulations.</w:t>
            </w:r>
          </w:p>
        </w:tc>
      </w:tr>
    </w:tbl>
    <w:p w:rsidR="001A3542" w:rsidRPr="00990D3B" w:rsidP="00666AC0" w14:paraId="665ED485" w14:textId="77777777">
      <w:pPr>
        <w:pStyle w:val="H2"/>
      </w:pPr>
      <w:bookmarkStart w:id="1018" w:name="P10S2A32"/>
      <w:bookmarkStart w:id="1019" w:name="P10S3A2"/>
      <w:bookmarkStart w:id="1020" w:name="_Toc201751447"/>
      <w:bookmarkEnd w:id="1018"/>
      <w:bookmarkEnd w:id="1019"/>
      <w:r w:rsidRPr="00990D3B">
        <w:t>Activity III.2: Integrate Data</w:t>
      </w:r>
      <w:bookmarkEnd w:id="1020"/>
      <w:r w:rsidRPr="00990D3B">
        <w:t xml:space="preserve"> </w:t>
      </w:r>
    </w:p>
    <w:p w:rsidR="001A3542" w:rsidRPr="00990D3B" w:rsidP="00F924B0" w14:paraId="5F0BEF5F" w14:textId="73D83634">
      <w:pPr>
        <w:pStyle w:val="ParagraphContinued"/>
      </w:pPr>
      <w:r w:rsidRPr="00990D3B">
        <w:t>Some MAC QRS quality measures require data from multiple sources, which must be integrated to calculate the measure performance rates. In this activity, the EQRO integrates the data necessary to calculate each rate. The EQRO also validates the combined dataset to ensure its integrity and reliability. If a measure only relies on data from a single MCP, proceed to Activity</w:t>
      </w:r>
      <w:r w:rsidRPr="00990D3B" w:rsidR="00F924B0">
        <w:t> </w:t>
      </w:r>
      <w:r w:rsidRPr="00990D3B">
        <w:t xml:space="preserve">III.3. </w:t>
      </w:r>
    </w:p>
    <w:p w:rsidR="001A3542" w:rsidRPr="00990D3B" w:rsidP="00666AC0" w14:paraId="67EAEF6B" w14:textId="26811C9E">
      <w:pPr>
        <w:pStyle w:val="Paragraph0"/>
      </w:pPr>
      <w:r w:rsidRPr="00990D3B">
        <w:t xml:space="preserve">The integration process may vary based on the data source, quality, and type. Generally, however, it includes standardizing data formats and coding systems (e.g., </w:t>
      </w:r>
      <w:bookmarkStart w:id="1021" w:name="_Hlk194575829"/>
      <w:r w:rsidRPr="00990D3B">
        <w:t>CPT</w:t>
      </w:r>
      <w:r w:rsidRPr="00990D3B">
        <w:rPr>
          <w:rFonts w:cs="Arial"/>
        </w:rPr>
        <w:t>®</w:t>
      </w:r>
      <w:r w:rsidRPr="00990D3B">
        <w:rPr>
          <w:rFonts w:ascii="ZWAdobeF" w:hAnsi="ZWAdobeF" w:cs="ZWAdobeF"/>
          <w:sz w:val="2"/>
          <w:szCs w:val="2"/>
        </w:rPr>
        <w:t>50F</w:t>
      </w:r>
      <w:bookmarkEnd w:id="1021"/>
      <w:r w:rsidRPr="00990D3B">
        <w:t xml:space="preserve">, ICD, HCPCS), reconciling discrepancies across data sources, and addressing gaps or inconsistencies to ensure a </w:t>
      </w:r>
      <w:r w:rsidRPr="00990D3B">
        <w:t xml:space="preserve">comprehensive and accurate dataset. For information on integrating data from multiple entities, review </w:t>
      </w:r>
      <w:hyperlink w:anchor="P7A2Step3" w:tooltip="Protocol 7, Activity 2, Steps 3" w:history="1">
        <w:r w:rsidRPr="00990D3B">
          <w:rPr>
            <w:rStyle w:val="Hyperlink"/>
          </w:rPr>
          <w:t>Protocol 7, Activity 2, Steps 3</w:t>
        </w:r>
      </w:hyperlink>
      <w:r w:rsidRPr="00990D3B">
        <w:t xml:space="preserve"> and</w:t>
      </w:r>
      <w:r w:rsidRPr="00990D3B">
        <w:rPr>
          <w:color w:val="1CA8B7"/>
        </w:rPr>
        <w:t xml:space="preserve"> </w:t>
      </w:r>
      <w:hyperlink w:anchor="P7A2Step4" w:tooltip="4" w:history="1">
        <w:r w:rsidRPr="00990D3B">
          <w:rPr>
            <w:rStyle w:val="Hyperlink"/>
          </w:rPr>
          <w:t>4</w:t>
        </w:r>
      </w:hyperlink>
      <w:r w:rsidRPr="00990D3B">
        <w:t xml:space="preserve">. </w:t>
      </w:r>
      <w:r w:rsidRPr="00A3358C">
        <w:rPr>
          <w:color w:val="005968"/>
        </w:rPr>
        <w:t xml:space="preserve">Box 10.4 </w:t>
      </w:r>
      <w:r w:rsidRPr="00990D3B">
        <w:t>(above) includes additional considerations for assessing and preparing Medicaid FFS data for integration.</w:t>
      </w:r>
    </w:p>
    <w:p w:rsidR="001A3542" w:rsidRPr="00990D3B" w:rsidP="00666AC0" w14:paraId="3AEFC8E4" w14:textId="486F5FA3">
      <w:pPr>
        <w:spacing w:before="100" w:beforeAutospacing="1" w:after="100" w:afterAutospacing="1" w:line="240" w:lineRule="auto"/>
      </w:pPr>
      <w:r w:rsidRPr="00990D3B">
        <w:rPr>
          <w:rFonts w:ascii="Times New Roman" w:hAnsi="Times New Roman"/>
          <w:szCs w:val="24"/>
        </w:rPr>
        <w:t xml:space="preserve">For MCPs with dually eligible beneficiaries, integrating data requires careful attention to ensure accuracy. Services for these beneficiaries may be documented in both Medicare and Medicaid datasets, making it essential to reconcile and align the data to prevent duplication, omissions, and inconsistencies. </w:t>
      </w:r>
      <w:hyperlink w:anchor="Box10n5" w:history="1">
        <w:r w:rsidRPr="00990D3B">
          <w:rPr>
            <w:rStyle w:val="Hyperlink"/>
            <w:rFonts w:ascii="Times New Roman" w:hAnsi="Times New Roman"/>
            <w:szCs w:val="24"/>
          </w:rPr>
          <w:t>Box 10.5</w:t>
        </w:r>
      </w:hyperlink>
      <w:r w:rsidRPr="00990D3B">
        <w:rPr>
          <w:rFonts w:ascii="Times New Roman" w:hAnsi="Times New Roman"/>
          <w:color w:val="1CA8B7"/>
          <w:szCs w:val="24"/>
        </w:rPr>
        <w:t xml:space="preserve"> </w:t>
      </w:r>
      <w:r w:rsidRPr="00990D3B">
        <w:t xml:space="preserve">(above) </w:t>
      </w:r>
      <w:r w:rsidRPr="00990D3B">
        <w:rPr>
          <w:rFonts w:ascii="Times New Roman" w:hAnsi="Times New Roman"/>
          <w:szCs w:val="24"/>
        </w:rPr>
        <w:t>includes considerations for assessing and preparing Medicare data for integration.</w:t>
      </w:r>
      <w:r>
        <w:rPr>
          <w:rStyle w:val="FootnoteReference"/>
        </w:rPr>
        <w:footnoteReference w:id="111"/>
      </w:r>
      <w:r w:rsidRPr="00990D3B">
        <w:rPr>
          <w:rFonts w:ascii="Times New Roman" w:hAnsi="Times New Roman"/>
          <w:szCs w:val="24"/>
        </w:rPr>
        <w:t xml:space="preserve"> </w:t>
      </w:r>
    </w:p>
    <w:p w:rsidR="001A3542" w:rsidRPr="00990D3B" w:rsidP="00666AC0" w14:paraId="1BFAB7AF" w14:textId="77777777">
      <w:pPr>
        <w:pStyle w:val="H2"/>
      </w:pPr>
      <w:bookmarkStart w:id="1022" w:name="P10S2A33"/>
      <w:bookmarkStart w:id="1023" w:name="P10S3A3"/>
      <w:bookmarkStart w:id="1024" w:name="_Toc201751448"/>
      <w:bookmarkEnd w:id="1022"/>
      <w:bookmarkEnd w:id="1023"/>
      <w:r w:rsidRPr="00990D3B">
        <w:t>Activity III.3: Calculate Measure Performance Rates</w:t>
      </w:r>
      <w:bookmarkEnd w:id="1024"/>
      <w:r w:rsidRPr="00990D3B">
        <w:t xml:space="preserve">   </w:t>
      </w:r>
    </w:p>
    <w:p w:rsidR="001A3542" w:rsidRPr="00990D3B" w:rsidP="00F924B0" w14:paraId="7C657AC7" w14:textId="63D0F513">
      <w:pPr>
        <w:pStyle w:val="ParagraphContinued"/>
      </w:pPr>
      <w:r w:rsidRPr="00990D3B">
        <w:t xml:space="preserve">In this activity, the EQRO calculates </w:t>
      </w:r>
      <w:r w:rsidRPr="00990D3B">
        <w:t>the measure</w:t>
      </w:r>
      <w:r w:rsidRPr="00990D3B">
        <w:t xml:space="preserve"> performance rates for MAC QRS quality measures following the technical specifications provided by the state.</w:t>
      </w:r>
      <w:r>
        <w:rPr>
          <w:rStyle w:val="FootnoteReference"/>
        </w:rPr>
        <w:footnoteReference w:id="112"/>
      </w:r>
      <w:r w:rsidRPr="00990D3B">
        <w:t xml:space="preserve">  For more information on calculating measure performance rates, review </w:t>
      </w:r>
      <w:hyperlink w:anchor="P7A2Step5" w:history="1">
        <w:r w:rsidRPr="00990D3B">
          <w:rPr>
            <w:rStyle w:val="Hyperlink"/>
          </w:rPr>
          <w:t>Protocol 7, Activity 2, Step 5</w:t>
        </w:r>
      </w:hyperlink>
      <w:r w:rsidRPr="00990D3B">
        <w:t xml:space="preserve">. </w:t>
      </w:r>
    </w:p>
    <w:p w:rsidR="001A3542" w:rsidRPr="00990D3B" w:rsidP="00666AC0" w14:paraId="5C242C10" w14:textId="6408874A">
      <w:pPr>
        <w:pStyle w:val="Paragraph0"/>
      </w:pPr>
      <w:r w:rsidRPr="00990D3B">
        <w:t>Some measure performance rates are derived from surveys rather than claims or MCP encounter data. For detailed guidance on calculating measure performance rates for survey measures, review Protocol 6, Section I</w:t>
      </w:r>
      <w:r w:rsidRPr="00A3358C" w:rsidR="003B28F9">
        <w:rPr>
          <w:color w:val="005968"/>
        </w:rPr>
        <w:t>.</w:t>
      </w:r>
      <w:r w:rsidRPr="00A3358C">
        <w:rPr>
          <w:color w:val="005968"/>
        </w:rPr>
        <w:t xml:space="preserve"> </w:t>
      </w:r>
      <w:r w:rsidRPr="00990D3B">
        <w:t>If the survey has already been conducted, and the MCP enrolls dually eligible beneficiaries, review the survey methodology to ensure these beneficiaries were accounted for in the survey responses and data analysis. If available, this information can help ensure consistency and alignment with stratification and reporting requirements.</w:t>
      </w:r>
    </w:p>
    <w:p w:rsidR="001A3542" w:rsidRPr="00990D3B" w:rsidP="00666AC0" w14:paraId="72BB40BE" w14:textId="77777777">
      <w:pPr>
        <w:pStyle w:val="H2"/>
      </w:pPr>
      <w:bookmarkStart w:id="1025" w:name="P10S2A34"/>
      <w:bookmarkStart w:id="1026" w:name="P10S3A4"/>
      <w:bookmarkStart w:id="1027" w:name="_Toc201751449"/>
      <w:bookmarkEnd w:id="1025"/>
      <w:bookmarkEnd w:id="1026"/>
      <w:r w:rsidRPr="00990D3B">
        <w:t>Activity III.4: Stratify Measure Performance Rates</w:t>
      </w:r>
      <w:bookmarkEnd w:id="1027"/>
      <w:r w:rsidRPr="00990D3B">
        <w:t xml:space="preserve">   </w:t>
      </w:r>
    </w:p>
    <w:p w:rsidR="00A83F9C" w:rsidRPr="00990D3B" w:rsidP="00A83F9C" w14:paraId="783D9BEF" w14:textId="7A2D2867">
      <w:pPr>
        <w:spacing w:before="240"/>
        <w:rPr>
          <w:rFonts w:ascii="Times New Roman" w:hAnsi="Times New Roman"/>
        </w:rPr>
      </w:pPr>
      <w:r w:rsidRPr="00990D3B">
        <w:t xml:space="preserve">In this activity, the EQRO </w:t>
      </w:r>
      <w:r w:rsidRPr="00990D3B">
        <w:t>stratifies</w:t>
      </w:r>
      <w:r w:rsidRPr="00990D3B">
        <w:t xml:space="preserve"> the MAC QRS quality measures. </w:t>
      </w:r>
      <w:r w:rsidRPr="00990D3B">
        <w:rPr>
          <w:rFonts w:ascii="Times New Roman" w:hAnsi="Times New Roman"/>
        </w:rPr>
        <w:t>Stratification helps states identify differences in performance across MCPs and populations and focus improvement efforts. CMS releases annual stratification requirements,</w:t>
      </w:r>
      <w:r w:rsidR="00397F03">
        <w:rPr>
          <w:rFonts w:ascii="Times New Roman" w:hAnsi="Times New Roman"/>
        </w:rPr>
        <w:t xml:space="preserve"> </w:t>
      </w:r>
      <w:r w:rsidRPr="00990D3B">
        <w:rPr>
          <w:rFonts w:ascii="Times New Roman" w:hAnsi="Times New Roman"/>
        </w:rPr>
        <w:t>and states may choose to apply additional stratifications to gain deeper insights into populations of interest</w:t>
      </w:r>
      <w:r w:rsidR="00397F03">
        <w:rPr>
          <w:rFonts w:ascii="Times New Roman" w:hAnsi="Times New Roman"/>
        </w:rPr>
        <w:t>.</w:t>
      </w:r>
      <w:r>
        <w:rPr>
          <w:rStyle w:val="FootnoteReference"/>
          <w:rFonts w:ascii="Times New Roman" w:hAnsi="Times New Roman"/>
        </w:rPr>
        <w:footnoteReference w:id="113"/>
      </w:r>
      <w:r w:rsidRPr="00990D3B" w:rsidR="00397F03">
        <w:rPr>
          <w:rFonts w:ascii="Times New Roman" w:hAnsi="Times New Roman"/>
        </w:rPr>
        <w:t xml:space="preserve"> </w:t>
      </w:r>
      <w:r w:rsidRPr="00990D3B">
        <w:rPr>
          <w:rFonts w:ascii="Times New Roman" w:hAnsi="Times New Roman"/>
        </w:rPr>
        <w:t>This protocol focuses on</w:t>
      </w:r>
      <w:r w:rsidRPr="00990D3B" w:rsidR="00B374B9">
        <w:rPr>
          <w:rFonts w:ascii="Times New Roman" w:hAnsi="Times New Roman"/>
        </w:rPr>
        <w:t xml:space="preserve"> three</w:t>
      </w:r>
      <w:r w:rsidRPr="00990D3B">
        <w:rPr>
          <w:rFonts w:ascii="Times New Roman" w:hAnsi="Times New Roman"/>
        </w:rPr>
        <w:t xml:space="preserve"> stratifications commonly used by MCPs: dual eligibility status, </w:t>
      </w:r>
      <w:r w:rsidRPr="00990D3B" w:rsidR="00B374B9">
        <w:rPr>
          <w:rFonts w:ascii="Times New Roman" w:hAnsi="Times New Roman"/>
        </w:rPr>
        <w:t>geographic region</w:t>
      </w:r>
      <w:r w:rsidRPr="00990D3B">
        <w:rPr>
          <w:rFonts w:ascii="Times New Roman" w:hAnsi="Times New Roman"/>
        </w:rPr>
        <w:t xml:space="preserve">, and sex. </w:t>
      </w:r>
    </w:p>
    <w:p w:rsidR="001A3542" w:rsidRPr="00990D3B" w:rsidP="00F924B0" w14:paraId="14AFBE8C" w14:textId="6E942545">
      <w:pPr>
        <w:pStyle w:val="ParagraphContinued"/>
      </w:pPr>
    </w:p>
    <w:p w:rsidR="006742CC" w:rsidRPr="00990D3B" w:rsidP="006742CC" w14:paraId="5778EDA6" w14:textId="509539C0">
      <w:pPr>
        <w:pStyle w:val="H3"/>
      </w:pPr>
      <w:r w:rsidRPr="00990D3B">
        <w:t>Step 1: Stratify by Dual Eligibility Status</w:t>
      </w:r>
      <w:r>
        <w:rPr>
          <w:rStyle w:val="FootnoteReference"/>
          <w:rFonts w:ascii="Times New Roman" w:hAnsi="Times New Roman"/>
          <w:szCs w:val="24"/>
        </w:rPr>
        <w:footnoteReference w:id="114"/>
      </w:r>
      <w:r w:rsidRPr="00990D3B">
        <w:t xml:space="preserve"> </w:t>
      </w:r>
    </w:p>
    <w:p w:rsidR="001A3542" w:rsidRPr="00990D3B" w:rsidP="00F924B0" w14:paraId="395FEB64" w14:textId="5979B943">
      <w:pPr>
        <w:pStyle w:val="ParagraphContinued"/>
      </w:pPr>
      <w:r w:rsidRPr="00990D3B">
        <w:t>The EQRO first verifies the availability of dual eligibility data and confirms beneficiaries’ dual eligibility status for the reporting period for each MCP. Using the state’s definition of dual eligibility, the EQRO then stratifies the data accordingly.</w:t>
      </w:r>
      <w:r>
        <w:rPr>
          <w:rStyle w:val="FootnoteReference"/>
        </w:rPr>
        <w:footnoteReference w:id="115"/>
      </w:r>
      <w:r w:rsidRPr="00990D3B">
        <w:t xml:space="preserve"> </w:t>
      </w:r>
    </w:p>
    <w:p w:rsidR="001A3542" w:rsidRPr="00990D3B" w:rsidP="00F924B0" w14:paraId="2FD63BE9" w14:textId="77777777">
      <w:pPr>
        <w:pStyle w:val="Paragraph0"/>
      </w:pPr>
      <w:r w:rsidRPr="00990D3B">
        <w:t>In MCPs where dually eligible populations represent a small subset of total beneficiaries, the EQRO must apply state policies or CMS standards for small-cell suppression or aggregate data as needed to protect privacy.</w:t>
      </w:r>
      <w:r>
        <w:rPr>
          <w:rStyle w:val="FootnoteReference"/>
          <w:rFonts w:ascii="Times New Roman" w:hAnsi="Times New Roman"/>
          <w:szCs w:val="24"/>
        </w:rPr>
        <w:footnoteReference w:id="116"/>
      </w:r>
      <w:r w:rsidRPr="00990D3B">
        <w:t xml:space="preserve"> </w:t>
      </w:r>
    </w:p>
    <w:p w:rsidR="006742CC" w:rsidRPr="00990D3B" w:rsidP="006742CC" w14:paraId="3A45EBB8" w14:textId="5160E134">
      <w:pPr>
        <w:pStyle w:val="H3"/>
      </w:pPr>
      <w:r w:rsidRPr="00990D3B">
        <w:t xml:space="preserve">Step 2: Stratify by Geographic Region </w:t>
      </w:r>
    </w:p>
    <w:p w:rsidR="00AF6186" w:rsidRPr="00990D3B" w:rsidP="001E1AD9" w14:paraId="5BC40313" w14:textId="77777777">
      <w:pPr>
        <w:rPr>
          <w:rFonts w:cstheme="minorHAnsi"/>
        </w:rPr>
      </w:pPr>
      <w:r w:rsidRPr="00990D3B">
        <w:rPr>
          <w:rFonts w:cstheme="minorHAnsi"/>
        </w:rPr>
        <w:t>Geographic stratification can be particularly useful for identifying regional disparities in care access, quality, or outcomes, especially between rural and urban areas, frontier regions, or areas with known provider shortages. These insights can inform targeted interventions by the state and MCPs. Geographic stratification should balance the value of more granular analysis with the need to protect beneficiary privacy. In regions with small populations, the EQRO applies the state’s policies or CMS standards for small-cell suppression or aggregates data into larger geographic units as needed.</w:t>
      </w:r>
      <w:r>
        <w:rPr>
          <w:rStyle w:val="FootnoteReference"/>
          <w:rFonts w:cstheme="minorHAnsi"/>
        </w:rPr>
        <w:footnoteReference w:id="117"/>
      </w:r>
      <w:r w:rsidRPr="00990D3B">
        <w:rPr>
          <w:rFonts w:cstheme="minorHAnsi"/>
        </w:rPr>
        <w:t xml:space="preserve">  </w:t>
      </w:r>
    </w:p>
    <w:p w:rsidR="001E1AD9" w:rsidRPr="00990D3B" w:rsidP="001E1AD9" w14:paraId="6BCFB084" w14:textId="4E9F992C">
      <w:pPr>
        <w:rPr>
          <w:rFonts w:cstheme="minorHAnsi"/>
        </w:rPr>
      </w:pPr>
      <w:r w:rsidRPr="00990D3B">
        <w:rPr>
          <w:rFonts w:cstheme="minorHAnsi"/>
        </w:rPr>
        <w:t xml:space="preserve">The EQRO first confirms the availability and completeness of geographic data for each MCP. Location information may be based on </w:t>
      </w:r>
      <w:r w:rsidRPr="00990D3B" w:rsidR="00BD00D3">
        <w:rPr>
          <w:rFonts w:cstheme="minorHAnsi"/>
        </w:rPr>
        <w:t xml:space="preserve">a consistent reference point, such as </w:t>
      </w:r>
      <w:r w:rsidRPr="00990D3B">
        <w:rPr>
          <w:rFonts w:cstheme="minorHAnsi"/>
        </w:rPr>
        <w:t xml:space="preserve">beneficiary address at enrollment or another </w:t>
      </w:r>
      <w:r w:rsidRPr="00990D3B" w:rsidR="00BD00D3">
        <w:rPr>
          <w:rFonts w:cstheme="minorHAnsi"/>
        </w:rPr>
        <w:t>specified point during the measurement</w:t>
      </w:r>
      <w:r w:rsidRPr="00990D3B">
        <w:rPr>
          <w:rFonts w:cstheme="minorHAnsi"/>
        </w:rPr>
        <w:t xml:space="preserve"> period. </w:t>
      </w:r>
    </w:p>
    <w:p w:rsidR="00BD00D3" w:rsidRPr="00990D3B" w:rsidP="00BD00D3" w14:paraId="3812D679" w14:textId="1B1B2D46">
      <w:pPr>
        <w:rPr>
          <w:rFonts w:ascii="Times New Roman" w:hAnsi="Times New Roman"/>
        </w:rPr>
      </w:pPr>
      <w:r w:rsidRPr="00990D3B">
        <w:rPr>
          <w:rFonts w:ascii="Times New Roman" w:hAnsi="Times New Roman"/>
        </w:rPr>
        <w:t xml:space="preserve">If geographic stratification requires integrating data from multiple sources—such as Medicaid enrollment files, U.S. Census rural/urban classifications, or Health Resources and Services Administration (HRSA) shortage area designations—the EQRO verifies that definitions and classifications are consistently applied. Any differences in definitions are reconciled, documented, and clearly described in the </w:t>
      </w:r>
      <w:r w:rsidRPr="00990D3B" w:rsidR="00F00F02">
        <w:rPr>
          <w:rFonts w:ascii="Times New Roman" w:hAnsi="Times New Roman"/>
        </w:rPr>
        <w:t>report to the state</w:t>
      </w:r>
      <w:r w:rsidRPr="00990D3B">
        <w:rPr>
          <w:rFonts w:ascii="Times New Roman" w:hAnsi="Times New Roman"/>
        </w:rPr>
        <w:t xml:space="preserve">. </w:t>
      </w:r>
    </w:p>
    <w:p w:rsidR="0054185D" w:rsidRPr="00990D3B" w:rsidP="00BD00D3" w14:paraId="2872B088" w14:textId="5F652516">
      <w:pPr>
        <w:rPr>
          <w:rFonts w:ascii="Times New Roman" w:hAnsi="Times New Roman"/>
        </w:rPr>
      </w:pPr>
      <w:r w:rsidRPr="00990D3B">
        <w:rPr>
          <w:rFonts w:ascii="Times New Roman" w:hAnsi="Times New Roman"/>
        </w:rPr>
        <w:t xml:space="preserve">If </w:t>
      </w:r>
      <w:r w:rsidRPr="00990D3B">
        <w:rPr>
          <w:rFonts w:ascii="Times New Roman" w:hAnsi="Times New Roman"/>
        </w:rPr>
        <w:t>stratifying</w:t>
      </w:r>
      <w:r w:rsidRPr="00990D3B">
        <w:rPr>
          <w:rFonts w:ascii="Times New Roman" w:hAnsi="Times New Roman"/>
        </w:rPr>
        <w:t xml:space="preserve"> by urban and rural classifications, the EQRO can use a</w:t>
      </w:r>
      <w:r w:rsidRPr="00990D3B">
        <w:rPr>
          <w:rFonts w:ascii="Times New Roman" w:hAnsi="Times New Roman"/>
        </w:rPr>
        <w:t xml:space="preserve"> minimum standard of Core-Based Statistical Areas (CBSA) codes.</w:t>
      </w:r>
      <w:r>
        <w:rPr>
          <w:rStyle w:val="FootnoteReference"/>
          <w:rFonts w:ascii="Times New Roman" w:hAnsi="Times New Roman"/>
        </w:rPr>
        <w:footnoteReference w:id="118"/>
      </w:r>
      <w:r w:rsidRPr="00990D3B">
        <w:rPr>
          <w:rFonts w:ascii="Times New Roman" w:hAnsi="Times New Roman"/>
        </w:rPr>
        <w:t xml:space="preserve"> CMS recommends moving towards using Rural-Urban </w:t>
      </w:r>
      <w:r w:rsidRPr="00990D3B">
        <w:rPr>
          <w:rFonts w:ascii="Times New Roman" w:hAnsi="Times New Roman"/>
        </w:rPr>
        <w:t>Community Area (RUCA) codes, as the RUCA standard is more granular than CBSAs and enables more accurate identification of rural areas.</w:t>
      </w:r>
      <w:r>
        <w:rPr>
          <w:rStyle w:val="FootnoteReference"/>
          <w:rFonts w:ascii="Times New Roman" w:hAnsi="Times New Roman"/>
        </w:rPr>
        <w:footnoteReference w:id="119"/>
      </w:r>
      <w:r w:rsidRPr="00990D3B">
        <w:rPr>
          <w:rFonts w:ascii="Times New Roman" w:hAnsi="Times New Roman"/>
        </w:rPr>
        <w:t xml:space="preserve"> </w:t>
      </w:r>
    </w:p>
    <w:p w:rsidR="001E1AD9" w:rsidRPr="00990D3B" w:rsidP="001E1AD9" w14:paraId="56FFDD9E" w14:textId="5394AB02">
      <w:pPr>
        <w:rPr>
          <w:rFonts w:ascii="Times New Roman" w:hAnsi="Times New Roman"/>
        </w:rPr>
      </w:pPr>
      <w:r w:rsidRPr="00990D3B">
        <w:rPr>
          <w:rFonts w:ascii="Times New Roman" w:hAnsi="Times New Roman"/>
        </w:rPr>
        <w:t>The EQRO then reviews stratified results for unexpected patterns or anomalies, such as large variations between neighboring areas, which could indicate data quality issues. If anomalies are identified, the EQRO documents them in its report to the state along with any implications for measure reporting.</w:t>
      </w:r>
      <w:r w:rsidRPr="00990D3B" w:rsidR="0072031C">
        <w:rPr>
          <w:rFonts w:ascii="Times New Roman" w:hAnsi="Times New Roman"/>
        </w:rPr>
        <w:t xml:space="preserve"> </w:t>
      </w:r>
      <w:r w:rsidRPr="00A3358C" w:rsidR="00F53889">
        <w:rPr>
          <w:color w:val="005968"/>
        </w:rPr>
        <w:t xml:space="preserve">Box 10.7 </w:t>
      </w:r>
      <w:r w:rsidRPr="00990D3B" w:rsidR="0072031C">
        <w:t>outlines considerations for stratifying measures calculated using multiple data sources by geographic regions. Considerations for Stratifying Multi-Source Measures by Geographic Region.</w:t>
      </w:r>
    </w:p>
    <w:tbl>
      <w:tblPr>
        <w:tblStyle w:val="TableGrid"/>
        <w:tblW w:w="0" w:type="auto"/>
        <w:jc w:val="center"/>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180"/>
      </w:tblGrid>
      <w:tr w14:paraId="3CED9A17" w14:textId="19B5A3F7" w:rsidTr="00666AC0">
        <w:tblPrEx>
          <w:tblW w:w="0" w:type="auto"/>
          <w:jc w:val="center"/>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216"/>
          <w:jc w:val="center"/>
        </w:trPr>
        <w:tc>
          <w:tcPr>
            <w:tcW w:w="9180" w:type="dxa"/>
            <w:shd w:val="clear" w:color="auto" w:fill="EEF5F8"/>
          </w:tcPr>
          <w:p w:rsidR="0072031C" w:rsidRPr="00990D3B" w:rsidP="00666AC0" w14:paraId="7856B913" w14:textId="77777777">
            <w:pPr>
              <w:pStyle w:val="EQRTextboxheading"/>
              <w:keepNext/>
              <w:spacing w:before="0" w:after="0"/>
            </w:pPr>
            <w:bookmarkStart w:id="1028" w:name="Box10n7"/>
            <w:r w:rsidRPr="00990D3B">
              <w:t>Box 10.7</w:t>
            </w:r>
            <w:bookmarkEnd w:id="1028"/>
            <w:r w:rsidRPr="00990D3B">
              <w:t>.  Considerations for Stratifying Multi-Source Measures by Geographic Region.</w:t>
            </w:r>
          </w:p>
          <w:p w:rsidR="001A3542" w:rsidRPr="00990D3B" w:rsidP="00666AC0" w14:paraId="0B93B759" w14:textId="359F1B40">
            <w:pPr>
              <w:pStyle w:val="EQRTextboxheading"/>
              <w:keepNext/>
              <w:spacing w:before="0" w:after="0"/>
              <w:rPr>
                <w:rFonts w:ascii="Arial" w:hAnsi="Arial"/>
              </w:rPr>
            </w:pPr>
          </w:p>
        </w:tc>
      </w:tr>
      <w:tr w14:paraId="6502FED7" w14:textId="5219CF12" w:rsidTr="00FC26A4">
        <w:tblPrEx>
          <w:tblW w:w="0" w:type="auto"/>
          <w:jc w:val="center"/>
          <w:tblCellMar>
            <w:top w:w="72" w:type="dxa"/>
            <w:left w:w="173" w:type="dxa"/>
            <w:bottom w:w="72" w:type="dxa"/>
            <w:right w:w="173" w:type="dxa"/>
          </w:tblCellMar>
          <w:tblLook w:val="04A0"/>
        </w:tblPrEx>
        <w:trPr>
          <w:cantSplit/>
          <w:trHeight w:val="1980"/>
          <w:jc w:val="center"/>
        </w:trPr>
        <w:tc>
          <w:tcPr>
            <w:tcW w:w="9180" w:type="dxa"/>
            <w:shd w:val="clear" w:color="auto" w:fill="EEF5F8"/>
          </w:tcPr>
          <w:p w:rsidR="001A3542" w:rsidRPr="00990D3B" w:rsidP="001A3542" w14:paraId="023D2626" w14:textId="3E6653BE">
            <w:pPr>
              <w:pStyle w:val="EQRTextboxbullet"/>
            </w:pPr>
            <w:r w:rsidRPr="00990D3B">
              <w:t xml:space="preserve">The EQRO should ensure all data sources use consistent </w:t>
            </w:r>
            <w:r w:rsidRPr="00990D3B" w:rsidR="00FC26A4">
              <w:t xml:space="preserve">geographic </w:t>
            </w:r>
            <w:r w:rsidRPr="00990D3B">
              <w:t>definitions</w:t>
            </w:r>
            <w:r w:rsidRPr="00990D3B" w:rsidR="00FC26A4">
              <w:t xml:space="preserve">. </w:t>
            </w:r>
          </w:p>
          <w:p w:rsidR="001A3542" w:rsidRPr="00990D3B" w:rsidP="001A3542" w14:paraId="7EED1F59" w14:textId="1C85EB76">
            <w:pPr>
              <w:pStyle w:val="EQRTextboxbullet"/>
              <w:numPr>
                <w:ilvl w:val="1"/>
                <w:numId w:val="11"/>
              </w:numPr>
              <w:ind w:left="648"/>
            </w:pPr>
            <w:r w:rsidRPr="00990D3B">
              <w:t xml:space="preserve">Geographic units (e.g., county, ZIP code, metropolitan statistical area, rural/urban designation, health service area) should align across data sets, using the state’s standard definitions or CMS standards. </w:t>
            </w:r>
          </w:p>
          <w:p w:rsidR="001A3542" w:rsidRPr="00990D3B" w:rsidP="001A3542" w14:paraId="5B617E3D" w14:textId="3F873F76">
            <w:pPr>
              <w:pStyle w:val="EQRTextboxbullet"/>
            </w:pPr>
            <w:r w:rsidRPr="00990D3B">
              <w:t xml:space="preserve">If data sources use different codes (e.g., FIPS vs. ZIP code vs. custom state regions), the EQRO should create a crosswalk to align them. </w:t>
            </w:r>
            <w:r w:rsidRPr="00990D3B">
              <w:t xml:space="preserve">The EQRO should clearly document </w:t>
            </w:r>
            <w:r w:rsidRPr="00990D3B">
              <w:t xml:space="preserve">the crosswalk and how geographic regions </w:t>
            </w:r>
            <w:r w:rsidRPr="00990D3B" w:rsidR="00F00F02">
              <w:t>were mapped</w:t>
            </w:r>
            <w:r w:rsidRPr="00990D3B">
              <w:t xml:space="preserve"> or combined, along with any assumptions made during the process.  </w:t>
            </w:r>
          </w:p>
          <w:p w:rsidR="001A3542" w:rsidRPr="00990D3B" w:rsidP="001A3542" w14:paraId="711C47FF" w14:textId="0FEB549D">
            <w:pPr>
              <w:pStyle w:val="EQRTextboxbullet"/>
              <w:rPr>
                <w:sz w:val="18"/>
                <w:szCs w:val="18"/>
              </w:rPr>
            </w:pPr>
            <w:r w:rsidRPr="00990D3B">
              <w:t>The EQRO should clearly report any limitations caused by missing or incomplete data.</w:t>
            </w:r>
            <w:r w:rsidRPr="00990D3B">
              <w:rPr>
                <w:sz w:val="18"/>
                <w:szCs w:val="18"/>
              </w:rPr>
              <w:t xml:space="preserve"> </w:t>
            </w:r>
          </w:p>
        </w:tc>
      </w:tr>
    </w:tbl>
    <w:p w:rsidR="00BD00D3" w:rsidRPr="00990D3B" w:rsidP="00BD00D3" w14:paraId="7F96D5CA" w14:textId="77777777"/>
    <w:p w:rsidR="00BD00D3" w:rsidRPr="00990D3B" w:rsidP="00BD00D3" w14:paraId="6D0F3A6C" w14:textId="75608232">
      <w:pPr>
        <w:pStyle w:val="H3"/>
      </w:pPr>
      <w:r w:rsidRPr="00990D3B">
        <w:t xml:space="preserve">Step 3: Stratify by Sex </w:t>
      </w:r>
    </w:p>
    <w:p w:rsidR="001A3542" w:rsidRPr="00990D3B" w:rsidP="00F924B0" w14:paraId="2B3B1E95" w14:textId="68479B7D">
      <w:pPr>
        <w:pStyle w:val="ParagraphContinued"/>
      </w:pPr>
      <w:r w:rsidRPr="00990D3B">
        <w:t xml:space="preserve">Like other stratifications, the EQRO begins by confirming the availability and completeness of data on enrollee sex for each MCP and addresses missing or inconsistent information. The EQRO should follow the state’s specifications for handling unknown or other categories and document how these are treated during stratification to maintain transparency. Stratifying by state-specific or unspecified categories may result in small sample sizes. To protect privacy and maintain compliance </w:t>
      </w:r>
      <w:r w:rsidRPr="00990D3B" w:rsidR="004F233B">
        <w:t xml:space="preserve">with </w:t>
      </w:r>
      <w:r w:rsidRPr="00990D3B">
        <w:t>the state’s policies and CMS standards, the EQRO applies small cell suppression rules.</w:t>
      </w:r>
      <w:r>
        <w:rPr>
          <w:rStyle w:val="FootnoteReference"/>
        </w:rPr>
        <w:footnoteReference w:id="120"/>
      </w:r>
      <w:r w:rsidRPr="00990D3B">
        <w:rPr>
          <w:vertAlign w:val="superscript"/>
        </w:rPr>
        <w:t xml:space="preserve">, </w:t>
      </w:r>
      <w:r>
        <w:rPr>
          <w:rStyle w:val="FootnoteReference"/>
        </w:rPr>
        <w:footnoteReference w:id="121"/>
      </w:r>
      <w:r w:rsidRPr="00990D3B">
        <w:t xml:space="preserve">   </w:t>
      </w:r>
    </w:p>
    <w:p w:rsidR="001A3542" w:rsidRPr="00990D3B" w:rsidP="00F924B0" w14:paraId="1610F9AC" w14:textId="77777777">
      <w:pPr>
        <w:pStyle w:val="Paragraph0"/>
      </w:pPr>
      <w:r w:rsidRPr="00990D3B">
        <w:t xml:space="preserve">If the measure performance rate calculation requires data from multiple sources, the EQRO confirms that sex categories are consistently defined across data sets. Any differences in definitions or categorizations should be reconciled to ensure alignment and accuracy. </w:t>
      </w:r>
    </w:p>
    <w:p w:rsidR="001A3542" w:rsidRPr="00990D3B" w:rsidP="00F924B0" w14:paraId="2446F029" w14:textId="77777777">
      <w:pPr>
        <w:pStyle w:val="Paragraph0"/>
      </w:pPr>
      <w:r w:rsidRPr="00990D3B">
        <w:t xml:space="preserve">It is best practice for the EQRO to test stratified data for consistency and reasonableness, reviewing for unexpected patterns or anomalies that could indicate data issues. If anomalies or </w:t>
      </w:r>
      <w:r w:rsidRPr="00990D3B">
        <w:t>issues are identified, the EQRO documents them in its report to the state, including any specific implications they may have for measure reporting.</w:t>
      </w:r>
    </w:p>
    <w:p w:rsidR="001A3542" w:rsidRPr="00990D3B" w:rsidP="00666AC0" w14:paraId="507822F8" w14:textId="77777777">
      <w:pPr>
        <w:pStyle w:val="H2"/>
      </w:pPr>
      <w:bookmarkStart w:id="1029" w:name="P10S2A35"/>
      <w:bookmarkStart w:id="1030" w:name="P10S3A5"/>
      <w:bookmarkStart w:id="1031" w:name="_Toc201751450"/>
      <w:bookmarkEnd w:id="1029"/>
      <w:bookmarkEnd w:id="1030"/>
      <w:r w:rsidRPr="00990D3B">
        <w:t>Activity III.5: Validate Measure Performance Rates (Optional)</w:t>
      </w:r>
      <w:bookmarkEnd w:id="1031"/>
    </w:p>
    <w:p w:rsidR="001A3542" w:rsidRPr="00990D3B" w:rsidP="00F924B0" w14:paraId="2BE26846" w14:textId="77777777">
      <w:pPr>
        <w:pStyle w:val="ParagraphContinued"/>
      </w:pPr>
      <w:r w:rsidRPr="00990D3B">
        <w:t>In this step, the EQRO validates measure performance rates for MAC QRS quality measures. While validating measure performance rates is not required by the 2024 Managed Care Access, Finance, and Quality Rule (2024 final rule), validating performance measures is a quality assurance best practice recommended by CMS.</w:t>
      </w:r>
      <w:r>
        <w:rPr>
          <w:rStyle w:val="FootnoteReference"/>
        </w:rPr>
        <w:footnoteReference w:id="122"/>
      </w:r>
      <w:r w:rsidRPr="00990D3B">
        <w:t xml:space="preserve">  </w:t>
      </w:r>
    </w:p>
    <w:p w:rsidR="001A3542" w:rsidRPr="00990D3B" w:rsidP="00666AC0" w14:paraId="27C719A7" w14:textId="7EE2E81D">
      <w:pPr>
        <w:pStyle w:val="Paragraph0"/>
      </w:pPr>
      <w:r w:rsidRPr="00990D3B">
        <w:t xml:space="preserve">Some measure performance rates for MAC QRS quality measures may have already been validated as part of the mandatory performance measure validation EQR activity. If tasked with validating measure performance rates for MAC QRS, the EQRO should first review which, if any, of the MCP’s MAC QRS quality measures have been validated to prevent duplication of effort. For measures that have not been validated, follow the steps outlined in </w:t>
      </w:r>
      <w:hyperlink w:anchor="Protocol2" w:history="1">
        <w:r w:rsidRPr="00990D3B">
          <w:rPr>
            <w:rStyle w:val="Hyperlink"/>
          </w:rPr>
          <w:t>Protocol 2</w:t>
        </w:r>
      </w:hyperlink>
      <w:r w:rsidRPr="00990D3B">
        <w:rPr>
          <w:color w:val="1CA8B7"/>
        </w:rPr>
        <w:t xml:space="preserve"> </w:t>
      </w:r>
      <w:r w:rsidRPr="00990D3B">
        <w:t xml:space="preserve">(if validating non-survey measures) and </w:t>
      </w:r>
      <w:hyperlink w:anchor="P6Sec2" w:history="1">
        <w:r w:rsidRPr="00990D3B">
          <w:rPr>
            <w:rStyle w:val="Hyperlink"/>
          </w:rPr>
          <w:t>Protocol 6, Section II</w:t>
        </w:r>
      </w:hyperlink>
      <w:r w:rsidRPr="00990D3B">
        <w:rPr>
          <w:color w:val="1CA8B7"/>
        </w:rPr>
        <w:t xml:space="preserve"> </w:t>
      </w:r>
      <w:r w:rsidRPr="00990D3B">
        <w:t xml:space="preserve">(if validating survey measures). </w:t>
      </w:r>
      <w:hyperlink w:anchor="Box10n8" w:history="1">
        <w:r w:rsidRPr="00990D3B">
          <w:rPr>
            <w:rStyle w:val="Hyperlink"/>
          </w:rPr>
          <w:t>Box</w:t>
        </w:r>
        <w:r w:rsidRPr="00990D3B" w:rsidR="00087463">
          <w:rPr>
            <w:rStyle w:val="Hyperlink"/>
          </w:rPr>
          <w:t> </w:t>
        </w:r>
        <w:r w:rsidRPr="00990D3B">
          <w:rPr>
            <w:rStyle w:val="Hyperlink"/>
          </w:rPr>
          <w:t>10.8</w:t>
        </w:r>
      </w:hyperlink>
      <w:r w:rsidRPr="00990D3B">
        <w:t xml:space="preserve"> includes considerations related to validating measure performance rates calculated from multiple data sources. </w:t>
      </w:r>
    </w:p>
    <w:tbl>
      <w:tblPr>
        <w:tblStyle w:val="TableGrid"/>
        <w:tblW w:w="0" w:type="auto"/>
        <w:jc w:val="center"/>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270"/>
      </w:tblGrid>
      <w:tr w14:paraId="721C053F" w14:textId="77777777" w:rsidTr="00666AC0">
        <w:tblPrEx>
          <w:tblW w:w="0" w:type="auto"/>
          <w:jc w:val="center"/>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45"/>
          <w:jc w:val="center"/>
        </w:trPr>
        <w:tc>
          <w:tcPr>
            <w:tcW w:w="9270" w:type="dxa"/>
            <w:shd w:val="clear" w:color="auto" w:fill="EEF5F8"/>
          </w:tcPr>
          <w:p w:rsidR="001A3542" w:rsidRPr="00990D3B" w:rsidP="00666AC0" w14:paraId="1C2FD571" w14:textId="77777777">
            <w:pPr>
              <w:pStyle w:val="EQRTextboxheading"/>
              <w:keepNext/>
              <w:spacing w:before="0" w:after="0"/>
            </w:pPr>
            <w:bookmarkStart w:id="1032" w:name="Box10n8"/>
            <w:bookmarkEnd w:id="1032"/>
            <w:r w:rsidRPr="00990D3B">
              <w:t xml:space="preserve">Box 10.8. Considerations for Validating Measure Performance Rates Calculated from Multiple Data Sources </w:t>
            </w:r>
          </w:p>
        </w:tc>
      </w:tr>
      <w:tr w14:paraId="7B9DD9C5" w14:textId="77777777" w:rsidTr="00666AC0">
        <w:tblPrEx>
          <w:tblW w:w="0" w:type="auto"/>
          <w:jc w:val="center"/>
          <w:tblCellMar>
            <w:top w:w="72" w:type="dxa"/>
            <w:left w:w="173" w:type="dxa"/>
            <w:bottom w:w="72" w:type="dxa"/>
            <w:right w:w="173" w:type="dxa"/>
          </w:tblCellMar>
          <w:tblLook w:val="04A0"/>
        </w:tblPrEx>
        <w:trPr>
          <w:cantSplit/>
          <w:trHeight w:val="360"/>
          <w:jc w:val="center"/>
        </w:trPr>
        <w:tc>
          <w:tcPr>
            <w:tcW w:w="9270" w:type="dxa"/>
            <w:shd w:val="clear" w:color="auto" w:fill="EEF5F8"/>
          </w:tcPr>
          <w:p w:rsidR="001A3542" w:rsidRPr="00990D3B" w:rsidP="001A3542" w14:paraId="380240BE" w14:textId="77777777">
            <w:pPr>
              <w:pStyle w:val="EQRTextboxbullet"/>
            </w:pPr>
            <w:r w:rsidRPr="00990D3B">
              <w:t xml:space="preserve">The EQRO should review how missing or conflicting data from different sources were addressed during the calculation process, ensuring that any imputation, adjustment, or reconciliation methods align with the measure specifications. </w:t>
            </w:r>
          </w:p>
          <w:p w:rsidR="001A3542" w:rsidRPr="00990D3B" w:rsidP="001A3542" w14:paraId="497A806E" w14:textId="77777777">
            <w:pPr>
              <w:pStyle w:val="EQRTextboxbullet"/>
              <w:rPr>
                <w:rFonts w:ascii="Times New Roman" w:hAnsi="Times New Roman"/>
              </w:rPr>
            </w:pPr>
            <w:r w:rsidRPr="00990D3B">
              <w:t>The EQRO should validate intermediate calculations, with particular attention to transformation steps. The EQRO cross-checks each calculation stage against source data to identify errors and ensure that the intermediate outputs are consistent with the individual data sources and the integrated data set.</w:t>
            </w:r>
            <w:r w:rsidRPr="00990D3B">
              <w:rPr>
                <w:rFonts w:ascii="Times New Roman" w:hAnsi="Times New Roman"/>
              </w:rPr>
              <w:t xml:space="preserve"> </w:t>
            </w:r>
          </w:p>
        </w:tc>
      </w:tr>
    </w:tbl>
    <w:p w:rsidR="001A3542" w:rsidRPr="00990D3B" w:rsidP="00666AC0" w14:paraId="4520B01C" w14:textId="77777777">
      <w:pPr>
        <w:pStyle w:val="H2"/>
      </w:pPr>
      <w:bookmarkStart w:id="1033" w:name="P10S3A6"/>
      <w:bookmarkStart w:id="1034" w:name="_Toc201751451"/>
      <w:bookmarkEnd w:id="1033"/>
      <w:r w:rsidRPr="00990D3B">
        <w:t>Activity III. 6: Report Final Results to the State</w:t>
      </w:r>
      <w:bookmarkEnd w:id="1034"/>
      <w:r w:rsidRPr="00990D3B">
        <w:t xml:space="preserve">   </w:t>
      </w:r>
    </w:p>
    <w:p w:rsidR="001A3542" w:rsidRPr="00990D3B" w:rsidP="00F924B0" w14:paraId="12110B4D" w14:textId="77777777">
      <w:pPr>
        <w:pStyle w:val="ParagraphContinued"/>
        <w:rPr>
          <w:b/>
          <w:bCs/>
        </w:rPr>
      </w:pPr>
      <w:r w:rsidRPr="00990D3B">
        <w:t xml:space="preserve">In this activity, the EQRO submits a data file containing stratified, program-plan-level measure performance rates for each MCP to the state. </w:t>
      </w:r>
    </w:p>
    <w:p w:rsidR="001A3542" w:rsidRPr="00990D3B" w:rsidP="00666AC0" w14:paraId="32EB3661" w14:textId="77777777">
      <w:pPr>
        <w:pStyle w:val="Paragraph0"/>
      </w:pPr>
      <w:r w:rsidRPr="00990D3B">
        <w:t>Since the state will use the data to meet federal requirements (e.g., website display)</w:t>
      </w:r>
      <w:r>
        <w:rPr>
          <w:rStyle w:val="FootnoteReference"/>
        </w:rPr>
        <w:footnoteReference w:id="123"/>
      </w:r>
      <w:r w:rsidRPr="00990D3B">
        <w:t xml:space="preserve">,  the EQRO should ensure that the submission includes the required information in the appropriate format prescribed by the state and in the timeframe required. To ensure the data meets the state’s </w:t>
      </w:r>
      <w:r w:rsidRPr="00990D3B">
        <w:t xml:space="preserve">needs, the EQRO should submit an outline or sample of the data structure for state review and approval before finalizing the submission. </w:t>
      </w:r>
    </w:p>
    <w:p w:rsidR="001A3542" w:rsidRPr="00990D3B" w:rsidP="00666AC0" w14:paraId="049203EE" w14:textId="77777777">
      <w:pPr>
        <w:pStyle w:val="Paragraph0"/>
      </w:pPr>
    </w:p>
    <w:p w:rsidR="001A3542" w:rsidRPr="00990D3B" w:rsidP="00666AC0" w14:paraId="70AD6905" w14:textId="77777777">
      <w:pPr>
        <w:pStyle w:val="Paragraph0"/>
        <w:jc w:val="center"/>
      </w:pPr>
      <w:r w:rsidRPr="00990D3B">
        <w:t>END OF PROTOCOL 10</w:t>
      </w:r>
    </w:p>
    <w:p w:rsidR="001A3542" w:rsidRPr="00990D3B" w14:paraId="47A2E16C" w14:textId="77777777">
      <w:pPr>
        <w:spacing w:line="240" w:lineRule="auto"/>
      </w:pPr>
      <w:r w:rsidRPr="00990D3B">
        <w:br w:type="page"/>
      </w:r>
    </w:p>
    <w:p w:rsidR="001A3542" w:rsidRPr="00990D3B" w:rsidP="00430920" w14:paraId="4EAEC8C5" w14:textId="704B904A">
      <w:pPr>
        <w:pStyle w:val="H2"/>
      </w:pPr>
      <w:bookmarkStart w:id="1035" w:name="WS10"/>
      <w:bookmarkStart w:id="1036" w:name="_Toc188428118"/>
      <w:bookmarkStart w:id="1037" w:name="_Toc201751452"/>
      <w:bookmarkEnd w:id="1035"/>
      <w:r w:rsidRPr="00990D3B">
        <w:t xml:space="preserve">Worksheets for Protocol 10: </w:t>
      </w:r>
      <w:bookmarkEnd w:id="1036"/>
      <w:r w:rsidRPr="00990D3B">
        <w:t>Assist with the Quality Ratings for Medicaid and CHIP Quality Rating System</w:t>
      </w:r>
      <w:bookmarkEnd w:id="1037"/>
      <w:r w:rsidRPr="00990D3B">
        <w:t xml:space="preserve"> </w:t>
      </w:r>
    </w:p>
    <w:p w:rsidR="001A3542" w:rsidRPr="00990D3B" w:rsidP="00571BF9" w14:paraId="225913EC" w14:textId="77777777">
      <w:pPr>
        <w:pStyle w:val="EQRNormalSSWORKSHEET"/>
      </w:pPr>
      <w:r w:rsidRPr="00990D3B">
        <w:rPr>
          <w:b/>
          <w:bCs/>
        </w:rPr>
        <w:t xml:space="preserve">Instructions. </w:t>
      </w:r>
      <w:r w:rsidRPr="00990D3B">
        <w:t xml:space="preserve">Use these or similar worksheets to assist with calculating the quality ratings for the Medicaid and CHIP Quality Rating System (QRS). </w:t>
      </w:r>
      <w:r w:rsidRPr="00990D3B">
        <w:rPr>
          <w:rFonts w:cs="Arial"/>
          <w:kern w:val="2"/>
          <w14:ligatures w14:val="standardContextual"/>
        </w:rPr>
        <w:t>These worksheets provide templates for preparing for MAC QRS EQR activities. This tool includes the following worksheets:</w:t>
      </w:r>
    </w:p>
    <w:tbl>
      <w:tblPr>
        <w:tblStyle w:val="TableGrid11"/>
        <w:tblW w:w="5000" w:type="pct"/>
        <w:tblLook w:val="04A0"/>
      </w:tblPr>
      <w:tblGrid>
        <w:gridCol w:w="4675"/>
        <w:gridCol w:w="4675"/>
      </w:tblGrid>
      <w:tr w14:paraId="3133F27F" w14:textId="77777777" w:rsidTr="00666AC0">
        <w:tblPrEx>
          <w:tblW w:w="5000" w:type="pct"/>
          <w:tblLook w:val="04A0"/>
        </w:tblPrEx>
        <w:trPr>
          <w:tblHeader/>
        </w:trPr>
        <w:tc>
          <w:tcPr>
            <w:tcW w:w="4675" w:type="dxa"/>
          </w:tcPr>
          <w:p w:rsidR="001A3542" w:rsidRPr="00990D3B" w:rsidP="00571BF9" w14:paraId="4E5DFCDB" w14:textId="77777777">
            <w:pPr>
              <w:pStyle w:val="EQRTableHeaderLeft"/>
              <w:rPr>
                <w:color w:val="auto"/>
              </w:rPr>
            </w:pPr>
            <w:r w:rsidRPr="00990D3B">
              <w:rPr>
                <w:color w:val="auto"/>
              </w:rPr>
              <w:t>Worksheet Name</w:t>
            </w:r>
          </w:p>
        </w:tc>
        <w:tc>
          <w:tcPr>
            <w:tcW w:w="4675" w:type="dxa"/>
          </w:tcPr>
          <w:p w:rsidR="001A3542" w:rsidRPr="00990D3B" w:rsidP="00571BF9" w14:paraId="06BA3946" w14:textId="77777777">
            <w:pPr>
              <w:pStyle w:val="EQRTableHeaderCenter"/>
              <w:rPr>
                <w:color w:val="auto"/>
              </w:rPr>
            </w:pPr>
            <w:r w:rsidRPr="00990D3B">
              <w:rPr>
                <w:color w:val="auto"/>
              </w:rPr>
              <w:t>Protocol Section and Activity</w:t>
            </w:r>
          </w:p>
        </w:tc>
      </w:tr>
      <w:tr w14:paraId="601A9B32" w14:textId="77777777" w:rsidTr="00666AC0">
        <w:tblPrEx>
          <w:tblW w:w="5000" w:type="pct"/>
          <w:tblLook w:val="04A0"/>
        </w:tblPrEx>
        <w:tc>
          <w:tcPr>
            <w:tcW w:w="4675" w:type="dxa"/>
          </w:tcPr>
          <w:p w:rsidR="001A3542" w:rsidRPr="00990D3B" w:rsidP="00571BF9" w14:paraId="30EAB13A" w14:textId="2A9D924B">
            <w:pPr>
              <w:pStyle w:val="EQRTableText"/>
              <w:rPr>
                <w:color w:val="1CA8B7"/>
              </w:rPr>
            </w:pPr>
            <w:hyperlink w:anchor="WS10n1" w:tooltip="Worksheet 10.1. Assigning MAC QRS Measures to MCPs Template " w:history="1">
              <w:r w:rsidRPr="00A3358C">
                <w:rPr>
                  <w:color w:val="005968"/>
                </w:rPr>
                <w:t xml:space="preserve">Worksheet 10.1. </w:t>
              </w:r>
              <w:r w:rsidRPr="00A3358C">
                <w:rPr>
                  <w:rFonts w:eastAsia="Batang" w:cs="Arial"/>
                  <w:color w:val="005968"/>
                  <w:szCs w:val="18"/>
                </w:rPr>
                <w:t xml:space="preserve">Assigning MAC QRS Measures to MCPs Template </w:t>
              </w:r>
            </w:hyperlink>
          </w:p>
        </w:tc>
        <w:tc>
          <w:tcPr>
            <w:tcW w:w="4675" w:type="dxa"/>
          </w:tcPr>
          <w:p w:rsidR="001A3542" w:rsidRPr="00990D3B" w:rsidP="00571BF9" w14:paraId="369DD5AA" w14:textId="7BE78C6C">
            <w:pPr>
              <w:pStyle w:val="EQRTableText"/>
              <w:rPr>
                <w:color w:val="1CA8B7"/>
              </w:rPr>
            </w:pPr>
            <w:hyperlink w:anchor="P10S1A1" w:tooltip="Section I. Activity I: Identify the Quality Measures to be Calculated" w:history="1">
              <w:r w:rsidRPr="00990D3B">
                <w:rPr>
                  <w:rStyle w:val="Hyperlink"/>
                </w:rPr>
                <w:t>Section I. Activity I: Identify the Quality Measures to be Calculated</w:t>
              </w:r>
            </w:hyperlink>
          </w:p>
        </w:tc>
      </w:tr>
      <w:tr w14:paraId="3BD71600" w14:textId="77777777" w:rsidTr="00666AC0">
        <w:tblPrEx>
          <w:tblW w:w="5000" w:type="pct"/>
          <w:tblLook w:val="04A0"/>
        </w:tblPrEx>
        <w:tc>
          <w:tcPr>
            <w:tcW w:w="4675" w:type="dxa"/>
          </w:tcPr>
          <w:p w:rsidR="001A3542" w:rsidRPr="00990D3B" w:rsidP="00571BF9" w14:paraId="77C0AF18" w14:textId="2C7CFB35">
            <w:pPr>
              <w:pStyle w:val="EQRTableText"/>
            </w:pPr>
            <w:hyperlink w:anchor="WS10n2" w:tooltip="Worksheet 10.2. MAC QRS Data Needs Template" w:history="1">
              <w:r w:rsidRPr="00990D3B">
                <w:rPr>
                  <w:rStyle w:val="Hyperlink"/>
                </w:rPr>
                <w:t>Worksheet 10.2. MAC QRS Data Needs Template</w:t>
              </w:r>
            </w:hyperlink>
          </w:p>
        </w:tc>
        <w:tc>
          <w:tcPr>
            <w:tcW w:w="4675" w:type="dxa"/>
          </w:tcPr>
          <w:p w:rsidR="001A3542" w:rsidRPr="00990D3B" w:rsidP="00571BF9" w14:paraId="360A1512" w14:textId="6E7401C4">
            <w:pPr>
              <w:pStyle w:val="EQRTableText"/>
              <w:rPr>
                <w:color w:val="1CA8B7"/>
              </w:rPr>
            </w:pPr>
            <w:hyperlink w:anchor="P10S1A2" w:tooltip="Section I. Activity I.2: Identify MAC QRS Data Sources" w:history="1">
              <w:r w:rsidRPr="00990D3B">
                <w:rPr>
                  <w:rStyle w:val="Hyperlink"/>
                </w:rPr>
                <w:t>Section I. Activity I.2: Identify MAC QRS Data Sources</w:t>
              </w:r>
            </w:hyperlink>
          </w:p>
        </w:tc>
      </w:tr>
      <w:tr w14:paraId="6EDBE6C3" w14:textId="77777777" w:rsidTr="00666AC0">
        <w:tblPrEx>
          <w:tblW w:w="5000" w:type="pct"/>
          <w:tblLook w:val="04A0"/>
        </w:tblPrEx>
        <w:tc>
          <w:tcPr>
            <w:tcW w:w="4675" w:type="dxa"/>
          </w:tcPr>
          <w:p w:rsidR="001A3542" w:rsidRPr="00990D3B" w:rsidP="00571BF9" w14:paraId="4573DC43" w14:textId="12321DDB">
            <w:pPr>
              <w:pStyle w:val="EQRTableText"/>
            </w:pPr>
            <w:hyperlink w:anchor="WS10n3" w:tooltip="Worksheet 10.3. MAC QRS Measure Reporting Requirements Template" w:history="1">
              <w:r w:rsidRPr="00A3358C">
                <w:rPr>
                  <w:color w:val="005968"/>
                </w:rPr>
                <w:t>Worksheet 10.3. MAC QRS Measure Reporting Requirements Template</w:t>
              </w:r>
            </w:hyperlink>
          </w:p>
        </w:tc>
        <w:tc>
          <w:tcPr>
            <w:tcW w:w="4675" w:type="dxa"/>
          </w:tcPr>
          <w:p w:rsidR="001A3542" w:rsidRPr="00990D3B" w:rsidP="00571BF9" w14:paraId="08D5BD27" w14:textId="73071F87">
            <w:pPr>
              <w:pStyle w:val="EQRTableText"/>
              <w:rPr>
                <w:color w:val="1CA8B7"/>
              </w:rPr>
            </w:pPr>
            <w:hyperlink w:anchor="P10S2A23" w:tooltip="Section I. Activity I.3: Confirm All Measures Calculated for Each MCP" w:history="1">
              <w:r w:rsidRPr="00990D3B">
                <w:rPr>
                  <w:rStyle w:val="Hyperlink"/>
                </w:rPr>
                <w:t>Section I. Activity I.3: Confirm All Measures Calculated for Each MCP</w:t>
              </w:r>
            </w:hyperlink>
          </w:p>
          <w:p w:rsidR="001A3542" w:rsidRPr="00990D3B" w:rsidP="00571BF9" w14:paraId="0AC6273C" w14:textId="3983748C">
            <w:pPr>
              <w:pStyle w:val="EQRTableText"/>
            </w:pPr>
            <w:hyperlink w:anchor="P10S2A34" w:history="1">
              <w:r w:rsidRPr="00990D3B">
                <w:rPr>
                  <w:rStyle w:val="Hyperlink"/>
                </w:rPr>
                <w:t>Section I. Activity I.4: Submit Findings and Next Steps to the State</w:t>
              </w:r>
            </w:hyperlink>
          </w:p>
        </w:tc>
      </w:tr>
    </w:tbl>
    <w:p w:rsidR="0095080F" w:rsidRPr="00990D3B" w:rsidP="00666AC0" w14:paraId="0530A900" w14:textId="0D78B918">
      <w:pPr>
        <w:spacing w:after="160" w:line="259" w:lineRule="auto"/>
        <w:rPr>
          <w:rFonts w:ascii="Arial" w:eastAsia="Calibri" w:hAnsi="Arial" w:cs="Arial"/>
          <w:b/>
          <w:bCs/>
          <w:kern w:val="2"/>
          <w:sz w:val="19"/>
          <w:szCs w:val="19"/>
          <w14:ligatures w14:val="standardContextual"/>
        </w:rPr>
      </w:pPr>
    </w:p>
    <w:p w:rsidR="0095080F" w:rsidRPr="00990D3B" w14:paraId="6B6194D3" w14:textId="77777777">
      <w:pPr>
        <w:spacing w:line="240" w:lineRule="auto"/>
        <w:rPr>
          <w:rFonts w:ascii="Arial" w:eastAsia="Calibri" w:hAnsi="Arial" w:cs="Arial"/>
          <w:b/>
          <w:bCs/>
          <w:kern w:val="2"/>
          <w:sz w:val="19"/>
          <w:szCs w:val="19"/>
          <w14:ligatures w14:val="standardContextual"/>
        </w:rPr>
      </w:pPr>
      <w:r w:rsidRPr="00990D3B">
        <w:rPr>
          <w:rFonts w:ascii="Arial" w:eastAsia="Calibri" w:hAnsi="Arial" w:cs="Arial"/>
          <w:b/>
          <w:bCs/>
          <w:kern w:val="2"/>
          <w:sz w:val="19"/>
          <w:szCs w:val="19"/>
          <w14:ligatures w14:val="standardContextual"/>
        </w:rPr>
        <w:br w:type="page"/>
      </w:r>
    </w:p>
    <w:p w:rsidR="001A3542" w:rsidRPr="00990D3B" w:rsidP="0095080F" w14:paraId="38EE0E28" w14:textId="77777777">
      <w:pPr>
        <w:pStyle w:val="EQRMarkforExhibitWORKSHEET"/>
      </w:pPr>
      <w:bookmarkStart w:id="1038" w:name="WS10n1"/>
      <w:bookmarkStart w:id="1039" w:name="_Toc201751556"/>
      <w:bookmarkEnd w:id="1038"/>
      <w:r w:rsidRPr="00990D3B">
        <w:t>Worksheet 10.1. Assigning MAC QRS Measures to MCPs Template</w:t>
      </w:r>
      <w:bookmarkEnd w:id="1039"/>
      <w:r w:rsidRPr="00990D3B">
        <w:t xml:space="preserve"> </w:t>
      </w:r>
    </w:p>
    <w:p w:rsidR="001A3542" w:rsidRPr="00990D3B" w:rsidP="00571BF9" w14:paraId="1FA1D532" w14:textId="77777777">
      <w:pPr>
        <w:pStyle w:val="EQRNormalSSWORKSHEET"/>
      </w:pPr>
      <w:r w:rsidRPr="00990D3B">
        <w:rPr>
          <w:b/>
          <w:bCs/>
        </w:rPr>
        <w:t xml:space="preserve">Instructions. </w:t>
      </w:r>
      <w:r w:rsidRPr="00990D3B">
        <w:t>Use this worksheet to determine whether each MCP covers the services or actions assessed by each MAC QRS measure. Completing the worksheet will help the state identify which MCPs should be issued a quality rating for each measure.</w:t>
      </w:r>
    </w:p>
    <w:p w:rsidR="001A3542" w:rsidRPr="00990D3B" w:rsidP="00571BF9" w14:paraId="1E7CAFA4" w14:textId="77777777">
      <w:pPr>
        <w:pStyle w:val="EQRNormalSSWORKSHEET"/>
      </w:pPr>
      <w:r w:rsidRPr="00990D3B">
        <w:t xml:space="preserve">Complete one worksheet per managed care program. Coordinate with the state’s managed care contracting team to understand the services covered under each program and which MCPs operate within it. If MCPs within the same program cover different sets of services, complete a separate worksheet for each group of plans with equivalent service coverage. Insert rows as needed. </w:t>
      </w:r>
    </w:p>
    <w:p w:rsidR="001A3542" w:rsidRPr="00990D3B" w:rsidP="00571BF9" w14:paraId="306ADD34" w14:textId="77777777">
      <w:pPr>
        <w:pStyle w:val="EQRNormalSSWORKSHEET"/>
      </w:pPr>
      <w:r w:rsidRPr="00990D3B">
        <w:t xml:space="preserve">To complete the worksheet, list MAC QRS mandatory measures </w:t>
      </w:r>
      <w:r w:rsidRPr="00990D3B">
        <w:t>in th</w:t>
      </w:r>
      <w:r w:rsidRPr="00990D3B">
        <w:t xml:space="preserve">e </w:t>
      </w:r>
      <w:r w:rsidRPr="00990D3B">
        <w:t xml:space="preserve">first column. For each measure, complete the following fields: </w:t>
      </w:r>
    </w:p>
    <w:p w:rsidR="001A3542" w:rsidRPr="00990D3B" w:rsidP="00B5018A" w14:paraId="0EB4D754" w14:textId="77777777">
      <w:pPr>
        <w:pStyle w:val="EQRNormalSSWSbullet"/>
        <w:rPr>
          <w:rFonts w:eastAsia="Calibri"/>
        </w:rPr>
      </w:pPr>
      <w:r w:rsidRPr="00990D3B">
        <w:rPr>
          <w:rFonts w:eastAsia="Calibri"/>
          <w:b/>
        </w:rPr>
        <w:t>Services included in numerator</w:t>
      </w:r>
      <w:r w:rsidRPr="00990D3B">
        <w:rPr>
          <w:rFonts w:eastAsia="Calibri"/>
          <w:b/>
          <w:bCs/>
        </w:rPr>
        <w:t xml:space="preserve">. </w:t>
      </w:r>
      <w:r w:rsidRPr="00990D3B">
        <w:rPr>
          <w:rFonts w:eastAsia="Calibri"/>
        </w:rPr>
        <w:t>List the service(s) assessed in the numerator of the measure. For support completing this step, refer to CMS’s technical assistance resources,</w:t>
      </w:r>
      <w:r w:rsidRPr="00990D3B">
        <w:rPr>
          <w:rFonts w:ascii="Calibri" w:eastAsia="Calibri" w:hAnsi="Calibri"/>
          <w:sz w:val="22"/>
          <w:szCs w:val="22"/>
        </w:rPr>
        <w:t xml:space="preserve"> </w:t>
      </w:r>
      <w:r w:rsidRPr="00990D3B">
        <w:rPr>
          <w:rFonts w:eastAsia="Calibri"/>
        </w:rPr>
        <w:t xml:space="preserve">available at [insert link], and the measure technical specifications. </w:t>
      </w:r>
    </w:p>
    <w:p w:rsidR="001A3542" w:rsidRPr="00990D3B" w:rsidP="00B5018A" w14:paraId="4AB57746" w14:textId="77777777">
      <w:pPr>
        <w:pStyle w:val="EQRNormalSSWSbullet"/>
        <w:rPr>
          <w:rFonts w:eastAsia="Calibri"/>
        </w:rPr>
      </w:pPr>
      <w:r w:rsidRPr="00990D3B">
        <w:rPr>
          <w:rFonts w:eastAsia="Calibri"/>
          <w:b/>
        </w:rPr>
        <w:t>Applicable</w:t>
      </w:r>
      <w:r w:rsidRPr="00990D3B">
        <w:rPr>
          <w:rFonts w:eastAsia="Calibri"/>
          <w:b/>
          <w:bCs/>
        </w:rPr>
        <w:t xml:space="preserve"> to MCP(s)</w:t>
      </w:r>
      <w:r w:rsidRPr="00990D3B">
        <w:rPr>
          <w:rFonts w:eastAsia="Calibri"/>
        </w:rPr>
        <w:t xml:space="preserve">. Indicate whether the measure applies to the MCP(s). Enter “Yes” if the MCP(s) cover any services included in the numerator, or “No” if none of the services are covered. </w:t>
      </w:r>
    </w:p>
    <w:p w:rsidR="001A3542" w:rsidRPr="00990D3B" w:rsidP="00B5018A" w14:paraId="2EAD9664" w14:textId="77777777">
      <w:pPr>
        <w:pStyle w:val="EQRNormalSSWSbullet"/>
        <w:rPr>
          <w:rFonts w:eastAsia="Calibri"/>
        </w:rPr>
      </w:pPr>
      <w:r w:rsidRPr="00990D3B">
        <w:rPr>
          <w:rFonts w:eastAsia="Calibri"/>
          <w:b/>
          <w:bCs/>
        </w:rPr>
        <w:t>Comments</w:t>
      </w:r>
      <w:r w:rsidRPr="00990D3B">
        <w:rPr>
          <w:rFonts w:eastAsia="Calibri"/>
        </w:rPr>
        <w:t xml:space="preserve">. Provide additional context, such as reasons a measure does not apply or information about service carve-outs. </w:t>
      </w:r>
    </w:p>
    <w:p w:rsidR="001A3542" w:rsidRPr="00990D3B" w:rsidP="00571BF9" w14:paraId="546F4BA0" w14:textId="77777777">
      <w:pPr>
        <w:pStyle w:val="EQRNormalSSWORKSHEET"/>
      </w:pPr>
      <w:r w:rsidRPr="00990D3B">
        <w:t xml:space="preserve">Acronyms: CHIP = Children’s Health Insurance Program; MAC = Medicaid and CHIP; MCP= Managed Care Plan; QRS = Quality Rating System. </w:t>
      </w:r>
    </w:p>
    <w:tbl>
      <w:tblPr>
        <w:tblStyle w:val="TableGrid2"/>
        <w:tblW w:w="5000" w:type="pct"/>
        <w:tblLook w:val="04A0"/>
      </w:tblPr>
      <w:tblGrid>
        <w:gridCol w:w="2899"/>
        <w:gridCol w:w="2270"/>
        <w:gridCol w:w="1322"/>
        <w:gridCol w:w="2859"/>
      </w:tblGrid>
      <w:tr w14:paraId="6190C153" w14:textId="77777777" w:rsidTr="00666AC0">
        <w:tblPrEx>
          <w:tblW w:w="5000" w:type="pct"/>
          <w:tblLook w:val="04A0"/>
        </w:tblPrEx>
        <w:trPr>
          <w:trHeight w:val="530"/>
        </w:trPr>
        <w:tc>
          <w:tcPr>
            <w:tcW w:w="5000" w:type="pct"/>
            <w:gridSpan w:val="4"/>
            <w:vAlign w:val="bottom"/>
          </w:tcPr>
          <w:p w:rsidR="001A3542" w:rsidRPr="00990D3B" w:rsidP="00B5018A" w14:paraId="5A1B3A19" w14:textId="77777777">
            <w:pPr>
              <w:pStyle w:val="EQRTableHeaderLeft"/>
              <w:rPr>
                <w:rFonts w:eastAsia="Calibri"/>
                <w:color w:val="auto"/>
              </w:rPr>
            </w:pPr>
            <w:r w:rsidRPr="00990D3B">
              <w:rPr>
                <w:rFonts w:eastAsia="Calibri"/>
                <w:color w:val="auto"/>
              </w:rPr>
              <w:t>Managed Care Program:</w:t>
            </w:r>
          </w:p>
        </w:tc>
      </w:tr>
      <w:tr w14:paraId="2CECA97B" w14:textId="77777777" w:rsidTr="00666AC0">
        <w:tblPrEx>
          <w:tblW w:w="5000" w:type="pct"/>
          <w:tblLook w:val="04A0"/>
        </w:tblPrEx>
        <w:trPr>
          <w:trHeight w:val="530"/>
        </w:trPr>
        <w:tc>
          <w:tcPr>
            <w:tcW w:w="5000" w:type="pct"/>
            <w:gridSpan w:val="4"/>
            <w:vAlign w:val="bottom"/>
          </w:tcPr>
          <w:p w:rsidR="001A3542" w:rsidRPr="00990D3B" w:rsidP="00B5018A" w14:paraId="09556ABE" w14:textId="77777777">
            <w:pPr>
              <w:pStyle w:val="EQRTableHeaderLeft"/>
              <w:rPr>
                <w:rFonts w:eastAsia="Calibri"/>
                <w:color w:val="auto"/>
              </w:rPr>
            </w:pPr>
            <w:r w:rsidRPr="00990D3B">
              <w:rPr>
                <w:rFonts w:eastAsia="Calibri"/>
                <w:color w:val="auto"/>
              </w:rPr>
              <w:t>Participating</w:t>
            </w:r>
            <w:r w:rsidRPr="00990D3B">
              <w:rPr>
                <w:rFonts w:eastAsia="Calibri"/>
                <w:color w:val="auto"/>
              </w:rPr>
              <w:t xml:space="preserve"> MCPs:</w:t>
            </w:r>
          </w:p>
        </w:tc>
      </w:tr>
      <w:tr w14:paraId="6CDBFEC5" w14:textId="77777777" w:rsidTr="00666AC0">
        <w:tblPrEx>
          <w:tblW w:w="5000" w:type="pct"/>
          <w:tblLook w:val="04A0"/>
        </w:tblPrEx>
        <w:trPr>
          <w:trHeight w:val="530"/>
        </w:trPr>
        <w:tc>
          <w:tcPr>
            <w:tcW w:w="1550" w:type="pct"/>
            <w:vAlign w:val="bottom"/>
          </w:tcPr>
          <w:p w:rsidR="001A3542" w:rsidRPr="00990D3B" w:rsidP="00B5018A" w14:paraId="0E2E9ED7" w14:textId="77777777">
            <w:pPr>
              <w:pStyle w:val="EQRTableHeaderLeft"/>
              <w:rPr>
                <w:rFonts w:eastAsia="Calibri"/>
                <w:color w:val="auto"/>
              </w:rPr>
            </w:pPr>
            <w:r w:rsidRPr="00990D3B">
              <w:rPr>
                <w:rFonts w:eastAsia="Calibri"/>
                <w:color w:val="auto"/>
              </w:rPr>
              <w:t>MAC QRS Measure</w:t>
            </w:r>
          </w:p>
        </w:tc>
        <w:tc>
          <w:tcPr>
            <w:tcW w:w="1214" w:type="pct"/>
            <w:vAlign w:val="bottom"/>
          </w:tcPr>
          <w:p w:rsidR="001A3542" w:rsidRPr="00990D3B" w:rsidP="00B5018A" w14:paraId="2D9058B3" w14:textId="77777777">
            <w:pPr>
              <w:pStyle w:val="EQRTableHeaderCenter"/>
              <w:rPr>
                <w:rFonts w:eastAsia="Calibri"/>
                <w:color w:val="auto"/>
              </w:rPr>
            </w:pPr>
            <w:r w:rsidRPr="00990D3B">
              <w:rPr>
                <w:rFonts w:eastAsia="Calibri"/>
                <w:color w:val="auto"/>
              </w:rPr>
              <w:t>Services Included in Numerator</w:t>
            </w:r>
          </w:p>
        </w:tc>
        <w:tc>
          <w:tcPr>
            <w:tcW w:w="707" w:type="pct"/>
            <w:vAlign w:val="bottom"/>
          </w:tcPr>
          <w:p w:rsidR="001A3542" w:rsidRPr="00990D3B" w:rsidP="00B5018A" w14:paraId="15A7A685" w14:textId="77777777">
            <w:pPr>
              <w:pStyle w:val="EQRTableHeaderCenter"/>
              <w:rPr>
                <w:rFonts w:eastAsia="Calibri"/>
                <w:color w:val="auto"/>
              </w:rPr>
            </w:pPr>
            <w:r w:rsidRPr="00990D3B">
              <w:rPr>
                <w:rFonts w:eastAsia="Calibri"/>
                <w:color w:val="auto"/>
              </w:rPr>
              <w:t>Applicable to MCP(s) (Y/N)</w:t>
            </w:r>
          </w:p>
        </w:tc>
        <w:tc>
          <w:tcPr>
            <w:tcW w:w="1529" w:type="pct"/>
            <w:vAlign w:val="bottom"/>
          </w:tcPr>
          <w:p w:rsidR="001A3542" w:rsidRPr="00990D3B" w:rsidP="00B5018A" w14:paraId="5BABE779" w14:textId="77777777">
            <w:pPr>
              <w:pStyle w:val="EQRTableHeaderCenter"/>
              <w:rPr>
                <w:rFonts w:eastAsia="Calibri"/>
                <w:color w:val="auto"/>
              </w:rPr>
            </w:pPr>
            <w:r w:rsidRPr="00990D3B">
              <w:rPr>
                <w:rFonts w:eastAsia="Calibri"/>
                <w:color w:val="auto"/>
              </w:rPr>
              <w:t xml:space="preserve">Comments </w:t>
            </w:r>
          </w:p>
        </w:tc>
      </w:tr>
      <w:tr w14:paraId="5382B254" w14:textId="77777777" w:rsidTr="00666AC0">
        <w:tblPrEx>
          <w:tblW w:w="5000" w:type="pct"/>
          <w:tblLook w:val="04A0"/>
        </w:tblPrEx>
        <w:trPr>
          <w:trHeight w:val="80"/>
        </w:trPr>
        <w:tc>
          <w:tcPr>
            <w:tcW w:w="1550" w:type="pct"/>
            <w:vAlign w:val="bottom"/>
          </w:tcPr>
          <w:p w:rsidR="001A3542" w:rsidRPr="00990D3B" w:rsidP="00B5018A" w14:paraId="4EC9C865" w14:textId="77777777">
            <w:pPr>
              <w:pStyle w:val="EQRTableText"/>
              <w:rPr>
                <w:rFonts w:eastAsia="Calibri"/>
              </w:rPr>
            </w:pPr>
          </w:p>
        </w:tc>
        <w:tc>
          <w:tcPr>
            <w:tcW w:w="1214" w:type="pct"/>
            <w:vAlign w:val="bottom"/>
          </w:tcPr>
          <w:p w:rsidR="001A3542" w:rsidRPr="00990D3B" w:rsidP="00B5018A" w14:paraId="2E19BC36" w14:textId="77777777">
            <w:pPr>
              <w:pStyle w:val="EQRTableText"/>
              <w:rPr>
                <w:rFonts w:eastAsia="Calibri"/>
              </w:rPr>
            </w:pPr>
          </w:p>
        </w:tc>
        <w:tc>
          <w:tcPr>
            <w:tcW w:w="707" w:type="pct"/>
          </w:tcPr>
          <w:p w:rsidR="001A3542" w:rsidRPr="00990D3B" w:rsidP="00B5018A" w14:paraId="2C561E36" w14:textId="77777777">
            <w:pPr>
              <w:pStyle w:val="EQRTableText"/>
              <w:rPr>
                <w:rFonts w:eastAsia="Calibri"/>
                <w:iCs/>
              </w:rPr>
            </w:pPr>
          </w:p>
        </w:tc>
        <w:tc>
          <w:tcPr>
            <w:tcW w:w="1529" w:type="pct"/>
            <w:vAlign w:val="bottom"/>
          </w:tcPr>
          <w:p w:rsidR="001A3542" w:rsidRPr="00990D3B" w:rsidP="00B5018A" w14:paraId="7ED1D91A" w14:textId="77777777">
            <w:pPr>
              <w:pStyle w:val="EQRTableText"/>
              <w:rPr>
                <w:rFonts w:eastAsia="Calibri"/>
                <w:iCs/>
              </w:rPr>
            </w:pPr>
          </w:p>
        </w:tc>
      </w:tr>
      <w:tr w14:paraId="4CF1A612" w14:textId="77777777" w:rsidTr="00666AC0">
        <w:tblPrEx>
          <w:tblW w:w="5000" w:type="pct"/>
          <w:tblLook w:val="04A0"/>
        </w:tblPrEx>
        <w:trPr>
          <w:trHeight w:val="275"/>
        </w:trPr>
        <w:tc>
          <w:tcPr>
            <w:tcW w:w="1550" w:type="pct"/>
            <w:vAlign w:val="bottom"/>
          </w:tcPr>
          <w:p w:rsidR="001A3542" w:rsidRPr="00990D3B" w:rsidP="00B5018A" w14:paraId="58003255" w14:textId="77777777">
            <w:pPr>
              <w:pStyle w:val="EQRTableText"/>
              <w:rPr>
                <w:rFonts w:eastAsia="Calibri"/>
              </w:rPr>
            </w:pPr>
          </w:p>
        </w:tc>
        <w:tc>
          <w:tcPr>
            <w:tcW w:w="1214" w:type="pct"/>
            <w:vAlign w:val="bottom"/>
          </w:tcPr>
          <w:p w:rsidR="001A3542" w:rsidRPr="00990D3B" w:rsidP="00B5018A" w14:paraId="1A97BD59" w14:textId="77777777">
            <w:pPr>
              <w:pStyle w:val="EQRTableText"/>
              <w:rPr>
                <w:rFonts w:eastAsia="Calibri"/>
              </w:rPr>
            </w:pPr>
          </w:p>
        </w:tc>
        <w:tc>
          <w:tcPr>
            <w:tcW w:w="707" w:type="pct"/>
          </w:tcPr>
          <w:p w:rsidR="001A3542" w:rsidRPr="00990D3B" w:rsidP="00B5018A" w14:paraId="4A47CA56" w14:textId="77777777">
            <w:pPr>
              <w:pStyle w:val="EQRTableText"/>
              <w:rPr>
                <w:rFonts w:eastAsia="Calibri"/>
                <w:i/>
                <w:iCs/>
              </w:rPr>
            </w:pPr>
          </w:p>
        </w:tc>
        <w:tc>
          <w:tcPr>
            <w:tcW w:w="1529" w:type="pct"/>
            <w:vAlign w:val="bottom"/>
          </w:tcPr>
          <w:p w:rsidR="001A3542" w:rsidRPr="00990D3B" w:rsidP="00B5018A" w14:paraId="3F2A1843" w14:textId="77777777">
            <w:pPr>
              <w:pStyle w:val="EQRTableText"/>
              <w:rPr>
                <w:rFonts w:eastAsia="Calibri"/>
                <w:i/>
                <w:iCs/>
              </w:rPr>
            </w:pPr>
          </w:p>
        </w:tc>
      </w:tr>
      <w:tr w14:paraId="20003D22" w14:textId="77777777" w:rsidTr="00666AC0">
        <w:tblPrEx>
          <w:tblW w:w="5000" w:type="pct"/>
          <w:tblLook w:val="04A0"/>
        </w:tblPrEx>
        <w:trPr>
          <w:trHeight w:val="275"/>
        </w:trPr>
        <w:tc>
          <w:tcPr>
            <w:tcW w:w="1550" w:type="pct"/>
            <w:vAlign w:val="bottom"/>
          </w:tcPr>
          <w:p w:rsidR="001A3542" w:rsidRPr="00990D3B" w:rsidP="00B5018A" w14:paraId="6D7CD14F" w14:textId="77777777">
            <w:pPr>
              <w:pStyle w:val="EQRTableText"/>
              <w:rPr>
                <w:rFonts w:eastAsia="Calibri"/>
                <w:i/>
                <w:iCs/>
              </w:rPr>
            </w:pPr>
          </w:p>
        </w:tc>
        <w:tc>
          <w:tcPr>
            <w:tcW w:w="1214" w:type="pct"/>
            <w:vAlign w:val="bottom"/>
          </w:tcPr>
          <w:p w:rsidR="001A3542" w:rsidRPr="00990D3B" w:rsidP="00B5018A" w14:paraId="6876BC8E" w14:textId="77777777">
            <w:pPr>
              <w:pStyle w:val="EQRTableText"/>
              <w:rPr>
                <w:rFonts w:eastAsia="Calibri"/>
                <w:i/>
                <w:iCs/>
              </w:rPr>
            </w:pPr>
          </w:p>
        </w:tc>
        <w:tc>
          <w:tcPr>
            <w:tcW w:w="707" w:type="pct"/>
          </w:tcPr>
          <w:p w:rsidR="001A3542" w:rsidRPr="00990D3B" w:rsidP="00B5018A" w14:paraId="2E2C9357" w14:textId="77777777">
            <w:pPr>
              <w:pStyle w:val="EQRTableText"/>
              <w:rPr>
                <w:rFonts w:eastAsia="Calibri"/>
                <w:i/>
                <w:iCs/>
              </w:rPr>
            </w:pPr>
          </w:p>
        </w:tc>
        <w:tc>
          <w:tcPr>
            <w:tcW w:w="1529" w:type="pct"/>
            <w:vAlign w:val="bottom"/>
          </w:tcPr>
          <w:p w:rsidR="001A3542" w:rsidRPr="00990D3B" w:rsidP="00B5018A" w14:paraId="7F1D3ED4" w14:textId="77777777">
            <w:pPr>
              <w:pStyle w:val="EQRTableText"/>
              <w:rPr>
                <w:rFonts w:eastAsia="Calibri"/>
                <w:i/>
                <w:iCs/>
              </w:rPr>
            </w:pPr>
          </w:p>
        </w:tc>
      </w:tr>
      <w:tr w14:paraId="68766CCE" w14:textId="77777777" w:rsidTr="00666AC0">
        <w:tblPrEx>
          <w:tblW w:w="5000" w:type="pct"/>
          <w:tblLook w:val="04A0"/>
        </w:tblPrEx>
        <w:trPr>
          <w:trHeight w:val="275"/>
        </w:trPr>
        <w:tc>
          <w:tcPr>
            <w:tcW w:w="1550" w:type="pct"/>
            <w:vAlign w:val="bottom"/>
          </w:tcPr>
          <w:p w:rsidR="001A3542" w:rsidRPr="00990D3B" w:rsidP="00B5018A" w14:paraId="44360D67" w14:textId="77777777">
            <w:pPr>
              <w:pStyle w:val="EQRTableText"/>
              <w:rPr>
                <w:rFonts w:eastAsia="Calibri"/>
                <w:i/>
                <w:iCs/>
              </w:rPr>
            </w:pPr>
          </w:p>
        </w:tc>
        <w:tc>
          <w:tcPr>
            <w:tcW w:w="1214" w:type="pct"/>
            <w:vAlign w:val="bottom"/>
          </w:tcPr>
          <w:p w:rsidR="001A3542" w:rsidRPr="00990D3B" w:rsidP="00B5018A" w14:paraId="68AD1044" w14:textId="77777777">
            <w:pPr>
              <w:pStyle w:val="EQRTableText"/>
              <w:rPr>
                <w:rFonts w:eastAsia="Calibri"/>
                <w:i/>
                <w:iCs/>
              </w:rPr>
            </w:pPr>
          </w:p>
        </w:tc>
        <w:tc>
          <w:tcPr>
            <w:tcW w:w="707" w:type="pct"/>
          </w:tcPr>
          <w:p w:rsidR="001A3542" w:rsidRPr="00990D3B" w:rsidP="00B5018A" w14:paraId="5255F777" w14:textId="77777777">
            <w:pPr>
              <w:pStyle w:val="EQRTableText"/>
              <w:rPr>
                <w:rFonts w:eastAsia="Calibri"/>
                <w:i/>
                <w:iCs/>
              </w:rPr>
            </w:pPr>
          </w:p>
        </w:tc>
        <w:tc>
          <w:tcPr>
            <w:tcW w:w="1529" w:type="pct"/>
            <w:vAlign w:val="bottom"/>
          </w:tcPr>
          <w:p w:rsidR="001A3542" w:rsidRPr="00990D3B" w:rsidP="00B5018A" w14:paraId="4703663F" w14:textId="77777777">
            <w:pPr>
              <w:pStyle w:val="EQRTableText"/>
              <w:rPr>
                <w:rFonts w:eastAsia="Calibri"/>
                <w:i/>
                <w:iCs/>
              </w:rPr>
            </w:pPr>
          </w:p>
        </w:tc>
      </w:tr>
      <w:tr w14:paraId="4F8EC7A0" w14:textId="77777777" w:rsidTr="00666AC0">
        <w:tblPrEx>
          <w:tblW w:w="5000" w:type="pct"/>
          <w:tblLook w:val="04A0"/>
        </w:tblPrEx>
        <w:trPr>
          <w:trHeight w:val="275"/>
        </w:trPr>
        <w:tc>
          <w:tcPr>
            <w:tcW w:w="1550" w:type="pct"/>
            <w:vAlign w:val="bottom"/>
          </w:tcPr>
          <w:p w:rsidR="001A3542" w:rsidRPr="00990D3B" w:rsidP="00B5018A" w14:paraId="22390696" w14:textId="77777777">
            <w:pPr>
              <w:pStyle w:val="EQRTableText"/>
              <w:rPr>
                <w:rFonts w:eastAsia="Calibri"/>
                <w:i/>
                <w:iCs/>
              </w:rPr>
            </w:pPr>
          </w:p>
        </w:tc>
        <w:tc>
          <w:tcPr>
            <w:tcW w:w="1214" w:type="pct"/>
            <w:vAlign w:val="bottom"/>
          </w:tcPr>
          <w:p w:rsidR="001A3542" w:rsidRPr="00990D3B" w:rsidP="00B5018A" w14:paraId="00BE639D" w14:textId="77777777">
            <w:pPr>
              <w:pStyle w:val="EQRTableText"/>
              <w:rPr>
                <w:rFonts w:eastAsia="Calibri"/>
                <w:i/>
                <w:iCs/>
              </w:rPr>
            </w:pPr>
          </w:p>
        </w:tc>
        <w:tc>
          <w:tcPr>
            <w:tcW w:w="707" w:type="pct"/>
          </w:tcPr>
          <w:p w:rsidR="001A3542" w:rsidRPr="00990D3B" w:rsidP="00B5018A" w14:paraId="23003D94" w14:textId="77777777">
            <w:pPr>
              <w:pStyle w:val="EQRTableText"/>
              <w:rPr>
                <w:rFonts w:eastAsia="Calibri"/>
                <w:i/>
                <w:iCs/>
              </w:rPr>
            </w:pPr>
          </w:p>
        </w:tc>
        <w:tc>
          <w:tcPr>
            <w:tcW w:w="1529" w:type="pct"/>
            <w:vAlign w:val="bottom"/>
          </w:tcPr>
          <w:p w:rsidR="001A3542" w:rsidRPr="00990D3B" w:rsidP="00B5018A" w14:paraId="5B470B71" w14:textId="77777777">
            <w:pPr>
              <w:pStyle w:val="EQRTableText"/>
              <w:rPr>
                <w:rFonts w:eastAsia="Calibri"/>
                <w:i/>
                <w:iCs/>
              </w:rPr>
            </w:pPr>
          </w:p>
        </w:tc>
      </w:tr>
      <w:tr w14:paraId="1F981D3A" w14:textId="77777777" w:rsidTr="00666AC0">
        <w:tblPrEx>
          <w:tblW w:w="5000" w:type="pct"/>
          <w:tblLook w:val="04A0"/>
        </w:tblPrEx>
        <w:trPr>
          <w:trHeight w:val="275"/>
        </w:trPr>
        <w:tc>
          <w:tcPr>
            <w:tcW w:w="1550" w:type="pct"/>
            <w:vAlign w:val="bottom"/>
          </w:tcPr>
          <w:p w:rsidR="001A3542" w:rsidRPr="00990D3B" w:rsidP="00B5018A" w14:paraId="338D37EB" w14:textId="77777777">
            <w:pPr>
              <w:pStyle w:val="EQRTableText"/>
              <w:rPr>
                <w:rFonts w:eastAsia="Calibri"/>
                <w:i/>
                <w:iCs/>
              </w:rPr>
            </w:pPr>
          </w:p>
        </w:tc>
        <w:tc>
          <w:tcPr>
            <w:tcW w:w="1214" w:type="pct"/>
            <w:vAlign w:val="bottom"/>
          </w:tcPr>
          <w:p w:rsidR="001A3542" w:rsidRPr="00990D3B" w:rsidP="00B5018A" w14:paraId="4BA6F056" w14:textId="77777777">
            <w:pPr>
              <w:pStyle w:val="EQRTableText"/>
              <w:rPr>
                <w:rFonts w:eastAsia="Calibri"/>
                <w:i/>
                <w:iCs/>
              </w:rPr>
            </w:pPr>
          </w:p>
        </w:tc>
        <w:tc>
          <w:tcPr>
            <w:tcW w:w="707" w:type="pct"/>
          </w:tcPr>
          <w:p w:rsidR="001A3542" w:rsidRPr="00990D3B" w:rsidP="00B5018A" w14:paraId="5E5EF566" w14:textId="77777777">
            <w:pPr>
              <w:pStyle w:val="EQRTableText"/>
              <w:rPr>
                <w:rFonts w:eastAsia="Calibri"/>
                <w:i/>
                <w:iCs/>
              </w:rPr>
            </w:pPr>
          </w:p>
        </w:tc>
        <w:tc>
          <w:tcPr>
            <w:tcW w:w="1529" w:type="pct"/>
            <w:vAlign w:val="bottom"/>
          </w:tcPr>
          <w:p w:rsidR="001A3542" w:rsidRPr="00990D3B" w:rsidP="00B5018A" w14:paraId="7BF921F1" w14:textId="77777777">
            <w:pPr>
              <w:pStyle w:val="EQRTableText"/>
              <w:rPr>
                <w:rFonts w:eastAsia="Calibri"/>
                <w:i/>
                <w:iCs/>
              </w:rPr>
            </w:pPr>
          </w:p>
        </w:tc>
      </w:tr>
      <w:tr w14:paraId="562F1598" w14:textId="77777777" w:rsidTr="00666AC0">
        <w:tblPrEx>
          <w:tblW w:w="5000" w:type="pct"/>
          <w:tblLook w:val="04A0"/>
        </w:tblPrEx>
        <w:trPr>
          <w:trHeight w:val="275"/>
        </w:trPr>
        <w:tc>
          <w:tcPr>
            <w:tcW w:w="1550" w:type="pct"/>
            <w:vAlign w:val="bottom"/>
          </w:tcPr>
          <w:p w:rsidR="001A3542" w:rsidRPr="00990D3B" w:rsidP="00B5018A" w14:paraId="29A60B85" w14:textId="77777777">
            <w:pPr>
              <w:pStyle w:val="EQRTableText"/>
              <w:rPr>
                <w:rFonts w:eastAsia="Calibri"/>
                <w:i/>
                <w:iCs/>
              </w:rPr>
            </w:pPr>
          </w:p>
        </w:tc>
        <w:tc>
          <w:tcPr>
            <w:tcW w:w="1214" w:type="pct"/>
            <w:vAlign w:val="bottom"/>
          </w:tcPr>
          <w:p w:rsidR="001A3542" w:rsidRPr="00990D3B" w:rsidP="00B5018A" w14:paraId="6214B1CD" w14:textId="77777777">
            <w:pPr>
              <w:pStyle w:val="EQRTableText"/>
              <w:rPr>
                <w:rFonts w:eastAsia="Calibri"/>
                <w:i/>
                <w:iCs/>
              </w:rPr>
            </w:pPr>
          </w:p>
        </w:tc>
        <w:tc>
          <w:tcPr>
            <w:tcW w:w="707" w:type="pct"/>
          </w:tcPr>
          <w:p w:rsidR="001A3542" w:rsidRPr="00990D3B" w:rsidP="00B5018A" w14:paraId="4EF5E00F" w14:textId="77777777">
            <w:pPr>
              <w:pStyle w:val="EQRTableText"/>
              <w:rPr>
                <w:rFonts w:eastAsia="Calibri"/>
                <w:i/>
                <w:iCs/>
              </w:rPr>
            </w:pPr>
          </w:p>
        </w:tc>
        <w:tc>
          <w:tcPr>
            <w:tcW w:w="1529" w:type="pct"/>
            <w:vAlign w:val="bottom"/>
          </w:tcPr>
          <w:p w:rsidR="001A3542" w:rsidRPr="00990D3B" w:rsidP="00B5018A" w14:paraId="49A19071" w14:textId="77777777">
            <w:pPr>
              <w:pStyle w:val="EQRTableText"/>
              <w:rPr>
                <w:rFonts w:eastAsia="Calibri"/>
                <w:i/>
                <w:iCs/>
              </w:rPr>
            </w:pPr>
          </w:p>
        </w:tc>
      </w:tr>
      <w:tr w14:paraId="1AA1F047" w14:textId="77777777" w:rsidTr="00666AC0">
        <w:tblPrEx>
          <w:tblW w:w="5000" w:type="pct"/>
          <w:tblLook w:val="04A0"/>
        </w:tblPrEx>
        <w:trPr>
          <w:trHeight w:val="275"/>
        </w:trPr>
        <w:tc>
          <w:tcPr>
            <w:tcW w:w="1550" w:type="pct"/>
            <w:vAlign w:val="bottom"/>
          </w:tcPr>
          <w:p w:rsidR="001A3542" w:rsidRPr="00990D3B" w:rsidP="00B5018A" w14:paraId="675C3A30" w14:textId="77777777">
            <w:pPr>
              <w:pStyle w:val="EQRTableText"/>
              <w:rPr>
                <w:rFonts w:eastAsia="Calibri"/>
                <w:i/>
                <w:iCs/>
              </w:rPr>
            </w:pPr>
          </w:p>
        </w:tc>
        <w:tc>
          <w:tcPr>
            <w:tcW w:w="1214" w:type="pct"/>
            <w:vAlign w:val="bottom"/>
          </w:tcPr>
          <w:p w:rsidR="001A3542" w:rsidRPr="00990D3B" w:rsidP="00B5018A" w14:paraId="583138B3" w14:textId="77777777">
            <w:pPr>
              <w:pStyle w:val="EQRTableText"/>
              <w:rPr>
                <w:rFonts w:eastAsia="Calibri"/>
                <w:i/>
                <w:iCs/>
              </w:rPr>
            </w:pPr>
          </w:p>
        </w:tc>
        <w:tc>
          <w:tcPr>
            <w:tcW w:w="707" w:type="pct"/>
          </w:tcPr>
          <w:p w:rsidR="001A3542" w:rsidRPr="00990D3B" w:rsidP="00B5018A" w14:paraId="73590F21" w14:textId="77777777">
            <w:pPr>
              <w:pStyle w:val="EQRTableText"/>
              <w:rPr>
                <w:rFonts w:eastAsia="Calibri"/>
                <w:i/>
                <w:iCs/>
              </w:rPr>
            </w:pPr>
          </w:p>
        </w:tc>
        <w:tc>
          <w:tcPr>
            <w:tcW w:w="1529" w:type="pct"/>
            <w:vAlign w:val="bottom"/>
          </w:tcPr>
          <w:p w:rsidR="001A3542" w:rsidRPr="00990D3B" w:rsidP="00B5018A" w14:paraId="3AA6589A" w14:textId="77777777">
            <w:pPr>
              <w:pStyle w:val="EQRTableText"/>
              <w:rPr>
                <w:rFonts w:eastAsia="Calibri"/>
                <w:i/>
                <w:iCs/>
              </w:rPr>
            </w:pPr>
          </w:p>
        </w:tc>
      </w:tr>
    </w:tbl>
    <w:p w:rsidR="00571BF9" w:rsidRPr="00990D3B" w:rsidP="00666AC0" w14:paraId="518B8F96" w14:textId="31AA4B7E">
      <w:pPr>
        <w:spacing w:after="160" w:line="259" w:lineRule="auto"/>
        <w:rPr>
          <w:rFonts w:ascii="Arial" w:eastAsia="Calibri" w:hAnsi="Arial" w:cs="Arial"/>
          <w:b/>
          <w:kern w:val="2"/>
          <w:sz w:val="19"/>
          <w:szCs w:val="19"/>
          <w14:ligatures w14:val="standardContextual"/>
        </w:rPr>
      </w:pPr>
    </w:p>
    <w:p w:rsidR="00571BF9" w:rsidRPr="00990D3B" w14:paraId="6D1F0001" w14:textId="77777777">
      <w:pPr>
        <w:spacing w:line="240" w:lineRule="auto"/>
        <w:rPr>
          <w:rFonts w:ascii="Arial" w:eastAsia="Calibri" w:hAnsi="Arial" w:cs="Arial"/>
          <w:b/>
          <w:kern w:val="2"/>
          <w:sz w:val="19"/>
          <w:szCs w:val="19"/>
          <w14:ligatures w14:val="standardContextual"/>
        </w:rPr>
      </w:pPr>
      <w:r w:rsidRPr="00990D3B">
        <w:rPr>
          <w:rFonts w:ascii="Arial" w:eastAsia="Calibri" w:hAnsi="Arial" w:cs="Arial"/>
          <w:b/>
          <w:kern w:val="2"/>
          <w:sz w:val="19"/>
          <w:szCs w:val="19"/>
          <w14:ligatures w14:val="standardContextual"/>
        </w:rPr>
        <w:br w:type="page"/>
      </w:r>
    </w:p>
    <w:p w:rsidR="001A3542" w:rsidRPr="00990D3B" w:rsidP="0095080F" w14:paraId="57B8DBBB" w14:textId="77777777">
      <w:pPr>
        <w:pStyle w:val="EQRMarkforExhibitWORKSHEET"/>
      </w:pPr>
      <w:bookmarkStart w:id="1040" w:name="WS10n2"/>
      <w:bookmarkStart w:id="1041" w:name="_Toc201751557"/>
      <w:bookmarkEnd w:id="1040"/>
      <w:r w:rsidRPr="00990D3B">
        <w:t xml:space="preserve">Worksheet 10.2. MAC QRS Data </w:t>
      </w:r>
      <w:r w:rsidRPr="00990D3B">
        <w:rPr>
          <w:bCs/>
        </w:rPr>
        <w:t>Needs Template</w:t>
      </w:r>
      <w:bookmarkEnd w:id="1041"/>
      <w:r w:rsidRPr="00990D3B">
        <w:rPr>
          <w:bCs/>
        </w:rPr>
        <w:t xml:space="preserve"> </w:t>
      </w:r>
    </w:p>
    <w:p w:rsidR="001A3542" w:rsidRPr="00990D3B" w:rsidP="00571BF9" w14:paraId="69D289BF" w14:textId="77777777">
      <w:pPr>
        <w:pStyle w:val="EQRNormalSSWORKSHEET"/>
      </w:pPr>
      <w:r w:rsidRPr="00990D3B">
        <w:rPr>
          <w:b/>
          <w:bCs/>
        </w:rPr>
        <w:t>Instructions.</w:t>
      </w:r>
      <w:r w:rsidRPr="00990D3B">
        <w:t xml:space="preserve"> Use this worksheet to identify the data elements and sources required to calculate each MAC QRS measure. The worksheet includes columns to indicate whether data must be obtained from another Medicaid MCP, Medicaid FFS, MA plan, or Medicare FFS. Completing this worksheet will help the EQRO determine when external data sources—beyond the MCP to which the measure is assigned—are necessary to support complete and accurate measure calculation.</w:t>
      </w:r>
    </w:p>
    <w:p w:rsidR="001A3542" w:rsidRPr="00990D3B" w:rsidP="00571BF9" w14:paraId="4CFB450B" w14:textId="77777777">
      <w:pPr>
        <w:pStyle w:val="EQRNormalSSWORKSHEET"/>
      </w:pPr>
      <w:r w:rsidRPr="00990D3B">
        <w:t>For each measure, complete the following fields:</w:t>
      </w:r>
    </w:p>
    <w:p w:rsidR="001A3542" w:rsidRPr="00990D3B" w:rsidP="00571BF9" w14:paraId="5E949CF9" w14:textId="77777777">
      <w:pPr>
        <w:pStyle w:val="EQRNormalSSWSbullet"/>
        <w:rPr>
          <w:rFonts w:eastAsia="Calibri"/>
        </w:rPr>
      </w:pPr>
      <w:r w:rsidRPr="00990D3B">
        <w:rPr>
          <w:rFonts w:eastAsia="Calibri"/>
          <w:b/>
          <w:bCs/>
        </w:rPr>
        <w:t xml:space="preserve">Data element. </w:t>
      </w:r>
      <w:r w:rsidRPr="00990D3B">
        <w:rPr>
          <w:rFonts w:eastAsia="Calibri"/>
        </w:rPr>
        <w:t>Review the measure specifications and list the data elements needed to calculate the numerator and denominator. The numerator data elements should align with the services included in the numerator but may include more granular information (e.g., diagnosis codes, procedure codes, medication identifiers).</w:t>
      </w:r>
    </w:p>
    <w:p w:rsidR="001A3542" w:rsidRPr="00990D3B" w:rsidP="00571BF9" w14:paraId="0656DE78" w14:textId="77777777">
      <w:pPr>
        <w:pStyle w:val="EQRNormalSSWSbullet2ndlevel"/>
        <w:rPr>
          <w:rFonts w:eastAsia="Calibri"/>
        </w:rPr>
      </w:pPr>
      <w:r w:rsidRPr="00990D3B">
        <w:rPr>
          <w:rFonts w:eastAsia="Calibri"/>
        </w:rPr>
        <w:t>To identify the full list of data elements, refer to the measure specifications. Additional technical assistance resources are available at [insert link].</w:t>
      </w:r>
    </w:p>
    <w:p w:rsidR="001A3542" w:rsidRPr="00990D3B" w:rsidP="00571BF9" w14:paraId="4DA1452F" w14:textId="77777777">
      <w:pPr>
        <w:pStyle w:val="EQRNormalSSWSbullet"/>
        <w:rPr>
          <w:rFonts w:eastAsia="Calibri"/>
        </w:rPr>
      </w:pPr>
      <w:r w:rsidRPr="00990D3B">
        <w:rPr>
          <w:rFonts w:eastAsia="Calibri"/>
          <w:b/>
          <w:bCs/>
        </w:rPr>
        <w:t xml:space="preserve">Data element available from MCP(s). </w:t>
      </w:r>
      <w:r w:rsidRPr="00990D3B">
        <w:rPr>
          <w:rFonts w:eastAsia="Calibri"/>
        </w:rPr>
        <w:t>Indicate whether the data element is available from the MCP(s) to which the measure is assigned. If the MCP(s) has all necessary data, enter “Yes”.</w:t>
      </w:r>
    </w:p>
    <w:p w:rsidR="001A3542" w:rsidRPr="00990D3B" w:rsidP="00571BF9" w14:paraId="3EE800A1" w14:textId="77777777">
      <w:pPr>
        <w:pStyle w:val="EQRNormalSSWSbullet"/>
        <w:rPr>
          <w:rFonts w:eastAsia="Calibri"/>
        </w:rPr>
      </w:pPr>
      <w:r w:rsidRPr="00990D3B">
        <w:rPr>
          <w:rFonts w:eastAsia="Calibri"/>
          <w:b/>
          <w:bCs/>
        </w:rPr>
        <w:t>Data required from.</w:t>
      </w:r>
      <w:r w:rsidRPr="00990D3B">
        <w:rPr>
          <w:rFonts w:eastAsia="Calibri"/>
        </w:rPr>
        <w:t xml:space="preserve"> If you entered “No” in the second column, use the remaining columns to identify from where the data should be obtained—another Medicaid MCP, Medicaid FFS, Medicare Advantage (MA), or Medicare FFS.</w:t>
      </w:r>
    </w:p>
    <w:p w:rsidR="001A3542" w:rsidRPr="00990D3B" w:rsidP="00571BF9" w14:paraId="656CF12F" w14:textId="77777777">
      <w:pPr>
        <w:pStyle w:val="EQRNormalSSWSbullet"/>
        <w:rPr>
          <w:rFonts w:eastAsia="Calibri"/>
        </w:rPr>
      </w:pPr>
      <w:r w:rsidRPr="00990D3B">
        <w:rPr>
          <w:rFonts w:eastAsia="Calibri"/>
          <w:b/>
          <w:bCs/>
        </w:rPr>
        <w:t xml:space="preserve">Comments. </w:t>
      </w:r>
      <w:r w:rsidRPr="00990D3B">
        <w:rPr>
          <w:rFonts w:eastAsia="Calibri"/>
        </w:rPr>
        <w:t>Provide additional context, such as clarifying which entities are responsible for supplying the data or explaining any special considerations (e.g., need for data sharing agreements).</w:t>
      </w:r>
    </w:p>
    <w:p w:rsidR="001A3542" w:rsidRPr="00990D3B" w:rsidP="00571BF9" w14:paraId="4852A62A" w14:textId="77777777">
      <w:pPr>
        <w:pStyle w:val="EQRNormalSSWORKSHEET"/>
      </w:pPr>
      <w:r w:rsidRPr="00990D3B">
        <w:t xml:space="preserve">Acronyms: CHIP = Children’s Health Insurance Program; EQRO = External Quality Review Organization; FFS= Fee-for-service; MA = Medicare Advantage; MAC = Medicaid and CHIP; MCP= Managed Care Plan; QRS = Quality Rating System. </w:t>
      </w:r>
    </w:p>
    <w:tbl>
      <w:tblPr>
        <w:tblStyle w:val="TableGrid2"/>
        <w:tblW w:w="5000" w:type="pct"/>
        <w:tblLayout w:type="fixed"/>
        <w:tblLook w:val="04A0"/>
      </w:tblPr>
      <w:tblGrid>
        <w:gridCol w:w="1620"/>
        <w:gridCol w:w="1526"/>
        <w:gridCol w:w="1169"/>
        <w:gridCol w:w="991"/>
        <w:gridCol w:w="899"/>
        <w:gridCol w:w="1081"/>
        <w:gridCol w:w="2064"/>
      </w:tblGrid>
      <w:tr w14:paraId="4371822F" w14:textId="77777777" w:rsidTr="00AB5952">
        <w:tblPrEx>
          <w:tblW w:w="5000" w:type="pct"/>
          <w:tblLayout w:type="fixed"/>
          <w:tblLook w:val="04A0"/>
        </w:tblPrEx>
        <w:trPr>
          <w:cantSplit/>
        </w:trPr>
        <w:tc>
          <w:tcPr>
            <w:tcW w:w="5000" w:type="pct"/>
            <w:gridSpan w:val="7"/>
            <w:vAlign w:val="bottom"/>
          </w:tcPr>
          <w:p w:rsidR="001A3542" w:rsidRPr="00990D3B" w:rsidP="00B5018A" w14:paraId="72DDD641" w14:textId="77777777">
            <w:pPr>
              <w:pStyle w:val="EQRTableHeaderLeft"/>
              <w:rPr>
                <w:rFonts w:eastAsia="Calibri"/>
                <w:color w:val="auto"/>
              </w:rPr>
            </w:pPr>
            <w:r w:rsidRPr="00990D3B">
              <w:rPr>
                <w:rFonts w:eastAsia="Calibri"/>
                <w:color w:val="auto"/>
              </w:rPr>
              <w:t>Managed care program:</w:t>
            </w:r>
          </w:p>
        </w:tc>
      </w:tr>
      <w:tr w14:paraId="25A839AE" w14:textId="77777777" w:rsidTr="00AB5952">
        <w:tblPrEx>
          <w:tblW w:w="5000" w:type="pct"/>
          <w:tblLayout w:type="fixed"/>
          <w:tblLook w:val="04A0"/>
        </w:tblPrEx>
        <w:trPr>
          <w:cantSplit/>
        </w:trPr>
        <w:tc>
          <w:tcPr>
            <w:tcW w:w="5000" w:type="pct"/>
            <w:gridSpan w:val="7"/>
            <w:vAlign w:val="bottom"/>
          </w:tcPr>
          <w:p w:rsidR="001A3542" w:rsidRPr="00990D3B" w:rsidP="00B5018A" w14:paraId="749C279A" w14:textId="77777777">
            <w:pPr>
              <w:pStyle w:val="EQRTableHeaderLeft"/>
              <w:rPr>
                <w:rFonts w:eastAsia="Calibri"/>
                <w:color w:val="auto"/>
              </w:rPr>
            </w:pPr>
            <w:r w:rsidRPr="00990D3B">
              <w:rPr>
                <w:rFonts w:eastAsia="Calibri"/>
                <w:color w:val="auto"/>
              </w:rPr>
              <w:t>Participating</w:t>
            </w:r>
            <w:r w:rsidRPr="00990D3B">
              <w:rPr>
                <w:rFonts w:eastAsia="Calibri"/>
                <w:color w:val="auto"/>
              </w:rPr>
              <w:t xml:space="preserve"> MCPs:</w:t>
            </w:r>
          </w:p>
        </w:tc>
      </w:tr>
      <w:tr w14:paraId="06D8BD70" w14:textId="77777777" w:rsidTr="00AB5952">
        <w:tblPrEx>
          <w:tblW w:w="5000" w:type="pct"/>
          <w:tblLayout w:type="fixed"/>
          <w:tblLook w:val="04A0"/>
        </w:tblPrEx>
        <w:trPr>
          <w:cantSplit/>
        </w:trPr>
        <w:tc>
          <w:tcPr>
            <w:tcW w:w="5000" w:type="pct"/>
            <w:gridSpan w:val="7"/>
            <w:vAlign w:val="bottom"/>
          </w:tcPr>
          <w:p w:rsidR="001A3542" w:rsidRPr="00990D3B" w:rsidP="00B5018A" w14:paraId="41B99011" w14:textId="77777777">
            <w:pPr>
              <w:pStyle w:val="EQRTableHeaderLeft"/>
              <w:rPr>
                <w:rFonts w:eastAsia="Calibri"/>
                <w:color w:val="auto"/>
              </w:rPr>
            </w:pPr>
            <w:r w:rsidRPr="00990D3B">
              <w:rPr>
                <w:rFonts w:eastAsia="Calibri"/>
                <w:color w:val="auto"/>
              </w:rPr>
              <w:t>Measure:</w:t>
            </w:r>
          </w:p>
        </w:tc>
      </w:tr>
      <w:tr w14:paraId="13EB4673" w14:textId="77777777" w:rsidTr="00AB5952">
        <w:tblPrEx>
          <w:tblW w:w="5000" w:type="pct"/>
          <w:tblLayout w:type="fixed"/>
          <w:tblLook w:val="04A0"/>
        </w:tblPrEx>
        <w:trPr>
          <w:cantSplit/>
        </w:trPr>
        <w:tc>
          <w:tcPr>
            <w:tcW w:w="866" w:type="pct"/>
            <w:vMerge w:val="restart"/>
            <w:vAlign w:val="bottom"/>
          </w:tcPr>
          <w:p w:rsidR="001A3542" w:rsidRPr="00990D3B" w:rsidP="00B5018A" w14:paraId="43E81C52" w14:textId="77777777">
            <w:pPr>
              <w:pStyle w:val="EQRTableHeaderLeft"/>
              <w:rPr>
                <w:rFonts w:eastAsia="Calibri"/>
                <w:color w:val="auto"/>
              </w:rPr>
            </w:pPr>
            <w:r w:rsidRPr="00990D3B">
              <w:rPr>
                <w:rFonts w:eastAsia="Calibri"/>
                <w:color w:val="auto"/>
              </w:rPr>
              <w:t>Data element</w:t>
            </w:r>
          </w:p>
        </w:tc>
        <w:tc>
          <w:tcPr>
            <w:tcW w:w="816" w:type="pct"/>
            <w:vMerge w:val="restart"/>
            <w:vAlign w:val="bottom"/>
          </w:tcPr>
          <w:p w:rsidR="001A3542" w:rsidRPr="00990D3B" w:rsidP="00B5018A" w14:paraId="426AEDC1" w14:textId="2EF9DD5A">
            <w:pPr>
              <w:pStyle w:val="EQRTableHeaderCenter"/>
              <w:rPr>
                <w:rFonts w:eastAsia="Calibri"/>
                <w:bCs/>
                <w:color w:val="auto"/>
              </w:rPr>
            </w:pPr>
            <w:r w:rsidRPr="00990D3B">
              <w:rPr>
                <w:rFonts w:eastAsia="Calibri"/>
                <w:color w:val="auto"/>
              </w:rPr>
              <w:t>Data element available from MCP</w:t>
            </w:r>
            <w:r w:rsidRPr="00990D3B">
              <w:rPr>
                <w:rFonts w:eastAsia="Calibri"/>
                <w:bCs/>
                <w:color w:val="auto"/>
              </w:rPr>
              <w:t>(s)?</w:t>
            </w:r>
            <w:r w:rsidRPr="00990D3B" w:rsidR="00126F73">
              <w:rPr>
                <w:rFonts w:eastAsia="Calibri"/>
                <w:color w:val="auto"/>
              </w:rPr>
              <w:br/>
            </w:r>
            <w:r w:rsidRPr="00990D3B">
              <w:rPr>
                <w:rFonts w:eastAsia="Calibri"/>
                <w:color w:val="auto"/>
              </w:rPr>
              <w:t>(Y/N)</w:t>
            </w:r>
          </w:p>
        </w:tc>
        <w:tc>
          <w:tcPr>
            <w:tcW w:w="3318" w:type="pct"/>
            <w:gridSpan w:val="5"/>
            <w:vAlign w:val="bottom"/>
          </w:tcPr>
          <w:p w:rsidR="001A3542" w:rsidRPr="00990D3B" w:rsidP="00B5018A" w14:paraId="1B2FCD7F" w14:textId="77777777">
            <w:pPr>
              <w:pStyle w:val="EQRTableHeaderCenter"/>
              <w:rPr>
                <w:rFonts w:eastAsia="Calibri"/>
                <w:bCs/>
                <w:color w:val="auto"/>
              </w:rPr>
            </w:pPr>
            <w:r w:rsidRPr="00990D3B">
              <w:rPr>
                <w:rFonts w:eastAsia="Calibri"/>
                <w:bCs/>
                <w:color w:val="auto"/>
              </w:rPr>
              <w:t>Data required from:</w:t>
            </w:r>
          </w:p>
        </w:tc>
      </w:tr>
      <w:tr w14:paraId="427F1279" w14:textId="77777777" w:rsidTr="00AB5952">
        <w:tblPrEx>
          <w:tblW w:w="5000" w:type="pct"/>
          <w:tblLayout w:type="fixed"/>
          <w:tblLook w:val="04A0"/>
        </w:tblPrEx>
        <w:trPr>
          <w:cantSplit/>
        </w:trPr>
        <w:tc>
          <w:tcPr>
            <w:tcW w:w="866" w:type="pct"/>
            <w:vMerge/>
            <w:vAlign w:val="bottom"/>
          </w:tcPr>
          <w:p w:rsidR="001A3542" w:rsidRPr="00990D3B" w:rsidP="00666AC0" w14:paraId="43FA5DED" w14:textId="77777777">
            <w:pPr>
              <w:spacing w:line="240" w:lineRule="auto"/>
              <w:rPr>
                <w:rFonts w:ascii="Arial" w:eastAsia="Calibri" w:hAnsi="Arial" w:cs="Arial"/>
                <w:b/>
                <w:bCs/>
                <w:sz w:val="18"/>
                <w:szCs w:val="18"/>
              </w:rPr>
            </w:pPr>
          </w:p>
        </w:tc>
        <w:tc>
          <w:tcPr>
            <w:tcW w:w="816" w:type="pct"/>
            <w:vMerge/>
            <w:vAlign w:val="bottom"/>
          </w:tcPr>
          <w:p w:rsidR="001A3542" w:rsidRPr="00990D3B" w:rsidP="00B5018A" w14:paraId="76F2371E" w14:textId="77777777">
            <w:pPr>
              <w:pStyle w:val="EQRTableHeaderCenter"/>
              <w:rPr>
                <w:rFonts w:eastAsia="Calibri"/>
                <w:bCs/>
              </w:rPr>
            </w:pPr>
          </w:p>
        </w:tc>
        <w:tc>
          <w:tcPr>
            <w:tcW w:w="625" w:type="pct"/>
            <w:vAlign w:val="bottom"/>
          </w:tcPr>
          <w:p w:rsidR="001A3542" w:rsidRPr="00990D3B" w:rsidP="00B5018A" w14:paraId="492DA7D8" w14:textId="19AB9DFF">
            <w:pPr>
              <w:pStyle w:val="EQRTableHeaderCenter"/>
              <w:rPr>
                <w:rFonts w:eastAsia="Calibri"/>
                <w:bCs/>
                <w:color w:val="auto"/>
              </w:rPr>
            </w:pPr>
            <w:r w:rsidRPr="00990D3B">
              <w:rPr>
                <w:rFonts w:eastAsia="Calibri"/>
                <w:bCs/>
                <w:color w:val="auto"/>
              </w:rPr>
              <w:t>Another Medicaid MCP</w:t>
            </w:r>
            <w:r w:rsidRPr="00990D3B" w:rsidR="00126F73">
              <w:rPr>
                <w:rFonts w:eastAsia="Calibri"/>
                <w:bCs/>
                <w:color w:val="auto"/>
              </w:rPr>
              <w:br/>
            </w:r>
            <w:r w:rsidRPr="00990D3B">
              <w:rPr>
                <w:rFonts w:eastAsia="Calibri"/>
                <w:bCs/>
                <w:color w:val="auto"/>
              </w:rPr>
              <w:t>(Y/N)</w:t>
            </w:r>
          </w:p>
        </w:tc>
        <w:tc>
          <w:tcPr>
            <w:tcW w:w="530" w:type="pct"/>
            <w:vAlign w:val="bottom"/>
          </w:tcPr>
          <w:p w:rsidR="001A3542" w:rsidRPr="00990D3B" w:rsidP="00B5018A" w14:paraId="73F3341E" w14:textId="0A8B9ED9">
            <w:pPr>
              <w:pStyle w:val="EQRTableHeaderCenter"/>
              <w:rPr>
                <w:rFonts w:eastAsia="Calibri"/>
                <w:bCs/>
                <w:color w:val="auto"/>
              </w:rPr>
            </w:pPr>
            <w:r w:rsidRPr="00990D3B">
              <w:rPr>
                <w:rFonts w:eastAsia="Calibri"/>
                <w:bCs/>
                <w:color w:val="auto"/>
              </w:rPr>
              <w:t>Medicaid FFS</w:t>
            </w:r>
            <w:r w:rsidRPr="00990D3B" w:rsidR="00126F73">
              <w:rPr>
                <w:rFonts w:eastAsia="Calibri"/>
                <w:bCs/>
                <w:color w:val="auto"/>
              </w:rPr>
              <w:br/>
            </w:r>
            <w:r w:rsidRPr="00990D3B">
              <w:rPr>
                <w:rFonts w:eastAsia="Calibri"/>
                <w:bCs/>
                <w:color w:val="auto"/>
              </w:rPr>
              <w:t>(Y/N)</w:t>
            </w:r>
          </w:p>
        </w:tc>
        <w:tc>
          <w:tcPr>
            <w:tcW w:w="481" w:type="pct"/>
            <w:vAlign w:val="bottom"/>
          </w:tcPr>
          <w:p w:rsidR="001A3542" w:rsidRPr="00990D3B" w:rsidP="00B5018A" w14:paraId="6A9285BA" w14:textId="6C941FF5">
            <w:pPr>
              <w:pStyle w:val="EQRTableHeaderCenter"/>
              <w:rPr>
                <w:rFonts w:eastAsia="Calibri"/>
                <w:bCs/>
                <w:color w:val="auto"/>
              </w:rPr>
            </w:pPr>
            <w:r w:rsidRPr="00990D3B">
              <w:rPr>
                <w:rFonts w:eastAsia="Calibri"/>
                <w:bCs/>
                <w:color w:val="auto"/>
              </w:rPr>
              <w:t>MA Plan</w:t>
            </w:r>
            <w:r w:rsidRPr="00990D3B" w:rsidR="00126F73">
              <w:rPr>
                <w:rFonts w:eastAsia="Calibri"/>
                <w:bCs/>
                <w:color w:val="auto"/>
              </w:rPr>
              <w:br/>
            </w:r>
            <w:r w:rsidRPr="00990D3B">
              <w:rPr>
                <w:rFonts w:eastAsia="Calibri"/>
                <w:bCs/>
                <w:color w:val="auto"/>
              </w:rPr>
              <w:t>(Y/N)</w:t>
            </w:r>
          </w:p>
        </w:tc>
        <w:tc>
          <w:tcPr>
            <w:tcW w:w="578" w:type="pct"/>
            <w:vAlign w:val="bottom"/>
          </w:tcPr>
          <w:p w:rsidR="001A3542" w:rsidRPr="00990D3B" w:rsidP="00B5018A" w14:paraId="1CBDE019" w14:textId="172D6FA5">
            <w:pPr>
              <w:pStyle w:val="EQRTableHeaderCenter"/>
              <w:rPr>
                <w:rFonts w:eastAsia="Calibri"/>
                <w:bCs/>
                <w:color w:val="auto"/>
              </w:rPr>
            </w:pPr>
            <w:r w:rsidRPr="00990D3B">
              <w:rPr>
                <w:rFonts w:eastAsia="Calibri"/>
                <w:bCs/>
                <w:color w:val="auto"/>
              </w:rPr>
              <w:t>Medicare FFS</w:t>
            </w:r>
            <w:r w:rsidRPr="00990D3B" w:rsidR="00126F73">
              <w:rPr>
                <w:rFonts w:eastAsia="Calibri"/>
                <w:bCs/>
                <w:color w:val="auto"/>
              </w:rPr>
              <w:br/>
            </w:r>
            <w:r w:rsidRPr="00990D3B">
              <w:rPr>
                <w:rFonts w:eastAsia="Calibri"/>
                <w:bCs/>
                <w:color w:val="auto"/>
              </w:rPr>
              <w:t>(Y/N)</w:t>
            </w:r>
          </w:p>
        </w:tc>
        <w:tc>
          <w:tcPr>
            <w:tcW w:w="1104" w:type="pct"/>
            <w:vAlign w:val="bottom"/>
          </w:tcPr>
          <w:p w:rsidR="001A3542" w:rsidRPr="00990D3B" w:rsidP="00B5018A" w14:paraId="3B4ADFF8" w14:textId="77777777">
            <w:pPr>
              <w:pStyle w:val="EQRTableHeaderCenter"/>
              <w:rPr>
                <w:rFonts w:eastAsia="Calibri"/>
                <w:bCs/>
                <w:color w:val="auto"/>
              </w:rPr>
            </w:pPr>
            <w:r w:rsidRPr="00990D3B">
              <w:rPr>
                <w:rFonts w:eastAsia="Calibri"/>
                <w:bCs/>
                <w:color w:val="auto"/>
              </w:rPr>
              <w:t>Comments</w:t>
            </w:r>
          </w:p>
        </w:tc>
      </w:tr>
      <w:tr w14:paraId="015C24B1" w14:textId="77777777" w:rsidTr="00AB5952">
        <w:tblPrEx>
          <w:tblW w:w="5000" w:type="pct"/>
          <w:tblLayout w:type="fixed"/>
          <w:tblLook w:val="04A0"/>
        </w:tblPrEx>
        <w:trPr>
          <w:cantSplit/>
        </w:trPr>
        <w:tc>
          <w:tcPr>
            <w:tcW w:w="5000" w:type="pct"/>
            <w:gridSpan w:val="7"/>
            <w:vAlign w:val="bottom"/>
          </w:tcPr>
          <w:p w:rsidR="001A3542" w:rsidRPr="00990D3B" w:rsidP="00B5018A" w14:paraId="1FF47C95" w14:textId="77777777">
            <w:pPr>
              <w:pStyle w:val="EQRTableHeaderLeft"/>
              <w:rPr>
                <w:rFonts w:eastAsia="Calibri"/>
                <w:color w:val="auto"/>
              </w:rPr>
            </w:pPr>
            <w:r w:rsidRPr="00990D3B">
              <w:rPr>
                <w:rFonts w:eastAsia="Calibri"/>
                <w:color w:val="auto"/>
              </w:rPr>
              <w:t xml:space="preserve">Numerator </w:t>
            </w:r>
          </w:p>
        </w:tc>
      </w:tr>
      <w:tr w14:paraId="460186A2" w14:textId="77777777" w:rsidTr="00AB5952">
        <w:tblPrEx>
          <w:tblW w:w="5000" w:type="pct"/>
          <w:tblLayout w:type="fixed"/>
          <w:tblLook w:val="04A0"/>
        </w:tblPrEx>
        <w:trPr>
          <w:cantSplit/>
        </w:trPr>
        <w:tc>
          <w:tcPr>
            <w:tcW w:w="866" w:type="pct"/>
            <w:vAlign w:val="bottom"/>
          </w:tcPr>
          <w:p w:rsidR="001A3542" w:rsidRPr="00990D3B" w:rsidP="00B5018A" w14:paraId="15163397" w14:textId="77777777">
            <w:pPr>
              <w:pStyle w:val="EQRTableText"/>
              <w:rPr>
                <w:rFonts w:eastAsia="Calibri"/>
              </w:rPr>
            </w:pPr>
          </w:p>
        </w:tc>
        <w:tc>
          <w:tcPr>
            <w:tcW w:w="816" w:type="pct"/>
            <w:vAlign w:val="bottom"/>
          </w:tcPr>
          <w:p w:rsidR="001A3542" w:rsidRPr="00990D3B" w:rsidP="00B5018A" w14:paraId="0FC5EC6B" w14:textId="77777777">
            <w:pPr>
              <w:pStyle w:val="EQRTableText"/>
              <w:rPr>
                <w:rFonts w:eastAsia="Calibri"/>
              </w:rPr>
            </w:pPr>
          </w:p>
        </w:tc>
        <w:tc>
          <w:tcPr>
            <w:tcW w:w="625" w:type="pct"/>
            <w:vAlign w:val="bottom"/>
          </w:tcPr>
          <w:p w:rsidR="001A3542" w:rsidRPr="00990D3B" w:rsidP="00B5018A" w14:paraId="370B8011" w14:textId="77777777">
            <w:pPr>
              <w:pStyle w:val="EQRTableText"/>
              <w:rPr>
                <w:rFonts w:eastAsia="Calibri"/>
              </w:rPr>
            </w:pPr>
          </w:p>
        </w:tc>
        <w:tc>
          <w:tcPr>
            <w:tcW w:w="530" w:type="pct"/>
            <w:vAlign w:val="bottom"/>
          </w:tcPr>
          <w:p w:rsidR="001A3542" w:rsidRPr="00990D3B" w:rsidP="00B5018A" w14:paraId="4F3CD2AF" w14:textId="77777777">
            <w:pPr>
              <w:pStyle w:val="EQRTableText"/>
              <w:rPr>
                <w:rFonts w:eastAsia="Calibri"/>
              </w:rPr>
            </w:pPr>
          </w:p>
        </w:tc>
        <w:tc>
          <w:tcPr>
            <w:tcW w:w="481" w:type="pct"/>
            <w:vAlign w:val="bottom"/>
          </w:tcPr>
          <w:p w:rsidR="001A3542" w:rsidRPr="00990D3B" w:rsidP="00B5018A" w14:paraId="6B6B5A7D" w14:textId="77777777">
            <w:pPr>
              <w:pStyle w:val="EQRTableText"/>
              <w:rPr>
                <w:rFonts w:eastAsia="Calibri"/>
              </w:rPr>
            </w:pPr>
          </w:p>
        </w:tc>
        <w:tc>
          <w:tcPr>
            <w:tcW w:w="578" w:type="pct"/>
            <w:vAlign w:val="bottom"/>
          </w:tcPr>
          <w:p w:rsidR="001A3542" w:rsidRPr="00990D3B" w:rsidP="00B5018A" w14:paraId="107B623A" w14:textId="77777777">
            <w:pPr>
              <w:pStyle w:val="EQRTableText"/>
              <w:rPr>
                <w:rFonts w:eastAsia="Calibri"/>
              </w:rPr>
            </w:pPr>
          </w:p>
        </w:tc>
        <w:tc>
          <w:tcPr>
            <w:tcW w:w="1104" w:type="pct"/>
            <w:vAlign w:val="bottom"/>
          </w:tcPr>
          <w:p w:rsidR="001A3542" w:rsidRPr="00990D3B" w:rsidP="00B5018A" w14:paraId="68740570" w14:textId="77777777">
            <w:pPr>
              <w:pStyle w:val="EQRTableText"/>
              <w:rPr>
                <w:rFonts w:eastAsia="Calibri"/>
              </w:rPr>
            </w:pPr>
          </w:p>
        </w:tc>
      </w:tr>
      <w:tr w14:paraId="75E63AC5" w14:textId="77777777" w:rsidTr="00AB5952">
        <w:tblPrEx>
          <w:tblW w:w="5000" w:type="pct"/>
          <w:tblLayout w:type="fixed"/>
          <w:tblLook w:val="04A0"/>
        </w:tblPrEx>
        <w:trPr>
          <w:cantSplit/>
        </w:trPr>
        <w:tc>
          <w:tcPr>
            <w:tcW w:w="866" w:type="pct"/>
            <w:vAlign w:val="bottom"/>
          </w:tcPr>
          <w:p w:rsidR="001A3542" w:rsidRPr="00990D3B" w:rsidP="00B5018A" w14:paraId="4396D2BD" w14:textId="77777777">
            <w:pPr>
              <w:pStyle w:val="EQRTableText"/>
              <w:rPr>
                <w:rFonts w:eastAsia="Calibri"/>
              </w:rPr>
            </w:pPr>
          </w:p>
        </w:tc>
        <w:tc>
          <w:tcPr>
            <w:tcW w:w="816" w:type="pct"/>
            <w:vAlign w:val="bottom"/>
          </w:tcPr>
          <w:p w:rsidR="001A3542" w:rsidRPr="00990D3B" w:rsidP="00B5018A" w14:paraId="0C1F66FE" w14:textId="77777777">
            <w:pPr>
              <w:pStyle w:val="EQRTableText"/>
              <w:rPr>
                <w:rFonts w:eastAsia="Calibri"/>
              </w:rPr>
            </w:pPr>
          </w:p>
        </w:tc>
        <w:tc>
          <w:tcPr>
            <w:tcW w:w="625" w:type="pct"/>
            <w:vAlign w:val="bottom"/>
          </w:tcPr>
          <w:p w:rsidR="001A3542" w:rsidRPr="00990D3B" w:rsidP="00B5018A" w14:paraId="2BBED8F2" w14:textId="77777777">
            <w:pPr>
              <w:pStyle w:val="EQRTableText"/>
              <w:rPr>
                <w:rFonts w:eastAsia="Calibri"/>
              </w:rPr>
            </w:pPr>
          </w:p>
        </w:tc>
        <w:tc>
          <w:tcPr>
            <w:tcW w:w="530" w:type="pct"/>
            <w:vAlign w:val="bottom"/>
          </w:tcPr>
          <w:p w:rsidR="001A3542" w:rsidRPr="00990D3B" w:rsidP="00B5018A" w14:paraId="53957801" w14:textId="77777777">
            <w:pPr>
              <w:pStyle w:val="EQRTableText"/>
              <w:rPr>
                <w:rFonts w:eastAsia="Calibri"/>
              </w:rPr>
            </w:pPr>
          </w:p>
        </w:tc>
        <w:tc>
          <w:tcPr>
            <w:tcW w:w="481" w:type="pct"/>
            <w:vAlign w:val="bottom"/>
          </w:tcPr>
          <w:p w:rsidR="001A3542" w:rsidRPr="00990D3B" w:rsidP="00B5018A" w14:paraId="2829B221" w14:textId="77777777">
            <w:pPr>
              <w:pStyle w:val="EQRTableText"/>
              <w:rPr>
                <w:rFonts w:eastAsia="Calibri"/>
              </w:rPr>
            </w:pPr>
          </w:p>
        </w:tc>
        <w:tc>
          <w:tcPr>
            <w:tcW w:w="578" w:type="pct"/>
            <w:vAlign w:val="bottom"/>
          </w:tcPr>
          <w:p w:rsidR="001A3542" w:rsidRPr="00990D3B" w:rsidP="00B5018A" w14:paraId="62A367D0" w14:textId="77777777">
            <w:pPr>
              <w:pStyle w:val="EQRTableText"/>
              <w:rPr>
                <w:rFonts w:eastAsia="Calibri"/>
              </w:rPr>
            </w:pPr>
          </w:p>
        </w:tc>
        <w:tc>
          <w:tcPr>
            <w:tcW w:w="1104" w:type="pct"/>
            <w:vAlign w:val="bottom"/>
          </w:tcPr>
          <w:p w:rsidR="001A3542" w:rsidRPr="00990D3B" w:rsidP="00B5018A" w14:paraId="31D28FDF" w14:textId="77777777">
            <w:pPr>
              <w:pStyle w:val="EQRTableText"/>
              <w:rPr>
                <w:rFonts w:eastAsia="Calibri"/>
              </w:rPr>
            </w:pPr>
          </w:p>
        </w:tc>
      </w:tr>
      <w:tr w14:paraId="54FC76AA" w14:textId="77777777" w:rsidTr="00AB5952">
        <w:tblPrEx>
          <w:tblW w:w="5000" w:type="pct"/>
          <w:tblLayout w:type="fixed"/>
          <w:tblLook w:val="04A0"/>
        </w:tblPrEx>
        <w:trPr>
          <w:cantSplit/>
        </w:trPr>
        <w:tc>
          <w:tcPr>
            <w:tcW w:w="866" w:type="pct"/>
            <w:vAlign w:val="bottom"/>
          </w:tcPr>
          <w:p w:rsidR="001A3542" w:rsidRPr="00990D3B" w:rsidP="00B5018A" w14:paraId="1C6992D3" w14:textId="77777777">
            <w:pPr>
              <w:pStyle w:val="EQRTableText"/>
              <w:rPr>
                <w:rFonts w:eastAsia="Calibri"/>
              </w:rPr>
            </w:pPr>
          </w:p>
        </w:tc>
        <w:tc>
          <w:tcPr>
            <w:tcW w:w="816" w:type="pct"/>
            <w:vAlign w:val="bottom"/>
          </w:tcPr>
          <w:p w:rsidR="001A3542" w:rsidRPr="00990D3B" w:rsidP="00B5018A" w14:paraId="19327ADA" w14:textId="77777777">
            <w:pPr>
              <w:pStyle w:val="EQRTableText"/>
              <w:rPr>
                <w:rFonts w:eastAsia="Calibri"/>
              </w:rPr>
            </w:pPr>
          </w:p>
        </w:tc>
        <w:tc>
          <w:tcPr>
            <w:tcW w:w="625" w:type="pct"/>
            <w:vAlign w:val="bottom"/>
          </w:tcPr>
          <w:p w:rsidR="001A3542" w:rsidRPr="00990D3B" w:rsidP="00B5018A" w14:paraId="409FBAA3" w14:textId="77777777">
            <w:pPr>
              <w:pStyle w:val="EQRTableText"/>
              <w:rPr>
                <w:rFonts w:eastAsia="Calibri"/>
              </w:rPr>
            </w:pPr>
          </w:p>
        </w:tc>
        <w:tc>
          <w:tcPr>
            <w:tcW w:w="530" w:type="pct"/>
            <w:vAlign w:val="bottom"/>
          </w:tcPr>
          <w:p w:rsidR="001A3542" w:rsidRPr="00990D3B" w:rsidP="00B5018A" w14:paraId="4AC7D6F5" w14:textId="77777777">
            <w:pPr>
              <w:pStyle w:val="EQRTableText"/>
              <w:rPr>
                <w:rFonts w:eastAsia="Calibri"/>
              </w:rPr>
            </w:pPr>
          </w:p>
        </w:tc>
        <w:tc>
          <w:tcPr>
            <w:tcW w:w="481" w:type="pct"/>
            <w:vAlign w:val="bottom"/>
          </w:tcPr>
          <w:p w:rsidR="001A3542" w:rsidRPr="00990D3B" w:rsidP="00B5018A" w14:paraId="6F8E4360" w14:textId="77777777">
            <w:pPr>
              <w:pStyle w:val="EQRTableText"/>
              <w:rPr>
                <w:rFonts w:eastAsia="Calibri"/>
              </w:rPr>
            </w:pPr>
          </w:p>
        </w:tc>
        <w:tc>
          <w:tcPr>
            <w:tcW w:w="578" w:type="pct"/>
            <w:vAlign w:val="bottom"/>
          </w:tcPr>
          <w:p w:rsidR="001A3542" w:rsidRPr="00990D3B" w:rsidP="00B5018A" w14:paraId="3FBBB9EE" w14:textId="77777777">
            <w:pPr>
              <w:pStyle w:val="EQRTableText"/>
              <w:rPr>
                <w:rFonts w:eastAsia="Calibri"/>
              </w:rPr>
            </w:pPr>
          </w:p>
        </w:tc>
        <w:tc>
          <w:tcPr>
            <w:tcW w:w="1104" w:type="pct"/>
            <w:vAlign w:val="bottom"/>
          </w:tcPr>
          <w:p w:rsidR="001A3542" w:rsidRPr="00990D3B" w:rsidP="00B5018A" w14:paraId="1FD8A346" w14:textId="77777777">
            <w:pPr>
              <w:pStyle w:val="EQRTableText"/>
              <w:rPr>
                <w:rFonts w:eastAsia="Calibri"/>
              </w:rPr>
            </w:pPr>
          </w:p>
        </w:tc>
      </w:tr>
      <w:tr w14:paraId="52FFE67D" w14:textId="77777777" w:rsidTr="00AB5952">
        <w:tblPrEx>
          <w:tblW w:w="5000" w:type="pct"/>
          <w:tblLayout w:type="fixed"/>
          <w:tblLook w:val="04A0"/>
        </w:tblPrEx>
        <w:trPr>
          <w:cantSplit/>
        </w:trPr>
        <w:tc>
          <w:tcPr>
            <w:tcW w:w="5000" w:type="pct"/>
            <w:gridSpan w:val="7"/>
            <w:vAlign w:val="bottom"/>
          </w:tcPr>
          <w:p w:rsidR="001A3542" w:rsidRPr="00990D3B" w:rsidP="00B5018A" w14:paraId="74614779" w14:textId="77777777">
            <w:pPr>
              <w:pStyle w:val="EQRTableHeaderLeft"/>
              <w:rPr>
                <w:rFonts w:eastAsia="Calibri"/>
                <w:color w:val="auto"/>
              </w:rPr>
            </w:pPr>
            <w:r w:rsidRPr="00990D3B">
              <w:rPr>
                <w:rFonts w:eastAsia="Calibri"/>
                <w:color w:val="auto"/>
              </w:rPr>
              <w:t xml:space="preserve">Denominator </w:t>
            </w:r>
          </w:p>
        </w:tc>
      </w:tr>
      <w:tr w14:paraId="579EF57B" w14:textId="77777777" w:rsidTr="00AB5952">
        <w:tblPrEx>
          <w:tblW w:w="5000" w:type="pct"/>
          <w:tblLayout w:type="fixed"/>
          <w:tblLook w:val="04A0"/>
        </w:tblPrEx>
        <w:trPr>
          <w:cantSplit/>
        </w:trPr>
        <w:tc>
          <w:tcPr>
            <w:tcW w:w="866" w:type="pct"/>
          </w:tcPr>
          <w:p w:rsidR="001A3542" w:rsidRPr="00990D3B" w:rsidP="00B5018A" w14:paraId="3E3A3B3A" w14:textId="77777777">
            <w:pPr>
              <w:pStyle w:val="EQRTableText"/>
              <w:rPr>
                <w:rFonts w:eastAsia="Calibri"/>
              </w:rPr>
            </w:pPr>
          </w:p>
        </w:tc>
        <w:tc>
          <w:tcPr>
            <w:tcW w:w="816" w:type="pct"/>
          </w:tcPr>
          <w:p w:rsidR="001A3542" w:rsidRPr="00990D3B" w:rsidP="00B5018A" w14:paraId="5AFEF689" w14:textId="77777777">
            <w:pPr>
              <w:pStyle w:val="EQRTableText"/>
              <w:rPr>
                <w:rFonts w:eastAsia="Calibri"/>
              </w:rPr>
            </w:pPr>
          </w:p>
        </w:tc>
        <w:tc>
          <w:tcPr>
            <w:tcW w:w="625" w:type="pct"/>
          </w:tcPr>
          <w:p w:rsidR="001A3542" w:rsidRPr="00990D3B" w:rsidP="00B5018A" w14:paraId="0244D724" w14:textId="77777777">
            <w:pPr>
              <w:pStyle w:val="EQRTableText"/>
              <w:rPr>
                <w:rFonts w:eastAsia="Calibri"/>
              </w:rPr>
            </w:pPr>
          </w:p>
        </w:tc>
        <w:tc>
          <w:tcPr>
            <w:tcW w:w="530" w:type="pct"/>
          </w:tcPr>
          <w:p w:rsidR="001A3542" w:rsidRPr="00990D3B" w:rsidP="00B5018A" w14:paraId="25FE2CBD" w14:textId="77777777">
            <w:pPr>
              <w:pStyle w:val="EQRTableText"/>
              <w:rPr>
                <w:rFonts w:eastAsia="Calibri"/>
              </w:rPr>
            </w:pPr>
          </w:p>
        </w:tc>
        <w:tc>
          <w:tcPr>
            <w:tcW w:w="481" w:type="pct"/>
          </w:tcPr>
          <w:p w:rsidR="001A3542" w:rsidRPr="00990D3B" w:rsidP="00B5018A" w14:paraId="23070C08" w14:textId="77777777">
            <w:pPr>
              <w:pStyle w:val="EQRTableText"/>
              <w:rPr>
                <w:rFonts w:eastAsia="Calibri"/>
              </w:rPr>
            </w:pPr>
          </w:p>
        </w:tc>
        <w:tc>
          <w:tcPr>
            <w:tcW w:w="578" w:type="pct"/>
          </w:tcPr>
          <w:p w:rsidR="001A3542" w:rsidRPr="00990D3B" w:rsidP="00B5018A" w14:paraId="60655051" w14:textId="77777777">
            <w:pPr>
              <w:pStyle w:val="EQRTableText"/>
              <w:rPr>
                <w:rFonts w:eastAsia="Calibri"/>
              </w:rPr>
            </w:pPr>
          </w:p>
        </w:tc>
        <w:tc>
          <w:tcPr>
            <w:tcW w:w="1104" w:type="pct"/>
          </w:tcPr>
          <w:p w:rsidR="001A3542" w:rsidRPr="00990D3B" w:rsidP="00B5018A" w14:paraId="29C72338" w14:textId="77777777">
            <w:pPr>
              <w:pStyle w:val="EQRTableText"/>
              <w:rPr>
                <w:rFonts w:eastAsia="Calibri"/>
              </w:rPr>
            </w:pPr>
          </w:p>
        </w:tc>
      </w:tr>
      <w:tr w14:paraId="7A677DC8" w14:textId="77777777" w:rsidTr="00AB5952">
        <w:tblPrEx>
          <w:tblW w:w="5000" w:type="pct"/>
          <w:tblLayout w:type="fixed"/>
          <w:tblLook w:val="04A0"/>
        </w:tblPrEx>
        <w:trPr>
          <w:cantSplit/>
        </w:trPr>
        <w:tc>
          <w:tcPr>
            <w:tcW w:w="866" w:type="pct"/>
          </w:tcPr>
          <w:p w:rsidR="001A3542" w:rsidRPr="00990D3B" w:rsidP="00B5018A" w14:paraId="394A906B" w14:textId="77777777">
            <w:pPr>
              <w:pStyle w:val="EQRTableText"/>
              <w:rPr>
                <w:rFonts w:eastAsia="Calibri"/>
              </w:rPr>
            </w:pPr>
          </w:p>
        </w:tc>
        <w:tc>
          <w:tcPr>
            <w:tcW w:w="816" w:type="pct"/>
          </w:tcPr>
          <w:p w:rsidR="001A3542" w:rsidRPr="00990D3B" w:rsidP="00B5018A" w14:paraId="7C932C6A" w14:textId="77777777">
            <w:pPr>
              <w:pStyle w:val="EQRTableText"/>
              <w:rPr>
                <w:rFonts w:eastAsia="Calibri"/>
              </w:rPr>
            </w:pPr>
          </w:p>
        </w:tc>
        <w:tc>
          <w:tcPr>
            <w:tcW w:w="625" w:type="pct"/>
          </w:tcPr>
          <w:p w:rsidR="001A3542" w:rsidRPr="00990D3B" w:rsidP="00B5018A" w14:paraId="351BCCA7" w14:textId="77777777">
            <w:pPr>
              <w:pStyle w:val="EQRTableText"/>
              <w:rPr>
                <w:rFonts w:eastAsia="Calibri"/>
              </w:rPr>
            </w:pPr>
          </w:p>
        </w:tc>
        <w:tc>
          <w:tcPr>
            <w:tcW w:w="530" w:type="pct"/>
          </w:tcPr>
          <w:p w:rsidR="001A3542" w:rsidRPr="00990D3B" w:rsidP="00B5018A" w14:paraId="0686FD1C" w14:textId="77777777">
            <w:pPr>
              <w:pStyle w:val="EQRTableText"/>
              <w:rPr>
                <w:rFonts w:eastAsia="Calibri"/>
              </w:rPr>
            </w:pPr>
          </w:p>
        </w:tc>
        <w:tc>
          <w:tcPr>
            <w:tcW w:w="481" w:type="pct"/>
          </w:tcPr>
          <w:p w:rsidR="001A3542" w:rsidRPr="00990D3B" w:rsidP="00B5018A" w14:paraId="03A8D7DE" w14:textId="77777777">
            <w:pPr>
              <w:pStyle w:val="EQRTableText"/>
              <w:rPr>
                <w:rFonts w:eastAsia="Calibri"/>
              </w:rPr>
            </w:pPr>
          </w:p>
        </w:tc>
        <w:tc>
          <w:tcPr>
            <w:tcW w:w="578" w:type="pct"/>
          </w:tcPr>
          <w:p w:rsidR="001A3542" w:rsidRPr="00990D3B" w:rsidP="00B5018A" w14:paraId="7F6E1811" w14:textId="77777777">
            <w:pPr>
              <w:pStyle w:val="EQRTableText"/>
              <w:rPr>
                <w:rFonts w:eastAsia="Calibri"/>
              </w:rPr>
            </w:pPr>
          </w:p>
        </w:tc>
        <w:tc>
          <w:tcPr>
            <w:tcW w:w="1104" w:type="pct"/>
          </w:tcPr>
          <w:p w:rsidR="001A3542" w:rsidRPr="00990D3B" w:rsidP="00B5018A" w14:paraId="3D9E3BC3" w14:textId="77777777">
            <w:pPr>
              <w:pStyle w:val="EQRTableText"/>
              <w:rPr>
                <w:rFonts w:eastAsia="Calibri"/>
              </w:rPr>
            </w:pPr>
          </w:p>
        </w:tc>
      </w:tr>
      <w:tr w14:paraId="3855D8FD" w14:textId="77777777" w:rsidTr="00AB5952">
        <w:tblPrEx>
          <w:tblW w:w="5000" w:type="pct"/>
          <w:tblLayout w:type="fixed"/>
          <w:tblLook w:val="04A0"/>
        </w:tblPrEx>
        <w:trPr>
          <w:cantSplit/>
        </w:trPr>
        <w:tc>
          <w:tcPr>
            <w:tcW w:w="866" w:type="pct"/>
          </w:tcPr>
          <w:p w:rsidR="001A3542" w:rsidRPr="00990D3B" w:rsidP="00B5018A" w14:paraId="6F51489B" w14:textId="77777777">
            <w:pPr>
              <w:pStyle w:val="EQRTableText"/>
              <w:rPr>
                <w:rFonts w:eastAsia="Calibri"/>
              </w:rPr>
            </w:pPr>
          </w:p>
        </w:tc>
        <w:tc>
          <w:tcPr>
            <w:tcW w:w="816" w:type="pct"/>
          </w:tcPr>
          <w:p w:rsidR="001A3542" w:rsidRPr="00990D3B" w:rsidP="00B5018A" w14:paraId="1C5B5254" w14:textId="77777777">
            <w:pPr>
              <w:pStyle w:val="EQRTableText"/>
              <w:rPr>
                <w:rFonts w:eastAsia="Calibri"/>
              </w:rPr>
            </w:pPr>
          </w:p>
        </w:tc>
        <w:tc>
          <w:tcPr>
            <w:tcW w:w="625" w:type="pct"/>
          </w:tcPr>
          <w:p w:rsidR="001A3542" w:rsidRPr="00990D3B" w:rsidP="00B5018A" w14:paraId="76722945" w14:textId="77777777">
            <w:pPr>
              <w:pStyle w:val="EQRTableText"/>
              <w:rPr>
                <w:rFonts w:eastAsia="Calibri"/>
              </w:rPr>
            </w:pPr>
          </w:p>
        </w:tc>
        <w:tc>
          <w:tcPr>
            <w:tcW w:w="530" w:type="pct"/>
          </w:tcPr>
          <w:p w:rsidR="001A3542" w:rsidRPr="00990D3B" w:rsidP="00B5018A" w14:paraId="14A62438" w14:textId="77777777">
            <w:pPr>
              <w:pStyle w:val="EQRTableText"/>
              <w:rPr>
                <w:rFonts w:eastAsia="Calibri"/>
              </w:rPr>
            </w:pPr>
          </w:p>
        </w:tc>
        <w:tc>
          <w:tcPr>
            <w:tcW w:w="481" w:type="pct"/>
          </w:tcPr>
          <w:p w:rsidR="001A3542" w:rsidRPr="00990D3B" w:rsidP="00B5018A" w14:paraId="44C83E67" w14:textId="77777777">
            <w:pPr>
              <w:pStyle w:val="EQRTableText"/>
              <w:rPr>
                <w:rFonts w:eastAsia="Calibri"/>
              </w:rPr>
            </w:pPr>
          </w:p>
        </w:tc>
        <w:tc>
          <w:tcPr>
            <w:tcW w:w="578" w:type="pct"/>
          </w:tcPr>
          <w:p w:rsidR="001A3542" w:rsidRPr="00990D3B" w:rsidP="00B5018A" w14:paraId="510EC8E3" w14:textId="77777777">
            <w:pPr>
              <w:pStyle w:val="EQRTableText"/>
              <w:rPr>
                <w:rFonts w:eastAsia="Calibri"/>
              </w:rPr>
            </w:pPr>
          </w:p>
        </w:tc>
        <w:tc>
          <w:tcPr>
            <w:tcW w:w="1104" w:type="pct"/>
          </w:tcPr>
          <w:p w:rsidR="001A3542" w:rsidRPr="00990D3B" w:rsidP="00B5018A" w14:paraId="3F3D93A4" w14:textId="77777777">
            <w:pPr>
              <w:pStyle w:val="EQRTableText"/>
              <w:rPr>
                <w:rFonts w:eastAsia="Calibri"/>
              </w:rPr>
            </w:pPr>
          </w:p>
        </w:tc>
      </w:tr>
    </w:tbl>
    <w:p w:rsidR="00571BF9" w:rsidRPr="00990D3B" w14:paraId="36A735C4" w14:textId="77777777">
      <w:pPr>
        <w:spacing w:line="240" w:lineRule="auto"/>
        <w:rPr>
          <w:rFonts w:ascii="Arial" w:eastAsia="Calibri" w:hAnsi="Arial" w:cs="Arial"/>
          <w:kern w:val="2"/>
          <w:sz w:val="22"/>
          <w:szCs w:val="22"/>
          <w14:ligatures w14:val="standardContextual"/>
        </w:rPr>
      </w:pPr>
      <w:r w:rsidRPr="00990D3B">
        <w:rPr>
          <w:rFonts w:ascii="Arial" w:eastAsia="Calibri" w:hAnsi="Arial" w:cs="Arial"/>
          <w:kern w:val="2"/>
          <w:sz w:val="22"/>
          <w:szCs w:val="22"/>
          <w14:ligatures w14:val="standardContextual"/>
        </w:rPr>
        <w:br w:type="page"/>
      </w:r>
    </w:p>
    <w:p w:rsidR="001A3542" w:rsidRPr="00990D3B" w:rsidP="0095080F" w14:paraId="48A78F37" w14:textId="77777777">
      <w:pPr>
        <w:pStyle w:val="EQRMarkforExhibitWORKSHEET"/>
      </w:pPr>
      <w:bookmarkStart w:id="1042" w:name="WS10n3"/>
      <w:bookmarkStart w:id="1043" w:name="_Toc201751558"/>
      <w:bookmarkEnd w:id="1042"/>
      <w:r w:rsidRPr="00990D3B">
        <w:t>Worksheet 10.3. MAC QRS Measure Reporting Requirements Template</w:t>
      </w:r>
      <w:bookmarkEnd w:id="1043"/>
    </w:p>
    <w:p w:rsidR="001A3542" w:rsidRPr="00990D3B" w:rsidP="00571BF9" w14:paraId="5F2E160F" w14:textId="77777777">
      <w:pPr>
        <w:pStyle w:val="EQRNormalSSWORKSHEET"/>
      </w:pPr>
      <w:r w:rsidRPr="00990D3B">
        <w:rPr>
          <w:b/>
          <w:bCs/>
        </w:rPr>
        <w:t xml:space="preserve">Instructions. </w:t>
      </w:r>
      <w:r w:rsidRPr="00990D3B">
        <w:t>Use this worksheet to compile a list of MAC QRS measures assigned to each MCP. The EQRO may use this worksheet to prepare its report for the state and to</w:t>
      </w:r>
      <w:r w:rsidRPr="00990D3B">
        <w:t xml:space="preserve"> </w:t>
      </w:r>
      <w:r w:rsidRPr="00990D3B">
        <w:t>identify which measures still need to be calculated for each MCP.</w:t>
      </w:r>
    </w:p>
    <w:p w:rsidR="001A3542" w:rsidRPr="00990D3B" w:rsidP="00571BF9" w14:paraId="06111891" w14:textId="77777777">
      <w:pPr>
        <w:pStyle w:val="EQRNormalSSWORKSHEET"/>
      </w:pPr>
      <w:r w:rsidRPr="00990D3B">
        <w:t xml:space="preserve">For each MCP, list the assigned MAC QRS measures in the first column and complete the following fields: </w:t>
      </w:r>
    </w:p>
    <w:p w:rsidR="001A3542" w:rsidRPr="00990D3B" w:rsidP="00571BF9" w14:paraId="58E8215B" w14:textId="77777777">
      <w:pPr>
        <w:pStyle w:val="EQRNormalSSWSbullet"/>
        <w:rPr>
          <w:rFonts w:eastAsia="Calibri"/>
        </w:rPr>
      </w:pPr>
      <w:r w:rsidRPr="00990D3B">
        <w:rPr>
          <w:rFonts w:eastAsia="Calibri"/>
          <w:b/>
          <w:bCs/>
        </w:rPr>
        <w:t>Calculated</w:t>
      </w:r>
      <w:r w:rsidRPr="00990D3B">
        <w:rPr>
          <w:rFonts w:eastAsia="Calibri"/>
        </w:rPr>
        <w:t>. Indicated “Yes” if the measure has been calculated for the MCP at the required program-plan level,</w:t>
      </w:r>
      <w:r>
        <w:rPr>
          <w:rFonts w:eastAsia="Calibri"/>
          <w:vertAlign w:val="superscript"/>
        </w:rPr>
        <w:footnoteReference w:id="124"/>
      </w:r>
      <w:r w:rsidRPr="00990D3B">
        <w:rPr>
          <w:rFonts w:eastAsia="Calibri"/>
        </w:rPr>
        <w:t xml:space="preserve"> or “No” if it must be calculated. </w:t>
      </w:r>
    </w:p>
    <w:p w:rsidR="001A3542" w:rsidRPr="00990D3B" w:rsidP="00571BF9" w14:paraId="5C54801E" w14:textId="48205E7B">
      <w:pPr>
        <w:pStyle w:val="EQRNormalSSWSbullet"/>
        <w:rPr>
          <w:rFonts w:eastAsia="Calibri"/>
        </w:rPr>
      </w:pPr>
      <w:r w:rsidRPr="00990D3B">
        <w:rPr>
          <w:rFonts w:eastAsia="Calibri"/>
          <w:b/>
          <w:bCs/>
        </w:rPr>
        <w:t xml:space="preserve">Required data sources. </w:t>
      </w:r>
      <w:r w:rsidRPr="00990D3B">
        <w:rPr>
          <w:rFonts w:eastAsia="Calibri"/>
        </w:rPr>
        <w:t xml:space="preserve">Reference </w:t>
      </w:r>
      <w:hyperlink w:anchor="WS10n2" w:tooltip="Worksheet 10.2" w:history="1">
        <w:r w:rsidRPr="00990D3B">
          <w:rPr>
            <w:rStyle w:val="Hyperlink"/>
            <w:rFonts w:eastAsia="Calibri"/>
          </w:rPr>
          <w:t>Worksheet 10.2</w:t>
        </w:r>
      </w:hyperlink>
      <w:r w:rsidRPr="00990D3B">
        <w:rPr>
          <w:rFonts w:eastAsia="Calibri"/>
        </w:rPr>
        <w:t xml:space="preserve"> to identify which data sources are needed for measure calculation (e.g., Medicaid FFS, MA data). </w:t>
      </w:r>
    </w:p>
    <w:p w:rsidR="001A3542" w:rsidRPr="00990D3B" w:rsidP="00571BF9" w14:paraId="30C3D37E" w14:textId="77777777">
      <w:pPr>
        <w:pStyle w:val="EQRNormalSSWSbullet"/>
        <w:rPr>
          <w:rFonts w:eastAsia="Calibri"/>
        </w:rPr>
      </w:pPr>
      <w:r w:rsidRPr="00990D3B">
        <w:rPr>
          <w:rFonts w:eastAsia="Calibri"/>
          <w:b/>
          <w:bCs/>
        </w:rPr>
        <w:t>Comments</w:t>
      </w:r>
      <w:r w:rsidRPr="00990D3B">
        <w:rPr>
          <w:rFonts w:eastAsia="Calibri"/>
        </w:rPr>
        <w:t xml:space="preserve">. Provide additional context, such as any anticipated challenges obtaining the required data and potential solutions to </w:t>
      </w:r>
      <w:r w:rsidRPr="00990D3B">
        <w:rPr>
          <w:rFonts w:eastAsia="Calibri"/>
        </w:rPr>
        <w:t>overcoming</w:t>
      </w:r>
      <w:r w:rsidRPr="00990D3B">
        <w:rPr>
          <w:rFonts w:eastAsia="Calibri"/>
        </w:rPr>
        <w:t xml:space="preserve"> these challenges. If the measure has already been calculated, provide context about prior calculations, such as data sources used or entities that validated and calculated the measure. </w:t>
      </w:r>
    </w:p>
    <w:p w:rsidR="001A3542" w:rsidRPr="00990D3B" w:rsidP="00571BF9" w14:paraId="63956562" w14:textId="77777777">
      <w:pPr>
        <w:pStyle w:val="EQRNormalSSWORKSHEET"/>
      </w:pPr>
      <w:r w:rsidRPr="00990D3B">
        <w:t xml:space="preserve">Acronyms: CHIP = Children’s Health Insurance Program; EQRO = External Quality Review Organization; FFS= Fee-for-service; MA = Medicare Advantage; MAC = Medicaid and CHIP; MCP= Managed Care Plan; QRS = Quality Rating System. </w:t>
      </w:r>
    </w:p>
    <w:tbl>
      <w:tblPr>
        <w:tblStyle w:val="TableGrid2"/>
        <w:tblW w:w="5195" w:type="pct"/>
        <w:tblLook w:val="04A0"/>
      </w:tblPr>
      <w:tblGrid>
        <w:gridCol w:w="1802"/>
        <w:gridCol w:w="1238"/>
        <w:gridCol w:w="3424"/>
        <w:gridCol w:w="3251"/>
      </w:tblGrid>
      <w:tr w14:paraId="7A1E0BAB" w14:textId="77777777" w:rsidTr="00430920">
        <w:tblPrEx>
          <w:tblW w:w="5195" w:type="pct"/>
          <w:tblLook w:val="04A0"/>
        </w:tblPrEx>
        <w:trPr>
          <w:cantSplit/>
        </w:trPr>
        <w:tc>
          <w:tcPr>
            <w:tcW w:w="5000" w:type="pct"/>
            <w:gridSpan w:val="4"/>
            <w:vAlign w:val="bottom"/>
          </w:tcPr>
          <w:p w:rsidR="001A3542" w:rsidRPr="00990D3B" w:rsidP="005361AA" w14:paraId="575BDC44" w14:textId="77777777">
            <w:pPr>
              <w:pStyle w:val="EQRTableHeaderLeft"/>
              <w:rPr>
                <w:rFonts w:eastAsia="Calibri"/>
                <w:color w:val="auto"/>
              </w:rPr>
            </w:pPr>
            <w:r w:rsidRPr="00990D3B">
              <w:rPr>
                <w:rFonts w:eastAsia="Calibri"/>
                <w:color w:val="auto"/>
              </w:rPr>
              <w:t xml:space="preserve">MCP Name: </w:t>
            </w:r>
          </w:p>
        </w:tc>
      </w:tr>
      <w:tr w14:paraId="51B95157" w14:textId="77777777" w:rsidTr="00430920">
        <w:tblPrEx>
          <w:tblW w:w="5195" w:type="pct"/>
          <w:tblLook w:val="04A0"/>
        </w:tblPrEx>
        <w:trPr>
          <w:cantSplit/>
        </w:trPr>
        <w:tc>
          <w:tcPr>
            <w:tcW w:w="928" w:type="pct"/>
            <w:vAlign w:val="bottom"/>
          </w:tcPr>
          <w:p w:rsidR="001A3542" w:rsidRPr="00990D3B" w:rsidP="005361AA" w14:paraId="6DB29FB2" w14:textId="77777777">
            <w:pPr>
              <w:pStyle w:val="EQRTableHeaderLeft"/>
              <w:rPr>
                <w:rFonts w:eastAsia="Calibri"/>
                <w:color w:val="auto"/>
              </w:rPr>
            </w:pPr>
            <w:r w:rsidRPr="00990D3B">
              <w:rPr>
                <w:rFonts w:eastAsia="Calibri"/>
                <w:color w:val="auto"/>
              </w:rPr>
              <w:t>MAC QRS Measure</w:t>
            </w:r>
          </w:p>
        </w:tc>
        <w:tc>
          <w:tcPr>
            <w:tcW w:w="637" w:type="pct"/>
            <w:vAlign w:val="bottom"/>
          </w:tcPr>
          <w:p w:rsidR="001A3542" w:rsidRPr="00990D3B" w:rsidP="005361AA" w14:paraId="7C00FD91" w14:textId="0A6FC814">
            <w:pPr>
              <w:pStyle w:val="EQRTableHeaderCenter"/>
              <w:rPr>
                <w:rFonts w:eastAsia="Calibri"/>
                <w:color w:val="auto"/>
              </w:rPr>
            </w:pPr>
            <w:r w:rsidRPr="00990D3B">
              <w:rPr>
                <w:rFonts w:eastAsia="Calibri"/>
                <w:color w:val="auto"/>
              </w:rPr>
              <w:t>Calculated?</w:t>
            </w:r>
            <w:r w:rsidRPr="00990D3B" w:rsidR="005361AA">
              <w:rPr>
                <w:rFonts w:eastAsia="Calibri"/>
                <w:color w:val="auto"/>
              </w:rPr>
              <w:br/>
            </w:r>
            <w:r w:rsidRPr="00990D3B">
              <w:rPr>
                <w:rFonts w:eastAsia="Calibri"/>
                <w:color w:val="auto"/>
              </w:rPr>
              <w:t>(Y/N)</w:t>
            </w:r>
          </w:p>
        </w:tc>
        <w:tc>
          <w:tcPr>
            <w:tcW w:w="1762" w:type="pct"/>
            <w:vAlign w:val="bottom"/>
          </w:tcPr>
          <w:p w:rsidR="001A3542" w:rsidRPr="00990D3B" w:rsidP="005361AA" w14:paraId="4D0CA12E" w14:textId="77777777">
            <w:pPr>
              <w:pStyle w:val="EQRTableHeaderCenter"/>
              <w:rPr>
                <w:rFonts w:eastAsia="Calibri"/>
                <w:color w:val="auto"/>
              </w:rPr>
            </w:pPr>
            <w:r w:rsidRPr="00990D3B">
              <w:rPr>
                <w:rFonts w:eastAsia="Calibri"/>
                <w:color w:val="auto"/>
              </w:rPr>
              <w:t>Required Data Sources</w:t>
            </w:r>
          </w:p>
        </w:tc>
        <w:tc>
          <w:tcPr>
            <w:tcW w:w="1672" w:type="pct"/>
            <w:vAlign w:val="bottom"/>
          </w:tcPr>
          <w:p w:rsidR="001A3542" w:rsidRPr="00990D3B" w:rsidP="005361AA" w14:paraId="78904523" w14:textId="77777777">
            <w:pPr>
              <w:pStyle w:val="EQRTableHeaderCenter"/>
              <w:rPr>
                <w:rFonts w:eastAsia="Calibri"/>
                <w:color w:val="auto"/>
              </w:rPr>
            </w:pPr>
            <w:r w:rsidRPr="00990D3B">
              <w:rPr>
                <w:rFonts w:eastAsia="Calibri"/>
                <w:color w:val="auto"/>
              </w:rPr>
              <w:t>Comments</w:t>
            </w:r>
          </w:p>
        </w:tc>
      </w:tr>
      <w:tr w14:paraId="062E2B87" w14:textId="77777777" w:rsidTr="00430920">
        <w:tblPrEx>
          <w:tblW w:w="5195" w:type="pct"/>
          <w:tblLook w:val="04A0"/>
        </w:tblPrEx>
        <w:trPr>
          <w:cantSplit/>
        </w:trPr>
        <w:tc>
          <w:tcPr>
            <w:tcW w:w="928" w:type="pct"/>
            <w:vAlign w:val="bottom"/>
          </w:tcPr>
          <w:p w:rsidR="001A3542" w:rsidRPr="00990D3B" w:rsidP="005361AA" w14:paraId="4D7259BC" w14:textId="77777777">
            <w:pPr>
              <w:pStyle w:val="EQRTableText"/>
              <w:rPr>
                <w:rFonts w:eastAsia="Calibri"/>
              </w:rPr>
            </w:pPr>
          </w:p>
        </w:tc>
        <w:tc>
          <w:tcPr>
            <w:tcW w:w="637" w:type="pct"/>
            <w:vAlign w:val="bottom"/>
          </w:tcPr>
          <w:p w:rsidR="001A3542" w:rsidRPr="00990D3B" w:rsidP="005361AA" w14:paraId="36E9670D" w14:textId="77777777">
            <w:pPr>
              <w:pStyle w:val="EQRTableText"/>
              <w:rPr>
                <w:rFonts w:eastAsia="Calibri"/>
              </w:rPr>
            </w:pPr>
          </w:p>
        </w:tc>
        <w:tc>
          <w:tcPr>
            <w:tcW w:w="1762" w:type="pct"/>
            <w:vAlign w:val="bottom"/>
          </w:tcPr>
          <w:p w:rsidR="001A3542" w:rsidRPr="00990D3B" w:rsidP="005361AA" w14:paraId="33232AD3" w14:textId="77777777">
            <w:pPr>
              <w:pStyle w:val="EQRTableText"/>
              <w:rPr>
                <w:rFonts w:eastAsia="Calibri"/>
              </w:rPr>
            </w:pPr>
          </w:p>
        </w:tc>
        <w:tc>
          <w:tcPr>
            <w:tcW w:w="1672" w:type="pct"/>
            <w:vAlign w:val="bottom"/>
          </w:tcPr>
          <w:p w:rsidR="001A3542" w:rsidRPr="00990D3B" w:rsidP="005361AA" w14:paraId="672EB6F8" w14:textId="77777777">
            <w:pPr>
              <w:pStyle w:val="EQRTableText"/>
              <w:rPr>
                <w:rFonts w:eastAsia="Calibri"/>
              </w:rPr>
            </w:pPr>
          </w:p>
        </w:tc>
      </w:tr>
      <w:tr w14:paraId="6990574A" w14:textId="77777777" w:rsidTr="00430920">
        <w:tblPrEx>
          <w:tblW w:w="5195" w:type="pct"/>
          <w:tblLook w:val="04A0"/>
        </w:tblPrEx>
        <w:trPr>
          <w:cantSplit/>
        </w:trPr>
        <w:tc>
          <w:tcPr>
            <w:tcW w:w="928" w:type="pct"/>
            <w:vAlign w:val="bottom"/>
          </w:tcPr>
          <w:p w:rsidR="001A3542" w:rsidRPr="00990D3B" w:rsidP="005361AA" w14:paraId="34488EF2" w14:textId="77777777">
            <w:pPr>
              <w:pStyle w:val="EQRTableText"/>
              <w:rPr>
                <w:rFonts w:eastAsia="Calibri"/>
              </w:rPr>
            </w:pPr>
          </w:p>
        </w:tc>
        <w:tc>
          <w:tcPr>
            <w:tcW w:w="637" w:type="pct"/>
            <w:vAlign w:val="bottom"/>
          </w:tcPr>
          <w:p w:rsidR="001A3542" w:rsidRPr="00990D3B" w:rsidP="005361AA" w14:paraId="5EA09688" w14:textId="77777777">
            <w:pPr>
              <w:pStyle w:val="EQRTableText"/>
              <w:rPr>
                <w:rFonts w:eastAsia="Calibri"/>
              </w:rPr>
            </w:pPr>
          </w:p>
        </w:tc>
        <w:tc>
          <w:tcPr>
            <w:tcW w:w="1762" w:type="pct"/>
            <w:vAlign w:val="bottom"/>
          </w:tcPr>
          <w:p w:rsidR="001A3542" w:rsidRPr="00990D3B" w:rsidP="005361AA" w14:paraId="51BBB739" w14:textId="77777777">
            <w:pPr>
              <w:pStyle w:val="EQRTableText"/>
              <w:rPr>
                <w:rFonts w:eastAsia="Calibri"/>
              </w:rPr>
            </w:pPr>
          </w:p>
        </w:tc>
        <w:tc>
          <w:tcPr>
            <w:tcW w:w="1672" w:type="pct"/>
            <w:vAlign w:val="bottom"/>
          </w:tcPr>
          <w:p w:rsidR="001A3542" w:rsidRPr="00990D3B" w:rsidP="005361AA" w14:paraId="2970DB0D" w14:textId="77777777">
            <w:pPr>
              <w:pStyle w:val="EQRTableText"/>
              <w:rPr>
                <w:rFonts w:eastAsia="Calibri"/>
              </w:rPr>
            </w:pPr>
          </w:p>
        </w:tc>
      </w:tr>
      <w:tr w14:paraId="485993A6" w14:textId="77777777" w:rsidTr="00430920">
        <w:tblPrEx>
          <w:tblW w:w="5195" w:type="pct"/>
          <w:tblLook w:val="04A0"/>
        </w:tblPrEx>
        <w:trPr>
          <w:cantSplit/>
        </w:trPr>
        <w:tc>
          <w:tcPr>
            <w:tcW w:w="928" w:type="pct"/>
            <w:vAlign w:val="bottom"/>
          </w:tcPr>
          <w:p w:rsidR="001A3542" w:rsidRPr="00990D3B" w:rsidP="005361AA" w14:paraId="61719C5B" w14:textId="77777777">
            <w:pPr>
              <w:pStyle w:val="EQRTableText"/>
              <w:rPr>
                <w:rFonts w:eastAsia="Calibri"/>
              </w:rPr>
            </w:pPr>
          </w:p>
        </w:tc>
        <w:tc>
          <w:tcPr>
            <w:tcW w:w="637" w:type="pct"/>
            <w:vAlign w:val="bottom"/>
          </w:tcPr>
          <w:p w:rsidR="001A3542" w:rsidRPr="00990D3B" w:rsidP="005361AA" w14:paraId="5E882D2B" w14:textId="77777777">
            <w:pPr>
              <w:pStyle w:val="EQRTableText"/>
              <w:rPr>
                <w:rFonts w:eastAsia="Calibri"/>
              </w:rPr>
            </w:pPr>
          </w:p>
        </w:tc>
        <w:tc>
          <w:tcPr>
            <w:tcW w:w="1762" w:type="pct"/>
            <w:vAlign w:val="bottom"/>
          </w:tcPr>
          <w:p w:rsidR="001A3542" w:rsidRPr="00990D3B" w:rsidP="005361AA" w14:paraId="2939A9DB" w14:textId="77777777">
            <w:pPr>
              <w:pStyle w:val="EQRTableText"/>
              <w:rPr>
                <w:rFonts w:eastAsia="Calibri"/>
              </w:rPr>
            </w:pPr>
          </w:p>
        </w:tc>
        <w:tc>
          <w:tcPr>
            <w:tcW w:w="1672" w:type="pct"/>
            <w:vAlign w:val="bottom"/>
          </w:tcPr>
          <w:p w:rsidR="001A3542" w:rsidRPr="00990D3B" w:rsidP="005361AA" w14:paraId="24360B3B" w14:textId="77777777">
            <w:pPr>
              <w:pStyle w:val="EQRTableText"/>
              <w:rPr>
                <w:rFonts w:eastAsia="Calibri"/>
              </w:rPr>
            </w:pPr>
          </w:p>
        </w:tc>
      </w:tr>
      <w:tr w14:paraId="42D3B7A0" w14:textId="77777777" w:rsidTr="00430920">
        <w:tblPrEx>
          <w:tblW w:w="5195" w:type="pct"/>
          <w:tblLook w:val="04A0"/>
        </w:tblPrEx>
        <w:trPr>
          <w:cantSplit/>
        </w:trPr>
        <w:tc>
          <w:tcPr>
            <w:tcW w:w="928" w:type="pct"/>
            <w:vAlign w:val="bottom"/>
          </w:tcPr>
          <w:p w:rsidR="001A3542" w:rsidRPr="00990D3B" w:rsidP="005361AA" w14:paraId="2F823081" w14:textId="77777777">
            <w:pPr>
              <w:pStyle w:val="EQRTableText"/>
              <w:rPr>
                <w:rFonts w:eastAsia="Calibri"/>
              </w:rPr>
            </w:pPr>
          </w:p>
        </w:tc>
        <w:tc>
          <w:tcPr>
            <w:tcW w:w="637" w:type="pct"/>
            <w:vAlign w:val="bottom"/>
          </w:tcPr>
          <w:p w:rsidR="001A3542" w:rsidRPr="00990D3B" w:rsidP="005361AA" w14:paraId="308B9F9A" w14:textId="77777777">
            <w:pPr>
              <w:pStyle w:val="EQRTableText"/>
              <w:rPr>
                <w:rFonts w:eastAsia="Calibri"/>
              </w:rPr>
            </w:pPr>
          </w:p>
        </w:tc>
        <w:tc>
          <w:tcPr>
            <w:tcW w:w="1762" w:type="pct"/>
            <w:vAlign w:val="bottom"/>
          </w:tcPr>
          <w:p w:rsidR="001A3542" w:rsidRPr="00990D3B" w:rsidP="005361AA" w14:paraId="7776AF82" w14:textId="77777777">
            <w:pPr>
              <w:pStyle w:val="EQRTableText"/>
              <w:rPr>
                <w:rFonts w:eastAsia="Calibri"/>
              </w:rPr>
            </w:pPr>
          </w:p>
        </w:tc>
        <w:tc>
          <w:tcPr>
            <w:tcW w:w="1672" w:type="pct"/>
            <w:vAlign w:val="bottom"/>
          </w:tcPr>
          <w:p w:rsidR="001A3542" w:rsidRPr="00990D3B" w:rsidP="005361AA" w14:paraId="1F3802E4" w14:textId="77777777">
            <w:pPr>
              <w:pStyle w:val="EQRTableText"/>
              <w:rPr>
                <w:rFonts w:eastAsia="Calibri"/>
              </w:rPr>
            </w:pPr>
          </w:p>
        </w:tc>
      </w:tr>
      <w:tr w14:paraId="29167C1C" w14:textId="77777777" w:rsidTr="00430920">
        <w:tblPrEx>
          <w:tblW w:w="5195" w:type="pct"/>
          <w:tblLook w:val="04A0"/>
        </w:tblPrEx>
        <w:trPr>
          <w:cantSplit/>
        </w:trPr>
        <w:tc>
          <w:tcPr>
            <w:tcW w:w="928" w:type="pct"/>
            <w:vAlign w:val="bottom"/>
          </w:tcPr>
          <w:p w:rsidR="001A3542" w:rsidRPr="00990D3B" w:rsidP="005361AA" w14:paraId="4F3843F3" w14:textId="77777777">
            <w:pPr>
              <w:pStyle w:val="EQRTableText"/>
              <w:rPr>
                <w:rFonts w:eastAsia="Calibri"/>
              </w:rPr>
            </w:pPr>
          </w:p>
        </w:tc>
        <w:tc>
          <w:tcPr>
            <w:tcW w:w="637" w:type="pct"/>
            <w:vAlign w:val="bottom"/>
          </w:tcPr>
          <w:p w:rsidR="001A3542" w:rsidRPr="00990D3B" w:rsidP="005361AA" w14:paraId="3C939E6A" w14:textId="77777777">
            <w:pPr>
              <w:pStyle w:val="EQRTableText"/>
              <w:rPr>
                <w:rFonts w:eastAsia="Calibri"/>
              </w:rPr>
            </w:pPr>
          </w:p>
        </w:tc>
        <w:tc>
          <w:tcPr>
            <w:tcW w:w="1762" w:type="pct"/>
            <w:vAlign w:val="bottom"/>
          </w:tcPr>
          <w:p w:rsidR="001A3542" w:rsidRPr="00990D3B" w:rsidP="005361AA" w14:paraId="063119E2" w14:textId="77777777">
            <w:pPr>
              <w:pStyle w:val="EQRTableText"/>
              <w:rPr>
                <w:rFonts w:eastAsia="Calibri"/>
              </w:rPr>
            </w:pPr>
          </w:p>
        </w:tc>
        <w:tc>
          <w:tcPr>
            <w:tcW w:w="1672" w:type="pct"/>
            <w:vAlign w:val="bottom"/>
          </w:tcPr>
          <w:p w:rsidR="001A3542" w:rsidRPr="00990D3B" w:rsidP="005361AA" w14:paraId="24BAB09F" w14:textId="77777777">
            <w:pPr>
              <w:pStyle w:val="EQRTableText"/>
              <w:rPr>
                <w:rFonts w:eastAsia="Calibri"/>
              </w:rPr>
            </w:pPr>
          </w:p>
        </w:tc>
      </w:tr>
      <w:tr w14:paraId="51262165" w14:textId="77777777" w:rsidTr="00430920">
        <w:tblPrEx>
          <w:tblW w:w="5195" w:type="pct"/>
          <w:tblLook w:val="04A0"/>
        </w:tblPrEx>
        <w:trPr>
          <w:cantSplit/>
        </w:trPr>
        <w:tc>
          <w:tcPr>
            <w:tcW w:w="928" w:type="pct"/>
            <w:vAlign w:val="bottom"/>
          </w:tcPr>
          <w:p w:rsidR="001A3542" w:rsidRPr="00990D3B" w:rsidP="005361AA" w14:paraId="5EA4086D" w14:textId="77777777">
            <w:pPr>
              <w:pStyle w:val="EQRTableText"/>
              <w:rPr>
                <w:rFonts w:eastAsia="Calibri"/>
              </w:rPr>
            </w:pPr>
          </w:p>
        </w:tc>
        <w:tc>
          <w:tcPr>
            <w:tcW w:w="637" w:type="pct"/>
            <w:vAlign w:val="bottom"/>
          </w:tcPr>
          <w:p w:rsidR="001A3542" w:rsidRPr="00990D3B" w:rsidP="005361AA" w14:paraId="55E417A9" w14:textId="77777777">
            <w:pPr>
              <w:pStyle w:val="EQRTableText"/>
              <w:rPr>
                <w:rFonts w:eastAsia="Calibri"/>
              </w:rPr>
            </w:pPr>
          </w:p>
        </w:tc>
        <w:tc>
          <w:tcPr>
            <w:tcW w:w="1762" w:type="pct"/>
            <w:vAlign w:val="bottom"/>
          </w:tcPr>
          <w:p w:rsidR="001A3542" w:rsidRPr="00990D3B" w:rsidP="005361AA" w14:paraId="2A6C94F9" w14:textId="77777777">
            <w:pPr>
              <w:pStyle w:val="EQRTableText"/>
              <w:rPr>
                <w:rFonts w:eastAsia="Calibri"/>
              </w:rPr>
            </w:pPr>
          </w:p>
        </w:tc>
        <w:tc>
          <w:tcPr>
            <w:tcW w:w="1672" w:type="pct"/>
            <w:vAlign w:val="bottom"/>
          </w:tcPr>
          <w:p w:rsidR="001A3542" w:rsidRPr="00990D3B" w:rsidP="005361AA" w14:paraId="229BE17C" w14:textId="77777777">
            <w:pPr>
              <w:pStyle w:val="EQRTableText"/>
              <w:rPr>
                <w:rFonts w:eastAsia="Calibri"/>
              </w:rPr>
            </w:pPr>
          </w:p>
        </w:tc>
      </w:tr>
      <w:tr w14:paraId="654AB341" w14:textId="77777777" w:rsidTr="00430920">
        <w:tblPrEx>
          <w:tblW w:w="5195" w:type="pct"/>
          <w:tblLook w:val="04A0"/>
        </w:tblPrEx>
        <w:trPr>
          <w:cantSplit/>
        </w:trPr>
        <w:tc>
          <w:tcPr>
            <w:tcW w:w="928" w:type="pct"/>
            <w:vAlign w:val="bottom"/>
          </w:tcPr>
          <w:p w:rsidR="001A3542" w:rsidRPr="00990D3B" w:rsidP="005361AA" w14:paraId="3EDC073E" w14:textId="77777777">
            <w:pPr>
              <w:pStyle w:val="EQRTableText"/>
              <w:rPr>
                <w:rFonts w:eastAsia="Calibri"/>
              </w:rPr>
            </w:pPr>
          </w:p>
        </w:tc>
        <w:tc>
          <w:tcPr>
            <w:tcW w:w="637" w:type="pct"/>
            <w:vAlign w:val="bottom"/>
          </w:tcPr>
          <w:p w:rsidR="001A3542" w:rsidRPr="00990D3B" w:rsidP="005361AA" w14:paraId="1A0EB06A" w14:textId="77777777">
            <w:pPr>
              <w:pStyle w:val="EQRTableText"/>
              <w:rPr>
                <w:rFonts w:eastAsia="Calibri"/>
              </w:rPr>
            </w:pPr>
          </w:p>
        </w:tc>
        <w:tc>
          <w:tcPr>
            <w:tcW w:w="1762" w:type="pct"/>
            <w:vAlign w:val="bottom"/>
          </w:tcPr>
          <w:p w:rsidR="001A3542" w:rsidRPr="00990D3B" w:rsidP="005361AA" w14:paraId="409292A6" w14:textId="77777777">
            <w:pPr>
              <w:pStyle w:val="EQRTableText"/>
              <w:rPr>
                <w:rFonts w:eastAsia="Calibri"/>
              </w:rPr>
            </w:pPr>
          </w:p>
        </w:tc>
        <w:tc>
          <w:tcPr>
            <w:tcW w:w="1672" w:type="pct"/>
            <w:vAlign w:val="bottom"/>
          </w:tcPr>
          <w:p w:rsidR="001A3542" w:rsidRPr="00990D3B" w:rsidP="005361AA" w14:paraId="5210B05D" w14:textId="77777777">
            <w:pPr>
              <w:pStyle w:val="EQRTableText"/>
              <w:rPr>
                <w:rFonts w:eastAsia="Calibri"/>
              </w:rPr>
            </w:pPr>
          </w:p>
        </w:tc>
      </w:tr>
      <w:tr w14:paraId="44A71715" w14:textId="77777777" w:rsidTr="00430920">
        <w:tblPrEx>
          <w:tblW w:w="5195" w:type="pct"/>
          <w:tblLook w:val="04A0"/>
        </w:tblPrEx>
        <w:trPr>
          <w:cantSplit/>
        </w:trPr>
        <w:tc>
          <w:tcPr>
            <w:tcW w:w="928" w:type="pct"/>
            <w:vAlign w:val="bottom"/>
          </w:tcPr>
          <w:p w:rsidR="001A3542" w:rsidRPr="00990D3B" w:rsidP="005361AA" w14:paraId="7DCBABC9" w14:textId="77777777">
            <w:pPr>
              <w:pStyle w:val="EQRTableText"/>
              <w:rPr>
                <w:rFonts w:eastAsia="Calibri"/>
              </w:rPr>
            </w:pPr>
          </w:p>
        </w:tc>
        <w:tc>
          <w:tcPr>
            <w:tcW w:w="637" w:type="pct"/>
            <w:vAlign w:val="bottom"/>
          </w:tcPr>
          <w:p w:rsidR="001A3542" w:rsidRPr="00990D3B" w:rsidP="005361AA" w14:paraId="098A42CC" w14:textId="77777777">
            <w:pPr>
              <w:pStyle w:val="EQRTableText"/>
              <w:rPr>
                <w:rFonts w:eastAsia="Calibri"/>
              </w:rPr>
            </w:pPr>
          </w:p>
        </w:tc>
        <w:tc>
          <w:tcPr>
            <w:tcW w:w="1762" w:type="pct"/>
            <w:vAlign w:val="bottom"/>
          </w:tcPr>
          <w:p w:rsidR="001A3542" w:rsidRPr="00990D3B" w:rsidP="005361AA" w14:paraId="18313A7E" w14:textId="77777777">
            <w:pPr>
              <w:pStyle w:val="EQRTableText"/>
              <w:rPr>
                <w:rFonts w:eastAsia="Calibri"/>
              </w:rPr>
            </w:pPr>
          </w:p>
        </w:tc>
        <w:tc>
          <w:tcPr>
            <w:tcW w:w="1672" w:type="pct"/>
            <w:vAlign w:val="bottom"/>
          </w:tcPr>
          <w:p w:rsidR="001A3542" w:rsidRPr="00990D3B" w:rsidP="005361AA" w14:paraId="339DB7F6" w14:textId="77777777">
            <w:pPr>
              <w:pStyle w:val="EQRTableText"/>
              <w:rPr>
                <w:rFonts w:eastAsia="Calibri"/>
              </w:rPr>
            </w:pPr>
          </w:p>
        </w:tc>
      </w:tr>
      <w:tr w14:paraId="696FBFF0" w14:textId="77777777" w:rsidTr="00430920">
        <w:tblPrEx>
          <w:tblW w:w="5195" w:type="pct"/>
          <w:tblLook w:val="04A0"/>
        </w:tblPrEx>
        <w:trPr>
          <w:cantSplit/>
        </w:trPr>
        <w:tc>
          <w:tcPr>
            <w:tcW w:w="928" w:type="pct"/>
            <w:vAlign w:val="bottom"/>
          </w:tcPr>
          <w:p w:rsidR="001A3542" w:rsidRPr="00990D3B" w:rsidP="005361AA" w14:paraId="592D5BBE" w14:textId="77777777">
            <w:pPr>
              <w:pStyle w:val="EQRTableText"/>
              <w:rPr>
                <w:rFonts w:eastAsia="Calibri"/>
              </w:rPr>
            </w:pPr>
          </w:p>
        </w:tc>
        <w:tc>
          <w:tcPr>
            <w:tcW w:w="637" w:type="pct"/>
            <w:vAlign w:val="bottom"/>
          </w:tcPr>
          <w:p w:rsidR="001A3542" w:rsidRPr="00990D3B" w:rsidP="005361AA" w14:paraId="3C255D11" w14:textId="77777777">
            <w:pPr>
              <w:pStyle w:val="EQRTableText"/>
              <w:rPr>
                <w:rFonts w:eastAsia="Calibri"/>
              </w:rPr>
            </w:pPr>
          </w:p>
        </w:tc>
        <w:tc>
          <w:tcPr>
            <w:tcW w:w="1762" w:type="pct"/>
            <w:vAlign w:val="bottom"/>
          </w:tcPr>
          <w:p w:rsidR="001A3542" w:rsidRPr="00990D3B" w:rsidP="005361AA" w14:paraId="0070353D" w14:textId="77777777">
            <w:pPr>
              <w:pStyle w:val="EQRTableText"/>
              <w:rPr>
                <w:rFonts w:eastAsia="Calibri"/>
              </w:rPr>
            </w:pPr>
          </w:p>
        </w:tc>
        <w:tc>
          <w:tcPr>
            <w:tcW w:w="1672" w:type="pct"/>
            <w:vAlign w:val="bottom"/>
          </w:tcPr>
          <w:p w:rsidR="001A3542" w:rsidRPr="00990D3B" w:rsidP="005361AA" w14:paraId="6BB71363" w14:textId="77777777">
            <w:pPr>
              <w:pStyle w:val="EQRTableText"/>
              <w:rPr>
                <w:rFonts w:eastAsia="Calibri"/>
              </w:rPr>
            </w:pPr>
          </w:p>
        </w:tc>
      </w:tr>
      <w:tr w14:paraId="7A7CE453" w14:textId="77777777" w:rsidTr="00430920">
        <w:tblPrEx>
          <w:tblW w:w="5195" w:type="pct"/>
          <w:tblLook w:val="04A0"/>
        </w:tblPrEx>
        <w:trPr>
          <w:cantSplit/>
        </w:trPr>
        <w:tc>
          <w:tcPr>
            <w:tcW w:w="928" w:type="pct"/>
            <w:vAlign w:val="bottom"/>
          </w:tcPr>
          <w:p w:rsidR="001A3542" w:rsidRPr="00990D3B" w:rsidP="005361AA" w14:paraId="7F23530B" w14:textId="77777777">
            <w:pPr>
              <w:pStyle w:val="EQRTableText"/>
              <w:rPr>
                <w:rFonts w:eastAsia="Calibri"/>
              </w:rPr>
            </w:pPr>
          </w:p>
        </w:tc>
        <w:tc>
          <w:tcPr>
            <w:tcW w:w="637" w:type="pct"/>
            <w:vAlign w:val="bottom"/>
          </w:tcPr>
          <w:p w:rsidR="001A3542" w:rsidRPr="00990D3B" w:rsidP="005361AA" w14:paraId="0935CCAD" w14:textId="77777777">
            <w:pPr>
              <w:pStyle w:val="EQRTableText"/>
              <w:rPr>
                <w:rFonts w:eastAsia="Calibri"/>
              </w:rPr>
            </w:pPr>
          </w:p>
        </w:tc>
        <w:tc>
          <w:tcPr>
            <w:tcW w:w="1762" w:type="pct"/>
            <w:vAlign w:val="bottom"/>
          </w:tcPr>
          <w:p w:rsidR="001A3542" w:rsidRPr="00990D3B" w:rsidP="005361AA" w14:paraId="6FF9D01A" w14:textId="77777777">
            <w:pPr>
              <w:pStyle w:val="EQRTableText"/>
              <w:rPr>
                <w:rFonts w:eastAsia="Calibri"/>
              </w:rPr>
            </w:pPr>
          </w:p>
        </w:tc>
        <w:tc>
          <w:tcPr>
            <w:tcW w:w="1672" w:type="pct"/>
            <w:vAlign w:val="bottom"/>
          </w:tcPr>
          <w:p w:rsidR="001A3542" w:rsidRPr="00990D3B" w:rsidP="005361AA" w14:paraId="5DB16BAE" w14:textId="77777777">
            <w:pPr>
              <w:pStyle w:val="EQRTableText"/>
              <w:rPr>
                <w:rFonts w:eastAsia="Calibri"/>
              </w:rPr>
            </w:pPr>
          </w:p>
        </w:tc>
      </w:tr>
      <w:tr w14:paraId="0E99B723" w14:textId="77777777" w:rsidTr="00430920">
        <w:tblPrEx>
          <w:tblW w:w="5195" w:type="pct"/>
          <w:tblLook w:val="04A0"/>
        </w:tblPrEx>
        <w:trPr>
          <w:cantSplit/>
        </w:trPr>
        <w:tc>
          <w:tcPr>
            <w:tcW w:w="928" w:type="pct"/>
            <w:vAlign w:val="bottom"/>
          </w:tcPr>
          <w:p w:rsidR="001A3542" w:rsidRPr="00990D3B" w:rsidP="005361AA" w14:paraId="2450367F" w14:textId="77777777">
            <w:pPr>
              <w:pStyle w:val="EQRTableText"/>
              <w:rPr>
                <w:rFonts w:eastAsia="Calibri"/>
              </w:rPr>
            </w:pPr>
          </w:p>
        </w:tc>
        <w:tc>
          <w:tcPr>
            <w:tcW w:w="637" w:type="pct"/>
            <w:vAlign w:val="bottom"/>
          </w:tcPr>
          <w:p w:rsidR="001A3542" w:rsidRPr="00990D3B" w:rsidP="005361AA" w14:paraId="344760CE" w14:textId="77777777">
            <w:pPr>
              <w:pStyle w:val="EQRTableText"/>
              <w:rPr>
                <w:rFonts w:eastAsia="Calibri"/>
              </w:rPr>
            </w:pPr>
          </w:p>
        </w:tc>
        <w:tc>
          <w:tcPr>
            <w:tcW w:w="1762" w:type="pct"/>
            <w:vAlign w:val="bottom"/>
          </w:tcPr>
          <w:p w:rsidR="001A3542" w:rsidRPr="00990D3B" w:rsidP="005361AA" w14:paraId="3159A14B" w14:textId="77777777">
            <w:pPr>
              <w:pStyle w:val="EQRTableText"/>
              <w:rPr>
                <w:rFonts w:eastAsia="Calibri"/>
              </w:rPr>
            </w:pPr>
          </w:p>
        </w:tc>
        <w:tc>
          <w:tcPr>
            <w:tcW w:w="1672" w:type="pct"/>
            <w:vAlign w:val="bottom"/>
          </w:tcPr>
          <w:p w:rsidR="001A3542" w:rsidRPr="00990D3B" w:rsidP="005361AA" w14:paraId="568D87A5" w14:textId="77777777">
            <w:pPr>
              <w:pStyle w:val="EQRTableText"/>
              <w:rPr>
                <w:rFonts w:eastAsia="Calibri"/>
              </w:rPr>
            </w:pPr>
          </w:p>
        </w:tc>
      </w:tr>
    </w:tbl>
    <w:p w:rsidR="005361AA" w:rsidRPr="00990D3B" w:rsidP="00666AC0" w14:paraId="3A13664C" w14:textId="07EF26DE">
      <w:pPr>
        <w:spacing w:after="160" w:line="259" w:lineRule="auto"/>
        <w:rPr>
          <w:rFonts w:ascii="Arial" w:eastAsia="Calibri" w:hAnsi="Arial" w:cs="Arial"/>
          <w:kern w:val="2"/>
          <w:sz w:val="22"/>
          <w:szCs w:val="22"/>
          <w14:ligatures w14:val="standardContextual"/>
        </w:rPr>
      </w:pPr>
    </w:p>
    <w:p w:rsidR="005361AA" w:rsidRPr="00990D3B" w14:paraId="7CB2C393" w14:textId="77777777">
      <w:pPr>
        <w:spacing w:line="240" w:lineRule="auto"/>
        <w:rPr>
          <w:rFonts w:ascii="Arial" w:eastAsia="Calibri" w:hAnsi="Arial" w:cs="Arial"/>
          <w:kern w:val="2"/>
          <w:sz w:val="22"/>
          <w:szCs w:val="22"/>
          <w14:ligatures w14:val="standardContextual"/>
        </w:rPr>
      </w:pPr>
      <w:r w:rsidRPr="00990D3B">
        <w:rPr>
          <w:rFonts w:ascii="Arial" w:eastAsia="Calibri" w:hAnsi="Arial" w:cs="Arial"/>
          <w:kern w:val="2"/>
          <w:sz w:val="22"/>
          <w:szCs w:val="22"/>
          <w14:ligatures w14:val="standardContextual"/>
        </w:rPr>
        <w:br w:type="page"/>
      </w:r>
    </w:p>
    <w:p w:rsidR="001A3542" w:rsidRPr="00990D3B" w:rsidP="0095080F" w14:paraId="2B7073D2" w14:textId="77777777">
      <w:pPr>
        <w:pStyle w:val="EQRMarkforExhibitWORKSHEET"/>
      </w:pPr>
      <w:bookmarkStart w:id="1044" w:name="_Toc201751559"/>
      <w:r w:rsidRPr="00990D3B">
        <w:t>Example of Worksheets 10.1 – 10.3</w:t>
      </w:r>
      <w:bookmarkEnd w:id="1044"/>
    </w:p>
    <w:p w:rsidR="001A3542" w:rsidRPr="00990D3B" w:rsidP="003D16D1" w14:paraId="14181C81" w14:textId="77777777">
      <w:pPr>
        <w:pStyle w:val="EQRNormalSSWORKSHEET"/>
      </w:pPr>
      <w:r w:rsidRPr="00990D3B">
        <w:t>The example below shows how Worksheets 10.1 through 10.3 can be completed for a hypothetical state, using one MAC QRS mandatory measure—Follow-Up After Hospitalization for Mental Illness (FUH)—based on the state’s Medicaid and CHIP managed care structure, programs, and MCPs, as outlined in Table 1.</w:t>
      </w:r>
    </w:p>
    <w:p w:rsidR="001A3542" w:rsidRPr="00990D3B" w:rsidP="003D16D1" w14:paraId="7C0A32D6" w14:textId="77777777">
      <w:pPr>
        <w:pStyle w:val="EQRMarkforExhibitWORKSHEET"/>
      </w:pPr>
      <w:bookmarkStart w:id="1045" w:name="_Toc201751560"/>
      <w:r w:rsidRPr="00990D3B">
        <w:t>Table 1. Example State for Worksheets 10.1-10.3</w:t>
      </w:r>
      <w:bookmarkEnd w:id="1045"/>
    </w:p>
    <w:tbl>
      <w:tblPr>
        <w:tblStyle w:val="TableGrid"/>
        <w:tblW w:w="0" w:type="auto"/>
        <w:tblLook w:val="04A0"/>
      </w:tblPr>
      <w:tblGrid>
        <w:gridCol w:w="1435"/>
        <w:gridCol w:w="4798"/>
        <w:gridCol w:w="3117"/>
      </w:tblGrid>
      <w:tr w14:paraId="3108B4FD" w14:textId="77777777" w:rsidTr="00AB5952">
        <w:tblPrEx>
          <w:tblW w:w="0" w:type="auto"/>
          <w:tblLook w:val="04A0"/>
        </w:tblPrEx>
        <w:trPr>
          <w:cantSplit/>
        </w:trPr>
        <w:tc>
          <w:tcPr>
            <w:tcW w:w="9350" w:type="dxa"/>
            <w:gridSpan w:val="3"/>
          </w:tcPr>
          <w:p w:rsidR="001A3542" w:rsidRPr="00990D3B" w:rsidP="003D16D1" w14:paraId="64E49A84" w14:textId="77777777">
            <w:pPr>
              <w:pStyle w:val="EQRTableHeaderLeft"/>
              <w:rPr>
                <w:rFonts w:eastAsia="Calibri"/>
                <w:color w:val="auto"/>
                <w:kern w:val="2"/>
                <w14:ligatures w14:val="standardContextual"/>
              </w:rPr>
            </w:pPr>
            <w:r w:rsidRPr="00990D3B">
              <w:rPr>
                <w:rFonts w:eastAsia="Calibri"/>
                <w:color w:val="auto"/>
              </w:rPr>
              <w:t>State A Medicaid and CHIP Managed Care Delivery System (3 Managed Care Programs)</w:t>
            </w:r>
          </w:p>
        </w:tc>
      </w:tr>
      <w:tr w14:paraId="7B0054E4" w14:textId="77777777" w:rsidTr="00AB5952">
        <w:tblPrEx>
          <w:tblW w:w="0" w:type="auto"/>
          <w:tblLook w:val="04A0"/>
        </w:tblPrEx>
        <w:trPr>
          <w:cantSplit/>
        </w:trPr>
        <w:tc>
          <w:tcPr>
            <w:tcW w:w="1435" w:type="dxa"/>
            <w:vAlign w:val="bottom"/>
          </w:tcPr>
          <w:p w:rsidR="001A3542" w:rsidRPr="00990D3B" w:rsidP="003D16D1" w14:paraId="36140B21" w14:textId="77777777">
            <w:pPr>
              <w:pStyle w:val="EQRTableHeaderLeft"/>
              <w:rPr>
                <w:rFonts w:eastAsia="Calibri"/>
                <w:color w:val="auto"/>
              </w:rPr>
            </w:pPr>
            <w:r w:rsidRPr="00990D3B">
              <w:rPr>
                <w:rFonts w:eastAsia="Calibri"/>
                <w:color w:val="auto"/>
              </w:rPr>
              <w:t>Managed Care Program</w:t>
            </w:r>
          </w:p>
        </w:tc>
        <w:tc>
          <w:tcPr>
            <w:tcW w:w="4798" w:type="dxa"/>
            <w:vAlign w:val="bottom"/>
          </w:tcPr>
          <w:p w:rsidR="001A3542" w:rsidRPr="00990D3B" w:rsidP="003D16D1" w14:paraId="39FBB3D3" w14:textId="77777777">
            <w:pPr>
              <w:pStyle w:val="EQRTableHeaderCenter"/>
              <w:rPr>
                <w:rFonts w:eastAsia="Calibri"/>
                <w:color w:val="auto"/>
              </w:rPr>
            </w:pPr>
            <w:r w:rsidRPr="00990D3B">
              <w:rPr>
                <w:rFonts w:eastAsia="Calibri"/>
                <w:color w:val="auto"/>
              </w:rPr>
              <w:t>Program Description</w:t>
            </w:r>
          </w:p>
        </w:tc>
        <w:tc>
          <w:tcPr>
            <w:tcW w:w="3117" w:type="dxa"/>
            <w:vAlign w:val="bottom"/>
          </w:tcPr>
          <w:p w:rsidR="001A3542" w:rsidRPr="00990D3B" w:rsidP="003D16D1" w14:paraId="082E8065" w14:textId="77777777">
            <w:pPr>
              <w:pStyle w:val="EQRTableHeaderCenter"/>
              <w:rPr>
                <w:rFonts w:eastAsia="Calibri"/>
                <w:color w:val="auto"/>
              </w:rPr>
            </w:pPr>
            <w:r w:rsidRPr="00990D3B">
              <w:rPr>
                <w:rFonts w:eastAsia="Calibri"/>
                <w:color w:val="auto"/>
              </w:rPr>
              <w:t>Participating MCPs</w:t>
            </w:r>
          </w:p>
        </w:tc>
      </w:tr>
      <w:tr w14:paraId="18D1BB10" w14:textId="77777777" w:rsidTr="00AB5952">
        <w:tblPrEx>
          <w:tblW w:w="0" w:type="auto"/>
          <w:tblLook w:val="04A0"/>
        </w:tblPrEx>
        <w:trPr>
          <w:cantSplit/>
        </w:trPr>
        <w:tc>
          <w:tcPr>
            <w:tcW w:w="1435" w:type="dxa"/>
          </w:tcPr>
          <w:p w:rsidR="001A3542" w:rsidRPr="00990D3B" w:rsidP="003D16D1" w14:paraId="56C5A37E" w14:textId="77777777">
            <w:pPr>
              <w:pStyle w:val="EQRTableText"/>
              <w:rPr>
                <w:rFonts w:eastAsia="Calibri"/>
              </w:rPr>
            </w:pPr>
            <w:r w:rsidRPr="00990D3B">
              <w:rPr>
                <w:rFonts w:eastAsia="Calibri"/>
              </w:rPr>
              <w:t>Physical Health Managed Care Program</w:t>
            </w:r>
          </w:p>
        </w:tc>
        <w:tc>
          <w:tcPr>
            <w:tcW w:w="4798" w:type="dxa"/>
          </w:tcPr>
          <w:p w:rsidR="001A3542" w:rsidRPr="00990D3B" w:rsidP="003D16D1" w14:paraId="771DEB91" w14:textId="77777777">
            <w:pPr>
              <w:pStyle w:val="EQRTableTextbullet"/>
              <w:rPr>
                <w:rFonts w:eastAsia="Calibri"/>
              </w:rPr>
            </w:pPr>
            <w:r w:rsidRPr="00990D3B">
              <w:rPr>
                <w:rFonts w:eastAsia="Calibri"/>
              </w:rPr>
              <w:t xml:space="preserve">Covers physical health services for children and adults enrolled in Medicaid </w:t>
            </w:r>
          </w:p>
          <w:p w:rsidR="001A3542" w:rsidRPr="00990D3B" w:rsidP="003D16D1" w14:paraId="51E30EDD" w14:textId="77777777">
            <w:pPr>
              <w:pStyle w:val="EQRTableTextbullet"/>
              <w:rPr>
                <w:rFonts w:eastAsia="Calibri"/>
              </w:rPr>
            </w:pPr>
            <w:r w:rsidRPr="00990D3B">
              <w:rPr>
                <w:rFonts w:eastAsia="Calibri"/>
              </w:rPr>
              <w:t xml:space="preserve">Includes primary care, specialty care, inpatient and outpatient hospital services, and pharmacy. </w:t>
            </w:r>
          </w:p>
          <w:p w:rsidR="001A3542" w:rsidRPr="00990D3B" w:rsidP="003D16D1" w14:paraId="0EBE116D" w14:textId="77777777">
            <w:pPr>
              <w:pStyle w:val="EQRTableTextbullet"/>
              <w:rPr>
                <w:rFonts w:eastAsia="Calibri"/>
              </w:rPr>
            </w:pPr>
            <w:r w:rsidRPr="00990D3B">
              <w:rPr>
                <w:rFonts w:eastAsia="Calibri"/>
              </w:rPr>
              <w:t>Behavioral health services are carved out and covered separately.</w:t>
            </w:r>
          </w:p>
        </w:tc>
        <w:tc>
          <w:tcPr>
            <w:tcW w:w="3117" w:type="dxa"/>
          </w:tcPr>
          <w:p w:rsidR="001A3542" w:rsidRPr="00990D3B" w:rsidP="003D16D1" w14:paraId="2CAF2D9C" w14:textId="77777777">
            <w:pPr>
              <w:pStyle w:val="EQRTableTextbullet"/>
              <w:rPr>
                <w:rFonts w:eastAsia="Calibri"/>
              </w:rPr>
            </w:pPr>
            <w:r w:rsidRPr="00990D3B">
              <w:rPr>
                <w:rFonts w:eastAsia="Calibri"/>
              </w:rPr>
              <w:t>Blue Bird MCP</w:t>
            </w:r>
          </w:p>
          <w:p w:rsidR="001A3542" w:rsidRPr="00990D3B" w:rsidP="003D16D1" w14:paraId="506A4B25" w14:textId="0C7AD7BB">
            <w:pPr>
              <w:pStyle w:val="EQRTableTextbullet"/>
              <w:rPr>
                <w:rFonts w:eastAsia="Calibri"/>
              </w:rPr>
            </w:pPr>
            <w:r w:rsidRPr="00990D3B">
              <w:rPr>
                <w:rFonts w:eastAsia="Calibri"/>
              </w:rPr>
              <w:t>Red Bird MCP</w:t>
            </w:r>
          </w:p>
        </w:tc>
      </w:tr>
      <w:tr w14:paraId="4FD2C23B" w14:textId="77777777" w:rsidTr="00AB5952">
        <w:tblPrEx>
          <w:tblW w:w="0" w:type="auto"/>
          <w:tblLook w:val="04A0"/>
        </w:tblPrEx>
        <w:trPr>
          <w:cantSplit/>
        </w:trPr>
        <w:tc>
          <w:tcPr>
            <w:tcW w:w="1435" w:type="dxa"/>
          </w:tcPr>
          <w:p w:rsidR="001A3542" w:rsidRPr="00990D3B" w:rsidP="003D16D1" w14:paraId="41020883" w14:textId="77777777">
            <w:pPr>
              <w:pStyle w:val="EQRTableText"/>
              <w:rPr>
                <w:rFonts w:eastAsia="Calibri"/>
              </w:rPr>
            </w:pPr>
            <w:r w:rsidRPr="00990D3B">
              <w:rPr>
                <w:rFonts w:eastAsia="Calibri"/>
              </w:rPr>
              <w:t>Behavioral Health Program (carve-out)</w:t>
            </w:r>
          </w:p>
        </w:tc>
        <w:tc>
          <w:tcPr>
            <w:tcW w:w="4798" w:type="dxa"/>
          </w:tcPr>
          <w:p w:rsidR="001A3542" w:rsidRPr="00990D3B" w:rsidP="003D16D1" w14:paraId="060D702C" w14:textId="77777777">
            <w:pPr>
              <w:pStyle w:val="EQRTableTextbullet"/>
              <w:rPr>
                <w:rFonts w:eastAsia="Calibri"/>
              </w:rPr>
            </w:pPr>
            <w:r w:rsidRPr="00990D3B">
              <w:rPr>
                <w:rFonts w:eastAsia="Calibri"/>
              </w:rPr>
              <w:t>Covers all Medicaid behavioral health services for children and adults</w:t>
            </w:r>
          </w:p>
          <w:p w:rsidR="001A3542" w:rsidRPr="00990D3B" w:rsidP="003D16D1" w14:paraId="4C94EEA6" w14:textId="77777777">
            <w:pPr>
              <w:pStyle w:val="EQRTableTextbullet"/>
              <w:rPr>
                <w:rFonts w:eastAsia="Calibri"/>
              </w:rPr>
            </w:pPr>
            <w:r w:rsidRPr="00990D3B">
              <w:rPr>
                <w:rFonts w:eastAsia="Calibri"/>
              </w:rPr>
              <w:t xml:space="preserve">Includes inpatient and outpatient mental health care, substance use disorder treatment, care coordination, and crisis stabilization. </w:t>
            </w:r>
          </w:p>
          <w:p w:rsidR="001A3542" w:rsidRPr="00990D3B" w:rsidP="003D16D1" w14:paraId="089425A8" w14:textId="77777777">
            <w:pPr>
              <w:pStyle w:val="EQRTableTextbullet"/>
              <w:rPr>
                <w:rFonts w:eastAsia="Calibri"/>
              </w:rPr>
            </w:pPr>
            <w:r w:rsidRPr="00990D3B">
              <w:rPr>
                <w:rFonts w:eastAsia="Calibri"/>
              </w:rPr>
              <w:t>Administered separately from the Medical Program</w:t>
            </w:r>
          </w:p>
        </w:tc>
        <w:tc>
          <w:tcPr>
            <w:tcW w:w="3117" w:type="dxa"/>
          </w:tcPr>
          <w:p w:rsidR="001A3542" w:rsidRPr="00990D3B" w:rsidP="003D16D1" w14:paraId="36755F38" w14:textId="77777777">
            <w:pPr>
              <w:pStyle w:val="EQRTableTextbullet"/>
              <w:rPr>
                <w:rFonts w:eastAsia="Calibri"/>
              </w:rPr>
            </w:pPr>
            <w:r w:rsidRPr="00990D3B">
              <w:rPr>
                <w:rFonts w:eastAsia="Calibri"/>
              </w:rPr>
              <w:t>Yellow Bird Behavioral Health</w:t>
            </w:r>
          </w:p>
        </w:tc>
      </w:tr>
      <w:tr w14:paraId="2932FC30" w14:textId="77777777" w:rsidTr="00AB5952">
        <w:tblPrEx>
          <w:tblW w:w="0" w:type="auto"/>
          <w:tblLook w:val="04A0"/>
        </w:tblPrEx>
        <w:trPr>
          <w:cantSplit/>
        </w:trPr>
        <w:tc>
          <w:tcPr>
            <w:tcW w:w="1435" w:type="dxa"/>
          </w:tcPr>
          <w:p w:rsidR="001A3542" w:rsidRPr="00990D3B" w:rsidP="003D16D1" w14:paraId="637237EF" w14:textId="77777777">
            <w:pPr>
              <w:pStyle w:val="EQRTableText"/>
              <w:rPr>
                <w:rFonts w:eastAsia="Calibri"/>
                <w:kern w:val="2"/>
                <w14:ligatures w14:val="standardContextual"/>
              </w:rPr>
            </w:pPr>
            <w:r w:rsidRPr="00990D3B">
              <w:rPr>
                <w:rFonts w:eastAsia="Calibri"/>
                <w:kern w:val="2"/>
                <w14:ligatures w14:val="standardContextual"/>
              </w:rPr>
              <w:t>CHIP</w:t>
            </w:r>
          </w:p>
        </w:tc>
        <w:tc>
          <w:tcPr>
            <w:tcW w:w="4798" w:type="dxa"/>
          </w:tcPr>
          <w:p w:rsidR="001A3542" w:rsidRPr="00990D3B" w:rsidP="003D16D1" w14:paraId="2FD8B83F" w14:textId="77777777">
            <w:pPr>
              <w:pStyle w:val="EQRTableTextbullet"/>
              <w:rPr>
                <w:rFonts w:eastAsia="Calibri"/>
              </w:rPr>
            </w:pPr>
            <w:r w:rsidRPr="00990D3B">
              <w:rPr>
                <w:rFonts w:eastAsia="Calibri"/>
              </w:rPr>
              <w:t>Covers physical and behavioral health services for children enrolled in CHIP</w:t>
            </w:r>
          </w:p>
          <w:p w:rsidR="001A3542" w:rsidRPr="00990D3B" w:rsidP="003D16D1" w14:paraId="28211C5C" w14:textId="77777777">
            <w:pPr>
              <w:pStyle w:val="EQRTableTextbullet"/>
              <w:rPr>
                <w:rFonts w:eastAsia="Calibri"/>
              </w:rPr>
            </w:pPr>
            <w:r w:rsidRPr="00990D3B">
              <w:rPr>
                <w:rFonts w:eastAsia="Calibri"/>
              </w:rPr>
              <w:t>Includes preventive and acute care services, behavioral health, vision, and dental benefits</w:t>
            </w:r>
          </w:p>
          <w:p w:rsidR="001A3542" w:rsidRPr="00990D3B" w:rsidP="003D16D1" w14:paraId="1949B63D" w14:textId="77777777">
            <w:pPr>
              <w:pStyle w:val="EQRTableTextbullet"/>
              <w:rPr>
                <w:rFonts w:eastAsia="Calibri"/>
              </w:rPr>
            </w:pPr>
            <w:r w:rsidRPr="00990D3B">
              <w:rPr>
                <w:rFonts w:eastAsia="Calibri"/>
              </w:rPr>
              <w:t>Behavioral health is not carved out in CHIP—it is integrated within each MCP’s benefit package</w:t>
            </w:r>
          </w:p>
        </w:tc>
        <w:tc>
          <w:tcPr>
            <w:tcW w:w="3117" w:type="dxa"/>
          </w:tcPr>
          <w:p w:rsidR="001A3542" w:rsidRPr="00990D3B" w:rsidP="003D16D1" w14:paraId="3BE0FA35" w14:textId="77777777">
            <w:pPr>
              <w:pStyle w:val="EQRTableTextbullet"/>
              <w:rPr>
                <w:rFonts w:eastAsia="Calibri"/>
              </w:rPr>
            </w:pPr>
            <w:r w:rsidRPr="00990D3B">
              <w:rPr>
                <w:rFonts w:eastAsia="Calibri"/>
              </w:rPr>
              <w:t>Purple Bird Children's Health</w:t>
            </w:r>
          </w:p>
          <w:p w:rsidR="001A3542" w:rsidRPr="00990D3B" w:rsidP="003D16D1" w14:paraId="40EB9800" w14:textId="77777777">
            <w:pPr>
              <w:pStyle w:val="EQRTableTextbullet"/>
              <w:rPr>
                <w:rFonts w:eastAsia="Calibri"/>
              </w:rPr>
            </w:pPr>
            <w:r w:rsidRPr="00990D3B">
              <w:rPr>
                <w:rFonts w:eastAsia="Calibri"/>
              </w:rPr>
              <w:t>Green Bird Children’s Health</w:t>
            </w:r>
          </w:p>
        </w:tc>
      </w:tr>
    </w:tbl>
    <w:p w:rsidR="00BC68E6" w:rsidRPr="00990D3B" w:rsidP="00666AC0" w14:paraId="24017C28" w14:textId="7CB73A05">
      <w:pPr>
        <w:spacing w:after="160" w:line="259" w:lineRule="auto"/>
        <w:rPr>
          <w:rFonts w:ascii="Arial" w:eastAsia="Calibri" w:hAnsi="Arial" w:cs="Arial"/>
          <w:kern w:val="2"/>
          <w:sz w:val="18"/>
          <w:szCs w:val="18"/>
          <w14:ligatures w14:val="standardContextual"/>
        </w:rPr>
      </w:pPr>
    </w:p>
    <w:p w:rsidR="00BC68E6" w:rsidRPr="00990D3B" w14:paraId="1C39BF70" w14:textId="77777777">
      <w:pPr>
        <w:spacing w:line="240" w:lineRule="auto"/>
        <w:rPr>
          <w:rFonts w:ascii="Arial" w:eastAsia="Calibri" w:hAnsi="Arial" w:cs="Arial"/>
          <w:kern w:val="2"/>
          <w:sz w:val="18"/>
          <w:szCs w:val="18"/>
          <w14:ligatures w14:val="standardContextual"/>
        </w:rPr>
      </w:pPr>
      <w:r w:rsidRPr="00990D3B">
        <w:rPr>
          <w:rFonts w:ascii="Arial" w:eastAsia="Calibri" w:hAnsi="Arial" w:cs="Arial"/>
          <w:kern w:val="2"/>
          <w:sz w:val="18"/>
          <w:szCs w:val="18"/>
          <w14:ligatures w14:val="standardContextual"/>
        </w:rPr>
        <w:br w:type="page"/>
      </w:r>
    </w:p>
    <w:p w:rsidR="001A3542" w:rsidRPr="00990D3B" w:rsidP="003D16D1" w14:paraId="6804BF47" w14:textId="5904F75E">
      <w:pPr>
        <w:pStyle w:val="EQRMarkforExhibitWORKSHEET"/>
      </w:pPr>
      <w:bookmarkStart w:id="1046" w:name="_Toc201751561"/>
      <w:r w:rsidRPr="00990D3B">
        <w:t xml:space="preserve">Example of </w:t>
      </w:r>
      <w:r w:rsidRPr="00990D3B">
        <w:t>Worksheet 10.1. Assigning MAC QRS Measures to MCP Template</w:t>
      </w:r>
      <w:bookmarkEnd w:id="1046"/>
      <w:r w:rsidRPr="00990D3B">
        <w:t xml:space="preserve"> </w:t>
      </w:r>
    </w:p>
    <w:tbl>
      <w:tblPr>
        <w:tblStyle w:val="TableGrid2"/>
        <w:tblW w:w="5000" w:type="pct"/>
        <w:tblLook w:val="04A0"/>
      </w:tblPr>
      <w:tblGrid>
        <w:gridCol w:w="2065"/>
        <w:gridCol w:w="3104"/>
        <w:gridCol w:w="1322"/>
        <w:gridCol w:w="2859"/>
      </w:tblGrid>
      <w:tr w14:paraId="22003E96" w14:textId="77777777" w:rsidTr="00BD27F7">
        <w:tblPrEx>
          <w:tblW w:w="5000" w:type="pct"/>
          <w:tblLook w:val="04A0"/>
        </w:tblPrEx>
        <w:trPr>
          <w:cantSplit/>
        </w:trPr>
        <w:tc>
          <w:tcPr>
            <w:tcW w:w="5000" w:type="pct"/>
            <w:gridSpan w:val="4"/>
            <w:vAlign w:val="bottom"/>
          </w:tcPr>
          <w:p w:rsidR="001A3542" w:rsidRPr="00990D3B" w:rsidP="003D16D1" w14:paraId="192B0234" w14:textId="77777777">
            <w:pPr>
              <w:pStyle w:val="EQRTableHeaderLeft"/>
              <w:rPr>
                <w:rFonts w:eastAsia="Calibri"/>
                <w:bCs/>
                <w:color w:val="auto"/>
              </w:rPr>
            </w:pPr>
            <w:r w:rsidRPr="00990D3B">
              <w:rPr>
                <w:rFonts w:eastAsia="Calibri"/>
                <w:bCs/>
                <w:color w:val="auto"/>
              </w:rPr>
              <w:t xml:space="preserve">Managed Care Program: </w:t>
            </w:r>
            <w:r w:rsidRPr="00990D3B">
              <w:rPr>
                <w:rFonts w:eastAsia="Calibri"/>
                <w:color w:val="auto"/>
              </w:rPr>
              <w:t>Beh</w:t>
            </w:r>
            <w:r w:rsidRPr="00990D3B">
              <w:rPr>
                <w:rFonts w:eastAsia="Calibri"/>
                <w:i/>
                <w:iCs/>
                <w:color w:val="auto"/>
              </w:rPr>
              <w:t>a</w:t>
            </w:r>
            <w:r w:rsidRPr="00990D3B">
              <w:rPr>
                <w:rFonts w:eastAsia="Calibri"/>
                <w:color w:val="auto"/>
              </w:rPr>
              <w:t>vioral Health Program</w:t>
            </w:r>
          </w:p>
        </w:tc>
      </w:tr>
      <w:tr w14:paraId="5694899A" w14:textId="77777777" w:rsidTr="00BD27F7">
        <w:tblPrEx>
          <w:tblW w:w="5000" w:type="pct"/>
          <w:tblLook w:val="04A0"/>
        </w:tblPrEx>
        <w:trPr>
          <w:cantSplit/>
        </w:trPr>
        <w:tc>
          <w:tcPr>
            <w:tcW w:w="5000" w:type="pct"/>
            <w:gridSpan w:val="4"/>
            <w:vAlign w:val="bottom"/>
          </w:tcPr>
          <w:p w:rsidR="001A3542" w:rsidRPr="00990D3B" w:rsidP="003D16D1" w14:paraId="7E6DD515" w14:textId="77777777">
            <w:pPr>
              <w:pStyle w:val="EQRTableHeaderLeft"/>
              <w:rPr>
                <w:rFonts w:eastAsia="Calibri"/>
                <w:bCs/>
                <w:color w:val="auto"/>
              </w:rPr>
            </w:pPr>
            <w:r w:rsidRPr="00990D3B">
              <w:rPr>
                <w:rFonts w:eastAsia="Calibri"/>
                <w:bCs/>
                <w:color w:val="auto"/>
              </w:rPr>
              <w:t>Participating</w:t>
            </w:r>
            <w:r w:rsidRPr="00990D3B">
              <w:rPr>
                <w:rFonts w:eastAsia="Calibri"/>
                <w:bCs/>
                <w:color w:val="auto"/>
              </w:rPr>
              <w:t xml:space="preserve"> MCPs: </w:t>
            </w:r>
            <w:r w:rsidRPr="00990D3B">
              <w:rPr>
                <w:rFonts w:eastAsia="Calibri"/>
                <w:color w:val="auto"/>
              </w:rPr>
              <w:t>Yellow Bird Behavioral Health</w:t>
            </w:r>
          </w:p>
        </w:tc>
      </w:tr>
      <w:tr w14:paraId="486EDFBC" w14:textId="77777777" w:rsidTr="00BD27F7">
        <w:tblPrEx>
          <w:tblW w:w="5000" w:type="pct"/>
          <w:tblLook w:val="04A0"/>
        </w:tblPrEx>
        <w:trPr>
          <w:cantSplit/>
        </w:trPr>
        <w:tc>
          <w:tcPr>
            <w:tcW w:w="1104" w:type="pct"/>
            <w:vAlign w:val="bottom"/>
          </w:tcPr>
          <w:p w:rsidR="001A3542" w:rsidRPr="00990D3B" w:rsidP="003D16D1" w14:paraId="1B6FC645" w14:textId="77777777">
            <w:pPr>
              <w:pStyle w:val="EQRTableHeaderLeft"/>
              <w:rPr>
                <w:rFonts w:eastAsia="Calibri"/>
                <w:color w:val="auto"/>
              </w:rPr>
            </w:pPr>
            <w:r w:rsidRPr="00990D3B">
              <w:rPr>
                <w:rFonts w:eastAsia="Calibri"/>
                <w:color w:val="auto"/>
              </w:rPr>
              <w:t>MAC QRS Measure</w:t>
            </w:r>
          </w:p>
        </w:tc>
        <w:tc>
          <w:tcPr>
            <w:tcW w:w="1660" w:type="pct"/>
            <w:vAlign w:val="bottom"/>
          </w:tcPr>
          <w:p w:rsidR="001A3542" w:rsidRPr="00990D3B" w:rsidP="003D16D1" w14:paraId="2A15F911" w14:textId="77777777">
            <w:pPr>
              <w:pStyle w:val="EQRTableHeaderCenter"/>
              <w:rPr>
                <w:rFonts w:eastAsia="Calibri"/>
                <w:color w:val="auto"/>
              </w:rPr>
            </w:pPr>
            <w:r w:rsidRPr="00990D3B">
              <w:rPr>
                <w:rFonts w:eastAsia="Calibri"/>
                <w:color w:val="auto"/>
              </w:rPr>
              <w:t>Services Included in Numerator</w:t>
            </w:r>
          </w:p>
        </w:tc>
        <w:tc>
          <w:tcPr>
            <w:tcW w:w="707" w:type="pct"/>
            <w:vAlign w:val="bottom"/>
          </w:tcPr>
          <w:p w:rsidR="001A3542" w:rsidRPr="00990D3B" w:rsidP="003D16D1" w14:paraId="2800DD44" w14:textId="77777777">
            <w:pPr>
              <w:pStyle w:val="EQRTableHeaderCenter"/>
              <w:rPr>
                <w:rFonts w:eastAsia="Calibri"/>
                <w:color w:val="auto"/>
              </w:rPr>
            </w:pPr>
            <w:r w:rsidRPr="00990D3B">
              <w:rPr>
                <w:rFonts w:eastAsia="Calibri"/>
                <w:color w:val="auto"/>
              </w:rPr>
              <w:t>Applicable to MCP(s) (Y/N)</w:t>
            </w:r>
          </w:p>
        </w:tc>
        <w:tc>
          <w:tcPr>
            <w:tcW w:w="1529" w:type="pct"/>
            <w:vAlign w:val="bottom"/>
          </w:tcPr>
          <w:p w:rsidR="001A3542" w:rsidRPr="00990D3B" w:rsidP="003D16D1" w14:paraId="4435363F" w14:textId="77777777">
            <w:pPr>
              <w:pStyle w:val="EQRTableHeaderCenter"/>
              <w:rPr>
                <w:rFonts w:eastAsia="Calibri"/>
                <w:color w:val="auto"/>
              </w:rPr>
            </w:pPr>
            <w:r w:rsidRPr="00990D3B">
              <w:rPr>
                <w:rFonts w:eastAsia="Calibri"/>
                <w:color w:val="auto"/>
              </w:rPr>
              <w:t xml:space="preserve">Comments </w:t>
            </w:r>
          </w:p>
        </w:tc>
      </w:tr>
      <w:tr w14:paraId="4B019970" w14:textId="77777777" w:rsidTr="00BD27F7">
        <w:tblPrEx>
          <w:tblW w:w="5000" w:type="pct"/>
          <w:tblLook w:val="04A0"/>
        </w:tblPrEx>
        <w:trPr>
          <w:cantSplit/>
        </w:trPr>
        <w:tc>
          <w:tcPr>
            <w:tcW w:w="1104" w:type="pct"/>
          </w:tcPr>
          <w:p w:rsidR="001A3542" w:rsidRPr="00990D3B" w:rsidP="00666AC0" w14:paraId="608A08C2" w14:textId="77777777">
            <w:pPr>
              <w:spacing w:line="240" w:lineRule="auto"/>
              <w:rPr>
                <w:rFonts w:ascii="Arial" w:eastAsia="Calibri" w:hAnsi="Arial" w:cs="Arial"/>
                <w:iCs/>
                <w:sz w:val="18"/>
                <w:szCs w:val="18"/>
              </w:rPr>
            </w:pPr>
            <w:r w:rsidRPr="00990D3B">
              <w:rPr>
                <w:rFonts w:ascii="Arial" w:eastAsia="Calibri" w:hAnsi="Arial" w:cs="Arial"/>
                <w:iCs/>
                <w:sz w:val="18"/>
                <w:szCs w:val="18"/>
              </w:rPr>
              <w:t>Follow-Up After Hospitalization for Mental Illness (FUH)</w:t>
            </w:r>
          </w:p>
        </w:tc>
        <w:tc>
          <w:tcPr>
            <w:tcW w:w="1660" w:type="pct"/>
          </w:tcPr>
          <w:p w:rsidR="001A3542" w:rsidRPr="00990D3B" w:rsidP="000D2190" w14:paraId="2A7EF609" w14:textId="77777777">
            <w:pPr>
              <w:pStyle w:val="EQRTableTextbullet"/>
            </w:pPr>
            <w:r w:rsidRPr="00990D3B">
              <w:t>Outpatient mental health visits</w:t>
            </w:r>
          </w:p>
          <w:p w:rsidR="001A3542" w:rsidRPr="00990D3B" w:rsidP="000D2190" w14:paraId="63B17EE6" w14:textId="77777777">
            <w:pPr>
              <w:pStyle w:val="EQRTableTextbullet"/>
            </w:pPr>
            <w:r w:rsidRPr="00990D3B">
              <w:t xml:space="preserve">Intensive behavioral health outpatient programs </w:t>
            </w:r>
          </w:p>
          <w:p w:rsidR="001A3542" w:rsidRPr="00990D3B" w:rsidP="000D2190" w14:paraId="2B5E3046" w14:textId="77777777">
            <w:pPr>
              <w:pStyle w:val="EQRTableTextbullet"/>
            </w:pPr>
            <w:r w:rsidRPr="00990D3B">
              <w:t>PHPs</w:t>
            </w:r>
          </w:p>
          <w:p w:rsidR="001A3542" w:rsidRPr="00990D3B" w:rsidP="000D2190" w14:paraId="576EA46D" w14:textId="77777777">
            <w:pPr>
              <w:pStyle w:val="EQRTableTextbullet"/>
            </w:pPr>
            <w:r w:rsidRPr="00990D3B">
              <w:t>Telehealth</w:t>
            </w:r>
            <w:r w:rsidRPr="00990D3B">
              <w:t xml:space="preserve"> mental health visits</w:t>
            </w:r>
          </w:p>
          <w:p w:rsidR="001A3542" w:rsidRPr="00990D3B" w:rsidP="000D2190" w14:paraId="4AA6CFE0" w14:textId="77777777">
            <w:pPr>
              <w:pStyle w:val="EQRTableTextbullet"/>
            </w:pPr>
            <w:r w:rsidRPr="00990D3B">
              <w:t xml:space="preserve">Medication management visits related to behavioral health conditions </w:t>
            </w:r>
          </w:p>
          <w:p w:rsidR="001A3542" w:rsidRPr="00990D3B" w:rsidP="000D2190" w14:paraId="7C819BE3" w14:textId="77777777">
            <w:pPr>
              <w:pStyle w:val="EQRTableTextbullet"/>
            </w:pPr>
            <w:r w:rsidRPr="00990D3B">
              <w:t>Community-based mental health services certified Community Mental Health Centers or equivalent providers</w:t>
            </w:r>
          </w:p>
          <w:p w:rsidR="001A3542" w:rsidRPr="00990D3B" w:rsidP="000D2190" w14:paraId="134659AA" w14:textId="77777777">
            <w:pPr>
              <w:pStyle w:val="EQRTableTextbullet"/>
            </w:pPr>
            <w:r w:rsidRPr="00990D3B">
              <w:t>Electroconvulsive Therapy (ECT)</w:t>
            </w:r>
          </w:p>
          <w:p w:rsidR="001A3542" w:rsidRPr="00990D3B" w:rsidP="000D2190" w14:paraId="0CEA8E86" w14:textId="77777777">
            <w:pPr>
              <w:pStyle w:val="EQRTableTextbullet"/>
            </w:pPr>
            <w:r w:rsidRPr="00990D3B">
              <w:t xml:space="preserve">Transitional care management services for members transitioning between levels of care </w:t>
            </w:r>
          </w:p>
          <w:p w:rsidR="001A3542" w:rsidRPr="00990D3B" w:rsidP="000D2190" w14:paraId="1D6A7443" w14:textId="77777777">
            <w:pPr>
              <w:pStyle w:val="EQRTableTextbullet"/>
            </w:pPr>
            <w:r w:rsidRPr="00990D3B">
              <w:t xml:space="preserve">Psychiatric collaborative care models that integrate behavioral health services into primary care </w:t>
            </w:r>
          </w:p>
        </w:tc>
        <w:tc>
          <w:tcPr>
            <w:tcW w:w="707" w:type="pct"/>
          </w:tcPr>
          <w:p w:rsidR="001A3542" w:rsidRPr="00990D3B" w:rsidP="00666AC0" w14:paraId="17FAF00E" w14:textId="77777777">
            <w:pPr>
              <w:spacing w:line="240" w:lineRule="auto"/>
              <w:jc w:val="center"/>
              <w:rPr>
                <w:rFonts w:ascii="Arial" w:eastAsia="Calibri" w:hAnsi="Arial" w:cs="Arial"/>
                <w:sz w:val="18"/>
                <w:szCs w:val="18"/>
              </w:rPr>
            </w:pPr>
            <w:r w:rsidRPr="00990D3B">
              <w:rPr>
                <w:rFonts w:ascii="Arial" w:eastAsia="Calibri" w:hAnsi="Arial" w:cs="Arial"/>
                <w:sz w:val="18"/>
                <w:szCs w:val="18"/>
              </w:rPr>
              <w:t>Y</w:t>
            </w:r>
          </w:p>
        </w:tc>
        <w:tc>
          <w:tcPr>
            <w:tcW w:w="1529" w:type="pct"/>
          </w:tcPr>
          <w:p w:rsidR="001A3542" w:rsidRPr="00990D3B" w:rsidP="000D2190" w14:paraId="10D80807" w14:textId="08166BE0">
            <w:pPr>
              <w:pStyle w:val="EQRTableTextbullet"/>
              <w:rPr>
                <w:rFonts w:eastAsia="Calibri"/>
              </w:rPr>
            </w:pPr>
            <w:r w:rsidRPr="00990D3B">
              <w:rPr>
                <w:rFonts w:eastAsia="Calibri"/>
              </w:rPr>
              <w:t>Yellow Bird MCP covers mental and behavioral health services for the Medicaid adult and child population as part of the Behavioral Health managed care program.</w:t>
            </w:r>
          </w:p>
          <w:p w:rsidR="001A3542" w:rsidRPr="00990D3B" w:rsidP="000D2190" w14:paraId="4AB8BE32" w14:textId="5B1AEAD1">
            <w:pPr>
              <w:pStyle w:val="EQRTableTextbullet"/>
              <w:rPr>
                <w:rFonts w:eastAsia="Calibri"/>
              </w:rPr>
            </w:pPr>
            <w:r w:rsidRPr="00990D3B">
              <w:rPr>
                <w:rFonts w:eastAsia="Calibri"/>
              </w:rPr>
              <w:t xml:space="preserve">MCP is responsible for all follow-up services included in the numerator </w:t>
            </w:r>
          </w:p>
          <w:p w:rsidR="001A3542" w:rsidRPr="00990D3B" w:rsidP="000D2190" w14:paraId="2C657336" w14:textId="1CD56CA7">
            <w:pPr>
              <w:pStyle w:val="EQRTableTextbullet"/>
              <w:rPr>
                <w:rFonts w:eastAsia="Calibri"/>
              </w:rPr>
            </w:pPr>
            <w:r w:rsidRPr="00990D3B">
              <w:rPr>
                <w:rFonts w:eastAsia="Calibri"/>
              </w:rPr>
              <w:t xml:space="preserve">MCP is not responsible for CHIP enrollees </w:t>
            </w:r>
          </w:p>
        </w:tc>
      </w:tr>
    </w:tbl>
    <w:p w:rsidR="0050777F" w:rsidRPr="00990D3B" w:rsidP="00666AC0" w14:paraId="06D41E5F" w14:textId="77777777">
      <w:pPr>
        <w:spacing w:after="160" w:line="259" w:lineRule="auto"/>
        <w:rPr>
          <w:rFonts w:ascii="Arial" w:eastAsia="Calibri" w:hAnsi="Arial" w:cs="Arial"/>
          <w:b/>
          <w:kern w:val="2"/>
          <w:sz w:val="18"/>
          <w:szCs w:val="18"/>
          <w14:ligatures w14:val="standardContextual"/>
        </w:rPr>
        <w:sectPr w:rsidSect="001A3542">
          <w:headerReference w:type="even" r:id="rId216"/>
          <w:footerReference w:type="even" r:id="rId217"/>
          <w:footerReference w:type="default" r:id="rId218"/>
          <w:headerReference w:type="first" r:id="rId219"/>
          <w:footerReference w:type="first" r:id="rId220"/>
          <w:pgSz w:w="12240" w:h="15840" w:code="1"/>
          <w:pgMar w:top="1440" w:right="1440" w:bottom="1440" w:left="1440" w:header="720" w:footer="720" w:gutter="0"/>
          <w:cols w:space="720"/>
          <w:titlePg/>
          <w:docGrid w:linePitch="360"/>
        </w:sectPr>
      </w:pPr>
    </w:p>
    <w:p w:rsidR="001A3542" w:rsidRPr="00990D3B" w:rsidP="009F5740" w14:paraId="545689F0" w14:textId="2FD71AAE">
      <w:pPr>
        <w:pStyle w:val="EQRMarkforExhibitWORKSHEET"/>
      </w:pPr>
      <w:bookmarkStart w:id="1047" w:name="_Toc201751562"/>
      <w:r w:rsidRPr="00990D3B">
        <w:t xml:space="preserve">Example of </w:t>
      </w:r>
      <w:r w:rsidRPr="00990D3B">
        <w:t xml:space="preserve">Worksheet 10.2. MAC QRS Data </w:t>
      </w:r>
      <w:r w:rsidRPr="00990D3B">
        <w:rPr>
          <w:bCs/>
        </w:rPr>
        <w:t>Requirements Template</w:t>
      </w:r>
      <w:bookmarkEnd w:id="1047"/>
    </w:p>
    <w:tbl>
      <w:tblPr>
        <w:tblStyle w:val="TableGrid2"/>
        <w:tblW w:w="5000" w:type="pct"/>
        <w:tblLayout w:type="fixed"/>
        <w:tblLook w:val="04A0"/>
      </w:tblPr>
      <w:tblGrid>
        <w:gridCol w:w="2468"/>
        <w:gridCol w:w="1360"/>
        <w:gridCol w:w="1608"/>
        <w:gridCol w:w="1362"/>
        <w:gridCol w:w="1238"/>
        <w:gridCol w:w="1487"/>
        <w:gridCol w:w="3427"/>
      </w:tblGrid>
      <w:tr w14:paraId="108F720F" w14:textId="77777777" w:rsidTr="009F5740">
        <w:tblPrEx>
          <w:tblW w:w="5000" w:type="pct"/>
          <w:tblLayout w:type="fixed"/>
          <w:tblLook w:val="04A0"/>
        </w:tblPrEx>
        <w:trPr>
          <w:cantSplit/>
          <w:tblHeader/>
        </w:trPr>
        <w:tc>
          <w:tcPr>
            <w:tcW w:w="5000" w:type="pct"/>
            <w:gridSpan w:val="7"/>
            <w:vAlign w:val="bottom"/>
          </w:tcPr>
          <w:p w:rsidR="001A3542" w:rsidRPr="00990D3B" w:rsidP="009F5740" w14:paraId="16F6AE75" w14:textId="77777777">
            <w:pPr>
              <w:pStyle w:val="EQRTableText"/>
              <w:rPr>
                <w:rFonts w:eastAsia="Calibri"/>
                <w:b/>
                <w:bCs/>
              </w:rPr>
            </w:pPr>
            <w:r w:rsidRPr="00990D3B">
              <w:rPr>
                <w:rFonts w:eastAsia="Calibri"/>
                <w:b/>
                <w:bCs/>
              </w:rPr>
              <w:t xml:space="preserve">Managed Care Program: </w:t>
            </w:r>
            <w:r w:rsidRPr="00990D3B">
              <w:rPr>
                <w:rFonts w:eastAsia="Calibri"/>
              </w:rPr>
              <w:t>Behavioral Health Program</w:t>
            </w:r>
          </w:p>
        </w:tc>
      </w:tr>
      <w:tr w14:paraId="1D26C3D7" w14:textId="77777777" w:rsidTr="009F5740">
        <w:tblPrEx>
          <w:tblW w:w="5000" w:type="pct"/>
          <w:tblLayout w:type="fixed"/>
          <w:tblLook w:val="04A0"/>
        </w:tblPrEx>
        <w:trPr>
          <w:cantSplit/>
          <w:tblHeader/>
        </w:trPr>
        <w:tc>
          <w:tcPr>
            <w:tcW w:w="5000" w:type="pct"/>
            <w:gridSpan w:val="7"/>
            <w:vAlign w:val="bottom"/>
          </w:tcPr>
          <w:p w:rsidR="001A3542" w:rsidRPr="00990D3B" w:rsidP="009F5740" w14:paraId="6A175BB9" w14:textId="77777777">
            <w:pPr>
              <w:pStyle w:val="EQRTableText"/>
              <w:rPr>
                <w:rFonts w:eastAsia="Calibri"/>
                <w:b/>
                <w:bCs/>
              </w:rPr>
            </w:pPr>
            <w:r w:rsidRPr="00990D3B">
              <w:rPr>
                <w:rFonts w:eastAsia="Calibri"/>
                <w:b/>
                <w:bCs/>
              </w:rPr>
              <w:t>Participating</w:t>
            </w:r>
            <w:r w:rsidRPr="00990D3B">
              <w:rPr>
                <w:rFonts w:eastAsia="Calibri"/>
                <w:b/>
                <w:bCs/>
              </w:rPr>
              <w:t xml:space="preserve"> MCPs: </w:t>
            </w:r>
            <w:r w:rsidRPr="00990D3B">
              <w:rPr>
                <w:rFonts w:eastAsia="Calibri"/>
              </w:rPr>
              <w:t>Yellow Bird</w:t>
            </w:r>
            <w:r w:rsidRPr="00990D3B">
              <w:rPr>
                <w:rFonts w:eastAsia="Calibri"/>
                <w:b/>
                <w:bCs/>
              </w:rPr>
              <w:t xml:space="preserve"> </w:t>
            </w:r>
            <w:r w:rsidRPr="00990D3B">
              <w:rPr>
                <w:rFonts w:eastAsia="Calibri"/>
              </w:rPr>
              <w:t>Behavioral Health</w:t>
            </w:r>
          </w:p>
        </w:tc>
      </w:tr>
      <w:tr w14:paraId="27CD30FD" w14:textId="77777777" w:rsidTr="009F5740">
        <w:tblPrEx>
          <w:tblW w:w="5000" w:type="pct"/>
          <w:tblLayout w:type="fixed"/>
          <w:tblLook w:val="04A0"/>
        </w:tblPrEx>
        <w:trPr>
          <w:cantSplit/>
          <w:tblHeader/>
        </w:trPr>
        <w:tc>
          <w:tcPr>
            <w:tcW w:w="5000" w:type="pct"/>
            <w:gridSpan w:val="7"/>
            <w:vAlign w:val="bottom"/>
          </w:tcPr>
          <w:p w:rsidR="001A3542" w:rsidRPr="00990D3B" w:rsidP="009F5740" w14:paraId="7333DDB4" w14:textId="77777777">
            <w:pPr>
              <w:pStyle w:val="EQRTableText"/>
              <w:rPr>
                <w:rFonts w:eastAsia="Calibri"/>
                <w:b/>
                <w:bCs/>
              </w:rPr>
            </w:pPr>
            <w:r w:rsidRPr="00990D3B">
              <w:rPr>
                <w:rFonts w:eastAsia="Calibri"/>
                <w:b/>
                <w:bCs/>
              </w:rPr>
              <w:t>Measure:</w:t>
            </w:r>
            <w:r w:rsidRPr="00990D3B">
              <w:rPr>
                <w:rFonts w:eastAsia="Calibri"/>
                <w:i/>
              </w:rPr>
              <w:t xml:space="preserve"> </w:t>
            </w:r>
            <w:r w:rsidRPr="00990D3B">
              <w:rPr>
                <w:rFonts w:eastAsia="Calibri"/>
              </w:rPr>
              <w:t>Follow-Up After Hospitalization for Mental Illness</w:t>
            </w:r>
          </w:p>
        </w:tc>
      </w:tr>
      <w:tr w14:paraId="58BAD0B5" w14:textId="77777777" w:rsidTr="009F5740">
        <w:tblPrEx>
          <w:tblW w:w="5000" w:type="pct"/>
          <w:tblLayout w:type="fixed"/>
          <w:tblLook w:val="04A0"/>
        </w:tblPrEx>
        <w:trPr>
          <w:cantSplit/>
          <w:tblHeader/>
        </w:trPr>
        <w:tc>
          <w:tcPr>
            <w:tcW w:w="953" w:type="pct"/>
            <w:vMerge w:val="restart"/>
            <w:vAlign w:val="bottom"/>
          </w:tcPr>
          <w:p w:rsidR="001A3542" w:rsidRPr="00990D3B" w:rsidP="009F5740" w14:paraId="05DD1149" w14:textId="77777777">
            <w:pPr>
              <w:pStyle w:val="EQRTableHeaderLeft"/>
              <w:rPr>
                <w:rFonts w:eastAsia="Calibri"/>
                <w:color w:val="auto"/>
              </w:rPr>
            </w:pPr>
            <w:r w:rsidRPr="00990D3B">
              <w:rPr>
                <w:rFonts w:eastAsia="Calibri"/>
                <w:color w:val="auto"/>
              </w:rPr>
              <w:t>Data Element</w:t>
            </w:r>
          </w:p>
        </w:tc>
        <w:tc>
          <w:tcPr>
            <w:tcW w:w="525" w:type="pct"/>
            <w:vMerge w:val="restart"/>
            <w:vAlign w:val="bottom"/>
          </w:tcPr>
          <w:p w:rsidR="001A3542" w:rsidRPr="00990D3B" w:rsidP="009F5740" w14:paraId="7570A8EA" w14:textId="086A53E6">
            <w:pPr>
              <w:pStyle w:val="EQRTableHeaderCenter"/>
              <w:rPr>
                <w:rFonts w:eastAsia="Calibri"/>
                <w:color w:val="auto"/>
              </w:rPr>
            </w:pPr>
            <w:r w:rsidRPr="00990D3B">
              <w:rPr>
                <w:rFonts w:eastAsia="Calibri"/>
                <w:color w:val="auto"/>
              </w:rPr>
              <w:t>Data Element Available from MCP(s)?</w:t>
            </w:r>
            <w:r w:rsidRPr="00990D3B" w:rsidR="009F5740">
              <w:rPr>
                <w:rFonts w:eastAsia="Calibri"/>
                <w:color w:val="auto"/>
              </w:rPr>
              <w:br/>
            </w:r>
            <w:r w:rsidRPr="00990D3B">
              <w:rPr>
                <w:rFonts w:eastAsia="Calibri"/>
                <w:color w:val="auto"/>
              </w:rPr>
              <w:t>(Y/N)</w:t>
            </w:r>
          </w:p>
        </w:tc>
        <w:tc>
          <w:tcPr>
            <w:tcW w:w="3522" w:type="pct"/>
            <w:gridSpan w:val="5"/>
            <w:vAlign w:val="bottom"/>
          </w:tcPr>
          <w:p w:rsidR="001A3542" w:rsidRPr="00990D3B" w:rsidP="009F5740" w14:paraId="7E0D2113" w14:textId="77777777">
            <w:pPr>
              <w:pStyle w:val="EQRTableHeaderCenter"/>
              <w:rPr>
                <w:rFonts w:eastAsia="Calibri"/>
                <w:color w:val="auto"/>
              </w:rPr>
            </w:pPr>
            <w:r w:rsidRPr="00990D3B">
              <w:rPr>
                <w:rFonts w:eastAsia="Calibri"/>
                <w:color w:val="auto"/>
              </w:rPr>
              <w:t>Data required from:</w:t>
            </w:r>
          </w:p>
        </w:tc>
      </w:tr>
      <w:tr w14:paraId="0CFF1DCF" w14:textId="77777777" w:rsidTr="009F5740">
        <w:tblPrEx>
          <w:tblW w:w="5000" w:type="pct"/>
          <w:tblLayout w:type="fixed"/>
          <w:tblLook w:val="04A0"/>
        </w:tblPrEx>
        <w:trPr>
          <w:cantSplit/>
          <w:tblHeader/>
        </w:trPr>
        <w:tc>
          <w:tcPr>
            <w:tcW w:w="953" w:type="pct"/>
            <w:vMerge/>
            <w:vAlign w:val="bottom"/>
          </w:tcPr>
          <w:p w:rsidR="001A3542" w:rsidRPr="00990D3B" w:rsidP="00666AC0" w14:paraId="11E5A4DF" w14:textId="77777777">
            <w:pPr>
              <w:spacing w:line="240" w:lineRule="auto"/>
              <w:rPr>
                <w:rFonts w:ascii="Arial" w:eastAsia="Calibri" w:hAnsi="Arial" w:cs="Arial"/>
                <w:b/>
                <w:bCs/>
                <w:sz w:val="18"/>
                <w:szCs w:val="18"/>
              </w:rPr>
            </w:pPr>
          </w:p>
        </w:tc>
        <w:tc>
          <w:tcPr>
            <w:tcW w:w="525" w:type="pct"/>
            <w:vMerge/>
            <w:vAlign w:val="bottom"/>
          </w:tcPr>
          <w:p w:rsidR="001A3542" w:rsidRPr="00990D3B" w:rsidP="009F5740" w14:paraId="31F2AED1" w14:textId="77777777">
            <w:pPr>
              <w:pStyle w:val="EQRTableHeaderCenter"/>
              <w:rPr>
                <w:rFonts w:eastAsia="Calibri"/>
                <w:color w:val="auto"/>
              </w:rPr>
            </w:pPr>
          </w:p>
        </w:tc>
        <w:tc>
          <w:tcPr>
            <w:tcW w:w="621" w:type="pct"/>
            <w:vAlign w:val="bottom"/>
          </w:tcPr>
          <w:p w:rsidR="001A3542" w:rsidRPr="00990D3B" w:rsidP="009F5740" w14:paraId="3BF1B560" w14:textId="05153A68">
            <w:pPr>
              <w:pStyle w:val="EQRTableHeaderCenter"/>
              <w:rPr>
                <w:rFonts w:eastAsia="Calibri"/>
                <w:color w:val="auto"/>
              </w:rPr>
            </w:pPr>
            <w:r w:rsidRPr="00990D3B">
              <w:rPr>
                <w:rFonts w:eastAsia="Calibri"/>
                <w:color w:val="auto"/>
              </w:rPr>
              <w:t>Another Medicaid MCP</w:t>
            </w:r>
            <w:r w:rsidRPr="00990D3B" w:rsidR="009F5740">
              <w:rPr>
                <w:rFonts w:eastAsia="Calibri"/>
                <w:color w:val="auto"/>
              </w:rPr>
              <w:br/>
            </w:r>
            <w:r w:rsidRPr="00990D3B">
              <w:rPr>
                <w:rFonts w:eastAsia="Calibri"/>
                <w:color w:val="auto"/>
              </w:rPr>
              <w:t>(Y/N)</w:t>
            </w:r>
          </w:p>
        </w:tc>
        <w:tc>
          <w:tcPr>
            <w:tcW w:w="526" w:type="pct"/>
            <w:vAlign w:val="bottom"/>
          </w:tcPr>
          <w:p w:rsidR="001A3542" w:rsidRPr="00990D3B" w:rsidP="009F5740" w14:paraId="0E9F18AC" w14:textId="1808B522">
            <w:pPr>
              <w:pStyle w:val="EQRTableHeaderCenter"/>
              <w:rPr>
                <w:rFonts w:eastAsia="Calibri"/>
                <w:color w:val="auto"/>
              </w:rPr>
            </w:pPr>
            <w:r w:rsidRPr="00990D3B">
              <w:rPr>
                <w:rFonts w:eastAsia="Calibri"/>
                <w:color w:val="auto"/>
              </w:rPr>
              <w:t>Medicaid FFS</w:t>
            </w:r>
            <w:r w:rsidRPr="00990D3B" w:rsidR="009F5740">
              <w:rPr>
                <w:rFonts w:eastAsia="Calibri"/>
                <w:color w:val="auto"/>
              </w:rPr>
              <w:br/>
            </w:r>
            <w:r w:rsidRPr="00990D3B">
              <w:rPr>
                <w:rFonts w:eastAsia="Calibri"/>
                <w:color w:val="auto"/>
              </w:rPr>
              <w:t>(Y/N)</w:t>
            </w:r>
          </w:p>
        </w:tc>
        <w:tc>
          <w:tcPr>
            <w:tcW w:w="478" w:type="pct"/>
            <w:vAlign w:val="bottom"/>
          </w:tcPr>
          <w:p w:rsidR="001A3542" w:rsidRPr="00990D3B" w:rsidP="009F5740" w14:paraId="05843EE3" w14:textId="6CCC2C38">
            <w:pPr>
              <w:pStyle w:val="EQRTableHeaderCenter"/>
              <w:rPr>
                <w:rFonts w:eastAsia="Calibri"/>
                <w:color w:val="auto"/>
              </w:rPr>
            </w:pPr>
            <w:r w:rsidRPr="00990D3B">
              <w:rPr>
                <w:rFonts w:eastAsia="Calibri"/>
                <w:color w:val="auto"/>
              </w:rPr>
              <w:t>MA Plan</w:t>
            </w:r>
            <w:r w:rsidRPr="00990D3B" w:rsidR="009F5740">
              <w:rPr>
                <w:rFonts w:eastAsia="Calibri"/>
                <w:color w:val="auto"/>
              </w:rPr>
              <w:br/>
            </w:r>
            <w:r w:rsidRPr="00990D3B">
              <w:rPr>
                <w:rFonts w:eastAsia="Calibri"/>
                <w:color w:val="auto"/>
              </w:rPr>
              <w:t>(Y/N)</w:t>
            </w:r>
          </w:p>
        </w:tc>
        <w:tc>
          <w:tcPr>
            <w:tcW w:w="574" w:type="pct"/>
            <w:vAlign w:val="bottom"/>
          </w:tcPr>
          <w:p w:rsidR="001A3542" w:rsidRPr="00990D3B" w:rsidP="009F5740" w14:paraId="24F380F2" w14:textId="195645F5">
            <w:pPr>
              <w:pStyle w:val="EQRTableHeaderCenter"/>
              <w:rPr>
                <w:rFonts w:eastAsia="Calibri"/>
                <w:color w:val="auto"/>
              </w:rPr>
            </w:pPr>
            <w:r w:rsidRPr="00990D3B">
              <w:rPr>
                <w:rFonts w:eastAsia="Calibri"/>
                <w:color w:val="auto"/>
              </w:rPr>
              <w:t>Medicare FFS</w:t>
            </w:r>
            <w:r w:rsidRPr="00990D3B" w:rsidR="009F5740">
              <w:rPr>
                <w:rFonts w:eastAsia="Calibri"/>
                <w:color w:val="auto"/>
              </w:rPr>
              <w:br/>
            </w:r>
            <w:r w:rsidRPr="00990D3B">
              <w:rPr>
                <w:rFonts w:eastAsia="Calibri"/>
                <w:color w:val="auto"/>
              </w:rPr>
              <w:t>(Y/N)</w:t>
            </w:r>
          </w:p>
        </w:tc>
        <w:tc>
          <w:tcPr>
            <w:tcW w:w="1323" w:type="pct"/>
            <w:vAlign w:val="bottom"/>
          </w:tcPr>
          <w:p w:rsidR="001A3542" w:rsidRPr="00990D3B" w:rsidP="009F5740" w14:paraId="2CA6906B" w14:textId="77777777">
            <w:pPr>
              <w:pStyle w:val="EQRTableHeaderCenter"/>
              <w:rPr>
                <w:rFonts w:eastAsia="Calibri"/>
                <w:color w:val="auto"/>
              </w:rPr>
            </w:pPr>
            <w:r w:rsidRPr="00990D3B">
              <w:rPr>
                <w:rFonts w:eastAsia="Calibri"/>
                <w:color w:val="auto"/>
              </w:rPr>
              <w:t>Comments</w:t>
            </w:r>
          </w:p>
        </w:tc>
      </w:tr>
      <w:tr w14:paraId="7BB81F27" w14:textId="77777777" w:rsidTr="00AB5952">
        <w:tblPrEx>
          <w:tblW w:w="5000" w:type="pct"/>
          <w:tblLayout w:type="fixed"/>
          <w:tblLook w:val="04A0"/>
        </w:tblPrEx>
        <w:trPr>
          <w:cantSplit/>
        </w:trPr>
        <w:tc>
          <w:tcPr>
            <w:tcW w:w="953" w:type="pct"/>
            <w:tcBorders>
              <w:right w:val="nil"/>
            </w:tcBorders>
          </w:tcPr>
          <w:p w:rsidR="00AB5952" w:rsidRPr="00990D3B" w:rsidP="009F5740" w14:paraId="740788A5" w14:textId="4B0EB642">
            <w:pPr>
              <w:pStyle w:val="EQRTableText"/>
            </w:pPr>
            <w:r w:rsidRPr="00990D3B">
              <w:rPr>
                <w:rFonts w:eastAsia="Calibri"/>
                <w:b/>
                <w:bCs/>
              </w:rPr>
              <w:t xml:space="preserve">Numerator </w:t>
            </w:r>
          </w:p>
        </w:tc>
        <w:tc>
          <w:tcPr>
            <w:tcW w:w="525" w:type="pct"/>
            <w:tcBorders>
              <w:left w:val="nil"/>
              <w:right w:val="nil"/>
            </w:tcBorders>
          </w:tcPr>
          <w:p w:rsidR="00AB5952" w:rsidRPr="00990D3B" w:rsidP="009F5740" w14:paraId="6012199A" w14:textId="77777777">
            <w:pPr>
              <w:pStyle w:val="EQRTableText"/>
              <w:rPr>
                <w:rFonts w:eastAsia="Calibri"/>
              </w:rPr>
            </w:pPr>
          </w:p>
        </w:tc>
        <w:tc>
          <w:tcPr>
            <w:tcW w:w="621" w:type="pct"/>
            <w:tcBorders>
              <w:left w:val="nil"/>
              <w:right w:val="nil"/>
            </w:tcBorders>
          </w:tcPr>
          <w:p w:rsidR="00AB5952" w:rsidRPr="00990D3B" w:rsidP="009F5740" w14:paraId="316D05EF" w14:textId="77777777">
            <w:pPr>
              <w:pStyle w:val="EQRTableText"/>
              <w:rPr>
                <w:rFonts w:eastAsia="Calibri"/>
              </w:rPr>
            </w:pPr>
          </w:p>
        </w:tc>
        <w:tc>
          <w:tcPr>
            <w:tcW w:w="526" w:type="pct"/>
            <w:tcBorders>
              <w:left w:val="nil"/>
              <w:right w:val="nil"/>
            </w:tcBorders>
          </w:tcPr>
          <w:p w:rsidR="00AB5952" w:rsidRPr="00990D3B" w:rsidP="009F5740" w14:paraId="3E896543" w14:textId="77777777">
            <w:pPr>
              <w:pStyle w:val="EQRTableText"/>
              <w:rPr>
                <w:rFonts w:eastAsia="Calibri"/>
              </w:rPr>
            </w:pPr>
          </w:p>
        </w:tc>
        <w:tc>
          <w:tcPr>
            <w:tcW w:w="478" w:type="pct"/>
            <w:tcBorders>
              <w:left w:val="nil"/>
              <w:right w:val="nil"/>
            </w:tcBorders>
          </w:tcPr>
          <w:p w:rsidR="00AB5952" w:rsidRPr="00990D3B" w:rsidP="009F5740" w14:paraId="37FE8119" w14:textId="77777777">
            <w:pPr>
              <w:pStyle w:val="EQRTableText"/>
              <w:rPr>
                <w:rFonts w:eastAsia="Calibri"/>
              </w:rPr>
            </w:pPr>
          </w:p>
        </w:tc>
        <w:tc>
          <w:tcPr>
            <w:tcW w:w="574" w:type="pct"/>
            <w:tcBorders>
              <w:left w:val="nil"/>
              <w:right w:val="nil"/>
            </w:tcBorders>
          </w:tcPr>
          <w:p w:rsidR="00AB5952" w:rsidRPr="00990D3B" w:rsidP="009F5740" w14:paraId="39AB7A0B" w14:textId="77777777">
            <w:pPr>
              <w:pStyle w:val="EQRTableText"/>
              <w:rPr>
                <w:rFonts w:eastAsia="Calibri"/>
              </w:rPr>
            </w:pPr>
          </w:p>
        </w:tc>
        <w:tc>
          <w:tcPr>
            <w:tcW w:w="1323" w:type="pct"/>
            <w:tcBorders>
              <w:left w:val="nil"/>
            </w:tcBorders>
          </w:tcPr>
          <w:p w:rsidR="00AB5952" w:rsidRPr="00990D3B" w:rsidP="009F5740" w14:paraId="0275C94C" w14:textId="77777777">
            <w:pPr>
              <w:pStyle w:val="EQRTableText"/>
              <w:rPr>
                <w:rFonts w:eastAsia="Calibri"/>
              </w:rPr>
            </w:pPr>
          </w:p>
        </w:tc>
      </w:tr>
      <w:tr w14:paraId="722CB023" w14:textId="77777777" w:rsidTr="009F5740">
        <w:tblPrEx>
          <w:tblW w:w="5000" w:type="pct"/>
          <w:tblLayout w:type="fixed"/>
          <w:tblLook w:val="04A0"/>
        </w:tblPrEx>
        <w:trPr>
          <w:cantSplit/>
        </w:trPr>
        <w:tc>
          <w:tcPr>
            <w:tcW w:w="953" w:type="pct"/>
          </w:tcPr>
          <w:p w:rsidR="001A3542" w:rsidRPr="00990D3B" w:rsidP="009F5740" w14:paraId="329E0096" w14:textId="77777777">
            <w:pPr>
              <w:pStyle w:val="EQRTableText"/>
            </w:pPr>
            <w:r w:rsidRPr="00990D3B">
              <w:t>Outpatient</w:t>
            </w:r>
            <w:r w:rsidRPr="00990D3B">
              <w:t xml:space="preserve"> visit with a mental health provider (including </w:t>
            </w:r>
            <w:r w:rsidRPr="00990D3B">
              <w:t>telehealth</w:t>
            </w:r>
            <w:r w:rsidRPr="00990D3B">
              <w:t xml:space="preserve"> and telephone visits)</w:t>
            </w:r>
          </w:p>
        </w:tc>
        <w:tc>
          <w:tcPr>
            <w:tcW w:w="525" w:type="pct"/>
          </w:tcPr>
          <w:p w:rsidR="001A3542" w:rsidRPr="00990D3B" w:rsidP="009F5740" w14:paraId="72893755" w14:textId="77777777">
            <w:pPr>
              <w:pStyle w:val="EQRTableText"/>
              <w:rPr>
                <w:rFonts w:eastAsia="Calibri"/>
              </w:rPr>
            </w:pPr>
            <w:r w:rsidRPr="00990D3B">
              <w:rPr>
                <w:rFonts w:eastAsia="Calibri"/>
              </w:rPr>
              <w:t>Y</w:t>
            </w:r>
          </w:p>
        </w:tc>
        <w:tc>
          <w:tcPr>
            <w:tcW w:w="621" w:type="pct"/>
          </w:tcPr>
          <w:p w:rsidR="001A3542" w:rsidRPr="00990D3B" w:rsidP="009F5740" w14:paraId="151CA49A" w14:textId="77777777">
            <w:pPr>
              <w:pStyle w:val="EQRTableText"/>
              <w:rPr>
                <w:rFonts w:eastAsia="Calibri"/>
              </w:rPr>
            </w:pPr>
          </w:p>
        </w:tc>
        <w:tc>
          <w:tcPr>
            <w:tcW w:w="526" w:type="pct"/>
          </w:tcPr>
          <w:p w:rsidR="001A3542" w:rsidRPr="00990D3B" w:rsidP="009F5740" w14:paraId="06E37101" w14:textId="77777777">
            <w:pPr>
              <w:pStyle w:val="EQRTableText"/>
              <w:rPr>
                <w:rFonts w:eastAsia="Calibri"/>
              </w:rPr>
            </w:pPr>
          </w:p>
        </w:tc>
        <w:tc>
          <w:tcPr>
            <w:tcW w:w="478" w:type="pct"/>
          </w:tcPr>
          <w:p w:rsidR="001A3542" w:rsidRPr="00990D3B" w:rsidP="009F5740" w14:paraId="5E72EAA9" w14:textId="77777777">
            <w:pPr>
              <w:pStyle w:val="EQRTableText"/>
              <w:rPr>
                <w:rFonts w:eastAsia="Calibri"/>
              </w:rPr>
            </w:pPr>
          </w:p>
        </w:tc>
        <w:tc>
          <w:tcPr>
            <w:tcW w:w="574" w:type="pct"/>
          </w:tcPr>
          <w:p w:rsidR="001A3542" w:rsidRPr="00990D3B" w:rsidP="009F5740" w14:paraId="79A1312E" w14:textId="77777777">
            <w:pPr>
              <w:pStyle w:val="EQRTableText"/>
              <w:rPr>
                <w:rFonts w:eastAsia="Calibri"/>
              </w:rPr>
            </w:pPr>
          </w:p>
        </w:tc>
        <w:tc>
          <w:tcPr>
            <w:tcW w:w="1323" w:type="pct"/>
          </w:tcPr>
          <w:p w:rsidR="001A3542" w:rsidRPr="00990D3B" w:rsidP="009F5740" w14:paraId="37E89F1B" w14:textId="77777777">
            <w:pPr>
              <w:pStyle w:val="EQRTableText"/>
              <w:rPr>
                <w:rFonts w:eastAsia="Calibri"/>
              </w:rPr>
            </w:pPr>
          </w:p>
        </w:tc>
      </w:tr>
      <w:tr w14:paraId="209908CA" w14:textId="77777777" w:rsidTr="009F5740">
        <w:tblPrEx>
          <w:tblW w:w="5000" w:type="pct"/>
          <w:tblLayout w:type="fixed"/>
          <w:tblLook w:val="04A0"/>
        </w:tblPrEx>
        <w:trPr>
          <w:cantSplit/>
        </w:trPr>
        <w:tc>
          <w:tcPr>
            <w:tcW w:w="953" w:type="pct"/>
            <w:vAlign w:val="bottom"/>
          </w:tcPr>
          <w:p w:rsidR="001A3542" w:rsidRPr="00990D3B" w:rsidP="009F5740" w14:paraId="376E2D0B" w14:textId="77777777">
            <w:pPr>
              <w:pStyle w:val="EQRTableText"/>
            </w:pPr>
            <w:r w:rsidRPr="00990D3B">
              <w:t>Intensive outpatient encounter or partial hospitalization</w:t>
            </w:r>
          </w:p>
        </w:tc>
        <w:tc>
          <w:tcPr>
            <w:tcW w:w="525" w:type="pct"/>
          </w:tcPr>
          <w:p w:rsidR="001A3542" w:rsidRPr="00990D3B" w:rsidP="009F5740" w14:paraId="18C2E26E" w14:textId="77777777">
            <w:pPr>
              <w:pStyle w:val="EQRTableText"/>
              <w:rPr>
                <w:rFonts w:eastAsia="Calibri"/>
              </w:rPr>
            </w:pPr>
            <w:r w:rsidRPr="00990D3B">
              <w:rPr>
                <w:rFonts w:eastAsia="Calibri"/>
              </w:rPr>
              <w:t>Y</w:t>
            </w:r>
          </w:p>
        </w:tc>
        <w:tc>
          <w:tcPr>
            <w:tcW w:w="621" w:type="pct"/>
            <w:vAlign w:val="bottom"/>
          </w:tcPr>
          <w:p w:rsidR="001A3542" w:rsidRPr="00990D3B" w:rsidP="009F5740" w14:paraId="07754ADD" w14:textId="77777777">
            <w:pPr>
              <w:pStyle w:val="EQRTableText"/>
              <w:rPr>
                <w:rFonts w:eastAsia="Calibri"/>
              </w:rPr>
            </w:pPr>
          </w:p>
        </w:tc>
        <w:tc>
          <w:tcPr>
            <w:tcW w:w="526" w:type="pct"/>
            <w:vAlign w:val="bottom"/>
          </w:tcPr>
          <w:p w:rsidR="001A3542" w:rsidRPr="00990D3B" w:rsidP="009F5740" w14:paraId="39C5BCE7" w14:textId="77777777">
            <w:pPr>
              <w:pStyle w:val="EQRTableText"/>
              <w:rPr>
                <w:rFonts w:eastAsia="Calibri"/>
              </w:rPr>
            </w:pPr>
          </w:p>
        </w:tc>
        <w:tc>
          <w:tcPr>
            <w:tcW w:w="478" w:type="pct"/>
            <w:vAlign w:val="bottom"/>
          </w:tcPr>
          <w:p w:rsidR="001A3542" w:rsidRPr="00990D3B" w:rsidP="009F5740" w14:paraId="71ECC1BB" w14:textId="77777777">
            <w:pPr>
              <w:pStyle w:val="EQRTableText"/>
              <w:rPr>
                <w:rFonts w:eastAsia="Calibri"/>
              </w:rPr>
            </w:pPr>
          </w:p>
        </w:tc>
        <w:tc>
          <w:tcPr>
            <w:tcW w:w="574" w:type="pct"/>
            <w:vAlign w:val="bottom"/>
          </w:tcPr>
          <w:p w:rsidR="001A3542" w:rsidRPr="00990D3B" w:rsidP="009F5740" w14:paraId="22D11EA4" w14:textId="77777777">
            <w:pPr>
              <w:pStyle w:val="EQRTableText"/>
              <w:rPr>
                <w:rFonts w:eastAsia="Calibri"/>
              </w:rPr>
            </w:pPr>
          </w:p>
        </w:tc>
        <w:tc>
          <w:tcPr>
            <w:tcW w:w="1323" w:type="pct"/>
            <w:vAlign w:val="bottom"/>
          </w:tcPr>
          <w:p w:rsidR="001A3542" w:rsidRPr="00990D3B" w:rsidP="009F5740" w14:paraId="4B914F39" w14:textId="77777777">
            <w:pPr>
              <w:pStyle w:val="EQRTableText"/>
              <w:rPr>
                <w:rFonts w:eastAsia="Calibri"/>
              </w:rPr>
            </w:pPr>
          </w:p>
        </w:tc>
      </w:tr>
      <w:tr w14:paraId="3CD0D9BC" w14:textId="77777777" w:rsidTr="009F5740">
        <w:tblPrEx>
          <w:tblW w:w="5000" w:type="pct"/>
          <w:tblLayout w:type="fixed"/>
          <w:tblLook w:val="04A0"/>
        </w:tblPrEx>
        <w:trPr>
          <w:cantSplit/>
        </w:trPr>
        <w:tc>
          <w:tcPr>
            <w:tcW w:w="953" w:type="pct"/>
            <w:vAlign w:val="bottom"/>
          </w:tcPr>
          <w:p w:rsidR="001A3542" w:rsidRPr="00990D3B" w:rsidP="009F5740" w14:paraId="29F2E103" w14:textId="77777777">
            <w:pPr>
              <w:pStyle w:val="EQRTableText"/>
            </w:pPr>
            <w:r w:rsidRPr="00990D3B">
              <w:t>Community mental health center visit</w:t>
            </w:r>
          </w:p>
        </w:tc>
        <w:tc>
          <w:tcPr>
            <w:tcW w:w="525" w:type="pct"/>
          </w:tcPr>
          <w:p w:rsidR="001A3542" w:rsidRPr="00990D3B" w:rsidP="009F5740" w14:paraId="65AEE955" w14:textId="77777777">
            <w:pPr>
              <w:pStyle w:val="EQRTableText"/>
              <w:rPr>
                <w:rFonts w:eastAsia="Calibri"/>
              </w:rPr>
            </w:pPr>
            <w:r w:rsidRPr="00990D3B">
              <w:rPr>
                <w:rFonts w:eastAsia="Calibri"/>
              </w:rPr>
              <w:t>Y</w:t>
            </w:r>
          </w:p>
        </w:tc>
        <w:tc>
          <w:tcPr>
            <w:tcW w:w="621" w:type="pct"/>
            <w:vAlign w:val="bottom"/>
          </w:tcPr>
          <w:p w:rsidR="001A3542" w:rsidRPr="00990D3B" w:rsidP="009F5740" w14:paraId="023A5965" w14:textId="77777777">
            <w:pPr>
              <w:pStyle w:val="EQRTableText"/>
              <w:rPr>
                <w:rFonts w:eastAsia="Calibri"/>
              </w:rPr>
            </w:pPr>
          </w:p>
        </w:tc>
        <w:tc>
          <w:tcPr>
            <w:tcW w:w="526" w:type="pct"/>
            <w:vAlign w:val="bottom"/>
          </w:tcPr>
          <w:p w:rsidR="001A3542" w:rsidRPr="00990D3B" w:rsidP="009F5740" w14:paraId="1384204E" w14:textId="77777777">
            <w:pPr>
              <w:pStyle w:val="EQRTableText"/>
              <w:rPr>
                <w:rFonts w:eastAsia="Calibri"/>
              </w:rPr>
            </w:pPr>
          </w:p>
        </w:tc>
        <w:tc>
          <w:tcPr>
            <w:tcW w:w="478" w:type="pct"/>
            <w:vAlign w:val="bottom"/>
          </w:tcPr>
          <w:p w:rsidR="001A3542" w:rsidRPr="00990D3B" w:rsidP="009F5740" w14:paraId="4ED8150C" w14:textId="77777777">
            <w:pPr>
              <w:pStyle w:val="EQRTableText"/>
              <w:rPr>
                <w:rFonts w:eastAsia="Calibri"/>
              </w:rPr>
            </w:pPr>
          </w:p>
        </w:tc>
        <w:tc>
          <w:tcPr>
            <w:tcW w:w="574" w:type="pct"/>
            <w:vAlign w:val="bottom"/>
          </w:tcPr>
          <w:p w:rsidR="001A3542" w:rsidRPr="00990D3B" w:rsidP="009F5740" w14:paraId="52AC4D7E" w14:textId="77777777">
            <w:pPr>
              <w:pStyle w:val="EQRTableText"/>
              <w:rPr>
                <w:rFonts w:eastAsia="Calibri"/>
              </w:rPr>
            </w:pPr>
          </w:p>
        </w:tc>
        <w:tc>
          <w:tcPr>
            <w:tcW w:w="1323" w:type="pct"/>
            <w:vAlign w:val="bottom"/>
          </w:tcPr>
          <w:p w:rsidR="001A3542" w:rsidRPr="00990D3B" w:rsidP="009F5740" w14:paraId="3725B656" w14:textId="77777777">
            <w:pPr>
              <w:pStyle w:val="EQRTableText"/>
              <w:rPr>
                <w:rFonts w:eastAsia="Calibri"/>
              </w:rPr>
            </w:pPr>
          </w:p>
        </w:tc>
      </w:tr>
      <w:tr w14:paraId="65031C45" w14:textId="77777777" w:rsidTr="009F5740">
        <w:tblPrEx>
          <w:tblW w:w="5000" w:type="pct"/>
          <w:tblLayout w:type="fixed"/>
          <w:tblLook w:val="04A0"/>
        </w:tblPrEx>
        <w:trPr>
          <w:cantSplit/>
        </w:trPr>
        <w:tc>
          <w:tcPr>
            <w:tcW w:w="953" w:type="pct"/>
            <w:vAlign w:val="bottom"/>
          </w:tcPr>
          <w:p w:rsidR="001A3542" w:rsidRPr="00990D3B" w:rsidP="009F5740" w14:paraId="333DC8A1" w14:textId="77777777">
            <w:pPr>
              <w:pStyle w:val="EQRTableText"/>
            </w:pPr>
            <w:r w:rsidRPr="00990D3B">
              <w:t>Electroconvulsive Therapy (ECT)</w:t>
            </w:r>
          </w:p>
        </w:tc>
        <w:tc>
          <w:tcPr>
            <w:tcW w:w="525" w:type="pct"/>
          </w:tcPr>
          <w:p w:rsidR="001A3542" w:rsidRPr="00990D3B" w:rsidP="009F5740" w14:paraId="64469F54" w14:textId="77777777">
            <w:pPr>
              <w:pStyle w:val="EQRTableText"/>
              <w:rPr>
                <w:rFonts w:eastAsia="Calibri"/>
              </w:rPr>
            </w:pPr>
            <w:r w:rsidRPr="00990D3B">
              <w:rPr>
                <w:rFonts w:eastAsia="Calibri"/>
              </w:rPr>
              <w:t>Y</w:t>
            </w:r>
          </w:p>
        </w:tc>
        <w:tc>
          <w:tcPr>
            <w:tcW w:w="621" w:type="pct"/>
            <w:vAlign w:val="bottom"/>
          </w:tcPr>
          <w:p w:rsidR="001A3542" w:rsidRPr="00990D3B" w:rsidP="009F5740" w14:paraId="045B475D" w14:textId="77777777">
            <w:pPr>
              <w:pStyle w:val="EQRTableText"/>
              <w:rPr>
                <w:rFonts w:eastAsia="Calibri"/>
              </w:rPr>
            </w:pPr>
          </w:p>
        </w:tc>
        <w:tc>
          <w:tcPr>
            <w:tcW w:w="526" w:type="pct"/>
            <w:vAlign w:val="bottom"/>
          </w:tcPr>
          <w:p w:rsidR="001A3542" w:rsidRPr="00990D3B" w:rsidP="009F5740" w14:paraId="3CCD7933" w14:textId="77777777">
            <w:pPr>
              <w:pStyle w:val="EQRTableText"/>
              <w:rPr>
                <w:rFonts w:eastAsia="Calibri"/>
              </w:rPr>
            </w:pPr>
          </w:p>
        </w:tc>
        <w:tc>
          <w:tcPr>
            <w:tcW w:w="478" w:type="pct"/>
            <w:vAlign w:val="bottom"/>
          </w:tcPr>
          <w:p w:rsidR="001A3542" w:rsidRPr="00990D3B" w:rsidP="009F5740" w14:paraId="31AF7F22" w14:textId="77777777">
            <w:pPr>
              <w:pStyle w:val="EQRTableText"/>
              <w:rPr>
                <w:rFonts w:eastAsia="Calibri"/>
              </w:rPr>
            </w:pPr>
          </w:p>
        </w:tc>
        <w:tc>
          <w:tcPr>
            <w:tcW w:w="574" w:type="pct"/>
            <w:vAlign w:val="bottom"/>
          </w:tcPr>
          <w:p w:rsidR="001A3542" w:rsidRPr="00990D3B" w:rsidP="009F5740" w14:paraId="34ACFA84" w14:textId="77777777">
            <w:pPr>
              <w:pStyle w:val="EQRTableText"/>
              <w:rPr>
                <w:rFonts w:eastAsia="Calibri"/>
              </w:rPr>
            </w:pPr>
          </w:p>
        </w:tc>
        <w:tc>
          <w:tcPr>
            <w:tcW w:w="1323" w:type="pct"/>
            <w:vAlign w:val="bottom"/>
          </w:tcPr>
          <w:p w:rsidR="001A3542" w:rsidRPr="00990D3B" w:rsidP="009F5740" w14:paraId="6B137883" w14:textId="77777777">
            <w:pPr>
              <w:pStyle w:val="EQRTableText"/>
              <w:rPr>
                <w:rFonts w:eastAsia="Calibri"/>
              </w:rPr>
            </w:pPr>
          </w:p>
        </w:tc>
      </w:tr>
      <w:tr w14:paraId="267E65AC" w14:textId="77777777" w:rsidTr="009F5740">
        <w:tblPrEx>
          <w:tblW w:w="5000" w:type="pct"/>
          <w:tblLayout w:type="fixed"/>
          <w:tblLook w:val="04A0"/>
        </w:tblPrEx>
        <w:trPr>
          <w:cantSplit/>
        </w:trPr>
        <w:tc>
          <w:tcPr>
            <w:tcW w:w="953" w:type="pct"/>
            <w:vAlign w:val="bottom"/>
          </w:tcPr>
          <w:p w:rsidR="001A3542" w:rsidRPr="00990D3B" w:rsidP="009F5740" w14:paraId="43606573" w14:textId="77777777">
            <w:pPr>
              <w:pStyle w:val="EQRTableText"/>
            </w:pPr>
            <w:r w:rsidRPr="00990D3B">
              <w:t>Transitional care management services</w:t>
            </w:r>
          </w:p>
        </w:tc>
        <w:tc>
          <w:tcPr>
            <w:tcW w:w="525" w:type="pct"/>
          </w:tcPr>
          <w:p w:rsidR="001A3542" w:rsidRPr="00990D3B" w:rsidP="009F5740" w14:paraId="6420B335" w14:textId="77777777">
            <w:pPr>
              <w:pStyle w:val="EQRTableText"/>
              <w:rPr>
                <w:rFonts w:eastAsia="Calibri"/>
              </w:rPr>
            </w:pPr>
            <w:r w:rsidRPr="00990D3B">
              <w:rPr>
                <w:rFonts w:eastAsia="Calibri"/>
              </w:rPr>
              <w:t>Y</w:t>
            </w:r>
          </w:p>
        </w:tc>
        <w:tc>
          <w:tcPr>
            <w:tcW w:w="621" w:type="pct"/>
            <w:vAlign w:val="bottom"/>
          </w:tcPr>
          <w:p w:rsidR="001A3542" w:rsidRPr="00990D3B" w:rsidP="009F5740" w14:paraId="5587EE91" w14:textId="77777777">
            <w:pPr>
              <w:pStyle w:val="EQRTableText"/>
              <w:rPr>
                <w:rFonts w:eastAsia="Calibri"/>
              </w:rPr>
            </w:pPr>
          </w:p>
        </w:tc>
        <w:tc>
          <w:tcPr>
            <w:tcW w:w="526" w:type="pct"/>
            <w:vAlign w:val="bottom"/>
          </w:tcPr>
          <w:p w:rsidR="001A3542" w:rsidRPr="00990D3B" w:rsidP="009F5740" w14:paraId="5AD8033F" w14:textId="77777777">
            <w:pPr>
              <w:pStyle w:val="EQRTableText"/>
              <w:rPr>
                <w:rFonts w:eastAsia="Calibri"/>
              </w:rPr>
            </w:pPr>
          </w:p>
        </w:tc>
        <w:tc>
          <w:tcPr>
            <w:tcW w:w="478" w:type="pct"/>
            <w:vAlign w:val="bottom"/>
          </w:tcPr>
          <w:p w:rsidR="001A3542" w:rsidRPr="00990D3B" w:rsidP="009F5740" w14:paraId="2C01682C" w14:textId="77777777">
            <w:pPr>
              <w:pStyle w:val="EQRTableText"/>
              <w:rPr>
                <w:rFonts w:eastAsia="Calibri"/>
              </w:rPr>
            </w:pPr>
          </w:p>
        </w:tc>
        <w:tc>
          <w:tcPr>
            <w:tcW w:w="574" w:type="pct"/>
            <w:vAlign w:val="bottom"/>
          </w:tcPr>
          <w:p w:rsidR="001A3542" w:rsidRPr="00990D3B" w:rsidP="009F5740" w14:paraId="4D06231F" w14:textId="77777777">
            <w:pPr>
              <w:pStyle w:val="EQRTableText"/>
              <w:rPr>
                <w:rFonts w:eastAsia="Calibri"/>
              </w:rPr>
            </w:pPr>
          </w:p>
        </w:tc>
        <w:tc>
          <w:tcPr>
            <w:tcW w:w="1323" w:type="pct"/>
            <w:vAlign w:val="bottom"/>
          </w:tcPr>
          <w:p w:rsidR="001A3542" w:rsidRPr="00990D3B" w:rsidP="009F5740" w14:paraId="7F7E2C82" w14:textId="77777777">
            <w:pPr>
              <w:pStyle w:val="EQRTableText"/>
              <w:rPr>
                <w:rFonts w:eastAsia="Calibri"/>
              </w:rPr>
            </w:pPr>
          </w:p>
        </w:tc>
      </w:tr>
      <w:tr w14:paraId="37B557DD" w14:textId="77777777" w:rsidTr="009F5740">
        <w:tblPrEx>
          <w:tblW w:w="5000" w:type="pct"/>
          <w:tblLayout w:type="fixed"/>
          <w:tblLook w:val="04A0"/>
        </w:tblPrEx>
        <w:trPr>
          <w:cantSplit/>
        </w:trPr>
        <w:tc>
          <w:tcPr>
            <w:tcW w:w="953" w:type="pct"/>
            <w:vAlign w:val="bottom"/>
          </w:tcPr>
          <w:p w:rsidR="001A3542" w:rsidRPr="00990D3B" w:rsidP="009F5740" w14:paraId="5A0F476E" w14:textId="77777777">
            <w:pPr>
              <w:pStyle w:val="EQRTableText"/>
            </w:pPr>
            <w:r w:rsidRPr="00990D3B">
              <w:t>Psychiatric collaborative care management</w:t>
            </w:r>
          </w:p>
        </w:tc>
        <w:tc>
          <w:tcPr>
            <w:tcW w:w="525" w:type="pct"/>
          </w:tcPr>
          <w:p w:rsidR="001A3542" w:rsidRPr="00990D3B" w:rsidP="009F5740" w14:paraId="17343FE6" w14:textId="77777777">
            <w:pPr>
              <w:pStyle w:val="EQRTableText"/>
              <w:rPr>
                <w:rFonts w:eastAsia="Calibri"/>
              </w:rPr>
            </w:pPr>
            <w:r w:rsidRPr="00990D3B">
              <w:rPr>
                <w:rFonts w:eastAsia="Calibri"/>
              </w:rPr>
              <w:t>Y</w:t>
            </w:r>
          </w:p>
        </w:tc>
        <w:tc>
          <w:tcPr>
            <w:tcW w:w="621" w:type="pct"/>
            <w:vAlign w:val="bottom"/>
          </w:tcPr>
          <w:p w:rsidR="001A3542" w:rsidRPr="00990D3B" w:rsidP="009F5740" w14:paraId="4A841479" w14:textId="77777777">
            <w:pPr>
              <w:pStyle w:val="EQRTableText"/>
              <w:rPr>
                <w:rFonts w:eastAsia="Calibri"/>
              </w:rPr>
            </w:pPr>
          </w:p>
        </w:tc>
        <w:tc>
          <w:tcPr>
            <w:tcW w:w="526" w:type="pct"/>
            <w:vAlign w:val="bottom"/>
          </w:tcPr>
          <w:p w:rsidR="001A3542" w:rsidRPr="00990D3B" w:rsidP="009F5740" w14:paraId="48124F75" w14:textId="77777777">
            <w:pPr>
              <w:pStyle w:val="EQRTableText"/>
              <w:rPr>
                <w:rFonts w:eastAsia="Calibri"/>
              </w:rPr>
            </w:pPr>
          </w:p>
        </w:tc>
        <w:tc>
          <w:tcPr>
            <w:tcW w:w="478" w:type="pct"/>
            <w:vAlign w:val="bottom"/>
          </w:tcPr>
          <w:p w:rsidR="001A3542" w:rsidRPr="00990D3B" w:rsidP="009F5740" w14:paraId="017F0BC2" w14:textId="77777777">
            <w:pPr>
              <w:pStyle w:val="EQRTableText"/>
              <w:rPr>
                <w:rFonts w:eastAsia="Calibri"/>
              </w:rPr>
            </w:pPr>
          </w:p>
        </w:tc>
        <w:tc>
          <w:tcPr>
            <w:tcW w:w="574" w:type="pct"/>
            <w:vAlign w:val="bottom"/>
          </w:tcPr>
          <w:p w:rsidR="001A3542" w:rsidRPr="00990D3B" w:rsidP="009F5740" w14:paraId="01F2B333" w14:textId="77777777">
            <w:pPr>
              <w:pStyle w:val="EQRTableText"/>
              <w:rPr>
                <w:rFonts w:eastAsia="Calibri"/>
              </w:rPr>
            </w:pPr>
          </w:p>
        </w:tc>
        <w:tc>
          <w:tcPr>
            <w:tcW w:w="1323" w:type="pct"/>
            <w:vAlign w:val="bottom"/>
          </w:tcPr>
          <w:p w:rsidR="001A3542" w:rsidRPr="00990D3B" w:rsidP="009F5740" w14:paraId="56D154F6" w14:textId="77777777">
            <w:pPr>
              <w:pStyle w:val="EQRTableText"/>
              <w:rPr>
                <w:rFonts w:eastAsia="Calibri"/>
              </w:rPr>
            </w:pPr>
          </w:p>
        </w:tc>
      </w:tr>
      <w:tr w14:paraId="2D3BD9B3" w14:textId="77777777" w:rsidTr="009F5740">
        <w:tblPrEx>
          <w:tblW w:w="5000" w:type="pct"/>
          <w:tblLayout w:type="fixed"/>
          <w:tblLook w:val="04A0"/>
        </w:tblPrEx>
        <w:trPr>
          <w:cantSplit/>
        </w:trPr>
        <w:tc>
          <w:tcPr>
            <w:tcW w:w="953" w:type="pct"/>
            <w:vAlign w:val="bottom"/>
          </w:tcPr>
          <w:p w:rsidR="001A3542" w:rsidRPr="00990D3B" w:rsidP="009F5740" w14:paraId="42F8997E" w14:textId="77777777">
            <w:pPr>
              <w:pStyle w:val="EQRTableText"/>
            </w:pPr>
            <w:r w:rsidRPr="00990D3B">
              <w:t>Care in a behavioral health care setting</w:t>
            </w:r>
          </w:p>
        </w:tc>
        <w:tc>
          <w:tcPr>
            <w:tcW w:w="525" w:type="pct"/>
          </w:tcPr>
          <w:p w:rsidR="001A3542" w:rsidRPr="00990D3B" w:rsidP="009F5740" w14:paraId="5625594E" w14:textId="77777777">
            <w:pPr>
              <w:pStyle w:val="EQRTableText"/>
              <w:rPr>
                <w:rFonts w:eastAsia="Calibri"/>
              </w:rPr>
            </w:pPr>
            <w:r w:rsidRPr="00990D3B">
              <w:rPr>
                <w:rFonts w:eastAsia="Calibri"/>
              </w:rPr>
              <w:t>Y</w:t>
            </w:r>
          </w:p>
        </w:tc>
        <w:tc>
          <w:tcPr>
            <w:tcW w:w="621" w:type="pct"/>
            <w:vAlign w:val="bottom"/>
          </w:tcPr>
          <w:p w:rsidR="001A3542" w:rsidRPr="00990D3B" w:rsidP="009F5740" w14:paraId="71DFD9B4" w14:textId="77777777">
            <w:pPr>
              <w:pStyle w:val="EQRTableText"/>
              <w:rPr>
                <w:rFonts w:eastAsia="Calibri"/>
              </w:rPr>
            </w:pPr>
          </w:p>
        </w:tc>
        <w:tc>
          <w:tcPr>
            <w:tcW w:w="526" w:type="pct"/>
            <w:vAlign w:val="bottom"/>
          </w:tcPr>
          <w:p w:rsidR="001A3542" w:rsidRPr="00990D3B" w:rsidP="009F5740" w14:paraId="33AFBC76" w14:textId="77777777">
            <w:pPr>
              <w:pStyle w:val="EQRTableText"/>
              <w:rPr>
                <w:rFonts w:eastAsia="Calibri"/>
              </w:rPr>
            </w:pPr>
          </w:p>
        </w:tc>
        <w:tc>
          <w:tcPr>
            <w:tcW w:w="478" w:type="pct"/>
            <w:vAlign w:val="bottom"/>
          </w:tcPr>
          <w:p w:rsidR="001A3542" w:rsidRPr="00990D3B" w:rsidP="009F5740" w14:paraId="77DDCE42" w14:textId="77777777">
            <w:pPr>
              <w:pStyle w:val="EQRTableText"/>
              <w:rPr>
                <w:rFonts w:eastAsia="Calibri"/>
              </w:rPr>
            </w:pPr>
          </w:p>
        </w:tc>
        <w:tc>
          <w:tcPr>
            <w:tcW w:w="574" w:type="pct"/>
            <w:vAlign w:val="bottom"/>
          </w:tcPr>
          <w:p w:rsidR="001A3542" w:rsidRPr="00990D3B" w:rsidP="009F5740" w14:paraId="133EC08D" w14:textId="77777777">
            <w:pPr>
              <w:pStyle w:val="EQRTableText"/>
              <w:rPr>
                <w:rFonts w:eastAsia="Calibri"/>
              </w:rPr>
            </w:pPr>
          </w:p>
        </w:tc>
        <w:tc>
          <w:tcPr>
            <w:tcW w:w="1323" w:type="pct"/>
            <w:vAlign w:val="bottom"/>
          </w:tcPr>
          <w:p w:rsidR="001A3542" w:rsidRPr="00990D3B" w:rsidP="009F5740" w14:paraId="696D9D63" w14:textId="77777777">
            <w:pPr>
              <w:pStyle w:val="EQRTableText"/>
              <w:rPr>
                <w:rFonts w:eastAsia="Calibri"/>
              </w:rPr>
            </w:pPr>
          </w:p>
        </w:tc>
      </w:tr>
      <w:tr w14:paraId="13F02955" w14:textId="77777777" w:rsidTr="000E6BE1">
        <w:tblPrEx>
          <w:tblW w:w="5000" w:type="pct"/>
          <w:tblLayout w:type="fixed"/>
          <w:tblLook w:val="04A0"/>
        </w:tblPrEx>
        <w:trPr>
          <w:cantSplit/>
        </w:trPr>
        <w:tc>
          <w:tcPr>
            <w:tcW w:w="953" w:type="pct"/>
            <w:tcBorders>
              <w:right w:val="nil"/>
            </w:tcBorders>
            <w:vAlign w:val="bottom"/>
          </w:tcPr>
          <w:p w:rsidR="00AB5952" w:rsidRPr="00990D3B" w:rsidP="00AB5952" w14:paraId="02F03B65" w14:textId="58615DE0">
            <w:pPr>
              <w:pStyle w:val="EQRTableText"/>
              <w:rPr>
                <w:rFonts w:eastAsia="Calibri"/>
              </w:rPr>
            </w:pPr>
            <w:r w:rsidRPr="00990D3B">
              <w:rPr>
                <w:rFonts w:eastAsia="Calibri"/>
                <w:b/>
                <w:bCs/>
              </w:rPr>
              <w:t xml:space="preserve">Denominator </w:t>
            </w:r>
          </w:p>
        </w:tc>
        <w:tc>
          <w:tcPr>
            <w:tcW w:w="525" w:type="pct"/>
            <w:tcBorders>
              <w:left w:val="nil"/>
              <w:right w:val="nil"/>
            </w:tcBorders>
          </w:tcPr>
          <w:p w:rsidR="00AB5952" w:rsidRPr="00990D3B" w:rsidP="00AB5952" w14:paraId="55233A4D" w14:textId="77777777">
            <w:pPr>
              <w:pStyle w:val="EQRTableText"/>
              <w:rPr>
                <w:rFonts w:eastAsia="Calibri"/>
              </w:rPr>
            </w:pPr>
          </w:p>
        </w:tc>
        <w:tc>
          <w:tcPr>
            <w:tcW w:w="621" w:type="pct"/>
            <w:tcBorders>
              <w:left w:val="nil"/>
              <w:right w:val="nil"/>
            </w:tcBorders>
          </w:tcPr>
          <w:p w:rsidR="00AB5952" w:rsidRPr="00990D3B" w:rsidP="00AB5952" w14:paraId="4380870C" w14:textId="77777777">
            <w:pPr>
              <w:pStyle w:val="EQRTableText"/>
              <w:rPr>
                <w:rFonts w:eastAsia="Calibri"/>
              </w:rPr>
            </w:pPr>
          </w:p>
        </w:tc>
        <w:tc>
          <w:tcPr>
            <w:tcW w:w="526" w:type="pct"/>
            <w:tcBorders>
              <w:left w:val="nil"/>
              <w:right w:val="nil"/>
            </w:tcBorders>
          </w:tcPr>
          <w:p w:rsidR="00AB5952" w:rsidRPr="00990D3B" w:rsidP="00AB5952" w14:paraId="34C9B77E" w14:textId="77777777">
            <w:pPr>
              <w:pStyle w:val="EQRTableText"/>
              <w:rPr>
                <w:rFonts w:eastAsia="Calibri"/>
              </w:rPr>
            </w:pPr>
          </w:p>
        </w:tc>
        <w:tc>
          <w:tcPr>
            <w:tcW w:w="478" w:type="pct"/>
            <w:tcBorders>
              <w:left w:val="nil"/>
              <w:right w:val="nil"/>
            </w:tcBorders>
          </w:tcPr>
          <w:p w:rsidR="00AB5952" w:rsidRPr="00990D3B" w:rsidP="00AB5952" w14:paraId="39913856" w14:textId="77777777">
            <w:pPr>
              <w:pStyle w:val="EQRTableText"/>
              <w:rPr>
                <w:rFonts w:eastAsia="Calibri"/>
              </w:rPr>
            </w:pPr>
          </w:p>
        </w:tc>
        <w:tc>
          <w:tcPr>
            <w:tcW w:w="574" w:type="pct"/>
            <w:tcBorders>
              <w:left w:val="nil"/>
              <w:right w:val="nil"/>
            </w:tcBorders>
          </w:tcPr>
          <w:p w:rsidR="00AB5952" w:rsidRPr="00990D3B" w:rsidP="00AB5952" w14:paraId="132B13BC" w14:textId="77777777">
            <w:pPr>
              <w:pStyle w:val="EQRTableText"/>
              <w:rPr>
                <w:rFonts w:eastAsia="Calibri"/>
              </w:rPr>
            </w:pPr>
          </w:p>
        </w:tc>
        <w:tc>
          <w:tcPr>
            <w:tcW w:w="1323" w:type="pct"/>
            <w:tcBorders>
              <w:left w:val="nil"/>
            </w:tcBorders>
          </w:tcPr>
          <w:p w:rsidR="00AB5952" w:rsidRPr="00990D3B" w:rsidP="00AB5952" w14:paraId="76A0DAA0" w14:textId="77777777">
            <w:pPr>
              <w:pStyle w:val="EQRTableText"/>
              <w:rPr>
                <w:rFonts w:eastAsia="Calibri"/>
              </w:rPr>
            </w:pPr>
          </w:p>
        </w:tc>
      </w:tr>
      <w:tr w14:paraId="3DE24977" w14:textId="77777777" w:rsidTr="009F5740">
        <w:tblPrEx>
          <w:tblW w:w="5000" w:type="pct"/>
          <w:tblLayout w:type="fixed"/>
          <w:tblLook w:val="04A0"/>
        </w:tblPrEx>
        <w:trPr>
          <w:cantSplit/>
        </w:trPr>
        <w:tc>
          <w:tcPr>
            <w:tcW w:w="953" w:type="pct"/>
          </w:tcPr>
          <w:p w:rsidR="00AB5952" w:rsidRPr="00990D3B" w:rsidP="00AB5952" w14:paraId="026050A4" w14:textId="77777777">
            <w:pPr>
              <w:pStyle w:val="EQRTableText"/>
              <w:rPr>
                <w:rFonts w:eastAsia="Calibri"/>
              </w:rPr>
            </w:pPr>
            <w:r w:rsidRPr="00990D3B">
              <w:rPr>
                <w:rFonts w:eastAsia="Calibri"/>
              </w:rPr>
              <w:t>Acute inpatient discharge</w:t>
            </w:r>
          </w:p>
        </w:tc>
        <w:tc>
          <w:tcPr>
            <w:tcW w:w="525" w:type="pct"/>
          </w:tcPr>
          <w:p w:rsidR="00AB5952" w:rsidRPr="00990D3B" w:rsidP="00AB5952" w14:paraId="440263F1" w14:textId="77777777">
            <w:pPr>
              <w:pStyle w:val="EQRTableText"/>
              <w:rPr>
                <w:rFonts w:eastAsia="Calibri"/>
              </w:rPr>
            </w:pPr>
          </w:p>
        </w:tc>
        <w:tc>
          <w:tcPr>
            <w:tcW w:w="621" w:type="pct"/>
          </w:tcPr>
          <w:p w:rsidR="00AB5952" w:rsidRPr="00990D3B" w:rsidP="00AB5952" w14:paraId="2AC0EF85" w14:textId="77777777">
            <w:pPr>
              <w:pStyle w:val="EQRTableText"/>
              <w:rPr>
                <w:rFonts w:eastAsia="Calibri"/>
              </w:rPr>
            </w:pPr>
            <w:r w:rsidRPr="00990D3B">
              <w:rPr>
                <w:rFonts w:eastAsia="Calibri"/>
              </w:rPr>
              <w:t>Y</w:t>
            </w:r>
          </w:p>
        </w:tc>
        <w:tc>
          <w:tcPr>
            <w:tcW w:w="526" w:type="pct"/>
          </w:tcPr>
          <w:p w:rsidR="00AB5952" w:rsidRPr="00990D3B" w:rsidP="00AB5952" w14:paraId="46B17910" w14:textId="77777777">
            <w:pPr>
              <w:pStyle w:val="EQRTableText"/>
              <w:rPr>
                <w:rFonts w:eastAsia="Calibri"/>
              </w:rPr>
            </w:pPr>
          </w:p>
        </w:tc>
        <w:tc>
          <w:tcPr>
            <w:tcW w:w="478" w:type="pct"/>
          </w:tcPr>
          <w:p w:rsidR="00AB5952" w:rsidRPr="00990D3B" w:rsidP="00AB5952" w14:paraId="217E3A0C" w14:textId="77777777">
            <w:pPr>
              <w:pStyle w:val="EQRTableText"/>
              <w:rPr>
                <w:rFonts w:eastAsia="Calibri"/>
              </w:rPr>
            </w:pPr>
          </w:p>
        </w:tc>
        <w:tc>
          <w:tcPr>
            <w:tcW w:w="574" w:type="pct"/>
          </w:tcPr>
          <w:p w:rsidR="00AB5952" w:rsidRPr="00990D3B" w:rsidP="00AB5952" w14:paraId="0285B308" w14:textId="77777777">
            <w:pPr>
              <w:pStyle w:val="EQRTableText"/>
              <w:rPr>
                <w:rFonts w:eastAsia="Calibri"/>
              </w:rPr>
            </w:pPr>
          </w:p>
        </w:tc>
        <w:tc>
          <w:tcPr>
            <w:tcW w:w="1323" w:type="pct"/>
          </w:tcPr>
          <w:p w:rsidR="00AB5952" w:rsidRPr="00990D3B" w:rsidP="00AB5952" w14:paraId="5E31F71F" w14:textId="77777777">
            <w:pPr>
              <w:pStyle w:val="EQRTableText"/>
              <w:rPr>
                <w:rFonts w:eastAsia="Calibri"/>
              </w:rPr>
            </w:pPr>
            <w:r w:rsidRPr="00990D3B">
              <w:rPr>
                <w:rFonts w:eastAsia="Calibri"/>
              </w:rPr>
              <w:t xml:space="preserve">Requires inpatient discharge data from MCPs participating in the state’s </w:t>
            </w:r>
            <w:r w:rsidRPr="00990D3B">
              <w:rPr>
                <w:rFonts w:eastAsia="Calibri"/>
              </w:rPr>
              <w:t>Medical</w:t>
            </w:r>
            <w:r w:rsidRPr="00990D3B">
              <w:rPr>
                <w:rFonts w:eastAsia="Calibri"/>
              </w:rPr>
              <w:t xml:space="preserve"> program – Blue Bird or Red Bird </w:t>
            </w:r>
          </w:p>
        </w:tc>
      </w:tr>
      <w:tr w14:paraId="1991A2BA" w14:textId="77777777" w:rsidTr="009F5740">
        <w:tblPrEx>
          <w:tblW w:w="5000" w:type="pct"/>
          <w:tblLayout w:type="fixed"/>
          <w:tblLook w:val="04A0"/>
        </w:tblPrEx>
        <w:trPr>
          <w:cantSplit/>
        </w:trPr>
        <w:tc>
          <w:tcPr>
            <w:tcW w:w="953" w:type="pct"/>
          </w:tcPr>
          <w:p w:rsidR="00AB5952" w:rsidRPr="00990D3B" w:rsidP="00AB5952" w14:paraId="2D29259C" w14:textId="77777777">
            <w:pPr>
              <w:pStyle w:val="EQRTableText"/>
              <w:rPr>
                <w:rFonts w:eastAsia="Calibri"/>
              </w:rPr>
            </w:pPr>
            <w:r w:rsidRPr="00990D3B">
              <w:rPr>
                <w:rFonts w:eastAsia="Calibri"/>
              </w:rPr>
              <w:t>Acute readmission or direct transfer</w:t>
            </w:r>
          </w:p>
        </w:tc>
        <w:tc>
          <w:tcPr>
            <w:tcW w:w="525" w:type="pct"/>
          </w:tcPr>
          <w:p w:rsidR="00AB5952" w:rsidRPr="00990D3B" w:rsidP="00AB5952" w14:paraId="1E94A12C" w14:textId="77777777">
            <w:pPr>
              <w:pStyle w:val="EQRTableText"/>
              <w:rPr>
                <w:rFonts w:eastAsia="Calibri"/>
              </w:rPr>
            </w:pPr>
          </w:p>
        </w:tc>
        <w:tc>
          <w:tcPr>
            <w:tcW w:w="621" w:type="pct"/>
          </w:tcPr>
          <w:p w:rsidR="00AB5952" w:rsidRPr="00990D3B" w:rsidP="00AB5952" w14:paraId="46F7E41C" w14:textId="77777777">
            <w:pPr>
              <w:pStyle w:val="EQRTableText"/>
              <w:rPr>
                <w:rFonts w:eastAsia="Calibri"/>
              </w:rPr>
            </w:pPr>
            <w:r w:rsidRPr="00990D3B">
              <w:rPr>
                <w:rFonts w:eastAsia="Calibri"/>
              </w:rPr>
              <w:t>Y</w:t>
            </w:r>
          </w:p>
        </w:tc>
        <w:tc>
          <w:tcPr>
            <w:tcW w:w="526" w:type="pct"/>
          </w:tcPr>
          <w:p w:rsidR="00AB5952" w:rsidRPr="00990D3B" w:rsidP="00AB5952" w14:paraId="2EF6D8D2" w14:textId="77777777">
            <w:pPr>
              <w:pStyle w:val="EQRTableText"/>
              <w:rPr>
                <w:rFonts w:eastAsia="Calibri"/>
              </w:rPr>
            </w:pPr>
          </w:p>
        </w:tc>
        <w:tc>
          <w:tcPr>
            <w:tcW w:w="478" w:type="pct"/>
          </w:tcPr>
          <w:p w:rsidR="00AB5952" w:rsidRPr="00990D3B" w:rsidP="00AB5952" w14:paraId="4EE8B12D" w14:textId="77777777">
            <w:pPr>
              <w:pStyle w:val="EQRTableText"/>
              <w:rPr>
                <w:rFonts w:eastAsia="Calibri"/>
              </w:rPr>
            </w:pPr>
          </w:p>
        </w:tc>
        <w:tc>
          <w:tcPr>
            <w:tcW w:w="574" w:type="pct"/>
          </w:tcPr>
          <w:p w:rsidR="00AB5952" w:rsidRPr="00990D3B" w:rsidP="00AB5952" w14:paraId="4FE1F0BA" w14:textId="77777777">
            <w:pPr>
              <w:pStyle w:val="EQRTableText"/>
              <w:rPr>
                <w:rFonts w:eastAsia="Calibri"/>
              </w:rPr>
            </w:pPr>
          </w:p>
        </w:tc>
        <w:tc>
          <w:tcPr>
            <w:tcW w:w="1323" w:type="pct"/>
          </w:tcPr>
          <w:p w:rsidR="00AB5952" w:rsidRPr="00990D3B" w:rsidP="00AB5952" w14:paraId="29DCE032" w14:textId="77777777">
            <w:pPr>
              <w:pStyle w:val="EQRTableText"/>
              <w:rPr>
                <w:rFonts w:eastAsia="Calibri"/>
              </w:rPr>
            </w:pPr>
            <w:r w:rsidRPr="00990D3B">
              <w:rPr>
                <w:rFonts w:eastAsia="Calibri"/>
              </w:rPr>
              <w:t>See above</w:t>
            </w:r>
          </w:p>
        </w:tc>
      </w:tr>
      <w:tr w14:paraId="7FBD841E" w14:textId="77777777" w:rsidTr="009F5740">
        <w:tblPrEx>
          <w:tblW w:w="5000" w:type="pct"/>
          <w:tblLayout w:type="fixed"/>
          <w:tblLook w:val="04A0"/>
        </w:tblPrEx>
        <w:trPr>
          <w:cantSplit/>
        </w:trPr>
        <w:tc>
          <w:tcPr>
            <w:tcW w:w="953" w:type="pct"/>
          </w:tcPr>
          <w:p w:rsidR="00AB5952" w:rsidRPr="00990D3B" w:rsidP="00AB5952" w14:paraId="031C74C5" w14:textId="77777777">
            <w:pPr>
              <w:pStyle w:val="EQRTableText"/>
              <w:rPr>
                <w:rFonts w:eastAsia="Calibri"/>
              </w:rPr>
            </w:pPr>
            <w:r w:rsidRPr="00990D3B">
              <w:rPr>
                <w:rFonts w:eastAsia="Calibri"/>
              </w:rPr>
              <w:t>Nonacute readmission or direct transfer</w:t>
            </w:r>
          </w:p>
        </w:tc>
        <w:tc>
          <w:tcPr>
            <w:tcW w:w="525" w:type="pct"/>
          </w:tcPr>
          <w:p w:rsidR="00AB5952" w:rsidRPr="00990D3B" w:rsidP="00AB5952" w14:paraId="75B849B5" w14:textId="77777777">
            <w:pPr>
              <w:pStyle w:val="EQRTableText"/>
              <w:rPr>
                <w:rFonts w:eastAsia="Calibri"/>
              </w:rPr>
            </w:pPr>
          </w:p>
        </w:tc>
        <w:tc>
          <w:tcPr>
            <w:tcW w:w="621" w:type="pct"/>
          </w:tcPr>
          <w:p w:rsidR="00AB5952" w:rsidRPr="00990D3B" w:rsidP="00AB5952" w14:paraId="39F0A209" w14:textId="77777777">
            <w:pPr>
              <w:pStyle w:val="EQRTableText"/>
              <w:rPr>
                <w:rFonts w:eastAsia="Calibri"/>
              </w:rPr>
            </w:pPr>
            <w:r w:rsidRPr="00990D3B">
              <w:rPr>
                <w:rFonts w:eastAsia="Calibri"/>
              </w:rPr>
              <w:t>Y</w:t>
            </w:r>
          </w:p>
        </w:tc>
        <w:tc>
          <w:tcPr>
            <w:tcW w:w="526" w:type="pct"/>
          </w:tcPr>
          <w:p w:rsidR="00AB5952" w:rsidRPr="00990D3B" w:rsidP="00AB5952" w14:paraId="5F8518CC" w14:textId="77777777">
            <w:pPr>
              <w:pStyle w:val="EQRTableText"/>
              <w:rPr>
                <w:rFonts w:eastAsia="Calibri"/>
              </w:rPr>
            </w:pPr>
          </w:p>
        </w:tc>
        <w:tc>
          <w:tcPr>
            <w:tcW w:w="478" w:type="pct"/>
          </w:tcPr>
          <w:p w:rsidR="00AB5952" w:rsidRPr="00990D3B" w:rsidP="00AB5952" w14:paraId="101528AC" w14:textId="77777777">
            <w:pPr>
              <w:pStyle w:val="EQRTableText"/>
              <w:rPr>
                <w:rFonts w:eastAsia="Calibri"/>
              </w:rPr>
            </w:pPr>
          </w:p>
        </w:tc>
        <w:tc>
          <w:tcPr>
            <w:tcW w:w="574" w:type="pct"/>
          </w:tcPr>
          <w:p w:rsidR="00AB5952" w:rsidRPr="00990D3B" w:rsidP="00AB5952" w14:paraId="16C60ACE" w14:textId="77777777">
            <w:pPr>
              <w:pStyle w:val="EQRTableText"/>
              <w:rPr>
                <w:rFonts w:eastAsia="Calibri"/>
              </w:rPr>
            </w:pPr>
          </w:p>
        </w:tc>
        <w:tc>
          <w:tcPr>
            <w:tcW w:w="1323" w:type="pct"/>
          </w:tcPr>
          <w:p w:rsidR="00AB5952" w:rsidRPr="00990D3B" w:rsidP="00AB5952" w14:paraId="46993CC7" w14:textId="77777777">
            <w:pPr>
              <w:pStyle w:val="EQRTableText"/>
              <w:rPr>
                <w:rFonts w:eastAsia="Calibri"/>
              </w:rPr>
            </w:pPr>
            <w:r w:rsidRPr="00990D3B">
              <w:rPr>
                <w:rFonts w:eastAsia="Calibri"/>
              </w:rPr>
              <w:t>See above</w:t>
            </w:r>
          </w:p>
        </w:tc>
      </w:tr>
    </w:tbl>
    <w:p w:rsidR="001A3542" w:rsidRPr="00990D3B" w:rsidP="00666AC0" w14:paraId="24826D55" w14:textId="77777777">
      <w:pPr>
        <w:spacing w:after="160" w:line="259" w:lineRule="auto"/>
        <w:rPr>
          <w:rFonts w:ascii="Arial" w:eastAsia="Calibri" w:hAnsi="Arial" w:cs="Arial"/>
          <w:b/>
          <w:bCs/>
          <w:kern w:val="2"/>
          <w:sz w:val="18"/>
          <w:szCs w:val="18"/>
          <w14:ligatures w14:val="standardContextual"/>
        </w:rPr>
      </w:pPr>
    </w:p>
    <w:p w:rsidR="009F5740" w:rsidRPr="00990D3B" w14:paraId="7029051A" w14:textId="77777777">
      <w:pPr>
        <w:spacing w:line="240" w:lineRule="auto"/>
        <w:rPr>
          <w:rFonts w:ascii="Arial Black" w:eastAsia="Arial" w:hAnsi="Arial Black" w:cs="Arial"/>
          <w:color w:val="000000" w:themeColor="text1"/>
          <w:sz w:val="19"/>
          <w:szCs w:val="19"/>
        </w:rPr>
      </w:pPr>
      <w:r w:rsidRPr="00990D3B">
        <w:br w:type="page"/>
      </w:r>
    </w:p>
    <w:p w:rsidR="001A3542" w:rsidRPr="00990D3B" w:rsidP="0095080F" w14:paraId="06790474" w14:textId="742BDCA3">
      <w:pPr>
        <w:pStyle w:val="EQRMarkforExhibitWORKSHEET"/>
      </w:pPr>
      <w:bookmarkStart w:id="1048" w:name="_Toc201751563"/>
      <w:r w:rsidRPr="00990D3B">
        <w:t xml:space="preserve">Example of </w:t>
      </w:r>
      <w:r w:rsidRPr="00990D3B">
        <w:t>Worksheet 10.3. MAC QRS Measure Reporting Requirements Template</w:t>
      </w:r>
      <w:bookmarkEnd w:id="1048"/>
    </w:p>
    <w:tbl>
      <w:tblPr>
        <w:tblStyle w:val="TableGrid2"/>
        <w:tblW w:w="5195" w:type="pct"/>
        <w:tblLook w:val="04A0"/>
      </w:tblPr>
      <w:tblGrid>
        <w:gridCol w:w="2500"/>
        <w:gridCol w:w="1714"/>
        <w:gridCol w:w="4742"/>
        <w:gridCol w:w="4499"/>
      </w:tblGrid>
      <w:tr w14:paraId="539B95EB" w14:textId="77777777" w:rsidTr="00732A36">
        <w:tblPrEx>
          <w:tblW w:w="5195" w:type="pct"/>
          <w:tblLook w:val="04A0"/>
        </w:tblPrEx>
        <w:trPr>
          <w:cantSplit/>
        </w:trPr>
        <w:tc>
          <w:tcPr>
            <w:tcW w:w="5000" w:type="pct"/>
            <w:gridSpan w:val="4"/>
            <w:vAlign w:val="bottom"/>
          </w:tcPr>
          <w:p w:rsidR="001A3542" w:rsidRPr="00990D3B" w:rsidP="00732A36" w14:paraId="6BAC7F46" w14:textId="77777777">
            <w:pPr>
              <w:pStyle w:val="EQRTableHeaderLeft"/>
              <w:rPr>
                <w:rFonts w:eastAsia="Calibri"/>
                <w:color w:val="auto"/>
              </w:rPr>
            </w:pPr>
            <w:r w:rsidRPr="00990D3B">
              <w:rPr>
                <w:rFonts w:eastAsia="Calibri"/>
                <w:bCs/>
                <w:color w:val="auto"/>
              </w:rPr>
              <w:t xml:space="preserve">MCP Name: </w:t>
            </w:r>
            <w:r w:rsidRPr="00990D3B">
              <w:rPr>
                <w:rFonts w:eastAsia="Calibri"/>
                <w:color w:val="auto"/>
              </w:rPr>
              <w:t>Yellow Bird Behavioral Health</w:t>
            </w:r>
          </w:p>
        </w:tc>
      </w:tr>
      <w:tr w14:paraId="141C01FB" w14:textId="77777777" w:rsidTr="00732A36">
        <w:tblPrEx>
          <w:tblW w:w="5195" w:type="pct"/>
          <w:tblLook w:val="04A0"/>
        </w:tblPrEx>
        <w:trPr>
          <w:cantSplit/>
        </w:trPr>
        <w:tc>
          <w:tcPr>
            <w:tcW w:w="929" w:type="pct"/>
            <w:vAlign w:val="bottom"/>
          </w:tcPr>
          <w:p w:rsidR="001A3542" w:rsidRPr="00990D3B" w:rsidP="00732A36" w14:paraId="12D32B05" w14:textId="77777777">
            <w:pPr>
              <w:pStyle w:val="EQRTableHeaderLeft"/>
              <w:rPr>
                <w:rFonts w:eastAsia="Calibri"/>
                <w:color w:val="auto"/>
              </w:rPr>
            </w:pPr>
            <w:r w:rsidRPr="00990D3B">
              <w:rPr>
                <w:rFonts w:eastAsia="Calibri"/>
                <w:color w:val="auto"/>
              </w:rPr>
              <w:t>MAC QRS Measure</w:t>
            </w:r>
          </w:p>
        </w:tc>
        <w:tc>
          <w:tcPr>
            <w:tcW w:w="637" w:type="pct"/>
            <w:vAlign w:val="bottom"/>
          </w:tcPr>
          <w:p w:rsidR="001A3542" w:rsidRPr="00990D3B" w:rsidP="00732A36" w14:paraId="339B21C5" w14:textId="0BFDA34E">
            <w:pPr>
              <w:pStyle w:val="EQRTableHeaderCenter"/>
              <w:rPr>
                <w:rFonts w:eastAsia="Calibri"/>
                <w:color w:val="auto"/>
              </w:rPr>
            </w:pPr>
            <w:r w:rsidRPr="00990D3B">
              <w:rPr>
                <w:rFonts w:eastAsia="Calibri"/>
                <w:color w:val="auto"/>
              </w:rPr>
              <w:t>Calculated?</w:t>
            </w:r>
            <w:r w:rsidRPr="00990D3B" w:rsidR="00732A36">
              <w:rPr>
                <w:rFonts w:eastAsia="Calibri"/>
                <w:color w:val="auto"/>
              </w:rPr>
              <w:t xml:space="preserve"> </w:t>
            </w:r>
            <w:r w:rsidRPr="00990D3B">
              <w:rPr>
                <w:rFonts w:eastAsia="Calibri"/>
                <w:color w:val="auto"/>
              </w:rPr>
              <w:t>(Y/N)</w:t>
            </w:r>
          </w:p>
        </w:tc>
        <w:tc>
          <w:tcPr>
            <w:tcW w:w="1762" w:type="pct"/>
            <w:vAlign w:val="bottom"/>
          </w:tcPr>
          <w:p w:rsidR="001A3542" w:rsidRPr="00990D3B" w:rsidP="00732A36" w14:paraId="616B5330" w14:textId="77777777">
            <w:pPr>
              <w:pStyle w:val="EQRTableHeaderCenter"/>
              <w:rPr>
                <w:rFonts w:eastAsia="Calibri"/>
                <w:color w:val="auto"/>
              </w:rPr>
            </w:pPr>
            <w:r w:rsidRPr="00990D3B">
              <w:rPr>
                <w:rFonts w:eastAsia="Calibri"/>
                <w:color w:val="auto"/>
              </w:rPr>
              <w:t>Required Data Sources</w:t>
            </w:r>
          </w:p>
        </w:tc>
        <w:tc>
          <w:tcPr>
            <w:tcW w:w="1673" w:type="pct"/>
            <w:vAlign w:val="bottom"/>
          </w:tcPr>
          <w:p w:rsidR="001A3542" w:rsidRPr="00990D3B" w:rsidP="00732A36" w14:paraId="6D63435C" w14:textId="77777777">
            <w:pPr>
              <w:pStyle w:val="EQRTableHeaderCenter"/>
              <w:rPr>
                <w:rFonts w:eastAsia="Calibri"/>
                <w:color w:val="auto"/>
              </w:rPr>
            </w:pPr>
            <w:r w:rsidRPr="00990D3B">
              <w:rPr>
                <w:rFonts w:eastAsia="Calibri"/>
                <w:color w:val="auto"/>
              </w:rPr>
              <w:t xml:space="preserve">Comments </w:t>
            </w:r>
          </w:p>
        </w:tc>
      </w:tr>
      <w:tr w14:paraId="3B1B86C2" w14:textId="77777777" w:rsidTr="00732A36">
        <w:tblPrEx>
          <w:tblW w:w="5195" w:type="pct"/>
          <w:tblLook w:val="04A0"/>
        </w:tblPrEx>
        <w:trPr>
          <w:cantSplit/>
        </w:trPr>
        <w:tc>
          <w:tcPr>
            <w:tcW w:w="929" w:type="pct"/>
          </w:tcPr>
          <w:p w:rsidR="001A3542" w:rsidRPr="00990D3B" w:rsidP="00732A36" w14:paraId="1184C0D8" w14:textId="77777777">
            <w:pPr>
              <w:pStyle w:val="EQRTableText"/>
              <w:rPr>
                <w:rFonts w:eastAsia="Calibri"/>
              </w:rPr>
            </w:pPr>
            <w:r w:rsidRPr="00990D3B">
              <w:rPr>
                <w:rFonts w:eastAsia="Calibri"/>
              </w:rPr>
              <w:t>Follow-Up After Hospitalization for Mental Illness</w:t>
            </w:r>
          </w:p>
        </w:tc>
        <w:tc>
          <w:tcPr>
            <w:tcW w:w="637" w:type="pct"/>
          </w:tcPr>
          <w:p w:rsidR="001A3542" w:rsidRPr="00990D3B" w:rsidP="00732A36" w14:paraId="2CE6DCF6" w14:textId="77777777">
            <w:pPr>
              <w:pStyle w:val="EQRTableText"/>
              <w:rPr>
                <w:rFonts w:eastAsia="Calibri"/>
              </w:rPr>
            </w:pPr>
            <w:r w:rsidRPr="00990D3B">
              <w:rPr>
                <w:rFonts w:eastAsia="Calibri"/>
              </w:rPr>
              <w:t>Y</w:t>
            </w:r>
          </w:p>
        </w:tc>
        <w:tc>
          <w:tcPr>
            <w:tcW w:w="1762" w:type="pct"/>
          </w:tcPr>
          <w:p w:rsidR="001A3542" w:rsidRPr="00990D3B" w:rsidP="00732A36" w14:paraId="2FB78F94" w14:textId="77777777">
            <w:pPr>
              <w:pStyle w:val="EQRTableText"/>
              <w:rPr>
                <w:rFonts w:eastAsia="Calibri"/>
              </w:rPr>
            </w:pPr>
            <w:r w:rsidRPr="00990D3B">
              <w:rPr>
                <w:rFonts w:eastAsia="Calibri"/>
              </w:rPr>
              <w:t>Yellow Bird Behavioral Health</w:t>
            </w:r>
          </w:p>
          <w:p w:rsidR="001A3542" w:rsidRPr="00990D3B" w:rsidP="00732A36" w14:paraId="300BDBCF" w14:textId="77777777">
            <w:pPr>
              <w:pStyle w:val="EQRTableTextbullet"/>
              <w:rPr>
                <w:rFonts w:eastAsia="Calibri"/>
              </w:rPr>
            </w:pPr>
            <w:r w:rsidRPr="00990D3B">
              <w:rPr>
                <w:rFonts w:eastAsia="Calibri"/>
              </w:rPr>
              <w:t>Follow-up MH visits data</w:t>
            </w:r>
          </w:p>
          <w:p w:rsidR="001A3542" w:rsidRPr="00990D3B" w:rsidP="00732A36" w14:paraId="51FC7322" w14:textId="77777777">
            <w:pPr>
              <w:pStyle w:val="EQRTableTextbullet"/>
              <w:rPr>
                <w:rFonts w:eastAsia="Calibri"/>
              </w:rPr>
            </w:pPr>
            <w:r w:rsidRPr="00990D3B">
              <w:rPr>
                <w:rFonts w:eastAsia="Calibri"/>
              </w:rPr>
              <w:t>Eligibility files</w:t>
            </w:r>
          </w:p>
          <w:p w:rsidR="001A3542" w:rsidRPr="00990D3B" w:rsidP="00732A36" w14:paraId="286E754B" w14:textId="77777777">
            <w:pPr>
              <w:pStyle w:val="EQRTableText"/>
              <w:rPr>
                <w:rFonts w:eastAsia="Calibri"/>
                <w:b/>
                <w:bCs/>
              </w:rPr>
            </w:pPr>
            <w:r w:rsidRPr="00990D3B">
              <w:rPr>
                <w:rFonts w:eastAsia="Calibri"/>
                <w:b/>
                <w:bCs/>
              </w:rPr>
              <w:t xml:space="preserve">AND </w:t>
            </w:r>
          </w:p>
          <w:p w:rsidR="001A3542" w:rsidRPr="00990D3B" w:rsidP="00732A36" w14:paraId="18A95FF5" w14:textId="77777777">
            <w:pPr>
              <w:pStyle w:val="EQRTableText"/>
              <w:rPr>
                <w:rFonts w:eastAsia="Calibri"/>
              </w:rPr>
            </w:pPr>
            <w:r w:rsidRPr="00990D3B">
              <w:rPr>
                <w:rFonts w:eastAsia="Calibri"/>
              </w:rPr>
              <w:t>Blue Bird (Medical Plan)</w:t>
            </w:r>
          </w:p>
          <w:p w:rsidR="001A3542" w:rsidRPr="00990D3B" w:rsidP="00732A36" w14:paraId="34D2F1E7" w14:textId="77777777">
            <w:pPr>
              <w:pStyle w:val="EQRTableTextbullet"/>
              <w:rPr>
                <w:rFonts w:eastAsia="Calibri"/>
              </w:rPr>
            </w:pPr>
            <w:r w:rsidRPr="00990D3B">
              <w:rPr>
                <w:rFonts w:eastAsia="Calibri"/>
              </w:rPr>
              <w:t>MH inpatient discharge, readmission, or direct transfer event data</w:t>
            </w:r>
          </w:p>
          <w:p w:rsidR="001A3542" w:rsidRPr="00990D3B" w:rsidP="00732A36" w14:paraId="1B96F1BA" w14:textId="77777777">
            <w:pPr>
              <w:pStyle w:val="EQRTableTextbullet"/>
              <w:rPr>
                <w:rFonts w:eastAsia="Calibri"/>
              </w:rPr>
            </w:pPr>
            <w:r w:rsidRPr="00990D3B">
              <w:rPr>
                <w:rFonts w:eastAsia="Calibri"/>
              </w:rPr>
              <w:t>Eligibility files</w:t>
            </w:r>
          </w:p>
          <w:p w:rsidR="001A3542" w:rsidRPr="00990D3B" w:rsidP="00732A36" w14:paraId="6ACB72F7" w14:textId="77777777">
            <w:pPr>
              <w:pStyle w:val="EQRTableText"/>
              <w:rPr>
                <w:rFonts w:eastAsia="Calibri"/>
                <w:b/>
                <w:bCs/>
              </w:rPr>
            </w:pPr>
            <w:r w:rsidRPr="00990D3B">
              <w:rPr>
                <w:rFonts w:eastAsia="Calibri"/>
                <w:b/>
                <w:bCs/>
              </w:rPr>
              <w:t>OR</w:t>
            </w:r>
          </w:p>
          <w:p w:rsidR="001A3542" w:rsidRPr="00990D3B" w:rsidP="00732A36" w14:paraId="7F338F81" w14:textId="77777777">
            <w:pPr>
              <w:pStyle w:val="EQRTableText"/>
              <w:rPr>
                <w:rFonts w:eastAsia="Calibri"/>
              </w:rPr>
            </w:pPr>
            <w:r w:rsidRPr="00990D3B">
              <w:rPr>
                <w:rFonts w:eastAsia="Calibri"/>
              </w:rPr>
              <w:t>Red Bird (Medical Plan)</w:t>
            </w:r>
          </w:p>
          <w:p w:rsidR="001A3542" w:rsidRPr="00990D3B" w:rsidP="00732A36" w14:paraId="7815321C" w14:textId="77777777">
            <w:pPr>
              <w:pStyle w:val="EQRTableTextbullet"/>
              <w:rPr>
                <w:rFonts w:eastAsia="Calibri"/>
              </w:rPr>
            </w:pPr>
            <w:r w:rsidRPr="00990D3B">
              <w:rPr>
                <w:rFonts w:eastAsia="Calibri"/>
              </w:rPr>
              <w:t>MH inpatient discharge, readmission, or direct transfer event data</w:t>
            </w:r>
          </w:p>
          <w:p w:rsidR="001A3542" w:rsidRPr="00990D3B" w:rsidP="00732A36" w14:paraId="60304BE3" w14:textId="77777777">
            <w:pPr>
              <w:pStyle w:val="EQRTableTextbullet"/>
              <w:rPr>
                <w:rFonts w:eastAsia="Calibri"/>
              </w:rPr>
            </w:pPr>
            <w:r w:rsidRPr="00990D3B">
              <w:rPr>
                <w:rFonts w:eastAsia="Calibri"/>
              </w:rPr>
              <w:t>Eligibility files</w:t>
            </w:r>
          </w:p>
        </w:tc>
        <w:tc>
          <w:tcPr>
            <w:tcW w:w="1673" w:type="pct"/>
          </w:tcPr>
          <w:p w:rsidR="001A3542" w:rsidRPr="00990D3B" w:rsidP="00732A36" w14:paraId="37DC3D13" w14:textId="77777777">
            <w:pPr>
              <w:pStyle w:val="EQRTableTextbullet"/>
              <w:rPr>
                <w:rFonts w:eastAsia="Calibri"/>
              </w:rPr>
            </w:pPr>
            <w:r w:rsidRPr="00990D3B">
              <w:rPr>
                <w:rFonts w:eastAsia="Calibri"/>
              </w:rPr>
              <w:t>Measure calculated as part of state’s QAPI program</w:t>
            </w:r>
          </w:p>
          <w:p w:rsidR="001A3542" w:rsidRPr="00990D3B" w:rsidP="00732A36" w14:paraId="171FD42D" w14:textId="77777777">
            <w:pPr>
              <w:pStyle w:val="EQRTableTextbullet"/>
              <w:rPr>
                <w:rFonts w:eastAsia="Calibri"/>
              </w:rPr>
            </w:pPr>
            <w:r w:rsidRPr="00990D3B">
              <w:rPr>
                <w:rFonts w:eastAsia="Calibri"/>
              </w:rPr>
              <w:t xml:space="preserve">Need to review Yellow Bird’s ISCA to confirm that data from Blue Bird and Red Bird MCPs were integrated properly  </w:t>
            </w:r>
          </w:p>
        </w:tc>
      </w:tr>
    </w:tbl>
    <w:p w:rsidR="009F5740" w:rsidRPr="00990D3B" w:rsidP="009F5740" w14:paraId="059476FC" w14:textId="77777777">
      <w:pPr>
        <w:pStyle w:val="Paragraph0"/>
        <w:jc w:val="center"/>
      </w:pPr>
    </w:p>
    <w:p w:rsidR="001A3542" w:rsidRPr="00990D3B" w:rsidP="009F5740" w14:paraId="5C0B2E8C" w14:textId="70B5B2AC">
      <w:pPr>
        <w:pStyle w:val="Paragraph0"/>
        <w:jc w:val="center"/>
      </w:pPr>
      <w:r w:rsidRPr="00990D3B">
        <w:t>END OF WORKSHEETS FOR PROTOCOL 10</w:t>
      </w:r>
    </w:p>
    <w:p w:rsidR="005729C1" w:rsidRPr="00990D3B" w:rsidP="00EA1F33" w14:paraId="7B49CAC4" w14:textId="77777777">
      <w:pPr>
        <w:pStyle w:val="EQRNormalSSP1"/>
        <w:spacing w:after="0"/>
        <w:sectPr w:rsidSect="00F96E87">
          <w:pgSz w:w="15840" w:h="12240" w:orient="landscape" w:code="1"/>
          <w:pgMar w:top="1440" w:right="1440" w:bottom="1440" w:left="1440" w:header="720" w:footer="720" w:gutter="0"/>
          <w:cols w:space="720"/>
          <w:docGrid w:linePitch="360"/>
        </w:sectPr>
      </w:pPr>
    </w:p>
    <w:p w:rsidR="0045391D" w:rsidRPr="00990D3B" w:rsidP="00666AC0" w14:paraId="6AC6A1B8" w14:textId="77777777">
      <w:pPr>
        <w:pStyle w:val="H1"/>
        <w:ind w:right="900"/>
      </w:pPr>
      <w:bookmarkStart w:id="1049" w:name="Protocol11"/>
      <w:bookmarkStart w:id="1050" w:name="_Toc201751453"/>
      <w:bookmarkStart w:id="1051" w:name="_Toc95474479"/>
      <w:bookmarkStart w:id="1052" w:name="_Toc493246401"/>
      <w:bookmarkStart w:id="1053" w:name="_Toc14777766"/>
      <w:bookmarkEnd w:id="1049"/>
      <w:r w:rsidRPr="00990D3B">
        <w:t>Protocol 11. Assisting with Evaluation of Managed Care Quality Strategies, State Directed Payments, and In Lieu of Services and Settings</w:t>
      </w:r>
      <w:bookmarkEnd w:id="1050"/>
      <w:r w:rsidRPr="00990D3B">
        <w:t xml:space="preserve">  </w:t>
      </w:r>
    </w:p>
    <w:p w:rsidR="0045391D" w:rsidRPr="00990D3B" w:rsidP="00666AC0" w14:paraId="6137052E" w14:textId="77777777">
      <w:pPr>
        <w:pStyle w:val="EQRMANDATORYorOPTIONAL"/>
      </w:pPr>
      <w:r w:rsidRPr="00990D3B">
        <w:t>An Optional EQR-Related Activity</w:t>
      </w:r>
    </w:p>
    <w:tbl>
      <w:tblPr>
        <w:tblStyle w:val="CORESETTable"/>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40"/>
      </w:tblGrid>
      <w:tr w14:paraId="1000C7E5" w14:textId="77777777" w:rsidTr="00666AC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740" w:type="dxa"/>
            <w:shd w:val="clear" w:color="auto" w:fill="1CA8B7"/>
            <w:vAlign w:val="center"/>
          </w:tcPr>
          <w:p w:rsidR="0045391D" w:rsidRPr="00990D3B" w:rsidP="00666AC0" w14:paraId="16CEA0F0" w14:textId="77777777">
            <w:pPr>
              <w:pStyle w:val="Feature2"/>
              <w:rPr>
                <w:rStyle w:val="CSDarkBlue"/>
                <w:rFonts w:ascii="Arial" w:eastAsia="Calibri" w:hAnsi="Arial" w:cs="Arial"/>
                <w:b w:val="0"/>
                <w:position w:val="0"/>
                <w:sz w:val="24"/>
                <w:szCs w:val="22"/>
              </w:rPr>
            </w:pPr>
          </w:p>
        </w:tc>
      </w:tr>
      <w:tr w14:paraId="12BBE066" w14:textId="77777777" w:rsidTr="00666AC0">
        <w:tblPrEx>
          <w:tblW w:w="0" w:type="auto"/>
          <w:tblLook w:val="04A0"/>
        </w:tblPrEx>
        <w:tc>
          <w:tcPr>
            <w:tcW w:w="7740" w:type="dxa"/>
            <w:vAlign w:val="center"/>
          </w:tcPr>
          <w:p w:rsidR="0045391D" w:rsidRPr="00990D3B" w:rsidP="00666AC0" w14:paraId="09015238" w14:textId="0AE1622B">
            <w:pPr>
              <w:pStyle w:val="EQRACTIVITY"/>
              <w:rPr>
                <w:rStyle w:val="CSTealBold"/>
              </w:rPr>
            </w:pPr>
            <w:hyperlink w:anchor="P11A1" w:history="1">
              <w:r w:rsidRPr="00990D3B">
                <w:rPr>
                  <w:rStyle w:val="Hyperlink"/>
                </w:rPr>
                <w:t>ACTIVITY 1: DEVELOP AN EVALUATION PLAN</w:t>
              </w:r>
            </w:hyperlink>
          </w:p>
        </w:tc>
      </w:tr>
      <w:tr w14:paraId="278508D6" w14:textId="77777777" w:rsidTr="00666AC0">
        <w:tblPrEx>
          <w:tblW w:w="0" w:type="auto"/>
          <w:tblLook w:val="04A0"/>
        </w:tblPrEx>
        <w:tc>
          <w:tcPr>
            <w:tcW w:w="7740" w:type="dxa"/>
            <w:vAlign w:val="center"/>
          </w:tcPr>
          <w:p w:rsidR="0045391D" w:rsidRPr="00990D3B" w:rsidP="00666AC0" w14:paraId="4C9C696B" w14:textId="128D52B3">
            <w:pPr>
              <w:pStyle w:val="EQRACTIVITY"/>
              <w:rPr>
                <w:rStyle w:val="CSTealBold"/>
              </w:rPr>
            </w:pPr>
            <w:hyperlink w:anchor="P11A2" w:history="1">
              <w:r w:rsidRPr="00990D3B">
                <w:rPr>
                  <w:rStyle w:val="Hyperlink"/>
                </w:rPr>
                <w:t>ACTIVITY 2: CONDUCT THE EVALUATION</w:t>
              </w:r>
            </w:hyperlink>
          </w:p>
        </w:tc>
      </w:tr>
      <w:tr w14:paraId="58E32D22" w14:textId="77777777" w:rsidTr="00666AC0">
        <w:tblPrEx>
          <w:tblW w:w="0" w:type="auto"/>
          <w:tblLook w:val="04A0"/>
        </w:tblPrEx>
        <w:tc>
          <w:tcPr>
            <w:tcW w:w="7740" w:type="dxa"/>
            <w:vAlign w:val="center"/>
          </w:tcPr>
          <w:p w:rsidR="0045391D" w:rsidRPr="00990D3B" w:rsidP="00666AC0" w14:paraId="35B0C0DA" w14:textId="0BD7A803">
            <w:pPr>
              <w:pStyle w:val="EQRACTIVITY"/>
              <w:spacing w:after="0"/>
              <w:rPr>
                <w:rStyle w:val="CSTealBold"/>
              </w:rPr>
            </w:pPr>
            <w:hyperlink w:anchor="P11A3" w:history="1">
              <w:r w:rsidRPr="00990D3B">
                <w:rPr>
                  <w:rStyle w:val="Hyperlink"/>
                </w:rPr>
                <w:t>ACTIVITY 3: REPORT RESULTS TO THE STATE</w:t>
              </w:r>
            </w:hyperlink>
          </w:p>
        </w:tc>
      </w:tr>
    </w:tbl>
    <w:p w:rsidR="0045391D" w:rsidRPr="00990D3B" w:rsidP="00666AC0" w14:paraId="1E474533" w14:textId="77777777">
      <w:pPr>
        <w:pStyle w:val="H2"/>
      </w:pPr>
      <w:bookmarkStart w:id="1054" w:name="_Toc201751454"/>
      <w:bookmarkStart w:id="1055" w:name="_Toc14777765"/>
      <w:bookmarkStart w:id="1056" w:name="_Toc95474478"/>
      <w:r w:rsidRPr="00990D3B">
        <w:t>Background</w:t>
      </w:r>
      <w:bookmarkEnd w:id="1054"/>
    </w:p>
    <w:p w:rsidR="0045391D" w:rsidRPr="00990D3B" w:rsidP="00E64C3F" w14:paraId="2F3672D2" w14:textId="77777777">
      <w:pPr>
        <w:pStyle w:val="ParagraphContinued"/>
      </w:pPr>
      <w:r w:rsidRPr="00990D3B">
        <w:t>States contracting with managed care plans (MCPs) must evaluate the effectiveness of their managed care quality strategies (QSs) and, if applicable, their state directed payment (SDP) arrangements and in lieu of services and settings (ILOS), per 42 C.F.R. 438.340(c)(2)(i) [QS], 42 C.F.R. 438.6(c)(2)(iv-v) [SDPs], 42 C.F.R. 438.16(e) [ILOS].</w:t>
      </w:r>
      <w:r>
        <w:rPr>
          <w:rStyle w:val="FootnoteReference"/>
        </w:rPr>
        <w:footnoteReference w:id="125"/>
      </w:r>
      <w:r w:rsidRPr="00990D3B">
        <w:t xml:space="preserve"> These evaluations enable states to assess policy effectiveness, highlight promising practices, and identify areas for improvement, which facilitate timely refinements to the state’s approach. </w:t>
      </w:r>
    </w:p>
    <w:p w:rsidR="0045391D" w:rsidRPr="00990D3B" w:rsidP="00666AC0" w14:paraId="56DFAC18" w14:textId="3E3B9E99">
      <w:pPr>
        <w:pStyle w:val="Paragraph0"/>
        <w:spacing w:before="240"/>
      </w:pPr>
      <w:r w:rsidRPr="00990D3B">
        <w:t>A</w:t>
      </w:r>
      <w:r w:rsidRPr="00990D3B">
        <w:rPr>
          <w:szCs w:val="24"/>
        </w:rPr>
        <w:t xml:space="preserve"> robust evaluation plan is critical for generating reliable data, minimizing data limitations, and providing insights into healthcare </w:t>
      </w:r>
      <w:r w:rsidRPr="00990D3B">
        <w:t>quality, timeliness, and access across the state’s MCPs and programs. Federal regulations outline specific requirements and timelines for each type of evaluation.</w:t>
      </w:r>
      <w:r>
        <w:rPr>
          <w:rStyle w:val="FootnoteReference"/>
        </w:rPr>
        <w:footnoteReference w:id="126"/>
      </w:r>
      <w:r w:rsidRPr="00990D3B">
        <w:t xml:space="preserve"> The 2024 Medicaid and Children’s Health Insurance Program (CHIP) Managed Care Access, Finance, and Quality final rule further expanded these requirements, </w:t>
      </w:r>
      <w:r w:rsidRPr="00990D3B">
        <w:t>highlighting the importance of robust assessment and accountability mechanisms.</w:t>
      </w:r>
      <w:r>
        <w:rPr>
          <w:rStyle w:val="FootnoteReference"/>
        </w:rPr>
        <w:footnoteReference w:id="127"/>
      </w:r>
      <w:r w:rsidRPr="00990D3B">
        <w:t xml:space="preserve"> See </w:t>
      </w:r>
      <w:hyperlink w:anchor="Table11n1" w:tooltip="Table 11.1" w:history="1">
        <w:r w:rsidRPr="00990D3B">
          <w:rPr>
            <w:rStyle w:val="Hyperlink"/>
          </w:rPr>
          <w:t>Table</w:t>
        </w:r>
        <w:r w:rsidRPr="00990D3B" w:rsidR="008D4D8B">
          <w:rPr>
            <w:rStyle w:val="Hyperlink"/>
          </w:rPr>
          <w:t> </w:t>
        </w:r>
        <w:r w:rsidRPr="00990D3B">
          <w:rPr>
            <w:rStyle w:val="Hyperlink"/>
          </w:rPr>
          <w:t>11.1</w:t>
        </w:r>
      </w:hyperlink>
      <w:r w:rsidRPr="00990D3B">
        <w:rPr>
          <w:color w:val="1CA8B7"/>
        </w:rPr>
        <w:t xml:space="preserve"> </w:t>
      </w:r>
      <w:r w:rsidRPr="00990D3B">
        <w:t xml:space="preserve">for an overview of these requirements. </w:t>
      </w:r>
    </w:p>
    <w:p w:rsidR="0045391D" w:rsidRPr="00990D3B" w:rsidP="00666AC0" w14:paraId="5DD9EB56" w14:textId="77777777">
      <w:pPr>
        <w:pStyle w:val="MarkforTableHeading"/>
      </w:pPr>
      <w:bookmarkStart w:id="1057" w:name="Table11n1"/>
      <w:bookmarkEnd w:id="1057"/>
      <w:r w:rsidRPr="00990D3B">
        <w:t xml:space="preserve">Table 11.1. Requirements For Evaluating Managed Care Oversight and Quality Improvement Efforts, By Evaluation Type </w:t>
      </w:r>
    </w:p>
    <w:tbl>
      <w:tblPr>
        <w:tblStyle w:val="CORESETTable"/>
        <w:tblW w:w="5000" w:type="pct"/>
        <w:tblLook w:val="0620"/>
      </w:tblPr>
      <w:tblGrid>
        <w:gridCol w:w="2336"/>
        <w:gridCol w:w="7014"/>
      </w:tblGrid>
      <w:tr w14:paraId="52976D94" w14:textId="77777777" w:rsidTr="00603FB0">
        <w:tblPrEx>
          <w:tblW w:w="5000" w:type="pct"/>
          <w:tblLook w:val="0620"/>
        </w:tblPrEx>
        <w:trPr>
          <w:cantSplit/>
          <w:tblHeader/>
        </w:trPr>
        <w:tc>
          <w:tcPr>
            <w:tcW w:w="1249" w:type="pct"/>
          </w:tcPr>
          <w:p w:rsidR="0045391D" w:rsidRPr="00990D3B" w:rsidP="00603FB0" w14:paraId="2CEDA4DB" w14:textId="22811302">
            <w:pPr>
              <w:pStyle w:val="EQRTableHeaderLeft"/>
              <w:rPr>
                <w:b/>
                <w:bCs/>
              </w:rPr>
            </w:pPr>
            <w:r w:rsidRPr="00990D3B">
              <w:rPr>
                <w:b/>
                <w:bCs/>
              </w:rPr>
              <w:t>Evaluation Type</w:t>
            </w:r>
            <w:r w:rsidRPr="00990D3B" w:rsidR="00603FB0">
              <w:rPr>
                <w:b/>
                <w:bCs/>
              </w:rPr>
              <w:t xml:space="preserve"> </w:t>
            </w:r>
            <w:r w:rsidRPr="00990D3B" w:rsidR="00603FB0">
              <w:rPr>
                <w:b/>
                <w:bCs/>
              </w:rPr>
              <w:br/>
            </w:r>
            <w:r w:rsidRPr="00990D3B">
              <w:rPr>
                <w:b/>
                <w:bCs/>
              </w:rPr>
              <w:t>(Regulatory Reference)</w:t>
            </w:r>
          </w:p>
        </w:tc>
        <w:tc>
          <w:tcPr>
            <w:tcW w:w="3751" w:type="pct"/>
          </w:tcPr>
          <w:p w:rsidR="0045391D" w:rsidRPr="00990D3B" w:rsidP="00603FB0" w14:paraId="33DA23AD" w14:textId="77777777">
            <w:pPr>
              <w:pStyle w:val="EQRTableHeaderCenter"/>
              <w:rPr>
                <w:b/>
                <w:bCs/>
              </w:rPr>
            </w:pPr>
            <w:r w:rsidRPr="00990D3B">
              <w:rPr>
                <w:b/>
                <w:bCs/>
              </w:rPr>
              <w:t xml:space="preserve">Requirements </w:t>
            </w:r>
          </w:p>
        </w:tc>
      </w:tr>
      <w:tr w14:paraId="63A6600E" w14:textId="77777777" w:rsidTr="00603FB0">
        <w:tblPrEx>
          <w:tblW w:w="5000" w:type="pct"/>
          <w:tblLook w:val="0620"/>
        </w:tblPrEx>
        <w:tc>
          <w:tcPr>
            <w:tcW w:w="1249" w:type="pct"/>
          </w:tcPr>
          <w:p w:rsidR="0045391D" w:rsidRPr="00990D3B" w:rsidP="00E64C3F" w14:paraId="1653966B" w14:textId="77777777">
            <w:pPr>
              <w:pStyle w:val="EQRTableText"/>
            </w:pPr>
            <w:r w:rsidRPr="00990D3B">
              <w:t xml:space="preserve">Quality Strategy </w:t>
            </w:r>
          </w:p>
          <w:p w:rsidR="0045391D" w:rsidRPr="00990D3B" w:rsidP="00E64C3F" w14:paraId="1FBE3D92" w14:textId="77777777">
            <w:pPr>
              <w:pStyle w:val="EQRTableText"/>
            </w:pPr>
            <w:r w:rsidRPr="00990D3B">
              <w:t>(42 C.F.R. 438.340(c)(2)(i) and (ii))</w:t>
            </w:r>
          </w:p>
        </w:tc>
        <w:tc>
          <w:tcPr>
            <w:tcW w:w="3751" w:type="pct"/>
          </w:tcPr>
          <w:p w:rsidR="0045391D" w:rsidRPr="00990D3B" w:rsidP="00E64C3F" w14:paraId="604CD471" w14:textId="77777777">
            <w:pPr>
              <w:pStyle w:val="EQRTableTextbullet"/>
            </w:pPr>
            <w:r w:rsidRPr="00990D3B">
              <w:t xml:space="preserve">States must evaluate the effectiveness of their QS at least every three years. </w:t>
            </w:r>
          </w:p>
          <w:p w:rsidR="0045391D" w:rsidP="00E64C3F" w14:paraId="7029B0FD" w14:textId="77777777">
            <w:pPr>
              <w:pStyle w:val="EQRTableTextbullet"/>
            </w:pPr>
            <w:r w:rsidRPr="00990D3B">
              <w:t xml:space="preserve">States must post the results of the QS effectiveness evaluation on their websites. </w:t>
            </w:r>
          </w:p>
          <w:p w:rsidR="00103ACE" w:rsidP="00103ACE" w14:paraId="262B1734" w14:textId="77777777">
            <w:pPr>
              <w:pStyle w:val="EQRTableTextbullet"/>
              <w:numPr>
                <w:ilvl w:val="0"/>
                <w:numId w:val="0"/>
              </w:numPr>
              <w:ind w:left="360" w:hanging="360"/>
            </w:pPr>
          </w:p>
          <w:p w:rsidR="00B949FE" w:rsidRPr="00B949FE" w:rsidP="00B949FE" w14:paraId="666618F7" w14:textId="0D63C7FF">
            <w:pPr>
              <w:pStyle w:val="EQRTableTextbullet"/>
              <w:numPr>
                <w:ilvl w:val="0"/>
                <w:numId w:val="0"/>
              </w:numPr>
              <w:rPr>
                <w:szCs w:val="16"/>
              </w:rPr>
            </w:pPr>
            <w:r w:rsidRPr="00B949FE">
              <w:rPr>
                <w:szCs w:val="16"/>
              </w:rPr>
              <w:t>States must review and, as appropriate, update the QS at least once every three year</w:t>
            </w:r>
            <w:r w:rsidR="005C5955">
              <w:rPr>
                <w:szCs w:val="16"/>
              </w:rPr>
              <w:t>s</w:t>
            </w:r>
            <w:r w:rsidRPr="00B949FE">
              <w:rPr>
                <w:szCs w:val="16"/>
              </w:rPr>
              <w:t xml:space="preserve">. QSs generally span a defined period (for example, 2023–2026), and the evaluation should align with that period. If a state updates its QS more frequently (for example, every two years), the evaluation should reflect the period covered by the updated QS. </w:t>
            </w:r>
          </w:p>
          <w:p w:rsidR="00103ACE" w:rsidRPr="00990D3B" w:rsidP="00B949FE" w14:paraId="7E7EDB0C" w14:textId="75D8B111">
            <w:pPr>
              <w:pStyle w:val="EQRTableTextbullet"/>
              <w:numPr>
                <w:ilvl w:val="0"/>
                <w:numId w:val="0"/>
              </w:numPr>
            </w:pPr>
            <w:r w:rsidRPr="00B949FE">
              <w:rPr>
                <w:szCs w:val="16"/>
              </w:rPr>
              <w:t>States may conduct evaluations more frequently (for example, annually) and report interim findings in the annual EQR technical report; however, the state must ensure that a summative evaluation is conducted covering the full QS period.</w:t>
            </w:r>
          </w:p>
        </w:tc>
      </w:tr>
      <w:tr w14:paraId="32F21A63" w14:textId="77777777" w:rsidTr="00603FB0">
        <w:tblPrEx>
          <w:tblW w:w="5000" w:type="pct"/>
          <w:tblLook w:val="0620"/>
        </w:tblPrEx>
        <w:tc>
          <w:tcPr>
            <w:tcW w:w="1249" w:type="pct"/>
          </w:tcPr>
          <w:p w:rsidR="0045391D" w:rsidRPr="00990D3B" w:rsidP="00E64C3F" w14:paraId="00BFED4E" w14:textId="77777777">
            <w:pPr>
              <w:pStyle w:val="EQRTableText"/>
            </w:pPr>
            <w:r w:rsidRPr="00990D3B">
              <w:t xml:space="preserve">State Directed Payments </w:t>
            </w:r>
          </w:p>
          <w:p w:rsidR="0045391D" w:rsidRPr="00990D3B" w:rsidP="00E64C3F" w14:paraId="5DFF723F" w14:textId="77777777">
            <w:pPr>
              <w:pStyle w:val="EQRTableText"/>
            </w:pPr>
            <w:r w:rsidRPr="00990D3B">
              <w:t>(42 C.F.R. 438.6(c)(2)(i), (iv), (v), and (vi))</w:t>
            </w:r>
          </w:p>
        </w:tc>
        <w:tc>
          <w:tcPr>
            <w:tcW w:w="3751" w:type="pct"/>
          </w:tcPr>
          <w:p w:rsidR="0045391D" w:rsidRPr="00990D3B" w:rsidP="00E64C3F" w14:paraId="2BCEBB79" w14:textId="77777777">
            <w:pPr>
              <w:pStyle w:val="EQRTableTextbullet"/>
            </w:pPr>
            <w:r w:rsidRPr="00990D3B">
              <w:t>States must include an evaluation plan unique to the SDP arrangement when submitting their SDP proposal (preprint). Unique evaluations mean the evaluation data differs from that submitted for any other SDP.</w:t>
            </w:r>
          </w:p>
          <w:p w:rsidR="0045391D" w:rsidRPr="00990D3B" w:rsidP="00E64C3F" w14:paraId="34FAD511" w14:textId="77777777">
            <w:pPr>
              <w:pStyle w:val="EQRTableTextbullet"/>
            </w:pPr>
            <w:r w:rsidRPr="00990D3B">
              <w:t xml:space="preserve">States must review and update their SDP evaluation plans when submitting renewal or amendment preprints. During this review, states should ensure the evaluation plan is up-to-date and aligns with current managed care priorities, making updates as necessary.  </w:t>
            </w:r>
          </w:p>
          <w:p w:rsidR="0045391D" w:rsidRPr="00990D3B" w:rsidP="00E64C3F" w14:paraId="15CCCB4A" w14:textId="77777777">
            <w:pPr>
              <w:pStyle w:val="EQRTableTextbullet"/>
            </w:pPr>
            <w:r w:rsidRPr="00990D3B">
              <w:t xml:space="preserve">SDP evaluations must measure the degree to which the arrangement advances at least one of the QS goals and objectives. </w:t>
            </w:r>
          </w:p>
          <w:p w:rsidR="0045391D" w:rsidRPr="00990D3B" w:rsidP="00E64C3F" w14:paraId="6C9F8EC0" w14:textId="15CD5673">
            <w:pPr>
              <w:pStyle w:val="EQRTableTextbullet"/>
            </w:pPr>
            <w:r w:rsidRPr="00990D3B">
              <w:t xml:space="preserve">When submitting renewal preprints, CMS expects states to provide evaluation findings from the previous year. Effective </w:t>
            </w:r>
            <w:r w:rsidRPr="00990D3B" w:rsidR="0013462A">
              <w:t>July 2027</w:t>
            </w:r>
            <w:r w:rsidRPr="00990D3B">
              <w:t xml:space="preserve"> States must submit findings if the SDP cost percentage is greater than 1.5 percent of the total managed care expenditures.</w:t>
            </w:r>
            <w:r>
              <w:rPr>
                <w:rStyle w:val="FootnoteReference"/>
              </w:rPr>
              <w:footnoteReference w:id="128"/>
            </w:r>
            <w:r w:rsidRPr="00990D3B">
              <w:t xml:space="preserve"> </w:t>
            </w:r>
          </w:p>
          <w:p w:rsidR="0045391D" w:rsidRPr="00990D3B" w:rsidP="00E64C3F" w14:paraId="403456C8" w14:textId="77777777">
            <w:pPr>
              <w:pStyle w:val="EQRTableTextbullet"/>
            </w:pPr>
            <w:r w:rsidRPr="00990D3B">
              <w:t xml:space="preserve">When the SDP exceeds the 1.5 percent threshold, the state must submit the initial evaluation report to CMS within two years after the three-year evaluation period ends. Subsequent evaluation reports are due to CMS every three years thereafter. The evaluation reports must include the three most recent and complete years of annual results for each metric included in the evaluation plan. </w:t>
            </w:r>
          </w:p>
        </w:tc>
      </w:tr>
      <w:tr w14:paraId="6DA7DF9A" w14:textId="77777777" w:rsidTr="00603FB0">
        <w:tblPrEx>
          <w:tblW w:w="5000" w:type="pct"/>
          <w:tblLook w:val="0620"/>
        </w:tblPrEx>
        <w:tc>
          <w:tcPr>
            <w:tcW w:w="1249" w:type="pct"/>
          </w:tcPr>
          <w:p w:rsidR="0045391D" w:rsidRPr="00990D3B" w:rsidP="00666AC0" w14:paraId="0CEB18BE" w14:textId="77777777">
            <w:pPr>
              <w:pStyle w:val="EQRTableText"/>
              <w:rPr>
                <w:rFonts w:cs="Arial"/>
                <w:szCs w:val="18"/>
              </w:rPr>
            </w:pPr>
            <w:r w:rsidRPr="00990D3B">
              <w:rPr>
                <w:rFonts w:cs="Arial"/>
                <w:szCs w:val="18"/>
              </w:rPr>
              <w:t>In Lieu of Services and Settings</w:t>
            </w:r>
          </w:p>
          <w:p w:rsidR="0045391D" w:rsidRPr="00990D3B" w:rsidP="00666AC0" w14:paraId="3220DD28" w14:textId="77777777">
            <w:pPr>
              <w:pStyle w:val="EQRTableText"/>
              <w:rPr>
                <w:rFonts w:cs="Arial"/>
                <w:szCs w:val="18"/>
              </w:rPr>
            </w:pPr>
            <w:r w:rsidRPr="00990D3B">
              <w:rPr>
                <w:rFonts w:cs="Arial"/>
                <w:szCs w:val="18"/>
              </w:rPr>
              <w:t>(</w:t>
            </w:r>
            <w:r w:rsidRPr="00990D3B">
              <w:t>42 C.F.R. 438.16(e))</w:t>
            </w:r>
          </w:p>
        </w:tc>
        <w:tc>
          <w:tcPr>
            <w:tcW w:w="3751" w:type="pct"/>
          </w:tcPr>
          <w:p w:rsidR="0045391D" w:rsidRPr="00990D3B" w:rsidP="00603FB0" w14:paraId="31D120D9" w14:textId="63A4DDE6">
            <w:pPr>
              <w:pStyle w:val="EQRTableTextbullet"/>
            </w:pPr>
            <w:r w:rsidRPr="00990D3B">
              <w:t>States must conduct a retrospective evaluation if the final ILOS cost percentage</w:t>
            </w:r>
            <w:r>
              <w:rPr>
                <w:rStyle w:val="FootnoteReference"/>
              </w:rPr>
              <w:footnoteReference w:id="129"/>
            </w:r>
            <w:r w:rsidRPr="00990D3B">
              <w:t xml:space="preserve"> exceeds 1.5 percent in any of the first five rating periods that it was authorized and identified in the MCP contract. </w:t>
            </w:r>
          </w:p>
          <w:p w:rsidR="0045391D" w:rsidRPr="00990D3B" w:rsidP="00603FB0" w14:paraId="3EE5EC17" w14:textId="77777777">
            <w:pPr>
              <w:pStyle w:val="EQRTableTextbullet"/>
            </w:pPr>
            <w:r w:rsidRPr="00990D3B">
              <w:t xml:space="preserve">An ILOS evaluation must cover each managed care program that includes an ILOS and assess all ILOSs within that program. </w:t>
            </w:r>
          </w:p>
          <w:p w:rsidR="0045391D" w:rsidRPr="00990D3B" w:rsidP="00603FB0" w14:paraId="159EFE3B" w14:textId="77777777">
            <w:pPr>
              <w:pStyle w:val="EQRTableTextbullet"/>
            </w:pPr>
            <w:r w:rsidRPr="00990D3B">
              <w:t xml:space="preserve">States must use five years of accurate and validated data, starting from the first five rating periods of ILOS authorization. </w:t>
            </w:r>
          </w:p>
          <w:p w:rsidR="0045391D" w:rsidRPr="00990D3B" w:rsidP="00603FB0" w14:paraId="0F8BE90A" w14:textId="77777777">
            <w:pPr>
              <w:pStyle w:val="EQRTableTextbullet"/>
            </w:pPr>
            <w:r w:rsidRPr="00990D3B">
              <w:t>For each ILOS, the evaluation should assess:</w:t>
            </w:r>
          </w:p>
          <w:p w:rsidR="0045391D" w:rsidRPr="00990D3B" w:rsidP="00F96E5F" w14:paraId="0577E2AD" w14:textId="77777777">
            <w:pPr>
              <w:pStyle w:val="EQRTableTextbullet2ndlevel"/>
            </w:pPr>
            <w:r w:rsidRPr="00990D3B">
              <w:t>The impact of the ILOS on the utilization and cost of the state plan-approved services or settings.</w:t>
            </w:r>
          </w:p>
          <w:p w:rsidR="0045391D" w:rsidRPr="00990D3B" w:rsidP="00F96E5F" w14:paraId="633FC99B" w14:textId="77777777">
            <w:pPr>
              <w:pStyle w:val="EQRTableTextbullet2ndlevel"/>
            </w:pPr>
            <w:r w:rsidRPr="00990D3B">
              <w:t xml:space="preserve">Trends in the use of the ILOS by MCPs and enrollees. </w:t>
            </w:r>
          </w:p>
          <w:p w:rsidR="0045391D" w:rsidRPr="00990D3B" w:rsidP="00F96E5F" w14:paraId="21263972" w14:textId="77777777">
            <w:pPr>
              <w:pStyle w:val="EQRTableTextbullet2ndlevel"/>
            </w:pPr>
            <w:r w:rsidRPr="00990D3B">
              <w:t>Whether encounter data supports the determination that the ILOS is a medically appropriate and cost-effective substitute for the identified state plan-covered service or setting.</w:t>
            </w:r>
          </w:p>
          <w:p w:rsidR="0045391D" w:rsidRPr="00990D3B" w:rsidP="00F96E5F" w14:paraId="527680BC" w14:textId="77777777">
            <w:pPr>
              <w:pStyle w:val="EQRTableTextbullet2ndlevel"/>
            </w:pPr>
            <w:r w:rsidRPr="00990D3B">
              <w:t xml:space="preserve">The effect of the ILOS on quality of care. </w:t>
            </w:r>
          </w:p>
          <w:p w:rsidR="0045391D" w:rsidRPr="00990D3B" w:rsidP="00F96E5F" w14:paraId="2735A096" w14:textId="77777777">
            <w:pPr>
              <w:pStyle w:val="EQRTableTextbullet2ndlevel"/>
            </w:pPr>
            <w:r w:rsidRPr="00990D3B">
              <w:t xml:space="preserve">The final ILOS </w:t>
            </w:r>
            <w:r w:rsidRPr="00990D3B">
              <w:t>cost</w:t>
            </w:r>
            <w:r w:rsidRPr="00990D3B">
              <w:t xml:space="preserve"> percentage for each year.</w:t>
            </w:r>
          </w:p>
          <w:p w:rsidR="0045391D" w:rsidRPr="00990D3B" w:rsidP="00F96E5F" w14:paraId="4F5E70BC" w14:textId="77777777">
            <w:pPr>
              <w:pStyle w:val="EQRTableTextbullet2ndlevel"/>
            </w:pPr>
            <w:r w:rsidRPr="00990D3B">
              <w:t xml:space="preserve">Assessments of appeal, grievance, and state fair hearing data. </w:t>
            </w:r>
          </w:p>
          <w:p w:rsidR="0045391D" w:rsidRPr="00990D3B" w:rsidP="00F96E5F" w14:paraId="7517B8C1" w14:textId="77777777">
            <w:pPr>
              <w:pStyle w:val="EQRTableTextbullet2ndlevel"/>
            </w:pPr>
            <w:r w:rsidRPr="00990D3B">
              <w:t xml:space="preserve">The impact of </w:t>
            </w:r>
            <w:r w:rsidRPr="00990D3B">
              <w:t>the ILOS</w:t>
            </w:r>
            <w:r w:rsidRPr="00990D3B">
              <w:t xml:space="preserve"> on health equity efforts. </w:t>
            </w:r>
          </w:p>
          <w:p w:rsidR="0045391D" w:rsidRPr="00990D3B" w:rsidP="00603FB0" w14:paraId="2A17C9DD" w14:textId="77777777">
            <w:pPr>
              <w:pStyle w:val="EQRTableTextbullet"/>
            </w:pPr>
            <w:r w:rsidRPr="00990D3B">
              <w:t xml:space="preserve">States must submit the retrospective evaluation to CMS no later than two years after completing the first five rating periods of the ILOS authorization or the rating period with a final ILOS cost percentage exceeding the 1.5 percent threshold, whichever is later. </w:t>
            </w:r>
          </w:p>
        </w:tc>
      </w:tr>
    </w:tbl>
    <w:p w:rsidR="0045391D" w:rsidRPr="00990D3B" w:rsidP="00666AC0" w14:paraId="5C39F940" w14:textId="77777777">
      <w:pPr>
        <w:pStyle w:val="ParagraphContinued"/>
      </w:pPr>
      <w:r w:rsidRPr="00990D3B">
        <w:t xml:space="preserve">This protocol provides guidance for developing and conducting robust evaluations for managed care </w:t>
      </w:r>
      <w:r w:rsidRPr="00990D3B">
        <w:rPr>
          <w:rFonts w:cstheme="minorHAnsi"/>
          <w:szCs w:val="18"/>
        </w:rPr>
        <w:t>QSs</w:t>
      </w:r>
      <w:r w:rsidRPr="00990D3B">
        <w:t>, SDP arrangements, and ILOS.</w:t>
      </w:r>
      <w:r>
        <w:rPr>
          <w:rStyle w:val="FootnoteReference"/>
        </w:rPr>
        <w:footnoteReference w:id="130"/>
      </w:r>
      <w:r w:rsidRPr="00990D3B">
        <w:t xml:space="preserve"> While the regulations vary by evaluation type, External Quality Review Organizations (EQROs) can follow the same process outlined in this protocol for all evaluations. Specific considerations for each evaluation type are shared throughout the protocol where applicable. </w:t>
      </w:r>
    </w:p>
    <w:p w:rsidR="0045391D" w:rsidRPr="00990D3B" w:rsidP="00666AC0" w14:paraId="371BF214" w14:textId="77777777">
      <w:pPr>
        <w:pStyle w:val="H2"/>
      </w:pPr>
      <w:bookmarkStart w:id="1058" w:name="_Toc201751455"/>
      <w:r w:rsidRPr="00990D3B">
        <w:t>Getting Started on Protocol 11</w:t>
      </w:r>
      <w:bookmarkEnd w:id="1058"/>
    </w:p>
    <w:p w:rsidR="0045391D" w:rsidRPr="00990D3B" w:rsidP="00666AC0" w14:paraId="4622BD56" w14:textId="0B0EE508">
      <w:pPr>
        <w:pStyle w:val="ParagraphContinued"/>
      </w:pPr>
      <w:r w:rsidRPr="00990D3B">
        <w:t>To complete this protocol, the EQRO undertakes three activities for each evaluation it is conducting (</w:t>
      </w:r>
      <w:hyperlink w:anchor="Figure11n1" w:tooltip="Figure 11.1" w:history="1">
        <w:r w:rsidRPr="00990D3B">
          <w:rPr>
            <w:rStyle w:val="Hyperlink"/>
          </w:rPr>
          <w:t>Figure 11.1</w:t>
        </w:r>
      </w:hyperlink>
      <w:r w:rsidR="00023147">
        <w:t>, next page</w:t>
      </w:r>
      <w:r w:rsidRPr="00990D3B">
        <w:t xml:space="preserve">). </w:t>
      </w:r>
    </w:p>
    <w:p w:rsidR="0045391D" w:rsidRPr="00990D3B" w:rsidP="00666AC0" w14:paraId="3DC65E70" w14:textId="77777777">
      <w:pPr>
        <w:pStyle w:val="MarkforFigureHeading"/>
      </w:pPr>
      <w:bookmarkStart w:id="1059" w:name="Figure11n1"/>
      <w:bookmarkEnd w:id="1059"/>
      <w:r w:rsidRPr="00990D3B">
        <w:t>Figure 11.1. Protocol 11 Activities</w:t>
      </w:r>
    </w:p>
    <w:p w:rsidR="0045391D" w:rsidRPr="00990D3B" w:rsidP="00666AC0" w14:paraId="7E21D27D" w14:textId="77777777">
      <w:pPr>
        <w:pStyle w:val="Paragraph0"/>
      </w:pPr>
      <w:r w:rsidRPr="00990D3B">
        <w:rPr>
          <w:noProof/>
          <w:sz w:val="16"/>
          <w:szCs w:val="16"/>
        </w:rPr>
        <w:drawing>
          <wp:inline distT="0" distB="0" distL="0" distR="0">
            <wp:extent cx="5600700" cy="2027555"/>
            <wp:effectExtent l="0" t="0" r="0" b="0"/>
            <wp:docPr id="752404005" name="Picture 1" descr="This graphic shows the activities and steps included in Protocol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04005" name="Picture 1" descr="This graphic shows the activities and steps included in Protocol 11"/>
                    <pic:cNvPicPr/>
                  </pic:nvPicPr>
                  <pic:blipFill>
                    <a:blip xmlns:r="http://schemas.openxmlformats.org/officeDocument/2006/relationships" r:embed="rId2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600700" cy="2027555"/>
                    </a:xfrm>
                    <a:prstGeom prst="rect">
                      <a:avLst/>
                    </a:prstGeom>
                  </pic:spPr>
                </pic:pic>
              </a:graphicData>
            </a:graphic>
          </wp:inline>
        </w:drawing>
      </w:r>
    </w:p>
    <w:p w:rsidR="0045391D" w:rsidRPr="00990D3B" w:rsidP="00666AC0" w14:paraId="72950383" w14:textId="77777777">
      <w:pPr>
        <w:pStyle w:val="Paragraph0"/>
      </w:pPr>
      <w:r w:rsidRPr="00990D3B">
        <w:t xml:space="preserve">One supplemental resource is available to help EQROs develop and conduct evaluations for </w:t>
      </w:r>
      <w:r w:rsidRPr="00990D3B">
        <w:rPr>
          <w:rFonts w:cstheme="minorHAnsi"/>
          <w:szCs w:val="18"/>
        </w:rPr>
        <w:t>QSs</w:t>
      </w:r>
      <w:r w:rsidRPr="00990D3B">
        <w:t xml:space="preserve">, SDPs, and ILOSs: </w:t>
      </w:r>
    </w:p>
    <w:p w:rsidR="0045391D" w:rsidRPr="00990D3B" w:rsidP="00FB7CAF" w14:paraId="59B4AD67" w14:textId="301C71F7">
      <w:pPr>
        <w:pStyle w:val="EQRBulletBLUE"/>
      </w:pPr>
      <w:hyperlink w:anchor="WS11" w:tooltip="Worksheets for Protocol 7. Performance Measure Calculation Tools" w:history="1">
        <w:r w:rsidRPr="00990D3B">
          <w:rPr>
            <w:rStyle w:val="Hyperlink"/>
          </w:rPr>
          <w:t>Worksheets for Protocol 11. Evaluating State Quality Strategies, State Directed Payments, and In Lieu of Services and Settings</w:t>
        </w:r>
      </w:hyperlink>
      <w:r w:rsidRPr="00990D3B">
        <w:t>, which can be used to guide the development of an evaluation.</w:t>
      </w:r>
    </w:p>
    <w:p w:rsidR="0045391D" w:rsidRPr="00990D3B" w:rsidP="00FB7CAF" w14:paraId="036D2928" w14:textId="77777777">
      <w:pPr>
        <w:pStyle w:val="EQRBulletBLUE"/>
      </w:pPr>
      <w:r w:rsidRPr="00990D3B">
        <w:t>The remainder of this protocol outlines the steps associated with Activities 1 through 3.</w:t>
      </w:r>
    </w:p>
    <w:p w:rsidR="0045391D" w:rsidRPr="00990D3B" w:rsidP="00666AC0" w14:paraId="0DD083C1" w14:textId="77777777">
      <w:pPr>
        <w:pStyle w:val="EQRFigure"/>
      </w:pPr>
      <w:r w:rsidRPr="00990D3B">
        <w:drawing>
          <wp:inline distT="0" distB="0" distL="0" distR="0">
            <wp:extent cx="5236475" cy="1191770"/>
            <wp:effectExtent l="0" t="0" r="2540" b="8890"/>
            <wp:docPr id="1156928796" name="Picture 1156928796" descr="TIP: Navigate to the corresponding worksheet by clicking the WORKSHEET box under each section. An image of a sample WORKSHEET box is included in the TIP text. Worksheet boxes are single lines of hyperlinked text with a box border that read &quot;Worksheet X.X&quot; with the first number representing the protocol number, and second number representing the worksheet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928796" name="Picture 266" descr="TIP: Navigate to the corresponding worksheet by clicking the WORKSHEET box under each section. An image of a sample WORKSHEET box is included in the TIP text. Worksheet boxes are single lines of hyperlinked text with a box border that read &quot;Worksheet X.X&quot; with the first number representing the protocol number, and second number representing the worksheet number."/>
                    <pic:cNvPicPr/>
                  </pic:nvPicPr>
                  <pic:blipFill>
                    <a:blip xmlns:r="http://schemas.openxmlformats.org/officeDocument/2006/relationships" r:embed="rId10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36475" cy="1191770"/>
                    </a:xfrm>
                    <a:prstGeom prst="rect">
                      <a:avLst/>
                    </a:prstGeom>
                  </pic:spPr>
                </pic:pic>
              </a:graphicData>
            </a:graphic>
          </wp:inline>
        </w:drawing>
      </w:r>
    </w:p>
    <w:p w:rsidR="0045391D" w:rsidRPr="00990D3B" w:rsidP="00666AC0" w14:paraId="135B3AA3" w14:textId="77777777">
      <w:pPr>
        <w:pStyle w:val="H2"/>
      </w:pPr>
      <w:bookmarkStart w:id="1060" w:name="P11A1"/>
      <w:bookmarkStart w:id="1061" w:name="_Toc201751456"/>
      <w:bookmarkEnd w:id="1060"/>
      <w:r w:rsidRPr="00990D3B">
        <w:t>Activity 1: Develop an Evaluation Plan</w:t>
      </w:r>
      <w:bookmarkEnd w:id="1061"/>
    </w:p>
    <w:p w:rsidR="00603FB0" w:rsidRPr="00990D3B" w:rsidP="0061443A" w14:paraId="2DE5498C" w14:textId="61957683">
      <w:pPr>
        <w:pStyle w:val="ParagraphContinued"/>
      </w:pPr>
      <w:r w:rsidRPr="00990D3B">
        <w:t xml:space="preserve">Activity 1 establishes the foundation for a comprehensive and systematic evaluation, guiding the development of a detailed plan that outlines all evaluation activities and analytic approaches. Developing a detailed evaluation plan ensures that the state and evaluators have a shared understanding of the evaluation objectives, scope, methods, and metrics. Planning in advance is highly recommended to allow sufficient time to refine the approach, address potential challenges, and incorporate feedback from interested parties into the evaluation plan. </w:t>
      </w:r>
    </w:p>
    <w:p w:rsidR="00603FB0" w:rsidRPr="00990D3B" w14:paraId="7ED4717E" w14:textId="5706E3E6">
      <w:pPr>
        <w:spacing w:line="240" w:lineRule="auto"/>
      </w:pPr>
      <w:r w:rsidRPr="00990D3B">
        <w:br w:type="page"/>
      </w:r>
    </w:p>
    <w:p w:rsidR="0045391D" w:rsidRPr="00990D3B" w:rsidP="00666AC0" w14:paraId="50433A87" w14:textId="1D61DA64">
      <w:pPr>
        <w:pStyle w:val="H3"/>
      </w:pPr>
      <w:r w:rsidRPr="00990D3B">
        <w:t xml:space="preserve">Step </w:t>
      </w:r>
      <w:r w:rsidRPr="00990D3B">
        <w:t>1</w:t>
      </w:r>
      <w:r w:rsidRPr="00990D3B">
        <w:t xml:space="preserve">: </w:t>
      </w:r>
      <w:r w:rsidRPr="00990D3B">
        <w:t xml:space="preserve">Identify Evaluation Purpose, Scope, and Requirements </w:t>
      </w:r>
    </w:p>
    <w:p w:rsidR="0045391D" w:rsidRPr="00990D3B" w:rsidP="00603FB0" w14:paraId="3E292F80" w14:textId="18ECEEC5">
      <w:pPr>
        <w:pStyle w:val="ParagraphContinued"/>
      </w:pPr>
      <w:r w:rsidRPr="00990D3B">
        <w:rPr>
          <w:noProof/>
        </w:rPr>
        <mc:AlternateContent>
          <mc:Choice Requires="wps">
            <w:drawing>
              <wp:anchor distT="0" distB="0" distL="114300" distR="114300" simplePos="0" relativeHeight="251998208" behindDoc="0" locked="0" layoutInCell="1" allowOverlap="1">
                <wp:simplePos x="0" y="0"/>
                <wp:positionH relativeFrom="column">
                  <wp:posOffset>3764915</wp:posOffset>
                </wp:positionH>
                <wp:positionV relativeFrom="paragraph">
                  <wp:posOffset>114300</wp:posOffset>
                </wp:positionV>
                <wp:extent cx="2193925" cy="297180"/>
                <wp:effectExtent l="19050" t="19050" r="15875" b="26670"/>
                <wp:wrapTight wrapText="bothSides">
                  <wp:wrapPolygon>
                    <wp:start x="21788" y="22985"/>
                    <wp:lineTo x="21788" y="-554"/>
                    <wp:lineTo x="31" y="-554"/>
                    <wp:lineTo x="31" y="22985"/>
                    <wp:lineTo x="21788" y="22985"/>
                  </wp:wrapPolygon>
                </wp:wrapTight>
                <wp:docPr id="215417591" name="Text Box 215417591" descr="P532TB55#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180"/>
                        </a:xfrm>
                        <a:prstGeom prst="rect">
                          <a:avLst/>
                        </a:prstGeom>
                        <a:solidFill>
                          <a:srgbClr val="EEF5F8"/>
                        </a:solidFill>
                        <a:ln w="28575" cap="rnd">
                          <a:solidFill>
                            <a:srgbClr val="A5DAD9"/>
                          </a:solidFill>
                          <a:prstDash val="solid"/>
                          <a:miter lim="800000"/>
                          <a:headEnd/>
                          <a:tailEnd/>
                        </a:ln>
                      </wps:spPr>
                      <wps:txbx>
                        <w:txbxContent>
                          <w:p w:rsidR="0045391D" w:rsidRPr="0090682E" w:rsidP="00666AC0" w14:textId="4C18F1D0">
                            <w:pPr>
                              <w:pStyle w:val="EQRWORKSHEETText"/>
                              <w:rPr>
                                <w:spacing w:val="-2"/>
                              </w:rPr>
                            </w:pPr>
                            <w:hyperlink w:anchor="WS11n1" w:tooltip="WORKSHEET 11.1" w:history="1">
                              <w:r w:rsidRPr="005A0A58">
                                <w:rPr>
                                  <w:rStyle w:val="Hyperlink"/>
                                </w:rPr>
                                <w:t>WORKSHEET 11.1</w:t>
                              </w:r>
                            </w:hyperlink>
                          </w:p>
                        </w:txbxContent>
                      </wps:txbx>
                      <wps:bodyPr rot="0" vert="horz" wrap="square" lIns="109728" tIns="45720" rIns="109728" bIns="45720" anchor="t" anchorCtr="0" upright="1">
                        <a:spAutoFit/>
                      </wps:bodyPr>
                    </wps:wsp>
                  </a:graphicData>
                </a:graphic>
              </wp:anchor>
            </w:drawing>
          </mc:Choice>
          <mc:Fallback>
            <w:pict>
              <v:shape id="Text Box 215417591" o:spid="_x0000_s1228" type="#_x0000_t202" alt="P532TB55#y1" style="width:172.75pt;height:23.4pt;margin-top:9pt;margin-left:296.45pt;flip:y;mso-wrap-distance-bottom:0;mso-wrap-distance-left:9pt;mso-wrap-distance-right:9pt;mso-wrap-distance-top:0;mso-wrap-style:square;position:absolute;rotation:180;visibility:visible;v-text-anchor:top;z-index:251999232" fillcolor="#eef5f8" strokecolor="#a5dad9" strokeweight="2.25pt">
                <v:stroke endcap="round"/>
                <v:textbox style="mso-fit-shape-to-text:t" inset="8.64pt,,8.64pt">
                  <w:txbxContent>
                    <w:p w:rsidR="0045391D" w:rsidRPr="0090682E" w:rsidP="00666AC0" w14:paraId="5B313BF2" w14:textId="4C18F1D0">
                      <w:pPr>
                        <w:pStyle w:val="EQRWORKSHEETText"/>
                        <w:rPr>
                          <w:spacing w:val="-2"/>
                        </w:rPr>
                      </w:pPr>
                      <w:hyperlink w:anchor="WS11n1" w:tooltip="WORKSHEET 11.1" w:history="1">
                        <w:r w:rsidRPr="005A0A58">
                          <w:rPr>
                            <w:rStyle w:val="Hyperlink"/>
                          </w:rPr>
                          <w:t>WORKSHEET 11.1</w:t>
                        </w:r>
                      </w:hyperlink>
                    </w:p>
                  </w:txbxContent>
                </v:textbox>
                <w10:wrap type="tight"/>
              </v:shape>
            </w:pict>
          </mc:Fallback>
        </mc:AlternateContent>
      </w:r>
      <w:r w:rsidRPr="00990D3B">
        <w:rPr>
          <w:noProof/>
        </w:rPr>
        <mc:AlternateContent>
          <mc:Choice Requires="wps">
            <w:drawing>
              <wp:anchor distT="0" distB="0" distL="114300" distR="114300" simplePos="0" relativeHeight="251996160" behindDoc="0" locked="0" layoutInCell="1" allowOverlap="1">
                <wp:simplePos x="0" y="0"/>
                <wp:positionH relativeFrom="column">
                  <wp:posOffset>3766185</wp:posOffset>
                </wp:positionH>
                <wp:positionV relativeFrom="paragraph">
                  <wp:posOffset>492760</wp:posOffset>
                </wp:positionV>
                <wp:extent cx="2194560" cy="1148080"/>
                <wp:effectExtent l="19050" t="19050" r="15240" b="13970"/>
                <wp:wrapTight wrapText="bothSides">
                  <wp:wrapPolygon>
                    <wp:start x="21788" y="21958"/>
                    <wp:lineTo x="21788" y="96"/>
                    <wp:lineTo x="38" y="96"/>
                    <wp:lineTo x="38" y="21958"/>
                    <wp:lineTo x="21788" y="21958"/>
                  </wp:wrapPolygon>
                </wp:wrapTight>
                <wp:docPr id="2006797308" name="Text Box 2006797308" descr="P532TB54#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1148080"/>
                        </a:xfrm>
                        <a:prstGeom prst="rect">
                          <a:avLst/>
                        </a:prstGeom>
                        <a:solidFill>
                          <a:srgbClr val="EEF5F8"/>
                        </a:solidFill>
                        <a:ln w="28575" cap="rnd">
                          <a:solidFill>
                            <a:srgbClr val="A5DAD9"/>
                          </a:solidFill>
                          <a:prstDash val="solid"/>
                          <a:miter lim="800000"/>
                          <a:headEnd/>
                          <a:tailEnd/>
                        </a:ln>
                      </wps:spPr>
                      <wps:txbx>
                        <w:txbxContent>
                          <w:p w:rsidR="0045391D" w:rsidP="00666AC0" w14:textId="77777777">
                            <w:pPr>
                              <w:pStyle w:val="EQRTextboxheading"/>
                            </w:pPr>
                            <w:r>
                              <w:t>Resource for Activity 1, Step 1</w:t>
                            </w:r>
                            <w:r w:rsidRPr="00DE7C40">
                              <w:t xml:space="preserve"> </w:t>
                            </w:r>
                          </w:p>
                          <w:p w:rsidR="0045391D" w:rsidP="00666AC0" w14:textId="109652CB">
                            <w:pPr>
                              <w:pStyle w:val="EQRTextboxbody"/>
                            </w:pPr>
                            <w:hyperlink w:anchor="WS11n1" w:tooltip="Worksheet 1.2. Review the PIP Aim Statement" w:history="1">
                              <w:r w:rsidRPr="00B05E35">
                                <w:rPr>
                                  <w:rStyle w:val="Hyperlink"/>
                                </w:rPr>
                                <w:t>Worksheet 1</w:t>
                              </w:r>
                              <w:r>
                                <w:rPr>
                                  <w:rStyle w:val="Hyperlink"/>
                                </w:rPr>
                                <w:t>1.1</w:t>
                              </w:r>
                              <w:r w:rsidRPr="00B05E35">
                                <w:rPr>
                                  <w:rStyle w:val="Hyperlink"/>
                                </w:rPr>
                                <w:t xml:space="preserve">. </w:t>
                              </w:r>
                              <w:r>
                                <w:rPr>
                                  <w:rStyle w:val="Hyperlink"/>
                                </w:rPr>
                                <w:t>Setting Up the Evaluation</w:t>
                              </w:r>
                            </w:hyperlink>
                          </w:p>
                          <w:p w:rsidR="0045391D" w:rsidRPr="008A4442" w:rsidP="00666AC0" w14:textId="77777777">
                            <w:pPr>
                              <w:pStyle w:val="EQRTextboxbullet"/>
                              <w:ind w:left="180" w:hanging="180"/>
                            </w:pPr>
                            <w:r>
                              <w:t>Provides a template for defining the evaluation’s purpose, scope, and key requirements</w:t>
                            </w:r>
                          </w:p>
                        </w:txbxContent>
                      </wps:txbx>
                      <wps:bodyPr rot="0" vert="horz" wrap="square" lIns="109728" tIns="45720" rIns="109728" bIns="45720" anchor="t" anchorCtr="0" upright="1">
                        <a:spAutoFit/>
                      </wps:bodyPr>
                    </wps:wsp>
                  </a:graphicData>
                </a:graphic>
              </wp:anchor>
            </w:drawing>
          </mc:Choice>
          <mc:Fallback>
            <w:pict>
              <v:shape id="Text Box 2006797308" o:spid="_x0000_s1229" type="#_x0000_t202" alt="P532TB54#y1" style="width:172.8pt;height:90.4pt;margin-top:38.8pt;margin-left:296.55pt;flip:y;mso-wrap-distance-bottom:0;mso-wrap-distance-left:9pt;mso-wrap-distance-right:9pt;mso-wrap-distance-top:0;mso-wrap-style:square;position:absolute;rotation:180;visibility:visible;v-text-anchor:top;z-index:251997184" fillcolor="#eef5f8" strokecolor="#a5dad9" strokeweight="2.25pt">
                <v:stroke endcap="round"/>
                <v:textbox style="mso-fit-shape-to-text:t" inset="8.64pt,,8.64pt">
                  <w:txbxContent>
                    <w:p w:rsidR="0045391D" w:rsidP="00666AC0" w14:paraId="41BB894A" w14:textId="77777777">
                      <w:pPr>
                        <w:pStyle w:val="EQRTextboxheading"/>
                      </w:pPr>
                      <w:r>
                        <w:t>Resource for Activity 1, Step 1</w:t>
                      </w:r>
                      <w:r w:rsidRPr="00DE7C40">
                        <w:t xml:space="preserve"> </w:t>
                      </w:r>
                    </w:p>
                    <w:p w:rsidR="0045391D" w:rsidP="00666AC0" w14:paraId="528EAA68" w14:textId="109652CB">
                      <w:pPr>
                        <w:pStyle w:val="EQRTextboxbody"/>
                      </w:pPr>
                      <w:hyperlink w:anchor="WS11n1" w:tooltip="Worksheet 1.2. Review the PIP Aim Statement" w:history="1">
                        <w:r w:rsidRPr="00B05E35">
                          <w:rPr>
                            <w:rStyle w:val="Hyperlink"/>
                          </w:rPr>
                          <w:t>Worksheet 1</w:t>
                        </w:r>
                        <w:r>
                          <w:rPr>
                            <w:rStyle w:val="Hyperlink"/>
                          </w:rPr>
                          <w:t>1.1</w:t>
                        </w:r>
                        <w:r w:rsidRPr="00B05E35">
                          <w:rPr>
                            <w:rStyle w:val="Hyperlink"/>
                          </w:rPr>
                          <w:t xml:space="preserve">. </w:t>
                        </w:r>
                        <w:r>
                          <w:rPr>
                            <w:rStyle w:val="Hyperlink"/>
                          </w:rPr>
                          <w:t>Setting Up the Evaluation</w:t>
                        </w:r>
                      </w:hyperlink>
                    </w:p>
                    <w:p w:rsidR="0045391D" w:rsidRPr="008A4442" w:rsidP="00666AC0" w14:paraId="462C3F68" w14:textId="77777777">
                      <w:pPr>
                        <w:pStyle w:val="EQRTextboxbullet"/>
                        <w:ind w:left="180" w:hanging="180"/>
                      </w:pPr>
                      <w:r>
                        <w:t>Provides a template for defining the evaluation’s purpose, scope, and key requirements</w:t>
                      </w:r>
                    </w:p>
                  </w:txbxContent>
                </v:textbox>
                <w10:wrap type="tight"/>
              </v:shape>
            </w:pict>
          </mc:Fallback>
        </mc:AlternateContent>
      </w:r>
      <w:r w:rsidRPr="00990D3B">
        <w:t xml:space="preserve">In this step, the EQRO outlines the primary focus and objectives of the evaluation. This includes identifying the reasons for conducting the evaluation, such as assessing potential policy changes, monitoring program improvements, and complying with state and federal requirements. The evaluation purpose and scope will vary across QSs, SDPs, and ILOSs due to their distinct nature: a QS is a multifaceted, overarching document encompassing broad quality goals and initiatives, while SDPs and ILOSs are specific, targeted mechanisms designed to address discrete programmatic or payment objectives. </w:t>
      </w:r>
      <w:hyperlink w:anchor="Box11n1" w:tooltip="Box 11.1" w:history="1">
        <w:r w:rsidRPr="00990D3B">
          <w:rPr>
            <w:rStyle w:val="Hyperlink"/>
          </w:rPr>
          <w:t>Box 11.1</w:t>
        </w:r>
      </w:hyperlink>
      <w:r w:rsidRPr="00990D3B">
        <w:rPr>
          <w:color w:val="1CA8B7"/>
        </w:rPr>
        <w:t xml:space="preserve"> </w:t>
      </w:r>
      <w:r w:rsidRPr="00990D3B">
        <w:t xml:space="preserve">includes considerations for QS evaluations, </w:t>
      </w:r>
      <w:hyperlink w:anchor="Box11n2" w:tooltip="Box 11.2" w:history="1">
        <w:r w:rsidRPr="00990D3B">
          <w:rPr>
            <w:rStyle w:val="Hyperlink"/>
          </w:rPr>
          <w:t>Box 11.2</w:t>
        </w:r>
      </w:hyperlink>
      <w:r w:rsidRPr="00990D3B">
        <w:rPr>
          <w:color w:val="1CA8B7"/>
        </w:rPr>
        <w:t xml:space="preserve"> </w:t>
      </w:r>
      <w:r w:rsidRPr="00990D3B" w:rsidR="00340F51">
        <w:t xml:space="preserve">(next page) </w:t>
      </w:r>
      <w:r w:rsidRPr="00990D3B">
        <w:t xml:space="preserve">includes considerations for SDP evaluations, and </w:t>
      </w:r>
      <w:hyperlink w:anchor="Box11n3" w:tooltip="Box 11.3" w:history="1">
        <w:r w:rsidRPr="00990D3B">
          <w:rPr>
            <w:rStyle w:val="Hyperlink"/>
          </w:rPr>
          <w:t>Box 11.3</w:t>
        </w:r>
      </w:hyperlink>
      <w:r w:rsidRPr="00990D3B" w:rsidR="00340F51">
        <w:rPr>
          <w:color w:val="1CA8B7"/>
        </w:rPr>
        <w:t xml:space="preserve"> </w:t>
      </w:r>
      <w:r w:rsidRPr="00990D3B" w:rsidR="00340F51">
        <w:t>(next page)</w:t>
      </w:r>
      <w:r w:rsidRPr="00990D3B">
        <w:t xml:space="preserve"> includes considerations for ILOS evaluations. </w:t>
      </w:r>
    </w:p>
    <w:p w:rsidR="0045391D" w:rsidRPr="00990D3B" w:rsidP="00666AC0" w14:paraId="4D100EE7" w14:textId="0C5C52FE">
      <w:pPr>
        <w:pStyle w:val="Paragraph0"/>
      </w:pPr>
      <w:r w:rsidRPr="00990D3B">
        <w:t xml:space="preserve">As part of this step, the EQRO also identifies the managed care populations, services, providers, and MCPs included in the evaluation’s scope. This helps tailor the evaluation </w:t>
      </w:r>
      <w:r w:rsidRPr="00990D3B">
        <w:t>to</w:t>
      </w:r>
      <w:r w:rsidRPr="00990D3B">
        <w:t xml:space="preserve"> the unique characteristics of the included populations, entities, and services. Finally, the EQRO should review all relevant state and federal requirements related to the evaluation to ensure the evaluation plan addresses all mandated components. </w:t>
      </w:r>
      <w:hyperlink w:anchor="Table11n1" w:tooltip="Table 11.1" w:history="1">
        <w:r w:rsidRPr="00990D3B">
          <w:rPr>
            <w:rStyle w:val="Hyperlink"/>
          </w:rPr>
          <w:t>Table 11.1</w:t>
        </w:r>
      </w:hyperlink>
      <w:r w:rsidRPr="00990D3B">
        <w:rPr>
          <w:color w:val="1CA8B7"/>
        </w:rPr>
        <w:t xml:space="preserve"> </w:t>
      </w:r>
      <w:r w:rsidRPr="00990D3B">
        <w:t>above provides an overview of the federal requirements.</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31722FF8" w14:textId="77777777" w:rsidTr="00666AC0">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3519"/>
        </w:trPr>
        <w:tc>
          <w:tcPr>
            <w:tcW w:w="9314" w:type="dxa"/>
            <w:shd w:val="clear" w:color="auto" w:fill="EEF5F8"/>
          </w:tcPr>
          <w:p w:rsidR="0045391D" w:rsidRPr="00990D3B" w:rsidP="00666AC0" w14:paraId="7C187FBE" w14:textId="77777777">
            <w:pPr>
              <w:pStyle w:val="EQRTextboxheading"/>
              <w:keepNext/>
            </w:pPr>
            <w:bookmarkStart w:id="1062" w:name="Box11n1"/>
            <w:bookmarkStart w:id="1063" w:name="_Hlk184137612"/>
            <w:bookmarkEnd w:id="1062"/>
            <w:r w:rsidRPr="00990D3B">
              <w:t>Box 11.1. Considerations for Identifying the QS Evaluation Purpose and Scope</w:t>
            </w:r>
          </w:p>
          <w:p w:rsidR="0045391D" w:rsidRPr="00990D3B" w:rsidP="00A02706" w14:paraId="52E99555" w14:textId="77777777">
            <w:pPr>
              <w:pStyle w:val="EQRTextboxbody"/>
            </w:pPr>
            <w:r w:rsidRPr="00990D3B">
              <w:t xml:space="preserve">The first step in identifying the purpose and scope of a QS evaluation is reviewing the state’s QS. The QS is a comprehensive framework that outlines the state’s overarching goals, objectives, and strategies for improving the quality, timeliness, and access to healthcare services provided by MCPs. </w:t>
            </w:r>
            <w:bookmarkStart w:id="1064" w:name="_Hlk185338971"/>
            <w:r w:rsidRPr="00990D3B">
              <w:t>Evaluating the QS requires a holistic approach, focusing on both the implementation of improvements and progress toward managed care quality goals</w:t>
            </w:r>
            <w:bookmarkEnd w:id="1064"/>
            <w:r w:rsidRPr="00990D3B">
              <w:t xml:space="preserve">.  </w:t>
            </w:r>
          </w:p>
          <w:p w:rsidR="0045391D" w:rsidRPr="00990D3B" w:rsidP="00A02706" w14:paraId="6612BAB7" w14:textId="77777777">
            <w:pPr>
              <w:pStyle w:val="EQRTextboxbody"/>
            </w:pPr>
            <w:r w:rsidRPr="00990D3B">
              <w:t>A central focus of many QS evaluations is assessing progress toward the state’s quality goals and objectives, MCPs’ progress toward quality assessment and performance improvement (QAPI) performance measure targets, and the impact of QAPI performance improvement projects (PIPs). In addition to these core elements, the evaluation should consider other quality initiatives undertaken by the state to advance its quality goals.</w:t>
            </w:r>
          </w:p>
          <w:p w:rsidR="0045391D" w:rsidRPr="00990D3B" w:rsidP="00A02706" w14:paraId="7791DA57" w14:textId="77777777">
            <w:pPr>
              <w:pStyle w:val="EQRTextboxbody"/>
            </w:pPr>
            <w:r w:rsidRPr="00990D3B">
              <w:rPr>
                <w:color w:val="00559D" w:themeColor="text2"/>
              </w:rPr>
              <w:t xml:space="preserve">Finally, </w:t>
            </w:r>
            <w:r w:rsidRPr="00990D3B">
              <w:t>QS</w:t>
            </w:r>
            <w:r w:rsidRPr="00990D3B">
              <w:rPr>
                <w:color w:val="00559D" w:themeColor="text2"/>
              </w:rPr>
              <w:t xml:space="preserve"> evaluations often include a review of progress on the QSs disparity plan. This plan may highlight specific factors, such as disability status, that the EQRO may want to focus on to ensure that quality initiatives effectively address communities’ unique needs. The QS frequently incorporates or links to a detailed disparity plan evaluation framework, which should guide the EQRO’s assessment.</w:t>
            </w:r>
          </w:p>
        </w:tc>
      </w:tr>
      <w:bookmarkEnd w:id="1063"/>
    </w:tbl>
    <w:p w:rsidR="0045391D" w:rsidRPr="00990D3B" w:rsidP="00666AC0" w14:paraId="04A71A62" w14:textId="77777777">
      <w:pPr>
        <w:pStyle w:val="Paragraph0"/>
        <w:spacing w:after="0" w:line="240" w:lineRule="auto"/>
      </w:pP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153EE3F2" w14:textId="77777777" w:rsidTr="00666AC0">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3573"/>
        </w:trPr>
        <w:tc>
          <w:tcPr>
            <w:tcW w:w="9314" w:type="dxa"/>
            <w:shd w:val="clear" w:color="auto" w:fill="EEF5F8"/>
          </w:tcPr>
          <w:p w:rsidR="0045391D" w:rsidRPr="00990D3B" w:rsidP="00666AC0" w14:paraId="19ABDA8D" w14:textId="77777777">
            <w:pPr>
              <w:pStyle w:val="EQRTextboxheading"/>
            </w:pPr>
            <w:bookmarkStart w:id="1065" w:name="Box11n2"/>
            <w:bookmarkEnd w:id="1065"/>
            <w:r w:rsidRPr="00990D3B">
              <w:t>Box 11.2. Considerations for Identifying the SDP Evaluation Purpose and Scope</w:t>
            </w:r>
          </w:p>
          <w:p w:rsidR="0045391D" w:rsidRPr="00990D3B" w:rsidP="00A02706" w14:paraId="70EC087E" w14:textId="77777777">
            <w:pPr>
              <w:pStyle w:val="EQRTextboxbody"/>
            </w:pPr>
            <w:r w:rsidRPr="00990D3B">
              <w:t>The first step in identifying the purpose and scope of an SDP evaluation is reviewing the associated preprint.</w:t>
            </w:r>
            <w:r>
              <w:rPr>
                <w:rStyle w:val="FootnoteReference"/>
                <w:rFonts w:asciiTheme="majorHAnsi" w:hAnsiTheme="majorHAnsi" w:cstheme="majorHAnsi"/>
                <w:szCs w:val="17"/>
              </w:rPr>
              <w:footnoteReference w:id="131"/>
            </w:r>
            <w:r w:rsidRPr="00990D3B">
              <w:t xml:space="preserve"> The SDP preprint specifies the providers and services included in the payment arrangement and, in Section VII. Quality Criteria and Framework for All Payment Arrangements, the state identifies the goals and objectives for the SDP and outlines its evaluation plans. If the EQRO was not involved in developing the evaluation approach at the time of the preprint submission, it should review the plan thoroughly to ensure alignment with the approach reviewed and approved by CMS. As a reminder, all elements included in the CMS-approved SDP evaluation plan must be incorporated into the evaluation report (438.6(c)(2)(v)(A)(1)).</w:t>
            </w:r>
          </w:p>
          <w:p w:rsidR="0045391D" w:rsidRPr="00990D3B" w:rsidP="00A02706" w14:paraId="2A0ECF99" w14:textId="77777777">
            <w:pPr>
              <w:pStyle w:val="EQRTextboxbody"/>
              <w:rPr>
                <w:rFonts w:cstheme="majorBidi"/>
              </w:rPr>
            </w:pPr>
            <w:r w:rsidRPr="00990D3B">
              <w:rPr>
                <w:color w:val="00559D" w:themeColor="text2"/>
              </w:rPr>
              <w:t xml:space="preserve">SDP evaluations should analyze trends in improvement and progress toward achieving the intended goals and objectives of the payment arrangement. In addition to tracking </w:t>
            </w:r>
            <w:r w:rsidRPr="00990D3B">
              <w:rPr>
                <w:rFonts w:cstheme="majorBidi"/>
                <w:color w:val="00559D" w:themeColor="text2"/>
              </w:rPr>
              <w:t>improvement</w:t>
            </w:r>
            <w:r w:rsidRPr="00990D3B">
              <w:rPr>
                <w:color w:val="00559D" w:themeColor="text2"/>
              </w:rPr>
              <w:t xml:space="preserve"> trends, SDP evaluations can include implementation assessments, such as engaging providers participating in or targeted by the SDP. Provider engagement can help the state understand how implementation unfolded and identify necessary adjustments for future iterations. By tailoring the evaluation to the SDP’s stage of implementation, the EQRO can provide valuable insights into short-term execution—offering recommendations for necessary adjustments—and long-term impacts, helping to determine whether the payment arrangement should continue. </w:t>
            </w:r>
          </w:p>
        </w:tc>
      </w:tr>
    </w:tbl>
    <w:p w:rsidR="0045391D" w:rsidRPr="00990D3B" w:rsidP="00666AC0" w14:paraId="28BB79B5" w14:textId="77777777">
      <w:pPr>
        <w:pStyle w:val="Paragraph0"/>
        <w:spacing w:after="0" w:line="240" w:lineRule="auto"/>
      </w:pP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1222B30F" w14:textId="77777777" w:rsidTr="5162D400">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2997"/>
        </w:trPr>
        <w:tc>
          <w:tcPr>
            <w:tcW w:w="9314" w:type="dxa"/>
            <w:shd w:val="clear" w:color="auto" w:fill="EEF5F8"/>
          </w:tcPr>
          <w:p w:rsidR="0045391D" w:rsidRPr="00990D3B" w:rsidP="00666AC0" w14:paraId="3B38D079" w14:textId="77777777">
            <w:pPr>
              <w:pStyle w:val="EQRTextboxheading"/>
              <w:keepNext/>
            </w:pPr>
            <w:bookmarkStart w:id="1066" w:name="Box11n3"/>
            <w:bookmarkStart w:id="1067" w:name="_Hlk184152273"/>
            <w:bookmarkEnd w:id="1066"/>
            <w:r w:rsidRPr="00990D3B">
              <w:t>Box 11.3. Considerations for Identifying the ILOS Evaluation Purpose and Scope</w:t>
            </w:r>
          </w:p>
          <w:p w:rsidR="0045391D" w:rsidRPr="00990D3B" w:rsidP="00A02706" w14:paraId="0DA282E2" w14:textId="77777777">
            <w:pPr>
              <w:pStyle w:val="EQRTextboxbody"/>
              <w:rPr>
                <w:rFonts w:cstheme="majorBidi"/>
                <w:szCs w:val="17"/>
              </w:rPr>
            </w:pPr>
            <w:r w:rsidRPr="00990D3B">
              <w:t xml:space="preserve">The first step in identifying the purpose and scope of an ILOS evaluation is reviewing the related ILOS documentation and associated program materials, such as MCP contracts. These documents outline the ILOS services and populations. In many cases, they also detail the state’s goals and objectives for </w:t>
            </w:r>
            <w:r w:rsidRPr="00990D3B">
              <w:t>the ILOS</w:t>
            </w:r>
            <w:r w:rsidRPr="00990D3B">
              <w:t xml:space="preserve"> and its plans to monitor and evaluate ILOS implementation and impact. The EQRO should thoroughly review these documents to ensure alignment with CMS’s approved program requirements and evaluation expectations.</w:t>
            </w:r>
          </w:p>
          <w:p w:rsidR="0045391D" w:rsidRPr="00990D3B" w:rsidP="5162D400" w14:paraId="2E83D22C" w14:textId="77758AD6">
            <w:pPr>
              <w:pStyle w:val="EQRTextboxbody"/>
              <w:rPr>
                <w:rFonts w:cstheme="majorBidi"/>
              </w:rPr>
            </w:pPr>
            <w:r w:rsidRPr="00990D3B">
              <w:rPr>
                <w:rFonts w:cstheme="majorBidi"/>
              </w:rPr>
              <w:t xml:space="preserve">As discussed in </w:t>
            </w:r>
            <w:hyperlink w:anchor="Table11n1">
              <w:r w:rsidRPr="00990D3B">
                <w:rPr>
                  <w:rStyle w:val="Hyperlink"/>
                  <w:rFonts w:cstheme="majorBidi"/>
                </w:rPr>
                <w:t>Table 11.1</w:t>
              </w:r>
            </w:hyperlink>
            <w:r w:rsidRPr="00990D3B">
              <w:rPr>
                <w:rFonts w:cstheme="majorBidi"/>
              </w:rPr>
              <w:t xml:space="preserve">, ILOS evaluations have specific requirements for assessing the ILOS outcomes and impacts, such as whether it is effectively addressing identified needs, improving access to care, and advancing program goals. </w:t>
            </w:r>
            <w:r w:rsidRPr="00990D3B" w:rsidR="00464448">
              <w:rPr>
                <w:rFonts w:cstheme="majorBidi"/>
              </w:rPr>
              <w:t xml:space="preserve">Evaluations can also assess </w:t>
            </w:r>
            <w:r w:rsidRPr="00990D3B">
              <w:rPr>
                <w:rFonts w:cstheme="majorBidi"/>
              </w:rPr>
              <w:t xml:space="preserve">whether the ILOS </w:t>
            </w:r>
            <w:r w:rsidRPr="00990D3B" w:rsidR="00464448">
              <w:rPr>
                <w:rFonts w:cstheme="majorBidi"/>
              </w:rPr>
              <w:t xml:space="preserve">is being </w:t>
            </w:r>
            <w:r w:rsidRPr="00990D3B">
              <w:rPr>
                <w:rFonts w:cstheme="majorBidi"/>
              </w:rPr>
              <w:t xml:space="preserve">implemented as planned, as well as service providers’ and </w:t>
            </w:r>
            <w:r w:rsidRPr="00990D3B">
              <w:rPr>
                <w:rFonts w:cstheme="majorBidi"/>
              </w:rPr>
              <w:t>enrollees</w:t>
            </w:r>
            <w:r w:rsidRPr="00990D3B">
              <w:rPr>
                <w:rFonts w:cstheme="majorBidi"/>
              </w:rPr>
              <w:t>’ experiences with the implementation process. Incorporating a focus on implementation</w:t>
            </w:r>
            <w:r w:rsidRPr="00990D3B" w:rsidR="00464448">
              <w:rPr>
                <w:rFonts w:cstheme="majorBidi"/>
              </w:rPr>
              <w:t xml:space="preserve">— both in the initial evaluation and in subsequent years -- </w:t>
            </w:r>
            <w:r w:rsidRPr="00990D3B">
              <w:rPr>
                <w:rFonts w:cstheme="majorBidi"/>
              </w:rPr>
              <w:t>supports continuous improvement and provides critical insights to guide decisions on whether to adjust or expand the ILOS.</w:t>
            </w:r>
          </w:p>
        </w:tc>
      </w:tr>
    </w:tbl>
    <w:bookmarkEnd w:id="1067"/>
    <w:p w:rsidR="0045391D" w:rsidRPr="00990D3B" w:rsidP="00A37643" w14:paraId="13036756" w14:textId="77777777">
      <w:pPr>
        <w:pStyle w:val="H3"/>
        <w:spacing w:before="160"/>
      </w:pPr>
      <w:r w:rsidRPr="00990D3B">
        <w:t xml:space="preserve">Step </w:t>
      </w:r>
      <w:r w:rsidRPr="00990D3B">
        <w:t>2</w:t>
      </w:r>
      <w:r w:rsidRPr="00990D3B">
        <w:t xml:space="preserve">: </w:t>
      </w:r>
      <w:r w:rsidRPr="00990D3B">
        <w:t>Define the Research Question(s) and Identify Hypothesis(es)</w:t>
      </w:r>
    </w:p>
    <w:p w:rsidR="0045391D" w:rsidRPr="00990D3B" w:rsidP="000E226E" w14:paraId="04A01700" w14:textId="77777777">
      <w:pPr>
        <w:pStyle w:val="ParagraphContinued"/>
      </w:pPr>
      <w:r w:rsidRPr="00990D3B">
        <w:t xml:space="preserve">In this step, the EQRO defines the research questions that will guide the evaluation. Research questions are specific, answerable questions that frame what the evaluation is trying to learn. They provide a framework for the evaluation, focusing on the effectiveness and impact of quality improvement initiatives, interventions, or policies. To yield actionable insights, research questions should be specific and clearly link the initiative, intervention, or policy to outcomes of interest. The research question should also be measurable. When applicable, they should also identify the targeted programs, MCPs, and populations. For example, a question might explore whether a particular intervention improved access to care for a defined group. </w:t>
      </w:r>
    </w:p>
    <w:p w:rsidR="0045391D" w:rsidRPr="00990D3B" w:rsidP="00666AC0" w14:paraId="0C9F1CCA" w14:textId="77777777">
      <w:pPr>
        <w:pStyle w:val="Paragraph0"/>
        <w:rPr>
          <w:szCs w:val="24"/>
        </w:rPr>
      </w:pPr>
      <w:r w:rsidRPr="00990D3B">
        <w:rPr>
          <w:szCs w:val="24"/>
        </w:rPr>
        <w:t xml:space="preserve">Research questions may address both processes and outcomes, with different types of questions suited to various stages of the evaluation. </w:t>
      </w:r>
    </w:p>
    <w:p w:rsidR="0045391D" w:rsidRPr="00990D3B" w:rsidP="00FB7CAF" w14:paraId="4F20374A" w14:textId="161185BA">
      <w:pPr>
        <w:pStyle w:val="EQRBulletBLUE"/>
        <w:rPr>
          <w:szCs w:val="24"/>
        </w:rPr>
      </w:pPr>
      <w:r w:rsidRPr="00990D3B">
        <w:rPr>
          <w:szCs w:val="24"/>
        </w:rPr>
        <w:t xml:space="preserve">Evaluation in the early years of an initiative, intervention, </w:t>
      </w:r>
      <w:r w:rsidRPr="00990D3B">
        <w:t>or policy should focus on process-related questions. For example, whether a QS’s goals and objectives align with PIP topics selected by MCPs, the extent of provider engagement with an SDP, or barriers encountered during ILOS rollout. This phase of evaluation should also focus on questions related to early outputs and outcomes, such as whether the number of well-child visits are increasing compared to baseline or the proportion of eligible beneficiaries utilizing the new ILOS. This is particularly important when states or MCPs implement untested models, where focusing solely on implementation fidelity could overlook whether the initiative, intervention, or policy is effective. Monitoring outputs (e.g., number of visits, service uptake) or early outcomes alongside process measures provides an early signal of whether the approach is on</w:t>
      </w:r>
      <w:r w:rsidRPr="00990D3B" w:rsidR="004A45C1">
        <w:t> </w:t>
      </w:r>
      <w:r w:rsidRPr="00990D3B">
        <w:t xml:space="preserve">track. </w:t>
      </w:r>
    </w:p>
    <w:p w:rsidR="0045391D" w:rsidRPr="00990D3B" w:rsidP="00FB7CAF" w14:paraId="21F5FDC8" w14:textId="77777777">
      <w:pPr>
        <w:pStyle w:val="EQRBulletBLUE"/>
        <w:rPr>
          <w:szCs w:val="24"/>
        </w:rPr>
      </w:pPr>
      <w:r w:rsidRPr="00990D3B">
        <w:t xml:space="preserve">In the middle years, evaluations should continue examining process and outcome questions, with increasing emphasis on outcome questions. For example, in addition to assessing how effectively an SDP influences desired provider behaviors, evaluation questions should begin to assess progress toward interim benchmarks and explore evidence of improvement in intended outcomes (e.g., improved patient health indicators, increased access to services). </w:t>
      </w:r>
    </w:p>
    <w:p w:rsidR="0045391D" w:rsidRPr="00990D3B" w:rsidP="00FB7CAF" w14:paraId="7515AAB5" w14:textId="77777777">
      <w:pPr>
        <w:pStyle w:val="EQRBulletBLUE"/>
        <w:rPr>
          <w:szCs w:val="24"/>
        </w:rPr>
      </w:pPr>
      <w:r w:rsidRPr="00990D3B">
        <w:t>In later years, the focus may shift primarily to outcomes, assessing long-term trends in improvement, the achievement of stated goals and objectives, and the overall impact on quality of care. Tailoring the questions to the implementation phase ensures that the evaluation provides actionable insights at each stage, supporting iterative improvement and informed decision-making.</w:t>
      </w:r>
      <w:r w:rsidRPr="00990D3B">
        <w:rPr>
          <w:color w:val="00828C" w:themeColor="accent1"/>
        </w:rPr>
        <w:t xml:space="preserve"> </w:t>
      </w:r>
    </w:p>
    <w:p w:rsidR="0045391D" w:rsidRPr="00990D3B" w:rsidP="000E226E" w14:paraId="5B42E5C7" w14:textId="51C79425">
      <w:pPr>
        <w:pStyle w:val="ParagraphContinued"/>
      </w:pPr>
      <w:r w:rsidRPr="00990D3B">
        <w:t xml:space="preserve">Once research questions are established, formulating clear hypotheses can help guide the evaluation by setting expectations about anticipated relationships between variables, mechanisms of change, or expected outcomes. A hypothesis provides a testable statement that predicts how an initiative, intervention, or policy will influence key outcomes. The type of hypotheses developed should align with the nature of the research question and the stage of evaluation. </w:t>
      </w:r>
      <w:hyperlink w:anchor="Table11n2" w:tooltip="Table 11.2" w:history="1">
        <w:r w:rsidRPr="00990D3B">
          <w:rPr>
            <w:rStyle w:val="Hyperlink"/>
          </w:rPr>
          <w:t>Table 11.2</w:t>
        </w:r>
      </w:hyperlink>
      <w:r w:rsidRPr="00990D3B">
        <w:rPr>
          <w:color w:val="1CA8B7"/>
        </w:rPr>
        <w:t xml:space="preserve"> </w:t>
      </w:r>
      <w:r w:rsidRPr="00990D3B">
        <w:t>presents example research questions categorized by evaluation type, along with corresponding</w:t>
      </w:r>
      <w:r w:rsidRPr="00990D3B" w:rsidR="004A45C1">
        <w:t> </w:t>
      </w:r>
      <w:r w:rsidRPr="00990D3B">
        <w:t xml:space="preserve">hypotheses. </w:t>
      </w:r>
    </w:p>
    <w:p w:rsidR="0045391D" w:rsidRPr="00990D3B" w:rsidP="00666AC0" w14:paraId="3075DF3B" w14:textId="77777777">
      <w:pPr>
        <w:pStyle w:val="MarkforTableHeading"/>
      </w:pPr>
      <w:bookmarkStart w:id="1068" w:name="Table11n2"/>
      <w:bookmarkEnd w:id="1068"/>
      <w:r w:rsidRPr="00990D3B">
        <w:t>Table 11.2 Example Research Questions and Corresponding Hypotheses, By Evaluation Type</w:t>
      </w:r>
    </w:p>
    <w:tbl>
      <w:tblPr>
        <w:tblStyle w:val="Style2"/>
        <w:tblW w:w="5000" w:type="pct"/>
        <w:tblLook w:val="04A0"/>
      </w:tblPr>
      <w:tblGrid>
        <w:gridCol w:w="1565"/>
        <w:gridCol w:w="3658"/>
        <w:gridCol w:w="4127"/>
      </w:tblGrid>
      <w:tr w14:paraId="3B5E13CA" w14:textId="77777777" w:rsidTr="00B14271">
        <w:tblPrEx>
          <w:tblW w:w="5000" w:type="pct"/>
          <w:tblLook w:val="04A0"/>
        </w:tblPrEx>
        <w:trPr>
          <w:cantSplit/>
          <w:tblHeader/>
        </w:trPr>
        <w:tc>
          <w:tcPr>
            <w:tcW w:w="837" w:type="pct"/>
            <w:tcBorders>
              <w:bottom w:val="single" w:sz="4" w:space="0" w:color="000000"/>
            </w:tcBorders>
          </w:tcPr>
          <w:p w:rsidR="0045391D" w:rsidRPr="00990D3B" w:rsidP="00D41485" w14:paraId="3501AF67" w14:textId="77777777">
            <w:pPr>
              <w:pStyle w:val="EQRTableHeaderCenter"/>
              <w:rPr>
                <w:b/>
                <w:bCs/>
              </w:rPr>
            </w:pPr>
            <w:r w:rsidRPr="00990D3B">
              <w:rPr>
                <w:b/>
                <w:bCs/>
              </w:rPr>
              <w:t>Evaluation Type</w:t>
            </w:r>
          </w:p>
        </w:tc>
        <w:tc>
          <w:tcPr>
            <w:tcW w:w="1956" w:type="pct"/>
          </w:tcPr>
          <w:p w:rsidR="0045391D" w:rsidRPr="00990D3B" w:rsidP="00D41485" w14:paraId="1CB2DB83" w14:textId="77777777">
            <w:pPr>
              <w:pStyle w:val="EQRTableHeaderCenter"/>
              <w:rPr>
                <w:b/>
                <w:bCs/>
              </w:rPr>
            </w:pPr>
            <w:r w:rsidRPr="00990D3B">
              <w:rPr>
                <w:b/>
                <w:bCs/>
              </w:rPr>
              <w:t>Example Research Question</w:t>
            </w:r>
          </w:p>
        </w:tc>
        <w:tc>
          <w:tcPr>
            <w:tcW w:w="2207" w:type="pct"/>
          </w:tcPr>
          <w:p w:rsidR="0045391D" w:rsidRPr="00990D3B" w:rsidP="00D41485" w14:paraId="149BE2F2" w14:textId="77777777">
            <w:pPr>
              <w:pStyle w:val="EQRTableHeaderCenter"/>
              <w:rPr>
                <w:b/>
                <w:bCs/>
              </w:rPr>
            </w:pPr>
            <w:r w:rsidRPr="00990D3B">
              <w:rPr>
                <w:b/>
                <w:bCs/>
              </w:rPr>
              <w:t>Example Hypothesis</w:t>
            </w:r>
          </w:p>
        </w:tc>
      </w:tr>
      <w:tr w14:paraId="03BAA926" w14:textId="77777777" w:rsidTr="00B14271">
        <w:tblPrEx>
          <w:tblW w:w="5000" w:type="pct"/>
          <w:tblLook w:val="04A0"/>
        </w:tblPrEx>
        <w:tc>
          <w:tcPr>
            <w:tcW w:w="837" w:type="pct"/>
            <w:tcBorders>
              <w:top w:val="single" w:sz="4" w:space="0" w:color="000000"/>
              <w:bottom w:val="nil"/>
            </w:tcBorders>
            <w:shd w:val="clear" w:color="auto" w:fill="EEF5F5" w:themeFill="background2"/>
          </w:tcPr>
          <w:p w:rsidR="00AC56B9" w:rsidRPr="00990D3B" w:rsidP="00666AC0" w14:paraId="2329F6DD" w14:textId="77777777">
            <w:pPr>
              <w:pStyle w:val="EQRTableText"/>
              <w:rPr>
                <w:rFonts w:asciiTheme="majorHAnsi" w:hAnsiTheme="majorHAnsi" w:cstheme="majorHAnsi"/>
                <w:szCs w:val="18"/>
              </w:rPr>
            </w:pPr>
            <w:r w:rsidRPr="00990D3B">
              <w:rPr>
                <w:rFonts w:asciiTheme="majorHAnsi" w:hAnsiTheme="majorHAnsi" w:cstheme="majorHAnsi"/>
                <w:szCs w:val="18"/>
              </w:rPr>
              <w:t>Quality Strategy (QS)</w:t>
            </w:r>
          </w:p>
        </w:tc>
        <w:tc>
          <w:tcPr>
            <w:tcW w:w="1956" w:type="pct"/>
            <w:shd w:val="clear" w:color="auto" w:fill="EEF5F5" w:themeFill="background2"/>
          </w:tcPr>
          <w:p w:rsidR="00AC56B9" w:rsidRPr="00990D3B" w:rsidP="00D41485" w14:paraId="1BF044E5" w14:textId="77777777">
            <w:pPr>
              <w:pStyle w:val="EQRTableText"/>
            </w:pPr>
            <w:r w:rsidRPr="00990D3B">
              <w:t>Did the state make progress on its QS goal of “Improving access to behavioral health services” by achieving its target of “increasing use of follow-up care,” as demonstrated by improvement in the Follow-Up After Emergency Department (ED) Visits for Mental Illness (FUM) measure?</w:t>
            </w:r>
          </w:p>
        </w:tc>
        <w:tc>
          <w:tcPr>
            <w:tcW w:w="2207" w:type="pct"/>
            <w:shd w:val="clear" w:color="auto" w:fill="EEF5F5" w:themeFill="background2"/>
          </w:tcPr>
          <w:p w:rsidR="00AC56B9" w:rsidRPr="00990D3B" w:rsidP="00D41485" w14:paraId="6B8FB90A" w14:textId="77777777">
            <w:pPr>
              <w:pStyle w:val="EQRTableText"/>
            </w:pPr>
            <w:r w:rsidRPr="00990D3B">
              <w:t xml:space="preserve">If the initiatives under the QS effectively improve access to behavioral health services, then the FUM measure will show increased rates of follow-up care over time. </w:t>
            </w:r>
          </w:p>
        </w:tc>
      </w:tr>
      <w:tr w14:paraId="598D1E0D" w14:textId="77777777" w:rsidTr="006601FF">
        <w:tblPrEx>
          <w:tblW w:w="5000" w:type="pct"/>
          <w:tblLook w:val="04A0"/>
        </w:tblPrEx>
        <w:tc>
          <w:tcPr>
            <w:tcW w:w="837" w:type="pct"/>
            <w:tcBorders>
              <w:top w:val="nil"/>
              <w:bottom w:val="nil"/>
            </w:tcBorders>
          </w:tcPr>
          <w:p w:rsidR="00AC56B9" w:rsidRPr="00990D3B" w:rsidP="00666AC0" w14:paraId="2AF7DBAA" w14:textId="77777777">
            <w:pPr>
              <w:pStyle w:val="EQRTableText"/>
              <w:rPr>
                <w:rFonts w:asciiTheme="majorHAnsi" w:hAnsiTheme="majorHAnsi" w:cstheme="majorHAnsi"/>
                <w:szCs w:val="18"/>
              </w:rPr>
            </w:pPr>
          </w:p>
        </w:tc>
        <w:tc>
          <w:tcPr>
            <w:tcW w:w="1956" w:type="pct"/>
          </w:tcPr>
          <w:p w:rsidR="00AC56B9" w:rsidRPr="00990D3B" w:rsidP="00D41485" w14:paraId="01B2DFD4" w14:textId="098DA169">
            <w:pPr>
              <w:pStyle w:val="EQRTableText"/>
              <w:rPr>
                <w:rFonts w:cstheme="majorBidi"/>
              </w:rPr>
            </w:pPr>
            <w:r w:rsidRPr="00990D3B">
              <w:rPr>
                <w:rFonts w:cstheme="majorBidi"/>
              </w:rPr>
              <w:t xml:space="preserve">What is the impact of the interventions outlined in the QS on disparities in preventive care screenings </w:t>
            </w:r>
            <w:r w:rsidRPr="00990D3B" w:rsidR="00E544C1">
              <w:rPr>
                <w:rFonts w:cstheme="majorBidi"/>
              </w:rPr>
              <w:t xml:space="preserve">between rural and urban </w:t>
            </w:r>
            <w:r w:rsidRPr="00990D3B">
              <w:rPr>
                <w:rFonts w:cstheme="majorBidi"/>
              </w:rPr>
              <w:t xml:space="preserve">populations? </w:t>
            </w:r>
          </w:p>
        </w:tc>
        <w:tc>
          <w:tcPr>
            <w:tcW w:w="2207" w:type="pct"/>
          </w:tcPr>
          <w:p w:rsidR="00AC56B9" w:rsidRPr="00990D3B" w:rsidP="00D41485" w14:paraId="46417E0A" w14:textId="7B2F420D">
            <w:pPr>
              <w:pStyle w:val="EQRTableText"/>
            </w:pPr>
            <w:r w:rsidRPr="00990D3B">
              <w:t xml:space="preserve">If the QS interventions effectively target health disparities, then the gap in preventive care screenings between </w:t>
            </w:r>
            <w:r w:rsidRPr="00990D3B" w:rsidR="00E544C1">
              <w:t xml:space="preserve">rural </w:t>
            </w:r>
            <w:r w:rsidRPr="00990D3B">
              <w:t xml:space="preserve">and </w:t>
            </w:r>
            <w:r w:rsidRPr="00990D3B" w:rsidR="00E544C1">
              <w:t xml:space="preserve">urban </w:t>
            </w:r>
            <w:r w:rsidRPr="00990D3B">
              <w:t xml:space="preserve">populations will narrow over time. </w:t>
            </w:r>
          </w:p>
        </w:tc>
      </w:tr>
      <w:tr w14:paraId="7E68E1B8" w14:textId="77777777" w:rsidTr="006601FF">
        <w:tblPrEx>
          <w:tblW w:w="5000" w:type="pct"/>
          <w:tblLook w:val="04A0"/>
        </w:tblPrEx>
        <w:tc>
          <w:tcPr>
            <w:tcW w:w="837" w:type="pct"/>
            <w:tcBorders>
              <w:top w:val="nil"/>
              <w:bottom w:val="single" w:sz="4" w:space="0" w:color="00559D" w:themeColor="text2"/>
            </w:tcBorders>
            <w:shd w:val="clear" w:color="auto" w:fill="EEF5F5" w:themeFill="background2"/>
          </w:tcPr>
          <w:p w:rsidR="00AC56B9" w:rsidRPr="00990D3B" w:rsidP="00666AC0" w14:paraId="15C6B018" w14:textId="77777777">
            <w:pPr>
              <w:pStyle w:val="EQRTableText"/>
              <w:rPr>
                <w:rFonts w:asciiTheme="majorHAnsi" w:hAnsiTheme="majorHAnsi" w:cstheme="majorHAnsi"/>
                <w:szCs w:val="18"/>
              </w:rPr>
            </w:pPr>
          </w:p>
        </w:tc>
        <w:tc>
          <w:tcPr>
            <w:tcW w:w="1956" w:type="pct"/>
            <w:shd w:val="clear" w:color="auto" w:fill="EEF5F5" w:themeFill="background2"/>
          </w:tcPr>
          <w:p w:rsidR="00AC56B9" w:rsidRPr="00990D3B" w:rsidP="00D41485" w14:paraId="025E3442" w14:textId="77777777">
            <w:pPr>
              <w:pStyle w:val="EQRTableText"/>
            </w:pPr>
            <w:r w:rsidRPr="00990D3B">
              <w:t>How does MCP A’s breast cancer screening performance improvement project (PIP) relate to progress on the state’s goal of improving Breast Cancer Screening (BCS) rates?</w:t>
            </w:r>
          </w:p>
        </w:tc>
        <w:tc>
          <w:tcPr>
            <w:tcW w:w="2207" w:type="pct"/>
            <w:shd w:val="clear" w:color="auto" w:fill="EEF5F5" w:themeFill="background2"/>
          </w:tcPr>
          <w:p w:rsidR="00AC56B9" w:rsidRPr="00990D3B" w:rsidP="00D41485" w14:paraId="7307698B" w14:textId="77777777">
            <w:pPr>
              <w:pStyle w:val="EQRTableText"/>
            </w:pPr>
            <w:r w:rsidRPr="00990D3B">
              <w:t>If MCP A’s PIP successfully enhances provider engagement and screening outreach, BCS rates will increase by at least two percentage points by 2028.</w:t>
            </w:r>
          </w:p>
        </w:tc>
      </w:tr>
      <w:tr w14:paraId="021C90E6" w14:textId="77777777" w:rsidTr="003B5DEA">
        <w:tblPrEx>
          <w:tblW w:w="5000" w:type="pct"/>
          <w:tblLook w:val="04A0"/>
        </w:tblPrEx>
        <w:tc>
          <w:tcPr>
            <w:tcW w:w="837" w:type="pct"/>
            <w:tcBorders>
              <w:bottom w:val="nil"/>
            </w:tcBorders>
            <w:shd w:val="clear" w:color="auto" w:fill="auto"/>
          </w:tcPr>
          <w:p w:rsidR="0045391D" w:rsidRPr="00990D3B" w:rsidP="00666AC0" w14:paraId="18A85A17" w14:textId="77777777">
            <w:pPr>
              <w:pStyle w:val="EQRTableText"/>
              <w:rPr>
                <w:rFonts w:asciiTheme="majorHAnsi" w:hAnsiTheme="majorHAnsi" w:cstheme="majorHAnsi"/>
                <w:szCs w:val="18"/>
              </w:rPr>
            </w:pPr>
            <w:r w:rsidRPr="00990D3B">
              <w:rPr>
                <w:rFonts w:asciiTheme="majorHAnsi" w:hAnsiTheme="majorHAnsi" w:cstheme="majorHAnsi"/>
                <w:szCs w:val="18"/>
              </w:rPr>
              <w:t>State Directed Payments (SDPs)</w:t>
            </w:r>
          </w:p>
        </w:tc>
        <w:tc>
          <w:tcPr>
            <w:tcW w:w="1956" w:type="pct"/>
            <w:shd w:val="clear" w:color="auto" w:fill="auto"/>
          </w:tcPr>
          <w:p w:rsidR="0045391D" w:rsidRPr="00990D3B" w:rsidP="00D41485" w14:paraId="0D94DCC8" w14:textId="77777777">
            <w:pPr>
              <w:pStyle w:val="EQRTableText"/>
            </w:pPr>
            <w:r w:rsidRPr="00990D3B">
              <w:t xml:space="preserve">Does </w:t>
            </w:r>
            <w:r w:rsidRPr="00990D3B">
              <w:t>the Prenatal</w:t>
            </w:r>
            <w:r w:rsidRPr="00990D3B">
              <w:t xml:space="preserve"> Immunization Status: Age 21 and Older (PRS) rate increase among beneficiaries after implementing the SDP incentivizing prenatal visits?</w:t>
            </w:r>
          </w:p>
        </w:tc>
        <w:tc>
          <w:tcPr>
            <w:tcW w:w="2207" w:type="pct"/>
            <w:shd w:val="clear" w:color="auto" w:fill="auto"/>
          </w:tcPr>
          <w:p w:rsidR="0045391D" w:rsidRPr="00990D3B" w:rsidP="00D41485" w14:paraId="22E68F84" w14:textId="77777777">
            <w:pPr>
              <w:pStyle w:val="EQRTableText"/>
            </w:pPr>
            <w:r w:rsidRPr="00990D3B">
              <w:t>If the SDP provides sufficient financial incentives for prenatal care, then the PRS rate will increase among targeted beneficiaries.</w:t>
            </w:r>
          </w:p>
        </w:tc>
      </w:tr>
      <w:tr w14:paraId="05BC2E3E" w14:textId="77777777" w:rsidTr="003B5DEA">
        <w:tblPrEx>
          <w:tblW w:w="5000" w:type="pct"/>
          <w:tblLook w:val="04A0"/>
        </w:tblPrEx>
        <w:tc>
          <w:tcPr>
            <w:tcW w:w="837" w:type="pct"/>
            <w:tcBorders>
              <w:top w:val="nil"/>
              <w:bottom w:val="single" w:sz="4" w:space="0" w:color="00559D" w:themeColor="text2"/>
            </w:tcBorders>
            <w:shd w:val="clear" w:color="auto" w:fill="auto"/>
          </w:tcPr>
          <w:p w:rsidR="0045391D" w:rsidRPr="00990D3B" w:rsidP="00666AC0" w14:paraId="1CEF8825" w14:textId="77777777">
            <w:pPr>
              <w:pStyle w:val="EQRTableText"/>
              <w:rPr>
                <w:rFonts w:asciiTheme="majorHAnsi" w:hAnsiTheme="majorHAnsi" w:cstheme="majorHAnsi"/>
                <w:szCs w:val="18"/>
              </w:rPr>
            </w:pPr>
          </w:p>
        </w:tc>
        <w:tc>
          <w:tcPr>
            <w:tcW w:w="1956" w:type="pct"/>
            <w:shd w:val="clear" w:color="auto" w:fill="auto"/>
          </w:tcPr>
          <w:p w:rsidR="0045391D" w:rsidRPr="00990D3B" w:rsidP="00D41485" w14:paraId="2C46BCF3" w14:textId="77777777">
            <w:pPr>
              <w:pStyle w:val="EQRTableText"/>
            </w:pPr>
            <w:r w:rsidRPr="00990D3B">
              <w:t>Did the rate of completed EPSDT screenings among eligible children increase after the SDP was implemented?</w:t>
            </w:r>
          </w:p>
        </w:tc>
        <w:tc>
          <w:tcPr>
            <w:tcW w:w="2207" w:type="pct"/>
            <w:shd w:val="clear" w:color="auto" w:fill="auto"/>
          </w:tcPr>
          <w:p w:rsidR="0045391D" w:rsidRPr="00990D3B" w:rsidP="00D41485" w14:paraId="0B2E2E8B" w14:textId="6D3424EE">
            <w:pPr>
              <w:pStyle w:val="EQRTableText"/>
            </w:pPr>
            <w:r w:rsidRPr="00990D3B">
              <w:t>The introduction of SDP incentives will be associated with an increase in the rate of completed EPSDT screenings among eligible children relative to the pre-SDP period.</w:t>
            </w:r>
          </w:p>
        </w:tc>
      </w:tr>
      <w:tr w14:paraId="2FA16AA5" w14:textId="77777777" w:rsidTr="003B5DEA">
        <w:tblPrEx>
          <w:tblW w:w="5000" w:type="pct"/>
          <w:tblLook w:val="04A0"/>
        </w:tblPrEx>
        <w:tc>
          <w:tcPr>
            <w:tcW w:w="837" w:type="pct"/>
            <w:tcBorders>
              <w:bottom w:val="nil"/>
            </w:tcBorders>
          </w:tcPr>
          <w:p w:rsidR="00AC56B9" w:rsidRPr="00990D3B" w:rsidP="00666AC0" w14:paraId="1F46A64A" w14:textId="77777777">
            <w:pPr>
              <w:pStyle w:val="EQRTableText"/>
              <w:rPr>
                <w:rFonts w:asciiTheme="majorHAnsi" w:hAnsiTheme="majorHAnsi" w:cstheme="majorHAnsi"/>
                <w:szCs w:val="18"/>
              </w:rPr>
            </w:pPr>
            <w:r w:rsidRPr="00990D3B">
              <w:rPr>
                <w:rFonts w:asciiTheme="majorHAnsi" w:hAnsiTheme="majorHAnsi" w:cstheme="majorHAnsi"/>
                <w:szCs w:val="18"/>
              </w:rPr>
              <w:t>In Lieu of Services and Settings (ILOS)</w:t>
            </w:r>
          </w:p>
        </w:tc>
        <w:tc>
          <w:tcPr>
            <w:tcW w:w="1956" w:type="pct"/>
          </w:tcPr>
          <w:p w:rsidR="00AC56B9" w:rsidRPr="00990D3B" w:rsidP="00D41485" w14:paraId="74662D56" w14:textId="77777777">
            <w:pPr>
              <w:pStyle w:val="EQRTableText"/>
            </w:pPr>
            <w:r w:rsidRPr="00990D3B">
              <w:t>What changes in Ambulatory Care: ED Visits (AMB) rates are associated with providing asthma remediation services through ILOS?</w:t>
            </w:r>
          </w:p>
        </w:tc>
        <w:tc>
          <w:tcPr>
            <w:tcW w:w="2207" w:type="pct"/>
          </w:tcPr>
          <w:p w:rsidR="00AC56B9" w:rsidRPr="00990D3B" w:rsidP="00D41485" w14:paraId="0EE62EE3" w14:textId="77777777">
            <w:pPr>
              <w:pStyle w:val="EQRTableText"/>
            </w:pPr>
            <w:r w:rsidRPr="00990D3B">
              <w:t>If asthma remediation services reduce environmental triggers, children receiving these services will experience fewer ED visits for asthma-related issues.</w:t>
            </w:r>
          </w:p>
        </w:tc>
      </w:tr>
      <w:tr w14:paraId="21560338" w14:textId="77777777" w:rsidTr="003B5DEA">
        <w:tblPrEx>
          <w:tblW w:w="5000" w:type="pct"/>
          <w:tblLook w:val="04A0"/>
        </w:tblPrEx>
        <w:tc>
          <w:tcPr>
            <w:tcW w:w="837" w:type="pct"/>
            <w:tcBorders>
              <w:top w:val="nil"/>
              <w:bottom w:val="nil"/>
            </w:tcBorders>
            <w:shd w:val="clear" w:color="auto" w:fill="EEF5F5" w:themeFill="background2"/>
          </w:tcPr>
          <w:p w:rsidR="00AC56B9" w:rsidRPr="00990D3B" w:rsidP="00666AC0" w14:paraId="5E850DE9" w14:textId="77777777">
            <w:pPr>
              <w:pStyle w:val="EQRTableText"/>
              <w:rPr>
                <w:rFonts w:asciiTheme="majorHAnsi" w:hAnsiTheme="majorHAnsi" w:cstheme="majorHAnsi"/>
                <w:szCs w:val="18"/>
              </w:rPr>
            </w:pPr>
          </w:p>
        </w:tc>
        <w:tc>
          <w:tcPr>
            <w:tcW w:w="1956" w:type="pct"/>
            <w:shd w:val="clear" w:color="auto" w:fill="EEF5F5" w:themeFill="background2"/>
          </w:tcPr>
          <w:p w:rsidR="00AC56B9" w:rsidRPr="00990D3B" w:rsidP="00D41485" w14:paraId="317398E9" w14:textId="77777777">
            <w:pPr>
              <w:pStyle w:val="EQRTableText"/>
            </w:pPr>
            <w:r w:rsidRPr="00990D3B">
              <w:t xml:space="preserve">Does providing transportation services through the ILOS increase primary care visits and decrease emergency department utilization among participating beneficiaries? </w:t>
            </w:r>
          </w:p>
        </w:tc>
        <w:tc>
          <w:tcPr>
            <w:tcW w:w="2207" w:type="pct"/>
            <w:shd w:val="clear" w:color="auto" w:fill="EEF5F5" w:themeFill="background2"/>
          </w:tcPr>
          <w:p w:rsidR="00AC56B9" w:rsidRPr="00990D3B" w:rsidP="00D41485" w14:paraId="3ABDE063" w14:textId="77777777">
            <w:pPr>
              <w:pStyle w:val="EQRTableText"/>
            </w:pPr>
            <w:r w:rsidRPr="00990D3B">
              <w:t>If transportation services reduce barriers to care, beneficiaries will demonstrate increased primary care visits and decreased emergency department utilization.</w:t>
            </w:r>
          </w:p>
        </w:tc>
      </w:tr>
      <w:tr w14:paraId="4F28A1D5" w14:textId="77777777" w:rsidTr="003B5DEA">
        <w:tblPrEx>
          <w:tblW w:w="5000" w:type="pct"/>
          <w:tblLook w:val="04A0"/>
        </w:tblPrEx>
        <w:tc>
          <w:tcPr>
            <w:tcW w:w="837" w:type="pct"/>
            <w:tcBorders>
              <w:top w:val="nil"/>
            </w:tcBorders>
          </w:tcPr>
          <w:p w:rsidR="00AC56B9" w:rsidRPr="00990D3B" w:rsidP="00666AC0" w14:paraId="7BC6393B" w14:textId="77777777">
            <w:pPr>
              <w:pStyle w:val="EQRTableText"/>
              <w:rPr>
                <w:rFonts w:asciiTheme="majorHAnsi" w:hAnsiTheme="majorHAnsi" w:cstheme="majorHAnsi"/>
                <w:szCs w:val="18"/>
              </w:rPr>
            </w:pPr>
          </w:p>
        </w:tc>
        <w:tc>
          <w:tcPr>
            <w:tcW w:w="1956" w:type="pct"/>
          </w:tcPr>
          <w:p w:rsidR="00AC56B9" w:rsidRPr="00990D3B" w:rsidP="00D41485" w14:paraId="7E8E8DFB" w14:textId="77777777">
            <w:pPr>
              <w:pStyle w:val="EQRTableText"/>
            </w:pPr>
            <w:r w:rsidRPr="00990D3B">
              <w:t xml:space="preserve">How does providing home visiting services for high-risk pregnancies through </w:t>
            </w:r>
            <w:r w:rsidRPr="00990D3B">
              <w:t>the ILOS</w:t>
            </w:r>
            <w:r w:rsidRPr="00990D3B">
              <w:t xml:space="preserve"> affect healthcare costs?</w:t>
            </w:r>
          </w:p>
        </w:tc>
        <w:tc>
          <w:tcPr>
            <w:tcW w:w="2207" w:type="pct"/>
          </w:tcPr>
          <w:p w:rsidR="00AC56B9" w:rsidRPr="00990D3B" w:rsidP="00D41485" w14:paraId="3DE9D8A2" w14:textId="77777777">
            <w:pPr>
              <w:pStyle w:val="EQRTableText"/>
            </w:pPr>
            <w:r w:rsidRPr="00990D3B">
              <w:t>Provision of home visiting services for high-risk pregnancies through the ILOS will be associated with a reduction in overall healthcare costs compared to high-risk pregnancies without access to these services.</w:t>
            </w:r>
          </w:p>
        </w:tc>
      </w:tr>
    </w:tbl>
    <w:p w:rsidR="0045391D" w:rsidRPr="00990D3B" w:rsidP="00D41485" w14:paraId="640C9381" w14:textId="77777777">
      <w:pPr>
        <w:pStyle w:val="ParagraphContinued"/>
      </w:pPr>
      <w:r w:rsidRPr="00990D3B">
        <w:t>Regardless of the stage of evaluation, strong hypotheses share key characteristics:</w:t>
      </w:r>
    </w:p>
    <w:p w:rsidR="0045391D" w:rsidRPr="00990D3B" w:rsidP="00FB7CAF" w14:paraId="5183B7CB" w14:textId="1590BCF5">
      <w:pPr>
        <w:pStyle w:val="EQRBulletBLUE"/>
      </w:pPr>
      <w:r w:rsidRPr="00990D3B">
        <w:rPr>
          <w:b/>
          <w:bCs/>
        </w:rPr>
        <w:t xml:space="preserve">Clear and specific. </w:t>
      </w:r>
      <w:r w:rsidRPr="00990D3B">
        <w:t>The hypothesis should articulate a precise relationship between</w:t>
      </w:r>
      <w:r w:rsidRPr="00990D3B" w:rsidR="00870F9A">
        <w:t> </w:t>
      </w:r>
      <w:r w:rsidRPr="00990D3B">
        <w:t>variables.</w:t>
      </w:r>
    </w:p>
    <w:p w:rsidR="0045391D" w:rsidRPr="00990D3B" w:rsidP="00FB7CAF" w14:paraId="452ED138" w14:textId="77777777">
      <w:pPr>
        <w:pStyle w:val="EQRBulletBLUE"/>
      </w:pPr>
      <w:r w:rsidRPr="00990D3B">
        <w:rPr>
          <w:b/>
          <w:bCs/>
        </w:rPr>
        <w:t>Measurable and testable</w:t>
      </w:r>
      <w:r w:rsidRPr="00990D3B">
        <w:t>. Assessing the hypothesis using available qualitative or quantitative data should be possible.</w:t>
      </w:r>
    </w:p>
    <w:p w:rsidR="0045391D" w:rsidRPr="00990D3B" w:rsidP="00FB7CAF" w14:paraId="301D2F74" w14:textId="77777777">
      <w:pPr>
        <w:pStyle w:val="EQRBulletBLUE"/>
      </w:pPr>
      <w:r w:rsidRPr="00990D3B">
        <w:rPr>
          <w:b/>
          <w:bCs/>
        </w:rPr>
        <w:t>Grounded in theory or prior evidence</w:t>
      </w:r>
      <w:r w:rsidRPr="00990D3B">
        <w:t>. Hypotheses should be informed by logic models, theories of change, or past research findings.</w:t>
      </w:r>
    </w:p>
    <w:p w:rsidR="0045391D" w:rsidRPr="00990D3B" w:rsidP="00D41485" w14:paraId="6AB2545F" w14:textId="77777777">
      <w:pPr>
        <w:pStyle w:val="ParagraphContinued"/>
        <w:rPr>
          <w:strike/>
        </w:rPr>
      </w:pPr>
      <w:r w:rsidRPr="00990D3B">
        <w:rPr>
          <w:noProof/>
        </w:rPr>
        <mc:AlternateContent>
          <mc:Choice Requires="wps">
            <w:drawing>
              <wp:anchor distT="0" distB="0" distL="114300" distR="114300" simplePos="0" relativeHeight="252002304" behindDoc="0" locked="0" layoutInCell="1" allowOverlap="1">
                <wp:simplePos x="0" y="0"/>
                <wp:positionH relativeFrom="column">
                  <wp:posOffset>3507105</wp:posOffset>
                </wp:positionH>
                <wp:positionV relativeFrom="paragraph">
                  <wp:posOffset>132080</wp:posOffset>
                </wp:positionV>
                <wp:extent cx="2194560" cy="2543175"/>
                <wp:effectExtent l="19050" t="19050" r="15240" b="28575"/>
                <wp:wrapTight wrapText="bothSides">
                  <wp:wrapPolygon>
                    <wp:start x="21788" y="21762"/>
                    <wp:lineTo x="21788" y="-81"/>
                    <wp:lineTo x="38" y="-81"/>
                    <wp:lineTo x="38" y="21762"/>
                    <wp:lineTo x="21788" y="21762"/>
                  </wp:wrapPolygon>
                </wp:wrapTight>
                <wp:docPr id="1791772442" name="Text Box 1791772442" descr="P532TB54#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543175"/>
                        </a:xfrm>
                        <a:prstGeom prst="rect">
                          <a:avLst/>
                        </a:prstGeom>
                        <a:solidFill>
                          <a:srgbClr val="EEF5F8"/>
                        </a:solidFill>
                        <a:ln w="28575" cap="rnd">
                          <a:solidFill>
                            <a:srgbClr val="A5DAD9"/>
                          </a:solidFill>
                          <a:prstDash val="solid"/>
                          <a:miter lim="800000"/>
                          <a:headEnd/>
                          <a:tailEnd/>
                        </a:ln>
                      </wps:spPr>
                      <wps:txbx>
                        <w:txbxContent>
                          <w:p w:rsidR="0045391D" w:rsidP="00666AC0" w14:textId="77777777">
                            <w:pPr>
                              <w:pStyle w:val="EQRTextboxheading"/>
                            </w:pPr>
                            <w:r>
                              <w:t>Resources for Activity 1, Steps 2, 3 and 4</w:t>
                            </w:r>
                          </w:p>
                          <w:p w:rsidR="0045391D" w:rsidRPr="00A37643" w:rsidP="00666AC0" w14:textId="4E5ACD30">
                            <w:pPr>
                              <w:pStyle w:val="EQRTextboxbody"/>
                              <w:rPr>
                                <w:rStyle w:val="Hyperlink"/>
                              </w:rPr>
                            </w:pPr>
                            <w:r>
                              <w:fldChar w:fldCharType="begin"/>
                            </w:r>
                            <w:r w:rsidR="00870F9A">
                              <w:instrText>HYPERLINK  \l "WS11n2" \o "Worksheet 11.2. Evaluation Metric Identification Template"</w:instrText>
                            </w:r>
                            <w:r>
                              <w:fldChar w:fldCharType="separate"/>
                            </w:r>
                            <w:r w:rsidRPr="00A37643">
                              <w:rPr>
                                <w:rStyle w:val="Hyperlink"/>
                              </w:rPr>
                              <w:t>Worksheet 11.2. Evaluation Metric Identification Template</w:t>
                            </w:r>
                          </w:p>
                          <w:p w:rsidR="0045391D" w:rsidRPr="00382ED3" w:rsidP="00666AC0" w14:textId="7B5BC67D">
                            <w:pPr>
                              <w:pStyle w:val="EQRTextboxbullet"/>
                              <w:ind w:left="180" w:hanging="180"/>
                            </w:pPr>
                            <w:r>
                              <w:rPr>
                                <w:rFonts w:cs="Times New Roman"/>
                                <w:szCs w:val="19"/>
                              </w:rPr>
                              <w:fldChar w:fldCharType="end"/>
                            </w:r>
                            <w:r w:rsidRPr="00382ED3">
                              <w:t xml:space="preserve">Provides a template for connecting the research questions developed in Step 2 to potential evaluation metrics.  </w:t>
                            </w:r>
                          </w:p>
                          <w:p w:rsidR="0045391D" w:rsidRPr="002B6DC1" w:rsidP="00666AC0" w14:textId="47E029E3">
                            <w:pPr>
                              <w:pStyle w:val="EQRTextboxbody"/>
                              <w:rPr>
                                <w:rStyle w:val="Hyperlink"/>
                              </w:rPr>
                            </w:pPr>
                            <w:r>
                              <w:fldChar w:fldCharType="begin"/>
                            </w:r>
                            <w:r w:rsidR="00146B70">
                              <w:instrText>HYPERLINK  \l "WS11n3" \o "Worksheet 11.3. Evaluation Metrics, Baseline, and Performance Targets"</w:instrText>
                            </w:r>
                            <w:r>
                              <w:fldChar w:fldCharType="separate"/>
                            </w:r>
                            <w:r w:rsidRPr="002B6DC1">
                              <w:rPr>
                                <w:rStyle w:val="Hyperlink"/>
                              </w:rPr>
                              <w:t>Worksheet 11.3. Evaluation Metrics, Baseline, and Performance Targets</w:t>
                            </w:r>
                          </w:p>
                          <w:p w:rsidR="0045391D" w:rsidRPr="00931E86" w:rsidP="00666AC0" w14:textId="7253CCD5">
                            <w:pPr>
                              <w:pStyle w:val="EQRTextboxbullet"/>
                              <w:ind w:left="180" w:hanging="180"/>
                            </w:pPr>
                            <w:r>
                              <w:rPr>
                                <w:rFonts w:cs="Times New Roman"/>
                                <w:szCs w:val="19"/>
                              </w:rPr>
                              <w:fldChar w:fldCharType="end"/>
                            </w:r>
                            <w:r w:rsidRPr="00931E86">
                              <w:t>Provides a template for documenting the evaluation metrics, as well as the baseline period and performance targets for each metric.</w:t>
                            </w:r>
                          </w:p>
                          <w:p w:rsidR="0045391D" w:rsidRPr="0090682E" w:rsidP="00666AC0" w14:textId="77777777">
                            <w:pPr>
                              <w:pStyle w:val="EQRTextboxbody"/>
                              <w:rPr>
                                <w:spacing w:val="-2"/>
                              </w:rPr>
                            </w:pPr>
                          </w:p>
                        </w:txbxContent>
                      </wps:txbx>
                      <wps:bodyPr rot="0" vert="horz" wrap="square" lIns="109728" tIns="45720" rIns="109728" bIns="45720" anchor="t" anchorCtr="0" upright="1"/>
                    </wps:wsp>
                  </a:graphicData>
                </a:graphic>
                <wp14:sizeRelV relativeFrom="margin">
                  <wp14:pctHeight>0</wp14:pctHeight>
                </wp14:sizeRelV>
              </wp:anchor>
            </w:drawing>
          </mc:Choice>
          <mc:Fallback>
            <w:pict>
              <v:shape id="Text Box 1791772442" o:spid="_x0000_s1230" type="#_x0000_t202" alt="P532TB54#y1" style="width:172.8pt;height:200.25pt;margin-top:10.4pt;margin-left:276.15pt;flip:y;mso-height-percent:0;mso-height-relative:margin;mso-wrap-distance-bottom:0;mso-wrap-distance-left:9pt;mso-wrap-distance-right:9pt;mso-wrap-distance-top:0;mso-wrap-style:square;position:absolute;rotation:180;visibility:visible;v-text-anchor:top;z-index:252003328" fillcolor="#eef5f8" strokecolor="#a5dad9" strokeweight="2.25pt">
                <v:stroke endcap="round"/>
                <v:textbox inset="8.64pt,,8.64pt">
                  <w:txbxContent>
                    <w:p w:rsidR="0045391D" w:rsidP="00666AC0" w14:paraId="72670198" w14:textId="77777777">
                      <w:pPr>
                        <w:pStyle w:val="EQRTextboxheading"/>
                      </w:pPr>
                      <w:r>
                        <w:t>Resources for Activity 1, Steps 2, 3 and 4</w:t>
                      </w:r>
                    </w:p>
                    <w:p w:rsidR="0045391D" w:rsidRPr="00A37643" w:rsidP="00666AC0" w14:paraId="74B51103" w14:textId="4E5ACD30">
                      <w:pPr>
                        <w:pStyle w:val="EQRTextboxbody"/>
                        <w:rPr>
                          <w:rStyle w:val="Hyperlink"/>
                        </w:rPr>
                      </w:pPr>
                      <w:r>
                        <w:fldChar w:fldCharType="begin"/>
                      </w:r>
                      <w:r w:rsidR="00870F9A">
                        <w:instrText>HYPERLINK  \l "WS11n2" \o "Worksheet 11.2. Evaluation Metric Identification Template"</w:instrText>
                      </w:r>
                      <w:r>
                        <w:fldChar w:fldCharType="separate"/>
                      </w:r>
                      <w:r w:rsidRPr="00A37643">
                        <w:rPr>
                          <w:rStyle w:val="Hyperlink"/>
                        </w:rPr>
                        <w:t>Worksheet 11.2. Evaluation Metric Identification Template</w:t>
                      </w:r>
                    </w:p>
                    <w:p w:rsidR="0045391D" w:rsidRPr="00382ED3" w:rsidP="00666AC0" w14:paraId="615A9666" w14:textId="7B5BC67D">
                      <w:pPr>
                        <w:pStyle w:val="EQRTextboxbullet"/>
                        <w:ind w:left="180" w:hanging="180"/>
                      </w:pPr>
                      <w:r>
                        <w:rPr>
                          <w:rFonts w:cs="Times New Roman"/>
                          <w:szCs w:val="19"/>
                        </w:rPr>
                        <w:fldChar w:fldCharType="end"/>
                      </w:r>
                      <w:r w:rsidRPr="00382ED3">
                        <w:t xml:space="preserve">Provides a template for connecting the research questions developed in Step 2 to potential evaluation metrics.  </w:t>
                      </w:r>
                    </w:p>
                    <w:p w:rsidR="0045391D" w:rsidRPr="002B6DC1" w:rsidP="00666AC0" w14:paraId="6B48C010" w14:textId="47E029E3">
                      <w:pPr>
                        <w:pStyle w:val="EQRTextboxbody"/>
                        <w:rPr>
                          <w:rStyle w:val="Hyperlink"/>
                        </w:rPr>
                      </w:pPr>
                      <w:r>
                        <w:fldChar w:fldCharType="begin"/>
                      </w:r>
                      <w:r w:rsidR="00146B70">
                        <w:instrText>HYPERLINK  \l "WS11n3" \o "Worksheet 11.3. Evaluation Metrics, Baseline, and Performance Targets"</w:instrText>
                      </w:r>
                      <w:r>
                        <w:fldChar w:fldCharType="separate"/>
                      </w:r>
                      <w:r w:rsidRPr="002B6DC1">
                        <w:rPr>
                          <w:rStyle w:val="Hyperlink"/>
                        </w:rPr>
                        <w:t>Worksheet 11.3. Evaluation Metrics, Baseline, and Performance Targets</w:t>
                      </w:r>
                    </w:p>
                    <w:p w:rsidR="0045391D" w:rsidRPr="00931E86" w:rsidP="00666AC0" w14:paraId="60FD0D10" w14:textId="7253CCD5">
                      <w:pPr>
                        <w:pStyle w:val="EQRTextboxbullet"/>
                        <w:ind w:left="180" w:hanging="180"/>
                      </w:pPr>
                      <w:r>
                        <w:rPr>
                          <w:rFonts w:cs="Times New Roman"/>
                          <w:szCs w:val="19"/>
                        </w:rPr>
                        <w:fldChar w:fldCharType="end"/>
                      </w:r>
                      <w:r w:rsidRPr="00931E86">
                        <w:t>Provides a template for documenting the evaluation metrics, as well as the baseline period and performance targets for each metric.</w:t>
                      </w:r>
                    </w:p>
                    <w:p w:rsidR="0045391D" w:rsidRPr="0090682E" w:rsidP="00666AC0" w14:paraId="66EB0457" w14:textId="77777777">
                      <w:pPr>
                        <w:pStyle w:val="EQRTextboxbody"/>
                        <w:rPr>
                          <w:spacing w:val="-2"/>
                        </w:rPr>
                      </w:pPr>
                    </w:p>
                  </w:txbxContent>
                </v:textbox>
                <w10:wrap type="tight"/>
              </v:shape>
            </w:pict>
          </mc:Fallback>
        </mc:AlternateContent>
      </w:r>
      <w:r w:rsidRPr="00990D3B">
        <w:t>To support the development of research questions and hypotheses, the EQRO may develop</w:t>
      </w:r>
      <w:r w:rsidRPr="00990D3B">
        <w:rPr>
          <w:noProof/>
        </w:rPr>
        <w:t xml:space="preserve"> </w:t>
      </w:r>
      <w:r w:rsidRPr="00990D3B">
        <w:t>a logic model or theory of change to articulate how the initiative, intervention, or policy is expected to achieve its intended outcomes. These tools provide a structured approach to understanding the connections between inputs, activities, outputs, and outcomes, ensuring that research questions are grounded in the intervention’s design and intended impact.</w:t>
      </w:r>
      <w:r>
        <w:rPr>
          <w:rStyle w:val="FootnoteReference"/>
        </w:rPr>
        <w:footnoteReference w:id="132"/>
      </w:r>
      <w:r w:rsidRPr="00990D3B">
        <w:rPr>
          <w:vertAlign w:val="superscript"/>
        </w:rPr>
        <w:t xml:space="preserve">, </w:t>
      </w:r>
      <w:r>
        <w:rPr>
          <w:rStyle w:val="FootnoteReference"/>
        </w:rPr>
        <w:footnoteReference w:id="133"/>
      </w:r>
      <w:r w:rsidRPr="00990D3B">
        <w:rPr>
          <w:vertAlign w:val="superscript"/>
        </w:rPr>
        <w:t xml:space="preserve"> </w:t>
      </w:r>
      <w:r w:rsidRPr="00990D3B">
        <w:t xml:space="preserve">By explicitly mapping the expected pathway—from resources and implementation strategies to short-term, intermediate, and long-term outcomes—logic models and theories of change help refine hypotheses and strengthen the evaluation framework. </w:t>
      </w:r>
    </w:p>
    <w:p w:rsidR="0045391D" w:rsidRPr="00990D3B" w:rsidP="00666AC0" w14:paraId="565BBB8B" w14:textId="77777777">
      <w:pPr>
        <w:pStyle w:val="H3"/>
      </w:pPr>
      <w:r w:rsidRPr="00990D3B">
        <w:t xml:space="preserve">Step </w:t>
      </w:r>
      <w:r w:rsidRPr="00990D3B">
        <w:t>3</w:t>
      </w:r>
      <w:r w:rsidRPr="00990D3B">
        <w:t xml:space="preserve">: </w:t>
      </w:r>
      <w:r w:rsidRPr="00990D3B">
        <w:t xml:space="preserve">Select Metrics </w:t>
      </w:r>
    </w:p>
    <w:p w:rsidR="0045391D" w:rsidRPr="00990D3B" w:rsidP="00BB72F4" w14:paraId="1836A714" w14:textId="77777777">
      <w:pPr>
        <w:pStyle w:val="ParagraphContinued"/>
        <w:rPr>
          <w:rFonts w:cstheme="minorBidi"/>
          <w:szCs w:val="24"/>
        </w:rPr>
      </w:pPr>
      <w:r w:rsidRPr="00990D3B">
        <w:t>In this step, the EQRO identifies the metrics that will be used to evaluate the initiative, intervention, or policy and determines the data sources needed to calculate those metrics. Selecting appropriate evaluation metrics</w:t>
      </w:r>
      <w:r w:rsidRPr="00990D3B">
        <w:rPr>
          <w:rFonts w:cstheme="minorBidi"/>
          <w:szCs w:val="24"/>
        </w:rPr>
        <w:t xml:space="preserve"> and identifying reliable data sources are critical steps in developing an effective evaluation plan. </w:t>
      </w:r>
    </w:p>
    <w:p w:rsidR="0045391D" w:rsidRPr="00990D3B" w:rsidP="00666AC0" w14:paraId="03B46D1B" w14:textId="21AF0416">
      <w:pPr>
        <w:pStyle w:val="Paragraph0"/>
      </w:pPr>
      <w:r w:rsidRPr="00990D3B">
        <w:rPr>
          <w:rFonts w:cstheme="minorBidi"/>
        </w:rPr>
        <w:t xml:space="preserve">CMS strongly encourages using established </w:t>
      </w:r>
      <w:r w:rsidRPr="00990D3B">
        <w:rPr>
          <w:rFonts w:cstheme="minorHAnsi"/>
          <w:szCs w:val="24"/>
        </w:rPr>
        <w:t>metrics</w:t>
      </w:r>
      <w:r w:rsidRPr="00990D3B">
        <w:rPr>
          <w:rFonts w:cstheme="minorBidi"/>
        </w:rPr>
        <w:t xml:space="preserve"> to evaluate improvements in the quality, timeliness, and access to healthcare services, such as those included in </w:t>
      </w:r>
      <w:hyperlink w:anchor="Box11n4" w:tooltip="Box 11.4" w:history="1">
        <w:r w:rsidRPr="00990D3B">
          <w:rPr>
            <w:rStyle w:val="Hyperlink"/>
          </w:rPr>
          <w:t>Box 11.4</w:t>
        </w:r>
      </w:hyperlink>
      <w:r w:rsidRPr="00990D3B" w:rsidR="00340F51">
        <w:rPr>
          <w:color w:val="1CA8B7"/>
        </w:rPr>
        <w:t xml:space="preserve"> </w:t>
      </w:r>
      <w:r w:rsidRPr="00990D3B" w:rsidR="00340F51">
        <w:t>(next page)</w:t>
      </w:r>
      <w:r w:rsidRPr="00990D3B">
        <w:t xml:space="preserve">.  </w:t>
      </w:r>
    </w:p>
    <w:p w:rsidR="000148D8" w:rsidRPr="00990D3B" w:rsidP="00666AC0" w14:paraId="3BCA592F" w14:textId="4DB5B618">
      <w:pPr>
        <w:pStyle w:val="NormalWeb"/>
      </w:pPr>
    </w:p>
    <w:p w:rsidR="000148D8" w:rsidRPr="00990D3B" w14:paraId="4F17A683" w14:textId="77777777">
      <w:pPr>
        <w:spacing w:line="240" w:lineRule="auto"/>
        <w:rPr>
          <w:rFonts w:ascii="Times New Roman" w:hAnsi="Times New Roman"/>
          <w:szCs w:val="24"/>
        </w:rPr>
      </w:pPr>
      <w:r w:rsidRPr="00990D3B">
        <w:br w:type="page"/>
      </w:r>
    </w:p>
    <w:p w:rsidR="0045391D" w:rsidRPr="00990D3B" w:rsidP="00287159" w14:paraId="50FEE0CF" w14:textId="520A6E24">
      <w:pPr>
        <w:pStyle w:val="Paragraph0"/>
      </w:pPr>
      <w:r w:rsidRPr="00990D3B">
        <w:t xml:space="preserve">When selecting metrics, ensure they align with the research questions and are specific to the outcomes or processes being evaluated. Additionally, metrics should be feasible to obtain within the evaluation’s timeline and accessible from reliable data sources. </w:t>
      </w:r>
      <w:hyperlink w:anchor="Box11n5" w:tooltip="Boxes 11.5" w:history="1">
        <w:r w:rsidRPr="00990D3B">
          <w:rPr>
            <w:rStyle w:val="Hyperlink"/>
          </w:rPr>
          <w:t>Boxes 11.5</w:t>
        </w:r>
      </w:hyperlink>
      <w:r w:rsidRPr="00990D3B" w:rsidR="0053448F">
        <w:t xml:space="preserve"> (next page)</w:t>
      </w:r>
      <w:r w:rsidRPr="00990D3B">
        <w:t xml:space="preserve">, </w:t>
      </w:r>
      <w:hyperlink w:anchor="Box11n6" w:tooltip="Box 11.6" w:history="1">
        <w:r w:rsidRPr="00990D3B">
          <w:rPr>
            <w:rStyle w:val="Hyperlink"/>
          </w:rPr>
          <w:t>11.6</w:t>
        </w:r>
      </w:hyperlink>
      <w:r w:rsidRPr="00990D3B" w:rsidR="0053448F">
        <w:t xml:space="preserve"> (next page)</w:t>
      </w:r>
      <w:r w:rsidRPr="00990D3B">
        <w:t xml:space="preserve">, and </w:t>
      </w:r>
      <w:hyperlink w:anchor="Box11n7" w:history="1">
        <w:r w:rsidRPr="00990D3B">
          <w:rPr>
            <w:rStyle w:val="Hyperlink"/>
          </w:rPr>
          <w:t>11.7</w:t>
        </w:r>
      </w:hyperlink>
      <w:r w:rsidRPr="00990D3B">
        <w:t xml:space="preserve"> </w:t>
      </w:r>
      <w:r w:rsidRPr="00990D3B" w:rsidR="0053448F">
        <w:t xml:space="preserve">(page 405) </w:t>
      </w:r>
      <w:r w:rsidRPr="00990D3B">
        <w:t xml:space="preserve">provide QS, SDP, and ILOS-specific considerations for selecting evaluation metrics. </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8774"/>
      </w:tblGrid>
      <w:tr w14:paraId="0265FF7D" w14:textId="77777777" w:rsidTr="0035705D">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Pr>
        <w:tc>
          <w:tcPr>
            <w:tcW w:w="8774" w:type="dxa"/>
            <w:shd w:val="clear" w:color="auto" w:fill="EEF5F8"/>
          </w:tcPr>
          <w:p w:rsidR="000148D8" w:rsidRPr="00990D3B" w:rsidP="0035705D" w14:paraId="381FC91E" w14:textId="77777777">
            <w:pPr>
              <w:pStyle w:val="EQRTextboxheading"/>
              <w:keepNext/>
            </w:pPr>
            <w:r w:rsidRPr="00990D3B">
              <w:t>B</w:t>
            </w:r>
            <w:bookmarkStart w:id="1069" w:name="Box11n4"/>
            <w:bookmarkEnd w:id="1069"/>
            <w:r w:rsidRPr="00990D3B">
              <w:t xml:space="preserve">ox 11.4. Examples of Nationally Recognized Healthcare Quality Measure Sets </w:t>
            </w:r>
          </w:p>
          <w:p w:rsidR="000148D8" w:rsidRPr="00990D3B" w:rsidP="0035705D" w14:paraId="367345E9" w14:textId="77777777">
            <w:pPr>
              <w:spacing w:before="120" w:after="120" w:line="240" w:lineRule="exact"/>
              <w:rPr>
                <w:rFonts w:asciiTheme="majorHAnsi" w:hAnsiTheme="majorHAnsi" w:cstheme="majorHAnsi"/>
                <w:color w:val="00559D"/>
                <w:sz w:val="17"/>
                <w:szCs w:val="17"/>
              </w:rPr>
            </w:pPr>
            <w:r w:rsidRPr="00990D3B">
              <w:rPr>
                <w:rFonts w:asciiTheme="majorHAnsi" w:hAnsiTheme="majorHAnsi" w:cstheme="majorHAnsi"/>
                <w:color w:val="00559D"/>
                <w:sz w:val="17"/>
                <w:szCs w:val="17"/>
              </w:rPr>
              <w:t xml:space="preserve">Federal and nationally recognized measure sets provide a foundation for evaluating healthcare quality, access, and outcomes. These established metrics allow states and MCPs to compare their performance with peers nationwide, supporting benchmarking and shared learning. Leveraging existing metrics can also reduce administrative burden, as many states and MCPs already collect and report on these measures for other federal or accreditation purposes. Examples of commonly used measure sets include: </w:t>
            </w:r>
          </w:p>
          <w:p w:rsidR="000148D8" w:rsidRPr="00990D3B" w:rsidP="00FE34BF" w14:paraId="7F4DD674" w14:textId="77777777">
            <w:pPr>
              <w:pStyle w:val="EQRTextboxbullet"/>
              <w:rPr>
                <w:rFonts w:asciiTheme="majorHAnsi" w:hAnsiTheme="majorHAnsi" w:cstheme="majorHAnsi"/>
              </w:rPr>
            </w:pPr>
            <w:r w:rsidRPr="00990D3B">
              <w:rPr>
                <w:rFonts w:asciiTheme="majorHAnsi" w:hAnsiTheme="majorHAnsi" w:cstheme="majorHAnsi"/>
                <w:b/>
                <w:bCs/>
              </w:rPr>
              <w:t>CMS’s Child and Adult Core Sets.</w:t>
            </w:r>
            <w:r w:rsidRPr="00990D3B">
              <w:rPr>
                <w:rFonts w:asciiTheme="majorHAnsi" w:hAnsiTheme="majorHAnsi" w:cstheme="majorHAnsi"/>
              </w:rPr>
              <w:t xml:space="preserve"> More information about the Child and Adult Core Sets is available at </w:t>
            </w:r>
            <w:hyperlink r:id="rId72" w:history="1">
              <w:r w:rsidRPr="00990D3B">
                <w:rPr>
                  <w:rStyle w:val="Hyperlink"/>
                  <w:rFonts w:asciiTheme="majorHAnsi" w:hAnsiTheme="majorHAnsi" w:cstheme="majorHAnsi"/>
                </w:rPr>
                <w:t>https://www.medicaid.gov/medicaid/quality-of-care/performance-measurement/adult-and-child-health-care-quality-measures</w:t>
              </w:r>
            </w:hyperlink>
            <w:r w:rsidRPr="00990D3B">
              <w:rPr>
                <w:rFonts w:asciiTheme="majorHAnsi" w:hAnsiTheme="majorHAnsi" w:cstheme="majorHAnsi"/>
              </w:rPr>
              <w:t xml:space="preserve">. </w:t>
            </w:r>
          </w:p>
          <w:p w:rsidR="000148D8" w:rsidRPr="00990D3B" w:rsidP="00FE34BF" w14:paraId="68292609" w14:textId="77777777">
            <w:pPr>
              <w:pStyle w:val="EQRTextboxbullet"/>
            </w:pPr>
            <w:r w:rsidRPr="00990D3B">
              <w:rPr>
                <w:b/>
                <w:bCs/>
              </w:rPr>
              <w:t>Core Quality Measure Collaborative (CQMC).</w:t>
            </w:r>
            <w:r w:rsidRPr="00990D3B">
              <w:t xml:space="preserve"> More information about the CQMC is available at </w:t>
            </w:r>
            <w:hyperlink r:id="rId146" w:history="1">
              <w:r w:rsidRPr="00990D3B">
                <w:rPr>
                  <w:rStyle w:val="Hyperlink"/>
                  <w:rFonts w:asciiTheme="majorHAnsi" w:hAnsiTheme="majorHAnsi" w:cstheme="majorHAnsi"/>
                </w:rPr>
                <w:t>https://www.cms.gov/medicare/quality/measures/core-measures</w:t>
              </w:r>
            </w:hyperlink>
            <w:r w:rsidRPr="00990D3B">
              <w:t xml:space="preserve">. </w:t>
            </w:r>
          </w:p>
          <w:p w:rsidR="000148D8" w:rsidRPr="00990D3B" w:rsidP="00FE34BF" w14:paraId="0DA517E4" w14:textId="77777777">
            <w:pPr>
              <w:pStyle w:val="EQRTextboxbullet"/>
            </w:pPr>
            <w:r w:rsidRPr="00990D3B">
              <w:rPr>
                <w:b/>
                <w:bCs/>
              </w:rPr>
              <w:t>Certified Community Behavioral Health Clinic (CCBHC) Measures.</w:t>
            </w:r>
            <w:r w:rsidRPr="00990D3B">
              <w:t xml:space="preserve"> More information about the CCBHC measures is available at </w:t>
            </w:r>
            <w:hyperlink r:id="rId151" w:history="1">
              <w:r w:rsidRPr="00990D3B">
                <w:rPr>
                  <w:rStyle w:val="Hyperlink"/>
                  <w:rFonts w:asciiTheme="majorHAnsi" w:hAnsiTheme="majorHAnsi" w:cstheme="majorHAnsi"/>
                </w:rPr>
                <w:t>https://www.samhsa.gov/communities/certified-community-behavioral-health-clinics/guidance-and-webinars</w:t>
              </w:r>
            </w:hyperlink>
            <w:r w:rsidRPr="00990D3B">
              <w:t xml:space="preserve">. </w:t>
            </w:r>
          </w:p>
          <w:p w:rsidR="000148D8" w:rsidRPr="00990D3B" w:rsidP="00FE34BF" w14:paraId="11923988" w14:textId="77777777">
            <w:pPr>
              <w:pStyle w:val="EQRTextboxbullet"/>
            </w:pPr>
            <w:r w:rsidRPr="00990D3B">
              <w:rPr>
                <w:b/>
                <w:bCs/>
              </w:rPr>
              <w:t>Home and Community-Based Services (HCBS) Quality Measure Set.</w:t>
            </w:r>
            <w:r w:rsidRPr="00990D3B">
              <w:t xml:space="preserve"> More information about the HCBS Quality Measure Set measures is available at </w:t>
            </w:r>
            <w:hyperlink r:id="rId222" w:history="1">
              <w:r w:rsidRPr="00990D3B">
                <w:rPr>
                  <w:rStyle w:val="Hyperlink"/>
                  <w:rFonts w:asciiTheme="majorHAnsi" w:hAnsiTheme="majorHAnsi" w:cstheme="majorHAnsi"/>
                </w:rPr>
                <w:t>https://www.medicaid.gov/medicaid/quality-of-care/quality-improvement-initiatives/measuring-and-improving-quality-home-and-community-based-services</w:t>
              </w:r>
            </w:hyperlink>
            <w:r w:rsidRPr="00990D3B">
              <w:t xml:space="preserve">. </w:t>
            </w:r>
          </w:p>
          <w:p w:rsidR="000148D8" w:rsidRPr="00990D3B" w:rsidP="00FE34BF" w14:paraId="31B5D69F" w14:textId="77777777">
            <w:pPr>
              <w:pStyle w:val="EQRTextboxbullet"/>
            </w:pPr>
            <w:r w:rsidRPr="00990D3B">
              <w:rPr>
                <w:b/>
                <w:bCs/>
              </w:rPr>
              <w:t xml:space="preserve">National Committee for Quality Assurance’s (NCQA’s) Healthcare Effectiveness Data Information Set (HEDIS®). </w:t>
            </w:r>
            <w:r w:rsidRPr="00990D3B">
              <w:t xml:space="preserve">More information about HEDIS® is available at </w:t>
            </w:r>
            <w:hyperlink r:id="rId223" w:history="1">
              <w:r w:rsidRPr="00990D3B">
                <w:rPr>
                  <w:rStyle w:val="Hyperlink"/>
                  <w:rFonts w:asciiTheme="majorHAnsi" w:hAnsiTheme="majorHAnsi" w:cstheme="majorHAnsi"/>
                </w:rPr>
                <w:t>http://www.ncqa.org/hedis-quality-measurement</w:t>
              </w:r>
            </w:hyperlink>
            <w:r w:rsidRPr="00990D3B">
              <w:t xml:space="preserve">. </w:t>
            </w:r>
          </w:p>
          <w:p w:rsidR="000148D8" w:rsidRPr="00990D3B" w:rsidP="00FE34BF" w14:paraId="27F75ECA" w14:textId="77777777">
            <w:pPr>
              <w:pStyle w:val="EQRTextboxbullet"/>
            </w:pPr>
            <w:r w:rsidRPr="00990D3B">
              <w:t xml:space="preserve">Agency for Healthcare Research and Quality (AHRQ) Quality Indicators (e.g., prevention quality indicators [PQIs], inpatient quality indicators [IQIs], patient safety indicators [PSIs], and pediatric quality indicators [PDIs]. More information about AHRQ quality measures is available at </w:t>
            </w:r>
            <w:hyperlink r:id="rId224" w:history="1">
              <w:r w:rsidRPr="00990D3B">
                <w:rPr>
                  <w:rStyle w:val="Hyperlink"/>
                  <w:rFonts w:asciiTheme="majorHAnsi" w:hAnsiTheme="majorHAnsi" w:cstheme="majorHAnsi"/>
                </w:rPr>
                <w:t>http://www.qualityindicators.ahrq.gov/</w:t>
              </w:r>
            </w:hyperlink>
            <w:r w:rsidRPr="00990D3B">
              <w:t>.</w:t>
            </w:r>
          </w:p>
          <w:p w:rsidR="000148D8" w:rsidRPr="00990D3B" w:rsidP="00FE34BF" w14:paraId="57FC3ABB" w14:textId="77777777">
            <w:pPr>
              <w:pStyle w:val="EQRTextboxbullet"/>
            </w:pPr>
            <w:r w:rsidRPr="00990D3B">
              <w:rPr>
                <w:b/>
                <w:bCs/>
              </w:rPr>
              <w:t>Dental Quality Measures.</w:t>
            </w:r>
            <w:r w:rsidRPr="00990D3B">
              <w:t xml:space="preserve"> More information about the Dental Quality Measures is available at   https://www.ada.org/resources/research/dental-quality-alliance.</w:t>
            </w:r>
          </w:p>
        </w:tc>
      </w:tr>
    </w:tbl>
    <w:p w:rsidR="0045391D" w:rsidRPr="00990D3B" w:rsidP="00666AC0" w14:paraId="1E0BA07D" w14:textId="77777777">
      <w:pPr>
        <w:pStyle w:val="Paragraph0"/>
        <w:spacing w:after="0" w:line="240" w:lineRule="auto"/>
        <w:rPr>
          <w:rFonts w:ascii="Times New Roman" w:hAnsi="Times New Roman"/>
          <w:szCs w:val="24"/>
        </w:rPr>
      </w:pPr>
    </w:p>
    <w:p w:rsidR="00205E0D" w:rsidRPr="00990D3B" w14:paraId="3057C050" w14:textId="0B585F12">
      <w:pPr>
        <w:spacing w:line="240" w:lineRule="auto"/>
        <w:rPr>
          <w:rFonts w:ascii="Times New Roman" w:hAnsi="Times New Roman"/>
          <w:szCs w:val="24"/>
        </w:rPr>
      </w:pPr>
      <w:r w:rsidRPr="00990D3B">
        <w:rPr>
          <w:rFonts w:ascii="Times New Roman" w:hAnsi="Times New Roman"/>
          <w:szCs w:val="24"/>
        </w:rPr>
        <w:br w:type="page"/>
      </w:r>
    </w:p>
    <w:tbl>
      <w:tblPr>
        <w:tblStyle w:val="TableGrid"/>
        <w:tblpPr w:leftFromText="180" w:rightFromText="180" w:vertAnchor="text" w:horzAnchor="margin" w:tblpY="50"/>
        <w:tblOverlap w:val="never"/>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8977"/>
      </w:tblGrid>
      <w:tr w14:paraId="17F170C0" w14:textId="77777777" w:rsidTr="002B1219">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1944"/>
        </w:trPr>
        <w:tc>
          <w:tcPr>
            <w:tcW w:w="8977" w:type="dxa"/>
            <w:shd w:val="clear" w:color="auto" w:fill="EEF5F8"/>
          </w:tcPr>
          <w:p w:rsidR="002B1219" w:rsidRPr="00990D3B" w:rsidP="002B1219" w14:paraId="2FD2E899" w14:textId="77777777">
            <w:pPr>
              <w:pStyle w:val="EQRTextboxheading"/>
              <w:keepNext/>
            </w:pPr>
            <w:bookmarkStart w:id="1070" w:name="Table11n5"/>
            <w:bookmarkStart w:id="1071" w:name="Box11n5"/>
            <w:bookmarkEnd w:id="1070"/>
            <w:bookmarkEnd w:id="1071"/>
            <w:r w:rsidRPr="00990D3B">
              <w:t xml:space="preserve">Box 11.5. Considerations for Selecting QS Evaluation Metrics </w:t>
            </w:r>
          </w:p>
          <w:p w:rsidR="002B1219" w:rsidRPr="00990D3B" w:rsidP="00FE34BF" w14:paraId="4931FABE" w14:textId="77777777">
            <w:pPr>
              <w:pStyle w:val="EQRTextboxbody"/>
            </w:pPr>
            <w:r w:rsidRPr="00990D3B">
              <w:t>When selecting evaluation metrics, consider…</w:t>
            </w:r>
          </w:p>
          <w:p w:rsidR="002B1219" w:rsidRPr="00990D3B" w:rsidP="00FE34BF" w14:paraId="1D6D179A" w14:textId="77777777">
            <w:pPr>
              <w:pStyle w:val="EQRTextboxbullet"/>
            </w:pPr>
            <w:r w:rsidRPr="00990D3B">
              <w:rPr>
                <w:b/>
                <w:bCs/>
              </w:rPr>
              <w:t>Using the metrics included in QS goals and objectives.</w:t>
            </w:r>
            <w:r w:rsidRPr="00990D3B">
              <w:t xml:space="preserve"> These metrics are natural choices for assessing the QS’s effectiveness, as they directly reflect the state’s quality improvement (QI) aims. </w:t>
            </w:r>
          </w:p>
          <w:p w:rsidR="002B1219" w:rsidRPr="00990D3B" w:rsidP="00FE34BF" w14:paraId="7D2F3AD8" w14:textId="77777777">
            <w:pPr>
              <w:pStyle w:val="EQRTextboxbullet"/>
            </w:pPr>
            <w:r w:rsidRPr="00990D3B">
              <w:rPr>
                <w:b/>
                <w:bCs/>
              </w:rPr>
              <w:t>Incorporating QAPI measures.</w:t>
            </w:r>
            <w:r w:rsidRPr="00990D3B">
              <w:t xml:space="preserve"> Leveraging QAPI measures, especially those mentioned in the QS, can support a comprehensive assessment of the state’s QI efforts and their impact on the state’s QS goals and objectives. Additionally, since MCPs must report these measures, and they must be validated during EQR, they should be readily available when completing the QS effectiveness evaluation. </w:t>
            </w:r>
          </w:p>
        </w:tc>
      </w:tr>
    </w:tbl>
    <w:tbl>
      <w:tblPr>
        <w:tblStyle w:val="TableGrid6"/>
        <w:tblpPr w:leftFromText="180" w:rightFromText="180" w:vertAnchor="page" w:horzAnchor="margin" w:tblpY="4508"/>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8977"/>
      </w:tblGrid>
      <w:tr w14:paraId="74044B91" w14:textId="77777777" w:rsidTr="5162D400">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3510"/>
        </w:trPr>
        <w:tc>
          <w:tcPr>
            <w:tcW w:w="8977" w:type="dxa"/>
            <w:shd w:val="clear" w:color="auto" w:fill="EEF5F8"/>
          </w:tcPr>
          <w:p w:rsidR="002B1219" w:rsidRPr="00990D3B" w:rsidP="00A47277" w14:paraId="146BC576" w14:textId="77777777">
            <w:pPr>
              <w:pStyle w:val="EQRTextboxheading"/>
            </w:pPr>
            <w:bookmarkStart w:id="1072" w:name="Table11n6"/>
            <w:bookmarkStart w:id="1073" w:name="Box11n6"/>
            <w:bookmarkEnd w:id="1072"/>
            <w:bookmarkEnd w:id="1073"/>
            <w:r w:rsidRPr="00990D3B">
              <w:t xml:space="preserve">Box 11.6. Considerations for Selecting SDP Evaluation Metrics </w:t>
            </w:r>
          </w:p>
          <w:p w:rsidR="002B1219" w:rsidRPr="00990D3B" w:rsidP="00A47277" w14:paraId="05830016" w14:textId="77777777">
            <w:pPr>
              <w:pStyle w:val="EQRTextboxbody"/>
            </w:pPr>
            <w:r w:rsidRPr="00990D3B">
              <w:t xml:space="preserve">To comply with CMS requirements and align with SDP evaluation best practices… </w:t>
            </w:r>
          </w:p>
          <w:p w:rsidR="002B1219" w:rsidRPr="00990D3B" w:rsidP="00A47277" w14:paraId="0DA6F2A9" w14:textId="77777777">
            <w:pPr>
              <w:pStyle w:val="EQRTextboxbullet"/>
            </w:pPr>
            <w:r w:rsidRPr="00990D3B">
              <w:rPr>
                <w:b/>
                <w:bCs/>
              </w:rPr>
              <w:t>Select quality metrics.</w:t>
            </w:r>
            <w:r w:rsidRPr="00990D3B">
              <w:t xml:space="preserve"> SDP evaluations must include at least two metrics, with at least one being a quality measure, i.e., a measure quantifying healthcare processes, outcomes, or patient perceptions. </w:t>
            </w:r>
          </w:p>
          <w:p w:rsidR="002B1219" w:rsidRPr="00990D3B" w:rsidP="00A47277" w14:paraId="58B7E661" w14:textId="77777777">
            <w:pPr>
              <w:pStyle w:val="EQRTextboxbullet2ndlevel"/>
            </w:pPr>
            <w:r w:rsidRPr="00990D3B">
              <w:t xml:space="preserve">The 2024 Medicaid and CHIP Managed Care Access, Finance, and Quality rule further built on this guidance by requiring SDP evaluations to include a quantitative metric, with a numerator and denominator, that assesses provider service delivery, quality of care, or outcomes (effective July 2027). See 42 CFR §438.6(a).  </w:t>
            </w:r>
          </w:p>
          <w:p w:rsidR="002B1219" w:rsidRPr="00990D3B" w:rsidP="00A47277" w14:paraId="220DFECB" w14:textId="77777777">
            <w:pPr>
              <w:pStyle w:val="EQRTextboxbullet"/>
            </w:pPr>
            <w:r w:rsidRPr="00990D3B">
              <w:rPr>
                <w:b/>
                <w:bCs/>
              </w:rPr>
              <w:t>Align metrics with the state’s QS.</w:t>
            </w:r>
            <w:r w:rsidRPr="00990D3B">
              <w:t xml:space="preserve"> SDP evaluation metrics should be directly related to the QS goals and objectives the SDP aims to further. If the QS goals and objectives identified in the SDP preprint have associated metrics, consider using those metrics to ensure alignment. </w:t>
            </w:r>
          </w:p>
          <w:p w:rsidR="002B1219" w:rsidRPr="00990D3B" w:rsidP="00A47277" w14:paraId="3738DF34" w14:textId="77777777">
            <w:pPr>
              <w:pStyle w:val="EQRTextboxbullet"/>
            </w:pPr>
            <w:r w:rsidRPr="00990D3B">
              <w:rPr>
                <w:b/>
                <w:bCs/>
              </w:rPr>
              <w:t>Select metrics that reflect the SDP’s provider and services.</w:t>
            </w:r>
            <w:r w:rsidRPr="00990D3B">
              <w:t xml:space="preserve"> SDP evaluation metrics should align with the providers and services included in the payment arrangement. For example, if the SDP aims to improve behavioral health outcomes through enhanced care coordination by community health centers, relevant metrics might include the percentage of patients referred to behavioral health services, the rate of follow-up visits after a behavioral health crisis, or patient satisfaction with care coordination services.</w:t>
            </w:r>
          </w:p>
          <w:p w:rsidR="00464448" w:rsidRPr="00990D3B" w:rsidP="00A47277" w14:paraId="0DF46646" w14:textId="26E4489C">
            <w:pPr>
              <w:pStyle w:val="EQRTextboxbullet"/>
              <w:rPr>
                <w:b/>
                <w:bCs/>
              </w:rPr>
            </w:pPr>
            <w:r w:rsidRPr="00990D3B">
              <w:rPr>
                <w:b/>
                <w:bCs/>
              </w:rPr>
              <w:t xml:space="preserve">Leverage value-based payment (VBP) measures where applicable. </w:t>
            </w:r>
            <w:r w:rsidRPr="00990D3B" w:rsidR="005A4DA9">
              <w:t xml:space="preserve">For SDPs structured as </w:t>
            </w:r>
            <w:r w:rsidRPr="00990D3B" w:rsidR="00037A2A">
              <w:t xml:space="preserve">VBP </w:t>
            </w:r>
            <w:r w:rsidRPr="00990D3B" w:rsidR="005A4DA9">
              <w:t xml:space="preserve">arrangements, evaluations may incorporate </w:t>
            </w:r>
            <w:r w:rsidRPr="00990D3B" w:rsidR="00037A2A">
              <w:t xml:space="preserve">the SDP’s </w:t>
            </w:r>
            <w:r w:rsidRPr="00990D3B" w:rsidR="005A4DA9">
              <w:t>VBP measures, provide</w:t>
            </w:r>
            <w:r w:rsidRPr="00990D3B" w:rsidR="00B975E3">
              <w:t>d</w:t>
            </w:r>
            <w:r w:rsidRPr="00990D3B" w:rsidR="005A4DA9">
              <w:t xml:space="preserve"> they are adapted to assess performance at the SDP level rather than at the individual provider level. For example, if the </w:t>
            </w:r>
            <w:r w:rsidRPr="00990D3B" w:rsidR="00037A2A">
              <w:t>VBP uses</w:t>
            </w:r>
            <w:r w:rsidRPr="00990D3B" w:rsidR="005A4DA9">
              <w:t xml:space="preserve"> </w:t>
            </w:r>
            <w:r w:rsidRPr="00990D3B" w:rsidR="00037A2A">
              <w:t xml:space="preserve">follow-up after hospitalization for mental illness to incentivize provider performance, </w:t>
            </w:r>
            <w:r w:rsidRPr="00990D3B" w:rsidR="005A4DA9">
              <w:t xml:space="preserve">the evaluation should aggregate performance across all participating providers to assess the payment arrangement’s overall impact. </w:t>
            </w:r>
          </w:p>
        </w:tc>
      </w:tr>
    </w:tbl>
    <w:p w:rsidR="00205E0D" w:rsidRPr="00990D3B" w:rsidP="00666AC0" w14:paraId="5389A056" w14:textId="77777777">
      <w:pPr>
        <w:spacing w:before="100" w:beforeAutospacing="1" w:after="100" w:afterAutospacing="1" w:line="240" w:lineRule="auto"/>
        <w:rPr>
          <w:rFonts w:ascii="Times New Roman" w:hAnsi="Times New Roman"/>
          <w:szCs w:val="24"/>
        </w:rPr>
      </w:pPr>
    </w:p>
    <w:p w:rsidR="00CA4EAC" w:rsidRPr="00990D3B" w14:paraId="537FA213" w14:textId="77777777">
      <w:pPr>
        <w:spacing w:line="240" w:lineRule="auto"/>
        <w:rPr>
          <w:rFonts w:ascii="Times New Roman" w:hAnsi="Times New Roman"/>
          <w:szCs w:val="24"/>
        </w:rPr>
      </w:pPr>
    </w:p>
    <w:p w:rsidR="00CA4EAC" w:rsidRPr="00990D3B" w14:paraId="6E0A7052" w14:textId="77777777">
      <w:pPr>
        <w:spacing w:line="240" w:lineRule="auto"/>
        <w:rPr>
          <w:rFonts w:ascii="Times New Roman" w:hAnsi="Times New Roman"/>
          <w:szCs w:val="24"/>
        </w:rPr>
      </w:pPr>
      <w:r w:rsidRPr="00990D3B">
        <w:rPr>
          <w:rFonts w:ascii="Times New Roman" w:hAnsi="Times New Roman"/>
          <w:szCs w:val="24"/>
        </w:rPr>
        <w:br w:type="page"/>
      </w:r>
    </w:p>
    <w:tbl>
      <w:tblPr>
        <w:tblStyle w:val="TableGrid6"/>
        <w:tblW w:w="0" w:type="auto"/>
        <w:tblBorders>
          <w:top w:val="single" w:sz="18" w:space="0" w:color="9BEDE1"/>
          <w:left w:val="single" w:sz="18" w:space="0" w:color="9BEDE1"/>
          <w:bottom w:val="none" w:sz="0" w:space="0" w:color="auto"/>
          <w:right w:val="single" w:sz="18" w:space="0" w:color="9BEDE1"/>
          <w:insideH w:val="none" w:sz="0" w:space="0" w:color="auto"/>
          <w:insideV w:val="none" w:sz="0" w:space="0" w:color="auto"/>
        </w:tblBorders>
        <w:shd w:val="clear" w:color="auto" w:fill="EEF5F5" w:themeFill="background2"/>
        <w:tblLook w:val="04A0"/>
      </w:tblPr>
      <w:tblGrid>
        <w:gridCol w:w="9314"/>
      </w:tblGrid>
      <w:tr w14:paraId="2EA7F265" w14:textId="77777777" w:rsidTr="5162D400">
        <w:tblPrEx>
          <w:tblW w:w="0" w:type="auto"/>
          <w:tblBorders>
            <w:top w:val="single" w:sz="18" w:space="0" w:color="9BEDE1"/>
            <w:left w:val="single" w:sz="18" w:space="0" w:color="9BEDE1"/>
            <w:bottom w:val="none" w:sz="0" w:space="0" w:color="auto"/>
            <w:right w:val="single" w:sz="18" w:space="0" w:color="9BEDE1"/>
            <w:insideH w:val="none" w:sz="0" w:space="0" w:color="auto"/>
            <w:insideV w:val="none" w:sz="0" w:space="0" w:color="auto"/>
          </w:tblBorders>
          <w:shd w:val="clear" w:color="auto" w:fill="EEF5F5" w:themeFill="background2"/>
          <w:tblLook w:val="04A0"/>
        </w:tblPrEx>
        <w:tc>
          <w:tcPr>
            <w:tcW w:w="9350" w:type="dxa"/>
            <w:tcBorders>
              <w:top w:val="single" w:sz="18" w:space="0" w:color="B1D5DA" w:themeColor="accent3" w:themeShade="E6"/>
              <w:left w:val="single" w:sz="18" w:space="0" w:color="B1D5DA" w:themeColor="accent3" w:themeShade="E6"/>
              <w:right w:val="single" w:sz="18" w:space="0" w:color="B1D5DA" w:themeColor="accent3" w:themeShade="E6"/>
            </w:tcBorders>
            <w:shd w:val="clear" w:color="auto" w:fill="EEF5F5" w:themeFill="background2"/>
          </w:tcPr>
          <w:p w:rsidR="00CA4EAC" w:rsidRPr="00990D3B" w:rsidP="00EC48DE" w14:paraId="5BAD9E8A" w14:textId="705E7065">
            <w:pPr>
              <w:pStyle w:val="EQRTextboxheading"/>
            </w:pPr>
            <w:bookmarkStart w:id="1074" w:name="Box11n7"/>
            <w:bookmarkEnd w:id="1074"/>
            <w:r w:rsidRPr="00990D3B">
              <w:t>B</w:t>
            </w:r>
            <w:bookmarkStart w:id="1075" w:name="Table11n7"/>
            <w:bookmarkEnd w:id="1075"/>
            <w:r w:rsidRPr="00990D3B">
              <w:t xml:space="preserve">ox 11.7. Considerations for Selecting ILOS Evaluation Metrics </w:t>
            </w:r>
          </w:p>
        </w:tc>
      </w:tr>
      <w:tr w14:paraId="4660A1ED" w14:textId="77777777" w:rsidTr="5162D400">
        <w:tblPrEx>
          <w:tblW w:w="0" w:type="auto"/>
          <w:shd w:val="clear" w:color="auto" w:fill="EEF5F5" w:themeFill="background2"/>
          <w:tblLook w:val="04A0"/>
        </w:tblPrEx>
        <w:tc>
          <w:tcPr>
            <w:tcW w:w="9350" w:type="dxa"/>
            <w:tcBorders>
              <w:left w:val="single" w:sz="18" w:space="0" w:color="B1D5DA" w:themeColor="accent3" w:themeShade="E6"/>
              <w:bottom w:val="single" w:sz="18" w:space="0" w:color="B1D5DA" w:themeColor="accent3" w:themeShade="E6"/>
              <w:right w:val="single" w:sz="18" w:space="0" w:color="B1D5DA" w:themeColor="accent3" w:themeShade="E6"/>
            </w:tcBorders>
            <w:shd w:val="clear" w:color="auto" w:fill="EEF5F5" w:themeFill="background2"/>
          </w:tcPr>
          <w:p w:rsidR="00CA4EAC" w:rsidRPr="00990D3B" w:rsidP="00EC48DE" w14:paraId="5DC8B579" w14:textId="77777777">
            <w:pPr>
              <w:pStyle w:val="EQRTextboxbody"/>
            </w:pPr>
            <w:r w:rsidRPr="00990D3B">
              <w:t xml:space="preserve">To comply with CMS requirements and align with ILOS evaluation best practices… </w:t>
            </w:r>
          </w:p>
          <w:p w:rsidR="00CA4EAC" w:rsidRPr="00990D3B" w:rsidP="00EC48DE" w14:paraId="77E6D73E" w14:textId="23F954B8">
            <w:pPr>
              <w:pStyle w:val="EQRTextboxbody"/>
            </w:pPr>
            <w:r w:rsidRPr="00990D3B">
              <w:rPr>
                <w:b/>
                <w:bCs/>
              </w:rPr>
              <w:t>Sel</w:t>
            </w:r>
            <w:r w:rsidRPr="00990D3B" w:rsidR="00F5249D">
              <w:rPr>
                <w:b/>
                <w:bCs/>
              </w:rPr>
              <w:t>e</w:t>
            </w:r>
            <w:r w:rsidRPr="00990D3B">
              <w:rPr>
                <w:b/>
                <w:bCs/>
              </w:rPr>
              <w:t>ct a range of metrics.</w:t>
            </w:r>
            <w:r w:rsidRPr="00990D3B">
              <w:t xml:space="preserve"> ILOS evaluations must encompass a variety of assessments (see </w:t>
            </w:r>
            <w:r w:rsidRPr="00947C70">
              <w:rPr>
                <w:b/>
                <w:bCs/>
                <w:color w:val="005660"/>
              </w:rPr>
              <w:t>Table 11.1</w:t>
            </w:r>
            <w:r w:rsidRPr="00947C70">
              <w:rPr>
                <w:color w:val="005660"/>
              </w:rPr>
              <w:t xml:space="preserve"> </w:t>
            </w:r>
            <w:r w:rsidRPr="00990D3B">
              <w:t xml:space="preserve">for more information). To achieve this, select metrics across key domains, including: </w:t>
            </w:r>
          </w:p>
          <w:p w:rsidR="00CA4EAC" w:rsidRPr="00990D3B" w:rsidP="00EC48DE" w14:paraId="6DDC6220" w14:textId="77777777">
            <w:pPr>
              <w:pStyle w:val="EQRTextboxbullet"/>
            </w:pPr>
            <w:r w:rsidRPr="00990D3B">
              <w:rPr>
                <w:b/>
                <w:bCs/>
              </w:rPr>
              <w:t>Cost metrics.</w:t>
            </w:r>
            <w:r w:rsidRPr="00990D3B">
              <w:t xml:space="preserve"> Include metrics that evaluate whether ILOSs serve as cost-effective substitutes for traditional state plan services. These can include metrics associated with total costs or per-member-per-month (PMPM) expenses and the total ILOS cost percentage. </w:t>
            </w:r>
          </w:p>
          <w:p w:rsidR="00CA4EAC" w:rsidRPr="00990D3B" w:rsidP="00EC48DE" w14:paraId="3AAD6886" w14:textId="77777777">
            <w:pPr>
              <w:pStyle w:val="EQRTextboxbullet"/>
            </w:pPr>
            <w:r w:rsidRPr="00990D3B">
              <w:rPr>
                <w:b/>
                <w:bCs/>
              </w:rPr>
              <w:t xml:space="preserve">Utilization metrics. </w:t>
            </w:r>
            <w:r w:rsidRPr="00990D3B">
              <w:t xml:space="preserve">Include metrics that evaluate healthcare use patterns, such as ED visits, hospitalizations, and primary care visits. Consider metrics that capture both improvements in service use and reductions in avoidable care. For example, a transportation ILOS may track improvements in primary care visit attendance alongside reductions in ED visits. </w:t>
            </w:r>
          </w:p>
          <w:p w:rsidR="00F5249D" w:rsidRPr="00990D3B" w:rsidP="00EC48DE" w14:paraId="64CFE5B6" w14:textId="50FFB68C">
            <w:pPr>
              <w:pStyle w:val="EQRTextboxbullet"/>
              <w:rPr>
                <w:sz w:val="20"/>
              </w:rPr>
            </w:pPr>
            <w:r w:rsidRPr="00990D3B">
              <w:rPr>
                <w:b/>
                <w:bCs/>
              </w:rPr>
              <w:t xml:space="preserve">Outcome metrics. </w:t>
            </w:r>
            <w:r w:rsidRPr="00990D3B">
              <w:t xml:space="preserve">Include metrics that evaluate the impact of the ILOS on enrollee outcomes. Outcome metrics go beyond utilization by assessing the results of the services. For example, an ILOS for </w:t>
            </w:r>
            <w:r w:rsidRPr="00990D3B" w:rsidR="00C97799">
              <w:t>transportation</w:t>
            </w:r>
            <w:r w:rsidRPr="00990D3B">
              <w:t xml:space="preserve"> support might pair metrics related to the use of </w:t>
            </w:r>
            <w:r w:rsidRPr="00990D3B" w:rsidR="00C97799">
              <w:t>transportation</w:t>
            </w:r>
            <w:r w:rsidRPr="00990D3B">
              <w:t xml:space="preserve"> services (utilization) and outcome metrics like </w:t>
            </w:r>
            <w:r w:rsidRPr="00990D3B" w:rsidR="00C97799">
              <w:t>primary care visits</w:t>
            </w:r>
            <w:r w:rsidRPr="00990D3B">
              <w:t xml:space="preserve">. </w:t>
            </w:r>
          </w:p>
          <w:p w:rsidR="00CA4EAC" w:rsidRPr="00990D3B" w:rsidP="00EC48DE" w14:paraId="0B3CC844" w14:textId="691F0B59">
            <w:pPr>
              <w:pStyle w:val="EQRTextboxbody"/>
              <w:rPr>
                <w:sz w:val="20"/>
              </w:rPr>
            </w:pPr>
          </w:p>
          <w:p w:rsidR="00CA4EAC" w:rsidRPr="00990D3B" w:rsidP="00EC48DE" w14:paraId="35DB89EF" w14:textId="77777777">
            <w:pPr>
              <w:pStyle w:val="EQRTextboxbody"/>
            </w:pPr>
            <w:r w:rsidRPr="00990D3B">
              <w:rPr>
                <w:rFonts w:hAnsi="Symbol"/>
                <w:b/>
                <w:bCs/>
              </w:rPr>
              <w:t xml:space="preserve">Select </w:t>
            </w:r>
            <w:r w:rsidRPr="00990D3B">
              <w:rPr>
                <w:b/>
                <w:bCs/>
              </w:rPr>
              <w:t>metrics</w:t>
            </w:r>
            <w:r w:rsidRPr="00990D3B">
              <w:rPr>
                <w:rFonts w:hAnsi="Symbol"/>
                <w:b/>
                <w:bCs/>
              </w:rPr>
              <w:t xml:space="preserve"> related to e</w:t>
            </w:r>
            <w:r w:rsidRPr="00990D3B">
              <w:rPr>
                <w:b/>
                <w:bCs/>
              </w:rPr>
              <w:t xml:space="preserve">nrollee rights and protections. </w:t>
            </w:r>
            <w:r w:rsidRPr="00990D3B">
              <w:t xml:space="preserve">States must ensure that enrollees accessing ILOSs receive the same rights and protections as those receiving traditional Medicaid services. To support this, ILOS evaluation metrics should include data on grievances and appeals specific to each ILOS. Select metrics should explore:  </w:t>
            </w:r>
          </w:p>
          <w:p w:rsidR="00CA4EAC" w:rsidRPr="00990D3B" w:rsidP="00EC48DE" w14:paraId="42475643" w14:textId="77777777">
            <w:pPr>
              <w:pStyle w:val="EQRTextboxbullet"/>
            </w:pPr>
            <w:r w:rsidRPr="00990D3B">
              <w:rPr>
                <w:b/>
                <w:bCs/>
              </w:rPr>
              <w:t>The volume of grievances.</w:t>
            </w:r>
            <w:r w:rsidRPr="00990D3B">
              <w:t xml:space="preserve"> For example, the total number of grievances and appeals filed related to each ILOS.</w:t>
            </w:r>
          </w:p>
          <w:p w:rsidR="00FB45F3" w:rsidRPr="00990D3B" w:rsidP="00EC48DE" w14:paraId="2D9E3587" w14:textId="77777777">
            <w:pPr>
              <w:pStyle w:val="EQRTextboxbullet"/>
            </w:pPr>
            <w:r w:rsidRPr="00990D3B">
              <w:rPr>
                <w:b/>
                <w:bCs/>
              </w:rPr>
              <w:t xml:space="preserve">The reasons behind the grievances. </w:t>
            </w:r>
            <w:r w:rsidRPr="00990D3B">
              <w:t xml:space="preserve">For example, metrics that categorize the specific issues or complaints raised by </w:t>
            </w:r>
            <w:r w:rsidRPr="00990D3B">
              <w:t>enrollees</w:t>
            </w:r>
            <w:r w:rsidRPr="00990D3B">
              <w:t xml:space="preserve">, such as access barriers, service denials, or quality concerns. </w:t>
            </w:r>
          </w:p>
          <w:p w:rsidR="00CA4EAC" w:rsidRPr="00990D3B" w:rsidP="00EC48DE" w14:paraId="7C0AD37F" w14:textId="7ABFDD6A">
            <w:pPr>
              <w:pStyle w:val="EQRTextboxbullet"/>
            </w:pPr>
            <w:r w:rsidRPr="00990D3B">
              <w:rPr>
                <w:b/>
                <w:bCs/>
              </w:rPr>
              <w:t xml:space="preserve">The resolution of </w:t>
            </w:r>
            <w:r w:rsidRPr="00990D3B">
              <w:rPr>
                <w:b/>
                <w:bCs/>
              </w:rPr>
              <w:t>the grievance</w:t>
            </w:r>
            <w:r w:rsidRPr="00990D3B">
              <w:rPr>
                <w:b/>
                <w:bCs/>
              </w:rPr>
              <w:t xml:space="preserve"> or appeal. </w:t>
            </w:r>
            <w:r w:rsidRPr="00990D3B">
              <w:t>For example, metrics of how many grievances and appeals were resolved in favor of the enrollee and how many were in favor of the state or MCP.</w:t>
            </w:r>
          </w:p>
        </w:tc>
      </w:tr>
    </w:tbl>
    <w:p w:rsidR="00205E0D" w:rsidRPr="00990D3B" w14:paraId="58279A7B" w14:textId="627999B4">
      <w:pPr>
        <w:spacing w:line="240" w:lineRule="auto"/>
        <w:rPr>
          <w:rFonts w:ascii="Times New Roman" w:hAnsi="Times New Roman"/>
          <w:szCs w:val="24"/>
        </w:rPr>
      </w:pPr>
      <w:r w:rsidRPr="00990D3B">
        <w:rPr>
          <w:rFonts w:ascii="Times New Roman" w:hAnsi="Times New Roman"/>
          <w:szCs w:val="24"/>
        </w:rPr>
        <w:br w:type="page"/>
      </w:r>
    </w:p>
    <w:p w:rsidR="0045391D" w:rsidRPr="00990D3B" w:rsidP="004E569B" w14:paraId="7E492997" w14:textId="61D8E074">
      <w:pPr>
        <w:pStyle w:val="Paragraph0"/>
      </w:pPr>
      <w:r w:rsidRPr="00990D3B">
        <w:t>Once metrics are identified, the EQRO should begin planning data collection by:</w:t>
      </w:r>
    </w:p>
    <w:p w:rsidR="0045391D" w:rsidRPr="00990D3B" w:rsidP="00FB7CAF" w14:paraId="57CD7353" w14:textId="77777777">
      <w:pPr>
        <w:pStyle w:val="EQRBulletBLUE"/>
      </w:pPr>
      <w:r w:rsidRPr="00990D3B">
        <w:rPr>
          <w:b/>
          <w:bCs/>
        </w:rPr>
        <w:t>Identifying and communicating with data holders.</w:t>
      </w:r>
      <w:r w:rsidRPr="00990D3B">
        <w:t xml:space="preserve"> Data holders may include the state, MCPs, or external entities. Clear communication with these data holders early in the process is essential to streamline the process and avoid delays. The EQRO should also plan for any time needed to establish data use agreements.</w:t>
      </w:r>
    </w:p>
    <w:p w:rsidR="0045391D" w:rsidRPr="00990D3B" w:rsidP="00FB7CAF" w14:paraId="7FCE1F86" w14:textId="77777777">
      <w:pPr>
        <w:pStyle w:val="EQRBulletBLUE"/>
      </w:pPr>
      <w:r w:rsidRPr="00990D3B">
        <w:rPr>
          <w:b/>
          <w:bCs/>
        </w:rPr>
        <w:t>Accessing or developing specifications</w:t>
      </w:r>
      <w:r w:rsidRPr="00990D3B">
        <w:t xml:space="preserve">: The EQRO should work with the state to access the specifications required for </w:t>
      </w:r>
      <w:r w:rsidRPr="00990D3B">
        <w:rPr>
          <w:rFonts w:ascii="Times New Roman" w:hAnsi="Times New Roman"/>
        </w:rPr>
        <w:t>metric</w:t>
      </w:r>
      <w:r w:rsidRPr="00990D3B">
        <w:t xml:space="preserve"> calculations. For “home-grown” </w:t>
      </w:r>
      <w:r w:rsidRPr="00990D3B">
        <w:rPr>
          <w:rFonts w:ascii="Times New Roman" w:hAnsi="Times New Roman"/>
        </w:rPr>
        <w:t>metrics</w:t>
      </w:r>
      <w:r w:rsidRPr="00990D3B">
        <w:t xml:space="preserve">, the EQRO and the state should jointly develop specifications, including defining the numerator, denominator, and exclusions. </w:t>
      </w:r>
    </w:p>
    <w:p w:rsidR="0045391D" w:rsidRPr="00990D3B" w:rsidP="00FB7CAF" w14:paraId="219C58DC" w14:textId="77777777">
      <w:pPr>
        <w:pStyle w:val="EQRBulletBLUE"/>
      </w:pPr>
      <w:r w:rsidRPr="00990D3B">
        <w:rPr>
          <w:b/>
          <w:bCs/>
        </w:rPr>
        <w:t>Developing</w:t>
      </w:r>
      <w:r w:rsidRPr="00990D3B">
        <w:rPr>
          <w:b/>
          <w:bCs/>
        </w:rPr>
        <w:t xml:space="preserve"> plans for new data collection. </w:t>
      </w:r>
      <w:r w:rsidRPr="00990D3B">
        <w:t xml:space="preserve">Some evaluation </w:t>
      </w:r>
      <w:r w:rsidRPr="00990D3B">
        <w:rPr>
          <w:rFonts w:ascii="Times New Roman" w:hAnsi="Times New Roman"/>
        </w:rPr>
        <w:t>metrics</w:t>
      </w:r>
      <w:r w:rsidRPr="00990D3B">
        <w:t xml:space="preserve"> may require data not currently being collected. In these cases, the EQRO should develop a data collection plan. </w:t>
      </w:r>
    </w:p>
    <w:p w:rsidR="0045391D" w:rsidRPr="00990D3B" w:rsidP="00FB7CAF" w14:paraId="0609A919" w14:textId="77777777">
      <w:pPr>
        <w:pStyle w:val="EQRBulletBLUE"/>
      </w:pPr>
      <w:r w:rsidRPr="00990D3B">
        <w:rPr>
          <w:b/>
          <w:bCs/>
        </w:rPr>
        <w:t>Establishing data management protocols.</w:t>
      </w:r>
      <w:r w:rsidRPr="00990D3B">
        <w:t xml:space="preserve"> The EQRO must create robust data management protocols that align with federal privacy and security regulations related to protecting sensitive information during transfer and storage.</w:t>
      </w:r>
      <w:r>
        <w:rPr>
          <w:rStyle w:val="FootnoteReference"/>
          <w:rFonts w:ascii="Times New Roman" w:hAnsi="Times New Roman"/>
          <w:szCs w:val="24"/>
        </w:rPr>
        <w:footnoteReference w:id="134"/>
      </w:r>
      <w:r w:rsidRPr="00990D3B">
        <w:t xml:space="preserve"> </w:t>
      </w:r>
    </w:p>
    <w:p w:rsidR="0045391D" w:rsidRPr="00990D3B" w:rsidP="004E569B" w14:paraId="3BA8C7E6" w14:textId="77777777">
      <w:pPr>
        <w:pStyle w:val="ParagraphContinued"/>
      </w:pPr>
      <w:r w:rsidRPr="00990D3B">
        <w:t>For outcomes that cannot be captured quantitatively, the EQRO should incorporate qualitative methods and data collection processes to ensure a comprehensive evaluation. Qualitative approaches, such as key informant interviews, focus groups, case studies, and thematic analysis, can provide rich insights into stakeholder experiences, systemic barriers, and implementation challenges that may not be reflected in quantitative data. Additionally, integrating qualitative findings with quantitative analysis through a mixed-methods approach can provide important contextual information, helping to explain trends, uncover underlying factors influencing outcomes, and ensure a more nuanced understanding of the intervention’s impact.</w:t>
      </w:r>
    </w:p>
    <w:p w:rsidR="0045391D" w:rsidRPr="00990D3B" w:rsidP="00666AC0" w14:paraId="550995A6" w14:textId="77777777">
      <w:pPr>
        <w:pStyle w:val="H3"/>
      </w:pPr>
      <w:r w:rsidRPr="00990D3B">
        <w:t xml:space="preserve">Step </w:t>
      </w:r>
      <w:r w:rsidRPr="00990D3B">
        <w:t>4</w:t>
      </w:r>
      <w:r w:rsidRPr="00990D3B">
        <w:t xml:space="preserve">: </w:t>
      </w:r>
      <w:r w:rsidRPr="00990D3B">
        <w:t xml:space="preserve">Identify Baseline Period and Performance Targets </w:t>
      </w:r>
    </w:p>
    <w:p w:rsidR="0045391D" w:rsidRPr="00990D3B" w:rsidP="00666AC0" w14:paraId="6BBEEC00" w14:textId="77777777">
      <w:pPr>
        <w:pStyle w:val="H4"/>
      </w:pPr>
      <w:r w:rsidRPr="00990D3B">
        <w:t>Baseline Period</w:t>
      </w:r>
    </w:p>
    <w:p w:rsidR="0045391D" w:rsidRPr="00990D3B" w:rsidP="008E42FE" w14:paraId="1670AF05" w14:textId="27E39745">
      <w:pPr>
        <w:pStyle w:val="ParagraphContinued"/>
      </w:pPr>
      <w:r w:rsidRPr="00990D3B">
        <w:t xml:space="preserve">In this step, the EQRO begins by defining the baseline period. The baseline period is the point of reference used to measure change. It provides a foundation for evaluating the impact of the initiative, intervention, or policy by establishing a clear starting point against which progress and improvements can be assessed. </w:t>
      </w:r>
      <w:hyperlink w:anchor="Box11n8" w:tooltip="Box 11.8" w:history="1">
        <w:r w:rsidRPr="00990D3B">
          <w:rPr>
            <w:rStyle w:val="Hyperlink"/>
          </w:rPr>
          <w:t>Box 11.8</w:t>
        </w:r>
      </w:hyperlink>
      <w:r w:rsidRPr="00990D3B">
        <w:rPr>
          <w:color w:val="1CA8B7"/>
        </w:rPr>
        <w:t xml:space="preserve"> </w:t>
      </w:r>
      <w:r w:rsidRPr="00990D3B">
        <w:t xml:space="preserve">provides considerations for identifying baseline periods for QS, SDP, and ILOS evaluations. </w:t>
      </w:r>
    </w:p>
    <w:p w:rsidR="0045391D" w:rsidRPr="00990D3B" w:rsidP="004E569B" w14:paraId="7BF6FF65" w14:textId="77777777">
      <w:pPr>
        <w:pStyle w:val="Paragraph0"/>
      </w:pPr>
      <w:r w:rsidRPr="00990D3B">
        <w:t>Baseline periods should be stable and representative periods that accurately reflect conditions prior to implementation. When there is no clear baseline</w:t>
      </w:r>
      <w:r w:rsidRPr="00990D3B">
        <w:rPr>
          <w:rFonts w:cstheme="minorBidi"/>
        </w:rPr>
        <w:t>—</w:t>
      </w:r>
      <w:r w:rsidRPr="00990D3B">
        <w:t>for example when using a new quality measure or when significant changes to Medicaid and CHIP, such as policy shifts, eligibility expansions or benefit redesigns, result in a baseline population that is not comparable to the post-</w:t>
      </w:r>
      <w:r w:rsidRPr="00990D3B">
        <w:t>implementation population</w:t>
      </w:r>
      <w:r w:rsidRPr="00990D3B">
        <w:rPr>
          <w:rFonts w:cstheme="minorBidi"/>
        </w:rPr>
        <w:t>—</w:t>
      </w:r>
      <w:r w:rsidRPr="00990D3B">
        <w:t>alternative strategies are needed. For example, if pre-implementation trend data are available, a trendline can serve as a baseline and allow assessment of whether implementation shifts outcomes in the intended direction. This approach provides insight into whether the intervention aligns with expected improvements, even when direct comparisons between the baseline and post-implementation populations are not feasible.</w:t>
      </w:r>
      <w:r>
        <w:rPr>
          <w:rStyle w:val="FootnoteReference"/>
        </w:rPr>
        <w:footnoteReference w:id="135"/>
      </w:r>
      <w:r w:rsidRPr="00990D3B">
        <w:t xml:space="preserve"> Additionally, when sharing results with the state, it is important to provide context about differences between the baseline and post-implementation periods. </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5D7E7173" w14:textId="77777777" w:rsidTr="00666AC0">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2763"/>
        </w:trPr>
        <w:tc>
          <w:tcPr>
            <w:tcW w:w="9314" w:type="dxa"/>
            <w:shd w:val="clear" w:color="auto" w:fill="EEF5F8"/>
          </w:tcPr>
          <w:p w:rsidR="0045391D" w:rsidRPr="00990D3B" w:rsidP="00666AC0" w14:paraId="4DB0C8D1" w14:textId="77777777">
            <w:pPr>
              <w:pStyle w:val="EQRTextboxheading"/>
              <w:keepNext/>
              <w:spacing w:before="0" w:after="0"/>
            </w:pPr>
            <w:bookmarkStart w:id="1077" w:name="Box11n8"/>
            <w:bookmarkEnd w:id="1077"/>
            <w:r w:rsidRPr="00990D3B">
              <w:t xml:space="preserve">Box 11.8. Evaluation Type-Specific Considerations for Selecting Evaluation Baselines  </w:t>
            </w:r>
          </w:p>
          <w:p w:rsidR="0045391D" w:rsidRPr="00990D3B" w:rsidP="00666AC0" w14:paraId="1214CEF9" w14:textId="04E986AE">
            <w:pPr>
              <w:pStyle w:val="EQRTextboxbody"/>
              <w:rPr>
                <w:rFonts w:asciiTheme="majorHAnsi" w:hAnsiTheme="majorHAnsi" w:cstheme="majorBidi"/>
              </w:rPr>
            </w:pPr>
            <w:r w:rsidRPr="00990D3B">
              <w:rPr>
                <w:rFonts w:asciiTheme="majorHAnsi" w:hAnsiTheme="majorHAnsi" w:cstheme="majorBidi"/>
                <w:b/>
                <w:bCs/>
              </w:rPr>
              <w:t xml:space="preserve">QS Evaluations. </w:t>
            </w:r>
            <w:r w:rsidRPr="00990D3B">
              <w:rPr>
                <w:rFonts w:asciiTheme="majorHAnsi" w:hAnsiTheme="majorHAnsi" w:cstheme="majorBidi"/>
              </w:rPr>
              <w:t xml:space="preserve">QSs </w:t>
            </w:r>
            <w:r w:rsidR="00CA42BF">
              <w:rPr>
                <w:rFonts w:asciiTheme="majorHAnsi" w:hAnsiTheme="majorHAnsi" w:cstheme="majorBidi"/>
              </w:rPr>
              <w:t>typically span</w:t>
            </w:r>
            <w:r w:rsidRPr="00990D3B">
              <w:rPr>
                <w:rFonts w:asciiTheme="majorHAnsi" w:hAnsiTheme="majorHAnsi" w:cstheme="majorBidi"/>
              </w:rPr>
              <w:t xml:space="preserve"> a three-year period (for example, 2023–2026), </w:t>
            </w:r>
            <w:r w:rsidR="00CA42BF">
              <w:rPr>
                <w:rFonts w:asciiTheme="majorHAnsi" w:hAnsiTheme="majorHAnsi" w:cstheme="majorBidi"/>
              </w:rPr>
              <w:t>and</w:t>
            </w:r>
            <w:r w:rsidRPr="00990D3B">
              <w:rPr>
                <w:rFonts w:asciiTheme="majorHAnsi" w:hAnsiTheme="majorHAnsi" w:cstheme="majorBidi"/>
              </w:rPr>
              <w:t xml:space="preserve"> evaluati</w:t>
            </w:r>
            <w:r w:rsidR="00CA42BF">
              <w:rPr>
                <w:rFonts w:asciiTheme="majorHAnsi" w:hAnsiTheme="majorHAnsi" w:cstheme="majorBidi"/>
              </w:rPr>
              <w:t xml:space="preserve">ons should align </w:t>
            </w:r>
            <w:r w:rsidRPr="00990D3B">
              <w:rPr>
                <w:rFonts w:asciiTheme="majorHAnsi" w:hAnsiTheme="majorHAnsi" w:cstheme="majorBidi"/>
              </w:rPr>
              <w:t xml:space="preserve">with these cycles. The </w:t>
            </w:r>
            <w:r w:rsidRPr="00990D3B">
              <w:t>QS</w:t>
            </w:r>
            <w:r w:rsidRPr="00990D3B">
              <w:rPr>
                <w:rFonts w:asciiTheme="majorHAnsi" w:hAnsiTheme="majorHAnsi" w:cstheme="majorBidi"/>
              </w:rPr>
              <w:t xml:space="preserve"> evaluation baseline should generally represent the year prior to the start of the new </w:t>
            </w:r>
            <w:r w:rsidRPr="00990D3B">
              <w:t>QS</w:t>
            </w:r>
            <w:r w:rsidRPr="00990D3B">
              <w:rPr>
                <w:rFonts w:asciiTheme="majorHAnsi" w:hAnsiTheme="majorHAnsi" w:cstheme="majorBidi"/>
              </w:rPr>
              <w:t xml:space="preserve"> period (for example, 2022). However, baselines may vary depending on the specific aspect of the </w:t>
            </w:r>
            <w:r w:rsidRPr="00990D3B">
              <w:t xml:space="preserve">QS </w:t>
            </w:r>
            <w:r w:rsidRPr="00990D3B">
              <w:rPr>
                <w:rFonts w:asciiTheme="majorHAnsi" w:hAnsiTheme="majorHAnsi" w:cstheme="majorBidi"/>
              </w:rPr>
              <w:t>being assessed.</w:t>
            </w:r>
            <w:r w:rsidRPr="00D859B9" w:rsidR="009415ED">
              <w:rPr>
                <w:szCs w:val="16"/>
              </w:rPr>
              <w:t xml:space="preserve"> </w:t>
            </w:r>
          </w:p>
          <w:p w:rsidR="0045391D" w:rsidRPr="00990D3B" w:rsidP="00666AC0" w14:paraId="4354E027" w14:textId="77777777">
            <w:pPr>
              <w:pStyle w:val="EQRTextboxbody"/>
            </w:pPr>
            <w:r w:rsidRPr="00990D3B">
              <w:rPr>
                <w:b/>
                <w:bCs/>
              </w:rPr>
              <w:t>SDP Evaluations.</w:t>
            </w:r>
            <w:r w:rsidRPr="00990D3B">
              <w:t xml:space="preserve"> SDP evaluation baselines should be set to the year before the SDP’s implementation (i.e., the year before SDP Year 1). Once established, the baseline should remain fixed throughout the SDP’s tenure to ensure consistent comparisons over time. </w:t>
            </w:r>
          </w:p>
          <w:p w:rsidR="0045391D" w:rsidRPr="00990D3B" w:rsidP="00666AC0" w14:paraId="2A280CC3" w14:textId="77777777">
            <w:pPr>
              <w:pStyle w:val="EQRTextboxbody"/>
            </w:pPr>
            <w:r w:rsidRPr="00CA42BF">
              <w:rPr>
                <w:b/>
                <w:bCs/>
              </w:rPr>
              <w:t>ILOS Evaluations.</w:t>
            </w:r>
            <w:r w:rsidRPr="00990D3B">
              <w:t xml:space="preserve"> For ILOS evaluations, the baseline may need to account for variability in implementation timelines across MCPs. When MCPs implement an ILOS at different times, consider using a rolling baseline tailored to each MCP’s implementation timeline.</w:t>
            </w:r>
          </w:p>
        </w:tc>
      </w:tr>
    </w:tbl>
    <w:p w:rsidR="00146B70" w:rsidRPr="00990D3B" w:rsidP="00146B70" w14:paraId="5CFF586C" w14:textId="77777777"/>
    <w:p w:rsidR="0045391D" w:rsidRPr="00990D3B" w:rsidP="00666AC0" w14:paraId="7FCF3771" w14:textId="22F2F074">
      <w:pPr>
        <w:pStyle w:val="H4"/>
      </w:pPr>
      <w:r w:rsidRPr="00990D3B">
        <w:t>Performance Targets</w:t>
      </w:r>
    </w:p>
    <w:p w:rsidR="0045391D" w:rsidRPr="00990D3B" w:rsidP="00146B70" w14:paraId="4B8EEC80" w14:textId="77777777">
      <w:pPr>
        <w:pStyle w:val="ParagraphContinued"/>
      </w:pPr>
      <w:r w:rsidRPr="00990D3B">
        <w:t xml:space="preserve">Once the baseline is established, the EQRO identifies performance targets for the evaluation metrics. These targets are critical for providing a benchmark to assess progress and determine whether interventions achieve their intended impact. States may already have performance targets for some or </w:t>
      </w:r>
      <w:r w:rsidRPr="00990D3B">
        <w:t>all of</w:t>
      </w:r>
      <w:r w:rsidRPr="00990D3B">
        <w:t xml:space="preserve"> their evaluation metrics, such as when the metric is included as a QS objective or QAPI performance measure. However, if targets do not exist—or if existing targets do not align with the evaluation’s design (e.g., a statewide target for an intervention implemented at the MCP level)—the EQRO should establish new targets. This process involves reviewing past performance data from sources such as EQR technical reports, QAPI programs, and Child and Adult Core Sets reporting. New targets should reflect meaningful improvement over time, with the degree of improvement varying based on the specific </w:t>
      </w:r>
      <w:r w:rsidRPr="00990D3B">
        <w:rPr>
          <w:rFonts w:cstheme="minorBidi"/>
        </w:rPr>
        <w:t>metric</w:t>
      </w:r>
      <w:r w:rsidRPr="00990D3B">
        <w:t xml:space="preserve"> and context.</w:t>
      </w:r>
    </w:p>
    <w:p w:rsidR="0045391D" w:rsidRPr="00990D3B" w:rsidP="00666AC0" w14:paraId="4513CD7B" w14:textId="77777777">
      <w:pPr>
        <w:pStyle w:val="Paragraph0"/>
      </w:pPr>
      <w:r w:rsidRPr="00990D3B">
        <w:t>Performance targets should be quantifiable and indicate directionality. They may take various forms, such as:</w:t>
      </w:r>
    </w:p>
    <w:p w:rsidR="0045391D" w:rsidRPr="00990D3B" w:rsidP="00FB7CAF" w14:paraId="23BEBF80" w14:textId="77777777">
      <w:pPr>
        <w:pStyle w:val="EQRBulletBLUE"/>
      </w:pPr>
      <w:r w:rsidRPr="00990D3B">
        <w:rPr>
          <w:rFonts w:cstheme="minorHAnsi"/>
          <w:szCs w:val="24"/>
        </w:rPr>
        <w:t>Specific targets</w:t>
      </w:r>
      <w:r w:rsidRPr="00990D3B">
        <w:t>. These are fixed thresholds for improvement, such as achieving a 25 percent improvement.</w:t>
      </w:r>
    </w:p>
    <w:p w:rsidR="0045391D" w:rsidRPr="00990D3B" w:rsidP="00FB7CAF" w14:paraId="67C566D7" w14:textId="77777777">
      <w:pPr>
        <w:pStyle w:val="EQRBulletBLUE"/>
      </w:pPr>
      <w:r w:rsidRPr="00990D3B">
        <w:rPr>
          <w:rFonts w:cstheme="minorBidi"/>
          <w:szCs w:val="24"/>
        </w:rPr>
        <w:t>Relative targets</w:t>
      </w:r>
      <w:r w:rsidRPr="00990D3B">
        <w:t xml:space="preserve">. These are goals tied to baseline performance, such as a 2-percentage point increase from 2024. </w:t>
      </w:r>
    </w:p>
    <w:p w:rsidR="0045391D" w:rsidRPr="00990D3B" w:rsidP="00FB7CAF" w14:paraId="1B07420A" w14:textId="77777777">
      <w:pPr>
        <w:pStyle w:val="EQRBulletBLUE"/>
      </w:pPr>
      <w:r w:rsidRPr="00990D3B">
        <w:rPr>
          <w:szCs w:val="24"/>
        </w:rPr>
        <w:t>Benchmark-based targets</w:t>
      </w:r>
      <w:r w:rsidRPr="00990D3B">
        <w:t>. These are goals tied to established standards, such as exceeding the NCQA HEDIS® Quality Compass national Medicaid 75th percentile.</w:t>
      </w:r>
    </w:p>
    <w:p w:rsidR="0045391D" w:rsidRPr="00990D3B" w:rsidP="0066213D" w14:paraId="007D3DBF" w14:textId="77777777">
      <w:pPr>
        <w:pStyle w:val="ParagraphContinued"/>
      </w:pPr>
      <w:r w:rsidRPr="00990D3B">
        <w:t xml:space="preserve">Not all evaluation metrics will require performance targets. For example, qualitative metrics, such as those assessing barriers to care or provider experiences, are often </w:t>
      </w:r>
      <w:r w:rsidRPr="00990D3B">
        <w:t>exploratory</w:t>
      </w:r>
      <w:r w:rsidRPr="00990D3B">
        <w:t xml:space="preserve"> and do not lend themselves to quantifiable outcomes. In these cases, it is important to document the absence of a target and provide a rationale when sharing evaluation findings with the state.</w:t>
      </w:r>
    </w:p>
    <w:p w:rsidR="0045391D" w:rsidRPr="00990D3B" w:rsidP="0066213D" w14:paraId="775E7795" w14:textId="5CAB0F72">
      <w:pPr>
        <w:pStyle w:val="Paragraph0"/>
      </w:pPr>
      <w:r w:rsidRPr="00990D3B">
        <w:t xml:space="preserve">For new metrics or those lacking baseline data, performance targets may need to be reassessed once the initiative, intervention, or policy is underway. This allows targets to be adjusted to ensure they remain appropriate and achievable as additional data and insights become available. </w:t>
      </w:r>
      <w:hyperlink w:anchor="Box11n9" w:tooltip="Box 11.9" w:history="1">
        <w:r w:rsidRPr="00990D3B">
          <w:rPr>
            <w:rStyle w:val="Hyperlink"/>
            <w:rFonts w:ascii="Times New Roman" w:hAnsi="Times New Roman"/>
            <w:szCs w:val="24"/>
          </w:rPr>
          <w:t>Box 11.9</w:t>
        </w:r>
      </w:hyperlink>
      <w:r w:rsidRPr="00990D3B">
        <w:rPr>
          <w:color w:val="1CA8B7"/>
        </w:rPr>
        <w:t xml:space="preserve"> </w:t>
      </w:r>
      <w:r w:rsidRPr="00990D3B">
        <w:t>provides considerations for identifying baseline periods for QS, SDP, and ILOS evaluations.</w:t>
      </w:r>
    </w:p>
    <w:tbl>
      <w:tblPr>
        <w:tblStyle w:val="TableGrid"/>
        <w:tblpPr w:leftFromText="187" w:rightFromText="187" w:vertAnchor="text" w:horzAnchor="margin" w:tblpY="1"/>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4B70984D" w14:textId="77777777" w:rsidTr="00CE5D06">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603"/>
        </w:trPr>
        <w:tc>
          <w:tcPr>
            <w:tcW w:w="9314" w:type="dxa"/>
            <w:shd w:val="clear" w:color="auto" w:fill="EEF5F8"/>
          </w:tcPr>
          <w:p w:rsidR="0045391D" w:rsidRPr="00990D3B" w:rsidP="00CE5D06" w14:paraId="7E1E959F" w14:textId="77777777">
            <w:pPr>
              <w:pStyle w:val="EQRTextboxheading"/>
            </w:pPr>
            <w:bookmarkStart w:id="1078" w:name="Box11n9"/>
            <w:bookmarkEnd w:id="1078"/>
            <w:r w:rsidRPr="00990D3B">
              <w:t xml:space="preserve">Box 11.9. Evaluation Type-Specific Considerations for Selecting Evaluation Performance Targets  </w:t>
            </w:r>
          </w:p>
          <w:p w:rsidR="0045391D" w:rsidRPr="00990D3B" w:rsidP="008932A6" w14:paraId="765EF6C2" w14:textId="77777777">
            <w:pPr>
              <w:pStyle w:val="EQRTextboxbody"/>
            </w:pPr>
            <w:r w:rsidRPr="00990D3B">
              <w:rPr>
                <w:b/>
                <w:bCs/>
              </w:rPr>
              <w:t xml:space="preserve">QS Evaluations. </w:t>
            </w:r>
            <w:r w:rsidRPr="00990D3B">
              <w:t>QS evaluation performance</w:t>
            </w:r>
            <w:r w:rsidRPr="00990D3B">
              <w:rPr>
                <w:b/>
                <w:bCs/>
              </w:rPr>
              <w:t xml:space="preserve"> </w:t>
            </w:r>
            <w:r w:rsidRPr="00990D3B">
              <w:t>targets may include statewide benchmarks for overall managed care program improvement and MCP-specific targets to evaluate MCP-level performance. These dual levels ensure alignment with broader goals while addressing variations among individual MCPs.</w:t>
            </w:r>
          </w:p>
          <w:p w:rsidR="0045391D" w:rsidRPr="00990D3B" w:rsidP="008932A6" w14:paraId="342D7660" w14:textId="77777777">
            <w:pPr>
              <w:pStyle w:val="EQRTextboxbody"/>
            </w:pPr>
            <w:r w:rsidRPr="00990D3B">
              <w:rPr>
                <w:b/>
                <w:bCs/>
              </w:rPr>
              <w:t xml:space="preserve">SDP Evaluations. </w:t>
            </w:r>
            <w:r w:rsidRPr="00990D3B">
              <w:t xml:space="preserve">SDP evaluation targets should represent measurable improvements over baseline performance, as SDPs are intended to demonstrate quality improvement. They can evolve over the course of the SDP. For example, once the SDP achieves its initial targets in its early years, the state can either set more ambitious goals to drive further advancements or maintain existing targets to sustain progress. </w:t>
            </w:r>
          </w:p>
          <w:p w:rsidR="0045391D" w:rsidRPr="00990D3B" w:rsidP="008932A6" w14:paraId="4F230B21" w14:textId="77777777">
            <w:pPr>
              <w:pStyle w:val="EQRTextboxbody"/>
            </w:pPr>
            <w:r w:rsidRPr="00990D3B">
              <w:t>When setting evaluation performance targets for value-based payment (VBP) SDPs, it is important to consider the relationship between provider-level performance targets tied to individual provider payments and the overall evaluation performance targets representing the SDP's collective performance goals across all providers. For example, an individual provider may have a 5 percent reduction in avoidable ED visits target, while the overall SDP evaluation target might be a 3–4 percent reduction, accounting for variation in provider performance.</w:t>
            </w:r>
          </w:p>
          <w:p w:rsidR="0045391D" w:rsidRPr="00990D3B" w:rsidP="008932A6" w14:paraId="0E6ECB0E" w14:textId="5C0DEF8B">
            <w:pPr>
              <w:pStyle w:val="EQRTextboxbody"/>
            </w:pPr>
            <w:r w:rsidRPr="00990D3B">
              <w:rPr>
                <w:b/>
                <w:bCs/>
              </w:rPr>
              <w:t xml:space="preserve">QS, SDP, and </w:t>
            </w:r>
            <w:r w:rsidRPr="00990D3B" w:rsidR="329C4E26">
              <w:rPr>
                <w:b/>
                <w:bCs/>
              </w:rPr>
              <w:t>ILOS Evaluations.</w:t>
            </w:r>
            <w:r w:rsidRPr="00990D3B" w:rsidR="329C4E26">
              <w:t xml:space="preserve"> </w:t>
            </w:r>
            <w:r w:rsidRPr="00990D3B">
              <w:t xml:space="preserve">QS, SDPs, and </w:t>
            </w:r>
            <w:r w:rsidRPr="00990D3B" w:rsidR="329C4E26">
              <w:t xml:space="preserve">ILOS can have both short-term and long-term impacts, depending on the type of service. For this reason, evaluation performance targets should differentiate between outcomes that are expected to show immediate improvements and those that may require more time to materialize. For example, utilization can improve in the short term, as services like transportation ILOS address barriers to care. In contrast, health outcomes </w:t>
            </w:r>
            <w:r w:rsidRPr="00990D3B" w:rsidR="129EDF71">
              <w:t>targeted by the ILOS</w:t>
            </w:r>
            <w:r w:rsidRPr="00990D3B" w:rsidR="292DACEF">
              <w:t>,</w:t>
            </w:r>
            <w:r w:rsidRPr="00990D3B" w:rsidR="129EDF71">
              <w:t xml:space="preserve"> such as improving chronic disease management</w:t>
            </w:r>
            <w:r w:rsidRPr="00990D3B" w:rsidR="329C4E26">
              <w:t>, may take longer to accumulate and demonstrate significant change.</w:t>
            </w:r>
          </w:p>
        </w:tc>
      </w:tr>
    </w:tbl>
    <w:p w:rsidR="0045391D" w:rsidRPr="00990D3B" w:rsidP="00666AC0" w14:paraId="398F8F00" w14:textId="77777777">
      <w:pPr>
        <w:pStyle w:val="Paragraph0"/>
      </w:pPr>
    </w:p>
    <w:p w:rsidR="0045391D" w:rsidRPr="00990D3B" w:rsidP="00666AC0" w14:paraId="536DC259" w14:textId="5E32E546">
      <w:pPr>
        <w:pStyle w:val="H3"/>
      </w:pPr>
      <w:r w:rsidRPr="00990D3B">
        <w:t xml:space="preserve">Step </w:t>
      </w:r>
      <w:r w:rsidRPr="00990D3B">
        <w:t>5</w:t>
      </w:r>
      <w:r w:rsidRPr="00990D3B">
        <w:t xml:space="preserve">: </w:t>
      </w:r>
      <w:r w:rsidRPr="00990D3B">
        <w:t xml:space="preserve">Develop the Analysis Plan </w:t>
      </w:r>
    </w:p>
    <w:p w:rsidR="0045391D" w:rsidRPr="00990D3B" w:rsidP="00FD00AC" w14:paraId="34C5B7E2" w14:textId="3645DB20">
      <w:pPr>
        <w:pStyle w:val="ParagraphContinued"/>
      </w:pPr>
      <w:r w:rsidRPr="00990D3B">
        <w:t xml:space="preserve">In this step, the EQRO develops the analysis plan, specifying how the evaluation metrics and data will be used to generate findings. The analysis plan should include several key elements: the evaluation methodology, including analytic techniques, plans for stratification, an approach to identifying and addressing evaluation limitations, and a timeline for each evaluation activity. </w:t>
      </w:r>
    </w:p>
    <w:p w:rsidR="0045391D" w:rsidRPr="00990D3B" w:rsidP="00666AC0" w14:paraId="202C33FE" w14:textId="30F42CD3">
      <w:pPr>
        <w:pStyle w:val="H4"/>
        <w:spacing w:before="0" w:after="240"/>
        <w:rPr>
          <w:b w:val="0"/>
          <w:bCs/>
        </w:rPr>
      </w:pPr>
      <w:r w:rsidRPr="00990D3B">
        <w:rPr>
          <w:noProof/>
        </w:rPr>
        <mc:AlternateContent>
          <mc:Choice Requires="wps">
            <w:drawing>
              <wp:anchor distT="0" distB="0" distL="114300" distR="114300" simplePos="0" relativeHeight="252004352" behindDoc="0" locked="0" layoutInCell="1" allowOverlap="1">
                <wp:simplePos x="0" y="0"/>
                <wp:positionH relativeFrom="column">
                  <wp:posOffset>3695700</wp:posOffset>
                </wp:positionH>
                <wp:positionV relativeFrom="paragraph">
                  <wp:posOffset>299720</wp:posOffset>
                </wp:positionV>
                <wp:extent cx="2194560" cy="2222500"/>
                <wp:effectExtent l="19050" t="19050" r="15240" b="25400"/>
                <wp:wrapTight wrapText="bothSides">
                  <wp:wrapPolygon>
                    <wp:start x="21788" y="21785"/>
                    <wp:lineTo x="21788" y="-62"/>
                    <wp:lineTo x="38" y="-62"/>
                    <wp:lineTo x="38" y="21785"/>
                    <wp:lineTo x="21788" y="21785"/>
                  </wp:wrapPolygon>
                </wp:wrapTight>
                <wp:docPr id="1473122853" name="Text Box 1473122853" descr="P532TB54#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222500"/>
                        </a:xfrm>
                        <a:prstGeom prst="rect">
                          <a:avLst/>
                        </a:prstGeom>
                        <a:solidFill>
                          <a:srgbClr val="EEF5F8"/>
                        </a:solidFill>
                        <a:ln w="28575" cap="rnd">
                          <a:solidFill>
                            <a:srgbClr val="A5DAD9"/>
                          </a:solidFill>
                          <a:prstDash val="solid"/>
                          <a:miter lim="800000"/>
                          <a:headEnd/>
                          <a:tailEnd/>
                        </a:ln>
                      </wps:spPr>
                      <wps:txbx>
                        <w:txbxContent>
                          <w:p w:rsidR="0045391D" w:rsidP="00666AC0" w14:textId="77777777">
                            <w:pPr>
                              <w:pStyle w:val="EQRTextboxheading"/>
                            </w:pPr>
                            <w:r>
                              <w:t>Resources for Activity 1, Step 5</w:t>
                            </w:r>
                          </w:p>
                          <w:p w:rsidR="0045391D" w:rsidP="00666AC0" w14:textId="0957AA4D">
                            <w:pPr>
                              <w:pStyle w:val="EQRTextboxbody"/>
                            </w:pPr>
                            <w:hyperlink w:anchor="WS11n4" w:tooltip="Worksheet 11.4. Analysis Plan Template " w:history="1">
                              <w:r w:rsidRPr="00931E86">
                                <w:rPr>
                                  <w:rStyle w:val="Hyperlink"/>
                                </w:rPr>
                                <w:t>Worksheet 11.</w:t>
                              </w:r>
                              <w:r>
                                <w:rPr>
                                  <w:rStyle w:val="Hyperlink"/>
                                </w:rPr>
                                <w:t>4</w:t>
                              </w:r>
                              <w:r w:rsidRPr="00931E86">
                                <w:rPr>
                                  <w:rStyle w:val="Hyperlink"/>
                                </w:rPr>
                                <w:t xml:space="preserve">. </w:t>
                              </w:r>
                              <w:r>
                                <w:rPr>
                                  <w:rStyle w:val="Hyperlink"/>
                                </w:rPr>
                                <w:t>Analysis Plan Template</w:t>
                              </w:r>
                              <w:r w:rsidRPr="00931E86">
                                <w:rPr>
                                  <w:rStyle w:val="Hyperlink"/>
                                </w:rPr>
                                <w:t xml:space="preserve"> </w:t>
                              </w:r>
                            </w:hyperlink>
                          </w:p>
                          <w:p w:rsidR="0045391D" w:rsidP="00666AC0" w14:textId="77777777">
                            <w:pPr>
                              <w:pStyle w:val="EQRTextboxbullet"/>
                              <w:ind w:left="180" w:hanging="180"/>
                            </w:pPr>
                            <w:r w:rsidRPr="00931E86">
                              <w:t xml:space="preserve">Provides a template for </w:t>
                            </w:r>
                            <w:r>
                              <w:t>developing a clear, structured analysis plan that addresses all core evaluation elements</w:t>
                            </w:r>
                          </w:p>
                          <w:p w:rsidR="0045391D" w:rsidP="00666AC0" w14:textId="0D6A590B">
                            <w:pPr>
                              <w:pStyle w:val="EQRTextboxbody"/>
                            </w:pPr>
                            <w:hyperlink w:anchor="WS11n5" w:tooltip="Worksheet 1.2. Review the PIP Aim Statement" w:history="1">
                              <w:r w:rsidRPr="00B05E35">
                                <w:rPr>
                                  <w:rStyle w:val="Hyperlink"/>
                                </w:rPr>
                                <w:t>Worksheet 1</w:t>
                              </w:r>
                              <w:r>
                                <w:rPr>
                                  <w:rStyle w:val="Hyperlink"/>
                                </w:rPr>
                                <w:t xml:space="preserve">1.5 Evaluation </w:t>
                              </w:r>
                            </w:hyperlink>
                            <w:r>
                              <w:rPr>
                                <w:rStyle w:val="Hyperlink"/>
                              </w:rPr>
                              <w:t>Timeline</w:t>
                            </w:r>
                          </w:p>
                          <w:p w:rsidR="0045391D" w:rsidRPr="00DD00DC" w:rsidP="002F4991" w14:textId="79A869EC">
                            <w:pPr>
                              <w:pStyle w:val="EQRTextboxbullet"/>
                              <w:ind w:left="180" w:hanging="180"/>
                              <w:rPr>
                                <w:spacing w:val="-2"/>
                              </w:rPr>
                            </w:pPr>
                            <w:r w:rsidRPr="002B1219">
                              <w:t>Provides instruction and a template for how to develop an evaluation timeline.</w:t>
                            </w:r>
                          </w:p>
                        </w:txbxContent>
                      </wps:txbx>
                      <wps:bodyPr rot="0" vert="horz" wrap="square" lIns="109728" tIns="45720" rIns="109728" bIns="45720" anchor="t" anchorCtr="0" upright="1"/>
                    </wps:wsp>
                  </a:graphicData>
                </a:graphic>
                <wp14:sizeRelV relativeFrom="margin">
                  <wp14:pctHeight>0</wp14:pctHeight>
                </wp14:sizeRelV>
              </wp:anchor>
            </w:drawing>
          </mc:Choice>
          <mc:Fallback>
            <w:pict>
              <v:shape id="Text Box 1473122853" o:spid="_x0000_s1231" type="#_x0000_t202" alt="P532TB54#y1" style="width:172.8pt;height:175pt;margin-top:23.6pt;margin-left:291pt;flip:y;mso-height-percent:0;mso-height-relative:margin;mso-wrap-distance-bottom:0;mso-wrap-distance-left:9pt;mso-wrap-distance-right:9pt;mso-wrap-distance-top:0;mso-wrap-style:square;position:absolute;rotation:180;visibility:visible;v-text-anchor:top;z-index:252005376" fillcolor="#eef5f8" strokecolor="#a5dad9" strokeweight="2.25pt">
                <v:stroke endcap="round"/>
                <v:textbox inset="8.64pt,,8.64pt">
                  <w:txbxContent>
                    <w:p w:rsidR="0045391D" w:rsidP="00666AC0" w14:paraId="186699F1" w14:textId="77777777">
                      <w:pPr>
                        <w:pStyle w:val="EQRTextboxheading"/>
                      </w:pPr>
                      <w:r>
                        <w:t>Resources for Activity 1, Step 5</w:t>
                      </w:r>
                    </w:p>
                    <w:p w:rsidR="0045391D" w:rsidP="00666AC0" w14:paraId="332C6E7F" w14:textId="0957AA4D">
                      <w:pPr>
                        <w:pStyle w:val="EQRTextboxbody"/>
                      </w:pPr>
                      <w:hyperlink w:anchor="WS11n4" w:tooltip="Worksheet 11.4. Analysis Plan Template " w:history="1">
                        <w:r w:rsidRPr="00931E86">
                          <w:rPr>
                            <w:rStyle w:val="Hyperlink"/>
                          </w:rPr>
                          <w:t>Worksheet 11.</w:t>
                        </w:r>
                        <w:r>
                          <w:rPr>
                            <w:rStyle w:val="Hyperlink"/>
                          </w:rPr>
                          <w:t>4</w:t>
                        </w:r>
                        <w:r w:rsidRPr="00931E86">
                          <w:rPr>
                            <w:rStyle w:val="Hyperlink"/>
                          </w:rPr>
                          <w:t xml:space="preserve">. </w:t>
                        </w:r>
                        <w:r>
                          <w:rPr>
                            <w:rStyle w:val="Hyperlink"/>
                          </w:rPr>
                          <w:t>Analysis Plan Template</w:t>
                        </w:r>
                        <w:r w:rsidRPr="00931E86">
                          <w:rPr>
                            <w:rStyle w:val="Hyperlink"/>
                          </w:rPr>
                          <w:t xml:space="preserve"> </w:t>
                        </w:r>
                      </w:hyperlink>
                    </w:p>
                    <w:p w:rsidR="0045391D" w:rsidP="00666AC0" w14:paraId="4A97BD9A" w14:textId="77777777">
                      <w:pPr>
                        <w:pStyle w:val="EQRTextboxbullet"/>
                        <w:ind w:left="180" w:hanging="180"/>
                      </w:pPr>
                      <w:r w:rsidRPr="00931E86">
                        <w:t xml:space="preserve">Provides a template for </w:t>
                      </w:r>
                      <w:r>
                        <w:t>developing a clear, structured analysis plan that addresses all core evaluation elements</w:t>
                      </w:r>
                    </w:p>
                    <w:p w:rsidR="0045391D" w:rsidP="00666AC0" w14:paraId="3A519104" w14:textId="0D6A590B">
                      <w:pPr>
                        <w:pStyle w:val="EQRTextboxbody"/>
                      </w:pPr>
                      <w:hyperlink w:anchor="WS11n5" w:tooltip="Worksheet 1.2. Review the PIP Aim Statement" w:history="1">
                        <w:r w:rsidRPr="00B05E35">
                          <w:rPr>
                            <w:rStyle w:val="Hyperlink"/>
                          </w:rPr>
                          <w:t>Worksheet 1</w:t>
                        </w:r>
                        <w:r>
                          <w:rPr>
                            <w:rStyle w:val="Hyperlink"/>
                          </w:rPr>
                          <w:t xml:space="preserve">1.5 Evaluation </w:t>
                        </w:r>
                      </w:hyperlink>
                      <w:r>
                        <w:rPr>
                          <w:rStyle w:val="Hyperlink"/>
                        </w:rPr>
                        <w:t>Timeline</w:t>
                      </w:r>
                    </w:p>
                    <w:p w:rsidR="0045391D" w:rsidRPr="00DD00DC" w:rsidP="002F4991" w14:paraId="6D4915E9" w14:textId="79A869EC">
                      <w:pPr>
                        <w:pStyle w:val="EQRTextboxbullet"/>
                        <w:ind w:left="180" w:hanging="180"/>
                        <w:rPr>
                          <w:spacing w:val="-2"/>
                        </w:rPr>
                      </w:pPr>
                      <w:r w:rsidRPr="002B1219">
                        <w:t>Provides instruction and a template for how to develop an evaluation timeline.</w:t>
                      </w:r>
                    </w:p>
                  </w:txbxContent>
                </v:textbox>
                <w10:wrap type="tight"/>
              </v:shape>
            </w:pict>
          </mc:Fallback>
        </mc:AlternateContent>
      </w:r>
      <w:r w:rsidRPr="00990D3B">
        <w:t>Evaluation Methodology</w:t>
      </w:r>
    </w:p>
    <w:p w:rsidR="0045391D" w:rsidRPr="00990D3B" w:rsidP="00FD00AC" w14:paraId="5AD35769" w14:textId="77777777">
      <w:pPr>
        <w:pStyle w:val="ParagraphContinued"/>
      </w:pPr>
      <w:r w:rsidRPr="00990D3B">
        <w:t xml:space="preserve">The evaluation methodology defines how the EQRO will structure its analysis to answer the research questions and assess the effectiveness and impact of the initiative, intervention(s), or policy change. It provides the framework for analyzing data, measuring outcomes, and generating actionable findings. </w:t>
      </w:r>
    </w:p>
    <w:p w:rsidR="0045391D" w:rsidRPr="00990D3B" w:rsidP="00FD00AC" w14:paraId="78CD4390" w14:textId="77777777">
      <w:pPr>
        <w:pStyle w:val="Paragraph0"/>
      </w:pPr>
      <w:r w:rsidRPr="00990D3B">
        <w:t>There are many approaches the EQRO can take, and evaluations often employ several methodologies depending on the evaluation’s goals, the available data, and the level of rigor required.</w:t>
      </w:r>
      <w:r>
        <w:rPr>
          <w:rStyle w:val="FootnoteReference"/>
          <w:rFonts w:ascii="Times New Roman" w:hAnsi="Times New Roman"/>
        </w:rPr>
        <w:footnoteReference w:id="136"/>
      </w:r>
      <w:r w:rsidRPr="00990D3B">
        <w:t xml:space="preserve"> Common methodologies, from least to most rigorous, include: descriptive analyses, pre-post design, and quasi-experimental design. </w:t>
      </w:r>
    </w:p>
    <w:p w:rsidR="0045391D" w:rsidRPr="00990D3B" w:rsidP="00FD00AC" w14:paraId="75A5E525" w14:textId="77777777">
      <w:pPr>
        <w:pStyle w:val="Paragraph0"/>
      </w:pPr>
      <w:r w:rsidRPr="00990D3B">
        <w:rPr>
          <w:b/>
          <w:bCs/>
        </w:rPr>
        <w:t>Descriptive analyses.</w:t>
      </w:r>
      <w:r w:rsidRPr="00990D3B">
        <w:t xml:space="preserve"> </w:t>
      </w:r>
      <w:r w:rsidRPr="00990D3B">
        <w:t xml:space="preserve">This approach examines trends and patterns in outcomes, service use, or other indicators over time without requiring a defined pre- and post-intervention comparison. It is a helpful approach when baseline data are unavailable, implementation is phased or variable across providers or regions, or when external factors, such as major policy shifts or eligibility changes, complicate direct comparisons. </w:t>
      </w:r>
      <w:r w:rsidRPr="00990D3B">
        <w:t xml:space="preserve">While descriptive analyses are less rigorous than pre-post or quasi-experimental designs, they provide insights into trends, patterns, and early indicators of success or challenges. Descriptive analysis can be used for exploratory evaluations or ongoing program monitoring. </w:t>
      </w:r>
    </w:p>
    <w:p w:rsidR="0045391D" w:rsidRPr="00990D3B" w:rsidP="00FD00AC" w14:paraId="7854A3C4" w14:textId="77777777">
      <w:pPr>
        <w:pStyle w:val="Paragraph0"/>
      </w:pPr>
      <w:r w:rsidRPr="00990D3B">
        <w:rPr>
          <w:b/>
          <w:bCs/>
        </w:rPr>
        <w:t>Pre-post design.</w:t>
      </w:r>
      <w:r w:rsidRPr="00990D3B">
        <w:t xml:space="preserve"> This approach reviews outcomes before and after implementation to assess changes linked to the initiative, intervention, or policy change. It is suitable when historical data </w:t>
      </w:r>
      <w:r w:rsidRPr="00990D3B">
        <w:t>are</w:t>
      </w:r>
      <w:r w:rsidRPr="00990D3B">
        <w:t xml:space="preserve"> available to establish a baseline. There are several types of pre-post designs, which vary in complexity and rigor:</w:t>
      </w:r>
    </w:p>
    <w:p w:rsidR="0045391D" w:rsidRPr="00990D3B" w:rsidP="00FB7CAF" w14:paraId="621B829F" w14:textId="77777777">
      <w:pPr>
        <w:pStyle w:val="EQRBulletBLUE"/>
      </w:pPr>
      <w:r w:rsidRPr="00990D3B">
        <w:rPr>
          <w:b/>
          <w:bCs/>
        </w:rPr>
        <w:t>Simple before-and-after comparison</w:t>
      </w:r>
      <w:r w:rsidRPr="00990D3B">
        <w:t>: Compares outcome values at one point before implementation and one point after. This design is the most straightforward but limited, as it does not assess statistical significance or account for external changes.</w:t>
      </w:r>
    </w:p>
    <w:p w:rsidR="0045391D" w:rsidRPr="00990D3B" w:rsidP="00FB7CAF" w14:paraId="546F07AB" w14:textId="77777777">
      <w:pPr>
        <w:pStyle w:val="EQRBulletBLUE"/>
      </w:pPr>
      <w:r w:rsidRPr="00990D3B">
        <w:rPr>
          <w:b/>
          <w:bCs/>
        </w:rPr>
        <w:t xml:space="preserve">Pre-post with statistical testing: </w:t>
      </w:r>
      <w:r w:rsidRPr="00990D3B">
        <w:t>Compares average outcomes before and after implementation using significance tests (e.g., t-tests) to determine whether changes are likely due to chance. While more rigorous than a descriptive comparison, this approach lacks a control group, limiting causal inference.</w:t>
      </w:r>
    </w:p>
    <w:p w:rsidR="0045391D" w:rsidRPr="00990D3B" w:rsidP="00FB7CAF" w14:paraId="42861944" w14:textId="77777777">
      <w:pPr>
        <w:pStyle w:val="EQRBulletBLUE"/>
      </w:pPr>
      <w:r w:rsidRPr="00990D3B">
        <w:rPr>
          <w:b/>
          <w:bCs/>
        </w:rPr>
        <w:t xml:space="preserve">Pre-post regression: </w:t>
      </w:r>
      <w:r w:rsidRPr="00990D3B">
        <w:t xml:space="preserve">Uses regression analysis to compare outcomes over time while adjusting for observable confounding variables (e.g., age, health status). This approach can help isolate the relationship between the intervention and outcomes, but it does not </w:t>
      </w:r>
      <w:r w:rsidRPr="00990D3B">
        <w:t>control for</w:t>
      </w:r>
      <w:r w:rsidRPr="00990D3B">
        <w:t xml:space="preserve"> unobserved factors or broader contextual changes.</w:t>
      </w:r>
    </w:p>
    <w:p w:rsidR="0045391D" w:rsidRPr="00990D3B" w:rsidP="00FB7CAF" w14:paraId="2D841FFE" w14:textId="77777777">
      <w:pPr>
        <w:pStyle w:val="EQRBulletBLUE"/>
      </w:pPr>
      <w:r w:rsidRPr="00990D3B">
        <w:rPr>
          <w:b/>
          <w:bCs/>
        </w:rPr>
        <w:t xml:space="preserve">Interrupted time series (ITS): </w:t>
      </w:r>
      <w:r w:rsidRPr="00990D3B">
        <w:t>Analyzes multiple time points before and after implementation to assess whether there is a clear shift in trend or level after the intervention. This method strengthens the design by accounting for pre-existing trends, though it still lacks a comparison group and may be affected by co-occurring events.</w:t>
      </w:r>
    </w:p>
    <w:p w:rsidR="0045391D" w:rsidRPr="00990D3B" w:rsidP="00FD00AC" w14:paraId="40CC2864" w14:textId="77777777">
      <w:pPr>
        <w:pStyle w:val="ParagraphContinued"/>
      </w:pPr>
      <w:r w:rsidRPr="00990D3B">
        <w:t xml:space="preserve">While pre-post designs can help assess whether outcomes appear to improve following an intervention, they do not </w:t>
      </w:r>
      <w:r w:rsidRPr="00990D3B">
        <w:t>control for</w:t>
      </w:r>
      <w:r w:rsidRPr="00990D3B">
        <w:t xml:space="preserve"> external factors, such as policy changes, seasonal trends, or concurrent initiatives, that may also influence outcomes during the evaluation period. When presenting results from </w:t>
      </w:r>
      <w:r w:rsidRPr="00990D3B">
        <w:t>a pre</w:t>
      </w:r>
      <w:r w:rsidRPr="00990D3B">
        <w:t>-post design, it is important to clearly describe the analytic approach used and discuss potential external influences that may have affected the findings.</w:t>
      </w:r>
    </w:p>
    <w:p w:rsidR="0045391D" w:rsidRPr="00990D3B" w:rsidP="00FD00AC" w14:paraId="73366B5A" w14:textId="77777777">
      <w:pPr>
        <w:pStyle w:val="Paragraph0"/>
      </w:pPr>
      <w:r w:rsidRPr="00990D3B">
        <w:rPr>
          <w:b/>
          <w:bCs/>
        </w:rPr>
        <w:t>Quasi-experimental design</w:t>
      </w:r>
      <w:r w:rsidRPr="00990D3B">
        <w:t xml:space="preserve">. This approach incorporates reasonable comparison groups to better isolate an intervention’s impact. It allows for evaluating causal relationships where random </w:t>
      </w:r>
      <w:r w:rsidRPr="00990D3B">
        <w:t>assignment</w:t>
      </w:r>
      <w:r w:rsidRPr="00990D3B">
        <w:t xml:space="preserve"> to groups is not feasible, but suitable comparison groups are available. Comparisons may include populations in similar states or regions, MCPs not implementing the change, or enrollees eligible for the program, but not currently participating in it. This design provides greater rigor by accounting for external factors that could influence the outcomes. Several analytic techniques are commonly used within quasi-experimental designs:</w:t>
      </w:r>
    </w:p>
    <w:p w:rsidR="0045391D" w:rsidRPr="00990D3B" w:rsidP="00FB7CAF" w14:paraId="09C15289" w14:textId="77777777">
      <w:pPr>
        <w:pStyle w:val="EQRBulletBLUE"/>
      </w:pPr>
      <w:r w:rsidRPr="00990D3B">
        <w:rPr>
          <w:b/>
          <w:bCs/>
        </w:rPr>
        <w:t>Difference-in-differences (</w:t>
      </w:r>
      <w:r w:rsidRPr="00990D3B">
        <w:rPr>
          <w:b/>
          <w:bCs/>
        </w:rPr>
        <w:t>DiD</w:t>
      </w:r>
      <w:r w:rsidRPr="00990D3B">
        <w:rPr>
          <w:b/>
          <w:bCs/>
        </w:rPr>
        <w:t>):</w:t>
      </w:r>
      <w:r w:rsidRPr="00990D3B">
        <w:t xml:space="preserve"> Compares changes in outcomes over time between an intervention group and a comparison group to isolate the effect of the intervention from broader trends.</w:t>
      </w:r>
    </w:p>
    <w:p w:rsidR="0045391D" w:rsidRPr="00990D3B" w:rsidP="00FB7CAF" w14:paraId="5888088A" w14:textId="77777777">
      <w:pPr>
        <w:pStyle w:val="EQRBulletBLUE"/>
      </w:pPr>
      <w:r w:rsidRPr="00990D3B">
        <w:rPr>
          <w:b/>
          <w:bCs/>
        </w:rPr>
        <w:t>Fixed effects models:</w:t>
      </w:r>
      <w:r w:rsidRPr="00990D3B">
        <w:t xml:space="preserve"> Control for unobserved, time-invariant differences across individuals, providers, or plans by estimating within-entity changes over time.</w:t>
      </w:r>
    </w:p>
    <w:p w:rsidR="0045391D" w:rsidRPr="00990D3B" w:rsidP="00FB7CAF" w14:paraId="75BC8DDE" w14:textId="77777777">
      <w:pPr>
        <w:pStyle w:val="EQRBulletBLUE"/>
      </w:pPr>
      <w:r w:rsidRPr="00990D3B">
        <w:rPr>
          <w:b/>
          <w:bCs/>
        </w:rPr>
        <w:t>Propensity score matching:</w:t>
      </w:r>
      <w:r w:rsidRPr="00990D3B">
        <w:t xml:space="preserve"> Creates a balanced comparison group by matching intervention and non-intervention individuals or entities based on observed characteristics, reducing selection bias.</w:t>
      </w:r>
    </w:p>
    <w:p w:rsidR="0045391D" w:rsidRPr="00990D3B" w:rsidP="00FD00AC" w14:paraId="5D9B6187" w14:textId="7074D802">
      <w:pPr>
        <w:pStyle w:val="ParagraphContinued"/>
      </w:pPr>
      <w:hyperlink w:anchor="Table11n3" w:tooltip="Table 11.3" w:history="1">
        <w:r w:rsidRPr="00990D3B">
          <w:rPr>
            <w:rStyle w:val="Hyperlink"/>
          </w:rPr>
          <w:t>Table 11.3</w:t>
        </w:r>
      </w:hyperlink>
      <w:r w:rsidRPr="00990D3B">
        <w:rPr>
          <w:color w:val="1CA8B7"/>
        </w:rPr>
        <w:t xml:space="preserve"> </w:t>
      </w:r>
      <w:r w:rsidRPr="00990D3B">
        <w:t xml:space="preserve">summarizes these evaluation methodologies, associated analytic techniques, and the key design features that differentiate them. It also outlines the strengths and limitations of each </w:t>
      </w:r>
      <w:r w:rsidRPr="00990D3B">
        <w:t>methodology to help EQROs and states assess trade-offs between feasibility, statistical rigor, and</w:t>
      </w:r>
      <w:r w:rsidRPr="00990D3B" w:rsidR="00DD00DC">
        <w:t> </w:t>
      </w:r>
      <w:r w:rsidRPr="00990D3B">
        <w:t>attribution.</w:t>
      </w:r>
    </w:p>
    <w:p w:rsidR="0045391D" w:rsidRPr="00990D3B" w:rsidP="00666AC0" w14:paraId="2CF956D4" w14:textId="77777777">
      <w:pPr>
        <w:pStyle w:val="MarkforTableHeading"/>
      </w:pPr>
      <w:bookmarkStart w:id="1079" w:name="Table11n3"/>
      <w:bookmarkStart w:id="1080" w:name="_Hlk196902490"/>
      <w:bookmarkStart w:id="1081" w:name="_Hlk196902815"/>
      <w:bookmarkEnd w:id="1079"/>
      <w:r w:rsidRPr="00990D3B">
        <w:t xml:space="preserve">Table 11.3 Example Analytic Techniques and Key Design Features, by Evaluation Methodology </w:t>
      </w:r>
    </w:p>
    <w:tbl>
      <w:tblPr>
        <w:tblStyle w:val="CORESETTable4"/>
        <w:tblW w:w="5000" w:type="pct"/>
        <w:tblLook w:val="04A0"/>
      </w:tblPr>
      <w:tblGrid>
        <w:gridCol w:w="1523"/>
        <w:gridCol w:w="2609"/>
        <w:gridCol w:w="2609"/>
        <w:gridCol w:w="2609"/>
      </w:tblGrid>
      <w:tr w14:paraId="3A8E6519" w14:textId="77777777" w:rsidTr="00392AD4">
        <w:tblPrEx>
          <w:tblW w:w="5000" w:type="pct"/>
          <w:tblLook w:val="04A0"/>
        </w:tblPrEx>
        <w:trPr>
          <w:cantSplit/>
          <w:tblHeader/>
        </w:trPr>
        <w:tc>
          <w:tcPr>
            <w:tcW w:w="1523" w:type="dxa"/>
          </w:tcPr>
          <w:p w:rsidR="0045391D" w:rsidRPr="00990D3B" w:rsidP="00666AC0" w14:paraId="7484D43C" w14:textId="77777777">
            <w:pPr>
              <w:pStyle w:val="NormalWeb"/>
              <w:rPr>
                <w:rFonts w:asciiTheme="majorHAnsi" w:hAnsiTheme="majorHAnsi" w:cstheme="majorHAnsi"/>
                <w:bCs/>
                <w:szCs w:val="18"/>
              </w:rPr>
            </w:pPr>
          </w:p>
        </w:tc>
        <w:tc>
          <w:tcPr>
            <w:tcW w:w="2609" w:type="dxa"/>
          </w:tcPr>
          <w:p w:rsidR="0045391D" w:rsidRPr="00990D3B" w:rsidP="001343D9" w14:paraId="26CEFE1B" w14:textId="77777777">
            <w:pPr>
              <w:pStyle w:val="EQRTableHeaderCenter"/>
              <w:rPr>
                <w:b/>
                <w:bCs/>
              </w:rPr>
            </w:pPr>
            <w:r w:rsidRPr="00990D3B">
              <w:rPr>
                <w:b/>
                <w:bCs/>
              </w:rPr>
              <w:t>Descriptive Analysis</w:t>
            </w:r>
          </w:p>
        </w:tc>
        <w:tc>
          <w:tcPr>
            <w:tcW w:w="2609" w:type="dxa"/>
          </w:tcPr>
          <w:p w:rsidR="0045391D" w:rsidRPr="00990D3B" w:rsidP="001343D9" w14:paraId="6DF71278" w14:textId="77777777">
            <w:pPr>
              <w:pStyle w:val="EQRTableHeaderCenter"/>
              <w:rPr>
                <w:b/>
                <w:bCs/>
              </w:rPr>
            </w:pPr>
            <w:r w:rsidRPr="00990D3B">
              <w:rPr>
                <w:b/>
                <w:bCs/>
              </w:rPr>
              <w:t>Pre-post Design</w:t>
            </w:r>
          </w:p>
        </w:tc>
        <w:tc>
          <w:tcPr>
            <w:tcW w:w="2609" w:type="dxa"/>
          </w:tcPr>
          <w:p w:rsidR="0045391D" w:rsidRPr="00990D3B" w:rsidP="001343D9" w14:paraId="3A8C7C6E" w14:textId="77777777">
            <w:pPr>
              <w:pStyle w:val="EQRTableHeaderCenter"/>
              <w:rPr>
                <w:b/>
                <w:bCs/>
              </w:rPr>
            </w:pPr>
            <w:r w:rsidRPr="00990D3B">
              <w:rPr>
                <w:b/>
                <w:bCs/>
              </w:rPr>
              <w:t>Quasi-experimental Design</w:t>
            </w:r>
          </w:p>
        </w:tc>
      </w:tr>
      <w:bookmarkEnd w:id="1080"/>
      <w:tr w14:paraId="3BB76AFD" w14:textId="77777777" w:rsidTr="005F628D">
        <w:tblPrEx>
          <w:tblW w:w="5000" w:type="pct"/>
          <w:tblLook w:val="04A0"/>
        </w:tblPrEx>
        <w:tc>
          <w:tcPr>
            <w:tcW w:w="1523" w:type="dxa"/>
            <w:shd w:val="clear" w:color="auto" w:fill="EEF5F5" w:themeFill="background2"/>
          </w:tcPr>
          <w:p w:rsidR="0045391D" w:rsidRPr="00990D3B" w:rsidP="001343D9" w14:paraId="03C94175" w14:textId="77777777">
            <w:pPr>
              <w:pStyle w:val="EQRTableText"/>
            </w:pPr>
            <w:r w:rsidRPr="00990D3B">
              <w:t xml:space="preserve">Description </w:t>
            </w:r>
          </w:p>
        </w:tc>
        <w:tc>
          <w:tcPr>
            <w:tcW w:w="2609" w:type="dxa"/>
            <w:shd w:val="clear" w:color="auto" w:fill="EEF5F5" w:themeFill="background2"/>
          </w:tcPr>
          <w:p w:rsidR="0045391D" w:rsidRPr="00990D3B" w:rsidP="001343D9" w14:paraId="5AE0E305" w14:textId="77777777">
            <w:pPr>
              <w:pStyle w:val="EQRTableText"/>
            </w:pPr>
            <w:r w:rsidRPr="00990D3B">
              <w:t xml:space="preserve">Descriptive analysis characterizes beneficiaries or MCPs— identifying patterns in the data to answer questions about who, what, where, when, and to what extent. </w:t>
            </w:r>
          </w:p>
        </w:tc>
        <w:tc>
          <w:tcPr>
            <w:tcW w:w="2609" w:type="dxa"/>
            <w:shd w:val="clear" w:color="auto" w:fill="EEF5F5" w:themeFill="background2"/>
          </w:tcPr>
          <w:p w:rsidR="0045391D" w:rsidRPr="00990D3B" w:rsidP="001343D9" w14:paraId="00721588" w14:textId="77777777">
            <w:pPr>
              <w:pStyle w:val="EQRTableText"/>
            </w:pPr>
            <w:r w:rsidRPr="00990D3B">
              <w:t>Research approach that evaluates the effectiveness of an intervention by comparing results before and after the intervention is implemented. This design involves collecting data on specific indicators before the intervention (pre-test) and collecting the same data on the same individuals after the intervention (post-test).</w:t>
            </w:r>
          </w:p>
        </w:tc>
        <w:tc>
          <w:tcPr>
            <w:tcW w:w="2609" w:type="dxa"/>
            <w:shd w:val="clear" w:color="auto" w:fill="EEF5F5" w:themeFill="background2"/>
          </w:tcPr>
          <w:p w:rsidR="0045391D" w:rsidRPr="00990D3B" w:rsidP="001343D9" w14:paraId="66433790" w14:textId="01E3A613">
            <w:pPr>
              <w:pStyle w:val="EQRTableText"/>
            </w:pPr>
            <w:r w:rsidRPr="00990D3B">
              <w:t xml:space="preserve">Research approach that aims to demonstrate a cause-and-effect relationship between an independent variable, </w:t>
            </w:r>
            <w:r w:rsidRPr="00990D3B">
              <w:t>similar to</w:t>
            </w:r>
            <w:r w:rsidRPr="00990D3B">
              <w:t xml:space="preserve"> a true experiment, but lacks random assignment of participants to treatment and comparison groups. The treatment group is identified as receiving the intervention or participating in a program. A comparison group is </w:t>
            </w:r>
            <w:r w:rsidRPr="00990D3B">
              <w:t>selected such that it is</w:t>
            </w:r>
            <w:r w:rsidRPr="00990D3B">
              <w:t xml:space="preserve"> as similar as possible to the treatment group in terms of pre-intervention (baseline) characteristics</w:t>
            </w:r>
            <w:r w:rsidRPr="00990D3B" w:rsidR="0092710B">
              <w:t>.</w:t>
            </w:r>
            <w:r w:rsidRPr="00990D3B">
              <w:t xml:space="preserve"> </w:t>
            </w:r>
          </w:p>
        </w:tc>
      </w:tr>
      <w:tr w14:paraId="6148481F" w14:textId="77777777" w:rsidTr="00392AD4">
        <w:tblPrEx>
          <w:tblW w:w="5000" w:type="pct"/>
          <w:tblLook w:val="04A0"/>
        </w:tblPrEx>
        <w:tc>
          <w:tcPr>
            <w:tcW w:w="1523" w:type="dxa"/>
          </w:tcPr>
          <w:p w:rsidR="0045391D" w:rsidRPr="00990D3B" w:rsidP="001343D9" w14:paraId="06903BA3" w14:textId="77777777">
            <w:pPr>
              <w:pStyle w:val="EQRTableText"/>
            </w:pPr>
            <w:r w:rsidRPr="00990D3B">
              <w:t xml:space="preserve">Example Analytic Techniques  </w:t>
            </w:r>
          </w:p>
        </w:tc>
        <w:tc>
          <w:tcPr>
            <w:tcW w:w="2609" w:type="dxa"/>
          </w:tcPr>
          <w:p w:rsidR="0045391D" w:rsidRPr="00990D3B" w:rsidP="001343D9" w14:paraId="664C99E1" w14:textId="77777777">
            <w:pPr>
              <w:pStyle w:val="EQRTableTextbullet"/>
            </w:pPr>
            <w:r w:rsidRPr="00990D3B">
              <w:t>Descriptive statistics (means, medians, quartiles, frequencies, and measures of spread, such as standard deviation, variance, range)</w:t>
            </w:r>
          </w:p>
          <w:p w:rsidR="0045391D" w:rsidRPr="00990D3B" w:rsidP="001343D9" w14:paraId="23B83963" w14:textId="77777777">
            <w:pPr>
              <w:pStyle w:val="EQRTableTextbullet"/>
            </w:pPr>
            <w:r w:rsidRPr="00990D3B">
              <w:t>Trend analysis</w:t>
            </w:r>
          </w:p>
          <w:p w:rsidR="0045391D" w:rsidRPr="00990D3B" w:rsidP="001343D9" w14:paraId="6D7E4CF9" w14:textId="77777777">
            <w:pPr>
              <w:pStyle w:val="EQRTableTextbullet"/>
            </w:pPr>
            <w:r w:rsidRPr="00990D3B">
              <w:t>Cross-tabulations</w:t>
            </w:r>
          </w:p>
        </w:tc>
        <w:tc>
          <w:tcPr>
            <w:tcW w:w="2609" w:type="dxa"/>
          </w:tcPr>
          <w:p w:rsidR="0045391D" w:rsidRPr="00990D3B" w:rsidP="001343D9" w14:paraId="215BEDA3" w14:textId="77777777">
            <w:pPr>
              <w:pStyle w:val="EQRTableTextbullet"/>
            </w:pPr>
            <w:r w:rsidRPr="00990D3B">
              <w:t xml:space="preserve">Comparing means of groups (t-Test, ANOVA) </w:t>
            </w:r>
          </w:p>
          <w:p w:rsidR="0045391D" w:rsidRPr="00990D3B" w:rsidP="001343D9" w14:paraId="5EB83F62" w14:textId="77777777">
            <w:pPr>
              <w:pStyle w:val="EQRTableTextbullet"/>
            </w:pPr>
            <w:r w:rsidRPr="00990D3B">
              <w:t>Comparing distributions of groups (Wilcoxon Signed-Rank Test)</w:t>
            </w:r>
          </w:p>
          <w:p w:rsidR="0045391D" w:rsidRPr="00990D3B" w:rsidP="001343D9" w14:paraId="5D648324" w14:textId="77777777">
            <w:pPr>
              <w:pStyle w:val="EQRTableTextbullet"/>
            </w:pPr>
            <w:r w:rsidRPr="00990D3B">
              <w:t xml:space="preserve">Pre-post regressions </w:t>
            </w:r>
          </w:p>
        </w:tc>
        <w:tc>
          <w:tcPr>
            <w:tcW w:w="2609" w:type="dxa"/>
          </w:tcPr>
          <w:p w:rsidR="0045391D" w:rsidRPr="00990D3B" w:rsidP="001343D9" w14:paraId="7407F589" w14:textId="77777777">
            <w:pPr>
              <w:pStyle w:val="EQRTableTextbullet"/>
            </w:pPr>
            <w:r w:rsidRPr="00990D3B">
              <w:t>Difference-in-difference (</w:t>
            </w:r>
            <w:r w:rsidRPr="00990D3B">
              <w:t>DiD</w:t>
            </w:r>
            <w:r w:rsidRPr="00990D3B">
              <w:t>)</w:t>
            </w:r>
          </w:p>
          <w:p w:rsidR="0045391D" w:rsidRPr="00990D3B" w:rsidP="001343D9" w14:paraId="70637377" w14:textId="77777777">
            <w:pPr>
              <w:pStyle w:val="EQRTableTextbullet"/>
            </w:pPr>
            <w:r w:rsidRPr="00990D3B">
              <w:t>Regression Discontinuity</w:t>
            </w:r>
          </w:p>
          <w:p w:rsidR="0045391D" w:rsidRPr="00990D3B" w:rsidP="001343D9" w14:paraId="32518F3F" w14:textId="77777777">
            <w:pPr>
              <w:pStyle w:val="EQRTableTextbullet"/>
            </w:pPr>
            <w:r w:rsidRPr="00990D3B">
              <w:t>Regression with controls</w:t>
            </w:r>
          </w:p>
          <w:p w:rsidR="0045391D" w:rsidRPr="00990D3B" w:rsidP="001343D9" w14:paraId="7DF136D4" w14:textId="77777777">
            <w:pPr>
              <w:pStyle w:val="EQRTableTextbullet"/>
            </w:pPr>
            <w:r w:rsidRPr="00990D3B">
              <w:t>Fixed effects</w:t>
            </w:r>
          </w:p>
          <w:p w:rsidR="0045391D" w:rsidRPr="00990D3B" w:rsidP="001343D9" w14:paraId="29D16624" w14:textId="77777777">
            <w:pPr>
              <w:pStyle w:val="EQRTableTextbullet"/>
            </w:pPr>
            <w:r w:rsidRPr="00990D3B">
              <w:t xml:space="preserve">Interrupted time series </w:t>
            </w:r>
          </w:p>
        </w:tc>
      </w:tr>
      <w:tr w14:paraId="08F45FA5" w14:textId="77777777" w:rsidTr="00392AD4">
        <w:tblPrEx>
          <w:tblW w:w="5000" w:type="pct"/>
          <w:tblLook w:val="04A0"/>
        </w:tblPrEx>
        <w:tc>
          <w:tcPr>
            <w:tcW w:w="1523" w:type="dxa"/>
            <w:shd w:val="clear" w:color="auto" w:fill="00559D" w:themeFill="text2"/>
          </w:tcPr>
          <w:p w:rsidR="001343D9" w:rsidRPr="00990D3B" w:rsidP="001343D9" w14:paraId="54DB72B1" w14:textId="2E636852">
            <w:pPr>
              <w:pStyle w:val="EQRTableText"/>
              <w:rPr>
                <w:color w:val="FFFFFF" w:themeColor="background1"/>
              </w:rPr>
            </w:pPr>
            <w:r w:rsidRPr="00990D3B">
              <w:rPr>
                <w:color w:val="FFFFFF" w:themeColor="background1"/>
              </w:rPr>
              <w:t>Design Features</w:t>
            </w:r>
          </w:p>
        </w:tc>
        <w:tc>
          <w:tcPr>
            <w:tcW w:w="2609" w:type="dxa"/>
            <w:shd w:val="clear" w:color="auto" w:fill="00559D" w:themeFill="text2"/>
          </w:tcPr>
          <w:p w:rsidR="001343D9" w:rsidRPr="00990D3B" w:rsidP="001343D9" w14:paraId="01CBCDF7" w14:textId="77777777">
            <w:pPr>
              <w:pStyle w:val="EQRTableText"/>
              <w:rPr>
                <w:rFonts w:ascii="Segoe UI Symbol" w:hAnsi="Segoe UI Symbol" w:cs="Segoe UI Symbol"/>
                <w:color w:val="FFFFFF" w:themeColor="background1"/>
              </w:rPr>
            </w:pPr>
          </w:p>
        </w:tc>
        <w:tc>
          <w:tcPr>
            <w:tcW w:w="2609" w:type="dxa"/>
            <w:shd w:val="clear" w:color="auto" w:fill="00559D" w:themeFill="text2"/>
          </w:tcPr>
          <w:p w:rsidR="001343D9" w:rsidRPr="00990D3B" w:rsidP="001343D9" w14:paraId="02A93229" w14:textId="77777777">
            <w:pPr>
              <w:pStyle w:val="EQRTableText"/>
              <w:rPr>
                <w:rFonts w:ascii="Segoe UI Symbol" w:hAnsi="Segoe UI Symbol" w:cs="Segoe UI Symbol"/>
                <w:color w:val="FFFFFF" w:themeColor="background1"/>
              </w:rPr>
            </w:pPr>
          </w:p>
        </w:tc>
        <w:tc>
          <w:tcPr>
            <w:tcW w:w="2609" w:type="dxa"/>
            <w:shd w:val="clear" w:color="auto" w:fill="00559D" w:themeFill="text2"/>
          </w:tcPr>
          <w:p w:rsidR="001343D9" w:rsidRPr="00990D3B" w:rsidP="001343D9" w14:paraId="2FF5EF91" w14:textId="77777777">
            <w:pPr>
              <w:pStyle w:val="EQRTableText"/>
              <w:rPr>
                <w:rFonts w:ascii="Segoe UI Symbol" w:hAnsi="Segoe UI Symbol" w:cs="Segoe UI Symbol"/>
                <w:color w:val="FFFFFF" w:themeColor="background1"/>
              </w:rPr>
            </w:pPr>
          </w:p>
        </w:tc>
      </w:tr>
      <w:tr w14:paraId="051DA485" w14:textId="77777777" w:rsidTr="00392AD4">
        <w:tblPrEx>
          <w:tblW w:w="5000" w:type="pct"/>
          <w:tblLook w:val="04A0"/>
        </w:tblPrEx>
        <w:tc>
          <w:tcPr>
            <w:tcW w:w="1523" w:type="dxa"/>
          </w:tcPr>
          <w:p w:rsidR="001343D9" w:rsidRPr="00990D3B" w:rsidP="001343D9" w14:paraId="4F4B4736" w14:textId="77777777">
            <w:pPr>
              <w:pStyle w:val="EQRTableText"/>
            </w:pPr>
            <w:r w:rsidRPr="00990D3B">
              <w:t>Statistical Testing</w:t>
            </w:r>
          </w:p>
        </w:tc>
        <w:tc>
          <w:tcPr>
            <w:tcW w:w="2609" w:type="dxa"/>
          </w:tcPr>
          <w:p w:rsidR="001343D9" w:rsidRPr="00990D3B" w:rsidP="001343D9" w14:paraId="15F7CFF1" w14:textId="77777777">
            <w:pPr>
              <w:pStyle w:val="EQRTableText"/>
              <w:jc w:val="center"/>
              <w:rPr>
                <w:rFonts w:asciiTheme="majorHAnsi" w:hAnsiTheme="majorHAnsi" w:cstheme="majorHAnsi"/>
              </w:rPr>
            </w:pPr>
            <w:r w:rsidRPr="00990D3B">
              <w:rPr>
                <w:rFonts w:ascii="Segoe UI Symbol" w:hAnsi="Segoe UI Symbol" w:cs="Segoe UI Symbol"/>
              </w:rPr>
              <w:t>✗</w:t>
            </w:r>
          </w:p>
          <w:p w:rsidR="001343D9" w:rsidRPr="00990D3B" w:rsidP="001343D9" w14:paraId="5EF11003" w14:textId="77777777">
            <w:pPr>
              <w:pStyle w:val="EQRTableText"/>
              <w:jc w:val="center"/>
              <w:rPr>
                <w:rFonts w:asciiTheme="majorHAnsi" w:hAnsiTheme="majorHAnsi" w:cstheme="majorHAnsi"/>
              </w:rPr>
            </w:pPr>
            <w:r w:rsidRPr="00990D3B">
              <w:rPr>
                <w:rFonts w:asciiTheme="majorHAnsi" w:hAnsiTheme="majorHAnsi" w:cstheme="majorHAnsi"/>
              </w:rPr>
              <w:t>None</w:t>
            </w:r>
          </w:p>
        </w:tc>
        <w:tc>
          <w:tcPr>
            <w:tcW w:w="2609" w:type="dxa"/>
          </w:tcPr>
          <w:p w:rsidR="001343D9" w:rsidRPr="00990D3B" w:rsidP="001343D9" w14:paraId="61003D85" w14:textId="77777777">
            <w:pPr>
              <w:pStyle w:val="EQRTableText"/>
              <w:jc w:val="center"/>
              <w:rPr>
                <w:rFonts w:asciiTheme="majorHAnsi" w:hAnsiTheme="majorHAnsi" w:cstheme="majorHAnsi"/>
              </w:rPr>
            </w:pPr>
            <w:r w:rsidRPr="00990D3B">
              <w:rPr>
                <w:rFonts w:ascii="Segoe UI Symbol" w:hAnsi="Segoe UI Symbol" w:cs="Segoe UI Symbol"/>
              </w:rPr>
              <w:t>✓</w:t>
            </w:r>
          </w:p>
          <w:p w:rsidR="001343D9" w:rsidRPr="00990D3B" w:rsidP="001343D9" w14:paraId="61450FE0" w14:textId="77777777">
            <w:pPr>
              <w:pStyle w:val="EQRTableText"/>
              <w:jc w:val="center"/>
              <w:rPr>
                <w:rFonts w:asciiTheme="majorHAnsi" w:hAnsiTheme="majorHAnsi" w:cstheme="majorHAnsi"/>
              </w:rPr>
            </w:pPr>
            <w:r w:rsidRPr="00990D3B">
              <w:rPr>
                <w:rFonts w:asciiTheme="majorHAnsi" w:hAnsiTheme="majorHAnsi" w:cstheme="majorHAnsi"/>
              </w:rPr>
              <w:t>Yes (ANOVA, t-tests, regression, Wilcoxon Signed-Rank Test)</w:t>
            </w:r>
          </w:p>
        </w:tc>
        <w:tc>
          <w:tcPr>
            <w:tcW w:w="2609" w:type="dxa"/>
          </w:tcPr>
          <w:p w:rsidR="001343D9" w:rsidRPr="00990D3B" w:rsidP="001343D9" w14:paraId="317EE82E" w14:textId="77777777">
            <w:pPr>
              <w:pStyle w:val="EQRTableText"/>
              <w:jc w:val="center"/>
              <w:rPr>
                <w:rFonts w:asciiTheme="majorHAnsi" w:hAnsiTheme="majorHAnsi" w:cstheme="majorHAnsi"/>
              </w:rPr>
            </w:pPr>
            <w:r w:rsidRPr="00990D3B">
              <w:rPr>
                <w:rFonts w:ascii="Segoe UI Symbol" w:hAnsi="Segoe UI Symbol" w:cs="Segoe UI Symbol"/>
              </w:rPr>
              <w:t>✓</w:t>
            </w:r>
          </w:p>
          <w:p w:rsidR="001343D9" w:rsidRPr="00990D3B" w:rsidP="001343D9" w14:paraId="6C9E0473" w14:textId="77777777">
            <w:pPr>
              <w:pStyle w:val="EQRTableText"/>
              <w:jc w:val="center"/>
              <w:rPr>
                <w:rFonts w:asciiTheme="majorHAnsi" w:hAnsiTheme="majorHAnsi" w:cstheme="majorHAnsi"/>
              </w:rPr>
            </w:pPr>
            <w:r w:rsidRPr="00990D3B">
              <w:rPr>
                <w:rFonts w:asciiTheme="majorHAnsi" w:hAnsiTheme="majorHAnsi" w:cstheme="majorHAnsi"/>
              </w:rPr>
              <w:t>Yes</w:t>
            </w:r>
          </w:p>
        </w:tc>
      </w:tr>
      <w:tr w14:paraId="4C0F3C0F" w14:textId="77777777" w:rsidTr="005F628D">
        <w:tblPrEx>
          <w:tblW w:w="5000" w:type="pct"/>
          <w:tblLook w:val="04A0"/>
        </w:tblPrEx>
        <w:tc>
          <w:tcPr>
            <w:tcW w:w="1523" w:type="dxa"/>
            <w:shd w:val="clear" w:color="auto" w:fill="EEF5F5" w:themeFill="background2"/>
          </w:tcPr>
          <w:p w:rsidR="001343D9" w:rsidRPr="00990D3B" w:rsidP="001343D9" w14:paraId="5D3D35CA" w14:textId="77777777">
            <w:pPr>
              <w:pStyle w:val="EQRTableText"/>
            </w:pPr>
            <w:r w:rsidRPr="00990D3B">
              <w:t>Comparison Group</w:t>
            </w:r>
          </w:p>
        </w:tc>
        <w:tc>
          <w:tcPr>
            <w:tcW w:w="2609" w:type="dxa"/>
            <w:shd w:val="clear" w:color="auto" w:fill="EEF5F5" w:themeFill="background2"/>
          </w:tcPr>
          <w:p w:rsidR="001343D9" w:rsidRPr="00990D3B" w:rsidP="001343D9" w14:paraId="10457E6C" w14:textId="77777777">
            <w:pPr>
              <w:pStyle w:val="EQRTableText"/>
              <w:jc w:val="center"/>
              <w:rPr>
                <w:rFonts w:asciiTheme="majorHAnsi" w:hAnsiTheme="majorHAnsi" w:cstheme="majorHAnsi"/>
              </w:rPr>
            </w:pPr>
            <w:r w:rsidRPr="00990D3B">
              <w:rPr>
                <w:rFonts w:ascii="Segoe UI Symbol" w:hAnsi="Segoe UI Symbol" w:cs="Segoe UI Symbol"/>
              </w:rPr>
              <w:t>✗</w:t>
            </w:r>
          </w:p>
          <w:p w:rsidR="001343D9" w:rsidRPr="00990D3B" w:rsidP="001343D9" w14:paraId="550FA842" w14:textId="77777777">
            <w:pPr>
              <w:pStyle w:val="EQRTableText"/>
              <w:jc w:val="center"/>
              <w:rPr>
                <w:rFonts w:asciiTheme="majorHAnsi" w:hAnsiTheme="majorHAnsi" w:cstheme="majorHAnsi"/>
              </w:rPr>
            </w:pPr>
            <w:r w:rsidRPr="00990D3B">
              <w:rPr>
                <w:rFonts w:asciiTheme="majorHAnsi" w:hAnsiTheme="majorHAnsi" w:cstheme="majorHAnsi"/>
              </w:rPr>
              <w:t>None</w:t>
            </w:r>
          </w:p>
        </w:tc>
        <w:tc>
          <w:tcPr>
            <w:tcW w:w="2609" w:type="dxa"/>
            <w:shd w:val="clear" w:color="auto" w:fill="EEF5F5" w:themeFill="background2"/>
          </w:tcPr>
          <w:p w:rsidR="001343D9" w:rsidRPr="00990D3B" w:rsidP="001343D9" w14:paraId="54B6E090" w14:textId="77777777">
            <w:pPr>
              <w:pStyle w:val="EQRTableText"/>
              <w:jc w:val="center"/>
              <w:rPr>
                <w:rFonts w:asciiTheme="majorHAnsi" w:hAnsiTheme="majorHAnsi" w:cstheme="majorHAnsi"/>
              </w:rPr>
            </w:pPr>
            <w:r w:rsidRPr="00990D3B">
              <w:rPr>
                <w:rFonts w:ascii="Segoe UI Symbol" w:hAnsi="Segoe UI Symbol" w:cs="Segoe UI Symbol"/>
              </w:rPr>
              <w:t>✗</w:t>
            </w:r>
          </w:p>
          <w:p w:rsidR="001343D9" w:rsidRPr="00990D3B" w:rsidP="001343D9" w14:paraId="06D1E66F" w14:textId="77777777">
            <w:pPr>
              <w:pStyle w:val="EQRTableText"/>
              <w:jc w:val="center"/>
              <w:rPr>
                <w:rFonts w:asciiTheme="majorHAnsi" w:hAnsiTheme="majorHAnsi" w:cstheme="majorHAnsi"/>
              </w:rPr>
            </w:pPr>
            <w:r w:rsidRPr="00990D3B">
              <w:rPr>
                <w:rFonts w:asciiTheme="majorHAnsi" w:hAnsiTheme="majorHAnsi" w:cstheme="majorHAnsi"/>
              </w:rPr>
              <w:t>None</w:t>
            </w:r>
          </w:p>
        </w:tc>
        <w:tc>
          <w:tcPr>
            <w:tcW w:w="2609" w:type="dxa"/>
            <w:shd w:val="clear" w:color="auto" w:fill="EEF5F5" w:themeFill="background2"/>
          </w:tcPr>
          <w:p w:rsidR="001343D9" w:rsidRPr="00990D3B" w:rsidP="001343D9" w14:paraId="3D81D5F0" w14:textId="77777777">
            <w:pPr>
              <w:pStyle w:val="EQRTableText"/>
              <w:jc w:val="center"/>
              <w:rPr>
                <w:rFonts w:asciiTheme="majorHAnsi" w:hAnsiTheme="majorHAnsi" w:cstheme="majorHAnsi"/>
              </w:rPr>
            </w:pPr>
            <w:r w:rsidRPr="00990D3B">
              <w:rPr>
                <w:rFonts w:ascii="Segoe UI Symbol" w:hAnsi="Segoe UI Symbol" w:cs="Segoe UI Symbol"/>
              </w:rPr>
              <w:t>✓</w:t>
            </w:r>
          </w:p>
          <w:p w:rsidR="001343D9" w:rsidRPr="00990D3B" w:rsidP="001343D9" w14:paraId="38F93912" w14:textId="77777777">
            <w:pPr>
              <w:pStyle w:val="EQRTableText"/>
              <w:jc w:val="center"/>
              <w:rPr>
                <w:rFonts w:asciiTheme="majorHAnsi" w:hAnsiTheme="majorHAnsi" w:cstheme="majorHAnsi"/>
              </w:rPr>
            </w:pPr>
            <w:r w:rsidRPr="00990D3B">
              <w:rPr>
                <w:rFonts w:asciiTheme="majorHAnsi" w:hAnsiTheme="majorHAnsi" w:cstheme="majorHAnsi"/>
              </w:rPr>
              <w:t>Yes (non-randomized)</w:t>
            </w:r>
          </w:p>
        </w:tc>
      </w:tr>
      <w:tr w14:paraId="41C9126E" w14:textId="77777777" w:rsidTr="00392AD4">
        <w:tblPrEx>
          <w:tblW w:w="5000" w:type="pct"/>
          <w:tblLook w:val="04A0"/>
        </w:tblPrEx>
        <w:tc>
          <w:tcPr>
            <w:tcW w:w="1523" w:type="dxa"/>
          </w:tcPr>
          <w:p w:rsidR="001343D9" w:rsidRPr="00990D3B" w:rsidP="001343D9" w14:paraId="7F7FE117" w14:textId="77777777">
            <w:pPr>
              <w:pStyle w:val="EQRTableText"/>
            </w:pPr>
            <w:r w:rsidRPr="00990D3B">
              <w:t xml:space="preserve">Controls for Confounding Factors </w:t>
            </w:r>
          </w:p>
        </w:tc>
        <w:tc>
          <w:tcPr>
            <w:tcW w:w="2609" w:type="dxa"/>
          </w:tcPr>
          <w:p w:rsidR="001343D9" w:rsidRPr="00990D3B" w:rsidP="001343D9" w14:paraId="0D9C7339" w14:textId="77777777">
            <w:pPr>
              <w:pStyle w:val="EQRTableText"/>
              <w:jc w:val="center"/>
              <w:rPr>
                <w:rFonts w:asciiTheme="majorHAnsi" w:hAnsiTheme="majorHAnsi" w:cstheme="majorHAnsi"/>
              </w:rPr>
            </w:pPr>
            <w:r w:rsidRPr="00990D3B">
              <w:rPr>
                <w:rFonts w:ascii="Segoe UI Symbol" w:hAnsi="Segoe UI Symbol" w:cs="Segoe UI Symbol"/>
              </w:rPr>
              <w:t>✗</w:t>
            </w:r>
          </w:p>
          <w:p w:rsidR="001343D9" w:rsidRPr="00990D3B" w:rsidP="001343D9" w14:paraId="67EB20CB" w14:textId="40EF4D8A">
            <w:pPr>
              <w:pStyle w:val="EQRTableText"/>
              <w:jc w:val="center"/>
              <w:rPr>
                <w:rFonts w:asciiTheme="majorHAnsi" w:hAnsiTheme="majorHAnsi" w:cstheme="majorHAnsi"/>
              </w:rPr>
            </w:pPr>
            <w:r w:rsidRPr="00990D3B">
              <w:rPr>
                <w:rFonts w:asciiTheme="majorHAnsi" w:hAnsiTheme="majorHAnsi" w:cstheme="majorHAnsi"/>
              </w:rPr>
              <w:t>None</w:t>
            </w:r>
          </w:p>
        </w:tc>
        <w:tc>
          <w:tcPr>
            <w:tcW w:w="2609" w:type="dxa"/>
          </w:tcPr>
          <w:p w:rsidR="001343D9" w:rsidRPr="00990D3B" w:rsidP="001343D9" w14:paraId="42560C40" w14:textId="77777777">
            <w:pPr>
              <w:pStyle w:val="EQRTableText"/>
              <w:jc w:val="center"/>
              <w:rPr>
                <w:rFonts w:asciiTheme="majorHAnsi" w:hAnsiTheme="majorHAnsi" w:cstheme="majorHAnsi"/>
              </w:rPr>
            </w:pPr>
            <w:r w:rsidRPr="00990D3B">
              <w:rPr>
                <w:rFonts w:ascii="Segoe UI Symbol" w:hAnsi="Segoe UI Symbol" w:cs="Segoe UI Symbol"/>
              </w:rPr>
              <w:t>✓</w:t>
            </w:r>
          </w:p>
          <w:p w:rsidR="001343D9" w:rsidRPr="00990D3B" w:rsidP="001343D9" w14:paraId="7A20BA6E" w14:textId="77777777">
            <w:pPr>
              <w:pStyle w:val="EQRTableText"/>
              <w:jc w:val="center"/>
              <w:rPr>
                <w:rFonts w:asciiTheme="majorHAnsi" w:hAnsiTheme="majorHAnsi" w:cstheme="majorHAnsi"/>
              </w:rPr>
            </w:pPr>
            <w:r w:rsidRPr="00990D3B">
              <w:rPr>
                <w:rFonts w:asciiTheme="majorHAnsi" w:hAnsiTheme="majorHAnsi" w:cstheme="majorHAnsi"/>
              </w:rPr>
              <w:t>Partial (if regression is used to adjust for observed confounders)</w:t>
            </w:r>
          </w:p>
        </w:tc>
        <w:tc>
          <w:tcPr>
            <w:tcW w:w="2609" w:type="dxa"/>
          </w:tcPr>
          <w:p w:rsidR="001343D9" w:rsidRPr="00990D3B" w:rsidP="001343D9" w14:paraId="549CFD3B" w14:textId="77777777">
            <w:pPr>
              <w:pStyle w:val="EQRTableText"/>
              <w:jc w:val="center"/>
              <w:rPr>
                <w:rFonts w:asciiTheme="majorHAnsi" w:hAnsiTheme="majorHAnsi" w:cstheme="majorHAnsi"/>
              </w:rPr>
            </w:pPr>
            <w:r w:rsidRPr="00990D3B">
              <w:rPr>
                <w:rFonts w:ascii="Segoe UI Symbol" w:hAnsi="Segoe UI Symbol" w:cs="Segoe UI Symbol"/>
              </w:rPr>
              <w:t>✓</w:t>
            </w:r>
          </w:p>
          <w:p w:rsidR="001343D9" w:rsidRPr="00990D3B" w:rsidP="001343D9" w14:paraId="25AB903C" w14:textId="77777777">
            <w:pPr>
              <w:pStyle w:val="EQRTableText"/>
              <w:jc w:val="center"/>
              <w:rPr>
                <w:rFonts w:asciiTheme="majorHAnsi" w:hAnsiTheme="majorHAnsi" w:cstheme="majorHAnsi"/>
              </w:rPr>
            </w:pPr>
            <w:r w:rsidRPr="00990D3B">
              <w:rPr>
                <w:rFonts w:asciiTheme="majorHAnsi" w:hAnsiTheme="majorHAnsi" w:cstheme="majorHAnsi"/>
              </w:rPr>
              <w:t>Yes (via comparison group and statistical adjustment methods)</w:t>
            </w:r>
          </w:p>
        </w:tc>
      </w:tr>
      <w:tr w14:paraId="44DA7169" w14:textId="77777777" w:rsidTr="005F628D">
        <w:tblPrEx>
          <w:tblW w:w="5000" w:type="pct"/>
          <w:tblLook w:val="04A0"/>
        </w:tblPrEx>
        <w:tc>
          <w:tcPr>
            <w:tcW w:w="1523" w:type="dxa"/>
            <w:shd w:val="clear" w:color="auto" w:fill="EEF5F5" w:themeFill="background2"/>
          </w:tcPr>
          <w:p w:rsidR="001343D9" w:rsidRPr="00990D3B" w:rsidP="001343D9" w14:paraId="59D4EE7C" w14:textId="77777777">
            <w:pPr>
              <w:pStyle w:val="EQRTableText"/>
            </w:pPr>
            <w:r w:rsidRPr="00990D3B">
              <w:t>Strengths</w:t>
            </w:r>
          </w:p>
        </w:tc>
        <w:tc>
          <w:tcPr>
            <w:tcW w:w="2609" w:type="dxa"/>
            <w:shd w:val="clear" w:color="auto" w:fill="EEF5F5" w:themeFill="background2"/>
          </w:tcPr>
          <w:p w:rsidR="001343D9" w:rsidRPr="00990D3B" w:rsidP="001343D9" w14:paraId="58CDF3CC" w14:textId="77777777">
            <w:pPr>
              <w:pStyle w:val="EQRTableTextbullet"/>
            </w:pPr>
            <w:r w:rsidRPr="00990D3B">
              <w:t>Low burden</w:t>
            </w:r>
          </w:p>
          <w:p w:rsidR="001343D9" w:rsidRPr="00990D3B" w:rsidP="001343D9" w14:paraId="700EB066" w14:textId="77777777">
            <w:pPr>
              <w:pStyle w:val="EQRTableTextbullet"/>
            </w:pPr>
            <w:r w:rsidRPr="00990D3B">
              <w:t>Good for monitoring trends or early-stage implementation</w:t>
            </w:r>
          </w:p>
        </w:tc>
        <w:tc>
          <w:tcPr>
            <w:tcW w:w="2609" w:type="dxa"/>
            <w:shd w:val="clear" w:color="auto" w:fill="EEF5F5" w:themeFill="background2"/>
          </w:tcPr>
          <w:p w:rsidR="001343D9" w:rsidRPr="00990D3B" w:rsidP="001343D9" w14:paraId="7E922A58" w14:textId="77777777">
            <w:pPr>
              <w:pStyle w:val="EQRTableTextbullet"/>
            </w:pPr>
            <w:r w:rsidRPr="00990D3B">
              <w:t xml:space="preserve">Can test whether observed changes are statistically significant </w:t>
            </w:r>
          </w:p>
        </w:tc>
        <w:tc>
          <w:tcPr>
            <w:tcW w:w="2609" w:type="dxa"/>
            <w:shd w:val="clear" w:color="auto" w:fill="EEF5F5" w:themeFill="background2"/>
          </w:tcPr>
          <w:p w:rsidR="001343D9" w:rsidRPr="00990D3B" w:rsidP="001343D9" w14:paraId="486F6462" w14:textId="77777777">
            <w:pPr>
              <w:pStyle w:val="EQRTableTextbullet"/>
            </w:pPr>
            <w:r w:rsidRPr="00990D3B">
              <w:t>Stronger causal inference without randomization</w:t>
            </w:r>
          </w:p>
          <w:p w:rsidR="001343D9" w:rsidRPr="00990D3B" w:rsidP="001343D9" w14:paraId="746AEB86" w14:textId="77777777">
            <w:pPr>
              <w:pStyle w:val="EQRTableTextbullet"/>
            </w:pPr>
            <w:r w:rsidRPr="00990D3B">
              <w:t xml:space="preserve">Adjusts for confounding factors </w:t>
            </w:r>
          </w:p>
        </w:tc>
      </w:tr>
      <w:tr w14:paraId="0C857849" w14:textId="77777777" w:rsidTr="00392AD4">
        <w:tblPrEx>
          <w:tblW w:w="5000" w:type="pct"/>
          <w:tblLook w:val="04A0"/>
        </w:tblPrEx>
        <w:tc>
          <w:tcPr>
            <w:tcW w:w="1523" w:type="dxa"/>
          </w:tcPr>
          <w:p w:rsidR="001343D9" w:rsidRPr="00990D3B" w:rsidP="001343D9" w14:paraId="0B3D9B32" w14:textId="77777777">
            <w:pPr>
              <w:pStyle w:val="EQRTableText"/>
            </w:pPr>
            <w:r w:rsidRPr="00990D3B">
              <w:t xml:space="preserve">Limitations </w:t>
            </w:r>
          </w:p>
        </w:tc>
        <w:tc>
          <w:tcPr>
            <w:tcW w:w="2609" w:type="dxa"/>
          </w:tcPr>
          <w:p w:rsidR="001343D9" w:rsidRPr="00990D3B" w:rsidP="001343D9" w14:paraId="6662440E" w14:textId="77777777">
            <w:pPr>
              <w:pStyle w:val="EQRTableTextbullet"/>
            </w:pPr>
            <w:r w:rsidRPr="00990D3B">
              <w:t xml:space="preserve">Cannot determine if changes are meaningful or due to intervention </w:t>
            </w:r>
          </w:p>
        </w:tc>
        <w:tc>
          <w:tcPr>
            <w:tcW w:w="2609" w:type="dxa"/>
          </w:tcPr>
          <w:p w:rsidR="001343D9" w:rsidRPr="00990D3B" w:rsidP="001343D9" w14:paraId="62D9BA08" w14:textId="77777777">
            <w:pPr>
              <w:pStyle w:val="EQRTableTextbullet"/>
            </w:pPr>
            <w:r w:rsidRPr="00990D3B">
              <w:t xml:space="preserve">Lacks causal attribution; cannot rule out that observed changes are due to other external factors. </w:t>
            </w:r>
          </w:p>
        </w:tc>
        <w:tc>
          <w:tcPr>
            <w:tcW w:w="2609" w:type="dxa"/>
          </w:tcPr>
          <w:p w:rsidR="001343D9" w:rsidRPr="00990D3B" w:rsidP="001343D9" w14:paraId="55C2A2CA" w14:textId="77777777">
            <w:pPr>
              <w:pStyle w:val="EQRTableTextbullet"/>
            </w:pPr>
            <w:r w:rsidRPr="00990D3B">
              <w:t>Requires robust data</w:t>
            </w:r>
          </w:p>
          <w:p w:rsidR="001343D9" w:rsidRPr="00990D3B" w:rsidP="001343D9" w14:paraId="26EC1014" w14:textId="77777777">
            <w:pPr>
              <w:pStyle w:val="EQRTableTextbullet"/>
            </w:pPr>
            <w:r w:rsidRPr="00990D3B">
              <w:t>Risk of bias if groups are not comparable</w:t>
            </w:r>
          </w:p>
          <w:p w:rsidR="001343D9" w:rsidRPr="00990D3B" w:rsidP="001343D9" w14:paraId="493189EF" w14:textId="77777777">
            <w:pPr>
              <w:pStyle w:val="EQRTableTextbullet"/>
            </w:pPr>
            <w:r w:rsidRPr="00990D3B">
              <w:t xml:space="preserve">More complex to implement </w:t>
            </w:r>
          </w:p>
        </w:tc>
      </w:tr>
    </w:tbl>
    <w:bookmarkEnd w:id="1081"/>
    <w:p w:rsidR="0045391D" w:rsidRPr="00990D3B" w:rsidP="001343D9" w14:paraId="59814CC7" w14:textId="77777777">
      <w:pPr>
        <w:pStyle w:val="ParagraphContinued"/>
      </w:pPr>
      <w:r w:rsidRPr="00990D3B">
        <w:t>While quantitative techniques measure changes and assess the impact of interventions, qualitative evaluation methods help explain why observed changes occurred and uncover unintended consequences. Techniques such as interviews, focus groups, and open-ended survey responses allow evaluators to capture stakeholder perspectives, assess implementation barriers, and explore how and why an intervention led to specific outcomes. These methods are most useful when evaluating implementation processes, understanding contextual factors influencing results, or identifying themes not captured through quantitative metrics. While qualitative methods can provide important insights, they should complement, not replace, quantitative analysis in assessing intervention outcomes</w:t>
      </w:r>
    </w:p>
    <w:p w:rsidR="0045391D" w:rsidRPr="00990D3B" w:rsidP="001343D9" w14:paraId="506B413D" w14:textId="77777777">
      <w:pPr>
        <w:pStyle w:val="Paragraph0"/>
      </w:pPr>
      <w:r w:rsidRPr="00990D3B">
        <w:rPr>
          <w:rFonts w:eastAsia="Calibri"/>
        </w:rPr>
        <w:t xml:space="preserve">Using mixed methods—integrating qualitative and quantitative approaches—adds valuable context and enhances the depth of findings. Qualitative methods complement quantitative findings by providing insight beyond numerical trends, leading to a more comprehensive, holistic understanding of the impact of the initiative, intervention, or policy. </w:t>
      </w:r>
    </w:p>
    <w:p w:rsidR="0045391D" w:rsidRPr="00990D3B" w:rsidP="00666AC0" w14:paraId="3DB29DEC" w14:textId="77777777">
      <w:pPr>
        <w:pStyle w:val="H4"/>
        <w:spacing w:before="0" w:after="240"/>
        <w:rPr>
          <w:b w:val="0"/>
          <w:bCs/>
        </w:rPr>
      </w:pPr>
      <w:r w:rsidRPr="00990D3B">
        <w:t xml:space="preserve">Plan for Subgroup Analyses </w:t>
      </w:r>
    </w:p>
    <w:p w:rsidR="0045391D" w:rsidRPr="00990D3B" w:rsidP="001343D9" w14:paraId="08613BA2" w14:textId="6D01A875">
      <w:pPr>
        <w:pStyle w:val="ParagraphContinued"/>
      </w:pPr>
      <w:r w:rsidRPr="00990D3B">
        <w:t xml:space="preserve">The analysis plan should also describe how results will be analyzed by </w:t>
      </w:r>
      <w:r w:rsidRPr="00990D3B">
        <w:t>subgroup</w:t>
      </w:r>
      <w:r w:rsidRPr="00990D3B">
        <w:t xml:space="preserve"> to assess gaps in care and differences in outcomes across populations. Subgroup analyses, such as stratifications and interaction testing, allow evaluators to uncover variations in program effectiveness and address potential </w:t>
      </w:r>
      <w:bookmarkStart w:id="1082" w:name="_Hlk196462897"/>
      <w:r w:rsidRPr="00990D3B">
        <w:t>differences in access, quality, and outcomes</w:t>
      </w:r>
      <w:bookmarkEnd w:id="1082"/>
      <w:r w:rsidRPr="00990D3B">
        <w:t xml:space="preserve">. Different metrics and analyses may need different subgroup approaches. When planning for subgroup analyses, consider key </w:t>
      </w:r>
      <w:hyperlink w:anchor="Box2n1" w:history="1">
        <w:r w:rsidRPr="00990D3B">
          <w:rPr>
            <w:rStyle w:val="Hyperlink"/>
          </w:rPr>
          <w:t>demographic and contextual variables, such as age</w:t>
        </w:r>
        <w:r w:rsidRPr="00990D3B" w:rsidR="00E3077F">
          <w:rPr>
            <w:rStyle w:val="Hyperlink"/>
          </w:rPr>
          <w:t xml:space="preserve"> and </w:t>
        </w:r>
        <w:r w:rsidRPr="00990D3B">
          <w:rPr>
            <w:rStyle w:val="Hyperlink"/>
          </w:rPr>
          <w:t>geography.</w:t>
        </w:r>
        <w:r>
          <w:rPr>
            <w:rStyle w:val="Hyperlink"/>
            <w:vertAlign w:val="superscript"/>
          </w:rPr>
          <w:footnoteReference w:id="137"/>
        </w:r>
        <w:r w:rsidRPr="00990D3B">
          <w:rPr>
            <w:rStyle w:val="Hyperlink"/>
          </w:rPr>
          <w:t xml:space="preserve"> Protocol 2, Box 2.1</w:t>
        </w:r>
      </w:hyperlink>
      <w:r w:rsidRPr="00990D3B">
        <w:rPr>
          <w:color w:val="1CA8B7"/>
        </w:rPr>
        <w:t xml:space="preserve"> </w:t>
      </w:r>
      <w:r w:rsidRPr="00990D3B">
        <w:t xml:space="preserve">shares considerations when stratifying performance metrics. </w:t>
      </w:r>
    </w:p>
    <w:p w:rsidR="0045391D" w:rsidRPr="00990D3B" w:rsidP="00666AC0" w14:paraId="1539619D" w14:textId="77777777">
      <w:pPr>
        <w:pStyle w:val="H4"/>
        <w:spacing w:before="0" w:after="240"/>
        <w:rPr>
          <w:rFonts w:ascii="Times New Roman" w:hAnsi="Times New Roman"/>
        </w:rPr>
      </w:pPr>
      <w:r w:rsidRPr="00990D3B">
        <w:t>Identifying and Addressing Limitations</w:t>
      </w:r>
    </w:p>
    <w:p w:rsidR="0045391D" w:rsidRPr="00990D3B" w:rsidP="00B5252D" w14:paraId="55627A82" w14:textId="77777777">
      <w:pPr>
        <w:pStyle w:val="ParagraphContinued"/>
      </w:pPr>
      <w:r w:rsidRPr="00990D3B">
        <w:t>Every evaluation has potential limitations. Recognizing them upfront provides opportunities to address their impact. The EQRO should identify these limitations during the analysis plan phase to ensure transparency and to develop effective mitigation strategies. These limitations may arise from various aspects of the evaluation process, including:</w:t>
      </w:r>
    </w:p>
    <w:p w:rsidR="0045391D" w:rsidRPr="00990D3B" w:rsidP="00FB7CAF" w14:paraId="3E02A917" w14:textId="77777777">
      <w:pPr>
        <w:pStyle w:val="EQRBulletBLUE"/>
        <w:rPr>
          <w:b/>
          <w:bCs/>
        </w:rPr>
      </w:pPr>
      <w:r w:rsidRPr="00990D3B">
        <w:rPr>
          <w:b/>
          <w:bCs/>
        </w:rPr>
        <w:t xml:space="preserve">Data collection process. </w:t>
      </w:r>
      <w:r w:rsidRPr="00990D3B">
        <w:t>Limitations may arise from incomplete data, delays in reporting, or inconsistencies across data sources. Mitigation strategies include validating evaluation data and metrics calculations, supplementing gaps with secondary data sources, and adjusting timelines to account for data availability.</w:t>
      </w:r>
      <w:r w:rsidRPr="00990D3B">
        <w:rPr>
          <w:b/>
          <w:bCs/>
        </w:rPr>
        <w:t xml:space="preserve"> </w:t>
      </w:r>
    </w:p>
    <w:p w:rsidR="0045391D" w:rsidRPr="00990D3B" w:rsidP="00FB7CAF" w14:paraId="071DA55C" w14:textId="4C952E10">
      <w:pPr>
        <w:pStyle w:val="EQRBulletBLUE"/>
        <w:rPr>
          <w:b/>
          <w:bCs/>
        </w:rPr>
      </w:pPr>
      <w:r w:rsidRPr="00990D3B">
        <w:rPr>
          <w:b/>
          <w:bCs/>
        </w:rPr>
        <w:t xml:space="preserve">Metrics. </w:t>
      </w:r>
      <w:r w:rsidRPr="00990D3B">
        <w:t>Some initiatives, interventions, or policies may not align well with existing, standardized quality metrics, particularly when evaluating newer service types (e.g., emergency medical transport, peer support services). In these cases, states and EQROs may need to rely on proxy measures, adapt existing metrics, or develop custom metrics to capture the intended effects. When doing so, it's important to clearly explain the rationale, acknowledge any measurement limitations, and, where possible, supplement with additional data sources or qualitative insights to strengthen interpretation</w:t>
      </w:r>
      <w:r w:rsidRPr="00990D3B">
        <w:rPr>
          <w:b/>
          <w:bCs/>
        </w:rPr>
        <w:t xml:space="preserve">. </w:t>
      </w:r>
    </w:p>
    <w:p w:rsidR="0045391D" w:rsidRPr="00990D3B" w:rsidP="00FB7CAF" w14:paraId="175D7146" w14:textId="77777777">
      <w:pPr>
        <w:pStyle w:val="EQRBulletBLUE"/>
        <w:rPr>
          <w:b/>
          <w:bCs/>
        </w:rPr>
      </w:pPr>
      <w:r w:rsidRPr="00990D3B">
        <w:rPr>
          <w:b/>
          <w:bCs/>
        </w:rPr>
        <w:t xml:space="preserve">Methodological approach. </w:t>
      </w:r>
      <w:r w:rsidRPr="00990D3B">
        <w:t xml:space="preserve">Evaluation design and analytic techniques may have inherent limitations, such as an inability to </w:t>
      </w:r>
      <w:r w:rsidRPr="00990D3B">
        <w:t>control for</w:t>
      </w:r>
      <w:r w:rsidRPr="00990D3B">
        <w:t xml:space="preserve"> all confounding variables or the lack of causal inference in certain designs. To minimize these challenges, EQROs can supplement quantitative analysis with qualitative insights or use sensitivity analyses to assess robustness.</w:t>
      </w:r>
      <w:r>
        <w:rPr>
          <w:rStyle w:val="FootnoteReference"/>
          <w:rFonts w:ascii="Times New Roman" w:hAnsi="Times New Roman"/>
          <w:szCs w:val="24"/>
        </w:rPr>
        <w:footnoteReference w:id="138"/>
      </w:r>
    </w:p>
    <w:p w:rsidR="0045391D" w:rsidRPr="00990D3B" w:rsidP="00666AC0" w14:paraId="76CF3C67" w14:textId="720FD695">
      <w:pPr>
        <w:rPr>
          <w:rFonts w:ascii="Times New Roman" w:hAnsi="Times New Roman"/>
          <w:szCs w:val="24"/>
        </w:rPr>
      </w:pPr>
      <w:hyperlink w:anchor="Box11n10" w:history="1">
        <w:r w:rsidRPr="00990D3B">
          <w:rPr>
            <w:rStyle w:val="Hyperlink"/>
            <w:rFonts w:ascii="Times New Roman" w:hAnsi="Times New Roman"/>
            <w:szCs w:val="24"/>
          </w:rPr>
          <w:t>Box 11.10</w:t>
        </w:r>
      </w:hyperlink>
      <w:r w:rsidRPr="00990D3B">
        <w:rPr>
          <w:rFonts w:ascii="Times New Roman" w:hAnsi="Times New Roman"/>
          <w:color w:val="1CA8B7"/>
          <w:szCs w:val="24"/>
        </w:rPr>
        <w:t xml:space="preserve"> </w:t>
      </w:r>
      <w:r w:rsidRPr="00990D3B">
        <w:rPr>
          <w:rFonts w:ascii="Times New Roman" w:hAnsi="Times New Roman"/>
          <w:szCs w:val="24"/>
        </w:rPr>
        <w:t xml:space="preserve">includes specific considerations for SDPs, and </w:t>
      </w:r>
      <w:hyperlink w:anchor="Box11n11" w:history="1">
        <w:r w:rsidRPr="00990D3B">
          <w:rPr>
            <w:rStyle w:val="Hyperlink"/>
            <w:rFonts w:ascii="Times New Roman" w:hAnsi="Times New Roman"/>
            <w:szCs w:val="24"/>
          </w:rPr>
          <w:t>Box 11.11</w:t>
        </w:r>
      </w:hyperlink>
      <w:r w:rsidR="003B2073">
        <w:t xml:space="preserve"> (next page)</w:t>
      </w:r>
      <w:r w:rsidRPr="00990D3B">
        <w:rPr>
          <w:rFonts w:ascii="Times New Roman" w:hAnsi="Times New Roman"/>
          <w:color w:val="1CA8B7"/>
          <w:szCs w:val="24"/>
        </w:rPr>
        <w:t xml:space="preserve"> </w:t>
      </w:r>
      <w:r w:rsidRPr="00990D3B">
        <w:rPr>
          <w:rFonts w:ascii="Times New Roman" w:hAnsi="Times New Roman"/>
          <w:szCs w:val="24"/>
        </w:rPr>
        <w:t>includes specific considerations for ILOS.</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2F2BFFAF" w14:textId="77777777" w:rsidTr="00666AC0">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4203"/>
        </w:trPr>
        <w:tc>
          <w:tcPr>
            <w:tcW w:w="9314" w:type="dxa"/>
            <w:shd w:val="clear" w:color="auto" w:fill="EEF5F8"/>
          </w:tcPr>
          <w:p w:rsidR="0045391D" w:rsidRPr="00990D3B" w:rsidP="00666AC0" w14:paraId="074D418B" w14:textId="453E2AEF">
            <w:pPr>
              <w:pStyle w:val="EQRTextboxheading"/>
              <w:keepNext/>
            </w:pPr>
            <w:bookmarkStart w:id="1083" w:name="Box11n10"/>
            <w:bookmarkEnd w:id="1083"/>
            <w:r w:rsidRPr="00990D3B">
              <w:t>Box 11.10. Considerations for Developing SDP Analysis Plans</w:t>
            </w:r>
          </w:p>
          <w:p w:rsidR="0045391D" w:rsidRPr="00990D3B" w:rsidP="00666AC0" w14:paraId="39D82A5E" w14:textId="77777777">
            <w:pPr>
              <w:pStyle w:val="EQRTextboxbody"/>
            </w:pPr>
            <w:r w:rsidRPr="00990D3B">
              <w:t>Since services and providers are at the core of an SDP, it is crucial to consider how providers participating in the payment arrangement impact the analysis plan. Key considerations include:</w:t>
            </w:r>
          </w:p>
          <w:p w:rsidR="0045391D" w:rsidRPr="00990D3B" w:rsidP="00666AC0" w14:paraId="34DE2CD2" w14:textId="77777777">
            <w:pPr>
              <w:pStyle w:val="EQRTextboxbody"/>
            </w:pPr>
            <w:r w:rsidRPr="00990D3B">
              <w:rPr>
                <w:b/>
                <w:bCs/>
              </w:rPr>
              <w:t xml:space="preserve">Provider participation. </w:t>
            </w:r>
            <w:r w:rsidRPr="00990D3B">
              <w:t>The analysis should limit the data to providers participating in the SDP to ensure findings reflect the intervention’s direct impact. Including non-participating providers may dilute the analysis or introduce confounding factors.</w:t>
            </w:r>
          </w:p>
          <w:p w:rsidR="0045391D" w:rsidRPr="00990D3B" w:rsidP="00666AC0" w14:paraId="4A6A3181" w14:textId="77777777">
            <w:pPr>
              <w:pStyle w:val="EQRTextboxbody"/>
            </w:pPr>
            <w:r w:rsidRPr="00990D3B">
              <w:rPr>
                <w:b/>
                <w:bCs/>
              </w:rPr>
              <w:t xml:space="preserve">Level of evaluation. </w:t>
            </w:r>
            <w:r w:rsidRPr="00990D3B">
              <w:t xml:space="preserve">SDPs operate at different levels depending on their scope, which impacts the analysis plan. </w:t>
            </w:r>
          </w:p>
          <w:p w:rsidR="0045391D" w:rsidRPr="00990D3B" w:rsidP="00F66EEB" w14:paraId="66FA0B10" w14:textId="77777777">
            <w:pPr>
              <w:pStyle w:val="EQRTextboxbullet"/>
            </w:pPr>
            <w:r w:rsidRPr="00990D3B">
              <w:rPr>
                <w:b/>
                <w:bCs/>
              </w:rPr>
              <w:t xml:space="preserve">State-level SDPs. </w:t>
            </w:r>
            <w:r w:rsidRPr="00990D3B">
              <w:t>If all providers in the state participate in the SDP, the analysis plan should focus on statewide outcomes and trends.</w:t>
            </w:r>
          </w:p>
          <w:p w:rsidR="0045391D" w:rsidRPr="00990D3B" w:rsidP="00F66EEB" w14:paraId="21873F8E" w14:textId="77777777">
            <w:pPr>
              <w:pStyle w:val="EQRTextboxbullet"/>
            </w:pPr>
            <w:r w:rsidRPr="00990D3B">
              <w:rPr>
                <w:b/>
                <w:bCs/>
              </w:rPr>
              <w:t>Provider-specific SDPs.</w:t>
            </w:r>
            <w:r w:rsidRPr="00990D3B">
              <w:t xml:space="preserve"> If the SDP targets a specific subset of providers (e.g., rural hospitals), the analysis plan should focus exclusively on that group, comparing their outcomes before and after SDP implementation or against non-participating providers.</w:t>
            </w:r>
          </w:p>
          <w:p w:rsidR="0045391D" w:rsidRPr="00990D3B" w:rsidP="00666AC0" w14:paraId="5C9DDCC9" w14:textId="77777777">
            <w:pPr>
              <w:pStyle w:val="EQRTextboxbody"/>
            </w:pPr>
            <w:r w:rsidRPr="00990D3B">
              <w:rPr>
                <w:b/>
                <w:bCs/>
              </w:rPr>
              <w:t xml:space="preserve">Types of providers and services included.  </w:t>
            </w:r>
            <w:r w:rsidRPr="00990D3B">
              <w:t>When SDPs include diverse provider types (e.g., hospitals, clinics, specialists), ensure that the analysis plan incorporates measures relevant to each provider type and/or service category. Rarely will a single measure apply meaningfully across all types of providers, so the evaluation may require using different metrics tailored to specific settings or services to accurately assess impact.</w:t>
            </w:r>
          </w:p>
        </w:tc>
      </w:tr>
    </w:tbl>
    <w:p w:rsidR="0045391D" w:rsidRPr="00990D3B" w:rsidP="00666AC0" w14:paraId="45FCAF4C" w14:textId="77777777">
      <w:pPr>
        <w:pStyle w:val="Paragraph0"/>
        <w:spacing w:after="0" w:line="240" w:lineRule="auto"/>
      </w:pPr>
    </w:p>
    <w:tbl>
      <w:tblPr>
        <w:tblStyle w:val="TableGrid"/>
        <w:tblpPr w:leftFromText="180" w:rightFromText="180" w:vertAnchor="text" w:horzAnchor="margin" w:tblpY="241"/>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508A102F" w14:textId="77777777" w:rsidTr="00666AC0">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603"/>
        </w:trPr>
        <w:tc>
          <w:tcPr>
            <w:tcW w:w="9314" w:type="dxa"/>
            <w:shd w:val="clear" w:color="auto" w:fill="EEF5F8"/>
          </w:tcPr>
          <w:p w:rsidR="0045391D" w:rsidRPr="00990D3B" w:rsidP="00666AC0" w14:paraId="09DDBE78" w14:textId="77777777">
            <w:pPr>
              <w:pStyle w:val="EQRTextboxheading"/>
              <w:keepNext/>
            </w:pPr>
            <w:bookmarkStart w:id="1084" w:name="Box11n11"/>
            <w:bookmarkEnd w:id="1084"/>
            <w:r w:rsidRPr="00990D3B">
              <w:t xml:space="preserve">Box 11.11. Considerations for Developing ILOS Analysis Plans </w:t>
            </w:r>
          </w:p>
          <w:p w:rsidR="0045391D" w:rsidRPr="00990D3B" w:rsidP="00666AC0" w14:paraId="1AE0BC7D" w14:textId="7AE209ED">
            <w:pPr>
              <w:pStyle w:val="EQRTextboxbody"/>
              <w:keepNext/>
            </w:pPr>
            <w:r w:rsidRPr="00990D3B">
              <w:t xml:space="preserve">Because ILOS services complement other Medicaid services or community-based interventions, isolating their specific impact can be challenging. Overlaps with </w:t>
            </w:r>
            <w:r w:rsidRPr="00990D3B" w:rsidR="001052B8">
              <w:t>transportation</w:t>
            </w:r>
            <w:r w:rsidRPr="00990D3B">
              <w:t xml:space="preserve"> assistance or case management programs can make it difficult to determine which intervention drives observed changes. Addressing these challenges requires that analysis plans accurately reflect the unique contribution of ILOS services within the broader Medicaid ecosystem.</w:t>
            </w:r>
          </w:p>
          <w:p w:rsidR="0045391D" w:rsidRPr="00990D3B" w:rsidP="00666AC0" w14:paraId="3AABD869" w14:textId="77777777">
            <w:pPr>
              <w:pStyle w:val="EQRTextboxbody"/>
              <w:keepNext/>
            </w:pPr>
            <w:r w:rsidRPr="00990D3B">
              <w:t>When developing ILOS analysis plans, consider the following:</w:t>
            </w:r>
          </w:p>
          <w:p w:rsidR="0045391D" w:rsidRPr="00990D3B" w:rsidP="00F66EEB" w14:paraId="6D99F52E" w14:textId="77AA97CF">
            <w:pPr>
              <w:pStyle w:val="EQRTextboxbullet"/>
            </w:pPr>
            <w:r w:rsidRPr="00990D3B">
              <w:rPr>
                <w:b/>
                <w:bCs/>
              </w:rPr>
              <w:t xml:space="preserve">Identify overlapping programs. </w:t>
            </w:r>
            <w:r w:rsidRPr="00990D3B">
              <w:t xml:space="preserve">Catalog other Medicaid services, state initiatives, or community programs that may serve the same population or address similar goals as the ILOS under evaluation. In these cases, ILOS services may enhance the effectiveness of other interventions, resulting in combined impacts that exceed individual program effects. For example, a </w:t>
            </w:r>
            <w:r w:rsidRPr="00990D3B" w:rsidR="001052B8">
              <w:t>transportation</w:t>
            </w:r>
            <w:r w:rsidRPr="00990D3B">
              <w:t xml:space="preserve"> ILOS might amplify the success of case management programs already in place. ILOS analysis plans should account for these overlapping programs by incorporating methods to adjust for their influence, such as using statistical controls to disentangle their effects from </w:t>
            </w:r>
            <w:r w:rsidRPr="00990D3B">
              <w:t>the ILOS’s</w:t>
            </w:r>
            <w:r w:rsidRPr="00990D3B">
              <w:t xml:space="preserve"> impact. See the Evaluation Methodology section and </w:t>
            </w:r>
            <w:hyperlink w:anchor="Table11n3" w:tooltip="Table 11.3" w:history="1">
              <w:r w:rsidRPr="00990D3B">
                <w:rPr>
                  <w:rStyle w:val="Hyperlink"/>
                </w:rPr>
                <w:t>Table 11.3</w:t>
              </w:r>
            </w:hyperlink>
            <w:r w:rsidRPr="00990D3B">
              <w:t xml:space="preserve"> for more information on methods that can be used to account for overlapping program effects.</w:t>
            </w:r>
          </w:p>
          <w:p w:rsidR="0045391D" w:rsidRPr="00990D3B" w:rsidP="00F66EEB" w14:paraId="465FD907" w14:textId="77777777">
            <w:pPr>
              <w:pStyle w:val="EQRTextboxbullet"/>
            </w:pPr>
            <w:r w:rsidRPr="00990D3B">
              <w:rPr>
                <w:b/>
                <w:bCs/>
              </w:rPr>
              <w:t xml:space="preserve">Control for confounding variables. </w:t>
            </w:r>
            <w:r w:rsidRPr="00990D3B">
              <w:t xml:space="preserve">Apply statistical techniques, such as regression analysis, to adjust for external factors that may independently influence outcomes. These factors might include geographic location, demographic differences, or variations in baseline health status. </w:t>
            </w:r>
            <w:r w:rsidRPr="00990D3B">
              <w:t>Controlling for</w:t>
            </w:r>
            <w:r w:rsidRPr="00990D3B">
              <w:t xml:space="preserve"> these variables ensures a more accurate assessment of the ILOS’s impact. </w:t>
            </w:r>
          </w:p>
          <w:p w:rsidR="0045391D" w:rsidRPr="00990D3B" w:rsidP="00F66EEB" w14:paraId="6615A9FF" w14:textId="77777777">
            <w:pPr>
              <w:pStyle w:val="EQRTextboxbullet"/>
            </w:pPr>
            <w:r w:rsidRPr="00990D3B">
              <w:rPr>
                <w:b/>
                <w:bCs/>
              </w:rPr>
              <w:t xml:space="preserve">Employ comparisons. </w:t>
            </w:r>
            <w:r w:rsidRPr="00990D3B">
              <w:t xml:space="preserve">Use comparison groups that differ only in their access to the ILOS to better isolate ILOS effects. For example, compare outcomes for enrollees in MCPs offering the ILOS with those in MCPs that do not. In </w:t>
            </w:r>
            <w:r w:rsidRPr="00990D3B">
              <w:t>a transportation</w:t>
            </w:r>
            <w:r w:rsidRPr="00990D3B">
              <w:t xml:space="preserve"> ILOS, the analysis plan might include a comparison of missed appointment rates between MCPs offering the ILOS service and those using traditional Medicaid transportation benefits. See the Evaluation Methodology </w:t>
            </w:r>
            <w:r w:rsidRPr="00990D3B">
              <w:t>section</w:t>
            </w:r>
            <w:r w:rsidRPr="00990D3B">
              <w:t xml:space="preserve"> and Table 11.3 for more information on methods that can be used to employ comparisons. </w:t>
            </w:r>
          </w:p>
          <w:p w:rsidR="0045391D" w:rsidRPr="00990D3B" w:rsidP="00F66EEB" w14:paraId="68278E46" w14:textId="77777777">
            <w:pPr>
              <w:pStyle w:val="EQRTextboxbullet"/>
            </w:pPr>
            <w:r w:rsidRPr="00990D3B">
              <w:rPr>
                <w:b/>
                <w:bCs/>
              </w:rPr>
              <w:t xml:space="preserve">Conduct qualitative assessments. </w:t>
            </w:r>
            <w:r w:rsidRPr="00990D3B">
              <w:t xml:space="preserve">Collect qualitative data from enrollees or providers to understand their perceptions of ILOS services and how these services interact with other interventions. These insights provide essential context for quantitative findings and can help address challenges with attributing improvements to the ILOS versus overlapping programs. </w:t>
            </w:r>
          </w:p>
        </w:tc>
      </w:tr>
    </w:tbl>
    <w:p w:rsidR="0045391D" w:rsidRPr="00990D3B" w:rsidP="00FB7CAF" w14:paraId="5B9BC579" w14:textId="77777777">
      <w:pPr>
        <w:pStyle w:val="EQRBulletBLUE"/>
        <w:numPr>
          <w:ilvl w:val="0"/>
          <w:numId w:val="0"/>
        </w:numPr>
      </w:pPr>
    </w:p>
    <w:p w:rsidR="0045391D" w:rsidRPr="00990D3B" w:rsidP="00666AC0" w14:paraId="01F38A1A" w14:textId="77777777">
      <w:pPr>
        <w:pStyle w:val="H4"/>
        <w:spacing w:before="0" w:after="240"/>
      </w:pPr>
      <w:r w:rsidRPr="00990D3B">
        <w:t xml:space="preserve">Develop a Timeline for Evaluation Activities </w:t>
      </w:r>
    </w:p>
    <w:p w:rsidR="0045391D" w:rsidRPr="00990D3B" w:rsidP="00F66EEB" w14:paraId="7705C46F" w14:textId="53DFE70B">
      <w:pPr>
        <w:pStyle w:val="ParagraphContinued"/>
      </w:pPr>
      <w:r w:rsidRPr="00990D3B">
        <w:t xml:space="preserve">Finally, the analysis plan should include a timeline for each evaluation activity. The timeline should outline key milestones and activities that help ensure the evaluation proceeds systematically and stays on track. Key activities typically include partner engagement, data collection, analysis, and reporting. </w:t>
      </w:r>
      <w:hyperlink w:anchor="Box11n12" w:tooltip="Box 11.12" w:history="1">
        <w:r w:rsidRPr="00990D3B">
          <w:rPr>
            <w:rStyle w:val="Hyperlink"/>
          </w:rPr>
          <w:t>Box 11.12</w:t>
        </w:r>
      </w:hyperlink>
      <w:r w:rsidRPr="00990D3B">
        <w:rPr>
          <w:color w:val="1CA8B7"/>
        </w:rPr>
        <w:t xml:space="preserve"> </w:t>
      </w:r>
      <w:r w:rsidRPr="00990D3B">
        <w:t xml:space="preserve">includes additional information on partner engagement. </w:t>
      </w:r>
    </w:p>
    <w:tbl>
      <w:tblPr>
        <w:tblStyle w:val="TableGrid"/>
        <w:tblpPr w:leftFromText="187" w:rightFromText="187" w:vertAnchor="text" w:horzAnchor="margin" w:tblpXSpec="right" w:tblpY="1"/>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6A248441" w14:textId="77777777" w:rsidTr="00666AC0">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Height w:val="963"/>
        </w:trPr>
        <w:tc>
          <w:tcPr>
            <w:tcW w:w="9314" w:type="dxa"/>
            <w:shd w:val="clear" w:color="auto" w:fill="EEF5F8"/>
          </w:tcPr>
          <w:p w:rsidR="0045391D" w:rsidRPr="00990D3B" w:rsidP="00666AC0" w14:paraId="334DD0FC" w14:textId="77777777">
            <w:pPr>
              <w:pStyle w:val="EQRTextboxheading"/>
              <w:keepNext/>
            </w:pPr>
            <w:bookmarkStart w:id="1085" w:name="Box11n12"/>
            <w:bookmarkEnd w:id="1085"/>
            <w:r w:rsidRPr="00990D3B">
              <w:t xml:space="preserve">Box 11.12. Engaging Partners in Analysis Plans   </w:t>
            </w:r>
          </w:p>
          <w:p w:rsidR="0045391D" w:rsidRPr="00990D3B" w:rsidP="00666AC0" w14:paraId="4B572B4A" w14:textId="77777777">
            <w:pPr>
              <w:pStyle w:val="EQRTextboxbody"/>
              <w:rPr>
                <w:rFonts w:asciiTheme="majorHAnsi" w:hAnsiTheme="majorHAnsi" w:cstheme="majorHAnsi"/>
              </w:rPr>
            </w:pPr>
            <w:r w:rsidRPr="00990D3B">
              <w:rPr>
                <w:rFonts w:asciiTheme="majorHAnsi" w:hAnsiTheme="majorHAnsi" w:cstheme="majorHAnsi"/>
                <w:szCs w:val="24"/>
              </w:rPr>
              <w:t xml:space="preserve">Engaging partners—such as other state agencies, MCPs, providers, and other relevant entities—in planning analysis promotes transparency, collaboration, and shared accountability in </w:t>
            </w:r>
            <w:r w:rsidRPr="00990D3B">
              <w:rPr>
                <w:rFonts w:asciiTheme="majorHAnsi" w:hAnsiTheme="majorHAnsi" w:cstheme="majorHAnsi"/>
                <w:color w:val="00559D" w:themeColor="text2"/>
                <w:szCs w:val="24"/>
              </w:rPr>
              <w:t xml:space="preserve">managed </w:t>
            </w:r>
            <w:r w:rsidRPr="00990D3B">
              <w:rPr>
                <w:rFonts w:asciiTheme="majorHAnsi" w:hAnsiTheme="majorHAnsi" w:cstheme="majorHAnsi"/>
                <w:szCs w:val="24"/>
              </w:rPr>
              <w:t>care quality improvement. Partners can be engaged throughout the evaluation process. Engaging partners early in the process enables them to contribute to the evaluation design, data collection methods, and metric selection, ensuring the evaluation reflects practical considerations and shared priorities. Later in the process, partner engagement can support understanding the data, findings, and actionable recommendations, fostering buy-in and alignment with quality improvement goals.</w:t>
            </w:r>
          </w:p>
        </w:tc>
      </w:tr>
    </w:tbl>
    <w:p w:rsidR="0045391D" w:rsidRPr="00990D3B" w:rsidP="00666AC0" w14:paraId="15F2B1AB" w14:textId="77777777">
      <w:pPr>
        <w:spacing w:before="100" w:beforeAutospacing="1" w:after="100" w:afterAutospacing="1" w:line="240" w:lineRule="auto"/>
        <w:rPr>
          <w:rFonts w:ascii="Times New Roman" w:hAnsi="Times New Roman"/>
          <w:b/>
          <w:bCs/>
          <w:szCs w:val="24"/>
        </w:rPr>
      </w:pPr>
    </w:p>
    <w:p w:rsidR="0045391D" w:rsidRPr="00990D3B" w:rsidP="00666AC0" w14:paraId="1A96B0DC" w14:textId="77777777">
      <w:pPr>
        <w:pStyle w:val="H2"/>
      </w:pPr>
      <w:bookmarkStart w:id="1086" w:name="P11A2"/>
      <w:bookmarkStart w:id="1087" w:name="_Toc201751457"/>
      <w:bookmarkEnd w:id="1086"/>
      <w:r w:rsidRPr="00990D3B">
        <w:t>Activity 2: Conduct the Evaluation</w:t>
      </w:r>
      <w:bookmarkEnd w:id="1087"/>
    </w:p>
    <w:p w:rsidR="0045391D" w:rsidRPr="00990D3B" w:rsidP="00F66EEB" w14:paraId="220BA331" w14:textId="77777777">
      <w:pPr>
        <w:pStyle w:val="ParagraphContinued"/>
      </w:pPr>
      <w:r w:rsidRPr="00990D3B">
        <w:t xml:space="preserve">Activity 2 focuses on implementing the evaluation plan. </w:t>
      </w:r>
    </w:p>
    <w:p w:rsidR="0045391D" w:rsidRPr="00990D3B" w:rsidP="00666AC0" w14:paraId="33805C47" w14:textId="77777777">
      <w:pPr>
        <w:pStyle w:val="H3"/>
      </w:pPr>
      <w:r w:rsidRPr="00990D3B">
        <w:t xml:space="preserve">Step </w:t>
      </w:r>
      <w:r w:rsidRPr="00990D3B">
        <w:t>1</w:t>
      </w:r>
      <w:r w:rsidRPr="00990D3B">
        <w:t xml:space="preserve">: </w:t>
      </w:r>
      <w:r w:rsidRPr="00990D3B">
        <w:t xml:space="preserve">Calculate Evaluation Metrics </w:t>
      </w:r>
    </w:p>
    <w:p w:rsidR="0045391D" w:rsidRPr="00990D3B" w:rsidP="00F66EEB" w14:paraId="5E60E296" w14:textId="77777777">
      <w:pPr>
        <w:pStyle w:val="ParagraphContinued"/>
      </w:pPr>
      <w:r w:rsidRPr="00990D3B">
        <w:t xml:space="preserve">The EQRO calculates the </w:t>
      </w:r>
      <w:r w:rsidRPr="00990D3B">
        <w:rPr>
          <w:rFonts w:cstheme="minorBidi"/>
        </w:rPr>
        <w:t>metrics</w:t>
      </w:r>
      <w:r w:rsidRPr="00990D3B">
        <w:t xml:space="preserve"> needed for the evaluation, which involves three steps (1) data collection, (2) data validation, and (3) metric calculation. In some cases, MCPs, the EQRO, or other partners may have already calculated some </w:t>
      </w:r>
      <w:r w:rsidRPr="00990D3B">
        <w:rPr>
          <w:rFonts w:cstheme="minorBidi"/>
        </w:rPr>
        <w:t>metrics</w:t>
      </w:r>
      <w:r w:rsidRPr="00990D3B">
        <w:t xml:space="preserve"> as part of routine monitoring, EQR activities, required reporting, or other evaluations. The EQRO should work with the state to identify when this is the case and create a plan for receiving, storing, reviewing, and validating the data as needed. </w:t>
      </w:r>
    </w:p>
    <w:p w:rsidR="0045391D" w:rsidRPr="00990D3B" w:rsidP="00666AC0" w14:paraId="45E189AE" w14:textId="77777777">
      <w:pPr>
        <w:pStyle w:val="H4"/>
        <w:spacing w:before="0" w:after="240"/>
        <w:rPr>
          <w:rFonts w:ascii="Times New Roman" w:hAnsi="Times New Roman"/>
          <w:szCs w:val="24"/>
        </w:rPr>
      </w:pPr>
      <w:r w:rsidRPr="00990D3B">
        <w:t>Collecting the data</w:t>
      </w:r>
    </w:p>
    <w:p w:rsidR="0045391D" w:rsidRPr="00990D3B" w:rsidP="00F66EEB" w14:paraId="786BB558" w14:textId="645850E1">
      <w:pPr>
        <w:pStyle w:val="ParagraphContinued"/>
      </w:pPr>
      <w:r w:rsidRPr="00990D3B">
        <w:t>For m</w:t>
      </w:r>
      <w:r w:rsidRPr="00990D3B">
        <w:rPr>
          <w:rFonts w:cstheme="minorBidi"/>
        </w:rPr>
        <w:t>etrics</w:t>
      </w:r>
      <w:r w:rsidRPr="00990D3B">
        <w:t xml:space="preserve"> that have not been </w:t>
      </w:r>
      <w:r w:rsidRPr="00990D3B">
        <w:t>calculated,</w:t>
      </w:r>
      <w:r w:rsidRPr="00990D3B">
        <w:t xml:space="preserve"> require additional stratification, or need to be calculated at a different level (e.g., at the MCP-level instead of the state-level), the EQRO should collect the necessary data. Refer to </w:t>
      </w:r>
      <w:hyperlink w:anchor="P6AI1" w:tooltip="Protocol 6, Activity 1" w:history="1">
        <w:r w:rsidRPr="00990D3B">
          <w:rPr>
            <w:rStyle w:val="Hyperlink"/>
          </w:rPr>
          <w:t>Protocol 6, Activity 1</w:t>
        </w:r>
      </w:hyperlink>
      <w:r w:rsidRPr="00990D3B">
        <w:rPr>
          <w:color w:val="1CA8B7"/>
        </w:rPr>
        <w:t xml:space="preserve"> </w:t>
      </w:r>
      <w:r w:rsidRPr="00990D3B">
        <w:t xml:space="preserve">for guidance on administering surveys. </w:t>
      </w:r>
      <w:hyperlink w:anchor="P7A1" w:history="1">
        <w:r w:rsidRPr="00990D3B">
          <w:rPr>
            <w:rStyle w:val="Hyperlink"/>
          </w:rPr>
          <w:t>Protocols 7, Activity 1</w:t>
        </w:r>
      </w:hyperlink>
      <w:r w:rsidRPr="00A3358C">
        <w:rPr>
          <w:color w:val="005968"/>
        </w:rPr>
        <w:t xml:space="preserve">, </w:t>
      </w:r>
      <w:r w:rsidRPr="00990D3B">
        <w:t xml:space="preserve">and </w:t>
      </w:r>
      <w:hyperlink w:anchor="P9A5" w:tooltip="Protocol 9, Activity 5" w:history="1">
        <w:r w:rsidRPr="00990D3B" w:rsidR="00E12696">
          <w:rPr>
            <w:rStyle w:val="Hyperlink"/>
          </w:rPr>
          <w:t>Protocol 9, Activity 5</w:t>
        </w:r>
      </w:hyperlink>
      <w:r w:rsidRPr="00990D3B">
        <w:rPr>
          <w:color w:val="1CA8B7"/>
        </w:rPr>
        <w:t xml:space="preserve"> </w:t>
      </w:r>
      <w:r w:rsidRPr="00990D3B">
        <w:t xml:space="preserve">also share guidance on collecting data and preparing for measurement and may be helpful to review.  </w:t>
      </w:r>
    </w:p>
    <w:p w:rsidR="0045391D" w:rsidRPr="00990D3B" w:rsidP="00666AC0" w14:paraId="5718E8B4" w14:textId="77777777">
      <w:pPr>
        <w:pStyle w:val="H4"/>
        <w:spacing w:before="0" w:after="240"/>
        <w:rPr>
          <w:rFonts w:ascii="Times New Roman" w:hAnsi="Times New Roman"/>
          <w:szCs w:val="24"/>
        </w:rPr>
      </w:pPr>
      <w:r w:rsidRPr="00990D3B">
        <w:t>Validating data</w:t>
      </w:r>
    </w:p>
    <w:p w:rsidR="0045391D" w:rsidRPr="00990D3B" w:rsidP="00666AC0" w14:paraId="71A4256B" w14:textId="05D45E95">
      <w:r w:rsidRPr="00990D3B">
        <w:t xml:space="preserve">Once the EQRO has obtained the data, it must ensure that the data are accurate, complete, and ready for calculation. This process includes </w:t>
      </w:r>
      <w:r w:rsidRPr="00990D3B">
        <w:t>checking for</w:t>
      </w:r>
      <w:r w:rsidRPr="00990D3B">
        <w:t xml:space="preserve"> errors or gaps, such as missing values or duplicates, and standardizing the data by aligning formats, coding, and variable definitions across data sources. Refer to </w:t>
      </w:r>
      <w:hyperlink w:anchor="Protocol5" w:tooltip="Protocol 5" w:history="1">
        <w:r w:rsidRPr="00990D3B">
          <w:rPr>
            <w:rStyle w:val="Hyperlink"/>
          </w:rPr>
          <w:t>Protocol 5</w:t>
        </w:r>
      </w:hyperlink>
      <w:r w:rsidRPr="00990D3B">
        <w:rPr>
          <w:color w:val="00828C" w:themeColor="accent1"/>
        </w:rPr>
        <w:t xml:space="preserve"> </w:t>
      </w:r>
      <w:r w:rsidRPr="00990D3B">
        <w:t xml:space="preserve">for additional guidance on validating encounter data, </w:t>
      </w:r>
      <w:hyperlink w:anchor="P6Sec2" w:tooltip="Protocol 6, Section II" w:history="1">
        <w:r w:rsidRPr="00990D3B">
          <w:rPr>
            <w:rStyle w:val="Hyperlink"/>
          </w:rPr>
          <w:t>Protocol 6, Section II</w:t>
        </w:r>
      </w:hyperlink>
      <w:r w:rsidRPr="00990D3B">
        <w:rPr>
          <w:color w:val="1CA8B7"/>
        </w:rPr>
        <w:t xml:space="preserve"> </w:t>
      </w:r>
      <w:r w:rsidRPr="00990D3B">
        <w:t xml:space="preserve">for additional guidance on validating survey data, and </w:t>
      </w:r>
      <w:hyperlink w:anchor="AppB" w:tooltip="Appendix B" w:history="1">
        <w:r w:rsidRPr="00990D3B">
          <w:rPr>
            <w:rStyle w:val="Hyperlink"/>
          </w:rPr>
          <w:t>Appendix B</w:t>
        </w:r>
      </w:hyperlink>
      <w:r w:rsidRPr="00990D3B">
        <w:rPr>
          <w:color w:val="1CA8B7"/>
        </w:rPr>
        <w:t xml:space="preserve"> </w:t>
      </w:r>
      <w:r w:rsidRPr="00990D3B">
        <w:t>for more guidance on evaluating the reliability of information systems supporting data collection and</w:t>
      </w:r>
      <w:r w:rsidRPr="00990D3B" w:rsidR="005614FC">
        <w:t> </w:t>
      </w:r>
      <w:r w:rsidRPr="00990D3B">
        <w:t xml:space="preserve">reporting. </w:t>
      </w:r>
    </w:p>
    <w:p w:rsidR="0045391D" w:rsidRPr="00990D3B" w:rsidP="00666AC0" w14:paraId="413C6684" w14:textId="77777777">
      <w:pPr>
        <w:pStyle w:val="H4"/>
        <w:rPr>
          <w:rFonts w:ascii="Times New Roman" w:hAnsi="Times New Roman"/>
          <w:szCs w:val="24"/>
        </w:rPr>
      </w:pPr>
      <w:r w:rsidRPr="00990D3B">
        <w:t xml:space="preserve">Calculating </w:t>
      </w:r>
      <w:r w:rsidRPr="00990D3B">
        <w:rPr>
          <w:rFonts w:cstheme="minorHAnsi"/>
          <w:szCs w:val="24"/>
        </w:rPr>
        <w:t>metrics</w:t>
      </w:r>
    </w:p>
    <w:p w:rsidR="0045391D" w:rsidRPr="00990D3B" w:rsidP="00666AC0" w14:paraId="4535BE7A" w14:textId="244F48B9">
      <w:pPr>
        <w:pStyle w:val="Paragraph0"/>
      </w:pPr>
      <w:r w:rsidRPr="00990D3B">
        <w:t xml:space="preserve">Lastly, after ensuring the data’s readiness, the EQRO calculates the </w:t>
      </w:r>
      <w:r w:rsidRPr="00990D3B">
        <w:rPr>
          <w:rFonts w:cstheme="minorBidi"/>
        </w:rPr>
        <w:t>metrics</w:t>
      </w:r>
      <w:r w:rsidRPr="00990D3B">
        <w:t xml:space="preserve"> based on specifications confirmed by the state. The EQRO should calculate performance for the baseline period first, then calculate the re-measurement period(s). </w:t>
      </w:r>
      <w:hyperlink w:anchor="Protocol7" w:history="1">
        <w:r w:rsidRPr="00990D3B">
          <w:rPr>
            <w:rStyle w:val="Hyperlink"/>
          </w:rPr>
          <w:t>Protocol 7</w:t>
        </w:r>
      </w:hyperlink>
      <w:r w:rsidRPr="00990D3B">
        <w:t xml:space="preserve"> shares more detailed steps for calculating performance measures, and </w:t>
      </w:r>
      <w:hyperlink w:anchor="Protocol2" w:history="1">
        <w:r w:rsidRPr="00990D3B">
          <w:rPr>
            <w:rStyle w:val="Hyperlink"/>
          </w:rPr>
          <w:t>Protocol 2</w:t>
        </w:r>
      </w:hyperlink>
      <w:r w:rsidRPr="00990D3B">
        <w:t xml:space="preserve"> provides guidance on verifying the accuracy of performance measure calculations. If the EQRO experiences challenges with the data or has concerns about the data quality, it should document them and note these limitations when sharing results with the state.</w:t>
      </w:r>
    </w:p>
    <w:p w:rsidR="0045391D" w:rsidRPr="00990D3B" w:rsidP="00666AC0" w14:paraId="39D93712" w14:textId="77777777">
      <w:pPr>
        <w:pStyle w:val="H3"/>
      </w:pPr>
      <w:r w:rsidRPr="00990D3B">
        <w:t xml:space="preserve">Step </w:t>
      </w:r>
      <w:r w:rsidRPr="00990D3B">
        <w:t>2</w:t>
      </w:r>
      <w:r w:rsidRPr="00990D3B">
        <w:t xml:space="preserve">: </w:t>
      </w:r>
      <w:r w:rsidRPr="00990D3B">
        <w:t xml:space="preserve">Analyze and Interpret Evaluation Metric Results </w:t>
      </w:r>
    </w:p>
    <w:p w:rsidR="0045391D" w:rsidRPr="00990D3B" w:rsidP="000909D3" w14:paraId="5D2284D4" w14:textId="29D6A82B">
      <w:pPr>
        <w:pStyle w:val="ParagraphContinued"/>
      </w:pPr>
      <w:r w:rsidRPr="00990D3B">
        <w:t xml:space="preserve">In this step, the EQRO conducts a detailed analysis of the evaluation metrics following the analysis plan, and the statistical and analytic methods outlined in it. The analysis should address the research questions defined in the evaluation plan and examine trends, </w:t>
      </w:r>
      <w:r w:rsidRPr="00990D3B" w:rsidR="00704932">
        <w:t>gaps or differences</w:t>
      </w:r>
      <w:r w:rsidRPr="00990D3B">
        <w:t xml:space="preserve">, and program performance against benchmarks or goals. Refer to </w:t>
      </w:r>
      <w:hyperlink w:anchor="P7A2" w:tooltip="Protocol 7, Activity 2" w:history="1">
        <w:r w:rsidRPr="00990D3B">
          <w:rPr>
            <w:rStyle w:val="Hyperlink"/>
            <w:rFonts w:cstheme="minorBidi"/>
          </w:rPr>
          <w:t>Protocol 7, Activity 2</w:t>
        </w:r>
      </w:hyperlink>
      <w:r w:rsidRPr="00990D3B">
        <w:t xml:space="preserve"> for further guidance on analyzing and interpreting performance measure results, </w:t>
      </w:r>
      <w:hyperlink w:anchor="P8A8" w:tooltip="Protocol 8, Activity 8" w:history="1">
        <w:r w:rsidRPr="00990D3B">
          <w:rPr>
            <w:rStyle w:val="Hyperlink"/>
            <w:rFonts w:cstheme="minorBidi"/>
          </w:rPr>
          <w:t>Protocol 8, Activity 8</w:t>
        </w:r>
      </w:hyperlink>
      <w:r w:rsidRPr="00990D3B">
        <w:t xml:space="preserve">, and </w:t>
      </w:r>
      <w:hyperlink w:anchor="P1A1Step8" w:tooltip="Protocol 1, Activity 1, Step 8" w:history="1">
        <w:r w:rsidRPr="00990D3B">
          <w:rPr>
            <w:rStyle w:val="Hyperlink"/>
          </w:rPr>
          <w:t>Protocol 1, Activity 1, Step 8</w:t>
        </w:r>
      </w:hyperlink>
      <w:r w:rsidRPr="00990D3B">
        <w:t xml:space="preserve"> for guidance on assessing PIP improvement strategies</w:t>
      </w:r>
      <w:r w:rsidRPr="00990D3B">
        <w:rPr>
          <w:color w:val="00828C" w:themeColor="accent1"/>
        </w:rPr>
        <w:t xml:space="preserve">, </w:t>
      </w:r>
      <w:r w:rsidRPr="00990D3B">
        <w:t xml:space="preserve">and </w:t>
      </w:r>
      <w:hyperlink w:anchor="P6AII8" w:tooltip="Protocol 6, Activity II.8" w:history="1">
        <w:r w:rsidRPr="00990D3B">
          <w:rPr>
            <w:rStyle w:val="Hyperlink"/>
          </w:rPr>
          <w:t>Protocol 6, Activity II.8</w:t>
        </w:r>
      </w:hyperlink>
      <w:r w:rsidRPr="00990D3B">
        <w:t xml:space="preserve"> for guidance on analyzing survey data. </w:t>
      </w:r>
    </w:p>
    <w:p w:rsidR="0045391D" w:rsidRPr="00990D3B" w:rsidP="001F736F" w14:paraId="104EAA4F" w14:textId="50A1644B">
      <w:pPr>
        <w:pStyle w:val="Paragraph0"/>
      </w:pPr>
      <w:r w:rsidRPr="00990D3B">
        <w:t>To identify actionable findings, the EQRO should consider the following as it analyzes the</w:t>
      </w:r>
      <w:r w:rsidRPr="00990D3B" w:rsidR="001F736F">
        <w:t> </w:t>
      </w:r>
      <w:r w:rsidRPr="00990D3B">
        <w:t>results:</w:t>
      </w:r>
    </w:p>
    <w:p w:rsidR="001F736F" w:rsidRPr="00990D3B" w:rsidP="002D35CF" w14:paraId="6E45AA3D" w14:textId="77777777">
      <w:pPr>
        <w:pStyle w:val="EQRBulletBLUE"/>
        <w:numPr>
          <w:ilvl w:val="0"/>
          <w:numId w:val="223"/>
        </w:numPr>
        <w:rPr>
          <w:rFonts w:ascii="Times New Roman" w:hAnsi="Times New Roman"/>
          <w:szCs w:val="24"/>
        </w:rPr>
      </w:pPr>
      <w:r w:rsidRPr="00990D3B">
        <w:rPr>
          <w:b/>
          <w:bCs/>
        </w:rPr>
        <w:t>How much of the observed improvement can reasonably be attributed to the initiative, intervention, or policy?</w:t>
      </w:r>
      <w:r w:rsidRPr="00990D3B">
        <w:t xml:space="preserve"> As discussed in the Evaluation Methodology section, evaluation designs with comparison groups (e.g., quasi-experimental methods like difference-in-differences or matched analyses) can better isolate the effect of the intervention from external factors. Designs with pre/post comparisons and statistical testing can detect whether changes are likely </w:t>
      </w:r>
      <w:r w:rsidRPr="00990D3B">
        <w:t>due</w:t>
      </w:r>
      <w:r w:rsidRPr="00990D3B">
        <w:t xml:space="preserve"> to </w:t>
      </w:r>
      <w:r w:rsidRPr="00990D3B">
        <w:t>chance, but</w:t>
      </w:r>
      <w:r w:rsidRPr="00990D3B">
        <w:t xml:space="preserve"> cannot rule out alternative explanations. Designs with only descriptive analysis can highlight trends over time, but do not support attribution or causal inference. </w:t>
      </w:r>
    </w:p>
    <w:p w:rsidR="001F736F" w:rsidRPr="00990D3B" w:rsidP="002D35CF" w14:paraId="1486883A" w14:textId="77777777">
      <w:pPr>
        <w:pStyle w:val="EQRBulletBLUE"/>
        <w:numPr>
          <w:ilvl w:val="0"/>
          <w:numId w:val="223"/>
        </w:numPr>
        <w:rPr>
          <w:rFonts w:ascii="Times New Roman" w:hAnsi="Times New Roman"/>
          <w:szCs w:val="24"/>
        </w:rPr>
      </w:pPr>
      <w:r w:rsidRPr="00990D3B">
        <w:rPr>
          <w:rFonts w:ascii="Times New Roman" w:hAnsi="Times New Roman"/>
          <w:b/>
          <w:bCs/>
          <w:szCs w:val="24"/>
        </w:rPr>
        <w:t>For areas where evaluation targets were not met, what changes or alternative strategies could better support achieving these goals?</w:t>
      </w:r>
      <w:r w:rsidRPr="00990D3B">
        <w:rPr>
          <w:rFonts w:ascii="Times New Roman" w:hAnsi="Times New Roman"/>
          <w:szCs w:val="24"/>
        </w:rPr>
        <w:t xml:space="preserve"> EQROs should explore potential reasons for underperformance, such as implementation challenges, provider engagement issues, data limitations, or misalignment between the intervention and targeted outcomes. Findings can help identify course corrections, such as refining program design, enhancing </w:t>
      </w:r>
      <w:r w:rsidRPr="00990D3B">
        <w:rPr>
          <w:rFonts w:ascii="Times New Roman" w:hAnsi="Times New Roman"/>
          <w:szCs w:val="24"/>
        </w:rPr>
        <w:t>supports</w:t>
      </w:r>
      <w:r w:rsidRPr="00990D3B">
        <w:rPr>
          <w:rFonts w:ascii="Times New Roman" w:hAnsi="Times New Roman"/>
          <w:szCs w:val="24"/>
        </w:rPr>
        <w:t xml:space="preserve"> for providers, or adjusting metrics to better reflect intended goals.</w:t>
      </w:r>
    </w:p>
    <w:p w:rsidR="0045391D" w:rsidRPr="00990D3B" w:rsidP="002D35CF" w14:paraId="61404157" w14:textId="52C96DCF">
      <w:pPr>
        <w:pStyle w:val="EQRBulletBLUE"/>
        <w:numPr>
          <w:ilvl w:val="0"/>
          <w:numId w:val="223"/>
        </w:numPr>
        <w:rPr>
          <w:rFonts w:ascii="Times New Roman" w:hAnsi="Times New Roman"/>
          <w:szCs w:val="24"/>
        </w:rPr>
      </w:pPr>
      <w:r w:rsidRPr="00990D3B">
        <w:rPr>
          <w:rFonts w:ascii="Times New Roman" w:hAnsi="Times New Roman"/>
          <w:b/>
          <w:bCs/>
          <w:szCs w:val="24"/>
        </w:rPr>
        <w:t>Did the intervention work better for certain populations, and if so, why?</w:t>
      </w:r>
      <w:r w:rsidRPr="00990D3B">
        <w:rPr>
          <w:rFonts w:ascii="Times New Roman" w:hAnsi="Times New Roman"/>
          <w:szCs w:val="24"/>
        </w:rPr>
        <w:t xml:space="preserve"> The evaluation should examine whether outcomes varied by key subgroups, such as race and ethnicity, age, geography, language, or disability status. Where differences are observed, the analysis should explore contributing factors, such as access barriers or variation in implementation. These insights can inform program refinement to improve effectiveness and promote more consistent outcomes across populations. </w:t>
      </w:r>
    </w:p>
    <w:p w:rsidR="0045391D" w:rsidRPr="00990D3B" w:rsidP="001F736F" w14:paraId="7917A2FC" w14:textId="78B88A3B">
      <w:pPr>
        <w:pStyle w:val="ParagraphContinued"/>
      </w:pPr>
      <w:r w:rsidRPr="00990D3B">
        <w:t xml:space="preserve">To maintain the integrity of the analysis, </w:t>
      </w:r>
      <w:r w:rsidRPr="00990D3B">
        <w:t>the EQRO</w:t>
      </w:r>
      <w:r w:rsidRPr="00990D3B">
        <w:t xml:space="preserve"> should also conduct a quality assurance review before finalizing the results. This review ensures that the methods and conclusions align with the evaluation plan and are free from errors or inconsistencies. Refer </w:t>
      </w:r>
      <w:r w:rsidRPr="00990D3B">
        <w:rPr>
          <w:color w:val="000000" w:themeColor="text1"/>
        </w:rPr>
        <w:t xml:space="preserve">to </w:t>
      </w:r>
      <w:hyperlink w:anchor="P9A6" w:tooltip="Protocol 9, Activity 6" w:history="1">
        <w:r w:rsidRPr="00990D3B">
          <w:rPr>
            <w:rStyle w:val="Hyperlink"/>
          </w:rPr>
          <w:t>Protocol 9, Activity</w:t>
        </w:r>
        <w:r w:rsidRPr="00990D3B" w:rsidR="005F628D">
          <w:rPr>
            <w:rStyle w:val="Hyperlink"/>
          </w:rPr>
          <w:t> </w:t>
        </w:r>
        <w:r w:rsidRPr="00990D3B">
          <w:rPr>
            <w:rStyle w:val="Hyperlink"/>
          </w:rPr>
          <w:t>6</w:t>
        </w:r>
      </w:hyperlink>
      <w:r w:rsidRPr="00990D3B">
        <w:t xml:space="preserve">, for more guidance on analyzing results and conducting quality assurance of analyses. </w:t>
      </w:r>
    </w:p>
    <w:p w:rsidR="0045391D" w:rsidRPr="00990D3B" w:rsidP="00666AC0" w14:paraId="1AD48B78" w14:textId="60505289">
      <w:pPr>
        <w:pStyle w:val="H2"/>
      </w:pPr>
      <w:bookmarkStart w:id="1088" w:name="P11A3"/>
      <w:bookmarkStart w:id="1089" w:name="_Toc201751458"/>
      <w:bookmarkEnd w:id="1088"/>
      <w:r w:rsidRPr="00990D3B">
        <w:t>Activity 3: Report Results</w:t>
      </w:r>
      <w:bookmarkEnd w:id="1055"/>
      <w:bookmarkEnd w:id="1056"/>
      <w:r w:rsidRPr="00990D3B">
        <w:t xml:space="preserve"> to the State</w:t>
      </w:r>
      <w:bookmarkEnd w:id="1089"/>
      <w:r w:rsidRPr="00990D3B">
        <w:t xml:space="preserve"> </w:t>
      </w:r>
    </w:p>
    <w:p w:rsidR="0045391D" w:rsidP="00666AC0" w14:paraId="66F7400D" w14:textId="157D1B51">
      <w:pPr>
        <w:pStyle w:val="ParagraphContinued"/>
      </w:pPr>
      <w:r w:rsidRPr="00990D3B">
        <w:rPr>
          <w:noProof/>
        </w:rPr>
        <mc:AlternateContent>
          <mc:Choice Requires="wps">
            <w:drawing>
              <wp:anchor distT="0" distB="0" distL="114300" distR="114300" simplePos="0" relativeHeight="252000256" behindDoc="0" locked="0" layoutInCell="1" allowOverlap="1">
                <wp:simplePos x="0" y="0"/>
                <wp:positionH relativeFrom="margin">
                  <wp:posOffset>3897474</wp:posOffset>
                </wp:positionH>
                <wp:positionV relativeFrom="paragraph">
                  <wp:posOffset>469133</wp:posOffset>
                </wp:positionV>
                <wp:extent cx="2194560" cy="2095500"/>
                <wp:effectExtent l="19050" t="19050" r="15240" b="19050"/>
                <wp:wrapTight wrapText="bothSides">
                  <wp:wrapPolygon>
                    <wp:start x="21788" y="21796"/>
                    <wp:lineTo x="21788" y="0"/>
                    <wp:lineTo x="38" y="0"/>
                    <wp:lineTo x="38" y="21796"/>
                    <wp:lineTo x="21788" y="21796"/>
                  </wp:wrapPolygon>
                </wp:wrapTight>
                <wp:docPr id="706048137" name="Text Box 706048137" descr="P532TB54#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095500"/>
                        </a:xfrm>
                        <a:prstGeom prst="rect">
                          <a:avLst/>
                        </a:prstGeom>
                        <a:solidFill>
                          <a:srgbClr val="EEF5F8"/>
                        </a:solidFill>
                        <a:ln w="28575" cap="rnd">
                          <a:solidFill>
                            <a:srgbClr val="A5DAD9"/>
                          </a:solidFill>
                          <a:prstDash val="solid"/>
                          <a:miter lim="800000"/>
                          <a:headEnd/>
                          <a:tailEnd/>
                        </a:ln>
                      </wps:spPr>
                      <wps:txbx>
                        <w:txbxContent>
                          <w:p w:rsidR="0045391D" w:rsidRPr="00C67B24" w:rsidP="00666AC0" w14:textId="77777777">
                            <w:pPr>
                              <w:pStyle w:val="EQRTextboxheading"/>
                            </w:pPr>
                            <w:r w:rsidRPr="00C67B24">
                              <w:t>Resources for Activity 3</w:t>
                            </w:r>
                          </w:p>
                          <w:p w:rsidR="0045391D" w:rsidRPr="006737FF" w:rsidP="00666AC0" w14:textId="2A99CA2E">
                            <w:pPr>
                              <w:pStyle w:val="EQRTextboxbody"/>
                              <w:rPr>
                                <w:color w:val="1CA8B7"/>
                              </w:rPr>
                            </w:pPr>
                            <w:hyperlink w:anchor="WS11n5" w:tooltip="Worksheet 11.5. Checklist for Evaluation Report" w:history="1">
                              <w:r w:rsidRPr="003B6AEB">
                                <w:rPr>
                                  <w:rStyle w:val="Hyperlink"/>
                                </w:rPr>
                                <w:t>Worksheet 11.5. Checklist for Evaluation Report</w:t>
                              </w:r>
                            </w:hyperlink>
                          </w:p>
                          <w:p w:rsidR="0045391D" w:rsidRPr="00C67B24" w:rsidP="00666AC0" w14:textId="77777777">
                            <w:pPr>
                              <w:pStyle w:val="EQRTextboxbullet"/>
                              <w:ind w:left="180" w:hanging="180"/>
                            </w:pPr>
                            <w:r w:rsidRPr="00C67B24">
                              <w:t>Provides a checklist of items to consider including in a final report.</w:t>
                            </w:r>
                          </w:p>
                          <w:p w:rsidR="0045391D" w:rsidRPr="002B1219" w:rsidP="00666AC0" w14:textId="2722A9B1">
                            <w:pPr>
                              <w:pStyle w:val="EQRTextboxbody"/>
                              <w:rPr>
                                <w:color w:val="1CA8B7"/>
                              </w:rPr>
                            </w:pPr>
                            <w:hyperlink w:anchor="WS11n6" w:tooltip="Worksheet 11.6. Evaluation Performance Metric Results Template" w:history="1">
                              <w:r w:rsidRPr="003B6AEB">
                                <w:rPr>
                                  <w:rStyle w:val="Hyperlink"/>
                                </w:rPr>
                                <w:t>Worksheet 11.6. Evaluation Performance Metric Results Template</w:t>
                              </w:r>
                            </w:hyperlink>
                          </w:p>
                          <w:p w:rsidR="0045391D" w:rsidRPr="002B1219" w:rsidP="00666AC0" w14:textId="77777777">
                            <w:pPr>
                              <w:pStyle w:val="EQRTextboxbullet"/>
                              <w:ind w:left="180" w:hanging="180"/>
                            </w:pPr>
                            <w:r w:rsidRPr="002B1219">
                              <w:t>Provides a template for reporting the results of performance metric calculations.</w:t>
                            </w:r>
                          </w:p>
                          <w:p w:rsidR="0045391D" w:rsidP="00666AC0" w14:textId="77777777">
                            <w:pPr>
                              <w:pStyle w:val="EQRTextboxheading"/>
                            </w:pPr>
                          </w:p>
                        </w:txbxContent>
                      </wps:txbx>
                      <wps:bodyPr rot="0" vert="horz" wrap="square" lIns="109728" tIns="45720" rIns="109728" bIns="45720" anchor="t" anchorCtr="0" upright="1"/>
                    </wps:wsp>
                  </a:graphicData>
                </a:graphic>
                <wp14:sizeRelV relativeFrom="margin">
                  <wp14:pctHeight>0</wp14:pctHeight>
                </wp14:sizeRelV>
              </wp:anchor>
            </w:drawing>
          </mc:Choice>
          <mc:Fallback>
            <w:pict>
              <v:shape id="Text Box 706048137" o:spid="_x0000_s1232" type="#_x0000_t202" alt="P532TB54#y1" style="width:172.8pt;height:165pt;margin-top:36.95pt;margin-left:306.9pt;flip:y;mso-height-percent:0;mso-height-relative:margin;mso-position-horizontal-relative:margin;mso-wrap-distance-bottom:0;mso-wrap-distance-left:9pt;mso-wrap-distance-right:9pt;mso-wrap-distance-top:0;mso-wrap-style:square;position:absolute;rotation:180;visibility:visible;v-text-anchor:top;z-index:252001280" fillcolor="#eef5f8" strokecolor="#a5dad9" strokeweight="2.25pt">
                <v:stroke endcap="round"/>
                <v:textbox inset="8.64pt,,8.64pt">
                  <w:txbxContent>
                    <w:p w:rsidR="0045391D" w:rsidRPr="00C67B24" w:rsidP="00666AC0" w14:paraId="36EDAE9E" w14:textId="77777777">
                      <w:pPr>
                        <w:pStyle w:val="EQRTextboxheading"/>
                      </w:pPr>
                      <w:r w:rsidRPr="00C67B24">
                        <w:t>Resources for Activity 3</w:t>
                      </w:r>
                    </w:p>
                    <w:p w:rsidR="0045391D" w:rsidRPr="006737FF" w:rsidP="00666AC0" w14:paraId="5750C448" w14:textId="2A99CA2E">
                      <w:pPr>
                        <w:pStyle w:val="EQRTextboxbody"/>
                        <w:rPr>
                          <w:color w:val="1CA8B7"/>
                        </w:rPr>
                      </w:pPr>
                      <w:hyperlink w:anchor="WS11n5" w:tooltip="Worksheet 11.5. Checklist for Evaluation Report" w:history="1">
                        <w:r w:rsidRPr="003B6AEB">
                          <w:rPr>
                            <w:rStyle w:val="Hyperlink"/>
                          </w:rPr>
                          <w:t>Worksheet 11.5. Checklist for Evaluation Report</w:t>
                        </w:r>
                      </w:hyperlink>
                    </w:p>
                    <w:p w:rsidR="0045391D" w:rsidRPr="00C67B24" w:rsidP="00666AC0" w14:paraId="5086D2AD" w14:textId="77777777">
                      <w:pPr>
                        <w:pStyle w:val="EQRTextboxbullet"/>
                        <w:ind w:left="180" w:hanging="180"/>
                      </w:pPr>
                      <w:r w:rsidRPr="00C67B24">
                        <w:t>Provides a checklist of items to consider including in a final report.</w:t>
                      </w:r>
                    </w:p>
                    <w:p w:rsidR="0045391D" w:rsidRPr="002B1219" w:rsidP="00666AC0" w14:paraId="5F4D0C7D" w14:textId="2722A9B1">
                      <w:pPr>
                        <w:pStyle w:val="EQRTextboxbody"/>
                        <w:rPr>
                          <w:color w:val="1CA8B7"/>
                        </w:rPr>
                      </w:pPr>
                      <w:hyperlink w:anchor="WS11n6" w:tooltip="Worksheet 11.6. Evaluation Performance Metric Results Template" w:history="1">
                        <w:r w:rsidRPr="003B6AEB">
                          <w:rPr>
                            <w:rStyle w:val="Hyperlink"/>
                          </w:rPr>
                          <w:t>Worksheet 11.6. Evaluation Performance Metric Results Template</w:t>
                        </w:r>
                      </w:hyperlink>
                    </w:p>
                    <w:p w:rsidR="0045391D" w:rsidRPr="002B1219" w:rsidP="00666AC0" w14:paraId="29E508DA" w14:textId="77777777">
                      <w:pPr>
                        <w:pStyle w:val="EQRTextboxbullet"/>
                        <w:ind w:left="180" w:hanging="180"/>
                      </w:pPr>
                      <w:r w:rsidRPr="002B1219">
                        <w:t>Provides a template for reporting the results of performance metric calculations.</w:t>
                      </w:r>
                    </w:p>
                    <w:p w:rsidR="0045391D" w:rsidP="00666AC0" w14:paraId="52916D2F" w14:textId="77777777">
                      <w:pPr>
                        <w:pStyle w:val="EQRTextboxheading"/>
                      </w:pPr>
                    </w:p>
                  </w:txbxContent>
                </v:textbox>
                <w10:wrap type="tight"/>
              </v:shape>
            </w:pict>
          </mc:Fallback>
        </mc:AlternateContent>
      </w:r>
      <w:r w:rsidRPr="00990D3B">
        <w:rPr>
          <w:rFonts w:ascii="Arial Black" w:eastAsia="Arial" w:hAnsi="Arial Black" w:cs="Arial"/>
          <w:noProof/>
          <w:sz w:val="19"/>
          <w:szCs w:val="19"/>
        </w:rPr>
        <mc:AlternateContent>
          <mc:Choice Requires="wps">
            <w:drawing>
              <wp:anchor distT="0" distB="0" distL="114300" distR="114300" simplePos="0" relativeHeight="251994112" behindDoc="0" locked="0" layoutInCell="1" allowOverlap="1">
                <wp:simplePos x="0" y="0"/>
                <wp:positionH relativeFrom="column">
                  <wp:posOffset>3888476</wp:posOffset>
                </wp:positionH>
                <wp:positionV relativeFrom="paragraph">
                  <wp:posOffset>107555</wp:posOffset>
                </wp:positionV>
                <wp:extent cx="2193925" cy="297180"/>
                <wp:effectExtent l="19050" t="19050" r="15875" b="26670"/>
                <wp:wrapTight wrapText="bothSides">
                  <wp:wrapPolygon>
                    <wp:start x="21788" y="22985"/>
                    <wp:lineTo x="21788" y="-554"/>
                    <wp:lineTo x="31" y="-554"/>
                    <wp:lineTo x="31" y="22985"/>
                    <wp:lineTo x="21788" y="22985"/>
                  </wp:wrapPolygon>
                </wp:wrapTight>
                <wp:docPr id="1258425347" name="Text Box 1258425347" descr="P532TB55#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180"/>
                        </a:xfrm>
                        <a:prstGeom prst="rect">
                          <a:avLst/>
                        </a:prstGeom>
                        <a:solidFill>
                          <a:srgbClr val="EEF5F8"/>
                        </a:solidFill>
                        <a:ln w="28575" cap="rnd">
                          <a:solidFill>
                            <a:srgbClr val="A5DAD9"/>
                          </a:solidFill>
                          <a:prstDash val="solid"/>
                          <a:miter lim="800000"/>
                          <a:headEnd/>
                          <a:tailEnd/>
                        </a:ln>
                      </wps:spPr>
                      <wps:txbx>
                        <w:txbxContent>
                          <w:p w:rsidR="0045391D" w:rsidRPr="0090682E" w:rsidP="00666AC0" w14:textId="77777777">
                            <w:pPr>
                              <w:pStyle w:val="EQRWORKSHEETText"/>
                              <w:rPr>
                                <w:spacing w:val="-2"/>
                              </w:rPr>
                            </w:pPr>
                            <w:hyperlink w:anchor="WSp1n2" w:tooltip="WORKSHEET 1.2" w:history="1">
                              <w:r>
                                <w:rPr>
                                  <w:rStyle w:val="Hyperlink"/>
                                  <w:color w:val="006981"/>
                                </w:rPr>
                                <w:t>WORKSHEET 11.</w:t>
                              </w:r>
                            </w:hyperlink>
                            <w:r>
                              <w:rPr>
                                <w:rStyle w:val="Hyperlink"/>
                                <w:color w:val="006981"/>
                              </w:rPr>
                              <w:t>6</w:t>
                            </w:r>
                          </w:p>
                        </w:txbxContent>
                      </wps:txbx>
                      <wps:bodyPr rot="0" vert="horz" wrap="square" lIns="109728" tIns="45720" rIns="109728" bIns="45720" anchor="t" anchorCtr="0" upright="1">
                        <a:spAutoFit/>
                      </wps:bodyPr>
                    </wps:wsp>
                  </a:graphicData>
                </a:graphic>
              </wp:anchor>
            </w:drawing>
          </mc:Choice>
          <mc:Fallback>
            <w:pict>
              <v:shape id="Text Box 1258425347" o:spid="_x0000_s1233" type="#_x0000_t202" alt="P532TB55#y1" style="width:172.75pt;height:23.4pt;margin-top:8.45pt;margin-left:306.2pt;flip:y;mso-wrap-distance-bottom:0;mso-wrap-distance-left:9pt;mso-wrap-distance-right:9pt;mso-wrap-distance-top:0;mso-wrap-style:square;position:absolute;rotation:180;visibility:visible;v-text-anchor:top;z-index:251995136" fillcolor="#eef5f8" strokecolor="#a5dad9" strokeweight="2.25pt">
                <v:stroke endcap="round"/>
                <v:textbox style="mso-fit-shape-to-text:t" inset="8.64pt,,8.64pt">
                  <w:txbxContent>
                    <w:p w:rsidR="0045391D" w:rsidRPr="0090682E" w:rsidP="00666AC0" w14:paraId="681CB2CE" w14:textId="77777777">
                      <w:pPr>
                        <w:pStyle w:val="EQRWORKSHEETText"/>
                        <w:rPr>
                          <w:spacing w:val="-2"/>
                        </w:rPr>
                      </w:pPr>
                      <w:hyperlink w:anchor="WSp1n2" w:tooltip="WORKSHEET 1.2" w:history="1">
                        <w:r>
                          <w:rPr>
                            <w:rStyle w:val="Hyperlink"/>
                            <w:color w:val="006981"/>
                          </w:rPr>
                          <w:t>WORKSHEET 11.</w:t>
                        </w:r>
                      </w:hyperlink>
                      <w:r>
                        <w:rPr>
                          <w:rStyle w:val="Hyperlink"/>
                          <w:color w:val="006981"/>
                        </w:rPr>
                        <w:t>6</w:t>
                      </w:r>
                    </w:p>
                  </w:txbxContent>
                </v:textbox>
                <w10:wrap type="tight"/>
              </v:shape>
            </w:pict>
          </mc:Fallback>
        </mc:AlternateContent>
      </w:r>
      <w:r w:rsidRPr="00990D3B">
        <w:t>In this step, the EQRO submits a final report containing the evaluation results, analyses, and recommendations in the format prescribed by the state and in the timeframe required. Because the state may use the report to meet federal or state requirements, the state may need the report to include specific information presented in a specific format. To ensure that the report includes appropriate information in the desired format, the EQRO should submit an outline to the state before writing up the results.</w:t>
      </w:r>
      <w:r>
        <w:t xml:space="preserve"> </w:t>
      </w:r>
    </w:p>
    <w:p w:rsidR="00B1166C" w:rsidRPr="00B1166C" w:rsidP="00B1166C" w14:paraId="7E860192" w14:textId="3DB11BF7">
      <w:pPr>
        <w:pStyle w:val="Paragraph0"/>
      </w:pPr>
      <w:r>
        <w:t>Requires for evaluation reports differ between types</w:t>
      </w:r>
      <w:r w:rsidR="007F52BB">
        <w:t xml:space="preserve"> </w:t>
      </w:r>
      <w:r>
        <w:t xml:space="preserve">of evaluations. Ensure that the report includes all required report data and elements (see </w:t>
      </w:r>
      <w:r w:rsidRPr="002158AB">
        <w:rPr>
          <w:rStyle w:val="Hyperlink"/>
        </w:rPr>
        <w:t>Table 11.1</w:t>
      </w:r>
      <w:r>
        <w:t xml:space="preserve"> and </w:t>
      </w:r>
      <w:r w:rsidRPr="002158AB">
        <w:rPr>
          <w:rStyle w:val="Hyperlink"/>
        </w:rPr>
        <w:t>Boxes 11.2</w:t>
      </w:r>
      <w:r>
        <w:t xml:space="preserve">, </w:t>
      </w:r>
      <w:r w:rsidRPr="002158AB">
        <w:rPr>
          <w:rStyle w:val="Hyperlink"/>
        </w:rPr>
        <w:t>11.8</w:t>
      </w:r>
      <w:r>
        <w:t xml:space="preserve">, and </w:t>
      </w:r>
      <w:r w:rsidRPr="002158AB">
        <w:rPr>
          <w:rStyle w:val="Hyperlink"/>
        </w:rPr>
        <w:t>11.9</w:t>
      </w:r>
      <w:r>
        <w:t xml:space="preserve"> for more information). Regardless of the evaluation type, at a </w:t>
      </w:r>
      <w:r w:rsidR="007F52BB">
        <w:t xml:space="preserve">minimum, </w:t>
      </w:r>
      <w:r>
        <w:t xml:space="preserve">the report should present: </w:t>
      </w:r>
    </w:p>
    <w:p w:rsidR="0045391D" w:rsidRPr="00990D3B" w:rsidP="00FB7CAF" w14:paraId="465C48C4" w14:textId="2D3BF5A2">
      <w:pPr>
        <w:pStyle w:val="EQRBulletBLUE"/>
      </w:pPr>
      <w:r w:rsidRPr="00990D3B">
        <w:t>Overall summary of findings</w:t>
      </w:r>
    </w:p>
    <w:p w:rsidR="0045391D" w:rsidRPr="00990D3B" w:rsidP="00FB7CAF" w14:paraId="5D60629D" w14:textId="45A22B72">
      <w:pPr>
        <w:pStyle w:val="EQRBulletBLUE"/>
      </w:pPr>
      <w:r w:rsidRPr="00990D3B">
        <w:t xml:space="preserve">The evaluation research questions  </w:t>
      </w:r>
    </w:p>
    <w:p w:rsidR="0045391D" w:rsidRPr="00990D3B" w:rsidP="00FB7CAF" w14:paraId="55B411F3" w14:textId="50D4E887">
      <w:pPr>
        <w:pStyle w:val="EQRBulletBLUE"/>
      </w:pPr>
      <w:r w:rsidRPr="00990D3B">
        <w:t xml:space="preserve">The evaluation </w:t>
      </w:r>
      <w:r w:rsidRPr="00990D3B">
        <w:rPr>
          <w:rFonts w:cstheme="minorHAnsi"/>
          <w:szCs w:val="24"/>
        </w:rPr>
        <w:t>metrics</w:t>
      </w:r>
      <w:r w:rsidRPr="00990D3B">
        <w:t xml:space="preserve">, baseline, and performance targets </w:t>
      </w:r>
    </w:p>
    <w:p w:rsidR="0045391D" w:rsidRPr="00990D3B" w:rsidP="00FB7CAF" w14:paraId="78218D36" w14:textId="29A83038">
      <w:pPr>
        <w:pStyle w:val="EQRBulletBLUE"/>
      </w:pPr>
      <w:r w:rsidRPr="00990D3B">
        <w:t xml:space="preserve">The analysis plan, including known limitations  </w:t>
      </w:r>
    </w:p>
    <w:p w:rsidR="0045391D" w:rsidRPr="00990D3B" w:rsidP="00FB7CAF" w14:paraId="3A334D13" w14:textId="2E9E54D1">
      <w:pPr>
        <w:pStyle w:val="EQRBulletBLUE"/>
      </w:pPr>
      <w:r w:rsidRPr="00990D3B">
        <w:t xml:space="preserve">The methods of data collection and performance </w:t>
      </w:r>
      <w:r w:rsidRPr="00990D3B">
        <w:rPr>
          <w:rFonts w:cstheme="minorHAnsi"/>
          <w:szCs w:val="24"/>
        </w:rPr>
        <w:t>metric</w:t>
      </w:r>
      <w:r w:rsidRPr="00990D3B">
        <w:t xml:space="preserve"> calculation, including known limitations</w:t>
      </w:r>
    </w:p>
    <w:p w:rsidR="00071E1A" w:rsidP="00071E1A" w14:paraId="7931A289" w14:textId="2C429736">
      <w:pPr>
        <w:pStyle w:val="EQRBulletBLUE"/>
      </w:pPr>
      <w:r w:rsidRPr="00990D3B">
        <w:t>Detailed findings, including tables and graphics</w:t>
      </w:r>
    </w:p>
    <w:p w:rsidR="0045391D" w:rsidP="00666AC0" w14:paraId="4EC69F74" w14:textId="1F1F2817">
      <w:pPr>
        <w:pStyle w:val="EQRBulletBLUE"/>
      </w:pPr>
      <w:r w:rsidRPr="00990D3B">
        <w:t>Conclusions drawn from the data</w:t>
      </w:r>
      <w:r w:rsidR="00071E1A">
        <w:t xml:space="preserve"> </w:t>
      </w:r>
    </w:p>
    <w:p w:rsidR="004D3CAF" w:rsidRPr="00990D3B" w:rsidP="004D3CAF" w14:paraId="4FBAA9CE" w14:textId="352263DE">
      <w:pPr>
        <w:pStyle w:val="ListBullet"/>
      </w:pPr>
      <w:r w:rsidRPr="004D3CAF">
        <w:t xml:space="preserve">Evaluation findings may be presented in a stand-alone report; however, key findings, conclusions, and recommendations must also be summarized in the annual EQR technical report. </w:t>
      </w:r>
      <w:r w:rsidRPr="002158AB">
        <w:rPr>
          <w:rStyle w:val="Hyperlink"/>
        </w:rPr>
        <w:t xml:space="preserve">Box 11.13 </w:t>
      </w:r>
      <w:r w:rsidRPr="004D3CAF">
        <w:t>(next page) shares guidance on what to include.</w:t>
      </w:r>
    </w:p>
    <w:p w:rsidR="00CE5D06" w:rsidP="00666AC0" w14:paraId="385F827C" w14:textId="3C1F1FCF">
      <w:pPr>
        <w:pStyle w:val="ParagraphContinued"/>
        <w:jc w:val="center"/>
      </w:pPr>
    </w:p>
    <w:p w:rsidR="00CE5D06" w:rsidP="00666AC0" w14:paraId="61FF13FE" w14:textId="423EBA86">
      <w:pPr>
        <w:pStyle w:val="ParagraphContinued"/>
        <w:jc w:val="center"/>
      </w:pPr>
    </w:p>
    <w:p w:rsidR="00071E1A" w:rsidP="00071E1A" w14:paraId="11A1CEDB" w14:textId="53BE3155">
      <w:pPr>
        <w:pStyle w:val="Paragraph0"/>
      </w:pPr>
      <w:r w:rsidRPr="00990D3B">
        <w:rPr>
          <w:noProof/>
        </w:rPr>
        <mc:AlternateContent>
          <mc:Choice Requires="wps">
            <w:drawing>
              <wp:anchor distT="0" distB="0" distL="114300" distR="114300" simplePos="0" relativeHeight="252036096" behindDoc="0" locked="0" layoutInCell="1" allowOverlap="1">
                <wp:simplePos x="0" y="0"/>
                <wp:positionH relativeFrom="margin">
                  <wp:align>left</wp:align>
                </wp:positionH>
                <wp:positionV relativeFrom="paragraph">
                  <wp:posOffset>19936</wp:posOffset>
                </wp:positionV>
                <wp:extent cx="5984875" cy="2387600"/>
                <wp:effectExtent l="19050" t="19050" r="15875" b="12700"/>
                <wp:wrapTight wrapText="bothSides">
                  <wp:wrapPolygon>
                    <wp:start x="21669" y="21772"/>
                    <wp:lineTo x="21669" y="57"/>
                    <wp:lineTo x="11" y="57"/>
                    <wp:lineTo x="11" y="21772"/>
                    <wp:lineTo x="21669" y="21772"/>
                  </wp:wrapPolygon>
                </wp:wrapTight>
                <wp:docPr id="2029792926" name="Text Box 2029792926" descr="P532TB54#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5984875" cy="2387600"/>
                        </a:xfrm>
                        <a:prstGeom prst="rect">
                          <a:avLst/>
                        </a:prstGeom>
                        <a:solidFill>
                          <a:srgbClr val="EEF5F8"/>
                        </a:solidFill>
                        <a:ln w="28575" cap="rnd">
                          <a:solidFill>
                            <a:srgbClr val="A5DAD9"/>
                          </a:solidFill>
                          <a:prstDash val="solid"/>
                          <a:miter lim="800000"/>
                          <a:headEnd/>
                          <a:tailEnd/>
                        </a:ln>
                      </wps:spPr>
                      <wps:txbx>
                        <w:txbxContent>
                          <w:p w:rsidR="004D3CAF" w:rsidRPr="00C67B24" w:rsidP="004D3CAF" w14:textId="77777777">
                            <w:pPr>
                              <w:pStyle w:val="EQRTextboxheading"/>
                            </w:pPr>
                            <w:r w:rsidRPr="004D3CAF">
                              <w:t>Box 11.13 Reporting Evaluation Results in the EQR Technical Report</w:t>
                            </w:r>
                            <w:r>
                              <w:t xml:space="preserve"> </w:t>
                            </w:r>
                          </w:p>
                          <w:p w:rsidR="004D3CAF" w:rsidRPr="00071E1A" w:rsidP="004D3CAF" w14:textId="77777777">
                            <w:pPr>
                              <w:pStyle w:val="EQRTextboxbullet"/>
                              <w:numPr>
                                <w:ilvl w:val="0"/>
                                <w:numId w:val="0"/>
                              </w:numPr>
                              <w:rPr>
                                <w:spacing w:val="-2"/>
                              </w:rPr>
                            </w:pPr>
                            <w:r w:rsidRPr="00071E1A">
                              <w:rPr>
                                <w:spacing w:val="-2"/>
                              </w:rPr>
                              <w:t xml:space="preserve">Evaluation findings may be </w:t>
                            </w:r>
                            <w:r>
                              <w:rPr>
                                <w:spacing w:val="-2"/>
                              </w:rPr>
                              <w:t xml:space="preserve">provided </w:t>
                            </w:r>
                            <w:r w:rsidRPr="00071E1A">
                              <w:rPr>
                                <w:spacing w:val="-2"/>
                              </w:rPr>
                              <w:t>through stand-alone reports or other documents. However, the annual EQR technical report must still include sufficient information to support state and federal reporting requirements.</w:t>
                            </w:r>
                          </w:p>
                          <w:p w:rsidR="004D3CAF" w:rsidRPr="00071E1A" w:rsidP="004D3CAF" w14:textId="77777777">
                            <w:pPr>
                              <w:pStyle w:val="EQRTextboxbullet"/>
                              <w:numPr>
                                <w:ilvl w:val="0"/>
                                <w:numId w:val="0"/>
                              </w:numPr>
                              <w:rPr>
                                <w:spacing w:val="-2"/>
                              </w:rPr>
                            </w:pPr>
                            <w:r w:rsidRPr="00071E1A">
                              <w:rPr>
                                <w:spacing w:val="-2"/>
                              </w:rPr>
                              <w:t>When evaluation results are reported elsewhere, the EQR technical report should:</w:t>
                            </w:r>
                          </w:p>
                          <w:p w:rsidR="004D3CAF" w:rsidRPr="00071E1A" w:rsidP="004D3CAF" w14:textId="258C62DF">
                            <w:pPr>
                              <w:pStyle w:val="EQRTextboxbullet"/>
                              <w:numPr>
                                <w:ilvl w:val="0"/>
                                <w:numId w:val="276"/>
                              </w:numPr>
                              <w:ind w:left="288" w:firstLine="0"/>
                              <w:rPr>
                                <w:spacing w:val="-2"/>
                              </w:rPr>
                            </w:pPr>
                            <w:r w:rsidRPr="00071E1A">
                              <w:rPr>
                                <w:spacing w:val="-2"/>
                              </w:rPr>
                              <w:t>Reference and link to the stand-alone publicly available report</w:t>
                            </w:r>
                          </w:p>
                          <w:p w:rsidR="004D3CAF" w:rsidRPr="00071E1A" w:rsidP="004D3CAF" w14:textId="77777777">
                            <w:pPr>
                              <w:pStyle w:val="EQRTextboxbullet"/>
                              <w:numPr>
                                <w:ilvl w:val="0"/>
                                <w:numId w:val="276"/>
                              </w:numPr>
                              <w:ind w:left="288" w:firstLine="0"/>
                              <w:rPr>
                                <w:spacing w:val="-2"/>
                              </w:rPr>
                            </w:pPr>
                            <w:r w:rsidRPr="00071E1A">
                              <w:rPr>
                                <w:spacing w:val="-2"/>
                              </w:rPr>
                              <w:t>Summarize key findings and results</w:t>
                            </w:r>
                          </w:p>
                          <w:p w:rsidR="004D3CAF" w:rsidRPr="00071E1A" w:rsidP="004D3CAF" w14:textId="77777777">
                            <w:pPr>
                              <w:pStyle w:val="EQRTextboxbullet"/>
                              <w:numPr>
                                <w:ilvl w:val="0"/>
                                <w:numId w:val="276"/>
                              </w:numPr>
                              <w:ind w:left="288" w:firstLine="0"/>
                              <w:rPr>
                                <w:spacing w:val="-2"/>
                              </w:rPr>
                            </w:pPr>
                            <w:r w:rsidRPr="00071E1A">
                              <w:rPr>
                                <w:spacing w:val="-2"/>
                              </w:rPr>
                              <w:t>Include EQRO recommendations based on the evaluation</w:t>
                            </w:r>
                          </w:p>
                          <w:p w:rsidR="004D3CAF" w:rsidRPr="00071E1A" w:rsidP="004D3CAF" w14:textId="77777777">
                            <w:pPr>
                              <w:pStyle w:val="EQRTextboxbullet"/>
                              <w:numPr>
                                <w:ilvl w:val="0"/>
                                <w:numId w:val="276"/>
                              </w:numPr>
                              <w:ind w:left="288" w:firstLine="0"/>
                              <w:rPr>
                                <w:spacing w:val="-2"/>
                              </w:rPr>
                            </w:pPr>
                            <w:r w:rsidRPr="00071E1A">
                              <w:rPr>
                                <w:spacing w:val="-2"/>
                              </w:rPr>
                              <w:t>Describe any implications for program changes or improvements, as applicable</w:t>
                            </w:r>
                          </w:p>
                          <w:p w:rsidR="004D3CAF" w:rsidRPr="00071E1A" w:rsidP="004D3CAF" w14:textId="77777777">
                            <w:pPr>
                              <w:pStyle w:val="EQRTextboxbullet"/>
                              <w:numPr>
                                <w:ilvl w:val="0"/>
                                <w:numId w:val="0"/>
                              </w:numPr>
                              <w:rPr>
                                <w:spacing w:val="-2"/>
                              </w:rPr>
                            </w:pPr>
                            <w:r w:rsidRPr="00071E1A">
                              <w:rPr>
                                <w:spacing w:val="-2"/>
                              </w:rPr>
                              <w:t xml:space="preserve">For example, </w:t>
                            </w:r>
                            <w:r>
                              <w:rPr>
                                <w:spacing w:val="-2"/>
                              </w:rPr>
                              <w:t xml:space="preserve">QS </w:t>
                            </w:r>
                            <w:r w:rsidRPr="00EC7049">
                              <w:rPr>
                                <w:spacing w:val="-2"/>
                              </w:rPr>
                              <w:t xml:space="preserve">evaluation results </w:t>
                            </w:r>
                            <w:r>
                              <w:rPr>
                                <w:spacing w:val="-2"/>
                              </w:rPr>
                              <w:t>must</w:t>
                            </w:r>
                            <w:r w:rsidRPr="00EC7049">
                              <w:rPr>
                                <w:spacing w:val="-2"/>
                              </w:rPr>
                              <w:t xml:space="preserve"> be made publicly available through the EQR technical report, a stand-alone report, or updates to the QS. </w:t>
                            </w:r>
                            <w:r>
                              <w:rPr>
                                <w:spacing w:val="-2"/>
                              </w:rPr>
                              <w:t>Regardless of how findings are shared, if</w:t>
                            </w:r>
                            <w:r w:rsidRPr="00EC7049">
                              <w:rPr>
                                <w:spacing w:val="-2"/>
                              </w:rPr>
                              <w:t xml:space="preserve"> the evaluation identifies the need for modifications to the QS, the EQR technical report should summarize those findings and include the EQRO’s recommendations, even if the full evaluation is presented in a separate document.</w:t>
                            </w:r>
                          </w:p>
                          <w:p w:rsidR="00071E1A" w:rsidRPr="0090682E" w:rsidP="00071E1A" w14:textId="77777777">
                            <w:pPr>
                              <w:pStyle w:val="EQRTextboxbullet"/>
                              <w:numPr>
                                <w:ilvl w:val="0"/>
                                <w:numId w:val="0"/>
                              </w:numPr>
                              <w:rPr>
                                <w:spacing w:val="-2"/>
                              </w:rPr>
                            </w:pPr>
                          </w:p>
                        </w:txbxContent>
                      </wps:txbx>
                      <wps:bodyPr rot="0" vert="horz" wrap="square" lIns="109728" tIns="45720" rIns="109728" bIns="45720" anchor="t" anchorCtr="0" upright="1"/>
                    </wps:wsp>
                  </a:graphicData>
                </a:graphic>
                <wp14:sizeRelH relativeFrom="margin">
                  <wp14:pctWidth>0</wp14:pctWidth>
                </wp14:sizeRelH>
                <wp14:sizeRelV relativeFrom="margin">
                  <wp14:pctHeight>0</wp14:pctHeight>
                </wp14:sizeRelV>
              </wp:anchor>
            </w:drawing>
          </mc:Choice>
          <mc:Fallback>
            <w:pict>
              <v:shape id="Text Box 2029792926" o:spid="_x0000_s1234" type="#_x0000_t202" alt="P532TB54#y1" style="width:471.25pt;height:188pt;margin-top:1.55pt;margin-left:0;flip:y;mso-height-percent:0;mso-height-relative:margin;mso-position-horizontal:left;mso-position-horizontal-relative:margin;mso-width-percent:0;mso-width-relative:margin;mso-wrap-distance-bottom:0;mso-wrap-distance-left:9pt;mso-wrap-distance-right:9pt;mso-wrap-distance-top:0;mso-wrap-style:square;position:absolute;rotation:180;visibility:visible;v-text-anchor:top;z-index:252037120" fillcolor="#eef5f8" strokecolor="#a5dad9" strokeweight="2.25pt">
                <v:stroke endcap="round"/>
                <v:textbox inset="8.64pt,,8.64pt">
                  <w:txbxContent>
                    <w:p w:rsidR="004D3CAF" w:rsidRPr="00C67B24" w:rsidP="004D3CAF" w14:paraId="6263CE59" w14:textId="77777777">
                      <w:pPr>
                        <w:pStyle w:val="EQRTextboxheading"/>
                      </w:pPr>
                      <w:r w:rsidRPr="004D3CAF">
                        <w:t>Box 11.13 Reporting Evaluation Results in the EQR Technical Report</w:t>
                      </w:r>
                      <w:r>
                        <w:t xml:space="preserve"> </w:t>
                      </w:r>
                    </w:p>
                    <w:p w:rsidR="004D3CAF" w:rsidRPr="00071E1A" w:rsidP="004D3CAF" w14:paraId="29F00DD1" w14:textId="77777777">
                      <w:pPr>
                        <w:pStyle w:val="EQRTextboxbullet"/>
                        <w:numPr>
                          <w:ilvl w:val="0"/>
                          <w:numId w:val="0"/>
                        </w:numPr>
                        <w:rPr>
                          <w:spacing w:val="-2"/>
                        </w:rPr>
                      </w:pPr>
                      <w:r w:rsidRPr="00071E1A">
                        <w:rPr>
                          <w:spacing w:val="-2"/>
                        </w:rPr>
                        <w:t xml:space="preserve">Evaluation findings may be </w:t>
                      </w:r>
                      <w:r>
                        <w:rPr>
                          <w:spacing w:val="-2"/>
                        </w:rPr>
                        <w:t xml:space="preserve">provided </w:t>
                      </w:r>
                      <w:r w:rsidRPr="00071E1A">
                        <w:rPr>
                          <w:spacing w:val="-2"/>
                        </w:rPr>
                        <w:t>through stand-alone reports or other documents. However, the annual EQR technical report must still include sufficient information to support state and federal reporting requirements.</w:t>
                      </w:r>
                    </w:p>
                    <w:p w:rsidR="004D3CAF" w:rsidRPr="00071E1A" w:rsidP="004D3CAF" w14:paraId="794ECA76" w14:textId="77777777">
                      <w:pPr>
                        <w:pStyle w:val="EQRTextboxbullet"/>
                        <w:numPr>
                          <w:ilvl w:val="0"/>
                          <w:numId w:val="0"/>
                        </w:numPr>
                        <w:rPr>
                          <w:spacing w:val="-2"/>
                        </w:rPr>
                      </w:pPr>
                      <w:r w:rsidRPr="00071E1A">
                        <w:rPr>
                          <w:spacing w:val="-2"/>
                        </w:rPr>
                        <w:t>When evaluation results are reported elsewhere, the EQR technical report should:</w:t>
                      </w:r>
                    </w:p>
                    <w:p w:rsidR="004D3CAF" w:rsidRPr="00071E1A" w:rsidP="004D3CAF" w14:paraId="5EBA1244" w14:textId="258C62DF">
                      <w:pPr>
                        <w:pStyle w:val="EQRTextboxbullet"/>
                        <w:numPr>
                          <w:ilvl w:val="0"/>
                          <w:numId w:val="276"/>
                        </w:numPr>
                        <w:ind w:left="288" w:firstLine="0"/>
                        <w:rPr>
                          <w:spacing w:val="-2"/>
                        </w:rPr>
                      </w:pPr>
                      <w:r w:rsidRPr="00071E1A">
                        <w:rPr>
                          <w:spacing w:val="-2"/>
                        </w:rPr>
                        <w:t>Reference and link to the stand-alone publicly available report</w:t>
                      </w:r>
                    </w:p>
                    <w:p w:rsidR="004D3CAF" w:rsidRPr="00071E1A" w:rsidP="004D3CAF" w14:paraId="235BAF38" w14:textId="77777777">
                      <w:pPr>
                        <w:pStyle w:val="EQRTextboxbullet"/>
                        <w:numPr>
                          <w:ilvl w:val="0"/>
                          <w:numId w:val="276"/>
                        </w:numPr>
                        <w:ind w:left="288" w:firstLine="0"/>
                        <w:rPr>
                          <w:spacing w:val="-2"/>
                        </w:rPr>
                      </w:pPr>
                      <w:r w:rsidRPr="00071E1A">
                        <w:rPr>
                          <w:spacing w:val="-2"/>
                        </w:rPr>
                        <w:t>Summarize key findings and results</w:t>
                      </w:r>
                    </w:p>
                    <w:p w:rsidR="004D3CAF" w:rsidRPr="00071E1A" w:rsidP="004D3CAF" w14:paraId="0F5DBC22" w14:textId="77777777">
                      <w:pPr>
                        <w:pStyle w:val="EQRTextboxbullet"/>
                        <w:numPr>
                          <w:ilvl w:val="0"/>
                          <w:numId w:val="276"/>
                        </w:numPr>
                        <w:ind w:left="288" w:firstLine="0"/>
                        <w:rPr>
                          <w:spacing w:val="-2"/>
                        </w:rPr>
                      </w:pPr>
                      <w:r w:rsidRPr="00071E1A">
                        <w:rPr>
                          <w:spacing w:val="-2"/>
                        </w:rPr>
                        <w:t>Include EQRO recommendations based on the evaluation</w:t>
                      </w:r>
                    </w:p>
                    <w:p w:rsidR="004D3CAF" w:rsidRPr="00071E1A" w:rsidP="004D3CAF" w14:paraId="1A070E17" w14:textId="77777777">
                      <w:pPr>
                        <w:pStyle w:val="EQRTextboxbullet"/>
                        <w:numPr>
                          <w:ilvl w:val="0"/>
                          <w:numId w:val="276"/>
                        </w:numPr>
                        <w:ind w:left="288" w:firstLine="0"/>
                        <w:rPr>
                          <w:spacing w:val="-2"/>
                        </w:rPr>
                      </w:pPr>
                      <w:r w:rsidRPr="00071E1A">
                        <w:rPr>
                          <w:spacing w:val="-2"/>
                        </w:rPr>
                        <w:t>Describe any implications for program changes or improvements, as applicable</w:t>
                      </w:r>
                    </w:p>
                    <w:p w:rsidR="004D3CAF" w:rsidRPr="00071E1A" w:rsidP="004D3CAF" w14:paraId="1BB44281" w14:textId="77777777">
                      <w:pPr>
                        <w:pStyle w:val="EQRTextboxbullet"/>
                        <w:numPr>
                          <w:ilvl w:val="0"/>
                          <w:numId w:val="0"/>
                        </w:numPr>
                        <w:rPr>
                          <w:spacing w:val="-2"/>
                        </w:rPr>
                      </w:pPr>
                      <w:r w:rsidRPr="00071E1A">
                        <w:rPr>
                          <w:spacing w:val="-2"/>
                        </w:rPr>
                        <w:t xml:space="preserve">For example, </w:t>
                      </w:r>
                      <w:r>
                        <w:rPr>
                          <w:spacing w:val="-2"/>
                        </w:rPr>
                        <w:t xml:space="preserve">QS </w:t>
                      </w:r>
                      <w:r w:rsidRPr="00EC7049">
                        <w:rPr>
                          <w:spacing w:val="-2"/>
                        </w:rPr>
                        <w:t xml:space="preserve">evaluation results </w:t>
                      </w:r>
                      <w:r>
                        <w:rPr>
                          <w:spacing w:val="-2"/>
                        </w:rPr>
                        <w:t>must</w:t>
                      </w:r>
                      <w:r w:rsidRPr="00EC7049">
                        <w:rPr>
                          <w:spacing w:val="-2"/>
                        </w:rPr>
                        <w:t xml:space="preserve"> be made publicly available through the EQR technical report, a stand-alone report, or updates to the QS. </w:t>
                      </w:r>
                      <w:r>
                        <w:rPr>
                          <w:spacing w:val="-2"/>
                        </w:rPr>
                        <w:t>Regardless of how findings are shared, if</w:t>
                      </w:r>
                      <w:r w:rsidRPr="00EC7049">
                        <w:rPr>
                          <w:spacing w:val="-2"/>
                        </w:rPr>
                        <w:t xml:space="preserve"> the evaluation identifies the need for modifications to the QS, the EQR technical report should summarize those findings and include the EQRO’s recommendations, even if the full evaluation is presented in a separate document.</w:t>
                      </w:r>
                    </w:p>
                    <w:p w:rsidR="00071E1A" w:rsidRPr="0090682E" w:rsidP="00071E1A" w14:paraId="3DB6EC02" w14:textId="77777777">
                      <w:pPr>
                        <w:pStyle w:val="EQRTextboxbullet"/>
                        <w:numPr>
                          <w:ilvl w:val="0"/>
                          <w:numId w:val="0"/>
                        </w:numPr>
                        <w:rPr>
                          <w:spacing w:val="-2"/>
                        </w:rPr>
                      </w:pPr>
                    </w:p>
                  </w:txbxContent>
                </v:textbox>
                <w10:wrap type="tight"/>
              </v:shape>
            </w:pict>
          </mc:Fallback>
        </mc:AlternateContent>
      </w:r>
    </w:p>
    <w:p w:rsidR="00CE5D06" w:rsidP="00666AC0" w14:paraId="1E30C0CE" w14:textId="77777777">
      <w:pPr>
        <w:pStyle w:val="ParagraphContinued"/>
        <w:jc w:val="center"/>
      </w:pPr>
    </w:p>
    <w:p w:rsidR="0045391D" w:rsidRPr="00990D3B" w:rsidP="00666AC0" w14:paraId="34E007E6" w14:textId="3432DC0D">
      <w:pPr>
        <w:pStyle w:val="ParagraphContinued"/>
        <w:jc w:val="center"/>
      </w:pPr>
      <w:r w:rsidRPr="00990D3B">
        <w:t>END OF PROTOCOL 11</w:t>
      </w:r>
    </w:p>
    <w:p w:rsidR="0045391D" w:rsidRPr="00990D3B" w14:paraId="119BC578" w14:textId="6E0101F3">
      <w:pPr>
        <w:spacing w:line="240" w:lineRule="auto"/>
      </w:pPr>
      <w:r w:rsidRPr="00990D3B">
        <w:br w:type="page"/>
      </w:r>
    </w:p>
    <w:p w:rsidR="0045391D" w:rsidRPr="00990D3B" w:rsidP="00666AC0" w14:paraId="1FF347F0" w14:textId="77777777">
      <w:pPr>
        <w:pStyle w:val="H2"/>
      </w:pPr>
      <w:bookmarkStart w:id="1090" w:name="WS11"/>
      <w:bookmarkStart w:id="1091" w:name="_Toc95474487"/>
      <w:bookmarkStart w:id="1092" w:name="_Toc201751459"/>
      <w:bookmarkEnd w:id="1090"/>
      <w:r w:rsidRPr="00990D3B">
        <w:t xml:space="preserve">Worksheets for </w:t>
      </w:r>
      <w:bookmarkEnd w:id="1091"/>
      <w:r w:rsidRPr="00990D3B">
        <w:t>Protocol 11: Evaluation Support Tools</w:t>
      </w:r>
      <w:bookmarkEnd w:id="1092"/>
    </w:p>
    <w:p w:rsidR="0045391D" w:rsidRPr="00990D3B" w:rsidP="00666AC0" w14:paraId="531B96A1" w14:textId="77777777">
      <w:pPr>
        <w:pStyle w:val="EQRNormalSSWORKSHEET"/>
      </w:pPr>
      <w:r w:rsidRPr="00990D3B">
        <w:rPr>
          <w:b/>
        </w:rPr>
        <w:t xml:space="preserve">Instructions. </w:t>
      </w:r>
      <w:r w:rsidRPr="00990D3B">
        <w:t xml:space="preserve">Use these or similar worksheets to assist with evaluating managed care QSs, state directed payments, or in lieu of services and settings. These worksheets provide guides to conducting the various steps in developing and conducting an evaluation. This tool includes the following worksheets </w:t>
      </w:r>
      <w:r w:rsidRPr="00990D3B">
        <w:t>crosswalked</w:t>
      </w:r>
      <w:r w:rsidRPr="00990D3B">
        <w:t xml:space="preserve"> to the applicable Activity and Step(s): </w:t>
      </w:r>
    </w:p>
    <w:tbl>
      <w:tblPr>
        <w:tblStyle w:val="TableGrid"/>
        <w:tblW w:w="5000" w:type="pct"/>
        <w:tblLook w:val="04A0"/>
      </w:tblPr>
      <w:tblGrid>
        <w:gridCol w:w="4675"/>
        <w:gridCol w:w="4675"/>
      </w:tblGrid>
      <w:tr w14:paraId="07EB3124" w14:textId="77777777" w:rsidTr="00666AC0">
        <w:tblPrEx>
          <w:tblW w:w="5000" w:type="pct"/>
          <w:tblLook w:val="04A0"/>
        </w:tblPrEx>
        <w:trPr>
          <w:tblHeader/>
        </w:trPr>
        <w:tc>
          <w:tcPr>
            <w:tcW w:w="4675" w:type="dxa"/>
          </w:tcPr>
          <w:p w:rsidR="0045391D" w:rsidRPr="00990D3B" w:rsidP="00666AC0" w14:paraId="646E9386" w14:textId="77777777">
            <w:pPr>
              <w:pStyle w:val="EQRTableHeaderLeft"/>
              <w:rPr>
                <w:color w:val="auto"/>
              </w:rPr>
            </w:pPr>
            <w:r w:rsidRPr="00990D3B">
              <w:rPr>
                <w:color w:val="auto"/>
              </w:rPr>
              <w:t>Worksheet Name</w:t>
            </w:r>
          </w:p>
        </w:tc>
        <w:tc>
          <w:tcPr>
            <w:tcW w:w="4675" w:type="dxa"/>
          </w:tcPr>
          <w:p w:rsidR="0045391D" w:rsidRPr="00990D3B" w:rsidP="00666AC0" w14:paraId="011E713F" w14:textId="77777777">
            <w:pPr>
              <w:pStyle w:val="EQRTableHeaderCenter"/>
              <w:rPr>
                <w:color w:val="auto"/>
              </w:rPr>
            </w:pPr>
            <w:r w:rsidRPr="00990D3B">
              <w:rPr>
                <w:color w:val="auto"/>
              </w:rPr>
              <w:t>Protocol Activity and Step</w:t>
            </w:r>
          </w:p>
        </w:tc>
      </w:tr>
      <w:tr w14:paraId="3FD125EB" w14:textId="77777777" w:rsidTr="00666AC0">
        <w:tblPrEx>
          <w:tblW w:w="5000" w:type="pct"/>
          <w:tblLook w:val="04A0"/>
        </w:tblPrEx>
        <w:tc>
          <w:tcPr>
            <w:tcW w:w="4675" w:type="dxa"/>
          </w:tcPr>
          <w:p w:rsidR="0045391D" w:rsidRPr="00990D3B" w:rsidP="00666AC0" w14:paraId="64C8EED8" w14:textId="4B3AC9E6">
            <w:pPr>
              <w:pStyle w:val="EQRTableText"/>
            </w:pPr>
            <w:hyperlink w:anchor="WS11n1" w:tooltip="Worksheet 11.1. Evaluation Setup" w:history="1">
              <w:r w:rsidRPr="00990D3B">
                <w:rPr>
                  <w:rStyle w:val="Hyperlink"/>
                </w:rPr>
                <w:t>Worksheet 11.1. Evaluation Setup</w:t>
              </w:r>
            </w:hyperlink>
          </w:p>
        </w:tc>
        <w:tc>
          <w:tcPr>
            <w:tcW w:w="4675" w:type="dxa"/>
          </w:tcPr>
          <w:p w:rsidR="0045391D" w:rsidRPr="00990D3B" w:rsidP="00666AC0" w14:paraId="0B7FC5BA" w14:textId="77777777">
            <w:pPr>
              <w:pStyle w:val="EQRTableText"/>
            </w:pPr>
            <w:hyperlink w:anchor="P1A1Step1" w:tooltip="Activity 1. Step 1. Review the Selected PIP Topic" w:history="1">
              <w:r w:rsidRPr="00990D3B">
                <w:rPr>
                  <w:rStyle w:val="Hyperlink"/>
                </w:rPr>
                <w:t>Activity 1. Step 1. Identify</w:t>
              </w:r>
            </w:hyperlink>
            <w:r w:rsidRPr="00990D3B">
              <w:rPr>
                <w:rStyle w:val="Hyperlink"/>
              </w:rPr>
              <w:t xml:space="preserve"> Evaluation Purpose, Scope, and Requirements</w:t>
            </w:r>
            <w:r w:rsidRPr="00990D3B">
              <w:t xml:space="preserve"> </w:t>
            </w:r>
          </w:p>
        </w:tc>
      </w:tr>
      <w:tr w14:paraId="11C424E8" w14:textId="77777777" w:rsidTr="00666AC0">
        <w:tblPrEx>
          <w:tblW w:w="5000" w:type="pct"/>
          <w:tblLook w:val="04A0"/>
        </w:tblPrEx>
        <w:tc>
          <w:tcPr>
            <w:tcW w:w="4675" w:type="dxa"/>
          </w:tcPr>
          <w:p w:rsidR="0045391D" w:rsidRPr="00990D3B" w:rsidP="00666AC0" w14:paraId="55A88ECC" w14:textId="1446D9C0">
            <w:pPr>
              <w:pStyle w:val="EQRTableText"/>
            </w:pPr>
            <w:hyperlink w:anchor="WS11n2" w:tooltip="Worksheet 11.2. Evaluation Metric Identification Template" w:history="1">
              <w:r w:rsidRPr="00990D3B">
                <w:rPr>
                  <w:rStyle w:val="Hyperlink"/>
                </w:rPr>
                <w:t>Worksheet 11.2. Evaluation Metric Identification Template</w:t>
              </w:r>
            </w:hyperlink>
            <w:r w:rsidRPr="00990D3B">
              <w:rPr>
                <w:rStyle w:val="Hyperlink"/>
              </w:rPr>
              <w:t xml:space="preserve"> </w:t>
            </w:r>
          </w:p>
        </w:tc>
        <w:tc>
          <w:tcPr>
            <w:tcW w:w="4675" w:type="dxa"/>
          </w:tcPr>
          <w:p w:rsidR="0045391D" w:rsidRPr="00990D3B" w:rsidP="00666AC0" w14:paraId="3E7B0D90" w14:textId="77777777">
            <w:pPr>
              <w:pStyle w:val="EQRTableText"/>
            </w:pPr>
            <w:hyperlink w:anchor="P1A1Step2" w:tooltip="Activity 1. Step. 2. Review the PIP Aim Statement" w:history="1">
              <w:r w:rsidRPr="00990D3B">
                <w:rPr>
                  <w:rStyle w:val="Hyperlink"/>
                </w:rPr>
                <w:t>Activity 1. Steps 2, 3, and 4. Define</w:t>
              </w:r>
            </w:hyperlink>
            <w:r w:rsidRPr="00990D3B">
              <w:rPr>
                <w:rStyle w:val="Hyperlink"/>
              </w:rPr>
              <w:t xml:space="preserve"> the Research Question(s), Select Metrics, and Identify Baseline Period and Performance Targets</w:t>
            </w:r>
          </w:p>
        </w:tc>
      </w:tr>
      <w:tr w14:paraId="23CC1148" w14:textId="77777777" w:rsidTr="00666AC0">
        <w:tblPrEx>
          <w:tblW w:w="5000" w:type="pct"/>
          <w:tblLook w:val="04A0"/>
        </w:tblPrEx>
        <w:tc>
          <w:tcPr>
            <w:tcW w:w="4675" w:type="dxa"/>
          </w:tcPr>
          <w:p w:rsidR="0045391D" w:rsidRPr="00990D3B" w:rsidP="00666AC0" w14:paraId="2CC898B9" w14:textId="4D0ECF0F">
            <w:pPr>
              <w:pStyle w:val="EQRTableText"/>
            </w:pPr>
            <w:hyperlink w:anchor="WS11n3" w:tooltip="Worksheet 11.3. Evaluation Metrics, Baseline, and Performance Targets" w:history="1">
              <w:r w:rsidRPr="00990D3B">
                <w:rPr>
                  <w:rStyle w:val="Hyperlink"/>
                </w:rPr>
                <w:t>Worksheet 11.3. Evaluation Metrics, Baseline, and Performance Targets</w:t>
              </w:r>
            </w:hyperlink>
          </w:p>
        </w:tc>
        <w:tc>
          <w:tcPr>
            <w:tcW w:w="4675" w:type="dxa"/>
          </w:tcPr>
          <w:p w:rsidR="0045391D" w:rsidRPr="00990D3B" w:rsidP="00666AC0" w14:paraId="2697ACC7" w14:textId="77777777">
            <w:pPr>
              <w:pStyle w:val="EQRTableText"/>
            </w:pPr>
            <w:hyperlink w:anchor="P1A1Step2" w:tooltip="Activity 1. Step. 2. Review the PIP Aim Statement" w:history="1">
              <w:r w:rsidRPr="00990D3B">
                <w:rPr>
                  <w:rStyle w:val="Hyperlink"/>
                </w:rPr>
                <w:t>Activity 1. Steps 2, 3, and 4. Define</w:t>
              </w:r>
            </w:hyperlink>
            <w:r w:rsidRPr="00990D3B">
              <w:rPr>
                <w:rStyle w:val="Hyperlink"/>
              </w:rPr>
              <w:t xml:space="preserve"> the Research Question(s), Select Metrics, and Identify Baseline Period and Performance Targets</w:t>
            </w:r>
          </w:p>
        </w:tc>
      </w:tr>
      <w:tr w14:paraId="469F066C" w14:textId="77777777" w:rsidTr="00666AC0">
        <w:tblPrEx>
          <w:tblW w:w="5000" w:type="pct"/>
          <w:tblLook w:val="04A0"/>
        </w:tblPrEx>
        <w:tc>
          <w:tcPr>
            <w:tcW w:w="4675" w:type="dxa"/>
          </w:tcPr>
          <w:p w:rsidR="0045391D" w:rsidRPr="00990D3B" w:rsidP="00666AC0" w14:paraId="66BFB977" w14:textId="51EE796F">
            <w:pPr>
              <w:pStyle w:val="EQRTableText"/>
              <w:rPr>
                <w:color w:val="1CA8B7"/>
              </w:rPr>
            </w:pPr>
            <w:hyperlink w:anchor="WS11n4" w:tooltip="Worksheet 11.4. Analysis Plan Template" w:history="1">
              <w:r w:rsidRPr="00990D3B">
                <w:rPr>
                  <w:rStyle w:val="Hyperlink"/>
                </w:rPr>
                <w:t>Worksheet 11.4. Analysis Plan Template</w:t>
              </w:r>
            </w:hyperlink>
          </w:p>
        </w:tc>
        <w:tc>
          <w:tcPr>
            <w:tcW w:w="4675" w:type="dxa"/>
          </w:tcPr>
          <w:p w:rsidR="0045391D" w:rsidRPr="00990D3B" w:rsidP="00666AC0" w14:paraId="643B00EA" w14:textId="77777777">
            <w:pPr>
              <w:pStyle w:val="EQRTableText"/>
            </w:pPr>
            <w:hyperlink w:anchor="P1A1Step4" w:tooltip="Activity 1. Step 4. Review the Sampling Method" w:history="1">
              <w:r w:rsidRPr="00990D3B">
                <w:rPr>
                  <w:rStyle w:val="Hyperlink"/>
                </w:rPr>
                <w:t>Activity 1. Step 5. Develop</w:t>
              </w:r>
            </w:hyperlink>
            <w:r w:rsidRPr="00990D3B">
              <w:rPr>
                <w:rStyle w:val="Hyperlink"/>
              </w:rPr>
              <w:t xml:space="preserve"> the Analysis Plan</w:t>
            </w:r>
          </w:p>
        </w:tc>
      </w:tr>
      <w:tr w14:paraId="594FA475" w14:textId="77777777" w:rsidTr="00666AC0">
        <w:tblPrEx>
          <w:tblW w:w="5000" w:type="pct"/>
          <w:tblLook w:val="04A0"/>
        </w:tblPrEx>
        <w:tc>
          <w:tcPr>
            <w:tcW w:w="4675" w:type="dxa"/>
          </w:tcPr>
          <w:p w:rsidR="0045391D" w:rsidRPr="00990D3B" w:rsidP="00666AC0" w14:paraId="5DC628E9" w14:textId="2C0453D4">
            <w:pPr>
              <w:pStyle w:val="EQRTableText"/>
            </w:pPr>
            <w:hyperlink w:anchor="WS11n5" w:tooltip="Worksheet 11.5. Evaluation Timeline" w:history="1">
              <w:r w:rsidRPr="00990D3B">
                <w:rPr>
                  <w:rStyle w:val="Hyperlink"/>
                </w:rPr>
                <w:t>Worksheet 11.5. Evaluation Timeline</w:t>
              </w:r>
            </w:hyperlink>
          </w:p>
        </w:tc>
        <w:tc>
          <w:tcPr>
            <w:tcW w:w="4675" w:type="dxa"/>
          </w:tcPr>
          <w:p w:rsidR="0045391D" w:rsidRPr="00990D3B" w:rsidP="00666AC0" w14:paraId="161C5E05" w14:textId="77777777">
            <w:pPr>
              <w:pStyle w:val="EQRTableText"/>
            </w:pPr>
            <w:hyperlink w:anchor="P1A1Step4" w:tooltip="Activity 1. Step 4. Review the Sampling Method" w:history="1">
              <w:r w:rsidRPr="00990D3B">
                <w:rPr>
                  <w:rStyle w:val="Hyperlink"/>
                </w:rPr>
                <w:t>Activity 1. Step 5. Develop</w:t>
              </w:r>
            </w:hyperlink>
            <w:r w:rsidRPr="00990D3B">
              <w:rPr>
                <w:rStyle w:val="Hyperlink"/>
              </w:rPr>
              <w:t xml:space="preserve"> the Analysis Plan</w:t>
            </w:r>
          </w:p>
        </w:tc>
      </w:tr>
      <w:tr w14:paraId="0CB98048" w14:textId="77777777" w:rsidTr="00666AC0">
        <w:tblPrEx>
          <w:tblW w:w="5000" w:type="pct"/>
          <w:tblLook w:val="04A0"/>
        </w:tblPrEx>
        <w:tc>
          <w:tcPr>
            <w:tcW w:w="4675" w:type="dxa"/>
          </w:tcPr>
          <w:p w:rsidR="0045391D" w:rsidRPr="00990D3B" w:rsidP="00666AC0" w14:paraId="5F64F0A6" w14:textId="2114C9CB">
            <w:pPr>
              <w:pStyle w:val="EQRTableText"/>
            </w:pPr>
            <w:hyperlink w:anchor="WS11n6" w:tooltip="Worksheet 11.6. Checklist for Evaluation Report" w:history="1">
              <w:r w:rsidRPr="00990D3B">
                <w:rPr>
                  <w:rStyle w:val="Hyperlink"/>
                </w:rPr>
                <w:t>Worksheet 11.6. Checklist for Evaluation Report</w:t>
              </w:r>
            </w:hyperlink>
          </w:p>
        </w:tc>
        <w:tc>
          <w:tcPr>
            <w:tcW w:w="4675" w:type="dxa"/>
          </w:tcPr>
          <w:p w:rsidR="0045391D" w:rsidRPr="00990D3B" w:rsidP="00666AC0" w14:paraId="3E70E978" w14:textId="77777777">
            <w:pPr>
              <w:pStyle w:val="EQRTableText"/>
            </w:pPr>
            <w:hyperlink w:anchor="P1A1Step5" w:tooltip="Activity 1. Step 5. Review the Selected PIP Variables" w:history="1">
              <w:r w:rsidRPr="00990D3B">
                <w:rPr>
                  <w:rStyle w:val="Hyperlink"/>
                </w:rPr>
                <w:t>Activity 3. Report Results to the State</w:t>
              </w:r>
            </w:hyperlink>
          </w:p>
        </w:tc>
      </w:tr>
      <w:tr w14:paraId="1C30C796" w14:textId="77777777" w:rsidTr="00666AC0">
        <w:tblPrEx>
          <w:tblW w:w="5000" w:type="pct"/>
          <w:tblLook w:val="04A0"/>
        </w:tblPrEx>
        <w:tc>
          <w:tcPr>
            <w:tcW w:w="4675" w:type="dxa"/>
          </w:tcPr>
          <w:p w:rsidR="0045391D" w:rsidRPr="00990D3B" w:rsidP="00666AC0" w14:paraId="437AFBE9" w14:textId="785F13B6">
            <w:pPr>
              <w:pStyle w:val="EQRTableText"/>
              <w:rPr>
                <w:rStyle w:val="Hyperlink"/>
              </w:rPr>
            </w:pPr>
            <w:hyperlink w:anchor="WS11n7" w:tooltip="Worksheet 11.7. Evaluation Performance Metric Results Template" w:history="1">
              <w:r w:rsidRPr="00990D3B">
                <w:rPr>
                  <w:rStyle w:val="Hyperlink"/>
                </w:rPr>
                <w:t>Worksheet 11.7. Evaluation Performance Metric Results Template</w:t>
              </w:r>
            </w:hyperlink>
          </w:p>
        </w:tc>
        <w:tc>
          <w:tcPr>
            <w:tcW w:w="4675" w:type="dxa"/>
          </w:tcPr>
          <w:p w:rsidR="0045391D" w:rsidRPr="00990D3B" w:rsidP="00666AC0" w14:paraId="601EE47F" w14:textId="77777777">
            <w:pPr>
              <w:pStyle w:val="EQRTableText"/>
            </w:pPr>
            <w:r w:rsidRPr="00990D3B">
              <w:rPr>
                <w:rStyle w:val="Hyperlink"/>
              </w:rPr>
              <w:t>Activity 3. Report Results to the State</w:t>
            </w:r>
          </w:p>
        </w:tc>
      </w:tr>
    </w:tbl>
    <w:p w:rsidR="0045391D" w:rsidRPr="00990D3B" w:rsidP="00666AC0" w14:paraId="16658B1A" w14:textId="77777777">
      <w:pPr>
        <w:pStyle w:val="Paragraph0"/>
      </w:pPr>
    </w:p>
    <w:p w:rsidR="0045391D" w:rsidRPr="00990D3B" w14:paraId="50963478" w14:textId="77777777">
      <w:pPr>
        <w:spacing w:line="240" w:lineRule="auto"/>
      </w:pPr>
      <w:r w:rsidRPr="00990D3B">
        <w:br w:type="page"/>
      </w:r>
    </w:p>
    <w:p w:rsidR="0045391D" w:rsidRPr="00990D3B" w:rsidP="00666AC0" w14:paraId="2D67B922" w14:textId="77777777">
      <w:pPr>
        <w:pStyle w:val="EQRMarkforExhibitWORKSHEET"/>
      </w:pPr>
      <w:bookmarkStart w:id="1093" w:name="WS11n1"/>
      <w:bookmarkStart w:id="1094" w:name="_Toc201751564"/>
      <w:bookmarkEnd w:id="1093"/>
      <w:r w:rsidRPr="00990D3B">
        <w:t>Worksheet 11.1. Evaluation Setup</w:t>
      </w:r>
      <w:bookmarkEnd w:id="1094"/>
      <w:r w:rsidRPr="00990D3B">
        <w:t xml:space="preserve"> </w:t>
      </w:r>
    </w:p>
    <w:p w:rsidR="0045391D" w:rsidRPr="00990D3B" w:rsidP="00225946" w14:paraId="7F362983" w14:textId="77777777">
      <w:pPr>
        <w:pStyle w:val="EQRNormalSSWORKSHEET"/>
        <w:spacing w:after="120"/>
        <w:rPr>
          <w:b/>
          <w:bCs/>
        </w:rPr>
      </w:pPr>
      <w:r w:rsidRPr="00990D3B">
        <w:rPr>
          <w:b/>
          <w:bCs/>
        </w:rPr>
        <w:t>Evaluation Type</w:t>
      </w:r>
      <w:r w:rsidRPr="00990D3B">
        <w:rPr>
          <w:b/>
          <w:bCs/>
        </w:rPr>
        <w:t>:  [  ]</w:t>
      </w:r>
      <w:r w:rsidRPr="00990D3B">
        <w:rPr>
          <w:b/>
          <w:bCs/>
        </w:rPr>
        <w:t xml:space="preserve">  </w:t>
      </w:r>
      <w:r w:rsidRPr="00990D3B">
        <w:rPr>
          <w:b/>
          <w:bCs/>
        </w:rPr>
        <w:t>QS  [  ]</w:t>
      </w:r>
      <w:r w:rsidRPr="00990D3B">
        <w:rPr>
          <w:b/>
          <w:bCs/>
        </w:rPr>
        <w:t xml:space="preserve">  SDP</w:t>
      </w:r>
      <w:r w:rsidRPr="00990D3B">
        <w:rPr>
          <w:b/>
          <w:bCs/>
        </w:rPr>
        <w:t xml:space="preserve">   [  ]</w:t>
      </w:r>
      <w:r w:rsidRPr="00990D3B">
        <w:rPr>
          <w:b/>
          <w:bCs/>
        </w:rPr>
        <w:t xml:space="preserve">  ILOS </w:t>
      </w:r>
    </w:p>
    <w:p w:rsidR="0045391D" w:rsidRPr="00990D3B" w:rsidP="00225946" w14:paraId="5BE37076" w14:textId="77777777">
      <w:pPr>
        <w:pStyle w:val="EQRNormalSSWORKSHEET"/>
        <w:spacing w:after="120"/>
      </w:pPr>
      <w:r w:rsidRPr="00990D3B">
        <w:rPr>
          <w:b/>
          <w:bCs/>
        </w:rPr>
        <w:t>Instructions.</w:t>
      </w:r>
      <w:r w:rsidRPr="00990D3B">
        <w:t xml:space="preserve"> Use this worksheet to define the evaluation's purpose, scope, and requirements. Outlining these elements will help ensure the evaluation is structured effectively, meets necessary guidelines, and provides meaningful insights. </w:t>
      </w:r>
    </w:p>
    <w:p w:rsidR="0045391D" w:rsidRPr="00990D3B" w:rsidP="00225946" w14:paraId="3F5E5208" w14:textId="77777777">
      <w:pPr>
        <w:pStyle w:val="EQRNormalSSWORKSHEET"/>
        <w:spacing w:after="120"/>
      </w:pPr>
      <w:r w:rsidRPr="00990D3B">
        <w:t xml:space="preserve">Tailor responses to the specific evaluation type. Not all questions are relevant to each evaluation type. For example, Question 2.4, “Which managed care populations should be included in the evaluation,” may be less relevant for SDP evaluations as SDPs are typically provider-focused rather than beneficiary-focused. If a question does not apply to the evaluation type, list “all” or “Not applicable (N/A)” as appropriate. </w:t>
      </w:r>
    </w:p>
    <w:p w:rsidR="0045391D" w:rsidRPr="00990D3B" w:rsidP="00225946" w14:paraId="207DDDB7" w14:textId="77777777">
      <w:pPr>
        <w:pStyle w:val="EQRNormalSSWORKSHEET"/>
        <w:spacing w:after="120"/>
        <w:rPr>
          <w:rFonts w:asciiTheme="majorHAnsi" w:hAnsiTheme="majorHAnsi" w:cstheme="majorHAnsi"/>
        </w:rPr>
      </w:pPr>
      <w:r w:rsidRPr="00990D3B">
        <w:t>Acronyms: AMC = Academic Medical Centers; CHIP = Children’s Health Insurance Program; ILOS = In Lieu of Services and Settings; LTSS= Long-Term Services &amp; Supports; MCP = Managed Care Plan; PCP= Primary Care Providers; QS = Quality Strategy; SDP = State Directe</w:t>
      </w:r>
      <w:r w:rsidRPr="00990D3B">
        <w:rPr>
          <w:rFonts w:asciiTheme="majorHAnsi" w:hAnsiTheme="majorHAnsi" w:cstheme="majorHAnsi"/>
        </w:rPr>
        <w:t xml:space="preserve">d Payment; SUD = </w:t>
      </w:r>
      <w:r w:rsidRPr="00990D3B">
        <w:rPr>
          <w:rFonts w:asciiTheme="majorHAnsi" w:hAnsiTheme="majorHAnsi" w:cstheme="majorHAnsi"/>
        </w:rPr>
        <w:t>Substance Use Disorder</w:t>
      </w:r>
      <w:r w:rsidRPr="00990D3B">
        <w:rPr>
          <w:rFonts w:asciiTheme="majorHAnsi" w:hAnsiTheme="majorHAnsi" w:cstheme="majorHAnsi"/>
        </w:rPr>
        <w:t>.</w:t>
      </w:r>
    </w:p>
    <w:tbl>
      <w:tblPr>
        <w:tblStyle w:val="TableGrid"/>
        <w:tblW w:w="4955" w:type="pct"/>
        <w:tblLayout w:type="fixed"/>
        <w:tblLook w:val="04A0"/>
      </w:tblPr>
      <w:tblGrid>
        <w:gridCol w:w="9266"/>
      </w:tblGrid>
      <w:tr w14:paraId="6E8DC82F" w14:textId="77777777" w:rsidTr="00225946">
        <w:tblPrEx>
          <w:tblW w:w="4955" w:type="pct"/>
          <w:tblLayout w:type="fixed"/>
          <w:tblLook w:val="04A0"/>
        </w:tblPrEx>
        <w:trPr>
          <w:cantSplit/>
          <w:trHeight w:val="20"/>
          <w:tblHeader/>
        </w:trPr>
        <w:tc>
          <w:tcPr>
            <w:tcW w:w="9265" w:type="dxa"/>
            <w:vAlign w:val="bottom"/>
          </w:tcPr>
          <w:p w:rsidR="0045391D" w:rsidRPr="00990D3B" w:rsidP="00666AC0" w14:paraId="4342A3AC" w14:textId="77777777">
            <w:pPr>
              <w:pStyle w:val="EQRTableHeaderCenter"/>
              <w:jc w:val="left"/>
              <w:rPr>
                <w:rFonts w:cs="Arial"/>
                <w:color w:val="000000" w:themeColor="text1"/>
                <w:szCs w:val="18"/>
              </w:rPr>
            </w:pPr>
            <w:r w:rsidRPr="00990D3B">
              <w:rPr>
                <w:rFonts w:cs="Arial"/>
                <w:color w:val="000000" w:themeColor="text1"/>
                <w:szCs w:val="18"/>
              </w:rPr>
              <w:t>Title of QS/SDP/ILOS:</w:t>
            </w:r>
          </w:p>
        </w:tc>
      </w:tr>
      <w:tr w14:paraId="1D885621" w14:textId="77777777" w:rsidTr="00225946">
        <w:tblPrEx>
          <w:tblW w:w="4955" w:type="pct"/>
          <w:tblLayout w:type="fixed"/>
          <w:tblLook w:val="04A0"/>
        </w:tblPrEx>
        <w:trPr>
          <w:cantSplit/>
          <w:trHeight w:val="20"/>
          <w:tblHeader/>
        </w:trPr>
        <w:tc>
          <w:tcPr>
            <w:tcW w:w="9265" w:type="dxa"/>
          </w:tcPr>
          <w:p w:rsidR="0045391D" w:rsidRPr="00990D3B" w:rsidP="002D35CF" w14:paraId="5045B6F3" w14:textId="77777777">
            <w:pPr>
              <w:pStyle w:val="EQRTableText"/>
              <w:numPr>
                <w:ilvl w:val="0"/>
                <w:numId w:val="225"/>
              </w:numPr>
              <w:rPr>
                <w:rFonts w:cs="Arial"/>
                <w:b/>
                <w:bCs/>
                <w:szCs w:val="18"/>
              </w:rPr>
            </w:pPr>
            <w:r w:rsidRPr="00990D3B">
              <w:rPr>
                <w:rFonts w:cs="Arial"/>
                <w:b/>
                <w:bCs/>
                <w:szCs w:val="18"/>
              </w:rPr>
              <w:t>Evaluation Purpose</w:t>
            </w:r>
          </w:p>
        </w:tc>
      </w:tr>
      <w:tr w14:paraId="14B98DED" w14:textId="77777777" w:rsidTr="00225946">
        <w:tblPrEx>
          <w:tblW w:w="4955" w:type="pct"/>
          <w:tblLayout w:type="fixed"/>
          <w:tblLook w:val="04A0"/>
        </w:tblPrEx>
        <w:trPr>
          <w:cantSplit/>
          <w:trHeight w:val="20"/>
          <w:tblHeader/>
        </w:trPr>
        <w:tc>
          <w:tcPr>
            <w:tcW w:w="9265" w:type="dxa"/>
          </w:tcPr>
          <w:p w:rsidR="002B1219" w:rsidRPr="00990D3B" w:rsidP="002D35CF" w14:paraId="02E74935" w14:textId="37F34257">
            <w:pPr>
              <w:pStyle w:val="EQRTableText"/>
              <w:numPr>
                <w:ilvl w:val="1"/>
                <w:numId w:val="231"/>
              </w:numPr>
              <w:rPr>
                <w:rFonts w:cs="Arial"/>
                <w:szCs w:val="18"/>
              </w:rPr>
            </w:pPr>
            <w:r w:rsidRPr="00990D3B">
              <w:rPr>
                <w:rFonts w:cs="Arial"/>
                <w:szCs w:val="18"/>
              </w:rPr>
              <w:t xml:space="preserve">What is/are the goal(s) of this evaluation (e.g., evaluate whether the introduction of the ILOS expanded access to community-based services and </w:t>
            </w:r>
            <w:r w:rsidRPr="00990D3B">
              <w:rPr>
                <w:rFonts w:cs="Arial"/>
                <w:szCs w:val="18"/>
              </w:rPr>
              <w:t>inform</w:t>
            </w:r>
            <w:r w:rsidRPr="00990D3B">
              <w:rPr>
                <w:rFonts w:cs="Arial"/>
                <w:szCs w:val="18"/>
              </w:rPr>
              <w:t xml:space="preserve"> decisions about sustaining or scaling specific ILOS offerings)? </w:t>
            </w:r>
          </w:p>
          <w:p w:rsidR="00C97799" w:rsidRPr="00990D3B" w:rsidP="00C97799" w14:paraId="1054A00D" w14:textId="77777777">
            <w:pPr>
              <w:pStyle w:val="EQRTableText"/>
              <w:ind w:left="360"/>
              <w:rPr>
                <w:rFonts w:cs="Arial"/>
                <w:szCs w:val="18"/>
              </w:rPr>
            </w:pPr>
          </w:p>
          <w:p w:rsidR="002B1219" w:rsidRPr="00990D3B" w:rsidP="002B1219" w14:paraId="125CFF44" w14:textId="629A890D">
            <w:pPr>
              <w:pStyle w:val="EQRTableText"/>
              <w:ind w:left="360"/>
              <w:rPr>
                <w:rFonts w:cs="Arial"/>
                <w:szCs w:val="18"/>
              </w:rPr>
            </w:pPr>
          </w:p>
        </w:tc>
      </w:tr>
      <w:tr w14:paraId="1A5FE027" w14:textId="77777777" w:rsidTr="00225946">
        <w:tblPrEx>
          <w:tblW w:w="4955" w:type="pct"/>
          <w:tblLayout w:type="fixed"/>
          <w:tblLook w:val="04A0"/>
        </w:tblPrEx>
        <w:trPr>
          <w:cantSplit/>
          <w:trHeight w:val="20"/>
          <w:tblHeader/>
        </w:trPr>
        <w:tc>
          <w:tcPr>
            <w:tcW w:w="9265" w:type="dxa"/>
          </w:tcPr>
          <w:p w:rsidR="0045391D" w:rsidRPr="00990D3B" w:rsidP="002D35CF" w14:paraId="0F71AAE5" w14:textId="16B5BCDB">
            <w:pPr>
              <w:pStyle w:val="EQRTableText"/>
              <w:numPr>
                <w:ilvl w:val="1"/>
                <w:numId w:val="231"/>
              </w:numPr>
              <w:rPr>
                <w:rFonts w:cs="Arial"/>
                <w:szCs w:val="18"/>
              </w:rPr>
            </w:pPr>
            <w:r w:rsidRPr="00990D3B">
              <w:rPr>
                <w:rFonts w:cs="Arial"/>
                <w:szCs w:val="18"/>
              </w:rPr>
              <w:t xml:space="preserve">What decisions will the evaluation inform (e.g., assess whether an SDP should be continued, modified, or discontinued)? </w:t>
            </w:r>
          </w:p>
          <w:p w:rsidR="002B1219" w:rsidRPr="00990D3B" w:rsidP="002B1219" w14:paraId="0160FDE8" w14:textId="77777777">
            <w:pPr>
              <w:pStyle w:val="EQRTableText"/>
              <w:ind w:left="360"/>
              <w:rPr>
                <w:rFonts w:cs="Arial"/>
                <w:szCs w:val="18"/>
              </w:rPr>
            </w:pPr>
          </w:p>
          <w:p w:rsidR="002B1219" w:rsidRPr="00990D3B" w:rsidP="002B1219" w14:paraId="2D8675BF" w14:textId="77777777">
            <w:pPr>
              <w:pStyle w:val="EQRTableText"/>
              <w:ind w:left="360"/>
              <w:rPr>
                <w:rFonts w:cs="Arial"/>
                <w:szCs w:val="18"/>
              </w:rPr>
            </w:pPr>
          </w:p>
        </w:tc>
      </w:tr>
      <w:tr w14:paraId="527AE476" w14:textId="77777777" w:rsidTr="00225946">
        <w:tblPrEx>
          <w:tblW w:w="4955" w:type="pct"/>
          <w:tblLayout w:type="fixed"/>
          <w:tblLook w:val="04A0"/>
        </w:tblPrEx>
        <w:trPr>
          <w:cantSplit/>
          <w:trHeight w:val="20"/>
          <w:tblHeader/>
        </w:trPr>
        <w:tc>
          <w:tcPr>
            <w:tcW w:w="9265" w:type="dxa"/>
          </w:tcPr>
          <w:p w:rsidR="0045391D" w:rsidRPr="00990D3B" w:rsidP="002D35CF" w14:paraId="6B2701BF" w14:textId="77777777">
            <w:pPr>
              <w:pStyle w:val="EQRTableText"/>
              <w:numPr>
                <w:ilvl w:val="0"/>
                <w:numId w:val="225"/>
              </w:numPr>
              <w:rPr>
                <w:rFonts w:cs="Arial"/>
                <w:b/>
                <w:bCs/>
                <w:szCs w:val="18"/>
              </w:rPr>
            </w:pPr>
            <w:r w:rsidRPr="00990D3B">
              <w:rPr>
                <w:rFonts w:cs="Arial"/>
                <w:b/>
                <w:bCs/>
                <w:szCs w:val="18"/>
              </w:rPr>
              <w:t>Evaluation Scope</w:t>
            </w:r>
          </w:p>
        </w:tc>
      </w:tr>
      <w:tr w14:paraId="17FB0983" w14:textId="77777777" w:rsidTr="00225946">
        <w:tblPrEx>
          <w:tblW w:w="4955" w:type="pct"/>
          <w:tblLayout w:type="fixed"/>
          <w:tblLook w:val="04A0"/>
        </w:tblPrEx>
        <w:trPr>
          <w:cantSplit/>
          <w:trHeight w:val="20"/>
          <w:tblHeader/>
        </w:trPr>
        <w:tc>
          <w:tcPr>
            <w:tcW w:w="9265" w:type="dxa"/>
          </w:tcPr>
          <w:p w:rsidR="0045391D" w:rsidRPr="00990D3B" w:rsidP="002D35CF" w14:paraId="78135A64" w14:textId="197FA580">
            <w:pPr>
              <w:pStyle w:val="EQRTableText"/>
              <w:numPr>
                <w:ilvl w:val="1"/>
                <w:numId w:val="107"/>
              </w:numPr>
              <w:rPr>
                <w:rFonts w:cs="Arial"/>
                <w:szCs w:val="18"/>
              </w:rPr>
            </w:pPr>
            <w:r w:rsidRPr="00990D3B">
              <w:rPr>
                <w:rFonts w:cs="Arial"/>
                <w:szCs w:val="18"/>
              </w:rPr>
              <w:t>What initiatives, interventions, or policies are being evaluated?</w:t>
            </w:r>
          </w:p>
          <w:p w:rsidR="002B1219" w:rsidRPr="00990D3B" w:rsidP="002B1219" w14:paraId="4F9B683F" w14:textId="77777777">
            <w:pPr>
              <w:pStyle w:val="EQRTableText"/>
              <w:ind w:left="360"/>
              <w:rPr>
                <w:rFonts w:cs="Arial"/>
                <w:szCs w:val="18"/>
              </w:rPr>
            </w:pPr>
          </w:p>
        </w:tc>
      </w:tr>
      <w:tr w14:paraId="25BAB25D" w14:textId="77777777" w:rsidTr="00225946">
        <w:tblPrEx>
          <w:tblW w:w="4955" w:type="pct"/>
          <w:tblLayout w:type="fixed"/>
          <w:tblLook w:val="04A0"/>
        </w:tblPrEx>
        <w:trPr>
          <w:cantSplit/>
          <w:trHeight w:val="20"/>
          <w:tblHeader/>
        </w:trPr>
        <w:tc>
          <w:tcPr>
            <w:tcW w:w="9265" w:type="dxa"/>
          </w:tcPr>
          <w:p w:rsidR="0045391D" w:rsidRPr="00990D3B" w:rsidP="002D35CF" w14:paraId="4B050634" w14:textId="1ACBCF6F">
            <w:pPr>
              <w:pStyle w:val="EQRTableText"/>
              <w:numPr>
                <w:ilvl w:val="1"/>
                <w:numId w:val="107"/>
              </w:numPr>
              <w:rPr>
                <w:rFonts w:cs="Arial"/>
                <w:szCs w:val="18"/>
              </w:rPr>
            </w:pPr>
            <w:r w:rsidRPr="00990D3B">
              <w:rPr>
                <w:rFonts w:cs="Arial"/>
                <w:szCs w:val="18"/>
              </w:rPr>
              <w:t>What time frame does the evaluation cover (e.g., what is the SDP approval period)?</w:t>
            </w:r>
          </w:p>
          <w:p w:rsidR="002B1219" w:rsidRPr="00990D3B" w:rsidP="002B1219" w14:paraId="14A8AB27" w14:textId="77777777">
            <w:pPr>
              <w:pStyle w:val="EQRTableText"/>
              <w:ind w:left="360"/>
              <w:rPr>
                <w:rFonts w:cs="Arial"/>
                <w:szCs w:val="18"/>
              </w:rPr>
            </w:pPr>
          </w:p>
        </w:tc>
      </w:tr>
      <w:tr w14:paraId="2DCFF42A" w14:textId="77777777" w:rsidTr="00225946">
        <w:tblPrEx>
          <w:tblW w:w="4955" w:type="pct"/>
          <w:tblLayout w:type="fixed"/>
          <w:tblLook w:val="04A0"/>
        </w:tblPrEx>
        <w:trPr>
          <w:cantSplit/>
          <w:trHeight w:val="20"/>
          <w:tblHeader/>
        </w:trPr>
        <w:tc>
          <w:tcPr>
            <w:tcW w:w="9265" w:type="dxa"/>
          </w:tcPr>
          <w:p w:rsidR="0045391D" w:rsidRPr="00990D3B" w:rsidP="002D35CF" w14:paraId="46DBDD82" w14:textId="7BCDA854">
            <w:pPr>
              <w:pStyle w:val="EQRTableText"/>
              <w:numPr>
                <w:ilvl w:val="1"/>
                <w:numId w:val="107"/>
              </w:numPr>
              <w:rPr>
                <w:rFonts w:cs="Arial"/>
                <w:szCs w:val="18"/>
              </w:rPr>
            </w:pPr>
            <w:r w:rsidRPr="00990D3B">
              <w:rPr>
                <w:rFonts w:cs="Arial"/>
                <w:szCs w:val="18"/>
              </w:rPr>
              <w:t xml:space="preserve">Which managed care programs and/or MCPs should be included in the evaluation? </w:t>
            </w:r>
          </w:p>
          <w:p w:rsidR="002B1219" w:rsidRPr="00990D3B" w:rsidP="002B1219" w14:paraId="2ADF3140" w14:textId="77777777">
            <w:pPr>
              <w:pStyle w:val="EQRTableText"/>
              <w:ind w:left="360"/>
              <w:rPr>
                <w:rFonts w:cs="Arial"/>
                <w:szCs w:val="18"/>
              </w:rPr>
            </w:pPr>
          </w:p>
          <w:p w:rsidR="002B1219" w:rsidRPr="00990D3B" w:rsidP="002B1219" w14:paraId="0659604C" w14:textId="77777777">
            <w:pPr>
              <w:pStyle w:val="EQRTableText"/>
              <w:ind w:left="360"/>
              <w:rPr>
                <w:rFonts w:cs="Arial"/>
                <w:szCs w:val="18"/>
              </w:rPr>
            </w:pPr>
          </w:p>
        </w:tc>
      </w:tr>
      <w:tr w14:paraId="5238A969" w14:textId="77777777" w:rsidTr="00225946">
        <w:tblPrEx>
          <w:tblW w:w="4955" w:type="pct"/>
          <w:tblLayout w:type="fixed"/>
          <w:tblLook w:val="04A0"/>
        </w:tblPrEx>
        <w:trPr>
          <w:cantSplit/>
          <w:trHeight w:val="20"/>
          <w:tblHeader/>
        </w:trPr>
        <w:tc>
          <w:tcPr>
            <w:tcW w:w="9265" w:type="dxa"/>
          </w:tcPr>
          <w:p w:rsidR="0045391D" w:rsidRPr="00990D3B" w:rsidP="002D35CF" w14:paraId="1F55E052" w14:textId="3C8B6595">
            <w:pPr>
              <w:pStyle w:val="EQRTableText"/>
              <w:numPr>
                <w:ilvl w:val="1"/>
                <w:numId w:val="107"/>
              </w:numPr>
              <w:rPr>
                <w:rFonts w:cs="Arial"/>
                <w:szCs w:val="18"/>
              </w:rPr>
            </w:pPr>
            <w:r w:rsidRPr="00990D3B">
              <w:rPr>
                <w:rFonts w:cs="Arial"/>
                <w:szCs w:val="18"/>
              </w:rPr>
              <w:t>Which managed care populations should be included in the evaluation (e.g., what is the target population of the SDP being evaluated)?</w:t>
            </w:r>
          </w:p>
          <w:p w:rsidR="002B1219" w:rsidRPr="00990D3B" w:rsidP="002B1219" w14:paraId="7D5FE520" w14:textId="77777777">
            <w:pPr>
              <w:pStyle w:val="EQRTableText"/>
              <w:ind w:left="360"/>
              <w:rPr>
                <w:rFonts w:cs="Arial"/>
                <w:szCs w:val="18"/>
              </w:rPr>
            </w:pPr>
          </w:p>
          <w:p w:rsidR="002B1219" w:rsidRPr="00990D3B" w:rsidP="002B1219" w14:paraId="1DD6BDB6" w14:textId="77777777">
            <w:pPr>
              <w:pStyle w:val="EQRTableText"/>
              <w:ind w:left="360"/>
              <w:rPr>
                <w:rFonts w:cs="Arial"/>
                <w:szCs w:val="18"/>
              </w:rPr>
            </w:pPr>
          </w:p>
        </w:tc>
      </w:tr>
      <w:tr w14:paraId="2EC61245" w14:textId="77777777" w:rsidTr="00225946">
        <w:tblPrEx>
          <w:tblW w:w="4955" w:type="pct"/>
          <w:tblLayout w:type="fixed"/>
          <w:tblLook w:val="04A0"/>
        </w:tblPrEx>
        <w:trPr>
          <w:cantSplit/>
          <w:trHeight w:val="20"/>
          <w:tblHeader/>
        </w:trPr>
        <w:tc>
          <w:tcPr>
            <w:tcW w:w="9265" w:type="dxa"/>
          </w:tcPr>
          <w:p w:rsidR="0045391D" w:rsidRPr="00990D3B" w:rsidP="002D35CF" w14:paraId="41D01EEC" w14:textId="683F1AA6">
            <w:pPr>
              <w:pStyle w:val="EQRTableText"/>
              <w:numPr>
                <w:ilvl w:val="1"/>
                <w:numId w:val="107"/>
              </w:numPr>
              <w:spacing w:line="240" w:lineRule="auto"/>
              <w:rPr>
                <w:rFonts w:cs="Arial"/>
                <w:szCs w:val="18"/>
              </w:rPr>
            </w:pPr>
            <w:r w:rsidRPr="00990D3B">
              <w:rPr>
                <w:rFonts w:cs="Arial"/>
                <w:szCs w:val="18"/>
              </w:rPr>
              <w:t>Which Medicaid and CHIP services should be included in the evaluation (e.g., what services and settings are included in the ILOS being evaluated)?</w:t>
            </w:r>
          </w:p>
          <w:p w:rsidR="002B1219" w:rsidRPr="00990D3B" w:rsidP="002B1219" w14:paraId="6B2B2A8E" w14:textId="77777777">
            <w:pPr>
              <w:pStyle w:val="EQRTableText"/>
              <w:spacing w:line="240" w:lineRule="auto"/>
              <w:ind w:left="360"/>
              <w:rPr>
                <w:rFonts w:cs="Arial"/>
                <w:szCs w:val="18"/>
              </w:rPr>
            </w:pPr>
          </w:p>
          <w:p w:rsidR="002B1219" w:rsidRPr="00990D3B" w:rsidP="002B1219" w14:paraId="6220C964" w14:textId="77777777">
            <w:pPr>
              <w:pStyle w:val="EQRTableText"/>
              <w:spacing w:line="240" w:lineRule="auto"/>
              <w:ind w:left="360"/>
              <w:rPr>
                <w:rFonts w:cs="Arial"/>
                <w:szCs w:val="18"/>
              </w:rPr>
            </w:pPr>
          </w:p>
          <w:p w:rsidR="002B1219" w:rsidRPr="00990D3B" w:rsidP="002B1219" w14:paraId="62C8071F" w14:textId="77777777">
            <w:pPr>
              <w:pStyle w:val="EQRTableText"/>
              <w:spacing w:line="240" w:lineRule="auto"/>
              <w:ind w:left="360"/>
              <w:rPr>
                <w:rFonts w:cs="Arial"/>
                <w:szCs w:val="18"/>
              </w:rPr>
            </w:pPr>
          </w:p>
        </w:tc>
      </w:tr>
      <w:tr w14:paraId="4428C35F" w14:textId="77777777" w:rsidTr="00225946">
        <w:tblPrEx>
          <w:tblW w:w="4955" w:type="pct"/>
          <w:tblLayout w:type="fixed"/>
          <w:tblLook w:val="04A0"/>
        </w:tblPrEx>
        <w:trPr>
          <w:cantSplit/>
          <w:trHeight w:val="20"/>
          <w:tblHeader/>
        </w:trPr>
        <w:tc>
          <w:tcPr>
            <w:tcW w:w="9265" w:type="dxa"/>
          </w:tcPr>
          <w:p w:rsidR="0045391D" w:rsidRPr="00990D3B" w:rsidP="002D35CF" w14:paraId="51835F56" w14:textId="77777777">
            <w:pPr>
              <w:pStyle w:val="EQRTableText"/>
              <w:numPr>
                <w:ilvl w:val="1"/>
                <w:numId w:val="226"/>
              </w:numPr>
              <w:ind w:left="0" w:firstLine="0"/>
              <w:rPr>
                <w:rFonts w:cs="Arial"/>
                <w:szCs w:val="18"/>
              </w:rPr>
            </w:pPr>
            <w:r w:rsidRPr="00990D3B">
              <w:rPr>
                <w:rFonts w:cs="Arial"/>
                <w:szCs w:val="18"/>
              </w:rPr>
              <w:t xml:space="preserve">What types of providers should be included in the evaluation (e.g., what are the provider classes included in the SDP)? </w:t>
            </w:r>
            <w:r w:rsidRPr="00990D3B">
              <w:rPr>
                <w:rFonts w:cs="Arial"/>
                <w:i/>
                <w:iCs/>
                <w:szCs w:val="18"/>
              </w:rPr>
              <w:t>Note: Be as specific as possible (e.g., Academic Medical Centers with 1,000 beds).</w:t>
            </w:r>
          </w:p>
          <w:p w:rsidR="002B1219" w:rsidRPr="00990D3B" w:rsidP="002B1219" w14:paraId="27918B55" w14:textId="77777777">
            <w:pPr>
              <w:pStyle w:val="EQRTableText"/>
              <w:rPr>
                <w:rFonts w:cs="Arial"/>
                <w:i/>
                <w:iCs/>
                <w:szCs w:val="18"/>
              </w:rPr>
            </w:pPr>
          </w:p>
          <w:p w:rsidR="002B1219" w:rsidRPr="00990D3B" w:rsidP="002B1219" w14:paraId="7FB7AB04" w14:textId="77777777">
            <w:pPr>
              <w:pStyle w:val="EQRTableText"/>
              <w:rPr>
                <w:rFonts w:cs="Arial"/>
                <w:szCs w:val="18"/>
              </w:rPr>
            </w:pPr>
          </w:p>
        </w:tc>
      </w:tr>
      <w:tr w14:paraId="10D476E4" w14:textId="77777777" w:rsidTr="00225946">
        <w:tblPrEx>
          <w:tblW w:w="4955" w:type="pct"/>
          <w:tblLayout w:type="fixed"/>
          <w:tblLook w:val="04A0"/>
        </w:tblPrEx>
        <w:trPr>
          <w:cantSplit/>
          <w:trHeight w:val="20"/>
          <w:tblHeader/>
        </w:trPr>
        <w:tc>
          <w:tcPr>
            <w:tcW w:w="9265" w:type="dxa"/>
          </w:tcPr>
          <w:p w:rsidR="0045391D" w:rsidRPr="00990D3B" w:rsidP="002D35CF" w14:paraId="768968F3" w14:textId="108C1C4E">
            <w:pPr>
              <w:pStyle w:val="EQRTableText"/>
              <w:numPr>
                <w:ilvl w:val="1"/>
                <w:numId w:val="226"/>
              </w:numPr>
              <w:rPr>
                <w:rFonts w:cs="Arial"/>
                <w:szCs w:val="18"/>
              </w:rPr>
            </w:pPr>
            <w:r w:rsidRPr="00990D3B">
              <w:rPr>
                <w:rFonts w:cs="Arial"/>
                <w:szCs w:val="18"/>
              </w:rPr>
              <w:t>What is outside the scope of this evaluation (e.g., what program services are FFS and therefore not included in the state’s QS)?</w:t>
            </w:r>
          </w:p>
          <w:p w:rsidR="002B1219" w:rsidRPr="00990D3B" w:rsidP="002B1219" w14:paraId="648A6EAE" w14:textId="77777777">
            <w:pPr>
              <w:pStyle w:val="EQRTableText"/>
              <w:ind w:left="360"/>
              <w:rPr>
                <w:rFonts w:cs="Arial"/>
                <w:szCs w:val="18"/>
              </w:rPr>
            </w:pPr>
          </w:p>
          <w:p w:rsidR="00C97799" w:rsidRPr="00990D3B" w:rsidP="002B1219" w14:paraId="03B3D442" w14:textId="77777777">
            <w:pPr>
              <w:pStyle w:val="EQRTableText"/>
              <w:ind w:left="360"/>
              <w:rPr>
                <w:rFonts w:cs="Arial"/>
                <w:szCs w:val="18"/>
              </w:rPr>
            </w:pPr>
          </w:p>
          <w:p w:rsidR="00C97799" w:rsidRPr="00990D3B" w:rsidP="002B1219" w14:paraId="22A69782" w14:textId="77777777">
            <w:pPr>
              <w:pStyle w:val="EQRTableText"/>
              <w:ind w:left="360"/>
              <w:rPr>
                <w:rFonts w:cs="Arial"/>
                <w:szCs w:val="18"/>
              </w:rPr>
            </w:pPr>
          </w:p>
          <w:p w:rsidR="002B1219" w:rsidRPr="00990D3B" w:rsidP="002B1219" w14:paraId="6ADBE45B" w14:textId="77777777">
            <w:pPr>
              <w:pStyle w:val="EQRTableText"/>
              <w:ind w:left="360"/>
              <w:rPr>
                <w:rFonts w:cs="Arial"/>
                <w:szCs w:val="18"/>
              </w:rPr>
            </w:pPr>
          </w:p>
        </w:tc>
      </w:tr>
      <w:tr w14:paraId="0B5555C5" w14:textId="77777777" w:rsidTr="00225946">
        <w:tblPrEx>
          <w:tblW w:w="4955" w:type="pct"/>
          <w:tblLayout w:type="fixed"/>
          <w:tblLook w:val="04A0"/>
        </w:tblPrEx>
        <w:trPr>
          <w:cantSplit/>
          <w:trHeight w:val="20"/>
          <w:tblHeader/>
        </w:trPr>
        <w:tc>
          <w:tcPr>
            <w:tcW w:w="9265" w:type="dxa"/>
          </w:tcPr>
          <w:p w:rsidR="0045391D" w:rsidRPr="00990D3B" w:rsidP="002D35CF" w14:paraId="794C4D18" w14:textId="7F367FEF">
            <w:pPr>
              <w:pStyle w:val="EQRTableText"/>
              <w:numPr>
                <w:ilvl w:val="1"/>
                <w:numId w:val="226"/>
              </w:numPr>
              <w:rPr>
                <w:rFonts w:cs="Arial"/>
                <w:szCs w:val="18"/>
              </w:rPr>
            </w:pPr>
            <w:r w:rsidRPr="00990D3B">
              <w:rPr>
                <w:rFonts w:cs="Arial"/>
                <w:szCs w:val="18"/>
              </w:rPr>
              <w:t>Are there any preprints or policy documents to review? (If yes, list the documents)</w:t>
            </w:r>
          </w:p>
          <w:p w:rsidR="002B1219" w:rsidRPr="00990D3B" w:rsidP="002B1219" w14:paraId="1A7BF55C" w14:textId="77777777">
            <w:pPr>
              <w:pStyle w:val="EQRTableText"/>
              <w:ind w:left="360"/>
              <w:rPr>
                <w:rFonts w:cs="Arial"/>
                <w:szCs w:val="18"/>
              </w:rPr>
            </w:pPr>
          </w:p>
          <w:p w:rsidR="002B1219" w:rsidRPr="00990D3B" w:rsidP="002B1219" w14:paraId="4C7377F8" w14:textId="77777777">
            <w:pPr>
              <w:pStyle w:val="EQRTableText"/>
              <w:ind w:left="360"/>
              <w:rPr>
                <w:rFonts w:cs="Arial"/>
                <w:szCs w:val="18"/>
              </w:rPr>
            </w:pPr>
          </w:p>
          <w:p w:rsidR="00C97799" w:rsidRPr="00990D3B" w:rsidP="002B1219" w14:paraId="78C117F0" w14:textId="77777777">
            <w:pPr>
              <w:pStyle w:val="EQRTableText"/>
              <w:ind w:left="360"/>
              <w:rPr>
                <w:rFonts w:cs="Arial"/>
                <w:szCs w:val="18"/>
              </w:rPr>
            </w:pPr>
          </w:p>
          <w:p w:rsidR="00C97799" w:rsidRPr="00990D3B" w:rsidP="002B1219" w14:paraId="4884484C" w14:textId="77777777">
            <w:pPr>
              <w:pStyle w:val="EQRTableText"/>
              <w:ind w:left="360"/>
              <w:rPr>
                <w:rFonts w:cs="Arial"/>
                <w:szCs w:val="18"/>
              </w:rPr>
            </w:pPr>
          </w:p>
          <w:p w:rsidR="00C97799" w:rsidRPr="00990D3B" w:rsidP="00C97799" w14:paraId="41E1B7CF" w14:textId="77777777">
            <w:pPr>
              <w:pStyle w:val="EQRTableText"/>
              <w:rPr>
                <w:rFonts w:cs="Arial"/>
                <w:szCs w:val="18"/>
              </w:rPr>
            </w:pPr>
          </w:p>
        </w:tc>
      </w:tr>
      <w:tr w14:paraId="111A0CF6" w14:textId="77777777" w:rsidTr="00225946">
        <w:tblPrEx>
          <w:tblW w:w="4955" w:type="pct"/>
          <w:tblLayout w:type="fixed"/>
          <w:tblLook w:val="04A0"/>
        </w:tblPrEx>
        <w:trPr>
          <w:cantSplit/>
          <w:trHeight w:val="20"/>
          <w:tblHeader/>
        </w:trPr>
        <w:tc>
          <w:tcPr>
            <w:tcW w:w="9265" w:type="dxa"/>
          </w:tcPr>
          <w:p w:rsidR="0045391D" w:rsidRPr="00990D3B" w:rsidP="002D35CF" w14:paraId="63C82AAD" w14:textId="77777777">
            <w:pPr>
              <w:pStyle w:val="EQRTableText"/>
              <w:numPr>
                <w:ilvl w:val="0"/>
                <w:numId w:val="226"/>
              </w:numPr>
              <w:rPr>
                <w:rFonts w:cs="Arial"/>
                <w:b/>
                <w:bCs/>
                <w:szCs w:val="18"/>
              </w:rPr>
            </w:pPr>
            <w:r w:rsidRPr="00990D3B">
              <w:rPr>
                <w:rFonts w:cs="Arial"/>
                <w:b/>
                <w:bCs/>
                <w:szCs w:val="18"/>
              </w:rPr>
              <w:t>Evaluation Requirements</w:t>
            </w:r>
          </w:p>
        </w:tc>
      </w:tr>
      <w:tr w14:paraId="74ACE2D4" w14:textId="77777777" w:rsidTr="00225946">
        <w:tblPrEx>
          <w:tblW w:w="4955" w:type="pct"/>
          <w:tblLayout w:type="fixed"/>
          <w:tblLook w:val="04A0"/>
        </w:tblPrEx>
        <w:trPr>
          <w:cantSplit/>
          <w:trHeight w:val="20"/>
          <w:tblHeader/>
        </w:trPr>
        <w:tc>
          <w:tcPr>
            <w:tcW w:w="9265" w:type="dxa"/>
          </w:tcPr>
          <w:p w:rsidR="002B1219" w:rsidRPr="00990D3B" w:rsidP="00666AC0" w14:paraId="2E09B9A3" w14:textId="77777777">
            <w:pPr>
              <w:pStyle w:val="EQRTableText"/>
              <w:rPr>
                <w:rFonts w:cs="Arial"/>
                <w:szCs w:val="18"/>
              </w:rPr>
            </w:pPr>
            <w:r w:rsidRPr="00990D3B">
              <w:rPr>
                <w:rFonts w:cs="Arial"/>
                <w:szCs w:val="18"/>
              </w:rPr>
              <w:t>3.1 What federal requirements must the evaluation meet?</w:t>
            </w:r>
          </w:p>
          <w:p w:rsidR="002B1219" w:rsidRPr="00990D3B" w:rsidP="00666AC0" w14:paraId="586C8D00" w14:textId="77777777">
            <w:pPr>
              <w:pStyle w:val="EQRTableText"/>
              <w:rPr>
                <w:rFonts w:cs="Arial"/>
                <w:szCs w:val="18"/>
              </w:rPr>
            </w:pPr>
          </w:p>
          <w:p w:rsidR="002B1219" w:rsidRPr="00990D3B" w:rsidP="00666AC0" w14:paraId="1E0DB500" w14:textId="77777777">
            <w:pPr>
              <w:pStyle w:val="EQRTableText"/>
              <w:rPr>
                <w:rFonts w:cs="Arial"/>
                <w:szCs w:val="18"/>
              </w:rPr>
            </w:pPr>
          </w:p>
          <w:p w:rsidR="002B1219" w:rsidRPr="00990D3B" w:rsidP="00666AC0" w14:paraId="2F6FF23D" w14:textId="38978751">
            <w:pPr>
              <w:pStyle w:val="EQRTableText"/>
              <w:rPr>
                <w:rFonts w:cs="Arial"/>
                <w:szCs w:val="18"/>
              </w:rPr>
            </w:pPr>
          </w:p>
        </w:tc>
      </w:tr>
      <w:tr w14:paraId="77E42A7D" w14:textId="77777777" w:rsidTr="00225946">
        <w:tblPrEx>
          <w:tblW w:w="4955" w:type="pct"/>
          <w:tblLayout w:type="fixed"/>
          <w:tblLook w:val="04A0"/>
        </w:tblPrEx>
        <w:trPr>
          <w:cantSplit/>
          <w:trHeight w:val="20"/>
          <w:tblHeader/>
        </w:trPr>
        <w:tc>
          <w:tcPr>
            <w:tcW w:w="9265" w:type="dxa"/>
          </w:tcPr>
          <w:p w:rsidR="0045391D" w:rsidRPr="00990D3B" w14:paraId="161F2210" w14:textId="77777777">
            <w:pPr>
              <w:pStyle w:val="EQRTableText"/>
              <w:rPr>
                <w:rFonts w:cs="Arial"/>
                <w:szCs w:val="18"/>
              </w:rPr>
            </w:pPr>
            <w:r w:rsidRPr="00990D3B">
              <w:rPr>
                <w:rFonts w:cs="Arial"/>
                <w:szCs w:val="18"/>
              </w:rPr>
              <w:t xml:space="preserve">3.2 What state requirements must the evaluation meet? </w:t>
            </w:r>
          </w:p>
          <w:p w:rsidR="002B1219" w:rsidRPr="00990D3B" w14:paraId="64997DC7" w14:textId="77777777">
            <w:pPr>
              <w:pStyle w:val="EQRTableText"/>
              <w:rPr>
                <w:rFonts w:cs="Arial"/>
                <w:szCs w:val="18"/>
              </w:rPr>
            </w:pPr>
          </w:p>
          <w:p w:rsidR="002B1219" w:rsidRPr="00990D3B" w14:paraId="2786C299" w14:textId="77777777">
            <w:pPr>
              <w:pStyle w:val="EQRTableText"/>
              <w:rPr>
                <w:rFonts w:cs="Arial"/>
                <w:szCs w:val="18"/>
              </w:rPr>
            </w:pPr>
          </w:p>
        </w:tc>
      </w:tr>
      <w:tr w14:paraId="17C21421" w14:textId="77777777" w:rsidTr="00225946">
        <w:tblPrEx>
          <w:tblW w:w="4955" w:type="pct"/>
          <w:tblLayout w:type="fixed"/>
          <w:tblLook w:val="04A0"/>
        </w:tblPrEx>
        <w:trPr>
          <w:cantSplit/>
          <w:trHeight w:val="20"/>
          <w:tblHeader/>
        </w:trPr>
        <w:tc>
          <w:tcPr>
            <w:tcW w:w="9265" w:type="dxa"/>
          </w:tcPr>
          <w:p w:rsidR="0045391D" w:rsidRPr="00990D3B" w:rsidP="002D35CF" w14:paraId="073F057C" w14:textId="77777777">
            <w:pPr>
              <w:pStyle w:val="EQRTableText"/>
              <w:numPr>
                <w:ilvl w:val="0"/>
                <w:numId w:val="226"/>
              </w:numPr>
              <w:rPr>
                <w:rFonts w:cs="Arial"/>
                <w:b/>
                <w:bCs/>
                <w:szCs w:val="18"/>
              </w:rPr>
            </w:pPr>
            <w:r w:rsidRPr="00990D3B">
              <w:rPr>
                <w:rFonts w:cs="Arial"/>
                <w:b/>
                <w:bCs/>
                <w:szCs w:val="18"/>
              </w:rPr>
              <w:t>Alignment and Key Considerations</w:t>
            </w:r>
          </w:p>
        </w:tc>
      </w:tr>
      <w:tr w14:paraId="6F3EBCF4" w14:textId="77777777" w:rsidTr="00225946">
        <w:tblPrEx>
          <w:tblW w:w="4955" w:type="pct"/>
          <w:tblLayout w:type="fixed"/>
          <w:tblLook w:val="04A0"/>
        </w:tblPrEx>
        <w:trPr>
          <w:cantSplit/>
          <w:trHeight w:val="20"/>
          <w:tblHeader/>
        </w:trPr>
        <w:tc>
          <w:tcPr>
            <w:tcW w:w="9265" w:type="dxa"/>
          </w:tcPr>
          <w:p w:rsidR="0045391D" w:rsidRPr="00990D3B" w:rsidP="00666AC0" w14:paraId="6486D5BD" w14:textId="77777777">
            <w:pPr>
              <w:pStyle w:val="EQRTableText"/>
              <w:rPr>
                <w:rFonts w:cs="Arial"/>
                <w:szCs w:val="18"/>
              </w:rPr>
            </w:pPr>
            <w:r w:rsidRPr="00990D3B">
              <w:rPr>
                <w:rFonts w:cs="Arial"/>
                <w:szCs w:val="18"/>
              </w:rPr>
              <w:t xml:space="preserve">4.1 How does </w:t>
            </w:r>
            <w:r w:rsidRPr="00990D3B">
              <w:rPr>
                <w:rFonts w:cs="Arial"/>
                <w:szCs w:val="18"/>
              </w:rPr>
              <w:t>the evaluation</w:t>
            </w:r>
            <w:r w:rsidRPr="00990D3B">
              <w:rPr>
                <w:rFonts w:cs="Arial"/>
                <w:szCs w:val="18"/>
              </w:rPr>
              <w:t xml:space="preserve"> align with broader program goals or strategies?</w:t>
            </w:r>
          </w:p>
          <w:p w:rsidR="002B1219" w:rsidRPr="00990D3B" w:rsidP="00666AC0" w14:paraId="7DF4088B" w14:textId="77777777">
            <w:pPr>
              <w:pStyle w:val="EQRTableText"/>
              <w:rPr>
                <w:rFonts w:cs="Arial"/>
                <w:szCs w:val="18"/>
              </w:rPr>
            </w:pPr>
          </w:p>
          <w:p w:rsidR="002B1219" w:rsidRPr="00990D3B" w:rsidP="00666AC0" w14:paraId="0B8B04AB" w14:textId="77777777">
            <w:pPr>
              <w:pStyle w:val="EQRTableText"/>
              <w:rPr>
                <w:rFonts w:cs="Arial"/>
                <w:szCs w:val="18"/>
              </w:rPr>
            </w:pPr>
          </w:p>
        </w:tc>
      </w:tr>
      <w:tr w14:paraId="44937C87" w14:textId="77777777" w:rsidTr="00225946">
        <w:tblPrEx>
          <w:tblW w:w="4955" w:type="pct"/>
          <w:tblLayout w:type="fixed"/>
          <w:tblLook w:val="04A0"/>
        </w:tblPrEx>
        <w:trPr>
          <w:cantSplit/>
          <w:trHeight w:val="20"/>
          <w:tblHeader/>
        </w:trPr>
        <w:tc>
          <w:tcPr>
            <w:tcW w:w="9265" w:type="dxa"/>
          </w:tcPr>
          <w:p w:rsidR="0045391D" w:rsidRPr="00990D3B" w:rsidP="00666AC0" w14:paraId="001BCB6B" w14:textId="77777777">
            <w:pPr>
              <w:pStyle w:val="EQRTableText"/>
              <w:rPr>
                <w:rFonts w:cs="Arial"/>
                <w:szCs w:val="18"/>
              </w:rPr>
            </w:pPr>
            <w:r w:rsidRPr="00990D3B">
              <w:rPr>
                <w:rFonts w:cs="Arial"/>
                <w:szCs w:val="18"/>
              </w:rPr>
              <w:t xml:space="preserve">4.2 Is the </w:t>
            </w:r>
            <w:r w:rsidRPr="00990D3B">
              <w:rPr>
                <w:rFonts w:cs="Arial"/>
                <w:bCs/>
                <w:szCs w:val="18"/>
              </w:rPr>
              <w:t>initiative, intervention, or policy related to another initiative (e.g., a section 1115 demonstration)?</w:t>
            </w:r>
            <w:r w:rsidRPr="00990D3B">
              <w:rPr>
                <w:rFonts w:cs="Arial"/>
                <w:szCs w:val="18"/>
              </w:rPr>
              <w:t xml:space="preserve"> </w:t>
            </w:r>
          </w:p>
          <w:p w:rsidR="002B1219" w:rsidRPr="00990D3B" w:rsidP="00666AC0" w14:paraId="49DBA338" w14:textId="77777777">
            <w:pPr>
              <w:pStyle w:val="EQRTableText"/>
              <w:rPr>
                <w:rFonts w:cs="Arial"/>
                <w:szCs w:val="18"/>
              </w:rPr>
            </w:pPr>
          </w:p>
          <w:p w:rsidR="002B1219" w:rsidRPr="00990D3B" w:rsidP="00666AC0" w14:paraId="54E3DC9E" w14:textId="77777777">
            <w:pPr>
              <w:pStyle w:val="EQRTableText"/>
              <w:rPr>
                <w:rFonts w:cs="Arial"/>
                <w:szCs w:val="18"/>
              </w:rPr>
            </w:pPr>
          </w:p>
        </w:tc>
      </w:tr>
      <w:tr w14:paraId="1F4C5B37" w14:textId="77777777" w:rsidTr="00225946">
        <w:tblPrEx>
          <w:tblW w:w="4955" w:type="pct"/>
          <w:tblLayout w:type="fixed"/>
          <w:tblLook w:val="04A0"/>
        </w:tblPrEx>
        <w:trPr>
          <w:cantSplit/>
          <w:trHeight w:val="20"/>
          <w:tblHeader/>
        </w:trPr>
        <w:tc>
          <w:tcPr>
            <w:tcW w:w="9265" w:type="dxa"/>
          </w:tcPr>
          <w:p w:rsidR="0045391D" w:rsidRPr="00990D3B" w:rsidP="002D35CF" w14:paraId="691D2CCB" w14:textId="77777777">
            <w:pPr>
              <w:pStyle w:val="EQRTableText"/>
              <w:numPr>
                <w:ilvl w:val="0"/>
                <w:numId w:val="226"/>
              </w:numPr>
              <w:rPr>
                <w:rFonts w:cs="Arial"/>
                <w:b/>
                <w:bCs/>
                <w:szCs w:val="18"/>
              </w:rPr>
            </w:pPr>
            <w:r w:rsidRPr="00990D3B">
              <w:rPr>
                <w:rFonts w:cs="Arial"/>
                <w:b/>
                <w:bCs/>
                <w:szCs w:val="18"/>
              </w:rPr>
              <w:t>Additional Notes</w:t>
            </w:r>
          </w:p>
        </w:tc>
      </w:tr>
      <w:tr w14:paraId="641B4041" w14:textId="77777777" w:rsidTr="00225946">
        <w:tblPrEx>
          <w:tblW w:w="4955" w:type="pct"/>
          <w:tblLayout w:type="fixed"/>
          <w:tblLook w:val="04A0"/>
        </w:tblPrEx>
        <w:trPr>
          <w:cantSplit/>
          <w:trHeight w:val="20"/>
          <w:tblHeader/>
        </w:trPr>
        <w:tc>
          <w:tcPr>
            <w:tcW w:w="9265" w:type="dxa"/>
          </w:tcPr>
          <w:p w:rsidR="0045391D" w:rsidRPr="00990D3B" w:rsidP="00666AC0" w14:paraId="5A5F0288" w14:textId="77777777">
            <w:pPr>
              <w:pStyle w:val="EQRTableText"/>
              <w:rPr>
                <w:rFonts w:cs="Arial"/>
                <w:szCs w:val="18"/>
              </w:rPr>
            </w:pPr>
            <w:r w:rsidRPr="00990D3B">
              <w:rPr>
                <w:rFonts w:cs="Arial"/>
                <w:szCs w:val="18"/>
              </w:rPr>
              <w:t>5.1 Use this space to document any other relevant information or considerations.</w:t>
            </w:r>
          </w:p>
          <w:p w:rsidR="002B1219" w:rsidRPr="00990D3B" w:rsidP="00666AC0" w14:paraId="7BC6A603" w14:textId="77777777">
            <w:pPr>
              <w:pStyle w:val="EQRTableText"/>
              <w:rPr>
                <w:rFonts w:cs="Arial"/>
                <w:szCs w:val="18"/>
              </w:rPr>
            </w:pPr>
          </w:p>
          <w:p w:rsidR="002B1219" w:rsidRPr="00990D3B" w:rsidP="00666AC0" w14:paraId="1FBE4A21" w14:textId="77777777">
            <w:pPr>
              <w:pStyle w:val="EQRTableText"/>
              <w:rPr>
                <w:rFonts w:cs="Arial"/>
                <w:szCs w:val="18"/>
              </w:rPr>
            </w:pPr>
          </w:p>
          <w:p w:rsidR="002B1219" w:rsidRPr="00990D3B" w:rsidP="00666AC0" w14:paraId="325120E4" w14:textId="77777777">
            <w:pPr>
              <w:pStyle w:val="EQRTableText"/>
              <w:rPr>
                <w:rFonts w:cs="Arial"/>
                <w:szCs w:val="18"/>
              </w:rPr>
            </w:pPr>
          </w:p>
          <w:p w:rsidR="002B1219" w:rsidRPr="00990D3B" w:rsidP="00666AC0" w14:paraId="37FA95C6" w14:textId="77777777">
            <w:pPr>
              <w:pStyle w:val="EQRTableText"/>
              <w:rPr>
                <w:rFonts w:cs="Arial"/>
                <w:szCs w:val="18"/>
              </w:rPr>
            </w:pPr>
          </w:p>
          <w:p w:rsidR="002B1219" w:rsidRPr="00990D3B" w:rsidP="00666AC0" w14:paraId="6734AF95" w14:textId="77777777">
            <w:pPr>
              <w:pStyle w:val="EQRTableText"/>
              <w:rPr>
                <w:rFonts w:cs="Arial"/>
                <w:szCs w:val="18"/>
              </w:rPr>
            </w:pPr>
          </w:p>
          <w:p w:rsidR="002B1219" w:rsidRPr="00990D3B" w:rsidP="00666AC0" w14:paraId="3190553A" w14:textId="77777777">
            <w:pPr>
              <w:pStyle w:val="EQRTableText"/>
              <w:rPr>
                <w:rFonts w:cs="Arial"/>
                <w:szCs w:val="18"/>
              </w:rPr>
            </w:pPr>
          </w:p>
          <w:p w:rsidR="002B1219" w:rsidRPr="00990D3B" w:rsidP="00666AC0" w14:paraId="08701CDF" w14:textId="77777777">
            <w:pPr>
              <w:pStyle w:val="EQRTableText"/>
              <w:rPr>
                <w:rFonts w:cs="Arial"/>
                <w:szCs w:val="18"/>
              </w:rPr>
            </w:pPr>
          </w:p>
          <w:p w:rsidR="002B1219" w:rsidRPr="00990D3B" w:rsidP="00666AC0" w14:paraId="1D9E9CB8" w14:textId="77777777">
            <w:pPr>
              <w:pStyle w:val="EQRTableText"/>
              <w:rPr>
                <w:rFonts w:cs="Arial"/>
                <w:szCs w:val="18"/>
              </w:rPr>
            </w:pPr>
          </w:p>
          <w:p w:rsidR="002B1219" w:rsidRPr="00990D3B" w:rsidP="00666AC0" w14:paraId="360BD4D6" w14:textId="77777777">
            <w:pPr>
              <w:pStyle w:val="EQRTableText"/>
              <w:rPr>
                <w:rFonts w:cs="Arial"/>
                <w:szCs w:val="18"/>
              </w:rPr>
            </w:pPr>
          </w:p>
          <w:p w:rsidR="002B1219" w:rsidRPr="00990D3B" w:rsidP="00666AC0" w14:paraId="79D3D370" w14:textId="77777777">
            <w:pPr>
              <w:pStyle w:val="EQRTableText"/>
              <w:rPr>
                <w:rFonts w:cs="Arial"/>
                <w:szCs w:val="18"/>
              </w:rPr>
            </w:pPr>
          </w:p>
          <w:p w:rsidR="002B1219" w:rsidRPr="00990D3B" w:rsidP="00666AC0" w14:paraId="5874C7D0" w14:textId="77777777">
            <w:pPr>
              <w:pStyle w:val="EQRTableText"/>
              <w:rPr>
                <w:rFonts w:cs="Arial"/>
                <w:szCs w:val="18"/>
              </w:rPr>
            </w:pPr>
          </w:p>
          <w:p w:rsidR="002B1219" w:rsidRPr="00990D3B" w:rsidP="00666AC0" w14:paraId="2A9DC11D" w14:textId="77777777">
            <w:pPr>
              <w:pStyle w:val="EQRTableText"/>
              <w:rPr>
                <w:rFonts w:cs="Arial"/>
                <w:szCs w:val="18"/>
              </w:rPr>
            </w:pPr>
          </w:p>
          <w:p w:rsidR="002B1219" w:rsidRPr="00990D3B" w:rsidP="00666AC0" w14:paraId="4F53FCEF" w14:textId="77777777">
            <w:pPr>
              <w:pStyle w:val="EQRTableText"/>
              <w:rPr>
                <w:rFonts w:cs="Arial"/>
                <w:szCs w:val="18"/>
              </w:rPr>
            </w:pPr>
          </w:p>
        </w:tc>
      </w:tr>
    </w:tbl>
    <w:p w:rsidR="00A34680" w:rsidRPr="00990D3B" w14:paraId="4F114D12" w14:textId="77777777">
      <w:pPr>
        <w:spacing w:line="240" w:lineRule="auto"/>
        <w:rPr>
          <w:rFonts w:asciiTheme="majorHAnsi" w:hAnsiTheme="majorHAnsi" w:cstheme="majorHAnsi"/>
          <w:sz w:val="17"/>
          <w:szCs w:val="17"/>
        </w:rPr>
        <w:sectPr w:rsidSect="004627A3">
          <w:headerReference w:type="default" r:id="rId225"/>
          <w:footerReference w:type="even" r:id="rId226"/>
          <w:footerReference w:type="default" r:id="rId227"/>
          <w:headerReference w:type="first" r:id="rId228"/>
          <w:footerReference w:type="first" r:id="rId229"/>
          <w:pgSz w:w="12240" w:h="15840" w:code="1"/>
          <w:pgMar w:top="1440" w:right="1440" w:bottom="1440" w:left="1440" w:header="720" w:footer="720" w:gutter="0"/>
          <w:cols w:space="720"/>
          <w:titlePg/>
          <w:docGrid w:linePitch="360"/>
        </w:sectPr>
      </w:pPr>
    </w:p>
    <w:p w:rsidR="0045391D" w:rsidRPr="00990D3B" w:rsidP="00666AC0" w14:paraId="39B036E0" w14:textId="77777777">
      <w:pPr>
        <w:pStyle w:val="EQRMarkforExhibitWORKSHEET"/>
      </w:pPr>
      <w:bookmarkStart w:id="1095" w:name="WS11n2"/>
      <w:bookmarkStart w:id="1096" w:name="_Toc201751565"/>
      <w:bookmarkEnd w:id="1095"/>
      <w:r w:rsidRPr="00990D3B">
        <w:t>Worksheet 11.2. Evaluation Metric Identification Template</w:t>
      </w:r>
      <w:bookmarkEnd w:id="1096"/>
      <w:r w:rsidRPr="00990D3B">
        <w:t xml:space="preserve">  </w:t>
      </w:r>
    </w:p>
    <w:p w:rsidR="0045391D" w:rsidRPr="00990D3B" w:rsidP="00666AC0" w14:paraId="383604B8" w14:textId="77777777">
      <w:pPr>
        <w:pStyle w:val="EQRTableHeaderCenter"/>
        <w:jc w:val="left"/>
        <w:rPr>
          <w:b w:val="0"/>
          <w:bCs/>
          <w:color w:val="auto"/>
          <w:szCs w:val="18"/>
        </w:rPr>
      </w:pPr>
      <w:r w:rsidRPr="00990D3B">
        <w:rPr>
          <w:color w:val="auto"/>
          <w:szCs w:val="18"/>
        </w:rPr>
        <w:t>Evaluation Type</w:t>
      </w:r>
      <w:r w:rsidRPr="00990D3B">
        <w:rPr>
          <w:color w:val="auto"/>
          <w:szCs w:val="18"/>
        </w:rPr>
        <w:t>:  [  ]</w:t>
      </w:r>
      <w:r w:rsidRPr="00990D3B">
        <w:rPr>
          <w:color w:val="auto"/>
          <w:szCs w:val="18"/>
        </w:rPr>
        <w:t xml:space="preserve">  </w:t>
      </w:r>
      <w:r w:rsidRPr="00990D3B">
        <w:rPr>
          <w:color w:val="auto"/>
          <w:szCs w:val="18"/>
        </w:rPr>
        <w:t>QS  [  ]</w:t>
      </w:r>
      <w:r w:rsidRPr="00990D3B">
        <w:rPr>
          <w:color w:val="auto"/>
          <w:szCs w:val="18"/>
        </w:rPr>
        <w:t xml:space="preserve">  SDP</w:t>
      </w:r>
      <w:r w:rsidRPr="00990D3B">
        <w:rPr>
          <w:color w:val="auto"/>
          <w:szCs w:val="18"/>
        </w:rPr>
        <w:t xml:space="preserve">   [  ]</w:t>
      </w:r>
      <w:r w:rsidRPr="00990D3B">
        <w:rPr>
          <w:color w:val="auto"/>
          <w:szCs w:val="18"/>
        </w:rPr>
        <w:t xml:space="preserve">  ILOS</w:t>
      </w:r>
    </w:p>
    <w:p w:rsidR="0045391D" w:rsidRPr="00990D3B" w:rsidP="00666AC0" w14:paraId="0B5FDC6A" w14:textId="77777777">
      <w:pPr>
        <w:pStyle w:val="EQRNormalSSWORKSHEET"/>
        <w:rPr>
          <w:bCs/>
        </w:rPr>
      </w:pPr>
      <w:r w:rsidRPr="00990D3B">
        <w:rPr>
          <w:b/>
          <w:bCs/>
        </w:rPr>
        <w:t xml:space="preserve">Instructions. </w:t>
      </w:r>
      <w:r w:rsidRPr="00990D3B">
        <w:rPr>
          <w:bCs/>
        </w:rPr>
        <w:t xml:space="preserve">Use this worksheet to identify evaluation metrics that align with the evaluation research questions. Add rows as necessary. For each research question, complete the following. </w:t>
      </w:r>
    </w:p>
    <w:p w:rsidR="0045391D" w:rsidRPr="00990D3B" w:rsidP="008F02A8" w14:paraId="7797929D" w14:textId="77777777">
      <w:pPr>
        <w:pStyle w:val="EQRNormalSSWSbullet"/>
        <w:rPr>
          <w:bCs/>
        </w:rPr>
      </w:pPr>
      <w:r w:rsidRPr="00990D3B">
        <w:rPr>
          <w:b/>
          <w:bCs/>
        </w:rPr>
        <w:t>Evaluation Focus</w:t>
      </w:r>
      <w:r w:rsidRPr="00990D3B">
        <w:rPr>
          <w:bCs/>
        </w:rPr>
        <w:t xml:space="preserve"> – Indicate whether the evaluation focuses on </w:t>
      </w:r>
      <w:r w:rsidRPr="00990D3B">
        <w:t>processes (implementation, compliance, or operations) or results (impact, effectiveness, or quality improvements).</w:t>
      </w:r>
    </w:p>
    <w:p w:rsidR="0045391D" w:rsidRPr="00990D3B" w:rsidP="008F02A8" w14:paraId="0CE09583" w14:textId="77777777">
      <w:pPr>
        <w:pStyle w:val="EQRNormalSSWSbullet"/>
      </w:pPr>
      <w:r w:rsidRPr="00990D3B">
        <w:rPr>
          <w:b/>
        </w:rPr>
        <w:t>Outcomes of Interest</w:t>
      </w:r>
      <w:r w:rsidRPr="00990D3B">
        <w:t xml:space="preserve"> – Determine what specific results or changes the evaluation aims to measure (e.g., cost savings, improved access, enhanced care quality).</w:t>
      </w:r>
    </w:p>
    <w:p w:rsidR="0045391D" w:rsidRPr="00990D3B" w:rsidP="008F02A8" w14:paraId="1ED47B76" w14:textId="77777777">
      <w:pPr>
        <w:pStyle w:val="EQRNormalSSWSbullet"/>
      </w:pPr>
      <w:r w:rsidRPr="00990D3B">
        <w:rPr>
          <w:b/>
        </w:rPr>
        <w:t>Population(s) or Providers of Interest</w:t>
      </w:r>
      <w:r w:rsidRPr="00990D3B">
        <w:t xml:space="preserve"> – Identify which groups the initiative, intervention, or policy affects. This may be </w:t>
      </w:r>
      <w:r w:rsidRPr="00990D3B">
        <w:t>beneficiary</w:t>
      </w:r>
      <w:r w:rsidRPr="00990D3B">
        <w:t xml:space="preserve"> populations (e.g., individuals receiving LTSS) or providers (e.g., dental providers). </w:t>
      </w:r>
    </w:p>
    <w:p w:rsidR="0045391D" w:rsidRPr="00990D3B" w:rsidP="008F02A8" w14:paraId="58913289" w14:textId="77777777">
      <w:pPr>
        <w:pStyle w:val="EQRNormalSSWSbullet"/>
      </w:pPr>
      <w:r w:rsidRPr="00990D3B">
        <w:rPr>
          <w:b/>
        </w:rPr>
        <w:t>Potential Metrics</w:t>
      </w:r>
      <w:r w:rsidRPr="00990D3B">
        <w:t xml:space="preserve"> – Brainstorm measurable indicators that can answer your research questions.</w:t>
      </w:r>
    </w:p>
    <w:p w:rsidR="0045391D" w:rsidRPr="00990D3B" w:rsidP="008F02A8" w14:paraId="554C9559" w14:textId="77777777">
      <w:pPr>
        <w:pStyle w:val="EQRNormalSSWSbullet"/>
      </w:pPr>
      <w:r w:rsidRPr="00990D3B">
        <w:rPr>
          <w:b/>
        </w:rPr>
        <w:t>Data Sources</w:t>
      </w:r>
      <w:r w:rsidRPr="00990D3B">
        <w:t xml:space="preserve"> – List the data sources needed to calculate the potential metric (e.g., encounter data, beneficiary surveys, administrative records, provider reports).</w:t>
      </w:r>
    </w:p>
    <w:p w:rsidR="0045391D" w:rsidRPr="00990D3B" w:rsidP="008F02A8" w14:paraId="760A6087" w14:textId="77777777">
      <w:pPr>
        <w:pStyle w:val="EQRNormalSSWSbullet"/>
      </w:pPr>
      <w:r w:rsidRPr="00990D3B">
        <w:rPr>
          <w:b/>
        </w:rPr>
        <w:t>Feasibility</w:t>
      </w:r>
      <w:r w:rsidRPr="00990D3B">
        <w:t xml:space="preserve"> – Assess whether the necessary data is readily available or if new data collection is required.</w:t>
      </w:r>
    </w:p>
    <w:p w:rsidR="0045391D" w:rsidRPr="00990D3B" w:rsidP="008F02A8" w14:paraId="07261C26" w14:textId="77777777">
      <w:pPr>
        <w:pStyle w:val="EQRNormalSSWSbullet"/>
      </w:pPr>
      <w:r w:rsidRPr="00990D3B">
        <w:rPr>
          <w:b/>
        </w:rPr>
        <w:t>Comments</w:t>
      </w:r>
      <w:r w:rsidRPr="00990D3B">
        <w:t xml:space="preserve"> – Note potential challenges, alternative metrics, or additional to factors to consider when deciding whether to include the metric in the evaluation.  </w:t>
      </w:r>
    </w:p>
    <w:p w:rsidR="0045391D" w:rsidRPr="00990D3B" w:rsidP="008F02A8" w14:paraId="5C129015" w14:textId="77777777">
      <w:pPr>
        <w:pStyle w:val="EQRNormalSSWORKSHEET"/>
        <w:rPr>
          <w:b/>
        </w:rPr>
      </w:pPr>
      <w:r w:rsidRPr="00990D3B">
        <w:t xml:space="preserve">Acronyms: ILOS = In Lieu of Services and Settings; MCO = Managed Care Organization; OB/GYN= Obstetrician/Gynecologist; QS = Quality Strategy; SDP = State Directed Payment; VBP= Value-Based Payment. </w:t>
      </w:r>
    </w:p>
    <w:tbl>
      <w:tblPr>
        <w:tblStyle w:val="TableGrid"/>
        <w:tblW w:w="5000" w:type="pct"/>
        <w:tblLook w:val="04A0"/>
      </w:tblPr>
      <w:tblGrid>
        <w:gridCol w:w="1506"/>
        <w:gridCol w:w="1730"/>
        <w:gridCol w:w="1282"/>
        <w:gridCol w:w="1753"/>
        <w:gridCol w:w="1507"/>
        <w:gridCol w:w="1513"/>
        <w:gridCol w:w="2157"/>
        <w:gridCol w:w="1502"/>
      </w:tblGrid>
      <w:tr w14:paraId="0D9D4EC4" w14:textId="77777777" w:rsidTr="00743D64">
        <w:tblPrEx>
          <w:tblW w:w="5000" w:type="pct"/>
          <w:tblLook w:val="04A0"/>
        </w:tblPrEx>
        <w:trPr>
          <w:cantSplit/>
          <w:tblHeader/>
        </w:trPr>
        <w:tc>
          <w:tcPr>
            <w:tcW w:w="5000" w:type="pct"/>
            <w:gridSpan w:val="8"/>
            <w:vAlign w:val="bottom"/>
          </w:tcPr>
          <w:p w:rsidR="0045391D" w:rsidRPr="00990D3B" w:rsidP="00666AC0" w14:paraId="3DFC2828" w14:textId="77777777">
            <w:pPr>
              <w:pStyle w:val="EQRTableHeaderCenter"/>
              <w:jc w:val="left"/>
              <w:rPr>
                <w:color w:val="000000" w:themeColor="text1"/>
                <w:szCs w:val="18"/>
              </w:rPr>
            </w:pPr>
            <w:r w:rsidRPr="00990D3B">
              <w:rPr>
                <w:color w:val="000000" w:themeColor="text1"/>
                <w:szCs w:val="18"/>
              </w:rPr>
              <w:t>Title of QS/SDP/ILOS:</w:t>
            </w:r>
          </w:p>
        </w:tc>
      </w:tr>
      <w:tr w14:paraId="6C075877" w14:textId="77777777" w:rsidTr="00743D64">
        <w:tblPrEx>
          <w:tblW w:w="5000" w:type="pct"/>
          <w:tblLook w:val="04A0"/>
        </w:tblPrEx>
        <w:trPr>
          <w:cantSplit/>
          <w:tblHeader/>
        </w:trPr>
        <w:tc>
          <w:tcPr>
            <w:tcW w:w="581" w:type="pct"/>
            <w:vAlign w:val="bottom"/>
          </w:tcPr>
          <w:p w:rsidR="0045391D" w:rsidRPr="00990D3B" w:rsidP="00743D64" w14:paraId="3DC92629" w14:textId="77777777">
            <w:pPr>
              <w:pStyle w:val="EQRTableHeaderLeft"/>
              <w:rPr>
                <w:color w:val="auto"/>
              </w:rPr>
            </w:pPr>
            <w:r w:rsidRPr="00990D3B">
              <w:rPr>
                <w:color w:val="auto"/>
              </w:rPr>
              <w:t>Research Question</w:t>
            </w:r>
          </w:p>
        </w:tc>
        <w:tc>
          <w:tcPr>
            <w:tcW w:w="668" w:type="pct"/>
            <w:vAlign w:val="bottom"/>
          </w:tcPr>
          <w:p w:rsidR="0045391D" w:rsidRPr="00990D3B" w:rsidP="00743D64" w14:paraId="1D50818B" w14:textId="35F2A5EA">
            <w:pPr>
              <w:pStyle w:val="EQRTableHeaderLeft"/>
              <w:spacing w:before="0" w:after="0" w:line="240" w:lineRule="auto"/>
              <w:contextualSpacing/>
              <w:jc w:val="center"/>
              <w:rPr>
                <w:color w:val="000000" w:themeColor="text1"/>
                <w:szCs w:val="18"/>
              </w:rPr>
            </w:pPr>
            <w:r w:rsidRPr="00990D3B">
              <w:rPr>
                <w:color w:val="000000" w:themeColor="text1"/>
                <w:szCs w:val="18"/>
              </w:rPr>
              <w:t>Evaluation Focus</w:t>
            </w:r>
            <w:r w:rsidRPr="00990D3B" w:rsidR="00743D64">
              <w:rPr>
                <w:color w:val="000000" w:themeColor="text1"/>
                <w:szCs w:val="18"/>
              </w:rPr>
              <w:t xml:space="preserve"> </w:t>
            </w:r>
            <w:r w:rsidRPr="00990D3B">
              <w:rPr>
                <w:color w:val="000000" w:themeColor="text1"/>
                <w:szCs w:val="18"/>
              </w:rPr>
              <w:t>(e.g., Process, Results)</w:t>
            </w:r>
          </w:p>
        </w:tc>
        <w:tc>
          <w:tcPr>
            <w:tcW w:w="495" w:type="pct"/>
            <w:vAlign w:val="bottom"/>
          </w:tcPr>
          <w:p w:rsidR="0045391D" w:rsidRPr="00990D3B" w:rsidP="00666AC0" w14:paraId="348685F1" w14:textId="77777777">
            <w:pPr>
              <w:pStyle w:val="EQRTableHeaderCenter"/>
              <w:spacing w:before="0" w:after="0" w:line="240" w:lineRule="auto"/>
              <w:contextualSpacing/>
              <w:rPr>
                <w:color w:val="000000" w:themeColor="text1"/>
                <w:szCs w:val="18"/>
              </w:rPr>
            </w:pPr>
            <w:r w:rsidRPr="00990D3B">
              <w:rPr>
                <w:color w:val="000000" w:themeColor="text1"/>
                <w:szCs w:val="18"/>
              </w:rPr>
              <w:t>Results of Interest</w:t>
            </w:r>
          </w:p>
        </w:tc>
        <w:tc>
          <w:tcPr>
            <w:tcW w:w="677" w:type="pct"/>
            <w:vAlign w:val="bottom"/>
          </w:tcPr>
          <w:p w:rsidR="0045391D" w:rsidRPr="00990D3B" w:rsidP="00666AC0" w14:paraId="27CD3D3A" w14:textId="77777777">
            <w:pPr>
              <w:pStyle w:val="EQRTableHeaderCenter"/>
              <w:spacing w:before="0" w:after="0" w:line="240" w:lineRule="auto"/>
              <w:contextualSpacing/>
              <w:rPr>
                <w:color w:val="000000" w:themeColor="text1"/>
                <w:szCs w:val="18"/>
              </w:rPr>
            </w:pPr>
            <w:r w:rsidRPr="00990D3B">
              <w:rPr>
                <w:color w:val="000000" w:themeColor="text1"/>
                <w:szCs w:val="18"/>
              </w:rPr>
              <w:t>Population(s) or Provider(s) of Interest</w:t>
            </w:r>
          </w:p>
        </w:tc>
        <w:tc>
          <w:tcPr>
            <w:tcW w:w="582" w:type="pct"/>
            <w:vAlign w:val="bottom"/>
          </w:tcPr>
          <w:p w:rsidR="0045391D" w:rsidRPr="00990D3B" w:rsidP="00666AC0" w14:paraId="07B2A946" w14:textId="77777777">
            <w:pPr>
              <w:pStyle w:val="EQRTableHeaderCenter"/>
              <w:spacing w:before="0" w:after="0" w:line="240" w:lineRule="auto"/>
              <w:contextualSpacing/>
              <w:rPr>
                <w:color w:val="000000" w:themeColor="text1"/>
                <w:szCs w:val="18"/>
              </w:rPr>
            </w:pPr>
            <w:r w:rsidRPr="00990D3B">
              <w:rPr>
                <w:color w:val="000000" w:themeColor="text1"/>
                <w:szCs w:val="18"/>
              </w:rPr>
              <w:t>Potential Metrics</w:t>
            </w:r>
          </w:p>
        </w:tc>
        <w:tc>
          <w:tcPr>
            <w:tcW w:w="584" w:type="pct"/>
            <w:vAlign w:val="bottom"/>
          </w:tcPr>
          <w:p w:rsidR="0045391D" w:rsidRPr="00990D3B" w:rsidP="00666AC0" w14:paraId="6C1495AE" w14:textId="77777777">
            <w:pPr>
              <w:pStyle w:val="EQRTableHeaderCenter"/>
              <w:spacing w:before="0" w:after="0" w:line="240" w:lineRule="auto"/>
              <w:contextualSpacing/>
              <w:rPr>
                <w:color w:val="000000" w:themeColor="text1"/>
                <w:szCs w:val="18"/>
              </w:rPr>
            </w:pPr>
            <w:r w:rsidRPr="00990D3B">
              <w:rPr>
                <w:color w:val="000000" w:themeColor="text1"/>
                <w:szCs w:val="18"/>
              </w:rPr>
              <w:t>Data Source(s) Needed</w:t>
            </w:r>
          </w:p>
        </w:tc>
        <w:tc>
          <w:tcPr>
            <w:tcW w:w="833" w:type="pct"/>
            <w:vAlign w:val="bottom"/>
          </w:tcPr>
          <w:p w:rsidR="0045391D" w:rsidRPr="00990D3B" w:rsidP="00666AC0" w14:paraId="6CBF1757" w14:textId="77777777">
            <w:pPr>
              <w:pStyle w:val="EQRTableHeaderCenter"/>
              <w:spacing w:before="0" w:after="0" w:line="240" w:lineRule="auto"/>
              <w:contextualSpacing/>
              <w:rPr>
                <w:color w:val="000000" w:themeColor="text1"/>
                <w:szCs w:val="18"/>
              </w:rPr>
            </w:pPr>
            <w:r w:rsidRPr="00990D3B">
              <w:rPr>
                <w:color w:val="000000" w:themeColor="text1"/>
                <w:szCs w:val="18"/>
              </w:rPr>
              <w:t>Feasibility (Available/Needs Data Collection)</w:t>
            </w:r>
          </w:p>
        </w:tc>
        <w:tc>
          <w:tcPr>
            <w:tcW w:w="580" w:type="pct"/>
            <w:vAlign w:val="bottom"/>
          </w:tcPr>
          <w:p w:rsidR="0045391D" w:rsidRPr="00990D3B" w:rsidP="00666AC0" w14:paraId="79EF4A6E" w14:textId="77777777">
            <w:pPr>
              <w:pStyle w:val="EQRTableHeaderCenter"/>
              <w:spacing w:before="0" w:after="0" w:line="240" w:lineRule="auto"/>
              <w:contextualSpacing/>
              <w:rPr>
                <w:color w:val="000000" w:themeColor="text1"/>
                <w:szCs w:val="18"/>
              </w:rPr>
            </w:pPr>
            <w:r w:rsidRPr="00990D3B">
              <w:rPr>
                <w:color w:val="000000" w:themeColor="text1"/>
                <w:szCs w:val="18"/>
              </w:rPr>
              <w:t>Comments</w:t>
            </w:r>
          </w:p>
        </w:tc>
      </w:tr>
      <w:tr w14:paraId="42DB8ABA" w14:textId="77777777" w:rsidTr="00743D64">
        <w:tblPrEx>
          <w:tblW w:w="5000" w:type="pct"/>
          <w:tblLook w:val="04A0"/>
        </w:tblPrEx>
        <w:trPr>
          <w:cantSplit/>
        </w:trPr>
        <w:tc>
          <w:tcPr>
            <w:tcW w:w="581" w:type="pct"/>
            <w:vAlign w:val="bottom"/>
          </w:tcPr>
          <w:p w:rsidR="0045391D" w:rsidRPr="00990D3B" w:rsidP="00743D64" w14:paraId="70D9CCD5" w14:textId="77777777">
            <w:pPr>
              <w:pStyle w:val="EQRTableText"/>
            </w:pPr>
          </w:p>
        </w:tc>
        <w:tc>
          <w:tcPr>
            <w:tcW w:w="668" w:type="pct"/>
            <w:vAlign w:val="bottom"/>
          </w:tcPr>
          <w:p w:rsidR="0045391D" w:rsidRPr="00990D3B" w:rsidP="00743D64" w14:paraId="6E93EE1A" w14:textId="77777777">
            <w:pPr>
              <w:pStyle w:val="EQRTableText"/>
            </w:pPr>
          </w:p>
        </w:tc>
        <w:tc>
          <w:tcPr>
            <w:tcW w:w="495" w:type="pct"/>
            <w:vAlign w:val="bottom"/>
          </w:tcPr>
          <w:p w:rsidR="0045391D" w:rsidRPr="00990D3B" w:rsidP="00743D64" w14:paraId="3C225CD9" w14:textId="77777777">
            <w:pPr>
              <w:pStyle w:val="EQRTableText"/>
            </w:pPr>
          </w:p>
        </w:tc>
        <w:tc>
          <w:tcPr>
            <w:tcW w:w="677" w:type="pct"/>
            <w:vAlign w:val="bottom"/>
          </w:tcPr>
          <w:p w:rsidR="0045391D" w:rsidRPr="00990D3B" w:rsidP="00743D64" w14:paraId="0D50BEFC" w14:textId="77777777">
            <w:pPr>
              <w:pStyle w:val="EQRTableText"/>
            </w:pPr>
          </w:p>
        </w:tc>
        <w:tc>
          <w:tcPr>
            <w:tcW w:w="582" w:type="pct"/>
            <w:vAlign w:val="bottom"/>
          </w:tcPr>
          <w:p w:rsidR="0045391D" w:rsidRPr="00990D3B" w:rsidP="00743D64" w14:paraId="6DBB8E54" w14:textId="77777777">
            <w:pPr>
              <w:pStyle w:val="EQRTableText"/>
            </w:pPr>
          </w:p>
        </w:tc>
        <w:tc>
          <w:tcPr>
            <w:tcW w:w="584" w:type="pct"/>
            <w:vAlign w:val="bottom"/>
          </w:tcPr>
          <w:p w:rsidR="0045391D" w:rsidRPr="00990D3B" w:rsidP="00743D64" w14:paraId="4F5022FA" w14:textId="77777777">
            <w:pPr>
              <w:pStyle w:val="EQRTableText"/>
            </w:pPr>
          </w:p>
        </w:tc>
        <w:tc>
          <w:tcPr>
            <w:tcW w:w="833" w:type="pct"/>
            <w:vAlign w:val="bottom"/>
          </w:tcPr>
          <w:p w:rsidR="0045391D" w:rsidRPr="00990D3B" w:rsidP="00743D64" w14:paraId="505AB167" w14:textId="77777777">
            <w:pPr>
              <w:pStyle w:val="EQRTableText"/>
            </w:pPr>
          </w:p>
        </w:tc>
        <w:tc>
          <w:tcPr>
            <w:tcW w:w="580" w:type="pct"/>
            <w:vAlign w:val="bottom"/>
          </w:tcPr>
          <w:p w:rsidR="0045391D" w:rsidRPr="00990D3B" w:rsidP="00743D64" w14:paraId="42549B6D" w14:textId="77777777">
            <w:pPr>
              <w:pStyle w:val="EQRTableText"/>
            </w:pPr>
          </w:p>
        </w:tc>
      </w:tr>
      <w:tr w14:paraId="4D114F7C" w14:textId="77777777" w:rsidTr="00743D64">
        <w:tblPrEx>
          <w:tblW w:w="5000" w:type="pct"/>
          <w:tblLook w:val="04A0"/>
        </w:tblPrEx>
        <w:trPr>
          <w:cantSplit/>
        </w:trPr>
        <w:tc>
          <w:tcPr>
            <w:tcW w:w="581" w:type="pct"/>
            <w:vAlign w:val="bottom"/>
          </w:tcPr>
          <w:p w:rsidR="0045391D" w:rsidRPr="00990D3B" w:rsidP="00743D64" w14:paraId="7B65CB26" w14:textId="77777777">
            <w:pPr>
              <w:pStyle w:val="EQRTableText"/>
            </w:pPr>
          </w:p>
        </w:tc>
        <w:tc>
          <w:tcPr>
            <w:tcW w:w="668" w:type="pct"/>
            <w:vAlign w:val="bottom"/>
          </w:tcPr>
          <w:p w:rsidR="0045391D" w:rsidRPr="00990D3B" w:rsidP="00743D64" w14:paraId="0B2F58E2" w14:textId="77777777">
            <w:pPr>
              <w:pStyle w:val="EQRTableText"/>
            </w:pPr>
          </w:p>
        </w:tc>
        <w:tc>
          <w:tcPr>
            <w:tcW w:w="495" w:type="pct"/>
            <w:vAlign w:val="bottom"/>
          </w:tcPr>
          <w:p w:rsidR="0045391D" w:rsidRPr="00990D3B" w:rsidP="00743D64" w14:paraId="3271951E" w14:textId="77777777">
            <w:pPr>
              <w:pStyle w:val="EQRTableText"/>
            </w:pPr>
          </w:p>
        </w:tc>
        <w:tc>
          <w:tcPr>
            <w:tcW w:w="677" w:type="pct"/>
            <w:vAlign w:val="bottom"/>
          </w:tcPr>
          <w:p w:rsidR="0045391D" w:rsidRPr="00990D3B" w:rsidP="00743D64" w14:paraId="4A727085" w14:textId="77777777">
            <w:pPr>
              <w:pStyle w:val="EQRTableText"/>
            </w:pPr>
          </w:p>
        </w:tc>
        <w:tc>
          <w:tcPr>
            <w:tcW w:w="582" w:type="pct"/>
            <w:vAlign w:val="bottom"/>
          </w:tcPr>
          <w:p w:rsidR="0045391D" w:rsidRPr="00990D3B" w:rsidP="00743D64" w14:paraId="2353893E" w14:textId="77777777">
            <w:pPr>
              <w:pStyle w:val="EQRTableText"/>
            </w:pPr>
          </w:p>
        </w:tc>
        <w:tc>
          <w:tcPr>
            <w:tcW w:w="584" w:type="pct"/>
            <w:vAlign w:val="bottom"/>
          </w:tcPr>
          <w:p w:rsidR="0045391D" w:rsidRPr="00990D3B" w:rsidP="00743D64" w14:paraId="56C4CAB7" w14:textId="77777777">
            <w:pPr>
              <w:pStyle w:val="EQRTableText"/>
            </w:pPr>
          </w:p>
        </w:tc>
        <w:tc>
          <w:tcPr>
            <w:tcW w:w="833" w:type="pct"/>
            <w:vAlign w:val="bottom"/>
          </w:tcPr>
          <w:p w:rsidR="0045391D" w:rsidRPr="00990D3B" w:rsidP="00743D64" w14:paraId="56A1BB5A" w14:textId="77777777">
            <w:pPr>
              <w:pStyle w:val="EQRTableText"/>
            </w:pPr>
          </w:p>
        </w:tc>
        <w:tc>
          <w:tcPr>
            <w:tcW w:w="580" w:type="pct"/>
            <w:vAlign w:val="bottom"/>
          </w:tcPr>
          <w:p w:rsidR="0045391D" w:rsidRPr="00990D3B" w:rsidP="00743D64" w14:paraId="159D429D" w14:textId="77777777">
            <w:pPr>
              <w:pStyle w:val="EQRTableText"/>
            </w:pPr>
          </w:p>
        </w:tc>
      </w:tr>
      <w:tr w14:paraId="42AB4BCA" w14:textId="77777777" w:rsidTr="00743D64">
        <w:tblPrEx>
          <w:tblW w:w="5000" w:type="pct"/>
          <w:tblLook w:val="04A0"/>
        </w:tblPrEx>
        <w:trPr>
          <w:cantSplit/>
        </w:trPr>
        <w:tc>
          <w:tcPr>
            <w:tcW w:w="581" w:type="pct"/>
            <w:vAlign w:val="bottom"/>
          </w:tcPr>
          <w:p w:rsidR="0045391D" w:rsidRPr="00990D3B" w:rsidP="00743D64" w14:paraId="2C2328B5" w14:textId="77777777">
            <w:pPr>
              <w:pStyle w:val="EQRTableText"/>
            </w:pPr>
          </w:p>
        </w:tc>
        <w:tc>
          <w:tcPr>
            <w:tcW w:w="668" w:type="pct"/>
            <w:vAlign w:val="bottom"/>
          </w:tcPr>
          <w:p w:rsidR="0045391D" w:rsidRPr="00990D3B" w:rsidP="00743D64" w14:paraId="5BDD675E" w14:textId="77777777">
            <w:pPr>
              <w:pStyle w:val="EQRTableText"/>
            </w:pPr>
          </w:p>
        </w:tc>
        <w:tc>
          <w:tcPr>
            <w:tcW w:w="495" w:type="pct"/>
            <w:vAlign w:val="bottom"/>
          </w:tcPr>
          <w:p w:rsidR="0045391D" w:rsidRPr="00990D3B" w:rsidP="00743D64" w14:paraId="57D36327" w14:textId="77777777">
            <w:pPr>
              <w:pStyle w:val="EQRTableText"/>
            </w:pPr>
          </w:p>
        </w:tc>
        <w:tc>
          <w:tcPr>
            <w:tcW w:w="677" w:type="pct"/>
            <w:vAlign w:val="bottom"/>
          </w:tcPr>
          <w:p w:rsidR="0045391D" w:rsidRPr="00990D3B" w:rsidP="00743D64" w14:paraId="638FBF7C" w14:textId="77777777">
            <w:pPr>
              <w:pStyle w:val="EQRTableText"/>
            </w:pPr>
          </w:p>
        </w:tc>
        <w:tc>
          <w:tcPr>
            <w:tcW w:w="582" w:type="pct"/>
            <w:vAlign w:val="bottom"/>
          </w:tcPr>
          <w:p w:rsidR="0045391D" w:rsidRPr="00990D3B" w:rsidP="00743D64" w14:paraId="1CB1DC9A" w14:textId="77777777">
            <w:pPr>
              <w:pStyle w:val="EQRTableText"/>
            </w:pPr>
          </w:p>
        </w:tc>
        <w:tc>
          <w:tcPr>
            <w:tcW w:w="584" w:type="pct"/>
            <w:vAlign w:val="bottom"/>
          </w:tcPr>
          <w:p w:rsidR="0045391D" w:rsidRPr="00990D3B" w:rsidP="00743D64" w14:paraId="6E68D0A4" w14:textId="77777777">
            <w:pPr>
              <w:pStyle w:val="EQRTableText"/>
            </w:pPr>
          </w:p>
        </w:tc>
        <w:tc>
          <w:tcPr>
            <w:tcW w:w="833" w:type="pct"/>
            <w:vAlign w:val="bottom"/>
          </w:tcPr>
          <w:p w:rsidR="0045391D" w:rsidRPr="00990D3B" w:rsidP="00743D64" w14:paraId="46191578" w14:textId="77777777">
            <w:pPr>
              <w:pStyle w:val="EQRTableText"/>
            </w:pPr>
          </w:p>
        </w:tc>
        <w:tc>
          <w:tcPr>
            <w:tcW w:w="580" w:type="pct"/>
            <w:vAlign w:val="bottom"/>
          </w:tcPr>
          <w:p w:rsidR="0045391D" w:rsidRPr="00990D3B" w:rsidP="00743D64" w14:paraId="4B597A07" w14:textId="77777777">
            <w:pPr>
              <w:pStyle w:val="EQRTableText"/>
            </w:pPr>
          </w:p>
        </w:tc>
      </w:tr>
      <w:tr w14:paraId="3448EBCF" w14:textId="77777777" w:rsidTr="00743D64">
        <w:tblPrEx>
          <w:tblW w:w="5000" w:type="pct"/>
          <w:tblLook w:val="04A0"/>
        </w:tblPrEx>
        <w:trPr>
          <w:cantSplit/>
        </w:trPr>
        <w:tc>
          <w:tcPr>
            <w:tcW w:w="581" w:type="pct"/>
            <w:vAlign w:val="bottom"/>
          </w:tcPr>
          <w:p w:rsidR="0045391D" w:rsidRPr="00990D3B" w:rsidP="00743D64" w14:paraId="408757C7" w14:textId="77777777">
            <w:pPr>
              <w:pStyle w:val="EQRTableText"/>
            </w:pPr>
          </w:p>
        </w:tc>
        <w:tc>
          <w:tcPr>
            <w:tcW w:w="668" w:type="pct"/>
            <w:vAlign w:val="bottom"/>
          </w:tcPr>
          <w:p w:rsidR="0045391D" w:rsidRPr="00990D3B" w:rsidP="00743D64" w14:paraId="233F4D81" w14:textId="77777777">
            <w:pPr>
              <w:pStyle w:val="EQRTableText"/>
            </w:pPr>
          </w:p>
        </w:tc>
        <w:tc>
          <w:tcPr>
            <w:tcW w:w="495" w:type="pct"/>
            <w:vAlign w:val="bottom"/>
          </w:tcPr>
          <w:p w:rsidR="0045391D" w:rsidRPr="00990D3B" w:rsidP="00743D64" w14:paraId="4E8D0A08" w14:textId="77777777">
            <w:pPr>
              <w:pStyle w:val="EQRTableText"/>
            </w:pPr>
          </w:p>
        </w:tc>
        <w:tc>
          <w:tcPr>
            <w:tcW w:w="677" w:type="pct"/>
            <w:vAlign w:val="bottom"/>
          </w:tcPr>
          <w:p w:rsidR="0045391D" w:rsidRPr="00990D3B" w:rsidP="00743D64" w14:paraId="13C6A947" w14:textId="77777777">
            <w:pPr>
              <w:pStyle w:val="EQRTableText"/>
            </w:pPr>
          </w:p>
        </w:tc>
        <w:tc>
          <w:tcPr>
            <w:tcW w:w="582" w:type="pct"/>
            <w:vAlign w:val="bottom"/>
          </w:tcPr>
          <w:p w:rsidR="0045391D" w:rsidRPr="00990D3B" w:rsidP="00743D64" w14:paraId="4758D080" w14:textId="77777777">
            <w:pPr>
              <w:pStyle w:val="EQRTableText"/>
            </w:pPr>
          </w:p>
        </w:tc>
        <w:tc>
          <w:tcPr>
            <w:tcW w:w="584" w:type="pct"/>
            <w:vAlign w:val="bottom"/>
          </w:tcPr>
          <w:p w:rsidR="0045391D" w:rsidRPr="00990D3B" w:rsidP="00743D64" w14:paraId="354391D2" w14:textId="77777777">
            <w:pPr>
              <w:pStyle w:val="EQRTableText"/>
            </w:pPr>
          </w:p>
        </w:tc>
        <w:tc>
          <w:tcPr>
            <w:tcW w:w="833" w:type="pct"/>
            <w:vAlign w:val="bottom"/>
          </w:tcPr>
          <w:p w:rsidR="0045391D" w:rsidRPr="00990D3B" w:rsidP="00743D64" w14:paraId="7C3DFE86" w14:textId="77777777">
            <w:pPr>
              <w:pStyle w:val="EQRTableText"/>
            </w:pPr>
          </w:p>
        </w:tc>
        <w:tc>
          <w:tcPr>
            <w:tcW w:w="580" w:type="pct"/>
            <w:vAlign w:val="bottom"/>
          </w:tcPr>
          <w:p w:rsidR="0045391D" w:rsidRPr="00990D3B" w:rsidP="00743D64" w14:paraId="715A67B1" w14:textId="77777777">
            <w:pPr>
              <w:pStyle w:val="EQRTableText"/>
            </w:pPr>
          </w:p>
        </w:tc>
      </w:tr>
    </w:tbl>
    <w:p w:rsidR="0045391D" w:rsidRPr="00990D3B" w:rsidP="00666AC0" w14:paraId="21BE13B2" w14:textId="77777777">
      <w:pPr>
        <w:pStyle w:val="NormalSS"/>
      </w:pPr>
    </w:p>
    <w:p w:rsidR="0045391D" w:rsidRPr="00990D3B" w:rsidP="00FB7CAF" w14:paraId="4FA1E4B9" w14:textId="3B778DE2">
      <w:pPr>
        <w:pStyle w:val="EQRMarkforExhibitWORKSHEET"/>
      </w:pPr>
      <w:r w:rsidRPr="00990D3B">
        <w:br w:type="page"/>
      </w:r>
      <w:bookmarkStart w:id="1097" w:name="_Toc201751566"/>
      <w:r w:rsidRPr="00990D3B">
        <w:t xml:space="preserve">Example of Worksheet 11.2. </w:t>
      </w:r>
      <w:r w:rsidRPr="00990D3B">
        <w:t>Evaluation</w:t>
      </w:r>
      <w:r w:rsidRPr="00990D3B">
        <w:t xml:space="preserve"> Metric Identification</w:t>
      </w:r>
      <w:bookmarkEnd w:id="1097"/>
      <w:r w:rsidRPr="00990D3B">
        <w:t xml:space="preserve">  </w:t>
      </w:r>
    </w:p>
    <w:p w:rsidR="0045391D" w:rsidRPr="00990D3B" w:rsidP="00666AC0" w14:paraId="10D078A8" w14:textId="77777777">
      <w:pPr>
        <w:pStyle w:val="EQRNormalSSWORKSHEET"/>
        <w:rPr>
          <w:rFonts w:eastAsia="Times New Roman" w:asciiTheme="minorHAnsi" w:hAnsiTheme="minorHAnsi"/>
          <w:color w:val="000000" w:themeColor="text1"/>
        </w:rPr>
      </w:pPr>
      <w:r w:rsidRPr="00990D3B">
        <w:t xml:space="preserve">Below is an example of a completed evaluation metric identification worksheet, based on an SDP evaluation. </w:t>
      </w:r>
    </w:p>
    <w:p w:rsidR="0045391D" w:rsidRPr="00990D3B" w:rsidP="00666AC0" w14:paraId="28B18AA4" w14:textId="77777777">
      <w:pPr>
        <w:pStyle w:val="EQRTableHeaderCenter"/>
        <w:jc w:val="left"/>
        <w:rPr>
          <w:color w:val="auto"/>
          <w:szCs w:val="18"/>
        </w:rPr>
      </w:pPr>
      <w:r w:rsidRPr="00990D3B">
        <w:rPr>
          <w:color w:val="auto"/>
          <w:szCs w:val="18"/>
        </w:rPr>
        <w:t>Evaluation Type</w:t>
      </w:r>
      <w:r w:rsidRPr="00990D3B">
        <w:rPr>
          <w:color w:val="auto"/>
          <w:szCs w:val="18"/>
        </w:rPr>
        <w:t>:  [  ]</w:t>
      </w:r>
      <w:r w:rsidRPr="00990D3B">
        <w:rPr>
          <w:color w:val="auto"/>
          <w:szCs w:val="18"/>
        </w:rPr>
        <w:t xml:space="preserve">  </w:t>
      </w:r>
      <w:r w:rsidRPr="00990D3B">
        <w:rPr>
          <w:color w:val="auto"/>
          <w:szCs w:val="18"/>
        </w:rPr>
        <w:t>QS  [</w:t>
      </w:r>
      <w:r w:rsidRPr="00990D3B">
        <w:rPr>
          <w:color w:val="auto"/>
          <w:szCs w:val="18"/>
        </w:rPr>
        <w:t xml:space="preserve"> </w:t>
      </w:r>
      <w:r w:rsidRPr="00990D3B">
        <w:rPr>
          <w:color w:val="auto"/>
          <w:szCs w:val="18"/>
        </w:rPr>
        <w:t>X ]</w:t>
      </w:r>
      <w:r w:rsidRPr="00990D3B">
        <w:rPr>
          <w:color w:val="auto"/>
          <w:szCs w:val="18"/>
        </w:rPr>
        <w:t xml:space="preserve">  SDP</w:t>
      </w:r>
      <w:r w:rsidRPr="00990D3B">
        <w:rPr>
          <w:color w:val="auto"/>
          <w:szCs w:val="18"/>
        </w:rPr>
        <w:t xml:space="preserve">   [  ]</w:t>
      </w:r>
      <w:r w:rsidRPr="00990D3B">
        <w:rPr>
          <w:color w:val="auto"/>
          <w:szCs w:val="18"/>
        </w:rPr>
        <w:t xml:space="preserve">  ILOS</w:t>
      </w:r>
    </w:p>
    <w:tbl>
      <w:tblPr>
        <w:tblStyle w:val="TableGrid"/>
        <w:tblW w:w="5157" w:type="pct"/>
        <w:tblLook w:val="04A0"/>
      </w:tblPr>
      <w:tblGrid>
        <w:gridCol w:w="1507"/>
        <w:gridCol w:w="1549"/>
        <w:gridCol w:w="1381"/>
        <w:gridCol w:w="1752"/>
        <w:gridCol w:w="2017"/>
        <w:gridCol w:w="1512"/>
        <w:gridCol w:w="2156"/>
        <w:gridCol w:w="1483"/>
      </w:tblGrid>
      <w:tr w14:paraId="5113F735" w14:textId="77777777" w:rsidTr="00A62177">
        <w:tblPrEx>
          <w:tblW w:w="5157" w:type="pct"/>
          <w:tblLook w:val="04A0"/>
        </w:tblPrEx>
        <w:trPr>
          <w:cantSplit/>
          <w:tblHeader/>
        </w:trPr>
        <w:tc>
          <w:tcPr>
            <w:tcW w:w="5000" w:type="pct"/>
            <w:gridSpan w:val="8"/>
          </w:tcPr>
          <w:p w:rsidR="0045391D" w:rsidRPr="00990D3B" w14:paraId="00B23E7D" w14:textId="77777777">
            <w:pPr>
              <w:pStyle w:val="EQRTableHeaderCenter"/>
              <w:jc w:val="left"/>
              <w:rPr>
                <w:rFonts w:cs="Arial"/>
                <w:color w:val="000000" w:themeColor="text1"/>
                <w:szCs w:val="18"/>
              </w:rPr>
            </w:pPr>
            <w:r w:rsidRPr="00990D3B">
              <w:rPr>
                <w:rFonts w:cs="Arial"/>
                <w:color w:val="000000" w:themeColor="text1"/>
                <w:szCs w:val="18"/>
              </w:rPr>
              <w:t xml:space="preserve">Title of QS/SDP/ILOS: </w:t>
            </w:r>
            <w:r w:rsidRPr="00990D3B">
              <w:rPr>
                <w:rFonts w:cs="Arial"/>
                <w:b w:val="0"/>
                <w:color w:val="000000" w:themeColor="text1"/>
                <w:szCs w:val="18"/>
              </w:rPr>
              <w:t xml:space="preserve">VBP for Obstetric Care </w:t>
            </w:r>
            <w:r w:rsidRPr="00990D3B">
              <w:rPr>
                <w:rFonts w:cs="Arial"/>
                <w:color w:val="000000" w:themeColor="text1"/>
                <w:szCs w:val="18"/>
              </w:rPr>
              <w:t xml:space="preserve"> </w:t>
            </w:r>
          </w:p>
        </w:tc>
      </w:tr>
      <w:tr w14:paraId="09CB5334" w14:textId="77777777" w:rsidTr="00A62177">
        <w:tblPrEx>
          <w:tblW w:w="5157" w:type="pct"/>
          <w:tblLook w:val="04A0"/>
        </w:tblPrEx>
        <w:trPr>
          <w:cantSplit/>
          <w:tblHeader/>
        </w:trPr>
        <w:tc>
          <w:tcPr>
            <w:tcW w:w="564" w:type="pct"/>
            <w:vAlign w:val="bottom"/>
          </w:tcPr>
          <w:p w:rsidR="0045391D" w:rsidRPr="00990D3B" w:rsidP="00666AC0" w14:paraId="05FF9622" w14:textId="77777777">
            <w:pPr>
              <w:pStyle w:val="EQRTableHeaderLeft"/>
              <w:spacing w:before="0" w:after="0" w:line="240" w:lineRule="auto"/>
              <w:contextualSpacing/>
              <w:jc w:val="center"/>
              <w:rPr>
                <w:rFonts w:cs="Arial"/>
                <w:bCs/>
                <w:color w:val="auto"/>
                <w:szCs w:val="18"/>
              </w:rPr>
            </w:pPr>
            <w:r w:rsidRPr="00990D3B">
              <w:rPr>
                <w:rFonts w:cs="Arial"/>
                <w:bCs/>
                <w:color w:val="auto"/>
                <w:szCs w:val="18"/>
              </w:rPr>
              <w:t>Research Question</w:t>
            </w:r>
          </w:p>
        </w:tc>
        <w:tc>
          <w:tcPr>
            <w:tcW w:w="580" w:type="pct"/>
            <w:vAlign w:val="bottom"/>
          </w:tcPr>
          <w:p w:rsidR="0045391D" w:rsidRPr="00990D3B" w14:paraId="392F482E" w14:textId="77777777">
            <w:pPr>
              <w:pStyle w:val="EQRTableHeaderLeft"/>
              <w:spacing w:before="0" w:after="0" w:line="240" w:lineRule="auto"/>
              <w:contextualSpacing/>
              <w:jc w:val="center"/>
              <w:rPr>
                <w:rFonts w:cs="Arial"/>
                <w:color w:val="000000" w:themeColor="text1"/>
                <w:szCs w:val="18"/>
              </w:rPr>
            </w:pPr>
            <w:r w:rsidRPr="00990D3B">
              <w:rPr>
                <w:rFonts w:cs="Arial"/>
                <w:color w:val="000000" w:themeColor="text1"/>
                <w:szCs w:val="18"/>
              </w:rPr>
              <w:t xml:space="preserve">Evaluation Focus </w:t>
            </w:r>
          </w:p>
          <w:p w:rsidR="0045391D" w:rsidRPr="00990D3B" w14:paraId="65F0DE88" w14:textId="77777777">
            <w:pPr>
              <w:pStyle w:val="EQRTableHeaderLeft"/>
              <w:spacing w:before="0" w:after="0" w:line="240" w:lineRule="auto"/>
              <w:contextualSpacing/>
              <w:jc w:val="center"/>
              <w:rPr>
                <w:rFonts w:cs="Arial"/>
                <w:color w:val="000000" w:themeColor="text1"/>
                <w:szCs w:val="18"/>
              </w:rPr>
            </w:pPr>
            <w:r w:rsidRPr="00990D3B">
              <w:rPr>
                <w:rFonts w:cs="Arial"/>
                <w:color w:val="000000" w:themeColor="text1"/>
                <w:szCs w:val="18"/>
              </w:rPr>
              <w:t>(e.g., Process, Results)</w:t>
            </w:r>
          </w:p>
        </w:tc>
        <w:tc>
          <w:tcPr>
            <w:tcW w:w="517" w:type="pct"/>
            <w:vAlign w:val="bottom"/>
          </w:tcPr>
          <w:p w:rsidR="0045391D" w:rsidRPr="00990D3B" w14:paraId="6495EEBB" w14:textId="77777777">
            <w:pPr>
              <w:pStyle w:val="EQRTableHeaderCenter"/>
              <w:spacing w:before="0" w:after="0" w:line="240" w:lineRule="auto"/>
              <w:contextualSpacing/>
              <w:rPr>
                <w:rFonts w:cs="Arial"/>
                <w:color w:val="000000" w:themeColor="text1"/>
                <w:szCs w:val="18"/>
              </w:rPr>
            </w:pPr>
            <w:r w:rsidRPr="00990D3B">
              <w:rPr>
                <w:rFonts w:cs="Arial"/>
                <w:color w:val="000000" w:themeColor="text1"/>
                <w:szCs w:val="18"/>
              </w:rPr>
              <w:t>Results of Interest</w:t>
            </w:r>
          </w:p>
        </w:tc>
        <w:tc>
          <w:tcPr>
            <w:tcW w:w="656" w:type="pct"/>
            <w:vAlign w:val="bottom"/>
          </w:tcPr>
          <w:p w:rsidR="0045391D" w:rsidRPr="00990D3B" w14:paraId="66F46847" w14:textId="77777777">
            <w:pPr>
              <w:pStyle w:val="EQRTableHeaderCenter"/>
              <w:spacing w:before="0" w:after="0" w:line="240" w:lineRule="auto"/>
              <w:contextualSpacing/>
              <w:rPr>
                <w:rFonts w:cs="Arial"/>
                <w:color w:val="000000" w:themeColor="text1"/>
                <w:szCs w:val="18"/>
              </w:rPr>
            </w:pPr>
            <w:r w:rsidRPr="00990D3B">
              <w:rPr>
                <w:rFonts w:cs="Arial"/>
                <w:color w:val="000000" w:themeColor="text1"/>
                <w:szCs w:val="18"/>
              </w:rPr>
              <w:t>Population(s) or Provider(s) of Interest</w:t>
            </w:r>
          </w:p>
        </w:tc>
        <w:tc>
          <w:tcPr>
            <w:tcW w:w="755" w:type="pct"/>
            <w:vAlign w:val="bottom"/>
          </w:tcPr>
          <w:p w:rsidR="0045391D" w:rsidRPr="00990D3B" w14:paraId="49515EA8" w14:textId="77777777">
            <w:pPr>
              <w:pStyle w:val="EQRTableHeaderCenter"/>
              <w:spacing w:before="0" w:after="0" w:line="240" w:lineRule="auto"/>
              <w:contextualSpacing/>
              <w:rPr>
                <w:rFonts w:cs="Arial"/>
                <w:color w:val="000000" w:themeColor="text1"/>
                <w:szCs w:val="18"/>
              </w:rPr>
            </w:pPr>
            <w:r w:rsidRPr="00990D3B">
              <w:rPr>
                <w:rFonts w:cs="Arial"/>
                <w:color w:val="000000" w:themeColor="text1"/>
                <w:szCs w:val="18"/>
              </w:rPr>
              <w:t>Potential Metrics</w:t>
            </w:r>
          </w:p>
        </w:tc>
        <w:tc>
          <w:tcPr>
            <w:tcW w:w="566" w:type="pct"/>
            <w:vAlign w:val="bottom"/>
          </w:tcPr>
          <w:p w:rsidR="0045391D" w:rsidRPr="00990D3B" w14:paraId="51A93E54" w14:textId="77777777">
            <w:pPr>
              <w:pStyle w:val="EQRTableHeaderCenter"/>
              <w:spacing w:before="0" w:after="0" w:line="240" w:lineRule="auto"/>
              <w:contextualSpacing/>
              <w:rPr>
                <w:rFonts w:cs="Arial"/>
                <w:color w:val="000000" w:themeColor="text1"/>
                <w:szCs w:val="18"/>
              </w:rPr>
            </w:pPr>
            <w:r w:rsidRPr="00990D3B">
              <w:rPr>
                <w:rFonts w:cs="Arial"/>
                <w:color w:val="000000" w:themeColor="text1"/>
                <w:szCs w:val="18"/>
              </w:rPr>
              <w:t>Data Source(s) Needed</w:t>
            </w:r>
          </w:p>
        </w:tc>
        <w:tc>
          <w:tcPr>
            <w:tcW w:w="807" w:type="pct"/>
            <w:vAlign w:val="bottom"/>
          </w:tcPr>
          <w:p w:rsidR="0045391D" w:rsidRPr="00990D3B" w14:paraId="64C8FA8C" w14:textId="77777777">
            <w:pPr>
              <w:pStyle w:val="EQRTableHeaderCenter"/>
              <w:spacing w:before="0" w:after="0" w:line="240" w:lineRule="auto"/>
              <w:contextualSpacing/>
              <w:rPr>
                <w:rFonts w:cs="Arial"/>
                <w:color w:val="000000" w:themeColor="text1"/>
                <w:szCs w:val="18"/>
              </w:rPr>
            </w:pPr>
            <w:r w:rsidRPr="00990D3B">
              <w:rPr>
                <w:rFonts w:cs="Arial"/>
                <w:color w:val="000000" w:themeColor="text1"/>
                <w:szCs w:val="18"/>
              </w:rPr>
              <w:t>Feasibility (Available/Needs Data Collection)</w:t>
            </w:r>
          </w:p>
        </w:tc>
        <w:tc>
          <w:tcPr>
            <w:tcW w:w="555" w:type="pct"/>
            <w:vAlign w:val="bottom"/>
          </w:tcPr>
          <w:p w:rsidR="0045391D" w:rsidRPr="00990D3B" w14:paraId="0D40CB7E" w14:textId="77777777">
            <w:pPr>
              <w:pStyle w:val="EQRTableHeaderCenter"/>
              <w:spacing w:before="0" w:after="0" w:line="240" w:lineRule="auto"/>
              <w:contextualSpacing/>
              <w:rPr>
                <w:rFonts w:cs="Arial"/>
                <w:color w:val="000000" w:themeColor="text1"/>
                <w:szCs w:val="18"/>
              </w:rPr>
            </w:pPr>
            <w:r w:rsidRPr="00990D3B">
              <w:rPr>
                <w:rFonts w:cs="Arial"/>
                <w:color w:val="000000" w:themeColor="text1"/>
                <w:szCs w:val="18"/>
              </w:rPr>
              <w:t>Comments</w:t>
            </w:r>
          </w:p>
        </w:tc>
      </w:tr>
      <w:tr w14:paraId="5B16D67E" w14:textId="77777777" w:rsidTr="00A62177">
        <w:tblPrEx>
          <w:tblW w:w="5157" w:type="pct"/>
          <w:tblLook w:val="04A0"/>
        </w:tblPrEx>
        <w:trPr>
          <w:cantSplit/>
        </w:trPr>
        <w:tc>
          <w:tcPr>
            <w:tcW w:w="564" w:type="pct"/>
          </w:tcPr>
          <w:p w:rsidR="0045391D" w:rsidRPr="00990D3B" w:rsidP="00FC7684" w14:paraId="5843AEBB" w14:textId="77777777">
            <w:pPr>
              <w:pStyle w:val="EQRTableText"/>
            </w:pPr>
            <w:r w:rsidRPr="00990D3B">
              <w:t xml:space="preserve">1. What has been the level of OB/GYN participation in the SDP? </w:t>
            </w:r>
            <w:r w:rsidRPr="00990D3B">
              <w:rPr>
                <w:b/>
              </w:rPr>
              <w:t xml:space="preserve"> </w:t>
            </w:r>
          </w:p>
        </w:tc>
        <w:tc>
          <w:tcPr>
            <w:tcW w:w="580" w:type="pct"/>
          </w:tcPr>
          <w:p w:rsidR="0045391D" w:rsidRPr="00990D3B" w:rsidP="00A62177" w14:paraId="379328A8" w14:textId="77777777">
            <w:pPr>
              <w:pStyle w:val="EQRTableText"/>
            </w:pPr>
            <w:r w:rsidRPr="00990D3B">
              <w:t>Process</w:t>
            </w:r>
          </w:p>
        </w:tc>
        <w:tc>
          <w:tcPr>
            <w:tcW w:w="517" w:type="pct"/>
          </w:tcPr>
          <w:p w:rsidR="0045391D" w:rsidRPr="00990D3B" w:rsidP="00A62177" w14:paraId="238B7E03" w14:textId="77777777">
            <w:pPr>
              <w:pStyle w:val="EQRTableText"/>
            </w:pPr>
            <w:r w:rsidRPr="00990D3B">
              <w:t>Level of OB/GYN participation</w:t>
            </w:r>
          </w:p>
        </w:tc>
        <w:tc>
          <w:tcPr>
            <w:tcW w:w="656" w:type="pct"/>
          </w:tcPr>
          <w:p w:rsidR="0045391D" w:rsidRPr="00990D3B" w:rsidP="00A62177" w14:paraId="396E0FC8" w14:textId="77777777">
            <w:pPr>
              <w:pStyle w:val="EQRTableText"/>
            </w:pPr>
            <w:r w:rsidRPr="00990D3B">
              <w:t xml:space="preserve">OB/GYNs </w:t>
            </w:r>
          </w:p>
        </w:tc>
        <w:tc>
          <w:tcPr>
            <w:tcW w:w="755" w:type="pct"/>
          </w:tcPr>
          <w:p w:rsidR="0045391D" w:rsidRPr="00990D3B" w:rsidP="00FC7684" w14:paraId="4E604B90" w14:textId="7353616A">
            <w:pPr>
              <w:pStyle w:val="EQRTableTextbullet"/>
            </w:pPr>
            <w:r w:rsidRPr="00990D3B">
              <w:t>Number of OB/GYNs receiving VBP payments</w:t>
            </w:r>
          </w:p>
          <w:p w:rsidR="0045391D" w:rsidRPr="00990D3B" w:rsidP="00FC7684" w14:paraId="5F3FC055" w14:textId="34ABA474">
            <w:pPr>
              <w:pStyle w:val="EQRTableTextbullet"/>
            </w:pPr>
            <w:r w:rsidRPr="00990D3B">
              <w:t>Percentage of eligible OB/GYNs receiving VBP payments</w:t>
            </w:r>
          </w:p>
        </w:tc>
        <w:tc>
          <w:tcPr>
            <w:tcW w:w="566" w:type="pct"/>
          </w:tcPr>
          <w:p w:rsidR="0045391D" w:rsidRPr="00990D3B" w:rsidP="00FC7684" w14:paraId="2BC261BC" w14:textId="5C729B06">
            <w:pPr>
              <w:pStyle w:val="EQRTableTextbullet"/>
            </w:pPr>
            <w:r w:rsidRPr="00990D3B">
              <w:t>MCO payment reports</w:t>
            </w:r>
          </w:p>
          <w:p w:rsidR="0045391D" w:rsidRPr="00990D3B" w:rsidP="00FC7684" w14:paraId="5B2C2F81" w14:textId="55DC4C1A">
            <w:pPr>
              <w:pStyle w:val="EQRTableTextbullet"/>
            </w:pPr>
            <w:r w:rsidRPr="00990D3B">
              <w:t>Encounter data</w:t>
            </w:r>
          </w:p>
          <w:p w:rsidR="0045391D" w:rsidRPr="00990D3B" w:rsidP="00A62177" w14:paraId="0332BB01" w14:textId="1DCC61AA">
            <w:pPr>
              <w:pStyle w:val="EQRTableTextbullet"/>
            </w:pPr>
            <w:r w:rsidRPr="00990D3B">
              <w:t xml:space="preserve">Financial incentive data files </w:t>
            </w:r>
          </w:p>
        </w:tc>
        <w:tc>
          <w:tcPr>
            <w:tcW w:w="807" w:type="pct"/>
          </w:tcPr>
          <w:p w:rsidR="0045391D" w:rsidRPr="00990D3B" w:rsidP="00A62177" w14:paraId="53BDC899" w14:textId="44CB7BD7">
            <w:pPr>
              <w:pStyle w:val="EQRTableText"/>
              <w:rPr>
                <w:color w:val="000000" w:themeColor="text1"/>
              </w:rPr>
            </w:pPr>
            <w:r w:rsidRPr="00990D3B">
              <w:t>Available but may require consolidation from multiple sources</w:t>
            </w:r>
          </w:p>
        </w:tc>
        <w:tc>
          <w:tcPr>
            <w:tcW w:w="555" w:type="pct"/>
          </w:tcPr>
          <w:p w:rsidR="0045391D" w:rsidRPr="00990D3B" w:rsidP="00A62177" w14:paraId="32C56DEC" w14:textId="77777777">
            <w:pPr>
              <w:pStyle w:val="EQRTableText"/>
              <w:rPr>
                <w:color w:val="000000" w:themeColor="text1"/>
              </w:rPr>
            </w:pPr>
          </w:p>
        </w:tc>
      </w:tr>
      <w:tr w14:paraId="4483FA40" w14:textId="77777777" w:rsidTr="00A62177">
        <w:tblPrEx>
          <w:tblW w:w="5157" w:type="pct"/>
          <w:tblLook w:val="04A0"/>
        </w:tblPrEx>
        <w:trPr>
          <w:cantSplit/>
        </w:trPr>
        <w:tc>
          <w:tcPr>
            <w:tcW w:w="564" w:type="pct"/>
          </w:tcPr>
          <w:p w:rsidR="0045391D" w:rsidRPr="00990D3B" w:rsidP="00FC7684" w14:paraId="162F7EDC" w14:textId="77777777">
            <w:pPr>
              <w:pStyle w:val="EQRTableText"/>
            </w:pPr>
            <w:r w:rsidRPr="00990D3B">
              <w:t>2. How does the VBP support the state in making progress on its goal of improving maternal health?</w:t>
            </w:r>
          </w:p>
        </w:tc>
        <w:tc>
          <w:tcPr>
            <w:tcW w:w="580" w:type="pct"/>
          </w:tcPr>
          <w:p w:rsidR="0045391D" w:rsidRPr="00990D3B" w:rsidP="00A62177" w14:paraId="372284A8" w14:textId="77777777">
            <w:pPr>
              <w:pStyle w:val="EQRTableText"/>
            </w:pPr>
            <w:r w:rsidRPr="00990D3B">
              <w:t>Outcomes</w:t>
            </w:r>
          </w:p>
        </w:tc>
        <w:tc>
          <w:tcPr>
            <w:tcW w:w="517" w:type="pct"/>
          </w:tcPr>
          <w:p w:rsidR="0045391D" w:rsidRPr="00990D3B" w:rsidP="00A62177" w14:paraId="4247E67D" w14:textId="77777777">
            <w:pPr>
              <w:pStyle w:val="EQRTableText"/>
            </w:pPr>
            <w:r w:rsidRPr="00990D3B">
              <w:t xml:space="preserve">Preventive care screenings </w:t>
            </w:r>
          </w:p>
        </w:tc>
        <w:tc>
          <w:tcPr>
            <w:tcW w:w="656" w:type="pct"/>
          </w:tcPr>
          <w:p w:rsidR="0045391D" w:rsidRPr="00990D3B" w:rsidP="00A62177" w14:paraId="5B6231DC" w14:textId="77777777">
            <w:pPr>
              <w:pStyle w:val="EQRTableText"/>
            </w:pPr>
            <w:r w:rsidRPr="00990D3B">
              <w:t xml:space="preserve">Pregnant enrollees </w:t>
            </w:r>
          </w:p>
        </w:tc>
        <w:tc>
          <w:tcPr>
            <w:tcW w:w="755" w:type="pct"/>
          </w:tcPr>
          <w:p w:rsidR="0045391D" w:rsidRPr="00990D3B" w:rsidP="00FC7684" w14:paraId="611FA6B4" w14:textId="5FD34CD9">
            <w:pPr>
              <w:pStyle w:val="EQRTableTextbullet"/>
            </w:pPr>
            <w:r w:rsidRPr="00990D3B">
              <w:t xml:space="preserve">Prenatal and Postpartum Care </w:t>
            </w:r>
          </w:p>
          <w:p w:rsidR="0045391D" w:rsidRPr="00990D3B" w:rsidP="00FC7684" w14:paraId="164B22CE" w14:textId="2747C245">
            <w:pPr>
              <w:pStyle w:val="EQRTableTextbullet"/>
            </w:pPr>
            <w:r w:rsidRPr="00990D3B">
              <w:t>Low-Risk Cesarean Delivery</w:t>
            </w:r>
          </w:p>
          <w:p w:rsidR="0045391D" w:rsidRPr="00990D3B" w:rsidP="00A62177" w14:paraId="4C25E2E7" w14:textId="1D6F4BEC">
            <w:pPr>
              <w:pStyle w:val="EQRTableTextbullet"/>
            </w:pPr>
            <w:r w:rsidRPr="00990D3B">
              <w:t xml:space="preserve">Prenatal Immunization Status </w:t>
            </w:r>
          </w:p>
        </w:tc>
        <w:tc>
          <w:tcPr>
            <w:tcW w:w="566" w:type="pct"/>
          </w:tcPr>
          <w:p w:rsidR="0045391D" w:rsidRPr="00990D3B" w:rsidP="00FC7684" w14:paraId="647E8E02" w14:textId="77777777">
            <w:pPr>
              <w:pStyle w:val="EQRTableTextbullet"/>
            </w:pPr>
            <w:r w:rsidRPr="00990D3B">
              <w:t xml:space="preserve">Claims and encounter data </w:t>
            </w:r>
          </w:p>
        </w:tc>
        <w:tc>
          <w:tcPr>
            <w:tcW w:w="807" w:type="pct"/>
          </w:tcPr>
          <w:p w:rsidR="0045391D" w:rsidRPr="00990D3B" w:rsidP="00A62177" w14:paraId="661AD79D" w14:textId="77777777">
            <w:pPr>
              <w:pStyle w:val="EQRTableText"/>
              <w:rPr>
                <w:color w:val="000000" w:themeColor="text1"/>
              </w:rPr>
            </w:pPr>
            <w:r w:rsidRPr="00990D3B">
              <w:rPr>
                <w:color w:val="000000" w:themeColor="text1"/>
              </w:rPr>
              <w:t xml:space="preserve">Available </w:t>
            </w:r>
          </w:p>
        </w:tc>
        <w:tc>
          <w:tcPr>
            <w:tcW w:w="555" w:type="pct"/>
          </w:tcPr>
          <w:p w:rsidR="0045391D" w:rsidRPr="00990D3B" w:rsidP="00A62177" w14:paraId="2ECE89AA" w14:textId="77777777">
            <w:pPr>
              <w:pStyle w:val="EQRTableText"/>
              <w:rPr>
                <w:color w:val="000000" w:themeColor="text1"/>
              </w:rPr>
            </w:pPr>
          </w:p>
        </w:tc>
      </w:tr>
    </w:tbl>
    <w:p w:rsidR="0045391D" w:rsidRPr="00990D3B" w:rsidP="00666AC0" w14:paraId="16244BA2" w14:textId="77777777">
      <w:pPr>
        <w:pStyle w:val="Paragraph0"/>
      </w:pPr>
    </w:p>
    <w:p w:rsidR="00A34680" w:rsidRPr="00990D3B" w14:paraId="5C3C8403" w14:textId="77777777">
      <w:pPr>
        <w:spacing w:line="240" w:lineRule="auto"/>
        <w:sectPr w:rsidSect="00743D64">
          <w:pgSz w:w="15840" w:h="12240" w:orient="landscape" w:code="1"/>
          <w:pgMar w:top="1440" w:right="1440" w:bottom="1440" w:left="1440" w:header="720" w:footer="720" w:gutter="0"/>
          <w:cols w:space="720"/>
          <w:docGrid w:linePitch="360"/>
        </w:sectPr>
      </w:pPr>
    </w:p>
    <w:p w:rsidR="0045391D" w:rsidRPr="00990D3B" w:rsidP="00666AC0" w14:paraId="1A595C78" w14:textId="77777777">
      <w:pPr>
        <w:pStyle w:val="EQRMarkforExhibitWORKSHEET"/>
      </w:pPr>
      <w:bookmarkStart w:id="1098" w:name="WS11n3"/>
      <w:bookmarkStart w:id="1099" w:name="_Toc201751567"/>
      <w:bookmarkEnd w:id="1098"/>
      <w:r w:rsidRPr="00990D3B">
        <w:t>Worksheet 11.3. Evaluation Metrics, Baseline, and Performance Targets</w:t>
      </w:r>
      <w:bookmarkEnd w:id="1099"/>
    </w:p>
    <w:p w:rsidR="0045391D" w:rsidRPr="00990D3B" w:rsidP="00F66104" w14:paraId="713D3A29" w14:textId="77777777">
      <w:pPr>
        <w:pStyle w:val="EQRNormalSSWORKSHEET"/>
        <w:rPr>
          <w:b/>
          <w:bCs/>
        </w:rPr>
      </w:pPr>
      <w:r w:rsidRPr="00990D3B">
        <w:rPr>
          <w:b/>
          <w:bCs/>
        </w:rPr>
        <w:t>Evaluation Type</w:t>
      </w:r>
      <w:r w:rsidRPr="00990D3B">
        <w:rPr>
          <w:b/>
          <w:bCs/>
        </w:rPr>
        <w:t>:  [  ]</w:t>
      </w:r>
      <w:r w:rsidRPr="00990D3B">
        <w:rPr>
          <w:b/>
          <w:bCs/>
        </w:rPr>
        <w:t xml:space="preserve">  </w:t>
      </w:r>
      <w:r w:rsidRPr="00990D3B">
        <w:rPr>
          <w:b/>
          <w:bCs/>
        </w:rPr>
        <w:t>QS  [  ]</w:t>
      </w:r>
      <w:r w:rsidRPr="00990D3B">
        <w:rPr>
          <w:b/>
          <w:bCs/>
        </w:rPr>
        <w:t xml:space="preserve">  SDP</w:t>
      </w:r>
      <w:r w:rsidRPr="00990D3B">
        <w:rPr>
          <w:b/>
          <w:bCs/>
        </w:rPr>
        <w:t xml:space="preserve">   [  ]</w:t>
      </w:r>
      <w:r w:rsidRPr="00990D3B">
        <w:rPr>
          <w:b/>
          <w:bCs/>
        </w:rPr>
        <w:t xml:space="preserve">  ILOS</w:t>
      </w:r>
    </w:p>
    <w:p w:rsidR="0045391D" w:rsidRPr="00990D3B" w:rsidP="00F66104" w14:paraId="54ED3D8A" w14:textId="77777777">
      <w:pPr>
        <w:pStyle w:val="EQRNormalSSWORKSHEET"/>
      </w:pPr>
      <w:r w:rsidRPr="00990D3B">
        <w:rPr>
          <w:b/>
          <w:bCs/>
        </w:rPr>
        <w:t xml:space="preserve">Instructions. </w:t>
      </w:r>
      <w:r w:rsidRPr="00990D3B">
        <w:t>Use the table below to collect the key information for each metric selected for the evaluation. Add rows as necessary. For each metric,</w:t>
      </w:r>
    </w:p>
    <w:p w:rsidR="0045391D" w:rsidRPr="00990D3B" w:rsidP="00F66104" w14:paraId="2C5EC0B5" w14:textId="77777777">
      <w:pPr>
        <w:pStyle w:val="EQRNormalSSWSbullet"/>
      </w:pPr>
      <w:r w:rsidRPr="00990D3B">
        <w:rPr>
          <w:b/>
          <w:bCs/>
        </w:rPr>
        <w:t xml:space="preserve">Measure Steward </w:t>
      </w:r>
      <w:r w:rsidRPr="00990D3B">
        <w:rPr>
          <w:rFonts w:eastAsia="Calibri"/>
          <w:bCs/>
        </w:rPr>
        <w:t xml:space="preserve">– </w:t>
      </w:r>
      <w:r w:rsidRPr="00990D3B">
        <w:t>Identify the entity responsible for maintaining and updating the measure or metric (e.g., NCQA, CMS). If no formal measure steward exists, such as for a state-developed metric, note this in the comment column and include the numerator and denominator to provide clarity on how the metric is calculated.</w:t>
      </w:r>
    </w:p>
    <w:p w:rsidR="0045391D" w:rsidRPr="00990D3B" w:rsidP="00F66104" w14:paraId="4A13B6F8" w14:textId="77777777">
      <w:pPr>
        <w:pStyle w:val="EQRNormalSSWSbullet"/>
      </w:pPr>
      <w:r w:rsidRPr="00990D3B">
        <w:rPr>
          <w:b/>
          <w:bCs/>
        </w:rPr>
        <w:t xml:space="preserve">Measure ID – </w:t>
      </w:r>
      <w:r w:rsidRPr="00990D3B">
        <w:t>Include the relevant measure identification number, if available (e.g., CMIT ID). If no formal ID exists, note “Not applicable (N/A).”</w:t>
      </w:r>
    </w:p>
    <w:p w:rsidR="0045391D" w:rsidRPr="00990D3B" w:rsidP="00F66104" w14:paraId="715F326A" w14:textId="77777777">
      <w:pPr>
        <w:pStyle w:val="EQRNormalSSWSbullet"/>
      </w:pPr>
      <w:r w:rsidRPr="00990D3B">
        <w:rPr>
          <w:b/>
          <w:bCs/>
        </w:rPr>
        <w:t xml:space="preserve">Baseline Year </w:t>
      </w:r>
      <w:r w:rsidRPr="00990D3B">
        <w:rPr>
          <w:rFonts w:eastAsia="Calibri"/>
          <w:bCs/>
        </w:rPr>
        <w:t>–</w:t>
      </w:r>
      <w:r w:rsidRPr="00990D3B">
        <w:rPr>
          <w:b/>
          <w:bCs/>
        </w:rPr>
        <w:t xml:space="preserve"> </w:t>
      </w:r>
      <w:r w:rsidRPr="00990D3B">
        <w:t xml:space="preserve">Specify the year used as a reference point for measuring changes over time. </w:t>
      </w:r>
    </w:p>
    <w:p w:rsidR="0045391D" w:rsidRPr="00990D3B" w:rsidP="00F66104" w14:paraId="6C1E030B" w14:textId="77777777">
      <w:pPr>
        <w:pStyle w:val="EQRNormalSSWSbullet"/>
      </w:pPr>
      <w:r w:rsidRPr="00990D3B">
        <w:rPr>
          <w:b/>
          <w:bCs/>
        </w:rPr>
        <w:t xml:space="preserve">Baseline Statistics </w:t>
      </w:r>
      <w:r w:rsidRPr="00990D3B">
        <w:rPr>
          <w:rFonts w:eastAsia="Calibri"/>
        </w:rPr>
        <w:t>–</w:t>
      </w:r>
      <w:r w:rsidRPr="00990D3B">
        <w:rPr>
          <w:b/>
          <w:bCs/>
        </w:rPr>
        <w:t xml:space="preserve"> </w:t>
      </w:r>
      <w:r w:rsidRPr="00990D3B">
        <w:t>Document the metric’s value during the baseline year. As a reminder, based on the evaluation design, the baseline statistics should be limited to relevant populations, providers, and plans. If a baseline statistic is unavailable when completing this worksheet, note “Unavailable” and insert a comment stating why it is unavailable and when it is expected to become available.</w:t>
      </w:r>
      <w:r>
        <w:rPr>
          <w:rStyle w:val="FootnoteReference"/>
        </w:rPr>
        <w:footnoteReference w:id="139"/>
      </w:r>
      <w:r w:rsidRPr="00990D3B">
        <w:rPr>
          <w:b/>
          <w:bCs/>
        </w:rPr>
        <w:t xml:space="preserve"> </w:t>
      </w:r>
    </w:p>
    <w:p w:rsidR="0045391D" w:rsidRPr="00990D3B" w:rsidP="00F66104" w14:paraId="5667A49F" w14:textId="77777777">
      <w:pPr>
        <w:pStyle w:val="EQRNormalSSWSbullet"/>
        <w:rPr>
          <w:b/>
          <w:bCs/>
        </w:rPr>
      </w:pPr>
      <w:r w:rsidRPr="00990D3B">
        <w:rPr>
          <w:b/>
          <w:bCs/>
        </w:rPr>
        <w:t xml:space="preserve">Performance Target </w:t>
      </w:r>
      <w:r w:rsidRPr="00990D3B">
        <w:rPr>
          <w:rFonts w:eastAsia="Calibri"/>
        </w:rPr>
        <w:t>–</w:t>
      </w:r>
      <w:r w:rsidRPr="00990D3B">
        <w:rPr>
          <w:b/>
          <w:bCs/>
        </w:rPr>
        <w:t xml:space="preserve"> </w:t>
      </w:r>
      <w:r w:rsidRPr="00990D3B">
        <w:t>Specify the target or state’s quality improvement goal for the metric. Ensure it aligns with the level of measurement (e.g., population, provider, or plan). If unavailable, note “Unavailable” and insert a comment noting when it will be determined.</w:t>
      </w:r>
      <w:r>
        <w:rPr>
          <w:rStyle w:val="FootnoteReference"/>
        </w:rPr>
        <w:footnoteReference w:id="140"/>
      </w:r>
    </w:p>
    <w:p w:rsidR="0045391D" w:rsidRPr="00990D3B" w:rsidP="00F66104" w14:paraId="612349B1" w14:textId="77777777">
      <w:pPr>
        <w:pStyle w:val="EQRNormalSSWSbullet"/>
      </w:pPr>
      <w:r w:rsidRPr="00990D3B">
        <w:rPr>
          <w:b/>
          <w:bCs/>
        </w:rPr>
        <w:t xml:space="preserve">Comments </w:t>
      </w:r>
      <w:r w:rsidRPr="00990D3B">
        <w:rPr>
          <w:rFonts w:eastAsia="Calibri"/>
          <w:bCs/>
        </w:rPr>
        <w:t>–</w:t>
      </w:r>
      <w:r w:rsidRPr="00990D3B">
        <w:t xml:space="preserve"> Document concerns, data limitations, anticipated challenges, or other relevant considerations.</w:t>
      </w:r>
    </w:p>
    <w:p w:rsidR="0045391D" w:rsidRPr="00990D3B" w:rsidP="00F66104" w14:paraId="21CEF4A7" w14:textId="77777777">
      <w:pPr>
        <w:pStyle w:val="EQRNormalSSWORKSHEET"/>
        <w:rPr>
          <w:bCs/>
        </w:rPr>
      </w:pPr>
      <w:r w:rsidRPr="00990D3B">
        <w:t xml:space="preserve">Acronyms: CMIT= CMS Measure Inventory Tool; CMS= Centers for Medicare and Medicaid Services; CY= Calendar Year; ILOS = In Lieu of Services and Settings; NCQA= National Committee for Quality Assurance; NQF ID = National Quality Forum Identification Number; </w:t>
      </w:r>
      <w:r w:rsidRPr="00990D3B">
        <w:rPr>
          <w:rFonts w:asciiTheme="majorHAnsi" w:hAnsiTheme="majorHAnsi" w:cstheme="majorHAnsi"/>
        </w:rPr>
        <w:t>QS = Quality Strategy;</w:t>
      </w:r>
      <w:r w:rsidRPr="00990D3B">
        <w:t xml:space="preserve"> SDP = State Directed Payment.</w:t>
      </w:r>
    </w:p>
    <w:tbl>
      <w:tblPr>
        <w:tblStyle w:val="GridTable4-Accent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6"/>
        <w:gridCol w:w="1260"/>
        <w:gridCol w:w="1135"/>
        <w:gridCol w:w="1244"/>
        <w:gridCol w:w="1335"/>
        <w:gridCol w:w="1337"/>
        <w:gridCol w:w="1333"/>
      </w:tblGrid>
      <w:tr w14:paraId="753DA981" w14:textId="77777777" w:rsidTr="00666AC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53"/>
          <w:tblHeader/>
        </w:trPr>
        <w:tc>
          <w:tcPr>
            <w:tcW w:w="5000" w:type="pct"/>
            <w:gridSpan w:val="7"/>
            <w:shd w:val="clear" w:color="auto" w:fill="auto"/>
            <w:vAlign w:val="bottom"/>
          </w:tcPr>
          <w:p w:rsidR="0045391D" w:rsidRPr="00990D3B" w:rsidP="00163F99" w14:paraId="1B8C6CFB" w14:textId="77777777">
            <w:pPr>
              <w:pStyle w:val="EQRTableHeaderLeft"/>
              <w:rPr>
                <w:b/>
                <w:bCs w:val="0"/>
                <w:color w:val="auto"/>
              </w:rPr>
            </w:pPr>
            <w:r w:rsidRPr="00990D3B">
              <w:rPr>
                <w:b/>
                <w:bCs w:val="0"/>
                <w:color w:val="auto"/>
              </w:rPr>
              <w:t>Title of QS/SDP/ILOS:</w:t>
            </w:r>
          </w:p>
        </w:tc>
      </w:tr>
      <w:tr w14:paraId="223BD9C5" w14:textId="77777777" w:rsidTr="00666AC0">
        <w:tblPrEx>
          <w:tblW w:w="5000" w:type="pct"/>
          <w:tblLayout w:type="fixed"/>
          <w:tblLook w:val="04A0"/>
        </w:tblPrEx>
        <w:trPr>
          <w:trHeight w:val="353"/>
          <w:tblHeader/>
        </w:trPr>
        <w:tc>
          <w:tcPr>
            <w:tcW w:w="912" w:type="pct"/>
            <w:shd w:val="clear" w:color="auto" w:fill="auto"/>
            <w:vAlign w:val="bottom"/>
          </w:tcPr>
          <w:p w:rsidR="0045391D" w:rsidRPr="00990D3B" w:rsidP="00163F99" w14:paraId="599CAF46" w14:textId="77777777">
            <w:pPr>
              <w:pStyle w:val="EQRTableHeaderLeft"/>
              <w:rPr>
                <w:b/>
                <w:bCs w:val="0"/>
                <w:color w:val="auto"/>
              </w:rPr>
            </w:pPr>
            <w:r w:rsidRPr="00990D3B">
              <w:rPr>
                <w:b/>
                <w:bCs w:val="0"/>
                <w:color w:val="auto"/>
              </w:rPr>
              <w:t>Metric Name</w:t>
            </w:r>
          </w:p>
        </w:tc>
        <w:tc>
          <w:tcPr>
            <w:tcW w:w="674" w:type="pct"/>
            <w:shd w:val="clear" w:color="auto" w:fill="auto"/>
            <w:vAlign w:val="bottom"/>
          </w:tcPr>
          <w:p w:rsidR="0045391D" w:rsidRPr="00990D3B" w:rsidP="00163F99" w14:paraId="6AFD028B" w14:textId="77777777">
            <w:pPr>
              <w:pStyle w:val="EQRTableHeaderCenter"/>
              <w:rPr>
                <w:b/>
                <w:bCs w:val="0"/>
                <w:color w:val="auto"/>
              </w:rPr>
            </w:pPr>
            <w:r w:rsidRPr="00990D3B">
              <w:rPr>
                <w:b/>
                <w:bCs w:val="0"/>
                <w:color w:val="auto"/>
              </w:rPr>
              <w:t>Measure Steward</w:t>
            </w:r>
          </w:p>
        </w:tc>
        <w:tc>
          <w:tcPr>
            <w:tcW w:w="607" w:type="pct"/>
            <w:shd w:val="clear" w:color="auto" w:fill="auto"/>
            <w:vAlign w:val="bottom"/>
          </w:tcPr>
          <w:p w:rsidR="0045391D" w:rsidRPr="00990D3B" w:rsidP="00163F99" w14:paraId="075780D7" w14:textId="77777777">
            <w:pPr>
              <w:pStyle w:val="EQRTableHeaderCenter"/>
              <w:rPr>
                <w:b/>
                <w:bCs w:val="0"/>
                <w:color w:val="auto"/>
              </w:rPr>
            </w:pPr>
            <w:r w:rsidRPr="00990D3B">
              <w:rPr>
                <w:b/>
                <w:bCs w:val="0"/>
                <w:color w:val="auto"/>
              </w:rPr>
              <w:t>Measure ID</w:t>
            </w:r>
          </w:p>
        </w:tc>
        <w:tc>
          <w:tcPr>
            <w:tcW w:w="665" w:type="pct"/>
            <w:shd w:val="clear" w:color="auto" w:fill="auto"/>
            <w:vAlign w:val="bottom"/>
          </w:tcPr>
          <w:p w:rsidR="0045391D" w:rsidRPr="00990D3B" w:rsidP="00163F99" w14:paraId="42F672C6" w14:textId="77777777">
            <w:pPr>
              <w:pStyle w:val="EQRTableHeaderCenter"/>
              <w:rPr>
                <w:b/>
                <w:bCs w:val="0"/>
                <w:color w:val="auto"/>
              </w:rPr>
            </w:pPr>
            <w:r w:rsidRPr="00990D3B">
              <w:rPr>
                <w:b/>
                <w:bCs w:val="0"/>
                <w:color w:val="auto"/>
              </w:rPr>
              <w:t>Baseline Year</w:t>
            </w:r>
          </w:p>
        </w:tc>
        <w:tc>
          <w:tcPr>
            <w:tcW w:w="714" w:type="pct"/>
            <w:shd w:val="clear" w:color="auto" w:fill="auto"/>
            <w:vAlign w:val="bottom"/>
          </w:tcPr>
          <w:p w:rsidR="0045391D" w:rsidRPr="00990D3B" w:rsidP="00163F99" w14:paraId="039DF864" w14:textId="77777777">
            <w:pPr>
              <w:pStyle w:val="EQRTableHeaderCenter"/>
              <w:rPr>
                <w:b/>
                <w:bCs w:val="0"/>
                <w:color w:val="auto"/>
              </w:rPr>
            </w:pPr>
            <w:r w:rsidRPr="00990D3B">
              <w:rPr>
                <w:b/>
                <w:bCs w:val="0"/>
                <w:color w:val="auto"/>
              </w:rPr>
              <w:t>Baseline Statistic</w:t>
            </w:r>
          </w:p>
        </w:tc>
        <w:tc>
          <w:tcPr>
            <w:tcW w:w="715" w:type="pct"/>
            <w:shd w:val="clear" w:color="auto" w:fill="auto"/>
            <w:vAlign w:val="bottom"/>
          </w:tcPr>
          <w:p w:rsidR="0045391D" w:rsidRPr="00990D3B" w:rsidP="00163F99" w14:paraId="5E4EBB5D" w14:textId="77777777">
            <w:pPr>
              <w:pStyle w:val="EQRTableHeaderCenter"/>
              <w:rPr>
                <w:b/>
                <w:bCs w:val="0"/>
                <w:color w:val="auto"/>
              </w:rPr>
            </w:pPr>
            <w:r w:rsidRPr="00990D3B">
              <w:rPr>
                <w:b/>
                <w:bCs w:val="0"/>
                <w:color w:val="auto"/>
              </w:rPr>
              <w:t>Performance Target</w:t>
            </w:r>
          </w:p>
        </w:tc>
        <w:tc>
          <w:tcPr>
            <w:tcW w:w="713" w:type="pct"/>
            <w:shd w:val="clear" w:color="auto" w:fill="auto"/>
            <w:vAlign w:val="bottom"/>
          </w:tcPr>
          <w:p w:rsidR="0045391D" w:rsidRPr="00990D3B" w:rsidP="00163F99" w14:paraId="0D76D0FB" w14:textId="77777777">
            <w:pPr>
              <w:pStyle w:val="EQRTableHeaderCenter"/>
              <w:rPr>
                <w:b/>
                <w:bCs w:val="0"/>
                <w:color w:val="auto"/>
              </w:rPr>
            </w:pPr>
            <w:r w:rsidRPr="00990D3B">
              <w:rPr>
                <w:b/>
                <w:bCs w:val="0"/>
                <w:color w:val="auto"/>
              </w:rPr>
              <w:t>Comment</w:t>
            </w:r>
          </w:p>
        </w:tc>
      </w:tr>
      <w:tr w14:paraId="14065438" w14:textId="77777777" w:rsidTr="00666AC0">
        <w:tblPrEx>
          <w:tblW w:w="5000" w:type="pct"/>
          <w:tblLayout w:type="fixed"/>
          <w:tblLook w:val="04A0"/>
        </w:tblPrEx>
        <w:trPr>
          <w:trHeight w:val="353"/>
        </w:trPr>
        <w:tc>
          <w:tcPr>
            <w:tcW w:w="912" w:type="pct"/>
            <w:shd w:val="clear" w:color="auto" w:fill="auto"/>
          </w:tcPr>
          <w:p w:rsidR="0045391D" w:rsidRPr="00990D3B" w:rsidP="00163F99" w14:paraId="6D1E10F6" w14:textId="77777777">
            <w:pPr>
              <w:pStyle w:val="EQRTableText"/>
              <w:rPr>
                <w:i/>
              </w:rPr>
            </w:pPr>
          </w:p>
        </w:tc>
        <w:tc>
          <w:tcPr>
            <w:tcW w:w="674" w:type="pct"/>
            <w:shd w:val="clear" w:color="auto" w:fill="auto"/>
          </w:tcPr>
          <w:p w:rsidR="0045391D" w:rsidRPr="00990D3B" w:rsidP="00163F99" w14:paraId="357DA8A0" w14:textId="77777777">
            <w:pPr>
              <w:pStyle w:val="EQRTableText"/>
              <w:rPr>
                <w:rFonts w:eastAsia="Calibri"/>
              </w:rPr>
            </w:pPr>
          </w:p>
        </w:tc>
        <w:tc>
          <w:tcPr>
            <w:tcW w:w="607" w:type="pct"/>
            <w:shd w:val="clear" w:color="auto" w:fill="auto"/>
          </w:tcPr>
          <w:p w:rsidR="0045391D" w:rsidRPr="00990D3B" w:rsidP="00163F99" w14:paraId="30BAD453" w14:textId="77777777">
            <w:pPr>
              <w:pStyle w:val="EQRTableText"/>
              <w:rPr>
                <w:rFonts w:eastAsia="Calibri"/>
              </w:rPr>
            </w:pPr>
          </w:p>
        </w:tc>
        <w:tc>
          <w:tcPr>
            <w:tcW w:w="665" w:type="pct"/>
            <w:shd w:val="clear" w:color="auto" w:fill="auto"/>
          </w:tcPr>
          <w:p w:rsidR="0045391D" w:rsidRPr="00990D3B" w:rsidP="00163F99" w14:paraId="0A703199" w14:textId="77777777">
            <w:pPr>
              <w:pStyle w:val="EQRTableText"/>
              <w:rPr>
                <w:rFonts w:eastAsia="Calibri"/>
              </w:rPr>
            </w:pPr>
          </w:p>
        </w:tc>
        <w:tc>
          <w:tcPr>
            <w:tcW w:w="714" w:type="pct"/>
            <w:shd w:val="clear" w:color="auto" w:fill="auto"/>
          </w:tcPr>
          <w:p w:rsidR="0045391D" w:rsidRPr="00990D3B" w:rsidP="00163F99" w14:paraId="0D2B6BF7" w14:textId="77777777">
            <w:pPr>
              <w:pStyle w:val="EQRTableText"/>
              <w:rPr>
                <w:rFonts w:eastAsia="Calibri"/>
              </w:rPr>
            </w:pPr>
          </w:p>
        </w:tc>
        <w:tc>
          <w:tcPr>
            <w:tcW w:w="715" w:type="pct"/>
            <w:shd w:val="clear" w:color="auto" w:fill="auto"/>
          </w:tcPr>
          <w:p w:rsidR="0045391D" w:rsidRPr="00990D3B" w:rsidP="00163F99" w14:paraId="55D98ABE" w14:textId="77777777">
            <w:pPr>
              <w:pStyle w:val="EQRTableText"/>
              <w:rPr>
                <w:rFonts w:eastAsia="Calibri"/>
              </w:rPr>
            </w:pPr>
          </w:p>
        </w:tc>
        <w:tc>
          <w:tcPr>
            <w:tcW w:w="713" w:type="pct"/>
            <w:shd w:val="clear" w:color="auto" w:fill="auto"/>
            <w:vAlign w:val="bottom"/>
          </w:tcPr>
          <w:p w:rsidR="0045391D" w:rsidRPr="00990D3B" w:rsidP="00163F99" w14:paraId="15AC74B7" w14:textId="77777777">
            <w:pPr>
              <w:pStyle w:val="EQRTableText"/>
              <w:rPr>
                <w:rFonts w:eastAsia="Calibri"/>
              </w:rPr>
            </w:pPr>
          </w:p>
        </w:tc>
      </w:tr>
      <w:tr w14:paraId="413E03A3" w14:textId="77777777" w:rsidTr="00666AC0">
        <w:tblPrEx>
          <w:tblW w:w="5000" w:type="pct"/>
          <w:tblLayout w:type="fixed"/>
          <w:tblLook w:val="04A0"/>
        </w:tblPrEx>
        <w:trPr>
          <w:trHeight w:val="353"/>
        </w:trPr>
        <w:tc>
          <w:tcPr>
            <w:tcW w:w="912" w:type="pct"/>
            <w:tcBorders>
              <w:top w:val="single" w:sz="4" w:space="0" w:color="auto"/>
              <w:left w:val="single" w:sz="4" w:space="0" w:color="auto"/>
              <w:bottom w:val="single" w:sz="4" w:space="0" w:color="auto"/>
              <w:right w:val="single" w:sz="4" w:space="0" w:color="auto"/>
            </w:tcBorders>
          </w:tcPr>
          <w:p w:rsidR="0045391D" w:rsidRPr="00990D3B" w:rsidP="00163F99" w14:paraId="51D9A39C" w14:textId="77777777">
            <w:pPr>
              <w:pStyle w:val="EQRTableText"/>
            </w:pPr>
          </w:p>
        </w:tc>
        <w:tc>
          <w:tcPr>
            <w:tcW w:w="674" w:type="pct"/>
            <w:tcBorders>
              <w:top w:val="single" w:sz="4" w:space="0" w:color="auto"/>
              <w:left w:val="single" w:sz="4" w:space="0" w:color="auto"/>
              <w:bottom w:val="single" w:sz="4" w:space="0" w:color="auto"/>
              <w:right w:val="single" w:sz="4" w:space="0" w:color="auto"/>
            </w:tcBorders>
          </w:tcPr>
          <w:p w:rsidR="0045391D" w:rsidRPr="00990D3B" w:rsidP="00163F99" w14:paraId="25668B83" w14:textId="77777777">
            <w:pPr>
              <w:pStyle w:val="EQRTableText"/>
              <w:rPr>
                <w:rFonts w:eastAsia="Calibri"/>
              </w:rPr>
            </w:pPr>
          </w:p>
        </w:tc>
        <w:tc>
          <w:tcPr>
            <w:tcW w:w="607" w:type="pct"/>
            <w:tcBorders>
              <w:top w:val="single" w:sz="4" w:space="0" w:color="auto"/>
              <w:left w:val="single" w:sz="4" w:space="0" w:color="auto"/>
              <w:bottom w:val="single" w:sz="4" w:space="0" w:color="auto"/>
              <w:right w:val="single" w:sz="4" w:space="0" w:color="auto"/>
            </w:tcBorders>
          </w:tcPr>
          <w:p w:rsidR="0045391D" w:rsidRPr="00990D3B" w:rsidP="00163F99" w14:paraId="6A02F362" w14:textId="77777777">
            <w:pPr>
              <w:pStyle w:val="EQRTableText"/>
              <w:rPr>
                <w:rFonts w:eastAsia="Calibri"/>
              </w:rPr>
            </w:pPr>
          </w:p>
        </w:tc>
        <w:tc>
          <w:tcPr>
            <w:tcW w:w="665" w:type="pct"/>
            <w:tcBorders>
              <w:top w:val="single" w:sz="4" w:space="0" w:color="auto"/>
              <w:left w:val="single" w:sz="4" w:space="0" w:color="auto"/>
              <w:bottom w:val="single" w:sz="4" w:space="0" w:color="auto"/>
              <w:right w:val="single" w:sz="4" w:space="0" w:color="auto"/>
            </w:tcBorders>
          </w:tcPr>
          <w:p w:rsidR="0045391D" w:rsidRPr="00990D3B" w:rsidP="00163F99" w14:paraId="0E3FEBCB" w14:textId="77777777">
            <w:pPr>
              <w:pStyle w:val="EQRTableText"/>
              <w:rPr>
                <w:rFonts w:eastAsia="Calibri"/>
              </w:rPr>
            </w:pPr>
          </w:p>
        </w:tc>
        <w:tc>
          <w:tcPr>
            <w:tcW w:w="714" w:type="pct"/>
            <w:tcBorders>
              <w:top w:val="single" w:sz="4" w:space="0" w:color="auto"/>
              <w:left w:val="single" w:sz="4" w:space="0" w:color="auto"/>
              <w:bottom w:val="single" w:sz="4" w:space="0" w:color="auto"/>
              <w:right w:val="single" w:sz="4" w:space="0" w:color="auto"/>
            </w:tcBorders>
          </w:tcPr>
          <w:p w:rsidR="0045391D" w:rsidRPr="00990D3B" w:rsidP="00163F99" w14:paraId="45458185" w14:textId="77777777">
            <w:pPr>
              <w:pStyle w:val="EQRTableText"/>
              <w:rPr>
                <w:rFonts w:eastAsia="Calibri"/>
              </w:rPr>
            </w:pPr>
          </w:p>
        </w:tc>
        <w:tc>
          <w:tcPr>
            <w:tcW w:w="715" w:type="pct"/>
            <w:tcBorders>
              <w:top w:val="single" w:sz="4" w:space="0" w:color="auto"/>
              <w:left w:val="single" w:sz="4" w:space="0" w:color="auto"/>
              <w:bottom w:val="single" w:sz="4" w:space="0" w:color="auto"/>
              <w:right w:val="single" w:sz="4" w:space="0" w:color="auto"/>
            </w:tcBorders>
          </w:tcPr>
          <w:p w:rsidR="0045391D" w:rsidRPr="00990D3B" w:rsidP="00163F99" w14:paraId="16869CB1" w14:textId="77777777">
            <w:pPr>
              <w:pStyle w:val="EQRTableText"/>
              <w:rPr>
                <w:rFonts w:eastAsia="Calibri"/>
              </w:rPr>
            </w:pPr>
          </w:p>
        </w:tc>
        <w:tc>
          <w:tcPr>
            <w:tcW w:w="713" w:type="pct"/>
            <w:tcBorders>
              <w:top w:val="single" w:sz="4" w:space="0" w:color="auto"/>
              <w:left w:val="single" w:sz="4" w:space="0" w:color="auto"/>
              <w:bottom w:val="single" w:sz="4" w:space="0" w:color="auto"/>
              <w:right w:val="single" w:sz="4" w:space="0" w:color="auto"/>
            </w:tcBorders>
            <w:vAlign w:val="bottom"/>
          </w:tcPr>
          <w:p w:rsidR="0045391D" w:rsidRPr="00990D3B" w:rsidP="00163F99" w14:paraId="4535EFD1" w14:textId="77777777">
            <w:pPr>
              <w:pStyle w:val="EQRTableText"/>
              <w:rPr>
                <w:rFonts w:eastAsia="Calibri"/>
              </w:rPr>
            </w:pPr>
          </w:p>
        </w:tc>
      </w:tr>
    </w:tbl>
    <w:p w:rsidR="00F66104" w:rsidRPr="00990D3B" w:rsidP="00666AC0" w14:paraId="031E4E79" w14:textId="7D6699B1"/>
    <w:p w:rsidR="00F66104" w:rsidRPr="00990D3B" w14:paraId="64231B0D" w14:textId="77777777">
      <w:pPr>
        <w:spacing w:line="240" w:lineRule="auto"/>
      </w:pPr>
      <w:r w:rsidRPr="00990D3B">
        <w:br w:type="page"/>
      </w:r>
    </w:p>
    <w:p w:rsidR="0045391D" w:rsidRPr="00990D3B" w:rsidP="00666AC0" w14:paraId="3CB52BA8" w14:textId="77777777">
      <w:pPr>
        <w:pStyle w:val="EQRMarkforExhibitWORKSHEET"/>
      </w:pPr>
      <w:bookmarkStart w:id="1100" w:name="_Toc201751568"/>
      <w:r w:rsidRPr="00990D3B">
        <w:t>Example Worksheet 11.3. Evaluation Metrics, Baseline, and Performance Targets</w:t>
      </w:r>
      <w:bookmarkEnd w:id="1100"/>
    </w:p>
    <w:p w:rsidR="0045391D" w:rsidRPr="00990D3B" w:rsidP="00163F99" w14:paraId="0D58B29D" w14:textId="77777777">
      <w:pPr>
        <w:pStyle w:val="EQRNormalSSWORKSHEET"/>
        <w:rPr>
          <w:b/>
          <w:bCs/>
        </w:rPr>
      </w:pPr>
      <w:r w:rsidRPr="00990D3B">
        <w:rPr>
          <w:b/>
          <w:bCs/>
        </w:rPr>
        <w:t>Evaluation Type</w:t>
      </w:r>
      <w:r w:rsidRPr="00990D3B">
        <w:rPr>
          <w:b/>
          <w:bCs/>
        </w:rPr>
        <w:t>:  [</w:t>
      </w:r>
      <w:r w:rsidRPr="00990D3B">
        <w:rPr>
          <w:b/>
          <w:bCs/>
        </w:rPr>
        <w:t xml:space="preserve"> </w:t>
      </w:r>
      <w:r w:rsidRPr="00990D3B">
        <w:rPr>
          <w:b/>
          <w:bCs/>
        </w:rPr>
        <w:t>X ]</w:t>
      </w:r>
      <w:r w:rsidRPr="00990D3B">
        <w:rPr>
          <w:b/>
          <w:bCs/>
        </w:rPr>
        <w:t xml:space="preserve">  </w:t>
      </w:r>
      <w:r w:rsidRPr="00990D3B">
        <w:rPr>
          <w:b/>
          <w:bCs/>
        </w:rPr>
        <w:t>QS  [  ]</w:t>
      </w:r>
      <w:r w:rsidRPr="00990D3B">
        <w:rPr>
          <w:b/>
          <w:bCs/>
        </w:rPr>
        <w:t xml:space="preserve">  SDP</w:t>
      </w:r>
      <w:r w:rsidRPr="00990D3B">
        <w:rPr>
          <w:b/>
          <w:bCs/>
        </w:rPr>
        <w:t xml:space="preserve">   [  ]</w:t>
      </w:r>
      <w:r w:rsidRPr="00990D3B">
        <w:rPr>
          <w:b/>
          <w:bCs/>
        </w:rPr>
        <w:t xml:space="preserve">  ILOS</w:t>
      </w:r>
    </w:p>
    <w:tbl>
      <w:tblPr>
        <w:tblStyle w:val="GridTable4-Accent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5"/>
        <w:gridCol w:w="1259"/>
        <w:gridCol w:w="1137"/>
        <w:gridCol w:w="1240"/>
        <w:gridCol w:w="1335"/>
        <w:gridCol w:w="1438"/>
        <w:gridCol w:w="1236"/>
      </w:tblGrid>
      <w:tr w14:paraId="7469EFDB" w14:textId="77777777" w:rsidTr="00163F9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blHeader/>
        </w:trPr>
        <w:tc>
          <w:tcPr>
            <w:tcW w:w="5000" w:type="pct"/>
            <w:gridSpan w:val="7"/>
            <w:shd w:val="clear" w:color="auto" w:fill="auto"/>
            <w:vAlign w:val="bottom"/>
          </w:tcPr>
          <w:p w:rsidR="0045391D" w:rsidRPr="00990D3B" w:rsidP="00163F99" w14:paraId="1D7A35AD" w14:textId="77777777">
            <w:pPr>
              <w:pStyle w:val="EQRTableHeaderLeft"/>
              <w:rPr>
                <w:b/>
                <w:bCs w:val="0"/>
                <w:color w:val="auto"/>
              </w:rPr>
            </w:pPr>
            <w:r w:rsidRPr="00990D3B">
              <w:rPr>
                <w:b/>
                <w:bCs w:val="0"/>
                <w:color w:val="auto"/>
              </w:rPr>
              <w:t xml:space="preserve">Title of QS/SDP/ILOS: State ABC Medicaid and CHIP Managed Care Quality Strategy, 2024-2026 Effectiveness Evaluation </w:t>
            </w:r>
          </w:p>
        </w:tc>
      </w:tr>
      <w:tr w14:paraId="574CF69B" w14:textId="77777777" w:rsidTr="00163F99">
        <w:tblPrEx>
          <w:tblW w:w="5000" w:type="pct"/>
          <w:tblLayout w:type="fixed"/>
          <w:tblLook w:val="04A0"/>
        </w:tblPrEx>
        <w:trPr>
          <w:cantSplit/>
          <w:tblHeader/>
        </w:trPr>
        <w:tc>
          <w:tcPr>
            <w:tcW w:w="912" w:type="pct"/>
            <w:shd w:val="clear" w:color="auto" w:fill="auto"/>
            <w:vAlign w:val="bottom"/>
          </w:tcPr>
          <w:p w:rsidR="0045391D" w:rsidRPr="00990D3B" w:rsidP="00163F99" w14:paraId="1F23A5BD" w14:textId="77777777">
            <w:pPr>
              <w:pStyle w:val="EQRTableHeaderLeft"/>
              <w:rPr>
                <w:b/>
                <w:bCs w:val="0"/>
                <w:color w:val="auto"/>
              </w:rPr>
            </w:pPr>
            <w:r w:rsidRPr="00990D3B">
              <w:rPr>
                <w:b/>
                <w:bCs w:val="0"/>
                <w:color w:val="auto"/>
              </w:rPr>
              <w:t>Evaluation Metric Name</w:t>
            </w:r>
          </w:p>
        </w:tc>
        <w:tc>
          <w:tcPr>
            <w:tcW w:w="673" w:type="pct"/>
            <w:shd w:val="clear" w:color="auto" w:fill="auto"/>
            <w:vAlign w:val="bottom"/>
          </w:tcPr>
          <w:p w:rsidR="0045391D" w:rsidRPr="00990D3B" w:rsidP="00163F99" w14:paraId="3599FCD5" w14:textId="77777777">
            <w:pPr>
              <w:pStyle w:val="EQRTableHeaderCenter"/>
              <w:rPr>
                <w:b/>
                <w:bCs w:val="0"/>
                <w:color w:val="auto"/>
              </w:rPr>
            </w:pPr>
            <w:r w:rsidRPr="00990D3B">
              <w:rPr>
                <w:b/>
                <w:bCs w:val="0"/>
                <w:color w:val="auto"/>
              </w:rPr>
              <w:t>Measure Steward</w:t>
            </w:r>
          </w:p>
        </w:tc>
        <w:tc>
          <w:tcPr>
            <w:tcW w:w="608" w:type="pct"/>
            <w:shd w:val="clear" w:color="auto" w:fill="auto"/>
            <w:vAlign w:val="bottom"/>
          </w:tcPr>
          <w:p w:rsidR="0045391D" w:rsidRPr="00990D3B" w:rsidP="00163F99" w14:paraId="6F85418E" w14:textId="77777777">
            <w:pPr>
              <w:pStyle w:val="EQRTableHeaderCenter"/>
              <w:rPr>
                <w:b/>
                <w:bCs w:val="0"/>
                <w:color w:val="auto"/>
              </w:rPr>
            </w:pPr>
            <w:r w:rsidRPr="00990D3B">
              <w:rPr>
                <w:b/>
                <w:bCs w:val="0"/>
                <w:color w:val="auto"/>
              </w:rPr>
              <w:t>Measure ID</w:t>
            </w:r>
          </w:p>
        </w:tc>
        <w:tc>
          <w:tcPr>
            <w:tcW w:w="663" w:type="pct"/>
            <w:shd w:val="clear" w:color="auto" w:fill="auto"/>
            <w:vAlign w:val="bottom"/>
          </w:tcPr>
          <w:p w:rsidR="0045391D" w:rsidRPr="00990D3B" w:rsidP="00163F99" w14:paraId="6630DE0B" w14:textId="77777777">
            <w:pPr>
              <w:pStyle w:val="EQRTableHeaderCenter"/>
              <w:rPr>
                <w:b/>
                <w:bCs w:val="0"/>
                <w:color w:val="auto"/>
              </w:rPr>
            </w:pPr>
            <w:r w:rsidRPr="00990D3B">
              <w:rPr>
                <w:b/>
                <w:bCs w:val="0"/>
                <w:color w:val="auto"/>
              </w:rPr>
              <w:t>Baseline Year</w:t>
            </w:r>
          </w:p>
        </w:tc>
        <w:tc>
          <w:tcPr>
            <w:tcW w:w="714" w:type="pct"/>
            <w:shd w:val="clear" w:color="auto" w:fill="auto"/>
            <w:vAlign w:val="bottom"/>
          </w:tcPr>
          <w:p w:rsidR="0045391D" w:rsidRPr="00990D3B" w:rsidP="00163F99" w14:paraId="7BC336C4" w14:textId="77777777">
            <w:pPr>
              <w:pStyle w:val="EQRTableHeaderCenter"/>
              <w:rPr>
                <w:b/>
                <w:bCs w:val="0"/>
                <w:color w:val="auto"/>
              </w:rPr>
            </w:pPr>
            <w:r w:rsidRPr="00990D3B">
              <w:rPr>
                <w:b/>
                <w:bCs w:val="0"/>
                <w:color w:val="auto"/>
              </w:rPr>
              <w:t>Baseline Statistic</w:t>
            </w:r>
          </w:p>
        </w:tc>
        <w:tc>
          <w:tcPr>
            <w:tcW w:w="769" w:type="pct"/>
            <w:shd w:val="clear" w:color="auto" w:fill="auto"/>
            <w:vAlign w:val="bottom"/>
          </w:tcPr>
          <w:p w:rsidR="0045391D" w:rsidRPr="00990D3B" w:rsidP="00163F99" w14:paraId="0B18F731" w14:textId="77777777">
            <w:pPr>
              <w:pStyle w:val="EQRTableHeaderCenter"/>
              <w:rPr>
                <w:b/>
                <w:bCs w:val="0"/>
                <w:color w:val="auto"/>
              </w:rPr>
            </w:pPr>
            <w:r w:rsidRPr="00990D3B">
              <w:rPr>
                <w:b/>
                <w:bCs w:val="0"/>
                <w:color w:val="auto"/>
              </w:rPr>
              <w:t>Performance Target</w:t>
            </w:r>
          </w:p>
        </w:tc>
        <w:tc>
          <w:tcPr>
            <w:tcW w:w="661" w:type="pct"/>
            <w:shd w:val="clear" w:color="auto" w:fill="auto"/>
            <w:vAlign w:val="bottom"/>
          </w:tcPr>
          <w:p w:rsidR="0045391D" w:rsidRPr="00990D3B" w:rsidP="00163F99" w14:paraId="57CFBB30" w14:textId="77777777">
            <w:pPr>
              <w:pStyle w:val="EQRTableHeaderCenter"/>
              <w:rPr>
                <w:b/>
                <w:bCs w:val="0"/>
                <w:color w:val="auto"/>
              </w:rPr>
            </w:pPr>
            <w:r w:rsidRPr="00990D3B">
              <w:rPr>
                <w:b/>
                <w:bCs w:val="0"/>
                <w:color w:val="auto"/>
              </w:rPr>
              <w:t>Comment</w:t>
            </w:r>
          </w:p>
        </w:tc>
      </w:tr>
      <w:tr w14:paraId="171B4DA9" w14:textId="77777777" w:rsidTr="00163F99">
        <w:tblPrEx>
          <w:tblW w:w="5000" w:type="pct"/>
          <w:tblLayout w:type="fixed"/>
          <w:tblLook w:val="04A0"/>
        </w:tblPrEx>
        <w:trPr>
          <w:cantSplit/>
        </w:trPr>
        <w:tc>
          <w:tcPr>
            <w:tcW w:w="912" w:type="pct"/>
            <w:shd w:val="clear" w:color="auto" w:fill="auto"/>
          </w:tcPr>
          <w:p w:rsidR="0045391D" w:rsidRPr="00990D3B" w:rsidP="00163F99" w14:paraId="3E9D6DCD" w14:textId="77777777">
            <w:pPr>
              <w:pStyle w:val="EQRTableText"/>
              <w:rPr>
                <w:b w:val="0"/>
                <w:bCs w:val="0"/>
              </w:rPr>
            </w:pPr>
            <w:r w:rsidRPr="00990D3B">
              <w:rPr>
                <w:b w:val="0"/>
                <w:bCs w:val="0"/>
              </w:rPr>
              <w:t xml:space="preserve">Follow-Up After Hospitalization for Mental Illness: Age 18 and Older </w:t>
            </w:r>
          </w:p>
          <w:p w:rsidR="0045391D" w:rsidRPr="00990D3B" w:rsidP="00163F99" w14:paraId="388A34FA" w14:textId="77777777">
            <w:pPr>
              <w:pStyle w:val="EQRTableText"/>
              <w:rPr>
                <w:b w:val="0"/>
                <w:bCs w:val="0"/>
              </w:rPr>
            </w:pPr>
            <w:r w:rsidRPr="00990D3B">
              <w:rPr>
                <w:b w:val="0"/>
                <w:bCs w:val="0"/>
              </w:rPr>
              <w:t>(FUH-AD); 7-Day Follow-Up</w:t>
            </w:r>
          </w:p>
        </w:tc>
        <w:tc>
          <w:tcPr>
            <w:tcW w:w="673" w:type="pct"/>
            <w:shd w:val="clear" w:color="auto" w:fill="auto"/>
          </w:tcPr>
          <w:p w:rsidR="0045391D" w:rsidRPr="00990D3B" w:rsidP="00163F99" w14:paraId="291F3D0E" w14:textId="77777777">
            <w:pPr>
              <w:pStyle w:val="EQRTableText"/>
              <w:rPr>
                <w:rFonts w:eastAsia="Calibri"/>
              </w:rPr>
            </w:pPr>
            <w:r w:rsidRPr="00990D3B">
              <w:rPr>
                <w:rFonts w:eastAsia="Calibri"/>
              </w:rPr>
              <w:t>NCQA</w:t>
            </w:r>
          </w:p>
        </w:tc>
        <w:tc>
          <w:tcPr>
            <w:tcW w:w="608" w:type="pct"/>
            <w:shd w:val="clear" w:color="auto" w:fill="auto"/>
          </w:tcPr>
          <w:p w:rsidR="0045391D" w:rsidRPr="00990D3B" w:rsidP="00163F99" w14:paraId="2E75FA95" w14:textId="77777777">
            <w:pPr>
              <w:pStyle w:val="EQRTableText"/>
              <w:rPr>
                <w:rFonts w:eastAsia="Calibri"/>
              </w:rPr>
            </w:pPr>
            <w:r w:rsidRPr="00990D3B">
              <w:rPr>
                <w:rFonts w:eastAsia="Calibri"/>
              </w:rPr>
              <w:t>CMIT #268</w:t>
            </w:r>
          </w:p>
        </w:tc>
        <w:tc>
          <w:tcPr>
            <w:tcW w:w="663" w:type="pct"/>
            <w:shd w:val="clear" w:color="auto" w:fill="auto"/>
          </w:tcPr>
          <w:p w:rsidR="0045391D" w:rsidRPr="00990D3B" w:rsidP="00163F99" w14:paraId="7F1AFE51" w14:textId="77777777">
            <w:pPr>
              <w:pStyle w:val="EQRTableText"/>
              <w:rPr>
                <w:rFonts w:eastAsia="Calibri"/>
              </w:rPr>
            </w:pPr>
            <w:r w:rsidRPr="00990D3B">
              <w:rPr>
                <w:rFonts w:eastAsia="Calibri"/>
              </w:rPr>
              <w:t>CY 2021</w:t>
            </w:r>
          </w:p>
        </w:tc>
        <w:tc>
          <w:tcPr>
            <w:tcW w:w="714" w:type="pct"/>
            <w:shd w:val="clear" w:color="auto" w:fill="auto"/>
          </w:tcPr>
          <w:p w:rsidR="0045391D" w:rsidRPr="00990D3B" w:rsidP="00163F99" w14:paraId="499B619C" w14:textId="77777777">
            <w:pPr>
              <w:pStyle w:val="EQRTableText"/>
              <w:rPr>
                <w:rFonts w:eastAsia="Calibri"/>
              </w:rPr>
            </w:pPr>
            <w:r w:rsidRPr="00990D3B">
              <w:rPr>
                <w:rFonts w:eastAsia="Calibri"/>
              </w:rPr>
              <w:t xml:space="preserve"> 56.8%</w:t>
            </w:r>
          </w:p>
        </w:tc>
        <w:tc>
          <w:tcPr>
            <w:tcW w:w="769" w:type="pct"/>
            <w:shd w:val="clear" w:color="auto" w:fill="auto"/>
          </w:tcPr>
          <w:p w:rsidR="0045391D" w:rsidRPr="00990D3B" w:rsidP="00163F99" w14:paraId="68FC84FF" w14:textId="77777777">
            <w:pPr>
              <w:pStyle w:val="EQRTableText"/>
              <w:rPr>
                <w:rFonts w:eastAsia="Calibri"/>
              </w:rPr>
            </w:pPr>
            <w:r w:rsidRPr="00990D3B">
              <w:rPr>
                <w:rFonts w:eastAsia="Calibri"/>
              </w:rPr>
              <w:t>2 percentage point increase</w:t>
            </w:r>
          </w:p>
          <w:p w:rsidR="0045391D" w:rsidRPr="00990D3B" w:rsidP="00163F99" w14:paraId="3A8716FC" w14:textId="77777777">
            <w:pPr>
              <w:pStyle w:val="EQRTableText"/>
              <w:rPr>
                <w:rFonts w:eastAsia="Calibri"/>
              </w:rPr>
            </w:pPr>
            <w:r w:rsidRPr="00990D3B">
              <w:rPr>
                <w:rFonts w:eastAsia="Calibri"/>
              </w:rPr>
              <w:t>(58.8%)</w:t>
            </w:r>
          </w:p>
        </w:tc>
        <w:tc>
          <w:tcPr>
            <w:tcW w:w="661" w:type="pct"/>
            <w:shd w:val="clear" w:color="auto" w:fill="auto"/>
          </w:tcPr>
          <w:p w:rsidR="0045391D" w:rsidRPr="00990D3B" w:rsidP="00163F99" w14:paraId="6B898E0C" w14:textId="77777777">
            <w:pPr>
              <w:pStyle w:val="EQRTableText"/>
              <w:rPr>
                <w:rFonts w:eastAsia="Calibri"/>
              </w:rPr>
            </w:pPr>
          </w:p>
        </w:tc>
      </w:tr>
      <w:tr w14:paraId="383ECF78" w14:textId="77777777" w:rsidTr="00163F99">
        <w:tblPrEx>
          <w:tblW w:w="5000" w:type="pct"/>
          <w:tblLayout w:type="fixed"/>
          <w:tblLook w:val="04A0"/>
        </w:tblPrEx>
        <w:trPr>
          <w:cantSplit/>
        </w:trPr>
        <w:tc>
          <w:tcPr>
            <w:tcW w:w="912" w:type="pct"/>
          </w:tcPr>
          <w:p w:rsidR="0045391D" w:rsidRPr="00990D3B" w:rsidP="00163F99" w14:paraId="0D7F0412" w14:textId="77777777">
            <w:pPr>
              <w:pStyle w:val="EQRTableText"/>
              <w:rPr>
                <w:b w:val="0"/>
                <w:bCs w:val="0"/>
              </w:rPr>
            </w:pPr>
            <w:r w:rsidRPr="00990D3B">
              <w:rPr>
                <w:b w:val="0"/>
                <w:bCs w:val="0"/>
              </w:rPr>
              <w:t>Controlling High Blood Pressure (CBP-AD)</w:t>
            </w:r>
          </w:p>
        </w:tc>
        <w:tc>
          <w:tcPr>
            <w:tcW w:w="673" w:type="pct"/>
          </w:tcPr>
          <w:p w:rsidR="0045391D" w:rsidRPr="00990D3B" w:rsidP="00163F99" w14:paraId="5CCBD871" w14:textId="77777777">
            <w:pPr>
              <w:pStyle w:val="EQRTableText"/>
              <w:rPr>
                <w:rFonts w:eastAsia="Calibri"/>
              </w:rPr>
            </w:pPr>
            <w:r w:rsidRPr="00990D3B">
              <w:rPr>
                <w:rFonts w:eastAsia="Calibri"/>
              </w:rPr>
              <w:t>NCQA</w:t>
            </w:r>
          </w:p>
        </w:tc>
        <w:tc>
          <w:tcPr>
            <w:tcW w:w="608" w:type="pct"/>
          </w:tcPr>
          <w:p w:rsidR="0045391D" w:rsidRPr="00990D3B" w:rsidP="00163F99" w14:paraId="133B3FD8" w14:textId="77777777">
            <w:pPr>
              <w:pStyle w:val="EQRTableText"/>
              <w:rPr>
                <w:rFonts w:eastAsia="Calibri"/>
              </w:rPr>
            </w:pPr>
            <w:r w:rsidRPr="00990D3B">
              <w:rPr>
                <w:rFonts w:eastAsia="Calibri"/>
              </w:rPr>
              <w:t>0018</w:t>
            </w:r>
          </w:p>
        </w:tc>
        <w:tc>
          <w:tcPr>
            <w:tcW w:w="663" w:type="pct"/>
          </w:tcPr>
          <w:p w:rsidR="0045391D" w:rsidRPr="00990D3B" w:rsidP="00163F99" w14:paraId="630CFE4F" w14:textId="77777777">
            <w:pPr>
              <w:pStyle w:val="EQRTableText"/>
              <w:rPr>
                <w:rFonts w:eastAsia="Calibri"/>
              </w:rPr>
            </w:pPr>
            <w:r w:rsidRPr="00990D3B">
              <w:rPr>
                <w:rFonts w:eastAsia="Calibri"/>
              </w:rPr>
              <w:t>CY 2021</w:t>
            </w:r>
          </w:p>
        </w:tc>
        <w:tc>
          <w:tcPr>
            <w:tcW w:w="714" w:type="pct"/>
          </w:tcPr>
          <w:p w:rsidR="0045391D" w:rsidRPr="00990D3B" w:rsidP="00163F99" w14:paraId="0485096D" w14:textId="77777777">
            <w:pPr>
              <w:pStyle w:val="EQRTableText"/>
              <w:rPr>
                <w:rFonts w:eastAsia="Calibri"/>
              </w:rPr>
            </w:pPr>
            <w:r w:rsidRPr="00990D3B">
              <w:rPr>
                <w:rFonts w:eastAsia="Calibri"/>
              </w:rPr>
              <w:t>41.5%</w:t>
            </w:r>
          </w:p>
        </w:tc>
        <w:tc>
          <w:tcPr>
            <w:tcW w:w="769" w:type="pct"/>
          </w:tcPr>
          <w:p w:rsidR="0045391D" w:rsidRPr="00990D3B" w:rsidP="00163F99" w14:paraId="7EC73D36" w14:textId="77777777">
            <w:pPr>
              <w:pStyle w:val="EQRTableText"/>
              <w:rPr>
                <w:rFonts w:eastAsia="Calibri"/>
              </w:rPr>
            </w:pPr>
            <w:r w:rsidRPr="00990D3B">
              <w:rPr>
                <w:rFonts w:eastAsia="Calibri"/>
              </w:rPr>
              <w:t>3 percentage point increase (44.5%)</w:t>
            </w:r>
          </w:p>
        </w:tc>
        <w:tc>
          <w:tcPr>
            <w:tcW w:w="661" w:type="pct"/>
          </w:tcPr>
          <w:p w:rsidR="0045391D" w:rsidRPr="00990D3B" w:rsidP="00163F99" w14:paraId="3C843DAC" w14:textId="77777777">
            <w:pPr>
              <w:pStyle w:val="EQRTableText"/>
              <w:rPr>
                <w:rFonts w:eastAsia="Calibri"/>
              </w:rPr>
            </w:pPr>
          </w:p>
        </w:tc>
      </w:tr>
    </w:tbl>
    <w:p w:rsidR="0045391D" w:rsidRPr="00990D3B" w:rsidP="00B5252D" w14:paraId="5CA9FC38" w14:textId="77777777">
      <w:pPr>
        <w:pStyle w:val="ParagraphContinued"/>
      </w:pPr>
    </w:p>
    <w:p w:rsidR="00C76D12" w:rsidRPr="00990D3B" w14:paraId="34131298" w14:textId="77777777">
      <w:pPr>
        <w:spacing w:line="240" w:lineRule="auto"/>
        <w:sectPr w:rsidSect="00F66104">
          <w:pgSz w:w="12240" w:h="15840" w:code="1"/>
          <w:pgMar w:top="1440" w:right="1440" w:bottom="1440" w:left="1440" w:header="720" w:footer="720" w:gutter="0"/>
          <w:cols w:space="720"/>
          <w:docGrid w:linePitch="360"/>
        </w:sectPr>
      </w:pPr>
    </w:p>
    <w:p w:rsidR="0045391D" w:rsidRPr="00990D3B" w:rsidP="00666AC0" w14:paraId="5E8AB2D9" w14:textId="77777777">
      <w:pPr>
        <w:pStyle w:val="EQRMarkforExhibitWORKSHEET"/>
      </w:pPr>
      <w:bookmarkStart w:id="1101" w:name="WS11n4"/>
      <w:bookmarkStart w:id="1102" w:name="_Toc201751569"/>
      <w:bookmarkEnd w:id="1101"/>
      <w:r w:rsidRPr="00990D3B">
        <w:t>Worksheet 11.4. Analysis Plan Template</w:t>
      </w:r>
      <w:bookmarkEnd w:id="1102"/>
      <w:r w:rsidRPr="00990D3B">
        <w:t xml:space="preserve"> </w:t>
      </w:r>
    </w:p>
    <w:p w:rsidR="0045391D" w:rsidRPr="00990D3B" w:rsidP="00163F99" w14:paraId="09FC0CB9" w14:textId="77777777">
      <w:pPr>
        <w:pStyle w:val="EQRNormalSSWORKSHEET"/>
        <w:rPr>
          <w:b/>
          <w:bCs/>
        </w:rPr>
      </w:pPr>
      <w:r w:rsidRPr="00990D3B">
        <w:rPr>
          <w:b/>
          <w:bCs/>
        </w:rPr>
        <w:t>Evaluation Type</w:t>
      </w:r>
      <w:r w:rsidRPr="00990D3B">
        <w:rPr>
          <w:b/>
          <w:bCs/>
        </w:rPr>
        <w:t>:  [  ]</w:t>
      </w:r>
      <w:r w:rsidRPr="00990D3B">
        <w:rPr>
          <w:b/>
          <w:bCs/>
        </w:rPr>
        <w:t xml:space="preserve">  </w:t>
      </w:r>
      <w:r w:rsidRPr="00990D3B">
        <w:rPr>
          <w:b/>
          <w:bCs/>
        </w:rPr>
        <w:t>QS  [  ]</w:t>
      </w:r>
      <w:r w:rsidRPr="00990D3B">
        <w:rPr>
          <w:b/>
          <w:bCs/>
        </w:rPr>
        <w:t xml:space="preserve">  SDP</w:t>
      </w:r>
      <w:r w:rsidRPr="00990D3B">
        <w:rPr>
          <w:b/>
          <w:bCs/>
        </w:rPr>
        <w:t xml:space="preserve">   [  ]</w:t>
      </w:r>
      <w:r w:rsidRPr="00990D3B">
        <w:rPr>
          <w:b/>
          <w:bCs/>
        </w:rPr>
        <w:t xml:space="preserve">  ILOS </w:t>
      </w:r>
    </w:p>
    <w:p w:rsidR="0045391D" w:rsidRPr="00990D3B" w:rsidP="00163F99" w14:paraId="2580C790" w14:textId="77777777">
      <w:pPr>
        <w:pStyle w:val="EQRNormalSSWORKSHEET"/>
      </w:pPr>
      <w:r w:rsidRPr="00990D3B">
        <w:rPr>
          <w:b/>
          <w:bCs/>
        </w:rPr>
        <w:t>Instructions.</w:t>
      </w:r>
      <w:r w:rsidRPr="00990D3B">
        <w:t xml:space="preserve"> Use this worksheet to outline the evaluation's methodology, subgroup analysis strategy, and potential limitations. Completing this section will help ensure the evaluation is appropriately designed, aligned with federal guidance, and equipped to generate meaningful findings.</w:t>
      </w:r>
    </w:p>
    <w:p w:rsidR="0045391D" w:rsidRPr="00990D3B" w:rsidP="00163F99" w14:paraId="5874952F" w14:textId="15ED644E">
      <w:pPr>
        <w:pStyle w:val="EQRNormalSSWORKSHEET"/>
      </w:pPr>
      <w:r w:rsidRPr="00990D3B">
        <w:t xml:space="preserve">Acronyms: </w:t>
      </w:r>
      <w:r w:rsidRPr="00990D3B">
        <w:t>DiD</w:t>
      </w:r>
      <w:r w:rsidRPr="00990D3B">
        <w:t xml:space="preserve"> = Difference-in-difference; ILOS = In Lieu of Services and Settings; ITS= Interrupted Time Series; QS</w:t>
      </w:r>
      <w:r w:rsidRPr="00990D3B" w:rsidR="00163F99">
        <w:t> </w:t>
      </w:r>
      <w:r w:rsidRPr="00990D3B">
        <w:t>= Quality Strategy; SDP = State Directed Payment.</w:t>
      </w:r>
    </w:p>
    <w:p w:rsidR="0077151C" w:rsidRPr="00990D3B" w:rsidP="002D35CF" w14:paraId="5E5991CC" w14:textId="77777777">
      <w:pPr>
        <w:pStyle w:val="EQRNormalSSWSquestionNUMBER"/>
        <w:numPr>
          <w:ilvl w:val="0"/>
          <w:numId w:val="228"/>
        </w:numPr>
        <w:ind w:left="576"/>
        <w:rPr>
          <w:rFonts w:asciiTheme="majorHAnsi" w:hAnsiTheme="majorHAnsi" w:cstheme="majorHAnsi"/>
          <w:i/>
          <w:iCs/>
          <w:sz w:val="19"/>
          <w:szCs w:val="19"/>
        </w:rPr>
      </w:pPr>
      <w:r w:rsidRPr="00990D3B">
        <w:rPr>
          <w:b/>
          <w:bCs/>
        </w:rPr>
        <w:t xml:space="preserve">Evaluation Design. </w:t>
      </w:r>
      <w:r w:rsidRPr="00990D3B">
        <w:t>Select the evaluation methodology(</w:t>
      </w:r>
      <w:r w:rsidRPr="00990D3B">
        <w:t>ies</w:t>
      </w:r>
      <w:r w:rsidRPr="00990D3B">
        <w:t>) to be used (check all that apply):</w:t>
      </w:r>
    </w:p>
    <w:p w:rsidR="0045391D" w:rsidRPr="00990D3B" w:rsidP="0077151C" w14:paraId="193E2BFB" w14:textId="6E7A213A">
      <w:pPr>
        <w:pStyle w:val="EQRNormalSSWSquestion3"/>
        <w:rPr>
          <w:i/>
          <w:iCs/>
        </w:rPr>
      </w:pPr>
      <w:r w:rsidRPr="00990D3B">
        <w:rPr>
          <w:i/>
          <w:iCs/>
        </w:rPr>
        <w:t xml:space="preserve">Quantitative Approaches </w:t>
      </w:r>
    </w:p>
    <w:p w:rsidR="0045391D" w:rsidRPr="00990D3B" w:rsidP="0077151C" w14:paraId="0129F00A" w14:textId="77777777">
      <w:pPr>
        <w:pStyle w:val="EQRNormalSSWSquestion3"/>
      </w:pPr>
      <w:r w:rsidRPr="00990D3B">
        <w:rPr>
          <w:rFonts w:ascii="Segoe UI Symbol" w:hAnsi="Segoe UI Symbol" w:cs="Segoe UI Symbol"/>
        </w:rPr>
        <w:t>☐</w:t>
      </w:r>
      <w:r w:rsidRPr="00990D3B">
        <w:t xml:space="preserve"> Descriptive analysis (e.g., frequencies, cross-tabulations) </w:t>
      </w:r>
    </w:p>
    <w:p w:rsidR="0045391D" w:rsidRPr="00990D3B" w:rsidP="0077151C" w14:paraId="40EA576C" w14:textId="77777777">
      <w:pPr>
        <w:pStyle w:val="EQRNormalSSWSquestion3"/>
      </w:pPr>
      <w:r w:rsidRPr="00990D3B">
        <w:rPr>
          <w:rFonts w:ascii="Segoe UI Symbol" w:hAnsi="Segoe UI Symbol" w:cs="Segoe UI Symbol"/>
        </w:rPr>
        <w:t>☐</w:t>
      </w:r>
      <w:r w:rsidRPr="00990D3B">
        <w:t xml:space="preserve"> Descriptive analysis (trend analysis)</w:t>
      </w:r>
    </w:p>
    <w:p w:rsidR="0045391D" w:rsidRPr="00990D3B" w:rsidP="0077151C" w14:paraId="79288F04" w14:textId="77777777">
      <w:pPr>
        <w:pStyle w:val="EQRNormalSSWSquestion3"/>
      </w:pPr>
      <w:r w:rsidRPr="00990D3B">
        <w:rPr>
          <w:rFonts w:ascii="Segoe UI Symbol" w:hAnsi="Segoe UI Symbol" w:cs="Segoe UI Symbol"/>
        </w:rPr>
        <w:t>☐</w:t>
      </w:r>
      <w:r w:rsidRPr="00990D3B">
        <w:t xml:space="preserve"> </w:t>
      </w:r>
      <w:r w:rsidRPr="00990D3B">
        <w:t>Pre-post</w:t>
      </w:r>
      <w:r w:rsidRPr="00990D3B">
        <w:t xml:space="preserve"> analysis (mean comparisons)</w:t>
      </w:r>
    </w:p>
    <w:p w:rsidR="0045391D" w:rsidRPr="00990D3B" w:rsidP="0077151C" w14:paraId="24038E61" w14:textId="77777777">
      <w:pPr>
        <w:pStyle w:val="EQRNormalSSWSquestion3"/>
      </w:pPr>
      <w:r w:rsidRPr="00990D3B">
        <w:rPr>
          <w:rFonts w:ascii="Segoe UI Symbol" w:hAnsi="Segoe UI Symbol" w:cs="Segoe UI Symbol"/>
        </w:rPr>
        <w:t>☐</w:t>
      </w:r>
      <w:r w:rsidRPr="00990D3B">
        <w:t xml:space="preserve"> </w:t>
      </w:r>
      <w:r w:rsidRPr="00990D3B">
        <w:t>Pre-post</w:t>
      </w:r>
      <w:r w:rsidRPr="00990D3B">
        <w:t xml:space="preserve"> analysis (distribution comparisons)</w:t>
      </w:r>
    </w:p>
    <w:p w:rsidR="0045391D" w:rsidRPr="00990D3B" w:rsidP="0077151C" w14:paraId="3779F7E1" w14:textId="6FDA7F0E">
      <w:pPr>
        <w:pStyle w:val="EQRNormalSSWSquestion3"/>
      </w:pPr>
      <w:r w:rsidRPr="00990D3B">
        <w:rPr>
          <w:rFonts w:ascii="Segoe UI Symbol" w:hAnsi="Segoe UI Symbol" w:cs="Segoe UI Symbol"/>
        </w:rPr>
        <w:t>☐</w:t>
      </w:r>
      <w:r w:rsidRPr="00990D3B">
        <w:t xml:space="preserve"> </w:t>
      </w:r>
      <w:r w:rsidRPr="00990D3B">
        <w:t>Pre-post</w:t>
      </w:r>
      <w:r w:rsidRPr="00990D3B">
        <w:t xml:space="preserve"> analysis (regression without controls)</w:t>
      </w:r>
    </w:p>
    <w:p w:rsidR="0045391D" w:rsidRPr="00990D3B" w:rsidP="0077151C" w14:paraId="5D274801" w14:textId="092274EF">
      <w:pPr>
        <w:pStyle w:val="EQRNormalSSWSquestion3"/>
      </w:pPr>
      <w:r w:rsidRPr="00990D3B">
        <w:rPr>
          <w:rFonts w:ascii="Segoe UI Symbol" w:hAnsi="Segoe UI Symbol" w:cs="Segoe UI Symbol"/>
        </w:rPr>
        <w:t>☐</w:t>
      </w:r>
      <w:r w:rsidRPr="00990D3B">
        <w:t xml:space="preserve"> </w:t>
      </w:r>
      <w:r w:rsidRPr="00990D3B">
        <w:t>Pre-post</w:t>
      </w:r>
      <w:r w:rsidRPr="00990D3B">
        <w:t xml:space="preserve"> analysis (ITS)</w:t>
      </w:r>
    </w:p>
    <w:p w:rsidR="0045391D" w:rsidRPr="00990D3B" w:rsidP="0077151C" w14:paraId="47024354" w14:textId="101E3138">
      <w:pPr>
        <w:pStyle w:val="EQRNormalSSWSquestion3"/>
      </w:pPr>
      <w:r w:rsidRPr="00990D3B">
        <w:rPr>
          <w:rFonts w:ascii="Segoe UI Symbol" w:hAnsi="Segoe UI Symbol" w:cs="Segoe UI Symbol"/>
        </w:rPr>
        <w:t>☐</w:t>
      </w:r>
      <w:r w:rsidRPr="00990D3B">
        <w:t xml:space="preserve"> Quasi-experimental analysis (</w:t>
      </w:r>
      <w:r w:rsidRPr="00990D3B">
        <w:t>DiD</w:t>
      </w:r>
      <w:r w:rsidRPr="00990D3B">
        <w:t>)</w:t>
      </w:r>
    </w:p>
    <w:p w:rsidR="0045391D" w:rsidRPr="00990D3B" w:rsidP="0077151C" w14:paraId="3CDDB5BF" w14:textId="281C37C0">
      <w:pPr>
        <w:pStyle w:val="EQRNormalSSWSquestion3"/>
      </w:pPr>
      <w:r w:rsidRPr="00990D3B">
        <w:rPr>
          <w:rFonts w:ascii="Segoe UI Symbol" w:hAnsi="Segoe UI Symbol" w:cs="Segoe UI Symbol"/>
        </w:rPr>
        <w:t>☐</w:t>
      </w:r>
      <w:r w:rsidRPr="00990D3B">
        <w:t xml:space="preserve"> Quasi-experimental analysis (regions with controls)</w:t>
      </w:r>
    </w:p>
    <w:p w:rsidR="0045391D" w:rsidRPr="00990D3B" w:rsidP="0077151C" w14:paraId="20923E20" w14:textId="7F6FF117">
      <w:pPr>
        <w:pStyle w:val="EQRNormalSSWSquestion3"/>
      </w:pPr>
      <w:r w:rsidRPr="00990D3B">
        <w:rPr>
          <w:rFonts w:ascii="Segoe UI Symbol" w:hAnsi="Segoe UI Symbol" w:cs="Segoe UI Symbol"/>
        </w:rPr>
        <w:t>☐</w:t>
      </w:r>
      <w:r w:rsidRPr="00990D3B">
        <w:t xml:space="preserve"> Quasi-experimental analysis (fixed effects)</w:t>
      </w:r>
    </w:p>
    <w:p w:rsidR="0045391D" w:rsidRPr="00990D3B" w:rsidP="0077151C" w14:paraId="25660E05" w14:textId="77777777">
      <w:pPr>
        <w:pStyle w:val="EQRNormalSSWSquestion3"/>
      </w:pPr>
      <w:r w:rsidRPr="00990D3B">
        <w:rPr>
          <w:rFonts w:ascii="Segoe UI Symbol" w:hAnsi="Segoe UI Symbol" w:cs="Segoe UI Symbol"/>
        </w:rPr>
        <w:t>☐</w:t>
      </w:r>
      <w:r w:rsidRPr="00990D3B">
        <w:t xml:space="preserve"> Other (please describe</w:t>
      </w:r>
      <w:r w:rsidRPr="00990D3B">
        <w:t>): _</w:t>
      </w:r>
      <w:r w:rsidRPr="00990D3B">
        <w:t>____________</w:t>
      </w:r>
    </w:p>
    <w:p w:rsidR="0045391D" w:rsidRPr="00990D3B" w:rsidP="0077151C" w14:paraId="573498BA" w14:textId="77777777">
      <w:pPr>
        <w:pStyle w:val="EQRNormalSSWSquestion3"/>
        <w:rPr>
          <w:i/>
          <w:iCs/>
        </w:rPr>
      </w:pPr>
      <w:r w:rsidRPr="00990D3B">
        <w:rPr>
          <w:i/>
          <w:iCs/>
        </w:rPr>
        <w:t xml:space="preserve">Qualitative Approaches </w:t>
      </w:r>
    </w:p>
    <w:p w:rsidR="0045391D" w:rsidRPr="00990D3B" w:rsidP="0077151C" w14:paraId="17D3F948" w14:textId="0480F48C">
      <w:pPr>
        <w:pStyle w:val="EQRNormalSSWSquestion3"/>
      </w:pPr>
      <w:r w:rsidRPr="00990D3B">
        <w:rPr>
          <w:rFonts w:ascii="Segoe UI Symbol" w:hAnsi="Segoe UI Symbol" w:cs="Segoe UI Symbol"/>
        </w:rPr>
        <w:t>☐</w:t>
      </w:r>
      <w:r w:rsidRPr="00990D3B">
        <w:t xml:space="preserve"> Interviews</w:t>
      </w:r>
    </w:p>
    <w:p w:rsidR="0045391D" w:rsidRPr="00990D3B" w:rsidP="0077151C" w14:paraId="3A0EED3D" w14:textId="1285FF2C">
      <w:pPr>
        <w:pStyle w:val="EQRNormalSSWSquestion3"/>
      </w:pPr>
      <w:r w:rsidRPr="00990D3B">
        <w:rPr>
          <w:rFonts w:ascii="Segoe UI Symbol" w:hAnsi="Segoe UI Symbol" w:cs="Segoe UI Symbol"/>
        </w:rPr>
        <w:t>☐</w:t>
      </w:r>
      <w:r w:rsidRPr="00990D3B">
        <w:t xml:space="preserve"> Focus groups</w:t>
      </w:r>
    </w:p>
    <w:p w:rsidR="0045391D" w:rsidRPr="00990D3B" w:rsidP="0077151C" w14:paraId="69B00BD5" w14:textId="399AEFE2">
      <w:pPr>
        <w:pStyle w:val="EQRNormalSSWSquestion3"/>
      </w:pPr>
      <w:r w:rsidRPr="00990D3B">
        <w:rPr>
          <w:rFonts w:ascii="Segoe UI Symbol" w:hAnsi="Segoe UI Symbol" w:cs="Segoe UI Symbol"/>
        </w:rPr>
        <w:t>☐</w:t>
      </w:r>
      <w:r w:rsidRPr="00990D3B">
        <w:t xml:space="preserve"> Open-ended surveys</w:t>
      </w:r>
    </w:p>
    <w:p w:rsidR="0045391D" w:rsidRPr="00990D3B" w:rsidP="0077151C" w14:paraId="21C2DFF2" w14:textId="77777777">
      <w:pPr>
        <w:pStyle w:val="EQRNormalSSWSquestion3"/>
      </w:pPr>
      <w:r w:rsidRPr="00990D3B">
        <w:rPr>
          <w:rFonts w:ascii="Segoe UI Symbol" w:hAnsi="Segoe UI Symbol" w:cs="Segoe UI Symbol"/>
        </w:rPr>
        <w:t>☐</w:t>
      </w:r>
      <w:r w:rsidRPr="00990D3B">
        <w:t xml:space="preserve"> Other (please describe</w:t>
      </w:r>
      <w:r w:rsidRPr="00990D3B">
        <w:t>): _</w:t>
      </w:r>
      <w:r w:rsidRPr="00990D3B">
        <w:t>____________</w:t>
      </w:r>
    </w:p>
    <w:p w:rsidR="0045391D" w:rsidRPr="00990D3B" w:rsidP="0077151C" w14:paraId="022B0064" w14:textId="77777777">
      <w:pPr>
        <w:pStyle w:val="EQRNormalSSWSquestionNUMBER"/>
        <w:rPr>
          <w:b/>
          <w:bCs/>
        </w:rPr>
      </w:pPr>
      <w:r w:rsidRPr="00990D3B">
        <w:rPr>
          <w:b/>
          <w:bCs/>
        </w:rPr>
        <w:t xml:space="preserve">Subgroup Analyses. </w:t>
      </w:r>
    </w:p>
    <w:p w:rsidR="0045391D" w:rsidRPr="00990D3B" w:rsidP="0027339D" w14:paraId="46BABBB8" w14:textId="77777777">
      <w:pPr>
        <w:pStyle w:val="EQRNormalSSWORKSHEET"/>
        <w:ind w:left="360"/>
      </w:pPr>
      <w:r w:rsidRPr="00990D3B">
        <w:t xml:space="preserve">Use the table below to identify the subgroups to be examined in the analysis. For each subgroup, provide a rationale and relevant data source(s). </w:t>
      </w:r>
    </w:p>
    <w:tbl>
      <w:tblPr>
        <w:tblStyle w:val="TableGrid"/>
        <w:tblW w:w="5000" w:type="pct"/>
        <w:tblInd w:w="460" w:type="dxa"/>
        <w:tblLook w:val="04A0"/>
      </w:tblPr>
      <w:tblGrid>
        <w:gridCol w:w="3265"/>
        <w:gridCol w:w="3226"/>
        <w:gridCol w:w="3219"/>
        <w:gridCol w:w="3240"/>
      </w:tblGrid>
      <w:tr w14:paraId="2957BB17" w14:textId="77777777" w:rsidTr="00DE3F2F">
        <w:tblPrEx>
          <w:tblW w:w="5000" w:type="pct"/>
          <w:tblInd w:w="460" w:type="dxa"/>
          <w:tblLook w:val="04A0"/>
        </w:tblPrEx>
        <w:trPr>
          <w:cantSplit/>
          <w:tblHeader/>
        </w:trPr>
        <w:tc>
          <w:tcPr>
            <w:tcW w:w="3265" w:type="dxa"/>
            <w:vAlign w:val="bottom"/>
          </w:tcPr>
          <w:p w:rsidR="0045391D" w:rsidRPr="00990D3B" w:rsidP="001A62FC" w14:paraId="04C04EF4" w14:textId="77777777">
            <w:pPr>
              <w:pStyle w:val="EQRTableHeaderLeft"/>
              <w:rPr>
                <w:color w:val="auto"/>
              </w:rPr>
            </w:pPr>
            <w:r w:rsidRPr="00990D3B">
              <w:rPr>
                <w:color w:val="auto"/>
              </w:rPr>
              <w:t>Subgroup Category</w:t>
            </w:r>
          </w:p>
        </w:tc>
        <w:tc>
          <w:tcPr>
            <w:tcW w:w="3226" w:type="dxa"/>
            <w:vAlign w:val="bottom"/>
          </w:tcPr>
          <w:p w:rsidR="0045391D" w:rsidRPr="00990D3B" w:rsidP="001A62FC" w14:paraId="60A1873C" w14:textId="77777777">
            <w:pPr>
              <w:pStyle w:val="EQRTableHeaderLeft"/>
              <w:rPr>
                <w:color w:val="auto"/>
              </w:rPr>
            </w:pPr>
            <w:r w:rsidRPr="00990D3B">
              <w:rPr>
                <w:color w:val="auto"/>
              </w:rPr>
              <w:t>Planned (Y/N)</w:t>
            </w:r>
          </w:p>
        </w:tc>
        <w:tc>
          <w:tcPr>
            <w:tcW w:w="3219" w:type="dxa"/>
            <w:vAlign w:val="bottom"/>
          </w:tcPr>
          <w:p w:rsidR="0045391D" w:rsidRPr="00990D3B" w:rsidP="001A62FC" w14:paraId="2FCDE329" w14:textId="77777777">
            <w:pPr>
              <w:pStyle w:val="EQRTableHeaderLeft"/>
              <w:rPr>
                <w:color w:val="auto"/>
              </w:rPr>
            </w:pPr>
            <w:r w:rsidRPr="00990D3B">
              <w:rPr>
                <w:color w:val="auto"/>
              </w:rPr>
              <w:t>Key Factors</w:t>
            </w:r>
          </w:p>
        </w:tc>
        <w:tc>
          <w:tcPr>
            <w:tcW w:w="3240" w:type="dxa"/>
            <w:vAlign w:val="bottom"/>
          </w:tcPr>
          <w:p w:rsidR="0045391D" w:rsidRPr="00990D3B" w:rsidP="001A62FC" w14:paraId="089077FC" w14:textId="77777777">
            <w:pPr>
              <w:pStyle w:val="EQRTableHeaderLeft"/>
              <w:rPr>
                <w:color w:val="auto"/>
              </w:rPr>
            </w:pPr>
            <w:r w:rsidRPr="00990D3B">
              <w:rPr>
                <w:color w:val="auto"/>
              </w:rPr>
              <w:t>Notes (e.g., rationale, data sources)</w:t>
            </w:r>
          </w:p>
        </w:tc>
      </w:tr>
      <w:tr w14:paraId="3D45F9F2" w14:textId="77777777" w:rsidTr="00DE3F2F">
        <w:tblPrEx>
          <w:tblW w:w="5000" w:type="pct"/>
          <w:tblInd w:w="460" w:type="dxa"/>
          <w:tblLook w:val="04A0"/>
        </w:tblPrEx>
        <w:trPr>
          <w:cantSplit/>
        </w:trPr>
        <w:tc>
          <w:tcPr>
            <w:tcW w:w="3265" w:type="dxa"/>
          </w:tcPr>
          <w:p w:rsidR="00DE3F2F" w:rsidRPr="00990D3B" w:rsidP="001A62FC" w14:paraId="62CFC8CD" w14:textId="207B5815">
            <w:pPr>
              <w:pStyle w:val="EQRTableText"/>
            </w:pPr>
            <w:r w:rsidRPr="00990D3B">
              <w:t>Age</w:t>
            </w:r>
          </w:p>
        </w:tc>
        <w:tc>
          <w:tcPr>
            <w:tcW w:w="3226" w:type="dxa"/>
          </w:tcPr>
          <w:p w:rsidR="00DE3F2F" w:rsidRPr="00990D3B" w:rsidP="001A62FC" w14:paraId="58574A1F" w14:textId="77777777">
            <w:pPr>
              <w:pStyle w:val="EQRTableText"/>
            </w:pPr>
          </w:p>
        </w:tc>
        <w:tc>
          <w:tcPr>
            <w:tcW w:w="3219" w:type="dxa"/>
          </w:tcPr>
          <w:p w:rsidR="00DE3F2F" w:rsidRPr="00990D3B" w:rsidP="001A62FC" w14:paraId="27C36573" w14:textId="77777777">
            <w:pPr>
              <w:pStyle w:val="EQRTableText"/>
            </w:pPr>
          </w:p>
        </w:tc>
        <w:tc>
          <w:tcPr>
            <w:tcW w:w="3240" w:type="dxa"/>
          </w:tcPr>
          <w:p w:rsidR="00DE3F2F" w:rsidRPr="00990D3B" w:rsidP="001A62FC" w14:paraId="0E17AC9F" w14:textId="77777777">
            <w:pPr>
              <w:pStyle w:val="EQRTableText"/>
            </w:pPr>
          </w:p>
        </w:tc>
      </w:tr>
      <w:tr w14:paraId="48B1CC3D" w14:textId="77777777" w:rsidTr="00DE3F2F">
        <w:tblPrEx>
          <w:tblW w:w="5000" w:type="pct"/>
          <w:tblInd w:w="460" w:type="dxa"/>
          <w:tblLook w:val="04A0"/>
        </w:tblPrEx>
        <w:trPr>
          <w:cantSplit/>
        </w:trPr>
        <w:tc>
          <w:tcPr>
            <w:tcW w:w="3265" w:type="dxa"/>
          </w:tcPr>
          <w:p w:rsidR="0045391D" w:rsidRPr="00990D3B" w:rsidP="001A62FC" w14:paraId="25B13234" w14:textId="6D1C8D75">
            <w:pPr>
              <w:pStyle w:val="EQRTableText"/>
            </w:pPr>
            <w:r w:rsidRPr="00990D3B">
              <w:t>Disability Status</w:t>
            </w:r>
          </w:p>
        </w:tc>
        <w:tc>
          <w:tcPr>
            <w:tcW w:w="3226" w:type="dxa"/>
          </w:tcPr>
          <w:p w:rsidR="0045391D" w:rsidRPr="00990D3B" w:rsidP="001A62FC" w14:paraId="19DFCE5C" w14:textId="77777777">
            <w:pPr>
              <w:pStyle w:val="EQRTableText"/>
            </w:pPr>
          </w:p>
        </w:tc>
        <w:tc>
          <w:tcPr>
            <w:tcW w:w="3219" w:type="dxa"/>
          </w:tcPr>
          <w:p w:rsidR="0045391D" w:rsidRPr="00990D3B" w:rsidP="001A62FC" w14:paraId="39FC4E41" w14:textId="77777777">
            <w:pPr>
              <w:pStyle w:val="EQRTableText"/>
            </w:pPr>
          </w:p>
        </w:tc>
        <w:tc>
          <w:tcPr>
            <w:tcW w:w="3240" w:type="dxa"/>
          </w:tcPr>
          <w:p w:rsidR="0045391D" w:rsidRPr="00990D3B" w:rsidP="001A62FC" w14:paraId="1F52DB3F" w14:textId="77777777">
            <w:pPr>
              <w:pStyle w:val="EQRTableText"/>
            </w:pPr>
          </w:p>
        </w:tc>
      </w:tr>
      <w:tr w14:paraId="146C130B" w14:textId="77777777" w:rsidTr="00DE3F2F">
        <w:tblPrEx>
          <w:tblW w:w="5000" w:type="pct"/>
          <w:tblInd w:w="460" w:type="dxa"/>
          <w:tblLook w:val="04A0"/>
        </w:tblPrEx>
        <w:trPr>
          <w:cantSplit/>
        </w:trPr>
        <w:tc>
          <w:tcPr>
            <w:tcW w:w="3265" w:type="dxa"/>
          </w:tcPr>
          <w:p w:rsidR="0045391D" w:rsidRPr="00990D3B" w:rsidP="001A62FC" w14:paraId="67F51D85" w14:textId="68DED843">
            <w:pPr>
              <w:pStyle w:val="EQRTableText"/>
            </w:pPr>
            <w:r w:rsidRPr="00990D3B">
              <w:t>Geography (e.g., rural/urban, region)</w:t>
            </w:r>
          </w:p>
        </w:tc>
        <w:tc>
          <w:tcPr>
            <w:tcW w:w="3226" w:type="dxa"/>
          </w:tcPr>
          <w:p w:rsidR="0045391D" w:rsidRPr="00990D3B" w:rsidP="001A62FC" w14:paraId="417A5D98" w14:textId="77777777">
            <w:pPr>
              <w:pStyle w:val="EQRTableText"/>
            </w:pPr>
          </w:p>
        </w:tc>
        <w:tc>
          <w:tcPr>
            <w:tcW w:w="3219" w:type="dxa"/>
          </w:tcPr>
          <w:p w:rsidR="0045391D" w:rsidRPr="00990D3B" w:rsidP="001A62FC" w14:paraId="0E6567BD" w14:textId="77777777">
            <w:pPr>
              <w:pStyle w:val="EQRTableText"/>
            </w:pPr>
          </w:p>
        </w:tc>
        <w:tc>
          <w:tcPr>
            <w:tcW w:w="3240" w:type="dxa"/>
          </w:tcPr>
          <w:p w:rsidR="0045391D" w:rsidRPr="00990D3B" w:rsidP="001A62FC" w14:paraId="63497721" w14:textId="77777777">
            <w:pPr>
              <w:pStyle w:val="EQRTableText"/>
            </w:pPr>
          </w:p>
        </w:tc>
      </w:tr>
      <w:tr w14:paraId="2B969106" w14:textId="77777777" w:rsidTr="00DE3F2F">
        <w:tblPrEx>
          <w:tblW w:w="5000" w:type="pct"/>
          <w:tblInd w:w="460" w:type="dxa"/>
          <w:tblLook w:val="04A0"/>
        </w:tblPrEx>
        <w:trPr>
          <w:cantSplit/>
        </w:trPr>
        <w:tc>
          <w:tcPr>
            <w:tcW w:w="3265" w:type="dxa"/>
          </w:tcPr>
          <w:p w:rsidR="0045391D" w:rsidRPr="00990D3B" w:rsidP="001A62FC" w14:paraId="11234F9C" w14:textId="1E2223B5">
            <w:pPr>
              <w:pStyle w:val="EQRTableText"/>
            </w:pPr>
            <w:r w:rsidRPr="00990D3B">
              <w:t>Race</w:t>
            </w:r>
          </w:p>
        </w:tc>
        <w:tc>
          <w:tcPr>
            <w:tcW w:w="3226" w:type="dxa"/>
          </w:tcPr>
          <w:p w:rsidR="0045391D" w:rsidRPr="00990D3B" w:rsidP="001A62FC" w14:paraId="12B1D982" w14:textId="77777777">
            <w:pPr>
              <w:pStyle w:val="EQRTableText"/>
            </w:pPr>
          </w:p>
        </w:tc>
        <w:tc>
          <w:tcPr>
            <w:tcW w:w="3219" w:type="dxa"/>
          </w:tcPr>
          <w:p w:rsidR="0045391D" w:rsidRPr="00990D3B" w:rsidP="001A62FC" w14:paraId="4BF20ECB" w14:textId="77777777">
            <w:pPr>
              <w:pStyle w:val="EQRTableText"/>
            </w:pPr>
          </w:p>
        </w:tc>
        <w:tc>
          <w:tcPr>
            <w:tcW w:w="3240" w:type="dxa"/>
          </w:tcPr>
          <w:p w:rsidR="0045391D" w:rsidRPr="00990D3B" w:rsidP="001A62FC" w14:paraId="202E4EED" w14:textId="77777777">
            <w:pPr>
              <w:pStyle w:val="EQRTableText"/>
            </w:pPr>
          </w:p>
        </w:tc>
      </w:tr>
      <w:tr w14:paraId="56FEFFDD" w14:textId="77777777" w:rsidTr="00DE3F2F">
        <w:tblPrEx>
          <w:tblW w:w="5000" w:type="pct"/>
          <w:tblInd w:w="460" w:type="dxa"/>
          <w:tblLook w:val="04A0"/>
        </w:tblPrEx>
        <w:trPr>
          <w:cantSplit/>
        </w:trPr>
        <w:tc>
          <w:tcPr>
            <w:tcW w:w="3265" w:type="dxa"/>
          </w:tcPr>
          <w:p w:rsidR="0045391D" w:rsidRPr="00990D3B" w:rsidP="001A62FC" w14:paraId="4A464C20" w14:textId="0B731971">
            <w:pPr>
              <w:pStyle w:val="EQRTableText"/>
            </w:pPr>
            <w:r w:rsidRPr="00990D3B">
              <w:t>Ethnicity</w:t>
            </w:r>
          </w:p>
        </w:tc>
        <w:tc>
          <w:tcPr>
            <w:tcW w:w="3226" w:type="dxa"/>
          </w:tcPr>
          <w:p w:rsidR="0045391D" w:rsidRPr="00990D3B" w:rsidP="001A62FC" w14:paraId="05E34344" w14:textId="77777777">
            <w:pPr>
              <w:pStyle w:val="EQRTableText"/>
            </w:pPr>
          </w:p>
        </w:tc>
        <w:tc>
          <w:tcPr>
            <w:tcW w:w="3219" w:type="dxa"/>
          </w:tcPr>
          <w:p w:rsidR="0045391D" w:rsidRPr="00990D3B" w:rsidP="00CD347E" w14:paraId="7A9840CC" w14:textId="77777777">
            <w:pPr>
              <w:pStyle w:val="EQRTableText"/>
              <w:ind w:firstLine="288"/>
            </w:pPr>
          </w:p>
        </w:tc>
        <w:tc>
          <w:tcPr>
            <w:tcW w:w="3240" w:type="dxa"/>
          </w:tcPr>
          <w:p w:rsidR="0045391D" w:rsidRPr="00990D3B" w:rsidP="001A62FC" w14:paraId="3DFABBAF" w14:textId="77777777">
            <w:pPr>
              <w:pStyle w:val="EQRTableText"/>
            </w:pPr>
          </w:p>
        </w:tc>
      </w:tr>
      <w:tr w14:paraId="1AA4141B" w14:textId="77777777" w:rsidTr="00DE3F2F">
        <w:tblPrEx>
          <w:tblW w:w="5000" w:type="pct"/>
          <w:tblInd w:w="460" w:type="dxa"/>
          <w:tblLook w:val="04A0"/>
        </w:tblPrEx>
        <w:trPr>
          <w:cantSplit/>
        </w:trPr>
        <w:tc>
          <w:tcPr>
            <w:tcW w:w="3265" w:type="dxa"/>
          </w:tcPr>
          <w:p w:rsidR="0045391D" w:rsidRPr="00990D3B" w:rsidP="001A62FC" w14:paraId="3D00DF59" w14:textId="77777777">
            <w:pPr>
              <w:pStyle w:val="EQRTableText"/>
            </w:pPr>
            <w:r w:rsidRPr="00990D3B">
              <w:t>Primary Language</w:t>
            </w:r>
          </w:p>
        </w:tc>
        <w:tc>
          <w:tcPr>
            <w:tcW w:w="3226" w:type="dxa"/>
          </w:tcPr>
          <w:p w:rsidR="0045391D" w:rsidRPr="00990D3B" w:rsidP="001A62FC" w14:paraId="65851EB7" w14:textId="77777777">
            <w:pPr>
              <w:pStyle w:val="EQRTableText"/>
            </w:pPr>
          </w:p>
        </w:tc>
        <w:tc>
          <w:tcPr>
            <w:tcW w:w="3219" w:type="dxa"/>
          </w:tcPr>
          <w:p w:rsidR="0045391D" w:rsidRPr="00990D3B" w:rsidP="001A62FC" w14:paraId="3EF833F6" w14:textId="77777777">
            <w:pPr>
              <w:pStyle w:val="EQRTableText"/>
            </w:pPr>
          </w:p>
        </w:tc>
        <w:tc>
          <w:tcPr>
            <w:tcW w:w="3240" w:type="dxa"/>
          </w:tcPr>
          <w:p w:rsidR="0045391D" w:rsidRPr="00990D3B" w:rsidP="001A62FC" w14:paraId="52EE4A45" w14:textId="77777777">
            <w:pPr>
              <w:pStyle w:val="EQRTableText"/>
            </w:pPr>
          </w:p>
        </w:tc>
      </w:tr>
      <w:tr w14:paraId="4D38044A" w14:textId="77777777" w:rsidTr="00DE3F2F">
        <w:tblPrEx>
          <w:tblW w:w="5000" w:type="pct"/>
          <w:tblInd w:w="460" w:type="dxa"/>
          <w:tblLook w:val="04A0"/>
        </w:tblPrEx>
        <w:trPr>
          <w:cantSplit/>
        </w:trPr>
        <w:tc>
          <w:tcPr>
            <w:tcW w:w="3265" w:type="dxa"/>
          </w:tcPr>
          <w:p w:rsidR="0045391D" w:rsidRPr="00990D3B" w:rsidP="001A62FC" w14:paraId="23A41DE3" w14:textId="77777777">
            <w:pPr>
              <w:pStyle w:val="EQRTableText"/>
            </w:pPr>
            <w:r w:rsidRPr="00990D3B">
              <w:t xml:space="preserve">Provider type/setting </w:t>
            </w:r>
          </w:p>
        </w:tc>
        <w:tc>
          <w:tcPr>
            <w:tcW w:w="3226" w:type="dxa"/>
          </w:tcPr>
          <w:p w:rsidR="0045391D" w:rsidRPr="00990D3B" w:rsidP="001A62FC" w14:paraId="6A1B4B47" w14:textId="77777777">
            <w:pPr>
              <w:pStyle w:val="EQRTableText"/>
            </w:pPr>
          </w:p>
        </w:tc>
        <w:tc>
          <w:tcPr>
            <w:tcW w:w="3219" w:type="dxa"/>
          </w:tcPr>
          <w:p w:rsidR="0045391D" w:rsidRPr="00990D3B" w:rsidP="001A62FC" w14:paraId="3423DD60" w14:textId="77777777">
            <w:pPr>
              <w:pStyle w:val="EQRTableText"/>
            </w:pPr>
          </w:p>
        </w:tc>
        <w:tc>
          <w:tcPr>
            <w:tcW w:w="3240" w:type="dxa"/>
          </w:tcPr>
          <w:p w:rsidR="0045391D" w:rsidRPr="00990D3B" w:rsidP="001A62FC" w14:paraId="5EF08C02" w14:textId="77777777">
            <w:pPr>
              <w:pStyle w:val="EQRTableText"/>
            </w:pPr>
          </w:p>
        </w:tc>
      </w:tr>
      <w:tr w14:paraId="0CD9B3F7" w14:textId="77777777" w:rsidTr="00DE3F2F">
        <w:tblPrEx>
          <w:tblW w:w="5000" w:type="pct"/>
          <w:tblInd w:w="460" w:type="dxa"/>
          <w:tblLook w:val="04A0"/>
        </w:tblPrEx>
        <w:trPr>
          <w:cantSplit/>
        </w:trPr>
        <w:tc>
          <w:tcPr>
            <w:tcW w:w="3265" w:type="dxa"/>
          </w:tcPr>
          <w:p w:rsidR="0045391D" w:rsidRPr="00990D3B" w:rsidP="001A62FC" w14:paraId="7909635F" w14:textId="77777777">
            <w:pPr>
              <w:pStyle w:val="EQRTableText"/>
            </w:pPr>
            <w:r w:rsidRPr="00990D3B">
              <w:t xml:space="preserve">Other: </w:t>
            </w:r>
          </w:p>
        </w:tc>
        <w:tc>
          <w:tcPr>
            <w:tcW w:w="3226" w:type="dxa"/>
          </w:tcPr>
          <w:p w:rsidR="0045391D" w:rsidRPr="00990D3B" w:rsidP="001A62FC" w14:paraId="78362134" w14:textId="77777777">
            <w:pPr>
              <w:pStyle w:val="EQRTableText"/>
            </w:pPr>
          </w:p>
        </w:tc>
        <w:tc>
          <w:tcPr>
            <w:tcW w:w="3219" w:type="dxa"/>
          </w:tcPr>
          <w:p w:rsidR="0045391D" w:rsidRPr="00990D3B" w:rsidP="001A62FC" w14:paraId="4FA4C518" w14:textId="77777777">
            <w:pPr>
              <w:pStyle w:val="EQRTableText"/>
            </w:pPr>
          </w:p>
        </w:tc>
        <w:tc>
          <w:tcPr>
            <w:tcW w:w="3240" w:type="dxa"/>
          </w:tcPr>
          <w:p w:rsidR="0045391D" w:rsidRPr="00990D3B" w:rsidP="001A62FC" w14:paraId="7F2A17A3" w14:textId="77777777">
            <w:pPr>
              <w:pStyle w:val="EQRTableText"/>
            </w:pPr>
          </w:p>
        </w:tc>
      </w:tr>
    </w:tbl>
    <w:p w:rsidR="0045391D" w:rsidRPr="00990D3B" w:rsidP="0027339D" w14:paraId="16D9C600" w14:textId="77777777">
      <w:pPr>
        <w:pStyle w:val="EQRNormalSSWORKSHEET"/>
      </w:pPr>
    </w:p>
    <w:p w:rsidR="0027339D" w:rsidRPr="00990D3B" w:rsidP="002D35CF" w14:paraId="4036B443" w14:textId="4BF35CEC">
      <w:pPr>
        <w:pStyle w:val="EQRNormalSSWSbullet"/>
        <w:numPr>
          <w:ilvl w:val="0"/>
          <w:numId w:val="227"/>
        </w:numPr>
        <w:spacing w:before="0" w:after="160" w:line="278" w:lineRule="auto"/>
        <w:contextualSpacing/>
        <w:rPr>
          <w:rFonts w:asciiTheme="majorHAnsi" w:hAnsiTheme="majorHAnsi" w:cstheme="majorHAnsi"/>
          <w:sz w:val="19"/>
          <w:szCs w:val="19"/>
        </w:rPr>
      </w:pPr>
      <w:r w:rsidRPr="00990D3B">
        <w:t>How will metrics be stratified across subgroups? Will this vary by measure or domai</w:t>
      </w:r>
      <w:r w:rsidRPr="00990D3B" w:rsidR="00FB45F3">
        <w:t xml:space="preserve">n (e.g., </w:t>
      </w:r>
      <w:r w:rsidRPr="00990D3B" w:rsidR="002C77DD">
        <w:t xml:space="preserve">stratifying </w:t>
      </w:r>
      <w:r w:rsidRPr="00990D3B" w:rsidR="00CD347E">
        <w:t>infant well-child visit</w:t>
      </w:r>
      <w:r w:rsidRPr="00990D3B">
        <w:t xml:space="preserve"> rates by geography, and</w:t>
      </w:r>
      <w:r w:rsidRPr="00990D3B" w:rsidR="00CD347E">
        <w:t xml:space="preserve"> postpartum visit rates </w:t>
      </w:r>
      <w:r w:rsidRPr="00990D3B" w:rsidR="00FB45F3">
        <w:t xml:space="preserve">by </w:t>
      </w:r>
      <w:r w:rsidRPr="00990D3B" w:rsidR="00B5009E">
        <w:t xml:space="preserve">age, geography, and </w:t>
      </w:r>
      <w:r w:rsidRPr="00990D3B" w:rsidR="00FB45F3">
        <w:t xml:space="preserve">race/ethnicity)? </w:t>
      </w:r>
    </w:p>
    <w:p w:rsidR="0027339D" w:rsidRPr="00990D3B" w:rsidP="0027339D" w14:paraId="72E894CF" w14:textId="77777777">
      <w:pPr>
        <w:pStyle w:val="EQRNormalSSWORKSHEET"/>
      </w:pPr>
    </w:p>
    <w:p w:rsidR="0027339D" w:rsidRPr="00990D3B" w:rsidP="002D35CF" w14:paraId="40F6718D" w14:textId="77777777">
      <w:pPr>
        <w:pStyle w:val="EQRNormalSSWSbullet"/>
        <w:numPr>
          <w:ilvl w:val="0"/>
          <w:numId w:val="227"/>
        </w:numPr>
        <w:spacing w:before="0" w:after="160" w:line="278" w:lineRule="auto"/>
        <w:contextualSpacing/>
      </w:pPr>
      <w:r w:rsidRPr="00990D3B">
        <w:t xml:space="preserve">What methods will be used for subgroup analyses (e.g., descriptive stratification, regression with interaction terms, subgroup-specific trend analysis)? </w:t>
      </w:r>
    </w:p>
    <w:p w:rsidR="0027339D" w:rsidRPr="00990D3B" w:rsidP="0027339D" w14:paraId="4258EDB6" w14:textId="77777777">
      <w:pPr>
        <w:pStyle w:val="EQRNormalSSWORKSHEET"/>
      </w:pPr>
    </w:p>
    <w:p w:rsidR="0045391D" w:rsidRPr="00990D3B" w:rsidP="002D35CF" w14:paraId="1331266B" w14:textId="496EFFD2">
      <w:pPr>
        <w:pStyle w:val="EQRNormalSSWSbullet"/>
        <w:numPr>
          <w:ilvl w:val="0"/>
          <w:numId w:val="227"/>
        </w:numPr>
        <w:spacing w:before="0" w:after="160" w:line="278" w:lineRule="auto"/>
        <w:contextualSpacing/>
        <w:rPr>
          <w:rFonts w:asciiTheme="majorHAnsi" w:hAnsiTheme="majorHAnsi" w:cstheme="majorHAnsi"/>
          <w:sz w:val="19"/>
          <w:szCs w:val="19"/>
        </w:rPr>
      </w:pPr>
      <w:r w:rsidRPr="00990D3B">
        <w:rPr>
          <w:rFonts w:asciiTheme="majorHAnsi" w:hAnsiTheme="majorHAnsi" w:cstheme="majorHAnsi"/>
          <w:sz w:val="19"/>
          <w:szCs w:val="19"/>
        </w:rPr>
        <w:t xml:space="preserve">How will findings from subgroup analyses be used to inform conclusions or recommendations (e.g., identifying populations needing targeted support, informing future program design)? </w:t>
      </w:r>
    </w:p>
    <w:p w:rsidR="001A62FC" w:rsidRPr="00990D3B" w14:paraId="5F9B9B6E" w14:textId="0D13126F">
      <w:pPr>
        <w:spacing w:line="240" w:lineRule="auto"/>
        <w:rPr>
          <w:rFonts w:asciiTheme="majorHAnsi" w:hAnsiTheme="majorHAnsi" w:cstheme="majorHAnsi"/>
          <w:b/>
          <w:bCs/>
          <w:sz w:val="19"/>
          <w:szCs w:val="19"/>
        </w:rPr>
      </w:pPr>
      <w:r w:rsidRPr="00990D3B">
        <w:rPr>
          <w:rFonts w:asciiTheme="majorHAnsi" w:hAnsiTheme="majorHAnsi" w:cstheme="majorHAnsi"/>
          <w:b/>
          <w:bCs/>
          <w:sz w:val="19"/>
          <w:szCs w:val="19"/>
        </w:rPr>
        <w:br w:type="page"/>
      </w:r>
    </w:p>
    <w:p w:rsidR="0045391D" w:rsidRPr="00990D3B" w:rsidP="001A62FC" w14:paraId="6FA6AC84" w14:textId="77777777">
      <w:pPr>
        <w:pStyle w:val="EQRNormalSSWSquestionNUMBER"/>
        <w:rPr>
          <w:b/>
          <w:bCs/>
        </w:rPr>
      </w:pPr>
      <w:r w:rsidRPr="00990D3B">
        <w:rPr>
          <w:b/>
          <w:bCs/>
        </w:rPr>
        <w:t xml:space="preserve">Anticipated Limitations. </w:t>
      </w:r>
    </w:p>
    <w:p w:rsidR="0045391D" w:rsidRPr="00990D3B" w:rsidP="0027339D" w14:paraId="683530D2" w14:textId="77777777">
      <w:pPr>
        <w:pStyle w:val="EQRNormalSSWORKSHEET"/>
      </w:pPr>
      <w:r w:rsidRPr="00990D3B">
        <w:t xml:space="preserve">Use the prompts below to identify known or anticipated limitations that may affect the evaluation’s findings or interpretation. In the </w:t>
      </w:r>
      <w:r w:rsidRPr="00990D3B">
        <w:rPr>
          <w:b/>
          <w:bCs/>
        </w:rPr>
        <w:t>Mitigation Strategy</w:t>
      </w:r>
      <w:r w:rsidRPr="00990D3B">
        <w:t xml:space="preserve"> column, describe any steps that will be taken to address or reduce the impact of each limitation. In the </w:t>
      </w:r>
      <w:r w:rsidRPr="00990D3B">
        <w:rPr>
          <w:b/>
          <w:bCs/>
        </w:rPr>
        <w:t>Caveats for Interpretation</w:t>
      </w:r>
      <w:r w:rsidRPr="00990D3B">
        <w:t xml:space="preserve"> column, </w:t>
      </w:r>
      <w:r w:rsidRPr="00990D3B">
        <w:t>indicate</w:t>
      </w:r>
      <w:r w:rsidRPr="00990D3B">
        <w:t xml:space="preserve"> how findings will be framed to reflect these limitations—include any cautionary notes that should accompany interpretation of results.</w:t>
      </w:r>
    </w:p>
    <w:p w:rsidR="0045391D" w:rsidRPr="00990D3B" w:rsidP="0027339D" w14:paraId="5B9EE5A5" w14:textId="77777777">
      <w:pPr>
        <w:pStyle w:val="EQRNormalSSWORKSHEET"/>
      </w:pPr>
      <w:r w:rsidRPr="00990D3B">
        <w:t xml:space="preserve">Add rows as needed to capture other </w:t>
      </w:r>
      <w:r w:rsidRPr="00990D3B">
        <w:rPr>
          <w:b/>
          <w:bCs/>
        </w:rPr>
        <w:t>contextual</w:t>
      </w:r>
      <w:r w:rsidRPr="00990D3B">
        <w:t xml:space="preserve"> or </w:t>
      </w:r>
      <w:r w:rsidRPr="00990D3B">
        <w:rPr>
          <w:b/>
          <w:bCs/>
        </w:rPr>
        <w:t>structural</w:t>
      </w:r>
      <w:r w:rsidRPr="00990D3B">
        <w:t xml:space="preserve"> limitations. For example, major policy shifts during the evaluation period, program redesigns or changes to eligibility, varying implementation fidelity across managed care plans or regions. </w:t>
      </w:r>
    </w:p>
    <w:tbl>
      <w:tblPr>
        <w:tblStyle w:val="TableGrid"/>
        <w:tblW w:w="5000" w:type="pct"/>
        <w:tblLook w:val="04A0"/>
      </w:tblPr>
      <w:tblGrid>
        <w:gridCol w:w="5576"/>
        <w:gridCol w:w="3688"/>
        <w:gridCol w:w="3686"/>
      </w:tblGrid>
      <w:tr w14:paraId="7F7DB769" w14:textId="77777777" w:rsidTr="003A00F5">
        <w:tblPrEx>
          <w:tblW w:w="5000" w:type="pct"/>
          <w:tblLook w:val="04A0"/>
        </w:tblPrEx>
        <w:trPr>
          <w:cantSplit/>
          <w:tblHeader/>
        </w:trPr>
        <w:tc>
          <w:tcPr>
            <w:tcW w:w="2153" w:type="pct"/>
          </w:tcPr>
          <w:p w:rsidR="0045391D" w:rsidRPr="00990D3B" w:rsidP="003A00F5" w14:paraId="79DCC05B" w14:textId="77777777">
            <w:pPr>
              <w:pStyle w:val="EQRTableHeaderLeft"/>
              <w:rPr>
                <w:color w:val="auto"/>
              </w:rPr>
            </w:pPr>
            <w:r w:rsidRPr="00990D3B">
              <w:rPr>
                <w:color w:val="auto"/>
              </w:rPr>
              <w:t>Limitations</w:t>
            </w:r>
          </w:p>
        </w:tc>
        <w:tc>
          <w:tcPr>
            <w:tcW w:w="1424" w:type="pct"/>
          </w:tcPr>
          <w:p w:rsidR="0045391D" w:rsidRPr="00990D3B" w:rsidP="003A00F5" w14:paraId="24CC65F6" w14:textId="77777777">
            <w:pPr>
              <w:pStyle w:val="EQRTableHeaderCenter"/>
              <w:rPr>
                <w:color w:val="auto"/>
              </w:rPr>
            </w:pPr>
            <w:r w:rsidRPr="00990D3B">
              <w:rPr>
                <w:color w:val="auto"/>
              </w:rPr>
              <w:t xml:space="preserve">Mitigation Strategies </w:t>
            </w:r>
          </w:p>
        </w:tc>
        <w:tc>
          <w:tcPr>
            <w:tcW w:w="1424" w:type="pct"/>
          </w:tcPr>
          <w:p w:rsidR="0045391D" w:rsidRPr="00990D3B" w:rsidP="003A00F5" w14:paraId="50704E6E" w14:textId="77777777">
            <w:pPr>
              <w:pStyle w:val="EQRTableHeaderCenter"/>
              <w:rPr>
                <w:color w:val="auto"/>
              </w:rPr>
            </w:pPr>
            <w:r w:rsidRPr="00990D3B">
              <w:rPr>
                <w:color w:val="auto"/>
              </w:rPr>
              <w:t xml:space="preserve">Caveats for Interpretation </w:t>
            </w:r>
          </w:p>
        </w:tc>
      </w:tr>
      <w:tr w14:paraId="2AEBE6F6" w14:textId="77777777" w:rsidTr="003A00F5">
        <w:tblPrEx>
          <w:tblW w:w="5000" w:type="pct"/>
          <w:tblLook w:val="04A0"/>
        </w:tblPrEx>
        <w:trPr>
          <w:cantSplit/>
        </w:trPr>
        <w:tc>
          <w:tcPr>
            <w:tcW w:w="5000" w:type="pct"/>
            <w:gridSpan w:val="3"/>
          </w:tcPr>
          <w:p w:rsidR="0045391D" w:rsidRPr="00990D3B" w:rsidP="003A00F5" w14:paraId="14F2351A" w14:textId="77777777">
            <w:pPr>
              <w:pStyle w:val="EQRTableText"/>
              <w:rPr>
                <w:b/>
                <w:bCs/>
                <w:i/>
                <w:iCs/>
              </w:rPr>
            </w:pPr>
            <w:r w:rsidRPr="00990D3B">
              <w:rPr>
                <w:b/>
                <w:bCs/>
              </w:rPr>
              <w:t>Data Collection</w:t>
            </w:r>
            <w:r w:rsidRPr="00990D3B">
              <w:rPr>
                <w:b/>
                <w:bCs/>
                <w:i/>
                <w:iCs/>
              </w:rPr>
              <w:t xml:space="preserve"> - Identify known or anticipated limitations with data availability, completeness, or timeliness</w:t>
            </w:r>
          </w:p>
        </w:tc>
      </w:tr>
      <w:tr w14:paraId="64618E93" w14:textId="77777777" w:rsidTr="003A00F5">
        <w:tblPrEx>
          <w:tblW w:w="5000" w:type="pct"/>
          <w:tblLook w:val="04A0"/>
        </w:tblPrEx>
        <w:trPr>
          <w:cantSplit/>
        </w:trPr>
        <w:tc>
          <w:tcPr>
            <w:tcW w:w="2153" w:type="pct"/>
          </w:tcPr>
          <w:p w:rsidR="0045391D" w:rsidRPr="00990D3B" w:rsidP="003A00F5" w14:paraId="37082DE8" w14:textId="77777777">
            <w:pPr>
              <w:pStyle w:val="EQRTableText"/>
              <w:rPr>
                <w:i/>
                <w:iCs/>
              </w:rPr>
            </w:pPr>
            <w:r w:rsidRPr="00990D3B">
              <w:rPr>
                <w:i/>
                <w:iCs/>
              </w:rPr>
              <w:t>Example: Claims lag, missing demographic fields, delays in provider reporting</w:t>
            </w:r>
          </w:p>
        </w:tc>
        <w:tc>
          <w:tcPr>
            <w:tcW w:w="1424" w:type="pct"/>
          </w:tcPr>
          <w:p w:rsidR="0045391D" w:rsidRPr="00990D3B" w:rsidP="003A00F5" w14:paraId="4FD5DC25" w14:textId="77777777">
            <w:pPr>
              <w:pStyle w:val="EQRTableText"/>
            </w:pPr>
          </w:p>
        </w:tc>
        <w:tc>
          <w:tcPr>
            <w:tcW w:w="1424" w:type="pct"/>
          </w:tcPr>
          <w:p w:rsidR="0045391D" w:rsidRPr="00990D3B" w:rsidP="003A00F5" w14:paraId="5A6B607D" w14:textId="77777777">
            <w:pPr>
              <w:pStyle w:val="EQRTableText"/>
              <w:rPr>
                <w:i/>
                <w:iCs/>
              </w:rPr>
            </w:pPr>
            <w:r w:rsidRPr="00990D3B">
              <w:rPr>
                <w:i/>
                <w:iCs/>
              </w:rPr>
              <w:t xml:space="preserve">Example: Results should be interpreted </w:t>
            </w:r>
            <w:r w:rsidRPr="00990D3B">
              <w:rPr>
                <w:i/>
                <w:iCs/>
              </w:rPr>
              <w:t>in light of</w:t>
            </w:r>
            <w:r w:rsidRPr="00990D3B">
              <w:rPr>
                <w:i/>
                <w:iCs/>
              </w:rPr>
              <w:t xml:space="preserve"> missing geographic data for x% of enrollees.</w:t>
            </w:r>
          </w:p>
        </w:tc>
      </w:tr>
      <w:tr w14:paraId="526E22D1" w14:textId="77777777" w:rsidTr="003A00F5">
        <w:tblPrEx>
          <w:tblW w:w="5000" w:type="pct"/>
          <w:tblLook w:val="04A0"/>
        </w:tblPrEx>
        <w:trPr>
          <w:cantSplit/>
        </w:trPr>
        <w:tc>
          <w:tcPr>
            <w:tcW w:w="2153" w:type="pct"/>
          </w:tcPr>
          <w:p w:rsidR="0045391D" w:rsidRPr="00990D3B" w:rsidP="003A00F5" w14:paraId="0DA77E37" w14:textId="77777777">
            <w:pPr>
              <w:pStyle w:val="EQRTableText"/>
              <w:rPr>
                <w:i/>
                <w:iCs/>
              </w:rPr>
            </w:pPr>
          </w:p>
        </w:tc>
        <w:tc>
          <w:tcPr>
            <w:tcW w:w="1424" w:type="pct"/>
          </w:tcPr>
          <w:p w:rsidR="0045391D" w:rsidRPr="00990D3B" w:rsidP="003A00F5" w14:paraId="6DA1AB2A" w14:textId="77777777">
            <w:pPr>
              <w:pStyle w:val="EQRTableText"/>
            </w:pPr>
          </w:p>
        </w:tc>
        <w:tc>
          <w:tcPr>
            <w:tcW w:w="1424" w:type="pct"/>
          </w:tcPr>
          <w:p w:rsidR="0045391D" w:rsidRPr="00990D3B" w:rsidP="003A00F5" w14:paraId="6E306A62" w14:textId="77777777">
            <w:pPr>
              <w:pStyle w:val="EQRTableText"/>
              <w:rPr>
                <w:i/>
                <w:iCs/>
              </w:rPr>
            </w:pPr>
          </w:p>
        </w:tc>
      </w:tr>
      <w:tr w14:paraId="08B8E85C" w14:textId="77777777" w:rsidTr="003A00F5">
        <w:tblPrEx>
          <w:tblW w:w="5000" w:type="pct"/>
          <w:tblLook w:val="04A0"/>
        </w:tblPrEx>
        <w:trPr>
          <w:cantSplit/>
        </w:trPr>
        <w:tc>
          <w:tcPr>
            <w:tcW w:w="2153" w:type="pct"/>
          </w:tcPr>
          <w:p w:rsidR="0045391D" w:rsidRPr="00990D3B" w:rsidP="003A00F5" w14:paraId="663A9772" w14:textId="77777777">
            <w:pPr>
              <w:pStyle w:val="EQRTableText"/>
              <w:rPr>
                <w:i/>
                <w:iCs/>
              </w:rPr>
            </w:pPr>
          </w:p>
        </w:tc>
        <w:tc>
          <w:tcPr>
            <w:tcW w:w="1424" w:type="pct"/>
          </w:tcPr>
          <w:p w:rsidR="0045391D" w:rsidRPr="00990D3B" w:rsidP="003A00F5" w14:paraId="70D0E35A" w14:textId="77777777">
            <w:pPr>
              <w:pStyle w:val="EQRTableText"/>
            </w:pPr>
          </w:p>
        </w:tc>
        <w:tc>
          <w:tcPr>
            <w:tcW w:w="1424" w:type="pct"/>
          </w:tcPr>
          <w:p w:rsidR="0045391D" w:rsidRPr="00990D3B" w:rsidP="003A00F5" w14:paraId="18AEE5F7" w14:textId="77777777">
            <w:pPr>
              <w:pStyle w:val="EQRTableText"/>
              <w:rPr>
                <w:i/>
                <w:iCs/>
              </w:rPr>
            </w:pPr>
          </w:p>
        </w:tc>
      </w:tr>
      <w:tr w14:paraId="4B18E3B4" w14:textId="77777777" w:rsidTr="003A00F5">
        <w:tblPrEx>
          <w:tblW w:w="5000" w:type="pct"/>
          <w:tblLook w:val="04A0"/>
        </w:tblPrEx>
        <w:trPr>
          <w:cantSplit/>
        </w:trPr>
        <w:tc>
          <w:tcPr>
            <w:tcW w:w="2153" w:type="pct"/>
          </w:tcPr>
          <w:p w:rsidR="0045391D" w:rsidRPr="00990D3B" w:rsidP="003A00F5" w14:paraId="38B6CAAB" w14:textId="77777777">
            <w:pPr>
              <w:pStyle w:val="EQRTableText"/>
              <w:rPr>
                <w:i/>
                <w:iCs/>
              </w:rPr>
            </w:pPr>
          </w:p>
        </w:tc>
        <w:tc>
          <w:tcPr>
            <w:tcW w:w="1424" w:type="pct"/>
          </w:tcPr>
          <w:p w:rsidR="0045391D" w:rsidRPr="00990D3B" w:rsidP="003A00F5" w14:paraId="5789D344" w14:textId="77777777">
            <w:pPr>
              <w:pStyle w:val="EQRTableText"/>
            </w:pPr>
          </w:p>
        </w:tc>
        <w:tc>
          <w:tcPr>
            <w:tcW w:w="1424" w:type="pct"/>
          </w:tcPr>
          <w:p w:rsidR="0045391D" w:rsidRPr="00990D3B" w:rsidP="003A00F5" w14:paraId="5D7ACD0A" w14:textId="77777777">
            <w:pPr>
              <w:pStyle w:val="EQRTableText"/>
              <w:rPr>
                <w:i/>
                <w:iCs/>
              </w:rPr>
            </w:pPr>
          </w:p>
        </w:tc>
      </w:tr>
      <w:tr w14:paraId="183F45BC" w14:textId="77777777" w:rsidTr="003A00F5">
        <w:tblPrEx>
          <w:tblW w:w="5000" w:type="pct"/>
          <w:tblLook w:val="04A0"/>
        </w:tblPrEx>
        <w:trPr>
          <w:cantSplit/>
        </w:trPr>
        <w:tc>
          <w:tcPr>
            <w:tcW w:w="5000" w:type="pct"/>
            <w:gridSpan w:val="3"/>
          </w:tcPr>
          <w:p w:rsidR="0045391D" w:rsidRPr="00990D3B" w:rsidP="003A00F5" w14:paraId="14E45FE3" w14:textId="77777777">
            <w:pPr>
              <w:pStyle w:val="EQRTableText"/>
              <w:rPr>
                <w:b/>
                <w:bCs/>
                <w:i/>
                <w:iCs/>
              </w:rPr>
            </w:pPr>
            <w:r w:rsidRPr="00990D3B">
              <w:rPr>
                <w:b/>
                <w:bCs/>
              </w:rPr>
              <w:t xml:space="preserve">Metrics- </w:t>
            </w:r>
            <w:r w:rsidRPr="00990D3B">
              <w:rPr>
                <w:b/>
                <w:bCs/>
                <w:i/>
                <w:iCs/>
              </w:rPr>
              <w:t xml:space="preserve">Identify known or anticipated limitations related to the selected metrics </w:t>
            </w:r>
          </w:p>
        </w:tc>
      </w:tr>
      <w:tr w14:paraId="05C38997" w14:textId="77777777" w:rsidTr="003A00F5">
        <w:tblPrEx>
          <w:tblW w:w="5000" w:type="pct"/>
          <w:tblLook w:val="04A0"/>
        </w:tblPrEx>
        <w:trPr>
          <w:cantSplit/>
        </w:trPr>
        <w:tc>
          <w:tcPr>
            <w:tcW w:w="2153" w:type="pct"/>
          </w:tcPr>
          <w:p w:rsidR="0045391D" w:rsidRPr="00990D3B" w:rsidP="003A00F5" w14:paraId="4E62EE99" w14:textId="77777777">
            <w:pPr>
              <w:pStyle w:val="EQRTableText"/>
              <w:rPr>
                <w:i/>
                <w:iCs/>
              </w:rPr>
            </w:pPr>
            <w:r w:rsidRPr="00990D3B">
              <w:rPr>
                <w:i/>
                <w:iCs/>
              </w:rPr>
              <w:t>Example: Newly developed metrics, lack of benchmarks, limited validation in specific populations</w:t>
            </w:r>
          </w:p>
        </w:tc>
        <w:tc>
          <w:tcPr>
            <w:tcW w:w="1424" w:type="pct"/>
          </w:tcPr>
          <w:p w:rsidR="0045391D" w:rsidRPr="00990D3B" w:rsidP="003A00F5" w14:paraId="4468515A" w14:textId="77777777">
            <w:pPr>
              <w:pStyle w:val="EQRTableText"/>
            </w:pPr>
          </w:p>
        </w:tc>
        <w:tc>
          <w:tcPr>
            <w:tcW w:w="1424" w:type="pct"/>
          </w:tcPr>
          <w:p w:rsidR="0045391D" w:rsidRPr="00990D3B" w:rsidP="003A00F5" w14:paraId="7105C781" w14:textId="77777777">
            <w:pPr>
              <w:pStyle w:val="EQRTableText"/>
              <w:rPr>
                <w:i/>
                <w:iCs/>
              </w:rPr>
            </w:pPr>
            <w:r w:rsidRPr="00990D3B">
              <w:rPr>
                <w:i/>
                <w:iCs/>
              </w:rPr>
              <w:t>Example: Benchmark comparisons are limited because the metric is newly developed.</w:t>
            </w:r>
          </w:p>
        </w:tc>
      </w:tr>
      <w:tr w14:paraId="6BE0C114" w14:textId="77777777" w:rsidTr="003A00F5">
        <w:tblPrEx>
          <w:tblW w:w="5000" w:type="pct"/>
          <w:tblLook w:val="04A0"/>
        </w:tblPrEx>
        <w:trPr>
          <w:cantSplit/>
        </w:trPr>
        <w:tc>
          <w:tcPr>
            <w:tcW w:w="2153" w:type="pct"/>
          </w:tcPr>
          <w:p w:rsidR="0045391D" w:rsidRPr="00990D3B" w:rsidP="003A00F5" w14:paraId="398224B9" w14:textId="77777777">
            <w:pPr>
              <w:pStyle w:val="EQRTableText"/>
              <w:rPr>
                <w:i/>
                <w:iCs/>
              </w:rPr>
            </w:pPr>
          </w:p>
        </w:tc>
        <w:tc>
          <w:tcPr>
            <w:tcW w:w="1424" w:type="pct"/>
          </w:tcPr>
          <w:p w:rsidR="0045391D" w:rsidRPr="00990D3B" w:rsidP="003A00F5" w14:paraId="50C78FE4" w14:textId="77777777">
            <w:pPr>
              <w:pStyle w:val="EQRTableText"/>
            </w:pPr>
          </w:p>
        </w:tc>
        <w:tc>
          <w:tcPr>
            <w:tcW w:w="1424" w:type="pct"/>
          </w:tcPr>
          <w:p w:rsidR="0045391D" w:rsidRPr="00990D3B" w:rsidP="003A00F5" w14:paraId="12E810FF" w14:textId="77777777">
            <w:pPr>
              <w:pStyle w:val="EQRTableText"/>
              <w:rPr>
                <w:i/>
                <w:iCs/>
              </w:rPr>
            </w:pPr>
          </w:p>
        </w:tc>
      </w:tr>
      <w:tr w14:paraId="7E8292BA" w14:textId="77777777" w:rsidTr="003A00F5">
        <w:tblPrEx>
          <w:tblW w:w="5000" w:type="pct"/>
          <w:tblLook w:val="04A0"/>
        </w:tblPrEx>
        <w:trPr>
          <w:cantSplit/>
        </w:trPr>
        <w:tc>
          <w:tcPr>
            <w:tcW w:w="2153" w:type="pct"/>
          </w:tcPr>
          <w:p w:rsidR="0045391D" w:rsidRPr="00990D3B" w:rsidP="003A00F5" w14:paraId="285C102E" w14:textId="77777777">
            <w:pPr>
              <w:pStyle w:val="EQRTableText"/>
              <w:rPr>
                <w:i/>
                <w:iCs/>
              </w:rPr>
            </w:pPr>
          </w:p>
        </w:tc>
        <w:tc>
          <w:tcPr>
            <w:tcW w:w="1424" w:type="pct"/>
          </w:tcPr>
          <w:p w:rsidR="0045391D" w:rsidRPr="00990D3B" w:rsidP="003A00F5" w14:paraId="6EE58E8C" w14:textId="77777777">
            <w:pPr>
              <w:pStyle w:val="EQRTableText"/>
            </w:pPr>
          </w:p>
        </w:tc>
        <w:tc>
          <w:tcPr>
            <w:tcW w:w="1424" w:type="pct"/>
          </w:tcPr>
          <w:p w:rsidR="0045391D" w:rsidRPr="00990D3B" w:rsidP="003A00F5" w14:paraId="779A88E4" w14:textId="77777777">
            <w:pPr>
              <w:pStyle w:val="EQRTableText"/>
              <w:rPr>
                <w:i/>
                <w:iCs/>
              </w:rPr>
            </w:pPr>
          </w:p>
        </w:tc>
      </w:tr>
      <w:tr w14:paraId="6E28CCB7" w14:textId="77777777" w:rsidTr="003A00F5">
        <w:tblPrEx>
          <w:tblW w:w="5000" w:type="pct"/>
          <w:tblLook w:val="04A0"/>
        </w:tblPrEx>
        <w:trPr>
          <w:cantSplit/>
        </w:trPr>
        <w:tc>
          <w:tcPr>
            <w:tcW w:w="2153" w:type="pct"/>
          </w:tcPr>
          <w:p w:rsidR="0045391D" w:rsidRPr="00990D3B" w:rsidP="003A00F5" w14:paraId="7243EC2B" w14:textId="77777777">
            <w:pPr>
              <w:pStyle w:val="EQRTableText"/>
              <w:rPr>
                <w:i/>
                <w:iCs/>
              </w:rPr>
            </w:pPr>
          </w:p>
        </w:tc>
        <w:tc>
          <w:tcPr>
            <w:tcW w:w="1424" w:type="pct"/>
          </w:tcPr>
          <w:p w:rsidR="0045391D" w:rsidRPr="00990D3B" w:rsidP="003A00F5" w14:paraId="32C81E8A" w14:textId="77777777">
            <w:pPr>
              <w:pStyle w:val="EQRTableText"/>
            </w:pPr>
          </w:p>
        </w:tc>
        <w:tc>
          <w:tcPr>
            <w:tcW w:w="1424" w:type="pct"/>
          </w:tcPr>
          <w:p w:rsidR="0045391D" w:rsidRPr="00990D3B" w:rsidP="003A00F5" w14:paraId="424863C8" w14:textId="77777777">
            <w:pPr>
              <w:pStyle w:val="EQRTableText"/>
              <w:rPr>
                <w:i/>
                <w:iCs/>
              </w:rPr>
            </w:pPr>
          </w:p>
        </w:tc>
      </w:tr>
      <w:tr w14:paraId="47324DF6" w14:textId="77777777" w:rsidTr="003A00F5">
        <w:tblPrEx>
          <w:tblW w:w="5000" w:type="pct"/>
          <w:tblLook w:val="04A0"/>
        </w:tblPrEx>
        <w:trPr>
          <w:cantSplit/>
        </w:trPr>
        <w:tc>
          <w:tcPr>
            <w:tcW w:w="5000" w:type="pct"/>
            <w:gridSpan w:val="3"/>
          </w:tcPr>
          <w:p w:rsidR="0045391D" w:rsidRPr="00990D3B" w:rsidP="003A00F5" w14:paraId="2E427940" w14:textId="77777777">
            <w:pPr>
              <w:pStyle w:val="EQRTableText"/>
              <w:rPr>
                <w:b/>
                <w:bCs/>
                <w:i/>
                <w:iCs/>
              </w:rPr>
            </w:pPr>
            <w:r w:rsidRPr="00990D3B">
              <w:rPr>
                <w:b/>
                <w:bCs/>
              </w:rPr>
              <w:t xml:space="preserve">Methodology- </w:t>
            </w:r>
            <w:r w:rsidRPr="00990D3B">
              <w:rPr>
                <w:b/>
                <w:bCs/>
                <w:i/>
                <w:iCs/>
              </w:rPr>
              <w:t xml:space="preserve">Identify known or anticipated limitations related to evaluation methodology </w:t>
            </w:r>
          </w:p>
        </w:tc>
      </w:tr>
      <w:tr w14:paraId="27A0E388" w14:textId="77777777" w:rsidTr="003A00F5">
        <w:tblPrEx>
          <w:tblW w:w="5000" w:type="pct"/>
          <w:tblLook w:val="04A0"/>
        </w:tblPrEx>
        <w:trPr>
          <w:cantSplit/>
        </w:trPr>
        <w:tc>
          <w:tcPr>
            <w:tcW w:w="2153" w:type="pct"/>
          </w:tcPr>
          <w:p w:rsidR="0045391D" w:rsidRPr="00990D3B" w:rsidP="003A00F5" w14:paraId="6FE5BBAB" w14:textId="77777777">
            <w:pPr>
              <w:pStyle w:val="EQRTableText"/>
              <w:rPr>
                <w:i/>
                <w:iCs/>
              </w:rPr>
            </w:pPr>
            <w:r w:rsidRPr="00990D3B">
              <w:rPr>
                <w:i/>
                <w:iCs/>
              </w:rPr>
              <w:t>Example: Lack of comparison group, limited pre-intervention data, small sample size</w:t>
            </w:r>
          </w:p>
        </w:tc>
        <w:tc>
          <w:tcPr>
            <w:tcW w:w="1424" w:type="pct"/>
          </w:tcPr>
          <w:p w:rsidR="0045391D" w:rsidRPr="00990D3B" w:rsidP="003A00F5" w14:paraId="5B5D7F23" w14:textId="77777777">
            <w:pPr>
              <w:pStyle w:val="EQRTableText"/>
            </w:pPr>
          </w:p>
        </w:tc>
        <w:tc>
          <w:tcPr>
            <w:tcW w:w="1424" w:type="pct"/>
          </w:tcPr>
          <w:p w:rsidR="0045391D" w:rsidRPr="00990D3B" w:rsidP="003A00F5" w14:paraId="2CE350D6" w14:textId="77777777">
            <w:pPr>
              <w:pStyle w:val="EQRTableText"/>
              <w:rPr>
                <w:i/>
                <w:iCs/>
              </w:rPr>
            </w:pPr>
            <w:r w:rsidRPr="00990D3B">
              <w:rPr>
                <w:i/>
                <w:iCs/>
              </w:rPr>
              <w:t>Example: No comparison group available, making it difficult to determine whether observed changes are due to the SDP.</w:t>
            </w:r>
          </w:p>
        </w:tc>
      </w:tr>
      <w:tr w14:paraId="256C98E6" w14:textId="77777777" w:rsidTr="003A00F5">
        <w:tblPrEx>
          <w:tblW w:w="5000" w:type="pct"/>
          <w:tblLook w:val="04A0"/>
        </w:tblPrEx>
        <w:trPr>
          <w:cantSplit/>
        </w:trPr>
        <w:tc>
          <w:tcPr>
            <w:tcW w:w="2153" w:type="pct"/>
          </w:tcPr>
          <w:p w:rsidR="0045391D" w:rsidRPr="00990D3B" w:rsidP="003A00F5" w14:paraId="62459E50" w14:textId="77777777">
            <w:pPr>
              <w:pStyle w:val="EQRTableText"/>
              <w:rPr>
                <w:i/>
                <w:iCs/>
              </w:rPr>
            </w:pPr>
          </w:p>
        </w:tc>
        <w:tc>
          <w:tcPr>
            <w:tcW w:w="1424" w:type="pct"/>
          </w:tcPr>
          <w:p w:rsidR="0045391D" w:rsidRPr="00990D3B" w:rsidP="003A00F5" w14:paraId="23D74EF6" w14:textId="77777777">
            <w:pPr>
              <w:pStyle w:val="EQRTableText"/>
            </w:pPr>
          </w:p>
        </w:tc>
        <w:tc>
          <w:tcPr>
            <w:tcW w:w="1424" w:type="pct"/>
          </w:tcPr>
          <w:p w:rsidR="0045391D" w:rsidRPr="00990D3B" w:rsidP="003A00F5" w14:paraId="15FCFC6D" w14:textId="77777777">
            <w:pPr>
              <w:pStyle w:val="EQRTableText"/>
              <w:rPr>
                <w:i/>
                <w:iCs/>
              </w:rPr>
            </w:pPr>
          </w:p>
        </w:tc>
      </w:tr>
      <w:tr w14:paraId="23DF901B" w14:textId="77777777" w:rsidTr="003A00F5">
        <w:tblPrEx>
          <w:tblW w:w="5000" w:type="pct"/>
          <w:tblLook w:val="04A0"/>
        </w:tblPrEx>
        <w:trPr>
          <w:cantSplit/>
        </w:trPr>
        <w:tc>
          <w:tcPr>
            <w:tcW w:w="2153" w:type="pct"/>
          </w:tcPr>
          <w:p w:rsidR="0045391D" w:rsidRPr="00990D3B" w:rsidP="003A00F5" w14:paraId="523264FA" w14:textId="77777777">
            <w:pPr>
              <w:pStyle w:val="EQRTableText"/>
              <w:rPr>
                <w:i/>
                <w:iCs/>
              </w:rPr>
            </w:pPr>
          </w:p>
        </w:tc>
        <w:tc>
          <w:tcPr>
            <w:tcW w:w="1424" w:type="pct"/>
          </w:tcPr>
          <w:p w:rsidR="0045391D" w:rsidRPr="00990D3B" w:rsidP="003A00F5" w14:paraId="7258B836" w14:textId="77777777">
            <w:pPr>
              <w:pStyle w:val="EQRTableText"/>
            </w:pPr>
          </w:p>
        </w:tc>
        <w:tc>
          <w:tcPr>
            <w:tcW w:w="1424" w:type="pct"/>
          </w:tcPr>
          <w:p w:rsidR="0045391D" w:rsidRPr="00990D3B" w:rsidP="003A00F5" w14:paraId="509FF750" w14:textId="77777777">
            <w:pPr>
              <w:pStyle w:val="EQRTableText"/>
              <w:rPr>
                <w:i/>
                <w:iCs/>
              </w:rPr>
            </w:pPr>
          </w:p>
        </w:tc>
      </w:tr>
      <w:tr w14:paraId="16D4B8DF" w14:textId="77777777" w:rsidTr="003A00F5">
        <w:tblPrEx>
          <w:tblW w:w="5000" w:type="pct"/>
          <w:tblLook w:val="04A0"/>
        </w:tblPrEx>
        <w:trPr>
          <w:cantSplit/>
        </w:trPr>
        <w:tc>
          <w:tcPr>
            <w:tcW w:w="5000" w:type="pct"/>
            <w:gridSpan w:val="3"/>
          </w:tcPr>
          <w:p w:rsidR="0045391D" w:rsidRPr="00990D3B" w:rsidP="003A00F5" w14:paraId="52A81FB1" w14:textId="77777777">
            <w:pPr>
              <w:pStyle w:val="EQRTableText"/>
              <w:rPr>
                <w:b/>
                <w:bCs/>
              </w:rPr>
            </w:pPr>
            <w:r w:rsidRPr="00990D3B">
              <w:rPr>
                <w:b/>
                <w:bCs/>
              </w:rPr>
              <w:t xml:space="preserve">Other- </w:t>
            </w:r>
          </w:p>
        </w:tc>
      </w:tr>
      <w:tr w14:paraId="2A47D3F8" w14:textId="77777777" w:rsidTr="003A00F5">
        <w:tblPrEx>
          <w:tblW w:w="5000" w:type="pct"/>
          <w:tblLook w:val="04A0"/>
        </w:tblPrEx>
        <w:trPr>
          <w:cantSplit/>
        </w:trPr>
        <w:tc>
          <w:tcPr>
            <w:tcW w:w="2153" w:type="pct"/>
          </w:tcPr>
          <w:p w:rsidR="0045391D" w:rsidRPr="00990D3B" w:rsidP="003A00F5" w14:paraId="79C5083E" w14:textId="77777777">
            <w:pPr>
              <w:pStyle w:val="EQRTableText"/>
              <w:rPr>
                <w:i/>
                <w:iCs/>
              </w:rPr>
            </w:pPr>
          </w:p>
        </w:tc>
        <w:tc>
          <w:tcPr>
            <w:tcW w:w="1424" w:type="pct"/>
          </w:tcPr>
          <w:p w:rsidR="0045391D" w:rsidRPr="00990D3B" w:rsidP="003A00F5" w14:paraId="16DA2C6F" w14:textId="77777777">
            <w:pPr>
              <w:pStyle w:val="EQRTableText"/>
            </w:pPr>
          </w:p>
        </w:tc>
        <w:tc>
          <w:tcPr>
            <w:tcW w:w="1424" w:type="pct"/>
          </w:tcPr>
          <w:p w:rsidR="0045391D" w:rsidRPr="00990D3B" w:rsidP="003A00F5" w14:paraId="4AE7662E" w14:textId="77777777">
            <w:pPr>
              <w:pStyle w:val="EQRTableText"/>
              <w:rPr>
                <w:i/>
                <w:iCs/>
              </w:rPr>
            </w:pPr>
          </w:p>
        </w:tc>
      </w:tr>
      <w:tr w14:paraId="28925258" w14:textId="77777777" w:rsidTr="003A00F5">
        <w:tblPrEx>
          <w:tblW w:w="5000" w:type="pct"/>
          <w:tblLook w:val="04A0"/>
        </w:tblPrEx>
        <w:trPr>
          <w:cantSplit/>
        </w:trPr>
        <w:tc>
          <w:tcPr>
            <w:tcW w:w="2153" w:type="pct"/>
          </w:tcPr>
          <w:p w:rsidR="0045391D" w:rsidRPr="00990D3B" w:rsidP="003A00F5" w14:paraId="209BA218" w14:textId="77777777">
            <w:pPr>
              <w:pStyle w:val="EQRTableText"/>
              <w:rPr>
                <w:i/>
                <w:iCs/>
              </w:rPr>
            </w:pPr>
          </w:p>
        </w:tc>
        <w:tc>
          <w:tcPr>
            <w:tcW w:w="1424" w:type="pct"/>
          </w:tcPr>
          <w:p w:rsidR="0045391D" w:rsidRPr="00990D3B" w:rsidP="003A00F5" w14:paraId="0DA633C3" w14:textId="77777777">
            <w:pPr>
              <w:pStyle w:val="EQRTableText"/>
            </w:pPr>
          </w:p>
        </w:tc>
        <w:tc>
          <w:tcPr>
            <w:tcW w:w="1424" w:type="pct"/>
          </w:tcPr>
          <w:p w:rsidR="0045391D" w:rsidRPr="00990D3B" w:rsidP="003A00F5" w14:paraId="3C1C666E" w14:textId="77777777">
            <w:pPr>
              <w:pStyle w:val="EQRTableText"/>
              <w:rPr>
                <w:i/>
                <w:iCs/>
              </w:rPr>
            </w:pPr>
          </w:p>
        </w:tc>
      </w:tr>
      <w:tr w14:paraId="35BB3F16" w14:textId="77777777" w:rsidTr="003A00F5">
        <w:tblPrEx>
          <w:tblW w:w="5000" w:type="pct"/>
          <w:tblLook w:val="04A0"/>
        </w:tblPrEx>
        <w:trPr>
          <w:cantSplit/>
        </w:trPr>
        <w:tc>
          <w:tcPr>
            <w:tcW w:w="2153" w:type="pct"/>
          </w:tcPr>
          <w:p w:rsidR="0045391D" w:rsidRPr="00990D3B" w:rsidP="003A00F5" w14:paraId="106DBF48" w14:textId="77777777">
            <w:pPr>
              <w:pStyle w:val="EQRTableText"/>
              <w:rPr>
                <w:i/>
                <w:iCs/>
              </w:rPr>
            </w:pPr>
          </w:p>
        </w:tc>
        <w:tc>
          <w:tcPr>
            <w:tcW w:w="1424" w:type="pct"/>
          </w:tcPr>
          <w:p w:rsidR="0045391D" w:rsidRPr="00990D3B" w:rsidP="003A00F5" w14:paraId="5D4FE14E" w14:textId="77777777">
            <w:pPr>
              <w:pStyle w:val="EQRTableText"/>
            </w:pPr>
          </w:p>
        </w:tc>
        <w:tc>
          <w:tcPr>
            <w:tcW w:w="1424" w:type="pct"/>
          </w:tcPr>
          <w:p w:rsidR="0045391D" w:rsidRPr="00990D3B" w:rsidP="003A00F5" w14:paraId="5C83575C" w14:textId="77777777">
            <w:pPr>
              <w:pStyle w:val="EQRTableText"/>
              <w:rPr>
                <w:i/>
                <w:iCs/>
              </w:rPr>
            </w:pPr>
          </w:p>
        </w:tc>
      </w:tr>
      <w:tr w14:paraId="4F085975" w14:textId="77777777" w:rsidTr="003A00F5">
        <w:tblPrEx>
          <w:tblW w:w="5000" w:type="pct"/>
          <w:tblLook w:val="04A0"/>
        </w:tblPrEx>
        <w:trPr>
          <w:cantSplit/>
        </w:trPr>
        <w:tc>
          <w:tcPr>
            <w:tcW w:w="2153" w:type="pct"/>
          </w:tcPr>
          <w:p w:rsidR="0045391D" w:rsidRPr="00990D3B" w:rsidP="003A00F5" w14:paraId="6B700096" w14:textId="77777777">
            <w:pPr>
              <w:pStyle w:val="EQRTableText"/>
              <w:rPr>
                <w:i/>
                <w:iCs/>
              </w:rPr>
            </w:pPr>
          </w:p>
        </w:tc>
        <w:tc>
          <w:tcPr>
            <w:tcW w:w="1424" w:type="pct"/>
          </w:tcPr>
          <w:p w:rsidR="0045391D" w:rsidRPr="00990D3B" w:rsidP="003A00F5" w14:paraId="42D37347" w14:textId="77777777">
            <w:pPr>
              <w:pStyle w:val="EQRTableText"/>
            </w:pPr>
          </w:p>
        </w:tc>
        <w:tc>
          <w:tcPr>
            <w:tcW w:w="1424" w:type="pct"/>
          </w:tcPr>
          <w:p w:rsidR="0045391D" w:rsidRPr="00990D3B" w:rsidP="003A00F5" w14:paraId="44FA3D24" w14:textId="77777777">
            <w:pPr>
              <w:pStyle w:val="EQRTableText"/>
              <w:rPr>
                <w:i/>
                <w:iCs/>
              </w:rPr>
            </w:pPr>
          </w:p>
        </w:tc>
      </w:tr>
    </w:tbl>
    <w:p w:rsidR="0045391D" w:rsidRPr="00990D3B" w:rsidP="00B5252D" w14:paraId="5116E9F9" w14:textId="77777777">
      <w:pPr>
        <w:pStyle w:val="ParagraphContinued"/>
      </w:pPr>
    </w:p>
    <w:p w:rsidR="00C76D12" w:rsidRPr="00990D3B" w14:paraId="49E403EB" w14:textId="132F7294">
      <w:pPr>
        <w:spacing w:line="240" w:lineRule="auto"/>
        <w:rPr>
          <w:rFonts w:ascii="Arial" w:eastAsia="Calibri" w:hAnsi="Arial"/>
          <w:sz w:val="19"/>
          <w:szCs w:val="19"/>
        </w:rPr>
      </w:pPr>
      <w:r w:rsidRPr="00990D3B">
        <w:rPr>
          <w:sz w:val="19"/>
          <w:szCs w:val="19"/>
        </w:rPr>
        <w:br w:type="page"/>
      </w:r>
    </w:p>
    <w:p w:rsidR="0045391D" w:rsidRPr="00990D3B" w:rsidP="00666AC0" w14:paraId="4B772C68" w14:textId="77777777">
      <w:pPr>
        <w:pStyle w:val="EQRMarkforExhibitWORKSHEET"/>
      </w:pPr>
      <w:bookmarkStart w:id="1103" w:name="WS11n5"/>
      <w:bookmarkStart w:id="1104" w:name="_Toc201751570"/>
      <w:bookmarkEnd w:id="1103"/>
      <w:r w:rsidRPr="00990D3B">
        <w:t>Worksheet 11.5. Evaluation Timeline</w:t>
      </w:r>
      <w:bookmarkEnd w:id="1104"/>
    </w:p>
    <w:p w:rsidR="0045391D" w:rsidRPr="00990D3B" w:rsidP="003A00F5" w14:paraId="35EF6A0C" w14:textId="77777777">
      <w:pPr>
        <w:pStyle w:val="EQRNormalSSWORKSHEET"/>
        <w:rPr>
          <w:b/>
          <w:bCs/>
        </w:rPr>
      </w:pPr>
      <w:r w:rsidRPr="00990D3B">
        <w:rPr>
          <w:b/>
          <w:bCs/>
        </w:rPr>
        <w:t>Evaluation Type</w:t>
      </w:r>
      <w:r w:rsidRPr="00990D3B">
        <w:rPr>
          <w:b/>
          <w:bCs/>
        </w:rPr>
        <w:t>:  [  ]</w:t>
      </w:r>
      <w:r w:rsidRPr="00990D3B">
        <w:rPr>
          <w:b/>
          <w:bCs/>
        </w:rPr>
        <w:t xml:space="preserve">  </w:t>
      </w:r>
      <w:r w:rsidRPr="00990D3B">
        <w:rPr>
          <w:b/>
          <w:bCs/>
        </w:rPr>
        <w:t>QS  [  ]</w:t>
      </w:r>
      <w:r w:rsidRPr="00990D3B">
        <w:rPr>
          <w:b/>
          <w:bCs/>
        </w:rPr>
        <w:t xml:space="preserve">  SDP</w:t>
      </w:r>
      <w:r w:rsidRPr="00990D3B">
        <w:rPr>
          <w:b/>
          <w:bCs/>
        </w:rPr>
        <w:t xml:space="preserve">   [  ]</w:t>
      </w:r>
      <w:r w:rsidRPr="00990D3B">
        <w:rPr>
          <w:b/>
          <w:bCs/>
        </w:rPr>
        <w:t xml:space="preserve">  ILOS</w:t>
      </w:r>
    </w:p>
    <w:p w:rsidR="0045391D" w:rsidRPr="00990D3B" w:rsidP="003A00F5" w14:paraId="3CC42726" w14:textId="77777777">
      <w:pPr>
        <w:pStyle w:val="EQRNormalSSWORKSHEET"/>
      </w:pPr>
      <w:r w:rsidRPr="00990D3B">
        <w:rPr>
          <w:rFonts w:cs="Arial"/>
          <w:b/>
        </w:rPr>
        <w:t>Instructions.</w:t>
      </w:r>
      <w:r w:rsidRPr="00990D3B">
        <w:rPr>
          <w:b/>
        </w:rPr>
        <w:t xml:space="preserve"> </w:t>
      </w:r>
      <w:r w:rsidRPr="00990D3B">
        <w:t>Use this worksheet to create a timeline for each evaluation activity. A well-structured timeline helps ensure the evaluation proceeds systematically and stays on track. The timeline should outline key milestones and activities, such as partner engagement, data collection, data cleaning, analysis, and report drafting. Add rows as needed. For each evaluation activity, identify,</w:t>
      </w:r>
    </w:p>
    <w:p w:rsidR="0045391D" w:rsidRPr="00990D3B" w:rsidP="00FA4EE6" w14:paraId="4C1EC002" w14:textId="77777777">
      <w:pPr>
        <w:pStyle w:val="EQRNormalSSWSbullet"/>
      </w:pPr>
      <w:r w:rsidRPr="00990D3B">
        <w:rPr>
          <w:b/>
        </w:rPr>
        <w:t xml:space="preserve">Responsible Parties </w:t>
      </w:r>
      <w:r w:rsidRPr="00990D3B">
        <w:t>– List the individuals or teams accountable for completing each activity (e.g., EQRO, Medicaid agency, MCPs, evaluation team).</w:t>
      </w:r>
    </w:p>
    <w:p w:rsidR="0045391D" w:rsidRPr="00990D3B" w:rsidP="00FA4EE6" w14:paraId="52B8F972" w14:textId="77777777">
      <w:pPr>
        <w:pStyle w:val="EQRNormalSSWSbullet"/>
      </w:pPr>
      <w:r w:rsidRPr="00990D3B">
        <w:rPr>
          <w:b/>
        </w:rPr>
        <w:t xml:space="preserve">Start </w:t>
      </w:r>
      <w:r w:rsidRPr="00990D3B">
        <w:t>– Specify when the activity is scheduled to begin.</w:t>
      </w:r>
    </w:p>
    <w:p w:rsidR="0045391D" w:rsidRPr="00990D3B" w:rsidP="00FA4EE6" w14:paraId="1D4679C3" w14:textId="77777777">
      <w:pPr>
        <w:pStyle w:val="EQRNormalSSWSbullet"/>
      </w:pPr>
      <w:r w:rsidRPr="00990D3B">
        <w:rPr>
          <w:b/>
        </w:rPr>
        <w:t xml:space="preserve">End </w:t>
      </w:r>
      <w:r w:rsidRPr="00990D3B">
        <w:t xml:space="preserve">– Indicate when the activity is expected to be completed. </w:t>
      </w:r>
    </w:p>
    <w:p w:rsidR="0045391D" w:rsidRPr="00990D3B" w:rsidP="00FA4EE6" w14:paraId="33B9DE2B" w14:textId="77777777">
      <w:pPr>
        <w:pStyle w:val="EQRNormalSSWSbullet"/>
      </w:pPr>
      <w:r w:rsidRPr="00990D3B">
        <w:rPr>
          <w:b/>
        </w:rPr>
        <w:t xml:space="preserve">Key Milestones or Deliverables </w:t>
      </w:r>
      <w:r w:rsidRPr="00990D3B">
        <w:t>– Document critical checkpoints or outputs for each activity (e.g., completion of data collection, submission of interim report).</w:t>
      </w:r>
    </w:p>
    <w:p w:rsidR="0045391D" w:rsidRPr="00990D3B" w:rsidP="00FA4EE6" w14:paraId="7C8CF787" w14:textId="77777777">
      <w:pPr>
        <w:pStyle w:val="EQRNormalSSWSbullet"/>
      </w:pPr>
      <w:r w:rsidRPr="00990D3B">
        <w:rPr>
          <w:b/>
        </w:rPr>
        <w:t xml:space="preserve">Dependencies </w:t>
      </w:r>
      <w:r w:rsidRPr="00990D3B">
        <w:t>– Note any activities that must be completed before another can begin (e.g., data analysis cannot start until data collection is finalized).</w:t>
      </w:r>
    </w:p>
    <w:p w:rsidR="0045391D" w:rsidRPr="00990D3B" w:rsidP="00FA4EE6" w14:paraId="4700E310" w14:textId="77777777">
      <w:pPr>
        <w:pStyle w:val="EQRNormalSSWSbullet"/>
      </w:pPr>
      <w:r w:rsidRPr="00990D3B">
        <w:rPr>
          <w:b/>
        </w:rPr>
        <w:t xml:space="preserve">Comments </w:t>
      </w:r>
      <w:r w:rsidRPr="00990D3B">
        <w:t>– Include additional notes, such as potential challenges or contingency plans.</w:t>
      </w:r>
    </w:p>
    <w:p w:rsidR="0045391D" w:rsidRPr="00990D3B" w:rsidP="003A00F5" w14:paraId="0813C1BF" w14:textId="77777777">
      <w:pPr>
        <w:pStyle w:val="EQRNormalSSWORKSHEET"/>
      </w:pPr>
      <w:r w:rsidRPr="00990D3B">
        <w:t>As you build out the timeline, consider the following questions:</w:t>
      </w:r>
    </w:p>
    <w:p w:rsidR="0045391D" w:rsidRPr="00990D3B" w:rsidP="00FA4EE6" w14:paraId="78FC6332" w14:textId="77777777">
      <w:pPr>
        <w:pStyle w:val="EQRNormalSSWSbullet"/>
      </w:pPr>
      <w:r w:rsidRPr="00990D3B">
        <w:t xml:space="preserve">When is the evaluation report due to CMS? </w:t>
      </w:r>
    </w:p>
    <w:p w:rsidR="0045391D" w:rsidRPr="00990D3B" w:rsidP="00FA4EE6" w14:paraId="057678D1" w14:textId="77777777">
      <w:pPr>
        <w:pStyle w:val="EQRNormalSSWSbullet"/>
      </w:pPr>
      <w:r w:rsidRPr="00990D3B">
        <w:t xml:space="preserve">What format does the evaluation report need to be in? </w:t>
      </w:r>
    </w:p>
    <w:p w:rsidR="0045391D" w:rsidRPr="00990D3B" w:rsidP="00FA4EE6" w14:paraId="2D05A2F3" w14:textId="77777777">
      <w:pPr>
        <w:pStyle w:val="EQRNormalSSWSbullet"/>
        <w:rPr>
          <w:rFonts w:cstheme="majorHAnsi"/>
          <w:bCs/>
        </w:rPr>
      </w:pPr>
      <w:r w:rsidRPr="00990D3B">
        <w:rPr>
          <w:rFonts w:cstheme="majorHAnsi"/>
          <w:bCs/>
        </w:rPr>
        <w:t>Who needs to review the final report before it is due to CMS? How long do they need to review?</w:t>
      </w:r>
    </w:p>
    <w:p w:rsidR="0045391D" w:rsidRPr="00990D3B" w:rsidP="00FA4EE6" w14:paraId="4C490085" w14:textId="77777777">
      <w:pPr>
        <w:pStyle w:val="EQRNormalSSWSbullet"/>
        <w:rPr>
          <w:rFonts w:cstheme="majorHAnsi"/>
          <w:bCs/>
        </w:rPr>
      </w:pPr>
      <w:r w:rsidRPr="00990D3B">
        <w:rPr>
          <w:rFonts w:cstheme="majorHAnsi"/>
          <w:bCs/>
        </w:rPr>
        <w:t xml:space="preserve">Who is part of the QA process for each evaluation activity? How long do they need to complete QA?  </w:t>
      </w:r>
    </w:p>
    <w:p w:rsidR="0045391D" w:rsidRPr="00990D3B" w:rsidP="00FA4EE6" w14:paraId="27A5C9A8" w14:textId="77777777">
      <w:pPr>
        <w:pStyle w:val="EQRNormalSSWSbullet"/>
        <w:rPr>
          <w:rFonts w:cstheme="majorHAnsi"/>
          <w:bCs/>
        </w:rPr>
      </w:pPr>
      <w:r w:rsidRPr="00990D3B">
        <w:rPr>
          <w:rFonts w:cstheme="majorHAnsi"/>
          <w:bCs/>
        </w:rPr>
        <w:t xml:space="preserve">What major events or activities must be considered when planning the evaluation (e.g., holidays, out-of-office time for key participants, competing priorities)? </w:t>
      </w:r>
    </w:p>
    <w:p w:rsidR="0045391D" w:rsidRPr="00990D3B" w:rsidP="003A00F5" w14:paraId="1E35F59E" w14:textId="77777777">
      <w:pPr>
        <w:pStyle w:val="EQRNormalSSWORKSHEET"/>
      </w:pPr>
      <w:r w:rsidRPr="00990D3B">
        <w:t xml:space="preserve">Acronyms: CMS = Centers for Medicare and Medicaid Services; CY = Calendar Year; EQRO = External Quality Review Organization; ILOS = In Lieu of Services and Settings; MCP = Managed Care Plan; QA = Quality Assurance; QS = Quality Strategy; SDP = State Directed Payment; SMA = State Medicaid Agency. </w:t>
      </w:r>
    </w:p>
    <w:tbl>
      <w:tblPr>
        <w:tblStyle w:val="GridTable4-Accent51"/>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0"/>
        <w:gridCol w:w="2103"/>
        <w:gridCol w:w="1263"/>
        <w:gridCol w:w="1373"/>
        <w:gridCol w:w="2371"/>
        <w:gridCol w:w="2138"/>
        <w:gridCol w:w="1860"/>
      </w:tblGrid>
      <w:tr w14:paraId="3BB7A870" w14:textId="77777777" w:rsidTr="00666AC0">
        <w:tblPrEx>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53"/>
          <w:tblHeader/>
        </w:trPr>
        <w:tc>
          <w:tcPr>
            <w:tcW w:w="5000" w:type="pct"/>
            <w:gridSpan w:val="7"/>
            <w:shd w:val="clear" w:color="auto" w:fill="auto"/>
            <w:vAlign w:val="bottom"/>
          </w:tcPr>
          <w:p w:rsidR="0045391D" w:rsidRPr="00990D3B" w:rsidP="00FA4EE6" w14:paraId="171C8219" w14:textId="77777777">
            <w:pPr>
              <w:pStyle w:val="EQRTableHeaderLeft"/>
              <w:rPr>
                <w:b/>
                <w:bCs w:val="0"/>
                <w:color w:val="auto"/>
              </w:rPr>
            </w:pPr>
            <w:r w:rsidRPr="00990D3B">
              <w:rPr>
                <w:b/>
                <w:bCs w:val="0"/>
                <w:color w:val="auto"/>
              </w:rPr>
              <w:t xml:space="preserve">Title of QS/SDP/ILOS: </w:t>
            </w:r>
          </w:p>
        </w:tc>
      </w:tr>
      <w:tr w14:paraId="08E8937B" w14:textId="77777777" w:rsidTr="00666AC0">
        <w:tblPrEx>
          <w:tblW w:w="5057" w:type="pct"/>
          <w:tblLayout w:type="fixed"/>
          <w:tblLook w:val="04A0"/>
        </w:tblPrEx>
        <w:trPr>
          <w:trHeight w:val="353"/>
          <w:tblHeader/>
        </w:trPr>
        <w:tc>
          <w:tcPr>
            <w:tcW w:w="760" w:type="pct"/>
            <w:tcBorders>
              <w:top w:val="single" w:sz="4" w:space="0" w:color="auto"/>
              <w:left w:val="single" w:sz="4" w:space="0" w:color="auto"/>
              <w:bottom w:val="single" w:sz="4" w:space="0" w:color="auto"/>
              <w:right w:val="single" w:sz="4" w:space="0" w:color="auto"/>
            </w:tcBorders>
            <w:shd w:val="clear" w:color="auto" w:fill="auto"/>
            <w:vAlign w:val="bottom"/>
          </w:tcPr>
          <w:p w:rsidR="0045391D" w:rsidRPr="00990D3B" w:rsidP="00FA4EE6" w14:paraId="0FC5A2BD" w14:textId="77777777">
            <w:pPr>
              <w:pStyle w:val="EQRTableHeaderLeft"/>
              <w:rPr>
                <w:b/>
                <w:bCs w:val="0"/>
                <w:color w:val="auto"/>
              </w:rPr>
            </w:pPr>
            <w:r w:rsidRPr="00990D3B">
              <w:rPr>
                <w:b/>
                <w:bCs w:val="0"/>
                <w:color w:val="auto"/>
              </w:rPr>
              <w:t>Evaluation Activity</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tcPr>
          <w:p w:rsidR="0045391D" w:rsidRPr="00990D3B" w:rsidP="00FA4EE6" w14:paraId="2C00DC2B" w14:textId="77777777">
            <w:pPr>
              <w:pStyle w:val="EQRTableHeaderCenter"/>
              <w:rPr>
                <w:b/>
                <w:bCs w:val="0"/>
                <w:color w:val="auto"/>
              </w:rPr>
            </w:pPr>
            <w:r w:rsidRPr="00990D3B">
              <w:rPr>
                <w:b/>
                <w:bCs w:val="0"/>
                <w:color w:val="auto"/>
              </w:rPr>
              <w:t>Responsible Parties</w:t>
            </w:r>
          </w:p>
        </w:tc>
        <w:tc>
          <w:tcPr>
            <w:tcW w:w="482" w:type="pct"/>
            <w:tcBorders>
              <w:top w:val="single" w:sz="4" w:space="0" w:color="auto"/>
              <w:left w:val="single" w:sz="4" w:space="0" w:color="auto"/>
              <w:bottom w:val="single" w:sz="4" w:space="0" w:color="auto"/>
              <w:right w:val="single" w:sz="4" w:space="0" w:color="auto"/>
            </w:tcBorders>
            <w:shd w:val="clear" w:color="auto" w:fill="auto"/>
            <w:vAlign w:val="bottom"/>
          </w:tcPr>
          <w:p w:rsidR="0045391D" w:rsidRPr="00990D3B" w:rsidP="00FA4EE6" w14:paraId="380B173E" w14:textId="77777777">
            <w:pPr>
              <w:pStyle w:val="EQRTableHeaderCenter"/>
              <w:rPr>
                <w:b/>
                <w:bCs w:val="0"/>
                <w:color w:val="auto"/>
              </w:rPr>
            </w:pPr>
            <w:r w:rsidRPr="00990D3B">
              <w:rPr>
                <w:b/>
                <w:bCs w:val="0"/>
                <w:color w:val="auto"/>
              </w:rPr>
              <w:t xml:space="preserve">Start </w:t>
            </w:r>
          </w:p>
        </w:tc>
        <w:tc>
          <w:tcPr>
            <w:tcW w:w="524" w:type="pct"/>
            <w:tcBorders>
              <w:top w:val="single" w:sz="4" w:space="0" w:color="auto"/>
              <w:left w:val="single" w:sz="4" w:space="0" w:color="auto"/>
              <w:bottom w:val="single" w:sz="4" w:space="0" w:color="auto"/>
              <w:right w:val="single" w:sz="4" w:space="0" w:color="auto"/>
            </w:tcBorders>
            <w:shd w:val="clear" w:color="auto" w:fill="auto"/>
            <w:vAlign w:val="bottom"/>
          </w:tcPr>
          <w:p w:rsidR="0045391D" w:rsidRPr="00990D3B" w:rsidP="00FA4EE6" w14:paraId="1C877327" w14:textId="77777777">
            <w:pPr>
              <w:pStyle w:val="EQRTableHeaderCenter"/>
              <w:rPr>
                <w:b/>
                <w:bCs w:val="0"/>
                <w:color w:val="auto"/>
              </w:rPr>
            </w:pPr>
            <w:r w:rsidRPr="00990D3B">
              <w:rPr>
                <w:b/>
                <w:bCs w:val="0"/>
                <w:color w:val="auto"/>
              </w:rPr>
              <w:t xml:space="preserve">End </w:t>
            </w:r>
          </w:p>
        </w:tc>
        <w:tc>
          <w:tcPr>
            <w:tcW w:w="905" w:type="pct"/>
            <w:tcBorders>
              <w:top w:val="single" w:sz="4" w:space="0" w:color="auto"/>
              <w:left w:val="single" w:sz="4" w:space="0" w:color="auto"/>
              <w:bottom w:val="single" w:sz="4" w:space="0" w:color="auto"/>
              <w:right w:val="single" w:sz="4" w:space="0" w:color="auto"/>
            </w:tcBorders>
            <w:shd w:val="clear" w:color="auto" w:fill="auto"/>
            <w:vAlign w:val="bottom"/>
          </w:tcPr>
          <w:p w:rsidR="0045391D" w:rsidRPr="00990D3B" w:rsidP="00FA4EE6" w14:paraId="1359598A" w14:textId="77777777">
            <w:pPr>
              <w:pStyle w:val="EQRTableHeaderCenter"/>
              <w:rPr>
                <w:b/>
                <w:bCs w:val="0"/>
                <w:color w:val="auto"/>
              </w:rPr>
            </w:pPr>
            <w:r w:rsidRPr="00990D3B">
              <w:rPr>
                <w:b/>
                <w:bCs w:val="0"/>
                <w:color w:val="auto"/>
              </w:rPr>
              <w:t>Key Milestone(s) or Deliverable(s)</w:t>
            </w:r>
          </w:p>
        </w:tc>
        <w:tc>
          <w:tcPr>
            <w:tcW w:w="816" w:type="pct"/>
            <w:tcBorders>
              <w:top w:val="single" w:sz="4" w:space="0" w:color="auto"/>
              <w:left w:val="single" w:sz="4" w:space="0" w:color="auto"/>
              <w:bottom w:val="single" w:sz="4" w:space="0" w:color="auto"/>
              <w:right w:val="single" w:sz="4" w:space="0" w:color="auto"/>
            </w:tcBorders>
            <w:shd w:val="clear" w:color="auto" w:fill="auto"/>
            <w:vAlign w:val="bottom"/>
          </w:tcPr>
          <w:p w:rsidR="0045391D" w:rsidRPr="00990D3B" w:rsidP="00FA4EE6" w14:paraId="65CCC9B7" w14:textId="77777777">
            <w:pPr>
              <w:pStyle w:val="EQRTableHeaderCenter"/>
              <w:rPr>
                <w:b/>
                <w:bCs w:val="0"/>
                <w:color w:val="auto"/>
              </w:rPr>
            </w:pPr>
            <w:r w:rsidRPr="00990D3B">
              <w:rPr>
                <w:b/>
                <w:bCs w:val="0"/>
                <w:color w:val="auto"/>
              </w:rPr>
              <w:t>Dependencies</w:t>
            </w:r>
          </w:p>
        </w:tc>
        <w:tc>
          <w:tcPr>
            <w:tcW w:w="707" w:type="pct"/>
            <w:tcBorders>
              <w:top w:val="single" w:sz="4" w:space="0" w:color="auto"/>
              <w:left w:val="single" w:sz="4" w:space="0" w:color="auto"/>
              <w:bottom w:val="single" w:sz="4" w:space="0" w:color="auto"/>
              <w:right w:val="single" w:sz="4" w:space="0" w:color="auto"/>
            </w:tcBorders>
            <w:shd w:val="clear" w:color="auto" w:fill="auto"/>
            <w:vAlign w:val="bottom"/>
          </w:tcPr>
          <w:p w:rsidR="0045391D" w:rsidRPr="00990D3B" w:rsidP="00FA4EE6" w14:paraId="7C634F5D" w14:textId="77777777">
            <w:pPr>
              <w:pStyle w:val="EQRTableHeaderCenter"/>
              <w:rPr>
                <w:b/>
                <w:bCs w:val="0"/>
                <w:color w:val="auto"/>
              </w:rPr>
            </w:pPr>
            <w:r w:rsidRPr="00990D3B">
              <w:rPr>
                <w:b/>
                <w:bCs w:val="0"/>
                <w:color w:val="auto"/>
              </w:rPr>
              <w:t>Comments</w:t>
            </w:r>
          </w:p>
        </w:tc>
      </w:tr>
      <w:tr w14:paraId="7259A4A0" w14:textId="77777777" w:rsidTr="00666AC0">
        <w:tblPrEx>
          <w:tblW w:w="5057" w:type="pct"/>
          <w:tblLayout w:type="fixed"/>
          <w:tblLook w:val="04A0"/>
        </w:tblPrEx>
        <w:trPr>
          <w:trHeight w:val="353"/>
          <w:tblHeader/>
        </w:trPr>
        <w:tc>
          <w:tcPr>
            <w:tcW w:w="760" w:type="pct"/>
            <w:shd w:val="clear" w:color="auto" w:fill="auto"/>
          </w:tcPr>
          <w:p w:rsidR="0045391D" w:rsidRPr="00990D3B" w:rsidP="00FA4EE6" w14:paraId="5D6E905A" w14:textId="77777777">
            <w:pPr>
              <w:pStyle w:val="EQRTableText"/>
              <w:rPr>
                <w:b w:val="0"/>
                <w:bCs w:val="0"/>
              </w:rPr>
            </w:pPr>
          </w:p>
        </w:tc>
        <w:tc>
          <w:tcPr>
            <w:tcW w:w="803" w:type="pct"/>
            <w:shd w:val="clear" w:color="auto" w:fill="auto"/>
          </w:tcPr>
          <w:p w:rsidR="0045391D" w:rsidRPr="00990D3B" w:rsidP="00FA4EE6" w14:paraId="75A4AF26" w14:textId="77777777">
            <w:pPr>
              <w:pStyle w:val="EQRTableText"/>
              <w:rPr>
                <w:b w:val="0"/>
                <w:bCs w:val="0"/>
              </w:rPr>
            </w:pPr>
          </w:p>
        </w:tc>
        <w:tc>
          <w:tcPr>
            <w:tcW w:w="482" w:type="pct"/>
            <w:shd w:val="clear" w:color="auto" w:fill="auto"/>
          </w:tcPr>
          <w:p w:rsidR="0045391D" w:rsidRPr="00990D3B" w:rsidP="00FA4EE6" w14:paraId="49E03892" w14:textId="77777777">
            <w:pPr>
              <w:pStyle w:val="EQRTableText"/>
              <w:rPr>
                <w:b w:val="0"/>
                <w:bCs w:val="0"/>
              </w:rPr>
            </w:pPr>
          </w:p>
        </w:tc>
        <w:tc>
          <w:tcPr>
            <w:tcW w:w="524" w:type="pct"/>
            <w:shd w:val="clear" w:color="auto" w:fill="auto"/>
          </w:tcPr>
          <w:p w:rsidR="0045391D" w:rsidRPr="00990D3B" w:rsidP="00FA4EE6" w14:paraId="39E704F1" w14:textId="77777777">
            <w:pPr>
              <w:pStyle w:val="EQRTableText"/>
              <w:rPr>
                <w:b w:val="0"/>
                <w:bCs w:val="0"/>
              </w:rPr>
            </w:pPr>
          </w:p>
        </w:tc>
        <w:tc>
          <w:tcPr>
            <w:tcW w:w="905" w:type="pct"/>
            <w:shd w:val="clear" w:color="auto" w:fill="auto"/>
          </w:tcPr>
          <w:p w:rsidR="0045391D" w:rsidRPr="00990D3B" w:rsidP="00FA4EE6" w14:paraId="6EB56B76" w14:textId="77777777">
            <w:pPr>
              <w:pStyle w:val="EQRTableText"/>
              <w:rPr>
                <w:b w:val="0"/>
                <w:bCs w:val="0"/>
              </w:rPr>
            </w:pPr>
          </w:p>
        </w:tc>
        <w:tc>
          <w:tcPr>
            <w:tcW w:w="816" w:type="pct"/>
            <w:shd w:val="clear" w:color="auto" w:fill="auto"/>
          </w:tcPr>
          <w:p w:rsidR="0045391D" w:rsidRPr="00990D3B" w:rsidP="00FA4EE6" w14:paraId="40E88CDF" w14:textId="77777777">
            <w:pPr>
              <w:pStyle w:val="EQRTableText"/>
              <w:rPr>
                <w:b w:val="0"/>
                <w:bCs w:val="0"/>
              </w:rPr>
            </w:pPr>
          </w:p>
        </w:tc>
        <w:tc>
          <w:tcPr>
            <w:tcW w:w="707" w:type="pct"/>
            <w:shd w:val="clear" w:color="auto" w:fill="auto"/>
          </w:tcPr>
          <w:p w:rsidR="0045391D" w:rsidRPr="00990D3B" w:rsidP="00FA4EE6" w14:paraId="34711C5B" w14:textId="77777777">
            <w:pPr>
              <w:pStyle w:val="EQRTableText"/>
              <w:rPr>
                <w:b w:val="0"/>
                <w:bCs w:val="0"/>
              </w:rPr>
            </w:pPr>
          </w:p>
        </w:tc>
      </w:tr>
      <w:tr w14:paraId="67B1E5A8" w14:textId="77777777" w:rsidTr="00666AC0">
        <w:tblPrEx>
          <w:tblW w:w="5057" w:type="pct"/>
          <w:tblLayout w:type="fixed"/>
          <w:tblLook w:val="04A0"/>
        </w:tblPrEx>
        <w:trPr>
          <w:trHeight w:val="353"/>
          <w:tblHeader/>
        </w:trPr>
        <w:tc>
          <w:tcPr>
            <w:tcW w:w="760" w:type="pct"/>
            <w:shd w:val="clear" w:color="auto" w:fill="auto"/>
          </w:tcPr>
          <w:p w:rsidR="0045391D" w:rsidRPr="00990D3B" w:rsidP="00FA4EE6" w14:paraId="740D7898" w14:textId="77777777">
            <w:pPr>
              <w:pStyle w:val="EQRTableText"/>
              <w:rPr>
                <w:b w:val="0"/>
                <w:bCs w:val="0"/>
              </w:rPr>
            </w:pPr>
          </w:p>
        </w:tc>
        <w:tc>
          <w:tcPr>
            <w:tcW w:w="803" w:type="pct"/>
            <w:shd w:val="clear" w:color="auto" w:fill="auto"/>
          </w:tcPr>
          <w:p w:rsidR="0045391D" w:rsidRPr="00990D3B" w:rsidP="00FA4EE6" w14:paraId="43D863C4" w14:textId="77777777">
            <w:pPr>
              <w:pStyle w:val="EQRTableText"/>
              <w:rPr>
                <w:b w:val="0"/>
                <w:bCs w:val="0"/>
              </w:rPr>
            </w:pPr>
          </w:p>
        </w:tc>
        <w:tc>
          <w:tcPr>
            <w:tcW w:w="482" w:type="pct"/>
            <w:shd w:val="clear" w:color="auto" w:fill="auto"/>
          </w:tcPr>
          <w:p w:rsidR="0045391D" w:rsidRPr="00990D3B" w:rsidP="00FA4EE6" w14:paraId="5F783C7B" w14:textId="77777777">
            <w:pPr>
              <w:pStyle w:val="EQRTableText"/>
              <w:rPr>
                <w:b w:val="0"/>
                <w:bCs w:val="0"/>
              </w:rPr>
            </w:pPr>
          </w:p>
        </w:tc>
        <w:tc>
          <w:tcPr>
            <w:tcW w:w="524" w:type="pct"/>
            <w:shd w:val="clear" w:color="auto" w:fill="auto"/>
          </w:tcPr>
          <w:p w:rsidR="0045391D" w:rsidRPr="00990D3B" w:rsidP="00FA4EE6" w14:paraId="22B51234" w14:textId="77777777">
            <w:pPr>
              <w:pStyle w:val="EQRTableText"/>
              <w:rPr>
                <w:b w:val="0"/>
                <w:bCs w:val="0"/>
              </w:rPr>
            </w:pPr>
          </w:p>
        </w:tc>
        <w:tc>
          <w:tcPr>
            <w:tcW w:w="905" w:type="pct"/>
            <w:shd w:val="clear" w:color="auto" w:fill="auto"/>
          </w:tcPr>
          <w:p w:rsidR="0045391D" w:rsidRPr="00990D3B" w:rsidP="00FA4EE6" w14:paraId="17880E5D" w14:textId="77777777">
            <w:pPr>
              <w:pStyle w:val="EQRTableText"/>
              <w:rPr>
                <w:b w:val="0"/>
                <w:bCs w:val="0"/>
              </w:rPr>
            </w:pPr>
          </w:p>
        </w:tc>
        <w:tc>
          <w:tcPr>
            <w:tcW w:w="816" w:type="pct"/>
            <w:shd w:val="clear" w:color="auto" w:fill="auto"/>
          </w:tcPr>
          <w:p w:rsidR="0045391D" w:rsidRPr="00990D3B" w:rsidP="00FA4EE6" w14:paraId="599BC579" w14:textId="77777777">
            <w:pPr>
              <w:pStyle w:val="EQRTableText"/>
              <w:rPr>
                <w:b w:val="0"/>
                <w:bCs w:val="0"/>
              </w:rPr>
            </w:pPr>
          </w:p>
        </w:tc>
        <w:tc>
          <w:tcPr>
            <w:tcW w:w="707" w:type="pct"/>
            <w:shd w:val="clear" w:color="auto" w:fill="auto"/>
          </w:tcPr>
          <w:p w:rsidR="0045391D" w:rsidRPr="00990D3B" w:rsidP="00FA4EE6" w14:paraId="47F39BEE" w14:textId="77777777">
            <w:pPr>
              <w:pStyle w:val="EQRTableText"/>
              <w:rPr>
                <w:b w:val="0"/>
                <w:bCs w:val="0"/>
              </w:rPr>
            </w:pPr>
          </w:p>
        </w:tc>
      </w:tr>
      <w:tr w14:paraId="371CF636" w14:textId="77777777" w:rsidTr="00666AC0">
        <w:tblPrEx>
          <w:tblW w:w="5057" w:type="pct"/>
          <w:tblLayout w:type="fixed"/>
          <w:tblLook w:val="04A0"/>
        </w:tblPrEx>
        <w:trPr>
          <w:trHeight w:val="353"/>
          <w:tblHeader/>
        </w:trPr>
        <w:tc>
          <w:tcPr>
            <w:tcW w:w="760" w:type="pct"/>
            <w:shd w:val="clear" w:color="auto" w:fill="auto"/>
          </w:tcPr>
          <w:p w:rsidR="0045391D" w:rsidRPr="00990D3B" w:rsidP="00FA4EE6" w14:paraId="2EC442F6" w14:textId="77777777">
            <w:pPr>
              <w:pStyle w:val="EQRTableText"/>
              <w:rPr>
                <w:b w:val="0"/>
                <w:bCs w:val="0"/>
              </w:rPr>
            </w:pPr>
          </w:p>
        </w:tc>
        <w:tc>
          <w:tcPr>
            <w:tcW w:w="803" w:type="pct"/>
            <w:shd w:val="clear" w:color="auto" w:fill="auto"/>
          </w:tcPr>
          <w:p w:rsidR="0045391D" w:rsidRPr="00990D3B" w:rsidP="00FA4EE6" w14:paraId="3A49A48B" w14:textId="77777777">
            <w:pPr>
              <w:pStyle w:val="EQRTableText"/>
              <w:rPr>
                <w:b w:val="0"/>
                <w:bCs w:val="0"/>
              </w:rPr>
            </w:pPr>
          </w:p>
        </w:tc>
        <w:tc>
          <w:tcPr>
            <w:tcW w:w="482" w:type="pct"/>
            <w:shd w:val="clear" w:color="auto" w:fill="auto"/>
          </w:tcPr>
          <w:p w:rsidR="0045391D" w:rsidRPr="00990D3B" w:rsidP="00FA4EE6" w14:paraId="363A45C8" w14:textId="77777777">
            <w:pPr>
              <w:pStyle w:val="EQRTableText"/>
              <w:rPr>
                <w:b w:val="0"/>
                <w:bCs w:val="0"/>
              </w:rPr>
            </w:pPr>
          </w:p>
        </w:tc>
        <w:tc>
          <w:tcPr>
            <w:tcW w:w="524" w:type="pct"/>
            <w:shd w:val="clear" w:color="auto" w:fill="auto"/>
          </w:tcPr>
          <w:p w:rsidR="0045391D" w:rsidRPr="00990D3B" w:rsidP="00FA4EE6" w14:paraId="7493E8F6" w14:textId="77777777">
            <w:pPr>
              <w:pStyle w:val="EQRTableText"/>
              <w:rPr>
                <w:b w:val="0"/>
                <w:bCs w:val="0"/>
              </w:rPr>
            </w:pPr>
          </w:p>
        </w:tc>
        <w:tc>
          <w:tcPr>
            <w:tcW w:w="905" w:type="pct"/>
            <w:shd w:val="clear" w:color="auto" w:fill="auto"/>
          </w:tcPr>
          <w:p w:rsidR="0045391D" w:rsidRPr="00990D3B" w:rsidP="00FA4EE6" w14:paraId="695D275E" w14:textId="77777777">
            <w:pPr>
              <w:pStyle w:val="EQRTableText"/>
              <w:rPr>
                <w:b w:val="0"/>
                <w:bCs w:val="0"/>
              </w:rPr>
            </w:pPr>
          </w:p>
        </w:tc>
        <w:tc>
          <w:tcPr>
            <w:tcW w:w="816" w:type="pct"/>
            <w:shd w:val="clear" w:color="auto" w:fill="auto"/>
          </w:tcPr>
          <w:p w:rsidR="0045391D" w:rsidRPr="00990D3B" w:rsidP="00FA4EE6" w14:paraId="35BC20AF" w14:textId="77777777">
            <w:pPr>
              <w:pStyle w:val="EQRTableText"/>
              <w:rPr>
                <w:b w:val="0"/>
                <w:bCs w:val="0"/>
              </w:rPr>
            </w:pPr>
          </w:p>
        </w:tc>
        <w:tc>
          <w:tcPr>
            <w:tcW w:w="707" w:type="pct"/>
            <w:shd w:val="clear" w:color="auto" w:fill="auto"/>
          </w:tcPr>
          <w:p w:rsidR="0045391D" w:rsidRPr="00990D3B" w:rsidP="00FA4EE6" w14:paraId="0D3EA3C2" w14:textId="77777777">
            <w:pPr>
              <w:pStyle w:val="EQRTableText"/>
              <w:rPr>
                <w:b w:val="0"/>
                <w:bCs w:val="0"/>
              </w:rPr>
            </w:pPr>
          </w:p>
        </w:tc>
      </w:tr>
    </w:tbl>
    <w:p w:rsidR="0045391D" w:rsidRPr="00990D3B" w:rsidP="00666AC0" w14:paraId="6D1E39F3" w14:textId="77777777">
      <w:pPr>
        <w:pStyle w:val="EQRTableHeaderCenter"/>
        <w:jc w:val="left"/>
        <w:rPr>
          <w:b w:val="0"/>
          <w:bCs/>
          <w:color w:val="auto"/>
          <w:sz w:val="17"/>
          <w:szCs w:val="17"/>
        </w:rPr>
      </w:pPr>
    </w:p>
    <w:p w:rsidR="0045391D" w:rsidRPr="00990D3B" w14:paraId="3BA2124B" w14:textId="77777777">
      <w:pPr>
        <w:spacing w:line="240" w:lineRule="auto"/>
        <w:rPr>
          <w:rFonts w:ascii="Arial" w:hAnsi="Arial"/>
          <w:bCs/>
          <w:sz w:val="17"/>
          <w:szCs w:val="17"/>
        </w:rPr>
      </w:pPr>
      <w:r w:rsidRPr="00990D3B">
        <w:rPr>
          <w:b/>
          <w:bCs/>
          <w:sz w:val="17"/>
          <w:szCs w:val="17"/>
        </w:rPr>
        <w:br w:type="page"/>
      </w:r>
    </w:p>
    <w:p w:rsidR="0045391D" w:rsidRPr="00990D3B" w:rsidP="00666AC0" w14:paraId="53A49A31" w14:textId="77777777">
      <w:pPr>
        <w:pStyle w:val="EQRMarkforExhibitWORKSHEET"/>
      </w:pPr>
      <w:bookmarkStart w:id="1105" w:name="_Toc201751571"/>
      <w:r w:rsidRPr="00990D3B">
        <w:t>Example Worksheet 11.5. Evaluation Timeline</w:t>
      </w:r>
      <w:bookmarkEnd w:id="1105"/>
    </w:p>
    <w:p w:rsidR="0045391D" w:rsidRPr="00990D3B" w:rsidP="00666AC0" w14:paraId="6CBC268F" w14:textId="77777777">
      <w:pPr>
        <w:pStyle w:val="EQRTableHeaderCenter"/>
        <w:jc w:val="left"/>
        <w:rPr>
          <w:color w:val="auto"/>
          <w:szCs w:val="18"/>
        </w:rPr>
      </w:pPr>
      <w:r w:rsidRPr="00990D3B">
        <w:rPr>
          <w:color w:val="auto"/>
          <w:szCs w:val="18"/>
        </w:rPr>
        <w:t>Evaluation Type</w:t>
      </w:r>
      <w:r w:rsidRPr="00990D3B">
        <w:rPr>
          <w:color w:val="auto"/>
          <w:szCs w:val="18"/>
        </w:rPr>
        <w:t>:  [  ]</w:t>
      </w:r>
      <w:r w:rsidRPr="00990D3B">
        <w:rPr>
          <w:color w:val="auto"/>
          <w:szCs w:val="18"/>
        </w:rPr>
        <w:t xml:space="preserve">  </w:t>
      </w:r>
      <w:r w:rsidRPr="00990D3B">
        <w:rPr>
          <w:color w:val="auto"/>
          <w:szCs w:val="18"/>
        </w:rPr>
        <w:t>QS  [</w:t>
      </w:r>
      <w:r w:rsidRPr="00990D3B">
        <w:rPr>
          <w:color w:val="auto"/>
          <w:szCs w:val="18"/>
        </w:rPr>
        <w:t xml:space="preserve"> </w:t>
      </w:r>
      <w:r w:rsidRPr="00990D3B">
        <w:rPr>
          <w:color w:val="auto"/>
          <w:szCs w:val="18"/>
        </w:rPr>
        <w:t>X ]</w:t>
      </w:r>
      <w:r w:rsidRPr="00990D3B">
        <w:rPr>
          <w:color w:val="auto"/>
          <w:szCs w:val="18"/>
        </w:rPr>
        <w:t xml:space="preserve">  SDP</w:t>
      </w:r>
      <w:r w:rsidRPr="00990D3B">
        <w:rPr>
          <w:color w:val="auto"/>
          <w:szCs w:val="18"/>
        </w:rPr>
        <w:t xml:space="preserve">   [  ]</w:t>
      </w:r>
      <w:r w:rsidRPr="00990D3B">
        <w:rPr>
          <w:color w:val="auto"/>
          <w:szCs w:val="18"/>
        </w:rPr>
        <w:t xml:space="preserve">  ILOS</w:t>
      </w:r>
    </w:p>
    <w:tbl>
      <w:tblPr>
        <w:tblStyle w:val="GridTable4-Accent51"/>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7"/>
        <w:gridCol w:w="1994"/>
        <w:gridCol w:w="1372"/>
        <w:gridCol w:w="1372"/>
        <w:gridCol w:w="2370"/>
        <w:gridCol w:w="2114"/>
        <w:gridCol w:w="1855"/>
      </w:tblGrid>
      <w:tr w14:paraId="33F2BE74" w14:textId="77777777" w:rsidTr="006C00E2">
        <w:tblPrEx>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blHeader/>
        </w:trPr>
        <w:tc>
          <w:tcPr>
            <w:tcW w:w="5000" w:type="pct"/>
            <w:gridSpan w:val="7"/>
            <w:shd w:val="clear" w:color="auto" w:fill="auto"/>
            <w:vAlign w:val="bottom"/>
          </w:tcPr>
          <w:p w:rsidR="0045391D" w:rsidRPr="00990D3B" w:rsidP="00A133A2" w14:paraId="09203736" w14:textId="77777777">
            <w:pPr>
              <w:pStyle w:val="EQRTableHeaderLeft"/>
              <w:rPr>
                <w:b/>
                <w:bCs w:val="0"/>
                <w:color w:val="auto"/>
              </w:rPr>
            </w:pPr>
            <w:r w:rsidRPr="00990D3B">
              <w:rPr>
                <w:b/>
                <w:bCs w:val="0"/>
                <w:color w:val="auto"/>
              </w:rPr>
              <w:t xml:space="preserve">Title of QS/SDP/ILOS: VBP for Obstetric Care  </w:t>
            </w:r>
          </w:p>
        </w:tc>
      </w:tr>
      <w:tr w14:paraId="7514506B" w14:textId="77777777" w:rsidTr="006C00E2">
        <w:tblPrEx>
          <w:tblW w:w="5044" w:type="pct"/>
          <w:tblLayout w:type="fixed"/>
          <w:tblLook w:val="04A0"/>
        </w:tblPrEx>
        <w:trPr>
          <w:cantSplit/>
          <w:tblHeader/>
        </w:trPr>
        <w:tc>
          <w:tcPr>
            <w:tcW w:w="761" w:type="pct"/>
            <w:tcBorders>
              <w:top w:val="single" w:sz="4" w:space="0" w:color="auto"/>
              <w:left w:val="single" w:sz="4" w:space="0" w:color="auto"/>
              <w:bottom w:val="single" w:sz="4" w:space="0" w:color="auto"/>
              <w:right w:val="single" w:sz="4" w:space="0" w:color="auto"/>
            </w:tcBorders>
            <w:shd w:val="clear" w:color="auto" w:fill="auto"/>
            <w:vAlign w:val="bottom"/>
          </w:tcPr>
          <w:p w:rsidR="0045391D" w:rsidRPr="00990D3B" w:rsidP="00A133A2" w14:paraId="02812596" w14:textId="77777777">
            <w:pPr>
              <w:pStyle w:val="EQRTableHeaderLeft"/>
              <w:rPr>
                <w:b/>
                <w:bCs w:val="0"/>
                <w:color w:val="auto"/>
              </w:rPr>
            </w:pPr>
            <w:r w:rsidRPr="00990D3B">
              <w:rPr>
                <w:b/>
                <w:bCs w:val="0"/>
                <w:color w:val="auto"/>
              </w:rPr>
              <w:t>Evaluation Activity</w:t>
            </w:r>
          </w:p>
        </w:tc>
        <w:tc>
          <w:tcPr>
            <w:tcW w:w="763" w:type="pct"/>
            <w:tcBorders>
              <w:top w:val="single" w:sz="4" w:space="0" w:color="auto"/>
              <w:left w:val="single" w:sz="4" w:space="0" w:color="auto"/>
              <w:bottom w:val="single" w:sz="4" w:space="0" w:color="auto"/>
              <w:right w:val="single" w:sz="4" w:space="0" w:color="auto"/>
            </w:tcBorders>
            <w:shd w:val="clear" w:color="auto" w:fill="auto"/>
            <w:vAlign w:val="bottom"/>
          </w:tcPr>
          <w:p w:rsidR="0045391D" w:rsidRPr="00990D3B" w:rsidP="00A133A2" w14:paraId="2F8B9CDF" w14:textId="77777777">
            <w:pPr>
              <w:pStyle w:val="EQRTableHeaderCenter"/>
              <w:rPr>
                <w:b/>
                <w:bCs w:val="0"/>
                <w:color w:val="auto"/>
              </w:rPr>
            </w:pPr>
            <w:r w:rsidRPr="00990D3B">
              <w:rPr>
                <w:b/>
                <w:bCs w:val="0"/>
                <w:color w:val="auto"/>
              </w:rPr>
              <w:t>Relevant Parties</w:t>
            </w:r>
          </w:p>
        </w:tc>
        <w:tc>
          <w:tcPr>
            <w:tcW w:w="525" w:type="pct"/>
            <w:tcBorders>
              <w:top w:val="single" w:sz="4" w:space="0" w:color="auto"/>
              <w:left w:val="single" w:sz="4" w:space="0" w:color="auto"/>
              <w:bottom w:val="single" w:sz="4" w:space="0" w:color="auto"/>
              <w:right w:val="single" w:sz="4" w:space="0" w:color="auto"/>
            </w:tcBorders>
            <w:shd w:val="clear" w:color="auto" w:fill="auto"/>
            <w:vAlign w:val="bottom"/>
          </w:tcPr>
          <w:p w:rsidR="0045391D" w:rsidRPr="00990D3B" w:rsidP="00A133A2" w14:paraId="1A0DE564" w14:textId="77777777">
            <w:pPr>
              <w:pStyle w:val="EQRTableHeaderCenter"/>
              <w:rPr>
                <w:b/>
                <w:bCs w:val="0"/>
                <w:color w:val="auto"/>
              </w:rPr>
            </w:pPr>
            <w:r w:rsidRPr="00990D3B">
              <w:rPr>
                <w:b/>
                <w:bCs w:val="0"/>
                <w:color w:val="auto"/>
              </w:rPr>
              <w:t xml:space="preserve">Start </w:t>
            </w:r>
          </w:p>
        </w:tc>
        <w:tc>
          <w:tcPr>
            <w:tcW w:w="525" w:type="pct"/>
            <w:tcBorders>
              <w:top w:val="single" w:sz="4" w:space="0" w:color="auto"/>
              <w:left w:val="single" w:sz="4" w:space="0" w:color="auto"/>
              <w:bottom w:val="single" w:sz="4" w:space="0" w:color="auto"/>
              <w:right w:val="single" w:sz="4" w:space="0" w:color="auto"/>
            </w:tcBorders>
            <w:shd w:val="clear" w:color="auto" w:fill="auto"/>
            <w:vAlign w:val="bottom"/>
          </w:tcPr>
          <w:p w:rsidR="0045391D" w:rsidRPr="00990D3B" w:rsidP="00A133A2" w14:paraId="2225F7A9" w14:textId="77777777">
            <w:pPr>
              <w:pStyle w:val="EQRTableHeaderCenter"/>
              <w:rPr>
                <w:b/>
                <w:bCs w:val="0"/>
                <w:color w:val="auto"/>
              </w:rPr>
            </w:pPr>
            <w:r w:rsidRPr="00990D3B">
              <w:rPr>
                <w:b/>
                <w:bCs w:val="0"/>
                <w:color w:val="auto"/>
              </w:rPr>
              <w:t xml:space="preserve">End </w:t>
            </w:r>
          </w:p>
        </w:tc>
        <w:tc>
          <w:tcPr>
            <w:tcW w:w="907" w:type="pct"/>
            <w:tcBorders>
              <w:top w:val="single" w:sz="4" w:space="0" w:color="auto"/>
              <w:left w:val="single" w:sz="4" w:space="0" w:color="auto"/>
              <w:bottom w:val="single" w:sz="4" w:space="0" w:color="auto"/>
              <w:right w:val="single" w:sz="4" w:space="0" w:color="auto"/>
            </w:tcBorders>
            <w:shd w:val="clear" w:color="auto" w:fill="auto"/>
            <w:vAlign w:val="bottom"/>
          </w:tcPr>
          <w:p w:rsidR="0045391D" w:rsidRPr="00990D3B" w:rsidP="00A133A2" w14:paraId="259AC911" w14:textId="77777777">
            <w:pPr>
              <w:pStyle w:val="EQRTableHeaderCenter"/>
              <w:rPr>
                <w:b/>
                <w:bCs w:val="0"/>
                <w:color w:val="auto"/>
              </w:rPr>
            </w:pPr>
            <w:r w:rsidRPr="00990D3B">
              <w:rPr>
                <w:b/>
                <w:bCs w:val="0"/>
                <w:color w:val="auto"/>
              </w:rPr>
              <w:t>Key Milestone(s) or Deliverable(s)</w:t>
            </w:r>
          </w:p>
        </w:tc>
        <w:tc>
          <w:tcPr>
            <w:tcW w:w="809" w:type="pct"/>
            <w:tcBorders>
              <w:top w:val="single" w:sz="4" w:space="0" w:color="auto"/>
              <w:left w:val="single" w:sz="4" w:space="0" w:color="auto"/>
              <w:bottom w:val="single" w:sz="4" w:space="0" w:color="auto"/>
              <w:right w:val="single" w:sz="4" w:space="0" w:color="auto"/>
            </w:tcBorders>
            <w:shd w:val="clear" w:color="auto" w:fill="auto"/>
            <w:vAlign w:val="bottom"/>
          </w:tcPr>
          <w:p w:rsidR="0045391D" w:rsidRPr="00990D3B" w:rsidP="00A133A2" w14:paraId="3E204D45" w14:textId="77777777">
            <w:pPr>
              <w:pStyle w:val="EQRTableHeaderCenter"/>
              <w:rPr>
                <w:b/>
                <w:bCs w:val="0"/>
                <w:color w:val="auto"/>
              </w:rPr>
            </w:pPr>
            <w:r w:rsidRPr="00990D3B">
              <w:rPr>
                <w:b/>
                <w:bCs w:val="0"/>
                <w:color w:val="auto"/>
              </w:rPr>
              <w:t>Dependencies</w:t>
            </w:r>
          </w:p>
        </w:tc>
        <w:tc>
          <w:tcPr>
            <w:tcW w:w="707" w:type="pct"/>
            <w:tcBorders>
              <w:top w:val="single" w:sz="4" w:space="0" w:color="auto"/>
              <w:left w:val="single" w:sz="4" w:space="0" w:color="auto"/>
              <w:bottom w:val="single" w:sz="4" w:space="0" w:color="auto"/>
              <w:right w:val="single" w:sz="4" w:space="0" w:color="auto"/>
            </w:tcBorders>
            <w:shd w:val="clear" w:color="auto" w:fill="auto"/>
            <w:vAlign w:val="bottom"/>
          </w:tcPr>
          <w:p w:rsidR="0045391D" w:rsidRPr="00990D3B" w:rsidP="00A133A2" w14:paraId="78411D77" w14:textId="77777777">
            <w:pPr>
              <w:pStyle w:val="EQRTableHeaderCenter"/>
              <w:rPr>
                <w:b/>
                <w:bCs w:val="0"/>
                <w:color w:val="auto"/>
              </w:rPr>
            </w:pPr>
            <w:r w:rsidRPr="00990D3B">
              <w:rPr>
                <w:b/>
                <w:bCs w:val="0"/>
                <w:color w:val="auto"/>
              </w:rPr>
              <w:t>Comments</w:t>
            </w:r>
          </w:p>
        </w:tc>
      </w:tr>
      <w:tr w14:paraId="23A8A8E6" w14:textId="77777777" w:rsidTr="00A133A2">
        <w:tblPrEx>
          <w:tblW w:w="5044" w:type="pct"/>
          <w:tblLayout w:type="fixed"/>
          <w:tblLook w:val="04A0"/>
        </w:tblPrEx>
        <w:trPr>
          <w:cantSplit/>
        </w:trPr>
        <w:tc>
          <w:tcPr>
            <w:tcW w:w="761" w:type="pct"/>
            <w:shd w:val="clear" w:color="auto" w:fill="auto"/>
          </w:tcPr>
          <w:p w:rsidR="0045391D" w:rsidRPr="00990D3B" w:rsidP="00A133A2" w14:paraId="275E122F" w14:textId="77777777">
            <w:pPr>
              <w:pStyle w:val="EQRTableText"/>
              <w:rPr>
                <w:bCs w:val="0"/>
              </w:rPr>
            </w:pPr>
            <w:r w:rsidRPr="00990D3B">
              <w:rPr>
                <w:bCs w:val="0"/>
              </w:rPr>
              <w:t xml:space="preserve">Evaluation plan </w:t>
            </w:r>
          </w:p>
        </w:tc>
        <w:tc>
          <w:tcPr>
            <w:tcW w:w="763" w:type="pct"/>
            <w:shd w:val="clear" w:color="auto" w:fill="auto"/>
          </w:tcPr>
          <w:p w:rsidR="0045391D" w:rsidRPr="00990D3B" w:rsidP="00A133A2" w14:paraId="5EEC4B8C" w14:textId="77777777">
            <w:pPr>
              <w:pStyle w:val="EQRTableText"/>
              <w:rPr>
                <w:b/>
              </w:rPr>
            </w:pPr>
            <w:r w:rsidRPr="00990D3B">
              <w:t>EQRO, SMA</w:t>
            </w:r>
          </w:p>
        </w:tc>
        <w:tc>
          <w:tcPr>
            <w:tcW w:w="525" w:type="pct"/>
            <w:shd w:val="clear" w:color="auto" w:fill="auto"/>
          </w:tcPr>
          <w:p w:rsidR="0045391D" w:rsidRPr="00990D3B" w:rsidP="00A133A2" w14:paraId="2A1B15B9" w14:textId="77777777">
            <w:pPr>
              <w:pStyle w:val="EQRTableText"/>
              <w:rPr>
                <w:b/>
              </w:rPr>
            </w:pPr>
            <w:r w:rsidRPr="00990D3B">
              <w:t>Jun 2027</w:t>
            </w:r>
          </w:p>
        </w:tc>
        <w:tc>
          <w:tcPr>
            <w:tcW w:w="525" w:type="pct"/>
            <w:shd w:val="clear" w:color="auto" w:fill="auto"/>
          </w:tcPr>
          <w:p w:rsidR="0045391D" w:rsidRPr="00990D3B" w:rsidP="00A133A2" w14:paraId="6C1D2834" w14:textId="77777777">
            <w:pPr>
              <w:pStyle w:val="EQRTableText"/>
              <w:rPr>
                <w:b/>
              </w:rPr>
            </w:pPr>
            <w:r w:rsidRPr="00990D3B">
              <w:t>Dec 2027</w:t>
            </w:r>
          </w:p>
        </w:tc>
        <w:tc>
          <w:tcPr>
            <w:tcW w:w="907" w:type="pct"/>
            <w:shd w:val="clear" w:color="auto" w:fill="auto"/>
          </w:tcPr>
          <w:p w:rsidR="0045391D" w:rsidRPr="00990D3B" w:rsidP="00A133A2" w14:paraId="359C5677" w14:textId="7620C702">
            <w:pPr>
              <w:pStyle w:val="EQRTableText"/>
              <w:rPr>
                <w:b/>
              </w:rPr>
            </w:pPr>
            <w:r w:rsidRPr="00990D3B">
              <w:t xml:space="preserve">Draft evaluation plan </w:t>
            </w:r>
          </w:p>
        </w:tc>
        <w:tc>
          <w:tcPr>
            <w:tcW w:w="809" w:type="pct"/>
            <w:shd w:val="clear" w:color="auto" w:fill="auto"/>
          </w:tcPr>
          <w:p w:rsidR="0045391D" w:rsidRPr="00990D3B" w:rsidP="00A133A2" w14:paraId="49ADEB92" w14:textId="77777777">
            <w:pPr>
              <w:pStyle w:val="EQRTableText"/>
              <w:rPr>
                <w:b/>
              </w:rPr>
            </w:pPr>
            <w:r w:rsidRPr="00990D3B">
              <w:t>None</w:t>
            </w:r>
          </w:p>
        </w:tc>
        <w:tc>
          <w:tcPr>
            <w:tcW w:w="707" w:type="pct"/>
            <w:shd w:val="clear" w:color="auto" w:fill="auto"/>
          </w:tcPr>
          <w:p w:rsidR="0045391D" w:rsidRPr="00990D3B" w:rsidP="00A133A2" w14:paraId="3457B432" w14:textId="77777777">
            <w:pPr>
              <w:pStyle w:val="EQRTableText"/>
              <w:rPr>
                <w:b/>
              </w:rPr>
            </w:pPr>
          </w:p>
        </w:tc>
      </w:tr>
      <w:tr w14:paraId="7099F29B" w14:textId="77777777" w:rsidTr="00A133A2">
        <w:tblPrEx>
          <w:tblW w:w="5044" w:type="pct"/>
          <w:tblLayout w:type="fixed"/>
          <w:tblLook w:val="04A0"/>
        </w:tblPrEx>
        <w:trPr>
          <w:cantSplit/>
        </w:trPr>
        <w:tc>
          <w:tcPr>
            <w:tcW w:w="761" w:type="pct"/>
          </w:tcPr>
          <w:p w:rsidR="0045391D" w:rsidRPr="00990D3B" w:rsidP="00A133A2" w14:paraId="18644504" w14:textId="77777777">
            <w:pPr>
              <w:pStyle w:val="EQRTableText"/>
              <w:rPr>
                <w:bCs w:val="0"/>
              </w:rPr>
            </w:pPr>
            <w:r w:rsidRPr="00990D3B">
              <w:rPr>
                <w:bCs w:val="0"/>
              </w:rPr>
              <w:t>Partner engagement</w:t>
            </w:r>
          </w:p>
        </w:tc>
        <w:tc>
          <w:tcPr>
            <w:tcW w:w="763" w:type="pct"/>
          </w:tcPr>
          <w:p w:rsidR="0045391D" w:rsidRPr="00990D3B" w:rsidP="00A133A2" w14:paraId="59B86C8A" w14:textId="77777777">
            <w:pPr>
              <w:pStyle w:val="EQRTableText"/>
              <w:rPr>
                <w:b/>
              </w:rPr>
            </w:pPr>
            <w:r w:rsidRPr="00990D3B">
              <w:t>EQRO, SMA, MCPs</w:t>
            </w:r>
          </w:p>
        </w:tc>
        <w:tc>
          <w:tcPr>
            <w:tcW w:w="525" w:type="pct"/>
          </w:tcPr>
          <w:p w:rsidR="0045391D" w:rsidRPr="00990D3B" w:rsidP="00A133A2" w14:paraId="1328CBEB" w14:textId="77777777">
            <w:pPr>
              <w:pStyle w:val="EQRTableText"/>
              <w:rPr>
                <w:b/>
              </w:rPr>
            </w:pPr>
            <w:r w:rsidRPr="00990D3B">
              <w:t>Jan 2028</w:t>
            </w:r>
          </w:p>
        </w:tc>
        <w:tc>
          <w:tcPr>
            <w:tcW w:w="525" w:type="pct"/>
          </w:tcPr>
          <w:p w:rsidR="0045391D" w:rsidRPr="00990D3B" w:rsidP="00A133A2" w14:paraId="1F23AB6C" w14:textId="77777777">
            <w:pPr>
              <w:pStyle w:val="EQRTableText"/>
              <w:rPr>
                <w:b/>
              </w:rPr>
            </w:pPr>
            <w:r w:rsidRPr="00990D3B">
              <w:t>Jan 2028</w:t>
            </w:r>
          </w:p>
        </w:tc>
        <w:tc>
          <w:tcPr>
            <w:tcW w:w="907" w:type="pct"/>
          </w:tcPr>
          <w:p w:rsidR="0045391D" w:rsidRPr="00990D3B" w:rsidP="00A133A2" w14:paraId="367418CA" w14:textId="77777777">
            <w:pPr>
              <w:pStyle w:val="EQRTableText"/>
              <w:rPr>
                <w:b/>
              </w:rPr>
            </w:pPr>
            <w:r w:rsidRPr="00990D3B">
              <w:t>Partner kickoff meeting</w:t>
            </w:r>
          </w:p>
        </w:tc>
        <w:tc>
          <w:tcPr>
            <w:tcW w:w="809" w:type="pct"/>
          </w:tcPr>
          <w:p w:rsidR="0045391D" w:rsidRPr="00990D3B" w:rsidP="00A133A2" w14:paraId="1EE7CCF6" w14:textId="77777777">
            <w:pPr>
              <w:pStyle w:val="EQRTableText"/>
              <w:rPr>
                <w:b/>
              </w:rPr>
            </w:pPr>
            <w:r w:rsidRPr="00990D3B">
              <w:t>Completed draft evaluation plan</w:t>
            </w:r>
          </w:p>
        </w:tc>
        <w:tc>
          <w:tcPr>
            <w:tcW w:w="707" w:type="pct"/>
          </w:tcPr>
          <w:p w:rsidR="0045391D" w:rsidRPr="00990D3B" w:rsidP="00A133A2" w14:paraId="3DAEA919" w14:textId="77777777">
            <w:pPr>
              <w:pStyle w:val="EQRTableText"/>
              <w:rPr>
                <w:b/>
              </w:rPr>
            </w:pPr>
          </w:p>
        </w:tc>
      </w:tr>
      <w:tr w14:paraId="31B97945" w14:textId="77777777" w:rsidTr="00A133A2">
        <w:tblPrEx>
          <w:tblW w:w="5044" w:type="pct"/>
          <w:tblLayout w:type="fixed"/>
          <w:tblLook w:val="04A0"/>
        </w:tblPrEx>
        <w:trPr>
          <w:cantSplit/>
        </w:trPr>
        <w:tc>
          <w:tcPr>
            <w:tcW w:w="761" w:type="pct"/>
            <w:shd w:val="clear" w:color="auto" w:fill="auto"/>
          </w:tcPr>
          <w:p w:rsidR="0045391D" w:rsidRPr="00990D3B" w:rsidP="00A133A2" w14:paraId="5CFD0BEF" w14:textId="77777777">
            <w:pPr>
              <w:pStyle w:val="EQRTableText"/>
              <w:rPr>
                <w:bCs w:val="0"/>
              </w:rPr>
            </w:pPr>
            <w:r w:rsidRPr="00990D3B">
              <w:rPr>
                <w:bCs w:val="0"/>
              </w:rPr>
              <w:t>Finalize evaluation plan</w:t>
            </w:r>
          </w:p>
        </w:tc>
        <w:tc>
          <w:tcPr>
            <w:tcW w:w="763" w:type="pct"/>
            <w:shd w:val="clear" w:color="auto" w:fill="auto"/>
          </w:tcPr>
          <w:p w:rsidR="0045391D" w:rsidRPr="00990D3B" w:rsidP="00A133A2" w14:paraId="72BFB1C1" w14:textId="77777777">
            <w:pPr>
              <w:pStyle w:val="EQRTableText"/>
              <w:rPr>
                <w:b/>
              </w:rPr>
            </w:pPr>
            <w:r w:rsidRPr="00990D3B">
              <w:t>SMA</w:t>
            </w:r>
          </w:p>
        </w:tc>
        <w:tc>
          <w:tcPr>
            <w:tcW w:w="525" w:type="pct"/>
            <w:shd w:val="clear" w:color="auto" w:fill="auto"/>
          </w:tcPr>
          <w:p w:rsidR="0045391D" w:rsidRPr="00990D3B" w:rsidP="00A133A2" w14:paraId="3F132276" w14:textId="77777777">
            <w:pPr>
              <w:pStyle w:val="EQRTableText"/>
              <w:rPr>
                <w:b/>
              </w:rPr>
            </w:pPr>
            <w:r w:rsidRPr="00990D3B">
              <w:t>Feb 2028</w:t>
            </w:r>
          </w:p>
        </w:tc>
        <w:tc>
          <w:tcPr>
            <w:tcW w:w="525" w:type="pct"/>
            <w:shd w:val="clear" w:color="auto" w:fill="auto"/>
          </w:tcPr>
          <w:p w:rsidR="0045391D" w:rsidRPr="00990D3B" w:rsidP="00A133A2" w14:paraId="5C1DF1B1" w14:textId="77777777">
            <w:pPr>
              <w:pStyle w:val="EQRTableText"/>
              <w:rPr>
                <w:b/>
              </w:rPr>
            </w:pPr>
            <w:r w:rsidRPr="00990D3B">
              <w:t>Apr 2028</w:t>
            </w:r>
          </w:p>
        </w:tc>
        <w:tc>
          <w:tcPr>
            <w:tcW w:w="907" w:type="pct"/>
            <w:shd w:val="clear" w:color="auto" w:fill="auto"/>
          </w:tcPr>
          <w:p w:rsidR="0045391D" w:rsidRPr="00990D3B" w:rsidP="00A133A2" w14:paraId="03CDF191" w14:textId="77777777">
            <w:pPr>
              <w:pStyle w:val="EQRTableText"/>
              <w:rPr>
                <w:b/>
              </w:rPr>
            </w:pPr>
            <w:r w:rsidRPr="00990D3B">
              <w:t>Final evaluation plan</w:t>
            </w:r>
          </w:p>
        </w:tc>
        <w:tc>
          <w:tcPr>
            <w:tcW w:w="809" w:type="pct"/>
            <w:shd w:val="clear" w:color="auto" w:fill="auto"/>
          </w:tcPr>
          <w:p w:rsidR="0045391D" w:rsidRPr="00990D3B" w:rsidP="00A133A2" w14:paraId="0EB8E820" w14:textId="77777777">
            <w:pPr>
              <w:pStyle w:val="EQRTableText"/>
              <w:rPr>
                <w:b/>
              </w:rPr>
            </w:pPr>
            <w:r w:rsidRPr="00990D3B">
              <w:t>CMS approval</w:t>
            </w:r>
          </w:p>
        </w:tc>
        <w:tc>
          <w:tcPr>
            <w:tcW w:w="707" w:type="pct"/>
            <w:shd w:val="clear" w:color="auto" w:fill="auto"/>
          </w:tcPr>
          <w:p w:rsidR="0045391D" w:rsidRPr="00990D3B" w:rsidP="00A133A2" w14:paraId="66ADB9B0" w14:textId="77777777">
            <w:pPr>
              <w:pStyle w:val="EQRTableText"/>
              <w:rPr>
                <w:b/>
              </w:rPr>
            </w:pPr>
          </w:p>
        </w:tc>
      </w:tr>
      <w:tr w14:paraId="1820E325" w14:textId="77777777" w:rsidTr="00A133A2">
        <w:tblPrEx>
          <w:tblW w:w="5044" w:type="pct"/>
          <w:tblLayout w:type="fixed"/>
          <w:tblLook w:val="04A0"/>
        </w:tblPrEx>
        <w:trPr>
          <w:cantSplit/>
        </w:trPr>
        <w:tc>
          <w:tcPr>
            <w:tcW w:w="761" w:type="pct"/>
          </w:tcPr>
          <w:p w:rsidR="0045391D" w:rsidRPr="00990D3B" w:rsidP="00A133A2" w14:paraId="336E07DC" w14:textId="77777777">
            <w:pPr>
              <w:pStyle w:val="EQRTableText"/>
              <w:rPr>
                <w:bCs w:val="0"/>
              </w:rPr>
            </w:pPr>
            <w:r w:rsidRPr="00990D3B">
              <w:rPr>
                <w:bCs w:val="0"/>
              </w:rPr>
              <w:t xml:space="preserve">Data collection </w:t>
            </w:r>
          </w:p>
        </w:tc>
        <w:tc>
          <w:tcPr>
            <w:tcW w:w="763" w:type="pct"/>
          </w:tcPr>
          <w:p w:rsidR="0045391D" w:rsidRPr="00990D3B" w:rsidP="00A133A2" w14:paraId="1F305AD1" w14:textId="77777777">
            <w:pPr>
              <w:pStyle w:val="EQRTableText"/>
              <w:rPr>
                <w:b/>
              </w:rPr>
            </w:pPr>
            <w:r w:rsidRPr="00990D3B">
              <w:t>MCPs, EQRO, SMA, Providers</w:t>
            </w:r>
          </w:p>
        </w:tc>
        <w:tc>
          <w:tcPr>
            <w:tcW w:w="525" w:type="pct"/>
          </w:tcPr>
          <w:p w:rsidR="0045391D" w:rsidRPr="00990D3B" w:rsidP="00A133A2" w14:paraId="1D18B9E0" w14:textId="77777777">
            <w:pPr>
              <w:pStyle w:val="EQRTableText"/>
              <w:rPr>
                <w:b/>
              </w:rPr>
            </w:pPr>
            <w:r w:rsidRPr="00990D3B">
              <w:t>Jun 2032</w:t>
            </w:r>
          </w:p>
        </w:tc>
        <w:tc>
          <w:tcPr>
            <w:tcW w:w="525" w:type="pct"/>
          </w:tcPr>
          <w:p w:rsidR="0045391D" w:rsidRPr="00990D3B" w:rsidP="00A133A2" w14:paraId="589F97D2" w14:textId="77777777">
            <w:pPr>
              <w:pStyle w:val="EQRTableText"/>
              <w:rPr>
                <w:b/>
              </w:rPr>
            </w:pPr>
            <w:r w:rsidRPr="00990D3B">
              <w:t>Aug 2032</w:t>
            </w:r>
          </w:p>
        </w:tc>
        <w:tc>
          <w:tcPr>
            <w:tcW w:w="907" w:type="pct"/>
          </w:tcPr>
          <w:p w:rsidR="0045391D" w:rsidRPr="00990D3B" w:rsidP="00A133A2" w14:paraId="7D903E22" w14:textId="77777777">
            <w:pPr>
              <w:pStyle w:val="EQRTableText"/>
              <w:rPr>
                <w:b/>
              </w:rPr>
            </w:pPr>
          </w:p>
        </w:tc>
        <w:tc>
          <w:tcPr>
            <w:tcW w:w="809" w:type="pct"/>
          </w:tcPr>
          <w:p w:rsidR="0045391D" w:rsidRPr="00990D3B" w:rsidP="00A133A2" w14:paraId="21AC9F4E" w14:textId="77777777">
            <w:pPr>
              <w:pStyle w:val="EQRTableText"/>
              <w:rPr>
                <w:b/>
              </w:rPr>
            </w:pPr>
            <w:r w:rsidRPr="00990D3B">
              <w:t>Completion of Year 5 (CY 2031) of the ILOS</w:t>
            </w:r>
          </w:p>
        </w:tc>
        <w:tc>
          <w:tcPr>
            <w:tcW w:w="707" w:type="pct"/>
          </w:tcPr>
          <w:p w:rsidR="0045391D" w:rsidRPr="00990D3B" w:rsidP="00A133A2" w14:paraId="76683E09" w14:textId="77777777">
            <w:pPr>
              <w:pStyle w:val="EQRTableText"/>
              <w:rPr>
                <w:b/>
              </w:rPr>
            </w:pPr>
            <w:r w:rsidRPr="00990D3B">
              <w:t>Data collection will be ongoing and submitted to CMS through the annual SDP preprint process. Results data relying on claims will be collected approximately six months after the end of each SDP year to account for claims lag.</w:t>
            </w:r>
          </w:p>
        </w:tc>
      </w:tr>
      <w:tr w14:paraId="591E639D" w14:textId="77777777" w:rsidTr="00A133A2">
        <w:tblPrEx>
          <w:tblW w:w="5044" w:type="pct"/>
          <w:tblLayout w:type="fixed"/>
          <w:tblLook w:val="04A0"/>
        </w:tblPrEx>
        <w:trPr>
          <w:cantSplit/>
        </w:trPr>
        <w:tc>
          <w:tcPr>
            <w:tcW w:w="761" w:type="pct"/>
            <w:tcBorders>
              <w:top w:val="single" w:sz="4" w:space="0" w:color="auto"/>
              <w:left w:val="single" w:sz="4" w:space="0" w:color="auto"/>
              <w:bottom w:val="single" w:sz="4" w:space="0" w:color="auto"/>
              <w:right w:val="single" w:sz="4" w:space="0" w:color="auto"/>
            </w:tcBorders>
            <w:shd w:val="clear" w:color="auto" w:fill="auto"/>
          </w:tcPr>
          <w:p w:rsidR="0045391D" w:rsidRPr="00990D3B" w:rsidP="00A133A2" w14:paraId="40B6D04B" w14:textId="77777777">
            <w:pPr>
              <w:pStyle w:val="EQRTableText"/>
              <w:rPr>
                <w:bCs w:val="0"/>
              </w:rPr>
            </w:pPr>
            <w:r w:rsidRPr="00990D3B">
              <w:rPr>
                <w:bCs w:val="0"/>
              </w:rPr>
              <w:t xml:space="preserve">Data cleaning </w:t>
            </w:r>
          </w:p>
        </w:tc>
        <w:tc>
          <w:tcPr>
            <w:tcW w:w="763" w:type="pct"/>
            <w:tcBorders>
              <w:top w:val="single" w:sz="4" w:space="0" w:color="auto"/>
              <w:left w:val="single" w:sz="4" w:space="0" w:color="auto"/>
              <w:bottom w:val="single" w:sz="4" w:space="0" w:color="auto"/>
              <w:right w:val="single" w:sz="4" w:space="0" w:color="auto"/>
            </w:tcBorders>
            <w:shd w:val="clear" w:color="auto" w:fill="auto"/>
          </w:tcPr>
          <w:p w:rsidR="0045391D" w:rsidRPr="00990D3B" w:rsidP="00A133A2" w14:paraId="40619C85" w14:textId="77777777">
            <w:pPr>
              <w:pStyle w:val="EQRTableText"/>
              <w:rPr>
                <w:b/>
              </w:rPr>
            </w:pPr>
            <w:r w:rsidRPr="00990D3B">
              <w:t>EQRO</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45391D" w:rsidRPr="00990D3B" w:rsidP="00A133A2" w14:paraId="7BBE7AE5" w14:textId="77777777">
            <w:pPr>
              <w:pStyle w:val="EQRTableText"/>
              <w:rPr>
                <w:b/>
              </w:rPr>
            </w:pPr>
            <w:r w:rsidRPr="00990D3B">
              <w:t>Aug 2032</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45391D" w:rsidRPr="00990D3B" w:rsidP="00A133A2" w14:paraId="557DA890" w14:textId="77777777">
            <w:pPr>
              <w:pStyle w:val="EQRTableText"/>
              <w:rPr>
                <w:b/>
              </w:rPr>
            </w:pPr>
            <w:r w:rsidRPr="00990D3B">
              <w:t>Oct 2032</w:t>
            </w:r>
          </w:p>
        </w:tc>
        <w:tc>
          <w:tcPr>
            <w:tcW w:w="907" w:type="pct"/>
            <w:tcBorders>
              <w:top w:val="single" w:sz="4" w:space="0" w:color="auto"/>
              <w:left w:val="single" w:sz="4" w:space="0" w:color="auto"/>
              <w:bottom w:val="single" w:sz="4" w:space="0" w:color="auto"/>
              <w:right w:val="single" w:sz="4" w:space="0" w:color="auto"/>
            </w:tcBorders>
            <w:shd w:val="clear" w:color="auto" w:fill="auto"/>
          </w:tcPr>
          <w:p w:rsidR="0045391D" w:rsidRPr="00990D3B" w:rsidP="00A133A2" w14:paraId="50B88270" w14:textId="77777777">
            <w:pPr>
              <w:pStyle w:val="EQRTableText"/>
              <w:rPr>
                <w:b/>
              </w:rPr>
            </w:pPr>
            <w:r w:rsidRPr="00990D3B">
              <w:t xml:space="preserve">Complete dataset </w:t>
            </w:r>
          </w:p>
        </w:tc>
        <w:tc>
          <w:tcPr>
            <w:tcW w:w="809" w:type="pct"/>
            <w:tcBorders>
              <w:top w:val="single" w:sz="4" w:space="0" w:color="auto"/>
              <w:left w:val="single" w:sz="4" w:space="0" w:color="auto"/>
              <w:bottom w:val="single" w:sz="4" w:space="0" w:color="auto"/>
              <w:right w:val="single" w:sz="4" w:space="0" w:color="auto"/>
            </w:tcBorders>
            <w:shd w:val="clear" w:color="auto" w:fill="auto"/>
          </w:tcPr>
          <w:p w:rsidR="0045391D" w:rsidRPr="00990D3B" w:rsidP="00A133A2" w14:paraId="5170F2A1" w14:textId="77777777">
            <w:pPr>
              <w:pStyle w:val="EQRTableText"/>
              <w:rPr>
                <w:b/>
              </w:rPr>
            </w:pPr>
            <w:r w:rsidRPr="00990D3B">
              <w:t xml:space="preserve">Data collection must be complete </w:t>
            </w:r>
          </w:p>
        </w:tc>
        <w:tc>
          <w:tcPr>
            <w:tcW w:w="707" w:type="pct"/>
            <w:tcBorders>
              <w:top w:val="single" w:sz="4" w:space="0" w:color="auto"/>
              <w:left w:val="single" w:sz="4" w:space="0" w:color="auto"/>
              <w:bottom w:val="single" w:sz="4" w:space="0" w:color="auto"/>
              <w:right w:val="single" w:sz="4" w:space="0" w:color="auto"/>
            </w:tcBorders>
            <w:shd w:val="clear" w:color="auto" w:fill="auto"/>
          </w:tcPr>
          <w:p w:rsidR="0045391D" w:rsidRPr="00990D3B" w:rsidP="00A133A2" w14:paraId="7518F290" w14:textId="77777777">
            <w:pPr>
              <w:pStyle w:val="EQRTableText"/>
              <w:rPr>
                <w:b/>
              </w:rPr>
            </w:pPr>
          </w:p>
        </w:tc>
      </w:tr>
      <w:tr w14:paraId="1361F9E9" w14:textId="77777777" w:rsidTr="00A133A2">
        <w:tblPrEx>
          <w:tblW w:w="5044" w:type="pct"/>
          <w:tblLayout w:type="fixed"/>
          <w:tblLook w:val="04A0"/>
        </w:tblPrEx>
        <w:trPr>
          <w:cantSplit/>
        </w:trPr>
        <w:tc>
          <w:tcPr>
            <w:tcW w:w="761" w:type="pct"/>
          </w:tcPr>
          <w:p w:rsidR="0045391D" w:rsidRPr="00990D3B" w:rsidP="00A133A2" w14:paraId="7DE06E0D" w14:textId="77777777">
            <w:pPr>
              <w:pStyle w:val="EQRTableText"/>
              <w:rPr>
                <w:bCs w:val="0"/>
              </w:rPr>
            </w:pPr>
            <w:r w:rsidRPr="00990D3B">
              <w:rPr>
                <w:bCs w:val="0"/>
              </w:rPr>
              <w:t>Data QA</w:t>
            </w:r>
          </w:p>
        </w:tc>
        <w:tc>
          <w:tcPr>
            <w:tcW w:w="763" w:type="pct"/>
          </w:tcPr>
          <w:p w:rsidR="0045391D" w:rsidRPr="00990D3B" w:rsidP="00A133A2" w14:paraId="25EAD7C5" w14:textId="77777777">
            <w:pPr>
              <w:pStyle w:val="EQRTableText"/>
              <w:rPr>
                <w:b/>
              </w:rPr>
            </w:pPr>
            <w:r w:rsidRPr="00990D3B">
              <w:t>EQRO</w:t>
            </w:r>
          </w:p>
        </w:tc>
        <w:tc>
          <w:tcPr>
            <w:tcW w:w="525" w:type="pct"/>
          </w:tcPr>
          <w:p w:rsidR="0045391D" w:rsidRPr="00990D3B" w:rsidP="00A133A2" w14:paraId="3D645B89" w14:textId="77777777">
            <w:pPr>
              <w:pStyle w:val="EQRTableText"/>
              <w:rPr>
                <w:b/>
              </w:rPr>
            </w:pPr>
            <w:r w:rsidRPr="00990D3B">
              <w:t>Oct 2032</w:t>
            </w:r>
          </w:p>
        </w:tc>
        <w:tc>
          <w:tcPr>
            <w:tcW w:w="525" w:type="pct"/>
          </w:tcPr>
          <w:p w:rsidR="0045391D" w:rsidRPr="00990D3B" w:rsidP="00A133A2" w14:paraId="4E186EBC" w14:textId="77777777">
            <w:pPr>
              <w:pStyle w:val="EQRTableText"/>
              <w:rPr>
                <w:b/>
              </w:rPr>
            </w:pPr>
            <w:r w:rsidRPr="00990D3B">
              <w:t>Nov 2032</w:t>
            </w:r>
          </w:p>
        </w:tc>
        <w:tc>
          <w:tcPr>
            <w:tcW w:w="907" w:type="pct"/>
          </w:tcPr>
          <w:p w:rsidR="0045391D" w:rsidRPr="00990D3B" w:rsidP="00A133A2" w14:paraId="1A5D0594" w14:textId="77777777">
            <w:pPr>
              <w:pStyle w:val="EQRTableText"/>
              <w:rPr>
                <w:b/>
              </w:rPr>
            </w:pPr>
            <w:r w:rsidRPr="00990D3B">
              <w:t>Validated dataset ready for analysis</w:t>
            </w:r>
          </w:p>
        </w:tc>
        <w:tc>
          <w:tcPr>
            <w:tcW w:w="809" w:type="pct"/>
          </w:tcPr>
          <w:p w:rsidR="0045391D" w:rsidRPr="00990D3B" w:rsidP="00A133A2" w14:paraId="7DABCC17" w14:textId="77777777">
            <w:pPr>
              <w:pStyle w:val="EQRTableText"/>
              <w:rPr>
                <w:b/>
              </w:rPr>
            </w:pPr>
          </w:p>
        </w:tc>
        <w:tc>
          <w:tcPr>
            <w:tcW w:w="707" w:type="pct"/>
          </w:tcPr>
          <w:p w:rsidR="0045391D" w:rsidRPr="00990D3B" w:rsidP="00A133A2" w14:paraId="42C17994" w14:textId="77777777">
            <w:pPr>
              <w:pStyle w:val="EQRTableText"/>
              <w:rPr>
                <w:b/>
              </w:rPr>
            </w:pPr>
          </w:p>
        </w:tc>
      </w:tr>
      <w:tr w14:paraId="75A0192E" w14:textId="77777777" w:rsidTr="00A133A2">
        <w:tblPrEx>
          <w:tblW w:w="5044" w:type="pct"/>
          <w:tblLayout w:type="fixed"/>
          <w:tblLook w:val="04A0"/>
        </w:tblPrEx>
        <w:trPr>
          <w:cantSplit/>
        </w:trPr>
        <w:tc>
          <w:tcPr>
            <w:tcW w:w="761" w:type="pct"/>
            <w:shd w:val="clear" w:color="auto" w:fill="auto"/>
          </w:tcPr>
          <w:p w:rsidR="0045391D" w:rsidRPr="00990D3B" w:rsidP="00A133A2" w14:paraId="30BD1CA3" w14:textId="77777777">
            <w:pPr>
              <w:pStyle w:val="EQRTableText"/>
              <w:rPr>
                <w:bCs w:val="0"/>
              </w:rPr>
            </w:pPr>
            <w:r w:rsidRPr="00990D3B">
              <w:rPr>
                <w:bCs w:val="0"/>
              </w:rPr>
              <w:t xml:space="preserve">Metric calculation </w:t>
            </w:r>
          </w:p>
        </w:tc>
        <w:tc>
          <w:tcPr>
            <w:tcW w:w="763" w:type="pct"/>
            <w:shd w:val="clear" w:color="auto" w:fill="auto"/>
          </w:tcPr>
          <w:p w:rsidR="0045391D" w:rsidRPr="00990D3B" w:rsidP="00A133A2" w14:paraId="62006D82" w14:textId="77777777">
            <w:pPr>
              <w:pStyle w:val="EQRTableText"/>
              <w:rPr>
                <w:b/>
              </w:rPr>
            </w:pPr>
            <w:r w:rsidRPr="00990D3B">
              <w:t>EQRO</w:t>
            </w:r>
          </w:p>
        </w:tc>
        <w:tc>
          <w:tcPr>
            <w:tcW w:w="525" w:type="pct"/>
            <w:shd w:val="clear" w:color="auto" w:fill="auto"/>
          </w:tcPr>
          <w:p w:rsidR="0045391D" w:rsidRPr="00990D3B" w:rsidP="00A133A2" w14:paraId="4575FB54" w14:textId="77777777">
            <w:pPr>
              <w:pStyle w:val="EQRTableText"/>
              <w:rPr>
                <w:b/>
              </w:rPr>
            </w:pPr>
            <w:r w:rsidRPr="00990D3B">
              <w:t>Nov 2032</w:t>
            </w:r>
          </w:p>
        </w:tc>
        <w:tc>
          <w:tcPr>
            <w:tcW w:w="525" w:type="pct"/>
            <w:shd w:val="clear" w:color="auto" w:fill="auto"/>
          </w:tcPr>
          <w:p w:rsidR="0045391D" w:rsidRPr="00990D3B" w:rsidP="00A133A2" w14:paraId="5A379CF5" w14:textId="77777777">
            <w:pPr>
              <w:pStyle w:val="EQRTableText"/>
              <w:rPr>
                <w:b/>
              </w:rPr>
            </w:pPr>
            <w:r w:rsidRPr="00990D3B">
              <w:t>Jan 2032</w:t>
            </w:r>
          </w:p>
        </w:tc>
        <w:tc>
          <w:tcPr>
            <w:tcW w:w="907" w:type="pct"/>
            <w:shd w:val="clear" w:color="auto" w:fill="auto"/>
          </w:tcPr>
          <w:p w:rsidR="0045391D" w:rsidRPr="00990D3B" w:rsidP="00A133A2" w14:paraId="228D3BDF" w14:textId="77777777">
            <w:pPr>
              <w:pStyle w:val="EQRTableText"/>
              <w:rPr>
                <w:b/>
              </w:rPr>
            </w:pPr>
          </w:p>
        </w:tc>
        <w:tc>
          <w:tcPr>
            <w:tcW w:w="809" w:type="pct"/>
            <w:shd w:val="clear" w:color="auto" w:fill="auto"/>
          </w:tcPr>
          <w:p w:rsidR="0045391D" w:rsidRPr="00990D3B" w:rsidP="00A133A2" w14:paraId="1F3E9DD3" w14:textId="77777777">
            <w:pPr>
              <w:pStyle w:val="EQRTableText"/>
              <w:rPr>
                <w:b/>
              </w:rPr>
            </w:pPr>
            <w:r w:rsidRPr="00990D3B">
              <w:t>Data cleaning must be complete</w:t>
            </w:r>
          </w:p>
        </w:tc>
        <w:tc>
          <w:tcPr>
            <w:tcW w:w="707" w:type="pct"/>
            <w:shd w:val="clear" w:color="auto" w:fill="auto"/>
          </w:tcPr>
          <w:p w:rsidR="0045391D" w:rsidRPr="00990D3B" w:rsidP="00A133A2" w14:paraId="403969E4" w14:textId="77777777">
            <w:pPr>
              <w:pStyle w:val="EQRTableText"/>
              <w:rPr>
                <w:b/>
              </w:rPr>
            </w:pPr>
            <w:r w:rsidRPr="00990D3B">
              <w:t xml:space="preserve">Can be conducted on a rolling basis as data QA is completed </w:t>
            </w:r>
          </w:p>
        </w:tc>
      </w:tr>
      <w:tr w14:paraId="42B725B3" w14:textId="77777777" w:rsidTr="00A133A2">
        <w:tblPrEx>
          <w:tblW w:w="5044" w:type="pct"/>
          <w:tblLayout w:type="fixed"/>
          <w:tblLook w:val="04A0"/>
        </w:tblPrEx>
        <w:trPr>
          <w:cantSplit/>
        </w:trPr>
        <w:tc>
          <w:tcPr>
            <w:tcW w:w="761" w:type="pct"/>
          </w:tcPr>
          <w:p w:rsidR="0045391D" w:rsidRPr="00990D3B" w:rsidP="00A133A2" w14:paraId="19F2F33F" w14:textId="77777777">
            <w:pPr>
              <w:pStyle w:val="EQRTableText"/>
              <w:rPr>
                <w:bCs w:val="0"/>
              </w:rPr>
            </w:pPr>
            <w:r w:rsidRPr="00990D3B">
              <w:rPr>
                <w:bCs w:val="0"/>
              </w:rPr>
              <w:t>Metric QA</w:t>
            </w:r>
          </w:p>
        </w:tc>
        <w:tc>
          <w:tcPr>
            <w:tcW w:w="763" w:type="pct"/>
          </w:tcPr>
          <w:p w:rsidR="0045391D" w:rsidRPr="00990D3B" w:rsidP="00A133A2" w14:paraId="186A8358" w14:textId="77777777">
            <w:pPr>
              <w:pStyle w:val="EQRTableText"/>
              <w:rPr>
                <w:b/>
              </w:rPr>
            </w:pPr>
            <w:r w:rsidRPr="00990D3B">
              <w:t xml:space="preserve">EQRO </w:t>
            </w:r>
          </w:p>
        </w:tc>
        <w:tc>
          <w:tcPr>
            <w:tcW w:w="525" w:type="pct"/>
          </w:tcPr>
          <w:p w:rsidR="0045391D" w:rsidRPr="00990D3B" w:rsidP="00A133A2" w14:paraId="493D7713" w14:textId="77777777">
            <w:pPr>
              <w:pStyle w:val="EQRTableText"/>
              <w:rPr>
                <w:b/>
              </w:rPr>
            </w:pPr>
            <w:r w:rsidRPr="00990D3B">
              <w:t>Jan 2033</w:t>
            </w:r>
          </w:p>
        </w:tc>
        <w:tc>
          <w:tcPr>
            <w:tcW w:w="525" w:type="pct"/>
          </w:tcPr>
          <w:p w:rsidR="0045391D" w:rsidRPr="00990D3B" w:rsidP="00A133A2" w14:paraId="560DDEE8" w14:textId="77777777">
            <w:pPr>
              <w:pStyle w:val="EQRTableText"/>
              <w:rPr>
                <w:b/>
              </w:rPr>
            </w:pPr>
            <w:r w:rsidRPr="00990D3B">
              <w:t>Feb 2033</w:t>
            </w:r>
          </w:p>
        </w:tc>
        <w:tc>
          <w:tcPr>
            <w:tcW w:w="907" w:type="pct"/>
          </w:tcPr>
          <w:p w:rsidR="0045391D" w:rsidRPr="00990D3B" w:rsidP="00A133A2" w14:paraId="6D2D3D4D" w14:textId="77777777">
            <w:pPr>
              <w:pStyle w:val="EQRTableText"/>
              <w:rPr>
                <w:b/>
              </w:rPr>
            </w:pPr>
          </w:p>
        </w:tc>
        <w:tc>
          <w:tcPr>
            <w:tcW w:w="809" w:type="pct"/>
          </w:tcPr>
          <w:p w:rsidR="0045391D" w:rsidRPr="00990D3B" w:rsidP="00A133A2" w14:paraId="7B9596B3" w14:textId="77777777">
            <w:pPr>
              <w:pStyle w:val="EQRTableText"/>
              <w:rPr>
                <w:b/>
              </w:rPr>
            </w:pPr>
          </w:p>
        </w:tc>
        <w:tc>
          <w:tcPr>
            <w:tcW w:w="707" w:type="pct"/>
          </w:tcPr>
          <w:p w:rsidR="0045391D" w:rsidRPr="00990D3B" w:rsidP="00A133A2" w14:paraId="34C3483D" w14:textId="77777777">
            <w:pPr>
              <w:pStyle w:val="EQRTableText"/>
              <w:rPr>
                <w:b/>
              </w:rPr>
            </w:pPr>
          </w:p>
        </w:tc>
      </w:tr>
      <w:tr w14:paraId="3168CD54" w14:textId="77777777" w:rsidTr="00A133A2">
        <w:tblPrEx>
          <w:tblW w:w="5044" w:type="pct"/>
          <w:tblLayout w:type="fixed"/>
          <w:tblLook w:val="04A0"/>
        </w:tblPrEx>
        <w:trPr>
          <w:cantSplit/>
        </w:trPr>
        <w:tc>
          <w:tcPr>
            <w:tcW w:w="761" w:type="pct"/>
            <w:shd w:val="clear" w:color="auto" w:fill="auto"/>
          </w:tcPr>
          <w:p w:rsidR="0045391D" w:rsidRPr="00990D3B" w:rsidP="00A133A2" w14:paraId="072E2031" w14:textId="77777777">
            <w:pPr>
              <w:pStyle w:val="EQRTableText"/>
              <w:rPr>
                <w:bCs w:val="0"/>
              </w:rPr>
            </w:pPr>
            <w:r w:rsidRPr="00990D3B">
              <w:rPr>
                <w:bCs w:val="0"/>
              </w:rPr>
              <w:t>Data analysis</w:t>
            </w:r>
          </w:p>
        </w:tc>
        <w:tc>
          <w:tcPr>
            <w:tcW w:w="763" w:type="pct"/>
            <w:shd w:val="clear" w:color="auto" w:fill="auto"/>
          </w:tcPr>
          <w:p w:rsidR="0045391D" w:rsidRPr="00990D3B" w:rsidP="00A133A2" w14:paraId="0F95BB51" w14:textId="77777777">
            <w:pPr>
              <w:pStyle w:val="EQRTableText"/>
              <w:rPr>
                <w:b/>
              </w:rPr>
            </w:pPr>
            <w:r w:rsidRPr="00990D3B">
              <w:t>EQRO</w:t>
            </w:r>
          </w:p>
        </w:tc>
        <w:tc>
          <w:tcPr>
            <w:tcW w:w="525" w:type="pct"/>
            <w:shd w:val="clear" w:color="auto" w:fill="auto"/>
          </w:tcPr>
          <w:p w:rsidR="0045391D" w:rsidRPr="00990D3B" w:rsidP="00A133A2" w14:paraId="7E3FB8C9" w14:textId="77777777">
            <w:pPr>
              <w:pStyle w:val="EQRTableText"/>
              <w:rPr>
                <w:b/>
              </w:rPr>
            </w:pPr>
            <w:r w:rsidRPr="00990D3B">
              <w:t>Mar 2033</w:t>
            </w:r>
          </w:p>
        </w:tc>
        <w:tc>
          <w:tcPr>
            <w:tcW w:w="525" w:type="pct"/>
            <w:shd w:val="clear" w:color="auto" w:fill="auto"/>
          </w:tcPr>
          <w:p w:rsidR="0045391D" w:rsidRPr="00990D3B" w:rsidP="00A133A2" w14:paraId="6DA0F738" w14:textId="77777777">
            <w:pPr>
              <w:pStyle w:val="EQRTableText"/>
              <w:rPr>
                <w:b/>
              </w:rPr>
            </w:pPr>
            <w:r w:rsidRPr="00990D3B">
              <w:t>Jun 2033</w:t>
            </w:r>
          </w:p>
        </w:tc>
        <w:tc>
          <w:tcPr>
            <w:tcW w:w="907" w:type="pct"/>
            <w:shd w:val="clear" w:color="auto" w:fill="auto"/>
          </w:tcPr>
          <w:p w:rsidR="0045391D" w:rsidRPr="00990D3B" w:rsidP="00A133A2" w14:paraId="53391774" w14:textId="77777777">
            <w:pPr>
              <w:pStyle w:val="EQRTableText"/>
              <w:rPr>
                <w:b/>
              </w:rPr>
            </w:pPr>
            <w:r w:rsidRPr="00990D3B">
              <w:t xml:space="preserve">Draft summary of prepared findings </w:t>
            </w:r>
          </w:p>
        </w:tc>
        <w:tc>
          <w:tcPr>
            <w:tcW w:w="809" w:type="pct"/>
            <w:shd w:val="clear" w:color="auto" w:fill="auto"/>
          </w:tcPr>
          <w:p w:rsidR="0045391D" w:rsidRPr="00990D3B" w:rsidP="00A133A2" w14:paraId="50459D93" w14:textId="77777777">
            <w:pPr>
              <w:pStyle w:val="EQRTableText"/>
              <w:rPr>
                <w:b/>
              </w:rPr>
            </w:pPr>
            <w:r w:rsidRPr="00990D3B">
              <w:t xml:space="preserve">Metric QA must be complete </w:t>
            </w:r>
          </w:p>
        </w:tc>
        <w:tc>
          <w:tcPr>
            <w:tcW w:w="707" w:type="pct"/>
            <w:shd w:val="clear" w:color="auto" w:fill="auto"/>
          </w:tcPr>
          <w:p w:rsidR="0045391D" w:rsidRPr="00990D3B" w:rsidP="00A133A2" w14:paraId="19BAE17A" w14:textId="77777777">
            <w:pPr>
              <w:pStyle w:val="EQRTableText"/>
              <w:rPr>
                <w:b/>
              </w:rPr>
            </w:pPr>
            <w:r w:rsidRPr="00990D3B">
              <w:t xml:space="preserve">Can be conducted on a rolling basis as metric QA is completed </w:t>
            </w:r>
          </w:p>
        </w:tc>
      </w:tr>
      <w:tr w14:paraId="632D1153" w14:textId="77777777" w:rsidTr="00A133A2">
        <w:tblPrEx>
          <w:tblW w:w="5044" w:type="pct"/>
          <w:tblLayout w:type="fixed"/>
          <w:tblLook w:val="04A0"/>
        </w:tblPrEx>
        <w:trPr>
          <w:cantSplit/>
        </w:trPr>
        <w:tc>
          <w:tcPr>
            <w:tcW w:w="761" w:type="pct"/>
          </w:tcPr>
          <w:p w:rsidR="0045391D" w:rsidRPr="00990D3B" w:rsidP="00A133A2" w14:paraId="1C99D859" w14:textId="77777777">
            <w:pPr>
              <w:pStyle w:val="EQRTableText"/>
              <w:rPr>
                <w:bCs w:val="0"/>
              </w:rPr>
            </w:pPr>
            <w:r w:rsidRPr="00990D3B">
              <w:rPr>
                <w:bCs w:val="0"/>
              </w:rPr>
              <w:t xml:space="preserve">QA of </w:t>
            </w:r>
            <w:r w:rsidRPr="00990D3B">
              <w:rPr>
                <w:bCs w:val="0"/>
              </w:rPr>
              <w:t>final results</w:t>
            </w:r>
            <w:r w:rsidRPr="00990D3B">
              <w:rPr>
                <w:bCs w:val="0"/>
              </w:rPr>
              <w:t xml:space="preserve"> </w:t>
            </w:r>
          </w:p>
        </w:tc>
        <w:tc>
          <w:tcPr>
            <w:tcW w:w="763" w:type="pct"/>
          </w:tcPr>
          <w:p w:rsidR="0045391D" w:rsidRPr="00990D3B" w:rsidP="00A133A2" w14:paraId="550D9716" w14:textId="77777777">
            <w:pPr>
              <w:pStyle w:val="EQRTableText"/>
              <w:rPr>
                <w:b/>
              </w:rPr>
            </w:pPr>
            <w:r w:rsidRPr="00990D3B">
              <w:t>EQRO</w:t>
            </w:r>
          </w:p>
        </w:tc>
        <w:tc>
          <w:tcPr>
            <w:tcW w:w="525" w:type="pct"/>
          </w:tcPr>
          <w:p w:rsidR="0045391D" w:rsidRPr="00990D3B" w:rsidP="00A133A2" w14:paraId="056A0F25" w14:textId="77777777">
            <w:pPr>
              <w:pStyle w:val="EQRTableText"/>
              <w:rPr>
                <w:b/>
              </w:rPr>
            </w:pPr>
            <w:r w:rsidRPr="00990D3B">
              <w:t>Jun 2033</w:t>
            </w:r>
          </w:p>
        </w:tc>
        <w:tc>
          <w:tcPr>
            <w:tcW w:w="525" w:type="pct"/>
          </w:tcPr>
          <w:p w:rsidR="0045391D" w:rsidRPr="00990D3B" w:rsidP="00A133A2" w14:paraId="50D3C459" w14:textId="77777777">
            <w:pPr>
              <w:pStyle w:val="EQRTableText"/>
              <w:rPr>
                <w:b/>
              </w:rPr>
            </w:pPr>
            <w:r w:rsidRPr="00990D3B">
              <w:t>Jun 2033</w:t>
            </w:r>
          </w:p>
        </w:tc>
        <w:tc>
          <w:tcPr>
            <w:tcW w:w="907" w:type="pct"/>
          </w:tcPr>
          <w:p w:rsidR="0045391D" w:rsidRPr="00990D3B" w:rsidP="00A133A2" w14:paraId="6720763A" w14:textId="77777777">
            <w:pPr>
              <w:pStyle w:val="EQRTableText"/>
              <w:rPr>
                <w:b/>
              </w:rPr>
            </w:pPr>
            <w:r w:rsidRPr="00990D3B">
              <w:t xml:space="preserve">Final summary of prepared findings  </w:t>
            </w:r>
          </w:p>
        </w:tc>
        <w:tc>
          <w:tcPr>
            <w:tcW w:w="809" w:type="pct"/>
          </w:tcPr>
          <w:p w:rsidR="0045391D" w:rsidRPr="00990D3B" w:rsidP="00A133A2" w14:paraId="63647E7D" w14:textId="77777777">
            <w:pPr>
              <w:pStyle w:val="EQRTableText"/>
              <w:rPr>
                <w:b/>
              </w:rPr>
            </w:pPr>
          </w:p>
        </w:tc>
        <w:tc>
          <w:tcPr>
            <w:tcW w:w="707" w:type="pct"/>
          </w:tcPr>
          <w:p w:rsidR="0045391D" w:rsidRPr="00990D3B" w:rsidP="00A133A2" w14:paraId="21555F13" w14:textId="77777777">
            <w:pPr>
              <w:pStyle w:val="EQRTableText"/>
              <w:rPr>
                <w:b/>
              </w:rPr>
            </w:pPr>
            <w:r w:rsidRPr="00990D3B">
              <w:t xml:space="preserve">Can be conducted on a rolling basis as analyses are completed </w:t>
            </w:r>
          </w:p>
        </w:tc>
      </w:tr>
      <w:tr w14:paraId="63839F2B" w14:textId="77777777" w:rsidTr="00A133A2">
        <w:tblPrEx>
          <w:tblW w:w="5044" w:type="pct"/>
          <w:tblLayout w:type="fixed"/>
          <w:tblLook w:val="04A0"/>
        </w:tblPrEx>
        <w:trPr>
          <w:cantSplit/>
        </w:trPr>
        <w:tc>
          <w:tcPr>
            <w:tcW w:w="761" w:type="pct"/>
            <w:shd w:val="clear" w:color="auto" w:fill="auto"/>
          </w:tcPr>
          <w:p w:rsidR="0045391D" w:rsidRPr="00990D3B" w:rsidP="00A133A2" w14:paraId="52FE8A8C" w14:textId="77777777">
            <w:pPr>
              <w:pStyle w:val="EQRTableText"/>
              <w:rPr>
                <w:bCs w:val="0"/>
              </w:rPr>
            </w:pPr>
            <w:r w:rsidRPr="00990D3B">
              <w:rPr>
                <w:bCs w:val="0"/>
              </w:rPr>
              <w:t>Draft report</w:t>
            </w:r>
          </w:p>
        </w:tc>
        <w:tc>
          <w:tcPr>
            <w:tcW w:w="763" w:type="pct"/>
            <w:shd w:val="clear" w:color="auto" w:fill="auto"/>
          </w:tcPr>
          <w:p w:rsidR="0045391D" w:rsidRPr="00990D3B" w:rsidP="00A133A2" w14:paraId="0A15FE32" w14:textId="77777777">
            <w:pPr>
              <w:pStyle w:val="EQRTableText"/>
              <w:rPr>
                <w:b/>
              </w:rPr>
            </w:pPr>
            <w:r w:rsidRPr="00990D3B">
              <w:t>EQRO</w:t>
            </w:r>
          </w:p>
        </w:tc>
        <w:tc>
          <w:tcPr>
            <w:tcW w:w="525" w:type="pct"/>
            <w:shd w:val="clear" w:color="auto" w:fill="auto"/>
          </w:tcPr>
          <w:p w:rsidR="0045391D" w:rsidRPr="00990D3B" w:rsidP="00A133A2" w14:paraId="08C575C5" w14:textId="77777777">
            <w:pPr>
              <w:pStyle w:val="EQRTableText"/>
              <w:rPr>
                <w:b/>
              </w:rPr>
            </w:pPr>
            <w:r w:rsidRPr="00990D3B">
              <w:t>Jul 2033</w:t>
            </w:r>
          </w:p>
        </w:tc>
        <w:tc>
          <w:tcPr>
            <w:tcW w:w="525" w:type="pct"/>
            <w:shd w:val="clear" w:color="auto" w:fill="auto"/>
          </w:tcPr>
          <w:p w:rsidR="0045391D" w:rsidRPr="00990D3B" w:rsidP="00A133A2" w14:paraId="1A43C37C" w14:textId="77777777">
            <w:pPr>
              <w:pStyle w:val="EQRTableText"/>
              <w:rPr>
                <w:b/>
              </w:rPr>
            </w:pPr>
            <w:r w:rsidRPr="00990D3B">
              <w:t>Aug 2033</w:t>
            </w:r>
          </w:p>
        </w:tc>
        <w:tc>
          <w:tcPr>
            <w:tcW w:w="907" w:type="pct"/>
            <w:shd w:val="clear" w:color="auto" w:fill="auto"/>
          </w:tcPr>
          <w:p w:rsidR="0045391D" w:rsidRPr="00990D3B" w:rsidP="00A133A2" w14:paraId="34AF3960" w14:textId="77777777">
            <w:pPr>
              <w:pStyle w:val="EQRTableText"/>
              <w:rPr>
                <w:b/>
              </w:rPr>
            </w:pPr>
            <w:r w:rsidRPr="00990D3B">
              <w:t>Draft evaluation report</w:t>
            </w:r>
          </w:p>
        </w:tc>
        <w:tc>
          <w:tcPr>
            <w:tcW w:w="809" w:type="pct"/>
            <w:shd w:val="clear" w:color="auto" w:fill="auto"/>
          </w:tcPr>
          <w:p w:rsidR="0045391D" w:rsidRPr="00990D3B" w:rsidP="00A133A2" w14:paraId="4138DCBC" w14:textId="77777777">
            <w:pPr>
              <w:pStyle w:val="EQRTableText"/>
              <w:rPr>
                <w:b/>
              </w:rPr>
            </w:pPr>
            <w:r w:rsidRPr="00990D3B">
              <w:t xml:space="preserve">Data analysis and QA of </w:t>
            </w:r>
            <w:r w:rsidRPr="00990D3B">
              <w:t>final results</w:t>
            </w:r>
            <w:r w:rsidRPr="00990D3B">
              <w:t xml:space="preserve"> must be complete </w:t>
            </w:r>
          </w:p>
        </w:tc>
        <w:tc>
          <w:tcPr>
            <w:tcW w:w="707" w:type="pct"/>
            <w:shd w:val="clear" w:color="auto" w:fill="auto"/>
          </w:tcPr>
          <w:p w:rsidR="0045391D" w:rsidRPr="00990D3B" w:rsidP="00A133A2" w14:paraId="3D78EF5D" w14:textId="77777777">
            <w:pPr>
              <w:pStyle w:val="EQRTableText"/>
              <w:rPr>
                <w:b/>
              </w:rPr>
            </w:pPr>
          </w:p>
        </w:tc>
      </w:tr>
      <w:tr w14:paraId="1FEDCA2E" w14:textId="77777777" w:rsidTr="00A133A2">
        <w:tblPrEx>
          <w:tblW w:w="5044" w:type="pct"/>
          <w:tblLayout w:type="fixed"/>
          <w:tblLook w:val="04A0"/>
        </w:tblPrEx>
        <w:trPr>
          <w:cantSplit/>
        </w:trPr>
        <w:tc>
          <w:tcPr>
            <w:tcW w:w="761" w:type="pct"/>
          </w:tcPr>
          <w:p w:rsidR="0045391D" w:rsidRPr="00990D3B" w:rsidP="00A133A2" w14:paraId="4B7E3366" w14:textId="77777777">
            <w:pPr>
              <w:pStyle w:val="EQRTableText"/>
              <w:rPr>
                <w:bCs w:val="0"/>
              </w:rPr>
            </w:pPr>
            <w:r w:rsidRPr="00990D3B">
              <w:rPr>
                <w:bCs w:val="0"/>
              </w:rPr>
              <w:t>Partner review and feedback</w:t>
            </w:r>
          </w:p>
        </w:tc>
        <w:tc>
          <w:tcPr>
            <w:tcW w:w="763" w:type="pct"/>
          </w:tcPr>
          <w:p w:rsidR="0045391D" w:rsidRPr="00990D3B" w:rsidP="00A133A2" w14:paraId="4386B6C8" w14:textId="77777777">
            <w:pPr>
              <w:pStyle w:val="EQRTableText"/>
              <w:rPr>
                <w:b/>
              </w:rPr>
            </w:pPr>
            <w:r w:rsidRPr="00990D3B">
              <w:t>SMA</w:t>
            </w:r>
          </w:p>
        </w:tc>
        <w:tc>
          <w:tcPr>
            <w:tcW w:w="525" w:type="pct"/>
          </w:tcPr>
          <w:p w:rsidR="0045391D" w:rsidRPr="00990D3B" w:rsidP="00A133A2" w14:paraId="221EF19F" w14:textId="77777777">
            <w:pPr>
              <w:pStyle w:val="EQRTableText"/>
              <w:rPr>
                <w:b/>
              </w:rPr>
            </w:pPr>
            <w:r w:rsidRPr="00990D3B">
              <w:t>Sep 2033</w:t>
            </w:r>
          </w:p>
        </w:tc>
        <w:tc>
          <w:tcPr>
            <w:tcW w:w="525" w:type="pct"/>
          </w:tcPr>
          <w:p w:rsidR="0045391D" w:rsidRPr="00990D3B" w:rsidP="00A133A2" w14:paraId="182827DF" w14:textId="77777777">
            <w:pPr>
              <w:pStyle w:val="EQRTableText"/>
              <w:rPr>
                <w:b/>
              </w:rPr>
            </w:pPr>
            <w:r w:rsidRPr="00990D3B">
              <w:t>Nov 2033</w:t>
            </w:r>
          </w:p>
        </w:tc>
        <w:tc>
          <w:tcPr>
            <w:tcW w:w="907" w:type="pct"/>
          </w:tcPr>
          <w:p w:rsidR="0045391D" w:rsidRPr="00990D3B" w:rsidP="00A133A2" w14:paraId="578E57F3" w14:textId="77777777">
            <w:pPr>
              <w:pStyle w:val="EQRTableText"/>
              <w:rPr>
                <w:b/>
              </w:rPr>
            </w:pPr>
          </w:p>
        </w:tc>
        <w:tc>
          <w:tcPr>
            <w:tcW w:w="809" w:type="pct"/>
          </w:tcPr>
          <w:p w:rsidR="0045391D" w:rsidRPr="00990D3B" w:rsidP="00A133A2" w14:paraId="0AD0D920" w14:textId="77777777">
            <w:pPr>
              <w:pStyle w:val="EQRTableText"/>
              <w:rPr>
                <w:b/>
              </w:rPr>
            </w:pPr>
            <w:r w:rsidRPr="00990D3B">
              <w:t>Draft report must be complete</w:t>
            </w:r>
          </w:p>
        </w:tc>
        <w:tc>
          <w:tcPr>
            <w:tcW w:w="707" w:type="pct"/>
          </w:tcPr>
          <w:p w:rsidR="0045391D" w:rsidRPr="00990D3B" w:rsidP="00A133A2" w14:paraId="09265DEC" w14:textId="77777777">
            <w:pPr>
              <w:pStyle w:val="EQRTableText"/>
              <w:rPr>
                <w:b/>
              </w:rPr>
            </w:pPr>
            <w:r w:rsidRPr="00990D3B">
              <w:t>SMA leadership asked for a minimum of 6 weeks</w:t>
            </w:r>
          </w:p>
        </w:tc>
      </w:tr>
      <w:tr w14:paraId="76F3C2E4" w14:textId="77777777" w:rsidTr="00A133A2">
        <w:tblPrEx>
          <w:tblW w:w="5044" w:type="pct"/>
          <w:tblLayout w:type="fixed"/>
          <w:tblLook w:val="04A0"/>
        </w:tblPrEx>
        <w:trPr>
          <w:cantSplit/>
        </w:trPr>
        <w:tc>
          <w:tcPr>
            <w:tcW w:w="761" w:type="pct"/>
            <w:shd w:val="clear" w:color="auto" w:fill="auto"/>
          </w:tcPr>
          <w:p w:rsidR="0045391D" w:rsidRPr="00990D3B" w:rsidP="00A133A2" w14:paraId="0071F6F8" w14:textId="77777777">
            <w:pPr>
              <w:pStyle w:val="EQRTableText"/>
              <w:rPr>
                <w:bCs w:val="0"/>
              </w:rPr>
            </w:pPr>
            <w:r w:rsidRPr="00990D3B">
              <w:rPr>
                <w:bCs w:val="0"/>
              </w:rPr>
              <w:t>Finalize report</w:t>
            </w:r>
          </w:p>
        </w:tc>
        <w:tc>
          <w:tcPr>
            <w:tcW w:w="763" w:type="pct"/>
            <w:shd w:val="clear" w:color="auto" w:fill="auto"/>
          </w:tcPr>
          <w:p w:rsidR="0045391D" w:rsidRPr="00990D3B" w:rsidP="00A133A2" w14:paraId="2F1C3AAC" w14:textId="77777777">
            <w:pPr>
              <w:pStyle w:val="EQRTableText"/>
              <w:rPr>
                <w:b/>
              </w:rPr>
            </w:pPr>
            <w:r w:rsidRPr="00990D3B">
              <w:t>EQRO</w:t>
            </w:r>
          </w:p>
        </w:tc>
        <w:tc>
          <w:tcPr>
            <w:tcW w:w="525" w:type="pct"/>
            <w:shd w:val="clear" w:color="auto" w:fill="auto"/>
          </w:tcPr>
          <w:p w:rsidR="0045391D" w:rsidRPr="00990D3B" w:rsidP="00A133A2" w14:paraId="6903A343" w14:textId="77777777">
            <w:pPr>
              <w:pStyle w:val="EQRTableText"/>
              <w:rPr>
                <w:b/>
              </w:rPr>
            </w:pPr>
            <w:r w:rsidRPr="00990D3B">
              <w:t>Nov 2033</w:t>
            </w:r>
          </w:p>
        </w:tc>
        <w:tc>
          <w:tcPr>
            <w:tcW w:w="525" w:type="pct"/>
            <w:shd w:val="clear" w:color="auto" w:fill="auto"/>
          </w:tcPr>
          <w:p w:rsidR="0045391D" w:rsidRPr="00990D3B" w:rsidP="00A133A2" w14:paraId="4B9B3152" w14:textId="77777777">
            <w:pPr>
              <w:pStyle w:val="EQRTableText"/>
              <w:rPr>
                <w:b/>
              </w:rPr>
            </w:pPr>
            <w:r w:rsidRPr="00990D3B">
              <w:t>Dec 2033</w:t>
            </w:r>
          </w:p>
        </w:tc>
        <w:tc>
          <w:tcPr>
            <w:tcW w:w="907" w:type="pct"/>
            <w:shd w:val="clear" w:color="auto" w:fill="auto"/>
          </w:tcPr>
          <w:p w:rsidR="0045391D" w:rsidRPr="00990D3B" w:rsidP="00A133A2" w14:paraId="1BBFEF35" w14:textId="77777777">
            <w:pPr>
              <w:pStyle w:val="EQRTableText"/>
              <w:rPr>
                <w:b/>
              </w:rPr>
            </w:pPr>
          </w:p>
        </w:tc>
        <w:tc>
          <w:tcPr>
            <w:tcW w:w="809" w:type="pct"/>
            <w:shd w:val="clear" w:color="auto" w:fill="auto"/>
          </w:tcPr>
          <w:p w:rsidR="0045391D" w:rsidRPr="00990D3B" w:rsidP="00A133A2" w14:paraId="2D48849E" w14:textId="77777777">
            <w:pPr>
              <w:pStyle w:val="EQRTableText"/>
              <w:rPr>
                <w:b/>
              </w:rPr>
            </w:pPr>
            <w:r w:rsidRPr="00990D3B">
              <w:t xml:space="preserve">Partner review must be complete </w:t>
            </w:r>
          </w:p>
        </w:tc>
        <w:tc>
          <w:tcPr>
            <w:tcW w:w="707" w:type="pct"/>
            <w:shd w:val="clear" w:color="auto" w:fill="auto"/>
          </w:tcPr>
          <w:p w:rsidR="0045391D" w:rsidRPr="00990D3B" w:rsidP="00A133A2" w14:paraId="52147C5C" w14:textId="77777777">
            <w:pPr>
              <w:pStyle w:val="EQRTableText"/>
              <w:rPr>
                <w:b/>
              </w:rPr>
            </w:pPr>
          </w:p>
        </w:tc>
      </w:tr>
      <w:tr w14:paraId="54499F38" w14:textId="77777777" w:rsidTr="00A133A2">
        <w:tblPrEx>
          <w:tblW w:w="5044" w:type="pct"/>
          <w:tblLayout w:type="fixed"/>
          <w:tblLook w:val="04A0"/>
        </w:tblPrEx>
        <w:trPr>
          <w:cantSplit/>
        </w:trPr>
        <w:tc>
          <w:tcPr>
            <w:tcW w:w="761" w:type="pct"/>
          </w:tcPr>
          <w:p w:rsidR="0045391D" w:rsidRPr="00990D3B" w:rsidP="00A133A2" w14:paraId="00888D22" w14:textId="77777777">
            <w:pPr>
              <w:pStyle w:val="EQRTableText"/>
              <w:rPr>
                <w:bCs w:val="0"/>
              </w:rPr>
            </w:pPr>
            <w:r w:rsidRPr="00990D3B">
              <w:rPr>
                <w:bCs w:val="0"/>
              </w:rPr>
              <w:t xml:space="preserve">Submission to CMS </w:t>
            </w:r>
          </w:p>
        </w:tc>
        <w:tc>
          <w:tcPr>
            <w:tcW w:w="763" w:type="pct"/>
          </w:tcPr>
          <w:p w:rsidR="0045391D" w:rsidRPr="00990D3B" w:rsidP="00A133A2" w14:paraId="119AFED6" w14:textId="77777777">
            <w:pPr>
              <w:pStyle w:val="EQRTableText"/>
              <w:rPr>
                <w:b/>
              </w:rPr>
            </w:pPr>
            <w:r w:rsidRPr="00990D3B">
              <w:t>SMA</w:t>
            </w:r>
          </w:p>
        </w:tc>
        <w:tc>
          <w:tcPr>
            <w:tcW w:w="525" w:type="pct"/>
          </w:tcPr>
          <w:p w:rsidR="0045391D" w:rsidRPr="00990D3B" w:rsidP="00A133A2" w14:paraId="022F150A" w14:textId="77777777">
            <w:pPr>
              <w:pStyle w:val="EQRTableText"/>
              <w:rPr>
                <w:b/>
              </w:rPr>
            </w:pPr>
          </w:p>
        </w:tc>
        <w:tc>
          <w:tcPr>
            <w:tcW w:w="525" w:type="pct"/>
          </w:tcPr>
          <w:p w:rsidR="0045391D" w:rsidRPr="00990D3B" w:rsidP="00A133A2" w14:paraId="6346CF93" w14:textId="77777777">
            <w:pPr>
              <w:pStyle w:val="EQRTableText"/>
              <w:rPr>
                <w:b/>
              </w:rPr>
            </w:pPr>
            <w:r w:rsidRPr="00990D3B">
              <w:t>Dec 2033</w:t>
            </w:r>
          </w:p>
        </w:tc>
        <w:tc>
          <w:tcPr>
            <w:tcW w:w="907" w:type="pct"/>
          </w:tcPr>
          <w:p w:rsidR="0045391D" w:rsidRPr="00990D3B" w:rsidP="00A133A2" w14:paraId="2E961FAC" w14:textId="77777777">
            <w:pPr>
              <w:pStyle w:val="EQRTableText"/>
              <w:rPr>
                <w:b/>
              </w:rPr>
            </w:pPr>
          </w:p>
        </w:tc>
        <w:tc>
          <w:tcPr>
            <w:tcW w:w="809" w:type="pct"/>
          </w:tcPr>
          <w:p w:rsidR="0045391D" w:rsidRPr="00990D3B" w:rsidP="00A133A2" w14:paraId="5049D370" w14:textId="77777777">
            <w:pPr>
              <w:pStyle w:val="EQRTableText"/>
              <w:rPr>
                <w:b/>
              </w:rPr>
            </w:pPr>
          </w:p>
        </w:tc>
        <w:tc>
          <w:tcPr>
            <w:tcW w:w="707" w:type="pct"/>
          </w:tcPr>
          <w:p w:rsidR="0045391D" w:rsidRPr="00990D3B" w:rsidP="00A133A2" w14:paraId="3B41543E" w14:textId="77777777">
            <w:pPr>
              <w:pStyle w:val="EQRTableText"/>
              <w:rPr>
                <w:b/>
              </w:rPr>
            </w:pPr>
          </w:p>
        </w:tc>
      </w:tr>
    </w:tbl>
    <w:p w:rsidR="0045391D" w:rsidRPr="00990D3B" w14:paraId="276E193D" w14:textId="77777777">
      <w:pPr>
        <w:spacing w:line="240" w:lineRule="auto"/>
        <w:rPr>
          <w:rFonts w:ascii="Arial Black" w:eastAsia="Arial" w:hAnsi="Arial Black" w:cs="Arial"/>
          <w:color w:val="000000" w:themeColor="text1"/>
          <w:sz w:val="19"/>
          <w:szCs w:val="19"/>
        </w:rPr>
      </w:pPr>
      <w:r w:rsidRPr="00990D3B">
        <w:br w:type="page"/>
      </w:r>
    </w:p>
    <w:p w:rsidR="0045391D" w:rsidRPr="00990D3B" w:rsidP="00666AC0" w14:paraId="45CAF03C" w14:textId="77777777">
      <w:pPr>
        <w:pStyle w:val="EQRMarkforExhibitWORKSHEET"/>
      </w:pPr>
      <w:bookmarkStart w:id="1106" w:name="WS11n6"/>
      <w:bookmarkStart w:id="1107" w:name="_Toc201751572"/>
      <w:bookmarkEnd w:id="1106"/>
      <w:r w:rsidRPr="00990D3B">
        <w:t>Worksheet 11.6. Checklist for Evaluation Report</w:t>
      </w:r>
      <w:bookmarkEnd w:id="1107"/>
      <w:r w:rsidRPr="00990D3B">
        <w:t xml:space="preserve"> </w:t>
      </w:r>
    </w:p>
    <w:p w:rsidR="0045391D" w:rsidRPr="00990D3B" w:rsidP="00343496" w14:paraId="156EF4AF" w14:textId="77777777">
      <w:pPr>
        <w:pStyle w:val="EQRNormalSSWORKSHEET"/>
        <w:rPr>
          <w:b/>
          <w:bCs/>
        </w:rPr>
      </w:pPr>
      <w:r w:rsidRPr="00990D3B">
        <w:rPr>
          <w:b/>
          <w:bCs/>
        </w:rPr>
        <w:t>Evaluation Type</w:t>
      </w:r>
      <w:r w:rsidRPr="00990D3B">
        <w:rPr>
          <w:b/>
          <w:bCs/>
        </w:rPr>
        <w:t>:  [  ]</w:t>
      </w:r>
      <w:r w:rsidRPr="00990D3B">
        <w:rPr>
          <w:b/>
          <w:bCs/>
        </w:rPr>
        <w:t xml:space="preserve">  </w:t>
      </w:r>
      <w:r w:rsidRPr="00990D3B">
        <w:rPr>
          <w:b/>
          <w:bCs/>
        </w:rPr>
        <w:t>QS  [  ]</w:t>
      </w:r>
      <w:r w:rsidRPr="00990D3B">
        <w:rPr>
          <w:b/>
          <w:bCs/>
        </w:rPr>
        <w:t xml:space="preserve">  SDP</w:t>
      </w:r>
      <w:r w:rsidRPr="00990D3B">
        <w:rPr>
          <w:b/>
          <w:bCs/>
        </w:rPr>
        <w:t xml:space="preserve">   [  ]</w:t>
      </w:r>
      <w:r w:rsidRPr="00990D3B">
        <w:rPr>
          <w:b/>
          <w:bCs/>
        </w:rPr>
        <w:t xml:space="preserve">  ILOS</w:t>
      </w:r>
    </w:p>
    <w:p w:rsidR="0045391D" w:rsidRPr="00990D3B" w:rsidP="00666AC0" w14:paraId="5CAD8A9B" w14:textId="77777777">
      <w:pPr>
        <w:pStyle w:val="EQRNormalSSWORKSHEET"/>
        <w:rPr>
          <w:rFonts w:asciiTheme="majorHAnsi" w:hAnsiTheme="majorHAnsi" w:cstheme="majorHAnsi"/>
          <w:bCs/>
        </w:rPr>
      </w:pPr>
      <w:r w:rsidRPr="00990D3B">
        <w:rPr>
          <w:rFonts w:cs="Arial"/>
          <w:b/>
          <w:bCs/>
        </w:rPr>
        <w:t>Instructions.</w:t>
      </w:r>
      <w:r w:rsidRPr="00990D3B">
        <w:rPr>
          <w:b/>
          <w:bCs/>
        </w:rPr>
        <w:t xml:space="preserve"> </w:t>
      </w:r>
      <w:r w:rsidRPr="00990D3B">
        <w:rPr>
          <w:rFonts w:asciiTheme="majorHAnsi" w:hAnsiTheme="majorHAnsi" w:cstheme="majorHAnsi"/>
          <w:bCs/>
        </w:rPr>
        <w:t xml:space="preserve">The worksheet below guides the evaluation report finalization process, ensuring that key components and information are included. It is a general guide and may not address all federal, state, or other regulatory reporting requirements. If applicable, review and incorporate any additional requirements or standards that may apply to the evaluation. </w:t>
      </w:r>
    </w:p>
    <w:p w:rsidR="0045391D" w:rsidRPr="00990D3B" w:rsidP="00666AC0" w14:paraId="08AB3C85" w14:textId="77777777">
      <w:pPr>
        <w:pStyle w:val="EQRNormalSSWORKSHEET"/>
        <w:rPr>
          <w:rFonts w:asciiTheme="majorHAnsi" w:hAnsiTheme="majorHAnsi" w:cstheme="majorHAnsi"/>
          <w:bCs/>
        </w:rPr>
      </w:pPr>
      <w:r w:rsidRPr="00990D3B">
        <w:rPr>
          <w:rFonts w:asciiTheme="majorHAnsi" w:hAnsiTheme="majorHAnsi" w:cstheme="majorHAnsi"/>
          <w:bCs/>
        </w:rPr>
        <w:t xml:space="preserve">In the checklist below, select “Yes” if the report addresses the reporting element. When selecting “No” or “Not Applicable (NA)”, be sure to provide a brief comment to explain why the element is missing or not applicable. </w:t>
      </w:r>
    </w:p>
    <w:p w:rsidR="0045391D" w:rsidRPr="00990D3B" w:rsidP="00666AC0" w14:paraId="2C3D767C" w14:textId="77777777">
      <w:pPr>
        <w:pStyle w:val="EQRNormalSSWORKSHEET"/>
        <w:rPr>
          <w:rFonts w:asciiTheme="majorHAnsi" w:hAnsiTheme="majorHAnsi" w:cstheme="majorHAnsi"/>
          <w:bCs/>
        </w:rPr>
      </w:pPr>
      <w:r w:rsidRPr="00990D3B">
        <w:rPr>
          <w:rFonts w:asciiTheme="majorHAnsi" w:hAnsiTheme="majorHAnsi" w:cstheme="majorHAnsi"/>
        </w:rPr>
        <w:t>Acronyms: ILOS = In Lieu of Services and Settings; QS = Quality Strategy; SDP = State Directed Payment.</w:t>
      </w:r>
    </w:p>
    <w:tbl>
      <w:tblPr>
        <w:tblStyle w:val="TableGrid"/>
        <w:tblW w:w="5000" w:type="pct"/>
        <w:tblLayout w:type="fixed"/>
        <w:tblLook w:val="04A0"/>
      </w:tblPr>
      <w:tblGrid>
        <w:gridCol w:w="5977"/>
        <w:gridCol w:w="790"/>
        <w:gridCol w:w="789"/>
        <w:gridCol w:w="789"/>
        <w:gridCol w:w="4605"/>
      </w:tblGrid>
      <w:tr w14:paraId="457B9B94" w14:textId="77777777" w:rsidTr="00666AC0">
        <w:tblPrEx>
          <w:tblW w:w="5000" w:type="pct"/>
          <w:tblLayout w:type="fixed"/>
          <w:tblLook w:val="04A0"/>
        </w:tblPrEx>
        <w:trPr>
          <w:cantSplit/>
          <w:tblHeader/>
        </w:trPr>
        <w:tc>
          <w:tcPr>
            <w:tcW w:w="9350" w:type="dxa"/>
            <w:gridSpan w:val="5"/>
            <w:vAlign w:val="bottom"/>
          </w:tcPr>
          <w:p w:rsidR="0045391D" w:rsidRPr="00990D3B" w:rsidP="00666AC0" w14:paraId="4CF7476A" w14:textId="77777777">
            <w:pPr>
              <w:pStyle w:val="EQRTableHeaderCenter"/>
              <w:jc w:val="left"/>
              <w:rPr>
                <w:rFonts w:cs="Arial"/>
                <w:color w:val="auto"/>
                <w:szCs w:val="18"/>
              </w:rPr>
            </w:pPr>
            <w:r w:rsidRPr="00990D3B">
              <w:rPr>
                <w:rFonts w:cs="Arial"/>
                <w:color w:val="auto"/>
                <w:szCs w:val="18"/>
              </w:rPr>
              <w:t xml:space="preserve">Title of evaluation report: </w:t>
            </w:r>
          </w:p>
        </w:tc>
      </w:tr>
      <w:tr w14:paraId="5FFB39A4" w14:textId="77777777" w:rsidTr="00666AC0">
        <w:tblPrEx>
          <w:tblW w:w="5000" w:type="pct"/>
          <w:tblLayout w:type="fixed"/>
          <w:tblLook w:val="04A0"/>
        </w:tblPrEx>
        <w:trPr>
          <w:cantSplit/>
          <w:trHeight w:val="70"/>
          <w:tblHeader/>
        </w:trPr>
        <w:tc>
          <w:tcPr>
            <w:tcW w:w="4315" w:type="dxa"/>
            <w:vAlign w:val="bottom"/>
          </w:tcPr>
          <w:p w:rsidR="0045391D" w:rsidRPr="00990D3B" w:rsidP="00666AC0" w14:paraId="320C5016" w14:textId="77777777">
            <w:pPr>
              <w:pStyle w:val="EQRTableHeaderLeft"/>
              <w:rPr>
                <w:rFonts w:cs="Arial"/>
                <w:color w:val="auto"/>
                <w:szCs w:val="18"/>
              </w:rPr>
            </w:pPr>
            <w:r w:rsidRPr="00990D3B">
              <w:rPr>
                <w:rFonts w:cs="Arial"/>
                <w:color w:val="auto"/>
                <w:szCs w:val="18"/>
              </w:rPr>
              <w:t>Reporting Element</w:t>
            </w:r>
          </w:p>
        </w:tc>
        <w:tc>
          <w:tcPr>
            <w:tcW w:w="570" w:type="dxa"/>
            <w:vAlign w:val="bottom"/>
          </w:tcPr>
          <w:p w:rsidR="0045391D" w:rsidRPr="00990D3B" w:rsidP="00666AC0" w14:paraId="1D69353C" w14:textId="77777777">
            <w:pPr>
              <w:pStyle w:val="EQRTableHeaderCenter"/>
              <w:rPr>
                <w:rFonts w:cs="Arial"/>
                <w:color w:val="auto"/>
                <w:szCs w:val="18"/>
              </w:rPr>
            </w:pPr>
            <w:r w:rsidRPr="00990D3B">
              <w:rPr>
                <w:rFonts w:cs="Arial"/>
                <w:color w:val="auto"/>
                <w:szCs w:val="18"/>
              </w:rPr>
              <w:t>Yes</w:t>
            </w:r>
          </w:p>
        </w:tc>
        <w:tc>
          <w:tcPr>
            <w:tcW w:w="570" w:type="dxa"/>
            <w:vAlign w:val="bottom"/>
          </w:tcPr>
          <w:p w:rsidR="0045391D" w:rsidRPr="00990D3B" w:rsidP="00666AC0" w14:paraId="682BFF15" w14:textId="77777777">
            <w:pPr>
              <w:pStyle w:val="EQRTableHeaderCenter"/>
              <w:rPr>
                <w:rFonts w:cs="Arial"/>
                <w:color w:val="auto"/>
                <w:szCs w:val="18"/>
              </w:rPr>
            </w:pPr>
            <w:r w:rsidRPr="00990D3B">
              <w:rPr>
                <w:rFonts w:cs="Arial"/>
                <w:color w:val="auto"/>
                <w:szCs w:val="18"/>
              </w:rPr>
              <w:t>No</w:t>
            </w:r>
          </w:p>
        </w:tc>
        <w:tc>
          <w:tcPr>
            <w:tcW w:w="570" w:type="dxa"/>
            <w:vAlign w:val="bottom"/>
          </w:tcPr>
          <w:p w:rsidR="0045391D" w:rsidRPr="00990D3B" w:rsidP="00666AC0" w14:paraId="7AE5C2FC" w14:textId="77777777">
            <w:pPr>
              <w:pStyle w:val="EQRTableHeaderCenter"/>
              <w:rPr>
                <w:rFonts w:cs="Arial"/>
                <w:color w:val="auto"/>
                <w:szCs w:val="18"/>
              </w:rPr>
            </w:pPr>
            <w:r w:rsidRPr="00990D3B">
              <w:rPr>
                <w:rFonts w:cs="Arial"/>
                <w:color w:val="auto"/>
                <w:szCs w:val="18"/>
              </w:rPr>
              <w:t>NA</w:t>
            </w:r>
          </w:p>
        </w:tc>
        <w:tc>
          <w:tcPr>
            <w:tcW w:w="3325" w:type="dxa"/>
            <w:vAlign w:val="bottom"/>
          </w:tcPr>
          <w:p w:rsidR="0045391D" w:rsidRPr="00990D3B" w:rsidP="00666AC0" w14:paraId="5B762F23" w14:textId="77777777">
            <w:pPr>
              <w:pStyle w:val="EQRTableHeaderCenter"/>
              <w:rPr>
                <w:rFonts w:cs="Arial"/>
                <w:color w:val="auto"/>
                <w:szCs w:val="18"/>
              </w:rPr>
            </w:pPr>
            <w:r w:rsidRPr="00990D3B">
              <w:rPr>
                <w:rFonts w:cs="Arial"/>
                <w:color w:val="auto"/>
                <w:szCs w:val="18"/>
              </w:rPr>
              <w:t>Comments</w:t>
            </w:r>
          </w:p>
        </w:tc>
      </w:tr>
      <w:tr w14:paraId="4AC0C64D" w14:textId="77777777" w:rsidTr="00666AC0">
        <w:tblPrEx>
          <w:tblW w:w="5000" w:type="pct"/>
          <w:tblLayout w:type="fixed"/>
          <w:tblLook w:val="04A0"/>
        </w:tblPrEx>
        <w:trPr>
          <w:cantSplit/>
        </w:trPr>
        <w:tc>
          <w:tcPr>
            <w:tcW w:w="4315" w:type="dxa"/>
          </w:tcPr>
          <w:p w:rsidR="0045391D" w:rsidRPr="00990D3B" w:rsidP="002D35CF" w14:paraId="43DF1FF2" w14:textId="77777777">
            <w:pPr>
              <w:pStyle w:val="EQRTableText"/>
              <w:numPr>
                <w:ilvl w:val="0"/>
                <w:numId w:val="224"/>
              </w:numPr>
              <w:ind w:left="390"/>
              <w:rPr>
                <w:rFonts w:cs="Arial"/>
                <w:szCs w:val="18"/>
              </w:rPr>
            </w:pPr>
            <w:r w:rsidRPr="00990D3B">
              <w:rPr>
                <w:rFonts w:cs="Arial"/>
                <w:szCs w:val="18"/>
              </w:rPr>
              <w:t>Does the report include an executive summary or other synopsis sharing the key findings?</w:t>
            </w:r>
          </w:p>
        </w:tc>
        <w:tc>
          <w:tcPr>
            <w:tcW w:w="570" w:type="dxa"/>
          </w:tcPr>
          <w:p w:rsidR="0045391D" w:rsidRPr="00990D3B" w:rsidP="00666AC0" w14:paraId="61D958CF" w14:textId="77777777">
            <w:pPr>
              <w:pStyle w:val="EQRTableText"/>
              <w:rPr>
                <w:rFonts w:cs="Arial"/>
                <w:szCs w:val="18"/>
              </w:rPr>
            </w:pPr>
            <w:r w:rsidRPr="00990D3B">
              <w:rPr>
                <w:rFonts w:cs="Arial"/>
                <w:szCs w:val="18"/>
              </w:rPr>
              <w:t> </w:t>
            </w:r>
          </w:p>
        </w:tc>
        <w:tc>
          <w:tcPr>
            <w:tcW w:w="570" w:type="dxa"/>
          </w:tcPr>
          <w:p w:rsidR="0045391D" w:rsidRPr="00990D3B" w:rsidP="00666AC0" w14:paraId="6A30EB7E" w14:textId="77777777">
            <w:pPr>
              <w:pStyle w:val="EQRTableText"/>
              <w:rPr>
                <w:rFonts w:cs="Arial"/>
                <w:szCs w:val="18"/>
              </w:rPr>
            </w:pPr>
            <w:r w:rsidRPr="00990D3B">
              <w:rPr>
                <w:rFonts w:cs="Arial"/>
                <w:szCs w:val="18"/>
              </w:rPr>
              <w:t> </w:t>
            </w:r>
          </w:p>
        </w:tc>
        <w:tc>
          <w:tcPr>
            <w:tcW w:w="570" w:type="dxa"/>
          </w:tcPr>
          <w:p w:rsidR="0045391D" w:rsidRPr="00990D3B" w:rsidP="00666AC0" w14:paraId="71C728FF" w14:textId="77777777">
            <w:pPr>
              <w:pStyle w:val="EQRTableText"/>
              <w:rPr>
                <w:rFonts w:cs="Arial"/>
                <w:szCs w:val="18"/>
              </w:rPr>
            </w:pPr>
            <w:r w:rsidRPr="00990D3B">
              <w:rPr>
                <w:rFonts w:cs="Arial"/>
                <w:szCs w:val="18"/>
              </w:rPr>
              <w:t> </w:t>
            </w:r>
          </w:p>
        </w:tc>
        <w:tc>
          <w:tcPr>
            <w:tcW w:w="3325" w:type="dxa"/>
          </w:tcPr>
          <w:p w:rsidR="0045391D" w:rsidRPr="00990D3B" w:rsidP="00666AC0" w14:paraId="007CB1E1" w14:textId="77777777">
            <w:pPr>
              <w:pStyle w:val="EQRTableText"/>
              <w:rPr>
                <w:rFonts w:cs="Arial"/>
                <w:szCs w:val="18"/>
              </w:rPr>
            </w:pPr>
            <w:r w:rsidRPr="00990D3B">
              <w:rPr>
                <w:rFonts w:cs="Arial"/>
                <w:szCs w:val="18"/>
              </w:rPr>
              <w:t> </w:t>
            </w:r>
          </w:p>
        </w:tc>
      </w:tr>
      <w:tr w14:paraId="70428A1C" w14:textId="77777777" w:rsidTr="00666AC0">
        <w:tblPrEx>
          <w:tblW w:w="5000" w:type="pct"/>
          <w:tblLayout w:type="fixed"/>
          <w:tblLook w:val="04A0"/>
        </w:tblPrEx>
        <w:trPr>
          <w:cantSplit/>
        </w:trPr>
        <w:tc>
          <w:tcPr>
            <w:tcW w:w="4315" w:type="dxa"/>
          </w:tcPr>
          <w:p w:rsidR="0045391D" w:rsidRPr="00990D3B" w:rsidP="002D35CF" w14:paraId="60844F57" w14:textId="77777777">
            <w:pPr>
              <w:pStyle w:val="EQRTableText"/>
              <w:numPr>
                <w:ilvl w:val="0"/>
                <w:numId w:val="224"/>
              </w:numPr>
              <w:ind w:left="390"/>
              <w:rPr>
                <w:rFonts w:cs="Arial"/>
                <w:szCs w:val="18"/>
              </w:rPr>
            </w:pPr>
            <w:r w:rsidRPr="00990D3B">
              <w:rPr>
                <w:rFonts w:cs="Arial"/>
                <w:szCs w:val="18"/>
              </w:rPr>
              <w:t>Does the report specify the evaluation research questions?</w:t>
            </w:r>
          </w:p>
        </w:tc>
        <w:tc>
          <w:tcPr>
            <w:tcW w:w="570" w:type="dxa"/>
          </w:tcPr>
          <w:p w:rsidR="0045391D" w:rsidRPr="00990D3B" w:rsidP="00666AC0" w14:paraId="4EE499F7" w14:textId="77777777">
            <w:pPr>
              <w:pStyle w:val="EQRTableText"/>
              <w:rPr>
                <w:rFonts w:cs="Arial"/>
                <w:szCs w:val="18"/>
              </w:rPr>
            </w:pPr>
          </w:p>
        </w:tc>
        <w:tc>
          <w:tcPr>
            <w:tcW w:w="570" w:type="dxa"/>
          </w:tcPr>
          <w:p w:rsidR="0045391D" w:rsidRPr="00990D3B" w:rsidP="00666AC0" w14:paraId="32F37F02" w14:textId="77777777">
            <w:pPr>
              <w:pStyle w:val="EQRTableText"/>
              <w:rPr>
                <w:rFonts w:cs="Arial"/>
                <w:szCs w:val="18"/>
              </w:rPr>
            </w:pPr>
          </w:p>
        </w:tc>
        <w:tc>
          <w:tcPr>
            <w:tcW w:w="570" w:type="dxa"/>
          </w:tcPr>
          <w:p w:rsidR="0045391D" w:rsidRPr="00990D3B" w:rsidP="00666AC0" w14:paraId="425C473E" w14:textId="77777777">
            <w:pPr>
              <w:pStyle w:val="EQRTableText"/>
              <w:rPr>
                <w:rFonts w:cs="Arial"/>
                <w:szCs w:val="18"/>
              </w:rPr>
            </w:pPr>
          </w:p>
        </w:tc>
        <w:tc>
          <w:tcPr>
            <w:tcW w:w="3325" w:type="dxa"/>
          </w:tcPr>
          <w:p w:rsidR="0045391D" w:rsidRPr="00990D3B" w:rsidP="00666AC0" w14:paraId="6925F55B" w14:textId="77777777">
            <w:pPr>
              <w:pStyle w:val="EQRTableText"/>
              <w:rPr>
                <w:rFonts w:cs="Arial"/>
                <w:szCs w:val="18"/>
              </w:rPr>
            </w:pPr>
          </w:p>
        </w:tc>
      </w:tr>
      <w:tr w14:paraId="3DF16467" w14:textId="77777777" w:rsidTr="00666AC0">
        <w:tblPrEx>
          <w:tblW w:w="5000" w:type="pct"/>
          <w:tblLayout w:type="fixed"/>
          <w:tblLook w:val="04A0"/>
        </w:tblPrEx>
        <w:trPr>
          <w:cantSplit/>
        </w:trPr>
        <w:tc>
          <w:tcPr>
            <w:tcW w:w="4315" w:type="dxa"/>
          </w:tcPr>
          <w:p w:rsidR="0045391D" w:rsidRPr="00990D3B" w:rsidP="002D35CF" w14:paraId="43B93D26" w14:textId="77777777">
            <w:pPr>
              <w:pStyle w:val="EQRTableText"/>
              <w:numPr>
                <w:ilvl w:val="0"/>
                <w:numId w:val="224"/>
              </w:numPr>
              <w:ind w:left="390"/>
              <w:rPr>
                <w:rFonts w:cs="Arial"/>
                <w:szCs w:val="18"/>
              </w:rPr>
            </w:pPr>
            <w:r w:rsidRPr="00990D3B">
              <w:rPr>
                <w:rFonts w:cs="Arial"/>
                <w:szCs w:val="18"/>
              </w:rPr>
              <w:t xml:space="preserve">Does the report provide baseline data and performance targets for each evaluation metric?   </w:t>
            </w:r>
          </w:p>
        </w:tc>
        <w:tc>
          <w:tcPr>
            <w:tcW w:w="570" w:type="dxa"/>
          </w:tcPr>
          <w:p w:rsidR="0045391D" w:rsidRPr="00990D3B" w:rsidP="00666AC0" w14:paraId="346BA0B7" w14:textId="77777777">
            <w:pPr>
              <w:pStyle w:val="EQRTableText"/>
              <w:rPr>
                <w:rFonts w:cs="Arial"/>
                <w:szCs w:val="18"/>
              </w:rPr>
            </w:pPr>
          </w:p>
        </w:tc>
        <w:tc>
          <w:tcPr>
            <w:tcW w:w="570" w:type="dxa"/>
          </w:tcPr>
          <w:p w:rsidR="0045391D" w:rsidRPr="00990D3B" w:rsidP="00666AC0" w14:paraId="20015204" w14:textId="77777777">
            <w:pPr>
              <w:pStyle w:val="EQRTableText"/>
              <w:rPr>
                <w:rFonts w:cs="Arial"/>
                <w:szCs w:val="18"/>
              </w:rPr>
            </w:pPr>
          </w:p>
        </w:tc>
        <w:tc>
          <w:tcPr>
            <w:tcW w:w="570" w:type="dxa"/>
          </w:tcPr>
          <w:p w:rsidR="0045391D" w:rsidRPr="00990D3B" w:rsidP="00666AC0" w14:paraId="6DB42C81" w14:textId="77777777">
            <w:pPr>
              <w:pStyle w:val="EQRTableText"/>
              <w:rPr>
                <w:rFonts w:cs="Arial"/>
                <w:szCs w:val="18"/>
              </w:rPr>
            </w:pPr>
          </w:p>
        </w:tc>
        <w:tc>
          <w:tcPr>
            <w:tcW w:w="3325" w:type="dxa"/>
          </w:tcPr>
          <w:p w:rsidR="0045391D" w:rsidRPr="00990D3B" w:rsidP="00666AC0" w14:paraId="341C54E3" w14:textId="77777777">
            <w:pPr>
              <w:pStyle w:val="EQRTableText"/>
              <w:rPr>
                <w:rFonts w:cs="Arial"/>
                <w:szCs w:val="18"/>
              </w:rPr>
            </w:pPr>
          </w:p>
        </w:tc>
      </w:tr>
      <w:tr w14:paraId="0C5C5665" w14:textId="77777777" w:rsidTr="00666AC0">
        <w:tblPrEx>
          <w:tblW w:w="5000" w:type="pct"/>
          <w:tblLayout w:type="fixed"/>
          <w:tblLook w:val="04A0"/>
        </w:tblPrEx>
        <w:trPr>
          <w:cantSplit/>
        </w:trPr>
        <w:tc>
          <w:tcPr>
            <w:tcW w:w="4315" w:type="dxa"/>
          </w:tcPr>
          <w:p w:rsidR="0045391D" w:rsidRPr="00990D3B" w:rsidP="002D35CF" w14:paraId="70A59862" w14:textId="77777777">
            <w:pPr>
              <w:pStyle w:val="EQRTableText"/>
              <w:numPr>
                <w:ilvl w:val="0"/>
                <w:numId w:val="224"/>
              </w:numPr>
              <w:ind w:left="390"/>
              <w:rPr>
                <w:rFonts w:cs="Arial"/>
                <w:szCs w:val="18"/>
              </w:rPr>
            </w:pPr>
            <w:r w:rsidRPr="00990D3B">
              <w:rPr>
                <w:rFonts w:cs="Arial"/>
                <w:szCs w:val="18"/>
              </w:rPr>
              <w:t>Does the report provide a detailed description of the analysis plan?</w:t>
            </w:r>
          </w:p>
        </w:tc>
        <w:tc>
          <w:tcPr>
            <w:tcW w:w="570" w:type="dxa"/>
          </w:tcPr>
          <w:p w:rsidR="0045391D" w:rsidRPr="00990D3B" w:rsidP="00666AC0" w14:paraId="1BD3E70F" w14:textId="77777777">
            <w:pPr>
              <w:pStyle w:val="EQRTableText"/>
              <w:rPr>
                <w:rFonts w:cs="Arial"/>
                <w:szCs w:val="18"/>
              </w:rPr>
            </w:pPr>
          </w:p>
        </w:tc>
        <w:tc>
          <w:tcPr>
            <w:tcW w:w="570" w:type="dxa"/>
          </w:tcPr>
          <w:p w:rsidR="0045391D" w:rsidRPr="00990D3B" w:rsidP="00666AC0" w14:paraId="2B53DCE1" w14:textId="77777777">
            <w:pPr>
              <w:pStyle w:val="EQRTableText"/>
              <w:rPr>
                <w:rFonts w:cs="Arial"/>
                <w:szCs w:val="18"/>
              </w:rPr>
            </w:pPr>
          </w:p>
        </w:tc>
        <w:tc>
          <w:tcPr>
            <w:tcW w:w="570" w:type="dxa"/>
          </w:tcPr>
          <w:p w:rsidR="0045391D" w:rsidRPr="00990D3B" w:rsidP="00666AC0" w14:paraId="4B4D6094" w14:textId="77777777">
            <w:pPr>
              <w:pStyle w:val="EQRTableText"/>
              <w:rPr>
                <w:rFonts w:cs="Arial"/>
                <w:szCs w:val="18"/>
              </w:rPr>
            </w:pPr>
          </w:p>
        </w:tc>
        <w:tc>
          <w:tcPr>
            <w:tcW w:w="3325" w:type="dxa"/>
          </w:tcPr>
          <w:p w:rsidR="0045391D" w:rsidRPr="00990D3B" w:rsidP="00666AC0" w14:paraId="727EFA7C" w14:textId="77777777">
            <w:pPr>
              <w:pStyle w:val="EQRTableText"/>
              <w:rPr>
                <w:rFonts w:cs="Arial"/>
                <w:szCs w:val="18"/>
              </w:rPr>
            </w:pPr>
          </w:p>
        </w:tc>
      </w:tr>
      <w:tr w14:paraId="7C8CC08D" w14:textId="77777777" w:rsidTr="00666AC0">
        <w:tblPrEx>
          <w:tblW w:w="5000" w:type="pct"/>
          <w:tblLayout w:type="fixed"/>
          <w:tblLook w:val="04A0"/>
        </w:tblPrEx>
        <w:trPr>
          <w:cantSplit/>
        </w:trPr>
        <w:tc>
          <w:tcPr>
            <w:tcW w:w="4315" w:type="dxa"/>
          </w:tcPr>
          <w:p w:rsidR="0045391D" w:rsidRPr="00990D3B" w:rsidP="002D35CF" w14:paraId="4D6B112B" w14:textId="77777777">
            <w:pPr>
              <w:pStyle w:val="EQRTableText"/>
              <w:numPr>
                <w:ilvl w:val="0"/>
                <w:numId w:val="224"/>
              </w:numPr>
              <w:ind w:left="390"/>
              <w:rPr>
                <w:rFonts w:cs="Arial"/>
                <w:szCs w:val="18"/>
              </w:rPr>
            </w:pPr>
            <w:r w:rsidRPr="00990D3B">
              <w:rPr>
                <w:rFonts w:cs="Arial"/>
                <w:szCs w:val="18"/>
              </w:rPr>
              <w:t>Does the report address the limitations of the analysis plan (e.g., sample size, lack of comparisons)?</w:t>
            </w:r>
          </w:p>
        </w:tc>
        <w:tc>
          <w:tcPr>
            <w:tcW w:w="570" w:type="dxa"/>
          </w:tcPr>
          <w:p w:rsidR="0045391D" w:rsidRPr="00990D3B" w:rsidP="00666AC0" w14:paraId="1F7E8C78" w14:textId="77777777">
            <w:pPr>
              <w:pStyle w:val="EQRTableText"/>
              <w:rPr>
                <w:rFonts w:cs="Arial"/>
                <w:szCs w:val="18"/>
              </w:rPr>
            </w:pPr>
          </w:p>
        </w:tc>
        <w:tc>
          <w:tcPr>
            <w:tcW w:w="570" w:type="dxa"/>
          </w:tcPr>
          <w:p w:rsidR="0045391D" w:rsidRPr="00990D3B" w:rsidP="00666AC0" w14:paraId="54DF9602" w14:textId="77777777">
            <w:pPr>
              <w:pStyle w:val="EQRTableText"/>
              <w:rPr>
                <w:rFonts w:cs="Arial"/>
                <w:szCs w:val="18"/>
              </w:rPr>
            </w:pPr>
          </w:p>
        </w:tc>
        <w:tc>
          <w:tcPr>
            <w:tcW w:w="570" w:type="dxa"/>
          </w:tcPr>
          <w:p w:rsidR="0045391D" w:rsidRPr="00990D3B" w:rsidP="00666AC0" w14:paraId="208AB055" w14:textId="77777777">
            <w:pPr>
              <w:pStyle w:val="EQRTableText"/>
              <w:rPr>
                <w:rFonts w:cs="Arial"/>
                <w:szCs w:val="18"/>
              </w:rPr>
            </w:pPr>
          </w:p>
        </w:tc>
        <w:tc>
          <w:tcPr>
            <w:tcW w:w="3325" w:type="dxa"/>
          </w:tcPr>
          <w:p w:rsidR="0045391D" w:rsidRPr="00990D3B" w:rsidP="00666AC0" w14:paraId="039B6C0C" w14:textId="77777777">
            <w:pPr>
              <w:pStyle w:val="EQRTableText"/>
              <w:rPr>
                <w:rFonts w:cs="Arial"/>
                <w:szCs w:val="18"/>
              </w:rPr>
            </w:pPr>
          </w:p>
        </w:tc>
      </w:tr>
      <w:tr w14:paraId="1D196165" w14:textId="77777777" w:rsidTr="00666AC0">
        <w:tblPrEx>
          <w:tblW w:w="5000" w:type="pct"/>
          <w:tblLayout w:type="fixed"/>
          <w:tblLook w:val="04A0"/>
        </w:tblPrEx>
        <w:trPr>
          <w:cantSplit/>
        </w:trPr>
        <w:tc>
          <w:tcPr>
            <w:tcW w:w="4315" w:type="dxa"/>
          </w:tcPr>
          <w:p w:rsidR="0045391D" w:rsidRPr="00990D3B" w:rsidP="002D35CF" w14:paraId="3EC3EA44" w14:textId="77777777">
            <w:pPr>
              <w:pStyle w:val="EQRTableText"/>
              <w:numPr>
                <w:ilvl w:val="0"/>
                <w:numId w:val="224"/>
              </w:numPr>
              <w:ind w:left="390"/>
              <w:rPr>
                <w:rFonts w:cs="Arial"/>
                <w:szCs w:val="18"/>
              </w:rPr>
            </w:pPr>
            <w:r w:rsidRPr="00990D3B">
              <w:rPr>
                <w:rFonts w:cs="Arial"/>
                <w:szCs w:val="18"/>
              </w:rPr>
              <w:t xml:space="preserve">Does the report describe any changes to the original analysis plan and explain why the changes were made (e.g., changes to metrics)? </w:t>
            </w:r>
          </w:p>
        </w:tc>
        <w:tc>
          <w:tcPr>
            <w:tcW w:w="570" w:type="dxa"/>
          </w:tcPr>
          <w:p w:rsidR="0045391D" w:rsidRPr="00990D3B" w:rsidP="00666AC0" w14:paraId="7CFF1515" w14:textId="77777777">
            <w:pPr>
              <w:pStyle w:val="EQRTableText"/>
              <w:rPr>
                <w:rFonts w:cs="Arial"/>
                <w:szCs w:val="18"/>
              </w:rPr>
            </w:pPr>
          </w:p>
        </w:tc>
        <w:tc>
          <w:tcPr>
            <w:tcW w:w="570" w:type="dxa"/>
          </w:tcPr>
          <w:p w:rsidR="0045391D" w:rsidRPr="00990D3B" w:rsidP="00666AC0" w14:paraId="60D8B36C" w14:textId="77777777">
            <w:pPr>
              <w:pStyle w:val="EQRTableText"/>
              <w:rPr>
                <w:rFonts w:cs="Arial"/>
                <w:szCs w:val="18"/>
              </w:rPr>
            </w:pPr>
          </w:p>
        </w:tc>
        <w:tc>
          <w:tcPr>
            <w:tcW w:w="570" w:type="dxa"/>
          </w:tcPr>
          <w:p w:rsidR="0045391D" w:rsidRPr="00990D3B" w:rsidP="00666AC0" w14:paraId="74682C8B" w14:textId="77777777">
            <w:pPr>
              <w:pStyle w:val="EQRTableText"/>
              <w:rPr>
                <w:rFonts w:cs="Arial"/>
                <w:szCs w:val="18"/>
              </w:rPr>
            </w:pPr>
          </w:p>
        </w:tc>
        <w:tc>
          <w:tcPr>
            <w:tcW w:w="3325" w:type="dxa"/>
          </w:tcPr>
          <w:p w:rsidR="0045391D" w:rsidRPr="00990D3B" w:rsidP="00666AC0" w14:paraId="5B81C96E" w14:textId="77777777">
            <w:pPr>
              <w:pStyle w:val="EQRTableText"/>
              <w:rPr>
                <w:rFonts w:cs="Arial"/>
                <w:szCs w:val="18"/>
              </w:rPr>
            </w:pPr>
          </w:p>
        </w:tc>
      </w:tr>
      <w:tr w14:paraId="7802D40F" w14:textId="77777777" w:rsidTr="00666AC0">
        <w:tblPrEx>
          <w:tblW w:w="5000" w:type="pct"/>
          <w:tblLayout w:type="fixed"/>
          <w:tblLook w:val="04A0"/>
        </w:tblPrEx>
        <w:trPr>
          <w:cantSplit/>
        </w:trPr>
        <w:tc>
          <w:tcPr>
            <w:tcW w:w="4315" w:type="dxa"/>
          </w:tcPr>
          <w:p w:rsidR="0045391D" w:rsidRPr="00990D3B" w:rsidP="002D35CF" w14:paraId="71BA30C3" w14:textId="77777777">
            <w:pPr>
              <w:pStyle w:val="EQRTableText"/>
              <w:numPr>
                <w:ilvl w:val="0"/>
                <w:numId w:val="224"/>
              </w:numPr>
              <w:ind w:left="390"/>
              <w:rPr>
                <w:rFonts w:cs="Arial"/>
                <w:szCs w:val="18"/>
              </w:rPr>
            </w:pPr>
            <w:r w:rsidRPr="00990D3B">
              <w:rPr>
                <w:rFonts w:cs="Arial"/>
                <w:szCs w:val="18"/>
              </w:rPr>
              <w:t>Does the report summarize the data sources and methods of data collection?</w:t>
            </w:r>
          </w:p>
        </w:tc>
        <w:tc>
          <w:tcPr>
            <w:tcW w:w="570" w:type="dxa"/>
          </w:tcPr>
          <w:p w:rsidR="0045391D" w:rsidRPr="00990D3B" w:rsidP="00666AC0" w14:paraId="0EED9736" w14:textId="77777777">
            <w:pPr>
              <w:pStyle w:val="EQRTableText"/>
              <w:rPr>
                <w:rFonts w:cs="Arial"/>
                <w:szCs w:val="18"/>
              </w:rPr>
            </w:pPr>
          </w:p>
        </w:tc>
        <w:tc>
          <w:tcPr>
            <w:tcW w:w="570" w:type="dxa"/>
          </w:tcPr>
          <w:p w:rsidR="0045391D" w:rsidRPr="00990D3B" w:rsidP="00666AC0" w14:paraId="4BCEBB86" w14:textId="77777777">
            <w:pPr>
              <w:pStyle w:val="EQRTableText"/>
              <w:rPr>
                <w:rFonts w:cs="Arial"/>
                <w:szCs w:val="18"/>
              </w:rPr>
            </w:pPr>
          </w:p>
        </w:tc>
        <w:tc>
          <w:tcPr>
            <w:tcW w:w="570" w:type="dxa"/>
          </w:tcPr>
          <w:p w:rsidR="0045391D" w:rsidRPr="00990D3B" w:rsidP="00666AC0" w14:paraId="54FCD367" w14:textId="77777777">
            <w:pPr>
              <w:pStyle w:val="EQRTableText"/>
              <w:rPr>
                <w:rFonts w:cs="Arial"/>
                <w:szCs w:val="18"/>
              </w:rPr>
            </w:pPr>
          </w:p>
        </w:tc>
        <w:tc>
          <w:tcPr>
            <w:tcW w:w="3325" w:type="dxa"/>
          </w:tcPr>
          <w:p w:rsidR="0045391D" w:rsidRPr="00990D3B" w:rsidP="00666AC0" w14:paraId="0246FA74" w14:textId="77777777">
            <w:pPr>
              <w:pStyle w:val="EQRTableText"/>
              <w:rPr>
                <w:rFonts w:cs="Arial"/>
                <w:szCs w:val="18"/>
              </w:rPr>
            </w:pPr>
          </w:p>
        </w:tc>
      </w:tr>
      <w:tr w14:paraId="741C64A4" w14:textId="77777777" w:rsidTr="00666AC0">
        <w:tblPrEx>
          <w:tblW w:w="5000" w:type="pct"/>
          <w:tblLayout w:type="fixed"/>
          <w:tblLook w:val="04A0"/>
        </w:tblPrEx>
        <w:trPr>
          <w:cantSplit/>
        </w:trPr>
        <w:tc>
          <w:tcPr>
            <w:tcW w:w="4315" w:type="dxa"/>
          </w:tcPr>
          <w:p w:rsidR="0045391D" w:rsidRPr="00990D3B" w:rsidP="002D35CF" w14:paraId="1F8E2BD4" w14:textId="77777777">
            <w:pPr>
              <w:pStyle w:val="EQRTableText"/>
              <w:numPr>
                <w:ilvl w:val="0"/>
                <w:numId w:val="224"/>
              </w:numPr>
              <w:ind w:left="390"/>
              <w:rPr>
                <w:rFonts w:cs="Arial"/>
                <w:szCs w:val="18"/>
              </w:rPr>
            </w:pPr>
            <w:r w:rsidRPr="00990D3B">
              <w:rPr>
                <w:rFonts w:cs="Arial"/>
                <w:szCs w:val="18"/>
              </w:rPr>
              <w:t xml:space="preserve">Does the report describe how the metrics were calculated? </w:t>
            </w:r>
          </w:p>
        </w:tc>
        <w:tc>
          <w:tcPr>
            <w:tcW w:w="570" w:type="dxa"/>
          </w:tcPr>
          <w:p w:rsidR="0045391D" w:rsidRPr="00990D3B" w:rsidP="00666AC0" w14:paraId="2C342F78" w14:textId="77777777">
            <w:pPr>
              <w:pStyle w:val="EQRTableText"/>
              <w:rPr>
                <w:rFonts w:cs="Arial"/>
                <w:szCs w:val="18"/>
              </w:rPr>
            </w:pPr>
          </w:p>
        </w:tc>
        <w:tc>
          <w:tcPr>
            <w:tcW w:w="570" w:type="dxa"/>
          </w:tcPr>
          <w:p w:rsidR="0045391D" w:rsidRPr="00990D3B" w:rsidP="00666AC0" w14:paraId="690DE50F" w14:textId="77777777">
            <w:pPr>
              <w:pStyle w:val="EQRTableText"/>
              <w:rPr>
                <w:rFonts w:cs="Arial"/>
                <w:szCs w:val="18"/>
              </w:rPr>
            </w:pPr>
          </w:p>
        </w:tc>
        <w:tc>
          <w:tcPr>
            <w:tcW w:w="570" w:type="dxa"/>
          </w:tcPr>
          <w:p w:rsidR="0045391D" w:rsidRPr="00990D3B" w:rsidP="00666AC0" w14:paraId="551961D1" w14:textId="77777777">
            <w:pPr>
              <w:pStyle w:val="EQRTableText"/>
              <w:rPr>
                <w:rFonts w:cs="Arial"/>
                <w:szCs w:val="18"/>
              </w:rPr>
            </w:pPr>
          </w:p>
        </w:tc>
        <w:tc>
          <w:tcPr>
            <w:tcW w:w="3325" w:type="dxa"/>
          </w:tcPr>
          <w:p w:rsidR="0045391D" w:rsidRPr="00990D3B" w:rsidP="00666AC0" w14:paraId="49CA61F2" w14:textId="77777777">
            <w:pPr>
              <w:pStyle w:val="EQRTableText"/>
              <w:rPr>
                <w:rFonts w:cs="Arial"/>
                <w:szCs w:val="18"/>
              </w:rPr>
            </w:pPr>
          </w:p>
        </w:tc>
      </w:tr>
      <w:tr w14:paraId="375DE33A" w14:textId="77777777" w:rsidTr="00666AC0">
        <w:tblPrEx>
          <w:tblW w:w="5000" w:type="pct"/>
          <w:tblLayout w:type="fixed"/>
          <w:tblLook w:val="04A0"/>
        </w:tblPrEx>
        <w:trPr>
          <w:cantSplit/>
        </w:trPr>
        <w:tc>
          <w:tcPr>
            <w:tcW w:w="4315" w:type="dxa"/>
          </w:tcPr>
          <w:p w:rsidR="0045391D" w:rsidRPr="00990D3B" w:rsidP="002D35CF" w14:paraId="004DDEB8" w14:textId="77777777">
            <w:pPr>
              <w:pStyle w:val="EQRTableText"/>
              <w:numPr>
                <w:ilvl w:val="0"/>
                <w:numId w:val="224"/>
              </w:numPr>
              <w:ind w:left="390"/>
              <w:rPr>
                <w:rFonts w:cs="Arial"/>
                <w:szCs w:val="18"/>
              </w:rPr>
            </w:pPr>
            <w:r w:rsidRPr="00990D3B">
              <w:rPr>
                <w:rFonts w:cs="Arial"/>
                <w:szCs w:val="18"/>
              </w:rPr>
              <w:t xml:space="preserve">Does the report assess known limitations of the data collection methods, data quality issues, or concerns about the accuracy of the metrics? </w:t>
            </w:r>
          </w:p>
        </w:tc>
        <w:tc>
          <w:tcPr>
            <w:tcW w:w="570" w:type="dxa"/>
          </w:tcPr>
          <w:p w:rsidR="0045391D" w:rsidRPr="00990D3B" w:rsidP="00666AC0" w14:paraId="4665E520" w14:textId="77777777">
            <w:pPr>
              <w:pStyle w:val="EQRTableText"/>
              <w:rPr>
                <w:rFonts w:cs="Arial"/>
                <w:szCs w:val="18"/>
              </w:rPr>
            </w:pPr>
          </w:p>
        </w:tc>
        <w:tc>
          <w:tcPr>
            <w:tcW w:w="570" w:type="dxa"/>
          </w:tcPr>
          <w:p w:rsidR="0045391D" w:rsidRPr="00990D3B" w:rsidP="00666AC0" w14:paraId="4E13E3E1" w14:textId="77777777">
            <w:pPr>
              <w:pStyle w:val="EQRTableText"/>
              <w:rPr>
                <w:rFonts w:cs="Arial"/>
                <w:szCs w:val="18"/>
              </w:rPr>
            </w:pPr>
          </w:p>
        </w:tc>
        <w:tc>
          <w:tcPr>
            <w:tcW w:w="570" w:type="dxa"/>
          </w:tcPr>
          <w:p w:rsidR="0045391D" w:rsidRPr="00990D3B" w:rsidP="00666AC0" w14:paraId="6C19FC23" w14:textId="77777777">
            <w:pPr>
              <w:pStyle w:val="EQRTableText"/>
              <w:rPr>
                <w:rFonts w:cs="Arial"/>
                <w:szCs w:val="18"/>
              </w:rPr>
            </w:pPr>
          </w:p>
        </w:tc>
        <w:tc>
          <w:tcPr>
            <w:tcW w:w="3325" w:type="dxa"/>
          </w:tcPr>
          <w:p w:rsidR="0045391D" w:rsidRPr="00990D3B" w:rsidP="00666AC0" w14:paraId="3BEABCE8" w14:textId="77777777">
            <w:pPr>
              <w:pStyle w:val="EQRTableText"/>
              <w:rPr>
                <w:rFonts w:cs="Arial"/>
                <w:szCs w:val="18"/>
              </w:rPr>
            </w:pPr>
          </w:p>
        </w:tc>
      </w:tr>
      <w:tr w14:paraId="7CDE0736" w14:textId="77777777" w:rsidTr="00666AC0">
        <w:tblPrEx>
          <w:tblW w:w="5000" w:type="pct"/>
          <w:tblLayout w:type="fixed"/>
          <w:tblLook w:val="04A0"/>
        </w:tblPrEx>
        <w:trPr>
          <w:cantSplit/>
        </w:trPr>
        <w:tc>
          <w:tcPr>
            <w:tcW w:w="4315" w:type="dxa"/>
          </w:tcPr>
          <w:p w:rsidR="0045391D" w:rsidRPr="00990D3B" w:rsidP="002D35CF" w14:paraId="27E304D5" w14:textId="77777777">
            <w:pPr>
              <w:pStyle w:val="EQRTableText"/>
              <w:numPr>
                <w:ilvl w:val="0"/>
                <w:numId w:val="224"/>
              </w:numPr>
              <w:ind w:left="390"/>
              <w:rPr>
                <w:rFonts w:cs="Arial"/>
                <w:szCs w:val="18"/>
              </w:rPr>
            </w:pPr>
            <w:r w:rsidRPr="00990D3B">
              <w:rPr>
                <w:rFonts w:cs="Arial"/>
                <w:szCs w:val="18"/>
              </w:rPr>
              <w:t>Does the report provide detailed findings for each period included in the evaluation (e.g., each year)?</w:t>
            </w:r>
          </w:p>
        </w:tc>
        <w:tc>
          <w:tcPr>
            <w:tcW w:w="570" w:type="dxa"/>
          </w:tcPr>
          <w:p w:rsidR="0045391D" w:rsidRPr="00990D3B" w:rsidP="00666AC0" w14:paraId="4B3D3446" w14:textId="77777777">
            <w:pPr>
              <w:pStyle w:val="EQRTableText"/>
              <w:rPr>
                <w:rFonts w:cs="Arial"/>
                <w:szCs w:val="18"/>
              </w:rPr>
            </w:pPr>
          </w:p>
        </w:tc>
        <w:tc>
          <w:tcPr>
            <w:tcW w:w="570" w:type="dxa"/>
          </w:tcPr>
          <w:p w:rsidR="0045391D" w:rsidRPr="00990D3B" w:rsidP="00666AC0" w14:paraId="060B338E" w14:textId="77777777">
            <w:pPr>
              <w:pStyle w:val="EQRTableText"/>
              <w:rPr>
                <w:rFonts w:cs="Arial"/>
                <w:szCs w:val="18"/>
              </w:rPr>
            </w:pPr>
          </w:p>
        </w:tc>
        <w:tc>
          <w:tcPr>
            <w:tcW w:w="570" w:type="dxa"/>
          </w:tcPr>
          <w:p w:rsidR="0045391D" w:rsidRPr="00990D3B" w:rsidP="00666AC0" w14:paraId="76C5850E" w14:textId="77777777">
            <w:pPr>
              <w:pStyle w:val="EQRTableText"/>
              <w:rPr>
                <w:rFonts w:cs="Arial"/>
                <w:szCs w:val="18"/>
              </w:rPr>
            </w:pPr>
          </w:p>
        </w:tc>
        <w:tc>
          <w:tcPr>
            <w:tcW w:w="3325" w:type="dxa"/>
          </w:tcPr>
          <w:p w:rsidR="0045391D" w:rsidRPr="00990D3B" w:rsidP="00666AC0" w14:paraId="128E6C50" w14:textId="77777777">
            <w:pPr>
              <w:pStyle w:val="EQRTableText"/>
              <w:rPr>
                <w:rFonts w:cs="Arial"/>
                <w:szCs w:val="18"/>
              </w:rPr>
            </w:pPr>
          </w:p>
        </w:tc>
      </w:tr>
      <w:tr w14:paraId="42CA77A6" w14:textId="77777777" w:rsidTr="00666AC0">
        <w:tblPrEx>
          <w:tblW w:w="5000" w:type="pct"/>
          <w:tblLayout w:type="fixed"/>
          <w:tblLook w:val="04A0"/>
        </w:tblPrEx>
        <w:trPr>
          <w:cantSplit/>
        </w:trPr>
        <w:tc>
          <w:tcPr>
            <w:tcW w:w="4315" w:type="dxa"/>
          </w:tcPr>
          <w:p w:rsidR="0045391D" w:rsidRPr="00990D3B" w:rsidP="002D35CF" w14:paraId="6CC78DC3" w14:textId="77777777">
            <w:pPr>
              <w:pStyle w:val="EQRTableText"/>
              <w:numPr>
                <w:ilvl w:val="0"/>
                <w:numId w:val="224"/>
              </w:numPr>
              <w:ind w:left="390"/>
              <w:rPr>
                <w:rFonts w:cs="Arial"/>
                <w:szCs w:val="18"/>
              </w:rPr>
            </w:pPr>
            <w:r w:rsidRPr="00990D3B">
              <w:rPr>
                <w:rFonts w:cs="Arial"/>
                <w:szCs w:val="18"/>
              </w:rPr>
              <w:t>Does the report contextualize the findings, accounting for unexpected events or other external information that may have influenced the results?</w:t>
            </w:r>
          </w:p>
        </w:tc>
        <w:tc>
          <w:tcPr>
            <w:tcW w:w="570" w:type="dxa"/>
          </w:tcPr>
          <w:p w:rsidR="0045391D" w:rsidRPr="00990D3B" w:rsidP="00666AC0" w14:paraId="3E966874" w14:textId="77777777">
            <w:pPr>
              <w:pStyle w:val="EQRTableText"/>
              <w:rPr>
                <w:rFonts w:cs="Arial"/>
                <w:szCs w:val="18"/>
              </w:rPr>
            </w:pPr>
          </w:p>
        </w:tc>
        <w:tc>
          <w:tcPr>
            <w:tcW w:w="570" w:type="dxa"/>
          </w:tcPr>
          <w:p w:rsidR="0045391D" w:rsidRPr="00990D3B" w:rsidP="00666AC0" w14:paraId="2B31F24C" w14:textId="77777777">
            <w:pPr>
              <w:pStyle w:val="EQRTableText"/>
              <w:rPr>
                <w:rFonts w:cs="Arial"/>
                <w:szCs w:val="18"/>
              </w:rPr>
            </w:pPr>
          </w:p>
        </w:tc>
        <w:tc>
          <w:tcPr>
            <w:tcW w:w="570" w:type="dxa"/>
          </w:tcPr>
          <w:p w:rsidR="0045391D" w:rsidRPr="00990D3B" w:rsidP="00666AC0" w14:paraId="36292461" w14:textId="77777777">
            <w:pPr>
              <w:pStyle w:val="EQRTableText"/>
              <w:rPr>
                <w:rFonts w:cs="Arial"/>
                <w:szCs w:val="18"/>
              </w:rPr>
            </w:pPr>
          </w:p>
        </w:tc>
        <w:tc>
          <w:tcPr>
            <w:tcW w:w="3325" w:type="dxa"/>
          </w:tcPr>
          <w:p w:rsidR="0045391D" w:rsidRPr="00990D3B" w:rsidP="00666AC0" w14:paraId="63655DC0" w14:textId="77777777">
            <w:pPr>
              <w:pStyle w:val="EQRTableText"/>
              <w:rPr>
                <w:rFonts w:cs="Arial"/>
                <w:szCs w:val="18"/>
              </w:rPr>
            </w:pPr>
          </w:p>
        </w:tc>
      </w:tr>
      <w:tr w14:paraId="7AE86E71" w14:textId="77777777" w:rsidTr="00666AC0">
        <w:tblPrEx>
          <w:tblW w:w="5000" w:type="pct"/>
          <w:tblLayout w:type="fixed"/>
          <w:tblLook w:val="04A0"/>
        </w:tblPrEx>
        <w:trPr>
          <w:cantSplit/>
        </w:trPr>
        <w:tc>
          <w:tcPr>
            <w:tcW w:w="4315" w:type="dxa"/>
          </w:tcPr>
          <w:p w:rsidR="0045391D" w:rsidRPr="00990D3B" w:rsidP="002D35CF" w14:paraId="6C5D0088" w14:textId="77777777">
            <w:pPr>
              <w:pStyle w:val="EQRTableText"/>
              <w:numPr>
                <w:ilvl w:val="0"/>
                <w:numId w:val="224"/>
              </w:numPr>
              <w:ind w:left="390"/>
              <w:rPr>
                <w:rFonts w:cs="Arial"/>
                <w:szCs w:val="18"/>
              </w:rPr>
            </w:pPr>
            <w:r w:rsidRPr="00990D3B">
              <w:rPr>
                <w:rFonts w:cs="Arial"/>
                <w:szCs w:val="18"/>
              </w:rPr>
              <w:t xml:space="preserve">Are the conclusions of the evaluation shared in the report? Are there conclusions for each research question? </w:t>
            </w:r>
          </w:p>
        </w:tc>
        <w:tc>
          <w:tcPr>
            <w:tcW w:w="570" w:type="dxa"/>
          </w:tcPr>
          <w:p w:rsidR="0045391D" w:rsidRPr="00990D3B" w:rsidP="00666AC0" w14:paraId="46EA4A75" w14:textId="77777777">
            <w:pPr>
              <w:pStyle w:val="EQRTableText"/>
              <w:rPr>
                <w:rFonts w:cs="Arial"/>
                <w:szCs w:val="18"/>
              </w:rPr>
            </w:pPr>
          </w:p>
        </w:tc>
        <w:tc>
          <w:tcPr>
            <w:tcW w:w="570" w:type="dxa"/>
          </w:tcPr>
          <w:p w:rsidR="0045391D" w:rsidRPr="00990D3B" w:rsidP="00666AC0" w14:paraId="25373775" w14:textId="77777777">
            <w:pPr>
              <w:pStyle w:val="EQRTableText"/>
              <w:rPr>
                <w:rFonts w:cs="Arial"/>
                <w:szCs w:val="18"/>
              </w:rPr>
            </w:pPr>
          </w:p>
        </w:tc>
        <w:tc>
          <w:tcPr>
            <w:tcW w:w="570" w:type="dxa"/>
          </w:tcPr>
          <w:p w:rsidR="0045391D" w:rsidRPr="00990D3B" w:rsidP="00666AC0" w14:paraId="52574BE2" w14:textId="77777777">
            <w:pPr>
              <w:pStyle w:val="EQRTableText"/>
              <w:rPr>
                <w:rFonts w:cs="Arial"/>
                <w:szCs w:val="18"/>
              </w:rPr>
            </w:pPr>
          </w:p>
        </w:tc>
        <w:tc>
          <w:tcPr>
            <w:tcW w:w="3325" w:type="dxa"/>
          </w:tcPr>
          <w:p w:rsidR="0045391D" w:rsidRPr="00990D3B" w:rsidP="00666AC0" w14:paraId="7A0708C5" w14:textId="77777777">
            <w:pPr>
              <w:pStyle w:val="EQRTableText"/>
              <w:rPr>
                <w:rFonts w:cs="Arial"/>
                <w:szCs w:val="18"/>
              </w:rPr>
            </w:pPr>
          </w:p>
        </w:tc>
      </w:tr>
      <w:tr w14:paraId="636A693E" w14:textId="77777777" w:rsidTr="00666AC0">
        <w:tblPrEx>
          <w:tblW w:w="5000" w:type="pct"/>
          <w:tblLayout w:type="fixed"/>
          <w:tblLook w:val="04A0"/>
        </w:tblPrEx>
        <w:trPr>
          <w:cantSplit/>
        </w:trPr>
        <w:tc>
          <w:tcPr>
            <w:tcW w:w="4315" w:type="dxa"/>
          </w:tcPr>
          <w:p w:rsidR="0045391D" w:rsidRPr="00990D3B" w:rsidP="002D35CF" w14:paraId="41E1CF13" w14:textId="77777777">
            <w:pPr>
              <w:pStyle w:val="EQRTableText"/>
              <w:numPr>
                <w:ilvl w:val="0"/>
                <w:numId w:val="224"/>
              </w:numPr>
              <w:ind w:left="390"/>
              <w:rPr>
                <w:rFonts w:cs="Arial"/>
                <w:szCs w:val="18"/>
              </w:rPr>
            </w:pPr>
            <w:r w:rsidRPr="00990D3B">
              <w:rPr>
                <w:rFonts w:cs="Arial"/>
                <w:szCs w:val="18"/>
              </w:rPr>
              <w:t>Does the report provide actionable recommendations for improvement or future steps?</w:t>
            </w:r>
          </w:p>
        </w:tc>
        <w:tc>
          <w:tcPr>
            <w:tcW w:w="570" w:type="dxa"/>
          </w:tcPr>
          <w:p w:rsidR="0045391D" w:rsidRPr="00990D3B" w:rsidP="00666AC0" w14:paraId="0ED1E6A5" w14:textId="77777777">
            <w:pPr>
              <w:pStyle w:val="EQRTableText"/>
              <w:rPr>
                <w:rFonts w:cs="Arial"/>
                <w:szCs w:val="18"/>
              </w:rPr>
            </w:pPr>
          </w:p>
        </w:tc>
        <w:tc>
          <w:tcPr>
            <w:tcW w:w="570" w:type="dxa"/>
          </w:tcPr>
          <w:p w:rsidR="0045391D" w:rsidRPr="00990D3B" w:rsidP="00666AC0" w14:paraId="2589FA25" w14:textId="77777777">
            <w:pPr>
              <w:pStyle w:val="EQRTableText"/>
              <w:rPr>
                <w:rFonts w:cs="Arial"/>
                <w:szCs w:val="18"/>
              </w:rPr>
            </w:pPr>
          </w:p>
        </w:tc>
        <w:tc>
          <w:tcPr>
            <w:tcW w:w="570" w:type="dxa"/>
          </w:tcPr>
          <w:p w:rsidR="0045391D" w:rsidRPr="00990D3B" w:rsidP="00666AC0" w14:paraId="394E2BBE" w14:textId="77777777">
            <w:pPr>
              <w:pStyle w:val="EQRTableText"/>
              <w:rPr>
                <w:rFonts w:cs="Arial"/>
                <w:szCs w:val="18"/>
              </w:rPr>
            </w:pPr>
          </w:p>
        </w:tc>
        <w:tc>
          <w:tcPr>
            <w:tcW w:w="3325" w:type="dxa"/>
          </w:tcPr>
          <w:p w:rsidR="0045391D" w:rsidRPr="00990D3B" w:rsidP="00666AC0" w14:paraId="06F0EAC0" w14:textId="77777777">
            <w:pPr>
              <w:pStyle w:val="EQRTableText"/>
              <w:rPr>
                <w:rFonts w:cs="Arial"/>
                <w:szCs w:val="18"/>
              </w:rPr>
            </w:pPr>
          </w:p>
        </w:tc>
      </w:tr>
    </w:tbl>
    <w:p w:rsidR="0045391D" w:rsidRPr="00990D3B" w:rsidP="00B5252D" w14:paraId="045450C9" w14:textId="77777777">
      <w:pPr>
        <w:pStyle w:val="ParagraphContinued"/>
      </w:pPr>
    </w:p>
    <w:p w:rsidR="0045391D" w:rsidRPr="00990D3B" w14:paraId="31ABD9A8" w14:textId="77777777">
      <w:pPr>
        <w:spacing w:line="240" w:lineRule="auto"/>
      </w:pPr>
      <w:r w:rsidRPr="00990D3B">
        <w:br w:type="page"/>
      </w:r>
    </w:p>
    <w:p w:rsidR="0045391D" w:rsidRPr="00990D3B" w:rsidP="00666AC0" w14:paraId="28C9C312" w14:textId="77777777">
      <w:pPr>
        <w:pStyle w:val="EQRMarkforExhibitWORKSHEET"/>
      </w:pPr>
      <w:bookmarkStart w:id="1108" w:name="WS11n7"/>
      <w:bookmarkStart w:id="1109" w:name="_Toc201751573"/>
      <w:bookmarkEnd w:id="1051"/>
      <w:bookmarkEnd w:id="1108"/>
      <w:r w:rsidRPr="00990D3B">
        <w:t>Worksheet 11.7. Evaluation Performance Metric Results Template</w:t>
      </w:r>
      <w:bookmarkEnd w:id="1109"/>
      <w:r w:rsidRPr="00990D3B">
        <w:t xml:space="preserve">  </w:t>
      </w:r>
    </w:p>
    <w:p w:rsidR="0045391D" w:rsidRPr="00990D3B" w:rsidP="00343496" w14:paraId="5F4D567D" w14:textId="77777777">
      <w:pPr>
        <w:pStyle w:val="EQRNormalSSWORKSHEET"/>
        <w:rPr>
          <w:b/>
          <w:bCs/>
        </w:rPr>
      </w:pPr>
      <w:r w:rsidRPr="00990D3B">
        <w:rPr>
          <w:b/>
          <w:bCs/>
        </w:rPr>
        <w:t>Evaluation Type</w:t>
      </w:r>
      <w:r w:rsidRPr="00990D3B">
        <w:rPr>
          <w:b/>
          <w:bCs/>
        </w:rPr>
        <w:t>:  [  ]</w:t>
      </w:r>
      <w:r w:rsidRPr="00990D3B">
        <w:rPr>
          <w:b/>
          <w:bCs/>
        </w:rPr>
        <w:t xml:space="preserve">  </w:t>
      </w:r>
      <w:r w:rsidRPr="00990D3B">
        <w:rPr>
          <w:b/>
          <w:bCs/>
        </w:rPr>
        <w:t>QS  [  ]</w:t>
      </w:r>
      <w:r w:rsidRPr="00990D3B">
        <w:rPr>
          <w:b/>
          <w:bCs/>
        </w:rPr>
        <w:t xml:space="preserve">  SDP</w:t>
      </w:r>
      <w:r w:rsidRPr="00990D3B">
        <w:rPr>
          <w:b/>
          <w:bCs/>
        </w:rPr>
        <w:t xml:space="preserve">   [  ]</w:t>
      </w:r>
      <w:r w:rsidRPr="00990D3B">
        <w:rPr>
          <w:b/>
          <w:bCs/>
        </w:rPr>
        <w:t xml:space="preserve">  ILOS</w:t>
      </w:r>
    </w:p>
    <w:p w:rsidR="0045391D" w:rsidRPr="00990D3B" w:rsidP="00666AC0" w14:paraId="34FBE828" w14:textId="77777777">
      <w:pPr>
        <w:pStyle w:val="EQRNormalSSWORKSHEET"/>
        <w:rPr>
          <w:rFonts w:asciiTheme="majorHAnsi" w:hAnsiTheme="majorHAnsi" w:cstheme="majorHAnsi"/>
          <w:bCs/>
        </w:rPr>
      </w:pPr>
      <w:r w:rsidRPr="00990D3B">
        <w:rPr>
          <w:rFonts w:cs="Arial"/>
          <w:b/>
          <w:bCs/>
        </w:rPr>
        <w:t>Instructions.</w:t>
      </w:r>
      <w:r w:rsidRPr="00990D3B">
        <w:rPr>
          <w:b/>
          <w:bCs/>
        </w:rPr>
        <w:t xml:space="preserve"> </w:t>
      </w:r>
      <w:r w:rsidRPr="00990D3B">
        <w:rPr>
          <w:rFonts w:asciiTheme="majorHAnsi" w:hAnsiTheme="majorHAnsi" w:cstheme="majorHAnsi"/>
          <w:bCs/>
        </w:rPr>
        <w:t xml:space="preserve">Use the worksheet below to organize key findings and share important analytic and methodological details of the evaluation. Originally developed for SDPs, these tools can be adapted for other types of evaluations. It is a general guide and may not capture all reporting requirements. </w:t>
      </w:r>
    </w:p>
    <w:p w:rsidR="0045391D" w:rsidRPr="00990D3B" w:rsidP="00343496" w14:paraId="3F060BD7" w14:textId="77777777">
      <w:pPr>
        <w:pStyle w:val="EQRNormalSSWORKSHEET"/>
      </w:pPr>
      <w:r w:rsidRPr="00990D3B">
        <w:t xml:space="preserve">Use Table 1 to document evaluation metrics, baseline statistics, and performance trends. Add columns as needed. Use Table 2 to summarize the evaluation methodology, key findings, and any contextual factors influencing results. If a question is not applicable, indicate “Not Applicable (N/A)” and briefly explain why. </w:t>
      </w:r>
    </w:p>
    <w:p w:rsidR="0045391D" w:rsidRPr="00990D3B" w:rsidP="00666AC0" w14:paraId="6601119E" w14:textId="77777777">
      <w:pPr>
        <w:pStyle w:val="EQRNormalSSWORKSHEET"/>
        <w:rPr>
          <w:rFonts w:cs="Arial"/>
        </w:rPr>
      </w:pPr>
      <w:r w:rsidRPr="00990D3B">
        <w:rPr>
          <w:rFonts w:cs="Arial"/>
        </w:rPr>
        <w:t>Acronyms: CHIP = Children’s Health Insurance Program; ILOS = In Lieu of Services and Settings; MCP = Managed Care Plan; QS = Quality Strategy; SDP = State Directed Payment.</w:t>
      </w:r>
    </w:p>
    <w:p w:rsidR="0045391D" w:rsidRPr="00990D3B" w:rsidP="00F442E2" w14:paraId="520DC46C" w14:textId="77777777">
      <w:pPr>
        <w:pStyle w:val="EQRNormalSSWORKSHEET"/>
        <w:rPr>
          <w:b/>
          <w:bCs/>
        </w:rPr>
      </w:pPr>
      <w:r w:rsidRPr="00990D3B">
        <w:rPr>
          <w:b/>
          <w:bCs/>
        </w:rPr>
        <w:t>Table 1. [State]’s Evaluation Findings for [Insert Name of Evaluation], Contract Rating Years [Insert Years]</w:t>
      </w:r>
    </w:p>
    <w:tbl>
      <w:tblPr>
        <w:tblStyle w:val="GridTable4Accent5"/>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1326"/>
        <w:gridCol w:w="1326"/>
        <w:gridCol w:w="1824"/>
        <w:gridCol w:w="10"/>
        <w:gridCol w:w="1216"/>
        <w:gridCol w:w="1203"/>
        <w:gridCol w:w="1203"/>
        <w:gridCol w:w="1203"/>
        <w:gridCol w:w="1195"/>
      </w:tblGrid>
      <w:tr w14:paraId="57EC14AA" w14:textId="77777777" w:rsidTr="004118AC">
        <w:tblPrEx>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Pr>
        <w:tc>
          <w:tcPr>
            <w:tcW w:w="2683" w:type="pct"/>
            <w:gridSpan w:val="5"/>
            <w:shd w:val="clear" w:color="auto" w:fill="auto"/>
            <w:vAlign w:val="bottom"/>
          </w:tcPr>
          <w:p w:rsidR="0045391D" w:rsidRPr="00990D3B" w:rsidP="004118AC" w14:paraId="75353DE5" w14:textId="77777777">
            <w:pPr>
              <w:pStyle w:val="EQRTableHeaderLeft"/>
              <w:rPr>
                <w:b/>
                <w:color w:val="auto"/>
              </w:rPr>
            </w:pPr>
          </w:p>
        </w:tc>
        <w:tc>
          <w:tcPr>
            <w:tcW w:w="2317" w:type="pct"/>
            <w:gridSpan w:val="5"/>
            <w:shd w:val="clear" w:color="auto" w:fill="auto"/>
            <w:vAlign w:val="bottom"/>
          </w:tcPr>
          <w:p w:rsidR="0045391D" w:rsidRPr="00990D3B" w:rsidP="004118AC" w14:paraId="16947228" w14:textId="77777777">
            <w:pPr>
              <w:pStyle w:val="EQRTableText"/>
              <w:rPr>
                <w:color w:val="auto"/>
              </w:rPr>
            </w:pPr>
            <w:r w:rsidRPr="00990D3B">
              <w:rPr>
                <w:color w:val="auto"/>
              </w:rPr>
              <w:t>Evaluation Data</w:t>
            </w:r>
          </w:p>
        </w:tc>
      </w:tr>
      <w:tr w14:paraId="7DDBC76A" w14:textId="77777777" w:rsidTr="004118AC">
        <w:tblPrEx>
          <w:tblW w:w="5017" w:type="pct"/>
          <w:tblLook w:val="04A0"/>
        </w:tblPrEx>
        <w:trPr>
          <w:cantSplit/>
        </w:trPr>
        <w:tc>
          <w:tcPr>
            <w:tcW w:w="957" w:type="pct"/>
            <w:shd w:val="clear" w:color="auto" w:fill="auto"/>
            <w:vAlign w:val="bottom"/>
          </w:tcPr>
          <w:p w:rsidR="0045391D" w:rsidRPr="00990D3B" w:rsidP="004118AC" w14:paraId="16E19713" w14:textId="77777777">
            <w:pPr>
              <w:pStyle w:val="EQRTableHeaderLeft"/>
              <w:rPr>
                <w:b/>
                <w:bCs w:val="0"/>
                <w:color w:val="auto"/>
                <w:sz w:val="16"/>
                <w:szCs w:val="18"/>
              </w:rPr>
            </w:pPr>
            <w:r w:rsidRPr="00990D3B">
              <w:rPr>
                <w:b/>
                <w:bCs w:val="0"/>
                <w:color w:val="auto"/>
                <w:sz w:val="16"/>
                <w:szCs w:val="18"/>
              </w:rPr>
              <w:t>Metric Name</w:t>
            </w:r>
          </w:p>
        </w:tc>
        <w:tc>
          <w:tcPr>
            <w:tcW w:w="510" w:type="pct"/>
            <w:shd w:val="clear" w:color="auto" w:fill="auto"/>
            <w:vAlign w:val="bottom"/>
          </w:tcPr>
          <w:p w:rsidR="0045391D" w:rsidRPr="00990D3B" w:rsidP="004118AC" w14:paraId="676D7B28" w14:textId="77777777">
            <w:pPr>
              <w:pStyle w:val="EQRTableHeaderCenter"/>
              <w:rPr>
                <w:bCs/>
                <w:color w:val="auto"/>
                <w:sz w:val="16"/>
                <w:szCs w:val="18"/>
              </w:rPr>
            </w:pPr>
            <w:r w:rsidRPr="00990D3B">
              <w:rPr>
                <w:color w:val="auto"/>
                <w:sz w:val="16"/>
                <w:szCs w:val="18"/>
              </w:rPr>
              <w:t>Baseline Year</w:t>
            </w:r>
          </w:p>
        </w:tc>
        <w:tc>
          <w:tcPr>
            <w:tcW w:w="510" w:type="pct"/>
            <w:shd w:val="clear" w:color="auto" w:fill="auto"/>
            <w:vAlign w:val="bottom"/>
          </w:tcPr>
          <w:p w:rsidR="0045391D" w:rsidRPr="00990D3B" w:rsidP="004118AC" w14:paraId="6E1AA3C4" w14:textId="77777777">
            <w:pPr>
              <w:pStyle w:val="EQRTableHeaderCenter"/>
              <w:rPr>
                <w:bCs/>
                <w:color w:val="auto"/>
                <w:sz w:val="16"/>
                <w:szCs w:val="18"/>
              </w:rPr>
            </w:pPr>
            <w:r w:rsidRPr="00990D3B">
              <w:rPr>
                <w:color w:val="auto"/>
                <w:sz w:val="16"/>
                <w:szCs w:val="18"/>
              </w:rPr>
              <w:t>Baseline Statistic</w:t>
            </w:r>
          </w:p>
        </w:tc>
        <w:tc>
          <w:tcPr>
            <w:tcW w:w="702" w:type="pct"/>
            <w:shd w:val="clear" w:color="auto" w:fill="auto"/>
            <w:vAlign w:val="bottom"/>
          </w:tcPr>
          <w:p w:rsidR="0045391D" w:rsidRPr="00990D3B" w:rsidP="004118AC" w14:paraId="0F09882C" w14:textId="77777777">
            <w:pPr>
              <w:pStyle w:val="EQRTableHeaderCenter"/>
              <w:rPr>
                <w:bCs/>
                <w:color w:val="auto"/>
                <w:sz w:val="16"/>
                <w:szCs w:val="18"/>
              </w:rPr>
            </w:pPr>
            <w:r w:rsidRPr="00990D3B">
              <w:rPr>
                <w:color w:val="auto"/>
                <w:sz w:val="16"/>
                <w:szCs w:val="18"/>
              </w:rPr>
              <w:t>Performance Target</w:t>
            </w:r>
          </w:p>
        </w:tc>
        <w:tc>
          <w:tcPr>
            <w:tcW w:w="472" w:type="pct"/>
            <w:gridSpan w:val="2"/>
            <w:shd w:val="clear" w:color="auto" w:fill="auto"/>
            <w:vAlign w:val="bottom"/>
          </w:tcPr>
          <w:p w:rsidR="0045391D" w:rsidRPr="00990D3B" w:rsidP="004118AC" w14:paraId="1FBEB52D" w14:textId="77777777">
            <w:pPr>
              <w:pStyle w:val="EQRTableHeaderCenter"/>
              <w:rPr>
                <w:bCs/>
                <w:color w:val="auto"/>
                <w:sz w:val="16"/>
                <w:szCs w:val="18"/>
              </w:rPr>
            </w:pPr>
            <w:r w:rsidRPr="00990D3B">
              <w:rPr>
                <w:color w:val="auto"/>
                <w:sz w:val="16"/>
                <w:szCs w:val="18"/>
              </w:rPr>
              <w:t>20XX – 20XX</w:t>
            </w:r>
          </w:p>
        </w:tc>
        <w:tc>
          <w:tcPr>
            <w:tcW w:w="463" w:type="pct"/>
            <w:shd w:val="clear" w:color="auto" w:fill="auto"/>
            <w:vAlign w:val="bottom"/>
          </w:tcPr>
          <w:p w:rsidR="0045391D" w:rsidRPr="00990D3B" w:rsidP="004118AC" w14:paraId="1B9869B3" w14:textId="77777777">
            <w:pPr>
              <w:pStyle w:val="EQRTableHeaderCenter"/>
              <w:rPr>
                <w:bCs/>
                <w:color w:val="auto"/>
                <w:sz w:val="16"/>
                <w:szCs w:val="18"/>
              </w:rPr>
            </w:pPr>
            <w:r w:rsidRPr="00990D3B">
              <w:rPr>
                <w:color w:val="auto"/>
                <w:sz w:val="16"/>
                <w:szCs w:val="18"/>
              </w:rPr>
              <w:t>20XX – 20XX</w:t>
            </w:r>
          </w:p>
        </w:tc>
        <w:tc>
          <w:tcPr>
            <w:tcW w:w="463" w:type="pct"/>
            <w:shd w:val="clear" w:color="auto" w:fill="auto"/>
            <w:vAlign w:val="bottom"/>
          </w:tcPr>
          <w:p w:rsidR="0045391D" w:rsidRPr="00990D3B" w:rsidP="004118AC" w14:paraId="61049DB3" w14:textId="77777777">
            <w:pPr>
              <w:pStyle w:val="EQRTableHeaderCenter"/>
              <w:rPr>
                <w:bCs/>
                <w:color w:val="auto"/>
                <w:sz w:val="16"/>
                <w:szCs w:val="18"/>
              </w:rPr>
            </w:pPr>
            <w:r w:rsidRPr="00990D3B">
              <w:rPr>
                <w:color w:val="auto"/>
                <w:sz w:val="16"/>
                <w:szCs w:val="18"/>
              </w:rPr>
              <w:t>20XX – 20XX</w:t>
            </w:r>
          </w:p>
        </w:tc>
        <w:tc>
          <w:tcPr>
            <w:tcW w:w="463" w:type="pct"/>
            <w:shd w:val="clear" w:color="auto" w:fill="auto"/>
            <w:vAlign w:val="bottom"/>
          </w:tcPr>
          <w:p w:rsidR="0045391D" w:rsidRPr="00990D3B" w:rsidP="004118AC" w14:paraId="18D7DB93" w14:textId="77777777">
            <w:pPr>
              <w:pStyle w:val="EQRTableHeaderCenter"/>
              <w:rPr>
                <w:bCs/>
                <w:color w:val="auto"/>
                <w:sz w:val="16"/>
                <w:szCs w:val="18"/>
              </w:rPr>
            </w:pPr>
            <w:r w:rsidRPr="00990D3B">
              <w:rPr>
                <w:color w:val="auto"/>
                <w:sz w:val="16"/>
                <w:szCs w:val="18"/>
              </w:rPr>
              <w:t>20XX – 20XX</w:t>
            </w:r>
          </w:p>
        </w:tc>
        <w:tc>
          <w:tcPr>
            <w:tcW w:w="461" w:type="pct"/>
            <w:shd w:val="clear" w:color="auto" w:fill="auto"/>
            <w:vAlign w:val="bottom"/>
          </w:tcPr>
          <w:p w:rsidR="0045391D" w:rsidRPr="00990D3B" w:rsidP="004118AC" w14:paraId="63A2F69D" w14:textId="77777777">
            <w:pPr>
              <w:pStyle w:val="EQRTableHeaderCenter"/>
              <w:rPr>
                <w:bCs/>
                <w:color w:val="auto"/>
                <w:sz w:val="16"/>
                <w:szCs w:val="18"/>
              </w:rPr>
            </w:pPr>
            <w:r w:rsidRPr="00990D3B">
              <w:rPr>
                <w:color w:val="auto"/>
                <w:sz w:val="16"/>
                <w:szCs w:val="18"/>
              </w:rPr>
              <w:t>20XX – 20XX</w:t>
            </w:r>
          </w:p>
        </w:tc>
      </w:tr>
      <w:tr w14:paraId="3526EE3A" w14:textId="77777777" w:rsidTr="004118AC">
        <w:tblPrEx>
          <w:tblW w:w="5017" w:type="pct"/>
          <w:tblLook w:val="04A0"/>
        </w:tblPrEx>
        <w:trPr>
          <w:cantSplit/>
        </w:trPr>
        <w:tc>
          <w:tcPr>
            <w:tcW w:w="957" w:type="pct"/>
            <w:tcBorders>
              <w:top w:val="single" w:sz="4" w:space="0" w:color="auto"/>
              <w:left w:val="single" w:sz="4" w:space="0" w:color="auto"/>
              <w:bottom w:val="single" w:sz="4" w:space="0" w:color="auto"/>
              <w:right w:val="single" w:sz="4" w:space="0" w:color="auto"/>
            </w:tcBorders>
          </w:tcPr>
          <w:p w:rsidR="0045391D" w:rsidRPr="00990D3B" w:rsidP="004118AC" w14:paraId="737E1A4D" w14:textId="77777777">
            <w:pPr>
              <w:pStyle w:val="EQRTableText"/>
              <w:rPr>
                <w:i/>
                <w:iCs/>
              </w:rPr>
            </w:pPr>
          </w:p>
        </w:tc>
        <w:tc>
          <w:tcPr>
            <w:tcW w:w="510" w:type="pct"/>
            <w:tcBorders>
              <w:top w:val="single" w:sz="4" w:space="0" w:color="auto"/>
              <w:left w:val="single" w:sz="4" w:space="0" w:color="auto"/>
              <w:bottom w:val="single" w:sz="4" w:space="0" w:color="auto"/>
              <w:right w:val="single" w:sz="4" w:space="0" w:color="auto"/>
            </w:tcBorders>
          </w:tcPr>
          <w:p w:rsidR="0045391D" w:rsidRPr="00990D3B" w:rsidP="004118AC" w14:paraId="47C3F249" w14:textId="77777777">
            <w:pPr>
              <w:pStyle w:val="EQRTableText"/>
            </w:pPr>
          </w:p>
        </w:tc>
        <w:tc>
          <w:tcPr>
            <w:tcW w:w="510" w:type="pct"/>
            <w:tcBorders>
              <w:top w:val="single" w:sz="4" w:space="0" w:color="auto"/>
              <w:left w:val="single" w:sz="4" w:space="0" w:color="auto"/>
              <w:bottom w:val="single" w:sz="4" w:space="0" w:color="auto"/>
              <w:right w:val="single" w:sz="4" w:space="0" w:color="auto"/>
            </w:tcBorders>
          </w:tcPr>
          <w:p w:rsidR="0045391D" w:rsidRPr="00990D3B" w:rsidP="004118AC" w14:paraId="4332AD2A" w14:textId="77777777">
            <w:pPr>
              <w:pStyle w:val="EQRTableText"/>
            </w:pPr>
          </w:p>
        </w:tc>
        <w:tc>
          <w:tcPr>
            <w:tcW w:w="702" w:type="pct"/>
            <w:tcBorders>
              <w:top w:val="single" w:sz="4" w:space="0" w:color="auto"/>
              <w:left w:val="single" w:sz="4" w:space="0" w:color="auto"/>
              <w:bottom w:val="single" w:sz="4" w:space="0" w:color="auto"/>
              <w:right w:val="single" w:sz="4" w:space="0" w:color="auto"/>
            </w:tcBorders>
          </w:tcPr>
          <w:p w:rsidR="0045391D" w:rsidRPr="00990D3B" w:rsidP="004118AC" w14:paraId="0A2A0B83" w14:textId="77777777">
            <w:pPr>
              <w:pStyle w:val="EQRTableText"/>
            </w:pPr>
          </w:p>
        </w:tc>
        <w:tc>
          <w:tcPr>
            <w:tcW w:w="472" w:type="pct"/>
            <w:gridSpan w:val="2"/>
            <w:tcBorders>
              <w:top w:val="single" w:sz="4" w:space="0" w:color="auto"/>
              <w:left w:val="single" w:sz="4" w:space="0" w:color="auto"/>
              <w:bottom w:val="single" w:sz="4" w:space="0" w:color="auto"/>
              <w:right w:val="single" w:sz="4" w:space="0" w:color="auto"/>
            </w:tcBorders>
          </w:tcPr>
          <w:p w:rsidR="0045391D" w:rsidRPr="00990D3B" w:rsidP="004118AC" w14:paraId="0A085F9C" w14:textId="77777777">
            <w:pPr>
              <w:pStyle w:val="EQRTableText"/>
            </w:pPr>
          </w:p>
        </w:tc>
        <w:tc>
          <w:tcPr>
            <w:tcW w:w="463" w:type="pct"/>
            <w:tcBorders>
              <w:top w:val="single" w:sz="4" w:space="0" w:color="auto"/>
              <w:left w:val="single" w:sz="4" w:space="0" w:color="auto"/>
              <w:bottom w:val="single" w:sz="4" w:space="0" w:color="auto"/>
              <w:right w:val="single" w:sz="4" w:space="0" w:color="auto"/>
            </w:tcBorders>
          </w:tcPr>
          <w:p w:rsidR="0045391D" w:rsidRPr="00990D3B" w:rsidP="004118AC" w14:paraId="7E488DEE" w14:textId="77777777">
            <w:pPr>
              <w:pStyle w:val="EQRTableText"/>
            </w:pPr>
          </w:p>
        </w:tc>
        <w:tc>
          <w:tcPr>
            <w:tcW w:w="463" w:type="pct"/>
            <w:tcBorders>
              <w:top w:val="single" w:sz="4" w:space="0" w:color="auto"/>
              <w:left w:val="single" w:sz="4" w:space="0" w:color="auto"/>
              <w:bottom w:val="single" w:sz="4" w:space="0" w:color="auto"/>
              <w:right w:val="single" w:sz="4" w:space="0" w:color="auto"/>
            </w:tcBorders>
          </w:tcPr>
          <w:p w:rsidR="0045391D" w:rsidRPr="00990D3B" w:rsidP="004118AC" w14:paraId="4079CE62" w14:textId="77777777">
            <w:pPr>
              <w:pStyle w:val="EQRTableText"/>
            </w:pPr>
          </w:p>
        </w:tc>
        <w:tc>
          <w:tcPr>
            <w:tcW w:w="463" w:type="pct"/>
            <w:tcBorders>
              <w:top w:val="single" w:sz="4" w:space="0" w:color="auto"/>
              <w:left w:val="single" w:sz="4" w:space="0" w:color="auto"/>
              <w:bottom w:val="single" w:sz="4" w:space="0" w:color="auto"/>
              <w:right w:val="single" w:sz="4" w:space="0" w:color="auto"/>
            </w:tcBorders>
          </w:tcPr>
          <w:p w:rsidR="0045391D" w:rsidRPr="00990D3B" w:rsidP="004118AC" w14:paraId="1BEF673C" w14:textId="77777777">
            <w:pPr>
              <w:pStyle w:val="EQRTableText"/>
            </w:pPr>
          </w:p>
        </w:tc>
        <w:tc>
          <w:tcPr>
            <w:tcW w:w="461" w:type="pct"/>
            <w:tcBorders>
              <w:top w:val="single" w:sz="4" w:space="0" w:color="auto"/>
              <w:left w:val="single" w:sz="4" w:space="0" w:color="auto"/>
              <w:bottom w:val="single" w:sz="4" w:space="0" w:color="auto"/>
              <w:right w:val="single" w:sz="4" w:space="0" w:color="auto"/>
            </w:tcBorders>
          </w:tcPr>
          <w:p w:rsidR="0045391D" w:rsidRPr="00990D3B" w:rsidP="004118AC" w14:paraId="4A583646" w14:textId="77777777">
            <w:pPr>
              <w:pStyle w:val="EQRTableText"/>
            </w:pPr>
          </w:p>
        </w:tc>
      </w:tr>
      <w:tr w14:paraId="7BF1F78A" w14:textId="77777777" w:rsidTr="004118AC">
        <w:tblPrEx>
          <w:tblW w:w="5017" w:type="pct"/>
          <w:tblLook w:val="04A0"/>
        </w:tblPrEx>
        <w:trPr>
          <w:cantSplit/>
        </w:trPr>
        <w:tc>
          <w:tcPr>
            <w:tcW w:w="957" w:type="pct"/>
            <w:shd w:val="clear" w:color="auto" w:fill="auto"/>
          </w:tcPr>
          <w:p w:rsidR="0045391D" w:rsidRPr="00990D3B" w:rsidP="004118AC" w14:paraId="318DF5E5" w14:textId="77777777">
            <w:pPr>
              <w:pStyle w:val="EQRTableText"/>
            </w:pPr>
          </w:p>
        </w:tc>
        <w:tc>
          <w:tcPr>
            <w:tcW w:w="510" w:type="pct"/>
            <w:shd w:val="clear" w:color="auto" w:fill="auto"/>
          </w:tcPr>
          <w:p w:rsidR="0045391D" w:rsidRPr="00990D3B" w:rsidP="004118AC" w14:paraId="2E1F2F54" w14:textId="77777777">
            <w:pPr>
              <w:pStyle w:val="EQRTableText"/>
            </w:pPr>
          </w:p>
        </w:tc>
        <w:tc>
          <w:tcPr>
            <w:tcW w:w="510" w:type="pct"/>
            <w:shd w:val="clear" w:color="auto" w:fill="auto"/>
          </w:tcPr>
          <w:p w:rsidR="0045391D" w:rsidRPr="00990D3B" w:rsidP="004118AC" w14:paraId="7D677AE2" w14:textId="77777777">
            <w:pPr>
              <w:pStyle w:val="EQRTableText"/>
            </w:pPr>
          </w:p>
        </w:tc>
        <w:tc>
          <w:tcPr>
            <w:tcW w:w="702" w:type="pct"/>
            <w:shd w:val="clear" w:color="auto" w:fill="auto"/>
          </w:tcPr>
          <w:p w:rsidR="0045391D" w:rsidRPr="00990D3B" w:rsidP="004118AC" w14:paraId="05E23A59" w14:textId="77777777">
            <w:pPr>
              <w:pStyle w:val="EQRTableText"/>
            </w:pPr>
          </w:p>
        </w:tc>
        <w:tc>
          <w:tcPr>
            <w:tcW w:w="472" w:type="pct"/>
            <w:gridSpan w:val="2"/>
            <w:shd w:val="clear" w:color="auto" w:fill="auto"/>
          </w:tcPr>
          <w:p w:rsidR="0045391D" w:rsidRPr="00990D3B" w:rsidP="004118AC" w14:paraId="52E520C1" w14:textId="77777777">
            <w:pPr>
              <w:pStyle w:val="EQRTableText"/>
            </w:pPr>
          </w:p>
        </w:tc>
        <w:tc>
          <w:tcPr>
            <w:tcW w:w="463" w:type="pct"/>
            <w:shd w:val="clear" w:color="auto" w:fill="auto"/>
          </w:tcPr>
          <w:p w:rsidR="0045391D" w:rsidRPr="00990D3B" w:rsidP="004118AC" w14:paraId="3B265D56" w14:textId="77777777">
            <w:pPr>
              <w:pStyle w:val="EQRTableText"/>
            </w:pPr>
          </w:p>
        </w:tc>
        <w:tc>
          <w:tcPr>
            <w:tcW w:w="463" w:type="pct"/>
            <w:shd w:val="clear" w:color="auto" w:fill="auto"/>
          </w:tcPr>
          <w:p w:rsidR="0045391D" w:rsidRPr="00990D3B" w:rsidP="004118AC" w14:paraId="49D7822F" w14:textId="77777777">
            <w:pPr>
              <w:pStyle w:val="EQRTableText"/>
            </w:pPr>
          </w:p>
        </w:tc>
        <w:tc>
          <w:tcPr>
            <w:tcW w:w="463" w:type="pct"/>
            <w:shd w:val="clear" w:color="auto" w:fill="auto"/>
          </w:tcPr>
          <w:p w:rsidR="0045391D" w:rsidRPr="00990D3B" w:rsidP="004118AC" w14:paraId="6BAA2C06" w14:textId="77777777">
            <w:pPr>
              <w:pStyle w:val="EQRTableText"/>
            </w:pPr>
          </w:p>
        </w:tc>
        <w:tc>
          <w:tcPr>
            <w:tcW w:w="461" w:type="pct"/>
            <w:shd w:val="clear" w:color="auto" w:fill="auto"/>
          </w:tcPr>
          <w:p w:rsidR="0045391D" w:rsidRPr="00990D3B" w:rsidP="004118AC" w14:paraId="7A67D20B" w14:textId="77777777">
            <w:pPr>
              <w:pStyle w:val="EQRTableText"/>
            </w:pPr>
          </w:p>
        </w:tc>
      </w:tr>
      <w:tr w14:paraId="2B0ADD80" w14:textId="77777777" w:rsidTr="004118AC">
        <w:tblPrEx>
          <w:tblW w:w="5017" w:type="pct"/>
          <w:tblLook w:val="04A0"/>
        </w:tblPrEx>
        <w:trPr>
          <w:cantSplit/>
        </w:trPr>
        <w:tc>
          <w:tcPr>
            <w:tcW w:w="957" w:type="pct"/>
            <w:tcBorders>
              <w:top w:val="single" w:sz="4" w:space="0" w:color="auto"/>
              <w:left w:val="single" w:sz="4" w:space="0" w:color="auto"/>
              <w:bottom w:val="single" w:sz="4" w:space="0" w:color="auto"/>
              <w:right w:val="single" w:sz="4" w:space="0" w:color="auto"/>
            </w:tcBorders>
          </w:tcPr>
          <w:p w:rsidR="0045391D" w:rsidRPr="00990D3B" w:rsidP="004118AC" w14:paraId="0CB2599B" w14:textId="77777777">
            <w:pPr>
              <w:pStyle w:val="EQRTableText"/>
            </w:pPr>
          </w:p>
        </w:tc>
        <w:tc>
          <w:tcPr>
            <w:tcW w:w="510" w:type="pct"/>
            <w:tcBorders>
              <w:top w:val="single" w:sz="4" w:space="0" w:color="auto"/>
              <w:left w:val="single" w:sz="4" w:space="0" w:color="auto"/>
              <w:bottom w:val="single" w:sz="4" w:space="0" w:color="auto"/>
              <w:right w:val="single" w:sz="4" w:space="0" w:color="auto"/>
            </w:tcBorders>
          </w:tcPr>
          <w:p w:rsidR="0045391D" w:rsidRPr="00990D3B" w:rsidP="004118AC" w14:paraId="31243526" w14:textId="77777777">
            <w:pPr>
              <w:pStyle w:val="EQRTableText"/>
            </w:pPr>
          </w:p>
        </w:tc>
        <w:tc>
          <w:tcPr>
            <w:tcW w:w="510" w:type="pct"/>
            <w:tcBorders>
              <w:top w:val="single" w:sz="4" w:space="0" w:color="auto"/>
              <w:left w:val="single" w:sz="4" w:space="0" w:color="auto"/>
              <w:bottom w:val="single" w:sz="4" w:space="0" w:color="auto"/>
              <w:right w:val="single" w:sz="4" w:space="0" w:color="auto"/>
            </w:tcBorders>
          </w:tcPr>
          <w:p w:rsidR="0045391D" w:rsidRPr="00990D3B" w:rsidP="004118AC" w14:paraId="5517C23A" w14:textId="77777777">
            <w:pPr>
              <w:pStyle w:val="EQRTableText"/>
            </w:pPr>
          </w:p>
        </w:tc>
        <w:tc>
          <w:tcPr>
            <w:tcW w:w="702" w:type="pct"/>
            <w:tcBorders>
              <w:top w:val="single" w:sz="4" w:space="0" w:color="auto"/>
              <w:left w:val="single" w:sz="4" w:space="0" w:color="auto"/>
              <w:bottom w:val="single" w:sz="4" w:space="0" w:color="auto"/>
              <w:right w:val="single" w:sz="4" w:space="0" w:color="auto"/>
            </w:tcBorders>
          </w:tcPr>
          <w:p w:rsidR="0045391D" w:rsidRPr="00990D3B" w:rsidP="004118AC" w14:paraId="0B831998" w14:textId="77777777">
            <w:pPr>
              <w:pStyle w:val="EQRTableText"/>
            </w:pPr>
          </w:p>
        </w:tc>
        <w:tc>
          <w:tcPr>
            <w:tcW w:w="472" w:type="pct"/>
            <w:gridSpan w:val="2"/>
            <w:tcBorders>
              <w:top w:val="single" w:sz="4" w:space="0" w:color="auto"/>
              <w:left w:val="single" w:sz="4" w:space="0" w:color="auto"/>
              <w:bottom w:val="single" w:sz="4" w:space="0" w:color="auto"/>
              <w:right w:val="single" w:sz="4" w:space="0" w:color="auto"/>
            </w:tcBorders>
          </w:tcPr>
          <w:p w:rsidR="0045391D" w:rsidRPr="00990D3B" w:rsidP="004118AC" w14:paraId="3F798C9F" w14:textId="77777777">
            <w:pPr>
              <w:pStyle w:val="EQRTableText"/>
            </w:pPr>
          </w:p>
        </w:tc>
        <w:tc>
          <w:tcPr>
            <w:tcW w:w="463" w:type="pct"/>
            <w:tcBorders>
              <w:top w:val="single" w:sz="4" w:space="0" w:color="auto"/>
              <w:left w:val="single" w:sz="4" w:space="0" w:color="auto"/>
              <w:bottom w:val="single" w:sz="4" w:space="0" w:color="auto"/>
              <w:right w:val="single" w:sz="4" w:space="0" w:color="auto"/>
            </w:tcBorders>
          </w:tcPr>
          <w:p w:rsidR="0045391D" w:rsidRPr="00990D3B" w:rsidP="004118AC" w14:paraId="351496A4" w14:textId="77777777">
            <w:pPr>
              <w:pStyle w:val="EQRTableText"/>
            </w:pPr>
          </w:p>
        </w:tc>
        <w:tc>
          <w:tcPr>
            <w:tcW w:w="463" w:type="pct"/>
            <w:tcBorders>
              <w:top w:val="single" w:sz="4" w:space="0" w:color="auto"/>
              <w:left w:val="single" w:sz="4" w:space="0" w:color="auto"/>
              <w:bottom w:val="single" w:sz="4" w:space="0" w:color="auto"/>
              <w:right w:val="single" w:sz="4" w:space="0" w:color="auto"/>
            </w:tcBorders>
          </w:tcPr>
          <w:p w:rsidR="0045391D" w:rsidRPr="00990D3B" w:rsidP="004118AC" w14:paraId="71E3D41D" w14:textId="77777777">
            <w:pPr>
              <w:pStyle w:val="EQRTableText"/>
            </w:pPr>
          </w:p>
        </w:tc>
        <w:tc>
          <w:tcPr>
            <w:tcW w:w="463" w:type="pct"/>
            <w:tcBorders>
              <w:top w:val="single" w:sz="4" w:space="0" w:color="auto"/>
              <w:left w:val="single" w:sz="4" w:space="0" w:color="auto"/>
              <w:bottom w:val="single" w:sz="4" w:space="0" w:color="auto"/>
              <w:right w:val="single" w:sz="4" w:space="0" w:color="auto"/>
            </w:tcBorders>
          </w:tcPr>
          <w:p w:rsidR="0045391D" w:rsidRPr="00990D3B" w:rsidP="004118AC" w14:paraId="4C4D41C3" w14:textId="77777777">
            <w:pPr>
              <w:pStyle w:val="EQRTableText"/>
            </w:pPr>
          </w:p>
        </w:tc>
        <w:tc>
          <w:tcPr>
            <w:tcW w:w="461" w:type="pct"/>
            <w:tcBorders>
              <w:top w:val="single" w:sz="4" w:space="0" w:color="auto"/>
              <w:left w:val="single" w:sz="4" w:space="0" w:color="auto"/>
              <w:bottom w:val="single" w:sz="4" w:space="0" w:color="auto"/>
              <w:right w:val="single" w:sz="4" w:space="0" w:color="auto"/>
            </w:tcBorders>
          </w:tcPr>
          <w:p w:rsidR="0045391D" w:rsidRPr="00990D3B" w:rsidP="004118AC" w14:paraId="4AE0BEF7" w14:textId="77777777">
            <w:pPr>
              <w:pStyle w:val="EQRTableText"/>
            </w:pPr>
          </w:p>
        </w:tc>
      </w:tr>
      <w:tr w14:paraId="77E57D1C" w14:textId="77777777" w:rsidTr="004118AC">
        <w:tblPrEx>
          <w:tblW w:w="5017" w:type="pct"/>
          <w:tblLook w:val="04A0"/>
        </w:tblPrEx>
        <w:trPr>
          <w:cantSplit/>
        </w:trPr>
        <w:tc>
          <w:tcPr>
            <w:tcW w:w="957" w:type="pct"/>
            <w:shd w:val="clear" w:color="auto" w:fill="auto"/>
          </w:tcPr>
          <w:p w:rsidR="0045391D" w:rsidRPr="00990D3B" w:rsidP="004118AC" w14:paraId="5AE0542F" w14:textId="77777777">
            <w:pPr>
              <w:pStyle w:val="EQRTableText"/>
            </w:pPr>
          </w:p>
        </w:tc>
        <w:tc>
          <w:tcPr>
            <w:tcW w:w="510" w:type="pct"/>
            <w:shd w:val="clear" w:color="auto" w:fill="auto"/>
          </w:tcPr>
          <w:p w:rsidR="0045391D" w:rsidRPr="00990D3B" w:rsidP="004118AC" w14:paraId="6B0A835C" w14:textId="77777777">
            <w:pPr>
              <w:pStyle w:val="EQRTableText"/>
            </w:pPr>
          </w:p>
        </w:tc>
        <w:tc>
          <w:tcPr>
            <w:tcW w:w="510" w:type="pct"/>
            <w:shd w:val="clear" w:color="auto" w:fill="auto"/>
          </w:tcPr>
          <w:p w:rsidR="0045391D" w:rsidRPr="00990D3B" w:rsidP="004118AC" w14:paraId="0D5E5D08" w14:textId="77777777">
            <w:pPr>
              <w:pStyle w:val="EQRTableText"/>
            </w:pPr>
          </w:p>
        </w:tc>
        <w:tc>
          <w:tcPr>
            <w:tcW w:w="702" w:type="pct"/>
            <w:shd w:val="clear" w:color="auto" w:fill="auto"/>
          </w:tcPr>
          <w:p w:rsidR="0045391D" w:rsidRPr="00990D3B" w:rsidP="004118AC" w14:paraId="7823B214" w14:textId="77777777">
            <w:pPr>
              <w:pStyle w:val="EQRTableText"/>
            </w:pPr>
          </w:p>
        </w:tc>
        <w:tc>
          <w:tcPr>
            <w:tcW w:w="472" w:type="pct"/>
            <w:gridSpan w:val="2"/>
            <w:shd w:val="clear" w:color="auto" w:fill="auto"/>
          </w:tcPr>
          <w:p w:rsidR="0045391D" w:rsidRPr="00990D3B" w:rsidP="004118AC" w14:paraId="0C738F9F" w14:textId="77777777">
            <w:pPr>
              <w:pStyle w:val="EQRTableText"/>
            </w:pPr>
          </w:p>
        </w:tc>
        <w:tc>
          <w:tcPr>
            <w:tcW w:w="463" w:type="pct"/>
            <w:shd w:val="clear" w:color="auto" w:fill="auto"/>
          </w:tcPr>
          <w:p w:rsidR="0045391D" w:rsidRPr="00990D3B" w:rsidP="004118AC" w14:paraId="48597F08" w14:textId="77777777">
            <w:pPr>
              <w:pStyle w:val="EQRTableText"/>
            </w:pPr>
          </w:p>
        </w:tc>
        <w:tc>
          <w:tcPr>
            <w:tcW w:w="463" w:type="pct"/>
            <w:shd w:val="clear" w:color="auto" w:fill="auto"/>
          </w:tcPr>
          <w:p w:rsidR="0045391D" w:rsidRPr="00990D3B" w:rsidP="004118AC" w14:paraId="2C6B3F8F" w14:textId="77777777">
            <w:pPr>
              <w:pStyle w:val="EQRTableText"/>
            </w:pPr>
          </w:p>
        </w:tc>
        <w:tc>
          <w:tcPr>
            <w:tcW w:w="463" w:type="pct"/>
            <w:shd w:val="clear" w:color="auto" w:fill="auto"/>
          </w:tcPr>
          <w:p w:rsidR="0045391D" w:rsidRPr="00990D3B" w:rsidP="004118AC" w14:paraId="297208C6" w14:textId="77777777">
            <w:pPr>
              <w:pStyle w:val="EQRTableText"/>
            </w:pPr>
          </w:p>
        </w:tc>
        <w:tc>
          <w:tcPr>
            <w:tcW w:w="461" w:type="pct"/>
            <w:shd w:val="clear" w:color="auto" w:fill="auto"/>
          </w:tcPr>
          <w:p w:rsidR="0045391D" w:rsidRPr="00990D3B" w:rsidP="004118AC" w14:paraId="16C753C5" w14:textId="77777777">
            <w:pPr>
              <w:pStyle w:val="EQRTableText"/>
            </w:pPr>
          </w:p>
        </w:tc>
      </w:tr>
      <w:tr w14:paraId="73638A5E" w14:textId="77777777" w:rsidTr="004118AC">
        <w:tblPrEx>
          <w:tblW w:w="5017" w:type="pct"/>
          <w:tblLook w:val="04A0"/>
        </w:tblPrEx>
        <w:trPr>
          <w:cantSplit/>
        </w:trPr>
        <w:tc>
          <w:tcPr>
            <w:tcW w:w="957" w:type="pct"/>
            <w:tcBorders>
              <w:top w:val="single" w:sz="4" w:space="0" w:color="auto"/>
              <w:left w:val="single" w:sz="4" w:space="0" w:color="auto"/>
              <w:bottom w:val="single" w:sz="4" w:space="0" w:color="auto"/>
              <w:right w:val="single" w:sz="4" w:space="0" w:color="auto"/>
            </w:tcBorders>
          </w:tcPr>
          <w:p w:rsidR="0045391D" w:rsidRPr="00990D3B" w:rsidP="004118AC" w14:paraId="39FDA57D" w14:textId="77777777">
            <w:pPr>
              <w:pStyle w:val="EQRTableText"/>
            </w:pPr>
          </w:p>
        </w:tc>
        <w:tc>
          <w:tcPr>
            <w:tcW w:w="510" w:type="pct"/>
            <w:tcBorders>
              <w:top w:val="single" w:sz="4" w:space="0" w:color="auto"/>
              <w:left w:val="single" w:sz="4" w:space="0" w:color="auto"/>
              <w:bottom w:val="single" w:sz="4" w:space="0" w:color="auto"/>
              <w:right w:val="single" w:sz="4" w:space="0" w:color="auto"/>
            </w:tcBorders>
          </w:tcPr>
          <w:p w:rsidR="0045391D" w:rsidRPr="00990D3B" w:rsidP="004118AC" w14:paraId="52C2923D" w14:textId="77777777">
            <w:pPr>
              <w:pStyle w:val="EQRTableText"/>
            </w:pPr>
          </w:p>
        </w:tc>
        <w:tc>
          <w:tcPr>
            <w:tcW w:w="510" w:type="pct"/>
            <w:tcBorders>
              <w:top w:val="single" w:sz="4" w:space="0" w:color="auto"/>
              <w:left w:val="single" w:sz="4" w:space="0" w:color="auto"/>
              <w:bottom w:val="single" w:sz="4" w:space="0" w:color="auto"/>
              <w:right w:val="single" w:sz="4" w:space="0" w:color="auto"/>
            </w:tcBorders>
          </w:tcPr>
          <w:p w:rsidR="0045391D" w:rsidRPr="00990D3B" w:rsidP="004118AC" w14:paraId="0D71023C" w14:textId="77777777">
            <w:pPr>
              <w:pStyle w:val="EQRTableText"/>
            </w:pPr>
          </w:p>
        </w:tc>
        <w:tc>
          <w:tcPr>
            <w:tcW w:w="702" w:type="pct"/>
            <w:tcBorders>
              <w:top w:val="single" w:sz="4" w:space="0" w:color="auto"/>
              <w:left w:val="single" w:sz="4" w:space="0" w:color="auto"/>
              <w:bottom w:val="single" w:sz="4" w:space="0" w:color="auto"/>
              <w:right w:val="single" w:sz="4" w:space="0" w:color="auto"/>
            </w:tcBorders>
          </w:tcPr>
          <w:p w:rsidR="0045391D" w:rsidRPr="00990D3B" w:rsidP="004118AC" w14:paraId="436F63A1" w14:textId="77777777">
            <w:pPr>
              <w:pStyle w:val="EQRTableText"/>
            </w:pPr>
          </w:p>
        </w:tc>
        <w:tc>
          <w:tcPr>
            <w:tcW w:w="472" w:type="pct"/>
            <w:gridSpan w:val="2"/>
            <w:tcBorders>
              <w:top w:val="single" w:sz="4" w:space="0" w:color="auto"/>
              <w:left w:val="single" w:sz="4" w:space="0" w:color="auto"/>
              <w:bottom w:val="single" w:sz="4" w:space="0" w:color="auto"/>
              <w:right w:val="single" w:sz="4" w:space="0" w:color="auto"/>
            </w:tcBorders>
          </w:tcPr>
          <w:p w:rsidR="0045391D" w:rsidRPr="00990D3B" w:rsidP="004118AC" w14:paraId="234DFB4B" w14:textId="77777777">
            <w:pPr>
              <w:pStyle w:val="EQRTableText"/>
            </w:pPr>
          </w:p>
        </w:tc>
        <w:tc>
          <w:tcPr>
            <w:tcW w:w="463" w:type="pct"/>
            <w:tcBorders>
              <w:top w:val="single" w:sz="4" w:space="0" w:color="auto"/>
              <w:left w:val="single" w:sz="4" w:space="0" w:color="auto"/>
              <w:bottom w:val="single" w:sz="4" w:space="0" w:color="auto"/>
              <w:right w:val="single" w:sz="4" w:space="0" w:color="auto"/>
            </w:tcBorders>
          </w:tcPr>
          <w:p w:rsidR="0045391D" w:rsidRPr="00990D3B" w:rsidP="004118AC" w14:paraId="01AE43FE" w14:textId="77777777">
            <w:pPr>
              <w:pStyle w:val="EQRTableText"/>
            </w:pPr>
          </w:p>
        </w:tc>
        <w:tc>
          <w:tcPr>
            <w:tcW w:w="463" w:type="pct"/>
            <w:tcBorders>
              <w:top w:val="single" w:sz="4" w:space="0" w:color="auto"/>
              <w:left w:val="single" w:sz="4" w:space="0" w:color="auto"/>
              <w:bottom w:val="single" w:sz="4" w:space="0" w:color="auto"/>
              <w:right w:val="single" w:sz="4" w:space="0" w:color="auto"/>
            </w:tcBorders>
          </w:tcPr>
          <w:p w:rsidR="0045391D" w:rsidRPr="00990D3B" w:rsidP="004118AC" w14:paraId="15730F4A" w14:textId="77777777">
            <w:pPr>
              <w:pStyle w:val="EQRTableText"/>
            </w:pPr>
          </w:p>
        </w:tc>
        <w:tc>
          <w:tcPr>
            <w:tcW w:w="463" w:type="pct"/>
            <w:tcBorders>
              <w:top w:val="single" w:sz="4" w:space="0" w:color="auto"/>
              <w:left w:val="single" w:sz="4" w:space="0" w:color="auto"/>
              <w:bottom w:val="single" w:sz="4" w:space="0" w:color="auto"/>
              <w:right w:val="single" w:sz="4" w:space="0" w:color="auto"/>
            </w:tcBorders>
          </w:tcPr>
          <w:p w:rsidR="0045391D" w:rsidRPr="00990D3B" w:rsidP="004118AC" w14:paraId="7A1E3D35" w14:textId="77777777">
            <w:pPr>
              <w:pStyle w:val="EQRTableText"/>
            </w:pPr>
          </w:p>
        </w:tc>
        <w:tc>
          <w:tcPr>
            <w:tcW w:w="461" w:type="pct"/>
            <w:tcBorders>
              <w:top w:val="single" w:sz="4" w:space="0" w:color="auto"/>
              <w:left w:val="single" w:sz="4" w:space="0" w:color="auto"/>
              <w:bottom w:val="single" w:sz="4" w:space="0" w:color="auto"/>
              <w:right w:val="single" w:sz="4" w:space="0" w:color="auto"/>
            </w:tcBorders>
          </w:tcPr>
          <w:p w:rsidR="0045391D" w:rsidRPr="00990D3B" w:rsidP="004118AC" w14:paraId="45694AB3" w14:textId="77777777">
            <w:pPr>
              <w:pStyle w:val="EQRTableText"/>
            </w:pPr>
          </w:p>
        </w:tc>
      </w:tr>
      <w:tr w14:paraId="37969B81" w14:textId="77777777" w:rsidTr="004118AC">
        <w:tblPrEx>
          <w:tblW w:w="5017" w:type="pct"/>
          <w:tblLook w:val="04A0"/>
        </w:tblPrEx>
        <w:trPr>
          <w:cantSplit/>
        </w:trPr>
        <w:tc>
          <w:tcPr>
            <w:tcW w:w="957" w:type="pct"/>
            <w:shd w:val="clear" w:color="auto" w:fill="auto"/>
          </w:tcPr>
          <w:p w:rsidR="0045391D" w:rsidRPr="00990D3B" w:rsidP="004118AC" w14:paraId="4CC03414" w14:textId="77777777">
            <w:pPr>
              <w:pStyle w:val="EQRTableText"/>
            </w:pPr>
          </w:p>
        </w:tc>
        <w:tc>
          <w:tcPr>
            <w:tcW w:w="510" w:type="pct"/>
            <w:shd w:val="clear" w:color="auto" w:fill="auto"/>
          </w:tcPr>
          <w:p w:rsidR="0045391D" w:rsidRPr="00990D3B" w:rsidP="004118AC" w14:paraId="049ACDE4" w14:textId="77777777">
            <w:pPr>
              <w:pStyle w:val="EQRTableText"/>
            </w:pPr>
          </w:p>
        </w:tc>
        <w:tc>
          <w:tcPr>
            <w:tcW w:w="510" w:type="pct"/>
            <w:shd w:val="clear" w:color="auto" w:fill="auto"/>
          </w:tcPr>
          <w:p w:rsidR="0045391D" w:rsidRPr="00990D3B" w:rsidP="004118AC" w14:paraId="41D96983" w14:textId="77777777">
            <w:pPr>
              <w:pStyle w:val="EQRTableText"/>
            </w:pPr>
          </w:p>
        </w:tc>
        <w:tc>
          <w:tcPr>
            <w:tcW w:w="702" w:type="pct"/>
            <w:shd w:val="clear" w:color="auto" w:fill="auto"/>
          </w:tcPr>
          <w:p w:rsidR="0045391D" w:rsidRPr="00990D3B" w:rsidP="004118AC" w14:paraId="4CB19D95" w14:textId="77777777">
            <w:pPr>
              <w:pStyle w:val="EQRTableText"/>
            </w:pPr>
          </w:p>
        </w:tc>
        <w:tc>
          <w:tcPr>
            <w:tcW w:w="472" w:type="pct"/>
            <w:gridSpan w:val="2"/>
            <w:shd w:val="clear" w:color="auto" w:fill="auto"/>
          </w:tcPr>
          <w:p w:rsidR="0045391D" w:rsidRPr="00990D3B" w:rsidP="004118AC" w14:paraId="54F7328C" w14:textId="77777777">
            <w:pPr>
              <w:pStyle w:val="EQRTableText"/>
            </w:pPr>
          </w:p>
        </w:tc>
        <w:tc>
          <w:tcPr>
            <w:tcW w:w="463" w:type="pct"/>
            <w:shd w:val="clear" w:color="auto" w:fill="auto"/>
          </w:tcPr>
          <w:p w:rsidR="0045391D" w:rsidRPr="00990D3B" w:rsidP="004118AC" w14:paraId="2A5B0166" w14:textId="77777777">
            <w:pPr>
              <w:pStyle w:val="EQRTableText"/>
            </w:pPr>
          </w:p>
        </w:tc>
        <w:tc>
          <w:tcPr>
            <w:tcW w:w="463" w:type="pct"/>
            <w:shd w:val="clear" w:color="auto" w:fill="auto"/>
          </w:tcPr>
          <w:p w:rsidR="0045391D" w:rsidRPr="00990D3B" w:rsidP="004118AC" w14:paraId="0051660C" w14:textId="77777777">
            <w:pPr>
              <w:pStyle w:val="EQRTableText"/>
            </w:pPr>
          </w:p>
        </w:tc>
        <w:tc>
          <w:tcPr>
            <w:tcW w:w="463" w:type="pct"/>
            <w:shd w:val="clear" w:color="auto" w:fill="auto"/>
          </w:tcPr>
          <w:p w:rsidR="0045391D" w:rsidRPr="00990D3B" w:rsidP="004118AC" w14:paraId="4DC4927B" w14:textId="77777777">
            <w:pPr>
              <w:pStyle w:val="EQRTableText"/>
            </w:pPr>
          </w:p>
        </w:tc>
        <w:tc>
          <w:tcPr>
            <w:tcW w:w="461" w:type="pct"/>
            <w:shd w:val="clear" w:color="auto" w:fill="auto"/>
          </w:tcPr>
          <w:p w:rsidR="0045391D" w:rsidRPr="00990D3B" w:rsidP="004118AC" w14:paraId="09345467" w14:textId="77777777">
            <w:pPr>
              <w:pStyle w:val="EQRTableText"/>
            </w:pPr>
          </w:p>
        </w:tc>
      </w:tr>
    </w:tbl>
    <w:p w:rsidR="0045391D" w:rsidRPr="00990D3B" w:rsidP="00666AC0" w14:paraId="27D88486" w14:textId="77777777">
      <w:pPr>
        <w:rPr>
          <w:rFonts w:ascii="Arial" w:hAnsi="Arial" w:cs="Arial"/>
          <w:b/>
          <w:bCs/>
          <w:szCs w:val="24"/>
        </w:rPr>
      </w:pPr>
    </w:p>
    <w:p w:rsidR="0045391D" w:rsidRPr="00990D3B" w:rsidP="00666AC0" w14:paraId="3860C84B" w14:textId="77777777">
      <w:pPr>
        <w:rPr>
          <w:rFonts w:ascii="Arial" w:hAnsi="Arial" w:cs="Arial"/>
          <w:b/>
          <w:bCs/>
          <w:sz w:val="20"/>
        </w:rPr>
      </w:pPr>
      <w:r w:rsidRPr="00990D3B">
        <w:rPr>
          <w:rFonts w:ascii="Arial" w:hAnsi="Arial" w:cs="Arial"/>
          <w:b/>
          <w:bCs/>
          <w:sz w:val="20"/>
        </w:rPr>
        <w:br w:type="page"/>
      </w:r>
    </w:p>
    <w:p w:rsidR="0045391D" w:rsidRPr="00990D3B" w:rsidP="00F442E2" w14:paraId="73F0C740" w14:textId="77777777">
      <w:pPr>
        <w:pStyle w:val="EQRNormalSSWORKSHEET"/>
        <w:rPr>
          <w:b/>
          <w:bCs/>
        </w:rPr>
      </w:pPr>
      <w:r w:rsidRPr="00990D3B">
        <w:rPr>
          <w:b/>
          <w:bCs/>
        </w:rPr>
        <w:t>Table 2. Summary of [State]’s [Insert Name of Evaluation]</w:t>
      </w:r>
    </w:p>
    <w:tbl>
      <w:tblPr>
        <w:tblStyle w:val="TableGrid"/>
        <w:tblW w:w="5000" w:type="pct"/>
        <w:tblLook w:val="04A0"/>
      </w:tblPr>
      <w:tblGrid>
        <w:gridCol w:w="4232"/>
        <w:gridCol w:w="8718"/>
      </w:tblGrid>
      <w:tr w14:paraId="1DCD2D14" w14:textId="77777777" w:rsidTr="00666AC0">
        <w:tblPrEx>
          <w:tblW w:w="5000" w:type="pct"/>
          <w:tblLook w:val="04A0"/>
        </w:tblPrEx>
        <w:trPr>
          <w:tblHeader/>
        </w:trPr>
        <w:tc>
          <w:tcPr>
            <w:tcW w:w="1634" w:type="pct"/>
          </w:tcPr>
          <w:p w:rsidR="0045391D" w:rsidRPr="00990D3B" w:rsidP="0056149A" w14:paraId="7718D291" w14:textId="77777777">
            <w:pPr>
              <w:pStyle w:val="EQRTableHeaderLeft"/>
              <w:rPr>
                <w:color w:val="auto"/>
              </w:rPr>
            </w:pPr>
            <w:r w:rsidRPr="00990D3B">
              <w:rPr>
                <w:color w:val="auto"/>
              </w:rPr>
              <w:t>Question</w:t>
            </w:r>
          </w:p>
        </w:tc>
        <w:tc>
          <w:tcPr>
            <w:tcW w:w="3366" w:type="pct"/>
          </w:tcPr>
          <w:p w:rsidR="0045391D" w:rsidRPr="00990D3B" w:rsidP="0056149A" w14:paraId="0E52E94F" w14:textId="77777777">
            <w:pPr>
              <w:pStyle w:val="EQRTableHeaderCenter"/>
              <w:rPr>
                <w:color w:val="auto"/>
              </w:rPr>
            </w:pPr>
            <w:r w:rsidRPr="00990D3B">
              <w:rPr>
                <w:color w:val="auto"/>
              </w:rPr>
              <w:t xml:space="preserve">Comments </w:t>
            </w:r>
          </w:p>
        </w:tc>
      </w:tr>
      <w:tr w14:paraId="3BA23B45" w14:textId="77777777" w:rsidTr="00666AC0">
        <w:tblPrEx>
          <w:tblW w:w="5000" w:type="pct"/>
          <w:tblLook w:val="04A0"/>
        </w:tblPrEx>
        <w:tc>
          <w:tcPr>
            <w:tcW w:w="5000" w:type="pct"/>
            <w:gridSpan w:val="2"/>
          </w:tcPr>
          <w:p w:rsidR="0045391D" w:rsidRPr="00990D3B" w:rsidP="0056149A" w14:paraId="634726A4" w14:textId="77777777">
            <w:pPr>
              <w:pStyle w:val="EQRTableText"/>
              <w:rPr>
                <w:b/>
                <w:bCs/>
              </w:rPr>
            </w:pPr>
            <w:r w:rsidRPr="00990D3B">
              <w:rPr>
                <w:b/>
                <w:bCs/>
              </w:rPr>
              <w:t xml:space="preserve">Evaluation metrics  </w:t>
            </w:r>
          </w:p>
        </w:tc>
      </w:tr>
      <w:tr w14:paraId="3322C4FE" w14:textId="77777777" w:rsidTr="00666AC0">
        <w:tblPrEx>
          <w:tblW w:w="5000" w:type="pct"/>
          <w:tblLook w:val="04A0"/>
        </w:tblPrEx>
        <w:trPr>
          <w:trHeight w:val="593"/>
        </w:trPr>
        <w:tc>
          <w:tcPr>
            <w:tcW w:w="1634" w:type="pct"/>
          </w:tcPr>
          <w:p w:rsidR="0045391D" w:rsidRPr="00990D3B" w:rsidP="0056149A" w14:paraId="59C889CD" w14:textId="77777777">
            <w:pPr>
              <w:pStyle w:val="EQRTableText"/>
            </w:pPr>
            <w:r w:rsidRPr="00990D3B">
              <w:t>What were the data source(s) and year(s) of data used to calculate the evaluation metrics?</w:t>
            </w:r>
          </w:p>
        </w:tc>
        <w:tc>
          <w:tcPr>
            <w:tcW w:w="3366" w:type="pct"/>
          </w:tcPr>
          <w:p w:rsidR="0045391D" w:rsidRPr="00990D3B" w:rsidP="0056149A" w14:paraId="334D2F77" w14:textId="77777777">
            <w:pPr>
              <w:pStyle w:val="EQRTableText"/>
              <w:rPr>
                <w:i/>
                <w:iCs/>
              </w:rPr>
            </w:pPr>
          </w:p>
        </w:tc>
      </w:tr>
      <w:tr w14:paraId="5369E207" w14:textId="77777777" w:rsidTr="00666AC0">
        <w:tblPrEx>
          <w:tblW w:w="5000" w:type="pct"/>
          <w:tblLook w:val="04A0"/>
        </w:tblPrEx>
        <w:tc>
          <w:tcPr>
            <w:tcW w:w="1634" w:type="pct"/>
          </w:tcPr>
          <w:p w:rsidR="0045391D" w:rsidRPr="00990D3B" w:rsidP="0056149A" w14:paraId="57EC192B" w14:textId="77777777">
            <w:pPr>
              <w:pStyle w:val="EQRTableText"/>
            </w:pPr>
            <w:r w:rsidRPr="00990D3B">
              <w:t>Were the data used to calculate the evaluation metrics limited to Medicaid (or CHIP) managed care enrollees?</w:t>
            </w:r>
          </w:p>
        </w:tc>
        <w:tc>
          <w:tcPr>
            <w:tcW w:w="3366" w:type="pct"/>
          </w:tcPr>
          <w:p w:rsidR="0045391D" w:rsidRPr="00990D3B" w:rsidP="0056149A" w14:paraId="3CDF0905" w14:textId="77777777">
            <w:pPr>
              <w:pStyle w:val="EQRTableText"/>
              <w:rPr>
                <w:i/>
                <w:iCs/>
              </w:rPr>
            </w:pPr>
          </w:p>
        </w:tc>
      </w:tr>
      <w:tr w14:paraId="06000D9B" w14:textId="77777777" w:rsidTr="00666AC0">
        <w:tblPrEx>
          <w:tblW w:w="5000" w:type="pct"/>
          <w:tblLook w:val="04A0"/>
        </w:tblPrEx>
        <w:tc>
          <w:tcPr>
            <w:tcW w:w="1634" w:type="pct"/>
          </w:tcPr>
          <w:p w:rsidR="0045391D" w:rsidRPr="00990D3B" w:rsidP="0056149A" w14:paraId="2010FEE3" w14:textId="77777777">
            <w:pPr>
              <w:pStyle w:val="EQRTableText"/>
            </w:pPr>
            <w:r w:rsidRPr="00990D3B">
              <w:t>Were the data used to calculate the evaluation metrics limited to providers participating in the initiative, intervention, or policy?</w:t>
            </w:r>
          </w:p>
        </w:tc>
        <w:tc>
          <w:tcPr>
            <w:tcW w:w="3366" w:type="pct"/>
          </w:tcPr>
          <w:p w:rsidR="0045391D" w:rsidRPr="00990D3B" w:rsidP="0056149A" w14:paraId="0E0C3954" w14:textId="77777777">
            <w:pPr>
              <w:pStyle w:val="EQRTableText"/>
              <w:rPr>
                <w:i/>
                <w:iCs/>
              </w:rPr>
            </w:pPr>
          </w:p>
        </w:tc>
      </w:tr>
      <w:tr w14:paraId="63C5AD2B" w14:textId="77777777" w:rsidTr="00666AC0">
        <w:tblPrEx>
          <w:tblW w:w="5000" w:type="pct"/>
          <w:tblLook w:val="04A0"/>
        </w:tblPrEx>
        <w:tc>
          <w:tcPr>
            <w:tcW w:w="1634" w:type="pct"/>
          </w:tcPr>
          <w:p w:rsidR="0045391D" w:rsidRPr="00990D3B" w:rsidP="0056149A" w14:paraId="4B16AEBA" w14:textId="77777777">
            <w:pPr>
              <w:pStyle w:val="EQRTableText"/>
            </w:pPr>
            <w:r w:rsidRPr="00990D3B">
              <w:t xml:space="preserve">Were the data used to calculate the evaluation metrics limited to MCPs participating in the initiative, intervention, or policy? </w:t>
            </w:r>
          </w:p>
        </w:tc>
        <w:tc>
          <w:tcPr>
            <w:tcW w:w="3366" w:type="pct"/>
          </w:tcPr>
          <w:p w:rsidR="0045391D" w:rsidRPr="00990D3B" w:rsidP="0056149A" w14:paraId="5F2684E8" w14:textId="77777777">
            <w:pPr>
              <w:pStyle w:val="EQRTableText"/>
              <w:rPr>
                <w:i/>
                <w:iCs/>
              </w:rPr>
            </w:pPr>
          </w:p>
        </w:tc>
      </w:tr>
      <w:tr w14:paraId="2A417CBF" w14:textId="77777777" w:rsidTr="00666AC0">
        <w:tblPrEx>
          <w:tblW w:w="5000" w:type="pct"/>
          <w:tblLook w:val="04A0"/>
        </w:tblPrEx>
        <w:tc>
          <w:tcPr>
            <w:tcW w:w="5000" w:type="pct"/>
            <w:gridSpan w:val="2"/>
          </w:tcPr>
          <w:p w:rsidR="0045391D" w:rsidRPr="00990D3B" w:rsidP="0056149A" w14:paraId="31913240" w14:textId="77777777">
            <w:pPr>
              <w:pStyle w:val="EQRTableText"/>
              <w:rPr>
                <w:b/>
                <w:bCs/>
              </w:rPr>
            </w:pPr>
            <w:r w:rsidRPr="00990D3B">
              <w:rPr>
                <w:b/>
                <w:bCs/>
              </w:rPr>
              <w:t>Evaluation methodology</w:t>
            </w:r>
          </w:p>
        </w:tc>
      </w:tr>
      <w:tr w14:paraId="1AD958EE" w14:textId="77777777" w:rsidTr="00666AC0">
        <w:tblPrEx>
          <w:tblW w:w="5000" w:type="pct"/>
          <w:tblLook w:val="04A0"/>
        </w:tblPrEx>
        <w:tc>
          <w:tcPr>
            <w:tcW w:w="1634" w:type="pct"/>
          </w:tcPr>
          <w:p w:rsidR="0045391D" w:rsidRPr="00990D3B" w:rsidP="0056149A" w14:paraId="2D5B6768" w14:textId="77777777">
            <w:pPr>
              <w:pStyle w:val="EQRTableText"/>
            </w:pPr>
            <w:r w:rsidRPr="00990D3B">
              <w:t xml:space="preserve">Who conducted the evaluation?  </w:t>
            </w:r>
          </w:p>
        </w:tc>
        <w:tc>
          <w:tcPr>
            <w:tcW w:w="3366" w:type="pct"/>
          </w:tcPr>
          <w:p w:rsidR="0045391D" w:rsidRPr="00990D3B" w:rsidP="0056149A" w14:paraId="269AC737" w14:textId="77777777">
            <w:pPr>
              <w:pStyle w:val="EQRTableText"/>
              <w:rPr>
                <w:i/>
                <w:iCs/>
              </w:rPr>
            </w:pPr>
          </w:p>
        </w:tc>
      </w:tr>
      <w:tr w14:paraId="7A2EECC8" w14:textId="77777777" w:rsidTr="00666AC0">
        <w:tblPrEx>
          <w:tblW w:w="5000" w:type="pct"/>
          <w:tblLook w:val="04A0"/>
        </w:tblPrEx>
        <w:tc>
          <w:tcPr>
            <w:tcW w:w="1634" w:type="pct"/>
          </w:tcPr>
          <w:p w:rsidR="0045391D" w:rsidRPr="00990D3B" w:rsidP="0056149A" w14:paraId="1F357509" w14:textId="77777777">
            <w:pPr>
              <w:pStyle w:val="EQRTableText"/>
            </w:pPr>
            <w:r w:rsidRPr="00990D3B">
              <w:t xml:space="preserve">What analytic methods were used to understand the impact of the intervention or policy (e.g., comparison groups, pre-post-study design)?  </w:t>
            </w:r>
          </w:p>
        </w:tc>
        <w:tc>
          <w:tcPr>
            <w:tcW w:w="3366" w:type="pct"/>
          </w:tcPr>
          <w:p w:rsidR="0045391D" w:rsidRPr="00990D3B" w:rsidP="0056149A" w14:paraId="23BF3A5E" w14:textId="77777777">
            <w:pPr>
              <w:pStyle w:val="EQRTableText"/>
              <w:rPr>
                <w:i/>
                <w:iCs/>
              </w:rPr>
            </w:pPr>
          </w:p>
        </w:tc>
      </w:tr>
      <w:tr w14:paraId="5B1CEDA8" w14:textId="77777777" w:rsidTr="00666AC0">
        <w:tblPrEx>
          <w:tblW w:w="5000" w:type="pct"/>
          <w:tblLook w:val="04A0"/>
        </w:tblPrEx>
        <w:tc>
          <w:tcPr>
            <w:tcW w:w="1634" w:type="pct"/>
          </w:tcPr>
          <w:p w:rsidR="0045391D" w:rsidRPr="00990D3B" w:rsidP="0056149A" w14:paraId="753E9D2E" w14:textId="77777777">
            <w:pPr>
              <w:pStyle w:val="EQRTableText"/>
            </w:pPr>
            <w:r w:rsidRPr="00990D3B">
              <w:t xml:space="preserve">What are the known limitations of the state’s evaluation plan? </w:t>
            </w:r>
          </w:p>
        </w:tc>
        <w:tc>
          <w:tcPr>
            <w:tcW w:w="3366" w:type="pct"/>
          </w:tcPr>
          <w:p w:rsidR="0045391D" w:rsidRPr="00990D3B" w:rsidP="0056149A" w14:paraId="4CD3241B" w14:textId="77777777">
            <w:pPr>
              <w:pStyle w:val="EQRTableText"/>
              <w:rPr>
                <w:i/>
                <w:iCs/>
              </w:rPr>
            </w:pPr>
          </w:p>
        </w:tc>
      </w:tr>
      <w:tr w14:paraId="58BBEFB4" w14:textId="77777777" w:rsidTr="00666AC0">
        <w:tblPrEx>
          <w:tblW w:w="5000" w:type="pct"/>
          <w:tblLook w:val="04A0"/>
        </w:tblPrEx>
        <w:tc>
          <w:tcPr>
            <w:tcW w:w="5000" w:type="pct"/>
            <w:gridSpan w:val="2"/>
          </w:tcPr>
          <w:p w:rsidR="0045391D" w:rsidRPr="00990D3B" w:rsidP="0056149A" w14:paraId="7FD63BAA" w14:textId="77777777">
            <w:pPr>
              <w:pStyle w:val="EQRTableText"/>
              <w:rPr>
                <w:b/>
                <w:bCs/>
              </w:rPr>
            </w:pPr>
            <w:r w:rsidRPr="00990D3B">
              <w:rPr>
                <w:b/>
                <w:bCs/>
              </w:rPr>
              <w:t>Findings</w:t>
            </w:r>
          </w:p>
        </w:tc>
      </w:tr>
      <w:tr w14:paraId="4A2FA5B3" w14:textId="77777777" w:rsidTr="00666AC0">
        <w:tblPrEx>
          <w:tblW w:w="5000" w:type="pct"/>
          <w:tblLook w:val="04A0"/>
        </w:tblPrEx>
        <w:tc>
          <w:tcPr>
            <w:tcW w:w="1634" w:type="pct"/>
          </w:tcPr>
          <w:p w:rsidR="0045391D" w:rsidRPr="00990D3B" w:rsidP="0056149A" w14:paraId="3CE7AB7A" w14:textId="77777777">
            <w:pPr>
              <w:pStyle w:val="EQRTableText"/>
            </w:pPr>
            <w:r w:rsidRPr="00990D3B">
              <w:t>What is the state’s assessment of the impact of this initiative, intervention, or policy?</w:t>
            </w:r>
          </w:p>
        </w:tc>
        <w:tc>
          <w:tcPr>
            <w:tcW w:w="3366" w:type="pct"/>
          </w:tcPr>
          <w:p w:rsidR="0045391D" w:rsidRPr="00990D3B" w:rsidP="0056149A" w14:paraId="2E1080F3" w14:textId="77777777">
            <w:pPr>
              <w:pStyle w:val="EQRTableText"/>
              <w:rPr>
                <w:i/>
                <w:iCs/>
              </w:rPr>
            </w:pPr>
          </w:p>
        </w:tc>
      </w:tr>
      <w:tr w14:paraId="25250CBF" w14:textId="77777777" w:rsidTr="00666AC0">
        <w:tblPrEx>
          <w:tblW w:w="5000" w:type="pct"/>
          <w:tblLook w:val="04A0"/>
        </w:tblPrEx>
        <w:tc>
          <w:tcPr>
            <w:tcW w:w="1634" w:type="pct"/>
          </w:tcPr>
          <w:p w:rsidR="0045391D" w:rsidRPr="00990D3B" w:rsidP="0056149A" w14:paraId="20F49015" w14:textId="77777777">
            <w:pPr>
              <w:pStyle w:val="EQRTableText"/>
              <w:rPr>
                <w:i/>
                <w:iCs/>
              </w:rPr>
            </w:pPr>
            <w:r w:rsidRPr="00990D3B">
              <w:t xml:space="preserve">Besides the initiative, intervention, or policy, what may have impacted the evaluation results (e.g., changes to the managed care program)? </w:t>
            </w:r>
          </w:p>
        </w:tc>
        <w:tc>
          <w:tcPr>
            <w:tcW w:w="3366" w:type="pct"/>
          </w:tcPr>
          <w:p w:rsidR="0045391D" w:rsidRPr="00990D3B" w:rsidP="0056149A" w14:paraId="2AB2B70C" w14:textId="77777777">
            <w:pPr>
              <w:pStyle w:val="EQRTableText"/>
              <w:rPr>
                <w:i/>
                <w:iCs/>
              </w:rPr>
            </w:pPr>
          </w:p>
        </w:tc>
      </w:tr>
      <w:tr w14:paraId="53B9CBC3" w14:textId="77777777" w:rsidTr="00666AC0">
        <w:tblPrEx>
          <w:tblW w:w="5000" w:type="pct"/>
          <w:tblLook w:val="04A0"/>
        </w:tblPrEx>
        <w:tc>
          <w:tcPr>
            <w:tcW w:w="1634" w:type="pct"/>
          </w:tcPr>
          <w:p w:rsidR="0045391D" w:rsidRPr="00990D3B" w:rsidP="0056149A" w14:paraId="1966B682" w14:textId="77777777">
            <w:pPr>
              <w:pStyle w:val="EQRTableText"/>
            </w:pPr>
            <w:r w:rsidRPr="00990D3B">
              <w:t>What are the state’s plans for addressing evaluation metrics that did not improve over baseline?</w:t>
            </w:r>
          </w:p>
        </w:tc>
        <w:tc>
          <w:tcPr>
            <w:tcW w:w="3366" w:type="pct"/>
          </w:tcPr>
          <w:p w:rsidR="0045391D" w:rsidRPr="00990D3B" w:rsidP="0056149A" w14:paraId="5A5A4299" w14:textId="77777777">
            <w:pPr>
              <w:pStyle w:val="EQRTableText"/>
              <w:rPr>
                <w:i/>
                <w:iCs/>
              </w:rPr>
            </w:pPr>
          </w:p>
        </w:tc>
      </w:tr>
    </w:tbl>
    <w:p w:rsidR="00592B93" w:rsidRPr="00990D3B" w:rsidP="00515C66" w14:paraId="738A95AD" w14:textId="77777777">
      <w:pPr>
        <w:pStyle w:val="EQRMANDATORYorOPTIONAL"/>
      </w:pPr>
    </w:p>
    <w:p w:rsidR="00B66506" w:rsidRPr="00990D3B" w:rsidP="00B67F27" w14:paraId="46498C54" w14:textId="77777777">
      <w:pPr>
        <w:spacing w:line="240" w:lineRule="auto"/>
        <w:sectPr w:rsidSect="00C76D12">
          <w:pgSz w:w="15840" w:h="12240" w:orient="landscape" w:code="1"/>
          <w:pgMar w:top="1440" w:right="1440" w:bottom="1440" w:left="1440" w:header="720" w:footer="720" w:gutter="0"/>
          <w:cols w:space="720"/>
          <w:docGrid w:linePitch="360"/>
        </w:sectPr>
      </w:pPr>
    </w:p>
    <w:p w:rsidR="00CF5AB3" w:rsidRPr="00990D3B" w:rsidP="00CF5AB3" w14:paraId="6F04AA8F" w14:textId="5D749221">
      <w:pPr>
        <w:pStyle w:val="H1"/>
      </w:pPr>
      <w:bookmarkStart w:id="1110" w:name="_Template_2._Reporting"/>
      <w:bookmarkStart w:id="1111" w:name="_Template_3._Reporting"/>
      <w:bookmarkStart w:id="1112" w:name="_Template_3._Reporting_1"/>
      <w:bookmarkStart w:id="1113" w:name="_Template_4._Reporting"/>
      <w:bookmarkStart w:id="1114" w:name="AppA"/>
      <w:bookmarkStart w:id="1115" w:name="_Toc201751460"/>
      <w:bookmarkStart w:id="1116" w:name="_Toc183005667"/>
      <w:bookmarkEnd w:id="1110"/>
      <w:bookmarkEnd w:id="1111"/>
      <w:bookmarkEnd w:id="1112"/>
      <w:bookmarkEnd w:id="1113"/>
      <w:bookmarkEnd w:id="1114"/>
      <w:r w:rsidRPr="00990D3B">
        <w:t>Appendix A. EQR Reporting Tools</w:t>
      </w:r>
      <w:bookmarkEnd w:id="1115"/>
      <w:r w:rsidRPr="00990D3B">
        <w:t xml:space="preserve"> </w:t>
      </w:r>
    </w:p>
    <w:p w:rsidR="009B0750" w:rsidRPr="00990D3B" w:rsidP="0040512D" w14:paraId="6BD8FE0B" w14:textId="668C14DC">
      <w:pPr>
        <w:pStyle w:val="ParagraphContinued"/>
      </w:pPr>
      <w:r w:rsidRPr="00990D3B">
        <w:t>Background details on the state’s Medicaid and Children’s Health Insurance Program (CHIP)</w:t>
      </w:r>
      <w:r w:rsidRPr="00990D3B">
        <w:t xml:space="preserve"> managed</w:t>
      </w:r>
      <w:r w:rsidRPr="00990D3B">
        <w:t xml:space="preserve"> care programs and external quality review (EQR) process can </w:t>
      </w:r>
      <w:r w:rsidRPr="00990D3B" w:rsidR="00B02E49">
        <w:t xml:space="preserve">help </w:t>
      </w:r>
      <w:r w:rsidRPr="00990D3B">
        <w:t xml:space="preserve">the reader understand the report’s findings. This appendix is designed to help states ensure that their EQR technical reports are comprehensive, comply with federal requirements, and support readers’ understanding of the </w:t>
      </w:r>
      <w:r w:rsidRPr="00990D3B" w:rsidR="00AA5591">
        <w:t xml:space="preserve">quality of care within a state’s </w:t>
      </w:r>
      <w:r w:rsidRPr="00990D3B">
        <w:t xml:space="preserve">managed care delivery system. </w:t>
      </w:r>
    </w:p>
    <w:p w:rsidR="00340617" w:rsidRPr="00990D3B" w:rsidP="0040512D" w14:paraId="12B5B158" w14:textId="676E4B5E">
      <w:pPr>
        <w:pStyle w:val="Paragraph0"/>
      </w:pPr>
      <w:hyperlink w:anchor="WSA1" w:tooltip="Worksheet A.1" w:history="1">
        <w:r w:rsidRPr="00990D3B">
          <w:rPr>
            <w:rStyle w:val="Hyperlink"/>
            <w:rFonts w:ascii="Times New Roman" w:hAnsi="Times New Roman"/>
            <w:szCs w:val="24"/>
          </w:rPr>
          <w:t>Worksheet A.1</w:t>
        </w:r>
      </w:hyperlink>
      <w:r w:rsidRPr="00990D3B" w:rsidR="003340B5">
        <w:rPr>
          <w:color w:val="1CA8B7"/>
        </w:rPr>
        <w:t xml:space="preserve"> </w:t>
      </w:r>
      <w:r w:rsidRPr="00990D3B" w:rsidR="003340B5">
        <w:t xml:space="preserve">serves as a checklist </w:t>
      </w:r>
      <w:r w:rsidRPr="00990D3B" w:rsidR="009F646A">
        <w:t>for ensuring</w:t>
      </w:r>
      <w:r w:rsidRPr="00990D3B" w:rsidR="003340B5">
        <w:t xml:space="preserve"> that the EQR technical report includes relevant information to help readers understand the context and enable the Centers for Medicare and Medicaid (CMS) to verify compliance with all requirements. The </w:t>
      </w:r>
      <w:r w:rsidRPr="00990D3B" w:rsidR="001447C0">
        <w:t>external quality review organization (EQRO)</w:t>
      </w:r>
      <w:r w:rsidRPr="00990D3B" w:rsidR="00914216">
        <w:t xml:space="preserve"> and state</w:t>
      </w:r>
      <w:r w:rsidRPr="00990D3B" w:rsidR="003340B5">
        <w:t xml:space="preserve"> can use this table internally as part of the report preparation process</w:t>
      </w:r>
      <w:r w:rsidRPr="00990D3B" w:rsidR="00914216">
        <w:t>, incorporate it directly into the EQR technical report, or include it as an</w:t>
      </w:r>
      <w:r w:rsidRPr="00990D3B" w:rsidR="003340B5">
        <w:t xml:space="preserve"> appendi</w:t>
      </w:r>
      <w:r w:rsidRPr="00990D3B" w:rsidR="00914216">
        <w:t>x</w:t>
      </w:r>
      <w:r w:rsidRPr="00990D3B" w:rsidR="003340B5">
        <w:t>.</w:t>
      </w:r>
      <w:r w:rsidRPr="00990D3B">
        <w:t xml:space="preserve"> </w:t>
      </w:r>
    </w:p>
    <w:p w:rsidR="003340B5" w:rsidRPr="00990D3B" w:rsidP="0040512D" w14:paraId="4E0A68A1" w14:textId="34868262">
      <w:pPr>
        <w:pStyle w:val="Paragraph0"/>
      </w:pPr>
      <w:hyperlink w:anchor="WSA2" w:tooltip="Worksheet A.2" w:history="1">
        <w:r w:rsidRPr="00990D3B">
          <w:rPr>
            <w:rStyle w:val="Hyperlink"/>
            <w:rFonts w:ascii="Times New Roman" w:hAnsi="Times New Roman"/>
            <w:szCs w:val="24"/>
          </w:rPr>
          <w:t>Worksheet A.2</w:t>
        </w:r>
      </w:hyperlink>
      <w:r w:rsidRPr="00990D3B">
        <w:rPr>
          <w:color w:val="1CA8B7"/>
        </w:rPr>
        <w:t xml:space="preserve"> </w:t>
      </w:r>
      <w:r w:rsidRPr="00990D3B">
        <w:t xml:space="preserve">provides a standardized cover page template that the EQRO can use when completing worksheets related to EQR activities. As many of the worksheets throughout this protocol are </w:t>
      </w:r>
      <w:r w:rsidRPr="00990D3B" w:rsidR="00914216">
        <w:t>managed care plan (MCP)</w:t>
      </w:r>
      <w:r w:rsidRPr="00990D3B">
        <w:t xml:space="preserve">-specific, this cover page </w:t>
      </w:r>
      <w:r w:rsidRPr="00990D3B" w:rsidR="00914216">
        <w:t>ensures</w:t>
      </w:r>
      <w:r w:rsidRPr="00990D3B">
        <w:t xml:space="preserve"> consistent documentation of information for each plan. </w:t>
      </w:r>
    </w:p>
    <w:p w:rsidR="003340B5" w:rsidRPr="00990D3B" w:rsidP="0040512D" w14:paraId="005CD61D" w14:textId="77777777">
      <w:pPr>
        <w:pStyle w:val="Paragraph0"/>
      </w:pPr>
      <w:r w:rsidRPr="00990D3B">
        <w:t>These tools are intended to support the state and EQRO in producing high-quality, complete, and compliant EQR technical reports.</w:t>
      </w:r>
    </w:p>
    <w:p w:rsidR="0040512D" w:rsidRPr="00990D3B" w14:paraId="46BF7731" w14:textId="73EE5C17">
      <w:pPr>
        <w:spacing w:line="240" w:lineRule="auto"/>
        <w:rPr>
          <w:rFonts w:ascii="Arial" w:eastAsia="Calibri" w:hAnsi="Arial"/>
          <w:sz w:val="18"/>
          <w:szCs w:val="18"/>
        </w:rPr>
      </w:pPr>
      <w:r w:rsidRPr="00990D3B">
        <w:rPr>
          <w:rFonts w:ascii="Arial" w:eastAsia="Calibri" w:hAnsi="Arial"/>
          <w:sz w:val="18"/>
          <w:szCs w:val="18"/>
        </w:rPr>
        <w:br w:type="page"/>
      </w:r>
    </w:p>
    <w:p w:rsidR="0074247F" w:rsidRPr="00990D3B" w:rsidP="0074247F" w14:paraId="7E9C0B02" w14:textId="3F5EA966">
      <w:pPr>
        <w:pStyle w:val="H2"/>
      </w:pPr>
      <w:bookmarkStart w:id="1117" w:name="_Toc201751461"/>
      <w:r w:rsidRPr="00990D3B">
        <w:t>Worksheets for Appendix A</w:t>
      </w:r>
      <w:bookmarkEnd w:id="1117"/>
    </w:p>
    <w:p w:rsidR="00C23769" w:rsidRPr="00990D3B" w:rsidP="00275D99" w14:paraId="6DC46E3C" w14:textId="77EDF34F">
      <w:pPr>
        <w:pStyle w:val="EQRMarkforExhibitWORKSHEET"/>
      </w:pPr>
      <w:bookmarkStart w:id="1118" w:name="WSA1"/>
      <w:bookmarkStart w:id="1119" w:name="_Toc201751574"/>
      <w:bookmarkEnd w:id="1118"/>
      <w:r w:rsidRPr="00990D3B">
        <w:t xml:space="preserve">Worksheet A.1 </w:t>
      </w:r>
      <w:r w:rsidRPr="00990D3B" w:rsidR="00340617">
        <w:t>EQR Reporting Checklist</w:t>
      </w:r>
      <w:bookmarkEnd w:id="1119"/>
      <w:r w:rsidRPr="00990D3B" w:rsidR="00340617">
        <w:t xml:space="preserve"> </w:t>
      </w:r>
    </w:p>
    <w:p w:rsidR="00CD0D08" w:rsidRPr="00990D3B" w:rsidP="000F0D0B" w14:paraId="4DA3208C" w14:textId="76D1B73A">
      <w:pPr>
        <w:pStyle w:val="EQRNormalSSWORKSHEET"/>
      </w:pPr>
      <w:r w:rsidRPr="00990D3B">
        <w:rPr>
          <w:b/>
          <w:bCs/>
        </w:rPr>
        <w:t>Instructions.</w:t>
      </w:r>
      <w:r w:rsidRPr="00990D3B">
        <w:t xml:space="preserve"> </w:t>
      </w:r>
      <w:r w:rsidRPr="00990D3B" w:rsidR="00275D99">
        <w:t>This checklist is voluntary but reflects best practices for ensur</w:t>
      </w:r>
      <w:r w:rsidRPr="00990D3B" w:rsidR="00CE45D1">
        <w:t>ing</w:t>
      </w:r>
      <w:r w:rsidRPr="00990D3B" w:rsidR="00275D99">
        <w:t xml:space="preserve"> </w:t>
      </w:r>
      <w:r w:rsidRPr="00990D3B" w:rsidR="001447C0">
        <w:t>EQR</w:t>
      </w:r>
      <w:r w:rsidRPr="00990D3B" w:rsidR="00CE45D1">
        <w:t xml:space="preserve"> technical </w:t>
      </w:r>
      <w:r w:rsidRPr="00990D3B" w:rsidR="00275D99">
        <w:t xml:space="preserve">reports are clear, comprehensive, and aligned with federal expectations. </w:t>
      </w:r>
      <w:r w:rsidRPr="00990D3B" w:rsidR="008470B7">
        <w:t>I</w:t>
      </w:r>
      <w:r w:rsidRPr="00990D3B" w:rsidR="00275D99">
        <w:t xml:space="preserve">tems </w:t>
      </w:r>
      <w:r w:rsidRPr="00990D3B" w:rsidR="008470B7">
        <w:t xml:space="preserve">that </w:t>
      </w:r>
      <w:r w:rsidRPr="00990D3B">
        <w:t>must</w:t>
      </w:r>
      <w:r w:rsidRPr="00990D3B" w:rsidR="00275D99">
        <w:t xml:space="preserve"> be included in the EQR technical report</w:t>
      </w:r>
      <w:r w:rsidRPr="00990D3B" w:rsidR="008470B7">
        <w:t xml:space="preserve"> </w:t>
      </w:r>
      <w:r w:rsidRPr="00990D3B" w:rsidR="00275D99">
        <w:t xml:space="preserve">are marked with an asterisk (*). </w:t>
      </w:r>
      <w:r w:rsidRPr="00990D3B">
        <w:t xml:space="preserve">The checklist is not comprehensive of all EQR reporting requirements. For additional guidance on meeting all EQR requirements, please refer to the EQR Reporting section of the </w:t>
      </w:r>
      <w:hyperlink w:anchor="Introduction" w:tooltip="Introduction" w:history="1">
        <w:r w:rsidRPr="00990D3B">
          <w:rPr>
            <w:rStyle w:val="Hyperlink"/>
          </w:rPr>
          <w:t>Introduction</w:t>
        </w:r>
      </w:hyperlink>
      <w:r w:rsidRPr="00990D3B">
        <w:t xml:space="preserve">. </w:t>
      </w:r>
    </w:p>
    <w:p w:rsidR="001447C0" w:rsidRPr="00990D3B" w:rsidP="000F0D0B" w14:paraId="5E74EE31" w14:textId="39FBE44D">
      <w:pPr>
        <w:pStyle w:val="EQRNormalSSWORKSHEET"/>
        <w:rPr>
          <w:sz w:val="20"/>
          <w:szCs w:val="20"/>
        </w:rPr>
      </w:pPr>
      <w:r w:rsidRPr="00990D3B">
        <w:t>Acronyms: CHIP = Children’s Health Insurance Program; EQR= External Quality Review; EQRO = External Quality Review Organization; LTSS = Long-Term Services and Supports; MCO = Managed Care Organization; MCP = Managed Care Plan; PAHP = Prepaid Ambulatory Health Plan; PIHP = Prepaid Inpatient Health Plan.</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50"/>
      </w:tblGrid>
      <w:tr w14:paraId="15A13F96" w14:textId="77777777" w:rsidTr="0053671C">
        <w:tblPrEx>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Pr>
        <w:tc>
          <w:tcPr>
            <w:tcW w:w="9450" w:type="dxa"/>
          </w:tcPr>
          <w:p w:rsidR="00340617" w:rsidRPr="00990D3B" w:rsidP="000F0D0B" w14:paraId="66D7B124" w14:textId="23954E44">
            <w:pPr>
              <w:pStyle w:val="EQRTableText"/>
            </w:pPr>
            <w:sdt>
              <w:sdtPr>
                <w:rPr>
                  <w:rFonts w:eastAsia="MS Gothic"/>
                </w:rPr>
                <w:id w:val="1741832873"/>
                <w14:checkbox>
                  <w14:checked w14:val="0"/>
                  <w14:checkedState w14:val="2612" w14:font="MS Gothic"/>
                  <w14:uncheckedState w14:val="2610" w14:font="MS Gothic"/>
                </w14:checkbox>
              </w:sdtPr>
              <w:sdtContent>
                <w:r w:rsidRPr="00990D3B">
                  <w:rPr>
                    <w:rFonts w:ascii="Segoe UI Symbol" w:eastAsia="MS Gothic" w:hAnsi="Segoe UI Symbol" w:cs="Segoe UI Symbol"/>
                  </w:rPr>
                  <w:t>☐</w:t>
                </w:r>
              </w:sdtContent>
            </w:sdt>
            <w:r w:rsidRPr="00990D3B">
              <w:t xml:space="preserve">  The </w:t>
            </w:r>
            <w:r w:rsidRPr="00990D3B" w:rsidR="00EB05A7">
              <w:t xml:space="preserve">EQR technical report </w:t>
            </w:r>
            <w:r w:rsidRPr="00990D3B">
              <w:t xml:space="preserve">identifies the types of </w:t>
            </w:r>
            <w:r w:rsidRPr="00990D3B" w:rsidR="001447C0">
              <w:t>MCPs</w:t>
            </w:r>
            <w:r w:rsidRPr="00990D3B" w:rsidR="00835616">
              <w:t xml:space="preserve"> included in the state’s managed care delivery system (e.g., MCOs, </w:t>
            </w:r>
            <w:r w:rsidRPr="00990D3B" w:rsidR="001447C0">
              <w:t>P</w:t>
            </w:r>
            <w:r w:rsidRPr="00990D3B" w:rsidR="00835616">
              <w:t>IHPs, and PAHPs)</w:t>
            </w:r>
            <w:r w:rsidRPr="00990D3B">
              <w:t xml:space="preserve"> on page(s): ________________.</w:t>
            </w:r>
          </w:p>
          <w:p w:rsidR="00340617" w:rsidRPr="00990D3B" w:rsidP="0053671C" w14:paraId="7BB3A504" w14:textId="77777777">
            <w:pPr>
              <w:spacing w:line="240" w:lineRule="exact"/>
              <w:rPr>
                <w:rFonts w:asciiTheme="majorHAnsi" w:hAnsiTheme="majorHAnsi" w:cstheme="majorHAnsi"/>
                <w:sz w:val="18"/>
                <w:szCs w:val="18"/>
              </w:rPr>
            </w:pPr>
          </w:p>
          <w:p w:rsidR="00340617" w:rsidRPr="00990D3B" w:rsidP="000F0D0B" w14:paraId="35CE7CB8" w14:textId="15AB9A25">
            <w:pPr>
              <w:pStyle w:val="EQRTableText"/>
            </w:pPr>
            <w:sdt>
              <w:sdtPr>
                <w:rPr>
                  <w:rFonts w:eastAsia="MS Gothic"/>
                </w:rPr>
                <w:id w:val="-1104419754"/>
                <w14:checkbox>
                  <w14:checked w14:val="0"/>
                  <w14:checkedState w14:val="2612" w14:font="MS Gothic"/>
                  <w14:uncheckedState w14:val="2610" w14:font="MS Gothic"/>
                </w14:checkbox>
              </w:sdtPr>
              <w:sdtContent>
                <w:r w:rsidRPr="00990D3B">
                  <w:rPr>
                    <w:rFonts w:ascii="Segoe UI Symbol" w:eastAsia="MS Gothic" w:hAnsi="Segoe UI Symbol" w:cs="Segoe UI Symbol"/>
                  </w:rPr>
                  <w:t>☐</w:t>
                </w:r>
              </w:sdtContent>
            </w:sdt>
            <w:r w:rsidRPr="00990D3B">
              <w:t xml:space="preserve">  If applicable, the </w:t>
            </w:r>
            <w:r w:rsidRPr="00990D3B" w:rsidR="00EB05A7">
              <w:t xml:space="preserve">EQR technical report </w:t>
            </w:r>
            <w:r w:rsidRPr="00990D3B">
              <w:t xml:space="preserve">indicates that the state delivers </w:t>
            </w:r>
            <w:r w:rsidRPr="00990D3B" w:rsidR="001447C0">
              <w:t>CHI)</w:t>
            </w:r>
            <w:r w:rsidRPr="00990D3B">
              <w:t xml:space="preserve"> benefits through managed care and whether </w:t>
            </w:r>
            <w:r w:rsidRPr="00990D3B" w:rsidR="00EB05A7">
              <w:t>it</w:t>
            </w:r>
            <w:r w:rsidRPr="00990D3B">
              <w:t xml:space="preserve"> uses an expansion, separate, or combined system on page(s): ________________. </w:t>
            </w:r>
          </w:p>
          <w:p w:rsidR="009F646A" w:rsidRPr="00990D3B" w:rsidP="0053671C" w14:paraId="383DEFA3" w14:textId="77777777">
            <w:pPr>
              <w:spacing w:line="240" w:lineRule="exact"/>
              <w:rPr>
                <w:rFonts w:asciiTheme="majorHAnsi" w:hAnsiTheme="majorHAnsi" w:cstheme="majorHAnsi"/>
                <w:sz w:val="18"/>
                <w:szCs w:val="18"/>
              </w:rPr>
            </w:pPr>
          </w:p>
          <w:p w:rsidR="009F646A" w:rsidRPr="00990D3B" w:rsidP="000F0D0B" w14:paraId="03F9E105" w14:textId="6E6D7B03">
            <w:pPr>
              <w:pStyle w:val="EQRTableText"/>
            </w:pPr>
            <w:sdt>
              <w:sdtPr>
                <w:rPr>
                  <w:rFonts w:eastAsia="MS Gothic"/>
                </w:rPr>
                <w:id w:val="-504744159"/>
                <w14:checkbox>
                  <w14:checked w14:val="0"/>
                  <w14:checkedState w14:val="2612" w14:font="MS Gothic"/>
                  <w14:uncheckedState w14:val="2610" w14:font="MS Gothic"/>
                </w14:checkbox>
              </w:sdtPr>
              <w:sdtContent>
                <w:r w:rsidRPr="00990D3B">
                  <w:rPr>
                    <w:rFonts w:ascii="Segoe UI Symbol" w:eastAsia="MS Gothic" w:hAnsi="Segoe UI Symbol" w:cs="Segoe UI Symbol"/>
                  </w:rPr>
                  <w:t>☐</w:t>
                </w:r>
              </w:sdtContent>
            </w:sdt>
            <w:r w:rsidRPr="00990D3B">
              <w:t xml:space="preserve">   If applicable, the EQR technical report indicates the state </w:t>
            </w:r>
            <w:r w:rsidRPr="00990D3B" w:rsidR="007F3F80">
              <w:t>delivers</w:t>
            </w:r>
            <w:r w:rsidRPr="00990D3B">
              <w:t xml:space="preserve"> </w:t>
            </w:r>
            <w:r w:rsidRPr="00990D3B" w:rsidR="00507461">
              <w:t>LTSS</w:t>
            </w:r>
            <w:r w:rsidRPr="00990D3B">
              <w:t xml:space="preserve"> </w:t>
            </w:r>
            <w:r w:rsidRPr="00990D3B" w:rsidR="007F3F80">
              <w:t>through</w:t>
            </w:r>
            <w:r w:rsidRPr="00990D3B">
              <w:t xml:space="preserve"> managed care and the populations eligible for these services (for example, children, adults, or other populations) on page(s): ________________. </w:t>
            </w:r>
          </w:p>
          <w:p w:rsidR="009F646A" w:rsidRPr="00990D3B" w:rsidP="0053671C" w14:paraId="243A1F5C" w14:textId="77777777">
            <w:pPr>
              <w:spacing w:line="240" w:lineRule="exact"/>
              <w:rPr>
                <w:rFonts w:asciiTheme="majorHAnsi" w:hAnsiTheme="majorHAnsi" w:cstheme="majorHAnsi"/>
                <w:sz w:val="18"/>
                <w:szCs w:val="18"/>
              </w:rPr>
            </w:pPr>
          </w:p>
          <w:p w:rsidR="009F646A" w:rsidRPr="00990D3B" w:rsidP="000F0D0B" w14:paraId="64D1DC25" w14:textId="3C8687BF">
            <w:pPr>
              <w:pStyle w:val="EQRTableText"/>
            </w:pPr>
            <w:sdt>
              <w:sdtPr>
                <w:rPr>
                  <w:rFonts w:eastAsia="MS Gothic"/>
                </w:rPr>
                <w:id w:val="2029138690"/>
                <w14:checkbox>
                  <w14:checked w14:val="0"/>
                  <w14:checkedState w14:val="2612" w14:font="MS Gothic"/>
                  <w14:uncheckedState w14:val="2610" w14:font="MS Gothic"/>
                </w14:checkbox>
              </w:sdtPr>
              <w:sdtContent>
                <w:r w:rsidRPr="00990D3B">
                  <w:rPr>
                    <w:rFonts w:ascii="Segoe UI Symbol" w:eastAsia="MS Gothic" w:hAnsi="Segoe UI Symbol" w:cs="Segoe UI Symbol"/>
                  </w:rPr>
                  <w:t>☐</w:t>
                </w:r>
              </w:sdtContent>
            </w:sdt>
            <w:r w:rsidRPr="00990D3B">
              <w:t xml:space="preserve">   If applicable, the EQR technical report indicates the state </w:t>
            </w:r>
            <w:r w:rsidRPr="00990D3B" w:rsidR="007F3F80">
              <w:t xml:space="preserve">delivers </w:t>
            </w:r>
            <w:r w:rsidRPr="00990D3B">
              <w:t xml:space="preserve">behavioral health </w:t>
            </w:r>
            <w:r w:rsidRPr="00990D3B" w:rsidR="007F3F80">
              <w:t>services through</w:t>
            </w:r>
            <w:r w:rsidRPr="00990D3B">
              <w:t xml:space="preserve"> managed care and the populations eligible for these services (for example, children, adults, or other populations) on page(s): ________________. </w:t>
            </w:r>
          </w:p>
          <w:p w:rsidR="00756610" w:rsidRPr="00990D3B" w:rsidP="0053671C" w14:paraId="1AD885F5" w14:textId="77777777">
            <w:pPr>
              <w:spacing w:line="240" w:lineRule="exact"/>
              <w:rPr>
                <w:rFonts w:asciiTheme="majorHAnsi" w:hAnsiTheme="majorHAnsi" w:cstheme="majorHAnsi"/>
                <w:sz w:val="18"/>
                <w:szCs w:val="18"/>
              </w:rPr>
            </w:pPr>
          </w:p>
          <w:p w:rsidR="00756610" w:rsidRPr="00990D3B" w:rsidP="000F0D0B" w14:paraId="07733447" w14:textId="5FD6E3E6">
            <w:pPr>
              <w:pStyle w:val="EQRTableText"/>
            </w:pPr>
            <w:sdt>
              <w:sdtPr>
                <w:rPr>
                  <w:rFonts w:eastAsia="MS Gothic"/>
                </w:rPr>
                <w:id w:val="-1914770380"/>
                <w14:checkbox>
                  <w14:checked w14:val="0"/>
                  <w14:checkedState w14:val="2612" w14:font="MS Gothic"/>
                  <w14:uncheckedState w14:val="2610" w14:font="MS Gothic"/>
                </w14:checkbox>
              </w:sdtPr>
              <w:sdtContent>
                <w:r w:rsidRPr="00990D3B">
                  <w:rPr>
                    <w:rFonts w:ascii="Segoe UI Symbol" w:eastAsia="MS Gothic" w:hAnsi="Segoe UI Symbol" w:cs="Segoe UI Symbol"/>
                  </w:rPr>
                  <w:t>☐</w:t>
                </w:r>
              </w:sdtContent>
            </w:sdt>
            <w:r w:rsidRPr="00990D3B">
              <w:t xml:space="preserve">   If applicable, the EQR technical report indicates the state delivers dental services through managed care and the populations eligible for these services (for example, children, adults, or other populations) on page(s): ________________. </w:t>
            </w:r>
          </w:p>
          <w:p w:rsidR="00340617" w:rsidRPr="00990D3B" w:rsidP="0053671C" w14:paraId="4D9378D5" w14:textId="77777777">
            <w:pPr>
              <w:spacing w:line="240" w:lineRule="exact"/>
              <w:rPr>
                <w:rFonts w:asciiTheme="majorHAnsi" w:hAnsiTheme="majorHAnsi" w:cstheme="majorHAnsi"/>
                <w:sz w:val="18"/>
                <w:szCs w:val="18"/>
              </w:rPr>
            </w:pPr>
          </w:p>
          <w:p w:rsidR="00340617" w:rsidRPr="00990D3B" w:rsidP="000F0D0B" w14:paraId="2D8F62FD" w14:textId="3BAB5F59">
            <w:pPr>
              <w:pStyle w:val="EQRTableText"/>
            </w:pPr>
            <w:sdt>
              <w:sdtPr>
                <w:rPr>
                  <w:rFonts w:eastAsia="MS Gothic"/>
                </w:rPr>
                <w:id w:val="692353064"/>
                <w14:checkbox>
                  <w14:checked w14:val="0"/>
                  <w14:checkedState w14:val="2612" w14:font="MS Gothic"/>
                  <w14:uncheckedState w14:val="2610" w14:font="MS Gothic"/>
                </w14:checkbox>
              </w:sdtPr>
              <w:sdtContent>
                <w:r w:rsidRPr="00990D3B">
                  <w:rPr>
                    <w:rFonts w:ascii="Segoe UI Symbol" w:eastAsia="MS Gothic" w:hAnsi="Segoe UI Symbol" w:cs="Segoe UI Symbol"/>
                  </w:rPr>
                  <w:t>☐</w:t>
                </w:r>
              </w:sdtContent>
            </w:sdt>
            <w:r w:rsidRPr="00990D3B">
              <w:t xml:space="preserve">  </w:t>
            </w:r>
            <w:r w:rsidRPr="00990D3B" w:rsidR="009F646A">
              <w:t xml:space="preserve">* </w:t>
            </w:r>
            <w:r w:rsidRPr="00990D3B" w:rsidR="00EB05A7">
              <w:t>The EQR</w:t>
            </w:r>
            <w:r w:rsidRPr="00990D3B" w:rsidR="00CD0D08">
              <w:t xml:space="preserve"> technical report</w:t>
            </w:r>
            <w:r w:rsidRPr="00990D3B" w:rsidR="00EB05A7">
              <w:t xml:space="preserve"> indicates that no MCPs are exempt from EQR requirements </w:t>
            </w:r>
            <w:r w:rsidRPr="00990D3B" w:rsidR="00EB05A7">
              <w:rPr>
                <w:i/>
                <w:iCs/>
              </w:rPr>
              <w:t>OR</w:t>
            </w:r>
            <w:r w:rsidRPr="00990D3B" w:rsidR="00EB05A7">
              <w:t xml:space="preserve"> identifies the MCPs exempt from EQR requirements and explains why they are not included </w:t>
            </w:r>
            <w:r w:rsidRPr="00990D3B" w:rsidR="00EB05A7">
              <w:rPr>
                <w:i/>
                <w:iCs/>
              </w:rPr>
              <w:t>OR</w:t>
            </w:r>
            <w:r w:rsidRPr="00990D3B" w:rsidR="00EB05A7">
              <w:t xml:space="preserve"> provides a </w:t>
            </w:r>
            <w:r w:rsidRPr="00990D3B" w:rsidR="00835616">
              <w:t>statement on</w:t>
            </w:r>
            <w:r w:rsidRPr="00990D3B">
              <w:t xml:space="preserve"> page(s): ________________. </w:t>
            </w:r>
          </w:p>
          <w:p w:rsidR="00CD0D08" w:rsidRPr="00990D3B" w:rsidP="0053671C" w14:paraId="0B553F47" w14:textId="4C091F83">
            <w:pPr>
              <w:spacing w:line="240" w:lineRule="exact"/>
              <w:rPr>
                <w:rFonts w:asciiTheme="majorHAnsi" w:hAnsiTheme="majorHAnsi" w:cstheme="majorHAnsi"/>
                <w:sz w:val="18"/>
                <w:szCs w:val="18"/>
              </w:rPr>
            </w:pPr>
          </w:p>
          <w:p w:rsidR="00CD0D08" w:rsidRPr="00990D3B" w:rsidP="000F0D0B" w14:paraId="6F7B8BF2" w14:textId="25F4D551">
            <w:pPr>
              <w:pStyle w:val="EQRTableText"/>
            </w:pPr>
            <w:sdt>
              <w:sdtPr>
                <w:rPr>
                  <w:rFonts w:eastAsia="MS Gothic"/>
                </w:rPr>
                <w:id w:val="742146470"/>
                <w14:checkbox>
                  <w14:checked w14:val="0"/>
                  <w14:checkedState w14:val="2612" w14:font="MS Gothic"/>
                  <w14:uncheckedState w14:val="2610" w14:font="MS Gothic"/>
                </w14:checkbox>
              </w:sdtPr>
              <w:sdtContent>
                <w:r w:rsidRPr="00990D3B">
                  <w:rPr>
                    <w:rFonts w:ascii="Segoe UI Symbol" w:eastAsia="MS Gothic" w:hAnsi="Segoe UI Symbol" w:cs="Segoe UI Symbol"/>
                  </w:rPr>
                  <w:t>☐</w:t>
                </w:r>
              </w:sdtContent>
            </w:sdt>
            <w:r w:rsidRPr="00990D3B">
              <w:t xml:space="preserve">  * The EQR technical report indicates </w:t>
            </w:r>
            <w:r w:rsidRPr="00990D3B">
              <w:t>whether or not</w:t>
            </w:r>
            <w:r w:rsidRPr="00990D3B">
              <w:t xml:space="preserve"> the state exercised the nonduplication option on page(s): ________________. </w:t>
            </w:r>
          </w:p>
          <w:p w:rsidR="00CD0D08" w:rsidRPr="00990D3B" w:rsidP="0053671C" w14:paraId="1CFC8484" w14:textId="77777777">
            <w:pPr>
              <w:spacing w:line="240" w:lineRule="exact"/>
              <w:rPr>
                <w:rFonts w:asciiTheme="majorHAnsi" w:hAnsiTheme="majorHAnsi" w:cstheme="majorHAnsi"/>
                <w:sz w:val="18"/>
                <w:szCs w:val="18"/>
              </w:rPr>
            </w:pPr>
          </w:p>
          <w:p w:rsidR="00CD0D08" w:rsidRPr="00990D3B" w:rsidP="000F0D0B" w14:paraId="10844974" w14:textId="1D645673">
            <w:pPr>
              <w:pStyle w:val="EQRTableText"/>
            </w:pPr>
            <w:sdt>
              <w:sdtPr>
                <w:rPr>
                  <w:rFonts w:eastAsia="MS Gothic"/>
                </w:rPr>
                <w:id w:val="-1966798788"/>
                <w14:checkbox>
                  <w14:checked w14:val="0"/>
                  <w14:checkedState w14:val="2612" w14:font="MS Gothic"/>
                  <w14:uncheckedState w14:val="2610" w14:font="MS Gothic"/>
                </w14:checkbox>
              </w:sdtPr>
              <w:sdtContent>
                <w:r w:rsidRPr="00990D3B">
                  <w:rPr>
                    <w:rFonts w:ascii="Segoe UI Symbol" w:eastAsia="MS Gothic" w:hAnsi="Segoe UI Symbol" w:cs="Segoe UI Symbol"/>
                  </w:rPr>
                  <w:t>☐</w:t>
                </w:r>
              </w:sdtContent>
            </w:sdt>
            <w:r w:rsidRPr="00990D3B">
              <w:t xml:space="preserve">  * The EQR technical report includes recommendations for the state </w:t>
            </w:r>
            <w:r w:rsidRPr="00990D3B" w:rsidR="00F454C4">
              <w:t xml:space="preserve">to </w:t>
            </w:r>
            <w:r w:rsidRPr="00990D3B">
              <w:t xml:space="preserve">target goals and objectives in its </w:t>
            </w:r>
            <w:r w:rsidRPr="00990D3B" w:rsidR="005549E2">
              <w:t xml:space="preserve">managed care </w:t>
            </w:r>
            <w:r w:rsidRPr="00990D3B">
              <w:t xml:space="preserve">quality strategy to better support quality improvement on page(s): ________________. </w:t>
            </w:r>
          </w:p>
          <w:p w:rsidR="00325FBC" w:rsidRPr="00990D3B" w:rsidP="0053671C" w14:paraId="394FA4B7" w14:textId="77777777">
            <w:pPr>
              <w:spacing w:line="240" w:lineRule="exact"/>
              <w:rPr>
                <w:rFonts w:asciiTheme="majorHAnsi" w:hAnsiTheme="majorHAnsi" w:cstheme="majorHAnsi"/>
                <w:sz w:val="18"/>
                <w:szCs w:val="18"/>
              </w:rPr>
            </w:pPr>
          </w:p>
          <w:p w:rsidR="00340617" w:rsidRPr="00990D3B" w:rsidP="000F0D0B" w14:paraId="5FCEA51D" w14:textId="57DF806D">
            <w:pPr>
              <w:pStyle w:val="EQRTableText"/>
            </w:pPr>
            <w:sdt>
              <w:sdtPr>
                <w:rPr>
                  <w:rFonts w:eastAsia="MS Gothic"/>
                </w:rPr>
                <w:id w:val="180948047"/>
                <w14:checkbox>
                  <w14:checked w14:val="0"/>
                  <w14:checkedState w14:val="2612" w14:font="MS Gothic"/>
                  <w14:uncheckedState w14:val="2610" w14:font="MS Gothic"/>
                </w14:checkbox>
              </w:sdtPr>
              <w:sdtContent>
                <w:r w:rsidRPr="00990D3B" w:rsidR="00325FBC">
                  <w:rPr>
                    <w:rFonts w:ascii="Segoe UI Symbol" w:eastAsia="MS Gothic" w:hAnsi="Segoe UI Symbol" w:cs="Segoe UI Symbol"/>
                  </w:rPr>
                  <w:t>☐</w:t>
                </w:r>
              </w:sdtContent>
            </w:sdt>
            <w:r w:rsidRPr="00990D3B" w:rsidR="00325FBC">
              <w:t xml:space="preserve">  * The EQR technical report provides details on the EQRO</w:t>
            </w:r>
            <w:r w:rsidRPr="00990D3B" w:rsidR="001447C0">
              <w:t>’s</w:t>
            </w:r>
            <w:r w:rsidRPr="00990D3B" w:rsidR="00325FBC">
              <w:t xml:space="preserve"> timeline for conducting the EQR activities and writing and finalizing the report on page(s): ________________. </w:t>
            </w:r>
          </w:p>
        </w:tc>
      </w:tr>
    </w:tbl>
    <w:p w:rsidR="00CF5AB3" w:rsidRPr="00990D3B" w:rsidP="00CF5AB3" w14:paraId="7D3C738A" w14:textId="77777777">
      <w:pPr>
        <w:spacing w:line="240" w:lineRule="auto"/>
      </w:pPr>
      <w:r w:rsidRPr="00990D3B">
        <w:br w:type="page"/>
      </w:r>
    </w:p>
    <w:p w:rsidR="00CF5AB3" w:rsidRPr="00990D3B" w:rsidP="00CF5AB3" w14:paraId="132968D3" w14:textId="4405137F">
      <w:pPr>
        <w:pStyle w:val="EQRMarkforExhibitWORKSHEET"/>
      </w:pPr>
      <w:bookmarkStart w:id="1120" w:name="WSA2"/>
      <w:bookmarkStart w:id="1121" w:name="WSR2"/>
      <w:bookmarkStart w:id="1122" w:name="_Toc201751575"/>
      <w:bookmarkEnd w:id="1120"/>
      <w:r w:rsidRPr="00990D3B">
        <w:t xml:space="preserve">Worksheet </w:t>
      </w:r>
      <w:r w:rsidRPr="00990D3B" w:rsidR="009C6EB7">
        <w:t>A</w:t>
      </w:r>
      <w:r w:rsidRPr="00990D3B">
        <w:t>.2.</w:t>
      </w:r>
      <w:bookmarkEnd w:id="1121"/>
      <w:r w:rsidRPr="00990D3B">
        <w:t xml:space="preserve"> MCP Information</w:t>
      </w:r>
      <w:bookmarkEnd w:id="1122"/>
    </w:p>
    <w:p w:rsidR="00CF5AB3" w:rsidRPr="00990D3B" w:rsidP="000F0D0B" w14:paraId="36A72B83" w14:textId="66025D2E">
      <w:pPr>
        <w:pStyle w:val="EQRNormalSSWORKSHEET"/>
      </w:pPr>
      <w:r w:rsidRPr="00990D3B">
        <w:rPr>
          <w:b/>
          <w:bCs/>
        </w:rPr>
        <w:t>Instructions.</w:t>
      </w:r>
      <w:r w:rsidRPr="00990D3B">
        <w:t xml:space="preserve"> </w:t>
      </w:r>
      <w:r w:rsidRPr="00990D3B">
        <w:t xml:space="preserve">For each MCP undergoing EQR, collect the following information: </w:t>
      </w:r>
    </w:p>
    <w:p w:rsidR="00D272C0" w:rsidRPr="00990D3B" w:rsidP="000F0D0B" w14:paraId="02C8E341" w14:textId="563E3F5A">
      <w:pPr>
        <w:pStyle w:val="EQRNormalSSWORKSHEET"/>
        <w:rPr>
          <w:sz w:val="20"/>
          <w:szCs w:val="20"/>
        </w:rPr>
      </w:pPr>
      <w:r w:rsidRPr="00990D3B">
        <w:t>Acronyms: CHIP = Children’s Health Insurance Program; EQRO = External Quality Review Organization; IPA = Independent Practice Association; LTSS = Long-Term Services and Supports; MCO = Managed Care Organization; MCP = Managed Care Plan; PAHP = Prepaid Ambulatory Health Plan; PIHP = Prepaid Inpatient Health Plan.</w:t>
      </w:r>
    </w:p>
    <w:tbl>
      <w:tblPr>
        <w:tblStyle w:val="TableGrid"/>
        <w:tblW w:w="5000" w:type="pct"/>
        <w:tblLook w:val="04A0"/>
      </w:tblPr>
      <w:tblGrid>
        <w:gridCol w:w="4225"/>
        <w:gridCol w:w="5125"/>
      </w:tblGrid>
      <w:tr w14:paraId="0636354A" w14:textId="77777777" w:rsidTr="00666AC0">
        <w:tblPrEx>
          <w:tblW w:w="5000" w:type="pct"/>
          <w:tblLook w:val="04A0"/>
        </w:tblPrEx>
        <w:tc>
          <w:tcPr>
            <w:tcW w:w="4225" w:type="dxa"/>
          </w:tcPr>
          <w:p w:rsidR="00CF5AB3" w:rsidRPr="00990D3B" w:rsidP="00666AC0" w14:paraId="463D17A8" w14:textId="0D8C2074">
            <w:pPr>
              <w:pStyle w:val="EQRTableText"/>
            </w:pPr>
            <w:r w:rsidRPr="00990D3B">
              <w:t>MCP name</w:t>
            </w:r>
            <w:r w:rsidRPr="00990D3B" w:rsidR="00507461">
              <w:t>:</w:t>
            </w:r>
          </w:p>
        </w:tc>
        <w:tc>
          <w:tcPr>
            <w:tcW w:w="5125" w:type="dxa"/>
          </w:tcPr>
          <w:p w:rsidR="00CF5AB3" w:rsidRPr="00990D3B" w:rsidP="00666AC0" w14:paraId="30C1646B" w14:textId="77777777">
            <w:pPr>
              <w:pStyle w:val="EQRTableText"/>
            </w:pPr>
            <w:r w:rsidRPr="00990D3B">
              <w:t> </w:t>
            </w:r>
          </w:p>
        </w:tc>
      </w:tr>
      <w:tr w14:paraId="3152894E" w14:textId="77777777" w:rsidTr="00666AC0">
        <w:tblPrEx>
          <w:tblW w:w="5000" w:type="pct"/>
          <w:tblLook w:val="04A0"/>
        </w:tblPrEx>
        <w:tc>
          <w:tcPr>
            <w:tcW w:w="4225" w:type="dxa"/>
          </w:tcPr>
          <w:p w:rsidR="00CF5AB3" w:rsidRPr="00990D3B" w:rsidP="00666AC0" w14:paraId="68A7183E" w14:textId="0E365C48">
            <w:pPr>
              <w:pStyle w:val="EQRTableText"/>
            </w:pPr>
            <w:r w:rsidRPr="00990D3B">
              <w:t xml:space="preserve">MCP contact name and </w:t>
            </w:r>
            <w:r w:rsidRPr="00990D3B">
              <w:t>title</w:t>
            </w:r>
            <w:r w:rsidRPr="00990D3B" w:rsidR="00507461">
              <w:t>:</w:t>
            </w:r>
            <w:r w:rsidRPr="00990D3B" w:rsidR="009C6EB7">
              <w:t>*</w:t>
            </w:r>
          </w:p>
        </w:tc>
        <w:tc>
          <w:tcPr>
            <w:tcW w:w="5125" w:type="dxa"/>
          </w:tcPr>
          <w:p w:rsidR="00CF5AB3" w:rsidRPr="00990D3B" w:rsidP="00666AC0" w14:paraId="6D5A03D9" w14:textId="77777777">
            <w:pPr>
              <w:pStyle w:val="EQRTableText"/>
            </w:pPr>
            <w:r w:rsidRPr="00990D3B">
              <w:t> </w:t>
            </w:r>
          </w:p>
        </w:tc>
      </w:tr>
      <w:tr w14:paraId="13DC66FA" w14:textId="77777777" w:rsidTr="00666AC0">
        <w:tblPrEx>
          <w:tblW w:w="5000" w:type="pct"/>
          <w:tblLook w:val="04A0"/>
        </w:tblPrEx>
        <w:trPr>
          <w:trHeight w:val="179"/>
        </w:trPr>
        <w:tc>
          <w:tcPr>
            <w:tcW w:w="4225" w:type="dxa"/>
          </w:tcPr>
          <w:p w:rsidR="00CF5AB3" w:rsidRPr="00990D3B" w:rsidP="00666AC0" w14:paraId="466A3759" w14:textId="7BC187AA">
            <w:pPr>
              <w:pStyle w:val="EQRTableText"/>
            </w:pPr>
            <w:r w:rsidRPr="00990D3B">
              <w:t>Mailing address</w:t>
            </w:r>
            <w:r w:rsidRPr="00990D3B" w:rsidR="00507461">
              <w:t>:</w:t>
            </w:r>
          </w:p>
        </w:tc>
        <w:tc>
          <w:tcPr>
            <w:tcW w:w="5125" w:type="dxa"/>
          </w:tcPr>
          <w:p w:rsidR="00CF5AB3" w:rsidRPr="00990D3B" w:rsidP="00666AC0" w14:paraId="73DA2C24" w14:textId="77777777">
            <w:pPr>
              <w:pStyle w:val="EQRTableText"/>
            </w:pPr>
            <w:r w:rsidRPr="00990D3B">
              <w:t> </w:t>
            </w:r>
          </w:p>
        </w:tc>
      </w:tr>
      <w:tr w14:paraId="5CC19B4E" w14:textId="77777777" w:rsidTr="00666AC0">
        <w:tblPrEx>
          <w:tblW w:w="5000" w:type="pct"/>
          <w:tblLook w:val="04A0"/>
        </w:tblPrEx>
        <w:tc>
          <w:tcPr>
            <w:tcW w:w="4225" w:type="dxa"/>
          </w:tcPr>
          <w:p w:rsidR="00CF5AB3" w:rsidRPr="00990D3B" w:rsidP="00666AC0" w14:paraId="09674F14" w14:textId="054BAFEB">
            <w:pPr>
              <w:pStyle w:val="EQRTableText"/>
            </w:pPr>
            <w:r w:rsidRPr="00990D3B">
              <w:t>Phone/fax numbers</w:t>
            </w:r>
            <w:r w:rsidRPr="00990D3B" w:rsidR="00507461">
              <w:t>:</w:t>
            </w:r>
          </w:p>
        </w:tc>
        <w:tc>
          <w:tcPr>
            <w:tcW w:w="5125" w:type="dxa"/>
          </w:tcPr>
          <w:p w:rsidR="00CF5AB3" w:rsidRPr="00990D3B" w:rsidP="00666AC0" w14:paraId="5B5165F7" w14:textId="77777777">
            <w:pPr>
              <w:pStyle w:val="EQRTableText"/>
            </w:pPr>
            <w:r w:rsidRPr="00990D3B">
              <w:t> </w:t>
            </w:r>
          </w:p>
        </w:tc>
      </w:tr>
      <w:tr w14:paraId="685A56EB" w14:textId="77777777" w:rsidTr="00666AC0">
        <w:tblPrEx>
          <w:tblW w:w="5000" w:type="pct"/>
          <w:tblLook w:val="04A0"/>
        </w:tblPrEx>
        <w:tc>
          <w:tcPr>
            <w:tcW w:w="4225" w:type="dxa"/>
          </w:tcPr>
          <w:p w:rsidR="00CF5AB3" w:rsidRPr="00990D3B" w:rsidP="00666AC0" w14:paraId="0A6FF2BB" w14:textId="5A2FE14D">
            <w:pPr>
              <w:pStyle w:val="EQRTableText"/>
            </w:pPr>
            <w:r w:rsidRPr="00990D3B">
              <w:t>Email address</w:t>
            </w:r>
            <w:r w:rsidRPr="00990D3B" w:rsidR="00507461">
              <w:t>:</w:t>
            </w:r>
          </w:p>
        </w:tc>
        <w:tc>
          <w:tcPr>
            <w:tcW w:w="5125" w:type="dxa"/>
          </w:tcPr>
          <w:p w:rsidR="00CF5AB3" w:rsidRPr="00990D3B" w:rsidP="00666AC0" w14:paraId="03BF98EC" w14:textId="77777777">
            <w:pPr>
              <w:pStyle w:val="EQRTableText"/>
            </w:pPr>
            <w:r w:rsidRPr="00990D3B">
              <w:t> </w:t>
            </w:r>
          </w:p>
        </w:tc>
      </w:tr>
      <w:tr w14:paraId="24322EC3" w14:textId="77777777" w:rsidTr="00666AC0">
        <w:tblPrEx>
          <w:tblW w:w="5000" w:type="pct"/>
          <w:tblLook w:val="04A0"/>
        </w:tblPrEx>
        <w:tc>
          <w:tcPr>
            <w:tcW w:w="4225" w:type="dxa"/>
          </w:tcPr>
          <w:p w:rsidR="00CF5AB3" w:rsidRPr="00990D3B" w:rsidP="00666AC0" w14:paraId="6CC5769F" w14:textId="58606AFA">
            <w:pPr>
              <w:pStyle w:val="EQRTableText"/>
            </w:pPr>
            <w:r w:rsidRPr="00990D3B">
              <w:t>EQRO interview date (if scheduled)</w:t>
            </w:r>
            <w:r w:rsidRPr="00990D3B" w:rsidR="00507461">
              <w:t>:</w:t>
            </w:r>
          </w:p>
        </w:tc>
        <w:tc>
          <w:tcPr>
            <w:tcW w:w="5125" w:type="dxa"/>
          </w:tcPr>
          <w:p w:rsidR="00CF5AB3" w:rsidRPr="00990D3B" w:rsidP="00666AC0" w14:paraId="6E649843" w14:textId="77777777">
            <w:pPr>
              <w:pStyle w:val="EQRTableText"/>
            </w:pPr>
            <w:r w:rsidRPr="00990D3B">
              <w:t> </w:t>
            </w:r>
          </w:p>
        </w:tc>
      </w:tr>
      <w:tr w14:paraId="3349D4AD" w14:textId="77777777" w:rsidTr="00666AC0">
        <w:tblPrEx>
          <w:tblW w:w="5000" w:type="pct"/>
          <w:tblLook w:val="04A0"/>
        </w:tblPrEx>
        <w:tc>
          <w:tcPr>
            <w:tcW w:w="4225" w:type="dxa"/>
          </w:tcPr>
          <w:p w:rsidR="00CF5AB3" w:rsidRPr="00990D3B" w:rsidP="00666AC0" w14:paraId="3438C263" w14:textId="33875FFC">
            <w:pPr>
              <w:pStyle w:val="EQRTableText"/>
            </w:pPr>
            <w:r w:rsidRPr="00990D3B">
              <w:t>Type of managed care delivery system (check all that apply)</w:t>
            </w:r>
            <w:r w:rsidRPr="00990D3B" w:rsidR="00507461">
              <w:t>:</w:t>
            </w:r>
          </w:p>
        </w:tc>
        <w:tc>
          <w:tcPr>
            <w:tcW w:w="5125" w:type="dxa"/>
          </w:tcPr>
          <w:p w:rsidR="00CF5AB3" w:rsidRPr="00990D3B" w:rsidP="00666AC0" w14:paraId="008617C0" w14:textId="77777777">
            <w:pPr>
              <w:pStyle w:val="EQRTableText"/>
            </w:pPr>
            <w:r w:rsidRPr="00990D3B">
              <w:t xml:space="preserve">□ Staff model </w:t>
            </w:r>
            <w:r w:rsidRPr="00990D3B">
              <w:t>□  Network</w:t>
            </w:r>
            <w:r w:rsidRPr="00990D3B">
              <w:t xml:space="preserve">  </w:t>
            </w:r>
            <w:r w:rsidRPr="00990D3B">
              <w:t>□  IPA</w:t>
            </w:r>
            <w:r w:rsidRPr="00990D3B">
              <w:t xml:space="preserve"> </w:t>
            </w:r>
          </w:p>
        </w:tc>
      </w:tr>
      <w:tr w14:paraId="0F3B727C" w14:textId="77777777" w:rsidTr="00666AC0">
        <w:tblPrEx>
          <w:tblW w:w="5000" w:type="pct"/>
          <w:tblLook w:val="04A0"/>
        </w:tblPrEx>
        <w:tc>
          <w:tcPr>
            <w:tcW w:w="4225" w:type="dxa"/>
          </w:tcPr>
          <w:p w:rsidR="00CF5AB3" w:rsidRPr="00990D3B" w:rsidP="00666AC0" w14:paraId="3270C5F8" w14:textId="1DEBB3C1">
            <w:pPr>
              <w:pStyle w:val="EQRTableText"/>
            </w:pPr>
            <w:r w:rsidRPr="00990D3B">
              <w:t>MCP type</w:t>
            </w:r>
            <w:r w:rsidRPr="00990D3B" w:rsidR="00507461">
              <w:t>:</w:t>
            </w:r>
          </w:p>
        </w:tc>
        <w:tc>
          <w:tcPr>
            <w:tcW w:w="5125" w:type="dxa"/>
          </w:tcPr>
          <w:p w:rsidR="00CF5AB3" w:rsidRPr="00990D3B" w:rsidP="00666AC0" w14:paraId="2B678743" w14:textId="77777777">
            <w:pPr>
              <w:pStyle w:val="EQRTableText"/>
            </w:pPr>
            <w:r w:rsidRPr="00990D3B">
              <w:t>□  MCO</w:t>
            </w:r>
            <w:r w:rsidRPr="00990D3B">
              <w:t xml:space="preserve"> </w:t>
            </w:r>
            <w:r w:rsidRPr="00990D3B">
              <w:t>□  PIHP</w:t>
            </w:r>
            <w:r w:rsidRPr="00990D3B">
              <w:t xml:space="preserve"> </w:t>
            </w:r>
            <w:r w:rsidRPr="00990D3B">
              <w:t>□  PAHP</w:t>
            </w:r>
            <w:r w:rsidRPr="00990D3B">
              <w:t xml:space="preserve"> </w:t>
            </w:r>
            <w:r w:rsidRPr="00990D3B">
              <w:t>□  LTSS</w:t>
            </w:r>
          </w:p>
          <w:p w:rsidR="00CF5AB3" w:rsidRPr="00990D3B" w:rsidP="00666AC0" w14:paraId="3DBCCE19" w14:textId="77777777">
            <w:pPr>
              <w:pStyle w:val="EQRTableText"/>
            </w:pPr>
            <w:r w:rsidRPr="00990D3B">
              <w:t>□  Other</w:t>
            </w:r>
            <w:r w:rsidRPr="00990D3B">
              <w:t>: specify ___________________________________</w:t>
            </w:r>
          </w:p>
        </w:tc>
      </w:tr>
      <w:tr w14:paraId="214EDCDD" w14:textId="77777777" w:rsidTr="00666AC0">
        <w:tblPrEx>
          <w:tblW w:w="5000" w:type="pct"/>
          <w:tblLook w:val="04A0"/>
        </w:tblPrEx>
        <w:tc>
          <w:tcPr>
            <w:tcW w:w="4225" w:type="dxa"/>
          </w:tcPr>
          <w:p w:rsidR="00CF5AB3" w:rsidRPr="00990D3B" w:rsidP="00666AC0" w14:paraId="76A3AF4C" w14:textId="4C0974F0">
            <w:pPr>
              <w:pStyle w:val="EQRTableText"/>
            </w:pPr>
            <w:r w:rsidRPr="00990D3B">
              <w:t xml:space="preserve">Program </w:t>
            </w:r>
            <w:r w:rsidRPr="00990D3B" w:rsidR="00507461">
              <w:t>t</w:t>
            </w:r>
            <w:r w:rsidRPr="00990D3B">
              <w:t>ype</w:t>
            </w:r>
            <w:r w:rsidRPr="00990D3B" w:rsidR="00507461">
              <w:t>:</w:t>
            </w:r>
          </w:p>
        </w:tc>
        <w:tc>
          <w:tcPr>
            <w:tcW w:w="5125" w:type="dxa"/>
          </w:tcPr>
          <w:p w:rsidR="00CF5AB3" w:rsidRPr="00990D3B" w:rsidP="00666AC0" w14:paraId="0088F5EB" w14:textId="77777777">
            <w:pPr>
              <w:pStyle w:val="EQRTableText"/>
            </w:pPr>
            <w:r w:rsidRPr="00990D3B">
              <w:t xml:space="preserve">□ </w:t>
            </w:r>
            <w:r w:rsidRPr="00990D3B">
              <w:t>Medicaid  □</w:t>
            </w:r>
            <w:r w:rsidRPr="00990D3B">
              <w:t xml:space="preserve"> </w:t>
            </w:r>
            <w:r w:rsidRPr="00990D3B">
              <w:t>CHIP  □</w:t>
            </w:r>
            <w:r w:rsidRPr="00990D3B">
              <w:t xml:space="preserve"> Both</w:t>
            </w:r>
          </w:p>
        </w:tc>
      </w:tr>
    </w:tbl>
    <w:p w:rsidR="00CF5AB3" w:rsidRPr="00990D3B" w:rsidP="00CF5AB3" w14:paraId="697BCF5E" w14:textId="1BDEFAAC">
      <w:pPr>
        <w:rPr>
          <w:sz w:val="16"/>
          <w:szCs w:val="16"/>
        </w:rPr>
      </w:pPr>
    </w:p>
    <w:p w:rsidR="009C6EB7" w:rsidRPr="00990D3B" w:rsidP="00CF5AB3" w14:paraId="7C1F2327" w14:textId="14E0AB79">
      <w:pPr>
        <w:rPr>
          <w:rFonts w:asciiTheme="majorHAnsi" w:hAnsiTheme="majorHAnsi" w:cstheme="majorHAnsi"/>
          <w:sz w:val="20"/>
        </w:rPr>
      </w:pPr>
      <w:r w:rsidRPr="00990D3B">
        <w:rPr>
          <w:rFonts w:asciiTheme="majorHAnsi" w:hAnsiTheme="majorHAnsi" w:cstheme="majorHAnsi"/>
          <w:sz w:val="20"/>
        </w:rPr>
        <w:t xml:space="preserve">*Note: The MCP contact may vary by EQR activity. In such cases, create a separate sheet for each MCP and EQR activity. Use this row to indicate the associated EQR activity (e.g., </w:t>
      </w:r>
      <w:r w:rsidRPr="00990D3B">
        <w:rPr>
          <w:rFonts w:asciiTheme="majorHAnsi" w:hAnsiTheme="majorHAnsi" w:cstheme="majorHAnsi"/>
          <w:i/>
          <w:iCs/>
          <w:sz w:val="20"/>
        </w:rPr>
        <w:t>“Contact A, Senior Quality Manager [Performance Measure Validation]</w:t>
      </w:r>
      <w:r w:rsidRPr="00990D3B">
        <w:rPr>
          <w:rFonts w:asciiTheme="majorHAnsi" w:hAnsiTheme="majorHAnsi" w:cstheme="majorHAnsi"/>
          <w:sz w:val="20"/>
        </w:rPr>
        <w:t>).</w:t>
      </w:r>
    </w:p>
    <w:p w:rsidR="00CF5AB3" w:rsidRPr="00990D3B" w:rsidP="00CF5AB3" w14:paraId="4DCF409F" w14:textId="77777777"/>
    <w:p w:rsidR="0002667E" w:rsidRPr="00990D3B" w:rsidP="00CF5AB3" w14:paraId="757233E3" w14:textId="77777777">
      <w:pPr>
        <w:pStyle w:val="Paragraph0"/>
        <w:sectPr w:rsidSect="007E00E8">
          <w:footerReference w:type="even" r:id="rId230"/>
          <w:footerReference w:type="default" r:id="rId231"/>
          <w:headerReference w:type="first" r:id="rId232"/>
          <w:footerReference w:type="first" r:id="rId233"/>
          <w:pgSz w:w="12240" w:h="15840" w:code="1"/>
          <w:pgMar w:top="1440" w:right="1440" w:bottom="1440" w:left="1440" w:header="720" w:footer="720" w:gutter="0"/>
          <w:pgNumType w:start="1"/>
          <w:cols w:space="720"/>
          <w:titlePg/>
          <w:docGrid w:linePitch="360"/>
        </w:sectPr>
      </w:pPr>
    </w:p>
    <w:p w:rsidR="00F50A29" w:rsidRPr="00990D3B" w:rsidP="00D136FC" w14:paraId="03300078" w14:textId="7019D24A">
      <w:pPr>
        <w:pStyle w:val="H1"/>
      </w:pPr>
      <w:bookmarkStart w:id="1123" w:name="AppB"/>
      <w:bookmarkStart w:id="1124" w:name="_Toc201751462"/>
      <w:bookmarkEnd w:id="1123"/>
      <w:r w:rsidRPr="00990D3B">
        <w:t xml:space="preserve">Appendix </w:t>
      </w:r>
      <w:r w:rsidRPr="00990D3B" w:rsidR="00CF5AB3">
        <w:t>B</w:t>
      </w:r>
      <w:r w:rsidRPr="00990D3B">
        <w:t xml:space="preserve">. </w:t>
      </w:r>
      <w:bookmarkEnd w:id="1052"/>
      <w:r w:rsidRPr="00990D3B">
        <w:t>Information Systems Capabilities Assessment</w:t>
      </w:r>
      <w:bookmarkEnd w:id="1053"/>
      <w:bookmarkEnd w:id="1116"/>
      <w:bookmarkEnd w:id="1124"/>
    </w:p>
    <w:tbl>
      <w:tblPr>
        <w:tblW w:w="7200" w:type="dxa"/>
        <w:tblBorders>
          <w:insideV w:val="single" w:sz="2" w:space="0" w:color="00559D"/>
        </w:tblBorders>
        <w:tblLayout w:type="fixed"/>
        <w:tblLook w:val="04A0"/>
      </w:tblPr>
      <w:tblGrid>
        <w:gridCol w:w="7200"/>
      </w:tblGrid>
      <w:tr w14:paraId="6B7DDC00" w14:textId="77777777" w:rsidTr="0083769C">
        <w:tblPrEx>
          <w:tblW w:w="7200" w:type="dxa"/>
          <w:tblBorders>
            <w:insideV w:val="single" w:sz="2" w:space="0" w:color="00559D"/>
          </w:tblBorders>
          <w:tblLayout w:type="fixed"/>
          <w:tblLook w:val="04A0"/>
        </w:tblPrEx>
        <w:trPr>
          <w:trHeight w:val="144"/>
          <w:tblHeader/>
        </w:trPr>
        <w:tc>
          <w:tcPr>
            <w:tcW w:w="7200" w:type="dxa"/>
            <w:shd w:val="clear" w:color="auto" w:fill="1CA8B7"/>
            <w:vAlign w:val="bottom"/>
          </w:tcPr>
          <w:p w:rsidR="00AF27D2" w:rsidRPr="00990D3B" w:rsidP="005C35D1" w14:paraId="0062DB25" w14:textId="4CA0C9C8">
            <w:pPr>
              <w:pStyle w:val="EQRACTIVITY"/>
            </w:pPr>
            <w:r w:rsidRPr="00990D3B">
              <w:t> </w:t>
            </w:r>
          </w:p>
        </w:tc>
      </w:tr>
      <w:tr w14:paraId="51AC8B37" w14:textId="77777777" w:rsidTr="0083769C">
        <w:tblPrEx>
          <w:tblW w:w="7200" w:type="dxa"/>
          <w:tblLayout w:type="fixed"/>
          <w:tblLook w:val="04A0"/>
        </w:tblPrEx>
        <w:trPr>
          <w:trHeight w:val="20"/>
        </w:trPr>
        <w:tc>
          <w:tcPr>
            <w:tcW w:w="7200" w:type="dxa"/>
            <w:shd w:val="clear" w:color="auto" w:fill="EEF5F8"/>
          </w:tcPr>
          <w:p w:rsidR="00AF27D2" w:rsidRPr="00990D3B" w:rsidP="00AF27D2" w14:paraId="566DE9BB" w14:textId="3DA5229D">
            <w:pPr>
              <w:pStyle w:val="EQRACTIVITY"/>
            </w:pPr>
            <w:hyperlink w:anchor="AppBact1" w:tooltip="ACTIVITY 1: MCP COMPLETES THE ISCA TOOL" w:history="1">
              <w:r w:rsidRPr="00990D3B">
                <w:rPr>
                  <w:rStyle w:val="Hyperlink"/>
                </w:rPr>
                <w:t>ACTIVITY 1: MCP COMPLETES THE ISCA</w:t>
              </w:r>
              <w:r w:rsidRPr="00990D3B" w:rsidR="00BA10FF">
                <w:rPr>
                  <w:rStyle w:val="Hyperlink"/>
                </w:rPr>
                <w:t xml:space="preserve"> TOOL</w:t>
              </w:r>
            </w:hyperlink>
          </w:p>
        </w:tc>
      </w:tr>
      <w:tr w14:paraId="4DB08CEE" w14:textId="77777777" w:rsidTr="0083769C">
        <w:tblPrEx>
          <w:tblW w:w="7200" w:type="dxa"/>
          <w:tblLayout w:type="fixed"/>
          <w:tblLook w:val="04A0"/>
        </w:tblPrEx>
        <w:trPr>
          <w:trHeight w:val="20"/>
        </w:trPr>
        <w:tc>
          <w:tcPr>
            <w:tcW w:w="7200" w:type="dxa"/>
          </w:tcPr>
          <w:p w:rsidR="00AF27D2" w:rsidRPr="00990D3B" w:rsidP="00BA10FF" w14:paraId="6365A67A" w14:textId="005D6EE8">
            <w:pPr>
              <w:pStyle w:val="EQRACTIVITY"/>
            </w:pPr>
            <w:hyperlink w:anchor="AppBact2" w:tooltip="ACTIVITY 2: PERFORM PRELIMINARY ISCA REVIEW" w:history="1">
              <w:r w:rsidRPr="00990D3B">
                <w:rPr>
                  <w:rStyle w:val="Hyperlink"/>
                </w:rPr>
                <w:t xml:space="preserve">ACTIVITY 2: </w:t>
              </w:r>
              <w:r w:rsidRPr="00990D3B" w:rsidR="00BA10FF">
                <w:rPr>
                  <w:rStyle w:val="Hyperlink"/>
                </w:rPr>
                <w:t>PERFORM PRELIMINARY</w:t>
              </w:r>
              <w:r w:rsidRPr="00990D3B">
                <w:rPr>
                  <w:rStyle w:val="Hyperlink"/>
                </w:rPr>
                <w:t xml:space="preserve"> ISCA</w:t>
              </w:r>
              <w:r w:rsidRPr="00990D3B" w:rsidR="00BA10FF">
                <w:rPr>
                  <w:rStyle w:val="Hyperlink"/>
                </w:rPr>
                <w:t xml:space="preserve"> REVIEW</w:t>
              </w:r>
            </w:hyperlink>
          </w:p>
        </w:tc>
      </w:tr>
      <w:tr w14:paraId="7D60B814" w14:textId="77777777" w:rsidTr="0083769C">
        <w:tblPrEx>
          <w:tblW w:w="7200" w:type="dxa"/>
          <w:tblLayout w:type="fixed"/>
          <w:tblLook w:val="04A0"/>
        </w:tblPrEx>
        <w:trPr>
          <w:trHeight w:val="20"/>
        </w:trPr>
        <w:tc>
          <w:tcPr>
            <w:tcW w:w="7200" w:type="dxa"/>
            <w:tcBorders>
              <w:bottom w:val="nil"/>
            </w:tcBorders>
            <w:shd w:val="clear" w:color="auto" w:fill="EEF5F8"/>
          </w:tcPr>
          <w:p w:rsidR="00AF27D2" w:rsidRPr="00990D3B" w:rsidP="00BA10FF" w14:paraId="091B74E9" w14:textId="4E650E5B">
            <w:pPr>
              <w:pStyle w:val="EQRACTIVITY"/>
            </w:pPr>
            <w:hyperlink w:anchor="AppBact3" w:tooltip="ACTIVITY 3: CONDUCT MCP ONSITE OR VIRTUAL SITE VISIT" w:history="1">
              <w:r w:rsidRPr="00990D3B">
                <w:rPr>
                  <w:rStyle w:val="Hyperlink"/>
                </w:rPr>
                <w:t xml:space="preserve">ACTIVITY 3: CONDUCT </w:t>
              </w:r>
              <w:r w:rsidRPr="00990D3B" w:rsidR="00BA10FF">
                <w:rPr>
                  <w:rStyle w:val="Hyperlink"/>
                </w:rPr>
                <w:t xml:space="preserve">MCP </w:t>
              </w:r>
              <w:r w:rsidRPr="00990D3B" w:rsidR="00C569BC">
                <w:rPr>
                  <w:rStyle w:val="Hyperlink"/>
                </w:rPr>
                <w:t xml:space="preserve">ONSITE OR VIRTUAL </w:t>
              </w:r>
              <w:r w:rsidRPr="00990D3B" w:rsidR="00152FCC">
                <w:rPr>
                  <w:rStyle w:val="Hyperlink"/>
                </w:rPr>
                <w:t xml:space="preserve">SITE </w:t>
              </w:r>
              <w:r w:rsidRPr="00990D3B">
                <w:rPr>
                  <w:rStyle w:val="Hyperlink"/>
                </w:rPr>
                <w:t>VISIT</w:t>
              </w:r>
            </w:hyperlink>
          </w:p>
        </w:tc>
      </w:tr>
      <w:tr w14:paraId="6D636CDD" w14:textId="77777777" w:rsidTr="0083769C">
        <w:tblPrEx>
          <w:tblW w:w="7200" w:type="dxa"/>
          <w:tblLayout w:type="fixed"/>
          <w:tblLook w:val="04A0"/>
        </w:tblPrEx>
        <w:trPr>
          <w:trHeight w:val="20"/>
        </w:trPr>
        <w:tc>
          <w:tcPr>
            <w:tcW w:w="7200" w:type="dxa"/>
          </w:tcPr>
          <w:p w:rsidR="00AF27D2" w:rsidRPr="00990D3B" w:rsidP="00BA10FF" w14:paraId="0282C244" w14:textId="2F08669C">
            <w:pPr>
              <w:pStyle w:val="EQRACTIVITY"/>
            </w:pPr>
            <w:hyperlink w:anchor="AppBact4" w:tooltip="ACTIVITY 4: COMPILE AND ANALYZE ISCA FINDINGS" w:history="1">
              <w:r w:rsidRPr="00990D3B">
                <w:rPr>
                  <w:rStyle w:val="Hyperlink"/>
                </w:rPr>
                <w:t xml:space="preserve">ACTIVITY 4: </w:t>
              </w:r>
              <w:r w:rsidRPr="00990D3B" w:rsidR="00BA10FF">
                <w:rPr>
                  <w:rStyle w:val="Hyperlink"/>
                </w:rPr>
                <w:t xml:space="preserve">COMPILE AND </w:t>
              </w:r>
              <w:r w:rsidRPr="00990D3B">
                <w:rPr>
                  <w:rStyle w:val="Hyperlink"/>
                </w:rPr>
                <w:t>ANALYZE</w:t>
              </w:r>
              <w:r w:rsidRPr="00990D3B" w:rsidR="00BA10FF">
                <w:rPr>
                  <w:rStyle w:val="Hyperlink"/>
                </w:rPr>
                <w:t xml:space="preserve"> ISCA</w:t>
              </w:r>
              <w:r w:rsidRPr="00990D3B">
                <w:rPr>
                  <w:rStyle w:val="Hyperlink"/>
                </w:rPr>
                <w:t xml:space="preserve"> FINDINGS</w:t>
              </w:r>
            </w:hyperlink>
          </w:p>
        </w:tc>
      </w:tr>
      <w:tr w14:paraId="2D9C9EA4" w14:textId="77777777" w:rsidTr="0083769C">
        <w:tblPrEx>
          <w:tblW w:w="7200" w:type="dxa"/>
          <w:tblLayout w:type="fixed"/>
          <w:tblLook w:val="04A0"/>
        </w:tblPrEx>
        <w:trPr>
          <w:trHeight w:val="20"/>
        </w:trPr>
        <w:tc>
          <w:tcPr>
            <w:tcW w:w="7200" w:type="dxa"/>
            <w:tcBorders>
              <w:bottom w:val="nil"/>
            </w:tcBorders>
            <w:shd w:val="clear" w:color="auto" w:fill="EEF5F8"/>
          </w:tcPr>
          <w:p w:rsidR="00AF27D2" w:rsidRPr="00990D3B" w:rsidP="00BA10FF" w14:paraId="1A54430A" w14:textId="0C5C4EE5">
            <w:pPr>
              <w:pStyle w:val="EQRACTIVITY"/>
            </w:pPr>
            <w:hyperlink w:anchor="AppBact5" w:tooltip="ACTIVITY 5: DRAFT ISCA SUMMARY FOR EQR TECHNICAL REPORT" w:history="1">
              <w:r w:rsidRPr="00990D3B">
                <w:rPr>
                  <w:rStyle w:val="Hyperlink"/>
                </w:rPr>
                <w:t>ACTIVITY 5: DRAFT ISCA SUMMARY FOR EQR TECHNICAL REPORT</w:t>
              </w:r>
            </w:hyperlink>
          </w:p>
        </w:tc>
      </w:tr>
    </w:tbl>
    <w:p w:rsidR="00473B3C" w:rsidRPr="00990D3B" w:rsidP="0032619B" w14:paraId="1654F77F" w14:textId="171D6AC6">
      <w:pPr>
        <w:pStyle w:val="H2"/>
        <w:rPr>
          <w:rFonts w:ascii="Arial" w:hAnsi="Arial"/>
        </w:rPr>
      </w:pPr>
      <w:bookmarkStart w:id="1125" w:name="_Toc14777767"/>
      <w:bookmarkStart w:id="1126" w:name="_Toc183005668"/>
      <w:bookmarkStart w:id="1127" w:name="_Toc201751463"/>
      <w:r w:rsidRPr="00990D3B">
        <w:t>B</w:t>
      </w:r>
      <w:r w:rsidRPr="00990D3B" w:rsidR="00D05064">
        <w:t>ackground</w:t>
      </w:r>
      <w:bookmarkEnd w:id="1125"/>
      <w:bookmarkEnd w:id="1126"/>
      <w:bookmarkEnd w:id="1127"/>
    </w:p>
    <w:p w:rsidR="00380DAD" w:rsidRPr="00990D3B" w:rsidP="00FF2A44" w14:paraId="69F48BCF" w14:textId="6A3C0EE9">
      <w:pPr>
        <w:pStyle w:val="Paragraph0"/>
        <w:rPr>
          <w:spacing w:val="-2"/>
        </w:rPr>
      </w:pPr>
      <w:r w:rsidRPr="00990D3B">
        <w:t xml:space="preserve">This appendix defines the recommended capabilities of a </w:t>
      </w:r>
      <w:r w:rsidRPr="00990D3B" w:rsidR="00874FB8">
        <w:t>m</w:t>
      </w:r>
      <w:r w:rsidRPr="00990D3B">
        <w:t xml:space="preserve">anaged </w:t>
      </w:r>
      <w:r w:rsidRPr="00990D3B" w:rsidR="00874FB8">
        <w:t>c</w:t>
      </w:r>
      <w:r w:rsidRPr="00990D3B">
        <w:t xml:space="preserve">are </w:t>
      </w:r>
      <w:r w:rsidRPr="00990D3B" w:rsidR="00874FB8">
        <w:t>p</w:t>
      </w:r>
      <w:r w:rsidRPr="00990D3B">
        <w:t>lan’s (MCP’s)</w:t>
      </w:r>
      <w:r w:rsidRPr="00990D3B" w:rsidR="003162DF">
        <w:rPr>
          <w:rFonts w:ascii="ZWAdobeF" w:hAnsi="ZWAdobeF" w:cs="ZWAdobeF"/>
          <w:sz w:val="2"/>
          <w:szCs w:val="2"/>
        </w:rPr>
        <w:t>88F</w:t>
      </w:r>
      <w:r>
        <w:rPr>
          <w:rStyle w:val="FootnoteReference"/>
          <w:szCs w:val="22"/>
        </w:rPr>
        <w:footnoteReference w:id="141"/>
      </w:r>
      <w:r w:rsidRPr="00990D3B">
        <w:rPr>
          <w:vertAlign w:val="superscript"/>
        </w:rPr>
        <w:t xml:space="preserve"> </w:t>
      </w:r>
      <w:r w:rsidRPr="00990D3B">
        <w:t>information system</w:t>
      </w:r>
      <w:r w:rsidRPr="00990D3B" w:rsidR="009471A7">
        <w:t xml:space="preserve"> (IS)</w:t>
      </w:r>
      <w:r w:rsidRPr="00990D3B">
        <w:t xml:space="preserve"> to meet regulatory requirements for managed care quality assessment and </w:t>
      </w:r>
      <w:r w:rsidRPr="00990D3B">
        <w:t>reporting, and</w:t>
      </w:r>
      <w:r w:rsidRPr="00990D3B">
        <w:t xml:space="preserve"> provides an approach the</w:t>
      </w:r>
      <w:r w:rsidRPr="00990D3B" w:rsidR="00874FB8">
        <w:t xml:space="preserve"> external quality review organization</w:t>
      </w:r>
      <w:r w:rsidRPr="00990D3B">
        <w:t xml:space="preserve"> </w:t>
      </w:r>
      <w:r w:rsidRPr="00990D3B" w:rsidR="00874FB8">
        <w:t>(</w:t>
      </w:r>
      <w:r w:rsidRPr="00990D3B">
        <w:t>EQRO</w:t>
      </w:r>
      <w:r w:rsidRPr="00990D3B" w:rsidR="00874FB8">
        <w:t>)</w:t>
      </w:r>
      <w:r w:rsidRPr="00990D3B">
        <w:t xml:space="preserve"> can use to assess the strength of each MCP’s </w:t>
      </w:r>
      <w:r w:rsidRPr="00990D3B" w:rsidR="00457868">
        <w:t>IS</w:t>
      </w:r>
      <w:r w:rsidRPr="00990D3B">
        <w:t xml:space="preserve"> capabilities. Portions of the Information Systems Capabilities Assessment (ISCA) are voluntary; however, some components are required for the mandatory </w:t>
      </w:r>
      <w:r w:rsidRPr="00990D3B" w:rsidR="009710AE">
        <w:t>external quality review (</w:t>
      </w:r>
      <w:r w:rsidRPr="00990D3B">
        <w:t>EQR</w:t>
      </w:r>
      <w:r w:rsidRPr="00990D3B" w:rsidR="009710AE">
        <w:t>)</w:t>
      </w:r>
      <w:r w:rsidRPr="00990D3B">
        <w:t xml:space="preserve">-related </w:t>
      </w:r>
      <w:r w:rsidRPr="00990D3B" w:rsidR="00A768F0">
        <w:t>activities</w:t>
      </w:r>
      <w:r w:rsidRPr="00990D3B">
        <w:t xml:space="preserve"> protocols. The regulations at </w:t>
      </w:r>
      <w:r w:rsidRPr="00990D3B" w:rsidR="001C7FC0">
        <w:t>42 C.F.R.</w:t>
      </w:r>
      <w:r w:rsidRPr="00990D3B" w:rsidR="007854DF">
        <w:t xml:space="preserve"> </w:t>
      </w:r>
      <w:r w:rsidRPr="00990D3B">
        <w:t xml:space="preserve">438.242 and 457.1233(d) also require the state to ensure that each MCP maintains a health </w:t>
      </w:r>
      <w:r w:rsidRPr="00990D3B" w:rsidR="00A20CF2">
        <w:t>IS</w:t>
      </w:r>
      <w:r w:rsidRPr="00990D3B">
        <w:t xml:space="preserve"> that collects, analyzes, integra</w:t>
      </w:r>
      <w:r w:rsidRPr="00990D3B" w:rsidR="00CE76FB">
        <w:t xml:space="preserve">tes, and reports data for purposes </w:t>
      </w:r>
      <w:r w:rsidRPr="00990D3B">
        <w:t>including</w:t>
      </w:r>
      <w:r w:rsidRPr="00990D3B" w:rsidR="00CE76FB">
        <w:t xml:space="preserve"> utilization, claims, grievances and appeals, disenrollment for reasons other than loss of Medicaid or </w:t>
      </w:r>
      <w:r w:rsidRPr="00990D3B" w:rsidR="009710AE">
        <w:t>Children’s Health Insurance Program (</w:t>
      </w:r>
      <w:r w:rsidRPr="00990D3B" w:rsidR="00CE76FB">
        <w:t>CHIP</w:t>
      </w:r>
      <w:r w:rsidRPr="00990D3B" w:rsidR="009710AE">
        <w:t>)</w:t>
      </w:r>
      <w:r w:rsidRPr="00990D3B" w:rsidR="00CE76FB">
        <w:t xml:space="preserve"> eligibility, rate setting, risk adjustment, quality measurement, value-based purchasing, program integrity, and policy development. </w:t>
      </w:r>
    </w:p>
    <w:p w:rsidR="00473B3C" w:rsidRPr="00990D3B" w:rsidP="004E5005" w14:paraId="7B0E2C94" w14:textId="1F24166F">
      <w:pPr>
        <w:pStyle w:val="Paragraph0"/>
      </w:pPr>
      <w:hyperlink w:anchor="FigureA1" w:tooltip="Figure B.1" w:history="1">
        <w:r w:rsidRPr="00990D3B">
          <w:rPr>
            <w:rStyle w:val="Hyperlink"/>
          </w:rPr>
          <w:t>Figure B.1</w:t>
        </w:r>
      </w:hyperlink>
      <w:r w:rsidRPr="00990D3B">
        <w:t xml:space="preserve"> shows the interrelationship of data activities for providers, MCPs, and EQROs. Per </w:t>
      </w:r>
      <w:r w:rsidRPr="00990D3B" w:rsidR="001C7FC0">
        <w:t>42 C.F.R.</w:t>
      </w:r>
      <w:r w:rsidRPr="00990D3B" w:rsidR="007854DF">
        <w:t xml:space="preserve"> </w:t>
      </w:r>
      <w:r w:rsidRPr="00990D3B">
        <w:t>438.242, the MCP’s information system must be able to achieve the following:</w:t>
      </w:r>
    </w:p>
    <w:p w:rsidR="00E77F98" w:rsidRPr="00990D3B" w:rsidP="002D35CF" w14:paraId="40305FDE" w14:textId="74C093E0">
      <w:pPr>
        <w:pStyle w:val="ListNumber"/>
        <w:numPr>
          <w:ilvl w:val="0"/>
          <w:numId w:val="58"/>
        </w:numPr>
      </w:pPr>
      <w:r w:rsidRPr="00990D3B">
        <w:t>Provide</w:t>
      </w:r>
      <w:r w:rsidRPr="00990D3B">
        <w:t xml:space="preserve"> the state with</w:t>
      </w:r>
      <w:r w:rsidRPr="00990D3B" w:rsidR="00473B3C">
        <w:t xml:space="preserve"> all data elements the state deems necessary for the mechanized claims processing and information retrieval systems it uses for the management, monitoring, and administration of its Medicaid</w:t>
      </w:r>
      <w:r w:rsidRPr="00990D3B" w:rsidR="00396660">
        <w:t xml:space="preserve"> or CHIP</w:t>
      </w:r>
      <w:r w:rsidRPr="00990D3B" w:rsidR="00F526CE">
        <w:t xml:space="preserve"> program</w:t>
      </w:r>
      <w:r w:rsidRPr="00990D3B" w:rsidR="00610B4F">
        <w:t xml:space="preserve">. </w:t>
      </w:r>
      <w:r w:rsidRPr="00990D3B" w:rsidR="00473B3C">
        <w:t>Collect data on enrollee and provider characteristics as specified by the state provider and eligibility files, and on all services received by an enrollee regardless of payment methodology, including services sub-</w:t>
      </w:r>
      <w:r w:rsidRPr="00990D3B" w:rsidR="00473B3C">
        <w:t>capitated by a</w:t>
      </w:r>
      <w:r w:rsidRPr="00990D3B" w:rsidR="008D1A82">
        <w:t>n</w:t>
      </w:r>
      <w:r w:rsidRPr="00990D3B" w:rsidR="00473B3C">
        <w:t xml:space="preserve"> MCP to a provider, through an encounter data system or other method</w:t>
      </w:r>
      <w:r w:rsidRPr="00990D3B" w:rsidR="00F526CE">
        <w:t xml:space="preserve"> that meets state requirements</w:t>
      </w:r>
    </w:p>
    <w:p w:rsidR="00473B3C" w:rsidRPr="00990D3B" w:rsidP="00BA007D" w14:paraId="4A460D75" w14:textId="1ADA9C05">
      <w:pPr>
        <w:pStyle w:val="ListNumber"/>
      </w:pPr>
      <w:r w:rsidRPr="00990D3B">
        <w:t xml:space="preserve">Ensure that data received from providers are accurate and complete by: </w:t>
      </w:r>
    </w:p>
    <w:p w:rsidR="00E77F98" w:rsidRPr="00990D3B" w:rsidP="00FB7CAF" w14:paraId="0298C43D" w14:textId="182BAF56">
      <w:pPr>
        <w:pStyle w:val="EQRBulletBLUE"/>
      </w:pPr>
      <w:r w:rsidRPr="00990D3B">
        <w:t xml:space="preserve">Verifying the accuracy </w:t>
      </w:r>
      <w:r w:rsidRPr="00990D3B" w:rsidR="009767EF">
        <w:t>and timeliness of reported data</w:t>
      </w:r>
      <w:r w:rsidRPr="00990D3B">
        <w:t xml:space="preserve"> </w:t>
      </w:r>
    </w:p>
    <w:p w:rsidR="00E77F98" w:rsidRPr="00990D3B" w:rsidP="00FB7CAF" w14:paraId="39ACFE39" w14:textId="5EF23B06">
      <w:pPr>
        <w:pStyle w:val="EQRBulletBLUE"/>
      </w:pPr>
      <w:r w:rsidRPr="00990D3B">
        <w:t xml:space="preserve">Screening the data for completeness, logic, and consistency </w:t>
      </w:r>
    </w:p>
    <w:p w:rsidR="00E77F98" w:rsidRPr="00990D3B" w:rsidP="00FB7CAF" w14:paraId="068DA251" w14:textId="6495B315">
      <w:pPr>
        <w:pStyle w:val="EQRBulletBLUE"/>
      </w:pPr>
      <w:r w:rsidRPr="00990D3B">
        <w:t xml:space="preserve">Collecting data from providers in standardized formats (e.g., T-MSIS) to the </w:t>
      </w:r>
      <w:r w:rsidRPr="00990D3B" w:rsidR="009767EF">
        <w:t>extent feasible and appropriate</w:t>
      </w:r>
    </w:p>
    <w:p w:rsidR="006538A2" w:rsidRPr="00990D3B" w:rsidP="00BA007D" w14:paraId="33D7C368" w14:textId="66C59057">
      <w:pPr>
        <w:pStyle w:val="ListNumber"/>
      </w:pPr>
      <w:r w:rsidRPr="00990D3B">
        <w:t>Make all collected data available to th</w:t>
      </w:r>
      <w:r w:rsidRPr="00990D3B" w:rsidR="00F526CE">
        <w:t xml:space="preserve">e state and to </w:t>
      </w:r>
      <w:r w:rsidRPr="00990D3B" w:rsidR="00E535C4">
        <w:t>the Centers for Medicare &amp; Medicaid Services (</w:t>
      </w:r>
      <w:r w:rsidRPr="00990D3B" w:rsidR="00F526CE">
        <w:t>CMS</w:t>
      </w:r>
      <w:r w:rsidRPr="00990D3B" w:rsidR="00E535C4">
        <w:t>)</w:t>
      </w:r>
      <w:r w:rsidRPr="00990D3B" w:rsidR="00F526CE">
        <w:t xml:space="preserve"> upon request</w:t>
      </w:r>
      <w:r w:rsidRPr="00990D3B" w:rsidR="00507461">
        <w:t>.</w:t>
      </w:r>
    </w:p>
    <w:p w:rsidR="006538A2" w:rsidRPr="00990D3B" w:rsidP="006538A2" w14:paraId="669F50CF" w14:textId="1D5E7C6A">
      <w:pPr>
        <w:pStyle w:val="ParagraphContinued"/>
      </w:pPr>
      <w:r w:rsidRPr="00990D3B">
        <w:t xml:space="preserve">This appendix provides an overview of the activities for assessing an </w:t>
      </w:r>
      <w:r w:rsidRPr="00990D3B">
        <w:t>MCP’s data collection, processing, and reporting systems</w:t>
      </w:r>
      <w:r w:rsidRPr="00990D3B">
        <w:t xml:space="preserve">. The appendix concludes with information about the future of information system assessments. </w:t>
      </w:r>
    </w:p>
    <w:p w:rsidR="00473B3C" w:rsidRPr="00990D3B" w:rsidP="00D578DD" w14:paraId="635747B0" w14:textId="4D8F0199">
      <w:pPr>
        <w:pStyle w:val="MarkforFigureHeading"/>
        <w:keepLines/>
      </w:pPr>
      <w:bookmarkStart w:id="1128" w:name="FigureB1"/>
      <w:bookmarkStart w:id="1129" w:name="FigureA1"/>
      <w:bookmarkEnd w:id="1128"/>
      <w:r w:rsidRPr="00990D3B">
        <w:t xml:space="preserve">Figure </w:t>
      </w:r>
      <w:r w:rsidRPr="00990D3B" w:rsidR="000B22E1">
        <w:t>B</w:t>
      </w:r>
      <w:r w:rsidRPr="00990D3B">
        <w:t>.1</w:t>
      </w:r>
      <w:bookmarkEnd w:id="1129"/>
      <w:r w:rsidRPr="00990D3B">
        <w:t>. Provider, MCP, and EQR</w:t>
      </w:r>
      <w:r w:rsidRPr="00990D3B" w:rsidR="009471A7">
        <w:t>O</w:t>
      </w:r>
      <w:r w:rsidRPr="00990D3B">
        <w:t xml:space="preserve"> Data Activities</w:t>
      </w:r>
    </w:p>
    <w:p w:rsidR="00473B3C" w:rsidRPr="00990D3B" w:rsidP="00D578DD" w14:paraId="26661B68" w14:textId="6010087B">
      <w:pPr>
        <w:pStyle w:val="NoSpacing"/>
        <w:widowControl w:val="0"/>
      </w:pPr>
      <w:r w:rsidRPr="00990D3B">
        <w:rPr>
          <w:noProof/>
        </w:rPr>
        <w:drawing>
          <wp:inline distT="0" distB="0" distL="0" distR="0">
            <wp:extent cx="5833470" cy="7816850"/>
            <wp:effectExtent l="0" t="0" r="0" b="0"/>
            <wp:docPr id="593" name="Picture 593" descr="This figure shows three large circles representing Providers, MCPs, and EQROs. Four large arrows show interrelationship between the circles. The first arrow stems from the Provider circle to the MCP circle, the second stems from the MCP circle to the Providers circle, the third stems from the MCP circle to the EQRO circle, and the fourth stems from the EQRO circle to the MCP circle. &#10;Each large circle contains three ISCA Data Activities. A line stems from an activity in one large circle, to an activity in one or more large circles, if those activities are interrelated. To the right of each large circle are details about each of the three data activities listed within that circle. To the left, the figure is labelled ISCA Data Activities in large text rotated 90 degrees.&#10;Moving from top to bottom, the top circle represents Providers and includes activities labelled 1.1, 1.2, 1.3. The middle circle represents MCPs and includes activities labelled 2.1, 2.2, 2.3. The bottom circle represents EQROs and includes activities labelled 3.1, 3.2, 3.3. &#10;In the top circle, Provider Data Activity 1.1: Enter data about services is not an interrelated activity. Activity 1.2: Process encounter data connects down to MCP activity 2.2: Validate provider data processing and submission (in 1.2 and 1.3). Activity 1.3: Submit requested data to MCP connects down to MCP Activities 2.1: Abstract data elements from data submitted by provider (in 1.3) and 2.2: Validate provider data processing and submission (in 1.2 and 1.3).&#10;In the middle circle, MCP Data Activity 2.1: Abstract data elements from data submitted by provider (in 1.3) connects up to Provider Activity 1.3: Submit requested data to MCP; and connects down to EQRO Activity 3.2: Validate MCP processing (in 2.1). Activity 2.2: Validate provider data processing and submission (in 1.2 and 1.3) connects up to Provider Activities 1.2: Process encounter data and 1.3: Submit requested data to MCP; and connects down to EQRO Activity 3.3: Validate MCPs’ validation of provider data processing (in 2.2). Activity 2.3: Submit data processed by the MCP to the EQRO connects down to EQRO Activity 3.1: Validate MCP data (in 2.3). &#10;In the bottom circle, EQRO Data Activity 3.1: Validate MCP data (in 2.3) connects up to MCP Activity 2.3: Submit data processed by the MCP to the EQRO. Activity 3.2: Validate MCP processing (in 2.1) connect up to MCP Activity 2.1: Abstract data elements from data submitted by provider (in 1.3). Activity 3.3: Validate MCPs’ validation of provider data processing (in 2.2) connects up to MCP Activity 2.2: Validate provider data processing and submission (in 1.2 and 1.3).&#10;The following details are listed to the right of the top Providers circle under the heading Provider Data Activities: &#10;1.1 Provider records their encounters in an electronic or paper format&#10;1.2 Provider uses the information system to process, clean, and compile data&#10;1.3 Provider submits encounter data to the MCP for payment, measure reporting, audit, etc.&#10;The following details are listed to the right of the middle MCPs circle under the heading MCP Data Activities:&#10;2.1 MCP receives provider data (claims, encounters, and data from certified EHR technologies), uses it for payment (claims), or other purposes (received in a transaction file), and enters it into a data repository&#10;2.2 MCP validates the provider’s data entry, processing, and submission via edit checks on claims, random medical record reviews, and/or other methods&#10;2.3 MCP processes the data in its data repository and submits data to the EQRO or the state&#10;The following details are listed to the right of the bottom EQROs circle under the heading EQRO Data Activities:&#10;3.1 EQRO validates the data in its repository or that the MCP or other organization (e.g., claims processing vendor, state repository) submitted to the EQRO&#10;3.2 EQRO validates the accuracy of provider data and accuracy with which it was processed by the MCP (Note: instructions for this validation are included in Protocols 2, 5, 7, and 9)&#10;3.3 EQRO validates that the MCP is ensuring providers are accurately processing and submitting data to the M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Picture 593" descr="This figure shows three large circles representing Providers, MCPs, and EQROs. Four large arrows show interrelationship between the circles. The first arrow stems from the Provider circle to the MCP circle, the second stems from the MCP circle to the Providers circle, the third stems from the MCP circle to the EQRO circle, and the fourth stems from the EQRO circle to the MCP circle. &#10;Each large circle contains three ISCA Data Activities. A line stems from an activity in one large circle, to an activity in one or more large circles, if those activities are interrelated. To the right of each large circle are details about each of the three data activities listed within that circle. To the left, the figure is labelled ISCA Data Activities in large text rotated 90 degrees.&#10;Moving from top to bottom, the top circle represents Providers and includes activities labelled 1.1, 1.2, 1.3. The middle circle represents MCPs and includes activities labelled 2.1, 2.2, 2.3. The bottom circle represents EQROs and includes activities labelled 3.1, 3.2, 3.3. &#10;In the top circle, Provider Data Activity 1.1: Enter data about services is not an interrelated activity. Activity 1.2: Process encounter data connects down to MCP activity 2.2: Validate provider data processing and submission (in 1.2 and 1.3). Activity 1.3: Submit requested data to MCP connects down to MCP Activities 2.1: Abstract data elements from data submitted by provider (in 1.3) and 2.2: Validate provider data processing and submission (in 1.2 and 1.3).&#10;In the middle circle, MCP Data Activity 2.1: Abstract data elements from data submitted by provider (in 1.3) connects up to Provider Activity 1.3: Submit requested data to MCP; and connects down to EQRO Activity 3.2: Validate MCP processing (in 2.1). Activity 2.2: Validate provider data processing and submission (in 1.2 and 1.3) connects up to Provider Activities 1.2: Process encounter data and 1.3: Submit requested data to MCP; and connects down to EQRO Activity 3.3: Validate MCPs’ validation of provider data processing (in 2.2). Activity 2.3: Submit data processed by the MCP to the EQRO connects down to EQRO Activity 3.1: Validate MCP data (in 2.3). &#10;In the bottom circle, EQRO Data Activity 3.1: Validate MCP data (in 2.3) connects up to MCP Activity 2.3: Submit data processed by the MCP to the EQRO. Activity 3.2: Validate MCP processing (in 2.1) connect up to MCP Activity 2.1: Abstract data elements from data submitted by provider (in 1.3). Activity 3.3: Validate MCPs’ validation of provider data processing (in 2.2) connects up to MCP Activity 2.2: Validate provider data processing and submission (in 1.2 and 1.3).&#10;The following details are listed to the right of the top Providers circle under the heading Provider Data Activities: &#10;1.1 Provider records their encounters in an electronic or paper format&#10;1.2 Provider uses the information system to process, clean, and compile data&#10;1.3 Provider submits encounter data to the MCP for payment, measure reporting, audit, etc.&#10;The following details are listed to the right of the middle MCPs circle under the heading MCP Data Activities:&#10;2.1 MCP receives provider data (claims, encounters, and data from certified EHR technologies), uses it for payment (claims), or other purposes (received in a transaction file), and enters it into a data repository&#10;2.2 MCP validates the provider’s data entry, processing, and submission via edit checks on claims, random medical record reviews, and/or other methods&#10;2.3 MCP processes the data in its data repository and submits data to the EQRO or the state&#10;The following details are listed to the right of the bottom EQROs circle under the heading EQRO Data Activities:&#10;3.1 EQRO validates the data in its repository or that the MCP or other organization (e.g., claims processing vendor, state repository) submitted to the EQRO&#10;3.2 EQRO validates the accuracy of provider data and accuracy with which it was processed by the MCP (Note: instructions for this validation are included in Protocols 2, 5, 7, and 9)&#10;3.3 EQRO validates that the MCP is ensuring providers are accurately processing and submitting data to the MCP."/>
                    <pic:cNvPicPr/>
                  </pic:nvPicPr>
                  <pic:blipFill>
                    <a:blip xmlns:r="http://schemas.openxmlformats.org/officeDocument/2006/relationships" r:embed="rId23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35132" cy="7819077"/>
                    </a:xfrm>
                    <a:prstGeom prst="rect">
                      <a:avLst/>
                    </a:prstGeom>
                  </pic:spPr>
                </pic:pic>
              </a:graphicData>
            </a:graphic>
          </wp:inline>
        </w:drawing>
      </w:r>
    </w:p>
    <w:p w:rsidR="004E08B2" w:rsidRPr="00990D3B" w:rsidP="004734A8" w14:paraId="33E81366" w14:textId="3DE5232B">
      <w:pPr>
        <w:pStyle w:val="H2"/>
      </w:pPr>
      <w:bookmarkStart w:id="1130" w:name="_Toc482976518"/>
      <w:bookmarkStart w:id="1131" w:name="_Toc14777768"/>
      <w:bookmarkStart w:id="1132" w:name="_Toc183005669"/>
      <w:bookmarkStart w:id="1133" w:name="_Toc201751464"/>
      <w:r w:rsidRPr="00990D3B">
        <w:t>Getting S</w:t>
      </w:r>
      <w:r w:rsidRPr="00990D3B" w:rsidR="009471A7">
        <w:t>tarted on the ISCA</w:t>
      </w:r>
      <w:bookmarkEnd w:id="1130"/>
      <w:bookmarkEnd w:id="1131"/>
      <w:bookmarkEnd w:id="1132"/>
      <w:bookmarkEnd w:id="1133"/>
      <w:r w:rsidRPr="00990D3B" w:rsidR="00D857A9">
        <w:t xml:space="preserve"> </w:t>
      </w:r>
    </w:p>
    <w:p w:rsidR="004E08B2" w:rsidRPr="00990D3B" w:rsidP="004E5005" w14:paraId="693D0EFD" w14:textId="3EEB5F86">
      <w:pPr>
        <w:pStyle w:val="ParagraphContinued"/>
      </w:pPr>
      <w:r w:rsidRPr="00990D3B">
        <w:t xml:space="preserve">Assessing an MCP’s information systems encompasses </w:t>
      </w:r>
      <w:r w:rsidRPr="00990D3B" w:rsidR="00EA4546">
        <w:t>five</w:t>
      </w:r>
      <w:r w:rsidRPr="00990D3B" w:rsidR="00FF37A9">
        <w:t xml:space="preserve"> </w:t>
      </w:r>
      <w:r w:rsidRPr="00990D3B">
        <w:t>consecutive activities</w:t>
      </w:r>
      <w:r w:rsidRPr="00990D3B" w:rsidR="009471A7">
        <w:t xml:space="preserve"> (</w:t>
      </w:r>
      <w:hyperlink w:anchor="FigureA2" w:tooltip="Figure B.2" w:history="1">
        <w:r w:rsidRPr="00990D3B" w:rsidR="000B22E1">
          <w:rPr>
            <w:rStyle w:val="Hyperlink"/>
          </w:rPr>
          <w:t>Figure B.2</w:t>
        </w:r>
      </w:hyperlink>
      <w:r w:rsidRPr="00990D3B" w:rsidR="009471A7">
        <w:t>).</w:t>
      </w:r>
      <w:r w:rsidRPr="00990D3B" w:rsidR="004734A8">
        <w:t xml:space="preserve"> I</w:t>
      </w:r>
      <w:r w:rsidRPr="00990D3B" w:rsidR="00381A7B">
        <w:t>f</w:t>
      </w:r>
      <w:r w:rsidRPr="00990D3B" w:rsidR="004734A8">
        <w:t xml:space="preserve"> onsite activities are not feasible, </w:t>
      </w:r>
      <w:r w:rsidRPr="00990D3B" w:rsidR="00E03082">
        <w:t xml:space="preserve">site visits </w:t>
      </w:r>
      <w:r w:rsidRPr="00990D3B" w:rsidR="004734A8">
        <w:t xml:space="preserve">may be conducted </w:t>
      </w:r>
      <w:r w:rsidRPr="00990D3B" w:rsidR="00E03082">
        <w:t>virtually</w:t>
      </w:r>
      <w:r w:rsidRPr="00990D3B" w:rsidR="004734A8">
        <w:t>.</w:t>
      </w:r>
    </w:p>
    <w:p w:rsidR="009D612F" w:rsidRPr="00990D3B" w:rsidP="00ED0043" w14:paraId="3CC056F2" w14:textId="7AB342A8">
      <w:pPr>
        <w:pStyle w:val="MarkforFigureHeading"/>
      </w:pPr>
      <w:bookmarkStart w:id="1134" w:name="FigureA2"/>
      <w:bookmarkStart w:id="1135" w:name="FigureB2"/>
      <w:bookmarkEnd w:id="1134"/>
      <w:bookmarkEnd w:id="1135"/>
      <w:r w:rsidRPr="00990D3B">
        <w:t xml:space="preserve">Figure </w:t>
      </w:r>
      <w:r w:rsidRPr="00990D3B" w:rsidR="000B22E1">
        <w:t>B</w:t>
      </w:r>
      <w:r w:rsidRPr="00990D3B">
        <w:t xml:space="preserve">.2. Overview of ISCA </w:t>
      </w:r>
      <w:r w:rsidRPr="00990D3B" w:rsidR="00152FCC">
        <w:t>A</w:t>
      </w:r>
      <w:r w:rsidRPr="00990D3B">
        <w:t>ctivities</w:t>
      </w:r>
    </w:p>
    <w:p w:rsidR="00EA669B" w:rsidRPr="00990D3B" w:rsidP="00AD55A0" w14:paraId="57B69EE4" w14:textId="6C69A07F">
      <w:pPr>
        <w:pStyle w:val="EQRFigure"/>
      </w:pPr>
      <w:r w:rsidRPr="00990D3B">
        <w:drawing>
          <wp:inline distT="0" distB="0" distL="0" distR="0">
            <wp:extent cx="5944235" cy="4151630"/>
            <wp:effectExtent l="0" t="0" r="0" b="1270"/>
            <wp:docPr id="10" name="Picture 10" descr="There are five activities that guide the ISCA. The first activity is MCP completes the ISCA tool. The second activity is perform preliminary ISCA review (pre-onsite analysis). The third activity is conduct MCP onsite visit. The fourth activity is compile and analyze ISCA findings. The fifth activity is draft ISCA summary for EQR technical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ere are five activities that guide the ISCA. The first activity is MCP completes the ISCA tool. The second activity is perform preliminary ISCA review (pre-onsite analysis). The third activity is conduct MCP onsite visit. The fourth activity is compile and analyze ISCA findings. The fifth activity is draft ISCA summary for EQR technical report."/>
                    <pic:cNvPicPr>
                      <a:picLocks noChangeAspect="1" noChangeArrowheads="1"/>
                    </pic:cNvPicPr>
                  </pic:nvPicPr>
                  <pic:blipFill>
                    <a:blip xmlns:r="http://schemas.openxmlformats.org/officeDocument/2006/relationships" r:embed="rId23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4235" cy="4151630"/>
                    </a:xfrm>
                    <a:prstGeom prst="rect">
                      <a:avLst/>
                    </a:prstGeom>
                    <a:noFill/>
                  </pic:spPr>
                </pic:pic>
              </a:graphicData>
            </a:graphic>
          </wp:inline>
        </w:drawing>
      </w:r>
    </w:p>
    <w:p w:rsidR="0019795B" w:rsidRPr="00990D3B" w:rsidP="004E5005" w14:paraId="4D03410B" w14:textId="43FBC8BD">
      <w:pPr>
        <w:pStyle w:val="ParagraphContinued"/>
      </w:pPr>
      <w:r w:rsidRPr="00990D3B">
        <w:t>One supplemental resource is available to help EQROs conduct validation of the ISCA:</w:t>
      </w:r>
    </w:p>
    <w:p w:rsidR="00FF37A9" w:rsidRPr="00990D3B" w:rsidP="00FB7CAF" w14:paraId="6F5FACD4" w14:textId="541FAF29">
      <w:pPr>
        <w:pStyle w:val="EQRBulletBLUE"/>
      </w:pPr>
      <w:hyperlink w:anchor="WSA" w:tooltip="Worksheets for Appendix A. Information System Capabilities Assessment (ISCA) Tools" w:history="1">
        <w:r w:rsidRPr="00990D3B">
          <w:rPr>
            <w:rStyle w:val="Hyperlink"/>
          </w:rPr>
          <w:t xml:space="preserve">Worksheets for </w:t>
        </w:r>
        <w:r w:rsidRPr="00990D3B" w:rsidR="00CF5AB3">
          <w:rPr>
            <w:rStyle w:val="Hyperlink"/>
          </w:rPr>
          <w:t>Appendix B</w:t>
        </w:r>
        <w:r w:rsidRPr="00990D3B">
          <w:rPr>
            <w:rStyle w:val="Hyperlink"/>
          </w:rPr>
          <w:t>. Information System Capabilities Assessment (ISCA) Tools</w:t>
        </w:r>
      </w:hyperlink>
      <w:r w:rsidRPr="00990D3B">
        <w:t xml:space="preserve">, which can be used to enable the MCP to collect standard information about its information system, and to guide onsite </w:t>
      </w:r>
      <w:r w:rsidRPr="00990D3B" w:rsidR="003B445D">
        <w:t xml:space="preserve">or virtual </w:t>
      </w:r>
      <w:r w:rsidRPr="00990D3B">
        <w:t>information systems interviews of MCP staff</w:t>
      </w:r>
      <w:bookmarkStart w:id="1136" w:name="_Toc278140675"/>
      <w:bookmarkStart w:id="1137" w:name="_Toc482976519"/>
    </w:p>
    <w:p w:rsidR="00303727" w:rsidRPr="00990D3B" w:rsidP="00303727" w14:paraId="13800B5D" w14:textId="3A1F4EAB">
      <w:pPr>
        <w:pStyle w:val="EQRFigure"/>
      </w:pPr>
      <w:r w:rsidRPr="00990D3B">
        <w:drawing>
          <wp:inline distT="0" distB="0" distL="0" distR="0">
            <wp:extent cx="5236475" cy="1191770"/>
            <wp:effectExtent l="0" t="0" r="2540" b="8890"/>
            <wp:docPr id="268" name="Picture 268" descr="TIP: Navigate to the corresponding worksheet by clicking the WORKSHEET box under each section. An image of a sample WORKSHEET box is included in the TIP text. Worksheet boxes are single lines of hyperlinked text with a box border that read &quot;Worksheet X.X&quot; with the first number representing the protocol number, and second number representing the worksheet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descr="TIP: Navigate to the corresponding worksheet by clicking the WORKSHEET box under each section. An image of a sample WORKSHEET box is included in the TIP text. Worksheet boxes are single lines of hyperlinked text with a box border that read &quot;Worksheet X.X&quot; with the first number representing the protocol number, and second number representing the worksheet number."/>
                    <pic:cNvPicPr/>
                  </pic:nvPicPr>
                  <pic:blipFill>
                    <a:blip xmlns:r="http://schemas.openxmlformats.org/officeDocument/2006/relationships" r:embed="rId10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36475" cy="1191770"/>
                    </a:xfrm>
                    <a:prstGeom prst="rect">
                      <a:avLst/>
                    </a:prstGeom>
                  </pic:spPr>
                </pic:pic>
              </a:graphicData>
            </a:graphic>
          </wp:inline>
        </w:drawing>
      </w:r>
    </w:p>
    <w:p w:rsidR="00971854" w:rsidRPr="00990D3B" w:rsidP="0025560E" w14:paraId="0B878846" w14:textId="76C826BF">
      <w:pPr>
        <w:pStyle w:val="H2"/>
      </w:pPr>
      <w:bookmarkStart w:id="1138" w:name="AppAact1"/>
      <w:bookmarkStart w:id="1139" w:name="AppBact1"/>
      <w:bookmarkStart w:id="1140" w:name="_Toc14777769"/>
      <w:bookmarkStart w:id="1141" w:name="_Toc183005670"/>
      <w:bookmarkStart w:id="1142" w:name="_Toc201751465"/>
      <w:bookmarkEnd w:id="1138"/>
      <w:bookmarkEnd w:id="1139"/>
      <w:r w:rsidRPr="00990D3B">
        <w:t>A</w:t>
      </w:r>
      <w:r w:rsidRPr="00990D3B" w:rsidR="004B42A6">
        <w:t>ctivity</w:t>
      </w:r>
      <w:r w:rsidRPr="00990D3B">
        <w:t xml:space="preserve"> 1</w:t>
      </w:r>
      <w:r w:rsidRPr="00990D3B" w:rsidR="004D124F">
        <w:t xml:space="preserve">: </w:t>
      </w:r>
      <w:bookmarkEnd w:id="1136"/>
      <w:bookmarkEnd w:id="1137"/>
      <w:r w:rsidRPr="00990D3B" w:rsidR="00E42BC5">
        <w:t>MCP C</w:t>
      </w:r>
      <w:r w:rsidRPr="00990D3B" w:rsidR="00EA4546">
        <w:t xml:space="preserve">ompletes the </w:t>
      </w:r>
      <w:r w:rsidRPr="00990D3B" w:rsidR="00E42BC5">
        <w:t>ISCA T</w:t>
      </w:r>
      <w:r w:rsidRPr="00990D3B" w:rsidR="00EA4546">
        <w:t>ool</w:t>
      </w:r>
      <w:bookmarkEnd w:id="1140"/>
      <w:bookmarkEnd w:id="1141"/>
      <w:bookmarkEnd w:id="1142"/>
    </w:p>
    <w:p w:rsidR="004E08B2" w:rsidRPr="00990D3B" w:rsidP="004E5005" w14:paraId="229610E4" w14:textId="5BC9D7A8">
      <w:pPr>
        <w:pStyle w:val="ParagraphContinued"/>
      </w:pPr>
      <w:r w:rsidRPr="00990D3B">
        <w:rPr>
          <w:noProof/>
        </w:rPr>
        <mc:AlternateContent>
          <mc:Choice Requires="wps">
            <w:drawing>
              <wp:anchor distT="0" distB="0" distL="114300" distR="114300" simplePos="0" relativeHeight="251920384" behindDoc="0" locked="0" layoutInCell="1" allowOverlap="1">
                <wp:simplePos x="0" y="0"/>
                <wp:positionH relativeFrom="column">
                  <wp:posOffset>3726180</wp:posOffset>
                </wp:positionH>
                <wp:positionV relativeFrom="paragraph">
                  <wp:posOffset>136525</wp:posOffset>
                </wp:positionV>
                <wp:extent cx="2193925" cy="297815"/>
                <wp:effectExtent l="19050" t="19050" r="0" b="7620"/>
                <wp:wrapTight wrapText="bothSides">
                  <wp:wrapPolygon>
                    <wp:start x="21788" y="22985"/>
                    <wp:lineTo x="21788" y="-554"/>
                    <wp:lineTo x="31" y="-554"/>
                    <wp:lineTo x="31" y="22985"/>
                    <wp:lineTo x="21788" y="22985"/>
                  </wp:wrapPolygon>
                </wp:wrapTight>
                <wp:docPr id="743443761" name="Text Box 5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DE7F92" w:rsidP="00443F06" w14:textId="56865FFD">
                            <w:pPr>
                              <w:pStyle w:val="EQRWORKSHEETText"/>
                            </w:pPr>
                            <w:hyperlink w:anchor="WSB1" w:tooltip="WORKSHEET B.1" w:history="1">
                              <w:r w:rsidRPr="003F7DC5">
                                <w:rPr>
                                  <w:rStyle w:val="Hyperlink"/>
                                </w:rPr>
                                <w:t xml:space="preserve">WORKSHEET </w:t>
                              </w:r>
                              <w:r w:rsidRPr="003F7DC5" w:rsidR="00A15459">
                                <w:rPr>
                                  <w:rStyle w:val="Hyperlink"/>
                                </w:rPr>
                                <w:t>B</w:t>
                              </w:r>
                              <w:r w:rsidRPr="003F7DC5">
                                <w:rPr>
                                  <w:rStyle w:val="Hyperlink"/>
                                </w:rPr>
                                <w:t>.1</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5" o:spid="_x0000_s1235" type="#_x0000_t202" style="width:172.75pt;height:23.45pt;margin-top:10.75pt;margin-left:293.4pt;flip:y;mso-height-percent:0;mso-height-relative:page;mso-width-percent:0;mso-width-relative:page;mso-wrap-distance-bottom:0;mso-wrap-distance-left:9pt;mso-wrap-distance-right:9pt;mso-wrap-distance-top:0;mso-wrap-style:square;position:absolute;rotation:180;visibility:visible;v-text-anchor:top;z-index:251921408" fillcolor="#eef5f8" strokecolor="#a5dad9" strokeweight="2.25pt">
                <v:stroke endcap="round"/>
                <v:textbox style="mso-fit-shape-to-text:t" inset="8.64pt,,8.64pt">
                  <w:txbxContent>
                    <w:p w:rsidR="00ED33C3" w:rsidRPr="00DE7F92" w:rsidP="00443F06" w14:paraId="4FAEB59D" w14:textId="56865FFD">
                      <w:pPr>
                        <w:pStyle w:val="EQRWORKSHEETText"/>
                      </w:pPr>
                      <w:hyperlink w:anchor="WSB1" w:tooltip="WORKSHEET B.1" w:history="1">
                        <w:r w:rsidRPr="003F7DC5">
                          <w:rPr>
                            <w:rStyle w:val="Hyperlink"/>
                          </w:rPr>
                          <w:t xml:space="preserve">WORKSHEET </w:t>
                        </w:r>
                        <w:r w:rsidRPr="003F7DC5" w:rsidR="00A15459">
                          <w:rPr>
                            <w:rStyle w:val="Hyperlink"/>
                          </w:rPr>
                          <w:t>B</w:t>
                        </w:r>
                        <w:r w:rsidRPr="003F7DC5">
                          <w:rPr>
                            <w:rStyle w:val="Hyperlink"/>
                          </w:rPr>
                          <w:t>.1</w:t>
                        </w:r>
                      </w:hyperlink>
                    </w:p>
                  </w:txbxContent>
                </v:textbox>
                <w10:wrap type="tight"/>
              </v:shape>
            </w:pict>
          </mc:Fallback>
        </mc:AlternateContent>
      </w:r>
      <w:r w:rsidRPr="00990D3B">
        <w:rPr>
          <w:noProof/>
        </w:rPr>
        <mc:AlternateContent>
          <mc:Choice Requires="wps">
            <w:drawing>
              <wp:anchor distT="0" distB="0" distL="114300" distR="114300" simplePos="0" relativeHeight="251918336" behindDoc="0" locked="0" layoutInCell="1" allowOverlap="1">
                <wp:simplePos x="0" y="0"/>
                <wp:positionH relativeFrom="column">
                  <wp:posOffset>3726622</wp:posOffset>
                </wp:positionH>
                <wp:positionV relativeFrom="paragraph">
                  <wp:posOffset>497205</wp:posOffset>
                </wp:positionV>
                <wp:extent cx="2195195" cy="2215515"/>
                <wp:effectExtent l="19050" t="19050" r="0" b="0"/>
                <wp:wrapTight wrapText="bothSides">
                  <wp:wrapPolygon>
                    <wp:start x="21787" y="21786"/>
                    <wp:lineTo x="21787" y="50"/>
                    <wp:lineTo x="44" y="50"/>
                    <wp:lineTo x="44" y="21786"/>
                    <wp:lineTo x="21787" y="21786"/>
                  </wp:wrapPolygon>
                </wp:wrapTight>
                <wp:docPr id="90608149" name="Text Box 5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5195" cy="2215515"/>
                        </a:xfrm>
                        <a:prstGeom prst="rect">
                          <a:avLst/>
                        </a:prstGeom>
                        <a:solidFill>
                          <a:srgbClr val="EEF5F8"/>
                        </a:solidFill>
                        <a:ln w="28575" cap="rnd">
                          <a:solidFill>
                            <a:srgbClr val="A5DAD9"/>
                          </a:solidFill>
                          <a:prstDash val="solid"/>
                          <a:miter lim="800000"/>
                          <a:headEnd/>
                          <a:tailEnd/>
                        </a:ln>
                      </wps:spPr>
                      <wps:txbx>
                        <w:txbxContent>
                          <w:p w:rsidR="00ED33C3" w:rsidRPr="00D41CCB" w:rsidP="00443F06" w14:textId="6734F177">
                            <w:pPr>
                              <w:pStyle w:val="EQRTextboxheading"/>
                            </w:pPr>
                            <w:r w:rsidRPr="00D41CCB">
                              <w:t>Resource for Activit</w:t>
                            </w:r>
                            <w:r>
                              <w:t>ies 1 &amp; 2</w:t>
                            </w:r>
                          </w:p>
                          <w:p w:rsidR="00ED33C3" w:rsidRPr="00443F06" w:rsidP="00443F06" w14:textId="5AE8EC8A">
                            <w:pPr>
                              <w:pStyle w:val="EQRTextboxbody"/>
                            </w:pPr>
                            <w:hyperlink w:anchor="WSB1" w:tooltip="Worksheet B.1. Information System Capabilities Assessment (ISCA) Tool" w:history="1">
                              <w:r w:rsidRPr="007D5C3F">
                                <w:rPr>
                                  <w:rStyle w:val="Hyperlink"/>
                                </w:rPr>
                                <w:t xml:space="preserve">Worksheet </w:t>
                              </w:r>
                              <w:r w:rsidR="00A15459">
                                <w:rPr>
                                  <w:rStyle w:val="Hyperlink"/>
                                </w:rPr>
                                <w:t>B</w:t>
                              </w:r>
                              <w:r w:rsidRPr="007D5C3F">
                                <w:rPr>
                                  <w:rStyle w:val="Hyperlink"/>
                                </w:rPr>
                                <w:t>.1. Information System Capabilities Assessment (ISCA) Tool</w:t>
                              </w:r>
                            </w:hyperlink>
                          </w:p>
                          <w:p w:rsidR="00ED33C3" w:rsidRPr="004B37FD" w:rsidP="00443F06" w14:textId="1027ADB2">
                            <w:pPr>
                              <w:pStyle w:val="EQRTextboxbullet"/>
                            </w:pPr>
                            <w:r w:rsidRPr="00443F06">
                              <w:t>An information collection tool provided to an MCP by the state or its EQRO to obtain the information needed to validate the capabilities of the MCP’s information systems, processes, and data, to support annual EQR-related activities and associated EQR analysis and recommendations</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6" o:spid="_x0000_s1236" type="#_x0000_t202" style="width:172.85pt;height:174.45pt;margin-top:39.15pt;margin-left:293.45pt;flip:y;mso-height-percent:0;mso-height-relative:page;mso-width-percent:0;mso-width-relative:page;mso-wrap-distance-bottom:0;mso-wrap-distance-left:9pt;mso-wrap-distance-right:9pt;mso-wrap-distance-top:0;mso-wrap-style:square;position:absolute;rotation:180;visibility:visible;v-text-anchor:top;z-index:251919360" fillcolor="#eef5f8" strokecolor="#a5dad9" strokeweight="2.25pt">
                <v:stroke endcap="round"/>
                <v:textbox style="mso-fit-shape-to-text:t" inset="8.64pt,,8.64pt">
                  <w:txbxContent>
                    <w:p w:rsidR="00ED33C3" w:rsidRPr="00D41CCB" w:rsidP="00443F06" w14:paraId="7D3D1B4F" w14:textId="6734F177">
                      <w:pPr>
                        <w:pStyle w:val="EQRTextboxheading"/>
                      </w:pPr>
                      <w:r w:rsidRPr="00D41CCB">
                        <w:t>Resource for Activit</w:t>
                      </w:r>
                      <w:r>
                        <w:t>ies 1 &amp; 2</w:t>
                      </w:r>
                    </w:p>
                    <w:p w:rsidR="00ED33C3" w:rsidRPr="00443F06" w:rsidP="00443F06" w14:paraId="58A36A09" w14:textId="5AE8EC8A">
                      <w:pPr>
                        <w:pStyle w:val="EQRTextboxbody"/>
                      </w:pPr>
                      <w:hyperlink w:anchor="WSB1" w:tooltip="Worksheet B.1. Information System Capabilities Assessment (ISCA) Tool" w:history="1">
                        <w:r w:rsidRPr="007D5C3F">
                          <w:rPr>
                            <w:rStyle w:val="Hyperlink"/>
                          </w:rPr>
                          <w:t xml:space="preserve">Worksheet </w:t>
                        </w:r>
                        <w:r w:rsidR="00A15459">
                          <w:rPr>
                            <w:rStyle w:val="Hyperlink"/>
                          </w:rPr>
                          <w:t>B</w:t>
                        </w:r>
                        <w:r w:rsidRPr="007D5C3F">
                          <w:rPr>
                            <w:rStyle w:val="Hyperlink"/>
                          </w:rPr>
                          <w:t>.1. Information System Capabilities Assessment (ISCA) Tool</w:t>
                        </w:r>
                      </w:hyperlink>
                    </w:p>
                    <w:p w:rsidR="00ED33C3" w:rsidRPr="004B37FD" w:rsidP="00443F06" w14:paraId="22DC272C" w14:textId="1027ADB2">
                      <w:pPr>
                        <w:pStyle w:val="EQRTextboxbullet"/>
                      </w:pPr>
                      <w:r w:rsidRPr="00443F06">
                        <w:t>An information collection tool provided to an MCP by the state or its EQRO to obtain the information needed to validate the capabilities of the MCP’s information systems, processes, and data, to support annual EQR-related activities and associated EQR analysis and recommendations</w:t>
                      </w:r>
                    </w:p>
                  </w:txbxContent>
                </v:textbox>
                <w10:wrap type="tight"/>
              </v:shape>
            </w:pict>
          </mc:Fallback>
        </mc:AlternateContent>
      </w:r>
      <w:r w:rsidRPr="00990D3B" w:rsidR="004E08B2">
        <w:t xml:space="preserve">The MCP should complete the ISCA tool </w:t>
      </w:r>
      <w:r w:rsidRPr="00990D3B" w:rsidR="00FF37A9">
        <w:t>(</w:t>
      </w:r>
      <w:hyperlink w:anchor="WSB1" w:tooltip="Worksheet B.1" w:history="1">
        <w:r w:rsidRPr="00990D3B" w:rsidR="004E08B2">
          <w:rPr>
            <w:rStyle w:val="Hyperlink"/>
          </w:rPr>
          <w:t xml:space="preserve">Worksheet </w:t>
        </w:r>
        <w:r w:rsidRPr="00990D3B" w:rsidR="00A15459">
          <w:rPr>
            <w:rStyle w:val="Hyperlink"/>
          </w:rPr>
          <w:t>B</w:t>
        </w:r>
        <w:r w:rsidRPr="00990D3B" w:rsidR="004E08B2">
          <w:rPr>
            <w:rStyle w:val="Hyperlink"/>
          </w:rPr>
          <w:t>.1</w:t>
        </w:r>
      </w:hyperlink>
      <w:r w:rsidRPr="00990D3B" w:rsidR="00FF37A9">
        <w:t xml:space="preserve">) to provide standard information about </w:t>
      </w:r>
      <w:r w:rsidRPr="00990D3B" w:rsidR="00FF37A9">
        <w:t>its</w:t>
      </w:r>
      <w:r w:rsidRPr="00990D3B" w:rsidR="00FF37A9">
        <w:t xml:space="preserve"> IS</w:t>
      </w:r>
      <w:r w:rsidRPr="00990D3B" w:rsidR="004E08B2">
        <w:t xml:space="preserve"> and gather all requested documentation identified on a checklist at the end of the assessment tool. The MCP should return the completed ISCA tool and documentation to the EQRO within a </w:t>
      </w:r>
      <w:r w:rsidRPr="00990D3B" w:rsidR="00303727">
        <w:t>time</w:t>
      </w:r>
      <w:r w:rsidRPr="00990D3B" w:rsidR="00566F1D">
        <w:t xml:space="preserve"> </w:t>
      </w:r>
      <w:r w:rsidRPr="00990D3B" w:rsidR="00303727">
        <w:t>frame defined by the state.</w:t>
      </w:r>
    </w:p>
    <w:p w:rsidR="004E08B2" w:rsidRPr="00990D3B" w:rsidP="003F7DC5" w14:paraId="7212AEAD" w14:textId="5ED97967">
      <w:pPr>
        <w:pStyle w:val="Paragraph0"/>
      </w:pPr>
      <w:r w:rsidRPr="00990D3B">
        <w:t xml:space="preserve">Some states assess the capabilities of the MCP’s information system as part of pre-contracting, contract compliance, or contract renewal activities. The MCP must make any previously conducted assessments accessible to </w:t>
      </w:r>
      <w:r w:rsidRPr="00990D3B" w:rsidR="00FF37A9">
        <w:t xml:space="preserve">the </w:t>
      </w:r>
      <w:r w:rsidRPr="00990D3B">
        <w:t>EQR</w:t>
      </w:r>
      <w:r w:rsidRPr="00990D3B" w:rsidR="00FF37A9">
        <w:t>O</w:t>
      </w:r>
      <w:r w:rsidRPr="00990D3B">
        <w:t>. The EQRO should review any such assessments as part of its ISCA review process.</w:t>
      </w:r>
      <w:r w:rsidRPr="00990D3B" w:rsidR="00607425">
        <w:rPr>
          <w:noProof/>
        </w:rPr>
        <w:t xml:space="preserve"> </w:t>
      </w:r>
    </w:p>
    <w:p w:rsidR="004E08B2" w:rsidRPr="00990D3B" w:rsidP="0025560E" w14:paraId="51C4175C" w14:textId="09FD53B1">
      <w:pPr>
        <w:pStyle w:val="H2"/>
      </w:pPr>
      <w:bookmarkStart w:id="1143" w:name="AppAact2"/>
      <w:bookmarkStart w:id="1144" w:name="AppBact2"/>
      <w:bookmarkStart w:id="1145" w:name="_Toc278140676"/>
      <w:bookmarkStart w:id="1146" w:name="_Toc482976520"/>
      <w:bookmarkStart w:id="1147" w:name="_Toc183005671"/>
      <w:bookmarkStart w:id="1148" w:name="_Toc201751466"/>
      <w:bookmarkStart w:id="1149" w:name="_Toc14777770"/>
      <w:bookmarkEnd w:id="1143"/>
      <w:bookmarkEnd w:id="1144"/>
      <w:r w:rsidRPr="00990D3B">
        <w:t>Activity</w:t>
      </w:r>
      <w:r w:rsidRPr="00990D3B">
        <w:t xml:space="preserve"> 2</w:t>
      </w:r>
      <w:r w:rsidRPr="00990D3B" w:rsidR="004D124F">
        <w:t xml:space="preserve">: </w:t>
      </w:r>
      <w:r w:rsidRPr="00990D3B" w:rsidR="003A3D7A">
        <w:t>P</w:t>
      </w:r>
      <w:r w:rsidRPr="00990D3B" w:rsidR="00FF37A9">
        <w:t xml:space="preserve">erform </w:t>
      </w:r>
      <w:r w:rsidRPr="00990D3B" w:rsidR="003A3D7A">
        <w:t>P</w:t>
      </w:r>
      <w:r w:rsidRPr="00990D3B" w:rsidR="00FF37A9">
        <w:t xml:space="preserve">reliminary </w:t>
      </w:r>
      <w:r w:rsidRPr="00990D3B">
        <w:t xml:space="preserve">ISCA </w:t>
      </w:r>
      <w:r w:rsidRPr="00990D3B" w:rsidR="003A3D7A">
        <w:t>R</w:t>
      </w:r>
      <w:r w:rsidRPr="00990D3B" w:rsidR="00FF37A9">
        <w:t>eview</w:t>
      </w:r>
      <w:bookmarkEnd w:id="1145"/>
      <w:bookmarkEnd w:id="1146"/>
      <w:bookmarkEnd w:id="1147"/>
      <w:bookmarkEnd w:id="1148"/>
      <w:r w:rsidRPr="00990D3B" w:rsidR="00A152D3">
        <w:t xml:space="preserve"> </w:t>
      </w:r>
      <w:bookmarkEnd w:id="1149"/>
    </w:p>
    <w:p w:rsidR="007D5C3F" w:rsidRPr="00990D3B" w:rsidP="004E5005" w14:paraId="6AC10FA4" w14:textId="325A8F71">
      <w:pPr>
        <w:pStyle w:val="ParagraphContinued"/>
      </w:pPr>
      <w:r w:rsidRPr="00990D3B">
        <w:t xml:space="preserve">The EQRO assesses the adequacy of MCP policies and procedures based on the information submitted by the MCP on </w:t>
      </w:r>
      <w:r w:rsidRPr="00990D3B" w:rsidR="00FF37A9">
        <w:t>the ISCA tool (</w:t>
      </w:r>
      <w:hyperlink w:anchor="WSB1" w:tooltip="Worksheet B.1" w:history="1">
        <w:r w:rsidRPr="00990D3B">
          <w:rPr>
            <w:rStyle w:val="Hyperlink"/>
          </w:rPr>
          <w:t xml:space="preserve">Worksheet </w:t>
        </w:r>
        <w:r w:rsidRPr="00990D3B" w:rsidR="00A15459">
          <w:rPr>
            <w:rStyle w:val="Hyperlink"/>
          </w:rPr>
          <w:t>B</w:t>
        </w:r>
        <w:r w:rsidRPr="00990D3B">
          <w:rPr>
            <w:rStyle w:val="Hyperlink"/>
          </w:rPr>
          <w:t>.1</w:t>
        </w:r>
      </w:hyperlink>
      <w:r w:rsidRPr="00990D3B" w:rsidR="00FF37A9">
        <w:t>) and its accompanying documentation</w:t>
      </w:r>
      <w:r w:rsidRPr="00990D3B">
        <w:t xml:space="preserve">. MCP answers should be evaluated against the </w:t>
      </w:r>
      <w:r w:rsidRPr="00990D3B" w:rsidR="00CE1C2F">
        <w:t>IS</w:t>
      </w:r>
      <w:r w:rsidRPr="00990D3B">
        <w:t xml:space="preserve"> standards established by the state to calculate and report specific plan-level performance </w:t>
      </w:r>
      <w:r w:rsidRPr="00990D3B">
        <w:t>measures, and</w:t>
      </w:r>
      <w:r w:rsidRPr="00990D3B">
        <w:t xml:space="preserve"> collect and submit encounter data to the state. The EQRO should identify sections of the ISCA that the MCP has not fully completed. The EQRO may use the </w:t>
      </w:r>
      <w:r w:rsidRPr="00990D3B">
        <w:rPr>
          <w:szCs w:val="22"/>
        </w:rPr>
        <w:t>M</w:t>
      </w:r>
      <w:r w:rsidRPr="00990D3B">
        <w:t>anaged Care Plan (MCP) Information System Review Worksheet &amp; Interview Guide (</w:t>
      </w:r>
      <w:hyperlink w:anchor="WSB2" w:tooltip="Worksheet B.2" w:history="1">
        <w:r w:rsidRPr="00990D3B">
          <w:rPr>
            <w:rStyle w:val="Hyperlink"/>
          </w:rPr>
          <w:t xml:space="preserve">Worksheet </w:t>
        </w:r>
        <w:r w:rsidRPr="00990D3B" w:rsidR="00A15459">
          <w:rPr>
            <w:rStyle w:val="Hyperlink"/>
          </w:rPr>
          <w:t>B</w:t>
        </w:r>
        <w:r w:rsidRPr="00990D3B">
          <w:rPr>
            <w:rStyle w:val="Hyperlink"/>
          </w:rPr>
          <w:t>.2</w:t>
        </w:r>
      </w:hyperlink>
      <w:r w:rsidRPr="00990D3B">
        <w:t xml:space="preserve">) to organize information for the site visit interviews with MCP staff (Activity 3). </w:t>
      </w:r>
    </w:p>
    <w:p w:rsidR="007D5C3F" w:rsidRPr="00990D3B" w14:paraId="6B08DA7F" w14:textId="77777777">
      <w:pPr>
        <w:spacing w:line="240" w:lineRule="auto"/>
      </w:pPr>
      <w:r w:rsidRPr="00990D3B">
        <w:br w:type="page"/>
      </w:r>
    </w:p>
    <w:p w:rsidR="00971854" w:rsidRPr="00990D3B" w:rsidP="0025560E" w14:paraId="5FF30C66" w14:textId="2B47F1C2">
      <w:pPr>
        <w:pStyle w:val="H2"/>
      </w:pPr>
      <w:bookmarkStart w:id="1150" w:name="AppAact3"/>
      <w:bookmarkStart w:id="1151" w:name="AppBact3"/>
      <w:bookmarkStart w:id="1152" w:name="_Toc14777771"/>
      <w:bookmarkStart w:id="1153" w:name="_Toc183005672"/>
      <w:bookmarkStart w:id="1154" w:name="_Toc201751467"/>
      <w:bookmarkStart w:id="1155" w:name="_Toc278140677"/>
      <w:bookmarkStart w:id="1156" w:name="_Toc482976521"/>
      <w:bookmarkEnd w:id="1150"/>
      <w:bookmarkEnd w:id="1151"/>
      <w:r w:rsidRPr="00990D3B">
        <w:t>Activity</w:t>
      </w:r>
      <w:r w:rsidRPr="00990D3B" w:rsidR="004E08B2">
        <w:t xml:space="preserve"> 3</w:t>
      </w:r>
      <w:r w:rsidRPr="00990D3B" w:rsidR="004D124F">
        <w:t xml:space="preserve">: </w:t>
      </w:r>
      <w:r w:rsidRPr="00990D3B" w:rsidR="003A3D7A">
        <w:t>C</w:t>
      </w:r>
      <w:r w:rsidRPr="00990D3B" w:rsidR="00FF37A9">
        <w:t xml:space="preserve">onduct </w:t>
      </w:r>
      <w:r w:rsidRPr="00990D3B" w:rsidR="003A3D7A">
        <w:t>MCP</w:t>
      </w:r>
      <w:r w:rsidRPr="00990D3B" w:rsidR="00FF37A9">
        <w:t xml:space="preserve"> </w:t>
      </w:r>
      <w:r w:rsidRPr="00990D3B" w:rsidR="00152FCC">
        <w:t xml:space="preserve">Site </w:t>
      </w:r>
      <w:r w:rsidRPr="00990D3B" w:rsidR="003A3D7A">
        <w:t>V</w:t>
      </w:r>
      <w:r w:rsidRPr="00990D3B" w:rsidR="00FF37A9">
        <w:t>isit</w:t>
      </w:r>
      <w:bookmarkEnd w:id="1152"/>
      <w:bookmarkEnd w:id="1153"/>
      <w:bookmarkEnd w:id="1154"/>
      <w:r w:rsidRPr="00990D3B" w:rsidR="00FF37A9">
        <w:t xml:space="preserve"> </w:t>
      </w:r>
      <w:bookmarkEnd w:id="1155"/>
      <w:bookmarkEnd w:id="1156"/>
    </w:p>
    <w:p w:rsidR="004E08B2" w:rsidRPr="00990D3B" w:rsidP="004E5005" w14:paraId="15E09D1E" w14:textId="7A2A4FB5">
      <w:pPr>
        <w:pStyle w:val="ParagraphContinued"/>
      </w:pPr>
      <w:r w:rsidRPr="00990D3B">
        <w:rPr>
          <w:noProof/>
        </w:rPr>
        <mc:AlternateContent>
          <mc:Choice Requires="wps">
            <w:drawing>
              <wp:anchor distT="0" distB="0" distL="114300" distR="114300" simplePos="0" relativeHeight="251922432" behindDoc="0" locked="0" layoutInCell="1" allowOverlap="1">
                <wp:simplePos x="0" y="0"/>
                <wp:positionH relativeFrom="column">
                  <wp:posOffset>3707130</wp:posOffset>
                </wp:positionH>
                <wp:positionV relativeFrom="paragraph">
                  <wp:posOffset>437515</wp:posOffset>
                </wp:positionV>
                <wp:extent cx="2194560" cy="2596515"/>
                <wp:effectExtent l="19050" t="19050" r="0" b="0"/>
                <wp:wrapTight wrapText="bothSides">
                  <wp:wrapPolygon>
                    <wp:start x="21788" y="21759"/>
                    <wp:lineTo x="21788" y="42"/>
                    <wp:lineTo x="38" y="42"/>
                    <wp:lineTo x="38" y="21759"/>
                    <wp:lineTo x="21788" y="21759"/>
                  </wp:wrapPolygon>
                </wp:wrapTight>
                <wp:docPr id="14834731" name="Text Box 5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4560" cy="2596515"/>
                        </a:xfrm>
                        <a:prstGeom prst="rect">
                          <a:avLst/>
                        </a:prstGeom>
                        <a:solidFill>
                          <a:srgbClr val="EEF5F8"/>
                        </a:solidFill>
                        <a:ln w="28575" cap="rnd">
                          <a:solidFill>
                            <a:srgbClr val="A5DAD9"/>
                          </a:solidFill>
                          <a:prstDash val="solid"/>
                          <a:miter lim="800000"/>
                          <a:headEnd/>
                          <a:tailEnd/>
                        </a:ln>
                      </wps:spPr>
                      <wps:txbx>
                        <w:txbxContent>
                          <w:p w:rsidR="00ED33C3" w:rsidRPr="00D41CCB" w:rsidP="00443F06" w14:textId="739EC6FC">
                            <w:pPr>
                              <w:pStyle w:val="EQRTextboxheading"/>
                            </w:pPr>
                            <w:r w:rsidRPr="00D41CCB">
                              <w:t>Resource for Activit</w:t>
                            </w:r>
                            <w:r>
                              <w:t>y 3</w:t>
                            </w:r>
                          </w:p>
                          <w:p w:rsidR="00ED33C3" w:rsidRPr="00443F06" w:rsidP="00443F06" w14:textId="3D237376">
                            <w:pPr>
                              <w:pStyle w:val="EQRTextboxbody"/>
                            </w:pPr>
                            <w:hyperlink w:anchor="WSB2" w:tooltip="Worksheet B.2. " w:history="1">
                              <w:r>
                                <w:rPr>
                                  <w:rStyle w:val="Hyperlink"/>
                                </w:rPr>
                                <w:t>Worksheet B.2. Information System Review Worksheet &amp; Interview Guide</w:t>
                              </w:r>
                            </w:hyperlink>
                          </w:p>
                          <w:p w:rsidR="00ED33C3" w:rsidRPr="00443F06" w:rsidP="00443F06" w14:textId="137753C4">
                            <w:pPr>
                              <w:pStyle w:val="EQRTextboxbullet"/>
                            </w:pPr>
                            <w:r w:rsidRPr="00443F06">
                              <w:t xml:space="preserve">A tool to conduct interviews with MCP staff that completed the ISCA tool </w:t>
                            </w:r>
                            <w:r w:rsidRPr="000E1F61">
                              <w:t>(</w:t>
                            </w:r>
                            <w:hyperlink w:anchor="WSB1" w:tooltip="Worksheet B.1" w:history="1">
                              <w:r w:rsidRPr="0002667E" w:rsidR="000B22E1">
                                <w:rPr>
                                  <w:rStyle w:val="Hyperlink"/>
                                </w:rPr>
                                <w:t>Worksheet B.1</w:t>
                              </w:r>
                            </w:hyperlink>
                            <w:r w:rsidRPr="000E1F61">
                              <w:t>)</w:t>
                            </w:r>
                            <w:r w:rsidRPr="00443F06">
                              <w:t>, as well as other MAP staff as needed</w:t>
                            </w:r>
                          </w:p>
                          <w:p w:rsidR="00ED33C3" w:rsidRPr="00443F06" w:rsidP="00443F06" w14:textId="77777777">
                            <w:pPr>
                              <w:pStyle w:val="EQRTextboxbullet"/>
                            </w:pPr>
                            <w:r w:rsidRPr="00443F06">
                              <w:t>These questions are intended to guide the reviewer's discussion with MCP staff to help validate the completed ISCA</w:t>
                            </w:r>
                          </w:p>
                          <w:p w:rsidR="00ED33C3" w:rsidRPr="004B37FD" w:rsidP="00443F06" w14:textId="61239A7B">
                            <w:pPr>
                              <w:pStyle w:val="EQRTextboxbullet"/>
                            </w:pPr>
                            <w:r w:rsidRPr="00443F06">
                              <w:t>The questions are first organized by MCP staff roles and then by regulatory provision</w:t>
                            </w:r>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4" o:spid="_x0000_s1237" type="#_x0000_t202" style="width:172.8pt;height:204.45pt;margin-top:34.45pt;margin-left:291.9pt;flip:y;mso-height-percent:0;mso-height-relative:page;mso-width-percent:0;mso-width-relative:page;mso-wrap-distance-bottom:0;mso-wrap-distance-left:9pt;mso-wrap-distance-right:9pt;mso-wrap-distance-top:0;mso-wrap-style:square;position:absolute;rotation:180;visibility:visible;v-text-anchor:top;z-index:251923456" fillcolor="#eef5f8" strokecolor="#a5dad9" strokeweight="2.25pt">
                <v:stroke endcap="round"/>
                <v:textbox style="mso-fit-shape-to-text:t" inset="8.64pt,,8.64pt">
                  <w:txbxContent>
                    <w:p w:rsidR="00ED33C3" w:rsidRPr="00D41CCB" w:rsidP="00443F06" w14:paraId="6D542A41" w14:textId="739EC6FC">
                      <w:pPr>
                        <w:pStyle w:val="EQRTextboxheading"/>
                      </w:pPr>
                      <w:r w:rsidRPr="00D41CCB">
                        <w:t>Resource for Activit</w:t>
                      </w:r>
                      <w:r>
                        <w:t>y 3</w:t>
                      </w:r>
                    </w:p>
                    <w:p w:rsidR="00ED33C3" w:rsidRPr="00443F06" w:rsidP="00443F06" w14:paraId="091FC419" w14:textId="3D237376">
                      <w:pPr>
                        <w:pStyle w:val="EQRTextboxbody"/>
                      </w:pPr>
                      <w:hyperlink w:anchor="WSB2" w:tooltip="Worksheet B.2. " w:history="1">
                        <w:r>
                          <w:rPr>
                            <w:rStyle w:val="Hyperlink"/>
                          </w:rPr>
                          <w:t>Worksheet B.2. Information System Review Worksheet &amp; Interview Guide</w:t>
                        </w:r>
                      </w:hyperlink>
                    </w:p>
                    <w:p w:rsidR="00ED33C3" w:rsidRPr="00443F06" w:rsidP="00443F06" w14:paraId="22B2AFED" w14:textId="137753C4">
                      <w:pPr>
                        <w:pStyle w:val="EQRTextboxbullet"/>
                      </w:pPr>
                      <w:r w:rsidRPr="00443F06">
                        <w:t xml:space="preserve">A tool to conduct interviews with MCP staff that completed the ISCA tool </w:t>
                      </w:r>
                      <w:r w:rsidRPr="000E1F61">
                        <w:t>(</w:t>
                      </w:r>
                      <w:hyperlink w:anchor="WSB1" w:tooltip="Worksheet B.1" w:history="1">
                        <w:r w:rsidRPr="0002667E" w:rsidR="000B22E1">
                          <w:rPr>
                            <w:rStyle w:val="Hyperlink"/>
                          </w:rPr>
                          <w:t>Worksheet B.1</w:t>
                        </w:r>
                      </w:hyperlink>
                      <w:r w:rsidRPr="000E1F61">
                        <w:t>)</w:t>
                      </w:r>
                      <w:r w:rsidRPr="00443F06">
                        <w:t>, as well as other MAP staff as needed</w:t>
                      </w:r>
                    </w:p>
                    <w:p w:rsidR="00ED33C3" w:rsidRPr="00443F06" w:rsidP="00443F06" w14:paraId="3C13DD75" w14:textId="77777777">
                      <w:pPr>
                        <w:pStyle w:val="EQRTextboxbullet"/>
                      </w:pPr>
                      <w:r w:rsidRPr="00443F06">
                        <w:t>These questions are intended to guide the reviewer's discussion with MCP staff to help validate the completed ISCA</w:t>
                      </w:r>
                    </w:p>
                    <w:p w:rsidR="00ED33C3" w:rsidRPr="004B37FD" w:rsidP="00443F06" w14:paraId="1E9474B7" w14:textId="61239A7B">
                      <w:pPr>
                        <w:pStyle w:val="EQRTextboxbullet"/>
                      </w:pPr>
                      <w:r w:rsidRPr="00443F06">
                        <w:t>The questions are first organized by MCP staff roles and then by regulatory provision</w:t>
                      </w:r>
                    </w:p>
                  </w:txbxContent>
                </v:textbox>
                <w10:wrap type="tight"/>
              </v:shape>
            </w:pict>
          </mc:Fallback>
        </mc:AlternateContent>
      </w:r>
      <w:r w:rsidRPr="00990D3B">
        <w:rPr>
          <w:noProof/>
        </w:rPr>
        <mc:AlternateContent>
          <mc:Choice Requires="wps">
            <w:drawing>
              <wp:anchor distT="0" distB="0" distL="114300" distR="114300" simplePos="0" relativeHeight="251924480" behindDoc="0" locked="0" layoutInCell="1" allowOverlap="1">
                <wp:simplePos x="0" y="0"/>
                <wp:positionH relativeFrom="column">
                  <wp:posOffset>3709035</wp:posOffset>
                </wp:positionH>
                <wp:positionV relativeFrom="paragraph">
                  <wp:posOffset>79375</wp:posOffset>
                </wp:positionV>
                <wp:extent cx="2193925" cy="297815"/>
                <wp:effectExtent l="19050" t="19050" r="0" b="7620"/>
                <wp:wrapTight wrapText="bothSides">
                  <wp:wrapPolygon>
                    <wp:start x="21788" y="22985"/>
                    <wp:lineTo x="21788" y="-554"/>
                    <wp:lineTo x="31" y="-554"/>
                    <wp:lineTo x="31" y="22985"/>
                    <wp:lineTo x="21788" y="22985"/>
                  </wp:wrapPolygon>
                </wp:wrapTight>
                <wp:docPr id="1861339423" name="Text Box 5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0800000" flipV="1">
                          <a:off x="0" y="0"/>
                          <a:ext cx="2193925" cy="297815"/>
                        </a:xfrm>
                        <a:prstGeom prst="rect">
                          <a:avLst/>
                        </a:prstGeom>
                        <a:solidFill>
                          <a:srgbClr val="EEF5F8"/>
                        </a:solidFill>
                        <a:ln w="28575" cap="rnd">
                          <a:solidFill>
                            <a:srgbClr val="A5DAD9"/>
                          </a:solidFill>
                          <a:prstDash val="solid"/>
                          <a:miter lim="800000"/>
                          <a:headEnd/>
                          <a:tailEnd/>
                        </a:ln>
                      </wps:spPr>
                      <wps:txbx>
                        <w:txbxContent>
                          <w:p w:rsidR="00ED33C3" w:rsidRPr="006847EB" w:rsidP="00443F06" w14:textId="00D3B6D7">
                            <w:pPr>
                              <w:pStyle w:val="EQRWORKSHEETText"/>
                              <w:rPr>
                                <w:color w:val="006068" w:themeColor="accent1" w:themeShade="BF"/>
                              </w:rPr>
                            </w:pPr>
                            <w:hyperlink w:anchor="WSB2" w:tooltip="WORKSHEET B.2" w:history="1">
                              <w:r w:rsidRPr="006847EB">
                                <w:rPr>
                                  <w:color w:val="006068" w:themeColor="accent1" w:themeShade="BF"/>
                                </w:rPr>
                                <w:t xml:space="preserve">WORKSHEET </w:t>
                              </w:r>
                              <w:r w:rsidRPr="006847EB" w:rsidR="0002667E">
                                <w:rPr>
                                  <w:color w:val="006068" w:themeColor="accent1" w:themeShade="BF"/>
                                </w:rPr>
                                <w:t>B</w:t>
                              </w:r>
                              <w:r w:rsidRPr="006847EB">
                                <w:rPr>
                                  <w:color w:val="006068" w:themeColor="accent1" w:themeShade="BF"/>
                                </w:rPr>
                                <w:t>.2</w:t>
                              </w:r>
                            </w:hyperlink>
                          </w:p>
                        </w:txbxContent>
                      </wps:txbx>
                      <wps:bodyPr rot="0" vert="horz" wrap="square" lIns="109728" tIns="45720" rIns="109728"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3" o:spid="_x0000_s1238" type="#_x0000_t202" style="width:172.75pt;height:23.45pt;margin-top:6.25pt;margin-left:292.05pt;flip:y;mso-height-percent:0;mso-height-relative:page;mso-width-percent:0;mso-width-relative:page;mso-wrap-distance-bottom:0;mso-wrap-distance-left:9pt;mso-wrap-distance-right:9pt;mso-wrap-distance-top:0;mso-wrap-style:square;position:absolute;rotation:180;visibility:visible;v-text-anchor:top;z-index:251925504" fillcolor="#eef5f8" strokecolor="#a5dad9" strokeweight="2.25pt">
                <v:stroke endcap="round"/>
                <v:textbox style="mso-fit-shape-to-text:t" inset="8.64pt,,8.64pt">
                  <w:txbxContent>
                    <w:p w:rsidR="00ED33C3" w:rsidRPr="006847EB" w:rsidP="00443F06" w14:paraId="17F06464" w14:textId="00D3B6D7">
                      <w:pPr>
                        <w:pStyle w:val="EQRWORKSHEETText"/>
                        <w:rPr>
                          <w:color w:val="006068" w:themeColor="accent1" w:themeShade="BF"/>
                        </w:rPr>
                      </w:pPr>
                      <w:hyperlink w:anchor="WSB2" w:tooltip="WORKSHEET B.2" w:history="1">
                        <w:r w:rsidRPr="006847EB">
                          <w:rPr>
                            <w:color w:val="006068" w:themeColor="accent1" w:themeShade="BF"/>
                          </w:rPr>
                          <w:t xml:space="preserve">WORKSHEET </w:t>
                        </w:r>
                        <w:r w:rsidRPr="006847EB" w:rsidR="0002667E">
                          <w:rPr>
                            <w:color w:val="006068" w:themeColor="accent1" w:themeShade="BF"/>
                          </w:rPr>
                          <w:t>B</w:t>
                        </w:r>
                        <w:r w:rsidRPr="006847EB">
                          <w:rPr>
                            <w:color w:val="006068" w:themeColor="accent1" w:themeShade="BF"/>
                          </w:rPr>
                          <w:t>.2</w:t>
                        </w:r>
                      </w:hyperlink>
                    </w:p>
                  </w:txbxContent>
                </v:textbox>
                <w10:wrap type="tight"/>
              </v:shape>
            </w:pict>
          </mc:Fallback>
        </mc:AlternateContent>
      </w:r>
      <w:r w:rsidRPr="00990D3B" w:rsidR="004E08B2">
        <w:t>The EQRO conducts</w:t>
      </w:r>
      <w:r w:rsidRPr="00990D3B" w:rsidR="00803958">
        <w:t xml:space="preserve"> a</w:t>
      </w:r>
      <w:r w:rsidRPr="00990D3B" w:rsidR="00290CA3">
        <w:t>n</w:t>
      </w:r>
      <w:r w:rsidRPr="00990D3B" w:rsidR="00803958">
        <w:t xml:space="preserve"> </w:t>
      </w:r>
      <w:r w:rsidRPr="00990D3B" w:rsidR="00290CA3">
        <w:t>on</w:t>
      </w:r>
      <w:r w:rsidRPr="00990D3B" w:rsidR="00803958">
        <w:t xml:space="preserve">site </w:t>
      </w:r>
      <w:r w:rsidRPr="00990D3B" w:rsidR="003B445D">
        <w:t xml:space="preserve">or virtual site </w:t>
      </w:r>
      <w:r w:rsidRPr="00990D3B" w:rsidR="00803958">
        <w:t>visit to the MCP to validate the completed ISCA tool (</w:t>
      </w:r>
      <w:hyperlink w:anchor="WSB1" w:tooltip="Worksheet B.1" w:history="1">
        <w:r w:rsidRPr="00990D3B" w:rsidR="00803958">
          <w:rPr>
            <w:rStyle w:val="Hyperlink"/>
          </w:rPr>
          <w:t xml:space="preserve">Worksheet </w:t>
        </w:r>
        <w:r w:rsidRPr="00990D3B" w:rsidR="00A15459">
          <w:rPr>
            <w:rStyle w:val="Hyperlink"/>
          </w:rPr>
          <w:t>B</w:t>
        </w:r>
        <w:r w:rsidRPr="00990D3B" w:rsidR="00803958">
          <w:rPr>
            <w:rStyle w:val="Hyperlink"/>
          </w:rPr>
          <w:t>.1</w:t>
        </w:r>
      </w:hyperlink>
      <w:r w:rsidRPr="00990D3B" w:rsidR="00803958">
        <w:t>) and to gather additional information as needed. The EQRO conducts</w:t>
      </w:r>
      <w:r w:rsidRPr="00990D3B" w:rsidR="004E08B2">
        <w:t xml:space="preserve"> interviews with MCP staff responsible for completing the ISCA, as well as additional staff responsible for the MCP’s information system functions. The interviews focus on the topics outlined in the ISCA Interview Guide (</w:t>
      </w:r>
      <w:hyperlink w:anchor="WSB2" w:tooltip="Worksheet B.2" w:history="1">
        <w:r w:rsidRPr="00990D3B" w:rsidR="004E08B2">
          <w:rPr>
            <w:rStyle w:val="Hyperlink"/>
          </w:rPr>
          <w:t xml:space="preserve">Worksheet </w:t>
        </w:r>
        <w:r w:rsidRPr="00990D3B" w:rsidR="0002667E">
          <w:rPr>
            <w:rStyle w:val="Hyperlink"/>
          </w:rPr>
          <w:t>B</w:t>
        </w:r>
        <w:r w:rsidRPr="00990D3B" w:rsidR="004E08B2">
          <w:rPr>
            <w:rStyle w:val="Hyperlink"/>
          </w:rPr>
          <w:t>.2</w:t>
        </w:r>
      </w:hyperlink>
      <w:r w:rsidRPr="00990D3B" w:rsidR="004E08B2">
        <w:t xml:space="preserve">), based on the pre-site analysis of the ISCA in Activity 2. The interview with the MCP should be closely coordinated with the MCP site visit performed in </w:t>
      </w:r>
      <w:hyperlink w:anchor="Protocol3" w:tooltip="Protocol 3" w:history="1">
        <w:r w:rsidRPr="00990D3B" w:rsidR="007B7D2D">
          <w:rPr>
            <w:rStyle w:val="Hyperlink"/>
          </w:rPr>
          <w:t>Protocol 3</w:t>
        </w:r>
      </w:hyperlink>
      <w:r w:rsidRPr="00990D3B" w:rsidR="004E08B2">
        <w:t xml:space="preserve">. Refer to </w:t>
      </w:r>
      <w:hyperlink w:anchor="P3A3" w:tooltip="Protocol 3, Activity 3" w:history="1">
        <w:r w:rsidRPr="00990D3B" w:rsidR="004E08B2">
          <w:rPr>
            <w:rStyle w:val="Hyperlink"/>
          </w:rPr>
          <w:t>Protocol 3, Activity 3</w:t>
        </w:r>
      </w:hyperlink>
      <w:r w:rsidRPr="00990D3B" w:rsidR="004E08B2">
        <w:t xml:space="preserve"> for steps in conducting a successful MCP site visit.</w:t>
      </w:r>
    </w:p>
    <w:p w:rsidR="004E08B2" w:rsidRPr="00990D3B" w:rsidP="0025560E" w14:paraId="64F839F3" w14:textId="1E509C74">
      <w:pPr>
        <w:pStyle w:val="H2"/>
      </w:pPr>
      <w:bookmarkStart w:id="1157" w:name="AppAact4"/>
      <w:bookmarkStart w:id="1158" w:name="AppBact4"/>
      <w:bookmarkStart w:id="1159" w:name="_Toc278140678"/>
      <w:bookmarkStart w:id="1160" w:name="_Toc482976522"/>
      <w:bookmarkStart w:id="1161" w:name="_Toc14777772"/>
      <w:bookmarkStart w:id="1162" w:name="_Toc183005673"/>
      <w:bookmarkStart w:id="1163" w:name="_Toc201751468"/>
      <w:bookmarkEnd w:id="1157"/>
      <w:bookmarkEnd w:id="1158"/>
      <w:r w:rsidRPr="00990D3B">
        <w:t>Activity</w:t>
      </w:r>
      <w:r w:rsidRPr="00990D3B">
        <w:t xml:space="preserve"> 4: </w:t>
      </w:r>
      <w:r w:rsidRPr="00990D3B" w:rsidR="00803958">
        <w:t>Compile and</w:t>
      </w:r>
      <w:r w:rsidRPr="00990D3B">
        <w:t xml:space="preserve"> A</w:t>
      </w:r>
      <w:r w:rsidRPr="00990D3B">
        <w:t>nalyze</w:t>
      </w:r>
      <w:r w:rsidRPr="00990D3B">
        <w:t xml:space="preserve"> ISCA F</w:t>
      </w:r>
      <w:bookmarkEnd w:id="1159"/>
      <w:bookmarkEnd w:id="1160"/>
      <w:r w:rsidRPr="00990D3B">
        <w:t>indings</w:t>
      </w:r>
      <w:bookmarkEnd w:id="1161"/>
      <w:bookmarkEnd w:id="1162"/>
      <w:bookmarkEnd w:id="1163"/>
    </w:p>
    <w:p w:rsidR="004E08B2" w:rsidRPr="00990D3B" w:rsidP="004E5005" w14:paraId="21D40602" w14:textId="32FA65CF">
      <w:pPr>
        <w:pStyle w:val="ParagraphContinued"/>
      </w:pPr>
      <w:r w:rsidRPr="00990D3B">
        <w:t xml:space="preserve">At the conclusion of the ISCA </w:t>
      </w:r>
      <w:r w:rsidRPr="00990D3B" w:rsidR="00803958">
        <w:t>site visit</w:t>
      </w:r>
      <w:r w:rsidRPr="00990D3B">
        <w:t xml:space="preserve">, the EQRO </w:t>
      </w:r>
      <w:r w:rsidRPr="00990D3B" w:rsidR="00803958">
        <w:t xml:space="preserve">compiles and analyzes the information gathered through the preliminary </w:t>
      </w:r>
      <w:r w:rsidRPr="00990D3B" w:rsidR="00290CA3">
        <w:t xml:space="preserve">ISCA </w:t>
      </w:r>
      <w:r w:rsidRPr="00990D3B" w:rsidR="00803958">
        <w:t>review (</w:t>
      </w:r>
      <w:hyperlink w:anchor="AppBact2" w:tooltip="Activity 2" w:history="1">
        <w:r w:rsidRPr="00990D3B" w:rsidR="00803958">
          <w:rPr>
            <w:rStyle w:val="Hyperlink"/>
          </w:rPr>
          <w:t xml:space="preserve">Activity </w:t>
        </w:r>
        <w:r w:rsidRPr="00990D3B" w:rsidR="00290CA3">
          <w:rPr>
            <w:rStyle w:val="Hyperlink"/>
          </w:rPr>
          <w:t>2</w:t>
        </w:r>
      </w:hyperlink>
      <w:r w:rsidRPr="00990D3B" w:rsidR="00803958">
        <w:t>) and from the site visit (</w:t>
      </w:r>
      <w:hyperlink w:anchor="AppAact3" w:tooltip="Activity 3" w:history="1">
        <w:r w:rsidRPr="00990D3B" w:rsidR="00803958">
          <w:rPr>
            <w:rStyle w:val="Hyperlink"/>
          </w:rPr>
          <w:t xml:space="preserve">Activity </w:t>
        </w:r>
        <w:r w:rsidRPr="00990D3B" w:rsidR="00290CA3">
          <w:rPr>
            <w:rStyle w:val="Hyperlink"/>
          </w:rPr>
          <w:t>3</w:t>
        </w:r>
      </w:hyperlink>
      <w:r w:rsidRPr="00990D3B" w:rsidR="00803958">
        <w:t xml:space="preserve">). After completing its analysis, the EQRO </w:t>
      </w:r>
      <w:r w:rsidRPr="00990D3B">
        <w:t xml:space="preserve">writes a statement of findings about the MCP’s information system. This statement should include </w:t>
      </w:r>
      <w:r w:rsidRPr="00990D3B">
        <w:t>implications of the findings</w:t>
      </w:r>
      <w:r w:rsidRPr="00990D3B">
        <w:t xml:space="preserve"> for the following:</w:t>
      </w:r>
    </w:p>
    <w:p w:rsidR="004E08B2" w:rsidRPr="00990D3B" w:rsidP="00FB7CAF" w14:paraId="5DF72F53" w14:textId="77777777">
      <w:pPr>
        <w:pStyle w:val="EQRBulletBLUE"/>
      </w:pPr>
      <w:r w:rsidRPr="00990D3B">
        <w:t>Completeness and accuracy of encounter data collected and submitted to the state</w:t>
      </w:r>
    </w:p>
    <w:p w:rsidR="004E08B2" w:rsidRPr="00990D3B" w:rsidP="00FB7CAF" w14:paraId="6EDF709F" w14:textId="77777777">
      <w:pPr>
        <w:pStyle w:val="EQRBulletBLUE"/>
      </w:pPr>
      <w:r w:rsidRPr="00990D3B">
        <w:t>Validation and/or calculation of performance measures</w:t>
      </w:r>
    </w:p>
    <w:p w:rsidR="004E08B2" w:rsidRPr="00990D3B" w:rsidP="00FB7CAF" w14:paraId="0CF06C11" w14:textId="4568E275">
      <w:pPr>
        <w:pStyle w:val="EQRBulletBLUE"/>
      </w:pPr>
      <w:r w:rsidRPr="00990D3B">
        <w:t xml:space="preserve">Completeness and accuracy of </w:t>
      </w:r>
      <w:r w:rsidRPr="00990D3B">
        <w:t>t</w:t>
      </w:r>
      <w:r w:rsidRPr="00990D3B">
        <w:t>racking of</w:t>
      </w:r>
      <w:r w:rsidRPr="00990D3B">
        <w:t xml:space="preserve"> grievances and appeals</w:t>
      </w:r>
    </w:p>
    <w:p w:rsidR="004E08B2" w:rsidRPr="00990D3B" w:rsidP="00FB7CAF" w14:paraId="7E6E75A7" w14:textId="33C27711">
      <w:pPr>
        <w:pStyle w:val="EQRBulletBLUE"/>
      </w:pPr>
      <w:r w:rsidRPr="00990D3B">
        <w:t xml:space="preserve">Utility of the information system to conduct MCP </w:t>
      </w:r>
      <w:r w:rsidRPr="00990D3B">
        <w:t xml:space="preserve">quality </w:t>
      </w:r>
      <w:r w:rsidRPr="00990D3B">
        <w:t>assessment and improvement initiatives</w:t>
      </w:r>
    </w:p>
    <w:p w:rsidR="004E08B2" w:rsidRPr="00990D3B" w:rsidP="00FB7CAF" w14:paraId="6EA491AF" w14:textId="77777777">
      <w:pPr>
        <w:pStyle w:val="EQRBulletBLUE"/>
      </w:pPr>
      <w:r w:rsidRPr="00990D3B">
        <w:t>Ability of the information system to conduct MCP quality assessment and improvement initiatives</w:t>
      </w:r>
    </w:p>
    <w:p w:rsidR="004E08B2" w:rsidRPr="00990D3B" w:rsidP="00FB7CAF" w14:paraId="3A75D6E4" w14:textId="77777777">
      <w:pPr>
        <w:pStyle w:val="EQRBulletBLUE"/>
      </w:pPr>
      <w:r w:rsidRPr="00990D3B">
        <w:t>Ability of the information system to oversee and manage the delivery of health care to the MCP’s enrollees</w:t>
      </w:r>
    </w:p>
    <w:p w:rsidR="004E08B2" w:rsidRPr="00990D3B" w:rsidP="00FB7CAF" w14:paraId="55C1CD75" w14:textId="328F2DB0">
      <w:pPr>
        <w:pStyle w:val="EQRBulletBLUE"/>
      </w:pPr>
      <w:r w:rsidRPr="00990D3B">
        <w:t>Ability of the information system to generate complete, accurate</w:t>
      </w:r>
      <w:r w:rsidRPr="00990D3B" w:rsidR="002947A6">
        <w:t>,</w:t>
      </w:r>
      <w:r w:rsidRPr="00990D3B">
        <w:t xml:space="preserve"> and timely </w:t>
      </w:r>
      <w:r w:rsidRPr="00990D3B" w:rsidR="00C9067D">
        <w:t>Transformed Medicaid Statistical Information System (</w:t>
      </w:r>
      <w:r w:rsidRPr="00990D3B">
        <w:t>T-MSIS</w:t>
      </w:r>
      <w:r w:rsidRPr="00990D3B" w:rsidR="00C9067D">
        <w:t xml:space="preserve">) </w:t>
      </w:r>
      <w:r w:rsidRPr="00990D3B">
        <w:t>data</w:t>
      </w:r>
    </w:p>
    <w:p w:rsidR="004E08B2" w:rsidRPr="00990D3B" w:rsidP="00FB7CAF" w14:paraId="06F3D92C" w14:textId="77777777">
      <w:pPr>
        <w:pStyle w:val="EQRBulletBLUE"/>
      </w:pPr>
      <w:r w:rsidRPr="00990D3B">
        <w:t>Utility of the information system for review of provider network adequacy</w:t>
      </w:r>
    </w:p>
    <w:p w:rsidR="00B073C8" w:rsidRPr="00990D3B" w:rsidP="00FB7CAF" w14:paraId="79C2F5C8" w14:textId="56D9155F">
      <w:pPr>
        <w:pStyle w:val="EQRBulletBLUE"/>
      </w:pPr>
      <w:r w:rsidRPr="00990D3B">
        <w:t xml:space="preserve">Utility of the MCP’s information system for linking to other information sources for quality-related reporting (e.g., </w:t>
      </w:r>
      <w:r w:rsidRPr="00990D3B" w:rsidR="001E0518">
        <w:t xml:space="preserve">immunization registries, </w:t>
      </w:r>
      <w:r w:rsidRPr="00990D3B">
        <w:t>health information exchanges, state vital statistics, public health data)</w:t>
      </w:r>
    </w:p>
    <w:p w:rsidR="00803958" w:rsidRPr="00990D3B" w:rsidP="0025560E" w14:paraId="523247BA" w14:textId="1A5A7711">
      <w:pPr>
        <w:pStyle w:val="H2"/>
      </w:pPr>
      <w:bookmarkStart w:id="1164" w:name="AppAact5"/>
      <w:bookmarkStart w:id="1165" w:name="AppBact5"/>
      <w:bookmarkStart w:id="1166" w:name="_Toc14777773"/>
      <w:bookmarkStart w:id="1167" w:name="_Toc183005674"/>
      <w:bookmarkStart w:id="1168" w:name="_Toc201751469"/>
      <w:bookmarkStart w:id="1169" w:name="_Toc482976523"/>
      <w:bookmarkEnd w:id="1164"/>
      <w:bookmarkEnd w:id="1165"/>
      <w:r w:rsidRPr="00990D3B">
        <w:t xml:space="preserve">Activity 5: </w:t>
      </w:r>
      <w:r w:rsidRPr="00990D3B" w:rsidR="00CB2E18">
        <w:t>D</w:t>
      </w:r>
      <w:r w:rsidRPr="00990D3B">
        <w:t xml:space="preserve">raft </w:t>
      </w:r>
      <w:r w:rsidRPr="00990D3B" w:rsidR="00CB2E18">
        <w:t>ISCA</w:t>
      </w:r>
      <w:r w:rsidRPr="00990D3B">
        <w:t xml:space="preserve"> </w:t>
      </w:r>
      <w:r w:rsidRPr="00990D3B" w:rsidR="00CB2E18">
        <w:t>S</w:t>
      </w:r>
      <w:r w:rsidRPr="00990D3B">
        <w:t xml:space="preserve">ummary for </w:t>
      </w:r>
      <w:r w:rsidRPr="00990D3B" w:rsidR="00CB2E18">
        <w:t>EQR</w:t>
      </w:r>
      <w:r w:rsidRPr="00990D3B">
        <w:t xml:space="preserve"> </w:t>
      </w:r>
      <w:r w:rsidRPr="00990D3B" w:rsidR="00CB2E18">
        <w:t>T</w:t>
      </w:r>
      <w:r w:rsidRPr="00990D3B">
        <w:t xml:space="preserve">echnical </w:t>
      </w:r>
      <w:r w:rsidRPr="00990D3B" w:rsidR="00CB2E18">
        <w:t>R</w:t>
      </w:r>
      <w:r w:rsidRPr="00990D3B">
        <w:t>eport</w:t>
      </w:r>
      <w:bookmarkEnd w:id="1166"/>
      <w:bookmarkEnd w:id="1167"/>
      <w:bookmarkEnd w:id="1168"/>
    </w:p>
    <w:p w:rsidR="00803958" w:rsidRPr="00990D3B" w:rsidP="004E5005" w14:paraId="37967791" w14:textId="6D573771">
      <w:pPr>
        <w:pStyle w:val="ParagraphContinued"/>
      </w:pPr>
      <w:r w:rsidRPr="00990D3B">
        <w:t>A summary of the ISCA should be included in the EQR technical report developed by the EQRO. This summary should include:</w:t>
      </w:r>
    </w:p>
    <w:p w:rsidR="00803958" w:rsidRPr="00990D3B" w:rsidP="00FB7CAF" w14:paraId="2072C0B2" w14:textId="0D7D5253">
      <w:pPr>
        <w:pStyle w:val="EQRBulletBLUE"/>
      </w:pPr>
      <w:r w:rsidRPr="00990D3B">
        <w:t>When the most recent ISCA was completed</w:t>
      </w:r>
    </w:p>
    <w:p w:rsidR="00152FCC" w:rsidRPr="00990D3B" w:rsidP="00FB7CAF" w14:paraId="2465C06C" w14:textId="77777777">
      <w:pPr>
        <w:pStyle w:val="EQRBulletBLUE"/>
      </w:pPr>
      <w:r w:rsidRPr="00990D3B">
        <w:t xml:space="preserve">The statement of the findings from the review </w:t>
      </w:r>
    </w:p>
    <w:p w:rsidR="00803958" w:rsidRPr="00990D3B" w:rsidP="00FB7CAF" w14:paraId="7C10042E" w14:textId="1F83F549">
      <w:pPr>
        <w:pStyle w:val="EQRBulletBLUE"/>
      </w:pPr>
      <w:r w:rsidRPr="00990D3B">
        <w:t>Ov</w:t>
      </w:r>
      <w:r w:rsidRPr="00990D3B" w:rsidR="00E45957">
        <w:t xml:space="preserve">erall findings from the review </w:t>
      </w:r>
    </w:p>
    <w:p w:rsidR="00DB7971" w:rsidRPr="00990D3B" w:rsidP="00FB7CAF" w14:paraId="63EDBC13" w14:textId="42025888">
      <w:pPr>
        <w:pStyle w:val="EQRBulletBLUE"/>
      </w:pPr>
      <w:r w:rsidRPr="00990D3B">
        <w:t>Based on findings from the ISCA, r</w:t>
      </w:r>
      <w:r w:rsidRPr="00990D3B" w:rsidR="00803958">
        <w:t>ecommen</w:t>
      </w:r>
      <w:r w:rsidRPr="00990D3B">
        <w:t>dations to the state relevant to EQR-related activities and/or revisions to the state’s managed care quality strategy</w:t>
      </w:r>
    </w:p>
    <w:p w:rsidR="004E08B2" w:rsidRPr="00990D3B" w:rsidP="0025560E" w14:paraId="53DF3464" w14:textId="5BD15CBE">
      <w:pPr>
        <w:pStyle w:val="H3"/>
      </w:pPr>
      <w:bookmarkStart w:id="1170" w:name="_Toc14777774"/>
      <w:r w:rsidRPr="00990D3B">
        <w:t xml:space="preserve">The Future of </w:t>
      </w:r>
      <w:r w:rsidRPr="00990D3B">
        <w:t>I</w:t>
      </w:r>
      <w:r w:rsidRPr="00990D3B">
        <w:t xml:space="preserve">nformation Systems </w:t>
      </w:r>
      <w:r w:rsidRPr="00990D3B">
        <w:t>A</w:t>
      </w:r>
      <w:bookmarkEnd w:id="1169"/>
      <w:r w:rsidRPr="00990D3B">
        <w:t>ssessment</w:t>
      </w:r>
      <w:bookmarkEnd w:id="1170"/>
    </w:p>
    <w:p w:rsidR="004E08B2" w:rsidRPr="00990D3B" w:rsidP="004E5005" w14:paraId="34E9BE24" w14:textId="621F01FE">
      <w:pPr>
        <w:pStyle w:val="ParagraphContinued"/>
      </w:pPr>
      <w:r w:rsidRPr="00990D3B">
        <w:t xml:space="preserve">With increasingly sophisticated and comprehensive </w:t>
      </w:r>
      <w:r w:rsidRPr="00990D3B" w:rsidR="00691418">
        <w:t>IS</w:t>
      </w:r>
      <w:r w:rsidRPr="00990D3B">
        <w:t xml:space="preserve">, it is important to adapt the way information systems’ capabilities are assessed. As </w:t>
      </w:r>
      <w:r w:rsidRPr="00990D3B" w:rsidR="00691418">
        <w:t>ISs</w:t>
      </w:r>
      <w:r w:rsidRPr="00990D3B">
        <w:t xml:space="preserve"> evolve, so will the tools and rules with which states and EQROs assess them. As an example, information systems may now be built on </w:t>
      </w:r>
      <w:r w:rsidRPr="00990D3B">
        <w:t>on-premise</w:t>
      </w:r>
      <w:r w:rsidRPr="00990D3B">
        <w:t xml:space="preserve"> physical infrastructure, a cloud platform, or a hybrid of both, which requires the ability to assess system security on these platforms to ensure the privacy and security of </w:t>
      </w:r>
      <w:r w:rsidRPr="00990D3B" w:rsidR="00803958">
        <w:t>p</w:t>
      </w:r>
      <w:r w:rsidRPr="00990D3B">
        <w:t xml:space="preserve">rotected </w:t>
      </w:r>
      <w:r w:rsidRPr="00990D3B" w:rsidR="00803958">
        <w:t>h</w:t>
      </w:r>
      <w:r w:rsidRPr="00990D3B">
        <w:t xml:space="preserve">ealth </w:t>
      </w:r>
      <w:r w:rsidRPr="00990D3B" w:rsidR="00803958">
        <w:t>i</w:t>
      </w:r>
      <w:r w:rsidRPr="00990D3B">
        <w:t xml:space="preserve">nformation </w:t>
      </w:r>
      <w:r w:rsidRPr="00990D3B" w:rsidR="00803958">
        <w:t xml:space="preserve">(PHI) </w:t>
      </w:r>
      <w:r w:rsidRPr="00990D3B">
        <w:t xml:space="preserve">data. </w:t>
      </w:r>
      <w:r w:rsidRPr="00990D3B" w:rsidR="00F802F4">
        <w:t>Supports for meeting e</w:t>
      </w:r>
      <w:r w:rsidRPr="00990D3B">
        <w:t xml:space="preserve">xisting statutory requirements regarding privacy and security, </w:t>
      </w:r>
      <w:r w:rsidRPr="00990D3B" w:rsidR="00F802F4">
        <w:t>including</w:t>
      </w:r>
      <w:r w:rsidRPr="00990D3B">
        <w:t xml:space="preserve"> guidance and tools, might be considered suitable topics for</w:t>
      </w:r>
      <w:r w:rsidRPr="00990D3B" w:rsidR="00803958">
        <w:t xml:space="preserve"> one of two optional EQR-related activities,</w:t>
      </w:r>
      <w:r w:rsidRPr="00990D3B">
        <w:t xml:space="preserve"> </w:t>
      </w:r>
      <w:r w:rsidRPr="00990D3B" w:rsidR="00803958">
        <w:t>additional performance i</w:t>
      </w:r>
      <w:r w:rsidRPr="00990D3B" w:rsidR="00E45957">
        <w:t>mprovement projects (</w:t>
      </w:r>
      <w:hyperlink w:anchor="Protocol8" w:tooltip="Protocol 8. Implementation of Additional Performance Improvement Projects" w:history="1">
        <w:r w:rsidRPr="00990D3B" w:rsidR="00E45957">
          <w:rPr>
            <w:rStyle w:val="Hyperlink"/>
          </w:rPr>
          <w:t>Protocol 8</w:t>
        </w:r>
      </w:hyperlink>
      <w:r w:rsidRPr="00990D3B" w:rsidR="00E45957">
        <w:t xml:space="preserve">) </w:t>
      </w:r>
      <w:r w:rsidRPr="00990D3B" w:rsidR="00803958">
        <w:t>or focus studies (</w:t>
      </w:r>
      <w:hyperlink w:anchor="Protocol9" w:tooltip="Protocol 9. Conducting Focus Studies of Health Care quality" w:history="1">
        <w:r w:rsidRPr="00990D3B" w:rsidR="00B95E60">
          <w:rPr>
            <w:rStyle w:val="Hyperlink"/>
          </w:rPr>
          <w:t>Protocol 9</w:t>
        </w:r>
      </w:hyperlink>
      <w:r w:rsidRPr="00990D3B" w:rsidR="00E45957">
        <w:t>)</w:t>
      </w:r>
      <w:r w:rsidRPr="00990D3B">
        <w:t>.</w:t>
      </w:r>
    </w:p>
    <w:p w:rsidR="004E08B2" w:rsidRPr="00990D3B" w:rsidP="004E5005" w14:paraId="06302E71" w14:textId="77777777">
      <w:pPr>
        <w:pStyle w:val="Paragraph0"/>
      </w:pPr>
      <w:r w:rsidRPr="00990D3B">
        <w:t xml:space="preserve">Given the ongoing and accelerating accumulation of health information technology (HIT) standards, HIT certification requirements, and HIT qualifications proposed and imposed by federal payers, organizations should anticipate changes in assessments of new information system requirements. Two recent developments are particularly pertinent to the future of </w:t>
      </w:r>
      <w:r w:rsidRPr="00990D3B">
        <w:t>information systems assessment</w:t>
      </w:r>
      <w:r w:rsidRPr="00990D3B">
        <w:t>:</w:t>
      </w:r>
    </w:p>
    <w:p w:rsidR="004E08B2" w:rsidRPr="00990D3B" w:rsidP="002D35CF" w14:paraId="39895880" w14:textId="4CC37F9B">
      <w:pPr>
        <w:pStyle w:val="ListNumber"/>
        <w:numPr>
          <w:ilvl w:val="0"/>
          <w:numId w:val="59"/>
        </w:numPr>
      </w:pPr>
      <w:r w:rsidRPr="00990D3B">
        <w:t xml:space="preserve">In 2011, CMS began working with state agencies and other stakeholders to finalize a new data infrastructure, the T-MSIS. T-MSIS is designed to modernize the way that states submit data about beneficiaries, providers, fee-for-service claims, and encounters to CMS. T-MSIS (1) expands required data elements on person-level eligibility and services; (2) captures data on providers, </w:t>
      </w:r>
      <w:r w:rsidRPr="00990D3B" w:rsidR="009E0A09">
        <w:t>MCPs</w:t>
      </w:r>
      <w:r w:rsidRPr="00990D3B">
        <w:t>, and third-party insurance; (3) provides for improved quality of state data; and (4) requires states to submit data monthly instead of quarterly, making the data available sooner. CMS expects that state agencies will thoroughly audit the managed care data to ensure that it complies with all T-MSIS requir</w:t>
      </w:r>
      <w:r w:rsidRPr="00990D3B" w:rsidR="00EB51D1">
        <w:t>ements before submission to CMS</w:t>
      </w:r>
    </w:p>
    <w:p w:rsidR="004E08B2" w:rsidRPr="00990D3B" w:rsidP="00BA007D" w14:paraId="77F971E4" w14:textId="295754CE">
      <w:pPr>
        <w:pStyle w:val="ListNumber"/>
      </w:pPr>
      <w:r w:rsidRPr="00990D3B">
        <w:t>New efforts to implement value-based purchasing, alternative payment models, and integrated care models will require assessment of the MCPs’ ability to track (1) bundled</w:t>
      </w:r>
      <w:r w:rsidRPr="00990D3B" w:rsidR="00FB3135">
        <w:t>, incentive, bonus,</w:t>
      </w:r>
      <w:r w:rsidRPr="00990D3B">
        <w:t xml:space="preserve"> and capitated payments, (2) whether all the needed services were delivered, and (3) how clinical quality data for performance measurement is captured and communicated back and forth to care managers.</w:t>
      </w:r>
      <w:r w:rsidRPr="00990D3B" w:rsidR="00FB3135">
        <w:t xml:space="preserve"> Including all paid amounts on encounter </w:t>
      </w:r>
      <w:r w:rsidRPr="00990D3B" w:rsidR="00FB3135">
        <w:t>data provides important information to the state and CMS, enabling more data-driven analytic methods to value-based purchasin</w:t>
      </w:r>
      <w:r w:rsidRPr="00990D3B" w:rsidR="00EB51D1">
        <w:t>g efforts and rate development</w:t>
      </w:r>
    </w:p>
    <w:p w:rsidR="00E15701" w:rsidRPr="00990D3B" w:rsidP="004E5005" w14:paraId="19F89E88" w14:textId="03033F65">
      <w:pPr>
        <w:pStyle w:val="ParagraphContinued"/>
      </w:pPr>
      <w:r w:rsidRPr="00990D3B">
        <w:t xml:space="preserve">Of continuing importance to successful information systems is the adoption and meaningful use of certified electronic health records (EHRs). </w:t>
      </w:r>
      <w:r w:rsidRPr="00990D3B" w:rsidR="0043077A">
        <w:t xml:space="preserve">The passage in 2016 of </w:t>
      </w:r>
      <w:r w:rsidRPr="00990D3B" w:rsidR="00A768F0">
        <w:t>the 21st</w:t>
      </w:r>
      <w:r w:rsidRPr="00990D3B" w:rsidR="0043077A">
        <w:t xml:space="preserve"> Century Cures Act</w:t>
      </w:r>
      <w:r w:rsidRPr="00990D3B" w:rsidR="003162DF">
        <w:rPr>
          <w:rFonts w:ascii="ZWAdobeF" w:hAnsi="ZWAdobeF" w:cs="ZWAdobeF"/>
          <w:sz w:val="2"/>
          <w:szCs w:val="2"/>
        </w:rPr>
        <w:t>89F</w:t>
      </w:r>
      <w:r>
        <w:rPr>
          <w:rStyle w:val="FootnoteReference"/>
        </w:rPr>
        <w:footnoteReference w:id="142"/>
      </w:r>
      <w:r w:rsidRPr="00990D3B" w:rsidR="0043077A">
        <w:t xml:space="preserve">—which is designed to help improve </w:t>
      </w:r>
      <w:r w:rsidRPr="00990D3B" w:rsidR="0092219E">
        <w:t xml:space="preserve">care </w:t>
      </w:r>
      <w:r w:rsidRPr="00990D3B" w:rsidR="0043077A">
        <w:t xml:space="preserve">delivery by ensuring the interoperability of health information exchange (HIE) systems for seamless patient care through increased coordination and continuity of health care among health care providers—highlights the significance of certified EHRs and HIE systems as potential drivers of improvements in individual and population </w:t>
      </w:r>
      <w:r w:rsidRPr="00990D3B" w:rsidR="00A768F0">
        <w:t>health. The</w:t>
      </w:r>
      <w:r w:rsidRPr="00990D3B" w:rsidR="002A1993">
        <w:t xml:space="preserve"> design and utilization of secure EHRs will become an increasingly important element in the EQR process as reflected in the questions included in the ISCA tool. </w:t>
      </w:r>
      <w:r w:rsidRPr="00990D3B">
        <w:t xml:space="preserve">States and MCPs should work collaboratively in the planning and use of certified EHRs and health information exchange systems. </w:t>
      </w:r>
    </w:p>
    <w:p w:rsidR="00E15701" w:rsidRPr="00990D3B" w:rsidP="004E5005" w14:paraId="71E681D9" w14:textId="2EA3B041">
      <w:pPr>
        <w:pStyle w:val="Paragraph0"/>
      </w:pPr>
      <w:r w:rsidRPr="00990D3B">
        <w:t xml:space="preserve">States and MCPs must also coordinate their HIT planning efforts to ensure interoperability between systems that effectively provide for future data needs to meet eligibility, enrollment, </w:t>
      </w:r>
      <w:r w:rsidRPr="00990D3B" w:rsidR="00441C23">
        <w:t>HIE</w:t>
      </w:r>
      <w:r w:rsidRPr="00990D3B">
        <w:t xml:space="preserve">, </w:t>
      </w:r>
      <w:r w:rsidRPr="00990D3B" w:rsidR="00AD3730">
        <w:t xml:space="preserve">quality reporting, </w:t>
      </w:r>
      <w:r w:rsidRPr="00990D3B">
        <w:t xml:space="preserve">and delivery system reform statutory and regulatory requirements. EQROs should continually assess MCP planning activities to ensure alignment with and responsiveness to these initiatives. </w:t>
      </w:r>
      <w:r w:rsidRPr="00990D3B" w:rsidR="00630F77">
        <w:t>For example, this could</w:t>
      </w:r>
      <w:r w:rsidRPr="00990D3B" w:rsidR="00AD3730">
        <w:t xml:space="preserve"> include </w:t>
      </w:r>
      <w:r w:rsidRPr="00990D3B" w:rsidR="00630F77">
        <w:t xml:space="preserve">use of data from </w:t>
      </w:r>
      <w:r w:rsidRPr="00990D3B" w:rsidR="00AD3730">
        <w:t xml:space="preserve">bi-directional </w:t>
      </w:r>
      <w:r w:rsidRPr="00990D3B" w:rsidR="00630F77">
        <w:t>data exchange</w:t>
      </w:r>
      <w:r w:rsidRPr="00990D3B" w:rsidR="00AD3730">
        <w:t xml:space="preserve"> with immunization </w:t>
      </w:r>
      <w:r w:rsidRPr="00990D3B" w:rsidR="00CF405D">
        <w:t>registries</w:t>
      </w:r>
      <w:r w:rsidRPr="00990D3B" w:rsidR="00630F77">
        <w:t xml:space="preserve"> to support state reporting of the CMS </w:t>
      </w:r>
      <w:r w:rsidRPr="00990D3B" w:rsidR="002A1993">
        <w:rPr>
          <w:rFonts w:cs="Arial"/>
          <w:szCs w:val="22"/>
        </w:rPr>
        <w:t xml:space="preserve">Child Core Set </w:t>
      </w:r>
      <w:r w:rsidRPr="00990D3B" w:rsidR="00630F77">
        <w:t>immunization</w:t>
      </w:r>
      <w:r w:rsidRPr="00990D3B" w:rsidR="00B06436">
        <w:t xml:space="preserve"> measure</w:t>
      </w:r>
      <w:r w:rsidRPr="00990D3B" w:rsidR="00630F77">
        <w:t>s.</w:t>
      </w:r>
    </w:p>
    <w:p w:rsidR="00B06436" w:rsidRPr="00990D3B" w:rsidP="004E5005" w14:paraId="06B39211" w14:textId="77777777">
      <w:pPr>
        <w:pStyle w:val="Paragraph0"/>
      </w:pPr>
      <w:r w:rsidRPr="00990D3B">
        <w:t>To learn from and share state experiences with emerging HIT and EHR initiatives that can impact performance measure and performance improvement project outcomes reporting, CMS strongly encourages states</w:t>
      </w:r>
      <w:r w:rsidRPr="00990D3B">
        <w:rPr>
          <w:b/>
        </w:rPr>
        <w:t xml:space="preserve"> </w:t>
      </w:r>
      <w:r w:rsidRPr="00990D3B">
        <w:t xml:space="preserve">that contract with EQROs to include results of state HIT and EHR initiatives </w:t>
      </w:r>
      <w:r w:rsidRPr="00990D3B" w:rsidR="00AD3730">
        <w:t>impacted by MCP reporting</w:t>
      </w:r>
      <w:r w:rsidRPr="00990D3B">
        <w:t xml:space="preserve"> in annual EQR reports. This may include successful implementation of health information exchange with </w:t>
      </w:r>
      <w:r w:rsidRPr="00990D3B" w:rsidR="00AD3730">
        <w:t xml:space="preserve">various </w:t>
      </w:r>
      <w:r w:rsidRPr="00990D3B">
        <w:t xml:space="preserve">state agencies to improve data source collection efforts for performance measures (such as electronic clinical quality measures or other administrative data sources used in the calculation of quality measures) or performance improvement projects. Similarly, including lessons learned from challenging or unsuccessful HIT initiatives are just as informative to federal and other state partners, and may also be included in annual EQR </w:t>
      </w:r>
      <w:r w:rsidRPr="00990D3B" w:rsidR="0092219E">
        <w:t xml:space="preserve">technical </w:t>
      </w:r>
      <w:r w:rsidRPr="00990D3B">
        <w:t xml:space="preserve">reports. </w:t>
      </w:r>
    </w:p>
    <w:p w:rsidR="00E15701" w:rsidRPr="00990D3B" w:rsidP="00152FCC" w14:paraId="2CE4366A" w14:textId="1C662EA5">
      <w:pPr>
        <w:pStyle w:val="Paragraph0"/>
        <w:jc w:val="center"/>
      </w:pPr>
      <w:r w:rsidRPr="00990D3B">
        <w:t xml:space="preserve">END OF </w:t>
      </w:r>
      <w:r w:rsidRPr="00990D3B" w:rsidR="00CF5AB3">
        <w:t>APPENDIX B</w:t>
      </w:r>
    </w:p>
    <w:p w:rsidR="00BC0AF1" w:rsidRPr="00990D3B" w:rsidP="004E5005" w14:paraId="39AFF0B4" w14:textId="77777777">
      <w:pPr>
        <w:pStyle w:val="Paragraph0"/>
        <w:sectPr w:rsidSect="00DE4BB2">
          <w:footerReference w:type="even" r:id="rId236"/>
          <w:footerReference w:type="default" r:id="rId237"/>
          <w:headerReference w:type="first" r:id="rId238"/>
          <w:footerReference w:type="first" r:id="rId239"/>
          <w:pgSz w:w="12240" w:h="15840" w:code="1"/>
          <w:pgMar w:top="1440" w:right="1440" w:bottom="1440" w:left="1440" w:header="720" w:footer="720" w:gutter="0"/>
          <w:pgNumType w:start="1"/>
          <w:cols w:space="720"/>
          <w:titlePg/>
          <w:docGrid w:linePitch="360"/>
        </w:sectPr>
      </w:pPr>
    </w:p>
    <w:p w:rsidR="004F6C0E" w:rsidRPr="00990D3B" w:rsidP="00FD12B7" w14:paraId="07FC6FC0" w14:textId="14C009C9">
      <w:pPr>
        <w:pStyle w:val="H2"/>
      </w:pPr>
      <w:bookmarkStart w:id="1171" w:name="WSA"/>
      <w:bookmarkStart w:id="1172" w:name="_Toc14777775"/>
      <w:bookmarkStart w:id="1173" w:name="_Toc183005675"/>
      <w:bookmarkStart w:id="1174" w:name="_Toc201751470"/>
      <w:r w:rsidRPr="00990D3B">
        <w:t xml:space="preserve">Worksheets for </w:t>
      </w:r>
      <w:bookmarkEnd w:id="1171"/>
      <w:bookmarkEnd w:id="1172"/>
      <w:r w:rsidRPr="00990D3B" w:rsidR="00CF5AB3">
        <w:t>Appendix B</w:t>
      </w:r>
      <w:bookmarkEnd w:id="1173"/>
      <w:bookmarkEnd w:id="1174"/>
    </w:p>
    <w:p w:rsidR="004F6C0E" w:rsidRPr="00990D3B" w:rsidP="00A54412" w14:paraId="7A57BE23" w14:textId="5A7485EB">
      <w:pPr>
        <w:pStyle w:val="EQRMarkforExhibitWORKSHEET"/>
      </w:pPr>
      <w:bookmarkStart w:id="1175" w:name="WSB1"/>
      <w:bookmarkStart w:id="1176" w:name="_Toc125619191"/>
      <w:bookmarkStart w:id="1177" w:name="_Toc201751576"/>
      <w:bookmarkEnd w:id="1175"/>
      <w:r w:rsidRPr="00990D3B">
        <w:t xml:space="preserve">Worksheet </w:t>
      </w:r>
      <w:r w:rsidRPr="00990D3B" w:rsidR="0074247F">
        <w:t>B</w:t>
      </w:r>
      <w:r w:rsidRPr="00990D3B">
        <w:t>.1</w:t>
      </w:r>
      <w:r w:rsidRPr="00990D3B" w:rsidR="003B4673">
        <w:t>.</w:t>
      </w:r>
      <w:r w:rsidRPr="00990D3B">
        <w:t xml:space="preserve"> Information System Capabilities Assessment (ISCA) Tool</w:t>
      </w:r>
      <w:bookmarkEnd w:id="1176"/>
      <w:bookmarkEnd w:id="1177"/>
    </w:p>
    <w:p w:rsidR="004F6C0E" w:rsidRPr="00990D3B" w:rsidP="004522BB" w14:paraId="1326370F" w14:textId="50CFA155">
      <w:pPr>
        <w:pStyle w:val="EQRNormalSSWORKSHEET"/>
      </w:pPr>
      <w:r w:rsidRPr="00990D3B">
        <w:rPr>
          <w:b/>
        </w:rPr>
        <w:t>Instructions.</w:t>
      </w:r>
      <w:r w:rsidRPr="00990D3B">
        <w:t xml:space="preserve"> The </w:t>
      </w:r>
      <w:smartTag w:uri="urn:schemas-microsoft-com:office:smarttags" w:element="stockticker">
        <w:r w:rsidRPr="00990D3B">
          <w:t>ISCA</w:t>
        </w:r>
      </w:smartTag>
      <w:r w:rsidRPr="00990D3B">
        <w:t xml:space="preserve"> tool is an information collection tool provided to an MCP</w:t>
      </w:r>
      <w:r w:rsidRPr="00990D3B" w:rsidR="003162DF">
        <w:rPr>
          <w:rFonts w:ascii="ZWAdobeF" w:hAnsi="ZWAdobeF" w:cs="ZWAdobeF"/>
          <w:sz w:val="2"/>
          <w:szCs w:val="2"/>
        </w:rPr>
        <w:t>90F</w:t>
      </w:r>
      <w:r w:rsidRPr="00990D3B">
        <w:rPr>
          <w:rFonts w:cs="Arial"/>
          <w:sz w:val="22"/>
          <w:szCs w:val="22"/>
        </w:rPr>
        <w:t xml:space="preserve"> </w:t>
      </w:r>
      <w:r w:rsidRPr="00990D3B">
        <w:t>by the state or its EQRO to obtain the information needed to validate the capabilities of the MCP’s information systems, processes, and data, with the intent of supporting annual EQR-related activities and associated EQR analysis and recommendations as documented in the EQR technical report. The state or its EQRO will define a time</w:t>
      </w:r>
      <w:r w:rsidRPr="00990D3B" w:rsidR="00566F1D">
        <w:t xml:space="preserve"> </w:t>
      </w:r>
      <w:r w:rsidRPr="00990D3B">
        <w:t xml:space="preserve">frame in which the MCP is expected to complete and return the tool or comparable information. For purposes of this worksheet, it is assumed the MCP will record data in this tool. Documents from the MCP requested throughout the tool are listed in the Summary of Requested Documentation Checklist, below. </w:t>
      </w:r>
    </w:p>
    <w:p w:rsidR="004F6C0E" w:rsidRPr="00990D3B" w:rsidP="004522BB" w14:paraId="3C1AF51E" w14:textId="77777777">
      <w:pPr>
        <w:pStyle w:val="EQRNormalSSWORKSHEET"/>
      </w:pPr>
      <w:r w:rsidRPr="00990D3B">
        <w:t xml:space="preserve">The state and the MCP should be certain that data being reported are not only accurate </w:t>
      </w:r>
      <w:r w:rsidRPr="00990D3B">
        <w:t>today, but</w:t>
      </w:r>
      <w:r w:rsidRPr="00990D3B">
        <w:t xml:space="preserve"> also have a reasonable chance of being accurate for future reporting periods. Future accuracy can be predicted by assessing the MCP’s system development cycle and supporting environment. Plans that lack development checkpoints and controls are much more likely to introduce errors as systems change. The questions in this tool can be used to subjectively assess the likelihood of future reporting anomalies. However, it should be noted that very few entities with information systems meet all the desirable criteria. The EQRO is directed </w:t>
      </w:r>
      <w:r w:rsidRPr="00990D3B">
        <w:t>to consider</w:t>
      </w:r>
      <w:r w:rsidRPr="00990D3B">
        <w:t xml:space="preserve"> the status of checkpoints and controls in its overall assessment of findings.</w:t>
      </w:r>
    </w:p>
    <w:p w:rsidR="004F6C0E" w:rsidRPr="00990D3B" w:rsidP="004522BB" w14:paraId="713A625A" w14:textId="77777777">
      <w:pPr>
        <w:pStyle w:val="EQRNormalSSWORKSHEET"/>
      </w:pPr>
      <w:r w:rsidRPr="00990D3B">
        <w:t xml:space="preserve">If the MCP’s information has been formally assessed within the last two years, please attach a copy of the assessment report. Complete only those sections of the ISCA tool that were not covered by or have changed since the formal assessment was conducted. If applicable, attach a copy of the MCP’s most recent information systems analysis completed as a part of an accreditation review or </w:t>
      </w:r>
      <w:r w:rsidRPr="00990D3B">
        <w:t>third party</w:t>
      </w:r>
      <w:r w:rsidRPr="00990D3B">
        <w:t xml:space="preserve"> performance measure validation process. </w:t>
      </w:r>
    </w:p>
    <w:p w:rsidR="004F6C0E" w:rsidRPr="00990D3B" w:rsidP="004522BB" w14:paraId="67DC0A75" w14:textId="77777777">
      <w:pPr>
        <w:pStyle w:val="EQRNormalSSWORKSHEET"/>
      </w:pPr>
      <w:r w:rsidRPr="00990D3B">
        <w:t>Note: The information requested in the ISCA pertains to the collection and processing of data for an MCP’s Medicaid and/or CHIP line of business. In many situations, if not most, this may be no different than how an MCP collects and processes commercial or Medicare data. However, for questions that address areas where Medicaid or CHIP data are managed differently than commercial or other data, please provide the answers to the questions as they relate to Medicaid or CHIP enrollees and Medicaid or CHIP data.</w:t>
      </w:r>
    </w:p>
    <w:p w:rsidR="004F6C0E" w:rsidRPr="00990D3B" w:rsidP="004522BB" w14:paraId="7F8A1CC4" w14:textId="77777777">
      <w:pPr>
        <w:pStyle w:val="EQRNormalSSWORKSHEET"/>
      </w:pPr>
      <w:r w:rsidRPr="00990D3B">
        <w:t xml:space="preserve">Any time there is a system difference between Medicaid and CHIP, it should be reported in the MCP’s responses. However, unless noted, it is assumed that the MCP treats data from these two programs in the same manner. </w:t>
      </w:r>
    </w:p>
    <w:p w:rsidR="00065454" w:rsidRPr="00990D3B" w:rsidP="004522BB" w14:paraId="23FF2536" w14:textId="440C234B">
      <w:pPr>
        <w:pStyle w:val="EQRNormalSSWORKSHEET"/>
      </w:pPr>
      <w:r w:rsidRPr="00990D3B">
        <w:t>Acronyms</w:t>
      </w:r>
      <w:r w:rsidRPr="00990D3B">
        <w:t>:</w:t>
      </w:r>
      <w:r w:rsidRPr="00990D3B">
        <w:t xml:space="preserve"> </w:t>
      </w:r>
      <w:r w:rsidRPr="00990D3B" w:rsidR="00CD1645">
        <w:t xml:space="preserve">CHIP = Children’s Health Insurance Program; </w:t>
      </w:r>
      <w:r w:rsidRPr="00990D3B">
        <w:t>CMS</w:t>
      </w:r>
      <w:r w:rsidRPr="00990D3B" w:rsidR="002F1F5F">
        <w:t xml:space="preserve"> </w:t>
      </w:r>
      <w:r w:rsidRPr="00990D3B">
        <w:t>= Centers for Medicare &amp; Medicaid Services; DBMS</w:t>
      </w:r>
      <w:r w:rsidRPr="00990D3B" w:rsidR="002F1F5F">
        <w:t xml:space="preserve"> </w:t>
      </w:r>
      <w:r w:rsidRPr="00990D3B">
        <w:t xml:space="preserve">= Database Management System; </w:t>
      </w:r>
      <w:r w:rsidRPr="00990D3B" w:rsidR="00CD1645">
        <w:t xml:space="preserve">DR = Disaster Recovery; </w:t>
      </w:r>
      <w:r w:rsidRPr="00990D3B">
        <w:t xml:space="preserve">DSM= Diagnostic and Statistical Manual of Mental Disorders; </w:t>
      </w:r>
      <w:r w:rsidRPr="00990D3B" w:rsidR="00CD1645">
        <w:t>EQR</w:t>
      </w:r>
      <w:r w:rsidRPr="00990D3B" w:rsidR="002F1F5F">
        <w:t xml:space="preserve"> </w:t>
      </w:r>
      <w:r w:rsidRPr="00990D3B" w:rsidR="00CD1645">
        <w:t>= External Quality Review; EQRO = External Quality Review Organizations; FFS</w:t>
      </w:r>
      <w:r w:rsidRPr="00990D3B" w:rsidR="002F1F5F">
        <w:t xml:space="preserve"> </w:t>
      </w:r>
      <w:r w:rsidRPr="00990D3B" w:rsidR="00CD1645">
        <w:t xml:space="preserve">= Fee-for-Service; FIPS = Federal Information Processing Standards; </w:t>
      </w:r>
      <w:r w:rsidRPr="00990D3B">
        <w:t>ICD</w:t>
      </w:r>
      <w:r w:rsidRPr="00990D3B" w:rsidR="002F1F5F">
        <w:t xml:space="preserve"> </w:t>
      </w:r>
      <w:r w:rsidRPr="00990D3B">
        <w:t xml:space="preserve">= International Classification </w:t>
      </w:r>
      <w:r w:rsidRPr="00990D3B" w:rsidR="00CD1645">
        <w:t>of Diseases; ISCA</w:t>
      </w:r>
      <w:r w:rsidRPr="00990D3B" w:rsidR="002F1F5F">
        <w:t xml:space="preserve"> </w:t>
      </w:r>
      <w:r w:rsidRPr="00990D3B" w:rsidR="00CD1645">
        <w:t xml:space="preserve">= Information Systems Capabilities Assessment; </w:t>
      </w:r>
      <w:r w:rsidRPr="00990D3B" w:rsidR="0022047D">
        <w:t xml:space="preserve">HCPCS = Healthcare Common Coding System; MCO = Managed Care Organization; </w:t>
      </w:r>
      <w:r w:rsidRPr="00990D3B" w:rsidR="009C6A0A">
        <w:t xml:space="preserve">MCP = Managed Care Plan; </w:t>
      </w:r>
      <w:r w:rsidRPr="00990D3B" w:rsidR="00CD1645">
        <w:t>NDC= National Drug Code;</w:t>
      </w:r>
      <w:r w:rsidRPr="00990D3B" w:rsidR="0022047D">
        <w:t xml:space="preserve"> </w:t>
      </w:r>
      <w:r w:rsidRPr="00990D3B" w:rsidR="00E93120">
        <w:t xml:space="preserve">NA = </w:t>
      </w:r>
      <w:r w:rsidRPr="00990D3B" w:rsidR="00EC6E23">
        <w:t>No</w:t>
      </w:r>
      <w:r w:rsidRPr="00990D3B" w:rsidR="0030223B">
        <w:t>t Applicabl</w:t>
      </w:r>
      <w:r w:rsidRPr="00990D3B" w:rsidR="00E93120">
        <w:t xml:space="preserve">e; </w:t>
      </w:r>
      <w:r w:rsidRPr="00990D3B" w:rsidR="0022047D">
        <w:t xml:space="preserve">NPI= National Provider Identification; </w:t>
      </w:r>
      <w:r w:rsidRPr="00990D3B" w:rsidR="00CD1645">
        <w:t xml:space="preserve"> PAHP</w:t>
      </w:r>
      <w:r w:rsidRPr="00990D3B" w:rsidR="002F1F5F">
        <w:t xml:space="preserve"> </w:t>
      </w:r>
      <w:r w:rsidRPr="00990D3B" w:rsidR="00CD1645">
        <w:t xml:space="preserve">= Prepaid Ambulatory Health Plan; </w:t>
      </w:r>
      <w:r w:rsidRPr="00990D3B" w:rsidR="0022047D">
        <w:t xml:space="preserve">PCP = Primary Care Provider; </w:t>
      </w:r>
      <w:r w:rsidRPr="00990D3B" w:rsidR="00CD1645">
        <w:t>PIHP</w:t>
      </w:r>
      <w:r w:rsidRPr="00990D3B" w:rsidR="002F1F5F">
        <w:t xml:space="preserve"> </w:t>
      </w:r>
      <w:r w:rsidRPr="00990D3B" w:rsidR="00CD1645">
        <w:t>= Prepaid Inpatient Health Plan; PHI = Protected Health Information; PII</w:t>
      </w:r>
      <w:r w:rsidRPr="00990D3B" w:rsidR="002F1F5F">
        <w:t xml:space="preserve"> </w:t>
      </w:r>
      <w:r w:rsidRPr="00990D3B" w:rsidR="00CD1645">
        <w:t>=</w:t>
      </w:r>
      <w:r w:rsidRPr="00990D3B" w:rsidR="0022047D">
        <w:t xml:space="preserve"> Personally Identifiable Information;</w:t>
      </w:r>
      <w:r w:rsidRPr="00990D3B" w:rsidR="00CD1645">
        <w:t xml:space="preserve"> </w:t>
      </w:r>
      <w:r w:rsidRPr="00990D3B" w:rsidR="0022047D">
        <w:t xml:space="preserve">SSN = Social Security Number; </w:t>
      </w:r>
      <w:r w:rsidRPr="00990D3B" w:rsidR="00CD1645">
        <w:t xml:space="preserve">QA = Quality Assurance;  </w:t>
      </w:r>
      <w:r w:rsidRPr="00990D3B">
        <w:t xml:space="preserve"> </w:t>
      </w:r>
    </w:p>
    <w:p w:rsidR="004F6C0E" w:rsidRPr="00990D3B" w:rsidP="002B40CC" w14:paraId="707E8B7A" w14:textId="77777777">
      <w:pPr>
        <w:pStyle w:val="H2EQRWorksheet"/>
      </w:pPr>
      <w:r w:rsidRPr="00990D3B">
        <w:t>MCP Contact Information</w:t>
      </w:r>
    </w:p>
    <w:p w:rsidR="004F6C0E" w:rsidRPr="00990D3B" w:rsidP="004522BB" w14:paraId="41B9C653" w14:textId="0B0B0B16">
      <w:pPr>
        <w:pStyle w:val="EQRNormalSSWORKSHEET"/>
      </w:pPr>
      <w:r w:rsidRPr="00990D3B">
        <w:t xml:space="preserve">Please insert or verify the MCP contact information below, including the MCP name, MCP contact name and title, mailing address, telephone and fax numbers, </w:t>
      </w:r>
      <w:r w:rsidRPr="00990D3B" w:rsidR="00782B34">
        <w:t>e</w:t>
      </w:r>
      <w:r w:rsidRPr="00990D3B">
        <w:t>-mail address, and date of interview, if applicable.</w:t>
      </w:r>
    </w:p>
    <w:p w:rsidR="004F6C0E" w:rsidRPr="00990D3B" w:rsidP="002B40CC" w14:paraId="2BF23E2A" w14:textId="575DC772">
      <w:pPr>
        <w:pStyle w:val="H2EQRWorksheet"/>
      </w:pPr>
      <w:r w:rsidRPr="00990D3B">
        <w:t>Summary of Requested Documentation Checklist</w:t>
      </w:r>
    </w:p>
    <w:p w:rsidR="004F6C0E" w:rsidRPr="00990D3B" w:rsidP="004522BB" w14:paraId="0747A1E2" w14:textId="77777777">
      <w:pPr>
        <w:pStyle w:val="EQRNormalSSWORKSHEET"/>
      </w:pPr>
      <w:r w:rsidRPr="00990D3B">
        <w:rPr>
          <w:b/>
          <w:bCs/>
        </w:rPr>
        <w:t>Instructions.</w:t>
      </w:r>
      <w:r w:rsidRPr="00990D3B">
        <w:t xml:space="preserve"> As you complete the ISCA tool and gather the files, please label all attached documentation as described in the table column “Requested Document,” and when applicable by the activity number from the ISCA. </w:t>
      </w:r>
      <w:r w:rsidRPr="00990D3B">
        <w:t>You are not limited to providing only the documentation listed below; you are encouraged to provide any additional documentation that helps clarify an answer or eliminates the need for a lengthy response.</w:t>
      </w:r>
    </w:p>
    <w:tbl>
      <w:tblPr>
        <w:tblW w:w="5000" w:type="pct"/>
        <w:jc w:val="center"/>
        <w:tblLayout w:type="fixed"/>
        <w:tblCellMar>
          <w:left w:w="120" w:type="dxa"/>
          <w:right w:w="120" w:type="dxa"/>
        </w:tblCellMar>
        <w:tblLook w:val="0000"/>
      </w:tblPr>
      <w:tblGrid>
        <w:gridCol w:w="1313"/>
        <w:gridCol w:w="2772"/>
        <w:gridCol w:w="5257"/>
      </w:tblGrid>
      <w:tr w14:paraId="000692BA" w14:textId="77777777" w:rsidTr="00C12015">
        <w:tblPrEx>
          <w:tblW w:w="5000" w:type="pct"/>
          <w:jc w:val="center"/>
          <w:tblLayout w:type="fixed"/>
          <w:tblCellMar>
            <w:left w:w="120" w:type="dxa"/>
            <w:right w:w="120" w:type="dxa"/>
          </w:tblCellMar>
          <w:tblLook w:val="0000"/>
        </w:tblPrEx>
        <w:trPr>
          <w:tblHeader/>
          <w:jc w:val="center"/>
        </w:trPr>
        <w:tc>
          <w:tcPr>
            <w:tcW w:w="1359" w:type="dxa"/>
            <w:tcBorders>
              <w:top w:val="single" w:sz="7" w:space="0" w:color="000000"/>
              <w:left w:val="single" w:sz="7" w:space="0" w:color="000000"/>
              <w:bottom w:val="single" w:sz="7" w:space="0" w:color="000000"/>
              <w:right w:val="single" w:sz="7" w:space="0" w:color="000000"/>
            </w:tcBorders>
            <w:vAlign w:val="bottom"/>
          </w:tcPr>
          <w:p w:rsidR="004F6C0E" w:rsidRPr="00990D3B" w:rsidP="00C12015" w14:paraId="621A1FA9" w14:textId="21A8A211">
            <w:pPr>
              <w:pStyle w:val="EQRTableHeaderLeft"/>
              <w:rPr>
                <w:color w:val="auto"/>
              </w:rPr>
            </w:pPr>
            <w:r w:rsidRPr="00990D3B">
              <w:rPr>
                <w:color w:val="auto"/>
              </w:rPr>
              <w:t xml:space="preserve">Check </w:t>
            </w:r>
            <w:r w:rsidRPr="00990D3B" w:rsidR="006F56F0">
              <w:rPr>
                <w:color w:val="auto"/>
              </w:rPr>
              <w:t>b</w:t>
            </w:r>
            <w:r w:rsidRPr="00990D3B">
              <w:rPr>
                <w:color w:val="auto"/>
              </w:rPr>
              <w:t xml:space="preserve">ox if </w:t>
            </w:r>
            <w:r w:rsidRPr="00990D3B" w:rsidR="006F56F0">
              <w:rPr>
                <w:color w:val="auto"/>
              </w:rPr>
              <w:t>d</w:t>
            </w:r>
            <w:r w:rsidRPr="00990D3B">
              <w:rPr>
                <w:color w:val="auto"/>
              </w:rPr>
              <w:t xml:space="preserve">ocument is </w:t>
            </w:r>
            <w:r w:rsidRPr="00990D3B" w:rsidR="006F56F0">
              <w:rPr>
                <w:color w:val="auto"/>
              </w:rPr>
              <w:t>a</w:t>
            </w:r>
            <w:r w:rsidRPr="00990D3B">
              <w:rPr>
                <w:color w:val="auto"/>
              </w:rPr>
              <w:t>ttached</w:t>
            </w:r>
          </w:p>
        </w:tc>
        <w:tc>
          <w:tcPr>
            <w:tcW w:w="2880" w:type="dxa"/>
            <w:tcBorders>
              <w:top w:val="single" w:sz="7" w:space="0" w:color="000000"/>
              <w:left w:val="single" w:sz="7" w:space="0" w:color="000000"/>
              <w:bottom w:val="single" w:sz="7" w:space="0" w:color="000000"/>
              <w:right w:val="single" w:sz="7" w:space="0" w:color="000000"/>
            </w:tcBorders>
            <w:vAlign w:val="bottom"/>
          </w:tcPr>
          <w:p w:rsidR="004F6C0E" w:rsidRPr="00990D3B" w:rsidP="00C12015" w14:paraId="1F3D77F4" w14:textId="57FC7C7D">
            <w:pPr>
              <w:pStyle w:val="EQRTableHeaderCenter"/>
              <w:rPr>
                <w:color w:val="auto"/>
              </w:rPr>
            </w:pPr>
            <w:r w:rsidRPr="00990D3B">
              <w:rPr>
                <w:color w:val="auto"/>
              </w:rPr>
              <w:t xml:space="preserve">Requested </w:t>
            </w:r>
            <w:r w:rsidRPr="00990D3B" w:rsidR="006F56F0">
              <w:rPr>
                <w:color w:val="auto"/>
              </w:rPr>
              <w:t>d</w:t>
            </w:r>
            <w:r w:rsidRPr="00990D3B">
              <w:rPr>
                <w:color w:val="auto"/>
              </w:rPr>
              <w:t>ocument</w:t>
            </w:r>
          </w:p>
        </w:tc>
        <w:tc>
          <w:tcPr>
            <w:tcW w:w="5472" w:type="dxa"/>
            <w:tcBorders>
              <w:top w:val="single" w:sz="7" w:space="0" w:color="000000"/>
              <w:left w:val="single" w:sz="7" w:space="0" w:color="000000"/>
              <w:bottom w:val="single" w:sz="7" w:space="0" w:color="000000"/>
              <w:right w:val="single" w:sz="7" w:space="0" w:color="000000"/>
            </w:tcBorders>
            <w:vAlign w:val="bottom"/>
          </w:tcPr>
          <w:p w:rsidR="004F6C0E" w:rsidRPr="00990D3B" w:rsidP="00C12015" w14:paraId="142F9227" w14:textId="77777777">
            <w:pPr>
              <w:pStyle w:val="EQRTableHeaderCenter"/>
              <w:rPr>
                <w:color w:val="auto"/>
              </w:rPr>
            </w:pPr>
            <w:r w:rsidRPr="00990D3B">
              <w:rPr>
                <w:color w:val="auto"/>
              </w:rPr>
              <w:t>Details</w:t>
            </w:r>
          </w:p>
        </w:tc>
      </w:tr>
      <w:tr w14:paraId="4A94EE6D" w14:textId="77777777" w:rsidTr="00C12015">
        <w:tblPrEx>
          <w:tblW w:w="5000" w:type="pct"/>
          <w:jc w:val="center"/>
          <w:tblLayout w:type="fixed"/>
          <w:tblCellMar>
            <w:left w:w="120" w:type="dxa"/>
            <w:right w:w="120" w:type="dxa"/>
          </w:tblCellMar>
          <w:tblLook w:val="0000"/>
        </w:tblPrEx>
        <w:trPr>
          <w:jc w:val="center"/>
        </w:trPr>
        <w:tc>
          <w:tcPr>
            <w:tcW w:w="1359" w:type="dxa"/>
            <w:tcBorders>
              <w:top w:val="single" w:sz="7" w:space="0" w:color="000000"/>
              <w:left w:val="single" w:sz="7" w:space="0" w:color="000000"/>
              <w:bottom w:val="single" w:sz="7" w:space="0" w:color="000000"/>
              <w:right w:val="single" w:sz="7" w:space="0" w:color="000000"/>
            </w:tcBorders>
          </w:tcPr>
          <w:p w:rsidR="004F6C0E" w:rsidRPr="00990D3B" w:rsidP="00C12015" w14:paraId="173791A9" w14:textId="77777777">
            <w:pPr>
              <w:pStyle w:val="EQRTableText"/>
            </w:pPr>
            <w:r w:rsidRPr="00990D3B">
              <w:t> </w:t>
            </w:r>
          </w:p>
        </w:tc>
        <w:tc>
          <w:tcPr>
            <w:tcW w:w="2880" w:type="dxa"/>
            <w:tcBorders>
              <w:top w:val="single" w:sz="7" w:space="0" w:color="000000"/>
              <w:left w:val="single" w:sz="7" w:space="0" w:color="000000"/>
              <w:bottom w:val="single" w:sz="7" w:space="0" w:color="000000"/>
              <w:right w:val="single" w:sz="7" w:space="0" w:color="000000"/>
            </w:tcBorders>
          </w:tcPr>
          <w:p w:rsidR="004F6C0E" w:rsidRPr="00990D3B" w:rsidP="00C12015" w14:paraId="49DBBAB1" w14:textId="77777777">
            <w:pPr>
              <w:pStyle w:val="EQRTableText"/>
            </w:pPr>
            <w:r w:rsidRPr="00990D3B">
              <w:t>Previous Medicaid Performance Measure Audit Reports</w:t>
            </w:r>
          </w:p>
        </w:tc>
        <w:tc>
          <w:tcPr>
            <w:tcW w:w="5472" w:type="dxa"/>
            <w:tcBorders>
              <w:top w:val="single" w:sz="7" w:space="0" w:color="000000"/>
              <w:left w:val="single" w:sz="7" w:space="0" w:color="000000"/>
              <w:bottom w:val="single" w:sz="7" w:space="0" w:color="000000"/>
              <w:right w:val="single" w:sz="7" w:space="0" w:color="000000"/>
            </w:tcBorders>
          </w:tcPr>
          <w:p w:rsidR="004F6C0E" w:rsidRPr="00990D3B" w:rsidP="00C12015" w14:paraId="0D95E593" w14:textId="77777777">
            <w:pPr>
              <w:pStyle w:val="EQRTableText"/>
            </w:pPr>
            <w:r w:rsidRPr="00990D3B">
              <w:t xml:space="preserve">If applicable, attach the information system analysis report completed as a part of the MCP’s most recent accreditation review or its most recent </w:t>
            </w:r>
            <w:r w:rsidRPr="00990D3B">
              <w:t>third party</w:t>
            </w:r>
            <w:r w:rsidRPr="00990D3B">
              <w:t xml:space="preserve"> performance measure validation process</w:t>
            </w:r>
          </w:p>
        </w:tc>
      </w:tr>
      <w:tr w14:paraId="54CD02EF" w14:textId="77777777" w:rsidTr="00C12015">
        <w:tblPrEx>
          <w:tblW w:w="5000" w:type="pct"/>
          <w:jc w:val="center"/>
          <w:tblLayout w:type="fixed"/>
          <w:tblCellMar>
            <w:left w:w="120" w:type="dxa"/>
            <w:right w:w="120" w:type="dxa"/>
          </w:tblCellMar>
          <w:tblLook w:val="0000"/>
        </w:tblPrEx>
        <w:trPr>
          <w:jc w:val="center"/>
        </w:trPr>
        <w:tc>
          <w:tcPr>
            <w:tcW w:w="1359" w:type="dxa"/>
            <w:tcBorders>
              <w:top w:val="single" w:sz="7" w:space="0" w:color="000000"/>
              <w:left w:val="single" w:sz="7" w:space="0" w:color="000000"/>
              <w:bottom w:val="single" w:sz="7" w:space="0" w:color="000000"/>
              <w:right w:val="single" w:sz="7" w:space="0" w:color="000000"/>
            </w:tcBorders>
          </w:tcPr>
          <w:p w:rsidR="004F6C0E" w:rsidRPr="00990D3B" w:rsidP="00C12015" w14:paraId="4E8BA403" w14:textId="77777777">
            <w:pPr>
              <w:pStyle w:val="EQRTableText"/>
            </w:pPr>
            <w:r w:rsidRPr="00990D3B">
              <w:t> </w:t>
            </w:r>
          </w:p>
        </w:tc>
        <w:tc>
          <w:tcPr>
            <w:tcW w:w="2880" w:type="dxa"/>
            <w:tcBorders>
              <w:top w:val="single" w:sz="7" w:space="0" w:color="000000"/>
              <w:left w:val="single" w:sz="7" w:space="0" w:color="000000"/>
              <w:bottom w:val="single" w:sz="7" w:space="0" w:color="000000"/>
              <w:right w:val="single" w:sz="7" w:space="0" w:color="000000"/>
            </w:tcBorders>
          </w:tcPr>
          <w:p w:rsidR="004F6C0E" w:rsidRPr="00990D3B" w:rsidP="00C12015" w14:paraId="5E1FEDD1" w14:textId="77777777">
            <w:pPr>
              <w:pStyle w:val="EQRTableText"/>
            </w:pPr>
            <w:r w:rsidRPr="00990D3B">
              <w:t>Organizational Chart</w:t>
            </w:r>
          </w:p>
        </w:tc>
        <w:tc>
          <w:tcPr>
            <w:tcW w:w="5472" w:type="dxa"/>
            <w:tcBorders>
              <w:top w:val="single" w:sz="7" w:space="0" w:color="000000"/>
              <w:left w:val="single" w:sz="7" w:space="0" w:color="000000"/>
              <w:bottom w:val="single" w:sz="7" w:space="0" w:color="000000"/>
              <w:right w:val="single" w:sz="7" w:space="0" w:color="000000"/>
            </w:tcBorders>
          </w:tcPr>
          <w:p w:rsidR="004F6C0E" w:rsidRPr="00990D3B" w:rsidP="00C12015" w14:paraId="09F345E4" w14:textId="77777777">
            <w:pPr>
              <w:pStyle w:val="EQRTableText"/>
            </w:pPr>
            <w:r w:rsidRPr="00990D3B">
              <w:t>Attach an organizational chart for your MCP. The chart should make clear the relationship among key Individuals/departments responsible for information management, including performance measure reporting.</w:t>
            </w:r>
          </w:p>
        </w:tc>
      </w:tr>
      <w:tr w14:paraId="79487A0D" w14:textId="77777777" w:rsidTr="00C12015">
        <w:tblPrEx>
          <w:tblW w:w="5000" w:type="pct"/>
          <w:jc w:val="center"/>
          <w:tblLayout w:type="fixed"/>
          <w:tblCellMar>
            <w:left w:w="120" w:type="dxa"/>
            <w:right w:w="120" w:type="dxa"/>
          </w:tblCellMar>
          <w:tblLook w:val="0000"/>
        </w:tblPrEx>
        <w:trPr>
          <w:jc w:val="center"/>
        </w:trPr>
        <w:tc>
          <w:tcPr>
            <w:tcW w:w="1359" w:type="dxa"/>
            <w:tcBorders>
              <w:top w:val="single" w:sz="7" w:space="0" w:color="000000"/>
              <w:left w:val="single" w:sz="7" w:space="0" w:color="000000"/>
              <w:bottom w:val="single" w:sz="7" w:space="0" w:color="000000"/>
              <w:right w:val="single" w:sz="7" w:space="0" w:color="000000"/>
            </w:tcBorders>
          </w:tcPr>
          <w:p w:rsidR="004F6C0E" w:rsidRPr="00990D3B" w:rsidP="00C12015" w14:paraId="57F67320" w14:textId="77777777">
            <w:pPr>
              <w:pStyle w:val="EQRTableText"/>
            </w:pPr>
            <w:r w:rsidRPr="00990D3B">
              <w:t> </w:t>
            </w:r>
          </w:p>
        </w:tc>
        <w:tc>
          <w:tcPr>
            <w:tcW w:w="2880" w:type="dxa"/>
            <w:tcBorders>
              <w:top w:val="single" w:sz="7" w:space="0" w:color="000000"/>
              <w:left w:val="single" w:sz="7" w:space="0" w:color="000000"/>
              <w:bottom w:val="single" w:sz="7" w:space="0" w:color="000000"/>
              <w:right w:val="single" w:sz="7" w:space="0" w:color="000000"/>
            </w:tcBorders>
          </w:tcPr>
          <w:p w:rsidR="004F6C0E" w:rsidRPr="00990D3B" w:rsidP="00C12015" w14:paraId="24AB6679" w14:textId="77777777">
            <w:pPr>
              <w:pStyle w:val="EQRTableText"/>
            </w:pPr>
            <w:r w:rsidRPr="00990D3B">
              <w:t>Data Integration Flow Chart</w:t>
            </w:r>
          </w:p>
        </w:tc>
        <w:tc>
          <w:tcPr>
            <w:tcW w:w="5472" w:type="dxa"/>
            <w:tcBorders>
              <w:top w:val="single" w:sz="7" w:space="0" w:color="000000"/>
              <w:left w:val="single" w:sz="7" w:space="0" w:color="000000"/>
              <w:bottom w:val="single" w:sz="7" w:space="0" w:color="000000"/>
              <w:right w:val="single" w:sz="7" w:space="0" w:color="000000"/>
            </w:tcBorders>
          </w:tcPr>
          <w:p w:rsidR="004F6C0E" w:rsidRPr="00990D3B" w:rsidP="00C12015" w14:paraId="5E86ED3F" w14:textId="486D1B5C">
            <w:pPr>
              <w:pStyle w:val="EQRTableText"/>
            </w:pPr>
            <w:r w:rsidRPr="00990D3B">
              <w:t xml:space="preserve">Attach a flowchart that gives an overview of the structure of your management information system. See the example provided in Section II-D. “Integration and Control of Data for Performance Measure Reporting.” Be sure to show how all claims, encounter, </w:t>
            </w:r>
            <w:r w:rsidRPr="00990D3B" w:rsidR="005F509B">
              <w:t>enrollment</w:t>
            </w:r>
            <w:r w:rsidRPr="00990D3B">
              <w:t>, provider, EHR, and vendor data are integrated for performance measure reporting.</w:t>
            </w:r>
          </w:p>
        </w:tc>
      </w:tr>
      <w:tr w14:paraId="400B2362" w14:textId="77777777" w:rsidTr="00C12015">
        <w:tblPrEx>
          <w:tblW w:w="5000" w:type="pct"/>
          <w:jc w:val="center"/>
          <w:tblLayout w:type="fixed"/>
          <w:tblCellMar>
            <w:left w:w="120" w:type="dxa"/>
            <w:right w:w="120" w:type="dxa"/>
          </w:tblCellMar>
          <w:tblLook w:val="0000"/>
        </w:tblPrEx>
        <w:trPr>
          <w:jc w:val="center"/>
        </w:trPr>
        <w:tc>
          <w:tcPr>
            <w:tcW w:w="1359" w:type="dxa"/>
            <w:tcBorders>
              <w:top w:val="single" w:sz="7" w:space="0" w:color="000000"/>
              <w:left w:val="single" w:sz="7" w:space="0" w:color="000000"/>
              <w:bottom w:val="single" w:sz="7" w:space="0" w:color="000000"/>
              <w:right w:val="single" w:sz="7" w:space="0" w:color="000000"/>
            </w:tcBorders>
          </w:tcPr>
          <w:p w:rsidR="004F6C0E" w:rsidRPr="00990D3B" w:rsidP="00C12015" w14:paraId="6C7F41B3" w14:textId="77777777">
            <w:pPr>
              <w:pStyle w:val="EQRTableText"/>
            </w:pPr>
            <w:r w:rsidRPr="00990D3B">
              <w:t> </w:t>
            </w:r>
          </w:p>
        </w:tc>
        <w:tc>
          <w:tcPr>
            <w:tcW w:w="2880" w:type="dxa"/>
            <w:tcBorders>
              <w:top w:val="single" w:sz="7" w:space="0" w:color="000000"/>
              <w:left w:val="single" w:sz="7" w:space="0" w:color="000000"/>
              <w:bottom w:val="single" w:sz="7" w:space="0" w:color="000000"/>
              <w:right w:val="single" w:sz="7" w:space="0" w:color="000000"/>
            </w:tcBorders>
          </w:tcPr>
          <w:p w:rsidR="004F6C0E" w:rsidRPr="00990D3B" w:rsidP="00C12015" w14:paraId="69086F54" w14:textId="77777777">
            <w:pPr>
              <w:pStyle w:val="EQRTableText"/>
            </w:pPr>
            <w:r w:rsidRPr="00990D3B">
              <w:t>Performance Measure Repository File Structure (if applicable)</w:t>
            </w:r>
          </w:p>
        </w:tc>
        <w:tc>
          <w:tcPr>
            <w:tcW w:w="5472" w:type="dxa"/>
            <w:tcBorders>
              <w:top w:val="single" w:sz="7" w:space="0" w:color="000000"/>
              <w:left w:val="single" w:sz="7" w:space="0" w:color="000000"/>
              <w:bottom w:val="single" w:sz="7" w:space="0" w:color="000000"/>
              <w:right w:val="single" w:sz="7" w:space="0" w:color="000000"/>
            </w:tcBorders>
          </w:tcPr>
          <w:p w:rsidR="004F6C0E" w:rsidRPr="00990D3B" w:rsidP="00C12015" w14:paraId="03A3DABC" w14:textId="77777777">
            <w:pPr>
              <w:pStyle w:val="EQRTableText"/>
            </w:pPr>
            <w:r w:rsidRPr="00990D3B">
              <w:t>Attach a complete file structure, file format, and field definitions for the performance measure repository.</w:t>
            </w:r>
          </w:p>
        </w:tc>
      </w:tr>
      <w:tr w14:paraId="1EEA2F10" w14:textId="77777777" w:rsidTr="00C12015">
        <w:tblPrEx>
          <w:tblW w:w="5000" w:type="pct"/>
          <w:jc w:val="center"/>
          <w:tblLayout w:type="fixed"/>
          <w:tblCellMar>
            <w:left w:w="120" w:type="dxa"/>
            <w:right w:w="120" w:type="dxa"/>
          </w:tblCellMar>
          <w:tblLook w:val="0000"/>
        </w:tblPrEx>
        <w:trPr>
          <w:jc w:val="center"/>
        </w:trPr>
        <w:tc>
          <w:tcPr>
            <w:tcW w:w="1359" w:type="dxa"/>
            <w:tcBorders>
              <w:top w:val="single" w:sz="7" w:space="0" w:color="000000"/>
              <w:left w:val="single" w:sz="7" w:space="0" w:color="000000"/>
              <w:bottom w:val="single" w:sz="7" w:space="0" w:color="000000"/>
              <w:right w:val="single" w:sz="7" w:space="0" w:color="000000"/>
            </w:tcBorders>
          </w:tcPr>
          <w:p w:rsidR="004F6C0E" w:rsidRPr="00990D3B" w:rsidP="00C12015" w14:paraId="06592C37" w14:textId="77777777">
            <w:pPr>
              <w:pStyle w:val="EQRTableText"/>
            </w:pPr>
            <w:r w:rsidRPr="00990D3B">
              <w:t> </w:t>
            </w:r>
          </w:p>
        </w:tc>
        <w:tc>
          <w:tcPr>
            <w:tcW w:w="2880" w:type="dxa"/>
            <w:tcBorders>
              <w:top w:val="single" w:sz="7" w:space="0" w:color="000000"/>
              <w:left w:val="single" w:sz="7" w:space="0" w:color="000000"/>
              <w:bottom w:val="single" w:sz="7" w:space="0" w:color="000000"/>
              <w:right w:val="single" w:sz="7" w:space="0" w:color="000000"/>
            </w:tcBorders>
          </w:tcPr>
          <w:p w:rsidR="004F6C0E" w:rsidRPr="00990D3B" w:rsidP="00C12015" w14:paraId="2601E3A4" w14:textId="77777777">
            <w:pPr>
              <w:pStyle w:val="EQRTableText"/>
            </w:pPr>
            <w:r w:rsidRPr="00990D3B">
              <w:t>Program/Query Language for Performance Measure Repository Reporting (if applicable)</w:t>
            </w:r>
          </w:p>
        </w:tc>
        <w:tc>
          <w:tcPr>
            <w:tcW w:w="5472" w:type="dxa"/>
            <w:tcBorders>
              <w:top w:val="single" w:sz="7" w:space="0" w:color="000000"/>
              <w:left w:val="single" w:sz="7" w:space="0" w:color="000000"/>
              <w:bottom w:val="single" w:sz="7" w:space="0" w:color="000000"/>
              <w:right w:val="single" w:sz="7" w:space="0" w:color="000000"/>
            </w:tcBorders>
          </w:tcPr>
          <w:p w:rsidR="004F6C0E" w:rsidRPr="00990D3B" w:rsidP="00C12015" w14:paraId="3186E41E" w14:textId="77777777">
            <w:pPr>
              <w:pStyle w:val="EQRTableText"/>
            </w:pPr>
            <w:r w:rsidRPr="00990D3B">
              <w:t xml:space="preserve">Attach full documentation on the software programs or codes used to convert performance measure repository data to performance measures. </w:t>
            </w:r>
          </w:p>
        </w:tc>
      </w:tr>
      <w:tr w14:paraId="111CF484" w14:textId="77777777" w:rsidTr="00C12015">
        <w:tblPrEx>
          <w:tblW w:w="5000" w:type="pct"/>
          <w:jc w:val="center"/>
          <w:tblLayout w:type="fixed"/>
          <w:tblCellMar>
            <w:left w:w="120" w:type="dxa"/>
            <w:right w:w="120" w:type="dxa"/>
          </w:tblCellMar>
          <w:tblLook w:val="0000"/>
        </w:tblPrEx>
        <w:trPr>
          <w:jc w:val="center"/>
        </w:trPr>
        <w:tc>
          <w:tcPr>
            <w:tcW w:w="1359" w:type="dxa"/>
            <w:tcBorders>
              <w:top w:val="single" w:sz="7" w:space="0" w:color="000000"/>
              <w:left w:val="single" w:sz="7" w:space="0" w:color="000000"/>
              <w:bottom w:val="single" w:sz="7" w:space="0" w:color="000000"/>
              <w:right w:val="single" w:sz="7" w:space="0" w:color="000000"/>
            </w:tcBorders>
          </w:tcPr>
          <w:p w:rsidR="004F6C0E" w:rsidRPr="00990D3B" w:rsidP="00C12015" w14:paraId="191C3C53" w14:textId="77777777">
            <w:pPr>
              <w:pStyle w:val="EQRTableText"/>
            </w:pPr>
            <w:r w:rsidRPr="00990D3B">
              <w:t> </w:t>
            </w:r>
          </w:p>
        </w:tc>
        <w:tc>
          <w:tcPr>
            <w:tcW w:w="2880" w:type="dxa"/>
            <w:tcBorders>
              <w:top w:val="single" w:sz="7" w:space="0" w:color="000000"/>
              <w:left w:val="single" w:sz="7" w:space="0" w:color="000000"/>
              <w:bottom w:val="single" w:sz="7" w:space="0" w:color="000000"/>
              <w:right w:val="single" w:sz="7" w:space="0" w:color="000000"/>
            </w:tcBorders>
          </w:tcPr>
          <w:p w:rsidR="004F6C0E" w:rsidRPr="00990D3B" w:rsidP="00C12015" w14:paraId="6B4308E0" w14:textId="77777777">
            <w:pPr>
              <w:pStyle w:val="EQRTableText"/>
            </w:pPr>
            <w:r w:rsidRPr="00990D3B">
              <w:t>Continuous Enrollment Source Code</w:t>
            </w:r>
          </w:p>
        </w:tc>
        <w:tc>
          <w:tcPr>
            <w:tcW w:w="5472" w:type="dxa"/>
            <w:tcBorders>
              <w:top w:val="single" w:sz="7" w:space="0" w:color="000000"/>
              <w:left w:val="single" w:sz="7" w:space="0" w:color="000000"/>
              <w:bottom w:val="single" w:sz="7" w:space="0" w:color="000000"/>
              <w:right w:val="single" w:sz="7" w:space="0" w:color="000000"/>
            </w:tcBorders>
          </w:tcPr>
          <w:p w:rsidR="004F6C0E" w:rsidRPr="00990D3B" w:rsidP="00C12015" w14:paraId="05B87995" w14:textId="4E9F0B13">
            <w:pPr>
              <w:pStyle w:val="EQRTableText"/>
            </w:pPr>
            <w:r w:rsidRPr="00990D3B">
              <w:t>Attach a copy of the source code that you use to calculate continuous enrollment for Medicaid or CHIP enrollees. If no source code is use</w:t>
            </w:r>
            <w:r w:rsidRPr="00990D3B" w:rsidR="00EC6E23">
              <w:t>d</w:t>
            </w:r>
            <w:r w:rsidRPr="00990D3B">
              <w:t>, then provide the computer program used</w:t>
            </w:r>
          </w:p>
        </w:tc>
      </w:tr>
      <w:tr w14:paraId="5FA60A63" w14:textId="77777777" w:rsidTr="00C12015">
        <w:tblPrEx>
          <w:tblW w:w="5000" w:type="pct"/>
          <w:jc w:val="center"/>
          <w:tblLayout w:type="fixed"/>
          <w:tblCellMar>
            <w:left w:w="120" w:type="dxa"/>
            <w:right w:w="120" w:type="dxa"/>
          </w:tblCellMar>
          <w:tblLook w:val="0000"/>
        </w:tblPrEx>
        <w:trPr>
          <w:jc w:val="center"/>
        </w:trPr>
        <w:tc>
          <w:tcPr>
            <w:tcW w:w="1359" w:type="dxa"/>
            <w:tcBorders>
              <w:top w:val="single" w:sz="7" w:space="0" w:color="000000"/>
              <w:left w:val="single" w:sz="7" w:space="0" w:color="000000"/>
              <w:bottom w:val="single" w:sz="7" w:space="0" w:color="000000"/>
              <w:right w:val="single" w:sz="7" w:space="0" w:color="000000"/>
            </w:tcBorders>
          </w:tcPr>
          <w:p w:rsidR="004F6C0E" w:rsidRPr="00990D3B" w:rsidP="00C12015" w14:paraId="1EDD25F3" w14:textId="77777777">
            <w:pPr>
              <w:pStyle w:val="EQRTableText"/>
            </w:pPr>
            <w:r w:rsidRPr="00990D3B">
              <w:t> </w:t>
            </w:r>
          </w:p>
        </w:tc>
        <w:tc>
          <w:tcPr>
            <w:tcW w:w="2880" w:type="dxa"/>
            <w:tcBorders>
              <w:top w:val="single" w:sz="7" w:space="0" w:color="000000"/>
              <w:left w:val="single" w:sz="7" w:space="0" w:color="000000"/>
              <w:bottom w:val="single" w:sz="7" w:space="0" w:color="000000"/>
              <w:right w:val="single" w:sz="7" w:space="0" w:color="000000"/>
            </w:tcBorders>
          </w:tcPr>
          <w:p w:rsidR="004F6C0E" w:rsidRPr="00990D3B" w:rsidP="00C12015" w14:paraId="2505A562" w14:textId="77777777">
            <w:pPr>
              <w:pStyle w:val="EQRTableText"/>
            </w:pPr>
            <w:r w:rsidRPr="00990D3B">
              <w:t>Medicaid Member Months Source Code</w:t>
            </w:r>
          </w:p>
        </w:tc>
        <w:tc>
          <w:tcPr>
            <w:tcW w:w="5472" w:type="dxa"/>
            <w:tcBorders>
              <w:top w:val="single" w:sz="7" w:space="0" w:color="000000"/>
              <w:left w:val="single" w:sz="7" w:space="0" w:color="000000"/>
              <w:bottom w:val="single" w:sz="7" w:space="0" w:color="000000"/>
              <w:right w:val="single" w:sz="7" w:space="0" w:color="000000"/>
            </w:tcBorders>
          </w:tcPr>
          <w:p w:rsidR="004F6C0E" w:rsidRPr="00990D3B" w:rsidP="00C12015" w14:paraId="64A66CBA" w14:textId="77777777">
            <w:pPr>
              <w:pStyle w:val="EQRTableText"/>
            </w:pPr>
            <w:r w:rsidRPr="00990D3B">
              <w:t>Attach a copy of the source code/computer programs that you use to calculate member months, member years for Medicaid or CHIP enrollees.</w:t>
            </w:r>
          </w:p>
        </w:tc>
      </w:tr>
      <w:tr w14:paraId="761D579B" w14:textId="77777777" w:rsidTr="00C12015">
        <w:tblPrEx>
          <w:tblW w:w="5000" w:type="pct"/>
          <w:jc w:val="center"/>
          <w:tblLayout w:type="fixed"/>
          <w:tblCellMar>
            <w:left w:w="120" w:type="dxa"/>
            <w:right w:w="120" w:type="dxa"/>
          </w:tblCellMar>
          <w:tblLook w:val="0000"/>
        </w:tblPrEx>
        <w:trPr>
          <w:jc w:val="center"/>
        </w:trPr>
        <w:tc>
          <w:tcPr>
            <w:tcW w:w="1359" w:type="dxa"/>
            <w:tcBorders>
              <w:top w:val="single" w:sz="7" w:space="0" w:color="000000"/>
              <w:left w:val="single" w:sz="7" w:space="0" w:color="000000"/>
              <w:bottom w:val="single" w:sz="7" w:space="0" w:color="000000"/>
              <w:right w:val="single" w:sz="7" w:space="0" w:color="000000"/>
            </w:tcBorders>
          </w:tcPr>
          <w:p w:rsidR="004F6C0E" w:rsidRPr="00990D3B" w:rsidP="00C12015" w14:paraId="7FE96A9A" w14:textId="77777777">
            <w:pPr>
              <w:pStyle w:val="EQRTableText"/>
            </w:pPr>
            <w:r w:rsidRPr="00990D3B">
              <w:t> </w:t>
            </w:r>
          </w:p>
        </w:tc>
        <w:tc>
          <w:tcPr>
            <w:tcW w:w="2880" w:type="dxa"/>
            <w:tcBorders>
              <w:top w:val="single" w:sz="7" w:space="0" w:color="000000"/>
              <w:left w:val="single" w:sz="7" w:space="0" w:color="000000"/>
              <w:bottom w:val="single" w:sz="7" w:space="0" w:color="000000"/>
              <w:right w:val="single" w:sz="7" w:space="0" w:color="000000"/>
            </w:tcBorders>
          </w:tcPr>
          <w:p w:rsidR="004F6C0E" w:rsidRPr="00990D3B" w:rsidP="00C12015" w14:paraId="38AB92B4" w14:textId="77777777">
            <w:pPr>
              <w:pStyle w:val="EQRTableText"/>
            </w:pPr>
            <w:r w:rsidRPr="00990D3B">
              <w:t>Medicaid or CHIP Claims Edits</w:t>
            </w:r>
          </w:p>
        </w:tc>
        <w:tc>
          <w:tcPr>
            <w:tcW w:w="5472" w:type="dxa"/>
            <w:tcBorders>
              <w:top w:val="single" w:sz="7" w:space="0" w:color="000000"/>
              <w:left w:val="single" w:sz="7" w:space="0" w:color="000000"/>
              <w:bottom w:val="single" w:sz="7" w:space="0" w:color="000000"/>
              <w:right w:val="single" w:sz="7" w:space="0" w:color="000000"/>
            </w:tcBorders>
          </w:tcPr>
          <w:p w:rsidR="004F6C0E" w:rsidRPr="00990D3B" w:rsidP="00C12015" w14:paraId="2927C781" w14:textId="77777777">
            <w:pPr>
              <w:pStyle w:val="EQRTableText"/>
            </w:pPr>
            <w:r w:rsidRPr="00990D3B">
              <w:t>Attach a list of specific edits performed on claims as they are adjudicated with notation of performance timing (pre- or post-payment) and whether they are manual or automated functions.</w:t>
            </w:r>
          </w:p>
        </w:tc>
      </w:tr>
      <w:tr w14:paraId="0143B7A7" w14:textId="77777777" w:rsidTr="00C12015">
        <w:tblPrEx>
          <w:tblW w:w="5000" w:type="pct"/>
          <w:jc w:val="center"/>
          <w:tblLayout w:type="fixed"/>
          <w:tblCellMar>
            <w:left w:w="120" w:type="dxa"/>
            <w:right w:w="120" w:type="dxa"/>
          </w:tblCellMar>
          <w:tblLook w:val="0000"/>
        </w:tblPrEx>
        <w:trPr>
          <w:jc w:val="center"/>
        </w:trPr>
        <w:tc>
          <w:tcPr>
            <w:tcW w:w="1359" w:type="dxa"/>
            <w:tcBorders>
              <w:top w:val="single" w:sz="7" w:space="0" w:color="000000"/>
              <w:left w:val="single" w:sz="7" w:space="0" w:color="000000"/>
              <w:bottom w:val="single" w:sz="7" w:space="0" w:color="000000"/>
              <w:right w:val="single" w:sz="7" w:space="0" w:color="000000"/>
            </w:tcBorders>
          </w:tcPr>
          <w:p w:rsidR="004F6C0E" w:rsidRPr="00990D3B" w:rsidP="00C12015" w14:paraId="5EB6DAE7" w14:textId="77777777">
            <w:pPr>
              <w:pStyle w:val="EQRTableText"/>
            </w:pPr>
            <w:r w:rsidRPr="00990D3B">
              <w:t> </w:t>
            </w:r>
          </w:p>
        </w:tc>
        <w:tc>
          <w:tcPr>
            <w:tcW w:w="2880" w:type="dxa"/>
            <w:tcBorders>
              <w:top w:val="single" w:sz="7" w:space="0" w:color="000000"/>
              <w:left w:val="single" w:sz="7" w:space="0" w:color="000000"/>
              <w:bottom w:val="single" w:sz="7" w:space="0" w:color="000000"/>
              <w:right w:val="single" w:sz="7" w:space="0" w:color="000000"/>
            </w:tcBorders>
          </w:tcPr>
          <w:p w:rsidR="004F6C0E" w:rsidRPr="00990D3B" w:rsidP="00C12015" w14:paraId="27F8CB07" w14:textId="4D186FB8">
            <w:pPr>
              <w:pStyle w:val="EQRTableText"/>
            </w:pPr>
            <w:r w:rsidRPr="00990D3B">
              <w:t xml:space="preserve">Statistics on Medicaid or CHIP </w:t>
            </w:r>
            <w:r w:rsidRPr="00990D3B" w:rsidR="003978C8">
              <w:t>C</w:t>
            </w:r>
            <w:r w:rsidRPr="00990D3B">
              <w:t>laims/</w:t>
            </w:r>
            <w:r w:rsidRPr="00990D3B" w:rsidR="003978C8">
              <w:t>E</w:t>
            </w:r>
            <w:r w:rsidRPr="00990D3B">
              <w:t xml:space="preserve">ncounters and </w:t>
            </w:r>
            <w:r w:rsidRPr="00990D3B" w:rsidR="003978C8">
              <w:t>O</w:t>
            </w:r>
            <w:r w:rsidRPr="00990D3B">
              <w:t xml:space="preserve">ther </w:t>
            </w:r>
            <w:r w:rsidRPr="00990D3B" w:rsidR="003978C8">
              <w:t>A</w:t>
            </w:r>
            <w:r w:rsidRPr="00990D3B">
              <w:t xml:space="preserve">dministrative </w:t>
            </w:r>
            <w:r w:rsidRPr="00990D3B" w:rsidR="003978C8">
              <w:t>D</w:t>
            </w:r>
            <w:r w:rsidRPr="00990D3B">
              <w:t>ata</w:t>
            </w:r>
          </w:p>
        </w:tc>
        <w:tc>
          <w:tcPr>
            <w:tcW w:w="5472" w:type="dxa"/>
            <w:tcBorders>
              <w:top w:val="single" w:sz="7" w:space="0" w:color="000000"/>
              <w:left w:val="single" w:sz="7" w:space="0" w:color="000000"/>
              <w:bottom w:val="single" w:sz="7" w:space="0" w:color="000000"/>
              <w:right w:val="single" w:sz="7" w:space="0" w:color="000000"/>
            </w:tcBorders>
          </w:tcPr>
          <w:p w:rsidR="004F6C0E" w:rsidRPr="00990D3B" w:rsidP="00C12015" w14:paraId="0E918FBB" w14:textId="77777777">
            <w:pPr>
              <w:pStyle w:val="EQRTableText"/>
            </w:pPr>
            <w:r w:rsidRPr="00990D3B">
              <w:t xml:space="preserve">Attach documentation that explains statistics reported in the </w:t>
            </w:r>
            <w:smartTag w:uri="urn:schemas-microsoft-com:office:smarttags" w:element="stockticker">
              <w:r w:rsidRPr="00990D3B">
                <w:t>ISCA</w:t>
              </w:r>
            </w:smartTag>
            <w:r w:rsidRPr="00990D3B">
              <w:t>.</w:t>
            </w:r>
          </w:p>
        </w:tc>
      </w:tr>
    </w:tbl>
    <w:p w:rsidR="004F6C0E" w:rsidRPr="00990D3B" w:rsidP="002D35CF" w14:paraId="16D97BEB" w14:textId="77777777">
      <w:pPr>
        <w:pStyle w:val="H2EQRWorksheetList1"/>
        <w:numPr>
          <w:ilvl w:val="0"/>
          <w:numId w:val="262"/>
        </w:numPr>
      </w:pPr>
      <w:r w:rsidRPr="00990D3B">
        <w:t>Section 1. Background Information</w:t>
      </w:r>
    </w:p>
    <w:p w:rsidR="004F6C0E" w:rsidRPr="00990D3B" w:rsidP="00902699" w14:paraId="3073AB92" w14:textId="5906FAF7">
      <w:pPr>
        <w:pStyle w:val="H2EQRWorksheetlist2"/>
      </w:pPr>
      <w:r w:rsidRPr="00990D3B">
        <w:t xml:space="preserve">Please select </w:t>
      </w:r>
      <w:r w:rsidRPr="00990D3B" w:rsidR="00D57ADD">
        <w:t>the MCP type</w:t>
      </w:r>
      <w:r w:rsidRPr="00990D3B">
        <w:t>. Mark only one.</w:t>
      </w:r>
    </w:p>
    <w:p w:rsidR="004F6C0E" w:rsidRPr="00990D3B" w:rsidP="00AC56F7" w14:paraId="6089BCEB" w14:textId="7E409CFE">
      <w:pPr>
        <w:pStyle w:val="EQRNormalSSWSquestion2"/>
      </w:pPr>
      <w:r w:rsidRPr="00990D3B">
        <w:tab/>
      </w:r>
      <w:r w:rsidRPr="00990D3B">
        <w:t xml:space="preserve">□ MCO </w:t>
      </w:r>
    </w:p>
    <w:p w:rsidR="004F6C0E" w:rsidRPr="00990D3B" w:rsidP="00AC56F7" w14:paraId="1F216066" w14:textId="0FD3C35F">
      <w:pPr>
        <w:pStyle w:val="EQRNormalSSWSquestion2"/>
      </w:pPr>
      <w:r w:rsidRPr="00990D3B">
        <w:tab/>
      </w:r>
      <w:r w:rsidRPr="00990D3B">
        <w:t>□ PIHP</w:t>
      </w:r>
    </w:p>
    <w:p w:rsidR="004F6C0E" w:rsidRPr="00990D3B" w:rsidP="00AC56F7" w14:paraId="5E7BDCC1" w14:textId="49FADA2B">
      <w:pPr>
        <w:pStyle w:val="EQRNormalSSWSquestion2"/>
      </w:pPr>
      <w:r w:rsidRPr="00990D3B">
        <w:tab/>
        <w:t xml:space="preserve">□ PAHP  </w:t>
      </w:r>
    </w:p>
    <w:p w:rsidR="004F6C0E" w:rsidRPr="00990D3B" w:rsidP="003246EB" w14:paraId="50D0BEB0" w14:textId="3FD74EEC">
      <w:pPr>
        <w:pStyle w:val="H2EQRWorksheetlist2"/>
      </w:pPr>
      <w:r w:rsidRPr="00990D3B">
        <w:t>What year was the MCP incorporated? ______________</w:t>
      </w:r>
    </w:p>
    <w:p w:rsidR="004F6C0E" w:rsidRPr="00990D3B" w:rsidP="004B21B2" w14:paraId="73305953" w14:textId="50198E41">
      <w:pPr>
        <w:pStyle w:val="H2EQRWorksheetlist2"/>
      </w:pPr>
      <w:r w:rsidRPr="00990D3B">
        <w:t xml:space="preserve">Enter your average unduplicated member enrollment for the last three years. For each column </w:t>
      </w:r>
      <w:r w:rsidRPr="00990D3B">
        <w:t>enter</w:t>
      </w:r>
      <w:r w:rsidRPr="00990D3B">
        <w:t xml:space="preserve"> the reference year.</w:t>
      </w:r>
    </w:p>
    <w:tbl>
      <w:tblPr>
        <w:tblStyle w:val="TableGrid"/>
        <w:tblW w:w="5000" w:type="pct"/>
        <w:tblLook w:val="04A0"/>
      </w:tblPr>
      <w:tblGrid>
        <w:gridCol w:w="2337"/>
        <w:gridCol w:w="2337"/>
        <w:gridCol w:w="2338"/>
        <w:gridCol w:w="2338"/>
      </w:tblGrid>
      <w:tr w14:paraId="43A29389" w14:textId="77777777" w:rsidTr="00602414">
        <w:tblPrEx>
          <w:tblW w:w="5000" w:type="pct"/>
          <w:tblLook w:val="04A0"/>
        </w:tblPrEx>
        <w:tc>
          <w:tcPr>
            <w:tcW w:w="2337" w:type="dxa"/>
          </w:tcPr>
          <w:p w:rsidR="004F6C0E" w:rsidRPr="00990D3B" w:rsidP="00602414" w14:paraId="20DFBADE" w14:textId="77777777">
            <w:pPr>
              <w:pStyle w:val="EQRTableHeaderLeft"/>
              <w:rPr>
                <w:color w:val="auto"/>
              </w:rPr>
            </w:pPr>
            <w:r w:rsidRPr="00990D3B">
              <w:rPr>
                <w:color w:val="auto"/>
              </w:rPr>
              <w:t>Insurer</w:t>
            </w:r>
          </w:p>
        </w:tc>
        <w:tc>
          <w:tcPr>
            <w:tcW w:w="2337" w:type="dxa"/>
          </w:tcPr>
          <w:p w:rsidR="004F6C0E" w:rsidRPr="00990D3B" w:rsidP="00602414" w14:paraId="421097E9" w14:textId="77777777">
            <w:pPr>
              <w:pStyle w:val="EQRTableHeaderCenter"/>
              <w:rPr>
                <w:color w:val="auto"/>
              </w:rPr>
            </w:pPr>
            <w:r w:rsidRPr="00990D3B">
              <w:rPr>
                <w:color w:val="auto"/>
              </w:rPr>
              <w:t>Year 1:</w:t>
            </w:r>
          </w:p>
        </w:tc>
        <w:tc>
          <w:tcPr>
            <w:tcW w:w="2338" w:type="dxa"/>
          </w:tcPr>
          <w:p w:rsidR="004F6C0E" w:rsidRPr="00990D3B" w:rsidP="00602414" w14:paraId="11A0A781" w14:textId="77777777">
            <w:pPr>
              <w:pStyle w:val="EQRTableHeaderCenter"/>
              <w:rPr>
                <w:color w:val="auto"/>
              </w:rPr>
            </w:pPr>
            <w:r w:rsidRPr="00990D3B">
              <w:rPr>
                <w:color w:val="auto"/>
              </w:rPr>
              <w:t>Year 2:</w:t>
            </w:r>
          </w:p>
        </w:tc>
        <w:tc>
          <w:tcPr>
            <w:tcW w:w="2338" w:type="dxa"/>
          </w:tcPr>
          <w:p w:rsidR="004F6C0E" w:rsidRPr="00990D3B" w:rsidP="00602414" w14:paraId="5B46BBE1" w14:textId="77777777">
            <w:pPr>
              <w:pStyle w:val="EQRTableHeaderCenter"/>
              <w:rPr>
                <w:color w:val="auto"/>
              </w:rPr>
            </w:pPr>
            <w:r w:rsidRPr="00990D3B">
              <w:rPr>
                <w:color w:val="auto"/>
              </w:rPr>
              <w:t>Year 3:</w:t>
            </w:r>
          </w:p>
        </w:tc>
      </w:tr>
      <w:tr w14:paraId="56E1CD59" w14:textId="77777777" w:rsidTr="00602414">
        <w:tblPrEx>
          <w:tblW w:w="5000" w:type="pct"/>
          <w:tblLook w:val="04A0"/>
        </w:tblPrEx>
        <w:tc>
          <w:tcPr>
            <w:tcW w:w="2337" w:type="dxa"/>
          </w:tcPr>
          <w:p w:rsidR="004F6C0E" w:rsidRPr="00990D3B" w:rsidP="00602414" w14:paraId="4F02BEB8" w14:textId="77777777">
            <w:pPr>
              <w:pStyle w:val="EQRTableText"/>
            </w:pPr>
            <w:r w:rsidRPr="00990D3B">
              <w:t>Privately insured</w:t>
            </w:r>
          </w:p>
        </w:tc>
        <w:tc>
          <w:tcPr>
            <w:tcW w:w="2337" w:type="dxa"/>
          </w:tcPr>
          <w:p w:rsidR="004F6C0E" w:rsidRPr="00990D3B" w:rsidP="00602414" w14:paraId="375B6B6A" w14:textId="77777777">
            <w:pPr>
              <w:pStyle w:val="EQRTableText"/>
            </w:pPr>
            <w:r w:rsidRPr="00990D3B">
              <w:t> </w:t>
            </w:r>
          </w:p>
        </w:tc>
        <w:tc>
          <w:tcPr>
            <w:tcW w:w="2338" w:type="dxa"/>
          </w:tcPr>
          <w:p w:rsidR="004F6C0E" w:rsidRPr="00990D3B" w:rsidP="00602414" w14:paraId="4934A1CA" w14:textId="77777777">
            <w:pPr>
              <w:pStyle w:val="EQRTableText"/>
            </w:pPr>
            <w:r w:rsidRPr="00990D3B">
              <w:t> </w:t>
            </w:r>
          </w:p>
        </w:tc>
        <w:tc>
          <w:tcPr>
            <w:tcW w:w="2338" w:type="dxa"/>
          </w:tcPr>
          <w:p w:rsidR="004F6C0E" w:rsidRPr="00990D3B" w:rsidP="00602414" w14:paraId="032FABE3" w14:textId="77777777">
            <w:pPr>
              <w:pStyle w:val="EQRTableText"/>
            </w:pPr>
            <w:r w:rsidRPr="00990D3B">
              <w:t> </w:t>
            </w:r>
          </w:p>
        </w:tc>
      </w:tr>
      <w:tr w14:paraId="3079A858" w14:textId="77777777" w:rsidTr="00602414">
        <w:tblPrEx>
          <w:tblW w:w="5000" w:type="pct"/>
          <w:tblLook w:val="04A0"/>
        </w:tblPrEx>
        <w:tc>
          <w:tcPr>
            <w:tcW w:w="2337" w:type="dxa"/>
          </w:tcPr>
          <w:p w:rsidR="004F6C0E" w:rsidRPr="00990D3B" w:rsidP="00602414" w14:paraId="2F8FBDC8" w14:textId="77777777">
            <w:pPr>
              <w:pStyle w:val="EQRTableText"/>
            </w:pPr>
            <w:r w:rsidRPr="00990D3B">
              <w:t>Medicare</w:t>
            </w:r>
          </w:p>
        </w:tc>
        <w:tc>
          <w:tcPr>
            <w:tcW w:w="2337" w:type="dxa"/>
          </w:tcPr>
          <w:p w:rsidR="004F6C0E" w:rsidRPr="00990D3B" w:rsidP="00602414" w14:paraId="38706218" w14:textId="77777777">
            <w:pPr>
              <w:pStyle w:val="EQRTableText"/>
            </w:pPr>
            <w:r w:rsidRPr="00990D3B">
              <w:t> </w:t>
            </w:r>
          </w:p>
        </w:tc>
        <w:tc>
          <w:tcPr>
            <w:tcW w:w="2338" w:type="dxa"/>
          </w:tcPr>
          <w:p w:rsidR="004F6C0E" w:rsidRPr="00990D3B" w:rsidP="00602414" w14:paraId="4A7014A6" w14:textId="77777777">
            <w:pPr>
              <w:pStyle w:val="EQRTableText"/>
            </w:pPr>
            <w:r w:rsidRPr="00990D3B">
              <w:t> </w:t>
            </w:r>
          </w:p>
        </w:tc>
        <w:tc>
          <w:tcPr>
            <w:tcW w:w="2338" w:type="dxa"/>
          </w:tcPr>
          <w:p w:rsidR="004F6C0E" w:rsidRPr="00990D3B" w:rsidP="00602414" w14:paraId="48D50DA7" w14:textId="77777777">
            <w:pPr>
              <w:pStyle w:val="EQRTableText"/>
            </w:pPr>
            <w:r w:rsidRPr="00990D3B">
              <w:t> </w:t>
            </w:r>
          </w:p>
        </w:tc>
      </w:tr>
      <w:tr w14:paraId="621E49E8" w14:textId="77777777" w:rsidTr="00602414">
        <w:tblPrEx>
          <w:tblW w:w="5000" w:type="pct"/>
          <w:tblLook w:val="04A0"/>
        </w:tblPrEx>
        <w:tc>
          <w:tcPr>
            <w:tcW w:w="2337" w:type="dxa"/>
          </w:tcPr>
          <w:p w:rsidR="004F6C0E" w:rsidRPr="00990D3B" w:rsidP="00602414" w14:paraId="463C084B" w14:textId="77777777">
            <w:pPr>
              <w:pStyle w:val="EQRTableText"/>
            </w:pPr>
            <w:r w:rsidRPr="00990D3B">
              <w:t>Medicaid</w:t>
            </w:r>
          </w:p>
        </w:tc>
        <w:tc>
          <w:tcPr>
            <w:tcW w:w="2337" w:type="dxa"/>
          </w:tcPr>
          <w:p w:rsidR="004F6C0E" w:rsidRPr="00990D3B" w:rsidP="00602414" w14:paraId="0816F44D" w14:textId="77777777">
            <w:pPr>
              <w:pStyle w:val="EQRTableText"/>
            </w:pPr>
            <w:r w:rsidRPr="00990D3B">
              <w:t> </w:t>
            </w:r>
          </w:p>
        </w:tc>
        <w:tc>
          <w:tcPr>
            <w:tcW w:w="2338" w:type="dxa"/>
          </w:tcPr>
          <w:p w:rsidR="004F6C0E" w:rsidRPr="00990D3B" w:rsidP="00602414" w14:paraId="73A6D349" w14:textId="77777777">
            <w:pPr>
              <w:pStyle w:val="EQRTableText"/>
            </w:pPr>
            <w:r w:rsidRPr="00990D3B">
              <w:t> </w:t>
            </w:r>
          </w:p>
        </w:tc>
        <w:tc>
          <w:tcPr>
            <w:tcW w:w="2338" w:type="dxa"/>
          </w:tcPr>
          <w:p w:rsidR="004F6C0E" w:rsidRPr="00990D3B" w:rsidP="00602414" w14:paraId="620482E4" w14:textId="77777777">
            <w:pPr>
              <w:pStyle w:val="EQRTableText"/>
            </w:pPr>
            <w:r w:rsidRPr="00990D3B">
              <w:t> </w:t>
            </w:r>
          </w:p>
        </w:tc>
      </w:tr>
      <w:tr w14:paraId="5886C15A" w14:textId="77777777" w:rsidTr="00602414">
        <w:tblPrEx>
          <w:tblW w:w="5000" w:type="pct"/>
          <w:tblLook w:val="04A0"/>
        </w:tblPrEx>
        <w:tc>
          <w:tcPr>
            <w:tcW w:w="2337" w:type="dxa"/>
          </w:tcPr>
          <w:p w:rsidR="004F6C0E" w:rsidRPr="00990D3B" w:rsidP="00602414" w14:paraId="3F062465" w14:textId="77777777">
            <w:pPr>
              <w:pStyle w:val="EQRTableText"/>
            </w:pPr>
            <w:r w:rsidRPr="00990D3B">
              <w:t>CHIP</w:t>
            </w:r>
          </w:p>
        </w:tc>
        <w:tc>
          <w:tcPr>
            <w:tcW w:w="2337" w:type="dxa"/>
          </w:tcPr>
          <w:p w:rsidR="004F6C0E" w:rsidRPr="00990D3B" w:rsidP="00602414" w14:paraId="69AF0BBC" w14:textId="77777777">
            <w:pPr>
              <w:pStyle w:val="EQRTableText"/>
            </w:pPr>
            <w:r w:rsidRPr="00990D3B">
              <w:t> </w:t>
            </w:r>
          </w:p>
        </w:tc>
        <w:tc>
          <w:tcPr>
            <w:tcW w:w="2338" w:type="dxa"/>
          </w:tcPr>
          <w:p w:rsidR="004F6C0E" w:rsidRPr="00990D3B" w:rsidP="00602414" w14:paraId="7B620B5A" w14:textId="77777777">
            <w:pPr>
              <w:pStyle w:val="EQRTableText"/>
            </w:pPr>
            <w:r w:rsidRPr="00990D3B">
              <w:t> </w:t>
            </w:r>
          </w:p>
        </w:tc>
        <w:tc>
          <w:tcPr>
            <w:tcW w:w="2338" w:type="dxa"/>
          </w:tcPr>
          <w:p w:rsidR="004F6C0E" w:rsidRPr="00990D3B" w:rsidP="00602414" w14:paraId="7B5A76A6" w14:textId="77777777">
            <w:pPr>
              <w:pStyle w:val="EQRTableText"/>
            </w:pPr>
            <w:r w:rsidRPr="00990D3B">
              <w:t> </w:t>
            </w:r>
          </w:p>
        </w:tc>
      </w:tr>
      <w:tr w14:paraId="0A2C912C" w14:textId="77777777" w:rsidTr="00602414">
        <w:tblPrEx>
          <w:tblW w:w="5000" w:type="pct"/>
          <w:tblLook w:val="04A0"/>
        </w:tblPrEx>
        <w:tc>
          <w:tcPr>
            <w:tcW w:w="2337" w:type="dxa"/>
          </w:tcPr>
          <w:p w:rsidR="004F6C0E" w:rsidRPr="00990D3B" w:rsidP="00602414" w14:paraId="44B48E0F" w14:textId="77777777">
            <w:pPr>
              <w:pStyle w:val="EQRTableText"/>
            </w:pPr>
            <w:r w:rsidRPr="00990D3B">
              <w:t>Other (specify)</w:t>
            </w:r>
          </w:p>
        </w:tc>
        <w:tc>
          <w:tcPr>
            <w:tcW w:w="2337" w:type="dxa"/>
          </w:tcPr>
          <w:p w:rsidR="004F6C0E" w:rsidRPr="00990D3B" w:rsidP="00602414" w14:paraId="5DBAB2A9" w14:textId="77777777">
            <w:pPr>
              <w:pStyle w:val="EQRTableText"/>
            </w:pPr>
            <w:r w:rsidRPr="00990D3B">
              <w:t> </w:t>
            </w:r>
          </w:p>
        </w:tc>
        <w:tc>
          <w:tcPr>
            <w:tcW w:w="2338" w:type="dxa"/>
          </w:tcPr>
          <w:p w:rsidR="004F6C0E" w:rsidRPr="00990D3B" w:rsidP="00602414" w14:paraId="5E64D5BC" w14:textId="77777777">
            <w:pPr>
              <w:pStyle w:val="EQRTableText"/>
            </w:pPr>
            <w:r w:rsidRPr="00990D3B">
              <w:t> </w:t>
            </w:r>
          </w:p>
        </w:tc>
        <w:tc>
          <w:tcPr>
            <w:tcW w:w="2338" w:type="dxa"/>
          </w:tcPr>
          <w:p w:rsidR="004F6C0E" w:rsidRPr="00990D3B" w:rsidP="00602414" w14:paraId="5D686D0E" w14:textId="77777777">
            <w:pPr>
              <w:pStyle w:val="EQRTableText"/>
            </w:pPr>
            <w:r w:rsidRPr="00990D3B">
              <w:t> </w:t>
            </w:r>
          </w:p>
        </w:tc>
      </w:tr>
    </w:tbl>
    <w:p w:rsidR="00AF0A07" w:rsidRPr="00990D3B" w:rsidP="003246EB" w14:paraId="0FCDAD30" w14:textId="77777777">
      <w:pPr>
        <w:pStyle w:val="H2EQRWorksheetlist2"/>
        <w:rPr>
          <w:b/>
        </w:rPr>
      </w:pPr>
      <w:r w:rsidRPr="00990D3B">
        <w:t>Has your organization ever undergone a formal information system capability assessment?</w:t>
      </w:r>
    </w:p>
    <w:p w:rsidR="004F6C0E" w:rsidRPr="00990D3B" w:rsidP="009728CE" w14:paraId="6430574D" w14:textId="66BFE549">
      <w:pPr>
        <w:pStyle w:val="EQRNormalSSWSquestion2"/>
      </w:pPr>
      <w:r w:rsidRPr="00990D3B">
        <w:tab/>
      </w:r>
      <w:r w:rsidRPr="00990D3B">
        <w:tab/>
        <w:t>□ Yes</w:t>
      </w:r>
    </w:p>
    <w:p w:rsidR="004F6C0E" w:rsidRPr="00990D3B" w:rsidP="009728CE" w14:paraId="2D920D80" w14:textId="3BE947B6">
      <w:pPr>
        <w:pStyle w:val="EQRNormalSSWSquestion2"/>
      </w:pPr>
      <w:r w:rsidRPr="00990D3B">
        <w:tab/>
      </w:r>
      <w:r w:rsidRPr="00990D3B">
        <w:tab/>
        <w:t>□ No (GO TO SECTION 2)</w:t>
      </w:r>
    </w:p>
    <w:p w:rsidR="004F6C0E" w:rsidRPr="00990D3B" w:rsidP="004A2E4E" w14:paraId="571CA9E3" w14:textId="4D5A7CC8">
      <w:pPr>
        <w:pStyle w:val="H2EQRWorksheetlist3"/>
      </w:pPr>
      <w:r w:rsidRPr="00990D3B">
        <w:t>If yes, who performed the assessment? ______________</w:t>
      </w:r>
    </w:p>
    <w:p w:rsidR="004F6C0E" w:rsidRPr="00990D3B" w:rsidP="004A2E4E" w14:paraId="01AE40C3" w14:textId="7BD2A023">
      <w:pPr>
        <w:pStyle w:val="H2EQRWorksheetlist3"/>
      </w:pPr>
      <w:r w:rsidRPr="00990D3B">
        <w:t>When was the assessment completed? ______________</w:t>
      </w:r>
    </w:p>
    <w:p w:rsidR="006703A0" w:rsidRPr="00990D3B" w:rsidP="004A2E4E" w14:paraId="33CD8DE7" w14:textId="4CAC7942">
      <w:pPr>
        <w:pStyle w:val="H2EQRWorksheetlist3"/>
        <w:sectPr w:rsidSect="006D3D4A">
          <w:footerReference w:type="even" r:id="rId240"/>
          <w:headerReference w:type="first" r:id="rId241"/>
          <w:footerReference w:type="first" r:id="rId242"/>
          <w:pgSz w:w="12240" w:h="15840" w:code="1"/>
          <w:pgMar w:top="1440" w:right="1440" w:bottom="1440" w:left="1440" w:header="720" w:footer="720" w:gutter="0"/>
          <w:cols w:space="720"/>
          <w:docGrid w:linePitch="360"/>
        </w:sectPr>
      </w:pPr>
      <w:r w:rsidRPr="00990D3B">
        <w:t>Please provide a copy of the results of each assessment performed within the past 2 years.</w:t>
      </w:r>
    </w:p>
    <w:p w:rsidR="004F6C0E" w:rsidRPr="00990D3B" w:rsidP="00902699" w14:paraId="672FEAD5" w14:textId="77777777">
      <w:pPr>
        <w:pStyle w:val="H2EQRWorksheetList1"/>
      </w:pPr>
      <w:r w:rsidRPr="00990D3B">
        <w:t>Section 2. Information Systems: Data Processing Procedures &amp; Personnel</w:t>
      </w:r>
    </w:p>
    <w:p w:rsidR="004F6C0E" w:rsidRPr="00990D3B" w:rsidP="005B73C4" w14:paraId="3450EC3C" w14:textId="77777777">
      <w:pPr>
        <w:pStyle w:val="EQRNormalSSWORKSHEET"/>
        <w:rPr>
          <w:b/>
        </w:rPr>
      </w:pPr>
      <w:r w:rsidRPr="00990D3B">
        <w:t xml:space="preserve">These questions attempt to determine the stability and expertise of the information system department. Responses can provide additional insight into the development cycle responses. Outsourcing means using non-employees to get the work done, sometimes off-site, in which case project specification, management, coordination, and acceptance become key success factors. Enter an educated guess if the turnover rate is unknown. </w:t>
      </w:r>
    </w:p>
    <w:p w:rsidR="004F6C0E" w:rsidRPr="00990D3B" w:rsidP="00325834" w14:paraId="1F838122" w14:textId="54CF8B50">
      <w:pPr>
        <w:pStyle w:val="H2EQRWorksheetlist2"/>
      </w:pPr>
      <w:r w:rsidRPr="00990D3B">
        <w:t>What type of system or repository does your organization use to store Medicaid and CHIP claims and encounter data?</w:t>
      </w:r>
    </w:p>
    <w:p w:rsidR="004F6C0E" w:rsidRPr="00990D3B" w:rsidP="00037435" w14:paraId="12FDA5D5" w14:textId="4D317C40">
      <w:pPr>
        <w:pStyle w:val="H2EQRWorksheetlist2"/>
        <w:rPr>
          <w:b/>
        </w:rPr>
      </w:pPr>
      <w:r w:rsidRPr="00990D3B">
        <w:t xml:space="preserve">Is this data system or repository located onsite or located in the cloud?  </w:t>
      </w:r>
    </w:p>
    <w:p w:rsidR="004F6C0E" w:rsidRPr="00990D3B" w:rsidP="009728CE" w14:paraId="27CFA3DD" w14:textId="70E1123C">
      <w:pPr>
        <w:pStyle w:val="EQRNormalSSWSquestion2"/>
      </w:pPr>
      <w:r w:rsidRPr="00990D3B">
        <w:tab/>
        <w:t xml:space="preserve">□ Onsite (GO TO QUESTION </w:t>
      </w:r>
      <w:r w:rsidRPr="00990D3B" w:rsidR="00555487">
        <w:t>2.</w:t>
      </w:r>
      <w:r w:rsidRPr="00990D3B">
        <w:t>3)</w:t>
      </w:r>
    </w:p>
    <w:p w:rsidR="004F6C0E" w:rsidRPr="00990D3B" w:rsidP="009728CE" w14:paraId="63CE13B3" w14:textId="77777777">
      <w:pPr>
        <w:pStyle w:val="EQRNormalSSWSquestion2"/>
      </w:pPr>
      <w:r w:rsidRPr="00990D3B">
        <w:tab/>
        <w:t>□ In the cloud</w:t>
      </w:r>
    </w:p>
    <w:p w:rsidR="004F6C0E" w:rsidRPr="00990D3B" w:rsidP="002066F7" w14:paraId="73D69FA1" w14:textId="18EE6206">
      <w:pPr>
        <w:pStyle w:val="H2EQRWorksheetlist3"/>
        <w:ind w:left="1339" w:hanging="187"/>
        <w:rPr>
          <w:b/>
        </w:rPr>
      </w:pPr>
      <w:r w:rsidRPr="00990D3B">
        <w:t>If in the cloud, which cloud provider hosts the data?</w:t>
      </w:r>
    </w:p>
    <w:p w:rsidR="004F6C0E" w:rsidRPr="00990D3B" w:rsidP="00325834" w14:paraId="0BB6C905" w14:textId="3C8493F6">
      <w:pPr>
        <w:pStyle w:val="H2EQRWorksheetlist2"/>
        <w:ind w:left="720"/>
      </w:pPr>
      <w:r w:rsidRPr="00990D3B">
        <w:t xml:space="preserve">How would you characterize this system or repository? </w:t>
      </w:r>
      <w:r w:rsidRPr="00990D3B">
        <w:t>Mark</w:t>
      </w:r>
      <w:r w:rsidRPr="00990D3B">
        <w:t xml:space="preserve"> all that apply.</w:t>
      </w:r>
    </w:p>
    <w:p w:rsidR="004F6C0E" w:rsidRPr="00990D3B" w:rsidP="00D30068" w14:paraId="7E4A7D16" w14:textId="5B663FB4">
      <w:pPr>
        <w:pStyle w:val="EQRNormalSSWSquestion2"/>
      </w:pPr>
      <w:r w:rsidRPr="00990D3B">
        <w:tab/>
        <w:t>□ Relational DBMS</w:t>
      </w:r>
    </w:p>
    <w:p w:rsidR="004F6C0E" w:rsidRPr="00990D3B" w:rsidP="00D30068" w14:paraId="0AAD9EA5" w14:textId="77777777">
      <w:pPr>
        <w:pStyle w:val="EQRNormalSSWSquestion2"/>
      </w:pPr>
      <w:r w:rsidRPr="00990D3B">
        <w:tab/>
        <w:t xml:space="preserve">□ Network </w:t>
      </w:r>
    </w:p>
    <w:p w:rsidR="004F6C0E" w:rsidRPr="00990D3B" w:rsidP="00D30068" w14:paraId="41ABD7EA" w14:textId="77777777">
      <w:pPr>
        <w:pStyle w:val="EQRNormalSSWSquestion2"/>
      </w:pPr>
      <w:r w:rsidRPr="00990D3B">
        <w:tab/>
        <w:t>□ Hierarchical DBMS</w:t>
      </w:r>
    </w:p>
    <w:p w:rsidR="004F6C0E" w:rsidRPr="00990D3B" w:rsidP="00D30068" w14:paraId="7886F9C8" w14:textId="77777777">
      <w:pPr>
        <w:pStyle w:val="EQRNormalSSWSquestion2"/>
      </w:pPr>
      <w:r w:rsidRPr="00990D3B">
        <w:tab/>
        <w:t>□ Flat file</w:t>
      </w:r>
    </w:p>
    <w:p w:rsidR="004F6C0E" w:rsidRPr="00990D3B" w:rsidP="00D30068" w14:paraId="6D295C53" w14:textId="77777777">
      <w:pPr>
        <w:pStyle w:val="EQRNormalSSWSquestion2"/>
      </w:pPr>
      <w:r w:rsidRPr="00990D3B">
        <w:tab/>
        <w:t>□ Indexed</w:t>
      </w:r>
    </w:p>
    <w:p w:rsidR="004F6C0E" w:rsidRPr="00990D3B" w:rsidP="00D30068" w14:paraId="66C7C0EE" w14:textId="77777777">
      <w:pPr>
        <w:pStyle w:val="EQRNormalSSWSquestion2"/>
      </w:pPr>
      <w:r w:rsidRPr="00990D3B">
        <w:tab/>
        <w:t>□ Proprietary</w:t>
      </w:r>
    </w:p>
    <w:p w:rsidR="004F6C0E" w:rsidRPr="00990D3B" w:rsidP="00D30068" w14:paraId="18415024" w14:textId="77777777">
      <w:pPr>
        <w:pStyle w:val="EQRNormalSSWSquestion2"/>
      </w:pPr>
      <w:r w:rsidRPr="00990D3B">
        <w:tab/>
        <w:t>□ Other: Specify _____________</w:t>
      </w:r>
    </w:p>
    <w:p w:rsidR="004F6C0E" w:rsidRPr="00990D3B" w:rsidP="00D30068" w14:paraId="1CAC3B37" w14:textId="77777777">
      <w:pPr>
        <w:pStyle w:val="EQRNormalSSWSquestion2"/>
      </w:pPr>
      <w:r w:rsidRPr="00990D3B">
        <w:tab/>
        <w:t>□ Don’t know</w:t>
      </w:r>
    </w:p>
    <w:p w:rsidR="00610CDD" w:rsidRPr="00990D3B" w:rsidP="00D30068" w14:paraId="7BB9CE7F" w14:textId="77777777">
      <w:pPr>
        <w:pStyle w:val="EQRNormalSSWSquestion2"/>
      </w:pPr>
    </w:p>
    <w:p w:rsidR="004F6C0E" w:rsidRPr="00990D3B" w:rsidP="00325834" w14:paraId="1668610F" w14:textId="1A3052EB">
      <w:pPr>
        <w:pStyle w:val="H2EQRWorksheetlist2"/>
      </w:pPr>
      <w:r w:rsidRPr="00990D3B">
        <w:t>Into what repository or DBMS(s), if any, do you extract relevant Medicaid or CHIP encounter/claim/enrollment detail for analytic reporting purposes?</w:t>
      </w:r>
    </w:p>
    <w:p w:rsidR="004F6C0E" w:rsidRPr="00990D3B" w:rsidP="00694FEC" w14:paraId="3D603924" w14:textId="0751084E">
      <w:pPr>
        <w:pStyle w:val="H2EQRWorksheetlist2"/>
      </w:pPr>
      <w:r w:rsidRPr="00990D3B">
        <w:t xml:space="preserve">How would you characterize the repository/DBMS(s)? </w:t>
      </w:r>
      <w:r w:rsidRPr="00990D3B">
        <w:t>Mark</w:t>
      </w:r>
      <w:r w:rsidRPr="00990D3B">
        <w:t xml:space="preserve"> all that apply.</w:t>
      </w:r>
    </w:p>
    <w:p w:rsidR="004F6C0E" w:rsidRPr="00990D3B" w:rsidP="009728CE" w14:paraId="2F7CF8DD" w14:textId="77777777">
      <w:pPr>
        <w:pStyle w:val="EQRNormalSSWSquestion2"/>
      </w:pPr>
      <w:r w:rsidRPr="00990D3B">
        <w:tab/>
        <w:t>□ Relational DBMS</w:t>
      </w:r>
    </w:p>
    <w:p w:rsidR="004F6C0E" w:rsidRPr="00990D3B" w:rsidP="009728CE" w14:paraId="68640781" w14:textId="77777777">
      <w:pPr>
        <w:pStyle w:val="EQRNormalSSWSquestion2"/>
      </w:pPr>
      <w:r w:rsidRPr="00990D3B">
        <w:tab/>
        <w:t xml:space="preserve">□ Network </w:t>
      </w:r>
    </w:p>
    <w:p w:rsidR="004F6C0E" w:rsidRPr="00990D3B" w:rsidP="009728CE" w14:paraId="6080DC2B" w14:textId="77777777">
      <w:pPr>
        <w:pStyle w:val="EQRNormalSSWSquestion2"/>
      </w:pPr>
      <w:r w:rsidRPr="00990D3B">
        <w:tab/>
        <w:t>□ Hierarchical DBMS</w:t>
      </w:r>
    </w:p>
    <w:p w:rsidR="004F6C0E" w:rsidRPr="00990D3B" w:rsidP="009728CE" w14:paraId="4A8B4492" w14:textId="77777777">
      <w:pPr>
        <w:pStyle w:val="EQRNormalSSWSquestion2"/>
      </w:pPr>
      <w:r w:rsidRPr="00990D3B">
        <w:tab/>
        <w:t>□ Flat file</w:t>
      </w:r>
    </w:p>
    <w:p w:rsidR="004F6C0E" w:rsidRPr="00990D3B" w:rsidP="009728CE" w14:paraId="5BD284E8" w14:textId="77777777">
      <w:pPr>
        <w:pStyle w:val="EQRNormalSSWSquestion2"/>
      </w:pPr>
      <w:r w:rsidRPr="00990D3B">
        <w:tab/>
        <w:t>□ Indexed</w:t>
      </w:r>
    </w:p>
    <w:p w:rsidR="004F6C0E" w:rsidRPr="00990D3B" w:rsidP="009728CE" w14:paraId="36419964" w14:textId="77777777">
      <w:pPr>
        <w:pStyle w:val="EQRNormalSSWSquestion2"/>
      </w:pPr>
      <w:r w:rsidRPr="00990D3B">
        <w:tab/>
        <w:t>□ Proprietary</w:t>
      </w:r>
    </w:p>
    <w:p w:rsidR="004F6C0E" w:rsidRPr="00990D3B" w:rsidP="009728CE" w14:paraId="0DA65464" w14:textId="77777777">
      <w:pPr>
        <w:pStyle w:val="EQRNormalSSWSquestion2"/>
      </w:pPr>
      <w:r w:rsidRPr="00990D3B">
        <w:tab/>
        <w:t>□ Other: Specify _____________</w:t>
      </w:r>
    </w:p>
    <w:p w:rsidR="004F6C0E" w:rsidRPr="00990D3B" w:rsidP="009728CE" w14:paraId="4100499C" w14:textId="77777777">
      <w:pPr>
        <w:pStyle w:val="EQRNormalSSWSquestion2"/>
      </w:pPr>
      <w:r w:rsidRPr="00990D3B">
        <w:tab/>
        <w:t>□ Don’t know</w:t>
      </w:r>
    </w:p>
    <w:p w:rsidR="00610CDD" w:rsidRPr="00990D3B" w:rsidP="009728CE" w14:paraId="4C33DD3A" w14:textId="77777777">
      <w:pPr>
        <w:pStyle w:val="EQRNormalSSWSquestion2"/>
      </w:pPr>
    </w:p>
    <w:p w:rsidR="004F6C0E" w:rsidRPr="00990D3B" w:rsidP="00694FEC" w14:paraId="4314B1E0" w14:textId="0D9ACE4B">
      <w:pPr>
        <w:pStyle w:val="H2EQRWorksheetlist2"/>
      </w:pPr>
      <w:r w:rsidRPr="00990D3B">
        <w:t xml:space="preserve">What programming language(s) do you use to create </w:t>
      </w:r>
      <w:r w:rsidRPr="00990D3B" w:rsidR="00832946">
        <w:t>Medicaid and CHIP</w:t>
      </w:r>
      <w:r w:rsidRPr="00990D3B">
        <w:t xml:space="preserve"> data extracts or analytic reports?</w:t>
      </w:r>
      <w:r w:rsidRPr="00990D3B">
        <w:br/>
        <w:t>___________________________________________________________________</w:t>
      </w:r>
    </w:p>
    <w:p w:rsidR="004F6C0E" w:rsidRPr="00990D3B" w:rsidP="002066F7" w14:paraId="0BF8ADCD" w14:textId="6A0D9A11">
      <w:pPr>
        <w:pStyle w:val="H2EQRWorksheetlist3"/>
        <w:ind w:left="1339" w:hanging="187"/>
      </w:pPr>
      <w:r w:rsidRPr="00990D3B">
        <w:t xml:space="preserve">How many staff are trained and capable of modifying these </w:t>
      </w:r>
      <w:r w:rsidRPr="00990D3B">
        <w:t>programs?_</w:t>
      </w:r>
      <w:r w:rsidRPr="00990D3B">
        <w:t>______________</w:t>
      </w:r>
    </w:p>
    <w:p w:rsidR="004F6C0E" w:rsidRPr="00990D3B" w:rsidP="00694FEC" w14:paraId="5E3059A1" w14:textId="11E68498">
      <w:pPr>
        <w:pStyle w:val="H2EQRWorksheetlist2"/>
      </w:pPr>
      <w:r w:rsidRPr="00990D3B">
        <w:t>Do you calculate defect rates for programs?</w:t>
      </w:r>
      <w:r w:rsidRPr="00990D3B">
        <w:tab/>
      </w:r>
    </w:p>
    <w:p w:rsidR="004F6C0E" w:rsidRPr="00990D3B" w:rsidP="009728CE" w14:paraId="7FEB4C40" w14:textId="77777777">
      <w:pPr>
        <w:pStyle w:val="EQRNormalSSWSquestion2"/>
      </w:pPr>
      <w:r w:rsidRPr="00990D3B">
        <w:tab/>
        <w:t>□ Yes</w:t>
      </w:r>
    </w:p>
    <w:p w:rsidR="004F6C0E" w:rsidRPr="00990D3B" w:rsidP="009728CE" w14:paraId="00D9407E" w14:textId="6C6394E7">
      <w:pPr>
        <w:pStyle w:val="EQRNormalSSWSquestion2"/>
      </w:pPr>
      <w:r w:rsidRPr="00990D3B">
        <w:tab/>
        <w:t xml:space="preserve">□ No (GO TO QUESTION </w:t>
      </w:r>
      <w:r w:rsidRPr="00990D3B" w:rsidR="00555487">
        <w:t>2.</w:t>
      </w:r>
      <w:r w:rsidRPr="00990D3B">
        <w:t>8)</w:t>
      </w:r>
    </w:p>
    <w:p w:rsidR="004F6C0E" w:rsidRPr="00990D3B" w:rsidP="002066F7" w14:paraId="298BE463" w14:textId="5BF4102F">
      <w:pPr>
        <w:pStyle w:val="H2EQRWorksheetlist3"/>
        <w:ind w:left="1339" w:hanging="187"/>
      </w:pPr>
      <w:r w:rsidRPr="00990D3B">
        <w:t xml:space="preserve">If yes, what methods do you use to calculate the defect rate? </w:t>
      </w:r>
    </w:p>
    <w:p w:rsidR="004F6C0E" w:rsidRPr="00990D3B" w:rsidP="002066F7" w14:paraId="76C56FCC" w14:textId="42193B11">
      <w:pPr>
        <w:pStyle w:val="H2EQRWorksheetlist3"/>
        <w:ind w:left="1339" w:hanging="187"/>
      </w:pPr>
      <w:r w:rsidRPr="00990D3B">
        <w:t xml:space="preserve">What was the most recent </w:t>
      </w:r>
      <w:r w:rsidRPr="00990D3B">
        <w:t>time period</w:t>
      </w:r>
      <w:r w:rsidRPr="00990D3B">
        <w:t xml:space="preserve">? </w:t>
      </w:r>
    </w:p>
    <w:p w:rsidR="004F6C0E" w:rsidRPr="00990D3B" w:rsidP="002066F7" w14:paraId="0F5ED58B" w14:textId="71982C21">
      <w:pPr>
        <w:pStyle w:val="H2EQRWorksheetlist3"/>
        <w:ind w:left="1339" w:hanging="187"/>
      </w:pPr>
      <w:r w:rsidRPr="00990D3B">
        <w:t xml:space="preserve"> What were the results?</w:t>
      </w:r>
    </w:p>
    <w:p w:rsidR="004F6C0E" w:rsidRPr="00990D3B" w:rsidP="00694FEC" w14:paraId="4432EB12" w14:textId="231D3904">
      <w:pPr>
        <w:pStyle w:val="H2EQRWorksheetlist2"/>
      </w:pPr>
      <w:r w:rsidRPr="00990D3B">
        <w:t>Approximately what percentage of your organization’s programming work is outsourced?    _______%</w:t>
      </w:r>
    </w:p>
    <w:p w:rsidR="004F6C0E" w:rsidRPr="00990D3B" w:rsidP="00694FEC" w14:paraId="7070E681" w14:textId="459D057A">
      <w:pPr>
        <w:pStyle w:val="H2EQRWorksheetlist2"/>
      </w:pPr>
      <w:r w:rsidRPr="00990D3B">
        <w:t xml:space="preserve">What </w:t>
      </w:r>
      <w:r w:rsidRPr="00990D3B">
        <w:t>is</w:t>
      </w:r>
      <w:r w:rsidRPr="00990D3B">
        <w:t xml:space="preserve"> the average years of experience among those staff who perform programing and data analysis in your organization? </w:t>
      </w:r>
    </w:p>
    <w:p w:rsidR="004F6C0E" w:rsidRPr="00990D3B" w:rsidP="00694FEC" w14:paraId="3647E251" w14:textId="2FD2586F">
      <w:pPr>
        <w:pStyle w:val="H2EQRWorksheetlist2"/>
      </w:pPr>
      <w:r w:rsidRPr="00990D3B">
        <w:t xml:space="preserve">Approximately how many resources (time, money, etc.) are spent on training per programmer and analysis staff per year?  </w:t>
      </w:r>
    </w:p>
    <w:p w:rsidR="004F6C0E" w:rsidRPr="00990D3B" w:rsidP="00694FEC" w14:paraId="7EC21636" w14:textId="77777777">
      <w:pPr>
        <w:pStyle w:val="EQRNormalSSWSquestion3YN"/>
      </w:pPr>
      <w:r w:rsidRPr="00990D3B">
        <w:t>Number of hours</w:t>
      </w:r>
      <w:r w:rsidRPr="00990D3B">
        <w:t>:</w:t>
      </w:r>
      <w:r w:rsidRPr="00990D3B">
        <w:tab/>
        <w:t xml:space="preserve"> </w:t>
      </w:r>
      <w:r w:rsidRPr="00990D3B">
        <w:t>___________________</w:t>
      </w:r>
    </w:p>
    <w:p w:rsidR="004F6C0E" w:rsidRPr="00990D3B" w:rsidP="00694FEC" w14:paraId="76DB1F2F" w14:textId="77777777">
      <w:pPr>
        <w:pStyle w:val="EQRNormalSSWSquestion3YN"/>
      </w:pPr>
      <w:r w:rsidRPr="00990D3B">
        <w:t xml:space="preserve">Dollars spent: </w:t>
      </w:r>
      <w:r w:rsidRPr="00990D3B">
        <w:tab/>
        <w:t>$__________________</w:t>
      </w:r>
    </w:p>
    <w:p w:rsidR="004F6C0E" w:rsidRPr="00990D3B" w:rsidP="00694FEC" w14:paraId="4F483ACB" w14:textId="77777777">
      <w:pPr>
        <w:pStyle w:val="EQRNormalSSWSquestion3YN"/>
      </w:pPr>
      <w:r w:rsidRPr="00990D3B">
        <w:t>Other resources (specify): ___________________</w:t>
      </w:r>
    </w:p>
    <w:p w:rsidR="004F6C0E" w:rsidRPr="00990D3B" w:rsidP="002066F7" w14:paraId="21046D2B" w14:textId="159F153B">
      <w:pPr>
        <w:pStyle w:val="H2EQRWorksheetlist3"/>
        <w:ind w:left="1339" w:hanging="187"/>
      </w:pPr>
      <w:r w:rsidRPr="00990D3B">
        <w:t xml:space="preserve">What type of training </w:t>
      </w:r>
      <w:r w:rsidRPr="00990D3B">
        <w:t>for programmers is provided</w:t>
      </w:r>
      <w:r w:rsidRPr="00990D3B">
        <w:t>?</w:t>
      </w:r>
    </w:p>
    <w:p w:rsidR="004F6C0E" w:rsidRPr="00990D3B" w:rsidP="00694FEC" w14:paraId="41DCC1EB" w14:textId="565BEFFF">
      <w:pPr>
        <w:pStyle w:val="H2EQRWorksheetlist2"/>
      </w:pPr>
      <w:r w:rsidRPr="00990D3B">
        <w:t>What is the turnover rate for your programming and analysis staff for each of the last 3 years (new staff per year/total staff)?</w:t>
      </w:r>
    </w:p>
    <w:p w:rsidR="004F6C0E" w:rsidRPr="00990D3B" w:rsidP="00694FEC" w14:paraId="4D083028" w14:textId="77777777">
      <w:pPr>
        <w:pStyle w:val="EQRNormalSSWSquestion3"/>
      </w:pPr>
      <w:r w:rsidRPr="00990D3B">
        <w:t>Year 1 (20xx): _____ %</w:t>
      </w:r>
      <w:r w:rsidRPr="00990D3B">
        <w:tab/>
        <w:t>Year 2 (20xx): _____ %</w:t>
      </w:r>
      <w:r w:rsidRPr="00990D3B">
        <w:tab/>
        <w:t xml:space="preserve">Year 3 (20xx): _____ % </w:t>
      </w:r>
    </w:p>
    <w:p w:rsidR="004F6C0E" w:rsidRPr="00990D3B" w:rsidP="00694FEC" w14:paraId="4E2C5BED" w14:textId="613FF414">
      <w:pPr>
        <w:pStyle w:val="H2EQRWorksheetlist2"/>
      </w:pPr>
      <w:r w:rsidRPr="00990D3B">
        <w:t xml:space="preserve">Does your organization follow a standard software development methodology (SDLMC)?  </w:t>
      </w:r>
    </w:p>
    <w:p w:rsidR="004F6C0E" w:rsidRPr="00990D3B" w:rsidP="009728CE" w14:paraId="16CF746F" w14:textId="77777777">
      <w:pPr>
        <w:pStyle w:val="EQRNormalSSWSquestion2"/>
      </w:pPr>
      <w:r w:rsidRPr="00990D3B">
        <w:tab/>
        <w:t>□ Yes</w:t>
      </w:r>
    </w:p>
    <w:p w:rsidR="004F6C0E" w:rsidRPr="00990D3B" w:rsidP="009728CE" w14:paraId="2FB277EE" w14:textId="15B582EA">
      <w:pPr>
        <w:pStyle w:val="EQRNormalSSWSquestion2"/>
      </w:pPr>
      <w:r w:rsidRPr="00990D3B">
        <w:tab/>
        <w:t xml:space="preserve">□ No (GO TO QUESTION </w:t>
      </w:r>
      <w:r w:rsidRPr="00990D3B" w:rsidR="00555487">
        <w:t>2.</w:t>
      </w:r>
      <w:r w:rsidRPr="00990D3B">
        <w:t>13)</w:t>
      </w:r>
    </w:p>
    <w:p w:rsidR="004F6C0E" w:rsidRPr="00990D3B" w:rsidP="002066F7" w14:paraId="6CAFA260" w14:textId="7DD86973">
      <w:pPr>
        <w:pStyle w:val="H2EQRWorksheetlist3"/>
        <w:ind w:left="1339" w:hanging="187"/>
      </w:pPr>
      <w:r w:rsidRPr="00990D3B">
        <w:t xml:space="preserve">Outline the steps of the maintenance cycle for your state’s mandated Medicaid and CHIP reporting requirement(s). Include any tasks related to documentation, debugging, </w:t>
      </w:r>
      <w:r w:rsidRPr="00990D3B">
        <w:t>roll</w:t>
      </w:r>
      <w:r w:rsidRPr="00990D3B">
        <w:t xml:space="preserve"> out, training, etc. The level of detail should result in 10–25 steps in the outline. </w:t>
      </w:r>
    </w:p>
    <w:p w:rsidR="004F6C0E" w:rsidRPr="00990D3B" w:rsidP="000D327A" w14:paraId="28F53091" w14:textId="320C355D">
      <w:pPr>
        <w:pStyle w:val="H2EQRWorksheetlist2"/>
      </w:pPr>
      <w:r w:rsidRPr="00990D3B">
        <w:t xml:space="preserve">Does your organization use version control software </w:t>
      </w:r>
      <w:r w:rsidRPr="00990D3B">
        <w:t>for</w:t>
      </w:r>
      <w:r w:rsidRPr="00990D3B">
        <w:t xml:space="preserve"> change management and deployment to the production environment?</w:t>
      </w:r>
    </w:p>
    <w:p w:rsidR="004F6C0E" w:rsidRPr="00990D3B" w:rsidP="002E41CF" w14:paraId="6154EF88" w14:textId="77777777">
      <w:pPr>
        <w:pStyle w:val="EQRNormalSSWSquestion3YN"/>
      </w:pPr>
      <w:r w:rsidRPr="00990D3B">
        <w:tab/>
        <w:t>□ Yes</w:t>
      </w:r>
    </w:p>
    <w:p w:rsidR="004F6C0E" w:rsidRPr="00990D3B" w:rsidP="002E41CF" w14:paraId="127631D7" w14:textId="1C98D206">
      <w:pPr>
        <w:pStyle w:val="EQRNormalSSWSquestion3YN"/>
      </w:pPr>
      <w:r w:rsidRPr="00990D3B">
        <w:tab/>
        <w:t xml:space="preserve">□ No (GO TO QUESTION </w:t>
      </w:r>
      <w:r w:rsidRPr="00990D3B" w:rsidR="00555487">
        <w:t>2.</w:t>
      </w:r>
      <w:r w:rsidRPr="00990D3B">
        <w:t>14)</w:t>
      </w:r>
    </w:p>
    <w:p w:rsidR="004F6C0E" w:rsidRPr="00990D3B" w:rsidP="002066F7" w14:paraId="5B62BB21" w14:textId="140983D8">
      <w:pPr>
        <w:pStyle w:val="H2EQRWorksheetlist3"/>
        <w:ind w:left="1339" w:hanging="187"/>
      </w:pPr>
      <w:r w:rsidRPr="00990D3B">
        <w:t xml:space="preserve">If yes, what product is used?  </w:t>
      </w:r>
    </w:p>
    <w:p w:rsidR="004F6C0E" w:rsidRPr="00990D3B" w:rsidP="00372E00" w14:paraId="75B1B967" w14:textId="1B63E5DE">
      <w:pPr>
        <w:pStyle w:val="EQRnoteWS"/>
      </w:pPr>
      <w:r w:rsidRPr="00990D3B">
        <w:t>Note (Q</w:t>
      </w:r>
      <w:r w:rsidRPr="00990D3B" w:rsidR="00013697">
        <w:t xml:space="preserve"> 2.</w:t>
      </w:r>
      <w:r w:rsidRPr="00990D3B">
        <w:t>13a): The information system department should follow a standardized process when updating and revising code. This process should include safeguards that ensure that the correct version of a program is in use</w:t>
      </w:r>
      <w:r w:rsidRPr="00990D3B" w:rsidR="0059582F">
        <w:t>.</w:t>
      </w:r>
    </w:p>
    <w:p w:rsidR="004F6C0E" w:rsidRPr="00990D3B" w:rsidP="002066F7" w14:paraId="3E228B25" w14:textId="2349EEB3">
      <w:pPr>
        <w:pStyle w:val="H2EQRWorksheetlist3"/>
        <w:ind w:left="1339" w:hanging="187"/>
      </w:pPr>
      <w:r w:rsidRPr="00990D3B">
        <w:t xml:space="preserve">Do all programmer and analysis staff and </w:t>
      </w:r>
      <w:r w:rsidRPr="00990D3B">
        <w:t>all of</w:t>
      </w:r>
      <w:r w:rsidRPr="00990D3B">
        <w:t xml:space="preserve"> your systems use this product for development and deployment?  </w:t>
      </w:r>
    </w:p>
    <w:p w:rsidR="004F6C0E" w:rsidRPr="00990D3B" w:rsidP="002E41CF" w14:paraId="4E40E57B" w14:textId="77777777">
      <w:pPr>
        <w:pStyle w:val="EQRNormalSSWSquestion3YN"/>
        <w:ind w:left="1584"/>
      </w:pPr>
      <w:r w:rsidRPr="00990D3B">
        <w:tab/>
        <w:t>□ Yes</w:t>
      </w:r>
    </w:p>
    <w:p w:rsidR="004F6C0E" w:rsidRPr="00990D3B" w:rsidP="002E41CF" w14:paraId="2AB06DC3" w14:textId="77777777">
      <w:pPr>
        <w:pStyle w:val="EQRNormalSSWSquestion3YN"/>
        <w:ind w:left="1584"/>
      </w:pPr>
      <w:r w:rsidRPr="00990D3B">
        <w:tab/>
        <w:t xml:space="preserve">□ No </w:t>
      </w:r>
    </w:p>
    <w:p w:rsidR="004F6C0E" w:rsidRPr="00990D3B" w:rsidP="002E41CF" w14:paraId="4D6F8FA8" w14:textId="1C2BBCDB">
      <w:pPr>
        <w:pStyle w:val="H2EQRWorksheetlist2"/>
      </w:pPr>
      <w:r w:rsidRPr="00990D3B">
        <w:t>How does your organization know if changes to the claims/encounter/enrollment tracking system affect required reporting to the state Medicaid or CHIP program (e.g., what prompts your organization to change these systems)?</w:t>
      </w:r>
    </w:p>
    <w:p w:rsidR="004F6C0E" w:rsidRPr="00990D3B" w:rsidP="00372E00" w14:paraId="4BE6F440" w14:textId="55318748">
      <w:pPr>
        <w:pStyle w:val="EQRnoteWS"/>
      </w:pPr>
      <w:r w:rsidRPr="00990D3B">
        <w:t>Note (Q</w:t>
      </w:r>
      <w:r w:rsidRPr="00990D3B" w:rsidR="00013697">
        <w:t xml:space="preserve"> 2.</w:t>
      </w:r>
      <w:r w:rsidRPr="00990D3B">
        <w:t xml:space="preserve">14): A specific individual within the organization should be responsible for determining the impact of any changes made to the </w:t>
      </w:r>
      <w:r w:rsidRPr="00990D3B" w:rsidR="00E57441">
        <w:t xml:space="preserve">MCP’s </w:t>
      </w:r>
      <w:r w:rsidRPr="00990D3B">
        <w:t xml:space="preserve">claims/encounter/enrollment tracking systems. The </w:t>
      </w:r>
      <w:r w:rsidRPr="00990D3B" w:rsidR="00A30FC5">
        <w:t xml:space="preserve">MCP </w:t>
      </w:r>
      <w:r w:rsidRPr="00990D3B">
        <w:t>should have in place a system for triggering information system staff to update the programs.</w:t>
      </w:r>
    </w:p>
    <w:p w:rsidR="004F6C0E" w:rsidRPr="00990D3B" w:rsidP="002E41CF" w14:paraId="76351B61" w14:textId="442F09DB">
      <w:pPr>
        <w:pStyle w:val="H2EQRWorksheetlist2"/>
      </w:pPr>
      <w:r w:rsidRPr="00990D3B">
        <w:t xml:space="preserve">Who is responsible for your organization meeting the state Medicaid and CHIP reporting requirements? </w:t>
      </w:r>
      <w:r w:rsidRPr="00990D3B">
        <w:t>Mark</w:t>
      </w:r>
      <w:r w:rsidRPr="00990D3B">
        <w:t xml:space="preserve"> all that apply.</w:t>
      </w:r>
    </w:p>
    <w:p w:rsidR="004F6C0E" w:rsidRPr="00990D3B" w:rsidP="002E41CF" w14:paraId="6E685A29" w14:textId="68878921">
      <w:pPr>
        <w:pStyle w:val="EQRNormalSSWSquestion2"/>
        <w:ind w:left="864"/>
      </w:pPr>
      <w:r w:rsidRPr="00990D3B">
        <w:tab/>
        <w:t xml:space="preserve">□ </w:t>
      </w:r>
      <w:r w:rsidRPr="00990D3B" w:rsidR="009C6A0A">
        <w:t>Chief Executive Officer</w:t>
      </w:r>
      <w:r w:rsidRPr="00990D3B" w:rsidR="00576827">
        <w:t xml:space="preserve"> (CEO)</w:t>
      </w:r>
    </w:p>
    <w:p w:rsidR="004F6C0E" w:rsidRPr="00990D3B" w:rsidP="002E41CF" w14:paraId="3457D5E6" w14:textId="32A49DB7">
      <w:pPr>
        <w:pStyle w:val="EQRNormalSSWSquestion2"/>
        <w:ind w:left="864"/>
      </w:pPr>
      <w:r w:rsidRPr="00990D3B">
        <w:tab/>
        <w:t xml:space="preserve">□ </w:t>
      </w:r>
      <w:r w:rsidRPr="00990D3B" w:rsidR="009C6A0A">
        <w:t>Chief Financial Officer</w:t>
      </w:r>
      <w:r w:rsidRPr="00990D3B" w:rsidR="00576827">
        <w:t xml:space="preserve"> (CFO)</w:t>
      </w:r>
    </w:p>
    <w:p w:rsidR="004F6C0E" w:rsidRPr="00990D3B" w:rsidP="002E41CF" w14:paraId="28B5ADE6" w14:textId="70435071">
      <w:pPr>
        <w:pStyle w:val="EQRNormalSSWSquestion2"/>
        <w:ind w:left="864"/>
      </w:pPr>
      <w:r w:rsidRPr="00990D3B">
        <w:tab/>
        <w:t xml:space="preserve">□ </w:t>
      </w:r>
      <w:r w:rsidRPr="00990D3B" w:rsidR="009C6A0A">
        <w:t>Chief Operating Officer</w:t>
      </w:r>
      <w:r w:rsidRPr="00990D3B" w:rsidR="000E0CA7">
        <w:t xml:space="preserve"> (COO)</w:t>
      </w:r>
    </w:p>
    <w:p w:rsidR="004F6C0E" w:rsidRPr="00990D3B" w:rsidP="002E41CF" w14:paraId="5CDD261F" w14:textId="6171EC85">
      <w:pPr>
        <w:pStyle w:val="EQRNormalSSWSquestion2"/>
        <w:ind w:left="864"/>
      </w:pPr>
      <w:r w:rsidRPr="00990D3B">
        <w:tab/>
        <w:t xml:space="preserve">□ </w:t>
      </w:r>
      <w:r w:rsidRPr="00990D3B" w:rsidR="009C6A0A">
        <w:t>Chief Commercial Officer</w:t>
      </w:r>
      <w:r w:rsidRPr="00990D3B" w:rsidR="000E0CA7">
        <w:t xml:space="preserve"> (CCO)</w:t>
      </w:r>
    </w:p>
    <w:p w:rsidR="004F6C0E" w:rsidRPr="00990D3B" w:rsidP="002E41CF" w14:paraId="2B0C5DBD" w14:textId="77777777">
      <w:pPr>
        <w:pStyle w:val="EQRNormalSSWSquestion2"/>
        <w:ind w:left="864"/>
      </w:pPr>
      <w:r w:rsidRPr="00990D3B">
        <w:tab/>
        <w:t>□ Other (</w:t>
      </w:r>
      <w:r w:rsidRPr="00990D3B">
        <w:t>Specify) _</w:t>
      </w:r>
      <w:r w:rsidRPr="00990D3B">
        <w:t>____________________</w:t>
      </w:r>
    </w:p>
    <w:p w:rsidR="004F6C0E" w:rsidRPr="00990D3B" w:rsidP="002E41CF" w14:paraId="60DF1C03" w14:textId="77777777">
      <w:pPr>
        <w:pStyle w:val="H2EQRWorksheetList1"/>
      </w:pPr>
      <w:r w:rsidRPr="00990D3B">
        <w:t>Section 3. Staffing</w:t>
      </w:r>
    </w:p>
    <w:p w:rsidR="004F6C0E" w:rsidRPr="00990D3B" w:rsidP="002E41CF" w14:paraId="6A429A1F" w14:textId="2F4C8999">
      <w:pPr>
        <w:pStyle w:val="H2EQRWorksheetlist2"/>
      </w:pPr>
      <w:r w:rsidRPr="00990D3B">
        <w:t>Describe the Medicaid or CHIP data processing organization in terms of staffing and the expected productivity goals. What is the overall daily, monthly, and annual productivity of the overall department and by processor?</w:t>
      </w:r>
    </w:p>
    <w:p w:rsidR="004F6C0E" w:rsidRPr="00990D3B" w:rsidP="00372E00" w14:paraId="181F7AD8" w14:textId="159966B4">
      <w:pPr>
        <w:pStyle w:val="EQRnoteWS"/>
      </w:pPr>
      <w:r w:rsidRPr="00990D3B">
        <w:t>Note (Q</w:t>
      </w:r>
      <w:r w:rsidRPr="00990D3B" w:rsidR="00E912BD">
        <w:t xml:space="preserve"> 3.</w:t>
      </w:r>
      <w:r w:rsidRPr="00990D3B">
        <w:t>1): Unusually high productivity goals can affect the accuracy and quality of a processor’s work.</w:t>
      </w:r>
    </w:p>
    <w:p w:rsidR="004F6C0E" w:rsidRPr="00990D3B" w:rsidP="002E41CF" w14:paraId="0AB8734F" w14:textId="1A9B3380">
      <w:pPr>
        <w:pStyle w:val="H2EQRWorksheetlist2"/>
      </w:pPr>
      <w:r w:rsidRPr="00990D3B">
        <w:t>Describe processor training from new hire</w:t>
      </w:r>
      <w:r w:rsidRPr="00990D3B" w:rsidR="009C6A0A">
        <w:t>s</w:t>
      </w:r>
      <w:r w:rsidRPr="00990D3B">
        <w:t xml:space="preserve"> to refresher courses for seasoned processors.</w:t>
      </w:r>
    </w:p>
    <w:p w:rsidR="004F6C0E" w:rsidRPr="00990D3B" w:rsidP="00372E00" w14:paraId="612C5213" w14:textId="0FD42680">
      <w:pPr>
        <w:pStyle w:val="EQRnoteWS"/>
      </w:pPr>
      <w:r w:rsidRPr="00990D3B">
        <w:t>Note (Q</w:t>
      </w:r>
      <w:r w:rsidRPr="00990D3B" w:rsidR="00E912BD">
        <w:t xml:space="preserve"> 3.</w:t>
      </w:r>
      <w:r w:rsidRPr="00990D3B">
        <w:t xml:space="preserve">2): New hires should </w:t>
      </w:r>
      <w:r w:rsidRPr="00990D3B" w:rsidR="009C6A0A">
        <w:t>receive</w:t>
      </w:r>
      <w:r w:rsidRPr="00990D3B">
        <w:t xml:space="preserve"> on-the-job training and supervision. Supervisors should closely audit the work of new hires before concluding the training process. Seasoned processors should have occasional refresher courses and training concerning any system modifications.</w:t>
      </w:r>
    </w:p>
    <w:p w:rsidR="004F6C0E" w:rsidRPr="00990D3B" w:rsidP="002E41CF" w14:paraId="766E78E4" w14:textId="77777777">
      <w:pPr>
        <w:pStyle w:val="H2EQRWorksheetList1"/>
      </w:pPr>
      <w:r w:rsidRPr="00990D3B">
        <w:t>Section 4. Security</w:t>
      </w:r>
    </w:p>
    <w:p w:rsidR="004F6C0E" w:rsidRPr="00990D3B" w:rsidP="00612171" w14:paraId="0720BBFE" w14:textId="50C3B0E6">
      <w:pPr>
        <w:pStyle w:val="H2EQRWorksheetlist2"/>
      </w:pPr>
      <w:r w:rsidRPr="00990D3B">
        <w:t xml:space="preserve">Does your organization have a disaster recovery (DR) plan and DR system?  </w:t>
      </w:r>
    </w:p>
    <w:p w:rsidR="004F6C0E" w:rsidRPr="00990D3B" w:rsidP="00216CDB" w14:paraId="0DD8A7D0" w14:textId="77777777">
      <w:pPr>
        <w:pStyle w:val="EQRNormalSSWSquestion2"/>
        <w:ind w:left="648"/>
      </w:pPr>
      <w:r w:rsidRPr="00990D3B">
        <w:tab/>
        <w:t>□ Yes</w:t>
      </w:r>
    </w:p>
    <w:p w:rsidR="004F6C0E" w:rsidRPr="00990D3B" w:rsidP="00216CDB" w14:paraId="4BAA944E" w14:textId="6B181B94">
      <w:pPr>
        <w:pStyle w:val="EQRNormalSSWSquestion2"/>
        <w:ind w:left="648"/>
      </w:pPr>
      <w:r w:rsidRPr="00990D3B">
        <w:tab/>
        <w:t xml:space="preserve">□ No (GO TO QUESTION </w:t>
      </w:r>
      <w:r w:rsidRPr="00990D3B" w:rsidR="00555487">
        <w:t>4.</w:t>
      </w:r>
      <w:r w:rsidRPr="00990D3B">
        <w:t>6)</w:t>
      </w:r>
    </w:p>
    <w:p w:rsidR="004F6C0E" w:rsidRPr="00990D3B" w:rsidP="00612171" w14:paraId="6A084196" w14:textId="7EFBDE4E">
      <w:pPr>
        <w:pStyle w:val="H2EQRWorksheetlist2"/>
      </w:pPr>
      <w:r w:rsidRPr="00990D3B">
        <w:t xml:space="preserve">Where is the DR system located?  </w:t>
      </w:r>
    </w:p>
    <w:p w:rsidR="004F6C0E" w:rsidRPr="00990D3B" w:rsidP="00612171" w14:paraId="59C8FBBF" w14:textId="256C7200">
      <w:pPr>
        <w:pStyle w:val="H2EQRWorksheetlist2"/>
      </w:pPr>
      <w:r w:rsidRPr="00990D3B">
        <w:t xml:space="preserve">Does it provide failover capability?  </w:t>
      </w:r>
    </w:p>
    <w:p w:rsidR="004F6C0E" w:rsidRPr="00990D3B" w:rsidP="00612171" w14:paraId="0E6EA994" w14:textId="251F6B2C">
      <w:pPr>
        <w:pStyle w:val="H2EQRWorksheetlist2"/>
      </w:pPr>
      <w:r w:rsidRPr="00990D3B">
        <w:t xml:space="preserve">How long does it take to switch over to the DR system when the primary system fails?  </w:t>
      </w:r>
    </w:p>
    <w:p w:rsidR="004F6C0E" w:rsidRPr="00990D3B" w:rsidP="00612171" w14:paraId="466C486A" w14:textId="0A8961FF">
      <w:pPr>
        <w:pStyle w:val="H2EQRWorksheetlist2"/>
      </w:pPr>
      <w:r w:rsidRPr="00990D3B">
        <w:t>How often is the DR system tested?</w:t>
      </w:r>
    </w:p>
    <w:p w:rsidR="004F6C0E" w:rsidRPr="00990D3B" w:rsidP="00612171" w14:paraId="4322E672" w14:textId="36E004FB">
      <w:pPr>
        <w:pStyle w:val="H2EQRWorksheetlist2"/>
      </w:pPr>
      <w:r w:rsidRPr="00990D3B">
        <w:t xml:space="preserve">How frequently are system backups performed?  </w:t>
      </w:r>
    </w:p>
    <w:p w:rsidR="004F6C0E" w:rsidRPr="00990D3B" w:rsidP="00612171" w14:paraId="2CEF7862" w14:textId="57767387">
      <w:pPr>
        <w:pStyle w:val="H2EQRWorksheetlist2"/>
      </w:pPr>
      <w:r w:rsidRPr="00990D3B">
        <w:t xml:space="preserve">Where are backup data stored? </w:t>
      </w:r>
    </w:p>
    <w:p w:rsidR="004F6C0E" w:rsidRPr="00990D3B" w:rsidP="00612171" w14:paraId="79EA20B0" w14:textId="4D31CEF8">
      <w:pPr>
        <w:pStyle w:val="H2EQRWorksheetlist2"/>
      </w:pPr>
      <w:r w:rsidRPr="00990D3B">
        <w:t>How and how often are the backups tested to make sure that the backup procedure is functioning properly?</w:t>
      </w:r>
    </w:p>
    <w:p w:rsidR="004F6C0E" w:rsidRPr="00990D3B" w:rsidP="00612171" w14:paraId="25F4FF05" w14:textId="5ABFC0A1">
      <w:pPr>
        <w:pStyle w:val="H2EQRWorksheetlist2"/>
      </w:pPr>
      <w:r w:rsidRPr="00990D3B">
        <w:t>How is Medicaid or CHIP data corruption prevented due to system failure or program error?</w:t>
      </w:r>
    </w:p>
    <w:p w:rsidR="004F6C0E" w:rsidRPr="00990D3B" w:rsidP="00372E00" w14:paraId="42E818B1" w14:textId="0C1F4DAE">
      <w:pPr>
        <w:pStyle w:val="EQRnoteWS"/>
      </w:pPr>
      <w:r w:rsidRPr="00990D3B">
        <w:t>Note (Q</w:t>
      </w:r>
      <w:r w:rsidRPr="00990D3B" w:rsidR="00E912BD">
        <w:t xml:space="preserve"> 4.</w:t>
      </w:r>
      <w:r w:rsidRPr="00990D3B">
        <w:t xml:space="preserve">9): A back-up procedure will protect the data from destruction due to system failure and program error. </w:t>
      </w:r>
      <w:r w:rsidRPr="00990D3B" w:rsidR="002721FB">
        <w:t xml:space="preserve">MCPs </w:t>
      </w:r>
      <w:r w:rsidRPr="00990D3B">
        <w:t>can also institute additional safeguards to protect data from being written over during these processes.</w:t>
      </w:r>
    </w:p>
    <w:p w:rsidR="004F6C0E" w:rsidRPr="00990D3B" w:rsidP="00216CDB" w14:paraId="5D0808C7" w14:textId="74AF529E">
      <w:pPr>
        <w:pStyle w:val="H2EQRWorksheetlist2"/>
      </w:pPr>
      <w:r w:rsidRPr="00990D3B">
        <w:t xml:space="preserve">Describe the controls used to assure that all Medicaid and CHIP claims data </w:t>
      </w:r>
      <w:r w:rsidRPr="00990D3B">
        <w:t>entered into</w:t>
      </w:r>
      <w:r w:rsidRPr="00990D3B">
        <w:t xml:space="preserve"> the system are fully accounted for (e.g., batch control sheets).</w:t>
      </w:r>
    </w:p>
    <w:p w:rsidR="004F6C0E" w:rsidRPr="00990D3B" w:rsidP="00372E00" w14:paraId="1845A944" w14:textId="14B0E686">
      <w:pPr>
        <w:pStyle w:val="EQRnoteWS"/>
      </w:pPr>
      <w:r w:rsidRPr="00990D3B">
        <w:t>Note (Q</w:t>
      </w:r>
      <w:r w:rsidRPr="00990D3B" w:rsidR="00A1785E">
        <w:t xml:space="preserve"> 4.</w:t>
      </w:r>
      <w:r w:rsidRPr="00990D3B">
        <w:t xml:space="preserve">10): The </w:t>
      </w:r>
      <w:r w:rsidRPr="00990D3B" w:rsidR="002721FB">
        <w:t xml:space="preserve">MCP </w:t>
      </w:r>
      <w:r w:rsidRPr="00990D3B">
        <w:t>should have a process in place that ensures that all claims/encounters that have been logged as received are entered into the system and processed.</w:t>
      </w:r>
    </w:p>
    <w:p w:rsidR="004F6C0E" w:rsidRPr="00990D3B" w:rsidP="00216CDB" w14:paraId="437B498E" w14:textId="3CD949EA">
      <w:pPr>
        <w:pStyle w:val="H2EQRWorksheetlist2"/>
      </w:pPr>
      <w:r w:rsidRPr="00990D3B">
        <w:t>Describe the provisions in place for physical security of the computer system and manual files:</w:t>
      </w:r>
    </w:p>
    <w:p w:rsidR="004F6C0E" w:rsidRPr="00990D3B" w:rsidP="00216CDB" w14:paraId="6BC19ABC" w14:textId="77777777">
      <w:pPr>
        <w:pStyle w:val="EQRNormalSSWSquestion3"/>
      </w:pPr>
      <w:r w:rsidRPr="00990D3B">
        <w:t>Premises:</w:t>
      </w:r>
    </w:p>
    <w:p w:rsidR="004F6C0E" w:rsidRPr="00990D3B" w:rsidP="00216CDB" w14:paraId="7D5A0971" w14:textId="77777777">
      <w:pPr>
        <w:pStyle w:val="EQRNormalSSWSquestion3"/>
      </w:pPr>
      <w:r w:rsidRPr="00990D3B">
        <w:t>Documents:</w:t>
      </w:r>
    </w:p>
    <w:p w:rsidR="004F6C0E" w:rsidRPr="00990D3B" w:rsidP="00216CDB" w14:paraId="02292AAB" w14:textId="77777777">
      <w:pPr>
        <w:pStyle w:val="EQRNormalSSWSquestion3"/>
      </w:pPr>
      <w:r w:rsidRPr="00990D3B">
        <w:t>Computer facilities:</w:t>
      </w:r>
    </w:p>
    <w:p w:rsidR="004F6C0E" w:rsidRPr="00990D3B" w:rsidP="00216CDB" w14:paraId="005683EB" w14:textId="77777777">
      <w:pPr>
        <w:pStyle w:val="EQRNormalSSWSquestion3"/>
      </w:pPr>
      <w:r w:rsidRPr="00990D3B">
        <w:t>Desktops, laptops and mobile devices:</w:t>
      </w:r>
    </w:p>
    <w:p w:rsidR="004F6C0E" w:rsidRPr="00990D3B" w:rsidP="00372E00" w14:paraId="120F7EC8" w14:textId="407CA9F2">
      <w:pPr>
        <w:pStyle w:val="EQRnoteWS"/>
      </w:pPr>
      <w:r w:rsidRPr="00990D3B">
        <w:t>Note (Q</w:t>
      </w:r>
      <w:r w:rsidRPr="00990D3B" w:rsidR="00A1785E">
        <w:t xml:space="preserve"> 4.</w:t>
      </w:r>
      <w:r w:rsidRPr="00990D3B">
        <w:t>11): The system should be protected from both unauthorized usage and accidental damage. Paper based claims/encounters should be in locked storage facilities when not in use. The computer system and terminals should be protected from unauthorized access using a password system and security screens. Passwords should be changed frequently and should be re-set whenever an employee terminates</w:t>
      </w:r>
      <w:r w:rsidRPr="00990D3B" w:rsidR="009A2060">
        <w:t>.</w:t>
      </w:r>
    </w:p>
    <w:p w:rsidR="004F6C0E" w:rsidRPr="00990D3B" w:rsidP="005B2B0D" w14:paraId="777F6FCD" w14:textId="19A7D788">
      <w:pPr>
        <w:pStyle w:val="H2EQRWorksheetlist2"/>
      </w:pPr>
      <w:r w:rsidRPr="00990D3B">
        <w:t xml:space="preserve">Describe the steps taken to verify that the MCP’s information system processes for protecting PHI, including its encryption methods, are compliant with FIPS 140-2 (for more information on the FIPS 140-2 process and validation list, please review the FIPS 140-2 related documents at </w:t>
      </w:r>
      <w:hyperlink r:id="rId243" w:tooltip="SECURITY REQUIREMENTS FOR CRYPTOGRAPHIC MODULES" w:history="1">
        <w:r w:rsidRPr="00990D3B">
          <w:rPr>
            <w:color w:val="00559D"/>
          </w:rPr>
          <w:t>https://www.hhs.gov/sites/default/files/ocr/privacy/hipaa/administrative/securityrule/fips1402.pdf?language=es</w:t>
        </w:r>
      </w:hyperlink>
      <w:r w:rsidRPr="00990D3B">
        <w:t>).</w:t>
      </w:r>
    </w:p>
    <w:p w:rsidR="004F6C0E" w:rsidRPr="00990D3B" w:rsidP="002066F7" w14:paraId="6EF10168" w14:textId="42F8387F">
      <w:pPr>
        <w:pStyle w:val="H2EQRWorksheetlist3"/>
        <w:ind w:left="1339" w:hanging="187"/>
      </w:pPr>
      <w:r w:rsidRPr="00990D3B">
        <w:t>Provide the results of the most recent FIPS 140-2 tests completed on the MCP’s information system.</w:t>
      </w:r>
    </w:p>
    <w:p w:rsidR="004F6C0E" w:rsidRPr="00990D3B" w:rsidP="005B2B0D" w14:paraId="2ECFEF63" w14:textId="6E4CCD7E">
      <w:pPr>
        <w:pStyle w:val="H2EQRWorksheetlist2"/>
      </w:pPr>
      <w:r w:rsidRPr="00990D3B">
        <w:t>Describe the procedures in place to determine which system users may access levels of the system that include PII. Please identify the job titles and responsibilities of each system user with access to systems that include PII.</w:t>
      </w:r>
    </w:p>
    <w:p w:rsidR="004F6C0E" w:rsidRPr="00990D3B" w:rsidP="005B2B0D" w14:paraId="7A1F8580" w14:textId="6F51F754">
      <w:pPr>
        <w:pStyle w:val="H2EQRWorksheetlist2"/>
      </w:pPr>
      <w:r w:rsidRPr="00990D3B">
        <w:t xml:space="preserve">Describe the methods in place to allow those with access to PII to </w:t>
      </w:r>
      <w:r w:rsidRPr="00990D3B" w:rsidR="007844B2">
        <w:t>access only</w:t>
      </w:r>
      <w:r w:rsidRPr="00990D3B">
        <w:t xml:space="preserve"> the minimum amount of information necessary to perform their job.</w:t>
      </w:r>
    </w:p>
    <w:p w:rsidR="004F6C0E" w:rsidRPr="00990D3B" w:rsidP="005B2B0D" w14:paraId="265165DB" w14:textId="6E48523E">
      <w:pPr>
        <w:pStyle w:val="H2EQRWorksheetlist2"/>
      </w:pPr>
      <w:r w:rsidRPr="00990D3B">
        <w:t>Identify training and awareness provided to personnel (system owners, managers, operators, contractors and/or program managers) using the system to make them aware of their responsibilities for protecting the information being collected and maintained.</w:t>
      </w:r>
    </w:p>
    <w:p w:rsidR="004F6C0E" w:rsidRPr="00990D3B" w:rsidP="005B2B0D" w14:paraId="1BBD3AD5" w14:textId="35B2158F">
      <w:pPr>
        <w:pStyle w:val="H2EQRWorksheetlist2"/>
      </w:pPr>
      <w:r w:rsidRPr="00990D3B">
        <w:t xml:space="preserve">Describe the process and guidelines in place </w:t>
      </w:r>
      <w:r w:rsidRPr="00990D3B">
        <w:t>with regard to</w:t>
      </w:r>
      <w:r w:rsidRPr="00990D3B">
        <w:t xml:space="preserve"> the retention and destruction of PII.</w:t>
      </w:r>
    </w:p>
    <w:p w:rsidR="004F6C0E" w:rsidRPr="00990D3B" w:rsidP="005B2B0D" w14:paraId="4586C0AA" w14:textId="128E52AA">
      <w:pPr>
        <w:pStyle w:val="H2EQRWorksheetlist2"/>
      </w:pPr>
      <w:r w:rsidRPr="00990D3B">
        <w:t>Describe, briefly but with specificity, how the PII will be secured in the system using administrative, technical, and physical controls.</w:t>
      </w:r>
    </w:p>
    <w:p w:rsidR="004F6C0E" w:rsidRPr="00990D3B" w:rsidP="005B2B0D" w14:paraId="5D9A17F1" w14:textId="0752E8D9">
      <w:pPr>
        <w:pStyle w:val="H2EQRWorksheetlist2"/>
      </w:pPr>
      <w:r w:rsidRPr="00990D3B">
        <w:t>If you employ cloud-based technology, describe the provisions in place to secure the virtual system.</w:t>
      </w:r>
    </w:p>
    <w:p w:rsidR="004F6C0E" w:rsidRPr="00990D3B" w:rsidP="005B2B0D" w14:paraId="7B955EC0" w14:textId="59817924">
      <w:pPr>
        <w:pStyle w:val="H2EQRWorksheetlist2"/>
      </w:pPr>
      <w:r w:rsidRPr="00990D3B">
        <w:t>If you utilize remote network access to connect users with the MCP’s secure networks via the internet, describe the provisions in place to secure the network against unauthorized access.</w:t>
      </w:r>
    </w:p>
    <w:p w:rsidR="004F6C0E" w:rsidRPr="00990D3B" w:rsidP="005B2B0D" w14:paraId="2C60E2AA" w14:textId="6E208092">
      <w:pPr>
        <w:pStyle w:val="H2EQRWorksheetlist2"/>
      </w:pPr>
      <w:r w:rsidRPr="00990D3B">
        <w:t>Which staff position(s) is responsible for the security and user administration task that grants access to the system?</w:t>
      </w:r>
    </w:p>
    <w:p w:rsidR="004F6C0E" w:rsidRPr="00990D3B" w:rsidP="005B2B0D" w14:paraId="1BE4516D" w14:textId="73BD35B8">
      <w:pPr>
        <w:pStyle w:val="H2EQRWorksheetlist2"/>
      </w:pPr>
      <w:r w:rsidRPr="00990D3B">
        <w:t xml:space="preserve"> Which staff positions have access to what levels of the system?  </w:t>
      </w:r>
    </w:p>
    <w:p w:rsidR="004F6C0E" w:rsidRPr="00990D3B" w:rsidP="005B2B0D" w14:paraId="211488E2" w14:textId="013F3CEE">
      <w:pPr>
        <w:pStyle w:val="H2EQRWorksheetlist2"/>
      </w:pPr>
      <w:r w:rsidRPr="00990D3B">
        <w:t xml:space="preserve">Can </w:t>
      </w:r>
      <w:r w:rsidRPr="00990D3B">
        <w:t>your</w:t>
      </w:r>
      <w:r w:rsidRPr="00990D3B">
        <w:t xml:space="preserve"> programming and analysis staff access the production system or only the development system?  </w:t>
      </w:r>
    </w:p>
    <w:p w:rsidR="004F6C0E" w:rsidRPr="00990D3B" w:rsidP="005B2B0D" w14:paraId="2BD4081D" w14:textId="77777777">
      <w:pPr>
        <w:pStyle w:val="EQRNormalSSWSquestion3YN"/>
      </w:pPr>
      <w:r w:rsidRPr="00990D3B">
        <w:tab/>
        <w:t>□ Production system only</w:t>
      </w:r>
    </w:p>
    <w:p w:rsidR="004F6C0E" w:rsidRPr="00990D3B" w:rsidP="005B2B0D" w14:paraId="00481B5A" w14:textId="77777777">
      <w:pPr>
        <w:pStyle w:val="EQRNormalSSWSquestion3YN"/>
      </w:pPr>
      <w:r w:rsidRPr="00990D3B">
        <w:tab/>
        <w:t>□ Development system only</w:t>
      </w:r>
    </w:p>
    <w:p w:rsidR="004F6C0E" w:rsidRPr="00990D3B" w:rsidP="005B2B0D" w14:paraId="694E04DD" w14:textId="3E60F2BF">
      <w:pPr>
        <w:pStyle w:val="H2EQRWorksheetlist2"/>
      </w:pPr>
      <w:r w:rsidRPr="00990D3B">
        <w:t xml:space="preserve">How often must passwords be changed?  </w:t>
      </w:r>
    </w:p>
    <w:p w:rsidR="004F6C0E" w:rsidRPr="00990D3B" w:rsidP="005B2B0D" w14:paraId="711D82D4" w14:textId="743CE922">
      <w:pPr>
        <w:pStyle w:val="H2EQRWorksheetlist2"/>
      </w:pPr>
      <w:r w:rsidRPr="00990D3B">
        <w:t>How quickly are logons deactivated after employee terminations and resignations?</w:t>
      </w:r>
    </w:p>
    <w:p w:rsidR="004F6C0E" w:rsidRPr="00990D3B" w:rsidP="005B2B0D" w14:paraId="1430E080" w14:textId="74C92903">
      <w:pPr>
        <w:pStyle w:val="H2EQRWorksheetlist2"/>
      </w:pPr>
      <w:r w:rsidRPr="00990D3B">
        <w:t xml:space="preserve">Describe your patch management protocols and processes.  </w:t>
      </w:r>
    </w:p>
    <w:p w:rsidR="004F6C0E" w:rsidRPr="00990D3B" w:rsidP="005B2B0D" w14:paraId="32214E1E" w14:textId="6039E1D4">
      <w:pPr>
        <w:pStyle w:val="H2EQRWorksheetlist2"/>
      </w:pPr>
      <w:r w:rsidRPr="00990D3B">
        <w:t>What other individuals have access to the computer system? Customers? Providers? Describe their access and the security that is maintained restricting or controlling such access.</w:t>
      </w:r>
    </w:p>
    <w:p w:rsidR="004F6C0E" w:rsidRPr="00990D3B" w:rsidP="00372E00" w14:paraId="42BE908B" w14:textId="74DA7518">
      <w:pPr>
        <w:pStyle w:val="EQRnoteWS"/>
      </w:pPr>
      <w:r w:rsidRPr="00990D3B">
        <w:t xml:space="preserve">Note (Q26): Both </w:t>
      </w:r>
      <w:r w:rsidRPr="00990D3B" w:rsidR="00727834">
        <w:t>enrollees</w:t>
      </w:r>
      <w:r w:rsidRPr="00990D3B">
        <w:t xml:space="preserve"> and providers should have their access limited to read-only so that they cannot alter any files. </w:t>
      </w:r>
      <w:r w:rsidRPr="00990D3B" w:rsidR="00727834">
        <w:t>Providers</w:t>
      </w:r>
      <w:r w:rsidRPr="00990D3B">
        <w:t xml:space="preserve"> should be given access to only those files containing their own patients or members. Customers should be prevented from accessing highly confidential patient information by being given “blinded” patient names and “scrambled” ID numbers, or restricted access to </w:t>
      </w:r>
      <w:r w:rsidRPr="00990D3B">
        <w:t>particular files</w:t>
      </w:r>
      <w:r w:rsidRPr="00990D3B">
        <w:t>.</w:t>
      </w:r>
    </w:p>
    <w:p w:rsidR="004F6C0E" w:rsidRPr="00990D3B" w:rsidP="005B2B0D" w14:paraId="23BBEE74" w14:textId="77777777">
      <w:pPr>
        <w:pStyle w:val="H2EQRWorksheetList1"/>
      </w:pPr>
      <w:r w:rsidRPr="00990D3B">
        <w:t>S</w:t>
      </w:r>
      <w:bookmarkStart w:id="1178" w:name="WSB1S5"/>
      <w:bookmarkEnd w:id="1178"/>
      <w:r w:rsidRPr="00990D3B">
        <w:t>ection 5. Data Acquisition Capabilities</w:t>
      </w:r>
    </w:p>
    <w:p w:rsidR="004F6C0E" w:rsidRPr="00990D3B" w:rsidP="003D6857" w14:paraId="7BB79654" w14:textId="77777777">
      <w:pPr>
        <w:pStyle w:val="EQRNormalSSWORKSHEET"/>
      </w:pPr>
      <w:r w:rsidRPr="00990D3B">
        <w:t>The purpose of this section is to obtain a high-level understanding of how you collect and maintain administrative data (claims and encounter data), enrollment information, data on ancillary services such as prescription drugs.</w:t>
      </w:r>
    </w:p>
    <w:p w:rsidR="004F6C0E" w:rsidRPr="00990D3B" w:rsidP="003D6857" w14:paraId="4D0F0B94" w14:textId="77777777">
      <w:pPr>
        <w:pStyle w:val="EQRNormalSSWORKSHEET"/>
        <w:rPr>
          <w:b/>
        </w:rPr>
      </w:pPr>
      <w:r w:rsidRPr="00990D3B">
        <w:rPr>
          <w:b/>
        </w:rPr>
        <w:t>A.</w:t>
      </w:r>
      <w:bookmarkStart w:id="1179" w:name="WSB1Sec5A"/>
      <w:bookmarkEnd w:id="1179"/>
      <w:r w:rsidRPr="00990D3B">
        <w:rPr>
          <w:b/>
        </w:rPr>
        <w:t xml:space="preserve"> Administrative Data (Claims and Encounter Data)</w:t>
      </w:r>
    </w:p>
    <w:p w:rsidR="004F6C0E" w:rsidRPr="00990D3B" w:rsidP="003D6857" w14:paraId="553BF85E" w14:textId="77777777">
      <w:pPr>
        <w:pStyle w:val="EQRNormalSSWORKSHEET"/>
      </w:pPr>
      <w:r w:rsidRPr="00990D3B">
        <w:t>These questions request information on input data sources (e.g., electronic claims and paper) and on the transaction system(s) you use.</w:t>
      </w:r>
    </w:p>
    <w:p w:rsidR="004F6C0E" w:rsidRPr="00990D3B" w:rsidP="00034F5E" w14:paraId="78B4128D" w14:textId="1596D9E7">
      <w:pPr>
        <w:pStyle w:val="H2EQRWorksheetlist2"/>
      </w:pPr>
      <w:r w:rsidRPr="00990D3B">
        <w:t>How are data submitted (e.g.</w:t>
      </w:r>
      <w:r w:rsidRPr="00990D3B" w:rsidR="007844B2">
        <w:t>,</w:t>
      </w:r>
      <w:r w:rsidRPr="00990D3B">
        <w:t xml:space="preserve"> electronically, on paper</w:t>
      </w:r>
      <w:r w:rsidRPr="00990D3B" w:rsidR="007844B2">
        <w:t>,</w:t>
      </w:r>
      <w:r w:rsidRPr="00990D3B">
        <w:t xml:space="preserve"> or both)?  </w:t>
      </w:r>
    </w:p>
    <w:p w:rsidR="004F6C0E" w:rsidRPr="00990D3B" w:rsidP="00034F5E" w14:paraId="2F389459" w14:textId="77777777">
      <w:pPr>
        <w:pStyle w:val="EQRNormalSSWSquestion3YN"/>
      </w:pPr>
      <w:r w:rsidRPr="00990D3B">
        <w:t>□</w:t>
      </w:r>
      <w:r w:rsidRPr="00990D3B">
        <w:tab/>
        <w:t>Submitted electronically</w:t>
      </w:r>
    </w:p>
    <w:p w:rsidR="004F6C0E" w:rsidRPr="00990D3B" w:rsidP="00034F5E" w14:paraId="289FEE2E" w14:textId="77777777">
      <w:pPr>
        <w:pStyle w:val="EQRNormalSSWSquestion3YN"/>
      </w:pPr>
      <w:r w:rsidRPr="00990D3B">
        <w:t>□</w:t>
      </w:r>
      <w:r w:rsidRPr="00990D3B">
        <w:tab/>
        <w:t>Submitted on paper</w:t>
      </w:r>
    </w:p>
    <w:p w:rsidR="004F6C0E" w:rsidRPr="00990D3B" w:rsidP="00034F5E" w14:paraId="1A811801" w14:textId="77777777">
      <w:pPr>
        <w:pStyle w:val="EQRNormalSSWSquestion3YN"/>
      </w:pPr>
      <w:r w:rsidRPr="00990D3B">
        <w:t>□</w:t>
      </w:r>
      <w:r w:rsidRPr="00990D3B">
        <w:tab/>
        <w:t>Submitted both electronically and on paper</w:t>
      </w:r>
    </w:p>
    <w:p w:rsidR="004F6C0E" w:rsidRPr="00990D3B" w:rsidP="002066F7" w14:paraId="6582A82A" w14:textId="7193D22D">
      <w:pPr>
        <w:pStyle w:val="H2EQRWorksheetlist3"/>
        <w:ind w:left="1339" w:hanging="187"/>
      </w:pPr>
      <w:r w:rsidRPr="00990D3B">
        <w:t xml:space="preserve">What </w:t>
      </w:r>
      <w:r w:rsidRPr="00990D3B">
        <w:t>percent</w:t>
      </w:r>
      <w:r w:rsidRPr="00990D3B">
        <w:t xml:space="preserve"> of data </w:t>
      </w:r>
      <w:r w:rsidRPr="00990D3B">
        <w:t>are</w:t>
      </w:r>
      <w:r w:rsidRPr="00990D3B">
        <w:t xml:space="preserve"> submitted electronically?  </w:t>
      </w:r>
    </w:p>
    <w:p w:rsidR="004F6C0E" w:rsidRPr="00990D3B" w:rsidP="002066F7" w14:paraId="607A503D" w14:textId="39095E54">
      <w:pPr>
        <w:pStyle w:val="H2EQRWorksheetlist3"/>
        <w:ind w:left="1339" w:hanging="187"/>
      </w:pPr>
      <w:r w:rsidRPr="00990D3B">
        <w:t xml:space="preserve">What formats are used?  </w:t>
      </w:r>
    </w:p>
    <w:p w:rsidR="004F6C0E" w:rsidRPr="00990D3B" w:rsidP="002066F7" w14:paraId="4F650D19" w14:textId="75EE67D1">
      <w:pPr>
        <w:pStyle w:val="H2EQRWorksheetlist3"/>
        <w:ind w:left="1339" w:hanging="187"/>
      </w:pPr>
      <w:r w:rsidRPr="00990D3B">
        <w:t>Is there a front-end web portal available for data submissions?</w:t>
      </w:r>
    </w:p>
    <w:p w:rsidR="004F6C0E" w:rsidRPr="00990D3B" w:rsidP="00A1785E" w14:paraId="72B46939" w14:textId="77777777">
      <w:pPr>
        <w:pStyle w:val="EQRNormalSSWSquestion3YN"/>
        <w:ind w:left="1440"/>
      </w:pPr>
      <w:r w:rsidRPr="00990D3B">
        <w:t>□</w:t>
      </w:r>
      <w:r w:rsidRPr="00990D3B">
        <w:tab/>
        <w:t>Yes</w:t>
      </w:r>
    </w:p>
    <w:p w:rsidR="004F6C0E" w:rsidRPr="00990D3B" w:rsidP="00A1785E" w14:paraId="0E359430" w14:textId="77777777">
      <w:pPr>
        <w:pStyle w:val="EQRNormalSSWSquestion3YN"/>
        <w:ind w:left="1440"/>
      </w:pPr>
      <w:r w:rsidRPr="00990D3B">
        <w:t>□</w:t>
      </w:r>
      <w:r w:rsidRPr="00990D3B">
        <w:tab/>
        <w:t xml:space="preserve">No </w:t>
      </w:r>
    </w:p>
    <w:p w:rsidR="004F6C0E" w:rsidRPr="00990D3B" w:rsidP="00034F5E" w14:paraId="3882BF3E" w14:textId="60E7178F">
      <w:pPr>
        <w:pStyle w:val="H2EQRWorksheetlist2"/>
      </w:pPr>
      <w:r w:rsidRPr="00990D3B">
        <w:t xml:space="preserve">Do you use standard claims or encounter forms for the following? Mark </w:t>
      </w:r>
      <w:r w:rsidRPr="00990D3B" w:rsidR="00A149F4">
        <w:t>“Yes”</w:t>
      </w:r>
      <w:r w:rsidRPr="00990D3B">
        <w:t xml:space="preserve"> or </w:t>
      </w:r>
      <w:r w:rsidRPr="00990D3B" w:rsidR="00A149F4">
        <w:t>“N</w:t>
      </w:r>
      <w:r w:rsidRPr="00990D3B">
        <w:t>o</w:t>
      </w:r>
      <w:r w:rsidRPr="00990D3B" w:rsidR="00A149F4">
        <w:t>”</w:t>
      </w:r>
      <w:r w:rsidRPr="00990D3B">
        <w:t xml:space="preserve"> for each data source. If yes, please specify (e.g., </w:t>
      </w:r>
      <w:smartTag w:uri="urn:schemas-microsoft-com:office:smarttags" w:element="stockticker">
        <w:r w:rsidRPr="00990D3B">
          <w:t>CMS</w:t>
        </w:r>
      </w:smartTag>
      <w:r w:rsidRPr="00990D3B">
        <w:t>1500, UB 94).</w:t>
      </w:r>
    </w:p>
    <w:tbl>
      <w:tblPr>
        <w:tblStyle w:val="TableGrid"/>
        <w:tblW w:w="5000" w:type="pct"/>
        <w:tblLook w:val="04A0"/>
      </w:tblPr>
      <w:tblGrid>
        <w:gridCol w:w="2361"/>
        <w:gridCol w:w="948"/>
        <w:gridCol w:w="1073"/>
        <w:gridCol w:w="4968"/>
      </w:tblGrid>
      <w:tr w14:paraId="22740FC2" w14:textId="77777777" w:rsidTr="003D6857">
        <w:tblPrEx>
          <w:tblW w:w="5000" w:type="pct"/>
          <w:tblLook w:val="04A0"/>
        </w:tblPrEx>
        <w:trPr>
          <w:tblHeader/>
        </w:trPr>
        <w:tc>
          <w:tcPr>
            <w:tcW w:w="2361" w:type="dxa"/>
          </w:tcPr>
          <w:p w:rsidR="004F6C0E" w:rsidRPr="00990D3B" w:rsidP="003D6857" w14:paraId="0AEF8425" w14:textId="359272D0">
            <w:pPr>
              <w:pStyle w:val="EQRTableHeaderLeft"/>
              <w:rPr>
                <w:color w:val="auto"/>
              </w:rPr>
            </w:pPr>
            <w:r w:rsidRPr="00990D3B">
              <w:rPr>
                <w:color w:val="auto"/>
              </w:rPr>
              <w:t xml:space="preserve">Data </w:t>
            </w:r>
            <w:r w:rsidRPr="00990D3B" w:rsidR="00EE4205">
              <w:rPr>
                <w:color w:val="auto"/>
              </w:rPr>
              <w:t>S</w:t>
            </w:r>
            <w:r w:rsidRPr="00990D3B">
              <w:rPr>
                <w:color w:val="auto"/>
              </w:rPr>
              <w:t>ource</w:t>
            </w:r>
          </w:p>
        </w:tc>
        <w:tc>
          <w:tcPr>
            <w:tcW w:w="948" w:type="dxa"/>
          </w:tcPr>
          <w:p w:rsidR="004F6C0E" w:rsidRPr="00990D3B" w:rsidP="003D6857" w14:paraId="21AD3205" w14:textId="77777777">
            <w:pPr>
              <w:pStyle w:val="EQRTableHeaderCenter"/>
              <w:rPr>
                <w:color w:val="auto"/>
              </w:rPr>
            </w:pPr>
            <w:r w:rsidRPr="00990D3B">
              <w:rPr>
                <w:color w:val="auto"/>
              </w:rPr>
              <w:t>No</w:t>
            </w:r>
          </w:p>
        </w:tc>
        <w:tc>
          <w:tcPr>
            <w:tcW w:w="1073" w:type="dxa"/>
          </w:tcPr>
          <w:p w:rsidR="004F6C0E" w:rsidRPr="00990D3B" w:rsidP="003D6857" w14:paraId="0C64B499" w14:textId="77777777">
            <w:pPr>
              <w:pStyle w:val="EQRTableHeaderCenter"/>
              <w:rPr>
                <w:color w:val="auto"/>
              </w:rPr>
            </w:pPr>
            <w:r w:rsidRPr="00990D3B">
              <w:rPr>
                <w:color w:val="auto"/>
              </w:rPr>
              <w:t>Yes</w:t>
            </w:r>
          </w:p>
        </w:tc>
        <w:tc>
          <w:tcPr>
            <w:tcW w:w="4968" w:type="dxa"/>
          </w:tcPr>
          <w:p w:rsidR="004F6C0E" w:rsidRPr="00990D3B" w:rsidP="003D6857" w14:paraId="0E710FB3" w14:textId="3CEF8BC2">
            <w:pPr>
              <w:pStyle w:val="EQRTableHeaderCenter"/>
              <w:rPr>
                <w:color w:val="auto"/>
              </w:rPr>
            </w:pPr>
            <w:r w:rsidRPr="00990D3B">
              <w:rPr>
                <w:color w:val="auto"/>
              </w:rPr>
              <w:t xml:space="preserve">If “Yes,” </w:t>
            </w:r>
            <w:r w:rsidRPr="00990D3B" w:rsidR="00EE4205">
              <w:rPr>
                <w:color w:val="auto"/>
              </w:rPr>
              <w:t>P</w:t>
            </w:r>
            <w:r w:rsidRPr="00990D3B">
              <w:rPr>
                <w:color w:val="auto"/>
              </w:rPr>
              <w:t xml:space="preserve">lease </w:t>
            </w:r>
            <w:r w:rsidRPr="00990D3B" w:rsidR="00EE4205">
              <w:rPr>
                <w:color w:val="auto"/>
              </w:rPr>
              <w:t>S</w:t>
            </w:r>
            <w:r w:rsidRPr="00990D3B">
              <w:rPr>
                <w:color w:val="auto"/>
              </w:rPr>
              <w:t>pecify</w:t>
            </w:r>
          </w:p>
        </w:tc>
      </w:tr>
      <w:tr w14:paraId="43464CA5" w14:textId="77777777" w:rsidTr="003D6857">
        <w:tblPrEx>
          <w:tblW w:w="5000" w:type="pct"/>
          <w:tblLook w:val="04A0"/>
        </w:tblPrEx>
        <w:tc>
          <w:tcPr>
            <w:tcW w:w="2361" w:type="dxa"/>
          </w:tcPr>
          <w:p w:rsidR="004F6C0E" w:rsidRPr="00990D3B" w:rsidP="003D6857" w14:paraId="598D5520" w14:textId="77777777">
            <w:pPr>
              <w:pStyle w:val="EQRTableText"/>
            </w:pPr>
            <w:r w:rsidRPr="00990D3B">
              <w:t>Hospital</w:t>
            </w:r>
          </w:p>
        </w:tc>
        <w:tc>
          <w:tcPr>
            <w:tcW w:w="948" w:type="dxa"/>
          </w:tcPr>
          <w:p w:rsidR="004F6C0E" w:rsidRPr="00990D3B" w:rsidP="003D6857" w14:paraId="1E0789B0" w14:textId="77777777">
            <w:pPr>
              <w:pStyle w:val="EQRTableText"/>
            </w:pPr>
            <w:r w:rsidRPr="00990D3B">
              <w:t> </w:t>
            </w:r>
          </w:p>
        </w:tc>
        <w:tc>
          <w:tcPr>
            <w:tcW w:w="1073" w:type="dxa"/>
          </w:tcPr>
          <w:p w:rsidR="004F6C0E" w:rsidRPr="00990D3B" w:rsidP="003D6857" w14:paraId="2239EF58" w14:textId="77777777">
            <w:pPr>
              <w:pStyle w:val="EQRTableText"/>
            </w:pPr>
            <w:r w:rsidRPr="00990D3B">
              <w:t> </w:t>
            </w:r>
          </w:p>
        </w:tc>
        <w:tc>
          <w:tcPr>
            <w:tcW w:w="4968" w:type="dxa"/>
          </w:tcPr>
          <w:p w:rsidR="004F6C0E" w:rsidRPr="00990D3B" w:rsidP="003D6857" w14:paraId="239FC49C" w14:textId="77777777">
            <w:pPr>
              <w:pStyle w:val="EQRTableText"/>
            </w:pPr>
            <w:r w:rsidRPr="00990D3B">
              <w:t> </w:t>
            </w:r>
          </w:p>
        </w:tc>
      </w:tr>
      <w:tr w14:paraId="587DA055" w14:textId="77777777" w:rsidTr="003D6857">
        <w:tblPrEx>
          <w:tblW w:w="5000" w:type="pct"/>
          <w:tblLook w:val="04A0"/>
        </w:tblPrEx>
        <w:tc>
          <w:tcPr>
            <w:tcW w:w="2361" w:type="dxa"/>
          </w:tcPr>
          <w:p w:rsidR="004F6C0E" w:rsidRPr="00990D3B" w:rsidP="003D6857" w14:paraId="7AF723B7" w14:textId="77777777">
            <w:pPr>
              <w:pStyle w:val="EQRTableText"/>
            </w:pPr>
            <w:r w:rsidRPr="00990D3B">
              <w:t>Physician</w:t>
            </w:r>
          </w:p>
        </w:tc>
        <w:tc>
          <w:tcPr>
            <w:tcW w:w="948" w:type="dxa"/>
          </w:tcPr>
          <w:p w:rsidR="004F6C0E" w:rsidRPr="00990D3B" w:rsidP="003D6857" w14:paraId="76221226" w14:textId="77777777">
            <w:pPr>
              <w:pStyle w:val="EQRTableText"/>
            </w:pPr>
            <w:r w:rsidRPr="00990D3B">
              <w:t> </w:t>
            </w:r>
          </w:p>
        </w:tc>
        <w:tc>
          <w:tcPr>
            <w:tcW w:w="1073" w:type="dxa"/>
          </w:tcPr>
          <w:p w:rsidR="004F6C0E" w:rsidRPr="00990D3B" w:rsidP="003D6857" w14:paraId="141F2096" w14:textId="77777777">
            <w:pPr>
              <w:pStyle w:val="EQRTableText"/>
            </w:pPr>
            <w:r w:rsidRPr="00990D3B">
              <w:t> </w:t>
            </w:r>
          </w:p>
        </w:tc>
        <w:tc>
          <w:tcPr>
            <w:tcW w:w="4968" w:type="dxa"/>
          </w:tcPr>
          <w:p w:rsidR="004F6C0E" w:rsidRPr="00990D3B" w:rsidP="003D6857" w14:paraId="0931D9CF" w14:textId="77777777">
            <w:pPr>
              <w:pStyle w:val="EQRTableText"/>
            </w:pPr>
            <w:r w:rsidRPr="00990D3B">
              <w:t> </w:t>
            </w:r>
          </w:p>
        </w:tc>
      </w:tr>
      <w:tr w14:paraId="21B03DDF" w14:textId="77777777" w:rsidTr="003D6857">
        <w:tblPrEx>
          <w:tblW w:w="5000" w:type="pct"/>
          <w:tblLook w:val="04A0"/>
        </w:tblPrEx>
        <w:tc>
          <w:tcPr>
            <w:tcW w:w="2361" w:type="dxa"/>
          </w:tcPr>
          <w:p w:rsidR="004F6C0E" w:rsidRPr="00990D3B" w:rsidP="003D6857" w14:paraId="667CB751" w14:textId="77777777">
            <w:pPr>
              <w:pStyle w:val="EQRTableText"/>
            </w:pPr>
            <w:r w:rsidRPr="00990D3B">
              <w:t>Drug</w:t>
            </w:r>
          </w:p>
        </w:tc>
        <w:tc>
          <w:tcPr>
            <w:tcW w:w="948" w:type="dxa"/>
          </w:tcPr>
          <w:p w:rsidR="004F6C0E" w:rsidRPr="00990D3B" w:rsidP="003D6857" w14:paraId="5991817B" w14:textId="77777777">
            <w:pPr>
              <w:pStyle w:val="EQRTableText"/>
            </w:pPr>
            <w:r w:rsidRPr="00990D3B">
              <w:t> </w:t>
            </w:r>
          </w:p>
        </w:tc>
        <w:tc>
          <w:tcPr>
            <w:tcW w:w="1073" w:type="dxa"/>
          </w:tcPr>
          <w:p w:rsidR="004F6C0E" w:rsidRPr="00990D3B" w:rsidP="003D6857" w14:paraId="3E212A78" w14:textId="77777777">
            <w:pPr>
              <w:pStyle w:val="EQRTableText"/>
            </w:pPr>
            <w:r w:rsidRPr="00990D3B">
              <w:t> </w:t>
            </w:r>
          </w:p>
        </w:tc>
        <w:tc>
          <w:tcPr>
            <w:tcW w:w="4968" w:type="dxa"/>
          </w:tcPr>
          <w:p w:rsidR="004F6C0E" w:rsidRPr="00990D3B" w:rsidP="003D6857" w14:paraId="19670ED2" w14:textId="77777777">
            <w:pPr>
              <w:pStyle w:val="EQRTableText"/>
            </w:pPr>
            <w:r w:rsidRPr="00990D3B">
              <w:t> </w:t>
            </w:r>
          </w:p>
        </w:tc>
      </w:tr>
      <w:tr w14:paraId="41FEFC89" w14:textId="77777777" w:rsidTr="003D6857">
        <w:tblPrEx>
          <w:tblW w:w="5000" w:type="pct"/>
          <w:tblLook w:val="04A0"/>
        </w:tblPrEx>
        <w:tc>
          <w:tcPr>
            <w:tcW w:w="2361" w:type="dxa"/>
          </w:tcPr>
          <w:p w:rsidR="004F6C0E" w:rsidRPr="00990D3B" w:rsidP="003D6857" w14:paraId="0142549B" w14:textId="77777777">
            <w:pPr>
              <w:pStyle w:val="EQRTableText"/>
            </w:pPr>
            <w:r w:rsidRPr="00990D3B">
              <w:t>Nursing home</w:t>
            </w:r>
          </w:p>
        </w:tc>
        <w:tc>
          <w:tcPr>
            <w:tcW w:w="948" w:type="dxa"/>
          </w:tcPr>
          <w:p w:rsidR="004F6C0E" w:rsidRPr="00990D3B" w:rsidP="003D6857" w14:paraId="68B46173" w14:textId="77777777">
            <w:pPr>
              <w:pStyle w:val="EQRTableText"/>
            </w:pPr>
            <w:r w:rsidRPr="00990D3B">
              <w:t> </w:t>
            </w:r>
          </w:p>
        </w:tc>
        <w:tc>
          <w:tcPr>
            <w:tcW w:w="1073" w:type="dxa"/>
          </w:tcPr>
          <w:p w:rsidR="004F6C0E" w:rsidRPr="00990D3B" w:rsidP="003D6857" w14:paraId="6B0B59E2" w14:textId="77777777">
            <w:pPr>
              <w:pStyle w:val="EQRTableText"/>
            </w:pPr>
            <w:r w:rsidRPr="00990D3B">
              <w:t> </w:t>
            </w:r>
          </w:p>
        </w:tc>
        <w:tc>
          <w:tcPr>
            <w:tcW w:w="4968" w:type="dxa"/>
          </w:tcPr>
          <w:p w:rsidR="004F6C0E" w:rsidRPr="00990D3B" w:rsidP="003D6857" w14:paraId="2D8427FE" w14:textId="77777777">
            <w:pPr>
              <w:pStyle w:val="EQRTableText"/>
            </w:pPr>
            <w:r w:rsidRPr="00990D3B">
              <w:t> </w:t>
            </w:r>
          </w:p>
        </w:tc>
      </w:tr>
      <w:tr w14:paraId="2BFA88F9" w14:textId="77777777" w:rsidTr="003D6857">
        <w:tblPrEx>
          <w:tblW w:w="5000" w:type="pct"/>
          <w:tblLook w:val="04A0"/>
        </w:tblPrEx>
        <w:tc>
          <w:tcPr>
            <w:tcW w:w="2361" w:type="dxa"/>
          </w:tcPr>
          <w:p w:rsidR="004F6C0E" w:rsidRPr="00990D3B" w:rsidP="003D6857" w14:paraId="6E2AF5A0" w14:textId="77777777">
            <w:pPr>
              <w:pStyle w:val="EQRTableText"/>
            </w:pPr>
            <w:r w:rsidRPr="00990D3B">
              <w:t>Home health</w:t>
            </w:r>
          </w:p>
        </w:tc>
        <w:tc>
          <w:tcPr>
            <w:tcW w:w="948" w:type="dxa"/>
          </w:tcPr>
          <w:p w:rsidR="004F6C0E" w:rsidRPr="00990D3B" w:rsidP="003D6857" w14:paraId="011DDD83" w14:textId="77777777">
            <w:pPr>
              <w:pStyle w:val="EQRTableText"/>
            </w:pPr>
            <w:r w:rsidRPr="00990D3B">
              <w:t> </w:t>
            </w:r>
          </w:p>
        </w:tc>
        <w:tc>
          <w:tcPr>
            <w:tcW w:w="1073" w:type="dxa"/>
          </w:tcPr>
          <w:p w:rsidR="004F6C0E" w:rsidRPr="00990D3B" w:rsidP="003D6857" w14:paraId="71C78ABB" w14:textId="77777777">
            <w:pPr>
              <w:pStyle w:val="EQRTableText"/>
            </w:pPr>
            <w:r w:rsidRPr="00990D3B">
              <w:t> </w:t>
            </w:r>
          </w:p>
        </w:tc>
        <w:tc>
          <w:tcPr>
            <w:tcW w:w="4968" w:type="dxa"/>
          </w:tcPr>
          <w:p w:rsidR="004F6C0E" w:rsidRPr="00990D3B" w:rsidP="003D6857" w14:paraId="0F222538" w14:textId="77777777">
            <w:pPr>
              <w:pStyle w:val="EQRTableText"/>
            </w:pPr>
            <w:r w:rsidRPr="00990D3B">
              <w:t> </w:t>
            </w:r>
          </w:p>
        </w:tc>
      </w:tr>
      <w:tr w14:paraId="724F5D3B" w14:textId="77777777" w:rsidTr="003D6857">
        <w:tblPrEx>
          <w:tblW w:w="5000" w:type="pct"/>
          <w:tblLook w:val="04A0"/>
        </w:tblPrEx>
        <w:tc>
          <w:tcPr>
            <w:tcW w:w="2361" w:type="dxa"/>
          </w:tcPr>
          <w:p w:rsidR="004F6C0E" w:rsidRPr="00990D3B" w:rsidP="003D6857" w14:paraId="456571B4" w14:textId="77777777">
            <w:pPr>
              <w:pStyle w:val="EQRTableText"/>
            </w:pPr>
            <w:r w:rsidRPr="00990D3B">
              <w:t>Mental health</w:t>
            </w:r>
          </w:p>
        </w:tc>
        <w:tc>
          <w:tcPr>
            <w:tcW w:w="948" w:type="dxa"/>
          </w:tcPr>
          <w:p w:rsidR="004F6C0E" w:rsidRPr="00990D3B" w:rsidP="003D6857" w14:paraId="5FC7D789" w14:textId="77777777">
            <w:pPr>
              <w:pStyle w:val="EQRTableText"/>
            </w:pPr>
            <w:r w:rsidRPr="00990D3B">
              <w:t> </w:t>
            </w:r>
          </w:p>
        </w:tc>
        <w:tc>
          <w:tcPr>
            <w:tcW w:w="1073" w:type="dxa"/>
          </w:tcPr>
          <w:p w:rsidR="004F6C0E" w:rsidRPr="00990D3B" w:rsidP="003D6857" w14:paraId="10A4981C" w14:textId="77777777">
            <w:pPr>
              <w:pStyle w:val="EQRTableText"/>
            </w:pPr>
            <w:r w:rsidRPr="00990D3B">
              <w:t> </w:t>
            </w:r>
          </w:p>
        </w:tc>
        <w:tc>
          <w:tcPr>
            <w:tcW w:w="4968" w:type="dxa"/>
          </w:tcPr>
          <w:p w:rsidR="004F6C0E" w:rsidRPr="00990D3B" w:rsidP="003D6857" w14:paraId="156C2EE2" w14:textId="77777777">
            <w:pPr>
              <w:pStyle w:val="EQRTableText"/>
            </w:pPr>
            <w:r w:rsidRPr="00990D3B">
              <w:t> </w:t>
            </w:r>
          </w:p>
        </w:tc>
      </w:tr>
      <w:tr w14:paraId="62A7C12F" w14:textId="77777777" w:rsidTr="003D6857">
        <w:tblPrEx>
          <w:tblW w:w="5000" w:type="pct"/>
          <w:tblLook w:val="04A0"/>
        </w:tblPrEx>
        <w:tc>
          <w:tcPr>
            <w:tcW w:w="2361" w:type="dxa"/>
          </w:tcPr>
          <w:p w:rsidR="004F6C0E" w:rsidRPr="00990D3B" w:rsidP="003D6857" w14:paraId="69B8850F" w14:textId="77777777">
            <w:pPr>
              <w:pStyle w:val="EQRTableText"/>
            </w:pPr>
            <w:r w:rsidRPr="00990D3B">
              <w:t>Dental</w:t>
            </w:r>
          </w:p>
        </w:tc>
        <w:tc>
          <w:tcPr>
            <w:tcW w:w="948" w:type="dxa"/>
          </w:tcPr>
          <w:p w:rsidR="004F6C0E" w:rsidRPr="00990D3B" w:rsidP="003D6857" w14:paraId="66D58E8D" w14:textId="77777777">
            <w:pPr>
              <w:pStyle w:val="EQRTableText"/>
            </w:pPr>
            <w:r w:rsidRPr="00990D3B">
              <w:t> </w:t>
            </w:r>
          </w:p>
        </w:tc>
        <w:tc>
          <w:tcPr>
            <w:tcW w:w="1073" w:type="dxa"/>
          </w:tcPr>
          <w:p w:rsidR="004F6C0E" w:rsidRPr="00990D3B" w:rsidP="003D6857" w14:paraId="29CAABF6" w14:textId="77777777">
            <w:pPr>
              <w:pStyle w:val="EQRTableText"/>
            </w:pPr>
            <w:r w:rsidRPr="00990D3B">
              <w:t> </w:t>
            </w:r>
          </w:p>
        </w:tc>
        <w:tc>
          <w:tcPr>
            <w:tcW w:w="4968" w:type="dxa"/>
          </w:tcPr>
          <w:p w:rsidR="004F6C0E" w:rsidRPr="00990D3B" w:rsidP="003D6857" w14:paraId="5F33D60E" w14:textId="77777777">
            <w:pPr>
              <w:pStyle w:val="EQRTableText"/>
            </w:pPr>
            <w:r w:rsidRPr="00990D3B">
              <w:t> </w:t>
            </w:r>
          </w:p>
        </w:tc>
      </w:tr>
    </w:tbl>
    <w:p w:rsidR="004F6C0E" w:rsidRPr="00990D3B" w:rsidP="00372E00" w14:paraId="58AB09B4" w14:textId="611C90F2">
      <w:pPr>
        <w:pStyle w:val="EQRnoteWS"/>
      </w:pPr>
      <w:r w:rsidRPr="00990D3B">
        <w:t>Note (Q</w:t>
      </w:r>
      <w:r w:rsidRPr="00990D3B" w:rsidR="00A1785E">
        <w:t xml:space="preserve"> 5.</w:t>
      </w:r>
      <w:r w:rsidRPr="00990D3B">
        <w:t xml:space="preserve">2): </w:t>
      </w:r>
      <w:r w:rsidRPr="00990D3B" w:rsidR="00426CD2">
        <w:t xml:space="preserve">MCPs </w:t>
      </w:r>
      <w:r w:rsidRPr="00990D3B">
        <w:t>that do not use either CMS 1500 or UB 92 forms may be using forms they developed themselves. If a</w:t>
      </w:r>
      <w:r w:rsidRPr="00990D3B" w:rsidR="008D1A82">
        <w:t>n</w:t>
      </w:r>
      <w:r w:rsidRPr="00990D3B">
        <w:t xml:space="preserve"> </w:t>
      </w:r>
      <w:r w:rsidRPr="00990D3B" w:rsidR="00426CD2">
        <w:t xml:space="preserve">MCP </w:t>
      </w:r>
      <w:r w:rsidRPr="00990D3B">
        <w:t xml:space="preserve">is using its own forms, these forms should be reviewed to ensure they are capturing the following key data elements: patient identification information (Medicaid ID, name, date of birth, </w:t>
      </w:r>
      <w:r w:rsidRPr="00990D3B" w:rsidR="00A27E6A">
        <w:t>sex</w:t>
      </w:r>
      <w:r w:rsidRPr="00990D3B">
        <w:t>), provider identifying information (national provider identifier (NPI), Tax ID, name), date of service, place of service and diagnoses and procedure codes. An evaluation of their forms to ascertain adequacy and completeness of data collection may be necessary.</w:t>
      </w:r>
    </w:p>
    <w:p w:rsidR="004F6C0E" w:rsidRPr="00990D3B" w:rsidP="00034F5E" w14:paraId="34A0323B" w14:textId="687BF948">
      <w:pPr>
        <w:pStyle w:val="H2EQRWorksheetlist2"/>
      </w:pPr>
      <w:r w:rsidRPr="00990D3B">
        <w:t xml:space="preserve">We would like to understand how claims or encounters are submitted to your plan. We are also interested in an estimate on an </w:t>
      </w:r>
      <w:r w:rsidRPr="00990D3B">
        <w:rPr>
          <w:i/>
        </w:rPr>
        <w:t>annual</w:t>
      </w:r>
      <w:r w:rsidRPr="00990D3B">
        <w:t xml:space="preserve"> basis of what percentage (if any) of services provided to your enrollees by all providers serving your Medicaid and CHIP enrollees are NOT submitted as claims or encounters, and therefore, are not represented in your administrative data. Please fill in the following table with the appropriate percentages</w:t>
      </w:r>
      <w:r w:rsidRPr="00990D3B" w:rsidR="00A149F4">
        <w:t>.</w:t>
      </w:r>
    </w:p>
    <w:tbl>
      <w:tblPr>
        <w:tblStyle w:val="TableGrid"/>
        <w:tblW w:w="5000" w:type="pct"/>
        <w:tblLayout w:type="fixed"/>
        <w:tblLook w:val="04A0"/>
      </w:tblPr>
      <w:tblGrid>
        <w:gridCol w:w="2027"/>
        <w:gridCol w:w="1028"/>
        <w:gridCol w:w="810"/>
        <w:gridCol w:w="990"/>
        <w:gridCol w:w="900"/>
        <w:gridCol w:w="1620"/>
        <w:gridCol w:w="990"/>
        <w:gridCol w:w="985"/>
      </w:tblGrid>
      <w:tr w14:paraId="0DE1AA43" w14:textId="77777777" w:rsidTr="00754B38">
        <w:tblPrEx>
          <w:tblW w:w="5000" w:type="pct"/>
          <w:tblLayout w:type="fixed"/>
          <w:tblLook w:val="04A0"/>
        </w:tblPrEx>
        <w:trPr>
          <w:tblHeader/>
        </w:trPr>
        <w:tc>
          <w:tcPr>
            <w:tcW w:w="9350" w:type="dxa"/>
            <w:gridSpan w:val="8"/>
          </w:tcPr>
          <w:p w:rsidR="004F6C0E" w:rsidRPr="00990D3B" w:rsidP="009B41B5" w14:paraId="00B3D43C" w14:textId="77777777">
            <w:pPr>
              <w:pStyle w:val="EQRTableText"/>
              <w:rPr>
                <w:b/>
                <w:bCs/>
              </w:rPr>
            </w:pPr>
            <w:r w:rsidRPr="00990D3B">
              <w:rPr>
                <w:b/>
                <w:bCs/>
              </w:rPr>
              <w:t>Claims or Encounter Types</w:t>
            </w:r>
          </w:p>
        </w:tc>
      </w:tr>
      <w:tr w14:paraId="7B6F6262" w14:textId="77777777" w:rsidTr="00372E00">
        <w:tblPrEx>
          <w:tblW w:w="5000" w:type="pct"/>
          <w:tblLayout w:type="fixed"/>
          <w:tblLook w:val="04A0"/>
        </w:tblPrEx>
        <w:trPr>
          <w:tblHeader/>
        </w:trPr>
        <w:tc>
          <w:tcPr>
            <w:tcW w:w="2027" w:type="dxa"/>
            <w:vAlign w:val="bottom"/>
          </w:tcPr>
          <w:p w:rsidR="004F6C0E" w:rsidRPr="00990D3B" w:rsidP="009B41B5" w14:paraId="254D831E" w14:textId="77777777">
            <w:pPr>
              <w:pStyle w:val="EQRTableText"/>
              <w:rPr>
                <w:b/>
                <w:bCs/>
              </w:rPr>
            </w:pPr>
            <w:r w:rsidRPr="00990D3B">
              <w:rPr>
                <w:b/>
                <w:bCs/>
              </w:rPr>
              <w:t>Medium</w:t>
            </w:r>
          </w:p>
        </w:tc>
        <w:tc>
          <w:tcPr>
            <w:tcW w:w="1028" w:type="dxa"/>
            <w:vAlign w:val="bottom"/>
          </w:tcPr>
          <w:p w:rsidR="004F6C0E" w:rsidRPr="00990D3B" w:rsidP="00372E00" w14:paraId="29ABCC69" w14:textId="77777777">
            <w:pPr>
              <w:pStyle w:val="EQRTableText"/>
              <w:jc w:val="center"/>
              <w:rPr>
                <w:b/>
                <w:bCs/>
              </w:rPr>
            </w:pPr>
            <w:r w:rsidRPr="00990D3B">
              <w:rPr>
                <w:b/>
                <w:bCs/>
              </w:rPr>
              <w:t>Hospital</w:t>
            </w:r>
          </w:p>
        </w:tc>
        <w:tc>
          <w:tcPr>
            <w:tcW w:w="810" w:type="dxa"/>
            <w:vAlign w:val="bottom"/>
          </w:tcPr>
          <w:p w:rsidR="004F6C0E" w:rsidRPr="00990D3B" w:rsidP="00372E00" w14:paraId="3ECDA44F" w14:textId="77777777">
            <w:pPr>
              <w:pStyle w:val="EQRTableText"/>
              <w:jc w:val="center"/>
              <w:rPr>
                <w:b/>
                <w:bCs/>
              </w:rPr>
            </w:pPr>
            <w:r w:rsidRPr="00990D3B">
              <w:rPr>
                <w:b/>
                <w:bCs/>
              </w:rPr>
              <w:t>PCP</w:t>
            </w:r>
          </w:p>
        </w:tc>
        <w:tc>
          <w:tcPr>
            <w:tcW w:w="990" w:type="dxa"/>
            <w:vAlign w:val="bottom"/>
          </w:tcPr>
          <w:p w:rsidR="004F6C0E" w:rsidRPr="00990D3B" w:rsidP="00372E00" w14:paraId="722549D1" w14:textId="5CE9E77B">
            <w:pPr>
              <w:pStyle w:val="EQRTableText"/>
              <w:jc w:val="center"/>
              <w:rPr>
                <w:b/>
                <w:bCs/>
              </w:rPr>
            </w:pPr>
            <w:r w:rsidRPr="00990D3B">
              <w:rPr>
                <w:b/>
                <w:bCs/>
              </w:rPr>
              <w:t xml:space="preserve">Specialist </w:t>
            </w:r>
            <w:r w:rsidRPr="00990D3B" w:rsidR="00C02F35">
              <w:rPr>
                <w:b/>
                <w:bCs/>
              </w:rPr>
              <w:t>p</w:t>
            </w:r>
            <w:r w:rsidRPr="00990D3B">
              <w:rPr>
                <w:b/>
                <w:bCs/>
              </w:rPr>
              <w:t>hysician</w:t>
            </w:r>
          </w:p>
        </w:tc>
        <w:tc>
          <w:tcPr>
            <w:tcW w:w="900" w:type="dxa"/>
            <w:vAlign w:val="bottom"/>
          </w:tcPr>
          <w:p w:rsidR="004F6C0E" w:rsidRPr="00990D3B" w:rsidP="00372E00" w14:paraId="1B8DDAA7" w14:textId="77777777">
            <w:pPr>
              <w:pStyle w:val="EQRTableText"/>
              <w:jc w:val="center"/>
              <w:rPr>
                <w:b/>
                <w:bCs/>
              </w:rPr>
            </w:pPr>
            <w:r w:rsidRPr="00990D3B">
              <w:rPr>
                <w:b/>
                <w:bCs/>
              </w:rPr>
              <w:t>Dental</w:t>
            </w:r>
          </w:p>
        </w:tc>
        <w:tc>
          <w:tcPr>
            <w:tcW w:w="1620" w:type="dxa"/>
            <w:vAlign w:val="bottom"/>
          </w:tcPr>
          <w:p w:rsidR="004F6C0E" w:rsidRPr="00990D3B" w:rsidP="00372E00" w14:paraId="2C09F8BC" w14:textId="77777777">
            <w:pPr>
              <w:pStyle w:val="EQRTableText"/>
              <w:jc w:val="center"/>
              <w:rPr>
                <w:b/>
                <w:bCs/>
              </w:rPr>
            </w:pPr>
            <w:r w:rsidRPr="00990D3B">
              <w:rPr>
                <w:b/>
                <w:bCs/>
              </w:rPr>
              <w:t>Mental health/ substance abuse</w:t>
            </w:r>
          </w:p>
        </w:tc>
        <w:tc>
          <w:tcPr>
            <w:tcW w:w="990" w:type="dxa"/>
            <w:vAlign w:val="bottom"/>
          </w:tcPr>
          <w:p w:rsidR="004F6C0E" w:rsidRPr="00990D3B" w:rsidP="00372E00" w14:paraId="15980364" w14:textId="77777777">
            <w:pPr>
              <w:pStyle w:val="EQRTableText"/>
              <w:jc w:val="center"/>
              <w:rPr>
                <w:b/>
                <w:bCs/>
              </w:rPr>
            </w:pPr>
            <w:r w:rsidRPr="00990D3B">
              <w:rPr>
                <w:b/>
                <w:bCs/>
              </w:rPr>
              <w:t>Drug</w:t>
            </w:r>
          </w:p>
        </w:tc>
        <w:tc>
          <w:tcPr>
            <w:tcW w:w="985" w:type="dxa"/>
            <w:vAlign w:val="bottom"/>
          </w:tcPr>
          <w:p w:rsidR="004F6C0E" w:rsidRPr="00990D3B" w:rsidP="00372E00" w14:paraId="03C6C48F" w14:textId="77777777">
            <w:pPr>
              <w:pStyle w:val="EQRTableText"/>
              <w:jc w:val="center"/>
              <w:rPr>
                <w:b/>
                <w:bCs/>
              </w:rPr>
            </w:pPr>
            <w:r w:rsidRPr="00990D3B">
              <w:rPr>
                <w:b/>
                <w:bCs/>
              </w:rPr>
              <w:t>Other</w:t>
            </w:r>
          </w:p>
        </w:tc>
      </w:tr>
      <w:tr w14:paraId="23048542" w14:textId="77777777" w:rsidTr="00372E00">
        <w:tblPrEx>
          <w:tblW w:w="5000" w:type="pct"/>
          <w:tblLayout w:type="fixed"/>
          <w:tblLook w:val="04A0"/>
        </w:tblPrEx>
        <w:tc>
          <w:tcPr>
            <w:tcW w:w="2027" w:type="dxa"/>
            <w:vAlign w:val="center"/>
          </w:tcPr>
          <w:p w:rsidR="004F6C0E" w:rsidRPr="00990D3B" w:rsidP="009B41B5" w14:paraId="7B1E51E5" w14:textId="77777777">
            <w:pPr>
              <w:pStyle w:val="EQRTableText"/>
            </w:pPr>
            <w:r w:rsidRPr="00990D3B">
              <w:t>Claims/encounters submitted electronically</w:t>
            </w:r>
          </w:p>
        </w:tc>
        <w:tc>
          <w:tcPr>
            <w:tcW w:w="1028" w:type="dxa"/>
            <w:vAlign w:val="center"/>
          </w:tcPr>
          <w:p w:rsidR="004F6C0E" w:rsidRPr="00990D3B" w:rsidP="009B41B5" w14:paraId="5538A79D" w14:textId="77777777">
            <w:pPr>
              <w:pStyle w:val="EQRTableText"/>
            </w:pPr>
            <w:r w:rsidRPr="00990D3B">
              <w:t> </w:t>
            </w:r>
          </w:p>
        </w:tc>
        <w:tc>
          <w:tcPr>
            <w:tcW w:w="810" w:type="dxa"/>
            <w:vAlign w:val="center"/>
          </w:tcPr>
          <w:p w:rsidR="004F6C0E" w:rsidRPr="00990D3B" w:rsidP="009B41B5" w14:paraId="798321C0" w14:textId="77777777">
            <w:pPr>
              <w:pStyle w:val="EQRTableText"/>
            </w:pPr>
            <w:r w:rsidRPr="00990D3B">
              <w:t> </w:t>
            </w:r>
          </w:p>
        </w:tc>
        <w:tc>
          <w:tcPr>
            <w:tcW w:w="990" w:type="dxa"/>
            <w:vAlign w:val="center"/>
          </w:tcPr>
          <w:p w:rsidR="004F6C0E" w:rsidRPr="00990D3B" w:rsidP="009B41B5" w14:paraId="36B2BC49" w14:textId="77777777">
            <w:pPr>
              <w:pStyle w:val="EQRTableText"/>
            </w:pPr>
            <w:r w:rsidRPr="00990D3B">
              <w:t> </w:t>
            </w:r>
          </w:p>
        </w:tc>
        <w:tc>
          <w:tcPr>
            <w:tcW w:w="900" w:type="dxa"/>
            <w:vAlign w:val="center"/>
          </w:tcPr>
          <w:p w:rsidR="004F6C0E" w:rsidRPr="00990D3B" w:rsidP="009B41B5" w14:paraId="01EE07FA" w14:textId="77777777">
            <w:pPr>
              <w:pStyle w:val="EQRTableText"/>
            </w:pPr>
            <w:r w:rsidRPr="00990D3B">
              <w:t> </w:t>
            </w:r>
          </w:p>
        </w:tc>
        <w:tc>
          <w:tcPr>
            <w:tcW w:w="1620" w:type="dxa"/>
            <w:vAlign w:val="center"/>
          </w:tcPr>
          <w:p w:rsidR="004F6C0E" w:rsidRPr="00990D3B" w:rsidP="009B41B5" w14:paraId="23B4B1ED" w14:textId="77777777">
            <w:pPr>
              <w:pStyle w:val="EQRTableText"/>
            </w:pPr>
            <w:r w:rsidRPr="00990D3B">
              <w:t> </w:t>
            </w:r>
          </w:p>
        </w:tc>
        <w:tc>
          <w:tcPr>
            <w:tcW w:w="990" w:type="dxa"/>
            <w:vAlign w:val="center"/>
          </w:tcPr>
          <w:p w:rsidR="004F6C0E" w:rsidRPr="00990D3B" w:rsidP="009B41B5" w14:paraId="661A9C1A" w14:textId="77777777">
            <w:pPr>
              <w:pStyle w:val="EQRTableText"/>
            </w:pPr>
            <w:r w:rsidRPr="00990D3B">
              <w:t> </w:t>
            </w:r>
          </w:p>
        </w:tc>
        <w:tc>
          <w:tcPr>
            <w:tcW w:w="985" w:type="dxa"/>
            <w:vAlign w:val="center"/>
          </w:tcPr>
          <w:p w:rsidR="004F6C0E" w:rsidRPr="00990D3B" w:rsidP="009B41B5" w14:paraId="25E37B79" w14:textId="77777777">
            <w:pPr>
              <w:pStyle w:val="EQRTableText"/>
            </w:pPr>
            <w:r w:rsidRPr="00990D3B">
              <w:t> </w:t>
            </w:r>
          </w:p>
        </w:tc>
      </w:tr>
      <w:tr w14:paraId="3EB8004F" w14:textId="77777777" w:rsidTr="00372E00">
        <w:tblPrEx>
          <w:tblW w:w="5000" w:type="pct"/>
          <w:tblLayout w:type="fixed"/>
          <w:tblLook w:val="04A0"/>
        </w:tblPrEx>
        <w:tc>
          <w:tcPr>
            <w:tcW w:w="2027" w:type="dxa"/>
            <w:vAlign w:val="center"/>
          </w:tcPr>
          <w:p w:rsidR="004F6C0E" w:rsidRPr="00990D3B" w:rsidP="009B41B5" w14:paraId="7F790692" w14:textId="77777777">
            <w:pPr>
              <w:pStyle w:val="EQRTableText"/>
            </w:pPr>
            <w:r w:rsidRPr="00990D3B">
              <w:t>Claims/encounters submitted on paper</w:t>
            </w:r>
          </w:p>
        </w:tc>
        <w:tc>
          <w:tcPr>
            <w:tcW w:w="1028" w:type="dxa"/>
            <w:vAlign w:val="center"/>
          </w:tcPr>
          <w:p w:rsidR="004F6C0E" w:rsidRPr="00990D3B" w:rsidP="009B41B5" w14:paraId="60FE07D2" w14:textId="77777777">
            <w:pPr>
              <w:pStyle w:val="EQRTableText"/>
            </w:pPr>
            <w:r w:rsidRPr="00990D3B">
              <w:t> </w:t>
            </w:r>
          </w:p>
        </w:tc>
        <w:tc>
          <w:tcPr>
            <w:tcW w:w="810" w:type="dxa"/>
            <w:vAlign w:val="center"/>
          </w:tcPr>
          <w:p w:rsidR="004F6C0E" w:rsidRPr="00990D3B" w:rsidP="009B41B5" w14:paraId="0C7EFC01" w14:textId="77777777">
            <w:pPr>
              <w:pStyle w:val="EQRTableText"/>
            </w:pPr>
            <w:r w:rsidRPr="00990D3B">
              <w:t> </w:t>
            </w:r>
          </w:p>
        </w:tc>
        <w:tc>
          <w:tcPr>
            <w:tcW w:w="990" w:type="dxa"/>
            <w:vAlign w:val="center"/>
          </w:tcPr>
          <w:p w:rsidR="004F6C0E" w:rsidRPr="00990D3B" w:rsidP="009B41B5" w14:paraId="7E965760" w14:textId="77777777">
            <w:pPr>
              <w:pStyle w:val="EQRTableText"/>
            </w:pPr>
            <w:r w:rsidRPr="00990D3B">
              <w:t> </w:t>
            </w:r>
          </w:p>
        </w:tc>
        <w:tc>
          <w:tcPr>
            <w:tcW w:w="900" w:type="dxa"/>
            <w:vAlign w:val="center"/>
          </w:tcPr>
          <w:p w:rsidR="004F6C0E" w:rsidRPr="00990D3B" w:rsidP="009B41B5" w14:paraId="68A2F3BC" w14:textId="77777777">
            <w:pPr>
              <w:pStyle w:val="EQRTableText"/>
            </w:pPr>
            <w:r w:rsidRPr="00990D3B">
              <w:t> </w:t>
            </w:r>
          </w:p>
        </w:tc>
        <w:tc>
          <w:tcPr>
            <w:tcW w:w="1620" w:type="dxa"/>
            <w:vAlign w:val="center"/>
          </w:tcPr>
          <w:p w:rsidR="004F6C0E" w:rsidRPr="00990D3B" w:rsidP="009B41B5" w14:paraId="4E6D68DC" w14:textId="77777777">
            <w:pPr>
              <w:pStyle w:val="EQRTableText"/>
            </w:pPr>
            <w:r w:rsidRPr="00990D3B">
              <w:t> </w:t>
            </w:r>
          </w:p>
        </w:tc>
        <w:tc>
          <w:tcPr>
            <w:tcW w:w="990" w:type="dxa"/>
            <w:vAlign w:val="center"/>
          </w:tcPr>
          <w:p w:rsidR="004F6C0E" w:rsidRPr="00990D3B" w:rsidP="009B41B5" w14:paraId="565C9989" w14:textId="77777777">
            <w:pPr>
              <w:pStyle w:val="EQRTableText"/>
            </w:pPr>
            <w:r w:rsidRPr="00990D3B">
              <w:t> </w:t>
            </w:r>
          </w:p>
        </w:tc>
        <w:tc>
          <w:tcPr>
            <w:tcW w:w="985" w:type="dxa"/>
            <w:vAlign w:val="center"/>
          </w:tcPr>
          <w:p w:rsidR="004F6C0E" w:rsidRPr="00990D3B" w:rsidP="009B41B5" w14:paraId="397AFFE6" w14:textId="77777777">
            <w:pPr>
              <w:pStyle w:val="EQRTableText"/>
            </w:pPr>
            <w:r w:rsidRPr="00990D3B">
              <w:t> </w:t>
            </w:r>
          </w:p>
        </w:tc>
      </w:tr>
      <w:tr w14:paraId="22E95053" w14:textId="77777777" w:rsidTr="00372E00">
        <w:tblPrEx>
          <w:tblW w:w="5000" w:type="pct"/>
          <w:tblLayout w:type="fixed"/>
          <w:tblLook w:val="04A0"/>
        </w:tblPrEx>
        <w:tc>
          <w:tcPr>
            <w:tcW w:w="2027" w:type="dxa"/>
            <w:vAlign w:val="center"/>
          </w:tcPr>
          <w:p w:rsidR="004F6C0E" w:rsidRPr="00990D3B" w:rsidP="009B41B5" w14:paraId="33F0A3CD" w14:textId="77777777">
            <w:pPr>
              <w:pStyle w:val="EQRTableText"/>
            </w:pPr>
            <w:r w:rsidRPr="00990D3B">
              <w:t>Services not submitted as claims or encounters</w:t>
            </w:r>
          </w:p>
        </w:tc>
        <w:tc>
          <w:tcPr>
            <w:tcW w:w="1028" w:type="dxa"/>
            <w:vAlign w:val="center"/>
          </w:tcPr>
          <w:p w:rsidR="004F6C0E" w:rsidRPr="00990D3B" w:rsidP="009B41B5" w14:paraId="31C8C5CB" w14:textId="77777777">
            <w:pPr>
              <w:pStyle w:val="EQRTableText"/>
            </w:pPr>
            <w:r w:rsidRPr="00990D3B">
              <w:t> </w:t>
            </w:r>
          </w:p>
        </w:tc>
        <w:tc>
          <w:tcPr>
            <w:tcW w:w="810" w:type="dxa"/>
            <w:vAlign w:val="center"/>
          </w:tcPr>
          <w:p w:rsidR="004F6C0E" w:rsidRPr="00990D3B" w:rsidP="009B41B5" w14:paraId="7E58B9CF" w14:textId="77777777">
            <w:pPr>
              <w:pStyle w:val="EQRTableText"/>
            </w:pPr>
            <w:r w:rsidRPr="00990D3B">
              <w:t> </w:t>
            </w:r>
          </w:p>
        </w:tc>
        <w:tc>
          <w:tcPr>
            <w:tcW w:w="990" w:type="dxa"/>
            <w:vAlign w:val="center"/>
          </w:tcPr>
          <w:p w:rsidR="004F6C0E" w:rsidRPr="00990D3B" w:rsidP="009B41B5" w14:paraId="2CDD3BD4" w14:textId="77777777">
            <w:pPr>
              <w:pStyle w:val="EQRTableText"/>
            </w:pPr>
            <w:r w:rsidRPr="00990D3B">
              <w:t> </w:t>
            </w:r>
          </w:p>
        </w:tc>
        <w:tc>
          <w:tcPr>
            <w:tcW w:w="900" w:type="dxa"/>
            <w:vAlign w:val="center"/>
          </w:tcPr>
          <w:p w:rsidR="004F6C0E" w:rsidRPr="00990D3B" w:rsidP="009B41B5" w14:paraId="3E4CF0C8" w14:textId="77777777">
            <w:pPr>
              <w:pStyle w:val="EQRTableText"/>
            </w:pPr>
            <w:r w:rsidRPr="00990D3B">
              <w:t> </w:t>
            </w:r>
          </w:p>
        </w:tc>
        <w:tc>
          <w:tcPr>
            <w:tcW w:w="1620" w:type="dxa"/>
            <w:vAlign w:val="center"/>
          </w:tcPr>
          <w:p w:rsidR="004F6C0E" w:rsidRPr="00990D3B" w:rsidP="009B41B5" w14:paraId="28BE0E69" w14:textId="77777777">
            <w:pPr>
              <w:pStyle w:val="EQRTableText"/>
            </w:pPr>
            <w:r w:rsidRPr="00990D3B">
              <w:t> </w:t>
            </w:r>
          </w:p>
        </w:tc>
        <w:tc>
          <w:tcPr>
            <w:tcW w:w="990" w:type="dxa"/>
            <w:vAlign w:val="center"/>
          </w:tcPr>
          <w:p w:rsidR="004F6C0E" w:rsidRPr="00990D3B" w:rsidP="009B41B5" w14:paraId="1E3B9F40" w14:textId="77777777">
            <w:pPr>
              <w:pStyle w:val="EQRTableText"/>
            </w:pPr>
            <w:r w:rsidRPr="00990D3B">
              <w:t> </w:t>
            </w:r>
          </w:p>
        </w:tc>
        <w:tc>
          <w:tcPr>
            <w:tcW w:w="985" w:type="dxa"/>
            <w:vAlign w:val="center"/>
          </w:tcPr>
          <w:p w:rsidR="004F6C0E" w:rsidRPr="00990D3B" w:rsidP="009B41B5" w14:paraId="70590A34" w14:textId="77777777">
            <w:pPr>
              <w:pStyle w:val="EQRTableText"/>
            </w:pPr>
            <w:r w:rsidRPr="00990D3B">
              <w:t> </w:t>
            </w:r>
          </w:p>
        </w:tc>
      </w:tr>
      <w:tr w14:paraId="71BA88F1" w14:textId="77777777" w:rsidTr="00372E00">
        <w:tblPrEx>
          <w:tblW w:w="5000" w:type="pct"/>
          <w:tblLayout w:type="fixed"/>
          <w:tblLook w:val="04A0"/>
        </w:tblPrEx>
        <w:tc>
          <w:tcPr>
            <w:tcW w:w="2027" w:type="dxa"/>
            <w:vAlign w:val="center"/>
          </w:tcPr>
          <w:p w:rsidR="004F6C0E" w:rsidRPr="00990D3B" w:rsidP="009B41B5" w14:paraId="6BBB3520" w14:textId="77777777">
            <w:pPr>
              <w:pStyle w:val="EQRTableText"/>
            </w:pPr>
            <w:r w:rsidRPr="00990D3B">
              <w:t>TOTAL</w:t>
            </w:r>
          </w:p>
        </w:tc>
        <w:tc>
          <w:tcPr>
            <w:tcW w:w="1028" w:type="dxa"/>
            <w:vAlign w:val="center"/>
          </w:tcPr>
          <w:p w:rsidR="004F6C0E" w:rsidRPr="00990D3B" w:rsidP="009B41B5" w14:paraId="07F1F694" w14:textId="77777777">
            <w:pPr>
              <w:pStyle w:val="EQRTableText"/>
            </w:pPr>
            <w:r w:rsidRPr="00990D3B">
              <w:t>100%</w:t>
            </w:r>
          </w:p>
        </w:tc>
        <w:tc>
          <w:tcPr>
            <w:tcW w:w="810" w:type="dxa"/>
            <w:vAlign w:val="center"/>
          </w:tcPr>
          <w:p w:rsidR="004F6C0E" w:rsidRPr="00990D3B" w:rsidP="009B41B5" w14:paraId="688D393F" w14:textId="77777777">
            <w:pPr>
              <w:pStyle w:val="EQRTableText"/>
            </w:pPr>
            <w:r w:rsidRPr="00990D3B">
              <w:t>100%</w:t>
            </w:r>
          </w:p>
        </w:tc>
        <w:tc>
          <w:tcPr>
            <w:tcW w:w="990" w:type="dxa"/>
            <w:vAlign w:val="center"/>
          </w:tcPr>
          <w:p w:rsidR="004F6C0E" w:rsidRPr="00990D3B" w:rsidP="009B41B5" w14:paraId="0CDA098B" w14:textId="77777777">
            <w:pPr>
              <w:pStyle w:val="EQRTableText"/>
            </w:pPr>
            <w:r w:rsidRPr="00990D3B">
              <w:t>100%</w:t>
            </w:r>
          </w:p>
        </w:tc>
        <w:tc>
          <w:tcPr>
            <w:tcW w:w="900" w:type="dxa"/>
            <w:vAlign w:val="center"/>
          </w:tcPr>
          <w:p w:rsidR="004F6C0E" w:rsidRPr="00990D3B" w:rsidP="009B41B5" w14:paraId="23ACE34D" w14:textId="77777777">
            <w:pPr>
              <w:pStyle w:val="EQRTableText"/>
            </w:pPr>
            <w:r w:rsidRPr="00990D3B">
              <w:t>100%</w:t>
            </w:r>
          </w:p>
        </w:tc>
        <w:tc>
          <w:tcPr>
            <w:tcW w:w="1620" w:type="dxa"/>
            <w:vAlign w:val="center"/>
          </w:tcPr>
          <w:p w:rsidR="004F6C0E" w:rsidRPr="00990D3B" w:rsidP="009B41B5" w14:paraId="3A98D797" w14:textId="77777777">
            <w:pPr>
              <w:pStyle w:val="EQRTableText"/>
            </w:pPr>
            <w:r w:rsidRPr="00990D3B">
              <w:t>100%</w:t>
            </w:r>
          </w:p>
        </w:tc>
        <w:tc>
          <w:tcPr>
            <w:tcW w:w="990" w:type="dxa"/>
            <w:vAlign w:val="center"/>
          </w:tcPr>
          <w:p w:rsidR="004F6C0E" w:rsidRPr="00990D3B" w:rsidP="009B41B5" w14:paraId="149394CC" w14:textId="77777777">
            <w:pPr>
              <w:pStyle w:val="EQRTableText"/>
            </w:pPr>
            <w:r w:rsidRPr="00990D3B">
              <w:t>100%</w:t>
            </w:r>
          </w:p>
        </w:tc>
        <w:tc>
          <w:tcPr>
            <w:tcW w:w="985" w:type="dxa"/>
            <w:vAlign w:val="center"/>
          </w:tcPr>
          <w:p w:rsidR="004F6C0E" w:rsidRPr="00990D3B" w:rsidP="009B41B5" w14:paraId="7CC020E2" w14:textId="77777777">
            <w:pPr>
              <w:pStyle w:val="EQRTableText"/>
            </w:pPr>
            <w:r w:rsidRPr="00990D3B">
              <w:t>100%</w:t>
            </w:r>
          </w:p>
        </w:tc>
      </w:tr>
    </w:tbl>
    <w:p w:rsidR="004F6C0E" w:rsidRPr="00990D3B" w:rsidP="00372E00" w14:paraId="1C2475B9" w14:textId="3FF7B57F">
      <w:pPr>
        <w:pStyle w:val="EQRnoteWS"/>
      </w:pPr>
      <w:r w:rsidRPr="00990D3B">
        <w:t>Note (Q</w:t>
      </w:r>
      <w:r w:rsidRPr="00990D3B" w:rsidR="00A1785E">
        <w:t xml:space="preserve"> 5.</w:t>
      </w:r>
      <w:r w:rsidRPr="00990D3B">
        <w:t>3): Since paper forms need to be entered into a</w:t>
      </w:r>
      <w:r w:rsidRPr="00990D3B" w:rsidR="008D1A82">
        <w:t>n</w:t>
      </w:r>
      <w:r w:rsidRPr="00990D3B">
        <w:t xml:space="preserve"> </w:t>
      </w:r>
      <w:r w:rsidRPr="00990D3B" w:rsidR="00C02F35">
        <w:t xml:space="preserve">MCP’s </w:t>
      </w:r>
      <w:r w:rsidRPr="00990D3B">
        <w:t>system, processing paper forms is prone to error. If a</w:t>
      </w:r>
      <w:r w:rsidRPr="00990D3B" w:rsidR="008D1A82">
        <w:t>n</w:t>
      </w:r>
      <w:r w:rsidRPr="00990D3B">
        <w:t xml:space="preserve"> </w:t>
      </w:r>
      <w:r w:rsidRPr="00990D3B" w:rsidR="00C02F35">
        <w:t xml:space="preserve">MCP </w:t>
      </w:r>
      <w:r w:rsidRPr="00990D3B">
        <w:t xml:space="preserve">is receiving more that 50 percent of its data on paper forms, verify the data checks the </w:t>
      </w:r>
      <w:r w:rsidRPr="00990D3B" w:rsidR="00C02F35">
        <w:t xml:space="preserve">MCP </w:t>
      </w:r>
      <w:r w:rsidRPr="00990D3B">
        <w:t xml:space="preserve">uses to test processor </w:t>
      </w:r>
      <w:r w:rsidRPr="00990D3B">
        <w:t>accuracy</w:t>
      </w:r>
      <w:r w:rsidRPr="00990D3B">
        <w:t xml:space="preserve">. Electronic data submission should also undergo data edits and validity checks. </w:t>
      </w:r>
      <w:r w:rsidRPr="00990D3B" w:rsidR="00C02F35">
        <w:t xml:space="preserve">MCPs </w:t>
      </w:r>
      <w:r w:rsidRPr="00990D3B">
        <w:t>with a high percentage of unavailable data for a particular category will have difficulty reporting measures that use that category. For example, a</w:t>
      </w:r>
      <w:r w:rsidRPr="00990D3B" w:rsidR="008D1A82">
        <w:t>n</w:t>
      </w:r>
      <w:r w:rsidRPr="00990D3B">
        <w:t xml:space="preserve"> </w:t>
      </w:r>
      <w:r w:rsidRPr="00990D3B" w:rsidR="00C02F35">
        <w:t xml:space="preserve">MCP </w:t>
      </w:r>
      <w:r w:rsidRPr="00990D3B">
        <w:t>receiving no drug data from its vendor would not be able to report the HEDIS® measures for Outpatient Drug Utilization.</w:t>
      </w:r>
    </w:p>
    <w:p w:rsidR="004F6C0E" w:rsidRPr="00990D3B" w:rsidP="002066F7" w14:paraId="3DC4EA89" w14:textId="0D515652">
      <w:pPr>
        <w:pStyle w:val="H2EQRWorksheetlist3"/>
        <w:ind w:left="1339" w:hanging="187"/>
      </w:pPr>
      <w:r w:rsidRPr="00990D3B">
        <w:t xml:space="preserve">For each type of claims or encounter type for which some </w:t>
      </w:r>
      <w:r w:rsidRPr="00990D3B">
        <w:t>percentage</w:t>
      </w:r>
      <w:r w:rsidRPr="00990D3B">
        <w:t xml:space="preserve"> are not represented in your administrative data, please explain why such activity is not reported. </w:t>
      </w:r>
    </w:p>
    <w:p w:rsidR="004F6C0E" w:rsidRPr="00990D3B" w:rsidP="00034F5E" w14:paraId="466669AD" w14:textId="41D93123">
      <w:pPr>
        <w:pStyle w:val="H2EQRWorksheetlist2"/>
      </w:pPr>
      <w:r w:rsidRPr="00990D3B">
        <w:t xml:space="preserve">In the following table, please enter an “R” in the appropriate cell if the following data elements (data fields) are required by you for providers, for each of the types of Medicaid </w:t>
      </w:r>
      <w:r w:rsidRPr="00990D3B" w:rsidR="00FA429A">
        <w:t xml:space="preserve">or CHIP </w:t>
      </w:r>
      <w:r w:rsidRPr="00990D3B">
        <w:t>claims/encounters identified below. Note that each of these elements is required by T-MSIS, and that the MCP’s data elements should align with T-MSIS requirements</w:t>
      </w:r>
      <w:r w:rsidRPr="00990D3B" w:rsidR="00A149F4">
        <w:t>.</w:t>
      </w:r>
    </w:p>
    <w:tbl>
      <w:tblPr>
        <w:tblStyle w:val="TableGrid"/>
        <w:tblW w:w="5000" w:type="pct"/>
        <w:tblLayout w:type="fixed"/>
        <w:tblLook w:val="04A0"/>
      </w:tblPr>
      <w:tblGrid>
        <w:gridCol w:w="1795"/>
        <w:gridCol w:w="990"/>
        <w:gridCol w:w="990"/>
        <w:gridCol w:w="1144"/>
        <w:gridCol w:w="840"/>
        <w:gridCol w:w="1616"/>
        <w:gridCol w:w="990"/>
        <w:gridCol w:w="985"/>
      </w:tblGrid>
      <w:tr w14:paraId="756E6F80" w14:textId="77777777" w:rsidTr="00754B38">
        <w:tblPrEx>
          <w:tblW w:w="5000" w:type="pct"/>
          <w:tblLayout w:type="fixed"/>
          <w:tblLook w:val="04A0"/>
        </w:tblPrEx>
        <w:trPr>
          <w:tblHeader/>
        </w:trPr>
        <w:tc>
          <w:tcPr>
            <w:tcW w:w="9350" w:type="dxa"/>
            <w:gridSpan w:val="8"/>
          </w:tcPr>
          <w:p w:rsidR="004F6C0E" w:rsidRPr="00990D3B" w:rsidP="00975CDC" w14:paraId="61F0FEDE" w14:textId="77777777">
            <w:pPr>
              <w:pStyle w:val="EQRTableHeaderLeft"/>
              <w:rPr>
                <w:color w:val="auto"/>
              </w:rPr>
            </w:pPr>
            <w:r w:rsidRPr="00990D3B">
              <w:rPr>
                <w:color w:val="auto"/>
              </w:rPr>
              <w:t>Claims or Encounter Types</w:t>
            </w:r>
          </w:p>
        </w:tc>
      </w:tr>
      <w:tr w14:paraId="7DB58BE3" w14:textId="77777777" w:rsidTr="00372E00">
        <w:tblPrEx>
          <w:tblW w:w="5000" w:type="pct"/>
          <w:tblLayout w:type="fixed"/>
          <w:tblLook w:val="04A0"/>
        </w:tblPrEx>
        <w:trPr>
          <w:tblHeader/>
        </w:trPr>
        <w:tc>
          <w:tcPr>
            <w:tcW w:w="1795" w:type="dxa"/>
            <w:vAlign w:val="bottom"/>
          </w:tcPr>
          <w:p w:rsidR="004F6C0E" w:rsidRPr="00990D3B" w:rsidP="00975CDC" w14:paraId="28B86E13" w14:textId="77777777">
            <w:pPr>
              <w:pStyle w:val="EQRTableHeaderLeft"/>
              <w:rPr>
                <w:color w:val="auto"/>
              </w:rPr>
            </w:pPr>
            <w:r w:rsidRPr="00990D3B">
              <w:rPr>
                <w:color w:val="auto"/>
              </w:rPr>
              <w:t>Medium</w:t>
            </w:r>
          </w:p>
        </w:tc>
        <w:tc>
          <w:tcPr>
            <w:tcW w:w="990" w:type="dxa"/>
            <w:vAlign w:val="bottom"/>
          </w:tcPr>
          <w:p w:rsidR="004F6C0E" w:rsidRPr="00990D3B" w:rsidP="00975CDC" w14:paraId="46638A05" w14:textId="77777777">
            <w:pPr>
              <w:pStyle w:val="EQRTableHeaderCenter"/>
              <w:rPr>
                <w:color w:val="auto"/>
              </w:rPr>
            </w:pPr>
            <w:r w:rsidRPr="00990D3B">
              <w:rPr>
                <w:color w:val="auto"/>
              </w:rPr>
              <w:t>Hospital</w:t>
            </w:r>
          </w:p>
        </w:tc>
        <w:tc>
          <w:tcPr>
            <w:tcW w:w="990" w:type="dxa"/>
            <w:vAlign w:val="bottom"/>
          </w:tcPr>
          <w:p w:rsidR="004F6C0E" w:rsidRPr="00990D3B" w:rsidP="00975CDC" w14:paraId="73B2C7B7" w14:textId="77777777">
            <w:pPr>
              <w:pStyle w:val="EQRTableHeaderCenter"/>
              <w:rPr>
                <w:color w:val="auto"/>
              </w:rPr>
            </w:pPr>
            <w:r w:rsidRPr="00990D3B">
              <w:rPr>
                <w:color w:val="auto"/>
              </w:rPr>
              <w:t>PCP</w:t>
            </w:r>
          </w:p>
        </w:tc>
        <w:tc>
          <w:tcPr>
            <w:tcW w:w="1144" w:type="dxa"/>
            <w:vAlign w:val="bottom"/>
          </w:tcPr>
          <w:p w:rsidR="004F6C0E" w:rsidRPr="00990D3B" w:rsidP="00975CDC" w14:paraId="2CA4B8E2" w14:textId="75858D74">
            <w:pPr>
              <w:pStyle w:val="EQRTableHeaderCenter"/>
              <w:rPr>
                <w:color w:val="auto"/>
              </w:rPr>
            </w:pPr>
            <w:r w:rsidRPr="00990D3B">
              <w:rPr>
                <w:color w:val="auto"/>
              </w:rPr>
              <w:t xml:space="preserve">Specialist </w:t>
            </w:r>
            <w:r w:rsidRPr="00990D3B" w:rsidR="006F56F0">
              <w:rPr>
                <w:color w:val="auto"/>
              </w:rPr>
              <w:t>p</w:t>
            </w:r>
            <w:r w:rsidRPr="00990D3B">
              <w:rPr>
                <w:color w:val="auto"/>
              </w:rPr>
              <w:t>hysician</w:t>
            </w:r>
          </w:p>
        </w:tc>
        <w:tc>
          <w:tcPr>
            <w:tcW w:w="840" w:type="dxa"/>
            <w:vAlign w:val="bottom"/>
          </w:tcPr>
          <w:p w:rsidR="004F6C0E" w:rsidRPr="00990D3B" w:rsidP="00975CDC" w14:paraId="46558440" w14:textId="77777777">
            <w:pPr>
              <w:pStyle w:val="EQRTableHeaderCenter"/>
              <w:rPr>
                <w:color w:val="auto"/>
              </w:rPr>
            </w:pPr>
            <w:r w:rsidRPr="00990D3B">
              <w:rPr>
                <w:color w:val="auto"/>
              </w:rPr>
              <w:t>Dental</w:t>
            </w:r>
          </w:p>
        </w:tc>
        <w:tc>
          <w:tcPr>
            <w:tcW w:w="1616" w:type="dxa"/>
            <w:vAlign w:val="bottom"/>
          </w:tcPr>
          <w:p w:rsidR="004F6C0E" w:rsidRPr="00990D3B" w:rsidP="00975CDC" w14:paraId="59BF7665" w14:textId="77777777">
            <w:pPr>
              <w:pStyle w:val="EQRTableHeaderCenter"/>
              <w:rPr>
                <w:color w:val="auto"/>
              </w:rPr>
            </w:pPr>
            <w:r w:rsidRPr="00990D3B">
              <w:rPr>
                <w:color w:val="auto"/>
              </w:rPr>
              <w:t>Mental health/ substance abuse</w:t>
            </w:r>
          </w:p>
        </w:tc>
        <w:tc>
          <w:tcPr>
            <w:tcW w:w="990" w:type="dxa"/>
            <w:vAlign w:val="bottom"/>
          </w:tcPr>
          <w:p w:rsidR="004F6C0E" w:rsidRPr="00990D3B" w:rsidP="00975CDC" w14:paraId="212DF728" w14:textId="77777777">
            <w:pPr>
              <w:pStyle w:val="EQRTableHeaderCenter"/>
              <w:rPr>
                <w:color w:val="auto"/>
              </w:rPr>
            </w:pPr>
            <w:r w:rsidRPr="00990D3B">
              <w:rPr>
                <w:color w:val="auto"/>
              </w:rPr>
              <w:t>Drug</w:t>
            </w:r>
          </w:p>
        </w:tc>
        <w:tc>
          <w:tcPr>
            <w:tcW w:w="985" w:type="dxa"/>
            <w:vAlign w:val="bottom"/>
          </w:tcPr>
          <w:p w:rsidR="004F6C0E" w:rsidRPr="00990D3B" w:rsidP="00975CDC" w14:paraId="7B6F73AC" w14:textId="77777777">
            <w:pPr>
              <w:pStyle w:val="EQRTableHeaderCenter"/>
              <w:rPr>
                <w:color w:val="auto"/>
              </w:rPr>
            </w:pPr>
            <w:r w:rsidRPr="00990D3B">
              <w:rPr>
                <w:color w:val="auto"/>
              </w:rPr>
              <w:t>Other</w:t>
            </w:r>
          </w:p>
        </w:tc>
      </w:tr>
      <w:tr w14:paraId="6D466AFF" w14:textId="77777777" w:rsidTr="00675F51">
        <w:tblPrEx>
          <w:tblW w:w="5000" w:type="pct"/>
          <w:tblLayout w:type="fixed"/>
          <w:tblLook w:val="04A0"/>
        </w:tblPrEx>
        <w:tc>
          <w:tcPr>
            <w:tcW w:w="1795" w:type="dxa"/>
            <w:vAlign w:val="center"/>
          </w:tcPr>
          <w:p w:rsidR="004F6C0E" w:rsidRPr="00990D3B" w:rsidP="00754B38" w14:paraId="38C46DCA" w14:textId="1C7EE874">
            <w:pPr>
              <w:pStyle w:val="EQRTableText"/>
            </w:pPr>
            <w:r w:rsidRPr="00990D3B">
              <w:t xml:space="preserve">Patient </w:t>
            </w:r>
            <w:r w:rsidRPr="00990D3B" w:rsidR="00A27E6A">
              <w:t>sex</w:t>
            </w:r>
          </w:p>
        </w:tc>
        <w:tc>
          <w:tcPr>
            <w:tcW w:w="990" w:type="dxa"/>
            <w:vAlign w:val="center"/>
          </w:tcPr>
          <w:p w:rsidR="004F6C0E" w:rsidRPr="00990D3B" w:rsidP="00754B38" w14:paraId="62B4AEA1" w14:textId="77777777">
            <w:pPr>
              <w:pStyle w:val="EQRTableText"/>
            </w:pPr>
            <w:r w:rsidRPr="00990D3B">
              <w:t> </w:t>
            </w:r>
          </w:p>
        </w:tc>
        <w:tc>
          <w:tcPr>
            <w:tcW w:w="990" w:type="dxa"/>
            <w:vAlign w:val="center"/>
          </w:tcPr>
          <w:p w:rsidR="004F6C0E" w:rsidRPr="00990D3B" w:rsidP="00754B38" w14:paraId="489C44EF" w14:textId="77777777">
            <w:pPr>
              <w:pStyle w:val="EQRTableText"/>
            </w:pPr>
            <w:r w:rsidRPr="00990D3B">
              <w:t> </w:t>
            </w:r>
          </w:p>
        </w:tc>
        <w:tc>
          <w:tcPr>
            <w:tcW w:w="1144" w:type="dxa"/>
            <w:vAlign w:val="center"/>
          </w:tcPr>
          <w:p w:rsidR="004F6C0E" w:rsidRPr="00990D3B" w:rsidP="00754B38" w14:paraId="2E0D54A0" w14:textId="77777777">
            <w:pPr>
              <w:pStyle w:val="EQRTableText"/>
            </w:pPr>
            <w:r w:rsidRPr="00990D3B">
              <w:t> </w:t>
            </w:r>
          </w:p>
        </w:tc>
        <w:tc>
          <w:tcPr>
            <w:tcW w:w="840" w:type="dxa"/>
            <w:vAlign w:val="center"/>
          </w:tcPr>
          <w:p w:rsidR="004F6C0E" w:rsidRPr="00990D3B" w:rsidP="00754B38" w14:paraId="507442C2" w14:textId="77777777">
            <w:pPr>
              <w:pStyle w:val="EQRTableText"/>
            </w:pPr>
            <w:r w:rsidRPr="00990D3B">
              <w:t> </w:t>
            </w:r>
          </w:p>
        </w:tc>
        <w:tc>
          <w:tcPr>
            <w:tcW w:w="1616" w:type="dxa"/>
            <w:vAlign w:val="center"/>
          </w:tcPr>
          <w:p w:rsidR="004F6C0E" w:rsidRPr="00990D3B" w:rsidP="00754B38" w14:paraId="1731F501" w14:textId="77777777">
            <w:pPr>
              <w:pStyle w:val="EQRTableText"/>
            </w:pPr>
            <w:r w:rsidRPr="00990D3B">
              <w:t> </w:t>
            </w:r>
          </w:p>
        </w:tc>
        <w:tc>
          <w:tcPr>
            <w:tcW w:w="990" w:type="dxa"/>
            <w:vAlign w:val="center"/>
          </w:tcPr>
          <w:p w:rsidR="004F6C0E" w:rsidRPr="00990D3B" w:rsidP="00754B38" w14:paraId="7290E9BF" w14:textId="77777777">
            <w:pPr>
              <w:pStyle w:val="EQRTableText"/>
            </w:pPr>
            <w:r w:rsidRPr="00990D3B">
              <w:t> </w:t>
            </w:r>
          </w:p>
        </w:tc>
        <w:tc>
          <w:tcPr>
            <w:tcW w:w="985" w:type="dxa"/>
            <w:vAlign w:val="center"/>
          </w:tcPr>
          <w:p w:rsidR="004F6C0E" w:rsidRPr="00990D3B" w:rsidP="00754B38" w14:paraId="3C64420B" w14:textId="77777777">
            <w:pPr>
              <w:pStyle w:val="EQRTableText"/>
            </w:pPr>
            <w:r w:rsidRPr="00990D3B">
              <w:t> </w:t>
            </w:r>
          </w:p>
        </w:tc>
      </w:tr>
      <w:tr w14:paraId="5C8AED00" w14:textId="77777777" w:rsidTr="00675F51">
        <w:tblPrEx>
          <w:tblW w:w="5000" w:type="pct"/>
          <w:tblLayout w:type="fixed"/>
          <w:tblLook w:val="04A0"/>
        </w:tblPrEx>
        <w:tc>
          <w:tcPr>
            <w:tcW w:w="1795" w:type="dxa"/>
            <w:vAlign w:val="center"/>
          </w:tcPr>
          <w:p w:rsidR="004F6C0E" w:rsidRPr="00990D3B" w:rsidP="00754B38" w14:paraId="4183B205" w14:textId="77777777">
            <w:pPr>
              <w:pStyle w:val="EQRTableText"/>
            </w:pPr>
            <w:r w:rsidRPr="00990D3B">
              <w:t>Patient date of birth and age</w:t>
            </w:r>
          </w:p>
        </w:tc>
        <w:tc>
          <w:tcPr>
            <w:tcW w:w="990" w:type="dxa"/>
            <w:vAlign w:val="center"/>
          </w:tcPr>
          <w:p w:rsidR="004F6C0E" w:rsidRPr="00990D3B" w:rsidP="00754B38" w14:paraId="74514D8B" w14:textId="77777777">
            <w:pPr>
              <w:pStyle w:val="EQRTableText"/>
            </w:pPr>
            <w:r w:rsidRPr="00990D3B">
              <w:t> </w:t>
            </w:r>
          </w:p>
        </w:tc>
        <w:tc>
          <w:tcPr>
            <w:tcW w:w="990" w:type="dxa"/>
            <w:vAlign w:val="center"/>
          </w:tcPr>
          <w:p w:rsidR="004F6C0E" w:rsidRPr="00990D3B" w:rsidP="00754B38" w14:paraId="6E18C4A1" w14:textId="77777777">
            <w:pPr>
              <w:pStyle w:val="EQRTableText"/>
            </w:pPr>
            <w:r w:rsidRPr="00990D3B">
              <w:t> </w:t>
            </w:r>
          </w:p>
        </w:tc>
        <w:tc>
          <w:tcPr>
            <w:tcW w:w="1144" w:type="dxa"/>
            <w:vAlign w:val="center"/>
          </w:tcPr>
          <w:p w:rsidR="004F6C0E" w:rsidRPr="00990D3B" w:rsidP="00754B38" w14:paraId="473C4D7F" w14:textId="77777777">
            <w:pPr>
              <w:pStyle w:val="EQRTableText"/>
            </w:pPr>
            <w:r w:rsidRPr="00990D3B">
              <w:t> </w:t>
            </w:r>
          </w:p>
        </w:tc>
        <w:tc>
          <w:tcPr>
            <w:tcW w:w="840" w:type="dxa"/>
            <w:vAlign w:val="center"/>
          </w:tcPr>
          <w:p w:rsidR="004F6C0E" w:rsidRPr="00990D3B" w:rsidP="00754B38" w14:paraId="6F75E876" w14:textId="77777777">
            <w:pPr>
              <w:pStyle w:val="EQRTableText"/>
            </w:pPr>
            <w:r w:rsidRPr="00990D3B">
              <w:t> </w:t>
            </w:r>
          </w:p>
        </w:tc>
        <w:tc>
          <w:tcPr>
            <w:tcW w:w="1616" w:type="dxa"/>
            <w:vAlign w:val="center"/>
          </w:tcPr>
          <w:p w:rsidR="004F6C0E" w:rsidRPr="00990D3B" w:rsidP="00754B38" w14:paraId="1963E337" w14:textId="77777777">
            <w:pPr>
              <w:pStyle w:val="EQRTableText"/>
            </w:pPr>
            <w:r w:rsidRPr="00990D3B">
              <w:t> </w:t>
            </w:r>
          </w:p>
        </w:tc>
        <w:tc>
          <w:tcPr>
            <w:tcW w:w="990" w:type="dxa"/>
            <w:vAlign w:val="center"/>
          </w:tcPr>
          <w:p w:rsidR="004F6C0E" w:rsidRPr="00990D3B" w:rsidP="00754B38" w14:paraId="281081A2" w14:textId="77777777">
            <w:pPr>
              <w:pStyle w:val="EQRTableText"/>
            </w:pPr>
            <w:r w:rsidRPr="00990D3B">
              <w:t> </w:t>
            </w:r>
          </w:p>
        </w:tc>
        <w:tc>
          <w:tcPr>
            <w:tcW w:w="985" w:type="dxa"/>
            <w:vAlign w:val="center"/>
          </w:tcPr>
          <w:p w:rsidR="004F6C0E" w:rsidRPr="00990D3B" w:rsidP="00754B38" w14:paraId="1C49F6BA" w14:textId="77777777">
            <w:pPr>
              <w:pStyle w:val="EQRTableText"/>
            </w:pPr>
            <w:r w:rsidRPr="00990D3B">
              <w:t> </w:t>
            </w:r>
          </w:p>
        </w:tc>
      </w:tr>
      <w:tr w14:paraId="1D41C5AF" w14:textId="77777777" w:rsidTr="00675F51">
        <w:tblPrEx>
          <w:tblW w:w="5000" w:type="pct"/>
          <w:tblLayout w:type="fixed"/>
          <w:tblLook w:val="04A0"/>
        </w:tblPrEx>
        <w:tc>
          <w:tcPr>
            <w:tcW w:w="1795" w:type="dxa"/>
            <w:vAlign w:val="center"/>
          </w:tcPr>
          <w:p w:rsidR="004F6C0E" w:rsidRPr="00990D3B" w:rsidP="00754B38" w14:paraId="58B2F203" w14:textId="5698E353">
            <w:pPr>
              <w:pStyle w:val="EQRTableText"/>
            </w:pPr>
            <w:r w:rsidRPr="00990D3B">
              <w:t>ICD</w:t>
            </w:r>
            <w:r w:rsidRPr="00990D3B" w:rsidR="00E97642">
              <w:t>-</w:t>
            </w:r>
            <w:r w:rsidRPr="00990D3B">
              <w:t xml:space="preserve">10 </w:t>
            </w:r>
            <w:r w:rsidRPr="00990D3B" w:rsidR="00FA429A">
              <w:t>d</w:t>
            </w:r>
            <w:r w:rsidRPr="00990D3B">
              <w:t xml:space="preserve">iagnosis </w:t>
            </w:r>
            <w:r w:rsidRPr="00990D3B" w:rsidR="006F56F0">
              <w:t>c</w:t>
            </w:r>
            <w:r w:rsidRPr="00990D3B">
              <w:t>odes</w:t>
            </w:r>
          </w:p>
        </w:tc>
        <w:tc>
          <w:tcPr>
            <w:tcW w:w="990" w:type="dxa"/>
            <w:vAlign w:val="center"/>
          </w:tcPr>
          <w:p w:rsidR="004F6C0E" w:rsidRPr="00990D3B" w:rsidP="00754B38" w14:paraId="63FB5533" w14:textId="77777777">
            <w:pPr>
              <w:pStyle w:val="EQRTableText"/>
            </w:pPr>
            <w:r w:rsidRPr="00990D3B">
              <w:t> </w:t>
            </w:r>
          </w:p>
        </w:tc>
        <w:tc>
          <w:tcPr>
            <w:tcW w:w="990" w:type="dxa"/>
            <w:vAlign w:val="center"/>
          </w:tcPr>
          <w:p w:rsidR="004F6C0E" w:rsidRPr="00990D3B" w:rsidP="00754B38" w14:paraId="3C0065E3" w14:textId="77777777">
            <w:pPr>
              <w:pStyle w:val="EQRTableText"/>
            </w:pPr>
            <w:r w:rsidRPr="00990D3B">
              <w:t> </w:t>
            </w:r>
          </w:p>
        </w:tc>
        <w:tc>
          <w:tcPr>
            <w:tcW w:w="1144" w:type="dxa"/>
            <w:vAlign w:val="center"/>
          </w:tcPr>
          <w:p w:rsidR="004F6C0E" w:rsidRPr="00990D3B" w:rsidP="00754B38" w14:paraId="76517F91" w14:textId="77777777">
            <w:pPr>
              <w:pStyle w:val="EQRTableText"/>
            </w:pPr>
            <w:r w:rsidRPr="00990D3B">
              <w:t> </w:t>
            </w:r>
          </w:p>
        </w:tc>
        <w:tc>
          <w:tcPr>
            <w:tcW w:w="840" w:type="dxa"/>
            <w:vAlign w:val="center"/>
          </w:tcPr>
          <w:p w:rsidR="004F6C0E" w:rsidRPr="00990D3B" w:rsidP="00754B38" w14:paraId="2F97D02B" w14:textId="77777777">
            <w:pPr>
              <w:pStyle w:val="EQRTableText"/>
            </w:pPr>
            <w:r w:rsidRPr="00990D3B">
              <w:t> </w:t>
            </w:r>
          </w:p>
        </w:tc>
        <w:tc>
          <w:tcPr>
            <w:tcW w:w="1616" w:type="dxa"/>
            <w:vAlign w:val="center"/>
          </w:tcPr>
          <w:p w:rsidR="004F6C0E" w:rsidRPr="00990D3B" w:rsidP="00754B38" w14:paraId="6E19CA13" w14:textId="77777777">
            <w:pPr>
              <w:pStyle w:val="EQRTableText"/>
            </w:pPr>
            <w:r w:rsidRPr="00990D3B">
              <w:t> </w:t>
            </w:r>
          </w:p>
        </w:tc>
        <w:tc>
          <w:tcPr>
            <w:tcW w:w="990" w:type="dxa"/>
            <w:vAlign w:val="center"/>
          </w:tcPr>
          <w:p w:rsidR="004F6C0E" w:rsidRPr="00990D3B" w:rsidP="00754B38" w14:paraId="6E6A2D8A" w14:textId="77777777">
            <w:pPr>
              <w:pStyle w:val="EQRTableText"/>
            </w:pPr>
            <w:r w:rsidRPr="00990D3B">
              <w:t> </w:t>
            </w:r>
          </w:p>
        </w:tc>
        <w:tc>
          <w:tcPr>
            <w:tcW w:w="985" w:type="dxa"/>
            <w:vAlign w:val="center"/>
          </w:tcPr>
          <w:p w:rsidR="004F6C0E" w:rsidRPr="00990D3B" w:rsidP="00754B38" w14:paraId="7A620409" w14:textId="77777777">
            <w:pPr>
              <w:pStyle w:val="EQRTableText"/>
            </w:pPr>
            <w:r w:rsidRPr="00990D3B">
              <w:t> </w:t>
            </w:r>
          </w:p>
        </w:tc>
      </w:tr>
      <w:tr w14:paraId="73B26407" w14:textId="77777777" w:rsidTr="00675F51">
        <w:tblPrEx>
          <w:tblW w:w="5000" w:type="pct"/>
          <w:tblLayout w:type="fixed"/>
          <w:tblLook w:val="04A0"/>
        </w:tblPrEx>
        <w:tc>
          <w:tcPr>
            <w:tcW w:w="1795" w:type="dxa"/>
            <w:vAlign w:val="center"/>
          </w:tcPr>
          <w:p w:rsidR="004F6C0E" w:rsidRPr="00990D3B" w:rsidP="00754B38" w14:paraId="7F497A26" w14:textId="0FD149F6">
            <w:pPr>
              <w:pStyle w:val="EQRTableText"/>
            </w:pPr>
            <w:r w:rsidRPr="00990D3B">
              <w:t xml:space="preserve">Procedure </w:t>
            </w:r>
            <w:r w:rsidRPr="00990D3B" w:rsidR="00640541">
              <w:t>c</w:t>
            </w:r>
            <w:r w:rsidRPr="00990D3B">
              <w:t xml:space="preserve">ode </w:t>
            </w:r>
            <w:r w:rsidRPr="00990D3B" w:rsidR="00640541">
              <w:t>t</w:t>
            </w:r>
            <w:r w:rsidRPr="00990D3B">
              <w:t>ypes:</w:t>
            </w:r>
          </w:p>
        </w:tc>
        <w:tc>
          <w:tcPr>
            <w:tcW w:w="990" w:type="dxa"/>
            <w:vAlign w:val="center"/>
          </w:tcPr>
          <w:p w:rsidR="004F6C0E" w:rsidRPr="00990D3B" w:rsidP="00754B38" w14:paraId="40E0111F" w14:textId="77777777">
            <w:pPr>
              <w:pStyle w:val="EQRTableText"/>
            </w:pPr>
            <w:r w:rsidRPr="00990D3B">
              <w:t> </w:t>
            </w:r>
          </w:p>
        </w:tc>
        <w:tc>
          <w:tcPr>
            <w:tcW w:w="990" w:type="dxa"/>
            <w:vAlign w:val="center"/>
          </w:tcPr>
          <w:p w:rsidR="004F6C0E" w:rsidRPr="00990D3B" w:rsidP="00754B38" w14:paraId="6EFD9BEA" w14:textId="77777777">
            <w:pPr>
              <w:pStyle w:val="EQRTableText"/>
            </w:pPr>
            <w:r w:rsidRPr="00990D3B">
              <w:t> </w:t>
            </w:r>
          </w:p>
        </w:tc>
        <w:tc>
          <w:tcPr>
            <w:tcW w:w="1144" w:type="dxa"/>
            <w:vAlign w:val="center"/>
          </w:tcPr>
          <w:p w:rsidR="004F6C0E" w:rsidRPr="00990D3B" w:rsidP="00754B38" w14:paraId="12534F0E" w14:textId="77777777">
            <w:pPr>
              <w:pStyle w:val="EQRTableText"/>
            </w:pPr>
            <w:r w:rsidRPr="00990D3B">
              <w:t> </w:t>
            </w:r>
          </w:p>
        </w:tc>
        <w:tc>
          <w:tcPr>
            <w:tcW w:w="840" w:type="dxa"/>
            <w:vAlign w:val="center"/>
          </w:tcPr>
          <w:p w:rsidR="004F6C0E" w:rsidRPr="00990D3B" w:rsidP="00754B38" w14:paraId="210C870F" w14:textId="77777777">
            <w:pPr>
              <w:pStyle w:val="EQRTableText"/>
            </w:pPr>
            <w:r w:rsidRPr="00990D3B">
              <w:t> </w:t>
            </w:r>
          </w:p>
        </w:tc>
        <w:tc>
          <w:tcPr>
            <w:tcW w:w="1616" w:type="dxa"/>
            <w:vAlign w:val="center"/>
          </w:tcPr>
          <w:p w:rsidR="004F6C0E" w:rsidRPr="00990D3B" w:rsidP="00754B38" w14:paraId="78A5FC0C" w14:textId="77777777">
            <w:pPr>
              <w:pStyle w:val="EQRTableText"/>
            </w:pPr>
            <w:r w:rsidRPr="00990D3B">
              <w:t> </w:t>
            </w:r>
          </w:p>
        </w:tc>
        <w:tc>
          <w:tcPr>
            <w:tcW w:w="990" w:type="dxa"/>
            <w:vAlign w:val="center"/>
          </w:tcPr>
          <w:p w:rsidR="004F6C0E" w:rsidRPr="00990D3B" w:rsidP="00754B38" w14:paraId="12C36201" w14:textId="77777777">
            <w:pPr>
              <w:pStyle w:val="EQRTableText"/>
            </w:pPr>
            <w:r w:rsidRPr="00990D3B">
              <w:t> </w:t>
            </w:r>
          </w:p>
        </w:tc>
        <w:tc>
          <w:tcPr>
            <w:tcW w:w="985" w:type="dxa"/>
            <w:vAlign w:val="center"/>
          </w:tcPr>
          <w:p w:rsidR="004F6C0E" w:rsidRPr="00990D3B" w:rsidP="00754B38" w14:paraId="6C938DC3" w14:textId="77777777">
            <w:pPr>
              <w:pStyle w:val="EQRTableText"/>
            </w:pPr>
            <w:r w:rsidRPr="00990D3B">
              <w:t> </w:t>
            </w:r>
          </w:p>
        </w:tc>
      </w:tr>
      <w:tr w14:paraId="097745F6" w14:textId="77777777" w:rsidTr="00675F51">
        <w:tblPrEx>
          <w:tblW w:w="5000" w:type="pct"/>
          <w:tblLayout w:type="fixed"/>
          <w:tblLook w:val="04A0"/>
        </w:tblPrEx>
        <w:tc>
          <w:tcPr>
            <w:tcW w:w="1795" w:type="dxa"/>
            <w:vAlign w:val="center"/>
          </w:tcPr>
          <w:p w:rsidR="004F6C0E" w:rsidRPr="00990D3B" w:rsidP="00975CDC" w14:paraId="1DB459DB" w14:textId="77777777">
            <w:pPr>
              <w:pStyle w:val="EQRTableText"/>
            </w:pPr>
            <w:r w:rsidRPr="00990D3B">
              <w:t>CPT-4/HCPCS</w:t>
            </w:r>
          </w:p>
        </w:tc>
        <w:tc>
          <w:tcPr>
            <w:tcW w:w="990" w:type="dxa"/>
            <w:vAlign w:val="center"/>
          </w:tcPr>
          <w:p w:rsidR="004F6C0E" w:rsidRPr="00990D3B" w:rsidP="00AA547D" w14:paraId="2AE7DD08" w14:textId="77777777">
            <w:pPr>
              <w:pStyle w:val="EQRTableText"/>
            </w:pPr>
            <w:r w:rsidRPr="00990D3B">
              <w:t> </w:t>
            </w:r>
          </w:p>
        </w:tc>
        <w:tc>
          <w:tcPr>
            <w:tcW w:w="990" w:type="dxa"/>
            <w:vAlign w:val="center"/>
          </w:tcPr>
          <w:p w:rsidR="004F6C0E" w:rsidRPr="00990D3B" w:rsidP="00AA547D" w14:paraId="1C1757C5" w14:textId="77777777">
            <w:pPr>
              <w:pStyle w:val="EQRTableText"/>
            </w:pPr>
            <w:r w:rsidRPr="00990D3B">
              <w:t> </w:t>
            </w:r>
          </w:p>
        </w:tc>
        <w:tc>
          <w:tcPr>
            <w:tcW w:w="1144" w:type="dxa"/>
            <w:vAlign w:val="center"/>
          </w:tcPr>
          <w:p w:rsidR="004F6C0E" w:rsidRPr="00990D3B" w:rsidP="00AA547D" w14:paraId="468EEE91" w14:textId="77777777">
            <w:pPr>
              <w:pStyle w:val="EQRTableText"/>
            </w:pPr>
            <w:r w:rsidRPr="00990D3B">
              <w:t> </w:t>
            </w:r>
          </w:p>
        </w:tc>
        <w:tc>
          <w:tcPr>
            <w:tcW w:w="840" w:type="dxa"/>
            <w:vAlign w:val="center"/>
          </w:tcPr>
          <w:p w:rsidR="004F6C0E" w:rsidRPr="00990D3B" w:rsidP="00AA547D" w14:paraId="74630DE2" w14:textId="77777777">
            <w:pPr>
              <w:pStyle w:val="EQRTableText"/>
            </w:pPr>
            <w:r w:rsidRPr="00990D3B">
              <w:t> </w:t>
            </w:r>
          </w:p>
        </w:tc>
        <w:tc>
          <w:tcPr>
            <w:tcW w:w="1616" w:type="dxa"/>
            <w:vAlign w:val="center"/>
          </w:tcPr>
          <w:p w:rsidR="004F6C0E" w:rsidRPr="00990D3B" w:rsidP="00AA547D" w14:paraId="171895CF" w14:textId="77777777">
            <w:pPr>
              <w:pStyle w:val="EQRTableText"/>
            </w:pPr>
            <w:r w:rsidRPr="00990D3B">
              <w:t> </w:t>
            </w:r>
          </w:p>
        </w:tc>
        <w:tc>
          <w:tcPr>
            <w:tcW w:w="990" w:type="dxa"/>
            <w:vAlign w:val="center"/>
          </w:tcPr>
          <w:p w:rsidR="004F6C0E" w:rsidRPr="00990D3B" w:rsidP="00AA547D" w14:paraId="2537DFAC" w14:textId="77777777">
            <w:pPr>
              <w:pStyle w:val="EQRTableText"/>
            </w:pPr>
            <w:r w:rsidRPr="00990D3B">
              <w:t> </w:t>
            </w:r>
          </w:p>
        </w:tc>
        <w:tc>
          <w:tcPr>
            <w:tcW w:w="985" w:type="dxa"/>
            <w:vAlign w:val="center"/>
          </w:tcPr>
          <w:p w:rsidR="004F6C0E" w:rsidRPr="00990D3B" w:rsidP="00AA547D" w14:paraId="6B8C892C" w14:textId="77777777">
            <w:pPr>
              <w:pStyle w:val="EQRTableText"/>
            </w:pPr>
            <w:r w:rsidRPr="00990D3B">
              <w:t> </w:t>
            </w:r>
          </w:p>
        </w:tc>
      </w:tr>
      <w:tr w14:paraId="6E017F67" w14:textId="77777777" w:rsidTr="00675F51">
        <w:tblPrEx>
          <w:tblW w:w="5000" w:type="pct"/>
          <w:tblLayout w:type="fixed"/>
          <w:tblLook w:val="04A0"/>
        </w:tblPrEx>
        <w:tc>
          <w:tcPr>
            <w:tcW w:w="1795" w:type="dxa"/>
            <w:vAlign w:val="center"/>
          </w:tcPr>
          <w:p w:rsidR="004F6C0E" w:rsidRPr="00990D3B" w:rsidP="00975CDC" w14:paraId="3FC3B447" w14:textId="77777777">
            <w:pPr>
              <w:pStyle w:val="EQRTableText"/>
            </w:pPr>
            <w:r w:rsidRPr="00990D3B">
              <w:t>National Drug Code (NDC)</w:t>
            </w:r>
          </w:p>
        </w:tc>
        <w:tc>
          <w:tcPr>
            <w:tcW w:w="990" w:type="dxa"/>
            <w:vAlign w:val="center"/>
          </w:tcPr>
          <w:p w:rsidR="004F6C0E" w:rsidRPr="00990D3B" w:rsidP="00AA547D" w14:paraId="51E7CD53" w14:textId="77777777">
            <w:pPr>
              <w:pStyle w:val="EQRTableText"/>
            </w:pPr>
            <w:r w:rsidRPr="00990D3B">
              <w:t> </w:t>
            </w:r>
          </w:p>
        </w:tc>
        <w:tc>
          <w:tcPr>
            <w:tcW w:w="990" w:type="dxa"/>
            <w:vAlign w:val="center"/>
          </w:tcPr>
          <w:p w:rsidR="004F6C0E" w:rsidRPr="00990D3B" w:rsidP="00AA547D" w14:paraId="44BCD892" w14:textId="77777777">
            <w:pPr>
              <w:pStyle w:val="EQRTableText"/>
            </w:pPr>
            <w:r w:rsidRPr="00990D3B">
              <w:t> </w:t>
            </w:r>
          </w:p>
        </w:tc>
        <w:tc>
          <w:tcPr>
            <w:tcW w:w="1144" w:type="dxa"/>
            <w:vAlign w:val="center"/>
          </w:tcPr>
          <w:p w:rsidR="004F6C0E" w:rsidRPr="00990D3B" w:rsidP="00AA547D" w14:paraId="1BCD36B4" w14:textId="77777777">
            <w:pPr>
              <w:pStyle w:val="EQRTableText"/>
            </w:pPr>
            <w:r w:rsidRPr="00990D3B">
              <w:t> </w:t>
            </w:r>
          </w:p>
        </w:tc>
        <w:tc>
          <w:tcPr>
            <w:tcW w:w="840" w:type="dxa"/>
            <w:vAlign w:val="center"/>
          </w:tcPr>
          <w:p w:rsidR="004F6C0E" w:rsidRPr="00990D3B" w:rsidP="00AA547D" w14:paraId="2AB84CD1" w14:textId="77777777">
            <w:pPr>
              <w:pStyle w:val="EQRTableText"/>
            </w:pPr>
            <w:r w:rsidRPr="00990D3B">
              <w:t> </w:t>
            </w:r>
          </w:p>
        </w:tc>
        <w:tc>
          <w:tcPr>
            <w:tcW w:w="1616" w:type="dxa"/>
            <w:vAlign w:val="center"/>
          </w:tcPr>
          <w:p w:rsidR="004F6C0E" w:rsidRPr="00990D3B" w:rsidP="00AA547D" w14:paraId="7B67B4F4" w14:textId="77777777">
            <w:pPr>
              <w:pStyle w:val="EQRTableText"/>
            </w:pPr>
            <w:r w:rsidRPr="00990D3B">
              <w:t> </w:t>
            </w:r>
          </w:p>
        </w:tc>
        <w:tc>
          <w:tcPr>
            <w:tcW w:w="990" w:type="dxa"/>
            <w:vAlign w:val="center"/>
          </w:tcPr>
          <w:p w:rsidR="004F6C0E" w:rsidRPr="00990D3B" w:rsidP="00AA547D" w14:paraId="5495FC56" w14:textId="77777777">
            <w:pPr>
              <w:pStyle w:val="EQRTableText"/>
            </w:pPr>
            <w:r w:rsidRPr="00990D3B">
              <w:t> </w:t>
            </w:r>
          </w:p>
        </w:tc>
        <w:tc>
          <w:tcPr>
            <w:tcW w:w="985" w:type="dxa"/>
            <w:vAlign w:val="center"/>
          </w:tcPr>
          <w:p w:rsidR="004F6C0E" w:rsidRPr="00990D3B" w:rsidP="00AA547D" w14:paraId="18FE4749" w14:textId="77777777">
            <w:pPr>
              <w:pStyle w:val="EQRTableText"/>
            </w:pPr>
            <w:r w:rsidRPr="00990D3B">
              <w:t> </w:t>
            </w:r>
          </w:p>
        </w:tc>
      </w:tr>
      <w:tr w14:paraId="0205883B" w14:textId="77777777" w:rsidTr="00675F51">
        <w:tblPrEx>
          <w:tblW w:w="5000" w:type="pct"/>
          <w:tblLayout w:type="fixed"/>
          <w:tblLook w:val="04A0"/>
        </w:tblPrEx>
        <w:tc>
          <w:tcPr>
            <w:tcW w:w="1795" w:type="dxa"/>
            <w:vAlign w:val="center"/>
          </w:tcPr>
          <w:p w:rsidR="004F6C0E" w:rsidRPr="00990D3B" w:rsidP="00975CDC" w14:paraId="4A8181FC" w14:textId="4E463A36">
            <w:pPr>
              <w:pStyle w:val="EQRTableText"/>
            </w:pPr>
            <w:r w:rsidRPr="00990D3B">
              <w:t>Universal Product Code (UPC</w:t>
            </w:r>
            <w:r w:rsidRPr="00990D3B" w:rsidR="00640541">
              <w:t>)</w:t>
            </w:r>
          </w:p>
        </w:tc>
        <w:tc>
          <w:tcPr>
            <w:tcW w:w="990" w:type="dxa"/>
            <w:vAlign w:val="center"/>
          </w:tcPr>
          <w:p w:rsidR="004F6C0E" w:rsidRPr="00990D3B" w:rsidP="00AA547D" w14:paraId="65648C38" w14:textId="77777777">
            <w:pPr>
              <w:pStyle w:val="EQRTableText"/>
            </w:pPr>
            <w:r w:rsidRPr="00990D3B">
              <w:t> </w:t>
            </w:r>
          </w:p>
        </w:tc>
        <w:tc>
          <w:tcPr>
            <w:tcW w:w="990" w:type="dxa"/>
            <w:vAlign w:val="center"/>
          </w:tcPr>
          <w:p w:rsidR="004F6C0E" w:rsidRPr="00990D3B" w:rsidP="00AA547D" w14:paraId="5D641ADB" w14:textId="77777777">
            <w:pPr>
              <w:pStyle w:val="EQRTableText"/>
            </w:pPr>
            <w:r w:rsidRPr="00990D3B">
              <w:t> </w:t>
            </w:r>
          </w:p>
        </w:tc>
        <w:tc>
          <w:tcPr>
            <w:tcW w:w="1144" w:type="dxa"/>
            <w:vAlign w:val="center"/>
          </w:tcPr>
          <w:p w:rsidR="004F6C0E" w:rsidRPr="00990D3B" w:rsidP="00AA547D" w14:paraId="64672D95" w14:textId="77777777">
            <w:pPr>
              <w:pStyle w:val="EQRTableText"/>
            </w:pPr>
            <w:r w:rsidRPr="00990D3B">
              <w:t> </w:t>
            </w:r>
          </w:p>
        </w:tc>
        <w:tc>
          <w:tcPr>
            <w:tcW w:w="840" w:type="dxa"/>
            <w:vAlign w:val="center"/>
          </w:tcPr>
          <w:p w:rsidR="004F6C0E" w:rsidRPr="00990D3B" w:rsidP="00AA547D" w14:paraId="654C87CA" w14:textId="77777777">
            <w:pPr>
              <w:pStyle w:val="EQRTableText"/>
            </w:pPr>
            <w:r w:rsidRPr="00990D3B">
              <w:t> </w:t>
            </w:r>
          </w:p>
        </w:tc>
        <w:tc>
          <w:tcPr>
            <w:tcW w:w="1616" w:type="dxa"/>
            <w:vAlign w:val="center"/>
          </w:tcPr>
          <w:p w:rsidR="004F6C0E" w:rsidRPr="00990D3B" w:rsidP="00AA547D" w14:paraId="44024858" w14:textId="77777777">
            <w:pPr>
              <w:pStyle w:val="EQRTableText"/>
            </w:pPr>
            <w:r w:rsidRPr="00990D3B">
              <w:t> </w:t>
            </w:r>
          </w:p>
        </w:tc>
        <w:tc>
          <w:tcPr>
            <w:tcW w:w="990" w:type="dxa"/>
            <w:vAlign w:val="center"/>
          </w:tcPr>
          <w:p w:rsidR="004F6C0E" w:rsidRPr="00990D3B" w:rsidP="00AA547D" w14:paraId="269E2A64" w14:textId="77777777">
            <w:pPr>
              <w:pStyle w:val="EQRTableText"/>
            </w:pPr>
            <w:r w:rsidRPr="00990D3B">
              <w:t> </w:t>
            </w:r>
          </w:p>
        </w:tc>
        <w:tc>
          <w:tcPr>
            <w:tcW w:w="985" w:type="dxa"/>
            <w:vAlign w:val="center"/>
          </w:tcPr>
          <w:p w:rsidR="004F6C0E" w:rsidRPr="00990D3B" w:rsidP="00AA547D" w14:paraId="1CCD10AD" w14:textId="77777777">
            <w:pPr>
              <w:pStyle w:val="EQRTableText"/>
            </w:pPr>
            <w:r w:rsidRPr="00990D3B">
              <w:t> </w:t>
            </w:r>
          </w:p>
        </w:tc>
      </w:tr>
      <w:tr w14:paraId="3B0EB047" w14:textId="77777777" w:rsidTr="00675F51">
        <w:tblPrEx>
          <w:tblW w:w="5000" w:type="pct"/>
          <w:tblLayout w:type="fixed"/>
          <w:tblLook w:val="04A0"/>
        </w:tblPrEx>
        <w:tc>
          <w:tcPr>
            <w:tcW w:w="1795" w:type="dxa"/>
            <w:vAlign w:val="center"/>
          </w:tcPr>
          <w:p w:rsidR="004F6C0E" w:rsidRPr="00990D3B" w:rsidP="00975CDC" w14:paraId="2947E892" w14:textId="77777777">
            <w:pPr>
              <w:pStyle w:val="EQRTableText"/>
            </w:pPr>
            <w:r w:rsidRPr="00990D3B">
              <w:t>Manufacturer Part Number (MPN)</w:t>
            </w:r>
          </w:p>
        </w:tc>
        <w:tc>
          <w:tcPr>
            <w:tcW w:w="990" w:type="dxa"/>
            <w:vAlign w:val="center"/>
          </w:tcPr>
          <w:p w:rsidR="004F6C0E" w:rsidRPr="00990D3B" w:rsidP="00AA547D" w14:paraId="46B1F82A" w14:textId="77777777">
            <w:pPr>
              <w:pStyle w:val="EQRTableText"/>
            </w:pPr>
            <w:r w:rsidRPr="00990D3B">
              <w:t> </w:t>
            </w:r>
          </w:p>
        </w:tc>
        <w:tc>
          <w:tcPr>
            <w:tcW w:w="990" w:type="dxa"/>
            <w:vAlign w:val="center"/>
          </w:tcPr>
          <w:p w:rsidR="004F6C0E" w:rsidRPr="00990D3B" w:rsidP="00AA547D" w14:paraId="348A4CE8" w14:textId="77777777">
            <w:pPr>
              <w:pStyle w:val="EQRTableText"/>
            </w:pPr>
            <w:r w:rsidRPr="00990D3B">
              <w:t> </w:t>
            </w:r>
          </w:p>
        </w:tc>
        <w:tc>
          <w:tcPr>
            <w:tcW w:w="1144" w:type="dxa"/>
            <w:vAlign w:val="center"/>
          </w:tcPr>
          <w:p w:rsidR="004F6C0E" w:rsidRPr="00990D3B" w:rsidP="00AA547D" w14:paraId="38B53E78" w14:textId="77777777">
            <w:pPr>
              <w:pStyle w:val="EQRTableText"/>
            </w:pPr>
            <w:r w:rsidRPr="00990D3B">
              <w:t> </w:t>
            </w:r>
          </w:p>
        </w:tc>
        <w:tc>
          <w:tcPr>
            <w:tcW w:w="840" w:type="dxa"/>
            <w:vAlign w:val="center"/>
          </w:tcPr>
          <w:p w:rsidR="004F6C0E" w:rsidRPr="00990D3B" w:rsidP="00AA547D" w14:paraId="1C2A416F" w14:textId="77777777">
            <w:pPr>
              <w:pStyle w:val="EQRTableText"/>
            </w:pPr>
            <w:r w:rsidRPr="00990D3B">
              <w:t> </w:t>
            </w:r>
          </w:p>
        </w:tc>
        <w:tc>
          <w:tcPr>
            <w:tcW w:w="1616" w:type="dxa"/>
            <w:vAlign w:val="center"/>
          </w:tcPr>
          <w:p w:rsidR="004F6C0E" w:rsidRPr="00990D3B" w:rsidP="00AA547D" w14:paraId="1C1D0FE0" w14:textId="77777777">
            <w:pPr>
              <w:pStyle w:val="EQRTableText"/>
            </w:pPr>
            <w:r w:rsidRPr="00990D3B">
              <w:t> </w:t>
            </w:r>
          </w:p>
        </w:tc>
        <w:tc>
          <w:tcPr>
            <w:tcW w:w="990" w:type="dxa"/>
            <w:vAlign w:val="center"/>
          </w:tcPr>
          <w:p w:rsidR="004F6C0E" w:rsidRPr="00990D3B" w:rsidP="00AA547D" w14:paraId="21F6C1F8" w14:textId="77777777">
            <w:pPr>
              <w:pStyle w:val="EQRTableText"/>
            </w:pPr>
            <w:r w:rsidRPr="00990D3B">
              <w:t> </w:t>
            </w:r>
          </w:p>
        </w:tc>
        <w:tc>
          <w:tcPr>
            <w:tcW w:w="985" w:type="dxa"/>
            <w:vAlign w:val="center"/>
          </w:tcPr>
          <w:p w:rsidR="004F6C0E" w:rsidRPr="00990D3B" w:rsidP="00AA547D" w14:paraId="127C0669" w14:textId="77777777">
            <w:pPr>
              <w:pStyle w:val="EQRTableText"/>
            </w:pPr>
            <w:r w:rsidRPr="00990D3B">
              <w:t> </w:t>
            </w:r>
          </w:p>
        </w:tc>
      </w:tr>
      <w:tr w14:paraId="45BDB01D" w14:textId="77777777" w:rsidTr="00675F51">
        <w:tblPrEx>
          <w:tblW w:w="5000" w:type="pct"/>
          <w:tblLayout w:type="fixed"/>
          <w:tblLook w:val="04A0"/>
        </w:tblPrEx>
        <w:tc>
          <w:tcPr>
            <w:tcW w:w="1795" w:type="dxa"/>
            <w:vAlign w:val="center"/>
          </w:tcPr>
          <w:p w:rsidR="004F6C0E" w:rsidRPr="00990D3B" w:rsidP="00AA547D" w14:paraId="3D8D6E3B" w14:textId="77777777">
            <w:pPr>
              <w:pStyle w:val="EQRTableText"/>
            </w:pPr>
            <w:r w:rsidRPr="00990D3B">
              <w:t>First date of service</w:t>
            </w:r>
          </w:p>
        </w:tc>
        <w:tc>
          <w:tcPr>
            <w:tcW w:w="990" w:type="dxa"/>
            <w:vAlign w:val="center"/>
          </w:tcPr>
          <w:p w:rsidR="004F6C0E" w:rsidRPr="00990D3B" w:rsidP="00AA547D" w14:paraId="75CAB07C" w14:textId="77777777">
            <w:pPr>
              <w:pStyle w:val="EQRTableText"/>
            </w:pPr>
            <w:r w:rsidRPr="00990D3B">
              <w:t> </w:t>
            </w:r>
          </w:p>
        </w:tc>
        <w:tc>
          <w:tcPr>
            <w:tcW w:w="990" w:type="dxa"/>
            <w:vAlign w:val="center"/>
          </w:tcPr>
          <w:p w:rsidR="004F6C0E" w:rsidRPr="00990D3B" w:rsidP="00AA547D" w14:paraId="7BE18A31" w14:textId="77777777">
            <w:pPr>
              <w:pStyle w:val="EQRTableText"/>
            </w:pPr>
            <w:r w:rsidRPr="00990D3B">
              <w:t> </w:t>
            </w:r>
          </w:p>
        </w:tc>
        <w:tc>
          <w:tcPr>
            <w:tcW w:w="1144" w:type="dxa"/>
            <w:vAlign w:val="center"/>
          </w:tcPr>
          <w:p w:rsidR="004F6C0E" w:rsidRPr="00990D3B" w:rsidP="00AA547D" w14:paraId="167F7177" w14:textId="77777777">
            <w:pPr>
              <w:pStyle w:val="EQRTableText"/>
            </w:pPr>
            <w:r w:rsidRPr="00990D3B">
              <w:t> </w:t>
            </w:r>
          </w:p>
        </w:tc>
        <w:tc>
          <w:tcPr>
            <w:tcW w:w="840" w:type="dxa"/>
            <w:vAlign w:val="center"/>
          </w:tcPr>
          <w:p w:rsidR="004F6C0E" w:rsidRPr="00990D3B" w:rsidP="00AA547D" w14:paraId="323098DB" w14:textId="77777777">
            <w:pPr>
              <w:pStyle w:val="EQRTableText"/>
            </w:pPr>
            <w:r w:rsidRPr="00990D3B">
              <w:t> </w:t>
            </w:r>
          </w:p>
        </w:tc>
        <w:tc>
          <w:tcPr>
            <w:tcW w:w="1616" w:type="dxa"/>
            <w:vAlign w:val="center"/>
          </w:tcPr>
          <w:p w:rsidR="004F6C0E" w:rsidRPr="00990D3B" w:rsidP="00AA547D" w14:paraId="0D64CCFF" w14:textId="77777777">
            <w:pPr>
              <w:pStyle w:val="EQRTableText"/>
            </w:pPr>
            <w:r w:rsidRPr="00990D3B">
              <w:t> </w:t>
            </w:r>
          </w:p>
        </w:tc>
        <w:tc>
          <w:tcPr>
            <w:tcW w:w="990" w:type="dxa"/>
            <w:vAlign w:val="center"/>
          </w:tcPr>
          <w:p w:rsidR="004F6C0E" w:rsidRPr="00990D3B" w:rsidP="00AA547D" w14:paraId="6F191864" w14:textId="77777777">
            <w:pPr>
              <w:pStyle w:val="EQRTableText"/>
            </w:pPr>
            <w:r w:rsidRPr="00990D3B">
              <w:t> </w:t>
            </w:r>
          </w:p>
        </w:tc>
        <w:tc>
          <w:tcPr>
            <w:tcW w:w="985" w:type="dxa"/>
            <w:vAlign w:val="center"/>
          </w:tcPr>
          <w:p w:rsidR="004F6C0E" w:rsidRPr="00990D3B" w:rsidP="00AA547D" w14:paraId="30C9B8A7" w14:textId="77777777">
            <w:pPr>
              <w:pStyle w:val="EQRTableText"/>
            </w:pPr>
            <w:r w:rsidRPr="00990D3B">
              <w:t> </w:t>
            </w:r>
          </w:p>
        </w:tc>
      </w:tr>
      <w:tr w14:paraId="1550FBCF" w14:textId="77777777" w:rsidTr="00675F51">
        <w:tblPrEx>
          <w:tblW w:w="5000" w:type="pct"/>
          <w:tblLayout w:type="fixed"/>
          <w:tblLook w:val="04A0"/>
        </w:tblPrEx>
        <w:tc>
          <w:tcPr>
            <w:tcW w:w="1795" w:type="dxa"/>
            <w:vAlign w:val="center"/>
          </w:tcPr>
          <w:p w:rsidR="004F6C0E" w:rsidRPr="00990D3B" w:rsidP="00AA547D" w14:paraId="191A3363" w14:textId="77777777">
            <w:pPr>
              <w:pStyle w:val="EQRTableText"/>
            </w:pPr>
            <w:r w:rsidRPr="00990D3B">
              <w:t>Last date of service</w:t>
            </w:r>
          </w:p>
        </w:tc>
        <w:tc>
          <w:tcPr>
            <w:tcW w:w="990" w:type="dxa"/>
            <w:vAlign w:val="center"/>
          </w:tcPr>
          <w:p w:rsidR="004F6C0E" w:rsidRPr="00990D3B" w:rsidP="00AA547D" w14:paraId="1D321131" w14:textId="77777777">
            <w:pPr>
              <w:pStyle w:val="EQRTableText"/>
            </w:pPr>
            <w:r w:rsidRPr="00990D3B">
              <w:t> </w:t>
            </w:r>
          </w:p>
        </w:tc>
        <w:tc>
          <w:tcPr>
            <w:tcW w:w="990" w:type="dxa"/>
            <w:vAlign w:val="center"/>
          </w:tcPr>
          <w:p w:rsidR="004F6C0E" w:rsidRPr="00990D3B" w:rsidP="00AA547D" w14:paraId="24CA4F6E" w14:textId="77777777">
            <w:pPr>
              <w:pStyle w:val="EQRTableText"/>
            </w:pPr>
            <w:r w:rsidRPr="00990D3B">
              <w:t> </w:t>
            </w:r>
          </w:p>
        </w:tc>
        <w:tc>
          <w:tcPr>
            <w:tcW w:w="1144" w:type="dxa"/>
            <w:vAlign w:val="center"/>
          </w:tcPr>
          <w:p w:rsidR="004F6C0E" w:rsidRPr="00990D3B" w:rsidP="00AA547D" w14:paraId="00560582" w14:textId="77777777">
            <w:pPr>
              <w:pStyle w:val="EQRTableText"/>
            </w:pPr>
            <w:r w:rsidRPr="00990D3B">
              <w:t> </w:t>
            </w:r>
          </w:p>
        </w:tc>
        <w:tc>
          <w:tcPr>
            <w:tcW w:w="840" w:type="dxa"/>
            <w:vAlign w:val="center"/>
          </w:tcPr>
          <w:p w:rsidR="004F6C0E" w:rsidRPr="00990D3B" w:rsidP="00AA547D" w14:paraId="7F1DF7D5" w14:textId="77777777">
            <w:pPr>
              <w:pStyle w:val="EQRTableText"/>
            </w:pPr>
            <w:r w:rsidRPr="00990D3B">
              <w:t> </w:t>
            </w:r>
          </w:p>
        </w:tc>
        <w:tc>
          <w:tcPr>
            <w:tcW w:w="1616" w:type="dxa"/>
            <w:vAlign w:val="center"/>
          </w:tcPr>
          <w:p w:rsidR="004F6C0E" w:rsidRPr="00990D3B" w:rsidP="00AA547D" w14:paraId="3BB99BA5" w14:textId="77777777">
            <w:pPr>
              <w:pStyle w:val="EQRTableText"/>
            </w:pPr>
            <w:r w:rsidRPr="00990D3B">
              <w:t> </w:t>
            </w:r>
          </w:p>
        </w:tc>
        <w:tc>
          <w:tcPr>
            <w:tcW w:w="990" w:type="dxa"/>
            <w:vAlign w:val="center"/>
          </w:tcPr>
          <w:p w:rsidR="004F6C0E" w:rsidRPr="00990D3B" w:rsidP="00AA547D" w14:paraId="5A94D524" w14:textId="77777777">
            <w:pPr>
              <w:pStyle w:val="EQRTableText"/>
            </w:pPr>
            <w:r w:rsidRPr="00990D3B">
              <w:t> </w:t>
            </w:r>
          </w:p>
        </w:tc>
        <w:tc>
          <w:tcPr>
            <w:tcW w:w="985" w:type="dxa"/>
            <w:vAlign w:val="center"/>
          </w:tcPr>
          <w:p w:rsidR="004F6C0E" w:rsidRPr="00990D3B" w:rsidP="00AA547D" w14:paraId="1AC1BBDE" w14:textId="77777777">
            <w:pPr>
              <w:pStyle w:val="EQRTableText"/>
            </w:pPr>
            <w:r w:rsidRPr="00990D3B">
              <w:t> </w:t>
            </w:r>
          </w:p>
        </w:tc>
      </w:tr>
      <w:tr w14:paraId="23B6D0C4" w14:textId="77777777" w:rsidTr="00675F51">
        <w:tblPrEx>
          <w:tblW w:w="5000" w:type="pct"/>
          <w:tblLayout w:type="fixed"/>
          <w:tblLook w:val="04A0"/>
        </w:tblPrEx>
        <w:tc>
          <w:tcPr>
            <w:tcW w:w="1795" w:type="dxa"/>
            <w:vAlign w:val="center"/>
          </w:tcPr>
          <w:p w:rsidR="004F6C0E" w:rsidRPr="00990D3B" w:rsidP="00AA547D" w14:paraId="5ED8E49A" w14:textId="6B0F1FBB">
            <w:pPr>
              <w:pStyle w:val="EQRTableText"/>
            </w:pPr>
            <w:r w:rsidRPr="00990D3B">
              <w:t xml:space="preserve">Quantity of </w:t>
            </w:r>
            <w:r w:rsidRPr="00990D3B" w:rsidR="00640541">
              <w:t>s</w:t>
            </w:r>
            <w:r w:rsidRPr="00990D3B">
              <w:t>ervice</w:t>
            </w:r>
          </w:p>
        </w:tc>
        <w:tc>
          <w:tcPr>
            <w:tcW w:w="990" w:type="dxa"/>
            <w:vAlign w:val="center"/>
          </w:tcPr>
          <w:p w:rsidR="004F6C0E" w:rsidRPr="00990D3B" w:rsidP="00AA547D" w14:paraId="41C6CED2" w14:textId="77777777">
            <w:pPr>
              <w:pStyle w:val="EQRTableText"/>
            </w:pPr>
            <w:r w:rsidRPr="00990D3B">
              <w:t> </w:t>
            </w:r>
          </w:p>
        </w:tc>
        <w:tc>
          <w:tcPr>
            <w:tcW w:w="990" w:type="dxa"/>
            <w:vAlign w:val="center"/>
          </w:tcPr>
          <w:p w:rsidR="004F6C0E" w:rsidRPr="00990D3B" w:rsidP="00AA547D" w14:paraId="02F93731" w14:textId="77777777">
            <w:pPr>
              <w:pStyle w:val="EQRTableText"/>
            </w:pPr>
            <w:r w:rsidRPr="00990D3B">
              <w:t> </w:t>
            </w:r>
          </w:p>
        </w:tc>
        <w:tc>
          <w:tcPr>
            <w:tcW w:w="1144" w:type="dxa"/>
            <w:vAlign w:val="center"/>
          </w:tcPr>
          <w:p w:rsidR="004F6C0E" w:rsidRPr="00990D3B" w:rsidP="00AA547D" w14:paraId="2DC711AB" w14:textId="77777777">
            <w:pPr>
              <w:pStyle w:val="EQRTableText"/>
            </w:pPr>
            <w:r w:rsidRPr="00990D3B">
              <w:t> </w:t>
            </w:r>
          </w:p>
        </w:tc>
        <w:tc>
          <w:tcPr>
            <w:tcW w:w="840" w:type="dxa"/>
            <w:vAlign w:val="center"/>
          </w:tcPr>
          <w:p w:rsidR="004F6C0E" w:rsidRPr="00990D3B" w:rsidP="00AA547D" w14:paraId="48FD8FCF" w14:textId="77777777">
            <w:pPr>
              <w:pStyle w:val="EQRTableText"/>
            </w:pPr>
            <w:r w:rsidRPr="00990D3B">
              <w:t> </w:t>
            </w:r>
          </w:p>
        </w:tc>
        <w:tc>
          <w:tcPr>
            <w:tcW w:w="1616" w:type="dxa"/>
            <w:vAlign w:val="center"/>
          </w:tcPr>
          <w:p w:rsidR="004F6C0E" w:rsidRPr="00990D3B" w:rsidP="00AA547D" w14:paraId="4282DC01" w14:textId="77777777">
            <w:pPr>
              <w:pStyle w:val="EQRTableText"/>
            </w:pPr>
            <w:r w:rsidRPr="00990D3B">
              <w:t> </w:t>
            </w:r>
          </w:p>
        </w:tc>
        <w:tc>
          <w:tcPr>
            <w:tcW w:w="990" w:type="dxa"/>
            <w:vAlign w:val="center"/>
          </w:tcPr>
          <w:p w:rsidR="004F6C0E" w:rsidRPr="00990D3B" w:rsidP="00AA547D" w14:paraId="313EEA1B" w14:textId="77777777">
            <w:pPr>
              <w:pStyle w:val="EQRTableText"/>
            </w:pPr>
            <w:r w:rsidRPr="00990D3B">
              <w:t> </w:t>
            </w:r>
          </w:p>
        </w:tc>
        <w:tc>
          <w:tcPr>
            <w:tcW w:w="985" w:type="dxa"/>
            <w:vAlign w:val="center"/>
          </w:tcPr>
          <w:p w:rsidR="004F6C0E" w:rsidRPr="00990D3B" w:rsidP="00AA547D" w14:paraId="55A7DC2F" w14:textId="77777777">
            <w:pPr>
              <w:pStyle w:val="EQRTableText"/>
            </w:pPr>
            <w:r w:rsidRPr="00990D3B">
              <w:t> </w:t>
            </w:r>
          </w:p>
        </w:tc>
      </w:tr>
      <w:tr w14:paraId="3DB10B2B" w14:textId="77777777" w:rsidTr="00675F51">
        <w:tblPrEx>
          <w:tblW w:w="5000" w:type="pct"/>
          <w:tblLayout w:type="fixed"/>
          <w:tblLook w:val="04A0"/>
        </w:tblPrEx>
        <w:tc>
          <w:tcPr>
            <w:tcW w:w="1795" w:type="dxa"/>
            <w:vAlign w:val="center"/>
          </w:tcPr>
          <w:p w:rsidR="004F6C0E" w:rsidRPr="00990D3B" w:rsidP="00AA547D" w14:paraId="3773B2F0" w14:textId="77777777">
            <w:pPr>
              <w:pStyle w:val="EQRTableText"/>
            </w:pPr>
            <w:r w:rsidRPr="00990D3B">
              <w:t>Revenue code</w:t>
            </w:r>
          </w:p>
        </w:tc>
        <w:tc>
          <w:tcPr>
            <w:tcW w:w="990" w:type="dxa"/>
            <w:vAlign w:val="center"/>
          </w:tcPr>
          <w:p w:rsidR="004F6C0E" w:rsidRPr="00990D3B" w:rsidP="00AA547D" w14:paraId="6CA482D1" w14:textId="77777777">
            <w:pPr>
              <w:pStyle w:val="EQRTableText"/>
            </w:pPr>
            <w:r w:rsidRPr="00990D3B">
              <w:t> </w:t>
            </w:r>
          </w:p>
        </w:tc>
        <w:tc>
          <w:tcPr>
            <w:tcW w:w="990" w:type="dxa"/>
            <w:vAlign w:val="center"/>
          </w:tcPr>
          <w:p w:rsidR="004F6C0E" w:rsidRPr="00990D3B" w:rsidP="00AA547D" w14:paraId="7E3B7FC3" w14:textId="77777777">
            <w:pPr>
              <w:pStyle w:val="EQRTableText"/>
            </w:pPr>
            <w:r w:rsidRPr="00990D3B">
              <w:t> </w:t>
            </w:r>
          </w:p>
        </w:tc>
        <w:tc>
          <w:tcPr>
            <w:tcW w:w="1144" w:type="dxa"/>
            <w:vAlign w:val="center"/>
          </w:tcPr>
          <w:p w:rsidR="004F6C0E" w:rsidRPr="00990D3B" w:rsidP="00AA547D" w14:paraId="4BA15526" w14:textId="77777777">
            <w:pPr>
              <w:pStyle w:val="EQRTableText"/>
            </w:pPr>
            <w:r w:rsidRPr="00990D3B">
              <w:t> </w:t>
            </w:r>
          </w:p>
        </w:tc>
        <w:tc>
          <w:tcPr>
            <w:tcW w:w="840" w:type="dxa"/>
            <w:vAlign w:val="center"/>
          </w:tcPr>
          <w:p w:rsidR="004F6C0E" w:rsidRPr="00990D3B" w:rsidP="00AA547D" w14:paraId="074C6FA5" w14:textId="77777777">
            <w:pPr>
              <w:pStyle w:val="EQRTableText"/>
            </w:pPr>
            <w:r w:rsidRPr="00990D3B">
              <w:t> </w:t>
            </w:r>
          </w:p>
        </w:tc>
        <w:tc>
          <w:tcPr>
            <w:tcW w:w="1616" w:type="dxa"/>
            <w:vAlign w:val="center"/>
          </w:tcPr>
          <w:p w:rsidR="004F6C0E" w:rsidRPr="00990D3B" w:rsidP="00AA547D" w14:paraId="1A63C271" w14:textId="77777777">
            <w:pPr>
              <w:pStyle w:val="EQRTableText"/>
            </w:pPr>
            <w:r w:rsidRPr="00990D3B">
              <w:t> </w:t>
            </w:r>
          </w:p>
        </w:tc>
        <w:tc>
          <w:tcPr>
            <w:tcW w:w="990" w:type="dxa"/>
            <w:vAlign w:val="center"/>
          </w:tcPr>
          <w:p w:rsidR="004F6C0E" w:rsidRPr="00990D3B" w:rsidP="00AA547D" w14:paraId="0027370E" w14:textId="77777777">
            <w:pPr>
              <w:pStyle w:val="EQRTableText"/>
            </w:pPr>
            <w:r w:rsidRPr="00990D3B">
              <w:t> </w:t>
            </w:r>
          </w:p>
        </w:tc>
        <w:tc>
          <w:tcPr>
            <w:tcW w:w="985" w:type="dxa"/>
            <w:vAlign w:val="center"/>
          </w:tcPr>
          <w:p w:rsidR="004F6C0E" w:rsidRPr="00990D3B" w:rsidP="00AA547D" w14:paraId="7B77CAEE" w14:textId="77777777">
            <w:pPr>
              <w:pStyle w:val="EQRTableText"/>
            </w:pPr>
            <w:r w:rsidRPr="00990D3B">
              <w:t> </w:t>
            </w:r>
          </w:p>
        </w:tc>
      </w:tr>
      <w:tr w14:paraId="62C1B928" w14:textId="77777777" w:rsidTr="00675F51">
        <w:tblPrEx>
          <w:tblW w:w="5000" w:type="pct"/>
          <w:tblLayout w:type="fixed"/>
          <w:tblLook w:val="04A0"/>
        </w:tblPrEx>
        <w:tc>
          <w:tcPr>
            <w:tcW w:w="1795" w:type="dxa"/>
            <w:vAlign w:val="center"/>
          </w:tcPr>
          <w:p w:rsidR="004F6C0E" w:rsidRPr="00990D3B" w:rsidP="00AA547D" w14:paraId="4C06387A" w14:textId="77777777">
            <w:pPr>
              <w:pStyle w:val="EQRTableText"/>
            </w:pPr>
            <w:r w:rsidRPr="00990D3B">
              <w:t>Provider NPI</w:t>
            </w:r>
          </w:p>
        </w:tc>
        <w:tc>
          <w:tcPr>
            <w:tcW w:w="990" w:type="dxa"/>
            <w:vAlign w:val="center"/>
          </w:tcPr>
          <w:p w:rsidR="004F6C0E" w:rsidRPr="00990D3B" w:rsidP="00AA547D" w14:paraId="25B18194" w14:textId="77777777">
            <w:pPr>
              <w:pStyle w:val="EQRTableText"/>
            </w:pPr>
            <w:r w:rsidRPr="00990D3B">
              <w:t> </w:t>
            </w:r>
          </w:p>
        </w:tc>
        <w:tc>
          <w:tcPr>
            <w:tcW w:w="990" w:type="dxa"/>
            <w:vAlign w:val="center"/>
          </w:tcPr>
          <w:p w:rsidR="004F6C0E" w:rsidRPr="00990D3B" w:rsidP="00AA547D" w14:paraId="25C4DBC4" w14:textId="77777777">
            <w:pPr>
              <w:pStyle w:val="EQRTableText"/>
            </w:pPr>
            <w:r w:rsidRPr="00990D3B">
              <w:t> </w:t>
            </w:r>
          </w:p>
        </w:tc>
        <w:tc>
          <w:tcPr>
            <w:tcW w:w="1144" w:type="dxa"/>
            <w:vAlign w:val="center"/>
          </w:tcPr>
          <w:p w:rsidR="004F6C0E" w:rsidRPr="00990D3B" w:rsidP="00AA547D" w14:paraId="0C2FAF3F" w14:textId="77777777">
            <w:pPr>
              <w:pStyle w:val="EQRTableText"/>
            </w:pPr>
            <w:r w:rsidRPr="00990D3B">
              <w:t> </w:t>
            </w:r>
          </w:p>
        </w:tc>
        <w:tc>
          <w:tcPr>
            <w:tcW w:w="840" w:type="dxa"/>
            <w:vAlign w:val="center"/>
          </w:tcPr>
          <w:p w:rsidR="004F6C0E" w:rsidRPr="00990D3B" w:rsidP="00AA547D" w14:paraId="1C62AA7A" w14:textId="77777777">
            <w:pPr>
              <w:pStyle w:val="EQRTableText"/>
            </w:pPr>
            <w:r w:rsidRPr="00990D3B">
              <w:t> </w:t>
            </w:r>
          </w:p>
        </w:tc>
        <w:tc>
          <w:tcPr>
            <w:tcW w:w="1616" w:type="dxa"/>
            <w:vAlign w:val="center"/>
          </w:tcPr>
          <w:p w:rsidR="004F6C0E" w:rsidRPr="00990D3B" w:rsidP="00AA547D" w14:paraId="1032D2B4" w14:textId="77777777">
            <w:pPr>
              <w:pStyle w:val="EQRTableText"/>
            </w:pPr>
            <w:r w:rsidRPr="00990D3B">
              <w:t> </w:t>
            </w:r>
          </w:p>
        </w:tc>
        <w:tc>
          <w:tcPr>
            <w:tcW w:w="990" w:type="dxa"/>
            <w:vAlign w:val="center"/>
          </w:tcPr>
          <w:p w:rsidR="004F6C0E" w:rsidRPr="00990D3B" w:rsidP="00AA547D" w14:paraId="08CA08B4" w14:textId="77777777">
            <w:pPr>
              <w:pStyle w:val="EQRTableText"/>
            </w:pPr>
            <w:r w:rsidRPr="00990D3B">
              <w:t> </w:t>
            </w:r>
          </w:p>
        </w:tc>
        <w:tc>
          <w:tcPr>
            <w:tcW w:w="985" w:type="dxa"/>
            <w:vAlign w:val="center"/>
          </w:tcPr>
          <w:p w:rsidR="004F6C0E" w:rsidRPr="00990D3B" w:rsidP="00AA547D" w14:paraId="49BC958A" w14:textId="77777777">
            <w:pPr>
              <w:pStyle w:val="EQRTableText"/>
            </w:pPr>
            <w:r w:rsidRPr="00990D3B">
              <w:t> </w:t>
            </w:r>
          </w:p>
        </w:tc>
      </w:tr>
      <w:tr w14:paraId="12E934F3" w14:textId="77777777" w:rsidTr="00675F51">
        <w:tblPrEx>
          <w:tblW w:w="5000" w:type="pct"/>
          <w:tblLayout w:type="fixed"/>
          <w:tblLook w:val="04A0"/>
        </w:tblPrEx>
        <w:tc>
          <w:tcPr>
            <w:tcW w:w="1795" w:type="dxa"/>
            <w:vAlign w:val="center"/>
          </w:tcPr>
          <w:p w:rsidR="004F6C0E" w:rsidRPr="00990D3B" w:rsidP="00AA547D" w14:paraId="3CE90E32" w14:textId="77777777">
            <w:pPr>
              <w:pStyle w:val="EQRTableText"/>
            </w:pPr>
            <w:r w:rsidRPr="00990D3B">
              <w:t>Provider specialty</w:t>
            </w:r>
          </w:p>
        </w:tc>
        <w:tc>
          <w:tcPr>
            <w:tcW w:w="990" w:type="dxa"/>
            <w:vAlign w:val="center"/>
          </w:tcPr>
          <w:p w:rsidR="004F6C0E" w:rsidRPr="00990D3B" w:rsidP="00AA547D" w14:paraId="53D265C3" w14:textId="77777777">
            <w:pPr>
              <w:pStyle w:val="EQRTableText"/>
            </w:pPr>
            <w:r w:rsidRPr="00990D3B">
              <w:t> </w:t>
            </w:r>
          </w:p>
        </w:tc>
        <w:tc>
          <w:tcPr>
            <w:tcW w:w="990" w:type="dxa"/>
            <w:vAlign w:val="center"/>
          </w:tcPr>
          <w:p w:rsidR="004F6C0E" w:rsidRPr="00990D3B" w:rsidP="00AA547D" w14:paraId="4996BC43" w14:textId="77777777">
            <w:pPr>
              <w:pStyle w:val="EQRTableText"/>
            </w:pPr>
            <w:r w:rsidRPr="00990D3B">
              <w:t> </w:t>
            </w:r>
          </w:p>
        </w:tc>
        <w:tc>
          <w:tcPr>
            <w:tcW w:w="1144" w:type="dxa"/>
            <w:vAlign w:val="center"/>
          </w:tcPr>
          <w:p w:rsidR="004F6C0E" w:rsidRPr="00990D3B" w:rsidP="00AA547D" w14:paraId="36C128B0" w14:textId="77777777">
            <w:pPr>
              <w:pStyle w:val="EQRTableText"/>
            </w:pPr>
            <w:r w:rsidRPr="00990D3B">
              <w:t> </w:t>
            </w:r>
          </w:p>
        </w:tc>
        <w:tc>
          <w:tcPr>
            <w:tcW w:w="840" w:type="dxa"/>
            <w:vAlign w:val="center"/>
          </w:tcPr>
          <w:p w:rsidR="004F6C0E" w:rsidRPr="00990D3B" w:rsidP="00AA547D" w14:paraId="2B42B351" w14:textId="77777777">
            <w:pPr>
              <w:pStyle w:val="EQRTableText"/>
            </w:pPr>
            <w:r w:rsidRPr="00990D3B">
              <w:t> </w:t>
            </w:r>
          </w:p>
        </w:tc>
        <w:tc>
          <w:tcPr>
            <w:tcW w:w="1616" w:type="dxa"/>
            <w:vAlign w:val="center"/>
          </w:tcPr>
          <w:p w:rsidR="004F6C0E" w:rsidRPr="00990D3B" w:rsidP="00AA547D" w14:paraId="38E5F9ED" w14:textId="77777777">
            <w:pPr>
              <w:pStyle w:val="EQRTableText"/>
            </w:pPr>
            <w:r w:rsidRPr="00990D3B">
              <w:t> </w:t>
            </w:r>
          </w:p>
        </w:tc>
        <w:tc>
          <w:tcPr>
            <w:tcW w:w="990" w:type="dxa"/>
            <w:vAlign w:val="center"/>
          </w:tcPr>
          <w:p w:rsidR="004F6C0E" w:rsidRPr="00990D3B" w:rsidP="00AA547D" w14:paraId="69B1C838" w14:textId="77777777">
            <w:pPr>
              <w:pStyle w:val="EQRTableText"/>
            </w:pPr>
            <w:r w:rsidRPr="00990D3B">
              <w:t> </w:t>
            </w:r>
          </w:p>
        </w:tc>
        <w:tc>
          <w:tcPr>
            <w:tcW w:w="985" w:type="dxa"/>
            <w:vAlign w:val="center"/>
          </w:tcPr>
          <w:p w:rsidR="004F6C0E" w:rsidRPr="00990D3B" w:rsidP="00AA547D" w14:paraId="645B055A" w14:textId="77777777">
            <w:pPr>
              <w:pStyle w:val="EQRTableText"/>
            </w:pPr>
            <w:r w:rsidRPr="00990D3B">
              <w:t> </w:t>
            </w:r>
          </w:p>
        </w:tc>
      </w:tr>
      <w:tr w14:paraId="46C2F3AB" w14:textId="77777777" w:rsidTr="00675F51">
        <w:tblPrEx>
          <w:tblW w:w="5000" w:type="pct"/>
          <w:tblLayout w:type="fixed"/>
          <w:tblLook w:val="04A0"/>
        </w:tblPrEx>
        <w:tc>
          <w:tcPr>
            <w:tcW w:w="1795" w:type="dxa"/>
            <w:vAlign w:val="center"/>
          </w:tcPr>
          <w:p w:rsidR="004F6C0E" w:rsidRPr="00990D3B" w:rsidP="00AA547D" w14:paraId="17A10D4B" w14:textId="77777777">
            <w:pPr>
              <w:pStyle w:val="EQRTableText"/>
            </w:pPr>
            <w:r w:rsidRPr="00990D3B">
              <w:t>TOTAL</w:t>
            </w:r>
          </w:p>
        </w:tc>
        <w:tc>
          <w:tcPr>
            <w:tcW w:w="990" w:type="dxa"/>
            <w:vAlign w:val="center"/>
          </w:tcPr>
          <w:p w:rsidR="004F6C0E" w:rsidRPr="00990D3B" w:rsidP="00AA547D" w14:paraId="1887C6DF" w14:textId="77777777">
            <w:pPr>
              <w:pStyle w:val="EQRTableText"/>
            </w:pPr>
            <w:r w:rsidRPr="00990D3B">
              <w:t>100%</w:t>
            </w:r>
          </w:p>
        </w:tc>
        <w:tc>
          <w:tcPr>
            <w:tcW w:w="990" w:type="dxa"/>
            <w:vAlign w:val="center"/>
          </w:tcPr>
          <w:p w:rsidR="004F6C0E" w:rsidRPr="00990D3B" w:rsidP="00AA547D" w14:paraId="2BE51D93" w14:textId="77777777">
            <w:pPr>
              <w:pStyle w:val="EQRTableText"/>
            </w:pPr>
            <w:r w:rsidRPr="00990D3B">
              <w:t>100%</w:t>
            </w:r>
          </w:p>
        </w:tc>
        <w:tc>
          <w:tcPr>
            <w:tcW w:w="1144" w:type="dxa"/>
            <w:vAlign w:val="center"/>
          </w:tcPr>
          <w:p w:rsidR="004F6C0E" w:rsidRPr="00990D3B" w:rsidP="00AA547D" w14:paraId="0FAC4B99" w14:textId="77777777">
            <w:pPr>
              <w:pStyle w:val="EQRTableText"/>
            </w:pPr>
            <w:r w:rsidRPr="00990D3B">
              <w:t>100%</w:t>
            </w:r>
          </w:p>
        </w:tc>
        <w:tc>
          <w:tcPr>
            <w:tcW w:w="840" w:type="dxa"/>
            <w:vAlign w:val="center"/>
          </w:tcPr>
          <w:p w:rsidR="004F6C0E" w:rsidRPr="00990D3B" w:rsidP="00AA547D" w14:paraId="5FDCF317" w14:textId="77777777">
            <w:pPr>
              <w:pStyle w:val="EQRTableText"/>
            </w:pPr>
            <w:r w:rsidRPr="00990D3B">
              <w:t>100%</w:t>
            </w:r>
          </w:p>
        </w:tc>
        <w:tc>
          <w:tcPr>
            <w:tcW w:w="1616" w:type="dxa"/>
            <w:vAlign w:val="center"/>
          </w:tcPr>
          <w:p w:rsidR="004F6C0E" w:rsidRPr="00990D3B" w:rsidP="00AA547D" w14:paraId="3A669046" w14:textId="77777777">
            <w:pPr>
              <w:pStyle w:val="EQRTableText"/>
            </w:pPr>
            <w:r w:rsidRPr="00990D3B">
              <w:t>100%</w:t>
            </w:r>
          </w:p>
        </w:tc>
        <w:tc>
          <w:tcPr>
            <w:tcW w:w="990" w:type="dxa"/>
            <w:vAlign w:val="center"/>
          </w:tcPr>
          <w:p w:rsidR="004F6C0E" w:rsidRPr="00990D3B" w:rsidP="00AA547D" w14:paraId="0BB99BE2" w14:textId="77777777">
            <w:pPr>
              <w:pStyle w:val="EQRTableText"/>
            </w:pPr>
            <w:r w:rsidRPr="00990D3B">
              <w:t>100%</w:t>
            </w:r>
          </w:p>
        </w:tc>
        <w:tc>
          <w:tcPr>
            <w:tcW w:w="985" w:type="dxa"/>
            <w:vAlign w:val="center"/>
          </w:tcPr>
          <w:p w:rsidR="004F6C0E" w:rsidRPr="00990D3B" w:rsidP="00AA547D" w14:paraId="6A9DE765" w14:textId="77777777">
            <w:pPr>
              <w:pStyle w:val="EQRTableText"/>
            </w:pPr>
            <w:r w:rsidRPr="00990D3B">
              <w:t>100%</w:t>
            </w:r>
          </w:p>
        </w:tc>
      </w:tr>
    </w:tbl>
    <w:p w:rsidR="004F6C0E" w:rsidRPr="00990D3B" w:rsidP="00372E00" w14:paraId="78D2C0F0" w14:textId="744D7AE9">
      <w:pPr>
        <w:pStyle w:val="EQRnoteWS"/>
      </w:pPr>
      <w:r w:rsidRPr="00990D3B">
        <w:t>Note (Q</w:t>
      </w:r>
      <w:r w:rsidRPr="00990D3B" w:rsidR="00A1785E">
        <w:t xml:space="preserve"> 5.</w:t>
      </w:r>
      <w:r w:rsidRPr="00990D3B">
        <w:t>4): Standard measures of plan performance such as Medicaid HEDIS® are dependent upon the availability of the fields listed above. If procedure codes or diagnosis codes are not available, the data will not include the necessary level of detail to report performance measures.</w:t>
      </w:r>
    </w:p>
    <w:p w:rsidR="004F6C0E" w:rsidRPr="00990D3B" w:rsidP="00034F5E" w14:paraId="4840C21B" w14:textId="1A91277C">
      <w:pPr>
        <w:pStyle w:val="H2EQRWorksheetlist2"/>
      </w:pPr>
      <w:r w:rsidRPr="00990D3B">
        <w:t>In the following table, please enter how many diagnoses and procedures are captured on each claim and on each encounter</w:t>
      </w:r>
      <w:r w:rsidRPr="00990D3B" w:rsidR="000B270E">
        <w:t>.</w:t>
      </w:r>
    </w:p>
    <w:tbl>
      <w:tblPr>
        <w:tblStyle w:val="TableGrid"/>
        <w:tblW w:w="5000" w:type="pct"/>
        <w:tblInd w:w="-5" w:type="dxa"/>
        <w:tblLook w:val="04A0"/>
      </w:tblPr>
      <w:tblGrid>
        <w:gridCol w:w="2634"/>
        <w:gridCol w:w="1573"/>
        <w:gridCol w:w="1658"/>
        <w:gridCol w:w="1573"/>
        <w:gridCol w:w="1912"/>
      </w:tblGrid>
      <w:tr w14:paraId="5FE9F140" w14:textId="77777777" w:rsidTr="00372E00">
        <w:tblPrEx>
          <w:tblW w:w="5000" w:type="pct"/>
          <w:tblInd w:w="-5" w:type="dxa"/>
          <w:tblLook w:val="04A0"/>
        </w:tblPrEx>
        <w:trPr>
          <w:tblHeader/>
        </w:trPr>
        <w:tc>
          <w:tcPr>
            <w:tcW w:w="2634" w:type="dxa"/>
          </w:tcPr>
          <w:p w:rsidR="004F6C0E" w:rsidRPr="00990D3B" w:rsidP="00372E00" w14:paraId="776356A7" w14:textId="77777777">
            <w:pPr>
              <w:pStyle w:val="EQRTableText"/>
              <w:jc w:val="center"/>
              <w:rPr>
                <w:b/>
                <w:bCs/>
              </w:rPr>
            </w:pPr>
            <w:r w:rsidRPr="00990D3B">
              <w:rPr>
                <w:b/>
                <w:bCs/>
              </w:rPr>
              <w:t> </w:t>
            </w:r>
          </w:p>
        </w:tc>
        <w:tc>
          <w:tcPr>
            <w:tcW w:w="3231" w:type="dxa"/>
            <w:gridSpan w:val="2"/>
          </w:tcPr>
          <w:p w:rsidR="004F6C0E" w:rsidRPr="00990D3B" w:rsidP="00975CDC" w14:paraId="3900447F" w14:textId="77777777">
            <w:pPr>
              <w:pStyle w:val="EQRTableHeaderCenter"/>
              <w:rPr>
                <w:color w:val="auto"/>
              </w:rPr>
            </w:pPr>
            <w:r w:rsidRPr="00990D3B">
              <w:rPr>
                <w:color w:val="auto"/>
              </w:rPr>
              <w:t>Claim</w:t>
            </w:r>
          </w:p>
        </w:tc>
        <w:tc>
          <w:tcPr>
            <w:tcW w:w="3485" w:type="dxa"/>
            <w:gridSpan w:val="2"/>
          </w:tcPr>
          <w:p w:rsidR="004F6C0E" w:rsidRPr="00990D3B" w:rsidP="00975CDC" w14:paraId="5A50917B" w14:textId="77777777">
            <w:pPr>
              <w:pStyle w:val="EQRTableHeaderCenter"/>
              <w:rPr>
                <w:color w:val="auto"/>
              </w:rPr>
            </w:pPr>
            <w:r w:rsidRPr="00990D3B">
              <w:rPr>
                <w:color w:val="auto"/>
              </w:rPr>
              <w:t>Encounter</w:t>
            </w:r>
          </w:p>
        </w:tc>
      </w:tr>
      <w:tr w14:paraId="10281988" w14:textId="77777777" w:rsidTr="00372E00">
        <w:tblPrEx>
          <w:tblW w:w="5000" w:type="pct"/>
          <w:tblInd w:w="-5" w:type="dxa"/>
          <w:tblLook w:val="04A0"/>
        </w:tblPrEx>
        <w:tc>
          <w:tcPr>
            <w:tcW w:w="2634" w:type="dxa"/>
          </w:tcPr>
          <w:p w:rsidR="004F6C0E" w:rsidRPr="00990D3B" w:rsidP="00675F51" w14:paraId="2CD90EB9" w14:textId="77777777">
            <w:pPr>
              <w:pStyle w:val="EQRTableText"/>
              <w:rPr>
                <w:b/>
                <w:bCs/>
              </w:rPr>
            </w:pPr>
            <w:r w:rsidRPr="00990D3B">
              <w:rPr>
                <w:b/>
                <w:bCs/>
              </w:rPr>
              <w:t> </w:t>
            </w:r>
          </w:p>
        </w:tc>
        <w:tc>
          <w:tcPr>
            <w:tcW w:w="1573" w:type="dxa"/>
            <w:vAlign w:val="center"/>
          </w:tcPr>
          <w:p w:rsidR="004F6C0E" w:rsidRPr="00990D3B" w:rsidP="00975CDC" w14:paraId="1E16AD52" w14:textId="77777777">
            <w:pPr>
              <w:pStyle w:val="EQRTableHeaderCenter"/>
              <w:rPr>
                <w:color w:val="auto"/>
              </w:rPr>
            </w:pPr>
            <w:r w:rsidRPr="00990D3B">
              <w:rPr>
                <w:color w:val="auto"/>
              </w:rPr>
              <w:t>Diagnoses</w:t>
            </w:r>
          </w:p>
        </w:tc>
        <w:tc>
          <w:tcPr>
            <w:tcW w:w="1658" w:type="dxa"/>
            <w:vAlign w:val="center"/>
          </w:tcPr>
          <w:p w:rsidR="004F6C0E" w:rsidRPr="00990D3B" w:rsidP="00975CDC" w14:paraId="6703DBA8" w14:textId="77777777">
            <w:pPr>
              <w:pStyle w:val="EQRTableHeaderCenter"/>
              <w:rPr>
                <w:color w:val="auto"/>
              </w:rPr>
            </w:pPr>
            <w:r w:rsidRPr="00990D3B">
              <w:rPr>
                <w:color w:val="auto"/>
              </w:rPr>
              <w:t>Procedures</w:t>
            </w:r>
          </w:p>
        </w:tc>
        <w:tc>
          <w:tcPr>
            <w:tcW w:w="1573" w:type="dxa"/>
            <w:vAlign w:val="center"/>
          </w:tcPr>
          <w:p w:rsidR="004F6C0E" w:rsidRPr="00990D3B" w:rsidP="00975CDC" w14:paraId="1A0EB711" w14:textId="77777777">
            <w:pPr>
              <w:pStyle w:val="EQRTableHeaderCenter"/>
              <w:rPr>
                <w:color w:val="auto"/>
              </w:rPr>
            </w:pPr>
            <w:r w:rsidRPr="00990D3B">
              <w:rPr>
                <w:color w:val="auto"/>
              </w:rPr>
              <w:t>Diagnoses</w:t>
            </w:r>
          </w:p>
        </w:tc>
        <w:tc>
          <w:tcPr>
            <w:tcW w:w="1912" w:type="dxa"/>
            <w:vAlign w:val="center"/>
          </w:tcPr>
          <w:p w:rsidR="004F6C0E" w:rsidRPr="00990D3B" w:rsidP="00975CDC" w14:paraId="4191C464" w14:textId="77777777">
            <w:pPr>
              <w:pStyle w:val="EQRTableHeaderCenter"/>
              <w:rPr>
                <w:color w:val="auto"/>
              </w:rPr>
            </w:pPr>
            <w:r w:rsidRPr="00990D3B">
              <w:rPr>
                <w:color w:val="auto"/>
              </w:rPr>
              <w:t>Procedures</w:t>
            </w:r>
          </w:p>
        </w:tc>
      </w:tr>
      <w:tr w14:paraId="6A923641" w14:textId="77777777" w:rsidTr="00675F51">
        <w:tblPrEx>
          <w:tblW w:w="5000" w:type="pct"/>
          <w:tblInd w:w="-5" w:type="dxa"/>
          <w:tblLook w:val="04A0"/>
        </w:tblPrEx>
        <w:tc>
          <w:tcPr>
            <w:tcW w:w="2634" w:type="dxa"/>
          </w:tcPr>
          <w:p w:rsidR="004F6C0E" w:rsidRPr="00990D3B" w:rsidP="00675F51" w14:paraId="6D682AC7" w14:textId="77777777">
            <w:pPr>
              <w:pStyle w:val="EQRTableText"/>
            </w:pPr>
            <w:r w:rsidRPr="00990D3B">
              <w:t>Institutional data</w:t>
            </w:r>
          </w:p>
        </w:tc>
        <w:tc>
          <w:tcPr>
            <w:tcW w:w="1573" w:type="dxa"/>
            <w:vAlign w:val="center"/>
          </w:tcPr>
          <w:p w:rsidR="004F6C0E" w:rsidRPr="00990D3B" w:rsidP="00675F51" w14:paraId="503E1339" w14:textId="77777777">
            <w:pPr>
              <w:pStyle w:val="EQRTableText"/>
            </w:pPr>
            <w:r w:rsidRPr="00990D3B">
              <w:t> </w:t>
            </w:r>
          </w:p>
        </w:tc>
        <w:tc>
          <w:tcPr>
            <w:tcW w:w="1658" w:type="dxa"/>
            <w:vAlign w:val="center"/>
          </w:tcPr>
          <w:p w:rsidR="004F6C0E" w:rsidRPr="00990D3B" w:rsidP="00675F51" w14:paraId="78744027" w14:textId="77777777">
            <w:pPr>
              <w:pStyle w:val="EQRTableText"/>
            </w:pPr>
            <w:r w:rsidRPr="00990D3B">
              <w:t> </w:t>
            </w:r>
          </w:p>
        </w:tc>
        <w:tc>
          <w:tcPr>
            <w:tcW w:w="1573" w:type="dxa"/>
            <w:vAlign w:val="center"/>
          </w:tcPr>
          <w:p w:rsidR="004F6C0E" w:rsidRPr="00990D3B" w:rsidP="00675F51" w14:paraId="1ECE1F31" w14:textId="77777777">
            <w:pPr>
              <w:pStyle w:val="EQRTableText"/>
            </w:pPr>
            <w:r w:rsidRPr="00990D3B">
              <w:t> </w:t>
            </w:r>
          </w:p>
        </w:tc>
        <w:tc>
          <w:tcPr>
            <w:tcW w:w="1912" w:type="dxa"/>
            <w:vAlign w:val="center"/>
          </w:tcPr>
          <w:p w:rsidR="004F6C0E" w:rsidRPr="00990D3B" w:rsidP="00675F51" w14:paraId="648F5A90" w14:textId="77777777">
            <w:pPr>
              <w:pStyle w:val="EQRTableText"/>
            </w:pPr>
            <w:r w:rsidRPr="00990D3B">
              <w:t> </w:t>
            </w:r>
          </w:p>
        </w:tc>
      </w:tr>
      <w:tr w14:paraId="6B64499E" w14:textId="77777777" w:rsidTr="00675F51">
        <w:tblPrEx>
          <w:tblW w:w="5000" w:type="pct"/>
          <w:tblInd w:w="-5" w:type="dxa"/>
          <w:tblLook w:val="04A0"/>
        </w:tblPrEx>
        <w:tc>
          <w:tcPr>
            <w:tcW w:w="2634" w:type="dxa"/>
          </w:tcPr>
          <w:p w:rsidR="004F6C0E" w:rsidRPr="00990D3B" w:rsidP="00675F51" w14:paraId="063843B1" w14:textId="6843C52F">
            <w:pPr>
              <w:pStyle w:val="EQRTableText"/>
            </w:pPr>
            <w:r w:rsidRPr="00990D3B">
              <w:t>Provider/</w:t>
            </w:r>
            <w:r w:rsidRPr="00990D3B" w:rsidR="00F56DAE">
              <w:t>p</w:t>
            </w:r>
            <w:r w:rsidRPr="00990D3B">
              <w:t>rovider group data</w:t>
            </w:r>
          </w:p>
        </w:tc>
        <w:tc>
          <w:tcPr>
            <w:tcW w:w="1573" w:type="dxa"/>
            <w:vAlign w:val="center"/>
          </w:tcPr>
          <w:p w:rsidR="004F6C0E" w:rsidRPr="00990D3B" w:rsidP="00675F51" w14:paraId="37899C3E" w14:textId="77777777">
            <w:pPr>
              <w:pStyle w:val="EQRTableText"/>
            </w:pPr>
            <w:r w:rsidRPr="00990D3B">
              <w:t> </w:t>
            </w:r>
          </w:p>
        </w:tc>
        <w:tc>
          <w:tcPr>
            <w:tcW w:w="1658" w:type="dxa"/>
            <w:vAlign w:val="center"/>
          </w:tcPr>
          <w:p w:rsidR="004F6C0E" w:rsidRPr="00990D3B" w:rsidP="00675F51" w14:paraId="353BC02E" w14:textId="77777777">
            <w:pPr>
              <w:pStyle w:val="EQRTableText"/>
            </w:pPr>
            <w:r w:rsidRPr="00990D3B">
              <w:t> </w:t>
            </w:r>
          </w:p>
        </w:tc>
        <w:tc>
          <w:tcPr>
            <w:tcW w:w="1573" w:type="dxa"/>
            <w:vAlign w:val="center"/>
          </w:tcPr>
          <w:p w:rsidR="004F6C0E" w:rsidRPr="00990D3B" w:rsidP="00675F51" w14:paraId="50486D64" w14:textId="77777777">
            <w:pPr>
              <w:pStyle w:val="EQRTableText"/>
            </w:pPr>
            <w:r w:rsidRPr="00990D3B">
              <w:t> </w:t>
            </w:r>
          </w:p>
        </w:tc>
        <w:tc>
          <w:tcPr>
            <w:tcW w:w="1912" w:type="dxa"/>
            <w:vAlign w:val="center"/>
          </w:tcPr>
          <w:p w:rsidR="004F6C0E" w:rsidRPr="00990D3B" w:rsidP="00675F51" w14:paraId="05997684" w14:textId="77777777">
            <w:pPr>
              <w:pStyle w:val="EQRTableText"/>
            </w:pPr>
            <w:r w:rsidRPr="00990D3B">
              <w:t> </w:t>
            </w:r>
          </w:p>
        </w:tc>
      </w:tr>
    </w:tbl>
    <w:p w:rsidR="004F6C0E" w:rsidRPr="00990D3B" w:rsidP="00FF7567" w14:paraId="01691DED" w14:textId="03ED7869">
      <w:pPr>
        <w:pStyle w:val="EQRnoteWS"/>
        <w:pBdr>
          <w:bottom w:val="dotted" w:sz="4" w:space="5" w:color="006981"/>
        </w:pBdr>
      </w:pPr>
      <w:r w:rsidRPr="00990D3B">
        <w:t>Note (Q</w:t>
      </w:r>
      <w:r w:rsidRPr="00990D3B" w:rsidR="00A1785E">
        <w:t xml:space="preserve"> 5.</w:t>
      </w:r>
      <w:r w:rsidRPr="00990D3B">
        <w:t xml:space="preserve">5): All diagnosis </w:t>
      </w:r>
      <w:r w:rsidRPr="00990D3B">
        <w:t>codes</w:t>
      </w:r>
      <w:r w:rsidRPr="00990D3B">
        <w:t xml:space="preserve"> types should be standard, nationally recognized codes, rather than plan-specific codes. Diagnosis code fields should include all diagnosis codes needed to identify the reason for the encounter, and all relevant comorbidities and complications should be included. Each service rendered or product dispensed should be identified with the appropriate identifier.</w:t>
      </w:r>
    </w:p>
    <w:p w:rsidR="004F6C0E" w:rsidRPr="00990D3B" w:rsidP="00034F5E" w14:paraId="38ADB363" w14:textId="3B69F296">
      <w:pPr>
        <w:pStyle w:val="H2EQRWorksheetlist2"/>
      </w:pPr>
      <w:r w:rsidRPr="00990D3B">
        <w:t>Can you distinguish between principal and secondary diagnoses?</w:t>
      </w:r>
    </w:p>
    <w:p w:rsidR="004F6C0E" w:rsidRPr="00990D3B" w:rsidP="00A1785E" w14:paraId="7AC7AFD5" w14:textId="77777777">
      <w:pPr>
        <w:pStyle w:val="EQRNormalSSWSquestion2"/>
        <w:ind w:left="648"/>
      </w:pPr>
      <w:r w:rsidRPr="00990D3B">
        <w:t>□ Yes</w:t>
      </w:r>
    </w:p>
    <w:p w:rsidR="004F6C0E" w:rsidRPr="00990D3B" w:rsidP="00A1785E" w14:paraId="59B185FF" w14:textId="77777777">
      <w:pPr>
        <w:pStyle w:val="EQRNormalSSWSquestion2"/>
        <w:ind w:left="648"/>
      </w:pPr>
      <w:r w:rsidRPr="00990D3B">
        <w:t>□ No</w:t>
      </w:r>
    </w:p>
    <w:p w:rsidR="004F6C0E" w:rsidRPr="00990D3B" w:rsidP="00372E00" w14:paraId="0A6E7F27" w14:textId="46946016">
      <w:pPr>
        <w:pStyle w:val="EQRnoteWS"/>
      </w:pPr>
      <w:r w:rsidRPr="00990D3B">
        <w:t>Note (Q</w:t>
      </w:r>
      <w:r w:rsidRPr="00990D3B" w:rsidR="00A1785E">
        <w:t xml:space="preserve"> 5.</w:t>
      </w:r>
      <w:r w:rsidRPr="00990D3B">
        <w:t xml:space="preserve">6): Some </w:t>
      </w:r>
      <w:r w:rsidRPr="00990D3B" w:rsidR="00946A03">
        <w:t xml:space="preserve">MCPs </w:t>
      </w:r>
      <w:r w:rsidRPr="00990D3B">
        <w:t xml:space="preserve">will consider the first diagnosis on the claim to be principal. Other </w:t>
      </w:r>
      <w:r w:rsidRPr="00990D3B" w:rsidR="00946A03">
        <w:t xml:space="preserve">MCPs </w:t>
      </w:r>
      <w:r w:rsidRPr="00990D3B">
        <w:t>determine the principal diagnosis by selecting the most expensive condition represented.</w:t>
      </w:r>
    </w:p>
    <w:p w:rsidR="004F6C0E" w:rsidRPr="00990D3B" w:rsidP="002066F7" w14:paraId="4C10A3C7" w14:textId="3E93BA0A">
      <w:pPr>
        <w:pStyle w:val="H2EQRWorksheetlist3"/>
        <w:ind w:left="1339" w:hanging="187"/>
      </w:pPr>
      <w:r w:rsidRPr="00990D3B">
        <w:t>If “Yes” to 6, above, how do you distinguish between principal and secondary diagnoses?</w:t>
      </w:r>
    </w:p>
    <w:p w:rsidR="004F6C0E" w:rsidRPr="00990D3B" w:rsidP="00034F5E" w14:paraId="3567F45E" w14:textId="01BCF30F">
      <w:pPr>
        <w:pStyle w:val="H2EQRWorksheetlist2"/>
      </w:pPr>
      <w:r w:rsidRPr="00990D3B">
        <w:t xml:space="preserve">Please explain what happens if a Medicaid or CHIP claim or encounter is submitted and one or more required fields are missing, incomplete, or invalid. For example, if diagnosis is not coded, is the claims examiner required by the system to use an on-line software product like </w:t>
      </w:r>
      <w:r w:rsidRPr="00990D3B">
        <w:t>AutoCoder</w:t>
      </w:r>
      <w:r w:rsidRPr="00990D3B">
        <w:t xml:space="preserve"> to determine the correct ICD-10 code?</w:t>
      </w:r>
    </w:p>
    <w:p w:rsidR="004F6C0E" w:rsidRPr="00990D3B" w:rsidP="00034F5E" w14:paraId="70168347" w14:textId="12CC4FCA">
      <w:pPr>
        <w:pStyle w:val="EQRNormalSSWSquestion3YN"/>
      </w:pPr>
      <w:r w:rsidRPr="00990D3B">
        <w:t xml:space="preserve">Institutional </w:t>
      </w:r>
      <w:r w:rsidRPr="00990D3B" w:rsidR="00946A03">
        <w:t>data</w:t>
      </w:r>
      <w:r w:rsidRPr="00990D3B">
        <w:t xml:space="preserve">: </w:t>
      </w:r>
    </w:p>
    <w:p w:rsidR="004F6C0E" w:rsidRPr="00990D3B" w:rsidP="00034F5E" w14:paraId="2AB71F6C" w14:textId="431DBEE4">
      <w:pPr>
        <w:pStyle w:val="EQRNormalSSWSquestion3YN"/>
      </w:pPr>
      <w:r w:rsidRPr="00990D3B">
        <w:t xml:space="preserve">Professional </w:t>
      </w:r>
      <w:r w:rsidRPr="00990D3B" w:rsidR="00946A03">
        <w:t>data</w:t>
      </w:r>
      <w:r w:rsidRPr="00990D3B">
        <w:t xml:space="preserve">: </w:t>
      </w:r>
    </w:p>
    <w:p w:rsidR="004F6C0E" w:rsidRPr="00990D3B" w:rsidP="00034F5E" w14:paraId="204BCA33" w14:textId="5BE9D92B">
      <w:pPr>
        <w:pStyle w:val="H2EQRWorksheetlist2"/>
      </w:pPr>
      <w:r w:rsidRPr="00990D3B">
        <w:t xml:space="preserve">How is the MCP able to distinguish backend-system-assigned data versus data submitted by the service provider? </w:t>
      </w:r>
    </w:p>
    <w:p w:rsidR="004F6C0E" w:rsidRPr="00990D3B" w:rsidP="00034F5E" w14:paraId="7C1ECA4A" w14:textId="35981BD1">
      <w:pPr>
        <w:pStyle w:val="H2EQRWorksheetlist2"/>
      </w:pPr>
      <w:r w:rsidRPr="00990D3B">
        <w:t xml:space="preserve">What steps do you take to verify the accuracy of submitted information (e.g., procedure code, diagnosis edits, </w:t>
      </w:r>
      <w:r w:rsidRPr="00990D3B" w:rsidR="00A27E6A">
        <w:t xml:space="preserve">sex-specific </w:t>
      </w:r>
      <w:r w:rsidRPr="00990D3B">
        <w:t xml:space="preserve">diagnosis edits, </w:t>
      </w:r>
      <w:r w:rsidRPr="00990D3B" w:rsidR="00A27E6A">
        <w:t>sex</w:t>
      </w:r>
      <w:r w:rsidRPr="00990D3B">
        <w:t>-</w:t>
      </w:r>
      <w:r w:rsidRPr="00990D3B" w:rsidR="00A27E6A">
        <w:t xml:space="preserve">specific </w:t>
      </w:r>
      <w:r w:rsidRPr="00990D3B">
        <w:t>procedure code edits)?</w:t>
      </w:r>
    </w:p>
    <w:p w:rsidR="004F6C0E" w:rsidRPr="00990D3B" w:rsidP="00034F5E" w14:paraId="444380E1" w14:textId="673107BE">
      <w:pPr>
        <w:pStyle w:val="EQRNormalSSWSquestion3YN"/>
      </w:pPr>
      <w:r w:rsidRPr="00990D3B">
        <w:t xml:space="preserve">Institutional </w:t>
      </w:r>
      <w:r w:rsidRPr="00990D3B" w:rsidR="00946A03">
        <w:t>d</w:t>
      </w:r>
      <w:r w:rsidRPr="00990D3B">
        <w:t xml:space="preserve">ata: </w:t>
      </w:r>
    </w:p>
    <w:p w:rsidR="004F6C0E" w:rsidRPr="00990D3B" w:rsidP="00034F5E" w14:paraId="513BC1A5" w14:textId="5F02F8D6">
      <w:pPr>
        <w:pStyle w:val="EQRNormalSSWSquestion3YN"/>
      </w:pPr>
      <w:r w:rsidRPr="00990D3B">
        <w:t xml:space="preserve">Professional </w:t>
      </w:r>
      <w:r w:rsidRPr="00990D3B" w:rsidR="00946A03">
        <w:t>d</w:t>
      </w:r>
      <w:r w:rsidRPr="00990D3B">
        <w:t xml:space="preserve">ata: </w:t>
      </w:r>
    </w:p>
    <w:p w:rsidR="004F6C0E" w:rsidRPr="00990D3B" w:rsidP="00372E00" w14:paraId="7C80C828" w14:textId="717052F2">
      <w:pPr>
        <w:pStyle w:val="EQRnoteWS"/>
      </w:pPr>
      <w:r w:rsidRPr="00990D3B">
        <w:t>Note (Q</w:t>
      </w:r>
      <w:r w:rsidRPr="00990D3B" w:rsidR="00A1785E">
        <w:t xml:space="preserve"> 5.</w:t>
      </w:r>
      <w:r w:rsidRPr="00990D3B">
        <w:t xml:space="preserve">9): </w:t>
      </w:r>
      <w:r w:rsidRPr="00990D3B" w:rsidR="00946A03">
        <w:t xml:space="preserve">MCPs </w:t>
      </w:r>
      <w:r w:rsidRPr="00990D3B">
        <w:t xml:space="preserve">will often verify that the information in procedure code and diagnosis code fields are valid codes. </w:t>
      </w:r>
      <w:r w:rsidRPr="00990D3B" w:rsidR="00946A03">
        <w:t xml:space="preserve">MCPs </w:t>
      </w:r>
      <w:r w:rsidRPr="00990D3B">
        <w:t xml:space="preserve">may also verify that diagnosis and procedure codes are appropriate for age and </w:t>
      </w:r>
      <w:r w:rsidRPr="00990D3B" w:rsidR="00A27E6A">
        <w:t>sex</w:t>
      </w:r>
      <w:r w:rsidRPr="00990D3B">
        <w:t>. For example, a claim with a procedure of hysterectomy should be for a female patient.</w:t>
      </w:r>
    </w:p>
    <w:p w:rsidR="004F6C0E" w:rsidRPr="00990D3B" w:rsidP="00034F5E" w14:paraId="738B91FA" w14:textId="5BFAC08F">
      <w:pPr>
        <w:pStyle w:val="H2EQRWorksheetlist2"/>
      </w:pPr>
      <w:r w:rsidRPr="00990D3B">
        <w:t>Under what circumstances can claims processors change Medicaid or CHIP claims/encounter information?</w:t>
      </w:r>
    </w:p>
    <w:p w:rsidR="004F6C0E" w:rsidRPr="00990D3B" w:rsidP="00372E00" w14:paraId="4C6C0FF1" w14:textId="28A1833C">
      <w:pPr>
        <w:pStyle w:val="EQRnoteWS"/>
      </w:pPr>
      <w:r w:rsidRPr="00990D3B">
        <w:t>Note (Q</w:t>
      </w:r>
      <w:r w:rsidRPr="00990D3B" w:rsidR="00A1785E">
        <w:t xml:space="preserve"> 5.</w:t>
      </w:r>
      <w:r w:rsidRPr="00990D3B">
        <w:t>10): If processors are given the ability to modify claims/encounter information, the accuracy of that information could be affected either negatively or positively. Processors may simply correct data that was submitted incorrectly, which would increase the quality of the data. However, processors may also change diagnosis and procedure codes which could result in a loss of coding specificity. Does the plan check processed data against paper claims?</w:t>
      </w:r>
    </w:p>
    <w:p w:rsidR="004F6C0E" w:rsidRPr="00990D3B" w:rsidP="00BA1E32" w14:paraId="68AC6E95" w14:textId="40C07104">
      <w:pPr>
        <w:pStyle w:val="H2EQRWorksheetlist2"/>
      </w:pPr>
      <w:r w:rsidRPr="00990D3B">
        <w:t xml:space="preserve">Identify any instance where the content of a field is intentionally different from the description or intended use of the field. For example, if the dependent’s SSN is unknown, do you enter the </w:t>
      </w:r>
      <w:r w:rsidRPr="00990D3B" w:rsidR="002F4DD4">
        <w:t>enrollee</w:t>
      </w:r>
      <w:r w:rsidRPr="00990D3B">
        <w:t>’s SSN instead?</w:t>
      </w:r>
    </w:p>
    <w:p w:rsidR="004F6C0E" w:rsidRPr="00990D3B" w:rsidP="00372E00" w14:paraId="3A1B48C2" w14:textId="2E972CEB">
      <w:pPr>
        <w:pStyle w:val="EQRnoteWS"/>
      </w:pPr>
      <w:r w:rsidRPr="00990D3B">
        <w:t>Note (Q</w:t>
      </w:r>
      <w:r w:rsidRPr="00990D3B" w:rsidR="00A1785E">
        <w:t xml:space="preserve"> 5.</w:t>
      </w:r>
      <w:r w:rsidRPr="00990D3B">
        <w:t xml:space="preserve">11): Changing the content of a field can create data processing issues. For example, if the enrollee’s SSN is used as an ID for </w:t>
      </w:r>
      <w:r w:rsidRPr="00990D3B">
        <w:t>a number of</w:t>
      </w:r>
      <w:r w:rsidRPr="00990D3B">
        <w:t xml:space="preserve"> dependents, the claim may be given the age and sex of the </w:t>
      </w:r>
      <w:r w:rsidRPr="00990D3B" w:rsidR="002F4DD4">
        <w:t>enrollee</w:t>
      </w:r>
      <w:r w:rsidRPr="00990D3B">
        <w:t xml:space="preserve"> rather than the actual patient. The use of the enrollee’s SSN would make it difficult to track the dependent’s experience over time.</w:t>
      </w:r>
    </w:p>
    <w:p w:rsidR="004F6C0E" w:rsidRPr="00990D3B" w:rsidP="00BA1E32" w14:paraId="43C31344" w14:textId="0A4C9039">
      <w:pPr>
        <w:pStyle w:val="H2EQRWorksheetlist2"/>
        <w:rPr>
          <w:rStyle w:val="QUESTIONTEXTChar"/>
          <w:rFonts w:eastAsia="Calibri" w:cs="Times New Roman"/>
          <w:b w:val="0"/>
        </w:rPr>
      </w:pPr>
      <w:r w:rsidRPr="00990D3B">
        <w:rPr>
          <w:rStyle w:val="QUESTIONTEXTChar"/>
          <w:rFonts w:eastAsia="Calibri" w:cs="Times New Roman"/>
          <w:b w:val="0"/>
        </w:rPr>
        <w:t xml:space="preserve">How are </w:t>
      </w:r>
      <w:r w:rsidRPr="00990D3B">
        <w:t>Medicaid</w:t>
      </w:r>
      <w:r w:rsidRPr="00990D3B">
        <w:rPr>
          <w:rStyle w:val="QUESTIONTEXTChar"/>
          <w:rFonts w:eastAsia="Calibri" w:cs="Times New Roman"/>
          <w:b w:val="0"/>
        </w:rPr>
        <w:t xml:space="preserve"> or CHIP claims/encounters received from each of the following sources? Please mark one column per source</w:t>
      </w:r>
      <w:r w:rsidRPr="00990D3B" w:rsidR="00946A03">
        <w:rPr>
          <w:rStyle w:val="QUESTIONTEXTChar"/>
          <w:rFonts w:eastAsia="Calibri" w:cs="Times New Roman"/>
          <w:b w:val="0"/>
        </w:rPr>
        <w:t>.</w:t>
      </w:r>
    </w:p>
    <w:tbl>
      <w:tblPr>
        <w:tblStyle w:val="TableGrid"/>
        <w:tblW w:w="5000" w:type="pct"/>
        <w:tblLook w:val="04A0"/>
      </w:tblPr>
      <w:tblGrid>
        <w:gridCol w:w="2452"/>
        <w:gridCol w:w="3542"/>
        <w:gridCol w:w="3356"/>
      </w:tblGrid>
      <w:tr w14:paraId="5D98B4A9" w14:textId="77777777" w:rsidTr="00372E00">
        <w:tblPrEx>
          <w:tblW w:w="5000" w:type="pct"/>
          <w:tblLook w:val="04A0"/>
        </w:tblPrEx>
        <w:trPr>
          <w:tblHeader/>
        </w:trPr>
        <w:tc>
          <w:tcPr>
            <w:tcW w:w="2170" w:type="dxa"/>
            <w:vAlign w:val="bottom"/>
          </w:tcPr>
          <w:p w:rsidR="004F6C0E" w:rsidRPr="00990D3B" w:rsidP="00975CDC" w14:paraId="2DC6FAE9" w14:textId="77777777">
            <w:pPr>
              <w:pStyle w:val="EQRTableHeaderLeft"/>
              <w:rPr>
                <w:color w:val="auto"/>
              </w:rPr>
            </w:pPr>
            <w:r w:rsidRPr="00990D3B">
              <w:rPr>
                <w:color w:val="auto"/>
              </w:rPr>
              <w:t>Source</w:t>
            </w:r>
          </w:p>
        </w:tc>
        <w:tc>
          <w:tcPr>
            <w:tcW w:w="3135" w:type="dxa"/>
            <w:vAlign w:val="bottom"/>
          </w:tcPr>
          <w:p w:rsidR="004F6C0E" w:rsidRPr="00990D3B" w:rsidP="00975CDC" w14:paraId="45948301" w14:textId="77777777">
            <w:pPr>
              <w:pStyle w:val="EQRTableHeaderCenter"/>
              <w:rPr>
                <w:color w:val="auto"/>
              </w:rPr>
            </w:pPr>
            <w:r w:rsidRPr="00990D3B">
              <w:rPr>
                <w:color w:val="auto"/>
              </w:rPr>
              <w:t>Received directly from provider</w:t>
            </w:r>
          </w:p>
        </w:tc>
        <w:tc>
          <w:tcPr>
            <w:tcW w:w="2970" w:type="dxa"/>
            <w:vAlign w:val="bottom"/>
          </w:tcPr>
          <w:p w:rsidR="004F6C0E" w:rsidRPr="00990D3B" w:rsidP="00975CDC" w14:paraId="6D728657" w14:textId="77777777">
            <w:pPr>
              <w:pStyle w:val="EQRTableHeaderCenter"/>
              <w:rPr>
                <w:color w:val="auto"/>
              </w:rPr>
            </w:pPr>
            <w:r w:rsidRPr="00990D3B">
              <w:rPr>
                <w:color w:val="auto"/>
              </w:rPr>
              <w:t>Received through an intermediary</w:t>
            </w:r>
          </w:p>
        </w:tc>
      </w:tr>
      <w:tr w14:paraId="323FA266" w14:textId="77777777" w:rsidTr="000515A1">
        <w:tblPrEx>
          <w:tblW w:w="5000" w:type="pct"/>
          <w:tblLook w:val="04A0"/>
        </w:tblPrEx>
        <w:tc>
          <w:tcPr>
            <w:tcW w:w="2170" w:type="dxa"/>
            <w:vAlign w:val="center"/>
          </w:tcPr>
          <w:p w:rsidR="004F6C0E" w:rsidRPr="00990D3B" w:rsidP="000515A1" w14:paraId="46579761" w14:textId="77777777">
            <w:pPr>
              <w:pStyle w:val="EQRTableText"/>
            </w:pPr>
            <w:r w:rsidRPr="00990D3B">
              <w:t>Hospital</w:t>
            </w:r>
          </w:p>
        </w:tc>
        <w:tc>
          <w:tcPr>
            <w:tcW w:w="3135" w:type="dxa"/>
            <w:vAlign w:val="center"/>
          </w:tcPr>
          <w:p w:rsidR="004F6C0E" w:rsidRPr="00990D3B" w:rsidP="000515A1" w14:paraId="295731DE" w14:textId="77777777">
            <w:pPr>
              <w:pStyle w:val="EQRTableText"/>
            </w:pPr>
            <w:r w:rsidRPr="00990D3B">
              <w:t> </w:t>
            </w:r>
          </w:p>
        </w:tc>
        <w:tc>
          <w:tcPr>
            <w:tcW w:w="2970" w:type="dxa"/>
            <w:vAlign w:val="center"/>
          </w:tcPr>
          <w:p w:rsidR="004F6C0E" w:rsidRPr="00990D3B" w:rsidP="000515A1" w14:paraId="1120CC05" w14:textId="77777777">
            <w:pPr>
              <w:pStyle w:val="EQRTableText"/>
            </w:pPr>
            <w:r w:rsidRPr="00990D3B">
              <w:t> </w:t>
            </w:r>
          </w:p>
        </w:tc>
      </w:tr>
      <w:tr w14:paraId="69F5FF18" w14:textId="77777777" w:rsidTr="000515A1">
        <w:tblPrEx>
          <w:tblW w:w="5000" w:type="pct"/>
          <w:tblLook w:val="04A0"/>
        </w:tblPrEx>
        <w:tc>
          <w:tcPr>
            <w:tcW w:w="2170" w:type="dxa"/>
            <w:vAlign w:val="center"/>
          </w:tcPr>
          <w:p w:rsidR="004F6C0E" w:rsidRPr="00990D3B" w:rsidP="000515A1" w14:paraId="4E4600F0" w14:textId="77777777">
            <w:pPr>
              <w:pStyle w:val="EQRTableText"/>
            </w:pPr>
            <w:r w:rsidRPr="00990D3B">
              <w:t>Physician</w:t>
            </w:r>
          </w:p>
        </w:tc>
        <w:tc>
          <w:tcPr>
            <w:tcW w:w="3135" w:type="dxa"/>
            <w:vAlign w:val="center"/>
          </w:tcPr>
          <w:p w:rsidR="004F6C0E" w:rsidRPr="00990D3B" w:rsidP="000515A1" w14:paraId="6E9EE7E1" w14:textId="77777777">
            <w:pPr>
              <w:pStyle w:val="EQRTableText"/>
            </w:pPr>
            <w:r w:rsidRPr="00990D3B">
              <w:t> </w:t>
            </w:r>
          </w:p>
        </w:tc>
        <w:tc>
          <w:tcPr>
            <w:tcW w:w="2970" w:type="dxa"/>
            <w:vAlign w:val="center"/>
          </w:tcPr>
          <w:p w:rsidR="004F6C0E" w:rsidRPr="00990D3B" w:rsidP="000515A1" w14:paraId="613283C5" w14:textId="77777777">
            <w:pPr>
              <w:pStyle w:val="EQRTableText"/>
            </w:pPr>
            <w:r w:rsidRPr="00990D3B">
              <w:t> </w:t>
            </w:r>
          </w:p>
        </w:tc>
      </w:tr>
      <w:tr w14:paraId="5A27E868" w14:textId="77777777" w:rsidTr="000515A1">
        <w:tblPrEx>
          <w:tblW w:w="5000" w:type="pct"/>
          <w:tblLook w:val="04A0"/>
        </w:tblPrEx>
        <w:tc>
          <w:tcPr>
            <w:tcW w:w="2170" w:type="dxa"/>
            <w:vAlign w:val="center"/>
          </w:tcPr>
          <w:p w:rsidR="004F6C0E" w:rsidRPr="00990D3B" w:rsidP="000515A1" w14:paraId="1D483674" w14:textId="77777777">
            <w:pPr>
              <w:pStyle w:val="EQRTableText"/>
            </w:pPr>
            <w:r w:rsidRPr="00990D3B">
              <w:t>Pharmacy</w:t>
            </w:r>
          </w:p>
        </w:tc>
        <w:tc>
          <w:tcPr>
            <w:tcW w:w="3135" w:type="dxa"/>
            <w:vAlign w:val="center"/>
          </w:tcPr>
          <w:p w:rsidR="004F6C0E" w:rsidRPr="00990D3B" w:rsidP="000515A1" w14:paraId="765DC7D8" w14:textId="77777777">
            <w:pPr>
              <w:pStyle w:val="EQRTableText"/>
            </w:pPr>
            <w:r w:rsidRPr="00990D3B">
              <w:t> </w:t>
            </w:r>
          </w:p>
        </w:tc>
        <w:tc>
          <w:tcPr>
            <w:tcW w:w="2970" w:type="dxa"/>
            <w:vAlign w:val="center"/>
          </w:tcPr>
          <w:p w:rsidR="004F6C0E" w:rsidRPr="00990D3B" w:rsidP="000515A1" w14:paraId="06C8A328" w14:textId="77777777">
            <w:pPr>
              <w:pStyle w:val="EQRTableText"/>
            </w:pPr>
            <w:r w:rsidRPr="00990D3B">
              <w:t> </w:t>
            </w:r>
          </w:p>
        </w:tc>
      </w:tr>
      <w:tr w14:paraId="65E29C60" w14:textId="77777777" w:rsidTr="000515A1">
        <w:tblPrEx>
          <w:tblW w:w="5000" w:type="pct"/>
          <w:tblLook w:val="04A0"/>
        </w:tblPrEx>
        <w:tc>
          <w:tcPr>
            <w:tcW w:w="2170" w:type="dxa"/>
            <w:vAlign w:val="center"/>
          </w:tcPr>
          <w:p w:rsidR="004F6C0E" w:rsidRPr="00990D3B" w:rsidP="000515A1" w14:paraId="480BC46F" w14:textId="77777777">
            <w:pPr>
              <w:pStyle w:val="EQRTableText"/>
            </w:pPr>
            <w:r w:rsidRPr="00990D3B">
              <w:t>Nursing home</w:t>
            </w:r>
          </w:p>
        </w:tc>
        <w:tc>
          <w:tcPr>
            <w:tcW w:w="3135" w:type="dxa"/>
            <w:vAlign w:val="center"/>
          </w:tcPr>
          <w:p w:rsidR="004F6C0E" w:rsidRPr="00990D3B" w:rsidP="000515A1" w14:paraId="067BAA53" w14:textId="77777777">
            <w:pPr>
              <w:pStyle w:val="EQRTableText"/>
            </w:pPr>
            <w:r w:rsidRPr="00990D3B">
              <w:t> </w:t>
            </w:r>
          </w:p>
        </w:tc>
        <w:tc>
          <w:tcPr>
            <w:tcW w:w="2970" w:type="dxa"/>
            <w:vAlign w:val="center"/>
          </w:tcPr>
          <w:p w:rsidR="004F6C0E" w:rsidRPr="00990D3B" w:rsidP="000515A1" w14:paraId="5141D704" w14:textId="77777777">
            <w:pPr>
              <w:pStyle w:val="EQRTableText"/>
            </w:pPr>
            <w:r w:rsidRPr="00990D3B">
              <w:t> </w:t>
            </w:r>
          </w:p>
        </w:tc>
      </w:tr>
      <w:tr w14:paraId="4A88D04D" w14:textId="77777777" w:rsidTr="000515A1">
        <w:tblPrEx>
          <w:tblW w:w="5000" w:type="pct"/>
          <w:tblLook w:val="04A0"/>
        </w:tblPrEx>
        <w:tc>
          <w:tcPr>
            <w:tcW w:w="2170" w:type="dxa"/>
            <w:vAlign w:val="center"/>
          </w:tcPr>
          <w:p w:rsidR="004F6C0E" w:rsidRPr="00990D3B" w:rsidP="000515A1" w14:paraId="41960C9B" w14:textId="77777777">
            <w:pPr>
              <w:pStyle w:val="EQRTableText"/>
            </w:pPr>
            <w:r w:rsidRPr="00990D3B">
              <w:t>Home health</w:t>
            </w:r>
          </w:p>
        </w:tc>
        <w:tc>
          <w:tcPr>
            <w:tcW w:w="3135" w:type="dxa"/>
            <w:vAlign w:val="center"/>
          </w:tcPr>
          <w:p w:rsidR="004F6C0E" w:rsidRPr="00990D3B" w:rsidP="000515A1" w14:paraId="346E6835" w14:textId="77777777">
            <w:pPr>
              <w:pStyle w:val="EQRTableText"/>
            </w:pPr>
            <w:r w:rsidRPr="00990D3B">
              <w:t> </w:t>
            </w:r>
          </w:p>
        </w:tc>
        <w:tc>
          <w:tcPr>
            <w:tcW w:w="2970" w:type="dxa"/>
            <w:vAlign w:val="center"/>
          </w:tcPr>
          <w:p w:rsidR="004F6C0E" w:rsidRPr="00990D3B" w:rsidP="000515A1" w14:paraId="0AA08130" w14:textId="77777777">
            <w:pPr>
              <w:pStyle w:val="EQRTableText"/>
            </w:pPr>
            <w:r w:rsidRPr="00990D3B">
              <w:t> </w:t>
            </w:r>
          </w:p>
        </w:tc>
      </w:tr>
      <w:tr w14:paraId="1AE42B75" w14:textId="77777777" w:rsidTr="000515A1">
        <w:tblPrEx>
          <w:tblW w:w="5000" w:type="pct"/>
          <w:tblLook w:val="04A0"/>
        </w:tblPrEx>
        <w:tc>
          <w:tcPr>
            <w:tcW w:w="2170" w:type="dxa"/>
            <w:vAlign w:val="center"/>
          </w:tcPr>
          <w:p w:rsidR="004F6C0E" w:rsidRPr="00990D3B" w:rsidP="000515A1" w14:paraId="7DABE6D8" w14:textId="77777777">
            <w:pPr>
              <w:pStyle w:val="EQRTableText"/>
            </w:pPr>
            <w:r w:rsidRPr="00990D3B">
              <w:t>Mental health</w:t>
            </w:r>
          </w:p>
        </w:tc>
        <w:tc>
          <w:tcPr>
            <w:tcW w:w="3135" w:type="dxa"/>
            <w:vAlign w:val="center"/>
          </w:tcPr>
          <w:p w:rsidR="004F6C0E" w:rsidRPr="00990D3B" w:rsidP="000515A1" w14:paraId="46C3FA9C" w14:textId="77777777">
            <w:pPr>
              <w:pStyle w:val="EQRTableText"/>
            </w:pPr>
            <w:r w:rsidRPr="00990D3B">
              <w:t> </w:t>
            </w:r>
          </w:p>
        </w:tc>
        <w:tc>
          <w:tcPr>
            <w:tcW w:w="2970" w:type="dxa"/>
            <w:vAlign w:val="center"/>
          </w:tcPr>
          <w:p w:rsidR="004F6C0E" w:rsidRPr="00990D3B" w:rsidP="000515A1" w14:paraId="6771FC2D" w14:textId="77777777">
            <w:pPr>
              <w:pStyle w:val="EQRTableText"/>
            </w:pPr>
            <w:r w:rsidRPr="00990D3B">
              <w:t> </w:t>
            </w:r>
          </w:p>
        </w:tc>
      </w:tr>
      <w:tr w14:paraId="0016C4AF" w14:textId="77777777" w:rsidTr="000515A1">
        <w:tblPrEx>
          <w:tblW w:w="5000" w:type="pct"/>
          <w:tblLook w:val="04A0"/>
        </w:tblPrEx>
        <w:tc>
          <w:tcPr>
            <w:tcW w:w="2170" w:type="dxa"/>
            <w:vAlign w:val="center"/>
          </w:tcPr>
          <w:p w:rsidR="004F6C0E" w:rsidRPr="00990D3B" w:rsidP="000515A1" w14:paraId="3E63EA91" w14:textId="77777777">
            <w:pPr>
              <w:pStyle w:val="EQRTableText"/>
            </w:pPr>
            <w:r w:rsidRPr="00990D3B">
              <w:t>Dental</w:t>
            </w:r>
          </w:p>
        </w:tc>
        <w:tc>
          <w:tcPr>
            <w:tcW w:w="3135" w:type="dxa"/>
            <w:vAlign w:val="center"/>
          </w:tcPr>
          <w:p w:rsidR="004F6C0E" w:rsidRPr="00990D3B" w:rsidP="000515A1" w14:paraId="1A2A85F5" w14:textId="77777777">
            <w:pPr>
              <w:pStyle w:val="EQRTableText"/>
            </w:pPr>
            <w:r w:rsidRPr="00990D3B">
              <w:t> </w:t>
            </w:r>
          </w:p>
        </w:tc>
        <w:tc>
          <w:tcPr>
            <w:tcW w:w="2970" w:type="dxa"/>
            <w:vAlign w:val="center"/>
          </w:tcPr>
          <w:p w:rsidR="004F6C0E" w:rsidRPr="00990D3B" w:rsidP="000515A1" w14:paraId="6C61D434" w14:textId="77777777">
            <w:pPr>
              <w:pStyle w:val="EQRTableText"/>
            </w:pPr>
            <w:r w:rsidRPr="00990D3B">
              <w:t> </w:t>
            </w:r>
          </w:p>
        </w:tc>
      </w:tr>
      <w:tr w14:paraId="77FCF969" w14:textId="77777777" w:rsidTr="000515A1">
        <w:tblPrEx>
          <w:tblW w:w="5000" w:type="pct"/>
          <w:tblLook w:val="04A0"/>
        </w:tblPrEx>
        <w:tc>
          <w:tcPr>
            <w:tcW w:w="2170" w:type="dxa"/>
            <w:vAlign w:val="center"/>
          </w:tcPr>
          <w:p w:rsidR="004F6C0E" w:rsidRPr="00990D3B" w:rsidP="000515A1" w14:paraId="04840F5F" w14:textId="77777777">
            <w:pPr>
              <w:pStyle w:val="EQRTableText"/>
            </w:pPr>
            <w:r w:rsidRPr="00990D3B">
              <w:t>Other</w:t>
            </w:r>
          </w:p>
        </w:tc>
        <w:tc>
          <w:tcPr>
            <w:tcW w:w="3135" w:type="dxa"/>
            <w:vAlign w:val="center"/>
          </w:tcPr>
          <w:p w:rsidR="004F6C0E" w:rsidRPr="00990D3B" w:rsidP="000515A1" w14:paraId="594E5FEA" w14:textId="77777777">
            <w:pPr>
              <w:pStyle w:val="EQRTableText"/>
            </w:pPr>
            <w:r w:rsidRPr="00990D3B">
              <w:t> </w:t>
            </w:r>
          </w:p>
        </w:tc>
        <w:tc>
          <w:tcPr>
            <w:tcW w:w="2970" w:type="dxa"/>
            <w:vAlign w:val="center"/>
          </w:tcPr>
          <w:p w:rsidR="004F6C0E" w:rsidRPr="00990D3B" w:rsidP="000515A1" w14:paraId="2EC2888B" w14:textId="77777777">
            <w:pPr>
              <w:pStyle w:val="EQRTableText"/>
            </w:pPr>
            <w:r w:rsidRPr="00990D3B">
              <w:t> </w:t>
            </w:r>
          </w:p>
        </w:tc>
      </w:tr>
    </w:tbl>
    <w:p w:rsidR="004F6C0E" w:rsidRPr="00990D3B" w:rsidP="002066F7" w14:paraId="3EF924D6" w14:textId="44E349CC">
      <w:pPr>
        <w:pStyle w:val="H2EQRWorksheetlist3"/>
        <w:ind w:left="1339" w:hanging="187"/>
      </w:pPr>
      <w:r w:rsidRPr="00990D3B">
        <w:t xml:space="preserve">If the data are received through an intermediary, what changes, if any, are made to the data? Please </w:t>
      </w:r>
      <w:r w:rsidRPr="00990D3B">
        <w:t>answer for</w:t>
      </w:r>
      <w:r w:rsidRPr="00990D3B">
        <w:t xml:space="preserve"> each source received through an intermediary </w:t>
      </w:r>
      <w:r w:rsidRPr="00990D3B">
        <w:t>in</w:t>
      </w:r>
      <w:r w:rsidRPr="00990D3B">
        <w:t xml:space="preserve"> the table above.</w:t>
      </w:r>
    </w:p>
    <w:p w:rsidR="004F6C0E" w:rsidRPr="00990D3B" w:rsidP="00372E00" w14:paraId="7706EA99" w14:textId="44C0C49A">
      <w:pPr>
        <w:pStyle w:val="EQRnoteWS"/>
      </w:pPr>
      <w:r w:rsidRPr="00990D3B">
        <w:t>Note (Q</w:t>
      </w:r>
      <w:r w:rsidRPr="00990D3B" w:rsidR="00A1785E">
        <w:t xml:space="preserve"> 5.</w:t>
      </w:r>
      <w:r w:rsidRPr="00990D3B">
        <w:t xml:space="preserve">12): Intermediaries that are processing the data, such as a pharmacy benefit firm, could modify the data, creating a data set that is inconsistent with the </w:t>
      </w:r>
      <w:r w:rsidRPr="00990D3B" w:rsidR="00946A03">
        <w:t xml:space="preserve">MCP’s </w:t>
      </w:r>
      <w:r w:rsidRPr="00990D3B">
        <w:t xml:space="preserve">data. The intermediary may define field content differently or may not be using the same fields as the plan, making it difficult to integrate the intermediary’s data into the plan’s systems. All data submitted through an intermediary should be monitored for quality by the </w:t>
      </w:r>
      <w:r w:rsidRPr="00990D3B" w:rsidR="00946A03">
        <w:t>MCP</w:t>
      </w:r>
      <w:r w:rsidRPr="00990D3B">
        <w:t>.</w:t>
      </w:r>
    </w:p>
    <w:p w:rsidR="004F6C0E" w:rsidRPr="00990D3B" w:rsidP="00BA1E32" w14:paraId="5F62ED03" w14:textId="66284F88">
      <w:pPr>
        <w:pStyle w:val="H2EQRWorksheetlist2"/>
      </w:pPr>
      <w:r w:rsidRPr="00990D3B">
        <w:t>In the following table, please estimate the percentage of Medicaid or CHIP claims/encounters that are coded using the following coding schemes</w:t>
      </w:r>
      <w:r w:rsidRPr="00990D3B" w:rsidR="00946A03">
        <w:t>.</w:t>
      </w:r>
    </w:p>
    <w:tbl>
      <w:tblPr>
        <w:tblStyle w:val="TableGrid"/>
        <w:tblW w:w="5000" w:type="pct"/>
        <w:tblLayout w:type="fixed"/>
        <w:tblLook w:val="04A0"/>
      </w:tblPr>
      <w:tblGrid>
        <w:gridCol w:w="1795"/>
        <w:gridCol w:w="1350"/>
        <w:gridCol w:w="1440"/>
        <w:gridCol w:w="2070"/>
        <w:gridCol w:w="1717"/>
        <w:gridCol w:w="978"/>
      </w:tblGrid>
      <w:tr w14:paraId="5140E491" w14:textId="77777777" w:rsidTr="00FD12B7">
        <w:tblPrEx>
          <w:tblW w:w="5000" w:type="pct"/>
          <w:tblLayout w:type="fixed"/>
          <w:tblLook w:val="04A0"/>
        </w:tblPrEx>
        <w:trPr>
          <w:tblHeader/>
        </w:trPr>
        <w:tc>
          <w:tcPr>
            <w:tcW w:w="1795" w:type="dxa"/>
            <w:vAlign w:val="bottom"/>
          </w:tcPr>
          <w:p w:rsidR="004F6C0E" w:rsidRPr="00990D3B" w:rsidP="00975CDC" w14:paraId="712B68A0" w14:textId="02AADCA3">
            <w:pPr>
              <w:pStyle w:val="EQRTableHeaderLeft"/>
              <w:rPr>
                <w:color w:val="auto"/>
              </w:rPr>
            </w:pPr>
            <w:r w:rsidRPr="00990D3B">
              <w:rPr>
                <w:color w:val="auto"/>
              </w:rPr>
              <w:t xml:space="preserve">Coding </w:t>
            </w:r>
            <w:r w:rsidRPr="00990D3B" w:rsidR="006F56F0">
              <w:rPr>
                <w:color w:val="auto"/>
              </w:rPr>
              <w:t>s</w:t>
            </w:r>
            <w:r w:rsidRPr="00990D3B">
              <w:rPr>
                <w:color w:val="auto"/>
              </w:rPr>
              <w:t>cheme</w:t>
            </w:r>
          </w:p>
        </w:tc>
        <w:tc>
          <w:tcPr>
            <w:tcW w:w="1350" w:type="dxa"/>
            <w:vAlign w:val="bottom"/>
          </w:tcPr>
          <w:p w:rsidR="004F6C0E" w:rsidRPr="00990D3B" w:rsidP="00EB0743" w14:paraId="2959A87B" w14:textId="2B2FBEB5">
            <w:pPr>
              <w:pStyle w:val="EQRTableText"/>
              <w:jc w:val="center"/>
              <w:rPr>
                <w:b/>
                <w:bCs/>
              </w:rPr>
            </w:pPr>
            <w:r w:rsidRPr="00990D3B">
              <w:rPr>
                <w:b/>
                <w:bCs/>
              </w:rPr>
              <w:t xml:space="preserve">Inpatient </w:t>
            </w:r>
            <w:r w:rsidRPr="00990D3B" w:rsidR="006F56F0">
              <w:rPr>
                <w:b/>
                <w:bCs/>
              </w:rPr>
              <w:t>d</w:t>
            </w:r>
            <w:r w:rsidRPr="00990D3B">
              <w:rPr>
                <w:b/>
                <w:bCs/>
              </w:rPr>
              <w:t>iagnosis</w:t>
            </w:r>
          </w:p>
        </w:tc>
        <w:tc>
          <w:tcPr>
            <w:tcW w:w="1440" w:type="dxa"/>
            <w:vAlign w:val="bottom"/>
          </w:tcPr>
          <w:p w:rsidR="004F6C0E" w:rsidRPr="00990D3B" w:rsidP="00EB0743" w14:paraId="6FA12EF4" w14:textId="7EDDF7AB">
            <w:pPr>
              <w:pStyle w:val="EQRTableText"/>
              <w:jc w:val="center"/>
              <w:rPr>
                <w:b/>
                <w:bCs/>
              </w:rPr>
            </w:pPr>
            <w:r w:rsidRPr="00990D3B">
              <w:rPr>
                <w:b/>
                <w:bCs/>
              </w:rPr>
              <w:t xml:space="preserve">Inpatient </w:t>
            </w:r>
            <w:r w:rsidRPr="00990D3B" w:rsidR="006F56F0">
              <w:rPr>
                <w:b/>
                <w:bCs/>
              </w:rPr>
              <w:t>p</w:t>
            </w:r>
            <w:r w:rsidRPr="00990D3B">
              <w:rPr>
                <w:b/>
                <w:bCs/>
              </w:rPr>
              <w:t>rocedure</w:t>
            </w:r>
          </w:p>
        </w:tc>
        <w:tc>
          <w:tcPr>
            <w:tcW w:w="2070" w:type="dxa"/>
            <w:vAlign w:val="bottom"/>
          </w:tcPr>
          <w:p w:rsidR="004F6C0E" w:rsidRPr="00990D3B" w:rsidP="00EB0743" w14:paraId="1593304B" w14:textId="60217082">
            <w:pPr>
              <w:pStyle w:val="EQRTableText"/>
              <w:jc w:val="center"/>
              <w:rPr>
                <w:b/>
                <w:bCs/>
              </w:rPr>
            </w:pPr>
            <w:r w:rsidRPr="00990D3B">
              <w:rPr>
                <w:b/>
                <w:bCs/>
              </w:rPr>
              <w:t>Ambulatory/</w:t>
            </w:r>
            <w:r w:rsidRPr="00990D3B" w:rsidR="006F56F0">
              <w:rPr>
                <w:b/>
                <w:bCs/>
              </w:rPr>
              <w:t>o</w:t>
            </w:r>
            <w:r w:rsidRPr="00990D3B">
              <w:rPr>
                <w:b/>
                <w:bCs/>
              </w:rPr>
              <w:t xml:space="preserve">utpatient </w:t>
            </w:r>
            <w:r w:rsidRPr="00990D3B" w:rsidR="006F56F0">
              <w:rPr>
                <w:b/>
                <w:bCs/>
              </w:rPr>
              <w:t>d</w:t>
            </w:r>
            <w:r w:rsidRPr="00990D3B">
              <w:rPr>
                <w:b/>
                <w:bCs/>
              </w:rPr>
              <w:t>iagnosis</w:t>
            </w:r>
          </w:p>
        </w:tc>
        <w:tc>
          <w:tcPr>
            <w:tcW w:w="1717" w:type="dxa"/>
            <w:vAlign w:val="bottom"/>
          </w:tcPr>
          <w:p w:rsidR="004F6C0E" w:rsidRPr="00990D3B" w:rsidP="006F56F0" w14:paraId="4AB06538" w14:textId="7CAB6902">
            <w:pPr>
              <w:pStyle w:val="EQRTableText"/>
              <w:jc w:val="center"/>
              <w:rPr>
                <w:b/>
                <w:bCs/>
              </w:rPr>
            </w:pPr>
            <w:r w:rsidRPr="00990D3B">
              <w:rPr>
                <w:b/>
                <w:bCs/>
              </w:rPr>
              <w:t>Ambulatory/</w:t>
            </w:r>
            <w:r w:rsidRPr="00990D3B" w:rsidR="006F56F0">
              <w:rPr>
                <w:b/>
                <w:bCs/>
              </w:rPr>
              <w:t xml:space="preserve"> o</w:t>
            </w:r>
            <w:r w:rsidRPr="00990D3B">
              <w:rPr>
                <w:b/>
                <w:bCs/>
              </w:rPr>
              <w:t xml:space="preserve">utpatient </w:t>
            </w:r>
            <w:r w:rsidRPr="00990D3B" w:rsidR="006F56F0">
              <w:rPr>
                <w:b/>
                <w:bCs/>
              </w:rPr>
              <w:t>p</w:t>
            </w:r>
            <w:r w:rsidRPr="00990D3B">
              <w:rPr>
                <w:b/>
                <w:bCs/>
              </w:rPr>
              <w:t>rocedure</w:t>
            </w:r>
          </w:p>
        </w:tc>
        <w:tc>
          <w:tcPr>
            <w:tcW w:w="978" w:type="dxa"/>
            <w:vAlign w:val="bottom"/>
          </w:tcPr>
          <w:p w:rsidR="004F6C0E" w:rsidRPr="00990D3B" w:rsidP="00EB0743" w14:paraId="6C27E31E" w14:textId="77777777">
            <w:pPr>
              <w:pStyle w:val="EQRTableText"/>
              <w:jc w:val="center"/>
              <w:rPr>
                <w:b/>
                <w:bCs/>
              </w:rPr>
            </w:pPr>
            <w:r w:rsidRPr="00990D3B">
              <w:rPr>
                <w:b/>
                <w:bCs/>
              </w:rPr>
              <w:t>Drug</w:t>
            </w:r>
          </w:p>
        </w:tc>
      </w:tr>
      <w:tr w14:paraId="25F713B0" w14:textId="77777777" w:rsidTr="00FD12B7">
        <w:tblPrEx>
          <w:tblW w:w="5000" w:type="pct"/>
          <w:tblLayout w:type="fixed"/>
          <w:tblLook w:val="04A0"/>
        </w:tblPrEx>
        <w:tc>
          <w:tcPr>
            <w:tcW w:w="1795" w:type="dxa"/>
          </w:tcPr>
          <w:p w:rsidR="004F6C0E" w:rsidRPr="00990D3B" w:rsidP="00EB0743" w14:paraId="418D7374" w14:textId="77777777">
            <w:pPr>
              <w:pStyle w:val="EQRTableText"/>
            </w:pPr>
            <w:r w:rsidRPr="00990D3B">
              <w:t>ICD-10 CM</w:t>
            </w:r>
          </w:p>
        </w:tc>
        <w:tc>
          <w:tcPr>
            <w:tcW w:w="1350" w:type="dxa"/>
          </w:tcPr>
          <w:p w:rsidR="004F6C0E" w:rsidRPr="00990D3B" w:rsidP="00EB0743" w14:paraId="6A930EBE" w14:textId="77777777">
            <w:pPr>
              <w:pStyle w:val="EQRTableText"/>
            </w:pPr>
            <w:r w:rsidRPr="00990D3B">
              <w:t> </w:t>
            </w:r>
          </w:p>
        </w:tc>
        <w:tc>
          <w:tcPr>
            <w:tcW w:w="1440" w:type="dxa"/>
          </w:tcPr>
          <w:p w:rsidR="004F6C0E" w:rsidRPr="00990D3B" w:rsidP="00EB0743" w14:paraId="26A9748E" w14:textId="77777777">
            <w:pPr>
              <w:pStyle w:val="EQRTableText"/>
            </w:pPr>
            <w:r w:rsidRPr="00990D3B">
              <w:t> </w:t>
            </w:r>
          </w:p>
        </w:tc>
        <w:tc>
          <w:tcPr>
            <w:tcW w:w="2070" w:type="dxa"/>
          </w:tcPr>
          <w:p w:rsidR="004F6C0E" w:rsidRPr="00990D3B" w:rsidP="00EB0743" w14:paraId="4DE923C8" w14:textId="77777777">
            <w:pPr>
              <w:pStyle w:val="EQRTableText"/>
            </w:pPr>
            <w:r w:rsidRPr="00990D3B">
              <w:t> </w:t>
            </w:r>
          </w:p>
        </w:tc>
        <w:tc>
          <w:tcPr>
            <w:tcW w:w="1717" w:type="dxa"/>
          </w:tcPr>
          <w:p w:rsidR="004F6C0E" w:rsidRPr="00990D3B" w:rsidP="00EB0743" w14:paraId="040E9257" w14:textId="77777777">
            <w:pPr>
              <w:pStyle w:val="EQRTableText"/>
            </w:pPr>
            <w:r w:rsidRPr="00990D3B">
              <w:t> </w:t>
            </w:r>
          </w:p>
        </w:tc>
        <w:tc>
          <w:tcPr>
            <w:tcW w:w="978" w:type="dxa"/>
          </w:tcPr>
          <w:p w:rsidR="004F6C0E" w:rsidRPr="00990D3B" w:rsidP="00EB0743" w14:paraId="3E10CF8C" w14:textId="77777777">
            <w:pPr>
              <w:pStyle w:val="EQRTableText"/>
            </w:pPr>
            <w:r w:rsidRPr="00990D3B">
              <w:t> </w:t>
            </w:r>
          </w:p>
        </w:tc>
      </w:tr>
      <w:tr w14:paraId="20E01FCA" w14:textId="77777777" w:rsidTr="00FD12B7">
        <w:tblPrEx>
          <w:tblW w:w="5000" w:type="pct"/>
          <w:tblLayout w:type="fixed"/>
          <w:tblLook w:val="04A0"/>
        </w:tblPrEx>
        <w:tc>
          <w:tcPr>
            <w:tcW w:w="1795" w:type="dxa"/>
          </w:tcPr>
          <w:p w:rsidR="004F6C0E" w:rsidRPr="00990D3B" w:rsidP="00EB0743" w14:paraId="12BB1B03" w14:textId="77777777">
            <w:pPr>
              <w:pStyle w:val="EQRTableText"/>
            </w:pPr>
            <w:r w:rsidRPr="00990D3B">
              <w:t>CPT</w:t>
            </w:r>
            <w:r w:rsidRPr="00990D3B">
              <w:rPr>
                <w:rFonts w:cs="Arial"/>
              </w:rPr>
              <w:t>®</w:t>
            </w:r>
            <w:r w:rsidRPr="00990D3B">
              <w:t>-4</w:t>
            </w:r>
          </w:p>
        </w:tc>
        <w:tc>
          <w:tcPr>
            <w:tcW w:w="1350" w:type="dxa"/>
          </w:tcPr>
          <w:p w:rsidR="004F6C0E" w:rsidRPr="00990D3B" w:rsidP="00EB0743" w14:paraId="2F07EDED" w14:textId="77777777">
            <w:pPr>
              <w:pStyle w:val="EQRTableText"/>
            </w:pPr>
            <w:r w:rsidRPr="00990D3B">
              <w:t> </w:t>
            </w:r>
          </w:p>
        </w:tc>
        <w:tc>
          <w:tcPr>
            <w:tcW w:w="1440" w:type="dxa"/>
          </w:tcPr>
          <w:p w:rsidR="004F6C0E" w:rsidRPr="00990D3B" w:rsidP="00EB0743" w14:paraId="5E3F5A8A" w14:textId="77777777">
            <w:pPr>
              <w:pStyle w:val="EQRTableText"/>
            </w:pPr>
            <w:r w:rsidRPr="00990D3B">
              <w:t> </w:t>
            </w:r>
          </w:p>
        </w:tc>
        <w:tc>
          <w:tcPr>
            <w:tcW w:w="2070" w:type="dxa"/>
          </w:tcPr>
          <w:p w:rsidR="004F6C0E" w:rsidRPr="00990D3B" w:rsidP="00EB0743" w14:paraId="3F8137E0" w14:textId="77777777">
            <w:pPr>
              <w:pStyle w:val="EQRTableText"/>
            </w:pPr>
            <w:r w:rsidRPr="00990D3B">
              <w:t> </w:t>
            </w:r>
          </w:p>
        </w:tc>
        <w:tc>
          <w:tcPr>
            <w:tcW w:w="1717" w:type="dxa"/>
          </w:tcPr>
          <w:p w:rsidR="004F6C0E" w:rsidRPr="00990D3B" w:rsidP="00EB0743" w14:paraId="5B495AC0" w14:textId="77777777">
            <w:pPr>
              <w:pStyle w:val="EQRTableText"/>
            </w:pPr>
            <w:r w:rsidRPr="00990D3B">
              <w:t> </w:t>
            </w:r>
          </w:p>
        </w:tc>
        <w:tc>
          <w:tcPr>
            <w:tcW w:w="978" w:type="dxa"/>
          </w:tcPr>
          <w:p w:rsidR="004F6C0E" w:rsidRPr="00990D3B" w:rsidP="00EB0743" w14:paraId="282B5171" w14:textId="77777777">
            <w:pPr>
              <w:pStyle w:val="EQRTableText"/>
            </w:pPr>
            <w:r w:rsidRPr="00990D3B">
              <w:t> </w:t>
            </w:r>
          </w:p>
        </w:tc>
      </w:tr>
      <w:tr w14:paraId="33E5B0CB" w14:textId="77777777" w:rsidTr="00FD12B7">
        <w:tblPrEx>
          <w:tblW w:w="5000" w:type="pct"/>
          <w:tblLayout w:type="fixed"/>
          <w:tblLook w:val="04A0"/>
        </w:tblPrEx>
        <w:tc>
          <w:tcPr>
            <w:tcW w:w="1795" w:type="dxa"/>
          </w:tcPr>
          <w:p w:rsidR="004F6C0E" w:rsidRPr="00990D3B" w:rsidP="00EB0743" w14:paraId="513043A6" w14:textId="77777777">
            <w:pPr>
              <w:pStyle w:val="EQRTableText"/>
            </w:pPr>
            <w:r w:rsidRPr="00990D3B">
              <w:t>HCPCS</w:t>
            </w:r>
          </w:p>
        </w:tc>
        <w:tc>
          <w:tcPr>
            <w:tcW w:w="1350" w:type="dxa"/>
          </w:tcPr>
          <w:p w:rsidR="004F6C0E" w:rsidRPr="00990D3B" w:rsidP="00EB0743" w14:paraId="43A02B25" w14:textId="77777777">
            <w:pPr>
              <w:pStyle w:val="EQRTableText"/>
            </w:pPr>
            <w:r w:rsidRPr="00990D3B">
              <w:t> </w:t>
            </w:r>
          </w:p>
        </w:tc>
        <w:tc>
          <w:tcPr>
            <w:tcW w:w="1440" w:type="dxa"/>
          </w:tcPr>
          <w:p w:rsidR="004F6C0E" w:rsidRPr="00990D3B" w:rsidP="00EB0743" w14:paraId="72A3FD3C" w14:textId="77777777">
            <w:pPr>
              <w:pStyle w:val="EQRTableText"/>
            </w:pPr>
            <w:r w:rsidRPr="00990D3B">
              <w:t> </w:t>
            </w:r>
          </w:p>
        </w:tc>
        <w:tc>
          <w:tcPr>
            <w:tcW w:w="2070" w:type="dxa"/>
          </w:tcPr>
          <w:p w:rsidR="004F6C0E" w:rsidRPr="00990D3B" w:rsidP="00EB0743" w14:paraId="1836DBFD" w14:textId="77777777">
            <w:pPr>
              <w:pStyle w:val="EQRTableText"/>
            </w:pPr>
            <w:r w:rsidRPr="00990D3B">
              <w:t> </w:t>
            </w:r>
          </w:p>
        </w:tc>
        <w:tc>
          <w:tcPr>
            <w:tcW w:w="1717" w:type="dxa"/>
          </w:tcPr>
          <w:p w:rsidR="004F6C0E" w:rsidRPr="00990D3B" w:rsidP="00EB0743" w14:paraId="0BA22FB0" w14:textId="77777777">
            <w:pPr>
              <w:pStyle w:val="EQRTableText"/>
            </w:pPr>
            <w:r w:rsidRPr="00990D3B">
              <w:t> </w:t>
            </w:r>
          </w:p>
        </w:tc>
        <w:tc>
          <w:tcPr>
            <w:tcW w:w="978" w:type="dxa"/>
          </w:tcPr>
          <w:p w:rsidR="004F6C0E" w:rsidRPr="00990D3B" w:rsidP="00EB0743" w14:paraId="680C1DF2" w14:textId="77777777">
            <w:pPr>
              <w:pStyle w:val="EQRTableText"/>
            </w:pPr>
            <w:r w:rsidRPr="00990D3B">
              <w:t> </w:t>
            </w:r>
          </w:p>
        </w:tc>
      </w:tr>
      <w:tr w14:paraId="7C3757D2" w14:textId="77777777" w:rsidTr="00FD12B7">
        <w:tblPrEx>
          <w:tblW w:w="5000" w:type="pct"/>
          <w:tblLayout w:type="fixed"/>
          <w:tblLook w:val="04A0"/>
        </w:tblPrEx>
        <w:tc>
          <w:tcPr>
            <w:tcW w:w="1795" w:type="dxa"/>
          </w:tcPr>
          <w:p w:rsidR="004F6C0E" w:rsidRPr="00990D3B" w:rsidP="00EB0743" w14:paraId="0DBC3A75" w14:textId="77777777">
            <w:pPr>
              <w:pStyle w:val="EQRTableText"/>
            </w:pPr>
            <w:r w:rsidRPr="00990D3B">
              <w:t>DSM-IV</w:t>
            </w:r>
          </w:p>
        </w:tc>
        <w:tc>
          <w:tcPr>
            <w:tcW w:w="1350" w:type="dxa"/>
          </w:tcPr>
          <w:p w:rsidR="004F6C0E" w:rsidRPr="00990D3B" w:rsidP="00EB0743" w14:paraId="091B64C3" w14:textId="77777777">
            <w:pPr>
              <w:pStyle w:val="EQRTableText"/>
            </w:pPr>
            <w:r w:rsidRPr="00990D3B">
              <w:t> </w:t>
            </w:r>
          </w:p>
        </w:tc>
        <w:tc>
          <w:tcPr>
            <w:tcW w:w="1440" w:type="dxa"/>
          </w:tcPr>
          <w:p w:rsidR="004F6C0E" w:rsidRPr="00990D3B" w:rsidP="00EB0743" w14:paraId="7AF54089" w14:textId="77777777">
            <w:pPr>
              <w:pStyle w:val="EQRTableText"/>
            </w:pPr>
            <w:r w:rsidRPr="00990D3B">
              <w:t> </w:t>
            </w:r>
          </w:p>
        </w:tc>
        <w:tc>
          <w:tcPr>
            <w:tcW w:w="2070" w:type="dxa"/>
          </w:tcPr>
          <w:p w:rsidR="004F6C0E" w:rsidRPr="00990D3B" w:rsidP="00EB0743" w14:paraId="2DB9D4B6" w14:textId="77777777">
            <w:pPr>
              <w:pStyle w:val="EQRTableText"/>
            </w:pPr>
            <w:r w:rsidRPr="00990D3B">
              <w:t> </w:t>
            </w:r>
          </w:p>
        </w:tc>
        <w:tc>
          <w:tcPr>
            <w:tcW w:w="1717" w:type="dxa"/>
          </w:tcPr>
          <w:p w:rsidR="004F6C0E" w:rsidRPr="00990D3B" w:rsidP="00EB0743" w14:paraId="4D221738" w14:textId="77777777">
            <w:pPr>
              <w:pStyle w:val="EQRTableText"/>
            </w:pPr>
            <w:r w:rsidRPr="00990D3B">
              <w:t> </w:t>
            </w:r>
          </w:p>
        </w:tc>
        <w:tc>
          <w:tcPr>
            <w:tcW w:w="978" w:type="dxa"/>
          </w:tcPr>
          <w:p w:rsidR="004F6C0E" w:rsidRPr="00990D3B" w:rsidP="00EB0743" w14:paraId="2FE195AA" w14:textId="77777777">
            <w:pPr>
              <w:pStyle w:val="EQRTableText"/>
            </w:pPr>
            <w:r w:rsidRPr="00990D3B">
              <w:t> </w:t>
            </w:r>
          </w:p>
        </w:tc>
      </w:tr>
      <w:tr w14:paraId="74E4CF89" w14:textId="77777777" w:rsidTr="00FD12B7">
        <w:tblPrEx>
          <w:tblW w:w="5000" w:type="pct"/>
          <w:tblLayout w:type="fixed"/>
          <w:tblLook w:val="04A0"/>
        </w:tblPrEx>
        <w:tc>
          <w:tcPr>
            <w:tcW w:w="1795" w:type="dxa"/>
          </w:tcPr>
          <w:p w:rsidR="004F6C0E" w:rsidRPr="00990D3B" w:rsidP="00EB0743" w14:paraId="723114EA" w14:textId="14D48AA1">
            <w:pPr>
              <w:pStyle w:val="EQRTableText"/>
            </w:pPr>
            <w:r w:rsidRPr="00990D3B">
              <w:t>NDC</w:t>
            </w:r>
          </w:p>
        </w:tc>
        <w:tc>
          <w:tcPr>
            <w:tcW w:w="1350" w:type="dxa"/>
          </w:tcPr>
          <w:p w:rsidR="004F6C0E" w:rsidRPr="00990D3B" w:rsidP="00EB0743" w14:paraId="5FFC3823" w14:textId="77777777">
            <w:pPr>
              <w:pStyle w:val="EQRTableText"/>
            </w:pPr>
            <w:r w:rsidRPr="00990D3B">
              <w:t> </w:t>
            </w:r>
          </w:p>
        </w:tc>
        <w:tc>
          <w:tcPr>
            <w:tcW w:w="1440" w:type="dxa"/>
          </w:tcPr>
          <w:p w:rsidR="004F6C0E" w:rsidRPr="00990D3B" w:rsidP="00EB0743" w14:paraId="6A027C8A" w14:textId="77777777">
            <w:pPr>
              <w:pStyle w:val="EQRTableText"/>
            </w:pPr>
            <w:r w:rsidRPr="00990D3B">
              <w:t> </w:t>
            </w:r>
          </w:p>
        </w:tc>
        <w:tc>
          <w:tcPr>
            <w:tcW w:w="2070" w:type="dxa"/>
          </w:tcPr>
          <w:p w:rsidR="004F6C0E" w:rsidRPr="00990D3B" w:rsidP="00EB0743" w14:paraId="7C70B490" w14:textId="77777777">
            <w:pPr>
              <w:pStyle w:val="EQRTableText"/>
            </w:pPr>
            <w:r w:rsidRPr="00990D3B">
              <w:t> </w:t>
            </w:r>
          </w:p>
        </w:tc>
        <w:tc>
          <w:tcPr>
            <w:tcW w:w="1717" w:type="dxa"/>
          </w:tcPr>
          <w:p w:rsidR="004F6C0E" w:rsidRPr="00990D3B" w:rsidP="00EB0743" w14:paraId="0ACBF0E0" w14:textId="77777777">
            <w:pPr>
              <w:pStyle w:val="EQRTableText"/>
            </w:pPr>
            <w:r w:rsidRPr="00990D3B">
              <w:t> </w:t>
            </w:r>
          </w:p>
        </w:tc>
        <w:tc>
          <w:tcPr>
            <w:tcW w:w="978" w:type="dxa"/>
          </w:tcPr>
          <w:p w:rsidR="004F6C0E" w:rsidRPr="00990D3B" w:rsidP="00EB0743" w14:paraId="4CE47EE4" w14:textId="77777777">
            <w:pPr>
              <w:pStyle w:val="EQRTableText"/>
            </w:pPr>
            <w:r w:rsidRPr="00990D3B">
              <w:t> </w:t>
            </w:r>
          </w:p>
        </w:tc>
      </w:tr>
      <w:tr w14:paraId="1B20BD58" w14:textId="77777777" w:rsidTr="00FD12B7">
        <w:tblPrEx>
          <w:tblW w:w="5000" w:type="pct"/>
          <w:tblLayout w:type="fixed"/>
          <w:tblLook w:val="04A0"/>
        </w:tblPrEx>
        <w:tc>
          <w:tcPr>
            <w:tcW w:w="1795" w:type="dxa"/>
          </w:tcPr>
          <w:p w:rsidR="004F6C0E" w:rsidRPr="00990D3B" w:rsidP="00EB0743" w14:paraId="08FAAB64" w14:textId="77777777">
            <w:pPr>
              <w:pStyle w:val="EQRTableText"/>
            </w:pPr>
            <w:r w:rsidRPr="00990D3B">
              <w:t>Internally developed</w:t>
            </w:r>
          </w:p>
        </w:tc>
        <w:tc>
          <w:tcPr>
            <w:tcW w:w="1350" w:type="dxa"/>
          </w:tcPr>
          <w:p w:rsidR="004F6C0E" w:rsidRPr="00990D3B" w:rsidP="00EB0743" w14:paraId="138DCF1B" w14:textId="77777777">
            <w:pPr>
              <w:pStyle w:val="EQRTableText"/>
            </w:pPr>
            <w:r w:rsidRPr="00990D3B">
              <w:t> </w:t>
            </w:r>
          </w:p>
        </w:tc>
        <w:tc>
          <w:tcPr>
            <w:tcW w:w="1440" w:type="dxa"/>
          </w:tcPr>
          <w:p w:rsidR="004F6C0E" w:rsidRPr="00990D3B" w:rsidP="00EB0743" w14:paraId="424F05FE" w14:textId="77777777">
            <w:pPr>
              <w:pStyle w:val="EQRTableText"/>
            </w:pPr>
            <w:r w:rsidRPr="00990D3B">
              <w:t> </w:t>
            </w:r>
          </w:p>
        </w:tc>
        <w:tc>
          <w:tcPr>
            <w:tcW w:w="2070" w:type="dxa"/>
          </w:tcPr>
          <w:p w:rsidR="004F6C0E" w:rsidRPr="00990D3B" w:rsidP="00EB0743" w14:paraId="6CA5AA2D" w14:textId="77777777">
            <w:pPr>
              <w:pStyle w:val="EQRTableText"/>
            </w:pPr>
            <w:r w:rsidRPr="00990D3B">
              <w:t> </w:t>
            </w:r>
          </w:p>
        </w:tc>
        <w:tc>
          <w:tcPr>
            <w:tcW w:w="1717" w:type="dxa"/>
          </w:tcPr>
          <w:p w:rsidR="004F6C0E" w:rsidRPr="00990D3B" w:rsidP="00EB0743" w14:paraId="2A7E7670" w14:textId="77777777">
            <w:pPr>
              <w:pStyle w:val="EQRTableText"/>
            </w:pPr>
            <w:r w:rsidRPr="00990D3B">
              <w:t> </w:t>
            </w:r>
          </w:p>
        </w:tc>
        <w:tc>
          <w:tcPr>
            <w:tcW w:w="978" w:type="dxa"/>
          </w:tcPr>
          <w:p w:rsidR="004F6C0E" w:rsidRPr="00990D3B" w:rsidP="00EB0743" w14:paraId="5092645A" w14:textId="77777777">
            <w:pPr>
              <w:pStyle w:val="EQRTableText"/>
            </w:pPr>
            <w:r w:rsidRPr="00990D3B">
              <w:t> </w:t>
            </w:r>
          </w:p>
        </w:tc>
      </w:tr>
      <w:tr w14:paraId="761CFD57" w14:textId="77777777" w:rsidTr="00FD12B7">
        <w:tblPrEx>
          <w:tblW w:w="5000" w:type="pct"/>
          <w:tblLayout w:type="fixed"/>
          <w:tblLook w:val="04A0"/>
        </w:tblPrEx>
        <w:tc>
          <w:tcPr>
            <w:tcW w:w="1795" w:type="dxa"/>
          </w:tcPr>
          <w:p w:rsidR="004F6C0E" w:rsidRPr="00990D3B" w:rsidP="00EB0743" w14:paraId="520C9AFB" w14:textId="77777777">
            <w:pPr>
              <w:pStyle w:val="EQRTableText"/>
            </w:pPr>
            <w:r w:rsidRPr="00990D3B">
              <w:t>Other: Specify</w:t>
            </w:r>
          </w:p>
        </w:tc>
        <w:tc>
          <w:tcPr>
            <w:tcW w:w="1350" w:type="dxa"/>
          </w:tcPr>
          <w:p w:rsidR="004F6C0E" w:rsidRPr="00990D3B" w:rsidP="00EB0743" w14:paraId="48A269FF" w14:textId="77777777">
            <w:pPr>
              <w:pStyle w:val="EQRTableText"/>
            </w:pPr>
            <w:r w:rsidRPr="00990D3B">
              <w:t> </w:t>
            </w:r>
          </w:p>
        </w:tc>
        <w:tc>
          <w:tcPr>
            <w:tcW w:w="1440" w:type="dxa"/>
          </w:tcPr>
          <w:p w:rsidR="004F6C0E" w:rsidRPr="00990D3B" w:rsidP="00EB0743" w14:paraId="19C93B2C" w14:textId="77777777">
            <w:pPr>
              <w:pStyle w:val="EQRTableText"/>
            </w:pPr>
            <w:r w:rsidRPr="00990D3B">
              <w:t> </w:t>
            </w:r>
          </w:p>
        </w:tc>
        <w:tc>
          <w:tcPr>
            <w:tcW w:w="2070" w:type="dxa"/>
          </w:tcPr>
          <w:p w:rsidR="004F6C0E" w:rsidRPr="00990D3B" w:rsidP="00EB0743" w14:paraId="57EFD12A" w14:textId="77777777">
            <w:pPr>
              <w:pStyle w:val="EQRTableText"/>
            </w:pPr>
            <w:r w:rsidRPr="00990D3B">
              <w:t> </w:t>
            </w:r>
          </w:p>
        </w:tc>
        <w:tc>
          <w:tcPr>
            <w:tcW w:w="1717" w:type="dxa"/>
          </w:tcPr>
          <w:p w:rsidR="004F6C0E" w:rsidRPr="00990D3B" w:rsidP="00EB0743" w14:paraId="26380B5B" w14:textId="77777777">
            <w:pPr>
              <w:pStyle w:val="EQRTableText"/>
            </w:pPr>
            <w:r w:rsidRPr="00990D3B">
              <w:t> </w:t>
            </w:r>
          </w:p>
        </w:tc>
        <w:tc>
          <w:tcPr>
            <w:tcW w:w="978" w:type="dxa"/>
          </w:tcPr>
          <w:p w:rsidR="004F6C0E" w:rsidRPr="00990D3B" w:rsidP="00EB0743" w14:paraId="4F186665" w14:textId="77777777">
            <w:pPr>
              <w:pStyle w:val="EQRTableText"/>
            </w:pPr>
            <w:r w:rsidRPr="00990D3B">
              <w:t> </w:t>
            </w:r>
          </w:p>
        </w:tc>
      </w:tr>
      <w:tr w14:paraId="0297A5FD" w14:textId="77777777" w:rsidTr="00FD12B7">
        <w:tblPrEx>
          <w:tblW w:w="5000" w:type="pct"/>
          <w:tblLayout w:type="fixed"/>
          <w:tblLook w:val="04A0"/>
        </w:tblPrEx>
        <w:tc>
          <w:tcPr>
            <w:tcW w:w="1795" w:type="dxa"/>
          </w:tcPr>
          <w:p w:rsidR="004F6C0E" w:rsidRPr="00990D3B" w:rsidP="00EB0743" w14:paraId="512FEBD7" w14:textId="77777777">
            <w:pPr>
              <w:pStyle w:val="EQRTableText"/>
            </w:pPr>
            <w:r w:rsidRPr="00990D3B">
              <w:t>Not required</w:t>
            </w:r>
          </w:p>
        </w:tc>
        <w:tc>
          <w:tcPr>
            <w:tcW w:w="1350" w:type="dxa"/>
          </w:tcPr>
          <w:p w:rsidR="004F6C0E" w:rsidRPr="00990D3B" w:rsidP="00EB0743" w14:paraId="36776D0D" w14:textId="77777777">
            <w:pPr>
              <w:pStyle w:val="EQRTableText"/>
            </w:pPr>
            <w:r w:rsidRPr="00990D3B">
              <w:t> </w:t>
            </w:r>
          </w:p>
        </w:tc>
        <w:tc>
          <w:tcPr>
            <w:tcW w:w="1440" w:type="dxa"/>
          </w:tcPr>
          <w:p w:rsidR="004F6C0E" w:rsidRPr="00990D3B" w:rsidP="00EB0743" w14:paraId="1E9F4C50" w14:textId="77777777">
            <w:pPr>
              <w:pStyle w:val="EQRTableText"/>
            </w:pPr>
            <w:r w:rsidRPr="00990D3B">
              <w:t> </w:t>
            </w:r>
          </w:p>
        </w:tc>
        <w:tc>
          <w:tcPr>
            <w:tcW w:w="2070" w:type="dxa"/>
          </w:tcPr>
          <w:p w:rsidR="004F6C0E" w:rsidRPr="00990D3B" w:rsidP="00EB0743" w14:paraId="603F6291" w14:textId="77777777">
            <w:pPr>
              <w:pStyle w:val="EQRTableText"/>
            </w:pPr>
            <w:r w:rsidRPr="00990D3B">
              <w:t> </w:t>
            </w:r>
          </w:p>
        </w:tc>
        <w:tc>
          <w:tcPr>
            <w:tcW w:w="1717" w:type="dxa"/>
          </w:tcPr>
          <w:p w:rsidR="004F6C0E" w:rsidRPr="00990D3B" w:rsidP="00EB0743" w14:paraId="7AB535C8" w14:textId="77777777">
            <w:pPr>
              <w:pStyle w:val="EQRTableText"/>
            </w:pPr>
            <w:r w:rsidRPr="00990D3B">
              <w:t> </w:t>
            </w:r>
          </w:p>
        </w:tc>
        <w:tc>
          <w:tcPr>
            <w:tcW w:w="978" w:type="dxa"/>
          </w:tcPr>
          <w:p w:rsidR="004F6C0E" w:rsidRPr="00990D3B" w:rsidP="00EB0743" w14:paraId="14DD2315" w14:textId="77777777">
            <w:pPr>
              <w:pStyle w:val="EQRTableText"/>
            </w:pPr>
            <w:r w:rsidRPr="00990D3B">
              <w:t> </w:t>
            </w:r>
          </w:p>
        </w:tc>
      </w:tr>
      <w:tr w14:paraId="471AD873" w14:textId="77777777" w:rsidTr="00FD12B7">
        <w:tblPrEx>
          <w:tblW w:w="5000" w:type="pct"/>
          <w:tblLayout w:type="fixed"/>
          <w:tblLook w:val="04A0"/>
        </w:tblPrEx>
        <w:tc>
          <w:tcPr>
            <w:tcW w:w="1795" w:type="dxa"/>
          </w:tcPr>
          <w:p w:rsidR="004F6C0E" w:rsidRPr="00990D3B" w:rsidP="00EB0743" w14:paraId="0EC787B8" w14:textId="77777777">
            <w:pPr>
              <w:pStyle w:val="EQRTableText"/>
            </w:pPr>
            <w:r w:rsidRPr="00990D3B">
              <w:t>TOTAL (can be greater than 100% if a claims type is subject to more than one coding system)</w:t>
            </w:r>
          </w:p>
        </w:tc>
        <w:tc>
          <w:tcPr>
            <w:tcW w:w="1350" w:type="dxa"/>
          </w:tcPr>
          <w:p w:rsidR="004F6C0E" w:rsidRPr="00990D3B" w:rsidP="00EB0743" w14:paraId="17AE6927" w14:textId="77777777">
            <w:pPr>
              <w:pStyle w:val="EQRTableText"/>
            </w:pPr>
            <w:r w:rsidRPr="00990D3B">
              <w:t> </w:t>
            </w:r>
          </w:p>
        </w:tc>
        <w:tc>
          <w:tcPr>
            <w:tcW w:w="1440" w:type="dxa"/>
          </w:tcPr>
          <w:p w:rsidR="004F6C0E" w:rsidRPr="00990D3B" w:rsidP="00EB0743" w14:paraId="1904B657" w14:textId="77777777">
            <w:pPr>
              <w:pStyle w:val="EQRTableText"/>
            </w:pPr>
            <w:r w:rsidRPr="00990D3B">
              <w:t> </w:t>
            </w:r>
          </w:p>
        </w:tc>
        <w:tc>
          <w:tcPr>
            <w:tcW w:w="2070" w:type="dxa"/>
          </w:tcPr>
          <w:p w:rsidR="004F6C0E" w:rsidRPr="00990D3B" w:rsidP="00EB0743" w14:paraId="64D3F1C8" w14:textId="77777777">
            <w:pPr>
              <w:pStyle w:val="EQRTableText"/>
            </w:pPr>
            <w:r w:rsidRPr="00990D3B">
              <w:t> </w:t>
            </w:r>
          </w:p>
        </w:tc>
        <w:tc>
          <w:tcPr>
            <w:tcW w:w="1717" w:type="dxa"/>
          </w:tcPr>
          <w:p w:rsidR="004F6C0E" w:rsidRPr="00990D3B" w:rsidP="00EB0743" w14:paraId="31EF7F1E" w14:textId="77777777">
            <w:pPr>
              <w:pStyle w:val="EQRTableText"/>
            </w:pPr>
            <w:r w:rsidRPr="00990D3B">
              <w:t> </w:t>
            </w:r>
          </w:p>
        </w:tc>
        <w:tc>
          <w:tcPr>
            <w:tcW w:w="978" w:type="dxa"/>
          </w:tcPr>
          <w:p w:rsidR="004F6C0E" w:rsidRPr="00990D3B" w:rsidP="00EB0743" w14:paraId="4BEC663C" w14:textId="77777777">
            <w:pPr>
              <w:pStyle w:val="EQRTableText"/>
            </w:pPr>
            <w:r w:rsidRPr="00990D3B">
              <w:t> </w:t>
            </w:r>
          </w:p>
        </w:tc>
      </w:tr>
    </w:tbl>
    <w:p w:rsidR="004F6C0E" w:rsidRPr="00990D3B" w:rsidP="00372E00" w14:paraId="6BEE86A5" w14:textId="362A0F6C">
      <w:pPr>
        <w:pStyle w:val="EQRnoteWS"/>
      </w:pPr>
      <w:r w:rsidRPr="00990D3B">
        <w:t>Note (Q</w:t>
      </w:r>
      <w:r w:rsidRPr="00990D3B" w:rsidR="00A1785E">
        <w:t xml:space="preserve"> 5.</w:t>
      </w:r>
      <w:r w:rsidRPr="00990D3B">
        <w:t>13): If a</w:t>
      </w:r>
      <w:r w:rsidRPr="00990D3B" w:rsidR="008D1A82">
        <w:t>n</w:t>
      </w:r>
      <w:r w:rsidRPr="00990D3B">
        <w:t xml:space="preserve"> </w:t>
      </w:r>
      <w:r w:rsidRPr="00990D3B" w:rsidR="00946A03">
        <w:t xml:space="preserve">MCP </w:t>
      </w:r>
      <w:r w:rsidRPr="00990D3B">
        <w:t xml:space="preserve">is using internally-developed coding schemes, the state should verify whether this coding can be mapped to standard coding such as ICD-10 or CPT-4. If the coding can be translated for reporting purposes (Medicaid HEDIS® requires diagnosis and procedure codes), the </w:t>
      </w:r>
      <w:r w:rsidRPr="00990D3B" w:rsidR="00946A03">
        <w:t xml:space="preserve">MCP </w:t>
      </w:r>
      <w:r w:rsidRPr="00990D3B">
        <w:t>should provide information on the level of specificity with which the coding maps to standard coding (e.g., three-digit specificity or five-digit specificity). If the mapping has a low level of specificity, information on co-morbidities and complications may not be retained during translation.</w:t>
      </w:r>
    </w:p>
    <w:p w:rsidR="004F6C0E" w:rsidRPr="00990D3B" w:rsidP="00BA1E32" w14:paraId="38B06419" w14:textId="3A0A2490">
      <w:pPr>
        <w:pStyle w:val="H2EQRWorksheetlist2"/>
      </w:pPr>
      <w:r w:rsidRPr="00990D3B">
        <w:t>Please list all information systems through which service and utilization data for the Medicaid or CHIP population is processed.</w:t>
      </w:r>
    </w:p>
    <w:p w:rsidR="004F6C0E" w:rsidRPr="00990D3B" w:rsidP="00BA1E32" w14:paraId="3EFD2CB3" w14:textId="576495F5">
      <w:pPr>
        <w:pStyle w:val="H2EQRWorksheetlist2"/>
      </w:pPr>
      <w:r w:rsidRPr="00990D3B">
        <w:t>Please describe any major systems changes or updates that have taken place in the last three years in your Medicaid or CHIP claims or encounter system (be sure to provide specific dates on which changes were implemented). Check all that apply</w:t>
      </w:r>
      <w:r w:rsidRPr="00990D3B" w:rsidR="00946A03">
        <w:t>.</w:t>
      </w:r>
    </w:p>
    <w:p w:rsidR="004F6C0E" w:rsidRPr="00990D3B" w:rsidP="00BA1E32" w14:paraId="11A8AB44" w14:textId="77777777">
      <w:pPr>
        <w:pStyle w:val="EQRNormalSSWSquestion2B"/>
        <w:ind w:left="1080"/>
      </w:pPr>
      <w:r w:rsidRPr="00990D3B">
        <w:t xml:space="preserve">□ New system installed to replace old system </w:t>
      </w:r>
    </w:p>
    <w:p w:rsidR="004F6C0E" w:rsidRPr="00990D3B" w:rsidP="00BA1E32" w14:paraId="0EBF1A2F" w14:textId="77777777">
      <w:pPr>
        <w:pStyle w:val="EQRNormalSSWSquestion2B"/>
        <w:ind w:left="1080"/>
      </w:pPr>
      <w:r w:rsidRPr="00990D3B">
        <w:t>□ New system purchased and installed to replace most of old system; old system still used</w:t>
      </w:r>
    </w:p>
    <w:p w:rsidR="004F6C0E" w:rsidRPr="00990D3B" w:rsidP="00BA1E32" w14:paraId="545C45AE" w14:textId="6EA35397">
      <w:pPr>
        <w:pStyle w:val="EQRNormalSSWSquestion2B"/>
        <w:ind w:left="1080"/>
      </w:pPr>
      <w:r w:rsidRPr="00990D3B">
        <w:t xml:space="preserve">□ </w:t>
      </w:r>
      <w:r w:rsidRPr="00990D3B">
        <w:t xml:space="preserve"> Major</w:t>
      </w:r>
      <w:r w:rsidRPr="00990D3B">
        <w:t xml:space="preserve"> enhancements to old system </w:t>
      </w:r>
    </w:p>
    <w:p w:rsidR="004F6C0E" w:rsidRPr="00990D3B" w:rsidP="00BA1E32" w14:paraId="72E9FE6C" w14:textId="0ACAAECF">
      <w:pPr>
        <w:pStyle w:val="EQRNormalSSWSquestion3"/>
        <w:ind w:left="1368"/>
      </w:pPr>
      <w:r w:rsidRPr="00990D3B">
        <w:t xml:space="preserve">  If enhancements were made to the old system, please summarize what enhancements were made and whether (and if so, how) the enhancements have impacted historical data:</w:t>
      </w:r>
    </w:p>
    <w:p w:rsidR="004F6C0E" w:rsidRPr="00990D3B" w:rsidP="00BA1E32" w14:paraId="15D269C0" w14:textId="77777777">
      <w:pPr>
        <w:pStyle w:val="EQRNormalSSWSquestion2B"/>
        <w:ind w:left="1080"/>
      </w:pPr>
      <w:r w:rsidRPr="00990D3B">
        <w:t>□ New product line adjudicated on old system</w:t>
      </w:r>
    </w:p>
    <w:p w:rsidR="004F6C0E" w:rsidRPr="00990D3B" w:rsidP="00BA1E32" w14:paraId="442FAF9C" w14:textId="77777777">
      <w:pPr>
        <w:pStyle w:val="EQRNormalSSWSquestion2B"/>
        <w:ind w:left="1080"/>
      </w:pPr>
      <w:r w:rsidRPr="00990D3B">
        <w:t>□ Conversion of a product line from one system to another</w:t>
      </w:r>
    </w:p>
    <w:p w:rsidR="004F6C0E" w:rsidRPr="00990D3B" w:rsidP="00372E00" w14:paraId="7470CABC" w14:textId="0ED0824C">
      <w:pPr>
        <w:pStyle w:val="EQRnoteWS"/>
      </w:pPr>
      <w:r w:rsidRPr="00990D3B">
        <w:t>Note (Q</w:t>
      </w:r>
      <w:r w:rsidRPr="00990D3B" w:rsidR="00A1785E">
        <w:t xml:space="preserve"> 5.</w:t>
      </w:r>
      <w:r w:rsidRPr="00990D3B">
        <w:t>15): When a</w:t>
      </w:r>
      <w:r w:rsidRPr="00990D3B" w:rsidR="008D1A82">
        <w:t>n</w:t>
      </w:r>
      <w:r w:rsidRPr="00990D3B">
        <w:t xml:space="preserve"> </w:t>
      </w:r>
      <w:r w:rsidRPr="00990D3B" w:rsidR="00946A03">
        <w:t xml:space="preserve">MCP </w:t>
      </w:r>
      <w:r w:rsidRPr="00990D3B">
        <w:t xml:space="preserve">undertakes any major system changes such as </w:t>
      </w:r>
      <w:r w:rsidRPr="00990D3B" w:rsidR="003E4F11">
        <w:t xml:space="preserve">an upgrade or </w:t>
      </w:r>
      <w:r w:rsidRPr="00990D3B">
        <w:t xml:space="preserve">conversion to a new system, the system changes could affect data quality. Data quality problems include corruption of data, loss of data, and loss of the level of detail within the data. The implementation of a new system can also affect </w:t>
      </w:r>
      <w:r w:rsidRPr="00990D3B" w:rsidR="003E4F11">
        <w:t>access to</w:t>
      </w:r>
      <w:r w:rsidRPr="00990D3B">
        <w:t xml:space="preserve"> historical data.</w:t>
      </w:r>
      <w:r w:rsidRPr="00990D3B" w:rsidR="003E4F11">
        <w:t xml:space="preserve"> Changes in data quality and access will affect the </w:t>
      </w:r>
      <w:r w:rsidRPr="00990D3B" w:rsidR="00946A03">
        <w:t xml:space="preserve">MCP’s </w:t>
      </w:r>
      <w:r w:rsidRPr="00990D3B" w:rsidR="003E4F11">
        <w:t xml:space="preserve">ability to report performance measures and utilization. The </w:t>
      </w:r>
      <w:r w:rsidRPr="00990D3B" w:rsidR="00946A03">
        <w:t xml:space="preserve">MCP </w:t>
      </w:r>
      <w:r w:rsidRPr="00990D3B" w:rsidR="003E4F11">
        <w:t>should have a fallback option, such as parallel operations.</w:t>
      </w:r>
    </w:p>
    <w:p w:rsidR="004F6C0E" w:rsidRPr="00990D3B" w:rsidP="00BA1E32" w14:paraId="261E910C" w14:textId="22BD160E">
      <w:pPr>
        <w:pStyle w:val="H2EQRWorksheetlist2"/>
      </w:pPr>
      <w:r w:rsidRPr="00990D3B">
        <w:t xml:space="preserve">How many years of Medicaid or CHIP data are retained on-line?  </w:t>
      </w:r>
    </w:p>
    <w:p w:rsidR="004F6C0E" w:rsidRPr="00990D3B" w:rsidP="002066F7" w14:paraId="7DAF51D9" w14:textId="6A03DC56">
      <w:pPr>
        <w:pStyle w:val="H2EQRWorksheetlist3"/>
        <w:ind w:left="1339" w:hanging="187"/>
      </w:pPr>
      <w:r w:rsidRPr="00990D3B">
        <w:t xml:space="preserve">How </w:t>
      </w:r>
      <w:r w:rsidRPr="00990D3B" w:rsidR="008D3495">
        <w:t>are</w:t>
      </w:r>
      <w:r w:rsidRPr="00990D3B">
        <w:t xml:space="preserve"> historical Medicaid or CHIP data accessed when needed?</w:t>
      </w:r>
    </w:p>
    <w:p w:rsidR="004F6C0E" w:rsidRPr="00990D3B" w:rsidP="00372E00" w14:paraId="49E3DF87" w14:textId="2C48B60A">
      <w:pPr>
        <w:pStyle w:val="EQRnoteWS"/>
      </w:pPr>
      <w:r w:rsidRPr="00990D3B">
        <w:t>Note (Q</w:t>
      </w:r>
      <w:r w:rsidRPr="00990D3B" w:rsidR="00A1785E">
        <w:t xml:space="preserve"> 5.</w:t>
      </w:r>
      <w:r w:rsidRPr="00990D3B">
        <w:t>16a): Due to system constraints, a plan may remove historical data and place it in off-line storage. The MCP’s ability to report on experience spanning several years of data could be affected by the accessibility of the data stored off-line.</w:t>
      </w:r>
    </w:p>
    <w:p w:rsidR="004F6C0E" w:rsidRPr="00990D3B" w:rsidP="00BA1E32" w14:paraId="460314E3" w14:textId="71E1D6BC">
      <w:pPr>
        <w:pStyle w:val="H2EQRWorksheetlist2"/>
      </w:pPr>
      <w:r w:rsidRPr="00990D3B">
        <w:t xml:space="preserve">What </w:t>
      </w:r>
      <w:r w:rsidRPr="00990D3B">
        <w:t>percent</w:t>
      </w:r>
      <w:r w:rsidRPr="00990D3B">
        <w:t xml:space="preserve"> of your Medicaid or CHIP data </w:t>
      </w:r>
      <w:r w:rsidRPr="00990D3B" w:rsidR="00FC5DDE">
        <w:t xml:space="preserve">are </w:t>
      </w:r>
      <w:r w:rsidRPr="00990D3B">
        <w:t>processed on-line vs. batch? If batch, how often are batch jobs run?</w:t>
      </w:r>
    </w:p>
    <w:p w:rsidR="004F6C0E" w:rsidRPr="00990D3B" w:rsidP="00BA1E32" w14:paraId="7F450FF1" w14:textId="0B99B1EE">
      <w:pPr>
        <w:pStyle w:val="H2EQRWorksheetlist2"/>
      </w:pPr>
      <w:r w:rsidRPr="00990D3B">
        <w:t xml:space="preserve">Describe your policy regarding Medicaid or CHIP claim/encounter audits.  </w:t>
      </w:r>
    </w:p>
    <w:p w:rsidR="004F6C0E" w:rsidRPr="00990D3B" w:rsidP="002066F7" w14:paraId="17819BB2" w14:textId="6FA02105">
      <w:pPr>
        <w:pStyle w:val="H2EQRWorksheetlist3"/>
        <w:ind w:left="1339" w:hanging="187"/>
      </w:pPr>
      <w:r w:rsidRPr="00990D3B">
        <w:t xml:space="preserve">Are Medicaid or CHIP encounters audited regularly or randomly?  </w:t>
      </w:r>
    </w:p>
    <w:p w:rsidR="004F6C0E" w:rsidRPr="00990D3B" w:rsidP="00A1785E" w14:paraId="623EBAFA" w14:textId="77777777">
      <w:pPr>
        <w:pStyle w:val="EQRNormalSSWSquestion3YN"/>
        <w:keepNext/>
        <w:keepLines/>
        <w:ind w:left="1440"/>
      </w:pPr>
      <w:r w:rsidRPr="00990D3B">
        <w:t>□ Regularly</w:t>
      </w:r>
    </w:p>
    <w:p w:rsidR="004F6C0E" w:rsidRPr="00990D3B" w:rsidP="00A1785E" w14:paraId="1B97F552" w14:textId="77777777">
      <w:pPr>
        <w:pStyle w:val="EQRNormalSSWSquestion3YN"/>
        <w:keepLines/>
        <w:ind w:left="1440"/>
      </w:pPr>
      <w:r w:rsidRPr="00990D3B">
        <w:t>□ Randomly</w:t>
      </w:r>
    </w:p>
    <w:p w:rsidR="004F6C0E" w:rsidRPr="00990D3B" w:rsidP="002066F7" w14:paraId="2FAAFEDE" w14:textId="404DBC27">
      <w:pPr>
        <w:pStyle w:val="H2EQRWorksheetlist3"/>
        <w:ind w:left="1339" w:hanging="187"/>
      </w:pPr>
      <w:r w:rsidRPr="00990D3B">
        <w:t xml:space="preserve">What are the standards regarding </w:t>
      </w:r>
      <w:r w:rsidRPr="00990D3B">
        <w:t>timeliness of processing</w:t>
      </w:r>
      <w:r w:rsidRPr="00990D3B">
        <w:t>?</w:t>
      </w:r>
    </w:p>
    <w:p w:rsidR="004F6C0E" w:rsidRPr="00990D3B" w:rsidP="00372E00" w14:paraId="4E004757" w14:textId="20055305">
      <w:pPr>
        <w:pStyle w:val="EQRnoteWS"/>
      </w:pPr>
      <w:r w:rsidRPr="00990D3B">
        <w:t>Note (Q</w:t>
      </w:r>
      <w:r w:rsidRPr="00990D3B" w:rsidR="00A1785E">
        <w:t xml:space="preserve"> 5.</w:t>
      </w:r>
      <w:r w:rsidRPr="00990D3B">
        <w:t xml:space="preserve">18b): </w:t>
      </w:r>
      <w:r w:rsidRPr="00990D3B" w:rsidR="00946A03">
        <w:t xml:space="preserve">MCP </w:t>
      </w:r>
      <w:r w:rsidRPr="00990D3B">
        <w:t xml:space="preserve">should be performing random periodic audits of their encounter data to determine the quality of data processing. </w:t>
      </w:r>
      <w:r w:rsidRPr="00990D3B" w:rsidR="00946A03">
        <w:t xml:space="preserve">MCPs </w:t>
      </w:r>
      <w:r w:rsidRPr="00990D3B">
        <w:t xml:space="preserve">that do not perform audits at least annually </w:t>
      </w:r>
      <w:r w:rsidRPr="00990D3B">
        <w:t>are</w:t>
      </w:r>
      <w:r w:rsidRPr="00990D3B">
        <w:t xml:space="preserve"> not closely </w:t>
      </w:r>
      <w:r w:rsidRPr="00990D3B">
        <w:t>monitoring</w:t>
      </w:r>
      <w:r w:rsidRPr="00990D3B">
        <w:t xml:space="preserve"> the quality of data processing. </w:t>
      </w:r>
      <w:r w:rsidRPr="00990D3B" w:rsidR="00946A03">
        <w:t xml:space="preserve">MCP </w:t>
      </w:r>
      <w:r w:rsidRPr="00990D3B">
        <w:t>standards regarding timeliness of processing will influence the lag time for encounter data processing.</w:t>
      </w:r>
    </w:p>
    <w:p w:rsidR="004F6C0E" w:rsidRPr="00990D3B" w:rsidP="00BA1E32" w14:paraId="7BBDB363" w14:textId="3C3F3938">
      <w:pPr>
        <w:pStyle w:val="H2EQRWorksheetlist2"/>
      </w:pPr>
      <w:r w:rsidRPr="00990D3B">
        <w:t>Please describe system edits that are targeted to field content and consistency. Are diagnostic and procedure codes edited for validity?</w:t>
      </w:r>
    </w:p>
    <w:p w:rsidR="004F6C0E" w:rsidRPr="00990D3B" w:rsidP="00372E00" w14:paraId="3797D48D" w14:textId="78566A5E">
      <w:pPr>
        <w:pStyle w:val="EQRnoteWS"/>
      </w:pPr>
      <w:r w:rsidRPr="00990D3B">
        <w:t>Note (Q</w:t>
      </w:r>
      <w:r w:rsidRPr="00990D3B" w:rsidR="00A1785E">
        <w:t xml:space="preserve"> 5.</w:t>
      </w:r>
      <w:r w:rsidRPr="00990D3B">
        <w:t>19): MCPs should have an established, standard set of edits that verify field content and consistency. For example, a field content data edit would verify that a valid date is entered into the date of service field. Key fields which should be edited include patient identifying information (Medicaid ID, name, date of birth, sex), provider identifying information (name, tax ID, type), date and place of service, and diagnosis and procedure codes. The quality of diagnosis and procedure coding will affect the validity of reports and performance measures submitted by the MCP</w:t>
      </w:r>
    </w:p>
    <w:p w:rsidR="004F6C0E" w:rsidRPr="00990D3B" w:rsidP="00BA1E32" w14:paraId="56C1FB2A" w14:textId="37A6F454">
      <w:pPr>
        <w:pStyle w:val="H2EQRWorksheetlist2"/>
      </w:pPr>
      <w:r w:rsidRPr="00990D3B">
        <w:t>Please complete the following table for Medicaid and CHIP claims and encounter data and other Medicaid and CHIP administrative data. Attach any documentation that should be reviewed to explain the data that is being submitted.</w:t>
      </w:r>
    </w:p>
    <w:tbl>
      <w:tblPr>
        <w:tblStyle w:val="TableGrid"/>
        <w:tblW w:w="5000" w:type="pct"/>
        <w:tblLook w:val="04A0"/>
      </w:tblPr>
      <w:tblGrid>
        <w:gridCol w:w="2765"/>
        <w:gridCol w:w="2096"/>
        <w:gridCol w:w="2064"/>
        <w:gridCol w:w="2425"/>
      </w:tblGrid>
      <w:tr w14:paraId="4CA5A993" w14:textId="77777777" w:rsidTr="00FD12B7">
        <w:tblPrEx>
          <w:tblW w:w="5000" w:type="pct"/>
          <w:tblLook w:val="04A0"/>
        </w:tblPrEx>
        <w:trPr>
          <w:tblHeader/>
        </w:trPr>
        <w:tc>
          <w:tcPr>
            <w:tcW w:w="2765" w:type="dxa"/>
            <w:vAlign w:val="bottom"/>
          </w:tcPr>
          <w:p w:rsidR="004F6C0E" w:rsidRPr="00990D3B" w:rsidP="006C4FE8" w14:paraId="6ACD6135" w14:textId="77777777">
            <w:pPr>
              <w:pStyle w:val="EQRTableText"/>
              <w:rPr>
                <w:b/>
                <w:bCs/>
              </w:rPr>
            </w:pPr>
            <w:r w:rsidRPr="00990D3B">
              <w:rPr>
                <w:b/>
                <w:bCs/>
              </w:rPr>
              <w:t>Item</w:t>
            </w:r>
          </w:p>
        </w:tc>
        <w:tc>
          <w:tcPr>
            <w:tcW w:w="2096" w:type="dxa"/>
            <w:vAlign w:val="bottom"/>
          </w:tcPr>
          <w:p w:rsidR="004F6C0E" w:rsidRPr="00990D3B" w:rsidP="00372E00" w14:paraId="64171E1F" w14:textId="77777777">
            <w:pPr>
              <w:pStyle w:val="EQRTableText"/>
              <w:jc w:val="center"/>
              <w:rPr>
                <w:b/>
                <w:bCs/>
              </w:rPr>
            </w:pPr>
            <w:r w:rsidRPr="00990D3B">
              <w:rPr>
                <w:b/>
                <w:bCs/>
              </w:rPr>
              <w:t>Claims</w:t>
            </w:r>
          </w:p>
        </w:tc>
        <w:tc>
          <w:tcPr>
            <w:tcW w:w="2064" w:type="dxa"/>
            <w:vAlign w:val="bottom"/>
          </w:tcPr>
          <w:p w:rsidR="004F6C0E" w:rsidRPr="00990D3B" w:rsidP="00372E00" w14:paraId="65EB6C71" w14:textId="77777777">
            <w:pPr>
              <w:pStyle w:val="EQRTableText"/>
              <w:jc w:val="center"/>
              <w:rPr>
                <w:b/>
                <w:bCs/>
              </w:rPr>
            </w:pPr>
            <w:r w:rsidRPr="00990D3B">
              <w:rPr>
                <w:b/>
                <w:bCs/>
              </w:rPr>
              <w:t>Encounters</w:t>
            </w:r>
          </w:p>
        </w:tc>
        <w:tc>
          <w:tcPr>
            <w:tcW w:w="2425" w:type="dxa"/>
            <w:vAlign w:val="bottom"/>
          </w:tcPr>
          <w:p w:rsidR="004F6C0E" w:rsidRPr="00990D3B" w:rsidP="00372E00" w14:paraId="13AC1B72" w14:textId="2280113B">
            <w:pPr>
              <w:pStyle w:val="EQRTableText"/>
              <w:jc w:val="center"/>
              <w:rPr>
                <w:b/>
                <w:bCs/>
              </w:rPr>
            </w:pPr>
            <w:r w:rsidRPr="00990D3B">
              <w:rPr>
                <w:b/>
                <w:bCs/>
              </w:rPr>
              <w:t xml:space="preserve">Other </w:t>
            </w:r>
            <w:r w:rsidRPr="00990D3B" w:rsidR="006F56F0">
              <w:rPr>
                <w:b/>
                <w:bCs/>
              </w:rPr>
              <w:t>a</w:t>
            </w:r>
            <w:r w:rsidRPr="00990D3B">
              <w:rPr>
                <w:b/>
                <w:bCs/>
              </w:rPr>
              <w:t xml:space="preserve">dministrative </w:t>
            </w:r>
            <w:r w:rsidRPr="00990D3B" w:rsidR="006F56F0">
              <w:rPr>
                <w:b/>
                <w:bCs/>
              </w:rPr>
              <w:t>d</w:t>
            </w:r>
            <w:r w:rsidRPr="00990D3B">
              <w:rPr>
                <w:b/>
                <w:bCs/>
              </w:rPr>
              <w:t>ata</w:t>
            </w:r>
          </w:p>
        </w:tc>
      </w:tr>
      <w:tr w14:paraId="4D72B101" w14:textId="77777777" w:rsidTr="00FD12B7">
        <w:tblPrEx>
          <w:tblW w:w="5000" w:type="pct"/>
          <w:tblLook w:val="04A0"/>
        </w:tblPrEx>
        <w:tc>
          <w:tcPr>
            <w:tcW w:w="2765" w:type="dxa"/>
          </w:tcPr>
          <w:p w:rsidR="004F6C0E" w:rsidRPr="00990D3B" w:rsidP="006C4FE8" w14:paraId="0A6738FC" w14:textId="77777777">
            <w:pPr>
              <w:pStyle w:val="EQRTableText"/>
            </w:pPr>
            <w:r w:rsidRPr="00990D3B">
              <w:t>Percent of total service volume</w:t>
            </w:r>
          </w:p>
        </w:tc>
        <w:tc>
          <w:tcPr>
            <w:tcW w:w="2096" w:type="dxa"/>
          </w:tcPr>
          <w:p w:rsidR="004F6C0E" w:rsidRPr="00990D3B" w:rsidP="006C4FE8" w14:paraId="3501C116" w14:textId="77777777">
            <w:pPr>
              <w:pStyle w:val="EQRTableText"/>
            </w:pPr>
            <w:r w:rsidRPr="00990D3B">
              <w:t> </w:t>
            </w:r>
          </w:p>
        </w:tc>
        <w:tc>
          <w:tcPr>
            <w:tcW w:w="2064" w:type="dxa"/>
          </w:tcPr>
          <w:p w:rsidR="004F6C0E" w:rsidRPr="00990D3B" w:rsidP="006C4FE8" w14:paraId="1F5942E9" w14:textId="77777777">
            <w:pPr>
              <w:pStyle w:val="EQRTableText"/>
            </w:pPr>
            <w:r w:rsidRPr="00990D3B">
              <w:t> </w:t>
            </w:r>
          </w:p>
        </w:tc>
        <w:tc>
          <w:tcPr>
            <w:tcW w:w="2425" w:type="dxa"/>
          </w:tcPr>
          <w:p w:rsidR="004F6C0E" w:rsidRPr="00990D3B" w:rsidP="006C4FE8" w14:paraId="3E6896EC" w14:textId="77777777">
            <w:pPr>
              <w:pStyle w:val="EQRTableText"/>
            </w:pPr>
            <w:r w:rsidRPr="00990D3B">
              <w:t> </w:t>
            </w:r>
          </w:p>
        </w:tc>
      </w:tr>
      <w:tr w14:paraId="4A7210CD" w14:textId="77777777" w:rsidTr="00FD12B7">
        <w:tblPrEx>
          <w:tblW w:w="5000" w:type="pct"/>
          <w:tblLook w:val="04A0"/>
        </w:tblPrEx>
        <w:tc>
          <w:tcPr>
            <w:tcW w:w="2765" w:type="dxa"/>
          </w:tcPr>
          <w:p w:rsidR="004F6C0E" w:rsidRPr="00990D3B" w:rsidP="006C4FE8" w14:paraId="43FD41F7" w14:textId="77777777">
            <w:pPr>
              <w:pStyle w:val="EQRTableText"/>
            </w:pPr>
            <w:r w:rsidRPr="00990D3B">
              <w:t>Percent complete</w:t>
            </w:r>
          </w:p>
        </w:tc>
        <w:tc>
          <w:tcPr>
            <w:tcW w:w="2096" w:type="dxa"/>
          </w:tcPr>
          <w:p w:rsidR="004F6C0E" w:rsidRPr="00990D3B" w:rsidP="006C4FE8" w14:paraId="65D868F6" w14:textId="77777777">
            <w:pPr>
              <w:pStyle w:val="EQRTableText"/>
            </w:pPr>
            <w:r w:rsidRPr="00990D3B">
              <w:t> </w:t>
            </w:r>
          </w:p>
        </w:tc>
        <w:tc>
          <w:tcPr>
            <w:tcW w:w="2064" w:type="dxa"/>
          </w:tcPr>
          <w:p w:rsidR="004F6C0E" w:rsidRPr="00990D3B" w:rsidP="006C4FE8" w14:paraId="3A3F831A" w14:textId="77777777">
            <w:pPr>
              <w:pStyle w:val="EQRTableText"/>
            </w:pPr>
            <w:r w:rsidRPr="00990D3B">
              <w:t> </w:t>
            </w:r>
          </w:p>
        </w:tc>
        <w:tc>
          <w:tcPr>
            <w:tcW w:w="2425" w:type="dxa"/>
          </w:tcPr>
          <w:p w:rsidR="004F6C0E" w:rsidRPr="00990D3B" w:rsidP="006C4FE8" w14:paraId="31955F34" w14:textId="77777777">
            <w:pPr>
              <w:pStyle w:val="EQRTableText"/>
            </w:pPr>
            <w:r w:rsidRPr="00990D3B">
              <w:t> </w:t>
            </w:r>
          </w:p>
        </w:tc>
      </w:tr>
      <w:tr w14:paraId="101617C2" w14:textId="77777777" w:rsidTr="00FD12B7">
        <w:tblPrEx>
          <w:tblW w:w="5000" w:type="pct"/>
          <w:tblLook w:val="04A0"/>
        </w:tblPrEx>
        <w:tc>
          <w:tcPr>
            <w:tcW w:w="2765" w:type="dxa"/>
          </w:tcPr>
          <w:p w:rsidR="004F6C0E" w:rsidRPr="00990D3B" w:rsidP="006C4FE8" w14:paraId="14FB6A2F" w14:textId="77777777">
            <w:pPr>
              <w:pStyle w:val="EQRTableText"/>
            </w:pPr>
            <w:r w:rsidRPr="00990D3B">
              <w:t>How are the above statistics quantified?</w:t>
            </w:r>
          </w:p>
        </w:tc>
        <w:tc>
          <w:tcPr>
            <w:tcW w:w="2096" w:type="dxa"/>
          </w:tcPr>
          <w:p w:rsidR="004F6C0E" w:rsidRPr="00990D3B" w:rsidP="006C4FE8" w14:paraId="0C253B29" w14:textId="77777777">
            <w:pPr>
              <w:pStyle w:val="EQRTableText"/>
            </w:pPr>
            <w:r w:rsidRPr="00990D3B">
              <w:t> </w:t>
            </w:r>
          </w:p>
        </w:tc>
        <w:tc>
          <w:tcPr>
            <w:tcW w:w="2064" w:type="dxa"/>
          </w:tcPr>
          <w:p w:rsidR="004F6C0E" w:rsidRPr="00990D3B" w:rsidP="006C4FE8" w14:paraId="0B5B3C36" w14:textId="77777777">
            <w:pPr>
              <w:pStyle w:val="EQRTableText"/>
            </w:pPr>
            <w:r w:rsidRPr="00990D3B">
              <w:t> </w:t>
            </w:r>
          </w:p>
        </w:tc>
        <w:tc>
          <w:tcPr>
            <w:tcW w:w="2425" w:type="dxa"/>
          </w:tcPr>
          <w:p w:rsidR="004F6C0E" w:rsidRPr="00990D3B" w:rsidP="006C4FE8" w14:paraId="46218C74" w14:textId="77777777">
            <w:pPr>
              <w:pStyle w:val="EQRTableText"/>
            </w:pPr>
            <w:r w:rsidRPr="00990D3B">
              <w:t> </w:t>
            </w:r>
          </w:p>
        </w:tc>
      </w:tr>
      <w:tr w14:paraId="29D3B3A8" w14:textId="77777777" w:rsidTr="00FD12B7">
        <w:tblPrEx>
          <w:tblW w:w="5000" w:type="pct"/>
          <w:tblLook w:val="04A0"/>
        </w:tblPrEx>
        <w:tc>
          <w:tcPr>
            <w:tcW w:w="2765" w:type="dxa"/>
          </w:tcPr>
          <w:p w:rsidR="004F6C0E" w:rsidRPr="00990D3B" w:rsidP="006C4FE8" w14:paraId="3A9A2A3E" w14:textId="77777777">
            <w:pPr>
              <w:pStyle w:val="EQRTableText"/>
            </w:pPr>
            <w:r w:rsidRPr="00990D3B">
              <w:t>Incentives for data submission</w:t>
            </w:r>
          </w:p>
        </w:tc>
        <w:tc>
          <w:tcPr>
            <w:tcW w:w="2096" w:type="dxa"/>
          </w:tcPr>
          <w:p w:rsidR="004F6C0E" w:rsidRPr="00990D3B" w:rsidP="006C4FE8" w14:paraId="47537247" w14:textId="77777777">
            <w:pPr>
              <w:pStyle w:val="EQRTableText"/>
            </w:pPr>
            <w:r w:rsidRPr="00990D3B">
              <w:t> </w:t>
            </w:r>
          </w:p>
        </w:tc>
        <w:tc>
          <w:tcPr>
            <w:tcW w:w="2064" w:type="dxa"/>
          </w:tcPr>
          <w:p w:rsidR="004F6C0E" w:rsidRPr="00990D3B" w:rsidP="006C4FE8" w14:paraId="6753DAE4" w14:textId="77777777">
            <w:pPr>
              <w:pStyle w:val="EQRTableText"/>
            </w:pPr>
            <w:r w:rsidRPr="00990D3B">
              <w:t> </w:t>
            </w:r>
          </w:p>
        </w:tc>
        <w:tc>
          <w:tcPr>
            <w:tcW w:w="2425" w:type="dxa"/>
          </w:tcPr>
          <w:p w:rsidR="004F6C0E" w:rsidRPr="00990D3B" w:rsidP="006C4FE8" w14:paraId="17015983" w14:textId="77777777">
            <w:pPr>
              <w:pStyle w:val="EQRTableText"/>
            </w:pPr>
            <w:r w:rsidRPr="00990D3B">
              <w:t> </w:t>
            </w:r>
          </w:p>
        </w:tc>
      </w:tr>
    </w:tbl>
    <w:p w:rsidR="004F6C0E" w:rsidRPr="00990D3B" w:rsidP="00372E00" w14:paraId="39A00F4B" w14:textId="6F3E2065">
      <w:pPr>
        <w:pStyle w:val="EQRnoteWS"/>
      </w:pPr>
      <w:r w:rsidRPr="00990D3B">
        <w:t>Note (Q</w:t>
      </w:r>
      <w:r w:rsidRPr="00990D3B" w:rsidR="00A1785E">
        <w:t xml:space="preserve"> 5.</w:t>
      </w:r>
      <w:r w:rsidRPr="00990D3B">
        <w:t xml:space="preserve">20): MCPs with claims data comprising more than 50 percent of their total service volume are likely to have a more complete representation of total MCP experience than MCPs that rely heavily on encounter data. While providers have an incentive to submit claims </w:t>
      </w:r>
      <w:r w:rsidRPr="00990D3B">
        <w:t>in order to</w:t>
      </w:r>
      <w:r w:rsidRPr="00990D3B">
        <w:t xml:space="preserve"> receive payment for services, they do not always have incentives to submit encounter information. If an MCP does not offer providers an incentive, or does not require the submission of encounter data, the MCP may not receive data for every encounter. Other administrative data collected by an MCP could include data from pharmacy or laboratory vendors.</w:t>
      </w:r>
    </w:p>
    <w:p w:rsidR="004F6C0E" w:rsidRPr="00990D3B" w:rsidP="00BA1E32" w14:paraId="4C77933A" w14:textId="787854F3">
      <w:pPr>
        <w:pStyle w:val="H2EQRWorksheetlist2"/>
      </w:pPr>
      <w:r w:rsidRPr="00990D3B">
        <w:t xml:space="preserve">Describe the Medicaid or CHIP claims/encounter suspend (“pend”) process including timeliness of reconciling pended services. What percentage of claims are suspended or </w:t>
      </w:r>
      <w:r w:rsidRPr="00990D3B">
        <w:t>pended</w:t>
      </w:r>
      <w:r w:rsidRPr="00990D3B">
        <w:t xml:space="preserve">? </w:t>
      </w:r>
    </w:p>
    <w:p w:rsidR="004F6C0E" w:rsidRPr="00990D3B" w:rsidP="00372E00" w14:paraId="2257EFE3" w14:textId="74662D80">
      <w:pPr>
        <w:pStyle w:val="EQRnoteWS"/>
      </w:pPr>
      <w:r w:rsidRPr="00990D3B">
        <w:t>Note (Q</w:t>
      </w:r>
      <w:r w:rsidRPr="00990D3B" w:rsidR="00A1785E">
        <w:t xml:space="preserve"> 5.</w:t>
      </w:r>
      <w:r w:rsidRPr="00990D3B">
        <w:t>21): Pended claims/encounters are those claims/encounters that have been suspended during processing because they failed data quality edits or violated provider payment parameters. Information on these claims and encounters will not be available for reporting until they have been reconciled and processed into the system.</w:t>
      </w:r>
    </w:p>
    <w:p w:rsidR="004F6C0E" w:rsidRPr="00990D3B" w:rsidP="00BA1E32" w14:paraId="229AACCF" w14:textId="2DAC3574">
      <w:pPr>
        <w:pStyle w:val="H2EQRWorksheetlist2"/>
      </w:pPr>
      <w:r w:rsidRPr="00990D3B">
        <w:t>Describe how Medicaid or CHIP claims are suspended/pended for medical review, for non-approval due to missing authorization code(s) or for other reasons. What triggers a processor to follow up on “pended” claims? How frequent are these triggers?</w:t>
      </w:r>
    </w:p>
    <w:p w:rsidR="004F6C0E" w:rsidRPr="00990D3B" w:rsidP="00372E00" w14:paraId="22E456C5" w14:textId="7CEFA9E1">
      <w:pPr>
        <w:pStyle w:val="EQRnoteWS"/>
      </w:pPr>
      <w:r w:rsidRPr="00990D3B">
        <w:t>Note (Q</w:t>
      </w:r>
      <w:r w:rsidRPr="00990D3B" w:rsidR="00A1785E">
        <w:t xml:space="preserve"> 5.</w:t>
      </w:r>
      <w:r w:rsidRPr="00990D3B">
        <w:t>22): Review and processing should not be handled by the same employee. A system should be in place which encourages the processor to follow-up on the status of claims in review that have not yet been approved to ensure they are resolved.</w:t>
      </w:r>
    </w:p>
    <w:p w:rsidR="004F6C0E" w:rsidRPr="00990D3B" w:rsidP="00BA1E32" w14:paraId="2CE187AD" w14:textId="14E4778C">
      <w:pPr>
        <w:pStyle w:val="H2EQRWorksheetlist2"/>
      </w:pPr>
      <w:r w:rsidRPr="00990D3B">
        <w:t>Are any of your Medicaid or CHIP services/providers capitated?</w:t>
      </w:r>
    </w:p>
    <w:p w:rsidR="004F6C0E" w:rsidRPr="00990D3B" w:rsidP="002066F7" w14:paraId="631ED5F5" w14:textId="59D565B6">
      <w:pPr>
        <w:pStyle w:val="H2EQRWorksheetlist3"/>
        <w:ind w:left="1339" w:hanging="187"/>
      </w:pPr>
      <w:r w:rsidRPr="00990D3B">
        <w:t xml:space="preserve">If yes, have you conducted studies on the completeness of the information collected on capitated services?  </w:t>
      </w:r>
    </w:p>
    <w:p w:rsidR="004F6C0E" w:rsidRPr="00990D3B" w:rsidP="002066F7" w14:paraId="3102F73D" w14:textId="36B759A2">
      <w:pPr>
        <w:pStyle w:val="H2EQRWorksheetlist3"/>
        <w:ind w:left="1339" w:hanging="187"/>
      </w:pPr>
      <w:r w:rsidRPr="00990D3B">
        <w:t>If yes, what were the results?</w:t>
      </w:r>
    </w:p>
    <w:p w:rsidR="004F6C0E" w:rsidRPr="00990D3B" w:rsidP="00372E00" w14:paraId="59D3B3D4" w14:textId="6765FE00">
      <w:pPr>
        <w:pStyle w:val="EQRnoteWS"/>
      </w:pPr>
      <w:r w:rsidRPr="00990D3B">
        <w:t>Note (Q</w:t>
      </w:r>
      <w:r w:rsidRPr="00990D3B" w:rsidR="00A1785E">
        <w:t xml:space="preserve"> 5.</w:t>
      </w:r>
      <w:r w:rsidRPr="00990D3B">
        <w:t xml:space="preserve">23b): Because provider payment for capitated services is not determined by the encounter data submitted, providers do not have an incentive to submit complete and accurate information on every service provided. Data on capitated services often does not include the same level of detail as fee-for-service claims information. Per service pricing information may not be available when providers are paid on a capitated basis but at least the amount of the capitation payment should be available. </w:t>
      </w:r>
      <w:r w:rsidRPr="00990D3B" w:rsidR="00BB499D">
        <w:t xml:space="preserve">MCPs </w:t>
      </w:r>
      <w:r w:rsidRPr="00990D3B">
        <w:t>should be aware that capitated data is less complete and should audit the data at least annually to monitor its quality.</w:t>
      </w:r>
    </w:p>
    <w:p w:rsidR="004F6C0E" w:rsidRPr="00990D3B" w:rsidP="00BA1E32" w14:paraId="29A6AF99" w14:textId="715E04D7">
      <w:pPr>
        <w:pStyle w:val="H2EQRWorksheetlist2"/>
      </w:pPr>
      <w:r w:rsidRPr="00990D3B">
        <w:t xml:space="preserve">In the following table, enter the claim/encounter system(s) for each product line offered to Medicaid or CHIP enrollees. </w:t>
      </w:r>
    </w:p>
    <w:p w:rsidR="004F6C0E" w:rsidRPr="00990D3B" w:rsidP="00372E00" w14:paraId="7AAB436A" w14:textId="7E9901D0">
      <w:pPr>
        <w:pStyle w:val="EQRnoteWS"/>
      </w:pPr>
      <w:r w:rsidRPr="00990D3B">
        <w:t>Note (Q</w:t>
      </w:r>
      <w:r w:rsidRPr="00990D3B" w:rsidR="00A1785E">
        <w:t xml:space="preserve"> 5.</w:t>
      </w:r>
      <w:r w:rsidRPr="00990D3B">
        <w:t xml:space="preserve">24): Typically, there is just one product line offered to Medicaid or CHIP enrollees, but there may be some circumstances in which an MCP offers additional product lines to the state (e.g., partial risk products, premium assistance programs).  </w:t>
      </w:r>
    </w:p>
    <w:tbl>
      <w:tblPr>
        <w:tblStyle w:val="TableGrid"/>
        <w:tblW w:w="5000" w:type="pct"/>
        <w:tblLook w:val="04A0"/>
      </w:tblPr>
      <w:tblGrid>
        <w:gridCol w:w="2830"/>
        <w:gridCol w:w="2119"/>
        <w:gridCol w:w="2195"/>
        <w:gridCol w:w="2206"/>
      </w:tblGrid>
      <w:tr w14:paraId="567DCEA8" w14:textId="77777777" w:rsidTr="00CC70D1">
        <w:tblPrEx>
          <w:tblW w:w="5000" w:type="pct"/>
          <w:tblLook w:val="04A0"/>
        </w:tblPrEx>
        <w:trPr>
          <w:tblHeader/>
        </w:trPr>
        <w:tc>
          <w:tcPr>
            <w:tcW w:w="3055" w:type="dxa"/>
            <w:vAlign w:val="bottom"/>
          </w:tcPr>
          <w:p w:rsidR="004F6C0E" w:rsidRPr="00990D3B" w:rsidP="006E31B4" w14:paraId="17463A9D" w14:textId="77777777">
            <w:pPr>
              <w:pStyle w:val="EQRTableText"/>
              <w:rPr>
                <w:b/>
                <w:bCs/>
              </w:rPr>
            </w:pPr>
            <w:r w:rsidRPr="00990D3B">
              <w:rPr>
                <w:b/>
                <w:bCs/>
              </w:rPr>
              <w:t>Medicaid</w:t>
            </w:r>
          </w:p>
        </w:tc>
        <w:tc>
          <w:tcPr>
            <w:tcW w:w="1843" w:type="dxa"/>
            <w:vAlign w:val="bottom"/>
          </w:tcPr>
          <w:p w:rsidR="004F6C0E" w:rsidRPr="00990D3B" w:rsidP="006E31B4" w14:paraId="7C434B4F" w14:textId="77777777">
            <w:pPr>
              <w:pStyle w:val="EQRTableText"/>
              <w:rPr>
                <w:b/>
                <w:bCs/>
              </w:rPr>
            </w:pPr>
            <w:r w:rsidRPr="00990D3B">
              <w:rPr>
                <w:b/>
                <w:bCs/>
              </w:rPr>
              <w:t> </w:t>
            </w:r>
          </w:p>
        </w:tc>
        <w:tc>
          <w:tcPr>
            <w:tcW w:w="2219" w:type="dxa"/>
            <w:vAlign w:val="bottom"/>
          </w:tcPr>
          <w:p w:rsidR="004F6C0E" w:rsidRPr="00990D3B" w:rsidP="003003C2" w14:paraId="3CAD1155" w14:textId="77777777">
            <w:pPr>
              <w:pStyle w:val="EQRTableText"/>
              <w:rPr>
                <w:b/>
                <w:bCs/>
              </w:rPr>
            </w:pPr>
            <w:r w:rsidRPr="00990D3B">
              <w:rPr>
                <w:b/>
                <w:bCs/>
              </w:rPr>
              <w:t> </w:t>
            </w:r>
          </w:p>
        </w:tc>
        <w:tc>
          <w:tcPr>
            <w:tcW w:w="2233" w:type="dxa"/>
            <w:vAlign w:val="bottom"/>
          </w:tcPr>
          <w:p w:rsidR="004F6C0E" w:rsidRPr="00990D3B" w:rsidP="003003C2" w14:paraId="567EB8A1" w14:textId="77777777">
            <w:pPr>
              <w:pStyle w:val="EQRTableText"/>
              <w:rPr>
                <w:b/>
                <w:bCs/>
              </w:rPr>
            </w:pPr>
            <w:r w:rsidRPr="00990D3B">
              <w:rPr>
                <w:b/>
                <w:bCs/>
              </w:rPr>
              <w:t> </w:t>
            </w:r>
          </w:p>
        </w:tc>
      </w:tr>
      <w:tr w14:paraId="4E8D8314" w14:textId="77777777" w:rsidTr="00CC70D1">
        <w:tblPrEx>
          <w:tblW w:w="5000" w:type="pct"/>
          <w:tblLook w:val="04A0"/>
        </w:tblPrEx>
        <w:trPr>
          <w:tblHeader/>
        </w:trPr>
        <w:tc>
          <w:tcPr>
            <w:tcW w:w="3055" w:type="dxa"/>
            <w:vAlign w:val="bottom"/>
          </w:tcPr>
          <w:p w:rsidR="004F6C0E" w:rsidRPr="00990D3B" w:rsidP="006E31B4" w14:paraId="336DD887" w14:textId="5C7DD3FC">
            <w:pPr>
              <w:pStyle w:val="EQRTableText"/>
              <w:rPr>
                <w:b/>
                <w:bCs/>
              </w:rPr>
            </w:pPr>
            <w:r w:rsidRPr="00990D3B">
              <w:rPr>
                <w:b/>
                <w:bCs/>
              </w:rPr>
              <w:t xml:space="preserve">Systems </w:t>
            </w:r>
            <w:r w:rsidRPr="00990D3B" w:rsidR="006F56F0">
              <w:rPr>
                <w:b/>
                <w:bCs/>
              </w:rPr>
              <w:t>u</w:t>
            </w:r>
            <w:r w:rsidRPr="00990D3B">
              <w:rPr>
                <w:b/>
                <w:bCs/>
              </w:rPr>
              <w:t xml:space="preserve">sed to </w:t>
            </w:r>
            <w:r w:rsidRPr="00990D3B" w:rsidR="006F56F0">
              <w:rPr>
                <w:b/>
                <w:bCs/>
              </w:rPr>
              <w:t>p</w:t>
            </w:r>
            <w:r w:rsidRPr="00990D3B">
              <w:rPr>
                <w:b/>
                <w:bCs/>
              </w:rPr>
              <w:t>rocess</w:t>
            </w:r>
          </w:p>
          <w:p w:rsidR="004F6C0E" w:rsidRPr="00990D3B" w:rsidP="006E31B4" w14:paraId="18187030" w14:textId="77777777">
            <w:pPr>
              <w:pStyle w:val="EQRTableText"/>
              <w:rPr>
                <w:b/>
                <w:bCs/>
              </w:rPr>
            </w:pPr>
            <w:r w:rsidRPr="00990D3B">
              <w:rPr>
                <w:b/>
                <w:bCs/>
              </w:rPr>
              <w:t>____________________</w:t>
            </w:r>
          </w:p>
        </w:tc>
        <w:tc>
          <w:tcPr>
            <w:tcW w:w="1843" w:type="dxa"/>
            <w:vAlign w:val="bottom"/>
          </w:tcPr>
          <w:p w:rsidR="004F6C0E" w:rsidRPr="00990D3B" w:rsidP="006E31B4" w14:paraId="7C949D4D" w14:textId="7EE4F03A">
            <w:pPr>
              <w:pStyle w:val="EQRTableText"/>
              <w:rPr>
                <w:b/>
                <w:bCs/>
              </w:rPr>
            </w:pPr>
            <w:r w:rsidRPr="00990D3B">
              <w:rPr>
                <w:b/>
                <w:bCs/>
              </w:rPr>
              <w:t xml:space="preserve">Product </w:t>
            </w:r>
            <w:r w:rsidRPr="00990D3B" w:rsidR="006F56F0">
              <w:rPr>
                <w:b/>
                <w:bCs/>
              </w:rPr>
              <w:t>l</w:t>
            </w:r>
            <w:r w:rsidRPr="00990D3B">
              <w:rPr>
                <w:b/>
                <w:bCs/>
              </w:rPr>
              <w:t>ine:</w:t>
            </w:r>
          </w:p>
          <w:p w:rsidR="004F6C0E" w:rsidRPr="00990D3B" w:rsidP="006E31B4" w14:paraId="6C639831" w14:textId="77777777">
            <w:pPr>
              <w:pStyle w:val="EQRTableText"/>
              <w:rPr>
                <w:b/>
                <w:bCs/>
              </w:rPr>
            </w:pPr>
            <w:r w:rsidRPr="00990D3B">
              <w:rPr>
                <w:b/>
                <w:bCs/>
              </w:rPr>
              <w:t>____________________</w:t>
            </w:r>
          </w:p>
        </w:tc>
        <w:tc>
          <w:tcPr>
            <w:tcW w:w="2219" w:type="dxa"/>
            <w:vAlign w:val="bottom"/>
          </w:tcPr>
          <w:p w:rsidR="004F6C0E" w:rsidRPr="00990D3B" w:rsidP="003003C2" w14:paraId="43D28E81" w14:textId="68CB4E0D">
            <w:pPr>
              <w:pStyle w:val="EQRTableText"/>
              <w:rPr>
                <w:b/>
                <w:bCs/>
              </w:rPr>
            </w:pPr>
            <w:r w:rsidRPr="00990D3B">
              <w:rPr>
                <w:b/>
                <w:bCs/>
              </w:rPr>
              <w:t xml:space="preserve">Product </w:t>
            </w:r>
            <w:r w:rsidRPr="00990D3B" w:rsidR="006F56F0">
              <w:rPr>
                <w:b/>
                <w:bCs/>
              </w:rPr>
              <w:t>l</w:t>
            </w:r>
            <w:r w:rsidRPr="00990D3B">
              <w:rPr>
                <w:b/>
                <w:bCs/>
              </w:rPr>
              <w:t>ine:</w:t>
            </w:r>
          </w:p>
          <w:p w:rsidR="004F6C0E" w:rsidRPr="00990D3B" w:rsidP="006E31B4" w14:paraId="7FB1CAB1" w14:textId="77777777">
            <w:pPr>
              <w:pStyle w:val="EQRTableText"/>
              <w:rPr>
                <w:b/>
                <w:bCs/>
              </w:rPr>
            </w:pPr>
            <w:r w:rsidRPr="00990D3B">
              <w:rPr>
                <w:b/>
                <w:bCs/>
              </w:rPr>
              <w:t>____________________</w:t>
            </w:r>
          </w:p>
        </w:tc>
        <w:tc>
          <w:tcPr>
            <w:tcW w:w="2233" w:type="dxa"/>
            <w:vAlign w:val="bottom"/>
          </w:tcPr>
          <w:p w:rsidR="004F6C0E" w:rsidRPr="00990D3B" w:rsidP="003003C2" w14:paraId="62B9F4B7" w14:textId="1ECEDB6A">
            <w:pPr>
              <w:pStyle w:val="EQRTableText"/>
              <w:rPr>
                <w:b/>
                <w:bCs/>
              </w:rPr>
            </w:pPr>
            <w:r w:rsidRPr="00990D3B">
              <w:rPr>
                <w:b/>
                <w:bCs/>
              </w:rPr>
              <w:t xml:space="preserve">Product </w:t>
            </w:r>
            <w:r w:rsidRPr="00990D3B" w:rsidR="006F56F0">
              <w:rPr>
                <w:b/>
                <w:bCs/>
              </w:rPr>
              <w:t>l</w:t>
            </w:r>
            <w:r w:rsidRPr="00990D3B">
              <w:rPr>
                <w:b/>
                <w:bCs/>
              </w:rPr>
              <w:t>ine:</w:t>
            </w:r>
          </w:p>
          <w:p w:rsidR="004F6C0E" w:rsidRPr="00990D3B" w:rsidP="006E31B4" w14:paraId="12EDF99C" w14:textId="77777777">
            <w:pPr>
              <w:pStyle w:val="EQRTableText"/>
              <w:rPr>
                <w:b/>
                <w:bCs/>
              </w:rPr>
            </w:pPr>
            <w:r w:rsidRPr="00990D3B">
              <w:rPr>
                <w:b/>
                <w:bCs/>
              </w:rPr>
              <w:t>____________________</w:t>
            </w:r>
          </w:p>
        </w:tc>
      </w:tr>
      <w:tr w14:paraId="7C94A9C2" w14:textId="77777777" w:rsidTr="00FD12B7">
        <w:tblPrEx>
          <w:tblW w:w="5000" w:type="pct"/>
          <w:tblLook w:val="04A0"/>
        </w:tblPrEx>
        <w:tc>
          <w:tcPr>
            <w:tcW w:w="3055" w:type="dxa"/>
            <w:vAlign w:val="center"/>
          </w:tcPr>
          <w:p w:rsidR="004F6C0E" w:rsidRPr="00990D3B" w:rsidP="006F0D4C" w14:paraId="25EA72F4" w14:textId="48035F57">
            <w:pPr>
              <w:pStyle w:val="EQRTableText"/>
            </w:pPr>
            <w:r w:rsidRPr="00990D3B">
              <w:t>FFS</w:t>
            </w:r>
            <w:r w:rsidRPr="00990D3B">
              <w:t xml:space="preserve"> (indemnity) claims</w:t>
            </w:r>
          </w:p>
        </w:tc>
        <w:tc>
          <w:tcPr>
            <w:tcW w:w="1843" w:type="dxa"/>
            <w:vAlign w:val="bottom"/>
          </w:tcPr>
          <w:p w:rsidR="004F6C0E" w:rsidRPr="00990D3B" w:rsidP="006F0D4C" w14:paraId="2E48C891" w14:textId="77777777">
            <w:pPr>
              <w:pStyle w:val="EQRTableText"/>
            </w:pPr>
            <w:r w:rsidRPr="00990D3B">
              <w:t> </w:t>
            </w:r>
          </w:p>
        </w:tc>
        <w:tc>
          <w:tcPr>
            <w:tcW w:w="2219" w:type="dxa"/>
            <w:vAlign w:val="bottom"/>
          </w:tcPr>
          <w:p w:rsidR="004F6C0E" w:rsidRPr="00990D3B" w:rsidP="006F0D4C" w14:paraId="394338EB" w14:textId="77777777">
            <w:pPr>
              <w:pStyle w:val="EQRTableText"/>
            </w:pPr>
            <w:r w:rsidRPr="00990D3B">
              <w:t> </w:t>
            </w:r>
          </w:p>
        </w:tc>
        <w:tc>
          <w:tcPr>
            <w:tcW w:w="2233" w:type="dxa"/>
            <w:vAlign w:val="bottom"/>
          </w:tcPr>
          <w:p w:rsidR="004F6C0E" w:rsidRPr="00990D3B" w:rsidP="006F0D4C" w14:paraId="62EB6BD5" w14:textId="77777777">
            <w:pPr>
              <w:pStyle w:val="EQRTableText"/>
            </w:pPr>
            <w:r w:rsidRPr="00990D3B">
              <w:t> </w:t>
            </w:r>
          </w:p>
        </w:tc>
      </w:tr>
      <w:tr w14:paraId="0D76DDD2" w14:textId="77777777" w:rsidTr="00FD12B7">
        <w:tblPrEx>
          <w:tblW w:w="5000" w:type="pct"/>
          <w:tblLook w:val="04A0"/>
        </w:tblPrEx>
        <w:tc>
          <w:tcPr>
            <w:tcW w:w="3055" w:type="dxa"/>
            <w:vAlign w:val="center"/>
          </w:tcPr>
          <w:p w:rsidR="004F6C0E" w:rsidRPr="00990D3B" w:rsidP="006F0D4C" w14:paraId="6E418071" w14:textId="77777777">
            <w:pPr>
              <w:pStyle w:val="EQRTableText"/>
            </w:pPr>
            <w:r w:rsidRPr="00990D3B">
              <w:t>Capitated service encounters</w:t>
            </w:r>
          </w:p>
        </w:tc>
        <w:tc>
          <w:tcPr>
            <w:tcW w:w="1843" w:type="dxa"/>
          </w:tcPr>
          <w:p w:rsidR="004F6C0E" w:rsidRPr="00990D3B" w:rsidP="006F0D4C" w14:paraId="61E970C0" w14:textId="77777777">
            <w:pPr>
              <w:pStyle w:val="EQRTableText"/>
            </w:pPr>
            <w:r w:rsidRPr="00990D3B">
              <w:t> </w:t>
            </w:r>
          </w:p>
        </w:tc>
        <w:tc>
          <w:tcPr>
            <w:tcW w:w="2219" w:type="dxa"/>
          </w:tcPr>
          <w:p w:rsidR="004F6C0E" w:rsidRPr="00990D3B" w:rsidP="006F0D4C" w14:paraId="53975FC6" w14:textId="77777777">
            <w:pPr>
              <w:pStyle w:val="EQRTableText"/>
            </w:pPr>
            <w:r w:rsidRPr="00990D3B">
              <w:t> </w:t>
            </w:r>
          </w:p>
        </w:tc>
        <w:tc>
          <w:tcPr>
            <w:tcW w:w="2233" w:type="dxa"/>
          </w:tcPr>
          <w:p w:rsidR="004F6C0E" w:rsidRPr="00990D3B" w:rsidP="006F0D4C" w14:paraId="71420997" w14:textId="77777777">
            <w:pPr>
              <w:pStyle w:val="EQRTableText"/>
            </w:pPr>
            <w:r w:rsidRPr="00990D3B">
              <w:t> </w:t>
            </w:r>
          </w:p>
        </w:tc>
      </w:tr>
      <w:tr w14:paraId="3D440C8D" w14:textId="77777777" w:rsidTr="00FD12B7">
        <w:tblPrEx>
          <w:tblW w:w="5000" w:type="pct"/>
          <w:tblLook w:val="04A0"/>
        </w:tblPrEx>
        <w:tc>
          <w:tcPr>
            <w:tcW w:w="3055" w:type="dxa"/>
            <w:vAlign w:val="center"/>
          </w:tcPr>
          <w:p w:rsidR="004F6C0E" w:rsidRPr="00990D3B" w:rsidP="006F0D4C" w14:paraId="24286D6D" w14:textId="77777777">
            <w:pPr>
              <w:pStyle w:val="EQRTableText"/>
            </w:pPr>
            <w:r w:rsidRPr="00990D3B">
              <w:t>Clinic patient registrations</w:t>
            </w:r>
          </w:p>
        </w:tc>
        <w:tc>
          <w:tcPr>
            <w:tcW w:w="1843" w:type="dxa"/>
          </w:tcPr>
          <w:p w:rsidR="004F6C0E" w:rsidRPr="00990D3B" w:rsidP="006F0D4C" w14:paraId="3DFAA18D" w14:textId="77777777">
            <w:pPr>
              <w:pStyle w:val="EQRTableText"/>
            </w:pPr>
            <w:r w:rsidRPr="00990D3B">
              <w:t> </w:t>
            </w:r>
          </w:p>
        </w:tc>
        <w:tc>
          <w:tcPr>
            <w:tcW w:w="2219" w:type="dxa"/>
          </w:tcPr>
          <w:p w:rsidR="004F6C0E" w:rsidRPr="00990D3B" w:rsidP="006F0D4C" w14:paraId="5314657B" w14:textId="77777777">
            <w:pPr>
              <w:pStyle w:val="EQRTableText"/>
            </w:pPr>
            <w:r w:rsidRPr="00990D3B">
              <w:t> </w:t>
            </w:r>
          </w:p>
        </w:tc>
        <w:tc>
          <w:tcPr>
            <w:tcW w:w="2233" w:type="dxa"/>
          </w:tcPr>
          <w:p w:rsidR="004F6C0E" w:rsidRPr="00990D3B" w:rsidP="006F0D4C" w14:paraId="5085EF8E" w14:textId="77777777">
            <w:pPr>
              <w:pStyle w:val="EQRTableText"/>
            </w:pPr>
            <w:r w:rsidRPr="00990D3B">
              <w:t> </w:t>
            </w:r>
          </w:p>
        </w:tc>
      </w:tr>
      <w:tr w14:paraId="4AC1DBAE" w14:textId="77777777" w:rsidTr="00FD12B7">
        <w:tblPrEx>
          <w:tblW w:w="5000" w:type="pct"/>
          <w:tblLook w:val="04A0"/>
        </w:tblPrEx>
        <w:tc>
          <w:tcPr>
            <w:tcW w:w="3055" w:type="dxa"/>
            <w:vAlign w:val="center"/>
          </w:tcPr>
          <w:p w:rsidR="004F6C0E" w:rsidRPr="00990D3B" w:rsidP="006F0D4C" w14:paraId="76A261A0" w14:textId="77777777">
            <w:pPr>
              <w:pStyle w:val="EQRTableText"/>
            </w:pPr>
            <w:r w:rsidRPr="00990D3B">
              <w:t>Pharmacy claims</w:t>
            </w:r>
          </w:p>
        </w:tc>
        <w:tc>
          <w:tcPr>
            <w:tcW w:w="1843" w:type="dxa"/>
          </w:tcPr>
          <w:p w:rsidR="004F6C0E" w:rsidRPr="00990D3B" w:rsidP="006F0D4C" w14:paraId="4E882040" w14:textId="77777777">
            <w:pPr>
              <w:pStyle w:val="EQRTableText"/>
            </w:pPr>
            <w:r w:rsidRPr="00990D3B">
              <w:t> </w:t>
            </w:r>
          </w:p>
        </w:tc>
        <w:tc>
          <w:tcPr>
            <w:tcW w:w="2219" w:type="dxa"/>
          </w:tcPr>
          <w:p w:rsidR="004F6C0E" w:rsidRPr="00990D3B" w:rsidP="006F0D4C" w14:paraId="574A0B18" w14:textId="77777777">
            <w:pPr>
              <w:pStyle w:val="EQRTableText"/>
            </w:pPr>
            <w:r w:rsidRPr="00990D3B">
              <w:t> </w:t>
            </w:r>
          </w:p>
        </w:tc>
        <w:tc>
          <w:tcPr>
            <w:tcW w:w="2233" w:type="dxa"/>
          </w:tcPr>
          <w:p w:rsidR="004F6C0E" w:rsidRPr="00990D3B" w:rsidP="006F0D4C" w14:paraId="4E987B5F" w14:textId="77777777">
            <w:pPr>
              <w:pStyle w:val="EQRTableText"/>
            </w:pPr>
            <w:r w:rsidRPr="00990D3B">
              <w:t> </w:t>
            </w:r>
          </w:p>
        </w:tc>
      </w:tr>
      <w:tr w14:paraId="23E96330" w14:textId="77777777" w:rsidTr="00FD12B7">
        <w:tblPrEx>
          <w:tblW w:w="5000" w:type="pct"/>
          <w:tblLook w:val="04A0"/>
        </w:tblPrEx>
        <w:tc>
          <w:tcPr>
            <w:tcW w:w="3055" w:type="dxa"/>
            <w:vAlign w:val="center"/>
          </w:tcPr>
          <w:p w:rsidR="004F6C0E" w:rsidRPr="00990D3B" w:rsidP="006F0D4C" w14:paraId="0A1578D5" w14:textId="77777777">
            <w:pPr>
              <w:pStyle w:val="EQRTableText"/>
            </w:pPr>
            <w:r w:rsidRPr="00990D3B">
              <w:t>Other (describe)</w:t>
            </w:r>
          </w:p>
        </w:tc>
        <w:tc>
          <w:tcPr>
            <w:tcW w:w="1843" w:type="dxa"/>
          </w:tcPr>
          <w:p w:rsidR="004F6C0E" w:rsidRPr="00990D3B" w:rsidP="006F0D4C" w14:paraId="74C935F4" w14:textId="77777777">
            <w:pPr>
              <w:pStyle w:val="EQRTableText"/>
            </w:pPr>
            <w:r w:rsidRPr="00990D3B">
              <w:t> </w:t>
            </w:r>
          </w:p>
        </w:tc>
        <w:tc>
          <w:tcPr>
            <w:tcW w:w="2219" w:type="dxa"/>
          </w:tcPr>
          <w:p w:rsidR="004F6C0E" w:rsidRPr="00990D3B" w:rsidP="006F0D4C" w14:paraId="6627C2C8" w14:textId="77777777">
            <w:pPr>
              <w:pStyle w:val="EQRTableText"/>
            </w:pPr>
            <w:r w:rsidRPr="00990D3B">
              <w:t> </w:t>
            </w:r>
          </w:p>
        </w:tc>
        <w:tc>
          <w:tcPr>
            <w:tcW w:w="2233" w:type="dxa"/>
          </w:tcPr>
          <w:p w:rsidR="004F6C0E" w:rsidRPr="00990D3B" w:rsidP="006F0D4C" w14:paraId="1E68574A" w14:textId="77777777">
            <w:pPr>
              <w:pStyle w:val="EQRTableText"/>
            </w:pPr>
            <w:r w:rsidRPr="00990D3B">
              <w:t> </w:t>
            </w:r>
          </w:p>
        </w:tc>
      </w:tr>
    </w:tbl>
    <w:p w:rsidR="004F6C0E" w:rsidRPr="00990D3B" w:rsidP="00190A01" w14:paraId="4B8EEFD8" w14:textId="77777777">
      <w:pPr>
        <w:pStyle w:val="EQRNormalSSWORKSHEET"/>
      </w:pPr>
    </w:p>
    <w:tbl>
      <w:tblPr>
        <w:tblStyle w:val="TableGrid"/>
        <w:tblW w:w="5000" w:type="pct"/>
        <w:tblLook w:val="04A0"/>
      </w:tblPr>
      <w:tblGrid>
        <w:gridCol w:w="2679"/>
        <w:gridCol w:w="2219"/>
        <w:gridCol w:w="2219"/>
        <w:gridCol w:w="2233"/>
      </w:tblGrid>
      <w:tr w14:paraId="576AE9C0" w14:textId="77777777" w:rsidTr="00A81DD6">
        <w:tblPrEx>
          <w:tblW w:w="5000" w:type="pct"/>
          <w:tblLook w:val="04A0"/>
        </w:tblPrEx>
        <w:tc>
          <w:tcPr>
            <w:tcW w:w="2679" w:type="dxa"/>
            <w:vAlign w:val="bottom"/>
          </w:tcPr>
          <w:p w:rsidR="004F6C0E" w:rsidRPr="00990D3B" w:rsidP="00A81DD6" w14:paraId="45940F47" w14:textId="77777777">
            <w:pPr>
              <w:pStyle w:val="EQRTableText"/>
              <w:rPr>
                <w:b/>
                <w:bCs/>
              </w:rPr>
            </w:pPr>
            <w:r w:rsidRPr="00990D3B">
              <w:rPr>
                <w:b/>
                <w:bCs/>
              </w:rPr>
              <w:t>CHIP (if applicable)</w:t>
            </w:r>
          </w:p>
        </w:tc>
        <w:tc>
          <w:tcPr>
            <w:tcW w:w="2219" w:type="dxa"/>
            <w:vAlign w:val="bottom"/>
          </w:tcPr>
          <w:p w:rsidR="004F6C0E" w:rsidRPr="00990D3B" w:rsidP="00A81DD6" w14:paraId="5C1B0084" w14:textId="77777777">
            <w:pPr>
              <w:pStyle w:val="EQRTableText"/>
              <w:rPr>
                <w:b/>
                <w:bCs/>
              </w:rPr>
            </w:pPr>
            <w:r w:rsidRPr="00990D3B">
              <w:rPr>
                <w:b/>
                <w:bCs/>
              </w:rPr>
              <w:t> </w:t>
            </w:r>
          </w:p>
        </w:tc>
        <w:tc>
          <w:tcPr>
            <w:tcW w:w="2219" w:type="dxa"/>
            <w:vAlign w:val="bottom"/>
          </w:tcPr>
          <w:p w:rsidR="004F6C0E" w:rsidRPr="00990D3B" w:rsidP="00A81DD6" w14:paraId="12EFAD1C" w14:textId="77777777">
            <w:pPr>
              <w:pStyle w:val="EQRTableText"/>
              <w:rPr>
                <w:b/>
                <w:bCs/>
              </w:rPr>
            </w:pPr>
            <w:r w:rsidRPr="00990D3B">
              <w:rPr>
                <w:b/>
                <w:bCs/>
              </w:rPr>
              <w:t> </w:t>
            </w:r>
          </w:p>
        </w:tc>
        <w:tc>
          <w:tcPr>
            <w:tcW w:w="2233" w:type="dxa"/>
            <w:vAlign w:val="bottom"/>
          </w:tcPr>
          <w:p w:rsidR="004F6C0E" w:rsidRPr="00990D3B" w:rsidP="00A81DD6" w14:paraId="0FD0C6E5" w14:textId="77777777">
            <w:pPr>
              <w:pStyle w:val="EQRTableText"/>
              <w:rPr>
                <w:b/>
                <w:bCs/>
              </w:rPr>
            </w:pPr>
            <w:r w:rsidRPr="00990D3B">
              <w:rPr>
                <w:b/>
                <w:bCs/>
              </w:rPr>
              <w:t> </w:t>
            </w:r>
          </w:p>
        </w:tc>
      </w:tr>
      <w:tr w14:paraId="32D94D99" w14:textId="77777777" w:rsidTr="00A81DD6">
        <w:tblPrEx>
          <w:tblW w:w="5000" w:type="pct"/>
          <w:tblLook w:val="04A0"/>
        </w:tblPrEx>
        <w:tc>
          <w:tcPr>
            <w:tcW w:w="2679" w:type="dxa"/>
            <w:vAlign w:val="bottom"/>
          </w:tcPr>
          <w:p w:rsidR="006F56F0" w:rsidRPr="00990D3B" w:rsidP="006F56F0" w14:paraId="2DD1A4AD" w14:textId="77777777">
            <w:pPr>
              <w:pStyle w:val="EQRTableText"/>
              <w:rPr>
                <w:b/>
                <w:bCs/>
              </w:rPr>
            </w:pPr>
            <w:r w:rsidRPr="00990D3B">
              <w:rPr>
                <w:b/>
                <w:bCs/>
              </w:rPr>
              <w:t>Systems used to process</w:t>
            </w:r>
          </w:p>
          <w:p w:rsidR="006F56F0" w:rsidRPr="00990D3B" w:rsidP="006F56F0" w14:paraId="0FCF1B26" w14:textId="5EA758F6">
            <w:pPr>
              <w:pStyle w:val="EQRTableText"/>
              <w:rPr>
                <w:b/>
                <w:bCs/>
              </w:rPr>
            </w:pPr>
            <w:r w:rsidRPr="00990D3B">
              <w:rPr>
                <w:b/>
                <w:bCs/>
              </w:rPr>
              <w:t>____________________</w:t>
            </w:r>
          </w:p>
        </w:tc>
        <w:tc>
          <w:tcPr>
            <w:tcW w:w="2219" w:type="dxa"/>
            <w:vAlign w:val="bottom"/>
          </w:tcPr>
          <w:p w:rsidR="006F56F0" w:rsidRPr="00990D3B" w:rsidP="006F56F0" w14:paraId="662B2D93" w14:textId="77777777">
            <w:pPr>
              <w:pStyle w:val="EQRTableText"/>
              <w:rPr>
                <w:b/>
                <w:bCs/>
              </w:rPr>
            </w:pPr>
            <w:r w:rsidRPr="00990D3B">
              <w:rPr>
                <w:b/>
                <w:bCs/>
              </w:rPr>
              <w:t>Product line:</w:t>
            </w:r>
          </w:p>
          <w:p w:rsidR="006F56F0" w:rsidRPr="00990D3B" w:rsidP="006F56F0" w14:paraId="24631C65" w14:textId="21804C60">
            <w:pPr>
              <w:pStyle w:val="EQRTableText"/>
              <w:rPr>
                <w:b/>
                <w:bCs/>
              </w:rPr>
            </w:pPr>
            <w:r w:rsidRPr="00990D3B">
              <w:rPr>
                <w:b/>
                <w:bCs/>
              </w:rPr>
              <w:t>____________________</w:t>
            </w:r>
          </w:p>
        </w:tc>
        <w:tc>
          <w:tcPr>
            <w:tcW w:w="2219" w:type="dxa"/>
            <w:vAlign w:val="bottom"/>
          </w:tcPr>
          <w:p w:rsidR="006F56F0" w:rsidRPr="00990D3B" w:rsidP="006F56F0" w14:paraId="37542718" w14:textId="77777777">
            <w:pPr>
              <w:pStyle w:val="EQRTableText"/>
              <w:rPr>
                <w:b/>
                <w:bCs/>
              </w:rPr>
            </w:pPr>
            <w:r w:rsidRPr="00990D3B">
              <w:rPr>
                <w:b/>
                <w:bCs/>
              </w:rPr>
              <w:t>Product line:</w:t>
            </w:r>
          </w:p>
          <w:p w:rsidR="006F56F0" w:rsidRPr="00990D3B" w:rsidP="006F56F0" w14:paraId="3AA15891" w14:textId="326C9FE2">
            <w:pPr>
              <w:pStyle w:val="EQRTableText"/>
              <w:rPr>
                <w:b/>
                <w:bCs/>
              </w:rPr>
            </w:pPr>
            <w:r w:rsidRPr="00990D3B">
              <w:rPr>
                <w:b/>
                <w:bCs/>
              </w:rPr>
              <w:t>____________________</w:t>
            </w:r>
          </w:p>
        </w:tc>
        <w:tc>
          <w:tcPr>
            <w:tcW w:w="2233" w:type="dxa"/>
            <w:vAlign w:val="bottom"/>
          </w:tcPr>
          <w:p w:rsidR="006F56F0" w:rsidRPr="00990D3B" w:rsidP="006F56F0" w14:paraId="50A6A7C3" w14:textId="77777777">
            <w:pPr>
              <w:pStyle w:val="EQRTableText"/>
              <w:rPr>
                <w:b/>
                <w:bCs/>
              </w:rPr>
            </w:pPr>
            <w:r w:rsidRPr="00990D3B">
              <w:rPr>
                <w:b/>
                <w:bCs/>
              </w:rPr>
              <w:t>Product line:</w:t>
            </w:r>
          </w:p>
          <w:p w:rsidR="006F56F0" w:rsidRPr="00990D3B" w:rsidP="006F56F0" w14:paraId="6451D806" w14:textId="247EBDAE">
            <w:pPr>
              <w:pStyle w:val="EQRTableText"/>
              <w:rPr>
                <w:b/>
                <w:bCs/>
              </w:rPr>
            </w:pPr>
            <w:r w:rsidRPr="00990D3B">
              <w:rPr>
                <w:b/>
                <w:bCs/>
              </w:rPr>
              <w:t>____________________</w:t>
            </w:r>
          </w:p>
        </w:tc>
      </w:tr>
      <w:tr w14:paraId="4109C2B0" w14:textId="77777777" w:rsidTr="00A81DD6">
        <w:tblPrEx>
          <w:tblW w:w="5000" w:type="pct"/>
          <w:tblLook w:val="04A0"/>
        </w:tblPrEx>
        <w:tc>
          <w:tcPr>
            <w:tcW w:w="2679" w:type="dxa"/>
            <w:vAlign w:val="center"/>
          </w:tcPr>
          <w:p w:rsidR="004F6C0E" w:rsidRPr="00990D3B" w:rsidP="00A81DD6" w14:paraId="5582C43E" w14:textId="446D714F">
            <w:pPr>
              <w:pStyle w:val="EQRTableText"/>
            </w:pPr>
            <w:r w:rsidRPr="00990D3B">
              <w:t>FFS</w:t>
            </w:r>
            <w:r w:rsidRPr="00990D3B">
              <w:t xml:space="preserve"> (indemnity) claims</w:t>
            </w:r>
          </w:p>
        </w:tc>
        <w:tc>
          <w:tcPr>
            <w:tcW w:w="2219" w:type="dxa"/>
            <w:vAlign w:val="bottom"/>
          </w:tcPr>
          <w:p w:rsidR="004F6C0E" w:rsidRPr="00990D3B" w:rsidP="00A81DD6" w14:paraId="14AF5A50" w14:textId="77777777">
            <w:pPr>
              <w:pStyle w:val="EQRTableText"/>
            </w:pPr>
            <w:r w:rsidRPr="00990D3B">
              <w:t> </w:t>
            </w:r>
          </w:p>
        </w:tc>
        <w:tc>
          <w:tcPr>
            <w:tcW w:w="2219" w:type="dxa"/>
            <w:vAlign w:val="bottom"/>
          </w:tcPr>
          <w:p w:rsidR="004F6C0E" w:rsidRPr="00990D3B" w:rsidP="00A81DD6" w14:paraId="26287619" w14:textId="77777777">
            <w:pPr>
              <w:pStyle w:val="EQRTableText"/>
            </w:pPr>
            <w:r w:rsidRPr="00990D3B">
              <w:t> </w:t>
            </w:r>
          </w:p>
        </w:tc>
        <w:tc>
          <w:tcPr>
            <w:tcW w:w="2233" w:type="dxa"/>
            <w:vAlign w:val="bottom"/>
          </w:tcPr>
          <w:p w:rsidR="004F6C0E" w:rsidRPr="00990D3B" w:rsidP="00A81DD6" w14:paraId="7947580C" w14:textId="77777777">
            <w:pPr>
              <w:pStyle w:val="EQRTableText"/>
            </w:pPr>
            <w:r w:rsidRPr="00990D3B">
              <w:t> </w:t>
            </w:r>
          </w:p>
        </w:tc>
      </w:tr>
      <w:tr w14:paraId="64E5D464" w14:textId="77777777" w:rsidTr="00A81DD6">
        <w:tblPrEx>
          <w:tblW w:w="5000" w:type="pct"/>
          <w:tblLook w:val="04A0"/>
        </w:tblPrEx>
        <w:tc>
          <w:tcPr>
            <w:tcW w:w="2679" w:type="dxa"/>
            <w:vAlign w:val="center"/>
          </w:tcPr>
          <w:p w:rsidR="004F6C0E" w:rsidRPr="00990D3B" w:rsidP="00A81DD6" w14:paraId="2E7EBD5E" w14:textId="77777777">
            <w:pPr>
              <w:pStyle w:val="EQRTableText"/>
            </w:pPr>
            <w:r w:rsidRPr="00990D3B">
              <w:t>Capitated service encounters</w:t>
            </w:r>
          </w:p>
        </w:tc>
        <w:tc>
          <w:tcPr>
            <w:tcW w:w="2219" w:type="dxa"/>
          </w:tcPr>
          <w:p w:rsidR="004F6C0E" w:rsidRPr="00990D3B" w:rsidP="00A81DD6" w14:paraId="4F339A69" w14:textId="77777777">
            <w:pPr>
              <w:pStyle w:val="EQRTableText"/>
            </w:pPr>
            <w:r w:rsidRPr="00990D3B">
              <w:t> </w:t>
            </w:r>
          </w:p>
        </w:tc>
        <w:tc>
          <w:tcPr>
            <w:tcW w:w="2219" w:type="dxa"/>
          </w:tcPr>
          <w:p w:rsidR="004F6C0E" w:rsidRPr="00990D3B" w:rsidP="00A81DD6" w14:paraId="09B79121" w14:textId="77777777">
            <w:pPr>
              <w:pStyle w:val="EQRTableText"/>
            </w:pPr>
            <w:r w:rsidRPr="00990D3B">
              <w:t> </w:t>
            </w:r>
          </w:p>
        </w:tc>
        <w:tc>
          <w:tcPr>
            <w:tcW w:w="2233" w:type="dxa"/>
          </w:tcPr>
          <w:p w:rsidR="004F6C0E" w:rsidRPr="00990D3B" w:rsidP="00A81DD6" w14:paraId="62475070" w14:textId="77777777">
            <w:pPr>
              <w:pStyle w:val="EQRTableText"/>
            </w:pPr>
            <w:r w:rsidRPr="00990D3B">
              <w:t> </w:t>
            </w:r>
          </w:p>
        </w:tc>
      </w:tr>
      <w:tr w14:paraId="686D81B2" w14:textId="77777777" w:rsidTr="00A81DD6">
        <w:tblPrEx>
          <w:tblW w:w="5000" w:type="pct"/>
          <w:tblLook w:val="04A0"/>
        </w:tblPrEx>
        <w:tc>
          <w:tcPr>
            <w:tcW w:w="2679" w:type="dxa"/>
            <w:vAlign w:val="center"/>
          </w:tcPr>
          <w:p w:rsidR="004F6C0E" w:rsidRPr="00990D3B" w:rsidP="00A81DD6" w14:paraId="6011FC42" w14:textId="77777777">
            <w:pPr>
              <w:pStyle w:val="EQRTableText"/>
            </w:pPr>
            <w:r w:rsidRPr="00990D3B">
              <w:t>Clinic patient registrations</w:t>
            </w:r>
          </w:p>
        </w:tc>
        <w:tc>
          <w:tcPr>
            <w:tcW w:w="2219" w:type="dxa"/>
          </w:tcPr>
          <w:p w:rsidR="004F6C0E" w:rsidRPr="00990D3B" w:rsidP="00A81DD6" w14:paraId="2D075A73" w14:textId="77777777">
            <w:pPr>
              <w:pStyle w:val="EQRTableText"/>
            </w:pPr>
            <w:r w:rsidRPr="00990D3B">
              <w:t> </w:t>
            </w:r>
          </w:p>
        </w:tc>
        <w:tc>
          <w:tcPr>
            <w:tcW w:w="2219" w:type="dxa"/>
          </w:tcPr>
          <w:p w:rsidR="004F6C0E" w:rsidRPr="00990D3B" w:rsidP="00A81DD6" w14:paraId="0E25CBE4" w14:textId="77777777">
            <w:pPr>
              <w:pStyle w:val="EQRTableText"/>
            </w:pPr>
            <w:r w:rsidRPr="00990D3B">
              <w:t> </w:t>
            </w:r>
          </w:p>
        </w:tc>
        <w:tc>
          <w:tcPr>
            <w:tcW w:w="2233" w:type="dxa"/>
          </w:tcPr>
          <w:p w:rsidR="004F6C0E" w:rsidRPr="00990D3B" w:rsidP="00A81DD6" w14:paraId="5B0BA2B3" w14:textId="77777777">
            <w:pPr>
              <w:pStyle w:val="EQRTableText"/>
            </w:pPr>
            <w:r w:rsidRPr="00990D3B">
              <w:t> </w:t>
            </w:r>
          </w:p>
        </w:tc>
      </w:tr>
      <w:tr w14:paraId="7F23AFDA" w14:textId="77777777" w:rsidTr="00A81DD6">
        <w:tblPrEx>
          <w:tblW w:w="5000" w:type="pct"/>
          <w:tblLook w:val="04A0"/>
        </w:tblPrEx>
        <w:tc>
          <w:tcPr>
            <w:tcW w:w="2679" w:type="dxa"/>
            <w:vAlign w:val="center"/>
          </w:tcPr>
          <w:p w:rsidR="004F6C0E" w:rsidRPr="00990D3B" w:rsidP="00A81DD6" w14:paraId="4C156D3E" w14:textId="77777777">
            <w:pPr>
              <w:pStyle w:val="EQRTableText"/>
            </w:pPr>
            <w:r w:rsidRPr="00990D3B">
              <w:t>Pharmacy claims</w:t>
            </w:r>
          </w:p>
        </w:tc>
        <w:tc>
          <w:tcPr>
            <w:tcW w:w="2219" w:type="dxa"/>
          </w:tcPr>
          <w:p w:rsidR="004F6C0E" w:rsidRPr="00990D3B" w:rsidP="00A81DD6" w14:paraId="6D0CCCB8" w14:textId="77777777">
            <w:pPr>
              <w:pStyle w:val="EQRTableText"/>
            </w:pPr>
            <w:r w:rsidRPr="00990D3B">
              <w:t> </w:t>
            </w:r>
          </w:p>
        </w:tc>
        <w:tc>
          <w:tcPr>
            <w:tcW w:w="2219" w:type="dxa"/>
          </w:tcPr>
          <w:p w:rsidR="004F6C0E" w:rsidRPr="00990D3B" w:rsidP="00A81DD6" w14:paraId="1F16AFF3" w14:textId="77777777">
            <w:pPr>
              <w:pStyle w:val="EQRTableText"/>
            </w:pPr>
            <w:r w:rsidRPr="00990D3B">
              <w:t> </w:t>
            </w:r>
          </w:p>
        </w:tc>
        <w:tc>
          <w:tcPr>
            <w:tcW w:w="2233" w:type="dxa"/>
          </w:tcPr>
          <w:p w:rsidR="004F6C0E" w:rsidRPr="00990D3B" w:rsidP="00A81DD6" w14:paraId="4468AF8E" w14:textId="77777777">
            <w:pPr>
              <w:pStyle w:val="EQRTableText"/>
            </w:pPr>
            <w:r w:rsidRPr="00990D3B">
              <w:t> </w:t>
            </w:r>
          </w:p>
        </w:tc>
      </w:tr>
      <w:tr w14:paraId="5BEE68D3" w14:textId="77777777" w:rsidTr="00A81DD6">
        <w:tblPrEx>
          <w:tblW w:w="5000" w:type="pct"/>
          <w:tblLook w:val="04A0"/>
        </w:tblPrEx>
        <w:tc>
          <w:tcPr>
            <w:tcW w:w="2679" w:type="dxa"/>
            <w:vAlign w:val="center"/>
          </w:tcPr>
          <w:p w:rsidR="004F6C0E" w:rsidRPr="00990D3B" w:rsidP="00A81DD6" w14:paraId="171E3329" w14:textId="77777777">
            <w:pPr>
              <w:pStyle w:val="EQRTableText"/>
            </w:pPr>
            <w:r w:rsidRPr="00990D3B">
              <w:t>Other (describe)</w:t>
            </w:r>
          </w:p>
        </w:tc>
        <w:tc>
          <w:tcPr>
            <w:tcW w:w="2219" w:type="dxa"/>
          </w:tcPr>
          <w:p w:rsidR="004F6C0E" w:rsidRPr="00990D3B" w:rsidP="00A81DD6" w14:paraId="7C9D7432" w14:textId="77777777">
            <w:pPr>
              <w:pStyle w:val="EQRTableText"/>
            </w:pPr>
            <w:r w:rsidRPr="00990D3B">
              <w:t> </w:t>
            </w:r>
          </w:p>
        </w:tc>
        <w:tc>
          <w:tcPr>
            <w:tcW w:w="2219" w:type="dxa"/>
          </w:tcPr>
          <w:p w:rsidR="004F6C0E" w:rsidRPr="00990D3B" w:rsidP="00A81DD6" w14:paraId="3F7FAD3B" w14:textId="77777777">
            <w:pPr>
              <w:pStyle w:val="EQRTableText"/>
            </w:pPr>
            <w:r w:rsidRPr="00990D3B">
              <w:t> </w:t>
            </w:r>
          </w:p>
        </w:tc>
        <w:tc>
          <w:tcPr>
            <w:tcW w:w="2233" w:type="dxa"/>
          </w:tcPr>
          <w:p w:rsidR="004F6C0E" w:rsidRPr="00990D3B" w:rsidP="00A81DD6" w14:paraId="20258F12" w14:textId="77777777">
            <w:pPr>
              <w:pStyle w:val="EQRTableText"/>
            </w:pPr>
            <w:r w:rsidRPr="00990D3B">
              <w:t> </w:t>
            </w:r>
          </w:p>
        </w:tc>
      </w:tr>
    </w:tbl>
    <w:p w:rsidR="004F6C0E" w:rsidRPr="00990D3B" w:rsidP="00BA1E32" w14:paraId="643844D6" w14:textId="76292C2A">
      <w:pPr>
        <w:pStyle w:val="H2EQRWorksheetlist2"/>
      </w:pPr>
      <w:r w:rsidRPr="00990D3B">
        <w:t xml:space="preserve">Beginning with receipt of a Medicaid or CHIP claim in-house, describe the claim handling, logging, and processes that precede adjudication. Describe the following: When are claims </w:t>
      </w:r>
      <w:r w:rsidRPr="00990D3B">
        <w:t>assigned</w:t>
      </w:r>
      <w:r w:rsidRPr="00990D3B">
        <w:t xml:space="preserve"> a document control number and logged or scanned into the system? When are claims stored using document imaging? If there is a delay in document imaging, how do processors access a claim that is logged into the system, but is not yet filmed?</w:t>
      </w:r>
    </w:p>
    <w:p w:rsidR="004F6C0E" w:rsidRPr="00990D3B" w:rsidP="002066F7" w14:paraId="5DB5ABF1" w14:textId="1DA08618">
      <w:pPr>
        <w:pStyle w:val="H2EQRWorksheetlist3"/>
        <w:ind w:left="1339" w:hanging="187"/>
      </w:pPr>
      <w:r w:rsidRPr="00990D3B">
        <w:t>Please describe each system or process that is involved in adjudicating:</w:t>
      </w:r>
    </w:p>
    <w:p w:rsidR="004F6C0E" w:rsidRPr="00990D3B" w:rsidP="00CC70D1" w14:paraId="1D923377" w14:textId="526DC37E">
      <w:pPr>
        <w:pStyle w:val="EQRNormalSSWSbullet3rdlevel"/>
      </w:pPr>
      <w:r w:rsidRPr="00990D3B">
        <w:t>A professional encounter(s) for a capitated service (e.g., child</w:t>
      </w:r>
      <w:r w:rsidRPr="00990D3B" w:rsidR="00CF405D">
        <w:t>hood</w:t>
      </w:r>
      <w:r w:rsidRPr="00990D3B">
        <w:t xml:space="preserve"> immunizations that arrive separately from the office visit)</w:t>
      </w:r>
    </w:p>
    <w:p w:rsidR="004F6C0E" w:rsidRPr="00990D3B" w:rsidP="00CC70D1" w14:paraId="0CCD19D3" w14:textId="6C5862C3">
      <w:pPr>
        <w:pStyle w:val="EQRNormalSSWSbullet3rdlevel"/>
      </w:pPr>
      <w:r w:rsidRPr="00990D3B">
        <w:t>A hospital claim for a delivery or for a newborn that exceeds its mother’s stay</w:t>
      </w:r>
    </w:p>
    <w:p w:rsidR="004F6C0E" w:rsidRPr="00990D3B" w:rsidP="00372E00" w14:paraId="336472F8" w14:textId="6FA6AEF1">
      <w:pPr>
        <w:pStyle w:val="EQRnoteWS"/>
      </w:pPr>
      <w:r w:rsidRPr="00990D3B">
        <w:t>Note (Q</w:t>
      </w:r>
      <w:r w:rsidRPr="00990D3B" w:rsidR="009B7723">
        <w:t xml:space="preserve"> 5.</w:t>
      </w:r>
      <w:r w:rsidRPr="00990D3B">
        <w:t>25a): Professional encounters arriving separately from an office visit may not be processed as quickly as the actual office visits. If these encounters are treated as “non-standard” events, the plan may not be able to easily link these encounters with the related office visit. For example, newborns exceeding a mother’s stay may have their hospital stay split into two parts. The part of the stay which coincides with the mother’s hospitalization may be processed on the mother’s claim and the remainder of the stay could be processed separately. Processing the newborn’s stay as two separate claims could affect the plan’s ability to report accurately on newborn hospital utilization.</w:t>
      </w:r>
      <w:r w:rsidRPr="00990D3B">
        <w:rPr>
          <w:rFonts w:asciiTheme="minorHAnsi" w:hAnsiTheme="minorHAnsi" w:cstheme="minorHAnsi"/>
          <w:b/>
          <w:sz w:val="22"/>
          <w:szCs w:val="22"/>
        </w:rPr>
        <w:tab/>
      </w:r>
    </w:p>
    <w:p w:rsidR="004F6C0E" w:rsidRPr="00990D3B" w:rsidP="002066F7" w14:paraId="2F9B5A3A" w14:textId="0071E542">
      <w:pPr>
        <w:pStyle w:val="H2EQRWorksheetlist3"/>
        <w:ind w:left="1339" w:hanging="187"/>
      </w:pPr>
      <w:r w:rsidRPr="00990D3B">
        <w:t>Discuss which decisions in processing a Medicaid or CHIP claim/encounter are automated, which are prompted by automated messages appearing on the screen, and which are manual. Document the opportunities a processor has for overriding the system manually. Is there a report documenting overrides or “exceptions” generated on each processor and reviewed by the claim supervisor? If so, please describe this report.</w:t>
      </w:r>
    </w:p>
    <w:p w:rsidR="004F6C0E" w:rsidRPr="00990D3B" w:rsidP="002066F7" w14:paraId="75E13D81" w14:textId="2F9BC301">
      <w:pPr>
        <w:pStyle w:val="H2EQRWorksheetlist3"/>
        <w:ind w:left="1339" w:hanging="187"/>
      </w:pPr>
      <w:r w:rsidRPr="00990D3B">
        <w:t>Are any outside parties or contractors used to complete adjudication, including but not limited to:</w:t>
      </w:r>
    </w:p>
    <w:tbl>
      <w:tblPr>
        <w:tblStyle w:val="TableGrid"/>
        <w:tblW w:w="5000" w:type="pct"/>
        <w:tblInd w:w="-63" w:type="dxa"/>
        <w:tblLook w:val="04A0"/>
      </w:tblPr>
      <w:tblGrid>
        <w:gridCol w:w="6088"/>
        <w:gridCol w:w="3262"/>
      </w:tblGrid>
      <w:tr w14:paraId="7F340F57" w14:textId="77777777" w:rsidTr="00506D15">
        <w:tblPrEx>
          <w:tblW w:w="5000" w:type="pct"/>
          <w:tblInd w:w="-63" w:type="dxa"/>
          <w:tblLook w:val="04A0"/>
        </w:tblPrEx>
        <w:tc>
          <w:tcPr>
            <w:tcW w:w="6088" w:type="dxa"/>
          </w:tcPr>
          <w:p w:rsidR="00D65E61" w:rsidRPr="00990D3B" w:rsidP="00094157" w14:paraId="74F8EC31" w14:textId="7AA34F31">
            <w:pPr>
              <w:pStyle w:val="EQRTableText"/>
            </w:pPr>
            <w:r w:rsidRPr="00990D3B">
              <w:t>Bill auditors (hospital claims, claims over a certain dollar amount)</w:t>
            </w:r>
          </w:p>
        </w:tc>
        <w:tc>
          <w:tcPr>
            <w:tcW w:w="3262" w:type="dxa"/>
          </w:tcPr>
          <w:p w:rsidR="00D65E61" w:rsidRPr="00990D3B" w:rsidP="00A24EE3" w14:paraId="2F19973B" w14:textId="6F1A6037">
            <w:pPr>
              <w:pStyle w:val="EQRTableTextBOX"/>
            </w:pPr>
            <w:r w:rsidRPr="00990D3B">
              <w:t>Yes</w:t>
            </w:r>
          </w:p>
          <w:p w:rsidR="00D65E61" w:rsidRPr="00990D3B" w:rsidP="00A24EE3" w14:paraId="0C8A1CC6" w14:textId="03CB8F33">
            <w:pPr>
              <w:pStyle w:val="EQRTableTextBOX"/>
            </w:pPr>
            <w:r w:rsidRPr="00990D3B">
              <w:t>No</w:t>
            </w:r>
          </w:p>
        </w:tc>
      </w:tr>
      <w:tr w14:paraId="117D5F0D" w14:textId="77777777" w:rsidTr="00094157">
        <w:tblPrEx>
          <w:tblW w:w="5000" w:type="pct"/>
          <w:tblInd w:w="-63" w:type="dxa"/>
          <w:tblLook w:val="04A0"/>
        </w:tblPrEx>
        <w:tc>
          <w:tcPr>
            <w:tcW w:w="6088" w:type="dxa"/>
            <w:vAlign w:val="center"/>
          </w:tcPr>
          <w:p w:rsidR="00D65E61" w:rsidRPr="00990D3B" w:rsidP="00094157" w14:paraId="0B3D78C4" w14:textId="0AFD8724">
            <w:pPr>
              <w:pStyle w:val="EQRTableText"/>
            </w:pPr>
            <w:r w:rsidRPr="00990D3B">
              <w:t>Peer or medical reviewers</w:t>
            </w:r>
          </w:p>
        </w:tc>
        <w:tc>
          <w:tcPr>
            <w:tcW w:w="3262" w:type="dxa"/>
          </w:tcPr>
          <w:p w:rsidR="00094157" w:rsidRPr="00990D3B" w:rsidP="00094157" w14:paraId="55C19304" w14:textId="68924776">
            <w:pPr>
              <w:pStyle w:val="EQRTableTextBOX"/>
            </w:pPr>
            <w:r w:rsidRPr="00990D3B">
              <w:t>Yes</w:t>
            </w:r>
          </w:p>
          <w:p w:rsidR="00D65E61" w:rsidRPr="00990D3B" w:rsidP="00094157" w14:paraId="504EA9EE" w14:textId="7E31EA40">
            <w:pPr>
              <w:pStyle w:val="EQRTableTextBOX"/>
            </w:pPr>
            <w:r w:rsidRPr="00990D3B">
              <w:t>No</w:t>
            </w:r>
          </w:p>
        </w:tc>
      </w:tr>
      <w:tr w14:paraId="0CCA34DC" w14:textId="77777777" w:rsidTr="00094157">
        <w:tblPrEx>
          <w:tblW w:w="5000" w:type="pct"/>
          <w:tblInd w:w="-63" w:type="dxa"/>
          <w:tblLook w:val="04A0"/>
        </w:tblPrEx>
        <w:tc>
          <w:tcPr>
            <w:tcW w:w="6088" w:type="dxa"/>
            <w:vAlign w:val="center"/>
          </w:tcPr>
          <w:p w:rsidR="00D65E61" w:rsidRPr="00990D3B" w:rsidP="00094157" w14:paraId="11B41EF0" w14:textId="00186899">
            <w:pPr>
              <w:pStyle w:val="EQRTableText"/>
            </w:pPr>
            <w:r w:rsidRPr="00990D3B">
              <w:t>Sources for additional charge data (usual &amp; customary)</w:t>
            </w:r>
          </w:p>
        </w:tc>
        <w:tc>
          <w:tcPr>
            <w:tcW w:w="3262" w:type="dxa"/>
          </w:tcPr>
          <w:p w:rsidR="00094157" w:rsidRPr="00990D3B" w:rsidP="00094157" w14:paraId="4EAD6B8C" w14:textId="77777777">
            <w:pPr>
              <w:pStyle w:val="EQRTableTextBOX"/>
            </w:pPr>
            <w:r w:rsidRPr="00990D3B">
              <w:t>Yes</w:t>
            </w:r>
          </w:p>
          <w:p w:rsidR="00D65E61" w:rsidRPr="00990D3B" w:rsidP="00094157" w14:paraId="46138CEB" w14:textId="6E03B21F">
            <w:pPr>
              <w:pStyle w:val="EQRTableTextBOX"/>
            </w:pPr>
            <w:r w:rsidRPr="00990D3B">
              <w:t>No</w:t>
            </w:r>
          </w:p>
        </w:tc>
      </w:tr>
      <w:tr w14:paraId="69C3905A" w14:textId="77777777" w:rsidTr="00094157">
        <w:tblPrEx>
          <w:tblW w:w="5000" w:type="pct"/>
          <w:tblInd w:w="-63" w:type="dxa"/>
          <w:tblLook w:val="04A0"/>
        </w:tblPrEx>
        <w:tc>
          <w:tcPr>
            <w:tcW w:w="6088" w:type="dxa"/>
            <w:vAlign w:val="center"/>
          </w:tcPr>
          <w:p w:rsidR="00D65E61" w:rsidRPr="00990D3B" w:rsidP="00094157" w14:paraId="445A9EE8" w14:textId="16A8B7E2">
            <w:pPr>
              <w:pStyle w:val="EQRTableText"/>
            </w:pPr>
            <w:r w:rsidRPr="00990D3B">
              <w:t>Bill “re-pricing” for carved out benefits (mental health, substance abuse)</w:t>
            </w:r>
          </w:p>
        </w:tc>
        <w:tc>
          <w:tcPr>
            <w:tcW w:w="3262" w:type="dxa"/>
          </w:tcPr>
          <w:p w:rsidR="00094157" w:rsidRPr="00990D3B" w:rsidP="00094157" w14:paraId="782E1BC9" w14:textId="77777777">
            <w:pPr>
              <w:pStyle w:val="EQRTableTextBOX"/>
            </w:pPr>
            <w:r w:rsidRPr="00990D3B">
              <w:t>Yes</w:t>
            </w:r>
          </w:p>
          <w:p w:rsidR="00D65E61" w:rsidRPr="00990D3B" w:rsidP="00094157" w14:paraId="638F12F4" w14:textId="1BECE1B6">
            <w:pPr>
              <w:pStyle w:val="EQRTableTextBOX"/>
            </w:pPr>
            <w:r w:rsidRPr="00990D3B">
              <w:t>No</w:t>
            </w:r>
          </w:p>
        </w:tc>
      </w:tr>
      <w:tr w14:paraId="30F9862C" w14:textId="77777777" w:rsidTr="00094157">
        <w:tblPrEx>
          <w:tblW w:w="5000" w:type="pct"/>
          <w:tblInd w:w="-63" w:type="dxa"/>
          <w:tblLook w:val="04A0"/>
        </w:tblPrEx>
        <w:tc>
          <w:tcPr>
            <w:tcW w:w="6088" w:type="dxa"/>
            <w:vAlign w:val="center"/>
          </w:tcPr>
          <w:p w:rsidR="00D65E61" w:rsidRPr="00990D3B" w:rsidP="00094157" w14:paraId="0E85CF13" w14:textId="11A2299E">
            <w:pPr>
              <w:pStyle w:val="EQRTableText"/>
            </w:pPr>
            <w:r w:rsidRPr="00990D3B">
              <w:t>Other</w:t>
            </w:r>
          </w:p>
        </w:tc>
        <w:tc>
          <w:tcPr>
            <w:tcW w:w="3262" w:type="dxa"/>
          </w:tcPr>
          <w:p w:rsidR="00094157" w:rsidRPr="00990D3B" w:rsidP="00094157" w14:paraId="657E3D1F" w14:textId="77777777">
            <w:pPr>
              <w:pStyle w:val="EQRTableTextBOX"/>
            </w:pPr>
            <w:r w:rsidRPr="00990D3B">
              <w:t>Yes (If yes, please provide additional information)</w:t>
            </w:r>
          </w:p>
          <w:p w:rsidR="00D65E61" w:rsidRPr="00990D3B" w:rsidP="00094157" w14:paraId="3E65C17A" w14:textId="185398E4">
            <w:pPr>
              <w:pStyle w:val="EQRTableTextBOX"/>
            </w:pPr>
            <w:r w:rsidRPr="00990D3B">
              <w:t>No</w:t>
            </w:r>
            <w:r w:rsidRPr="00990D3B">
              <w:t> </w:t>
            </w:r>
          </w:p>
        </w:tc>
      </w:tr>
    </w:tbl>
    <w:p w:rsidR="004F6C0E" w:rsidRPr="00990D3B" w:rsidP="002066F7" w14:paraId="49D8A5B4" w14:textId="0D8E1BE6">
      <w:pPr>
        <w:pStyle w:val="H2EQRWorksheetlist3"/>
        <w:ind w:left="1339" w:hanging="187"/>
      </w:pPr>
      <w:r w:rsidRPr="00990D3B">
        <w:t>How are these data incorporated into your organization’s data?</w:t>
      </w:r>
    </w:p>
    <w:p w:rsidR="004F6C0E" w:rsidRPr="00990D3B" w:rsidP="00372E00" w14:paraId="1759D744" w14:textId="17EDAF02">
      <w:pPr>
        <w:pStyle w:val="EQRnoteWS"/>
      </w:pPr>
      <w:r w:rsidRPr="00990D3B">
        <w:t>Note (Q</w:t>
      </w:r>
      <w:r w:rsidRPr="00990D3B" w:rsidR="009B7723">
        <w:t xml:space="preserve"> 5.</w:t>
      </w:r>
      <w:r w:rsidRPr="00990D3B">
        <w:t xml:space="preserve">25d): If outside parties are used, the plan should </w:t>
      </w:r>
      <w:r w:rsidRPr="00990D3B" w:rsidR="004560EF">
        <w:t>incorporate</w:t>
      </w:r>
      <w:r w:rsidRPr="00990D3B">
        <w:t xml:space="preserve"> data generated by those parties into the system. The data should first be run through the plan’s data quality checks to verify its accuracy and completeness.</w:t>
      </w:r>
    </w:p>
    <w:p w:rsidR="004F6C0E" w:rsidRPr="00990D3B" w:rsidP="002066F7" w14:paraId="6CA3FC41" w14:textId="6890622E">
      <w:pPr>
        <w:pStyle w:val="H2EQRWorksheetlist3"/>
        <w:ind w:left="1339" w:hanging="187"/>
      </w:pPr>
      <w:r w:rsidRPr="00990D3B">
        <w:t xml:space="preserve">Describe the system’s editing capabilities that </w:t>
      </w:r>
      <w:r w:rsidRPr="00990D3B">
        <w:t>assure</w:t>
      </w:r>
      <w:r w:rsidRPr="00990D3B">
        <w:t xml:space="preserve"> that Medicaid and CHIP claims are correctly adjudicated</w:t>
      </w:r>
    </w:p>
    <w:p w:rsidR="004F6C0E" w:rsidRPr="00990D3B" w:rsidP="002D35CF" w14:paraId="6A113E6D" w14:textId="77777777">
      <w:pPr>
        <w:pStyle w:val="EQRNormalSSWSbullet3rdlevel"/>
        <w:numPr>
          <w:ilvl w:val="1"/>
          <w:numId w:val="63"/>
        </w:numPr>
      </w:pPr>
      <w:r w:rsidRPr="00990D3B">
        <w:t xml:space="preserve">Attach a list of the specific edits that are performed on claims as they are </w:t>
      </w:r>
      <w:r w:rsidRPr="00990D3B">
        <w:t>adjudicated, and</w:t>
      </w:r>
      <w:r w:rsidRPr="00990D3B">
        <w:t xml:space="preserve"> note (1) whether the edits are performed pre- or post-payment, and (2) which are manual functions and which are automated functions.</w:t>
      </w:r>
    </w:p>
    <w:p w:rsidR="004F6C0E" w:rsidRPr="00990D3B" w:rsidP="00372E00" w14:paraId="3294BC55" w14:textId="048A2FAC">
      <w:pPr>
        <w:pStyle w:val="EQRnoteWS"/>
      </w:pPr>
      <w:r w:rsidRPr="00990D3B">
        <w:t>Note (Q</w:t>
      </w:r>
      <w:r w:rsidRPr="00990D3B" w:rsidR="009B7723">
        <w:t xml:space="preserve"> 5.</w:t>
      </w:r>
      <w:r w:rsidRPr="00990D3B">
        <w:t xml:space="preserve">25e): When reviewing </w:t>
      </w:r>
      <w:r w:rsidRPr="00990D3B" w:rsidR="00D70517">
        <w:t xml:space="preserve">MCP </w:t>
      </w:r>
      <w:r w:rsidRPr="00990D3B">
        <w:t xml:space="preserve">adjudication edits, the state should concentrate on edits which affect the data fields that are used to generate </w:t>
      </w:r>
      <w:r w:rsidRPr="00990D3B" w:rsidR="00D70517">
        <w:t xml:space="preserve">MCP </w:t>
      </w:r>
      <w:r w:rsidRPr="00990D3B">
        <w:t>performance measures and reports. Are outliers for length of stay and charges edited? Utilizing an automated editing process provides more consistent results that do not require processor judgment. Edits that are performed pre-payment can prevent invalid data from being incorporated into the system.</w:t>
      </w:r>
    </w:p>
    <w:p w:rsidR="004F6C0E" w:rsidRPr="00990D3B" w:rsidP="002066F7" w14:paraId="0F09CF77" w14:textId="5D70617B">
      <w:pPr>
        <w:pStyle w:val="H2EQRWorksheetlist3"/>
        <w:ind w:left="1339" w:hanging="187"/>
      </w:pPr>
      <w:r w:rsidRPr="00990D3B">
        <w:t>Discuss the routine and non-routine (ad hoc or special) audits that are performed on claims/encounters to assure the quality</w:t>
      </w:r>
      <w:r w:rsidRPr="00990D3B" w:rsidR="00A92C6C">
        <w:t>,</w:t>
      </w:r>
      <w:r w:rsidRPr="00990D3B">
        <w:t xml:space="preserve"> accuracy</w:t>
      </w:r>
      <w:r w:rsidRPr="00990D3B" w:rsidR="00A92C6C">
        <w:t>,</w:t>
      </w:r>
      <w:r w:rsidRPr="00990D3B">
        <w:t xml:space="preserve"> and timeliness of processing. In your response, note which audits are performed per processor, which rely on targeted samples, and which use random sampling techniques. What is the total percentage of claims on-hand that are audited through these QA processes? How frequently do these audits occur? </w:t>
      </w:r>
    </w:p>
    <w:p w:rsidR="004F6C0E" w:rsidRPr="00990D3B" w:rsidP="00372E00" w14:paraId="0668BFC2" w14:textId="21E4B9BF">
      <w:pPr>
        <w:pStyle w:val="EQRnoteWS"/>
      </w:pPr>
      <w:r w:rsidRPr="00990D3B">
        <w:t>Note (Q</w:t>
      </w:r>
      <w:r w:rsidRPr="00990D3B" w:rsidR="009B7723">
        <w:t xml:space="preserve"> 5.</w:t>
      </w:r>
      <w:r w:rsidRPr="00990D3B">
        <w:t xml:space="preserve">25f): This item is not relevant in instances where the EQRO is performing encounter data validation. When reviewing edits that are used to determine processor accuracy, consider that these edits will not provide information on the quality of the initial provider data submission. The audit plan should include random sampling techniques to provide an overall picture of quality. </w:t>
      </w:r>
      <w:r w:rsidRPr="00990D3B" w:rsidR="00A92C6C">
        <w:t xml:space="preserve">MCPs </w:t>
      </w:r>
      <w:r w:rsidRPr="00990D3B">
        <w:t xml:space="preserve">will often concentrate on auditing complicated or aberrant claims/encounters rather than using a random sample. The </w:t>
      </w:r>
      <w:r w:rsidRPr="00990D3B" w:rsidR="00A92C6C">
        <w:t xml:space="preserve">MCP </w:t>
      </w:r>
      <w:r w:rsidRPr="00990D3B">
        <w:t>should have instituted a process for sharing audit results with the processor to facilitate quality improvement.</w:t>
      </w:r>
    </w:p>
    <w:p w:rsidR="004F6C0E" w:rsidRPr="00990D3B" w:rsidP="002066F7" w14:paraId="7B911970" w14:textId="78AD06FD">
      <w:pPr>
        <w:pStyle w:val="H2EQRWorksheetlist3"/>
        <w:ind w:left="1339" w:hanging="187"/>
      </w:pPr>
      <w:r w:rsidRPr="00990D3B">
        <w:t>Please describe how Medicaid and CHIP eligibility files are updated, how frequently and who has “change” authority. How and when does Medicaid and CHIP eligibility verification take place?</w:t>
      </w:r>
    </w:p>
    <w:p w:rsidR="004F6C0E" w:rsidRPr="00990D3B" w:rsidP="002066F7" w14:paraId="0889E516" w14:textId="3B74BA74">
      <w:pPr>
        <w:pStyle w:val="H2EQRWorksheetlist3"/>
        <w:ind w:left="1339" w:hanging="187"/>
      </w:pPr>
      <w:r w:rsidRPr="00990D3B">
        <w:t xml:space="preserve">How are encounters for capitated services handled by payment functions? What message appears to notify processors that they are handling a capitated service?  </w:t>
      </w:r>
    </w:p>
    <w:p w:rsidR="004F6C0E" w:rsidRPr="00990D3B" w:rsidP="002066F7" w14:paraId="2D263929" w14:textId="7CD4785E">
      <w:pPr>
        <w:pStyle w:val="H2EQRWorksheetlist3"/>
        <w:ind w:left="1339" w:hanging="187"/>
      </w:pPr>
      <w:r w:rsidRPr="00990D3B">
        <w:t>Describe how your systems and procedures handle validation and payment of Medicaid claims when procedure codes are not provided.</w:t>
      </w:r>
    </w:p>
    <w:p w:rsidR="004F6C0E" w:rsidRPr="00990D3B" w:rsidP="00372E00" w14:paraId="2E6BAE44" w14:textId="7090E5C0">
      <w:pPr>
        <w:pStyle w:val="EQRnoteWS"/>
      </w:pPr>
      <w:r w:rsidRPr="00990D3B">
        <w:t>Note (Q</w:t>
      </w:r>
      <w:r w:rsidRPr="00990D3B" w:rsidR="009B7723">
        <w:t xml:space="preserve"> 5.</w:t>
      </w:r>
      <w:r w:rsidRPr="00990D3B">
        <w:t xml:space="preserve">25i): </w:t>
      </w:r>
      <w:r w:rsidRPr="00990D3B" w:rsidR="005264DA">
        <w:t xml:space="preserve">MCPs </w:t>
      </w:r>
      <w:r w:rsidRPr="00990D3B">
        <w:t xml:space="preserve">requiring valid procedure coding for all claims/encounters will have more detailed data available for reporting and analysis. However, these </w:t>
      </w:r>
      <w:r w:rsidRPr="00990D3B" w:rsidR="005264DA">
        <w:t xml:space="preserve">MCPs </w:t>
      </w:r>
      <w:r w:rsidRPr="00990D3B">
        <w:t xml:space="preserve">may allow processors to supply missing </w:t>
      </w:r>
      <w:r w:rsidRPr="00990D3B">
        <w:t>codes</w:t>
      </w:r>
      <w:r w:rsidRPr="00990D3B">
        <w:t xml:space="preserve"> using a code book or override the system using an unspecified code. </w:t>
      </w:r>
      <w:r w:rsidRPr="00990D3B">
        <w:t>A number of</w:t>
      </w:r>
      <w:r w:rsidRPr="00990D3B">
        <w:t xml:space="preserve"> </w:t>
      </w:r>
      <w:r w:rsidRPr="00990D3B" w:rsidR="005264DA">
        <w:t xml:space="preserve">MCPs </w:t>
      </w:r>
      <w:r w:rsidRPr="00990D3B">
        <w:t xml:space="preserve">use programs such as the GMIS </w:t>
      </w:r>
      <w:r w:rsidRPr="00990D3B">
        <w:t>AutoCoder</w:t>
      </w:r>
      <w:r w:rsidRPr="00990D3B">
        <w:t xml:space="preserve"> product to fill in missing codes. When a</w:t>
      </w:r>
      <w:r w:rsidRPr="00990D3B" w:rsidR="008D1A82">
        <w:t>n</w:t>
      </w:r>
      <w:r w:rsidRPr="00990D3B">
        <w:t xml:space="preserve"> </w:t>
      </w:r>
      <w:r w:rsidRPr="00990D3B" w:rsidR="005264DA">
        <w:t xml:space="preserve">MCP </w:t>
      </w:r>
      <w:r w:rsidRPr="00990D3B">
        <w:t>supplies missing codes, the coding can be less accurate than codes supplied directly by the provider of service.</w:t>
      </w:r>
    </w:p>
    <w:p w:rsidR="004F6C0E" w:rsidRPr="00990D3B" w:rsidP="009B7723" w14:paraId="74092E68" w14:textId="5E634D7B">
      <w:pPr>
        <w:pStyle w:val="H2EQRWorksheetlist2"/>
      </w:pPr>
      <w:r w:rsidRPr="00990D3B">
        <w:tab/>
        <w:t xml:space="preserve">Describe all performance monitoring standards for Medicaid and CHIP claims/encounters processing. Provide the results of a recent performance monitoring activity. </w:t>
      </w:r>
    </w:p>
    <w:p w:rsidR="004F6C0E" w:rsidRPr="00990D3B" w:rsidP="009B7723" w14:paraId="1F464578" w14:textId="1865539A">
      <w:pPr>
        <w:pStyle w:val="EQRNormalSSWSquestion2B"/>
        <w:ind w:left="1440"/>
      </w:pPr>
      <w:r w:rsidRPr="00990D3B">
        <w:t>5.</w:t>
      </w:r>
      <w:r w:rsidRPr="00990D3B">
        <w:t>26</w:t>
      </w:r>
      <w:r w:rsidRPr="00990D3B">
        <w:t xml:space="preserve">.a. </w:t>
      </w:r>
      <w:r w:rsidRPr="00990D3B">
        <w:t>How is performance against targets figured into the official performance appraisal process? Into processor and supervisor compensation?</w:t>
      </w:r>
    </w:p>
    <w:p w:rsidR="004F6C0E" w:rsidRPr="00990D3B" w:rsidP="00AE481B" w14:paraId="65E3BF78" w14:textId="77777777">
      <w:pPr>
        <w:pStyle w:val="H2EQRWorksheetSub"/>
      </w:pPr>
      <w:r w:rsidRPr="00990D3B">
        <w:t>B</w:t>
      </w:r>
      <w:bookmarkStart w:id="1180" w:name="WSB1Sec5B"/>
      <w:bookmarkEnd w:id="1180"/>
      <w:r w:rsidRPr="00990D3B">
        <w:t>. E</w:t>
      </w:r>
      <w:bookmarkStart w:id="1181" w:name="WSB1SB"/>
      <w:bookmarkEnd w:id="1181"/>
      <w:r w:rsidRPr="00990D3B">
        <w:t>nrollment System</w:t>
      </w:r>
    </w:p>
    <w:p w:rsidR="004F6C0E" w:rsidRPr="00990D3B" w:rsidP="009B7723" w14:paraId="6D35453E" w14:textId="7092C9DA">
      <w:pPr>
        <w:pStyle w:val="H2EQRWorksheetlist2"/>
      </w:pPr>
      <w:r w:rsidRPr="00990D3B">
        <w:t>Please describe any major changes/updates that have taken place in the last three years in your Medicaid or CHIP enrollment data system. Include the specific dates on which changes were implemented. For example:</w:t>
      </w:r>
      <w:r w:rsidRPr="00990D3B">
        <w:tab/>
      </w:r>
    </w:p>
    <w:p w:rsidR="004F6C0E" w:rsidRPr="00990D3B" w:rsidP="0041172A" w14:paraId="2FAE55E2" w14:textId="043A4D84">
      <w:pPr>
        <w:pStyle w:val="EQRNormalSSWSbullet2ndlevel"/>
      </w:pPr>
      <w:r w:rsidRPr="00990D3B">
        <w:t>New enrollment system purchased and installed to replace old system</w:t>
      </w:r>
    </w:p>
    <w:p w:rsidR="004F6C0E" w:rsidRPr="00990D3B" w:rsidP="0041172A" w14:paraId="4E218A67" w14:textId="157B57C6">
      <w:pPr>
        <w:pStyle w:val="EQRNormalSSWSbullet2ndlevel"/>
      </w:pPr>
      <w:r w:rsidRPr="00990D3B">
        <w:t xml:space="preserve">New enrollment system </w:t>
      </w:r>
      <w:r w:rsidRPr="00990D3B">
        <w:t>purchased</w:t>
      </w:r>
      <w:r w:rsidRPr="00990D3B">
        <w:t xml:space="preserve"> and installed to replace most of old system; is the old system still used?</w:t>
      </w:r>
    </w:p>
    <w:p w:rsidR="004F6C0E" w:rsidRPr="00990D3B" w:rsidP="0041172A" w14:paraId="77C7804F" w14:textId="1B67E58A">
      <w:pPr>
        <w:pStyle w:val="EQRNormalSSWSbullet2ndlevel"/>
      </w:pPr>
      <w:r w:rsidRPr="00990D3B">
        <w:t>Major enhancements to old system; what kinds of enhancements, and what impact on your historical data?</w:t>
      </w:r>
    </w:p>
    <w:p w:rsidR="004F6C0E" w:rsidRPr="00990D3B" w:rsidP="0041172A" w14:paraId="3B92504F" w14:textId="00DD9EDD">
      <w:pPr>
        <w:pStyle w:val="EQRNormalSSWSbullet2ndlevel"/>
      </w:pPr>
      <w:r w:rsidRPr="00990D3B">
        <w:t>New product line members stored on old system</w:t>
      </w:r>
    </w:p>
    <w:p w:rsidR="004F6C0E" w:rsidRPr="00990D3B" w:rsidP="00372E00" w14:paraId="771FB90B" w14:textId="4429377B">
      <w:pPr>
        <w:pStyle w:val="EQRnoteWS"/>
      </w:pPr>
      <w:r w:rsidRPr="00990D3B">
        <w:t>Note (Q</w:t>
      </w:r>
      <w:r w:rsidRPr="00990D3B" w:rsidR="009B7723">
        <w:t xml:space="preserve"> 5.27</w:t>
      </w:r>
      <w:r w:rsidRPr="00990D3B">
        <w:t>): Changes to a</w:t>
      </w:r>
      <w:r w:rsidRPr="00990D3B" w:rsidR="008D1A82">
        <w:t>n</w:t>
      </w:r>
      <w:r w:rsidRPr="00990D3B">
        <w:t xml:space="preserve"> </w:t>
      </w:r>
      <w:r w:rsidRPr="00990D3B" w:rsidR="006266C5">
        <w:t>MCP</w:t>
      </w:r>
      <w:r w:rsidRPr="00990D3B">
        <w:t xml:space="preserve">’s enrollment system requiring data conversion and data integration can create data quality problems. Implementing a new enrollment system could lead to a loss of access to data on the old system, or the assignment of new </w:t>
      </w:r>
      <w:r w:rsidRPr="00990D3B" w:rsidR="002F4DD4">
        <w:t>enrollee</w:t>
      </w:r>
      <w:r w:rsidRPr="00990D3B">
        <w:t xml:space="preserve"> numbers for all enrollees. Data conversion and integration can also limit a</w:t>
      </w:r>
      <w:r w:rsidRPr="00990D3B" w:rsidR="008D1A82">
        <w:t>n</w:t>
      </w:r>
      <w:r w:rsidRPr="00990D3B">
        <w:t xml:space="preserve"> </w:t>
      </w:r>
      <w:r w:rsidRPr="00990D3B" w:rsidR="005B3C3E">
        <w:t xml:space="preserve">MCP’s </w:t>
      </w:r>
      <w:r w:rsidRPr="00990D3B">
        <w:t>ability to track an enrollee’s enrollment history. When a new product line is added to an existing system, a plan may need to make the new data fit the older process, therefore modifying the system to “handle” new information. Implementing such modifications can be difficult for a</w:t>
      </w:r>
      <w:r w:rsidRPr="00990D3B" w:rsidR="008D1A82">
        <w:t>n</w:t>
      </w:r>
      <w:r w:rsidRPr="00990D3B">
        <w:t xml:space="preserve"> </w:t>
      </w:r>
      <w:r w:rsidRPr="00990D3B" w:rsidR="005B3C3E">
        <w:t xml:space="preserve">MCP </w:t>
      </w:r>
      <w:r w:rsidRPr="00990D3B">
        <w:t xml:space="preserve">that has been using the same system for </w:t>
      </w:r>
      <w:r w:rsidRPr="00990D3B">
        <w:t>a number of</w:t>
      </w:r>
      <w:r w:rsidRPr="00990D3B">
        <w:t xml:space="preserve"> years. The level of enrollment detail retained can be affected by such modifications.</w:t>
      </w:r>
    </w:p>
    <w:p w:rsidR="004F6C0E" w:rsidRPr="00990D3B" w:rsidP="004A2E4E" w14:paraId="170ACCBD" w14:textId="07305ABA">
      <w:pPr>
        <w:pStyle w:val="H2EQRWorksheetlist2"/>
      </w:pPr>
      <w:r w:rsidRPr="00990D3B">
        <w:t>In your opinion, have any of these changes influenced, even temporarily, the quality and/or completeness of the Medicaid or CHIP data that are collected? If so, how and when?</w:t>
      </w:r>
    </w:p>
    <w:p w:rsidR="004F6C0E" w:rsidRPr="00990D3B" w:rsidP="00372E00" w14:paraId="145D3E50" w14:textId="7875AD29">
      <w:pPr>
        <w:pStyle w:val="EQRnoteWS"/>
      </w:pPr>
      <w:r w:rsidRPr="00990D3B">
        <w:t>Note (Q</w:t>
      </w:r>
      <w:r w:rsidRPr="00990D3B" w:rsidR="009B7723">
        <w:t xml:space="preserve"> 5.28</w:t>
      </w:r>
      <w:r w:rsidRPr="00990D3B">
        <w:t>): Consider whether changes in data quality will affect the validity of the data submitted to the state.</w:t>
      </w:r>
    </w:p>
    <w:p w:rsidR="004F6C0E" w:rsidRPr="00990D3B" w:rsidP="004A2E4E" w14:paraId="582C39C2" w14:textId="196AB436">
      <w:pPr>
        <w:pStyle w:val="H2EQRWorksheetlist2"/>
      </w:pPr>
      <w:r w:rsidRPr="00990D3B">
        <w:t>How does your plan uniquely identify enrollees?</w:t>
      </w:r>
    </w:p>
    <w:p w:rsidR="004F6C0E" w:rsidRPr="00990D3B" w:rsidP="00372E00" w14:paraId="33B0B83F" w14:textId="6D2473D0">
      <w:pPr>
        <w:pStyle w:val="EQRnoteWS"/>
      </w:pPr>
      <w:r w:rsidRPr="00990D3B">
        <w:t>Note (Q</w:t>
      </w:r>
      <w:r w:rsidRPr="00990D3B" w:rsidR="009B7723">
        <w:t xml:space="preserve"> 5.29</w:t>
      </w:r>
      <w:r w:rsidRPr="00990D3B">
        <w:t xml:space="preserve">): Major changes to an MCP’s enrollment system could involve the conversion of </w:t>
      </w:r>
      <w:r w:rsidRPr="00990D3B" w:rsidR="005F509B">
        <w:t>enrollment</w:t>
      </w:r>
      <w:r w:rsidRPr="00990D3B">
        <w:t xml:space="preserve"> data to a new system. When MCPs convert </w:t>
      </w:r>
      <w:r w:rsidRPr="00990D3B" w:rsidR="006266C5">
        <w:t>enrollees</w:t>
      </w:r>
      <w:r w:rsidRPr="00990D3B">
        <w:t>, they may change the enrollee’s ID number, making it difficult to track the enrollee’s enrollment pattern across time. Changes to the enrollment system could also lead to a loss of data for specific patients.</w:t>
      </w:r>
    </w:p>
    <w:p w:rsidR="004F6C0E" w:rsidRPr="00990D3B" w:rsidP="004A2E4E" w14:paraId="1D990A87" w14:textId="00502C19">
      <w:pPr>
        <w:pStyle w:val="H2EQRWorksheetlist2"/>
      </w:pPr>
      <w:r w:rsidRPr="00990D3B">
        <w:t xml:space="preserve">How do you handle enrollee disenrollment and re-enrollment in the Medicaid or CHIP product line? Does the </w:t>
      </w:r>
      <w:r w:rsidRPr="00990D3B" w:rsidR="002F4DD4">
        <w:t>enrollee</w:t>
      </w:r>
      <w:r w:rsidRPr="00990D3B">
        <w:t xml:space="preserve"> retain the same ID?</w:t>
      </w:r>
    </w:p>
    <w:p w:rsidR="004F6C0E" w:rsidRPr="00990D3B" w:rsidP="00372E00" w14:paraId="13359504" w14:textId="5A65211B">
      <w:pPr>
        <w:pStyle w:val="EQRnoteWS"/>
      </w:pPr>
      <w:r w:rsidRPr="00990D3B">
        <w:t>Note (Q</w:t>
      </w:r>
      <w:r w:rsidRPr="00990D3B" w:rsidR="009B7723">
        <w:t xml:space="preserve"> 5.30</w:t>
      </w:r>
      <w:r w:rsidRPr="00990D3B">
        <w:t xml:space="preserve">): Enrollees should have a single ID number to facilitate tracking their experience. However, some </w:t>
      </w:r>
      <w:r w:rsidRPr="00990D3B" w:rsidR="00C73417">
        <w:t xml:space="preserve">MCPs </w:t>
      </w:r>
      <w:r w:rsidRPr="00990D3B">
        <w:t xml:space="preserve">change an enrollee’s ID number when the enrollee re-enrolls. Experience for </w:t>
      </w:r>
      <w:r w:rsidRPr="00990D3B">
        <w:t>enrollees</w:t>
      </w:r>
      <w:r w:rsidRPr="00990D3B">
        <w:t xml:space="preserve"> who have switched ID numbers will be more difficult to track. Dependents using an enrollee’s ID are also difficult to identify for reporting purposes. For example, children without a unique ID could affect the ability of the plan to report on low birth-weight babies, childhood immunizations, and asthma inpatient admissions. This is an important point. EQROs should give higher “grades” to </w:t>
      </w:r>
      <w:r w:rsidRPr="00990D3B" w:rsidR="00C73417">
        <w:t xml:space="preserve">MCPs </w:t>
      </w:r>
      <w:r w:rsidRPr="00990D3B">
        <w:t>that use strong methods of identifying enrollees.</w:t>
      </w:r>
    </w:p>
    <w:p w:rsidR="004F6C0E" w:rsidRPr="00990D3B" w:rsidP="004A2E4E" w14:paraId="09A2883B" w14:textId="5253825D">
      <w:pPr>
        <w:pStyle w:val="H2EQRWorksheetlist2"/>
      </w:pPr>
      <w:r w:rsidRPr="00990D3B">
        <w:t xml:space="preserve">Can your systems track </w:t>
      </w:r>
      <w:r w:rsidRPr="00990D3B">
        <w:t>enrollees</w:t>
      </w:r>
      <w:r w:rsidRPr="00990D3B">
        <w:t xml:space="preserve"> who switch from one product line (e.g., Medicaid, commercial plan, Medicare) to another?  </w:t>
      </w:r>
    </w:p>
    <w:p w:rsidR="004F6C0E" w:rsidRPr="00990D3B" w:rsidP="00F0102A" w14:paraId="3B5107BD" w14:textId="77777777">
      <w:pPr>
        <w:pStyle w:val="EQRNormalSSWSquestion2"/>
        <w:ind w:left="1440"/>
      </w:pPr>
      <w:r w:rsidRPr="00990D3B">
        <w:t>□ Yes</w:t>
      </w:r>
    </w:p>
    <w:p w:rsidR="004F6C0E" w:rsidRPr="00990D3B" w:rsidP="00F0102A" w14:paraId="2EA2C25D" w14:textId="77777777">
      <w:pPr>
        <w:pStyle w:val="EQRNormalSSWSquestion2"/>
        <w:ind w:left="1440"/>
      </w:pPr>
      <w:r w:rsidRPr="00990D3B">
        <w:t>□ No</w:t>
      </w:r>
    </w:p>
    <w:p w:rsidR="004F6C0E" w:rsidRPr="00990D3B" w:rsidP="009B7723" w14:paraId="3507486C" w14:textId="1B1AF0EF">
      <w:pPr>
        <w:pStyle w:val="H2EQRWorksheetlist3"/>
      </w:pPr>
      <w:r w:rsidRPr="00990D3B">
        <w:t xml:space="preserve"> Can you track an enrollee’s initial enrollment date with your MCP?</w:t>
      </w:r>
    </w:p>
    <w:p w:rsidR="004F6C0E" w:rsidRPr="00990D3B" w:rsidP="00F0102A" w14:paraId="73721A84" w14:textId="326D36EB">
      <w:pPr>
        <w:pStyle w:val="EQRNormalSSWSquestion3YN"/>
        <w:ind w:left="1440"/>
      </w:pPr>
      <w:r w:rsidRPr="00990D3B">
        <w:t>□ Yes (GO TO QUESTION 5</w:t>
      </w:r>
      <w:r w:rsidRPr="00990D3B" w:rsidR="00F0102A">
        <w:t>.31</w:t>
      </w:r>
      <w:r w:rsidRPr="00990D3B" w:rsidR="00F0102A">
        <w:t>.</w:t>
      </w:r>
      <w:r w:rsidRPr="00990D3B" w:rsidR="00555487">
        <w:t>c</w:t>
      </w:r>
      <w:r w:rsidRPr="00990D3B">
        <w:t>)</w:t>
      </w:r>
    </w:p>
    <w:p w:rsidR="004F6C0E" w:rsidRPr="00990D3B" w:rsidP="00F0102A" w14:paraId="7B703E7F" w14:textId="77777777">
      <w:pPr>
        <w:pStyle w:val="EQRNormalSSWSquestion3YN"/>
        <w:ind w:left="1440"/>
      </w:pPr>
      <w:r w:rsidRPr="00990D3B">
        <w:t xml:space="preserve">□ No </w:t>
      </w:r>
    </w:p>
    <w:p w:rsidR="004F6C0E" w:rsidRPr="00990D3B" w:rsidP="004A2E4E" w14:paraId="1C1A9AC8" w14:textId="4EEF7BEA">
      <w:pPr>
        <w:pStyle w:val="H2EQRWorksheetlist3"/>
      </w:pPr>
      <w:r w:rsidRPr="00990D3B">
        <w:t xml:space="preserve"> If not, is a new enrollment date assigned when a</w:t>
      </w:r>
      <w:r w:rsidRPr="00990D3B" w:rsidR="007844B2">
        <w:t>n</w:t>
      </w:r>
      <w:r w:rsidRPr="00990D3B">
        <w:t xml:space="preserve"> </w:t>
      </w:r>
      <w:r w:rsidRPr="00990D3B" w:rsidR="002F4DD4">
        <w:t>enrollee</w:t>
      </w:r>
      <w:r w:rsidRPr="00990D3B">
        <w:t xml:space="preserve"> enrolls in a new product line?</w:t>
      </w:r>
    </w:p>
    <w:p w:rsidR="004F6C0E" w:rsidRPr="00990D3B" w:rsidP="00F0102A" w14:paraId="43B09BE2" w14:textId="77777777">
      <w:pPr>
        <w:pStyle w:val="EQRNormalSSWSquestion3YN"/>
        <w:ind w:left="1440"/>
      </w:pPr>
      <w:r w:rsidRPr="00990D3B">
        <w:t>□ Yes</w:t>
      </w:r>
    </w:p>
    <w:p w:rsidR="004F6C0E" w:rsidRPr="00990D3B" w:rsidP="00F0102A" w14:paraId="695913E7" w14:textId="77777777">
      <w:pPr>
        <w:pStyle w:val="EQRNormalSSWSquestion3YN"/>
        <w:ind w:left="1440"/>
      </w:pPr>
      <w:r w:rsidRPr="00990D3B">
        <w:t>□ No</w:t>
      </w:r>
    </w:p>
    <w:p w:rsidR="004F6C0E" w:rsidRPr="00990D3B" w:rsidP="004A2E4E" w14:paraId="195D66DA" w14:textId="4964F9F6">
      <w:pPr>
        <w:pStyle w:val="H2EQRWorksheetlist3"/>
      </w:pPr>
      <w:r w:rsidRPr="00990D3B">
        <w:t>Can you track and link previous claim/encounter data across product lines?</w:t>
      </w:r>
    </w:p>
    <w:p w:rsidR="004F6C0E" w:rsidRPr="00990D3B" w:rsidP="00F0102A" w14:paraId="2F3F7C2F" w14:textId="77777777">
      <w:pPr>
        <w:pStyle w:val="EQRNormalSSWSquestion3YN"/>
        <w:ind w:left="1440"/>
      </w:pPr>
      <w:r w:rsidRPr="00990D3B">
        <w:t>□ Yes</w:t>
      </w:r>
    </w:p>
    <w:p w:rsidR="004F6C0E" w:rsidRPr="00990D3B" w:rsidP="00F0102A" w14:paraId="318BD963" w14:textId="77777777">
      <w:pPr>
        <w:pStyle w:val="EQRNormalSSWSquestion3YN"/>
        <w:ind w:left="1440"/>
      </w:pPr>
      <w:r w:rsidRPr="00990D3B">
        <w:t>□ No</w:t>
      </w:r>
    </w:p>
    <w:p w:rsidR="004F6C0E" w:rsidRPr="00990D3B" w:rsidP="004A2E4E" w14:paraId="5D1F7B49" w14:textId="1F57468C">
      <w:pPr>
        <w:pStyle w:val="H2EQRWorksheetlist2"/>
      </w:pPr>
      <w:r w:rsidRPr="00990D3B">
        <w:t xml:space="preserve">Under what circumstances, if any, can a Medicaid or CHIP </w:t>
      </w:r>
      <w:r w:rsidRPr="00990D3B" w:rsidR="00542C81">
        <w:t>beneficiary</w:t>
      </w:r>
      <w:r w:rsidRPr="00990D3B" w:rsidR="00B716BF">
        <w:t xml:space="preserve"> </w:t>
      </w:r>
      <w:r w:rsidRPr="00990D3B">
        <w:t>exist under more than one identification number within your MCP</w:t>
      </w:r>
      <w:r w:rsidRPr="00990D3B">
        <w:rPr>
          <w:iCs/>
        </w:rPr>
        <w:t>’s</w:t>
      </w:r>
      <w:r w:rsidRPr="00990D3B">
        <w:t xml:space="preserve"> information management systems? Under what circumstances, if </w:t>
      </w:r>
      <w:r w:rsidRPr="00990D3B">
        <w:t>any</w:t>
      </w:r>
      <w:r w:rsidRPr="00990D3B">
        <w:t xml:space="preserve">, can </w:t>
      </w:r>
      <w:r w:rsidRPr="00990D3B">
        <w:t>a</w:t>
      </w:r>
      <w:r w:rsidRPr="00990D3B">
        <w:t xml:space="preserve"> </w:t>
      </w:r>
      <w:r w:rsidRPr="00990D3B" w:rsidR="002F4DD4">
        <w:t>enrollee</w:t>
      </w:r>
      <w:r w:rsidRPr="00990D3B">
        <w:t>’s identification number change?</w:t>
      </w:r>
    </w:p>
    <w:p w:rsidR="004F6C0E" w:rsidRPr="00990D3B" w:rsidP="004A2E4E" w14:paraId="1BC994EF" w14:textId="06BBF571">
      <w:pPr>
        <w:pStyle w:val="H2EQRWorksheetlist2"/>
      </w:pPr>
      <w:r w:rsidRPr="00990D3B">
        <w:t xml:space="preserve">How does your MCP </w:t>
      </w:r>
      <w:r w:rsidRPr="00990D3B">
        <w:t>enroll</w:t>
      </w:r>
      <w:r w:rsidRPr="00990D3B">
        <w:t xml:space="preserve"> and track newborns born to an existing Medicaid or CHIP </w:t>
      </w:r>
      <w:r w:rsidRPr="00990D3B" w:rsidR="00542C81">
        <w:t>beneficiary</w:t>
      </w:r>
      <w:r w:rsidRPr="00990D3B">
        <w:t>?</w:t>
      </w:r>
    </w:p>
    <w:p w:rsidR="004F6C0E" w:rsidRPr="00990D3B" w:rsidP="004A2E4E" w14:paraId="1F636081" w14:textId="025580B3">
      <w:pPr>
        <w:pStyle w:val="H2EQRWorksheetlist3"/>
      </w:pPr>
      <w:r w:rsidRPr="00990D3B">
        <w:t>If your MCP has a Medicare product line, describe how your enrollment systems link individuals simultaneously enrolled in both your Medicare product line and the Medicaid plan product line.</w:t>
      </w:r>
    </w:p>
    <w:p w:rsidR="004F6C0E" w:rsidRPr="00990D3B" w:rsidP="00040E37" w14:paraId="4279F9DF" w14:textId="5C52F67F">
      <w:pPr>
        <w:pStyle w:val="H2EQRWorksheetlist2"/>
      </w:pPr>
      <w:r w:rsidRPr="00990D3B">
        <w:t xml:space="preserve">Is claim/encounter data linked </w:t>
      </w:r>
      <w:r w:rsidRPr="00990D3B">
        <w:t>for</w:t>
      </w:r>
      <w:r w:rsidRPr="00990D3B">
        <w:t xml:space="preserve"> </w:t>
      </w:r>
      <w:r w:rsidRPr="00990D3B" w:rsidR="0090723C">
        <w:t xml:space="preserve">beneficiaries who are dually eligible for Medicare and Medicaid </w:t>
      </w:r>
      <w:r w:rsidRPr="00990D3B">
        <w:t>so that all encounter data can be identified for the purposes of performance measure reporting?</w:t>
      </w:r>
    </w:p>
    <w:p w:rsidR="004F6C0E" w:rsidRPr="00990D3B" w:rsidP="00040E37" w14:paraId="5C73C503" w14:textId="77777777">
      <w:pPr>
        <w:pStyle w:val="EQRNormalSSWSquestion2"/>
        <w:keepNext/>
        <w:ind w:left="1152"/>
      </w:pPr>
      <w:r w:rsidRPr="00990D3B">
        <w:t>□ Yes</w:t>
      </w:r>
    </w:p>
    <w:p w:rsidR="004F6C0E" w:rsidRPr="00990D3B" w:rsidP="00040E37" w14:paraId="6059FE99" w14:textId="77777777">
      <w:pPr>
        <w:pStyle w:val="EQRNormalSSWSquestion2"/>
        <w:ind w:left="1152"/>
      </w:pPr>
      <w:r w:rsidRPr="00990D3B">
        <w:t>□ No</w:t>
      </w:r>
    </w:p>
    <w:p w:rsidR="004F6C0E" w:rsidRPr="00990D3B" w:rsidP="00040E37" w14:paraId="77890CBE" w14:textId="4AB3FF4B">
      <w:pPr>
        <w:pStyle w:val="H2EQRWorksheetlist3"/>
        <w:rPr>
          <w:rStyle w:val="QUESTIONTEXTChar"/>
          <w:rFonts w:eastAsia="Calibri" w:cs="Times New Roman"/>
          <w:b w:val="0"/>
        </w:rPr>
      </w:pPr>
      <w:r w:rsidRPr="00990D3B">
        <w:rPr>
          <w:rStyle w:val="QUESTIONTEXTChar"/>
          <w:rFonts w:eastAsia="Calibri" w:cs="Times New Roman"/>
          <w:b w:val="0"/>
        </w:rPr>
        <w:t xml:space="preserve">Is claim/encounter data linked for individuals enrolled in both a Medicare and Medicaid </w:t>
      </w:r>
      <w:r w:rsidRPr="00990D3B" w:rsidR="00FB1EBC">
        <w:rPr>
          <w:rStyle w:val="QUESTIONTEXTChar"/>
          <w:rFonts w:eastAsia="Calibri" w:cs="Times New Roman"/>
          <w:b w:val="0"/>
        </w:rPr>
        <w:t xml:space="preserve">MCP </w:t>
      </w:r>
      <w:r w:rsidRPr="00990D3B">
        <w:rPr>
          <w:rStyle w:val="QUESTIONTEXTChar"/>
          <w:rFonts w:eastAsia="Calibri" w:cs="Times New Roman"/>
          <w:b w:val="0"/>
        </w:rPr>
        <w:t xml:space="preserve">so that all encounter data can be identified for the purposes of performance measure reporting?  </w:t>
      </w:r>
    </w:p>
    <w:p w:rsidR="004F6C0E" w:rsidRPr="00990D3B" w:rsidP="00040E37" w14:paraId="5FBADB12" w14:textId="77777777">
      <w:pPr>
        <w:pStyle w:val="EQRNormalSSWSquestion2"/>
        <w:ind w:left="1440"/>
      </w:pPr>
      <w:r w:rsidRPr="00990D3B">
        <w:t>□ Yes</w:t>
      </w:r>
    </w:p>
    <w:p w:rsidR="004F6C0E" w:rsidRPr="00990D3B" w:rsidP="00040E37" w14:paraId="1E7319BB" w14:textId="77777777">
      <w:pPr>
        <w:pStyle w:val="EQRNormalSSWSquestion2"/>
        <w:ind w:left="1440"/>
      </w:pPr>
      <w:r w:rsidRPr="00990D3B">
        <w:t>□ No</w:t>
      </w:r>
    </w:p>
    <w:p w:rsidR="004F6C0E" w:rsidRPr="00990D3B" w:rsidP="00040E37" w14:paraId="40AEECC1" w14:textId="0852ACC5">
      <w:pPr>
        <w:pStyle w:val="H2EQRWorksheetlist2"/>
      </w:pPr>
      <w:r w:rsidRPr="00990D3B">
        <w:t>How often is Medicaid and CHIP enrollment information updated?</w:t>
      </w:r>
    </w:p>
    <w:p w:rsidR="004F6C0E" w:rsidRPr="00990D3B" w:rsidP="00372E00" w14:paraId="11BD8F71" w14:textId="33FB2A47">
      <w:pPr>
        <w:pStyle w:val="EQRnoteWS"/>
      </w:pPr>
      <w:r w:rsidRPr="00990D3B">
        <w:t>Note (Q</w:t>
      </w:r>
      <w:r w:rsidRPr="00990D3B" w:rsidR="00F0102A">
        <w:t xml:space="preserve"> 5.35</w:t>
      </w:r>
      <w:r w:rsidRPr="00990D3B">
        <w:t>): Enrollment information should be updated real-time, daily, or weekly.</w:t>
      </w:r>
    </w:p>
    <w:p w:rsidR="004F6C0E" w:rsidRPr="00990D3B" w:rsidP="00040E37" w14:paraId="3034A809" w14:textId="1F5586FE">
      <w:pPr>
        <w:pStyle w:val="H2EQRWorksheetlist2"/>
      </w:pPr>
      <w:r w:rsidRPr="00990D3B">
        <w:t xml:space="preserve">How is Medicaid and CHIP continuous enrollment being defined? </w:t>
      </w:r>
      <w:r w:rsidRPr="00990D3B">
        <w:t>In particular, does</w:t>
      </w:r>
      <w:r w:rsidRPr="00990D3B">
        <w:t xml:space="preserve"> your system have any limitations that preclude you from fully implementing continuous enrollment requirements exactly as specified in the state performance measure requirements?</w:t>
      </w:r>
    </w:p>
    <w:p w:rsidR="004F6C0E" w:rsidRPr="00990D3B" w:rsidP="00040E37" w14:paraId="6F1F2DC5" w14:textId="2A5BEC51">
      <w:pPr>
        <w:pStyle w:val="H2EQRWorksheetlist2"/>
      </w:pPr>
      <w:r w:rsidRPr="00990D3B">
        <w:t xml:space="preserve">Please attach a copy of the source code that you use to calculate Medicaid/ CHIP continuous enrollment. </w:t>
      </w:r>
    </w:p>
    <w:p w:rsidR="004F6C0E" w:rsidRPr="00990D3B" w:rsidP="00040E37" w14:paraId="1A2BC9DE" w14:textId="404230EF">
      <w:pPr>
        <w:pStyle w:val="H2EQRWorksheetlist2"/>
      </w:pPr>
      <w:r w:rsidRPr="00990D3B">
        <w:t xml:space="preserve">How do you handle breaks in Medicaid or CHIP enrollment, e.g., situations where a Medicaid </w:t>
      </w:r>
      <w:r w:rsidRPr="00990D3B" w:rsidR="00FB1EBC">
        <w:t xml:space="preserve">or CHIP </w:t>
      </w:r>
      <w:r w:rsidRPr="00990D3B">
        <w:t>enrollee is disenrolled one day and re-enrolled the next simply for administrative reasons? Does this affect your continuous enrollment calculations?</w:t>
      </w:r>
    </w:p>
    <w:p w:rsidR="004F6C0E" w:rsidRPr="00990D3B" w:rsidP="00040E37" w14:paraId="1CEC0153" w14:textId="00092FAC">
      <w:pPr>
        <w:pStyle w:val="H2EQRWorksheetlist2"/>
      </w:pPr>
      <w:r w:rsidRPr="00990D3B">
        <w:t xml:space="preserve">Do you have restrictions on when Medicaid or CHIP </w:t>
      </w:r>
      <w:r w:rsidRPr="00990D3B" w:rsidR="00542C81">
        <w:t xml:space="preserve">beneficiaries </w:t>
      </w:r>
      <w:r w:rsidRPr="00990D3B">
        <w:t>can enroll or disenroll? Please describe.</w:t>
      </w:r>
    </w:p>
    <w:p w:rsidR="004F6C0E" w:rsidRPr="00990D3B" w:rsidP="00040E37" w14:paraId="24FB7F0E" w14:textId="06BEF42C">
      <w:pPr>
        <w:pStyle w:val="H2EQRWorksheetlist2"/>
      </w:pPr>
      <w:r w:rsidRPr="00990D3B">
        <w:t>How do you identify and count the following:</w:t>
      </w:r>
    </w:p>
    <w:p w:rsidR="004F6C0E" w:rsidRPr="00990D3B" w:rsidP="005E2DB1" w14:paraId="5F4614E0" w14:textId="77777777">
      <w:pPr>
        <w:pStyle w:val="EQRNormalSSWSbullet"/>
      </w:pPr>
      <w:r w:rsidRPr="00990D3B">
        <w:t xml:space="preserve">Medicaid member months?  </w:t>
      </w:r>
    </w:p>
    <w:p w:rsidR="004F6C0E" w:rsidRPr="00990D3B" w:rsidP="005E2DB1" w14:paraId="1E9BB895" w14:textId="77777777">
      <w:pPr>
        <w:pStyle w:val="EQRNormalSSWSbullet"/>
      </w:pPr>
      <w:r w:rsidRPr="00990D3B">
        <w:t>Medicaid member years?</w:t>
      </w:r>
    </w:p>
    <w:p w:rsidR="004F6C0E" w:rsidRPr="00990D3B" w:rsidP="00040E37" w14:paraId="5704F27C" w14:textId="2E10A685">
      <w:pPr>
        <w:pStyle w:val="H2EQRWorksheetlist2"/>
      </w:pPr>
      <w:r w:rsidRPr="00990D3B">
        <w:t xml:space="preserve">Please list all data from which claims/encounters for the Medicaid or CHIP product line are verified.  </w:t>
      </w:r>
    </w:p>
    <w:p w:rsidR="004F6C0E" w:rsidRPr="00990D3B" w:rsidP="00372E00" w14:paraId="73D76E63" w14:textId="1D995E9A">
      <w:pPr>
        <w:pStyle w:val="EQRnoteWS"/>
      </w:pPr>
      <w:r w:rsidRPr="00990D3B">
        <w:t>Note (Q</w:t>
      </w:r>
      <w:r w:rsidRPr="00990D3B" w:rsidR="00F0102A">
        <w:t xml:space="preserve"> 5.41</w:t>
      </w:r>
      <w:r w:rsidRPr="00990D3B">
        <w:t>): Eligibility of the patient should be verified before claims and encounters are processed. Dates of enrollment and disenrollment are key reporting fields for Medicaid HEDIS® measures. Eligibility status is dynamic for Medicaid beneficiaries and should be updated frequently. Eligibility status should also be verified before data is submitted to the state.</w:t>
      </w:r>
    </w:p>
    <w:p w:rsidR="004F6C0E" w:rsidRPr="00990D3B" w:rsidP="00040E37" w14:paraId="2AB2C906" w14:textId="3EA57EDB">
      <w:pPr>
        <w:pStyle w:val="H2EQRWorksheetlist2"/>
      </w:pPr>
      <w:r w:rsidRPr="00990D3B">
        <w:t xml:space="preserve">Does the plan offer vision or pharmacy benefits to its Medicaid or CHIP </w:t>
      </w:r>
      <w:r w:rsidRPr="00990D3B" w:rsidR="00FB1EBC">
        <w:t xml:space="preserve">enrollees </w:t>
      </w:r>
      <w:r w:rsidRPr="00990D3B">
        <w:t xml:space="preserve">that are different from the vision or pharmacy benefits offered to its commercial enrollees (within a given contract or market area)?  </w:t>
      </w:r>
    </w:p>
    <w:p w:rsidR="004F6C0E" w:rsidRPr="00990D3B" w:rsidP="00040E37" w14:paraId="27D6A4CD" w14:textId="77777777">
      <w:pPr>
        <w:pStyle w:val="EQRNormalSSWSquestion2"/>
        <w:ind w:left="1152"/>
      </w:pPr>
      <w:r w:rsidRPr="00990D3B">
        <w:t>□ Yes</w:t>
      </w:r>
    </w:p>
    <w:p w:rsidR="004F6C0E" w:rsidRPr="00990D3B" w:rsidP="00040E37" w14:paraId="707D1A19" w14:textId="77777777">
      <w:pPr>
        <w:pStyle w:val="EQRNormalSSWSquestion2"/>
        <w:ind w:left="1152"/>
      </w:pPr>
      <w:r w:rsidRPr="00990D3B">
        <w:t>□ No (GO TO SECTION C, ANCILLARY SYSTEMS)</w:t>
      </w:r>
    </w:p>
    <w:p w:rsidR="004F6C0E" w:rsidRPr="00990D3B" w:rsidP="00040E37" w14:paraId="0A5F11D1" w14:textId="2638C407">
      <w:pPr>
        <w:pStyle w:val="H2EQRWorksheetlist3"/>
      </w:pPr>
      <w:r w:rsidRPr="00990D3B">
        <w:t>If vision benefits vary by benefit package, outline the different options available. How are enrollees tracked?</w:t>
      </w:r>
    </w:p>
    <w:p w:rsidR="004F6C0E" w:rsidRPr="00990D3B" w:rsidP="00040E37" w14:paraId="7C3B4594" w14:textId="6A270D54">
      <w:pPr>
        <w:pStyle w:val="H2EQRWorksheetlist3"/>
      </w:pPr>
      <w:r w:rsidRPr="00990D3B">
        <w:t>If pharmacy benefits vary by benefit package, outline the different options available. How are enrollees tracked?</w:t>
      </w:r>
    </w:p>
    <w:p w:rsidR="004F6C0E" w:rsidRPr="00990D3B" w:rsidP="00AE481B" w14:paraId="08E949FC" w14:textId="77777777">
      <w:pPr>
        <w:pStyle w:val="H2EQRWorksheetSub"/>
      </w:pPr>
      <w:r w:rsidRPr="00990D3B">
        <w:t>C</w:t>
      </w:r>
      <w:bookmarkStart w:id="1182" w:name="WSB1Sec5C"/>
      <w:bookmarkEnd w:id="1182"/>
      <w:r w:rsidRPr="00990D3B">
        <w:t>. Ancillary Systems</w:t>
      </w:r>
    </w:p>
    <w:p w:rsidR="004F6C0E" w:rsidRPr="00990D3B" w:rsidP="00AA1177" w14:paraId="78C80EE7" w14:textId="77777777">
      <w:pPr>
        <w:pStyle w:val="EQRNormalSSWORKSHEET"/>
      </w:pPr>
      <w:r w:rsidRPr="00990D3B">
        <w:t>Use this section to record information on stand-alone systems or benefits provided through subcontracts, such as pharmacy or mental health/substance abuse.</w:t>
      </w:r>
    </w:p>
    <w:p w:rsidR="004F6C0E" w:rsidRPr="00990D3B" w:rsidP="00F0102A" w14:paraId="2DF0A343" w14:textId="388F3C95">
      <w:pPr>
        <w:pStyle w:val="H2EQRWorksheetlist2"/>
      </w:pPr>
      <w:r w:rsidRPr="00990D3B">
        <w:t>Does your MCP incorporate data from one or more third-parties to calculate any of the following Medicaid and CHIP quality measures? If so, which measures require third-party data?</w:t>
      </w:r>
    </w:p>
    <w:p w:rsidR="004F6C0E" w:rsidRPr="00990D3B" w:rsidP="00372E00" w14:paraId="03B41830" w14:textId="3A207236">
      <w:pPr>
        <w:pStyle w:val="EQRnoteWS"/>
      </w:pPr>
      <w:r w:rsidRPr="00990D3B">
        <w:t>Note (Q</w:t>
      </w:r>
      <w:r w:rsidRPr="00990D3B" w:rsidR="00F0102A">
        <w:t xml:space="preserve"> 5.43</w:t>
      </w:r>
      <w:r w:rsidRPr="00990D3B">
        <w:t>): The measures listed in the following table are examples of measures that can be calculated with administrative data and align with CMS quality measurement initiatives as of 20</w:t>
      </w:r>
      <w:r w:rsidRPr="00990D3B" w:rsidR="003E4F11">
        <w:t>21</w:t>
      </w:r>
      <w:r w:rsidRPr="00990D3B">
        <w:t>. The state and EQRO should tailor this table to list the measures that the state requires its MCP contractors to produce and any other measures in which the state is interested.</w:t>
      </w:r>
    </w:p>
    <w:tbl>
      <w:tblPr>
        <w:tblStyle w:val="TableGrid"/>
        <w:tblW w:w="5000" w:type="pct"/>
        <w:tblLook w:val="04A0"/>
      </w:tblPr>
      <w:tblGrid>
        <w:gridCol w:w="5575"/>
        <w:gridCol w:w="3775"/>
      </w:tblGrid>
      <w:tr w14:paraId="28EB2B64" w14:textId="77777777" w:rsidTr="00ED15A4">
        <w:tblPrEx>
          <w:tblW w:w="5000" w:type="pct"/>
          <w:tblLook w:val="04A0"/>
        </w:tblPrEx>
        <w:trPr>
          <w:tblHeader/>
        </w:trPr>
        <w:tc>
          <w:tcPr>
            <w:tcW w:w="5575" w:type="dxa"/>
            <w:vAlign w:val="bottom"/>
          </w:tcPr>
          <w:p w:rsidR="004F6C0E" w:rsidRPr="00990D3B" w:rsidP="00ED15A4" w14:paraId="2F108A8F" w14:textId="77777777">
            <w:pPr>
              <w:pStyle w:val="EQRTableText"/>
              <w:rPr>
                <w:b/>
                <w:bCs/>
              </w:rPr>
            </w:pPr>
            <w:r w:rsidRPr="00990D3B">
              <w:rPr>
                <w:b/>
                <w:bCs/>
              </w:rPr>
              <w:t>Measure</w:t>
            </w:r>
          </w:p>
        </w:tc>
        <w:tc>
          <w:tcPr>
            <w:tcW w:w="3775" w:type="dxa"/>
            <w:vAlign w:val="bottom"/>
          </w:tcPr>
          <w:p w:rsidR="004F6C0E" w:rsidRPr="00990D3B" w:rsidP="00ED15A4" w14:paraId="28A04E5E" w14:textId="110D97E6">
            <w:pPr>
              <w:pStyle w:val="EQRTableText"/>
              <w:rPr>
                <w:b/>
                <w:bCs/>
              </w:rPr>
            </w:pPr>
            <w:r w:rsidRPr="00990D3B">
              <w:rPr>
                <w:b/>
                <w:bCs/>
              </w:rPr>
              <w:t>Third-</w:t>
            </w:r>
            <w:r w:rsidRPr="00990D3B" w:rsidR="006F56F0">
              <w:rPr>
                <w:b/>
                <w:bCs/>
              </w:rPr>
              <w:t>p</w:t>
            </w:r>
            <w:r w:rsidRPr="00990D3B">
              <w:rPr>
                <w:b/>
                <w:bCs/>
              </w:rPr>
              <w:t xml:space="preserve">arty </w:t>
            </w:r>
            <w:r w:rsidRPr="00990D3B" w:rsidR="006F56F0">
              <w:rPr>
                <w:b/>
                <w:bCs/>
              </w:rPr>
              <w:t>d</w:t>
            </w:r>
            <w:r w:rsidRPr="00990D3B">
              <w:rPr>
                <w:b/>
                <w:bCs/>
              </w:rPr>
              <w:t xml:space="preserve">ata </w:t>
            </w:r>
            <w:r w:rsidRPr="00990D3B" w:rsidR="006F56F0">
              <w:rPr>
                <w:b/>
                <w:bCs/>
              </w:rPr>
              <w:t>s</w:t>
            </w:r>
            <w:r w:rsidRPr="00990D3B">
              <w:rPr>
                <w:b/>
                <w:bCs/>
              </w:rPr>
              <w:t>ource</w:t>
            </w:r>
          </w:p>
        </w:tc>
      </w:tr>
      <w:tr w14:paraId="112C50B4" w14:textId="77777777" w:rsidTr="004734A8">
        <w:tblPrEx>
          <w:tblW w:w="5000" w:type="pct"/>
          <w:tblLook w:val="04A0"/>
        </w:tblPrEx>
        <w:tc>
          <w:tcPr>
            <w:tcW w:w="5575" w:type="dxa"/>
            <w:vAlign w:val="center"/>
          </w:tcPr>
          <w:p w:rsidR="0072118B" w:rsidRPr="00990D3B" w:rsidP="004734A8" w14:paraId="08FDF676" w14:textId="4AFCED33">
            <w:pPr>
              <w:pStyle w:val="EQRTableText"/>
            </w:pPr>
            <w:r w:rsidRPr="00990D3B">
              <w:t>Well-Child Visits in the First 30 Months of Life (W30-CH)</w:t>
            </w:r>
          </w:p>
        </w:tc>
        <w:tc>
          <w:tcPr>
            <w:tcW w:w="3775" w:type="dxa"/>
            <w:vAlign w:val="center"/>
          </w:tcPr>
          <w:p w:rsidR="0072118B" w:rsidRPr="00990D3B" w:rsidP="004734A8" w14:paraId="11E4CA29" w14:textId="77777777">
            <w:pPr>
              <w:pStyle w:val="EQRTableText"/>
            </w:pPr>
          </w:p>
        </w:tc>
      </w:tr>
      <w:tr w14:paraId="7BDB4423" w14:textId="77777777" w:rsidTr="004734A8">
        <w:tblPrEx>
          <w:tblW w:w="5000" w:type="pct"/>
          <w:tblLook w:val="04A0"/>
        </w:tblPrEx>
        <w:tc>
          <w:tcPr>
            <w:tcW w:w="5575" w:type="dxa"/>
            <w:vAlign w:val="center"/>
          </w:tcPr>
          <w:p w:rsidR="002F0451" w:rsidRPr="00990D3B" w:rsidP="004734A8" w14:paraId="41F8E964" w14:textId="77777777">
            <w:pPr>
              <w:pStyle w:val="EQRTableText"/>
            </w:pPr>
            <w:r w:rsidRPr="00990D3B">
              <w:t>Child and Adolescent Well-Care Visits (WCV-CH)</w:t>
            </w:r>
          </w:p>
        </w:tc>
        <w:tc>
          <w:tcPr>
            <w:tcW w:w="3775" w:type="dxa"/>
            <w:vAlign w:val="center"/>
          </w:tcPr>
          <w:p w:rsidR="002F0451" w:rsidRPr="00990D3B" w:rsidP="004734A8" w14:paraId="051E70D5" w14:textId="77777777">
            <w:pPr>
              <w:pStyle w:val="EQRTableText"/>
            </w:pPr>
            <w:r w:rsidRPr="00990D3B">
              <w:t> </w:t>
            </w:r>
          </w:p>
        </w:tc>
      </w:tr>
      <w:tr w14:paraId="629AFDB7" w14:textId="77777777" w:rsidTr="004734A8">
        <w:tblPrEx>
          <w:tblW w:w="5000" w:type="pct"/>
          <w:tblLook w:val="04A0"/>
        </w:tblPrEx>
        <w:tc>
          <w:tcPr>
            <w:tcW w:w="5575" w:type="dxa"/>
            <w:vAlign w:val="center"/>
          </w:tcPr>
          <w:p w:rsidR="002F0451" w:rsidRPr="00990D3B" w:rsidP="004734A8" w14:paraId="1251949D" w14:textId="77777777">
            <w:pPr>
              <w:pStyle w:val="EQRTableText"/>
            </w:pPr>
            <w:r w:rsidRPr="00990D3B">
              <w:t>Childhood Immunization Status (IMA-CH)</w:t>
            </w:r>
          </w:p>
        </w:tc>
        <w:tc>
          <w:tcPr>
            <w:tcW w:w="3775" w:type="dxa"/>
            <w:vAlign w:val="center"/>
          </w:tcPr>
          <w:p w:rsidR="002F0451" w:rsidRPr="00990D3B" w:rsidP="004734A8" w14:paraId="5EBF0E78" w14:textId="77777777">
            <w:pPr>
              <w:pStyle w:val="EQRTableText"/>
            </w:pPr>
            <w:r w:rsidRPr="00990D3B">
              <w:t> </w:t>
            </w:r>
          </w:p>
        </w:tc>
      </w:tr>
      <w:tr w14:paraId="305BFE52" w14:textId="77777777" w:rsidTr="004734A8">
        <w:tblPrEx>
          <w:tblW w:w="5000" w:type="pct"/>
          <w:tblLook w:val="04A0"/>
        </w:tblPrEx>
        <w:tc>
          <w:tcPr>
            <w:tcW w:w="5575" w:type="dxa"/>
            <w:vAlign w:val="center"/>
          </w:tcPr>
          <w:p w:rsidR="002F0451" w:rsidRPr="00990D3B" w:rsidP="004734A8" w14:paraId="6F043370" w14:textId="77777777">
            <w:pPr>
              <w:pStyle w:val="EQRTableText"/>
            </w:pPr>
            <w:r w:rsidRPr="00990D3B">
              <w:t>Immunizations for Adolescents (IMA-CH)</w:t>
            </w:r>
          </w:p>
        </w:tc>
        <w:tc>
          <w:tcPr>
            <w:tcW w:w="3775" w:type="dxa"/>
            <w:vAlign w:val="center"/>
          </w:tcPr>
          <w:p w:rsidR="002F0451" w:rsidRPr="00990D3B" w:rsidP="004734A8" w14:paraId="0F36475A" w14:textId="77777777">
            <w:pPr>
              <w:pStyle w:val="EQRTableText"/>
            </w:pPr>
            <w:r w:rsidRPr="00990D3B">
              <w:t> </w:t>
            </w:r>
          </w:p>
        </w:tc>
      </w:tr>
      <w:tr w14:paraId="5BF9DD1B" w14:textId="77777777" w:rsidTr="004734A8">
        <w:tblPrEx>
          <w:tblW w:w="5000" w:type="pct"/>
          <w:tblLook w:val="04A0"/>
        </w:tblPrEx>
        <w:tc>
          <w:tcPr>
            <w:tcW w:w="5575" w:type="dxa"/>
            <w:vAlign w:val="center"/>
          </w:tcPr>
          <w:p w:rsidR="002F0451" w:rsidRPr="00990D3B" w:rsidP="004734A8" w14:paraId="2EC0F43B" w14:textId="77777777">
            <w:pPr>
              <w:pStyle w:val="EQRTableText"/>
            </w:pPr>
            <w:r w:rsidRPr="00990D3B">
              <w:t>Developmental Screening in the First Three Years of Life (DEV-CH)</w:t>
            </w:r>
          </w:p>
        </w:tc>
        <w:tc>
          <w:tcPr>
            <w:tcW w:w="3775" w:type="dxa"/>
            <w:vAlign w:val="center"/>
          </w:tcPr>
          <w:p w:rsidR="002F0451" w:rsidRPr="00990D3B" w:rsidP="004734A8" w14:paraId="3B663B33" w14:textId="77777777">
            <w:pPr>
              <w:pStyle w:val="EQRTableText"/>
            </w:pPr>
            <w:r w:rsidRPr="00990D3B">
              <w:t> </w:t>
            </w:r>
          </w:p>
        </w:tc>
      </w:tr>
      <w:tr w14:paraId="6524408F" w14:textId="77777777" w:rsidTr="004734A8">
        <w:tblPrEx>
          <w:tblW w:w="5000" w:type="pct"/>
          <w:tblLook w:val="04A0"/>
        </w:tblPrEx>
        <w:tc>
          <w:tcPr>
            <w:tcW w:w="5575" w:type="dxa"/>
            <w:vAlign w:val="center"/>
          </w:tcPr>
          <w:p w:rsidR="002F0451" w:rsidRPr="00990D3B" w:rsidP="004734A8" w14:paraId="28956988" w14:textId="77777777">
            <w:pPr>
              <w:pStyle w:val="EQRTableText"/>
            </w:pPr>
            <w:r w:rsidRPr="00990D3B">
              <w:t>Chlamydia Screening in Women Ages 16–20 (CHL-CH) and Ages 21 to 24 (CHL-AD)</w:t>
            </w:r>
          </w:p>
        </w:tc>
        <w:tc>
          <w:tcPr>
            <w:tcW w:w="3775" w:type="dxa"/>
            <w:vAlign w:val="center"/>
          </w:tcPr>
          <w:p w:rsidR="002F0451" w:rsidRPr="00990D3B" w:rsidP="004734A8" w14:paraId="06FE4EDE" w14:textId="77777777">
            <w:pPr>
              <w:pStyle w:val="EQRTableText"/>
            </w:pPr>
            <w:r w:rsidRPr="00990D3B">
              <w:t> </w:t>
            </w:r>
          </w:p>
        </w:tc>
      </w:tr>
      <w:tr w14:paraId="13194F02" w14:textId="77777777" w:rsidTr="004734A8">
        <w:tblPrEx>
          <w:tblW w:w="5000" w:type="pct"/>
          <w:tblLook w:val="04A0"/>
        </w:tblPrEx>
        <w:tc>
          <w:tcPr>
            <w:tcW w:w="5575" w:type="dxa"/>
            <w:vAlign w:val="center"/>
          </w:tcPr>
          <w:p w:rsidR="002F0451" w:rsidRPr="00990D3B" w:rsidP="004734A8" w14:paraId="4CF96472" w14:textId="77777777">
            <w:pPr>
              <w:pStyle w:val="EQRTableText"/>
            </w:pPr>
            <w:r w:rsidRPr="00990D3B">
              <w:t>Breast Cancer Screening (BCS-AD)</w:t>
            </w:r>
          </w:p>
        </w:tc>
        <w:tc>
          <w:tcPr>
            <w:tcW w:w="3775" w:type="dxa"/>
            <w:vAlign w:val="center"/>
          </w:tcPr>
          <w:p w:rsidR="002F0451" w:rsidRPr="00990D3B" w:rsidP="004734A8" w14:paraId="168F50BE" w14:textId="77777777">
            <w:pPr>
              <w:pStyle w:val="EQRTableText"/>
            </w:pPr>
            <w:r w:rsidRPr="00990D3B">
              <w:t> </w:t>
            </w:r>
          </w:p>
        </w:tc>
      </w:tr>
      <w:tr w14:paraId="7D569A95" w14:textId="77777777" w:rsidTr="004734A8">
        <w:tblPrEx>
          <w:tblW w:w="5000" w:type="pct"/>
          <w:tblLook w:val="04A0"/>
        </w:tblPrEx>
        <w:tc>
          <w:tcPr>
            <w:tcW w:w="5575" w:type="dxa"/>
            <w:vAlign w:val="center"/>
          </w:tcPr>
          <w:p w:rsidR="002F0451" w:rsidRPr="00990D3B" w:rsidP="004734A8" w14:paraId="004388CF" w14:textId="77777777">
            <w:pPr>
              <w:pStyle w:val="EQRTableText"/>
            </w:pPr>
            <w:r w:rsidRPr="00990D3B">
              <w:t>Cervical Cancer Screening (CCS-AD)</w:t>
            </w:r>
          </w:p>
        </w:tc>
        <w:tc>
          <w:tcPr>
            <w:tcW w:w="3775" w:type="dxa"/>
            <w:vAlign w:val="center"/>
          </w:tcPr>
          <w:p w:rsidR="002F0451" w:rsidRPr="00990D3B" w:rsidP="004734A8" w14:paraId="39E4106B" w14:textId="77777777">
            <w:pPr>
              <w:pStyle w:val="EQRTableText"/>
            </w:pPr>
            <w:r w:rsidRPr="00990D3B">
              <w:t> </w:t>
            </w:r>
          </w:p>
        </w:tc>
      </w:tr>
      <w:tr w14:paraId="410E4BAC" w14:textId="77777777" w:rsidTr="004734A8">
        <w:tblPrEx>
          <w:tblW w:w="5000" w:type="pct"/>
          <w:tblLook w:val="04A0"/>
        </w:tblPrEx>
        <w:tc>
          <w:tcPr>
            <w:tcW w:w="5575" w:type="dxa"/>
            <w:vAlign w:val="center"/>
          </w:tcPr>
          <w:p w:rsidR="0072118B" w:rsidRPr="00990D3B" w:rsidP="004734A8" w14:paraId="1B4B02A2" w14:textId="77777777">
            <w:pPr>
              <w:pStyle w:val="EQRTableText"/>
            </w:pPr>
            <w:r w:rsidRPr="00990D3B">
              <w:t>Prenatal and Postpartum Care: Timeliness of Prenatal Care (PPC-CH) and Postpartum Care (PPC-AD)</w:t>
            </w:r>
          </w:p>
        </w:tc>
        <w:tc>
          <w:tcPr>
            <w:tcW w:w="3775" w:type="dxa"/>
            <w:vAlign w:val="center"/>
          </w:tcPr>
          <w:p w:rsidR="0072118B" w:rsidRPr="00990D3B" w:rsidP="004734A8" w14:paraId="27B0B4A1" w14:textId="77777777">
            <w:pPr>
              <w:pStyle w:val="EQRTableText"/>
            </w:pPr>
            <w:r w:rsidRPr="00990D3B">
              <w:t> </w:t>
            </w:r>
          </w:p>
        </w:tc>
      </w:tr>
      <w:tr w14:paraId="341DAC3A" w14:textId="77777777" w:rsidTr="004734A8">
        <w:tblPrEx>
          <w:tblW w:w="5000" w:type="pct"/>
          <w:tblLook w:val="04A0"/>
        </w:tblPrEx>
        <w:tc>
          <w:tcPr>
            <w:tcW w:w="5575" w:type="dxa"/>
            <w:vAlign w:val="center"/>
          </w:tcPr>
          <w:p w:rsidR="002F0451" w:rsidRPr="00990D3B" w:rsidP="004734A8" w14:paraId="7B1BA334" w14:textId="74C4EC4A">
            <w:pPr>
              <w:pStyle w:val="EQRTableText"/>
            </w:pPr>
            <w:r w:rsidRPr="00990D3B">
              <w:t>Screening for Depression and Follow-Up Plan: Ages 12 to 17 (CDF-CH) and Age 18 and Older (CDF-AD)</w:t>
            </w:r>
          </w:p>
        </w:tc>
        <w:tc>
          <w:tcPr>
            <w:tcW w:w="3775" w:type="dxa"/>
            <w:vAlign w:val="center"/>
          </w:tcPr>
          <w:p w:rsidR="002F0451" w:rsidRPr="00990D3B" w:rsidP="004734A8" w14:paraId="6E50FD98" w14:textId="77777777">
            <w:pPr>
              <w:pStyle w:val="EQRTableText"/>
            </w:pPr>
          </w:p>
        </w:tc>
      </w:tr>
      <w:tr w14:paraId="7A499A56" w14:textId="77777777" w:rsidTr="004734A8">
        <w:tblPrEx>
          <w:tblW w:w="5000" w:type="pct"/>
          <w:tblLook w:val="04A0"/>
        </w:tblPrEx>
        <w:tc>
          <w:tcPr>
            <w:tcW w:w="5575" w:type="dxa"/>
            <w:vAlign w:val="center"/>
          </w:tcPr>
          <w:p w:rsidR="002F0451" w:rsidRPr="00990D3B" w:rsidP="004734A8" w14:paraId="4BFDB9A1" w14:textId="77777777">
            <w:pPr>
              <w:pStyle w:val="EQRTableText"/>
            </w:pPr>
            <w:r w:rsidRPr="00990D3B">
              <w:t>Follow-Up Care for Children Prescribed Attention-Deficit/Hyperactivity Disorder (ADHD) Medication (ADD-CH)</w:t>
            </w:r>
          </w:p>
        </w:tc>
        <w:tc>
          <w:tcPr>
            <w:tcW w:w="3775" w:type="dxa"/>
            <w:vAlign w:val="center"/>
          </w:tcPr>
          <w:p w:rsidR="002F0451" w:rsidRPr="00990D3B" w:rsidP="004734A8" w14:paraId="5FC7425C" w14:textId="77777777">
            <w:pPr>
              <w:pStyle w:val="EQRTableText"/>
            </w:pPr>
            <w:r w:rsidRPr="00990D3B">
              <w:t> </w:t>
            </w:r>
          </w:p>
        </w:tc>
      </w:tr>
      <w:tr w14:paraId="05A33CB2" w14:textId="77777777" w:rsidTr="004734A8">
        <w:tblPrEx>
          <w:tblW w:w="5000" w:type="pct"/>
          <w:tblLook w:val="04A0"/>
        </w:tblPrEx>
        <w:tc>
          <w:tcPr>
            <w:tcW w:w="5575" w:type="dxa"/>
            <w:vAlign w:val="center"/>
          </w:tcPr>
          <w:p w:rsidR="002F0451" w:rsidRPr="00990D3B" w:rsidP="002F0451" w14:paraId="729C14CA" w14:textId="6F3B83D6">
            <w:pPr>
              <w:pStyle w:val="EQRTableText"/>
            </w:pPr>
            <w:r w:rsidRPr="00990D3B">
              <w:t>Follow-Up After Hospitalization for Mental Illness: Ages 6–20 (FUH-CH) and Age 18 and Older (FUH-AD)</w:t>
            </w:r>
          </w:p>
        </w:tc>
        <w:tc>
          <w:tcPr>
            <w:tcW w:w="3775" w:type="dxa"/>
            <w:vAlign w:val="center"/>
          </w:tcPr>
          <w:p w:rsidR="002F0451" w:rsidRPr="00990D3B" w:rsidP="002F0451" w14:paraId="68D67068" w14:textId="77777777">
            <w:pPr>
              <w:pStyle w:val="EQRTableText"/>
            </w:pPr>
          </w:p>
        </w:tc>
      </w:tr>
      <w:tr w14:paraId="1C8D49A8" w14:textId="77777777" w:rsidTr="004734A8">
        <w:tblPrEx>
          <w:tblW w:w="5000" w:type="pct"/>
          <w:tblLook w:val="04A0"/>
        </w:tblPrEx>
        <w:tc>
          <w:tcPr>
            <w:tcW w:w="5575" w:type="dxa"/>
            <w:vAlign w:val="center"/>
          </w:tcPr>
          <w:p w:rsidR="002F0451" w:rsidRPr="00990D3B" w:rsidP="004734A8" w14:paraId="6B735F25" w14:textId="062D738D">
            <w:pPr>
              <w:pStyle w:val="EQRTableText"/>
            </w:pPr>
            <w:r w:rsidRPr="00990D3B">
              <w:t>Initiation and Engagement of Alcohol and Other Drug Abuse or Dependence Treatment (IET-AD)</w:t>
            </w:r>
          </w:p>
        </w:tc>
        <w:tc>
          <w:tcPr>
            <w:tcW w:w="3775" w:type="dxa"/>
            <w:vAlign w:val="center"/>
          </w:tcPr>
          <w:p w:rsidR="002F0451" w:rsidRPr="00990D3B" w:rsidP="004734A8" w14:paraId="44160A13" w14:textId="77777777">
            <w:pPr>
              <w:pStyle w:val="EQRTableText"/>
            </w:pPr>
            <w:r w:rsidRPr="00990D3B">
              <w:t> </w:t>
            </w:r>
          </w:p>
        </w:tc>
      </w:tr>
      <w:tr w14:paraId="19D2558D" w14:textId="77777777" w:rsidTr="004734A8">
        <w:tblPrEx>
          <w:tblW w:w="5000" w:type="pct"/>
          <w:tblLook w:val="04A0"/>
        </w:tblPrEx>
        <w:tc>
          <w:tcPr>
            <w:tcW w:w="5575" w:type="dxa"/>
            <w:vAlign w:val="center"/>
          </w:tcPr>
          <w:p w:rsidR="002F0451" w:rsidRPr="00990D3B" w:rsidP="004734A8" w14:paraId="5C21C84E" w14:textId="2AB20923">
            <w:pPr>
              <w:pStyle w:val="EQRTableText"/>
            </w:pPr>
            <w:r w:rsidRPr="00990D3B">
              <w:t>Use of Opioids at High Dosage in Persons Without Cancer (OHD-AD)</w:t>
            </w:r>
          </w:p>
        </w:tc>
        <w:tc>
          <w:tcPr>
            <w:tcW w:w="3775" w:type="dxa"/>
            <w:vAlign w:val="center"/>
          </w:tcPr>
          <w:p w:rsidR="002F0451" w:rsidRPr="00990D3B" w:rsidP="004734A8" w14:paraId="170E474F" w14:textId="77777777">
            <w:pPr>
              <w:pStyle w:val="EQRTableText"/>
            </w:pPr>
          </w:p>
        </w:tc>
      </w:tr>
    </w:tbl>
    <w:p w:rsidR="004F6C0E" w:rsidRPr="00990D3B" w:rsidP="00062FBE" w14:paraId="7E43346A" w14:textId="516132CA">
      <w:pPr>
        <w:pStyle w:val="H2EQRWorksheetlist2"/>
      </w:pPr>
      <w:r w:rsidRPr="00990D3B">
        <w:t>Describe any concerns you may have about the quality or completeness of any third-party data.</w:t>
      </w:r>
    </w:p>
    <w:p w:rsidR="004F6C0E" w:rsidRPr="00990D3B" w:rsidP="00372E00" w14:paraId="733EB2DA" w14:textId="4CC16FC2">
      <w:pPr>
        <w:pStyle w:val="EQRnoteWS"/>
      </w:pPr>
      <w:r w:rsidRPr="00990D3B">
        <w:t>Note (Q</w:t>
      </w:r>
      <w:r w:rsidRPr="00990D3B" w:rsidR="00F0102A">
        <w:t xml:space="preserve"> 5.44</w:t>
      </w:r>
      <w:r w:rsidRPr="00990D3B">
        <w:t>): If a</w:t>
      </w:r>
      <w:r w:rsidRPr="00990D3B" w:rsidR="008D1A82">
        <w:t>n</w:t>
      </w:r>
      <w:r w:rsidRPr="00990D3B">
        <w:t xml:space="preserve"> </w:t>
      </w:r>
      <w:r w:rsidRPr="00990D3B" w:rsidR="00233835">
        <w:t xml:space="preserve">MCP </w:t>
      </w:r>
      <w:r w:rsidRPr="00990D3B">
        <w:t xml:space="preserve">is using third-party data, the plan should have a formal process in place to validate that data before incorporating it into their information system. The </w:t>
      </w:r>
      <w:r w:rsidRPr="00990D3B" w:rsidR="00233835">
        <w:t xml:space="preserve">MCP </w:t>
      </w:r>
      <w:r w:rsidRPr="00990D3B">
        <w:t>needs to check the third-party data for reliability, completeness and timeliness of submission.</w:t>
      </w:r>
    </w:p>
    <w:p w:rsidR="004F6C0E" w:rsidRPr="00990D3B" w:rsidP="00062FBE" w14:paraId="47604836" w14:textId="3100CF55">
      <w:pPr>
        <w:pStyle w:val="H2EQRWorksheetlist2"/>
      </w:pPr>
      <w:r w:rsidRPr="00990D3B">
        <w:t>Please list subcontracted Medicaid or CHIP benefits that are adjudicated through a separate system that belongs to a third-party.</w:t>
      </w:r>
    </w:p>
    <w:p w:rsidR="004F6C0E" w:rsidRPr="00990D3B" w:rsidP="00372E00" w14:paraId="53BF1290" w14:textId="1C77491B">
      <w:pPr>
        <w:pStyle w:val="EQRnoteWS"/>
      </w:pPr>
      <w:r w:rsidRPr="00990D3B">
        <w:t>Note (Q</w:t>
      </w:r>
      <w:r w:rsidRPr="00990D3B" w:rsidR="00F0102A">
        <w:t xml:space="preserve"> 5.45</w:t>
      </w:r>
      <w:r w:rsidRPr="00990D3B">
        <w:t xml:space="preserve">): Many </w:t>
      </w:r>
      <w:r w:rsidRPr="00990D3B" w:rsidR="00233835">
        <w:t xml:space="preserve">MCPs </w:t>
      </w:r>
      <w:r w:rsidRPr="00990D3B">
        <w:t xml:space="preserve">contract out services for pharmacy benefits management, mental health/substance abuse, laboratory and radiology services. If the data are processed on the third-party’s system, it may not be forwarded to the </w:t>
      </w:r>
      <w:r w:rsidRPr="00990D3B" w:rsidR="00233835">
        <w:t xml:space="preserve">MCP </w:t>
      </w:r>
      <w:r w:rsidRPr="00990D3B">
        <w:t xml:space="preserve">in </w:t>
      </w:r>
      <w:r w:rsidRPr="00990D3B">
        <w:t>a complete</w:t>
      </w:r>
      <w:r w:rsidRPr="00990D3B">
        <w:t xml:space="preserve"> form or on a timely basis. Such entities may also use a different method of processing resulting in data that will not merge with or complement plan data.</w:t>
      </w:r>
    </w:p>
    <w:p w:rsidR="004F6C0E" w:rsidRPr="00990D3B" w:rsidP="00062FBE" w14:paraId="6437FB12" w14:textId="367517CF">
      <w:pPr>
        <w:pStyle w:val="H2EQRWorksheetlist2"/>
      </w:pPr>
      <w:r w:rsidRPr="00990D3B">
        <w:t xml:space="preserve">Describe the kinds of information sources available to the MCP from the vendor (e.g., monthly hard copy reports, full </w:t>
      </w:r>
      <w:r w:rsidRPr="00990D3B">
        <w:t>claims data</w:t>
      </w:r>
      <w:r w:rsidRPr="00990D3B">
        <w:t>).</w:t>
      </w:r>
    </w:p>
    <w:p w:rsidR="004F6C0E" w:rsidRPr="00990D3B" w:rsidP="00062FBE" w14:paraId="52A7DCCC" w14:textId="4016C307">
      <w:pPr>
        <w:pStyle w:val="H2EQRWorksheetlist2"/>
      </w:pPr>
      <w:r w:rsidRPr="00990D3B">
        <w:t xml:space="preserve">Do you evaluate the quality of this information?  </w:t>
      </w:r>
    </w:p>
    <w:p w:rsidR="004F6C0E" w:rsidRPr="00990D3B" w:rsidP="00062FBE" w14:paraId="0CCE503C" w14:textId="77777777">
      <w:pPr>
        <w:pStyle w:val="EQRNormalSSWSquestion2"/>
        <w:ind w:left="1152"/>
      </w:pPr>
      <w:r w:rsidRPr="00990D3B">
        <w:t>□ Yes</w:t>
      </w:r>
    </w:p>
    <w:p w:rsidR="004F6C0E" w:rsidRPr="00990D3B" w:rsidP="00062FBE" w14:paraId="61E8C445" w14:textId="3145F840">
      <w:pPr>
        <w:pStyle w:val="EQRNormalSSWSquestion2"/>
        <w:ind w:left="1152"/>
      </w:pPr>
      <w:r w:rsidRPr="00990D3B">
        <w:t xml:space="preserve">□ No (GO TO QUESTION </w:t>
      </w:r>
      <w:r w:rsidRPr="00990D3B" w:rsidR="00F0102A">
        <w:t>5.48.a</w:t>
      </w:r>
      <w:r w:rsidRPr="00990D3B">
        <w:t>)</w:t>
      </w:r>
    </w:p>
    <w:p w:rsidR="004F6C0E" w:rsidRPr="00990D3B" w:rsidP="00062FBE" w14:paraId="39BE66EE" w14:textId="7BAC5ACF">
      <w:pPr>
        <w:pStyle w:val="H2EQRWorksheetlist3"/>
      </w:pPr>
      <w:r w:rsidRPr="00990D3B">
        <w:t>If yes, how?</w:t>
      </w:r>
    </w:p>
    <w:p w:rsidR="004F6C0E" w:rsidRPr="00990D3B" w:rsidP="00372E00" w14:paraId="587F8676" w14:textId="2215D9B2">
      <w:pPr>
        <w:pStyle w:val="EQRnoteWS"/>
      </w:pPr>
      <w:r w:rsidRPr="00990D3B">
        <w:t>Note (Q</w:t>
      </w:r>
      <w:r w:rsidRPr="00990D3B" w:rsidR="00CA7983">
        <w:t xml:space="preserve"> 5.47</w:t>
      </w:r>
      <w:r w:rsidRPr="00990D3B">
        <w:t xml:space="preserve">a): </w:t>
      </w:r>
      <w:r w:rsidRPr="00990D3B">
        <w:t>All of</w:t>
      </w:r>
      <w:r w:rsidRPr="00990D3B">
        <w:t xml:space="preserve"> the third-party information should be verified for accuracy before a</w:t>
      </w:r>
      <w:r w:rsidRPr="00990D3B" w:rsidR="008D1A82">
        <w:t>n</w:t>
      </w:r>
      <w:r w:rsidRPr="00990D3B">
        <w:t xml:space="preserve"> </w:t>
      </w:r>
      <w:r w:rsidRPr="00990D3B" w:rsidR="00233835">
        <w:t xml:space="preserve">MCP </w:t>
      </w:r>
      <w:r w:rsidRPr="00990D3B">
        <w:t xml:space="preserve">loads it into their information system. The </w:t>
      </w:r>
      <w:r w:rsidRPr="00990D3B" w:rsidR="00233835">
        <w:t xml:space="preserve">MCP </w:t>
      </w:r>
      <w:r w:rsidRPr="00990D3B">
        <w:t>and the third-party data source may not define variables consistently or use the same reporting format.</w:t>
      </w:r>
    </w:p>
    <w:p w:rsidR="004F6C0E" w:rsidRPr="00990D3B" w:rsidP="00062FBE" w14:paraId="2F563A14" w14:textId="6950D049">
      <w:pPr>
        <w:pStyle w:val="H2EQRWorksheetlist2"/>
      </w:pPr>
      <w:r w:rsidRPr="00990D3B">
        <w:t xml:space="preserve">Did you incorporate these vendor data into the creation of Medicaid or CHIP-related studies?  </w:t>
      </w:r>
    </w:p>
    <w:p w:rsidR="004F6C0E" w:rsidRPr="00990D3B" w:rsidP="00F0102A" w14:paraId="19FEE99C" w14:textId="77777777">
      <w:pPr>
        <w:pStyle w:val="EQRNormalSSWSquestion2"/>
        <w:ind w:left="648"/>
      </w:pPr>
      <w:r w:rsidRPr="00990D3B">
        <w:t>□ Yes (GO TO SECTION D)</w:t>
      </w:r>
    </w:p>
    <w:p w:rsidR="004F6C0E" w:rsidRPr="00990D3B" w:rsidP="00F0102A" w14:paraId="6354BF11" w14:textId="77777777">
      <w:pPr>
        <w:pStyle w:val="EQRNormalSSWSquestion2"/>
        <w:ind w:left="648"/>
      </w:pPr>
      <w:r w:rsidRPr="00990D3B">
        <w:t xml:space="preserve">□ No </w:t>
      </w:r>
    </w:p>
    <w:p w:rsidR="004F6C0E" w:rsidRPr="00990D3B" w:rsidP="00062FBE" w14:paraId="4532CE43" w14:textId="14E34DC0">
      <w:pPr>
        <w:pStyle w:val="H2EQRWorksheetlist3"/>
      </w:pPr>
      <w:r w:rsidRPr="00990D3B">
        <w:t xml:space="preserve"> If no, why?</w:t>
      </w:r>
    </w:p>
    <w:p w:rsidR="004F6C0E" w:rsidRPr="00990D3B" w:rsidP="00AE481B" w14:paraId="491FA712" w14:textId="77777777">
      <w:pPr>
        <w:pStyle w:val="H2EQRWorksheetSub"/>
      </w:pPr>
      <w:r w:rsidRPr="00990D3B">
        <w:t>D.</w:t>
      </w:r>
      <w:bookmarkStart w:id="1183" w:name="WSB1Sec5D"/>
      <w:bookmarkEnd w:id="1183"/>
      <w:r w:rsidRPr="00990D3B">
        <w:t xml:space="preserve"> Additional Data Sources that Support Quality Reporting</w:t>
      </w:r>
    </w:p>
    <w:p w:rsidR="004F6C0E" w:rsidRPr="00990D3B" w:rsidP="00E5661B" w14:paraId="5E59495C" w14:textId="77777777">
      <w:pPr>
        <w:pStyle w:val="EQRNormalSSWORKSHEET"/>
      </w:pPr>
      <w:r w:rsidRPr="00990D3B">
        <w:t xml:space="preserve">This section requests any data sources beyond third party collection of claim/encounter data that support quality reporting. </w:t>
      </w:r>
    </w:p>
    <w:p w:rsidR="004F6C0E" w:rsidRPr="00990D3B" w:rsidP="00CA7983" w14:paraId="226036E0" w14:textId="4DD2EA30">
      <w:pPr>
        <w:pStyle w:val="H2EQRWorksheetlist2"/>
      </w:pPr>
      <w:r w:rsidRPr="00990D3B">
        <w:t xml:space="preserve">Does the MCP use any other data sources beyond claim/encounter data (such as, </w:t>
      </w:r>
      <w:r w:rsidRPr="00990D3B" w:rsidR="0070573E">
        <w:t>enrollee</w:t>
      </w:r>
      <w:r w:rsidRPr="00990D3B">
        <w:t xml:space="preserve"> provided data, HIE, registry data source, vital statistics, etc.)? </w:t>
      </w:r>
    </w:p>
    <w:p w:rsidR="004F6C0E" w:rsidRPr="00990D3B" w:rsidP="00062FBE" w14:paraId="6025EACB" w14:textId="77777777">
      <w:pPr>
        <w:pStyle w:val="EQRNormalSSWORKSHEET"/>
        <w:spacing w:after="0"/>
        <w:ind w:left="576" w:firstLine="360"/>
      </w:pPr>
      <w:r w:rsidRPr="00990D3B">
        <w:t xml:space="preserve">□ Yes </w:t>
      </w:r>
    </w:p>
    <w:p w:rsidR="004F6C0E" w:rsidRPr="00990D3B" w:rsidP="00062FBE" w14:paraId="29AD4929" w14:textId="77777777">
      <w:pPr>
        <w:pStyle w:val="EQRNormalSSWORKSHEET"/>
        <w:spacing w:before="0"/>
        <w:ind w:left="576" w:firstLine="360"/>
      </w:pPr>
      <w:r w:rsidRPr="00990D3B">
        <w:t xml:space="preserve">□ No </w:t>
      </w:r>
    </w:p>
    <w:p w:rsidR="004F6C0E" w:rsidRPr="00990D3B" w:rsidP="00E5661B" w14:paraId="77DC7472" w14:textId="77777777">
      <w:pPr>
        <w:pStyle w:val="EQRNormalSSWORKSHEET"/>
      </w:pPr>
      <w:r w:rsidRPr="00990D3B">
        <w:t>If yes, please list additional data sources: _______________________________________________________</w:t>
      </w:r>
    </w:p>
    <w:p w:rsidR="004F6C0E" w:rsidRPr="00990D3B" w:rsidP="00E5661B" w14:paraId="5F6C2F5A" w14:textId="77777777">
      <w:pPr>
        <w:pStyle w:val="EQRNormalSSWORKSHEET"/>
      </w:pPr>
      <w:r w:rsidRPr="00990D3B">
        <w:t xml:space="preserve">If yes, please describe how the MCP verifies the accuracy of the data and data exchange process for each data source listed above. </w:t>
      </w:r>
    </w:p>
    <w:p w:rsidR="004F6C0E" w:rsidRPr="00990D3B" w:rsidP="00AE481B" w14:paraId="546165F0" w14:textId="77777777">
      <w:pPr>
        <w:pStyle w:val="H2EQRWorksheetSub"/>
      </w:pPr>
      <w:r w:rsidRPr="00990D3B">
        <w:t>E.</w:t>
      </w:r>
      <w:bookmarkStart w:id="1184" w:name="WSB1Sec5E"/>
      <w:bookmarkEnd w:id="1184"/>
      <w:r w:rsidRPr="00990D3B">
        <w:t xml:space="preserve"> Integration and Control of Data for Performance Measure Reporting</w:t>
      </w:r>
    </w:p>
    <w:p w:rsidR="004F6C0E" w:rsidRPr="00990D3B" w:rsidP="00E5661B" w14:paraId="379084A6" w14:textId="0F5F5378">
      <w:pPr>
        <w:pStyle w:val="EQRNormalSSWORKSHEET"/>
      </w:pPr>
      <w:r w:rsidRPr="00990D3B">
        <w:t xml:space="preserve">This section requests information on how your MCP integrates Medicaid and CHIP claims, encounter, </w:t>
      </w:r>
      <w:r w:rsidRPr="00990D3B" w:rsidR="005F509B">
        <w:t>enrollment</w:t>
      </w:r>
      <w:r w:rsidRPr="00990D3B">
        <w:t>, provider, third-party, and other data to calculate performance rates. All questions relate to your current systems and processes, unless indicated otherwise.</w:t>
      </w:r>
    </w:p>
    <w:p w:rsidR="004F6C0E" w:rsidRPr="00990D3B" w:rsidP="00CA7983" w14:paraId="3E3DB3B0" w14:textId="6DB518DA">
      <w:pPr>
        <w:pStyle w:val="H2EQRWorksheetlist2"/>
      </w:pPr>
      <w:r w:rsidRPr="00990D3B">
        <w:t xml:space="preserve">Please attach a flowchart outlining the structure of your management information systems, indicating data integration (i.e., claims files, encounter files, etc.) at the most granular level you have it. </w:t>
      </w:r>
    </w:p>
    <w:p w:rsidR="004F6C0E" w:rsidRPr="00990D3B" w:rsidP="00062FBE" w14:paraId="6023498B" w14:textId="7FA37201">
      <w:pPr>
        <w:pStyle w:val="H2EQRWorksheetlist2"/>
      </w:pPr>
      <w:r w:rsidRPr="00990D3B">
        <w:t>In consolidating data for Medicaid and CHIP performance measurement, how are the data sets for each measure collected:</w:t>
      </w:r>
    </w:p>
    <w:p w:rsidR="004F6C0E" w:rsidRPr="00990D3B" w:rsidP="004D021A" w14:paraId="44C934D5" w14:textId="485FD97F">
      <w:pPr>
        <w:pStyle w:val="EQRNormalSSWSbullet"/>
        <w:numPr>
          <w:ilvl w:val="1"/>
          <w:numId w:val="21"/>
        </w:numPr>
      </w:pPr>
      <w:r w:rsidRPr="00990D3B">
        <w:t>By querying the processing system online?</w:t>
      </w:r>
    </w:p>
    <w:p w:rsidR="004F6C0E" w:rsidRPr="00990D3B" w:rsidP="004D021A" w14:paraId="75FCB953" w14:textId="2FCB792C">
      <w:pPr>
        <w:pStyle w:val="EQRNormalSSWSbullet"/>
        <w:numPr>
          <w:ilvl w:val="1"/>
          <w:numId w:val="21"/>
        </w:numPr>
      </w:pPr>
      <w:r w:rsidRPr="00990D3B">
        <w:t xml:space="preserve">By using extract files created for analytical </w:t>
      </w:r>
      <w:r w:rsidRPr="00990D3B">
        <w:t>purposes?</w:t>
      </w:r>
      <w:r w:rsidRPr="00990D3B">
        <w:t xml:space="preserve"> If so, how frequently are the files updated? How do they account for claim and encounter submission and processing lags?  How is the file creation process checked for accuracy?</w:t>
      </w:r>
    </w:p>
    <w:p w:rsidR="004F6C0E" w:rsidRPr="00990D3B" w:rsidP="004D021A" w14:paraId="7B5E9F35" w14:textId="7A8F5001">
      <w:pPr>
        <w:pStyle w:val="EQRNormalSSWSbullet"/>
        <w:numPr>
          <w:ilvl w:val="1"/>
          <w:numId w:val="21"/>
        </w:numPr>
      </w:pPr>
      <w:r w:rsidRPr="00990D3B">
        <w:t>By using a separate relational database or data warehouse (i.e., a performance measure repository)?  If so, is this the same system from which all other reporting is produced?</w:t>
      </w:r>
    </w:p>
    <w:p w:rsidR="004F6C0E" w:rsidRPr="00990D3B" w:rsidP="00062FBE" w14:paraId="780EB068" w14:textId="50388E3E">
      <w:pPr>
        <w:pStyle w:val="H2EQRWorksheetlist2"/>
      </w:pPr>
      <w:r w:rsidRPr="00990D3B">
        <w:t xml:space="preserve">Describe the procedure for consolidating Medicaid or CHIP claims/encounter, </w:t>
      </w:r>
      <w:r w:rsidRPr="00990D3B" w:rsidR="002F4DD4">
        <w:t>enrollee</w:t>
      </w:r>
      <w:r w:rsidRPr="00990D3B">
        <w:t>, and provider data for performance measure reporting (whether it is into a relational database or file extracts on a measure-by-measure basis).</w:t>
      </w:r>
    </w:p>
    <w:p w:rsidR="004F6C0E" w:rsidRPr="00990D3B" w:rsidP="00062FBE" w14:paraId="6692853B" w14:textId="33E2BA78">
      <w:pPr>
        <w:pStyle w:val="H2EQRWorksheetlist3"/>
      </w:pPr>
      <w:r w:rsidRPr="00990D3B">
        <w:t xml:space="preserve">How many different sources of data are </w:t>
      </w:r>
      <w:r w:rsidRPr="00990D3B">
        <w:t>merged together</w:t>
      </w:r>
      <w:r w:rsidRPr="00990D3B">
        <w:t xml:space="preserve"> to create reports?</w:t>
      </w:r>
    </w:p>
    <w:p w:rsidR="004F6C0E" w:rsidRPr="00990D3B" w:rsidP="00062FBE" w14:paraId="1E0E2797" w14:textId="68BE697D">
      <w:pPr>
        <w:pStyle w:val="H2EQRWorksheetlist3"/>
      </w:pPr>
      <w:r w:rsidRPr="00990D3B">
        <w:t xml:space="preserve">What control processes are in place to ensure that data </w:t>
      </w:r>
      <w:r w:rsidRPr="00990D3B">
        <w:t>merges</w:t>
      </w:r>
      <w:r w:rsidRPr="00990D3B">
        <w:t xml:space="preserve"> are accurate and complete?</w:t>
      </w:r>
    </w:p>
    <w:p w:rsidR="004F6C0E" w:rsidRPr="00990D3B" w:rsidP="00062FBE" w14:paraId="201188B3" w14:textId="66EDCD70">
      <w:pPr>
        <w:pStyle w:val="H2EQRWorksheetlist3"/>
      </w:pPr>
      <w:r w:rsidRPr="00990D3B">
        <w:t xml:space="preserve">What control processes are in place to ensure that no extraneous data </w:t>
      </w:r>
      <w:r w:rsidRPr="00990D3B">
        <w:t>are</w:t>
      </w:r>
      <w:r w:rsidRPr="00990D3B">
        <w:t xml:space="preserve"> captured (e.g., lack of specificity in patient identifiers may lead to inclusion of non-eligible </w:t>
      </w:r>
      <w:r w:rsidRPr="00990D3B" w:rsidR="006266C5">
        <w:t>enrollees</w:t>
      </w:r>
      <w:r w:rsidRPr="00990D3B">
        <w:t xml:space="preserve"> or to double counting)?</w:t>
      </w:r>
    </w:p>
    <w:p w:rsidR="004F6C0E" w:rsidRPr="00990D3B" w:rsidP="00062FBE" w14:paraId="5BB60162" w14:textId="37191926">
      <w:pPr>
        <w:pStyle w:val="H2EQRWorksheetlist2"/>
      </w:pPr>
      <w:r w:rsidRPr="00990D3B">
        <w:t>Describe both the files accessed to create Medicaid or CHIP performance measures and the fields from those files used for linking or analysis. Use either a schematic or text to respond.</w:t>
      </w:r>
    </w:p>
    <w:p w:rsidR="004F6C0E" w:rsidRPr="00990D3B" w:rsidP="00062FBE" w14:paraId="705FFBF1" w14:textId="3E77D585">
      <w:pPr>
        <w:pStyle w:val="H2EQRWorksheetlist2"/>
      </w:pPr>
      <w:r w:rsidRPr="00990D3B">
        <w:t>Are any algorithms used to check the reasonableness of data integrated to report Medicaid or CHIP performance measures?</w:t>
      </w:r>
    </w:p>
    <w:p w:rsidR="004F6C0E" w:rsidRPr="00990D3B" w:rsidP="00062FBE" w14:paraId="2D51499C" w14:textId="638FF6B4">
      <w:pPr>
        <w:pStyle w:val="H2EQRWorksheetlist2"/>
      </w:pPr>
      <w:r w:rsidRPr="00990D3B">
        <w:t xml:space="preserve">Are Medicaid or CHIP reports created from a third-party software product? </w:t>
      </w:r>
    </w:p>
    <w:p w:rsidR="004F6C0E" w:rsidRPr="00990D3B" w:rsidP="00CA7983" w14:paraId="22819F4B" w14:textId="77777777">
      <w:pPr>
        <w:pStyle w:val="EQRNormalSSWSquestion2"/>
        <w:ind w:left="1440"/>
      </w:pPr>
      <w:r w:rsidRPr="00990D3B">
        <w:t>□ Yes</w:t>
      </w:r>
    </w:p>
    <w:p w:rsidR="004F6C0E" w:rsidRPr="00990D3B" w:rsidP="00CA7983" w14:paraId="61C8CDDF" w14:textId="56E61A25">
      <w:pPr>
        <w:pStyle w:val="EQRNormalSSWSquestion2"/>
        <w:ind w:left="1440"/>
      </w:pPr>
      <w:r w:rsidRPr="00990D3B">
        <w:t xml:space="preserve">□ No (GO TO QUESTION </w:t>
      </w:r>
      <w:r w:rsidRPr="00990D3B" w:rsidR="00CA7983">
        <w:t>5.56</w:t>
      </w:r>
      <w:r w:rsidRPr="00990D3B">
        <w:t>)</w:t>
      </w:r>
    </w:p>
    <w:p w:rsidR="004F6C0E" w:rsidRPr="00990D3B" w:rsidP="00062FBE" w14:paraId="6F8EC4BE" w14:textId="4C71F61D">
      <w:pPr>
        <w:pStyle w:val="H2EQRWorksheetlist3"/>
      </w:pPr>
      <w:r w:rsidRPr="00990D3B">
        <w:t>If yes, how frequently are the files updated? How are reports checked for accuracy?</w:t>
      </w:r>
    </w:p>
    <w:p w:rsidR="004F6C0E" w:rsidRPr="00990D3B" w:rsidP="00062FBE" w14:paraId="531E99F8" w14:textId="4FDF0074">
      <w:pPr>
        <w:pStyle w:val="H2EQRWorksheetlist2"/>
      </w:pPr>
      <w:r w:rsidRPr="00990D3B">
        <w:t>Are the data files used to report Medicaid or CHIP performance measures archived and labeled with the performance period in question?</w:t>
      </w:r>
    </w:p>
    <w:p w:rsidR="004F6C0E" w:rsidRPr="00990D3B" w:rsidP="00062FBE" w14:paraId="58059D21" w14:textId="77777777">
      <w:pPr>
        <w:pStyle w:val="EQRNormalSSWSquestion2"/>
        <w:ind w:left="1152"/>
      </w:pPr>
      <w:r w:rsidRPr="00990D3B">
        <w:t>□ Yes</w:t>
      </w:r>
    </w:p>
    <w:p w:rsidR="004F6C0E" w:rsidRPr="00990D3B" w:rsidP="00062FBE" w14:paraId="6A69D340" w14:textId="77777777">
      <w:pPr>
        <w:pStyle w:val="EQRNormalSSWSquestion2"/>
        <w:ind w:left="1152"/>
      </w:pPr>
      <w:r w:rsidRPr="00990D3B">
        <w:t xml:space="preserve">□ No </w:t>
      </w:r>
    </w:p>
    <w:p w:rsidR="004F6C0E" w:rsidRPr="00990D3B" w:rsidP="00062FBE" w14:paraId="78DA3D66" w14:textId="13164662">
      <w:pPr>
        <w:pStyle w:val="H2EQRWorksheetlist2"/>
      </w:pPr>
      <w:r w:rsidRPr="00990D3B">
        <w:t xml:space="preserve">Information on several types of external encounter sources is requested. In the following table, please indicate the following for each type of delegated service: </w:t>
      </w:r>
    </w:p>
    <w:p w:rsidR="004F6C0E" w:rsidRPr="00990D3B" w:rsidP="005E2DB1" w14:paraId="67727B9F" w14:textId="0DFD015A">
      <w:pPr>
        <w:pStyle w:val="EQRNormalSSWSbullet"/>
      </w:pPr>
      <w:r w:rsidRPr="00990D3B">
        <w:t xml:space="preserve">Column 2. Indicate the number of third-parties contracted (or subcontracted) to provide the Medicaid or CHIP service. Count the entities that offer all or some of the </w:t>
      </w:r>
      <w:r w:rsidRPr="00990D3B">
        <w:t>portion</w:t>
      </w:r>
      <w:r w:rsidRPr="00990D3B">
        <w:t xml:space="preserve"> of the service indicated. </w:t>
      </w:r>
    </w:p>
    <w:p w:rsidR="004F6C0E" w:rsidRPr="00990D3B" w:rsidP="005E2DB1" w14:paraId="2DFD6F7C" w14:textId="5D80C6FB">
      <w:pPr>
        <w:pStyle w:val="EQRNormalSSWSbullet"/>
      </w:pPr>
      <w:r w:rsidRPr="00990D3B">
        <w:t xml:space="preserve">Column 3. Indicate whether your MCP receives </w:t>
      </w:r>
      <w:r w:rsidRPr="00990D3B" w:rsidR="002F4DD4">
        <w:t>enrollee</w:t>
      </w:r>
      <w:r w:rsidRPr="00990D3B">
        <w:t xml:space="preserve">-level data for any Medicaid or CHIP performance measure reporting from the vendor(s). Only answer “Yes” if all data received from contracted third-parties(s) are at the </w:t>
      </w:r>
      <w:r w:rsidRPr="00990D3B" w:rsidR="002F4DD4">
        <w:t>enrollee</w:t>
      </w:r>
      <w:r w:rsidRPr="00990D3B">
        <w:t xml:space="preserve"> level. If any encounter-related data is received in aggregate form, you should answer “No”. If type of service is not a covered benefit, indicate “</w:t>
      </w:r>
      <w:r w:rsidRPr="00990D3B" w:rsidR="00263D6E">
        <w:t xml:space="preserve">Not </w:t>
      </w:r>
      <w:r w:rsidRPr="00990D3B" w:rsidR="00576827">
        <w:t>A</w:t>
      </w:r>
      <w:r w:rsidRPr="00990D3B" w:rsidR="00263D6E">
        <w:t>pplicable</w:t>
      </w:r>
      <w:r w:rsidRPr="00990D3B">
        <w:t>”.</w:t>
      </w:r>
    </w:p>
    <w:p w:rsidR="004F6C0E" w:rsidRPr="00990D3B" w:rsidP="005E2DB1" w14:paraId="6EAAB106" w14:textId="2703E390">
      <w:pPr>
        <w:pStyle w:val="EQRNormalSSWSbullet"/>
      </w:pPr>
      <w:r w:rsidRPr="00990D3B">
        <w:t xml:space="preserve">Column 4. Indicate whether all data needed for Medicaid or CHIP performance measure reporting are integrated, at the </w:t>
      </w:r>
      <w:r w:rsidRPr="00990D3B" w:rsidR="002F4DD4">
        <w:t>enrollee</w:t>
      </w:r>
      <w:r w:rsidRPr="00990D3B">
        <w:t>-level, with MCP administrative data.</w:t>
      </w:r>
    </w:p>
    <w:p w:rsidR="004F6C0E" w:rsidRPr="00990D3B" w:rsidP="005E2DB1" w14:paraId="2556303D" w14:textId="6BDB50E5">
      <w:pPr>
        <w:pStyle w:val="EQRNormalSSWSbullet"/>
      </w:pPr>
      <w:r w:rsidRPr="00990D3B">
        <w:t>Columns 5 and 6. Rank the completeness and quality of the Medicaid or CHIP data provided by the third party(s). Consider data received from all sources when using the following data quality grades:</w:t>
      </w:r>
    </w:p>
    <w:p w:rsidR="004F6C0E" w:rsidRPr="00990D3B" w:rsidP="005E2DB1" w14:paraId="76854DC7" w14:textId="77777777">
      <w:pPr>
        <w:pStyle w:val="EQRNormalSSWSquestion3"/>
        <w:ind w:left="1008"/>
      </w:pPr>
      <w:r w:rsidRPr="00990D3B">
        <w:t>A.</w:t>
      </w:r>
      <w:r w:rsidRPr="00990D3B">
        <w:tab/>
        <w:t xml:space="preserve">Data </w:t>
      </w:r>
      <w:r w:rsidRPr="00990D3B">
        <w:t>are</w:t>
      </w:r>
      <w:r w:rsidRPr="00990D3B">
        <w:t xml:space="preserve"> complete or of high quality</w:t>
      </w:r>
    </w:p>
    <w:p w:rsidR="004F6C0E" w:rsidRPr="00990D3B" w:rsidP="005E2DB1" w14:paraId="7305BF47" w14:textId="77777777">
      <w:pPr>
        <w:pStyle w:val="EQRNormalSSWSquestion3"/>
        <w:ind w:left="1008"/>
      </w:pPr>
      <w:r w:rsidRPr="00990D3B">
        <w:t>B.</w:t>
      </w:r>
      <w:r w:rsidRPr="00990D3B">
        <w:tab/>
        <w:t xml:space="preserve">Data </w:t>
      </w:r>
      <w:r w:rsidRPr="00990D3B">
        <w:t>are</w:t>
      </w:r>
      <w:r w:rsidRPr="00990D3B">
        <w:t xml:space="preserve"> generally complete or of good quality </w:t>
      </w:r>
    </w:p>
    <w:p w:rsidR="004F6C0E" w:rsidRPr="00990D3B" w:rsidP="005E2DB1" w14:paraId="3E880DE4" w14:textId="77777777">
      <w:pPr>
        <w:pStyle w:val="EQRNormalSSWSquestion3"/>
        <w:ind w:left="1008"/>
      </w:pPr>
      <w:r w:rsidRPr="00990D3B">
        <w:t>C.</w:t>
      </w:r>
      <w:r w:rsidRPr="00990D3B">
        <w:tab/>
        <w:t>Data are incomplete or of poor quality</w:t>
      </w:r>
    </w:p>
    <w:p w:rsidR="004F6C0E" w:rsidRPr="00990D3B" w:rsidP="005E2DB1" w14:paraId="0489AA7D" w14:textId="49F338AE">
      <w:pPr>
        <w:pStyle w:val="EQRNormalSSWSbullet"/>
      </w:pPr>
      <w:r w:rsidRPr="00990D3B">
        <w:t xml:space="preserve">Column 7. Describe any concerns you have in ensuring completeness and quality of Medicaid or CHIP data received from contracted third-parties. If the measure is not being calculated because there are no eligible </w:t>
      </w:r>
      <w:r w:rsidRPr="00990D3B" w:rsidR="006266C5">
        <w:t>enrollees</w:t>
      </w:r>
      <w:r w:rsidRPr="00990D3B">
        <w:t>, please indicate “NA”.</w:t>
      </w:r>
    </w:p>
    <w:p w:rsidR="00BC57B8" w14:paraId="6860A9E6" w14:textId="1290AD6A">
      <w:pPr>
        <w:pStyle w:val="MarkforTableTitle"/>
      </w:pPr>
      <w:r w:rsidRPr="00BC57B8">
        <w:t>Medicaid or CHIP Claim/Encounter Data from Third Parties</w:t>
      </w:r>
    </w:p>
    <w:tbl>
      <w:tblPr>
        <w:tblStyle w:val="TableGrid"/>
        <w:tblW w:w="5000" w:type="pct"/>
        <w:tblLayout w:type="fixed"/>
        <w:tblLook w:val="04A0"/>
      </w:tblPr>
      <w:tblGrid>
        <w:gridCol w:w="1387"/>
        <w:gridCol w:w="1500"/>
        <w:gridCol w:w="1428"/>
        <w:gridCol w:w="1620"/>
        <w:gridCol w:w="1417"/>
        <w:gridCol w:w="852"/>
        <w:gridCol w:w="1146"/>
      </w:tblGrid>
      <w:tr w14:paraId="1F5A6567" w14:textId="77777777" w:rsidTr="00E07992">
        <w:tblPrEx>
          <w:tblW w:w="5000" w:type="pct"/>
          <w:tblLayout w:type="fixed"/>
          <w:tblLook w:val="04A0"/>
        </w:tblPrEx>
        <w:trPr>
          <w:tblHeader/>
        </w:trPr>
        <w:tc>
          <w:tcPr>
            <w:tcW w:w="1387" w:type="dxa"/>
            <w:vAlign w:val="bottom"/>
          </w:tcPr>
          <w:p w:rsidR="004F6C0E" w:rsidRPr="00990D3B" w:rsidP="00E07992" w14:paraId="14AC5409" w14:textId="77777777">
            <w:pPr>
              <w:pStyle w:val="EQRTableText"/>
              <w:rPr>
                <w:b/>
                <w:bCs/>
              </w:rPr>
            </w:pPr>
            <w:r w:rsidRPr="00990D3B">
              <w:rPr>
                <w:b/>
                <w:bCs/>
              </w:rPr>
              <w:t>Type of delegated service</w:t>
            </w:r>
          </w:p>
        </w:tc>
        <w:tc>
          <w:tcPr>
            <w:tcW w:w="1500" w:type="dxa"/>
            <w:vAlign w:val="bottom"/>
          </w:tcPr>
          <w:p w:rsidR="004F6C0E" w:rsidRPr="00990D3B" w:rsidP="00E07992" w14:paraId="322095D7" w14:textId="77777777">
            <w:pPr>
              <w:pStyle w:val="EQRTableText"/>
              <w:rPr>
                <w:b/>
                <w:bCs/>
              </w:rPr>
            </w:pPr>
            <w:r w:rsidRPr="00990D3B">
              <w:rPr>
                <w:b/>
                <w:bCs/>
              </w:rPr>
              <w:t>Number of contracted third-parties</w:t>
            </w:r>
          </w:p>
        </w:tc>
        <w:tc>
          <w:tcPr>
            <w:tcW w:w="1428" w:type="dxa"/>
            <w:vAlign w:val="bottom"/>
          </w:tcPr>
          <w:p w:rsidR="004F6C0E" w:rsidRPr="00990D3B" w:rsidP="00E07992" w14:paraId="27213844" w14:textId="4DAD56DF">
            <w:pPr>
              <w:pStyle w:val="EQRTableText"/>
              <w:rPr>
                <w:b/>
                <w:bCs/>
              </w:rPr>
            </w:pPr>
            <w:r w:rsidRPr="00990D3B">
              <w:rPr>
                <w:b/>
                <w:bCs/>
              </w:rPr>
              <w:t xml:space="preserve">Always receive </w:t>
            </w:r>
            <w:r w:rsidRPr="00990D3B" w:rsidR="002F4DD4">
              <w:rPr>
                <w:b/>
                <w:bCs/>
              </w:rPr>
              <w:t>enrollee</w:t>
            </w:r>
            <w:r w:rsidRPr="00990D3B">
              <w:rPr>
                <w:b/>
                <w:bCs/>
              </w:rPr>
              <w:t>-level data from all third party(s) (Y</w:t>
            </w:r>
            <w:r w:rsidRPr="00990D3B" w:rsidR="00263D6E">
              <w:rPr>
                <w:b/>
                <w:bCs/>
              </w:rPr>
              <w:t xml:space="preserve">, </w:t>
            </w:r>
            <w:r w:rsidRPr="00990D3B">
              <w:rPr>
                <w:b/>
                <w:bCs/>
              </w:rPr>
              <w:t>N</w:t>
            </w:r>
            <w:r w:rsidRPr="00990D3B" w:rsidR="00263D6E">
              <w:rPr>
                <w:b/>
                <w:bCs/>
              </w:rPr>
              <w:t>, or NA</w:t>
            </w:r>
            <w:r w:rsidRPr="00990D3B">
              <w:rPr>
                <w:b/>
                <w:bCs/>
              </w:rPr>
              <w:t>)</w:t>
            </w:r>
          </w:p>
        </w:tc>
        <w:tc>
          <w:tcPr>
            <w:tcW w:w="1620" w:type="dxa"/>
            <w:vAlign w:val="bottom"/>
          </w:tcPr>
          <w:p w:rsidR="004F6C0E" w:rsidRPr="00990D3B" w:rsidP="00E07992" w14:paraId="40785667" w14:textId="77777777">
            <w:pPr>
              <w:pStyle w:val="EQRTableText"/>
              <w:rPr>
                <w:b/>
                <w:bCs/>
              </w:rPr>
            </w:pPr>
            <w:r w:rsidRPr="00990D3B">
              <w:rPr>
                <w:b/>
                <w:bCs/>
              </w:rPr>
              <w:t>Integrate third-party data with MCP administrative data? (Y or N)</w:t>
            </w:r>
          </w:p>
        </w:tc>
        <w:tc>
          <w:tcPr>
            <w:tcW w:w="1417" w:type="dxa"/>
            <w:vAlign w:val="bottom"/>
          </w:tcPr>
          <w:p w:rsidR="004F6C0E" w:rsidRPr="00990D3B" w:rsidP="00E07992" w14:paraId="6397951E" w14:textId="77777777">
            <w:pPr>
              <w:pStyle w:val="EQRTableText"/>
              <w:rPr>
                <w:b/>
                <w:bCs/>
              </w:rPr>
            </w:pPr>
            <w:r w:rsidRPr="00990D3B">
              <w:rPr>
                <w:b/>
                <w:bCs/>
              </w:rPr>
              <w:t>Data completeness (A, B, or C)</w:t>
            </w:r>
          </w:p>
        </w:tc>
        <w:tc>
          <w:tcPr>
            <w:tcW w:w="852" w:type="dxa"/>
            <w:vAlign w:val="bottom"/>
          </w:tcPr>
          <w:p w:rsidR="004F6C0E" w:rsidRPr="00990D3B" w:rsidP="00E07992" w14:paraId="494088B9" w14:textId="77777777">
            <w:pPr>
              <w:pStyle w:val="EQRTableText"/>
              <w:rPr>
                <w:b/>
                <w:bCs/>
              </w:rPr>
            </w:pPr>
            <w:r w:rsidRPr="00990D3B">
              <w:rPr>
                <w:b/>
                <w:bCs/>
              </w:rPr>
              <w:t>Data quality (A, B, or C)</w:t>
            </w:r>
          </w:p>
        </w:tc>
        <w:tc>
          <w:tcPr>
            <w:tcW w:w="1146" w:type="dxa"/>
            <w:vAlign w:val="bottom"/>
          </w:tcPr>
          <w:p w:rsidR="004F6C0E" w:rsidRPr="00990D3B" w:rsidP="00E07992" w14:paraId="4BC9FF77" w14:textId="77777777">
            <w:pPr>
              <w:pStyle w:val="EQRTableText"/>
              <w:rPr>
                <w:b/>
                <w:bCs/>
              </w:rPr>
            </w:pPr>
            <w:r w:rsidRPr="00990D3B">
              <w:rPr>
                <w:b/>
                <w:bCs/>
              </w:rPr>
              <w:t>Describe rating concerns with data collection</w:t>
            </w:r>
          </w:p>
        </w:tc>
      </w:tr>
      <w:tr w14:paraId="1EF92996" w14:textId="77777777" w:rsidTr="00E07992">
        <w:tblPrEx>
          <w:tblW w:w="5000" w:type="pct"/>
          <w:tblLayout w:type="fixed"/>
          <w:tblLook w:val="04A0"/>
        </w:tblPrEx>
        <w:tc>
          <w:tcPr>
            <w:tcW w:w="1387" w:type="dxa"/>
            <w:vAlign w:val="center"/>
          </w:tcPr>
          <w:p w:rsidR="004F6C0E" w:rsidRPr="00990D3B" w:rsidP="00E07992" w14:paraId="69F0ECD8" w14:textId="77777777">
            <w:pPr>
              <w:pStyle w:val="EQRTableText"/>
            </w:pPr>
            <w:r w:rsidRPr="00990D3B">
              <w:t>Behavioral health</w:t>
            </w:r>
          </w:p>
        </w:tc>
        <w:tc>
          <w:tcPr>
            <w:tcW w:w="1500" w:type="dxa"/>
            <w:vAlign w:val="center"/>
          </w:tcPr>
          <w:p w:rsidR="004F6C0E" w:rsidRPr="00990D3B" w:rsidP="00E07992" w14:paraId="5ABAFECC" w14:textId="77777777">
            <w:pPr>
              <w:pStyle w:val="EQRTableText"/>
            </w:pPr>
            <w:r w:rsidRPr="00990D3B">
              <w:t> </w:t>
            </w:r>
          </w:p>
        </w:tc>
        <w:tc>
          <w:tcPr>
            <w:tcW w:w="1428" w:type="dxa"/>
            <w:vAlign w:val="center"/>
          </w:tcPr>
          <w:p w:rsidR="004F6C0E" w:rsidRPr="00990D3B" w:rsidP="00E07992" w14:paraId="52CDBA44" w14:textId="77777777">
            <w:pPr>
              <w:pStyle w:val="EQRTableText"/>
            </w:pPr>
            <w:r w:rsidRPr="00990D3B">
              <w:t> </w:t>
            </w:r>
          </w:p>
        </w:tc>
        <w:tc>
          <w:tcPr>
            <w:tcW w:w="1620" w:type="dxa"/>
            <w:vAlign w:val="center"/>
          </w:tcPr>
          <w:p w:rsidR="004F6C0E" w:rsidRPr="00990D3B" w:rsidP="00E07992" w14:paraId="396F9A98" w14:textId="77777777">
            <w:pPr>
              <w:pStyle w:val="EQRTableText"/>
            </w:pPr>
            <w:r w:rsidRPr="00990D3B">
              <w:t> </w:t>
            </w:r>
          </w:p>
        </w:tc>
        <w:tc>
          <w:tcPr>
            <w:tcW w:w="1417" w:type="dxa"/>
            <w:vAlign w:val="center"/>
          </w:tcPr>
          <w:p w:rsidR="004F6C0E" w:rsidRPr="00990D3B" w:rsidP="00E07992" w14:paraId="098A9589" w14:textId="77777777">
            <w:pPr>
              <w:pStyle w:val="EQRTableText"/>
            </w:pPr>
            <w:r w:rsidRPr="00990D3B">
              <w:t> </w:t>
            </w:r>
          </w:p>
        </w:tc>
        <w:tc>
          <w:tcPr>
            <w:tcW w:w="852" w:type="dxa"/>
            <w:vAlign w:val="center"/>
          </w:tcPr>
          <w:p w:rsidR="004F6C0E" w:rsidRPr="00990D3B" w:rsidP="00E07992" w14:paraId="249753DB" w14:textId="77777777">
            <w:pPr>
              <w:pStyle w:val="EQRTableText"/>
            </w:pPr>
            <w:r w:rsidRPr="00990D3B">
              <w:t> </w:t>
            </w:r>
          </w:p>
        </w:tc>
        <w:tc>
          <w:tcPr>
            <w:tcW w:w="1146" w:type="dxa"/>
            <w:vAlign w:val="center"/>
          </w:tcPr>
          <w:p w:rsidR="004F6C0E" w:rsidRPr="00990D3B" w:rsidP="00E07992" w14:paraId="5C78BD0B" w14:textId="77777777">
            <w:pPr>
              <w:pStyle w:val="EQRTableText"/>
            </w:pPr>
            <w:r w:rsidRPr="00990D3B">
              <w:t> </w:t>
            </w:r>
          </w:p>
        </w:tc>
      </w:tr>
      <w:tr w14:paraId="34F688F2" w14:textId="77777777" w:rsidTr="00E07992">
        <w:tblPrEx>
          <w:tblW w:w="5000" w:type="pct"/>
          <w:tblLayout w:type="fixed"/>
          <w:tblLook w:val="04A0"/>
        </w:tblPrEx>
        <w:tc>
          <w:tcPr>
            <w:tcW w:w="1387" w:type="dxa"/>
            <w:vAlign w:val="center"/>
          </w:tcPr>
          <w:p w:rsidR="004F6C0E" w:rsidRPr="00990D3B" w:rsidP="00E07992" w14:paraId="57BD2A1F" w14:textId="77777777">
            <w:pPr>
              <w:pStyle w:val="EQRTableText"/>
            </w:pPr>
            <w:r w:rsidRPr="00990D3B">
              <w:t>Family planning</w:t>
            </w:r>
          </w:p>
        </w:tc>
        <w:tc>
          <w:tcPr>
            <w:tcW w:w="1500" w:type="dxa"/>
            <w:vAlign w:val="center"/>
          </w:tcPr>
          <w:p w:rsidR="004F6C0E" w:rsidRPr="00990D3B" w:rsidP="00E07992" w14:paraId="0F05BDCF" w14:textId="77777777">
            <w:pPr>
              <w:pStyle w:val="EQRTableText"/>
            </w:pPr>
            <w:r w:rsidRPr="00990D3B">
              <w:t> </w:t>
            </w:r>
          </w:p>
        </w:tc>
        <w:tc>
          <w:tcPr>
            <w:tcW w:w="1428" w:type="dxa"/>
            <w:vAlign w:val="center"/>
          </w:tcPr>
          <w:p w:rsidR="004F6C0E" w:rsidRPr="00990D3B" w:rsidP="00E07992" w14:paraId="6A4F59CE" w14:textId="77777777">
            <w:pPr>
              <w:pStyle w:val="EQRTableText"/>
            </w:pPr>
            <w:r w:rsidRPr="00990D3B">
              <w:t> </w:t>
            </w:r>
          </w:p>
        </w:tc>
        <w:tc>
          <w:tcPr>
            <w:tcW w:w="1620" w:type="dxa"/>
            <w:vAlign w:val="center"/>
          </w:tcPr>
          <w:p w:rsidR="004F6C0E" w:rsidRPr="00990D3B" w:rsidP="00E07992" w14:paraId="0135291A" w14:textId="77777777">
            <w:pPr>
              <w:pStyle w:val="EQRTableText"/>
            </w:pPr>
            <w:r w:rsidRPr="00990D3B">
              <w:t> </w:t>
            </w:r>
          </w:p>
        </w:tc>
        <w:tc>
          <w:tcPr>
            <w:tcW w:w="1417" w:type="dxa"/>
            <w:vAlign w:val="center"/>
          </w:tcPr>
          <w:p w:rsidR="004F6C0E" w:rsidRPr="00990D3B" w:rsidP="00E07992" w14:paraId="6F76882F" w14:textId="77777777">
            <w:pPr>
              <w:pStyle w:val="EQRTableText"/>
            </w:pPr>
            <w:r w:rsidRPr="00990D3B">
              <w:t> </w:t>
            </w:r>
          </w:p>
        </w:tc>
        <w:tc>
          <w:tcPr>
            <w:tcW w:w="852" w:type="dxa"/>
            <w:vAlign w:val="center"/>
          </w:tcPr>
          <w:p w:rsidR="004F6C0E" w:rsidRPr="00990D3B" w:rsidP="00E07992" w14:paraId="315366B1" w14:textId="77777777">
            <w:pPr>
              <w:pStyle w:val="EQRTableText"/>
            </w:pPr>
            <w:r w:rsidRPr="00990D3B">
              <w:t> </w:t>
            </w:r>
          </w:p>
        </w:tc>
        <w:tc>
          <w:tcPr>
            <w:tcW w:w="1146" w:type="dxa"/>
            <w:vAlign w:val="center"/>
          </w:tcPr>
          <w:p w:rsidR="004F6C0E" w:rsidRPr="00990D3B" w:rsidP="00E07992" w14:paraId="67975DCE" w14:textId="77777777">
            <w:pPr>
              <w:pStyle w:val="EQRTableText"/>
            </w:pPr>
            <w:r w:rsidRPr="00990D3B">
              <w:t> </w:t>
            </w:r>
          </w:p>
        </w:tc>
      </w:tr>
      <w:tr w14:paraId="0EA0E26E" w14:textId="77777777" w:rsidTr="00E07992">
        <w:tblPrEx>
          <w:tblW w:w="5000" w:type="pct"/>
          <w:tblLayout w:type="fixed"/>
          <w:tblLook w:val="04A0"/>
        </w:tblPrEx>
        <w:tc>
          <w:tcPr>
            <w:tcW w:w="1387" w:type="dxa"/>
            <w:vAlign w:val="center"/>
          </w:tcPr>
          <w:p w:rsidR="004F6C0E" w:rsidRPr="00990D3B" w:rsidP="00E07992" w14:paraId="70F06EF9" w14:textId="77777777">
            <w:pPr>
              <w:pStyle w:val="EQRTableText"/>
            </w:pPr>
            <w:r w:rsidRPr="00990D3B">
              <w:t>Home health care</w:t>
            </w:r>
          </w:p>
        </w:tc>
        <w:tc>
          <w:tcPr>
            <w:tcW w:w="1500" w:type="dxa"/>
            <w:vAlign w:val="center"/>
          </w:tcPr>
          <w:p w:rsidR="004F6C0E" w:rsidRPr="00990D3B" w:rsidP="00E07992" w14:paraId="52DE3619" w14:textId="77777777">
            <w:pPr>
              <w:pStyle w:val="EQRTableText"/>
            </w:pPr>
            <w:r w:rsidRPr="00990D3B">
              <w:t> </w:t>
            </w:r>
          </w:p>
        </w:tc>
        <w:tc>
          <w:tcPr>
            <w:tcW w:w="1428" w:type="dxa"/>
            <w:vAlign w:val="center"/>
          </w:tcPr>
          <w:p w:rsidR="004F6C0E" w:rsidRPr="00990D3B" w:rsidP="00E07992" w14:paraId="31CE4FCC" w14:textId="77777777">
            <w:pPr>
              <w:pStyle w:val="EQRTableText"/>
            </w:pPr>
            <w:r w:rsidRPr="00990D3B">
              <w:t> </w:t>
            </w:r>
          </w:p>
        </w:tc>
        <w:tc>
          <w:tcPr>
            <w:tcW w:w="1620" w:type="dxa"/>
            <w:vAlign w:val="center"/>
          </w:tcPr>
          <w:p w:rsidR="004F6C0E" w:rsidRPr="00990D3B" w:rsidP="00E07992" w14:paraId="52D82278" w14:textId="77777777">
            <w:pPr>
              <w:pStyle w:val="EQRTableText"/>
            </w:pPr>
            <w:r w:rsidRPr="00990D3B">
              <w:t> </w:t>
            </w:r>
          </w:p>
        </w:tc>
        <w:tc>
          <w:tcPr>
            <w:tcW w:w="1417" w:type="dxa"/>
            <w:vAlign w:val="center"/>
          </w:tcPr>
          <w:p w:rsidR="004F6C0E" w:rsidRPr="00990D3B" w:rsidP="00E07992" w14:paraId="48AF3BDF" w14:textId="77777777">
            <w:pPr>
              <w:pStyle w:val="EQRTableText"/>
            </w:pPr>
            <w:r w:rsidRPr="00990D3B">
              <w:t> </w:t>
            </w:r>
          </w:p>
        </w:tc>
        <w:tc>
          <w:tcPr>
            <w:tcW w:w="852" w:type="dxa"/>
            <w:vAlign w:val="center"/>
          </w:tcPr>
          <w:p w:rsidR="004F6C0E" w:rsidRPr="00990D3B" w:rsidP="00E07992" w14:paraId="0598B188" w14:textId="77777777">
            <w:pPr>
              <w:pStyle w:val="EQRTableText"/>
            </w:pPr>
            <w:r w:rsidRPr="00990D3B">
              <w:t> </w:t>
            </w:r>
          </w:p>
        </w:tc>
        <w:tc>
          <w:tcPr>
            <w:tcW w:w="1146" w:type="dxa"/>
            <w:vAlign w:val="center"/>
          </w:tcPr>
          <w:p w:rsidR="004F6C0E" w:rsidRPr="00990D3B" w:rsidP="00E07992" w14:paraId="4DDF67E0" w14:textId="77777777">
            <w:pPr>
              <w:pStyle w:val="EQRTableText"/>
            </w:pPr>
            <w:r w:rsidRPr="00990D3B">
              <w:t> </w:t>
            </w:r>
          </w:p>
        </w:tc>
      </w:tr>
      <w:tr w14:paraId="7B35360F" w14:textId="77777777" w:rsidTr="00E07992">
        <w:tblPrEx>
          <w:tblW w:w="5000" w:type="pct"/>
          <w:tblLayout w:type="fixed"/>
          <w:tblLook w:val="04A0"/>
        </w:tblPrEx>
        <w:tc>
          <w:tcPr>
            <w:tcW w:w="1387" w:type="dxa"/>
            <w:vAlign w:val="center"/>
          </w:tcPr>
          <w:p w:rsidR="004F6C0E" w:rsidRPr="00990D3B" w:rsidP="00E07992" w14:paraId="4D1B5892" w14:textId="77777777">
            <w:pPr>
              <w:pStyle w:val="EQRTableText"/>
            </w:pPr>
            <w:r w:rsidRPr="00990D3B">
              <w:t>Hospital</w:t>
            </w:r>
          </w:p>
        </w:tc>
        <w:tc>
          <w:tcPr>
            <w:tcW w:w="1500" w:type="dxa"/>
            <w:vAlign w:val="center"/>
          </w:tcPr>
          <w:p w:rsidR="004F6C0E" w:rsidRPr="00990D3B" w:rsidP="00E07992" w14:paraId="2D21C53D" w14:textId="77777777">
            <w:pPr>
              <w:pStyle w:val="EQRTableText"/>
            </w:pPr>
            <w:r w:rsidRPr="00990D3B">
              <w:t> </w:t>
            </w:r>
          </w:p>
        </w:tc>
        <w:tc>
          <w:tcPr>
            <w:tcW w:w="1428" w:type="dxa"/>
            <w:vAlign w:val="center"/>
          </w:tcPr>
          <w:p w:rsidR="004F6C0E" w:rsidRPr="00990D3B" w:rsidP="00E07992" w14:paraId="039873BB" w14:textId="77777777">
            <w:pPr>
              <w:pStyle w:val="EQRTableText"/>
            </w:pPr>
            <w:r w:rsidRPr="00990D3B">
              <w:t> </w:t>
            </w:r>
          </w:p>
        </w:tc>
        <w:tc>
          <w:tcPr>
            <w:tcW w:w="1620" w:type="dxa"/>
            <w:vAlign w:val="center"/>
          </w:tcPr>
          <w:p w:rsidR="004F6C0E" w:rsidRPr="00990D3B" w:rsidP="00E07992" w14:paraId="0A9C73C0" w14:textId="77777777">
            <w:pPr>
              <w:pStyle w:val="EQRTableText"/>
            </w:pPr>
            <w:r w:rsidRPr="00990D3B">
              <w:t> </w:t>
            </w:r>
          </w:p>
        </w:tc>
        <w:tc>
          <w:tcPr>
            <w:tcW w:w="1417" w:type="dxa"/>
            <w:vAlign w:val="center"/>
          </w:tcPr>
          <w:p w:rsidR="004F6C0E" w:rsidRPr="00990D3B" w:rsidP="00E07992" w14:paraId="2F1143AC" w14:textId="77777777">
            <w:pPr>
              <w:pStyle w:val="EQRTableText"/>
            </w:pPr>
            <w:r w:rsidRPr="00990D3B">
              <w:t> </w:t>
            </w:r>
          </w:p>
        </w:tc>
        <w:tc>
          <w:tcPr>
            <w:tcW w:w="852" w:type="dxa"/>
            <w:vAlign w:val="center"/>
          </w:tcPr>
          <w:p w:rsidR="004F6C0E" w:rsidRPr="00990D3B" w:rsidP="00E07992" w14:paraId="445DFCCB" w14:textId="77777777">
            <w:pPr>
              <w:pStyle w:val="EQRTableText"/>
            </w:pPr>
            <w:r w:rsidRPr="00990D3B">
              <w:t> </w:t>
            </w:r>
          </w:p>
        </w:tc>
        <w:tc>
          <w:tcPr>
            <w:tcW w:w="1146" w:type="dxa"/>
            <w:vAlign w:val="center"/>
          </w:tcPr>
          <w:p w:rsidR="004F6C0E" w:rsidRPr="00990D3B" w:rsidP="00E07992" w14:paraId="64B7D362" w14:textId="77777777">
            <w:pPr>
              <w:pStyle w:val="EQRTableText"/>
            </w:pPr>
            <w:r w:rsidRPr="00990D3B">
              <w:t> </w:t>
            </w:r>
          </w:p>
        </w:tc>
      </w:tr>
      <w:tr w14:paraId="733EF6AF" w14:textId="77777777" w:rsidTr="00E07992">
        <w:tblPrEx>
          <w:tblW w:w="5000" w:type="pct"/>
          <w:tblLayout w:type="fixed"/>
          <w:tblLook w:val="04A0"/>
        </w:tblPrEx>
        <w:tc>
          <w:tcPr>
            <w:tcW w:w="1387" w:type="dxa"/>
            <w:vAlign w:val="center"/>
          </w:tcPr>
          <w:p w:rsidR="004F6C0E" w:rsidRPr="00990D3B" w:rsidP="00E07992" w14:paraId="4367C706" w14:textId="77777777">
            <w:pPr>
              <w:pStyle w:val="EQRTableText"/>
            </w:pPr>
            <w:r w:rsidRPr="00990D3B">
              <w:t>Laboratory</w:t>
            </w:r>
          </w:p>
        </w:tc>
        <w:tc>
          <w:tcPr>
            <w:tcW w:w="1500" w:type="dxa"/>
            <w:vAlign w:val="center"/>
          </w:tcPr>
          <w:p w:rsidR="004F6C0E" w:rsidRPr="00990D3B" w:rsidP="00E07992" w14:paraId="7F4B0878" w14:textId="77777777">
            <w:pPr>
              <w:pStyle w:val="EQRTableText"/>
            </w:pPr>
            <w:r w:rsidRPr="00990D3B">
              <w:t> </w:t>
            </w:r>
          </w:p>
        </w:tc>
        <w:tc>
          <w:tcPr>
            <w:tcW w:w="1428" w:type="dxa"/>
            <w:vAlign w:val="center"/>
          </w:tcPr>
          <w:p w:rsidR="004F6C0E" w:rsidRPr="00990D3B" w:rsidP="00E07992" w14:paraId="7C90D4E2" w14:textId="77777777">
            <w:pPr>
              <w:pStyle w:val="EQRTableText"/>
            </w:pPr>
            <w:r w:rsidRPr="00990D3B">
              <w:t> </w:t>
            </w:r>
          </w:p>
        </w:tc>
        <w:tc>
          <w:tcPr>
            <w:tcW w:w="1620" w:type="dxa"/>
            <w:vAlign w:val="center"/>
          </w:tcPr>
          <w:p w:rsidR="004F6C0E" w:rsidRPr="00990D3B" w:rsidP="00E07992" w14:paraId="5B43D484" w14:textId="77777777">
            <w:pPr>
              <w:pStyle w:val="EQRTableText"/>
            </w:pPr>
            <w:r w:rsidRPr="00990D3B">
              <w:t> </w:t>
            </w:r>
          </w:p>
        </w:tc>
        <w:tc>
          <w:tcPr>
            <w:tcW w:w="1417" w:type="dxa"/>
            <w:vAlign w:val="center"/>
          </w:tcPr>
          <w:p w:rsidR="004F6C0E" w:rsidRPr="00990D3B" w:rsidP="00E07992" w14:paraId="543CB3E1" w14:textId="77777777">
            <w:pPr>
              <w:pStyle w:val="EQRTableText"/>
            </w:pPr>
            <w:r w:rsidRPr="00990D3B">
              <w:t> </w:t>
            </w:r>
          </w:p>
        </w:tc>
        <w:tc>
          <w:tcPr>
            <w:tcW w:w="852" w:type="dxa"/>
            <w:vAlign w:val="center"/>
          </w:tcPr>
          <w:p w:rsidR="004F6C0E" w:rsidRPr="00990D3B" w:rsidP="00E07992" w14:paraId="37CD961B" w14:textId="77777777">
            <w:pPr>
              <w:pStyle w:val="EQRTableText"/>
            </w:pPr>
            <w:r w:rsidRPr="00990D3B">
              <w:t> </w:t>
            </w:r>
          </w:p>
        </w:tc>
        <w:tc>
          <w:tcPr>
            <w:tcW w:w="1146" w:type="dxa"/>
            <w:vAlign w:val="center"/>
          </w:tcPr>
          <w:p w:rsidR="004F6C0E" w:rsidRPr="00990D3B" w:rsidP="00E07992" w14:paraId="65045BB4" w14:textId="77777777">
            <w:pPr>
              <w:pStyle w:val="EQRTableText"/>
            </w:pPr>
            <w:r w:rsidRPr="00990D3B">
              <w:t> </w:t>
            </w:r>
          </w:p>
        </w:tc>
      </w:tr>
      <w:tr w14:paraId="2AB45C96" w14:textId="77777777" w:rsidTr="00E07992">
        <w:tblPrEx>
          <w:tblW w:w="5000" w:type="pct"/>
          <w:tblLayout w:type="fixed"/>
          <w:tblLook w:val="04A0"/>
        </w:tblPrEx>
        <w:tc>
          <w:tcPr>
            <w:tcW w:w="1387" w:type="dxa"/>
            <w:vAlign w:val="center"/>
          </w:tcPr>
          <w:p w:rsidR="004F6C0E" w:rsidRPr="00990D3B" w:rsidP="00E07992" w14:paraId="518A7FCC" w14:textId="77777777">
            <w:pPr>
              <w:pStyle w:val="EQRTableText"/>
            </w:pPr>
            <w:r w:rsidRPr="00990D3B">
              <w:t>Pharmacy</w:t>
            </w:r>
          </w:p>
        </w:tc>
        <w:tc>
          <w:tcPr>
            <w:tcW w:w="1500" w:type="dxa"/>
            <w:vAlign w:val="center"/>
          </w:tcPr>
          <w:p w:rsidR="004F6C0E" w:rsidRPr="00990D3B" w:rsidP="00E07992" w14:paraId="4955A86C" w14:textId="77777777">
            <w:pPr>
              <w:pStyle w:val="EQRTableText"/>
            </w:pPr>
            <w:r w:rsidRPr="00990D3B">
              <w:t> </w:t>
            </w:r>
          </w:p>
        </w:tc>
        <w:tc>
          <w:tcPr>
            <w:tcW w:w="1428" w:type="dxa"/>
            <w:vAlign w:val="center"/>
          </w:tcPr>
          <w:p w:rsidR="004F6C0E" w:rsidRPr="00990D3B" w:rsidP="00E07992" w14:paraId="762B25FA" w14:textId="77777777">
            <w:pPr>
              <w:pStyle w:val="EQRTableText"/>
            </w:pPr>
            <w:r w:rsidRPr="00990D3B">
              <w:t> </w:t>
            </w:r>
          </w:p>
        </w:tc>
        <w:tc>
          <w:tcPr>
            <w:tcW w:w="1620" w:type="dxa"/>
            <w:vAlign w:val="center"/>
          </w:tcPr>
          <w:p w:rsidR="004F6C0E" w:rsidRPr="00990D3B" w:rsidP="00E07992" w14:paraId="705CD37D" w14:textId="77777777">
            <w:pPr>
              <w:pStyle w:val="EQRTableText"/>
            </w:pPr>
            <w:r w:rsidRPr="00990D3B">
              <w:t> </w:t>
            </w:r>
          </w:p>
        </w:tc>
        <w:tc>
          <w:tcPr>
            <w:tcW w:w="1417" w:type="dxa"/>
            <w:vAlign w:val="center"/>
          </w:tcPr>
          <w:p w:rsidR="004F6C0E" w:rsidRPr="00990D3B" w:rsidP="00E07992" w14:paraId="342A635D" w14:textId="77777777">
            <w:pPr>
              <w:pStyle w:val="EQRTableText"/>
            </w:pPr>
            <w:r w:rsidRPr="00990D3B">
              <w:t> </w:t>
            </w:r>
          </w:p>
        </w:tc>
        <w:tc>
          <w:tcPr>
            <w:tcW w:w="852" w:type="dxa"/>
            <w:vAlign w:val="center"/>
          </w:tcPr>
          <w:p w:rsidR="004F6C0E" w:rsidRPr="00990D3B" w:rsidP="00E07992" w14:paraId="5932B17D" w14:textId="77777777">
            <w:pPr>
              <w:pStyle w:val="EQRTableText"/>
            </w:pPr>
            <w:r w:rsidRPr="00990D3B">
              <w:t> </w:t>
            </w:r>
          </w:p>
        </w:tc>
        <w:tc>
          <w:tcPr>
            <w:tcW w:w="1146" w:type="dxa"/>
            <w:vAlign w:val="center"/>
          </w:tcPr>
          <w:p w:rsidR="004F6C0E" w:rsidRPr="00990D3B" w:rsidP="00E07992" w14:paraId="08CFE5ED" w14:textId="77777777">
            <w:pPr>
              <w:pStyle w:val="EQRTableText"/>
            </w:pPr>
            <w:r w:rsidRPr="00990D3B">
              <w:t> </w:t>
            </w:r>
          </w:p>
        </w:tc>
      </w:tr>
      <w:tr w14:paraId="6FC7F138" w14:textId="77777777" w:rsidTr="00E07992">
        <w:tblPrEx>
          <w:tblW w:w="5000" w:type="pct"/>
          <w:tblLayout w:type="fixed"/>
          <w:tblLook w:val="04A0"/>
        </w:tblPrEx>
        <w:tc>
          <w:tcPr>
            <w:tcW w:w="1387" w:type="dxa"/>
            <w:vAlign w:val="center"/>
          </w:tcPr>
          <w:p w:rsidR="004F6C0E" w:rsidRPr="00990D3B" w:rsidP="00E07992" w14:paraId="6450B5C4" w14:textId="77777777">
            <w:pPr>
              <w:pStyle w:val="EQRTableText"/>
            </w:pPr>
            <w:r w:rsidRPr="00990D3B">
              <w:t>Primary care</w:t>
            </w:r>
          </w:p>
        </w:tc>
        <w:tc>
          <w:tcPr>
            <w:tcW w:w="1500" w:type="dxa"/>
            <w:vAlign w:val="center"/>
          </w:tcPr>
          <w:p w:rsidR="004F6C0E" w:rsidRPr="00990D3B" w:rsidP="00E07992" w14:paraId="075A00CA" w14:textId="77777777">
            <w:pPr>
              <w:pStyle w:val="EQRTableText"/>
            </w:pPr>
            <w:r w:rsidRPr="00990D3B">
              <w:t> </w:t>
            </w:r>
          </w:p>
        </w:tc>
        <w:tc>
          <w:tcPr>
            <w:tcW w:w="1428" w:type="dxa"/>
            <w:vAlign w:val="center"/>
          </w:tcPr>
          <w:p w:rsidR="004F6C0E" w:rsidRPr="00990D3B" w:rsidP="00E07992" w14:paraId="22DCFE08" w14:textId="77777777">
            <w:pPr>
              <w:pStyle w:val="EQRTableText"/>
            </w:pPr>
            <w:r w:rsidRPr="00990D3B">
              <w:t> </w:t>
            </w:r>
          </w:p>
        </w:tc>
        <w:tc>
          <w:tcPr>
            <w:tcW w:w="1620" w:type="dxa"/>
            <w:vAlign w:val="center"/>
          </w:tcPr>
          <w:p w:rsidR="004F6C0E" w:rsidRPr="00990D3B" w:rsidP="00E07992" w14:paraId="130A38AC" w14:textId="77777777">
            <w:pPr>
              <w:pStyle w:val="EQRTableText"/>
            </w:pPr>
            <w:r w:rsidRPr="00990D3B">
              <w:t> </w:t>
            </w:r>
          </w:p>
        </w:tc>
        <w:tc>
          <w:tcPr>
            <w:tcW w:w="1417" w:type="dxa"/>
            <w:vAlign w:val="center"/>
          </w:tcPr>
          <w:p w:rsidR="004F6C0E" w:rsidRPr="00990D3B" w:rsidP="00E07992" w14:paraId="0A2CE811" w14:textId="77777777">
            <w:pPr>
              <w:pStyle w:val="EQRTableText"/>
            </w:pPr>
            <w:r w:rsidRPr="00990D3B">
              <w:t> </w:t>
            </w:r>
          </w:p>
        </w:tc>
        <w:tc>
          <w:tcPr>
            <w:tcW w:w="852" w:type="dxa"/>
            <w:vAlign w:val="center"/>
          </w:tcPr>
          <w:p w:rsidR="004F6C0E" w:rsidRPr="00990D3B" w:rsidP="00E07992" w14:paraId="77CF95E3" w14:textId="77777777">
            <w:pPr>
              <w:pStyle w:val="EQRTableText"/>
            </w:pPr>
            <w:r w:rsidRPr="00990D3B">
              <w:t> </w:t>
            </w:r>
          </w:p>
        </w:tc>
        <w:tc>
          <w:tcPr>
            <w:tcW w:w="1146" w:type="dxa"/>
            <w:vAlign w:val="center"/>
          </w:tcPr>
          <w:p w:rsidR="004F6C0E" w:rsidRPr="00990D3B" w:rsidP="00E07992" w14:paraId="71B60AC4" w14:textId="77777777">
            <w:pPr>
              <w:pStyle w:val="EQRTableText"/>
            </w:pPr>
            <w:r w:rsidRPr="00990D3B">
              <w:t> </w:t>
            </w:r>
          </w:p>
        </w:tc>
      </w:tr>
      <w:tr w14:paraId="4C3A3FC8" w14:textId="77777777" w:rsidTr="00E07992">
        <w:tblPrEx>
          <w:tblW w:w="5000" w:type="pct"/>
          <w:tblLayout w:type="fixed"/>
          <w:tblLook w:val="04A0"/>
        </w:tblPrEx>
        <w:tc>
          <w:tcPr>
            <w:tcW w:w="1387" w:type="dxa"/>
            <w:vAlign w:val="center"/>
          </w:tcPr>
          <w:p w:rsidR="004F6C0E" w:rsidRPr="00990D3B" w:rsidP="00E07992" w14:paraId="647DE076" w14:textId="77777777">
            <w:pPr>
              <w:pStyle w:val="EQRTableText"/>
            </w:pPr>
            <w:r w:rsidRPr="00990D3B">
              <w:t>Radiology</w:t>
            </w:r>
          </w:p>
        </w:tc>
        <w:tc>
          <w:tcPr>
            <w:tcW w:w="1500" w:type="dxa"/>
            <w:vAlign w:val="center"/>
          </w:tcPr>
          <w:p w:rsidR="004F6C0E" w:rsidRPr="00990D3B" w:rsidP="00E07992" w14:paraId="4C18F718" w14:textId="77777777">
            <w:pPr>
              <w:pStyle w:val="EQRTableText"/>
            </w:pPr>
            <w:r w:rsidRPr="00990D3B">
              <w:t> </w:t>
            </w:r>
          </w:p>
        </w:tc>
        <w:tc>
          <w:tcPr>
            <w:tcW w:w="1428" w:type="dxa"/>
            <w:vAlign w:val="center"/>
          </w:tcPr>
          <w:p w:rsidR="004F6C0E" w:rsidRPr="00990D3B" w:rsidP="00E07992" w14:paraId="74CC2098" w14:textId="77777777">
            <w:pPr>
              <w:pStyle w:val="EQRTableText"/>
            </w:pPr>
            <w:r w:rsidRPr="00990D3B">
              <w:t> </w:t>
            </w:r>
          </w:p>
        </w:tc>
        <w:tc>
          <w:tcPr>
            <w:tcW w:w="1620" w:type="dxa"/>
            <w:vAlign w:val="center"/>
          </w:tcPr>
          <w:p w:rsidR="004F6C0E" w:rsidRPr="00990D3B" w:rsidP="00E07992" w14:paraId="560B4EFE" w14:textId="77777777">
            <w:pPr>
              <w:pStyle w:val="EQRTableText"/>
            </w:pPr>
            <w:r w:rsidRPr="00990D3B">
              <w:t> </w:t>
            </w:r>
          </w:p>
        </w:tc>
        <w:tc>
          <w:tcPr>
            <w:tcW w:w="1417" w:type="dxa"/>
            <w:vAlign w:val="center"/>
          </w:tcPr>
          <w:p w:rsidR="004F6C0E" w:rsidRPr="00990D3B" w:rsidP="00E07992" w14:paraId="0AE25625" w14:textId="77777777">
            <w:pPr>
              <w:pStyle w:val="EQRTableText"/>
            </w:pPr>
            <w:r w:rsidRPr="00990D3B">
              <w:t> </w:t>
            </w:r>
          </w:p>
        </w:tc>
        <w:tc>
          <w:tcPr>
            <w:tcW w:w="852" w:type="dxa"/>
            <w:vAlign w:val="center"/>
          </w:tcPr>
          <w:p w:rsidR="004F6C0E" w:rsidRPr="00990D3B" w:rsidP="00E07992" w14:paraId="280F8430" w14:textId="77777777">
            <w:pPr>
              <w:pStyle w:val="EQRTableText"/>
            </w:pPr>
            <w:r w:rsidRPr="00990D3B">
              <w:t> </w:t>
            </w:r>
          </w:p>
        </w:tc>
        <w:tc>
          <w:tcPr>
            <w:tcW w:w="1146" w:type="dxa"/>
            <w:vAlign w:val="center"/>
          </w:tcPr>
          <w:p w:rsidR="004F6C0E" w:rsidRPr="00990D3B" w:rsidP="00E07992" w14:paraId="764EE87F" w14:textId="77777777">
            <w:pPr>
              <w:pStyle w:val="EQRTableText"/>
            </w:pPr>
            <w:r w:rsidRPr="00990D3B">
              <w:t> </w:t>
            </w:r>
          </w:p>
        </w:tc>
      </w:tr>
      <w:tr w14:paraId="16BF9B5F" w14:textId="77777777" w:rsidTr="00E07992">
        <w:tblPrEx>
          <w:tblW w:w="5000" w:type="pct"/>
          <w:tblLayout w:type="fixed"/>
          <w:tblLook w:val="04A0"/>
        </w:tblPrEx>
        <w:tc>
          <w:tcPr>
            <w:tcW w:w="1387" w:type="dxa"/>
            <w:vAlign w:val="center"/>
          </w:tcPr>
          <w:p w:rsidR="004F6C0E" w:rsidRPr="00990D3B" w:rsidP="00E07992" w14:paraId="71ADA801" w14:textId="77777777">
            <w:pPr>
              <w:pStyle w:val="EQRTableText"/>
            </w:pPr>
            <w:r w:rsidRPr="00990D3B">
              <w:t>Specialty care</w:t>
            </w:r>
          </w:p>
        </w:tc>
        <w:tc>
          <w:tcPr>
            <w:tcW w:w="1500" w:type="dxa"/>
            <w:vAlign w:val="center"/>
          </w:tcPr>
          <w:p w:rsidR="004F6C0E" w:rsidRPr="00990D3B" w:rsidP="00E07992" w14:paraId="2E133217" w14:textId="77777777">
            <w:pPr>
              <w:pStyle w:val="EQRTableText"/>
            </w:pPr>
            <w:r w:rsidRPr="00990D3B">
              <w:t> </w:t>
            </w:r>
          </w:p>
        </w:tc>
        <w:tc>
          <w:tcPr>
            <w:tcW w:w="1428" w:type="dxa"/>
            <w:vAlign w:val="center"/>
          </w:tcPr>
          <w:p w:rsidR="004F6C0E" w:rsidRPr="00990D3B" w:rsidP="00E07992" w14:paraId="31755C6C" w14:textId="77777777">
            <w:pPr>
              <w:pStyle w:val="EQRTableText"/>
            </w:pPr>
            <w:r w:rsidRPr="00990D3B">
              <w:t> </w:t>
            </w:r>
          </w:p>
        </w:tc>
        <w:tc>
          <w:tcPr>
            <w:tcW w:w="1620" w:type="dxa"/>
            <w:vAlign w:val="center"/>
          </w:tcPr>
          <w:p w:rsidR="004F6C0E" w:rsidRPr="00990D3B" w:rsidP="00E07992" w14:paraId="7E675A52" w14:textId="77777777">
            <w:pPr>
              <w:pStyle w:val="EQRTableText"/>
            </w:pPr>
            <w:r w:rsidRPr="00990D3B">
              <w:t> </w:t>
            </w:r>
          </w:p>
        </w:tc>
        <w:tc>
          <w:tcPr>
            <w:tcW w:w="1417" w:type="dxa"/>
            <w:vAlign w:val="center"/>
          </w:tcPr>
          <w:p w:rsidR="004F6C0E" w:rsidRPr="00990D3B" w:rsidP="00E07992" w14:paraId="5E00F9BE" w14:textId="77777777">
            <w:pPr>
              <w:pStyle w:val="EQRTableText"/>
            </w:pPr>
            <w:r w:rsidRPr="00990D3B">
              <w:t> </w:t>
            </w:r>
          </w:p>
        </w:tc>
        <w:tc>
          <w:tcPr>
            <w:tcW w:w="852" w:type="dxa"/>
            <w:vAlign w:val="center"/>
          </w:tcPr>
          <w:p w:rsidR="004F6C0E" w:rsidRPr="00990D3B" w:rsidP="00E07992" w14:paraId="6679D4E6" w14:textId="77777777">
            <w:pPr>
              <w:pStyle w:val="EQRTableText"/>
            </w:pPr>
            <w:r w:rsidRPr="00990D3B">
              <w:t> </w:t>
            </w:r>
          </w:p>
        </w:tc>
        <w:tc>
          <w:tcPr>
            <w:tcW w:w="1146" w:type="dxa"/>
            <w:vAlign w:val="center"/>
          </w:tcPr>
          <w:p w:rsidR="004F6C0E" w:rsidRPr="00990D3B" w:rsidP="00E07992" w14:paraId="6AE96474" w14:textId="77777777">
            <w:pPr>
              <w:pStyle w:val="EQRTableText"/>
            </w:pPr>
            <w:r w:rsidRPr="00990D3B">
              <w:t> </w:t>
            </w:r>
          </w:p>
        </w:tc>
      </w:tr>
      <w:tr w14:paraId="1A1C0ED8" w14:textId="77777777" w:rsidTr="00E07992">
        <w:tblPrEx>
          <w:tblW w:w="5000" w:type="pct"/>
          <w:tblLayout w:type="fixed"/>
          <w:tblLook w:val="04A0"/>
        </w:tblPrEx>
        <w:tc>
          <w:tcPr>
            <w:tcW w:w="1387" w:type="dxa"/>
            <w:vAlign w:val="center"/>
          </w:tcPr>
          <w:p w:rsidR="004F6C0E" w:rsidRPr="00990D3B" w:rsidP="00E07992" w14:paraId="4FB84E46" w14:textId="77777777">
            <w:pPr>
              <w:pStyle w:val="EQRTableText"/>
            </w:pPr>
            <w:r w:rsidRPr="00990D3B">
              <w:t>Vision care</w:t>
            </w:r>
          </w:p>
        </w:tc>
        <w:tc>
          <w:tcPr>
            <w:tcW w:w="1500" w:type="dxa"/>
            <w:vAlign w:val="center"/>
          </w:tcPr>
          <w:p w:rsidR="004F6C0E" w:rsidRPr="00990D3B" w:rsidP="00E07992" w14:paraId="6C9FA732" w14:textId="77777777">
            <w:pPr>
              <w:pStyle w:val="EQRTableText"/>
            </w:pPr>
            <w:r w:rsidRPr="00990D3B">
              <w:t> </w:t>
            </w:r>
          </w:p>
        </w:tc>
        <w:tc>
          <w:tcPr>
            <w:tcW w:w="1428" w:type="dxa"/>
            <w:vAlign w:val="center"/>
          </w:tcPr>
          <w:p w:rsidR="004F6C0E" w:rsidRPr="00990D3B" w:rsidP="00E07992" w14:paraId="43DE2C37" w14:textId="77777777">
            <w:pPr>
              <w:pStyle w:val="EQRTableText"/>
            </w:pPr>
            <w:r w:rsidRPr="00990D3B">
              <w:t> </w:t>
            </w:r>
          </w:p>
        </w:tc>
        <w:tc>
          <w:tcPr>
            <w:tcW w:w="1620" w:type="dxa"/>
            <w:vAlign w:val="center"/>
          </w:tcPr>
          <w:p w:rsidR="004F6C0E" w:rsidRPr="00990D3B" w:rsidP="00E07992" w14:paraId="3D5307FB" w14:textId="77777777">
            <w:pPr>
              <w:pStyle w:val="EQRTableText"/>
            </w:pPr>
            <w:r w:rsidRPr="00990D3B">
              <w:t> </w:t>
            </w:r>
          </w:p>
        </w:tc>
        <w:tc>
          <w:tcPr>
            <w:tcW w:w="1417" w:type="dxa"/>
            <w:vAlign w:val="center"/>
          </w:tcPr>
          <w:p w:rsidR="004F6C0E" w:rsidRPr="00990D3B" w:rsidP="00E07992" w14:paraId="35660565" w14:textId="77777777">
            <w:pPr>
              <w:pStyle w:val="EQRTableText"/>
            </w:pPr>
            <w:r w:rsidRPr="00990D3B">
              <w:t> </w:t>
            </w:r>
          </w:p>
        </w:tc>
        <w:tc>
          <w:tcPr>
            <w:tcW w:w="852" w:type="dxa"/>
            <w:vAlign w:val="center"/>
          </w:tcPr>
          <w:p w:rsidR="004F6C0E" w:rsidRPr="00990D3B" w:rsidP="00E07992" w14:paraId="25E9CC09" w14:textId="77777777">
            <w:pPr>
              <w:pStyle w:val="EQRTableText"/>
            </w:pPr>
            <w:r w:rsidRPr="00990D3B">
              <w:t> </w:t>
            </w:r>
          </w:p>
        </w:tc>
        <w:tc>
          <w:tcPr>
            <w:tcW w:w="1146" w:type="dxa"/>
            <w:vAlign w:val="center"/>
          </w:tcPr>
          <w:p w:rsidR="004F6C0E" w:rsidRPr="00990D3B" w:rsidP="00E07992" w14:paraId="15452EAB" w14:textId="77777777">
            <w:pPr>
              <w:pStyle w:val="EQRTableText"/>
            </w:pPr>
            <w:r w:rsidRPr="00990D3B">
              <w:t> </w:t>
            </w:r>
          </w:p>
        </w:tc>
      </w:tr>
      <w:tr w14:paraId="085DBB80" w14:textId="77777777" w:rsidTr="00E07992">
        <w:tblPrEx>
          <w:tblW w:w="5000" w:type="pct"/>
          <w:tblLayout w:type="fixed"/>
          <w:tblLook w:val="04A0"/>
        </w:tblPrEx>
        <w:tc>
          <w:tcPr>
            <w:tcW w:w="1387" w:type="dxa"/>
            <w:vAlign w:val="center"/>
          </w:tcPr>
          <w:p w:rsidR="004F6C0E" w:rsidRPr="00990D3B" w:rsidP="00E07992" w14:paraId="41723B34" w14:textId="77777777">
            <w:pPr>
              <w:pStyle w:val="EQRTableText"/>
            </w:pPr>
            <w:r w:rsidRPr="00990D3B">
              <w:t>Dental for children</w:t>
            </w:r>
          </w:p>
        </w:tc>
        <w:tc>
          <w:tcPr>
            <w:tcW w:w="1500" w:type="dxa"/>
            <w:vAlign w:val="center"/>
          </w:tcPr>
          <w:p w:rsidR="004F6C0E" w:rsidRPr="00990D3B" w:rsidP="00E07992" w14:paraId="5655FF59" w14:textId="77777777">
            <w:pPr>
              <w:pStyle w:val="EQRTableText"/>
            </w:pPr>
            <w:r w:rsidRPr="00990D3B">
              <w:t> </w:t>
            </w:r>
          </w:p>
        </w:tc>
        <w:tc>
          <w:tcPr>
            <w:tcW w:w="1428" w:type="dxa"/>
            <w:vAlign w:val="center"/>
          </w:tcPr>
          <w:p w:rsidR="004F6C0E" w:rsidRPr="00990D3B" w:rsidP="00E07992" w14:paraId="3C31E1C8" w14:textId="77777777">
            <w:pPr>
              <w:pStyle w:val="EQRTableText"/>
            </w:pPr>
            <w:r w:rsidRPr="00990D3B">
              <w:t> </w:t>
            </w:r>
          </w:p>
        </w:tc>
        <w:tc>
          <w:tcPr>
            <w:tcW w:w="1620" w:type="dxa"/>
            <w:vAlign w:val="center"/>
          </w:tcPr>
          <w:p w:rsidR="004F6C0E" w:rsidRPr="00990D3B" w:rsidP="00E07992" w14:paraId="60AF9770" w14:textId="77777777">
            <w:pPr>
              <w:pStyle w:val="EQRTableText"/>
            </w:pPr>
            <w:r w:rsidRPr="00990D3B">
              <w:t> </w:t>
            </w:r>
          </w:p>
        </w:tc>
        <w:tc>
          <w:tcPr>
            <w:tcW w:w="1417" w:type="dxa"/>
            <w:vAlign w:val="center"/>
          </w:tcPr>
          <w:p w:rsidR="004F6C0E" w:rsidRPr="00990D3B" w:rsidP="00E07992" w14:paraId="4B517F1A" w14:textId="77777777">
            <w:pPr>
              <w:pStyle w:val="EQRTableText"/>
            </w:pPr>
            <w:r w:rsidRPr="00990D3B">
              <w:t> </w:t>
            </w:r>
          </w:p>
        </w:tc>
        <w:tc>
          <w:tcPr>
            <w:tcW w:w="852" w:type="dxa"/>
            <w:vAlign w:val="center"/>
          </w:tcPr>
          <w:p w:rsidR="004F6C0E" w:rsidRPr="00990D3B" w:rsidP="00E07992" w14:paraId="1085D301" w14:textId="77777777">
            <w:pPr>
              <w:pStyle w:val="EQRTableText"/>
            </w:pPr>
            <w:r w:rsidRPr="00990D3B">
              <w:t> </w:t>
            </w:r>
          </w:p>
        </w:tc>
        <w:tc>
          <w:tcPr>
            <w:tcW w:w="1146" w:type="dxa"/>
            <w:vAlign w:val="center"/>
          </w:tcPr>
          <w:p w:rsidR="004F6C0E" w:rsidRPr="00990D3B" w:rsidP="00E07992" w14:paraId="78FC7692" w14:textId="77777777">
            <w:pPr>
              <w:pStyle w:val="EQRTableText"/>
            </w:pPr>
            <w:r w:rsidRPr="00990D3B">
              <w:t> </w:t>
            </w:r>
          </w:p>
        </w:tc>
      </w:tr>
    </w:tbl>
    <w:p w:rsidR="004F6C0E" w:rsidRPr="00990D3B" w:rsidP="00062FBE" w14:paraId="0EEEC5BD" w14:textId="2F753E9E">
      <w:pPr>
        <w:pStyle w:val="H2EQRWorksheetlist2"/>
      </w:pPr>
      <w:r w:rsidRPr="00990D3B">
        <w:t xml:space="preserve">Does your MCP use a performance measure repository? </w:t>
      </w:r>
    </w:p>
    <w:p w:rsidR="004F6C0E" w:rsidRPr="00990D3B" w:rsidP="00062FBE" w14:paraId="7924ABE3" w14:textId="77777777">
      <w:pPr>
        <w:pStyle w:val="EQRNormalSSWSquestion2"/>
        <w:ind w:left="1152"/>
      </w:pPr>
      <w:r w:rsidRPr="00990D3B">
        <w:t>□ Yes</w:t>
      </w:r>
    </w:p>
    <w:p w:rsidR="004F6C0E" w:rsidRPr="00990D3B" w:rsidP="00062FBE" w14:paraId="0EE32791" w14:textId="3CA88788">
      <w:pPr>
        <w:pStyle w:val="EQRNormalSSWSquestion2"/>
        <w:ind w:left="1152"/>
      </w:pPr>
      <w:r w:rsidRPr="00990D3B">
        <w:t xml:space="preserve">□ No (GO TO QUESTION </w:t>
      </w:r>
      <w:r w:rsidRPr="00990D3B" w:rsidR="004D021A">
        <w:t>5.9</w:t>
      </w:r>
      <w:r w:rsidRPr="00990D3B">
        <w:t>)</w:t>
      </w:r>
    </w:p>
    <w:p w:rsidR="004F6C0E" w:rsidRPr="00990D3B" w:rsidP="00062FBE" w14:paraId="3B71A225" w14:textId="56F9146F">
      <w:pPr>
        <w:pStyle w:val="H2EQRWorksheetlist3"/>
      </w:pPr>
      <w:r w:rsidRPr="00990D3B">
        <w:t>If your MCP uses a performance measure repository for Medicaid or CHIP performance measures, review the repository structure. Does it contain all the key information necessary for Medicaid or CHIP performance measure reporting?</w:t>
      </w:r>
    </w:p>
    <w:p w:rsidR="004F6C0E" w:rsidRPr="00990D3B" w:rsidP="00062FBE" w14:paraId="11662F53" w14:textId="0D92C6D2">
      <w:pPr>
        <w:pStyle w:val="H2EQRWorksheetlist2"/>
      </w:pPr>
      <w:r w:rsidRPr="00990D3B">
        <w:t>Please describe your Medicaid or CHIP report production logs and run controls.</w:t>
      </w:r>
    </w:p>
    <w:p w:rsidR="004F6C0E" w:rsidRPr="00990D3B" w:rsidP="00062FBE" w14:paraId="18323A61" w14:textId="3CB88759">
      <w:pPr>
        <w:pStyle w:val="H2EQRWorksheetlist3"/>
      </w:pPr>
      <w:r w:rsidRPr="00990D3B">
        <w:t>Please describe your Medicaid or CHIP performance measure report generation process.</w:t>
      </w:r>
    </w:p>
    <w:p w:rsidR="004F6C0E" w:rsidRPr="00990D3B" w:rsidP="00062FBE" w14:paraId="59F649B1" w14:textId="5771D323">
      <w:pPr>
        <w:pStyle w:val="H2EQRWorksheetlist2"/>
      </w:pPr>
      <w:r w:rsidRPr="00990D3B">
        <w:t xml:space="preserve">How are Medicaid or CHIP report generation programs documented?  </w:t>
      </w:r>
    </w:p>
    <w:p w:rsidR="004F6C0E" w:rsidRPr="00990D3B" w:rsidP="00062FBE" w14:paraId="5875FCD1" w14:textId="637E7737">
      <w:pPr>
        <w:pStyle w:val="H2EQRWorksheetlist2"/>
      </w:pPr>
      <w:r w:rsidRPr="00990D3B">
        <w:t>How does your MCP test the process used to create Medicaid and CHIP performance measure reports?</w:t>
      </w:r>
    </w:p>
    <w:p w:rsidR="004F6C0E" w:rsidRPr="00990D3B" w:rsidP="00062FBE" w14:paraId="4170BEE2" w14:textId="01970BCF">
      <w:pPr>
        <w:pStyle w:val="H2EQRWorksheetlist2"/>
      </w:pPr>
      <w:r w:rsidRPr="00990D3B">
        <w:t xml:space="preserve">Are Medicaid and CHIP </w:t>
      </w:r>
      <w:r w:rsidRPr="00990D3B">
        <w:t>performance measure</w:t>
      </w:r>
      <w:r w:rsidRPr="00990D3B">
        <w:t xml:space="preserve"> reporting programs reviewed by supervisory staff?</w:t>
      </w:r>
    </w:p>
    <w:p w:rsidR="004F6C0E" w:rsidRPr="00990D3B" w:rsidP="00062FBE" w14:paraId="1D57BF97" w14:textId="77777777">
      <w:pPr>
        <w:pStyle w:val="EQRNormalSSWSquestion2"/>
        <w:ind w:left="1152"/>
      </w:pPr>
      <w:r w:rsidRPr="00990D3B">
        <w:t>□ Yes</w:t>
      </w:r>
    </w:p>
    <w:p w:rsidR="004F6C0E" w:rsidRPr="00990D3B" w:rsidP="00062FBE" w14:paraId="4A5DD561" w14:textId="77777777">
      <w:pPr>
        <w:pStyle w:val="EQRNormalSSWSquestion2"/>
        <w:ind w:left="1152"/>
      </w:pPr>
      <w:r w:rsidRPr="00990D3B">
        <w:t>□ No</w:t>
      </w:r>
    </w:p>
    <w:p w:rsidR="004F6C0E" w:rsidRPr="00990D3B" w:rsidP="00062FBE" w14:paraId="0CCFB5B2" w14:textId="0A4486A4">
      <w:pPr>
        <w:pStyle w:val="H2EQRWorksheetlist2"/>
      </w:pPr>
      <w:r w:rsidRPr="00990D3B">
        <w:t xml:space="preserve">The purpose of these questions is to evaluate the Medicaid and CHIP </w:t>
      </w:r>
      <w:r w:rsidRPr="00990D3B">
        <w:t>provider</w:t>
      </w:r>
      <w:r w:rsidRPr="00990D3B">
        <w:t xml:space="preserve"> compensation structure and reporting of certain types of compensation, as this may influence the quality and completeness of data. Please identify the percentage of member months in your plan contributed by Medicaid </w:t>
      </w:r>
      <w:r w:rsidRPr="00990D3B" w:rsidR="00E16CF4">
        <w:t xml:space="preserve">or CHIP </w:t>
      </w:r>
      <w:r w:rsidRPr="00990D3B" w:rsidR="00451B9A">
        <w:t xml:space="preserve">enrollees </w:t>
      </w:r>
      <w:r w:rsidRPr="00990D3B">
        <w:t>whose primary care providers and specialists are compensated through each of the following payment mechanisms:</w:t>
      </w:r>
    </w:p>
    <w:tbl>
      <w:tblPr>
        <w:tblW w:w="5000" w:type="pct"/>
        <w:tblLayout w:type="fixed"/>
        <w:tblCellMar>
          <w:left w:w="120" w:type="dxa"/>
          <w:right w:w="120" w:type="dxa"/>
        </w:tblCellMar>
        <w:tblLook w:val="0000"/>
      </w:tblPr>
      <w:tblGrid>
        <w:gridCol w:w="4181"/>
        <w:gridCol w:w="2758"/>
        <w:gridCol w:w="2403"/>
      </w:tblGrid>
      <w:tr w14:paraId="21B5E82E" w14:textId="77777777" w:rsidTr="00E07992">
        <w:tblPrEx>
          <w:tblW w:w="5000" w:type="pct"/>
          <w:tblLayout w:type="fixed"/>
          <w:tblCellMar>
            <w:left w:w="120" w:type="dxa"/>
            <w:right w:w="120" w:type="dxa"/>
          </w:tblCellMar>
          <w:tblLook w:val="0000"/>
        </w:tblPrEx>
        <w:trPr>
          <w:tblHeader/>
        </w:trPr>
        <w:tc>
          <w:tcPr>
            <w:tcW w:w="4230" w:type="dxa"/>
            <w:tcBorders>
              <w:top w:val="single" w:sz="7" w:space="0" w:color="000000"/>
              <w:left w:val="single" w:sz="7" w:space="0" w:color="000000"/>
              <w:bottom w:val="single" w:sz="7" w:space="0" w:color="000000"/>
              <w:right w:val="single" w:sz="7" w:space="0" w:color="000000"/>
            </w:tcBorders>
          </w:tcPr>
          <w:p w:rsidR="004F6C0E" w:rsidRPr="00990D3B" w:rsidP="00D16228" w14:paraId="177A1DC5" w14:textId="1B36B8E8">
            <w:pPr>
              <w:pStyle w:val="EQRTableHeaderLeft"/>
              <w:rPr>
                <w:color w:val="auto"/>
              </w:rPr>
            </w:pPr>
            <w:r w:rsidRPr="00990D3B">
              <w:rPr>
                <w:color w:val="auto"/>
              </w:rPr>
              <w:t xml:space="preserve">Payment </w:t>
            </w:r>
            <w:r w:rsidRPr="00990D3B" w:rsidR="00AD7350">
              <w:rPr>
                <w:color w:val="auto"/>
              </w:rPr>
              <w:t>m</w:t>
            </w:r>
            <w:r w:rsidRPr="00990D3B">
              <w:rPr>
                <w:color w:val="auto"/>
              </w:rPr>
              <w:t>echanism</w:t>
            </w:r>
          </w:p>
        </w:tc>
        <w:tc>
          <w:tcPr>
            <w:tcW w:w="2790" w:type="dxa"/>
            <w:tcBorders>
              <w:top w:val="single" w:sz="7" w:space="0" w:color="000000"/>
              <w:left w:val="single" w:sz="7" w:space="0" w:color="000000"/>
              <w:bottom w:val="single" w:sz="7" w:space="0" w:color="000000"/>
              <w:right w:val="single" w:sz="7" w:space="0" w:color="000000"/>
            </w:tcBorders>
          </w:tcPr>
          <w:p w:rsidR="004F6C0E" w:rsidRPr="00990D3B" w:rsidP="00D16228" w14:paraId="42D4D992" w14:textId="30CB4223">
            <w:pPr>
              <w:pStyle w:val="EQRTableHeaderCenter"/>
              <w:rPr>
                <w:color w:val="auto"/>
              </w:rPr>
            </w:pPr>
            <w:r w:rsidRPr="00990D3B">
              <w:rPr>
                <w:color w:val="auto"/>
              </w:rPr>
              <w:t xml:space="preserve">Primary </w:t>
            </w:r>
            <w:r w:rsidRPr="00990D3B" w:rsidR="00AD7350">
              <w:rPr>
                <w:color w:val="auto"/>
              </w:rPr>
              <w:t>c</w:t>
            </w:r>
            <w:r w:rsidRPr="00990D3B">
              <w:rPr>
                <w:color w:val="auto"/>
              </w:rPr>
              <w:t xml:space="preserve">are </w:t>
            </w:r>
            <w:r w:rsidRPr="00990D3B" w:rsidR="00AD7350">
              <w:rPr>
                <w:color w:val="auto"/>
              </w:rPr>
              <w:t>p</w:t>
            </w:r>
            <w:r w:rsidRPr="00990D3B">
              <w:rPr>
                <w:color w:val="auto"/>
              </w:rPr>
              <w:t>hysician</w:t>
            </w:r>
          </w:p>
        </w:tc>
        <w:tc>
          <w:tcPr>
            <w:tcW w:w="2430" w:type="dxa"/>
            <w:tcBorders>
              <w:top w:val="single" w:sz="7" w:space="0" w:color="000000"/>
              <w:left w:val="single" w:sz="7" w:space="0" w:color="000000"/>
              <w:bottom w:val="single" w:sz="7" w:space="0" w:color="000000"/>
              <w:right w:val="single" w:sz="7" w:space="0" w:color="000000"/>
            </w:tcBorders>
          </w:tcPr>
          <w:p w:rsidR="004F6C0E" w:rsidRPr="00990D3B" w:rsidP="00D16228" w14:paraId="7AAB890E" w14:textId="6554E154">
            <w:pPr>
              <w:pStyle w:val="EQRTableHeaderCenter"/>
              <w:rPr>
                <w:color w:val="auto"/>
              </w:rPr>
            </w:pPr>
            <w:r w:rsidRPr="00990D3B">
              <w:rPr>
                <w:color w:val="auto"/>
              </w:rPr>
              <w:t xml:space="preserve">Specialist </w:t>
            </w:r>
            <w:r w:rsidRPr="00990D3B" w:rsidR="00AD7350">
              <w:rPr>
                <w:color w:val="auto"/>
              </w:rPr>
              <w:t>p</w:t>
            </w:r>
            <w:r w:rsidRPr="00990D3B">
              <w:rPr>
                <w:color w:val="auto"/>
              </w:rPr>
              <w:t>hysician</w:t>
            </w:r>
          </w:p>
        </w:tc>
      </w:tr>
      <w:tr w14:paraId="1EB9EC06" w14:textId="77777777" w:rsidTr="00E07992">
        <w:tblPrEx>
          <w:tblW w:w="5000" w:type="pct"/>
          <w:tblLayout w:type="fixed"/>
          <w:tblCellMar>
            <w:left w:w="120" w:type="dxa"/>
            <w:right w:w="120" w:type="dxa"/>
          </w:tblCellMar>
          <w:tblLook w:val="0000"/>
        </w:tblPrEx>
        <w:tc>
          <w:tcPr>
            <w:tcW w:w="4230" w:type="dxa"/>
            <w:tcBorders>
              <w:top w:val="single" w:sz="7" w:space="0" w:color="000000"/>
              <w:left w:val="single" w:sz="7" w:space="0" w:color="000000"/>
              <w:bottom w:val="single" w:sz="7" w:space="0" w:color="000000"/>
              <w:right w:val="single" w:sz="7" w:space="0" w:color="000000"/>
            </w:tcBorders>
          </w:tcPr>
          <w:p w:rsidR="004F6C0E" w:rsidRPr="00990D3B" w:rsidP="00E07992" w14:paraId="5A98FD8F" w14:textId="77777777">
            <w:pPr>
              <w:pStyle w:val="EQRTableText"/>
            </w:pPr>
            <w:r w:rsidRPr="00990D3B">
              <w:t>Salaried</w:t>
            </w:r>
          </w:p>
        </w:tc>
        <w:tc>
          <w:tcPr>
            <w:tcW w:w="2790" w:type="dxa"/>
            <w:tcBorders>
              <w:top w:val="single" w:sz="7" w:space="0" w:color="000000"/>
              <w:left w:val="single" w:sz="7" w:space="0" w:color="000000"/>
              <w:bottom w:val="single" w:sz="7" w:space="0" w:color="000000"/>
              <w:right w:val="single" w:sz="7" w:space="0" w:color="000000"/>
            </w:tcBorders>
          </w:tcPr>
          <w:p w:rsidR="004F6C0E" w:rsidRPr="00990D3B" w:rsidP="00E07992" w14:paraId="3A44306A" w14:textId="77777777">
            <w:pPr>
              <w:pStyle w:val="EQRTableText"/>
            </w:pPr>
            <w:r w:rsidRPr="00990D3B">
              <w:t> </w:t>
            </w:r>
          </w:p>
        </w:tc>
        <w:tc>
          <w:tcPr>
            <w:tcW w:w="2430" w:type="dxa"/>
            <w:tcBorders>
              <w:top w:val="single" w:sz="7" w:space="0" w:color="000000"/>
              <w:left w:val="single" w:sz="7" w:space="0" w:color="000000"/>
              <w:bottom w:val="single" w:sz="7" w:space="0" w:color="000000"/>
              <w:right w:val="single" w:sz="7" w:space="0" w:color="000000"/>
            </w:tcBorders>
          </w:tcPr>
          <w:p w:rsidR="004F6C0E" w:rsidRPr="00990D3B" w:rsidP="00E07992" w14:paraId="650227B3" w14:textId="77777777">
            <w:pPr>
              <w:pStyle w:val="EQRTableText"/>
            </w:pPr>
            <w:r w:rsidRPr="00990D3B">
              <w:t> </w:t>
            </w:r>
          </w:p>
        </w:tc>
      </w:tr>
      <w:tr w14:paraId="2DAA2B47" w14:textId="77777777" w:rsidTr="00E07992">
        <w:tblPrEx>
          <w:tblW w:w="5000" w:type="pct"/>
          <w:tblLayout w:type="fixed"/>
          <w:tblCellMar>
            <w:left w:w="120" w:type="dxa"/>
            <w:right w:w="120" w:type="dxa"/>
          </w:tblCellMar>
          <w:tblLook w:val="0000"/>
        </w:tblPrEx>
        <w:tc>
          <w:tcPr>
            <w:tcW w:w="4230" w:type="dxa"/>
            <w:tcBorders>
              <w:top w:val="single" w:sz="7" w:space="0" w:color="000000"/>
              <w:left w:val="single" w:sz="7" w:space="0" w:color="000000"/>
              <w:bottom w:val="single" w:sz="7" w:space="0" w:color="000000"/>
              <w:right w:val="single" w:sz="7" w:space="0" w:color="000000"/>
            </w:tcBorders>
          </w:tcPr>
          <w:p w:rsidR="004F6C0E" w:rsidRPr="00990D3B" w:rsidP="00E07992" w14:paraId="5DA06E88" w14:textId="7C3FAD9C">
            <w:pPr>
              <w:pStyle w:val="EQRTableText"/>
            </w:pPr>
            <w:r w:rsidRPr="00990D3B">
              <w:t>FFS</w:t>
            </w:r>
            <w:r w:rsidRPr="00990D3B">
              <w:t>, no withhold or bonus</w:t>
            </w:r>
          </w:p>
        </w:tc>
        <w:tc>
          <w:tcPr>
            <w:tcW w:w="2790" w:type="dxa"/>
            <w:tcBorders>
              <w:top w:val="single" w:sz="7" w:space="0" w:color="000000"/>
              <w:left w:val="single" w:sz="7" w:space="0" w:color="000000"/>
              <w:bottom w:val="single" w:sz="7" w:space="0" w:color="000000"/>
              <w:right w:val="single" w:sz="7" w:space="0" w:color="000000"/>
            </w:tcBorders>
          </w:tcPr>
          <w:p w:rsidR="004F6C0E" w:rsidRPr="00990D3B" w:rsidP="00E07992" w14:paraId="6EBD34C4" w14:textId="77777777">
            <w:pPr>
              <w:pStyle w:val="EQRTableText"/>
            </w:pPr>
            <w:r w:rsidRPr="00990D3B">
              <w:t> </w:t>
            </w:r>
          </w:p>
        </w:tc>
        <w:tc>
          <w:tcPr>
            <w:tcW w:w="2430" w:type="dxa"/>
            <w:tcBorders>
              <w:top w:val="single" w:sz="7" w:space="0" w:color="000000"/>
              <w:left w:val="single" w:sz="7" w:space="0" w:color="000000"/>
              <w:bottom w:val="single" w:sz="7" w:space="0" w:color="000000"/>
              <w:right w:val="single" w:sz="7" w:space="0" w:color="000000"/>
            </w:tcBorders>
          </w:tcPr>
          <w:p w:rsidR="004F6C0E" w:rsidRPr="00990D3B" w:rsidP="00E07992" w14:paraId="6B9E297A" w14:textId="77777777">
            <w:pPr>
              <w:pStyle w:val="EQRTableText"/>
            </w:pPr>
            <w:r w:rsidRPr="00990D3B">
              <w:t> </w:t>
            </w:r>
          </w:p>
        </w:tc>
      </w:tr>
      <w:tr w14:paraId="1F12621C" w14:textId="77777777" w:rsidTr="00E07992">
        <w:tblPrEx>
          <w:tblW w:w="5000" w:type="pct"/>
          <w:tblLayout w:type="fixed"/>
          <w:tblCellMar>
            <w:left w:w="120" w:type="dxa"/>
            <w:right w:w="120" w:type="dxa"/>
          </w:tblCellMar>
          <w:tblLook w:val="0000"/>
        </w:tblPrEx>
        <w:tc>
          <w:tcPr>
            <w:tcW w:w="4230" w:type="dxa"/>
            <w:tcBorders>
              <w:top w:val="single" w:sz="7" w:space="0" w:color="000000"/>
              <w:left w:val="single" w:sz="7" w:space="0" w:color="000000"/>
              <w:bottom w:val="single" w:sz="7" w:space="0" w:color="000000"/>
              <w:right w:val="single" w:sz="7" w:space="0" w:color="000000"/>
            </w:tcBorders>
          </w:tcPr>
          <w:p w:rsidR="004F6C0E" w:rsidRPr="00990D3B" w:rsidP="00E07992" w14:paraId="744B034E" w14:textId="31F42F29">
            <w:pPr>
              <w:pStyle w:val="EQRTableText"/>
            </w:pPr>
            <w:r w:rsidRPr="00990D3B">
              <w:t>FFS</w:t>
            </w:r>
            <w:r w:rsidRPr="00990D3B">
              <w:t>, with withhold</w:t>
            </w:r>
          </w:p>
          <w:p w:rsidR="004F6C0E" w:rsidRPr="00990D3B" w:rsidP="00E07992" w14:paraId="7CCAB03B" w14:textId="77777777">
            <w:pPr>
              <w:pStyle w:val="EQRTableText"/>
            </w:pPr>
            <w:r w:rsidRPr="00990D3B">
              <w:t xml:space="preserve">Please specify % </w:t>
            </w:r>
            <w:r w:rsidRPr="00990D3B">
              <w:t>withhold:_</w:t>
            </w:r>
            <w:r w:rsidRPr="00990D3B">
              <w:t>__________</w:t>
            </w:r>
          </w:p>
        </w:tc>
        <w:tc>
          <w:tcPr>
            <w:tcW w:w="2790" w:type="dxa"/>
            <w:tcBorders>
              <w:top w:val="single" w:sz="7" w:space="0" w:color="000000"/>
              <w:left w:val="single" w:sz="7" w:space="0" w:color="000000"/>
              <w:bottom w:val="single" w:sz="7" w:space="0" w:color="000000"/>
              <w:right w:val="single" w:sz="7" w:space="0" w:color="000000"/>
            </w:tcBorders>
          </w:tcPr>
          <w:p w:rsidR="004F6C0E" w:rsidRPr="00990D3B" w:rsidP="00E07992" w14:paraId="06D7D307" w14:textId="77777777">
            <w:pPr>
              <w:pStyle w:val="EQRTableText"/>
            </w:pPr>
            <w:r w:rsidRPr="00990D3B">
              <w:t> </w:t>
            </w:r>
          </w:p>
        </w:tc>
        <w:tc>
          <w:tcPr>
            <w:tcW w:w="2430" w:type="dxa"/>
            <w:tcBorders>
              <w:top w:val="single" w:sz="7" w:space="0" w:color="000000"/>
              <w:left w:val="single" w:sz="7" w:space="0" w:color="000000"/>
              <w:bottom w:val="single" w:sz="7" w:space="0" w:color="000000"/>
              <w:right w:val="single" w:sz="7" w:space="0" w:color="000000"/>
            </w:tcBorders>
          </w:tcPr>
          <w:p w:rsidR="004F6C0E" w:rsidRPr="00990D3B" w:rsidP="00E07992" w14:paraId="20C7764E" w14:textId="77777777">
            <w:pPr>
              <w:pStyle w:val="EQRTableText"/>
            </w:pPr>
            <w:r w:rsidRPr="00990D3B">
              <w:t> </w:t>
            </w:r>
          </w:p>
        </w:tc>
      </w:tr>
      <w:tr w14:paraId="7922473D" w14:textId="77777777" w:rsidTr="00E07992">
        <w:tblPrEx>
          <w:tblW w:w="5000" w:type="pct"/>
          <w:tblLayout w:type="fixed"/>
          <w:tblCellMar>
            <w:left w:w="120" w:type="dxa"/>
            <w:right w:w="120" w:type="dxa"/>
          </w:tblCellMar>
          <w:tblLook w:val="0000"/>
        </w:tblPrEx>
        <w:tc>
          <w:tcPr>
            <w:tcW w:w="4230" w:type="dxa"/>
            <w:tcBorders>
              <w:top w:val="single" w:sz="7" w:space="0" w:color="000000"/>
              <w:left w:val="single" w:sz="7" w:space="0" w:color="000000"/>
              <w:bottom w:val="single" w:sz="7" w:space="0" w:color="000000"/>
              <w:right w:val="single" w:sz="7" w:space="0" w:color="000000"/>
            </w:tcBorders>
          </w:tcPr>
          <w:p w:rsidR="004F6C0E" w:rsidRPr="00990D3B" w:rsidP="00E07992" w14:paraId="1F4A827F" w14:textId="7FC20A89">
            <w:pPr>
              <w:pStyle w:val="EQRTableText"/>
            </w:pPr>
            <w:r w:rsidRPr="00990D3B">
              <w:t>FFS</w:t>
            </w:r>
            <w:r w:rsidRPr="00990D3B" w:rsidR="00E16CF4">
              <w:t xml:space="preserve"> </w:t>
            </w:r>
            <w:r w:rsidRPr="00990D3B">
              <w:t>with bonus</w:t>
            </w:r>
          </w:p>
          <w:p w:rsidR="004F6C0E" w:rsidRPr="00990D3B" w:rsidP="00E07992" w14:paraId="087D1011" w14:textId="77777777">
            <w:pPr>
              <w:pStyle w:val="EQRTableText"/>
            </w:pPr>
            <w:r w:rsidRPr="00990D3B">
              <w:t>Bonus range: _____________________</w:t>
            </w:r>
          </w:p>
        </w:tc>
        <w:tc>
          <w:tcPr>
            <w:tcW w:w="2790" w:type="dxa"/>
            <w:tcBorders>
              <w:top w:val="single" w:sz="7" w:space="0" w:color="000000"/>
              <w:left w:val="single" w:sz="7" w:space="0" w:color="000000"/>
              <w:bottom w:val="single" w:sz="7" w:space="0" w:color="000000"/>
              <w:right w:val="single" w:sz="7" w:space="0" w:color="000000"/>
            </w:tcBorders>
          </w:tcPr>
          <w:p w:rsidR="004F6C0E" w:rsidRPr="00990D3B" w:rsidP="00E07992" w14:paraId="40DE0C0E" w14:textId="77777777">
            <w:pPr>
              <w:pStyle w:val="EQRTableText"/>
            </w:pPr>
            <w:r w:rsidRPr="00990D3B">
              <w:t> </w:t>
            </w:r>
          </w:p>
        </w:tc>
        <w:tc>
          <w:tcPr>
            <w:tcW w:w="2430" w:type="dxa"/>
            <w:tcBorders>
              <w:top w:val="single" w:sz="7" w:space="0" w:color="000000"/>
              <w:left w:val="single" w:sz="7" w:space="0" w:color="000000"/>
              <w:bottom w:val="single" w:sz="7" w:space="0" w:color="000000"/>
              <w:right w:val="single" w:sz="7" w:space="0" w:color="000000"/>
            </w:tcBorders>
          </w:tcPr>
          <w:p w:rsidR="004F6C0E" w:rsidRPr="00990D3B" w:rsidP="00E07992" w14:paraId="2181518D" w14:textId="77777777">
            <w:pPr>
              <w:pStyle w:val="EQRTableText"/>
            </w:pPr>
            <w:r w:rsidRPr="00990D3B">
              <w:t> </w:t>
            </w:r>
          </w:p>
        </w:tc>
      </w:tr>
      <w:tr w14:paraId="10193825" w14:textId="77777777" w:rsidTr="00E07992">
        <w:tblPrEx>
          <w:tblW w:w="5000" w:type="pct"/>
          <w:tblLayout w:type="fixed"/>
          <w:tblCellMar>
            <w:left w:w="120" w:type="dxa"/>
            <w:right w:w="120" w:type="dxa"/>
          </w:tblCellMar>
          <w:tblLook w:val="0000"/>
        </w:tblPrEx>
        <w:trPr>
          <w:trHeight w:val="433"/>
        </w:trPr>
        <w:tc>
          <w:tcPr>
            <w:tcW w:w="4230" w:type="dxa"/>
            <w:tcBorders>
              <w:top w:val="single" w:sz="7" w:space="0" w:color="000000"/>
              <w:left w:val="single" w:sz="7" w:space="0" w:color="000000"/>
              <w:bottom w:val="single" w:sz="7" w:space="0" w:color="000000"/>
              <w:right w:val="single" w:sz="7" w:space="0" w:color="000000"/>
            </w:tcBorders>
          </w:tcPr>
          <w:p w:rsidR="004F6C0E" w:rsidRPr="00990D3B" w:rsidP="00E07992" w14:paraId="3313F821" w14:textId="77777777">
            <w:pPr>
              <w:pStyle w:val="EQRTableText"/>
            </w:pPr>
            <w:r w:rsidRPr="00990D3B">
              <w:t>Capitated - no withhold or bonus</w:t>
            </w:r>
          </w:p>
        </w:tc>
        <w:tc>
          <w:tcPr>
            <w:tcW w:w="2790" w:type="dxa"/>
            <w:tcBorders>
              <w:top w:val="single" w:sz="7" w:space="0" w:color="000000"/>
              <w:left w:val="single" w:sz="7" w:space="0" w:color="000000"/>
              <w:bottom w:val="single" w:sz="7" w:space="0" w:color="000000"/>
              <w:right w:val="single" w:sz="7" w:space="0" w:color="000000"/>
            </w:tcBorders>
          </w:tcPr>
          <w:p w:rsidR="004F6C0E" w:rsidRPr="00990D3B" w:rsidP="00E07992" w14:paraId="2022E554" w14:textId="77777777">
            <w:pPr>
              <w:pStyle w:val="EQRTableText"/>
            </w:pPr>
            <w:r w:rsidRPr="00990D3B">
              <w:t> </w:t>
            </w:r>
          </w:p>
        </w:tc>
        <w:tc>
          <w:tcPr>
            <w:tcW w:w="2430" w:type="dxa"/>
            <w:tcBorders>
              <w:top w:val="single" w:sz="7" w:space="0" w:color="000000"/>
              <w:left w:val="single" w:sz="7" w:space="0" w:color="000000"/>
              <w:bottom w:val="single" w:sz="7" w:space="0" w:color="000000"/>
              <w:right w:val="single" w:sz="7" w:space="0" w:color="000000"/>
            </w:tcBorders>
          </w:tcPr>
          <w:p w:rsidR="004F6C0E" w:rsidRPr="00990D3B" w:rsidP="00E07992" w14:paraId="75C48B19" w14:textId="77777777">
            <w:pPr>
              <w:pStyle w:val="EQRTableText"/>
            </w:pPr>
            <w:r w:rsidRPr="00990D3B">
              <w:t> </w:t>
            </w:r>
          </w:p>
        </w:tc>
      </w:tr>
      <w:tr w14:paraId="02F5A3A2" w14:textId="77777777" w:rsidTr="00E07992">
        <w:tblPrEx>
          <w:tblW w:w="5000" w:type="pct"/>
          <w:tblLayout w:type="fixed"/>
          <w:tblCellMar>
            <w:left w:w="120" w:type="dxa"/>
            <w:right w:w="120" w:type="dxa"/>
          </w:tblCellMar>
          <w:tblLook w:val="0000"/>
        </w:tblPrEx>
        <w:tc>
          <w:tcPr>
            <w:tcW w:w="4230" w:type="dxa"/>
            <w:tcBorders>
              <w:top w:val="single" w:sz="7" w:space="0" w:color="000000"/>
              <w:left w:val="single" w:sz="7" w:space="0" w:color="000000"/>
              <w:bottom w:val="single" w:sz="7" w:space="0" w:color="000000"/>
              <w:right w:val="single" w:sz="7" w:space="0" w:color="000000"/>
            </w:tcBorders>
          </w:tcPr>
          <w:p w:rsidR="004F6C0E" w:rsidRPr="00990D3B" w:rsidP="00E07992" w14:paraId="328B92DF" w14:textId="24C31E63">
            <w:pPr>
              <w:pStyle w:val="EQRTableText"/>
            </w:pPr>
            <w:r w:rsidRPr="00990D3B">
              <w:t>Capitated</w:t>
            </w:r>
            <w:r w:rsidRPr="00990D3B" w:rsidR="00E16CF4">
              <w:t xml:space="preserve">- </w:t>
            </w:r>
            <w:r w:rsidRPr="00990D3B">
              <w:t xml:space="preserve"> with</w:t>
            </w:r>
            <w:r w:rsidRPr="00990D3B">
              <w:t xml:space="preserve"> withhold</w:t>
            </w:r>
          </w:p>
          <w:p w:rsidR="004F6C0E" w:rsidRPr="00990D3B" w:rsidP="00E07992" w14:paraId="2F8E4E07" w14:textId="77777777">
            <w:pPr>
              <w:pStyle w:val="EQRTableText"/>
            </w:pPr>
            <w:r w:rsidRPr="00990D3B">
              <w:t xml:space="preserve">Please specify % </w:t>
            </w:r>
            <w:r w:rsidRPr="00990D3B">
              <w:t>withhold:_</w:t>
            </w:r>
            <w:r w:rsidRPr="00990D3B">
              <w:t>__________</w:t>
            </w:r>
          </w:p>
        </w:tc>
        <w:tc>
          <w:tcPr>
            <w:tcW w:w="2790" w:type="dxa"/>
            <w:tcBorders>
              <w:top w:val="single" w:sz="7" w:space="0" w:color="000000"/>
              <w:left w:val="single" w:sz="7" w:space="0" w:color="000000"/>
              <w:bottom w:val="single" w:sz="7" w:space="0" w:color="000000"/>
              <w:right w:val="single" w:sz="7" w:space="0" w:color="000000"/>
            </w:tcBorders>
          </w:tcPr>
          <w:p w:rsidR="004F6C0E" w:rsidRPr="00990D3B" w:rsidP="00E07992" w14:paraId="0154344B" w14:textId="77777777">
            <w:pPr>
              <w:pStyle w:val="EQRTableText"/>
            </w:pPr>
            <w:r w:rsidRPr="00990D3B">
              <w:t> </w:t>
            </w:r>
          </w:p>
        </w:tc>
        <w:tc>
          <w:tcPr>
            <w:tcW w:w="2430" w:type="dxa"/>
            <w:tcBorders>
              <w:top w:val="single" w:sz="7" w:space="0" w:color="000000"/>
              <w:left w:val="single" w:sz="7" w:space="0" w:color="000000"/>
              <w:bottom w:val="single" w:sz="7" w:space="0" w:color="000000"/>
              <w:right w:val="single" w:sz="7" w:space="0" w:color="000000"/>
            </w:tcBorders>
          </w:tcPr>
          <w:p w:rsidR="004F6C0E" w:rsidRPr="00990D3B" w:rsidP="00E07992" w14:paraId="1666DB3E" w14:textId="77777777">
            <w:pPr>
              <w:pStyle w:val="EQRTableText"/>
            </w:pPr>
            <w:r w:rsidRPr="00990D3B">
              <w:t> </w:t>
            </w:r>
          </w:p>
        </w:tc>
      </w:tr>
      <w:tr w14:paraId="64C1FB42" w14:textId="77777777" w:rsidTr="00E07992">
        <w:tblPrEx>
          <w:tblW w:w="5000" w:type="pct"/>
          <w:tblLayout w:type="fixed"/>
          <w:tblCellMar>
            <w:left w:w="120" w:type="dxa"/>
            <w:right w:w="120" w:type="dxa"/>
          </w:tblCellMar>
          <w:tblLook w:val="0000"/>
        </w:tblPrEx>
        <w:tc>
          <w:tcPr>
            <w:tcW w:w="4230" w:type="dxa"/>
            <w:tcBorders>
              <w:top w:val="single" w:sz="7" w:space="0" w:color="000000"/>
              <w:left w:val="single" w:sz="7" w:space="0" w:color="000000"/>
              <w:bottom w:val="single" w:sz="7" w:space="0" w:color="000000"/>
              <w:right w:val="single" w:sz="7" w:space="0" w:color="000000"/>
            </w:tcBorders>
          </w:tcPr>
          <w:p w:rsidR="004F6C0E" w:rsidRPr="00990D3B" w:rsidP="00E07992" w14:paraId="24932F1E" w14:textId="77777777">
            <w:pPr>
              <w:pStyle w:val="EQRTableText"/>
            </w:pPr>
            <w:r w:rsidRPr="00990D3B">
              <w:t>Capitated with bonus</w:t>
            </w:r>
          </w:p>
          <w:p w:rsidR="004F6C0E" w:rsidRPr="00990D3B" w:rsidP="00E07992" w14:paraId="3D836901" w14:textId="77777777">
            <w:pPr>
              <w:pStyle w:val="EQRTableText"/>
            </w:pPr>
            <w:r w:rsidRPr="00990D3B">
              <w:t>Bonus range: _____________________</w:t>
            </w:r>
          </w:p>
        </w:tc>
        <w:tc>
          <w:tcPr>
            <w:tcW w:w="2790" w:type="dxa"/>
            <w:tcBorders>
              <w:top w:val="single" w:sz="7" w:space="0" w:color="000000"/>
              <w:left w:val="single" w:sz="7" w:space="0" w:color="000000"/>
              <w:bottom w:val="single" w:sz="7" w:space="0" w:color="000000"/>
              <w:right w:val="single" w:sz="7" w:space="0" w:color="000000"/>
            </w:tcBorders>
          </w:tcPr>
          <w:p w:rsidR="004F6C0E" w:rsidRPr="00990D3B" w:rsidP="00E07992" w14:paraId="75602F0D" w14:textId="77777777">
            <w:pPr>
              <w:pStyle w:val="EQRTableText"/>
            </w:pPr>
            <w:r w:rsidRPr="00990D3B">
              <w:t> </w:t>
            </w:r>
          </w:p>
        </w:tc>
        <w:tc>
          <w:tcPr>
            <w:tcW w:w="2430" w:type="dxa"/>
            <w:tcBorders>
              <w:top w:val="single" w:sz="7" w:space="0" w:color="000000"/>
              <w:left w:val="single" w:sz="7" w:space="0" w:color="000000"/>
              <w:bottom w:val="single" w:sz="7" w:space="0" w:color="000000"/>
              <w:right w:val="single" w:sz="7" w:space="0" w:color="000000"/>
            </w:tcBorders>
          </w:tcPr>
          <w:p w:rsidR="004F6C0E" w:rsidRPr="00990D3B" w:rsidP="00E07992" w14:paraId="05FA0C99" w14:textId="77777777">
            <w:pPr>
              <w:pStyle w:val="EQRTableText"/>
            </w:pPr>
            <w:r w:rsidRPr="00990D3B">
              <w:t> </w:t>
            </w:r>
          </w:p>
        </w:tc>
      </w:tr>
      <w:tr w14:paraId="61D0CBA0" w14:textId="77777777" w:rsidTr="00E07992">
        <w:tblPrEx>
          <w:tblW w:w="5000" w:type="pct"/>
          <w:tblLayout w:type="fixed"/>
          <w:tblCellMar>
            <w:left w:w="120" w:type="dxa"/>
            <w:right w:w="120" w:type="dxa"/>
          </w:tblCellMar>
          <w:tblLook w:val="0000"/>
        </w:tblPrEx>
        <w:trPr>
          <w:trHeight w:val="370"/>
        </w:trPr>
        <w:tc>
          <w:tcPr>
            <w:tcW w:w="4230" w:type="dxa"/>
            <w:tcBorders>
              <w:top w:val="single" w:sz="7" w:space="0" w:color="000000"/>
              <w:left w:val="single" w:sz="7" w:space="0" w:color="000000"/>
              <w:bottom w:val="single" w:sz="7" w:space="0" w:color="000000"/>
              <w:right w:val="single" w:sz="7" w:space="0" w:color="000000"/>
            </w:tcBorders>
          </w:tcPr>
          <w:p w:rsidR="004F6C0E" w:rsidRPr="00990D3B" w:rsidP="00E07992" w14:paraId="00D0FD3B" w14:textId="77777777">
            <w:pPr>
              <w:pStyle w:val="EQRTableText"/>
            </w:pPr>
            <w:r w:rsidRPr="00990D3B">
              <w:t>Global/bundled payments</w:t>
            </w:r>
          </w:p>
        </w:tc>
        <w:tc>
          <w:tcPr>
            <w:tcW w:w="2790" w:type="dxa"/>
            <w:tcBorders>
              <w:top w:val="single" w:sz="7" w:space="0" w:color="000000"/>
              <w:left w:val="single" w:sz="7" w:space="0" w:color="000000"/>
              <w:bottom w:val="single" w:sz="7" w:space="0" w:color="000000"/>
              <w:right w:val="single" w:sz="7" w:space="0" w:color="000000"/>
            </w:tcBorders>
          </w:tcPr>
          <w:p w:rsidR="004F6C0E" w:rsidRPr="00990D3B" w:rsidP="00E07992" w14:paraId="6C8F6346" w14:textId="77777777">
            <w:pPr>
              <w:pStyle w:val="EQRTableText"/>
            </w:pPr>
            <w:r w:rsidRPr="00990D3B">
              <w:t> </w:t>
            </w:r>
          </w:p>
        </w:tc>
        <w:tc>
          <w:tcPr>
            <w:tcW w:w="2430" w:type="dxa"/>
            <w:tcBorders>
              <w:top w:val="single" w:sz="7" w:space="0" w:color="000000"/>
              <w:left w:val="single" w:sz="7" w:space="0" w:color="000000"/>
              <w:bottom w:val="single" w:sz="7" w:space="0" w:color="000000"/>
              <w:right w:val="single" w:sz="7" w:space="0" w:color="000000"/>
            </w:tcBorders>
          </w:tcPr>
          <w:p w:rsidR="004F6C0E" w:rsidRPr="00990D3B" w:rsidP="00E07992" w14:paraId="53E06007" w14:textId="77777777">
            <w:pPr>
              <w:pStyle w:val="EQRTableText"/>
            </w:pPr>
            <w:r w:rsidRPr="00990D3B">
              <w:t> </w:t>
            </w:r>
          </w:p>
        </w:tc>
      </w:tr>
      <w:tr w14:paraId="78D29688" w14:textId="77777777" w:rsidTr="00E07992">
        <w:tblPrEx>
          <w:tblW w:w="5000" w:type="pct"/>
          <w:tblLayout w:type="fixed"/>
          <w:tblCellMar>
            <w:left w:w="120" w:type="dxa"/>
            <w:right w:w="120" w:type="dxa"/>
          </w:tblCellMar>
          <w:tblLook w:val="0000"/>
        </w:tblPrEx>
        <w:trPr>
          <w:trHeight w:val="415"/>
        </w:trPr>
        <w:tc>
          <w:tcPr>
            <w:tcW w:w="4230" w:type="dxa"/>
            <w:tcBorders>
              <w:top w:val="single" w:sz="7" w:space="0" w:color="000000"/>
              <w:left w:val="single" w:sz="7" w:space="0" w:color="000000"/>
              <w:bottom w:val="single" w:sz="7" w:space="0" w:color="000000"/>
              <w:right w:val="single" w:sz="7" w:space="0" w:color="000000"/>
            </w:tcBorders>
          </w:tcPr>
          <w:p w:rsidR="004F6C0E" w:rsidRPr="00990D3B" w:rsidP="00E07992" w14:paraId="2220A639" w14:textId="77777777">
            <w:pPr>
              <w:pStyle w:val="EQRTableText"/>
            </w:pPr>
            <w:r w:rsidRPr="00990D3B">
              <w:t>Other: (Specify)___________________</w:t>
            </w:r>
          </w:p>
        </w:tc>
        <w:tc>
          <w:tcPr>
            <w:tcW w:w="2790" w:type="dxa"/>
            <w:tcBorders>
              <w:top w:val="single" w:sz="7" w:space="0" w:color="000000"/>
              <w:left w:val="single" w:sz="7" w:space="0" w:color="000000"/>
              <w:bottom w:val="single" w:sz="7" w:space="0" w:color="000000"/>
              <w:right w:val="single" w:sz="7" w:space="0" w:color="000000"/>
            </w:tcBorders>
          </w:tcPr>
          <w:p w:rsidR="004F6C0E" w:rsidRPr="00990D3B" w:rsidP="00E07992" w14:paraId="59959E2A" w14:textId="77777777">
            <w:pPr>
              <w:pStyle w:val="EQRTableText"/>
            </w:pPr>
            <w:r w:rsidRPr="00990D3B">
              <w:t> </w:t>
            </w:r>
          </w:p>
        </w:tc>
        <w:tc>
          <w:tcPr>
            <w:tcW w:w="2430" w:type="dxa"/>
            <w:tcBorders>
              <w:top w:val="single" w:sz="7" w:space="0" w:color="000000"/>
              <w:left w:val="single" w:sz="7" w:space="0" w:color="000000"/>
              <w:bottom w:val="single" w:sz="7" w:space="0" w:color="000000"/>
              <w:right w:val="single" w:sz="7" w:space="0" w:color="000000"/>
            </w:tcBorders>
          </w:tcPr>
          <w:p w:rsidR="004F6C0E" w:rsidRPr="00990D3B" w:rsidP="00E07992" w14:paraId="5BE199B5" w14:textId="77777777">
            <w:pPr>
              <w:pStyle w:val="EQRTableText"/>
            </w:pPr>
            <w:r w:rsidRPr="00990D3B">
              <w:t> </w:t>
            </w:r>
          </w:p>
        </w:tc>
      </w:tr>
      <w:tr w14:paraId="19330DE8" w14:textId="77777777" w:rsidTr="00E07992">
        <w:tblPrEx>
          <w:tblW w:w="5000" w:type="pct"/>
          <w:tblLayout w:type="fixed"/>
          <w:tblCellMar>
            <w:left w:w="120" w:type="dxa"/>
            <w:right w:w="120" w:type="dxa"/>
          </w:tblCellMar>
          <w:tblLook w:val="0000"/>
        </w:tblPrEx>
        <w:tc>
          <w:tcPr>
            <w:tcW w:w="4230" w:type="dxa"/>
            <w:tcBorders>
              <w:top w:val="single" w:sz="7" w:space="0" w:color="000000"/>
              <w:left w:val="single" w:sz="7" w:space="0" w:color="000000"/>
              <w:bottom w:val="single" w:sz="7" w:space="0" w:color="000000"/>
              <w:right w:val="single" w:sz="7" w:space="0" w:color="000000"/>
            </w:tcBorders>
          </w:tcPr>
          <w:p w:rsidR="004F6C0E" w:rsidRPr="00990D3B" w:rsidP="00E07992" w14:paraId="41E5E12F" w14:textId="77777777">
            <w:pPr>
              <w:pStyle w:val="EQRTableText"/>
            </w:pPr>
            <w:r w:rsidRPr="00990D3B">
              <w:t>TOTAL</w:t>
            </w:r>
          </w:p>
        </w:tc>
        <w:tc>
          <w:tcPr>
            <w:tcW w:w="2790" w:type="dxa"/>
            <w:tcBorders>
              <w:top w:val="single" w:sz="7" w:space="0" w:color="000000"/>
              <w:left w:val="single" w:sz="7" w:space="0" w:color="000000"/>
              <w:bottom w:val="single" w:sz="7" w:space="0" w:color="000000"/>
              <w:right w:val="single" w:sz="7" w:space="0" w:color="000000"/>
            </w:tcBorders>
          </w:tcPr>
          <w:p w:rsidR="004F6C0E" w:rsidRPr="00990D3B" w:rsidP="00E07992" w14:paraId="2AFC92A1" w14:textId="77777777">
            <w:pPr>
              <w:pStyle w:val="EQRTableText"/>
            </w:pPr>
            <w:r w:rsidRPr="00990D3B">
              <w:t>100%</w:t>
            </w:r>
          </w:p>
        </w:tc>
        <w:tc>
          <w:tcPr>
            <w:tcW w:w="2430" w:type="dxa"/>
            <w:tcBorders>
              <w:top w:val="single" w:sz="7" w:space="0" w:color="000000"/>
              <w:left w:val="single" w:sz="7" w:space="0" w:color="000000"/>
              <w:bottom w:val="single" w:sz="7" w:space="0" w:color="000000"/>
              <w:right w:val="single" w:sz="7" w:space="0" w:color="000000"/>
            </w:tcBorders>
          </w:tcPr>
          <w:p w:rsidR="004F6C0E" w:rsidRPr="00990D3B" w:rsidP="00E07992" w14:paraId="3691FA10" w14:textId="77777777">
            <w:pPr>
              <w:pStyle w:val="EQRTableText"/>
            </w:pPr>
            <w:r w:rsidRPr="00990D3B">
              <w:t>100%</w:t>
            </w:r>
          </w:p>
        </w:tc>
      </w:tr>
    </w:tbl>
    <w:p w:rsidR="004F6C0E" w:rsidRPr="00990D3B" w:rsidP="00372E00" w14:paraId="56A94BCE" w14:textId="1E17B7E1">
      <w:pPr>
        <w:pStyle w:val="EQRnoteWS"/>
      </w:pPr>
      <w:r w:rsidRPr="00990D3B">
        <w:t>Note (Q</w:t>
      </w:r>
      <w:r w:rsidRPr="00990D3B" w:rsidR="00CA7983">
        <w:t xml:space="preserve"> 5.63</w:t>
      </w:r>
      <w:r w:rsidRPr="00990D3B">
        <w:t xml:space="preserve">): Timeliness and completeness of provider data submissions often </w:t>
      </w:r>
      <w:r w:rsidRPr="00990D3B">
        <w:t>varies</w:t>
      </w:r>
      <w:r w:rsidRPr="00990D3B">
        <w:t xml:space="preserve"> by contracting arrangement. Salaried providers work directly for the MCP and will submit data on a timely basis if data submission is a parameter in their contract with the MCP. Fee-for-service providers have the largest incentive to submit accurate and complete data since their payment depends upon it. Capitated providers will need incentives to submit accurate and complete data. Their compensation should be linked to data submission, which can be done </w:t>
      </w:r>
      <w:r w:rsidRPr="00990D3B">
        <w:t>through the use of</w:t>
      </w:r>
      <w:r w:rsidRPr="00990D3B">
        <w:t xml:space="preserve"> bonuses and withholds. For example, lag times may differ by compensation arrangement as follows: Capitation/Salaried-no lag, </w:t>
      </w:r>
      <w:r w:rsidRPr="00990D3B" w:rsidR="00E16CF4">
        <w:t>f</w:t>
      </w:r>
      <w:r w:rsidRPr="00990D3B">
        <w:t>ee-for-</w:t>
      </w:r>
      <w:r w:rsidRPr="00990D3B" w:rsidR="00E16CF4">
        <w:t>s</w:t>
      </w:r>
      <w:r w:rsidRPr="00990D3B">
        <w:t xml:space="preserve">ervice - </w:t>
      </w:r>
      <w:r w:rsidRPr="00990D3B">
        <w:t>60 day</w:t>
      </w:r>
      <w:r w:rsidRPr="00990D3B">
        <w:t xml:space="preserve"> lag, Hospital - </w:t>
      </w:r>
      <w:r w:rsidRPr="00990D3B">
        <w:t>45 day</w:t>
      </w:r>
      <w:r w:rsidRPr="00990D3B">
        <w:t xml:space="preserve"> lag</w:t>
      </w:r>
      <w:r w:rsidRPr="00990D3B" w:rsidR="0072118B">
        <w:t>.</w:t>
      </w:r>
    </w:p>
    <w:p w:rsidR="004F6C0E" w:rsidRPr="00990D3B" w:rsidP="005C4756" w14:paraId="37CE0576" w14:textId="009E01C4">
      <w:pPr>
        <w:pStyle w:val="H2EQRWorksheetlist2"/>
      </w:pPr>
      <w:r w:rsidRPr="00990D3B">
        <w:t xml:space="preserve">How are bonuses and penalties captured within your system? Is this information part of your standardized reporting?  </w:t>
      </w:r>
    </w:p>
    <w:p w:rsidR="004F6C0E" w:rsidRPr="00990D3B" w:rsidP="005C4756" w14:paraId="75B461B8" w14:textId="20B1828D">
      <w:pPr>
        <w:pStyle w:val="H2EQRWorksheetlist3"/>
      </w:pPr>
      <w:r w:rsidRPr="00990D3B">
        <w:t>Is the underlying data that determines whether and the extent of bonuses and penalties captured in your system? Is this information part of your standard reporting?</w:t>
      </w:r>
    </w:p>
    <w:p w:rsidR="004F6C0E" w:rsidRPr="00990D3B" w:rsidP="005C4756" w14:paraId="2415D897" w14:textId="467BCE39">
      <w:pPr>
        <w:pStyle w:val="H2EQRWorksheetlist3"/>
      </w:pPr>
      <w:r w:rsidRPr="00990D3B">
        <w:t>For bundled/global payments, how does your system capture information about the individual services provided for this bundled/global payment? Is this information part of your standardized reporting?</w:t>
      </w:r>
    </w:p>
    <w:p w:rsidR="004F6C0E" w:rsidRPr="00990D3B" w:rsidP="005C4756" w14:paraId="7522DF5C" w14:textId="67EFB74A">
      <w:pPr>
        <w:pStyle w:val="H2EQRWorksheetlist3"/>
        <w:rPr>
          <w:rStyle w:val="QUESTIONTEXTChar"/>
          <w:rFonts w:eastAsia="Calibri" w:cs="Times New Roman"/>
          <w:b w:val="0"/>
        </w:rPr>
      </w:pPr>
      <w:r w:rsidRPr="00990D3B">
        <w:t xml:space="preserve">Does your system capture clinical data for quality measurement purposes for providers who receive bundled/global payments? Is this information part of your standardized reporting?  </w:t>
      </w:r>
    </w:p>
    <w:p w:rsidR="004F6C0E" w:rsidRPr="00990D3B" w:rsidP="005C4756" w14:paraId="55DFC9B3" w14:textId="267A0F3F">
      <w:pPr>
        <w:pStyle w:val="H2EQRWorksheetlist2"/>
      </w:pPr>
      <w:r w:rsidRPr="00990D3B">
        <w:rPr>
          <w:rStyle w:val="QUESTIONTEXTChar"/>
          <w:rFonts w:eastAsia="Calibri" w:cs="Times New Roman"/>
          <w:b w:val="0"/>
        </w:rPr>
        <w:t xml:space="preserve">Please describe how Medicaid </w:t>
      </w:r>
      <w:r w:rsidRPr="00990D3B">
        <w:t xml:space="preserve">or </w:t>
      </w:r>
      <w:r w:rsidRPr="00990D3B" w:rsidR="00920BB1">
        <w:t xml:space="preserve">CHIP </w:t>
      </w:r>
      <w:r w:rsidRPr="00990D3B">
        <w:rPr>
          <w:rStyle w:val="QUESTIONTEXTChar"/>
          <w:rFonts w:eastAsia="Calibri" w:cs="Times New Roman"/>
          <w:b w:val="0"/>
        </w:rPr>
        <w:t>provider directories are updated, how frequently, and who has “change” authority</w:t>
      </w:r>
      <w:r w:rsidRPr="00990D3B">
        <w:t>.</w:t>
      </w:r>
    </w:p>
    <w:p w:rsidR="004F6C0E" w:rsidRPr="00990D3B" w:rsidP="005C4756" w14:paraId="0549CCD8" w14:textId="5694AAC9">
      <w:pPr>
        <w:pStyle w:val="H2EQRWorksheetlist3"/>
      </w:pPr>
      <w:r w:rsidRPr="00990D3B">
        <w:t>Does your MCP maintain provider profiles on its website?</w:t>
      </w:r>
    </w:p>
    <w:p w:rsidR="004F6C0E" w:rsidRPr="00990D3B" w:rsidP="005C4756" w14:paraId="7B4434C2" w14:textId="77777777">
      <w:pPr>
        <w:pStyle w:val="EQRNormalSSWSquestion3YN"/>
        <w:ind w:left="1440"/>
      </w:pPr>
      <w:r w:rsidRPr="00990D3B">
        <w:t>□ Yes</w:t>
      </w:r>
    </w:p>
    <w:p w:rsidR="004F6C0E" w:rsidRPr="00990D3B" w:rsidP="005C4756" w14:paraId="02A902D2" w14:textId="2F319B7D">
      <w:pPr>
        <w:pStyle w:val="EQRNormalSSWSquestion3YN"/>
        <w:ind w:left="1440"/>
      </w:pPr>
      <w:r w:rsidRPr="00990D3B">
        <w:t xml:space="preserve">□ No (GO TO QUESTION </w:t>
      </w:r>
      <w:r w:rsidRPr="00990D3B" w:rsidR="004D021A">
        <w:t>5.66</w:t>
      </w:r>
      <w:r w:rsidRPr="00990D3B">
        <w:t>)</w:t>
      </w:r>
    </w:p>
    <w:p w:rsidR="004F6C0E" w:rsidRPr="00990D3B" w:rsidP="005C4756" w14:paraId="28DDEE02" w14:textId="5CB5D20B">
      <w:pPr>
        <w:pStyle w:val="H2EQRWorksheetlist3"/>
      </w:pPr>
      <w:r w:rsidRPr="00990D3B">
        <w:t>If yes to “16a,” what provider information is maintained in on the website (e.g., languages spoken, special accessibility for individuals with special health care needs). Other? Please describe:</w:t>
      </w:r>
    </w:p>
    <w:p w:rsidR="004F6C0E" w:rsidRPr="00990D3B" w:rsidP="005C4756" w14:paraId="650093A6" w14:textId="4F63D7C3">
      <w:pPr>
        <w:pStyle w:val="H2EQRWorksheetlist2"/>
      </w:pPr>
      <w:r w:rsidRPr="00990D3B">
        <w:t>Does your MCP maintain provider profiles on its information system?</w:t>
      </w:r>
    </w:p>
    <w:p w:rsidR="004F6C0E" w:rsidRPr="00990D3B" w:rsidP="005C4756" w14:paraId="622D3EBD" w14:textId="77777777">
      <w:pPr>
        <w:pStyle w:val="EQRNormalSSWSquestion2"/>
        <w:keepNext/>
        <w:keepLines/>
        <w:ind w:left="1152"/>
      </w:pPr>
      <w:r w:rsidRPr="00990D3B">
        <w:t>□ Yes</w:t>
      </w:r>
    </w:p>
    <w:p w:rsidR="004F6C0E" w:rsidRPr="00990D3B" w:rsidP="005C4756" w14:paraId="7CCCC707" w14:textId="19374B44">
      <w:pPr>
        <w:pStyle w:val="EQRNormalSSWSquestion2"/>
        <w:keepLines/>
        <w:ind w:left="1152"/>
      </w:pPr>
      <w:r w:rsidRPr="00990D3B">
        <w:t xml:space="preserve">□ No (GO TO QUESTION </w:t>
      </w:r>
      <w:r w:rsidRPr="00990D3B" w:rsidR="00CA7983">
        <w:t>5.67</w:t>
      </w:r>
      <w:r w:rsidRPr="00990D3B">
        <w:t>)</w:t>
      </w:r>
    </w:p>
    <w:p w:rsidR="004F6C0E" w:rsidRPr="00990D3B" w:rsidP="00372E00" w14:paraId="56FC46BC" w14:textId="760435E2">
      <w:pPr>
        <w:pStyle w:val="EQRnoteWS"/>
      </w:pPr>
      <w:r w:rsidRPr="00990D3B">
        <w:t>Note (Q</w:t>
      </w:r>
      <w:r w:rsidRPr="00990D3B" w:rsidR="00CA7983">
        <w:t xml:space="preserve"> 5.66</w:t>
      </w:r>
      <w:r w:rsidRPr="00990D3B">
        <w:t xml:space="preserve">): Provider directories should be updated to reflect changes in provider status to prevent </w:t>
      </w:r>
      <w:r w:rsidRPr="00990D3B" w:rsidR="006266C5">
        <w:t>enrollees</w:t>
      </w:r>
      <w:r w:rsidRPr="00990D3B">
        <w:t xml:space="preserve"> from selecting providers no longer under contract with the </w:t>
      </w:r>
      <w:r w:rsidRPr="00990D3B" w:rsidR="00920BB1">
        <w:t>MCP</w:t>
      </w:r>
      <w:r w:rsidRPr="00990D3B">
        <w:t xml:space="preserve">. The </w:t>
      </w:r>
      <w:r w:rsidRPr="00990D3B" w:rsidR="00920BB1">
        <w:t xml:space="preserve">MCP </w:t>
      </w:r>
      <w:r w:rsidRPr="00990D3B">
        <w:t>should have adequate security procedures in place to restrict the number of individuals who can access confidential provider information and institute changes in status.</w:t>
      </w:r>
    </w:p>
    <w:p w:rsidR="004F6C0E" w:rsidRPr="00990D3B" w:rsidP="005C4756" w14:paraId="2732896B" w14:textId="3A41E6B2">
      <w:pPr>
        <w:pStyle w:val="H2EQRWorksheetlist3"/>
      </w:pPr>
      <w:r w:rsidRPr="00990D3B">
        <w:t>If yes to “</w:t>
      </w:r>
      <w:r w:rsidRPr="00990D3B" w:rsidR="00CA7983">
        <w:t>5.66</w:t>
      </w:r>
      <w:r w:rsidRPr="00990D3B">
        <w:t>,” what provider information is maintained in the provider profile database (e.g., languages spoken, special accessibility for individuals with special health care needs). Other? Please describe.</w:t>
      </w:r>
    </w:p>
    <w:p w:rsidR="004F6C0E" w:rsidRPr="00990D3B" w:rsidP="005C4756" w14:paraId="58CE8FA8" w14:textId="688D8395">
      <w:pPr>
        <w:pStyle w:val="H2EQRWorksheetlist2"/>
      </w:pPr>
      <w:r w:rsidRPr="00990D3B">
        <w:t>How are Medicaid or CHIP fee schedules and provider compensation rules maintained? Who has updating authority?</w:t>
      </w:r>
    </w:p>
    <w:p w:rsidR="004F6C0E" w:rsidRPr="00990D3B" w:rsidP="00372E00" w14:paraId="076A0C4E" w14:textId="7C0AEE03">
      <w:pPr>
        <w:pStyle w:val="EQRnoteWS"/>
      </w:pPr>
      <w:r w:rsidRPr="00990D3B">
        <w:t>Note (Q</w:t>
      </w:r>
      <w:r w:rsidRPr="00990D3B" w:rsidR="00CA7983">
        <w:t xml:space="preserve"> 5.67</w:t>
      </w:r>
      <w:r w:rsidRPr="00990D3B">
        <w:t>): Since providers consider fee schedule and compensation information to be confidential, access to this information should be restricted by the MCP. The MCP should have standardized process for updating and maintaining this information.</w:t>
      </w:r>
    </w:p>
    <w:p w:rsidR="004F6C0E" w:rsidRPr="00990D3B" w:rsidP="005C4756" w14:paraId="0A66D1DF" w14:textId="0CDA7ABF">
      <w:pPr>
        <w:pStyle w:val="H2EQRWorksheetlist2"/>
      </w:pPr>
      <w:r w:rsidRPr="00990D3B">
        <w:t>Are Medicaid or CHIP fee schedules and contractual payment terms automated? Is payment against the schedules automated for all types of participating providers?</w:t>
      </w:r>
    </w:p>
    <w:p w:rsidR="004F6C0E" w:rsidRPr="00990D3B" w:rsidP="00372E00" w14:paraId="258E2112" w14:textId="4EA92A79">
      <w:pPr>
        <w:pStyle w:val="EQRnoteWS"/>
      </w:pPr>
      <w:r w:rsidRPr="00990D3B">
        <w:t>Note (Q</w:t>
      </w:r>
      <w:r w:rsidRPr="00990D3B" w:rsidR="00CA7983">
        <w:t xml:space="preserve"> 5.68</w:t>
      </w:r>
      <w:r w:rsidRPr="00990D3B">
        <w:t>): Manual payment processes are more prone to error and reduce processing speed.</w:t>
      </w:r>
    </w:p>
    <w:p w:rsidR="004F6C0E" w:rsidRPr="00990D3B" w:rsidP="009B3409" w14:paraId="4350FB88" w14:textId="732BCC73">
      <w:pPr>
        <w:pStyle w:val="ParagraphContinued"/>
        <w:jc w:val="center"/>
        <w:rPr>
          <w:b/>
          <w:szCs w:val="22"/>
        </w:rPr>
      </w:pPr>
      <w:r w:rsidRPr="00990D3B">
        <w:t xml:space="preserve">END OF WORKSHEET </w:t>
      </w:r>
      <w:r w:rsidRPr="00990D3B" w:rsidR="00A15459">
        <w:t>B</w:t>
      </w:r>
      <w:r w:rsidRPr="00990D3B">
        <w:t>.1</w:t>
      </w:r>
      <w:r w:rsidRPr="00990D3B">
        <w:rPr>
          <w:szCs w:val="22"/>
        </w:rPr>
        <w:br w:type="page"/>
      </w:r>
    </w:p>
    <w:p w:rsidR="004F6C0E" w:rsidRPr="00990D3B" w:rsidP="00A54412" w14:paraId="14CE5771" w14:textId="6490855B">
      <w:pPr>
        <w:pStyle w:val="EQRMarkforExhibitWORKSHEET"/>
      </w:pPr>
      <w:bookmarkStart w:id="1185" w:name="WSB2"/>
      <w:bookmarkStart w:id="1186" w:name="_Toc125619192"/>
      <w:bookmarkStart w:id="1187" w:name="_Toc201751577"/>
      <w:bookmarkEnd w:id="1185"/>
      <w:r w:rsidRPr="00990D3B">
        <w:t xml:space="preserve">Worksheet </w:t>
      </w:r>
      <w:r w:rsidRPr="00990D3B" w:rsidR="0074247F">
        <w:t>B</w:t>
      </w:r>
      <w:r w:rsidRPr="00990D3B">
        <w:t>.2</w:t>
      </w:r>
      <w:r w:rsidRPr="00990D3B" w:rsidR="003B4673">
        <w:t>.</w:t>
      </w:r>
      <w:r w:rsidRPr="00990D3B">
        <w:t xml:space="preserve"> Information System Review Worksheet &amp; Interview Guide</w:t>
      </w:r>
      <w:bookmarkEnd w:id="1186"/>
      <w:bookmarkEnd w:id="1187"/>
    </w:p>
    <w:p w:rsidR="004F6C0E" w:rsidRPr="00990D3B" w:rsidP="00176E82" w14:paraId="714DA8C8" w14:textId="772A670E">
      <w:pPr>
        <w:pStyle w:val="EQRNormalSSWORKSHEET"/>
        <w:spacing w:after="120"/>
      </w:pPr>
      <w:r w:rsidRPr="00990D3B">
        <w:rPr>
          <w:b/>
        </w:rPr>
        <w:t xml:space="preserve">Instructions. </w:t>
      </w:r>
      <w:r w:rsidRPr="00990D3B">
        <w:t xml:space="preserve">EQROs can use this </w:t>
      </w:r>
      <w:r w:rsidRPr="00990D3B" w:rsidR="000265B5">
        <w:t>worksheet</w:t>
      </w:r>
      <w:r w:rsidRPr="00990D3B">
        <w:t xml:space="preserve"> to conduct interviews with MCP staff who completed the ISCA tool (</w:t>
      </w:r>
      <w:hyperlink w:anchor="WSB1" w:tooltip="Worksheet B.1" w:history="1">
        <w:r w:rsidRPr="00990D3B">
          <w:rPr>
            <w:rStyle w:val="Hyperlink"/>
          </w:rPr>
          <w:t xml:space="preserve">Worksheet </w:t>
        </w:r>
        <w:r w:rsidRPr="00990D3B" w:rsidR="00A15459">
          <w:rPr>
            <w:rStyle w:val="Hyperlink"/>
          </w:rPr>
          <w:t>B</w:t>
        </w:r>
        <w:r w:rsidRPr="00990D3B">
          <w:rPr>
            <w:rStyle w:val="Hyperlink"/>
          </w:rPr>
          <w:t>.1</w:t>
        </w:r>
      </w:hyperlink>
      <w:r w:rsidRPr="00990D3B">
        <w:t xml:space="preserve">), as well as other MCP staff as needed. </w:t>
      </w:r>
      <w:r w:rsidRPr="00990D3B" w:rsidR="000265B5">
        <w:t>This worksheet</w:t>
      </w:r>
      <w:r w:rsidRPr="00990D3B">
        <w:t xml:space="preserve"> </w:t>
      </w:r>
      <w:r w:rsidRPr="00990D3B">
        <w:t>organized</w:t>
      </w:r>
      <w:r w:rsidRPr="00990D3B">
        <w:t xml:space="preserve"> in an open-ended format by section to correspond to the ICSA tool completed by the MCP.</w:t>
      </w:r>
      <w:r w:rsidRPr="00990D3B" w:rsidR="003162DF">
        <w:rPr>
          <w:rFonts w:ascii="ZWAdobeF" w:hAnsi="ZWAdobeF" w:cs="ZWAdobeF"/>
          <w:sz w:val="2"/>
          <w:szCs w:val="2"/>
        </w:rPr>
        <w:t>91F</w:t>
      </w:r>
      <w:r w:rsidRPr="00990D3B">
        <w:t xml:space="preserve"> Before the site visit with the MCP, EQRO staff should:</w:t>
      </w:r>
    </w:p>
    <w:p w:rsidR="004F6C0E" w:rsidRPr="00990D3B" w:rsidP="00164D48" w14:paraId="4B50E3F0" w14:textId="7F30610B">
      <w:pPr>
        <w:pStyle w:val="EQRNormalSSWSbullet"/>
      </w:pPr>
      <w:r w:rsidRPr="00990D3B">
        <w:t xml:space="preserve">Review the ISCA </w:t>
      </w:r>
      <w:hyperlink w:anchor="WSB1" w:tooltip="Worksheet B.1" w:history="1">
        <w:r w:rsidRPr="00990D3B">
          <w:rPr>
            <w:rStyle w:val="Hyperlink"/>
          </w:rPr>
          <w:t xml:space="preserve">Worksheet </w:t>
        </w:r>
        <w:r w:rsidRPr="00990D3B" w:rsidR="00A15459">
          <w:rPr>
            <w:rStyle w:val="Hyperlink"/>
          </w:rPr>
          <w:t>B</w:t>
        </w:r>
        <w:r w:rsidRPr="00990D3B">
          <w:rPr>
            <w:rStyle w:val="Hyperlink"/>
          </w:rPr>
          <w:t>.1</w:t>
        </w:r>
      </w:hyperlink>
      <w:r w:rsidRPr="00990D3B">
        <w:t xml:space="preserve"> and attached documentation submitted by the MCP, including documentation referenced in the Summary of Requested Documentation Checklist submitted with the ISCA tool.</w:t>
      </w:r>
    </w:p>
    <w:p w:rsidR="004F6C0E" w:rsidRPr="00990D3B" w:rsidP="00164D48" w14:paraId="79453B96" w14:textId="476D0C9C">
      <w:pPr>
        <w:pStyle w:val="EQRNormalSSWSbullet"/>
      </w:pPr>
      <w:r w:rsidRPr="00990D3B">
        <w:t xml:space="preserve">Identify issues to address in follow-up interviews with MCP personnel and record the questions in this worksheet. Revise prompts in </w:t>
      </w:r>
      <w:r w:rsidRPr="00990D3B" w:rsidR="00695A8C">
        <w:t>Sections 1</w:t>
      </w:r>
      <w:r w:rsidRPr="00990D3B">
        <w:t xml:space="preserve"> through 5 as needed.</w:t>
      </w:r>
    </w:p>
    <w:p w:rsidR="004F6C0E" w:rsidRPr="00990D3B" w:rsidP="00164D48" w14:paraId="700BDBAE" w14:textId="4076E876">
      <w:pPr>
        <w:pStyle w:val="EQRNormalSSWSbullet"/>
      </w:pPr>
      <w:r w:rsidRPr="00990D3B">
        <w:t xml:space="preserve">If the MCP’s information system has been formally assessed within the past 2 years, please review the copy of the assessment report included with </w:t>
      </w:r>
      <w:hyperlink w:anchor="WSB1" w:tooltip="Worksheet B.1" w:history="1">
        <w:r w:rsidRPr="00990D3B">
          <w:rPr>
            <w:rStyle w:val="Hyperlink"/>
          </w:rPr>
          <w:t xml:space="preserve">Worksheet </w:t>
        </w:r>
        <w:r w:rsidRPr="00990D3B" w:rsidR="00A15459">
          <w:rPr>
            <w:rStyle w:val="Hyperlink"/>
          </w:rPr>
          <w:t>B</w:t>
        </w:r>
        <w:r w:rsidRPr="00990D3B" w:rsidR="00695A8C">
          <w:rPr>
            <w:rStyle w:val="Hyperlink"/>
          </w:rPr>
          <w:t>.1</w:t>
        </w:r>
      </w:hyperlink>
      <w:r w:rsidRPr="00990D3B" w:rsidR="00695A8C">
        <w:t>.</w:t>
      </w:r>
      <w:r w:rsidRPr="00990D3B">
        <w:t xml:space="preserve"> Follow-up on only those sections of the assessment report that are not covered or that may have changed since the formal assessment was conducted.</w:t>
      </w:r>
    </w:p>
    <w:p w:rsidR="004F6C0E" w:rsidRPr="00990D3B" w:rsidP="00176E82" w14:paraId="11F79B86" w14:textId="77777777">
      <w:pPr>
        <w:pStyle w:val="EQRNormalSSWORKSHEET"/>
        <w:spacing w:after="120"/>
      </w:pPr>
      <w:r w:rsidRPr="00990D3B">
        <w:t>During the site visit, EQRO staff should:</w:t>
      </w:r>
    </w:p>
    <w:p w:rsidR="004F6C0E" w:rsidRPr="00990D3B" w:rsidP="00164D48" w14:paraId="63161A27" w14:textId="262E96C6">
      <w:pPr>
        <w:pStyle w:val="EQRNormalSSWSbullet"/>
      </w:pPr>
      <w:r w:rsidRPr="00990D3B">
        <w:t xml:space="preserve">Use the space in this </w:t>
      </w:r>
      <w:r w:rsidRPr="00990D3B" w:rsidR="00566F95">
        <w:t>w</w:t>
      </w:r>
      <w:r w:rsidRPr="00990D3B">
        <w:t xml:space="preserve">orksheet to record responses or document specific issues. It is not necessary to cover every question in the ISCA </w:t>
      </w:r>
      <w:hyperlink w:anchor="WSB1" w:tooltip="Worksheet B.1" w:history="1">
        <w:r w:rsidRPr="00990D3B">
          <w:rPr>
            <w:rStyle w:val="Hyperlink"/>
          </w:rPr>
          <w:t xml:space="preserve">Worksheet </w:t>
        </w:r>
        <w:r w:rsidRPr="00990D3B" w:rsidR="00A15459">
          <w:rPr>
            <w:rStyle w:val="Hyperlink"/>
          </w:rPr>
          <w:t>B</w:t>
        </w:r>
        <w:r w:rsidRPr="00990D3B">
          <w:rPr>
            <w:rStyle w:val="Hyperlink"/>
          </w:rPr>
          <w:t>.1</w:t>
        </w:r>
      </w:hyperlink>
      <w:r w:rsidRPr="00990D3B">
        <w:t xml:space="preserve"> submitted by the MCP if responses are clear.</w:t>
      </w:r>
    </w:p>
    <w:p w:rsidR="004F6C0E" w:rsidRPr="00990D3B" w:rsidP="00164D48" w14:paraId="61F62607" w14:textId="41F0A481">
      <w:pPr>
        <w:pStyle w:val="EQRNormalSSWSbullet"/>
      </w:pPr>
      <w:r w:rsidRPr="00990D3B">
        <w:t xml:space="preserve">Revise this </w:t>
      </w:r>
      <w:r w:rsidRPr="00990D3B" w:rsidR="00566F95">
        <w:t>w</w:t>
      </w:r>
      <w:r w:rsidRPr="00990D3B">
        <w:t>orksheet, as needed, to provide additional space under each question to record issues and findings.</w:t>
      </w:r>
    </w:p>
    <w:p w:rsidR="004F6C0E" w:rsidRPr="00990D3B" w:rsidP="00176E82" w14:paraId="3B1DCEE8" w14:textId="77777777">
      <w:pPr>
        <w:pStyle w:val="EQRNormalSSWORKSHEET"/>
        <w:spacing w:after="120"/>
      </w:pPr>
      <w:r w:rsidRPr="00990D3B">
        <w:t>After the site visit, EQRO staff should:</w:t>
      </w:r>
    </w:p>
    <w:p w:rsidR="004F6C0E" w:rsidRPr="00990D3B" w:rsidP="00164D48" w14:paraId="0197777F" w14:textId="52364A2A">
      <w:pPr>
        <w:pStyle w:val="EQRNormalSSWSbullet"/>
      </w:pPr>
      <w:r w:rsidRPr="00990D3B">
        <w:t xml:space="preserve">Analyze findings from the ISCA </w:t>
      </w:r>
      <w:hyperlink w:anchor="WSB1" w:tooltip="Worksheet B.1" w:history="1">
        <w:r w:rsidRPr="00990D3B">
          <w:rPr>
            <w:rStyle w:val="Hyperlink"/>
          </w:rPr>
          <w:t xml:space="preserve">Worksheet </w:t>
        </w:r>
        <w:r w:rsidRPr="00990D3B" w:rsidR="00A15459">
          <w:rPr>
            <w:rStyle w:val="Hyperlink"/>
          </w:rPr>
          <w:t>B</w:t>
        </w:r>
        <w:r w:rsidRPr="00990D3B">
          <w:rPr>
            <w:rStyle w:val="Hyperlink"/>
          </w:rPr>
          <w:t>.1</w:t>
        </w:r>
      </w:hyperlink>
      <w:r w:rsidRPr="00990D3B">
        <w:t xml:space="preserve"> and this </w:t>
      </w:r>
      <w:r w:rsidRPr="00990D3B" w:rsidR="00566F95">
        <w:t>w</w:t>
      </w:r>
      <w:r w:rsidRPr="00990D3B">
        <w:t xml:space="preserve">orksheet and prepare a statement of findings about the MCP’s information system. </w:t>
      </w:r>
    </w:p>
    <w:p w:rsidR="0022047D" w:rsidRPr="00990D3B" w:rsidP="007D4E9D" w14:paraId="2031B2F4" w14:textId="060D4666">
      <w:pPr>
        <w:pStyle w:val="EQRNormalSSWORKSHEET"/>
      </w:pPr>
      <w:r w:rsidRPr="00990D3B">
        <w:t xml:space="preserve">Acronyms: CHIP = Children’s Health Insurance Program; EQRO = External Quality Review Organizations; </w:t>
      </w:r>
      <w:r w:rsidRPr="00990D3B" w:rsidR="008B6D5B">
        <w:t xml:space="preserve">ID = Identifier; </w:t>
      </w:r>
      <w:r w:rsidRPr="00990D3B">
        <w:t>ISCA</w:t>
      </w:r>
      <w:r w:rsidRPr="00990D3B" w:rsidR="002F1F5F">
        <w:t xml:space="preserve"> </w:t>
      </w:r>
      <w:r w:rsidRPr="00990D3B">
        <w:t xml:space="preserve">= Information Systems Capabilities Assessment; </w:t>
      </w:r>
      <w:r w:rsidRPr="00990D3B" w:rsidR="00C867B2">
        <w:t xml:space="preserve">LTSS= Long-Term Services and Supports; MCP = Managed Care Plan; </w:t>
      </w:r>
      <w:r w:rsidRPr="00990D3B">
        <w:t xml:space="preserve">MCO = Managed Care Organization; PAHP= Prepaid Ambulatory Health Plan; </w:t>
      </w:r>
      <w:r w:rsidRPr="00990D3B" w:rsidR="008B6D5B">
        <w:t xml:space="preserve">PCCM = Primary Care Case Management; </w:t>
      </w:r>
      <w:r w:rsidRPr="00990D3B">
        <w:t>PIHP</w:t>
      </w:r>
      <w:r w:rsidRPr="00990D3B" w:rsidR="002F1F5F">
        <w:t xml:space="preserve"> </w:t>
      </w:r>
      <w:r w:rsidRPr="00990D3B">
        <w:t>= Prepaid Inpatient Health Plan</w:t>
      </w:r>
      <w:r w:rsidRPr="00990D3B" w:rsidR="00C867B2">
        <w:t xml:space="preserve">. </w:t>
      </w:r>
    </w:p>
    <w:p w:rsidR="004F6C0E" w:rsidRPr="00990D3B" w:rsidP="002B40CC" w14:paraId="2ACFF51E" w14:textId="77777777">
      <w:pPr>
        <w:pStyle w:val="H2EQRWorksheet"/>
      </w:pPr>
      <w:r w:rsidRPr="00990D3B">
        <w:t xml:space="preserve">Contact Information </w:t>
      </w:r>
    </w:p>
    <w:p w:rsidR="004F6C0E" w:rsidRPr="00990D3B" w:rsidP="00176E82" w14:paraId="06FB394C" w14:textId="1D1FEFA0">
      <w:pPr>
        <w:pStyle w:val="EQRNormalSSWORKSHEET"/>
        <w:spacing w:after="120"/>
      </w:pPr>
      <w:r w:rsidRPr="00990D3B">
        <w:t xml:space="preserve">Please insert or verify the MCP contact information below, including the MCP name, MCP contact name and title, mailing address, telephone and fax numbers, </w:t>
      </w:r>
      <w:r w:rsidRPr="00990D3B" w:rsidR="00566F95">
        <w:t>e</w:t>
      </w:r>
      <w:r w:rsidRPr="00990D3B">
        <w:t xml:space="preserve">-mail address, and date of interview, if applicable.  </w:t>
      </w:r>
    </w:p>
    <w:tbl>
      <w:tblPr>
        <w:tblStyle w:val="TableGrid"/>
        <w:tblW w:w="5099" w:type="pct"/>
        <w:tblLook w:val="04A0"/>
      </w:tblPr>
      <w:tblGrid>
        <w:gridCol w:w="4405"/>
        <w:gridCol w:w="5130"/>
      </w:tblGrid>
      <w:tr w14:paraId="351D7AC0" w14:textId="77777777" w:rsidTr="00176E82">
        <w:tblPrEx>
          <w:tblW w:w="5099" w:type="pct"/>
          <w:tblLook w:val="04A0"/>
        </w:tblPrEx>
        <w:trPr>
          <w:cantSplit/>
        </w:trPr>
        <w:tc>
          <w:tcPr>
            <w:tcW w:w="4405" w:type="dxa"/>
          </w:tcPr>
          <w:p w:rsidR="004F6C0E" w:rsidRPr="00990D3B" w:rsidP="008B2969" w14:paraId="6ED1DCD4" w14:textId="6D38967A">
            <w:pPr>
              <w:pStyle w:val="EQRTableText"/>
            </w:pPr>
            <w:r w:rsidRPr="00990D3B">
              <w:t xml:space="preserve">MCP </w:t>
            </w:r>
            <w:r w:rsidRPr="00990D3B" w:rsidR="00566F95">
              <w:t>n</w:t>
            </w:r>
            <w:r w:rsidRPr="00990D3B">
              <w:t>ame:</w:t>
            </w:r>
          </w:p>
        </w:tc>
        <w:tc>
          <w:tcPr>
            <w:tcW w:w="5130" w:type="dxa"/>
          </w:tcPr>
          <w:p w:rsidR="004F6C0E" w:rsidRPr="00990D3B" w:rsidP="008B2969" w14:paraId="0411ACC4" w14:textId="77777777">
            <w:pPr>
              <w:pStyle w:val="EQRTableText"/>
            </w:pPr>
            <w:r w:rsidRPr="00990D3B">
              <w:t> </w:t>
            </w:r>
          </w:p>
        </w:tc>
      </w:tr>
      <w:tr w14:paraId="4B579F10" w14:textId="77777777" w:rsidTr="00176E82">
        <w:tblPrEx>
          <w:tblW w:w="5099" w:type="pct"/>
          <w:tblLook w:val="04A0"/>
        </w:tblPrEx>
        <w:trPr>
          <w:cantSplit/>
        </w:trPr>
        <w:tc>
          <w:tcPr>
            <w:tcW w:w="4405" w:type="dxa"/>
          </w:tcPr>
          <w:p w:rsidR="004F6C0E" w:rsidRPr="00990D3B" w:rsidP="008B2969" w14:paraId="46FADD49" w14:textId="2EF1BFDB">
            <w:pPr>
              <w:pStyle w:val="EQRTableText"/>
            </w:pPr>
            <w:r w:rsidRPr="00990D3B">
              <w:t xml:space="preserve">Contact </w:t>
            </w:r>
            <w:r w:rsidRPr="00990D3B" w:rsidR="00566F95">
              <w:t>n</w:t>
            </w:r>
            <w:r w:rsidRPr="00990D3B">
              <w:t>ame:</w:t>
            </w:r>
          </w:p>
        </w:tc>
        <w:tc>
          <w:tcPr>
            <w:tcW w:w="5130" w:type="dxa"/>
          </w:tcPr>
          <w:p w:rsidR="004F6C0E" w:rsidRPr="00990D3B" w:rsidP="008B2969" w14:paraId="21080294" w14:textId="77777777">
            <w:pPr>
              <w:pStyle w:val="EQRTableText"/>
            </w:pPr>
            <w:r w:rsidRPr="00990D3B">
              <w:t> </w:t>
            </w:r>
          </w:p>
        </w:tc>
      </w:tr>
      <w:tr w14:paraId="4479AE27" w14:textId="77777777" w:rsidTr="00176E82">
        <w:tblPrEx>
          <w:tblW w:w="5099" w:type="pct"/>
          <w:tblLook w:val="04A0"/>
        </w:tblPrEx>
        <w:trPr>
          <w:cantSplit/>
        </w:trPr>
        <w:tc>
          <w:tcPr>
            <w:tcW w:w="4405" w:type="dxa"/>
          </w:tcPr>
          <w:p w:rsidR="004F6C0E" w:rsidRPr="00990D3B" w:rsidP="008B2969" w14:paraId="7B7E0499" w14:textId="77777777">
            <w:pPr>
              <w:pStyle w:val="EQRTableText"/>
            </w:pPr>
            <w:r w:rsidRPr="00990D3B">
              <w:t>Title:</w:t>
            </w:r>
          </w:p>
        </w:tc>
        <w:tc>
          <w:tcPr>
            <w:tcW w:w="5130" w:type="dxa"/>
          </w:tcPr>
          <w:p w:rsidR="004F6C0E" w:rsidRPr="00990D3B" w:rsidP="008B2969" w14:paraId="2C834EFB" w14:textId="77777777">
            <w:pPr>
              <w:pStyle w:val="EQRTableText"/>
            </w:pPr>
            <w:r w:rsidRPr="00990D3B">
              <w:t> </w:t>
            </w:r>
          </w:p>
        </w:tc>
      </w:tr>
      <w:tr w14:paraId="49DBD92D" w14:textId="77777777" w:rsidTr="00176E82">
        <w:tblPrEx>
          <w:tblW w:w="5099" w:type="pct"/>
          <w:tblLook w:val="04A0"/>
        </w:tblPrEx>
        <w:trPr>
          <w:cantSplit/>
        </w:trPr>
        <w:tc>
          <w:tcPr>
            <w:tcW w:w="4405" w:type="dxa"/>
          </w:tcPr>
          <w:p w:rsidR="004F6C0E" w:rsidRPr="00990D3B" w:rsidP="008B2969" w14:paraId="0B1AE623" w14:textId="77777777">
            <w:pPr>
              <w:pStyle w:val="EQRTableText"/>
            </w:pPr>
            <w:r w:rsidRPr="00990D3B">
              <w:t>Mailing address:</w:t>
            </w:r>
          </w:p>
        </w:tc>
        <w:tc>
          <w:tcPr>
            <w:tcW w:w="5130" w:type="dxa"/>
          </w:tcPr>
          <w:p w:rsidR="004F6C0E" w:rsidRPr="00990D3B" w:rsidP="008B2969" w14:paraId="21FB89A2" w14:textId="77777777">
            <w:pPr>
              <w:pStyle w:val="EQRTableText"/>
            </w:pPr>
            <w:r w:rsidRPr="00990D3B">
              <w:t> </w:t>
            </w:r>
          </w:p>
        </w:tc>
      </w:tr>
      <w:tr w14:paraId="0905AE33" w14:textId="77777777" w:rsidTr="00176E82">
        <w:tblPrEx>
          <w:tblW w:w="5099" w:type="pct"/>
          <w:tblLook w:val="04A0"/>
        </w:tblPrEx>
        <w:trPr>
          <w:cantSplit/>
        </w:trPr>
        <w:tc>
          <w:tcPr>
            <w:tcW w:w="4405" w:type="dxa"/>
          </w:tcPr>
          <w:p w:rsidR="004F6C0E" w:rsidRPr="00990D3B" w:rsidP="008B2969" w14:paraId="12277E93" w14:textId="77777777">
            <w:pPr>
              <w:pStyle w:val="EQRTableText"/>
            </w:pPr>
            <w:r w:rsidRPr="00990D3B">
              <w:t>Phone number:</w:t>
            </w:r>
          </w:p>
        </w:tc>
        <w:tc>
          <w:tcPr>
            <w:tcW w:w="5130" w:type="dxa"/>
          </w:tcPr>
          <w:p w:rsidR="004F6C0E" w:rsidRPr="00990D3B" w:rsidP="008B2969" w14:paraId="102F7E1C" w14:textId="77777777">
            <w:pPr>
              <w:pStyle w:val="EQRTableText"/>
            </w:pPr>
            <w:r w:rsidRPr="00990D3B">
              <w:t> </w:t>
            </w:r>
          </w:p>
        </w:tc>
      </w:tr>
      <w:tr w14:paraId="2357ECBD" w14:textId="77777777" w:rsidTr="00176E82">
        <w:tblPrEx>
          <w:tblW w:w="5099" w:type="pct"/>
          <w:tblLook w:val="04A0"/>
        </w:tblPrEx>
        <w:trPr>
          <w:cantSplit/>
        </w:trPr>
        <w:tc>
          <w:tcPr>
            <w:tcW w:w="4405" w:type="dxa"/>
          </w:tcPr>
          <w:p w:rsidR="004F6C0E" w:rsidRPr="00990D3B" w:rsidP="008B2969" w14:paraId="39F88C95" w14:textId="77777777">
            <w:pPr>
              <w:pStyle w:val="EQRTableText"/>
            </w:pPr>
            <w:r w:rsidRPr="00990D3B">
              <w:t>E-mail address:</w:t>
            </w:r>
          </w:p>
        </w:tc>
        <w:tc>
          <w:tcPr>
            <w:tcW w:w="5130" w:type="dxa"/>
          </w:tcPr>
          <w:p w:rsidR="004F6C0E" w:rsidRPr="00990D3B" w:rsidP="008B2969" w14:paraId="0F35F07F" w14:textId="77777777">
            <w:pPr>
              <w:pStyle w:val="EQRTableText"/>
            </w:pPr>
            <w:r w:rsidRPr="00990D3B">
              <w:t> </w:t>
            </w:r>
          </w:p>
        </w:tc>
      </w:tr>
      <w:tr w14:paraId="76D730B4" w14:textId="77777777" w:rsidTr="00176E82">
        <w:tblPrEx>
          <w:tblW w:w="5099" w:type="pct"/>
          <w:tblLook w:val="04A0"/>
        </w:tblPrEx>
        <w:trPr>
          <w:cantSplit/>
        </w:trPr>
        <w:tc>
          <w:tcPr>
            <w:tcW w:w="4405" w:type="dxa"/>
          </w:tcPr>
          <w:p w:rsidR="004F6C0E" w:rsidRPr="00990D3B" w:rsidP="008B2969" w14:paraId="7F21D5C3" w14:textId="0B5A0004">
            <w:pPr>
              <w:pStyle w:val="EQRTableText"/>
            </w:pPr>
            <w:r w:rsidRPr="00990D3B">
              <w:t xml:space="preserve">Interview </w:t>
            </w:r>
            <w:r w:rsidRPr="00990D3B" w:rsidR="00566F95">
              <w:t>d</w:t>
            </w:r>
            <w:r w:rsidRPr="00990D3B">
              <w:t>ate:</w:t>
            </w:r>
          </w:p>
        </w:tc>
        <w:tc>
          <w:tcPr>
            <w:tcW w:w="5130" w:type="dxa"/>
          </w:tcPr>
          <w:p w:rsidR="004F6C0E" w:rsidRPr="00990D3B" w:rsidP="008B2969" w14:paraId="5012A881" w14:textId="77777777">
            <w:pPr>
              <w:pStyle w:val="EQRTableText"/>
            </w:pPr>
            <w:r w:rsidRPr="00990D3B">
              <w:t> </w:t>
            </w:r>
          </w:p>
        </w:tc>
      </w:tr>
      <w:tr w14:paraId="17D3E9EA" w14:textId="77777777" w:rsidTr="00176E82">
        <w:tblPrEx>
          <w:tblW w:w="5099" w:type="pct"/>
          <w:tblLook w:val="04A0"/>
        </w:tblPrEx>
        <w:trPr>
          <w:cantSplit/>
        </w:trPr>
        <w:tc>
          <w:tcPr>
            <w:tcW w:w="4405" w:type="dxa"/>
          </w:tcPr>
          <w:p w:rsidR="004F6C0E" w:rsidRPr="00990D3B" w:rsidP="00512E74" w14:paraId="38747369" w14:textId="5BAF37C4">
            <w:pPr>
              <w:pStyle w:val="EQRTableText"/>
            </w:pPr>
            <w:r w:rsidRPr="00990D3B">
              <w:t>MCP type</w:t>
            </w:r>
            <w:r w:rsidRPr="00990D3B">
              <w:t xml:space="preserve"> (check all that apply)</w:t>
            </w:r>
          </w:p>
        </w:tc>
        <w:tc>
          <w:tcPr>
            <w:tcW w:w="5130" w:type="dxa"/>
          </w:tcPr>
          <w:p w:rsidR="004F6C0E" w:rsidRPr="00990D3B" w:rsidP="00512E74" w14:paraId="667C4D19" w14:textId="77777777">
            <w:pPr>
              <w:pStyle w:val="EQRTableText"/>
            </w:pPr>
            <w:r w:rsidRPr="00990D3B">
              <w:t>□  MCO</w:t>
            </w:r>
            <w:r w:rsidRPr="00990D3B">
              <w:t xml:space="preserve"> </w:t>
            </w:r>
            <w:r w:rsidRPr="00990D3B">
              <w:t>□  PIHP</w:t>
            </w:r>
            <w:r w:rsidRPr="00990D3B">
              <w:t xml:space="preserve"> </w:t>
            </w:r>
            <w:r w:rsidRPr="00990D3B">
              <w:t>□  PAHP</w:t>
            </w:r>
            <w:r w:rsidRPr="00990D3B">
              <w:t xml:space="preserve"> </w:t>
            </w:r>
            <w:r w:rsidRPr="00990D3B">
              <w:t>□  LTSS</w:t>
            </w:r>
          </w:p>
          <w:p w:rsidR="004F6C0E" w:rsidRPr="00990D3B" w:rsidP="00512E74" w14:paraId="49A69CA3" w14:textId="77777777">
            <w:pPr>
              <w:pStyle w:val="EQRTableText"/>
            </w:pPr>
            <w:r w:rsidRPr="00990D3B">
              <w:t>□  Other</w:t>
            </w:r>
            <w:r w:rsidRPr="00990D3B">
              <w:t>: specify ___________________________________</w:t>
            </w:r>
          </w:p>
        </w:tc>
      </w:tr>
      <w:tr w14:paraId="4D5FB223" w14:textId="77777777" w:rsidTr="00176E82">
        <w:tblPrEx>
          <w:tblW w:w="5099" w:type="pct"/>
          <w:tblLook w:val="04A0"/>
        </w:tblPrEx>
        <w:trPr>
          <w:cantSplit/>
        </w:trPr>
        <w:tc>
          <w:tcPr>
            <w:tcW w:w="4405" w:type="dxa"/>
          </w:tcPr>
          <w:p w:rsidR="004F6C0E" w:rsidRPr="00990D3B" w:rsidP="00512E74" w14:paraId="37C18189" w14:textId="77777777">
            <w:pPr>
              <w:pStyle w:val="EQRTableText"/>
            </w:pPr>
            <w:r w:rsidRPr="00990D3B">
              <w:t>Programs (please check)</w:t>
            </w:r>
          </w:p>
        </w:tc>
        <w:tc>
          <w:tcPr>
            <w:tcW w:w="5130" w:type="dxa"/>
          </w:tcPr>
          <w:p w:rsidR="004F6C0E" w:rsidRPr="00990D3B" w:rsidP="00512E74" w14:paraId="15934235" w14:textId="77777777">
            <w:pPr>
              <w:pStyle w:val="EQRTableText"/>
            </w:pPr>
            <w:r w:rsidRPr="00990D3B">
              <w:t>□ Medicaid (Title XIX only) □ CHIP (Title XXI only) □ Medicaid and CHIP</w:t>
            </w:r>
          </w:p>
        </w:tc>
      </w:tr>
    </w:tbl>
    <w:p w:rsidR="004F6C0E" w:rsidRPr="00990D3B" w:rsidP="008B2969" w14:paraId="6B41BC1C" w14:textId="77777777">
      <w:pPr>
        <w:pStyle w:val="EQRBulletBLUECHECKBODY"/>
      </w:pPr>
      <w:r w:rsidRPr="00990D3B">
        <w:br w:type="page"/>
      </w:r>
    </w:p>
    <w:p w:rsidR="004F6C0E" w:rsidRPr="00990D3B" w:rsidP="002B40CC" w14:paraId="53DA5E61" w14:textId="77777777">
      <w:pPr>
        <w:pStyle w:val="H2EQRWorksheet"/>
      </w:pPr>
      <w:r w:rsidRPr="00990D3B">
        <w:t>S</w:t>
      </w:r>
      <w:bookmarkStart w:id="1188" w:name="WSB2Sec1"/>
      <w:bookmarkEnd w:id="1188"/>
      <w:r w:rsidRPr="00990D3B">
        <w:t>ection 1. Background Information</w:t>
      </w:r>
    </w:p>
    <w:tbl>
      <w:tblPr>
        <w:tblStyle w:val="TableGrid"/>
        <w:tblW w:w="5000" w:type="pct"/>
        <w:tblLook w:val="04A0"/>
      </w:tblPr>
      <w:tblGrid>
        <w:gridCol w:w="9350"/>
      </w:tblGrid>
      <w:tr w14:paraId="357648E0" w14:textId="77777777" w:rsidTr="00CF144A">
        <w:tblPrEx>
          <w:tblW w:w="5000" w:type="pct"/>
          <w:tblLook w:val="04A0"/>
        </w:tblPrEx>
        <w:tc>
          <w:tcPr>
            <w:tcW w:w="9350" w:type="dxa"/>
          </w:tcPr>
          <w:p w:rsidR="004F6C0E" w:rsidRPr="00990D3B" w:rsidP="005E09A0" w14:paraId="7B6391C4" w14:textId="77777777">
            <w:pPr>
              <w:pStyle w:val="EQRTableText"/>
              <w:rPr>
                <w:b/>
              </w:rPr>
            </w:pPr>
            <w:r w:rsidRPr="00990D3B">
              <w:rPr>
                <w:b/>
              </w:rPr>
              <w:t>List questions for discussion with the MCP</w:t>
            </w:r>
          </w:p>
          <w:p w:rsidR="004F6C0E" w:rsidRPr="00990D3B" w:rsidP="005E09A0" w14:paraId="35DC06F0" w14:textId="77777777">
            <w:pPr>
              <w:pStyle w:val="EQRTableText"/>
            </w:pPr>
            <w:r w:rsidRPr="00990D3B">
              <w:t>Potential prompts:</w:t>
            </w:r>
          </w:p>
          <w:p w:rsidR="004F6C0E" w:rsidRPr="00990D3B" w:rsidP="00F13B33" w14:paraId="5502ED0B" w14:textId="37C39320">
            <w:pPr>
              <w:pStyle w:val="EQRTableTextbullet"/>
            </w:pPr>
            <w:r w:rsidRPr="00990D3B">
              <w:t xml:space="preserve">Managed </w:t>
            </w:r>
            <w:r w:rsidRPr="00990D3B" w:rsidR="00566F95">
              <w:t>c</w:t>
            </w:r>
            <w:r w:rsidRPr="00990D3B">
              <w:t xml:space="preserve">are </w:t>
            </w:r>
            <w:r w:rsidRPr="00990D3B" w:rsidR="00566F95">
              <w:t>m</w:t>
            </w:r>
            <w:r w:rsidRPr="00990D3B">
              <w:t>odel</w:t>
            </w:r>
          </w:p>
          <w:p w:rsidR="004F6C0E" w:rsidRPr="00990D3B" w:rsidP="00F13B33" w14:paraId="6C4CA040" w14:textId="77777777">
            <w:pPr>
              <w:pStyle w:val="EQRTableTextbullet"/>
            </w:pPr>
            <w:r w:rsidRPr="00990D3B">
              <w:t>Year MCP was incorporated</w:t>
            </w:r>
          </w:p>
          <w:p w:rsidR="004F6C0E" w:rsidRPr="00990D3B" w:rsidP="00F13B33" w14:paraId="52ACAE9C" w14:textId="77777777">
            <w:pPr>
              <w:pStyle w:val="EQRTableTextbullet"/>
            </w:pPr>
            <w:r w:rsidRPr="00990D3B">
              <w:t>Member enrollment</w:t>
            </w:r>
          </w:p>
          <w:p w:rsidR="004F6C0E" w:rsidRPr="00990D3B" w:rsidP="00F13B33" w14:paraId="45B37E26" w14:textId="6BFB2F52">
            <w:pPr>
              <w:pStyle w:val="EQRTableTextbullet"/>
            </w:pPr>
            <w:r w:rsidRPr="00990D3B">
              <w:t xml:space="preserve">Formal </w:t>
            </w:r>
            <w:r w:rsidRPr="00990D3B" w:rsidR="00566F95">
              <w:t>ISCA</w:t>
            </w:r>
          </w:p>
          <w:p w:rsidR="004F6C0E" w:rsidRPr="00990D3B" w:rsidP="00F13B33" w14:paraId="0E7B90FF" w14:textId="63AC8ECE">
            <w:pPr>
              <w:pStyle w:val="EQRTableTextbullet"/>
            </w:pPr>
            <w:r w:rsidRPr="00990D3B">
              <w:t>Recent information system enhancements</w:t>
            </w:r>
          </w:p>
        </w:tc>
      </w:tr>
      <w:tr w14:paraId="2DF79FE7" w14:textId="77777777" w:rsidTr="00D1727D">
        <w:tblPrEx>
          <w:tblW w:w="5000" w:type="pct"/>
          <w:tblLook w:val="04A0"/>
        </w:tblPrEx>
        <w:trPr>
          <w:trHeight w:val="3338"/>
        </w:trPr>
        <w:tc>
          <w:tcPr>
            <w:tcW w:w="9350" w:type="dxa"/>
          </w:tcPr>
          <w:p w:rsidR="004F6C0E" w:rsidRPr="00990D3B" w:rsidP="005E09A0" w14:paraId="15D682BC" w14:textId="77777777">
            <w:pPr>
              <w:pStyle w:val="EQRTableText"/>
              <w:rPr>
                <w:b/>
              </w:rPr>
            </w:pPr>
            <w:r w:rsidRPr="00990D3B">
              <w:rPr>
                <w:b/>
              </w:rPr>
              <w:t>MCP responses to follow-up questions</w:t>
            </w:r>
          </w:p>
          <w:p w:rsidR="004F6C0E" w:rsidRPr="00990D3B" w:rsidP="005E09A0" w14:paraId="1B768C78" w14:textId="3EA5CDA6">
            <w:pPr>
              <w:pStyle w:val="EQRTableText"/>
              <w:rPr>
                <w:rFonts w:eastAsia="Calibri"/>
                <w:b/>
                <w:szCs w:val="18"/>
              </w:rPr>
            </w:pPr>
          </w:p>
        </w:tc>
      </w:tr>
      <w:tr w14:paraId="63D31A20" w14:textId="77777777" w:rsidTr="00D1727D">
        <w:tblPrEx>
          <w:tblW w:w="5000" w:type="pct"/>
          <w:tblLook w:val="04A0"/>
        </w:tblPrEx>
        <w:trPr>
          <w:trHeight w:val="4139"/>
        </w:trPr>
        <w:tc>
          <w:tcPr>
            <w:tcW w:w="9350" w:type="dxa"/>
          </w:tcPr>
          <w:p w:rsidR="004F6C0E" w:rsidRPr="00990D3B" w:rsidP="005E09A0" w14:paraId="0FBE1F43" w14:textId="77777777">
            <w:pPr>
              <w:pStyle w:val="EQRTableText"/>
              <w:rPr>
                <w:b/>
              </w:rPr>
            </w:pPr>
            <w:r w:rsidRPr="00990D3B">
              <w:rPr>
                <w:b/>
              </w:rPr>
              <w:t>Additional information provided by the MCP</w:t>
            </w:r>
          </w:p>
          <w:p w:rsidR="004F6C0E" w:rsidRPr="00990D3B" w:rsidP="00D1727D" w14:paraId="41C5FEF7" w14:textId="79CF2BA6">
            <w:pPr>
              <w:pStyle w:val="EQRTableText"/>
              <w:rPr>
                <w:rFonts w:eastAsia="Calibri"/>
                <w:b/>
                <w:szCs w:val="18"/>
              </w:rPr>
            </w:pPr>
            <w:r w:rsidRPr="00990D3B">
              <w:rPr>
                <w:b/>
              </w:rPr>
              <w:t> </w:t>
            </w:r>
          </w:p>
        </w:tc>
      </w:tr>
    </w:tbl>
    <w:p w:rsidR="004F6C0E" w:rsidRPr="00990D3B" w:rsidP="007A5CDC" w14:paraId="349E3A02" w14:textId="77777777">
      <w:pPr>
        <w:pStyle w:val="EQRNormalSSWORKSHEET"/>
      </w:pPr>
      <w:r w:rsidRPr="00990D3B">
        <w:br w:type="page"/>
      </w:r>
    </w:p>
    <w:p w:rsidR="004F6C0E" w:rsidRPr="00990D3B" w:rsidP="002B40CC" w14:paraId="35242649" w14:textId="77777777">
      <w:pPr>
        <w:pStyle w:val="H2EQRWorksheet"/>
      </w:pPr>
      <w:bookmarkStart w:id="1189" w:name="WSB2Sec2"/>
      <w:bookmarkEnd w:id="1189"/>
      <w:r w:rsidRPr="00990D3B">
        <w:t>Section 2. Information Systems: Data Processing Procedures &amp; Personnel</w:t>
      </w:r>
    </w:p>
    <w:tbl>
      <w:tblPr>
        <w:tblStyle w:val="TableGrid"/>
        <w:tblW w:w="5000" w:type="pct"/>
        <w:tblLook w:val="04A0"/>
      </w:tblPr>
      <w:tblGrid>
        <w:gridCol w:w="9350"/>
      </w:tblGrid>
      <w:tr w14:paraId="7FF28BDF" w14:textId="77777777" w:rsidTr="00CF144A">
        <w:tblPrEx>
          <w:tblW w:w="5000" w:type="pct"/>
          <w:tblLook w:val="04A0"/>
        </w:tblPrEx>
        <w:tc>
          <w:tcPr>
            <w:tcW w:w="9350" w:type="dxa"/>
          </w:tcPr>
          <w:p w:rsidR="004F6C0E" w:rsidRPr="00990D3B" w:rsidP="00481BFB" w14:paraId="46DD83E7" w14:textId="77777777">
            <w:pPr>
              <w:pStyle w:val="EQRTableText"/>
              <w:rPr>
                <w:b/>
              </w:rPr>
            </w:pPr>
            <w:r w:rsidRPr="00990D3B">
              <w:rPr>
                <w:b/>
              </w:rPr>
              <w:t>List questions for discussion with the MCP</w:t>
            </w:r>
          </w:p>
          <w:p w:rsidR="004F6C0E" w:rsidRPr="00990D3B" w:rsidP="00481BFB" w14:paraId="3B1A1666" w14:textId="77777777">
            <w:pPr>
              <w:pStyle w:val="EQRTableText"/>
            </w:pPr>
            <w:r w:rsidRPr="00990D3B">
              <w:t>Potential prompts:</w:t>
            </w:r>
          </w:p>
          <w:p w:rsidR="004F6C0E" w:rsidRPr="00990D3B" w:rsidP="00F13B33" w14:paraId="72DA2CF4" w14:textId="7B5D7978">
            <w:pPr>
              <w:pStyle w:val="EQRTableTextbullet"/>
            </w:pPr>
            <w:r w:rsidRPr="00990D3B">
              <w:t xml:space="preserve">System or repository for Medicaid </w:t>
            </w:r>
            <w:r w:rsidRPr="00990D3B" w:rsidR="00B627D4">
              <w:t>and</w:t>
            </w:r>
            <w:r w:rsidRPr="00990D3B" w:rsidR="00566F95">
              <w:t xml:space="preserve"> CHIP </w:t>
            </w:r>
            <w:r w:rsidRPr="00990D3B">
              <w:t>claims</w:t>
            </w:r>
            <w:r w:rsidRPr="00990D3B" w:rsidR="00566F95">
              <w:t>/</w:t>
            </w:r>
            <w:r w:rsidRPr="00990D3B">
              <w:t>encounter data</w:t>
            </w:r>
          </w:p>
          <w:p w:rsidR="004F6C0E" w:rsidRPr="00990D3B" w:rsidP="00F13B33" w14:paraId="36FB8E0B" w14:textId="4C09FAE9">
            <w:pPr>
              <w:pStyle w:val="EQRTableTextbullet"/>
            </w:pPr>
            <w:r w:rsidRPr="00990D3B">
              <w:t xml:space="preserve">Programming language(s) to create Medicaid </w:t>
            </w:r>
            <w:r w:rsidRPr="00990D3B" w:rsidR="00B627D4">
              <w:t>and</w:t>
            </w:r>
            <w:r w:rsidRPr="00990D3B" w:rsidR="001977D1">
              <w:t xml:space="preserve"> CHIP </w:t>
            </w:r>
            <w:r w:rsidRPr="00990D3B">
              <w:t>data extracts or analytic reports</w:t>
            </w:r>
          </w:p>
          <w:p w:rsidR="004F6C0E" w:rsidRPr="00990D3B" w:rsidP="00F13B33" w14:paraId="6B850A25" w14:textId="77777777">
            <w:pPr>
              <w:pStyle w:val="EQRTableTextbullet"/>
            </w:pPr>
            <w:r w:rsidRPr="00990D3B">
              <w:t>Programmer</w:t>
            </w:r>
            <w:r w:rsidRPr="00990D3B">
              <w:t xml:space="preserve"> training, time, experience, turnover</w:t>
            </w:r>
          </w:p>
          <w:p w:rsidR="004F6C0E" w:rsidRPr="00990D3B" w:rsidP="00F13B33" w14:paraId="69E31896" w14:textId="77777777">
            <w:pPr>
              <w:pStyle w:val="EQRTableTextbullet"/>
            </w:pPr>
            <w:r w:rsidRPr="00990D3B">
              <w:t>Standard software development methodology</w:t>
            </w:r>
          </w:p>
          <w:p w:rsidR="004F6C0E" w:rsidRPr="00990D3B" w:rsidP="00F13B33" w14:paraId="577A0A86" w14:textId="7957BA97">
            <w:pPr>
              <w:pStyle w:val="EQRTableTextbullet"/>
            </w:pPr>
            <w:r w:rsidRPr="00990D3B">
              <w:t>Version control software</w:t>
            </w:r>
          </w:p>
        </w:tc>
      </w:tr>
      <w:tr w14:paraId="27239EB1" w14:textId="77777777" w:rsidTr="00870BB8">
        <w:tblPrEx>
          <w:tblW w:w="5000" w:type="pct"/>
          <w:tblLook w:val="04A0"/>
        </w:tblPrEx>
        <w:trPr>
          <w:trHeight w:val="4320"/>
        </w:trPr>
        <w:tc>
          <w:tcPr>
            <w:tcW w:w="9350" w:type="dxa"/>
          </w:tcPr>
          <w:p w:rsidR="004F6C0E" w:rsidRPr="00990D3B" w:rsidP="00481BFB" w14:paraId="16ECD802" w14:textId="77777777">
            <w:pPr>
              <w:pStyle w:val="EQRTableText"/>
              <w:rPr>
                <w:b/>
              </w:rPr>
            </w:pPr>
            <w:r w:rsidRPr="00990D3B">
              <w:rPr>
                <w:b/>
              </w:rPr>
              <w:t>MCP responses to follow-up questions</w:t>
            </w:r>
          </w:p>
          <w:p w:rsidR="004F6C0E" w:rsidRPr="00990D3B" w:rsidP="00481BFB" w14:paraId="3B6B86EA" w14:textId="15D87B4C">
            <w:pPr>
              <w:pStyle w:val="EQRTableText"/>
              <w:rPr>
                <w:rFonts w:eastAsia="Calibri"/>
                <w:b/>
                <w:szCs w:val="18"/>
              </w:rPr>
            </w:pPr>
          </w:p>
        </w:tc>
      </w:tr>
      <w:tr w14:paraId="5E63E9FE" w14:textId="77777777" w:rsidTr="00870BB8">
        <w:tblPrEx>
          <w:tblW w:w="5000" w:type="pct"/>
          <w:tblLook w:val="04A0"/>
        </w:tblPrEx>
        <w:trPr>
          <w:trHeight w:val="4320"/>
        </w:trPr>
        <w:tc>
          <w:tcPr>
            <w:tcW w:w="9350" w:type="dxa"/>
          </w:tcPr>
          <w:p w:rsidR="004F6C0E" w:rsidRPr="00990D3B" w:rsidP="00481BFB" w14:paraId="1C8BC46B" w14:textId="77777777">
            <w:pPr>
              <w:pStyle w:val="EQRTableText"/>
              <w:rPr>
                <w:b/>
              </w:rPr>
            </w:pPr>
            <w:r w:rsidRPr="00990D3B">
              <w:rPr>
                <w:b/>
              </w:rPr>
              <w:t>Additional information provided by the MCP</w:t>
            </w:r>
          </w:p>
          <w:p w:rsidR="004F6C0E" w:rsidRPr="00990D3B" w:rsidP="00D1727D" w14:paraId="1B09B4A5" w14:textId="77777777">
            <w:pPr>
              <w:pStyle w:val="EQRTableText"/>
              <w:rPr>
                <w:rFonts w:eastAsia="Calibri"/>
                <w:b/>
                <w:szCs w:val="18"/>
              </w:rPr>
            </w:pPr>
          </w:p>
        </w:tc>
      </w:tr>
    </w:tbl>
    <w:p w:rsidR="004F6C0E" w:rsidRPr="00990D3B" w:rsidP="007A5CDC" w14:paraId="3A149D20" w14:textId="77777777">
      <w:pPr>
        <w:pStyle w:val="EQRNormalSSWORKSHEET"/>
      </w:pPr>
    </w:p>
    <w:p w:rsidR="004F6C0E" w:rsidRPr="00990D3B" w:rsidP="007A5CDC" w14:paraId="43DCA506" w14:textId="77777777">
      <w:pPr>
        <w:pStyle w:val="EQRNormalSSWORKSHEET"/>
      </w:pPr>
      <w:r w:rsidRPr="00990D3B">
        <w:br w:type="page"/>
      </w:r>
    </w:p>
    <w:p w:rsidR="004F6C0E" w:rsidRPr="00990D3B" w:rsidP="002B40CC" w14:paraId="02B3AD34" w14:textId="77777777">
      <w:pPr>
        <w:pStyle w:val="H2EQRWorksheet"/>
      </w:pPr>
      <w:bookmarkStart w:id="1190" w:name="WSB2Sec3"/>
      <w:bookmarkEnd w:id="1190"/>
      <w:r w:rsidRPr="00990D3B">
        <w:t>Section 3. Staffing</w:t>
      </w:r>
    </w:p>
    <w:tbl>
      <w:tblPr>
        <w:tblStyle w:val="TableGrid"/>
        <w:tblW w:w="5000" w:type="pct"/>
        <w:tblLook w:val="04A0"/>
      </w:tblPr>
      <w:tblGrid>
        <w:gridCol w:w="9350"/>
      </w:tblGrid>
      <w:tr w14:paraId="35148AF1" w14:textId="77777777" w:rsidTr="00CF144A">
        <w:tblPrEx>
          <w:tblW w:w="5000" w:type="pct"/>
          <w:tblLook w:val="04A0"/>
        </w:tblPrEx>
        <w:tc>
          <w:tcPr>
            <w:tcW w:w="9350" w:type="dxa"/>
          </w:tcPr>
          <w:p w:rsidR="004F6C0E" w:rsidRPr="00990D3B" w:rsidP="00481BFB" w14:paraId="42084516" w14:textId="77777777">
            <w:pPr>
              <w:pStyle w:val="EQRTableText"/>
              <w:rPr>
                <w:b/>
              </w:rPr>
            </w:pPr>
            <w:r w:rsidRPr="00990D3B">
              <w:rPr>
                <w:b/>
              </w:rPr>
              <w:t>List questions for discussion with the MCP</w:t>
            </w:r>
          </w:p>
          <w:p w:rsidR="004F6C0E" w:rsidRPr="00990D3B" w:rsidP="00481BFB" w14:paraId="524F2261" w14:textId="77777777">
            <w:pPr>
              <w:pStyle w:val="EQRTableText"/>
            </w:pPr>
            <w:r w:rsidRPr="00990D3B">
              <w:t>Potential prompts:</w:t>
            </w:r>
          </w:p>
          <w:p w:rsidR="004F6C0E" w:rsidRPr="00990D3B" w:rsidP="00F13B33" w14:paraId="40E6B55C" w14:textId="77777777">
            <w:pPr>
              <w:pStyle w:val="EQRTableTextbullet"/>
            </w:pPr>
            <w:r w:rsidRPr="00990D3B">
              <w:t>Staffing productivity</w:t>
            </w:r>
          </w:p>
          <w:p w:rsidR="004F6C0E" w:rsidRPr="00990D3B" w:rsidP="00F13B33" w14:paraId="611D1DFE" w14:textId="01980ABC">
            <w:pPr>
              <w:pStyle w:val="EQRTableTextbullet"/>
              <w:rPr>
                <w:rFonts w:eastAsia="Calibri"/>
                <w:szCs w:val="18"/>
              </w:rPr>
            </w:pPr>
            <w:r w:rsidRPr="00990D3B">
              <w:t xml:space="preserve">Processor training </w:t>
            </w:r>
          </w:p>
        </w:tc>
      </w:tr>
      <w:tr w14:paraId="1032A7D2" w14:textId="77777777" w:rsidTr="00870BB8">
        <w:tblPrEx>
          <w:tblW w:w="5000" w:type="pct"/>
          <w:tblLook w:val="04A0"/>
        </w:tblPrEx>
        <w:trPr>
          <w:trHeight w:val="4320"/>
        </w:trPr>
        <w:tc>
          <w:tcPr>
            <w:tcW w:w="9350" w:type="dxa"/>
          </w:tcPr>
          <w:p w:rsidR="004F6C0E" w:rsidRPr="00990D3B" w:rsidP="00481BFB" w14:paraId="70230814" w14:textId="77777777">
            <w:pPr>
              <w:pStyle w:val="EQRTableText"/>
              <w:rPr>
                <w:b/>
              </w:rPr>
            </w:pPr>
            <w:r w:rsidRPr="00990D3B">
              <w:rPr>
                <w:b/>
              </w:rPr>
              <w:t>MCP responses to follow-up questions</w:t>
            </w:r>
          </w:p>
          <w:p w:rsidR="004F6C0E" w:rsidRPr="00990D3B" w:rsidP="00481BFB" w14:paraId="0EC3FFA2" w14:textId="40E07AA8">
            <w:pPr>
              <w:pStyle w:val="EQRTableText"/>
              <w:rPr>
                <w:rFonts w:eastAsia="Calibri"/>
                <w:b/>
                <w:szCs w:val="18"/>
              </w:rPr>
            </w:pPr>
          </w:p>
        </w:tc>
      </w:tr>
      <w:tr w14:paraId="75CE0576" w14:textId="77777777" w:rsidTr="00870BB8">
        <w:tblPrEx>
          <w:tblW w:w="5000" w:type="pct"/>
          <w:tblLook w:val="04A0"/>
        </w:tblPrEx>
        <w:trPr>
          <w:trHeight w:val="4320"/>
        </w:trPr>
        <w:tc>
          <w:tcPr>
            <w:tcW w:w="9350" w:type="dxa"/>
          </w:tcPr>
          <w:p w:rsidR="004F6C0E" w:rsidRPr="00990D3B" w:rsidP="00481BFB" w14:paraId="025CDF16" w14:textId="77777777">
            <w:pPr>
              <w:pStyle w:val="EQRTableText"/>
              <w:rPr>
                <w:b/>
              </w:rPr>
            </w:pPr>
            <w:r w:rsidRPr="00990D3B">
              <w:rPr>
                <w:b/>
              </w:rPr>
              <w:t>Additional information provided by the MCP</w:t>
            </w:r>
          </w:p>
          <w:p w:rsidR="004F6C0E" w:rsidRPr="00990D3B" w:rsidP="00481BFB" w14:paraId="5EEAEE8A" w14:textId="77777777">
            <w:pPr>
              <w:pStyle w:val="EQRTableText"/>
              <w:rPr>
                <w:rFonts w:eastAsia="Calibri"/>
                <w:b/>
                <w:szCs w:val="18"/>
              </w:rPr>
            </w:pPr>
          </w:p>
        </w:tc>
      </w:tr>
    </w:tbl>
    <w:p w:rsidR="004F6C0E" w:rsidRPr="00990D3B" w:rsidP="007A5CDC" w14:paraId="7BB47E31" w14:textId="77777777">
      <w:pPr>
        <w:pStyle w:val="EQRNormalSSWORKSHEET"/>
      </w:pPr>
    </w:p>
    <w:p w:rsidR="004F6C0E" w:rsidRPr="00990D3B" w:rsidP="007A5CDC" w14:paraId="565A2798" w14:textId="77777777">
      <w:pPr>
        <w:pStyle w:val="EQRNormalSSWORKSHEET"/>
      </w:pPr>
      <w:r w:rsidRPr="00990D3B">
        <w:br w:type="page"/>
      </w:r>
    </w:p>
    <w:p w:rsidR="004F6C0E" w:rsidRPr="00990D3B" w:rsidP="002B40CC" w14:paraId="5BADCD8E" w14:textId="77777777">
      <w:pPr>
        <w:pStyle w:val="H2EQRWorksheet"/>
      </w:pPr>
      <w:bookmarkStart w:id="1191" w:name="WSB2Sec4"/>
      <w:bookmarkEnd w:id="1191"/>
      <w:r w:rsidRPr="00990D3B">
        <w:t>Section 4. Security</w:t>
      </w:r>
    </w:p>
    <w:tbl>
      <w:tblPr>
        <w:tblStyle w:val="TableGrid"/>
        <w:tblW w:w="5000" w:type="pct"/>
        <w:tblLook w:val="04A0"/>
      </w:tblPr>
      <w:tblGrid>
        <w:gridCol w:w="9350"/>
      </w:tblGrid>
      <w:tr w14:paraId="534E0A33" w14:textId="77777777" w:rsidTr="00CF144A">
        <w:tblPrEx>
          <w:tblW w:w="5000" w:type="pct"/>
          <w:tblLook w:val="04A0"/>
        </w:tblPrEx>
        <w:tc>
          <w:tcPr>
            <w:tcW w:w="9350" w:type="dxa"/>
          </w:tcPr>
          <w:p w:rsidR="004F6C0E" w:rsidRPr="00990D3B" w:rsidP="00481BFB" w14:paraId="35B3AA89" w14:textId="77777777">
            <w:pPr>
              <w:pStyle w:val="EQRTableText"/>
              <w:rPr>
                <w:b/>
              </w:rPr>
            </w:pPr>
            <w:r w:rsidRPr="00990D3B">
              <w:rPr>
                <w:b/>
              </w:rPr>
              <w:t>List questions for discussion with the MCP</w:t>
            </w:r>
          </w:p>
          <w:p w:rsidR="004F6C0E" w:rsidRPr="00990D3B" w:rsidP="00481BFB" w14:paraId="48A21D77" w14:textId="77777777">
            <w:pPr>
              <w:pStyle w:val="EQRTableText"/>
            </w:pPr>
            <w:r w:rsidRPr="00990D3B">
              <w:t>Potential prompts:</w:t>
            </w:r>
          </w:p>
          <w:p w:rsidR="004F6C0E" w:rsidRPr="00990D3B" w:rsidP="00F13B33" w14:paraId="0E5133F4" w14:textId="77777777">
            <w:pPr>
              <w:pStyle w:val="EQRTableTextbullet"/>
            </w:pPr>
            <w:r w:rsidRPr="00990D3B">
              <w:t>Disaster recovery plan</w:t>
            </w:r>
          </w:p>
          <w:p w:rsidR="004F6C0E" w:rsidRPr="00990D3B" w:rsidP="00F13B33" w14:paraId="5C42C353" w14:textId="77777777">
            <w:pPr>
              <w:pStyle w:val="EQRTableTextbullet"/>
            </w:pPr>
            <w:r w:rsidRPr="00990D3B">
              <w:t>Disaster recovery system</w:t>
            </w:r>
          </w:p>
          <w:p w:rsidR="004F6C0E" w:rsidRPr="00990D3B" w:rsidP="00F13B33" w14:paraId="084C1D06" w14:textId="77777777">
            <w:pPr>
              <w:pStyle w:val="EQRTableTextbullet"/>
            </w:pPr>
            <w:r w:rsidRPr="00990D3B">
              <w:t>Testing, backup systems, and storage</w:t>
            </w:r>
          </w:p>
          <w:p w:rsidR="004F6C0E" w:rsidRPr="00990D3B" w:rsidP="00F13B33" w14:paraId="6B0228CC" w14:textId="77777777">
            <w:pPr>
              <w:pStyle w:val="EQRTableTextbullet"/>
            </w:pPr>
            <w:r w:rsidRPr="00990D3B">
              <w:t>Computer system security</w:t>
            </w:r>
          </w:p>
          <w:p w:rsidR="004F6C0E" w:rsidRPr="00990D3B" w:rsidP="00F13B33" w14:paraId="4CE40E19" w14:textId="77777777">
            <w:pPr>
              <w:pStyle w:val="EQRTableTextbullet"/>
            </w:pPr>
            <w:r w:rsidRPr="00990D3B">
              <w:t>Cloud-based security</w:t>
            </w:r>
          </w:p>
          <w:p w:rsidR="004F6C0E" w:rsidRPr="00990D3B" w:rsidP="00F13B33" w14:paraId="44FA59A6" w14:textId="48DADD28">
            <w:pPr>
              <w:pStyle w:val="EQRTableTextbullet"/>
            </w:pPr>
            <w:r w:rsidRPr="00990D3B">
              <w:t>System access</w:t>
            </w:r>
          </w:p>
        </w:tc>
      </w:tr>
      <w:tr w14:paraId="73DE9D51" w14:textId="77777777" w:rsidTr="00870BB8">
        <w:tblPrEx>
          <w:tblW w:w="5000" w:type="pct"/>
          <w:tblLook w:val="04A0"/>
        </w:tblPrEx>
        <w:trPr>
          <w:trHeight w:val="4320"/>
        </w:trPr>
        <w:tc>
          <w:tcPr>
            <w:tcW w:w="9350" w:type="dxa"/>
          </w:tcPr>
          <w:p w:rsidR="004F6C0E" w:rsidRPr="00990D3B" w:rsidP="00481BFB" w14:paraId="73EA241C" w14:textId="77777777">
            <w:pPr>
              <w:pStyle w:val="EQRTableText"/>
              <w:rPr>
                <w:b/>
              </w:rPr>
            </w:pPr>
            <w:r w:rsidRPr="00990D3B">
              <w:rPr>
                <w:b/>
              </w:rPr>
              <w:t>MCP responses to follow-up questions</w:t>
            </w:r>
          </w:p>
          <w:p w:rsidR="004F6C0E" w:rsidRPr="00990D3B" w:rsidP="00481BFB" w14:paraId="5CEFBAD0" w14:textId="0F632ADA">
            <w:pPr>
              <w:pStyle w:val="EQRTableText"/>
              <w:rPr>
                <w:rFonts w:eastAsia="Calibri"/>
                <w:b/>
                <w:szCs w:val="18"/>
              </w:rPr>
            </w:pPr>
          </w:p>
        </w:tc>
      </w:tr>
      <w:tr w14:paraId="3C67B73C" w14:textId="77777777" w:rsidTr="00870BB8">
        <w:tblPrEx>
          <w:tblW w:w="5000" w:type="pct"/>
          <w:tblLook w:val="04A0"/>
        </w:tblPrEx>
        <w:trPr>
          <w:trHeight w:val="4320"/>
        </w:trPr>
        <w:tc>
          <w:tcPr>
            <w:tcW w:w="9350" w:type="dxa"/>
          </w:tcPr>
          <w:p w:rsidR="004F6C0E" w:rsidRPr="00990D3B" w:rsidP="00481BFB" w14:paraId="3E4631E0" w14:textId="77777777">
            <w:pPr>
              <w:pStyle w:val="EQRTableText"/>
              <w:rPr>
                <w:b/>
              </w:rPr>
            </w:pPr>
            <w:r w:rsidRPr="00990D3B">
              <w:rPr>
                <w:b/>
              </w:rPr>
              <w:t>Additional information provided by the MCP</w:t>
            </w:r>
          </w:p>
          <w:p w:rsidR="004F6C0E" w:rsidRPr="00990D3B" w:rsidP="00D1727D" w14:paraId="47024040" w14:textId="796D41EE">
            <w:pPr>
              <w:pStyle w:val="EQRTableText"/>
              <w:rPr>
                <w:rFonts w:eastAsia="Calibri"/>
                <w:b/>
                <w:szCs w:val="18"/>
              </w:rPr>
            </w:pPr>
          </w:p>
        </w:tc>
      </w:tr>
    </w:tbl>
    <w:p w:rsidR="004F6C0E" w:rsidRPr="00990D3B" w:rsidP="007A5CDC" w14:paraId="36B37DF8" w14:textId="77777777">
      <w:pPr>
        <w:pStyle w:val="EQRNormalSSWORKSHEET"/>
      </w:pPr>
      <w:r w:rsidRPr="00990D3B">
        <w:br w:type="page"/>
      </w:r>
    </w:p>
    <w:p w:rsidR="004F6C0E" w:rsidRPr="00990D3B" w:rsidP="002B40CC" w14:paraId="1EF459C1" w14:textId="77777777">
      <w:pPr>
        <w:pStyle w:val="H2EQRWorksheet"/>
      </w:pPr>
      <w:bookmarkStart w:id="1192" w:name="WSB2Sec5A"/>
      <w:bookmarkEnd w:id="1192"/>
      <w:r w:rsidRPr="00990D3B">
        <w:t>Section 5A. Data Acquisition Capabilities: Administrative Data</w:t>
      </w:r>
    </w:p>
    <w:tbl>
      <w:tblPr>
        <w:tblStyle w:val="TableGrid"/>
        <w:tblW w:w="5000" w:type="pct"/>
        <w:tblLook w:val="04A0"/>
      </w:tblPr>
      <w:tblGrid>
        <w:gridCol w:w="9350"/>
      </w:tblGrid>
      <w:tr w14:paraId="3EA8E862" w14:textId="77777777" w:rsidTr="00CF144A">
        <w:tblPrEx>
          <w:tblW w:w="5000" w:type="pct"/>
          <w:tblLook w:val="04A0"/>
        </w:tblPrEx>
        <w:tc>
          <w:tcPr>
            <w:tcW w:w="9350" w:type="dxa"/>
          </w:tcPr>
          <w:p w:rsidR="004F6C0E" w:rsidRPr="00990D3B" w:rsidP="00481BFB" w14:paraId="1F23FF9B" w14:textId="77777777">
            <w:pPr>
              <w:pStyle w:val="EQRTableText"/>
              <w:rPr>
                <w:b/>
              </w:rPr>
            </w:pPr>
            <w:r w:rsidRPr="00990D3B">
              <w:rPr>
                <w:b/>
              </w:rPr>
              <w:t>List</w:t>
            </w:r>
            <w:r w:rsidRPr="00990D3B">
              <w:rPr>
                <w:b/>
              </w:rPr>
              <w:t xml:space="preserve"> questions for discussion with the MCP about administrative data (claims and encounters)</w:t>
            </w:r>
          </w:p>
          <w:p w:rsidR="004F6C0E" w:rsidRPr="00990D3B" w:rsidP="00481BFB" w14:paraId="4311A384" w14:textId="77777777">
            <w:pPr>
              <w:pStyle w:val="EQRTableText"/>
            </w:pPr>
            <w:r w:rsidRPr="00990D3B">
              <w:t>Potential prompts:</w:t>
            </w:r>
          </w:p>
          <w:p w:rsidR="004F6C0E" w:rsidRPr="00990D3B" w:rsidP="00F13B33" w14:paraId="16BAE05D" w14:textId="77777777">
            <w:pPr>
              <w:pStyle w:val="EQRTableTextbullet"/>
            </w:pPr>
            <w:r w:rsidRPr="00990D3B">
              <w:t>Data submission methods</w:t>
            </w:r>
          </w:p>
          <w:p w:rsidR="004F6C0E" w:rsidRPr="00990D3B" w:rsidP="00F13B33" w14:paraId="1A3E085C" w14:textId="77777777">
            <w:pPr>
              <w:pStyle w:val="EQRTableTextbullet"/>
            </w:pPr>
            <w:r w:rsidRPr="00990D3B">
              <w:t>Claims or encounter submissions</w:t>
            </w:r>
          </w:p>
          <w:p w:rsidR="004F6C0E" w:rsidRPr="00990D3B" w:rsidP="00F13B33" w14:paraId="58D36A37" w14:textId="77777777">
            <w:pPr>
              <w:pStyle w:val="EQRTableTextbullet"/>
            </w:pPr>
            <w:r w:rsidRPr="00990D3B">
              <w:t>Claims or encounter types</w:t>
            </w:r>
          </w:p>
          <w:p w:rsidR="004F6C0E" w:rsidRPr="00990D3B" w:rsidP="00F13B33" w14:paraId="419EB40B" w14:textId="77777777">
            <w:pPr>
              <w:pStyle w:val="EQRTableTextbullet"/>
            </w:pPr>
            <w:r w:rsidRPr="00990D3B">
              <w:t>Diagnoses and procedures</w:t>
            </w:r>
          </w:p>
          <w:p w:rsidR="004F6C0E" w:rsidRPr="00990D3B" w:rsidP="00F13B33" w14:paraId="006DF1B3" w14:textId="77777777">
            <w:pPr>
              <w:pStyle w:val="EQRTableTextbullet"/>
            </w:pPr>
            <w:r w:rsidRPr="00990D3B">
              <w:t>Principal and secondary diagnoses</w:t>
            </w:r>
          </w:p>
          <w:p w:rsidR="004F6C0E" w:rsidRPr="00990D3B" w:rsidP="00F13B33" w14:paraId="14DE227E" w14:textId="77777777">
            <w:pPr>
              <w:pStyle w:val="EQRTableTextbullet"/>
            </w:pPr>
            <w:r w:rsidRPr="00990D3B">
              <w:t>Missing, incomplete, or invalid claim/encounter submission fields</w:t>
            </w:r>
          </w:p>
          <w:p w:rsidR="004F6C0E" w:rsidRPr="00990D3B" w:rsidP="00F13B33" w14:paraId="28DDF3AC" w14:textId="77777777">
            <w:pPr>
              <w:pStyle w:val="EQRTableTextbullet"/>
            </w:pPr>
            <w:r w:rsidRPr="00990D3B">
              <w:t>Claim/encounter accuracy verification</w:t>
            </w:r>
          </w:p>
          <w:p w:rsidR="004F6C0E" w:rsidRPr="00990D3B" w:rsidP="00F13B33" w14:paraId="65D9DFCB" w14:textId="77777777">
            <w:pPr>
              <w:pStyle w:val="EQRTableTextbullet"/>
            </w:pPr>
            <w:r w:rsidRPr="00990D3B">
              <w:t>Systems changes/updates</w:t>
            </w:r>
          </w:p>
          <w:p w:rsidR="004F6C0E" w:rsidRPr="00990D3B" w:rsidP="00F13B33" w14:paraId="726B49D2" w14:textId="77777777">
            <w:pPr>
              <w:pStyle w:val="EQRTableTextbullet"/>
            </w:pPr>
            <w:r w:rsidRPr="00990D3B">
              <w:t>Medicaid and CHIP data retention</w:t>
            </w:r>
          </w:p>
          <w:p w:rsidR="004F6C0E" w:rsidRPr="00990D3B" w:rsidP="00F13B33" w14:paraId="18FBE1FF" w14:textId="77777777">
            <w:pPr>
              <w:pStyle w:val="EQRTableTextbullet"/>
            </w:pPr>
            <w:r w:rsidRPr="00990D3B">
              <w:t>Medicaid and CHIP claim/encounter audit policy</w:t>
            </w:r>
          </w:p>
          <w:p w:rsidR="004F6C0E" w:rsidRPr="00990D3B" w:rsidP="00F13B33" w14:paraId="1219ABE9" w14:textId="77777777">
            <w:pPr>
              <w:pStyle w:val="EQRTableTextbullet"/>
            </w:pPr>
            <w:r w:rsidRPr="00990D3B">
              <w:t>Pended claims/encounters process and reconciliation</w:t>
            </w:r>
          </w:p>
          <w:p w:rsidR="004F6C0E" w:rsidRPr="00990D3B" w:rsidP="00F13B33" w14:paraId="7DE4CCED" w14:textId="77777777">
            <w:pPr>
              <w:pStyle w:val="EQRTableTextbullet"/>
            </w:pPr>
            <w:r w:rsidRPr="00990D3B">
              <w:t>Claim handling and processes that precede adjudication</w:t>
            </w:r>
          </w:p>
          <w:p w:rsidR="004F6C0E" w:rsidRPr="00990D3B" w:rsidP="00F13B33" w14:paraId="7EA9442A" w14:textId="35EBA279">
            <w:pPr>
              <w:pStyle w:val="EQRTableTextbullet"/>
              <w:rPr>
                <w:rFonts w:eastAsia="Calibri"/>
                <w:szCs w:val="18"/>
              </w:rPr>
            </w:pPr>
            <w:r w:rsidRPr="00990D3B">
              <w:t xml:space="preserve">Performance monitoring standards for Medicaid </w:t>
            </w:r>
            <w:r w:rsidRPr="00990D3B" w:rsidR="00B627D4">
              <w:t>and</w:t>
            </w:r>
            <w:r w:rsidRPr="00990D3B" w:rsidR="00F40B36">
              <w:t xml:space="preserve"> CHIP </w:t>
            </w:r>
            <w:r w:rsidRPr="00990D3B">
              <w:t>claims/encounters and results </w:t>
            </w:r>
          </w:p>
        </w:tc>
      </w:tr>
      <w:tr w14:paraId="1916A700" w14:textId="77777777" w:rsidTr="00870BB8">
        <w:tblPrEx>
          <w:tblW w:w="5000" w:type="pct"/>
          <w:tblLook w:val="04A0"/>
        </w:tblPrEx>
        <w:trPr>
          <w:trHeight w:val="2880"/>
        </w:trPr>
        <w:tc>
          <w:tcPr>
            <w:tcW w:w="9350" w:type="dxa"/>
          </w:tcPr>
          <w:p w:rsidR="00870BB8" w:rsidRPr="00990D3B" w:rsidP="00870BB8" w14:paraId="70E7CB72" w14:textId="42B7CB76">
            <w:pPr>
              <w:pStyle w:val="EQRTableText"/>
              <w:rPr>
                <w:rFonts w:eastAsia="Calibri"/>
                <w:b/>
                <w:szCs w:val="18"/>
              </w:rPr>
            </w:pPr>
            <w:r w:rsidRPr="00990D3B">
              <w:rPr>
                <w:b/>
              </w:rPr>
              <w:t>MCP responses to follow-up questions</w:t>
            </w:r>
          </w:p>
          <w:p w:rsidR="004F6C0E" w:rsidRPr="00990D3B" w:rsidP="00481BFB" w14:paraId="619E830E" w14:textId="081E3C42">
            <w:pPr>
              <w:pStyle w:val="EQRTableText"/>
              <w:rPr>
                <w:rFonts w:eastAsia="Calibri"/>
                <w:b/>
                <w:szCs w:val="18"/>
              </w:rPr>
            </w:pPr>
          </w:p>
        </w:tc>
      </w:tr>
      <w:tr w14:paraId="60324FD2" w14:textId="77777777" w:rsidTr="00870BB8">
        <w:tblPrEx>
          <w:tblW w:w="5000" w:type="pct"/>
          <w:tblLook w:val="04A0"/>
        </w:tblPrEx>
        <w:trPr>
          <w:trHeight w:val="2880"/>
        </w:trPr>
        <w:tc>
          <w:tcPr>
            <w:tcW w:w="9350" w:type="dxa"/>
          </w:tcPr>
          <w:p w:rsidR="004F6C0E" w:rsidRPr="00990D3B" w:rsidP="00481BFB" w14:paraId="15116898" w14:textId="77777777">
            <w:pPr>
              <w:pStyle w:val="EQRTableText"/>
              <w:rPr>
                <w:b/>
              </w:rPr>
            </w:pPr>
            <w:r w:rsidRPr="00990D3B">
              <w:rPr>
                <w:b/>
              </w:rPr>
              <w:t>Additional information provided by the MCP</w:t>
            </w:r>
          </w:p>
          <w:p w:rsidR="004F6C0E" w:rsidRPr="00990D3B" w:rsidP="00870BB8" w14:paraId="5451C653" w14:textId="20053580">
            <w:pPr>
              <w:pStyle w:val="EQRTableText"/>
              <w:rPr>
                <w:rFonts w:eastAsia="Calibri"/>
                <w:b/>
                <w:szCs w:val="18"/>
              </w:rPr>
            </w:pPr>
            <w:r w:rsidRPr="00990D3B">
              <w:rPr>
                <w:b/>
              </w:rPr>
              <w:t> </w:t>
            </w:r>
          </w:p>
        </w:tc>
      </w:tr>
    </w:tbl>
    <w:p w:rsidR="004F6C0E" w:rsidRPr="00990D3B" w:rsidP="008C67F8" w14:paraId="052D0AD4" w14:textId="77777777">
      <w:pPr>
        <w:pStyle w:val="EQRNormalSSWORKSHEET"/>
      </w:pPr>
      <w:r w:rsidRPr="00990D3B">
        <w:br w:type="page"/>
      </w:r>
    </w:p>
    <w:p w:rsidR="004F6C0E" w:rsidRPr="00990D3B" w:rsidP="002B40CC" w14:paraId="2C050AD5" w14:textId="77777777">
      <w:pPr>
        <w:pStyle w:val="H2EQRWorksheet"/>
      </w:pPr>
      <w:r w:rsidRPr="00990D3B">
        <w:t>S</w:t>
      </w:r>
      <w:bookmarkStart w:id="1193" w:name="WSB2Sec5B"/>
      <w:bookmarkEnd w:id="1193"/>
      <w:r w:rsidRPr="00990D3B">
        <w:t>ection 5B. Data Acquisition Capabilities: Enrollment System</w:t>
      </w:r>
    </w:p>
    <w:tbl>
      <w:tblPr>
        <w:tblStyle w:val="TableGrid"/>
        <w:tblW w:w="5000" w:type="pct"/>
        <w:tblLook w:val="04A0"/>
      </w:tblPr>
      <w:tblGrid>
        <w:gridCol w:w="9350"/>
      </w:tblGrid>
      <w:tr w14:paraId="05E9131E" w14:textId="77777777" w:rsidTr="00CF144A">
        <w:tblPrEx>
          <w:tblW w:w="5000" w:type="pct"/>
          <w:tblLook w:val="04A0"/>
        </w:tblPrEx>
        <w:tc>
          <w:tcPr>
            <w:tcW w:w="9350" w:type="dxa"/>
          </w:tcPr>
          <w:p w:rsidR="004F6C0E" w:rsidRPr="00990D3B" w:rsidP="00481BFB" w14:paraId="587D6079" w14:textId="77777777">
            <w:pPr>
              <w:pStyle w:val="EQRTableText"/>
              <w:rPr>
                <w:b/>
              </w:rPr>
            </w:pPr>
            <w:r w:rsidRPr="00990D3B">
              <w:rPr>
                <w:b/>
              </w:rPr>
              <w:t>List questions for discussion with the MCP about the enrollment system</w:t>
            </w:r>
          </w:p>
          <w:p w:rsidR="004F6C0E" w:rsidRPr="00990D3B" w:rsidP="00481BFB" w14:paraId="5CEAECA7" w14:textId="77777777">
            <w:pPr>
              <w:pStyle w:val="EQRTableText"/>
            </w:pPr>
            <w:r w:rsidRPr="00990D3B">
              <w:t>Potential prompts:</w:t>
            </w:r>
          </w:p>
          <w:p w:rsidR="004F6C0E" w:rsidRPr="00990D3B" w:rsidP="00F13B33" w14:paraId="3B85B5AF" w14:textId="2BC4D007">
            <w:pPr>
              <w:pStyle w:val="EQRTableTextbullet"/>
            </w:pPr>
            <w:r w:rsidRPr="00990D3B">
              <w:t xml:space="preserve">Changes/updates to the Medicaid </w:t>
            </w:r>
            <w:r w:rsidRPr="00990D3B" w:rsidR="00B627D4">
              <w:t>and</w:t>
            </w:r>
            <w:r w:rsidRPr="00990D3B" w:rsidR="00F40B36">
              <w:t xml:space="preserve"> CHIP </w:t>
            </w:r>
            <w:r w:rsidRPr="00990D3B">
              <w:t>enrollment data system</w:t>
            </w:r>
            <w:r w:rsidRPr="00990D3B" w:rsidR="00B627D4">
              <w:t>s</w:t>
            </w:r>
          </w:p>
          <w:p w:rsidR="004F6C0E" w:rsidRPr="00990D3B" w:rsidP="00F13B33" w14:paraId="1397CD73" w14:textId="77777777">
            <w:pPr>
              <w:pStyle w:val="EQRTableTextbullet"/>
            </w:pPr>
            <w:r w:rsidRPr="00990D3B">
              <w:t>Changes/updates effect on data quality/completeness</w:t>
            </w:r>
          </w:p>
          <w:p w:rsidR="004F6C0E" w:rsidRPr="00990D3B" w:rsidP="00F13B33" w14:paraId="41B16435" w14:textId="77777777">
            <w:pPr>
              <w:pStyle w:val="EQRTableTextbullet"/>
            </w:pPr>
            <w:r w:rsidRPr="00990D3B">
              <w:t>Continuity of enrollee ID numbers after data system changes</w:t>
            </w:r>
          </w:p>
          <w:p w:rsidR="004F6C0E" w:rsidRPr="00990D3B" w:rsidP="00F13B33" w14:paraId="4D5E1E45" w14:textId="77777777">
            <w:pPr>
              <w:pStyle w:val="EQRTableTextbullet"/>
            </w:pPr>
            <w:r w:rsidRPr="00990D3B">
              <w:t>Continuity of enrollee ID numbers if disenrolled and reenrolled</w:t>
            </w:r>
          </w:p>
          <w:p w:rsidR="004F6C0E" w:rsidRPr="00990D3B" w:rsidP="00F13B33" w14:paraId="2EBC0ED1" w14:textId="14338560">
            <w:pPr>
              <w:pStyle w:val="EQRTableTextbullet"/>
            </w:pPr>
            <w:r w:rsidRPr="00990D3B">
              <w:t xml:space="preserve">Linkage of claim/encounter data for </w:t>
            </w:r>
            <w:r w:rsidRPr="00990D3B" w:rsidR="0090723C">
              <w:t>beneficiaries who are dually eligible for Medicare and Medicaid</w:t>
            </w:r>
          </w:p>
          <w:p w:rsidR="004F6C0E" w:rsidRPr="00990D3B" w:rsidP="00F13B33" w14:paraId="7F9121EB" w14:textId="2D99F128">
            <w:pPr>
              <w:pStyle w:val="EQRTableTextbullet"/>
            </w:pPr>
            <w:r w:rsidRPr="00990D3B">
              <w:t>If using a traditional PCCM, PCCM data follows T-MSIS coding guidance</w:t>
            </w:r>
          </w:p>
          <w:p w:rsidR="004F6C0E" w:rsidRPr="00990D3B" w:rsidP="00F13B33" w14:paraId="7DCF24D6" w14:textId="77777777">
            <w:pPr>
              <w:pStyle w:val="EQRTableTextbullet"/>
            </w:pPr>
            <w:r w:rsidRPr="00990D3B">
              <w:t>Timeliness of Medicaid and CHIP enrollment updates</w:t>
            </w:r>
          </w:p>
          <w:p w:rsidR="004F6C0E" w:rsidRPr="00990D3B" w:rsidP="00F13B33" w14:paraId="08321F57" w14:textId="141557CC">
            <w:pPr>
              <w:pStyle w:val="EQRTableTextbullet"/>
              <w:rPr>
                <w:rFonts w:eastAsia="Calibri"/>
                <w:szCs w:val="18"/>
              </w:rPr>
            </w:pPr>
            <w:r w:rsidRPr="00990D3B">
              <w:t xml:space="preserve">Medicaid </w:t>
            </w:r>
            <w:r w:rsidRPr="00990D3B" w:rsidR="00F40B36">
              <w:t xml:space="preserve">and CHIP </w:t>
            </w:r>
            <w:r w:rsidRPr="00990D3B">
              <w:t>continuous enrollment</w:t>
            </w:r>
          </w:p>
        </w:tc>
      </w:tr>
      <w:tr w14:paraId="253AC9FF" w14:textId="77777777" w:rsidTr="00870BB8">
        <w:tblPrEx>
          <w:tblW w:w="5000" w:type="pct"/>
          <w:tblLook w:val="04A0"/>
        </w:tblPrEx>
        <w:trPr>
          <w:trHeight w:val="4320"/>
        </w:trPr>
        <w:tc>
          <w:tcPr>
            <w:tcW w:w="9350" w:type="dxa"/>
          </w:tcPr>
          <w:p w:rsidR="004F6C0E" w:rsidRPr="00990D3B" w:rsidP="00481BFB" w14:paraId="598F1673" w14:textId="77777777">
            <w:pPr>
              <w:pStyle w:val="EQRTableText"/>
              <w:rPr>
                <w:b/>
              </w:rPr>
            </w:pPr>
            <w:r w:rsidRPr="00990D3B">
              <w:rPr>
                <w:b/>
              </w:rPr>
              <w:t>MCP responses to follow-up questions</w:t>
            </w:r>
          </w:p>
          <w:p w:rsidR="004F6C0E" w:rsidRPr="00990D3B" w:rsidP="00481BFB" w14:paraId="6FFF039E" w14:textId="5F4F399A">
            <w:pPr>
              <w:pStyle w:val="EQRTableText"/>
              <w:rPr>
                <w:rFonts w:eastAsia="Calibri"/>
                <w:b/>
                <w:szCs w:val="18"/>
              </w:rPr>
            </w:pPr>
          </w:p>
        </w:tc>
      </w:tr>
      <w:tr w14:paraId="376E82DB" w14:textId="77777777" w:rsidTr="00B67F27">
        <w:tblPrEx>
          <w:tblW w:w="5000" w:type="pct"/>
          <w:tblLook w:val="04A0"/>
        </w:tblPrEx>
        <w:trPr>
          <w:trHeight w:val="4004"/>
        </w:trPr>
        <w:tc>
          <w:tcPr>
            <w:tcW w:w="9350" w:type="dxa"/>
          </w:tcPr>
          <w:p w:rsidR="004F6C0E" w:rsidRPr="00990D3B" w:rsidP="00481BFB" w14:paraId="5B641061" w14:textId="77777777">
            <w:pPr>
              <w:pStyle w:val="EQRTableText"/>
              <w:rPr>
                <w:b/>
              </w:rPr>
            </w:pPr>
            <w:r w:rsidRPr="00990D3B">
              <w:rPr>
                <w:b/>
              </w:rPr>
              <w:t>Additional information provided by the MCP</w:t>
            </w:r>
          </w:p>
          <w:p w:rsidR="004F6C0E" w:rsidRPr="00990D3B" w:rsidP="00870BB8" w14:paraId="68EF17BC" w14:textId="5C7B7600">
            <w:pPr>
              <w:pStyle w:val="EQRTableText"/>
              <w:rPr>
                <w:rFonts w:eastAsia="Calibri"/>
                <w:b/>
                <w:szCs w:val="18"/>
              </w:rPr>
            </w:pPr>
          </w:p>
        </w:tc>
      </w:tr>
    </w:tbl>
    <w:p w:rsidR="004F6C0E" w:rsidRPr="00990D3B" w:rsidP="00BB6D99" w14:paraId="5918CB27" w14:textId="77777777">
      <w:pPr>
        <w:pStyle w:val="EQRNormalSSWORKSHEET"/>
      </w:pPr>
      <w:r w:rsidRPr="00990D3B">
        <w:br w:type="page"/>
      </w:r>
    </w:p>
    <w:p w:rsidR="004F6C0E" w:rsidRPr="00990D3B" w:rsidP="002B40CC" w14:paraId="27367488" w14:textId="77777777">
      <w:pPr>
        <w:pStyle w:val="H2EQRWorksheet"/>
      </w:pPr>
      <w:bookmarkStart w:id="1194" w:name="WSB2Sec5C"/>
      <w:bookmarkEnd w:id="1194"/>
      <w:r w:rsidRPr="00990D3B">
        <w:t>Section 5C. Data Acquisition Capabilities: Ancillary Systems</w:t>
      </w:r>
    </w:p>
    <w:tbl>
      <w:tblPr>
        <w:tblStyle w:val="TableGrid"/>
        <w:tblW w:w="5000" w:type="pct"/>
        <w:tblLook w:val="04A0"/>
      </w:tblPr>
      <w:tblGrid>
        <w:gridCol w:w="9350"/>
      </w:tblGrid>
      <w:tr w14:paraId="7FF69472" w14:textId="77777777" w:rsidTr="00CF144A">
        <w:tblPrEx>
          <w:tblW w:w="5000" w:type="pct"/>
          <w:tblLook w:val="04A0"/>
        </w:tblPrEx>
        <w:tc>
          <w:tcPr>
            <w:tcW w:w="9350" w:type="dxa"/>
          </w:tcPr>
          <w:p w:rsidR="004F6C0E" w:rsidRPr="00990D3B" w:rsidP="00481BFB" w14:paraId="6F214551" w14:textId="77777777">
            <w:pPr>
              <w:pStyle w:val="EQRTableText"/>
              <w:rPr>
                <w:b/>
              </w:rPr>
            </w:pPr>
            <w:r w:rsidRPr="00990D3B">
              <w:rPr>
                <w:b/>
              </w:rPr>
              <w:t>List questions for discussion with the MCP about ancillary systems</w:t>
            </w:r>
          </w:p>
          <w:p w:rsidR="004F6C0E" w:rsidRPr="00990D3B" w:rsidP="00481BFB" w14:paraId="6A6D324E" w14:textId="77777777">
            <w:pPr>
              <w:pStyle w:val="EQRTableText"/>
            </w:pPr>
            <w:r w:rsidRPr="00990D3B">
              <w:t>Potential prompts:</w:t>
            </w:r>
          </w:p>
          <w:p w:rsidR="004F6C0E" w:rsidRPr="00990D3B" w:rsidP="00F13B33" w14:paraId="7A2FBA2A" w14:textId="77777777">
            <w:pPr>
              <w:pStyle w:val="EQRTableTextbullet"/>
            </w:pPr>
            <w:r w:rsidRPr="00990D3B">
              <w:t>Use of vendor data to calculate Medicaid and CHIP quality measures</w:t>
            </w:r>
          </w:p>
          <w:p w:rsidR="004F6C0E" w:rsidRPr="00990D3B" w:rsidP="00F13B33" w14:paraId="1405E9AD" w14:textId="77777777">
            <w:pPr>
              <w:pStyle w:val="EQRTableTextbullet"/>
            </w:pPr>
            <w:r w:rsidRPr="00990D3B">
              <w:t xml:space="preserve">Subcontracted Medicaid or CHIP benefits adjudicated through a vendor's system </w:t>
            </w:r>
          </w:p>
          <w:p w:rsidR="004F6C0E" w:rsidRPr="00990D3B" w:rsidP="00F13B33" w14:paraId="41E2549C" w14:textId="77777777">
            <w:pPr>
              <w:pStyle w:val="EQRTableTextbullet"/>
            </w:pPr>
            <w:r w:rsidRPr="00990D3B">
              <w:t>Quality and accuracy of vendor data</w:t>
            </w:r>
          </w:p>
          <w:p w:rsidR="004F6C0E" w:rsidRPr="00990D3B" w:rsidP="00F13B33" w14:paraId="22D4B872" w14:textId="77777777">
            <w:pPr>
              <w:pStyle w:val="EQRTableTextbullet"/>
            </w:pPr>
            <w:r w:rsidRPr="00990D3B">
              <w:t>Use of vendor data in Medicaid or CHIP-related studies</w:t>
            </w:r>
          </w:p>
          <w:p w:rsidR="004F6C0E" w:rsidRPr="00990D3B" w:rsidP="00F13B33" w14:paraId="55B4A3BC" w14:textId="77777777">
            <w:pPr>
              <w:pStyle w:val="EQRTableTextbullet"/>
            </w:pPr>
            <w:r w:rsidRPr="00990D3B">
              <w:t>Use of unilateral or bi-directional data linkages to health information exchanges, registries, state vital statistics, public health data</w:t>
            </w:r>
          </w:p>
          <w:p w:rsidR="004F6C0E" w:rsidRPr="00990D3B" w:rsidP="00F96E5F" w14:paraId="753B5346" w14:textId="61B93C07">
            <w:pPr>
              <w:pStyle w:val="EQRTableTextbullet2ndlevel"/>
              <w:rPr>
                <w:rFonts w:eastAsia="Calibri"/>
                <w:szCs w:val="18"/>
              </w:rPr>
            </w:pPr>
            <w:r w:rsidRPr="00990D3B">
              <w:t>How the MCP verifies the data and data exchange process for these data sources</w:t>
            </w:r>
          </w:p>
        </w:tc>
      </w:tr>
      <w:tr w14:paraId="443E0369" w14:textId="77777777" w:rsidTr="00D21B65">
        <w:tblPrEx>
          <w:tblW w:w="5000" w:type="pct"/>
          <w:tblLook w:val="04A0"/>
        </w:tblPrEx>
        <w:trPr>
          <w:trHeight w:val="4320"/>
        </w:trPr>
        <w:tc>
          <w:tcPr>
            <w:tcW w:w="9350" w:type="dxa"/>
          </w:tcPr>
          <w:p w:rsidR="00F13B33" w:rsidRPr="00990D3B" w:rsidP="00F13B33" w14:paraId="31A9C889" w14:textId="79BB68D8">
            <w:pPr>
              <w:pStyle w:val="EQRTableText"/>
              <w:rPr>
                <w:rFonts w:eastAsia="Calibri"/>
                <w:b/>
                <w:szCs w:val="18"/>
              </w:rPr>
            </w:pPr>
            <w:r w:rsidRPr="00990D3B">
              <w:rPr>
                <w:b/>
              </w:rPr>
              <w:t>MCP responses to follow-up questions</w:t>
            </w:r>
          </w:p>
          <w:p w:rsidR="004F6C0E" w:rsidRPr="00990D3B" w:rsidP="00481BFB" w14:paraId="45D62B0A" w14:textId="23959B05">
            <w:pPr>
              <w:pStyle w:val="EQRTableText"/>
              <w:rPr>
                <w:rFonts w:eastAsia="Calibri"/>
                <w:b/>
                <w:szCs w:val="18"/>
              </w:rPr>
            </w:pPr>
          </w:p>
        </w:tc>
      </w:tr>
      <w:tr w14:paraId="11E0B60E" w14:textId="77777777" w:rsidTr="00D21B65">
        <w:tblPrEx>
          <w:tblW w:w="5000" w:type="pct"/>
          <w:tblLook w:val="04A0"/>
        </w:tblPrEx>
        <w:trPr>
          <w:trHeight w:val="4320"/>
        </w:trPr>
        <w:tc>
          <w:tcPr>
            <w:tcW w:w="9350" w:type="dxa"/>
          </w:tcPr>
          <w:p w:rsidR="004F6C0E" w:rsidRPr="00990D3B" w:rsidP="00481BFB" w14:paraId="1A15B8C0" w14:textId="77777777">
            <w:pPr>
              <w:pStyle w:val="EQRTableText"/>
              <w:rPr>
                <w:b/>
              </w:rPr>
            </w:pPr>
            <w:r w:rsidRPr="00990D3B">
              <w:rPr>
                <w:b/>
              </w:rPr>
              <w:t>Additional information provided by the MCP</w:t>
            </w:r>
          </w:p>
          <w:p w:rsidR="004F6C0E" w:rsidRPr="00990D3B" w:rsidP="00F13B33" w14:paraId="30A70111" w14:textId="7CC897B2">
            <w:pPr>
              <w:pStyle w:val="EQRTableText"/>
              <w:rPr>
                <w:rFonts w:eastAsia="Calibri"/>
                <w:b/>
                <w:szCs w:val="18"/>
              </w:rPr>
            </w:pPr>
            <w:r w:rsidRPr="00990D3B">
              <w:rPr>
                <w:b/>
              </w:rPr>
              <w:t> </w:t>
            </w:r>
          </w:p>
        </w:tc>
      </w:tr>
    </w:tbl>
    <w:p w:rsidR="00F13B33" w:rsidRPr="00990D3B" w14:paraId="1621C116" w14:textId="77777777">
      <w:pPr>
        <w:spacing w:line="240" w:lineRule="auto"/>
        <w:rPr>
          <w:rFonts w:ascii="Arial" w:eastAsia="Calibri" w:hAnsi="Arial"/>
          <w:b/>
          <w:color w:val="000000" w:themeColor="text1"/>
          <w:sz w:val="20"/>
        </w:rPr>
      </w:pPr>
      <w:r w:rsidRPr="00990D3B">
        <w:br w:type="page"/>
      </w:r>
    </w:p>
    <w:p w:rsidR="004F6C0E" w:rsidRPr="00990D3B" w:rsidP="002B40CC" w14:paraId="5DAE0FEE" w14:textId="36708818">
      <w:pPr>
        <w:pStyle w:val="H2EQRWorksheet"/>
      </w:pPr>
      <w:r w:rsidRPr="00990D3B">
        <w:t>S</w:t>
      </w:r>
      <w:bookmarkStart w:id="1195" w:name="WSB2Sec5D"/>
      <w:bookmarkEnd w:id="1195"/>
      <w:r w:rsidRPr="00990D3B">
        <w:t>ection 5D. Data Acquisition Capabilities: Integration and Control of Data for Performance Measure Reporting</w:t>
      </w:r>
    </w:p>
    <w:tbl>
      <w:tblPr>
        <w:tblStyle w:val="TableGrid"/>
        <w:tblW w:w="5000" w:type="pct"/>
        <w:tblLook w:val="04A0"/>
      </w:tblPr>
      <w:tblGrid>
        <w:gridCol w:w="9350"/>
      </w:tblGrid>
      <w:tr w14:paraId="725450C1" w14:textId="77777777" w:rsidTr="007439E8">
        <w:tblPrEx>
          <w:tblW w:w="5000" w:type="pct"/>
          <w:tblLook w:val="04A0"/>
        </w:tblPrEx>
        <w:tc>
          <w:tcPr>
            <w:tcW w:w="9350" w:type="dxa"/>
          </w:tcPr>
          <w:p w:rsidR="004F6C0E" w:rsidRPr="00990D3B" w:rsidP="009728CE" w14:paraId="79A5F799" w14:textId="77777777">
            <w:pPr>
              <w:pStyle w:val="EQRTableText"/>
              <w:rPr>
                <w:b/>
              </w:rPr>
            </w:pPr>
            <w:r w:rsidRPr="00990D3B">
              <w:rPr>
                <w:b/>
              </w:rPr>
              <w:t>List questions for discussion with the MCP integration and control of data for performance measure reporting</w:t>
            </w:r>
          </w:p>
          <w:p w:rsidR="004F6C0E" w:rsidRPr="00990D3B" w:rsidP="009728CE" w14:paraId="6F189620" w14:textId="77777777">
            <w:pPr>
              <w:pStyle w:val="EQRTableText"/>
            </w:pPr>
            <w:r w:rsidRPr="00990D3B">
              <w:t>Potential prompts:</w:t>
            </w:r>
          </w:p>
          <w:p w:rsidR="004F6C0E" w:rsidRPr="00990D3B" w:rsidP="00D21B65" w14:paraId="1D44390C" w14:textId="386D6EBD">
            <w:pPr>
              <w:pStyle w:val="EQRTableTextbullet"/>
            </w:pPr>
            <w:r w:rsidRPr="00990D3B">
              <w:t xml:space="preserve">MCP integration of Medicaid and CHIP claims, encounter, </w:t>
            </w:r>
            <w:r w:rsidRPr="00990D3B" w:rsidR="005F509B">
              <w:t>enrollment</w:t>
            </w:r>
            <w:r w:rsidRPr="00990D3B">
              <w:t>, provider, vendor, and other data to calculate performance rates</w:t>
            </w:r>
          </w:p>
          <w:p w:rsidR="004F6C0E" w:rsidRPr="00990D3B" w:rsidP="00D21B65" w14:paraId="5D4D38BB" w14:textId="77777777">
            <w:pPr>
              <w:pStyle w:val="EQRTableTextbullet"/>
            </w:pPr>
            <w:r w:rsidRPr="00990D3B">
              <w:t>Consolidation of data sets for each Medicaid and CHIP measure collected</w:t>
            </w:r>
          </w:p>
          <w:p w:rsidR="004F6C0E" w:rsidRPr="00990D3B" w:rsidP="00D21B65" w14:paraId="768640B0" w14:textId="593E2C77">
            <w:pPr>
              <w:pStyle w:val="EQRTableTextbullet"/>
            </w:pPr>
            <w:r w:rsidRPr="00990D3B">
              <w:t xml:space="preserve">Process for consolidating claims/encounter, </w:t>
            </w:r>
            <w:r w:rsidRPr="00990D3B" w:rsidR="002F4DD4">
              <w:t>enrollee</w:t>
            </w:r>
            <w:r w:rsidRPr="00990D3B">
              <w:t>, and provider data for Medicaid and CHIP</w:t>
            </w:r>
          </w:p>
          <w:p w:rsidR="004F6C0E" w:rsidRPr="00990D3B" w:rsidP="00D21B65" w14:paraId="176C8937" w14:textId="77777777">
            <w:pPr>
              <w:pStyle w:val="EQRTableTextbullet"/>
            </w:pPr>
            <w:r w:rsidRPr="00990D3B">
              <w:t>Performance measure reporting</w:t>
            </w:r>
          </w:p>
          <w:p w:rsidR="004F6C0E" w:rsidRPr="00990D3B" w:rsidP="00D21B65" w14:paraId="39D8BE66" w14:textId="77777777">
            <w:pPr>
              <w:pStyle w:val="EQRTableTextbullet"/>
            </w:pPr>
            <w:r w:rsidRPr="00990D3B">
              <w:t xml:space="preserve">Performance measure repository </w:t>
            </w:r>
          </w:p>
          <w:p w:rsidR="004F6C0E" w:rsidRPr="00990D3B" w:rsidP="00D21B65" w14:paraId="4B0D2A78" w14:textId="77777777">
            <w:pPr>
              <w:pStyle w:val="EQRTableTextbullet"/>
            </w:pPr>
            <w:r w:rsidRPr="00990D3B">
              <w:t>Report generation</w:t>
            </w:r>
          </w:p>
          <w:p w:rsidR="004F6C0E" w:rsidRPr="00990D3B" w:rsidP="00D21B65" w14:paraId="53230826" w14:textId="77777777">
            <w:pPr>
              <w:pStyle w:val="EQRTableTextbullet"/>
            </w:pPr>
            <w:r w:rsidRPr="00990D3B">
              <w:t>Bonuses and penalties</w:t>
            </w:r>
          </w:p>
          <w:p w:rsidR="004F6C0E" w:rsidRPr="00990D3B" w:rsidP="00D21B65" w14:paraId="01FC6962" w14:textId="77777777">
            <w:pPr>
              <w:pStyle w:val="EQRTableTextbullet"/>
            </w:pPr>
            <w:r w:rsidRPr="00990D3B">
              <w:t>Bundled/global payments</w:t>
            </w:r>
          </w:p>
          <w:p w:rsidR="004F6C0E" w:rsidRPr="00990D3B" w:rsidP="00D21B65" w14:paraId="4B638455" w14:textId="77777777">
            <w:pPr>
              <w:pStyle w:val="EQRTableTextbullet"/>
            </w:pPr>
            <w:r w:rsidRPr="00990D3B">
              <w:t>Provider profiles/directories</w:t>
            </w:r>
          </w:p>
          <w:p w:rsidR="004F6C0E" w:rsidRPr="00990D3B" w:rsidP="00D21B65" w14:paraId="2292BC73" w14:textId="4F2B26D5">
            <w:pPr>
              <w:pStyle w:val="EQRTableTextbullet"/>
              <w:rPr>
                <w:rFonts w:eastAsia="Calibri"/>
                <w:szCs w:val="18"/>
              </w:rPr>
            </w:pPr>
            <w:r w:rsidRPr="00990D3B">
              <w:t>Process for maintaining Medicaid</w:t>
            </w:r>
            <w:r w:rsidRPr="00990D3B" w:rsidR="00B627D4">
              <w:t xml:space="preserve"> and</w:t>
            </w:r>
            <w:r w:rsidRPr="00990D3B" w:rsidR="00B42A92">
              <w:t xml:space="preserve"> CHIP</w:t>
            </w:r>
            <w:r w:rsidRPr="00990D3B">
              <w:t xml:space="preserve"> fee schedules and provider compensation rules </w:t>
            </w:r>
          </w:p>
        </w:tc>
      </w:tr>
      <w:tr w14:paraId="60B37B02" w14:textId="77777777" w:rsidTr="00D21B65">
        <w:tblPrEx>
          <w:tblW w:w="5000" w:type="pct"/>
          <w:tblLook w:val="04A0"/>
        </w:tblPrEx>
        <w:trPr>
          <w:trHeight w:val="2880"/>
        </w:trPr>
        <w:tc>
          <w:tcPr>
            <w:tcW w:w="9350" w:type="dxa"/>
          </w:tcPr>
          <w:p w:rsidR="004F6C0E" w:rsidRPr="00990D3B" w:rsidP="009728CE" w14:paraId="27AAF92C" w14:textId="77777777">
            <w:pPr>
              <w:pStyle w:val="EQRTableText"/>
              <w:rPr>
                <w:b/>
              </w:rPr>
            </w:pPr>
            <w:r w:rsidRPr="00990D3B">
              <w:rPr>
                <w:b/>
              </w:rPr>
              <w:t>MCP responses to follow-up questions</w:t>
            </w:r>
          </w:p>
          <w:p w:rsidR="004F6C0E" w:rsidRPr="00990D3B" w:rsidP="009728CE" w14:paraId="191F4C01" w14:textId="00A059F8">
            <w:pPr>
              <w:pStyle w:val="EQRTableText"/>
              <w:rPr>
                <w:rFonts w:eastAsia="Calibri"/>
                <w:b/>
                <w:szCs w:val="18"/>
              </w:rPr>
            </w:pPr>
          </w:p>
        </w:tc>
      </w:tr>
      <w:tr w14:paraId="1021C7DF" w14:textId="77777777" w:rsidTr="00D21B65">
        <w:tblPrEx>
          <w:tblW w:w="5000" w:type="pct"/>
          <w:tblLook w:val="04A0"/>
        </w:tblPrEx>
        <w:trPr>
          <w:trHeight w:val="2880"/>
        </w:trPr>
        <w:tc>
          <w:tcPr>
            <w:tcW w:w="9350" w:type="dxa"/>
          </w:tcPr>
          <w:p w:rsidR="004F6C0E" w:rsidRPr="00990D3B" w:rsidP="009728CE" w14:paraId="6082E1DA" w14:textId="77777777">
            <w:pPr>
              <w:pStyle w:val="EQRTableText"/>
              <w:rPr>
                <w:b/>
              </w:rPr>
            </w:pPr>
            <w:r w:rsidRPr="00990D3B">
              <w:rPr>
                <w:b/>
              </w:rPr>
              <w:t>Additional information provided by the MCP</w:t>
            </w:r>
          </w:p>
          <w:p w:rsidR="004F6C0E" w:rsidRPr="00990D3B" w:rsidP="00D21B65" w14:paraId="64AE5C8F" w14:textId="77777777">
            <w:pPr>
              <w:pStyle w:val="EQRTableText"/>
              <w:rPr>
                <w:rFonts w:eastAsia="Calibri"/>
                <w:b/>
                <w:szCs w:val="18"/>
              </w:rPr>
            </w:pPr>
          </w:p>
        </w:tc>
      </w:tr>
    </w:tbl>
    <w:p w:rsidR="004F6C0E" w:rsidRPr="00990D3B" w:rsidP="009B3409" w14:paraId="6973B32C" w14:textId="74C2CF9A">
      <w:pPr>
        <w:pStyle w:val="ParagraphContinued"/>
        <w:jc w:val="center"/>
      </w:pPr>
      <w:r w:rsidRPr="00990D3B">
        <w:t xml:space="preserve">END OF WORKSHEET </w:t>
      </w:r>
      <w:r w:rsidRPr="00990D3B" w:rsidR="00AA0D87">
        <w:t>B</w:t>
      </w:r>
      <w:r w:rsidRPr="00990D3B">
        <w:t>.2</w:t>
      </w:r>
    </w:p>
    <w:p w:rsidR="00E40568" w:rsidRPr="00990D3B" w:rsidP="00E40568" w14:paraId="0557CBE7" w14:textId="77777777">
      <w:pPr>
        <w:pStyle w:val="Paragraph0"/>
      </w:pPr>
    </w:p>
    <w:p w:rsidR="004F6C0E" w:rsidRPr="00990D3B" w:rsidP="00EA1F33" w14:paraId="16AD84F7" w14:textId="77777777">
      <w:pPr>
        <w:pStyle w:val="EQRNormalSSP1"/>
        <w:spacing w:after="0"/>
        <w:sectPr w:rsidSect="006703A0">
          <w:type w:val="continuous"/>
          <w:pgSz w:w="12240" w:h="15840" w:code="1"/>
          <w:pgMar w:top="1440" w:right="1440" w:bottom="1440" w:left="1440" w:header="720" w:footer="720" w:gutter="0"/>
          <w:cols w:space="720"/>
          <w:docGrid w:linePitch="360"/>
        </w:sectPr>
      </w:pPr>
    </w:p>
    <w:p w:rsidR="00F835DC" w:rsidRPr="00990D3B" w:rsidP="00F83773" w14:paraId="218F18D7" w14:textId="48F05369">
      <w:pPr>
        <w:pStyle w:val="H1"/>
      </w:pPr>
      <w:bookmarkStart w:id="1196" w:name="AppC"/>
      <w:bookmarkStart w:id="1197" w:name="_Toc493246402"/>
      <w:bookmarkStart w:id="1198" w:name="_Toc14777776"/>
      <w:bookmarkStart w:id="1199" w:name="_Toc183005676"/>
      <w:bookmarkStart w:id="1200" w:name="_Toc201751471"/>
      <w:bookmarkEnd w:id="1196"/>
      <w:r w:rsidRPr="00990D3B">
        <w:t xml:space="preserve">Appendix </w:t>
      </w:r>
      <w:r w:rsidRPr="00990D3B" w:rsidR="0074247F">
        <w:t>C</w:t>
      </w:r>
      <w:r w:rsidRPr="00990D3B">
        <w:t xml:space="preserve">. </w:t>
      </w:r>
      <w:bookmarkEnd w:id="1197"/>
      <w:r w:rsidRPr="00990D3B">
        <w:t>Sampling Approaches for EQR Data Collection Activities</w:t>
      </w:r>
      <w:bookmarkEnd w:id="1198"/>
      <w:bookmarkEnd w:id="1199"/>
      <w:bookmarkEnd w:id="1200"/>
    </w:p>
    <w:p w:rsidR="00D10BED" w:rsidRPr="00990D3B" w:rsidP="00FC5666" w14:paraId="0C562D83" w14:textId="3CDC5A6C">
      <w:pPr>
        <w:pStyle w:val="H2"/>
        <w:rPr>
          <w:rFonts w:ascii="Arial" w:hAnsi="Arial"/>
        </w:rPr>
      </w:pPr>
      <w:bookmarkStart w:id="1201" w:name="_Toc482976517"/>
      <w:bookmarkStart w:id="1202" w:name="_Toc14777777"/>
      <w:bookmarkStart w:id="1203" w:name="_Toc183005677"/>
      <w:bookmarkStart w:id="1204" w:name="_Toc201751472"/>
      <w:r w:rsidRPr="00990D3B">
        <w:t>B</w:t>
      </w:r>
      <w:bookmarkEnd w:id="1201"/>
      <w:r w:rsidRPr="00990D3B" w:rsidR="00787C8B">
        <w:t>ackground</w:t>
      </w:r>
      <w:bookmarkEnd w:id="1202"/>
      <w:bookmarkEnd w:id="1203"/>
      <w:bookmarkEnd w:id="1204"/>
    </w:p>
    <w:p w:rsidR="00D10BED" w:rsidRPr="00990D3B" w:rsidP="004E5005" w14:paraId="2376FD8D" w14:textId="0EEC859C">
      <w:pPr>
        <w:pStyle w:val="ParagraphContinued"/>
      </w:pPr>
      <w:r w:rsidRPr="00990D3B">
        <w:t xml:space="preserve">Sampling is used frequently in </w:t>
      </w:r>
      <w:r w:rsidRPr="00990D3B" w:rsidR="00E535C4">
        <w:t>external quality review (</w:t>
      </w:r>
      <w:r w:rsidRPr="00990D3B">
        <w:t>EQR</w:t>
      </w:r>
      <w:r w:rsidRPr="00990D3B" w:rsidR="00E535C4">
        <w:t>)</w:t>
      </w:r>
      <w:r w:rsidRPr="00990D3B" w:rsidR="00657417">
        <w:t>-related activity</w:t>
      </w:r>
      <w:r w:rsidRPr="00990D3B">
        <w:t xml:space="preserve"> processes for validation and analysis purposes, such as:</w:t>
      </w:r>
    </w:p>
    <w:p w:rsidR="00D10BED" w:rsidRPr="00990D3B" w:rsidP="00FB7CAF" w14:paraId="26E9BF6C" w14:textId="7D0550D5">
      <w:pPr>
        <w:pStyle w:val="EQRBulletBLUE"/>
      </w:pPr>
      <w:r w:rsidRPr="00990D3B">
        <w:t>Validating performance improvement projects (PIPs) (</w:t>
      </w:r>
      <w:hyperlink w:anchor="Protocol1" w:tooltip="Protocol 1" w:history="1">
        <w:r w:rsidRPr="00990D3B">
          <w:rPr>
            <w:rStyle w:val="Hyperlink"/>
            <w:szCs w:val="22"/>
          </w:rPr>
          <w:t>Protocol 1</w:t>
        </w:r>
      </w:hyperlink>
      <w:r w:rsidRPr="00990D3B">
        <w:t>)</w:t>
      </w:r>
    </w:p>
    <w:p w:rsidR="00D10BED" w:rsidRPr="00990D3B" w:rsidP="00FB7CAF" w14:paraId="70616AB9" w14:textId="3A5B78B9">
      <w:pPr>
        <w:pStyle w:val="EQRBulletBLUE"/>
      </w:pPr>
      <w:r w:rsidRPr="00990D3B">
        <w:t xml:space="preserve">Validating </w:t>
      </w:r>
      <w:r w:rsidRPr="00990D3B" w:rsidR="006D6909">
        <w:t xml:space="preserve">the </w:t>
      </w:r>
      <w:r w:rsidRPr="00990D3B">
        <w:t xml:space="preserve">performance measures </w:t>
      </w:r>
      <w:r w:rsidRPr="00990D3B" w:rsidR="006D6909">
        <w:t>included in managed care plans’ (MCPs’) quality assessment and performance improvement (QAPI) programs</w:t>
      </w:r>
      <w:r w:rsidRPr="00990D3B">
        <w:t xml:space="preserve"> (</w:t>
      </w:r>
      <w:hyperlink w:anchor="Protocol2" w:tooltip="Protocol 2" w:history="1">
        <w:r w:rsidRPr="00990D3B">
          <w:rPr>
            <w:rStyle w:val="Hyperlink"/>
            <w:szCs w:val="22"/>
          </w:rPr>
          <w:t>Protocol 2</w:t>
        </w:r>
      </w:hyperlink>
      <w:r w:rsidRPr="00990D3B">
        <w:t>)</w:t>
      </w:r>
    </w:p>
    <w:p w:rsidR="00D10BED" w:rsidRPr="00990D3B" w:rsidP="00FB7CAF" w14:paraId="644828E6" w14:textId="67FF54D1">
      <w:pPr>
        <w:pStyle w:val="EQRBulletBLUE"/>
      </w:pPr>
      <w:r w:rsidRPr="00990D3B">
        <w:t>Validating the</w:t>
      </w:r>
      <w:r w:rsidRPr="00990D3B">
        <w:t xml:space="preserve"> encounter data</w:t>
      </w:r>
      <w:r w:rsidRPr="00990D3B">
        <w:t xml:space="preserve"> reported by the MCP</w:t>
      </w:r>
      <w:r w:rsidRPr="00990D3B">
        <w:t xml:space="preserve"> (</w:t>
      </w:r>
      <w:hyperlink w:anchor="Protocol5" w:tooltip="Protocol 5" w:history="1">
        <w:r w:rsidRPr="00990D3B">
          <w:rPr>
            <w:rStyle w:val="Hyperlink"/>
            <w:szCs w:val="22"/>
          </w:rPr>
          <w:t>Protocol 5</w:t>
        </w:r>
      </w:hyperlink>
      <w:r w:rsidRPr="00990D3B">
        <w:t>)</w:t>
      </w:r>
    </w:p>
    <w:p w:rsidR="00D10BED" w:rsidRPr="00990D3B" w:rsidP="00FB7CAF" w14:paraId="3F55FCC3" w14:textId="25C6C66A">
      <w:pPr>
        <w:pStyle w:val="EQRBulletBLUE"/>
      </w:pPr>
      <w:r w:rsidRPr="00990D3B">
        <w:t>Administering or validating</w:t>
      </w:r>
      <w:r w:rsidRPr="00990D3B">
        <w:t xml:space="preserve"> </w:t>
      </w:r>
      <w:r w:rsidRPr="00990D3B">
        <w:t>quality of care surveys</w:t>
      </w:r>
      <w:r w:rsidRPr="00990D3B">
        <w:t xml:space="preserve"> (</w:t>
      </w:r>
      <w:hyperlink w:anchor="Protocol6" w:tooltip="Protocol 6" w:history="1">
        <w:r w:rsidRPr="00990D3B">
          <w:rPr>
            <w:rStyle w:val="Hyperlink"/>
            <w:szCs w:val="22"/>
          </w:rPr>
          <w:t>Protocol 6</w:t>
        </w:r>
      </w:hyperlink>
      <w:r w:rsidRPr="00990D3B">
        <w:t>)</w:t>
      </w:r>
    </w:p>
    <w:p w:rsidR="00D10BED" w:rsidRPr="00990D3B" w:rsidP="00FB7CAF" w14:paraId="60CE8C52" w14:textId="776F2047">
      <w:pPr>
        <w:pStyle w:val="EQRBulletBLUE"/>
      </w:pPr>
      <w:r w:rsidRPr="00990D3B">
        <w:t xml:space="preserve">Calculating </w:t>
      </w:r>
      <w:r w:rsidRPr="00990D3B" w:rsidR="00052412">
        <w:t xml:space="preserve">additional </w:t>
      </w:r>
      <w:r w:rsidRPr="00990D3B">
        <w:t>performance measures (</w:t>
      </w:r>
      <w:hyperlink w:anchor="Protocol7" w:tooltip="Protocol 7" w:history="1">
        <w:r w:rsidRPr="00990D3B">
          <w:rPr>
            <w:rStyle w:val="Hyperlink"/>
            <w:szCs w:val="22"/>
          </w:rPr>
          <w:t>Protocol 7</w:t>
        </w:r>
      </w:hyperlink>
      <w:r w:rsidRPr="00990D3B">
        <w:t>)</w:t>
      </w:r>
    </w:p>
    <w:p w:rsidR="00D10BED" w:rsidRPr="00990D3B" w:rsidP="00FB7CAF" w14:paraId="6EEA0A91" w14:textId="170F92AC">
      <w:pPr>
        <w:pStyle w:val="EQRBulletBLUE"/>
      </w:pPr>
      <w:r w:rsidRPr="00990D3B">
        <w:t xml:space="preserve">Implementing </w:t>
      </w:r>
      <w:r w:rsidRPr="00990D3B" w:rsidR="00052412">
        <w:t xml:space="preserve">additional </w:t>
      </w:r>
      <w:r w:rsidRPr="00990D3B">
        <w:t>PIP</w:t>
      </w:r>
      <w:r w:rsidRPr="00990D3B" w:rsidR="006D6909">
        <w:t>s</w:t>
      </w:r>
      <w:r w:rsidRPr="00990D3B">
        <w:t xml:space="preserve"> (</w:t>
      </w:r>
      <w:hyperlink w:anchor="Protocol8" w:tooltip="Protocol 8" w:history="1">
        <w:r w:rsidRPr="00990D3B">
          <w:rPr>
            <w:rStyle w:val="Hyperlink"/>
            <w:szCs w:val="22"/>
          </w:rPr>
          <w:t>Protocol 8</w:t>
        </w:r>
      </w:hyperlink>
      <w:r w:rsidRPr="00990D3B">
        <w:t>)</w:t>
      </w:r>
    </w:p>
    <w:p w:rsidR="00D10BED" w:rsidRPr="00990D3B" w:rsidP="00FB7CAF" w14:paraId="23A44248" w14:textId="390B0C70">
      <w:pPr>
        <w:pStyle w:val="EQRBulletBLUE"/>
      </w:pPr>
      <w:r w:rsidRPr="00990D3B">
        <w:t xml:space="preserve">Conducting </w:t>
      </w:r>
      <w:r w:rsidRPr="00990D3B" w:rsidR="00972D60">
        <w:t>focus</w:t>
      </w:r>
      <w:r w:rsidRPr="00990D3B">
        <w:t xml:space="preserve"> studies </w:t>
      </w:r>
      <w:r w:rsidRPr="00990D3B" w:rsidR="00835E69">
        <w:t>of health care quality</w:t>
      </w:r>
      <w:r w:rsidRPr="00990D3B">
        <w:t xml:space="preserve"> (</w:t>
      </w:r>
      <w:hyperlink w:anchor="Protocol9" w:tooltip="Protocol 9" w:history="1">
        <w:r w:rsidRPr="00990D3B">
          <w:rPr>
            <w:rStyle w:val="Hyperlink"/>
            <w:szCs w:val="22"/>
          </w:rPr>
          <w:t>Protocol 9</w:t>
        </w:r>
      </w:hyperlink>
      <w:r w:rsidRPr="00990D3B">
        <w:t>)</w:t>
      </w:r>
    </w:p>
    <w:p w:rsidR="00D10BED" w:rsidRPr="00990D3B" w:rsidP="004E5005" w14:paraId="6F8F8351" w14:textId="17640CB3">
      <w:pPr>
        <w:pStyle w:val="ParagraphContinued"/>
      </w:pPr>
      <w:r w:rsidRPr="00990D3B">
        <w:t xml:space="preserve">This appendix provides a brief overview of the types of sampling approaches and guidance for determining minimum sample sizes for EQR data collection activities. A statistician or other staff with expertise in sample design and implementation should advise the </w:t>
      </w:r>
      <w:r w:rsidRPr="00990D3B" w:rsidR="00E535C4">
        <w:t>external quality review organization (</w:t>
      </w:r>
      <w:r w:rsidRPr="00990D3B">
        <w:t>EQRO</w:t>
      </w:r>
      <w:r w:rsidRPr="00990D3B" w:rsidR="00E535C4">
        <w:t>)</w:t>
      </w:r>
      <w:r w:rsidRPr="00990D3B">
        <w:t xml:space="preserve"> on the appropriate sampling strategy to be used for each activity.</w:t>
      </w:r>
      <w:bookmarkStart w:id="1205" w:name="_Toc278882181"/>
      <w:bookmarkStart w:id="1206" w:name="_Toc325371047"/>
    </w:p>
    <w:p w:rsidR="00D10BED" w:rsidRPr="00990D3B" w:rsidP="00FC5666" w14:paraId="77929C29" w14:textId="7CBFE29F">
      <w:pPr>
        <w:pStyle w:val="H2"/>
      </w:pPr>
      <w:bookmarkStart w:id="1207" w:name="_Toc14777778"/>
      <w:bookmarkStart w:id="1208" w:name="_Toc183005678"/>
      <w:bookmarkStart w:id="1209" w:name="_Toc201751473"/>
      <w:r w:rsidRPr="00990D3B">
        <w:t>T</w:t>
      </w:r>
      <w:r w:rsidRPr="00990D3B" w:rsidR="00787C8B">
        <w:t xml:space="preserve">ypes of </w:t>
      </w:r>
      <w:r w:rsidRPr="00990D3B">
        <w:t>S</w:t>
      </w:r>
      <w:r w:rsidRPr="00990D3B" w:rsidR="00787C8B">
        <w:t>ampling</w:t>
      </w:r>
      <w:r w:rsidRPr="00990D3B">
        <w:t xml:space="preserve"> A</w:t>
      </w:r>
      <w:r w:rsidRPr="00990D3B" w:rsidR="00787C8B">
        <w:t>pproaches</w:t>
      </w:r>
      <w:bookmarkEnd w:id="1207"/>
      <w:bookmarkEnd w:id="1208"/>
      <w:bookmarkEnd w:id="1209"/>
    </w:p>
    <w:bookmarkEnd w:id="1205"/>
    <w:bookmarkEnd w:id="1206"/>
    <w:p w:rsidR="00D10BED" w:rsidRPr="00990D3B" w:rsidP="00FC5666" w14:paraId="4E7DC136" w14:textId="4B58DA34">
      <w:pPr>
        <w:pStyle w:val="H3"/>
      </w:pPr>
      <w:r w:rsidRPr="00990D3B">
        <w:t>Probability Sampling</w:t>
      </w:r>
    </w:p>
    <w:p w:rsidR="00D10BED" w:rsidRPr="00990D3B" w:rsidP="004E5005" w14:paraId="06575D8F" w14:textId="0DC9B701">
      <w:pPr>
        <w:pStyle w:val="ParagraphContinued"/>
      </w:pPr>
      <w:r w:rsidRPr="00990D3B">
        <w:t>Probability (or random) sampling methods leave selection of population units to chance and not to convenience or preference on the part of the individuals conducting the study or otherwise participating in the study. Probability sampling removes systematic bias due to observed and unobserved differences in the sampling units. There are several types of probability sampling methods:</w:t>
      </w:r>
      <w:r w:rsidRPr="00990D3B">
        <w:rPr>
          <w:noProof/>
        </w:rPr>
        <w:t xml:space="preserve"> </w:t>
      </w:r>
    </w:p>
    <w:p w:rsidR="00D10BED" w:rsidRPr="00990D3B" w:rsidP="00FB7CAF" w14:paraId="61E70915" w14:textId="6D098C18">
      <w:pPr>
        <w:pStyle w:val="EQRBulletBLUE"/>
      </w:pPr>
      <w:r w:rsidRPr="00990D3B">
        <w:rPr>
          <w:b/>
        </w:rPr>
        <w:t>Simple random sampling</w:t>
      </w:r>
      <w:r w:rsidRPr="00990D3B" w:rsidR="00AD7350">
        <w:t xml:space="preserve">. A </w:t>
      </w:r>
      <w:r w:rsidRPr="00990D3B">
        <w:t xml:space="preserve">method where all members of the study population </w:t>
      </w:r>
      <w:r w:rsidRPr="00990D3B" w:rsidR="00305046">
        <w:t xml:space="preserve">are listed in the sampling frame </w:t>
      </w:r>
      <w:r w:rsidRPr="00990D3B" w:rsidR="00E0052F">
        <w:t xml:space="preserve">(see </w:t>
      </w:r>
      <w:hyperlink w:anchor="BoxCn1" w:tooltip="Box C.1" w:history="1">
        <w:r w:rsidRPr="00990D3B" w:rsidR="00E0052F">
          <w:rPr>
            <w:rStyle w:val="Hyperlink"/>
          </w:rPr>
          <w:t xml:space="preserve">Box </w:t>
        </w:r>
        <w:r w:rsidRPr="00990D3B" w:rsidR="00AD7350">
          <w:rPr>
            <w:rStyle w:val="Hyperlink"/>
          </w:rPr>
          <w:t>C</w:t>
        </w:r>
        <w:r w:rsidRPr="00990D3B" w:rsidR="00E0052F">
          <w:rPr>
            <w:rStyle w:val="Hyperlink"/>
          </w:rPr>
          <w:t>.1</w:t>
        </w:r>
      </w:hyperlink>
      <w:r w:rsidRPr="00990D3B" w:rsidR="00E0052F">
        <w:t xml:space="preserve">) </w:t>
      </w:r>
      <w:r w:rsidRPr="00990D3B" w:rsidR="00305046">
        <w:t xml:space="preserve">and </w:t>
      </w:r>
      <w:r w:rsidRPr="00990D3B">
        <w:t>have an equal chance of being selected for the sample</w:t>
      </w:r>
      <w:r w:rsidRPr="00990D3B" w:rsidR="003B4673">
        <w:t xml:space="preserve"> from the sampling frame</w:t>
      </w:r>
      <w:r w:rsidRPr="00990D3B" w:rsidR="00E0052F">
        <w:t>.</w:t>
      </w:r>
      <w:r w:rsidRPr="00990D3B">
        <w:t xml:space="preserve"> One way to select a simple random sample is to first assign all units in the sampling frame a unique identifier. Next, random numbers are generated for each unit using</w:t>
      </w:r>
      <w:r w:rsidRPr="00990D3B" w:rsidR="007953F8">
        <w:t xml:space="preserve"> </w:t>
      </w:r>
      <w:r w:rsidRPr="00990D3B">
        <w:t xml:space="preserve">random number generators (available in statistical software or </w:t>
      </w:r>
      <w:r w:rsidRPr="00990D3B">
        <w:t>products). The random numbers then dictate the order in which units from the sampling frame appear. Units are selected for the sample taking the first n units in that random order, where n is the desired sample size. Simple random sampling ensures that all members of the target population have an equal chance of selection</w:t>
      </w:r>
      <w:r w:rsidRPr="00990D3B" w:rsidR="003B4673">
        <w:t>.</w:t>
      </w:r>
      <w:r w:rsidRPr="00990D3B">
        <w:t xml:space="preserve">  </w:t>
      </w:r>
    </w:p>
    <w:tbl>
      <w:tblPr>
        <w:tblStyle w:val="TableGrid"/>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
      <w:tblGrid>
        <w:gridCol w:w="9314"/>
      </w:tblGrid>
      <w:tr w14:paraId="5AF86685" w14:textId="77777777" w:rsidTr="000F67F7">
        <w:tblPrEx>
          <w:tblW w:w="0" w:type="auto"/>
          <w:tblBorders>
            <w:top w:val="single" w:sz="18" w:space="0" w:color="A5DAD9"/>
            <w:left w:val="single" w:sz="18" w:space="0" w:color="A5DAD9"/>
            <w:bottom w:val="single" w:sz="18" w:space="0" w:color="A5DAD9"/>
            <w:right w:val="single" w:sz="18" w:space="0" w:color="A5DAD9"/>
            <w:insideH w:val="none" w:sz="0" w:space="0" w:color="auto"/>
            <w:insideV w:val="none" w:sz="0" w:space="0" w:color="auto"/>
          </w:tblBorders>
          <w:tblCellMar>
            <w:top w:w="72" w:type="dxa"/>
            <w:left w:w="173" w:type="dxa"/>
            <w:bottom w:w="72" w:type="dxa"/>
            <w:right w:w="173" w:type="dxa"/>
          </w:tblCellMar>
          <w:tblLook w:val="04A0"/>
        </w:tblPrEx>
        <w:trPr>
          <w:cantSplit/>
        </w:trPr>
        <w:tc>
          <w:tcPr>
            <w:tcW w:w="9314" w:type="dxa"/>
            <w:shd w:val="clear" w:color="auto" w:fill="EEF5F8"/>
          </w:tcPr>
          <w:p w:rsidR="000D0820" w:rsidRPr="00990D3B" w:rsidP="000F67F7" w14:paraId="78C5E53E" w14:textId="3C407257">
            <w:pPr>
              <w:pStyle w:val="EQRTextboxheading"/>
              <w:keepNext/>
              <w:spacing w:before="0" w:after="0"/>
            </w:pPr>
            <w:bookmarkStart w:id="1210" w:name="BoxBn1"/>
            <w:bookmarkStart w:id="1211" w:name="BoxCn1"/>
            <w:bookmarkEnd w:id="1210"/>
            <w:bookmarkEnd w:id="1211"/>
            <w:r w:rsidRPr="00990D3B">
              <w:t xml:space="preserve">Box </w:t>
            </w:r>
            <w:r w:rsidRPr="00990D3B" w:rsidR="00AD7350">
              <w:t>C</w:t>
            </w:r>
            <w:r w:rsidRPr="00990D3B">
              <w:t>.1. What is a Sampling Frame?</w:t>
            </w:r>
          </w:p>
        </w:tc>
      </w:tr>
      <w:tr w14:paraId="2A86521E" w14:textId="77777777" w:rsidTr="000F67F7">
        <w:tblPrEx>
          <w:tblW w:w="0" w:type="auto"/>
          <w:tblCellMar>
            <w:top w:w="72" w:type="dxa"/>
            <w:left w:w="173" w:type="dxa"/>
            <w:bottom w:w="72" w:type="dxa"/>
            <w:right w:w="173" w:type="dxa"/>
          </w:tblCellMar>
          <w:tblLook w:val="04A0"/>
        </w:tblPrEx>
        <w:trPr>
          <w:cantSplit/>
        </w:trPr>
        <w:tc>
          <w:tcPr>
            <w:tcW w:w="9314" w:type="dxa"/>
            <w:shd w:val="clear" w:color="auto" w:fill="EEF5F8"/>
          </w:tcPr>
          <w:p w:rsidR="000D0820" w:rsidRPr="00990D3B" w:rsidP="00AD7350" w14:paraId="091CA22D" w14:textId="7B066313">
            <w:pPr>
              <w:pStyle w:val="EQRTextboxbody"/>
              <w:spacing w:before="0"/>
            </w:pPr>
            <w:r w:rsidRPr="00990D3B">
              <w:t>A sampling frame is the list from which the sample is drawn. It includes the universe of members of the target study population, such as individuals, households, providers, or other population units that are eligible to be included in the study. The completeness and accuracy of the sampling frame are key to the representativeness of the sample.</w:t>
            </w:r>
          </w:p>
        </w:tc>
      </w:tr>
    </w:tbl>
    <w:p w:rsidR="00D10BED" w:rsidRPr="00990D3B" w:rsidP="00FB7CAF" w14:paraId="7934E5D8" w14:textId="366E471B">
      <w:pPr>
        <w:pStyle w:val="EQRBulletBLUE"/>
      </w:pPr>
      <w:r w:rsidRPr="00990D3B">
        <w:rPr>
          <w:b/>
        </w:rPr>
        <w:t>Systematic random sampling</w:t>
      </w:r>
      <w:r w:rsidRPr="00990D3B" w:rsidR="00AD7350">
        <w:t>. A</w:t>
      </w:r>
      <w:r w:rsidRPr="00990D3B">
        <w:t xml:space="preserve"> method where units are systematically selected starting with a randomly selected first unit. Systematic sampling can be used when a sampling frame is organized or ordered in a way that does not bias the sample. Bias can occur if, for example, there is a cyclical or seasonal order to the data that happens to coincide with the sampling interval, in which case the sample will not fully represent the sampling frame. To select a systematic sample, first determine what the sampling interval (i) is by dividing the total units in the sampling frame (N) by the number of units in the sample (n). For example, if there are 250 units in the sampling frame and the desired sample size is 25, then the sampling interval (i) is 250/25 = 10. Use a random number generator to select a number (k) between 1 and i. Then select the kth, (k + </w:t>
      </w:r>
      <w:r w:rsidRPr="00990D3B">
        <w:t>i</w:t>
      </w:r>
      <w:r w:rsidRPr="00990D3B">
        <w:t>)</w:t>
      </w:r>
      <w:r w:rsidRPr="00990D3B">
        <w:t>th</w:t>
      </w:r>
      <w:r w:rsidRPr="00990D3B">
        <w:t>, (k + 2</w:t>
      </w:r>
      <w:r w:rsidRPr="00990D3B">
        <w:t>i)</w:t>
      </w:r>
      <w:r w:rsidRPr="00990D3B">
        <w:t>th</w:t>
      </w:r>
      <w:r w:rsidRPr="00990D3B">
        <w:t>, etc. units from the frame until the end of the sampling frame is reached and you have selected n un</w:t>
      </w:r>
      <w:r w:rsidRPr="00990D3B" w:rsidR="0031726E">
        <w:t>its</w:t>
      </w:r>
      <w:r w:rsidRPr="00990D3B" w:rsidR="00AD7350">
        <w:t>.</w:t>
      </w:r>
    </w:p>
    <w:p w:rsidR="00D10BED" w:rsidRPr="00990D3B" w:rsidP="00FB7CAF" w14:paraId="4A707CBF" w14:textId="6A633CBB">
      <w:pPr>
        <w:pStyle w:val="EQRBulletBLUE"/>
      </w:pPr>
      <w:r w:rsidRPr="00990D3B">
        <w:rPr>
          <w:b/>
        </w:rPr>
        <w:t>Stratified random sampling</w:t>
      </w:r>
      <w:r w:rsidRPr="00990D3B" w:rsidR="00AD7350">
        <w:rPr>
          <w:b/>
        </w:rPr>
        <w:t xml:space="preserve">. </w:t>
      </w:r>
      <w:r w:rsidRPr="00990D3B" w:rsidR="00AD7350">
        <w:rPr>
          <w:bCs/>
        </w:rPr>
        <w:t>C</w:t>
      </w:r>
      <w:r w:rsidRPr="00990D3B">
        <w:t xml:space="preserve">ontrols the proportion of the sample from subgroups of the target population called strata. This technique divides the population into specific strata or subgroups where the units are, ideally, homogeneous (the same or similar) </w:t>
      </w:r>
      <w:r w:rsidRPr="00990D3B">
        <w:rPr>
          <w:u w:val="single"/>
        </w:rPr>
        <w:t>within</w:t>
      </w:r>
      <w:r w:rsidRPr="00990D3B">
        <w:t xml:space="preserve"> a stratum and heterogeneous (different) </w:t>
      </w:r>
      <w:r w:rsidRPr="00990D3B">
        <w:rPr>
          <w:u w:val="single"/>
        </w:rPr>
        <w:t>between</w:t>
      </w:r>
      <w:r w:rsidRPr="00990D3B">
        <w:t xml:space="preserve"> strata with respect to certain characteristics (e.g., age, ethnicity, or diagnosis). Stratified sampling requires weighting the sample when a disproportionately larger number of units may be selected from one </w:t>
      </w:r>
      <w:r w:rsidRPr="00990D3B">
        <w:t>strata</w:t>
      </w:r>
      <w:r w:rsidRPr="00990D3B">
        <w:t xml:space="preserve"> compared to others (“oversampling”). Stratification is done both to improve the representativeness of the total population’s characteristics and to provide information about the characteristics of interest within subgroups. Stratification can be used to oversample certain subgroups or simply to ensure that the sample ends up with the same proportion as the population with respect to these subgroups. Once strata are identified and constructed, sampling must be conducted within each </w:t>
      </w:r>
      <w:r w:rsidRPr="00990D3B">
        <w:t>strata</w:t>
      </w:r>
      <w:r w:rsidRPr="00990D3B">
        <w:t>, independen</w:t>
      </w:r>
      <w:r w:rsidRPr="00990D3B" w:rsidR="0031726E">
        <w:t>tly, using probability sampling</w:t>
      </w:r>
      <w:r w:rsidRPr="00990D3B" w:rsidR="00AD7350">
        <w:t>.</w:t>
      </w:r>
    </w:p>
    <w:p w:rsidR="00D10BED" w:rsidRPr="00990D3B" w:rsidP="00FB7CAF" w14:paraId="23C8CA6F" w14:textId="18AE8974">
      <w:pPr>
        <w:pStyle w:val="EQRBulletBLUE"/>
      </w:pPr>
      <w:r w:rsidRPr="00990D3B">
        <w:rPr>
          <w:b/>
        </w:rPr>
        <w:t>One-stage cluster sampling</w:t>
      </w:r>
      <w:r w:rsidRPr="00990D3B" w:rsidR="00AD7350">
        <w:rPr>
          <w:b/>
        </w:rPr>
        <w:t xml:space="preserve">. </w:t>
      </w:r>
      <w:r w:rsidRPr="00990D3B" w:rsidR="00AD7350">
        <w:rPr>
          <w:bCs/>
        </w:rPr>
        <w:t>U</w:t>
      </w:r>
      <w:r w:rsidRPr="00990D3B">
        <w:t xml:space="preserve">sed when a comprehensive sampling frame of all units is not readily available or would be too much of a burden to construct, or when data collection cannot occur across the entire population due to financial or operational constraints. Units in the population are gathered or </w:t>
      </w:r>
      <w:r w:rsidRPr="00990D3B">
        <w:t>classified into groups</w:t>
      </w:r>
      <w:r w:rsidRPr="00990D3B">
        <w:t xml:space="preserve"> called clusters (these groups are </w:t>
      </w:r>
      <w:r w:rsidRPr="00990D3B">
        <w:t>similar to</w:t>
      </w:r>
      <w:r w:rsidRPr="00990D3B">
        <w:t xml:space="preserve"> strata used for stratified random sampling). Unlike the stratified sampling method, the groups ideally should be heterogeneous with respect to the measured characteristic (but rarely are). And, unlike stratified sampling, once clusters are identified, a random sample of clusters is selected for data collection, with data then collected from </w:t>
      </w:r>
      <w:r w:rsidRPr="00990D3B">
        <w:rPr>
          <w:i/>
        </w:rPr>
        <w:t>all</w:t>
      </w:r>
      <w:r w:rsidRPr="00990D3B" w:rsidR="0031726E">
        <w:t xml:space="preserve"> units in the selected</w:t>
      </w:r>
      <w:r w:rsidRPr="00990D3B" w:rsidR="005E2DB1">
        <w:t> </w:t>
      </w:r>
      <w:r w:rsidRPr="00990D3B" w:rsidR="0031726E">
        <w:t>clusters</w:t>
      </w:r>
      <w:r w:rsidRPr="00990D3B" w:rsidR="00AD7350">
        <w:t>.</w:t>
      </w:r>
    </w:p>
    <w:p w:rsidR="00D10BED" w:rsidRPr="00990D3B" w:rsidP="00FB7CAF" w14:paraId="5CAFB455" w14:textId="2F85AF4E">
      <w:pPr>
        <w:pStyle w:val="EQRBulletBLUE"/>
      </w:pPr>
      <w:r w:rsidRPr="00990D3B">
        <w:rPr>
          <w:b/>
        </w:rPr>
        <w:t>Two-stage cluster sampling</w:t>
      </w:r>
      <w:r w:rsidRPr="00990D3B" w:rsidR="00AD7350">
        <w:rPr>
          <w:b/>
        </w:rPr>
        <w:t xml:space="preserve">. </w:t>
      </w:r>
      <w:r w:rsidRPr="00990D3B" w:rsidR="00AD7350">
        <w:rPr>
          <w:bCs/>
        </w:rPr>
        <w:t>A</w:t>
      </w:r>
      <w:r w:rsidRPr="00990D3B">
        <w:t>n adaptation of one-stage cluster sampling. As with one-stage cluster sampling, a sample of clusters is selected. However, unlike one-stage cluster sampling, within the clusters there is a second stage of sampling—units within the clusters are randomly selected so that some but not all units are selected for data collection. Two-stage cluster sampling is ideal for situations where you do not have or are unable to construct a frame of all the units in the population and you also cannot collect data from all clusters nor all units in the selected clusters due to financial, op</w:t>
      </w:r>
      <w:r w:rsidRPr="00990D3B" w:rsidR="0031726E">
        <w:t>erational, or other constraints</w:t>
      </w:r>
      <w:r w:rsidRPr="00990D3B" w:rsidR="00AD7350">
        <w:t>.</w:t>
      </w:r>
    </w:p>
    <w:p w:rsidR="00D10BED" w:rsidRPr="00990D3B" w:rsidP="00FC5666" w14:paraId="09B2B4F8" w14:textId="7C721FA5">
      <w:pPr>
        <w:pStyle w:val="H3"/>
      </w:pPr>
      <w:bookmarkStart w:id="1212" w:name="_Toc278882182"/>
      <w:bookmarkStart w:id="1213" w:name="_Toc325370687"/>
      <w:bookmarkStart w:id="1214" w:name="_Toc325371048"/>
      <w:r w:rsidRPr="00990D3B">
        <w:t>Non-</w:t>
      </w:r>
      <w:r w:rsidRPr="00990D3B" w:rsidR="00D8425E">
        <w:t>P</w:t>
      </w:r>
      <w:r w:rsidRPr="00990D3B">
        <w:t xml:space="preserve">robability Sampling </w:t>
      </w:r>
      <w:bookmarkEnd w:id="1212"/>
      <w:bookmarkEnd w:id="1213"/>
      <w:bookmarkEnd w:id="1214"/>
    </w:p>
    <w:p w:rsidR="00D10BED" w:rsidRPr="00990D3B" w:rsidP="004E5005" w14:paraId="3986A3A1" w14:textId="77777777">
      <w:pPr>
        <w:pStyle w:val="Paragraph0"/>
      </w:pPr>
      <w:r w:rsidRPr="00990D3B">
        <w:t>Non-probability sampling methods are used when subjects are scarce or hard to sample (no sampling frame) and/or the study relies on volunteers. The sample is based on the choice of those administering the survey rather than chance; therefore, some bias can be expected. The following are types of non-probability sampling:</w:t>
      </w:r>
    </w:p>
    <w:p w:rsidR="00D10BED" w:rsidRPr="00990D3B" w:rsidP="00FB7CAF" w14:paraId="214F0638" w14:textId="5A23C00E">
      <w:pPr>
        <w:pStyle w:val="EQRBulletBLUE"/>
      </w:pPr>
      <w:r w:rsidRPr="00990D3B">
        <w:rPr>
          <w:b/>
        </w:rPr>
        <w:t>Convenience sampling</w:t>
      </w:r>
      <w:r w:rsidRPr="00990D3B" w:rsidR="00AD7350">
        <w:rPr>
          <w:b/>
        </w:rPr>
        <w:t xml:space="preserve">. </w:t>
      </w:r>
      <w:r w:rsidRPr="00990D3B" w:rsidR="00AD7350">
        <w:rPr>
          <w:bCs/>
        </w:rPr>
        <w:t>I</w:t>
      </w:r>
      <w:r w:rsidRPr="00990D3B">
        <w:t xml:space="preserve">ncludes sampled units that are readily available or convenient to sample. An example of a convenience sample for a </w:t>
      </w:r>
      <w:r w:rsidRPr="00990D3B" w:rsidR="00972D60">
        <w:t>focus</w:t>
      </w:r>
      <w:r w:rsidRPr="00990D3B">
        <w:t xml:space="preserve"> study on patient experience with Medicaid providers could include all patients sitting in the waiting room in a primary care office on any given day. As another example, a </w:t>
      </w:r>
      <w:r w:rsidRPr="00990D3B" w:rsidR="00972D60">
        <w:t>focus</w:t>
      </w:r>
      <w:r w:rsidRPr="00990D3B">
        <w:t xml:space="preserve"> study on health behaviors could involve approa</w:t>
      </w:r>
      <w:r w:rsidRPr="00990D3B" w:rsidR="0031726E">
        <w:t>ching people at a shopping mall</w:t>
      </w:r>
      <w:r w:rsidRPr="00990D3B" w:rsidR="00AD7350">
        <w:t>.</w:t>
      </w:r>
    </w:p>
    <w:p w:rsidR="00D10BED" w:rsidRPr="00990D3B" w:rsidP="00FB7CAF" w14:paraId="6FAE6151" w14:textId="2D4FE03A">
      <w:pPr>
        <w:pStyle w:val="EQRBulletBLUE"/>
      </w:pPr>
      <w:r w:rsidRPr="00990D3B">
        <w:rPr>
          <w:b/>
        </w:rPr>
        <w:t>Quota sampling</w:t>
      </w:r>
      <w:r w:rsidRPr="00990D3B" w:rsidR="00AD7350">
        <w:t xml:space="preserve">. Includes </w:t>
      </w:r>
      <w:r w:rsidRPr="00990D3B">
        <w:t>sampled units with known characteristics in the same proportion as in the population. For example, if a target population is 55 percent female and 45 percent male, the quota sample requires a similar female/male distribution. Quota sampling is considered a non-probabilistic version of a stratified sample, in which a population is segmented into mutually exclusive subgroups and judgment is used to select a sample based on a sp</w:t>
      </w:r>
      <w:r w:rsidRPr="00990D3B" w:rsidR="0031726E">
        <w:t>ecified proportion</w:t>
      </w:r>
      <w:r w:rsidRPr="00990D3B" w:rsidR="00AD7350">
        <w:t>.</w:t>
      </w:r>
    </w:p>
    <w:p w:rsidR="00D10BED" w:rsidRPr="00990D3B" w:rsidP="004E5005" w14:paraId="77D536B4" w14:textId="77777777">
      <w:pPr>
        <w:pStyle w:val="Paragraph0"/>
      </w:pPr>
      <w:r w:rsidRPr="00990D3B">
        <w:t>Though non-random sampling methods may be statistically analyzed, caution should be exercised when making inferences to the study population because the sample was not drawn randomly and therefore, may not be representative of the population. Considering the risk of biased results and the challenges to statistical interpretation, non-probability sampling is discouraged. However, at times, it can be an appropriate and efficient way of collecting needed information.</w:t>
      </w:r>
    </w:p>
    <w:p w:rsidR="00D10BED" w:rsidRPr="00990D3B" w:rsidP="00FC5666" w14:paraId="2DCDF775" w14:textId="32FF7F2D">
      <w:pPr>
        <w:pStyle w:val="H2"/>
      </w:pPr>
      <w:bookmarkStart w:id="1215" w:name="_Toc14777779"/>
      <w:bookmarkStart w:id="1216" w:name="_Toc183005679"/>
      <w:bookmarkStart w:id="1217" w:name="_Toc201751474"/>
      <w:r w:rsidRPr="00990D3B">
        <w:t>C</w:t>
      </w:r>
      <w:r w:rsidRPr="00990D3B" w:rsidR="00787C8B">
        <w:t>alculating</w:t>
      </w:r>
      <w:r w:rsidRPr="00990D3B">
        <w:t xml:space="preserve"> M</w:t>
      </w:r>
      <w:r w:rsidRPr="00990D3B" w:rsidR="00787C8B">
        <w:t xml:space="preserve">inimum </w:t>
      </w:r>
      <w:r w:rsidRPr="00990D3B">
        <w:t>S</w:t>
      </w:r>
      <w:r w:rsidRPr="00990D3B" w:rsidR="00787C8B">
        <w:t xml:space="preserve">ample </w:t>
      </w:r>
      <w:r w:rsidRPr="00990D3B">
        <w:t>S</w:t>
      </w:r>
      <w:r w:rsidRPr="00990D3B" w:rsidR="00787C8B">
        <w:t xml:space="preserve">izes for </w:t>
      </w:r>
      <w:r w:rsidRPr="00990D3B">
        <w:t>EQR D</w:t>
      </w:r>
      <w:r w:rsidRPr="00990D3B" w:rsidR="00787C8B">
        <w:t xml:space="preserve">ata </w:t>
      </w:r>
      <w:r w:rsidRPr="00990D3B">
        <w:t>C</w:t>
      </w:r>
      <w:r w:rsidRPr="00990D3B" w:rsidR="00787C8B">
        <w:t xml:space="preserve">ollection </w:t>
      </w:r>
      <w:r w:rsidRPr="00990D3B">
        <w:t>A</w:t>
      </w:r>
      <w:r w:rsidRPr="00990D3B" w:rsidR="00787C8B">
        <w:t>ctivities</w:t>
      </w:r>
      <w:bookmarkEnd w:id="1215"/>
      <w:bookmarkEnd w:id="1216"/>
      <w:bookmarkEnd w:id="1217"/>
    </w:p>
    <w:p w:rsidR="00D10BED" w:rsidRPr="00990D3B" w:rsidP="004E5005" w14:paraId="440CC9CF" w14:textId="02AE9A00">
      <w:pPr>
        <w:pStyle w:val="Paragraph0"/>
      </w:pPr>
      <w:r w:rsidRPr="00990D3B">
        <w:t>Many EQR</w:t>
      </w:r>
      <w:r w:rsidRPr="00990D3B" w:rsidR="00657417">
        <w:t>-related</w:t>
      </w:r>
      <w:r w:rsidRPr="00990D3B">
        <w:t xml:space="preserve"> activities may involve </w:t>
      </w:r>
      <w:r w:rsidRPr="00990D3B">
        <w:t>sampling for</w:t>
      </w:r>
      <w:r w:rsidRPr="00990D3B">
        <w:t xml:space="preserve"> data collection, such as validating the completeness and accuracy of encounter data, assessing the reliability and validity of performance measures calculated using the hybrid method, and implementing a survey. Statistical power is a function of the sample size, the statistical significance criterion, and the magnitude of the effect </w:t>
      </w:r>
      <w:r w:rsidRPr="00990D3B">
        <w:t>in</w:t>
      </w:r>
      <w:r w:rsidRPr="00990D3B">
        <w:t xml:space="preserve"> the population.  </w:t>
      </w:r>
    </w:p>
    <w:p w:rsidR="006D3D4A" w:rsidRPr="00990D3B" w:rsidP="004E5005" w14:paraId="734F8D58" w14:textId="7D3C80BF">
      <w:pPr>
        <w:pStyle w:val="Paragraph0"/>
      </w:pPr>
      <w:hyperlink w:anchor="TableC1" w:tooltip="Table C.1" w:history="1">
        <w:r w:rsidRPr="00990D3B">
          <w:rPr>
            <w:rStyle w:val="Hyperlink"/>
          </w:rPr>
          <w:t xml:space="preserve">Table </w:t>
        </w:r>
        <w:r w:rsidRPr="00990D3B" w:rsidR="00AD7350">
          <w:rPr>
            <w:rStyle w:val="Hyperlink"/>
          </w:rPr>
          <w:t>C</w:t>
        </w:r>
        <w:r w:rsidRPr="00990D3B" w:rsidR="007953F8">
          <w:rPr>
            <w:rStyle w:val="Hyperlink"/>
          </w:rPr>
          <w:t>.</w:t>
        </w:r>
        <w:r w:rsidRPr="00990D3B">
          <w:rPr>
            <w:rStyle w:val="Hyperlink"/>
          </w:rPr>
          <w:t>1</w:t>
        </w:r>
      </w:hyperlink>
      <w:r w:rsidRPr="00990D3B">
        <w:t xml:space="preserve"> provides guidance for determining minimum sample sizes for EQR data collection activities. The minimum sample sizes vary based on the magnitude of the proportion (or percentage) of the effect of interest. EQROs may base the proportion on the current year’s administrative rate or the prior year’s reported rate (column 1). When the rate is unknown, researchers typically base the sample size on a proportion of 0.50. Researchers also typically use a statistical significance criterion of p &lt; 0.05</w:t>
      </w:r>
      <w:r w:rsidRPr="00990D3B" w:rsidR="00A24862">
        <w:t>.</w:t>
      </w:r>
      <w:r w:rsidRPr="00990D3B">
        <w:t xml:space="preserve"> As shown in </w:t>
      </w:r>
      <w:hyperlink w:anchor="TableC1" w:tooltip="Table C.1" w:history="1">
        <w:r w:rsidRPr="00990D3B">
          <w:rPr>
            <w:rStyle w:val="Hyperlink"/>
          </w:rPr>
          <w:t xml:space="preserve">Table </w:t>
        </w:r>
        <w:r w:rsidRPr="00990D3B" w:rsidR="00AD7350">
          <w:rPr>
            <w:rStyle w:val="Hyperlink"/>
          </w:rPr>
          <w:t>C</w:t>
        </w:r>
        <w:r w:rsidRPr="00990D3B" w:rsidR="0039578B">
          <w:rPr>
            <w:rStyle w:val="Hyperlink"/>
          </w:rPr>
          <w:t>.</w:t>
        </w:r>
        <w:r w:rsidRPr="00990D3B">
          <w:rPr>
            <w:rStyle w:val="Hyperlink"/>
          </w:rPr>
          <w:t>1</w:t>
        </w:r>
      </w:hyperlink>
      <w:r w:rsidRPr="00990D3B">
        <w:t>, the minimum sample size for a rate of 0.05 or 0.95 (5 percent and 95 percent) is 100, while the minimum sample size for a rate of 0.50 (50 percent) is 411 (column 2). The 95 percent confidence interval (and corresponding lower and upper bounds) indicates the range in which the true value is estimated to lie.</w:t>
      </w:r>
    </w:p>
    <w:p w:rsidR="001B1C98" w:rsidRPr="00990D3B" w:rsidP="00E71C07" w14:paraId="08666A5A" w14:textId="6EBD1555">
      <w:pPr>
        <w:pStyle w:val="MarkforTableHeading"/>
      </w:pPr>
      <w:bookmarkStart w:id="1218" w:name="TableB1"/>
      <w:bookmarkStart w:id="1219" w:name="TableC1"/>
      <w:bookmarkStart w:id="1220" w:name="_Toc83134606"/>
      <w:bookmarkEnd w:id="1218"/>
      <w:bookmarkEnd w:id="1219"/>
      <w:r w:rsidRPr="00990D3B">
        <w:t xml:space="preserve">Table </w:t>
      </w:r>
      <w:r w:rsidRPr="00990D3B" w:rsidR="00AD7350">
        <w:t>C</w:t>
      </w:r>
      <w:r w:rsidRPr="00990D3B">
        <w:t>.1. Guidance for Minimum Sample Sizes for EQR Data Collection Activities</w:t>
      </w:r>
      <w:bookmarkEnd w:id="1220"/>
    </w:p>
    <w:tbl>
      <w:tblPr>
        <w:tblStyle w:val="CORESETTable"/>
        <w:tblW w:w="5000" w:type="pct"/>
        <w:tblLook w:val="04A0"/>
      </w:tblPr>
      <w:tblGrid>
        <w:gridCol w:w="1856"/>
        <w:gridCol w:w="3925"/>
        <w:gridCol w:w="3569"/>
      </w:tblGrid>
      <w:tr w14:paraId="5EBF966C" w14:textId="77777777" w:rsidTr="003D353A">
        <w:tblPrEx>
          <w:tblW w:w="5000" w:type="pct"/>
          <w:tblLook w:val="04A0"/>
        </w:tblPrEx>
        <w:trPr>
          <w:cantSplit/>
          <w:tblHeader/>
        </w:trPr>
        <w:tc>
          <w:tcPr>
            <w:tcW w:w="1732" w:type="dxa"/>
          </w:tcPr>
          <w:p w:rsidR="001B1C98" w:rsidRPr="00990D3B" w:rsidP="003D353A" w14:paraId="5C0AA655" w14:textId="77777777">
            <w:pPr>
              <w:pStyle w:val="EQRTableHeaderLeft"/>
              <w:rPr>
                <w:b/>
              </w:rPr>
            </w:pPr>
            <w:r w:rsidRPr="00990D3B">
              <w:rPr>
                <w:b/>
              </w:rPr>
              <w:t xml:space="preserve">Proportion </w:t>
            </w:r>
          </w:p>
        </w:tc>
        <w:tc>
          <w:tcPr>
            <w:tcW w:w="3663" w:type="dxa"/>
          </w:tcPr>
          <w:p w:rsidR="001B1C98" w:rsidRPr="00990D3B" w:rsidP="003D353A" w14:paraId="1F9BE818" w14:textId="6EAD5C7E">
            <w:pPr>
              <w:pStyle w:val="EQRTableHeaderCenter"/>
              <w:rPr>
                <w:b/>
              </w:rPr>
            </w:pPr>
            <w:r w:rsidRPr="00990D3B">
              <w:rPr>
                <w:b/>
              </w:rPr>
              <w:t xml:space="preserve">Minimum </w:t>
            </w:r>
            <w:r w:rsidRPr="00990D3B" w:rsidR="00AD7350">
              <w:rPr>
                <w:b/>
              </w:rPr>
              <w:t>sa</w:t>
            </w:r>
            <w:r w:rsidRPr="00990D3B">
              <w:rPr>
                <w:b/>
              </w:rPr>
              <w:t xml:space="preserve">mple </w:t>
            </w:r>
            <w:r w:rsidRPr="00990D3B" w:rsidR="00AD7350">
              <w:rPr>
                <w:b/>
              </w:rPr>
              <w:t>s</w:t>
            </w:r>
            <w:r w:rsidRPr="00990D3B">
              <w:rPr>
                <w:b/>
              </w:rPr>
              <w:t xml:space="preserve">ize for EQR </w:t>
            </w:r>
            <w:r w:rsidRPr="00990D3B" w:rsidR="00AD7350">
              <w:rPr>
                <w:b/>
              </w:rPr>
              <w:t>d</w:t>
            </w:r>
            <w:r w:rsidRPr="00990D3B">
              <w:rPr>
                <w:b/>
              </w:rPr>
              <w:t xml:space="preserve">ata </w:t>
            </w:r>
            <w:r w:rsidRPr="00990D3B" w:rsidR="00AD7350">
              <w:rPr>
                <w:b/>
              </w:rPr>
              <w:t>c</w:t>
            </w:r>
            <w:r w:rsidRPr="00990D3B">
              <w:rPr>
                <w:b/>
              </w:rPr>
              <w:t xml:space="preserve">ollection </w:t>
            </w:r>
            <w:r w:rsidRPr="00990D3B" w:rsidR="00AD7350">
              <w:rPr>
                <w:b/>
              </w:rPr>
              <w:t>a</w:t>
            </w:r>
            <w:r w:rsidRPr="00990D3B">
              <w:rPr>
                <w:b/>
              </w:rPr>
              <w:t>ctivities</w:t>
            </w:r>
          </w:p>
        </w:tc>
        <w:tc>
          <w:tcPr>
            <w:tcW w:w="3330" w:type="dxa"/>
          </w:tcPr>
          <w:p w:rsidR="001B1C98" w:rsidRPr="00990D3B" w:rsidP="003D353A" w14:paraId="3B2392B2" w14:textId="319E5256">
            <w:pPr>
              <w:pStyle w:val="EQRTableHeaderCenter"/>
              <w:rPr>
                <w:b/>
              </w:rPr>
            </w:pPr>
            <w:r w:rsidRPr="00990D3B">
              <w:rPr>
                <w:b/>
              </w:rPr>
              <w:t>95 percent</w:t>
            </w:r>
            <w:r w:rsidRPr="00990D3B" w:rsidR="00A24862">
              <w:rPr>
                <w:b/>
              </w:rPr>
              <w:t xml:space="preserve"> </w:t>
            </w:r>
            <w:r w:rsidRPr="00990D3B" w:rsidR="00AD7350">
              <w:rPr>
                <w:b/>
              </w:rPr>
              <w:t>c</w:t>
            </w:r>
            <w:r w:rsidRPr="00990D3B">
              <w:rPr>
                <w:b/>
              </w:rPr>
              <w:t xml:space="preserve">onfidence </w:t>
            </w:r>
            <w:r w:rsidRPr="00990D3B" w:rsidR="00AD7350">
              <w:rPr>
                <w:b/>
              </w:rPr>
              <w:t>i</w:t>
            </w:r>
            <w:r w:rsidRPr="00990D3B">
              <w:rPr>
                <w:b/>
              </w:rPr>
              <w:t>nterval (lower and upper bound)</w:t>
            </w:r>
          </w:p>
        </w:tc>
      </w:tr>
      <w:tr w14:paraId="13101E0B" w14:textId="77777777" w:rsidTr="003D353A">
        <w:tblPrEx>
          <w:tblW w:w="5000" w:type="pct"/>
          <w:tblLook w:val="04A0"/>
        </w:tblPrEx>
        <w:tc>
          <w:tcPr>
            <w:tcW w:w="1732" w:type="dxa"/>
          </w:tcPr>
          <w:p w:rsidR="001B1C98" w:rsidRPr="00990D3B" w:rsidP="003D353A" w14:paraId="76FA8C51" w14:textId="77777777">
            <w:pPr>
              <w:pStyle w:val="EQRTableText"/>
            </w:pPr>
            <w:r w:rsidRPr="00990D3B">
              <w:t>0.05</w:t>
            </w:r>
          </w:p>
        </w:tc>
        <w:tc>
          <w:tcPr>
            <w:tcW w:w="3663" w:type="dxa"/>
          </w:tcPr>
          <w:p w:rsidR="001B1C98" w:rsidRPr="00990D3B" w:rsidP="003D353A" w14:paraId="04E5EC86" w14:textId="77777777">
            <w:pPr>
              <w:pStyle w:val="EQRTableText"/>
              <w:jc w:val="center"/>
            </w:pPr>
            <w:r w:rsidRPr="00990D3B">
              <w:t>100</w:t>
            </w:r>
          </w:p>
        </w:tc>
        <w:tc>
          <w:tcPr>
            <w:tcW w:w="3330" w:type="dxa"/>
          </w:tcPr>
          <w:p w:rsidR="001B1C98" w:rsidRPr="00990D3B" w:rsidP="003D353A" w14:paraId="03AF9624" w14:textId="77777777">
            <w:pPr>
              <w:pStyle w:val="EQRTableText"/>
              <w:jc w:val="center"/>
            </w:pPr>
            <w:r w:rsidRPr="00990D3B">
              <w:t>0.043</w:t>
            </w:r>
          </w:p>
          <w:p w:rsidR="001B1C98" w:rsidRPr="00990D3B" w:rsidP="003D353A" w14:paraId="021FA52B" w14:textId="77777777">
            <w:pPr>
              <w:pStyle w:val="EQRTableText"/>
              <w:jc w:val="center"/>
            </w:pPr>
            <w:r w:rsidRPr="00990D3B">
              <w:t>(0.007-0.093)</w:t>
            </w:r>
          </w:p>
        </w:tc>
      </w:tr>
      <w:tr w14:paraId="7CE17C42" w14:textId="77777777" w:rsidTr="003D353A">
        <w:tblPrEx>
          <w:tblW w:w="5000" w:type="pct"/>
          <w:tblLook w:val="04A0"/>
        </w:tblPrEx>
        <w:tc>
          <w:tcPr>
            <w:tcW w:w="1732" w:type="dxa"/>
          </w:tcPr>
          <w:p w:rsidR="001B1C98" w:rsidRPr="00990D3B" w:rsidP="003D353A" w14:paraId="6C5D410C" w14:textId="77777777">
            <w:pPr>
              <w:pStyle w:val="EQRTableText"/>
            </w:pPr>
            <w:r w:rsidRPr="00990D3B">
              <w:t>0.10</w:t>
            </w:r>
          </w:p>
        </w:tc>
        <w:tc>
          <w:tcPr>
            <w:tcW w:w="3663" w:type="dxa"/>
          </w:tcPr>
          <w:p w:rsidR="001B1C98" w:rsidRPr="00990D3B" w:rsidP="003D353A" w14:paraId="50954AEA" w14:textId="77777777">
            <w:pPr>
              <w:pStyle w:val="EQRTableText"/>
              <w:jc w:val="center"/>
            </w:pPr>
            <w:r w:rsidRPr="00990D3B">
              <w:t>159</w:t>
            </w:r>
          </w:p>
        </w:tc>
        <w:tc>
          <w:tcPr>
            <w:tcW w:w="3330" w:type="dxa"/>
          </w:tcPr>
          <w:p w:rsidR="001B1C98" w:rsidRPr="00990D3B" w:rsidP="003D353A" w14:paraId="0A67E008" w14:textId="77777777">
            <w:pPr>
              <w:pStyle w:val="EQRTableText"/>
              <w:jc w:val="center"/>
            </w:pPr>
            <w:r w:rsidRPr="00990D3B">
              <w:t>0.047</w:t>
            </w:r>
          </w:p>
          <w:p w:rsidR="001B1C98" w:rsidRPr="00990D3B" w:rsidP="003D353A" w14:paraId="4E0A5165" w14:textId="77777777">
            <w:pPr>
              <w:pStyle w:val="EQRTableText"/>
              <w:jc w:val="center"/>
            </w:pPr>
            <w:r w:rsidRPr="00990D3B">
              <w:t>(0.053-0.147)</w:t>
            </w:r>
          </w:p>
        </w:tc>
      </w:tr>
      <w:tr w14:paraId="681E488F" w14:textId="77777777" w:rsidTr="003D353A">
        <w:tblPrEx>
          <w:tblW w:w="5000" w:type="pct"/>
          <w:tblLook w:val="04A0"/>
        </w:tblPrEx>
        <w:tc>
          <w:tcPr>
            <w:tcW w:w="1732" w:type="dxa"/>
          </w:tcPr>
          <w:p w:rsidR="001B1C98" w:rsidRPr="00990D3B" w:rsidP="003D353A" w14:paraId="7168F7BE" w14:textId="77777777">
            <w:pPr>
              <w:pStyle w:val="EQRTableText"/>
            </w:pPr>
            <w:r w:rsidRPr="00990D3B">
              <w:t>0.15</w:t>
            </w:r>
          </w:p>
        </w:tc>
        <w:tc>
          <w:tcPr>
            <w:tcW w:w="3663" w:type="dxa"/>
          </w:tcPr>
          <w:p w:rsidR="001B1C98" w:rsidRPr="00990D3B" w:rsidP="003D353A" w14:paraId="62F53952" w14:textId="77777777">
            <w:pPr>
              <w:pStyle w:val="EQRTableText"/>
              <w:jc w:val="center"/>
            </w:pPr>
            <w:r w:rsidRPr="00990D3B">
              <w:t>219</w:t>
            </w:r>
          </w:p>
        </w:tc>
        <w:tc>
          <w:tcPr>
            <w:tcW w:w="3330" w:type="dxa"/>
          </w:tcPr>
          <w:p w:rsidR="001B1C98" w:rsidRPr="00990D3B" w:rsidP="003D353A" w14:paraId="74A4DE05" w14:textId="77777777">
            <w:pPr>
              <w:pStyle w:val="EQRTableText"/>
              <w:jc w:val="center"/>
            </w:pPr>
            <w:r w:rsidRPr="00990D3B">
              <w:t>0.047</w:t>
            </w:r>
          </w:p>
          <w:p w:rsidR="001B1C98" w:rsidRPr="00990D3B" w:rsidP="003D353A" w14:paraId="73E660D9" w14:textId="77777777">
            <w:pPr>
              <w:pStyle w:val="EQRTableText"/>
              <w:jc w:val="center"/>
            </w:pPr>
            <w:r w:rsidRPr="00990D3B">
              <w:t>(0.103-0.197)</w:t>
            </w:r>
          </w:p>
        </w:tc>
      </w:tr>
      <w:tr w14:paraId="74327509" w14:textId="77777777" w:rsidTr="003D353A">
        <w:tblPrEx>
          <w:tblW w:w="5000" w:type="pct"/>
          <w:tblLook w:val="04A0"/>
        </w:tblPrEx>
        <w:tc>
          <w:tcPr>
            <w:tcW w:w="1732" w:type="dxa"/>
          </w:tcPr>
          <w:p w:rsidR="001B1C98" w:rsidRPr="00990D3B" w:rsidP="003D353A" w14:paraId="6CD28D28" w14:textId="77777777">
            <w:pPr>
              <w:pStyle w:val="EQRTableText"/>
            </w:pPr>
            <w:r w:rsidRPr="00990D3B">
              <w:t>0.20</w:t>
            </w:r>
          </w:p>
        </w:tc>
        <w:tc>
          <w:tcPr>
            <w:tcW w:w="3663" w:type="dxa"/>
          </w:tcPr>
          <w:p w:rsidR="001B1C98" w:rsidRPr="00990D3B" w:rsidP="003D353A" w14:paraId="647E375B" w14:textId="77777777">
            <w:pPr>
              <w:pStyle w:val="EQRTableText"/>
              <w:jc w:val="center"/>
            </w:pPr>
            <w:r w:rsidRPr="00990D3B">
              <w:t>270</w:t>
            </w:r>
          </w:p>
        </w:tc>
        <w:tc>
          <w:tcPr>
            <w:tcW w:w="3330" w:type="dxa"/>
          </w:tcPr>
          <w:p w:rsidR="001B1C98" w:rsidRPr="00990D3B" w:rsidP="003D353A" w14:paraId="591E99C4" w14:textId="77777777">
            <w:pPr>
              <w:pStyle w:val="EQRTableText"/>
              <w:jc w:val="center"/>
            </w:pPr>
            <w:r w:rsidRPr="00990D3B">
              <w:t>0.048</w:t>
            </w:r>
          </w:p>
          <w:p w:rsidR="001B1C98" w:rsidRPr="00990D3B" w:rsidP="003D353A" w14:paraId="05FDC9C6" w14:textId="77777777">
            <w:pPr>
              <w:pStyle w:val="EQRTableText"/>
              <w:jc w:val="center"/>
            </w:pPr>
            <w:r w:rsidRPr="00990D3B">
              <w:t>(0.152-0.248)</w:t>
            </w:r>
          </w:p>
        </w:tc>
      </w:tr>
      <w:tr w14:paraId="611D4E97" w14:textId="77777777" w:rsidTr="003D353A">
        <w:tblPrEx>
          <w:tblW w:w="5000" w:type="pct"/>
          <w:tblLook w:val="04A0"/>
        </w:tblPrEx>
        <w:tc>
          <w:tcPr>
            <w:tcW w:w="1732" w:type="dxa"/>
          </w:tcPr>
          <w:p w:rsidR="001B1C98" w:rsidRPr="00990D3B" w:rsidP="003D353A" w14:paraId="4EC0DEBE" w14:textId="77777777">
            <w:pPr>
              <w:pStyle w:val="EQRTableText"/>
            </w:pPr>
            <w:r w:rsidRPr="00990D3B">
              <w:t>0.25</w:t>
            </w:r>
          </w:p>
        </w:tc>
        <w:tc>
          <w:tcPr>
            <w:tcW w:w="3663" w:type="dxa"/>
          </w:tcPr>
          <w:p w:rsidR="001B1C98" w:rsidRPr="00990D3B" w:rsidP="003D353A" w14:paraId="582DFE42" w14:textId="77777777">
            <w:pPr>
              <w:pStyle w:val="EQRTableText"/>
              <w:jc w:val="center"/>
            </w:pPr>
            <w:r w:rsidRPr="00990D3B">
              <w:t>313</w:t>
            </w:r>
          </w:p>
        </w:tc>
        <w:tc>
          <w:tcPr>
            <w:tcW w:w="3330" w:type="dxa"/>
          </w:tcPr>
          <w:p w:rsidR="001B1C98" w:rsidRPr="00990D3B" w:rsidP="003D353A" w14:paraId="777FFEA4" w14:textId="77777777">
            <w:pPr>
              <w:pStyle w:val="EQRTableText"/>
              <w:jc w:val="center"/>
            </w:pPr>
            <w:r w:rsidRPr="00990D3B">
              <w:t>0.048</w:t>
            </w:r>
          </w:p>
          <w:p w:rsidR="001B1C98" w:rsidRPr="00990D3B" w:rsidP="003D353A" w14:paraId="0458E386" w14:textId="77777777">
            <w:pPr>
              <w:pStyle w:val="EQRTableText"/>
              <w:jc w:val="center"/>
            </w:pPr>
            <w:r w:rsidRPr="00990D3B">
              <w:t>(0.202-0.298)</w:t>
            </w:r>
          </w:p>
        </w:tc>
      </w:tr>
      <w:tr w14:paraId="174AA3C4" w14:textId="77777777" w:rsidTr="003D353A">
        <w:tblPrEx>
          <w:tblW w:w="5000" w:type="pct"/>
          <w:tblLook w:val="04A0"/>
        </w:tblPrEx>
        <w:tc>
          <w:tcPr>
            <w:tcW w:w="1732" w:type="dxa"/>
          </w:tcPr>
          <w:p w:rsidR="001B1C98" w:rsidRPr="00990D3B" w:rsidP="003D353A" w14:paraId="3C5CD890" w14:textId="77777777">
            <w:pPr>
              <w:pStyle w:val="EQRTableText"/>
            </w:pPr>
            <w:r w:rsidRPr="00990D3B">
              <w:t>0.30</w:t>
            </w:r>
          </w:p>
        </w:tc>
        <w:tc>
          <w:tcPr>
            <w:tcW w:w="3663" w:type="dxa"/>
          </w:tcPr>
          <w:p w:rsidR="001B1C98" w:rsidRPr="00990D3B" w:rsidP="003D353A" w14:paraId="50ECE0C2" w14:textId="77777777">
            <w:pPr>
              <w:pStyle w:val="EQRTableText"/>
              <w:jc w:val="center"/>
            </w:pPr>
            <w:r w:rsidRPr="00990D3B">
              <w:t>348</w:t>
            </w:r>
          </w:p>
        </w:tc>
        <w:tc>
          <w:tcPr>
            <w:tcW w:w="3330" w:type="dxa"/>
          </w:tcPr>
          <w:p w:rsidR="001B1C98" w:rsidRPr="00990D3B" w:rsidP="003D353A" w14:paraId="2A774127" w14:textId="77777777">
            <w:pPr>
              <w:pStyle w:val="EQRTableText"/>
              <w:jc w:val="center"/>
            </w:pPr>
            <w:r w:rsidRPr="00990D3B">
              <w:t>0.048</w:t>
            </w:r>
          </w:p>
          <w:p w:rsidR="001B1C98" w:rsidRPr="00990D3B" w:rsidP="003D353A" w14:paraId="3C0B445E" w14:textId="77777777">
            <w:pPr>
              <w:pStyle w:val="EQRTableText"/>
              <w:jc w:val="center"/>
            </w:pPr>
            <w:r w:rsidRPr="00990D3B">
              <w:t>(0.252-0.348)</w:t>
            </w:r>
          </w:p>
        </w:tc>
      </w:tr>
      <w:tr w14:paraId="17A6C983" w14:textId="77777777" w:rsidTr="003D353A">
        <w:tblPrEx>
          <w:tblW w:w="5000" w:type="pct"/>
          <w:tblLook w:val="04A0"/>
        </w:tblPrEx>
        <w:tc>
          <w:tcPr>
            <w:tcW w:w="1732" w:type="dxa"/>
          </w:tcPr>
          <w:p w:rsidR="001B1C98" w:rsidRPr="00990D3B" w:rsidP="003D353A" w14:paraId="257952F9" w14:textId="77777777">
            <w:pPr>
              <w:pStyle w:val="EQRTableText"/>
            </w:pPr>
            <w:r w:rsidRPr="00990D3B">
              <w:t>0.35</w:t>
            </w:r>
          </w:p>
        </w:tc>
        <w:tc>
          <w:tcPr>
            <w:tcW w:w="3663" w:type="dxa"/>
          </w:tcPr>
          <w:p w:rsidR="001B1C98" w:rsidRPr="00990D3B" w:rsidP="003D353A" w14:paraId="3A70D9D9" w14:textId="77777777">
            <w:pPr>
              <w:pStyle w:val="EQRTableText"/>
              <w:jc w:val="center"/>
            </w:pPr>
            <w:r w:rsidRPr="00990D3B">
              <w:t>380</w:t>
            </w:r>
          </w:p>
        </w:tc>
        <w:tc>
          <w:tcPr>
            <w:tcW w:w="3330" w:type="dxa"/>
          </w:tcPr>
          <w:p w:rsidR="001B1C98" w:rsidRPr="00990D3B" w:rsidP="003D353A" w14:paraId="166226F0" w14:textId="77777777">
            <w:pPr>
              <w:pStyle w:val="EQRTableText"/>
              <w:jc w:val="center"/>
            </w:pPr>
            <w:r w:rsidRPr="00990D3B">
              <w:t>0.048</w:t>
            </w:r>
          </w:p>
          <w:p w:rsidR="001B1C98" w:rsidRPr="00990D3B" w:rsidP="003D353A" w14:paraId="4E7C7524" w14:textId="77777777">
            <w:pPr>
              <w:pStyle w:val="EQRTableText"/>
              <w:jc w:val="center"/>
            </w:pPr>
            <w:r w:rsidRPr="00990D3B">
              <w:t>(0.302-0.398)</w:t>
            </w:r>
          </w:p>
        </w:tc>
      </w:tr>
      <w:tr w14:paraId="75D0F36C" w14:textId="77777777" w:rsidTr="003D353A">
        <w:tblPrEx>
          <w:tblW w:w="5000" w:type="pct"/>
          <w:tblLook w:val="04A0"/>
        </w:tblPrEx>
        <w:tc>
          <w:tcPr>
            <w:tcW w:w="1732" w:type="dxa"/>
          </w:tcPr>
          <w:p w:rsidR="001B1C98" w:rsidRPr="00990D3B" w:rsidP="003D353A" w14:paraId="748D5B7D" w14:textId="77777777">
            <w:pPr>
              <w:pStyle w:val="EQRTableText"/>
            </w:pPr>
            <w:r w:rsidRPr="00990D3B">
              <w:t>0.40</w:t>
            </w:r>
          </w:p>
        </w:tc>
        <w:tc>
          <w:tcPr>
            <w:tcW w:w="3663" w:type="dxa"/>
          </w:tcPr>
          <w:p w:rsidR="001B1C98" w:rsidRPr="00990D3B" w:rsidP="003D353A" w14:paraId="6DFBAD63" w14:textId="77777777">
            <w:pPr>
              <w:pStyle w:val="EQRTableText"/>
              <w:jc w:val="center"/>
            </w:pPr>
            <w:r w:rsidRPr="00990D3B">
              <w:t>398</w:t>
            </w:r>
          </w:p>
        </w:tc>
        <w:tc>
          <w:tcPr>
            <w:tcW w:w="3330" w:type="dxa"/>
          </w:tcPr>
          <w:p w:rsidR="001B1C98" w:rsidRPr="00990D3B" w:rsidP="003D353A" w14:paraId="6B37AD37" w14:textId="77777777">
            <w:pPr>
              <w:pStyle w:val="EQRTableText"/>
              <w:jc w:val="center"/>
            </w:pPr>
            <w:r w:rsidRPr="00990D3B">
              <w:t>0.048</w:t>
            </w:r>
          </w:p>
          <w:p w:rsidR="001B1C98" w:rsidRPr="00990D3B" w:rsidP="003D353A" w14:paraId="51FD19BB" w14:textId="77777777">
            <w:pPr>
              <w:pStyle w:val="EQRTableText"/>
              <w:jc w:val="center"/>
            </w:pPr>
            <w:r w:rsidRPr="00990D3B">
              <w:t>(0.352-0.448)</w:t>
            </w:r>
          </w:p>
        </w:tc>
      </w:tr>
      <w:tr w14:paraId="5F39ADE2" w14:textId="77777777" w:rsidTr="003D353A">
        <w:tblPrEx>
          <w:tblW w:w="5000" w:type="pct"/>
          <w:tblLook w:val="04A0"/>
        </w:tblPrEx>
        <w:tc>
          <w:tcPr>
            <w:tcW w:w="1732" w:type="dxa"/>
          </w:tcPr>
          <w:p w:rsidR="001B1C98" w:rsidRPr="00990D3B" w:rsidP="003D353A" w14:paraId="6C1763ED" w14:textId="77777777">
            <w:pPr>
              <w:pStyle w:val="EQRTableText"/>
            </w:pPr>
            <w:r w:rsidRPr="00990D3B">
              <w:t>0.45</w:t>
            </w:r>
          </w:p>
        </w:tc>
        <w:tc>
          <w:tcPr>
            <w:tcW w:w="3663" w:type="dxa"/>
          </w:tcPr>
          <w:p w:rsidR="001B1C98" w:rsidRPr="00990D3B" w:rsidP="003D353A" w14:paraId="5861784D" w14:textId="77777777">
            <w:pPr>
              <w:pStyle w:val="EQRTableText"/>
              <w:jc w:val="center"/>
            </w:pPr>
            <w:r w:rsidRPr="00990D3B">
              <w:t>409</w:t>
            </w:r>
          </w:p>
        </w:tc>
        <w:tc>
          <w:tcPr>
            <w:tcW w:w="3330" w:type="dxa"/>
          </w:tcPr>
          <w:p w:rsidR="001B1C98" w:rsidRPr="00990D3B" w:rsidP="003D353A" w14:paraId="2E510FE5" w14:textId="77777777">
            <w:pPr>
              <w:pStyle w:val="EQRTableText"/>
              <w:jc w:val="center"/>
            </w:pPr>
            <w:r w:rsidRPr="00990D3B">
              <w:t>0.048</w:t>
            </w:r>
          </w:p>
          <w:p w:rsidR="001B1C98" w:rsidRPr="00990D3B" w:rsidP="003D353A" w14:paraId="76DB8992" w14:textId="77777777">
            <w:pPr>
              <w:pStyle w:val="EQRTableText"/>
              <w:jc w:val="center"/>
            </w:pPr>
            <w:r w:rsidRPr="00990D3B">
              <w:t>(0.402-0.498)</w:t>
            </w:r>
          </w:p>
        </w:tc>
      </w:tr>
      <w:tr w14:paraId="7753E43A" w14:textId="77777777" w:rsidTr="003D353A">
        <w:tblPrEx>
          <w:tblW w:w="5000" w:type="pct"/>
          <w:tblLook w:val="04A0"/>
        </w:tblPrEx>
        <w:tc>
          <w:tcPr>
            <w:tcW w:w="1732" w:type="dxa"/>
          </w:tcPr>
          <w:p w:rsidR="001B1C98" w:rsidRPr="00990D3B" w:rsidP="003D353A" w14:paraId="42D09D14" w14:textId="77777777">
            <w:pPr>
              <w:pStyle w:val="EQRTableText"/>
            </w:pPr>
            <w:r w:rsidRPr="00990D3B">
              <w:t>0.50</w:t>
            </w:r>
          </w:p>
        </w:tc>
        <w:tc>
          <w:tcPr>
            <w:tcW w:w="3663" w:type="dxa"/>
          </w:tcPr>
          <w:p w:rsidR="001B1C98" w:rsidRPr="00990D3B" w:rsidP="003D353A" w14:paraId="5826EA45" w14:textId="77777777">
            <w:pPr>
              <w:pStyle w:val="EQRTableText"/>
              <w:jc w:val="center"/>
            </w:pPr>
            <w:r w:rsidRPr="00990D3B">
              <w:t>411</w:t>
            </w:r>
          </w:p>
        </w:tc>
        <w:tc>
          <w:tcPr>
            <w:tcW w:w="3330" w:type="dxa"/>
          </w:tcPr>
          <w:p w:rsidR="001B1C98" w:rsidRPr="00990D3B" w:rsidP="003D353A" w14:paraId="67F64962" w14:textId="77777777">
            <w:pPr>
              <w:pStyle w:val="EQRTableText"/>
              <w:jc w:val="center"/>
            </w:pPr>
            <w:r w:rsidRPr="00990D3B">
              <w:t>0.048</w:t>
            </w:r>
          </w:p>
          <w:p w:rsidR="001B1C98" w:rsidRPr="00990D3B" w:rsidP="003D353A" w14:paraId="6E6A1927" w14:textId="77777777">
            <w:pPr>
              <w:pStyle w:val="EQRTableText"/>
              <w:jc w:val="center"/>
            </w:pPr>
            <w:r w:rsidRPr="00990D3B">
              <w:t>(0.452-0.548)</w:t>
            </w:r>
          </w:p>
        </w:tc>
      </w:tr>
      <w:tr w14:paraId="7723BEF0" w14:textId="77777777" w:rsidTr="003D353A">
        <w:tblPrEx>
          <w:tblW w:w="5000" w:type="pct"/>
          <w:tblLook w:val="04A0"/>
        </w:tblPrEx>
        <w:tc>
          <w:tcPr>
            <w:tcW w:w="1732" w:type="dxa"/>
          </w:tcPr>
          <w:p w:rsidR="001B1C98" w:rsidRPr="00990D3B" w:rsidP="003D353A" w14:paraId="68677709" w14:textId="77777777">
            <w:pPr>
              <w:pStyle w:val="EQRTableText"/>
            </w:pPr>
            <w:r w:rsidRPr="00990D3B">
              <w:t>0.55</w:t>
            </w:r>
          </w:p>
        </w:tc>
        <w:tc>
          <w:tcPr>
            <w:tcW w:w="3663" w:type="dxa"/>
          </w:tcPr>
          <w:p w:rsidR="001B1C98" w:rsidRPr="00990D3B" w:rsidP="003D353A" w14:paraId="644E78BF" w14:textId="77777777">
            <w:pPr>
              <w:pStyle w:val="EQRTableText"/>
              <w:jc w:val="center"/>
            </w:pPr>
            <w:r w:rsidRPr="00990D3B">
              <w:t>409</w:t>
            </w:r>
          </w:p>
        </w:tc>
        <w:tc>
          <w:tcPr>
            <w:tcW w:w="3330" w:type="dxa"/>
          </w:tcPr>
          <w:p w:rsidR="001B1C98" w:rsidRPr="00990D3B" w:rsidP="003D353A" w14:paraId="317B277B" w14:textId="77777777">
            <w:pPr>
              <w:pStyle w:val="EQRTableText"/>
              <w:jc w:val="center"/>
            </w:pPr>
            <w:r w:rsidRPr="00990D3B">
              <w:t>0.048</w:t>
            </w:r>
          </w:p>
          <w:p w:rsidR="001B1C98" w:rsidRPr="00990D3B" w:rsidP="003D353A" w14:paraId="5CA66955" w14:textId="77777777">
            <w:pPr>
              <w:pStyle w:val="EQRTableText"/>
              <w:jc w:val="center"/>
            </w:pPr>
            <w:r w:rsidRPr="00990D3B">
              <w:t>(0.502-0.598)</w:t>
            </w:r>
          </w:p>
        </w:tc>
      </w:tr>
      <w:tr w14:paraId="62D56B9A" w14:textId="77777777" w:rsidTr="003D353A">
        <w:tblPrEx>
          <w:tblW w:w="5000" w:type="pct"/>
          <w:tblLook w:val="04A0"/>
        </w:tblPrEx>
        <w:tc>
          <w:tcPr>
            <w:tcW w:w="1732" w:type="dxa"/>
          </w:tcPr>
          <w:p w:rsidR="001B1C98" w:rsidRPr="00990D3B" w:rsidP="003D353A" w14:paraId="3160EDF5" w14:textId="77777777">
            <w:pPr>
              <w:pStyle w:val="EQRTableText"/>
            </w:pPr>
            <w:r w:rsidRPr="00990D3B">
              <w:t>0.60</w:t>
            </w:r>
          </w:p>
        </w:tc>
        <w:tc>
          <w:tcPr>
            <w:tcW w:w="3663" w:type="dxa"/>
          </w:tcPr>
          <w:p w:rsidR="001B1C98" w:rsidRPr="00990D3B" w:rsidP="003D353A" w14:paraId="6E9591B7" w14:textId="77777777">
            <w:pPr>
              <w:pStyle w:val="EQRTableText"/>
              <w:jc w:val="center"/>
            </w:pPr>
            <w:r w:rsidRPr="00990D3B">
              <w:t>398</w:t>
            </w:r>
          </w:p>
        </w:tc>
        <w:tc>
          <w:tcPr>
            <w:tcW w:w="3330" w:type="dxa"/>
          </w:tcPr>
          <w:p w:rsidR="001B1C98" w:rsidRPr="00990D3B" w:rsidP="003D353A" w14:paraId="7B03FEC8" w14:textId="77777777">
            <w:pPr>
              <w:pStyle w:val="EQRTableText"/>
              <w:jc w:val="center"/>
            </w:pPr>
            <w:r w:rsidRPr="00990D3B">
              <w:t>0.048</w:t>
            </w:r>
          </w:p>
          <w:p w:rsidR="001B1C98" w:rsidRPr="00990D3B" w:rsidP="003D353A" w14:paraId="63522EAC" w14:textId="77777777">
            <w:pPr>
              <w:pStyle w:val="EQRTableText"/>
              <w:jc w:val="center"/>
            </w:pPr>
            <w:r w:rsidRPr="00990D3B">
              <w:t>(0.552-0.648)</w:t>
            </w:r>
          </w:p>
        </w:tc>
      </w:tr>
      <w:tr w14:paraId="191E0D47" w14:textId="77777777" w:rsidTr="003D353A">
        <w:tblPrEx>
          <w:tblW w:w="5000" w:type="pct"/>
          <w:tblLook w:val="04A0"/>
        </w:tblPrEx>
        <w:tc>
          <w:tcPr>
            <w:tcW w:w="1732" w:type="dxa"/>
          </w:tcPr>
          <w:p w:rsidR="001B1C98" w:rsidRPr="00990D3B" w:rsidP="003D353A" w14:paraId="308DDB19" w14:textId="77777777">
            <w:pPr>
              <w:pStyle w:val="EQRTableText"/>
            </w:pPr>
            <w:r w:rsidRPr="00990D3B">
              <w:t>0.65</w:t>
            </w:r>
          </w:p>
        </w:tc>
        <w:tc>
          <w:tcPr>
            <w:tcW w:w="3663" w:type="dxa"/>
          </w:tcPr>
          <w:p w:rsidR="001B1C98" w:rsidRPr="00990D3B" w:rsidP="003D353A" w14:paraId="4D1B13FD" w14:textId="77777777">
            <w:pPr>
              <w:pStyle w:val="EQRTableText"/>
              <w:jc w:val="center"/>
            </w:pPr>
            <w:r w:rsidRPr="00990D3B">
              <w:t>380</w:t>
            </w:r>
          </w:p>
        </w:tc>
        <w:tc>
          <w:tcPr>
            <w:tcW w:w="3330" w:type="dxa"/>
          </w:tcPr>
          <w:p w:rsidR="001B1C98" w:rsidRPr="00990D3B" w:rsidP="003D353A" w14:paraId="22DABCCF" w14:textId="77777777">
            <w:pPr>
              <w:pStyle w:val="EQRTableText"/>
              <w:jc w:val="center"/>
            </w:pPr>
            <w:r w:rsidRPr="00990D3B">
              <w:t>0.048</w:t>
            </w:r>
          </w:p>
          <w:p w:rsidR="001B1C98" w:rsidRPr="00990D3B" w:rsidP="003D353A" w14:paraId="3C8A1A41" w14:textId="77777777">
            <w:pPr>
              <w:pStyle w:val="EQRTableText"/>
              <w:jc w:val="center"/>
            </w:pPr>
            <w:r w:rsidRPr="00990D3B">
              <w:t>(0.602-0.698)</w:t>
            </w:r>
          </w:p>
        </w:tc>
      </w:tr>
      <w:tr w14:paraId="7A53399F" w14:textId="77777777" w:rsidTr="003D353A">
        <w:tblPrEx>
          <w:tblW w:w="5000" w:type="pct"/>
          <w:tblLook w:val="04A0"/>
        </w:tblPrEx>
        <w:tc>
          <w:tcPr>
            <w:tcW w:w="1732" w:type="dxa"/>
          </w:tcPr>
          <w:p w:rsidR="001B1C98" w:rsidRPr="00990D3B" w:rsidP="003D353A" w14:paraId="30F01238" w14:textId="77777777">
            <w:pPr>
              <w:pStyle w:val="EQRTableText"/>
            </w:pPr>
            <w:r w:rsidRPr="00990D3B">
              <w:t>0.70</w:t>
            </w:r>
          </w:p>
        </w:tc>
        <w:tc>
          <w:tcPr>
            <w:tcW w:w="3663" w:type="dxa"/>
          </w:tcPr>
          <w:p w:rsidR="001B1C98" w:rsidRPr="00990D3B" w:rsidP="003D353A" w14:paraId="04F7B561" w14:textId="77777777">
            <w:pPr>
              <w:pStyle w:val="EQRTableText"/>
              <w:jc w:val="center"/>
            </w:pPr>
            <w:r w:rsidRPr="00990D3B">
              <w:t>348</w:t>
            </w:r>
          </w:p>
        </w:tc>
        <w:tc>
          <w:tcPr>
            <w:tcW w:w="3330" w:type="dxa"/>
          </w:tcPr>
          <w:p w:rsidR="001B1C98" w:rsidRPr="00990D3B" w:rsidP="003D353A" w14:paraId="2DF60535" w14:textId="77777777">
            <w:pPr>
              <w:pStyle w:val="EQRTableText"/>
              <w:jc w:val="center"/>
            </w:pPr>
            <w:r w:rsidRPr="00990D3B">
              <w:t>0.048</w:t>
            </w:r>
          </w:p>
          <w:p w:rsidR="001B1C98" w:rsidRPr="00990D3B" w:rsidP="003D353A" w14:paraId="52329A38" w14:textId="77777777">
            <w:pPr>
              <w:pStyle w:val="EQRTableText"/>
              <w:jc w:val="center"/>
            </w:pPr>
            <w:r w:rsidRPr="00990D3B">
              <w:t>(0.652-0.748)</w:t>
            </w:r>
          </w:p>
        </w:tc>
      </w:tr>
      <w:tr w14:paraId="050EC279" w14:textId="77777777" w:rsidTr="003D353A">
        <w:tblPrEx>
          <w:tblW w:w="5000" w:type="pct"/>
          <w:tblLook w:val="04A0"/>
        </w:tblPrEx>
        <w:tc>
          <w:tcPr>
            <w:tcW w:w="1732" w:type="dxa"/>
          </w:tcPr>
          <w:p w:rsidR="001B1C98" w:rsidRPr="00990D3B" w:rsidP="003D353A" w14:paraId="65D67C73" w14:textId="77777777">
            <w:pPr>
              <w:pStyle w:val="EQRTableText"/>
            </w:pPr>
            <w:r w:rsidRPr="00990D3B">
              <w:t>0.75</w:t>
            </w:r>
          </w:p>
        </w:tc>
        <w:tc>
          <w:tcPr>
            <w:tcW w:w="3663" w:type="dxa"/>
          </w:tcPr>
          <w:p w:rsidR="001B1C98" w:rsidRPr="00990D3B" w:rsidP="003D353A" w14:paraId="707132FF" w14:textId="77777777">
            <w:pPr>
              <w:pStyle w:val="EQRTableText"/>
              <w:jc w:val="center"/>
            </w:pPr>
            <w:r w:rsidRPr="00990D3B">
              <w:t>313</w:t>
            </w:r>
          </w:p>
        </w:tc>
        <w:tc>
          <w:tcPr>
            <w:tcW w:w="3330" w:type="dxa"/>
          </w:tcPr>
          <w:p w:rsidR="001B1C98" w:rsidRPr="00990D3B" w:rsidP="003D353A" w14:paraId="41BE5E11" w14:textId="77777777">
            <w:pPr>
              <w:pStyle w:val="EQRTableText"/>
              <w:jc w:val="center"/>
            </w:pPr>
            <w:r w:rsidRPr="00990D3B">
              <w:t>0.048</w:t>
            </w:r>
          </w:p>
          <w:p w:rsidR="001B1C98" w:rsidRPr="00990D3B" w:rsidP="003D353A" w14:paraId="3F2B8EB6" w14:textId="77777777">
            <w:pPr>
              <w:pStyle w:val="EQRTableText"/>
              <w:jc w:val="center"/>
            </w:pPr>
            <w:r w:rsidRPr="00990D3B">
              <w:t>(0.702-0.798)</w:t>
            </w:r>
          </w:p>
        </w:tc>
      </w:tr>
      <w:tr w14:paraId="75D5FA32" w14:textId="77777777" w:rsidTr="003D353A">
        <w:tblPrEx>
          <w:tblW w:w="5000" w:type="pct"/>
          <w:tblLook w:val="04A0"/>
        </w:tblPrEx>
        <w:tc>
          <w:tcPr>
            <w:tcW w:w="1732" w:type="dxa"/>
          </w:tcPr>
          <w:p w:rsidR="001B1C98" w:rsidRPr="00990D3B" w:rsidP="003D353A" w14:paraId="22475415" w14:textId="77777777">
            <w:pPr>
              <w:pStyle w:val="EQRTableText"/>
            </w:pPr>
            <w:r w:rsidRPr="00990D3B">
              <w:t>0.80</w:t>
            </w:r>
          </w:p>
        </w:tc>
        <w:tc>
          <w:tcPr>
            <w:tcW w:w="3663" w:type="dxa"/>
          </w:tcPr>
          <w:p w:rsidR="001B1C98" w:rsidRPr="00990D3B" w:rsidP="003D353A" w14:paraId="25715EFB" w14:textId="77777777">
            <w:pPr>
              <w:pStyle w:val="EQRTableText"/>
              <w:jc w:val="center"/>
            </w:pPr>
            <w:r w:rsidRPr="00990D3B">
              <w:t>270</w:t>
            </w:r>
          </w:p>
        </w:tc>
        <w:tc>
          <w:tcPr>
            <w:tcW w:w="3330" w:type="dxa"/>
          </w:tcPr>
          <w:p w:rsidR="001B1C98" w:rsidRPr="00990D3B" w:rsidP="003D353A" w14:paraId="09558340" w14:textId="77777777">
            <w:pPr>
              <w:pStyle w:val="EQRTableText"/>
              <w:jc w:val="center"/>
            </w:pPr>
            <w:r w:rsidRPr="00990D3B">
              <w:t>0.048</w:t>
            </w:r>
          </w:p>
          <w:p w:rsidR="001B1C98" w:rsidRPr="00990D3B" w:rsidP="003D353A" w14:paraId="3098ED57" w14:textId="77777777">
            <w:pPr>
              <w:pStyle w:val="EQRTableText"/>
              <w:jc w:val="center"/>
            </w:pPr>
            <w:r w:rsidRPr="00990D3B">
              <w:t>(0.752-0.848)</w:t>
            </w:r>
          </w:p>
        </w:tc>
      </w:tr>
      <w:tr w14:paraId="25604B18" w14:textId="77777777" w:rsidTr="003D353A">
        <w:tblPrEx>
          <w:tblW w:w="5000" w:type="pct"/>
          <w:tblLook w:val="04A0"/>
        </w:tblPrEx>
        <w:tc>
          <w:tcPr>
            <w:tcW w:w="1732" w:type="dxa"/>
          </w:tcPr>
          <w:p w:rsidR="001B1C98" w:rsidRPr="00990D3B" w:rsidP="003D353A" w14:paraId="2CEC36F8" w14:textId="77777777">
            <w:pPr>
              <w:pStyle w:val="EQRTableText"/>
            </w:pPr>
            <w:r w:rsidRPr="00990D3B">
              <w:t>0.85</w:t>
            </w:r>
          </w:p>
        </w:tc>
        <w:tc>
          <w:tcPr>
            <w:tcW w:w="3663" w:type="dxa"/>
          </w:tcPr>
          <w:p w:rsidR="001B1C98" w:rsidRPr="00990D3B" w:rsidP="003D353A" w14:paraId="7D0583A9" w14:textId="77777777">
            <w:pPr>
              <w:pStyle w:val="EQRTableText"/>
              <w:jc w:val="center"/>
            </w:pPr>
            <w:r w:rsidRPr="00990D3B">
              <w:t>219</w:t>
            </w:r>
          </w:p>
        </w:tc>
        <w:tc>
          <w:tcPr>
            <w:tcW w:w="3330" w:type="dxa"/>
          </w:tcPr>
          <w:p w:rsidR="001B1C98" w:rsidRPr="00990D3B" w:rsidP="003D353A" w14:paraId="5798D3BE" w14:textId="77777777">
            <w:pPr>
              <w:pStyle w:val="EQRTableText"/>
              <w:jc w:val="center"/>
            </w:pPr>
            <w:r w:rsidRPr="00990D3B">
              <w:t>0.047</w:t>
            </w:r>
          </w:p>
          <w:p w:rsidR="001B1C98" w:rsidRPr="00990D3B" w:rsidP="003D353A" w14:paraId="1D0008DA" w14:textId="77777777">
            <w:pPr>
              <w:pStyle w:val="EQRTableText"/>
              <w:jc w:val="center"/>
            </w:pPr>
            <w:r w:rsidRPr="00990D3B">
              <w:t>(0.803-0.897)</w:t>
            </w:r>
          </w:p>
        </w:tc>
      </w:tr>
      <w:tr w14:paraId="0FDD1DB9" w14:textId="77777777" w:rsidTr="003D353A">
        <w:tblPrEx>
          <w:tblW w:w="5000" w:type="pct"/>
          <w:tblLook w:val="04A0"/>
        </w:tblPrEx>
        <w:tc>
          <w:tcPr>
            <w:tcW w:w="1732" w:type="dxa"/>
          </w:tcPr>
          <w:p w:rsidR="001B1C98" w:rsidRPr="00990D3B" w:rsidP="003D353A" w14:paraId="7A2D9E86" w14:textId="77777777">
            <w:pPr>
              <w:pStyle w:val="EQRTableText"/>
            </w:pPr>
            <w:r w:rsidRPr="00990D3B">
              <w:t>0.90</w:t>
            </w:r>
          </w:p>
        </w:tc>
        <w:tc>
          <w:tcPr>
            <w:tcW w:w="3663" w:type="dxa"/>
          </w:tcPr>
          <w:p w:rsidR="001B1C98" w:rsidRPr="00990D3B" w:rsidP="003D353A" w14:paraId="43276D78" w14:textId="77777777">
            <w:pPr>
              <w:pStyle w:val="EQRTableText"/>
              <w:jc w:val="center"/>
            </w:pPr>
            <w:r w:rsidRPr="00990D3B">
              <w:t>159</w:t>
            </w:r>
          </w:p>
        </w:tc>
        <w:tc>
          <w:tcPr>
            <w:tcW w:w="3330" w:type="dxa"/>
          </w:tcPr>
          <w:p w:rsidR="001B1C98" w:rsidRPr="00990D3B" w:rsidP="003D353A" w14:paraId="5A9F78EC" w14:textId="77777777">
            <w:pPr>
              <w:pStyle w:val="EQRTableText"/>
              <w:jc w:val="center"/>
            </w:pPr>
            <w:r w:rsidRPr="00990D3B">
              <w:t>0.047</w:t>
            </w:r>
          </w:p>
          <w:p w:rsidR="001B1C98" w:rsidRPr="00990D3B" w:rsidP="003D353A" w14:paraId="32EED7E4" w14:textId="77777777">
            <w:pPr>
              <w:pStyle w:val="EQRTableText"/>
              <w:jc w:val="center"/>
            </w:pPr>
            <w:r w:rsidRPr="00990D3B">
              <w:t>(0.853-0.947)</w:t>
            </w:r>
          </w:p>
        </w:tc>
      </w:tr>
      <w:tr w14:paraId="072B0EC0" w14:textId="77777777" w:rsidTr="003D353A">
        <w:tblPrEx>
          <w:tblW w:w="5000" w:type="pct"/>
          <w:tblLook w:val="04A0"/>
        </w:tblPrEx>
        <w:tc>
          <w:tcPr>
            <w:tcW w:w="1732" w:type="dxa"/>
          </w:tcPr>
          <w:p w:rsidR="001B1C98" w:rsidRPr="00990D3B" w:rsidP="003D353A" w14:paraId="30C9F828" w14:textId="77777777">
            <w:pPr>
              <w:pStyle w:val="EQRTableText"/>
            </w:pPr>
            <w:r w:rsidRPr="00990D3B">
              <w:t>0.95</w:t>
            </w:r>
          </w:p>
        </w:tc>
        <w:tc>
          <w:tcPr>
            <w:tcW w:w="3663" w:type="dxa"/>
          </w:tcPr>
          <w:p w:rsidR="001B1C98" w:rsidRPr="00990D3B" w:rsidP="003D353A" w14:paraId="4F41E7FA" w14:textId="77777777">
            <w:pPr>
              <w:pStyle w:val="EQRTableText"/>
              <w:jc w:val="center"/>
            </w:pPr>
            <w:r w:rsidRPr="00990D3B">
              <w:t>100</w:t>
            </w:r>
          </w:p>
        </w:tc>
        <w:tc>
          <w:tcPr>
            <w:tcW w:w="3330" w:type="dxa"/>
          </w:tcPr>
          <w:p w:rsidR="001B1C98" w:rsidRPr="00990D3B" w:rsidP="003D353A" w14:paraId="2E6D4CAB" w14:textId="77777777">
            <w:pPr>
              <w:pStyle w:val="EQRTableText"/>
              <w:jc w:val="center"/>
            </w:pPr>
            <w:r w:rsidRPr="00990D3B">
              <w:t>0.043</w:t>
            </w:r>
          </w:p>
          <w:p w:rsidR="001B1C98" w:rsidRPr="00990D3B" w:rsidP="003D353A" w14:paraId="322316B6" w14:textId="77777777">
            <w:pPr>
              <w:pStyle w:val="EQRTableText"/>
              <w:jc w:val="center"/>
            </w:pPr>
            <w:r w:rsidRPr="00990D3B">
              <w:t>(0.907-0.993)</w:t>
            </w:r>
          </w:p>
        </w:tc>
      </w:tr>
    </w:tbl>
    <w:p w:rsidR="00D92A71" w:rsidRPr="00990D3B" w:rsidP="00FC5666" w14:paraId="6D90B531" w14:textId="23093C16">
      <w:pPr>
        <w:pStyle w:val="H2"/>
      </w:pPr>
      <w:bookmarkStart w:id="1221" w:name="_Toc14777780"/>
      <w:bookmarkStart w:id="1222" w:name="_Toc183005680"/>
      <w:bookmarkStart w:id="1223" w:name="_Toc201751475"/>
      <w:r w:rsidRPr="00990D3B">
        <w:t>D</w:t>
      </w:r>
      <w:r w:rsidRPr="00990D3B" w:rsidR="007F11AE">
        <w:t>ocumenting</w:t>
      </w:r>
      <w:r w:rsidRPr="00990D3B">
        <w:t xml:space="preserve"> S</w:t>
      </w:r>
      <w:r w:rsidRPr="00990D3B" w:rsidR="007F11AE">
        <w:t xml:space="preserve">ampling </w:t>
      </w:r>
      <w:r w:rsidRPr="00990D3B">
        <w:t>M</w:t>
      </w:r>
      <w:r w:rsidRPr="00990D3B" w:rsidR="007F11AE">
        <w:t>ethods for EQR Data</w:t>
      </w:r>
      <w:r w:rsidRPr="00990D3B">
        <w:t xml:space="preserve"> C</w:t>
      </w:r>
      <w:r w:rsidRPr="00990D3B" w:rsidR="007F11AE">
        <w:t xml:space="preserve">ollection </w:t>
      </w:r>
      <w:r w:rsidRPr="00990D3B">
        <w:t>A</w:t>
      </w:r>
      <w:r w:rsidRPr="00990D3B" w:rsidR="007F11AE">
        <w:t>ctivities</w:t>
      </w:r>
      <w:bookmarkEnd w:id="1221"/>
      <w:bookmarkEnd w:id="1222"/>
      <w:bookmarkEnd w:id="1223"/>
    </w:p>
    <w:p w:rsidR="00D92A71" w:rsidRPr="00990D3B" w:rsidP="004E5005" w14:paraId="64DD7317" w14:textId="2B674FCE">
      <w:pPr>
        <w:pStyle w:val="Paragraph0"/>
      </w:pPr>
      <w:r w:rsidRPr="00990D3B">
        <w:t>In general, the following information should be documented about sampling approaches used for EQR data collection activities:</w:t>
      </w:r>
    </w:p>
    <w:p w:rsidR="00D92A71" w:rsidRPr="00990D3B" w:rsidP="00FB7CAF" w14:paraId="1E952B53" w14:textId="701B1180">
      <w:pPr>
        <w:pStyle w:val="EQRBulletBLUE"/>
      </w:pPr>
      <w:r w:rsidRPr="00990D3B">
        <w:t xml:space="preserve">Definition of the population included in the data collection activity (such as denominator for performance measure, target population for PIP or </w:t>
      </w:r>
      <w:r w:rsidRPr="00990D3B" w:rsidR="00972D60">
        <w:t>focus</w:t>
      </w:r>
      <w:r w:rsidRPr="00990D3B">
        <w:t xml:space="preserve"> study, time frame for measurement)</w:t>
      </w:r>
      <w:r w:rsidRPr="00990D3B" w:rsidR="00AD7350">
        <w:t>.</w:t>
      </w:r>
    </w:p>
    <w:p w:rsidR="00D92A71" w:rsidRPr="00990D3B" w:rsidP="00FB7CAF" w14:paraId="5BABCD31" w14:textId="32CCAE5A">
      <w:pPr>
        <w:pStyle w:val="EQRBulletBLUE"/>
      </w:pPr>
      <w:r w:rsidRPr="00990D3B">
        <w:t>Sampling approach (such as simple random sampling, systematic random sampling, stratified random sampling, one-stage cluster sampling, two-stage cluster sampling, convenience sampling, quota sampling)</w:t>
      </w:r>
      <w:r w:rsidRPr="00990D3B" w:rsidR="00AD7350">
        <w:t>.</w:t>
      </w:r>
    </w:p>
    <w:p w:rsidR="00D92A71" w:rsidRPr="00990D3B" w:rsidP="00FB7CAF" w14:paraId="68EBB9EC" w14:textId="7739FB14">
      <w:pPr>
        <w:pStyle w:val="EQRBulletBLUE"/>
      </w:pPr>
      <w:r w:rsidRPr="00990D3B">
        <w:t>Sampling frame (such as enrollment file, claims extract, patient roster)</w:t>
      </w:r>
      <w:r w:rsidRPr="00990D3B" w:rsidR="00AD7350">
        <w:t>.</w:t>
      </w:r>
    </w:p>
    <w:p w:rsidR="00D92A71" w:rsidRPr="00990D3B" w:rsidP="00FB7CAF" w14:paraId="36488CDE" w14:textId="31B36142">
      <w:pPr>
        <w:pStyle w:val="EQRBulletBLUE"/>
      </w:pPr>
      <w:r w:rsidRPr="00990D3B">
        <w:t>Sample exclusions (if any)</w:t>
      </w:r>
      <w:r w:rsidRPr="00990D3B" w:rsidR="00AD7350">
        <w:t>.</w:t>
      </w:r>
    </w:p>
    <w:p w:rsidR="00D92A71" w:rsidRPr="00990D3B" w:rsidP="00FB7CAF" w14:paraId="1850FD56" w14:textId="749E0E6B">
      <w:pPr>
        <w:pStyle w:val="EQRBulletBLUE"/>
      </w:pPr>
      <w:r w:rsidRPr="00990D3B">
        <w:t>Sample size (including method used to determine minimum sample size)</w:t>
      </w:r>
      <w:r w:rsidRPr="00990D3B" w:rsidR="00AD7350">
        <w:t>.</w:t>
      </w:r>
    </w:p>
    <w:p w:rsidR="006D3D4A" w:rsidRPr="00990D3B" w:rsidP="00FB7CAF" w14:paraId="7D710A9C" w14:textId="5C8A0B74">
      <w:pPr>
        <w:pStyle w:val="EQRBulletBLUE"/>
      </w:pPr>
      <w:r w:rsidRPr="00990D3B">
        <w:t>Potential biases and selection issues that may affect representativeness of the sample and generalizability of the results</w:t>
      </w:r>
      <w:r w:rsidRPr="00990D3B" w:rsidR="00AD7350">
        <w:t>.</w:t>
      </w:r>
    </w:p>
    <w:p w:rsidR="00AB7854" w:rsidRPr="00990D3B" w:rsidP="005E2DB1" w14:paraId="161A7EC0" w14:textId="54FB14D6">
      <w:pPr>
        <w:pStyle w:val="paragraph"/>
        <w:jc w:val="center"/>
      </w:pPr>
      <w:r w:rsidRPr="00990D3B">
        <w:t xml:space="preserve">END OF APPENDIX </w:t>
      </w:r>
      <w:r w:rsidRPr="00990D3B" w:rsidR="00C15907">
        <w:t>C</w:t>
      </w:r>
    </w:p>
    <w:p w:rsidR="00563C3B" w:rsidRPr="00990D3B" w:rsidP="00FB7CAF" w14:paraId="2A042C4C" w14:textId="1DA80488">
      <w:pPr>
        <w:pStyle w:val="EQRBulletBLUE"/>
        <w:sectPr w:rsidSect="0014367F">
          <w:headerReference w:type="default" r:id="rId244"/>
          <w:footerReference w:type="even" r:id="rId245"/>
          <w:footerReference w:type="default" r:id="rId246"/>
          <w:headerReference w:type="first" r:id="rId247"/>
          <w:footerReference w:type="first" r:id="rId248"/>
          <w:pgSz w:w="12240" w:h="15840" w:code="1"/>
          <w:pgMar w:top="1440" w:right="1440" w:bottom="1440" w:left="1440" w:header="720" w:footer="720" w:gutter="0"/>
          <w:pgNumType w:start="1"/>
          <w:cols w:space="720"/>
          <w:titlePg/>
          <w:docGrid w:linePitch="360"/>
        </w:sectPr>
      </w:pPr>
    </w:p>
    <w:p w:rsidR="00F9187D" w:rsidRPr="00990D3B" w:rsidP="006D3D4A" w14:paraId="0FB798AB" w14:textId="6AB61710">
      <w:pPr>
        <w:pStyle w:val="H1"/>
      </w:pPr>
      <w:bookmarkStart w:id="1224" w:name="AppD"/>
      <w:bookmarkStart w:id="1225" w:name="_Toc493246403"/>
      <w:bookmarkStart w:id="1226" w:name="_Toc14777781"/>
      <w:bookmarkStart w:id="1227" w:name="_Toc183005681"/>
      <w:bookmarkStart w:id="1228" w:name="_Toc201751476"/>
      <w:bookmarkEnd w:id="1224"/>
      <w:r w:rsidRPr="00990D3B">
        <w:t xml:space="preserve">Appendix </w:t>
      </w:r>
      <w:r w:rsidRPr="00990D3B" w:rsidR="0074247F">
        <w:t>D</w:t>
      </w:r>
      <w:r w:rsidRPr="00990D3B">
        <w:t xml:space="preserve">. </w:t>
      </w:r>
      <w:bookmarkEnd w:id="1225"/>
      <w:r w:rsidRPr="00990D3B">
        <w:t xml:space="preserve">Acronyms Used </w:t>
      </w:r>
      <w:r w:rsidRPr="00990D3B">
        <w:t>In</w:t>
      </w:r>
      <w:r w:rsidRPr="00990D3B">
        <w:t xml:space="preserve"> the Protocols</w:t>
      </w:r>
      <w:bookmarkEnd w:id="1226"/>
      <w:bookmarkEnd w:id="1227"/>
      <w:bookmarkEnd w:id="1228"/>
    </w:p>
    <w:tbl>
      <w:tblPr>
        <w:tblStyle w:val="TableGrid"/>
        <w:tblpPr w:leftFromText="180" w:rightFromText="180" w:vertAnchor="text" w:tblpY="1"/>
        <w:tblOverlap w:val="never"/>
        <w:tblW w:w="39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30"/>
        <w:gridCol w:w="6048"/>
      </w:tblGrid>
      <w:tr w14:paraId="3EFBF9BB" w14:textId="77777777" w:rsidTr="00AA0D87">
        <w:tblPrEx>
          <w:tblW w:w="39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330" w:type="dxa"/>
          </w:tcPr>
          <w:p w:rsidR="006F459E" w:rsidRPr="00990D3B" w:rsidP="00AA0D87" w14:paraId="7601570F" w14:textId="5C62BA4A">
            <w:pPr>
              <w:pStyle w:val="Paragraph0"/>
            </w:pPr>
            <w:r w:rsidRPr="00990D3B">
              <w:t>AAFP</w:t>
            </w:r>
          </w:p>
        </w:tc>
        <w:tc>
          <w:tcPr>
            <w:tcW w:w="6048" w:type="dxa"/>
          </w:tcPr>
          <w:p w:rsidR="006F459E" w:rsidRPr="00990D3B" w:rsidP="00AA0D87" w14:paraId="2C75D1BD" w14:textId="52918CC3">
            <w:pPr>
              <w:pStyle w:val="Paragraph0"/>
            </w:pPr>
            <w:r w:rsidRPr="00990D3B">
              <w:t>American Academy of Family Physicians</w:t>
            </w:r>
          </w:p>
        </w:tc>
      </w:tr>
      <w:tr w14:paraId="0C4B4469" w14:textId="77777777" w:rsidTr="00AA0D87">
        <w:tblPrEx>
          <w:tblW w:w="3941" w:type="pct"/>
          <w:tblLayout w:type="fixed"/>
          <w:tblLook w:val="04A0"/>
        </w:tblPrEx>
        <w:tc>
          <w:tcPr>
            <w:tcW w:w="1330" w:type="dxa"/>
          </w:tcPr>
          <w:p w:rsidR="00253A2D" w:rsidRPr="00990D3B" w:rsidP="00DD5EBF" w14:paraId="7002EBBE" w14:textId="724C8B07">
            <w:pPr>
              <w:pStyle w:val="Paragraph0"/>
            </w:pPr>
            <w:r w:rsidRPr="00990D3B">
              <w:t>AHRQ</w:t>
            </w:r>
          </w:p>
        </w:tc>
        <w:tc>
          <w:tcPr>
            <w:tcW w:w="6048" w:type="dxa"/>
          </w:tcPr>
          <w:p w:rsidR="00253A2D" w:rsidRPr="00990D3B" w:rsidP="00DD5EBF" w14:paraId="3B1AC02D" w14:textId="7D7E91BC">
            <w:pPr>
              <w:pStyle w:val="Paragraph0"/>
            </w:pPr>
            <w:r w:rsidRPr="00990D3B">
              <w:t>Agency for Healthcare Research and Quality</w:t>
            </w:r>
          </w:p>
        </w:tc>
      </w:tr>
      <w:tr w14:paraId="7933E3D2" w14:textId="77777777" w:rsidTr="00AA0D87">
        <w:tblPrEx>
          <w:tblW w:w="3941" w:type="pct"/>
          <w:tblLayout w:type="fixed"/>
          <w:tblLook w:val="04A0"/>
        </w:tblPrEx>
        <w:tc>
          <w:tcPr>
            <w:tcW w:w="1330" w:type="dxa"/>
          </w:tcPr>
          <w:p w:rsidR="00DD5EBF" w:rsidRPr="00990D3B" w:rsidP="00AA0D87" w14:paraId="4A9EA8F8" w14:textId="22406D4A">
            <w:pPr>
              <w:pStyle w:val="Paragraph0"/>
            </w:pPr>
            <w:r w:rsidRPr="00990D3B">
              <w:t>ASC X12N</w:t>
            </w:r>
          </w:p>
        </w:tc>
        <w:tc>
          <w:tcPr>
            <w:tcW w:w="6048" w:type="dxa"/>
          </w:tcPr>
          <w:p w:rsidR="00DD5EBF" w:rsidRPr="00990D3B" w:rsidP="00AA0D87" w14:paraId="43C50A96" w14:textId="6DC9D064">
            <w:pPr>
              <w:pStyle w:val="Paragraph0"/>
            </w:pPr>
            <w:r w:rsidRPr="00990D3B">
              <w:t>Accredited Standards Committee X12 Insurance</w:t>
            </w:r>
          </w:p>
        </w:tc>
      </w:tr>
      <w:tr w14:paraId="29FB7F45" w14:textId="77777777" w:rsidTr="00AA0D87">
        <w:tblPrEx>
          <w:tblW w:w="3941" w:type="pct"/>
          <w:tblLayout w:type="fixed"/>
          <w:tblLook w:val="04A0"/>
        </w:tblPrEx>
        <w:tc>
          <w:tcPr>
            <w:tcW w:w="1330" w:type="dxa"/>
          </w:tcPr>
          <w:p w:rsidR="00E100CE" w:rsidRPr="00990D3B" w:rsidP="00AA0D87" w14:paraId="4EF5130A" w14:textId="1A971959">
            <w:pPr>
              <w:pStyle w:val="Paragraph0"/>
            </w:pPr>
            <w:r w:rsidRPr="00990D3B">
              <w:t>CAHPS®</w:t>
            </w:r>
          </w:p>
        </w:tc>
        <w:tc>
          <w:tcPr>
            <w:tcW w:w="6048" w:type="dxa"/>
          </w:tcPr>
          <w:p w:rsidR="00E100CE" w:rsidRPr="00990D3B" w:rsidP="00AA0D87" w14:paraId="2AE839BB" w14:textId="31B42075">
            <w:pPr>
              <w:pStyle w:val="Paragraph0"/>
            </w:pPr>
            <w:r w:rsidRPr="00990D3B">
              <w:t>Consumer Assessment of Healthcare Providers and Systems</w:t>
            </w:r>
          </w:p>
        </w:tc>
      </w:tr>
      <w:tr w14:paraId="7968BF01" w14:textId="77777777" w:rsidTr="00AA0D87">
        <w:tblPrEx>
          <w:tblW w:w="3941" w:type="pct"/>
          <w:tblLayout w:type="fixed"/>
          <w:tblLook w:val="04A0"/>
        </w:tblPrEx>
        <w:tc>
          <w:tcPr>
            <w:tcW w:w="1330" w:type="dxa"/>
          </w:tcPr>
          <w:p w:rsidR="00E100CE" w:rsidRPr="00990D3B" w:rsidP="00AA0D87" w14:paraId="3E8C1D40" w14:textId="625C9B7A">
            <w:pPr>
              <w:pStyle w:val="Paragraph0"/>
            </w:pPr>
            <w:r w:rsidRPr="00990D3B">
              <w:t>CHIP</w:t>
            </w:r>
          </w:p>
        </w:tc>
        <w:tc>
          <w:tcPr>
            <w:tcW w:w="6048" w:type="dxa"/>
          </w:tcPr>
          <w:p w:rsidR="00E100CE" w:rsidRPr="00990D3B" w:rsidP="00AA0D87" w14:paraId="204B076E" w14:textId="15C584CB">
            <w:pPr>
              <w:pStyle w:val="Paragraph0"/>
            </w:pPr>
            <w:r w:rsidRPr="00990D3B">
              <w:t>Children’s Health Insurance Program</w:t>
            </w:r>
          </w:p>
        </w:tc>
      </w:tr>
      <w:tr w14:paraId="3A625C07" w14:textId="77777777" w:rsidTr="00AA0D87">
        <w:tblPrEx>
          <w:tblW w:w="3941" w:type="pct"/>
          <w:tblLayout w:type="fixed"/>
          <w:tblLook w:val="04A0"/>
        </w:tblPrEx>
        <w:tc>
          <w:tcPr>
            <w:tcW w:w="1330" w:type="dxa"/>
          </w:tcPr>
          <w:p w:rsidR="00E100CE" w:rsidRPr="00990D3B" w:rsidP="00AA0D87" w14:paraId="42748478" w14:textId="558421AF">
            <w:pPr>
              <w:pStyle w:val="Paragraph0"/>
            </w:pPr>
            <w:r w:rsidRPr="00990D3B">
              <w:t>CHIPRA</w:t>
            </w:r>
          </w:p>
        </w:tc>
        <w:tc>
          <w:tcPr>
            <w:tcW w:w="6048" w:type="dxa"/>
          </w:tcPr>
          <w:p w:rsidR="00E100CE" w:rsidRPr="00990D3B" w:rsidP="00AA0D87" w14:paraId="0B0ADA38" w14:textId="490D0A6B">
            <w:pPr>
              <w:pStyle w:val="Paragraph0"/>
            </w:pPr>
            <w:r w:rsidRPr="00990D3B">
              <w:t>Children’s Health Insurance Program Reauthorization Act of 2009</w:t>
            </w:r>
          </w:p>
        </w:tc>
      </w:tr>
      <w:tr w14:paraId="01D9BE1E" w14:textId="77777777" w:rsidTr="00AA0D87">
        <w:tblPrEx>
          <w:tblW w:w="3941" w:type="pct"/>
          <w:tblLayout w:type="fixed"/>
          <w:tblLook w:val="04A0"/>
        </w:tblPrEx>
        <w:tc>
          <w:tcPr>
            <w:tcW w:w="1330" w:type="dxa"/>
          </w:tcPr>
          <w:p w:rsidR="00E100CE" w:rsidRPr="00990D3B" w:rsidP="00AA0D87" w14:paraId="48D098B6" w14:textId="0022E98A">
            <w:pPr>
              <w:pStyle w:val="Paragraph0"/>
            </w:pPr>
            <w:r w:rsidRPr="00990D3B">
              <w:t>CMS</w:t>
            </w:r>
          </w:p>
        </w:tc>
        <w:tc>
          <w:tcPr>
            <w:tcW w:w="6048" w:type="dxa"/>
          </w:tcPr>
          <w:p w:rsidR="00E100CE" w:rsidRPr="00990D3B" w:rsidP="00AA0D87" w14:paraId="057F5B2F" w14:textId="5665F752">
            <w:pPr>
              <w:pStyle w:val="Paragraph0"/>
            </w:pPr>
            <w:r w:rsidRPr="00990D3B">
              <w:t>Centers for Medicare &amp; Medicaid Services</w:t>
            </w:r>
          </w:p>
        </w:tc>
      </w:tr>
      <w:tr w14:paraId="745B4995" w14:textId="77777777" w:rsidTr="00AA0D87">
        <w:tblPrEx>
          <w:tblW w:w="3941" w:type="pct"/>
          <w:tblLayout w:type="fixed"/>
          <w:tblLook w:val="04A0"/>
        </w:tblPrEx>
        <w:tc>
          <w:tcPr>
            <w:tcW w:w="1330" w:type="dxa"/>
          </w:tcPr>
          <w:p w:rsidR="00E100CE" w:rsidRPr="00990D3B" w:rsidP="00AA0D87" w14:paraId="54E9DE33" w14:textId="2EED20B7">
            <w:pPr>
              <w:pStyle w:val="Paragraph0"/>
            </w:pPr>
            <w:r w:rsidRPr="00990D3B">
              <w:t>CPT</w:t>
            </w:r>
            <w:r w:rsidRPr="00990D3B" w:rsidR="0023540E">
              <w:t>®</w:t>
            </w:r>
          </w:p>
        </w:tc>
        <w:tc>
          <w:tcPr>
            <w:tcW w:w="6048" w:type="dxa"/>
          </w:tcPr>
          <w:p w:rsidR="00E100CE" w:rsidRPr="00990D3B" w:rsidP="00AA0D87" w14:paraId="2AFE2EEF" w14:textId="1AEAE6FA">
            <w:pPr>
              <w:pStyle w:val="Paragraph0"/>
            </w:pPr>
            <w:r w:rsidRPr="00990D3B">
              <w:t>Current Procedural Terminology</w:t>
            </w:r>
          </w:p>
        </w:tc>
      </w:tr>
      <w:tr w14:paraId="6DD357C6" w14:textId="77777777" w:rsidTr="00AA0D87">
        <w:tblPrEx>
          <w:tblW w:w="3941" w:type="pct"/>
          <w:tblLayout w:type="fixed"/>
          <w:tblLook w:val="04A0"/>
        </w:tblPrEx>
        <w:tc>
          <w:tcPr>
            <w:tcW w:w="1330" w:type="dxa"/>
          </w:tcPr>
          <w:p w:rsidR="0050101A" w:rsidRPr="00990D3B" w:rsidP="00AA0D87" w14:paraId="23D46F7D" w14:textId="5FDB3AEB">
            <w:pPr>
              <w:pStyle w:val="Paragraph0"/>
            </w:pPr>
            <w:r w:rsidRPr="00990D3B">
              <w:t>DBMS</w:t>
            </w:r>
          </w:p>
        </w:tc>
        <w:tc>
          <w:tcPr>
            <w:tcW w:w="6048" w:type="dxa"/>
          </w:tcPr>
          <w:p w:rsidR="0050101A" w:rsidRPr="00990D3B" w:rsidP="00AA0D87" w14:paraId="27C5E448" w14:textId="78702A1A">
            <w:pPr>
              <w:pStyle w:val="Paragraph0"/>
            </w:pPr>
            <w:r w:rsidRPr="00990D3B">
              <w:t>Database Management System</w:t>
            </w:r>
          </w:p>
        </w:tc>
      </w:tr>
      <w:tr w14:paraId="1DB31E41" w14:textId="77777777" w:rsidTr="00AA0D87">
        <w:tblPrEx>
          <w:tblW w:w="3941" w:type="pct"/>
          <w:tblLayout w:type="fixed"/>
          <w:tblLook w:val="04A0"/>
        </w:tblPrEx>
        <w:tc>
          <w:tcPr>
            <w:tcW w:w="1330" w:type="dxa"/>
          </w:tcPr>
          <w:p w:rsidR="00E100CE" w:rsidRPr="00990D3B" w:rsidP="00AA0D87" w14:paraId="490C3142" w14:textId="73CA9467">
            <w:pPr>
              <w:pStyle w:val="Paragraph0"/>
            </w:pPr>
            <w:r w:rsidRPr="00990D3B">
              <w:t>DOB</w:t>
            </w:r>
          </w:p>
        </w:tc>
        <w:tc>
          <w:tcPr>
            <w:tcW w:w="6048" w:type="dxa"/>
          </w:tcPr>
          <w:p w:rsidR="0050101A" w:rsidRPr="00990D3B" w:rsidP="00AA0D87" w14:paraId="18C376D9" w14:textId="3DAC350B">
            <w:pPr>
              <w:pStyle w:val="Paragraph0"/>
            </w:pPr>
            <w:r w:rsidRPr="00990D3B">
              <w:t>Date of Birth</w:t>
            </w:r>
          </w:p>
        </w:tc>
      </w:tr>
      <w:tr w14:paraId="59AD2381" w14:textId="77777777" w:rsidTr="00AA0D87">
        <w:tblPrEx>
          <w:tblW w:w="3941" w:type="pct"/>
          <w:tblLayout w:type="fixed"/>
          <w:tblLook w:val="04A0"/>
        </w:tblPrEx>
        <w:tc>
          <w:tcPr>
            <w:tcW w:w="1330" w:type="dxa"/>
          </w:tcPr>
          <w:p w:rsidR="0050101A" w:rsidRPr="00990D3B" w:rsidP="00AA0D87" w14:paraId="0414C9F6" w14:textId="6237EEFE">
            <w:pPr>
              <w:pStyle w:val="Paragraph0"/>
            </w:pPr>
            <w:r w:rsidRPr="00990D3B">
              <w:t>DR</w:t>
            </w:r>
          </w:p>
        </w:tc>
        <w:tc>
          <w:tcPr>
            <w:tcW w:w="6048" w:type="dxa"/>
          </w:tcPr>
          <w:p w:rsidR="0050101A" w:rsidRPr="00990D3B" w:rsidP="00AA0D87" w14:paraId="2C948B34" w14:textId="16D86C07">
            <w:pPr>
              <w:pStyle w:val="Paragraph0"/>
            </w:pPr>
            <w:r w:rsidRPr="00990D3B">
              <w:t>Disaster Recovery</w:t>
            </w:r>
          </w:p>
        </w:tc>
      </w:tr>
      <w:tr w14:paraId="5CB27E40" w14:textId="77777777" w:rsidTr="00AA0D87">
        <w:tblPrEx>
          <w:tblW w:w="3941" w:type="pct"/>
          <w:tblLayout w:type="fixed"/>
          <w:tblLook w:val="04A0"/>
        </w:tblPrEx>
        <w:tc>
          <w:tcPr>
            <w:tcW w:w="1330" w:type="dxa"/>
          </w:tcPr>
          <w:p w:rsidR="0050101A" w:rsidRPr="00990D3B" w:rsidP="00AA0D87" w14:paraId="329B9CE0" w14:textId="46A257AF">
            <w:pPr>
              <w:pStyle w:val="Paragraph0"/>
            </w:pPr>
            <w:r w:rsidRPr="00990D3B">
              <w:t>DSM-IV</w:t>
            </w:r>
          </w:p>
        </w:tc>
        <w:tc>
          <w:tcPr>
            <w:tcW w:w="6048" w:type="dxa"/>
          </w:tcPr>
          <w:p w:rsidR="0050101A" w:rsidRPr="00990D3B" w:rsidP="00AA0D87" w14:paraId="16DDF952" w14:textId="15052351">
            <w:pPr>
              <w:pStyle w:val="Paragraph0"/>
            </w:pPr>
            <w:r w:rsidRPr="00990D3B">
              <w:t>Diagnostic and Statistical Manual of Mental Disorders</w:t>
            </w:r>
          </w:p>
        </w:tc>
      </w:tr>
      <w:tr w14:paraId="2C7CC6BB" w14:textId="77777777" w:rsidTr="00AA0D87">
        <w:tblPrEx>
          <w:tblW w:w="3941" w:type="pct"/>
          <w:tblLayout w:type="fixed"/>
          <w:tblLook w:val="04A0"/>
        </w:tblPrEx>
        <w:tc>
          <w:tcPr>
            <w:tcW w:w="1330" w:type="dxa"/>
          </w:tcPr>
          <w:p w:rsidR="00E100CE" w:rsidRPr="00990D3B" w:rsidP="00AA0D87" w14:paraId="507BA4F5" w14:textId="2388CD98">
            <w:pPr>
              <w:pStyle w:val="Paragraph0"/>
            </w:pPr>
            <w:r w:rsidRPr="00990D3B">
              <w:t xml:space="preserve">EHR </w:t>
            </w:r>
          </w:p>
        </w:tc>
        <w:tc>
          <w:tcPr>
            <w:tcW w:w="6048" w:type="dxa"/>
          </w:tcPr>
          <w:p w:rsidR="00E100CE" w:rsidRPr="00990D3B" w:rsidP="00AA0D87" w14:paraId="32742358" w14:textId="646C43CA">
            <w:pPr>
              <w:pStyle w:val="Paragraph0"/>
            </w:pPr>
            <w:r w:rsidRPr="00990D3B">
              <w:t>Electronic Health Record</w:t>
            </w:r>
          </w:p>
        </w:tc>
      </w:tr>
      <w:tr w14:paraId="0D10A98B" w14:textId="77777777" w:rsidTr="00AA0D87">
        <w:tblPrEx>
          <w:tblW w:w="3941" w:type="pct"/>
          <w:tblLayout w:type="fixed"/>
          <w:tblLook w:val="04A0"/>
        </w:tblPrEx>
        <w:tc>
          <w:tcPr>
            <w:tcW w:w="1330" w:type="dxa"/>
          </w:tcPr>
          <w:p w:rsidR="000633A9" w:rsidRPr="00990D3B" w:rsidP="00AA0D87" w14:paraId="27C4CA86" w14:textId="77777777">
            <w:pPr>
              <w:pStyle w:val="Paragraph0"/>
            </w:pPr>
            <w:r w:rsidRPr="00990D3B">
              <w:t>EQR</w:t>
            </w:r>
          </w:p>
        </w:tc>
        <w:tc>
          <w:tcPr>
            <w:tcW w:w="6048" w:type="dxa"/>
          </w:tcPr>
          <w:p w:rsidR="000633A9" w:rsidRPr="00990D3B" w:rsidP="00AA0D87" w14:paraId="439A2F2D" w14:textId="77777777">
            <w:pPr>
              <w:pStyle w:val="Paragraph0"/>
            </w:pPr>
            <w:r w:rsidRPr="00990D3B">
              <w:t>External Quality Review</w:t>
            </w:r>
          </w:p>
        </w:tc>
      </w:tr>
      <w:tr w14:paraId="2D3F2F14" w14:textId="77777777" w:rsidTr="00AA0D87">
        <w:tblPrEx>
          <w:tblW w:w="3941" w:type="pct"/>
          <w:tblLayout w:type="fixed"/>
          <w:tblLook w:val="04A0"/>
        </w:tblPrEx>
        <w:tc>
          <w:tcPr>
            <w:tcW w:w="1330" w:type="dxa"/>
          </w:tcPr>
          <w:p w:rsidR="000633A9" w:rsidRPr="00990D3B" w:rsidP="00AA0D87" w14:paraId="5344E4F4" w14:textId="77777777">
            <w:pPr>
              <w:pStyle w:val="Paragraph0"/>
            </w:pPr>
            <w:r w:rsidRPr="00990D3B">
              <w:t>EQRO</w:t>
            </w:r>
          </w:p>
        </w:tc>
        <w:tc>
          <w:tcPr>
            <w:tcW w:w="6048" w:type="dxa"/>
          </w:tcPr>
          <w:p w:rsidR="000633A9" w:rsidRPr="00990D3B" w:rsidP="00AA0D87" w14:paraId="15104BF8" w14:textId="77777777">
            <w:pPr>
              <w:pStyle w:val="Paragraph0"/>
            </w:pPr>
            <w:r w:rsidRPr="00990D3B">
              <w:t>External Quality Review Organization</w:t>
            </w:r>
          </w:p>
        </w:tc>
      </w:tr>
      <w:tr w14:paraId="19B23C8A" w14:textId="77777777" w:rsidTr="00AA0D87">
        <w:tblPrEx>
          <w:tblW w:w="3941" w:type="pct"/>
          <w:tblLayout w:type="fixed"/>
          <w:tblLook w:val="04A0"/>
        </w:tblPrEx>
        <w:tc>
          <w:tcPr>
            <w:tcW w:w="1330" w:type="dxa"/>
          </w:tcPr>
          <w:p w:rsidR="000633A9" w:rsidRPr="00990D3B" w:rsidP="00AA0D87" w14:paraId="6BFDDEC4" w14:textId="77777777">
            <w:pPr>
              <w:pStyle w:val="Paragraph0"/>
            </w:pPr>
            <w:r w:rsidRPr="00990D3B">
              <w:t>EVV</w:t>
            </w:r>
          </w:p>
        </w:tc>
        <w:tc>
          <w:tcPr>
            <w:tcW w:w="6048" w:type="dxa"/>
          </w:tcPr>
          <w:p w:rsidR="000633A9" w:rsidRPr="00990D3B" w:rsidP="00AA0D87" w14:paraId="0557F081" w14:textId="77777777">
            <w:pPr>
              <w:pStyle w:val="Paragraph0"/>
            </w:pPr>
            <w:r w:rsidRPr="00990D3B">
              <w:t>Electronic Visit Verification</w:t>
            </w:r>
          </w:p>
        </w:tc>
      </w:tr>
      <w:tr w14:paraId="4F12D8A7" w14:textId="77777777" w:rsidTr="00AA0D87">
        <w:tblPrEx>
          <w:tblW w:w="3941" w:type="pct"/>
          <w:tblLayout w:type="fixed"/>
          <w:tblLook w:val="04A0"/>
        </w:tblPrEx>
        <w:tc>
          <w:tcPr>
            <w:tcW w:w="1330" w:type="dxa"/>
          </w:tcPr>
          <w:p w:rsidR="000633A9" w:rsidRPr="00990D3B" w:rsidP="00AA0D87" w14:paraId="65C92C08" w14:textId="77777777">
            <w:pPr>
              <w:pStyle w:val="Paragraph0"/>
            </w:pPr>
            <w:r w:rsidRPr="00990D3B">
              <w:t>FFP</w:t>
            </w:r>
          </w:p>
        </w:tc>
        <w:tc>
          <w:tcPr>
            <w:tcW w:w="6048" w:type="dxa"/>
          </w:tcPr>
          <w:p w:rsidR="000633A9" w:rsidRPr="00990D3B" w:rsidP="00AA0D87" w14:paraId="71AB2E0F" w14:textId="77777777">
            <w:pPr>
              <w:pStyle w:val="Paragraph0"/>
            </w:pPr>
            <w:r w:rsidRPr="00990D3B">
              <w:t xml:space="preserve">Federal Financial Participation </w:t>
            </w:r>
          </w:p>
        </w:tc>
      </w:tr>
      <w:tr w14:paraId="01BE4165" w14:textId="77777777" w:rsidTr="00AA0D87">
        <w:tblPrEx>
          <w:tblW w:w="3941" w:type="pct"/>
          <w:tblLayout w:type="fixed"/>
          <w:tblLook w:val="04A0"/>
        </w:tblPrEx>
        <w:tc>
          <w:tcPr>
            <w:tcW w:w="1330" w:type="dxa"/>
          </w:tcPr>
          <w:p w:rsidR="000633A9" w:rsidRPr="00990D3B" w:rsidP="00AA0D87" w14:paraId="210E6B64" w14:textId="77777777">
            <w:pPr>
              <w:pStyle w:val="Paragraph0"/>
            </w:pPr>
            <w:r w:rsidRPr="00990D3B">
              <w:t>FFS</w:t>
            </w:r>
          </w:p>
        </w:tc>
        <w:tc>
          <w:tcPr>
            <w:tcW w:w="6048" w:type="dxa"/>
          </w:tcPr>
          <w:p w:rsidR="000633A9" w:rsidRPr="00990D3B" w:rsidP="00AA0D87" w14:paraId="413AA44F" w14:textId="77777777">
            <w:pPr>
              <w:pStyle w:val="Paragraph0"/>
            </w:pPr>
            <w:r w:rsidRPr="00990D3B">
              <w:t>Fee-For-Service</w:t>
            </w:r>
          </w:p>
        </w:tc>
      </w:tr>
      <w:tr w14:paraId="6FA950C8" w14:textId="77777777" w:rsidTr="00AA0D87">
        <w:tblPrEx>
          <w:tblW w:w="3941" w:type="pct"/>
          <w:tblLayout w:type="fixed"/>
          <w:tblLook w:val="04A0"/>
        </w:tblPrEx>
        <w:tc>
          <w:tcPr>
            <w:tcW w:w="1330" w:type="dxa"/>
          </w:tcPr>
          <w:p w:rsidR="000633A9" w:rsidRPr="00990D3B" w:rsidP="00AA0D87" w14:paraId="7ADF793C" w14:textId="77777777">
            <w:pPr>
              <w:pStyle w:val="Paragraph0"/>
            </w:pPr>
            <w:r w:rsidRPr="00990D3B">
              <w:t>HCBS</w:t>
            </w:r>
          </w:p>
        </w:tc>
        <w:tc>
          <w:tcPr>
            <w:tcW w:w="6048" w:type="dxa"/>
          </w:tcPr>
          <w:p w:rsidR="000633A9" w:rsidRPr="00990D3B" w:rsidP="00AA0D87" w14:paraId="6A3ADFD1" w14:textId="77777777">
            <w:pPr>
              <w:pStyle w:val="Paragraph0"/>
            </w:pPr>
            <w:r w:rsidRPr="00990D3B">
              <w:t>Home and Community Based Services</w:t>
            </w:r>
          </w:p>
        </w:tc>
      </w:tr>
      <w:tr w14:paraId="45E6817C" w14:textId="77777777" w:rsidTr="00AA0D87">
        <w:tblPrEx>
          <w:tblW w:w="3941" w:type="pct"/>
          <w:tblLayout w:type="fixed"/>
          <w:tblLook w:val="04A0"/>
        </w:tblPrEx>
        <w:tc>
          <w:tcPr>
            <w:tcW w:w="1330" w:type="dxa"/>
          </w:tcPr>
          <w:p w:rsidR="000633A9" w:rsidRPr="00990D3B" w:rsidP="00AA0D87" w14:paraId="4D8CEC29" w14:textId="77777777">
            <w:pPr>
              <w:pStyle w:val="Paragraph0"/>
            </w:pPr>
            <w:r w:rsidRPr="00990D3B">
              <w:t>HCPCS</w:t>
            </w:r>
          </w:p>
        </w:tc>
        <w:tc>
          <w:tcPr>
            <w:tcW w:w="6048" w:type="dxa"/>
          </w:tcPr>
          <w:p w:rsidR="000633A9" w:rsidRPr="00990D3B" w:rsidP="00AA0D87" w14:paraId="324CC320" w14:textId="77777777">
            <w:pPr>
              <w:pStyle w:val="Paragraph0"/>
            </w:pPr>
            <w:r w:rsidRPr="00990D3B">
              <w:t>Healthcare Common Procedure Coding System</w:t>
            </w:r>
          </w:p>
        </w:tc>
      </w:tr>
      <w:tr w14:paraId="4BF89F82" w14:textId="77777777" w:rsidTr="00AA0D87">
        <w:tblPrEx>
          <w:tblW w:w="3941" w:type="pct"/>
          <w:tblLayout w:type="fixed"/>
          <w:tblLook w:val="04A0"/>
        </w:tblPrEx>
        <w:tc>
          <w:tcPr>
            <w:tcW w:w="1330" w:type="dxa"/>
          </w:tcPr>
          <w:p w:rsidR="000633A9" w:rsidRPr="00990D3B" w:rsidP="00AA0D87" w14:paraId="37024A3D" w14:textId="77777777">
            <w:pPr>
              <w:pStyle w:val="Paragraph0"/>
            </w:pPr>
            <w:r w:rsidRPr="00990D3B">
              <w:t>HEDIS®</w:t>
            </w:r>
          </w:p>
        </w:tc>
        <w:tc>
          <w:tcPr>
            <w:tcW w:w="6048" w:type="dxa"/>
          </w:tcPr>
          <w:p w:rsidR="000633A9" w:rsidRPr="00990D3B" w:rsidP="00AA0D87" w14:paraId="6DE6D7FB" w14:textId="77777777">
            <w:pPr>
              <w:pStyle w:val="Paragraph0"/>
            </w:pPr>
            <w:r w:rsidRPr="00990D3B">
              <w:t>Healthcare Effectiveness Data and Information Set</w:t>
            </w:r>
          </w:p>
        </w:tc>
      </w:tr>
      <w:tr w14:paraId="66FD941B" w14:textId="77777777" w:rsidTr="00AA0D87">
        <w:tblPrEx>
          <w:tblW w:w="3941" w:type="pct"/>
          <w:tblLayout w:type="fixed"/>
          <w:tblLook w:val="04A0"/>
        </w:tblPrEx>
        <w:tc>
          <w:tcPr>
            <w:tcW w:w="1330" w:type="dxa"/>
          </w:tcPr>
          <w:p w:rsidR="000633A9" w:rsidRPr="00990D3B" w:rsidP="00AA0D87" w14:paraId="1C0C2AA6" w14:textId="77777777">
            <w:pPr>
              <w:pStyle w:val="Paragraph0"/>
            </w:pPr>
            <w:r w:rsidRPr="00990D3B">
              <w:t>HHS</w:t>
            </w:r>
          </w:p>
        </w:tc>
        <w:tc>
          <w:tcPr>
            <w:tcW w:w="6048" w:type="dxa"/>
          </w:tcPr>
          <w:p w:rsidR="000633A9" w:rsidRPr="00990D3B" w:rsidP="00AA0D87" w14:paraId="19CCF5C7" w14:textId="77777777">
            <w:pPr>
              <w:pStyle w:val="Paragraph0"/>
            </w:pPr>
            <w:r w:rsidRPr="00990D3B">
              <w:t>U.S. Department of Health &amp; Human Services</w:t>
            </w:r>
          </w:p>
        </w:tc>
      </w:tr>
      <w:tr w14:paraId="05D9898B" w14:textId="77777777" w:rsidTr="00AA0D87">
        <w:tblPrEx>
          <w:tblW w:w="3941" w:type="pct"/>
          <w:tblLayout w:type="fixed"/>
          <w:tblLook w:val="04A0"/>
        </w:tblPrEx>
        <w:tc>
          <w:tcPr>
            <w:tcW w:w="1330" w:type="dxa"/>
          </w:tcPr>
          <w:p w:rsidR="000633A9" w:rsidRPr="00990D3B" w:rsidP="00AA0D87" w14:paraId="2927AE38" w14:textId="77777777">
            <w:pPr>
              <w:pStyle w:val="Paragraph0"/>
            </w:pPr>
            <w:r w:rsidRPr="00990D3B">
              <w:t>HIE</w:t>
            </w:r>
          </w:p>
        </w:tc>
        <w:tc>
          <w:tcPr>
            <w:tcW w:w="6048" w:type="dxa"/>
          </w:tcPr>
          <w:p w:rsidR="000633A9" w:rsidRPr="00990D3B" w:rsidP="00AA0D87" w14:paraId="72536F16" w14:textId="77777777">
            <w:pPr>
              <w:pStyle w:val="Paragraph0"/>
            </w:pPr>
            <w:r w:rsidRPr="00990D3B">
              <w:t>Health Information Exchange</w:t>
            </w:r>
          </w:p>
        </w:tc>
      </w:tr>
      <w:tr w14:paraId="2968B0C3" w14:textId="77777777" w:rsidTr="00AA0D87">
        <w:tblPrEx>
          <w:tblW w:w="3941" w:type="pct"/>
          <w:tblLayout w:type="fixed"/>
          <w:tblLook w:val="04A0"/>
        </w:tblPrEx>
        <w:tc>
          <w:tcPr>
            <w:tcW w:w="1330" w:type="dxa"/>
          </w:tcPr>
          <w:p w:rsidR="000633A9" w:rsidRPr="00990D3B" w:rsidP="00AA0D87" w14:paraId="057E585D" w14:textId="77777777">
            <w:pPr>
              <w:pStyle w:val="Paragraph0"/>
            </w:pPr>
            <w:r w:rsidRPr="00990D3B">
              <w:t>HIPAA</w:t>
            </w:r>
          </w:p>
        </w:tc>
        <w:tc>
          <w:tcPr>
            <w:tcW w:w="6048" w:type="dxa"/>
          </w:tcPr>
          <w:p w:rsidR="000633A9" w:rsidRPr="00990D3B" w:rsidP="00AA0D87" w14:paraId="5B10AA78" w14:textId="77777777">
            <w:pPr>
              <w:pStyle w:val="Paragraph0"/>
            </w:pPr>
            <w:r w:rsidRPr="00990D3B">
              <w:t>Health Insurance Portability and Accountability Act</w:t>
            </w:r>
          </w:p>
        </w:tc>
      </w:tr>
      <w:tr w14:paraId="3AC5CD4E" w14:textId="77777777" w:rsidTr="00AA0D87">
        <w:tblPrEx>
          <w:tblW w:w="3941" w:type="pct"/>
          <w:tblLayout w:type="fixed"/>
          <w:tblLook w:val="04A0"/>
        </w:tblPrEx>
        <w:tc>
          <w:tcPr>
            <w:tcW w:w="1330" w:type="dxa"/>
          </w:tcPr>
          <w:p w:rsidR="000633A9" w:rsidRPr="00990D3B" w:rsidP="00AA0D87" w14:paraId="3051E349" w14:textId="77777777">
            <w:pPr>
              <w:pStyle w:val="Paragraph0"/>
            </w:pPr>
            <w:r w:rsidRPr="00990D3B">
              <w:t>HIT</w:t>
            </w:r>
          </w:p>
        </w:tc>
        <w:tc>
          <w:tcPr>
            <w:tcW w:w="6048" w:type="dxa"/>
          </w:tcPr>
          <w:p w:rsidR="000633A9" w:rsidRPr="00990D3B" w:rsidP="00AA0D87" w14:paraId="50893512" w14:textId="77777777">
            <w:pPr>
              <w:pStyle w:val="Paragraph0"/>
            </w:pPr>
            <w:r w:rsidRPr="00990D3B">
              <w:t>Health Information Technology</w:t>
            </w:r>
          </w:p>
        </w:tc>
      </w:tr>
      <w:tr w14:paraId="5424B64A" w14:textId="77777777" w:rsidTr="00AA0D87">
        <w:tblPrEx>
          <w:tblW w:w="3941" w:type="pct"/>
          <w:tblLayout w:type="fixed"/>
          <w:tblLook w:val="04A0"/>
        </w:tblPrEx>
        <w:tc>
          <w:tcPr>
            <w:tcW w:w="1330" w:type="dxa"/>
          </w:tcPr>
          <w:p w:rsidR="000633A9" w:rsidRPr="00990D3B" w:rsidP="00AA0D87" w14:paraId="5161F40A" w14:textId="77777777">
            <w:pPr>
              <w:pStyle w:val="Paragraph0"/>
            </w:pPr>
            <w:r w:rsidRPr="00990D3B">
              <w:t>HITECH</w:t>
            </w:r>
          </w:p>
        </w:tc>
        <w:tc>
          <w:tcPr>
            <w:tcW w:w="6048" w:type="dxa"/>
          </w:tcPr>
          <w:p w:rsidR="000633A9" w:rsidRPr="00990D3B" w:rsidP="00AA0D87" w14:paraId="35DC0125" w14:textId="77777777">
            <w:pPr>
              <w:pStyle w:val="Paragraph0"/>
            </w:pPr>
            <w:r w:rsidRPr="00990D3B">
              <w:t>Health Information Technology for Economic and Clinical Health Act</w:t>
            </w:r>
          </w:p>
        </w:tc>
      </w:tr>
      <w:tr w14:paraId="24532691" w14:textId="77777777" w:rsidTr="00AA0D87">
        <w:tblPrEx>
          <w:tblW w:w="3941" w:type="pct"/>
          <w:tblLayout w:type="fixed"/>
          <w:tblLook w:val="04A0"/>
        </w:tblPrEx>
        <w:tc>
          <w:tcPr>
            <w:tcW w:w="1330" w:type="dxa"/>
          </w:tcPr>
          <w:p w:rsidR="000633A9" w:rsidRPr="00990D3B" w:rsidP="00AA0D87" w14:paraId="1F722A86" w14:textId="77777777">
            <w:pPr>
              <w:pStyle w:val="Paragraph0"/>
            </w:pPr>
            <w:r w:rsidRPr="00990D3B">
              <w:t>HPV</w:t>
            </w:r>
          </w:p>
        </w:tc>
        <w:tc>
          <w:tcPr>
            <w:tcW w:w="6048" w:type="dxa"/>
          </w:tcPr>
          <w:p w:rsidR="000633A9" w:rsidRPr="00990D3B" w:rsidP="00AA0D87" w14:paraId="79D610E5" w14:textId="77777777">
            <w:pPr>
              <w:pStyle w:val="Paragraph0"/>
            </w:pPr>
            <w:r w:rsidRPr="00990D3B">
              <w:t>Human Papillomavirus Vaccine</w:t>
            </w:r>
          </w:p>
        </w:tc>
      </w:tr>
      <w:tr w14:paraId="5B1C419D" w14:textId="77777777" w:rsidTr="00AA0D87">
        <w:tblPrEx>
          <w:tblW w:w="3941" w:type="pct"/>
          <w:tblLayout w:type="fixed"/>
          <w:tblLook w:val="04A0"/>
        </w:tblPrEx>
        <w:tc>
          <w:tcPr>
            <w:tcW w:w="1330" w:type="dxa"/>
          </w:tcPr>
          <w:p w:rsidR="000633A9" w:rsidRPr="00990D3B" w:rsidP="00AA0D87" w14:paraId="24FB4871" w14:textId="77777777">
            <w:pPr>
              <w:pStyle w:val="Paragraph0"/>
            </w:pPr>
            <w:r w:rsidRPr="00990D3B">
              <w:t>ICD-10</w:t>
            </w:r>
          </w:p>
        </w:tc>
        <w:tc>
          <w:tcPr>
            <w:tcW w:w="6048" w:type="dxa"/>
          </w:tcPr>
          <w:p w:rsidR="000633A9" w:rsidRPr="00990D3B" w:rsidP="00AA0D87" w14:paraId="23B46891" w14:textId="697E0940">
            <w:pPr>
              <w:pStyle w:val="Paragraph0"/>
            </w:pPr>
            <w:r w:rsidRPr="00990D3B">
              <w:t>International Statistical Classification of Diseases and Related</w:t>
            </w:r>
            <w:r w:rsidRPr="00990D3B" w:rsidR="00175335">
              <w:t xml:space="preserve"> </w:t>
            </w:r>
            <w:r w:rsidRPr="00990D3B">
              <w:t>Health Problems</w:t>
            </w:r>
          </w:p>
        </w:tc>
      </w:tr>
    </w:tbl>
    <w:p w:rsidR="00C55B14" w:rsidRPr="00990D3B" w14:paraId="53251BE3" w14:textId="3F562D9F">
      <w:pPr>
        <w:rPr>
          <w:sz w:val="2"/>
          <w:szCs w:val="2"/>
        </w:rPr>
      </w:pPr>
    </w:p>
    <w:tbl>
      <w:tblPr>
        <w:tblStyle w:val="TableGrid"/>
        <w:tblW w:w="4787" w:type="pc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30"/>
        <w:gridCol w:w="7631"/>
      </w:tblGrid>
      <w:tr w14:paraId="3BF59F42" w14:textId="77777777" w:rsidTr="00B8076F">
        <w:tblPrEx>
          <w:tblW w:w="4787" w:type="pc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329" w:type="dxa"/>
          </w:tcPr>
          <w:p w:rsidR="00B8076F" w:rsidRPr="00990D3B" w:rsidP="00B8076F" w14:paraId="71A53EAD" w14:textId="6B87B831">
            <w:pPr>
              <w:pStyle w:val="Paragraph0"/>
            </w:pPr>
            <w:r w:rsidRPr="00990D3B">
              <w:t>IS</w:t>
            </w:r>
          </w:p>
        </w:tc>
        <w:tc>
          <w:tcPr>
            <w:tcW w:w="7623" w:type="dxa"/>
          </w:tcPr>
          <w:p w:rsidR="00B8076F" w:rsidRPr="00990D3B" w:rsidP="00B8076F" w14:paraId="6B627A2A" w14:textId="4E5F4793">
            <w:pPr>
              <w:pStyle w:val="Paragraph0"/>
            </w:pPr>
            <w:r w:rsidRPr="00990D3B">
              <w:t>Information System</w:t>
            </w:r>
          </w:p>
        </w:tc>
      </w:tr>
      <w:tr w14:paraId="0FC8214C" w14:textId="77777777" w:rsidTr="00B8076F">
        <w:tblPrEx>
          <w:tblW w:w="4787" w:type="pct"/>
          <w:tblInd w:w="-144" w:type="dxa"/>
          <w:tblLayout w:type="fixed"/>
          <w:tblLook w:val="04A0"/>
        </w:tblPrEx>
        <w:tc>
          <w:tcPr>
            <w:tcW w:w="1329" w:type="dxa"/>
          </w:tcPr>
          <w:p w:rsidR="00B8076F" w:rsidRPr="00990D3B" w:rsidP="00B8076F" w14:paraId="388A1241" w14:textId="76E38439">
            <w:pPr>
              <w:pStyle w:val="Paragraph0"/>
            </w:pPr>
            <w:r w:rsidRPr="00990D3B">
              <w:t>ISCA</w:t>
            </w:r>
          </w:p>
        </w:tc>
        <w:tc>
          <w:tcPr>
            <w:tcW w:w="7623" w:type="dxa"/>
          </w:tcPr>
          <w:p w:rsidR="00B8076F" w:rsidRPr="00990D3B" w:rsidP="00B8076F" w14:paraId="23EB2A72" w14:textId="358694E2">
            <w:pPr>
              <w:pStyle w:val="Paragraph0"/>
            </w:pPr>
            <w:r w:rsidRPr="00990D3B">
              <w:t>Information Systems Capability Assessment</w:t>
            </w:r>
          </w:p>
        </w:tc>
      </w:tr>
      <w:tr w14:paraId="77565356" w14:textId="77777777" w:rsidTr="00B8076F">
        <w:tblPrEx>
          <w:tblW w:w="4787" w:type="pct"/>
          <w:tblInd w:w="-144" w:type="dxa"/>
          <w:tblLayout w:type="fixed"/>
          <w:tblLook w:val="04A0"/>
        </w:tblPrEx>
        <w:tc>
          <w:tcPr>
            <w:tcW w:w="1329" w:type="dxa"/>
          </w:tcPr>
          <w:p w:rsidR="00B8076F" w:rsidRPr="00990D3B" w:rsidP="00B8076F" w14:paraId="7EB780E5" w14:textId="69858295">
            <w:pPr>
              <w:pStyle w:val="Paragraph0"/>
            </w:pPr>
            <w:r w:rsidRPr="00990D3B">
              <w:t>LOINC</w:t>
            </w:r>
          </w:p>
        </w:tc>
        <w:tc>
          <w:tcPr>
            <w:tcW w:w="7623" w:type="dxa"/>
          </w:tcPr>
          <w:p w:rsidR="00B8076F" w:rsidRPr="00990D3B" w:rsidP="00B8076F" w14:paraId="60D8C6FA" w14:textId="151C1E27">
            <w:pPr>
              <w:pStyle w:val="Paragraph0"/>
            </w:pPr>
            <w:r w:rsidRPr="00990D3B">
              <w:t>Logical Observation Identifier Names and Codes</w:t>
            </w:r>
          </w:p>
        </w:tc>
      </w:tr>
      <w:tr w14:paraId="791F0616" w14:textId="77777777" w:rsidTr="00B8076F">
        <w:tblPrEx>
          <w:tblW w:w="4787" w:type="pct"/>
          <w:tblInd w:w="-144" w:type="dxa"/>
          <w:tblLayout w:type="fixed"/>
          <w:tblLook w:val="04A0"/>
        </w:tblPrEx>
        <w:tc>
          <w:tcPr>
            <w:tcW w:w="1329" w:type="dxa"/>
          </w:tcPr>
          <w:p w:rsidR="00B8076F" w:rsidRPr="00990D3B" w:rsidP="00B8076F" w14:paraId="06AC11E8" w14:textId="0F3A475C">
            <w:pPr>
              <w:pStyle w:val="Paragraph0"/>
            </w:pPr>
            <w:r w:rsidRPr="00990D3B">
              <w:t>LOS</w:t>
            </w:r>
          </w:p>
        </w:tc>
        <w:tc>
          <w:tcPr>
            <w:tcW w:w="7623" w:type="dxa"/>
          </w:tcPr>
          <w:p w:rsidR="00B8076F" w:rsidRPr="00990D3B" w:rsidP="00B8076F" w14:paraId="1237936A" w14:textId="384252EE">
            <w:pPr>
              <w:pStyle w:val="Paragraph0"/>
            </w:pPr>
            <w:r w:rsidRPr="00990D3B">
              <w:t>Length of Stay</w:t>
            </w:r>
          </w:p>
        </w:tc>
      </w:tr>
      <w:tr w14:paraId="0189A6CC" w14:textId="77777777" w:rsidTr="00B8076F">
        <w:tblPrEx>
          <w:tblW w:w="4787" w:type="pct"/>
          <w:tblInd w:w="-144" w:type="dxa"/>
          <w:tblLayout w:type="fixed"/>
          <w:tblLook w:val="04A0"/>
        </w:tblPrEx>
        <w:tc>
          <w:tcPr>
            <w:tcW w:w="1329" w:type="dxa"/>
          </w:tcPr>
          <w:p w:rsidR="00B8076F" w:rsidRPr="00990D3B" w:rsidP="00B8076F" w14:paraId="02EA6C0B" w14:textId="0BEB0424">
            <w:pPr>
              <w:pStyle w:val="Paragraph0"/>
            </w:pPr>
            <w:r w:rsidRPr="00990D3B">
              <w:t>LTSS</w:t>
            </w:r>
          </w:p>
        </w:tc>
        <w:tc>
          <w:tcPr>
            <w:tcW w:w="7623" w:type="dxa"/>
          </w:tcPr>
          <w:p w:rsidR="00B8076F" w:rsidRPr="00990D3B" w:rsidP="00B8076F" w14:paraId="763F9D7C" w14:textId="7E8CBF34">
            <w:pPr>
              <w:pStyle w:val="Paragraph0"/>
            </w:pPr>
            <w:r w:rsidRPr="00990D3B">
              <w:rPr>
                <w:rFonts w:eastAsia="Arial"/>
              </w:rPr>
              <w:t>Long-Term Services and Supports</w:t>
            </w:r>
          </w:p>
        </w:tc>
      </w:tr>
      <w:tr w14:paraId="566D6E94" w14:textId="77777777" w:rsidTr="00B8076F">
        <w:tblPrEx>
          <w:tblW w:w="4787" w:type="pct"/>
          <w:tblInd w:w="-144" w:type="dxa"/>
          <w:tblLayout w:type="fixed"/>
          <w:tblLook w:val="04A0"/>
        </w:tblPrEx>
        <w:tc>
          <w:tcPr>
            <w:tcW w:w="1329" w:type="dxa"/>
          </w:tcPr>
          <w:p w:rsidR="00B8076F" w:rsidRPr="00990D3B" w:rsidP="00B8076F" w14:paraId="1171A393" w14:textId="41E68859">
            <w:pPr>
              <w:pStyle w:val="Paragraph0"/>
            </w:pPr>
            <w:r w:rsidRPr="00990D3B">
              <w:t>MACBIS</w:t>
            </w:r>
          </w:p>
        </w:tc>
        <w:tc>
          <w:tcPr>
            <w:tcW w:w="7623" w:type="dxa"/>
          </w:tcPr>
          <w:p w:rsidR="00B8076F" w:rsidRPr="00990D3B" w:rsidP="00B8076F" w14:paraId="4F9D08F5" w14:textId="009B9102">
            <w:pPr>
              <w:pStyle w:val="Paragraph0"/>
            </w:pPr>
            <w:r w:rsidRPr="00990D3B">
              <w:t>CMS Medicaid and CHIP Business Information System</w:t>
            </w:r>
          </w:p>
        </w:tc>
      </w:tr>
      <w:tr w14:paraId="58B8D83E" w14:textId="77777777" w:rsidTr="00B8076F">
        <w:tblPrEx>
          <w:tblW w:w="4787" w:type="pct"/>
          <w:tblInd w:w="-144" w:type="dxa"/>
          <w:tblLayout w:type="fixed"/>
          <w:tblLook w:val="04A0"/>
        </w:tblPrEx>
        <w:tc>
          <w:tcPr>
            <w:tcW w:w="1329" w:type="dxa"/>
          </w:tcPr>
          <w:p w:rsidR="00B8076F" w:rsidRPr="00990D3B" w:rsidP="00B8076F" w14:paraId="6509AF14" w14:textId="46C47C9C">
            <w:pPr>
              <w:pStyle w:val="Paragraph0"/>
            </w:pPr>
            <w:r w:rsidRPr="00990D3B">
              <w:t>MCO</w:t>
            </w:r>
          </w:p>
        </w:tc>
        <w:tc>
          <w:tcPr>
            <w:tcW w:w="7623" w:type="dxa"/>
          </w:tcPr>
          <w:p w:rsidR="00B8076F" w:rsidRPr="00990D3B" w:rsidP="00B8076F" w14:paraId="3F8E7F5D" w14:textId="101DEAFC">
            <w:pPr>
              <w:pStyle w:val="Paragraph0"/>
            </w:pPr>
            <w:r w:rsidRPr="00990D3B">
              <w:t>Managed Care Organization</w:t>
            </w:r>
          </w:p>
        </w:tc>
      </w:tr>
      <w:tr w14:paraId="6C1F8ED3" w14:textId="77777777" w:rsidTr="00B8076F">
        <w:tblPrEx>
          <w:tblW w:w="4787" w:type="pct"/>
          <w:tblInd w:w="-144" w:type="dxa"/>
          <w:tblLayout w:type="fixed"/>
          <w:tblLook w:val="04A0"/>
        </w:tblPrEx>
        <w:tc>
          <w:tcPr>
            <w:tcW w:w="1329" w:type="dxa"/>
          </w:tcPr>
          <w:p w:rsidR="00B8076F" w:rsidRPr="00990D3B" w:rsidP="00B8076F" w14:paraId="18A5E56B" w14:textId="417FA9C8">
            <w:pPr>
              <w:pStyle w:val="Paragraph0"/>
            </w:pPr>
            <w:r w:rsidRPr="00990D3B">
              <w:t>MCP</w:t>
            </w:r>
          </w:p>
        </w:tc>
        <w:tc>
          <w:tcPr>
            <w:tcW w:w="7623" w:type="dxa"/>
          </w:tcPr>
          <w:p w:rsidR="00B8076F" w:rsidRPr="00990D3B" w:rsidP="00B8076F" w14:paraId="2F5F0A6C" w14:textId="109EDF9C">
            <w:pPr>
              <w:pStyle w:val="Paragraph0"/>
            </w:pPr>
            <w:r w:rsidRPr="00990D3B">
              <w:t>Managed Care Plan</w:t>
            </w:r>
          </w:p>
        </w:tc>
      </w:tr>
      <w:tr w14:paraId="2431DA75" w14:textId="77777777" w:rsidTr="00B8076F">
        <w:tblPrEx>
          <w:tblW w:w="4787" w:type="pct"/>
          <w:tblInd w:w="-144" w:type="dxa"/>
          <w:tblLayout w:type="fixed"/>
          <w:tblLook w:val="04A0"/>
        </w:tblPrEx>
        <w:tc>
          <w:tcPr>
            <w:tcW w:w="1329" w:type="dxa"/>
          </w:tcPr>
          <w:p w:rsidR="00B8076F" w:rsidRPr="00990D3B" w:rsidP="00B8076F" w14:paraId="6441CDE1" w14:textId="77777777">
            <w:pPr>
              <w:pStyle w:val="Paragraph0"/>
            </w:pPr>
            <w:r w:rsidRPr="00990D3B">
              <w:t>MGMA</w:t>
            </w:r>
          </w:p>
        </w:tc>
        <w:tc>
          <w:tcPr>
            <w:tcW w:w="7623" w:type="dxa"/>
          </w:tcPr>
          <w:p w:rsidR="00B8076F" w:rsidRPr="00990D3B" w:rsidP="00B8076F" w14:paraId="4B840EA0" w14:textId="77777777">
            <w:pPr>
              <w:pStyle w:val="Paragraph0"/>
            </w:pPr>
            <w:r w:rsidRPr="00990D3B">
              <w:t>Medical Group Management Association</w:t>
            </w:r>
          </w:p>
        </w:tc>
      </w:tr>
      <w:tr w14:paraId="1E573165" w14:textId="77777777" w:rsidTr="00B8076F">
        <w:tblPrEx>
          <w:tblW w:w="4787" w:type="pct"/>
          <w:tblInd w:w="-144" w:type="dxa"/>
          <w:tblLayout w:type="fixed"/>
          <w:tblLook w:val="04A0"/>
        </w:tblPrEx>
        <w:tc>
          <w:tcPr>
            <w:tcW w:w="1329" w:type="dxa"/>
          </w:tcPr>
          <w:p w:rsidR="00B8076F" w:rsidRPr="00990D3B" w:rsidP="00B8076F" w14:paraId="48888CF8" w14:textId="77777777">
            <w:pPr>
              <w:pStyle w:val="Paragraph0"/>
            </w:pPr>
            <w:r w:rsidRPr="00990D3B">
              <w:t>MLTSS</w:t>
            </w:r>
          </w:p>
        </w:tc>
        <w:tc>
          <w:tcPr>
            <w:tcW w:w="7623" w:type="dxa"/>
          </w:tcPr>
          <w:p w:rsidR="00B8076F" w:rsidRPr="00990D3B" w:rsidP="00B8076F" w14:paraId="3994D90A" w14:textId="77777777">
            <w:pPr>
              <w:pStyle w:val="Paragraph0"/>
            </w:pPr>
            <w:r w:rsidRPr="00990D3B">
              <w:t>Managed Long-Term Services and Supports</w:t>
            </w:r>
          </w:p>
        </w:tc>
      </w:tr>
      <w:tr w14:paraId="048AE3E0" w14:textId="77777777" w:rsidTr="00B8076F">
        <w:tblPrEx>
          <w:tblW w:w="4787" w:type="pct"/>
          <w:tblInd w:w="-144" w:type="dxa"/>
          <w:tblLayout w:type="fixed"/>
          <w:tblLook w:val="04A0"/>
        </w:tblPrEx>
        <w:tc>
          <w:tcPr>
            <w:tcW w:w="1329" w:type="dxa"/>
          </w:tcPr>
          <w:p w:rsidR="00B8076F" w:rsidRPr="00990D3B" w:rsidP="00B8076F" w14:paraId="120EC497" w14:textId="77777777">
            <w:pPr>
              <w:pStyle w:val="Paragraph0"/>
            </w:pPr>
            <w:r w:rsidRPr="00990D3B">
              <w:t>MRR</w:t>
            </w:r>
          </w:p>
        </w:tc>
        <w:tc>
          <w:tcPr>
            <w:tcW w:w="7623" w:type="dxa"/>
          </w:tcPr>
          <w:p w:rsidR="00B8076F" w:rsidRPr="00990D3B" w:rsidP="00B8076F" w14:paraId="5B98809D" w14:textId="77777777">
            <w:pPr>
              <w:pStyle w:val="Paragraph0"/>
            </w:pPr>
            <w:r w:rsidRPr="00990D3B">
              <w:t>Medical Record Review</w:t>
            </w:r>
          </w:p>
        </w:tc>
      </w:tr>
      <w:tr w14:paraId="491F2816" w14:textId="77777777" w:rsidTr="00B8076F">
        <w:tblPrEx>
          <w:tblW w:w="4787" w:type="pct"/>
          <w:tblInd w:w="-144" w:type="dxa"/>
          <w:tblLayout w:type="fixed"/>
          <w:tblLook w:val="04A0"/>
        </w:tblPrEx>
        <w:tc>
          <w:tcPr>
            <w:tcW w:w="1329" w:type="dxa"/>
          </w:tcPr>
          <w:p w:rsidR="00B8076F" w:rsidRPr="00990D3B" w:rsidP="00B8076F" w14:paraId="5F54BDDF" w14:textId="77777777">
            <w:pPr>
              <w:pStyle w:val="Paragraph0"/>
            </w:pPr>
            <w:r w:rsidRPr="00990D3B">
              <w:t>MSIS</w:t>
            </w:r>
          </w:p>
        </w:tc>
        <w:tc>
          <w:tcPr>
            <w:tcW w:w="7623" w:type="dxa"/>
          </w:tcPr>
          <w:p w:rsidR="00B8076F" w:rsidRPr="00990D3B" w:rsidP="00B8076F" w14:paraId="51050860" w14:textId="77777777">
            <w:pPr>
              <w:pStyle w:val="Paragraph0"/>
            </w:pPr>
            <w:r w:rsidRPr="00990D3B">
              <w:t>Medicaid Statistical Information System</w:t>
            </w:r>
          </w:p>
        </w:tc>
      </w:tr>
      <w:tr w14:paraId="03B7044E" w14:textId="77777777" w:rsidTr="00B8076F">
        <w:tblPrEx>
          <w:tblW w:w="4787" w:type="pct"/>
          <w:tblInd w:w="-144" w:type="dxa"/>
          <w:tblLayout w:type="fixed"/>
          <w:tblLook w:val="04A0"/>
        </w:tblPrEx>
        <w:tc>
          <w:tcPr>
            <w:tcW w:w="1329" w:type="dxa"/>
          </w:tcPr>
          <w:p w:rsidR="00B8076F" w:rsidRPr="00990D3B" w:rsidP="00B8076F" w14:paraId="4B51AC55" w14:textId="77777777">
            <w:pPr>
              <w:pStyle w:val="Paragraph0"/>
            </w:pPr>
            <w:r w:rsidRPr="00990D3B">
              <w:t>NCPDP</w:t>
            </w:r>
          </w:p>
        </w:tc>
        <w:tc>
          <w:tcPr>
            <w:tcW w:w="7623" w:type="dxa"/>
          </w:tcPr>
          <w:p w:rsidR="00B8076F" w:rsidRPr="00990D3B" w:rsidP="00B8076F" w14:paraId="174D18A4" w14:textId="77777777">
            <w:pPr>
              <w:pStyle w:val="Paragraph0"/>
            </w:pPr>
            <w:r w:rsidRPr="00990D3B">
              <w:t>National Council for Prescription Drug Programs</w:t>
            </w:r>
          </w:p>
        </w:tc>
      </w:tr>
      <w:tr w14:paraId="276B1512" w14:textId="77777777" w:rsidTr="00B8076F">
        <w:tblPrEx>
          <w:tblW w:w="4787" w:type="pct"/>
          <w:tblInd w:w="-144" w:type="dxa"/>
          <w:tblLayout w:type="fixed"/>
          <w:tblLook w:val="04A0"/>
        </w:tblPrEx>
        <w:tc>
          <w:tcPr>
            <w:tcW w:w="1329" w:type="dxa"/>
          </w:tcPr>
          <w:p w:rsidR="00B8076F" w:rsidRPr="00990D3B" w:rsidP="00B8076F" w14:paraId="1F2CC4B5" w14:textId="77777777">
            <w:pPr>
              <w:pStyle w:val="Paragraph0"/>
            </w:pPr>
            <w:r w:rsidRPr="00990D3B">
              <w:t>NCQA</w:t>
            </w:r>
          </w:p>
        </w:tc>
        <w:tc>
          <w:tcPr>
            <w:tcW w:w="7623" w:type="dxa"/>
          </w:tcPr>
          <w:p w:rsidR="00B8076F" w:rsidRPr="00990D3B" w:rsidP="00B8076F" w14:paraId="13831937" w14:textId="77777777">
            <w:pPr>
              <w:pStyle w:val="Paragraph0"/>
            </w:pPr>
            <w:r w:rsidRPr="00990D3B">
              <w:t>National Committee for Quality Assurance</w:t>
            </w:r>
          </w:p>
        </w:tc>
      </w:tr>
      <w:tr w14:paraId="521D17DD" w14:textId="77777777" w:rsidTr="00B8076F">
        <w:tblPrEx>
          <w:tblW w:w="4787" w:type="pct"/>
          <w:tblInd w:w="-144" w:type="dxa"/>
          <w:tblLayout w:type="fixed"/>
          <w:tblLook w:val="04A0"/>
        </w:tblPrEx>
        <w:tc>
          <w:tcPr>
            <w:tcW w:w="1329" w:type="dxa"/>
          </w:tcPr>
          <w:p w:rsidR="00B8076F" w:rsidRPr="00990D3B" w:rsidP="00B8076F" w14:paraId="6BF1B42B" w14:textId="77777777">
            <w:pPr>
              <w:pStyle w:val="Paragraph0"/>
            </w:pPr>
            <w:r w:rsidRPr="00990D3B">
              <w:t>PAHP</w:t>
            </w:r>
          </w:p>
        </w:tc>
        <w:tc>
          <w:tcPr>
            <w:tcW w:w="7623" w:type="dxa"/>
          </w:tcPr>
          <w:p w:rsidR="00B8076F" w:rsidRPr="00990D3B" w:rsidP="00B8076F" w14:paraId="3299D214" w14:textId="77777777">
            <w:pPr>
              <w:pStyle w:val="Paragraph0"/>
            </w:pPr>
            <w:r w:rsidRPr="00990D3B">
              <w:t>Prepaid Ambulatory Health Plan</w:t>
            </w:r>
          </w:p>
        </w:tc>
      </w:tr>
      <w:tr w14:paraId="78B604B6" w14:textId="77777777" w:rsidTr="00B8076F">
        <w:tblPrEx>
          <w:tblW w:w="4787" w:type="pct"/>
          <w:tblInd w:w="-144" w:type="dxa"/>
          <w:tblLayout w:type="fixed"/>
          <w:tblLook w:val="04A0"/>
        </w:tblPrEx>
        <w:tc>
          <w:tcPr>
            <w:tcW w:w="1329" w:type="dxa"/>
          </w:tcPr>
          <w:p w:rsidR="00B8076F" w:rsidRPr="00990D3B" w:rsidP="00B8076F" w14:paraId="412967E1" w14:textId="7DEF4CF1">
            <w:pPr>
              <w:pStyle w:val="Paragraph0"/>
            </w:pPr>
            <w:r w:rsidRPr="00990D3B">
              <w:t>PCCM-E</w:t>
            </w:r>
          </w:p>
        </w:tc>
        <w:tc>
          <w:tcPr>
            <w:tcW w:w="7623" w:type="dxa"/>
          </w:tcPr>
          <w:p w:rsidR="00B8076F" w:rsidRPr="00990D3B" w:rsidP="00B8076F" w14:paraId="6C830079" w14:textId="42C796C1">
            <w:pPr>
              <w:pStyle w:val="Paragraph0"/>
            </w:pPr>
            <w:r w:rsidRPr="00990D3B">
              <w:t>Primary Care Case Management Entity</w:t>
            </w:r>
          </w:p>
        </w:tc>
      </w:tr>
      <w:tr w14:paraId="5C9F8270" w14:textId="77777777" w:rsidTr="00B8076F">
        <w:tblPrEx>
          <w:tblW w:w="4787" w:type="pct"/>
          <w:tblInd w:w="-144" w:type="dxa"/>
          <w:tblLayout w:type="fixed"/>
          <w:tblLook w:val="04A0"/>
        </w:tblPrEx>
        <w:tc>
          <w:tcPr>
            <w:tcW w:w="1329" w:type="dxa"/>
          </w:tcPr>
          <w:p w:rsidR="00B8076F" w:rsidRPr="00990D3B" w:rsidP="00B8076F" w14:paraId="79DFA38A" w14:textId="77777777">
            <w:pPr>
              <w:pStyle w:val="Paragraph0"/>
            </w:pPr>
            <w:r w:rsidRPr="00990D3B">
              <w:t>PCMH-A</w:t>
            </w:r>
          </w:p>
        </w:tc>
        <w:tc>
          <w:tcPr>
            <w:tcW w:w="7623" w:type="dxa"/>
          </w:tcPr>
          <w:p w:rsidR="00B8076F" w:rsidRPr="00990D3B" w:rsidP="00B8076F" w14:paraId="1391D4DB" w14:textId="77777777">
            <w:pPr>
              <w:pStyle w:val="Paragraph0"/>
            </w:pPr>
            <w:r w:rsidRPr="00990D3B">
              <w:t>Patient Centered Medical Home Assessment</w:t>
            </w:r>
          </w:p>
        </w:tc>
      </w:tr>
      <w:tr w14:paraId="04895F03" w14:textId="77777777" w:rsidTr="00B8076F">
        <w:tblPrEx>
          <w:tblW w:w="4787" w:type="pct"/>
          <w:tblInd w:w="-144" w:type="dxa"/>
          <w:tblLayout w:type="fixed"/>
          <w:tblLook w:val="04A0"/>
        </w:tblPrEx>
        <w:tc>
          <w:tcPr>
            <w:tcW w:w="1329" w:type="dxa"/>
          </w:tcPr>
          <w:p w:rsidR="00B8076F" w:rsidRPr="00990D3B" w:rsidP="00B8076F" w14:paraId="6E5BFB52" w14:textId="77777777">
            <w:pPr>
              <w:pStyle w:val="Paragraph0"/>
            </w:pPr>
            <w:r w:rsidRPr="00990D3B">
              <w:t>PCP</w:t>
            </w:r>
          </w:p>
        </w:tc>
        <w:tc>
          <w:tcPr>
            <w:tcW w:w="7623" w:type="dxa"/>
          </w:tcPr>
          <w:p w:rsidR="00B8076F" w:rsidRPr="00990D3B" w:rsidP="00B8076F" w14:paraId="59C56390" w14:textId="77777777">
            <w:pPr>
              <w:pStyle w:val="Paragraph0"/>
            </w:pPr>
            <w:r w:rsidRPr="00990D3B">
              <w:t>Primary Care Provider</w:t>
            </w:r>
          </w:p>
        </w:tc>
      </w:tr>
      <w:tr w14:paraId="6895FCBC" w14:textId="77777777" w:rsidTr="00B8076F">
        <w:tblPrEx>
          <w:tblW w:w="4787" w:type="pct"/>
          <w:tblInd w:w="-144" w:type="dxa"/>
          <w:tblLayout w:type="fixed"/>
          <w:tblLook w:val="04A0"/>
        </w:tblPrEx>
        <w:tc>
          <w:tcPr>
            <w:tcW w:w="1329" w:type="dxa"/>
          </w:tcPr>
          <w:p w:rsidR="00B8076F" w:rsidRPr="00990D3B" w:rsidP="00B8076F" w14:paraId="250EA572" w14:textId="77777777">
            <w:pPr>
              <w:pStyle w:val="Paragraph0"/>
            </w:pPr>
            <w:r w:rsidRPr="00990D3B">
              <w:t>PDSA</w:t>
            </w:r>
          </w:p>
        </w:tc>
        <w:tc>
          <w:tcPr>
            <w:tcW w:w="7623" w:type="dxa"/>
          </w:tcPr>
          <w:p w:rsidR="00B8076F" w:rsidRPr="00990D3B" w:rsidP="00B8076F" w14:paraId="3DEDD876" w14:textId="77777777">
            <w:pPr>
              <w:pStyle w:val="Paragraph0"/>
            </w:pPr>
            <w:r w:rsidRPr="00990D3B">
              <w:t xml:space="preserve">Plan Do Study Act </w:t>
            </w:r>
          </w:p>
        </w:tc>
      </w:tr>
      <w:tr w14:paraId="740B0C63" w14:textId="77777777" w:rsidTr="00B8076F">
        <w:tblPrEx>
          <w:tblW w:w="4787" w:type="pct"/>
          <w:tblInd w:w="-144" w:type="dxa"/>
          <w:tblLayout w:type="fixed"/>
          <w:tblLook w:val="04A0"/>
        </w:tblPrEx>
        <w:tc>
          <w:tcPr>
            <w:tcW w:w="1329" w:type="dxa"/>
          </w:tcPr>
          <w:p w:rsidR="00B8076F" w:rsidRPr="00990D3B" w:rsidP="00B8076F" w14:paraId="5D0D9847" w14:textId="77777777">
            <w:pPr>
              <w:pStyle w:val="Paragraph0"/>
            </w:pPr>
            <w:r w:rsidRPr="00990D3B">
              <w:t>PHI</w:t>
            </w:r>
          </w:p>
        </w:tc>
        <w:tc>
          <w:tcPr>
            <w:tcW w:w="7623" w:type="dxa"/>
          </w:tcPr>
          <w:p w:rsidR="00B8076F" w:rsidRPr="00990D3B" w:rsidP="00B8076F" w14:paraId="6D97CFC8" w14:textId="77777777">
            <w:pPr>
              <w:pStyle w:val="Paragraph0"/>
            </w:pPr>
            <w:r w:rsidRPr="00990D3B">
              <w:t>Protected Health Information</w:t>
            </w:r>
          </w:p>
        </w:tc>
      </w:tr>
      <w:tr w14:paraId="5012AB7F" w14:textId="77777777" w:rsidTr="00B8076F">
        <w:tblPrEx>
          <w:tblW w:w="4787" w:type="pct"/>
          <w:tblInd w:w="-144" w:type="dxa"/>
          <w:tblLayout w:type="fixed"/>
          <w:tblLook w:val="04A0"/>
        </w:tblPrEx>
        <w:tc>
          <w:tcPr>
            <w:tcW w:w="1329" w:type="dxa"/>
          </w:tcPr>
          <w:p w:rsidR="00B8076F" w:rsidRPr="00990D3B" w:rsidP="00B8076F" w14:paraId="66E71EFC" w14:textId="77777777">
            <w:pPr>
              <w:pStyle w:val="Paragraph0"/>
            </w:pPr>
            <w:r w:rsidRPr="00990D3B">
              <w:t>PIHP</w:t>
            </w:r>
          </w:p>
        </w:tc>
        <w:tc>
          <w:tcPr>
            <w:tcW w:w="7623" w:type="dxa"/>
          </w:tcPr>
          <w:p w:rsidR="00B8076F" w:rsidRPr="00990D3B" w:rsidP="00B8076F" w14:paraId="4B9C8E7A" w14:textId="77777777">
            <w:pPr>
              <w:pStyle w:val="Paragraph0"/>
            </w:pPr>
            <w:r w:rsidRPr="00990D3B">
              <w:t>Prepaid Inpatient Health Plan</w:t>
            </w:r>
          </w:p>
        </w:tc>
      </w:tr>
      <w:tr w14:paraId="0ED4EA23" w14:textId="77777777" w:rsidTr="00B8076F">
        <w:tblPrEx>
          <w:tblW w:w="4787" w:type="pct"/>
          <w:tblInd w:w="-144" w:type="dxa"/>
          <w:tblLayout w:type="fixed"/>
          <w:tblLook w:val="04A0"/>
        </w:tblPrEx>
        <w:tc>
          <w:tcPr>
            <w:tcW w:w="1329" w:type="dxa"/>
          </w:tcPr>
          <w:p w:rsidR="00B8076F" w:rsidRPr="00990D3B" w:rsidP="00B8076F" w14:paraId="774A046B" w14:textId="77777777">
            <w:pPr>
              <w:pStyle w:val="Paragraph0"/>
            </w:pPr>
            <w:r w:rsidRPr="00990D3B">
              <w:t>PII</w:t>
            </w:r>
          </w:p>
        </w:tc>
        <w:tc>
          <w:tcPr>
            <w:tcW w:w="7623" w:type="dxa"/>
          </w:tcPr>
          <w:p w:rsidR="00B8076F" w:rsidRPr="00990D3B" w:rsidP="00B8076F" w14:paraId="6D98828A" w14:textId="77777777">
            <w:pPr>
              <w:pStyle w:val="Paragraph0"/>
            </w:pPr>
            <w:r w:rsidRPr="00990D3B">
              <w:t>Personally Identifiable Information</w:t>
            </w:r>
          </w:p>
        </w:tc>
      </w:tr>
      <w:tr w14:paraId="3A28E40A" w14:textId="77777777" w:rsidTr="00B8076F">
        <w:tblPrEx>
          <w:tblW w:w="4787" w:type="pct"/>
          <w:tblInd w:w="-144" w:type="dxa"/>
          <w:tblLayout w:type="fixed"/>
          <w:tblLook w:val="04A0"/>
        </w:tblPrEx>
        <w:tc>
          <w:tcPr>
            <w:tcW w:w="1329" w:type="dxa"/>
          </w:tcPr>
          <w:p w:rsidR="00B8076F" w:rsidRPr="00990D3B" w:rsidP="00B8076F" w14:paraId="1926F9E3" w14:textId="77777777">
            <w:pPr>
              <w:pStyle w:val="Paragraph0"/>
            </w:pPr>
            <w:r w:rsidRPr="00990D3B">
              <w:t>PIP</w:t>
            </w:r>
          </w:p>
        </w:tc>
        <w:tc>
          <w:tcPr>
            <w:tcW w:w="7623" w:type="dxa"/>
          </w:tcPr>
          <w:p w:rsidR="00B8076F" w:rsidRPr="00990D3B" w:rsidP="00B8076F" w14:paraId="074D43A6" w14:textId="77777777">
            <w:pPr>
              <w:pStyle w:val="Paragraph0"/>
            </w:pPr>
            <w:r w:rsidRPr="00990D3B">
              <w:t>Performance Improvement Project</w:t>
            </w:r>
          </w:p>
        </w:tc>
      </w:tr>
      <w:tr w14:paraId="2A69DF42" w14:textId="77777777" w:rsidTr="00B8076F">
        <w:tblPrEx>
          <w:tblW w:w="4787" w:type="pct"/>
          <w:tblInd w:w="-144" w:type="dxa"/>
          <w:tblLayout w:type="fixed"/>
          <w:tblLook w:val="04A0"/>
        </w:tblPrEx>
        <w:tc>
          <w:tcPr>
            <w:tcW w:w="1329" w:type="dxa"/>
          </w:tcPr>
          <w:p w:rsidR="00B8076F" w:rsidRPr="00990D3B" w:rsidP="00B8076F" w14:paraId="4DC117F8" w14:textId="77777777">
            <w:pPr>
              <w:pStyle w:val="Paragraph0"/>
            </w:pPr>
            <w:r w:rsidRPr="00990D3B">
              <w:t>QA</w:t>
            </w:r>
          </w:p>
        </w:tc>
        <w:tc>
          <w:tcPr>
            <w:tcW w:w="7623" w:type="dxa"/>
          </w:tcPr>
          <w:p w:rsidR="00B8076F" w:rsidRPr="00990D3B" w:rsidP="00B8076F" w14:paraId="03C151C0" w14:textId="77777777">
            <w:pPr>
              <w:pStyle w:val="Paragraph0"/>
            </w:pPr>
            <w:r w:rsidRPr="00990D3B">
              <w:t>Quality Assurance</w:t>
            </w:r>
          </w:p>
        </w:tc>
      </w:tr>
      <w:tr w14:paraId="2D30E7E1" w14:textId="77777777" w:rsidTr="00B8076F">
        <w:tblPrEx>
          <w:tblW w:w="4787" w:type="pct"/>
          <w:tblInd w:w="-144" w:type="dxa"/>
          <w:tblLayout w:type="fixed"/>
          <w:tblLook w:val="04A0"/>
        </w:tblPrEx>
        <w:tc>
          <w:tcPr>
            <w:tcW w:w="1329" w:type="dxa"/>
          </w:tcPr>
          <w:p w:rsidR="00B8076F" w:rsidRPr="00990D3B" w:rsidP="00B8076F" w14:paraId="3AA6BCC5" w14:textId="77777777">
            <w:pPr>
              <w:pStyle w:val="Paragraph0"/>
            </w:pPr>
            <w:r w:rsidRPr="00990D3B">
              <w:t>QAPI</w:t>
            </w:r>
          </w:p>
        </w:tc>
        <w:tc>
          <w:tcPr>
            <w:tcW w:w="7623" w:type="dxa"/>
          </w:tcPr>
          <w:p w:rsidR="00B8076F" w:rsidRPr="00990D3B" w:rsidP="00B8076F" w14:paraId="29A4AA95" w14:textId="77777777">
            <w:pPr>
              <w:pStyle w:val="Paragraph0"/>
            </w:pPr>
            <w:r w:rsidRPr="00990D3B">
              <w:t>Quality Assessment and Performance Improvement</w:t>
            </w:r>
          </w:p>
        </w:tc>
      </w:tr>
      <w:tr w14:paraId="78D1D58B" w14:textId="77777777" w:rsidTr="00B8076F">
        <w:tblPrEx>
          <w:tblW w:w="4787" w:type="pct"/>
          <w:tblInd w:w="-144" w:type="dxa"/>
          <w:tblLayout w:type="fixed"/>
          <w:tblLook w:val="04A0"/>
        </w:tblPrEx>
        <w:tc>
          <w:tcPr>
            <w:tcW w:w="1329" w:type="dxa"/>
          </w:tcPr>
          <w:p w:rsidR="00B8076F" w:rsidRPr="00990D3B" w:rsidP="00B8076F" w14:paraId="483C5CBC" w14:textId="77777777">
            <w:pPr>
              <w:pStyle w:val="Paragraph0"/>
            </w:pPr>
            <w:r w:rsidRPr="00990D3B">
              <w:t>QI</w:t>
            </w:r>
          </w:p>
        </w:tc>
        <w:tc>
          <w:tcPr>
            <w:tcW w:w="7623" w:type="dxa"/>
          </w:tcPr>
          <w:p w:rsidR="00B8076F" w:rsidRPr="00990D3B" w:rsidP="00B8076F" w14:paraId="4EBE6266" w14:textId="77777777">
            <w:pPr>
              <w:pStyle w:val="Paragraph0"/>
            </w:pPr>
            <w:r w:rsidRPr="00990D3B">
              <w:t>Quality Improvement</w:t>
            </w:r>
          </w:p>
        </w:tc>
      </w:tr>
      <w:tr w14:paraId="37ADC6A8" w14:textId="77777777" w:rsidTr="00B8076F">
        <w:tblPrEx>
          <w:tblW w:w="4787" w:type="pct"/>
          <w:tblInd w:w="-144" w:type="dxa"/>
          <w:tblLayout w:type="fixed"/>
          <w:tblLook w:val="04A0"/>
        </w:tblPrEx>
        <w:tc>
          <w:tcPr>
            <w:tcW w:w="1329" w:type="dxa"/>
          </w:tcPr>
          <w:p w:rsidR="00B8076F" w:rsidRPr="00990D3B" w:rsidP="00B8076F" w14:paraId="24FA2451" w14:textId="77777777">
            <w:pPr>
              <w:pStyle w:val="Paragraph0"/>
            </w:pPr>
            <w:r w:rsidRPr="00990D3B">
              <w:t>QS</w:t>
            </w:r>
          </w:p>
        </w:tc>
        <w:tc>
          <w:tcPr>
            <w:tcW w:w="7623" w:type="dxa"/>
          </w:tcPr>
          <w:p w:rsidR="00B8076F" w:rsidRPr="00990D3B" w:rsidP="00B8076F" w14:paraId="2B5003C8" w14:textId="77777777">
            <w:pPr>
              <w:pStyle w:val="Paragraph0"/>
            </w:pPr>
            <w:r w:rsidRPr="00990D3B">
              <w:t>Quality Strategy</w:t>
            </w:r>
          </w:p>
        </w:tc>
      </w:tr>
      <w:tr w14:paraId="350D54CC" w14:textId="77777777" w:rsidTr="00B8076F">
        <w:tblPrEx>
          <w:tblW w:w="4787" w:type="pct"/>
          <w:tblInd w:w="-144" w:type="dxa"/>
          <w:tblLayout w:type="fixed"/>
          <w:tblLook w:val="04A0"/>
        </w:tblPrEx>
        <w:tc>
          <w:tcPr>
            <w:tcW w:w="1329" w:type="dxa"/>
          </w:tcPr>
          <w:p w:rsidR="00B8076F" w:rsidRPr="00990D3B" w:rsidP="00B8076F" w14:paraId="20AADAF3" w14:textId="77777777">
            <w:pPr>
              <w:pStyle w:val="Paragraph0"/>
            </w:pPr>
            <w:r w:rsidRPr="00990D3B">
              <w:t>T-MSIS</w:t>
            </w:r>
          </w:p>
        </w:tc>
        <w:tc>
          <w:tcPr>
            <w:tcW w:w="7623" w:type="dxa"/>
          </w:tcPr>
          <w:p w:rsidR="00B8076F" w:rsidRPr="00990D3B" w:rsidP="00B8076F" w14:paraId="559E4D6E" w14:textId="77777777">
            <w:pPr>
              <w:pStyle w:val="Paragraph0"/>
            </w:pPr>
            <w:r w:rsidRPr="00990D3B">
              <w:t>Transformed Medicaid Statistical Information System</w:t>
            </w:r>
          </w:p>
        </w:tc>
      </w:tr>
    </w:tbl>
    <w:p w:rsidR="002A28DE" w:rsidRPr="00990D3B" w:rsidP="008D0960" w14:paraId="1CAE517B" w14:textId="77777777">
      <w:pPr>
        <w:pStyle w:val="EQRNormalSSP1"/>
      </w:pPr>
    </w:p>
    <w:p w:rsidR="00172834" w:rsidRPr="00990D3B" w:rsidP="00EA1F33" w14:paraId="2AC64D1E" w14:textId="77777777">
      <w:pPr>
        <w:pStyle w:val="EQRNormalSSP1"/>
        <w:spacing w:after="0"/>
      </w:pPr>
    </w:p>
    <w:p w:rsidR="00AB7854" w:rsidRPr="00990D3B" w:rsidP="00AB7854" w14:paraId="08D60307" w14:textId="4AEB09B1">
      <w:pPr>
        <w:pStyle w:val="EQRNormalSSP1"/>
        <w:spacing w:after="0"/>
        <w:jc w:val="center"/>
        <w:rPr>
          <w:rFonts w:eastAsia="Times New Roman" w:asciiTheme="minorHAnsi" w:hAnsiTheme="minorHAnsi" w:cs="Times New Roman"/>
          <w:sz w:val="24"/>
          <w:szCs w:val="20"/>
        </w:rPr>
        <w:sectPr w:rsidSect="002161E3">
          <w:headerReference w:type="default" r:id="rId249"/>
          <w:footerReference w:type="even" r:id="rId250"/>
          <w:footerReference w:type="default" r:id="rId251"/>
          <w:headerReference w:type="first" r:id="rId252"/>
          <w:pgSz w:w="12240" w:h="15840" w:code="1"/>
          <w:pgMar w:top="1440" w:right="1440" w:bottom="1440" w:left="1440" w:header="720" w:footer="720" w:gutter="0"/>
          <w:pgNumType w:start="1"/>
          <w:cols w:space="720"/>
          <w:titlePg/>
          <w:docGrid w:linePitch="360"/>
        </w:sectPr>
      </w:pPr>
      <w:r w:rsidRPr="00990D3B">
        <w:rPr>
          <w:rFonts w:eastAsia="Times New Roman" w:asciiTheme="minorHAnsi" w:hAnsiTheme="minorHAnsi" w:cs="Times New Roman"/>
          <w:sz w:val="24"/>
          <w:szCs w:val="20"/>
        </w:rPr>
        <w:t xml:space="preserve">END OF APPENDIX </w:t>
      </w:r>
      <w:r w:rsidRPr="00990D3B" w:rsidR="00C15907">
        <w:rPr>
          <w:rFonts w:eastAsia="Times New Roman" w:asciiTheme="minorHAnsi" w:hAnsiTheme="minorHAnsi" w:cs="Times New Roman"/>
          <w:sz w:val="24"/>
          <w:szCs w:val="20"/>
        </w:rPr>
        <w:t>D</w:t>
      </w:r>
    </w:p>
    <w:p w:rsidR="00172834" w:rsidRPr="00990D3B" w:rsidP="00F367BD" w14:paraId="4F4DD18E" w14:textId="03238539">
      <w:pPr>
        <w:pStyle w:val="H1"/>
      </w:pPr>
      <w:bookmarkStart w:id="1229" w:name="AppE"/>
      <w:bookmarkStart w:id="1230" w:name="_Toc493246404"/>
      <w:bookmarkStart w:id="1231" w:name="_Toc14777782"/>
      <w:bookmarkStart w:id="1232" w:name="_Toc183005682"/>
      <w:bookmarkStart w:id="1233" w:name="_Toc201751477"/>
      <w:bookmarkStart w:id="1234" w:name="_Hlk178546397"/>
      <w:bookmarkEnd w:id="1229"/>
      <w:r w:rsidRPr="00990D3B">
        <w:t xml:space="preserve">Appendix </w:t>
      </w:r>
      <w:r w:rsidRPr="00990D3B" w:rsidR="0074247F">
        <w:t>E</w:t>
      </w:r>
      <w:r w:rsidRPr="00990D3B">
        <w:t xml:space="preserve">. </w:t>
      </w:r>
      <w:bookmarkEnd w:id="1230"/>
      <w:r w:rsidRPr="00990D3B" w:rsidR="0071375D">
        <w:t>EQR</w:t>
      </w:r>
      <w:r w:rsidRPr="00990D3B">
        <w:t xml:space="preserve"> Glossary of Terms</w:t>
      </w:r>
      <w:bookmarkEnd w:id="1231"/>
      <w:bookmarkEnd w:id="1232"/>
      <w:bookmarkEnd w:id="1233"/>
    </w:p>
    <w:tbl>
      <w:tblPr>
        <w:tblStyle w:val="TableGrid"/>
        <w:tblW w:w="407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800"/>
        <w:gridCol w:w="5832"/>
      </w:tblGrid>
      <w:tr w14:paraId="789B4DC4" w14:textId="77777777" w:rsidTr="00A614E4">
        <w:tblPrEx>
          <w:tblW w:w="407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Pr>
        <w:tc>
          <w:tcPr>
            <w:tcW w:w="1179" w:type="pct"/>
          </w:tcPr>
          <w:bookmarkEnd w:id="1234"/>
          <w:p w:rsidR="00940827" w:rsidRPr="00990D3B" w:rsidP="00A614E4" w14:paraId="2DF8A7AC" w14:textId="341C3188">
            <w:pPr>
              <w:pStyle w:val="Paragraph0"/>
            </w:pPr>
            <w:r w:rsidRPr="00990D3B">
              <w:t>Acceptable Error Rate</w:t>
            </w:r>
          </w:p>
        </w:tc>
        <w:tc>
          <w:tcPr>
            <w:tcW w:w="3821" w:type="pct"/>
            <w:tcMar>
              <w:top w:w="115" w:type="dxa"/>
              <w:left w:w="115" w:type="dxa"/>
              <w:right w:w="115" w:type="dxa"/>
            </w:tcMar>
          </w:tcPr>
          <w:p w:rsidR="00940827" w:rsidRPr="00990D3B" w:rsidP="00A614E4" w14:paraId="1ECB4ED0" w14:textId="77777777">
            <w:pPr>
              <w:pStyle w:val="Paragraph0"/>
            </w:pPr>
            <w:r w:rsidRPr="00990D3B">
              <w:t xml:space="preserve">The maximum percentage of missing, surplus, or erroneous records that the state accepts. </w:t>
            </w:r>
          </w:p>
        </w:tc>
      </w:tr>
      <w:tr w14:paraId="20B65417" w14:textId="77777777" w:rsidTr="00A614E4">
        <w:tblPrEx>
          <w:tblW w:w="4077" w:type="pct"/>
          <w:tblLayout w:type="fixed"/>
          <w:tblLook w:val="04A0"/>
        </w:tblPrEx>
        <w:trPr>
          <w:cantSplit/>
        </w:trPr>
        <w:tc>
          <w:tcPr>
            <w:tcW w:w="1179" w:type="pct"/>
          </w:tcPr>
          <w:p w:rsidR="00940827" w:rsidRPr="00990D3B" w:rsidP="00A614E4" w14:paraId="754B44A5" w14:textId="5A3BF22A">
            <w:pPr>
              <w:pStyle w:val="Paragraph0"/>
            </w:pPr>
            <w:r w:rsidRPr="00990D3B">
              <w:t>Algorithm</w:t>
            </w:r>
          </w:p>
        </w:tc>
        <w:tc>
          <w:tcPr>
            <w:tcW w:w="3821" w:type="pct"/>
            <w:tcMar>
              <w:top w:w="115" w:type="dxa"/>
              <w:left w:w="115" w:type="dxa"/>
              <w:right w:w="115" w:type="dxa"/>
            </w:tcMar>
          </w:tcPr>
          <w:p w:rsidR="00940827" w:rsidRPr="00990D3B" w:rsidP="00A614E4" w14:paraId="0C868C05" w14:textId="77777777">
            <w:pPr>
              <w:pStyle w:val="Paragraph0"/>
            </w:pPr>
            <w:r w:rsidRPr="00990D3B">
              <w:t xml:space="preserve">A specific set of instructions for carrying out a procedure or solving a problem. </w:t>
            </w:r>
          </w:p>
        </w:tc>
      </w:tr>
      <w:tr w14:paraId="19946D0B" w14:textId="77777777" w:rsidTr="00A614E4">
        <w:tblPrEx>
          <w:tblW w:w="4077" w:type="pct"/>
          <w:tblLayout w:type="fixed"/>
          <w:tblLook w:val="04A0"/>
        </w:tblPrEx>
        <w:trPr>
          <w:cantSplit/>
        </w:trPr>
        <w:tc>
          <w:tcPr>
            <w:tcW w:w="1179" w:type="pct"/>
          </w:tcPr>
          <w:p w:rsidR="00940827" w:rsidRPr="00990D3B" w:rsidP="00A614E4" w14:paraId="7536C40D" w14:textId="48C628B9">
            <w:pPr>
              <w:pStyle w:val="Paragraph0"/>
            </w:pPr>
            <w:r w:rsidRPr="00990D3B">
              <w:t>Bias</w:t>
            </w:r>
          </w:p>
        </w:tc>
        <w:tc>
          <w:tcPr>
            <w:tcW w:w="3821" w:type="pct"/>
            <w:tcMar>
              <w:top w:w="115" w:type="dxa"/>
              <w:left w:w="115" w:type="dxa"/>
              <w:right w:w="115" w:type="dxa"/>
            </w:tcMar>
          </w:tcPr>
          <w:p w:rsidR="00940827" w:rsidRPr="00990D3B" w:rsidP="00A614E4" w14:paraId="4F12A6C3" w14:textId="77777777">
            <w:pPr>
              <w:pStyle w:val="Paragraph0"/>
            </w:pPr>
            <w:r w:rsidRPr="00990D3B">
              <w:t>A systematic distortion in data collection, analysis, or reporting of research findings.</w:t>
            </w:r>
          </w:p>
        </w:tc>
      </w:tr>
      <w:tr w14:paraId="3934C09B" w14:textId="77777777" w:rsidTr="00A614E4">
        <w:tblPrEx>
          <w:tblW w:w="4077" w:type="pct"/>
          <w:tblLayout w:type="fixed"/>
          <w:tblLook w:val="04A0"/>
        </w:tblPrEx>
        <w:trPr>
          <w:cantSplit/>
        </w:trPr>
        <w:tc>
          <w:tcPr>
            <w:tcW w:w="1179" w:type="pct"/>
          </w:tcPr>
          <w:p w:rsidR="00940827" w:rsidRPr="00990D3B" w:rsidP="00A614E4" w14:paraId="5A973FE9" w14:textId="75151786">
            <w:pPr>
              <w:pStyle w:val="Paragraph0"/>
            </w:pPr>
            <w:r w:rsidRPr="00990D3B">
              <w:t>Binary Variable</w:t>
            </w:r>
          </w:p>
        </w:tc>
        <w:tc>
          <w:tcPr>
            <w:tcW w:w="3821" w:type="pct"/>
            <w:tcMar>
              <w:top w:w="115" w:type="dxa"/>
              <w:left w:w="115" w:type="dxa"/>
              <w:right w:w="115" w:type="dxa"/>
            </w:tcMar>
          </w:tcPr>
          <w:p w:rsidR="00940827" w:rsidRPr="00990D3B" w:rsidP="00A614E4" w14:paraId="11E92B74" w14:textId="77777777">
            <w:pPr>
              <w:pStyle w:val="Paragraph0"/>
            </w:pPr>
            <w:r w:rsidRPr="00990D3B">
              <w:t>A discrete variable with only two categories.</w:t>
            </w:r>
          </w:p>
        </w:tc>
      </w:tr>
      <w:tr w14:paraId="773C5320" w14:textId="77777777" w:rsidTr="00A614E4">
        <w:tblPrEx>
          <w:tblW w:w="4077" w:type="pct"/>
          <w:tblLayout w:type="fixed"/>
          <w:tblLook w:val="04A0"/>
        </w:tblPrEx>
        <w:trPr>
          <w:cantSplit/>
        </w:trPr>
        <w:tc>
          <w:tcPr>
            <w:tcW w:w="1179" w:type="pct"/>
          </w:tcPr>
          <w:p w:rsidR="00940827" w:rsidRPr="00990D3B" w:rsidP="00A614E4" w14:paraId="5DF4B04B" w14:textId="4534531C">
            <w:pPr>
              <w:pStyle w:val="Paragraph0"/>
            </w:pPr>
            <w:r w:rsidRPr="00990D3B">
              <w:t>Categorical Variable</w:t>
            </w:r>
          </w:p>
        </w:tc>
        <w:tc>
          <w:tcPr>
            <w:tcW w:w="3821" w:type="pct"/>
            <w:tcMar>
              <w:top w:w="115" w:type="dxa"/>
              <w:left w:w="115" w:type="dxa"/>
              <w:right w:w="115" w:type="dxa"/>
            </w:tcMar>
          </w:tcPr>
          <w:p w:rsidR="00940827" w:rsidRPr="00990D3B" w:rsidP="00A614E4" w14:paraId="6D73316F" w14:textId="77777777">
            <w:pPr>
              <w:pStyle w:val="Paragraph0"/>
            </w:pPr>
            <w:r w:rsidRPr="00990D3B">
              <w:t>A non-numeric variable with a range of non-ordered, qualitative values (or categories). The values may be coded as numbers but should not be interpreted numerically.</w:t>
            </w:r>
          </w:p>
        </w:tc>
      </w:tr>
      <w:tr w14:paraId="3FCA0442" w14:textId="77777777" w:rsidTr="00A614E4">
        <w:tblPrEx>
          <w:tblW w:w="4077" w:type="pct"/>
          <w:tblLayout w:type="fixed"/>
          <w:tblLook w:val="04A0"/>
        </w:tblPrEx>
        <w:trPr>
          <w:cantSplit/>
        </w:trPr>
        <w:tc>
          <w:tcPr>
            <w:tcW w:w="1179" w:type="pct"/>
          </w:tcPr>
          <w:p w:rsidR="00940827" w:rsidRPr="00990D3B" w:rsidP="00A614E4" w14:paraId="45EEB320" w14:textId="03653483">
            <w:pPr>
              <w:pStyle w:val="Paragraph0"/>
            </w:pPr>
            <w:r w:rsidRPr="00990D3B">
              <w:t>Children’s Health Insurance Program Reauthorization Act of 2009 (CHIPRA)</w:t>
            </w:r>
          </w:p>
        </w:tc>
        <w:tc>
          <w:tcPr>
            <w:tcW w:w="3821" w:type="pct"/>
            <w:tcMar>
              <w:top w:w="115" w:type="dxa"/>
              <w:left w:w="115" w:type="dxa"/>
              <w:right w:w="115" w:type="dxa"/>
            </w:tcMar>
          </w:tcPr>
          <w:p w:rsidR="00940827" w:rsidRPr="00990D3B" w:rsidP="00A614E4" w14:paraId="29190463" w14:textId="77777777">
            <w:pPr>
              <w:pStyle w:val="Paragraph0"/>
            </w:pPr>
            <w:r w:rsidRPr="00990D3B">
              <w:t xml:space="preserve">Reauthorized the Children’s Health Insurance Program (CHIP) under Title XXI of the Social Security Act. CHIPRA included provisions to strengthen the quality of care provided to children and improve health outcomes of children in Medicaid and CHIP. CHIPRA requires the U.S. Department of Health &amp; Human Services (HHS) to identify and publish a core measure set of children’s health care quality measures for voluntary use by state Medicaid and CHIP programs (CMS Core Set of Children’s Health Care Quality Measures for Medicaid and the Children’s Health Insurance Program (CHIP) (the Child Core Set) and the Core Set of Health Care Quality Measures for Adults Enrolled in Medicaid (the Adult Core Set). The Child Core Set includes a range of children’s quality measures encompassing both physical and mental health. The initial Child Core Set was released in 2010, updated in 2013, and is updated annually thereafter. </w:t>
            </w:r>
          </w:p>
        </w:tc>
      </w:tr>
      <w:tr w14:paraId="3F62F942" w14:textId="77777777" w:rsidTr="00A614E4">
        <w:tblPrEx>
          <w:tblW w:w="4077" w:type="pct"/>
          <w:tblLayout w:type="fixed"/>
          <w:tblLook w:val="04A0"/>
        </w:tblPrEx>
        <w:trPr>
          <w:cantSplit/>
        </w:trPr>
        <w:tc>
          <w:tcPr>
            <w:tcW w:w="1179" w:type="pct"/>
          </w:tcPr>
          <w:p w:rsidR="00940827" w:rsidRPr="00990D3B" w:rsidP="00A614E4" w14:paraId="3BCE42FA" w14:textId="5C9C492C">
            <w:pPr>
              <w:pStyle w:val="Paragraph0"/>
            </w:pPr>
            <w:r w:rsidRPr="00990D3B">
              <w:t>Claims Data</w:t>
            </w:r>
          </w:p>
        </w:tc>
        <w:tc>
          <w:tcPr>
            <w:tcW w:w="3821" w:type="pct"/>
            <w:tcMar>
              <w:top w:w="115" w:type="dxa"/>
              <w:left w:w="115" w:type="dxa"/>
              <w:right w:w="115" w:type="dxa"/>
            </w:tcMar>
          </w:tcPr>
          <w:p w:rsidR="00940827" w:rsidRPr="00990D3B" w:rsidP="00A614E4" w14:paraId="0ADF9BA7" w14:textId="77777777">
            <w:pPr>
              <w:pStyle w:val="Paragraph0"/>
            </w:pPr>
            <w:r w:rsidRPr="00990D3B">
              <w:t>See “Encounter Data.”</w:t>
            </w:r>
          </w:p>
        </w:tc>
      </w:tr>
      <w:tr w14:paraId="7C8DE655" w14:textId="77777777" w:rsidTr="00A614E4">
        <w:tblPrEx>
          <w:tblW w:w="4077" w:type="pct"/>
          <w:tblLayout w:type="fixed"/>
          <w:tblLook w:val="04A0"/>
        </w:tblPrEx>
        <w:trPr>
          <w:cantSplit/>
        </w:trPr>
        <w:tc>
          <w:tcPr>
            <w:tcW w:w="1179" w:type="pct"/>
          </w:tcPr>
          <w:p w:rsidR="00940827" w:rsidRPr="00990D3B" w:rsidP="00A614E4" w14:paraId="6BDC9F61" w14:textId="72B0170A">
            <w:pPr>
              <w:pStyle w:val="Paragraph0"/>
            </w:pPr>
            <w:r w:rsidRPr="00990D3B">
              <w:t>Compliance Review</w:t>
            </w:r>
          </w:p>
        </w:tc>
        <w:tc>
          <w:tcPr>
            <w:tcW w:w="3821" w:type="pct"/>
            <w:tcMar>
              <w:top w:w="115" w:type="dxa"/>
              <w:left w:w="115" w:type="dxa"/>
              <w:right w:w="115" w:type="dxa"/>
            </w:tcMar>
          </w:tcPr>
          <w:p w:rsidR="00940827" w:rsidRPr="00990D3B" w:rsidP="00A614E4" w14:paraId="71A25B1A" w14:textId="445334A4">
            <w:pPr>
              <w:pStyle w:val="Paragraph0"/>
            </w:pPr>
            <w:r w:rsidRPr="00990D3B">
              <w:t xml:space="preserve">A process to determine the extent to which Medicaid and CHIP managed care plans (MCPs) are complying with the Medicaid standards set forth at </w:t>
            </w:r>
            <w:r w:rsidRPr="00990D3B" w:rsidR="001C7FC0">
              <w:t>42 C.F.R.</w:t>
            </w:r>
            <w:r w:rsidRPr="00990D3B" w:rsidR="007854DF">
              <w:t xml:space="preserve"> </w:t>
            </w:r>
            <w:r w:rsidRPr="00990D3B">
              <w:t xml:space="preserve">438, subpart D and </w:t>
            </w:r>
            <w:r w:rsidRPr="00990D3B" w:rsidR="001C7FC0">
              <w:t>42 C.F.R.</w:t>
            </w:r>
            <w:r w:rsidRPr="00990D3B" w:rsidR="007854DF">
              <w:t xml:space="preserve"> </w:t>
            </w:r>
            <w:r w:rsidRPr="00990D3B">
              <w:t xml:space="preserve">438.330, which are adopted by CHIP at </w:t>
            </w:r>
            <w:r w:rsidRPr="00990D3B" w:rsidR="001C7FC0">
              <w:t>42 C.F.R.</w:t>
            </w:r>
            <w:r w:rsidRPr="00990D3B">
              <w:t xml:space="preserve"> 457.</w:t>
            </w:r>
          </w:p>
        </w:tc>
      </w:tr>
    </w:tbl>
    <w:p w:rsidR="005E39C4" w:rsidRPr="00990D3B" w14:paraId="629B3FBA" w14:textId="77777777"/>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09"/>
        <w:gridCol w:w="7651"/>
      </w:tblGrid>
      <w:tr w14:paraId="22F9BC10" w14:textId="77777777" w:rsidTr="008A404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Pr>
        <w:tc>
          <w:tcPr>
            <w:tcW w:w="913" w:type="pct"/>
          </w:tcPr>
          <w:p w:rsidR="00940827" w:rsidRPr="00990D3B" w:rsidP="008A47B2" w14:paraId="38649299" w14:textId="6870D6B6">
            <w:pPr>
              <w:pStyle w:val="Paragraph0"/>
            </w:pPr>
            <w:r w:rsidRPr="00990D3B">
              <w:t>Confidence Level</w:t>
            </w:r>
          </w:p>
        </w:tc>
        <w:tc>
          <w:tcPr>
            <w:tcW w:w="4087" w:type="pct"/>
            <w:tcMar>
              <w:top w:w="115" w:type="dxa"/>
              <w:left w:w="115" w:type="dxa"/>
              <w:right w:w="115" w:type="dxa"/>
            </w:tcMar>
          </w:tcPr>
          <w:p w:rsidR="00940827" w:rsidRPr="00990D3B" w:rsidP="008A47B2" w14:paraId="6E39302A" w14:textId="77777777">
            <w:pPr>
              <w:pStyle w:val="Paragraph0"/>
            </w:pPr>
            <w:r w:rsidRPr="00990D3B">
              <w:t>The likelihood, expressed as a percentage, that percentage that a sample finding is true for the population from which the sample was taken. For example, a 95 percent confidence interval indicates a 5 percent chance that the sample result is due to chance and is not true for the population.</w:t>
            </w:r>
          </w:p>
        </w:tc>
      </w:tr>
      <w:tr w14:paraId="326D006B" w14:textId="77777777" w:rsidTr="008A4044">
        <w:tblPrEx>
          <w:tblW w:w="5000" w:type="pct"/>
          <w:tblLayout w:type="fixed"/>
          <w:tblLook w:val="04A0"/>
        </w:tblPrEx>
        <w:trPr>
          <w:cantSplit/>
        </w:trPr>
        <w:tc>
          <w:tcPr>
            <w:tcW w:w="913" w:type="pct"/>
          </w:tcPr>
          <w:p w:rsidR="00940827" w:rsidRPr="00990D3B" w:rsidP="008A47B2" w14:paraId="3A951759" w14:textId="4BE9FC87">
            <w:pPr>
              <w:pStyle w:val="Paragraph0"/>
            </w:pPr>
            <w:r w:rsidRPr="00990D3B">
              <w:t>Consumer Assessment of Healthcare Providers and Systems (CAHPS®)</w:t>
            </w:r>
          </w:p>
        </w:tc>
        <w:tc>
          <w:tcPr>
            <w:tcW w:w="4087" w:type="pct"/>
            <w:tcMar>
              <w:top w:w="115" w:type="dxa"/>
              <w:left w:w="115" w:type="dxa"/>
              <w:right w:w="115" w:type="dxa"/>
            </w:tcMar>
          </w:tcPr>
          <w:p w:rsidR="00940827" w:rsidRPr="00990D3B" w:rsidP="008A47B2" w14:paraId="488F0985" w14:textId="77777777">
            <w:pPr>
              <w:pStyle w:val="Paragraph0"/>
            </w:pPr>
            <w:r w:rsidRPr="00990D3B">
              <w:t xml:space="preserve">A series of consumer and patient surveys rating health care experiences in the U.S. All surveys officially designated as CAHPS® surveys have been approved by the CAHPS® Consortium, which is overseen by the Agency for Healthcare Research and Quality (AHRQ). CAHPS® surveys are an integral part of CMS’ efforts to improve health care in the U.S. CAHPS® surveys follow scientific principles in survey design and development, are designed to reliably assess the experiences of a large sample of </w:t>
            </w:r>
            <w:r w:rsidRPr="00990D3B">
              <w:t>patients, and</w:t>
            </w:r>
            <w:r w:rsidRPr="00990D3B">
              <w:t xml:space="preserve"> use standardized questions and data collection protocols to ensure that information can be compared across health care settings. </w:t>
            </w:r>
          </w:p>
        </w:tc>
      </w:tr>
      <w:tr w14:paraId="0BE07AEA" w14:textId="77777777" w:rsidTr="008A4044">
        <w:tblPrEx>
          <w:tblW w:w="5000" w:type="pct"/>
          <w:tblLayout w:type="fixed"/>
          <w:tblLook w:val="04A0"/>
        </w:tblPrEx>
        <w:trPr>
          <w:cantSplit/>
        </w:trPr>
        <w:tc>
          <w:tcPr>
            <w:tcW w:w="913" w:type="pct"/>
          </w:tcPr>
          <w:p w:rsidR="00940827" w:rsidRPr="00990D3B" w:rsidP="008A47B2" w14:paraId="0FC6D3E9" w14:textId="6A899CE9">
            <w:pPr>
              <w:pStyle w:val="Paragraph0"/>
            </w:pPr>
            <w:r w:rsidRPr="00990D3B">
              <w:t>Continuous Variable</w:t>
            </w:r>
          </w:p>
        </w:tc>
        <w:tc>
          <w:tcPr>
            <w:tcW w:w="4087" w:type="pct"/>
            <w:tcMar>
              <w:top w:w="115" w:type="dxa"/>
              <w:left w:w="115" w:type="dxa"/>
              <w:right w:w="115" w:type="dxa"/>
            </w:tcMar>
          </w:tcPr>
          <w:p w:rsidR="00940827" w:rsidRPr="00990D3B" w:rsidP="008A47B2" w14:paraId="4E4017DE" w14:textId="77777777">
            <w:pPr>
              <w:pStyle w:val="Paragraph0"/>
            </w:pPr>
            <w:r w:rsidRPr="00990D3B">
              <w:t xml:space="preserve">A numeric variable with a range of numerical values. Data collected for a continuous variable may be </w:t>
            </w:r>
            <w:r w:rsidRPr="00990D3B">
              <w:t>recoded</w:t>
            </w:r>
            <w:r w:rsidRPr="00990D3B">
              <w:t xml:space="preserve"> as a discrete variable.</w:t>
            </w:r>
          </w:p>
        </w:tc>
      </w:tr>
      <w:tr w14:paraId="2D2A36E5" w14:textId="77777777" w:rsidTr="008A4044">
        <w:tblPrEx>
          <w:tblW w:w="5000" w:type="pct"/>
          <w:tblLayout w:type="fixed"/>
          <w:tblLook w:val="04A0"/>
        </w:tblPrEx>
        <w:trPr>
          <w:cantSplit/>
        </w:trPr>
        <w:tc>
          <w:tcPr>
            <w:tcW w:w="913" w:type="pct"/>
          </w:tcPr>
          <w:p w:rsidR="00940827" w:rsidRPr="00990D3B" w:rsidP="008A47B2" w14:paraId="28A011D2" w14:textId="3C5576A1">
            <w:pPr>
              <w:pStyle w:val="Paragraph0"/>
            </w:pPr>
            <w:r w:rsidRPr="00990D3B">
              <w:t>Correlation Coefficient</w:t>
            </w:r>
          </w:p>
        </w:tc>
        <w:tc>
          <w:tcPr>
            <w:tcW w:w="4087" w:type="pct"/>
            <w:tcMar>
              <w:top w:w="115" w:type="dxa"/>
              <w:left w:w="115" w:type="dxa"/>
              <w:right w:w="115" w:type="dxa"/>
            </w:tcMar>
          </w:tcPr>
          <w:p w:rsidR="00940827" w:rsidRPr="00990D3B" w:rsidP="008A47B2" w14:paraId="274214F1" w14:textId="77777777">
            <w:pPr>
              <w:pStyle w:val="Paragraph0"/>
            </w:pPr>
            <w:r w:rsidRPr="00990D3B">
              <w:t xml:space="preserve">A statistical measure of the interdependence of two random variables, the value of which indicates how much a change in one variable is related to a change in the other variable. Correlation coefficients range in value from </w:t>
            </w:r>
            <w:r w:rsidRPr="00990D3B">
              <w:rPr>
                <w:rFonts w:cs="Arial"/>
                <w:szCs w:val="22"/>
              </w:rPr>
              <w:t>-</w:t>
            </w:r>
            <w:r w:rsidRPr="00990D3B">
              <w:t>1 to +1. A perfect positive correlation is +1 and a perfect negative correlation is -1. Zero indicates the absence of a relationship between the variables.</w:t>
            </w:r>
          </w:p>
        </w:tc>
      </w:tr>
      <w:tr w14:paraId="13EFB864" w14:textId="77777777" w:rsidTr="008A4044">
        <w:tblPrEx>
          <w:tblW w:w="5000" w:type="pct"/>
          <w:tblLayout w:type="fixed"/>
          <w:tblLook w:val="04A0"/>
        </w:tblPrEx>
        <w:trPr>
          <w:cantSplit/>
        </w:trPr>
        <w:tc>
          <w:tcPr>
            <w:tcW w:w="913" w:type="pct"/>
          </w:tcPr>
          <w:p w:rsidR="00940827" w:rsidRPr="00990D3B" w:rsidP="008A47B2" w14:paraId="4D615FE1" w14:textId="35B4CC1D">
            <w:pPr>
              <w:pStyle w:val="Paragraph0"/>
            </w:pPr>
            <w:r w:rsidRPr="00990D3B">
              <w:t>CPT</w:t>
            </w:r>
            <w:r w:rsidRPr="00990D3B">
              <w:rPr>
                <w:rFonts w:cs="Arial"/>
              </w:rPr>
              <w:t>®</w:t>
            </w:r>
            <w:r w:rsidRPr="00990D3B">
              <w:t xml:space="preserve"> </w:t>
            </w:r>
          </w:p>
        </w:tc>
        <w:tc>
          <w:tcPr>
            <w:tcW w:w="4087" w:type="pct"/>
            <w:tcMar>
              <w:top w:w="115" w:type="dxa"/>
              <w:left w:w="115" w:type="dxa"/>
              <w:right w:w="115" w:type="dxa"/>
            </w:tcMar>
          </w:tcPr>
          <w:p w:rsidR="00940827" w:rsidRPr="00990D3B" w:rsidP="008A47B2" w14:paraId="64F130F3" w14:textId="77777777">
            <w:pPr>
              <w:pStyle w:val="Paragraph0"/>
            </w:pPr>
            <w:r w:rsidRPr="00990D3B">
              <w:t xml:space="preserve">A coding system, defined in the American Medical Association publication “Current Procedural Terminology”, for medical procedures that are used for billing and quality measures.  </w:t>
            </w:r>
          </w:p>
        </w:tc>
      </w:tr>
      <w:tr w14:paraId="174B0BE5" w14:textId="77777777" w:rsidTr="008A4044">
        <w:tblPrEx>
          <w:tblW w:w="5000" w:type="pct"/>
          <w:tblLayout w:type="fixed"/>
          <w:tblLook w:val="04A0"/>
        </w:tblPrEx>
        <w:trPr>
          <w:cantSplit/>
        </w:trPr>
        <w:tc>
          <w:tcPr>
            <w:tcW w:w="913" w:type="pct"/>
          </w:tcPr>
          <w:p w:rsidR="00940827" w:rsidRPr="00990D3B" w:rsidP="008A47B2" w14:paraId="69CB67B4" w14:textId="74075544">
            <w:pPr>
              <w:pStyle w:val="Paragraph0"/>
            </w:pPr>
            <w:r w:rsidRPr="00990D3B">
              <w:t>Database Management System (DBMS)</w:t>
            </w:r>
          </w:p>
        </w:tc>
        <w:tc>
          <w:tcPr>
            <w:tcW w:w="4087" w:type="pct"/>
            <w:tcMar>
              <w:top w:w="115" w:type="dxa"/>
              <w:left w:w="115" w:type="dxa"/>
              <w:right w:w="115" w:type="dxa"/>
            </w:tcMar>
          </w:tcPr>
          <w:p w:rsidR="00940827" w:rsidRPr="00990D3B" w:rsidP="008A47B2" w14:paraId="7B12B231" w14:textId="77777777">
            <w:pPr>
              <w:pStyle w:val="Paragraph0"/>
            </w:pPr>
            <w:r w:rsidRPr="00990D3B">
              <w:t>System software for creating, managing, and maintaining databases.</w:t>
            </w:r>
          </w:p>
        </w:tc>
      </w:tr>
      <w:tr w14:paraId="39862434" w14:textId="77777777" w:rsidTr="008A4044">
        <w:tblPrEx>
          <w:tblW w:w="5000" w:type="pct"/>
          <w:tblLayout w:type="fixed"/>
          <w:tblLook w:val="04A0"/>
        </w:tblPrEx>
        <w:trPr>
          <w:cantSplit/>
        </w:trPr>
        <w:tc>
          <w:tcPr>
            <w:tcW w:w="913" w:type="pct"/>
          </w:tcPr>
          <w:p w:rsidR="00AF4361" w:rsidRPr="00990D3B" w:rsidP="008A47B2" w14:paraId="7D159519" w14:textId="2A7EAF73">
            <w:pPr>
              <w:pStyle w:val="Paragraph0"/>
            </w:pPr>
            <w:r w:rsidRPr="00990D3B">
              <w:t>Definition of Network Adequacy Indicator</w:t>
            </w:r>
          </w:p>
        </w:tc>
        <w:tc>
          <w:tcPr>
            <w:tcW w:w="4087" w:type="pct"/>
            <w:tcMar>
              <w:top w:w="115" w:type="dxa"/>
              <w:left w:w="115" w:type="dxa"/>
              <w:right w:w="115" w:type="dxa"/>
            </w:tcMar>
          </w:tcPr>
          <w:p w:rsidR="00AF4361" w:rsidRPr="00990D3B" w:rsidP="008A47B2" w14:paraId="4005CC94" w14:textId="7FEF3784">
            <w:pPr>
              <w:pStyle w:val="Paragraph0"/>
            </w:pPr>
            <w:r w:rsidRPr="00990D3B">
              <w:t xml:space="preserve">A clear description of the network adequacy indicator, including criteria for calculating the numerator and denominator. The definition should address specific </w:t>
            </w:r>
            <w:bookmarkStart w:id="1235" w:name="_Hlk64534967"/>
            <w:r w:rsidRPr="00990D3B">
              <w:t>methodological issues that impact indicator calculations</w:t>
            </w:r>
            <w:bookmarkEnd w:id="1235"/>
            <w:r w:rsidRPr="00990D3B">
              <w:t>. For example, for time and distance indicators, the definition should specify whether distance is measured “as the crow flies” or using driving distances. The definition should also identify the provider types to which the indicator applies.</w:t>
            </w:r>
          </w:p>
        </w:tc>
      </w:tr>
      <w:tr w14:paraId="38A7D247" w14:textId="77777777" w:rsidTr="008A4044">
        <w:tblPrEx>
          <w:tblW w:w="5000" w:type="pct"/>
          <w:tblLayout w:type="fixed"/>
          <w:tblLook w:val="04A0"/>
        </w:tblPrEx>
        <w:trPr>
          <w:cantSplit/>
        </w:trPr>
        <w:tc>
          <w:tcPr>
            <w:tcW w:w="913" w:type="pct"/>
          </w:tcPr>
          <w:p w:rsidR="00940827" w:rsidRPr="00990D3B" w:rsidP="008A47B2" w14:paraId="79AEEBCC" w14:textId="585EFEA6">
            <w:pPr>
              <w:pStyle w:val="Paragraph0"/>
            </w:pPr>
            <w:r w:rsidRPr="00990D3B">
              <w:t>Denominator</w:t>
            </w:r>
          </w:p>
        </w:tc>
        <w:tc>
          <w:tcPr>
            <w:tcW w:w="4087" w:type="pct"/>
            <w:tcMar>
              <w:top w:w="115" w:type="dxa"/>
              <w:left w:w="115" w:type="dxa"/>
              <w:right w:w="115" w:type="dxa"/>
            </w:tcMar>
          </w:tcPr>
          <w:p w:rsidR="00940827" w:rsidRPr="00990D3B" w:rsidP="008A47B2" w14:paraId="60445618" w14:textId="1603F923">
            <w:pPr>
              <w:pStyle w:val="Paragraph0"/>
            </w:pPr>
            <w:r w:rsidRPr="00990D3B">
              <w:t xml:space="preserve">The bottom part of the </w:t>
            </w:r>
            <w:r w:rsidRPr="00990D3B">
              <w:t>fraction that</w:t>
            </w:r>
            <w:r w:rsidRPr="00990D3B">
              <w:t xml:space="preserve"> represents the total number of parts created from the whole. For the purposes of the</w:t>
            </w:r>
            <w:r w:rsidRPr="00990D3B" w:rsidR="00445B6F">
              <w:t xml:space="preserve"> EQR</w:t>
            </w:r>
            <w:r w:rsidRPr="00990D3B">
              <w:t xml:space="preserve"> protocols, the denominator provides the </w:t>
            </w:r>
            <w:r w:rsidRPr="00990D3B">
              <w:rPr>
                <w:rStyle w:val="Emphasis"/>
                <w:i w:val="0"/>
              </w:rPr>
              <w:t>general</w:t>
            </w:r>
            <w:r w:rsidRPr="00990D3B">
              <w:t xml:space="preserve"> specifications of any clinical component that is the basis for inclusions and exclusions in the population to be considered in a measure. </w:t>
            </w:r>
          </w:p>
        </w:tc>
      </w:tr>
      <w:tr w14:paraId="796561A3" w14:textId="77777777" w:rsidTr="008A4044">
        <w:tblPrEx>
          <w:tblW w:w="5000" w:type="pct"/>
          <w:tblLayout w:type="fixed"/>
          <w:tblLook w:val="04A0"/>
        </w:tblPrEx>
        <w:trPr>
          <w:cantSplit/>
        </w:trPr>
        <w:tc>
          <w:tcPr>
            <w:tcW w:w="913" w:type="pct"/>
          </w:tcPr>
          <w:p w:rsidR="00940827" w:rsidRPr="00990D3B" w:rsidP="008A47B2" w14:paraId="727D1241" w14:textId="4F5C0457">
            <w:pPr>
              <w:pStyle w:val="Paragraph0"/>
            </w:pPr>
            <w:r w:rsidRPr="00990D3B">
              <w:t>Discrete Variable</w:t>
            </w:r>
          </w:p>
        </w:tc>
        <w:tc>
          <w:tcPr>
            <w:tcW w:w="4087" w:type="pct"/>
            <w:tcMar>
              <w:top w:w="115" w:type="dxa"/>
              <w:left w:w="115" w:type="dxa"/>
              <w:right w:w="115" w:type="dxa"/>
            </w:tcMar>
          </w:tcPr>
          <w:p w:rsidR="00940827" w:rsidRPr="00990D3B" w:rsidP="008A47B2" w14:paraId="7C4EE2F2" w14:textId="77777777">
            <w:pPr>
              <w:pStyle w:val="Paragraph0"/>
            </w:pPr>
            <w:r w:rsidRPr="00990D3B">
              <w:t>A numeric variable with a limited number of possible categories. A binary variable is a type of discrete variable with only two categories.</w:t>
            </w:r>
          </w:p>
        </w:tc>
      </w:tr>
      <w:tr w14:paraId="58FBEF5E" w14:textId="77777777" w:rsidTr="008A4044">
        <w:tblPrEx>
          <w:tblW w:w="5000" w:type="pct"/>
          <w:tblLayout w:type="fixed"/>
          <w:tblLook w:val="04A0"/>
        </w:tblPrEx>
        <w:trPr>
          <w:cantSplit/>
        </w:trPr>
        <w:tc>
          <w:tcPr>
            <w:tcW w:w="913" w:type="pct"/>
          </w:tcPr>
          <w:p w:rsidR="00940827" w:rsidRPr="00990D3B" w:rsidP="008A47B2" w14:paraId="7A9B1303" w14:textId="181F55E0">
            <w:pPr>
              <w:pStyle w:val="Paragraph0"/>
            </w:pPr>
            <w:r w:rsidRPr="00990D3B">
              <w:t>Edit Checks</w:t>
            </w:r>
          </w:p>
        </w:tc>
        <w:tc>
          <w:tcPr>
            <w:tcW w:w="4087" w:type="pct"/>
            <w:tcMar>
              <w:top w:w="115" w:type="dxa"/>
              <w:left w:w="115" w:type="dxa"/>
              <w:right w:w="115" w:type="dxa"/>
            </w:tcMar>
          </w:tcPr>
          <w:p w:rsidR="00940827" w:rsidRPr="00990D3B" w:rsidP="008A47B2" w14:paraId="0A3CC91C" w14:textId="77777777">
            <w:pPr>
              <w:pStyle w:val="Paragraph0"/>
            </w:pPr>
            <w:r w:rsidRPr="00990D3B">
              <w:t>A program instruction that tests the quality and validity of data entered.</w:t>
            </w:r>
          </w:p>
        </w:tc>
      </w:tr>
      <w:tr w14:paraId="61043D9D" w14:textId="77777777" w:rsidTr="008A4044">
        <w:tblPrEx>
          <w:tblW w:w="5000" w:type="pct"/>
          <w:tblLayout w:type="fixed"/>
          <w:tblLook w:val="04A0"/>
        </w:tblPrEx>
        <w:trPr>
          <w:cantSplit/>
        </w:trPr>
        <w:tc>
          <w:tcPr>
            <w:tcW w:w="913" w:type="pct"/>
          </w:tcPr>
          <w:p w:rsidR="00940827" w:rsidRPr="00990D3B" w:rsidP="008A47B2" w14:paraId="5B3D67EC" w14:textId="052E24CE">
            <w:pPr>
              <w:pStyle w:val="Paragraph0"/>
            </w:pPr>
            <w:r w:rsidRPr="00990D3B">
              <w:t>Encounter Data</w:t>
            </w:r>
          </w:p>
        </w:tc>
        <w:tc>
          <w:tcPr>
            <w:tcW w:w="4087" w:type="pct"/>
            <w:tcMar>
              <w:top w:w="115" w:type="dxa"/>
              <w:left w:w="115" w:type="dxa"/>
              <w:right w:w="115" w:type="dxa"/>
            </w:tcMar>
          </w:tcPr>
          <w:p w:rsidR="00940827" w:rsidRPr="00990D3B" w:rsidP="008A47B2" w14:paraId="230A6653" w14:textId="2D0F7CB1">
            <w:pPr>
              <w:pStyle w:val="Paragraph0"/>
            </w:pPr>
            <w:r w:rsidRPr="00990D3B">
              <w:t xml:space="preserve">The managed care equivalent of fee-for-service (FFS) claims. Encounter data </w:t>
            </w:r>
            <w:r w:rsidRPr="00990D3B" w:rsidR="00FC5DDE">
              <w:t>are</w:t>
            </w:r>
            <w:r w:rsidRPr="00990D3B" w:rsidR="00FC5DDE">
              <w:t xml:space="preserve"> </w:t>
            </w:r>
            <w:r w:rsidRPr="00990D3B">
              <w:t>the information related to the receipt of any item or service by a beneficiary enrolled in a</w:t>
            </w:r>
            <w:r w:rsidRPr="00990D3B" w:rsidR="008D1A82">
              <w:t>n</w:t>
            </w:r>
            <w:r w:rsidRPr="00990D3B">
              <w:t xml:space="preserve"> MCP. They reflect that a provider rendered a specified service under a managed care delivery system, regardless of </w:t>
            </w:r>
            <w:r w:rsidRPr="00990D3B">
              <w:t>if</w:t>
            </w:r>
            <w:r w:rsidRPr="00990D3B">
              <w:t xml:space="preserve"> or how the MCP ultimately reimbursed the provider. Encounter data </w:t>
            </w:r>
            <w:r w:rsidRPr="00990D3B">
              <w:t>include</w:t>
            </w:r>
            <w:r w:rsidRPr="00990D3B">
              <w:t xml:space="preserve"> substantially the same information included on claim forms (e.g., UB-04 or CMS 1500), although not necessarily in the same format. Providers submit claims or encounters to MCPs for service(s) rendered that would traditionally be submitted as claims in </w:t>
            </w:r>
            <w:r w:rsidRPr="00990D3B">
              <w:t>a</w:t>
            </w:r>
            <w:r w:rsidRPr="00990D3B">
              <w:t xml:space="preserve"> FFS system.</w:t>
            </w:r>
          </w:p>
        </w:tc>
      </w:tr>
      <w:tr w14:paraId="056D1C44" w14:textId="77777777" w:rsidTr="008A4044">
        <w:tblPrEx>
          <w:tblW w:w="5000" w:type="pct"/>
          <w:tblLayout w:type="fixed"/>
          <w:tblLook w:val="04A0"/>
        </w:tblPrEx>
        <w:trPr>
          <w:cantSplit/>
        </w:trPr>
        <w:tc>
          <w:tcPr>
            <w:tcW w:w="913" w:type="pct"/>
          </w:tcPr>
          <w:p w:rsidR="00940827" w:rsidRPr="00990D3B" w:rsidP="008A47B2" w14:paraId="7553D019" w14:textId="5646AFAD">
            <w:pPr>
              <w:pStyle w:val="Paragraph0"/>
            </w:pPr>
            <w:r w:rsidRPr="00990D3B">
              <w:t>Enrollee</w:t>
            </w:r>
          </w:p>
        </w:tc>
        <w:tc>
          <w:tcPr>
            <w:tcW w:w="4087" w:type="pct"/>
            <w:tcMar>
              <w:top w:w="115" w:type="dxa"/>
              <w:left w:w="115" w:type="dxa"/>
              <w:right w:w="115" w:type="dxa"/>
            </w:tcMar>
          </w:tcPr>
          <w:p w:rsidR="00940827" w:rsidRPr="00990D3B" w:rsidP="008A47B2" w14:paraId="32E48FCB" w14:textId="2F68F547">
            <w:pPr>
              <w:pStyle w:val="Paragraph0"/>
            </w:pPr>
            <w:r w:rsidRPr="00990D3B">
              <w:t>An eligible individual who is covered by a managed care plan</w:t>
            </w:r>
            <w:r w:rsidRPr="00990D3B" w:rsidR="00497545">
              <w:t xml:space="preserve"> (MCP)</w:t>
            </w:r>
            <w:r w:rsidRPr="00990D3B">
              <w:t xml:space="preserve">. A beneficiary is an eligible individual who receives health care insurance through </w:t>
            </w:r>
            <w:r w:rsidRPr="00990D3B">
              <w:t>the Medicare</w:t>
            </w:r>
            <w:r w:rsidRPr="00990D3B">
              <w:t xml:space="preserve"> or Medicaid programs.</w:t>
            </w:r>
          </w:p>
        </w:tc>
      </w:tr>
      <w:tr w14:paraId="127819E3" w14:textId="77777777" w:rsidTr="008A4044">
        <w:tblPrEx>
          <w:tblW w:w="5000" w:type="pct"/>
          <w:tblLayout w:type="fixed"/>
          <w:tblLook w:val="04A0"/>
        </w:tblPrEx>
        <w:trPr>
          <w:cantSplit/>
        </w:trPr>
        <w:tc>
          <w:tcPr>
            <w:tcW w:w="913" w:type="pct"/>
          </w:tcPr>
          <w:p w:rsidR="00940827" w:rsidRPr="00990D3B" w:rsidP="008A47B2" w14:paraId="191F7523" w14:textId="70CE6C91">
            <w:pPr>
              <w:pStyle w:val="Paragraph0"/>
            </w:pPr>
            <w:r w:rsidRPr="00990D3B">
              <w:t>EQR-Related Activities</w:t>
            </w:r>
          </w:p>
        </w:tc>
        <w:tc>
          <w:tcPr>
            <w:tcW w:w="4087" w:type="pct"/>
            <w:tcMar>
              <w:top w:w="115" w:type="dxa"/>
              <w:left w:w="115" w:type="dxa"/>
              <w:right w:w="115" w:type="dxa"/>
            </w:tcMar>
          </w:tcPr>
          <w:p w:rsidR="00940827" w:rsidRPr="00990D3B" w:rsidP="008A47B2" w14:paraId="0D4E5DFB" w14:textId="75943F3C">
            <w:pPr>
              <w:pStyle w:val="Paragraph0"/>
            </w:pPr>
            <w:r w:rsidRPr="00990D3B">
              <w:t xml:space="preserve">The activities addressed in these protocols. EQR-related activities may be conducted by the state, its agent that is not an </w:t>
            </w:r>
            <w:r w:rsidRPr="00990D3B">
              <w:rPr>
                <w:rFonts w:cs="Arial"/>
                <w:szCs w:val="22"/>
              </w:rPr>
              <w:t xml:space="preserve">MCO, PIHP, </w:t>
            </w:r>
            <w:r w:rsidRPr="00990D3B" w:rsidR="00424F30">
              <w:rPr>
                <w:rFonts w:cs="Arial"/>
                <w:szCs w:val="22"/>
              </w:rPr>
              <w:t xml:space="preserve">or </w:t>
            </w:r>
            <w:r w:rsidRPr="00990D3B">
              <w:rPr>
                <w:rFonts w:cs="Arial"/>
                <w:szCs w:val="22"/>
              </w:rPr>
              <w:t>PAHP,</w:t>
            </w:r>
            <w:r w:rsidRPr="00990D3B">
              <w:t xml:space="preserve"> or </w:t>
            </w:r>
            <w:r w:rsidRPr="00990D3B">
              <w:t>an EQRO</w:t>
            </w:r>
            <w:r w:rsidRPr="00990D3B">
              <w:t>.</w:t>
            </w:r>
            <w:r w:rsidRPr="00990D3B" w:rsidR="00F576CB">
              <w:t xml:space="preserve"> </w:t>
            </w:r>
            <w:r w:rsidRPr="00990D3B">
              <w:t xml:space="preserve">See </w:t>
            </w:r>
            <w:r w:rsidRPr="00990D3B" w:rsidR="001C7FC0">
              <w:t>42 C.F.R.</w:t>
            </w:r>
            <w:r w:rsidRPr="00990D3B" w:rsidR="007854DF">
              <w:t xml:space="preserve"> </w:t>
            </w:r>
            <w:r w:rsidRPr="00990D3B">
              <w:t xml:space="preserve">438.358. </w:t>
            </w:r>
          </w:p>
        </w:tc>
      </w:tr>
      <w:tr w14:paraId="22C1B483" w14:textId="77777777" w:rsidTr="008A4044">
        <w:tblPrEx>
          <w:tblW w:w="5000" w:type="pct"/>
          <w:tblLayout w:type="fixed"/>
          <w:tblLook w:val="04A0"/>
        </w:tblPrEx>
        <w:trPr>
          <w:cantSplit/>
        </w:trPr>
        <w:tc>
          <w:tcPr>
            <w:tcW w:w="913" w:type="pct"/>
          </w:tcPr>
          <w:p w:rsidR="00940827" w:rsidRPr="00990D3B" w:rsidP="008A47B2" w14:paraId="5B986DF1" w14:textId="3A27E605">
            <w:pPr>
              <w:pStyle w:val="Paragraph0"/>
            </w:pPr>
            <w:r w:rsidRPr="00990D3B">
              <w:t>Erroneous Encounters</w:t>
            </w:r>
          </w:p>
        </w:tc>
        <w:tc>
          <w:tcPr>
            <w:tcW w:w="4087" w:type="pct"/>
            <w:tcMar>
              <w:top w:w="115" w:type="dxa"/>
              <w:left w:w="115" w:type="dxa"/>
              <w:right w:w="115" w:type="dxa"/>
            </w:tcMar>
          </w:tcPr>
          <w:p w:rsidR="00940827" w:rsidRPr="00990D3B" w:rsidP="008A47B2" w14:paraId="3DFCB53D" w14:textId="77777777">
            <w:pPr>
              <w:pStyle w:val="Paragraph0"/>
            </w:pPr>
            <w:r w:rsidRPr="00990D3B">
              <w:t>Encounters that occurred and are represented by an encounter record that contains incorrect data elements.</w:t>
            </w:r>
          </w:p>
        </w:tc>
      </w:tr>
      <w:tr w14:paraId="00721A4B" w14:textId="77777777" w:rsidTr="008A4044">
        <w:tblPrEx>
          <w:tblW w:w="5000" w:type="pct"/>
          <w:tblLayout w:type="fixed"/>
          <w:tblLook w:val="04A0"/>
        </w:tblPrEx>
        <w:trPr>
          <w:cantSplit/>
        </w:trPr>
        <w:tc>
          <w:tcPr>
            <w:tcW w:w="913" w:type="pct"/>
          </w:tcPr>
          <w:p w:rsidR="00940827" w:rsidRPr="00990D3B" w:rsidP="008A47B2" w14:paraId="087969B3" w14:textId="27B024A9">
            <w:pPr>
              <w:pStyle w:val="Paragraph0"/>
            </w:pPr>
            <w:r w:rsidRPr="00990D3B">
              <w:t>External Quality Review (EQR)</w:t>
            </w:r>
          </w:p>
        </w:tc>
        <w:tc>
          <w:tcPr>
            <w:tcW w:w="4087" w:type="pct"/>
            <w:tcMar>
              <w:top w:w="115" w:type="dxa"/>
              <w:left w:w="115" w:type="dxa"/>
              <w:right w:w="115" w:type="dxa"/>
            </w:tcMar>
          </w:tcPr>
          <w:p w:rsidR="00940827" w:rsidRPr="00990D3B" w:rsidP="008A47B2" w14:paraId="5C749B2E" w14:textId="60A48ECE">
            <w:pPr>
              <w:pStyle w:val="Paragraph0"/>
            </w:pPr>
            <w:r w:rsidRPr="00990D3B">
              <w:t xml:space="preserve">The analysis and evaluation by an external quality review organization (EQRO), of aggregated information on quality, timeliness, and access to the health services that an MCO, PIHP, </w:t>
            </w:r>
            <w:r w:rsidRPr="00990D3B" w:rsidR="00D77CCF">
              <w:t xml:space="preserve">or </w:t>
            </w:r>
            <w:r w:rsidRPr="00990D3B">
              <w:t xml:space="preserve">PAHP, or PCCM entity (described at </w:t>
            </w:r>
            <w:r w:rsidRPr="00990D3B" w:rsidR="001C7FC0">
              <w:t xml:space="preserve">42 </w:t>
            </w:r>
            <w:r w:rsidRPr="00990D3B" w:rsidR="00FF6F31">
              <w:t>CF</w:t>
            </w:r>
            <w:r w:rsidRPr="00990D3B" w:rsidR="007854DF">
              <w:t xml:space="preserve">R </w:t>
            </w:r>
            <w:r w:rsidRPr="00990D3B">
              <w:t>438.310(c)(2)), or their contractors furnish to Medicaid beneficiaries.</w:t>
            </w:r>
          </w:p>
        </w:tc>
      </w:tr>
      <w:tr w14:paraId="6AE1F553" w14:textId="77777777" w:rsidTr="008A4044">
        <w:tblPrEx>
          <w:tblW w:w="5000" w:type="pct"/>
          <w:tblLayout w:type="fixed"/>
          <w:tblLook w:val="04A0"/>
        </w:tblPrEx>
        <w:trPr>
          <w:cantSplit/>
        </w:trPr>
        <w:tc>
          <w:tcPr>
            <w:tcW w:w="913" w:type="pct"/>
          </w:tcPr>
          <w:p w:rsidR="00940827" w:rsidRPr="00990D3B" w:rsidP="008A47B2" w14:paraId="77ED7461" w14:textId="2B7B2EE1">
            <w:pPr>
              <w:pStyle w:val="Paragraph0"/>
            </w:pPr>
            <w:r w:rsidRPr="00990D3B">
              <w:t>External Quality Review Organization (EQRO)</w:t>
            </w:r>
          </w:p>
        </w:tc>
        <w:tc>
          <w:tcPr>
            <w:tcW w:w="4087" w:type="pct"/>
            <w:tcMar>
              <w:top w:w="115" w:type="dxa"/>
              <w:left w:w="115" w:type="dxa"/>
              <w:right w:w="115" w:type="dxa"/>
            </w:tcMar>
          </w:tcPr>
          <w:p w:rsidR="00940827" w:rsidRPr="00990D3B" w:rsidP="008A47B2" w14:paraId="7B579AFE" w14:textId="2623E54C">
            <w:pPr>
              <w:pStyle w:val="Paragraph0"/>
            </w:pPr>
            <w:r w:rsidRPr="00990D3B">
              <w:t xml:space="preserve">An organization that meets the competence and independence requirements set forth at </w:t>
            </w:r>
            <w:r w:rsidRPr="00990D3B" w:rsidR="001C7FC0">
              <w:t>42 C.F.R.</w:t>
            </w:r>
            <w:r w:rsidRPr="00990D3B" w:rsidR="007854DF">
              <w:t xml:space="preserve"> </w:t>
            </w:r>
            <w:r w:rsidRPr="00990D3B">
              <w:t>438.354, and</w:t>
            </w:r>
            <w:r w:rsidRPr="00990D3B">
              <w:t xml:space="preserve"> performs external quality </w:t>
            </w:r>
            <w:r w:rsidRPr="00990D3B">
              <w:t>review</w:t>
            </w:r>
            <w:r w:rsidRPr="00990D3B">
              <w:t xml:space="preserve"> or other EQR-related activities as set forth in </w:t>
            </w:r>
            <w:r w:rsidRPr="00990D3B" w:rsidR="001C7FC0">
              <w:t>42 C.F.R.</w:t>
            </w:r>
            <w:r w:rsidRPr="00990D3B" w:rsidR="007854DF">
              <w:t xml:space="preserve"> </w:t>
            </w:r>
            <w:r w:rsidRPr="00990D3B">
              <w:t>438.358, or both.</w:t>
            </w:r>
          </w:p>
        </w:tc>
      </w:tr>
      <w:tr w14:paraId="7569B149" w14:textId="77777777" w:rsidTr="008A4044">
        <w:tblPrEx>
          <w:tblW w:w="5000" w:type="pct"/>
          <w:tblLayout w:type="fixed"/>
          <w:tblLook w:val="04A0"/>
        </w:tblPrEx>
        <w:trPr>
          <w:cantSplit/>
        </w:trPr>
        <w:tc>
          <w:tcPr>
            <w:tcW w:w="913" w:type="pct"/>
          </w:tcPr>
          <w:p w:rsidR="00940827" w:rsidRPr="00990D3B" w:rsidP="008A47B2" w14:paraId="0C28A51E" w14:textId="4FCC7955">
            <w:pPr>
              <w:pStyle w:val="Paragraph0"/>
            </w:pPr>
            <w:r w:rsidRPr="00990D3B">
              <w:t>Fee-for-</w:t>
            </w:r>
            <w:r w:rsidRPr="00990D3B">
              <w:t>Service</w:t>
            </w:r>
            <w:r w:rsidRPr="00990D3B" w:rsidR="008467AC">
              <w:t>(</w:t>
            </w:r>
            <w:r w:rsidRPr="00990D3B" w:rsidR="008467AC">
              <w:t>FFS)</w:t>
            </w:r>
          </w:p>
        </w:tc>
        <w:tc>
          <w:tcPr>
            <w:tcW w:w="4087" w:type="pct"/>
            <w:tcMar>
              <w:top w:w="115" w:type="dxa"/>
              <w:left w:w="115" w:type="dxa"/>
              <w:right w:w="115" w:type="dxa"/>
            </w:tcMar>
          </w:tcPr>
          <w:p w:rsidR="00940827" w:rsidRPr="00990D3B" w:rsidP="008A47B2" w14:paraId="3EDE68DD" w14:textId="77777777">
            <w:pPr>
              <w:pStyle w:val="Paragraph0"/>
              <w:rPr>
                <w:rFonts w:cs="Arial"/>
                <w:szCs w:val="22"/>
              </w:rPr>
            </w:pPr>
            <w:r w:rsidRPr="00990D3B">
              <w:t>A payment mechanism in which payment is made for each service used.</w:t>
            </w:r>
          </w:p>
        </w:tc>
      </w:tr>
      <w:tr w14:paraId="0CB0F428" w14:textId="77777777" w:rsidTr="008A4044">
        <w:tblPrEx>
          <w:tblW w:w="5000" w:type="pct"/>
          <w:tblLayout w:type="fixed"/>
          <w:tblLook w:val="04A0"/>
        </w:tblPrEx>
        <w:trPr>
          <w:cantSplit/>
        </w:trPr>
        <w:tc>
          <w:tcPr>
            <w:tcW w:w="913" w:type="pct"/>
          </w:tcPr>
          <w:p w:rsidR="00940827" w:rsidRPr="00990D3B" w:rsidP="008A47B2" w14:paraId="255BB8BD" w14:textId="4724B9C5">
            <w:pPr>
              <w:pStyle w:val="Paragraph0"/>
            </w:pPr>
            <w:r w:rsidRPr="00990D3B">
              <w:t>Focus Study</w:t>
            </w:r>
          </w:p>
        </w:tc>
        <w:tc>
          <w:tcPr>
            <w:tcW w:w="4087" w:type="pct"/>
            <w:tcMar>
              <w:top w:w="115" w:type="dxa"/>
              <w:left w:w="115" w:type="dxa"/>
              <w:right w:w="115" w:type="dxa"/>
            </w:tcMar>
          </w:tcPr>
          <w:p w:rsidR="00940827" w:rsidRPr="00990D3B" w:rsidP="008A47B2" w14:paraId="461E1FA6" w14:textId="14A0F1B7">
            <w:pPr>
              <w:pStyle w:val="Paragraph0"/>
            </w:pPr>
            <w:r w:rsidRPr="00990D3B">
              <w:t xml:space="preserve">A study of a particular aspect of clinical care or </w:t>
            </w:r>
            <w:r w:rsidRPr="00990D3B" w:rsidR="00D72373">
              <w:t>non-clinical</w:t>
            </w:r>
            <w:r w:rsidRPr="00990D3B">
              <w:t xml:space="preserve"> services provided by a</w:t>
            </w:r>
            <w:r w:rsidRPr="00990D3B" w:rsidR="008D1A82">
              <w:t>n</w:t>
            </w:r>
            <w:r w:rsidRPr="00990D3B">
              <w:t xml:space="preserve"> MCP at a point in time. See </w:t>
            </w:r>
            <w:r w:rsidRPr="00990D3B" w:rsidR="001C7FC0">
              <w:t>42 C.F.R.</w:t>
            </w:r>
            <w:r w:rsidRPr="00990D3B" w:rsidR="007854DF">
              <w:t xml:space="preserve"> </w:t>
            </w:r>
            <w:r w:rsidRPr="00990D3B">
              <w:t>438.358(c)(5).</w:t>
            </w:r>
          </w:p>
        </w:tc>
      </w:tr>
      <w:tr w14:paraId="31207D11" w14:textId="77777777" w:rsidTr="008A4044">
        <w:tblPrEx>
          <w:tblW w:w="5000" w:type="pct"/>
          <w:tblLayout w:type="fixed"/>
          <w:tblLook w:val="04A0"/>
        </w:tblPrEx>
        <w:trPr>
          <w:cantSplit/>
        </w:trPr>
        <w:tc>
          <w:tcPr>
            <w:tcW w:w="913" w:type="pct"/>
          </w:tcPr>
          <w:p w:rsidR="00940827" w:rsidRPr="00990D3B" w:rsidP="008A47B2" w14:paraId="6927F7CA" w14:textId="66F7A018">
            <w:pPr>
              <w:pStyle w:val="Paragraph0"/>
            </w:pPr>
            <w:r w:rsidRPr="00990D3B">
              <w:t>Generalizability</w:t>
            </w:r>
          </w:p>
        </w:tc>
        <w:tc>
          <w:tcPr>
            <w:tcW w:w="4087" w:type="pct"/>
            <w:tcMar>
              <w:top w:w="115" w:type="dxa"/>
              <w:left w:w="115" w:type="dxa"/>
              <w:right w:w="115" w:type="dxa"/>
            </w:tcMar>
          </w:tcPr>
          <w:p w:rsidR="00940827" w:rsidRPr="00990D3B" w:rsidP="008A47B2" w14:paraId="5E48FD0B" w14:textId="77777777">
            <w:pPr>
              <w:pStyle w:val="Paragraph0"/>
            </w:pPr>
            <w:r w:rsidRPr="00990D3B">
              <w:t>The extension of findings and conclusions from a study sample to the population from which the sample was drawn.</w:t>
            </w:r>
          </w:p>
        </w:tc>
      </w:tr>
      <w:tr w14:paraId="08950E88" w14:textId="77777777" w:rsidTr="008A4044">
        <w:tblPrEx>
          <w:tblW w:w="5000" w:type="pct"/>
          <w:tblLayout w:type="fixed"/>
          <w:tblLook w:val="04A0"/>
        </w:tblPrEx>
        <w:trPr>
          <w:cantSplit/>
        </w:trPr>
        <w:tc>
          <w:tcPr>
            <w:tcW w:w="913" w:type="pct"/>
          </w:tcPr>
          <w:p w:rsidR="00940827" w:rsidRPr="00990D3B" w:rsidP="008A47B2" w14:paraId="40CF8C6C" w14:textId="44C59747">
            <w:pPr>
              <w:pStyle w:val="Paragraph0"/>
            </w:pPr>
            <w:r w:rsidRPr="00990D3B">
              <w:t>Healthcare Common Procedural Terminology (HCPCS)</w:t>
            </w:r>
          </w:p>
        </w:tc>
        <w:tc>
          <w:tcPr>
            <w:tcW w:w="4087" w:type="pct"/>
            <w:tcMar>
              <w:top w:w="115" w:type="dxa"/>
              <w:left w:w="115" w:type="dxa"/>
              <w:right w:w="115" w:type="dxa"/>
            </w:tcMar>
          </w:tcPr>
          <w:p w:rsidR="00940827" w:rsidRPr="00990D3B" w:rsidP="008A47B2" w14:paraId="099A8961" w14:textId="77777777">
            <w:pPr>
              <w:pStyle w:val="Paragraph0"/>
            </w:pPr>
            <w:r w:rsidRPr="00990D3B">
              <w:t xml:space="preserve">A standardized coding system for describing the specific items and services provided </w:t>
            </w:r>
            <w:r w:rsidRPr="00990D3B">
              <w:t>in</w:t>
            </w:r>
            <w:r w:rsidRPr="00990D3B">
              <w:t xml:space="preserve"> the delivery of health care. HCPCS contains levels of codes, including the American Medical Association’s CPT® and alphanumeric codes for non-physician services, items, and supplies not contained in CPT®. </w:t>
            </w:r>
          </w:p>
        </w:tc>
      </w:tr>
      <w:tr w14:paraId="1C3BCEDA" w14:textId="77777777" w:rsidTr="008A4044">
        <w:tblPrEx>
          <w:tblW w:w="5000" w:type="pct"/>
          <w:tblLayout w:type="fixed"/>
          <w:tblLook w:val="04A0"/>
        </w:tblPrEx>
        <w:trPr>
          <w:cantSplit/>
        </w:trPr>
        <w:tc>
          <w:tcPr>
            <w:tcW w:w="913" w:type="pct"/>
          </w:tcPr>
          <w:p w:rsidR="00940827" w:rsidRPr="00990D3B" w:rsidP="008A47B2" w14:paraId="566DCE20" w14:textId="6B496179">
            <w:pPr>
              <w:pStyle w:val="Paragraph0"/>
            </w:pPr>
            <w:r w:rsidRPr="00990D3B">
              <w:t>Healthcare Effectiveness Data and Information Set (HEDIS</w:t>
            </w:r>
            <w:r w:rsidRPr="00990D3B">
              <w:rPr>
                <w:rFonts w:cs="Arial"/>
                <w:szCs w:val="22"/>
              </w:rPr>
              <w:t>®)</w:t>
            </w:r>
          </w:p>
        </w:tc>
        <w:tc>
          <w:tcPr>
            <w:tcW w:w="4087" w:type="pct"/>
            <w:tcMar>
              <w:top w:w="115" w:type="dxa"/>
              <w:left w:w="115" w:type="dxa"/>
              <w:right w:w="115" w:type="dxa"/>
            </w:tcMar>
          </w:tcPr>
          <w:p w:rsidR="00940827" w:rsidRPr="00990D3B" w:rsidP="008A47B2" w14:paraId="18A8BBDD" w14:textId="7FC7784B">
            <w:pPr>
              <w:pStyle w:val="Paragraph0"/>
            </w:pPr>
            <w:r w:rsidRPr="00990D3B">
              <w:t xml:space="preserve">A collection of standardized performance measures and their definitions designed to ensure that purchasers and consumers can reliably compare the performance of </w:t>
            </w:r>
            <w:r w:rsidRPr="00990D3B" w:rsidR="005F436F">
              <w:t>MCP</w:t>
            </w:r>
            <w:r w:rsidRPr="00990D3B">
              <w:t xml:space="preserve">s. The performance measures are related to public health issues such as cancer, heart disease, and asthma </w:t>
            </w:r>
            <w:r w:rsidRPr="00990D3B">
              <w:t>and also</w:t>
            </w:r>
            <w:r w:rsidRPr="00990D3B">
              <w:t xml:space="preserve"> include well-child visits. HEDIS® is sponsored, supported, and maintained by the National Committee for Quality Assurance (NCQA).</w:t>
            </w:r>
          </w:p>
        </w:tc>
      </w:tr>
      <w:tr w14:paraId="0B00BA94" w14:textId="77777777" w:rsidTr="008A4044">
        <w:tblPrEx>
          <w:tblW w:w="5000" w:type="pct"/>
          <w:tblLayout w:type="fixed"/>
          <w:tblLook w:val="04A0"/>
        </w:tblPrEx>
        <w:trPr>
          <w:cantSplit/>
        </w:trPr>
        <w:tc>
          <w:tcPr>
            <w:tcW w:w="913" w:type="pct"/>
          </w:tcPr>
          <w:p w:rsidR="00940827" w:rsidRPr="00990D3B" w:rsidP="008A47B2" w14:paraId="2D49E1CD" w14:textId="792D4143">
            <w:pPr>
              <w:pStyle w:val="Paragraph0"/>
            </w:pPr>
            <w:r w:rsidRPr="00990D3B">
              <w:t xml:space="preserve">Health Information Technology (HIT) </w:t>
            </w:r>
          </w:p>
        </w:tc>
        <w:tc>
          <w:tcPr>
            <w:tcW w:w="4087" w:type="pct"/>
            <w:tcMar>
              <w:top w:w="115" w:type="dxa"/>
              <w:left w:w="115" w:type="dxa"/>
              <w:right w:w="115" w:type="dxa"/>
            </w:tcMar>
          </w:tcPr>
          <w:p w:rsidR="00940827" w:rsidRPr="00990D3B" w:rsidP="008A47B2" w14:paraId="3B9CD769" w14:textId="361825EF">
            <w:pPr>
              <w:pStyle w:val="Paragraph0"/>
            </w:pPr>
            <w:r w:rsidRPr="00990D3B">
              <w:t xml:space="preserve">Used by health care providers to manage patient care and health through using and sharing health information in a secure system. EHR, meaningful use, and mobile health laws and regulations all fall under the umbrellas of HIT. </w:t>
            </w:r>
          </w:p>
        </w:tc>
      </w:tr>
      <w:tr w14:paraId="02B43D88" w14:textId="77777777" w:rsidTr="008A4044">
        <w:tblPrEx>
          <w:tblW w:w="5000" w:type="pct"/>
          <w:tblLayout w:type="fixed"/>
          <w:tblLook w:val="04A0"/>
        </w:tblPrEx>
        <w:trPr>
          <w:cantSplit/>
        </w:trPr>
        <w:tc>
          <w:tcPr>
            <w:tcW w:w="913" w:type="pct"/>
          </w:tcPr>
          <w:p w:rsidR="00940827" w:rsidRPr="00990D3B" w:rsidP="008A47B2" w14:paraId="69F9CA45" w14:textId="582D8D2B">
            <w:pPr>
              <w:pStyle w:val="Paragraph0"/>
            </w:pPr>
            <w:r w:rsidRPr="00990D3B">
              <w:t>Hybrid Data</w:t>
            </w:r>
          </w:p>
        </w:tc>
        <w:tc>
          <w:tcPr>
            <w:tcW w:w="4087" w:type="pct"/>
            <w:tcMar>
              <w:top w:w="115" w:type="dxa"/>
              <w:left w:w="115" w:type="dxa"/>
              <w:right w:w="115" w:type="dxa"/>
            </w:tcMar>
          </w:tcPr>
          <w:p w:rsidR="00940827" w:rsidRPr="00990D3B" w:rsidP="008A47B2" w14:paraId="3A41A06D" w14:textId="77777777">
            <w:pPr>
              <w:pStyle w:val="Paragraph0"/>
            </w:pPr>
            <w:r w:rsidRPr="00990D3B">
              <w:t>Administrative data supplemented by medical record review.</w:t>
            </w:r>
          </w:p>
        </w:tc>
      </w:tr>
      <w:tr w14:paraId="66D37F54" w14:textId="77777777" w:rsidTr="008A4044">
        <w:tblPrEx>
          <w:tblW w:w="5000" w:type="pct"/>
          <w:tblLayout w:type="fixed"/>
          <w:tblLook w:val="04A0"/>
        </w:tblPrEx>
        <w:trPr>
          <w:cantSplit/>
        </w:trPr>
        <w:tc>
          <w:tcPr>
            <w:tcW w:w="913" w:type="pct"/>
          </w:tcPr>
          <w:p w:rsidR="00940827" w:rsidRPr="00990D3B" w:rsidP="008A47B2" w14:paraId="39709AC8" w14:textId="668D7EC3">
            <w:pPr>
              <w:pStyle w:val="Paragraph0"/>
            </w:pPr>
            <w:r w:rsidRPr="00990D3B">
              <w:t>Improvement Strategy</w:t>
            </w:r>
          </w:p>
        </w:tc>
        <w:tc>
          <w:tcPr>
            <w:tcW w:w="4087" w:type="pct"/>
            <w:tcMar>
              <w:top w:w="115" w:type="dxa"/>
              <w:left w:w="115" w:type="dxa"/>
              <w:right w:w="115" w:type="dxa"/>
            </w:tcMar>
          </w:tcPr>
          <w:p w:rsidR="00940827" w:rsidRPr="00990D3B" w:rsidP="008A47B2" w14:paraId="14DFBFF3" w14:textId="6BB69D92">
            <w:pPr>
              <w:pStyle w:val="Paragraph0"/>
            </w:pPr>
            <w:r w:rsidRPr="00990D3B">
              <w:t xml:space="preserve">An intervention designed to change behavior at the </w:t>
            </w:r>
            <w:r w:rsidRPr="00990D3B" w:rsidR="002F4DD4">
              <w:t>enrollee</w:t>
            </w:r>
            <w:r w:rsidRPr="00990D3B">
              <w:t>, provider, and/or MCP/system level.</w:t>
            </w:r>
          </w:p>
        </w:tc>
      </w:tr>
      <w:tr w14:paraId="014E9385" w14:textId="77777777" w:rsidTr="008A4044">
        <w:tblPrEx>
          <w:tblW w:w="5000" w:type="pct"/>
          <w:tblLayout w:type="fixed"/>
          <w:tblLook w:val="04A0"/>
        </w:tblPrEx>
        <w:trPr>
          <w:cantSplit/>
        </w:trPr>
        <w:tc>
          <w:tcPr>
            <w:tcW w:w="913" w:type="pct"/>
          </w:tcPr>
          <w:p w:rsidR="00940827" w:rsidRPr="00990D3B" w:rsidP="008A47B2" w14:paraId="742EE23D" w14:textId="5D44FE5E">
            <w:pPr>
              <w:pStyle w:val="Paragraph0"/>
            </w:pPr>
            <w:r w:rsidRPr="00990D3B">
              <w:t>Indicator</w:t>
            </w:r>
          </w:p>
        </w:tc>
        <w:tc>
          <w:tcPr>
            <w:tcW w:w="4087" w:type="pct"/>
            <w:tcMar>
              <w:top w:w="115" w:type="dxa"/>
              <w:left w:w="115" w:type="dxa"/>
              <w:right w:w="115" w:type="dxa"/>
            </w:tcMar>
          </w:tcPr>
          <w:p w:rsidR="00940827" w:rsidRPr="00990D3B" w:rsidP="008A47B2" w14:paraId="5DB8457C" w14:textId="77777777">
            <w:pPr>
              <w:pStyle w:val="Paragraph0"/>
            </w:pPr>
            <w:r w:rsidRPr="00990D3B">
              <w:t xml:space="preserve">An observable and measurable characteristic that can be used to show changes or progress over time toward achieving a specific outcome. </w:t>
            </w:r>
          </w:p>
        </w:tc>
      </w:tr>
      <w:tr w14:paraId="1CD233A0" w14:textId="77777777" w:rsidTr="008A4044">
        <w:tblPrEx>
          <w:tblW w:w="5000" w:type="pct"/>
          <w:tblLayout w:type="fixed"/>
          <w:tblLook w:val="04A0"/>
        </w:tblPrEx>
        <w:trPr>
          <w:cantSplit/>
        </w:trPr>
        <w:tc>
          <w:tcPr>
            <w:tcW w:w="913" w:type="pct"/>
          </w:tcPr>
          <w:p w:rsidR="00940827" w:rsidRPr="00990D3B" w:rsidP="008A47B2" w14:paraId="2EEDCA1F" w14:textId="3ADF3BD5">
            <w:pPr>
              <w:pStyle w:val="Paragraph0"/>
            </w:pPr>
            <w:r w:rsidRPr="00990D3B">
              <w:t>Information System Capabilities Assessment (ISCA</w:t>
            </w:r>
            <w:r w:rsidRPr="00990D3B">
              <w:rPr>
                <w:rFonts w:cs="Arial"/>
                <w:szCs w:val="22"/>
              </w:rPr>
              <w:t>)</w:t>
            </w:r>
          </w:p>
        </w:tc>
        <w:tc>
          <w:tcPr>
            <w:tcW w:w="4087" w:type="pct"/>
            <w:tcMar>
              <w:top w:w="115" w:type="dxa"/>
              <w:left w:w="115" w:type="dxa"/>
              <w:right w:w="115" w:type="dxa"/>
            </w:tcMar>
          </w:tcPr>
          <w:p w:rsidR="00940827" w:rsidRPr="00990D3B" w:rsidP="008A47B2" w14:paraId="064EEC77" w14:textId="7EF635E1">
            <w:pPr>
              <w:pStyle w:val="Paragraph0"/>
            </w:pPr>
            <w:r w:rsidRPr="00990D3B">
              <w:t xml:space="preserve">Assessment of the desired capabilities of the MCP’s information system which poses standard questions used to assess the strength of the system; this provides information to the EQRO about the extent to which the information system is capable of producing valid encounter data, </w:t>
            </w:r>
            <w:r w:rsidRPr="00990D3B">
              <w:rPr>
                <w:szCs w:val="22"/>
              </w:rPr>
              <w:t xml:space="preserve">performance measures, and other data necessary to support quality assessment and improvement, as well as managing the care delivered to its </w:t>
            </w:r>
            <w:r w:rsidRPr="00990D3B" w:rsidR="00622633">
              <w:rPr>
                <w:szCs w:val="22"/>
              </w:rPr>
              <w:t>enrollees</w:t>
            </w:r>
            <w:r w:rsidRPr="00990D3B">
              <w:rPr>
                <w:szCs w:val="22"/>
              </w:rPr>
              <w:t>. Please refer to</w:t>
            </w:r>
            <w:r w:rsidRPr="00990D3B">
              <w:t xml:space="preserve"> </w:t>
            </w:r>
            <w:hyperlink w:anchor="AppB" w:tooltip="Appendix B." w:history="1">
              <w:r w:rsidRPr="00990D3B" w:rsidR="00CF5AB3">
                <w:rPr>
                  <w:rStyle w:val="Hyperlink"/>
                  <w:szCs w:val="22"/>
                </w:rPr>
                <w:t>Appendix B</w:t>
              </w:r>
            </w:hyperlink>
            <w:r w:rsidRPr="00990D3B">
              <w:t xml:space="preserve"> </w:t>
            </w:r>
            <w:r w:rsidRPr="00990D3B">
              <w:rPr>
                <w:szCs w:val="22"/>
              </w:rPr>
              <w:t>for more information.</w:t>
            </w:r>
          </w:p>
        </w:tc>
      </w:tr>
      <w:tr w14:paraId="592D8CE7" w14:textId="77777777" w:rsidTr="008A4044">
        <w:tblPrEx>
          <w:tblW w:w="5000" w:type="pct"/>
          <w:tblLayout w:type="fixed"/>
          <w:tblLook w:val="04A0"/>
        </w:tblPrEx>
        <w:trPr>
          <w:cantSplit/>
        </w:trPr>
        <w:tc>
          <w:tcPr>
            <w:tcW w:w="913" w:type="pct"/>
          </w:tcPr>
          <w:p w:rsidR="00940827" w:rsidRPr="00990D3B" w:rsidP="008A47B2" w14:paraId="22304141" w14:textId="2107327F">
            <w:pPr>
              <w:pStyle w:val="Paragraph0"/>
            </w:pPr>
            <w:r w:rsidRPr="00990D3B">
              <w:t>Kappa statistic</w:t>
            </w:r>
          </w:p>
        </w:tc>
        <w:tc>
          <w:tcPr>
            <w:tcW w:w="4087" w:type="pct"/>
            <w:tcMar>
              <w:top w:w="115" w:type="dxa"/>
              <w:left w:w="115" w:type="dxa"/>
              <w:right w:w="115" w:type="dxa"/>
            </w:tcMar>
          </w:tcPr>
          <w:p w:rsidR="00940827" w:rsidRPr="00990D3B" w:rsidP="008A47B2" w14:paraId="48FAD0EA" w14:textId="63FE1311">
            <w:pPr>
              <w:pStyle w:val="Paragraph0"/>
            </w:pPr>
            <w:r w:rsidRPr="00990D3B">
              <w:t>A test statistic that measures interrater reliability for categorical data (e.g., sex, race, etc.).</w:t>
            </w:r>
          </w:p>
        </w:tc>
      </w:tr>
      <w:tr w14:paraId="23BCAAB5" w14:textId="77777777" w:rsidTr="008A4044">
        <w:tblPrEx>
          <w:tblW w:w="5000" w:type="pct"/>
          <w:tblLayout w:type="fixed"/>
          <w:tblLook w:val="04A0"/>
        </w:tblPrEx>
        <w:trPr>
          <w:cantSplit/>
        </w:trPr>
        <w:tc>
          <w:tcPr>
            <w:tcW w:w="913" w:type="pct"/>
          </w:tcPr>
          <w:p w:rsidR="00940827" w:rsidRPr="00990D3B" w:rsidP="008A47B2" w14:paraId="40A07A37" w14:textId="2C28FCFE">
            <w:pPr>
              <w:pStyle w:val="Paragraph0"/>
            </w:pPr>
            <w:r w:rsidRPr="00990D3B">
              <w:t>Locating</w:t>
            </w:r>
          </w:p>
        </w:tc>
        <w:tc>
          <w:tcPr>
            <w:tcW w:w="4087" w:type="pct"/>
            <w:tcMar>
              <w:top w:w="115" w:type="dxa"/>
              <w:left w:w="115" w:type="dxa"/>
              <w:right w:w="115" w:type="dxa"/>
            </w:tcMar>
          </w:tcPr>
          <w:p w:rsidR="00940827" w:rsidRPr="00990D3B" w:rsidP="008A47B2" w14:paraId="236CE5E8" w14:textId="77777777">
            <w:pPr>
              <w:pStyle w:val="Paragraph0"/>
            </w:pPr>
            <w:r w:rsidRPr="00990D3B">
              <w:t>Locating is a technique used to improve response rates by locating and contacting sample members. This includes verified collection of data, such as first and last name, home address, email address, phone number(s), date of birth, language preference, etc.</w:t>
            </w:r>
          </w:p>
        </w:tc>
      </w:tr>
      <w:tr w14:paraId="725A3CA9" w14:textId="77777777" w:rsidTr="008A4044">
        <w:tblPrEx>
          <w:tblW w:w="5000" w:type="pct"/>
          <w:tblLayout w:type="fixed"/>
          <w:tblLook w:val="04A0"/>
        </w:tblPrEx>
        <w:trPr>
          <w:cantSplit/>
        </w:trPr>
        <w:tc>
          <w:tcPr>
            <w:tcW w:w="913" w:type="pct"/>
          </w:tcPr>
          <w:p w:rsidR="00940827" w:rsidRPr="00990D3B" w:rsidP="008A47B2" w14:paraId="4ECD8BEE" w14:textId="3B7E615C">
            <w:pPr>
              <w:pStyle w:val="Paragraph0"/>
              <w:rPr>
                <w:rFonts w:eastAsiaTheme="minorHAnsi"/>
              </w:rPr>
            </w:pPr>
            <w:r w:rsidRPr="00990D3B">
              <w:rPr>
                <w:rFonts w:eastAsiaTheme="minorHAnsi"/>
              </w:rPr>
              <w:t>Managed Care Plans (MCPs</w:t>
            </w:r>
            <w:r w:rsidRPr="00990D3B">
              <w:rPr>
                <w:rFonts w:eastAsiaTheme="minorHAnsi" w:cs="Arial"/>
                <w:szCs w:val="22"/>
              </w:rPr>
              <w:t>)</w:t>
            </w:r>
          </w:p>
        </w:tc>
        <w:tc>
          <w:tcPr>
            <w:tcW w:w="4087" w:type="pct"/>
            <w:tcMar>
              <w:top w:w="115" w:type="dxa"/>
              <w:left w:w="115" w:type="dxa"/>
              <w:right w:w="115" w:type="dxa"/>
            </w:tcMar>
          </w:tcPr>
          <w:p w:rsidR="00940827" w:rsidRPr="00990D3B" w:rsidP="008A47B2" w14:paraId="1371085B" w14:textId="59881BF1">
            <w:pPr>
              <w:pStyle w:val="Paragraph0"/>
            </w:pPr>
            <w:r w:rsidRPr="00990D3B">
              <w:rPr>
                <w:rFonts w:eastAsiaTheme="minorHAnsi"/>
              </w:rPr>
              <w:t>For the purposes of the EQR protocols, encompasses managed care organizations (MCOs), prepaid inpatient health plans (PIHPs), prepaid ambulatory health plans (PAHPs), and the subset of primary care case management (PCCM) entities</w:t>
            </w:r>
            <w:r w:rsidRPr="00990D3B" w:rsidR="00240484">
              <w:rPr>
                <w:rFonts w:eastAsiaTheme="minorHAnsi"/>
              </w:rPr>
              <w:t xml:space="preserve"> </w:t>
            </w:r>
            <w:r w:rsidRPr="00990D3B">
              <w:rPr>
                <w:rFonts w:eastAsiaTheme="minorHAnsi"/>
              </w:rPr>
              <w:t xml:space="preserve">described in </w:t>
            </w:r>
            <w:r w:rsidRPr="00990D3B" w:rsidR="001C7FC0">
              <w:rPr>
                <w:rFonts w:eastAsiaTheme="minorHAnsi"/>
              </w:rPr>
              <w:t>42 C.F.R.</w:t>
            </w:r>
            <w:r w:rsidRPr="00990D3B" w:rsidR="007854DF">
              <w:rPr>
                <w:rFonts w:eastAsiaTheme="minorHAnsi"/>
              </w:rPr>
              <w:t xml:space="preserve"> </w:t>
            </w:r>
            <w:r w:rsidRPr="00990D3B">
              <w:rPr>
                <w:rFonts w:eastAsiaTheme="minorHAnsi"/>
              </w:rPr>
              <w:t>438.310(c)(2).</w:t>
            </w:r>
          </w:p>
        </w:tc>
      </w:tr>
      <w:tr w14:paraId="37458714" w14:textId="77777777" w:rsidTr="008A4044">
        <w:tblPrEx>
          <w:tblW w:w="5000" w:type="pct"/>
          <w:tblLayout w:type="fixed"/>
          <w:tblLook w:val="04A0"/>
        </w:tblPrEx>
        <w:trPr>
          <w:cantSplit/>
        </w:trPr>
        <w:tc>
          <w:tcPr>
            <w:tcW w:w="913" w:type="pct"/>
          </w:tcPr>
          <w:p w:rsidR="00940827" w:rsidRPr="00990D3B" w:rsidP="008A47B2" w14:paraId="039C2F49" w14:textId="05F597E5">
            <w:pPr>
              <w:pStyle w:val="Paragraph0"/>
              <w:rPr>
                <w:rFonts w:eastAsiaTheme="minorHAnsi"/>
              </w:rPr>
            </w:pPr>
            <w:r w:rsidRPr="00990D3B">
              <w:rPr>
                <w:rFonts w:eastAsiaTheme="minorHAnsi"/>
              </w:rPr>
              <w:t>Managed Care Quality Strategy</w:t>
            </w:r>
          </w:p>
        </w:tc>
        <w:tc>
          <w:tcPr>
            <w:tcW w:w="4087" w:type="pct"/>
            <w:tcMar>
              <w:top w:w="115" w:type="dxa"/>
              <w:left w:w="115" w:type="dxa"/>
              <w:right w:w="115" w:type="dxa"/>
            </w:tcMar>
          </w:tcPr>
          <w:p w:rsidR="00940827" w:rsidRPr="00990D3B" w:rsidP="008A47B2" w14:paraId="4F31743F" w14:textId="77777777">
            <w:pPr>
              <w:pStyle w:val="Paragraph0"/>
            </w:pPr>
            <w:r w:rsidRPr="00990D3B">
              <w:rPr>
                <w:rFonts w:eastAsiaTheme="minorHAnsi"/>
              </w:rPr>
              <w:t>See “State Quality Strategy.”</w:t>
            </w:r>
          </w:p>
        </w:tc>
      </w:tr>
      <w:tr w14:paraId="54398722" w14:textId="77777777" w:rsidTr="008A4044">
        <w:tblPrEx>
          <w:tblW w:w="5000" w:type="pct"/>
          <w:tblLayout w:type="fixed"/>
          <w:tblLook w:val="04A0"/>
        </w:tblPrEx>
        <w:trPr>
          <w:cantSplit/>
        </w:trPr>
        <w:tc>
          <w:tcPr>
            <w:tcW w:w="913" w:type="pct"/>
          </w:tcPr>
          <w:p w:rsidR="00940827" w:rsidRPr="00990D3B" w:rsidP="008A47B2" w14:paraId="2B6E9961" w14:textId="47C51EEE">
            <w:pPr>
              <w:pStyle w:val="Paragraph0"/>
              <w:rPr>
                <w:rFonts w:eastAsiaTheme="minorHAnsi"/>
              </w:rPr>
            </w:pPr>
            <w:r w:rsidRPr="00990D3B">
              <w:rPr>
                <w:rFonts w:eastAsiaTheme="minorHAnsi"/>
              </w:rPr>
              <w:t>Margin of Error</w:t>
            </w:r>
          </w:p>
        </w:tc>
        <w:tc>
          <w:tcPr>
            <w:tcW w:w="4087" w:type="pct"/>
            <w:tcMar>
              <w:top w:w="115" w:type="dxa"/>
              <w:left w:w="115" w:type="dxa"/>
              <w:right w:w="115" w:type="dxa"/>
            </w:tcMar>
          </w:tcPr>
          <w:p w:rsidR="00940827" w:rsidRPr="00990D3B" w:rsidP="008A47B2" w14:paraId="3C423D61" w14:textId="77777777">
            <w:pPr>
              <w:pStyle w:val="Paragraph0"/>
            </w:pPr>
            <w:r w:rsidRPr="00990D3B">
              <w:t>A statistic expressing the amount of random sampling error in a survey's results. The larger the margin of error, the less faith one should have that the sample result is the true population value.</w:t>
            </w:r>
          </w:p>
        </w:tc>
      </w:tr>
      <w:tr w14:paraId="63A133E1" w14:textId="77777777" w:rsidTr="008A4044">
        <w:tblPrEx>
          <w:tblW w:w="5000" w:type="pct"/>
          <w:tblLayout w:type="fixed"/>
          <w:tblLook w:val="04A0"/>
        </w:tblPrEx>
        <w:trPr>
          <w:cantSplit/>
        </w:trPr>
        <w:tc>
          <w:tcPr>
            <w:tcW w:w="913" w:type="pct"/>
          </w:tcPr>
          <w:p w:rsidR="00940827" w:rsidRPr="00990D3B" w:rsidP="008A47B2" w14:paraId="682A5ADB" w14:textId="704069FF">
            <w:pPr>
              <w:pStyle w:val="Paragraph0"/>
            </w:pPr>
            <w:r w:rsidRPr="00990D3B">
              <w:t>Measure</w:t>
            </w:r>
          </w:p>
        </w:tc>
        <w:tc>
          <w:tcPr>
            <w:tcW w:w="4087" w:type="pct"/>
            <w:tcMar>
              <w:top w:w="115" w:type="dxa"/>
              <w:left w:w="115" w:type="dxa"/>
              <w:right w:w="115" w:type="dxa"/>
            </w:tcMar>
          </w:tcPr>
          <w:p w:rsidR="00940827" w:rsidRPr="00990D3B" w:rsidP="008A47B2" w14:paraId="6DEACC01" w14:textId="77777777">
            <w:pPr>
              <w:pStyle w:val="Paragraph0"/>
            </w:pPr>
            <w:r w:rsidRPr="00990D3B">
              <w:t>A standard used for valuing or determining the extent or quantity of something.</w:t>
            </w:r>
          </w:p>
        </w:tc>
      </w:tr>
      <w:tr w14:paraId="55B0D294" w14:textId="77777777" w:rsidTr="008A4044">
        <w:tblPrEx>
          <w:tblW w:w="5000" w:type="pct"/>
          <w:tblLayout w:type="fixed"/>
          <w:tblLook w:val="04A0"/>
        </w:tblPrEx>
        <w:trPr>
          <w:cantSplit/>
        </w:trPr>
        <w:tc>
          <w:tcPr>
            <w:tcW w:w="913" w:type="pct"/>
          </w:tcPr>
          <w:p w:rsidR="00940827" w:rsidRPr="00990D3B" w:rsidP="008A47B2" w14:paraId="7862C5B8" w14:textId="722F5E29">
            <w:pPr>
              <w:pStyle w:val="Paragraph0"/>
            </w:pPr>
            <w:r w:rsidRPr="00990D3B">
              <w:t>Missing Encounters</w:t>
            </w:r>
          </w:p>
        </w:tc>
        <w:tc>
          <w:tcPr>
            <w:tcW w:w="4087" w:type="pct"/>
            <w:tcMar>
              <w:top w:w="115" w:type="dxa"/>
              <w:left w:w="115" w:type="dxa"/>
              <w:right w:w="115" w:type="dxa"/>
            </w:tcMar>
          </w:tcPr>
          <w:p w:rsidR="00940827" w:rsidRPr="00990D3B" w:rsidP="008A47B2" w14:paraId="2EDFAB06" w14:textId="77777777">
            <w:pPr>
              <w:pStyle w:val="Paragraph0"/>
            </w:pPr>
            <w:r w:rsidRPr="00990D3B">
              <w:t xml:space="preserve">Encounters that occurred but are not represented by an encounter record. </w:t>
            </w:r>
          </w:p>
        </w:tc>
      </w:tr>
      <w:tr w14:paraId="3AD38AFB" w14:textId="77777777" w:rsidTr="008A4044">
        <w:tblPrEx>
          <w:tblW w:w="5000" w:type="pct"/>
          <w:tblLayout w:type="fixed"/>
          <w:tblLook w:val="04A0"/>
        </w:tblPrEx>
        <w:trPr>
          <w:cantSplit/>
        </w:trPr>
        <w:tc>
          <w:tcPr>
            <w:tcW w:w="913" w:type="pct"/>
          </w:tcPr>
          <w:p w:rsidR="0062009E" w:rsidRPr="00990D3B" w:rsidP="008A47B2" w14:paraId="508550E1" w14:textId="00739710">
            <w:pPr>
              <w:pStyle w:val="Paragraph0"/>
            </w:pPr>
            <w:r w:rsidRPr="00990D3B">
              <w:t>Network Adequacy Indicators</w:t>
            </w:r>
          </w:p>
        </w:tc>
        <w:tc>
          <w:tcPr>
            <w:tcW w:w="4087" w:type="pct"/>
            <w:tcMar>
              <w:top w:w="115" w:type="dxa"/>
              <w:left w:w="115" w:type="dxa"/>
              <w:right w:w="115" w:type="dxa"/>
            </w:tcMar>
          </w:tcPr>
          <w:p w:rsidR="0062009E" w:rsidRPr="00990D3B" w:rsidP="008A47B2" w14:paraId="257CABB2" w14:textId="3058599A">
            <w:pPr>
              <w:pStyle w:val="Paragraph0"/>
            </w:pPr>
            <w:r w:rsidRPr="00990D3B">
              <w:t xml:space="preserve">Metrics </w:t>
            </w:r>
            <w:r w:rsidRPr="00990D3B">
              <w:t>used</w:t>
            </w:r>
            <w:r w:rsidRPr="00990D3B">
              <w:t xml:space="preserve"> to measure adherence to network adequacy standards and to determine plan compliance with state network adequacy standards. For the example given </w:t>
            </w:r>
            <w:r w:rsidRPr="00990D3B" w:rsidR="00B54F3E">
              <w:t>below</w:t>
            </w:r>
            <w:r w:rsidRPr="00990D3B">
              <w:t xml:space="preserve">, the network adequacy indicator may be the proportion of </w:t>
            </w:r>
            <w:r w:rsidRPr="00990D3B">
              <w:t>enrollees</w:t>
            </w:r>
            <w:r w:rsidRPr="00990D3B">
              <w:t xml:space="preserve"> who have access to a PCP within 30 miles or 30 minutes of their home.</w:t>
            </w:r>
          </w:p>
        </w:tc>
      </w:tr>
      <w:tr w14:paraId="0686C897" w14:textId="77777777" w:rsidTr="008A4044">
        <w:tblPrEx>
          <w:tblW w:w="5000" w:type="pct"/>
          <w:tblLayout w:type="fixed"/>
          <w:tblLook w:val="04A0"/>
        </w:tblPrEx>
        <w:trPr>
          <w:cantSplit/>
        </w:trPr>
        <w:tc>
          <w:tcPr>
            <w:tcW w:w="913" w:type="pct"/>
          </w:tcPr>
          <w:p w:rsidR="0062009E" w:rsidRPr="00990D3B" w:rsidP="008A47B2" w14:paraId="1A7EFAA2" w14:textId="3645E004">
            <w:pPr>
              <w:pStyle w:val="Paragraph0"/>
            </w:pPr>
            <w:r w:rsidRPr="00990D3B">
              <w:t>Network Adequacy Standards</w:t>
            </w:r>
          </w:p>
        </w:tc>
        <w:tc>
          <w:tcPr>
            <w:tcW w:w="4087" w:type="pct"/>
            <w:tcMar>
              <w:top w:w="115" w:type="dxa"/>
              <w:left w:w="115" w:type="dxa"/>
              <w:right w:w="115" w:type="dxa"/>
            </w:tcMar>
          </w:tcPr>
          <w:p w:rsidR="0062009E" w:rsidRPr="00990D3B" w:rsidP="008A47B2" w14:paraId="1461C9C8" w14:textId="1ED294B3">
            <w:pPr>
              <w:pStyle w:val="Paragraph0"/>
            </w:pPr>
            <w:r w:rsidRPr="00990D3B">
              <w:t xml:space="preserve">Quantitative parameters that states establish to set expectations for contracted </w:t>
            </w:r>
            <w:r w:rsidRPr="00990D3B" w:rsidR="009E0A09">
              <w:t>MCPs’</w:t>
            </w:r>
            <w:r w:rsidRPr="00990D3B">
              <w:t xml:space="preserve"> provider networks. For example, a state may set a network adequacy standard that all </w:t>
            </w:r>
            <w:r w:rsidRPr="00990D3B">
              <w:t>enrollees</w:t>
            </w:r>
            <w:r w:rsidRPr="00990D3B">
              <w:t xml:space="preserve"> have access to a primary care provider (PCP) within 30 miles or 30 minutes of their home.</w:t>
            </w:r>
          </w:p>
        </w:tc>
      </w:tr>
      <w:tr w14:paraId="1A807D1E" w14:textId="77777777" w:rsidTr="008A4044">
        <w:tblPrEx>
          <w:tblW w:w="5000" w:type="pct"/>
          <w:tblLayout w:type="fixed"/>
          <w:tblLook w:val="04A0"/>
        </w:tblPrEx>
        <w:trPr>
          <w:cantSplit/>
        </w:trPr>
        <w:tc>
          <w:tcPr>
            <w:tcW w:w="913" w:type="pct"/>
          </w:tcPr>
          <w:p w:rsidR="00940827" w:rsidRPr="00990D3B" w:rsidP="008A47B2" w14:paraId="6AFD6DB5" w14:textId="1E3C34EC">
            <w:pPr>
              <w:pStyle w:val="Paragraph0"/>
            </w:pPr>
            <w:r w:rsidRPr="00990D3B">
              <w:t>Non-Probability Sampling</w:t>
            </w:r>
          </w:p>
        </w:tc>
        <w:tc>
          <w:tcPr>
            <w:tcW w:w="4087" w:type="pct"/>
            <w:tcMar>
              <w:top w:w="115" w:type="dxa"/>
              <w:left w:w="115" w:type="dxa"/>
              <w:right w:w="115" w:type="dxa"/>
            </w:tcMar>
          </w:tcPr>
          <w:p w:rsidR="00940827" w:rsidRPr="00990D3B" w:rsidP="008A47B2" w14:paraId="2E6CAEF3" w14:textId="1147FC78">
            <w:pPr>
              <w:pStyle w:val="Paragraph0"/>
            </w:pPr>
            <w:r w:rsidRPr="00990D3B">
              <w:t xml:space="preserve">Methods that are used when subjects are scarce or hard to sample (no sampling frame) and/or the study relies on volunteers. The sample is based on the choice of those administering the survey rather than chance; therefore, some bias can be expected. Non-probability sampling includes convenience sampling and quota sampling. Please refer to </w:t>
            </w:r>
            <w:hyperlink w:anchor="AppC" w:tooltip="Appendix C" w:history="1">
              <w:r w:rsidRPr="00990D3B" w:rsidR="009637D9">
                <w:rPr>
                  <w:rStyle w:val="Hyperlink"/>
                </w:rPr>
                <w:t xml:space="preserve">Appendix </w:t>
              </w:r>
              <w:r w:rsidRPr="00990D3B" w:rsidR="00C15907">
                <w:rPr>
                  <w:rStyle w:val="Hyperlink"/>
                </w:rPr>
                <w:t>C</w:t>
              </w:r>
            </w:hyperlink>
            <w:r w:rsidRPr="00990D3B" w:rsidR="009637D9">
              <w:rPr>
                <w:rStyle w:val="Hyperlink"/>
              </w:rPr>
              <w:t xml:space="preserve"> </w:t>
            </w:r>
            <w:r w:rsidRPr="00990D3B">
              <w:t xml:space="preserve">for more information. </w:t>
            </w:r>
          </w:p>
        </w:tc>
      </w:tr>
      <w:tr w14:paraId="4CBD964C" w14:textId="77777777" w:rsidTr="008A4044">
        <w:tblPrEx>
          <w:tblW w:w="5000" w:type="pct"/>
          <w:tblLayout w:type="fixed"/>
          <w:tblLook w:val="04A0"/>
        </w:tblPrEx>
        <w:trPr>
          <w:cantSplit/>
        </w:trPr>
        <w:tc>
          <w:tcPr>
            <w:tcW w:w="913" w:type="pct"/>
          </w:tcPr>
          <w:p w:rsidR="00940827" w:rsidRPr="00990D3B" w:rsidP="008A47B2" w14:paraId="580C6F01" w14:textId="06C6F61D">
            <w:pPr>
              <w:pStyle w:val="Paragraph0"/>
            </w:pPr>
            <w:r w:rsidRPr="00990D3B">
              <w:t>Numerator</w:t>
            </w:r>
          </w:p>
        </w:tc>
        <w:tc>
          <w:tcPr>
            <w:tcW w:w="4087" w:type="pct"/>
            <w:tcMar>
              <w:top w:w="115" w:type="dxa"/>
              <w:left w:w="115" w:type="dxa"/>
              <w:right w:w="115" w:type="dxa"/>
            </w:tcMar>
          </w:tcPr>
          <w:p w:rsidR="00940827" w:rsidRPr="00990D3B" w:rsidP="008A47B2" w14:paraId="6C3F200D" w14:textId="77777777">
            <w:pPr>
              <w:pStyle w:val="Paragraph0"/>
            </w:pPr>
            <w:r w:rsidRPr="00990D3B">
              <w:t xml:space="preserve">The top part of the </w:t>
            </w:r>
            <w:r w:rsidRPr="00990D3B">
              <w:t>fraction that</w:t>
            </w:r>
            <w:r w:rsidRPr="00990D3B">
              <w:t xml:space="preserve"> represents how many parts of that whole are being considered. For example, with large population of patients, the numerator would be the number of patients in a study meeting the specifications of a clinical component in a measure. </w:t>
            </w:r>
          </w:p>
        </w:tc>
      </w:tr>
      <w:tr w14:paraId="3A6B5B5B" w14:textId="77777777" w:rsidTr="008A4044">
        <w:tblPrEx>
          <w:tblW w:w="5000" w:type="pct"/>
          <w:tblLayout w:type="fixed"/>
          <w:tblLook w:val="04A0"/>
        </w:tblPrEx>
        <w:trPr>
          <w:cantSplit/>
        </w:trPr>
        <w:tc>
          <w:tcPr>
            <w:tcW w:w="913" w:type="pct"/>
          </w:tcPr>
          <w:p w:rsidR="00940827" w:rsidRPr="00990D3B" w:rsidP="008A47B2" w14:paraId="7FCB494E" w14:textId="19DC68BD">
            <w:pPr>
              <w:pStyle w:val="Paragraph0"/>
            </w:pPr>
            <w:r w:rsidRPr="00990D3B">
              <w:t>Pay for Performance</w:t>
            </w:r>
          </w:p>
        </w:tc>
        <w:tc>
          <w:tcPr>
            <w:tcW w:w="4087" w:type="pct"/>
            <w:tcMar>
              <w:top w:w="115" w:type="dxa"/>
              <w:left w:w="115" w:type="dxa"/>
              <w:right w:w="115" w:type="dxa"/>
            </w:tcMar>
          </w:tcPr>
          <w:p w:rsidR="00940827" w:rsidRPr="00990D3B" w:rsidP="008A47B2" w14:paraId="2E597F09" w14:textId="77777777">
            <w:pPr>
              <w:pStyle w:val="Paragraph0"/>
            </w:pPr>
            <w:r w:rsidRPr="00990D3B">
              <w:t xml:space="preserve">An umbrella term for initiatives aimed at improving the quality, efficiency, and overall value of health care. These arrangements provide financial incentives to hospitals, physicians, and other health care providers for improvements in quality of care and health outcomes for patients. </w:t>
            </w:r>
          </w:p>
        </w:tc>
      </w:tr>
      <w:tr w14:paraId="057DB858" w14:textId="77777777" w:rsidTr="008A4044">
        <w:tblPrEx>
          <w:tblW w:w="5000" w:type="pct"/>
          <w:tblLayout w:type="fixed"/>
          <w:tblLook w:val="04A0"/>
        </w:tblPrEx>
        <w:trPr>
          <w:cantSplit/>
        </w:trPr>
        <w:tc>
          <w:tcPr>
            <w:tcW w:w="913" w:type="pct"/>
          </w:tcPr>
          <w:p w:rsidR="00940827" w:rsidRPr="00990D3B" w:rsidP="008A47B2" w14:paraId="00C8F4BA" w14:textId="7FEA5FFC">
            <w:pPr>
              <w:pStyle w:val="Paragraph0"/>
            </w:pPr>
            <w:r w:rsidRPr="00990D3B">
              <w:t>Pearson Correlation Coefficient (also, Pearson’s</w:t>
            </w:r>
            <w:r w:rsidRPr="00990D3B">
              <w:rPr>
                <w:rFonts w:cs="Arial"/>
                <w:szCs w:val="22"/>
              </w:rPr>
              <w:t>)</w:t>
            </w:r>
          </w:p>
        </w:tc>
        <w:tc>
          <w:tcPr>
            <w:tcW w:w="4087" w:type="pct"/>
            <w:tcMar>
              <w:top w:w="115" w:type="dxa"/>
              <w:left w:w="115" w:type="dxa"/>
              <w:right w:w="115" w:type="dxa"/>
            </w:tcMar>
          </w:tcPr>
          <w:p w:rsidR="00940827" w:rsidRPr="00990D3B" w:rsidP="008A47B2" w14:paraId="64D2C934" w14:textId="77777777">
            <w:pPr>
              <w:pStyle w:val="Paragraph0"/>
            </w:pPr>
            <w:r w:rsidRPr="00990D3B">
              <w:t xml:space="preserve">The most common measure of correlation in statistics. It shows the linear relationship between two variables X and Y, with results between -1 and +1, where 1 is total positive linear correlation, 0 is no linear correlation, and -1 is negative linear correlation. The closer the value to zero, the greater the variation the data points are around the line of best fit. </w:t>
            </w:r>
          </w:p>
        </w:tc>
      </w:tr>
      <w:tr w14:paraId="4A7DBBCB" w14:textId="77777777" w:rsidTr="008A4044">
        <w:tblPrEx>
          <w:tblW w:w="5000" w:type="pct"/>
          <w:tblLayout w:type="fixed"/>
          <w:tblLook w:val="04A0"/>
        </w:tblPrEx>
        <w:trPr>
          <w:cantSplit/>
        </w:trPr>
        <w:tc>
          <w:tcPr>
            <w:tcW w:w="913" w:type="pct"/>
          </w:tcPr>
          <w:p w:rsidR="00940827" w:rsidRPr="00990D3B" w:rsidP="008A47B2" w14:paraId="04F3F440" w14:textId="32B7F817">
            <w:pPr>
              <w:pStyle w:val="Paragraph0"/>
            </w:pPr>
            <w:r w:rsidRPr="00990D3B">
              <w:t>Performance Improvement Project (PIP</w:t>
            </w:r>
            <w:r w:rsidRPr="00990D3B">
              <w:rPr>
                <w:rFonts w:cs="Arial"/>
                <w:szCs w:val="22"/>
              </w:rPr>
              <w:t>)</w:t>
            </w:r>
          </w:p>
        </w:tc>
        <w:tc>
          <w:tcPr>
            <w:tcW w:w="4087" w:type="pct"/>
            <w:tcMar>
              <w:top w:w="115" w:type="dxa"/>
              <w:left w:w="115" w:type="dxa"/>
              <w:right w:w="115" w:type="dxa"/>
            </w:tcMar>
          </w:tcPr>
          <w:p w:rsidR="00940827" w:rsidRPr="00990D3B" w:rsidP="008A47B2" w14:paraId="34F58861" w14:textId="77777777">
            <w:pPr>
              <w:pStyle w:val="Paragraph0"/>
            </w:pPr>
            <w:r w:rsidRPr="00990D3B">
              <w:t xml:space="preserve">A project that implements an intervention designed to achieve and sustain significant improvement in health outcomes over time. </w:t>
            </w:r>
          </w:p>
        </w:tc>
      </w:tr>
      <w:tr w14:paraId="41F5E9A0" w14:textId="77777777" w:rsidTr="008A4044">
        <w:tblPrEx>
          <w:tblW w:w="5000" w:type="pct"/>
          <w:tblLayout w:type="fixed"/>
          <w:tblLook w:val="04A0"/>
        </w:tblPrEx>
        <w:trPr>
          <w:cantSplit/>
        </w:trPr>
        <w:tc>
          <w:tcPr>
            <w:tcW w:w="913" w:type="pct"/>
          </w:tcPr>
          <w:p w:rsidR="00940827" w:rsidRPr="00990D3B" w:rsidP="008A47B2" w14:paraId="4DB8128D" w14:textId="56B55236">
            <w:pPr>
              <w:pStyle w:val="Paragraph0"/>
            </w:pPr>
            <w:r w:rsidRPr="00990D3B">
              <w:t>Performance Measure</w:t>
            </w:r>
          </w:p>
        </w:tc>
        <w:tc>
          <w:tcPr>
            <w:tcW w:w="4087" w:type="pct"/>
            <w:tcMar>
              <w:top w:w="115" w:type="dxa"/>
              <w:left w:w="115" w:type="dxa"/>
              <w:right w:w="115" w:type="dxa"/>
            </w:tcMar>
          </w:tcPr>
          <w:p w:rsidR="00940827" w:rsidRPr="00990D3B" w:rsidP="008A47B2" w14:paraId="395661E2" w14:textId="6846F15B">
            <w:pPr>
              <w:pStyle w:val="Paragraph0"/>
            </w:pPr>
            <w:r w:rsidRPr="00990D3B">
              <w:t>Used to monitor performance at a point in time, track performance over time, compare performance, and inform decisions. For the purposes of the</w:t>
            </w:r>
            <w:r w:rsidRPr="00990D3B" w:rsidR="00C97730">
              <w:t xml:space="preserve"> EQR</w:t>
            </w:r>
            <w:r w:rsidRPr="00990D3B">
              <w:t xml:space="preserve"> protocols, it refers to monitoring the performance of individual MCPs at a point in time, to track MCP performance over time, to compare performance among MCPs, and to inform the selection and evaluation of quality improvement activities. </w:t>
            </w:r>
          </w:p>
        </w:tc>
      </w:tr>
      <w:tr w14:paraId="03F6FDB2" w14:textId="77777777" w:rsidTr="008A4044">
        <w:tblPrEx>
          <w:tblW w:w="5000" w:type="pct"/>
          <w:tblLayout w:type="fixed"/>
          <w:tblLook w:val="04A0"/>
        </w:tblPrEx>
        <w:trPr>
          <w:cantSplit/>
        </w:trPr>
        <w:tc>
          <w:tcPr>
            <w:tcW w:w="913" w:type="pct"/>
          </w:tcPr>
          <w:p w:rsidR="00940827" w:rsidRPr="00990D3B" w:rsidP="008A47B2" w14:paraId="595455AD" w14:textId="051FC2E1">
            <w:pPr>
              <w:pStyle w:val="Paragraph0"/>
            </w:pPr>
            <w:r w:rsidRPr="00990D3B">
              <w:t>Plan Do Study Act (PDSA</w:t>
            </w:r>
            <w:r w:rsidRPr="00990D3B">
              <w:rPr>
                <w:rFonts w:cs="Arial"/>
                <w:szCs w:val="22"/>
              </w:rPr>
              <w:t>)</w:t>
            </w:r>
          </w:p>
        </w:tc>
        <w:tc>
          <w:tcPr>
            <w:tcW w:w="4087" w:type="pct"/>
            <w:tcMar>
              <w:top w:w="115" w:type="dxa"/>
              <w:left w:w="115" w:type="dxa"/>
              <w:right w:w="115" w:type="dxa"/>
            </w:tcMar>
          </w:tcPr>
          <w:p w:rsidR="00940827" w:rsidRPr="00990D3B" w:rsidP="008A47B2" w14:paraId="1F0E559C" w14:textId="4E3C623B">
            <w:pPr>
              <w:pStyle w:val="Paragraph0"/>
            </w:pPr>
            <w:r w:rsidRPr="00990D3B">
              <w:t>A continuous cycle of measuring and analyzing performance. For the purposes of the</w:t>
            </w:r>
            <w:r w:rsidRPr="00990D3B" w:rsidR="00C97730">
              <w:t xml:space="preserve"> EQR</w:t>
            </w:r>
            <w:r w:rsidRPr="00990D3B">
              <w:t xml:space="preserve"> protocols, PDSA cycles refer to testing changes on a small scale and applying rapid-cycle learning principles to adjust intervention strategies over the course of time (such as in PIPs). </w:t>
            </w:r>
          </w:p>
        </w:tc>
      </w:tr>
      <w:tr w14:paraId="27D36C76" w14:textId="77777777" w:rsidTr="008A4044">
        <w:tblPrEx>
          <w:tblW w:w="5000" w:type="pct"/>
          <w:tblLayout w:type="fixed"/>
          <w:tblLook w:val="04A0"/>
        </w:tblPrEx>
        <w:trPr>
          <w:cantSplit/>
        </w:trPr>
        <w:tc>
          <w:tcPr>
            <w:tcW w:w="913" w:type="pct"/>
          </w:tcPr>
          <w:p w:rsidR="00940827" w:rsidRPr="00990D3B" w:rsidP="008A47B2" w14:paraId="0A48603C" w14:textId="2E83DC60">
            <w:pPr>
              <w:pStyle w:val="Paragraph0"/>
            </w:pPr>
            <w:r w:rsidRPr="00990D3B">
              <w:t>Prepaid Ambulatory Health Plan (PAHP)</w:t>
            </w:r>
          </w:p>
        </w:tc>
        <w:tc>
          <w:tcPr>
            <w:tcW w:w="4087" w:type="pct"/>
            <w:tcMar>
              <w:top w:w="115" w:type="dxa"/>
              <w:left w:w="115" w:type="dxa"/>
              <w:right w:w="115" w:type="dxa"/>
            </w:tcMar>
          </w:tcPr>
          <w:p w:rsidR="00940827" w:rsidRPr="00990D3B" w:rsidP="008A47B2" w14:paraId="066D3D40" w14:textId="04A61418">
            <w:pPr>
              <w:pStyle w:val="Paragraph0"/>
            </w:pPr>
            <w:r w:rsidRPr="00990D3B">
              <w:t>An entity that provides services to enrollees under contract with the state and on the basis of capitation payments or other payment arrangement</w:t>
            </w:r>
            <w:r w:rsidRPr="00990D3B" w:rsidR="000325B7">
              <w:t>s</w:t>
            </w:r>
            <w:r w:rsidRPr="00990D3B">
              <w:t xml:space="preserve"> that do not use state plan payment rates; does not provide or arrange for and is not otherwise responsible for the provision of any inpatient hospital or institutional services for its enrollees; and does not have a comprehensive risk contract.</w:t>
            </w:r>
          </w:p>
        </w:tc>
      </w:tr>
      <w:tr w14:paraId="2A1B6A91" w14:textId="77777777" w:rsidTr="008A4044">
        <w:tblPrEx>
          <w:tblW w:w="5000" w:type="pct"/>
          <w:tblLayout w:type="fixed"/>
          <w:tblLook w:val="04A0"/>
        </w:tblPrEx>
        <w:trPr>
          <w:cantSplit/>
        </w:trPr>
        <w:tc>
          <w:tcPr>
            <w:tcW w:w="913" w:type="pct"/>
          </w:tcPr>
          <w:p w:rsidR="00940827" w:rsidRPr="00990D3B" w:rsidP="008A47B2" w14:paraId="4BEC3C5C" w14:textId="13AA0FEA">
            <w:pPr>
              <w:pStyle w:val="Paragraph0"/>
            </w:pPr>
            <w:r w:rsidRPr="00990D3B">
              <w:t>Prepaid Inpatient Health Plan (PIHP</w:t>
            </w:r>
            <w:r w:rsidRPr="00990D3B">
              <w:rPr>
                <w:rFonts w:cs="Arial"/>
                <w:szCs w:val="22"/>
              </w:rPr>
              <w:t>)</w:t>
            </w:r>
          </w:p>
        </w:tc>
        <w:tc>
          <w:tcPr>
            <w:tcW w:w="4087" w:type="pct"/>
            <w:tcMar>
              <w:top w:w="115" w:type="dxa"/>
              <w:left w:w="115" w:type="dxa"/>
              <w:right w:w="115" w:type="dxa"/>
            </w:tcMar>
          </w:tcPr>
          <w:p w:rsidR="00940827" w:rsidRPr="00990D3B" w:rsidP="008A47B2" w14:paraId="68629C84" w14:textId="77777777">
            <w:pPr>
              <w:pStyle w:val="Paragraph0"/>
            </w:pPr>
            <w:r w:rsidRPr="00990D3B">
              <w:t>A prepaid health plan that provides services to enrollees under contract with the state and on the basis of capitation payments or other payment arrangements that do not use State plan payment rates; provides, arranges for, or otherwise has responsibility for the provision of any inpatient hospital or institutional services for its enrollees; and does not have a comprehensive risk contract.</w:t>
            </w:r>
          </w:p>
        </w:tc>
      </w:tr>
      <w:tr w14:paraId="1245A681" w14:textId="77777777" w:rsidTr="008A4044">
        <w:tblPrEx>
          <w:tblW w:w="5000" w:type="pct"/>
          <w:tblLayout w:type="fixed"/>
          <w:tblLook w:val="04A0"/>
        </w:tblPrEx>
        <w:trPr>
          <w:cantSplit/>
        </w:trPr>
        <w:tc>
          <w:tcPr>
            <w:tcW w:w="913" w:type="pct"/>
          </w:tcPr>
          <w:p w:rsidR="00940827" w:rsidRPr="00990D3B" w:rsidP="008A47B2" w14:paraId="31E82190" w14:textId="7E3150F5">
            <w:pPr>
              <w:pStyle w:val="Paragraph0"/>
            </w:pPr>
            <w:r w:rsidRPr="00990D3B">
              <w:t>Primary Care Case Management (PCCM</w:t>
            </w:r>
            <w:r w:rsidRPr="00990D3B">
              <w:rPr>
                <w:rFonts w:cs="Arial"/>
                <w:szCs w:val="22"/>
              </w:rPr>
              <w:t>)</w:t>
            </w:r>
          </w:p>
        </w:tc>
        <w:tc>
          <w:tcPr>
            <w:tcW w:w="4087" w:type="pct"/>
            <w:tcMar>
              <w:top w:w="115" w:type="dxa"/>
              <w:left w:w="115" w:type="dxa"/>
              <w:right w:w="115" w:type="dxa"/>
            </w:tcMar>
          </w:tcPr>
          <w:p w:rsidR="00940827" w:rsidRPr="00990D3B" w:rsidP="008A47B2" w14:paraId="78C75646" w14:textId="77777777">
            <w:pPr>
              <w:pStyle w:val="Paragraph0"/>
            </w:pPr>
            <w:r w:rsidRPr="00990D3B">
              <w:t>A system under which a primary care case manager contracts with the state to furnish case management services (which include the location, coordination and monitoring of primary health care services) to Medicaid beneficiaries.</w:t>
            </w:r>
          </w:p>
        </w:tc>
      </w:tr>
      <w:tr w14:paraId="36DC867A" w14:textId="77777777" w:rsidTr="008A4044">
        <w:tblPrEx>
          <w:tblW w:w="5000" w:type="pct"/>
          <w:tblLayout w:type="fixed"/>
          <w:tblLook w:val="04A0"/>
        </w:tblPrEx>
        <w:trPr>
          <w:cantSplit/>
        </w:trPr>
        <w:tc>
          <w:tcPr>
            <w:tcW w:w="913" w:type="pct"/>
          </w:tcPr>
          <w:p w:rsidR="00940827" w:rsidRPr="00990D3B" w:rsidP="008A47B2" w14:paraId="407954FF" w14:textId="35D5E864">
            <w:pPr>
              <w:pStyle w:val="Paragraph0"/>
            </w:pPr>
            <w:r w:rsidRPr="00990D3B">
              <w:t>Primary Care Case Management (PCCM) Entity</w:t>
            </w:r>
          </w:p>
        </w:tc>
        <w:tc>
          <w:tcPr>
            <w:tcW w:w="4087" w:type="pct"/>
            <w:tcMar>
              <w:top w:w="115" w:type="dxa"/>
              <w:left w:w="115" w:type="dxa"/>
              <w:right w:w="115" w:type="dxa"/>
            </w:tcMar>
          </w:tcPr>
          <w:p w:rsidR="00940827" w:rsidRPr="00990D3B" w:rsidP="008A47B2" w14:paraId="586BB3C6" w14:textId="07836198">
            <w:pPr>
              <w:pStyle w:val="Paragraph0"/>
            </w:pPr>
            <w:r w:rsidRPr="00990D3B">
              <w:t xml:space="preserve">The term PCCM entity in these EQR protocols only applies to those PCCM entities whose contracts with a state provide for shared savings, incentive payments, or other financial reward for the PCCM entity for improved quality outcomes, as described at </w:t>
            </w:r>
            <w:r w:rsidRPr="00990D3B" w:rsidR="001C7FC0">
              <w:t>42 C.F.R.</w:t>
            </w:r>
            <w:r w:rsidRPr="00990D3B" w:rsidR="007854DF">
              <w:t xml:space="preserve"> </w:t>
            </w:r>
            <w:r w:rsidRPr="00990D3B">
              <w:t xml:space="preserve">438.310(c)(2). </w:t>
            </w:r>
          </w:p>
        </w:tc>
      </w:tr>
      <w:tr w14:paraId="63CA926A" w14:textId="77777777" w:rsidTr="008A4044">
        <w:tblPrEx>
          <w:tblW w:w="5000" w:type="pct"/>
          <w:tblLayout w:type="fixed"/>
          <w:tblLook w:val="04A0"/>
        </w:tblPrEx>
        <w:trPr>
          <w:cantSplit/>
        </w:trPr>
        <w:tc>
          <w:tcPr>
            <w:tcW w:w="913" w:type="pct"/>
          </w:tcPr>
          <w:p w:rsidR="00940827" w:rsidRPr="00990D3B" w:rsidP="008A47B2" w14:paraId="6FD1584D" w14:textId="07784C36">
            <w:pPr>
              <w:pStyle w:val="Paragraph0"/>
            </w:pPr>
            <w:r w:rsidRPr="00990D3B">
              <w:t>Probability (or random) Sampling</w:t>
            </w:r>
          </w:p>
        </w:tc>
        <w:tc>
          <w:tcPr>
            <w:tcW w:w="4087" w:type="pct"/>
            <w:tcMar>
              <w:top w:w="115" w:type="dxa"/>
              <w:left w:w="115" w:type="dxa"/>
              <w:right w:w="115" w:type="dxa"/>
            </w:tcMar>
          </w:tcPr>
          <w:p w:rsidR="00940827" w:rsidRPr="00990D3B" w:rsidP="008A47B2" w14:paraId="6DCCC5BB" w14:textId="2E062FAF">
            <w:pPr>
              <w:pStyle w:val="Paragraph0"/>
            </w:pPr>
            <w:r w:rsidRPr="00990D3B">
              <w:t xml:space="preserve">Refers to sampling methods that leave selection of population units to chance and not to convenience or preference on the part of the individuals conducting the study or otherwise participating in the study. Probability sampling removes systematic bias in the selected sample due to observed and unobserved differences in the sampling units. Types of probability sampling include simple random sampling, systematic random sampling, stratified random sampling, one-stage cluster sampling, and two-stage cluster sampling. Please refer to </w:t>
            </w:r>
            <w:hyperlink w:anchor="AppC" w:tooltip="Appendix C" w:history="1">
              <w:r w:rsidRPr="00990D3B" w:rsidR="00891B31">
                <w:rPr>
                  <w:rStyle w:val="Hyperlink"/>
                </w:rPr>
                <w:t xml:space="preserve">Appendix </w:t>
              </w:r>
              <w:r w:rsidRPr="00990D3B" w:rsidR="00C15907">
                <w:rPr>
                  <w:rStyle w:val="Hyperlink"/>
                </w:rPr>
                <w:t>C</w:t>
              </w:r>
            </w:hyperlink>
            <w:r w:rsidRPr="00990D3B" w:rsidR="000B4CBD">
              <w:t xml:space="preserve"> </w:t>
            </w:r>
            <w:r w:rsidRPr="00990D3B">
              <w:t xml:space="preserve">for more information. </w:t>
            </w:r>
          </w:p>
        </w:tc>
      </w:tr>
      <w:tr w14:paraId="7546CAA8" w14:textId="77777777" w:rsidTr="008A4044">
        <w:tblPrEx>
          <w:tblW w:w="5000" w:type="pct"/>
          <w:tblLayout w:type="fixed"/>
          <w:tblLook w:val="04A0"/>
        </w:tblPrEx>
        <w:trPr>
          <w:cantSplit/>
        </w:trPr>
        <w:tc>
          <w:tcPr>
            <w:tcW w:w="913" w:type="pct"/>
          </w:tcPr>
          <w:p w:rsidR="00940827" w:rsidRPr="00990D3B" w:rsidP="008A47B2" w14:paraId="14913AFC" w14:textId="2D1075B5">
            <w:pPr>
              <w:pStyle w:val="Paragraph0"/>
            </w:pPr>
            <w:r w:rsidRPr="00990D3B">
              <w:t>Programmatic Significance</w:t>
            </w:r>
          </w:p>
        </w:tc>
        <w:tc>
          <w:tcPr>
            <w:tcW w:w="4087" w:type="pct"/>
            <w:tcMar>
              <w:top w:w="115" w:type="dxa"/>
              <w:left w:w="115" w:type="dxa"/>
              <w:right w:w="115" w:type="dxa"/>
            </w:tcMar>
          </w:tcPr>
          <w:p w:rsidR="00940827" w:rsidRPr="00990D3B" w:rsidP="008A47B2" w14:paraId="1042FF3F" w14:textId="77777777">
            <w:pPr>
              <w:pStyle w:val="Paragraph0"/>
            </w:pPr>
            <w:r w:rsidRPr="00990D3B">
              <w:t>The practical effect or importance of an intervention implemented through a program or specified method.</w:t>
            </w:r>
          </w:p>
        </w:tc>
      </w:tr>
      <w:tr w14:paraId="2B1A5115" w14:textId="77777777" w:rsidTr="008A4044">
        <w:tblPrEx>
          <w:tblW w:w="5000" w:type="pct"/>
          <w:tblLayout w:type="fixed"/>
          <w:tblLook w:val="04A0"/>
        </w:tblPrEx>
        <w:trPr>
          <w:cantSplit/>
        </w:trPr>
        <w:tc>
          <w:tcPr>
            <w:tcW w:w="913" w:type="pct"/>
          </w:tcPr>
          <w:p w:rsidR="00940827" w:rsidRPr="00990D3B" w:rsidP="008A47B2" w14:paraId="1C9AEBBA" w14:textId="6B805C2B">
            <w:pPr>
              <w:pStyle w:val="Paragraph0"/>
            </w:pPr>
            <w:r w:rsidRPr="00990D3B">
              <w:t>Protected Health Information</w:t>
            </w:r>
          </w:p>
        </w:tc>
        <w:tc>
          <w:tcPr>
            <w:tcW w:w="4087" w:type="pct"/>
            <w:tcMar>
              <w:top w:w="115" w:type="dxa"/>
              <w:left w:w="115" w:type="dxa"/>
              <w:right w:w="115" w:type="dxa"/>
            </w:tcMar>
          </w:tcPr>
          <w:p w:rsidR="00940827" w:rsidRPr="00990D3B" w:rsidP="008A47B2" w14:paraId="2F13F13C" w14:textId="77777777">
            <w:pPr>
              <w:pStyle w:val="Paragraph0"/>
            </w:pPr>
            <w:r w:rsidRPr="00990D3B">
              <w:t>A class of patient data that can be linked to a specific individual.</w:t>
            </w:r>
          </w:p>
        </w:tc>
      </w:tr>
      <w:tr w14:paraId="05DBC5DE" w14:textId="77777777" w:rsidTr="00DE2DC9">
        <w:tblPrEx>
          <w:tblW w:w="5000" w:type="pct"/>
          <w:tblLayout w:type="fixed"/>
          <w:tblLook w:val="04A0"/>
        </w:tblPrEx>
        <w:trPr>
          <w:cantSplit/>
        </w:trPr>
        <w:tc>
          <w:tcPr>
            <w:tcW w:w="913" w:type="pct"/>
          </w:tcPr>
          <w:p w:rsidR="00940827" w:rsidRPr="00990D3B" w:rsidP="00E35EAE" w14:paraId="2AB69167" w14:textId="365CDF66">
            <w:pPr>
              <w:pStyle w:val="Paragraph0"/>
            </w:pPr>
            <w:r w:rsidRPr="00990D3B">
              <w:t>Quality</w:t>
            </w:r>
          </w:p>
        </w:tc>
        <w:tc>
          <w:tcPr>
            <w:tcW w:w="4087" w:type="pct"/>
            <w:tcMar>
              <w:top w:w="115" w:type="dxa"/>
              <w:left w:w="115" w:type="dxa"/>
              <w:right w:w="115" w:type="dxa"/>
            </w:tcMar>
            <w:vAlign w:val="bottom"/>
          </w:tcPr>
          <w:p w:rsidR="00940827" w:rsidRPr="00990D3B" w:rsidP="00B8076F" w14:paraId="00ACF265" w14:textId="5AE544FD">
            <w:pPr>
              <w:pStyle w:val="Paragraph0"/>
            </w:pPr>
            <w:r w:rsidRPr="00990D3B">
              <w:t xml:space="preserve">The degree to which an MCO, PIHP, PAHP, or PCCM entity (described at </w:t>
            </w:r>
            <w:r w:rsidRPr="00990D3B" w:rsidR="001C7FC0">
              <w:t>42 C.F.R.</w:t>
            </w:r>
            <w:r w:rsidRPr="00990D3B" w:rsidR="007854DF">
              <w:t xml:space="preserve"> </w:t>
            </w:r>
            <w:r w:rsidRPr="00990D3B">
              <w:t>438.310(c)(2)) increases the likelihood of desired health outcomes of its enrollees through structural and operational characteristics, the provision of services that are consistent with current professional, evidence-based knowledge, and interventions for performance improvement.</w:t>
            </w:r>
          </w:p>
        </w:tc>
      </w:tr>
      <w:tr w14:paraId="056B7209" w14:textId="77777777" w:rsidTr="008A4044">
        <w:tblPrEx>
          <w:tblW w:w="5000" w:type="pct"/>
          <w:tblLayout w:type="fixed"/>
          <w:tblLook w:val="04A0"/>
        </w:tblPrEx>
        <w:trPr>
          <w:cantSplit/>
        </w:trPr>
        <w:tc>
          <w:tcPr>
            <w:tcW w:w="913" w:type="pct"/>
          </w:tcPr>
          <w:p w:rsidR="00940827" w:rsidRPr="00990D3B" w:rsidP="008A47B2" w14:paraId="23F20931" w14:textId="23F3169C">
            <w:pPr>
              <w:pStyle w:val="Paragraph0"/>
            </w:pPr>
            <w:r w:rsidRPr="00990D3B">
              <w:t>Quality Assurance Plan</w:t>
            </w:r>
          </w:p>
        </w:tc>
        <w:tc>
          <w:tcPr>
            <w:tcW w:w="4087" w:type="pct"/>
            <w:tcMar>
              <w:top w:w="115" w:type="dxa"/>
              <w:left w:w="115" w:type="dxa"/>
              <w:right w:w="115" w:type="dxa"/>
            </w:tcMar>
          </w:tcPr>
          <w:p w:rsidR="00940827" w:rsidRPr="00990D3B" w:rsidP="008A47B2" w14:paraId="203AA8D3" w14:textId="77777777">
            <w:pPr>
              <w:pStyle w:val="Paragraph0"/>
            </w:pPr>
            <w:r w:rsidRPr="00990D3B">
              <w:t xml:space="preserve">A plan that includes processes to monitor, evaluate and review all aspects of the survey administration procedures. The purpose of a quality assurance plan is to document reviews and audits to ensure appropriate processes are correctly followed. </w:t>
            </w:r>
          </w:p>
        </w:tc>
      </w:tr>
      <w:tr w14:paraId="40FAB6ED" w14:textId="77777777" w:rsidTr="008A4044">
        <w:tblPrEx>
          <w:tblW w:w="5000" w:type="pct"/>
          <w:tblLayout w:type="fixed"/>
          <w:tblLook w:val="04A0"/>
        </w:tblPrEx>
        <w:trPr>
          <w:cantSplit/>
        </w:trPr>
        <w:tc>
          <w:tcPr>
            <w:tcW w:w="913" w:type="pct"/>
          </w:tcPr>
          <w:p w:rsidR="00940827" w:rsidRPr="00990D3B" w:rsidP="008A47B2" w14:paraId="0E55E6F2" w14:textId="3FB72E3F">
            <w:pPr>
              <w:pStyle w:val="Paragraph0"/>
            </w:pPr>
            <w:r w:rsidRPr="00990D3B">
              <w:t>Registry Data</w:t>
            </w:r>
          </w:p>
        </w:tc>
        <w:tc>
          <w:tcPr>
            <w:tcW w:w="4087" w:type="pct"/>
            <w:tcMar>
              <w:top w:w="115" w:type="dxa"/>
              <w:left w:w="115" w:type="dxa"/>
              <w:right w:w="115" w:type="dxa"/>
            </w:tcMar>
          </w:tcPr>
          <w:p w:rsidR="00940827" w:rsidRPr="00990D3B" w:rsidP="008A47B2" w14:paraId="2605A0E8" w14:textId="77777777">
            <w:pPr>
              <w:pStyle w:val="Paragraph0"/>
            </w:pPr>
            <w:r w:rsidRPr="00990D3B">
              <w:t>Clinical data that is recorded about the health status of patients and health care they receive over time. This data is maintained in a clinical data registry.</w:t>
            </w:r>
          </w:p>
        </w:tc>
      </w:tr>
      <w:tr w14:paraId="6A8A16D0" w14:textId="77777777" w:rsidTr="008A4044">
        <w:tblPrEx>
          <w:tblW w:w="5000" w:type="pct"/>
          <w:tblLayout w:type="fixed"/>
          <w:tblLook w:val="04A0"/>
        </w:tblPrEx>
        <w:trPr>
          <w:cantSplit/>
        </w:trPr>
        <w:tc>
          <w:tcPr>
            <w:tcW w:w="913" w:type="pct"/>
          </w:tcPr>
          <w:p w:rsidR="00940827" w:rsidRPr="00990D3B" w:rsidP="008A47B2" w14:paraId="0A7834D8" w14:textId="7175FCFA">
            <w:pPr>
              <w:pStyle w:val="Paragraph0"/>
            </w:pPr>
            <w:r w:rsidRPr="00990D3B">
              <w:t>Reliability</w:t>
            </w:r>
          </w:p>
        </w:tc>
        <w:tc>
          <w:tcPr>
            <w:tcW w:w="4087" w:type="pct"/>
            <w:tcMar>
              <w:top w:w="115" w:type="dxa"/>
              <w:left w:w="115" w:type="dxa"/>
              <w:right w:w="115" w:type="dxa"/>
            </w:tcMar>
          </w:tcPr>
          <w:p w:rsidR="00940827" w:rsidRPr="00990D3B" w:rsidP="008A47B2" w14:paraId="12CA00B7" w14:textId="77777777">
            <w:pPr>
              <w:pStyle w:val="Paragraph0"/>
            </w:pPr>
            <w:r w:rsidRPr="00990D3B">
              <w:t xml:space="preserve">Refers to (1) the internal consistency of a study instrument, and (2) that data </w:t>
            </w:r>
            <w:r w:rsidRPr="00990D3B">
              <w:t>are producing</w:t>
            </w:r>
            <w:r w:rsidRPr="00990D3B">
              <w:t xml:space="preserve"> consistent results.</w:t>
            </w:r>
          </w:p>
        </w:tc>
      </w:tr>
      <w:tr w14:paraId="14680AA7" w14:textId="77777777" w:rsidTr="008A4044">
        <w:tblPrEx>
          <w:tblW w:w="5000" w:type="pct"/>
          <w:tblLayout w:type="fixed"/>
          <w:tblLook w:val="04A0"/>
        </w:tblPrEx>
        <w:trPr>
          <w:cantSplit/>
        </w:trPr>
        <w:tc>
          <w:tcPr>
            <w:tcW w:w="913" w:type="pct"/>
          </w:tcPr>
          <w:p w:rsidR="00940827" w:rsidRPr="00990D3B" w:rsidP="008A47B2" w14:paraId="6DAD18A7" w14:textId="5676F7B5">
            <w:pPr>
              <w:pStyle w:val="Paragraph0"/>
            </w:pPr>
            <w:r w:rsidRPr="00990D3B">
              <w:t>Sample</w:t>
            </w:r>
          </w:p>
        </w:tc>
        <w:tc>
          <w:tcPr>
            <w:tcW w:w="4087" w:type="pct"/>
            <w:tcMar>
              <w:top w:w="115" w:type="dxa"/>
              <w:left w:w="115" w:type="dxa"/>
              <w:right w:w="115" w:type="dxa"/>
            </w:tcMar>
          </w:tcPr>
          <w:p w:rsidR="00940827" w:rsidRPr="00990D3B" w:rsidP="008A47B2" w14:paraId="091C0E94" w14:textId="77777777">
            <w:pPr>
              <w:pStyle w:val="Paragraph0"/>
            </w:pPr>
            <w:r w:rsidRPr="00990D3B">
              <w:t>A subset selected from a population.</w:t>
            </w:r>
          </w:p>
        </w:tc>
      </w:tr>
      <w:tr w14:paraId="7BACA453" w14:textId="77777777" w:rsidTr="008A4044">
        <w:tblPrEx>
          <w:tblW w:w="5000" w:type="pct"/>
          <w:tblLayout w:type="fixed"/>
          <w:tblLook w:val="04A0"/>
        </w:tblPrEx>
        <w:trPr>
          <w:cantSplit/>
        </w:trPr>
        <w:tc>
          <w:tcPr>
            <w:tcW w:w="913" w:type="pct"/>
          </w:tcPr>
          <w:p w:rsidR="00940827" w:rsidRPr="00990D3B" w:rsidP="008A47B2" w14:paraId="6AD31628" w14:textId="2D09C262">
            <w:pPr>
              <w:pStyle w:val="Paragraph0"/>
            </w:pPr>
            <w:r w:rsidRPr="00990D3B">
              <w:t>Sampling Frame</w:t>
            </w:r>
          </w:p>
        </w:tc>
        <w:tc>
          <w:tcPr>
            <w:tcW w:w="4087" w:type="pct"/>
            <w:tcMar>
              <w:top w:w="115" w:type="dxa"/>
              <w:left w:w="115" w:type="dxa"/>
              <w:right w:w="115" w:type="dxa"/>
            </w:tcMar>
          </w:tcPr>
          <w:p w:rsidR="00940827" w:rsidRPr="00990D3B" w:rsidP="008A47B2" w14:paraId="5B7D943C" w14:textId="77777777">
            <w:pPr>
              <w:pStyle w:val="Paragraph0"/>
            </w:pPr>
            <w:r w:rsidRPr="00990D3B">
              <w:t>The list from which the sample is drawn. It includes the universe of members of the target study population, such as individuals, households, encounters, providers, or other population units that are eligible to be included in the study. The completeness, recency, and accuracy of the sampling frame are key to the representativeness of the sample.</w:t>
            </w:r>
          </w:p>
        </w:tc>
      </w:tr>
      <w:tr w14:paraId="0416B50D" w14:textId="77777777" w:rsidTr="008A4044">
        <w:tblPrEx>
          <w:tblW w:w="5000" w:type="pct"/>
          <w:tblLayout w:type="fixed"/>
          <w:tblLook w:val="04A0"/>
        </w:tblPrEx>
        <w:trPr>
          <w:cantSplit/>
        </w:trPr>
        <w:tc>
          <w:tcPr>
            <w:tcW w:w="913" w:type="pct"/>
          </w:tcPr>
          <w:p w:rsidR="00940827" w:rsidRPr="00990D3B" w:rsidP="008A47B2" w14:paraId="5F9E996E" w14:textId="6A72E518">
            <w:pPr>
              <w:pStyle w:val="Paragraph0"/>
            </w:pPr>
            <w:r w:rsidRPr="00990D3B">
              <w:t>Significant Improvement</w:t>
            </w:r>
          </w:p>
        </w:tc>
        <w:tc>
          <w:tcPr>
            <w:tcW w:w="4087" w:type="pct"/>
            <w:tcMar>
              <w:top w:w="115" w:type="dxa"/>
              <w:left w:w="115" w:type="dxa"/>
              <w:right w:w="115" w:type="dxa"/>
            </w:tcMar>
          </w:tcPr>
          <w:p w:rsidR="00940827" w:rsidRPr="00990D3B" w:rsidP="008A47B2" w14:paraId="24C71253" w14:textId="77777777">
            <w:pPr>
              <w:pStyle w:val="Paragraph0"/>
            </w:pPr>
            <w:r w:rsidRPr="00990D3B">
              <w:t>A measurable, statistically significant change in performance related to an intervention.</w:t>
            </w:r>
          </w:p>
        </w:tc>
      </w:tr>
      <w:tr w14:paraId="107A6BD2" w14:textId="77777777" w:rsidTr="008A4044">
        <w:tblPrEx>
          <w:tblW w:w="5000" w:type="pct"/>
          <w:tblLayout w:type="fixed"/>
          <w:tblLook w:val="04A0"/>
        </w:tblPrEx>
        <w:trPr>
          <w:cantSplit/>
        </w:trPr>
        <w:tc>
          <w:tcPr>
            <w:tcW w:w="913" w:type="pct"/>
          </w:tcPr>
          <w:p w:rsidR="00940827" w:rsidRPr="00990D3B" w:rsidP="008A47B2" w14:paraId="234B10DC" w14:textId="54CBAC19">
            <w:pPr>
              <w:pStyle w:val="Paragraph0"/>
            </w:pPr>
            <w:r w:rsidRPr="00990D3B">
              <w:t>State Quality Strategy</w:t>
            </w:r>
          </w:p>
        </w:tc>
        <w:tc>
          <w:tcPr>
            <w:tcW w:w="4087" w:type="pct"/>
            <w:tcMar>
              <w:top w:w="115" w:type="dxa"/>
              <w:left w:w="115" w:type="dxa"/>
              <w:right w:w="115" w:type="dxa"/>
            </w:tcMar>
          </w:tcPr>
          <w:p w:rsidR="00940827" w:rsidRPr="00990D3B" w:rsidP="008A47B2" w14:paraId="1F2CB076" w14:textId="4FAA794D">
            <w:pPr>
              <w:pStyle w:val="Paragraph0"/>
            </w:pPr>
            <w:r w:rsidRPr="00990D3B">
              <w:t xml:space="preserve">A strategy to assess and improve the quality of Medicaid managed care services within a state, per </w:t>
            </w:r>
            <w:r w:rsidRPr="00990D3B" w:rsidR="001C7FC0">
              <w:t>42 C.F.R.</w:t>
            </w:r>
            <w:r w:rsidRPr="00990D3B" w:rsidR="007854DF">
              <w:t xml:space="preserve"> </w:t>
            </w:r>
            <w:r w:rsidRPr="00990D3B">
              <w:t xml:space="preserve">438.340 and adopted by CHIP at </w:t>
            </w:r>
            <w:r w:rsidRPr="00990D3B" w:rsidR="001C7FC0">
              <w:t>42 C.F.R.</w:t>
            </w:r>
            <w:r w:rsidRPr="00990D3B" w:rsidR="007854DF">
              <w:t xml:space="preserve"> </w:t>
            </w:r>
            <w:r w:rsidRPr="00990D3B">
              <w:t xml:space="preserve">457.1240(e). </w:t>
            </w:r>
          </w:p>
        </w:tc>
      </w:tr>
      <w:tr w14:paraId="18C81C43" w14:textId="77777777" w:rsidTr="008A4044">
        <w:tblPrEx>
          <w:tblW w:w="5000" w:type="pct"/>
          <w:tblLayout w:type="fixed"/>
          <w:tblLook w:val="04A0"/>
        </w:tblPrEx>
        <w:trPr>
          <w:cantSplit/>
        </w:trPr>
        <w:tc>
          <w:tcPr>
            <w:tcW w:w="913" w:type="pct"/>
          </w:tcPr>
          <w:p w:rsidR="00940827" w:rsidRPr="00990D3B" w:rsidP="008A47B2" w14:paraId="54AF1463" w14:textId="249627E1">
            <w:pPr>
              <w:pStyle w:val="Paragraph0"/>
            </w:pPr>
            <w:r w:rsidRPr="00990D3B">
              <w:t>Statistical Significance</w:t>
            </w:r>
          </w:p>
        </w:tc>
        <w:tc>
          <w:tcPr>
            <w:tcW w:w="4087" w:type="pct"/>
            <w:tcMar>
              <w:top w:w="115" w:type="dxa"/>
              <w:left w:w="115" w:type="dxa"/>
              <w:right w:w="115" w:type="dxa"/>
            </w:tcMar>
          </w:tcPr>
          <w:p w:rsidR="00940827" w:rsidRPr="00990D3B" w:rsidP="008A47B2" w14:paraId="31D6CECB" w14:textId="77777777">
            <w:pPr>
              <w:pStyle w:val="Paragraph0"/>
            </w:pPr>
            <w:r w:rsidRPr="00990D3B">
              <w:t xml:space="preserve">A measure of whether research findings are meaningful. More specifically, whether results match </w:t>
            </w:r>
            <w:r w:rsidRPr="00990D3B">
              <w:t>closely to</w:t>
            </w:r>
            <w:r w:rsidRPr="00990D3B">
              <w:t xml:space="preserve"> what one would expect to find in an entire population. The test for statistical significance requires (1) deciding an alpha level, meaning, the error rate (typically 5 percent or less), (2) collecting data, (3) calculating the test statistic, and (4) comparing the calculated test statistic with a statistic from a statistical table. </w:t>
            </w:r>
          </w:p>
        </w:tc>
      </w:tr>
      <w:tr w14:paraId="09F3C75C" w14:textId="77777777" w:rsidTr="008A4044">
        <w:tblPrEx>
          <w:tblW w:w="5000" w:type="pct"/>
          <w:tblLayout w:type="fixed"/>
          <w:tblLook w:val="04A0"/>
        </w:tblPrEx>
        <w:trPr>
          <w:cantSplit/>
        </w:trPr>
        <w:tc>
          <w:tcPr>
            <w:tcW w:w="913" w:type="pct"/>
          </w:tcPr>
          <w:p w:rsidR="00940827" w:rsidRPr="00990D3B" w:rsidP="008A47B2" w14:paraId="3CF3060D" w14:textId="2F84B2B0">
            <w:pPr>
              <w:pStyle w:val="Paragraph0"/>
            </w:pPr>
            <w:r w:rsidRPr="00990D3B">
              <w:t>Study Population</w:t>
            </w:r>
          </w:p>
        </w:tc>
        <w:tc>
          <w:tcPr>
            <w:tcW w:w="4087" w:type="pct"/>
            <w:tcMar>
              <w:top w:w="115" w:type="dxa"/>
              <w:left w:w="115" w:type="dxa"/>
              <w:right w:w="115" w:type="dxa"/>
            </w:tcMar>
          </w:tcPr>
          <w:p w:rsidR="00940827" w:rsidRPr="00990D3B" w:rsidP="008A47B2" w14:paraId="6AB3ACA9" w14:textId="77777777">
            <w:pPr>
              <w:pStyle w:val="Paragraph0"/>
            </w:pPr>
            <w:r w:rsidRPr="00990D3B">
              <w:t xml:space="preserve">The population identified for the study. It may include the entire population or a sample of the population depending on the nature of the study question and available data. </w:t>
            </w:r>
          </w:p>
        </w:tc>
      </w:tr>
      <w:tr w14:paraId="5E705B48" w14:textId="77777777" w:rsidTr="008A4044">
        <w:tblPrEx>
          <w:tblW w:w="5000" w:type="pct"/>
          <w:tblLayout w:type="fixed"/>
          <w:tblLook w:val="04A0"/>
        </w:tblPrEx>
        <w:trPr>
          <w:cantSplit/>
        </w:trPr>
        <w:tc>
          <w:tcPr>
            <w:tcW w:w="913" w:type="pct"/>
          </w:tcPr>
          <w:p w:rsidR="00940827" w:rsidRPr="00990D3B" w:rsidP="008A47B2" w14:paraId="5F1439FF" w14:textId="10C7DC83">
            <w:pPr>
              <w:pStyle w:val="Paragraph0"/>
            </w:pPr>
            <w:r w:rsidRPr="00990D3B">
              <w:t>Study Question</w:t>
            </w:r>
          </w:p>
        </w:tc>
        <w:tc>
          <w:tcPr>
            <w:tcW w:w="4087" w:type="pct"/>
            <w:tcMar>
              <w:top w:w="115" w:type="dxa"/>
              <w:left w:w="115" w:type="dxa"/>
              <w:right w:w="115" w:type="dxa"/>
            </w:tcMar>
          </w:tcPr>
          <w:p w:rsidR="00940827" w:rsidRPr="00990D3B" w:rsidP="008A47B2" w14:paraId="246C0108" w14:textId="77777777">
            <w:pPr>
              <w:pStyle w:val="Paragraph0"/>
            </w:pPr>
            <w:r w:rsidRPr="00990D3B">
              <w:t>Identifies the focus of the study and sets the framework for data collection and analysis. The study question should be clear, concise, and answerable.</w:t>
            </w:r>
          </w:p>
        </w:tc>
      </w:tr>
      <w:tr w14:paraId="20E10D33" w14:textId="77777777" w:rsidTr="008A4044">
        <w:tblPrEx>
          <w:tblW w:w="5000" w:type="pct"/>
          <w:tblLayout w:type="fixed"/>
          <w:tblLook w:val="04A0"/>
        </w:tblPrEx>
        <w:trPr>
          <w:cantSplit/>
        </w:trPr>
        <w:tc>
          <w:tcPr>
            <w:tcW w:w="913" w:type="pct"/>
          </w:tcPr>
          <w:p w:rsidR="00940827" w:rsidRPr="00990D3B" w:rsidP="008A47B2" w14:paraId="2E633B16" w14:textId="5E634782">
            <w:pPr>
              <w:pStyle w:val="Paragraph0"/>
            </w:pPr>
            <w:r w:rsidRPr="00990D3B">
              <w:t>Study Variable</w:t>
            </w:r>
          </w:p>
        </w:tc>
        <w:tc>
          <w:tcPr>
            <w:tcW w:w="4087" w:type="pct"/>
            <w:tcMar>
              <w:top w:w="115" w:type="dxa"/>
              <w:left w:w="115" w:type="dxa"/>
              <w:right w:w="115" w:type="dxa"/>
            </w:tcMar>
          </w:tcPr>
          <w:p w:rsidR="00940827" w:rsidRPr="00990D3B" w:rsidP="008A47B2" w14:paraId="7794C1F0" w14:textId="77777777">
            <w:pPr>
              <w:pStyle w:val="Paragraph0"/>
            </w:pPr>
            <w:r w:rsidRPr="00990D3B">
              <w:t>A measurable characteristic, quality, trait, or attribute of a particular individual, object, or situation being studied.</w:t>
            </w:r>
          </w:p>
        </w:tc>
      </w:tr>
      <w:tr w14:paraId="02951822" w14:textId="77777777" w:rsidTr="008A4044">
        <w:tblPrEx>
          <w:tblW w:w="5000" w:type="pct"/>
          <w:tblLayout w:type="fixed"/>
          <w:tblLook w:val="04A0"/>
        </w:tblPrEx>
        <w:trPr>
          <w:cantSplit/>
        </w:trPr>
        <w:tc>
          <w:tcPr>
            <w:tcW w:w="913" w:type="pct"/>
          </w:tcPr>
          <w:p w:rsidR="00940827" w:rsidRPr="00990D3B" w:rsidP="008A47B2" w14:paraId="07B5EFED" w14:textId="21BB2FBA">
            <w:pPr>
              <w:pStyle w:val="Paragraph0"/>
            </w:pPr>
            <w:r w:rsidRPr="00990D3B">
              <w:t>Sustained Improvement</w:t>
            </w:r>
          </w:p>
        </w:tc>
        <w:tc>
          <w:tcPr>
            <w:tcW w:w="4087" w:type="pct"/>
            <w:tcMar>
              <w:top w:w="115" w:type="dxa"/>
              <w:left w:w="115" w:type="dxa"/>
              <w:right w:w="115" w:type="dxa"/>
            </w:tcMar>
          </w:tcPr>
          <w:p w:rsidR="00940827" w:rsidRPr="00990D3B" w:rsidP="008A47B2" w14:paraId="22D28DC2" w14:textId="77777777">
            <w:pPr>
              <w:pStyle w:val="Paragraph0"/>
            </w:pPr>
            <w:r w:rsidRPr="00990D3B">
              <w:t xml:space="preserve">Significant changes in processes or performance as demonstrated through repeated measurements over comparable time periods using the same methodology as in the baseline measurement. </w:t>
            </w:r>
          </w:p>
        </w:tc>
      </w:tr>
      <w:tr w14:paraId="318A3180" w14:textId="77777777" w:rsidTr="008A4044">
        <w:tblPrEx>
          <w:tblW w:w="5000" w:type="pct"/>
          <w:tblLayout w:type="fixed"/>
          <w:tblLook w:val="04A0"/>
        </w:tblPrEx>
        <w:trPr>
          <w:cantSplit/>
        </w:trPr>
        <w:tc>
          <w:tcPr>
            <w:tcW w:w="913" w:type="pct"/>
          </w:tcPr>
          <w:p w:rsidR="00940827" w:rsidRPr="00990D3B" w:rsidP="008A47B2" w14:paraId="56138471" w14:textId="2522C2D2">
            <w:pPr>
              <w:pStyle w:val="Paragraph0"/>
            </w:pPr>
            <w:r w:rsidRPr="00990D3B">
              <w:t>Target Population</w:t>
            </w:r>
          </w:p>
        </w:tc>
        <w:tc>
          <w:tcPr>
            <w:tcW w:w="4087" w:type="pct"/>
            <w:tcMar>
              <w:top w:w="115" w:type="dxa"/>
              <w:left w:w="115" w:type="dxa"/>
              <w:right w:w="115" w:type="dxa"/>
            </w:tcMar>
          </w:tcPr>
          <w:p w:rsidR="00940827" w:rsidRPr="00990D3B" w:rsidP="008A47B2" w14:paraId="1581D9B8" w14:textId="77777777">
            <w:pPr>
              <w:pStyle w:val="Paragraph0"/>
            </w:pPr>
            <w:r w:rsidRPr="00990D3B">
              <w:t xml:space="preserve">The group of individuals that are the intended recipient of a particular service or intervention. </w:t>
            </w:r>
          </w:p>
        </w:tc>
      </w:tr>
      <w:tr w14:paraId="600A9038" w14:textId="77777777" w:rsidTr="008A4044">
        <w:tblPrEx>
          <w:tblW w:w="5000" w:type="pct"/>
          <w:tblLayout w:type="fixed"/>
          <w:tblLook w:val="04A0"/>
        </w:tblPrEx>
        <w:trPr>
          <w:cantSplit/>
        </w:trPr>
        <w:tc>
          <w:tcPr>
            <w:tcW w:w="913" w:type="pct"/>
          </w:tcPr>
          <w:p w:rsidR="00940827" w:rsidRPr="00990D3B" w:rsidP="008A47B2" w14:paraId="5B8E1BF4" w14:textId="4198BA5F">
            <w:pPr>
              <w:pStyle w:val="Paragraph0"/>
            </w:pPr>
            <w:r w:rsidRPr="00990D3B">
              <w:t>Transformed Medicaid Statistical Information System (T-MSIS)</w:t>
            </w:r>
          </w:p>
        </w:tc>
        <w:tc>
          <w:tcPr>
            <w:tcW w:w="4087" w:type="pct"/>
            <w:tcMar>
              <w:top w:w="115" w:type="dxa"/>
              <w:left w:w="115" w:type="dxa"/>
              <w:right w:w="115" w:type="dxa"/>
            </w:tcMar>
          </w:tcPr>
          <w:p w:rsidR="00940827" w:rsidRPr="00990D3B" w:rsidP="008A47B2" w14:paraId="2F07F9E5" w14:textId="77777777">
            <w:pPr>
              <w:pStyle w:val="Paragraph0"/>
            </w:pPr>
            <w:r w:rsidRPr="00990D3B">
              <w:t>A critical data and systems component of the CMS Medicaid and CHIP Business Information System (MACBIS). CMS has been working with states to transform the MSIS system, which was used to (1) collect utilization and claims data as well as other key Medicaid and CHIP program information, (2) keep pace with the data needed to improve beneficiary quality of care, (3) assess beneficiary care and enrollment, (4) improve program integrity, and (5) support states, the private market, and stakeholders with key information. The T-MSIS data set contains (1) enhanced information about beneficiary eligibility, (2) beneficiary and provider enrollment, (3) service utilization, (4) claims and managed care data, and (5) expenditure data for Medicaid and CHIP.</w:t>
            </w:r>
          </w:p>
        </w:tc>
      </w:tr>
      <w:tr w14:paraId="121A80FA" w14:textId="77777777" w:rsidTr="008A4044">
        <w:tblPrEx>
          <w:tblW w:w="5000" w:type="pct"/>
          <w:tblLayout w:type="fixed"/>
          <w:tblLook w:val="04A0"/>
        </w:tblPrEx>
        <w:trPr>
          <w:cantSplit/>
        </w:trPr>
        <w:tc>
          <w:tcPr>
            <w:tcW w:w="913" w:type="pct"/>
          </w:tcPr>
          <w:p w:rsidR="00940827" w:rsidRPr="00990D3B" w:rsidP="008A47B2" w14:paraId="46956FB9" w14:textId="1B329E50">
            <w:pPr>
              <w:pStyle w:val="Paragraph0"/>
            </w:pPr>
            <w:r w:rsidRPr="00990D3B">
              <w:t>T-test</w:t>
            </w:r>
          </w:p>
        </w:tc>
        <w:tc>
          <w:tcPr>
            <w:tcW w:w="4087" w:type="pct"/>
            <w:tcMar>
              <w:top w:w="115" w:type="dxa"/>
              <w:left w:w="115" w:type="dxa"/>
              <w:right w:w="115" w:type="dxa"/>
            </w:tcMar>
          </w:tcPr>
          <w:p w:rsidR="00940827" w:rsidRPr="00990D3B" w:rsidP="008A47B2" w14:paraId="4040D43A" w14:textId="77777777">
            <w:pPr>
              <w:pStyle w:val="Paragraph0"/>
            </w:pPr>
            <w:r w:rsidRPr="00990D3B">
              <w:t>Most commonly used</w:t>
            </w:r>
            <w:r w:rsidRPr="00990D3B">
              <w:t xml:space="preserve"> with small sample sizes, this test asks whether a difference between two samples/groups’ averages is unlikely to have occurred because of random chance in sample selection. A difference is more likely to be meaningful or if (1) the difference between the averages is large, (2) the sample size is large, and (3) the standard deviation is low.</w:t>
            </w:r>
          </w:p>
        </w:tc>
      </w:tr>
      <w:tr w14:paraId="40F0C870" w14:textId="77777777" w:rsidTr="008A4044">
        <w:tblPrEx>
          <w:tblW w:w="5000" w:type="pct"/>
          <w:tblLayout w:type="fixed"/>
          <w:tblLook w:val="04A0"/>
        </w:tblPrEx>
        <w:trPr>
          <w:cantSplit/>
        </w:trPr>
        <w:tc>
          <w:tcPr>
            <w:tcW w:w="913" w:type="pct"/>
          </w:tcPr>
          <w:p w:rsidR="00940827" w:rsidRPr="00990D3B" w:rsidP="008A47B2" w14:paraId="0C587DE2" w14:textId="7FF027B1">
            <w:pPr>
              <w:pStyle w:val="Paragraph0"/>
            </w:pPr>
            <w:r w:rsidRPr="00990D3B">
              <w:t>Unit of Analysis</w:t>
            </w:r>
          </w:p>
        </w:tc>
        <w:tc>
          <w:tcPr>
            <w:tcW w:w="4087" w:type="pct"/>
            <w:tcMar>
              <w:top w:w="115" w:type="dxa"/>
              <w:left w:w="115" w:type="dxa"/>
              <w:right w:w="115" w:type="dxa"/>
            </w:tcMar>
          </w:tcPr>
          <w:p w:rsidR="00940827" w:rsidRPr="00990D3B" w:rsidP="008A47B2" w14:paraId="35DED727" w14:textId="77777777">
            <w:pPr>
              <w:pStyle w:val="Paragraph0"/>
            </w:pPr>
            <w:r w:rsidRPr="00990D3B">
              <w:t>The entity (“what” or “whom”) that is being studied.</w:t>
            </w:r>
          </w:p>
        </w:tc>
      </w:tr>
      <w:tr w14:paraId="0281B046" w14:textId="77777777" w:rsidTr="008A4044">
        <w:tblPrEx>
          <w:tblW w:w="5000" w:type="pct"/>
          <w:tblLayout w:type="fixed"/>
          <w:tblLook w:val="04A0"/>
        </w:tblPrEx>
        <w:trPr>
          <w:cantSplit/>
        </w:trPr>
        <w:tc>
          <w:tcPr>
            <w:tcW w:w="913" w:type="pct"/>
          </w:tcPr>
          <w:p w:rsidR="00940827" w:rsidRPr="00990D3B" w:rsidP="008A47B2" w14:paraId="2C42DDDB" w14:textId="3B2FC031">
            <w:pPr>
              <w:pStyle w:val="Paragraph0"/>
            </w:pPr>
            <w:r w:rsidRPr="00990D3B">
              <w:t>Validation</w:t>
            </w:r>
          </w:p>
        </w:tc>
        <w:tc>
          <w:tcPr>
            <w:tcW w:w="4087" w:type="pct"/>
            <w:tcMar>
              <w:top w:w="115" w:type="dxa"/>
              <w:left w:w="115" w:type="dxa"/>
              <w:right w:w="115" w:type="dxa"/>
            </w:tcMar>
          </w:tcPr>
          <w:p w:rsidR="00940827" w:rsidRPr="00990D3B" w:rsidP="008A47B2" w14:paraId="51F6C21D" w14:textId="77777777">
            <w:pPr>
              <w:pStyle w:val="Paragraph0"/>
            </w:pPr>
            <w:r w:rsidRPr="00990D3B">
              <w:t>The review of information, data, and procedures to determine the extent to which it is accurate, reliable, free from bias, and meets standards for data collection.</w:t>
            </w:r>
          </w:p>
        </w:tc>
      </w:tr>
      <w:tr w14:paraId="7000FB05" w14:textId="77777777" w:rsidTr="008A4044">
        <w:tblPrEx>
          <w:tblW w:w="5000" w:type="pct"/>
          <w:tblLayout w:type="fixed"/>
          <w:tblLook w:val="04A0"/>
        </w:tblPrEx>
        <w:trPr>
          <w:cantSplit/>
        </w:trPr>
        <w:tc>
          <w:tcPr>
            <w:tcW w:w="913" w:type="pct"/>
          </w:tcPr>
          <w:p w:rsidR="00940827" w:rsidRPr="00990D3B" w:rsidP="008A47B2" w14:paraId="3EB8AD07" w14:textId="31ECDA43">
            <w:pPr>
              <w:pStyle w:val="Paragraph0"/>
            </w:pPr>
            <w:r w:rsidRPr="00990D3B">
              <w:t>Validity</w:t>
            </w:r>
          </w:p>
        </w:tc>
        <w:tc>
          <w:tcPr>
            <w:tcW w:w="4087" w:type="pct"/>
            <w:tcMar>
              <w:top w:w="115" w:type="dxa"/>
              <w:left w:w="115" w:type="dxa"/>
              <w:right w:w="115" w:type="dxa"/>
            </w:tcMar>
          </w:tcPr>
          <w:p w:rsidR="00940827" w:rsidRPr="00990D3B" w:rsidP="008A47B2" w14:paraId="6BD54690" w14:textId="77777777">
            <w:pPr>
              <w:pStyle w:val="Paragraph0"/>
            </w:pPr>
            <w:r w:rsidRPr="00990D3B">
              <w:t xml:space="preserve">The degree to which a tool measures what it is intended to measure. </w:t>
            </w:r>
          </w:p>
        </w:tc>
      </w:tr>
      <w:tr w14:paraId="376F5DBD" w14:textId="77777777" w:rsidTr="008A4044">
        <w:tblPrEx>
          <w:tblW w:w="5000" w:type="pct"/>
          <w:tblLayout w:type="fixed"/>
          <w:tblLook w:val="04A0"/>
        </w:tblPrEx>
        <w:trPr>
          <w:cantSplit/>
        </w:trPr>
        <w:tc>
          <w:tcPr>
            <w:tcW w:w="913" w:type="pct"/>
          </w:tcPr>
          <w:p w:rsidR="00940827" w:rsidRPr="00990D3B" w:rsidP="008A47B2" w14:paraId="25D48901" w14:textId="667E1A99">
            <w:pPr>
              <w:pStyle w:val="Paragraph0"/>
            </w:pPr>
            <w:r w:rsidRPr="00990D3B">
              <w:t>Verification</w:t>
            </w:r>
          </w:p>
        </w:tc>
        <w:tc>
          <w:tcPr>
            <w:tcW w:w="4087" w:type="pct"/>
            <w:tcMar>
              <w:top w:w="115" w:type="dxa"/>
              <w:left w:w="115" w:type="dxa"/>
              <w:right w:w="115" w:type="dxa"/>
            </w:tcMar>
          </w:tcPr>
          <w:p w:rsidR="00940827" w:rsidRPr="00990D3B" w:rsidP="008A47B2" w14:paraId="66787D64" w14:textId="77777777">
            <w:pPr>
              <w:pStyle w:val="Paragraph0"/>
            </w:pPr>
            <w:r w:rsidRPr="00990D3B">
              <w:t>The internal review of documentation, data, measures, and assessments to determine if measurements are accurate.</w:t>
            </w:r>
          </w:p>
        </w:tc>
      </w:tr>
      <w:tr w14:paraId="2AC3E22C" w14:textId="77777777" w:rsidTr="008A4044">
        <w:tblPrEx>
          <w:tblW w:w="5000" w:type="pct"/>
          <w:tblLayout w:type="fixed"/>
          <w:tblLook w:val="04A0"/>
        </w:tblPrEx>
        <w:trPr>
          <w:cantSplit/>
        </w:trPr>
        <w:tc>
          <w:tcPr>
            <w:tcW w:w="913" w:type="pct"/>
          </w:tcPr>
          <w:p w:rsidR="00940827" w:rsidRPr="00990D3B" w:rsidP="008A47B2" w14:paraId="2DEC8EEE" w14:textId="0ECF4CC2">
            <w:pPr>
              <w:pStyle w:val="Paragraph0"/>
            </w:pPr>
            <w:r w:rsidRPr="00990D3B">
              <w:t>Vital Records</w:t>
            </w:r>
          </w:p>
        </w:tc>
        <w:tc>
          <w:tcPr>
            <w:tcW w:w="4087" w:type="pct"/>
            <w:tcMar>
              <w:top w:w="115" w:type="dxa"/>
              <w:left w:w="115" w:type="dxa"/>
              <w:right w:w="115" w:type="dxa"/>
            </w:tcMar>
          </w:tcPr>
          <w:p w:rsidR="00940827" w:rsidRPr="00990D3B" w:rsidP="008A47B2" w14:paraId="361DA807" w14:textId="77777777">
            <w:pPr>
              <w:pStyle w:val="Paragraph0"/>
            </w:pPr>
            <w:r w:rsidRPr="00990D3B">
              <w:t xml:space="preserve">Records of life events </w:t>
            </w:r>
            <w:r w:rsidRPr="00990D3B">
              <w:t>kept</w:t>
            </w:r>
            <w:r w:rsidRPr="00990D3B">
              <w:t xml:space="preserve"> under government authority. These include life events such as birth certificates, marriage licenses, and death certificates.</w:t>
            </w:r>
          </w:p>
        </w:tc>
      </w:tr>
    </w:tbl>
    <w:p w:rsidR="00DB539C" w:rsidRPr="00990D3B" w:rsidP="00DB539C" w14:paraId="17526422" w14:textId="7D5AA262">
      <w:pPr>
        <w:pStyle w:val="EQRNormalSSP1"/>
        <w:spacing w:after="120"/>
        <w:rPr>
          <w:b/>
        </w:rPr>
      </w:pPr>
      <w:r w:rsidRPr="00990D3B">
        <w:rPr>
          <w:b/>
        </w:rPr>
        <w:br w:type="textWrapping" w:clear="all"/>
      </w:r>
    </w:p>
    <w:p w:rsidR="00DB539C" w:rsidRPr="00990D3B" w:rsidP="00DB539C" w14:paraId="4ED8224D" w14:textId="77777777">
      <w:pPr>
        <w:pStyle w:val="EQRNormalSSP1"/>
        <w:spacing w:after="120"/>
        <w:rPr>
          <w:b/>
        </w:rPr>
      </w:pPr>
    </w:p>
    <w:p w:rsidR="00F61F4F" w:rsidP="00420F3B" w14:paraId="2A9C87A6" w14:textId="7A6026A1">
      <w:pPr>
        <w:pStyle w:val="Paragraph0"/>
        <w:spacing w:after="0"/>
        <w:jc w:val="center"/>
      </w:pPr>
      <w:r w:rsidRPr="00990D3B">
        <w:t xml:space="preserve">END OF APPENDIX </w:t>
      </w:r>
      <w:r w:rsidRPr="00990D3B" w:rsidR="00C15907">
        <w:t>E</w:t>
      </w:r>
    </w:p>
    <w:sectPr w:rsidSect="00477F36">
      <w:headerReference w:type="default" r:id="rId253"/>
      <w:footerReference w:type="even" r:id="rId254"/>
      <w:footerReference w:type="default" r:id="rId255"/>
      <w:headerReference w:type="first" r:id="rId256"/>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endnote w:type="separator" w:id="0">
    <w:p w:rsidR="005E6933" w:rsidRPr="00D17D3A" w:rsidP="002E3E35" w14:paraId="44DA1A61" w14:textId="77777777">
      <w:pPr>
        <w:rPr>
          <w:sz w:val="23"/>
          <w:szCs w:val="23"/>
        </w:rPr>
      </w:pPr>
      <w:r w:rsidRPr="00D17D3A">
        <w:rPr>
          <w:sz w:val="23"/>
          <w:szCs w:val="23"/>
        </w:rPr>
        <w:separator/>
      </w:r>
    </w:p>
    <w:p w:rsidR="005E6933" w:rsidRPr="00D17D3A" w14:paraId="7E32CB09" w14:textId="77777777">
      <w:pPr>
        <w:rPr>
          <w:sz w:val="23"/>
          <w:szCs w:val="23"/>
        </w:rPr>
      </w:pPr>
    </w:p>
    <w:p w:rsidR="005E6933" w:rsidRPr="00D17D3A" w14:paraId="7DA40344" w14:textId="77777777">
      <w:pPr>
        <w:rPr>
          <w:sz w:val="23"/>
          <w:szCs w:val="23"/>
        </w:rPr>
      </w:pPr>
    </w:p>
  </w:endnote>
  <w:endnote w:type="continuationSeparator" w:id="1">
    <w:p w:rsidR="005E6933" w:rsidRPr="00D17D3A" w:rsidP="002E3E35" w14:paraId="592D09E5" w14:textId="77777777">
      <w:pPr>
        <w:rPr>
          <w:sz w:val="23"/>
          <w:szCs w:val="23"/>
        </w:rPr>
      </w:pPr>
      <w:r w:rsidRPr="00D17D3A">
        <w:rPr>
          <w:sz w:val="23"/>
          <w:szCs w:val="23"/>
        </w:rPr>
        <w:continuationSeparator/>
      </w:r>
    </w:p>
    <w:p w:rsidR="005E6933" w:rsidRPr="00D17D3A" w14:paraId="2FE17474" w14:textId="77777777">
      <w:pPr>
        <w:rPr>
          <w:sz w:val="23"/>
          <w:szCs w:val="23"/>
        </w:rPr>
      </w:pPr>
    </w:p>
    <w:p w:rsidR="005E6933" w:rsidRPr="00D17D3A" w14:paraId="773D4CF2" w14:textId="77777777">
      <w:pPr>
        <w:rPr>
          <w:sz w:val="23"/>
          <w:szCs w:val="23"/>
        </w:rPr>
      </w:pPr>
    </w:p>
  </w:endnote>
  <w:endnote w:type="continuationNotice" w:id="2">
    <w:p w:rsidR="005E6933" w14:paraId="5E4927B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charset w:val="00"/>
    <w:family w:val="swiss"/>
    <w:pitch w:val="variable"/>
    <w:sig w:usb0="00000003" w:usb1="00000000" w:usb2="00000000" w:usb3="00000000" w:csb0="00000001" w:csb1="00000000"/>
  </w:font>
  <w:font w:name="Dotum">
    <w:panose1 w:val="020B0600000101010101"/>
    <w:charset w:val="81"/>
    <w:family w:val="swiss"/>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Zilla Slab SemiBold">
    <w:panose1 w:val="00000000000000000000"/>
    <w:charset w:val="00"/>
    <w:family w:val="auto"/>
    <w:pitch w:val="variable"/>
    <w:sig w:usb0="A00000FF" w:usb1="5001E47B" w:usb2="00000000" w:usb3="00000000" w:csb0="0000009B" w:csb1="00000000"/>
  </w:font>
  <w:font w:name="Bahnschrift">
    <w:panose1 w:val="020B0502040204020203"/>
    <w:charset w:val="00"/>
    <w:family w:val="swiss"/>
    <w:pitch w:val="variable"/>
    <w:sig w:usb0="A00002C7" w:usb1="00000002" w:usb2="00000000" w:usb3="00000000" w:csb0="0000019F" w:csb1="00000000"/>
  </w:font>
  <w:font w:name="MinionPro-Regular">
    <w:altName w:val="Arial"/>
    <w:charset w:val="4D"/>
    <w:family w:val="auto"/>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ZWAdobeF">
    <w:altName w:val="Calibri"/>
    <w:charset w:val="00"/>
    <w:family w:val="auto"/>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ED3FBC" w:rsidP="00ED3FBC" w14:paraId="23842332" w14:textId="3D266D17">
    <w:pPr>
      <w:pStyle w:val="NormalWeb"/>
      <w:spacing w:before="1080" w:after="600"/>
      <w:rPr>
        <w:rFonts w:ascii="Arial" w:hAnsi="Arial" w:cs="Arial"/>
        <w:sz w:val="16"/>
        <w:szCs w:val="16"/>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673565" w:rsidP="00673565" w14:paraId="4593EE9A" w14:textId="3AEB795F">
    <w:pPr>
      <w:pStyle w:val="Footer"/>
      <w:tabs>
        <w:tab w:val="clear" w:pos="9360"/>
        <w:tab w:val="right" w:pos="12960"/>
      </w:tabs>
    </w:pPr>
    <w:r>
      <w:tab/>
    </w:r>
    <w:sdt>
      <w:sdtPr>
        <w:rPr>
          <w:szCs w:val="19"/>
        </w:rPr>
        <w:id w:val="-841076600"/>
        <w:docPartObj>
          <w:docPartGallery w:val="Page Numbers (Bottom of Page)"/>
          <w:docPartUnique/>
        </w:docPartObj>
      </w:sdtPr>
      <w:sdtEndPr>
        <w:rPr>
          <w:szCs w:val="20"/>
        </w:rPr>
      </w:sdtEndPr>
      <w:sdtContent>
        <w:r>
          <w:t>INTRODUCTION</w:t>
        </w:r>
        <w:r w:rsidRPr="00D544BD">
          <w:t xml:space="preserve"> |</w:t>
        </w:r>
      </w:sdtContent>
    </w:sdt>
    <w:r w:rsidRPr="00D544BD">
      <w:t xml:space="preserve"> </w:t>
    </w:r>
    <w:r w:rsidRPr="001A207C">
      <w:rPr>
        <w:rFonts w:ascii="Arial Black" w:hAnsi="Arial Black"/>
      </w:rPr>
      <w:fldChar w:fldCharType="begin"/>
    </w:r>
    <w:r w:rsidRPr="001A207C">
      <w:rPr>
        <w:rFonts w:ascii="Arial Black" w:hAnsi="Arial Black"/>
      </w:rPr>
      <w:instrText xml:space="preserve"> PAGE  \* Arabic  \* MERGEFORMAT </w:instrText>
    </w:r>
    <w:r w:rsidRPr="001A207C">
      <w:rPr>
        <w:rFonts w:ascii="Arial Black" w:hAnsi="Arial Black"/>
      </w:rPr>
      <w:fldChar w:fldCharType="separate"/>
    </w:r>
    <w:r w:rsidRPr="001A207C">
      <w:rPr>
        <w:rFonts w:ascii="Arial Black" w:hAnsi="Arial Black"/>
      </w:rPr>
      <w:t>31</w:t>
    </w:r>
    <w:r w:rsidRPr="001A207C">
      <w:rPr>
        <w:rFonts w:ascii="Arial Black" w:hAnsi="Arial Black"/>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P="008B632F" w14:paraId="20BF3738" w14:textId="6FD776F9">
    <w:pPr>
      <w:pStyle w:val="Footer"/>
      <w:tabs>
        <w:tab w:val="clear" w:pos="9360"/>
        <w:tab w:val="right" w:pos="12960"/>
      </w:tabs>
    </w:pPr>
    <w:r>
      <w:tab/>
    </w:r>
    <w:sdt>
      <w:sdtPr>
        <w:rPr>
          <w:szCs w:val="19"/>
        </w:rPr>
        <w:id w:val="219405159"/>
        <w:docPartObj>
          <w:docPartGallery w:val="Page Numbers (Bottom of Page)"/>
          <w:docPartUnique/>
        </w:docPartObj>
      </w:sdtPr>
      <w:sdtEndPr>
        <w:rPr>
          <w:szCs w:val="20"/>
        </w:rPr>
      </w:sdtEndPr>
      <w:sdtContent>
        <w:r>
          <w:t>INTRODUCTION</w:t>
        </w:r>
        <w:r w:rsidRPr="00D544BD">
          <w:t xml:space="preserve"> |</w:t>
        </w:r>
      </w:sdtContent>
    </w:sdt>
    <w:r w:rsidRPr="00D544BD">
      <w:t xml:space="preserve"> </w:t>
    </w:r>
    <w:r w:rsidRPr="001A207C">
      <w:rPr>
        <w:rFonts w:ascii="Arial Black" w:hAnsi="Arial Black"/>
      </w:rPr>
      <w:fldChar w:fldCharType="begin"/>
    </w:r>
    <w:r w:rsidRPr="001A207C">
      <w:rPr>
        <w:rFonts w:ascii="Arial Black" w:hAnsi="Arial Black"/>
      </w:rPr>
      <w:instrText xml:space="preserve"> PAGE  \* Arabic  \* MERGEFORMAT </w:instrText>
    </w:r>
    <w:r w:rsidRPr="001A207C">
      <w:rPr>
        <w:rFonts w:ascii="Arial Black" w:hAnsi="Arial Black"/>
      </w:rPr>
      <w:fldChar w:fldCharType="separate"/>
    </w:r>
    <w:r>
      <w:rPr>
        <w:rFonts w:ascii="Arial Black" w:hAnsi="Arial Black"/>
      </w:rPr>
      <w:t>3</w:t>
    </w:r>
    <w:r w:rsidRPr="001A207C">
      <w:rPr>
        <w:rFonts w:ascii="Arial Black" w:hAnsi="Arial Black"/>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673565" w:rsidP="00673565" w14:paraId="09D3C7F3" w14:textId="77777777">
    <w:pPr>
      <w:pStyle w:val="Footer"/>
      <w:tabs>
        <w:tab w:val="clear" w:pos="9360"/>
        <w:tab w:val="right" w:pos="12960"/>
      </w:tabs>
    </w:pPr>
    <w:r>
      <w:tab/>
    </w:r>
    <w:sdt>
      <w:sdtPr>
        <w:rPr>
          <w:szCs w:val="19"/>
        </w:rPr>
        <w:id w:val="-1758822692"/>
        <w:docPartObj>
          <w:docPartGallery w:val="Page Numbers (Bottom of Page)"/>
          <w:docPartUnique/>
        </w:docPartObj>
      </w:sdtPr>
      <w:sdtEndPr>
        <w:rPr>
          <w:szCs w:val="20"/>
        </w:rPr>
      </w:sdtEndPr>
      <w:sdtContent>
        <w:r>
          <w:t>INTRODUCTION</w:t>
        </w:r>
        <w:r w:rsidRPr="00D544BD">
          <w:t xml:space="preserve"> |</w:t>
        </w:r>
      </w:sdtContent>
    </w:sdt>
    <w:r w:rsidRPr="00D544BD">
      <w:t xml:space="preserve"> </w:t>
    </w:r>
    <w:r w:rsidRPr="00DA624A">
      <w:rPr>
        <w:rFonts w:ascii="Arial Black" w:hAnsi="Arial Black"/>
      </w:rPr>
      <w:fldChar w:fldCharType="begin"/>
    </w:r>
    <w:r w:rsidRPr="00DA624A">
      <w:rPr>
        <w:rFonts w:ascii="Arial Black" w:hAnsi="Arial Black"/>
      </w:rPr>
      <w:instrText xml:space="preserve"> PAGE  \* Arabic  \* MERGEFORMAT </w:instrText>
    </w:r>
    <w:r w:rsidRPr="00DA624A">
      <w:rPr>
        <w:rFonts w:ascii="Arial Black" w:hAnsi="Arial Black"/>
      </w:rPr>
      <w:fldChar w:fldCharType="separate"/>
    </w:r>
    <w:r w:rsidRPr="00DA624A">
      <w:rPr>
        <w:rFonts w:ascii="Arial Black" w:hAnsi="Arial Black"/>
      </w:rPr>
      <w:t>31</w:t>
    </w:r>
    <w:r w:rsidRPr="00DA624A">
      <w:rPr>
        <w:rFonts w:ascii="Arial Black" w:hAnsi="Arial Black"/>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A45880" w14:paraId="10C6E516" w14:textId="430C66B1">
    <w:pPr>
      <w:pStyle w:val="Footer"/>
      <w:rPr>
        <w:szCs w:val="19"/>
      </w:rPr>
    </w:pPr>
    <w:r w:rsidRPr="004C1840">
      <w:rPr>
        <w:rFonts w:ascii="Arial Black" w:hAnsi="Arial Black"/>
        <w:b/>
        <w:szCs w:val="19"/>
      </w:rPr>
      <w:fldChar w:fldCharType="begin"/>
    </w:r>
    <w:r w:rsidRPr="004C1840">
      <w:rPr>
        <w:rFonts w:ascii="Arial Black" w:hAnsi="Arial Black"/>
        <w:b/>
        <w:szCs w:val="19"/>
      </w:rPr>
      <w:instrText xml:space="preserve"> PAGE   \* MERGEFORMAT </w:instrText>
    </w:r>
    <w:r w:rsidRPr="004C1840">
      <w:rPr>
        <w:rFonts w:ascii="Arial Black" w:hAnsi="Arial Black"/>
        <w:b/>
        <w:szCs w:val="19"/>
      </w:rPr>
      <w:fldChar w:fldCharType="separate"/>
    </w:r>
    <w:r>
      <w:rPr>
        <w:rFonts w:ascii="Arial Black" w:hAnsi="Arial Black"/>
        <w:b/>
        <w:szCs w:val="19"/>
      </w:rPr>
      <w:t>18</w:t>
    </w:r>
    <w:r w:rsidRPr="004C1840">
      <w:rPr>
        <w:rFonts w:ascii="Arial Black" w:hAnsi="Arial Black"/>
        <w:szCs w:val="19"/>
      </w:rPr>
      <w:fldChar w:fldCharType="end"/>
    </w:r>
    <w:r w:rsidRPr="004C1840">
      <w:rPr>
        <w:szCs w:val="19"/>
      </w:rPr>
      <w:t xml:space="preserve"> | </w:t>
    </w:r>
    <w:r w:rsidR="00C359B7">
      <w:rPr>
        <w:noProof/>
      </w:rPr>
      <mc:AlternateContent>
        <mc:Choice Requires="wps">
          <w:drawing>
            <wp:anchor distT="0" distB="0" distL="114300" distR="114300" simplePos="0" relativeHeight="251662336" behindDoc="1" locked="1" layoutInCell="1" allowOverlap="1">
              <wp:simplePos x="0" y="0"/>
              <wp:positionH relativeFrom="page">
                <wp:posOffset>0</wp:posOffset>
              </wp:positionH>
              <wp:positionV relativeFrom="page">
                <wp:posOffset>514350</wp:posOffset>
              </wp:positionV>
              <wp:extent cx="7781290" cy="45720"/>
              <wp:effectExtent l="0" t="0" r="0" b="0"/>
              <wp:wrapNone/>
              <wp:docPr id="2025809905" name="Rectangle 43"/>
              <wp:cNvGraphicFramePr/>
              <a:graphic xmlns:a="http://schemas.openxmlformats.org/drawingml/2006/main">
                <a:graphicData uri="http://schemas.microsoft.com/office/word/2010/wordprocessingShape">
                  <wps:wsp xmlns:wps="http://schemas.microsoft.com/office/word/2010/wordprocessingShape">
                    <wps:cNvSpPr/>
                    <wps:spPr>
                      <a:xfrm>
                        <a:off x="0" y="0"/>
                        <a:ext cx="7781290" cy="45720"/>
                      </a:xfrm>
                      <a:prstGeom prst="rect">
                        <a:avLst/>
                      </a:prstGeom>
                      <a:solidFill>
                        <a:srgbClr val="0082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3" o:spid="_x0000_s2058" style="width:612.7pt;height:3.6pt;margin-top:40.5pt;margin-left:0;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middle;z-index:-251653120" fillcolor="#00828c" stroked="f" strokeweight="1pt">
              <w10:anchorlock/>
            </v:rect>
          </w:pict>
        </mc:Fallback>
      </mc:AlternateContent>
    </w:r>
    <w:r>
      <w:t>INTRODUCTION</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673565" w:rsidP="00673565" w14:paraId="036609D9" w14:textId="3C45A508">
    <w:pPr>
      <w:pStyle w:val="Footer"/>
      <w:tabs>
        <w:tab w:val="clear" w:pos="9360"/>
        <w:tab w:val="right" w:pos="12960"/>
      </w:tabs>
    </w:pPr>
    <w:r>
      <w:tab/>
    </w:r>
    <w:sdt>
      <w:sdtPr>
        <w:rPr>
          <w:szCs w:val="19"/>
        </w:rPr>
        <w:id w:val="-1912918762"/>
        <w:docPartObj>
          <w:docPartGallery w:val="Page Numbers (Bottom of Page)"/>
          <w:docPartUnique/>
        </w:docPartObj>
      </w:sdtPr>
      <w:sdtEndPr>
        <w:rPr>
          <w:szCs w:val="20"/>
        </w:rPr>
      </w:sdtEndPr>
      <w:sdtContent>
        <w:r>
          <w:t>INTRODUCTION</w:t>
        </w:r>
        <w:r w:rsidRPr="00D544BD">
          <w:t xml:space="preserve"> |</w:t>
        </w:r>
      </w:sdtContent>
    </w:sdt>
    <w:r w:rsidRPr="00D544BD">
      <w:t xml:space="preserve"> </w:t>
    </w:r>
    <w:r w:rsidRPr="00A45880">
      <w:rPr>
        <w:rFonts w:ascii="Arial Black" w:hAnsi="Arial Black"/>
        <w:bCs/>
      </w:rPr>
      <w:fldChar w:fldCharType="begin"/>
    </w:r>
    <w:r w:rsidRPr="00A45880">
      <w:rPr>
        <w:rFonts w:ascii="Arial Black" w:hAnsi="Arial Black"/>
        <w:bCs/>
      </w:rPr>
      <w:instrText xml:space="preserve"> PAGE  \* Arabic  \* MERGEFORMAT </w:instrText>
    </w:r>
    <w:r w:rsidRPr="00A45880">
      <w:rPr>
        <w:rFonts w:ascii="Arial Black" w:hAnsi="Arial Black"/>
        <w:bCs/>
      </w:rPr>
      <w:fldChar w:fldCharType="separate"/>
    </w:r>
    <w:r w:rsidRPr="00A45880">
      <w:rPr>
        <w:rFonts w:ascii="Arial Black" w:hAnsi="Arial Black"/>
        <w:bCs/>
      </w:rPr>
      <w:t>31</w:t>
    </w:r>
    <w:r w:rsidRPr="00A45880">
      <w:rPr>
        <w:rFonts w:ascii="Arial Black" w:hAnsi="Arial Black"/>
        <w:bCs/>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A45880" w:rsidP="00A45880" w14:paraId="18B94CA2" w14:textId="3BDA93CA">
    <w:pPr>
      <w:pStyle w:val="Footer"/>
      <w:tabs>
        <w:tab w:val="clear" w:pos="9360"/>
        <w:tab w:val="right" w:pos="12960"/>
      </w:tabs>
    </w:pPr>
    <w:r>
      <w:tab/>
    </w:r>
    <w:sdt>
      <w:sdtPr>
        <w:rPr>
          <w:szCs w:val="19"/>
        </w:rPr>
        <w:id w:val="-434818653"/>
        <w:docPartObj>
          <w:docPartGallery w:val="Page Numbers (Bottom of Page)"/>
          <w:docPartUnique/>
        </w:docPartObj>
      </w:sdtPr>
      <w:sdtEndPr>
        <w:rPr>
          <w:szCs w:val="20"/>
        </w:rPr>
      </w:sdtEndPr>
      <w:sdtContent>
        <w:r>
          <w:t>INTRODUCTION</w:t>
        </w:r>
        <w:r w:rsidRPr="00D544BD">
          <w:t xml:space="preserve"> |</w:t>
        </w:r>
      </w:sdtContent>
    </w:sdt>
    <w:r w:rsidRPr="00D544BD">
      <w:t xml:space="preserve"> </w:t>
    </w:r>
    <w:r w:rsidRPr="00DA624A">
      <w:rPr>
        <w:rFonts w:ascii="Arial Black" w:hAnsi="Arial Black"/>
      </w:rPr>
      <w:fldChar w:fldCharType="begin"/>
    </w:r>
    <w:r w:rsidRPr="00DA624A">
      <w:rPr>
        <w:rFonts w:ascii="Arial Black" w:hAnsi="Arial Black"/>
      </w:rPr>
      <w:instrText xml:space="preserve"> PAGE  \* Arabic  \* MERGEFORMAT </w:instrText>
    </w:r>
    <w:r w:rsidRPr="00DA624A">
      <w:rPr>
        <w:rFonts w:ascii="Arial Black" w:hAnsi="Arial Black"/>
      </w:rPr>
      <w:fldChar w:fldCharType="separate"/>
    </w:r>
    <w:r w:rsidRPr="00DA624A">
      <w:rPr>
        <w:rFonts w:ascii="Arial Black" w:hAnsi="Arial Black"/>
      </w:rPr>
      <w:t>17</w:t>
    </w:r>
    <w:r w:rsidRPr="00DA624A">
      <w:rPr>
        <w:rFonts w:ascii="Arial Black" w:hAnsi="Arial Black"/>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color w:val="166783"/>
      </w:rPr>
      <w:id w:val="932866918"/>
      <w:docPartObj>
        <w:docPartGallery w:val="Page Numbers (Bottom of Page)"/>
        <w:docPartUnique/>
      </w:docPartObj>
    </w:sdtPr>
    <w:sdtEndPr>
      <w:rPr>
        <w:color w:val="003F75" w:themeColor="text2" w:themeShade="BF"/>
      </w:rPr>
    </w:sdtEndPr>
    <w:sdtContent>
      <w:p w:rsidR="00ED33C3" w:rsidRPr="00D544BD" w:rsidP="00345082" w14:paraId="74D7BE3F" w14:textId="6CE64E92">
        <w:pPr>
          <w:pStyle w:val="Footer"/>
        </w:pPr>
        <w:r w:rsidRPr="00C535AD">
          <w:rPr>
            <w:rFonts w:ascii="Arial Black" w:hAnsi="Arial Black"/>
            <w:b/>
            <w:szCs w:val="19"/>
          </w:rPr>
          <w:fldChar w:fldCharType="begin"/>
        </w:r>
        <w:r w:rsidRPr="00C535AD">
          <w:rPr>
            <w:rFonts w:ascii="Arial Black" w:hAnsi="Arial Black"/>
            <w:b/>
            <w:szCs w:val="19"/>
          </w:rPr>
          <w:instrText xml:space="preserve"> PAGE   \* MERGEFORMAT </w:instrText>
        </w:r>
        <w:r w:rsidRPr="00C535AD">
          <w:rPr>
            <w:rFonts w:ascii="Arial Black" w:hAnsi="Arial Black"/>
            <w:b/>
            <w:szCs w:val="19"/>
          </w:rPr>
          <w:fldChar w:fldCharType="separate"/>
        </w:r>
        <w:r>
          <w:rPr>
            <w:rFonts w:ascii="Arial Black" w:hAnsi="Arial Black"/>
            <w:b/>
            <w:noProof/>
            <w:szCs w:val="19"/>
          </w:rPr>
          <w:t>54</w:t>
        </w:r>
        <w:r w:rsidRPr="00C535AD">
          <w:rPr>
            <w:rFonts w:ascii="Arial Black" w:hAnsi="Arial Black"/>
            <w:szCs w:val="19"/>
          </w:rPr>
          <w:fldChar w:fldCharType="end"/>
        </w:r>
        <w:r w:rsidRPr="00C535AD">
          <w:t xml:space="preserve"> | </w:t>
        </w:r>
        <w:r w:rsidRPr="00D544BD">
          <w:t>PROTOCOL ONE</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341F39" w:rsidP="00341F39" w14:paraId="7B085205" w14:textId="3BF05F76">
    <w:pPr>
      <w:pStyle w:val="Footer"/>
      <w:jc w:val="right"/>
      <w:rPr>
        <w:rFonts w:ascii="Arial Black" w:hAnsi="Arial Black"/>
        <w:szCs w:val="19"/>
      </w:rPr>
    </w:pPr>
    <w:sdt>
      <w:sdtPr>
        <w:rPr>
          <w:szCs w:val="19"/>
        </w:rPr>
        <w:id w:val="-2032792617"/>
        <w:docPartObj>
          <w:docPartGallery w:val="Page Numbers (Bottom of Page)"/>
          <w:docPartUnique/>
        </w:docPartObj>
      </w:sdtPr>
      <w:sdtEndPr>
        <w:rPr>
          <w:szCs w:val="20"/>
        </w:rPr>
      </w:sdtEndPr>
      <w:sdtContent>
        <w:sdt>
          <w:sdtPr>
            <w:rPr>
              <w:b/>
              <w:szCs w:val="19"/>
            </w:rPr>
            <w:id w:val="-1837991233"/>
            <w:docPartObj>
              <w:docPartGallery w:val="Page Numbers (Bottom of Page)"/>
              <w:docPartUnique/>
            </w:docPartObj>
          </w:sdtPr>
          <w:sdtEndPr>
            <w:rPr>
              <w:b w:val="0"/>
              <w:szCs w:val="20"/>
            </w:rPr>
          </w:sdtEndPr>
          <w:sdtContent>
            <w:sdt>
              <w:sdtPr>
                <w:rPr>
                  <w:b/>
                  <w:szCs w:val="19"/>
                </w:rPr>
                <w:id w:val="1555343792"/>
                <w:docPartObj>
                  <w:docPartGallery w:val="Page Numbers (Bottom of Page)"/>
                  <w:docPartUnique/>
                </w:docPartObj>
              </w:sdtPr>
              <w:sdtEndPr>
                <w:rPr>
                  <w:b w:val="0"/>
                  <w:szCs w:val="20"/>
                </w:rPr>
              </w:sdtEndPr>
              <w:sdtContent>
                <w:sdt>
                  <w:sdtPr>
                    <w:rPr>
                      <w:b/>
                      <w:szCs w:val="19"/>
                    </w:rPr>
                    <w:id w:val="948279036"/>
                    <w:docPartObj>
                      <w:docPartGallery w:val="Page Numbers (Bottom of Page)"/>
                      <w:docPartUnique/>
                    </w:docPartObj>
                  </w:sdtPr>
                  <w:sdtEndPr>
                    <w:rPr>
                      <w:b w:val="0"/>
                      <w:szCs w:val="20"/>
                    </w:rPr>
                  </w:sdtEndPr>
                  <w:sdtContent>
                    <w:sdt>
                      <w:sdtPr>
                        <w:rPr>
                          <w:szCs w:val="19"/>
                        </w:rPr>
                        <w:id w:val="-1425179072"/>
                        <w:docPartObj>
                          <w:docPartGallery w:val="Page Numbers (Bottom of Page)"/>
                          <w:docPartUnique/>
                        </w:docPartObj>
                      </w:sdtPr>
                      <w:sdtEndPr>
                        <w:rPr>
                          <w:szCs w:val="20"/>
                        </w:rPr>
                      </w:sdtEndPr>
                      <w:sdtContent>
                        <w:r w:rsidRPr="00D544BD">
                          <w:t>PROTOCOL ONE |</w:t>
                        </w:r>
                      </w:sdtContent>
                    </w:sdt>
                  </w:sdtContent>
                </w:sdt>
              </w:sdtContent>
            </w:sdt>
          </w:sdtContent>
        </w:sdt>
      </w:sdtContent>
    </w:sdt>
    <w:r w:rsidRPr="00D544BD">
      <w:t xml:space="preserve"> </w:t>
    </w:r>
    <w:r w:rsidRPr="00214AD1">
      <w:rPr>
        <w:rFonts w:ascii="Arial Black" w:hAnsi="Arial Black"/>
      </w:rPr>
      <w:fldChar w:fldCharType="begin"/>
    </w:r>
    <w:r w:rsidRPr="00214AD1">
      <w:rPr>
        <w:rFonts w:ascii="Arial Black" w:hAnsi="Arial Black"/>
      </w:rPr>
      <w:instrText xml:space="preserve"> PAGE   \* MERGEFORMAT </w:instrText>
    </w:r>
    <w:r w:rsidRPr="00214AD1">
      <w:rPr>
        <w:rFonts w:ascii="Arial Black" w:hAnsi="Arial Black"/>
      </w:rPr>
      <w:fldChar w:fldCharType="separate"/>
    </w:r>
    <w:r w:rsidRPr="00214AD1">
      <w:rPr>
        <w:rFonts w:ascii="Arial Black" w:hAnsi="Arial Black"/>
        <w:noProof/>
      </w:rPr>
      <w:t>1</w:t>
    </w:r>
    <w:r w:rsidRPr="00214AD1">
      <w:rPr>
        <w:rFonts w:ascii="Arial Black" w:hAnsi="Arial Black"/>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4D4EC4" w:rsidP="006F5BEC" w14:paraId="6AA11C48" w14:textId="05855167">
    <w:pPr>
      <w:pStyle w:val="Footer"/>
      <w:pBdr>
        <w:top w:val="none" w:sz="0" w:space="0" w:color="auto"/>
      </w:pBdr>
      <w:rPr>
        <w:rFonts w:ascii="Arial Black" w:hAnsi="Arial Black"/>
        <w:color w:val="FFFFFF" w:themeColor="background1"/>
        <w:szCs w:val="19"/>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color w:val="166783"/>
      </w:rPr>
      <w:id w:val="1660112220"/>
      <w:docPartObj>
        <w:docPartGallery w:val="Page Numbers (Bottom of Page)"/>
        <w:docPartUnique/>
      </w:docPartObj>
    </w:sdtPr>
    <w:sdtEndPr>
      <w:rPr>
        <w:color w:val="003F75" w:themeColor="text2" w:themeShade="BF"/>
      </w:rPr>
    </w:sdtEndPr>
    <w:sdtContent>
      <w:p w:rsidR="00ED33C3" w:rsidRPr="00D544BD" w:rsidP="00345082" w14:paraId="11A409B4" w14:textId="589E7C91">
        <w:pPr>
          <w:pStyle w:val="Footer"/>
        </w:pPr>
        <w:r w:rsidRPr="00C535AD">
          <w:rPr>
            <w:rFonts w:ascii="Arial Black" w:hAnsi="Arial Black"/>
            <w:b/>
            <w:szCs w:val="19"/>
          </w:rPr>
          <w:fldChar w:fldCharType="begin"/>
        </w:r>
        <w:r w:rsidRPr="00C535AD">
          <w:rPr>
            <w:rFonts w:ascii="Arial Black" w:hAnsi="Arial Black"/>
            <w:b/>
            <w:szCs w:val="19"/>
          </w:rPr>
          <w:instrText xml:space="preserve"> PAGE   \* MERGEFORMAT </w:instrText>
        </w:r>
        <w:r w:rsidRPr="00C535AD">
          <w:rPr>
            <w:rFonts w:ascii="Arial Black" w:hAnsi="Arial Black"/>
            <w:b/>
            <w:szCs w:val="19"/>
          </w:rPr>
          <w:fldChar w:fldCharType="separate"/>
        </w:r>
        <w:r>
          <w:rPr>
            <w:rFonts w:ascii="Arial Black" w:hAnsi="Arial Black"/>
            <w:b/>
            <w:noProof/>
            <w:szCs w:val="19"/>
          </w:rPr>
          <w:t>54</w:t>
        </w:r>
        <w:r w:rsidRPr="00C535AD">
          <w:rPr>
            <w:rFonts w:ascii="Arial Black" w:hAnsi="Arial Black"/>
            <w:szCs w:val="19"/>
          </w:rPr>
          <w:fldChar w:fldCharType="end"/>
        </w:r>
        <w:r w:rsidRPr="00C535AD">
          <w:t xml:space="preserve"> | </w:t>
        </w:r>
        <w:r w:rsidRPr="00D544BD">
          <w:t>PROTOCOL ONE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4C45D7" w:rsidP="004C45D7" w14:paraId="4D8D74E7" w14:textId="59FC4F72">
    <w:pPr>
      <w:pStyle w:val="NormalWeb"/>
      <w:spacing w:before="1080" w:after="600"/>
      <w:rPr>
        <w:rFonts w:ascii="Arial" w:hAnsi="Arial" w:cs="Arial"/>
        <w:sz w:val="16"/>
        <w:szCs w:val="16"/>
      </w:rPr>
    </w:pPr>
    <w:r>
      <w:rPr>
        <w:noProof/>
      </w:rPr>
      <mc:AlternateContent>
        <mc:Choice Requires="wps">
          <w:drawing>
            <wp:anchor distT="0" distB="0" distL="114300" distR="114300" simplePos="0" relativeHeight="251658240" behindDoc="1" locked="1" layoutInCell="1" allowOverlap="1">
              <wp:simplePos x="0" y="0"/>
              <wp:positionH relativeFrom="margin">
                <wp:posOffset>-918845</wp:posOffset>
              </wp:positionH>
              <wp:positionV relativeFrom="paragraph">
                <wp:posOffset>208915</wp:posOffset>
              </wp:positionV>
              <wp:extent cx="7781290" cy="45720"/>
              <wp:effectExtent l="0" t="0" r="0" b="0"/>
              <wp:wrapNone/>
              <wp:docPr id="600765433" name="Rectangle 52"/>
              <wp:cNvGraphicFramePr/>
              <a:graphic xmlns:a="http://schemas.openxmlformats.org/drawingml/2006/main">
                <a:graphicData uri="http://schemas.microsoft.com/office/word/2010/wordprocessingShape">
                  <wps:wsp xmlns:wps="http://schemas.microsoft.com/office/word/2010/wordprocessingShape">
                    <wps:cNvSpPr/>
                    <wps:spPr>
                      <a:xfrm>
                        <a:off x="0" y="0"/>
                        <a:ext cx="7781290" cy="45720"/>
                      </a:xfrm>
                      <a:prstGeom prst="rect">
                        <a:avLst/>
                      </a:prstGeom>
                      <a:solidFill>
                        <a:srgbClr val="0082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2" o:spid="_x0000_s2049" style="width:612.7pt;height:3.6pt;margin-top:16.45pt;margin-left:-72.3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57216" fillcolor="#00828c" stroked="f" strokeweight="1pt">
              <w10:wrap anchorx="margin"/>
              <w10:anchorlock/>
            </v:rect>
          </w:pict>
        </mc:Fallback>
      </mc:AlternateContent>
    </w:r>
    <w:r>
      <w:rPr>
        <w:rFonts w:ascii="Arial" w:hAnsi="Arial" w:cs="Arial"/>
        <w:sz w:val="16"/>
        <w:szCs w:val="16"/>
      </w:rPr>
      <w:t xml:space="preserve">According to the Paperwork Reduction Act of 1995, no persons are required to respond to a collection of information unless it displays a valid OMB control number. The valid OMB control number for this information collection is </w:t>
    </w:r>
    <w:r w:rsidRPr="00FD1D03">
      <w:rPr>
        <w:rFonts w:ascii="Arial" w:hAnsi="Arial" w:cs="Arial"/>
        <w:sz w:val="16"/>
        <w:szCs w:val="16"/>
        <w:highlight w:val="yellow"/>
      </w:rPr>
      <w:t>XXXX-XXXX</w:t>
    </w:r>
    <w:r>
      <w:rPr>
        <w:rFonts w:ascii="Arial" w:hAnsi="Arial" w:cs="Arial"/>
        <w:sz w:val="16"/>
        <w:szCs w:val="16"/>
      </w:rPr>
      <w:t xml:space="preserve">.  The time required to complete this information collection is estimated to average </w:t>
    </w:r>
    <w:r w:rsidRPr="00FD1D03">
      <w:rPr>
        <w:rFonts w:ascii="Arial" w:hAnsi="Arial" w:cs="Arial"/>
        <w:sz w:val="16"/>
        <w:szCs w:val="16"/>
        <w:highlight w:val="yellow"/>
      </w:rPr>
      <w:t>XXX</w:t>
    </w:r>
    <w:r>
      <w:rPr>
        <w:rFonts w:ascii="Arial" w:hAnsi="Arial" w:cs="Arial"/>
        <w:sz w:val="16"/>
        <w:szCs w:val="16"/>
      </w:rPr>
      <w:t xml:space="preserve"> hours per response for all activities,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Baltimore, Maryland 21244-1850</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341F39" w:rsidP="00341F39" w14:paraId="06872F39" w14:textId="02B77C02">
    <w:pPr>
      <w:pStyle w:val="Footer"/>
      <w:jc w:val="right"/>
      <w:rPr>
        <w:rFonts w:ascii="Arial Black" w:hAnsi="Arial Black"/>
        <w:szCs w:val="19"/>
      </w:rPr>
    </w:pPr>
    <w:sdt>
      <w:sdtPr>
        <w:rPr>
          <w:szCs w:val="19"/>
        </w:rPr>
        <w:id w:val="504558112"/>
        <w:docPartObj>
          <w:docPartGallery w:val="Page Numbers (Bottom of Page)"/>
          <w:docPartUnique/>
        </w:docPartObj>
      </w:sdtPr>
      <w:sdtEndPr>
        <w:rPr>
          <w:szCs w:val="20"/>
        </w:rPr>
      </w:sdtEndPr>
      <w:sdtContent>
        <w:sdt>
          <w:sdtPr>
            <w:rPr>
              <w:b/>
              <w:szCs w:val="19"/>
            </w:rPr>
            <w:id w:val="697433142"/>
            <w:docPartObj>
              <w:docPartGallery w:val="Page Numbers (Bottom of Page)"/>
              <w:docPartUnique/>
            </w:docPartObj>
          </w:sdtPr>
          <w:sdtEndPr>
            <w:rPr>
              <w:b w:val="0"/>
              <w:szCs w:val="20"/>
            </w:rPr>
          </w:sdtEndPr>
          <w:sdtContent>
            <w:sdt>
              <w:sdtPr>
                <w:rPr>
                  <w:b/>
                  <w:szCs w:val="19"/>
                </w:rPr>
                <w:id w:val="10803527"/>
                <w:docPartObj>
                  <w:docPartGallery w:val="Page Numbers (Bottom of Page)"/>
                  <w:docPartUnique/>
                </w:docPartObj>
              </w:sdtPr>
              <w:sdtEndPr>
                <w:rPr>
                  <w:b w:val="0"/>
                  <w:szCs w:val="20"/>
                </w:rPr>
              </w:sdtEndPr>
              <w:sdtContent>
                <w:sdt>
                  <w:sdtPr>
                    <w:rPr>
                      <w:b/>
                      <w:szCs w:val="19"/>
                    </w:rPr>
                    <w:id w:val="-744407606"/>
                    <w:docPartObj>
                      <w:docPartGallery w:val="Page Numbers (Bottom of Page)"/>
                      <w:docPartUnique/>
                    </w:docPartObj>
                  </w:sdtPr>
                  <w:sdtEndPr>
                    <w:rPr>
                      <w:b w:val="0"/>
                      <w:szCs w:val="20"/>
                    </w:rPr>
                  </w:sdtEndPr>
                  <w:sdtContent>
                    <w:sdt>
                      <w:sdtPr>
                        <w:rPr>
                          <w:szCs w:val="19"/>
                        </w:rPr>
                        <w:id w:val="-1252351201"/>
                        <w:docPartObj>
                          <w:docPartGallery w:val="Page Numbers (Bottom of Page)"/>
                          <w:docPartUnique/>
                        </w:docPartObj>
                      </w:sdtPr>
                      <w:sdtEndPr>
                        <w:rPr>
                          <w:szCs w:val="20"/>
                        </w:rPr>
                      </w:sdtEndPr>
                      <w:sdtContent>
                        <w:r w:rsidRPr="00D544BD">
                          <w:t>PROTOCOL ONE |</w:t>
                        </w:r>
                      </w:sdtContent>
                    </w:sdt>
                  </w:sdtContent>
                </w:sdt>
              </w:sdtContent>
            </w:sdt>
          </w:sdtContent>
        </w:sdt>
      </w:sdtContent>
    </w:sdt>
    <w:r w:rsidRPr="00D544BD">
      <w:t xml:space="preserve"> </w:t>
    </w:r>
    <w:r w:rsidRPr="00FF1970">
      <w:rPr>
        <w:rFonts w:ascii="Arial Black" w:hAnsi="Arial Black" w:cs="Arial"/>
        <w:bCs/>
        <w:szCs w:val="19"/>
      </w:rPr>
      <w:fldChar w:fldCharType="begin"/>
    </w:r>
    <w:r w:rsidRPr="00FF1970">
      <w:rPr>
        <w:rFonts w:ascii="Arial Black" w:hAnsi="Arial Black" w:cs="Arial"/>
        <w:bCs/>
        <w:szCs w:val="19"/>
      </w:rPr>
      <w:instrText xml:space="preserve"> PAGE   \* MERGEFORMAT </w:instrText>
    </w:r>
    <w:r w:rsidRPr="00FF1970">
      <w:rPr>
        <w:rFonts w:ascii="Arial Black" w:hAnsi="Arial Black" w:cs="Arial"/>
        <w:bCs/>
        <w:szCs w:val="19"/>
      </w:rPr>
      <w:fldChar w:fldCharType="separate"/>
    </w:r>
    <w:r w:rsidRPr="00FF1970">
      <w:rPr>
        <w:rFonts w:ascii="Arial Black" w:hAnsi="Arial Black" w:cs="Arial"/>
        <w:bCs/>
        <w:noProof/>
        <w:szCs w:val="19"/>
      </w:rPr>
      <w:t>55</w:t>
    </w:r>
    <w:r w:rsidRPr="00FF1970">
      <w:rPr>
        <w:rFonts w:ascii="Arial Black" w:hAnsi="Arial Black" w:cs="Arial"/>
        <w:bCs/>
        <w:szCs w:val="19"/>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b/>
        <w:bCs/>
        <w:color w:val="166783"/>
      </w:rPr>
      <w:id w:val="950828438"/>
      <w:docPartObj>
        <w:docPartGallery w:val="Page Numbers (Bottom of Page)"/>
        <w:docPartUnique/>
      </w:docPartObj>
    </w:sdtPr>
    <w:sdtEndPr>
      <w:rPr>
        <w:rFonts w:ascii="Arial Black" w:hAnsi="Arial Black"/>
        <w:b w:val="0"/>
        <w:color w:val="003F75" w:themeColor="text2" w:themeShade="BF"/>
        <w:sz w:val="15"/>
        <w:szCs w:val="15"/>
      </w:rPr>
    </w:sdtEndPr>
    <w:sdtContent>
      <w:p w:rsidR="00ED33C3" w:rsidRPr="00A3358C" w:rsidP="004B0755" w14:paraId="17189249" w14:textId="2743C275">
        <w:pPr>
          <w:pStyle w:val="Footer"/>
          <w:rPr>
            <w:rFonts w:ascii="Arial Black" w:hAnsi="Arial Black"/>
            <w:szCs w:val="19"/>
          </w:rPr>
        </w:pPr>
        <w:sdt>
          <w:sdtPr>
            <w:rPr>
              <w:b/>
              <w:color w:val="166783"/>
              <w:szCs w:val="19"/>
            </w:rPr>
            <w:id w:val="941034554"/>
            <w:docPartObj>
              <w:docPartGallery w:val="Page Numbers (Bottom of Page)"/>
              <w:docPartUnique/>
            </w:docPartObj>
          </w:sdtPr>
          <w:sdtEndPr>
            <w:rPr>
              <w:rFonts w:ascii="Arial Black" w:hAnsi="Arial Black"/>
              <w:b w:val="0"/>
              <w:color w:val="003F75" w:themeColor="text2" w:themeShade="BF"/>
              <w:sz w:val="15"/>
              <w:szCs w:val="15"/>
            </w:rPr>
          </w:sdtEndPr>
          <w:sdtContent>
            <w:sdt>
              <w:sdtPr>
                <w:rPr>
                  <w:b/>
                  <w:color w:val="166783"/>
                  <w:szCs w:val="19"/>
                </w:rPr>
                <w:id w:val="1513571182"/>
                <w:docPartObj>
                  <w:docPartGallery w:val="Page Numbers (Bottom of Page)"/>
                  <w:docPartUnique/>
                </w:docPartObj>
              </w:sdtPr>
              <w:sdtEndPr>
                <w:rPr>
                  <w:rFonts w:ascii="Arial Black" w:hAnsi="Arial Black"/>
                  <w:color w:val="003F75" w:themeColor="text2" w:themeShade="BF"/>
                </w:rPr>
              </w:sdtEndPr>
              <w:sdtContent>
                <w:sdt>
                  <w:sdtPr>
                    <w:rPr>
                      <w:b/>
                      <w:color w:val="166783"/>
                      <w:szCs w:val="19"/>
                    </w:rPr>
                    <w:id w:val="479653284"/>
                    <w:docPartObj>
                      <w:docPartGallery w:val="Page Numbers (Bottom of Page)"/>
                      <w:docPartUnique/>
                    </w:docPartObj>
                  </w:sdtPr>
                  <w:sdtEndPr>
                    <w:rPr>
                      <w:rFonts w:ascii="Arial Black" w:hAnsi="Arial Black"/>
                      <w:color w:val="003F75" w:themeColor="text2" w:themeShade="BF"/>
                    </w:rPr>
                  </w:sdtEndPr>
                  <w:sdtContent>
                    <w:sdt>
                      <w:sdtPr>
                        <w:rPr>
                          <w:color w:val="166783"/>
                          <w:szCs w:val="19"/>
                        </w:rPr>
                        <w:id w:val="1571609715"/>
                        <w:docPartObj>
                          <w:docPartGallery w:val="Page Numbers (Bottom of Page)"/>
                          <w:docPartUnique/>
                        </w:docPartObj>
                      </w:sdtPr>
                      <w:sdtEndPr>
                        <w:rPr>
                          <w:color w:val="003F75" w:themeColor="text2" w:themeShade="BF"/>
                          <w:szCs w:val="20"/>
                        </w:rPr>
                      </w:sdtEndPr>
                      <w:sdtContent>
                        <w:r w:rsidRPr="00C535AD">
                          <w:rPr>
                            <w:rFonts w:ascii="Arial Black" w:hAnsi="Arial Black"/>
                            <w:b/>
                            <w:szCs w:val="19"/>
                          </w:rPr>
                          <w:fldChar w:fldCharType="begin"/>
                        </w:r>
                        <w:r w:rsidRPr="00C535AD">
                          <w:rPr>
                            <w:rFonts w:ascii="Arial Black" w:hAnsi="Arial Black"/>
                            <w:b/>
                            <w:szCs w:val="19"/>
                          </w:rPr>
                          <w:instrText xml:space="preserve"> PAGE   \* MERGEFORMAT </w:instrText>
                        </w:r>
                        <w:r w:rsidRPr="00C535AD">
                          <w:rPr>
                            <w:rFonts w:ascii="Arial Black" w:hAnsi="Arial Black"/>
                            <w:b/>
                            <w:szCs w:val="19"/>
                          </w:rPr>
                          <w:fldChar w:fldCharType="separate"/>
                        </w:r>
                        <w:r>
                          <w:rPr>
                            <w:rFonts w:ascii="Arial Black" w:hAnsi="Arial Black"/>
                            <w:b/>
                            <w:szCs w:val="19"/>
                          </w:rPr>
                          <w:t>40</w:t>
                        </w:r>
                        <w:r w:rsidRPr="00C535AD">
                          <w:rPr>
                            <w:rFonts w:ascii="Arial Black" w:hAnsi="Arial Black"/>
                            <w:szCs w:val="19"/>
                          </w:rPr>
                          <w:fldChar w:fldCharType="end"/>
                        </w:r>
                        <w:r w:rsidRPr="00C535AD">
                          <w:t xml:space="preserve"> | </w:t>
                        </w:r>
                        <w:r w:rsidRPr="00D544BD">
                          <w:t>PROTOCO</w:t>
                        </w:r>
                        <w:r w:rsidRPr="00A3358C">
                          <w:t>L ONE</w:t>
                        </w:r>
                      </w:sdtContent>
                    </w:sdt>
                  </w:sdtContent>
                </w:sdt>
              </w:sdtContent>
            </w:sdt>
          </w:sdtContent>
        </w:sdt>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color w:val="166783"/>
      </w:rPr>
      <w:id w:val="-596554509"/>
      <w:docPartObj>
        <w:docPartGallery w:val="Page Numbers (Bottom of Page)"/>
        <w:docPartUnique/>
      </w:docPartObj>
    </w:sdtPr>
    <w:sdtEndPr>
      <w:rPr>
        <w:color w:val="003F75" w:themeColor="text2" w:themeShade="BF"/>
      </w:rPr>
    </w:sdtEndPr>
    <w:sdtContent>
      <w:p w:rsidR="00ED33C3" w:rsidRPr="00D544BD" w:rsidP="00345082" w14:paraId="6C8C4769" w14:textId="54F0B721">
        <w:pPr>
          <w:pStyle w:val="Footer"/>
        </w:pPr>
        <w:r w:rsidRPr="00C535AD">
          <w:rPr>
            <w:rFonts w:ascii="Arial Black" w:hAnsi="Arial Black"/>
            <w:b/>
            <w:szCs w:val="19"/>
          </w:rPr>
          <w:fldChar w:fldCharType="begin"/>
        </w:r>
        <w:r w:rsidRPr="00C535AD">
          <w:rPr>
            <w:rFonts w:ascii="Arial Black" w:hAnsi="Arial Black"/>
            <w:b/>
            <w:szCs w:val="19"/>
          </w:rPr>
          <w:instrText xml:space="preserve"> PAGE   \* MERGEFORMAT </w:instrText>
        </w:r>
        <w:r w:rsidRPr="00C535AD">
          <w:rPr>
            <w:rFonts w:ascii="Arial Black" w:hAnsi="Arial Black"/>
            <w:b/>
            <w:szCs w:val="19"/>
          </w:rPr>
          <w:fldChar w:fldCharType="separate"/>
        </w:r>
        <w:r>
          <w:rPr>
            <w:rFonts w:ascii="Arial Black" w:hAnsi="Arial Black"/>
            <w:b/>
            <w:noProof/>
            <w:szCs w:val="19"/>
          </w:rPr>
          <w:t>62</w:t>
        </w:r>
        <w:r w:rsidRPr="00C535AD">
          <w:rPr>
            <w:rFonts w:ascii="Arial Black" w:hAnsi="Arial Black"/>
            <w:szCs w:val="19"/>
          </w:rPr>
          <w:fldChar w:fldCharType="end"/>
        </w:r>
        <w:r w:rsidRPr="00C535AD">
          <w:t xml:space="preserve"> | </w:t>
        </w:r>
        <w:r w:rsidRPr="00D544BD">
          <w:t>PROTOCOL TWO</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341F39" w:rsidP="00341F39" w14:paraId="7C12D772" w14:textId="7112D70D">
    <w:pPr>
      <w:pStyle w:val="Footer"/>
      <w:jc w:val="right"/>
      <w:rPr>
        <w:rFonts w:ascii="Arial Black" w:hAnsi="Arial Black"/>
        <w:szCs w:val="19"/>
      </w:rPr>
    </w:pPr>
    <w:sdt>
      <w:sdtPr>
        <w:rPr>
          <w:szCs w:val="19"/>
        </w:rPr>
        <w:id w:val="1730185763"/>
        <w:docPartObj>
          <w:docPartGallery w:val="Page Numbers (Bottom of Page)"/>
          <w:docPartUnique/>
        </w:docPartObj>
      </w:sdtPr>
      <w:sdtEndPr>
        <w:rPr>
          <w:szCs w:val="20"/>
        </w:rPr>
      </w:sdtEndPr>
      <w:sdtContent>
        <w:sdt>
          <w:sdtPr>
            <w:rPr>
              <w:b/>
              <w:szCs w:val="19"/>
            </w:rPr>
            <w:id w:val="-905070847"/>
            <w:docPartObj>
              <w:docPartGallery w:val="Page Numbers (Bottom of Page)"/>
              <w:docPartUnique/>
            </w:docPartObj>
          </w:sdtPr>
          <w:sdtEndPr>
            <w:rPr>
              <w:b w:val="0"/>
              <w:szCs w:val="20"/>
            </w:rPr>
          </w:sdtEndPr>
          <w:sdtContent>
            <w:sdt>
              <w:sdtPr>
                <w:rPr>
                  <w:b/>
                  <w:szCs w:val="19"/>
                </w:rPr>
                <w:id w:val="338972172"/>
                <w:docPartObj>
                  <w:docPartGallery w:val="Page Numbers (Bottom of Page)"/>
                  <w:docPartUnique/>
                </w:docPartObj>
              </w:sdtPr>
              <w:sdtEndPr>
                <w:rPr>
                  <w:b w:val="0"/>
                  <w:szCs w:val="20"/>
                </w:rPr>
              </w:sdtEndPr>
              <w:sdtContent>
                <w:sdt>
                  <w:sdtPr>
                    <w:rPr>
                      <w:b/>
                      <w:szCs w:val="19"/>
                    </w:rPr>
                    <w:id w:val="1688251729"/>
                    <w:docPartObj>
                      <w:docPartGallery w:val="Page Numbers (Bottom of Page)"/>
                      <w:docPartUnique/>
                    </w:docPartObj>
                  </w:sdtPr>
                  <w:sdtEndPr>
                    <w:rPr>
                      <w:b w:val="0"/>
                      <w:szCs w:val="20"/>
                    </w:rPr>
                  </w:sdtEndPr>
                  <w:sdtContent>
                    <w:sdt>
                      <w:sdtPr>
                        <w:rPr>
                          <w:szCs w:val="19"/>
                        </w:rPr>
                        <w:id w:val="1573323440"/>
                        <w:docPartObj>
                          <w:docPartGallery w:val="Page Numbers (Bottom of Page)"/>
                          <w:docPartUnique/>
                        </w:docPartObj>
                      </w:sdtPr>
                      <w:sdtEndPr>
                        <w:rPr>
                          <w:szCs w:val="20"/>
                        </w:rPr>
                      </w:sdtEndPr>
                      <w:sdtContent>
                        <w:r w:rsidRPr="00D544BD">
                          <w:t>PROTOCOL TWO |</w:t>
                        </w:r>
                      </w:sdtContent>
                    </w:sdt>
                  </w:sdtContent>
                </w:sdt>
              </w:sdtContent>
            </w:sdt>
          </w:sdtContent>
        </w:sdt>
      </w:sdtContent>
    </w:sdt>
    <w:r w:rsidRPr="00D544BD">
      <w:t xml:space="preserve"> </w:t>
    </w:r>
    <w:r w:rsidRPr="00DD2B16">
      <w:rPr>
        <w:rFonts w:ascii="Arial Black" w:hAnsi="Arial Black" w:cs="Arial"/>
        <w:bCs/>
        <w:szCs w:val="19"/>
      </w:rPr>
      <w:fldChar w:fldCharType="begin"/>
    </w:r>
    <w:r w:rsidRPr="00DD2B16">
      <w:rPr>
        <w:rFonts w:ascii="Arial Black" w:hAnsi="Arial Black" w:cs="Arial"/>
        <w:bCs/>
        <w:szCs w:val="19"/>
      </w:rPr>
      <w:instrText xml:space="preserve"> PAGE   \* MERGEFORMAT </w:instrText>
    </w:r>
    <w:r w:rsidRPr="00DD2B16">
      <w:rPr>
        <w:rFonts w:ascii="Arial Black" w:hAnsi="Arial Black" w:cs="Arial"/>
        <w:bCs/>
        <w:szCs w:val="19"/>
      </w:rPr>
      <w:fldChar w:fldCharType="separate"/>
    </w:r>
    <w:r w:rsidRPr="00DD2B16">
      <w:rPr>
        <w:rFonts w:ascii="Arial Black" w:hAnsi="Arial Black" w:cs="Arial"/>
        <w:bCs/>
        <w:noProof/>
        <w:szCs w:val="19"/>
      </w:rPr>
      <w:t>63</w:t>
    </w:r>
    <w:r w:rsidRPr="00DD2B16">
      <w:rPr>
        <w:rFonts w:ascii="Arial Black" w:hAnsi="Arial Black" w:cs="Arial"/>
        <w:bCs/>
        <w:szCs w:val="19"/>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A3358C" w:rsidP="00A3358C" w14:paraId="75A7C5EF" w14:textId="66E7F5FE">
    <w:pPr>
      <w:pStyle w:val="Footer"/>
      <w:pBdr>
        <w:top w:val="none" w:sz="0" w:space="0" w:color="auto"/>
      </w:pBdr>
      <w:rPr>
        <w:rFonts w:ascii="Arial Black" w:hAnsi="Arial Black"/>
        <w:color w:val="005968"/>
        <w:szCs w:val="19"/>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14:paraId="49CD042D" w14:textId="60544EAE">
    <w:pPr>
      <w:pStyle w:val="Footer"/>
    </w:pPr>
    <w:sdt>
      <w:sdtPr>
        <w:rPr>
          <w:color w:val="166783"/>
          <w:szCs w:val="19"/>
        </w:rPr>
        <w:id w:val="10807965"/>
        <w:docPartObj>
          <w:docPartGallery w:val="Page Numbers (Bottom of Page)"/>
          <w:docPartUnique/>
        </w:docPartObj>
      </w:sdtPr>
      <w:sdtEndPr>
        <w:rPr>
          <w:color w:val="003F75" w:themeColor="text2" w:themeShade="BF"/>
          <w:szCs w:val="20"/>
        </w:rPr>
      </w:sdtEndPr>
      <w:sdtContent>
        <w:r w:rsidRPr="00C535AD">
          <w:rPr>
            <w:rFonts w:ascii="Arial Black" w:hAnsi="Arial Black"/>
            <w:b/>
            <w:szCs w:val="19"/>
          </w:rPr>
          <w:fldChar w:fldCharType="begin"/>
        </w:r>
        <w:r w:rsidRPr="00C535AD">
          <w:rPr>
            <w:rFonts w:ascii="Arial Black" w:hAnsi="Arial Black"/>
            <w:b/>
            <w:szCs w:val="19"/>
          </w:rPr>
          <w:instrText xml:space="preserve"> PAGE   \* MERGEFORMAT </w:instrText>
        </w:r>
        <w:r w:rsidRPr="00C535AD">
          <w:rPr>
            <w:rFonts w:ascii="Arial Black" w:hAnsi="Arial Black"/>
            <w:b/>
            <w:szCs w:val="19"/>
          </w:rPr>
          <w:fldChar w:fldCharType="separate"/>
        </w:r>
        <w:r>
          <w:rPr>
            <w:rFonts w:ascii="Arial Black" w:hAnsi="Arial Black"/>
            <w:b/>
            <w:szCs w:val="19"/>
          </w:rPr>
          <w:t>84</w:t>
        </w:r>
        <w:r w:rsidRPr="00C535AD">
          <w:rPr>
            <w:rFonts w:ascii="Arial Black" w:hAnsi="Arial Black"/>
            <w:szCs w:val="19"/>
          </w:rPr>
          <w:fldChar w:fldCharType="end"/>
        </w:r>
        <w:r w:rsidRPr="00C535AD">
          <w:t xml:space="preserve"> | </w:t>
        </w:r>
        <w:r w:rsidRPr="00D544BD">
          <w:t>PROTOCOL TWO</w:t>
        </w:r>
      </w:sdtContent>
    </w:sdt>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924459" w:rsidP="00924459" w14:paraId="74E7D14E" w14:textId="7F189084">
    <w:pPr>
      <w:pStyle w:val="Footer"/>
      <w:jc w:val="right"/>
      <w:rPr>
        <w:rFonts w:ascii="Arial Black" w:hAnsi="Arial Black"/>
        <w:szCs w:val="19"/>
      </w:rPr>
    </w:pPr>
    <w:sdt>
      <w:sdtPr>
        <w:rPr>
          <w:szCs w:val="19"/>
        </w:rPr>
        <w:id w:val="-1205321616"/>
        <w:docPartObj>
          <w:docPartGallery w:val="Page Numbers (Bottom of Page)"/>
          <w:docPartUnique/>
        </w:docPartObj>
      </w:sdtPr>
      <w:sdtEndPr>
        <w:rPr>
          <w:szCs w:val="20"/>
        </w:rPr>
      </w:sdtEndPr>
      <w:sdtContent>
        <w:sdt>
          <w:sdtPr>
            <w:rPr>
              <w:b/>
              <w:szCs w:val="19"/>
            </w:rPr>
            <w:id w:val="1621489770"/>
            <w:docPartObj>
              <w:docPartGallery w:val="Page Numbers (Bottom of Page)"/>
              <w:docPartUnique/>
            </w:docPartObj>
          </w:sdtPr>
          <w:sdtEndPr>
            <w:rPr>
              <w:b w:val="0"/>
              <w:szCs w:val="20"/>
            </w:rPr>
          </w:sdtEndPr>
          <w:sdtContent>
            <w:sdt>
              <w:sdtPr>
                <w:rPr>
                  <w:b/>
                  <w:szCs w:val="19"/>
                </w:rPr>
                <w:id w:val="2075542913"/>
                <w:docPartObj>
                  <w:docPartGallery w:val="Page Numbers (Bottom of Page)"/>
                  <w:docPartUnique/>
                </w:docPartObj>
              </w:sdtPr>
              <w:sdtEndPr>
                <w:rPr>
                  <w:b w:val="0"/>
                  <w:szCs w:val="20"/>
                </w:rPr>
              </w:sdtEndPr>
              <w:sdtContent>
                <w:sdt>
                  <w:sdtPr>
                    <w:rPr>
                      <w:b/>
                      <w:szCs w:val="19"/>
                    </w:rPr>
                    <w:id w:val="-1479909654"/>
                    <w:docPartObj>
                      <w:docPartGallery w:val="Page Numbers (Bottom of Page)"/>
                      <w:docPartUnique/>
                    </w:docPartObj>
                  </w:sdtPr>
                  <w:sdtEndPr>
                    <w:rPr>
                      <w:b w:val="0"/>
                      <w:szCs w:val="20"/>
                    </w:rPr>
                  </w:sdtEndPr>
                  <w:sdtContent>
                    <w:sdt>
                      <w:sdtPr>
                        <w:rPr>
                          <w:szCs w:val="19"/>
                        </w:rPr>
                        <w:id w:val="-1596243627"/>
                        <w:docPartObj>
                          <w:docPartGallery w:val="Page Numbers (Bottom of Page)"/>
                          <w:docPartUnique/>
                        </w:docPartObj>
                      </w:sdtPr>
                      <w:sdtEndPr>
                        <w:rPr>
                          <w:szCs w:val="20"/>
                        </w:rPr>
                      </w:sdtEndPr>
                      <w:sdtContent>
                        <w:r w:rsidRPr="00D544BD">
                          <w:t>PROTOCOL TWO |</w:t>
                        </w:r>
                      </w:sdtContent>
                    </w:sdt>
                  </w:sdtContent>
                </w:sdt>
              </w:sdtContent>
            </w:sdt>
          </w:sdtContent>
        </w:sdt>
      </w:sdtContent>
    </w:sdt>
    <w:r w:rsidRPr="00D544BD">
      <w:t xml:space="preserve"> </w:t>
    </w:r>
    <w:r w:rsidRPr="00BB7E0D">
      <w:rPr>
        <w:rFonts w:ascii="Arial Black" w:hAnsi="Arial Black" w:cs="Arial"/>
        <w:bCs/>
        <w:szCs w:val="19"/>
      </w:rPr>
      <w:fldChar w:fldCharType="begin"/>
    </w:r>
    <w:r w:rsidRPr="00BB7E0D">
      <w:rPr>
        <w:rFonts w:ascii="Arial Black" w:hAnsi="Arial Black" w:cs="Arial"/>
        <w:bCs/>
        <w:szCs w:val="19"/>
      </w:rPr>
      <w:instrText xml:space="preserve"> PAGE   \* MERGEFORMAT </w:instrText>
    </w:r>
    <w:r w:rsidRPr="00BB7E0D">
      <w:rPr>
        <w:rFonts w:ascii="Arial Black" w:hAnsi="Arial Black" w:cs="Arial"/>
        <w:bCs/>
        <w:szCs w:val="19"/>
      </w:rPr>
      <w:fldChar w:fldCharType="separate"/>
    </w:r>
    <w:r w:rsidRPr="00BB7E0D">
      <w:rPr>
        <w:rFonts w:ascii="Arial Black" w:hAnsi="Arial Black" w:cs="Arial"/>
        <w:bCs/>
        <w:szCs w:val="19"/>
      </w:rPr>
      <w:t>57</w:t>
    </w:r>
    <w:r w:rsidRPr="00BB7E0D">
      <w:rPr>
        <w:rFonts w:ascii="Arial Black" w:hAnsi="Arial Black" w:cs="Arial"/>
        <w:bCs/>
        <w:szCs w:val="19"/>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BB7E0D" w:rsidP="00BB7E0D" w14:paraId="6410BCA1" w14:textId="6B6D8EC7">
    <w:pPr>
      <w:pStyle w:val="Footer"/>
      <w:jc w:val="right"/>
      <w:rPr>
        <w:rFonts w:ascii="Arial Black" w:hAnsi="Arial Black"/>
        <w:szCs w:val="19"/>
      </w:rPr>
    </w:pPr>
    <w:sdt>
      <w:sdtPr>
        <w:rPr>
          <w:szCs w:val="19"/>
        </w:rPr>
        <w:id w:val="-612594202"/>
        <w:docPartObj>
          <w:docPartGallery w:val="Page Numbers (Bottom of Page)"/>
          <w:docPartUnique/>
        </w:docPartObj>
      </w:sdtPr>
      <w:sdtEndPr>
        <w:rPr>
          <w:szCs w:val="20"/>
        </w:rPr>
      </w:sdtEndPr>
      <w:sdtContent>
        <w:sdt>
          <w:sdtPr>
            <w:rPr>
              <w:b/>
              <w:szCs w:val="19"/>
            </w:rPr>
            <w:id w:val="500860758"/>
            <w:docPartObj>
              <w:docPartGallery w:val="Page Numbers (Bottom of Page)"/>
              <w:docPartUnique/>
            </w:docPartObj>
          </w:sdtPr>
          <w:sdtEndPr>
            <w:rPr>
              <w:b w:val="0"/>
              <w:szCs w:val="20"/>
            </w:rPr>
          </w:sdtEndPr>
          <w:sdtContent>
            <w:sdt>
              <w:sdtPr>
                <w:rPr>
                  <w:b/>
                  <w:szCs w:val="19"/>
                </w:rPr>
                <w:id w:val="999386731"/>
                <w:docPartObj>
                  <w:docPartGallery w:val="Page Numbers (Bottom of Page)"/>
                  <w:docPartUnique/>
                </w:docPartObj>
              </w:sdtPr>
              <w:sdtEndPr>
                <w:rPr>
                  <w:b w:val="0"/>
                  <w:szCs w:val="20"/>
                </w:rPr>
              </w:sdtEndPr>
              <w:sdtContent>
                <w:sdt>
                  <w:sdtPr>
                    <w:rPr>
                      <w:b/>
                      <w:szCs w:val="19"/>
                    </w:rPr>
                    <w:id w:val="1548261732"/>
                    <w:docPartObj>
                      <w:docPartGallery w:val="Page Numbers (Bottom of Page)"/>
                      <w:docPartUnique/>
                    </w:docPartObj>
                  </w:sdtPr>
                  <w:sdtEndPr>
                    <w:rPr>
                      <w:b w:val="0"/>
                      <w:szCs w:val="20"/>
                    </w:rPr>
                  </w:sdtEndPr>
                  <w:sdtContent>
                    <w:sdt>
                      <w:sdtPr>
                        <w:rPr>
                          <w:szCs w:val="19"/>
                        </w:rPr>
                        <w:id w:val="18981142"/>
                        <w:docPartObj>
                          <w:docPartGallery w:val="Page Numbers (Bottom of Page)"/>
                          <w:docPartUnique/>
                        </w:docPartObj>
                      </w:sdtPr>
                      <w:sdtEndPr>
                        <w:rPr>
                          <w:szCs w:val="20"/>
                        </w:rPr>
                      </w:sdtEndPr>
                      <w:sdtContent>
                        <w:r w:rsidRPr="00D544BD">
                          <w:t>PROTOCOL TWO |</w:t>
                        </w:r>
                      </w:sdtContent>
                    </w:sdt>
                  </w:sdtContent>
                </w:sdt>
              </w:sdtContent>
            </w:sdt>
          </w:sdtContent>
        </w:sdt>
      </w:sdtContent>
    </w:sdt>
    <w:r w:rsidRPr="00D544BD">
      <w:t xml:space="preserve"> </w:t>
    </w:r>
    <w:r w:rsidRPr="00DD2B16">
      <w:rPr>
        <w:rFonts w:ascii="Arial Black" w:hAnsi="Arial Black" w:cs="Arial"/>
        <w:bCs/>
        <w:szCs w:val="19"/>
      </w:rPr>
      <w:fldChar w:fldCharType="begin"/>
    </w:r>
    <w:r w:rsidRPr="00DD2B16">
      <w:rPr>
        <w:rFonts w:ascii="Arial Black" w:hAnsi="Arial Black" w:cs="Arial"/>
        <w:bCs/>
        <w:szCs w:val="19"/>
      </w:rPr>
      <w:instrText xml:space="preserve"> PAGE   \* MERGEFORMAT </w:instrText>
    </w:r>
    <w:r w:rsidRPr="00DD2B16">
      <w:rPr>
        <w:rFonts w:ascii="Arial Black" w:hAnsi="Arial Black" w:cs="Arial"/>
        <w:bCs/>
        <w:szCs w:val="19"/>
      </w:rPr>
      <w:fldChar w:fldCharType="separate"/>
    </w:r>
    <w:r>
      <w:rPr>
        <w:rFonts w:ascii="Arial Black" w:hAnsi="Arial Black" w:cs="Arial"/>
        <w:bCs/>
        <w:szCs w:val="19"/>
      </w:rPr>
      <w:t>65</w:t>
    </w:r>
    <w:r w:rsidRPr="00DD2B16">
      <w:rPr>
        <w:rFonts w:ascii="Arial Black" w:hAnsi="Arial Black" w:cs="Arial"/>
        <w:bCs/>
        <w:szCs w:val="19"/>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color w:val="166783"/>
      </w:rPr>
      <w:id w:val="-1523701763"/>
      <w:docPartObj>
        <w:docPartGallery w:val="Page Numbers (Bottom of Page)"/>
        <w:docPartUnique/>
      </w:docPartObj>
    </w:sdtPr>
    <w:sdtEndPr>
      <w:rPr>
        <w:color w:val="003F75" w:themeColor="text2" w:themeShade="BF"/>
      </w:rPr>
    </w:sdtEndPr>
    <w:sdtContent>
      <w:p w:rsidR="00ED33C3" w:rsidRPr="00D544BD" w:rsidP="00345082" w14:paraId="66D11336" w14:textId="5E2332A6">
        <w:pPr>
          <w:pStyle w:val="Footer"/>
        </w:pPr>
        <w:r w:rsidRPr="00C535AD">
          <w:rPr>
            <w:rFonts w:ascii="Arial Black" w:hAnsi="Arial Black"/>
            <w:b/>
            <w:szCs w:val="19"/>
          </w:rPr>
          <w:fldChar w:fldCharType="begin"/>
        </w:r>
        <w:r w:rsidRPr="00C535AD">
          <w:rPr>
            <w:rFonts w:ascii="Arial Black" w:hAnsi="Arial Black"/>
            <w:b/>
            <w:szCs w:val="19"/>
          </w:rPr>
          <w:instrText xml:space="preserve"> PAGE   \* MERGEFORMAT </w:instrText>
        </w:r>
        <w:r w:rsidRPr="00C535AD">
          <w:rPr>
            <w:rFonts w:ascii="Arial Black" w:hAnsi="Arial Black"/>
            <w:b/>
            <w:szCs w:val="19"/>
          </w:rPr>
          <w:fldChar w:fldCharType="separate"/>
        </w:r>
        <w:r>
          <w:rPr>
            <w:rFonts w:ascii="Arial Black" w:hAnsi="Arial Black"/>
            <w:b/>
            <w:noProof/>
            <w:szCs w:val="19"/>
          </w:rPr>
          <w:t>122</w:t>
        </w:r>
        <w:r w:rsidRPr="00C535AD">
          <w:rPr>
            <w:rFonts w:ascii="Arial Black" w:hAnsi="Arial Black"/>
            <w:szCs w:val="19"/>
          </w:rPr>
          <w:fldChar w:fldCharType="end"/>
        </w:r>
        <w:r w:rsidRPr="00C535AD">
          <w:t xml:space="preserve"> | </w:t>
        </w:r>
        <w:r w:rsidRPr="00D544BD">
          <w:t>PROTOCOL T</w:t>
        </w:r>
        <w:r>
          <w:t>HREE</w:t>
        </w:r>
      </w:p>
    </w:sdtContent>
  </w:sdt>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341F39" w:rsidP="00341F39" w14:paraId="38477734" w14:textId="157CDAA6">
    <w:pPr>
      <w:pStyle w:val="Footer"/>
      <w:jc w:val="right"/>
      <w:rPr>
        <w:rFonts w:ascii="Arial Black" w:hAnsi="Arial Black"/>
        <w:szCs w:val="19"/>
      </w:rPr>
    </w:pPr>
    <w:sdt>
      <w:sdtPr>
        <w:rPr>
          <w:szCs w:val="19"/>
        </w:rPr>
        <w:id w:val="1915353386"/>
        <w:docPartObj>
          <w:docPartGallery w:val="Page Numbers (Bottom of Page)"/>
          <w:docPartUnique/>
        </w:docPartObj>
      </w:sdtPr>
      <w:sdtEndPr>
        <w:rPr>
          <w:szCs w:val="20"/>
        </w:rPr>
      </w:sdtEndPr>
      <w:sdtContent>
        <w:sdt>
          <w:sdtPr>
            <w:rPr>
              <w:b/>
              <w:szCs w:val="19"/>
            </w:rPr>
            <w:id w:val="934560310"/>
            <w:docPartObj>
              <w:docPartGallery w:val="Page Numbers (Bottom of Page)"/>
              <w:docPartUnique/>
            </w:docPartObj>
          </w:sdtPr>
          <w:sdtEndPr>
            <w:rPr>
              <w:b w:val="0"/>
              <w:szCs w:val="20"/>
            </w:rPr>
          </w:sdtEndPr>
          <w:sdtContent>
            <w:sdt>
              <w:sdtPr>
                <w:rPr>
                  <w:b/>
                  <w:szCs w:val="19"/>
                </w:rPr>
                <w:id w:val="1821079919"/>
                <w:docPartObj>
                  <w:docPartGallery w:val="Page Numbers (Bottom of Page)"/>
                  <w:docPartUnique/>
                </w:docPartObj>
              </w:sdtPr>
              <w:sdtEndPr>
                <w:rPr>
                  <w:b w:val="0"/>
                  <w:szCs w:val="20"/>
                </w:rPr>
              </w:sdtEndPr>
              <w:sdtContent>
                <w:sdt>
                  <w:sdtPr>
                    <w:rPr>
                      <w:b/>
                      <w:szCs w:val="19"/>
                    </w:rPr>
                    <w:id w:val="-56550378"/>
                    <w:docPartObj>
                      <w:docPartGallery w:val="Page Numbers (Bottom of Page)"/>
                      <w:docPartUnique/>
                    </w:docPartObj>
                  </w:sdtPr>
                  <w:sdtEndPr>
                    <w:rPr>
                      <w:b w:val="0"/>
                      <w:szCs w:val="20"/>
                    </w:rPr>
                  </w:sdtEndPr>
                  <w:sdtContent>
                    <w:sdt>
                      <w:sdtPr>
                        <w:rPr>
                          <w:szCs w:val="19"/>
                        </w:rPr>
                        <w:id w:val="-1077199214"/>
                        <w:docPartObj>
                          <w:docPartGallery w:val="Page Numbers (Bottom of Page)"/>
                          <w:docPartUnique/>
                        </w:docPartObj>
                      </w:sdtPr>
                      <w:sdtEndPr>
                        <w:rPr>
                          <w:szCs w:val="20"/>
                        </w:rPr>
                      </w:sdtEndPr>
                      <w:sdtContent>
                        <w:r w:rsidRPr="00D544BD">
                          <w:t>PROTOCOL T</w:t>
                        </w:r>
                        <w:r>
                          <w:t>HREE</w:t>
                        </w:r>
                        <w:r w:rsidRPr="00D544BD">
                          <w:t xml:space="preserve"> |</w:t>
                        </w:r>
                      </w:sdtContent>
                    </w:sdt>
                  </w:sdtContent>
                </w:sdt>
              </w:sdtContent>
            </w:sdt>
          </w:sdtContent>
        </w:sdt>
      </w:sdtContent>
    </w:sdt>
    <w:r w:rsidRPr="00D544BD">
      <w:t xml:space="preserve"> </w:t>
    </w:r>
    <w:r w:rsidRPr="00E750FD">
      <w:rPr>
        <w:rFonts w:ascii="Arial Black" w:hAnsi="Arial Black"/>
        <w:b/>
        <w:szCs w:val="19"/>
      </w:rPr>
      <w:fldChar w:fldCharType="begin"/>
    </w:r>
    <w:r w:rsidRPr="00E750FD">
      <w:rPr>
        <w:rFonts w:ascii="Arial Black" w:hAnsi="Arial Black"/>
        <w:b/>
        <w:szCs w:val="19"/>
      </w:rPr>
      <w:instrText xml:space="preserve"> PAGE   \* MERGEFORMAT </w:instrText>
    </w:r>
    <w:r w:rsidRPr="00E750FD">
      <w:rPr>
        <w:rFonts w:ascii="Arial Black" w:hAnsi="Arial Black"/>
        <w:b/>
        <w:szCs w:val="19"/>
      </w:rPr>
      <w:fldChar w:fldCharType="separate"/>
    </w:r>
    <w:r>
      <w:rPr>
        <w:rFonts w:ascii="Arial Black" w:hAnsi="Arial Black"/>
        <w:b/>
        <w:noProof/>
        <w:szCs w:val="19"/>
      </w:rPr>
      <w:t>121</w:t>
    </w:r>
    <w:r w:rsidRPr="00E750FD">
      <w:rPr>
        <w:rFonts w:ascii="Arial Black" w:hAnsi="Arial Black"/>
        <w:szCs w:val="1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17061C" w:rsidP="00CD7164" w14:paraId="5AC72F74" w14:textId="52C65980">
    <w:pPr>
      <w:pStyle w:val="Footer"/>
      <w:pBdr>
        <w:top w:val="none" w:sz="0" w:space="0" w:color="auto"/>
      </w:pBdr>
      <w:rPr>
        <w:szCs w:val="19"/>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A3358C" w:rsidP="00A3358C" w14:paraId="103FE30D" w14:textId="0DA3FBE6">
    <w:pPr>
      <w:pStyle w:val="Footer"/>
      <w:pBdr>
        <w:top w:val="none" w:sz="0" w:space="0" w:color="auto"/>
      </w:pBdr>
      <w:rPr>
        <w:rFonts w:ascii="Arial Black" w:hAnsi="Arial Black"/>
        <w:color w:val="005968"/>
        <w:szCs w:val="19"/>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14:paraId="264302CA" w14:textId="71C5F9AB">
    <w:pPr>
      <w:pStyle w:val="Footer"/>
    </w:pPr>
    <w:sdt>
      <w:sdtPr>
        <w:rPr>
          <w:color w:val="166783"/>
          <w:szCs w:val="19"/>
        </w:rPr>
        <w:id w:val="2037778385"/>
        <w:docPartObj>
          <w:docPartGallery w:val="Page Numbers (Bottom of Page)"/>
          <w:docPartUnique/>
        </w:docPartObj>
      </w:sdtPr>
      <w:sdtEndPr>
        <w:rPr>
          <w:color w:val="003F75" w:themeColor="text2" w:themeShade="BF"/>
          <w:szCs w:val="20"/>
        </w:rPr>
      </w:sdtEndPr>
      <w:sdtContent>
        <w:r w:rsidRPr="00C535AD">
          <w:rPr>
            <w:rFonts w:ascii="Arial Black" w:hAnsi="Arial Black"/>
            <w:b/>
            <w:szCs w:val="19"/>
          </w:rPr>
          <w:fldChar w:fldCharType="begin"/>
        </w:r>
        <w:r w:rsidRPr="00C535AD">
          <w:rPr>
            <w:rFonts w:ascii="Arial Black" w:hAnsi="Arial Black"/>
            <w:b/>
            <w:szCs w:val="19"/>
          </w:rPr>
          <w:instrText xml:space="preserve"> PAGE   \* MERGEFORMAT </w:instrText>
        </w:r>
        <w:r w:rsidRPr="00C535AD">
          <w:rPr>
            <w:rFonts w:ascii="Arial Black" w:hAnsi="Arial Black"/>
            <w:b/>
            <w:szCs w:val="19"/>
          </w:rPr>
          <w:fldChar w:fldCharType="separate"/>
        </w:r>
        <w:r>
          <w:rPr>
            <w:rFonts w:ascii="Arial Black" w:hAnsi="Arial Black"/>
            <w:b/>
            <w:szCs w:val="19"/>
          </w:rPr>
          <w:t>140</w:t>
        </w:r>
        <w:r w:rsidRPr="00C535AD">
          <w:rPr>
            <w:rFonts w:ascii="Arial Black" w:hAnsi="Arial Black"/>
            <w:szCs w:val="19"/>
          </w:rPr>
          <w:fldChar w:fldCharType="end"/>
        </w:r>
        <w:r w:rsidRPr="00C535AD">
          <w:t xml:space="preserve"> | </w:t>
        </w:r>
        <w:r w:rsidRPr="00D544BD">
          <w:t>PROTOCOL T</w:t>
        </w:r>
        <w:r>
          <w:t>HREE</w:t>
        </w:r>
      </w:sdtContent>
    </w:sdt>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020896" w:rsidP="00020896" w14:paraId="60B839A7" w14:textId="5F8F71C9">
    <w:pPr>
      <w:pStyle w:val="Footer"/>
      <w:jc w:val="right"/>
      <w:rPr>
        <w:rFonts w:ascii="Arial Black" w:hAnsi="Arial Black"/>
        <w:szCs w:val="19"/>
      </w:rPr>
    </w:pPr>
    <w:sdt>
      <w:sdtPr>
        <w:rPr>
          <w:szCs w:val="19"/>
        </w:rPr>
        <w:id w:val="-203939537"/>
        <w:docPartObj>
          <w:docPartGallery w:val="Page Numbers (Bottom of Page)"/>
          <w:docPartUnique/>
        </w:docPartObj>
      </w:sdtPr>
      <w:sdtEndPr>
        <w:rPr>
          <w:szCs w:val="20"/>
        </w:rPr>
      </w:sdtEndPr>
      <w:sdtContent>
        <w:sdt>
          <w:sdtPr>
            <w:rPr>
              <w:b/>
              <w:szCs w:val="19"/>
            </w:rPr>
            <w:id w:val="1188643029"/>
            <w:docPartObj>
              <w:docPartGallery w:val="Page Numbers (Bottom of Page)"/>
              <w:docPartUnique/>
            </w:docPartObj>
          </w:sdtPr>
          <w:sdtEndPr>
            <w:rPr>
              <w:b w:val="0"/>
              <w:szCs w:val="20"/>
            </w:rPr>
          </w:sdtEndPr>
          <w:sdtContent>
            <w:sdt>
              <w:sdtPr>
                <w:rPr>
                  <w:b/>
                  <w:szCs w:val="19"/>
                </w:rPr>
                <w:id w:val="1919206831"/>
                <w:docPartObj>
                  <w:docPartGallery w:val="Page Numbers (Bottom of Page)"/>
                  <w:docPartUnique/>
                </w:docPartObj>
              </w:sdtPr>
              <w:sdtEndPr>
                <w:rPr>
                  <w:b w:val="0"/>
                  <w:szCs w:val="20"/>
                </w:rPr>
              </w:sdtEndPr>
              <w:sdtContent>
                <w:sdt>
                  <w:sdtPr>
                    <w:rPr>
                      <w:b/>
                      <w:szCs w:val="19"/>
                    </w:rPr>
                    <w:id w:val="678010558"/>
                    <w:docPartObj>
                      <w:docPartGallery w:val="Page Numbers (Bottom of Page)"/>
                      <w:docPartUnique/>
                    </w:docPartObj>
                  </w:sdtPr>
                  <w:sdtEndPr>
                    <w:rPr>
                      <w:b w:val="0"/>
                      <w:szCs w:val="20"/>
                    </w:rPr>
                  </w:sdtEndPr>
                  <w:sdtContent>
                    <w:sdt>
                      <w:sdtPr>
                        <w:rPr>
                          <w:szCs w:val="19"/>
                        </w:rPr>
                        <w:id w:val="843064586"/>
                        <w:docPartObj>
                          <w:docPartGallery w:val="Page Numbers (Bottom of Page)"/>
                          <w:docPartUnique/>
                        </w:docPartObj>
                      </w:sdtPr>
                      <w:sdtEndPr>
                        <w:rPr>
                          <w:szCs w:val="20"/>
                        </w:rPr>
                      </w:sdtEndPr>
                      <w:sdtContent>
                        <w:r w:rsidRPr="00D544BD">
                          <w:t>PROTOCOL T</w:t>
                        </w:r>
                        <w:r>
                          <w:t>HREE</w:t>
                        </w:r>
                        <w:r w:rsidRPr="00D544BD">
                          <w:t xml:space="preserve"> |</w:t>
                        </w:r>
                      </w:sdtContent>
                    </w:sdt>
                  </w:sdtContent>
                </w:sdt>
              </w:sdtContent>
            </w:sdt>
          </w:sdtContent>
        </w:sdt>
      </w:sdtContent>
    </w:sdt>
    <w:r w:rsidRPr="00D544BD">
      <w:t xml:space="preserve"> </w:t>
    </w:r>
    <w:r w:rsidRPr="00E750FD">
      <w:rPr>
        <w:rFonts w:ascii="Arial Black" w:hAnsi="Arial Black"/>
        <w:b/>
        <w:szCs w:val="19"/>
      </w:rPr>
      <w:fldChar w:fldCharType="begin"/>
    </w:r>
    <w:r w:rsidRPr="00E750FD">
      <w:rPr>
        <w:rFonts w:ascii="Arial Black" w:hAnsi="Arial Black"/>
        <w:b/>
        <w:szCs w:val="19"/>
      </w:rPr>
      <w:instrText xml:space="preserve"> PAGE   \* MERGEFORMAT </w:instrText>
    </w:r>
    <w:r w:rsidRPr="00E750FD">
      <w:rPr>
        <w:rFonts w:ascii="Arial Black" w:hAnsi="Arial Black"/>
        <w:b/>
        <w:szCs w:val="19"/>
      </w:rPr>
      <w:fldChar w:fldCharType="separate"/>
    </w:r>
    <w:r>
      <w:rPr>
        <w:rFonts w:ascii="Arial Black" w:hAnsi="Arial Black"/>
        <w:b/>
        <w:szCs w:val="19"/>
      </w:rPr>
      <w:t>141</w:t>
    </w:r>
    <w:r w:rsidRPr="00E750FD">
      <w:rPr>
        <w:rFonts w:ascii="Arial Black" w:hAnsi="Arial Black"/>
        <w:szCs w:val="19"/>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14:paraId="0626D12C" w14:textId="50982447">
    <w:pPr>
      <w:pStyle w:val="Footer"/>
    </w:pPr>
    <w:sdt>
      <w:sdtPr>
        <w:rPr>
          <w:color w:val="166783"/>
          <w:szCs w:val="19"/>
        </w:rPr>
        <w:id w:val="-1175026692"/>
        <w:docPartObj>
          <w:docPartGallery w:val="Page Numbers (Bottom of Page)"/>
          <w:docPartUnique/>
        </w:docPartObj>
      </w:sdtPr>
      <w:sdtEndPr>
        <w:rPr>
          <w:color w:val="003F75" w:themeColor="text2" w:themeShade="BF"/>
          <w:szCs w:val="20"/>
        </w:rPr>
      </w:sdtEndPr>
      <w:sdtContent>
        <w:r w:rsidRPr="00C535AD">
          <w:rPr>
            <w:rFonts w:ascii="Arial Black" w:hAnsi="Arial Black"/>
            <w:b/>
            <w:szCs w:val="19"/>
          </w:rPr>
          <w:fldChar w:fldCharType="begin"/>
        </w:r>
        <w:r w:rsidRPr="00C535AD">
          <w:rPr>
            <w:rFonts w:ascii="Arial Black" w:hAnsi="Arial Black"/>
            <w:b/>
            <w:szCs w:val="19"/>
          </w:rPr>
          <w:instrText xml:space="preserve"> PAGE   \* MERGEFORMAT </w:instrText>
        </w:r>
        <w:r w:rsidRPr="00C535AD">
          <w:rPr>
            <w:rFonts w:ascii="Arial Black" w:hAnsi="Arial Black"/>
            <w:b/>
            <w:szCs w:val="19"/>
          </w:rPr>
          <w:fldChar w:fldCharType="separate"/>
        </w:r>
        <w:r>
          <w:rPr>
            <w:rFonts w:ascii="Arial Black" w:hAnsi="Arial Black"/>
            <w:b/>
            <w:szCs w:val="19"/>
          </w:rPr>
          <w:t>140</w:t>
        </w:r>
        <w:r w:rsidRPr="00C535AD">
          <w:rPr>
            <w:rFonts w:ascii="Arial Black" w:hAnsi="Arial Black"/>
            <w:szCs w:val="19"/>
          </w:rPr>
          <w:fldChar w:fldCharType="end"/>
        </w:r>
        <w:r w:rsidRPr="00C535AD">
          <w:t xml:space="preserve"> | </w:t>
        </w:r>
        <w:r w:rsidRPr="00D544BD">
          <w:t>PROTOCOL T</w:t>
        </w:r>
        <w:r>
          <w:t>HREE</w:t>
        </w:r>
      </w:sdtContent>
    </w:sdt>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14:paraId="658F21A0" w14:textId="4F8BEE8E">
    <w:pPr>
      <w:pStyle w:val="Footer"/>
    </w:pPr>
    <w:sdt>
      <w:sdtPr>
        <w:rPr>
          <w:color w:val="166783"/>
          <w:szCs w:val="19"/>
        </w:rPr>
        <w:id w:val="46889526"/>
        <w:docPartObj>
          <w:docPartGallery w:val="Page Numbers (Bottom of Page)"/>
          <w:docPartUnique/>
        </w:docPartObj>
      </w:sdtPr>
      <w:sdtEndPr>
        <w:rPr>
          <w:color w:val="003F75" w:themeColor="text2" w:themeShade="BF"/>
          <w:szCs w:val="20"/>
        </w:rPr>
      </w:sdtEndPr>
      <w:sdtContent>
        <w:r w:rsidRPr="00C535AD">
          <w:rPr>
            <w:rFonts w:ascii="Arial Black" w:hAnsi="Arial Black"/>
            <w:b/>
            <w:szCs w:val="19"/>
          </w:rPr>
          <w:fldChar w:fldCharType="begin"/>
        </w:r>
        <w:r w:rsidRPr="00C535AD">
          <w:rPr>
            <w:rFonts w:ascii="Arial Black" w:hAnsi="Arial Black"/>
            <w:b/>
            <w:szCs w:val="19"/>
          </w:rPr>
          <w:instrText xml:space="preserve"> PAGE   \* MERGEFORMAT </w:instrText>
        </w:r>
        <w:r w:rsidRPr="00C535AD">
          <w:rPr>
            <w:rFonts w:ascii="Arial Black" w:hAnsi="Arial Black"/>
            <w:b/>
            <w:szCs w:val="19"/>
          </w:rPr>
          <w:fldChar w:fldCharType="separate"/>
        </w:r>
        <w:r>
          <w:rPr>
            <w:rFonts w:ascii="Arial Black" w:hAnsi="Arial Black"/>
            <w:b/>
            <w:szCs w:val="19"/>
          </w:rPr>
          <w:t>156</w:t>
        </w:r>
        <w:r w:rsidRPr="00C535AD">
          <w:rPr>
            <w:rFonts w:ascii="Arial Black" w:hAnsi="Arial Black"/>
            <w:szCs w:val="19"/>
          </w:rPr>
          <w:fldChar w:fldCharType="end"/>
        </w:r>
        <w:r w:rsidRPr="00C535AD">
          <w:t xml:space="preserve"> | </w:t>
        </w:r>
        <w:r w:rsidRPr="00D544BD">
          <w:t>PROTOCOL T</w:t>
        </w:r>
        <w:r>
          <w:t>HREE</w:t>
        </w:r>
      </w:sdtContent>
    </w:sdt>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097F56" w:rsidP="00097F56" w14:paraId="7B2031AB" w14:textId="52905D43">
    <w:pPr>
      <w:pStyle w:val="Footer"/>
      <w:jc w:val="right"/>
      <w:rPr>
        <w:rFonts w:ascii="Arial Black" w:hAnsi="Arial Black"/>
        <w:szCs w:val="19"/>
      </w:rPr>
    </w:pPr>
    <w:sdt>
      <w:sdtPr>
        <w:rPr>
          <w:szCs w:val="19"/>
        </w:rPr>
        <w:id w:val="-1579659274"/>
        <w:docPartObj>
          <w:docPartGallery w:val="Page Numbers (Bottom of Page)"/>
          <w:docPartUnique/>
        </w:docPartObj>
      </w:sdtPr>
      <w:sdtEndPr>
        <w:rPr>
          <w:szCs w:val="20"/>
        </w:rPr>
      </w:sdtEndPr>
      <w:sdtContent>
        <w:sdt>
          <w:sdtPr>
            <w:rPr>
              <w:b/>
              <w:szCs w:val="19"/>
            </w:rPr>
            <w:id w:val="-518699511"/>
            <w:docPartObj>
              <w:docPartGallery w:val="Page Numbers (Bottom of Page)"/>
              <w:docPartUnique/>
            </w:docPartObj>
          </w:sdtPr>
          <w:sdtEndPr>
            <w:rPr>
              <w:b w:val="0"/>
              <w:szCs w:val="20"/>
            </w:rPr>
          </w:sdtEndPr>
          <w:sdtContent>
            <w:sdt>
              <w:sdtPr>
                <w:rPr>
                  <w:b/>
                  <w:szCs w:val="19"/>
                </w:rPr>
                <w:id w:val="587430565"/>
                <w:docPartObj>
                  <w:docPartGallery w:val="Page Numbers (Bottom of Page)"/>
                  <w:docPartUnique/>
                </w:docPartObj>
              </w:sdtPr>
              <w:sdtEndPr>
                <w:rPr>
                  <w:b w:val="0"/>
                  <w:szCs w:val="20"/>
                </w:rPr>
              </w:sdtEndPr>
              <w:sdtContent>
                <w:sdt>
                  <w:sdtPr>
                    <w:rPr>
                      <w:b/>
                      <w:szCs w:val="19"/>
                    </w:rPr>
                    <w:id w:val="1973397064"/>
                    <w:docPartObj>
                      <w:docPartGallery w:val="Page Numbers (Bottom of Page)"/>
                      <w:docPartUnique/>
                    </w:docPartObj>
                  </w:sdtPr>
                  <w:sdtEndPr>
                    <w:rPr>
                      <w:b w:val="0"/>
                      <w:szCs w:val="20"/>
                    </w:rPr>
                  </w:sdtEndPr>
                  <w:sdtContent>
                    <w:sdt>
                      <w:sdtPr>
                        <w:rPr>
                          <w:szCs w:val="19"/>
                        </w:rPr>
                        <w:id w:val="-2048904243"/>
                        <w:docPartObj>
                          <w:docPartGallery w:val="Page Numbers (Bottom of Page)"/>
                          <w:docPartUnique/>
                        </w:docPartObj>
                      </w:sdtPr>
                      <w:sdtEndPr>
                        <w:rPr>
                          <w:szCs w:val="20"/>
                        </w:rPr>
                      </w:sdtEndPr>
                      <w:sdtContent>
                        <w:r w:rsidRPr="00D544BD">
                          <w:t>PROTOCOL T</w:t>
                        </w:r>
                        <w:r>
                          <w:t>HREE</w:t>
                        </w:r>
                        <w:r w:rsidRPr="00D544BD">
                          <w:t xml:space="preserve"> |</w:t>
                        </w:r>
                      </w:sdtContent>
                    </w:sdt>
                  </w:sdtContent>
                </w:sdt>
              </w:sdtContent>
            </w:sdt>
          </w:sdtContent>
        </w:sdt>
      </w:sdtContent>
    </w:sdt>
    <w:r w:rsidRPr="00D544BD">
      <w:t xml:space="preserve"> </w:t>
    </w:r>
    <w:r w:rsidRPr="00E750FD">
      <w:rPr>
        <w:rFonts w:ascii="Arial Black" w:hAnsi="Arial Black"/>
        <w:b/>
        <w:szCs w:val="19"/>
      </w:rPr>
      <w:fldChar w:fldCharType="begin"/>
    </w:r>
    <w:r w:rsidRPr="00E750FD">
      <w:rPr>
        <w:rFonts w:ascii="Arial Black" w:hAnsi="Arial Black"/>
        <w:b/>
        <w:szCs w:val="19"/>
      </w:rPr>
      <w:instrText xml:space="preserve"> PAGE   \* MERGEFORMAT </w:instrText>
    </w:r>
    <w:r w:rsidRPr="00E750FD">
      <w:rPr>
        <w:rFonts w:ascii="Arial Black" w:hAnsi="Arial Black"/>
        <w:b/>
        <w:szCs w:val="19"/>
      </w:rPr>
      <w:fldChar w:fldCharType="separate"/>
    </w:r>
    <w:r>
      <w:rPr>
        <w:rFonts w:ascii="Arial Black" w:hAnsi="Arial Black"/>
        <w:b/>
        <w:szCs w:val="19"/>
      </w:rPr>
      <w:t>143</w:t>
    </w:r>
    <w:r w:rsidRPr="00E750FD">
      <w:rPr>
        <w:rFonts w:ascii="Arial Black" w:hAnsi="Arial Black"/>
        <w:szCs w:val="19"/>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097F56" w:rsidP="00097F56" w14:paraId="3BD8C224" w14:textId="4FBC58EF">
    <w:pPr>
      <w:pStyle w:val="Footer"/>
      <w:jc w:val="right"/>
      <w:rPr>
        <w:rFonts w:ascii="Arial Black" w:hAnsi="Arial Black"/>
        <w:szCs w:val="19"/>
      </w:rPr>
    </w:pPr>
    <w:sdt>
      <w:sdtPr>
        <w:rPr>
          <w:szCs w:val="19"/>
        </w:rPr>
        <w:id w:val="-1791898372"/>
        <w:docPartObj>
          <w:docPartGallery w:val="Page Numbers (Bottom of Page)"/>
          <w:docPartUnique/>
        </w:docPartObj>
      </w:sdtPr>
      <w:sdtEndPr>
        <w:rPr>
          <w:szCs w:val="20"/>
        </w:rPr>
      </w:sdtEndPr>
      <w:sdtContent>
        <w:sdt>
          <w:sdtPr>
            <w:rPr>
              <w:b/>
              <w:szCs w:val="19"/>
            </w:rPr>
            <w:id w:val="879297624"/>
            <w:docPartObj>
              <w:docPartGallery w:val="Page Numbers (Bottom of Page)"/>
              <w:docPartUnique/>
            </w:docPartObj>
          </w:sdtPr>
          <w:sdtEndPr>
            <w:rPr>
              <w:b w:val="0"/>
              <w:szCs w:val="20"/>
            </w:rPr>
          </w:sdtEndPr>
          <w:sdtContent>
            <w:sdt>
              <w:sdtPr>
                <w:rPr>
                  <w:b/>
                  <w:szCs w:val="19"/>
                </w:rPr>
                <w:id w:val="-354114052"/>
                <w:docPartObj>
                  <w:docPartGallery w:val="Page Numbers (Bottom of Page)"/>
                  <w:docPartUnique/>
                </w:docPartObj>
              </w:sdtPr>
              <w:sdtEndPr>
                <w:rPr>
                  <w:b w:val="0"/>
                  <w:szCs w:val="20"/>
                </w:rPr>
              </w:sdtEndPr>
              <w:sdtContent>
                <w:sdt>
                  <w:sdtPr>
                    <w:rPr>
                      <w:b/>
                      <w:szCs w:val="19"/>
                    </w:rPr>
                    <w:id w:val="332345457"/>
                    <w:docPartObj>
                      <w:docPartGallery w:val="Page Numbers (Bottom of Page)"/>
                      <w:docPartUnique/>
                    </w:docPartObj>
                  </w:sdtPr>
                  <w:sdtEndPr>
                    <w:rPr>
                      <w:b w:val="0"/>
                      <w:szCs w:val="20"/>
                    </w:rPr>
                  </w:sdtEndPr>
                  <w:sdtContent>
                    <w:sdt>
                      <w:sdtPr>
                        <w:rPr>
                          <w:szCs w:val="19"/>
                        </w:rPr>
                        <w:id w:val="-1614433236"/>
                        <w:docPartObj>
                          <w:docPartGallery w:val="Page Numbers (Bottom of Page)"/>
                          <w:docPartUnique/>
                        </w:docPartObj>
                      </w:sdtPr>
                      <w:sdtEndPr>
                        <w:rPr>
                          <w:szCs w:val="20"/>
                        </w:rPr>
                      </w:sdtEndPr>
                      <w:sdtContent>
                        <w:r w:rsidRPr="00D544BD">
                          <w:t>PROTOCOL T</w:t>
                        </w:r>
                        <w:r>
                          <w:t>HREE</w:t>
                        </w:r>
                        <w:r w:rsidRPr="00D544BD">
                          <w:t xml:space="preserve"> |</w:t>
                        </w:r>
                      </w:sdtContent>
                    </w:sdt>
                  </w:sdtContent>
                </w:sdt>
              </w:sdtContent>
            </w:sdt>
          </w:sdtContent>
        </w:sdt>
      </w:sdtContent>
    </w:sdt>
    <w:r w:rsidRPr="00D544BD">
      <w:t xml:space="preserve"> </w:t>
    </w:r>
    <w:r w:rsidRPr="00E750FD">
      <w:rPr>
        <w:rFonts w:ascii="Arial Black" w:hAnsi="Arial Black"/>
        <w:b/>
        <w:szCs w:val="19"/>
      </w:rPr>
      <w:fldChar w:fldCharType="begin"/>
    </w:r>
    <w:r w:rsidRPr="00E750FD">
      <w:rPr>
        <w:rFonts w:ascii="Arial Black" w:hAnsi="Arial Black"/>
        <w:b/>
        <w:szCs w:val="19"/>
      </w:rPr>
      <w:instrText xml:space="preserve"> PAGE   \* MERGEFORMAT </w:instrText>
    </w:r>
    <w:r w:rsidRPr="00E750FD">
      <w:rPr>
        <w:rFonts w:ascii="Arial Black" w:hAnsi="Arial Black"/>
        <w:b/>
        <w:szCs w:val="19"/>
      </w:rPr>
      <w:fldChar w:fldCharType="separate"/>
    </w:r>
    <w:r>
      <w:rPr>
        <w:rFonts w:ascii="Arial Black" w:hAnsi="Arial Black"/>
        <w:b/>
        <w:szCs w:val="19"/>
      </w:rPr>
      <w:t>143</w:t>
    </w:r>
    <w:r w:rsidRPr="00E750FD">
      <w:rPr>
        <w:rFonts w:ascii="Arial Black" w:hAnsi="Arial Black"/>
        <w:szCs w:val="19"/>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rFonts w:ascii="Arial Black" w:hAnsi="Arial Black"/>
      </w:rPr>
      <w:id w:val="-1596864316"/>
      <w:docPartObj>
        <w:docPartGallery w:val="Page Numbers (Bottom of Page)"/>
        <w:docPartUnique/>
      </w:docPartObj>
    </w:sdtPr>
    <w:sdtEndPr>
      <w:rPr>
        <w:rFonts w:ascii="Arial" w:hAnsi="Arial"/>
      </w:rPr>
    </w:sdtEndPr>
    <w:sdtContent>
      <w:p w:rsidR="00ED33C3" w:rsidRPr="00D544BD" w:rsidP="00345082" w14:paraId="681DA735" w14:textId="253ADC71">
        <w:pPr>
          <w:pStyle w:val="Footer"/>
        </w:pPr>
        <w:r w:rsidRPr="00407B69">
          <w:rPr>
            <w:rFonts w:ascii="Arial Black" w:hAnsi="Arial Black"/>
            <w:b/>
            <w:szCs w:val="19"/>
          </w:rPr>
          <w:fldChar w:fldCharType="begin"/>
        </w:r>
        <w:r w:rsidRPr="00407B69">
          <w:rPr>
            <w:rFonts w:ascii="Arial Black" w:hAnsi="Arial Black"/>
            <w:b/>
            <w:szCs w:val="19"/>
          </w:rPr>
          <w:instrText xml:space="preserve"> PAGE   \* MERGEFORMAT </w:instrText>
        </w:r>
        <w:r w:rsidRPr="00407B69">
          <w:rPr>
            <w:rFonts w:ascii="Arial Black" w:hAnsi="Arial Black"/>
            <w:b/>
            <w:szCs w:val="19"/>
          </w:rPr>
          <w:fldChar w:fldCharType="separate"/>
        </w:r>
        <w:r>
          <w:rPr>
            <w:rFonts w:ascii="Arial Black" w:hAnsi="Arial Black"/>
            <w:b/>
            <w:noProof/>
            <w:szCs w:val="19"/>
          </w:rPr>
          <w:t>28</w:t>
        </w:r>
        <w:r w:rsidRPr="00407B69">
          <w:rPr>
            <w:rFonts w:ascii="Arial Black" w:hAnsi="Arial Black"/>
            <w:szCs w:val="19"/>
          </w:rPr>
          <w:fldChar w:fldCharType="end"/>
        </w:r>
        <w:r w:rsidRPr="00D544BD">
          <w:t xml:space="preserve"> | </w:t>
        </w:r>
        <w:r w:rsidRPr="002D669A">
          <w:t>PROTOCOL FOUR</w:t>
        </w:r>
      </w:p>
    </w:sdtContent>
  </w:sdt>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341F39" w:rsidP="00341F39" w14:paraId="496C4DAD" w14:textId="75163218">
    <w:pPr>
      <w:pStyle w:val="Footer"/>
      <w:jc w:val="right"/>
      <w:rPr>
        <w:rFonts w:ascii="Arial Black" w:hAnsi="Arial Black"/>
        <w:szCs w:val="19"/>
      </w:rPr>
    </w:pPr>
    <w:sdt>
      <w:sdtPr>
        <w:rPr>
          <w:szCs w:val="19"/>
        </w:rPr>
        <w:id w:val="779620024"/>
        <w:docPartObj>
          <w:docPartGallery w:val="Page Numbers (Bottom of Page)"/>
          <w:docPartUnique/>
        </w:docPartObj>
      </w:sdtPr>
      <w:sdtEndPr>
        <w:rPr>
          <w:szCs w:val="20"/>
        </w:rPr>
      </w:sdtEndPr>
      <w:sdtContent>
        <w:sdt>
          <w:sdtPr>
            <w:rPr>
              <w:b/>
              <w:szCs w:val="19"/>
            </w:rPr>
            <w:id w:val="7884645"/>
            <w:docPartObj>
              <w:docPartGallery w:val="Page Numbers (Bottom of Page)"/>
              <w:docPartUnique/>
            </w:docPartObj>
          </w:sdtPr>
          <w:sdtEndPr>
            <w:rPr>
              <w:b w:val="0"/>
              <w:szCs w:val="20"/>
            </w:rPr>
          </w:sdtEndPr>
          <w:sdtContent>
            <w:sdt>
              <w:sdtPr>
                <w:rPr>
                  <w:b/>
                  <w:szCs w:val="19"/>
                </w:rPr>
                <w:id w:val="453835167"/>
                <w:docPartObj>
                  <w:docPartGallery w:val="Page Numbers (Bottom of Page)"/>
                  <w:docPartUnique/>
                </w:docPartObj>
              </w:sdtPr>
              <w:sdtEndPr>
                <w:rPr>
                  <w:b w:val="0"/>
                  <w:szCs w:val="20"/>
                </w:rPr>
              </w:sdtEndPr>
              <w:sdtContent>
                <w:sdt>
                  <w:sdtPr>
                    <w:rPr>
                      <w:b/>
                      <w:szCs w:val="19"/>
                    </w:rPr>
                    <w:id w:val="-1510440585"/>
                    <w:docPartObj>
                      <w:docPartGallery w:val="Page Numbers (Bottom of Page)"/>
                      <w:docPartUnique/>
                    </w:docPartObj>
                  </w:sdtPr>
                  <w:sdtEndPr>
                    <w:rPr>
                      <w:b w:val="0"/>
                      <w:szCs w:val="20"/>
                    </w:rPr>
                  </w:sdtEndPr>
                  <w:sdtContent>
                    <w:sdt>
                      <w:sdtPr>
                        <w:rPr>
                          <w:szCs w:val="19"/>
                        </w:rPr>
                        <w:id w:val="320850209"/>
                        <w:docPartObj>
                          <w:docPartGallery w:val="Page Numbers (Bottom of Page)"/>
                          <w:docPartUnique/>
                        </w:docPartObj>
                      </w:sdtPr>
                      <w:sdtEndPr>
                        <w:rPr>
                          <w:szCs w:val="20"/>
                        </w:rPr>
                      </w:sdtEndPr>
                      <w:sdtContent>
                        <w:r>
                          <w:t xml:space="preserve">PROTOCOL FOUR </w:t>
                        </w:r>
                        <w:r w:rsidRPr="00D544BD">
                          <w:t>|</w:t>
                        </w:r>
                      </w:sdtContent>
                    </w:sdt>
                  </w:sdtContent>
                </w:sdt>
              </w:sdtContent>
            </w:sdt>
          </w:sdtContent>
        </w:sdt>
      </w:sdtContent>
    </w:sdt>
    <w:r w:rsidRPr="00D544BD">
      <w:t xml:space="preserve"> </w:t>
    </w:r>
    <w:r w:rsidRPr="00EC1266">
      <w:rPr>
        <w:rFonts w:ascii="Arial Black" w:hAnsi="Arial Black"/>
        <w:b/>
        <w:szCs w:val="19"/>
      </w:rPr>
      <w:fldChar w:fldCharType="begin"/>
    </w:r>
    <w:r w:rsidRPr="00EC1266">
      <w:rPr>
        <w:rFonts w:ascii="Arial Black" w:hAnsi="Arial Black"/>
        <w:b/>
        <w:szCs w:val="19"/>
      </w:rPr>
      <w:instrText xml:space="preserve"> PAGE   \* MERGEFORMAT </w:instrText>
    </w:r>
    <w:r w:rsidRPr="00EC1266">
      <w:rPr>
        <w:rFonts w:ascii="Arial Black" w:hAnsi="Arial Black"/>
        <w:b/>
        <w:szCs w:val="19"/>
      </w:rPr>
      <w:fldChar w:fldCharType="separate"/>
    </w:r>
    <w:r>
      <w:rPr>
        <w:rFonts w:ascii="Arial Black" w:hAnsi="Arial Black"/>
        <w:b/>
        <w:noProof/>
        <w:szCs w:val="19"/>
      </w:rPr>
      <w:t>29</w:t>
    </w:r>
    <w:r w:rsidRPr="00EC1266">
      <w:rPr>
        <w:rFonts w:ascii="Arial Black" w:hAnsi="Arial Black"/>
        <w:szCs w:val="19"/>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933858" w:rsidP="00933858" w14:paraId="511AD6B6" w14:textId="768329BF">
    <w:pPr>
      <w:pStyle w:val="Footer"/>
      <w:pBdr>
        <w:top w:val="none" w:sz="0" w:space="0" w:color="auto"/>
      </w:pBdr>
      <w:rPr>
        <w:rFonts w:ascii="Arial Black" w:hAnsi="Arial Black"/>
        <w:color w:val="005968"/>
        <w:szCs w:val="19"/>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P="00FE4357" w14:paraId="3610FDD0" w14:textId="77777777">
    <w:pPr>
      <w:pStyle w:val="Footer"/>
      <w:pBdr>
        <w:top w:val="none" w:sz="0" w:space="0" w:color="auto"/>
      </w:pBd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b/>
        <w:bCs/>
        <w:color w:val="166783"/>
      </w:rPr>
      <w:id w:val="1415118531"/>
      <w:docPartObj>
        <w:docPartGallery w:val="Page Numbers (Bottom of Page)"/>
        <w:docPartUnique/>
      </w:docPartObj>
    </w:sdtPr>
    <w:sdtEndPr>
      <w:rPr>
        <w:rFonts w:ascii="Arial Black" w:hAnsi="Arial Black"/>
        <w:b w:val="0"/>
        <w:color w:val="FFFFFF" w:themeColor="background1"/>
        <w:sz w:val="15"/>
        <w:szCs w:val="15"/>
      </w:rPr>
    </w:sdtEndPr>
    <w:sdtContent>
      <w:p w:rsidR="00ED33C3" w:rsidRPr="00D127AE" w:rsidP="00B54CA3" w14:paraId="2D626A21" w14:textId="2FACA23F">
        <w:pPr>
          <w:pStyle w:val="Footer"/>
          <w:jc w:val="right"/>
          <w:rPr>
            <w:rFonts w:ascii="Arial Black" w:hAnsi="Arial Black"/>
            <w:color w:val="FFFFFF" w:themeColor="background1"/>
            <w:szCs w:val="19"/>
          </w:rPr>
        </w:pPr>
        <w:sdt>
          <w:sdtPr>
            <w:rPr>
              <w:b/>
              <w:color w:val="166783"/>
              <w:szCs w:val="19"/>
            </w:rPr>
            <w:id w:val="-490486516"/>
            <w:docPartObj>
              <w:docPartGallery w:val="Page Numbers (Bottom of Page)"/>
              <w:docPartUnique/>
            </w:docPartObj>
          </w:sdtPr>
          <w:sdtEndPr>
            <w:rPr>
              <w:rFonts w:ascii="Arial Black" w:hAnsi="Arial Black"/>
              <w:b w:val="0"/>
              <w:color w:val="FFFFFF" w:themeColor="background1"/>
              <w:sz w:val="15"/>
              <w:szCs w:val="15"/>
            </w:rPr>
          </w:sdtEndPr>
          <w:sdtContent>
            <w:sdt>
              <w:sdtPr>
                <w:rPr>
                  <w:b/>
                  <w:color w:val="166783"/>
                  <w:szCs w:val="19"/>
                </w:rPr>
                <w:id w:val="-1275482351"/>
                <w:docPartObj>
                  <w:docPartGallery w:val="Page Numbers (Bottom of Page)"/>
                  <w:docPartUnique/>
                </w:docPartObj>
              </w:sdtPr>
              <w:sdtEndPr>
                <w:rPr>
                  <w:rFonts w:ascii="Arial Black" w:hAnsi="Arial Black"/>
                  <w:color w:val="FFFFFF" w:themeColor="background1"/>
                </w:rPr>
              </w:sdtEndPr>
              <w:sdtContent>
                <w:sdt>
                  <w:sdtPr>
                    <w:rPr>
                      <w:b/>
                      <w:color w:val="166783"/>
                      <w:szCs w:val="19"/>
                    </w:rPr>
                    <w:id w:val="-2053920275"/>
                    <w:docPartObj>
                      <w:docPartGallery w:val="Page Numbers (Bottom of Page)"/>
                      <w:docPartUnique/>
                    </w:docPartObj>
                  </w:sdtPr>
                  <w:sdtEndPr>
                    <w:rPr>
                      <w:rFonts w:ascii="Arial Black" w:hAnsi="Arial Black"/>
                      <w:color w:val="FFFFFF" w:themeColor="background1"/>
                    </w:rPr>
                  </w:sdtEndPr>
                  <w:sdtContent>
                    <w:sdt>
                      <w:sdtPr>
                        <w:rPr>
                          <w:rFonts w:ascii="Arial Black" w:hAnsi="Arial Black"/>
                          <w:szCs w:val="19"/>
                        </w:rPr>
                        <w:id w:val="1872096815"/>
                        <w:docPartObj>
                          <w:docPartGallery w:val="Page Numbers (Bottom of Page)"/>
                          <w:docPartUnique/>
                        </w:docPartObj>
                      </w:sdtPr>
                      <w:sdtEndPr>
                        <w:rPr>
                          <w:rFonts w:ascii="Arial" w:hAnsi="Arial"/>
                          <w:szCs w:val="20"/>
                        </w:rPr>
                      </w:sdtEndPr>
                      <w:sdtContent>
                        <w:r w:rsidRPr="00407B69">
                          <w:rPr>
                            <w:rFonts w:ascii="Arial Black" w:hAnsi="Arial Black"/>
                            <w:b/>
                            <w:szCs w:val="19"/>
                          </w:rPr>
                          <w:fldChar w:fldCharType="begin"/>
                        </w:r>
                        <w:r w:rsidRPr="00407B69">
                          <w:rPr>
                            <w:rFonts w:ascii="Arial Black" w:hAnsi="Arial Black"/>
                            <w:b/>
                            <w:szCs w:val="19"/>
                          </w:rPr>
                          <w:instrText xml:space="preserve"> PAGE   \* MERGEFORMAT </w:instrText>
                        </w:r>
                        <w:r w:rsidRPr="00407B69">
                          <w:rPr>
                            <w:rFonts w:ascii="Arial Black" w:hAnsi="Arial Black"/>
                            <w:b/>
                            <w:szCs w:val="19"/>
                          </w:rPr>
                          <w:fldChar w:fldCharType="separate"/>
                        </w:r>
                        <w:r>
                          <w:rPr>
                            <w:rFonts w:ascii="Arial Black" w:hAnsi="Arial Black"/>
                            <w:b/>
                            <w:noProof/>
                            <w:szCs w:val="19"/>
                          </w:rPr>
                          <w:t>24</w:t>
                        </w:r>
                        <w:r w:rsidRPr="00407B69">
                          <w:rPr>
                            <w:rFonts w:ascii="Arial Black" w:hAnsi="Arial Black"/>
                            <w:szCs w:val="19"/>
                          </w:rPr>
                          <w:fldChar w:fldCharType="end"/>
                        </w:r>
                        <w:r w:rsidRPr="00D544BD">
                          <w:t xml:space="preserve"> | </w:t>
                        </w:r>
                        <w:r w:rsidRPr="002D669A">
                          <w:t>PROTOCOL FOUR</w:t>
                        </w:r>
                      </w:sdtContent>
                    </w:sdt>
                    <w:r>
                      <w:t xml:space="preserve"> </w:t>
                    </w:r>
                  </w:sdtContent>
                </w:sdt>
              </w:sdtContent>
            </w:sdt>
          </w:sdtContent>
        </w:sdt>
      </w:p>
    </w:sdtContent>
  </w:sdt>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color w:val="166783"/>
      </w:rPr>
      <w:id w:val="1007106812"/>
      <w:docPartObj>
        <w:docPartGallery w:val="Page Numbers (Bottom of Page)"/>
        <w:docPartUnique/>
      </w:docPartObj>
    </w:sdtPr>
    <w:sdtEndPr>
      <w:rPr>
        <w:color w:val="003F75" w:themeColor="text2" w:themeShade="BF"/>
      </w:rPr>
    </w:sdtEndPr>
    <w:sdtContent>
      <w:p w:rsidR="00ED33C3" w:rsidRPr="00D544BD" w:rsidP="00345082" w14:paraId="13EF48DB" w14:textId="087E8702">
        <w:pPr>
          <w:pStyle w:val="Footer"/>
        </w:pPr>
        <w:r w:rsidRPr="00C535AD">
          <w:rPr>
            <w:rFonts w:ascii="Arial Black" w:hAnsi="Arial Black"/>
            <w:b/>
            <w:szCs w:val="19"/>
          </w:rPr>
          <w:fldChar w:fldCharType="begin"/>
        </w:r>
        <w:r w:rsidRPr="00C535AD">
          <w:rPr>
            <w:rFonts w:ascii="Arial Black" w:hAnsi="Arial Black"/>
            <w:b/>
            <w:szCs w:val="19"/>
          </w:rPr>
          <w:instrText xml:space="preserve"> PAGE   \* MERGEFORMAT </w:instrText>
        </w:r>
        <w:r w:rsidRPr="00C535AD">
          <w:rPr>
            <w:rFonts w:ascii="Arial Black" w:hAnsi="Arial Black"/>
            <w:b/>
            <w:szCs w:val="19"/>
          </w:rPr>
          <w:fldChar w:fldCharType="separate"/>
        </w:r>
        <w:r>
          <w:rPr>
            <w:rFonts w:ascii="Arial Black" w:hAnsi="Arial Black"/>
            <w:b/>
            <w:noProof/>
            <w:szCs w:val="19"/>
          </w:rPr>
          <w:t>198</w:t>
        </w:r>
        <w:r w:rsidRPr="00C535AD">
          <w:rPr>
            <w:rFonts w:ascii="Arial Black" w:hAnsi="Arial Black"/>
            <w:szCs w:val="19"/>
          </w:rPr>
          <w:fldChar w:fldCharType="end"/>
        </w:r>
        <w:r w:rsidRPr="00C535AD">
          <w:t xml:space="preserve"> | </w:t>
        </w:r>
        <w:r w:rsidRPr="00D544BD">
          <w:t xml:space="preserve">PROTOCOL </w:t>
        </w:r>
        <w:r>
          <w:t>FOUR</w:t>
        </w:r>
      </w:p>
    </w:sdtContent>
  </w:sdt>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341F39" w:rsidP="00341F39" w14:paraId="3BAEEA80" w14:textId="25D948E2">
    <w:pPr>
      <w:pStyle w:val="Footer"/>
      <w:jc w:val="right"/>
      <w:rPr>
        <w:rFonts w:ascii="Arial Black" w:hAnsi="Arial Black"/>
        <w:szCs w:val="19"/>
      </w:rPr>
    </w:pPr>
    <w:sdt>
      <w:sdtPr>
        <w:rPr>
          <w:szCs w:val="19"/>
        </w:rPr>
        <w:id w:val="463851923"/>
        <w:docPartObj>
          <w:docPartGallery w:val="Page Numbers (Bottom of Page)"/>
          <w:docPartUnique/>
        </w:docPartObj>
      </w:sdtPr>
      <w:sdtEndPr>
        <w:rPr>
          <w:szCs w:val="20"/>
        </w:rPr>
      </w:sdtEndPr>
      <w:sdtContent>
        <w:sdt>
          <w:sdtPr>
            <w:rPr>
              <w:b/>
              <w:szCs w:val="19"/>
            </w:rPr>
            <w:id w:val="1640533251"/>
            <w:docPartObj>
              <w:docPartGallery w:val="Page Numbers (Bottom of Page)"/>
              <w:docPartUnique/>
            </w:docPartObj>
          </w:sdtPr>
          <w:sdtEndPr>
            <w:rPr>
              <w:b w:val="0"/>
              <w:szCs w:val="20"/>
            </w:rPr>
          </w:sdtEndPr>
          <w:sdtContent>
            <w:sdt>
              <w:sdtPr>
                <w:rPr>
                  <w:b/>
                  <w:szCs w:val="19"/>
                </w:rPr>
                <w:id w:val="-69043780"/>
                <w:docPartObj>
                  <w:docPartGallery w:val="Page Numbers (Bottom of Page)"/>
                  <w:docPartUnique/>
                </w:docPartObj>
              </w:sdtPr>
              <w:sdtEndPr>
                <w:rPr>
                  <w:b w:val="0"/>
                  <w:szCs w:val="20"/>
                </w:rPr>
              </w:sdtEndPr>
              <w:sdtContent>
                <w:sdt>
                  <w:sdtPr>
                    <w:rPr>
                      <w:b/>
                      <w:szCs w:val="19"/>
                    </w:rPr>
                    <w:id w:val="2046177247"/>
                    <w:docPartObj>
                      <w:docPartGallery w:val="Page Numbers (Bottom of Page)"/>
                      <w:docPartUnique/>
                    </w:docPartObj>
                  </w:sdtPr>
                  <w:sdtEndPr>
                    <w:rPr>
                      <w:b w:val="0"/>
                      <w:szCs w:val="20"/>
                    </w:rPr>
                  </w:sdtEndPr>
                  <w:sdtContent>
                    <w:sdt>
                      <w:sdtPr>
                        <w:rPr>
                          <w:szCs w:val="19"/>
                        </w:rPr>
                        <w:id w:val="-728462746"/>
                        <w:docPartObj>
                          <w:docPartGallery w:val="Page Numbers (Bottom of Page)"/>
                          <w:docPartUnique/>
                        </w:docPartObj>
                      </w:sdtPr>
                      <w:sdtEndPr>
                        <w:rPr>
                          <w:szCs w:val="20"/>
                        </w:rPr>
                      </w:sdtEndPr>
                      <w:sdtContent>
                        <w:r w:rsidRPr="00D544BD">
                          <w:t xml:space="preserve">PROTOCOL </w:t>
                        </w:r>
                        <w:r>
                          <w:t>FOUR</w:t>
                        </w:r>
                        <w:r w:rsidRPr="00D544BD">
                          <w:t xml:space="preserve"> |</w:t>
                        </w:r>
                      </w:sdtContent>
                    </w:sdt>
                  </w:sdtContent>
                </w:sdt>
              </w:sdtContent>
            </w:sdt>
          </w:sdtContent>
        </w:sdt>
      </w:sdtContent>
    </w:sdt>
    <w:r w:rsidRPr="00D544BD">
      <w:t xml:space="preserve"> </w:t>
    </w:r>
    <w:r w:rsidRPr="00EC1266">
      <w:rPr>
        <w:rFonts w:ascii="Arial Black" w:hAnsi="Arial Black"/>
        <w:b/>
        <w:szCs w:val="19"/>
      </w:rPr>
      <w:fldChar w:fldCharType="begin"/>
    </w:r>
    <w:r w:rsidRPr="00EC1266">
      <w:rPr>
        <w:rFonts w:ascii="Arial Black" w:hAnsi="Arial Black"/>
        <w:b/>
        <w:szCs w:val="19"/>
      </w:rPr>
      <w:instrText xml:space="preserve"> PAGE   \* MERGEFORMAT </w:instrText>
    </w:r>
    <w:r w:rsidRPr="00EC1266">
      <w:rPr>
        <w:rFonts w:ascii="Arial Black" w:hAnsi="Arial Black"/>
        <w:b/>
        <w:szCs w:val="19"/>
      </w:rPr>
      <w:fldChar w:fldCharType="separate"/>
    </w:r>
    <w:r>
      <w:rPr>
        <w:rFonts w:ascii="Arial Black" w:hAnsi="Arial Black"/>
        <w:b/>
        <w:noProof/>
        <w:szCs w:val="19"/>
      </w:rPr>
      <w:t>199</w:t>
    </w:r>
    <w:r w:rsidRPr="00EC1266">
      <w:rPr>
        <w:rFonts w:ascii="Arial Black" w:hAnsi="Arial Black"/>
        <w:szCs w:val="19"/>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rFonts w:ascii="Arial Black" w:hAnsi="Arial Black"/>
      </w:rPr>
      <w:id w:val="2138060442"/>
      <w:docPartObj>
        <w:docPartGallery w:val="Page Numbers (Bottom of Page)"/>
        <w:docPartUnique/>
      </w:docPartObj>
    </w:sdtPr>
    <w:sdtEndPr>
      <w:rPr>
        <w:rFonts w:ascii="Arial" w:hAnsi="Arial"/>
      </w:rPr>
    </w:sdtEndPr>
    <w:sdtContent>
      <w:p w:rsidR="00ED33C3" w:rsidRPr="00933858" w:rsidP="00933858" w14:paraId="2F6DA2AD" w14:textId="3E03A2E2">
        <w:pPr>
          <w:pStyle w:val="Footer"/>
        </w:pPr>
        <w:r w:rsidRPr="00407B69">
          <w:rPr>
            <w:rFonts w:ascii="Arial Black" w:hAnsi="Arial Black"/>
            <w:b/>
            <w:szCs w:val="19"/>
          </w:rPr>
          <w:fldChar w:fldCharType="begin"/>
        </w:r>
        <w:r w:rsidRPr="00407B69">
          <w:rPr>
            <w:rFonts w:ascii="Arial Black" w:hAnsi="Arial Black"/>
            <w:b/>
            <w:szCs w:val="19"/>
          </w:rPr>
          <w:instrText xml:space="preserve"> PAGE   \* MERGEFORMAT </w:instrText>
        </w:r>
        <w:r w:rsidRPr="00407B69">
          <w:rPr>
            <w:rFonts w:ascii="Arial Black" w:hAnsi="Arial Black"/>
            <w:b/>
            <w:szCs w:val="19"/>
          </w:rPr>
          <w:fldChar w:fldCharType="separate"/>
        </w:r>
        <w:r>
          <w:rPr>
            <w:rFonts w:ascii="Arial Black" w:hAnsi="Arial Black"/>
            <w:b/>
            <w:szCs w:val="19"/>
          </w:rPr>
          <w:t>270</w:t>
        </w:r>
        <w:r w:rsidRPr="00407B69">
          <w:rPr>
            <w:rFonts w:ascii="Arial Black" w:hAnsi="Arial Black"/>
            <w:szCs w:val="19"/>
          </w:rPr>
          <w:fldChar w:fldCharType="end"/>
        </w:r>
        <w:r w:rsidRPr="00D544BD">
          <w:t xml:space="preserve"> | </w:t>
        </w:r>
        <w:r w:rsidRPr="002D669A">
          <w:t>PROTOCOL FOUR</w:t>
        </w:r>
      </w:p>
    </w:sdtContent>
  </w:sdt>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color w:val="166783"/>
      </w:rPr>
      <w:id w:val="1052199770"/>
      <w:docPartObj>
        <w:docPartGallery w:val="Page Numbers (Bottom of Page)"/>
        <w:docPartUnique/>
      </w:docPartObj>
    </w:sdtPr>
    <w:sdtEndPr>
      <w:rPr>
        <w:color w:val="003F75" w:themeColor="text2" w:themeShade="BF"/>
      </w:rPr>
    </w:sdtEndPr>
    <w:sdtContent>
      <w:p w:rsidR="00ED33C3" w:rsidRPr="00D544BD" w:rsidP="00345082" w14:paraId="6DC86A71" w14:textId="2AD68422">
        <w:pPr>
          <w:pStyle w:val="Footer"/>
        </w:pPr>
        <w:r w:rsidRPr="00C535AD">
          <w:rPr>
            <w:rFonts w:ascii="Arial Black" w:hAnsi="Arial Black"/>
            <w:b/>
            <w:szCs w:val="19"/>
          </w:rPr>
          <w:fldChar w:fldCharType="begin"/>
        </w:r>
        <w:r w:rsidRPr="00C535AD">
          <w:rPr>
            <w:rFonts w:ascii="Arial Black" w:hAnsi="Arial Black"/>
            <w:b/>
            <w:szCs w:val="19"/>
          </w:rPr>
          <w:instrText xml:space="preserve"> PAGE   \* MERGEFORMAT </w:instrText>
        </w:r>
        <w:r w:rsidRPr="00C535AD">
          <w:rPr>
            <w:rFonts w:ascii="Arial Black" w:hAnsi="Arial Black"/>
            <w:b/>
            <w:szCs w:val="19"/>
          </w:rPr>
          <w:fldChar w:fldCharType="separate"/>
        </w:r>
        <w:r>
          <w:rPr>
            <w:rFonts w:ascii="Arial Black" w:hAnsi="Arial Black"/>
            <w:b/>
            <w:noProof/>
            <w:szCs w:val="19"/>
          </w:rPr>
          <w:t>208</w:t>
        </w:r>
        <w:r w:rsidRPr="00C535AD">
          <w:rPr>
            <w:rFonts w:ascii="Arial Black" w:hAnsi="Arial Black"/>
            <w:szCs w:val="19"/>
          </w:rPr>
          <w:fldChar w:fldCharType="end"/>
        </w:r>
        <w:r w:rsidRPr="00C535AD">
          <w:t xml:space="preserve"> </w:t>
        </w:r>
        <w:r w:rsidRPr="00D544BD">
          <w:t xml:space="preserve">| PROTOCOL </w:t>
        </w:r>
        <w:r>
          <w:t>FIVE</w:t>
        </w:r>
      </w:p>
    </w:sdtContent>
  </w:sdt>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341F39" w:rsidP="00341F39" w14:paraId="2DB3DC76" w14:textId="505A2D47">
    <w:pPr>
      <w:pStyle w:val="Footer"/>
      <w:jc w:val="right"/>
      <w:rPr>
        <w:rFonts w:ascii="Arial Black" w:hAnsi="Arial Black"/>
        <w:szCs w:val="19"/>
      </w:rPr>
    </w:pPr>
    <w:sdt>
      <w:sdtPr>
        <w:rPr>
          <w:szCs w:val="19"/>
        </w:rPr>
        <w:id w:val="-20701017"/>
        <w:docPartObj>
          <w:docPartGallery w:val="Page Numbers (Bottom of Page)"/>
          <w:docPartUnique/>
        </w:docPartObj>
      </w:sdtPr>
      <w:sdtEndPr>
        <w:rPr>
          <w:szCs w:val="20"/>
        </w:rPr>
      </w:sdtEndPr>
      <w:sdtContent>
        <w:sdt>
          <w:sdtPr>
            <w:rPr>
              <w:b/>
              <w:szCs w:val="19"/>
            </w:rPr>
            <w:id w:val="-397275320"/>
            <w:docPartObj>
              <w:docPartGallery w:val="Page Numbers (Bottom of Page)"/>
              <w:docPartUnique/>
            </w:docPartObj>
          </w:sdtPr>
          <w:sdtEndPr>
            <w:rPr>
              <w:b w:val="0"/>
              <w:szCs w:val="20"/>
            </w:rPr>
          </w:sdtEndPr>
          <w:sdtContent>
            <w:sdt>
              <w:sdtPr>
                <w:rPr>
                  <w:b/>
                  <w:szCs w:val="19"/>
                </w:rPr>
                <w:id w:val="2091807376"/>
                <w:docPartObj>
                  <w:docPartGallery w:val="Page Numbers (Bottom of Page)"/>
                  <w:docPartUnique/>
                </w:docPartObj>
              </w:sdtPr>
              <w:sdtEndPr>
                <w:rPr>
                  <w:b w:val="0"/>
                  <w:szCs w:val="20"/>
                </w:rPr>
              </w:sdtEndPr>
              <w:sdtContent>
                <w:sdt>
                  <w:sdtPr>
                    <w:rPr>
                      <w:b/>
                      <w:szCs w:val="19"/>
                    </w:rPr>
                    <w:id w:val="1400017465"/>
                    <w:docPartObj>
                      <w:docPartGallery w:val="Page Numbers (Bottom of Page)"/>
                      <w:docPartUnique/>
                    </w:docPartObj>
                  </w:sdtPr>
                  <w:sdtEndPr>
                    <w:rPr>
                      <w:b w:val="0"/>
                      <w:szCs w:val="20"/>
                    </w:rPr>
                  </w:sdtEndPr>
                  <w:sdtContent>
                    <w:sdt>
                      <w:sdtPr>
                        <w:rPr>
                          <w:szCs w:val="19"/>
                        </w:rPr>
                        <w:id w:val="-253819584"/>
                        <w:docPartObj>
                          <w:docPartGallery w:val="Page Numbers (Bottom of Page)"/>
                          <w:docPartUnique/>
                        </w:docPartObj>
                      </w:sdtPr>
                      <w:sdtEndPr>
                        <w:rPr>
                          <w:szCs w:val="20"/>
                        </w:rPr>
                      </w:sdtEndPr>
                      <w:sdtContent>
                        <w:r w:rsidRPr="00D544BD">
                          <w:t xml:space="preserve">PROTOCOL </w:t>
                        </w:r>
                        <w:r>
                          <w:t>FIVE</w:t>
                        </w:r>
                        <w:r w:rsidRPr="00D544BD">
                          <w:t xml:space="preserve"> |</w:t>
                        </w:r>
                      </w:sdtContent>
                    </w:sdt>
                  </w:sdtContent>
                </w:sdt>
              </w:sdtContent>
            </w:sdt>
          </w:sdtContent>
        </w:sdt>
      </w:sdtContent>
    </w:sdt>
    <w:r w:rsidRPr="00D544BD">
      <w:t xml:space="preserve"> </w:t>
    </w:r>
    <w:r w:rsidRPr="00B05DC1">
      <w:rPr>
        <w:rFonts w:ascii="Arial Black" w:hAnsi="Arial Black" w:cstheme="majorHAnsi"/>
        <w:bCs/>
        <w:szCs w:val="19"/>
      </w:rPr>
      <w:fldChar w:fldCharType="begin"/>
    </w:r>
    <w:r w:rsidRPr="00B05DC1">
      <w:rPr>
        <w:rFonts w:ascii="Arial Black" w:hAnsi="Arial Black" w:cstheme="majorHAnsi"/>
        <w:bCs/>
        <w:szCs w:val="19"/>
      </w:rPr>
      <w:instrText xml:space="preserve"> PAGE   \* MERGEFORMAT </w:instrText>
    </w:r>
    <w:r w:rsidRPr="00B05DC1">
      <w:rPr>
        <w:rFonts w:ascii="Arial Black" w:hAnsi="Arial Black" w:cstheme="majorHAnsi"/>
        <w:bCs/>
        <w:szCs w:val="19"/>
      </w:rPr>
      <w:fldChar w:fldCharType="separate"/>
    </w:r>
    <w:r w:rsidRPr="00B05DC1">
      <w:rPr>
        <w:rFonts w:ascii="Arial Black" w:hAnsi="Arial Black" w:cstheme="majorHAnsi"/>
        <w:bCs/>
        <w:noProof/>
        <w:szCs w:val="19"/>
      </w:rPr>
      <w:t>207</w:t>
    </w:r>
    <w:r w:rsidRPr="00B05DC1">
      <w:rPr>
        <w:rFonts w:ascii="Arial Black" w:hAnsi="Arial Black" w:cstheme="majorHAnsi"/>
        <w:bCs/>
        <w:szCs w:val="19"/>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933858" w:rsidP="00933858" w14:paraId="13AE1E11" w14:textId="57B2C68D">
    <w:pPr>
      <w:pStyle w:val="Footer"/>
      <w:pBdr>
        <w:top w:val="none" w:sz="0" w:space="0" w:color="auto"/>
      </w:pBdr>
      <w:rPr>
        <w:rFonts w:ascii="Arial Black" w:hAnsi="Arial Black"/>
        <w:color w:val="005968"/>
        <w:szCs w:val="19"/>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14:paraId="66D99347" w14:textId="7234EBC4">
    <w:pPr>
      <w:pStyle w:val="Footer"/>
    </w:pPr>
    <w:sdt>
      <w:sdtPr>
        <w:rPr>
          <w:color w:val="166783"/>
          <w:szCs w:val="19"/>
        </w:rPr>
        <w:id w:val="435421761"/>
        <w:docPartObj>
          <w:docPartGallery w:val="Page Numbers (Bottom of Page)"/>
          <w:docPartUnique/>
        </w:docPartObj>
      </w:sdtPr>
      <w:sdtEndPr>
        <w:rPr>
          <w:color w:val="003F75" w:themeColor="text2" w:themeShade="BF"/>
          <w:szCs w:val="20"/>
        </w:rPr>
      </w:sdtEndPr>
      <w:sdtContent>
        <w:r w:rsidRPr="00C535AD">
          <w:rPr>
            <w:rFonts w:ascii="Arial Black" w:hAnsi="Arial Black"/>
            <w:b/>
            <w:szCs w:val="19"/>
          </w:rPr>
          <w:fldChar w:fldCharType="begin"/>
        </w:r>
        <w:r w:rsidRPr="00C535AD">
          <w:rPr>
            <w:rFonts w:ascii="Arial Black" w:hAnsi="Arial Black"/>
            <w:b/>
            <w:szCs w:val="19"/>
          </w:rPr>
          <w:instrText xml:space="preserve"> PAGE   \* MERGEFORMAT </w:instrText>
        </w:r>
        <w:r w:rsidRPr="00C535AD">
          <w:rPr>
            <w:rFonts w:ascii="Arial Black" w:hAnsi="Arial Black"/>
            <w:b/>
            <w:szCs w:val="19"/>
          </w:rPr>
          <w:fldChar w:fldCharType="separate"/>
        </w:r>
        <w:r>
          <w:rPr>
            <w:rFonts w:ascii="Arial Black" w:hAnsi="Arial Black"/>
            <w:b/>
            <w:szCs w:val="19"/>
          </w:rPr>
          <w:t>260</w:t>
        </w:r>
        <w:r w:rsidRPr="00C535AD">
          <w:rPr>
            <w:rFonts w:ascii="Arial Black" w:hAnsi="Arial Black"/>
            <w:szCs w:val="19"/>
          </w:rPr>
          <w:fldChar w:fldCharType="end"/>
        </w:r>
        <w:r w:rsidRPr="00C535AD">
          <w:t xml:space="preserve"> </w:t>
        </w:r>
        <w:r w:rsidRPr="00D544BD">
          <w:t xml:space="preserve">| PROTOCOL </w:t>
        </w:r>
        <w:r>
          <w:t>FIVE</w:t>
        </w:r>
      </w:sdtContent>
    </w:sdt>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B05DC1" w:rsidP="00B05DC1" w14:paraId="7F5D4399" w14:textId="46214FB8">
    <w:pPr>
      <w:pStyle w:val="Footer"/>
      <w:jc w:val="right"/>
      <w:rPr>
        <w:rFonts w:ascii="Arial Black" w:hAnsi="Arial Black"/>
        <w:szCs w:val="19"/>
      </w:rPr>
    </w:pPr>
    <w:sdt>
      <w:sdtPr>
        <w:rPr>
          <w:szCs w:val="19"/>
        </w:rPr>
        <w:id w:val="-502823142"/>
        <w:docPartObj>
          <w:docPartGallery w:val="Page Numbers (Bottom of Page)"/>
          <w:docPartUnique/>
        </w:docPartObj>
      </w:sdtPr>
      <w:sdtEndPr>
        <w:rPr>
          <w:szCs w:val="20"/>
        </w:rPr>
      </w:sdtEndPr>
      <w:sdtContent>
        <w:sdt>
          <w:sdtPr>
            <w:rPr>
              <w:b/>
              <w:szCs w:val="19"/>
            </w:rPr>
            <w:id w:val="1517038696"/>
            <w:docPartObj>
              <w:docPartGallery w:val="Page Numbers (Bottom of Page)"/>
              <w:docPartUnique/>
            </w:docPartObj>
          </w:sdtPr>
          <w:sdtEndPr>
            <w:rPr>
              <w:b w:val="0"/>
              <w:szCs w:val="20"/>
            </w:rPr>
          </w:sdtEndPr>
          <w:sdtContent>
            <w:sdt>
              <w:sdtPr>
                <w:rPr>
                  <w:b/>
                  <w:szCs w:val="19"/>
                </w:rPr>
                <w:id w:val="-581144954"/>
                <w:docPartObj>
                  <w:docPartGallery w:val="Page Numbers (Bottom of Page)"/>
                  <w:docPartUnique/>
                </w:docPartObj>
              </w:sdtPr>
              <w:sdtEndPr>
                <w:rPr>
                  <w:b w:val="0"/>
                  <w:szCs w:val="20"/>
                </w:rPr>
              </w:sdtEndPr>
              <w:sdtContent>
                <w:sdt>
                  <w:sdtPr>
                    <w:rPr>
                      <w:b/>
                      <w:szCs w:val="19"/>
                    </w:rPr>
                    <w:id w:val="1726409915"/>
                    <w:docPartObj>
                      <w:docPartGallery w:val="Page Numbers (Bottom of Page)"/>
                      <w:docPartUnique/>
                    </w:docPartObj>
                  </w:sdtPr>
                  <w:sdtEndPr>
                    <w:rPr>
                      <w:b w:val="0"/>
                      <w:szCs w:val="20"/>
                    </w:rPr>
                  </w:sdtEndPr>
                  <w:sdtContent>
                    <w:sdt>
                      <w:sdtPr>
                        <w:rPr>
                          <w:szCs w:val="19"/>
                        </w:rPr>
                        <w:id w:val="996146952"/>
                        <w:docPartObj>
                          <w:docPartGallery w:val="Page Numbers (Bottom of Page)"/>
                          <w:docPartUnique/>
                        </w:docPartObj>
                      </w:sdtPr>
                      <w:sdtEndPr>
                        <w:rPr>
                          <w:szCs w:val="20"/>
                        </w:rPr>
                      </w:sdtEndPr>
                      <w:sdtContent>
                        <w:r w:rsidRPr="00D544BD">
                          <w:t xml:space="preserve">PROTOCOL </w:t>
                        </w:r>
                        <w:r>
                          <w:t>FIVE</w:t>
                        </w:r>
                        <w:r w:rsidRPr="00D544BD">
                          <w:t xml:space="preserve"> |</w:t>
                        </w:r>
                      </w:sdtContent>
                    </w:sdt>
                  </w:sdtContent>
                </w:sdt>
              </w:sdtContent>
            </w:sdt>
          </w:sdtContent>
        </w:sdt>
      </w:sdtContent>
    </w:sdt>
    <w:r w:rsidRPr="00D544BD">
      <w:t xml:space="preserve"> </w:t>
    </w:r>
    <w:r w:rsidRPr="00B05DC1">
      <w:rPr>
        <w:rFonts w:ascii="Arial Black" w:hAnsi="Arial Black" w:cstheme="majorHAnsi"/>
        <w:bCs/>
        <w:szCs w:val="19"/>
      </w:rPr>
      <w:fldChar w:fldCharType="begin"/>
    </w:r>
    <w:r w:rsidRPr="00B05DC1">
      <w:rPr>
        <w:rFonts w:ascii="Arial Black" w:hAnsi="Arial Black" w:cstheme="majorHAnsi"/>
        <w:bCs/>
        <w:szCs w:val="19"/>
      </w:rPr>
      <w:instrText xml:space="preserve"> PAGE   \* MERGEFORMAT </w:instrText>
    </w:r>
    <w:r w:rsidRPr="00B05DC1">
      <w:rPr>
        <w:rFonts w:ascii="Arial Black" w:hAnsi="Arial Black" w:cstheme="majorHAnsi"/>
        <w:bCs/>
        <w:szCs w:val="19"/>
      </w:rPr>
      <w:fldChar w:fldCharType="separate"/>
    </w:r>
    <w:r>
      <w:rPr>
        <w:rFonts w:ascii="Arial Black" w:hAnsi="Arial Black" w:cstheme="majorHAnsi"/>
        <w:bCs/>
        <w:szCs w:val="19"/>
      </w:rPr>
      <w:t>259</w:t>
    </w:r>
    <w:r w:rsidRPr="00B05DC1">
      <w:rPr>
        <w:rFonts w:ascii="Arial Black" w:hAnsi="Arial Black" w:cstheme="majorHAnsi"/>
        <w:bCs/>
        <w:szCs w:val="19"/>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14:paraId="4A46734E" w14:textId="2B0A6BCE">
    <w:pPr>
      <w:pStyle w:val="Footer"/>
    </w:pPr>
    <w:sdt>
      <w:sdtPr>
        <w:rPr>
          <w:color w:val="166783"/>
          <w:szCs w:val="19"/>
        </w:rPr>
        <w:id w:val="361251934"/>
        <w:docPartObj>
          <w:docPartGallery w:val="Page Numbers (Bottom of Page)"/>
          <w:docPartUnique/>
        </w:docPartObj>
      </w:sdtPr>
      <w:sdtEndPr>
        <w:rPr>
          <w:color w:val="003F75" w:themeColor="text2" w:themeShade="BF"/>
          <w:szCs w:val="20"/>
        </w:rPr>
      </w:sdtEndPr>
      <w:sdtContent>
        <w:r w:rsidRPr="00C535AD">
          <w:rPr>
            <w:rFonts w:ascii="Arial Black" w:hAnsi="Arial Black"/>
            <w:b/>
            <w:szCs w:val="19"/>
          </w:rPr>
          <w:fldChar w:fldCharType="begin"/>
        </w:r>
        <w:r w:rsidRPr="00C535AD">
          <w:rPr>
            <w:rFonts w:ascii="Arial Black" w:hAnsi="Arial Black"/>
            <w:b/>
            <w:szCs w:val="19"/>
          </w:rPr>
          <w:instrText xml:space="preserve"> PAGE   \* MERGEFORMAT </w:instrText>
        </w:r>
        <w:r w:rsidRPr="00C535AD">
          <w:rPr>
            <w:rFonts w:ascii="Arial Black" w:hAnsi="Arial Black"/>
            <w:b/>
            <w:szCs w:val="19"/>
          </w:rPr>
          <w:fldChar w:fldCharType="separate"/>
        </w:r>
        <w:r>
          <w:rPr>
            <w:rFonts w:ascii="Arial Black" w:hAnsi="Arial Black"/>
            <w:b/>
            <w:szCs w:val="19"/>
          </w:rPr>
          <w:t>258</w:t>
        </w:r>
        <w:r w:rsidRPr="00C535AD">
          <w:rPr>
            <w:rFonts w:ascii="Arial Black" w:hAnsi="Arial Black"/>
            <w:szCs w:val="19"/>
          </w:rPr>
          <w:fldChar w:fldCharType="end"/>
        </w:r>
        <w:r w:rsidRPr="00C535AD">
          <w:t xml:space="preserve"> </w:t>
        </w:r>
        <w:r w:rsidRPr="00D544BD">
          <w:t xml:space="preserve">| PROTOCOL </w:t>
        </w:r>
        <w:r>
          <w:t>FIVE</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17D3A" w:rsidP="002F5EE7" w14:paraId="1788B261" w14:textId="77777777">
    <w:pPr>
      <w:pStyle w:val="Footer"/>
      <w:rPr>
        <w:szCs w:val="19"/>
      </w:rPr>
    </w:pPr>
  </w:p>
  <w:p w:rsidR="00ED33C3" w14:paraId="7DF8F6D8" w14:textId="77777777"/>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color w:val="166783"/>
      </w:rPr>
      <w:id w:val="1586957876"/>
      <w:docPartObj>
        <w:docPartGallery w:val="Page Numbers (Bottom of Page)"/>
        <w:docPartUnique/>
      </w:docPartObj>
    </w:sdtPr>
    <w:sdtEndPr>
      <w:rPr>
        <w:color w:val="003F75" w:themeColor="text2" w:themeShade="BF"/>
      </w:rPr>
    </w:sdtEndPr>
    <w:sdtContent>
      <w:p w:rsidR="00ED33C3" w:rsidRPr="00D544BD" w:rsidP="00345082" w14:paraId="0D2BBBC7" w14:textId="14778C72">
        <w:pPr>
          <w:pStyle w:val="Footer"/>
        </w:pPr>
        <w:r w:rsidRPr="00C535AD">
          <w:rPr>
            <w:rFonts w:ascii="Arial Black" w:hAnsi="Arial Black"/>
            <w:b/>
            <w:szCs w:val="19"/>
          </w:rPr>
          <w:fldChar w:fldCharType="begin"/>
        </w:r>
        <w:r w:rsidRPr="00C535AD">
          <w:rPr>
            <w:rFonts w:ascii="Arial Black" w:hAnsi="Arial Black"/>
            <w:b/>
            <w:szCs w:val="19"/>
          </w:rPr>
          <w:instrText xml:space="preserve"> PAGE   \* MERGEFORMAT </w:instrText>
        </w:r>
        <w:r w:rsidRPr="00C535AD">
          <w:rPr>
            <w:rFonts w:ascii="Arial Black" w:hAnsi="Arial Black"/>
            <w:b/>
            <w:szCs w:val="19"/>
          </w:rPr>
          <w:fldChar w:fldCharType="separate"/>
        </w:r>
        <w:r>
          <w:rPr>
            <w:rFonts w:ascii="Arial Black" w:hAnsi="Arial Black"/>
            <w:b/>
            <w:noProof/>
            <w:szCs w:val="19"/>
          </w:rPr>
          <w:t>256</w:t>
        </w:r>
        <w:r w:rsidRPr="00C535AD">
          <w:rPr>
            <w:rFonts w:ascii="Arial Black" w:hAnsi="Arial Black"/>
            <w:szCs w:val="19"/>
          </w:rPr>
          <w:fldChar w:fldCharType="end"/>
        </w:r>
        <w:r w:rsidRPr="00C535AD">
          <w:t xml:space="preserve"> | </w:t>
        </w:r>
        <w:r w:rsidRPr="00D544BD">
          <w:t xml:space="preserve">PROTOCOL </w:t>
        </w:r>
        <w:r>
          <w:t>SIX</w:t>
        </w:r>
      </w:p>
    </w:sdtContent>
  </w:sdt>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341F39" w:rsidP="00341F39" w14:paraId="79D82793" w14:textId="7DF70418">
    <w:pPr>
      <w:pStyle w:val="Footer"/>
      <w:jc w:val="right"/>
      <w:rPr>
        <w:rFonts w:ascii="Arial Black" w:hAnsi="Arial Black"/>
        <w:szCs w:val="19"/>
      </w:rPr>
    </w:pPr>
    <w:sdt>
      <w:sdtPr>
        <w:rPr>
          <w:szCs w:val="19"/>
        </w:rPr>
        <w:id w:val="736668967"/>
        <w:docPartObj>
          <w:docPartGallery w:val="Page Numbers (Bottom of Page)"/>
          <w:docPartUnique/>
        </w:docPartObj>
      </w:sdtPr>
      <w:sdtEndPr>
        <w:rPr>
          <w:szCs w:val="20"/>
        </w:rPr>
      </w:sdtEndPr>
      <w:sdtContent>
        <w:sdt>
          <w:sdtPr>
            <w:rPr>
              <w:b/>
              <w:szCs w:val="19"/>
            </w:rPr>
            <w:id w:val="297665663"/>
            <w:docPartObj>
              <w:docPartGallery w:val="Page Numbers (Bottom of Page)"/>
              <w:docPartUnique/>
            </w:docPartObj>
          </w:sdtPr>
          <w:sdtEndPr>
            <w:rPr>
              <w:b w:val="0"/>
              <w:szCs w:val="20"/>
            </w:rPr>
          </w:sdtEndPr>
          <w:sdtContent>
            <w:sdt>
              <w:sdtPr>
                <w:rPr>
                  <w:b/>
                  <w:szCs w:val="19"/>
                </w:rPr>
                <w:id w:val="-717515648"/>
                <w:docPartObj>
                  <w:docPartGallery w:val="Page Numbers (Bottom of Page)"/>
                  <w:docPartUnique/>
                </w:docPartObj>
              </w:sdtPr>
              <w:sdtEndPr>
                <w:rPr>
                  <w:b w:val="0"/>
                  <w:szCs w:val="20"/>
                </w:rPr>
              </w:sdtEndPr>
              <w:sdtContent>
                <w:sdt>
                  <w:sdtPr>
                    <w:rPr>
                      <w:b/>
                      <w:szCs w:val="19"/>
                    </w:rPr>
                    <w:id w:val="1197047966"/>
                    <w:docPartObj>
                      <w:docPartGallery w:val="Page Numbers (Bottom of Page)"/>
                      <w:docPartUnique/>
                    </w:docPartObj>
                  </w:sdtPr>
                  <w:sdtEndPr>
                    <w:rPr>
                      <w:b w:val="0"/>
                      <w:szCs w:val="20"/>
                    </w:rPr>
                  </w:sdtEndPr>
                  <w:sdtContent>
                    <w:sdt>
                      <w:sdtPr>
                        <w:rPr>
                          <w:szCs w:val="19"/>
                        </w:rPr>
                        <w:id w:val="2032136285"/>
                        <w:docPartObj>
                          <w:docPartGallery w:val="Page Numbers (Bottom of Page)"/>
                          <w:docPartUnique/>
                        </w:docPartObj>
                      </w:sdtPr>
                      <w:sdtEndPr>
                        <w:rPr>
                          <w:szCs w:val="20"/>
                        </w:rPr>
                      </w:sdtEndPr>
                      <w:sdtContent>
                        <w:r w:rsidRPr="00D544BD">
                          <w:t xml:space="preserve">PROTOCOL </w:t>
                        </w:r>
                        <w:r>
                          <w:t>SIX</w:t>
                        </w:r>
                        <w:r w:rsidRPr="00D544BD">
                          <w:t xml:space="preserve"> |</w:t>
                        </w:r>
                      </w:sdtContent>
                    </w:sdt>
                  </w:sdtContent>
                </w:sdt>
              </w:sdtContent>
            </w:sdt>
          </w:sdtContent>
        </w:sdt>
      </w:sdtContent>
    </w:sdt>
    <w:r w:rsidRPr="00D544BD">
      <w:t xml:space="preserve"> </w:t>
    </w:r>
    <w:r w:rsidRPr="00626C85">
      <w:rPr>
        <w:rFonts w:ascii="Arial Black" w:hAnsi="Arial Black" w:cs="Arial"/>
        <w:bCs/>
        <w:szCs w:val="19"/>
      </w:rPr>
      <w:fldChar w:fldCharType="begin"/>
    </w:r>
    <w:r w:rsidRPr="00626C85">
      <w:rPr>
        <w:rFonts w:ascii="Arial Black" w:hAnsi="Arial Black" w:cs="Arial"/>
        <w:bCs/>
        <w:szCs w:val="19"/>
      </w:rPr>
      <w:instrText xml:space="preserve"> PAGE   \* MERGEFORMAT </w:instrText>
    </w:r>
    <w:r w:rsidRPr="00626C85">
      <w:rPr>
        <w:rFonts w:ascii="Arial Black" w:hAnsi="Arial Black" w:cs="Arial"/>
        <w:bCs/>
        <w:szCs w:val="19"/>
      </w:rPr>
      <w:fldChar w:fldCharType="separate"/>
    </w:r>
    <w:r w:rsidRPr="00626C85">
      <w:rPr>
        <w:rFonts w:ascii="Arial Black" w:hAnsi="Arial Black" w:cs="Arial"/>
        <w:bCs/>
        <w:noProof/>
        <w:szCs w:val="19"/>
      </w:rPr>
      <w:t>255</w:t>
    </w:r>
    <w:r w:rsidRPr="00626C85">
      <w:rPr>
        <w:rFonts w:ascii="Arial Black" w:hAnsi="Arial Black" w:cs="Arial"/>
        <w:bCs/>
        <w:szCs w:val="19"/>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C55F06" w:rsidP="00C55F06" w14:paraId="4F0E07E4" w14:textId="081C5C83">
    <w:pPr>
      <w:pStyle w:val="Footer"/>
      <w:pBdr>
        <w:top w:val="none" w:sz="0" w:space="0" w:color="auto"/>
      </w:pBdr>
      <w:rPr>
        <w:rFonts w:ascii="Arial Black" w:hAnsi="Arial Black"/>
        <w:color w:val="auto"/>
        <w:szCs w:val="19"/>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14:paraId="3BFB3721" w14:textId="377F8533">
    <w:pPr>
      <w:pStyle w:val="Footer"/>
    </w:pPr>
    <w:sdt>
      <w:sdtPr>
        <w:rPr>
          <w:color w:val="166783"/>
          <w:szCs w:val="19"/>
        </w:rPr>
        <w:id w:val="763035465"/>
        <w:docPartObj>
          <w:docPartGallery w:val="Page Numbers (Bottom of Page)"/>
          <w:docPartUnique/>
        </w:docPartObj>
      </w:sdtPr>
      <w:sdtEndPr>
        <w:rPr>
          <w:color w:val="003F75" w:themeColor="text2" w:themeShade="BF"/>
          <w:szCs w:val="20"/>
        </w:rPr>
      </w:sdtEndPr>
      <w:sdtContent>
        <w:r w:rsidRPr="00C535AD">
          <w:rPr>
            <w:rFonts w:ascii="Arial Black" w:hAnsi="Arial Black"/>
            <w:b/>
            <w:szCs w:val="19"/>
          </w:rPr>
          <w:fldChar w:fldCharType="begin"/>
        </w:r>
        <w:r w:rsidRPr="00C535AD">
          <w:rPr>
            <w:rFonts w:ascii="Arial Black" w:hAnsi="Arial Black"/>
            <w:b/>
            <w:szCs w:val="19"/>
          </w:rPr>
          <w:instrText xml:space="preserve"> PAGE   \* MERGEFORMAT </w:instrText>
        </w:r>
        <w:r w:rsidRPr="00C535AD">
          <w:rPr>
            <w:rFonts w:ascii="Arial Black" w:hAnsi="Arial Black"/>
            <w:b/>
            <w:szCs w:val="19"/>
          </w:rPr>
          <w:fldChar w:fldCharType="separate"/>
        </w:r>
        <w:r>
          <w:rPr>
            <w:rFonts w:ascii="Arial Black" w:hAnsi="Arial Black"/>
            <w:b/>
            <w:szCs w:val="19"/>
          </w:rPr>
          <w:t>296</w:t>
        </w:r>
        <w:r w:rsidRPr="00C535AD">
          <w:rPr>
            <w:rFonts w:ascii="Arial Black" w:hAnsi="Arial Black"/>
            <w:szCs w:val="19"/>
          </w:rPr>
          <w:fldChar w:fldCharType="end"/>
        </w:r>
        <w:r w:rsidRPr="00C535AD">
          <w:t xml:space="preserve"> | </w:t>
        </w:r>
        <w:r w:rsidRPr="00D544BD">
          <w:t xml:space="preserve">PROTOCOL </w:t>
        </w:r>
        <w:r>
          <w:t>SIX</w:t>
        </w:r>
      </w:sdtContent>
    </w:sdt>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626C85" w:rsidP="00626C85" w14:paraId="2AD2C4E4" w14:textId="2DDC5EC3">
    <w:pPr>
      <w:pStyle w:val="Footer"/>
      <w:jc w:val="right"/>
      <w:rPr>
        <w:rFonts w:ascii="Arial Black" w:hAnsi="Arial Black"/>
        <w:szCs w:val="19"/>
      </w:rPr>
    </w:pPr>
    <w:sdt>
      <w:sdtPr>
        <w:rPr>
          <w:szCs w:val="19"/>
        </w:rPr>
        <w:id w:val="-1774785577"/>
        <w:docPartObj>
          <w:docPartGallery w:val="Page Numbers (Bottom of Page)"/>
          <w:docPartUnique/>
        </w:docPartObj>
      </w:sdtPr>
      <w:sdtEndPr>
        <w:rPr>
          <w:szCs w:val="20"/>
        </w:rPr>
      </w:sdtEndPr>
      <w:sdtContent>
        <w:sdt>
          <w:sdtPr>
            <w:rPr>
              <w:b/>
              <w:szCs w:val="19"/>
            </w:rPr>
            <w:id w:val="-121224411"/>
            <w:docPartObj>
              <w:docPartGallery w:val="Page Numbers (Bottom of Page)"/>
              <w:docPartUnique/>
            </w:docPartObj>
          </w:sdtPr>
          <w:sdtEndPr>
            <w:rPr>
              <w:b w:val="0"/>
              <w:szCs w:val="20"/>
            </w:rPr>
          </w:sdtEndPr>
          <w:sdtContent>
            <w:sdt>
              <w:sdtPr>
                <w:rPr>
                  <w:b/>
                  <w:szCs w:val="19"/>
                </w:rPr>
                <w:id w:val="836883221"/>
                <w:docPartObj>
                  <w:docPartGallery w:val="Page Numbers (Bottom of Page)"/>
                  <w:docPartUnique/>
                </w:docPartObj>
              </w:sdtPr>
              <w:sdtEndPr>
                <w:rPr>
                  <w:b w:val="0"/>
                  <w:szCs w:val="20"/>
                </w:rPr>
              </w:sdtEndPr>
              <w:sdtContent>
                <w:sdt>
                  <w:sdtPr>
                    <w:rPr>
                      <w:b/>
                      <w:szCs w:val="19"/>
                    </w:rPr>
                    <w:id w:val="901335403"/>
                    <w:docPartObj>
                      <w:docPartGallery w:val="Page Numbers (Bottom of Page)"/>
                      <w:docPartUnique/>
                    </w:docPartObj>
                  </w:sdtPr>
                  <w:sdtEndPr>
                    <w:rPr>
                      <w:b w:val="0"/>
                      <w:szCs w:val="20"/>
                    </w:rPr>
                  </w:sdtEndPr>
                  <w:sdtContent>
                    <w:sdt>
                      <w:sdtPr>
                        <w:rPr>
                          <w:szCs w:val="19"/>
                        </w:rPr>
                        <w:id w:val="-715502291"/>
                        <w:docPartObj>
                          <w:docPartGallery w:val="Page Numbers (Bottom of Page)"/>
                          <w:docPartUnique/>
                        </w:docPartObj>
                      </w:sdtPr>
                      <w:sdtEndPr>
                        <w:rPr>
                          <w:szCs w:val="20"/>
                        </w:rPr>
                      </w:sdtEndPr>
                      <w:sdtContent>
                        <w:r w:rsidRPr="00D544BD">
                          <w:t xml:space="preserve">PROTOCOL </w:t>
                        </w:r>
                        <w:r>
                          <w:t>SIX</w:t>
                        </w:r>
                        <w:r w:rsidRPr="00D544BD">
                          <w:t xml:space="preserve"> |</w:t>
                        </w:r>
                      </w:sdtContent>
                    </w:sdt>
                  </w:sdtContent>
                </w:sdt>
              </w:sdtContent>
            </w:sdt>
          </w:sdtContent>
        </w:sdt>
      </w:sdtContent>
    </w:sdt>
    <w:r w:rsidRPr="00D544BD">
      <w:t xml:space="preserve"> </w:t>
    </w:r>
    <w:r w:rsidRPr="00626C85">
      <w:rPr>
        <w:rFonts w:ascii="Arial Black" w:hAnsi="Arial Black" w:cs="Arial"/>
        <w:bCs/>
        <w:szCs w:val="19"/>
      </w:rPr>
      <w:fldChar w:fldCharType="begin"/>
    </w:r>
    <w:r w:rsidRPr="00626C85">
      <w:rPr>
        <w:rFonts w:ascii="Arial Black" w:hAnsi="Arial Black" w:cs="Arial"/>
        <w:bCs/>
        <w:szCs w:val="19"/>
      </w:rPr>
      <w:instrText xml:space="preserve"> PAGE   \* MERGEFORMAT </w:instrText>
    </w:r>
    <w:r w:rsidRPr="00626C85">
      <w:rPr>
        <w:rFonts w:ascii="Arial Black" w:hAnsi="Arial Black" w:cs="Arial"/>
        <w:bCs/>
        <w:szCs w:val="19"/>
      </w:rPr>
      <w:fldChar w:fldCharType="separate"/>
    </w:r>
    <w:r>
      <w:rPr>
        <w:rFonts w:ascii="Arial Black" w:hAnsi="Arial Black" w:cs="Arial"/>
        <w:bCs/>
        <w:szCs w:val="19"/>
      </w:rPr>
      <w:t>295</w:t>
    </w:r>
    <w:r w:rsidRPr="00626C85">
      <w:rPr>
        <w:rFonts w:ascii="Arial Black" w:hAnsi="Arial Black" w:cs="Arial"/>
        <w:bCs/>
        <w:szCs w:val="19"/>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626C85" w:rsidP="00626C85" w14:paraId="7C61836F" w14:textId="4D39F03F">
    <w:pPr>
      <w:pStyle w:val="Footer"/>
      <w:jc w:val="right"/>
      <w:rPr>
        <w:rFonts w:ascii="Arial Black" w:hAnsi="Arial Black"/>
        <w:szCs w:val="19"/>
      </w:rPr>
    </w:pPr>
    <w:sdt>
      <w:sdtPr>
        <w:rPr>
          <w:szCs w:val="19"/>
        </w:rPr>
        <w:id w:val="1243992111"/>
        <w:docPartObj>
          <w:docPartGallery w:val="Page Numbers (Bottom of Page)"/>
          <w:docPartUnique/>
        </w:docPartObj>
      </w:sdtPr>
      <w:sdtEndPr>
        <w:rPr>
          <w:szCs w:val="20"/>
        </w:rPr>
      </w:sdtEndPr>
      <w:sdtContent>
        <w:sdt>
          <w:sdtPr>
            <w:rPr>
              <w:b/>
              <w:szCs w:val="19"/>
            </w:rPr>
            <w:id w:val="21528391"/>
            <w:docPartObj>
              <w:docPartGallery w:val="Page Numbers (Bottom of Page)"/>
              <w:docPartUnique/>
            </w:docPartObj>
          </w:sdtPr>
          <w:sdtEndPr>
            <w:rPr>
              <w:b w:val="0"/>
              <w:szCs w:val="20"/>
            </w:rPr>
          </w:sdtEndPr>
          <w:sdtContent>
            <w:sdt>
              <w:sdtPr>
                <w:rPr>
                  <w:b/>
                  <w:szCs w:val="19"/>
                </w:rPr>
                <w:id w:val="471023611"/>
                <w:docPartObj>
                  <w:docPartGallery w:val="Page Numbers (Bottom of Page)"/>
                  <w:docPartUnique/>
                </w:docPartObj>
              </w:sdtPr>
              <w:sdtEndPr>
                <w:rPr>
                  <w:b w:val="0"/>
                  <w:szCs w:val="20"/>
                </w:rPr>
              </w:sdtEndPr>
              <w:sdtContent>
                <w:sdt>
                  <w:sdtPr>
                    <w:rPr>
                      <w:b/>
                      <w:szCs w:val="19"/>
                    </w:rPr>
                    <w:id w:val="-949170558"/>
                    <w:docPartObj>
                      <w:docPartGallery w:val="Page Numbers (Bottom of Page)"/>
                      <w:docPartUnique/>
                    </w:docPartObj>
                  </w:sdtPr>
                  <w:sdtEndPr>
                    <w:rPr>
                      <w:b w:val="0"/>
                      <w:szCs w:val="20"/>
                    </w:rPr>
                  </w:sdtEndPr>
                  <w:sdtContent>
                    <w:sdt>
                      <w:sdtPr>
                        <w:rPr>
                          <w:szCs w:val="19"/>
                        </w:rPr>
                        <w:id w:val="-1106347855"/>
                        <w:docPartObj>
                          <w:docPartGallery w:val="Page Numbers (Bottom of Page)"/>
                          <w:docPartUnique/>
                        </w:docPartObj>
                      </w:sdtPr>
                      <w:sdtEndPr>
                        <w:rPr>
                          <w:szCs w:val="20"/>
                        </w:rPr>
                      </w:sdtEndPr>
                      <w:sdtContent>
                        <w:r w:rsidRPr="00D544BD">
                          <w:t xml:space="preserve">PROTOCOL </w:t>
                        </w:r>
                        <w:r>
                          <w:t>SIX</w:t>
                        </w:r>
                        <w:r w:rsidRPr="00D544BD">
                          <w:t xml:space="preserve"> |</w:t>
                        </w:r>
                      </w:sdtContent>
                    </w:sdt>
                  </w:sdtContent>
                </w:sdt>
              </w:sdtContent>
            </w:sdt>
          </w:sdtContent>
        </w:sdt>
      </w:sdtContent>
    </w:sdt>
    <w:r w:rsidRPr="00D544BD">
      <w:t xml:space="preserve"> </w:t>
    </w:r>
    <w:r w:rsidRPr="00626C85">
      <w:rPr>
        <w:rFonts w:ascii="Arial Black" w:hAnsi="Arial Black" w:cs="Arial"/>
        <w:bCs/>
        <w:szCs w:val="19"/>
      </w:rPr>
      <w:fldChar w:fldCharType="begin"/>
    </w:r>
    <w:r w:rsidRPr="00626C85">
      <w:rPr>
        <w:rFonts w:ascii="Arial Black" w:hAnsi="Arial Black" w:cs="Arial"/>
        <w:bCs/>
        <w:szCs w:val="19"/>
      </w:rPr>
      <w:instrText xml:space="preserve"> PAGE   \* MERGEFORMAT </w:instrText>
    </w:r>
    <w:r w:rsidRPr="00626C85">
      <w:rPr>
        <w:rFonts w:ascii="Arial Black" w:hAnsi="Arial Black" w:cs="Arial"/>
        <w:bCs/>
        <w:szCs w:val="19"/>
      </w:rPr>
      <w:fldChar w:fldCharType="separate"/>
    </w:r>
    <w:r>
      <w:rPr>
        <w:rFonts w:ascii="Arial Black" w:hAnsi="Arial Black" w:cs="Arial"/>
        <w:bCs/>
        <w:szCs w:val="19"/>
      </w:rPr>
      <w:t>295</w:t>
    </w:r>
    <w:r w:rsidRPr="00626C85">
      <w:rPr>
        <w:rFonts w:ascii="Arial Black" w:hAnsi="Arial Black" w:cs="Arial"/>
        <w:bCs/>
        <w:szCs w:val="19"/>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color w:val="166783"/>
      </w:rPr>
      <w:id w:val="1837192934"/>
      <w:docPartObj>
        <w:docPartGallery w:val="Page Numbers (Bottom of Page)"/>
        <w:docPartUnique/>
      </w:docPartObj>
    </w:sdtPr>
    <w:sdtEndPr>
      <w:rPr>
        <w:color w:val="003F75" w:themeColor="text2" w:themeShade="BF"/>
      </w:rPr>
    </w:sdtEndPr>
    <w:sdtContent>
      <w:p w:rsidR="00ED33C3" w:rsidRPr="00D544BD" w:rsidP="00345082" w14:paraId="64FB0F35" w14:textId="6B94F02B">
        <w:pPr>
          <w:pStyle w:val="Footer"/>
        </w:pPr>
        <w:r w:rsidRPr="00C535AD">
          <w:rPr>
            <w:rFonts w:ascii="Arial Black" w:hAnsi="Arial Black"/>
            <w:b/>
            <w:szCs w:val="19"/>
          </w:rPr>
          <w:fldChar w:fldCharType="begin"/>
        </w:r>
        <w:r w:rsidRPr="00C535AD">
          <w:rPr>
            <w:rFonts w:ascii="Arial Black" w:hAnsi="Arial Black"/>
            <w:b/>
            <w:szCs w:val="19"/>
          </w:rPr>
          <w:instrText xml:space="preserve"> PAGE   \* MERGEFORMAT </w:instrText>
        </w:r>
        <w:r w:rsidRPr="00C535AD">
          <w:rPr>
            <w:rFonts w:ascii="Arial Black" w:hAnsi="Arial Black"/>
            <w:b/>
            <w:szCs w:val="19"/>
          </w:rPr>
          <w:fldChar w:fldCharType="separate"/>
        </w:r>
        <w:r>
          <w:rPr>
            <w:rFonts w:ascii="Arial Black" w:hAnsi="Arial Black"/>
            <w:b/>
            <w:noProof/>
            <w:szCs w:val="19"/>
          </w:rPr>
          <w:t>272</w:t>
        </w:r>
        <w:r w:rsidRPr="00C535AD">
          <w:rPr>
            <w:rFonts w:ascii="Arial Black" w:hAnsi="Arial Black"/>
            <w:szCs w:val="19"/>
          </w:rPr>
          <w:fldChar w:fldCharType="end"/>
        </w:r>
        <w:r w:rsidRPr="00C535AD">
          <w:t xml:space="preserve"> | </w:t>
        </w:r>
        <w:r w:rsidRPr="00D544BD">
          <w:t xml:space="preserve">PROTOCOL </w:t>
        </w:r>
        <w:r>
          <w:t>SEVEN</w:t>
        </w:r>
      </w:p>
    </w:sdtContent>
  </w:sdt>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306E4" w:rsidP="00341F39" w14:paraId="4D7A50B1" w14:textId="10D7DB1A">
    <w:pPr>
      <w:pStyle w:val="Footer"/>
      <w:jc w:val="right"/>
      <w:rPr>
        <w:rFonts w:cs="Arial"/>
        <w:szCs w:val="19"/>
      </w:rPr>
    </w:pPr>
    <w:sdt>
      <w:sdtPr>
        <w:rPr>
          <w:szCs w:val="19"/>
        </w:rPr>
        <w:id w:val="184176989"/>
        <w:docPartObj>
          <w:docPartGallery w:val="Page Numbers (Bottom of Page)"/>
          <w:docPartUnique/>
        </w:docPartObj>
      </w:sdtPr>
      <w:sdtEndPr>
        <w:rPr>
          <w:rFonts w:cs="Arial"/>
          <w:szCs w:val="20"/>
        </w:rPr>
      </w:sdtEndPr>
      <w:sdtContent>
        <w:sdt>
          <w:sdtPr>
            <w:rPr>
              <w:b/>
              <w:szCs w:val="19"/>
            </w:rPr>
            <w:id w:val="-1292979626"/>
            <w:docPartObj>
              <w:docPartGallery w:val="Page Numbers (Bottom of Page)"/>
              <w:docPartUnique/>
            </w:docPartObj>
          </w:sdtPr>
          <w:sdtEndPr>
            <w:rPr>
              <w:rFonts w:cs="Arial"/>
              <w:b w:val="0"/>
              <w:szCs w:val="20"/>
            </w:rPr>
          </w:sdtEndPr>
          <w:sdtContent>
            <w:sdt>
              <w:sdtPr>
                <w:rPr>
                  <w:b/>
                  <w:szCs w:val="19"/>
                </w:rPr>
                <w:id w:val="-150995643"/>
                <w:docPartObj>
                  <w:docPartGallery w:val="Page Numbers (Bottom of Page)"/>
                  <w:docPartUnique/>
                </w:docPartObj>
              </w:sdtPr>
              <w:sdtEndPr>
                <w:rPr>
                  <w:rFonts w:cs="Arial"/>
                  <w:b w:val="0"/>
                  <w:szCs w:val="20"/>
                </w:rPr>
              </w:sdtEndPr>
              <w:sdtContent>
                <w:sdt>
                  <w:sdtPr>
                    <w:rPr>
                      <w:b/>
                      <w:szCs w:val="19"/>
                    </w:rPr>
                    <w:id w:val="-1111508687"/>
                    <w:docPartObj>
                      <w:docPartGallery w:val="Page Numbers (Bottom of Page)"/>
                      <w:docPartUnique/>
                    </w:docPartObj>
                  </w:sdtPr>
                  <w:sdtEndPr>
                    <w:rPr>
                      <w:rFonts w:cs="Arial"/>
                      <w:b w:val="0"/>
                      <w:szCs w:val="20"/>
                    </w:rPr>
                  </w:sdtEndPr>
                  <w:sdtContent>
                    <w:sdt>
                      <w:sdtPr>
                        <w:rPr>
                          <w:szCs w:val="19"/>
                        </w:rPr>
                        <w:id w:val="-93868046"/>
                        <w:docPartObj>
                          <w:docPartGallery w:val="Page Numbers (Bottom of Page)"/>
                          <w:docPartUnique/>
                        </w:docPartObj>
                      </w:sdtPr>
                      <w:sdtEndPr>
                        <w:rPr>
                          <w:rFonts w:cs="Arial"/>
                          <w:szCs w:val="20"/>
                        </w:rPr>
                      </w:sdtEndPr>
                      <w:sdtContent>
                        <w:r w:rsidRPr="00D544BD">
                          <w:t xml:space="preserve">PROTOCOL </w:t>
                        </w:r>
                        <w:r>
                          <w:t>SEVEN</w:t>
                        </w:r>
                        <w:r w:rsidRPr="00D544BD">
                          <w:t xml:space="preserve"> |</w:t>
                        </w:r>
                      </w:sdtContent>
                    </w:sdt>
                  </w:sdtContent>
                </w:sdt>
              </w:sdtContent>
            </w:sdt>
          </w:sdtContent>
        </w:sdt>
      </w:sdtContent>
    </w:sdt>
    <w:r w:rsidRPr="00D306E4">
      <w:rPr>
        <w:rFonts w:cs="Arial"/>
      </w:rPr>
      <w:t xml:space="preserve"> </w:t>
    </w:r>
    <w:r w:rsidRPr="00626C85">
      <w:rPr>
        <w:rFonts w:ascii="Arial Black" w:hAnsi="Arial Black" w:cs="Arial"/>
        <w:szCs w:val="19"/>
      </w:rPr>
      <w:fldChar w:fldCharType="begin"/>
    </w:r>
    <w:r w:rsidRPr="00626C85">
      <w:rPr>
        <w:rFonts w:ascii="Arial Black" w:hAnsi="Arial Black" w:cs="Arial"/>
        <w:szCs w:val="19"/>
      </w:rPr>
      <w:instrText xml:space="preserve"> PAGE   \* MERGEFORMAT </w:instrText>
    </w:r>
    <w:r w:rsidRPr="00626C85">
      <w:rPr>
        <w:rFonts w:ascii="Arial Black" w:hAnsi="Arial Black" w:cs="Arial"/>
        <w:szCs w:val="19"/>
      </w:rPr>
      <w:fldChar w:fldCharType="separate"/>
    </w:r>
    <w:r w:rsidRPr="00626C85">
      <w:rPr>
        <w:rFonts w:ascii="Arial Black" w:hAnsi="Arial Black" w:cs="Arial"/>
        <w:noProof/>
        <w:szCs w:val="19"/>
      </w:rPr>
      <w:t>271</w:t>
    </w:r>
    <w:r w:rsidRPr="00626C85">
      <w:rPr>
        <w:rFonts w:ascii="Arial Black" w:hAnsi="Arial Black" w:cs="Arial"/>
        <w:szCs w:val="19"/>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6F5BEC" w:rsidP="006F5BEC" w14:paraId="19F639A5" w14:textId="3E8C2CBC">
    <w:pPr>
      <w:pStyle w:val="Footer"/>
      <w:pBdr>
        <w:top w:val="none" w:sz="0" w:space="0" w:color="auto"/>
      </w:pBdr>
      <w:rPr>
        <w:rFonts w:ascii="Arial Black" w:hAnsi="Arial Black"/>
        <w:color w:val="auto"/>
        <w:szCs w:val="19"/>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color w:val="166783"/>
      </w:rPr>
      <w:id w:val="1713687814"/>
      <w:docPartObj>
        <w:docPartGallery w:val="Page Numbers (Bottom of Page)"/>
        <w:docPartUnique/>
      </w:docPartObj>
    </w:sdtPr>
    <w:sdtEndPr>
      <w:rPr>
        <w:color w:val="003F75" w:themeColor="text2" w:themeShade="BF"/>
      </w:rPr>
    </w:sdtEndPr>
    <w:sdtContent>
      <w:p w:rsidR="00ED33C3" w:rsidRPr="00C24E61" w:rsidP="001D48BA" w14:paraId="4333DA5E" w14:textId="0983DA4E">
        <w:pPr>
          <w:pStyle w:val="Footer"/>
        </w:pPr>
        <w:r w:rsidRPr="00C535AD">
          <w:rPr>
            <w:rFonts w:ascii="Arial Black" w:hAnsi="Arial Black"/>
            <w:b/>
            <w:szCs w:val="19"/>
          </w:rPr>
          <w:fldChar w:fldCharType="begin"/>
        </w:r>
        <w:r w:rsidRPr="00C535AD">
          <w:rPr>
            <w:rFonts w:ascii="Arial Black" w:hAnsi="Arial Black"/>
            <w:b/>
            <w:szCs w:val="19"/>
          </w:rPr>
          <w:instrText xml:space="preserve"> PAGE   \* MERGEFORMAT </w:instrText>
        </w:r>
        <w:r w:rsidRPr="00C535AD">
          <w:rPr>
            <w:rFonts w:ascii="Arial Black" w:hAnsi="Arial Black"/>
            <w:b/>
            <w:szCs w:val="19"/>
          </w:rPr>
          <w:fldChar w:fldCharType="separate"/>
        </w:r>
        <w:r>
          <w:rPr>
            <w:rFonts w:ascii="Arial Black" w:hAnsi="Arial Black"/>
            <w:b/>
            <w:szCs w:val="19"/>
          </w:rPr>
          <w:t>322</w:t>
        </w:r>
        <w:r w:rsidRPr="00C535AD">
          <w:rPr>
            <w:rFonts w:ascii="Arial Black" w:hAnsi="Arial Black"/>
            <w:szCs w:val="19"/>
          </w:rPr>
          <w:fldChar w:fldCharType="end"/>
        </w:r>
        <w:r w:rsidRPr="00C535AD">
          <w:t xml:space="preserve"> | </w:t>
        </w:r>
        <w:r w:rsidRPr="00D544BD">
          <w:t xml:space="preserve">PROTOCOL </w:t>
        </w:r>
        <w:r>
          <w:t>EIGHT</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4C1840" w:rsidP="004C1840" w14:paraId="50BE9AD4" w14:textId="14AA4E52">
    <w:pPr>
      <w:pStyle w:val="Footer"/>
      <w:rPr>
        <w:szCs w:val="19"/>
      </w:rPr>
    </w:pPr>
    <w:r w:rsidRPr="004C1840">
      <w:rPr>
        <w:rFonts w:ascii="Arial Black" w:hAnsi="Arial Black"/>
        <w:b/>
        <w:szCs w:val="19"/>
      </w:rPr>
      <w:fldChar w:fldCharType="begin"/>
    </w:r>
    <w:r w:rsidRPr="004C1840">
      <w:rPr>
        <w:rFonts w:ascii="Arial Black" w:hAnsi="Arial Black"/>
        <w:b/>
        <w:szCs w:val="19"/>
      </w:rPr>
      <w:instrText xml:space="preserve"> PAGE   \* MERGEFORMAT </w:instrText>
    </w:r>
    <w:r w:rsidRPr="004C1840">
      <w:rPr>
        <w:rFonts w:ascii="Arial Black" w:hAnsi="Arial Black"/>
        <w:b/>
        <w:szCs w:val="19"/>
      </w:rPr>
      <w:fldChar w:fldCharType="separate"/>
    </w:r>
    <w:r>
      <w:rPr>
        <w:rFonts w:ascii="Arial Black" w:hAnsi="Arial Black"/>
        <w:b/>
        <w:noProof/>
        <w:szCs w:val="19"/>
      </w:rPr>
      <w:t>vi</w:t>
    </w:r>
    <w:r w:rsidRPr="004C1840">
      <w:rPr>
        <w:rFonts w:ascii="Arial Black" w:hAnsi="Arial Black"/>
        <w:szCs w:val="19"/>
      </w:rPr>
      <w:fldChar w:fldCharType="end"/>
    </w:r>
    <w:r w:rsidRPr="004C1840">
      <w:rPr>
        <w:szCs w:val="19"/>
      </w:rPr>
      <w:t xml:space="preserve"> | </w:t>
    </w:r>
    <w:r w:rsidR="00C359B7">
      <w:rPr>
        <w:noProof/>
      </w:rPr>
      <mc:AlternateContent>
        <mc:Choice Requires="wps">
          <w:drawing>
            <wp:anchor distT="0" distB="0" distL="114300" distR="114300" simplePos="0" relativeHeight="251660288" behindDoc="1" locked="1" layoutInCell="1" allowOverlap="1">
              <wp:simplePos x="0" y="0"/>
              <wp:positionH relativeFrom="page">
                <wp:posOffset>0</wp:posOffset>
              </wp:positionH>
              <wp:positionV relativeFrom="page">
                <wp:posOffset>514350</wp:posOffset>
              </wp:positionV>
              <wp:extent cx="7781290" cy="45720"/>
              <wp:effectExtent l="0" t="0" r="0" b="0"/>
              <wp:wrapNone/>
              <wp:docPr id="785422490" name="Rectangle 51"/>
              <wp:cNvGraphicFramePr/>
              <a:graphic xmlns:a="http://schemas.openxmlformats.org/drawingml/2006/main">
                <a:graphicData uri="http://schemas.microsoft.com/office/word/2010/wordprocessingShape">
                  <wps:wsp xmlns:wps="http://schemas.microsoft.com/office/word/2010/wordprocessingShape">
                    <wps:cNvSpPr/>
                    <wps:spPr>
                      <a:xfrm>
                        <a:off x="0" y="0"/>
                        <a:ext cx="7781290" cy="45720"/>
                      </a:xfrm>
                      <a:prstGeom prst="rect">
                        <a:avLst/>
                      </a:prstGeom>
                      <a:solidFill>
                        <a:srgbClr val="0082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1" o:spid="_x0000_s2050" style="width:612.7pt;height:3.6pt;margin-top:40.5pt;margin-left:0;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middle;z-index:-251655168" fillcolor="#00828c" stroked="f" strokeweight="1pt">
              <w10:anchorlock/>
            </v:rect>
          </w:pict>
        </mc:Fallback>
      </mc:AlternateContent>
    </w:r>
    <w:r>
      <w:rPr>
        <w:szCs w:val="19"/>
      </w:rPr>
      <w:t>CONTENTS</w: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341F39" w:rsidP="00341F39" w14:paraId="2014E6EB" w14:textId="77777777">
    <w:pPr>
      <w:pStyle w:val="Footer"/>
      <w:jc w:val="right"/>
      <w:rPr>
        <w:rFonts w:ascii="Arial Black" w:hAnsi="Arial Black"/>
        <w:szCs w:val="19"/>
      </w:rPr>
    </w:pPr>
    <w:sdt>
      <w:sdtPr>
        <w:rPr>
          <w:szCs w:val="19"/>
        </w:rPr>
        <w:id w:val="-985860652"/>
        <w:docPartObj>
          <w:docPartGallery w:val="Page Numbers (Bottom of Page)"/>
          <w:docPartUnique/>
        </w:docPartObj>
      </w:sdtPr>
      <w:sdtEndPr>
        <w:rPr>
          <w:szCs w:val="20"/>
        </w:rPr>
      </w:sdtEndPr>
      <w:sdtContent>
        <w:sdt>
          <w:sdtPr>
            <w:rPr>
              <w:b/>
              <w:szCs w:val="19"/>
            </w:rPr>
            <w:id w:val="1108001636"/>
            <w:docPartObj>
              <w:docPartGallery w:val="Page Numbers (Bottom of Page)"/>
              <w:docPartUnique/>
            </w:docPartObj>
          </w:sdtPr>
          <w:sdtEndPr>
            <w:rPr>
              <w:b w:val="0"/>
              <w:szCs w:val="20"/>
            </w:rPr>
          </w:sdtEndPr>
          <w:sdtContent>
            <w:sdt>
              <w:sdtPr>
                <w:rPr>
                  <w:b/>
                  <w:szCs w:val="19"/>
                </w:rPr>
                <w:id w:val="1140080553"/>
                <w:docPartObj>
                  <w:docPartGallery w:val="Page Numbers (Bottom of Page)"/>
                  <w:docPartUnique/>
                </w:docPartObj>
              </w:sdtPr>
              <w:sdtEndPr>
                <w:rPr>
                  <w:b w:val="0"/>
                  <w:szCs w:val="20"/>
                </w:rPr>
              </w:sdtEndPr>
              <w:sdtContent>
                <w:sdt>
                  <w:sdtPr>
                    <w:rPr>
                      <w:b/>
                      <w:szCs w:val="19"/>
                    </w:rPr>
                    <w:id w:val="-2096387952"/>
                    <w:docPartObj>
                      <w:docPartGallery w:val="Page Numbers (Bottom of Page)"/>
                      <w:docPartUnique/>
                    </w:docPartObj>
                  </w:sdtPr>
                  <w:sdtEndPr>
                    <w:rPr>
                      <w:b w:val="0"/>
                      <w:szCs w:val="20"/>
                    </w:rPr>
                  </w:sdtEndPr>
                  <w:sdtContent>
                    <w:sdt>
                      <w:sdtPr>
                        <w:rPr>
                          <w:szCs w:val="19"/>
                        </w:rPr>
                        <w:id w:val="281157921"/>
                        <w:docPartObj>
                          <w:docPartGallery w:val="Page Numbers (Bottom of Page)"/>
                          <w:docPartUnique/>
                        </w:docPartObj>
                      </w:sdtPr>
                      <w:sdtEndPr>
                        <w:rPr>
                          <w:szCs w:val="20"/>
                        </w:rPr>
                      </w:sdtEndPr>
                      <w:sdtContent>
                        <w:r w:rsidRPr="00D544BD">
                          <w:t xml:space="preserve">PROTOCOL </w:t>
                        </w:r>
                        <w:r>
                          <w:t>EIGHT</w:t>
                        </w:r>
                        <w:r w:rsidRPr="00D544BD">
                          <w:t xml:space="preserve"> |</w:t>
                        </w:r>
                      </w:sdtContent>
                    </w:sdt>
                  </w:sdtContent>
                </w:sdt>
              </w:sdtContent>
            </w:sdt>
          </w:sdtContent>
        </w:sdt>
      </w:sdtContent>
    </w:sdt>
    <w:r w:rsidRPr="00D544BD">
      <w:t xml:space="preserve"> </w:t>
    </w:r>
    <w:r w:rsidRPr="001D48BA">
      <w:rPr>
        <w:rFonts w:ascii="Arial Black" w:hAnsi="Arial Black" w:cs="Arial"/>
        <w:bCs/>
        <w:szCs w:val="19"/>
      </w:rPr>
      <w:fldChar w:fldCharType="begin"/>
    </w:r>
    <w:r w:rsidRPr="001D48BA">
      <w:rPr>
        <w:rFonts w:ascii="Arial Black" w:hAnsi="Arial Black" w:cs="Arial"/>
        <w:bCs/>
        <w:szCs w:val="19"/>
      </w:rPr>
      <w:instrText xml:space="preserve"> PAGE   \* MERGEFORMAT </w:instrText>
    </w:r>
    <w:r w:rsidRPr="001D48BA">
      <w:rPr>
        <w:rFonts w:ascii="Arial Black" w:hAnsi="Arial Black" w:cs="Arial"/>
        <w:bCs/>
        <w:szCs w:val="19"/>
      </w:rPr>
      <w:fldChar w:fldCharType="separate"/>
    </w:r>
    <w:r w:rsidRPr="001D48BA">
      <w:rPr>
        <w:rFonts w:ascii="Arial Black" w:hAnsi="Arial Black" w:cs="Arial"/>
        <w:bCs/>
        <w:noProof/>
        <w:szCs w:val="19"/>
      </w:rPr>
      <w:t>277</w:t>
    </w:r>
    <w:r w:rsidRPr="001D48BA">
      <w:rPr>
        <w:rFonts w:ascii="Arial Black" w:hAnsi="Arial Black" w:cs="Arial"/>
        <w:bCs/>
        <w:szCs w:val="19"/>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color w:val="166783"/>
      </w:rPr>
      <w:id w:val="1552042721"/>
      <w:docPartObj>
        <w:docPartGallery w:val="Page Numbers (Bottom of Page)"/>
        <w:docPartUnique/>
      </w:docPartObj>
    </w:sdtPr>
    <w:sdtEndPr>
      <w:rPr>
        <w:color w:val="003F75" w:themeColor="text2" w:themeShade="BF"/>
      </w:rPr>
    </w:sdtEndPr>
    <w:sdtContent>
      <w:p w:rsidR="00ED33C3" w:rsidRPr="00C24E61" w:rsidP="001D48BA" w14:paraId="780F189A" w14:textId="5DF5C491">
        <w:pPr>
          <w:pStyle w:val="Footer"/>
        </w:pPr>
        <w:r w:rsidRPr="00C535AD">
          <w:rPr>
            <w:rFonts w:ascii="Arial Black" w:hAnsi="Arial Black"/>
            <w:b/>
            <w:szCs w:val="19"/>
          </w:rPr>
          <w:fldChar w:fldCharType="begin"/>
        </w:r>
        <w:r w:rsidRPr="00C535AD">
          <w:rPr>
            <w:rFonts w:ascii="Arial Black" w:hAnsi="Arial Black"/>
            <w:b/>
            <w:szCs w:val="19"/>
          </w:rPr>
          <w:instrText xml:space="preserve"> PAGE   \* MERGEFORMAT </w:instrText>
        </w:r>
        <w:r w:rsidRPr="00C535AD">
          <w:rPr>
            <w:rFonts w:ascii="Arial Black" w:hAnsi="Arial Black"/>
            <w:b/>
            <w:szCs w:val="19"/>
          </w:rPr>
          <w:fldChar w:fldCharType="separate"/>
        </w:r>
        <w:r>
          <w:rPr>
            <w:rFonts w:ascii="Arial Black" w:hAnsi="Arial Black"/>
            <w:b/>
            <w:szCs w:val="19"/>
          </w:rPr>
          <w:t>322</w:t>
        </w:r>
        <w:r w:rsidRPr="00C535AD">
          <w:rPr>
            <w:rFonts w:ascii="Arial Black" w:hAnsi="Arial Black"/>
            <w:szCs w:val="19"/>
          </w:rPr>
          <w:fldChar w:fldCharType="end"/>
        </w:r>
        <w:r w:rsidRPr="00C535AD">
          <w:t xml:space="preserve"> | </w:t>
        </w:r>
        <w:r w:rsidRPr="00D544BD">
          <w:t xml:space="preserve">PROTOCOL </w:t>
        </w:r>
        <w:r>
          <w:t>NINE</w:t>
        </w:r>
      </w:p>
    </w:sdtContent>
  </w:sdt>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F317A0" w:rsidP="00341F39" w14:paraId="3BEE9FE7" w14:textId="77777777">
    <w:pPr>
      <w:pStyle w:val="Footer"/>
      <w:jc w:val="right"/>
      <w:rPr>
        <w:rFonts w:cs="Arial"/>
        <w:szCs w:val="19"/>
      </w:rPr>
    </w:pPr>
    <w:sdt>
      <w:sdtPr>
        <w:rPr>
          <w:rFonts w:cs="Arial"/>
          <w:szCs w:val="19"/>
        </w:rPr>
        <w:id w:val="-534808165"/>
        <w:docPartObj>
          <w:docPartGallery w:val="Page Numbers (Bottom of Page)"/>
          <w:docPartUnique/>
        </w:docPartObj>
      </w:sdtPr>
      <w:sdtEndPr>
        <w:rPr>
          <w:szCs w:val="20"/>
        </w:rPr>
      </w:sdtEndPr>
      <w:sdtContent>
        <w:sdt>
          <w:sdtPr>
            <w:rPr>
              <w:rFonts w:cs="Arial"/>
              <w:szCs w:val="19"/>
            </w:rPr>
            <w:id w:val="2121716933"/>
            <w:docPartObj>
              <w:docPartGallery w:val="Page Numbers (Bottom of Page)"/>
              <w:docPartUnique/>
            </w:docPartObj>
          </w:sdtPr>
          <w:sdtEndPr>
            <w:rPr>
              <w:szCs w:val="20"/>
            </w:rPr>
          </w:sdtEndPr>
          <w:sdtContent>
            <w:sdt>
              <w:sdtPr>
                <w:rPr>
                  <w:rFonts w:cs="Arial"/>
                  <w:szCs w:val="19"/>
                </w:rPr>
                <w:id w:val="-90233200"/>
                <w:docPartObj>
                  <w:docPartGallery w:val="Page Numbers (Bottom of Page)"/>
                  <w:docPartUnique/>
                </w:docPartObj>
              </w:sdtPr>
              <w:sdtEndPr>
                <w:rPr>
                  <w:szCs w:val="20"/>
                </w:rPr>
              </w:sdtEndPr>
              <w:sdtContent>
                <w:sdt>
                  <w:sdtPr>
                    <w:rPr>
                      <w:rFonts w:cs="Arial"/>
                      <w:szCs w:val="19"/>
                    </w:rPr>
                    <w:id w:val="-1323728453"/>
                    <w:docPartObj>
                      <w:docPartGallery w:val="Page Numbers (Bottom of Page)"/>
                      <w:docPartUnique/>
                    </w:docPartObj>
                  </w:sdtPr>
                  <w:sdtEndPr>
                    <w:rPr>
                      <w:szCs w:val="20"/>
                    </w:rPr>
                  </w:sdtEndPr>
                  <w:sdtContent>
                    <w:sdt>
                      <w:sdtPr>
                        <w:rPr>
                          <w:rFonts w:cs="Arial"/>
                          <w:szCs w:val="19"/>
                        </w:rPr>
                        <w:id w:val="936332618"/>
                        <w:docPartObj>
                          <w:docPartGallery w:val="Page Numbers (Bottom of Page)"/>
                          <w:docPartUnique/>
                        </w:docPartObj>
                      </w:sdtPr>
                      <w:sdtEndPr>
                        <w:rPr>
                          <w:szCs w:val="20"/>
                        </w:rPr>
                      </w:sdtEndPr>
                      <w:sdtContent>
                        <w:r w:rsidRPr="00F317A0">
                          <w:rPr>
                            <w:rFonts w:cs="Arial"/>
                          </w:rPr>
                          <w:t>PROTOCOL NINE |</w:t>
                        </w:r>
                      </w:sdtContent>
                    </w:sdt>
                  </w:sdtContent>
                </w:sdt>
              </w:sdtContent>
            </w:sdt>
          </w:sdtContent>
        </w:sdt>
      </w:sdtContent>
    </w:sdt>
    <w:r w:rsidRPr="00F317A0">
      <w:rPr>
        <w:rFonts w:cs="Arial"/>
      </w:rPr>
      <w:t xml:space="preserve"> </w:t>
    </w:r>
    <w:r w:rsidRPr="0083769C">
      <w:rPr>
        <w:rFonts w:ascii="Arial Black" w:hAnsi="Arial Black" w:cs="Arial"/>
        <w:szCs w:val="19"/>
      </w:rPr>
      <w:fldChar w:fldCharType="begin"/>
    </w:r>
    <w:r w:rsidRPr="0083769C">
      <w:rPr>
        <w:rFonts w:ascii="Arial Black" w:hAnsi="Arial Black" w:cs="Arial"/>
        <w:szCs w:val="19"/>
      </w:rPr>
      <w:instrText xml:space="preserve"> PAGE   \* MERGEFORMAT </w:instrText>
    </w:r>
    <w:r w:rsidRPr="0083769C">
      <w:rPr>
        <w:rFonts w:ascii="Arial Black" w:hAnsi="Arial Black" w:cs="Arial"/>
        <w:szCs w:val="19"/>
      </w:rPr>
      <w:fldChar w:fldCharType="separate"/>
    </w:r>
    <w:r w:rsidRPr="0083769C">
      <w:rPr>
        <w:rFonts w:ascii="Arial Black" w:hAnsi="Arial Black" w:cs="Arial"/>
        <w:noProof/>
        <w:szCs w:val="19"/>
      </w:rPr>
      <w:t>285</w:t>
    </w:r>
    <w:r w:rsidRPr="0083769C">
      <w:rPr>
        <w:rFonts w:ascii="Arial Black" w:hAnsi="Arial Black" w:cs="Arial"/>
        <w:szCs w:val="19"/>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color w:val="166783"/>
      </w:rPr>
      <w:id w:val="-1527625723"/>
      <w:docPartObj>
        <w:docPartGallery w:val="Page Numbers (Bottom of Page)"/>
        <w:docPartUnique/>
      </w:docPartObj>
    </w:sdtPr>
    <w:sdtEndPr>
      <w:rPr>
        <w:color w:val="003F75" w:themeColor="text2" w:themeShade="BF"/>
      </w:rPr>
    </w:sdtEndPr>
    <w:sdtContent>
      <w:p w:rsidR="0095080F" w:rsidRPr="00C24E61" w:rsidP="001D48BA" w14:paraId="24911D11" w14:textId="59BE8AB8">
        <w:pPr>
          <w:pStyle w:val="Footer"/>
        </w:pPr>
        <w:r w:rsidRPr="00C535AD">
          <w:rPr>
            <w:rFonts w:ascii="Arial Black" w:hAnsi="Arial Black"/>
            <w:b/>
            <w:szCs w:val="19"/>
          </w:rPr>
          <w:fldChar w:fldCharType="begin"/>
        </w:r>
        <w:r w:rsidRPr="00C535AD">
          <w:rPr>
            <w:rFonts w:ascii="Arial Black" w:hAnsi="Arial Black"/>
            <w:b/>
            <w:szCs w:val="19"/>
          </w:rPr>
          <w:instrText xml:space="preserve"> PAGE   \* MERGEFORMAT </w:instrText>
        </w:r>
        <w:r w:rsidRPr="00C535AD">
          <w:rPr>
            <w:rFonts w:ascii="Arial Black" w:hAnsi="Arial Black"/>
            <w:b/>
            <w:szCs w:val="19"/>
          </w:rPr>
          <w:fldChar w:fldCharType="separate"/>
        </w:r>
        <w:r>
          <w:rPr>
            <w:rFonts w:ascii="Arial Black" w:hAnsi="Arial Black"/>
            <w:b/>
            <w:szCs w:val="19"/>
          </w:rPr>
          <w:t>322</w:t>
        </w:r>
        <w:r w:rsidRPr="00C535AD">
          <w:rPr>
            <w:rFonts w:ascii="Arial Black" w:hAnsi="Arial Black"/>
            <w:szCs w:val="19"/>
          </w:rPr>
          <w:fldChar w:fldCharType="end"/>
        </w:r>
        <w:r w:rsidRPr="00C535AD">
          <w:t xml:space="preserve"> | </w:t>
        </w:r>
        <w:r w:rsidRPr="00D544BD">
          <w:t xml:space="preserve">PROTOCOL </w:t>
        </w:r>
        <w:r>
          <w:t>TEN</w:t>
        </w:r>
      </w:p>
    </w:sdtContent>
  </w:sdt>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556F85" w:rsidP="00341F39" w14:paraId="1078CAEF" w14:textId="77777777">
    <w:pPr>
      <w:pStyle w:val="Footer"/>
      <w:jc w:val="right"/>
      <w:rPr>
        <w:rFonts w:cs="Arial"/>
        <w:bCs/>
        <w:szCs w:val="19"/>
      </w:rPr>
    </w:pPr>
    <w:sdt>
      <w:sdtPr>
        <w:rPr>
          <w:szCs w:val="19"/>
        </w:rPr>
        <w:id w:val="1280384644"/>
        <w:docPartObj>
          <w:docPartGallery w:val="Page Numbers (Bottom of Page)"/>
          <w:docPartUnique/>
        </w:docPartObj>
      </w:sdtPr>
      <w:sdtEndPr>
        <w:rPr>
          <w:szCs w:val="20"/>
        </w:rPr>
      </w:sdtEndPr>
      <w:sdtContent>
        <w:sdt>
          <w:sdtPr>
            <w:rPr>
              <w:b/>
              <w:szCs w:val="19"/>
            </w:rPr>
            <w:id w:val="226654848"/>
            <w:docPartObj>
              <w:docPartGallery w:val="Page Numbers (Bottom of Page)"/>
              <w:docPartUnique/>
            </w:docPartObj>
          </w:sdtPr>
          <w:sdtEndPr>
            <w:rPr>
              <w:b w:val="0"/>
              <w:szCs w:val="20"/>
            </w:rPr>
          </w:sdtEndPr>
          <w:sdtContent>
            <w:sdt>
              <w:sdtPr>
                <w:rPr>
                  <w:b/>
                  <w:szCs w:val="19"/>
                </w:rPr>
                <w:id w:val="-918787715"/>
                <w:docPartObj>
                  <w:docPartGallery w:val="Page Numbers (Bottom of Page)"/>
                  <w:docPartUnique/>
                </w:docPartObj>
              </w:sdtPr>
              <w:sdtEndPr>
                <w:rPr>
                  <w:b w:val="0"/>
                  <w:szCs w:val="20"/>
                </w:rPr>
              </w:sdtEndPr>
              <w:sdtContent>
                <w:sdt>
                  <w:sdtPr>
                    <w:rPr>
                      <w:b/>
                      <w:szCs w:val="19"/>
                    </w:rPr>
                    <w:id w:val="887311545"/>
                    <w:docPartObj>
                      <w:docPartGallery w:val="Page Numbers (Bottom of Page)"/>
                      <w:docPartUnique/>
                    </w:docPartObj>
                  </w:sdtPr>
                  <w:sdtEndPr>
                    <w:rPr>
                      <w:b w:val="0"/>
                      <w:szCs w:val="20"/>
                    </w:rPr>
                  </w:sdtEndPr>
                  <w:sdtContent>
                    <w:sdt>
                      <w:sdtPr>
                        <w:rPr>
                          <w:szCs w:val="19"/>
                        </w:rPr>
                        <w:id w:val="-1275937802"/>
                        <w:docPartObj>
                          <w:docPartGallery w:val="Page Numbers (Bottom of Page)"/>
                          <w:docPartUnique/>
                        </w:docPartObj>
                      </w:sdtPr>
                      <w:sdtEndPr>
                        <w:rPr>
                          <w:szCs w:val="20"/>
                        </w:rPr>
                      </w:sdtEndPr>
                      <w:sdtContent>
                        <w:r w:rsidRPr="00D544BD">
                          <w:t xml:space="preserve">PROTOCOL </w:t>
                        </w:r>
                        <w:r>
                          <w:t xml:space="preserve">TEN </w:t>
                        </w:r>
                        <w:r w:rsidRPr="00D544BD">
                          <w:t>|</w:t>
                        </w:r>
                      </w:sdtContent>
                    </w:sdt>
                  </w:sdtContent>
                </w:sdt>
              </w:sdtContent>
            </w:sdt>
          </w:sdtContent>
        </w:sdt>
      </w:sdtContent>
    </w:sdt>
    <w:r w:rsidRPr="00D544BD">
      <w:t xml:space="preserve"> </w:t>
    </w:r>
    <w:r w:rsidRPr="00556F85">
      <w:rPr>
        <w:rFonts w:cs="Arial"/>
        <w:bCs/>
        <w:szCs w:val="19"/>
      </w:rPr>
      <w:fldChar w:fldCharType="begin"/>
    </w:r>
    <w:r w:rsidRPr="00556F85">
      <w:rPr>
        <w:rFonts w:cs="Arial"/>
        <w:bCs/>
        <w:szCs w:val="19"/>
      </w:rPr>
      <w:instrText xml:space="preserve"> PAGE   \* MERGEFORMAT </w:instrText>
    </w:r>
    <w:r w:rsidRPr="00556F85">
      <w:rPr>
        <w:rFonts w:cs="Arial"/>
        <w:bCs/>
        <w:szCs w:val="19"/>
      </w:rPr>
      <w:fldChar w:fldCharType="separate"/>
    </w:r>
    <w:r w:rsidRPr="00556F85">
      <w:rPr>
        <w:rFonts w:cs="Arial"/>
        <w:bCs/>
        <w:noProof/>
        <w:szCs w:val="19"/>
      </w:rPr>
      <w:t>293</w:t>
    </w:r>
    <w:r w:rsidRPr="00556F85">
      <w:rPr>
        <w:rFonts w:cs="Arial"/>
        <w:bCs/>
        <w:szCs w:val="19"/>
      </w:rPr>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1A3542" w:rsidRPr="00D127AE" w:rsidP="006F5BEC" w14:paraId="556D9BE0" w14:textId="64EA2969">
    <w:pPr>
      <w:pStyle w:val="Footer"/>
      <w:pBdr>
        <w:top w:val="none" w:sz="0" w:space="0" w:color="auto"/>
      </w:pBdr>
      <w:rPr>
        <w:rFonts w:ascii="Arial Black" w:hAnsi="Arial Black"/>
        <w:color w:val="FFFFFF" w:themeColor="background1"/>
        <w:szCs w:val="19"/>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rFonts w:ascii="Arial Black" w:hAnsi="Arial Black"/>
      </w:rPr>
      <w:id w:val="-2029557466"/>
      <w:docPartObj>
        <w:docPartGallery w:val="Page Numbers (Bottom of Page)"/>
        <w:docPartUnique/>
      </w:docPartObj>
    </w:sdtPr>
    <w:sdtEndPr>
      <w:rPr>
        <w:rFonts w:ascii="Arial" w:hAnsi="Arial"/>
      </w:rPr>
    </w:sdtEndPr>
    <w:sdtContent>
      <w:p w:rsidR="00ED33C3" w:rsidRPr="00D544BD" w:rsidP="00345082" w14:paraId="486E432C" w14:textId="78C1C207">
        <w:pPr>
          <w:pStyle w:val="Footer"/>
        </w:pPr>
        <w:r w:rsidRPr="00407B69">
          <w:rPr>
            <w:rFonts w:ascii="Arial Black" w:hAnsi="Arial Black"/>
            <w:b/>
            <w:szCs w:val="19"/>
          </w:rPr>
          <w:fldChar w:fldCharType="begin"/>
        </w:r>
        <w:r w:rsidRPr="00407B69">
          <w:rPr>
            <w:rFonts w:ascii="Arial Black" w:hAnsi="Arial Black"/>
            <w:b/>
            <w:szCs w:val="19"/>
          </w:rPr>
          <w:instrText xml:space="preserve"> PAGE   \* MERGEFORMAT </w:instrText>
        </w:r>
        <w:r w:rsidRPr="00407B69">
          <w:rPr>
            <w:rFonts w:ascii="Arial Black" w:hAnsi="Arial Black"/>
            <w:b/>
            <w:szCs w:val="19"/>
          </w:rPr>
          <w:fldChar w:fldCharType="separate"/>
        </w:r>
        <w:r>
          <w:rPr>
            <w:rFonts w:ascii="Arial Black" w:hAnsi="Arial Black"/>
            <w:b/>
            <w:noProof/>
            <w:szCs w:val="19"/>
          </w:rPr>
          <w:t>336</w:t>
        </w:r>
        <w:r w:rsidRPr="00407B69">
          <w:rPr>
            <w:rFonts w:ascii="Arial Black" w:hAnsi="Arial Black"/>
            <w:szCs w:val="19"/>
          </w:rPr>
          <w:fldChar w:fldCharType="end"/>
        </w:r>
        <w:r w:rsidRPr="00D544BD">
          <w:t xml:space="preserve"> | </w:t>
        </w:r>
        <w:r w:rsidR="00561AD3">
          <w:t>PROTOCOL 11</w:t>
        </w:r>
      </w:p>
    </w:sdtContent>
  </w:sdt>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507461" w:rsidP="00341F39" w14:paraId="346B6BF6" w14:textId="6E9152A4">
    <w:pPr>
      <w:pStyle w:val="Footer"/>
      <w:jc w:val="right"/>
      <w:rPr>
        <w:rFonts w:ascii="Arial Black" w:hAnsi="Arial Black"/>
        <w:b/>
        <w:bCs/>
        <w:szCs w:val="19"/>
      </w:rPr>
    </w:pPr>
    <w:sdt>
      <w:sdtPr>
        <w:rPr>
          <w:b/>
          <w:bCs/>
          <w:szCs w:val="19"/>
        </w:rPr>
        <w:id w:val="561683140"/>
        <w:docPartObj>
          <w:docPartGallery w:val="Page Numbers (Bottom of Page)"/>
          <w:docPartUnique/>
        </w:docPartObj>
      </w:sdtPr>
      <w:sdtEndPr>
        <w:rPr>
          <w:szCs w:val="20"/>
        </w:rPr>
      </w:sdtEndPr>
      <w:sdtContent>
        <w:sdt>
          <w:sdtPr>
            <w:rPr>
              <w:b/>
              <w:bCs/>
              <w:szCs w:val="19"/>
            </w:rPr>
            <w:id w:val="-1237159751"/>
            <w:docPartObj>
              <w:docPartGallery w:val="Page Numbers (Bottom of Page)"/>
              <w:docPartUnique/>
            </w:docPartObj>
          </w:sdtPr>
          <w:sdtEndPr>
            <w:rPr>
              <w:szCs w:val="20"/>
            </w:rPr>
          </w:sdtEndPr>
          <w:sdtContent>
            <w:sdt>
              <w:sdtPr>
                <w:rPr>
                  <w:b/>
                  <w:bCs/>
                  <w:szCs w:val="19"/>
                </w:rPr>
                <w:id w:val="-841311128"/>
                <w:docPartObj>
                  <w:docPartGallery w:val="Page Numbers (Bottom of Page)"/>
                  <w:docPartUnique/>
                </w:docPartObj>
              </w:sdtPr>
              <w:sdtEndPr>
                <w:rPr>
                  <w:szCs w:val="20"/>
                </w:rPr>
              </w:sdtEndPr>
              <w:sdtContent>
                <w:sdt>
                  <w:sdtPr>
                    <w:rPr>
                      <w:b/>
                      <w:bCs/>
                      <w:szCs w:val="19"/>
                    </w:rPr>
                    <w:id w:val="-1307314466"/>
                    <w:docPartObj>
                      <w:docPartGallery w:val="Page Numbers (Bottom of Page)"/>
                      <w:docPartUnique/>
                    </w:docPartObj>
                  </w:sdtPr>
                  <w:sdtEndPr>
                    <w:rPr>
                      <w:szCs w:val="20"/>
                    </w:rPr>
                  </w:sdtEndPr>
                  <w:sdtContent>
                    <w:sdt>
                      <w:sdtPr>
                        <w:rPr>
                          <w:b/>
                          <w:bCs/>
                          <w:szCs w:val="19"/>
                        </w:rPr>
                        <w:id w:val="171775393"/>
                        <w:docPartObj>
                          <w:docPartGallery w:val="Page Numbers (Bottom of Page)"/>
                          <w:docPartUnique/>
                        </w:docPartObj>
                      </w:sdtPr>
                      <w:sdtEndPr>
                        <w:rPr>
                          <w:szCs w:val="20"/>
                        </w:rPr>
                      </w:sdtEndPr>
                      <w:sdtContent>
                        <w:r w:rsidR="00A34680">
                          <w:t>PROTOCOL 11</w:t>
                        </w:r>
                        <w:r w:rsidRPr="00507461">
                          <w:rPr>
                            <w:b/>
                            <w:bCs/>
                          </w:rPr>
                          <w:t xml:space="preserve"> |</w:t>
                        </w:r>
                      </w:sdtContent>
                    </w:sdt>
                  </w:sdtContent>
                </w:sdt>
              </w:sdtContent>
            </w:sdt>
          </w:sdtContent>
        </w:sdt>
      </w:sdtContent>
    </w:sdt>
    <w:r w:rsidRPr="00507461">
      <w:rPr>
        <w:b/>
        <w:bCs/>
      </w:rPr>
      <w:t xml:space="preserve"> </w:t>
    </w:r>
    <w:r w:rsidRPr="00507461">
      <w:rPr>
        <w:rFonts w:ascii="Arial Black" w:hAnsi="Arial Black" w:cs="Arial"/>
        <w:b/>
        <w:bCs/>
        <w:szCs w:val="19"/>
      </w:rPr>
      <w:fldChar w:fldCharType="begin"/>
    </w:r>
    <w:r w:rsidRPr="00507461">
      <w:rPr>
        <w:rFonts w:ascii="Arial Black" w:hAnsi="Arial Black" w:cs="Arial"/>
        <w:b/>
        <w:bCs/>
        <w:szCs w:val="19"/>
      </w:rPr>
      <w:instrText xml:space="preserve"> PAGE   \* MERGEFORMAT </w:instrText>
    </w:r>
    <w:r w:rsidRPr="00507461">
      <w:rPr>
        <w:rFonts w:ascii="Arial Black" w:hAnsi="Arial Black" w:cs="Arial"/>
        <w:b/>
        <w:bCs/>
        <w:szCs w:val="19"/>
      </w:rPr>
      <w:fldChar w:fldCharType="separate"/>
    </w:r>
    <w:r w:rsidRPr="00507461">
      <w:rPr>
        <w:rFonts w:ascii="Arial Black" w:hAnsi="Arial Black" w:cs="Arial"/>
        <w:b/>
        <w:bCs/>
        <w:noProof/>
        <w:szCs w:val="19"/>
      </w:rPr>
      <w:t>335</w:t>
    </w:r>
    <w:r w:rsidRPr="00507461">
      <w:rPr>
        <w:rFonts w:ascii="Arial Black" w:hAnsi="Arial Black" w:cs="Arial"/>
        <w:b/>
        <w:bCs/>
        <w:szCs w:val="19"/>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578DD" w14:paraId="2A37313F" w14:textId="77777777"/>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rFonts w:ascii="Arial Black" w:hAnsi="Arial Black"/>
      </w:rPr>
      <w:id w:val="811130688"/>
      <w:docPartObj>
        <w:docPartGallery w:val="Page Numbers (Bottom of Page)"/>
        <w:docPartUnique/>
      </w:docPartObj>
    </w:sdtPr>
    <w:sdtEndPr>
      <w:rPr>
        <w:rFonts w:ascii="Arial" w:hAnsi="Arial"/>
      </w:rPr>
    </w:sdtEndPr>
    <w:sdtContent>
      <w:p w:rsidR="00AA0D87" w:rsidRPr="00D544BD" w:rsidP="00345082" w14:paraId="7F5AA68D" w14:textId="44FABF3F">
        <w:pPr>
          <w:pStyle w:val="Footer"/>
        </w:pPr>
        <w:r>
          <w:rPr>
            <w:rFonts w:ascii="Arial Black" w:hAnsi="Arial Black"/>
            <w:szCs w:val="19"/>
          </w:rPr>
          <w:t>A.</w:t>
        </w:r>
        <w:r w:rsidRPr="007E00E8" w:rsidR="007E00E8">
          <w:rPr>
            <w:rFonts w:ascii="Arial Black" w:hAnsi="Arial Black"/>
            <w:szCs w:val="19"/>
          </w:rPr>
          <w:fldChar w:fldCharType="begin"/>
        </w:r>
        <w:r w:rsidRPr="007E00E8" w:rsidR="007E00E8">
          <w:rPr>
            <w:rFonts w:ascii="Arial Black" w:hAnsi="Arial Black"/>
            <w:szCs w:val="19"/>
          </w:rPr>
          <w:instrText xml:space="preserve"> PAGE   \* MERGEFORMAT </w:instrText>
        </w:r>
        <w:r w:rsidRPr="007E00E8" w:rsidR="007E00E8">
          <w:rPr>
            <w:rFonts w:ascii="Arial Black" w:hAnsi="Arial Black"/>
            <w:szCs w:val="19"/>
          </w:rPr>
          <w:fldChar w:fldCharType="separate"/>
        </w:r>
        <w:r w:rsidRPr="007E00E8" w:rsidR="007E00E8">
          <w:rPr>
            <w:rFonts w:ascii="Arial Black" w:hAnsi="Arial Black"/>
            <w:noProof/>
            <w:szCs w:val="19"/>
          </w:rPr>
          <w:t>1</w:t>
        </w:r>
        <w:r w:rsidRPr="007E00E8" w:rsidR="007E00E8">
          <w:rPr>
            <w:rFonts w:ascii="Arial Black" w:hAnsi="Arial Black"/>
            <w:noProof/>
            <w:szCs w:val="19"/>
          </w:rPr>
          <w:fldChar w:fldCharType="end"/>
        </w:r>
        <w:r w:rsidR="007E00E8">
          <w:rPr>
            <w:rFonts w:ascii="Arial Black" w:hAnsi="Arial Black"/>
            <w:szCs w:val="19"/>
          </w:rPr>
          <w:t xml:space="preserve"> </w:t>
        </w:r>
        <w:r w:rsidRPr="00D544BD">
          <w:t xml:space="preserve">| </w:t>
        </w:r>
        <w:r>
          <w:t xml:space="preserve">APPENDIX </w:t>
        </w:r>
        <w:r>
          <w:t>A</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1A207C" w:rsidP="001A207C" w14:paraId="22C67243" w14:textId="488EE140">
    <w:pPr>
      <w:pStyle w:val="Footer"/>
      <w:jc w:val="right"/>
      <w:rPr>
        <w:szCs w:val="19"/>
      </w:rPr>
    </w:pPr>
    <w:r>
      <w:rPr>
        <w:szCs w:val="19"/>
      </w:rPr>
      <w:t>CONTENTS</w:t>
    </w:r>
    <w:r w:rsidRPr="004C1840">
      <w:rPr>
        <w:szCs w:val="19"/>
      </w:rPr>
      <w:t xml:space="preserve"> | </w:t>
    </w:r>
    <w:r w:rsidRPr="004C1840">
      <w:rPr>
        <w:rFonts w:ascii="Arial Black" w:hAnsi="Arial Black"/>
        <w:b/>
        <w:szCs w:val="19"/>
      </w:rPr>
      <w:fldChar w:fldCharType="begin"/>
    </w:r>
    <w:r w:rsidRPr="004C1840">
      <w:rPr>
        <w:rFonts w:ascii="Arial Black" w:hAnsi="Arial Black"/>
        <w:b/>
        <w:szCs w:val="19"/>
      </w:rPr>
      <w:instrText xml:space="preserve"> PAGE   \* MERGEFORMAT </w:instrText>
    </w:r>
    <w:r w:rsidRPr="004C1840">
      <w:rPr>
        <w:rFonts w:ascii="Arial Black" w:hAnsi="Arial Black"/>
        <w:b/>
        <w:szCs w:val="19"/>
      </w:rPr>
      <w:fldChar w:fldCharType="separate"/>
    </w:r>
    <w:r>
      <w:rPr>
        <w:rFonts w:ascii="Arial Black" w:hAnsi="Arial Black"/>
        <w:b/>
        <w:szCs w:val="19"/>
      </w:rPr>
      <w:t>ii</w:t>
    </w:r>
    <w:r>
      <w:rPr>
        <w:rFonts w:ascii="Arial Black" w:hAnsi="Arial Black"/>
        <w:b/>
        <w:szCs w:val="19"/>
      </w:rPr>
      <w:t>i</w:t>
    </w:r>
    <w:r w:rsidRPr="004C1840">
      <w:rPr>
        <w:rFonts w:ascii="Arial Black" w:hAnsi="Arial Black"/>
        <w:szCs w:val="19"/>
      </w:rPr>
      <w:fldChar w:fldCharType="end"/>
    </w:r>
    <w:r w:rsidR="00C359B7">
      <w:rPr>
        <w:noProof/>
      </w:rPr>
      <mc:AlternateContent>
        <mc:Choice Requires="wps">
          <w:drawing>
            <wp:anchor distT="0" distB="0" distL="114300" distR="114300" simplePos="0" relativeHeight="251664384" behindDoc="1" locked="1" layoutInCell="1" allowOverlap="1">
              <wp:simplePos x="0" y="0"/>
              <wp:positionH relativeFrom="page">
                <wp:posOffset>0</wp:posOffset>
              </wp:positionH>
              <wp:positionV relativeFrom="page">
                <wp:posOffset>514350</wp:posOffset>
              </wp:positionV>
              <wp:extent cx="7781290" cy="45720"/>
              <wp:effectExtent l="0" t="0" r="0" b="0"/>
              <wp:wrapNone/>
              <wp:docPr id="1229741252" name="Rectangle 50"/>
              <wp:cNvGraphicFramePr/>
              <a:graphic xmlns:a="http://schemas.openxmlformats.org/drawingml/2006/main">
                <a:graphicData uri="http://schemas.microsoft.com/office/word/2010/wordprocessingShape">
                  <wps:wsp xmlns:wps="http://schemas.microsoft.com/office/word/2010/wordprocessingShape">
                    <wps:cNvSpPr/>
                    <wps:spPr>
                      <a:xfrm>
                        <a:off x="0" y="0"/>
                        <a:ext cx="7781290" cy="45720"/>
                      </a:xfrm>
                      <a:prstGeom prst="rect">
                        <a:avLst/>
                      </a:prstGeom>
                      <a:solidFill>
                        <a:srgbClr val="0082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0" o:spid="_x0000_s2051" style="width:612.7pt;height:3.6pt;margin-top:40.5pt;margin-left:0;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middle;z-index:-251651072" fillcolor="#00828c" stroked="f" strokeweight="1pt">
              <w10:anchorlock/>
            </v:rect>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E00E8" w:rsidRPr="00507461" w:rsidP="00341F39" w14:paraId="7E99DFD8" w14:textId="57D9D685">
    <w:pPr>
      <w:pStyle w:val="Footer"/>
      <w:jc w:val="right"/>
      <w:rPr>
        <w:rFonts w:ascii="Arial Black" w:hAnsi="Arial Black"/>
        <w:b/>
        <w:bCs/>
        <w:szCs w:val="19"/>
      </w:rPr>
    </w:pPr>
    <w:sdt>
      <w:sdtPr>
        <w:rPr>
          <w:b/>
          <w:bCs/>
          <w:szCs w:val="19"/>
        </w:rPr>
        <w:id w:val="914587258"/>
        <w:docPartObj>
          <w:docPartGallery w:val="Page Numbers (Bottom of Page)"/>
          <w:docPartUnique/>
        </w:docPartObj>
      </w:sdtPr>
      <w:sdtEndPr>
        <w:rPr>
          <w:szCs w:val="20"/>
        </w:rPr>
      </w:sdtEndPr>
      <w:sdtContent>
        <w:sdt>
          <w:sdtPr>
            <w:rPr>
              <w:b/>
              <w:bCs/>
              <w:szCs w:val="19"/>
            </w:rPr>
            <w:id w:val="1562910263"/>
            <w:docPartObj>
              <w:docPartGallery w:val="Page Numbers (Bottom of Page)"/>
              <w:docPartUnique/>
            </w:docPartObj>
          </w:sdtPr>
          <w:sdtEndPr>
            <w:rPr>
              <w:szCs w:val="20"/>
            </w:rPr>
          </w:sdtEndPr>
          <w:sdtContent>
            <w:sdt>
              <w:sdtPr>
                <w:rPr>
                  <w:b/>
                  <w:bCs/>
                  <w:szCs w:val="19"/>
                </w:rPr>
                <w:id w:val="1837951367"/>
                <w:docPartObj>
                  <w:docPartGallery w:val="Page Numbers (Bottom of Page)"/>
                  <w:docPartUnique/>
                </w:docPartObj>
              </w:sdtPr>
              <w:sdtEndPr>
                <w:rPr>
                  <w:szCs w:val="20"/>
                </w:rPr>
              </w:sdtEndPr>
              <w:sdtContent>
                <w:sdt>
                  <w:sdtPr>
                    <w:rPr>
                      <w:b/>
                      <w:bCs/>
                      <w:szCs w:val="19"/>
                    </w:rPr>
                    <w:id w:val="1285922671"/>
                    <w:docPartObj>
                      <w:docPartGallery w:val="Page Numbers (Bottom of Page)"/>
                      <w:docPartUnique/>
                    </w:docPartObj>
                  </w:sdtPr>
                  <w:sdtEndPr>
                    <w:rPr>
                      <w:szCs w:val="20"/>
                    </w:rPr>
                  </w:sdtEndPr>
                  <w:sdtContent>
                    <w:sdt>
                      <w:sdtPr>
                        <w:rPr>
                          <w:b/>
                          <w:bCs/>
                          <w:szCs w:val="19"/>
                        </w:rPr>
                        <w:id w:val="-1033111676"/>
                        <w:docPartObj>
                          <w:docPartGallery w:val="Page Numbers (Bottom of Page)"/>
                          <w:docPartUnique/>
                        </w:docPartObj>
                      </w:sdtPr>
                      <w:sdtEndPr>
                        <w:rPr>
                          <w:szCs w:val="20"/>
                        </w:rPr>
                      </w:sdtEndPr>
                      <w:sdtContent>
                        <w:r w:rsidRPr="007E00E8">
                          <w:rPr>
                            <w:szCs w:val="19"/>
                          </w:rPr>
                          <w:t>APPENDIX A</w:t>
                        </w:r>
                        <w:r w:rsidRPr="007E00E8">
                          <w:t xml:space="preserve"> </w:t>
                        </w:r>
                        <w:r w:rsidRPr="00507461">
                          <w:rPr>
                            <w:b/>
                            <w:bCs/>
                          </w:rPr>
                          <w:t>|</w:t>
                        </w:r>
                      </w:sdtContent>
                    </w:sdt>
                  </w:sdtContent>
                </w:sdt>
              </w:sdtContent>
            </w:sdt>
          </w:sdtContent>
        </w:sdt>
      </w:sdtContent>
    </w:sdt>
    <w:r w:rsidRPr="00507461">
      <w:rPr>
        <w:b/>
        <w:bCs/>
      </w:rPr>
      <w:t xml:space="preserve"> </w:t>
    </w:r>
    <w:r>
      <w:rPr>
        <w:b/>
        <w:bCs/>
      </w:rPr>
      <w:t>A.</w:t>
    </w:r>
    <w:r w:rsidRPr="00507461">
      <w:rPr>
        <w:rFonts w:ascii="Arial Black" w:hAnsi="Arial Black" w:cs="Arial"/>
        <w:b/>
        <w:bCs/>
        <w:szCs w:val="19"/>
      </w:rPr>
      <w:fldChar w:fldCharType="begin"/>
    </w:r>
    <w:r w:rsidRPr="00507461">
      <w:rPr>
        <w:rFonts w:ascii="Arial Black" w:hAnsi="Arial Black" w:cs="Arial"/>
        <w:b/>
        <w:bCs/>
        <w:szCs w:val="19"/>
      </w:rPr>
      <w:instrText xml:space="preserve"> PAGE   \* MERGEFORMAT </w:instrText>
    </w:r>
    <w:r w:rsidRPr="00507461">
      <w:rPr>
        <w:rFonts w:ascii="Arial Black" w:hAnsi="Arial Black" w:cs="Arial"/>
        <w:b/>
        <w:bCs/>
        <w:szCs w:val="19"/>
      </w:rPr>
      <w:fldChar w:fldCharType="separate"/>
    </w:r>
    <w:r w:rsidRPr="00507461">
      <w:rPr>
        <w:rFonts w:ascii="Arial Black" w:hAnsi="Arial Black" w:cs="Arial"/>
        <w:b/>
        <w:bCs/>
        <w:noProof/>
        <w:szCs w:val="19"/>
      </w:rPr>
      <w:t>335</w:t>
    </w:r>
    <w:r w:rsidRPr="00507461">
      <w:rPr>
        <w:rFonts w:ascii="Arial Black" w:hAnsi="Arial Black" w:cs="Arial"/>
        <w:b/>
        <w:bCs/>
        <w:szCs w:val="19"/>
      </w:rPr>
      <w:fldChar w:fldCharType="end"/>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5B3B08" w14:paraId="797D9CDF" w14:textId="77777777"/>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rFonts w:ascii="Arial Black" w:hAnsi="Arial Black"/>
      </w:rPr>
      <w:id w:val="1034002818"/>
      <w:docPartObj>
        <w:docPartGallery w:val="Page Numbers (Bottom of Page)"/>
        <w:docPartUnique/>
      </w:docPartObj>
    </w:sdtPr>
    <w:sdtEndPr>
      <w:rPr>
        <w:rFonts w:ascii="Arial" w:hAnsi="Arial"/>
      </w:rPr>
    </w:sdtEndPr>
    <w:sdtContent>
      <w:p w:rsidR="00FF2A44" w:rsidRPr="00D544BD" w:rsidP="00345082" w14:paraId="328D98D5" w14:textId="1C192C0B">
        <w:pPr>
          <w:pStyle w:val="Footer"/>
        </w:pPr>
        <w:r>
          <w:rPr>
            <w:rFonts w:ascii="Arial Black" w:hAnsi="Arial Black"/>
            <w:szCs w:val="19"/>
          </w:rPr>
          <w:t>B.</w:t>
        </w:r>
        <w:r w:rsidRPr="00DE4BB2" w:rsidR="00DE4BB2">
          <w:rPr>
            <w:rFonts w:ascii="Arial Black" w:hAnsi="Arial Black"/>
            <w:szCs w:val="19"/>
          </w:rPr>
          <w:fldChar w:fldCharType="begin"/>
        </w:r>
        <w:r w:rsidRPr="00DE4BB2" w:rsidR="00DE4BB2">
          <w:rPr>
            <w:rFonts w:ascii="Arial Black" w:hAnsi="Arial Black"/>
            <w:szCs w:val="19"/>
          </w:rPr>
          <w:instrText xml:space="preserve"> PAGE   \* MERGEFORMAT </w:instrText>
        </w:r>
        <w:r w:rsidRPr="00DE4BB2" w:rsidR="00DE4BB2">
          <w:rPr>
            <w:rFonts w:ascii="Arial Black" w:hAnsi="Arial Black"/>
            <w:szCs w:val="19"/>
          </w:rPr>
          <w:fldChar w:fldCharType="separate"/>
        </w:r>
        <w:r w:rsidRPr="00DE4BB2" w:rsidR="00DE4BB2">
          <w:rPr>
            <w:rFonts w:ascii="Arial Black" w:hAnsi="Arial Black"/>
            <w:noProof/>
            <w:szCs w:val="19"/>
          </w:rPr>
          <w:t>1</w:t>
        </w:r>
        <w:r w:rsidRPr="00DE4BB2" w:rsidR="00DE4BB2">
          <w:rPr>
            <w:rFonts w:ascii="Arial Black" w:hAnsi="Arial Black"/>
            <w:noProof/>
            <w:szCs w:val="19"/>
          </w:rPr>
          <w:fldChar w:fldCharType="end"/>
        </w:r>
        <w:r w:rsidRPr="00D544BD">
          <w:t xml:space="preserve"> | </w:t>
        </w:r>
        <w:r>
          <w:t>APPENDIX B</w:t>
        </w:r>
      </w:p>
    </w:sdtContent>
  </w:sdt>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FF2A44" w:rsidRPr="00507461" w:rsidP="00341F39" w14:paraId="167E11C5" w14:textId="0DCDCA58">
    <w:pPr>
      <w:pStyle w:val="Footer"/>
      <w:jc w:val="right"/>
      <w:rPr>
        <w:rFonts w:ascii="Arial Black" w:hAnsi="Arial Black"/>
        <w:b/>
        <w:bCs/>
        <w:szCs w:val="19"/>
      </w:rPr>
    </w:pPr>
    <w:sdt>
      <w:sdtPr>
        <w:rPr>
          <w:b/>
          <w:bCs/>
          <w:szCs w:val="19"/>
        </w:rPr>
        <w:id w:val="-1865582475"/>
        <w:docPartObj>
          <w:docPartGallery w:val="Page Numbers (Bottom of Page)"/>
          <w:docPartUnique/>
        </w:docPartObj>
      </w:sdtPr>
      <w:sdtEndPr>
        <w:rPr>
          <w:szCs w:val="20"/>
        </w:rPr>
      </w:sdtEndPr>
      <w:sdtContent>
        <w:sdt>
          <w:sdtPr>
            <w:rPr>
              <w:b/>
              <w:bCs/>
              <w:szCs w:val="19"/>
            </w:rPr>
            <w:id w:val="-1971428407"/>
            <w:docPartObj>
              <w:docPartGallery w:val="Page Numbers (Bottom of Page)"/>
              <w:docPartUnique/>
            </w:docPartObj>
          </w:sdtPr>
          <w:sdtEndPr>
            <w:rPr>
              <w:szCs w:val="20"/>
            </w:rPr>
          </w:sdtEndPr>
          <w:sdtContent>
            <w:sdt>
              <w:sdtPr>
                <w:rPr>
                  <w:b/>
                  <w:bCs/>
                  <w:szCs w:val="19"/>
                </w:rPr>
                <w:id w:val="2045644186"/>
                <w:docPartObj>
                  <w:docPartGallery w:val="Page Numbers (Bottom of Page)"/>
                  <w:docPartUnique/>
                </w:docPartObj>
              </w:sdtPr>
              <w:sdtEndPr>
                <w:rPr>
                  <w:szCs w:val="20"/>
                </w:rPr>
              </w:sdtEndPr>
              <w:sdtContent>
                <w:sdt>
                  <w:sdtPr>
                    <w:rPr>
                      <w:b/>
                      <w:bCs/>
                      <w:szCs w:val="19"/>
                    </w:rPr>
                    <w:id w:val="506339948"/>
                    <w:docPartObj>
                      <w:docPartGallery w:val="Page Numbers (Bottom of Page)"/>
                      <w:docPartUnique/>
                    </w:docPartObj>
                  </w:sdtPr>
                  <w:sdtEndPr>
                    <w:rPr>
                      <w:szCs w:val="20"/>
                    </w:rPr>
                  </w:sdtEndPr>
                  <w:sdtContent>
                    <w:sdt>
                      <w:sdtPr>
                        <w:rPr>
                          <w:b/>
                          <w:bCs/>
                          <w:szCs w:val="19"/>
                        </w:rPr>
                        <w:id w:val="-956098726"/>
                        <w:docPartObj>
                          <w:docPartGallery w:val="Page Numbers (Bottom of Page)"/>
                          <w:docPartUnique/>
                        </w:docPartObj>
                      </w:sdtPr>
                      <w:sdtEndPr>
                        <w:rPr>
                          <w:szCs w:val="20"/>
                        </w:rPr>
                      </w:sdtEndPr>
                      <w:sdtContent>
                        <w:r w:rsidRPr="00FF2A44">
                          <w:t>APPENDIX B</w:t>
                        </w:r>
                        <w:r w:rsidRPr="00507461">
                          <w:rPr>
                            <w:b/>
                            <w:bCs/>
                          </w:rPr>
                          <w:t xml:space="preserve"> |</w:t>
                        </w:r>
                      </w:sdtContent>
                    </w:sdt>
                  </w:sdtContent>
                </w:sdt>
              </w:sdtContent>
            </w:sdt>
          </w:sdtContent>
        </w:sdt>
      </w:sdtContent>
    </w:sdt>
    <w:r w:rsidRPr="00507461">
      <w:rPr>
        <w:b/>
        <w:bCs/>
      </w:rPr>
      <w:t xml:space="preserve"> </w:t>
    </w:r>
    <w:r>
      <w:rPr>
        <w:b/>
        <w:bCs/>
      </w:rPr>
      <w:t>B</w:t>
    </w:r>
    <w:r w:rsidRPr="00507461">
      <w:rPr>
        <w:rFonts w:ascii="Arial Black" w:hAnsi="Arial Black"/>
        <w:b/>
        <w:bCs/>
      </w:rPr>
      <w:t>.</w:t>
    </w:r>
    <w:r w:rsidRPr="00507461">
      <w:rPr>
        <w:rFonts w:ascii="Arial Black" w:hAnsi="Arial Black" w:cs="Arial"/>
        <w:b/>
        <w:bCs/>
        <w:szCs w:val="19"/>
      </w:rPr>
      <w:fldChar w:fldCharType="begin"/>
    </w:r>
    <w:r w:rsidRPr="00507461">
      <w:rPr>
        <w:rFonts w:ascii="Arial Black" w:hAnsi="Arial Black" w:cs="Arial"/>
        <w:b/>
        <w:bCs/>
        <w:szCs w:val="19"/>
      </w:rPr>
      <w:instrText xml:space="preserve"> PAGE   \* MERGEFORMAT </w:instrText>
    </w:r>
    <w:r w:rsidRPr="00507461">
      <w:rPr>
        <w:rFonts w:ascii="Arial Black" w:hAnsi="Arial Black" w:cs="Arial"/>
        <w:b/>
        <w:bCs/>
        <w:szCs w:val="19"/>
      </w:rPr>
      <w:fldChar w:fldCharType="separate"/>
    </w:r>
    <w:r w:rsidRPr="00507461">
      <w:rPr>
        <w:rFonts w:ascii="Arial Black" w:hAnsi="Arial Black" w:cs="Arial"/>
        <w:b/>
        <w:bCs/>
        <w:noProof/>
        <w:szCs w:val="19"/>
      </w:rPr>
      <w:t>335</w:t>
    </w:r>
    <w:r w:rsidRPr="00507461">
      <w:rPr>
        <w:rFonts w:ascii="Arial Black" w:hAnsi="Arial Black" w:cs="Arial"/>
        <w:b/>
        <w:bCs/>
        <w:szCs w:val="19"/>
      </w:rPr>
      <w:fldChar w:fldCharType="end"/>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21F5" w14:paraId="26B8C01F" w14:textId="77777777"/>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rFonts w:ascii="Arial Black" w:hAnsi="Arial Black"/>
      </w:rPr>
      <w:id w:val="-485245501"/>
      <w:docPartObj>
        <w:docPartGallery w:val="Page Numbers (Bottom of Page)"/>
        <w:docPartUnique/>
      </w:docPartObj>
    </w:sdtPr>
    <w:sdtEndPr>
      <w:rPr>
        <w:rFonts w:ascii="Arial" w:hAnsi="Arial"/>
      </w:rPr>
    </w:sdtEndPr>
    <w:sdtContent>
      <w:p w:rsidR="00DD3A98" w:rsidRPr="00D544BD" w:rsidP="00345082" w14:paraId="1E799A24" w14:textId="629F5ECB">
        <w:pPr>
          <w:pStyle w:val="Footer"/>
        </w:pPr>
        <w:r>
          <w:rPr>
            <w:rFonts w:ascii="Arial Black" w:hAnsi="Arial Black"/>
            <w:szCs w:val="19"/>
          </w:rPr>
          <w:t>B</w:t>
        </w:r>
        <w:r>
          <w:rPr>
            <w:rFonts w:ascii="Arial Black" w:hAnsi="Arial Black"/>
            <w:szCs w:val="19"/>
          </w:rPr>
          <w:t>.</w:t>
        </w:r>
        <w:r w:rsidRPr="00407B69">
          <w:rPr>
            <w:rFonts w:ascii="Arial Black" w:hAnsi="Arial Black"/>
            <w:b/>
            <w:szCs w:val="19"/>
          </w:rPr>
          <w:fldChar w:fldCharType="begin"/>
        </w:r>
        <w:r w:rsidRPr="00407B69">
          <w:rPr>
            <w:rFonts w:ascii="Arial Black" w:hAnsi="Arial Black"/>
            <w:b/>
            <w:szCs w:val="19"/>
          </w:rPr>
          <w:instrText xml:space="preserve"> PAGE   \* MERGEFORMAT </w:instrText>
        </w:r>
        <w:r w:rsidRPr="00407B69">
          <w:rPr>
            <w:rFonts w:ascii="Arial Black" w:hAnsi="Arial Black"/>
            <w:b/>
            <w:szCs w:val="19"/>
          </w:rPr>
          <w:fldChar w:fldCharType="separate"/>
        </w:r>
        <w:r>
          <w:rPr>
            <w:rFonts w:ascii="Arial Black" w:hAnsi="Arial Black"/>
            <w:b/>
            <w:noProof/>
            <w:szCs w:val="19"/>
          </w:rPr>
          <w:t>336</w:t>
        </w:r>
        <w:r w:rsidRPr="00407B69">
          <w:rPr>
            <w:rFonts w:ascii="Arial Black" w:hAnsi="Arial Black"/>
            <w:szCs w:val="19"/>
          </w:rPr>
          <w:fldChar w:fldCharType="end"/>
        </w:r>
        <w:r w:rsidRPr="00D544BD">
          <w:t xml:space="preserve"> | </w:t>
        </w:r>
        <w:r w:rsidR="00CF5AB3">
          <w:t>APPENDIX B</w:t>
        </w:r>
      </w:p>
    </w:sdtContent>
  </w:sdt>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b/>
        <w:bCs/>
        <w:color w:val="166783"/>
      </w:rPr>
      <w:id w:val="865795443"/>
      <w:docPartObj>
        <w:docPartGallery w:val="Page Numbers (Bottom of Page)"/>
        <w:docPartUnique/>
      </w:docPartObj>
    </w:sdtPr>
    <w:sdtEndPr>
      <w:rPr>
        <w:rFonts w:ascii="Arial Black" w:hAnsi="Arial Black"/>
        <w:b w:val="0"/>
        <w:color w:val="auto"/>
        <w:sz w:val="15"/>
        <w:szCs w:val="15"/>
      </w:rPr>
    </w:sdtEndPr>
    <w:sdtContent>
      <w:p w:rsidR="00ED33C3" w:rsidRPr="003A6350" w:rsidP="00B54CA3" w14:paraId="3800DECF" w14:textId="77777777">
        <w:pPr>
          <w:pStyle w:val="Footer"/>
          <w:jc w:val="right"/>
          <w:rPr>
            <w:rFonts w:ascii="Arial Black" w:hAnsi="Arial Black"/>
            <w:color w:val="auto" w:themeShade="BF"/>
            <w:szCs w:val="19"/>
          </w:rPr>
        </w:pPr>
        <w:sdt>
          <w:sdtPr>
            <w:rPr>
              <w:b/>
              <w:color w:val="166783"/>
              <w:szCs w:val="19"/>
            </w:rPr>
            <w:id w:val="-1675952809"/>
            <w:docPartObj>
              <w:docPartGallery w:val="Page Numbers (Bottom of Page)"/>
              <w:docPartUnique/>
            </w:docPartObj>
          </w:sdtPr>
          <w:sdtEndPr>
            <w:rPr>
              <w:rFonts w:ascii="Arial Black" w:hAnsi="Arial Black"/>
              <w:b w:val="0"/>
              <w:color w:val="auto"/>
              <w:sz w:val="15"/>
              <w:szCs w:val="15"/>
            </w:rPr>
          </w:sdtEndPr>
          <w:sdtContent>
            <w:sdt>
              <w:sdtPr>
                <w:rPr>
                  <w:b/>
                  <w:color w:val="166783"/>
                  <w:szCs w:val="19"/>
                </w:rPr>
                <w:id w:val="1720163431"/>
                <w:docPartObj>
                  <w:docPartGallery w:val="Page Numbers (Bottom of Page)"/>
                  <w:docPartUnique/>
                </w:docPartObj>
              </w:sdtPr>
              <w:sdtEndPr>
                <w:rPr>
                  <w:rFonts w:ascii="Arial Black" w:hAnsi="Arial Black"/>
                  <w:color w:val="auto"/>
                </w:rPr>
              </w:sdtEndPr>
              <w:sdtContent>
                <w:sdt>
                  <w:sdtPr>
                    <w:rPr>
                      <w:b/>
                      <w:color w:val="166783"/>
                      <w:szCs w:val="19"/>
                    </w:rPr>
                    <w:id w:val="-1924251824"/>
                    <w:docPartObj>
                      <w:docPartGallery w:val="Page Numbers (Bottom of Page)"/>
                      <w:docPartUnique/>
                    </w:docPartObj>
                  </w:sdtPr>
                  <w:sdtEndPr>
                    <w:rPr>
                      <w:rFonts w:ascii="Arial Black" w:hAnsi="Arial Black"/>
                      <w:color w:val="auto"/>
                    </w:rPr>
                  </w:sdtEndPr>
                  <w:sdtContent>
                    <w:r w:rsidRPr="003A6350">
                      <w:rPr>
                        <w:rFonts w:ascii="Arial Black" w:hAnsi="Arial Black"/>
                        <w:b/>
                        <w:noProof/>
                        <w:color w:val="FFFFFF" w:themeColor="background1"/>
                        <w:szCs w:val="19"/>
                      </w:rPr>
                      <w:fldChar w:fldCharType="begin"/>
                    </w:r>
                    <w:r w:rsidRPr="003A6350">
                      <w:rPr>
                        <w:rFonts w:ascii="Arial Black" w:hAnsi="Arial Black"/>
                        <w:b/>
                        <w:noProof/>
                        <w:color w:val="auto" w:themeShade="BF"/>
                        <w:szCs w:val="19"/>
                      </w:rPr>
                      <w:instrText xml:space="preserve"> PAGE   \* MERGEFORMAT </w:instrText>
                    </w:r>
                    <w:r w:rsidRPr="003A6350">
                      <w:rPr>
                        <w:rFonts w:ascii="Arial Black" w:hAnsi="Arial Black"/>
                        <w:b/>
                        <w:noProof/>
                        <w:color w:val="FFFFFF" w:themeColor="background1"/>
                        <w:szCs w:val="19"/>
                      </w:rPr>
                      <w:fldChar w:fldCharType="separate"/>
                    </w:r>
                    <w:r w:rsidRPr="003A6350">
                      <w:rPr>
                        <w:rFonts w:ascii="Arial Black" w:hAnsi="Arial Black"/>
                        <w:b/>
                        <w:noProof/>
                        <w:color w:val="auto" w:themeShade="BF"/>
                        <w:szCs w:val="19"/>
                      </w:rPr>
                      <w:t>293</w:t>
                    </w:r>
                    <w:r w:rsidRPr="003A6350">
                      <w:rPr>
                        <w:rFonts w:ascii="Arial Black" w:hAnsi="Arial Black"/>
                        <w:b/>
                        <w:noProof/>
                        <w:color w:val="FFFFFF" w:themeColor="background1"/>
                        <w:szCs w:val="19"/>
                      </w:rPr>
                      <w:fldChar w:fldCharType="end"/>
                    </w:r>
                  </w:sdtContent>
                </w:sdt>
              </w:sdtContent>
            </w:sdt>
          </w:sdtContent>
        </w:sdt>
      </w:p>
    </w:sdtContent>
  </w:sdt>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rFonts w:ascii="Arial Black" w:hAnsi="Arial Black"/>
      </w:rPr>
      <w:id w:val="-513301574"/>
      <w:docPartObj>
        <w:docPartGallery w:val="Page Numbers (Bottom of Page)"/>
        <w:docPartUnique/>
      </w:docPartObj>
    </w:sdtPr>
    <w:sdtEndPr>
      <w:rPr>
        <w:rFonts w:ascii="Arial" w:hAnsi="Arial"/>
      </w:rPr>
    </w:sdtEndPr>
    <w:sdtContent>
      <w:p w:rsidR="00ED33C3" w:rsidRPr="00D544BD" w:rsidP="00345082" w14:paraId="22C1D676" w14:textId="35E1DB5F">
        <w:pPr>
          <w:pStyle w:val="Footer"/>
        </w:pPr>
        <w:r>
          <w:rPr>
            <w:rFonts w:ascii="Arial Black" w:hAnsi="Arial Black"/>
            <w:szCs w:val="19"/>
          </w:rPr>
          <w:t>C</w:t>
        </w:r>
        <w:r>
          <w:rPr>
            <w:rFonts w:ascii="Arial Black" w:hAnsi="Arial Black"/>
            <w:szCs w:val="19"/>
          </w:rPr>
          <w:t>.</w:t>
        </w:r>
        <w:r w:rsidRPr="00407B69">
          <w:rPr>
            <w:rFonts w:ascii="Arial Black" w:hAnsi="Arial Black"/>
            <w:b/>
            <w:szCs w:val="19"/>
          </w:rPr>
          <w:fldChar w:fldCharType="begin"/>
        </w:r>
        <w:r w:rsidRPr="00407B69">
          <w:rPr>
            <w:rFonts w:ascii="Arial Black" w:hAnsi="Arial Black"/>
            <w:b/>
            <w:szCs w:val="19"/>
          </w:rPr>
          <w:instrText xml:space="preserve"> PAGE   \* MERGEFORMAT </w:instrText>
        </w:r>
        <w:r w:rsidRPr="00407B69">
          <w:rPr>
            <w:rFonts w:ascii="Arial Black" w:hAnsi="Arial Black"/>
            <w:b/>
            <w:szCs w:val="19"/>
          </w:rPr>
          <w:fldChar w:fldCharType="separate"/>
        </w:r>
        <w:r>
          <w:rPr>
            <w:rFonts w:ascii="Arial Black" w:hAnsi="Arial Black"/>
            <w:b/>
            <w:noProof/>
            <w:szCs w:val="19"/>
          </w:rPr>
          <w:t>344</w:t>
        </w:r>
        <w:r w:rsidRPr="00407B69">
          <w:rPr>
            <w:rFonts w:ascii="Arial Black" w:hAnsi="Arial Black"/>
            <w:szCs w:val="19"/>
          </w:rPr>
          <w:fldChar w:fldCharType="end"/>
        </w:r>
        <w:r w:rsidRPr="00D544BD">
          <w:t xml:space="preserve"> | </w:t>
        </w:r>
        <w:r>
          <w:t xml:space="preserve">APPENDIX </w:t>
        </w:r>
        <w:r>
          <w:t>C</w:t>
        </w:r>
      </w:p>
    </w:sdtContent>
  </w:sdt>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132316" w:rsidP="00341F39" w14:paraId="7CAC8AA3" w14:textId="1ABFAE7B">
    <w:pPr>
      <w:pStyle w:val="Footer"/>
      <w:jc w:val="right"/>
      <w:rPr>
        <w:rFonts w:cs="Arial"/>
        <w:bCs/>
        <w:szCs w:val="19"/>
      </w:rPr>
    </w:pPr>
    <w:sdt>
      <w:sdtPr>
        <w:rPr>
          <w:szCs w:val="19"/>
        </w:rPr>
        <w:id w:val="-1985070080"/>
        <w:docPartObj>
          <w:docPartGallery w:val="Page Numbers (Bottom of Page)"/>
          <w:docPartUnique/>
        </w:docPartObj>
      </w:sdtPr>
      <w:sdtEndPr>
        <w:rPr>
          <w:rFonts w:ascii="Arial Black" w:hAnsi="Arial Black"/>
          <w:szCs w:val="20"/>
        </w:rPr>
      </w:sdtEndPr>
      <w:sdtContent>
        <w:sdt>
          <w:sdtPr>
            <w:rPr>
              <w:b/>
              <w:szCs w:val="19"/>
            </w:rPr>
            <w:id w:val="405573465"/>
            <w:docPartObj>
              <w:docPartGallery w:val="Page Numbers (Bottom of Page)"/>
              <w:docPartUnique/>
            </w:docPartObj>
          </w:sdtPr>
          <w:sdtEndPr>
            <w:rPr>
              <w:rFonts w:ascii="Arial Black" w:hAnsi="Arial Black"/>
              <w:b w:val="0"/>
              <w:szCs w:val="20"/>
            </w:rPr>
          </w:sdtEndPr>
          <w:sdtContent>
            <w:sdt>
              <w:sdtPr>
                <w:rPr>
                  <w:b/>
                  <w:szCs w:val="19"/>
                </w:rPr>
                <w:id w:val="-1233231230"/>
                <w:docPartObj>
                  <w:docPartGallery w:val="Page Numbers (Bottom of Page)"/>
                  <w:docPartUnique/>
                </w:docPartObj>
              </w:sdtPr>
              <w:sdtEndPr>
                <w:rPr>
                  <w:rFonts w:ascii="Arial Black" w:hAnsi="Arial Black"/>
                  <w:b w:val="0"/>
                  <w:szCs w:val="20"/>
                </w:rPr>
              </w:sdtEndPr>
              <w:sdtContent>
                <w:sdt>
                  <w:sdtPr>
                    <w:rPr>
                      <w:b/>
                      <w:szCs w:val="19"/>
                    </w:rPr>
                    <w:id w:val="2109157738"/>
                    <w:docPartObj>
                      <w:docPartGallery w:val="Page Numbers (Bottom of Page)"/>
                      <w:docPartUnique/>
                    </w:docPartObj>
                  </w:sdtPr>
                  <w:sdtEndPr>
                    <w:rPr>
                      <w:rFonts w:ascii="Arial Black" w:hAnsi="Arial Black"/>
                      <w:b w:val="0"/>
                      <w:szCs w:val="20"/>
                    </w:rPr>
                  </w:sdtEndPr>
                  <w:sdtContent>
                    <w:sdt>
                      <w:sdtPr>
                        <w:rPr>
                          <w:szCs w:val="19"/>
                        </w:rPr>
                        <w:id w:val="-178896682"/>
                        <w:docPartObj>
                          <w:docPartGallery w:val="Page Numbers (Bottom of Page)"/>
                          <w:docPartUnique/>
                        </w:docPartObj>
                      </w:sdtPr>
                      <w:sdtEndPr>
                        <w:rPr>
                          <w:rFonts w:ascii="Arial Black" w:hAnsi="Arial Black"/>
                          <w:szCs w:val="20"/>
                        </w:rPr>
                      </w:sdtEndPr>
                      <w:sdtContent>
                        <w:r>
                          <w:t xml:space="preserve">APPENDIX </w:t>
                        </w:r>
                        <w:r w:rsidR="003108D6">
                          <w:t>C</w:t>
                        </w:r>
                        <w:r>
                          <w:t xml:space="preserve"> </w:t>
                        </w:r>
                        <w:r w:rsidRPr="00D544BD">
                          <w:t>|</w:t>
                        </w:r>
                        <w:r>
                          <w:t xml:space="preserve"> </w:t>
                        </w:r>
                      </w:sdtContent>
                    </w:sdt>
                    <w:r w:rsidR="003108D6">
                      <w:rPr>
                        <w:rFonts w:ascii="Arial Black" w:hAnsi="Arial Black"/>
                      </w:rPr>
                      <w:t>C</w:t>
                    </w:r>
                    <w:r w:rsidRPr="00346176">
                      <w:rPr>
                        <w:rFonts w:ascii="Arial Black" w:hAnsi="Arial Black"/>
                      </w:rPr>
                      <w:t>.</w:t>
                    </w:r>
                  </w:sdtContent>
                </w:sdt>
              </w:sdtContent>
            </w:sdt>
          </w:sdtContent>
        </w:sdt>
      </w:sdtContent>
    </w:sdt>
    <w:r w:rsidRPr="00346176">
      <w:rPr>
        <w:rFonts w:ascii="Arial Black" w:hAnsi="Arial Black"/>
      </w:rPr>
      <w:fldChar w:fldCharType="begin"/>
    </w:r>
    <w:r w:rsidRPr="00346176">
      <w:rPr>
        <w:rFonts w:ascii="Arial Black" w:hAnsi="Arial Black"/>
      </w:rPr>
      <w:instrText xml:space="preserve"> PAGE   \* MERGEFORMAT </w:instrText>
    </w:r>
    <w:r w:rsidRPr="00346176">
      <w:rPr>
        <w:rFonts w:ascii="Arial Black" w:hAnsi="Arial Black"/>
      </w:rPr>
      <w:fldChar w:fldCharType="separate"/>
    </w:r>
    <w:r w:rsidRPr="00346176">
      <w:rPr>
        <w:rFonts w:ascii="Arial Black" w:hAnsi="Arial Black"/>
        <w:noProof/>
      </w:rPr>
      <w:t>1</w:t>
    </w:r>
    <w:r w:rsidRPr="00346176">
      <w:rPr>
        <w:rFonts w:ascii="Arial Black" w:hAnsi="Arial Black"/>
        <w:noProof/>
      </w:rPr>
      <w:fldChar w:fldCharType="end"/>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947C70" w:rsidP="00947C70" w14:paraId="66FDE11F" w14:textId="2EA125B0">
    <w:pPr>
      <w:pStyle w:val="Footer"/>
      <w:pBdr>
        <w:top w:val="none" w:sz="0" w:space="0" w:color="auto"/>
      </w:pBdr>
      <w:rPr>
        <w:rFonts w:ascii="Arial Black" w:hAnsi="Arial Black"/>
        <w:color w:val="auto"/>
        <w:szCs w:val="19"/>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szCs w:val="19"/>
      </w:rPr>
      <w:id w:val="-440154618"/>
      <w:docPartObj>
        <w:docPartGallery w:val="Page Numbers (Bottom of Page)"/>
        <w:docPartUnique/>
      </w:docPartObj>
    </w:sdtPr>
    <w:sdtEndPr>
      <w:rPr>
        <w:noProof/>
      </w:rPr>
    </w:sdtEndPr>
    <w:sdtContent>
      <w:p w:rsidR="00ED33C3" w:rsidRPr="00D17D3A" w:rsidP="00672270" w14:paraId="24474ACD" w14:textId="7CC7B515">
        <w:pPr>
          <w:pStyle w:val="Footer"/>
          <w:rPr>
            <w:szCs w:val="19"/>
          </w:rPr>
        </w:pPr>
        <w:r w:rsidRPr="00D17D3A">
          <w:rPr>
            <w:szCs w:val="19"/>
          </w:rPr>
          <w:tab/>
        </w:r>
        <w:r w:rsidRPr="00D17D3A">
          <w:rPr>
            <w:szCs w:val="19"/>
          </w:rPr>
          <w:fldChar w:fldCharType="begin"/>
        </w:r>
        <w:r w:rsidRPr="00D17D3A">
          <w:rPr>
            <w:szCs w:val="19"/>
          </w:rPr>
          <w:instrText xml:space="preserve"> PAGE   \* MERGEFORMAT </w:instrText>
        </w:r>
        <w:r w:rsidRPr="00D17D3A">
          <w:rPr>
            <w:szCs w:val="19"/>
          </w:rPr>
          <w:fldChar w:fldCharType="separate"/>
        </w:r>
        <w:r>
          <w:rPr>
            <w:noProof/>
            <w:szCs w:val="19"/>
          </w:rPr>
          <w:t>v</w:t>
        </w:r>
        <w:r w:rsidRPr="00D17D3A">
          <w:rPr>
            <w:noProof/>
            <w:szCs w:val="19"/>
          </w:rPr>
          <w:fldChar w:fldCharType="end"/>
        </w:r>
      </w:p>
    </w:sdtContent>
  </w:sdt>
  <w:p w:rsidR="00ED33C3" w14:paraId="3F36BC34" w14:textId="77777777"/>
  <w:p w:rsidR="00ED33C3" w14:paraId="52126490" w14:textId="77777777"/>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rFonts w:ascii="Arial Black" w:hAnsi="Arial Black"/>
      </w:rPr>
      <w:id w:val="-2089532628"/>
      <w:docPartObj>
        <w:docPartGallery w:val="Page Numbers (Bottom of Page)"/>
        <w:docPartUnique/>
      </w:docPartObj>
    </w:sdtPr>
    <w:sdtEndPr>
      <w:rPr>
        <w:rFonts w:ascii="Arial" w:hAnsi="Arial"/>
      </w:rPr>
    </w:sdtEndPr>
    <w:sdtContent>
      <w:p w:rsidR="00ED33C3" w:rsidRPr="00D544BD" w:rsidP="00345082" w14:paraId="19F4A3EF" w14:textId="28DBBCAE">
        <w:pPr>
          <w:pStyle w:val="Footer"/>
        </w:pPr>
        <w:r>
          <w:rPr>
            <w:rFonts w:ascii="Arial Black" w:hAnsi="Arial Black"/>
            <w:szCs w:val="19"/>
          </w:rPr>
          <w:t>D</w:t>
        </w:r>
        <w:r>
          <w:rPr>
            <w:rFonts w:ascii="Arial Black" w:hAnsi="Arial Black"/>
            <w:szCs w:val="19"/>
          </w:rPr>
          <w:t>.</w:t>
        </w:r>
        <w:r w:rsidRPr="00407B69">
          <w:rPr>
            <w:rFonts w:ascii="Arial Black" w:hAnsi="Arial Black"/>
            <w:b/>
            <w:szCs w:val="19"/>
          </w:rPr>
          <w:fldChar w:fldCharType="begin"/>
        </w:r>
        <w:r w:rsidRPr="00407B69">
          <w:rPr>
            <w:rFonts w:ascii="Arial Black" w:hAnsi="Arial Black"/>
            <w:b/>
            <w:szCs w:val="19"/>
          </w:rPr>
          <w:instrText xml:space="preserve"> PAGE   \* MERGEFORMAT </w:instrText>
        </w:r>
        <w:r w:rsidRPr="00407B69">
          <w:rPr>
            <w:rFonts w:ascii="Arial Black" w:hAnsi="Arial Black"/>
            <w:b/>
            <w:szCs w:val="19"/>
          </w:rPr>
          <w:fldChar w:fldCharType="separate"/>
        </w:r>
        <w:r>
          <w:rPr>
            <w:rFonts w:ascii="Arial Black" w:hAnsi="Arial Black"/>
            <w:b/>
            <w:noProof/>
            <w:szCs w:val="19"/>
          </w:rPr>
          <w:t>344</w:t>
        </w:r>
        <w:r w:rsidRPr="00407B69">
          <w:rPr>
            <w:rFonts w:ascii="Arial Black" w:hAnsi="Arial Black"/>
            <w:szCs w:val="19"/>
          </w:rPr>
          <w:fldChar w:fldCharType="end"/>
        </w:r>
        <w:r w:rsidRPr="00D544BD">
          <w:t xml:space="preserve"> | </w:t>
        </w:r>
        <w:r>
          <w:t xml:space="preserve">APPENDIX </w:t>
        </w:r>
        <w:r>
          <w:t>D</w:t>
        </w:r>
      </w:p>
    </w:sdtContent>
  </w:sdt>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5C1D70" w:rsidP="005C1D70" w14:paraId="3D521D1A" w14:textId="14601FF4">
    <w:pPr>
      <w:pStyle w:val="Footer"/>
      <w:jc w:val="right"/>
      <w:rPr>
        <w:rFonts w:cs="Arial"/>
        <w:bCs/>
        <w:szCs w:val="19"/>
      </w:rPr>
    </w:pPr>
    <w:sdt>
      <w:sdtPr>
        <w:rPr>
          <w:szCs w:val="19"/>
        </w:rPr>
        <w:id w:val="1195199454"/>
        <w:docPartObj>
          <w:docPartGallery w:val="Page Numbers (Bottom of Page)"/>
          <w:docPartUnique/>
        </w:docPartObj>
      </w:sdtPr>
      <w:sdtEndPr>
        <w:rPr>
          <w:szCs w:val="20"/>
        </w:rPr>
      </w:sdtEndPr>
      <w:sdtContent>
        <w:sdt>
          <w:sdtPr>
            <w:rPr>
              <w:b/>
              <w:szCs w:val="19"/>
            </w:rPr>
            <w:id w:val="-732225296"/>
            <w:docPartObj>
              <w:docPartGallery w:val="Page Numbers (Bottom of Page)"/>
              <w:docPartUnique/>
            </w:docPartObj>
          </w:sdtPr>
          <w:sdtEndPr>
            <w:rPr>
              <w:b w:val="0"/>
              <w:szCs w:val="20"/>
            </w:rPr>
          </w:sdtEndPr>
          <w:sdtContent>
            <w:sdt>
              <w:sdtPr>
                <w:rPr>
                  <w:b/>
                  <w:szCs w:val="19"/>
                </w:rPr>
                <w:id w:val="-579061096"/>
                <w:docPartObj>
                  <w:docPartGallery w:val="Page Numbers (Bottom of Page)"/>
                  <w:docPartUnique/>
                </w:docPartObj>
              </w:sdtPr>
              <w:sdtEndPr>
                <w:rPr>
                  <w:b w:val="0"/>
                  <w:szCs w:val="20"/>
                </w:rPr>
              </w:sdtEndPr>
              <w:sdtContent>
                <w:sdt>
                  <w:sdtPr>
                    <w:rPr>
                      <w:b/>
                      <w:szCs w:val="19"/>
                    </w:rPr>
                    <w:id w:val="913057937"/>
                    <w:docPartObj>
                      <w:docPartGallery w:val="Page Numbers (Bottom of Page)"/>
                      <w:docPartUnique/>
                    </w:docPartObj>
                  </w:sdtPr>
                  <w:sdtEndPr>
                    <w:rPr>
                      <w:b w:val="0"/>
                      <w:szCs w:val="20"/>
                    </w:rPr>
                  </w:sdtEndPr>
                  <w:sdtContent>
                    <w:sdt>
                      <w:sdtPr>
                        <w:rPr>
                          <w:szCs w:val="19"/>
                        </w:rPr>
                        <w:id w:val="-2051442885"/>
                        <w:docPartObj>
                          <w:docPartGallery w:val="Page Numbers (Bottom of Page)"/>
                          <w:docPartUnique/>
                        </w:docPartObj>
                      </w:sdtPr>
                      <w:sdtEndPr>
                        <w:rPr>
                          <w:szCs w:val="20"/>
                        </w:rPr>
                      </w:sdtEndPr>
                      <w:sdtContent>
                        <w:r>
                          <w:t xml:space="preserve">APPENDIX C </w:t>
                        </w:r>
                        <w:r w:rsidRPr="00D544BD">
                          <w:t>|</w:t>
                        </w:r>
                      </w:sdtContent>
                    </w:sdt>
                  </w:sdtContent>
                </w:sdt>
              </w:sdtContent>
            </w:sdt>
          </w:sdtContent>
        </w:sdt>
      </w:sdtContent>
    </w:sdt>
    <w:r w:rsidRPr="00D544BD">
      <w:t xml:space="preserve"> </w:t>
    </w:r>
    <w:r>
      <w:t>C.</w:t>
    </w:r>
    <w:r w:rsidRPr="00132316">
      <w:rPr>
        <w:rFonts w:cs="Arial"/>
        <w:bCs/>
        <w:szCs w:val="19"/>
      </w:rPr>
      <w:fldChar w:fldCharType="begin"/>
    </w:r>
    <w:r w:rsidRPr="00132316">
      <w:rPr>
        <w:rFonts w:cs="Arial"/>
        <w:bCs/>
        <w:szCs w:val="19"/>
      </w:rPr>
      <w:instrText xml:space="preserve"> PAGE   \* MERGEFORMAT </w:instrText>
    </w:r>
    <w:r w:rsidRPr="00132316">
      <w:rPr>
        <w:rFonts w:cs="Arial"/>
        <w:bCs/>
        <w:szCs w:val="19"/>
      </w:rPr>
      <w:fldChar w:fldCharType="separate"/>
    </w:r>
    <w:r>
      <w:rPr>
        <w:rFonts w:cs="Arial"/>
        <w:bCs/>
        <w:szCs w:val="19"/>
      </w:rPr>
      <w:t>365</w:t>
    </w:r>
    <w:r w:rsidRPr="00132316">
      <w:rPr>
        <w:rFonts w:cs="Arial"/>
        <w:bCs/>
        <w:szCs w:val="19"/>
      </w:rPr>
      <w:fldChar w:fldCharType="end"/>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rFonts w:ascii="Arial Black" w:hAnsi="Arial Black"/>
      </w:rPr>
      <w:id w:val="-1922785560"/>
      <w:docPartObj>
        <w:docPartGallery w:val="Page Numbers (Bottom of Page)"/>
        <w:docPartUnique/>
      </w:docPartObj>
    </w:sdtPr>
    <w:sdtEndPr>
      <w:rPr>
        <w:rFonts w:ascii="Arial" w:hAnsi="Arial"/>
      </w:rPr>
    </w:sdtEndPr>
    <w:sdtContent>
      <w:p w:rsidR="00ED33C3" w:rsidRPr="00D544BD" w:rsidP="00345082" w14:paraId="47387E61" w14:textId="6EED3B8B">
        <w:pPr>
          <w:pStyle w:val="Footer"/>
        </w:pPr>
        <w:r>
          <w:rPr>
            <w:rFonts w:ascii="Arial Black" w:hAnsi="Arial Black"/>
            <w:szCs w:val="19"/>
          </w:rPr>
          <w:t>E</w:t>
        </w:r>
        <w:r>
          <w:rPr>
            <w:rFonts w:ascii="Arial Black" w:hAnsi="Arial Black"/>
            <w:szCs w:val="19"/>
          </w:rPr>
          <w:t>.</w:t>
        </w:r>
        <w:r w:rsidRPr="00407B69">
          <w:rPr>
            <w:rFonts w:ascii="Arial Black" w:hAnsi="Arial Black"/>
            <w:b/>
            <w:szCs w:val="19"/>
          </w:rPr>
          <w:fldChar w:fldCharType="begin"/>
        </w:r>
        <w:r w:rsidRPr="00407B69">
          <w:rPr>
            <w:rFonts w:ascii="Arial Black" w:hAnsi="Arial Black"/>
            <w:b/>
            <w:szCs w:val="19"/>
          </w:rPr>
          <w:instrText xml:space="preserve"> PAGE   \* MERGEFORMAT </w:instrText>
        </w:r>
        <w:r w:rsidRPr="00407B69">
          <w:rPr>
            <w:rFonts w:ascii="Arial Black" w:hAnsi="Arial Black"/>
            <w:b/>
            <w:szCs w:val="19"/>
          </w:rPr>
          <w:fldChar w:fldCharType="separate"/>
        </w:r>
        <w:r>
          <w:rPr>
            <w:rFonts w:ascii="Arial Black" w:hAnsi="Arial Black"/>
            <w:b/>
            <w:noProof/>
            <w:szCs w:val="19"/>
          </w:rPr>
          <w:t>344</w:t>
        </w:r>
        <w:r w:rsidRPr="00407B69">
          <w:rPr>
            <w:rFonts w:ascii="Arial Black" w:hAnsi="Arial Black"/>
            <w:szCs w:val="19"/>
          </w:rPr>
          <w:fldChar w:fldCharType="end"/>
        </w:r>
        <w:r w:rsidRPr="00D544BD">
          <w:t xml:space="preserve"> | </w:t>
        </w:r>
        <w:r>
          <w:t xml:space="preserve">APPENDIX </w:t>
        </w:r>
        <w:r>
          <w:t>E</w:t>
        </w:r>
      </w:p>
    </w:sdtContent>
  </w:sdt>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341F39" w:rsidP="00341F39" w14:paraId="5A85534A" w14:textId="6DECB15A">
    <w:pPr>
      <w:pStyle w:val="Footer"/>
      <w:jc w:val="right"/>
      <w:rPr>
        <w:rFonts w:ascii="Arial Black" w:hAnsi="Arial Black"/>
        <w:szCs w:val="19"/>
      </w:rPr>
    </w:pPr>
    <w:sdt>
      <w:sdtPr>
        <w:rPr>
          <w:szCs w:val="19"/>
        </w:rPr>
        <w:id w:val="2029056347"/>
        <w:docPartObj>
          <w:docPartGallery w:val="Page Numbers (Bottom of Page)"/>
          <w:docPartUnique/>
        </w:docPartObj>
      </w:sdtPr>
      <w:sdtEndPr>
        <w:rPr>
          <w:szCs w:val="20"/>
        </w:rPr>
      </w:sdtEndPr>
      <w:sdtContent>
        <w:sdt>
          <w:sdtPr>
            <w:rPr>
              <w:b/>
              <w:szCs w:val="19"/>
            </w:rPr>
            <w:id w:val="-1597165442"/>
            <w:docPartObj>
              <w:docPartGallery w:val="Page Numbers (Bottom of Page)"/>
              <w:docPartUnique/>
            </w:docPartObj>
          </w:sdtPr>
          <w:sdtEndPr>
            <w:rPr>
              <w:b w:val="0"/>
              <w:szCs w:val="20"/>
            </w:rPr>
          </w:sdtEndPr>
          <w:sdtContent>
            <w:sdt>
              <w:sdtPr>
                <w:rPr>
                  <w:b/>
                  <w:szCs w:val="19"/>
                </w:rPr>
                <w:id w:val="-1655837364"/>
                <w:docPartObj>
                  <w:docPartGallery w:val="Page Numbers (Bottom of Page)"/>
                  <w:docPartUnique/>
                </w:docPartObj>
              </w:sdtPr>
              <w:sdtEndPr>
                <w:rPr>
                  <w:b w:val="0"/>
                  <w:szCs w:val="20"/>
                </w:rPr>
              </w:sdtEndPr>
              <w:sdtContent>
                <w:sdt>
                  <w:sdtPr>
                    <w:rPr>
                      <w:b/>
                      <w:szCs w:val="19"/>
                    </w:rPr>
                    <w:id w:val="-484713679"/>
                    <w:docPartObj>
                      <w:docPartGallery w:val="Page Numbers (Bottom of Page)"/>
                      <w:docPartUnique/>
                    </w:docPartObj>
                  </w:sdtPr>
                  <w:sdtEndPr>
                    <w:rPr>
                      <w:b w:val="0"/>
                      <w:szCs w:val="20"/>
                    </w:rPr>
                  </w:sdtEndPr>
                  <w:sdtContent>
                    <w:sdt>
                      <w:sdtPr>
                        <w:rPr>
                          <w:szCs w:val="19"/>
                        </w:rPr>
                        <w:id w:val="1500771239"/>
                        <w:docPartObj>
                          <w:docPartGallery w:val="Page Numbers (Bottom of Page)"/>
                          <w:docPartUnique/>
                        </w:docPartObj>
                      </w:sdtPr>
                      <w:sdtEndPr>
                        <w:rPr>
                          <w:rFonts w:ascii="Arial Black" w:hAnsi="Arial Black"/>
                          <w:szCs w:val="20"/>
                        </w:rPr>
                      </w:sdtEndPr>
                      <w:sdtContent>
                        <w:r>
                          <w:t xml:space="preserve">APPENDIX </w:t>
                        </w:r>
                        <w:r w:rsidR="003108D6">
                          <w:t>E</w:t>
                        </w:r>
                        <w:r>
                          <w:t xml:space="preserve"> </w:t>
                        </w:r>
                        <w:r w:rsidRPr="00D544BD">
                          <w:t>|</w:t>
                        </w:r>
                        <w:r>
                          <w:t xml:space="preserve"> </w:t>
                        </w:r>
                      </w:sdtContent>
                    </w:sdt>
                    <w:r w:rsidR="003108D6">
                      <w:rPr>
                        <w:rFonts w:ascii="Arial Black" w:hAnsi="Arial Black"/>
                      </w:rPr>
                      <w:t>E</w:t>
                    </w:r>
                    <w:r w:rsidRPr="008B632F">
                      <w:rPr>
                        <w:rFonts w:ascii="Arial Black" w:hAnsi="Arial Black"/>
                      </w:rPr>
                      <w:t>.</w:t>
                    </w:r>
                    <w:r w:rsidRPr="008B632F">
                      <w:rPr>
                        <w:rFonts w:ascii="Arial Black" w:hAnsi="Arial Black"/>
                      </w:rPr>
                      <w:fldChar w:fldCharType="begin"/>
                    </w:r>
                    <w:r w:rsidRPr="008B632F">
                      <w:rPr>
                        <w:rFonts w:ascii="Arial Black" w:hAnsi="Arial Black"/>
                      </w:rPr>
                      <w:instrText xml:space="preserve"> PAGE   \* MERGEFORMAT </w:instrText>
                    </w:r>
                    <w:r w:rsidRPr="008B632F">
                      <w:rPr>
                        <w:rFonts w:ascii="Arial Black" w:hAnsi="Arial Black"/>
                      </w:rPr>
                      <w:fldChar w:fldCharType="separate"/>
                    </w:r>
                    <w:r w:rsidRPr="008B632F">
                      <w:rPr>
                        <w:rFonts w:ascii="Arial Black" w:hAnsi="Arial Black"/>
                        <w:noProof/>
                      </w:rPr>
                      <w:t>1</w:t>
                    </w:r>
                    <w:r w:rsidRPr="008B632F">
                      <w:rPr>
                        <w:rFonts w:ascii="Arial Black" w:hAnsi="Arial Black"/>
                        <w:noProof/>
                      </w:rPr>
                      <w:fldChar w:fldCharType="end"/>
                    </w:r>
                  </w:sdtContent>
                </w:sdt>
              </w:sdtContent>
            </w:sdt>
          </w:sdtContent>
        </w:sdt>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4C1840" w:rsidP="004C1840" w14:paraId="467AA3FB" w14:textId="1C195E70">
    <w:pPr>
      <w:pStyle w:val="Footer"/>
      <w:rPr>
        <w:szCs w:val="19"/>
      </w:rPr>
    </w:pPr>
    <w:r w:rsidRPr="004C1840">
      <w:rPr>
        <w:rFonts w:ascii="Arial Black" w:hAnsi="Arial Black"/>
        <w:b/>
        <w:szCs w:val="19"/>
      </w:rPr>
      <w:fldChar w:fldCharType="begin"/>
    </w:r>
    <w:r w:rsidRPr="004C1840">
      <w:rPr>
        <w:rFonts w:ascii="Arial Black" w:hAnsi="Arial Black"/>
        <w:b/>
        <w:szCs w:val="19"/>
      </w:rPr>
      <w:instrText xml:space="preserve"> PAGE   \* MERGEFORMAT </w:instrText>
    </w:r>
    <w:r w:rsidRPr="004C1840">
      <w:rPr>
        <w:rFonts w:ascii="Arial Black" w:hAnsi="Arial Black"/>
        <w:b/>
        <w:szCs w:val="19"/>
      </w:rPr>
      <w:fldChar w:fldCharType="separate"/>
    </w:r>
    <w:r>
      <w:rPr>
        <w:rFonts w:ascii="Arial Black" w:hAnsi="Arial Black"/>
        <w:b/>
        <w:noProof/>
        <w:szCs w:val="19"/>
      </w:rPr>
      <w:t>vi</w:t>
    </w:r>
    <w:r w:rsidRPr="004C1840">
      <w:rPr>
        <w:rFonts w:ascii="Arial Black" w:hAnsi="Arial Black"/>
        <w:szCs w:val="19"/>
      </w:rPr>
      <w:fldChar w:fldCharType="end"/>
    </w:r>
    <w:r w:rsidRPr="004C1840">
      <w:rPr>
        <w:szCs w:val="19"/>
      </w:rPr>
      <w:t xml:space="preserve"> | </w:t>
    </w:r>
    <w:r>
      <w:t>INTRODUCTION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5E6933" w:rsidRPr="00A9197C" w:rsidP="00A9197C" w14:paraId="245A7214" w14:textId="77777777">
      <w:pPr>
        <w:spacing w:before="60"/>
        <w:rPr>
          <w:rFonts w:ascii="Arial" w:hAnsi="Arial" w:cs="Arial"/>
          <w:color w:val="00559D"/>
          <w:sz w:val="23"/>
          <w:szCs w:val="23"/>
        </w:rPr>
      </w:pPr>
      <w:r w:rsidRPr="00A9197C">
        <w:rPr>
          <w:rFonts w:ascii="Arial" w:hAnsi="Arial" w:cs="Arial"/>
          <w:color w:val="00559D"/>
          <w:sz w:val="23"/>
          <w:szCs w:val="23"/>
        </w:rPr>
        <w:separator/>
      </w:r>
    </w:p>
  </w:footnote>
  <w:footnote w:type="continuationSeparator" w:id="1">
    <w:p w:rsidR="005E6933" w:rsidRPr="00A9197C" w:rsidP="00A9197C" w14:paraId="23BB7398" w14:textId="77777777">
      <w:pPr>
        <w:spacing w:before="60"/>
        <w:rPr>
          <w:rFonts w:ascii="Arial" w:hAnsi="Arial" w:cs="Arial"/>
          <w:color w:val="00559D"/>
          <w:sz w:val="23"/>
          <w:szCs w:val="23"/>
        </w:rPr>
      </w:pPr>
      <w:r w:rsidRPr="00A9197C">
        <w:rPr>
          <w:rFonts w:ascii="Arial" w:hAnsi="Arial" w:cs="Arial"/>
          <w:color w:val="00559D"/>
          <w:sz w:val="23"/>
          <w:szCs w:val="23"/>
        </w:rPr>
        <w:separator/>
      </w:r>
    </w:p>
    <w:p w:rsidR="005E6933" w:rsidRPr="00A9197C" w:rsidP="001F118F" w14:paraId="694E516D" w14:textId="77777777">
      <w:pPr>
        <w:spacing w:after="120"/>
        <w:rPr>
          <w:rFonts w:ascii="Arial" w:hAnsi="Arial" w:cs="Arial"/>
          <w:color w:val="00559D"/>
          <w:sz w:val="23"/>
          <w:szCs w:val="23"/>
        </w:rPr>
      </w:pPr>
      <w:r w:rsidRPr="00A9197C">
        <w:rPr>
          <w:rFonts w:ascii="Arial" w:hAnsi="Arial" w:cs="Arial"/>
          <w:i/>
          <w:color w:val="00559D"/>
          <w:sz w:val="19"/>
          <w:szCs w:val="19"/>
        </w:rPr>
        <w:t>(continued)</w:t>
      </w:r>
    </w:p>
  </w:footnote>
  <w:footnote w:type="continuationNotice" w:id="2">
    <w:p w:rsidR="005E6933" w:rsidRPr="00A9197C" w:rsidP="00EE23C3" w14:paraId="3E5768AC" w14:textId="77777777">
      <w:pPr>
        <w:pStyle w:val="Footer"/>
        <w:spacing w:after="0"/>
        <w:rPr>
          <w:sz w:val="8"/>
          <w:szCs w:val="8"/>
        </w:rPr>
      </w:pPr>
    </w:p>
  </w:footnote>
  <w:footnote w:id="3">
    <w:p w:rsidR="00ED33C3" w:rsidRPr="00CB27ED" w:rsidP="00917529" w14:paraId="44473A26" w14:textId="17A4D52E">
      <w:pPr>
        <w:pStyle w:val="FootnoteText"/>
      </w:pPr>
      <w:r w:rsidRPr="00CB27ED">
        <w:rPr>
          <w:rStyle w:val="FootnoteReference"/>
        </w:rPr>
        <w:footnoteRef/>
      </w:r>
      <w:r w:rsidRPr="00CB27ED">
        <w:rPr>
          <w:vertAlign w:val="superscript"/>
        </w:rPr>
        <w:tab/>
      </w:r>
      <w:r w:rsidRPr="00CB27ED">
        <w:t>Estimates are for Ju</w:t>
      </w:r>
      <w:r w:rsidRPr="00CB27ED" w:rsidR="00B82DF9">
        <w:t>ne</w:t>
      </w:r>
      <w:r w:rsidRPr="00CB27ED">
        <w:t xml:space="preserve"> 202</w:t>
      </w:r>
      <w:r w:rsidRPr="00CB27ED" w:rsidR="00B82DF9">
        <w:t>4</w:t>
      </w:r>
      <w:r w:rsidRPr="00CB27ED">
        <w:t>. Ju</w:t>
      </w:r>
      <w:r w:rsidRPr="00CB27ED" w:rsidR="00B82DF9">
        <w:t>ne</w:t>
      </w:r>
      <w:r w:rsidRPr="00CB27ED">
        <w:t xml:space="preserve"> 202</w:t>
      </w:r>
      <w:r w:rsidRPr="00CB27ED" w:rsidR="00B82DF9">
        <w:t>4</w:t>
      </w:r>
      <w:r w:rsidRPr="00CB27ED">
        <w:t xml:space="preserve"> Medicaid and CHIP Enrollment Data Highlights. Available at </w:t>
      </w:r>
      <w:hyperlink r:id="rId1" w:history="1">
        <w:r w:rsidRPr="00CB27ED" w:rsidR="00A1733B">
          <w:rPr>
            <w:rStyle w:val="Hyperlink"/>
          </w:rPr>
          <w:t>https://www.medicaid.gov/medicaid/program-information/medicaid-and-chip-enrollment-data/report-highlights</w:t>
        </w:r>
      </w:hyperlink>
      <w:r w:rsidRPr="00CB27ED" w:rsidR="00A1733B">
        <w:rPr>
          <w:rStyle w:val="Hyperlink"/>
        </w:rPr>
        <w:t>.</w:t>
      </w:r>
      <w:r w:rsidRPr="00CB27ED" w:rsidR="00A1733B">
        <w:t xml:space="preserve">  </w:t>
      </w:r>
    </w:p>
  </w:footnote>
  <w:footnote w:id="4">
    <w:p w:rsidR="00ED33C3" w:rsidRPr="00CB27ED" w:rsidP="00917529" w14:paraId="14F26B39" w14:textId="2EFB5450">
      <w:pPr>
        <w:pStyle w:val="FootnoteText"/>
        <w:rPr>
          <w:rStyle w:val="Hyperlink"/>
        </w:rPr>
      </w:pPr>
      <w:r w:rsidRPr="00CB27ED">
        <w:rPr>
          <w:rStyle w:val="FootnoteReference"/>
        </w:rPr>
        <w:footnoteRef/>
      </w:r>
      <w:r w:rsidRPr="00CB27ED">
        <w:rPr>
          <w:vertAlign w:val="superscript"/>
        </w:rPr>
        <w:tab/>
      </w:r>
      <w:r w:rsidRPr="00CB27ED">
        <w:t xml:space="preserve">Data on births covered by Medicaid and CHIP in </w:t>
      </w:r>
      <w:r w:rsidRPr="00CB27ED" w:rsidR="0032062A">
        <w:t xml:space="preserve">2022 </w:t>
      </w:r>
      <w:r w:rsidRPr="00CB27ED">
        <w:t xml:space="preserve">is available at </w:t>
      </w:r>
      <w:hyperlink r:id="rId2" w:history="1">
        <w:r w:rsidRPr="00CB27ED" w:rsidR="0032062A">
          <w:rPr>
            <w:rStyle w:val="Hyperlink"/>
          </w:rPr>
          <w:t>https://www.cdc.gov/nchs/data/nvsr/nvsr73/nvsr73-02.pdf</w:t>
        </w:r>
      </w:hyperlink>
      <w:r w:rsidRPr="00CB27ED">
        <w:rPr>
          <w:rStyle w:val="Hyperlink"/>
        </w:rPr>
        <w:t xml:space="preserve">. </w:t>
      </w:r>
    </w:p>
  </w:footnote>
  <w:footnote w:id="5">
    <w:p w:rsidR="00ED33C3" w:rsidRPr="00CB27ED" w:rsidP="00917529" w14:paraId="330832EA" w14:textId="7F3AC43B">
      <w:pPr>
        <w:pStyle w:val="FootnoteText"/>
        <w:rPr>
          <w:rStyle w:val="CSDarkBlue"/>
        </w:rPr>
      </w:pPr>
      <w:r w:rsidRPr="00CB27ED">
        <w:rPr>
          <w:rStyle w:val="FootnoteReference"/>
        </w:rPr>
        <w:footnoteRef/>
      </w:r>
      <w:r w:rsidRPr="00CB27ED">
        <w:rPr>
          <w:vertAlign w:val="superscript"/>
        </w:rPr>
        <w:tab/>
      </w:r>
      <w:r w:rsidRPr="00CB27ED">
        <w:t xml:space="preserve">Data on the percentage of Medicaid beneficiaries in comprehensive managed care, by state, is available at </w:t>
      </w:r>
      <w:hyperlink r:id="rId3" w:history="1">
        <w:r w:rsidRPr="00CB27ED" w:rsidR="00EB78D3">
          <w:rPr>
            <w:rStyle w:val="Hyperlink"/>
          </w:rPr>
          <w:t>https://www.medicaid.gov/medicaid/quality-of-care/downloads/beneficiary-profile-2023.pdf</w:t>
        </w:r>
      </w:hyperlink>
      <w:r w:rsidRPr="00CB27ED">
        <w:rPr>
          <w:rStyle w:val="Hyperlink"/>
        </w:rPr>
        <w:t>.</w:t>
      </w:r>
      <w:r w:rsidRPr="00CB27ED">
        <w:rPr>
          <w:rStyle w:val="CSDarkBlue"/>
        </w:rPr>
        <w:t xml:space="preserve"> </w:t>
      </w:r>
    </w:p>
  </w:footnote>
  <w:footnote w:id="6">
    <w:p w:rsidR="00ED33C3" w:rsidRPr="00B12D55" w:rsidP="00FA2F8F" w14:paraId="01767BEA" w14:textId="738BDE54">
      <w:pPr>
        <w:pStyle w:val="FootnoteText"/>
        <w:rPr>
          <w:szCs w:val="17"/>
        </w:rPr>
      </w:pPr>
      <w:r w:rsidRPr="00CB27ED">
        <w:rPr>
          <w:rStyle w:val="FootnoteReference"/>
          <w:szCs w:val="17"/>
        </w:rPr>
        <w:footnoteRef/>
      </w:r>
      <w:r w:rsidRPr="00CB27ED">
        <w:rPr>
          <w:szCs w:val="17"/>
        </w:rPr>
        <w:tab/>
      </w:r>
      <w:bookmarkStart w:id="12" w:name="_Hlk180158971"/>
      <w:r w:rsidRPr="00CB27ED">
        <w:rPr>
          <w:szCs w:val="18"/>
        </w:rPr>
        <w:t xml:space="preserve">More information about the </w:t>
      </w:r>
      <w:r w:rsidRPr="00CB27ED" w:rsidR="00FA2E41">
        <w:rPr>
          <w:szCs w:val="18"/>
        </w:rPr>
        <w:t xml:space="preserve">2016 </w:t>
      </w:r>
      <w:r w:rsidRPr="00CB27ED">
        <w:rPr>
          <w:szCs w:val="18"/>
        </w:rPr>
        <w:t>Medicaid and CHIP managed care final rule is available at</w:t>
      </w:r>
      <w:r w:rsidRPr="00CB27ED">
        <w:t xml:space="preserve"> </w:t>
      </w:r>
      <w:hyperlink r:id="rId4" w:tooltip="Medicaid and Children’s Health Insurance Program (CHIP) Programs; Medicaid Managed Care, CHIP Delivered in Managed Care, and Revisions related to Third Party Liability: Final Rule" w:history="1">
        <w:r w:rsidRPr="00CB27ED">
          <w:rPr>
            <w:rStyle w:val="Hyperlink"/>
          </w:rPr>
          <w:t>https://www.gpo.gov/fdsys/pkg/FR-2016-05-06/pdf/2016-09581.pdf</w:t>
        </w:r>
      </w:hyperlink>
      <w:r w:rsidRPr="00CB27ED">
        <w:rPr>
          <w:rStyle w:val="Hyperlink"/>
        </w:rPr>
        <w:t>.</w:t>
      </w:r>
      <w:bookmarkEnd w:id="12"/>
    </w:p>
  </w:footnote>
  <w:footnote w:id="7">
    <w:p w:rsidR="00294BF0" w:rsidRPr="00CB27ED" w:rsidP="00767370" w14:paraId="7C96CB1E" w14:textId="16E0D3B5">
      <w:pPr>
        <w:pStyle w:val="FootnoteText"/>
      </w:pPr>
      <w:r>
        <w:rPr>
          <w:rStyle w:val="FootnoteReference"/>
        </w:rPr>
        <w:footnoteRef/>
      </w:r>
      <w:r w:rsidR="00767370">
        <w:t xml:space="preserve"> </w:t>
      </w:r>
      <w:r w:rsidR="00767370">
        <w:tab/>
      </w:r>
      <w:r w:rsidRPr="00CB27ED">
        <w:t xml:space="preserve">More information about the 2020 </w:t>
      </w:r>
      <w:r w:rsidRPr="00CB27ED">
        <w:rPr>
          <w:szCs w:val="18"/>
        </w:rPr>
        <w:t>Medicaid and CHIP managed care final rule is available at</w:t>
      </w:r>
      <w:r w:rsidRPr="00CB27ED">
        <w:t xml:space="preserve">  </w:t>
      </w:r>
      <w:hyperlink r:id="rId5" w:history="1">
        <w:r w:rsidRPr="00CB27ED">
          <w:rPr>
            <w:rStyle w:val="Hyperlink"/>
          </w:rPr>
          <w:t>https://www.govinfo.gov/content/pkg/FR-2020-11-13/pdf/2020-24758.pdf</w:t>
        </w:r>
      </w:hyperlink>
      <w:r w:rsidRPr="00CB27ED" w:rsidR="00A1733B">
        <w:rPr>
          <w:rStyle w:val="Hyperlink"/>
        </w:rPr>
        <w:t>.</w:t>
      </w:r>
    </w:p>
  </w:footnote>
  <w:footnote w:id="8">
    <w:p w:rsidR="00F7229C" w:rsidP="00767370" w14:paraId="5AD1B749" w14:textId="79BD6861">
      <w:pPr>
        <w:pStyle w:val="FootnoteText"/>
      </w:pPr>
      <w:r w:rsidRPr="00CB27ED">
        <w:rPr>
          <w:rStyle w:val="FootnoteReference"/>
        </w:rPr>
        <w:footnoteRef/>
      </w:r>
      <w:r w:rsidRPr="00CB27ED">
        <w:t xml:space="preserve"> </w:t>
      </w:r>
      <w:r w:rsidRPr="00CB27ED" w:rsidR="00767370">
        <w:tab/>
      </w:r>
      <w:r w:rsidRPr="00CB27ED">
        <w:rPr>
          <w:szCs w:val="18"/>
        </w:rPr>
        <w:t xml:space="preserve">More information about the </w:t>
      </w:r>
      <w:r w:rsidRPr="00CB27ED" w:rsidR="00FA2E41">
        <w:rPr>
          <w:szCs w:val="18"/>
        </w:rPr>
        <w:t>20</w:t>
      </w:r>
      <w:r w:rsidRPr="00CB27ED" w:rsidR="00021810">
        <w:rPr>
          <w:szCs w:val="18"/>
        </w:rPr>
        <w:t>24</w:t>
      </w:r>
      <w:r w:rsidRPr="00CB27ED" w:rsidR="00FA2E41">
        <w:rPr>
          <w:szCs w:val="18"/>
        </w:rPr>
        <w:t xml:space="preserve"> </w:t>
      </w:r>
      <w:r w:rsidRPr="00CB27ED">
        <w:rPr>
          <w:szCs w:val="18"/>
        </w:rPr>
        <w:t>Medicaid and CHIP managed care final rule is available at</w:t>
      </w:r>
      <w:r w:rsidRPr="00CB27ED">
        <w:t xml:space="preserve"> </w:t>
      </w:r>
      <w:hyperlink r:id="rId6" w:history="1">
        <w:r w:rsidRPr="00CB27ED" w:rsidR="00021810">
          <w:rPr>
            <w:rStyle w:val="Hyperlink"/>
          </w:rPr>
          <w:t>https://www.govinfo.gov/content/pkg/FR-2024-05-10/pdf/2024-08085.pdf</w:t>
        </w:r>
      </w:hyperlink>
      <w:r w:rsidRPr="00CB27ED">
        <w:rPr>
          <w:rStyle w:val="Hyperlink"/>
        </w:rPr>
        <w:t>.</w:t>
      </w:r>
    </w:p>
  </w:footnote>
  <w:footnote w:id="9">
    <w:p w:rsidR="002479E1" w:rsidP="00767370" w14:paraId="153499D2" w14:textId="04962C37">
      <w:pPr>
        <w:pStyle w:val="FootnoteText"/>
      </w:pPr>
      <w:r w:rsidRPr="00680B80">
        <w:rPr>
          <w:rStyle w:val="FootnoteReference"/>
          <w:szCs w:val="18"/>
        </w:rPr>
        <w:footnoteRef/>
      </w:r>
      <w:r w:rsidRPr="00680B80" w:rsidR="00767370">
        <w:rPr>
          <w:szCs w:val="18"/>
        </w:rPr>
        <w:t xml:space="preserve"> </w:t>
      </w:r>
      <w:r w:rsidRPr="00680B80" w:rsidR="00767370">
        <w:rPr>
          <w:szCs w:val="18"/>
        </w:rPr>
        <w:tab/>
      </w:r>
      <w:r w:rsidRPr="00680B80" w:rsidR="00C573EF">
        <w:rPr>
          <w:szCs w:val="18"/>
        </w:rPr>
        <w:t xml:space="preserve">See </w:t>
      </w:r>
      <w:r w:rsidRPr="00680B80">
        <w:rPr>
          <w:szCs w:val="18"/>
        </w:rPr>
        <w:t xml:space="preserve">42 C.F.R. 457.1250 </w:t>
      </w:r>
      <w:r w:rsidRPr="00680B80" w:rsidR="00C573EF">
        <w:rPr>
          <w:szCs w:val="18"/>
        </w:rPr>
        <w:t>for CHIP regulations</w:t>
      </w:r>
      <w:r w:rsidRPr="005C0937" w:rsidR="00C573EF">
        <w:rPr>
          <w:szCs w:val="18"/>
        </w:rPr>
        <w:t xml:space="preserve"> </w:t>
      </w:r>
      <w:r w:rsidRPr="005C0937">
        <w:rPr>
          <w:szCs w:val="18"/>
        </w:rPr>
        <w:t xml:space="preserve">cross-reference to the Medicaid managed care EQR requirements at </w:t>
      </w:r>
      <w:r>
        <w:rPr>
          <w:szCs w:val="18"/>
        </w:rPr>
        <w:t>42 C.F.R.</w:t>
      </w:r>
      <w:r w:rsidRPr="005C0937">
        <w:rPr>
          <w:szCs w:val="18"/>
        </w:rPr>
        <w:t xml:space="preserve"> 438.356. </w:t>
      </w:r>
    </w:p>
  </w:footnote>
  <w:footnote w:id="10">
    <w:p w:rsidR="002479E1" w:rsidP="00767370" w14:paraId="1DFDD6A5" w14:textId="23E132D5">
      <w:pPr>
        <w:pStyle w:val="FootnoteText"/>
      </w:pPr>
      <w:r w:rsidRPr="00680B80">
        <w:rPr>
          <w:rStyle w:val="FootnoteReference"/>
          <w:szCs w:val="17"/>
        </w:rPr>
        <w:footnoteRef/>
      </w:r>
      <w:r w:rsidRPr="00680B80" w:rsidR="00767370">
        <w:rPr>
          <w:szCs w:val="17"/>
        </w:rPr>
        <w:t xml:space="preserve"> </w:t>
      </w:r>
      <w:r w:rsidRPr="00680B80" w:rsidR="00767370">
        <w:rPr>
          <w:szCs w:val="17"/>
        </w:rPr>
        <w:tab/>
      </w:r>
      <w:r w:rsidRPr="00680B80" w:rsidR="00C573EF">
        <w:rPr>
          <w:szCs w:val="17"/>
        </w:rPr>
        <w:t xml:space="preserve">See </w:t>
      </w:r>
      <w:r w:rsidRPr="00680B80">
        <w:rPr>
          <w:szCs w:val="18"/>
        </w:rPr>
        <w:t>42 C.F.R. 457.1250</w:t>
      </w:r>
      <w:r w:rsidRPr="00680B80" w:rsidR="00C573EF">
        <w:rPr>
          <w:szCs w:val="18"/>
        </w:rPr>
        <w:t xml:space="preserve"> for</w:t>
      </w:r>
      <w:r w:rsidRPr="00680B80">
        <w:rPr>
          <w:szCs w:val="18"/>
        </w:rPr>
        <w:t xml:space="preserve"> </w:t>
      </w:r>
      <w:r w:rsidRPr="00680B80" w:rsidR="00C573EF">
        <w:rPr>
          <w:szCs w:val="18"/>
        </w:rPr>
        <w:t>CHIP regulations</w:t>
      </w:r>
      <w:r w:rsidRPr="005C0937" w:rsidR="00C573EF">
        <w:rPr>
          <w:szCs w:val="18"/>
        </w:rPr>
        <w:t xml:space="preserve"> </w:t>
      </w:r>
      <w:r w:rsidRPr="005C0937">
        <w:rPr>
          <w:szCs w:val="18"/>
        </w:rPr>
        <w:t xml:space="preserve">cross-reference to Medicaid managed care EQR requirements at </w:t>
      </w:r>
      <w:r>
        <w:rPr>
          <w:szCs w:val="18"/>
        </w:rPr>
        <w:t xml:space="preserve">42 C.F.R. </w:t>
      </w:r>
      <w:r w:rsidRPr="005C0937">
        <w:rPr>
          <w:szCs w:val="18"/>
        </w:rPr>
        <w:t xml:space="preserve">438.364. </w:t>
      </w:r>
    </w:p>
  </w:footnote>
  <w:footnote w:id="11">
    <w:p w:rsidR="00046805" w:rsidP="00046805" w14:paraId="48CC4880" w14:textId="702C5377">
      <w:pPr>
        <w:pStyle w:val="FootnoteText"/>
      </w:pPr>
      <w:r w:rsidRPr="00CB27ED">
        <w:rPr>
          <w:rStyle w:val="FootnoteReference"/>
        </w:rPr>
        <w:footnoteRef/>
      </w:r>
      <w:r w:rsidRPr="00CB27ED">
        <w:t xml:space="preserve"> See 42 C.F.R. 438.358(b)(1)(i), (ii), and (iv) and Table 2 for </w:t>
      </w:r>
      <w:r w:rsidRPr="00CB27ED" w:rsidR="006B1A76">
        <w:t>details</w:t>
      </w:r>
      <w:r w:rsidRPr="00CB27ED">
        <w:t xml:space="preserve"> on the 12-month data period for mandatory activities.</w:t>
      </w:r>
    </w:p>
  </w:footnote>
  <w:footnote w:id="12">
    <w:p w:rsidR="00ED33C3" w:rsidRPr="005C0937" w:rsidP="0052589A" w14:paraId="75453AF4" w14:textId="37B54E6C">
      <w:pPr>
        <w:pStyle w:val="FootnoteText"/>
        <w:rPr>
          <w:szCs w:val="18"/>
        </w:rPr>
      </w:pPr>
      <w:r w:rsidRPr="000D4A72">
        <w:rPr>
          <w:rStyle w:val="FootnoteReference"/>
          <w:szCs w:val="17"/>
        </w:rPr>
        <w:footnoteRef/>
      </w:r>
      <w:r w:rsidR="00767370">
        <w:rPr>
          <w:szCs w:val="18"/>
        </w:rPr>
        <w:t xml:space="preserve"> </w:t>
      </w:r>
      <w:r w:rsidR="00767370">
        <w:rPr>
          <w:szCs w:val="18"/>
        </w:rPr>
        <w:tab/>
      </w:r>
      <w:r w:rsidRPr="005C0937">
        <w:rPr>
          <w:szCs w:val="18"/>
        </w:rPr>
        <w:t xml:space="preserve">States may choose to contract with different entities, including more than one EQRO, for different EQR-related activities. For example, the state might validate </w:t>
      </w:r>
      <w:r w:rsidR="007B4782">
        <w:rPr>
          <w:szCs w:val="18"/>
        </w:rPr>
        <w:t>PIPs</w:t>
      </w:r>
      <w:r w:rsidRPr="005C0937">
        <w:rPr>
          <w:szCs w:val="18"/>
        </w:rPr>
        <w:t xml:space="preserve"> (</w:t>
      </w:r>
      <w:hyperlink w:anchor="Protocol1" w:tooltip="Protocol 1" w:history="1">
        <w:r w:rsidRPr="005C0937">
          <w:rPr>
            <w:rStyle w:val="Hyperlink"/>
            <w:szCs w:val="18"/>
          </w:rPr>
          <w:t>Protocol 1</w:t>
        </w:r>
      </w:hyperlink>
      <w:r w:rsidRPr="000E1F61">
        <w:t>)</w:t>
      </w:r>
      <w:r w:rsidRPr="005C0937">
        <w:rPr>
          <w:szCs w:val="18"/>
        </w:rPr>
        <w:t xml:space="preserve"> itself, contract with EQRO A for the validation of performance measures (</w:t>
      </w:r>
      <w:hyperlink w:anchor="Protocol2" w:tooltip="Protocol 2" w:history="1">
        <w:r w:rsidRPr="005C0937">
          <w:rPr>
            <w:rStyle w:val="Hyperlink"/>
            <w:szCs w:val="18"/>
          </w:rPr>
          <w:t>Protocol 2</w:t>
        </w:r>
      </w:hyperlink>
      <w:r w:rsidRPr="000E1F61">
        <w:t>)</w:t>
      </w:r>
      <w:r>
        <w:rPr>
          <w:szCs w:val="18"/>
        </w:rPr>
        <w:t>,</w:t>
      </w:r>
      <w:r w:rsidRPr="005C0937">
        <w:rPr>
          <w:szCs w:val="18"/>
        </w:rPr>
        <w:t xml:space="preserve"> and contract with EQRO B for the compliance review (</w:t>
      </w:r>
      <w:hyperlink w:anchor="Protocol3" w:tooltip="Protocol 3" w:history="1">
        <w:r w:rsidRPr="005C0937">
          <w:rPr>
            <w:rStyle w:val="Hyperlink"/>
            <w:szCs w:val="18"/>
          </w:rPr>
          <w:t>Protocol 3</w:t>
        </w:r>
      </w:hyperlink>
      <w:r w:rsidRPr="000E1F61">
        <w:t>)</w:t>
      </w:r>
      <w:r w:rsidRPr="005C0937">
        <w:rPr>
          <w:szCs w:val="18"/>
        </w:rPr>
        <w:t xml:space="preserve">. Said state could then contract with EQRO A, B, or a third EQRO C to conduct the EQR and produce the EQR technical report. For information on state contracting options for EQR, see </w:t>
      </w:r>
      <w:r w:rsidR="001C7FC0">
        <w:rPr>
          <w:szCs w:val="18"/>
        </w:rPr>
        <w:t>42 C.F.R.</w:t>
      </w:r>
      <w:r>
        <w:rPr>
          <w:szCs w:val="18"/>
        </w:rPr>
        <w:t xml:space="preserve"> </w:t>
      </w:r>
      <w:r w:rsidRPr="005C0937">
        <w:rPr>
          <w:szCs w:val="18"/>
        </w:rPr>
        <w:t>438.356 (as cross referenced at</w:t>
      </w:r>
      <w:r>
        <w:rPr>
          <w:szCs w:val="18"/>
        </w:rPr>
        <w:t xml:space="preserve"> </w:t>
      </w:r>
      <w:r w:rsidRPr="005C0937">
        <w:rPr>
          <w:szCs w:val="18"/>
        </w:rPr>
        <w:t>457.1250 for CHIP</w:t>
      </w:r>
      <w:r w:rsidR="002A5991">
        <w:rPr>
          <w:szCs w:val="18"/>
        </w:rPr>
        <w:t>)</w:t>
      </w:r>
      <w:r w:rsidRPr="005C0937">
        <w:rPr>
          <w:szCs w:val="18"/>
        </w:rPr>
        <w:t>.</w:t>
      </w:r>
    </w:p>
  </w:footnote>
  <w:footnote w:id="13">
    <w:p w:rsidR="00ED33C3" w:rsidRPr="00100A24" w:rsidP="004408B7" w14:paraId="4EC1B5DE" w14:textId="11AD1DFE">
      <w:pPr>
        <w:pStyle w:val="FootnoteText"/>
        <w:rPr>
          <w:szCs w:val="18"/>
        </w:rPr>
      </w:pPr>
      <w:r w:rsidRPr="00B82400">
        <w:rPr>
          <w:rStyle w:val="FootnoteReference"/>
          <w:szCs w:val="17"/>
        </w:rPr>
        <w:footnoteRef/>
      </w:r>
      <w:r>
        <w:tab/>
      </w:r>
      <w:r w:rsidRPr="00100A24">
        <w:rPr>
          <w:szCs w:val="18"/>
        </w:rPr>
        <w:t xml:space="preserve">See </w:t>
      </w:r>
      <w:r w:rsidR="001C7FC0">
        <w:rPr>
          <w:szCs w:val="18"/>
        </w:rPr>
        <w:t xml:space="preserve">42 </w:t>
      </w:r>
      <w:r w:rsidRPr="00CB27ED" w:rsidR="001C7FC0">
        <w:rPr>
          <w:szCs w:val="18"/>
        </w:rPr>
        <w:t>C.F.R.</w:t>
      </w:r>
      <w:r w:rsidRPr="00CB27ED">
        <w:rPr>
          <w:szCs w:val="18"/>
        </w:rPr>
        <w:t xml:space="preserve"> 433.15 and 438.370(a) and the July 10, 2016 CMCS Informational Bulletin (CIB), Federal Financial Participation for Managed Care External Quality Review, available at</w:t>
      </w:r>
      <w:r w:rsidRPr="00CB27ED">
        <w:t xml:space="preserve"> </w:t>
      </w:r>
      <w:hyperlink r:id="rId7" w:tooltip="Federal Financial Participation for Managed Care External Quality Review" w:history="1">
        <w:r w:rsidRPr="00CB27ED">
          <w:rPr>
            <w:rStyle w:val="Hyperlink"/>
            <w:szCs w:val="18"/>
          </w:rPr>
          <w:t>https://www.medicaid.gov/federal-policy-guidance/downloads/cib061016.pdf</w:t>
        </w:r>
      </w:hyperlink>
      <w:r w:rsidRPr="00CB27ED">
        <w:t>.</w:t>
      </w:r>
    </w:p>
  </w:footnote>
  <w:footnote w:id="14">
    <w:p w:rsidR="00ED33C3" w:rsidRPr="000D4A72" w:rsidP="004408B7" w14:paraId="1A8CE093" w14:textId="39646733">
      <w:pPr>
        <w:pStyle w:val="FootnoteText"/>
      </w:pPr>
      <w:r w:rsidRPr="00100A24">
        <w:rPr>
          <w:rStyle w:val="FootnoteReference"/>
          <w:szCs w:val="18"/>
        </w:rPr>
        <w:footnoteRef/>
      </w:r>
      <w:r w:rsidRPr="005C0937">
        <w:rPr>
          <w:szCs w:val="18"/>
        </w:rPr>
        <w:tab/>
        <w:t xml:space="preserve">If the state or the state’s agent that is not an MCP conducts the EQR-related activity on an MCO, it would be eligible for the 50 percent match rate. See </w:t>
      </w:r>
      <w:r w:rsidR="001C7FC0">
        <w:rPr>
          <w:szCs w:val="18"/>
        </w:rPr>
        <w:t>42 C.F.R.</w:t>
      </w:r>
      <w:r>
        <w:rPr>
          <w:szCs w:val="18"/>
        </w:rPr>
        <w:t xml:space="preserve"> </w:t>
      </w:r>
      <w:r w:rsidRPr="005C0937">
        <w:rPr>
          <w:szCs w:val="18"/>
        </w:rPr>
        <w:t>438.370(a)–(b). When information from a Medicare or private accreditation review of an MCO is used to support one or more mandatory EQR-related activities in place of a Medicaid review, the EQRO’s analysis of the MCO data as part of the EQR is eligible for FFP at the 75 percent rate. The accreditation activities that produce the information are not eligible for the FFP.</w:t>
      </w:r>
    </w:p>
  </w:footnote>
  <w:footnote w:id="15">
    <w:p w:rsidR="00ED33C3" w:rsidRPr="00100A24" w:rsidP="004408B7" w14:paraId="0BAF1D0A" w14:textId="04969308">
      <w:pPr>
        <w:pStyle w:val="FootnoteText"/>
        <w:rPr>
          <w:szCs w:val="18"/>
        </w:rPr>
      </w:pPr>
      <w:r w:rsidRPr="000D4A72">
        <w:rPr>
          <w:rStyle w:val="FootnoteReference"/>
          <w:szCs w:val="17"/>
        </w:rPr>
        <w:footnoteRef/>
      </w:r>
      <w:r>
        <w:tab/>
      </w:r>
      <w:r w:rsidRPr="00100A24">
        <w:rPr>
          <w:szCs w:val="18"/>
        </w:rPr>
        <w:t xml:space="preserve">See </w:t>
      </w:r>
      <w:r w:rsidR="001C7FC0">
        <w:rPr>
          <w:szCs w:val="18"/>
        </w:rPr>
        <w:t>42 C.F.R.</w:t>
      </w:r>
      <w:r>
        <w:rPr>
          <w:szCs w:val="18"/>
        </w:rPr>
        <w:t xml:space="preserve"> </w:t>
      </w:r>
      <w:r w:rsidRPr="00100A24">
        <w:rPr>
          <w:szCs w:val="18"/>
        </w:rPr>
        <w:t>433.15 and 438.370(b).</w:t>
      </w:r>
    </w:p>
  </w:footnote>
  <w:footnote w:id="16">
    <w:p w:rsidR="00ED33C3" w:rsidRPr="00100A24" w:rsidP="004408B7" w14:paraId="2AF280B1" w14:textId="671644BA">
      <w:pPr>
        <w:pStyle w:val="FootnoteText"/>
        <w:rPr>
          <w:szCs w:val="18"/>
        </w:rPr>
      </w:pPr>
      <w:r w:rsidRPr="00100A24">
        <w:rPr>
          <w:rStyle w:val="FootnoteReference"/>
          <w:szCs w:val="18"/>
        </w:rPr>
        <w:footnoteRef/>
      </w:r>
      <w:r w:rsidRPr="00100A24">
        <w:rPr>
          <w:szCs w:val="18"/>
        </w:rPr>
        <w:tab/>
        <w:t xml:space="preserve">See </w:t>
      </w:r>
      <w:r w:rsidR="001C7FC0">
        <w:rPr>
          <w:szCs w:val="18"/>
        </w:rPr>
        <w:t>42 C.F.R.</w:t>
      </w:r>
      <w:r>
        <w:rPr>
          <w:szCs w:val="18"/>
        </w:rPr>
        <w:t xml:space="preserve"> </w:t>
      </w:r>
      <w:r w:rsidRPr="00100A24">
        <w:rPr>
          <w:szCs w:val="18"/>
        </w:rPr>
        <w:t xml:space="preserve">438.370(b). Note that this is a change from the previous regulation, under which the enhanced match was available for EQR of PIHPs to the same extent as MCOs. For further explanation of the change, see discussion in the Medicaid and CHIP Managed Care 2016 final rule at 81 </w:t>
      </w:r>
      <w:r>
        <w:rPr>
          <w:szCs w:val="18"/>
        </w:rPr>
        <w:t>C</w:t>
      </w:r>
      <w:r w:rsidR="00B02431">
        <w:rPr>
          <w:szCs w:val="18"/>
        </w:rPr>
        <w:t>.</w:t>
      </w:r>
      <w:r w:rsidRPr="00100A24">
        <w:rPr>
          <w:szCs w:val="18"/>
        </w:rPr>
        <w:t>F</w:t>
      </w:r>
      <w:r w:rsidR="00B02431">
        <w:rPr>
          <w:szCs w:val="18"/>
        </w:rPr>
        <w:t>.</w:t>
      </w:r>
      <w:r w:rsidRPr="00100A24">
        <w:rPr>
          <w:szCs w:val="18"/>
        </w:rPr>
        <w:t xml:space="preserve">R 27498, </w:t>
      </w:r>
      <w:r w:rsidRPr="00CF3C65">
        <w:rPr>
          <w:szCs w:val="18"/>
        </w:rPr>
        <w:t>27715-27716.</w:t>
      </w:r>
    </w:p>
  </w:footnote>
  <w:footnote w:id="17">
    <w:p w:rsidR="006D4709" w:rsidRPr="00313311" w:rsidP="006D4709" w14:paraId="0593B4F6" w14:textId="77777777">
      <w:pPr>
        <w:pStyle w:val="FootnoteText"/>
        <w:rPr>
          <w:szCs w:val="17"/>
        </w:rPr>
      </w:pPr>
      <w:r w:rsidRPr="00100A24">
        <w:rPr>
          <w:rStyle w:val="FootnoteReference"/>
          <w:szCs w:val="18"/>
        </w:rPr>
        <w:footnoteRef/>
      </w:r>
      <w:r w:rsidRPr="00100A24">
        <w:rPr>
          <w:szCs w:val="18"/>
        </w:rPr>
        <w:tab/>
        <w:t>See section 1932(c)(2)(A)(iii) of the Social Security Act</w:t>
      </w:r>
      <w:r>
        <w:rPr>
          <w:szCs w:val="18"/>
        </w:rPr>
        <w:t xml:space="preserve">, 42 C.F.R. </w:t>
      </w:r>
      <w:r w:rsidRPr="00100A24">
        <w:rPr>
          <w:szCs w:val="18"/>
        </w:rPr>
        <w:t>438.352</w:t>
      </w:r>
      <w:r>
        <w:rPr>
          <w:szCs w:val="18"/>
        </w:rPr>
        <w:t>, and 42 C.F.R. 438.358(c)(7)</w:t>
      </w:r>
      <w:r w:rsidRPr="00100A24">
        <w:rPr>
          <w:szCs w:val="18"/>
        </w:rPr>
        <w:t>.</w:t>
      </w:r>
    </w:p>
  </w:footnote>
  <w:footnote w:id="18">
    <w:p w:rsidR="00ED33C3" w:rsidRPr="002E38AA" w:rsidP="00433827" w14:paraId="38116D66" w14:textId="6E577E6E">
      <w:pPr>
        <w:pStyle w:val="FootnoteText"/>
        <w:rPr>
          <w:szCs w:val="17"/>
        </w:rPr>
      </w:pPr>
      <w:r w:rsidRPr="005E5BEC">
        <w:rPr>
          <w:rStyle w:val="FootnoteReference"/>
          <w:szCs w:val="14"/>
        </w:rPr>
        <w:footnoteRef/>
      </w:r>
      <w:r w:rsidRPr="005E5BEC">
        <w:rPr>
          <w:szCs w:val="14"/>
        </w:rPr>
        <w:tab/>
        <w:t xml:space="preserve">See </w:t>
      </w:r>
      <w:r w:rsidR="001C7FC0">
        <w:rPr>
          <w:szCs w:val="14"/>
        </w:rPr>
        <w:t>42 C.F.R.</w:t>
      </w:r>
      <w:r w:rsidRPr="005E5BEC">
        <w:rPr>
          <w:szCs w:val="14"/>
        </w:rPr>
        <w:t xml:space="preserve"> 438.358(a).</w:t>
      </w:r>
    </w:p>
  </w:footnote>
  <w:footnote w:id="19">
    <w:p w:rsidR="00065C97" w:rsidRPr="006F3106" w:rsidP="00065C97" w14:paraId="7B74AD77" w14:textId="77777777">
      <w:pPr>
        <w:pStyle w:val="FootnoteText"/>
        <w:rPr>
          <w:szCs w:val="14"/>
        </w:rPr>
      </w:pPr>
      <w:r w:rsidRPr="005E5BEC">
        <w:rPr>
          <w:rStyle w:val="FootnoteReference"/>
          <w:szCs w:val="14"/>
        </w:rPr>
        <w:footnoteRef/>
      </w:r>
      <w:r w:rsidRPr="005E5BEC">
        <w:rPr>
          <w:szCs w:val="14"/>
        </w:rPr>
        <w:tab/>
        <w:t xml:space="preserve">See </w:t>
      </w:r>
      <w:r>
        <w:rPr>
          <w:szCs w:val="14"/>
        </w:rPr>
        <w:t>42 C.F.R.</w:t>
      </w:r>
      <w:r w:rsidRPr="006F3106">
        <w:rPr>
          <w:szCs w:val="14"/>
        </w:rPr>
        <w:t xml:space="preserve"> 431 Subpart F and</w:t>
      </w:r>
      <w:r>
        <w:rPr>
          <w:szCs w:val="14"/>
        </w:rPr>
        <w:t xml:space="preserve"> </w:t>
      </w:r>
      <w:r w:rsidRPr="006F3106">
        <w:rPr>
          <w:szCs w:val="14"/>
        </w:rPr>
        <w:t>457.1110.</w:t>
      </w:r>
    </w:p>
  </w:footnote>
  <w:footnote w:id="20">
    <w:p w:rsidR="00065C97" w:rsidRPr="006F3106" w:rsidP="00065C97" w14:paraId="462F9F86" w14:textId="77777777">
      <w:pPr>
        <w:pStyle w:val="FootnoteText"/>
        <w:rPr>
          <w:szCs w:val="14"/>
        </w:rPr>
      </w:pPr>
      <w:r w:rsidRPr="005E5BEC">
        <w:rPr>
          <w:rStyle w:val="FootnoteReference"/>
          <w:szCs w:val="14"/>
        </w:rPr>
        <w:footnoteRef/>
      </w:r>
      <w:r w:rsidRPr="005E5BEC">
        <w:rPr>
          <w:szCs w:val="14"/>
        </w:rPr>
        <w:tab/>
        <w:t xml:space="preserve">See </w:t>
      </w:r>
      <w:r>
        <w:rPr>
          <w:szCs w:val="14"/>
        </w:rPr>
        <w:t xml:space="preserve">42 C.F.R. </w:t>
      </w:r>
      <w:r w:rsidRPr="006F3106">
        <w:rPr>
          <w:szCs w:val="14"/>
        </w:rPr>
        <w:t>438.364(d).</w:t>
      </w:r>
    </w:p>
  </w:footnote>
  <w:footnote w:id="21">
    <w:p w:rsidR="00ED33C3" w:rsidRPr="00CC34CA" w14:paraId="7881BD19" w14:textId="1008EAF1">
      <w:pPr>
        <w:pStyle w:val="FootnoteText"/>
        <w:rPr>
          <w:szCs w:val="18"/>
        </w:rPr>
      </w:pPr>
      <w:r w:rsidRPr="00CC34CA">
        <w:rPr>
          <w:rStyle w:val="FootnoteReference"/>
          <w:szCs w:val="18"/>
        </w:rPr>
        <w:footnoteRef/>
      </w:r>
      <w:r w:rsidRPr="00CC34CA">
        <w:rPr>
          <w:szCs w:val="18"/>
        </w:rPr>
        <w:tab/>
        <w:t>Nonduplication is not an option for the fourth mandatory EQR-related activity of network adequacy validation (</w:t>
      </w:r>
      <w:r w:rsidR="001C7FC0">
        <w:rPr>
          <w:szCs w:val="18"/>
        </w:rPr>
        <w:t>42 C.F.R.</w:t>
      </w:r>
      <w:r>
        <w:rPr>
          <w:szCs w:val="18"/>
        </w:rPr>
        <w:t xml:space="preserve"> </w:t>
      </w:r>
      <w:r w:rsidRPr="00CC34CA">
        <w:rPr>
          <w:szCs w:val="18"/>
        </w:rPr>
        <w:t>438.358(b)(1)(iv)).</w:t>
      </w:r>
    </w:p>
  </w:footnote>
  <w:footnote w:id="22">
    <w:p w:rsidR="00ED33C3" w:rsidRPr="008A0B3A" w:rsidP="008A0B3A" w14:paraId="345B5D25" w14:textId="4129CEE8">
      <w:pPr>
        <w:pStyle w:val="FootnoteText"/>
        <w:rPr>
          <w:szCs w:val="17"/>
          <w:highlight w:val="yellow"/>
        </w:rPr>
      </w:pPr>
      <w:r w:rsidRPr="00CC34CA">
        <w:rPr>
          <w:rStyle w:val="FootnoteReference"/>
          <w:szCs w:val="16"/>
        </w:rPr>
        <w:footnoteRef/>
      </w:r>
      <w:r w:rsidRPr="00CC34CA">
        <w:rPr>
          <w:szCs w:val="16"/>
        </w:rPr>
        <w:tab/>
        <w:t xml:space="preserve">See </w:t>
      </w:r>
      <w:r w:rsidR="001C7FC0">
        <w:rPr>
          <w:szCs w:val="16"/>
        </w:rPr>
        <w:t>42 C.F.R.</w:t>
      </w:r>
      <w:r>
        <w:rPr>
          <w:szCs w:val="16"/>
        </w:rPr>
        <w:t xml:space="preserve"> </w:t>
      </w:r>
      <w:r w:rsidRPr="00CC34CA">
        <w:rPr>
          <w:szCs w:val="16"/>
        </w:rPr>
        <w:t>438.360(c) and 438.340(b)(10).</w:t>
      </w:r>
    </w:p>
  </w:footnote>
  <w:footnote w:id="23">
    <w:p w:rsidR="00ED33C3" w:rsidRPr="00CC34CA" w:rsidP="009859E0" w14:paraId="301129DC" w14:textId="2D4218DA">
      <w:pPr>
        <w:pStyle w:val="FootnoteText"/>
        <w:rPr>
          <w:szCs w:val="16"/>
        </w:rPr>
      </w:pPr>
      <w:r w:rsidRPr="00CC34CA">
        <w:rPr>
          <w:rStyle w:val="FootnoteReference"/>
          <w:szCs w:val="16"/>
        </w:rPr>
        <w:footnoteRef/>
      </w:r>
      <w:r w:rsidRPr="00CC34CA">
        <w:rPr>
          <w:szCs w:val="16"/>
        </w:rPr>
        <w:tab/>
        <w:t>Prior to issuance of the Medicaid and CHIP 2016 final rule, such information could only be used to provide information which would otherwise be gathered from performing the mandatory EQR-related compliance review.</w:t>
      </w:r>
    </w:p>
  </w:footnote>
  <w:footnote w:id="24">
    <w:p w:rsidR="00ED33C3" w:rsidP="009859E0" w14:paraId="1D7FB976" w14:textId="2B5687A6">
      <w:pPr>
        <w:pStyle w:val="FootnoteText"/>
      </w:pPr>
      <w:r w:rsidRPr="00CC34CA">
        <w:rPr>
          <w:rStyle w:val="FootnoteReference"/>
          <w:szCs w:val="16"/>
        </w:rPr>
        <w:footnoteRef/>
      </w:r>
      <w:r w:rsidRPr="00CC34CA">
        <w:rPr>
          <w:szCs w:val="16"/>
        </w:rPr>
        <w:tab/>
        <w:t xml:space="preserve">See </w:t>
      </w:r>
      <w:r w:rsidR="001C7FC0">
        <w:rPr>
          <w:szCs w:val="16"/>
        </w:rPr>
        <w:t>42 C.F.R.</w:t>
      </w:r>
      <w:r>
        <w:rPr>
          <w:szCs w:val="16"/>
        </w:rPr>
        <w:t xml:space="preserve"> </w:t>
      </w:r>
      <w:r w:rsidRPr="00CC34CA">
        <w:rPr>
          <w:szCs w:val="16"/>
        </w:rPr>
        <w:t>422 subpart D.</w:t>
      </w:r>
    </w:p>
  </w:footnote>
  <w:footnote w:id="25">
    <w:p w:rsidR="00ED33C3" w:rsidP="009859E0" w14:paraId="0D273F1E" w14:textId="0D0037E4">
      <w:pPr>
        <w:pStyle w:val="FootnoteText"/>
      </w:pPr>
      <w:r w:rsidRPr="005E5BEC">
        <w:rPr>
          <w:rStyle w:val="FootnoteReference"/>
          <w:szCs w:val="16"/>
        </w:rPr>
        <w:footnoteRef/>
      </w:r>
      <w:r w:rsidRPr="005E5BEC">
        <w:rPr>
          <w:szCs w:val="18"/>
        </w:rPr>
        <w:tab/>
        <w:t xml:space="preserve">See </w:t>
      </w:r>
      <w:r w:rsidR="001C7FC0">
        <w:rPr>
          <w:szCs w:val="18"/>
        </w:rPr>
        <w:t>42 C.F.R.</w:t>
      </w:r>
      <w:r>
        <w:rPr>
          <w:szCs w:val="18"/>
        </w:rPr>
        <w:t xml:space="preserve"> </w:t>
      </w:r>
      <w:r w:rsidRPr="006F3106">
        <w:rPr>
          <w:rFonts w:eastAsiaTheme="minorEastAsia"/>
          <w:szCs w:val="18"/>
        </w:rPr>
        <w:t>438.354 for information about the competence and independence requirements for an EQRO.</w:t>
      </w:r>
    </w:p>
  </w:footnote>
  <w:footnote w:id="26">
    <w:p w:rsidR="006567E7" w:rsidP="006567E7" w14:paraId="1EB85567" w14:textId="79190162">
      <w:pPr>
        <w:pStyle w:val="FootnoteText"/>
      </w:pPr>
      <w:r>
        <w:rPr>
          <w:rStyle w:val="FootnoteReference"/>
        </w:rPr>
        <w:footnoteRef/>
      </w:r>
      <w:r>
        <w:t xml:space="preserve"> See </w:t>
      </w:r>
      <w:r w:rsidR="001C7FC0">
        <w:t>42 C.F.R.</w:t>
      </w:r>
      <w:r>
        <w:t xml:space="preserve"> 438.364</w:t>
      </w:r>
      <w:r w:rsidR="00467F74">
        <w:t xml:space="preserve"> for required elements for EQR reporting. </w:t>
      </w:r>
    </w:p>
  </w:footnote>
  <w:footnote w:id="27">
    <w:p w:rsidR="00ED33C3" w:rsidRPr="006F3106" w:rsidP="009859E0" w14:paraId="35AD1839" w14:textId="5C6CD4E2">
      <w:pPr>
        <w:pStyle w:val="FootnoteText"/>
        <w:rPr>
          <w:szCs w:val="18"/>
        </w:rPr>
      </w:pPr>
      <w:r w:rsidRPr="005E5BEC">
        <w:rPr>
          <w:rStyle w:val="FootnoteReference"/>
          <w:szCs w:val="18"/>
        </w:rPr>
        <w:footnoteRef/>
      </w:r>
      <w:r w:rsidRPr="005E5BEC">
        <w:rPr>
          <w:szCs w:val="18"/>
        </w:rPr>
        <w:tab/>
      </w:r>
      <w:r>
        <w:rPr>
          <w:szCs w:val="18"/>
        </w:rPr>
        <w:t xml:space="preserve">CHIP regulations at </w:t>
      </w:r>
      <w:r w:rsidRPr="00942BFF">
        <w:rPr>
          <w:szCs w:val="18"/>
        </w:rPr>
        <w:t xml:space="preserve">457.1250 </w:t>
      </w:r>
      <w:r>
        <w:rPr>
          <w:szCs w:val="18"/>
        </w:rPr>
        <w:t xml:space="preserve">cross reference to </w:t>
      </w:r>
      <w:r w:rsidR="001C7FC0">
        <w:rPr>
          <w:szCs w:val="18"/>
        </w:rPr>
        <w:t>42 C.F.R.</w:t>
      </w:r>
      <w:r>
        <w:rPr>
          <w:szCs w:val="18"/>
        </w:rPr>
        <w:t xml:space="preserve"> </w:t>
      </w:r>
      <w:r w:rsidRPr="006F3106">
        <w:rPr>
          <w:szCs w:val="18"/>
        </w:rPr>
        <w:t>438.364</w:t>
      </w:r>
      <w:r>
        <w:rPr>
          <w:szCs w:val="18"/>
        </w:rPr>
        <w:t xml:space="preserve">. </w:t>
      </w:r>
    </w:p>
  </w:footnote>
  <w:footnote w:id="28">
    <w:p w:rsidR="00AF2457" w:rsidP="00AF2457" w14:paraId="4A2D835E" w14:textId="77777777">
      <w:pPr>
        <w:pStyle w:val="FootnoteText"/>
      </w:pPr>
      <w:r w:rsidRPr="0071375D">
        <w:rPr>
          <w:rStyle w:val="FootnoteReference"/>
        </w:rPr>
        <w:footnoteRef/>
      </w:r>
      <w:r w:rsidRPr="0071375D">
        <w:t xml:space="preserve"> </w:t>
      </w:r>
      <w:r w:rsidRPr="00805A22">
        <w:t>Clinical PIPs focus on service outcomes and non-clinical PIPs focus on service delivery processes or operational functions.</w:t>
      </w:r>
    </w:p>
  </w:footnote>
  <w:footnote w:id="29">
    <w:p w:rsidR="00ED33C3" w:rsidRPr="00452A5C" w:rsidP="00AE38C6" w14:paraId="27ABFB30" w14:textId="29967564">
      <w:pPr>
        <w:pStyle w:val="FootnoteText"/>
        <w:rPr>
          <w:spacing w:val="-4"/>
          <w:szCs w:val="16"/>
        </w:rPr>
      </w:pPr>
      <w:r w:rsidRPr="005E5BEC">
        <w:rPr>
          <w:rStyle w:val="FootnoteReference"/>
          <w:szCs w:val="16"/>
        </w:rPr>
        <w:footnoteRef/>
      </w:r>
      <w:r w:rsidRPr="005E5BEC">
        <w:rPr>
          <w:szCs w:val="16"/>
        </w:rPr>
        <w:tab/>
      </w:r>
      <w:r w:rsidRPr="00452A5C">
        <w:rPr>
          <w:spacing w:val="-6"/>
          <w:szCs w:val="16"/>
        </w:rPr>
        <w:t>At a minimum, a single PIP that focuses on both clin</w:t>
      </w:r>
      <w:r w:rsidRPr="00452A5C">
        <w:rPr>
          <w:spacing w:val="-4"/>
          <w:szCs w:val="16"/>
        </w:rPr>
        <w:t>ical and non-clinical aspects of care may satisfy this requirement. Otherwise, a state must require at least two PIPs, one clinical and one non-clinical.</w:t>
      </w:r>
      <w:r w:rsidR="00542AD2">
        <w:rPr>
          <w:spacing w:val="-4"/>
          <w:szCs w:val="16"/>
        </w:rPr>
        <w:t xml:space="preserve"> </w:t>
      </w:r>
    </w:p>
  </w:footnote>
  <w:footnote w:id="30">
    <w:p w:rsidR="00E7625A" w14:paraId="358E876A" w14:textId="2F0466E8">
      <w:pPr>
        <w:pStyle w:val="FootnoteText"/>
      </w:pPr>
      <w:r>
        <w:rPr>
          <w:rStyle w:val="FootnoteReference"/>
        </w:rPr>
        <w:footnoteRef/>
      </w:r>
      <w:r>
        <w:t xml:space="preserve"> </w:t>
      </w:r>
      <w:r w:rsidRPr="00E57997" w:rsidR="00E57997">
        <w:t>All PIPs underway during the applicable 12-month data period subject to review must be included in the annual EQR technical report ((42 C.F.R. § 438.364, 438.330(d)(3), 438.358(b)(1)(i)).</w:t>
      </w:r>
    </w:p>
  </w:footnote>
  <w:footnote w:id="31">
    <w:p w:rsidR="00ED33C3" w:rsidRPr="00452A5C" w:rsidP="00AE38C6" w14:paraId="10DAD0D2" w14:textId="789EFAEC">
      <w:pPr>
        <w:pStyle w:val="FootnoteText"/>
        <w:rPr>
          <w:spacing w:val="-4"/>
          <w:szCs w:val="16"/>
        </w:rPr>
      </w:pPr>
      <w:r w:rsidRPr="00452A5C">
        <w:rPr>
          <w:spacing w:val="-4"/>
          <w:szCs w:val="16"/>
          <w:vertAlign w:val="superscript"/>
        </w:rPr>
        <w:footnoteRef/>
      </w:r>
      <w:r w:rsidRPr="00452A5C">
        <w:rPr>
          <w:spacing w:val="-4"/>
          <w:szCs w:val="16"/>
        </w:rPr>
        <w:tab/>
        <w:t>If the state elects to use nonduplication for this mandatory EQR-related activity (</w:t>
      </w:r>
      <w:r w:rsidR="001C7FC0">
        <w:rPr>
          <w:spacing w:val="-4"/>
          <w:szCs w:val="16"/>
        </w:rPr>
        <w:t>42 C.F.R.</w:t>
      </w:r>
      <w:r>
        <w:rPr>
          <w:spacing w:val="-4"/>
          <w:szCs w:val="16"/>
        </w:rPr>
        <w:t xml:space="preserve"> </w:t>
      </w:r>
      <w:r w:rsidRPr="00452A5C">
        <w:rPr>
          <w:spacing w:val="-4"/>
          <w:szCs w:val="16"/>
        </w:rPr>
        <w:t xml:space="preserve">438.360, Nonduplication of mandatory activities with Medicare or accreditation review), then the state must ensure that all information from the Medicare or private accreditation review is provided to the EQRO for analysis and inclusion in the annual EQR technical report. (See </w:t>
      </w:r>
      <w:r w:rsidR="001C7FC0">
        <w:rPr>
          <w:spacing w:val="-4"/>
          <w:szCs w:val="16"/>
        </w:rPr>
        <w:t>42 C.F.R.</w:t>
      </w:r>
      <w:r>
        <w:rPr>
          <w:spacing w:val="-4"/>
          <w:szCs w:val="16"/>
        </w:rPr>
        <w:t xml:space="preserve"> </w:t>
      </w:r>
      <w:r w:rsidRPr="00452A5C">
        <w:rPr>
          <w:spacing w:val="-4"/>
          <w:szCs w:val="16"/>
        </w:rPr>
        <w:t>438.360(a)(1)</w:t>
      </w:r>
      <w:r w:rsidRPr="00452A5C">
        <w:rPr>
          <w:spacing w:val="-4"/>
          <w:szCs w:val="16"/>
        </w:rPr>
        <w:t>–(</w:t>
      </w:r>
      <w:r w:rsidRPr="00452A5C">
        <w:rPr>
          <w:spacing w:val="-4"/>
          <w:szCs w:val="16"/>
        </w:rPr>
        <w:t xml:space="preserve">3) for additional details regarding the circumstance under which nonduplication is an option). Use of nonduplication must be identified in the state’s quality strategy (see </w:t>
      </w:r>
      <w:r w:rsidR="001C7FC0">
        <w:rPr>
          <w:spacing w:val="-4"/>
          <w:szCs w:val="16"/>
        </w:rPr>
        <w:t>42 C.F.R.</w:t>
      </w:r>
      <w:r>
        <w:rPr>
          <w:spacing w:val="-4"/>
          <w:szCs w:val="16"/>
        </w:rPr>
        <w:t xml:space="preserve"> </w:t>
      </w:r>
      <w:r w:rsidRPr="00452A5C">
        <w:rPr>
          <w:spacing w:val="-4"/>
          <w:szCs w:val="16"/>
        </w:rPr>
        <w:t xml:space="preserve">438.360(c) and 438.340(b)(10)). CHIP regulations at 457.1250 cross-references to </w:t>
      </w:r>
      <w:r w:rsidR="001C7FC0">
        <w:rPr>
          <w:spacing w:val="-4"/>
          <w:szCs w:val="16"/>
        </w:rPr>
        <w:t>42 C.F.R.</w:t>
      </w:r>
      <w:r>
        <w:rPr>
          <w:spacing w:val="-4"/>
          <w:szCs w:val="16"/>
        </w:rPr>
        <w:t xml:space="preserve"> </w:t>
      </w:r>
      <w:r w:rsidRPr="00452A5C" w:rsidR="00C80DB5">
        <w:rPr>
          <w:spacing w:val="-4"/>
          <w:szCs w:val="16"/>
        </w:rPr>
        <w:t>438.360 but</w:t>
      </w:r>
      <w:r w:rsidRPr="00452A5C">
        <w:rPr>
          <w:spacing w:val="-4"/>
          <w:szCs w:val="16"/>
        </w:rPr>
        <w:t xml:space="preserve"> does not allow for the use of Medicare review activities for nonduplication.</w:t>
      </w:r>
    </w:p>
  </w:footnote>
  <w:footnote w:id="32">
    <w:p w:rsidR="00ED33C3" w:rsidRPr="00037C8C" w:rsidP="00AE38C6" w14:paraId="62FCC3C7" w14:textId="3DAED4AA">
      <w:pPr>
        <w:pStyle w:val="FootnoteText"/>
        <w:spacing w:after="0"/>
        <w:rPr>
          <w:spacing w:val="-2"/>
          <w:szCs w:val="17"/>
        </w:rPr>
      </w:pPr>
      <w:r w:rsidRPr="00E307E0">
        <w:rPr>
          <w:rStyle w:val="FootnoteReference"/>
          <w:szCs w:val="16"/>
        </w:rPr>
        <w:footnoteRef/>
      </w:r>
      <w:r w:rsidRPr="00E307E0">
        <w:rPr>
          <w:szCs w:val="16"/>
        </w:rPr>
        <w:tab/>
      </w:r>
      <w:r w:rsidRPr="00E307E0">
        <w:rPr>
          <w:spacing w:val="-2"/>
          <w:szCs w:val="16"/>
        </w:rPr>
        <w:t xml:space="preserve">A state may not utilize nonduplication if Medicare has accepted </w:t>
      </w:r>
      <w:r w:rsidRPr="00E307E0" w:rsidR="00D03AA9">
        <w:rPr>
          <w:spacing w:val="-2"/>
          <w:szCs w:val="16"/>
        </w:rPr>
        <w:t>only an</w:t>
      </w:r>
      <w:r w:rsidRPr="00E307E0">
        <w:rPr>
          <w:spacing w:val="-2"/>
          <w:szCs w:val="16"/>
        </w:rPr>
        <w:t xml:space="preserve"> attestation of a</w:t>
      </w:r>
      <w:r w:rsidRPr="00E307E0" w:rsidR="007D76B8">
        <w:rPr>
          <w:spacing w:val="-2"/>
          <w:szCs w:val="16"/>
        </w:rPr>
        <w:t>n MCP’s</w:t>
      </w:r>
      <w:r w:rsidRPr="00E307E0" w:rsidR="00671C1F">
        <w:rPr>
          <w:spacing w:val="-2"/>
          <w:szCs w:val="16"/>
        </w:rPr>
        <w:t xml:space="preserve"> </w:t>
      </w:r>
      <w:r w:rsidRPr="00E307E0">
        <w:rPr>
          <w:spacing w:val="-2"/>
          <w:szCs w:val="16"/>
        </w:rPr>
        <w:t xml:space="preserve">quality </w:t>
      </w:r>
      <w:r w:rsidRPr="00E307E0" w:rsidR="002B0535">
        <w:rPr>
          <w:spacing w:val="-2"/>
          <w:szCs w:val="16"/>
        </w:rPr>
        <w:t xml:space="preserve">improvement </w:t>
      </w:r>
      <w:r w:rsidRPr="00183F68" w:rsidR="007D76B8">
        <w:rPr>
          <w:spacing w:val="-2"/>
          <w:szCs w:val="16"/>
        </w:rPr>
        <w:t>program</w:t>
      </w:r>
      <w:r w:rsidRPr="00E307E0">
        <w:rPr>
          <w:spacing w:val="-2"/>
          <w:szCs w:val="16"/>
        </w:rPr>
        <w:t xml:space="preserve"> (QIP). In the context of this EQR-related activity, the QIP would have to undergo validation as part of a Medicare review </w:t>
      </w:r>
      <w:r w:rsidR="00FC4648">
        <w:rPr>
          <w:spacing w:val="-2"/>
          <w:szCs w:val="16"/>
        </w:rPr>
        <w:t>for</w:t>
      </w:r>
      <w:r w:rsidRPr="00E307E0">
        <w:rPr>
          <w:spacing w:val="-2"/>
          <w:szCs w:val="16"/>
        </w:rPr>
        <w:t xml:space="preserve"> nonduplication to be an option. See </w:t>
      </w:r>
      <w:r w:rsidRPr="00E307E0" w:rsidR="001C7FC0">
        <w:rPr>
          <w:spacing w:val="-2"/>
          <w:szCs w:val="16"/>
        </w:rPr>
        <w:t>42 C.F.R.</w:t>
      </w:r>
      <w:r w:rsidRPr="00E307E0">
        <w:rPr>
          <w:spacing w:val="-2"/>
          <w:szCs w:val="16"/>
        </w:rPr>
        <w:t xml:space="preserve"> 438.360(a)(2).</w:t>
      </w:r>
    </w:p>
  </w:footnote>
  <w:footnote w:id="33">
    <w:p w:rsidR="0026404E" w:rsidP="0026404E" w14:paraId="08129831" w14:textId="5D12FED3">
      <w:pPr>
        <w:pStyle w:val="FootnoteText"/>
      </w:pPr>
      <w:r>
        <w:rPr>
          <w:rStyle w:val="FootnoteReference"/>
        </w:rPr>
        <w:footnoteRef/>
      </w:r>
      <w:r>
        <w:t xml:space="preserve"> </w:t>
      </w:r>
      <w:r w:rsidRPr="000E21D6" w:rsidR="000E21D6">
        <w:rPr>
          <w:bCs/>
          <w:szCs w:val="16"/>
        </w:rPr>
        <w:t xml:space="preserve">The “12 months preceding” refers to the timeframe during which the EQRO conducts the EQR activity prior to posting the annual EQR technical report. This period is distinct from the 12-month data period subject to review, which reflects the most recently concluded contract or calendar year being evaluated. See </w:t>
      </w:r>
      <w:hyperlink w:anchor="Box6" w:history="1">
        <w:r w:rsidRPr="000E21D6" w:rsidR="000E21D6">
          <w:rPr>
            <w:rStyle w:val="Hyperlink"/>
            <w:bCs/>
            <w:szCs w:val="16"/>
          </w:rPr>
          <w:t>Box 6</w:t>
        </w:r>
      </w:hyperlink>
      <w:r w:rsidRPr="000E21D6" w:rsidR="000E21D6">
        <w:rPr>
          <w:bCs/>
          <w:szCs w:val="16"/>
        </w:rPr>
        <w:t xml:space="preserve"> the Introduction for additional information.</w:t>
      </w:r>
    </w:p>
  </w:footnote>
  <w:footnote w:id="34">
    <w:p w:rsidR="00ED33C3" w:rsidRPr="0078215E" w:rsidP="000C221C" w14:paraId="667BDF84" w14:textId="65E2A81C">
      <w:pPr>
        <w:pStyle w:val="FootnoteText"/>
      </w:pPr>
      <w:r w:rsidRPr="0078215E">
        <w:rPr>
          <w:rStyle w:val="FootnoteReference"/>
          <w:szCs w:val="18"/>
        </w:rPr>
        <w:footnoteRef/>
      </w:r>
      <w:r w:rsidRPr="0078215E">
        <w:tab/>
        <w:t xml:space="preserve">More information about CMS priorities and initiatives is available at </w:t>
      </w:r>
      <w:hyperlink r:id="rId8" w:tooltip="CMS' Quality Strategy" w:history="1">
        <w:r w:rsidRPr="0078215E" w:rsidR="00D75759">
          <w:rPr>
            <w:rStyle w:val="Hyperlink"/>
          </w:rPr>
          <w:t>https://www.cms.gov/medicare/quality/meaningful-measures-initiative/cms-quality-strategy</w:t>
        </w:r>
      </w:hyperlink>
      <w:r w:rsidRPr="0078215E" w:rsidR="00647F8C">
        <w:rPr>
          <w:rStyle w:val="Hyperlink"/>
          <w:color w:val="auto"/>
        </w:rPr>
        <w:t>.</w:t>
      </w:r>
    </w:p>
  </w:footnote>
  <w:footnote w:id="35">
    <w:p w:rsidR="00ED33C3" w:rsidRPr="00CC169A" w:rsidP="00334414" w14:paraId="6960AD98" w14:textId="2FBCE064">
      <w:pPr>
        <w:pStyle w:val="FootnoteText"/>
        <w:rPr>
          <w:szCs w:val="18"/>
        </w:rPr>
      </w:pPr>
      <w:r w:rsidRPr="0078215E">
        <w:rPr>
          <w:rStyle w:val="FootnoteReference"/>
          <w:szCs w:val="18"/>
        </w:rPr>
        <w:footnoteRef/>
      </w:r>
      <w:r w:rsidRPr="0078215E">
        <w:rPr>
          <w:szCs w:val="18"/>
        </w:rPr>
        <w:tab/>
        <w:t xml:space="preserve">More information about the Child and Adult Core Sets </w:t>
      </w:r>
      <w:r w:rsidRPr="0078215E" w:rsidR="00D72373">
        <w:rPr>
          <w:szCs w:val="18"/>
        </w:rPr>
        <w:t xml:space="preserve">is </w:t>
      </w:r>
      <w:r w:rsidRPr="0078215E">
        <w:rPr>
          <w:szCs w:val="18"/>
        </w:rPr>
        <w:t>available at</w:t>
      </w:r>
      <w:r w:rsidRPr="0078215E">
        <w:t xml:space="preserve"> </w:t>
      </w:r>
      <w:hyperlink r:id="rId9" w:tooltip="Adult and Child Health Care Quality Measures" w:history="1">
        <w:r w:rsidRPr="0078215E">
          <w:rPr>
            <w:rStyle w:val="Hyperlink"/>
            <w:szCs w:val="18"/>
          </w:rPr>
          <w:t>https://www.medicaid.gov/medicaid/quality-of-care/performance-measurement/adult-and-child-health-care-quality-measures/index.html</w:t>
        </w:r>
      </w:hyperlink>
      <w:r w:rsidRPr="0078215E">
        <w:t>.</w:t>
      </w:r>
      <w:r w:rsidRPr="005F2C1A">
        <w:rPr>
          <w:szCs w:val="18"/>
        </w:rPr>
        <w:t xml:space="preserve"> </w:t>
      </w:r>
    </w:p>
  </w:footnote>
  <w:footnote w:id="36">
    <w:p w:rsidR="00ED33C3" w:rsidP="00A850CA" w14:paraId="361B8F3B" w14:textId="4D0C1484">
      <w:pPr>
        <w:pStyle w:val="FootnoteText"/>
      </w:pPr>
      <w:r w:rsidRPr="005E5BEC">
        <w:rPr>
          <w:rStyle w:val="FootnoteReference"/>
          <w:szCs w:val="16"/>
        </w:rPr>
        <w:footnoteRef/>
      </w:r>
      <w:r w:rsidRPr="005E5BEC">
        <w:rPr>
          <w:szCs w:val="16"/>
        </w:rPr>
        <w:tab/>
      </w:r>
      <w:r w:rsidRPr="00270F5F">
        <w:rPr>
          <w:szCs w:val="18"/>
        </w:rPr>
        <w:t xml:space="preserve">See </w:t>
      </w:r>
      <w:r w:rsidR="001C7FC0">
        <w:rPr>
          <w:szCs w:val="18"/>
        </w:rPr>
        <w:t>42 C.F.R.</w:t>
      </w:r>
      <w:r>
        <w:rPr>
          <w:szCs w:val="18"/>
        </w:rPr>
        <w:t xml:space="preserve"> </w:t>
      </w:r>
      <w:r w:rsidRPr="006F3106">
        <w:rPr>
          <w:szCs w:val="18"/>
        </w:rPr>
        <w:t>438.320.</w:t>
      </w:r>
    </w:p>
  </w:footnote>
  <w:footnote w:id="37">
    <w:p w:rsidR="00ED33C3" w:rsidRPr="00096C98" w:rsidP="0090647A" w14:paraId="4DFAC7E6" w14:textId="2351F813">
      <w:pPr>
        <w:pStyle w:val="FootnoteText"/>
        <w:rPr>
          <w:szCs w:val="16"/>
        </w:rPr>
      </w:pPr>
      <w:r w:rsidRPr="00096C98">
        <w:rPr>
          <w:rStyle w:val="FootnoteReference"/>
          <w:szCs w:val="16"/>
        </w:rPr>
        <w:footnoteRef/>
      </w:r>
      <w:r w:rsidRPr="00096C98">
        <w:rPr>
          <w:szCs w:val="16"/>
        </w:rPr>
        <w:tab/>
        <w:t>More information about the Child Core Set is available at</w:t>
      </w:r>
      <w:r w:rsidRPr="000E1F61">
        <w:t xml:space="preserve"> </w:t>
      </w:r>
      <w:hyperlink r:id="rId10" w:tooltip="Children's Health Care Quality Measures" w:history="1">
        <w:r w:rsidRPr="00096C98">
          <w:rPr>
            <w:rStyle w:val="Hyperlink"/>
            <w:szCs w:val="18"/>
          </w:rPr>
          <w:t>https://www.medicaid.gov/medicaid/quality-of-care/performance-measurement/child-core-set/index.html</w:t>
        </w:r>
      </w:hyperlink>
      <w:r w:rsidRPr="000E1F61">
        <w:t>.</w:t>
      </w:r>
      <w:r w:rsidRPr="00096C98">
        <w:rPr>
          <w:szCs w:val="16"/>
        </w:rPr>
        <w:t xml:space="preserve"> More information about the Adult Core Set is available at</w:t>
      </w:r>
      <w:r w:rsidRPr="000E1F61">
        <w:t xml:space="preserve"> </w:t>
      </w:r>
      <w:hyperlink r:id="rId11" w:tooltip="Adult Health Care Quality Measures" w:history="1">
        <w:r w:rsidRPr="00096C98">
          <w:rPr>
            <w:rStyle w:val="Hyperlink"/>
            <w:szCs w:val="18"/>
          </w:rPr>
          <w:t>https://www.medicaid.gov/medicaid/quality-of-care/performance-measurement/adult-core-set/index.html</w:t>
        </w:r>
      </w:hyperlink>
      <w:r w:rsidRPr="000E1F61">
        <w:t>.</w:t>
      </w:r>
      <w:r w:rsidRPr="00096C98">
        <w:rPr>
          <w:szCs w:val="16"/>
        </w:rPr>
        <w:t xml:space="preserve"> More information about the Core Quality Measures Collaborative is available at</w:t>
      </w:r>
      <w:r w:rsidRPr="000E1F61">
        <w:t xml:space="preserve"> </w:t>
      </w:r>
      <w:hyperlink r:id="rId12" w:tooltip="Core Measures" w:history="1">
        <w:r w:rsidRPr="00096C98">
          <w:rPr>
            <w:rStyle w:val="Hyperlink"/>
            <w:szCs w:val="18"/>
          </w:rPr>
          <w:t>https://www.cms.gov/Medicare/Quality-Initiatives-Patient-Assessment-Instruments/QualityMeasures/Core-Measures.html</w:t>
        </w:r>
      </w:hyperlink>
      <w:r w:rsidRPr="000E1F61">
        <w:t>.</w:t>
      </w:r>
      <w:r w:rsidR="00D0414A">
        <w:t xml:space="preserve"> </w:t>
      </w:r>
      <w:r w:rsidRPr="00096C98">
        <w:rPr>
          <w:szCs w:val="16"/>
        </w:rPr>
        <w:t xml:space="preserve">More information about measures for behavioral health clinics is available </w:t>
      </w:r>
      <w:hyperlink r:id="rId13" w:history="1">
        <w:r w:rsidRPr="001B090E">
          <w:rPr>
            <w:rStyle w:val="Hyperlink"/>
            <w:szCs w:val="16"/>
          </w:rPr>
          <w:t>at</w:t>
        </w:r>
        <w:r w:rsidRPr="001B090E">
          <w:rPr>
            <w:rStyle w:val="Hyperlink"/>
          </w:rPr>
          <w:t xml:space="preserve"> </w:t>
        </w:r>
        <w:r w:rsidRPr="001B090E" w:rsidR="001B090E">
          <w:rPr>
            <w:rStyle w:val="Hyperlink"/>
          </w:rPr>
          <w:t>https://www.samhsa.gov/communities/certified-community-behavioral-health-clinics/guidance-and-webinars</w:t>
        </w:r>
      </w:hyperlink>
      <w:r w:rsidR="001B090E">
        <w:rPr>
          <w:szCs w:val="16"/>
        </w:rPr>
        <w:t>.</w:t>
      </w:r>
    </w:p>
  </w:footnote>
  <w:footnote w:id="38">
    <w:p w:rsidR="00ED33C3" w:rsidRPr="001D6651" w:rsidP="0090647A" w14:paraId="28D3AE14" w14:textId="24C68AC8">
      <w:pPr>
        <w:pStyle w:val="FootnoteText"/>
        <w:rPr>
          <w:szCs w:val="17"/>
        </w:rPr>
      </w:pPr>
      <w:r w:rsidRPr="00096C98">
        <w:rPr>
          <w:rStyle w:val="FootnoteReference"/>
          <w:szCs w:val="16"/>
        </w:rPr>
        <w:footnoteRef/>
      </w:r>
      <w:r w:rsidRPr="00096C98">
        <w:rPr>
          <w:szCs w:val="16"/>
        </w:rPr>
        <w:tab/>
        <w:t>More information about HEDIS® is available at</w:t>
      </w:r>
      <w:r w:rsidRPr="000E1F61">
        <w:t xml:space="preserve"> </w:t>
      </w:r>
      <w:hyperlink r:id="rId14" w:tooltip="HEDIS and Performance Measurement" w:history="1">
        <w:r w:rsidRPr="00096C98">
          <w:rPr>
            <w:rStyle w:val="Hyperlink"/>
            <w:szCs w:val="18"/>
          </w:rPr>
          <w:t>http://www.ncqa.org/hedis-quality-measurement</w:t>
        </w:r>
      </w:hyperlink>
      <w:r w:rsidRPr="000E1F61">
        <w:t>.</w:t>
      </w:r>
      <w:r w:rsidRPr="00096C98">
        <w:rPr>
          <w:szCs w:val="16"/>
        </w:rPr>
        <w:t xml:space="preserve"> More information about AHRQ quality measures is available at</w:t>
      </w:r>
      <w:r w:rsidRPr="000E1F61">
        <w:t xml:space="preserve"> </w:t>
      </w:r>
      <w:hyperlink r:id="rId15" w:tooltip="AHRQ Quality Indicators." w:history="1">
        <w:r w:rsidRPr="00096C98">
          <w:rPr>
            <w:rStyle w:val="Hyperlink"/>
            <w:szCs w:val="18"/>
          </w:rPr>
          <w:t>http://www.qualityindicators.ahrq.gov/</w:t>
        </w:r>
      </w:hyperlink>
      <w:r w:rsidRPr="000E1F61">
        <w:t>.</w:t>
      </w:r>
    </w:p>
  </w:footnote>
  <w:footnote w:id="39">
    <w:p w:rsidR="00ED33C3" w:rsidRPr="006F3106" w:rsidP="006B4685" w14:paraId="16E5888A" w14:textId="03A90D45">
      <w:pPr>
        <w:pStyle w:val="FootnoteText"/>
        <w:rPr>
          <w:szCs w:val="16"/>
        </w:rPr>
      </w:pPr>
      <w:r w:rsidRPr="005E5BEC">
        <w:rPr>
          <w:rStyle w:val="FootnoteReference"/>
          <w:szCs w:val="16"/>
        </w:rPr>
        <w:footnoteRef/>
      </w:r>
      <w:r w:rsidRPr="005E5BEC">
        <w:rPr>
          <w:szCs w:val="16"/>
        </w:rPr>
        <w:tab/>
        <w:t>Continuous Quality Improvement (CQI) refers to the</w:t>
      </w:r>
      <w:r w:rsidRPr="00270F5F">
        <w:rPr>
          <w:szCs w:val="16"/>
        </w:rPr>
        <w:t xml:space="preserve"> ongoing study of processes to (1) improve services or outcomes, and (2) prevent or minimize the</w:t>
      </w:r>
      <w:r w:rsidRPr="00FD5108">
        <w:rPr>
          <w:szCs w:val="16"/>
        </w:rPr>
        <w:t xml:space="preserve"> chance of adverse</w:t>
      </w:r>
      <w:r w:rsidRPr="00EB6B4A">
        <w:rPr>
          <w:szCs w:val="16"/>
        </w:rPr>
        <w:t xml:space="preserve"> outcomes. To do so, the organization identifies areas for improvement and tests approaches.</w:t>
      </w:r>
    </w:p>
  </w:footnote>
  <w:footnote w:id="40">
    <w:p w:rsidR="00A076FF" w:rsidRPr="00397EF2" w:rsidP="00A076FF" w14:paraId="1EFA8521" w14:textId="77777777">
      <w:pPr>
        <w:pStyle w:val="FootnoteText"/>
        <w:rPr>
          <w:szCs w:val="18"/>
        </w:rPr>
      </w:pPr>
      <w:r w:rsidRPr="00397EF2">
        <w:rPr>
          <w:rStyle w:val="FootnoteReference"/>
          <w:szCs w:val="18"/>
        </w:rPr>
        <w:footnoteRef/>
      </w:r>
      <w:r w:rsidRPr="00397EF2">
        <w:rPr>
          <w:szCs w:val="18"/>
        </w:rPr>
        <w:t xml:space="preserve"> </w:t>
      </w:r>
      <w:r w:rsidRPr="00397EF2">
        <w:rPr>
          <w:spacing w:val="-4"/>
          <w:szCs w:val="18"/>
        </w:rPr>
        <w:tab/>
        <w:t xml:space="preserve">For the purposes of the </w:t>
      </w:r>
      <w:r>
        <w:rPr>
          <w:spacing w:val="-4"/>
          <w:szCs w:val="18"/>
        </w:rPr>
        <w:t xml:space="preserve">EQR </w:t>
      </w:r>
      <w:r w:rsidRPr="00397EF2">
        <w:rPr>
          <w:spacing w:val="-4"/>
          <w:szCs w:val="18"/>
        </w:rPr>
        <w:t xml:space="preserve">protocols and ease of explanation, we refer to EQROs as the entity conducting the EQR-related activities. </w:t>
      </w:r>
    </w:p>
  </w:footnote>
  <w:footnote w:id="41">
    <w:p w:rsidR="00A076FF" w:rsidRPr="00FC2E14" w:rsidP="00A076FF" w14:paraId="0BD1F39F" w14:textId="765F2C8F">
      <w:pPr>
        <w:pStyle w:val="FootnoteText"/>
        <w:rPr>
          <w:szCs w:val="17"/>
        </w:rPr>
      </w:pPr>
      <w:r w:rsidRPr="00397EF2">
        <w:rPr>
          <w:rStyle w:val="FootnoteReference"/>
          <w:szCs w:val="16"/>
        </w:rPr>
        <w:footnoteRef/>
      </w:r>
      <w:r w:rsidRPr="00397EF2">
        <w:rPr>
          <w:szCs w:val="16"/>
        </w:rPr>
        <w:tab/>
        <w:t xml:space="preserve">CHIP regulations at </w:t>
      </w:r>
      <w:r w:rsidR="001C7FC0">
        <w:rPr>
          <w:szCs w:val="16"/>
        </w:rPr>
        <w:t>42 C.F.R.</w:t>
      </w:r>
      <w:r w:rsidRPr="00397EF2">
        <w:rPr>
          <w:szCs w:val="16"/>
        </w:rPr>
        <w:t xml:space="preserve"> 457.1250 cross-reference to </w:t>
      </w:r>
      <w:r w:rsidR="001C7FC0">
        <w:rPr>
          <w:szCs w:val="16"/>
        </w:rPr>
        <w:t>42 C.F.R.</w:t>
      </w:r>
      <w:r>
        <w:rPr>
          <w:szCs w:val="16"/>
        </w:rPr>
        <w:t xml:space="preserve"> </w:t>
      </w:r>
      <w:r w:rsidRPr="00397EF2">
        <w:rPr>
          <w:szCs w:val="16"/>
        </w:rPr>
        <w:t xml:space="preserve">438.364(a)(2)(iii). </w:t>
      </w:r>
    </w:p>
  </w:footnote>
  <w:footnote w:id="42">
    <w:p w:rsidR="00ED33C3" w:rsidP="0064101C" w14:paraId="3D9FB2EB" w14:textId="45E07795">
      <w:pPr>
        <w:pStyle w:val="FootnoteText"/>
      </w:pPr>
      <w:r>
        <w:rPr>
          <w:rStyle w:val="FootnoteReference"/>
        </w:rPr>
        <w:footnoteRef/>
      </w:r>
      <w:r>
        <w:tab/>
      </w:r>
      <w:r w:rsidRPr="00D85531">
        <w:t xml:space="preserve">Institute for </w:t>
      </w:r>
      <w:r w:rsidRPr="00865483">
        <w:t xml:space="preserve">Healthcare Improvement: Science of Improvement, Testing Changes. Available at </w:t>
      </w:r>
      <w:hyperlink r:id="rId16" w:history="1">
        <w:r w:rsidRPr="00865483" w:rsidR="00646AB4">
          <w:rPr>
            <w:rStyle w:val="Hyperlink"/>
            <w:sz w:val="17"/>
          </w:rPr>
          <w:t>https://www.ihi.org/how-improve-model-improvement-testing-changes</w:t>
        </w:r>
      </w:hyperlink>
      <w:r w:rsidRPr="00865483">
        <w:t>.</w:t>
      </w:r>
      <w:r>
        <w:t xml:space="preserve"> </w:t>
      </w:r>
    </w:p>
  </w:footnote>
  <w:footnote w:id="43">
    <w:p w:rsidR="00ED33C3" w:rsidP="00486AEC" w14:paraId="329FA495" w14:textId="316DD103">
      <w:pPr>
        <w:pStyle w:val="FootnoteText"/>
      </w:pPr>
      <w:r>
        <w:rPr>
          <w:rStyle w:val="FootnoteReference"/>
        </w:rPr>
        <w:footnoteRef/>
      </w:r>
      <w:r>
        <w:tab/>
        <w:t xml:space="preserve">More information on culturally and linguistically appropriate services </w:t>
      </w:r>
      <w:r w:rsidR="00642D15">
        <w:t>is available</w:t>
      </w:r>
      <w:r>
        <w:t xml:space="preserve"> at</w:t>
      </w:r>
      <w:r w:rsidRPr="000E1F61">
        <w:t xml:space="preserve"> </w:t>
      </w:r>
      <w:hyperlink r:id="rId17" w:history="1">
        <w:r w:rsidRPr="00F96E5F" w:rsidR="00D337ED">
          <w:rPr>
            <w:rStyle w:val="Hyperlink"/>
            <w:sz w:val="17"/>
            <w:szCs w:val="17"/>
            <w:highlight w:val="cyan"/>
          </w:rPr>
          <w:t>http://minorityhealth.hhs.gov/templates/browse.aspx?lvl=2&amp;lvlID=15</w:t>
        </w:r>
      </w:hyperlink>
      <w:r w:rsidRPr="00F96E5F">
        <w:t xml:space="preserve">. </w:t>
      </w:r>
    </w:p>
  </w:footnote>
  <w:footnote w:id="44">
    <w:p w:rsidR="00ED33C3" w:rsidRPr="00865483" w:rsidP="008374D4" w14:paraId="2DF9370E" w14:textId="3769DEB4">
      <w:pPr>
        <w:pStyle w:val="FootnoteText"/>
        <w:rPr>
          <w:szCs w:val="18"/>
        </w:rPr>
      </w:pPr>
      <w:r w:rsidRPr="005E5BEC">
        <w:rPr>
          <w:rStyle w:val="FootnoteReference"/>
          <w:szCs w:val="18"/>
        </w:rPr>
        <w:footnoteRef/>
      </w:r>
      <w:r w:rsidRPr="005E5BEC">
        <w:rPr>
          <w:szCs w:val="18"/>
        </w:rPr>
        <w:tab/>
        <w:t>More information about QAPI and performance measure validation</w:t>
      </w:r>
      <w:r w:rsidRPr="00270F5F">
        <w:rPr>
          <w:szCs w:val="18"/>
        </w:rPr>
        <w:t xml:space="preserve"> is available at 42 </w:t>
      </w:r>
      <w:r w:rsidRPr="00491BD3">
        <w:rPr>
          <w:szCs w:val="18"/>
        </w:rPr>
        <w:t>C</w:t>
      </w:r>
      <w:r w:rsidR="00B02431">
        <w:rPr>
          <w:szCs w:val="18"/>
        </w:rPr>
        <w:t>.</w:t>
      </w:r>
      <w:r w:rsidRPr="00491BD3">
        <w:rPr>
          <w:szCs w:val="18"/>
        </w:rPr>
        <w:t>F</w:t>
      </w:r>
      <w:r w:rsidR="00B02431">
        <w:rPr>
          <w:szCs w:val="18"/>
        </w:rPr>
        <w:t>.</w:t>
      </w:r>
      <w:r w:rsidRPr="00491BD3">
        <w:rPr>
          <w:szCs w:val="18"/>
        </w:rPr>
        <w:t>R</w:t>
      </w:r>
      <w:r w:rsidR="00B02431">
        <w:rPr>
          <w:szCs w:val="18"/>
        </w:rPr>
        <w:t>.</w:t>
      </w:r>
      <w:r>
        <w:rPr>
          <w:szCs w:val="18"/>
        </w:rPr>
        <w:t xml:space="preserve"> </w:t>
      </w:r>
      <w:r w:rsidRPr="00865483">
        <w:rPr>
          <w:szCs w:val="18"/>
        </w:rPr>
        <w:t>438.330(b)(2) and (c), cross referenced by CHIP at 457.1240(b).</w:t>
      </w:r>
    </w:p>
  </w:footnote>
  <w:footnote w:id="45">
    <w:p w:rsidR="00ED33C3" w:rsidRPr="00270F5F" w:rsidP="008374D4" w14:paraId="4CC1F1AC" w14:textId="597E796E">
      <w:pPr>
        <w:pStyle w:val="FootnoteText"/>
        <w:rPr>
          <w:szCs w:val="18"/>
        </w:rPr>
      </w:pPr>
      <w:r w:rsidRPr="00865483">
        <w:rPr>
          <w:rStyle w:val="FootnoteReference"/>
          <w:szCs w:val="18"/>
        </w:rPr>
        <w:footnoteRef/>
      </w:r>
      <w:r w:rsidRPr="00865483">
        <w:rPr>
          <w:szCs w:val="18"/>
        </w:rPr>
        <w:tab/>
        <w:t>More information about the Child Core Set is available at</w:t>
      </w:r>
      <w:r w:rsidRPr="00865483">
        <w:t xml:space="preserve"> </w:t>
      </w:r>
      <w:hyperlink r:id="rId10" w:tooltip="Children's Health Care Quality Measures" w:history="1">
        <w:r w:rsidRPr="00865483">
          <w:rPr>
            <w:rStyle w:val="Hyperlink"/>
            <w:szCs w:val="18"/>
          </w:rPr>
          <w:t>https://www.medicaid.gov/medicaid/quality-of-care/performance-measurement/child-core-set/index.html</w:t>
        </w:r>
      </w:hyperlink>
      <w:r w:rsidRPr="00865483">
        <w:t>.</w:t>
      </w:r>
      <w:r w:rsidRPr="00865483">
        <w:rPr>
          <w:szCs w:val="18"/>
        </w:rPr>
        <w:t xml:space="preserve"> More information about the Adult Core Set is available at</w:t>
      </w:r>
      <w:r w:rsidRPr="00865483">
        <w:t xml:space="preserve"> </w:t>
      </w:r>
      <w:hyperlink r:id="rId11" w:tooltip="Adult Health Care Quality Measures" w:history="1">
        <w:r w:rsidRPr="00865483">
          <w:rPr>
            <w:rStyle w:val="Hyperlink"/>
            <w:szCs w:val="18"/>
          </w:rPr>
          <w:t>https://www.medicaid.gov/medicaid/quality-of-care/performance-measurement/adult-core-set/index.html</w:t>
        </w:r>
      </w:hyperlink>
      <w:r w:rsidRPr="00865483">
        <w:t>.</w:t>
      </w:r>
    </w:p>
  </w:footnote>
  <w:footnote w:id="46">
    <w:p w:rsidR="00ED33C3" w:rsidRPr="008374D4" w:rsidP="008374D4" w14:paraId="53D19034" w14:textId="7FABB5CB">
      <w:pPr>
        <w:pStyle w:val="FootnoteText"/>
      </w:pPr>
      <w:r w:rsidRPr="005E5BEC">
        <w:rPr>
          <w:rStyle w:val="FootnoteReference"/>
          <w:szCs w:val="18"/>
        </w:rPr>
        <w:footnoteRef/>
      </w:r>
      <w:r w:rsidRPr="005E5BEC">
        <w:rPr>
          <w:szCs w:val="18"/>
        </w:rPr>
        <w:tab/>
        <w:t>More information a</w:t>
      </w:r>
      <w:r w:rsidRPr="00270F5F">
        <w:rPr>
          <w:szCs w:val="18"/>
        </w:rPr>
        <w:t xml:space="preserve">bout QAPI and performance measures is available at 42 </w:t>
      </w:r>
      <w:r w:rsidRPr="00491BD3">
        <w:rPr>
          <w:szCs w:val="18"/>
        </w:rPr>
        <w:t>C</w:t>
      </w:r>
      <w:r w:rsidR="00B02431">
        <w:rPr>
          <w:szCs w:val="18"/>
        </w:rPr>
        <w:t>.</w:t>
      </w:r>
      <w:r w:rsidRPr="00491BD3">
        <w:rPr>
          <w:szCs w:val="18"/>
        </w:rPr>
        <w:t>F</w:t>
      </w:r>
      <w:r w:rsidR="00B02431">
        <w:rPr>
          <w:szCs w:val="18"/>
        </w:rPr>
        <w:t>.</w:t>
      </w:r>
      <w:r w:rsidRPr="00491BD3">
        <w:rPr>
          <w:szCs w:val="18"/>
        </w:rPr>
        <w:t>R</w:t>
      </w:r>
      <w:r w:rsidR="00B02431">
        <w:rPr>
          <w:szCs w:val="18"/>
        </w:rPr>
        <w:t>.</w:t>
      </w:r>
      <w:r>
        <w:rPr>
          <w:szCs w:val="18"/>
        </w:rPr>
        <w:t xml:space="preserve"> </w:t>
      </w:r>
      <w:r w:rsidRPr="00491BD3">
        <w:rPr>
          <w:szCs w:val="18"/>
        </w:rPr>
        <w:t>438.330(b)(2). This is cross-referenced by CHIP at 42 C</w:t>
      </w:r>
      <w:r w:rsidR="00B02431">
        <w:rPr>
          <w:szCs w:val="18"/>
        </w:rPr>
        <w:t>.</w:t>
      </w:r>
      <w:r w:rsidRPr="00491BD3">
        <w:rPr>
          <w:szCs w:val="18"/>
        </w:rPr>
        <w:t>F</w:t>
      </w:r>
      <w:r w:rsidR="00B02431">
        <w:rPr>
          <w:szCs w:val="18"/>
        </w:rPr>
        <w:t>.</w:t>
      </w:r>
      <w:r w:rsidRPr="00491BD3">
        <w:rPr>
          <w:szCs w:val="18"/>
        </w:rPr>
        <w:t>R</w:t>
      </w:r>
      <w:r w:rsidR="00B02431">
        <w:rPr>
          <w:szCs w:val="18"/>
        </w:rPr>
        <w:t>.</w:t>
      </w:r>
      <w:r w:rsidRPr="00491BD3">
        <w:rPr>
          <w:szCs w:val="18"/>
        </w:rPr>
        <w:t xml:space="preserve"> 457.1240(b).</w:t>
      </w:r>
    </w:p>
  </w:footnote>
  <w:footnote w:id="47">
    <w:p w:rsidR="005745A3" w:rsidRPr="002D3B1E" w:rsidP="005745A3" w14:paraId="10FFBD0C" w14:textId="77777777">
      <w:pPr>
        <w:pStyle w:val="FootnoteText"/>
        <w:rPr>
          <w:szCs w:val="16"/>
        </w:rPr>
      </w:pPr>
      <w:r w:rsidRPr="002D3B1E">
        <w:rPr>
          <w:rStyle w:val="FootnoteReference"/>
          <w:szCs w:val="16"/>
        </w:rPr>
        <w:footnoteRef/>
      </w:r>
      <w:r w:rsidRPr="002D3B1E">
        <w:rPr>
          <w:szCs w:val="16"/>
        </w:rPr>
        <w:tab/>
        <w:t>While the protocol is written as if the MCP is calculating performance measures, the MCP may contract with another entity to calculate and report on its behalf. Alternatively, 42 C</w:t>
      </w:r>
      <w:r>
        <w:rPr>
          <w:szCs w:val="16"/>
        </w:rPr>
        <w:t>.</w:t>
      </w:r>
      <w:r w:rsidRPr="002D3B1E">
        <w:rPr>
          <w:szCs w:val="16"/>
        </w:rPr>
        <w:t>F</w:t>
      </w:r>
      <w:r>
        <w:rPr>
          <w:szCs w:val="16"/>
        </w:rPr>
        <w:t>.</w:t>
      </w:r>
      <w:r w:rsidRPr="002D3B1E">
        <w:rPr>
          <w:szCs w:val="16"/>
        </w:rPr>
        <w:t>R</w:t>
      </w:r>
      <w:r>
        <w:rPr>
          <w:szCs w:val="16"/>
        </w:rPr>
        <w:t xml:space="preserve">. </w:t>
      </w:r>
      <w:r w:rsidRPr="002D3B1E">
        <w:rPr>
          <w:szCs w:val="16"/>
        </w:rPr>
        <w:t>438.330(c)(ii</w:t>
      </w:r>
      <w:r>
        <w:rPr>
          <w:szCs w:val="16"/>
        </w:rPr>
        <w:t xml:space="preserve">) </w:t>
      </w:r>
      <w:r w:rsidRPr="007034B0">
        <w:rPr>
          <w:szCs w:val="16"/>
        </w:rPr>
        <w:t>allows the state to require the MCP to submit data to the state, which the state then uses to calculate the performance measure</w:t>
      </w:r>
      <w:r>
        <w:rPr>
          <w:szCs w:val="16"/>
        </w:rPr>
        <w:t>. CHIP regulations cross-reference to these regulations at</w:t>
      </w:r>
      <w:r w:rsidRPr="002D3B1E">
        <w:rPr>
          <w:szCs w:val="16"/>
        </w:rPr>
        <w:t xml:space="preserve"> 457.1240(b). This protocol applies in either circumstance.</w:t>
      </w:r>
    </w:p>
  </w:footnote>
  <w:footnote w:id="48">
    <w:p w:rsidR="00ED33C3" w:rsidRPr="00363ED3" w:rsidP="00730B84" w14:paraId="10D94EBF" w14:textId="6C2B4149">
      <w:pPr>
        <w:pStyle w:val="FootnoteText"/>
        <w:ind w:right="-90"/>
        <w:rPr>
          <w:szCs w:val="16"/>
        </w:rPr>
      </w:pPr>
      <w:r w:rsidRPr="002D3B1E">
        <w:rPr>
          <w:szCs w:val="16"/>
          <w:vertAlign w:val="superscript"/>
        </w:rPr>
        <w:footnoteRef/>
      </w:r>
      <w:r w:rsidRPr="002D3B1E">
        <w:rPr>
          <w:szCs w:val="16"/>
        </w:rPr>
        <w:tab/>
      </w:r>
      <w:r w:rsidRPr="002D3B1E">
        <w:rPr>
          <w:spacing w:val="-4"/>
          <w:szCs w:val="16"/>
        </w:rPr>
        <w:t>If the state elects to use nonduplication for this mandatory EQR-related activity (</w:t>
      </w:r>
      <w:r w:rsidR="001C7FC0">
        <w:rPr>
          <w:spacing w:val="-4"/>
          <w:szCs w:val="16"/>
        </w:rPr>
        <w:t>42 C.F.R.</w:t>
      </w:r>
      <w:r>
        <w:rPr>
          <w:spacing w:val="-4"/>
          <w:szCs w:val="16"/>
        </w:rPr>
        <w:t xml:space="preserve"> </w:t>
      </w:r>
      <w:r w:rsidRPr="002D3B1E">
        <w:rPr>
          <w:spacing w:val="-4"/>
          <w:szCs w:val="16"/>
        </w:rPr>
        <w:t xml:space="preserve">438.360 (Nonduplication of mandatory activities with Medicare or accreditation review), then the state must ensure that all information from the Medicare or private </w:t>
      </w:r>
      <w:r w:rsidRPr="00363ED3">
        <w:rPr>
          <w:spacing w:val="-4"/>
          <w:szCs w:val="16"/>
        </w:rPr>
        <w:t xml:space="preserve">accreditation review is provided to the EQRO for analysis and inclusion in the annual EQR technical report. (See </w:t>
      </w:r>
      <w:r w:rsidRPr="00363ED3" w:rsidR="001C7FC0">
        <w:rPr>
          <w:spacing w:val="-4"/>
          <w:szCs w:val="16"/>
        </w:rPr>
        <w:t>42 C.F.R.</w:t>
      </w:r>
      <w:r w:rsidRPr="00363ED3">
        <w:rPr>
          <w:spacing w:val="-4"/>
          <w:szCs w:val="16"/>
        </w:rPr>
        <w:t xml:space="preserve"> 438.360(a)(1)</w:t>
      </w:r>
      <w:r w:rsidRPr="00363ED3">
        <w:rPr>
          <w:spacing w:val="-4"/>
          <w:szCs w:val="16"/>
        </w:rPr>
        <w:t>–(</w:t>
      </w:r>
      <w:r w:rsidRPr="00363ED3">
        <w:rPr>
          <w:spacing w:val="-4"/>
          <w:szCs w:val="16"/>
        </w:rPr>
        <w:t xml:space="preserve">3) for additional details regarding the circumstance under which nonduplication is an option). Use of nonduplication must be identified in the state’s quality strategy (see </w:t>
      </w:r>
      <w:r w:rsidRPr="00363ED3" w:rsidR="001C7FC0">
        <w:rPr>
          <w:spacing w:val="-4"/>
          <w:szCs w:val="16"/>
        </w:rPr>
        <w:t>42 C.F.R.</w:t>
      </w:r>
      <w:r w:rsidRPr="00363ED3">
        <w:rPr>
          <w:spacing w:val="-4"/>
          <w:szCs w:val="16"/>
        </w:rPr>
        <w:t xml:space="preserve"> 438.360(c) and 438.340(b)(10)). CHIP cross-references to this requirement at </w:t>
      </w:r>
      <w:r w:rsidRPr="00363ED3" w:rsidR="001C7FC0">
        <w:rPr>
          <w:spacing w:val="-4"/>
          <w:szCs w:val="16"/>
        </w:rPr>
        <w:t>42 C.F.R.</w:t>
      </w:r>
      <w:r w:rsidRPr="00363ED3">
        <w:rPr>
          <w:spacing w:val="-4"/>
          <w:szCs w:val="16"/>
        </w:rPr>
        <w:t xml:space="preserve"> </w:t>
      </w:r>
      <w:r w:rsidRPr="00363ED3">
        <w:rPr>
          <w:spacing w:val="-4"/>
          <w:szCs w:val="16"/>
        </w:rPr>
        <w:t>457.1250, but</w:t>
      </w:r>
      <w:r w:rsidRPr="00363ED3">
        <w:rPr>
          <w:spacing w:val="-4"/>
          <w:szCs w:val="16"/>
        </w:rPr>
        <w:t xml:space="preserve"> does not allow for the use of Medicare review activities for nonduplication.</w:t>
      </w:r>
    </w:p>
  </w:footnote>
  <w:footnote w:id="49">
    <w:p w:rsidR="00ED33C3" w:rsidRPr="00363ED3" w:rsidP="004A6471" w14:paraId="574B8D7C" w14:textId="7BC10C32">
      <w:pPr>
        <w:pStyle w:val="FootnoteText"/>
      </w:pPr>
      <w:r w:rsidRPr="00363ED3">
        <w:rPr>
          <w:rStyle w:val="FootnoteReference"/>
          <w:szCs w:val="16"/>
        </w:rPr>
        <w:footnoteRef/>
      </w:r>
      <w:r w:rsidRPr="00363ED3">
        <w:rPr>
          <w:szCs w:val="16"/>
        </w:rPr>
        <w:tab/>
        <w:t xml:space="preserve">A state may not utilize nonduplication if Medicare has accepted </w:t>
      </w:r>
      <w:r w:rsidRPr="00363ED3" w:rsidR="00D03AA9">
        <w:rPr>
          <w:szCs w:val="16"/>
        </w:rPr>
        <w:t>only an</w:t>
      </w:r>
      <w:r w:rsidRPr="00363ED3">
        <w:rPr>
          <w:szCs w:val="16"/>
        </w:rPr>
        <w:t xml:space="preserve"> attestation of a plan’s</w:t>
      </w:r>
      <w:r w:rsidRPr="00363ED3" w:rsidR="002B0535">
        <w:rPr>
          <w:szCs w:val="16"/>
        </w:rPr>
        <w:t xml:space="preserve"> </w:t>
      </w:r>
      <w:r w:rsidRPr="00AE4319" w:rsidR="002B0535">
        <w:rPr>
          <w:szCs w:val="16"/>
        </w:rPr>
        <w:t>quality improvement</w:t>
      </w:r>
      <w:r w:rsidRPr="00363ED3" w:rsidR="002B0535">
        <w:rPr>
          <w:szCs w:val="16"/>
        </w:rPr>
        <w:t xml:space="preserve"> </w:t>
      </w:r>
      <w:r w:rsidRPr="00AE4319" w:rsidR="002B0535">
        <w:rPr>
          <w:szCs w:val="16"/>
        </w:rPr>
        <w:t>pro</w:t>
      </w:r>
      <w:r w:rsidRPr="00AE4319" w:rsidR="001E07DC">
        <w:rPr>
          <w:szCs w:val="16"/>
        </w:rPr>
        <w:t>gram</w:t>
      </w:r>
      <w:r w:rsidRPr="00363ED3">
        <w:rPr>
          <w:szCs w:val="16"/>
        </w:rPr>
        <w:t xml:space="preserve"> </w:t>
      </w:r>
      <w:r w:rsidRPr="00AE4319" w:rsidR="002B0535">
        <w:rPr>
          <w:szCs w:val="16"/>
        </w:rPr>
        <w:t>(</w:t>
      </w:r>
      <w:r w:rsidRPr="00363ED3">
        <w:rPr>
          <w:szCs w:val="16"/>
        </w:rPr>
        <w:t>QIP</w:t>
      </w:r>
      <w:r w:rsidRPr="00AE4319" w:rsidR="002B0535">
        <w:rPr>
          <w:szCs w:val="16"/>
        </w:rPr>
        <w:t>)</w:t>
      </w:r>
      <w:r w:rsidRPr="00363ED3">
        <w:rPr>
          <w:szCs w:val="16"/>
        </w:rPr>
        <w:t xml:space="preserve">. In the context of this EQR-related activity, the QIP would have to undergo validation as part of a Medicare review </w:t>
      </w:r>
      <w:r w:rsidR="0050797C">
        <w:rPr>
          <w:szCs w:val="16"/>
        </w:rPr>
        <w:t>for</w:t>
      </w:r>
      <w:r w:rsidRPr="00363ED3">
        <w:rPr>
          <w:szCs w:val="16"/>
        </w:rPr>
        <w:t xml:space="preserve"> nonduplication to be an option. See </w:t>
      </w:r>
      <w:r w:rsidRPr="00363ED3" w:rsidR="001C7FC0">
        <w:rPr>
          <w:szCs w:val="16"/>
        </w:rPr>
        <w:t>42 C.F.R.</w:t>
      </w:r>
      <w:r w:rsidRPr="00363ED3">
        <w:rPr>
          <w:szCs w:val="16"/>
        </w:rPr>
        <w:t xml:space="preserve"> 438.360(a)(2).</w:t>
      </w:r>
    </w:p>
  </w:footnote>
  <w:footnote w:id="50">
    <w:p w:rsidR="005745A3" w:rsidP="005745A3" w14:paraId="37133C7E" w14:textId="4E3645F3">
      <w:pPr>
        <w:pStyle w:val="FootnoteText"/>
      </w:pPr>
      <w:r w:rsidRPr="00B63282">
        <w:rPr>
          <w:rStyle w:val="FootnoteReference"/>
        </w:rPr>
        <w:footnoteRef/>
      </w:r>
      <w:r w:rsidRPr="00B63282">
        <w:t xml:space="preserve"> </w:t>
      </w:r>
      <w:r w:rsidRPr="00B63282" w:rsidR="00B63282">
        <w:rPr>
          <w:bCs/>
          <w:szCs w:val="16"/>
        </w:rPr>
        <w:t xml:space="preserve">The “12 months preceding” refers to the timeframe during which the EQRO conducts the EQR activity prior to posting the annual EQR technical report. This period is distinct from the 12-month data period subject to review, which reflects the most recently concluded contract or calendar year being evaluated. See </w:t>
      </w:r>
      <w:hyperlink w:anchor="Box6" w:history="1">
        <w:r w:rsidRPr="00B63282" w:rsidR="00B63282">
          <w:rPr>
            <w:rStyle w:val="Hyperlink"/>
            <w:bCs/>
            <w:szCs w:val="16"/>
          </w:rPr>
          <w:t>Box 6</w:t>
        </w:r>
      </w:hyperlink>
      <w:r w:rsidRPr="00B63282" w:rsidR="00B63282">
        <w:rPr>
          <w:bCs/>
          <w:szCs w:val="16"/>
        </w:rPr>
        <w:t xml:space="preserve"> in the Introduction for additional information.</w:t>
      </w:r>
    </w:p>
  </w:footnote>
  <w:footnote w:id="51">
    <w:p w:rsidR="00ED33C3" w14:paraId="7EDFAD8C" w14:textId="60A34945">
      <w:pPr>
        <w:pStyle w:val="FootnoteText"/>
      </w:pPr>
      <w:r w:rsidRPr="00865483">
        <w:rPr>
          <w:rStyle w:val="FootnoteReference"/>
        </w:rPr>
        <w:footnoteRef/>
      </w:r>
      <w:r w:rsidRPr="00865483">
        <w:t xml:space="preserve"> </w:t>
      </w:r>
      <w:r w:rsidRPr="00865483" w:rsidR="0050797C">
        <w:t>If</w:t>
      </w:r>
      <w:r w:rsidRPr="00865483">
        <w:t xml:space="preserve"> onsite activities are not feasible, site visits may be conducted virtually.</w:t>
      </w:r>
    </w:p>
  </w:footnote>
  <w:footnote w:id="52">
    <w:p w:rsidR="00ED33C3" w:rsidRPr="00171E7B" w:rsidP="00171E7B" w14:paraId="10772D17" w14:textId="04BA24AD">
      <w:pPr>
        <w:pStyle w:val="FootnoteText"/>
        <w:rPr>
          <w:szCs w:val="17"/>
        </w:rPr>
      </w:pPr>
      <w:r w:rsidRPr="005E5BEC">
        <w:rPr>
          <w:rStyle w:val="FootnoteReference"/>
          <w:szCs w:val="16"/>
        </w:rPr>
        <w:footnoteRef/>
      </w:r>
      <w:r w:rsidRPr="005E5BEC">
        <w:rPr>
          <w:szCs w:val="16"/>
        </w:rPr>
        <w:tab/>
      </w:r>
      <w:r w:rsidRPr="00270F5F">
        <w:rPr>
          <w:szCs w:val="16"/>
        </w:rPr>
        <w:t>There is no statutory or regulatory requirement for the frequency with which ISCAs should be conducted. Each state must determine t</w:t>
      </w:r>
      <w:r w:rsidRPr="00FD5108">
        <w:rPr>
          <w:szCs w:val="16"/>
        </w:rPr>
        <w:t>he maximum interval between assessments of MCP information systems, balancing the cost to the stat</w:t>
      </w:r>
      <w:r w:rsidRPr="00EB6B4A">
        <w:rPr>
          <w:szCs w:val="16"/>
        </w:rPr>
        <w:t xml:space="preserve">e and burden on the MCP with the need to ensure that changes to the MCP’s information systems are assessed frequently enough to support accurate performance measurement. </w:t>
      </w:r>
    </w:p>
  </w:footnote>
  <w:footnote w:id="53">
    <w:p w:rsidR="00ED33C3" w:rsidRPr="00865483" w14:paraId="49C6519C" w14:textId="3CA91B3C">
      <w:pPr>
        <w:pStyle w:val="FootnoteText"/>
        <w:rPr>
          <w:szCs w:val="18"/>
        </w:rPr>
      </w:pPr>
      <w:r w:rsidRPr="005E5BEC">
        <w:rPr>
          <w:rStyle w:val="FootnoteReference"/>
          <w:szCs w:val="18"/>
        </w:rPr>
        <w:footnoteRef/>
      </w:r>
      <w:r w:rsidRPr="005E5BEC">
        <w:rPr>
          <w:szCs w:val="18"/>
        </w:rPr>
        <w:tab/>
      </w:r>
      <w:r w:rsidRPr="00270F5F">
        <w:rPr>
          <w:szCs w:val="18"/>
        </w:rPr>
        <w:t xml:space="preserve">More information about NCPDP codes is </w:t>
      </w:r>
      <w:r w:rsidRPr="00865483">
        <w:rPr>
          <w:szCs w:val="18"/>
        </w:rPr>
        <w:t>available at</w:t>
      </w:r>
      <w:r w:rsidRPr="00865483">
        <w:t xml:space="preserve"> </w:t>
      </w:r>
      <w:hyperlink r:id="rId18" w:tooltip="NCPDP website." w:history="1">
        <w:r w:rsidRPr="00865483">
          <w:rPr>
            <w:rStyle w:val="Hyperlink"/>
            <w:szCs w:val="18"/>
          </w:rPr>
          <w:t>https://www.ncpdp.org/</w:t>
        </w:r>
      </w:hyperlink>
      <w:r w:rsidRPr="00865483">
        <w:t>.</w:t>
      </w:r>
      <w:r w:rsidRPr="00865483">
        <w:rPr>
          <w:szCs w:val="18"/>
        </w:rPr>
        <w:t xml:space="preserve"> </w:t>
      </w:r>
    </w:p>
  </w:footnote>
  <w:footnote w:id="54">
    <w:p w:rsidR="00ED33C3" w:rsidRPr="00CB7026" w:rsidP="00CB7026" w14:paraId="470974B7" w14:textId="0A4B3402">
      <w:pPr>
        <w:pStyle w:val="FootnoteText"/>
        <w:rPr>
          <w:szCs w:val="17"/>
        </w:rPr>
      </w:pPr>
      <w:r w:rsidRPr="00865483">
        <w:rPr>
          <w:rStyle w:val="FootnoteReference"/>
          <w:szCs w:val="18"/>
        </w:rPr>
        <w:footnoteRef/>
      </w:r>
      <w:r w:rsidRPr="00865483">
        <w:rPr>
          <w:szCs w:val="18"/>
        </w:rPr>
        <w:tab/>
        <w:t>More information about LOINC codes is available at</w:t>
      </w:r>
      <w:r w:rsidRPr="00865483">
        <w:t xml:space="preserve"> </w:t>
      </w:r>
      <w:hyperlink r:id="rId19" w:tooltip="LOINC website." w:history="1">
        <w:r w:rsidRPr="00865483">
          <w:rPr>
            <w:rStyle w:val="Hyperlink"/>
            <w:szCs w:val="18"/>
          </w:rPr>
          <w:t>https://loinc.org/</w:t>
        </w:r>
      </w:hyperlink>
      <w:r w:rsidRPr="00865483">
        <w:t>.</w:t>
      </w:r>
      <w:r w:rsidRPr="00A5152C">
        <w:t xml:space="preserve"> </w:t>
      </w:r>
    </w:p>
  </w:footnote>
  <w:footnote w:id="55">
    <w:p w:rsidR="00ED33C3" w:rsidRPr="00D0212B" w:rsidP="00BB7A0D" w14:paraId="4BFDDA2B" w14:textId="7047416E">
      <w:pPr>
        <w:pStyle w:val="FootnoteText"/>
        <w:rPr>
          <w:szCs w:val="17"/>
        </w:rPr>
      </w:pPr>
      <w:r w:rsidRPr="005E5BEC">
        <w:rPr>
          <w:rStyle w:val="FootnoteReference"/>
          <w:szCs w:val="16"/>
        </w:rPr>
        <w:footnoteRef/>
      </w:r>
      <w:r w:rsidRPr="005E5BEC">
        <w:rPr>
          <w:szCs w:val="16"/>
        </w:rPr>
        <w:tab/>
      </w:r>
      <w:r w:rsidRPr="00270F5F">
        <w:rPr>
          <w:szCs w:val="16"/>
        </w:rPr>
        <w:t xml:space="preserve">ETL is when these three database functions (extract, transform, and load) are combined into one tool to pull data out of one database and place it into another database. </w:t>
      </w:r>
    </w:p>
  </w:footnote>
  <w:footnote w:id="56">
    <w:p w:rsidR="00ED33C3" w:rsidRPr="00E54EBF" w:rsidP="0091084E" w14:paraId="4EC7963F" w14:textId="77777777">
      <w:pPr>
        <w:pStyle w:val="FootnoteText"/>
        <w:rPr>
          <w:rStyle w:val="FootnoteTextChar"/>
          <w:szCs w:val="17"/>
        </w:rPr>
      </w:pPr>
      <w:r w:rsidRPr="00E54EBF">
        <w:rPr>
          <w:rStyle w:val="FootnoteReference"/>
          <w:sz w:val="17"/>
          <w:szCs w:val="17"/>
        </w:rPr>
        <w:footnoteRef/>
      </w:r>
      <w:r w:rsidRPr="00E54EBF">
        <w:rPr>
          <w:rStyle w:val="FootnoteTextChar"/>
          <w:szCs w:val="17"/>
        </w:rPr>
        <w:t xml:space="preserve"> CPT only copyright 2016 American Medical Association. All rights reserved.</w:t>
      </w:r>
    </w:p>
  </w:footnote>
  <w:footnote w:id="57">
    <w:p w:rsidR="00F54D41" w:rsidRPr="00491BD3" w:rsidP="00F54D41" w14:paraId="4833C4AF" w14:textId="222F0571">
      <w:pPr>
        <w:pStyle w:val="FootnoteText"/>
        <w:rPr>
          <w:szCs w:val="18"/>
        </w:rPr>
      </w:pPr>
      <w:r w:rsidRPr="005E5BEC">
        <w:rPr>
          <w:szCs w:val="18"/>
          <w:vertAlign w:val="superscript"/>
        </w:rPr>
        <w:footnoteRef/>
      </w:r>
      <w:r w:rsidRPr="005E5BEC">
        <w:rPr>
          <w:szCs w:val="18"/>
        </w:rPr>
        <w:tab/>
        <w:t>If th</w:t>
      </w:r>
      <w:r w:rsidRPr="00270F5F">
        <w:rPr>
          <w:szCs w:val="18"/>
        </w:rPr>
        <w:t>e state elects to use nonduplication for this mandatory EQR-related activity (</w:t>
      </w:r>
      <w:r w:rsidR="001C7FC0">
        <w:rPr>
          <w:szCs w:val="18"/>
        </w:rPr>
        <w:t>42 C.F.R.</w:t>
      </w:r>
      <w:r>
        <w:rPr>
          <w:szCs w:val="18"/>
        </w:rPr>
        <w:t xml:space="preserve"> </w:t>
      </w:r>
      <w:r w:rsidRPr="00491BD3">
        <w:rPr>
          <w:szCs w:val="18"/>
        </w:rPr>
        <w:t xml:space="preserve">438.360, Nonduplication of mandatory activities with Medicare or accreditation review), then the state must ensure that all information from the Medicare or private accreditation review is provided to the EQRO for analysis and inclusion in the annual EQR technical report. (See </w:t>
      </w:r>
      <w:r w:rsidR="001C7FC0">
        <w:rPr>
          <w:szCs w:val="18"/>
        </w:rPr>
        <w:t>42 C.F.R.</w:t>
      </w:r>
      <w:r>
        <w:rPr>
          <w:szCs w:val="18"/>
        </w:rPr>
        <w:t xml:space="preserve"> </w:t>
      </w:r>
      <w:r w:rsidRPr="00491BD3">
        <w:rPr>
          <w:szCs w:val="18"/>
        </w:rPr>
        <w:t>438.360(a)(1)</w:t>
      </w:r>
      <w:r w:rsidRPr="00491BD3">
        <w:rPr>
          <w:szCs w:val="18"/>
        </w:rPr>
        <w:t>–(</w:t>
      </w:r>
      <w:r w:rsidRPr="00491BD3">
        <w:rPr>
          <w:szCs w:val="18"/>
        </w:rPr>
        <w:t xml:space="preserve">3) for additional details regarding the circumstance under which nonduplication is an option). Use of nonduplication must be identified in the state’s quality strategy (see </w:t>
      </w:r>
      <w:r w:rsidR="001C7FC0">
        <w:rPr>
          <w:szCs w:val="18"/>
        </w:rPr>
        <w:t>42 C.F.R.</w:t>
      </w:r>
      <w:r>
        <w:rPr>
          <w:szCs w:val="18"/>
        </w:rPr>
        <w:t xml:space="preserve"> </w:t>
      </w:r>
      <w:r w:rsidRPr="00491BD3">
        <w:rPr>
          <w:szCs w:val="18"/>
        </w:rPr>
        <w:t xml:space="preserve">438.360(c) and 438.340(b)(10)). Any requirements in this protocol which are not addressed via the review used for nonduplication must still be addressed through this protocol. CHIP cross-references to this requirement at </w:t>
      </w:r>
      <w:r w:rsidRPr="00491BD3">
        <w:rPr>
          <w:szCs w:val="18"/>
        </w:rPr>
        <w:t>457.1250, but</w:t>
      </w:r>
      <w:r w:rsidRPr="00491BD3">
        <w:rPr>
          <w:szCs w:val="18"/>
        </w:rPr>
        <w:t xml:space="preserve"> does not allow for the use of Medicare review activities for the purposes of nonduplication.</w:t>
      </w:r>
    </w:p>
  </w:footnote>
  <w:footnote w:id="58">
    <w:p w:rsidR="00F54D41" w:rsidP="00F54D41" w14:paraId="050D4AA4" w14:textId="2EDF6EDD">
      <w:pPr>
        <w:pStyle w:val="FootnoteText"/>
      </w:pPr>
      <w:r w:rsidRPr="00491BD3">
        <w:rPr>
          <w:rStyle w:val="FootnoteReference"/>
          <w:szCs w:val="18"/>
        </w:rPr>
        <w:footnoteRef/>
      </w:r>
      <w:r w:rsidRPr="005E5BEC">
        <w:rPr>
          <w:szCs w:val="18"/>
        </w:rPr>
        <w:tab/>
        <w:t xml:space="preserve">A state may not utilize nonduplication if Medicare has accepted only an attestation of a plan’s </w:t>
      </w:r>
      <w:r w:rsidR="007C62F8">
        <w:rPr>
          <w:szCs w:val="18"/>
        </w:rPr>
        <w:t>quality improvement program (</w:t>
      </w:r>
      <w:r w:rsidRPr="005E5BEC">
        <w:rPr>
          <w:szCs w:val="18"/>
        </w:rPr>
        <w:t>QIP</w:t>
      </w:r>
      <w:r w:rsidR="007C62F8">
        <w:rPr>
          <w:szCs w:val="18"/>
        </w:rPr>
        <w:t>)</w:t>
      </w:r>
      <w:r w:rsidRPr="005E5BEC">
        <w:rPr>
          <w:szCs w:val="18"/>
        </w:rPr>
        <w:t xml:space="preserve">. In </w:t>
      </w:r>
      <w:r w:rsidRPr="00270F5F">
        <w:rPr>
          <w:szCs w:val="18"/>
        </w:rPr>
        <w:t>the context of this EQR-related activity, the QIP would have to undergo validation as part o</w:t>
      </w:r>
      <w:r w:rsidRPr="00FD5108">
        <w:rPr>
          <w:szCs w:val="18"/>
        </w:rPr>
        <w:t xml:space="preserve">f a Medicare review </w:t>
      </w:r>
      <w:r w:rsidRPr="00FD5108">
        <w:rPr>
          <w:szCs w:val="18"/>
        </w:rPr>
        <w:t>in</w:t>
      </w:r>
      <w:r w:rsidRPr="00EB6B4A">
        <w:rPr>
          <w:szCs w:val="18"/>
        </w:rPr>
        <w:t xml:space="preserve"> order for</w:t>
      </w:r>
      <w:r w:rsidRPr="00EB6B4A">
        <w:rPr>
          <w:szCs w:val="18"/>
        </w:rPr>
        <w:t xml:space="preserve"> nonduplication to be an option. See </w:t>
      </w:r>
      <w:r w:rsidR="001C7FC0">
        <w:rPr>
          <w:szCs w:val="18"/>
        </w:rPr>
        <w:t>42 C.F.R.</w:t>
      </w:r>
      <w:r>
        <w:rPr>
          <w:szCs w:val="18"/>
        </w:rPr>
        <w:t xml:space="preserve"> </w:t>
      </w:r>
      <w:r w:rsidRPr="00491BD3">
        <w:rPr>
          <w:szCs w:val="18"/>
        </w:rPr>
        <w:t>438.360(a)(2).</w:t>
      </w:r>
    </w:p>
  </w:footnote>
  <w:footnote w:id="59">
    <w:p w:rsidR="00ED33C3" w:rsidRPr="00270F5F" w:rsidP="004A432A" w14:paraId="36DFAA2A" w14:textId="59C04686">
      <w:pPr>
        <w:pStyle w:val="FootnoteText"/>
        <w:rPr>
          <w:szCs w:val="18"/>
        </w:rPr>
      </w:pPr>
      <w:r w:rsidRPr="005E5BEC">
        <w:rPr>
          <w:rStyle w:val="FootnoteReference"/>
          <w:szCs w:val="18"/>
        </w:rPr>
        <w:footnoteRef/>
      </w:r>
      <w:r>
        <w:rPr>
          <w:szCs w:val="18"/>
        </w:rPr>
        <w:tab/>
      </w:r>
      <w:r w:rsidRPr="005E5BEC">
        <w:rPr>
          <w:szCs w:val="18"/>
        </w:rPr>
        <w:t xml:space="preserve">CHIP cross-references to these requirements at </w:t>
      </w:r>
      <w:r w:rsidR="001C7FC0">
        <w:rPr>
          <w:szCs w:val="18"/>
        </w:rPr>
        <w:t>42 C.F.R.</w:t>
      </w:r>
      <w:r>
        <w:rPr>
          <w:szCs w:val="18"/>
        </w:rPr>
        <w:t xml:space="preserve"> </w:t>
      </w:r>
      <w:r w:rsidRPr="00491BD3">
        <w:rPr>
          <w:szCs w:val="18"/>
        </w:rPr>
        <w:t>457.1230, 457.1233, and 457.1240, except as noted. For more information, see</w:t>
      </w:r>
      <w:r w:rsidRPr="000E1F61">
        <w:t xml:space="preserve"> </w:t>
      </w:r>
      <w:hyperlink r:id="rId20" w:anchor="sectno-citation-%E2%80%89438.206" w:tooltip="Medicaid and Children's Health Insurance Program (CHIP) Programs; Medicaid Managed Care, CHIP Delivered in Managed Care, and Revisions Related to Third Party Liability" w:history="1">
        <w:r w:rsidRPr="00270F5F">
          <w:rPr>
            <w:rStyle w:val="Hyperlink"/>
            <w:szCs w:val="18"/>
          </w:rPr>
          <w:t>https://www.federalregister.gov/documents/2016/05/06/2016-09581/medicaid-and-childrens-health-insurance-program-chip-programs-medicaid-managed-care-chip-delivered#sectno-citation-%E2%80%89438.206</w:t>
        </w:r>
      </w:hyperlink>
      <w:r w:rsidRPr="000E1F61">
        <w:t>.</w:t>
      </w:r>
      <w:r w:rsidRPr="005E5BEC">
        <w:rPr>
          <w:szCs w:val="18"/>
        </w:rPr>
        <w:t xml:space="preserve"> </w:t>
      </w:r>
    </w:p>
  </w:footnote>
  <w:footnote w:id="60">
    <w:p w:rsidR="00ED33C3" w:rsidRPr="00FD5108" w:rsidP="004A432A" w14:paraId="40623174" w14:textId="41ADA922">
      <w:pPr>
        <w:pStyle w:val="FootnoteText"/>
        <w:rPr>
          <w:szCs w:val="18"/>
        </w:rPr>
      </w:pPr>
      <w:r w:rsidRPr="005E5BEC">
        <w:rPr>
          <w:rStyle w:val="FootnoteReference"/>
          <w:szCs w:val="18"/>
        </w:rPr>
        <w:footnoteRef/>
      </w:r>
      <w:r>
        <w:rPr>
          <w:szCs w:val="18"/>
        </w:rPr>
        <w:tab/>
      </w:r>
      <w:r w:rsidRPr="005E5BEC">
        <w:rPr>
          <w:szCs w:val="18"/>
        </w:rPr>
        <w:t>Certain requirement</w:t>
      </w:r>
      <w:r w:rsidRPr="00270F5F">
        <w:rPr>
          <w:szCs w:val="18"/>
        </w:rPr>
        <w:t xml:space="preserve">s in Subparts A, B, C, and F are incorporated into the compliance review through interaction with Subparts D and E. </w:t>
      </w:r>
    </w:p>
  </w:footnote>
  <w:footnote w:id="61">
    <w:p w:rsidR="00ED33C3" w:rsidRPr="00722BFF" w:rsidP="007854DF" w14:paraId="1B83A103" w14:textId="754C91E8">
      <w:pPr>
        <w:pStyle w:val="FootnoteText"/>
      </w:pPr>
      <w:r w:rsidRPr="00A0677E">
        <w:rPr>
          <w:rStyle w:val="FootnoteReference"/>
          <w:szCs w:val="18"/>
        </w:rPr>
        <w:footnoteRef/>
      </w:r>
      <w:r w:rsidRPr="00A0677E">
        <w:rPr>
          <w:szCs w:val="18"/>
        </w:rPr>
        <w:tab/>
        <w:t>For more information, see the CMS MLTSS</w:t>
      </w:r>
      <w:r w:rsidRPr="00A0677E" w:rsidR="004044AF">
        <w:rPr>
          <w:szCs w:val="18"/>
        </w:rPr>
        <w:t xml:space="preserve"> </w:t>
      </w:r>
      <w:r w:rsidRPr="005D684C" w:rsidR="004044AF">
        <w:rPr>
          <w:szCs w:val="18"/>
        </w:rPr>
        <w:t>(Managed Long-Term Services and Supports)</w:t>
      </w:r>
      <w:r w:rsidRPr="00A0677E">
        <w:rPr>
          <w:szCs w:val="18"/>
        </w:rPr>
        <w:t xml:space="preserve"> EQR guidance document at</w:t>
      </w:r>
      <w:r w:rsidRPr="00A0677E">
        <w:t xml:space="preserve"> </w:t>
      </w:r>
      <w:hyperlink r:id="rId21" w:tooltip="Application of Existing External Quality Review Protocols to Managed long Term Services and Supports" w:history="1">
        <w:r w:rsidRPr="00A0677E">
          <w:rPr>
            <w:rStyle w:val="Hyperlink"/>
          </w:rPr>
          <w:t>https://www.medicaid.gov/Medicaid/downloads/cmcs-eqr-protocols.pdf</w:t>
        </w:r>
      </w:hyperlink>
      <w:r w:rsidRPr="00A0677E">
        <w:t>.</w:t>
      </w:r>
      <w:r>
        <w:t xml:space="preserve"> </w:t>
      </w:r>
    </w:p>
  </w:footnote>
  <w:footnote w:id="62">
    <w:p w:rsidR="00ED33C3" w14:paraId="359DEC6C" w14:textId="4AE98898">
      <w:pPr>
        <w:pStyle w:val="FootnoteText"/>
      </w:pPr>
      <w:r w:rsidRPr="006B6779">
        <w:rPr>
          <w:rStyle w:val="FootnoteReference"/>
        </w:rPr>
        <w:footnoteRef/>
      </w:r>
      <w:r w:rsidRPr="006B6779">
        <w:t xml:space="preserve"> </w:t>
      </w:r>
      <w:r w:rsidRPr="006B6779">
        <w:t>In the event that</w:t>
      </w:r>
      <w:r w:rsidRPr="006B6779">
        <w:t xml:space="preserve"> onsite activities are not feasible, site visits may be conducted virtually.</w:t>
      </w:r>
    </w:p>
  </w:footnote>
  <w:footnote w:id="63">
    <w:p w:rsidR="00ED33C3" w:rsidRPr="0036519F" w:rsidP="0036519F" w14:paraId="7B9B55F0" w14:textId="773D5880">
      <w:pPr>
        <w:pStyle w:val="FootnoteText"/>
      </w:pPr>
      <w:r w:rsidRPr="005E5BEC">
        <w:rPr>
          <w:rStyle w:val="FootnoteReference"/>
          <w:szCs w:val="16"/>
        </w:rPr>
        <w:footnoteRef/>
      </w:r>
      <w:r w:rsidRPr="005E5BEC">
        <w:rPr>
          <w:szCs w:val="18"/>
        </w:rPr>
        <w:tab/>
        <w:t>In addition to the document review described here as part of the prelimina</w:t>
      </w:r>
      <w:r w:rsidRPr="00270F5F">
        <w:rPr>
          <w:szCs w:val="18"/>
        </w:rPr>
        <w:t>ry document review, the previous version of this protocol</w:t>
      </w:r>
      <w:r w:rsidRPr="00FD5108">
        <w:rPr>
          <w:szCs w:val="18"/>
        </w:rPr>
        <w:t xml:space="preserve"> included a step in Activity 3 for document review while onsite. However, due to the widespread use of digital documentation, an additional document review </w:t>
      </w:r>
      <w:r>
        <w:rPr>
          <w:szCs w:val="18"/>
        </w:rPr>
        <w:t>during the site visit (onsite or virtual)</w:t>
      </w:r>
      <w:r w:rsidRPr="00491BD3">
        <w:rPr>
          <w:szCs w:val="18"/>
        </w:rPr>
        <w:t xml:space="preserve"> </w:t>
      </w:r>
      <w:r>
        <w:rPr>
          <w:szCs w:val="18"/>
        </w:rPr>
        <w:t>may not be needed</w:t>
      </w:r>
      <w:r w:rsidRPr="00491BD3">
        <w:rPr>
          <w:szCs w:val="18"/>
        </w:rPr>
        <w:t xml:space="preserve">. If </w:t>
      </w:r>
      <w:r>
        <w:rPr>
          <w:szCs w:val="18"/>
        </w:rPr>
        <w:t xml:space="preserve">a </w:t>
      </w:r>
      <w:r w:rsidRPr="00491BD3">
        <w:rPr>
          <w:szCs w:val="18"/>
        </w:rPr>
        <w:t xml:space="preserve">document review is determined by the EQRO </w:t>
      </w:r>
      <w:r>
        <w:rPr>
          <w:szCs w:val="18"/>
        </w:rPr>
        <w:t xml:space="preserve">to be </w:t>
      </w:r>
      <w:r w:rsidRPr="00491BD3">
        <w:rPr>
          <w:szCs w:val="18"/>
        </w:rPr>
        <w:t>necessary (and negotiated with the MCP), the EQRO may conduct it</w:t>
      </w:r>
      <w:r>
        <w:rPr>
          <w:szCs w:val="18"/>
        </w:rPr>
        <w:t xml:space="preserve"> during the site visit</w:t>
      </w:r>
      <w:r w:rsidRPr="00491BD3">
        <w:rPr>
          <w:szCs w:val="18"/>
        </w:rPr>
        <w:t xml:space="preserve">. That step would occur </w:t>
      </w:r>
      <w:r>
        <w:rPr>
          <w:szCs w:val="18"/>
        </w:rPr>
        <w:t>before</w:t>
      </w:r>
      <w:r w:rsidRPr="00491BD3">
        <w:rPr>
          <w:szCs w:val="18"/>
        </w:rPr>
        <w:t xml:space="preserve"> Activity 3, Step 5.</w:t>
      </w:r>
    </w:p>
  </w:footnote>
  <w:footnote w:id="64">
    <w:p w:rsidR="00ED33C3" w:rsidRPr="00333C85" w:rsidP="00333C85" w14:paraId="4DE32EAB" w14:textId="7C2A127F">
      <w:pPr>
        <w:pStyle w:val="FootnoteText"/>
        <w:rPr>
          <w:szCs w:val="17"/>
        </w:rPr>
      </w:pPr>
      <w:r w:rsidRPr="00333C85">
        <w:rPr>
          <w:rStyle w:val="FootnoteReference"/>
          <w:szCs w:val="17"/>
        </w:rPr>
        <w:footnoteRef/>
      </w:r>
      <w:r w:rsidRPr="00333C85">
        <w:rPr>
          <w:szCs w:val="17"/>
        </w:rPr>
        <w:t xml:space="preserve"> Per </w:t>
      </w:r>
      <w:r w:rsidR="001C7FC0">
        <w:rPr>
          <w:szCs w:val="17"/>
          <w:lang w:val="en"/>
        </w:rPr>
        <w:t>42 C.F.R.</w:t>
      </w:r>
      <w:r>
        <w:rPr>
          <w:szCs w:val="17"/>
          <w:lang w:val="en"/>
        </w:rPr>
        <w:t xml:space="preserve"> </w:t>
      </w:r>
      <w:r w:rsidRPr="00333C85">
        <w:rPr>
          <w:szCs w:val="17"/>
          <w:lang w:val="en"/>
        </w:rPr>
        <w:t>438.2</w:t>
      </w:r>
      <w:r>
        <w:rPr>
          <w:szCs w:val="17"/>
          <w:lang w:val="en"/>
        </w:rPr>
        <w:t xml:space="preserve"> and 457.10</w:t>
      </w:r>
      <w:r w:rsidRPr="00333C85">
        <w:rPr>
          <w:szCs w:val="17"/>
          <w:lang w:val="en"/>
        </w:rPr>
        <w:t>, provider means any individual or entity that is engaged in the delivery of services, or ordering or referring for those services, and is legally authorized to do so by the state in which it delivers the services.</w:t>
      </w:r>
    </w:p>
  </w:footnote>
  <w:footnote w:id="65">
    <w:p w:rsidR="00ED33C3" w14:paraId="1F822360" w14:textId="77777777">
      <w:pPr>
        <w:pStyle w:val="FootnoteText"/>
      </w:pPr>
      <w:r w:rsidRPr="00D15800">
        <w:rPr>
          <w:rStyle w:val="FootnoteReference"/>
          <w:szCs w:val="17"/>
        </w:rPr>
        <w:footnoteRef/>
      </w:r>
      <w:r w:rsidRPr="00D15800">
        <w:rPr>
          <w:szCs w:val="17"/>
        </w:rPr>
        <w:t xml:space="preserve"> </w:t>
      </w:r>
      <w:r w:rsidRPr="00D15800">
        <w:t>There is no statutory or regulatory requirement for the frequency with which ISCAs should be conducted. Each state must determine the maximum interval between assessments of MCP information systems, balancing the cost to the state and burden on the MCP with the need to ensure that changes to the MCP’s information systems are assessed frequently enough to support accurate performance measurement.</w:t>
      </w:r>
    </w:p>
  </w:footnote>
  <w:footnote w:id="66">
    <w:p w:rsidR="00ED33C3" w:rsidRPr="00EF2A07" w14:paraId="7E78745D" w14:textId="4590FB3B">
      <w:pPr>
        <w:pStyle w:val="FootnoteText"/>
      </w:pPr>
      <w:r w:rsidRPr="00EF2A07">
        <w:rPr>
          <w:rStyle w:val="FootnoteReference"/>
        </w:rPr>
        <w:footnoteRef/>
      </w:r>
      <w:r w:rsidRPr="000E1F61">
        <w:t xml:space="preserve"> </w:t>
      </w:r>
      <w:r w:rsidR="005E145C">
        <w:t>See</w:t>
      </w:r>
      <w:r w:rsidRPr="00EF2A07">
        <w:t xml:space="preserve"> </w:t>
      </w:r>
      <w:r w:rsidR="001C7FC0">
        <w:t>42 C.F.R.</w:t>
      </w:r>
      <w:r w:rsidRPr="00EF2A07">
        <w:t xml:space="preserve"> 438.68</w:t>
      </w:r>
      <w:r w:rsidR="00251A80">
        <w:t xml:space="preserve">, cross-referenced </w:t>
      </w:r>
      <w:r w:rsidR="001C25A0">
        <w:t xml:space="preserve">for </w:t>
      </w:r>
      <w:r w:rsidR="00251A80">
        <w:t>CHIP</w:t>
      </w:r>
      <w:r w:rsidR="001C25A0">
        <w:t xml:space="preserve"> </w:t>
      </w:r>
      <w:r w:rsidRPr="003F470E" w:rsidR="00251A80">
        <w:t xml:space="preserve">at 42 C.F.R. 457.1218. </w:t>
      </w:r>
    </w:p>
  </w:footnote>
  <w:footnote w:id="67">
    <w:p w:rsidR="00ED33C3" w:rsidRPr="00A531E9" w:rsidP="000F67F7" w14:paraId="6E150FDD" w14:textId="348AA2B6">
      <w:pPr>
        <w:pStyle w:val="FootnoteText"/>
      </w:pPr>
      <w:r w:rsidRPr="00EF2A07">
        <w:rPr>
          <w:rStyle w:val="FootnoteReference"/>
        </w:rPr>
        <w:footnoteRef/>
      </w:r>
      <w:r w:rsidRPr="000E1F61">
        <w:t xml:space="preserve"> </w:t>
      </w:r>
      <w:r w:rsidR="005E145C">
        <w:t>See</w:t>
      </w:r>
      <w:r w:rsidRPr="00A531E9">
        <w:t xml:space="preserve"> </w:t>
      </w:r>
      <w:r w:rsidR="001C7FC0">
        <w:t>42 C.F.R.</w:t>
      </w:r>
      <w:r w:rsidRPr="00A531E9">
        <w:t xml:space="preserve"> 438.</w:t>
      </w:r>
      <w:r>
        <w:t>3</w:t>
      </w:r>
      <w:r w:rsidRPr="00A531E9">
        <w:t>58(b)</w:t>
      </w:r>
      <w:r w:rsidR="004816D2">
        <w:t>(1)</w:t>
      </w:r>
      <w:r w:rsidRPr="00A531E9">
        <w:t>(i</w:t>
      </w:r>
      <w:r w:rsidR="004816D2">
        <w:t>v</w:t>
      </w:r>
      <w:r w:rsidRPr="00A531E9">
        <w:t>)</w:t>
      </w:r>
      <w:r w:rsidR="001C25A0">
        <w:t xml:space="preserve">, cross-referenced for CHIP at </w:t>
      </w:r>
      <w:r w:rsidRPr="003F470E" w:rsidR="001C25A0">
        <w:t>42 C.F.R. 457.1209.</w:t>
      </w:r>
    </w:p>
  </w:footnote>
  <w:footnote w:id="68">
    <w:p w:rsidR="00E228C8" w:rsidP="00E228C8" w14:paraId="6F717001" w14:textId="79B7E452">
      <w:pPr>
        <w:pStyle w:val="FootnoteText"/>
        <w:ind w:right="90"/>
      </w:pPr>
      <w:r>
        <w:rPr>
          <w:rStyle w:val="FootnoteReference"/>
        </w:rPr>
        <w:footnoteRef/>
      </w:r>
      <w:r>
        <w:t xml:space="preserve"> P</w:t>
      </w:r>
      <w:r w:rsidRPr="00FB4325">
        <w:t xml:space="preserve">rovider-specific network adequacy standards </w:t>
      </w:r>
      <w:r>
        <w:t>were added to the Medicaid and CHIP regulations in November 2020 rulemaking. More information about this rulemaking is available at</w:t>
      </w:r>
      <w:r w:rsidRPr="00B20AB1">
        <w:t xml:space="preserve"> </w:t>
      </w:r>
      <w:hyperlink r:id="rId5" w:history="1">
        <w:r w:rsidRPr="00B20AB1">
          <w:rPr>
            <w:rStyle w:val="Hyperlink"/>
          </w:rPr>
          <w:t>https://www.govinfo.gov/content/pkg/FR-2020-11-13/pdf/2020-24758.pdf</w:t>
        </w:r>
      </w:hyperlink>
      <w:r w:rsidRPr="00B20AB1">
        <w:t xml:space="preserve">. </w:t>
      </w:r>
    </w:p>
  </w:footnote>
  <w:footnote w:id="69">
    <w:p w:rsidR="00073CF4" w14:paraId="4FA69BCB" w14:textId="0F53A975">
      <w:pPr>
        <w:pStyle w:val="FootnoteText"/>
      </w:pPr>
      <w:r>
        <w:rPr>
          <w:rStyle w:val="FootnoteReference"/>
        </w:rPr>
        <w:footnoteRef/>
      </w:r>
      <w:r>
        <w:t xml:space="preserve"> </w:t>
      </w:r>
      <w:r w:rsidRPr="004E391B">
        <w:t>States must publish their QS after opportunity for public comment consistent with transparency requirements in 42 C.F.R. 438.340(c)(1) and (d).</w:t>
      </w:r>
    </w:p>
  </w:footnote>
  <w:footnote w:id="70">
    <w:p w:rsidR="0026404E" w:rsidP="0026404E" w14:paraId="23168694" w14:textId="746E9A2A">
      <w:pPr>
        <w:pStyle w:val="FootnoteText"/>
      </w:pPr>
      <w:r w:rsidRPr="002529AD">
        <w:rPr>
          <w:rStyle w:val="FootnoteReference"/>
        </w:rPr>
        <w:footnoteRef/>
      </w:r>
      <w:r w:rsidRPr="002529AD">
        <w:t xml:space="preserve"> </w:t>
      </w:r>
      <w:r w:rsidRPr="002529AD" w:rsidR="002529AD">
        <w:rPr>
          <w:bCs/>
          <w:szCs w:val="16"/>
        </w:rPr>
        <w:t xml:space="preserve">The “12 months preceding” refers to the timeframe during which the EQRO conducts the EQR activity prior to posting the annual EQR technical report. This period is distinct from the 12-month review (data) period, which reflects the most recently concluded contract or calendar year being evaluated. See </w:t>
      </w:r>
      <w:hyperlink w:anchor="Box6" w:history="1">
        <w:r w:rsidRPr="002529AD" w:rsidR="002529AD">
          <w:rPr>
            <w:rStyle w:val="Hyperlink"/>
            <w:bCs/>
            <w:szCs w:val="16"/>
          </w:rPr>
          <w:t>Box 6</w:t>
        </w:r>
      </w:hyperlink>
      <w:r w:rsidRPr="002529AD" w:rsidR="002529AD">
        <w:rPr>
          <w:bCs/>
          <w:szCs w:val="16"/>
        </w:rPr>
        <w:t xml:space="preserve"> in the Introduction for additional information.</w:t>
      </w:r>
    </w:p>
  </w:footnote>
  <w:footnote w:id="71">
    <w:p w:rsidR="00915032" w14:paraId="31CF543A" w14:textId="16EB5467">
      <w:pPr>
        <w:pStyle w:val="FootnoteText"/>
      </w:pPr>
      <w:r>
        <w:rPr>
          <w:rStyle w:val="FootnoteReference"/>
        </w:rPr>
        <w:footnoteRef/>
      </w:r>
      <w:r>
        <w:t xml:space="preserve"> </w:t>
      </w:r>
      <w:r w:rsidRPr="006B6779">
        <w:t>While telehealth options can enhance access to care and may be considered in assessing timeliness or geographic access, they cannot substitute for core in-person network adequacy standards unless explicitly permitted by the state. States may also vary in whether and how telehealth providers count toward specific quantitative standards (e.g., time and distance).</w:t>
      </w:r>
    </w:p>
  </w:footnote>
  <w:footnote w:id="72">
    <w:p w:rsidR="00ED33C3" w14:paraId="7DC5479A" w14:textId="1645199D">
      <w:pPr>
        <w:pStyle w:val="FootnoteText"/>
      </w:pPr>
      <w:r>
        <w:rPr>
          <w:rStyle w:val="FootnoteReference"/>
        </w:rPr>
        <w:footnoteRef/>
      </w:r>
      <w:r>
        <w:t xml:space="preserve">  Level of training refers to both formal and informal training that qualifies staff to collect, store, and analyze network adequacy data sources. </w:t>
      </w:r>
    </w:p>
  </w:footnote>
  <w:footnote w:id="73">
    <w:p w:rsidR="00ED33C3" w:rsidRPr="00A84CB7" w:rsidP="0068444A" w14:paraId="570EBE2E" w14:textId="0FAF638C">
      <w:pPr>
        <w:pStyle w:val="FootnoteText"/>
      </w:pPr>
      <w:r w:rsidRPr="005E5BEC">
        <w:rPr>
          <w:rStyle w:val="FootnoteReference"/>
          <w:szCs w:val="16"/>
        </w:rPr>
        <w:footnoteRef/>
      </w:r>
      <w:r w:rsidRPr="005E5BEC">
        <w:rPr>
          <w:szCs w:val="18"/>
        </w:rPr>
        <w:tab/>
      </w:r>
      <w:r>
        <w:rPr>
          <w:szCs w:val="18"/>
        </w:rPr>
        <w:t>More information about T-MSIS requirements is available at</w:t>
      </w:r>
      <w:r w:rsidRPr="000E1F61">
        <w:t xml:space="preserve"> </w:t>
      </w:r>
      <w:hyperlink r:id="rId22" w:tooltip="Transformed Medicaid Statistical Information System (T-MSIS)" w:history="1">
        <w:r w:rsidRPr="00D93390">
          <w:rPr>
            <w:rStyle w:val="Hyperlink"/>
            <w:szCs w:val="18"/>
          </w:rPr>
          <w:t>https://www.medicaid.gov/medicaid/data-systems/macbis/transformed-medicaid-statistical-information-system-t-msis/index.html</w:t>
        </w:r>
      </w:hyperlink>
      <w:r w:rsidRPr="000E1F61">
        <w:t>.</w:t>
      </w:r>
      <w:r>
        <w:rPr>
          <w:szCs w:val="18"/>
        </w:rPr>
        <w:t xml:space="preserve"> </w:t>
      </w:r>
    </w:p>
  </w:footnote>
  <w:footnote w:id="74">
    <w:p w:rsidR="00ED33C3" w:rsidRPr="006F3106" w14:paraId="7DCA4522" w14:textId="2445AB6C">
      <w:pPr>
        <w:pStyle w:val="FootnoteText"/>
        <w:rPr>
          <w:szCs w:val="16"/>
        </w:rPr>
      </w:pPr>
      <w:r w:rsidRPr="005E5BEC">
        <w:rPr>
          <w:rStyle w:val="FootnoteReference"/>
          <w:szCs w:val="16"/>
        </w:rPr>
        <w:footnoteRef/>
      </w:r>
      <w:r w:rsidRPr="005E5BEC">
        <w:rPr>
          <w:szCs w:val="16"/>
        </w:rPr>
        <w:t xml:space="preserve"> There is no statutory or regulatory requiremen</w:t>
      </w:r>
      <w:r w:rsidRPr="00270F5F">
        <w:rPr>
          <w:szCs w:val="16"/>
        </w:rPr>
        <w:t>t for the frequency with which ISCAs should be conducted. Each state must determine the maximum interval between assessments of MCP information systems, balancing the cost to the state and burden on the MCP with the need to ensure that changes to the MCP’s information systems are assessed frequently eno</w:t>
      </w:r>
      <w:r w:rsidRPr="00FD5108">
        <w:rPr>
          <w:szCs w:val="16"/>
        </w:rPr>
        <w:t>ugh to support accurate performance measurement.</w:t>
      </w:r>
    </w:p>
  </w:footnote>
  <w:footnote w:id="75">
    <w:p w:rsidR="00ED33C3" w14:paraId="54CEAB10" w14:textId="7A2FFAE1">
      <w:pPr>
        <w:pStyle w:val="FootnoteText"/>
      </w:pPr>
      <w:r w:rsidRPr="005E5BEC">
        <w:rPr>
          <w:rStyle w:val="FootnoteReference"/>
          <w:szCs w:val="18"/>
        </w:rPr>
        <w:footnoteRef/>
      </w:r>
      <w:r w:rsidRPr="005E5BEC">
        <w:rPr>
          <w:szCs w:val="18"/>
        </w:rPr>
        <w:t xml:space="preserve"> SQL is </w:t>
      </w:r>
      <w:r w:rsidRPr="00270F5F">
        <w:rPr>
          <w:szCs w:val="18"/>
        </w:rPr>
        <w:t xml:space="preserve">programming language for storing, manipulating, and retrieving data in databases. </w:t>
      </w:r>
    </w:p>
  </w:footnote>
  <w:footnote w:id="76">
    <w:p w:rsidR="00ED33C3" w:rsidRPr="00270F5F" w:rsidP="00E37D79" w14:paraId="647899DA" w14:textId="703D9E33">
      <w:pPr>
        <w:pStyle w:val="FootnoteText"/>
        <w:rPr>
          <w:szCs w:val="16"/>
        </w:rPr>
      </w:pPr>
      <w:r w:rsidRPr="005E5BEC">
        <w:rPr>
          <w:rStyle w:val="FootnoteReference"/>
          <w:szCs w:val="16"/>
        </w:rPr>
        <w:footnoteRef/>
      </w:r>
      <w:r w:rsidRPr="005E5BEC">
        <w:rPr>
          <w:szCs w:val="16"/>
        </w:rPr>
        <w:tab/>
        <w:t>The detail-level on an encounter refers to information included o</w:t>
      </w:r>
      <w:r w:rsidRPr="00270F5F">
        <w:rPr>
          <w:szCs w:val="16"/>
        </w:rPr>
        <w:t>n the individual lines contained within the encounter (such as charges or procedure codes for multiple services provided within a single visit); the header-level refers to information provided at the claim level (such as beneficiary ID, provider ID, date of service, and diagnoses).</w:t>
      </w:r>
    </w:p>
  </w:footnote>
  <w:footnote w:id="77">
    <w:p w:rsidR="00ED33C3" w:rsidRPr="00E37D79" w:rsidP="00E37D79" w14:paraId="01B32F51" w14:textId="014F81F6">
      <w:pPr>
        <w:pStyle w:val="FootnoteText"/>
        <w:rPr>
          <w:szCs w:val="17"/>
        </w:rPr>
      </w:pPr>
      <w:r w:rsidRPr="005E5BEC">
        <w:rPr>
          <w:rStyle w:val="FootnoteReference"/>
          <w:szCs w:val="16"/>
        </w:rPr>
        <w:footnoteRef/>
      </w:r>
      <w:r w:rsidRPr="005E5BEC">
        <w:rPr>
          <w:szCs w:val="16"/>
        </w:rPr>
        <w:tab/>
        <w:t>An</w:t>
      </w:r>
      <w:r w:rsidRPr="00270F5F">
        <w:rPr>
          <w:spacing w:val="-2"/>
          <w:szCs w:val="16"/>
        </w:rPr>
        <w:t xml:space="preserve"> orphan encounter is one in which there are one or more detail records without an associated header record, or vice versa.</w:t>
      </w:r>
    </w:p>
  </w:footnote>
  <w:footnote w:id="78">
    <w:p w:rsidR="00ED33C3" w:rsidRPr="00270F5F" w14:paraId="28B5B1AA" w14:textId="7A272616">
      <w:pPr>
        <w:pStyle w:val="FootnoteText"/>
        <w:rPr>
          <w:szCs w:val="18"/>
        </w:rPr>
      </w:pPr>
      <w:r>
        <w:rPr>
          <w:rStyle w:val="FootnoteReference"/>
        </w:rPr>
        <w:footnoteRef/>
      </w:r>
      <w:r>
        <w:rPr>
          <w:szCs w:val="18"/>
        </w:rPr>
        <w:tab/>
      </w:r>
      <w:r w:rsidRPr="005E5BEC">
        <w:rPr>
          <w:szCs w:val="18"/>
        </w:rPr>
        <w:t>The CMS Encounter Data Toolkit is available at</w:t>
      </w:r>
      <w:r w:rsidRPr="000E1F61">
        <w:t xml:space="preserve"> </w:t>
      </w:r>
      <w:hyperlink r:id="rId23" w:tooltip="Encounter Data Toolkit." w:history="1">
        <w:r w:rsidRPr="00D93390">
          <w:rPr>
            <w:rStyle w:val="Hyperlink"/>
          </w:rPr>
          <w:t>https://www.medicaid.gov/medicaid/downloads/medicaid-encounter-data-toolkit.pdf</w:t>
        </w:r>
      </w:hyperlink>
      <w:r w:rsidRPr="000E1F61">
        <w:t>.</w:t>
      </w:r>
      <w:r>
        <w:t xml:space="preserve"> </w:t>
      </w:r>
    </w:p>
  </w:footnote>
  <w:footnote w:id="79">
    <w:p w:rsidR="00ED33C3" w:rsidRPr="00270F5F" w:rsidP="0024759F" w14:paraId="42FA9401" w14:textId="0FE1485A">
      <w:pPr>
        <w:pStyle w:val="FootnoteText"/>
        <w:rPr>
          <w:szCs w:val="18"/>
        </w:rPr>
      </w:pPr>
      <w:r w:rsidRPr="005E5BEC">
        <w:rPr>
          <w:rStyle w:val="FootnoteReference"/>
          <w:szCs w:val="18"/>
        </w:rPr>
        <w:footnoteRef/>
      </w:r>
      <w:r>
        <w:rPr>
          <w:szCs w:val="18"/>
        </w:rPr>
        <w:tab/>
      </w:r>
      <w:r w:rsidRPr="005E5BEC">
        <w:rPr>
          <w:szCs w:val="18"/>
        </w:rPr>
        <w:t>HEDIS</w:t>
      </w:r>
      <w:r w:rsidRPr="00270F5F">
        <w:rPr>
          <w:szCs w:val="18"/>
        </w:rPr>
        <w:t>® benchmarks are published annually by NCQA in The State of Healthcare Quality Report, available at</w:t>
      </w:r>
      <w:r w:rsidRPr="000E1F61">
        <w:t xml:space="preserve"> </w:t>
      </w:r>
      <w:hyperlink r:id="rId24" w:tooltip="State of Health Care Quality" w:history="1">
        <w:r w:rsidRPr="00491BD3">
          <w:rPr>
            <w:rStyle w:val="Hyperlink"/>
            <w:szCs w:val="18"/>
          </w:rPr>
          <w:t>http://www.ncqa.org/report-cards/health-plans/state-of-health-care-quality</w:t>
        </w:r>
      </w:hyperlink>
      <w:r w:rsidRPr="000E1F61">
        <w:t>.</w:t>
      </w:r>
      <w:r w:rsidRPr="005E5BEC">
        <w:rPr>
          <w:szCs w:val="18"/>
        </w:rPr>
        <w:t xml:space="preserve"> Child and </w:t>
      </w:r>
      <w:r w:rsidRPr="00270F5F">
        <w:rPr>
          <w:szCs w:val="18"/>
        </w:rPr>
        <w:t>Adult Core Set benchmarks are available at</w:t>
      </w:r>
      <w:r w:rsidRPr="000E1F61">
        <w:t xml:space="preserve"> </w:t>
      </w:r>
      <w:hyperlink r:id="rId25" w:tooltip="Quality of Care" w:history="1">
        <w:r w:rsidRPr="00491BD3">
          <w:rPr>
            <w:rStyle w:val="Hyperlink"/>
            <w:szCs w:val="18"/>
          </w:rPr>
          <w:t>https://www.medicaid.gov/medicaid/quality-of-care/index.html</w:t>
        </w:r>
      </w:hyperlink>
      <w:r w:rsidRPr="000E1F61">
        <w:t>.</w:t>
      </w:r>
    </w:p>
  </w:footnote>
  <w:footnote w:id="80">
    <w:p w:rsidR="00ED33C3" w:rsidRPr="006F67B5" w:rsidP="006F67B5" w14:paraId="318EE181" w14:textId="37B3103F">
      <w:pPr>
        <w:pStyle w:val="FootnoteText"/>
      </w:pPr>
      <w:r w:rsidRPr="006F67B5">
        <w:rPr>
          <w:rStyle w:val="FootnoteReference"/>
        </w:rPr>
        <w:footnoteRef/>
      </w:r>
      <w:r w:rsidRPr="008640DF">
        <w:t xml:space="preserve"> </w:t>
      </w:r>
      <w:r>
        <w:tab/>
      </w:r>
      <w:r w:rsidRPr="008640DF">
        <w:t>F</w:t>
      </w:r>
      <w:r>
        <w:t xml:space="preserve">or more information about best practices see: (1) Dillman, Don A., Jolene D. Smyth, Leah Melani </w:t>
      </w:r>
      <w:r w:rsidRPr="006F67B5">
        <w:t>Christian. Internet, Mail and Mixed-Mode Surveys: The Tailored Design Method (4th ed.), 2014.</w:t>
      </w:r>
      <w:r>
        <w:t xml:space="preserve"> (2) Groves, R.M.</w:t>
      </w:r>
      <w:r w:rsidRPr="006F67B5">
        <w:t xml:space="preserve"> </w:t>
      </w:r>
      <w:r w:rsidRPr="006F67B5">
        <w:t>Non response</w:t>
      </w:r>
      <w:r w:rsidRPr="006F67B5">
        <w:t xml:space="preserve"> rates and nonresponse bias in household surv</w:t>
      </w:r>
      <w:r>
        <w:t>eys. Public Opinion Quarterly, vol. 70, n</w:t>
      </w:r>
      <w:r w:rsidRPr="006F67B5">
        <w:t>o. 5, Special Issue 2006, pp. 646–675.</w:t>
      </w:r>
    </w:p>
  </w:footnote>
  <w:footnote w:id="81">
    <w:p w:rsidR="00CB2B9B" w:rsidRPr="0086504C" w:rsidP="00CB2B9B" w14:paraId="08ABE122" w14:textId="77777777">
      <w:pPr>
        <w:pStyle w:val="FootnoteText"/>
        <w:rPr>
          <w:spacing w:val="-2"/>
        </w:rPr>
      </w:pPr>
      <w:r w:rsidRPr="00BD78DF">
        <w:rPr>
          <w:rStyle w:val="FootnoteReference"/>
        </w:rPr>
        <w:footnoteRef/>
      </w:r>
      <w:r w:rsidRPr="00BD78DF">
        <w:rPr>
          <w:vertAlign w:val="superscript"/>
        </w:rPr>
        <w:t xml:space="preserve"> </w:t>
      </w:r>
      <w:r>
        <w:rPr>
          <w:vertAlign w:val="superscript"/>
        </w:rPr>
        <w:tab/>
      </w:r>
      <w:r w:rsidRPr="005E5BEC">
        <w:rPr>
          <w:szCs w:val="18"/>
        </w:rPr>
        <w:t>Yo</w:t>
      </w:r>
      <w:r w:rsidRPr="00270F5F">
        <w:rPr>
          <w:spacing w:val="-2"/>
          <w:szCs w:val="18"/>
        </w:rPr>
        <w:t>ung Ik Cho, Timothy P. Johnson, and Jonathan B. VanGeest. Enhancing Surveys of Health Care Professionals: A Meta-Analysis of Techniques to Improve Response. Evaluation &amp; the Health Professions, vol. 36, no. 3, pp. 382-407, August 201</w:t>
      </w:r>
      <w:r w:rsidRPr="00FD5108">
        <w:rPr>
          <w:spacing w:val="-2"/>
          <w:szCs w:val="18"/>
        </w:rPr>
        <w:t>3.</w:t>
      </w:r>
    </w:p>
  </w:footnote>
  <w:footnote w:id="82">
    <w:p w:rsidR="00ED33C3" w:rsidRPr="00270F5F" w:rsidP="0066795C" w14:paraId="02A065A9" w14:textId="22987CE0">
      <w:pPr>
        <w:pStyle w:val="FootnoteText"/>
        <w:rPr>
          <w:szCs w:val="18"/>
        </w:rPr>
      </w:pPr>
      <w:r w:rsidRPr="005E5BEC">
        <w:rPr>
          <w:rStyle w:val="FootnoteReference"/>
          <w:szCs w:val="18"/>
        </w:rPr>
        <w:footnoteRef/>
      </w:r>
      <w:r w:rsidRPr="005E5BEC">
        <w:rPr>
          <w:szCs w:val="18"/>
          <w:vertAlign w:val="superscript"/>
        </w:rPr>
        <w:t xml:space="preserve"> </w:t>
      </w:r>
      <w:r w:rsidRPr="005E5BEC">
        <w:rPr>
          <w:szCs w:val="18"/>
          <w:vertAlign w:val="superscript"/>
        </w:rPr>
        <w:tab/>
      </w:r>
      <w:r w:rsidRPr="00270F5F">
        <w:rPr>
          <w:szCs w:val="18"/>
        </w:rPr>
        <w:t xml:space="preserve">Many states and MCPs contract with survey vendors certified by the National Committee for Quality Assurance (NCQA) to </w:t>
      </w:r>
      <w:r w:rsidRPr="00417D5A">
        <w:rPr>
          <w:szCs w:val="18"/>
        </w:rPr>
        <w:t>conduct CAHPS® 5.0H surveys following a standardized and validated protocol. A list of approved vendors is available at</w:t>
      </w:r>
      <w:r w:rsidRPr="00417D5A">
        <w:t xml:space="preserve"> </w:t>
      </w:r>
      <w:hyperlink r:id="rId26" w:tooltip="NCQA Certified CAHPS 5.1H Survey Vendors" w:history="1">
        <w:r w:rsidRPr="006B6779" w:rsidR="00007FC7">
          <w:rPr>
            <w:rStyle w:val="Hyperlink"/>
          </w:rPr>
          <w:t>https://www.ncqa.org/programs/data-and-information-technology/hit-and-data-certification/cahps-5-1h-survey-certification/vendor-directory/</w:t>
        </w:r>
      </w:hyperlink>
      <w:r w:rsidRPr="006B6779">
        <w:t>.</w:t>
      </w:r>
      <w:r w:rsidRPr="005E5BEC">
        <w:rPr>
          <w:szCs w:val="18"/>
        </w:rPr>
        <w:t xml:space="preserve"> </w:t>
      </w:r>
    </w:p>
  </w:footnote>
  <w:footnote w:id="83">
    <w:p w:rsidR="00ED33C3" w:rsidRPr="00491BD3" w:rsidP="00CA738F" w14:paraId="66A4D702" w14:textId="4EC1A77C">
      <w:pPr>
        <w:pStyle w:val="FootnoteText"/>
        <w:rPr>
          <w:szCs w:val="18"/>
        </w:rPr>
      </w:pPr>
      <w:r w:rsidRPr="005E5BEC">
        <w:rPr>
          <w:rStyle w:val="FootnoteReference"/>
          <w:szCs w:val="16"/>
        </w:rPr>
        <w:footnoteRef/>
      </w:r>
      <w:r w:rsidRPr="005E5BEC">
        <w:rPr>
          <w:szCs w:val="18"/>
        </w:rPr>
        <w:tab/>
        <w:t xml:space="preserve">More information about QAPI and performance measures is available at </w:t>
      </w:r>
      <w:r w:rsidR="001C7FC0">
        <w:rPr>
          <w:szCs w:val="18"/>
        </w:rPr>
        <w:t>42 C.F.R.</w:t>
      </w:r>
      <w:r>
        <w:rPr>
          <w:szCs w:val="18"/>
        </w:rPr>
        <w:t xml:space="preserve"> </w:t>
      </w:r>
      <w:r w:rsidRPr="00491BD3">
        <w:rPr>
          <w:szCs w:val="18"/>
        </w:rPr>
        <w:t>438.330(b)(2). CHIP regulations at 42 C.</w:t>
      </w:r>
      <w:r w:rsidRPr="00491BD3">
        <w:rPr>
          <w:szCs w:val="18"/>
        </w:rPr>
        <w:t>RF.R</w:t>
      </w:r>
      <w:r w:rsidRPr="00491BD3">
        <w:rPr>
          <w:szCs w:val="18"/>
        </w:rPr>
        <w:t xml:space="preserve"> 457.1240(b)</w:t>
      </w:r>
      <w:r w:rsidR="00D955ED">
        <w:rPr>
          <w:szCs w:val="18"/>
        </w:rPr>
        <w:t xml:space="preserve"> </w:t>
      </w:r>
      <w:r w:rsidRPr="00491BD3">
        <w:rPr>
          <w:szCs w:val="18"/>
        </w:rPr>
        <w:t xml:space="preserve">cross-reference QAPI and performance measure regulations. </w:t>
      </w:r>
    </w:p>
  </w:footnote>
  <w:footnote w:id="84">
    <w:p w:rsidR="00ED33C3" w:rsidP="00CA738F" w14:paraId="44D4840F" w14:textId="0303C36D">
      <w:pPr>
        <w:pStyle w:val="FootnoteText"/>
      </w:pPr>
      <w:r w:rsidRPr="00B7540A">
        <w:rPr>
          <w:rStyle w:val="FootnoteReference"/>
          <w:szCs w:val="17"/>
        </w:rPr>
        <w:footnoteRef/>
      </w:r>
      <w:r>
        <w:rPr>
          <w:szCs w:val="17"/>
        </w:rPr>
        <w:tab/>
      </w:r>
      <w:r w:rsidRPr="00417D5A">
        <w:rPr>
          <w:szCs w:val="18"/>
        </w:rPr>
        <w:t>More information about the Child Core Set is available at</w:t>
      </w:r>
      <w:r w:rsidRPr="00417D5A">
        <w:t xml:space="preserve"> </w:t>
      </w:r>
      <w:hyperlink r:id="rId10" w:tooltip="Children's Health Care Quality Measures" w:history="1">
        <w:r w:rsidRPr="006B6779">
          <w:rPr>
            <w:rStyle w:val="Hyperlink"/>
            <w:spacing w:val="-2"/>
            <w:szCs w:val="18"/>
          </w:rPr>
          <w:t>https://www.medicaid.gov/medicaid/quality-of-care/performance-measurement/child-core-set/index.html</w:t>
        </w:r>
      </w:hyperlink>
      <w:r w:rsidRPr="00417D5A">
        <w:t>.</w:t>
      </w:r>
      <w:r w:rsidRPr="00417D5A">
        <w:rPr>
          <w:szCs w:val="18"/>
        </w:rPr>
        <w:t xml:space="preserve"> More information about the Adult Core Set is available at</w:t>
      </w:r>
      <w:r w:rsidRPr="00417D5A">
        <w:t xml:space="preserve"> </w:t>
      </w:r>
      <w:hyperlink r:id="rId11" w:tooltip="Adult Health Care Quality Measures" w:history="1">
        <w:r w:rsidRPr="006B6779">
          <w:rPr>
            <w:rStyle w:val="Hyperlink"/>
            <w:szCs w:val="18"/>
          </w:rPr>
          <w:t>https://www.medicaid.gov/medicaid/quality-of-care/performance-measurement/adult-core-set/index.html</w:t>
        </w:r>
      </w:hyperlink>
      <w:r w:rsidRPr="006B6779">
        <w:t>.</w:t>
      </w:r>
    </w:p>
  </w:footnote>
  <w:footnote w:id="85">
    <w:p w:rsidR="00ED33C3" w:rsidRPr="00FD5108" w:rsidP="00DF2410" w14:paraId="05631856" w14:textId="204245D3">
      <w:pPr>
        <w:pStyle w:val="FootnoteText"/>
        <w:rPr>
          <w:szCs w:val="18"/>
        </w:rPr>
      </w:pPr>
      <w:r w:rsidRPr="005E5BEC">
        <w:rPr>
          <w:rStyle w:val="FootnoteReference"/>
          <w:szCs w:val="18"/>
        </w:rPr>
        <w:footnoteRef/>
      </w:r>
      <w:r w:rsidRPr="005E5BEC">
        <w:rPr>
          <w:szCs w:val="18"/>
        </w:rPr>
        <w:tab/>
        <w:t>At a minimum, a single PIP tha</w:t>
      </w:r>
      <w:r w:rsidRPr="00270F5F">
        <w:rPr>
          <w:szCs w:val="18"/>
        </w:rPr>
        <w:t xml:space="preserve">t focuses on both clinical and non-clinical aspects of care may satisfy this requirement. Otherwise, a state must require at least two PIPs, one clinical and one non-clinical. </w:t>
      </w:r>
    </w:p>
  </w:footnote>
  <w:footnote w:id="86">
    <w:p w:rsidR="00ED33C3" w:rsidRPr="00100A24" w:rsidP="008900D3" w14:paraId="309AE7CF" w14:textId="64FF9A84">
      <w:pPr>
        <w:pStyle w:val="FootnoteText"/>
        <w:rPr>
          <w:szCs w:val="18"/>
        </w:rPr>
      </w:pPr>
      <w:r w:rsidRPr="00B82400">
        <w:rPr>
          <w:rStyle w:val="FootnoteReference"/>
          <w:szCs w:val="17"/>
        </w:rPr>
        <w:footnoteRef/>
      </w:r>
      <w:r>
        <w:tab/>
      </w:r>
      <w:r w:rsidRPr="00100A24">
        <w:rPr>
          <w:szCs w:val="18"/>
        </w:rPr>
        <w:t xml:space="preserve">See </w:t>
      </w:r>
      <w:r w:rsidR="001C7FC0">
        <w:rPr>
          <w:szCs w:val="18"/>
        </w:rPr>
        <w:t>42 C</w:t>
      </w:r>
      <w:r w:rsidRPr="00417D5A" w:rsidR="001C7FC0">
        <w:rPr>
          <w:szCs w:val="18"/>
        </w:rPr>
        <w:t>.F.R.</w:t>
      </w:r>
      <w:r w:rsidRPr="00417D5A">
        <w:rPr>
          <w:szCs w:val="18"/>
        </w:rPr>
        <w:t xml:space="preserve"> 433.15 and 438.370(a) and the July 10, 2016 CMCS Informational Bulletin (CIB), Federal Financial Participation for Managed Care External Quality Review, available at</w:t>
      </w:r>
      <w:r w:rsidRPr="00417D5A">
        <w:t xml:space="preserve"> </w:t>
      </w:r>
      <w:hyperlink r:id="rId7" w:tooltip="Federal Financial Participation for Managed Care External Quality Review" w:history="1">
        <w:r w:rsidRPr="006B6779">
          <w:rPr>
            <w:rStyle w:val="Hyperlink"/>
            <w:szCs w:val="18"/>
          </w:rPr>
          <w:t>https://www.medicaid.gov/federal-policy-guidance/downloads/cib061016.pdf</w:t>
        </w:r>
      </w:hyperlink>
      <w:r w:rsidRPr="00417D5A">
        <w:t>.</w:t>
      </w:r>
    </w:p>
  </w:footnote>
  <w:footnote w:id="87">
    <w:p w:rsidR="00ED33C3" w:rsidRPr="000D4A72" w:rsidP="008900D3" w14:paraId="41BBACAB" w14:textId="3CD79D4F">
      <w:pPr>
        <w:pStyle w:val="FootnoteText"/>
      </w:pPr>
      <w:r w:rsidRPr="00100A24">
        <w:rPr>
          <w:rStyle w:val="FootnoteReference"/>
          <w:szCs w:val="18"/>
        </w:rPr>
        <w:footnoteRef/>
      </w:r>
      <w:r w:rsidRPr="005C0937">
        <w:rPr>
          <w:szCs w:val="18"/>
        </w:rPr>
        <w:tab/>
        <w:t xml:space="preserve">If the state or the state’s agent that is not an MCP conducts the EQR-related activity on an MCO, it would be eligible for the 50 percent match rate. See </w:t>
      </w:r>
      <w:r w:rsidR="001C7FC0">
        <w:rPr>
          <w:szCs w:val="18"/>
        </w:rPr>
        <w:t>42 C.F.R.</w:t>
      </w:r>
      <w:r>
        <w:rPr>
          <w:szCs w:val="18"/>
        </w:rPr>
        <w:t xml:space="preserve"> </w:t>
      </w:r>
      <w:r w:rsidRPr="005C0937">
        <w:rPr>
          <w:szCs w:val="18"/>
        </w:rPr>
        <w:t xml:space="preserve">438.370(a)–(b). </w:t>
      </w:r>
    </w:p>
  </w:footnote>
  <w:footnote w:id="88">
    <w:p w:rsidR="00ED33C3" w:rsidRPr="00417D5A" w:rsidP="001A421F" w14:paraId="77D289CD" w14:textId="38A0DA02">
      <w:pPr>
        <w:pStyle w:val="FootnoteText"/>
        <w:rPr>
          <w:szCs w:val="18"/>
        </w:rPr>
      </w:pPr>
      <w:r w:rsidRPr="005E5BEC">
        <w:rPr>
          <w:rStyle w:val="FootnoteReference"/>
          <w:szCs w:val="18"/>
        </w:rPr>
        <w:footnoteRef/>
      </w:r>
      <w:r w:rsidRPr="005E5BEC">
        <w:rPr>
          <w:szCs w:val="18"/>
        </w:rPr>
        <w:t xml:space="preserve"> </w:t>
      </w:r>
      <w:r w:rsidRPr="005E5BEC">
        <w:rPr>
          <w:szCs w:val="18"/>
        </w:rPr>
        <w:tab/>
      </w:r>
      <w:r w:rsidRPr="00417D5A">
        <w:rPr>
          <w:szCs w:val="18"/>
        </w:rPr>
        <w:t xml:space="preserve">More information about the CMS </w:t>
      </w:r>
      <w:r w:rsidRPr="00417D5A" w:rsidR="003D292A">
        <w:rPr>
          <w:szCs w:val="18"/>
        </w:rPr>
        <w:t xml:space="preserve">priorities and initiatives </w:t>
      </w:r>
      <w:r w:rsidRPr="00417D5A">
        <w:rPr>
          <w:szCs w:val="18"/>
        </w:rPr>
        <w:t>is available at</w:t>
      </w:r>
      <w:r w:rsidRPr="00417D5A">
        <w:t xml:space="preserve"> </w:t>
      </w:r>
      <w:hyperlink r:id="rId8" w:tooltip="Meaningful Measures Framework" w:history="1">
        <w:r w:rsidRPr="006B6779" w:rsidR="003D288D">
          <w:rPr>
            <w:rStyle w:val="Hyperlink"/>
            <w:szCs w:val="18"/>
          </w:rPr>
          <w:t>https://www.cms.gov/medicare/quality/meaningful-measures-initiative/cms-quality-strategy</w:t>
        </w:r>
      </w:hyperlink>
      <w:r w:rsidRPr="00417D5A">
        <w:t>.</w:t>
      </w:r>
    </w:p>
  </w:footnote>
  <w:footnote w:id="89">
    <w:p w:rsidR="00ED33C3" w:rsidRPr="000D49E9" w:rsidP="001A421F" w14:paraId="62FD80BF" w14:textId="02C055EE">
      <w:pPr>
        <w:pStyle w:val="FootnoteText"/>
      </w:pPr>
      <w:r w:rsidRPr="00417D5A">
        <w:rPr>
          <w:rStyle w:val="FootnoteReference"/>
          <w:szCs w:val="18"/>
        </w:rPr>
        <w:footnoteRef/>
      </w:r>
      <w:r w:rsidRPr="00417D5A">
        <w:rPr>
          <w:szCs w:val="18"/>
        </w:rPr>
        <w:t xml:space="preserve"> </w:t>
      </w:r>
      <w:r w:rsidRPr="00417D5A">
        <w:rPr>
          <w:szCs w:val="18"/>
        </w:rPr>
        <w:tab/>
        <w:t>More information about the Child Core Set is available at</w:t>
      </w:r>
      <w:r w:rsidRPr="00417D5A">
        <w:t xml:space="preserve"> </w:t>
      </w:r>
      <w:hyperlink r:id="rId10" w:tooltip="Children's Health Care Quality Measures" w:history="1">
        <w:r w:rsidRPr="006B6779">
          <w:rPr>
            <w:rStyle w:val="Hyperlink"/>
            <w:szCs w:val="18"/>
          </w:rPr>
          <w:t>https://www.medicaid.gov/medicaid/quality-of-care/performance-measurement/child-core-set/index.html</w:t>
        </w:r>
      </w:hyperlink>
      <w:r w:rsidRPr="00417D5A">
        <w:t>.</w:t>
      </w:r>
      <w:r w:rsidRPr="00417D5A">
        <w:rPr>
          <w:szCs w:val="18"/>
        </w:rPr>
        <w:t xml:space="preserve"> More information about the Adult Core Set is available at</w:t>
      </w:r>
      <w:r w:rsidRPr="00417D5A">
        <w:t xml:space="preserve"> </w:t>
      </w:r>
      <w:hyperlink r:id="rId11" w:tooltip="Adult Health Care Quality Measures" w:history="1">
        <w:r w:rsidRPr="006B6779">
          <w:rPr>
            <w:rStyle w:val="Hyperlink"/>
            <w:szCs w:val="18"/>
          </w:rPr>
          <w:t>https://www.medicaid.gov/medicaid/quality-of-care/performance-measurement/adult-core-set/index.html</w:t>
        </w:r>
      </w:hyperlink>
      <w:r w:rsidRPr="00417D5A">
        <w:t>.</w:t>
      </w:r>
    </w:p>
  </w:footnote>
  <w:footnote w:id="90">
    <w:p w:rsidR="00295823" w:rsidRPr="00417D5A" w:rsidP="00295823" w14:paraId="4BAC3FEF" w14:textId="7018A951">
      <w:pPr>
        <w:pStyle w:val="FootnoteText"/>
      </w:pPr>
      <w:r w:rsidRPr="00ED2673">
        <w:rPr>
          <w:rStyle w:val="FootnoteReference"/>
          <w:szCs w:val="16"/>
        </w:rPr>
        <w:footnoteRef/>
      </w:r>
      <w:r w:rsidRPr="00ED2673">
        <w:rPr>
          <w:szCs w:val="18"/>
          <w:vertAlign w:val="superscript"/>
        </w:rPr>
        <w:t xml:space="preserve"> </w:t>
      </w:r>
      <w:r w:rsidRPr="00ED2673">
        <w:rPr>
          <w:szCs w:val="18"/>
          <w:vertAlign w:val="superscript"/>
        </w:rPr>
        <w:tab/>
      </w:r>
      <w:r w:rsidRPr="00417D5A">
        <w:rPr>
          <w:szCs w:val="18"/>
        </w:rPr>
        <w:t xml:space="preserve">More information about the PDSA approach is available at </w:t>
      </w:r>
      <w:r w:rsidRPr="00417D5A">
        <w:t xml:space="preserve"> </w:t>
      </w:r>
      <w:hyperlink r:id="rId27" w:tooltip="Health Care Innovations Exchange" w:history="1">
        <w:r w:rsidRPr="006B6779">
          <w:rPr>
            <w:rStyle w:val="Hyperlink"/>
            <w:szCs w:val="18"/>
          </w:rPr>
          <w:t>https://innovations.ahrq.gov/qualitytools/plan-do-study-act-pdsa-cycle</w:t>
        </w:r>
      </w:hyperlink>
      <w:r w:rsidRPr="00417D5A">
        <w:t>.</w:t>
      </w:r>
    </w:p>
  </w:footnote>
  <w:footnote w:id="91">
    <w:p w:rsidR="00ED33C3" w:rsidRPr="00417D5A" w:rsidP="001102C3" w14:paraId="31F6FC45" w14:textId="609D027D">
      <w:pPr>
        <w:pStyle w:val="FootnoteText"/>
      </w:pPr>
      <w:r w:rsidRPr="00417D5A">
        <w:rPr>
          <w:rStyle w:val="FootnoteReference"/>
          <w:szCs w:val="18"/>
        </w:rPr>
        <w:footnoteRef/>
      </w:r>
      <w:r w:rsidRPr="00417D5A">
        <w:rPr>
          <w:szCs w:val="18"/>
        </w:rPr>
        <w:tab/>
        <w:t>More information about the Child Core Set is available at</w:t>
      </w:r>
      <w:r w:rsidRPr="00417D5A">
        <w:t xml:space="preserve"> </w:t>
      </w:r>
      <w:hyperlink r:id="rId10" w:tooltip="Children's Health Care Quality Measures" w:history="1">
        <w:r w:rsidRPr="006B6779">
          <w:rPr>
            <w:rStyle w:val="Hyperlink"/>
            <w:szCs w:val="18"/>
          </w:rPr>
          <w:t>https://www.medicaid.gov/medicaid/quality-of-care/performance-measurement/child-core-set/index.html</w:t>
        </w:r>
      </w:hyperlink>
      <w:r w:rsidRPr="00417D5A">
        <w:t>.</w:t>
      </w:r>
      <w:r w:rsidRPr="00417D5A">
        <w:rPr>
          <w:szCs w:val="18"/>
        </w:rPr>
        <w:t xml:space="preserve"> More information about the Adult Core Set is available at</w:t>
      </w:r>
      <w:r w:rsidRPr="00417D5A">
        <w:t xml:space="preserve"> </w:t>
      </w:r>
      <w:hyperlink r:id="rId11" w:tooltip="Adult Health Care Quality Measures" w:history="1">
        <w:r w:rsidRPr="006B6779">
          <w:rPr>
            <w:rStyle w:val="Hyperlink"/>
            <w:szCs w:val="18"/>
          </w:rPr>
          <w:t>https://www.medicaid.gov/medicaid/quality-of-care/performance-measurement/adult-core-set/index.html</w:t>
        </w:r>
      </w:hyperlink>
      <w:r w:rsidRPr="00417D5A">
        <w:t>.</w:t>
      </w:r>
      <w:r w:rsidRPr="00417D5A">
        <w:rPr>
          <w:szCs w:val="18"/>
        </w:rPr>
        <w:t xml:space="preserve"> More information about measures for behavioral health clinics is available at</w:t>
      </w:r>
      <w:r w:rsidRPr="00417D5A">
        <w:t xml:space="preserve"> </w:t>
      </w:r>
      <w:hyperlink r:id="rId28" w:tooltip="Quality Measures" w:history="1">
        <w:r w:rsidRPr="006B6779">
          <w:rPr>
            <w:rStyle w:val="Hyperlink"/>
            <w:szCs w:val="18"/>
          </w:rPr>
          <w:t>https://www.samhsa.gov/section-223/quality-measures</w:t>
        </w:r>
      </w:hyperlink>
      <w:r w:rsidRPr="006B6779">
        <w:t>.</w:t>
      </w:r>
      <w:r w:rsidRPr="00417D5A">
        <w:rPr>
          <w:szCs w:val="18"/>
        </w:rPr>
        <w:t xml:space="preserve"> More information about the Core Quality Measures Collaborative is available at</w:t>
      </w:r>
      <w:r w:rsidRPr="00417D5A">
        <w:t xml:space="preserve"> </w:t>
      </w:r>
      <w:hyperlink r:id="rId12" w:tooltip="Core Measures" w:history="1">
        <w:r w:rsidRPr="006B6779">
          <w:rPr>
            <w:rStyle w:val="Hyperlink"/>
            <w:szCs w:val="18"/>
          </w:rPr>
          <w:t>https://www.cms.gov/Medicare/Quality-Initiatives-Patient-Assessment-Instruments/QualityMeasures/Core-Measures.html</w:t>
        </w:r>
      </w:hyperlink>
      <w:r w:rsidRPr="006B6779">
        <w:t>.</w:t>
      </w:r>
    </w:p>
  </w:footnote>
  <w:footnote w:id="92">
    <w:p w:rsidR="00ED33C3" w:rsidRPr="009362FE" w:rsidP="009362FE" w14:paraId="3BF7C659" w14:textId="5C7F15D3">
      <w:pPr>
        <w:pStyle w:val="FootnoteText"/>
      </w:pPr>
      <w:r w:rsidRPr="00417D5A">
        <w:rPr>
          <w:rStyle w:val="FootnoteReference"/>
          <w:szCs w:val="16"/>
        </w:rPr>
        <w:footnoteRef/>
      </w:r>
      <w:r w:rsidRPr="00417D5A">
        <w:rPr>
          <w:szCs w:val="18"/>
        </w:rPr>
        <w:tab/>
        <w:t>More information about HEDIS® is available at</w:t>
      </w:r>
      <w:r w:rsidRPr="00417D5A">
        <w:t xml:space="preserve"> </w:t>
      </w:r>
      <w:hyperlink r:id="rId14" w:tooltip="HEDIS and Performance Measurement" w:history="1">
        <w:r w:rsidRPr="006B6779">
          <w:rPr>
            <w:rStyle w:val="Hyperlink"/>
            <w:szCs w:val="18"/>
          </w:rPr>
          <w:t>http://www.ncqa.org/hedis-quality-measurement</w:t>
        </w:r>
      </w:hyperlink>
      <w:r w:rsidRPr="00417D5A">
        <w:t>.</w:t>
      </w:r>
      <w:r w:rsidRPr="00417D5A">
        <w:rPr>
          <w:szCs w:val="18"/>
        </w:rPr>
        <w:t xml:space="preserve"> More information about AHRQ quality measures is available at</w:t>
      </w:r>
      <w:r w:rsidRPr="00417D5A">
        <w:t xml:space="preserve"> </w:t>
      </w:r>
      <w:hyperlink r:id="rId15" w:tooltip="AHRQ Quality Indicators." w:history="1">
        <w:r w:rsidRPr="006B6779">
          <w:rPr>
            <w:rStyle w:val="Hyperlink"/>
            <w:szCs w:val="18"/>
          </w:rPr>
          <w:t>http://www.qualityindicators.ahrq.gov/</w:t>
        </w:r>
      </w:hyperlink>
      <w:r w:rsidRPr="00417D5A">
        <w:t>.</w:t>
      </w:r>
    </w:p>
  </w:footnote>
  <w:footnote w:id="93">
    <w:p w:rsidR="00ED33C3" w:rsidRPr="00F405D7" w:rsidP="00632831" w14:paraId="4DE9A7B6" w14:textId="12D81612">
      <w:pPr>
        <w:pStyle w:val="FootnoteText"/>
      </w:pPr>
      <w:r w:rsidRPr="00103C96">
        <w:rPr>
          <w:vertAlign w:val="superscript"/>
        </w:rPr>
        <w:footnoteRef/>
      </w:r>
      <w:r w:rsidRPr="00F405D7">
        <w:tab/>
      </w:r>
      <w:r w:rsidRPr="00417D5A">
        <w:rPr>
          <w:szCs w:val="18"/>
        </w:rPr>
        <w:t>More information about the CMS</w:t>
      </w:r>
      <w:r w:rsidRPr="00417D5A" w:rsidR="007767DE">
        <w:rPr>
          <w:szCs w:val="18"/>
        </w:rPr>
        <w:t xml:space="preserve"> </w:t>
      </w:r>
      <w:r w:rsidRPr="00417D5A" w:rsidR="00A241C1">
        <w:rPr>
          <w:szCs w:val="18"/>
        </w:rPr>
        <w:t xml:space="preserve">priorities and initiatives </w:t>
      </w:r>
      <w:r w:rsidRPr="00417D5A">
        <w:rPr>
          <w:szCs w:val="18"/>
        </w:rPr>
        <w:t>is available at</w:t>
      </w:r>
      <w:r w:rsidRPr="00417D5A">
        <w:t xml:space="preserve"> </w:t>
      </w:r>
      <w:hyperlink r:id="rId8" w:tooltip="Meaningful Measures Framework" w:history="1">
        <w:r w:rsidRPr="006B6779" w:rsidR="003D288D">
          <w:rPr>
            <w:rStyle w:val="Hyperlink"/>
            <w:szCs w:val="18"/>
          </w:rPr>
          <w:t>https://www.cms.gov/medicare/quality/meaningful-measures-initiative/cms-quality-strategy</w:t>
        </w:r>
      </w:hyperlink>
      <w:r w:rsidRPr="00417D5A">
        <w:t>.</w:t>
      </w:r>
      <w:r w:rsidRPr="005E5BEC">
        <w:rPr>
          <w:szCs w:val="18"/>
        </w:rPr>
        <w:t xml:space="preserve"> </w:t>
      </w:r>
    </w:p>
  </w:footnote>
  <w:footnote w:id="94">
    <w:p w:rsidR="00ED33C3" w:rsidRPr="00270F5F" w:rsidP="0044746A" w14:paraId="08B86900" w14:textId="5B50F302">
      <w:pPr>
        <w:pStyle w:val="FootnoteText"/>
        <w:rPr>
          <w:szCs w:val="18"/>
        </w:rPr>
      </w:pPr>
      <w:r w:rsidRPr="005E5BEC">
        <w:rPr>
          <w:rStyle w:val="FootnoteReference"/>
          <w:szCs w:val="18"/>
        </w:rPr>
        <w:footnoteRef/>
      </w:r>
      <w:r>
        <w:rPr>
          <w:szCs w:val="18"/>
        </w:rPr>
        <w:tab/>
      </w:r>
      <w:r w:rsidRPr="00417D5A">
        <w:rPr>
          <w:szCs w:val="18"/>
        </w:rPr>
        <w:t>More information about the Child Core Set is available at</w:t>
      </w:r>
      <w:r w:rsidRPr="00417D5A">
        <w:t xml:space="preserve"> </w:t>
      </w:r>
      <w:hyperlink r:id="rId10" w:tooltip="Children's Health Care Quality Measures" w:history="1">
        <w:r w:rsidRPr="006B6779">
          <w:rPr>
            <w:rStyle w:val="Hyperlink"/>
            <w:szCs w:val="18"/>
          </w:rPr>
          <w:t>https://www.medicaid.gov/medicaid/quality-of-care/performance-measurement/child-core-set/index.html</w:t>
        </w:r>
      </w:hyperlink>
      <w:r w:rsidRPr="00417D5A">
        <w:t>.</w:t>
      </w:r>
      <w:r w:rsidRPr="00417D5A">
        <w:rPr>
          <w:szCs w:val="18"/>
        </w:rPr>
        <w:t xml:space="preserve"> More information about the Adult Core Set is available at</w:t>
      </w:r>
      <w:r w:rsidRPr="00417D5A">
        <w:t xml:space="preserve"> </w:t>
      </w:r>
      <w:hyperlink r:id="rId11" w:tooltip="Adult Health Care Quality Measures" w:history="1">
        <w:r w:rsidRPr="006B6779">
          <w:rPr>
            <w:rStyle w:val="Hyperlink"/>
            <w:szCs w:val="18"/>
          </w:rPr>
          <w:t>https://www.medicaid.gov/medicaid/quality-of-care/performance-measurement/adult-core-set/index.html</w:t>
        </w:r>
      </w:hyperlink>
      <w:r w:rsidRPr="00417D5A">
        <w:t>.</w:t>
      </w:r>
      <w:r w:rsidRPr="00417D5A">
        <w:rPr>
          <w:szCs w:val="18"/>
        </w:rPr>
        <w:t xml:space="preserve"> More information about measures for behavioral health clinics is available at</w:t>
      </w:r>
      <w:r w:rsidRPr="006B6779">
        <w:t xml:space="preserve"> </w:t>
      </w:r>
      <w:hyperlink r:id="rId28" w:tooltip="Quality Measures" w:history="1">
        <w:r w:rsidRPr="006B6779">
          <w:rPr>
            <w:rStyle w:val="Hyperlink"/>
            <w:szCs w:val="18"/>
          </w:rPr>
          <w:t>https://www.samhsa.gov/section-223/quality-measures</w:t>
        </w:r>
      </w:hyperlink>
      <w:r w:rsidRPr="006B6779">
        <w:t>.</w:t>
      </w:r>
      <w:r w:rsidRPr="00417D5A">
        <w:rPr>
          <w:szCs w:val="18"/>
        </w:rPr>
        <w:t xml:space="preserve"> More information about the Core Quality Measures Collaborative is available at</w:t>
      </w:r>
      <w:r w:rsidRPr="00417D5A">
        <w:t xml:space="preserve"> </w:t>
      </w:r>
      <w:hyperlink r:id="rId12" w:tooltip="Core Measures" w:history="1">
        <w:r w:rsidRPr="006B6779">
          <w:rPr>
            <w:rStyle w:val="Hyperlink"/>
            <w:szCs w:val="18"/>
          </w:rPr>
          <w:t>https://www.cms.gov/Medicare/Quality-Initiatives-Patient-Assessment-Instruments/QualityMeasures/Core-Measures.html</w:t>
        </w:r>
      </w:hyperlink>
      <w:r w:rsidRPr="00417D5A">
        <w:t>.</w:t>
      </w:r>
    </w:p>
  </w:footnote>
  <w:footnote w:id="95">
    <w:p w:rsidR="00ED33C3" w:rsidRPr="008F1784" w:rsidP="004C2C1C" w14:paraId="2C8BE23A" w14:textId="3577AC8F">
      <w:pPr>
        <w:pStyle w:val="FootnoteText"/>
      </w:pPr>
      <w:r w:rsidRPr="005E5BEC">
        <w:rPr>
          <w:rStyle w:val="FootnoteReference"/>
          <w:szCs w:val="18"/>
        </w:rPr>
        <w:footnoteRef/>
      </w:r>
      <w:r w:rsidRPr="005E5BEC">
        <w:rPr>
          <w:szCs w:val="18"/>
        </w:rPr>
        <w:tab/>
        <w:t xml:space="preserve">More information about </w:t>
      </w:r>
      <w:r w:rsidRPr="00417D5A">
        <w:rPr>
          <w:szCs w:val="18"/>
        </w:rPr>
        <w:t>HEDIS® is available at</w:t>
      </w:r>
      <w:r w:rsidRPr="00417D5A">
        <w:t xml:space="preserve"> </w:t>
      </w:r>
      <w:hyperlink r:id="rId14" w:tooltip="HEDIS MEASURES" w:history="1">
        <w:r w:rsidRPr="006B6779">
          <w:rPr>
            <w:rStyle w:val="Hyperlink"/>
            <w:szCs w:val="18"/>
          </w:rPr>
          <w:t>http://www.ncqa.org/hedis-quality-measurement</w:t>
        </w:r>
      </w:hyperlink>
      <w:r w:rsidRPr="00417D5A">
        <w:t>.</w:t>
      </w:r>
      <w:r w:rsidRPr="00417D5A">
        <w:rPr>
          <w:szCs w:val="18"/>
        </w:rPr>
        <w:t xml:space="preserve"> More information about AHRQ quality measures is available at</w:t>
      </w:r>
      <w:r w:rsidRPr="00417D5A">
        <w:t xml:space="preserve"> </w:t>
      </w:r>
      <w:hyperlink r:id="rId15" w:tooltip="AHRQ Quality Indicators." w:history="1">
        <w:r w:rsidRPr="006B6779">
          <w:rPr>
            <w:rStyle w:val="Hyperlink"/>
            <w:szCs w:val="18"/>
          </w:rPr>
          <w:t>http://www.qualityindicators.ahrq.gov/</w:t>
        </w:r>
      </w:hyperlink>
      <w:r w:rsidRPr="00417D5A">
        <w:t>.</w:t>
      </w:r>
    </w:p>
  </w:footnote>
  <w:footnote w:id="96">
    <w:p w:rsidR="001A3542" w:rsidRPr="00F238C0" w:rsidP="00666AC0" w14:paraId="251E6CE6" w14:textId="77777777">
      <w:pPr>
        <w:pStyle w:val="FootnoteText"/>
        <w:rPr>
          <w:szCs w:val="18"/>
        </w:rPr>
      </w:pPr>
      <w:r w:rsidRPr="00F238C0">
        <w:rPr>
          <w:rStyle w:val="FootnoteReference"/>
          <w:szCs w:val="18"/>
        </w:rPr>
        <w:footnoteRef/>
      </w:r>
      <w:r>
        <w:rPr>
          <w:szCs w:val="18"/>
        </w:rPr>
        <w:t xml:space="preserve">   </w:t>
      </w:r>
      <w:r w:rsidRPr="00F238C0">
        <w:rPr>
          <w:szCs w:val="18"/>
        </w:rPr>
        <w:t>Federal regulations at 42 C</w:t>
      </w:r>
      <w:r>
        <w:rPr>
          <w:szCs w:val="18"/>
        </w:rPr>
        <w:t>.</w:t>
      </w:r>
      <w:r w:rsidRPr="00F238C0">
        <w:rPr>
          <w:szCs w:val="18"/>
        </w:rPr>
        <w:t>F</w:t>
      </w:r>
      <w:r>
        <w:rPr>
          <w:szCs w:val="18"/>
        </w:rPr>
        <w:t>.</w:t>
      </w:r>
      <w:r w:rsidRPr="00F238C0">
        <w:rPr>
          <w:szCs w:val="18"/>
        </w:rPr>
        <w:t>R</w:t>
      </w:r>
      <w:r>
        <w:rPr>
          <w:szCs w:val="18"/>
        </w:rPr>
        <w:t>.</w:t>
      </w:r>
      <w:r w:rsidRPr="00F238C0">
        <w:rPr>
          <w:szCs w:val="18"/>
        </w:rPr>
        <w:t xml:space="preserve"> 438.505(3)(b) clarify that Medicare Advantage Dual Eligible Special Needs Plans whose Medicaid contract covers only Medicare cost-sharing are excluded. MCPs that have 500 or more Medicaid or CHIP enrollees must be included in the MAC QRS (42 C</w:t>
      </w:r>
      <w:r>
        <w:rPr>
          <w:szCs w:val="18"/>
        </w:rPr>
        <w:t>.</w:t>
      </w:r>
      <w:r w:rsidRPr="00F238C0">
        <w:rPr>
          <w:szCs w:val="18"/>
        </w:rPr>
        <w:t>F</w:t>
      </w:r>
      <w:r>
        <w:rPr>
          <w:szCs w:val="18"/>
        </w:rPr>
        <w:t>.</w:t>
      </w:r>
      <w:r w:rsidRPr="00F238C0">
        <w:rPr>
          <w:szCs w:val="18"/>
        </w:rPr>
        <w:t>R</w:t>
      </w:r>
      <w:r>
        <w:rPr>
          <w:szCs w:val="18"/>
        </w:rPr>
        <w:t>.</w:t>
      </w:r>
      <w:r w:rsidRPr="00F238C0">
        <w:rPr>
          <w:szCs w:val="18"/>
        </w:rPr>
        <w:t xml:space="preserve"> 438.515(a)(1)).</w:t>
      </w:r>
    </w:p>
  </w:footnote>
  <w:footnote w:id="97">
    <w:p w:rsidR="001A3542" w:rsidRPr="003E01A4" w:rsidP="00666AC0" w14:paraId="1B4473EC" w14:textId="77777777">
      <w:pPr>
        <w:pStyle w:val="FootnoteText"/>
        <w:spacing w:line="240" w:lineRule="auto"/>
        <w:rPr>
          <w:szCs w:val="18"/>
        </w:rPr>
      </w:pPr>
      <w:r w:rsidRPr="00366A91">
        <w:rPr>
          <w:rStyle w:val="FootnoteReference"/>
          <w:szCs w:val="18"/>
        </w:rPr>
        <w:footnoteRef/>
      </w:r>
      <w:r w:rsidRPr="00366A91">
        <w:rPr>
          <w:szCs w:val="18"/>
        </w:rPr>
        <w:t xml:space="preserve"> </w:t>
      </w:r>
      <w:r>
        <w:t xml:space="preserve">  </w:t>
      </w:r>
      <w:r w:rsidRPr="00417D5A">
        <w:rPr>
          <w:szCs w:val="18"/>
        </w:rPr>
        <w:t xml:space="preserve">More information on MAC QRS is available </w:t>
      </w:r>
      <w:hyperlink r:id="rId29" w:history="1">
        <w:r w:rsidRPr="006B6779">
          <w:rPr>
            <w:rStyle w:val="Hyperlink"/>
            <w:szCs w:val="18"/>
          </w:rPr>
          <w:t>https://www.medicaid.gov/medicaid/quality-of-care/medicaid-managed-care-quality/quality-rating-system</w:t>
        </w:r>
      </w:hyperlink>
      <w:r w:rsidRPr="006B6779">
        <w:rPr>
          <w:szCs w:val="18"/>
        </w:rPr>
        <w:t>.</w:t>
      </w:r>
      <w:r>
        <w:rPr>
          <w:szCs w:val="18"/>
        </w:rPr>
        <w:t xml:space="preserve"> </w:t>
      </w:r>
      <w:r w:rsidRPr="003E01A4">
        <w:rPr>
          <w:szCs w:val="18"/>
        </w:rPr>
        <w:t xml:space="preserve"> </w:t>
      </w:r>
    </w:p>
  </w:footnote>
  <w:footnote w:id="98">
    <w:p w:rsidR="001A3542" w:rsidRPr="003E01A4" w:rsidP="00666AC0" w14:paraId="2C1FD956" w14:textId="77777777">
      <w:pPr>
        <w:pStyle w:val="FootnoteText"/>
        <w:spacing w:line="240" w:lineRule="auto"/>
        <w:rPr>
          <w:szCs w:val="18"/>
        </w:rPr>
      </w:pPr>
      <w:r w:rsidRPr="003E01A4">
        <w:rPr>
          <w:rStyle w:val="FootnoteReference"/>
          <w:szCs w:val="18"/>
        </w:rPr>
        <w:footnoteRef/>
      </w:r>
      <w:r w:rsidRPr="003E01A4">
        <w:rPr>
          <w:szCs w:val="18"/>
        </w:rPr>
        <w:t xml:space="preserve"> </w:t>
      </w:r>
      <w:r>
        <w:rPr>
          <w:szCs w:val="18"/>
        </w:rPr>
        <w:t xml:space="preserve"> </w:t>
      </w:r>
      <w:r w:rsidRPr="003E01A4">
        <w:rPr>
          <w:szCs w:val="18"/>
        </w:rPr>
        <w:t>Additional details about MAC QRS website requirements can be found at 42 C</w:t>
      </w:r>
      <w:r>
        <w:rPr>
          <w:szCs w:val="18"/>
        </w:rPr>
        <w:t>.</w:t>
      </w:r>
      <w:r w:rsidRPr="003E01A4">
        <w:rPr>
          <w:szCs w:val="18"/>
        </w:rPr>
        <w:t>F</w:t>
      </w:r>
      <w:r>
        <w:rPr>
          <w:szCs w:val="18"/>
        </w:rPr>
        <w:t>.</w:t>
      </w:r>
      <w:r w:rsidRPr="003E01A4">
        <w:rPr>
          <w:szCs w:val="18"/>
        </w:rPr>
        <w:t>R</w:t>
      </w:r>
      <w:r>
        <w:rPr>
          <w:szCs w:val="18"/>
        </w:rPr>
        <w:t>.</w:t>
      </w:r>
      <w:r w:rsidRPr="003E01A4">
        <w:rPr>
          <w:szCs w:val="18"/>
        </w:rPr>
        <w:t xml:space="preserve"> 438.520.</w:t>
      </w:r>
    </w:p>
  </w:footnote>
  <w:footnote w:id="99">
    <w:p w:rsidR="001A3542" w:rsidRPr="0087691D" w:rsidP="00666AC0" w14:paraId="5CE17F59" w14:textId="77777777">
      <w:pPr>
        <w:pStyle w:val="FootnoteText"/>
        <w:spacing w:line="240" w:lineRule="auto"/>
        <w:rPr>
          <w:szCs w:val="18"/>
        </w:rPr>
      </w:pPr>
      <w:r w:rsidRPr="003E01A4">
        <w:rPr>
          <w:rStyle w:val="FootnoteReference"/>
          <w:szCs w:val="18"/>
        </w:rPr>
        <w:footnoteRef/>
      </w:r>
      <w:r w:rsidRPr="003E01A4">
        <w:rPr>
          <w:szCs w:val="18"/>
        </w:rPr>
        <w:t xml:space="preserve"> </w:t>
      </w:r>
      <w:r>
        <w:rPr>
          <w:szCs w:val="18"/>
        </w:rPr>
        <w:t xml:space="preserve">  </w:t>
      </w:r>
      <w:r w:rsidRPr="003E01A4">
        <w:rPr>
          <w:szCs w:val="18"/>
        </w:rPr>
        <w:t>MAC QRS requirements can be found at 42 C</w:t>
      </w:r>
      <w:r>
        <w:rPr>
          <w:szCs w:val="18"/>
        </w:rPr>
        <w:t>.</w:t>
      </w:r>
      <w:r w:rsidRPr="003E01A4">
        <w:rPr>
          <w:szCs w:val="18"/>
        </w:rPr>
        <w:t>F</w:t>
      </w:r>
      <w:r>
        <w:rPr>
          <w:szCs w:val="18"/>
        </w:rPr>
        <w:t>.</w:t>
      </w:r>
      <w:r w:rsidRPr="003E01A4">
        <w:rPr>
          <w:szCs w:val="18"/>
        </w:rPr>
        <w:t>R</w:t>
      </w:r>
      <w:r>
        <w:rPr>
          <w:szCs w:val="18"/>
        </w:rPr>
        <w:t>.</w:t>
      </w:r>
      <w:r w:rsidRPr="003E01A4">
        <w:rPr>
          <w:szCs w:val="18"/>
        </w:rPr>
        <w:t xml:space="preserve"> </w:t>
      </w:r>
      <w:r>
        <w:rPr>
          <w:szCs w:val="18"/>
        </w:rPr>
        <w:t>P</w:t>
      </w:r>
      <w:r w:rsidRPr="003E01A4">
        <w:rPr>
          <w:szCs w:val="18"/>
        </w:rPr>
        <w:t xml:space="preserve">art 438 </w:t>
      </w:r>
      <w:r>
        <w:rPr>
          <w:szCs w:val="18"/>
        </w:rPr>
        <w:t>S</w:t>
      </w:r>
      <w:r w:rsidRPr="003E01A4">
        <w:rPr>
          <w:szCs w:val="18"/>
        </w:rPr>
        <w:t xml:space="preserve">ubpart G. </w:t>
      </w:r>
      <w:r w:rsidRPr="0003333F">
        <w:rPr>
          <w:szCs w:val="18"/>
        </w:rPr>
        <w:t>The requirements outlined at 42 C.F.R. 438.515 only apply to MAC QRS mandatory measures.</w:t>
      </w:r>
      <w:r w:rsidRPr="00923751">
        <w:rPr>
          <w:szCs w:val="18"/>
        </w:rPr>
        <w:t xml:space="preserve"> </w:t>
      </w:r>
    </w:p>
  </w:footnote>
  <w:footnote w:id="100">
    <w:p w:rsidR="001A3542" w:rsidRPr="00422973" w:rsidP="00666AC0" w14:paraId="01B157B3" w14:textId="77777777">
      <w:pPr>
        <w:pStyle w:val="FootnoteText"/>
        <w:rPr>
          <w:szCs w:val="18"/>
        </w:rPr>
      </w:pPr>
      <w:r w:rsidRPr="0087691D">
        <w:rPr>
          <w:rStyle w:val="FootnoteReference"/>
          <w:szCs w:val="18"/>
        </w:rPr>
        <w:footnoteRef/>
      </w:r>
      <w:r w:rsidRPr="0087691D">
        <w:rPr>
          <w:szCs w:val="18"/>
        </w:rPr>
        <w:t xml:space="preserve"> </w:t>
      </w:r>
      <w:r>
        <w:rPr>
          <w:szCs w:val="18"/>
        </w:rPr>
        <w:t xml:space="preserve">  Federal regulations do not require MAC QRS quality measure </w:t>
      </w:r>
      <w:r w:rsidRPr="008A5D53">
        <w:rPr>
          <w:szCs w:val="18"/>
        </w:rPr>
        <w:t>calculations</w:t>
      </w:r>
      <w:r>
        <w:rPr>
          <w:szCs w:val="18"/>
        </w:rPr>
        <w:t xml:space="preserve"> to be validated. While not mandated, CMS encourages states to validate these measures as a best practice to ensure accuracy and reliability. </w:t>
      </w:r>
    </w:p>
  </w:footnote>
  <w:footnote w:id="101">
    <w:p w:rsidR="001A3542" w:rsidP="004D4C8E" w14:paraId="0250B29A" w14:textId="34ABFFD9">
      <w:pPr>
        <w:pStyle w:val="Paragraph0"/>
        <w:ind w:left="216" w:hanging="216"/>
      </w:pPr>
      <w:r w:rsidRPr="00F238C0">
        <w:rPr>
          <w:rStyle w:val="FootnoteReference"/>
          <w:sz w:val="18"/>
          <w:szCs w:val="14"/>
        </w:rPr>
        <w:footnoteRef/>
      </w:r>
      <w:r w:rsidRPr="00F238C0">
        <w:rPr>
          <w:sz w:val="18"/>
          <w:szCs w:val="14"/>
        </w:rPr>
        <w:t xml:space="preserve"> </w:t>
      </w:r>
      <w:r>
        <w:rPr>
          <w:sz w:val="18"/>
          <w:szCs w:val="14"/>
        </w:rPr>
        <w:t xml:space="preserve">  While the</w:t>
      </w:r>
      <w:r w:rsidRPr="00F238C0">
        <w:rPr>
          <w:sz w:val="18"/>
          <w:szCs w:val="14"/>
        </w:rPr>
        <w:t xml:space="preserve"> protocol is written as if the EQRO is performing all outlined activities and steps, </w:t>
      </w:r>
      <w:r>
        <w:rPr>
          <w:sz w:val="18"/>
          <w:szCs w:val="14"/>
        </w:rPr>
        <w:t xml:space="preserve">it </w:t>
      </w:r>
      <w:r w:rsidRPr="00F238C0">
        <w:rPr>
          <w:sz w:val="18"/>
          <w:szCs w:val="14"/>
        </w:rPr>
        <w:t xml:space="preserve">also applies to states that opt to perform </w:t>
      </w:r>
      <w:r>
        <w:rPr>
          <w:sz w:val="18"/>
          <w:szCs w:val="14"/>
        </w:rPr>
        <w:t xml:space="preserve">the </w:t>
      </w:r>
      <w:r w:rsidRPr="00F238C0">
        <w:rPr>
          <w:sz w:val="18"/>
          <w:szCs w:val="14"/>
        </w:rPr>
        <w:t>activities</w:t>
      </w:r>
      <w:r>
        <w:rPr>
          <w:sz w:val="18"/>
          <w:szCs w:val="14"/>
        </w:rPr>
        <w:t xml:space="preserve">. </w:t>
      </w:r>
    </w:p>
  </w:footnote>
  <w:footnote w:id="102">
    <w:p w:rsidR="001A3542" w:rsidRPr="00CD1D06" w:rsidP="00666AC0" w14:paraId="6CE05ED4" w14:textId="52C969A6">
      <w:pPr>
        <w:pStyle w:val="FootnoteText"/>
        <w:rPr>
          <w:szCs w:val="18"/>
        </w:rPr>
      </w:pPr>
      <w:r w:rsidRPr="00CD1D06">
        <w:rPr>
          <w:rStyle w:val="FootnoteReference"/>
          <w:szCs w:val="18"/>
        </w:rPr>
        <w:footnoteRef/>
      </w:r>
      <w:r w:rsidRPr="00CD1D06">
        <w:rPr>
          <w:szCs w:val="18"/>
        </w:rPr>
        <w:t xml:space="preserve"> </w:t>
      </w:r>
      <w:r>
        <w:rPr>
          <w:szCs w:val="18"/>
        </w:rPr>
        <w:t xml:space="preserve">   </w:t>
      </w:r>
      <w:r w:rsidRPr="00081E4D">
        <w:rPr>
          <w:szCs w:val="18"/>
        </w:rPr>
        <w:t>Information about the MAC QRS mandatory measure set and technical assistance resources are</w:t>
      </w:r>
      <w:r>
        <w:rPr>
          <w:szCs w:val="18"/>
        </w:rPr>
        <w:t xml:space="preserve"> </w:t>
      </w:r>
      <w:r w:rsidRPr="00CD1D06">
        <w:rPr>
          <w:szCs w:val="18"/>
        </w:rPr>
        <w:t xml:space="preserve">available at </w:t>
      </w:r>
      <w:r w:rsidRPr="009F5C60">
        <w:rPr>
          <w:szCs w:val="18"/>
        </w:rPr>
        <w:t>[</w:t>
      </w:r>
      <w:r w:rsidRPr="006B6779">
        <w:rPr>
          <w:szCs w:val="18"/>
        </w:rPr>
        <w:t>link to]</w:t>
      </w:r>
      <w:r w:rsidRPr="009F5C60">
        <w:rPr>
          <w:szCs w:val="18"/>
        </w:rPr>
        <w:t>.</w:t>
      </w:r>
    </w:p>
  </w:footnote>
  <w:footnote w:id="103">
    <w:p w:rsidR="001A3542" w:rsidP="00666AC0" w14:paraId="76A2D1FF" w14:textId="77777777">
      <w:pPr>
        <w:pStyle w:val="FootnoteText"/>
      </w:pPr>
      <w:r w:rsidRPr="00CD1D06">
        <w:rPr>
          <w:rStyle w:val="FootnoteReference"/>
          <w:szCs w:val="18"/>
        </w:rPr>
        <w:footnoteRef/>
      </w:r>
      <w:r w:rsidRPr="00CD1D06">
        <w:rPr>
          <w:szCs w:val="18"/>
        </w:rPr>
        <w:t xml:space="preserve"> </w:t>
      </w:r>
      <w:r>
        <w:rPr>
          <w:szCs w:val="18"/>
        </w:rPr>
        <w:t xml:space="preserve">  </w:t>
      </w:r>
      <w:r w:rsidRPr="00CD1D06">
        <w:rPr>
          <w:szCs w:val="18"/>
        </w:rPr>
        <w:t>Although the EQRO may assist the state in reviewing MCP contracts, only the state may make the final determination on which MAC QRS quality measures are a</w:t>
      </w:r>
      <w:r>
        <w:rPr>
          <w:szCs w:val="18"/>
        </w:rPr>
        <w:t>ssigned</w:t>
      </w:r>
      <w:r w:rsidRPr="00CD1D06">
        <w:rPr>
          <w:szCs w:val="18"/>
        </w:rPr>
        <w:t xml:space="preserve"> to each plan. </w:t>
      </w:r>
    </w:p>
  </w:footnote>
  <w:footnote w:id="104">
    <w:p w:rsidR="001A3542" w:rsidP="00666AC0" w14:paraId="5C4B6AC1" w14:textId="0C4A7FE9">
      <w:pPr>
        <w:pStyle w:val="FootnoteText"/>
      </w:pPr>
      <w:r w:rsidRPr="00081E4D">
        <w:rPr>
          <w:rStyle w:val="FootnoteReference"/>
          <w:szCs w:val="18"/>
        </w:rPr>
        <w:footnoteRef/>
      </w:r>
      <w:r w:rsidRPr="00081E4D">
        <w:rPr>
          <w:szCs w:val="18"/>
        </w:rPr>
        <w:t xml:space="preserve">  For information on data sources required to calculate each MAC QRS mandatory measure, review the MAC QRS technical assistance resources available at</w:t>
      </w:r>
      <w:r w:rsidRPr="00130EDB">
        <w:rPr>
          <w:szCs w:val="18"/>
        </w:rPr>
        <w:t xml:space="preserve"> </w:t>
      </w:r>
      <w:r w:rsidRPr="006B6779">
        <w:rPr>
          <w:szCs w:val="18"/>
        </w:rPr>
        <w:t>[link]</w:t>
      </w:r>
      <w:r>
        <w:rPr>
          <w:szCs w:val="18"/>
        </w:rPr>
        <w:t xml:space="preserve"> </w:t>
      </w:r>
      <w:r w:rsidRPr="00081E4D">
        <w:rPr>
          <w:szCs w:val="18"/>
        </w:rPr>
        <w:t>and the measure technical specifications.</w:t>
      </w:r>
    </w:p>
  </w:footnote>
  <w:footnote w:id="105">
    <w:p w:rsidR="001A3542" w14:paraId="544B46FA" w14:textId="77777777">
      <w:pPr>
        <w:pStyle w:val="FootnoteText"/>
      </w:pPr>
      <w:r>
        <w:rPr>
          <w:rStyle w:val="FootnoteReference"/>
        </w:rPr>
        <w:footnoteRef/>
      </w:r>
      <w:r>
        <w:t xml:space="preserve">  </w:t>
      </w:r>
      <w:r w:rsidRPr="001666C4">
        <w:rPr>
          <w:szCs w:val="18"/>
        </w:rPr>
        <w:t>States may request to use an alternative MAC QRS methodology instead of the approach required under 42 C.F.R. 438.515(b)(2), subject to CMS approval</w:t>
      </w:r>
      <w:r w:rsidRPr="003E01A4">
        <w:rPr>
          <w:szCs w:val="18"/>
        </w:rPr>
        <w:t>.  Additional information about alternative MAC QRS methodologies can be found at 42 C</w:t>
      </w:r>
      <w:r>
        <w:rPr>
          <w:szCs w:val="18"/>
        </w:rPr>
        <w:t>.</w:t>
      </w:r>
      <w:r w:rsidRPr="003E01A4">
        <w:rPr>
          <w:szCs w:val="18"/>
        </w:rPr>
        <w:t>F</w:t>
      </w:r>
      <w:r>
        <w:rPr>
          <w:szCs w:val="18"/>
        </w:rPr>
        <w:t>.</w:t>
      </w:r>
      <w:r w:rsidRPr="003E01A4">
        <w:rPr>
          <w:szCs w:val="18"/>
        </w:rPr>
        <w:t>R</w:t>
      </w:r>
      <w:r>
        <w:rPr>
          <w:szCs w:val="18"/>
        </w:rPr>
        <w:t>.</w:t>
      </w:r>
      <w:r w:rsidRPr="003E01A4">
        <w:rPr>
          <w:szCs w:val="18"/>
        </w:rPr>
        <w:t xml:space="preserve"> 438.515(c) and </w:t>
      </w:r>
      <w:r w:rsidRPr="006B6779">
        <w:rPr>
          <w:szCs w:val="18"/>
        </w:rPr>
        <w:t>[insert link to templates]</w:t>
      </w:r>
    </w:p>
  </w:footnote>
  <w:footnote w:id="106">
    <w:p w:rsidR="001A3542" w:rsidRPr="00F40003" w:rsidP="00666AC0" w14:paraId="66EECEFE" w14:textId="77777777">
      <w:pPr>
        <w:pStyle w:val="FootnoteText"/>
        <w:rPr>
          <w:rStyle w:val="FootnoteReference"/>
          <w:sz w:val="24"/>
        </w:rPr>
      </w:pPr>
      <w:r w:rsidRPr="00F40003">
        <w:rPr>
          <w:rStyle w:val="FootnoteReference"/>
          <w:szCs w:val="18"/>
        </w:rPr>
        <w:footnoteRef/>
      </w:r>
      <w:r w:rsidRPr="0031051F">
        <w:rPr>
          <w:szCs w:val="18"/>
        </w:rPr>
        <w:t xml:space="preserve"> Additional information on validating Medicare Part C and D data is available at </w:t>
      </w:r>
      <w:hyperlink r:id="rId30" w:history="1">
        <w:r w:rsidRPr="00F40003">
          <w:rPr>
            <w:rStyle w:val="Hyperlink"/>
            <w:szCs w:val="18"/>
          </w:rPr>
          <w:t>https://www.cms.gov/Outreach-and-Education/MLN/WBT/MLN3500266-CD-DV/partcd/partcd/index.html</w:t>
        </w:r>
      </w:hyperlink>
      <w:r w:rsidRPr="00F40003">
        <w:rPr>
          <w:szCs w:val="18"/>
        </w:rPr>
        <w:t xml:space="preserve">. </w:t>
      </w:r>
    </w:p>
  </w:footnote>
  <w:footnote w:id="107">
    <w:p w:rsidR="001A3542" w14:paraId="7287CEDF" w14:textId="77777777">
      <w:pPr>
        <w:pStyle w:val="FootnoteText"/>
      </w:pPr>
      <w:r>
        <w:rPr>
          <w:rStyle w:val="FootnoteReference"/>
        </w:rPr>
        <w:footnoteRef/>
      </w:r>
      <w:r>
        <w:t xml:space="preserve"> </w:t>
      </w:r>
      <w:r w:rsidRPr="00034D43">
        <w:rPr>
          <w:szCs w:val="18"/>
        </w:rPr>
        <w:t xml:space="preserve">Additional information about Medicare data audits is available at </w:t>
      </w:r>
      <w:hyperlink r:id="rId31" w:history="1">
        <w:r w:rsidRPr="006B6779">
          <w:rPr>
            <w:rStyle w:val="Hyperlink"/>
            <w:szCs w:val="18"/>
          </w:rPr>
          <w:t>https://www.cms.gov/medicare/audits-compliance/part-c-d</w:t>
        </w:r>
      </w:hyperlink>
      <w:r w:rsidRPr="006B6779">
        <w:rPr>
          <w:szCs w:val="18"/>
        </w:rPr>
        <w:t>.</w:t>
      </w:r>
    </w:p>
  </w:footnote>
  <w:footnote w:id="108">
    <w:p w:rsidR="001A3542" w:rsidRPr="00A123FD" w:rsidP="00666AC0" w14:paraId="5F1830BA" w14:textId="77777777">
      <w:pPr>
        <w:pStyle w:val="FootnoteText"/>
        <w:rPr>
          <w:szCs w:val="18"/>
        </w:rPr>
      </w:pPr>
      <w:r w:rsidRPr="00A123FD">
        <w:rPr>
          <w:rStyle w:val="FootnoteReference"/>
          <w:szCs w:val="18"/>
        </w:rPr>
        <w:footnoteRef/>
      </w:r>
      <w:r>
        <w:rPr>
          <w:szCs w:val="18"/>
        </w:rPr>
        <w:t xml:space="preserve"> </w:t>
      </w:r>
      <w:r w:rsidRPr="00A123FD">
        <w:rPr>
          <w:szCs w:val="18"/>
        </w:rPr>
        <w:t xml:space="preserve"> The EQRO should ensure any measure performance rates already calculated were done so at the appropriate program-plan level for MAC QRS or in accordance with an approved alternative QRS methodology.</w:t>
      </w:r>
    </w:p>
  </w:footnote>
  <w:footnote w:id="109">
    <w:p w:rsidR="001A3542" w:rsidRPr="00F40003" w:rsidP="00666AC0" w14:paraId="3E12492E" w14:textId="77777777">
      <w:pPr>
        <w:pStyle w:val="FootnoteText"/>
        <w:rPr>
          <w:rFonts w:cstheme="minorHAnsi"/>
          <w:szCs w:val="18"/>
        </w:rPr>
      </w:pPr>
      <w:r w:rsidRPr="00F40003">
        <w:rPr>
          <w:rStyle w:val="FootnoteReference"/>
          <w:rFonts w:cstheme="minorHAnsi"/>
          <w:szCs w:val="18"/>
        </w:rPr>
        <w:footnoteRef/>
      </w:r>
      <w:r w:rsidRPr="00F40003">
        <w:rPr>
          <w:rFonts w:cstheme="minorHAnsi"/>
          <w:szCs w:val="18"/>
        </w:rPr>
        <w:t xml:space="preserve"> </w:t>
      </w:r>
      <w:r>
        <w:rPr>
          <w:rFonts w:cstheme="minorHAnsi"/>
          <w:szCs w:val="18"/>
        </w:rPr>
        <w:t xml:space="preserve"> </w:t>
      </w:r>
      <w:r w:rsidRPr="00F40003">
        <w:rPr>
          <w:rFonts w:cstheme="minorHAnsi"/>
          <w:szCs w:val="18"/>
        </w:rPr>
        <w:t xml:space="preserve">States </w:t>
      </w:r>
      <w:r>
        <w:rPr>
          <w:rFonts w:cstheme="minorHAnsi"/>
          <w:szCs w:val="18"/>
        </w:rPr>
        <w:t xml:space="preserve">are </w:t>
      </w:r>
      <w:r w:rsidRPr="00F40003">
        <w:rPr>
          <w:rFonts w:cstheme="minorHAnsi"/>
          <w:szCs w:val="18"/>
        </w:rPr>
        <w:t xml:space="preserve">required to collect Medicaid FFS and Medicare data </w:t>
      </w:r>
      <w:r w:rsidRPr="00D222D7">
        <w:rPr>
          <w:rFonts w:cstheme="minorHAnsi"/>
          <w:szCs w:val="18"/>
        </w:rPr>
        <w:t>necessary,</w:t>
      </w:r>
      <w:r w:rsidRPr="00F40003">
        <w:rPr>
          <w:rFonts w:cstheme="minorHAnsi"/>
          <w:szCs w:val="18"/>
        </w:rPr>
        <w:t xml:space="preserve"> validate the collected data, and use the validated data to calculate </w:t>
      </w:r>
      <w:r>
        <w:rPr>
          <w:rFonts w:cstheme="minorHAnsi"/>
          <w:szCs w:val="18"/>
        </w:rPr>
        <w:t xml:space="preserve">quality </w:t>
      </w:r>
      <w:r w:rsidRPr="00EF177E">
        <w:rPr>
          <w:rFonts w:cstheme="minorHAnsi"/>
          <w:szCs w:val="18"/>
        </w:rPr>
        <w:t>ratings.</w:t>
      </w:r>
      <w:r>
        <w:rPr>
          <w:rFonts w:cstheme="minorHAnsi"/>
          <w:szCs w:val="18"/>
        </w:rPr>
        <w:t xml:space="preserve"> This must be done</w:t>
      </w:r>
      <w:r w:rsidRPr="00F40003">
        <w:rPr>
          <w:rFonts w:cstheme="minorHAnsi"/>
          <w:szCs w:val="18"/>
        </w:rPr>
        <w:t xml:space="preserve"> to the extent feasible without </w:t>
      </w:r>
      <w:r>
        <w:rPr>
          <w:rFonts w:cstheme="minorHAnsi"/>
          <w:szCs w:val="18"/>
        </w:rPr>
        <w:t xml:space="preserve">imposing an </w:t>
      </w:r>
      <w:r w:rsidRPr="00F40003">
        <w:rPr>
          <w:rFonts w:cstheme="minorHAnsi"/>
          <w:szCs w:val="18"/>
        </w:rPr>
        <w:t>undue burden. For more information about the scope of the undue burden standard, see 42 C</w:t>
      </w:r>
      <w:r>
        <w:rPr>
          <w:rFonts w:cstheme="minorHAnsi"/>
          <w:szCs w:val="18"/>
        </w:rPr>
        <w:t>.</w:t>
      </w:r>
      <w:r w:rsidRPr="00F40003">
        <w:rPr>
          <w:rFonts w:cstheme="minorHAnsi"/>
          <w:szCs w:val="18"/>
        </w:rPr>
        <w:t>F</w:t>
      </w:r>
      <w:r>
        <w:rPr>
          <w:rFonts w:cstheme="minorHAnsi"/>
          <w:szCs w:val="18"/>
        </w:rPr>
        <w:t>.</w:t>
      </w:r>
      <w:r w:rsidRPr="00F40003">
        <w:rPr>
          <w:rFonts w:cstheme="minorHAnsi"/>
          <w:szCs w:val="18"/>
        </w:rPr>
        <w:t>R</w:t>
      </w:r>
      <w:r>
        <w:rPr>
          <w:rFonts w:cstheme="minorHAnsi"/>
          <w:szCs w:val="18"/>
        </w:rPr>
        <w:t>.</w:t>
      </w:r>
      <w:r w:rsidRPr="00F40003">
        <w:rPr>
          <w:rFonts w:cstheme="minorHAnsi"/>
          <w:szCs w:val="18"/>
        </w:rPr>
        <w:t xml:space="preserve"> 438.515(a) and (b).</w:t>
      </w:r>
    </w:p>
  </w:footnote>
  <w:footnote w:id="110">
    <w:p w:rsidR="001A3542" w:rsidRPr="00F40003" w:rsidP="00666AC0" w14:paraId="5E8E3BFB" w14:textId="77777777">
      <w:pPr>
        <w:pStyle w:val="FootnoteText"/>
        <w:rPr>
          <w:szCs w:val="18"/>
        </w:rPr>
      </w:pPr>
      <w:r w:rsidRPr="00B65ECA">
        <w:rPr>
          <w:rStyle w:val="FootnoteReference"/>
          <w:rFonts w:cstheme="minorHAnsi"/>
        </w:rPr>
        <w:footnoteRef/>
      </w:r>
      <w:r>
        <w:rPr>
          <w:rFonts w:cstheme="minorHAnsi"/>
        </w:rPr>
        <w:t xml:space="preserve"> </w:t>
      </w:r>
      <w:r w:rsidRPr="00B65ECA">
        <w:rPr>
          <w:rFonts w:cstheme="minorHAnsi"/>
        </w:rPr>
        <w:t xml:space="preserve"> </w:t>
      </w:r>
      <w:r w:rsidRPr="00F40003">
        <w:rPr>
          <w:rFonts w:cstheme="minorHAnsi"/>
          <w:szCs w:val="18"/>
        </w:rPr>
        <w:t>The SDRC published a Frequently Asked Questions document, Using and Requesting Medicare Data for Medicare-Medicaid Care Frequently Asked Questions</w:t>
      </w:r>
      <w:r w:rsidRPr="00F40003">
        <w:rPr>
          <w:rStyle w:val="Hyperlink"/>
          <w:rFonts w:cstheme="minorHAnsi"/>
          <w:szCs w:val="18"/>
        </w:rPr>
        <w:t xml:space="preserve">. </w:t>
      </w:r>
      <w:r w:rsidRPr="00F40003">
        <w:rPr>
          <w:rFonts w:cstheme="minorHAnsi"/>
          <w:szCs w:val="18"/>
        </w:rPr>
        <w:t xml:space="preserve">This resource has information on the types of Medicare data available from the SDRC, the file format and data structure for the available data, the data request process, instructions for receiving and using the data, and CMS-State file exchanges. </w:t>
      </w:r>
      <w:r>
        <w:rPr>
          <w:rFonts w:cstheme="minorHAnsi"/>
          <w:szCs w:val="18"/>
        </w:rPr>
        <w:t>It is available at</w:t>
      </w:r>
      <w:r w:rsidRPr="00F40003">
        <w:rPr>
          <w:rFonts w:cstheme="minorHAnsi"/>
          <w:szCs w:val="18"/>
        </w:rPr>
        <w:t xml:space="preserve"> </w:t>
      </w:r>
      <w:hyperlink r:id="rId32" w:history="1">
        <w:r w:rsidRPr="00F40003">
          <w:rPr>
            <w:rStyle w:val="Hyperlink"/>
            <w:szCs w:val="18"/>
          </w:rPr>
          <w:t>https://www.statedataresourcecenter.com/resources/faq</w:t>
        </w:r>
      </w:hyperlink>
      <w:r>
        <w:rPr>
          <w:rFonts w:cstheme="minorHAnsi"/>
          <w:szCs w:val="18"/>
        </w:rPr>
        <w:t xml:space="preserve">. </w:t>
      </w:r>
      <w:r w:rsidRPr="00F40003">
        <w:rPr>
          <w:rFonts w:asciiTheme="majorHAnsi" w:hAnsiTheme="majorHAnsi" w:cstheme="majorHAnsi"/>
          <w:szCs w:val="18"/>
        </w:rPr>
        <w:t xml:space="preserve">  </w:t>
      </w:r>
    </w:p>
  </w:footnote>
  <w:footnote w:id="111">
    <w:p w:rsidR="001A3542" w:rsidRPr="009F5C60" w:rsidP="00666AC0" w14:paraId="119FF6F6" w14:textId="77777777">
      <w:pPr>
        <w:pStyle w:val="FootnoteText"/>
        <w:rPr>
          <w:rFonts w:ascii="Times New Roman" w:hAnsi="Times New Roman"/>
          <w:szCs w:val="18"/>
        </w:rPr>
      </w:pPr>
      <w:r w:rsidRPr="001B5BB6">
        <w:rPr>
          <w:rStyle w:val="FootnoteReference"/>
          <w:szCs w:val="18"/>
        </w:rPr>
        <w:footnoteRef/>
      </w:r>
      <w:r w:rsidRPr="001B5BB6">
        <w:rPr>
          <w:szCs w:val="18"/>
        </w:rPr>
        <w:t xml:space="preserve"> </w:t>
      </w:r>
      <w:r>
        <w:rPr>
          <w:szCs w:val="18"/>
        </w:rPr>
        <w:t xml:space="preserve"> </w:t>
      </w:r>
      <w:r w:rsidRPr="009F5C60">
        <w:rPr>
          <w:rFonts w:ascii="Times New Roman" w:hAnsi="Times New Roman"/>
          <w:szCs w:val="18"/>
        </w:rPr>
        <w:t xml:space="preserve">Additional guidance related to Medicare data integration is available at </w:t>
      </w:r>
      <w:hyperlink r:id="rId33" w:history="1">
        <w:r w:rsidRPr="006B6779">
          <w:rPr>
            <w:rStyle w:val="Hyperlink"/>
            <w:szCs w:val="18"/>
          </w:rPr>
          <w:t>https://www.statedataresourcecenter.com/resources/medicare-data-acquisition-and-integration-tools</w:t>
        </w:r>
      </w:hyperlink>
      <w:r w:rsidRPr="006B6779">
        <w:rPr>
          <w:rFonts w:ascii="Times New Roman" w:hAnsi="Times New Roman"/>
          <w:szCs w:val="18"/>
        </w:rPr>
        <w:t>.</w:t>
      </w:r>
    </w:p>
  </w:footnote>
  <w:footnote w:id="112">
    <w:p w:rsidR="001A3542" w:rsidRPr="009F5C60" w:rsidP="00666AC0" w14:paraId="40D1E8A0" w14:textId="77777777">
      <w:pPr>
        <w:pStyle w:val="FootnoteText"/>
        <w:ind w:left="0" w:firstLine="0"/>
        <w:rPr>
          <w:szCs w:val="18"/>
        </w:rPr>
      </w:pPr>
      <w:r w:rsidRPr="009F5C60">
        <w:rPr>
          <w:rStyle w:val="FootnoteReference"/>
          <w:szCs w:val="18"/>
        </w:rPr>
        <w:footnoteRef/>
      </w:r>
      <w:r w:rsidRPr="009F5C60">
        <w:rPr>
          <w:szCs w:val="18"/>
        </w:rPr>
        <w:t xml:space="preserve"> Resources for the mandatory MAC QRS measures are available at [</w:t>
      </w:r>
      <w:r w:rsidRPr="006B6779">
        <w:rPr>
          <w:szCs w:val="18"/>
        </w:rPr>
        <w:t>insert link].</w:t>
      </w:r>
    </w:p>
  </w:footnote>
  <w:footnote w:id="113">
    <w:p w:rsidR="00397F03" w:rsidRPr="00970C44" w:rsidP="00397F03" w14:paraId="2347D50B" w14:textId="6F04E68C">
      <w:pPr>
        <w:pStyle w:val="FootnoteText"/>
      </w:pPr>
      <w:r w:rsidRPr="009F5C60">
        <w:rPr>
          <w:rStyle w:val="FootnoteReference"/>
        </w:rPr>
        <w:footnoteRef/>
      </w:r>
      <w:r w:rsidRPr="009F5C60">
        <w:t xml:space="preserve"> </w:t>
      </w:r>
      <w:r w:rsidRPr="00A94A93" w:rsidR="00A94A93">
        <w:t xml:space="preserve">States should refer to the MAC QRS Technical Resource Manual (TRM) and related CMS guidance for current and future stratification reporting requirements. CMS updates the TRM each measurement year, and it describes the applicable stratification categories, reporting expectations, and any specification changes for that year. The MAC QRS TRMs </w:t>
      </w:r>
      <w:r w:rsidRPr="00A94A93" w:rsidR="00A94A93">
        <w:t>are</w:t>
      </w:r>
      <w:r w:rsidRPr="00A94A93" w:rsidR="00A94A93">
        <w:t xml:space="preserve"> available at: https://www.medicaid.gov/medicaid/quality-of-care/medicaid-and-chip-managed-care-quality/medicaid-and-chip-quality-rating-system/technical-resources.</w:t>
      </w:r>
    </w:p>
  </w:footnote>
  <w:footnote w:id="114">
    <w:p w:rsidR="006742CC" w:rsidRPr="001B5BB6" w:rsidP="006742CC" w14:paraId="07D56B25" w14:textId="77777777">
      <w:pPr>
        <w:pStyle w:val="FootnoteText"/>
        <w:rPr>
          <w:szCs w:val="18"/>
        </w:rPr>
      </w:pPr>
      <w:r w:rsidRPr="001B5BB6">
        <w:rPr>
          <w:rStyle w:val="FootnoteReference"/>
          <w:szCs w:val="18"/>
        </w:rPr>
        <w:footnoteRef/>
      </w:r>
      <w:r w:rsidRPr="001B5BB6">
        <w:rPr>
          <w:szCs w:val="18"/>
        </w:rPr>
        <w:t xml:space="preserve"> </w:t>
      </w:r>
      <w:r>
        <w:rPr>
          <w:szCs w:val="18"/>
        </w:rPr>
        <w:t xml:space="preserve"> </w:t>
      </w:r>
      <w:r w:rsidRPr="001B5BB6">
        <w:rPr>
          <w:szCs w:val="18"/>
        </w:rPr>
        <w:t>Dually eligible beneficiaries who only receive Medicare premium or cost-sharing benefits from Medicaid are excluded from MAC QRS per 42 C</w:t>
      </w:r>
      <w:r>
        <w:rPr>
          <w:szCs w:val="18"/>
        </w:rPr>
        <w:t>.</w:t>
      </w:r>
      <w:r w:rsidRPr="001B5BB6">
        <w:rPr>
          <w:szCs w:val="18"/>
        </w:rPr>
        <w:t>F</w:t>
      </w:r>
      <w:r>
        <w:rPr>
          <w:szCs w:val="18"/>
        </w:rPr>
        <w:t>.</w:t>
      </w:r>
      <w:r w:rsidRPr="001B5BB6">
        <w:rPr>
          <w:szCs w:val="18"/>
        </w:rPr>
        <w:t>R</w:t>
      </w:r>
      <w:r>
        <w:rPr>
          <w:szCs w:val="18"/>
        </w:rPr>
        <w:t>.</w:t>
      </w:r>
      <w:r w:rsidRPr="001B5BB6">
        <w:rPr>
          <w:szCs w:val="18"/>
        </w:rPr>
        <w:t xml:space="preserve"> 438.505(3)(b).</w:t>
      </w:r>
    </w:p>
  </w:footnote>
  <w:footnote w:id="115">
    <w:p w:rsidR="001A3542" w14:paraId="6252378A" w14:textId="1E7A0A0F">
      <w:pPr>
        <w:pStyle w:val="FootnoteText"/>
      </w:pPr>
      <w:r w:rsidRPr="001B5BB6">
        <w:rPr>
          <w:rStyle w:val="FootnoteReference"/>
          <w:szCs w:val="18"/>
        </w:rPr>
        <w:footnoteRef/>
      </w:r>
      <w:r w:rsidRPr="001B5BB6">
        <w:rPr>
          <w:szCs w:val="18"/>
        </w:rPr>
        <w:t xml:space="preserve"> Additional information on stratifying data available at </w:t>
      </w:r>
      <w:hyperlink r:id="rId34" w:history="1">
        <w:r w:rsidRPr="00AF6186" w:rsidR="00AF6186">
          <w:rPr>
            <w:rStyle w:val="Hyperlink"/>
            <w:szCs w:val="18"/>
          </w:rPr>
          <w:t>https://www.medicaid.gov/medicaid/quality-of-care/downloads/QMR-stratification-resource.pdf</w:t>
        </w:r>
      </w:hyperlink>
    </w:p>
  </w:footnote>
  <w:footnote w:id="116">
    <w:p w:rsidR="001A3542" w:rsidRPr="0052017F" w:rsidP="00666AC0" w14:paraId="0729A4FE" w14:textId="77777777">
      <w:pPr>
        <w:pStyle w:val="FootnoteText"/>
        <w:rPr>
          <w:szCs w:val="18"/>
        </w:rPr>
      </w:pPr>
      <w:r w:rsidRPr="004A3C33">
        <w:rPr>
          <w:rStyle w:val="FootnoteReference"/>
          <w:szCs w:val="18"/>
        </w:rPr>
        <w:footnoteRef/>
      </w:r>
      <w:r w:rsidRPr="004A3C33">
        <w:rPr>
          <w:szCs w:val="18"/>
        </w:rPr>
        <w:t xml:space="preserve">  CMS cell-size suppression policy prohibits the direct reporting of beneficiary and record counts between 1 to 10, as well as any values from which such counts can be derived. Additionally, CMS suppresses rates with denominators smaller than 30 due to reliability concerns. Additional details about the CMS cell size suppression policy are available at </w:t>
      </w:r>
      <w:hyperlink r:id="rId35" w:history="1">
        <w:r w:rsidRPr="004A3C33">
          <w:rPr>
            <w:rStyle w:val="Hyperlink"/>
            <w:szCs w:val="18"/>
          </w:rPr>
          <w:t>https://resdac.org/articles/cms-cell-size-suppression-policy</w:t>
        </w:r>
      </w:hyperlink>
      <w:r w:rsidRPr="004A3C33">
        <w:rPr>
          <w:szCs w:val="18"/>
        </w:rPr>
        <w:t>.</w:t>
      </w:r>
      <w:r w:rsidRPr="0052017F">
        <w:rPr>
          <w:szCs w:val="18"/>
        </w:rPr>
        <w:t xml:space="preserve"> </w:t>
      </w:r>
    </w:p>
  </w:footnote>
  <w:footnote w:id="117">
    <w:p w:rsidR="00AF6186" w:rsidP="00AF6186" w14:paraId="132B3A6C" w14:textId="77777777">
      <w:pPr>
        <w:pStyle w:val="FootnoteText"/>
      </w:pPr>
      <w:r>
        <w:rPr>
          <w:rStyle w:val="FootnoteReference"/>
        </w:rPr>
        <w:footnoteRef/>
      </w:r>
      <w:r>
        <w:t xml:space="preserve"> </w:t>
      </w:r>
      <w:r w:rsidRPr="00970C44">
        <w:rPr>
          <w:szCs w:val="18"/>
        </w:rPr>
        <w:t xml:space="preserve">The CMS cell size suppression policy is available at </w:t>
      </w:r>
      <w:hyperlink r:id="rId35" w:history="1">
        <w:r w:rsidRPr="00970C44">
          <w:rPr>
            <w:rStyle w:val="Hyperlink"/>
            <w:szCs w:val="18"/>
          </w:rPr>
          <w:t>https://resdac.org/articles/cms-cell-size-suppression-policy</w:t>
        </w:r>
      </w:hyperlink>
      <w:r w:rsidRPr="00970C44">
        <w:rPr>
          <w:szCs w:val="18"/>
        </w:rPr>
        <w:t xml:space="preserve">.  </w:t>
      </w:r>
      <w:r>
        <w:rPr>
          <w:szCs w:val="18"/>
        </w:rPr>
        <w:t xml:space="preserve"> </w:t>
      </w:r>
    </w:p>
  </w:footnote>
  <w:footnote w:id="118">
    <w:p w:rsidR="00F42D8C" w14:paraId="66C98467" w14:textId="313454BA">
      <w:pPr>
        <w:pStyle w:val="FootnoteText"/>
      </w:pPr>
      <w:r>
        <w:rPr>
          <w:rStyle w:val="FootnoteReference"/>
        </w:rPr>
        <w:footnoteRef/>
      </w:r>
      <w:r>
        <w:t xml:space="preserve"> More information on CBSA codes is available at </w:t>
      </w:r>
      <w:hyperlink r:id="rId36" w:history="1">
        <w:r w:rsidRPr="00B05159">
          <w:rPr>
            <w:rStyle w:val="Hyperlink"/>
          </w:rPr>
          <w:t>https://www.census.gov/geographies/reference-maps/2020/geo/cbsa.html</w:t>
        </w:r>
      </w:hyperlink>
      <w:r>
        <w:t>.</w:t>
      </w:r>
    </w:p>
  </w:footnote>
  <w:footnote w:id="119">
    <w:p w:rsidR="00F42D8C" w14:paraId="7E75E27A" w14:textId="2CB61872">
      <w:pPr>
        <w:pStyle w:val="FootnoteText"/>
      </w:pPr>
      <w:r>
        <w:rPr>
          <w:rStyle w:val="FootnoteReference"/>
        </w:rPr>
        <w:footnoteRef/>
      </w:r>
      <w:r>
        <w:t xml:space="preserve"> More information on RUCA codes is available at </w:t>
      </w:r>
      <w:hyperlink r:id="rId37" w:history="1">
        <w:r w:rsidRPr="0058778B">
          <w:rPr>
            <w:rStyle w:val="Hyperlink"/>
          </w:rPr>
          <w:t>https://www.ers.usda.gov/data-products/rural-urban-commuting-area-codes</w:t>
        </w:r>
      </w:hyperlink>
      <w:r>
        <w:t>.</w:t>
      </w:r>
    </w:p>
  </w:footnote>
  <w:footnote w:id="120">
    <w:p w:rsidR="001A3542" w:rsidRPr="009F5C60" w:rsidP="00666AC0" w14:paraId="60E08E85" w14:textId="77777777">
      <w:pPr>
        <w:pStyle w:val="FootnoteText"/>
        <w:rPr>
          <w:szCs w:val="18"/>
        </w:rPr>
      </w:pPr>
      <w:r w:rsidRPr="002D5B8C">
        <w:rPr>
          <w:rStyle w:val="FootnoteReference"/>
          <w:szCs w:val="18"/>
        </w:rPr>
        <w:footnoteRef/>
      </w:r>
      <w:r w:rsidRPr="002D5B8C">
        <w:rPr>
          <w:szCs w:val="18"/>
        </w:rPr>
        <w:t xml:space="preserve"> The CMS cell size suppression policy is available at </w:t>
      </w:r>
      <w:hyperlink r:id="rId35" w:history="1">
        <w:r w:rsidRPr="006B6779">
          <w:rPr>
            <w:rStyle w:val="Hyperlink"/>
            <w:szCs w:val="18"/>
          </w:rPr>
          <w:t>https://resdac.org/articles/cms-cell-size-suppression-policy</w:t>
        </w:r>
      </w:hyperlink>
      <w:r w:rsidRPr="006B6779">
        <w:rPr>
          <w:szCs w:val="18"/>
        </w:rPr>
        <w:t>.</w:t>
      </w:r>
      <w:r w:rsidRPr="009F5C60">
        <w:rPr>
          <w:szCs w:val="18"/>
        </w:rPr>
        <w:t xml:space="preserve">  </w:t>
      </w:r>
    </w:p>
  </w:footnote>
  <w:footnote w:id="121">
    <w:p w:rsidR="001A3542" w:rsidRPr="007E5AAF" w14:paraId="21C85C82" w14:textId="47CDB18F">
      <w:pPr>
        <w:pStyle w:val="FootnoteText"/>
        <w:rPr>
          <w:szCs w:val="18"/>
        </w:rPr>
      </w:pPr>
      <w:r w:rsidRPr="009F5C60">
        <w:rPr>
          <w:rStyle w:val="FootnoteReference"/>
          <w:szCs w:val="18"/>
        </w:rPr>
        <w:footnoteRef/>
      </w:r>
      <w:r w:rsidRPr="009F5C60">
        <w:rPr>
          <w:szCs w:val="18"/>
        </w:rPr>
        <w:t xml:space="preserve"> Additional information on stratifying data available at </w:t>
      </w:r>
      <w:hyperlink r:id="rId34" w:history="1">
        <w:r w:rsidRPr="00BA4874" w:rsidR="00F53889">
          <w:rPr>
            <w:rStyle w:val="Hyperlink"/>
            <w:szCs w:val="18"/>
          </w:rPr>
          <w:t>https://www.medicaid.gov/medicaid/quality-of-care/downloads/QMR-stratification-resource.pdf</w:t>
        </w:r>
      </w:hyperlink>
      <w:r w:rsidR="00F53889">
        <w:rPr>
          <w:szCs w:val="18"/>
        </w:rPr>
        <w:t xml:space="preserve"> </w:t>
      </w:r>
    </w:p>
  </w:footnote>
  <w:footnote w:id="122">
    <w:p w:rsidR="001A3542" w:rsidRPr="002D5B8C" w:rsidP="00666AC0" w14:paraId="1E91B90D" w14:textId="77777777">
      <w:pPr>
        <w:pStyle w:val="FootnoteText"/>
        <w:rPr>
          <w:szCs w:val="18"/>
        </w:rPr>
      </w:pPr>
      <w:r w:rsidRPr="002D5B8C">
        <w:rPr>
          <w:rStyle w:val="FootnoteReference"/>
          <w:szCs w:val="18"/>
        </w:rPr>
        <w:footnoteRef/>
      </w:r>
      <w:r w:rsidRPr="002D5B8C">
        <w:rPr>
          <w:szCs w:val="18"/>
        </w:rPr>
        <w:t xml:space="preserve"> MAC QRS requirements can be found at 42 C</w:t>
      </w:r>
      <w:r>
        <w:rPr>
          <w:szCs w:val="18"/>
        </w:rPr>
        <w:t>.</w:t>
      </w:r>
      <w:r w:rsidRPr="002D5B8C">
        <w:rPr>
          <w:szCs w:val="18"/>
        </w:rPr>
        <w:t>F</w:t>
      </w:r>
      <w:r>
        <w:rPr>
          <w:szCs w:val="18"/>
        </w:rPr>
        <w:t>.</w:t>
      </w:r>
      <w:r w:rsidRPr="002D5B8C">
        <w:rPr>
          <w:szCs w:val="18"/>
        </w:rPr>
        <w:t>R</w:t>
      </w:r>
      <w:r>
        <w:rPr>
          <w:szCs w:val="18"/>
        </w:rPr>
        <w:t>.</w:t>
      </w:r>
      <w:r w:rsidRPr="002D5B8C">
        <w:rPr>
          <w:szCs w:val="18"/>
        </w:rPr>
        <w:t xml:space="preserve"> </w:t>
      </w:r>
      <w:r>
        <w:rPr>
          <w:szCs w:val="18"/>
        </w:rPr>
        <w:t>P</w:t>
      </w:r>
      <w:r w:rsidRPr="002D5B8C">
        <w:rPr>
          <w:szCs w:val="18"/>
        </w:rPr>
        <w:t xml:space="preserve">art 438 </w:t>
      </w:r>
      <w:r>
        <w:rPr>
          <w:szCs w:val="18"/>
        </w:rPr>
        <w:t>S</w:t>
      </w:r>
      <w:r w:rsidRPr="002D5B8C">
        <w:rPr>
          <w:szCs w:val="18"/>
        </w:rPr>
        <w:t>ubpart G.</w:t>
      </w:r>
    </w:p>
  </w:footnote>
  <w:footnote w:id="123">
    <w:p w:rsidR="001A3542" w:rsidRPr="005A3B7B" w:rsidP="00666AC0" w14:paraId="5774E8AF" w14:textId="77777777">
      <w:pPr>
        <w:pStyle w:val="FootnoteText"/>
        <w:rPr>
          <w:szCs w:val="18"/>
        </w:rPr>
      </w:pPr>
      <w:r w:rsidRPr="002D5B8C">
        <w:rPr>
          <w:rStyle w:val="FootnoteReference"/>
          <w:szCs w:val="18"/>
        </w:rPr>
        <w:footnoteRef/>
      </w:r>
      <w:r>
        <w:rPr>
          <w:szCs w:val="18"/>
        </w:rPr>
        <w:t xml:space="preserve">  </w:t>
      </w:r>
      <w:r w:rsidRPr="002D5B8C">
        <w:rPr>
          <w:szCs w:val="18"/>
        </w:rPr>
        <w:t xml:space="preserve">For more information on MAC QRS website displays is available at </w:t>
      </w:r>
      <w:hyperlink r:id="rId38" w:history="1">
        <w:r w:rsidRPr="002D5B8C">
          <w:rPr>
            <w:rStyle w:val="Hyperlink"/>
            <w:szCs w:val="18"/>
          </w:rPr>
          <w:t>https://www.youtube.com/watch?v=ZTYiGKAhoog</w:t>
        </w:r>
      </w:hyperlink>
      <w:r w:rsidRPr="002D5B8C">
        <w:rPr>
          <w:szCs w:val="18"/>
        </w:rPr>
        <w:t xml:space="preserve"> and </w:t>
      </w:r>
      <w:hyperlink r:id="rId39" w:history="1">
        <w:r w:rsidRPr="002D5B8C">
          <w:rPr>
            <w:rStyle w:val="Hyperlink"/>
            <w:szCs w:val="18"/>
          </w:rPr>
          <w:t>https://www.youtube.com/watch?v=E4WJ_SlsVdo</w:t>
        </w:r>
      </w:hyperlink>
      <w:r w:rsidRPr="002D5B8C">
        <w:rPr>
          <w:szCs w:val="18"/>
        </w:rPr>
        <w:t xml:space="preserve"> .</w:t>
      </w:r>
      <w:r w:rsidRPr="005A3B7B">
        <w:rPr>
          <w:szCs w:val="18"/>
        </w:rPr>
        <w:t xml:space="preserve"> </w:t>
      </w:r>
    </w:p>
  </w:footnote>
  <w:footnote w:id="124">
    <w:p w:rsidR="001A3542" w:rsidRPr="00221179" w:rsidP="00666AC0" w14:paraId="3B0F6DEC" w14:textId="77777777">
      <w:pPr>
        <w:pStyle w:val="FootnoteText"/>
        <w:rPr>
          <w:rFonts w:ascii="Arial" w:hAnsi="Arial" w:cs="Arial"/>
          <w:sz w:val="16"/>
          <w:szCs w:val="16"/>
        </w:rPr>
      </w:pPr>
      <w:r w:rsidRPr="00221179">
        <w:rPr>
          <w:rStyle w:val="FootnoteReference"/>
          <w:rFonts w:ascii="Arial" w:hAnsi="Arial" w:cs="Arial"/>
          <w:sz w:val="16"/>
          <w:szCs w:val="16"/>
        </w:rPr>
        <w:footnoteRef/>
      </w:r>
      <w:r w:rsidRPr="00221179">
        <w:rPr>
          <w:rFonts w:ascii="Arial" w:hAnsi="Arial" w:cs="Arial"/>
          <w:sz w:val="16"/>
          <w:szCs w:val="16"/>
        </w:rPr>
        <w:t>Quality ratings for MAC QRS mandatory measures are issued at the plan level for each managed care program in which the MCP participates. This ensures that MCPs operating across multiple programs receive distinct quality ratings for each program (42 C</w:t>
      </w:r>
      <w:r>
        <w:rPr>
          <w:rFonts w:ascii="Arial" w:hAnsi="Arial" w:cs="Arial"/>
          <w:sz w:val="16"/>
          <w:szCs w:val="16"/>
        </w:rPr>
        <w:t>.</w:t>
      </w:r>
      <w:r w:rsidRPr="00221179">
        <w:rPr>
          <w:rFonts w:ascii="Arial" w:hAnsi="Arial" w:cs="Arial"/>
          <w:sz w:val="16"/>
          <w:szCs w:val="16"/>
        </w:rPr>
        <w:t>F</w:t>
      </w:r>
      <w:r>
        <w:rPr>
          <w:rFonts w:ascii="Arial" w:hAnsi="Arial" w:cs="Arial"/>
          <w:sz w:val="16"/>
          <w:szCs w:val="16"/>
        </w:rPr>
        <w:t>.</w:t>
      </w:r>
      <w:r w:rsidRPr="00221179">
        <w:rPr>
          <w:rFonts w:ascii="Arial" w:hAnsi="Arial" w:cs="Arial"/>
          <w:sz w:val="16"/>
          <w:szCs w:val="16"/>
        </w:rPr>
        <w:t>R</w:t>
      </w:r>
      <w:r>
        <w:rPr>
          <w:rFonts w:ascii="Arial" w:hAnsi="Arial" w:cs="Arial"/>
          <w:sz w:val="16"/>
          <w:szCs w:val="16"/>
        </w:rPr>
        <w:t>.</w:t>
      </w:r>
      <w:r w:rsidRPr="00221179">
        <w:rPr>
          <w:rFonts w:ascii="Arial" w:hAnsi="Arial" w:cs="Arial"/>
          <w:sz w:val="16"/>
          <w:szCs w:val="16"/>
        </w:rPr>
        <w:t xml:space="preserve"> 438.515(b)(2)).</w:t>
      </w:r>
    </w:p>
  </w:footnote>
  <w:footnote w:id="125">
    <w:p w:rsidR="0045391D" w:rsidP="00666AC0" w14:paraId="70FC937C" w14:textId="77777777">
      <w:pPr>
        <w:pStyle w:val="FootnoteText"/>
        <w:tabs>
          <w:tab w:val="left" w:pos="0"/>
          <w:tab w:val="clear" w:pos="216"/>
        </w:tabs>
        <w:ind w:left="90" w:hanging="90"/>
      </w:pPr>
      <w:r w:rsidRPr="00F87CCC">
        <w:rPr>
          <w:rStyle w:val="FootnoteReference"/>
          <w:rFonts w:cstheme="minorHAnsi"/>
          <w:szCs w:val="18"/>
        </w:rPr>
        <w:footnoteRef/>
      </w:r>
      <w:r>
        <w:rPr>
          <w:rFonts w:cstheme="minorHAnsi"/>
          <w:szCs w:val="18"/>
        </w:rPr>
        <w:t xml:space="preserve"> </w:t>
      </w:r>
      <w:r w:rsidRPr="00847F5D">
        <w:rPr>
          <w:rFonts w:cstheme="minorHAnsi"/>
          <w:szCs w:val="18"/>
        </w:rPr>
        <w:t xml:space="preserve">More information about managed care </w:t>
      </w:r>
      <w:r>
        <w:rPr>
          <w:rFonts w:cstheme="minorHAnsi"/>
          <w:szCs w:val="18"/>
        </w:rPr>
        <w:t>quality strategies</w:t>
      </w:r>
      <w:r w:rsidRPr="00847F5D">
        <w:rPr>
          <w:rFonts w:cstheme="minorHAnsi"/>
          <w:szCs w:val="18"/>
        </w:rPr>
        <w:t xml:space="preserve"> is available at </w:t>
      </w:r>
      <w:hyperlink r:id="rId40" w:history="1">
        <w:r w:rsidRPr="00847F5D">
          <w:rPr>
            <w:rStyle w:val="Hyperlink"/>
            <w:rFonts w:cstheme="minorHAnsi"/>
            <w:szCs w:val="18"/>
          </w:rPr>
          <w:t>https://www.medicaid.gov/medicaid/quality-of-care/medicaid-managed-care-quality/state-quality-strategies/index.html</w:t>
        </w:r>
      </w:hyperlink>
      <w:r w:rsidRPr="00847F5D">
        <w:rPr>
          <w:rFonts w:cstheme="minorHAnsi"/>
          <w:szCs w:val="18"/>
        </w:rPr>
        <w:t xml:space="preserve">. CMS’s Medicaid and CHIP Managed Care Quality Strategy Toolkit provides detailed information about </w:t>
      </w:r>
      <w:r>
        <w:rPr>
          <w:rFonts w:cstheme="minorHAnsi"/>
          <w:szCs w:val="18"/>
        </w:rPr>
        <w:t>quality strategy</w:t>
      </w:r>
      <w:r w:rsidRPr="00847F5D">
        <w:rPr>
          <w:rFonts w:cstheme="minorHAnsi"/>
          <w:szCs w:val="18"/>
        </w:rPr>
        <w:t xml:space="preserve"> requirements and is available at </w:t>
      </w:r>
      <w:hyperlink r:id="rId41" w:history="1">
        <w:r w:rsidRPr="00847F5D">
          <w:rPr>
            <w:rStyle w:val="Hyperlink"/>
            <w:rFonts w:cstheme="minorHAnsi"/>
            <w:szCs w:val="18"/>
          </w:rPr>
          <w:t>https://www.medicaid.gov/medicaid/downloads/managed-care-quality-strategy-toolkit.pdf</w:t>
        </w:r>
      </w:hyperlink>
      <w:r w:rsidRPr="00847F5D">
        <w:rPr>
          <w:rFonts w:cstheme="minorHAnsi"/>
          <w:szCs w:val="18"/>
        </w:rPr>
        <w:t xml:space="preserve">. More information about SDPs is available at </w:t>
      </w:r>
      <w:hyperlink r:id="rId42" w:history="1">
        <w:r w:rsidRPr="00847F5D">
          <w:rPr>
            <w:rStyle w:val="Hyperlink"/>
            <w:rFonts w:cstheme="minorHAnsi"/>
            <w:szCs w:val="18"/>
          </w:rPr>
          <w:t>https://www.medicaid.gov/medicaid/managed-care/guidance/state-directed-payments/index.html</w:t>
        </w:r>
      </w:hyperlink>
      <w:r w:rsidRPr="00847F5D">
        <w:rPr>
          <w:rFonts w:cstheme="minorHAnsi"/>
          <w:szCs w:val="18"/>
        </w:rPr>
        <w:t xml:space="preserve">. More information about ILOS is available at </w:t>
      </w:r>
      <w:hyperlink r:id="rId43" w:history="1">
        <w:r w:rsidRPr="00847F5D">
          <w:rPr>
            <w:rStyle w:val="Hyperlink"/>
            <w:rFonts w:cstheme="minorHAnsi"/>
            <w:szCs w:val="18"/>
          </w:rPr>
          <w:t>https://www.medicaid.gov/medicaid/managed-care/guidance/lieu-of-services-and-settings/index.html</w:t>
        </w:r>
      </w:hyperlink>
      <w:r>
        <w:rPr>
          <w:rStyle w:val="Hyperlink"/>
          <w:rFonts w:cstheme="minorHAnsi"/>
          <w:szCs w:val="18"/>
        </w:rPr>
        <w:t>.</w:t>
      </w:r>
      <w:r>
        <w:rPr>
          <w:rFonts w:cstheme="minorHAnsi"/>
          <w:szCs w:val="18"/>
        </w:rPr>
        <w:t xml:space="preserve"> </w:t>
      </w:r>
    </w:p>
  </w:footnote>
  <w:footnote w:id="126">
    <w:p w:rsidR="0045391D" w:rsidP="00666AC0" w14:paraId="24B2F223" w14:textId="77777777">
      <w:pPr>
        <w:pStyle w:val="FootnoteText"/>
        <w:tabs>
          <w:tab w:val="left" w:pos="90"/>
          <w:tab w:val="clear" w:pos="216"/>
        </w:tabs>
        <w:ind w:left="90" w:hanging="90"/>
      </w:pPr>
      <w:r w:rsidRPr="005C3660">
        <w:rPr>
          <w:rStyle w:val="FootnoteReference"/>
        </w:rPr>
        <w:footnoteRef/>
      </w:r>
      <w:r w:rsidRPr="005C3660">
        <w:t xml:space="preserve"> </w:t>
      </w:r>
      <w:r w:rsidRPr="005C3660">
        <w:rPr>
          <w:rFonts w:eastAsiaTheme="minorHAnsi" w:cstheme="minorHAnsi"/>
          <w:noProof/>
          <w:szCs w:val="18"/>
        </w:rPr>
        <w:t>CHIP regulations at 42 C</w:t>
      </w:r>
      <w:r>
        <w:rPr>
          <w:rFonts w:eastAsiaTheme="minorHAnsi" w:cstheme="minorHAnsi"/>
          <w:noProof/>
          <w:szCs w:val="18"/>
        </w:rPr>
        <w:t>.</w:t>
      </w:r>
      <w:r w:rsidRPr="005C3660">
        <w:rPr>
          <w:rFonts w:eastAsiaTheme="minorHAnsi" w:cstheme="minorHAnsi"/>
          <w:noProof/>
          <w:szCs w:val="18"/>
        </w:rPr>
        <w:t>F</w:t>
      </w:r>
      <w:r>
        <w:rPr>
          <w:rFonts w:eastAsiaTheme="minorHAnsi" w:cstheme="minorHAnsi"/>
          <w:noProof/>
          <w:szCs w:val="18"/>
        </w:rPr>
        <w:t>.</w:t>
      </w:r>
      <w:r w:rsidRPr="005C3660">
        <w:rPr>
          <w:rFonts w:eastAsiaTheme="minorHAnsi" w:cstheme="minorHAnsi"/>
          <w:noProof/>
          <w:szCs w:val="18"/>
        </w:rPr>
        <w:t>R</w:t>
      </w:r>
      <w:r>
        <w:rPr>
          <w:rFonts w:eastAsiaTheme="minorHAnsi" w:cstheme="minorHAnsi"/>
          <w:noProof/>
          <w:szCs w:val="18"/>
        </w:rPr>
        <w:t>.</w:t>
      </w:r>
      <w:r w:rsidRPr="005C3660">
        <w:rPr>
          <w:rFonts w:eastAsiaTheme="minorHAnsi" w:cstheme="minorHAnsi"/>
          <w:noProof/>
          <w:szCs w:val="18"/>
        </w:rPr>
        <w:t xml:space="preserve"> 457.1250 cross-reference to all the Medicaid managed care EQR requirements at 42 C</w:t>
      </w:r>
      <w:r>
        <w:rPr>
          <w:rFonts w:eastAsiaTheme="minorHAnsi" w:cstheme="minorHAnsi"/>
          <w:noProof/>
          <w:szCs w:val="18"/>
        </w:rPr>
        <w:t>.</w:t>
      </w:r>
      <w:r w:rsidRPr="005C3660">
        <w:rPr>
          <w:rFonts w:eastAsiaTheme="minorHAnsi" w:cstheme="minorHAnsi"/>
          <w:noProof/>
          <w:szCs w:val="18"/>
        </w:rPr>
        <w:t>F</w:t>
      </w:r>
      <w:r>
        <w:rPr>
          <w:rFonts w:eastAsiaTheme="minorHAnsi" w:cstheme="minorHAnsi"/>
          <w:noProof/>
          <w:szCs w:val="18"/>
        </w:rPr>
        <w:t>.</w:t>
      </w:r>
      <w:r w:rsidRPr="005C3660">
        <w:rPr>
          <w:rFonts w:eastAsiaTheme="minorHAnsi" w:cstheme="minorHAnsi"/>
          <w:noProof/>
          <w:szCs w:val="18"/>
        </w:rPr>
        <w:t>R</w:t>
      </w:r>
      <w:r>
        <w:rPr>
          <w:rFonts w:eastAsiaTheme="minorHAnsi" w:cstheme="minorHAnsi"/>
          <w:noProof/>
          <w:szCs w:val="18"/>
        </w:rPr>
        <w:t>.</w:t>
      </w:r>
      <w:r w:rsidRPr="005C3660">
        <w:rPr>
          <w:rFonts w:eastAsiaTheme="minorHAnsi" w:cstheme="minorHAnsi"/>
          <w:noProof/>
          <w:szCs w:val="18"/>
        </w:rPr>
        <w:t xml:space="preserve"> </w:t>
      </w:r>
      <w:r w:rsidRPr="005C3660">
        <w:rPr>
          <w:rFonts w:cstheme="minorHAnsi"/>
          <w:szCs w:val="18"/>
        </w:rPr>
        <w:t>438.364.</w:t>
      </w:r>
    </w:p>
  </w:footnote>
  <w:footnote w:id="127">
    <w:p w:rsidR="0045391D" w:rsidRPr="00B86B4A" w:rsidP="00666AC0" w14:paraId="7FFFE661" w14:textId="3BF8980D">
      <w:pPr>
        <w:pStyle w:val="FootnoteText"/>
        <w:tabs>
          <w:tab w:val="left" w:pos="0"/>
          <w:tab w:val="clear" w:pos="216"/>
        </w:tabs>
        <w:ind w:left="86" w:hanging="86"/>
      </w:pPr>
      <w:r w:rsidRPr="00B86B4A">
        <w:rPr>
          <w:rStyle w:val="FootnoteReference"/>
        </w:rPr>
        <w:footnoteRef/>
      </w:r>
      <w:r w:rsidRPr="00B86B4A">
        <w:t xml:space="preserve"> </w:t>
      </w:r>
      <w:r w:rsidRPr="00B86B4A">
        <w:rPr>
          <w:szCs w:val="18"/>
        </w:rPr>
        <w:t>More information about the 2024 Medicaid and CHIP managed care final rule is available from the Federal Register at</w:t>
      </w:r>
      <w:r w:rsidRPr="00B86B4A">
        <w:t xml:space="preserve"> </w:t>
      </w:r>
      <w:hyperlink r:id="rId6" w:history="1">
        <w:r w:rsidRPr="008D4D8B">
          <w:rPr>
            <w:rStyle w:val="Hyperlink"/>
            <w:szCs w:val="18"/>
          </w:rPr>
          <w:t>https://www.govinfo.gov/content/pkg/FR-2024-05-10/pdf/2024-08085.pdf</w:t>
        </w:r>
      </w:hyperlink>
      <w:r w:rsidRPr="00B86B4A">
        <w:t>.</w:t>
      </w:r>
    </w:p>
  </w:footnote>
  <w:footnote w:id="128">
    <w:p w:rsidR="0045391D" w:rsidP="00666AC0" w14:paraId="173603E3" w14:textId="28F18C18">
      <w:pPr>
        <w:pStyle w:val="FootnoteText"/>
        <w:ind w:left="86" w:hanging="86"/>
      </w:pPr>
      <w:r w:rsidRPr="002C77DD">
        <w:rPr>
          <w:rStyle w:val="FootnoteReference"/>
        </w:rPr>
        <w:footnoteRef/>
      </w:r>
      <w:r w:rsidRPr="002C77DD">
        <w:t xml:space="preserve"> </w:t>
      </w:r>
      <w:r w:rsidRPr="002C77DD">
        <w:rPr>
          <w:rFonts w:cstheme="minorHAnsi"/>
          <w:szCs w:val="18"/>
        </w:rPr>
        <w:t xml:space="preserve">More information about CMS’s expectations for SDP evaluations is available in the CMCS Information Bulletin (CIB) dated </w:t>
      </w:r>
      <w:r w:rsidRPr="006B6779" w:rsidR="00FB34DC">
        <w:rPr>
          <w:rFonts w:cstheme="minorHAnsi"/>
          <w:szCs w:val="18"/>
        </w:rPr>
        <w:t>September 10, 2025</w:t>
      </w:r>
      <w:r w:rsidRPr="006B6779">
        <w:rPr>
          <w:rFonts w:cstheme="minorHAnsi"/>
          <w:szCs w:val="18"/>
        </w:rPr>
        <w:t xml:space="preserve"> available at </w:t>
      </w:r>
      <w:hyperlink r:id="rId44" w:history="1">
        <w:r w:rsidRPr="00FB34DC" w:rsidR="00FB34DC">
          <w:rPr>
            <w:rStyle w:val="Hyperlink"/>
            <w:rFonts w:cstheme="minorHAnsi"/>
            <w:szCs w:val="18"/>
          </w:rPr>
          <w:t>https://www.medicaid.gov/Federal-Policy-Guidance/Downloads/cib09102025.pdf</w:t>
        </w:r>
      </w:hyperlink>
      <w:r w:rsidRPr="006B6779" w:rsidR="00FB34DC">
        <w:rPr>
          <w:rFonts w:cstheme="minorHAnsi"/>
          <w:szCs w:val="18"/>
        </w:rPr>
        <w:t xml:space="preserve">. </w:t>
      </w:r>
    </w:p>
  </w:footnote>
  <w:footnote w:id="129">
    <w:p w:rsidR="00C33F18" w:rsidRPr="002C77DD" w14:paraId="46E1AEED" w14:textId="59B57C12">
      <w:pPr>
        <w:pStyle w:val="FootnoteText"/>
        <w:rPr>
          <w:b/>
          <w:bCs/>
        </w:rPr>
      </w:pPr>
      <w:r w:rsidRPr="002B1219">
        <w:rPr>
          <w:rStyle w:val="FootnoteReference"/>
          <w:b/>
          <w:bCs/>
        </w:rPr>
        <w:footnoteRef/>
      </w:r>
      <w:r w:rsidRPr="002B1219">
        <w:rPr>
          <w:b/>
          <w:bCs/>
        </w:rPr>
        <w:t xml:space="preserve"> </w:t>
      </w:r>
      <w:r w:rsidRPr="002B1219">
        <w:t>Cost percentage refers to the share of total capitation payments that a managed care program spends on ILOS.</w:t>
      </w:r>
      <w:r w:rsidRPr="002C77DD">
        <w:rPr>
          <w:b/>
          <w:bCs/>
        </w:rPr>
        <w:t xml:space="preserve"> </w:t>
      </w:r>
    </w:p>
  </w:footnote>
  <w:footnote w:id="130">
    <w:p w:rsidR="0045391D" w:rsidP="00666AC0" w14:paraId="0E3FDDA1" w14:textId="4C94DC4D">
      <w:pPr>
        <w:pStyle w:val="FootnoteText"/>
        <w:tabs>
          <w:tab w:val="left" w:pos="90"/>
          <w:tab w:val="clear" w:pos="216"/>
        </w:tabs>
        <w:ind w:left="90" w:hanging="90"/>
      </w:pPr>
      <w:r>
        <w:rPr>
          <w:rStyle w:val="FootnoteReference"/>
        </w:rPr>
        <w:footnoteRef/>
      </w:r>
      <w:r>
        <w:t xml:space="preserve"> </w:t>
      </w:r>
      <w:r w:rsidRPr="00847F5D">
        <w:rPr>
          <w:rFonts w:cstheme="minorHAnsi"/>
          <w:szCs w:val="18"/>
        </w:rPr>
        <w:t xml:space="preserve">See </w:t>
      </w:r>
      <w:r w:rsidRPr="006B6779">
        <w:rPr>
          <w:rFonts w:cstheme="minorHAnsi"/>
          <w:szCs w:val="18"/>
        </w:rPr>
        <w:t xml:space="preserve">page </w:t>
      </w:r>
      <w:r w:rsidRPr="006B6779" w:rsidR="00BF0F15">
        <w:rPr>
          <w:rFonts w:cstheme="minorHAnsi"/>
          <w:szCs w:val="18"/>
        </w:rPr>
        <w:t>[</w:t>
      </w:r>
      <w:r w:rsidRPr="006B6779">
        <w:rPr>
          <w:rFonts w:cstheme="minorHAnsi"/>
          <w:szCs w:val="18"/>
        </w:rPr>
        <w:t>xxx</w:t>
      </w:r>
      <w:r w:rsidRPr="009F5C60" w:rsidR="00BF0F15">
        <w:rPr>
          <w:rFonts w:cstheme="minorHAnsi"/>
          <w:szCs w:val="18"/>
        </w:rPr>
        <w:t>]</w:t>
      </w:r>
      <w:r w:rsidRPr="00847F5D">
        <w:rPr>
          <w:rFonts w:cstheme="minorHAnsi"/>
          <w:szCs w:val="18"/>
        </w:rPr>
        <w:t xml:space="preserve"> of the Introduction to these protocols for information on the federal financial participating eligibility for this optional EQR activity.</w:t>
      </w:r>
    </w:p>
  </w:footnote>
  <w:footnote w:id="131">
    <w:p w:rsidR="0045391D" w:rsidP="00666AC0" w14:paraId="43262BE0" w14:textId="77777777">
      <w:pPr>
        <w:pStyle w:val="FootnoteText"/>
        <w:ind w:left="86" w:hanging="86"/>
      </w:pPr>
      <w:r>
        <w:rPr>
          <w:rStyle w:val="FootnoteReference"/>
        </w:rPr>
        <w:footnoteRef/>
      </w:r>
      <w:r>
        <w:t xml:space="preserve"> </w:t>
      </w:r>
      <w:r w:rsidRPr="006B6779">
        <w:t xml:space="preserve">The SDP preprint template can be found at: </w:t>
      </w:r>
      <w:hyperlink r:id="rId45" w:history="1">
        <w:r w:rsidRPr="006B6779">
          <w:rPr>
            <w:rStyle w:val="Hyperlink"/>
          </w:rPr>
          <w:t>https://www.medicaid.gov/medicaid/managed-care/downloads/sdp-4386c-preprint-template.pdf</w:t>
        </w:r>
      </w:hyperlink>
      <w:r>
        <w:t xml:space="preserve"> </w:t>
      </w:r>
    </w:p>
  </w:footnote>
  <w:footnote w:id="132">
    <w:p w:rsidR="0045391D" w:rsidP="00666AC0" w14:paraId="2A6E07AB" w14:textId="77777777">
      <w:pPr>
        <w:pStyle w:val="FootnoteText"/>
        <w:tabs>
          <w:tab w:val="left" w:pos="90"/>
          <w:tab w:val="clear" w:pos="216"/>
        </w:tabs>
        <w:ind w:left="90" w:hanging="90"/>
      </w:pPr>
      <w:r>
        <w:rPr>
          <w:rStyle w:val="FootnoteReference"/>
        </w:rPr>
        <w:footnoteRef/>
      </w:r>
      <w:r>
        <w:t xml:space="preserve"> Information on developing and using a logic model is available at </w:t>
      </w:r>
      <w:hyperlink r:id="rId46" w:history="1">
        <w:r w:rsidRPr="00C5694B">
          <w:rPr>
            <w:rStyle w:val="Hyperlink"/>
          </w:rPr>
          <w:t>https://www.cdc.gov/cardiovascular-resources/php/toolkit/developing-and-using-a-logic-model.html</w:t>
        </w:r>
      </w:hyperlink>
      <w:r>
        <w:rPr>
          <w:rStyle w:val="Hyperlink"/>
        </w:rPr>
        <w:t>.</w:t>
      </w:r>
      <w:r>
        <w:t xml:space="preserve"> </w:t>
      </w:r>
    </w:p>
  </w:footnote>
  <w:footnote w:id="133">
    <w:p w:rsidR="0045391D" w:rsidP="00666AC0" w14:paraId="5A28F60C" w14:textId="77777777">
      <w:pPr>
        <w:pStyle w:val="FootnoteText"/>
        <w:tabs>
          <w:tab w:val="left" w:pos="90"/>
          <w:tab w:val="clear" w:pos="216"/>
        </w:tabs>
        <w:ind w:left="90" w:hanging="90"/>
      </w:pPr>
      <w:r>
        <w:rPr>
          <w:rStyle w:val="FootnoteReference"/>
        </w:rPr>
        <w:footnoteRef/>
      </w:r>
      <w:r>
        <w:t xml:space="preserve"> Information on developing logic models to guide the planning and evaluation of complex initiatives is available at </w:t>
      </w:r>
      <w:hyperlink r:id="rId47" w:history="1">
        <w:r w:rsidRPr="006B6779">
          <w:rPr>
            <w:rStyle w:val="Hyperlink"/>
          </w:rPr>
          <w:t>https://www.mathematica.org/publications/using-logic-models-to-guide-the-planning-and-evaluation-of-complex-initiatives</w:t>
        </w:r>
      </w:hyperlink>
      <w:r w:rsidRPr="006B6779">
        <w:rPr>
          <w:rStyle w:val="Hyperlink"/>
        </w:rPr>
        <w:t>.</w:t>
      </w:r>
      <w:r>
        <w:t xml:space="preserve"> </w:t>
      </w:r>
    </w:p>
  </w:footnote>
  <w:footnote w:id="134">
    <w:p w:rsidR="0045391D" w:rsidP="00666AC0" w14:paraId="70741CC6" w14:textId="77777777">
      <w:pPr>
        <w:pStyle w:val="FootnoteText"/>
        <w:tabs>
          <w:tab w:val="left" w:pos="90"/>
          <w:tab w:val="clear" w:pos="216"/>
        </w:tabs>
        <w:ind w:left="90" w:hanging="90"/>
      </w:pPr>
      <w:r w:rsidRPr="002B1219">
        <w:rPr>
          <w:rStyle w:val="FootnoteReference"/>
        </w:rPr>
        <w:footnoteRef/>
      </w:r>
      <w:r w:rsidRPr="002B1219">
        <w:t xml:space="preserve"> More information on federal data security and privacy requirements is available at </w:t>
      </w:r>
      <w:bookmarkStart w:id="1076" w:name="_Hlk189809086"/>
      <w:hyperlink r:id="rId48" w:history="1">
        <w:r w:rsidRPr="002B1219">
          <w:rPr>
            <w:rStyle w:val="Hyperlink"/>
          </w:rPr>
          <w:t>https://downloads.cms.gov/cmsgov/archived-downloads/SMDL/downloads/SMD092006.pdf</w:t>
        </w:r>
      </w:hyperlink>
      <w:r w:rsidRPr="002B1219">
        <w:t>.</w:t>
      </w:r>
      <w:r>
        <w:t xml:space="preserve"> </w:t>
      </w:r>
      <w:bookmarkEnd w:id="1076"/>
    </w:p>
  </w:footnote>
  <w:footnote w:id="135">
    <w:p w:rsidR="0045391D" w:rsidP="00666AC0" w14:paraId="3180BFC8" w14:textId="77777777">
      <w:pPr>
        <w:pStyle w:val="FootnoteText"/>
        <w:ind w:left="86" w:hanging="86"/>
      </w:pPr>
      <w:r w:rsidRPr="002B1219">
        <w:rPr>
          <w:rStyle w:val="FootnoteReference"/>
        </w:rPr>
        <w:footnoteRef/>
      </w:r>
      <w:r w:rsidRPr="002B1219">
        <w:t xml:space="preserve"> Structural changes to Medicaid and CHIP programs—such as eligibility expansions, enrollment shifts (e.g., moving new populations into managed care), changes in covered benefits, or the introduction of new delivery system models—can substantially alter the characteristics of the population being served over time. As a result, the baseline (pre-implementation) population may differ meaningfully from the post-implementation population in demographics, health status, service needs, or utilization patterns. In these cases, direct comparisons may not accurately reflect the impact of the intervention, requiring alternative evaluation strategies such as trend analyses or adjusted comparisons.</w:t>
      </w:r>
    </w:p>
  </w:footnote>
  <w:footnote w:id="136">
    <w:p w:rsidR="0045391D" w:rsidP="00666AC0" w14:paraId="334A2C35" w14:textId="77777777">
      <w:pPr>
        <w:pStyle w:val="FootnoteText"/>
        <w:tabs>
          <w:tab w:val="left" w:pos="90"/>
          <w:tab w:val="clear" w:pos="216"/>
        </w:tabs>
        <w:ind w:left="90" w:hanging="90"/>
      </w:pPr>
      <w:r>
        <w:rPr>
          <w:rStyle w:val="FootnoteReference"/>
        </w:rPr>
        <w:footnoteRef/>
      </w:r>
      <w:r>
        <w:t xml:space="preserve"> More guidance on developing evaluation methodology is available at </w:t>
      </w:r>
      <w:hyperlink r:id="rId49" w:history="1">
        <w:r w:rsidRPr="004452B6">
          <w:rPr>
            <w:rStyle w:val="Hyperlink"/>
          </w:rPr>
          <w:t>https://www.medicaid.gov/medicaid/section-1115-demonstrations/1115-demonstration-monitoring-evaluation/1115-demonstration-state-monitoring-evaluation-resources/index.html</w:t>
        </w:r>
      </w:hyperlink>
      <w:r w:rsidRPr="00267BF9">
        <w:rPr>
          <w:rStyle w:val="Hyperlink"/>
          <w:color w:val="auto"/>
        </w:rPr>
        <w:t>.</w:t>
      </w:r>
      <w:r>
        <w:t xml:space="preserve"> </w:t>
      </w:r>
    </w:p>
  </w:footnote>
  <w:footnote w:id="137">
    <w:p w:rsidR="0045391D" w:rsidP="00666AC0" w14:paraId="3F8EAAD8" w14:textId="77777777">
      <w:pPr>
        <w:pStyle w:val="FootnoteText"/>
        <w:tabs>
          <w:tab w:val="left" w:pos="180"/>
          <w:tab w:val="clear" w:pos="216"/>
        </w:tabs>
        <w:ind w:left="180" w:hanging="180"/>
      </w:pPr>
      <w:r>
        <w:rPr>
          <w:rStyle w:val="FootnoteReference"/>
        </w:rPr>
        <w:footnoteRef/>
      </w:r>
      <w:r>
        <w:t xml:space="preserve"> More guidance on stratifying data is available from CMS Office of Minority Health at </w:t>
      </w:r>
      <w:hyperlink r:id="rId50" w:history="1">
        <w:r w:rsidRPr="00D905CA">
          <w:rPr>
            <w:rStyle w:val="Hyperlink"/>
          </w:rPr>
          <w:t>https://www.cms.gov/priorities/health-equity/minority-health/research-data/stratified-reporting</w:t>
        </w:r>
      </w:hyperlink>
      <w:r>
        <w:t xml:space="preserve">. Guidance on stratifying Core Set measures is available at </w:t>
      </w:r>
      <w:hyperlink r:id="rId34" w:history="1">
        <w:r w:rsidRPr="00D905CA">
          <w:rPr>
            <w:rStyle w:val="Hyperlink"/>
          </w:rPr>
          <w:t>https://www.medicaid.gov/medicaid/quality-of-care/downloads/QMR-stratification-resource.pdf</w:t>
        </w:r>
      </w:hyperlink>
      <w:r>
        <w:t xml:space="preserve">. Guidance on improving health equity-related data is available at </w:t>
      </w:r>
      <w:hyperlink r:id="rId51" w:history="1">
        <w:r w:rsidRPr="00D905CA">
          <w:rPr>
            <w:rStyle w:val="Hyperlink"/>
          </w:rPr>
          <w:t>https://www.cms.gov/files/document/cms-2024-omh-data-definitions.pdf</w:t>
        </w:r>
      </w:hyperlink>
      <w:r>
        <w:t xml:space="preserve">.   </w:t>
      </w:r>
    </w:p>
  </w:footnote>
  <w:footnote w:id="138">
    <w:p w:rsidR="0045391D" w:rsidP="00666AC0" w14:paraId="5F3D0625" w14:textId="77777777">
      <w:pPr>
        <w:pStyle w:val="FootnoteText"/>
        <w:tabs>
          <w:tab w:val="left" w:pos="180"/>
          <w:tab w:val="clear" w:pos="216"/>
        </w:tabs>
        <w:ind w:left="180" w:hanging="180"/>
      </w:pPr>
      <w:r>
        <w:rPr>
          <w:rStyle w:val="FootnoteReference"/>
        </w:rPr>
        <w:footnoteRef/>
      </w:r>
      <w:r>
        <w:t xml:space="preserve"> More guidance on conducting sensitivity analyses is available at </w:t>
      </w:r>
      <w:hyperlink r:id="rId52" w:history="1">
        <w:r w:rsidRPr="005E0095">
          <w:rPr>
            <w:rStyle w:val="Hyperlink"/>
          </w:rPr>
          <w:t>https://effectivehealthcare.ahrq.gov/sites/default/files/ch_11-user-guide-to-ocer_130129.pdf</w:t>
        </w:r>
      </w:hyperlink>
      <w:r w:rsidRPr="00016F54">
        <w:rPr>
          <w:rStyle w:val="Hyperlink"/>
          <w:color w:val="auto"/>
        </w:rPr>
        <w:t>.</w:t>
      </w:r>
      <w:r>
        <w:t xml:space="preserve"> </w:t>
      </w:r>
    </w:p>
  </w:footnote>
  <w:footnote w:id="139">
    <w:p w:rsidR="0045391D" w:rsidRPr="002B1219" w:rsidP="00666AC0" w14:paraId="4321A5F0" w14:textId="77777777">
      <w:pPr>
        <w:pStyle w:val="FootnoteText"/>
        <w:ind w:left="86" w:hanging="86"/>
      </w:pPr>
      <w:r w:rsidRPr="002B1219">
        <w:rPr>
          <w:rStyle w:val="FootnoteReference"/>
        </w:rPr>
        <w:footnoteRef/>
      </w:r>
      <w:r w:rsidRPr="002B1219">
        <w:t xml:space="preserve"> A measure may be unavailable at the time of planning due to factors such as claims lag, delays in data submission, or finalization of technical specifications. However, it is important to ensure that baseline statistics are calculated and available prior to conducting the evaluation, as they are critical for interpreting trends, assessing interim benchmarks, and determining whether the initiative is achieving its intended outcomes.</w:t>
      </w:r>
    </w:p>
  </w:footnote>
  <w:footnote w:id="140">
    <w:p w:rsidR="0045391D" w:rsidP="00666AC0" w14:paraId="7CE7C29F" w14:textId="77777777">
      <w:pPr>
        <w:pStyle w:val="FootnoteText"/>
        <w:ind w:left="86" w:hanging="86"/>
      </w:pPr>
      <w:r w:rsidRPr="002B1219">
        <w:rPr>
          <w:rStyle w:val="FootnoteReference"/>
        </w:rPr>
        <w:footnoteRef/>
      </w:r>
      <w:r w:rsidRPr="002B1219">
        <w:t xml:space="preserve"> Performance targets may be unavailable at the time of evaluation planning due to factors such as claims lag, delays in data submission, or the finalization of technical specifications. However, once the necessary data become available, EQROs should work with the state to ensure that appropriate performance targets are established. These targets are critical for assessing progress toward interim benchmarks and determining whether the initiative is achieving its intended outcomes.</w:t>
      </w:r>
    </w:p>
  </w:footnote>
  <w:footnote w:id="141">
    <w:p w:rsidR="00ED33C3" w:rsidRPr="00E77F98" w:rsidP="0032619B" w14:paraId="65A460F5" w14:textId="784A4044">
      <w:pPr>
        <w:pStyle w:val="FootnoteText"/>
      </w:pPr>
      <w:r w:rsidRPr="00E77F98">
        <w:rPr>
          <w:rStyle w:val="FootnoteReference"/>
          <w:szCs w:val="17"/>
        </w:rPr>
        <w:footnoteRef/>
      </w:r>
      <w:r>
        <w:tab/>
      </w:r>
      <w:r w:rsidRPr="00E77F98">
        <w:t>For the purposes of th</w:t>
      </w:r>
      <w:r>
        <w:t>e EQR protocols</w:t>
      </w:r>
      <w:r w:rsidRPr="00E77F98">
        <w:t xml:space="preserve">, the term MCP includes </w:t>
      </w:r>
      <w:r>
        <w:t>m</w:t>
      </w:r>
      <w:r w:rsidRPr="00E77F98">
        <w:t xml:space="preserve">anaged care organizations (MCOs), prepaid inpatient health plans (PIHPs), and prepaid ambulatory health plans (PAHPs), but does not include </w:t>
      </w:r>
      <w:r>
        <w:t>primary care case management (</w:t>
      </w:r>
      <w:r w:rsidRPr="00E77F98">
        <w:t>PCCM</w:t>
      </w:r>
      <w:r>
        <w:t>)</w:t>
      </w:r>
      <w:r w:rsidRPr="00E77F98">
        <w:t xml:space="preserve"> entities.</w:t>
      </w:r>
    </w:p>
  </w:footnote>
  <w:footnote w:id="142">
    <w:p w:rsidR="00ED33C3" w:rsidRPr="00DA110A" w14:paraId="0F211CA6" w14:textId="15262D50">
      <w:pPr>
        <w:pStyle w:val="FootnoteText"/>
      </w:pPr>
      <w:r>
        <w:rPr>
          <w:rStyle w:val="FootnoteReference"/>
        </w:rPr>
        <w:footnoteRef/>
      </w:r>
      <w:r>
        <w:tab/>
      </w:r>
      <w:r w:rsidRPr="00DA110A">
        <w:t>See</w:t>
      </w:r>
      <w:r w:rsidRPr="000E1F61">
        <w:t xml:space="preserve"> </w:t>
      </w:r>
      <w:hyperlink r:id="rId53" w:tooltip="Public Law 114 - 255 - 21st Century Cures Act" w:history="1">
        <w:r w:rsidRPr="006B6779">
          <w:rPr>
            <w:rStyle w:val="Hyperlink"/>
          </w:rPr>
          <w:t>https://www.gpo.gov/fdsys/pkg/PLAW-114publ255/content-detail.html</w:t>
        </w:r>
      </w:hyperlink>
      <w:r w:rsidRPr="000E1F61">
        <w:t xml:space="preserve"> </w:t>
      </w:r>
      <w:r w:rsidRPr="00DA110A">
        <w:t xml:space="preserve">for more information about the 21st Century Cures Act.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933E09" w:rsidP="00933E09" w14:paraId="175C0B03" w14:textId="1C1BFFF6">
    <w:pPr>
      <w:jc w:val="right"/>
      <w:rPr>
        <w:rFonts w:ascii="Arial" w:hAnsi="Arial" w:cs="Arial"/>
        <w:bCs/>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070780" w:rsidP="0039264F" w14:paraId="7EFBCC3A" w14:textId="523A1D10">
    <w:pPr>
      <w:pStyle w:val="EQRHeader-NOLINE"/>
    </w:pPr>
    <w:r>
      <w:rPr>
        <w:noProof/>
      </w:rPr>
      <mc:AlternateContent>
        <mc:Choice Requires="wps">
          <w:drawing>
            <wp:anchor distT="0" distB="0" distL="114300" distR="114300" simplePos="0" relativeHeight="251746304" behindDoc="0" locked="1" layoutInCell="1" allowOverlap="1">
              <wp:simplePos x="0" y="0"/>
              <wp:positionH relativeFrom="margin">
                <wp:posOffset>-3657600</wp:posOffset>
              </wp:positionH>
              <wp:positionV relativeFrom="margin">
                <wp:posOffset>-368935</wp:posOffset>
              </wp:positionV>
              <wp:extent cx="10515600" cy="45720"/>
              <wp:effectExtent l="0" t="0" r="0" b="0"/>
              <wp:wrapNone/>
              <wp:docPr id="941187315" name="Rectangle 4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8" o:spid="_x0000_s2053" style="width:828pt;height:3.6pt;margin-top:-29.05pt;margin-left:-4in;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47328" fillcolor="#00559d" stroked="f">
              <v:fill color2="#67c7c5" angle="90" focus="100%" type="gradient"/>
              <w10:wrap anchorx="margin" anchory="margin"/>
              <w10:anchorlock/>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P="008B632F" w14:paraId="1BF49BC3" w14:textId="16E9861E">
    <w:pPr>
      <w:pStyle w:val="EQRHeader-NOLINE"/>
    </w:pPr>
    <w:r>
      <w:rPr>
        <w:noProof/>
      </w:rPr>
      <mc:AlternateContent>
        <mc:Choice Requires="wps">
          <w:drawing>
            <wp:anchor distT="0" distB="0" distL="114300" distR="114300" simplePos="0" relativeHeight="251744256" behindDoc="0" locked="1" layoutInCell="1" allowOverlap="1">
              <wp:simplePos x="0" y="0"/>
              <wp:positionH relativeFrom="margin">
                <wp:posOffset>-3657600</wp:posOffset>
              </wp:positionH>
              <wp:positionV relativeFrom="margin">
                <wp:posOffset>-368935</wp:posOffset>
              </wp:positionV>
              <wp:extent cx="10515600" cy="45720"/>
              <wp:effectExtent l="0" t="0" r="0" b="0"/>
              <wp:wrapNone/>
              <wp:docPr id="1703123713" name="Rectangle 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 o:spid="_x0000_s2054" style="width:828pt;height:3.6pt;margin-top:-29.05pt;margin-left:-4in;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45280" fillcolor="#00559d" stroked="f">
              <v:fill color2="#67c7c5" angle="90" focus="100%" type="gradient"/>
              <w10:wrap anchorx="margin" anchory="margin"/>
              <w10:anchorlock/>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B21B1C" w:rsidP="00B21B1C" w14:paraId="5D2D0BBA" w14:textId="08E50E5B">
    <w:pPr>
      <w:pStyle w:val="EQRHeader-NOLINE"/>
    </w:pPr>
    <w:r>
      <w:rPr>
        <w:noProof/>
      </w:rPr>
      <mc:AlternateContent>
        <mc:Choice Requires="wps">
          <w:drawing>
            <wp:anchor distT="0" distB="0" distL="114300" distR="114300" simplePos="0" relativeHeight="251697152" behindDoc="0" locked="1" layoutInCell="1" allowOverlap="1">
              <wp:simplePos x="0" y="0"/>
              <wp:positionH relativeFrom="margin">
                <wp:posOffset>-1365250</wp:posOffset>
              </wp:positionH>
              <wp:positionV relativeFrom="margin">
                <wp:posOffset>-414655</wp:posOffset>
              </wp:positionV>
              <wp:extent cx="10515600" cy="45720"/>
              <wp:effectExtent l="0" t="0" r="0" b="0"/>
              <wp:wrapNone/>
              <wp:docPr id="380933071" name="Rectangle 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 o:spid="_x0000_s2055" style="width:828pt;height:3.6pt;margin-top:-32.65pt;margin-left:-107.5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698176" fillcolor="#00559d" stroked="f">
              <v:fill color2="#67c7c5" angle="90" focus="100%" type="gradient"/>
              <w10:wrap anchorx="margin" anchory="margin"/>
              <w10:anchorlock/>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070780" w:rsidP="0039264F" w14:paraId="24B2C22E" w14:textId="05D89B7D">
    <w:pPr>
      <w:pStyle w:val="EQRHeader-NOLINE"/>
    </w:pPr>
    <w:r>
      <w:rPr>
        <w:noProof/>
      </w:rPr>
      <mc:AlternateContent>
        <mc:Choice Requires="wps">
          <w:drawing>
            <wp:anchor distT="0" distB="0" distL="114300" distR="114300" simplePos="0" relativeHeight="251662336" behindDoc="0" locked="1" layoutInCell="1" allowOverlap="1">
              <wp:simplePos x="0" y="0"/>
              <wp:positionH relativeFrom="margin">
                <wp:posOffset>-1365250</wp:posOffset>
              </wp:positionH>
              <wp:positionV relativeFrom="margin">
                <wp:posOffset>-414655</wp:posOffset>
              </wp:positionV>
              <wp:extent cx="10515600" cy="45720"/>
              <wp:effectExtent l="0" t="0" r="0" b="0"/>
              <wp:wrapNone/>
              <wp:docPr id="1762001530" name="Rectangle 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 o:spid="_x0000_s2056" style="width:828pt;height:3.6pt;margin-top:-32.65pt;margin-left:-107.5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663360" fillcolor="#00559d" stroked="f">
              <v:fill color2="#67c7c5" angle="90" focus="100%" type="gradient"/>
              <w10:wrap anchorx="margin" anchory="margin"/>
              <w10:anchorlock/>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P="00A91E0F" w14:paraId="64A12427" w14:textId="4A7A0BCA">
    <w:pPr>
      <w:pStyle w:val="EQRHeader-NOLIN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FF1970" w:rsidP="00FF1970" w14:paraId="7135AC14" w14:textId="49E75D7D">
    <w:pPr>
      <w:pStyle w:val="EQRHeader-NOLINE"/>
    </w:pPr>
    <w:r>
      <w:rPr>
        <w:noProof/>
      </w:rPr>
      <mc:AlternateContent>
        <mc:Choice Requires="wps">
          <w:drawing>
            <wp:anchor distT="0" distB="0" distL="114300" distR="114300" simplePos="0" relativeHeight="251699200" behindDoc="0" locked="1" layoutInCell="1" allowOverlap="1">
              <wp:simplePos x="0" y="0"/>
              <wp:positionH relativeFrom="margin">
                <wp:posOffset>-3657600</wp:posOffset>
              </wp:positionH>
              <wp:positionV relativeFrom="margin">
                <wp:posOffset>-368935</wp:posOffset>
              </wp:positionV>
              <wp:extent cx="10515600" cy="45720"/>
              <wp:effectExtent l="0" t="0" r="0" b="0"/>
              <wp:wrapNone/>
              <wp:docPr id="1027934150" name="Rectangle 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 o:spid="_x0000_s2057" style="width:828pt;height:3.6pt;margin-top:-29.05pt;margin-left:-4in;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00224" fillcolor="#00559d" stroked="f">
              <v:fill color2="#67c7c5" angle="90" focus="100%" type="gradient"/>
              <w10:wrap anchorx="margin" anchory="margin"/>
              <w10:anchorlock/>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P="00A91E0F" w14:paraId="2FEBE748" w14:textId="6CA4D281">
    <w:pPr>
      <w:pStyle w:val="EQRHeader-NOLINE"/>
    </w:pPr>
    <w:r>
      <w:rPr>
        <w:noProof/>
      </w:rPr>
      <mc:AlternateContent>
        <mc:Choice Requires="wps">
          <w:drawing>
            <wp:anchor distT="0" distB="0" distL="114300" distR="114300" simplePos="0" relativeHeight="251666432" behindDoc="0" locked="1" layoutInCell="1" allowOverlap="1">
              <wp:simplePos x="0" y="0"/>
              <wp:positionH relativeFrom="margin">
                <wp:posOffset>-3657600</wp:posOffset>
              </wp:positionH>
              <wp:positionV relativeFrom="margin">
                <wp:posOffset>-368935</wp:posOffset>
              </wp:positionV>
              <wp:extent cx="10515600" cy="45720"/>
              <wp:effectExtent l="0" t="0" r="0" b="0"/>
              <wp:wrapNone/>
              <wp:docPr id="334508628" name="Rectangle 4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2" o:spid="_x0000_s2059" style="width:828pt;height:3.6pt;margin-top:-29.05pt;margin-left:-4in;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667456" fillcolor="#00559d" stroked="f">
              <v:fill color2="#67c7c5" angle="90" focus="100%" type="gradient"/>
              <w10:wrap anchorx="margin" anchory="margin"/>
              <w10:anchorlock/>
            </v:rect>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17D3A" w:rsidP="00FF1970" w14:paraId="17220BEB" w14:textId="6F2B3520">
    <w:pPr>
      <w:pStyle w:val="EQRHeader-NOLINE"/>
    </w:pPr>
    <w:r>
      <w:rPr>
        <w:noProof/>
      </w:rPr>
      <mc:AlternateContent>
        <mc:Choice Requires="wps">
          <w:drawing>
            <wp:anchor distT="0" distB="0" distL="114300" distR="114300" simplePos="0" relativeHeight="251701248" behindDoc="0" locked="1" layoutInCell="1" allowOverlap="1">
              <wp:simplePos x="0" y="0"/>
              <wp:positionH relativeFrom="margin">
                <wp:posOffset>-3651250</wp:posOffset>
              </wp:positionH>
              <wp:positionV relativeFrom="margin">
                <wp:posOffset>-394970</wp:posOffset>
              </wp:positionV>
              <wp:extent cx="10515600" cy="45720"/>
              <wp:effectExtent l="0" t="0" r="0" b="0"/>
              <wp:wrapNone/>
              <wp:docPr id="1729669662" name="Rectangle 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1" o:spid="_x0000_s2060" style="width:828pt;height:3.6pt;margin-top:-31.1pt;margin-left:-287.5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02272" fillcolor="#00559d" stroked="f">
              <v:fill color2="#67c7c5" angle="90" focus="100%" type="gradient"/>
              <w10:wrap anchorx="margin" anchory="margin"/>
              <w10:anchorlock/>
            </v:rect>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17D3A" w:rsidP="00D22525" w14:paraId="41F8659C" w14:textId="626B0C82">
    <w:pPr>
      <w:pStyle w:val="EQRHeader-NOLINE"/>
    </w:pPr>
    <w:r>
      <w:rPr>
        <w:noProof/>
      </w:rPr>
      <mc:AlternateContent>
        <mc:Choice Requires="wps">
          <w:drawing>
            <wp:anchor distT="0" distB="0" distL="114300" distR="114300" simplePos="0" relativeHeight="251658240" behindDoc="0" locked="1" layoutInCell="1" allowOverlap="1">
              <wp:simplePos x="0" y="0"/>
              <wp:positionH relativeFrom="margin">
                <wp:posOffset>-3651250</wp:posOffset>
              </wp:positionH>
              <wp:positionV relativeFrom="margin">
                <wp:posOffset>-394970</wp:posOffset>
              </wp:positionV>
              <wp:extent cx="10515600" cy="45720"/>
              <wp:effectExtent l="0" t="0" r="0" b="0"/>
              <wp:wrapNone/>
              <wp:docPr id="253286110" name="Rectangle 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0" o:spid="_x0000_s2061" style="width:828pt;height:3.6pt;margin-top:-31.1pt;margin-left:-287.5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659264" fillcolor="#00559d" stroked="f">
              <v:fill color2="#67c7c5" angle="90" focus="100%" type="gradient"/>
              <w10:wrap anchorx="margin" anchory="margin"/>
              <w10:anchorlock/>
            </v:rect>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17D3A" w:rsidP="005D67C0" w14:paraId="7242483D" w14:textId="79959C21">
    <w:pPr>
      <w:pStyle w:val="EQRHeader-NOLINE"/>
      <w:rPr>
        <w:sz w:val="15"/>
        <w:szCs w:val="15"/>
      </w:rPr>
    </w:pPr>
    <w:r>
      <w:rPr>
        <w:noProof/>
      </w:rPr>
      <mc:AlternateContent>
        <mc:Choice Requires="wps">
          <w:drawing>
            <wp:anchor distT="0" distB="0" distL="114300" distR="114300" simplePos="0" relativeHeight="251664384" behindDoc="1" locked="0" layoutInCell="1" allowOverlap="1">
              <wp:simplePos x="0" y="0"/>
              <wp:positionH relativeFrom="margin">
                <wp:posOffset>5031740</wp:posOffset>
              </wp:positionH>
              <wp:positionV relativeFrom="paragraph">
                <wp:posOffset>-457200</wp:posOffset>
              </wp:positionV>
              <wp:extent cx="1828800" cy="10058400"/>
              <wp:effectExtent l="0" t="0" r="0" b="0"/>
              <wp:wrapSquare wrapText="bothSides"/>
              <wp:docPr id="1741599207" name="Rectangle 39"/>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10058400"/>
                      </a:xfrm>
                      <a:prstGeom prst="rect">
                        <a:avLst/>
                      </a:prstGeom>
                      <a:solidFill>
                        <a:srgbClr val="00828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33C3" w:rsidRPr="009A1709" w:rsidP="00BD4ED2" w14:textId="75D2D343">
                          <w:pPr>
                            <w:spacing w:before="480"/>
                            <w:jc w:val="center"/>
                            <w:rPr>
                              <w:rFonts w:ascii="Arial Black" w:hAnsi="Arial Black"/>
                              <w:sz w:val="92"/>
                              <w:szCs w:val="92"/>
                            </w:rPr>
                          </w:pPr>
                          <w:r w:rsidRPr="009A1709">
                            <w:rPr>
                              <w:rFonts w:ascii="Arial Black" w:hAnsi="Arial Black"/>
                              <w:sz w:val="92"/>
                              <w:szCs w:val="92"/>
                            </w:rPr>
                            <w:t>PROTOCOL ONE</w:t>
                          </w:r>
                        </w:p>
                      </w:txbxContent>
                    </wps:txbx>
                    <wps:bodyPr rot="0" spcFirstLastPara="0" vertOverflow="overflow" horzOverflow="overflow" vert="vert" wrap="square" lIns="91440" tIns="548640" rIns="91440" bIns="7315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9" o:spid="_x0000_s2062" style="width:2in;height:11in;margin-top:-36pt;margin-left:396.2pt;mso-height-percent:0;mso-height-relative:margin;mso-position-horizontal-relative:margin;mso-width-percent:0;mso-width-relative:margin;mso-wrap-distance-bottom:0;mso-wrap-distance-left:9pt;mso-wrap-distance-right:9pt;mso-wrap-distance-top:0;mso-wrap-style:square;position:absolute;visibility:visible;v-text-anchor:middle;z-index:-251651072" fillcolor="#00828c" stroked="f" strokeweight="1pt">
              <v:textbox style="layout-flow:vertical" inset=",43.2pt,,57.6pt">
                <w:txbxContent>
                  <w:p w:rsidR="00ED33C3" w:rsidRPr="009A1709" w:rsidP="00BD4ED2" w14:paraId="6AD0B55D" w14:textId="75D2D343">
                    <w:pPr>
                      <w:spacing w:before="480"/>
                      <w:jc w:val="center"/>
                      <w:rPr>
                        <w:rFonts w:ascii="Arial Black" w:hAnsi="Arial Black"/>
                        <w:sz w:val="92"/>
                        <w:szCs w:val="92"/>
                      </w:rPr>
                    </w:pPr>
                    <w:r w:rsidRPr="009A1709">
                      <w:rPr>
                        <w:rFonts w:ascii="Arial Black" w:hAnsi="Arial Black"/>
                        <w:sz w:val="92"/>
                        <w:szCs w:val="92"/>
                      </w:rPr>
                      <w:t>PROTOCOL ONE</w:t>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32C9F" w:rsidP="004C45D7" w14:paraId="11908D85" w14:textId="77777777">
    <w:pPr>
      <w:jc w:val="right"/>
      <w:rPr>
        <w:rFonts w:ascii="Arial" w:hAnsi="Arial" w:cs="Arial"/>
        <w:bCs/>
        <w:sz w:val="20"/>
      </w:rPr>
    </w:pPr>
    <w:r w:rsidRPr="00D32C9F">
      <w:rPr>
        <w:rFonts w:ascii="Arial" w:hAnsi="Arial" w:cs="Arial"/>
        <w:bCs/>
        <w:sz w:val="20"/>
      </w:rPr>
      <w:t>OMB Approval No.</w:t>
    </w:r>
  </w:p>
  <w:p w:rsidR="00ED33C3" w:rsidRPr="00D32C9F" w:rsidP="004C45D7" w14:paraId="7191EDF9" w14:textId="2D1D8FF6">
    <w:pPr>
      <w:jc w:val="right"/>
      <w:rPr>
        <w:rFonts w:ascii="Arial" w:hAnsi="Arial" w:cs="Arial"/>
        <w:bCs/>
        <w:sz w:val="20"/>
      </w:rPr>
    </w:pPr>
    <w:r w:rsidRPr="002F4CA8">
      <w:rPr>
        <w:rFonts w:ascii="Arial" w:hAnsi="Arial" w:cs="Arial"/>
        <w:bCs/>
        <w:sz w:val="20"/>
        <w:highlight w:val="yellow"/>
      </w:rPr>
      <w:t>XXXX-XXXX</w:t>
    </w:r>
  </w:p>
  <w:p w:rsidR="00ED33C3" w:rsidP="004C45D7" w14:paraId="7CACF06D" w14:textId="77777777">
    <w:pPr>
      <w:pStyle w:val="EQRHeader-NOLIN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P="00FF1970" w14:paraId="10BC6232" w14:textId="12EB2BE5">
    <w:pPr>
      <w:pStyle w:val="EQRHeader-NOLINE"/>
    </w:pPr>
    <w:r>
      <w:rPr>
        <w:noProof/>
      </w:rPr>
      <mc:AlternateContent>
        <mc:Choice Requires="wps">
          <w:drawing>
            <wp:anchor distT="0" distB="0" distL="114300" distR="114300" simplePos="0" relativeHeight="251703296" behindDoc="0" locked="1" layoutInCell="1" allowOverlap="1">
              <wp:simplePos x="0" y="0"/>
              <wp:positionH relativeFrom="margin">
                <wp:posOffset>-3651250</wp:posOffset>
              </wp:positionH>
              <wp:positionV relativeFrom="margin">
                <wp:posOffset>-394970</wp:posOffset>
              </wp:positionV>
              <wp:extent cx="10515600" cy="45720"/>
              <wp:effectExtent l="0" t="0" r="0" b="0"/>
              <wp:wrapNone/>
              <wp:docPr id="1305102470" name="Rectangle 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8" o:spid="_x0000_s2063" style="width:828pt;height:3.6pt;margin-top:-31.1pt;margin-left:-287.5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04320" fillcolor="#00559d" stroked="f">
              <v:fill color2="#67c7c5" angle="90" focus="100%" type="gradient"/>
              <w10:wrap anchorx="margin" anchory="margin"/>
              <w10:anchorlock/>
            </v:rect>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30FC8" w:rsidRPr="00D17D3A" w:rsidP="00FF1970" w14:paraId="39A6A2C1" w14:textId="77777777">
    <w:pPr>
      <w:pStyle w:val="EQRHeader-NOLINE"/>
    </w:pPr>
    <w:r>
      <w:rPr>
        <w:noProof/>
      </w:rPr>
      <mc:AlternateContent>
        <mc:Choice Requires="wps">
          <w:drawing>
            <wp:anchor distT="0" distB="0" distL="114300" distR="114300" simplePos="0" relativeHeight="251750400" behindDoc="0" locked="1" layoutInCell="1" allowOverlap="1">
              <wp:simplePos x="0" y="0"/>
              <wp:positionH relativeFrom="margin">
                <wp:posOffset>-2178050</wp:posOffset>
              </wp:positionH>
              <wp:positionV relativeFrom="margin">
                <wp:posOffset>-349250</wp:posOffset>
              </wp:positionV>
              <wp:extent cx="10515600" cy="45720"/>
              <wp:effectExtent l="0" t="0" r="0" b="0"/>
              <wp:wrapNone/>
              <wp:docPr id="1994250119" name="Rectangle 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1" o:spid="_x0000_s2064" style="width:828pt;height:3.6pt;margin-top:-27.5pt;margin-left:-171.5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51424" fillcolor="#00559d" stroked="f">
              <v:fill color2="#67c7c5" angle="90" focus="100%" type="gradient"/>
              <w10:wrap anchorx="margin" anchory="margin"/>
              <w10:anchorlock/>
            </v:rect>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1904A2" w:rsidP="001904A2" w14:paraId="3017036F" w14:textId="39E62453">
    <w:pPr>
      <w:pStyle w:val="EQRHeader-NOLINE"/>
    </w:pPr>
    <w:r>
      <w:rPr>
        <w:noProof/>
      </w:rPr>
      <mc:AlternateContent>
        <mc:Choice Requires="wps">
          <w:drawing>
            <wp:anchor distT="0" distB="0" distL="114300" distR="114300" simplePos="0" relativeHeight="251713536" behindDoc="0" locked="1" layoutInCell="1" allowOverlap="1">
              <wp:simplePos x="0" y="0"/>
              <wp:positionH relativeFrom="margin">
                <wp:posOffset>-3651250</wp:posOffset>
              </wp:positionH>
              <wp:positionV relativeFrom="margin">
                <wp:posOffset>-394970</wp:posOffset>
              </wp:positionV>
              <wp:extent cx="10515600" cy="45720"/>
              <wp:effectExtent l="0" t="0" r="0" b="0"/>
              <wp:wrapNone/>
              <wp:docPr id="172722640" name="Rectangle 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7" o:spid="_x0000_s2065" style="width:828pt;height:3.6pt;margin-top:-31.1pt;margin-left:-287.5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14560" fillcolor="#00559d" stroked="f">
              <v:fill color2="#67c7c5" angle="90" focus="100%" type="gradient"/>
              <w10:wrap anchorx="margin" anchory="margin"/>
              <w10:anchorlock/>
            </v:rect>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17D3A" w:rsidP="00FA3855" w14:paraId="7E6542DD" w14:textId="071FFFAA">
    <w:pPr>
      <w:pStyle w:val="EQRHeader-NOLINE"/>
      <w:rPr>
        <w:sz w:val="15"/>
        <w:szCs w:val="15"/>
      </w:rPr>
    </w:pPr>
    <w:r>
      <w:rPr>
        <w:noProof/>
      </w:rPr>
      <mc:AlternateContent>
        <mc:Choice Requires="wps">
          <w:drawing>
            <wp:anchor distT="0" distB="0" distL="114300" distR="114300" simplePos="0" relativeHeight="251668480" behindDoc="1" locked="0" layoutInCell="1" allowOverlap="1">
              <wp:simplePos x="0" y="0"/>
              <wp:positionH relativeFrom="margin">
                <wp:posOffset>5038090</wp:posOffset>
              </wp:positionH>
              <wp:positionV relativeFrom="paragraph">
                <wp:posOffset>-483235</wp:posOffset>
              </wp:positionV>
              <wp:extent cx="1828800" cy="10058400"/>
              <wp:effectExtent l="0" t="0" r="0" b="0"/>
              <wp:wrapSquare wrapText="bothSides"/>
              <wp:docPr id="191664275" name="Rectangle 36"/>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10058400"/>
                      </a:xfrm>
                      <a:prstGeom prst="rect">
                        <a:avLst/>
                      </a:prstGeom>
                      <a:solidFill>
                        <a:srgbClr val="00828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33C3" w:rsidRPr="009A1709" w:rsidP="00A45880" w14:textId="01B63FE5">
                          <w:pPr>
                            <w:spacing w:before="480"/>
                            <w:jc w:val="center"/>
                            <w:rPr>
                              <w:rFonts w:ascii="Arial Black" w:hAnsi="Arial Black"/>
                              <w:sz w:val="92"/>
                              <w:szCs w:val="92"/>
                            </w:rPr>
                          </w:pPr>
                          <w:r w:rsidRPr="009A1709">
                            <w:rPr>
                              <w:rFonts w:ascii="Arial Black" w:hAnsi="Arial Black"/>
                              <w:sz w:val="92"/>
                              <w:szCs w:val="92"/>
                            </w:rPr>
                            <w:t xml:space="preserve">PROTOCOL </w:t>
                          </w:r>
                          <w:r>
                            <w:rPr>
                              <w:rFonts w:ascii="Arial Black" w:hAnsi="Arial Black"/>
                              <w:sz w:val="92"/>
                              <w:szCs w:val="92"/>
                            </w:rPr>
                            <w:t>TWO</w:t>
                          </w:r>
                        </w:p>
                      </w:txbxContent>
                    </wps:txbx>
                    <wps:bodyPr rot="0" spcFirstLastPara="0" vertOverflow="overflow" horzOverflow="overflow" vert="vert" wrap="square" lIns="91440" tIns="548640" rIns="91440" bIns="7315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6" o:spid="_x0000_s2066" style="width:2in;height:11in;margin-top:-38.05pt;margin-left:396.7pt;mso-height-percent:0;mso-height-relative:margin;mso-position-horizontal-relative:margin;mso-width-percent:0;mso-width-relative:margin;mso-wrap-distance-bottom:0;mso-wrap-distance-left:9pt;mso-wrap-distance-right:9pt;mso-wrap-distance-top:0;mso-wrap-style:square;position:absolute;visibility:visible;v-text-anchor:middle;z-index:-251646976" fillcolor="#00828c" stroked="f" strokeweight="1pt">
              <v:textbox style="layout-flow:vertical" inset=",43.2pt,,57.6pt">
                <w:txbxContent>
                  <w:p w:rsidR="00ED33C3" w:rsidRPr="009A1709" w:rsidP="00A45880" w14:paraId="0F89CD3D" w14:textId="01B63FE5">
                    <w:pPr>
                      <w:spacing w:before="480"/>
                      <w:jc w:val="center"/>
                      <w:rPr>
                        <w:rFonts w:ascii="Arial Black" w:hAnsi="Arial Black"/>
                        <w:sz w:val="92"/>
                        <w:szCs w:val="92"/>
                      </w:rPr>
                    </w:pPr>
                    <w:r w:rsidRPr="009A1709">
                      <w:rPr>
                        <w:rFonts w:ascii="Arial Black" w:hAnsi="Arial Black"/>
                        <w:sz w:val="92"/>
                        <w:szCs w:val="92"/>
                      </w:rPr>
                      <w:t xml:space="preserve">PROTOCOL </w:t>
                    </w:r>
                    <w:r>
                      <w:rPr>
                        <w:rFonts w:ascii="Arial Black" w:hAnsi="Arial Black"/>
                        <w:sz w:val="92"/>
                        <w:szCs w:val="92"/>
                      </w:rPr>
                      <w:t>TWO</w:t>
                    </w:r>
                  </w:p>
                </w:txbxContent>
              </v:textbox>
              <w10:wrap type="square"/>
            </v:rect>
          </w:pict>
        </mc:Fallback>
      </mc:AlternateContent>
    </w:r>
    <w:r>
      <w:rPr>
        <w:sz w:val="15"/>
        <w:szCs w:val="15"/>
      </w:rPr>
      <w:tab/>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P="00BB7E0D" w14:paraId="25AE0817" w14:textId="337E0CF9">
    <w:pPr>
      <w:pStyle w:val="EQRHeader-NOLINE"/>
    </w:pPr>
    <w:r>
      <w:rPr>
        <w:noProof/>
      </w:rPr>
      <mc:AlternateContent>
        <mc:Choice Requires="wps">
          <w:drawing>
            <wp:anchor distT="0" distB="0" distL="114300" distR="114300" simplePos="0" relativeHeight="251707392" behindDoc="0" locked="1" layoutInCell="1" allowOverlap="1">
              <wp:simplePos x="0" y="0"/>
              <wp:positionH relativeFrom="margin">
                <wp:posOffset>-3651250</wp:posOffset>
              </wp:positionH>
              <wp:positionV relativeFrom="margin">
                <wp:posOffset>-394970</wp:posOffset>
              </wp:positionV>
              <wp:extent cx="10515600" cy="45720"/>
              <wp:effectExtent l="0" t="0" r="0" b="0"/>
              <wp:wrapNone/>
              <wp:docPr id="336457505" name="Rectangle 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5" o:spid="_x0000_s2067" style="width:828pt;height:3.6pt;margin-top:-31.1pt;margin-left:-287.5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08416" fillcolor="#00559d" stroked="f">
              <v:fill color2="#67c7c5" angle="90" focus="100%" type="gradient"/>
              <w10:wrap anchorx="margin" anchory="margin"/>
              <w10:anchorlock/>
            </v:rect>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17D3A" w:rsidP="005D67C0" w14:paraId="74C568D4" w14:textId="55088C2B">
    <w:pPr>
      <w:pStyle w:val="EQRHeader-NOLINE"/>
      <w:rPr>
        <w:sz w:val="15"/>
        <w:szCs w:val="15"/>
      </w:rPr>
    </w:pPr>
    <w:r>
      <w:rPr>
        <w:noProof/>
      </w:rPr>
      <mc:AlternateContent>
        <mc:Choice Requires="wps">
          <w:drawing>
            <wp:anchor distT="0" distB="0" distL="114300" distR="114300" simplePos="0" relativeHeight="251670528" behindDoc="1" locked="0" layoutInCell="1" allowOverlap="1">
              <wp:simplePos x="0" y="0"/>
              <wp:positionH relativeFrom="margin">
                <wp:posOffset>5026025</wp:posOffset>
              </wp:positionH>
              <wp:positionV relativeFrom="paragraph">
                <wp:posOffset>-466090</wp:posOffset>
              </wp:positionV>
              <wp:extent cx="1828800" cy="10058400"/>
              <wp:effectExtent l="0" t="0" r="0" b="0"/>
              <wp:wrapSquare wrapText="bothSides"/>
              <wp:docPr id="2128978658" name="Rectangle 34"/>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10058400"/>
                      </a:xfrm>
                      <a:prstGeom prst="rect">
                        <a:avLst/>
                      </a:prstGeom>
                      <a:solidFill>
                        <a:srgbClr val="00828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33C3" w:rsidRPr="009A1709" w:rsidP="008B4C33" w14:textId="77087073">
                          <w:pPr>
                            <w:spacing w:before="480"/>
                            <w:jc w:val="center"/>
                            <w:rPr>
                              <w:rFonts w:ascii="Arial Black" w:hAnsi="Arial Black"/>
                              <w:sz w:val="92"/>
                              <w:szCs w:val="92"/>
                            </w:rPr>
                          </w:pPr>
                          <w:r w:rsidRPr="009A1709">
                            <w:rPr>
                              <w:rFonts w:ascii="Arial Black" w:hAnsi="Arial Black"/>
                              <w:sz w:val="92"/>
                              <w:szCs w:val="92"/>
                            </w:rPr>
                            <w:t xml:space="preserve">PROTOCOL </w:t>
                          </w:r>
                          <w:r>
                            <w:rPr>
                              <w:rFonts w:ascii="Arial Black" w:hAnsi="Arial Black"/>
                              <w:sz w:val="92"/>
                              <w:szCs w:val="92"/>
                            </w:rPr>
                            <w:t>THREE</w:t>
                          </w:r>
                        </w:p>
                      </w:txbxContent>
                    </wps:txbx>
                    <wps:bodyPr rot="0" spcFirstLastPara="0" vertOverflow="overflow" horzOverflow="overflow" vert="vert" wrap="square" lIns="91440" tIns="548640" rIns="91440" bIns="7315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4" o:spid="_x0000_s2068" style="width:2in;height:11in;margin-top:-36.7pt;margin-left:395.7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44928" fillcolor="#00828c" stroked="f" strokeweight="1pt">
              <v:textbox style="layout-flow:vertical" inset=",43.2pt,,57.6pt">
                <w:txbxContent>
                  <w:p w:rsidR="00ED33C3" w:rsidRPr="009A1709" w:rsidP="008B4C33" w14:paraId="2AF5CB01" w14:textId="77087073">
                    <w:pPr>
                      <w:spacing w:before="480"/>
                      <w:jc w:val="center"/>
                      <w:rPr>
                        <w:rFonts w:ascii="Arial Black" w:hAnsi="Arial Black"/>
                        <w:sz w:val="92"/>
                        <w:szCs w:val="92"/>
                      </w:rPr>
                    </w:pPr>
                    <w:r w:rsidRPr="009A1709">
                      <w:rPr>
                        <w:rFonts w:ascii="Arial Black" w:hAnsi="Arial Black"/>
                        <w:sz w:val="92"/>
                        <w:szCs w:val="92"/>
                      </w:rPr>
                      <w:t xml:space="preserve">PROTOCOL </w:t>
                    </w:r>
                    <w:r>
                      <w:rPr>
                        <w:rFonts w:ascii="Arial Black" w:hAnsi="Arial Black"/>
                        <w:sz w:val="92"/>
                        <w:szCs w:val="92"/>
                      </w:rPr>
                      <w:t>THREE</w:t>
                    </w:r>
                  </w:p>
                </w:txbxContent>
              </v:textbox>
              <w10:wrap type="square"/>
            </v:rect>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020896" w:rsidP="00020896" w14:paraId="5E0948EA" w14:textId="6532A717">
    <w:pPr>
      <w:pStyle w:val="EQRHeader-NOLINE"/>
      <w:rPr>
        <w:b/>
        <w:bCs/>
      </w:rPr>
    </w:pPr>
    <w:r>
      <w:rPr>
        <w:noProof/>
      </w:rPr>
      <mc:AlternateContent>
        <mc:Choice Requires="wps">
          <w:drawing>
            <wp:anchor distT="0" distB="0" distL="114300" distR="114300" simplePos="0" relativeHeight="251711488" behindDoc="0" locked="1" layoutInCell="1" allowOverlap="1">
              <wp:simplePos x="0" y="0"/>
              <wp:positionH relativeFrom="margin">
                <wp:posOffset>-1339850</wp:posOffset>
              </wp:positionH>
              <wp:positionV relativeFrom="margin">
                <wp:posOffset>-394970</wp:posOffset>
              </wp:positionV>
              <wp:extent cx="10515600" cy="45720"/>
              <wp:effectExtent l="0" t="0" r="0" b="0"/>
              <wp:wrapNone/>
              <wp:docPr id="1127404928" name="Rectangle 3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3" o:spid="_x0000_s2069" alt="&quot;&quot;" style="width:828pt;height:3.6pt;margin-top:-31.1pt;margin-left:-105.5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12512" fillcolor="#00559d" stroked="f">
              <v:fill color2="#67c7c5" angle="90" focus="100%" type="gradient"/>
              <w10:wrap anchorx="margin" anchory="margin"/>
              <w10:anchorlock/>
            </v:rect>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P="00020896" w14:paraId="15D8B47B" w14:textId="2BA7A8B3">
    <w:pPr>
      <w:pStyle w:val="EQRHeader-NOLINE"/>
    </w:pPr>
    <w:r>
      <w:rPr>
        <w:noProof/>
      </w:rPr>
      <mc:AlternateContent>
        <mc:Choice Requires="wps">
          <w:drawing>
            <wp:anchor distT="0" distB="0" distL="114300" distR="114300" simplePos="0" relativeHeight="251709440" behindDoc="0" locked="1" layoutInCell="1" allowOverlap="1">
              <wp:simplePos x="0" y="0"/>
              <wp:positionH relativeFrom="margin">
                <wp:posOffset>-3651250</wp:posOffset>
              </wp:positionH>
              <wp:positionV relativeFrom="margin">
                <wp:posOffset>-394970</wp:posOffset>
              </wp:positionV>
              <wp:extent cx="10515600" cy="45720"/>
              <wp:effectExtent l="0" t="0" r="0" b="0"/>
              <wp:wrapNone/>
              <wp:docPr id="430278001" name="Rectangle 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2" o:spid="_x0000_s2070" style="width:828pt;height:3.6pt;margin-top:-31.1pt;margin-left:-287.5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10464" fillcolor="#00559d" stroked="f">
              <v:fill color2="#67c7c5" angle="90" focus="100%" type="gradient"/>
              <w10:wrap anchorx="margin" anchory="margin"/>
              <w10:anchorlock/>
            </v:rect>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P="00FA3982" w14:paraId="3371999B" w14:textId="71F8C019">
    <w:pPr>
      <w:pStyle w:val="EQRHeader-NOLINE"/>
    </w:pPr>
    <w:r>
      <w:rPr>
        <w:noProof/>
      </w:rPr>
      <mc:AlternateContent>
        <mc:Choice Requires="wps">
          <w:drawing>
            <wp:anchor distT="0" distB="0" distL="114300" distR="114300" simplePos="0" relativeHeight="251715584" behindDoc="0" locked="1" layoutInCell="1" allowOverlap="1">
              <wp:simplePos x="0" y="0"/>
              <wp:positionH relativeFrom="margin">
                <wp:posOffset>-1393190</wp:posOffset>
              </wp:positionH>
              <wp:positionV relativeFrom="margin">
                <wp:posOffset>-394970</wp:posOffset>
              </wp:positionV>
              <wp:extent cx="10515600" cy="45720"/>
              <wp:effectExtent l="0" t="0" r="0" b="0"/>
              <wp:wrapNone/>
              <wp:docPr id="1535691862" name="Rectangle 3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1" o:spid="_x0000_s2071" alt="&quot;&quot;" style="width:828pt;height:3.6pt;margin-top:-31.1pt;margin-left:-109.7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16608" fillcolor="#00559d" stroked="f">
              <v:fill color2="#67c7c5" angle="90" focus="100%" type="gradient"/>
              <w10:wrap anchorx="margin" anchory="margin"/>
              <w10:anchorlock/>
            </v:rect>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AE16DA" w:rsidP="00AE16DA" w14:paraId="60F7EB60" w14:textId="7E1A38A1">
    <w:pPr>
      <w:pStyle w:val="EQRHeader-NOLINE"/>
    </w:pPr>
    <w:r>
      <w:rPr>
        <w:noProof/>
      </w:rPr>
      <mc:AlternateContent>
        <mc:Choice Requires="wps">
          <w:drawing>
            <wp:anchor distT="0" distB="0" distL="114300" distR="114300" simplePos="0" relativeHeight="251719680" behindDoc="0" locked="1" layoutInCell="1" allowOverlap="1">
              <wp:simplePos x="0" y="0"/>
              <wp:positionH relativeFrom="margin">
                <wp:posOffset>-1393190</wp:posOffset>
              </wp:positionH>
              <wp:positionV relativeFrom="margin">
                <wp:posOffset>-394970</wp:posOffset>
              </wp:positionV>
              <wp:extent cx="10515600" cy="45720"/>
              <wp:effectExtent l="0" t="0" r="0" b="0"/>
              <wp:wrapNone/>
              <wp:docPr id="826609428" name="Rectangle 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0" o:spid="_x0000_s2072" style="width:828pt;height:3.6pt;margin-top:-31.1pt;margin-left:-109.7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20704" fillcolor="#00559d" stroked="f">
              <v:fill color2="#67c7c5" angle="90" focus="100%" type="gradient"/>
              <w10:wrap anchorx="margin" anchory="margin"/>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17D3A" w:rsidP="008F7B45" w14:paraId="05F4FA3F" w14:textId="3E2CC7DD">
    <w:pPr>
      <w:pStyle w:val="EQRHeader-NOLIN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AE207E" w:rsidP="00AE16DA" w14:paraId="4D495473" w14:textId="27B0AFC4">
    <w:pPr>
      <w:pStyle w:val="EQRHeader-NOLINE"/>
    </w:pPr>
    <w:r>
      <w:rPr>
        <w:noProof/>
      </w:rPr>
      <mc:AlternateContent>
        <mc:Choice Requires="wps">
          <w:drawing>
            <wp:anchor distT="0" distB="0" distL="114300" distR="114300" simplePos="0" relativeHeight="251717632" behindDoc="0" locked="1" layoutInCell="1" allowOverlap="1">
              <wp:simplePos x="0" y="0"/>
              <wp:positionH relativeFrom="margin">
                <wp:posOffset>-1393190</wp:posOffset>
              </wp:positionH>
              <wp:positionV relativeFrom="margin">
                <wp:posOffset>-394970</wp:posOffset>
              </wp:positionV>
              <wp:extent cx="10515600" cy="45720"/>
              <wp:effectExtent l="0" t="0" r="0" b="0"/>
              <wp:wrapNone/>
              <wp:docPr id="1141130288" name="Rectangle 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9" o:spid="_x0000_s2073" style="width:828pt;height:3.6pt;margin-top:-31.1pt;margin-left:-109.7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18656" fillcolor="#00559d" stroked="f">
              <v:fill color2="#67c7c5" angle="90" focus="100%" type="gradient"/>
              <w10:wrap anchorx="margin" anchory="margin"/>
              <w10:anchorlock/>
            </v:rect>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2609B" w:rsidP="00D2609B" w14:paraId="365A51D1" w14:textId="7F084010">
    <w:pPr>
      <w:pStyle w:val="Header"/>
    </w:pPr>
    <w:r>
      <w:rPr>
        <w:noProof/>
      </w:rPr>
      <mc:AlternateContent>
        <mc:Choice Requires="wps">
          <w:drawing>
            <wp:anchor distT="0" distB="0" distL="114300" distR="114300" simplePos="0" relativeHeight="251672576" behindDoc="1" locked="0" layoutInCell="1" allowOverlap="1">
              <wp:simplePos x="0" y="0"/>
              <wp:positionH relativeFrom="margin">
                <wp:posOffset>5043805</wp:posOffset>
              </wp:positionH>
              <wp:positionV relativeFrom="paragraph">
                <wp:posOffset>-448945</wp:posOffset>
              </wp:positionV>
              <wp:extent cx="1828800" cy="10058400"/>
              <wp:effectExtent l="0" t="0" r="0" b="0"/>
              <wp:wrapSquare wrapText="bothSides"/>
              <wp:docPr id="36312574" name="Rectangle 28"/>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10058400"/>
                      </a:xfrm>
                      <a:prstGeom prst="rect">
                        <a:avLst/>
                      </a:prstGeom>
                      <a:solidFill>
                        <a:srgbClr val="00828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33C3" w:rsidRPr="009A1709" w:rsidP="00D2609B" w14:textId="3E58C581">
                          <w:pPr>
                            <w:spacing w:before="480"/>
                            <w:jc w:val="center"/>
                            <w:rPr>
                              <w:rFonts w:ascii="Arial Black" w:hAnsi="Arial Black"/>
                              <w:sz w:val="92"/>
                              <w:szCs w:val="92"/>
                            </w:rPr>
                          </w:pPr>
                          <w:r w:rsidRPr="009A1709">
                            <w:rPr>
                              <w:rFonts w:ascii="Arial Black" w:hAnsi="Arial Black"/>
                              <w:sz w:val="92"/>
                              <w:szCs w:val="92"/>
                            </w:rPr>
                            <w:t xml:space="preserve">PROTOCOL </w:t>
                          </w:r>
                          <w:r>
                            <w:rPr>
                              <w:rFonts w:ascii="Arial Black" w:hAnsi="Arial Black"/>
                              <w:sz w:val="92"/>
                              <w:szCs w:val="92"/>
                            </w:rPr>
                            <w:t>FOUR</w:t>
                          </w:r>
                        </w:p>
                      </w:txbxContent>
                    </wps:txbx>
                    <wps:bodyPr rot="0" spcFirstLastPara="0" vertOverflow="overflow" horzOverflow="overflow" vert="vert" wrap="square" lIns="91440" tIns="548640" rIns="91440" bIns="7315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8" o:spid="_x0000_s2074" style="width:2in;height:11in;margin-top:-35.35pt;margin-left:397.1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42880" fillcolor="#00828c" stroked="f" strokeweight="1pt">
              <v:textbox style="layout-flow:vertical" inset=",43.2pt,,57.6pt">
                <w:txbxContent>
                  <w:p w:rsidR="00ED33C3" w:rsidRPr="009A1709" w:rsidP="00D2609B" w14:paraId="6B71B2F8" w14:textId="3E58C581">
                    <w:pPr>
                      <w:spacing w:before="480"/>
                      <w:jc w:val="center"/>
                      <w:rPr>
                        <w:rFonts w:ascii="Arial Black" w:hAnsi="Arial Black"/>
                        <w:sz w:val="92"/>
                        <w:szCs w:val="92"/>
                      </w:rPr>
                    </w:pPr>
                    <w:r w:rsidRPr="009A1709">
                      <w:rPr>
                        <w:rFonts w:ascii="Arial Black" w:hAnsi="Arial Black"/>
                        <w:sz w:val="92"/>
                        <w:szCs w:val="92"/>
                      </w:rPr>
                      <w:t xml:space="preserve">PROTOCOL </w:t>
                    </w:r>
                    <w:r>
                      <w:rPr>
                        <w:rFonts w:ascii="Arial Black" w:hAnsi="Arial Black"/>
                        <w:sz w:val="92"/>
                        <w:szCs w:val="92"/>
                      </w:rPr>
                      <w:t>FOUR</w:t>
                    </w:r>
                  </w:p>
                </w:txbxContent>
              </v:textbox>
              <w10:wrap type="square"/>
            </v:rect>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2B13DA" w:rsidP="002B13DA" w14:paraId="7B805B77" w14:textId="2464C817">
    <w:pPr>
      <w:pStyle w:val="EQRHeader-NOLINE"/>
    </w:pPr>
    <w:r>
      <w:rPr>
        <w:noProof/>
      </w:rPr>
      <mc:AlternateContent>
        <mc:Choice Requires="wps">
          <w:drawing>
            <wp:anchor distT="0" distB="0" distL="114300" distR="114300" simplePos="0" relativeHeight="251725824" behindDoc="0" locked="1" layoutInCell="1" allowOverlap="1">
              <wp:simplePos x="0" y="0"/>
              <wp:positionH relativeFrom="margin">
                <wp:posOffset>-1393190</wp:posOffset>
              </wp:positionH>
              <wp:positionV relativeFrom="margin">
                <wp:posOffset>-394970</wp:posOffset>
              </wp:positionV>
              <wp:extent cx="10515600" cy="45720"/>
              <wp:effectExtent l="0" t="0" r="0" b="0"/>
              <wp:wrapNone/>
              <wp:docPr id="574994082" name="Rectangle 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7" o:spid="_x0000_s2075" style="width:828pt;height:3.6pt;margin-top:-31.1pt;margin-left:-109.7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26848" fillcolor="#00559d" stroked="f">
              <v:fill color2="#67c7c5" angle="90" focus="100%" type="gradient"/>
              <w10:wrap anchorx="margin" anchory="margin"/>
              <w10:anchorlock/>
            </v:rect>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2B13DA" w:rsidP="002B13DA" w14:paraId="02B4A94C" w14:textId="2FA0826E">
    <w:pPr>
      <w:pStyle w:val="EQRHeader-NOLINE"/>
    </w:pPr>
    <w:r>
      <w:rPr>
        <w:noProof/>
      </w:rPr>
      <mc:AlternateContent>
        <mc:Choice Requires="wps">
          <w:drawing>
            <wp:anchor distT="0" distB="0" distL="114300" distR="114300" simplePos="0" relativeHeight="251723776" behindDoc="0" locked="1" layoutInCell="1" allowOverlap="1">
              <wp:simplePos x="0" y="0"/>
              <wp:positionH relativeFrom="margin">
                <wp:posOffset>-1393190</wp:posOffset>
              </wp:positionH>
              <wp:positionV relativeFrom="margin">
                <wp:posOffset>-394970</wp:posOffset>
              </wp:positionV>
              <wp:extent cx="10515600" cy="45720"/>
              <wp:effectExtent l="0" t="0" r="0" b="0"/>
              <wp:wrapNone/>
              <wp:docPr id="489697508" name="Rectangle 2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6" o:spid="_x0000_s2076" alt="&quot;&quot;" style="width:828pt;height:3.6pt;margin-top:-31.1pt;margin-left:-109.7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24800" fillcolor="#00559d" stroked="f">
              <v:fill color2="#67c7c5" angle="90" focus="100%" type="gradient"/>
              <w10:wrap anchorx="margin" anchory="margin"/>
              <w10:anchorlock/>
            </v:rect>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827024" w:rsidP="002B13DA" w14:paraId="59E6CA8C" w14:textId="47574242">
    <w:pPr>
      <w:pStyle w:val="EQRHeader-NOLINE"/>
    </w:pPr>
    <w:r>
      <w:rPr>
        <w:noProof/>
      </w:rPr>
      <mc:AlternateContent>
        <mc:Choice Requires="wps">
          <w:drawing>
            <wp:anchor distT="0" distB="0" distL="114300" distR="114300" simplePos="0" relativeHeight="251721728" behindDoc="0" locked="1" layoutInCell="1" allowOverlap="1">
              <wp:simplePos x="0" y="0"/>
              <wp:positionH relativeFrom="margin">
                <wp:posOffset>-1393190</wp:posOffset>
              </wp:positionH>
              <wp:positionV relativeFrom="margin">
                <wp:posOffset>-394970</wp:posOffset>
              </wp:positionV>
              <wp:extent cx="10515600" cy="45720"/>
              <wp:effectExtent l="0" t="0" r="0" b="0"/>
              <wp:wrapNone/>
              <wp:docPr id="1093804521" name="Rectangle 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 o:spid="_x0000_s2077" style="width:828pt;height:3.6pt;margin-top:-31.1pt;margin-left:-109.7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22752" fillcolor="#00559d" stroked="f">
              <v:fill color2="#67c7c5" angle="90" focus="100%" type="gradient"/>
              <w10:wrap anchorx="margin" anchory="margin"/>
              <w10:anchorlock/>
            </v:rect>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07044D" w:rsidP="005D67C0" w14:paraId="2D9F0FF4" w14:textId="5F9D5EB8">
    <w:pPr>
      <w:pStyle w:val="EQRHeader-NOLINE"/>
    </w:pPr>
    <w:r>
      <w:rPr>
        <w:noProof/>
      </w:rPr>
      <mc:AlternateContent>
        <mc:Choice Requires="wps">
          <w:drawing>
            <wp:anchor distT="0" distB="0" distL="114300" distR="114300" simplePos="0" relativeHeight="251727872" behindDoc="0" locked="1" layoutInCell="1" allowOverlap="1">
              <wp:simplePos x="0" y="0"/>
              <wp:positionH relativeFrom="margin">
                <wp:posOffset>-1393190</wp:posOffset>
              </wp:positionH>
              <wp:positionV relativeFrom="margin">
                <wp:posOffset>-394970</wp:posOffset>
              </wp:positionV>
              <wp:extent cx="10515600" cy="45720"/>
              <wp:effectExtent l="0" t="0" r="0" b="0"/>
              <wp:wrapNone/>
              <wp:docPr id="1465935137" name="Rectangle 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4" o:spid="_x0000_s2078" style="width:828pt;height:3.6pt;margin-top:-31.1pt;margin-left:-109.7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28896" fillcolor="#00559d" stroked="f">
              <v:fill color2="#67c7c5" angle="90" focus="100%" type="gradient"/>
              <w10:wrap anchorx="margin" anchory="margin"/>
              <w10:anchorlock/>
            </v:rect>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17D3A" w:rsidP="005D67C0" w14:paraId="10541683" w14:textId="24AA4650">
    <w:pPr>
      <w:pStyle w:val="EQRHeader-NOLINE"/>
      <w:rPr>
        <w:sz w:val="15"/>
        <w:szCs w:val="15"/>
      </w:rPr>
    </w:pPr>
    <w:r>
      <w:rPr>
        <w:noProof/>
      </w:rPr>
      <mc:AlternateContent>
        <mc:Choice Requires="wps">
          <w:drawing>
            <wp:anchor distT="0" distB="0" distL="114300" distR="114300" simplePos="0" relativeHeight="251674624" behindDoc="1" locked="0" layoutInCell="1" allowOverlap="1">
              <wp:simplePos x="0" y="0"/>
              <wp:positionH relativeFrom="margin">
                <wp:posOffset>5032375</wp:posOffset>
              </wp:positionH>
              <wp:positionV relativeFrom="paragraph">
                <wp:posOffset>-483235</wp:posOffset>
              </wp:positionV>
              <wp:extent cx="1828800" cy="10058400"/>
              <wp:effectExtent l="0" t="0" r="0" b="0"/>
              <wp:wrapSquare wrapText="bothSides"/>
              <wp:docPr id="340734157" name="Rectangle 23"/>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10058400"/>
                      </a:xfrm>
                      <a:prstGeom prst="rect">
                        <a:avLst/>
                      </a:prstGeom>
                      <a:solidFill>
                        <a:srgbClr val="00828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33C3" w:rsidRPr="009A1709" w:rsidP="00D2609B" w14:textId="1486D6B5">
                          <w:pPr>
                            <w:spacing w:before="480"/>
                            <w:jc w:val="center"/>
                            <w:rPr>
                              <w:rFonts w:ascii="Arial Black" w:hAnsi="Arial Black"/>
                              <w:sz w:val="92"/>
                              <w:szCs w:val="92"/>
                            </w:rPr>
                          </w:pPr>
                          <w:r w:rsidRPr="009A1709">
                            <w:rPr>
                              <w:rFonts w:ascii="Arial Black" w:hAnsi="Arial Black"/>
                              <w:sz w:val="92"/>
                              <w:szCs w:val="92"/>
                            </w:rPr>
                            <w:t xml:space="preserve">PROTOCOL </w:t>
                          </w:r>
                          <w:r>
                            <w:rPr>
                              <w:rFonts w:ascii="Arial Black" w:hAnsi="Arial Black"/>
                              <w:sz w:val="92"/>
                              <w:szCs w:val="92"/>
                            </w:rPr>
                            <w:t>FIVE</w:t>
                          </w:r>
                        </w:p>
                      </w:txbxContent>
                    </wps:txbx>
                    <wps:bodyPr rot="0" spcFirstLastPara="0" vertOverflow="overflow" horzOverflow="overflow" vert="vert" wrap="square" lIns="91440" tIns="548640" rIns="91440" bIns="7315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3" o:spid="_x0000_s2079" style="width:2in;height:11in;margin-top:-38.05pt;margin-left:396.2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40832" fillcolor="#00828c" stroked="f" strokeweight="1pt">
              <v:textbox style="layout-flow:vertical" inset=",43.2pt,,57.6pt">
                <w:txbxContent>
                  <w:p w:rsidR="00ED33C3" w:rsidRPr="009A1709" w:rsidP="00D2609B" w14:paraId="7789BA7B" w14:textId="1486D6B5">
                    <w:pPr>
                      <w:spacing w:before="480"/>
                      <w:jc w:val="center"/>
                      <w:rPr>
                        <w:rFonts w:ascii="Arial Black" w:hAnsi="Arial Black"/>
                        <w:sz w:val="92"/>
                        <w:szCs w:val="92"/>
                      </w:rPr>
                    </w:pPr>
                    <w:r w:rsidRPr="009A1709">
                      <w:rPr>
                        <w:rFonts w:ascii="Arial Black" w:hAnsi="Arial Black"/>
                        <w:sz w:val="92"/>
                        <w:szCs w:val="92"/>
                      </w:rPr>
                      <w:t xml:space="preserve">PROTOCOL </w:t>
                    </w:r>
                    <w:r>
                      <w:rPr>
                        <w:rFonts w:ascii="Arial Black" w:hAnsi="Arial Black"/>
                        <w:sz w:val="92"/>
                        <w:szCs w:val="92"/>
                      </w:rPr>
                      <w:t>FIVE</w:t>
                    </w:r>
                  </w:p>
                </w:txbxContent>
              </v:textbox>
              <w10:wrap type="square"/>
            </v:rect>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8135A6" w:rsidP="008135A6" w14:paraId="21A6E0E8" w14:textId="128D0AF7">
    <w:pPr>
      <w:pStyle w:val="EQRHeader-NOLINE"/>
    </w:pPr>
    <w:r>
      <w:rPr>
        <w:noProof/>
      </w:rPr>
      <mc:AlternateContent>
        <mc:Choice Requires="wps">
          <w:drawing>
            <wp:anchor distT="0" distB="0" distL="114300" distR="114300" simplePos="0" relativeHeight="251729920" behindDoc="0" locked="1" layoutInCell="1" allowOverlap="1">
              <wp:simplePos x="0" y="0"/>
              <wp:positionH relativeFrom="margin">
                <wp:posOffset>-1393190</wp:posOffset>
              </wp:positionH>
              <wp:positionV relativeFrom="margin">
                <wp:posOffset>-394970</wp:posOffset>
              </wp:positionV>
              <wp:extent cx="10515600" cy="45720"/>
              <wp:effectExtent l="0" t="0" r="0" b="0"/>
              <wp:wrapNone/>
              <wp:docPr id="1491491734" name="Rectangle 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 o:spid="_x0000_s2080" style="width:828pt;height:3.6pt;margin-top:-31.1pt;margin-left:-109.7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30944" fillcolor="#00559d" stroked="f">
              <v:fill color2="#67c7c5" angle="90" focus="100%" type="gradient"/>
              <w10:wrap anchorx="margin" anchory="margin"/>
              <w10:anchorlock/>
            </v:rect>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17D3A" w:rsidP="005D67C0" w14:paraId="21217320" w14:textId="1B3038D4">
    <w:pPr>
      <w:pStyle w:val="EQRHeader-NOLINE"/>
      <w:rPr>
        <w:sz w:val="15"/>
        <w:szCs w:val="15"/>
      </w:rPr>
    </w:pPr>
    <w:r>
      <w:rPr>
        <w:noProof/>
      </w:rPr>
      <mc:AlternateContent>
        <mc:Choice Requires="wps">
          <w:drawing>
            <wp:anchor distT="0" distB="0" distL="114300" distR="114300" simplePos="0" relativeHeight="251676672" behindDoc="1" locked="0" layoutInCell="1" allowOverlap="1">
              <wp:simplePos x="0" y="0"/>
              <wp:positionH relativeFrom="margin">
                <wp:posOffset>5026025</wp:posOffset>
              </wp:positionH>
              <wp:positionV relativeFrom="paragraph">
                <wp:posOffset>-471805</wp:posOffset>
              </wp:positionV>
              <wp:extent cx="1828800" cy="10058400"/>
              <wp:effectExtent l="0" t="0" r="0" b="0"/>
              <wp:wrapSquare wrapText="bothSides"/>
              <wp:docPr id="1174408359" name="Rectangle 21"/>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10058400"/>
                      </a:xfrm>
                      <a:prstGeom prst="rect">
                        <a:avLst/>
                      </a:prstGeom>
                      <a:solidFill>
                        <a:srgbClr val="00828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33C3" w:rsidRPr="009A1709" w:rsidP="001F73DB" w14:textId="55FB265F">
                          <w:pPr>
                            <w:spacing w:before="480"/>
                            <w:jc w:val="center"/>
                            <w:rPr>
                              <w:rFonts w:ascii="Arial Black" w:hAnsi="Arial Black"/>
                              <w:sz w:val="92"/>
                              <w:szCs w:val="92"/>
                            </w:rPr>
                          </w:pPr>
                          <w:r w:rsidRPr="009A1709">
                            <w:rPr>
                              <w:rFonts w:ascii="Arial Black" w:hAnsi="Arial Black"/>
                              <w:sz w:val="92"/>
                              <w:szCs w:val="92"/>
                            </w:rPr>
                            <w:t xml:space="preserve">PROTOCOL </w:t>
                          </w:r>
                          <w:r>
                            <w:rPr>
                              <w:rFonts w:ascii="Arial Black" w:hAnsi="Arial Black"/>
                              <w:sz w:val="92"/>
                              <w:szCs w:val="92"/>
                            </w:rPr>
                            <w:t>SIX</w:t>
                          </w:r>
                        </w:p>
                      </w:txbxContent>
                    </wps:txbx>
                    <wps:bodyPr rot="0" spcFirstLastPara="0" vertOverflow="overflow" horzOverflow="overflow" vert="vert" wrap="square" lIns="91440" tIns="548640" rIns="91440" bIns="7315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1" o:spid="_x0000_s2081" style="width:2in;height:11in;margin-top:-37.15pt;margin-left:395.7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38784" fillcolor="#00828c" stroked="f" strokeweight="1pt">
              <v:textbox style="layout-flow:vertical" inset=",43.2pt,,57.6pt">
                <w:txbxContent>
                  <w:p w:rsidR="00ED33C3" w:rsidRPr="009A1709" w:rsidP="001F73DB" w14:paraId="036AB2FD" w14:textId="55FB265F">
                    <w:pPr>
                      <w:spacing w:before="480"/>
                      <w:jc w:val="center"/>
                      <w:rPr>
                        <w:rFonts w:ascii="Arial Black" w:hAnsi="Arial Black"/>
                        <w:sz w:val="92"/>
                        <w:szCs w:val="92"/>
                      </w:rPr>
                    </w:pPr>
                    <w:r w:rsidRPr="009A1709">
                      <w:rPr>
                        <w:rFonts w:ascii="Arial Black" w:hAnsi="Arial Black"/>
                        <w:sz w:val="92"/>
                        <w:szCs w:val="92"/>
                      </w:rPr>
                      <w:t xml:space="preserve">PROTOCOL </w:t>
                    </w:r>
                    <w:r>
                      <w:rPr>
                        <w:rFonts w:ascii="Arial Black" w:hAnsi="Arial Black"/>
                        <w:sz w:val="92"/>
                        <w:szCs w:val="92"/>
                      </w:rPr>
                      <w:t>SIX</w:t>
                    </w:r>
                  </w:p>
                </w:txbxContent>
              </v:textbox>
              <w10:wrap type="square"/>
            </v:rect>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P="00626C85" w14:paraId="6A7EBB40" w14:textId="1C6E0983">
    <w:pPr>
      <w:pStyle w:val="EQRHeader-NOLINE"/>
    </w:pPr>
    <w:r>
      <w:rPr>
        <w:noProof/>
      </w:rPr>
      <mc:AlternateContent>
        <mc:Choice Requires="wps">
          <w:drawing>
            <wp:anchor distT="0" distB="0" distL="114300" distR="114300" simplePos="0" relativeHeight="251731968" behindDoc="0" locked="1" layoutInCell="1" allowOverlap="1">
              <wp:simplePos x="0" y="0"/>
              <wp:positionH relativeFrom="margin">
                <wp:posOffset>-1393190</wp:posOffset>
              </wp:positionH>
              <wp:positionV relativeFrom="margin">
                <wp:posOffset>-394970</wp:posOffset>
              </wp:positionV>
              <wp:extent cx="10515600" cy="45720"/>
              <wp:effectExtent l="0" t="0" r="0" b="0"/>
              <wp:wrapNone/>
              <wp:docPr id="267450848" name="Rectangle 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82" style="width:828pt;height:3.6pt;margin-top:-31.1pt;margin-left:-109.7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32992" fillcolor="#00559d" stroked="f">
              <v:fill color2="#67c7c5" angle="90" focus="100%" type="gradient"/>
              <w10:wrap anchorx="margin" anchory="margin"/>
              <w10:anchorlock/>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17D3A" w:rsidP="008F7B45" w14:paraId="498AF4ED" w14:textId="56FC46A5">
    <w:pPr>
      <w:pStyle w:val="EQRHeader-NOLINE"/>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17D3A" w:rsidP="005D67C0" w14:paraId="600DDB83" w14:textId="162CBD74">
    <w:pPr>
      <w:pStyle w:val="EQRHeader-NOLINE"/>
      <w:rPr>
        <w:sz w:val="15"/>
        <w:szCs w:val="15"/>
      </w:rPr>
    </w:pPr>
    <w:r>
      <w:rPr>
        <w:noProof/>
      </w:rPr>
      <mc:AlternateContent>
        <mc:Choice Requires="wps">
          <w:drawing>
            <wp:anchor distT="0" distB="0" distL="114300" distR="114300" simplePos="0" relativeHeight="251678720" behindDoc="1" locked="0" layoutInCell="1" allowOverlap="1">
              <wp:simplePos x="0" y="0"/>
              <wp:positionH relativeFrom="margin">
                <wp:posOffset>5043805</wp:posOffset>
              </wp:positionH>
              <wp:positionV relativeFrom="paragraph">
                <wp:posOffset>-483235</wp:posOffset>
              </wp:positionV>
              <wp:extent cx="1828800" cy="10058400"/>
              <wp:effectExtent l="0" t="0" r="0" b="0"/>
              <wp:wrapSquare wrapText="bothSides"/>
              <wp:docPr id="1080133259" name="Rectangle 19"/>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10058400"/>
                      </a:xfrm>
                      <a:prstGeom prst="rect">
                        <a:avLst/>
                      </a:prstGeom>
                      <a:solidFill>
                        <a:srgbClr val="00828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33C3" w:rsidRPr="009A1709" w:rsidP="00AD3F28" w14:textId="38AE8E0A">
                          <w:pPr>
                            <w:spacing w:before="480"/>
                            <w:jc w:val="center"/>
                            <w:rPr>
                              <w:rFonts w:ascii="Arial Black" w:hAnsi="Arial Black"/>
                              <w:sz w:val="92"/>
                              <w:szCs w:val="92"/>
                            </w:rPr>
                          </w:pPr>
                          <w:r w:rsidRPr="009A1709">
                            <w:rPr>
                              <w:rFonts w:ascii="Arial Black" w:hAnsi="Arial Black"/>
                              <w:sz w:val="92"/>
                              <w:szCs w:val="92"/>
                            </w:rPr>
                            <w:t xml:space="preserve">PROTOCOL </w:t>
                          </w:r>
                          <w:r>
                            <w:rPr>
                              <w:rFonts w:ascii="Arial Black" w:hAnsi="Arial Black"/>
                              <w:sz w:val="92"/>
                              <w:szCs w:val="92"/>
                            </w:rPr>
                            <w:t>SEVEN</w:t>
                          </w:r>
                        </w:p>
                      </w:txbxContent>
                    </wps:txbx>
                    <wps:bodyPr rot="0" spcFirstLastPara="0" vertOverflow="overflow" horzOverflow="overflow" vert="vert" wrap="square" lIns="91440" tIns="548640" rIns="91440" bIns="7315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9" o:spid="_x0000_s2083" style="width:2in;height:11in;margin-top:-38.05pt;margin-left:397.1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36736" fillcolor="#00828c" stroked="f" strokeweight="1pt">
              <v:textbox style="layout-flow:vertical" inset=",43.2pt,,57.6pt">
                <w:txbxContent>
                  <w:p w:rsidR="00ED33C3" w:rsidRPr="009A1709" w:rsidP="00AD3F28" w14:paraId="1A885286" w14:textId="38AE8E0A">
                    <w:pPr>
                      <w:spacing w:before="480"/>
                      <w:jc w:val="center"/>
                      <w:rPr>
                        <w:rFonts w:ascii="Arial Black" w:hAnsi="Arial Black"/>
                        <w:sz w:val="92"/>
                        <w:szCs w:val="92"/>
                      </w:rPr>
                    </w:pPr>
                    <w:r w:rsidRPr="009A1709">
                      <w:rPr>
                        <w:rFonts w:ascii="Arial Black" w:hAnsi="Arial Black"/>
                        <w:sz w:val="92"/>
                        <w:szCs w:val="92"/>
                      </w:rPr>
                      <w:t xml:space="preserve">PROTOCOL </w:t>
                    </w:r>
                    <w:r>
                      <w:rPr>
                        <w:rFonts w:ascii="Arial Black" w:hAnsi="Arial Black"/>
                        <w:sz w:val="92"/>
                        <w:szCs w:val="92"/>
                      </w:rPr>
                      <w:t>SEVEN</w:t>
                    </w:r>
                  </w:p>
                </w:txbxContent>
              </v:textbox>
              <w10:wrap type="square"/>
            </v:rect>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C24E61" w:rsidP="0083769C" w14:paraId="0C60ECEA" w14:textId="66F8F391">
    <w:pPr>
      <w:pStyle w:val="EQRHeader-NOLINE"/>
    </w:pPr>
    <w:r>
      <w:rPr>
        <w:noProof/>
      </w:rPr>
      <mc:AlternateContent>
        <mc:Choice Requires="wps">
          <w:drawing>
            <wp:anchor distT="0" distB="0" distL="114300" distR="114300" simplePos="0" relativeHeight="251734016" behindDoc="0" locked="1" layoutInCell="1" allowOverlap="1">
              <wp:simplePos x="0" y="0"/>
              <wp:positionH relativeFrom="margin">
                <wp:posOffset>-1393190</wp:posOffset>
              </wp:positionH>
              <wp:positionV relativeFrom="margin">
                <wp:posOffset>-394970</wp:posOffset>
              </wp:positionV>
              <wp:extent cx="10515600" cy="45720"/>
              <wp:effectExtent l="0" t="0" r="0" b="0"/>
              <wp:wrapNone/>
              <wp:docPr id="1169340083" name="Rectangle 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 o:spid="_x0000_s2084" style="width:828pt;height:3.6pt;margin-top:-31.1pt;margin-left:-109.7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35040" fillcolor="#00559d" stroked="f">
              <v:fill color2="#67c7c5" angle="90" focus="100%" type="gradient"/>
              <w10:wrap anchorx="margin" anchory="margin"/>
              <w10:anchorlock/>
            </v:rect>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17D3A" w:rsidP="005D67C0" w14:paraId="2346B43D" w14:textId="049029D6">
    <w:pPr>
      <w:pStyle w:val="EQRHeader-NOLINE"/>
      <w:rPr>
        <w:sz w:val="15"/>
        <w:szCs w:val="15"/>
      </w:rPr>
    </w:pPr>
    <w:r>
      <w:rPr>
        <w:noProof/>
      </w:rPr>
      <mc:AlternateContent>
        <mc:Choice Requires="wps">
          <w:drawing>
            <wp:anchor distT="0" distB="0" distL="114300" distR="114300" simplePos="0" relativeHeight="251680768" behindDoc="1" locked="0" layoutInCell="1" allowOverlap="1">
              <wp:simplePos x="0" y="0"/>
              <wp:positionH relativeFrom="margin">
                <wp:posOffset>5043805</wp:posOffset>
              </wp:positionH>
              <wp:positionV relativeFrom="paragraph">
                <wp:posOffset>-483235</wp:posOffset>
              </wp:positionV>
              <wp:extent cx="1828800" cy="10058400"/>
              <wp:effectExtent l="0" t="0" r="0" b="0"/>
              <wp:wrapSquare wrapText="bothSides"/>
              <wp:docPr id="2106889987"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10058400"/>
                      </a:xfrm>
                      <a:prstGeom prst="rect">
                        <a:avLst/>
                      </a:prstGeom>
                      <a:solidFill>
                        <a:srgbClr val="00828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33C3" w:rsidRPr="009A1709" w:rsidP="00AD3F28" w14:textId="53AB4F35">
                          <w:pPr>
                            <w:spacing w:before="480"/>
                            <w:jc w:val="center"/>
                            <w:rPr>
                              <w:rFonts w:ascii="Arial Black" w:hAnsi="Arial Black"/>
                              <w:sz w:val="92"/>
                              <w:szCs w:val="92"/>
                            </w:rPr>
                          </w:pPr>
                          <w:r w:rsidRPr="009A1709">
                            <w:rPr>
                              <w:rFonts w:ascii="Arial Black" w:hAnsi="Arial Black"/>
                              <w:sz w:val="92"/>
                              <w:szCs w:val="92"/>
                            </w:rPr>
                            <w:t xml:space="preserve">PROTOCOL </w:t>
                          </w:r>
                          <w:r>
                            <w:rPr>
                              <w:rFonts w:ascii="Arial Black" w:hAnsi="Arial Black"/>
                              <w:sz w:val="92"/>
                              <w:szCs w:val="92"/>
                            </w:rPr>
                            <w:t>EIGHT</w:t>
                          </w:r>
                        </w:p>
                      </w:txbxContent>
                    </wps:txbx>
                    <wps:bodyPr rot="0" spcFirstLastPara="0" vertOverflow="overflow" horzOverflow="overflow" vert="vert" wrap="square" lIns="91440" tIns="548640" rIns="91440" bIns="7315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7" o:spid="_x0000_s2085" style="width:2in;height:11in;margin-top:-38.05pt;margin-left:397.1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34688" fillcolor="#00828c" stroked="f" strokeweight="1pt">
              <v:textbox style="layout-flow:vertical" inset=",43.2pt,,57.6pt">
                <w:txbxContent>
                  <w:p w:rsidR="00ED33C3" w:rsidRPr="009A1709" w:rsidP="00AD3F28" w14:paraId="3D00B45A" w14:textId="53AB4F35">
                    <w:pPr>
                      <w:spacing w:before="480"/>
                      <w:jc w:val="center"/>
                      <w:rPr>
                        <w:rFonts w:ascii="Arial Black" w:hAnsi="Arial Black"/>
                        <w:sz w:val="92"/>
                        <w:szCs w:val="92"/>
                      </w:rPr>
                    </w:pPr>
                    <w:r w:rsidRPr="009A1709">
                      <w:rPr>
                        <w:rFonts w:ascii="Arial Black" w:hAnsi="Arial Black"/>
                        <w:sz w:val="92"/>
                        <w:szCs w:val="92"/>
                      </w:rPr>
                      <w:t xml:space="preserve">PROTOCOL </w:t>
                    </w:r>
                    <w:r>
                      <w:rPr>
                        <w:rFonts w:ascii="Arial Black" w:hAnsi="Arial Black"/>
                        <w:sz w:val="92"/>
                        <w:szCs w:val="92"/>
                      </w:rPr>
                      <w:t>EIGHT</w:t>
                    </w:r>
                  </w:p>
                </w:txbxContent>
              </v:textbox>
              <w10:wrap type="square"/>
            </v:rect>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533692" w:rsidP="0083769C" w14:paraId="3C1A42A0" w14:textId="273CC296">
    <w:pPr>
      <w:pStyle w:val="EQRHeader-NOLINE"/>
    </w:pPr>
    <w:r>
      <w:rPr>
        <w:noProof/>
      </w:rPr>
      <mc:AlternateContent>
        <mc:Choice Requires="wps">
          <w:drawing>
            <wp:anchor distT="0" distB="0" distL="114300" distR="114300" simplePos="0" relativeHeight="251736064" behindDoc="0" locked="1" layoutInCell="1" allowOverlap="1">
              <wp:simplePos x="0" y="0"/>
              <wp:positionH relativeFrom="margin">
                <wp:posOffset>-1393190</wp:posOffset>
              </wp:positionH>
              <wp:positionV relativeFrom="margin">
                <wp:posOffset>-394970</wp:posOffset>
              </wp:positionV>
              <wp:extent cx="10515600" cy="45720"/>
              <wp:effectExtent l="0" t="0" r="0" b="0"/>
              <wp:wrapNone/>
              <wp:docPr id="1842306101" name="Rectangle 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 o:spid="_x0000_s2086" style="width:828pt;height:3.6pt;margin-top:-31.1pt;margin-left:-109.7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37088" fillcolor="#00559d" stroked="f">
              <v:fill color2="#67c7c5" angle="90" focus="100%" type="gradient"/>
              <w10:wrap anchorx="margin" anchory="margin"/>
              <w10:anchorlock/>
            </v:rect>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17D3A" w:rsidP="005D67C0" w14:paraId="054CDC8F" w14:textId="7C312691">
    <w:pPr>
      <w:pStyle w:val="EQRHeader-NOLINE"/>
      <w:rPr>
        <w:sz w:val="15"/>
        <w:szCs w:val="15"/>
      </w:rPr>
    </w:pPr>
    <w:r>
      <w:rPr>
        <w:noProof/>
      </w:rPr>
      <mc:AlternateContent>
        <mc:Choice Requires="wps">
          <w:drawing>
            <wp:anchor distT="0" distB="0" distL="114300" distR="114300" simplePos="0" relativeHeight="251682816" behindDoc="1" locked="0" layoutInCell="1" allowOverlap="1">
              <wp:simplePos x="0" y="0"/>
              <wp:positionH relativeFrom="margin">
                <wp:posOffset>5043805</wp:posOffset>
              </wp:positionH>
              <wp:positionV relativeFrom="paragraph">
                <wp:posOffset>-483235</wp:posOffset>
              </wp:positionV>
              <wp:extent cx="1828800" cy="10058400"/>
              <wp:effectExtent l="0" t="0" r="0" b="0"/>
              <wp:wrapSquare wrapText="bothSides"/>
              <wp:docPr id="327463452" name="Rectangle 15"/>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10058400"/>
                      </a:xfrm>
                      <a:prstGeom prst="rect">
                        <a:avLst/>
                      </a:prstGeom>
                      <a:solidFill>
                        <a:srgbClr val="00828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33C3" w:rsidRPr="009A1709" w:rsidP="00AD3F28" w14:textId="447D8A41">
                          <w:pPr>
                            <w:spacing w:before="480"/>
                            <w:jc w:val="center"/>
                            <w:rPr>
                              <w:rFonts w:ascii="Arial Black" w:hAnsi="Arial Black"/>
                              <w:sz w:val="92"/>
                              <w:szCs w:val="92"/>
                            </w:rPr>
                          </w:pPr>
                          <w:r w:rsidRPr="009A1709">
                            <w:rPr>
                              <w:rFonts w:ascii="Arial Black" w:hAnsi="Arial Black"/>
                              <w:sz w:val="92"/>
                              <w:szCs w:val="92"/>
                            </w:rPr>
                            <w:t xml:space="preserve">PROTOCOL </w:t>
                          </w:r>
                          <w:r>
                            <w:rPr>
                              <w:rFonts w:ascii="Arial Black" w:hAnsi="Arial Black"/>
                              <w:sz w:val="92"/>
                              <w:szCs w:val="92"/>
                            </w:rPr>
                            <w:t>NINE</w:t>
                          </w:r>
                        </w:p>
                      </w:txbxContent>
                    </wps:txbx>
                    <wps:bodyPr rot="0" spcFirstLastPara="0" vertOverflow="overflow" horzOverflow="overflow" vert="vert" wrap="square" lIns="91440" tIns="548640" rIns="91440" bIns="7315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5" o:spid="_x0000_s2087" style="width:2in;height:11in;margin-top:-38.05pt;margin-left:397.1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32640" fillcolor="#00828c" stroked="f" strokeweight="1pt">
              <v:textbox style="layout-flow:vertical" inset=",43.2pt,,57.6pt">
                <w:txbxContent>
                  <w:p w:rsidR="00ED33C3" w:rsidRPr="009A1709" w:rsidP="00AD3F28" w14:paraId="4EF55D25" w14:textId="447D8A41">
                    <w:pPr>
                      <w:spacing w:before="480"/>
                      <w:jc w:val="center"/>
                      <w:rPr>
                        <w:rFonts w:ascii="Arial Black" w:hAnsi="Arial Black"/>
                        <w:sz w:val="92"/>
                        <w:szCs w:val="92"/>
                      </w:rPr>
                    </w:pPr>
                    <w:r w:rsidRPr="009A1709">
                      <w:rPr>
                        <w:rFonts w:ascii="Arial Black" w:hAnsi="Arial Black"/>
                        <w:sz w:val="92"/>
                        <w:szCs w:val="92"/>
                      </w:rPr>
                      <w:t xml:space="preserve">PROTOCOL </w:t>
                    </w:r>
                    <w:r>
                      <w:rPr>
                        <w:rFonts w:ascii="Arial Black" w:hAnsi="Arial Black"/>
                        <w:sz w:val="92"/>
                        <w:szCs w:val="92"/>
                      </w:rPr>
                      <w:t>NINE</w:t>
                    </w:r>
                  </w:p>
                </w:txbxContent>
              </v:textbox>
              <w10:wrap type="square"/>
            </v:rect>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1A3542" w:rsidRPr="00C24E61" w:rsidP="0083769C" w14:paraId="28C81074" w14:textId="77777777">
    <w:pPr>
      <w:pStyle w:val="EQRHeader-NOLINE"/>
    </w:pPr>
    <w:r>
      <w:rPr>
        <w:noProof/>
      </w:rPr>
      <mc:AlternateContent>
        <mc:Choice Requires="wps">
          <w:drawing>
            <wp:anchor distT="0" distB="0" distL="114300" distR="114300" simplePos="0" relativeHeight="251754496" behindDoc="0" locked="1" layoutInCell="1" allowOverlap="1">
              <wp:simplePos x="0" y="0"/>
              <wp:positionH relativeFrom="margin">
                <wp:posOffset>-1393190</wp:posOffset>
              </wp:positionH>
              <wp:positionV relativeFrom="margin">
                <wp:posOffset>-394970</wp:posOffset>
              </wp:positionV>
              <wp:extent cx="10515600" cy="45720"/>
              <wp:effectExtent l="0" t="0" r="0" b="0"/>
              <wp:wrapNone/>
              <wp:docPr id="629782801" name="Rectangle 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 o:spid="_x0000_s2088" style="width:828pt;height:3.6pt;margin-top:-31.1pt;margin-left:-109.7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55520" fillcolor="#00559d" stroked="f">
              <v:fill color2="#67c7c5" angle="90" focus="100%" type="gradient"/>
              <w10:wrap anchorx="margin" anchory="margin"/>
              <w10:anchorlock/>
            </v:rect>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17D3A" w:rsidP="005D67C0" w14:paraId="000E25BA" w14:textId="70D2B225">
    <w:pPr>
      <w:pStyle w:val="EQRHeader-NOLINE"/>
      <w:rPr>
        <w:sz w:val="15"/>
        <w:szCs w:val="15"/>
      </w:rPr>
    </w:pPr>
    <w:r>
      <w:rPr>
        <w:noProof/>
      </w:rPr>
      <mc:AlternateContent>
        <mc:Choice Requires="wps">
          <w:drawing>
            <wp:anchor distT="0" distB="0" distL="114300" distR="114300" simplePos="0" relativeHeight="251684864" behindDoc="1" locked="0" layoutInCell="1" allowOverlap="1">
              <wp:simplePos x="0" y="0"/>
              <wp:positionH relativeFrom="margin">
                <wp:posOffset>5043805</wp:posOffset>
              </wp:positionH>
              <wp:positionV relativeFrom="paragraph">
                <wp:posOffset>-483235</wp:posOffset>
              </wp:positionV>
              <wp:extent cx="1828800" cy="10058400"/>
              <wp:effectExtent l="0" t="0" r="0" b="0"/>
              <wp:wrapSquare wrapText="bothSides"/>
              <wp:docPr id="609963544" name="Rectangle 13"/>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10058400"/>
                      </a:xfrm>
                      <a:prstGeom prst="rect">
                        <a:avLst/>
                      </a:prstGeom>
                      <a:solidFill>
                        <a:srgbClr val="00828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33C3" w:rsidRPr="009A1709" w:rsidP="00AD3F28" w14:textId="6E2245DD">
                          <w:pPr>
                            <w:spacing w:before="480"/>
                            <w:jc w:val="center"/>
                            <w:rPr>
                              <w:rFonts w:ascii="Arial Black" w:hAnsi="Arial Black"/>
                              <w:sz w:val="92"/>
                              <w:szCs w:val="92"/>
                            </w:rPr>
                          </w:pPr>
                          <w:r w:rsidRPr="009A1709">
                            <w:rPr>
                              <w:rFonts w:ascii="Arial Black" w:hAnsi="Arial Black"/>
                              <w:sz w:val="92"/>
                              <w:szCs w:val="92"/>
                            </w:rPr>
                            <w:t xml:space="preserve">PROTOCOL </w:t>
                          </w:r>
                          <w:r>
                            <w:rPr>
                              <w:rFonts w:ascii="Arial Black" w:hAnsi="Arial Black"/>
                              <w:sz w:val="92"/>
                              <w:szCs w:val="92"/>
                            </w:rPr>
                            <w:t>TEN</w:t>
                          </w:r>
                        </w:p>
                      </w:txbxContent>
                    </wps:txbx>
                    <wps:bodyPr rot="0" spcFirstLastPara="0" vertOverflow="overflow" horzOverflow="overflow" vert="vert" wrap="square" lIns="91440" tIns="548640" rIns="91440" bIns="7315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3" o:spid="_x0000_s2089" style="width:2in;height:11in;margin-top:-38.05pt;margin-left:397.1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30592" fillcolor="#00828c" stroked="f" strokeweight="1pt">
              <v:textbox style="layout-flow:vertical" inset=",43.2pt,,57.6pt">
                <w:txbxContent>
                  <w:p w:rsidR="00ED33C3" w:rsidRPr="009A1709" w:rsidP="00AD3F28" w14:paraId="15B8C9F5" w14:textId="6E2245DD">
                    <w:pPr>
                      <w:spacing w:before="480"/>
                      <w:jc w:val="center"/>
                      <w:rPr>
                        <w:rFonts w:ascii="Arial Black" w:hAnsi="Arial Black"/>
                        <w:sz w:val="92"/>
                        <w:szCs w:val="92"/>
                      </w:rPr>
                    </w:pPr>
                    <w:r w:rsidRPr="009A1709">
                      <w:rPr>
                        <w:rFonts w:ascii="Arial Black" w:hAnsi="Arial Black"/>
                        <w:sz w:val="92"/>
                        <w:szCs w:val="92"/>
                      </w:rPr>
                      <w:t xml:space="preserve">PROTOCOL </w:t>
                    </w:r>
                    <w:r>
                      <w:rPr>
                        <w:rFonts w:ascii="Arial Black" w:hAnsi="Arial Black"/>
                        <w:sz w:val="92"/>
                        <w:szCs w:val="92"/>
                      </w:rPr>
                      <w:t>TEN</w:t>
                    </w:r>
                  </w:p>
                </w:txbxContent>
              </v:textbox>
              <w10:wrap type="square"/>
            </v:rect>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578DD" w:rsidP="004627A3" w14:paraId="01AC6519" w14:textId="48CE526A">
    <w:pPr>
      <w:pStyle w:val="EQRHeader-NOLINE"/>
    </w:pPr>
    <w:r>
      <w:rPr>
        <w:noProof/>
      </w:rPr>
      <mc:AlternateContent>
        <mc:Choice Requires="wps">
          <w:drawing>
            <wp:anchor distT="0" distB="0" distL="114300" distR="114300" simplePos="0" relativeHeight="251738112" behindDoc="0" locked="1" layoutInCell="1" allowOverlap="1">
              <wp:simplePos x="0" y="0"/>
              <wp:positionH relativeFrom="margin">
                <wp:posOffset>-1393190</wp:posOffset>
              </wp:positionH>
              <wp:positionV relativeFrom="margin">
                <wp:posOffset>-394970</wp:posOffset>
              </wp:positionV>
              <wp:extent cx="10515600" cy="45720"/>
              <wp:effectExtent l="0" t="0" r="0" b="0"/>
              <wp:wrapNone/>
              <wp:docPr id="1302893622" name="Rectangle 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 o:spid="_x0000_s2090" style="width:828pt;height:3.6pt;margin-top:-31.1pt;margin-left:-109.7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39136" fillcolor="#00559d" stroked="f">
              <v:fill color2="#67c7c5" angle="90" focus="100%" type="gradient"/>
              <w10:wrap anchorx="margin" anchory="margin"/>
              <w10:anchorlock/>
            </v:rect>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578DD" w:rsidP="004627A3" w14:paraId="4667C71E" w14:textId="4E106C22">
    <w:pPr>
      <w:pStyle w:val="EQRHeader-NOLINE"/>
    </w:pPr>
    <w:r>
      <w:rPr>
        <w:noProof/>
      </w:rPr>
      <mc:AlternateContent>
        <mc:Choice Requires="wps">
          <w:drawing>
            <wp:anchor distT="0" distB="0" distL="114300" distR="114300" simplePos="0" relativeHeight="251686912" behindDoc="1" locked="0" layoutInCell="1" allowOverlap="1">
              <wp:simplePos x="0" y="0"/>
              <wp:positionH relativeFrom="margin">
                <wp:posOffset>5032375</wp:posOffset>
              </wp:positionH>
              <wp:positionV relativeFrom="paragraph">
                <wp:posOffset>-471805</wp:posOffset>
              </wp:positionV>
              <wp:extent cx="1828800" cy="10058400"/>
              <wp:effectExtent l="0" t="0" r="0" b="0"/>
              <wp:wrapSquare wrapText="bothSides"/>
              <wp:docPr id="1307290816"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10058400"/>
                      </a:xfrm>
                      <a:prstGeom prst="rect">
                        <a:avLst/>
                      </a:prstGeom>
                      <a:solidFill>
                        <a:srgbClr val="00828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33C3" w:rsidRPr="009A1709" w:rsidP="0014367F" w14:textId="362C1674">
                          <w:pPr>
                            <w:spacing w:before="480"/>
                            <w:jc w:val="center"/>
                            <w:rPr>
                              <w:rFonts w:ascii="Arial Black" w:hAnsi="Arial Black"/>
                              <w:sz w:val="92"/>
                              <w:szCs w:val="92"/>
                            </w:rPr>
                          </w:pPr>
                          <w:r>
                            <w:rPr>
                              <w:rFonts w:ascii="Arial Black" w:hAnsi="Arial Black"/>
                              <w:sz w:val="92"/>
                              <w:szCs w:val="92"/>
                            </w:rPr>
                            <w:t>PROTOCOL ELEVEN</w:t>
                          </w:r>
                        </w:p>
                      </w:txbxContent>
                    </wps:txbx>
                    <wps:bodyPr rot="0" spcFirstLastPara="0" vertOverflow="overflow" horzOverflow="overflow" vert="vert" wrap="square" lIns="91440" tIns="548640" rIns="91440" bIns="7315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 o:spid="_x0000_s2091" style="width:2in;height:11in;margin-top:-37.15pt;margin-left:396.2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28544" fillcolor="#00828c" stroked="f" strokeweight="1pt">
              <v:textbox style="layout-flow:vertical" inset=",43.2pt,,57.6pt">
                <w:txbxContent>
                  <w:p w:rsidR="00ED33C3" w:rsidRPr="009A1709" w:rsidP="0014367F" w14:paraId="018A6305" w14:textId="362C1674">
                    <w:pPr>
                      <w:spacing w:before="480"/>
                      <w:jc w:val="center"/>
                      <w:rPr>
                        <w:rFonts w:ascii="Arial Black" w:hAnsi="Arial Black"/>
                        <w:sz w:val="92"/>
                        <w:szCs w:val="92"/>
                      </w:rPr>
                    </w:pPr>
                    <w:r>
                      <w:rPr>
                        <w:rFonts w:ascii="Arial Black" w:hAnsi="Arial Black"/>
                        <w:sz w:val="92"/>
                        <w:szCs w:val="92"/>
                      </w:rPr>
                      <w:t>PROTOCOL ELEVEN</w:t>
                    </w:r>
                  </w:p>
                </w:txbxContent>
              </v:textbox>
              <w10:wrap type="square"/>
            </v:rect>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5B3B08" w:rsidP="004627A3" w14:paraId="08794928" w14:textId="728FEAE9">
    <w:pPr>
      <w:pStyle w:val="EQRHeader-NOLINE"/>
    </w:pPr>
    <w:r>
      <w:rPr>
        <w:noProof/>
      </w:rPr>
      <mc:AlternateContent>
        <mc:Choice Requires="wps">
          <w:drawing>
            <wp:anchor distT="0" distB="0" distL="114300" distR="114300" simplePos="0" relativeHeight="251748352" behindDoc="1" locked="0" layoutInCell="1" allowOverlap="1">
              <wp:simplePos x="0" y="0"/>
              <wp:positionH relativeFrom="margin">
                <wp:posOffset>5032375</wp:posOffset>
              </wp:positionH>
              <wp:positionV relativeFrom="paragraph">
                <wp:posOffset>-471805</wp:posOffset>
              </wp:positionV>
              <wp:extent cx="1828800" cy="10058400"/>
              <wp:effectExtent l="0" t="0" r="0" b="0"/>
              <wp:wrapSquare wrapText="bothSides"/>
              <wp:docPr id="1082467843"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10058400"/>
                      </a:xfrm>
                      <a:prstGeom prst="rect">
                        <a:avLst/>
                      </a:prstGeom>
                      <a:solidFill>
                        <a:srgbClr val="00828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B3B08" w:rsidRPr="009A1709" w:rsidP="0014367F" w14:textId="24F9E2B0">
                          <w:pPr>
                            <w:spacing w:before="480"/>
                            <w:jc w:val="center"/>
                            <w:rPr>
                              <w:rFonts w:ascii="Arial Black" w:hAnsi="Arial Black"/>
                              <w:sz w:val="92"/>
                              <w:szCs w:val="92"/>
                            </w:rPr>
                          </w:pPr>
                          <w:r>
                            <w:rPr>
                              <w:rFonts w:ascii="Arial Black" w:hAnsi="Arial Black"/>
                              <w:sz w:val="92"/>
                              <w:szCs w:val="92"/>
                            </w:rPr>
                            <w:t xml:space="preserve">APPENDIX </w:t>
                          </w:r>
                          <w:r w:rsidR="00CE50EF">
                            <w:rPr>
                              <w:rFonts w:ascii="Arial Black" w:hAnsi="Arial Black"/>
                              <w:sz w:val="92"/>
                              <w:szCs w:val="92"/>
                            </w:rPr>
                            <w:t>A</w:t>
                          </w:r>
                        </w:p>
                      </w:txbxContent>
                    </wps:txbx>
                    <wps:bodyPr rot="0" spcFirstLastPara="0" vertOverflow="overflow" horzOverflow="overflow" vert="vert" wrap="square" lIns="91440" tIns="548640" rIns="91440" bIns="7315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92" style="width:2in;height:11in;margin-top:-37.15pt;margin-left:396.25pt;mso-height-percent:0;mso-height-relative:margin;mso-position-horizontal-relative:margin;mso-width-percent:0;mso-width-relative:margin;mso-wrap-distance-bottom:0;mso-wrap-distance-left:9pt;mso-wrap-distance-right:9pt;mso-wrap-distance-top:0;mso-wrap-style:square;position:absolute;visibility:visible;v-text-anchor:middle;z-index:-251567104" fillcolor="#00828c" stroked="f" strokeweight="1pt">
              <v:textbox style="layout-flow:vertical" inset=",43.2pt,,57.6pt">
                <w:txbxContent>
                  <w:p w:rsidR="005B3B08" w:rsidRPr="009A1709" w:rsidP="0014367F" w14:paraId="31766064" w14:textId="24F9E2B0">
                    <w:pPr>
                      <w:spacing w:before="480"/>
                      <w:jc w:val="center"/>
                      <w:rPr>
                        <w:rFonts w:ascii="Arial Black" w:hAnsi="Arial Black"/>
                        <w:sz w:val="92"/>
                        <w:szCs w:val="92"/>
                      </w:rPr>
                    </w:pPr>
                    <w:r>
                      <w:rPr>
                        <w:rFonts w:ascii="Arial Black" w:hAnsi="Arial Black"/>
                        <w:sz w:val="92"/>
                        <w:szCs w:val="92"/>
                      </w:rPr>
                      <w:t xml:space="preserve">APPENDIX </w:t>
                    </w:r>
                    <w:r w:rsidR="00CE50EF">
                      <w:rPr>
                        <w:rFonts w:ascii="Arial Black" w:hAnsi="Arial Black"/>
                        <w:sz w:val="92"/>
                        <w:szCs w:val="92"/>
                      </w:rPr>
                      <w:t>A</w:t>
                    </w:r>
                  </w:p>
                </w:txbxContent>
              </v:textbox>
              <w10:wrap type="squar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17D3A" w:rsidP="00CF472D" w14:paraId="08C5B1C3" w14:textId="40DECB5F">
    <w:pPr>
      <w:pStyle w:val="EQRHeader-NOLINE"/>
      <w:rPr>
        <w:sz w:val="15"/>
        <w:szCs w:val="15"/>
      </w:rPr>
    </w:pPr>
  </w:p>
  <w:p w:rsidR="00ED33C3" w14:paraId="680FA963" w14:textId="77777777"/>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FF2A44" w:rsidP="004627A3" w14:paraId="6550790B" w14:textId="77777777">
    <w:pPr>
      <w:pStyle w:val="EQRHeader-NOLINE"/>
    </w:pPr>
    <w:r>
      <w:rPr>
        <w:noProof/>
      </w:rPr>
      <mc:AlternateContent>
        <mc:Choice Requires="wps">
          <w:drawing>
            <wp:anchor distT="0" distB="0" distL="114300" distR="114300" simplePos="0" relativeHeight="251752448" behindDoc="1" locked="0" layoutInCell="1" allowOverlap="1">
              <wp:simplePos x="0" y="0"/>
              <wp:positionH relativeFrom="margin">
                <wp:posOffset>5032375</wp:posOffset>
              </wp:positionH>
              <wp:positionV relativeFrom="paragraph">
                <wp:posOffset>-471805</wp:posOffset>
              </wp:positionV>
              <wp:extent cx="1828800" cy="10058400"/>
              <wp:effectExtent l="0" t="0" r="0" b="0"/>
              <wp:wrapSquare wrapText="bothSides"/>
              <wp:docPr id="254343911"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10058400"/>
                      </a:xfrm>
                      <a:prstGeom prst="rect">
                        <a:avLst/>
                      </a:prstGeom>
                      <a:solidFill>
                        <a:srgbClr val="00828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F2A44" w:rsidRPr="009A1709" w:rsidP="0014367F" w14:textId="618C23AB">
                          <w:pPr>
                            <w:spacing w:before="480"/>
                            <w:jc w:val="center"/>
                            <w:rPr>
                              <w:rFonts w:ascii="Arial Black" w:hAnsi="Arial Black"/>
                              <w:sz w:val="92"/>
                              <w:szCs w:val="92"/>
                            </w:rPr>
                          </w:pPr>
                          <w:r>
                            <w:rPr>
                              <w:rFonts w:ascii="Arial Black" w:hAnsi="Arial Black"/>
                              <w:sz w:val="92"/>
                              <w:szCs w:val="92"/>
                            </w:rPr>
                            <w:t>APPENDIX B</w:t>
                          </w:r>
                        </w:p>
                      </w:txbxContent>
                    </wps:txbx>
                    <wps:bodyPr rot="0" spcFirstLastPara="0" vertOverflow="overflow" horzOverflow="overflow" vert="vert" wrap="square" lIns="91440" tIns="548640" rIns="91440" bIns="7315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2093" style="width:2in;height:11in;margin-top:-37.15pt;margin-left:396.25pt;mso-height-percent:0;mso-height-relative:margin;mso-position-horizontal-relative:margin;mso-width-percent:0;mso-width-relative:margin;mso-wrap-distance-bottom:0;mso-wrap-distance-left:9pt;mso-wrap-distance-right:9pt;mso-wrap-distance-top:0;mso-wrap-style:square;position:absolute;visibility:visible;v-text-anchor:middle;z-index:-251563008" fillcolor="#00828c" stroked="f" strokeweight="1pt">
              <v:textbox style="layout-flow:vertical" inset=",43.2pt,,57.6pt">
                <w:txbxContent>
                  <w:p w:rsidR="00FF2A44" w:rsidRPr="009A1709" w:rsidP="0014367F" w14:paraId="4626A2E3" w14:textId="618C23AB">
                    <w:pPr>
                      <w:spacing w:before="480"/>
                      <w:jc w:val="center"/>
                      <w:rPr>
                        <w:rFonts w:ascii="Arial Black" w:hAnsi="Arial Black"/>
                        <w:sz w:val="92"/>
                        <w:szCs w:val="92"/>
                      </w:rPr>
                    </w:pPr>
                    <w:r>
                      <w:rPr>
                        <w:rFonts w:ascii="Arial Black" w:hAnsi="Arial Black"/>
                        <w:sz w:val="92"/>
                        <w:szCs w:val="92"/>
                      </w:rPr>
                      <w:t>APPENDIX B</w:t>
                    </w:r>
                  </w:p>
                </w:txbxContent>
              </v:textbox>
              <w10:wrap type="square"/>
            </v:rect>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17D3A" w:rsidP="005D67C0" w14:paraId="25C17B75" w14:textId="6187A7E7">
    <w:pPr>
      <w:pStyle w:val="EQRHeader-NOLINE"/>
      <w:rPr>
        <w:sz w:val="15"/>
        <w:szCs w:val="15"/>
      </w:rPr>
    </w:pPr>
    <w:r>
      <w:rPr>
        <w:noProof/>
      </w:rPr>
      <mc:AlternateContent>
        <mc:Choice Requires="wps">
          <w:drawing>
            <wp:anchor distT="0" distB="0" distL="114300" distR="114300" simplePos="0" relativeHeight="251660288" behindDoc="1" locked="0" layoutInCell="1" allowOverlap="1">
              <wp:simplePos x="0" y="0"/>
              <wp:positionH relativeFrom="margin">
                <wp:posOffset>5029200</wp:posOffset>
              </wp:positionH>
              <wp:positionV relativeFrom="paragraph">
                <wp:posOffset>-457200</wp:posOffset>
              </wp:positionV>
              <wp:extent cx="1828800" cy="10058400"/>
              <wp:effectExtent l="0" t="0" r="0" b="0"/>
              <wp:wrapNone/>
              <wp:docPr id="39288419" name="Rectangle 7"/>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10058400"/>
                      </a:xfrm>
                      <a:prstGeom prst="rect">
                        <a:avLst/>
                      </a:prstGeom>
                      <a:solidFill>
                        <a:srgbClr val="00828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33C3" w:rsidRPr="009A1709" w:rsidP="00A0318E" w14:textId="7A7622E4">
                          <w:pPr>
                            <w:spacing w:before="480"/>
                            <w:jc w:val="center"/>
                            <w:rPr>
                              <w:rFonts w:ascii="Arial Black" w:hAnsi="Arial Black"/>
                              <w:sz w:val="92"/>
                              <w:szCs w:val="92"/>
                            </w:rPr>
                          </w:pPr>
                          <w:r>
                            <w:rPr>
                              <w:rFonts w:ascii="Arial Black" w:hAnsi="Arial Black"/>
                              <w:sz w:val="92"/>
                              <w:szCs w:val="92"/>
                            </w:rPr>
                            <w:t>APPENDIX B</w:t>
                          </w:r>
                        </w:p>
                      </w:txbxContent>
                    </wps:txbx>
                    <wps:bodyPr rot="0" spcFirstLastPara="0" vertOverflow="overflow" horzOverflow="overflow" vert="vert" wrap="square" lIns="91440" tIns="548640" rIns="91440" bIns="7315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7" o:spid="_x0000_s2094" style="width:2in;height:11in;margin-top:-36pt;margin-left:396pt;mso-height-percent:0;mso-height-relative:margin;mso-position-horizontal-relative:margin;mso-width-percent:0;mso-width-relative:margin;mso-wrap-distance-bottom:0;mso-wrap-distance-left:9pt;mso-wrap-distance-right:9pt;mso-wrap-distance-top:0;mso-wrap-style:square;position:absolute;visibility:visible;v-text-anchor:middle;z-index:-251655168" fillcolor="#00828c" stroked="f" strokeweight="1pt">
              <v:textbox style="layout-flow:vertical" inset=",43.2pt,,57.6pt">
                <w:txbxContent>
                  <w:p w:rsidR="00ED33C3" w:rsidRPr="009A1709" w:rsidP="00A0318E" w14:paraId="1830365E" w14:textId="7A7622E4">
                    <w:pPr>
                      <w:spacing w:before="480"/>
                      <w:jc w:val="center"/>
                      <w:rPr>
                        <w:rFonts w:ascii="Arial Black" w:hAnsi="Arial Black"/>
                        <w:sz w:val="92"/>
                        <w:szCs w:val="92"/>
                      </w:rPr>
                    </w:pPr>
                    <w:r>
                      <w:rPr>
                        <w:rFonts w:ascii="Arial Black" w:hAnsi="Arial Black"/>
                        <w:sz w:val="92"/>
                        <w:szCs w:val="92"/>
                      </w:rPr>
                      <w:t>APPENDIX B</w:t>
                    </w:r>
                  </w:p>
                </w:txbxContent>
              </v:textbox>
              <w10:wrap anchorx="margin"/>
            </v:rect>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533692" w:rsidP="00346176" w14:paraId="0FA7A589" w14:textId="60A574E1">
    <w:pPr>
      <w:pStyle w:val="EQRHeader-NOLINE"/>
    </w:pPr>
    <w:r>
      <w:rPr>
        <w:noProof/>
      </w:rPr>
      <mc:AlternateContent>
        <mc:Choice Requires="wps">
          <w:drawing>
            <wp:anchor distT="0" distB="0" distL="114300" distR="114300" simplePos="0" relativeHeight="251740160" behindDoc="0" locked="1" layoutInCell="1" allowOverlap="1">
              <wp:simplePos x="0" y="0"/>
              <wp:positionH relativeFrom="margin">
                <wp:posOffset>-1393190</wp:posOffset>
              </wp:positionH>
              <wp:positionV relativeFrom="margin">
                <wp:posOffset>-394970</wp:posOffset>
              </wp:positionV>
              <wp:extent cx="10515600" cy="45720"/>
              <wp:effectExtent l="0" t="0" r="0" b="0"/>
              <wp:wrapNone/>
              <wp:docPr id="492354413"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 o:spid="_x0000_s2095" style="width:828pt;height:3.6pt;margin-top:-31.1pt;margin-left:-109.7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41184" fillcolor="#00559d" stroked="f">
              <v:fill color2="#67c7c5" angle="90" focus="100%" type="gradient"/>
              <w10:wrap anchorx="margin" anchory="margin"/>
              <w10:anchorlock/>
            </v:rect>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17D3A" w:rsidP="005D67C0" w14:paraId="4798BE50" w14:textId="7A94654E">
    <w:pPr>
      <w:pStyle w:val="EQRHeader-NOLINE"/>
      <w:rPr>
        <w:sz w:val="15"/>
        <w:szCs w:val="15"/>
      </w:rPr>
    </w:pPr>
    <w:r>
      <w:rPr>
        <w:noProof/>
      </w:rPr>
      <mc:AlternateContent>
        <mc:Choice Requires="wps">
          <w:drawing>
            <wp:anchor distT="0" distB="0" distL="114300" distR="114300" simplePos="0" relativeHeight="251688960" behindDoc="1" locked="0" layoutInCell="1" allowOverlap="1">
              <wp:simplePos x="0" y="0"/>
              <wp:positionH relativeFrom="margin">
                <wp:posOffset>5020310</wp:posOffset>
              </wp:positionH>
              <wp:positionV relativeFrom="paragraph">
                <wp:posOffset>-442595</wp:posOffset>
              </wp:positionV>
              <wp:extent cx="1828800" cy="10058400"/>
              <wp:effectExtent l="0" t="0" r="0" b="0"/>
              <wp:wrapSquare wrapText="bothSides"/>
              <wp:docPr id="138768431"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10058400"/>
                      </a:xfrm>
                      <a:prstGeom prst="rect">
                        <a:avLst/>
                      </a:prstGeom>
                      <a:solidFill>
                        <a:srgbClr val="00828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33C3" w:rsidRPr="009A1709" w:rsidP="0014367F" w14:textId="72104E1E">
                          <w:pPr>
                            <w:spacing w:before="480"/>
                            <w:jc w:val="center"/>
                            <w:rPr>
                              <w:rFonts w:ascii="Arial Black" w:hAnsi="Arial Black"/>
                              <w:sz w:val="92"/>
                              <w:szCs w:val="92"/>
                            </w:rPr>
                          </w:pPr>
                          <w:r>
                            <w:rPr>
                              <w:rFonts w:ascii="Arial Black" w:hAnsi="Arial Black"/>
                              <w:sz w:val="92"/>
                              <w:szCs w:val="92"/>
                            </w:rPr>
                            <w:t xml:space="preserve">APPENDIX </w:t>
                          </w:r>
                          <w:r w:rsidR="003108D6">
                            <w:rPr>
                              <w:rFonts w:ascii="Arial Black" w:hAnsi="Arial Black"/>
                              <w:sz w:val="92"/>
                              <w:szCs w:val="92"/>
                            </w:rPr>
                            <w:t>C</w:t>
                          </w:r>
                        </w:p>
                      </w:txbxContent>
                    </wps:txbx>
                    <wps:bodyPr rot="0" spcFirstLastPara="0" vertOverflow="overflow" horzOverflow="overflow" vert="vert" wrap="square" lIns="91440" tIns="548640" rIns="91440" bIns="7315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2096" style="width:2in;height:11in;margin-top:-34.85pt;margin-left:395.3pt;mso-height-percent:0;mso-height-relative:margin;mso-position-horizontal-relative:margin;mso-width-percent:0;mso-width-relative:margin;mso-wrap-distance-bottom:0;mso-wrap-distance-left:9pt;mso-wrap-distance-right:9pt;mso-wrap-distance-top:0;mso-wrap-style:square;position:absolute;visibility:visible;v-text-anchor:middle;z-index:-251626496" fillcolor="#00828c" stroked="f" strokeweight="1pt">
              <v:textbox style="layout-flow:vertical" inset=",43.2pt,,57.6pt">
                <w:txbxContent>
                  <w:p w:rsidR="00ED33C3" w:rsidRPr="009A1709" w:rsidP="0014367F" w14:paraId="2F5FA201" w14:textId="72104E1E">
                    <w:pPr>
                      <w:spacing w:before="480"/>
                      <w:jc w:val="center"/>
                      <w:rPr>
                        <w:rFonts w:ascii="Arial Black" w:hAnsi="Arial Black"/>
                        <w:sz w:val="92"/>
                        <w:szCs w:val="92"/>
                      </w:rPr>
                    </w:pPr>
                    <w:r>
                      <w:rPr>
                        <w:rFonts w:ascii="Arial Black" w:hAnsi="Arial Black"/>
                        <w:sz w:val="92"/>
                        <w:szCs w:val="92"/>
                      </w:rPr>
                      <w:t xml:space="preserve">APPENDIX </w:t>
                    </w:r>
                    <w:r w:rsidR="003108D6">
                      <w:rPr>
                        <w:rFonts w:ascii="Arial Black" w:hAnsi="Arial Black"/>
                        <w:sz w:val="92"/>
                        <w:szCs w:val="92"/>
                      </w:rPr>
                      <w:t>C</w:t>
                    </w:r>
                  </w:p>
                </w:txbxContent>
              </v:textbox>
              <w10:wrap type="square"/>
            </v:rect>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533692" w:rsidP="00533692" w14:paraId="19FC2386" w14:textId="5377F931">
    <w:pPr>
      <w:pStyle w:val="Header"/>
    </w:pPr>
    <w:r>
      <w:rPr>
        <w:noProof/>
      </w:rPr>
      <mc:AlternateContent>
        <mc:Choice Requires="wps">
          <w:drawing>
            <wp:anchor distT="0" distB="0" distL="114300" distR="114300" simplePos="0" relativeHeight="251691008" behindDoc="1" locked="0" layoutInCell="1" allowOverlap="1">
              <wp:simplePos x="0" y="0"/>
              <wp:positionH relativeFrom="margin">
                <wp:posOffset>5055235</wp:posOffset>
              </wp:positionH>
              <wp:positionV relativeFrom="paragraph">
                <wp:posOffset>-477520</wp:posOffset>
              </wp:positionV>
              <wp:extent cx="1828800" cy="10058400"/>
              <wp:effectExtent l="0" t="0" r="0" b="0"/>
              <wp:wrapSquare wrapText="bothSides"/>
              <wp:docPr id="1122301313"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10058400"/>
                      </a:xfrm>
                      <a:prstGeom prst="rect">
                        <a:avLst/>
                      </a:prstGeom>
                      <a:solidFill>
                        <a:srgbClr val="00828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33C3" w:rsidRPr="009A1709" w:rsidP="00533692" w14:textId="77777777">
                          <w:pPr>
                            <w:spacing w:before="480"/>
                            <w:jc w:val="center"/>
                            <w:rPr>
                              <w:rFonts w:ascii="Arial Black" w:hAnsi="Arial Black"/>
                              <w:sz w:val="92"/>
                              <w:szCs w:val="92"/>
                            </w:rPr>
                          </w:pPr>
                          <w:r w:rsidRPr="009A1709">
                            <w:rPr>
                              <w:rFonts w:ascii="Arial Black" w:hAnsi="Arial Black"/>
                              <w:sz w:val="92"/>
                              <w:szCs w:val="92"/>
                            </w:rPr>
                            <w:t xml:space="preserve">PROTOCOL </w:t>
                          </w:r>
                          <w:r>
                            <w:rPr>
                              <w:rFonts w:ascii="Arial Black" w:hAnsi="Arial Black"/>
                              <w:sz w:val="92"/>
                              <w:szCs w:val="92"/>
                            </w:rPr>
                            <w:t>NINE</w:t>
                          </w:r>
                        </w:p>
                      </w:txbxContent>
                    </wps:txbx>
                    <wps:bodyPr rot="0" spcFirstLastPara="0" vertOverflow="overflow" horzOverflow="overflow" vert="vert" wrap="square" lIns="91440" tIns="548640" rIns="91440" bIns="7315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 o:spid="_x0000_s2097" style="width:2in;height:11in;margin-top:-37.6pt;margin-left:398.0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24448" fillcolor="#00828c" stroked="f" strokeweight="1pt">
              <v:textbox style="layout-flow:vertical" inset=",43.2pt,,57.6pt">
                <w:txbxContent>
                  <w:p w:rsidR="00ED33C3" w:rsidRPr="009A1709" w:rsidP="00533692" w14:paraId="43489413" w14:textId="77777777">
                    <w:pPr>
                      <w:spacing w:before="480"/>
                      <w:jc w:val="center"/>
                      <w:rPr>
                        <w:rFonts w:ascii="Arial Black" w:hAnsi="Arial Black"/>
                        <w:sz w:val="92"/>
                        <w:szCs w:val="92"/>
                      </w:rPr>
                    </w:pPr>
                    <w:r w:rsidRPr="009A1709">
                      <w:rPr>
                        <w:rFonts w:ascii="Arial Black" w:hAnsi="Arial Black"/>
                        <w:sz w:val="92"/>
                        <w:szCs w:val="92"/>
                      </w:rPr>
                      <w:t xml:space="preserve">PROTOCOL </w:t>
                    </w:r>
                    <w:r>
                      <w:rPr>
                        <w:rFonts w:ascii="Arial Black" w:hAnsi="Arial Black"/>
                        <w:sz w:val="92"/>
                        <w:szCs w:val="92"/>
                      </w:rPr>
                      <w:t>NINE</w:t>
                    </w:r>
                  </w:p>
                </w:txbxContent>
              </v:textbox>
              <w10:wrap type="square"/>
            </v:rect>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17D3A" w:rsidP="005D67C0" w14:paraId="04F35C64" w14:textId="10DB5EB8">
    <w:pPr>
      <w:pStyle w:val="EQRHeader-NOLINE"/>
      <w:rPr>
        <w:sz w:val="15"/>
        <w:szCs w:val="15"/>
      </w:rPr>
    </w:pPr>
    <w:r>
      <w:rPr>
        <w:noProof/>
      </w:rPr>
      <mc:AlternateContent>
        <mc:Choice Requires="wps">
          <w:drawing>
            <wp:anchor distT="0" distB="0" distL="114300" distR="114300" simplePos="0" relativeHeight="251693056" behindDoc="1" locked="0" layoutInCell="1" allowOverlap="1">
              <wp:simplePos x="0" y="0"/>
              <wp:positionH relativeFrom="margin">
                <wp:posOffset>5020310</wp:posOffset>
              </wp:positionH>
              <wp:positionV relativeFrom="paragraph">
                <wp:posOffset>-442595</wp:posOffset>
              </wp:positionV>
              <wp:extent cx="1828800" cy="10058400"/>
              <wp:effectExtent l="0" t="0" r="0" b="0"/>
              <wp:wrapSquare wrapText="bothSides"/>
              <wp:docPr id="253622074"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10058400"/>
                      </a:xfrm>
                      <a:prstGeom prst="rect">
                        <a:avLst/>
                      </a:prstGeom>
                      <a:solidFill>
                        <a:srgbClr val="00828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33C3" w:rsidRPr="009A1709" w:rsidP="0014367F" w14:textId="218F9CBF">
                          <w:pPr>
                            <w:spacing w:before="480"/>
                            <w:jc w:val="center"/>
                            <w:rPr>
                              <w:rFonts w:ascii="Arial Black" w:hAnsi="Arial Black"/>
                              <w:sz w:val="92"/>
                              <w:szCs w:val="92"/>
                            </w:rPr>
                          </w:pPr>
                          <w:r>
                            <w:rPr>
                              <w:rFonts w:ascii="Arial Black" w:hAnsi="Arial Black"/>
                              <w:sz w:val="92"/>
                              <w:szCs w:val="92"/>
                            </w:rPr>
                            <w:t xml:space="preserve">APPENDIX </w:t>
                          </w:r>
                          <w:r w:rsidR="003108D6">
                            <w:rPr>
                              <w:rFonts w:ascii="Arial Black" w:hAnsi="Arial Black"/>
                              <w:sz w:val="92"/>
                              <w:szCs w:val="92"/>
                            </w:rPr>
                            <w:t>D</w:t>
                          </w:r>
                        </w:p>
                      </w:txbxContent>
                    </wps:txbx>
                    <wps:bodyPr rot="0" spcFirstLastPara="0" vertOverflow="overflow" horzOverflow="overflow" vert="vert" wrap="square" lIns="91440" tIns="548640" rIns="91440" bIns="7315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 o:spid="_x0000_s2098" style="width:2in;height:11in;margin-top:-34.85pt;margin-left:395.3pt;mso-height-percent:0;mso-height-relative:margin;mso-position-horizontal-relative:margin;mso-width-percent:0;mso-width-relative:margin;mso-wrap-distance-bottom:0;mso-wrap-distance-left:9pt;mso-wrap-distance-right:9pt;mso-wrap-distance-top:0;mso-wrap-style:square;position:absolute;visibility:visible;v-text-anchor:middle;z-index:-251622400" fillcolor="#00828c" stroked="f" strokeweight="1pt">
              <v:textbox style="layout-flow:vertical" inset=",43.2pt,,57.6pt">
                <w:txbxContent>
                  <w:p w:rsidR="00ED33C3" w:rsidRPr="009A1709" w:rsidP="0014367F" w14:paraId="22F15D4B" w14:textId="218F9CBF">
                    <w:pPr>
                      <w:spacing w:before="480"/>
                      <w:jc w:val="center"/>
                      <w:rPr>
                        <w:rFonts w:ascii="Arial Black" w:hAnsi="Arial Black"/>
                        <w:sz w:val="92"/>
                        <w:szCs w:val="92"/>
                      </w:rPr>
                    </w:pPr>
                    <w:r>
                      <w:rPr>
                        <w:rFonts w:ascii="Arial Black" w:hAnsi="Arial Black"/>
                        <w:sz w:val="92"/>
                        <w:szCs w:val="92"/>
                      </w:rPr>
                      <w:t xml:space="preserve">APPENDIX </w:t>
                    </w:r>
                    <w:r w:rsidR="003108D6">
                      <w:rPr>
                        <w:rFonts w:ascii="Arial Black" w:hAnsi="Arial Black"/>
                        <w:sz w:val="92"/>
                        <w:szCs w:val="92"/>
                      </w:rPr>
                      <w:t>D</w:t>
                    </w:r>
                  </w:p>
                </w:txbxContent>
              </v:textbox>
              <w10:wrap type="square"/>
            </v:rect>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533692" w:rsidP="002D5B46" w14:paraId="5F7CF4FA" w14:textId="6685C17A">
    <w:pPr>
      <w:pStyle w:val="EQRHeader-NOLINE"/>
    </w:pPr>
    <w:r>
      <w:rPr>
        <w:noProof/>
      </w:rPr>
      <mc:AlternateContent>
        <mc:Choice Requires="wps">
          <w:drawing>
            <wp:anchor distT="0" distB="0" distL="114300" distR="114300" simplePos="0" relativeHeight="251742208" behindDoc="0" locked="1" layoutInCell="1" allowOverlap="1">
              <wp:simplePos x="0" y="0"/>
              <wp:positionH relativeFrom="margin">
                <wp:posOffset>-1393190</wp:posOffset>
              </wp:positionH>
              <wp:positionV relativeFrom="margin">
                <wp:posOffset>-394970</wp:posOffset>
              </wp:positionV>
              <wp:extent cx="10515600" cy="45720"/>
              <wp:effectExtent l="0" t="0" r="0" b="0"/>
              <wp:wrapNone/>
              <wp:docPr id="1045722975"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2099" style="width:828pt;height:3.6pt;margin-top:-31.1pt;margin-left:-109.7pt;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43232" fillcolor="#00559d" stroked="f">
              <v:fill color2="#67c7c5" angle="90" focus="100%" type="gradient"/>
              <w10:wrap anchorx="margin" anchory="margin"/>
              <w10:anchorlock/>
            </v:rect>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17D3A" w:rsidP="005D67C0" w14:paraId="709367B4" w14:textId="40036A2F">
    <w:pPr>
      <w:pStyle w:val="EQRHeader-NOLINE"/>
      <w:rPr>
        <w:sz w:val="15"/>
        <w:szCs w:val="15"/>
      </w:rPr>
    </w:pPr>
    <w:r>
      <w:rPr>
        <w:noProof/>
      </w:rPr>
      <mc:AlternateContent>
        <mc:Choice Requires="wps">
          <w:drawing>
            <wp:anchor distT="0" distB="0" distL="114300" distR="114300" simplePos="0" relativeHeight="251695104" behindDoc="1" locked="0" layoutInCell="1" allowOverlap="1">
              <wp:simplePos x="0" y="0"/>
              <wp:positionH relativeFrom="margin">
                <wp:posOffset>5020310</wp:posOffset>
              </wp:positionH>
              <wp:positionV relativeFrom="paragraph">
                <wp:posOffset>-442595</wp:posOffset>
              </wp:positionV>
              <wp:extent cx="1828800" cy="10058400"/>
              <wp:effectExtent l="0" t="0" r="0" b="0"/>
              <wp:wrapSquare wrapText="bothSides"/>
              <wp:docPr id="1793375864"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10058400"/>
                      </a:xfrm>
                      <a:prstGeom prst="rect">
                        <a:avLst/>
                      </a:prstGeom>
                      <a:solidFill>
                        <a:srgbClr val="00828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33C3" w:rsidRPr="009A1709" w:rsidP="0014367F" w14:textId="0C5E04A3">
                          <w:pPr>
                            <w:spacing w:before="480"/>
                            <w:jc w:val="center"/>
                            <w:rPr>
                              <w:rFonts w:ascii="Arial Black" w:hAnsi="Arial Black"/>
                              <w:sz w:val="92"/>
                              <w:szCs w:val="92"/>
                            </w:rPr>
                          </w:pPr>
                          <w:r>
                            <w:rPr>
                              <w:rFonts w:ascii="Arial Black" w:hAnsi="Arial Black"/>
                              <w:sz w:val="92"/>
                              <w:szCs w:val="92"/>
                            </w:rPr>
                            <w:t xml:space="preserve">APPENDIX </w:t>
                          </w:r>
                          <w:r w:rsidR="003108D6">
                            <w:rPr>
                              <w:rFonts w:ascii="Arial Black" w:hAnsi="Arial Black"/>
                              <w:sz w:val="92"/>
                              <w:szCs w:val="92"/>
                            </w:rPr>
                            <w:t>E</w:t>
                          </w:r>
                        </w:p>
                      </w:txbxContent>
                    </wps:txbx>
                    <wps:bodyPr rot="0" spcFirstLastPara="0" vertOverflow="overflow" horzOverflow="overflow" vert="vert" wrap="square" lIns="91440" tIns="548640" rIns="91440" bIns="7315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2100" style="width:2in;height:11in;margin-top:-34.85pt;margin-left:395.3pt;mso-height-percent:0;mso-height-relative:margin;mso-position-horizontal-relative:margin;mso-width-percent:0;mso-width-relative:margin;mso-wrap-distance-bottom:0;mso-wrap-distance-left:9pt;mso-wrap-distance-right:9pt;mso-wrap-distance-top:0;mso-wrap-style:square;position:absolute;visibility:visible;v-text-anchor:middle;z-index:-251620352" fillcolor="#00828c" stroked="f" strokeweight="1pt">
              <v:textbox style="layout-flow:vertical" inset=",43.2pt,,57.6pt">
                <w:txbxContent>
                  <w:p w:rsidR="00ED33C3" w:rsidRPr="009A1709" w:rsidP="0014367F" w14:paraId="434CFB07" w14:textId="0C5E04A3">
                    <w:pPr>
                      <w:spacing w:before="480"/>
                      <w:jc w:val="center"/>
                      <w:rPr>
                        <w:rFonts w:ascii="Arial Black" w:hAnsi="Arial Black"/>
                        <w:sz w:val="92"/>
                        <w:szCs w:val="92"/>
                      </w:rPr>
                    </w:pPr>
                    <w:r>
                      <w:rPr>
                        <w:rFonts w:ascii="Arial Black" w:hAnsi="Arial Black"/>
                        <w:sz w:val="92"/>
                        <w:szCs w:val="92"/>
                      </w:rPr>
                      <w:t xml:space="preserve">APPENDIX </w:t>
                    </w:r>
                    <w:r w:rsidR="003108D6">
                      <w:rPr>
                        <w:rFonts w:ascii="Arial Black" w:hAnsi="Arial Black"/>
                        <w:sz w:val="92"/>
                        <w:szCs w:val="92"/>
                      </w:rPr>
                      <w:t>E</w:t>
                    </w:r>
                  </w:p>
                </w:txbxContent>
              </v:textbox>
              <w10:wrap type="squar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17D3A" w:rsidP="008F7B45" w14:paraId="31E99535" w14:textId="534151DC">
    <w:pPr>
      <w:pStyle w:val="EQRHeader-NOLI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070780" w:rsidP="0039264F" w14:paraId="0487DD3D" w14:textId="11C8A366">
    <w:pPr>
      <w:pStyle w:val="EQRHeader-NOLIN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D17D3A" w:rsidP="00CF472D" w14:paraId="3C8EA4F9" w14:textId="038E326D">
    <w:pPr>
      <w:pStyle w:val="EQRHeader-NOLINE"/>
      <w:rPr>
        <w:sz w:val="15"/>
        <w:szCs w:val="15"/>
      </w:rPr>
    </w:pPr>
  </w:p>
  <w:p w:rsidR="00ED33C3" w14:paraId="32A5714F" w14:textId="77777777"/>
  <w:p w:rsidR="00ED33C3" w14:paraId="67E9E6C5" w14:textId="7777777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D33C3" w:rsidRPr="00070780" w:rsidP="00DD2168" w14:paraId="4E0EE53D" w14:textId="3E6E24C1">
    <w:pPr>
      <w:pStyle w:val="EQRHeader-NOLINE"/>
    </w:pPr>
    <w:r>
      <w:rPr>
        <w:noProof/>
      </w:rPr>
      <mc:AlternateContent>
        <mc:Choice Requires="wps">
          <w:drawing>
            <wp:anchor distT="0" distB="0" distL="114300" distR="114300" simplePos="0" relativeHeight="251705344" behindDoc="0" locked="1" layoutInCell="1" allowOverlap="1">
              <wp:simplePos x="0" y="0"/>
              <wp:positionH relativeFrom="margin">
                <wp:posOffset>-3657600</wp:posOffset>
              </wp:positionH>
              <wp:positionV relativeFrom="margin">
                <wp:posOffset>-368935</wp:posOffset>
              </wp:positionV>
              <wp:extent cx="10515600" cy="45720"/>
              <wp:effectExtent l="0" t="0" r="0" b="0"/>
              <wp:wrapNone/>
              <wp:docPr id="709726563" name="Rectangle 4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15600" cy="45720"/>
                      </a:xfrm>
                      <a:prstGeom prst="rect">
                        <a:avLst/>
                      </a:prstGeom>
                      <a:gradFill rotWithShape="0">
                        <a:gsLst>
                          <a:gs pos="0">
                            <a:srgbClr val="00559D"/>
                          </a:gs>
                          <a:gs pos="100000">
                            <a:srgbClr val="67C7C5"/>
                          </a:gs>
                        </a:gsLst>
                        <a:lin ang="0" scaled="1"/>
                      </a:gra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9" o:spid="_x0000_s2052" style="width:828pt;height:3.6pt;margin-top:-29.05pt;margin-left:-4in;mso-height-percent:0;mso-height-relative:page;mso-position-horizontal-relative:margin;mso-position-vertical-relative:margin;mso-width-percent:0;mso-width-relative:page;mso-wrap-distance-bottom:0;mso-wrap-distance-left:9pt;mso-wrap-distance-right:9pt;mso-wrap-distance-top:0;mso-wrap-style:square;position:absolute;visibility:visible;v-text-anchor:top;z-index:251706368" fillcolor="#00559d" stroked="f">
              <v:fill color2="#67c7c5" angle="90" focus="100%" type="gradient"/>
              <w10:wrap anchorx="margin" anchory="margin"/>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7C"/>
    <w:multiLevelType w:val="singleLevel"/>
    <w:tmpl w:val="85744E60"/>
    <w:lvl w:ilvl="0">
      <w:start w:val="1"/>
      <w:numFmt w:val="decimal"/>
      <w:pStyle w:val="ListNumber5"/>
      <w:lvlText w:val="%1."/>
      <w:lvlJc w:val="left"/>
      <w:pPr>
        <w:tabs>
          <w:tab w:val="num" w:pos="2160"/>
        </w:tabs>
        <w:ind w:left="2160" w:hanging="360"/>
      </w:pPr>
    </w:lvl>
  </w:abstractNum>
  <w:abstractNum w:abstractNumId="1">
    <w:nsid w:val="FFFFFF7D"/>
    <w:multiLevelType w:val="singleLevel"/>
    <w:tmpl w:val="B23AE99E"/>
    <w:lvl w:ilvl="0">
      <w:start w:val="1"/>
      <w:numFmt w:val="decimal"/>
      <w:pStyle w:val="ListNumber4"/>
      <w:lvlText w:val="%1."/>
      <w:lvlJc w:val="left"/>
      <w:pPr>
        <w:tabs>
          <w:tab w:val="num" w:pos="1440"/>
        </w:tabs>
        <w:ind w:left="1440" w:hanging="360"/>
      </w:pPr>
    </w:lvl>
  </w:abstractNum>
  <w:abstractNum w:abstractNumId="2">
    <w:nsid w:val="FFFFFF7F"/>
    <w:multiLevelType w:val="singleLevel"/>
    <w:tmpl w:val="51908B4A"/>
    <w:lvl w:ilvl="0">
      <w:start w:val="1"/>
      <w:numFmt w:val="decimal"/>
      <w:pStyle w:val="ListNumber2"/>
      <w:lvlText w:val="%1."/>
      <w:lvlJc w:val="left"/>
      <w:pPr>
        <w:tabs>
          <w:tab w:val="num" w:pos="720"/>
        </w:tabs>
        <w:ind w:left="720" w:hanging="360"/>
      </w:pPr>
      <w:rPr>
        <w:rFonts w:hint="default"/>
        <w:b w:val="0"/>
        <w:i w:val="0"/>
        <w:color w:val="000000" w:themeColor="text1"/>
      </w:rPr>
    </w:lvl>
  </w:abstractNum>
  <w:abstractNum w:abstractNumId="3">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4">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5">
    <w:nsid w:val="FFFFFF83"/>
    <w:multiLevelType w:val="singleLevel"/>
    <w:tmpl w:val="A992B380"/>
    <w:lvl w:ilvl="0">
      <w:start w:val="1"/>
      <w:numFmt w:val="bullet"/>
      <w:lvlText w:val=""/>
      <w:lvlJc w:val="left"/>
      <w:pPr>
        <w:tabs>
          <w:tab w:val="num" w:pos="720"/>
        </w:tabs>
        <w:ind w:left="720" w:hanging="360"/>
      </w:pPr>
      <w:rPr>
        <w:rFonts w:ascii="Symbol" w:hAnsi="Symbol" w:hint="default"/>
      </w:rPr>
    </w:lvl>
  </w:abstractNum>
  <w:abstractNum w:abstractNumId="6">
    <w:nsid w:val="FFFFFF88"/>
    <w:multiLevelType w:val="singleLevel"/>
    <w:tmpl w:val="181EBA98"/>
    <w:lvl w:ilvl="0">
      <w:start w:val="1"/>
      <w:numFmt w:val="decimal"/>
      <w:pStyle w:val="ListNumber"/>
      <w:lvlText w:val="%1."/>
      <w:lvlJc w:val="left"/>
      <w:pPr>
        <w:tabs>
          <w:tab w:val="num" w:pos="630"/>
        </w:tabs>
        <w:ind w:left="432" w:hanging="432"/>
      </w:pPr>
      <w:rPr>
        <w:rFonts w:hint="default"/>
        <w:b w:val="0"/>
        <w:bCs w:val="0"/>
      </w:rPr>
    </w:lvl>
  </w:abstractNum>
  <w:abstractNum w:abstractNumId="7">
    <w:nsid w:val="FFFFFF89"/>
    <w:multiLevelType w:val="singleLevel"/>
    <w:tmpl w:val="2BEC57F6"/>
    <w:lvl w:ilvl="0">
      <w:start w:val="1"/>
      <w:numFmt w:val="bullet"/>
      <w:lvlText w:val=""/>
      <w:lvlJc w:val="left"/>
      <w:pPr>
        <w:tabs>
          <w:tab w:val="num" w:pos="360"/>
        </w:tabs>
        <w:ind w:left="360" w:hanging="360"/>
      </w:pPr>
      <w:rPr>
        <w:rFonts w:ascii="Symbol" w:hAnsi="Symbol" w:hint="default"/>
      </w:rPr>
    </w:lvl>
  </w:abstractNum>
  <w:abstractNum w:abstractNumId="8">
    <w:nsid w:val="0000000B"/>
    <w:multiLevelType w:val="multilevel"/>
    <w:tmpl w:val="00000000"/>
    <w:lvl w:ilvl="0">
      <w:start w:val="1"/>
      <w:numFmt w:val="decimal"/>
      <w:pStyle w:val="Level1"/>
      <w:lvlText w:val="%1."/>
      <w:lvlJc w:val="left"/>
      <w:pPr>
        <w:tabs>
          <w:tab w:val="num" w:pos="720"/>
        </w:tabs>
        <w:ind w:left="720" w:hanging="72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9">
    <w:nsid w:val="01E4444D"/>
    <w:multiLevelType w:val="hybridMultilevel"/>
    <w:tmpl w:val="1CF099E8"/>
    <w:lvl w:ilvl="0">
      <w:start w:val="1"/>
      <w:numFmt w:val="lowerLetter"/>
      <w:lvlText w:val="%1."/>
      <w:lvlJc w:val="left"/>
      <w:pPr>
        <w:ind w:left="1080" w:hanging="360"/>
      </w:pPr>
      <w:rPr>
        <w:b w:val="0"/>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03E50D66"/>
    <w:multiLevelType w:val="multilevel"/>
    <w:tmpl w:val="9D4AC124"/>
    <w:styleLink w:val="Feature20"/>
    <w:lvl w:ilvl="0">
      <w:start w:val="1"/>
      <w:numFmt w:val="decimal"/>
      <w:lvlText w:val="%1)"/>
      <w:lvlJc w:val="left"/>
      <w:pPr>
        <w:ind w:left="360" w:hanging="360"/>
      </w:pPr>
      <w:rPr>
        <w:b/>
        <w:color w:val="00828C"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3FA2F79"/>
    <w:multiLevelType w:val="hybridMultilevel"/>
    <w:tmpl w:val="D53ACD2A"/>
    <w:styleLink w:val="MPROutline2"/>
    <w:lvl w:ilvl="0">
      <w:start w:val="1"/>
      <w:numFmt w:val="bullet"/>
      <w:pStyle w:val="NumberedBulletLastD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5A37A92"/>
    <w:multiLevelType w:val="multilevel"/>
    <w:tmpl w:val="42623A34"/>
    <w:lvl w:ilvl="0">
      <w:start w:val="2"/>
      <w:numFmt w:val="decimal"/>
      <w:lvlText w:val="%1."/>
      <w:lvlJc w:val="left"/>
      <w:pPr>
        <w:ind w:left="360"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0D5945F5"/>
    <w:multiLevelType w:val="hybridMultilevel"/>
    <w:tmpl w:val="34F86D88"/>
    <w:lvl w:ilvl="0">
      <w:start w:val="1"/>
      <w:numFmt w:val="bullet"/>
      <w:pStyle w:val="EQRBulletBLUECHECKBODY"/>
      <w:lvlText w:val=""/>
      <w:lvlJc w:val="left"/>
      <w:pPr>
        <w:ind w:left="360" w:hanging="360"/>
      </w:pPr>
      <w:rPr>
        <w:rFonts w:ascii="Symbol" w:hAnsi="Symbol" w:hint="default"/>
        <w:b/>
        <w:color w:val="00559D"/>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EE05B5E"/>
    <w:multiLevelType w:val="multilevel"/>
    <w:tmpl w:val="268629A8"/>
    <w:styleLink w:val="SBBullet"/>
    <w:lvl w:ilvl="0">
      <w:start w:val="1"/>
      <w:numFmt w:val="bullet"/>
      <w:lvlText w:val=""/>
      <w:lvlJc w:val="left"/>
      <w:pPr>
        <w:ind w:left="360" w:hanging="360"/>
      </w:pPr>
      <w:rPr>
        <w:rFonts w:ascii="Symbol" w:hAnsi="Symbol" w:hint="default"/>
        <w:color w:val="00828C" w:themeColor="accent1"/>
        <w:u w:color="002A4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18015C8"/>
    <w:multiLevelType w:val="multilevel"/>
    <w:tmpl w:val="AF2A4FF2"/>
    <w:lvl w:ilvl="0">
      <w:start w:val="1"/>
      <w:numFmt w:val="upperRoman"/>
      <w:pStyle w:val="Outline"/>
      <w:lvlText w:val="%1."/>
      <w:lvlJc w:val="left"/>
      <w:pPr>
        <w:tabs>
          <w:tab w:val="num" w:pos="576"/>
        </w:tabs>
        <w:ind w:left="432" w:hanging="432"/>
      </w:pPr>
      <w:rPr>
        <w:rFonts w:hint="default"/>
        <w:color w:val="00559D" w:themeColor="text2"/>
      </w:rPr>
    </w:lvl>
    <w:lvl w:ilvl="1">
      <w:start w:val="1"/>
      <w:numFmt w:val="upperLetter"/>
      <w:pStyle w:val="Outline2"/>
      <w:lvlText w:val="%2."/>
      <w:lvlJc w:val="left"/>
      <w:pPr>
        <w:tabs>
          <w:tab w:val="num" w:pos="576"/>
        </w:tabs>
        <w:ind w:left="432" w:hanging="432"/>
      </w:pPr>
      <w:rPr>
        <w:rFonts w:hint="default"/>
        <w:color w:val="00559D"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0559D"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0559D"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6">
    <w:nsid w:val="12A44E59"/>
    <w:multiLevelType w:val="hybridMultilevel"/>
    <w:tmpl w:val="42A40332"/>
    <w:lvl w:ilvl="0">
      <w:start w:val="1"/>
      <w:numFmt w:val="bullet"/>
      <w:pStyle w:val="Feature1ListBullet3"/>
      <w:lvlText w:val=""/>
      <w:lvlJc w:val="left"/>
      <w:pPr>
        <w:tabs>
          <w:tab w:val="num" w:pos="1080"/>
        </w:tabs>
        <w:ind w:left="360" w:firstLine="360"/>
      </w:pPr>
      <w:rPr>
        <w:rFonts w:ascii="Wingdings" w:hAnsi="Wingdings" w:hint="default"/>
        <w:color w:val="00828C" w:themeColor="accent1"/>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16B12E54"/>
    <w:multiLevelType w:val="hybridMultilevel"/>
    <w:tmpl w:val="742675C8"/>
    <w:lvl w:ilvl="0">
      <w:start w:val="1"/>
      <w:numFmt w:val="bullet"/>
      <w:pStyle w:val="Feature1ListBullet2"/>
      <w:lvlText w:val="○"/>
      <w:lvlJc w:val="left"/>
      <w:pPr>
        <w:tabs>
          <w:tab w:val="num" w:pos="720"/>
        </w:tabs>
        <w:ind w:left="720" w:hanging="360"/>
      </w:pPr>
      <w:rPr>
        <w:rFonts w:ascii="Arial Black" w:hAnsi="Arial Black" w:hint="default"/>
        <w:color w:val="00828C" w:themeColor="accent1"/>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16B545FE"/>
    <w:multiLevelType w:val="hybridMultilevel"/>
    <w:tmpl w:val="F77A9B38"/>
    <w:lvl w:ilvl="0">
      <w:start w:val="1"/>
      <w:numFmt w:val="bullet"/>
      <w:pStyle w:val="Disclaimer"/>
      <w:lvlText w:val=""/>
      <w:lvlJc w:val="left"/>
      <w:pPr>
        <w:ind w:left="360" w:hanging="360"/>
      </w:pPr>
      <w:rPr>
        <w:rFonts w:ascii="Wingdings" w:hAnsi="Wingdings" w:cs="Times New Roman" w:hint="default"/>
        <w:color w:val="00828C" w:themeColor="accent1"/>
        <w:position w:val="0"/>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75F4639"/>
    <w:multiLevelType w:val="hybridMultilevel"/>
    <w:tmpl w:val="28C46A90"/>
    <w:lvl w:ilvl="0">
      <w:start w:val="1"/>
      <w:numFmt w:val="bullet"/>
      <w:pStyle w:val="Dash"/>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192B4127"/>
    <w:multiLevelType w:val="hybridMultilevel"/>
    <w:tmpl w:val="5950E6C8"/>
    <w:lvl w:ilvl="0">
      <w:start w:val="1"/>
      <w:numFmt w:val="bullet"/>
      <w:pStyle w:val="EQRNormalSSWSbullet3rdlevel"/>
      <w:lvlText w:val=""/>
      <w:lvlJc w:val="left"/>
      <w:pPr>
        <w:ind w:left="1800" w:hanging="360"/>
      </w:pPr>
      <w:rPr>
        <w:rFonts w:ascii="Wingdings" w:hAnsi="Wingdings" w:hint="default"/>
        <w:color w:val="00559D"/>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1">
    <w:nsid w:val="236D4E10"/>
    <w:multiLevelType w:val="hybridMultilevel"/>
    <w:tmpl w:val="D0420288"/>
    <w:lvl w:ilvl="0">
      <w:start w:val="1"/>
      <w:numFmt w:val="lowerLetter"/>
      <w:pStyle w:val="EQRNormalSSWSquestionSectionNumberSub"/>
      <w:lvlText w:val="1.1.%1."/>
      <w:lvlJc w:val="left"/>
      <w:pPr>
        <w:ind w:left="720" w:hanging="360"/>
      </w:pPr>
      <w:rPr>
        <w:rFonts w:ascii="Arial" w:hAnsi="Arial" w:cs="Times New Roman" w:hint="default"/>
        <w:b w:val="0"/>
        <w:bCs/>
        <w:i w:val="0"/>
        <w:iCs w:val="0"/>
        <w:w w:val="100"/>
        <w:sz w:val="18"/>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3BE62F2"/>
    <w:multiLevelType w:val="multilevel"/>
    <w:tmpl w:val="D19ABFD8"/>
    <w:lvl w:ilvl="0">
      <w:start w:val="1"/>
      <w:numFmt w:val="bullet"/>
      <w:pStyle w:val="Feature1ListBullet"/>
      <w:lvlText w:val=""/>
      <w:lvlJc w:val="left"/>
      <w:pPr>
        <w:ind w:left="360" w:hanging="360"/>
      </w:pPr>
      <w:rPr>
        <w:rFonts w:ascii="Symbol" w:hAnsi="Symbol" w:hint="default"/>
        <w:color w:val="00828C"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23">
    <w:nsid w:val="27523B58"/>
    <w:multiLevelType w:val="hybridMultilevel"/>
    <w:tmpl w:val="4FD29D94"/>
    <w:lvl w:ilvl="0">
      <w:start w:val="1"/>
      <w:numFmt w:val="lowerLetter"/>
      <w:pStyle w:val="ListAlpha3"/>
      <w:lvlText w:val="%1."/>
      <w:lvlJc w:val="left"/>
      <w:pPr>
        <w:ind w:left="1080" w:hanging="360"/>
      </w:pPr>
      <w:rPr>
        <w:rFonts w:asciiTheme="majorHAnsi" w:hAnsiTheme="majorHAnsi" w:hint="default"/>
        <w:b w:val="0"/>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A287AEC"/>
    <w:multiLevelType w:val="hybridMultilevel"/>
    <w:tmpl w:val="7B527482"/>
    <w:lvl w:ilvl="0">
      <w:start w:val="1"/>
      <w:numFmt w:val="decimal"/>
      <w:pStyle w:val="EQRTableNumber"/>
      <w:lvlText w:val="%1."/>
      <w:lvlJc w:val="left"/>
      <w:pPr>
        <w:ind w:left="360" w:hanging="360"/>
      </w:p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25">
    <w:nsid w:val="2AB10654"/>
    <w:multiLevelType w:val="multilevel"/>
    <w:tmpl w:val="40B23E9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6">
    <w:nsid w:val="2C266829"/>
    <w:multiLevelType w:val="hybridMultilevel"/>
    <w:tmpl w:val="30EC5776"/>
    <w:lvl w:ilvl="0">
      <w:start w:val="1"/>
      <w:numFmt w:val="bullet"/>
      <w:pStyle w:val="EQRNormalSSWSbullet"/>
      <w:lvlText w:val=""/>
      <w:lvlJc w:val="left"/>
      <w:pPr>
        <w:ind w:left="720" w:hanging="360"/>
      </w:pPr>
      <w:rPr>
        <w:rFonts w:ascii="Symbol" w:hAnsi="Symbol" w:hint="default"/>
        <w:color w:val="00559D"/>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2CBE3D84"/>
    <w:multiLevelType w:val="hybridMultilevel"/>
    <w:tmpl w:val="7C7E64FE"/>
    <w:lvl w:ilvl="0">
      <w:start w:val="1"/>
      <w:numFmt w:val="bullet"/>
      <w:pStyle w:val="EQRTableTextBOX"/>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1222586"/>
    <w:multiLevelType w:val="hybridMultilevel"/>
    <w:tmpl w:val="A2FE962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31D33154"/>
    <w:multiLevelType w:val="hybridMultilevel"/>
    <w:tmpl w:val="085CFA1A"/>
    <w:lvl w:ilvl="0">
      <w:start w:val="1"/>
      <w:numFmt w:val="bullet"/>
      <w:pStyle w:val="ListBullet3"/>
      <w:lvlText w:val=""/>
      <w:lvlJc w:val="left"/>
      <w:pPr>
        <w:ind w:left="1152" w:hanging="360"/>
      </w:pPr>
      <w:rPr>
        <w:rFonts w:ascii="Wingdings" w:hAnsi="Wingdings" w:hint="default"/>
        <w:color w:val="00559D" w:themeColor="text2"/>
        <w:sz w:val="18"/>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30">
    <w:nsid w:val="328C583D"/>
    <w:multiLevelType w:val="hybridMultilevel"/>
    <w:tmpl w:val="AEE0720E"/>
    <w:lvl w:ilvl="0">
      <w:start w:val="1"/>
      <w:numFmt w:val="decimal"/>
      <w:pStyle w:val="SidebarListNumber"/>
      <w:lvlText w:val="%1."/>
      <w:lvlJc w:val="left"/>
      <w:pPr>
        <w:ind w:left="360" w:hanging="360"/>
      </w:pPr>
      <w:rPr>
        <w:rFonts w:asciiTheme="majorHAnsi" w:hAnsiTheme="majorHAnsi" w:hint="default"/>
        <w:b w:val="0"/>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3DB0DE8"/>
    <w:multiLevelType w:val="hybridMultilevel"/>
    <w:tmpl w:val="09429EDE"/>
    <w:lvl w:ilvl="0">
      <w:start w:val="1"/>
      <w:numFmt w:val="lowerRoman"/>
      <w:pStyle w:val="EQRNormalWSquestionsub2"/>
      <w:lvlText w:val="%1."/>
      <w:lvlJc w:val="right"/>
      <w:pPr>
        <w:ind w:left="1224" w:hanging="360"/>
      </w:pPr>
    </w:lvl>
    <w:lvl w:ilvl="1" w:tentative="1">
      <w:start w:val="1"/>
      <w:numFmt w:val="lowerLetter"/>
      <w:lvlText w:val="%2."/>
      <w:lvlJc w:val="left"/>
      <w:pPr>
        <w:ind w:left="1944" w:hanging="360"/>
      </w:pPr>
    </w:lvl>
    <w:lvl w:ilvl="2" w:tentative="1">
      <w:start w:val="1"/>
      <w:numFmt w:val="lowerRoman"/>
      <w:lvlText w:val="%3."/>
      <w:lvlJc w:val="right"/>
      <w:pPr>
        <w:ind w:left="2664" w:hanging="180"/>
      </w:pPr>
    </w:lvl>
    <w:lvl w:ilvl="3" w:tentative="1">
      <w:start w:val="1"/>
      <w:numFmt w:val="decimal"/>
      <w:lvlText w:val="%4."/>
      <w:lvlJc w:val="left"/>
      <w:pPr>
        <w:ind w:left="3384" w:hanging="360"/>
      </w:pPr>
    </w:lvl>
    <w:lvl w:ilvl="4" w:tentative="1">
      <w:start w:val="1"/>
      <w:numFmt w:val="lowerLetter"/>
      <w:lvlText w:val="%5."/>
      <w:lvlJc w:val="left"/>
      <w:pPr>
        <w:ind w:left="4104" w:hanging="360"/>
      </w:pPr>
    </w:lvl>
    <w:lvl w:ilvl="5" w:tentative="1">
      <w:start w:val="1"/>
      <w:numFmt w:val="lowerRoman"/>
      <w:lvlText w:val="%6."/>
      <w:lvlJc w:val="right"/>
      <w:pPr>
        <w:ind w:left="4824" w:hanging="180"/>
      </w:pPr>
    </w:lvl>
    <w:lvl w:ilvl="6" w:tentative="1">
      <w:start w:val="1"/>
      <w:numFmt w:val="decimal"/>
      <w:lvlText w:val="%7."/>
      <w:lvlJc w:val="left"/>
      <w:pPr>
        <w:ind w:left="5544" w:hanging="360"/>
      </w:pPr>
    </w:lvl>
    <w:lvl w:ilvl="7" w:tentative="1">
      <w:start w:val="1"/>
      <w:numFmt w:val="lowerLetter"/>
      <w:lvlText w:val="%8."/>
      <w:lvlJc w:val="left"/>
      <w:pPr>
        <w:ind w:left="6264" w:hanging="360"/>
      </w:pPr>
    </w:lvl>
    <w:lvl w:ilvl="8" w:tentative="1">
      <w:start w:val="1"/>
      <w:numFmt w:val="lowerRoman"/>
      <w:lvlText w:val="%9."/>
      <w:lvlJc w:val="right"/>
      <w:pPr>
        <w:ind w:left="6984" w:hanging="180"/>
      </w:pPr>
    </w:lvl>
  </w:abstractNum>
  <w:abstractNum w:abstractNumId="32">
    <w:nsid w:val="35F94DFE"/>
    <w:multiLevelType w:val="hybridMultilevel"/>
    <w:tmpl w:val="0638CC88"/>
    <w:lvl w:ilvl="0">
      <w:start w:val="1"/>
      <w:numFmt w:val="bullet"/>
      <w:pStyle w:val="EQRTextboxcheck"/>
      <w:lvlText w:val=""/>
      <w:lvlJc w:val="left"/>
      <w:pPr>
        <w:ind w:left="720" w:hanging="360"/>
      </w:pPr>
      <w:rPr>
        <w:rFonts w:ascii="Wingdings" w:hAnsi="Wingdings" w:hint="default"/>
        <w:b/>
        <w:color w:val="00559D"/>
        <w:sz w:val="17"/>
        <w:szCs w:val="1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38EB4656"/>
    <w:multiLevelType w:val="hybridMultilevel"/>
    <w:tmpl w:val="756AD252"/>
    <w:lvl w:ilvl="0">
      <w:start w:val="1"/>
      <w:numFmt w:val="decimal"/>
      <w:pStyle w:val="BoxTableListNumber"/>
      <w:lvlText w:val="%1."/>
      <w:lvlJc w:val="left"/>
      <w:pPr>
        <w:ind w:left="720" w:hanging="360"/>
      </w:pPr>
      <w:rPr>
        <w:rFonts w:hint="default"/>
        <w:b/>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9FD68CA"/>
    <w:multiLevelType w:val="multilevel"/>
    <w:tmpl w:val="C64E1C2C"/>
    <w:lvl w:ilvl="0">
      <w:start w:val="1"/>
      <w:numFmt w:val="decimal"/>
      <w:pStyle w:val="EQRBulletNUMBER"/>
      <w:lvlText w:val="%1"/>
      <w:lvlJc w:val="left"/>
      <w:pPr>
        <w:ind w:left="432" w:hanging="432"/>
      </w:pPr>
      <w:rPr>
        <w:rFonts w:ascii="Arial Black" w:hAnsi="Arial Black" w:hint="default"/>
        <w:b/>
        <w:i w:val="0"/>
        <w:color w:val="00559D"/>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3B8A4CC7"/>
    <w:multiLevelType w:val="hybridMultilevel"/>
    <w:tmpl w:val="045A6B12"/>
    <w:lvl w:ilvl="0">
      <w:start w:val="1"/>
      <w:numFmt w:val="bullet"/>
      <w:pStyle w:val="EQRTableTextcheck"/>
      <w:lvlText w:val=""/>
      <w:lvlJc w:val="left"/>
      <w:pPr>
        <w:ind w:left="720" w:hanging="360"/>
      </w:pPr>
      <w:rPr>
        <w:rFonts w:ascii="Wingdings" w:hAnsi="Wingdings" w:hint="default"/>
        <w:b/>
        <w:color w:val="00559D"/>
        <w:sz w:val="18"/>
        <w:szCs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3BDA5A69"/>
    <w:multiLevelType w:val="hybridMultilevel"/>
    <w:tmpl w:val="5B3C7AE0"/>
    <w:lvl w:ilvl="0">
      <w:start w:val="1"/>
      <w:numFmt w:val="bullet"/>
      <w:pStyle w:val="SidebarListBullet2"/>
      <w:lvlText w:val="○"/>
      <w:lvlJc w:val="left"/>
      <w:pPr>
        <w:ind w:left="720" w:hanging="360"/>
      </w:pPr>
      <w:rPr>
        <w:rFonts w:ascii="Arial Black" w:hAnsi="Arial Black" w:hint="default"/>
        <w:color w:val="00828C" w:themeColor="accen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3F5139A7"/>
    <w:multiLevelType w:val="hybridMultilevel"/>
    <w:tmpl w:val="112E77FC"/>
    <w:lvl w:ilvl="0">
      <w:start w:val="1"/>
      <w:numFmt w:val="upperLetter"/>
      <w:pStyle w:val="ListAlpha"/>
      <w:lvlText w:val="%1."/>
      <w:lvlJc w:val="left"/>
      <w:pPr>
        <w:ind w:left="360" w:hanging="360"/>
      </w:pPr>
      <w:rPr>
        <w:rFonts w:asciiTheme="majorHAnsi" w:hAnsiTheme="majorHAnsi" w:hint="default"/>
        <w:b w:val="0"/>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2655E4D"/>
    <w:multiLevelType w:val="hybridMultilevel"/>
    <w:tmpl w:val="6ACC73DC"/>
    <w:lvl w:ilvl="0">
      <w:start w:val="1"/>
      <w:numFmt w:val="decimal"/>
      <w:pStyle w:val="Feature2ListNumbered"/>
      <w:lvlText w:val="%1."/>
      <w:lvlJc w:val="left"/>
      <w:pPr>
        <w:ind w:left="360" w:hanging="360"/>
      </w:pPr>
      <w:rPr>
        <w:rFonts w:hint="default"/>
        <w:b w:val="0"/>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30717EA"/>
    <w:multiLevelType w:val="hybridMultilevel"/>
    <w:tmpl w:val="64D24458"/>
    <w:lvl w:ilvl="0">
      <w:start w:val="1"/>
      <w:numFmt w:val="lowerRoman"/>
      <w:lvlText w:val="%1."/>
      <w:lvlJc w:val="right"/>
      <w:pPr>
        <w:ind w:left="162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40">
    <w:nsid w:val="43E2709C"/>
    <w:multiLevelType w:val="multilevel"/>
    <w:tmpl w:val="9DC8835C"/>
    <w:lvl w:ilvl="0">
      <w:start w:val="1"/>
      <w:numFmt w:val="bullet"/>
      <w:lvlText w:val=""/>
      <w:lvlJc w:val="left"/>
      <w:pPr>
        <w:tabs>
          <w:tab w:val="num" w:pos="504"/>
        </w:tabs>
        <w:ind w:left="504" w:hanging="360"/>
      </w:pPr>
      <w:rPr>
        <w:rFonts w:ascii="Symbol" w:hAnsi="Symbol" w:hint="default"/>
        <w:sz w:val="20"/>
      </w:rPr>
    </w:lvl>
    <w:lvl w:ilvl="1" w:tentative="1">
      <w:start w:val="1"/>
      <w:numFmt w:val="bullet"/>
      <w:lvlText w:val="o"/>
      <w:lvlJc w:val="left"/>
      <w:pPr>
        <w:tabs>
          <w:tab w:val="num" w:pos="1224"/>
        </w:tabs>
        <w:ind w:left="1224" w:hanging="360"/>
      </w:pPr>
      <w:rPr>
        <w:rFonts w:ascii="Courier New" w:hAnsi="Courier New" w:hint="default"/>
        <w:sz w:val="20"/>
      </w:rPr>
    </w:lvl>
    <w:lvl w:ilvl="2" w:tentative="1">
      <w:start w:val="1"/>
      <w:numFmt w:val="bullet"/>
      <w:lvlText w:val=""/>
      <w:lvlJc w:val="left"/>
      <w:pPr>
        <w:tabs>
          <w:tab w:val="num" w:pos="1944"/>
        </w:tabs>
        <w:ind w:left="1944" w:hanging="360"/>
      </w:pPr>
      <w:rPr>
        <w:rFonts w:ascii="Wingdings" w:hAnsi="Wingdings" w:hint="default"/>
        <w:sz w:val="20"/>
      </w:rPr>
    </w:lvl>
    <w:lvl w:ilvl="3" w:tentative="1">
      <w:start w:val="1"/>
      <w:numFmt w:val="bullet"/>
      <w:lvlText w:val=""/>
      <w:lvlJc w:val="left"/>
      <w:pPr>
        <w:tabs>
          <w:tab w:val="num" w:pos="2664"/>
        </w:tabs>
        <w:ind w:left="2664" w:hanging="360"/>
      </w:pPr>
      <w:rPr>
        <w:rFonts w:ascii="Wingdings" w:hAnsi="Wingdings" w:hint="default"/>
        <w:sz w:val="20"/>
      </w:rPr>
    </w:lvl>
    <w:lvl w:ilvl="4" w:tentative="1">
      <w:start w:val="1"/>
      <w:numFmt w:val="bullet"/>
      <w:lvlText w:val=""/>
      <w:lvlJc w:val="left"/>
      <w:pPr>
        <w:tabs>
          <w:tab w:val="num" w:pos="3384"/>
        </w:tabs>
        <w:ind w:left="3384" w:hanging="360"/>
      </w:pPr>
      <w:rPr>
        <w:rFonts w:ascii="Wingdings" w:hAnsi="Wingdings" w:hint="default"/>
        <w:sz w:val="20"/>
      </w:rPr>
    </w:lvl>
    <w:lvl w:ilvl="5" w:tentative="1">
      <w:start w:val="1"/>
      <w:numFmt w:val="bullet"/>
      <w:lvlText w:val=""/>
      <w:lvlJc w:val="left"/>
      <w:pPr>
        <w:tabs>
          <w:tab w:val="num" w:pos="4104"/>
        </w:tabs>
        <w:ind w:left="4104" w:hanging="360"/>
      </w:pPr>
      <w:rPr>
        <w:rFonts w:ascii="Wingdings" w:hAnsi="Wingdings" w:hint="default"/>
        <w:sz w:val="20"/>
      </w:rPr>
    </w:lvl>
    <w:lvl w:ilvl="6" w:tentative="1">
      <w:start w:val="1"/>
      <w:numFmt w:val="bullet"/>
      <w:lvlText w:val=""/>
      <w:lvlJc w:val="left"/>
      <w:pPr>
        <w:tabs>
          <w:tab w:val="num" w:pos="4824"/>
        </w:tabs>
        <w:ind w:left="4824" w:hanging="360"/>
      </w:pPr>
      <w:rPr>
        <w:rFonts w:ascii="Wingdings" w:hAnsi="Wingdings" w:hint="default"/>
        <w:sz w:val="20"/>
      </w:rPr>
    </w:lvl>
    <w:lvl w:ilvl="7" w:tentative="1">
      <w:start w:val="1"/>
      <w:numFmt w:val="bullet"/>
      <w:lvlText w:val=""/>
      <w:lvlJc w:val="left"/>
      <w:pPr>
        <w:tabs>
          <w:tab w:val="num" w:pos="5544"/>
        </w:tabs>
        <w:ind w:left="5544" w:hanging="360"/>
      </w:pPr>
      <w:rPr>
        <w:rFonts w:ascii="Wingdings" w:hAnsi="Wingdings" w:hint="default"/>
        <w:sz w:val="20"/>
      </w:rPr>
    </w:lvl>
    <w:lvl w:ilvl="8" w:tentative="1">
      <w:start w:val="1"/>
      <w:numFmt w:val="bullet"/>
      <w:lvlText w:val=""/>
      <w:lvlJc w:val="left"/>
      <w:pPr>
        <w:tabs>
          <w:tab w:val="num" w:pos="6264"/>
        </w:tabs>
        <w:ind w:left="6264" w:hanging="360"/>
      </w:pPr>
      <w:rPr>
        <w:rFonts w:ascii="Wingdings" w:hAnsi="Wingdings" w:hint="default"/>
        <w:sz w:val="20"/>
      </w:rPr>
    </w:lvl>
  </w:abstractNum>
  <w:abstractNum w:abstractNumId="41">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52EB47FF"/>
    <w:multiLevelType w:val="multilevel"/>
    <w:tmpl w:val="8C34344C"/>
    <w:lvl w:ilvl="0">
      <w:start w:val="1"/>
      <w:numFmt w:val="decimal"/>
      <w:pStyle w:val="ESListNumber"/>
      <w:lvlText w:val="%1."/>
      <w:lvlJc w:val="left"/>
      <w:pPr>
        <w:ind w:left="360" w:hanging="360"/>
      </w:pPr>
      <w:rPr>
        <w:rFonts w:hint="default"/>
        <w:b/>
        <w:color w:val="00559D"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0559D"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555B5A08"/>
    <w:multiLevelType w:val="hybridMultilevel"/>
    <w:tmpl w:val="FCFC0E44"/>
    <w:lvl w:ilvl="0">
      <w:start w:val="1"/>
      <w:numFmt w:val="bullet"/>
      <w:pStyle w:val="Feature2ListBullet"/>
      <w:lvlText w:val=""/>
      <w:lvlJc w:val="left"/>
      <w:pPr>
        <w:tabs>
          <w:tab w:val="num" w:pos="720"/>
        </w:tabs>
        <w:ind w:left="720" w:hanging="360"/>
      </w:pPr>
      <w:rPr>
        <w:rFonts w:ascii="Symbol" w:hAnsi="Symbol" w:hint="default"/>
        <w:b/>
        <w:i w:val="0"/>
        <w:color w:val="00828C" w:themeColor="accent1"/>
        <w:sz w:val="20"/>
        <w:u w:color="00828C"/>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45">
    <w:nsid w:val="56B5190A"/>
    <w:multiLevelType w:val="multilevel"/>
    <w:tmpl w:val="AD6EF9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nsid w:val="5A2504FB"/>
    <w:multiLevelType w:val="hybridMultilevel"/>
    <w:tmpl w:val="A1AEFE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5A5002BC"/>
    <w:multiLevelType w:val="hybridMultilevel"/>
    <w:tmpl w:val="F19A5C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5CAF7BA4"/>
    <w:multiLevelType w:val="multilevel"/>
    <w:tmpl w:val="A7F633D8"/>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9">
    <w:nsid w:val="5E4E2227"/>
    <w:multiLevelType w:val="hybridMultilevel"/>
    <w:tmpl w:val="D960BA6A"/>
    <w:lvl w:ilvl="0">
      <w:start w:val="1"/>
      <w:numFmt w:val="decimal"/>
      <w:lvlText w:val="%1."/>
      <w:lvlJc w:val="left"/>
      <w:pPr>
        <w:ind w:left="1296" w:hanging="360"/>
      </w:pPr>
    </w:lvl>
    <w:lvl w:ilvl="1" w:tentative="1">
      <w:start w:val="1"/>
      <w:numFmt w:val="lowerLetter"/>
      <w:lvlText w:val="%2."/>
      <w:lvlJc w:val="left"/>
      <w:pPr>
        <w:ind w:left="2016" w:hanging="360"/>
      </w:pPr>
    </w:lvl>
    <w:lvl w:ilvl="2" w:tentative="1">
      <w:start w:val="1"/>
      <w:numFmt w:val="lowerRoman"/>
      <w:lvlText w:val="%3."/>
      <w:lvlJc w:val="right"/>
      <w:pPr>
        <w:ind w:left="2736" w:hanging="180"/>
      </w:pPr>
    </w:lvl>
    <w:lvl w:ilvl="3" w:tentative="1">
      <w:start w:val="1"/>
      <w:numFmt w:val="decimal"/>
      <w:lvlText w:val="%4."/>
      <w:lvlJc w:val="left"/>
      <w:pPr>
        <w:ind w:left="3456" w:hanging="360"/>
      </w:pPr>
    </w:lvl>
    <w:lvl w:ilvl="4" w:tentative="1">
      <w:start w:val="1"/>
      <w:numFmt w:val="lowerLetter"/>
      <w:lvlText w:val="%5."/>
      <w:lvlJc w:val="left"/>
      <w:pPr>
        <w:ind w:left="4176" w:hanging="360"/>
      </w:pPr>
    </w:lvl>
    <w:lvl w:ilvl="5" w:tentative="1">
      <w:start w:val="1"/>
      <w:numFmt w:val="lowerRoman"/>
      <w:lvlText w:val="%6."/>
      <w:lvlJc w:val="right"/>
      <w:pPr>
        <w:ind w:left="4896" w:hanging="180"/>
      </w:pPr>
    </w:lvl>
    <w:lvl w:ilvl="6" w:tentative="1">
      <w:start w:val="1"/>
      <w:numFmt w:val="decimal"/>
      <w:lvlText w:val="%7."/>
      <w:lvlJc w:val="left"/>
      <w:pPr>
        <w:ind w:left="5616" w:hanging="360"/>
      </w:pPr>
    </w:lvl>
    <w:lvl w:ilvl="7" w:tentative="1">
      <w:start w:val="1"/>
      <w:numFmt w:val="lowerLetter"/>
      <w:lvlText w:val="%8."/>
      <w:lvlJc w:val="left"/>
      <w:pPr>
        <w:ind w:left="6336" w:hanging="360"/>
      </w:pPr>
    </w:lvl>
    <w:lvl w:ilvl="8" w:tentative="1">
      <w:start w:val="1"/>
      <w:numFmt w:val="lowerRoman"/>
      <w:lvlText w:val="%9."/>
      <w:lvlJc w:val="right"/>
      <w:pPr>
        <w:ind w:left="7056" w:hanging="180"/>
      </w:pPr>
    </w:lvl>
  </w:abstractNum>
  <w:abstractNum w:abstractNumId="50">
    <w:nsid w:val="5F5B64E9"/>
    <w:multiLevelType w:val="hybridMultilevel"/>
    <w:tmpl w:val="2AB00C5E"/>
    <w:lvl w:ilvl="0">
      <w:start w:val="1"/>
      <w:numFmt w:val="bullet"/>
      <w:pStyle w:val="EQRTextboxbullet2ndlevel"/>
      <w:lvlText w:val="○"/>
      <w:lvlJc w:val="left"/>
      <w:pPr>
        <w:ind w:left="720" w:hanging="360"/>
      </w:pPr>
      <w:rPr>
        <w:rFonts w:ascii="Arial" w:hAnsi="Arial" w:hint="default"/>
        <w:b w:val="0"/>
        <w:color w:val="00559D"/>
        <w:sz w:val="17"/>
        <w:szCs w:val="1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5FEF2967"/>
    <w:multiLevelType w:val="multilevel"/>
    <w:tmpl w:val="AE9C1F90"/>
    <w:lvl w:ilvl="0">
      <w:start w:val="1"/>
      <w:numFmt w:val="decimal"/>
      <w:pStyle w:val="List"/>
      <w:lvlText w:val="%1."/>
      <w:lvlJc w:val="left"/>
      <w:pPr>
        <w:ind w:left="504" w:hanging="504"/>
      </w:pPr>
      <w:rPr>
        <w:rFonts w:hint="default"/>
      </w:rPr>
    </w:lvl>
    <w:lvl w:ilvl="1">
      <w:start w:val="1"/>
      <w:numFmt w:val="decimal"/>
      <w:pStyle w:val="List2"/>
      <w:lvlText w:val="%1.%2."/>
      <w:lvlJc w:val="left"/>
      <w:pPr>
        <w:ind w:left="1224" w:hanging="720"/>
      </w:pPr>
      <w:rPr>
        <w:rFonts w:hint="default"/>
      </w:rPr>
    </w:lvl>
    <w:lvl w:ilvl="2">
      <w:start w:val="1"/>
      <w:numFmt w:val="decimal"/>
      <w:pStyle w:val="List3"/>
      <w:lvlText w:val="%1.%2.%3."/>
      <w:lvlJc w:val="left"/>
      <w:pPr>
        <w:ind w:left="1656" w:hanging="432"/>
      </w:pPr>
      <w:rPr>
        <w:rFonts w:hint="default"/>
      </w:rPr>
    </w:lvl>
    <w:lvl w:ilvl="3">
      <w:start w:val="1"/>
      <w:numFmt w:val="decimal"/>
      <w:pStyle w:val="List4"/>
      <w:lvlText w:val="%1.%2.%3.%4."/>
      <w:lvlJc w:val="left"/>
      <w:pPr>
        <w:ind w:left="3312" w:hanging="1152"/>
      </w:pPr>
      <w:rPr>
        <w:rFonts w:hint="default"/>
      </w:rPr>
    </w:lvl>
    <w:lvl w:ilvl="4">
      <w:start w:val="1"/>
      <w:numFmt w:val="decimal"/>
      <w:pStyle w:val="List5"/>
      <w:lvlText w:val="%1.%2.%3.%4.%5."/>
      <w:lvlJc w:val="left"/>
      <w:pPr>
        <w:ind w:left="4680" w:hanging="1296"/>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63A32570"/>
    <w:multiLevelType w:val="multilevel"/>
    <w:tmpl w:val="E4DA154C"/>
    <w:lvl w:ilvl="0">
      <w:start w:val="0"/>
      <w:numFmt w:val="bullet"/>
      <w:lvlText w:val=""/>
      <w:lvlJc w:val="left"/>
      <w:pPr>
        <w:tabs>
          <w:tab w:val="num" w:pos="360"/>
        </w:tabs>
        <w:ind w:left="360" w:hanging="360"/>
      </w:pPr>
      <w:rPr>
        <w:rFonts w:ascii="Symbol" w:hAnsi="Symbol" w:cs="Times New Roman" w:hint="default"/>
        <w:color w:val="00559D" w:themeColor="text2"/>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nsid w:val="64665C3D"/>
    <w:multiLevelType w:val="hybridMultilevel"/>
    <w:tmpl w:val="22C430D4"/>
    <w:lvl w:ilvl="0">
      <w:start w:val="1"/>
      <w:numFmt w:val="bullet"/>
      <w:pStyle w:val="TableListBullet3"/>
      <w:lvlText w:val=""/>
      <w:lvlJc w:val="left"/>
      <w:pPr>
        <w:tabs>
          <w:tab w:val="num" w:pos="734"/>
        </w:tabs>
        <w:ind w:left="734" w:hanging="244"/>
      </w:pPr>
      <w:rPr>
        <w:rFonts w:ascii="Wingdings" w:hAnsi="Wingdings" w:hint="default"/>
        <w:color w:val="00828C" w:themeColor="accent1"/>
        <w:sz w:val="1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55">
    <w:nsid w:val="67834B29"/>
    <w:multiLevelType w:val="multilevel"/>
    <w:tmpl w:val="F4EA39B4"/>
    <w:lvl w:ilvl="0">
      <w:start w:val="1"/>
      <w:numFmt w:val="decimal"/>
      <w:pStyle w:val="EQRNormalSSWSquestionNUMBER"/>
      <w:lvlText w:val="%1."/>
      <w:lvlJc w:val="left"/>
      <w:pPr>
        <w:ind w:left="360" w:hanging="360"/>
      </w:pPr>
      <w:rPr>
        <w:b w:val="0"/>
        <w:bCs/>
        <w:i w:val="0"/>
        <w:iCs w:val="0"/>
        <w:sz w:val="18"/>
        <w:szCs w:val="18"/>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6">
    <w:nsid w:val="67865C6A"/>
    <w:multiLevelType w:val="multilevel"/>
    <w:tmpl w:val="BEF41162"/>
    <w:lvl w:ilvl="0">
      <w:start w:val="1"/>
      <w:numFmt w:val="decimal"/>
      <w:pStyle w:val="EQRTextboxNUMBER"/>
      <w:lvlText w:val="%1"/>
      <w:lvlJc w:val="left"/>
      <w:pPr>
        <w:ind w:left="432" w:hanging="432"/>
      </w:pPr>
      <w:rPr>
        <w:rFonts w:ascii="Arial Black" w:hAnsi="Arial Black" w:hint="default"/>
        <w:b/>
        <w:i w:val="0"/>
        <w:color w:val="00559D"/>
        <w:sz w:val="17"/>
        <w:szCs w:val="17"/>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6A9D6134"/>
    <w:multiLevelType w:val="hybridMultilevel"/>
    <w:tmpl w:val="FFD0569A"/>
    <w:lvl w:ilvl="0">
      <w:start w:val="2"/>
      <w:numFmt w:val="bullet"/>
      <w:lvlText w:val=""/>
      <w:lvlJc w:val="left"/>
      <w:pPr>
        <w:ind w:left="405" w:hanging="360"/>
      </w:pPr>
      <w:rPr>
        <w:rFonts w:ascii="Symbol" w:hAnsi="Symbol" w:eastAsiaTheme="minorHAnsi" w:cstheme="minorBidi" w:hint="default"/>
      </w:rPr>
    </w:lvl>
    <w:lvl w:ilvl="1" w:tentative="1">
      <w:start w:val="1"/>
      <w:numFmt w:val="bullet"/>
      <w:lvlText w:val="o"/>
      <w:lvlJc w:val="left"/>
      <w:pPr>
        <w:ind w:left="1125" w:hanging="360"/>
      </w:pPr>
      <w:rPr>
        <w:rFonts w:ascii="Courier New" w:hAnsi="Courier New" w:cs="Courier New" w:hint="default"/>
      </w:rPr>
    </w:lvl>
    <w:lvl w:ilvl="2" w:tentative="1">
      <w:start w:val="1"/>
      <w:numFmt w:val="bullet"/>
      <w:lvlText w:val=""/>
      <w:lvlJc w:val="left"/>
      <w:pPr>
        <w:ind w:left="1845" w:hanging="360"/>
      </w:pPr>
      <w:rPr>
        <w:rFonts w:ascii="Wingdings" w:hAnsi="Wingdings" w:hint="default"/>
      </w:rPr>
    </w:lvl>
    <w:lvl w:ilvl="3" w:tentative="1">
      <w:start w:val="1"/>
      <w:numFmt w:val="bullet"/>
      <w:lvlText w:val=""/>
      <w:lvlJc w:val="left"/>
      <w:pPr>
        <w:ind w:left="2565" w:hanging="360"/>
      </w:pPr>
      <w:rPr>
        <w:rFonts w:ascii="Symbol" w:hAnsi="Symbol" w:hint="default"/>
      </w:rPr>
    </w:lvl>
    <w:lvl w:ilvl="4" w:tentative="1">
      <w:start w:val="1"/>
      <w:numFmt w:val="bullet"/>
      <w:lvlText w:val="o"/>
      <w:lvlJc w:val="left"/>
      <w:pPr>
        <w:ind w:left="3285" w:hanging="360"/>
      </w:pPr>
      <w:rPr>
        <w:rFonts w:ascii="Courier New" w:hAnsi="Courier New" w:cs="Courier New" w:hint="default"/>
      </w:rPr>
    </w:lvl>
    <w:lvl w:ilvl="5" w:tentative="1">
      <w:start w:val="1"/>
      <w:numFmt w:val="bullet"/>
      <w:lvlText w:val=""/>
      <w:lvlJc w:val="left"/>
      <w:pPr>
        <w:ind w:left="4005" w:hanging="360"/>
      </w:pPr>
      <w:rPr>
        <w:rFonts w:ascii="Wingdings" w:hAnsi="Wingdings" w:hint="default"/>
      </w:rPr>
    </w:lvl>
    <w:lvl w:ilvl="6" w:tentative="1">
      <w:start w:val="1"/>
      <w:numFmt w:val="bullet"/>
      <w:lvlText w:val=""/>
      <w:lvlJc w:val="left"/>
      <w:pPr>
        <w:ind w:left="4725" w:hanging="360"/>
      </w:pPr>
      <w:rPr>
        <w:rFonts w:ascii="Symbol" w:hAnsi="Symbol" w:hint="default"/>
      </w:rPr>
    </w:lvl>
    <w:lvl w:ilvl="7" w:tentative="1">
      <w:start w:val="1"/>
      <w:numFmt w:val="bullet"/>
      <w:lvlText w:val="o"/>
      <w:lvlJc w:val="left"/>
      <w:pPr>
        <w:ind w:left="5445" w:hanging="360"/>
      </w:pPr>
      <w:rPr>
        <w:rFonts w:ascii="Courier New" w:hAnsi="Courier New" w:cs="Courier New" w:hint="default"/>
      </w:rPr>
    </w:lvl>
    <w:lvl w:ilvl="8" w:tentative="1">
      <w:start w:val="1"/>
      <w:numFmt w:val="bullet"/>
      <w:lvlText w:val=""/>
      <w:lvlJc w:val="left"/>
      <w:pPr>
        <w:ind w:left="6165" w:hanging="360"/>
      </w:pPr>
      <w:rPr>
        <w:rFonts w:ascii="Wingdings" w:hAnsi="Wingdings" w:hint="default"/>
      </w:rPr>
    </w:lvl>
  </w:abstractNum>
  <w:abstractNum w:abstractNumId="58">
    <w:nsid w:val="6BF61678"/>
    <w:multiLevelType w:val="hybridMultilevel"/>
    <w:tmpl w:val="9C5CEEEA"/>
    <w:lvl w:ilvl="0">
      <w:start w:val="1"/>
      <w:numFmt w:val="decimal"/>
      <w:pStyle w:val="TableListNumber"/>
      <w:lvlText w:val="%1."/>
      <w:lvlJc w:val="left"/>
      <w:pPr>
        <w:ind w:left="360" w:hanging="360"/>
      </w:pPr>
      <w:rPr>
        <w:rFonts w:hint="default"/>
        <w:b w:val="0"/>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6C151E68"/>
    <w:multiLevelType w:val="hybridMultilevel"/>
    <w:tmpl w:val="CE52D04A"/>
    <w:lvl w:ilvl="0">
      <w:start w:val="1"/>
      <w:numFmt w:val="lowerLetter"/>
      <w:pStyle w:val="ListAlpha2"/>
      <w:lvlText w:val="%1."/>
      <w:lvlJc w:val="left"/>
      <w:pPr>
        <w:ind w:left="720" w:hanging="360"/>
      </w:pPr>
      <w:rPr>
        <w:rFonts w:ascii="Times New Roman" w:hAnsi="Times New Roman" w:hint="default"/>
        <w:b w:val="0"/>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6CDA25E2"/>
    <w:multiLevelType w:val="hybridMultilevel"/>
    <w:tmpl w:val="793C82AC"/>
    <w:lvl w:ilvl="0">
      <w:start w:val="1"/>
      <w:numFmt w:val="bullet"/>
      <w:pStyle w:val="TableListBullet2"/>
      <w:lvlText w:val="-"/>
      <w:lvlJc w:val="left"/>
      <w:pPr>
        <w:tabs>
          <w:tab w:val="num" w:pos="490"/>
        </w:tabs>
        <w:ind w:left="490" w:hanging="245"/>
      </w:pPr>
      <w:rPr>
        <w:rFonts w:ascii="Arial" w:hAnsi="Arial" w:hint="default"/>
        <w:color w:val="00828C" w:themeColor="accen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6D8A28EE"/>
    <w:multiLevelType w:val="hybridMultilevel"/>
    <w:tmpl w:val="A6D252A2"/>
    <w:lvl w:ilvl="0">
      <w:start w:val="1"/>
      <w:numFmt w:val="bullet"/>
      <w:pStyle w:val="EQRTextboxbullet"/>
      <w:lvlText w:val=""/>
      <w:lvlJc w:val="left"/>
      <w:pPr>
        <w:ind w:left="720" w:hanging="360"/>
      </w:pPr>
      <w:rPr>
        <w:rFonts w:ascii="Symbol" w:hAnsi="Symbol" w:hint="default"/>
        <w:b w:val="0"/>
        <w:color w:val="00559D"/>
        <w:sz w:val="17"/>
        <w:szCs w:val="17"/>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6FFB2CD8"/>
    <w:multiLevelType w:val="hybridMultilevel"/>
    <w:tmpl w:val="F7CC16C8"/>
    <w:lvl w:ilvl="0">
      <w:start w:val="1"/>
      <w:numFmt w:val="bullet"/>
      <w:pStyle w:val="EQRTableTextbullet"/>
      <w:lvlText w:val=""/>
      <w:lvlJc w:val="left"/>
      <w:pPr>
        <w:ind w:left="720" w:hanging="360"/>
      </w:pPr>
      <w:rPr>
        <w:rFonts w:ascii="Symbol" w:hAnsi="Symbol" w:hint="default"/>
        <w:color w:val="00559D"/>
      </w:rPr>
    </w:lvl>
    <w:lvl w:ilvl="1">
      <w:start w:val="1"/>
      <w:numFmt w:val="bullet"/>
      <w:lvlText w:val="o"/>
      <w:lvlJc w:val="left"/>
      <w:pPr>
        <w:ind w:left="63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7020478C"/>
    <w:multiLevelType w:val="hybridMultilevel"/>
    <w:tmpl w:val="83AAA5B8"/>
    <w:lvl w:ilvl="0">
      <w:start w:val="1"/>
      <w:numFmt w:val="bullet"/>
      <w:pStyle w:val="Bullet"/>
      <w:lvlText w:val=""/>
      <w:lvlJc w:val="left"/>
      <w:pPr>
        <w:ind w:left="360" w:hanging="360"/>
      </w:pPr>
      <w:rPr>
        <w:rFonts w:ascii="Symbol" w:hAnsi="Symbol" w:hint="default"/>
        <w:color w:val="00559D"/>
      </w:rPr>
    </w:lvl>
    <w:lvl w:ilvl="1">
      <w:start w:val="1"/>
      <w:numFmt w:val="bullet"/>
      <w:pStyle w:val="Bullet-2ndlevel"/>
      <w:lvlText w:val="o"/>
      <w:lvlJc w:val="left"/>
      <w:pPr>
        <w:ind w:left="1080" w:hanging="360"/>
      </w:pPr>
      <w:rPr>
        <w:rFonts w:ascii="Symbol" w:hAnsi="Symbol" w:cs="Courier New" w:hint="default"/>
        <w:color w:val="00559D"/>
        <w:sz w:val="22"/>
        <w:szCs w:val="22"/>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4">
    <w:nsid w:val="71092FC5"/>
    <w:multiLevelType w:val="hybridMultilevel"/>
    <w:tmpl w:val="060C5A0A"/>
    <w:lvl w:ilvl="0">
      <w:start w:val="1"/>
      <w:numFmt w:val="bullet"/>
      <w:lvlText w:val=""/>
      <w:lvlJc w:val="left"/>
      <w:pPr>
        <w:ind w:left="720" w:hanging="360"/>
      </w:pPr>
      <w:rPr>
        <w:rFonts w:ascii="Wingdings" w:hAnsi="Wingdings" w:hint="default"/>
        <w:b/>
        <w:color w:val="auto"/>
        <w:sz w:val="18"/>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71AC1364"/>
    <w:multiLevelType w:val="multilevel"/>
    <w:tmpl w:val="0EDC8C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72B27425"/>
    <w:multiLevelType w:val="hybridMultilevel"/>
    <w:tmpl w:val="0B3C41B2"/>
    <w:lvl w:ilvl="0">
      <w:start w:val="1"/>
      <w:numFmt w:val="bullet"/>
      <w:pStyle w:val="DashLASTSS"/>
      <w:lvlText w:val="-"/>
      <w:lvlJc w:val="left"/>
      <w:pPr>
        <w:ind w:left="792"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73CF28D0"/>
    <w:multiLevelType w:val="hybridMultilevel"/>
    <w:tmpl w:val="547EFD68"/>
    <w:lvl w:ilvl="0">
      <w:start w:val="1"/>
      <w:numFmt w:val="lowerLetter"/>
      <w:pStyle w:val="EQRNormalSSWSquestionsub"/>
      <w:lvlText w:val="%1."/>
      <w:lvlJc w:val="left"/>
      <w:pPr>
        <w:ind w:left="720" w:hanging="360"/>
      </w:pPr>
      <w:rPr>
        <w:rFonts w:ascii="Arial" w:hAnsi="Arial" w:cs="Times New Roman" w:hint="default"/>
        <w:b w:val="0"/>
        <w:bCs/>
        <w:i w:val="0"/>
        <w:iCs w:val="0"/>
        <w:w w:val="100"/>
        <w:sz w:val="18"/>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749378BD"/>
    <w:multiLevelType w:val="hybridMultilevel"/>
    <w:tmpl w:val="F43418FE"/>
    <w:lvl w:ilvl="0">
      <w:start w:val="1"/>
      <w:numFmt w:val="bullet"/>
      <w:pStyle w:val="ListBullet"/>
      <w:lvlText w:val=""/>
      <w:lvlJc w:val="left"/>
      <w:pPr>
        <w:tabs>
          <w:tab w:val="num" w:pos="360"/>
        </w:tabs>
        <w:ind w:left="360" w:hanging="360"/>
      </w:pPr>
      <w:rPr>
        <w:rFonts w:ascii="Symbol" w:hAnsi="Symbol" w:hint="default"/>
        <w:color w:val="00559D" w:themeColor="text2"/>
        <w:sz w:val="20"/>
        <w:szCs w:val="14"/>
      </w:rPr>
    </w:lvl>
    <w:lvl w:ilvl="1">
      <w:start w:val="1"/>
      <w:numFmt w:val="bullet"/>
      <w:pStyle w:val="ListBullet2"/>
      <w:lvlText w:val="o"/>
      <w:lvlJc w:val="left"/>
      <w:pPr>
        <w:ind w:left="720" w:hanging="360"/>
      </w:pPr>
      <w:rPr>
        <w:rFonts w:ascii="Courier New" w:hAnsi="Courier New" w:cs="Courier New" w:hint="default"/>
        <w:color w:val="00828C" w:themeColor="accent1"/>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765728FC"/>
    <w:multiLevelType w:val="multilevel"/>
    <w:tmpl w:val="307EE1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0">
    <w:nsid w:val="76D94469"/>
    <w:multiLevelType w:val="multilevel"/>
    <w:tmpl w:val="68A2AC2E"/>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1">
    <w:nsid w:val="76FF61F1"/>
    <w:multiLevelType w:val="multilevel"/>
    <w:tmpl w:val="6E4265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2">
    <w:nsid w:val="77F7087D"/>
    <w:multiLevelType w:val="hybridMultilevel"/>
    <w:tmpl w:val="D37E062C"/>
    <w:lvl w:ilvl="0">
      <w:start w:val="1"/>
      <w:numFmt w:val="bullet"/>
      <w:pStyle w:val="ESListBullet"/>
      <w:lvlText w:val=""/>
      <w:lvlJc w:val="left"/>
      <w:pPr>
        <w:ind w:left="720" w:hanging="360"/>
      </w:pPr>
      <w:rPr>
        <w:rFonts w:ascii="Symbol" w:hAnsi="Symbol" w:hint="default"/>
        <w:b/>
        <w:i w:val="0"/>
        <w:color w:val="00559D" w:themeColor="text2"/>
        <w:sz w:val="20"/>
        <w:u w:color="00828C"/>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78B212A6"/>
    <w:multiLevelType w:val="multilevel"/>
    <w:tmpl w:val="33687F9E"/>
    <w:lvl w:ilvl="0">
      <w:start w:val="1"/>
      <w:numFmt w:val="decimal"/>
      <w:pStyle w:val="H2EQRWorksheetList1"/>
      <w:lvlText w:val="%1."/>
      <w:lvlJc w:val="left"/>
      <w:pPr>
        <w:ind w:left="360" w:hanging="360"/>
      </w:pPr>
      <w:rPr>
        <w:rFonts w:hint="default"/>
      </w:rPr>
    </w:lvl>
    <w:lvl w:ilvl="1">
      <w:start w:val="1"/>
      <w:numFmt w:val="decimal"/>
      <w:pStyle w:val="H2EQRWorksheetlist2"/>
      <w:lvlText w:val="%1.%2."/>
      <w:lvlJc w:val="left"/>
      <w:pPr>
        <w:ind w:left="864" w:hanging="504"/>
      </w:pPr>
      <w:rPr>
        <w:rFonts w:hint="default"/>
        <w:b w:val="0"/>
        <w:bCs w:val="0"/>
      </w:rPr>
    </w:lvl>
    <w:lvl w:ilvl="2">
      <w:start w:val="1"/>
      <w:numFmt w:val="lowerLetter"/>
      <w:pStyle w:val="H2EQRWorksheetlist3"/>
      <w:lvlText w:val="%1.%2.%3."/>
      <w:lvlJc w:val="left"/>
      <w:pPr>
        <w:ind w:left="1152" w:hanging="288"/>
      </w:pPr>
      <w:rPr>
        <w:rFonts w:hint="default"/>
        <w:b w:val="0"/>
        <w:bCs/>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4">
    <w:nsid w:val="7A01483A"/>
    <w:multiLevelType w:val="hybridMultilevel"/>
    <w:tmpl w:val="7A3EFB8A"/>
    <w:lvl w:ilvl="0">
      <w:start w:val="1"/>
      <w:numFmt w:val="decimal"/>
      <w:pStyle w:val="numberedparagraphlis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7A88798C"/>
    <w:multiLevelType w:val="hybridMultilevel"/>
    <w:tmpl w:val="43581B20"/>
    <w:lvl w:ilvl="0">
      <w:start w:val="1"/>
      <w:numFmt w:val="bullet"/>
      <w:pStyle w:val="EQRNormalSSWScheck"/>
      <w:lvlText w:val=""/>
      <w:lvlJc w:val="left"/>
      <w:pPr>
        <w:ind w:left="720" w:hanging="360"/>
      </w:pPr>
      <w:rPr>
        <w:rFonts w:ascii="Wingdings" w:hAnsi="Wingdings" w:hint="default"/>
        <w:b/>
        <w:color w:val="00559D"/>
        <w:sz w:val="18"/>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6">
    <w:nsid w:val="7B007DE4"/>
    <w:multiLevelType w:val="hybridMultilevel"/>
    <w:tmpl w:val="DBF01300"/>
    <w:lvl w:ilvl="0">
      <w:start w:val="1"/>
      <w:numFmt w:val="bullet"/>
      <w:pStyle w:val="EQRTableTextbullet2ndlevel"/>
      <w:lvlText w:val="○"/>
      <w:lvlJc w:val="left"/>
      <w:pPr>
        <w:ind w:left="936" w:hanging="360"/>
      </w:pPr>
      <w:rPr>
        <w:rFonts w:ascii="Arial" w:hAnsi="Arial" w:hint="default"/>
        <w:color w:val="00559D"/>
      </w:rPr>
    </w:lvl>
    <w:lvl w:ilvl="1">
      <w:start w:val="1"/>
      <w:numFmt w:val="bullet"/>
      <w:lvlText w:val="o"/>
      <w:lvlJc w:val="left"/>
      <w:pPr>
        <w:ind w:left="1656" w:hanging="360"/>
      </w:pPr>
      <w:rPr>
        <w:rFonts w:ascii="Courier New" w:hAnsi="Courier New" w:cs="Courier New" w:hint="default"/>
      </w:rPr>
    </w:lvl>
    <w:lvl w:ilvl="2" w:tentative="1">
      <w:start w:val="1"/>
      <w:numFmt w:val="bullet"/>
      <w:lvlText w:val=""/>
      <w:lvlJc w:val="left"/>
      <w:pPr>
        <w:ind w:left="2376" w:hanging="360"/>
      </w:pPr>
      <w:rPr>
        <w:rFonts w:ascii="Wingdings" w:hAnsi="Wingdings" w:hint="default"/>
      </w:rPr>
    </w:lvl>
    <w:lvl w:ilvl="3" w:tentative="1">
      <w:start w:val="1"/>
      <w:numFmt w:val="bullet"/>
      <w:lvlText w:val=""/>
      <w:lvlJc w:val="left"/>
      <w:pPr>
        <w:ind w:left="3096" w:hanging="360"/>
      </w:pPr>
      <w:rPr>
        <w:rFonts w:ascii="Symbol" w:hAnsi="Symbol" w:hint="default"/>
      </w:rPr>
    </w:lvl>
    <w:lvl w:ilvl="4" w:tentative="1">
      <w:start w:val="1"/>
      <w:numFmt w:val="bullet"/>
      <w:lvlText w:val="o"/>
      <w:lvlJc w:val="left"/>
      <w:pPr>
        <w:ind w:left="3816" w:hanging="360"/>
      </w:pPr>
      <w:rPr>
        <w:rFonts w:ascii="Courier New" w:hAnsi="Courier New" w:cs="Courier New" w:hint="default"/>
      </w:rPr>
    </w:lvl>
    <w:lvl w:ilvl="5" w:tentative="1">
      <w:start w:val="1"/>
      <w:numFmt w:val="bullet"/>
      <w:lvlText w:val=""/>
      <w:lvlJc w:val="left"/>
      <w:pPr>
        <w:ind w:left="4536" w:hanging="360"/>
      </w:pPr>
      <w:rPr>
        <w:rFonts w:ascii="Wingdings" w:hAnsi="Wingdings" w:hint="default"/>
      </w:rPr>
    </w:lvl>
    <w:lvl w:ilvl="6" w:tentative="1">
      <w:start w:val="1"/>
      <w:numFmt w:val="bullet"/>
      <w:lvlText w:val=""/>
      <w:lvlJc w:val="left"/>
      <w:pPr>
        <w:ind w:left="5256" w:hanging="360"/>
      </w:pPr>
      <w:rPr>
        <w:rFonts w:ascii="Symbol" w:hAnsi="Symbol" w:hint="default"/>
      </w:rPr>
    </w:lvl>
    <w:lvl w:ilvl="7" w:tentative="1">
      <w:start w:val="1"/>
      <w:numFmt w:val="bullet"/>
      <w:lvlText w:val="o"/>
      <w:lvlJc w:val="left"/>
      <w:pPr>
        <w:ind w:left="5976" w:hanging="360"/>
      </w:pPr>
      <w:rPr>
        <w:rFonts w:ascii="Courier New" w:hAnsi="Courier New" w:cs="Courier New" w:hint="default"/>
      </w:rPr>
    </w:lvl>
    <w:lvl w:ilvl="8" w:tentative="1">
      <w:start w:val="1"/>
      <w:numFmt w:val="bullet"/>
      <w:lvlText w:val=""/>
      <w:lvlJc w:val="left"/>
      <w:pPr>
        <w:ind w:left="6696" w:hanging="360"/>
      </w:pPr>
      <w:rPr>
        <w:rFonts w:ascii="Wingdings" w:hAnsi="Wingdings" w:hint="default"/>
      </w:rPr>
    </w:lvl>
  </w:abstractNum>
  <w:abstractNum w:abstractNumId="77">
    <w:nsid w:val="7DCF4709"/>
    <w:multiLevelType w:val="multilevel"/>
    <w:tmpl w:val="5EBA90FC"/>
    <w:lvl w:ilvl="0">
      <w:start w:val="1"/>
      <w:numFmt w:val="bullet"/>
      <w:pStyle w:val="SidebarListBullet"/>
      <w:lvlText w:val=""/>
      <w:lvlJc w:val="left"/>
      <w:pPr>
        <w:ind w:left="245" w:hanging="245"/>
      </w:pPr>
      <w:rPr>
        <w:rFonts w:ascii="Symbol" w:hAnsi="Symbol" w:hint="default"/>
        <w:color w:val="00828C" w:themeColor="accent1"/>
        <w:u w:color="002A4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nsid w:val="7E902ACB"/>
    <w:multiLevelType w:val="hybridMultilevel"/>
    <w:tmpl w:val="42C28FFA"/>
    <w:lvl w:ilvl="0">
      <w:start w:val="1"/>
      <w:numFmt w:val="bullet"/>
      <w:pStyle w:val="EQRNormalSSWSbullet2ndlevel"/>
      <w:lvlText w:val=""/>
      <w:lvlJc w:val="left"/>
      <w:pPr>
        <w:ind w:left="720" w:hanging="360"/>
      </w:pPr>
      <w:rPr>
        <w:rFonts w:ascii="Symbol" w:hAnsi="Symbol" w:hint="default"/>
        <w:color w:val="00559D"/>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7EC22746"/>
    <w:multiLevelType w:val="hybridMultilevel"/>
    <w:tmpl w:val="B592598E"/>
    <w:lvl w:ilvl="0">
      <w:start w:val="1"/>
      <w:numFmt w:val="bullet"/>
      <w:pStyle w:val="TableListBullet"/>
      <w:lvlText w:val=""/>
      <w:lvlJc w:val="left"/>
      <w:pPr>
        <w:tabs>
          <w:tab w:val="num" w:pos="245"/>
        </w:tabs>
        <w:ind w:left="245" w:hanging="245"/>
      </w:pPr>
      <w:rPr>
        <w:rFonts w:ascii="Symbol" w:hAnsi="Symbol" w:hint="default"/>
        <w:color w:val="00828C" w:themeColor="accent1"/>
      </w:rPr>
    </w:lvl>
    <w:lvl w:ilvl="1">
      <w:start w:val="1"/>
      <w:numFmt w:val="bullet"/>
      <w:lvlText w:val="o"/>
      <w:lvlJc w:val="left"/>
      <w:pPr>
        <w:ind w:left="1685" w:hanging="360"/>
      </w:pPr>
      <w:rPr>
        <w:rFonts w:ascii="Courier New" w:hAnsi="Courier New" w:cs="Courier New" w:hint="default"/>
      </w:rPr>
    </w:lvl>
    <w:lvl w:ilvl="2" w:tentative="1">
      <w:start w:val="1"/>
      <w:numFmt w:val="bullet"/>
      <w:lvlText w:val=""/>
      <w:lvlJc w:val="left"/>
      <w:pPr>
        <w:ind w:left="2405" w:hanging="360"/>
      </w:pPr>
      <w:rPr>
        <w:rFonts w:ascii="Wingdings" w:hAnsi="Wingdings" w:hint="default"/>
      </w:rPr>
    </w:lvl>
    <w:lvl w:ilvl="3" w:tentative="1">
      <w:start w:val="1"/>
      <w:numFmt w:val="bullet"/>
      <w:lvlText w:val=""/>
      <w:lvlJc w:val="left"/>
      <w:pPr>
        <w:ind w:left="3125" w:hanging="360"/>
      </w:pPr>
      <w:rPr>
        <w:rFonts w:ascii="Symbol" w:hAnsi="Symbol" w:hint="default"/>
      </w:rPr>
    </w:lvl>
    <w:lvl w:ilvl="4" w:tentative="1">
      <w:start w:val="1"/>
      <w:numFmt w:val="bullet"/>
      <w:lvlText w:val="o"/>
      <w:lvlJc w:val="left"/>
      <w:pPr>
        <w:ind w:left="3845" w:hanging="360"/>
      </w:pPr>
      <w:rPr>
        <w:rFonts w:ascii="Courier New" w:hAnsi="Courier New" w:cs="Courier New" w:hint="default"/>
      </w:rPr>
    </w:lvl>
    <w:lvl w:ilvl="5" w:tentative="1">
      <w:start w:val="1"/>
      <w:numFmt w:val="bullet"/>
      <w:lvlText w:val=""/>
      <w:lvlJc w:val="left"/>
      <w:pPr>
        <w:ind w:left="4565" w:hanging="360"/>
      </w:pPr>
      <w:rPr>
        <w:rFonts w:ascii="Wingdings" w:hAnsi="Wingdings" w:hint="default"/>
      </w:rPr>
    </w:lvl>
    <w:lvl w:ilvl="6" w:tentative="1">
      <w:start w:val="1"/>
      <w:numFmt w:val="bullet"/>
      <w:lvlText w:val=""/>
      <w:lvlJc w:val="left"/>
      <w:pPr>
        <w:ind w:left="5285" w:hanging="360"/>
      </w:pPr>
      <w:rPr>
        <w:rFonts w:ascii="Symbol" w:hAnsi="Symbol" w:hint="default"/>
      </w:rPr>
    </w:lvl>
    <w:lvl w:ilvl="7" w:tentative="1">
      <w:start w:val="1"/>
      <w:numFmt w:val="bullet"/>
      <w:lvlText w:val="o"/>
      <w:lvlJc w:val="left"/>
      <w:pPr>
        <w:ind w:left="6005" w:hanging="360"/>
      </w:pPr>
      <w:rPr>
        <w:rFonts w:ascii="Courier New" w:hAnsi="Courier New" w:cs="Courier New" w:hint="default"/>
      </w:rPr>
    </w:lvl>
    <w:lvl w:ilvl="8" w:tentative="1">
      <w:start w:val="1"/>
      <w:numFmt w:val="bullet"/>
      <w:lvlText w:val=""/>
      <w:lvlJc w:val="left"/>
      <w:pPr>
        <w:ind w:left="6725" w:hanging="360"/>
      </w:pPr>
      <w:rPr>
        <w:rFonts w:ascii="Wingdings" w:hAnsi="Wingdings" w:hint="default"/>
      </w:rPr>
    </w:lvl>
  </w:abstractNum>
  <w:num w:numId="1" w16cid:durableId="351710">
    <w:abstractNumId w:val="63"/>
  </w:num>
  <w:num w:numId="2" w16cid:durableId="1342778067">
    <w:abstractNumId w:val="41"/>
  </w:num>
  <w:num w:numId="3" w16cid:durableId="716008997">
    <w:abstractNumId w:val="19"/>
  </w:num>
  <w:num w:numId="4" w16cid:durableId="1089693874">
    <w:abstractNumId w:val="25"/>
  </w:num>
  <w:num w:numId="5" w16cid:durableId="857163764">
    <w:abstractNumId w:val="1"/>
  </w:num>
  <w:num w:numId="6" w16cid:durableId="902103241">
    <w:abstractNumId w:val="66"/>
  </w:num>
  <w:num w:numId="7" w16cid:durableId="93600511">
    <w:abstractNumId w:val="54"/>
  </w:num>
  <w:num w:numId="8" w16cid:durableId="1225407942">
    <w:abstractNumId w:val="11"/>
  </w:num>
  <w:num w:numId="9" w16cid:durableId="351957684">
    <w:abstractNumId w:val="74"/>
  </w:num>
  <w:num w:numId="10" w16cid:durableId="1403943193">
    <w:abstractNumId w:val="56"/>
  </w:num>
  <w:num w:numId="11" w16cid:durableId="388966317">
    <w:abstractNumId w:val="61"/>
  </w:num>
  <w:num w:numId="12" w16cid:durableId="204217446">
    <w:abstractNumId w:val="4"/>
  </w:num>
  <w:num w:numId="13" w16cid:durableId="106582280">
    <w:abstractNumId w:val="3"/>
  </w:num>
  <w:num w:numId="14" w16cid:durableId="113984323">
    <w:abstractNumId w:val="2"/>
  </w:num>
  <w:num w:numId="15" w16cid:durableId="1763185681">
    <w:abstractNumId w:val="0"/>
  </w:num>
  <w:num w:numId="16" w16cid:durableId="686761063">
    <w:abstractNumId w:val="13"/>
  </w:num>
  <w:num w:numId="17" w16cid:durableId="275796027">
    <w:abstractNumId w:val="32"/>
  </w:num>
  <w:num w:numId="18" w16cid:durableId="782724739">
    <w:abstractNumId w:val="34"/>
  </w:num>
  <w:num w:numId="19" w16cid:durableId="2048674911">
    <w:abstractNumId w:val="62"/>
  </w:num>
  <w:num w:numId="20" w16cid:durableId="1714303643">
    <w:abstractNumId w:val="35"/>
  </w:num>
  <w:num w:numId="21" w16cid:durableId="696926022">
    <w:abstractNumId w:val="26"/>
  </w:num>
  <w:num w:numId="22" w16cid:durableId="904874981">
    <w:abstractNumId w:val="75"/>
  </w:num>
  <w:num w:numId="23" w16cid:durableId="1071000450">
    <w:abstractNumId w:val="8"/>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1218931452">
    <w:abstractNumId w:val="64"/>
  </w:num>
  <w:num w:numId="25" w16cid:durableId="58793954">
    <w:abstractNumId w:val="9"/>
  </w:num>
  <w:num w:numId="26" w16cid:durableId="1892227050">
    <w:abstractNumId w:val="39"/>
  </w:num>
  <w:num w:numId="27" w16cid:durableId="343168491">
    <w:abstractNumId w:val="50"/>
  </w:num>
  <w:num w:numId="28" w16cid:durableId="1188058630">
    <w:abstractNumId w:val="76"/>
  </w:num>
  <w:num w:numId="29" w16cid:durableId="1005131892">
    <w:abstractNumId w:val="68"/>
  </w:num>
  <w:num w:numId="30" w16cid:durableId="1958364760">
    <w:abstractNumId w:val="51"/>
  </w:num>
  <w:num w:numId="31" w16cid:durableId="1881437341">
    <w:abstractNumId w:val="29"/>
  </w:num>
  <w:num w:numId="32" w16cid:durableId="485248686">
    <w:abstractNumId w:val="15"/>
  </w:num>
  <w:num w:numId="33" w16cid:durableId="1238588893">
    <w:abstractNumId w:val="77"/>
  </w:num>
  <w:num w:numId="34" w16cid:durableId="1695690401">
    <w:abstractNumId w:val="30"/>
  </w:num>
  <w:num w:numId="35" w16cid:durableId="686249234">
    <w:abstractNumId w:val="72"/>
  </w:num>
  <w:num w:numId="36" w16cid:durableId="1865290470">
    <w:abstractNumId w:val="43"/>
  </w:num>
  <w:num w:numId="37" w16cid:durableId="102264562">
    <w:abstractNumId w:val="37"/>
  </w:num>
  <w:num w:numId="38" w16cid:durableId="842671441">
    <w:abstractNumId w:val="59"/>
  </w:num>
  <w:num w:numId="39" w16cid:durableId="1950309821">
    <w:abstractNumId w:val="23"/>
  </w:num>
  <w:num w:numId="40" w16cid:durableId="75246233">
    <w:abstractNumId w:val="42"/>
  </w:num>
  <w:num w:numId="41" w16cid:durableId="32778908">
    <w:abstractNumId w:val="58"/>
  </w:num>
  <w:num w:numId="42" w16cid:durableId="916208003">
    <w:abstractNumId w:val="18"/>
  </w:num>
  <w:num w:numId="43" w16cid:durableId="242569900">
    <w:abstractNumId w:val="60"/>
  </w:num>
  <w:num w:numId="44" w16cid:durableId="1881043155">
    <w:abstractNumId w:val="36"/>
  </w:num>
  <w:num w:numId="45" w16cid:durableId="833303830">
    <w:abstractNumId w:val="14"/>
  </w:num>
  <w:num w:numId="46" w16cid:durableId="44377671">
    <w:abstractNumId w:val="79"/>
  </w:num>
  <w:num w:numId="47" w16cid:durableId="1233660716">
    <w:abstractNumId w:val="53"/>
  </w:num>
  <w:num w:numId="48" w16cid:durableId="509562887">
    <w:abstractNumId w:val="10"/>
  </w:num>
  <w:num w:numId="49" w16cid:durableId="635987602">
    <w:abstractNumId w:val="22"/>
  </w:num>
  <w:num w:numId="50" w16cid:durableId="362246461">
    <w:abstractNumId w:val="17"/>
  </w:num>
  <w:num w:numId="51" w16cid:durableId="1927570165">
    <w:abstractNumId w:val="16"/>
  </w:num>
  <w:num w:numId="52" w16cid:durableId="1392269344">
    <w:abstractNumId w:val="6"/>
  </w:num>
  <w:num w:numId="53" w16cid:durableId="962808030">
    <w:abstractNumId w:val="44"/>
  </w:num>
  <w:num w:numId="54" w16cid:durableId="1759206828">
    <w:abstractNumId w:val="38"/>
  </w:num>
  <w:num w:numId="55" w16cid:durableId="1386564926">
    <w:abstractNumId w:val="33"/>
  </w:num>
  <w:num w:numId="56" w16cid:durableId="1707829696">
    <w:abstractNumId w:val="6"/>
    <w:lvlOverride w:ilvl="0">
      <w:startOverride w:val="1"/>
    </w:lvlOverride>
  </w:num>
  <w:num w:numId="57" w16cid:durableId="1971128018">
    <w:abstractNumId w:val="6"/>
    <w:lvlOverride w:ilvl="0">
      <w:startOverride w:val="1"/>
    </w:lvlOverride>
  </w:num>
  <w:num w:numId="58" w16cid:durableId="448356952">
    <w:abstractNumId w:val="6"/>
    <w:lvlOverride w:ilvl="0">
      <w:startOverride w:val="1"/>
    </w:lvlOverride>
  </w:num>
  <w:num w:numId="59" w16cid:durableId="192886010">
    <w:abstractNumId w:val="6"/>
    <w:lvlOverride w:ilvl="0">
      <w:startOverride w:val="1"/>
    </w:lvlOverride>
  </w:num>
  <w:num w:numId="60" w16cid:durableId="1667128672">
    <w:abstractNumId w:val="6"/>
    <w:lvlOverride w:ilvl="0">
      <w:startOverride w:val="1"/>
    </w:lvlOverride>
  </w:num>
  <w:num w:numId="61" w16cid:durableId="994186523">
    <w:abstractNumId w:val="49"/>
  </w:num>
  <w:num w:numId="62" w16cid:durableId="2102753490">
    <w:abstractNumId w:val="55"/>
    <w:lvlOverride w:ilvl="0">
      <w:startOverride w:val="1"/>
    </w:lvlOverride>
  </w:num>
  <w:num w:numId="63" w16cid:durableId="834960168">
    <w:abstractNumId w:val="20"/>
  </w:num>
  <w:num w:numId="64" w16cid:durableId="1029525953">
    <w:abstractNumId w:val="78"/>
  </w:num>
  <w:num w:numId="65" w16cid:durableId="1742437093">
    <w:abstractNumId w:val="48"/>
  </w:num>
  <w:num w:numId="66" w16cid:durableId="208959889">
    <w:abstractNumId w:val="6"/>
    <w:lvlOverride w:ilvl="0">
      <w:startOverride w:val="1"/>
    </w:lvlOverride>
  </w:num>
  <w:num w:numId="67" w16cid:durableId="995374848">
    <w:abstractNumId w:val="24"/>
  </w:num>
  <w:num w:numId="68" w16cid:durableId="1302157451">
    <w:abstractNumId w:val="24"/>
    <w:lvlOverride w:ilvl="0">
      <w:startOverride w:val="1"/>
    </w:lvlOverride>
  </w:num>
  <w:num w:numId="69" w16cid:durableId="1660379698">
    <w:abstractNumId w:val="24"/>
    <w:lvlOverride w:ilvl="0">
      <w:startOverride w:val="1"/>
    </w:lvlOverride>
  </w:num>
  <w:num w:numId="70" w16cid:durableId="1273779283">
    <w:abstractNumId w:val="55"/>
    <w:lvlOverride w:ilvl="0">
      <w:startOverride w:val="1"/>
    </w:lvlOverride>
  </w:num>
  <w:num w:numId="71" w16cid:durableId="1625691666">
    <w:abstractNumId w:val="67"/>
    <w:lvlOverride w:ilvl="0">
      <w:startOverride w:val="1"/>
    </w:lvlOverride>
  </w:num>
  <w:num w:numId="72" w16cid:durableId="352540474">
    <w:abstractNumId w:val="67"/>
    <w:lvlOverride w:ilvl="0">
      <w:startOverride w:val="1"/>
    </w:lvlOverride>
  </w:num>
  <w:num w:numId="73" w16cid:durableId="1381007174">
    <w:abstractNumId w:val="67"/>
    <w:lvlOverride w:ilvl="0">
      <w:startOverride w:val="1"/>
    </w:lvlOverride>
  </w:num>
  <w:num w:numId="74" w16cid:durableId="1706519178">
    <w:abstractNumId w:val="55"/>
    <w:lvlOverride w:ilvl="0">
      <w:startOverride w:val="1"/>
    </w:lvlOverride>
  </w:num>
  <w:num w:numId="75" w16cid:durableId="722876675">
    <w:abstractNumId w:val="55"/>
    <w:lvlOverride w:ilvl="0">
      <w:startOverride w:val="1"/>
    </w:lvlOverride>
  </w:num>
  <w:num w:numId="76" w16cid:durableId="1714772642">
    <w:abstractNumId w:val="55"/>
    <w:lvlOverride w:ilvl="0">
      <w:startOverride w:val="1"/>
    </w:lvlOverride>
  </w:num>
  <w:num w:numId="77" w16cid:durableId="1181897269">
    <w:abstractNumId w:val="55"/>
    <w:lvlOverride w:ilvl="0">
      <w:startOverride w:val="1"/>
    </w:lvlOverride>
  </w:num>
  <w:num w:numId="78" w16cid:durableId="914558059">
    <w:abstractNumId w:val="55"/>
    <w:lvlOverride w:ilvl="0">
      <w:startOverride w:val="1"/>
    </w:lvlOverride>
  </w:num>
  <w:num w:numId="79" w16cid:durableId="166557544">
    <w:abstractNumId w:val="55"/>
    <w:lvlOverride w:ilvl="0">
      <w:startOverride w:val="1"/>
    </w:lvlOverride>
  </w:num>
  <w:num w:numId="80" w16cid:durableId="1013191271">
    <w:abstractNumId w:val="55"/>
    <w:lvlOverride w:ilvl="0">
      <w:startOverride w:val="1"/>
    </w:lvlOverride>
  </w:num>
  <w:num w:numId="81" w16cid:durableId="489322586">
    <w:abstractNumId w:val="55"/>
    <w:lvlOverride w:ilvl="0">
      <w:startOverride w:val="1"/>
    </w:lvlOverride>
  </w:num>
  <w:num w:numId="82" w16cid:durableId="369766259">
    <w:abstractNumId w:val="67"/>
    <w:lvlOverride w:ilvl="0">
      <w:startOverride w:val="1"/>
    </w:lvlOverride>
  </w:num>
  <w:num w:numId="83" w16cid:durableId="845443511">
    <w:abstractNumId w:val="67"/>
    <w:lvlOverride w:ilvl="0">
      <w:startOverride w:val="1"/>
    </w:lvlOverride>
  </w:num>
  <w:num w:numId="84" w16cid:durableId="2127653639">
    <w:abstractNumId w:val="67"/>
    <w:lvlOverride w:ilvl="0">
      <w:startOverride w:val="1"/>
    </w:lvlOverride>
  </w:num>
  <w:num w:numId="85" w16cid:durableId="872233671">
    <w:abstractNumId w:val="67"/>
    <w:lvlOverride w:ilvl="0">
      <w:startOverride w:val="1"/>
    </w:lvlOverride>
  </w:num>
  <w:num w:numId="86" w16cid:durableId="1138299621">
    <w:abstractNumId w:val="67"/>
    <w:lvlOverride w:ilvl="0">
      <w:startOverride w:val="1"/>
    </w:lvlOverride>
  </w:num>
  <w:num w:numId="87" w16cid:durableId="23602558">
    <w:abstractNumId w:val="67"/>
    <w:lvlOverride w:ilvl="0">
      <w:startOverride w:val="1"/>
    </w:lvlOverride>
  </w:num>
  <w:num w:numId="88" w16cid:durableId="415319753">
    <w:abstractNumId w:val="67"/>
    <w:lvlOverride w:ilvl="0">
      <w:startOverride w:val="1"/>
    </w:lvlOverride>
  </w:num>
  <w:num w:numId="89" w16cid:durableId="2032559738">
    <w:abstractNumId w:val="67"/>
    <w:lvlOverride w:ilvl="0">
      <w:startOverride w:val="1"/>
    </w:lvlOverride>
  </w:num>
  <w:num w:numId="90" w16cid:durableId="1494253510">
    <w:abstractNumId w:val="67"/>
    <w:lvlOverride w:ilvl="0">
      <w:startOverride w:val="1"/>
    </w:lvlOverride>
  </w:num>
  <w:num w:numId="91" w16cid:durableId="1476213616">
    <w:abstractNumId w:val="55"/>
    <w:lvlOverride w:ilvl="0">
      <w:startOverride w:val="1"/>
    </w:lvlOverride>
  </w:num>
  <w:num w:numId="92" w16cid:durableId="1259022024">
    <w:abstractNumId w:val="55"/>
    <w:lvlOverride w:ilvl="0">
      <w:startOverride w:val="1"/>
    </w:lvlOverride>
  </w:num>
  <w:num w:numId="93" w16cid:durableId="858738691">
    <w:abstractNumId w:val="55"/>
    <w:lvlOverride w:ilvl="0">
      <w:startOverride w:val="1"/>
    </w:lvlOverride>
  </w:num>
  <w:num w:numId="94" w16cid:durableId="759833368">
    <w:abstractNumId w:val="55"/>
    <w:lvlOverride w:ilvl="0">
      <w:startOverride w:val="1"/>
    </w:lvlOverride>
  </w:num>
  <w:num w:numId="95" w16cid:durableId="1682123189">
    <w:abstractNumId w:val="55"/>
    <w:lvlOverride w:ilvl="0">
      <w:startOverride w:val="1"/>
    </w:lvlOverride>
  </w:num>
  <w:num w:numId="96" w16cid:durableId="20447956">
    <w:abstractNumId w:val="55"/>
    <w:lvlOverride w:ilvl="0">
      <w:startOverride w:val="1"/>
    </w:lvlOverride>
  </w:num>
  <w:num w:numId="97" w16cid:durableId="362947018">
    <w:abstractNumId w:val="55"/>
    <w:lvlOverride w:ilvl="0">
      <w:startOverride w:val="1"/>
    </w:lvlOverride>
  </w:num>
  <w:num w:numId="98" w16cid:durableId="2077311590">
    <w:abstractNumId w:val="55"/>
    <w:lvlOverride w:ilvl="0">
      <w:startOverride w:val="1"/>
    </w:lvlOverride>
  </w:num>
  <w:num w:numId="99" w16cid:durableId="1996184522">
    <w:abstractNumId w:val="55"/>
    <w:lvlOverride w:ilvl="0">
      <w:startOverride w:val="1"/>
    </w:lvlOverride>
  </w:num>
  <w:num w:numId="100" w16cid:durableId="566303288">
    <w:abstractNumId w:val="55"/>
    <w:lvlOverride w:ilvl="0">
      <w:startOverride w:val="1"/>
    </w:lvlOverride>
  </w:num>
  <w:num w:numId="101" w16cid:durableId="1276524387">
    <w:abstractNumId w:val="55"/>
    <w:lvlOverride w:ilvl="0">
      <w:startOverride w:val="1"/>
    </w:lvlOverride>
  </w:num>
  <w:num w:numId="102" w16cid:durableId="2025402199">
    <w:abstractNumId w:val="55"/>
    <w:lvlOverride w:ilvl="0">
      <w:startOverride w:val="1"/>
    </w:lvlOverride>
  </w:num>
  <w:num w:numId="103" w16cid:durableId="244071715">
    <w:abstractNumId w:val="55"/>
    <w:lvlOverride w:ilvl="0">
      <w:startOverride w:val="1"/>
    </w:lvlOverride>
  </w:num>
  <w:num w:numId="104" w16cid:durableId="644049970">
    <w:abstractNumId w:val="55"/>
    <w:lvlOverride w:ilvl="0">
      <w:startOverride w:val="1"/>
    </w:lvlOverride>
  </w:num>
  <w:num w:numId="105" w16cid:durableId="1575167749">
    <w:abstractNumId w:val="55"/>
    <w:lvlOverride w:ilvl="0">
      <w:startOverride w:val="1"/>
    </w:lvlOverride>
  </w:num>
  <w:num w:numId="106" w16cid:durableId="1018119287">
    <w:abstractNumId w:val="55"/>
    <w:lvlOverride w:ilvl="0">
      <w:startOverride w:val="1"/>
    </w:lvlOverride>
  </w:num>
  <w:num w:numId="107" w16cid:durableId="1905488346">
    <w:abstractNumId w:val="55"/>
  </w:num>
  <w:num w:numId="108" w16cid:durableId="936790582">
    <w:abstractNumId w:val="67"/>
    <w:lvlOverride w:ilvl="0">
      <w:startOverride w:val="1"/>
    </w:lvlOverride>
  </w:num>
  <w:num w:numId="109" w16cid:durableId="406149550">
    <w:abstractNumId w:val="67"/>
    <w:lvlOverride w:ilvl="0">
      <w:startOverride w:val="1"/>
    </w:lvlOverride>
  </w:num>
  <w:num w:numId="110" w16cid:durableId="167645213">
    <w:abstractNumId w:val="67"/>
    <w:lvlOverride w:ilvl="0">
      <w:startOverride w:val="1"/>
    </w:lvlOverride>
  </w:num>
  <w:num w:numId="111" w16cid:durableId="1309936512">
    <w:abstractNumId w:val="67"/>
    <w:lvlOverride w:ilvl="0">
      <w:startOverride w:val="1"/>
    </w:lvlOverride>
  </w:num>
  <w:num w:numId="112" w16cid:durableId="43986959">
    <w:abstractNumId w:val="67"/>
    <w:lvlOverride w:ilvl="0">
      <w:startOverride w:val="1"/>
    </w:lvlOverride>
  </w:num>
  <w:num w:numId="113" w16cid:durableId="587277546">
    <w:abstractNumId w:val="67"/>
    <w:lvlOverride w:ilvl="0">
      <w:startOverride w:val="1"/>
    </w:lvlOverride>
  </w:num>
  <w:num w:numId="114" w16cid:durableId="2045398392">
    <w:abstractNumId w:val="67"/>
    <w:lvlOverride w:ilvl="0">
      <w:startOverride w:val="1"/>
    </w:lvlOverride>
  </w:num>
  <w:num w:numId="115" w16cid:durableId="1368406810">
    <w:abstractNumId w:val="67"/>
    <w:lvlOverride w:ilvl="0">
      <w:startOverride w:val="1"/>
    </w:lvlOverride>
  </w:num>
  <w:num w:numId="116" w16cid:durableId="1398288482">
    <w:abstractNumId w:val="67"/>
    <w:lvlOverride w:ilvl="0">
      <w:startOverride w:val="1"/>
    </w:lvlOverride>
  </w:num>
  <w:num w:numId="117" w16cid:durableId="1865626760">
    <w:abstractNumId w:val="67"/>
    <w:lvlOverride w:ilvl="0">
      <w:startOverride w:val="1"/>
    </w:lvlOverride>
  </w:num>
  <w:num w:numId="118" w16cid:durableId="1125152897">
    <w:abstractNumId w:val="67"/>
    <w:lvlOverride w:ilvl="0">
      <w:startOverride w:val="1"/>
    </w:lvlOverride>
  </w:num>
  <w:num w:numId="119" w16cid:durableId="1495603588">
    <w:abstractNumId w:val="67"/>
    <w:lvlOverride w:ilvl="0">
      <w:startOverride w:val="1"/>
    </w:lvlOverride>
  </w:num>
  <w:num w:numId="120" w16cid:durableId="458956268">
    <w:abstractNumId w:val="67"/>
    <w:lvlOverride w:ilvl="0">
      <w:startOverride w:val="1"/>
    </w:lvlOverride>
  </w:num>
  <w:num w:numId="121" w16cid:durableId="1020933958">
    <w:abstractNumId w:val="67"/>
    <w:lvlOverride w:ilvl="0">
      <w:startOverride w:val="1"/>
    </w:lvlOverride>
  </w:num>
  <w:num w:numId="122" w16cid:durableId="522787347">
    <w:abstractNumId w:val="67"/>
    <w:lvlOverride w:ilvl="0">
      <w:startOverride w:val="1"/>
    </w:lvlOverride>
  </w:num>
  <w:num w:numId="123" w16cid:durableId="1746145833">
    <w:abstractNumId w:val="67"/>
    <w:lvlOverride w:ilvl="0">
      <w:startOverride w:val="1"/>
    </w:lvlOverride>
  </w:num>
  <w:num w:numId="124" w16cid:durableId="1672755355">
    <w:abstractNumId w:val="67"/>
    <w:lvlOverride w:ilvl="0">
      <w:startOverride w:val="1"/>
    </w:lvlOverride>
  </w:num>
  <w:num w:numId="125" w16cid:durableId="868372263">
    <w:abstractNumId w:val="67"/>
    <w:lvlOverride w:ilvl="0">
      <w:startOverride w:val="1"/>
    </w:lvlOverride>
  </w:num>
  <w:num w:numId="126" w16cid:durableId="1326477498">
    <w:abstractNumId w:val="67"/>
    <w:lvlOverride w:ilvl="0">
      <w:startOverride w:val="1"/>
    </w:lvlOverride>
  </w:num>
  <w:num w:numId="127" w16cid:durableId="1567187112">
    <w:abstractNumId w:val="67"/>
    <w:lvlOverride w:ilvl="0">
      <w:startOverride w:val="1"/>
    </w:lvlOverride>
  </w:num>
  <w:num w:numId="128" w16cid:durableId="73018177">
    <w:abstractNumId w:val="67"/>
    <w:lvlOverride w:ilvl="0">
      <w:startOverride w:val="1"/>
    </w:lvlOverride>
  </w:num>
  <w:num w:numId="129" w16cid:durableId="1647976362">
    <w:abstractNumId w:val="67"/>
    <w:lvlOverride w:ilvl="0">
      <w:startOverride w:val="1"/>
    </w:lvlOverride>
  </w:num>
  <w:num w:numId="130" w16cid:durableId="343628732">
    <w:abstractNumId w:val="67"/>
    <w:lvlOverride w:ilvl="0">
      <w:startOverride w:val="1"/>
    </w:lvlOverride>
  </w:num>
  <w:num w:numId="131" w16cid:durableId="1166360740">
    <w:abstractNumId w:val="67"/>
    <w:lvlOverride w:ilvl="0">
      <w:startOverride w:val="1"/>
    </w:lvlOverride>
  </w:num>
  <w:num w:numId="132" w16cid:durableId="1925144291">
    <w:abstractNumId w:val="55"/>
    <w:lvlOverride w:ilvl="0">
      <w:startOverride w:val="1"/>
    </w:lvlOverride>
  </w:num>
  <w:num w:numId="133" w16cid:durableId="1086344433">
    <w:abstractNumId w:val="55"/>
    <w:lvlOverride w:ilvl="0">
      <w:startOverride w:val="1"/>
    </w:lvlOverride>
  </w:num>
  <w:num w:numId="134" w16cid:durableId="1267808341">
    <w:abstractNumId w:val="55"/>
    <w:lvlOverride w:ilvl="0">
      <w:startOverride w:val="1"/>
    </w:lvlOverride>
  </w:num>
  <w:num w:numId="135" w16cid:durableId="1861964266">
    <w:abstractNumId w:val="67"/>
    <w:lvlOverride w:ilvl="0">
      <w:startOverride w:val="1"/>
    </w:lvlOverride>
  </w:num>
  <w:num w:numId="136" w16cid:durableId="1457336269">
    <w:abstractNumId w:val="67"/>
    <w:lvlOverride w:ilvl="0">
      <w:startOverride w:val="1"/>
    </w:lvlOverride>
  </w:num>
  <w:num w:numId="137" w16cid:durableId="874998766">
    <w:abstractNumId w:val="67"/>
    <w:lvlOverride w:ilvl="0">
      <w:startOverride w:val="1"/>
    </w:lvlOverride>
  </w:num>
  <w:num w:numId="138" w16cid:durableId="990982900">
    <w:abstractNumId w:val="67"/>
    <w:lvlOverride w:ilvl="0">
      <w:startOverride w:val="1"/>
    </w:lvlOverride>
  </w:num>
  <w:num w:numId="139" w16cid:durableId="1607426311">
    <w:abstractNumId w:val="55"/>
    <w:lvlOverride w:ilvl="0">
      <w:startOverride w:val="1"/>
    </w:lvlOverride>
  </w:num>
  <w:num w:numId="140" w16cid:durableId="465200539">
    <w:abstractNumId w:val="67"/>
    <w:lvlOverride w:ilvl="0">
      <w:startOverride w:val="1"/>
    </w:lvlOverride>
  </w:num>
  <w:num w:numId="141" w16cid:durableId="93137610">
    <w:abstractNumId w:val="67"/>
    <w:lvlOverride w:ilvl="0">
      <w:startOverride w:val="1"/>
    </w:lvlOverride>
  </w:num>
  <w:num w:numId="142" w16cid:durableId="1584097068">
    <w:abstractNumId w:val="67"/>
    <w:lvlOverride w:ilvl="0">
      <w:startOverride w:val="1"/>
    </w:lvlOverride>
  </w:num>
  <w:num w:numId="143" w16cid:durableId="500314688">
    <w:abstractNumId w:val="67"/>
    <w:lvlOverride w:ilvl="0">
      <w:startOverride w:val="1"/>
    </w:lvlOverride>
  </w:num>
  <w:num w:numId="144" w16cid:durableId="24714636">
    <w:abstractNumId w:val="67"/>
    <w:lvlOverride w:ilvl="0">
      <w:startOverride w:val="1"/>
    </w:lvlOverride>
  </w:num>
  <w:num w:numId="145" w16cid:durableId="2129078400">
    <w:abstractNumId w:val="67"/>
    <w:lvlOverride w:ilvl="0">
      <w:startOverride w:val="1"/>
    </w:lvlOverride>
  </w:num>
  <w:num w:numId="146" w16cid:durableId="978346007">
    <w:abstractNumId w:val="67"/>
    <w:lvlOverride w:ilvl="0">
      <w:startOverride w:val="1"/>
    </w:lvlOverride>
  </w:num>
  <w:num w:numId="147" w16cid:durableId="1087771111">
    <w:abstractNumId w:val="67"/>
    <w:lvlOverride w:ilvl="0">
      <w:startOverride w:val="1"/>
    </w:lvlOverride>
  </w:num>
  <w:num w:numId="148" w16cid:durableId="940644907">
    <w:abstractNumId w:val="67"/>
    <w:lvlOverride w:ilvl="0">
      <w:startOverride w:val="1"/>
    </w:lvlOverride>
  </w:num>
  <w:num w:numId="149" w16cid:durableId="1744642666">
    <w:abstractNumId w:val="67"/>
    <w:lvlOverride w:ilvl="0">
      <w:startOverride w:val="1"/>
    </w:lvlOverride>
  </w:num>
  <w:num w:numId="150" w16cid:durableId="408119550">
    <w:abstractNumId w:val="67"/>
    <w:lvlOverride w:ilvl="0">
      <w:startOverride w:val="1"/>
    </w:lvlOverride>
  </w:num>
  <w:num w:numId="151" w16cid:durableId="328677491">
    <w:abstractNumId w:val="67"/>
    <w:lvlOverride w:ilvl="0">
      <w:startOverride w:val="1"/>
    </w:lvlOverride>
  </w:num>
  <w:num w:numId="152" w16cid:durableId="1370643364">
    <w:abstractNumId w:val="67"/>
    <w:lvlOverride w:ilvl="0">
      <w:startOverride w:val="1"/>
    </w:lvlOverride>
  </w:num>
  <w:num w:numId="153" w16cid:durableId="117458045">
    <w:abstractNumId w:val="67"/>
    <w:lvlOverride w:ilvl="0">
      <w:startOverride w:val="1"/>
    </w:lvlOverride>
  </w:num>
  <w:num w:numId="154" w16cid:durableId="163477906">
    <w:abstractNumId w:val="55"/>
    <w:lvlOverride w:ilvl="0">
      <w:startOverride w:val="1"/>
    </w:lvlOverride>
  </w:num>
  <w:num w:numId="155" w16cid:durableId="1779133050">
    <w:abstractNumId w:val="55"/>
    <w:lvlOverride w:ilvl="0">
      <w:startOverride w:val="1"/>
    </w:lvlOverride>
  </w:num>
  <w:num w:numId="156" w16cid:durableId="1331173543">
    <w:abstractNumId w:val="55"/>
    <w:lvlOverride w:ilvl="0">
      <w:startOverride w:val="1"/>
    </w:lvlOverride>
  </w:num>
  <w:num w:numId="157" w16cid:durableId="1204634586">
    <w:abstractNumId w:val="55"/>
    <w:lvlOverride w:ilvl="0">
      <w:startOverride w:val="1"/>
    </w:lvlOverride>
  </w:num>
  <w:num w:numId="158" w16cid:durableId="454835123">
    <w:abstractNumId w:val="55"/>
    <w:lvlOverride w:ilvl="0">
      <w:startOverride w:val="1"/>
    </w:lvlOverride>
  </w:num>
  <w:num w:numId="159" w16cid:durableId="1781683456">
    <w:abstractNumId w:val="55"/>
    <w:lvlOverride w:ilvl="0">
      <w:startOverride w:val="1"/>
    </w:lvlOverride>
  </w:num>
  <w:num w:numId="160" w16cid:durableId="1063874677">
    <w:abstractNumId w:val="55"/>
    <w:lvlOverride w:ilvl="0">
      <w:startOverride w:val="1"/>
    </w:lvlOverride>
  </w:num>
  <w:num w:numId="161" w16cid:durableId="648437035">
    <w:abstractNumId w:val="55"/>
    <w:lvlOverride w:ilvl="0">
      <w:startOverride w:val="1"/>
    </w:lvlOverride>
  </w:num>
  <w:num w:numId="162" w16cid:durableId="715202678">
    <w:abstractNumId w:val="55"/>
    <w:lvlOverride w:ilvl="0">
      <w:startOverride w:val="1"/>
    </w:lvlOverride>
  </w:num>
  <w:num w:numId="163" w16cid:durableId="1775517544">
    <w:abstractNumId w:val="55"/>
    <w:lvlOverride w:ilvl="0">
      <w:startOverride w:val="1"/>
    </w:lvlOverride>
  </w:num>
  <w:num w:numId="164" w16cid:durableId="251745649">
    <w:abstractNumId w:val="55"/>
    <w:lvlOverride w:ilvl="0">
      <w:startOverride w:val="1"/>
    </w:lvlOverride>
  </w:num>
  <w:num w:numId="165" w16cid:durableId="893736898">
    <w:abstractNumId w:val="55"/>
    <w:lvlOverride w:ilvl="0">
      <w:startOverride w:val="1"/>
    </w:lvlOverride>
  </w:num>
  <w:num w:numId="166" w16cid:durableId="798957128">
    <w:abstractNumId w:val="55"/>
    <w:lvlOverride w:ilvl="0">
      <w:startOverride w:val="1"/>
    </w:lvlOverride>
  </w:num>
  <w:num w:numId="167" w16cid:durableId="696782188">
    <w:abstractNumId w:val="55"/>
    <w:lvlOverride w:ilvl="0">
      <w:startOverride w:val="1"/>
    </w:lvlOverride>
  </w:num>
  <w:num w:numId="168" w16cid:durableId="1341934612">
    <w:abstractNumId w:val="55"/>
    <w:lvlOverride w:ilvl="0">
      <w:startOverride w:val="1"/>
    </w:lvlOverride>
  </w:num>
  <w:num w:numId="169" w16cid:durableId="1823541078">
    <w:abstractNumId w:val="55"/>
    <w:lvlOverride w:ilvl="0">
      <w:startOverride w:val="1"/>
    </w:lvlOverride>
  </w:num>
  <w:num w:numId="170" w16cid:durableId="473060344">
    <w:abstractNumId w:val="55"/>
    <w:lvlOverride w:ilvl="0">
      <w:startOverride w:val="1"/>
    </w:lvlOverride>
  </w:num>
  <w:num w:numId="171" w16cid:durableId="1576938392">
    <w:abstractNumId w:val="55"/>
    <w:lvlOverride w:ilvl="0">
      <w:startOverride w:val="1"/>
    </w:lvlOverride>
  </w:num>
  <w:num w:numId="172" w16cid:durableId="1695425916">
    <w:abstractNumId w:val="55"/>
    <w:lvlOverride w:ilvl="0">
      <w:startOverride w:val="1"/>
    </w:lvlOverride>
  </w:num>
  <w:num w:numId="173" w16cid:durableId="2114282689">
    <w:abstractNumId w:val="55"/>
    <w:lvlOverride w:ilvl="0">
      <w:startOverride w:val="1"/>
    </w:lvlOverride>
  </w:num>
  <w:num w:numId="174" w16cid:durableId="1962030439">
    <w:abstractNumId w:val="55"/>
    <w:lvlOverride w:ilvl="0">
      <w:startOverride w:val="1"/>
    </w:lvlOverride>
  </w:num>
  <w:num w:numId="175" w16cid:durableId="1250458726">
    <w:abstractNumId w:val="31"/>
  </w:num>
  <w:num w:numId="176" w16cid:durableId="1092623949">
    <w:abstractNumId w:val="67"/>
    <w:lvlOverride w:ilvl="0">
      <w:startOverride w:val="1"/>
    </w:lvlOverride>
  </w:num>
  <w:num w:numId="177" w16cid:durableId="1556308709">
    <w:abstractNumId w:val="67"/>
  </w:num>
  <w:num w:numId="178" w16cid:durableId="447893804">
    <w:abstractNumId w:val="67"/>
    <w:lvlOverride w:ilvl="0">
      <w:startOverride w:val="1"/>
    </w:lvlOverride>
  </w:num>
  <w:num w:numId="179" w16cid:durableId="1383747122">
    <w:abstractNumId w:val="67"/>
    <w:lvlOverride w:ilvl="0">
      <w:startOverride w:val="1"/>
    </w:lvlOverride>
  </w:num>
  <w:num w:numId="180" w16cid:durableId="1323773032">
    <w:abstractNumId w:val="67"/>
    <w:lvlOverride w:ilvl="0">
      <w:startOverride w:val="1"/>
    </w:lvlOverride>
  </w:num>
  <w:num w:numId="181" w16cid:durableId="1671592509">
    <w:abstractNumId w:val="67"/>
    <w:lvlOverride w:ilvl="0">
      <w:startOverride w:val="1"/>
    </w:lvlOverride>
  </w:num>
  <w:num w:numId="182" w16cid:durableId="1564755174">
    <w:abstractNumId w:val="67"/>
    <w:lvlOverride w:ilvl="0">
      <w:startOverride w:val="1"/>
    </w:lvlOverride>
  </w:num>
  <w:num w:numId="183" w16cid:durableId="1043867771">
    <w:abstractNumId w:val="67"/>
    <w:lvlOverride w:ilvl="0">
      <w:startOverride w:val="1"/>
    </w:lvlOverride>
  </w:num>
  <w:num w:numId="184" w16cid:durableId="1162548904">
    <w:abstractNumId w:val="67"/>
    <w:lvlOverride w:ilvl="0">
      <w:startOverride w:val="1"/>
    </w:lvlOverride>
  </w:num>
  <w:num w:numId="185" w16cid:durableId="250358785">
    <w:abstractNumId w:val="67"/>
    <w:lvlOverride w:ilvl="0">
      <w:startOverride w:val="1"/>
    </w:lvlOverride>
  </w:num>
  <w:num w:numId="186" w16cid:durableId="1492720675">
    <w:abstractNumId w:val="55"/>
    <w:lvlOverride w:ilvl="0">
      <w:startOverride w:val="1"/>
    </w:lvlOverride>
  </w:num>
  <w:num w:numId="187" w16cid:durableId="1061830281">
    <w:abstractNumId w:val="55"/>
    <w:lvlOverride w:ilvl="0">
      <w:startOverride w:val="1"/>
    </w:lvlOverride>
  </w:num>
  <w:num w:numId="188" w16cid:durableId="1221869375">
    <w:abstractNumId w:val="55"/>
    <w:lvlOverride w:ilvl="0">
      <w:startOverride w:val="1"/>
    </w:lvlOverride>
  </w:num>
  <w:num w:numId="189" w16cid:durableId="1648852964">
    <w:abstractNumId w:val="55"/>
    <w:lvlOverride w:ilvl="0">
      <w:startOverride w:val="1"/>
    </w:lvlOverride>
  </w:num>
  <w:num w:numId="190" w16cid:durableId="164126973">
    <w:abstractNumId w:val="55"/>
    <w:lvlOverride w:ilvl="0">
      <w:startOverride w:val="1"/>
    </w:lvlOverride>
  </w:num>
  <w:num w:numId="191" w16cid:durableId="1232934705">
    <w:abstractNumId w:val="55"/>
    <w:lvlOverride w:ilvl="0">
      <w:startOverride w:val="1"/>
    </w:lvlOverride>
  </w:num>
  <w:num w:numId="192" w16cid:durableId="727460894">
    <w:abstractNumId w:val="55"/>
    <w:lvlOverride w:ilvl="0">
      <w:startOverride w:val="1"/>
    </w:lvlOverride>
  </w:num>
  <w:num w:numId="193" w16cid:durableId="1275752787">
    <w:abstractNumId w:val="55"/>
    <w:lvlOverride w:ilvl="0">
      <w:startOverride w:val="1"/>
    </w:lvlOverride>
  </w:num>
  <w:num w:numId="194" w16cid:durableId="1278096595">
    <w:abstractNumId w:val="55"/>
    <w:lvlOverride w:ilvl="0">
      <w:startOverride w:val="1"/>
    </w:lvlOverride>
  </w:num>
  <w:num w:numId="195" w16cid:durableId="1996490854">
    <w:abstractNumId w:val="67"/>
    <w:lvlOverride w:ilvl="0">
      <w:startOverride w:val="1"/>
    </w:lvlOverride>
  </w:num>
  <w:num w:numId="196" w16cid:durableId="1358045691">
    <w:abstractNumId w:val="55"/>
    <w:lvlOverride w:ilvl="0">
      <w:startOverride w:val="1"/>
    </w:lvlOverride>
  </w:num>
  <w:num w:numId="197" w16cid:durableId="108091574">
    <w:abstractNumId w:val="55"/>
    <w:lvlOverride w:ilvl="0">
      <w:startOverride w:val="1"/>
    </w:lvlOverride>
  </w:num>
  <w:num w:numId="198" w16cid:durableId="641539402">
    <w:abstractNumId w:val="67"/>
    <w:lvlOverride w:ilvl="0">
      <w:startOverride w:val="1"/>
    </w:lvlOverride>
  </w:num>
  <w:num w:numId="199" w16cid:durableId="1926718030">
    <w:abstractNumId w:val="67"/>
    <w:lvlOverride w:ilvl="0">
      <w:startOverride w:val="1"/>
    </w:lvlOverride>
  </w:num>
  <w:num w:numId="200" w16cid:durableId="1434394712">
    <w:abstractNumId w:val="67"/>
    <w:lvlOverride w:ilvl="0">
      <w:startOverride w:val="1"/>
    </w:lvlOverride>
  </w:num>
  <w:num w:numId="201" w16cid:durableId="911626287">
    <w:abstractNumId w:val="67"/>
    <w:lvlOverride w:ilvl="0">
      <w:startOverride w:val="1"/>
    </w:lvlOverride>
  </w:num>
  <w:num w:numId="202" w16cid:durableId="380061863">
    <w:abstractNumId w:val="67"/>
    <w:lvlOverride w:ilvl="0">
      <w:startOverride w:val="1"/>
    </w:lvlOverride>
  </w:num>
  <w:num w:numId="203" w16cid:durableId="1719739785">
    <w:abstractNumId w:val="55"/>
    <w:lvlOverride w:ilvl="0">
      <w:startOverride w:val="1"/>
    </w:lvlOverride>
  </w:num>
  <w:num w:numId="204" w16cid:durableId="415055510">
    <w:abstractNumId w:val="55"/>
    <w:lvlOverride w:ilvl="0">
      <w:startOverride w:val="1"/>
    </w:lvlOverride>
  </w:num>
  <w:num w:numId="205" w16cid:durableId="371151239">
    <w:abstractNumId w:val="55"/>
    <w:lvlOverride w:ilvl="0">
      <w:startOverride w:val="1"/>
    </w:lvlOverride>
  </w:num>
  <w:num w:numId="206" w16cid:durableId="2118982842">
    <w:abstractNumId w:val="55"/>
    <w:lvlOverride w:ilvl="0">
      <w:startOverride w:val="1"/>
    </w:lvlOverride>
  </w:num>
  <w:num w:numId="207" w16cid:durableId="800802429">
    <w:abstractNumId w:val="55"/>
    <w:lvlOverride w:ilvl="0">
      <w:startOverride w:val="1"/>
    </w:lvlOverride>
  </w:num>
  <w:num w:numId="208" w16cid:durableId="871842595">
    <w:abstractNumId w:val="67"/>
    <w:lvlOverride w:ilvl="0">
      <w:startOverride w:val="1"/>
    </w:lvlOverride>
  </w:num>
  <w:num w:numId="209" w16cid:durableId="1226188724">
    <w:abstractNumId w:val="67"/>
    <w:lvlOverride w:ilvl="0">
      <w:startOverride w:val="1"/>
    </w:lvlOverride>
  </w:num>
  <w:num w:numId="210" w16cid:durableId="1460344945">
    <w:abstractNumId w:val="67"/>
    <w:lvlOverride w:ilvl="0">
      <w:startOverride w:val="1"/>
    </w:lvlOverride>
  </w:num>
  <w:num w:numId="211" w16cid:durableId="1613248412">
    <w:abstractNumId w:val="67"/>
    <w:lvlOverride w:ilvl="0">
      <w:startOverride w:val="1"/>
    </w:lvlOverride>
  </w:num>
  <w:num w:numId="212" w16cid:durableId="154152577">
    <w:abstractNumId w:val="55"/>
    <w:lvlOverride w:ilvl="0">
      <w:startOverride w:val="1"/>
    </w:lvlOverride>
  </w:num>
  <w:num w:numId="213" w16cid:durableId="1329476026">
    <w:abstractNumId w:val="55"/>
    <w:lvlOverride w:ilvl="0">
      <w:startOverride w:val="1"/>
    </w:lvlOverride>
  </w:num>
  <w:num w:numId="214" w16cid:durableId="711267727">
    <w:abstractNumId w:val="55"/>
    <w:lvlOverride w:ilvl="0">
      <w:startOverride w:val="1"/>
    </w:lvlOverride>
  </w:num>
  <w:num w:numId="215" w16cid:durableId="942617605">
    <w:abstractNumId w:val="55"/>
    <w:lvlOverride w:ilvl="0">
      <w:startOverride w:val="1"/>
    </w:lvlOverride>
  </w:num>
  <w:num w:numId="216" w16cid:durableId="866455332">
    <w:abstractNumId w:val="55"/>
    <w:lvlOverride w:ilvl="0">
      <w:startOverride w:val="1"/>
    </w:lvlOverride>
  </w:num>
  <w:num w:numId="217" w16cid:durableId="1081488843">
    <w:abstractNumId w:val="67"/>
    <w:lvlOverride w:ilvl="0">
      <w:startOverride w:val="1"/>
    </w:lvlOverride>
  </w:num>
  <w:num w:numId="218" w16cid:durableId="1240023682">
    <w:abstractNumId w:val="55"/>
    <w:lvlOverride w:ilvl="0">
      <w:startOverride w:val="1"/>
    </w:lvlOverride>
  </w:num>
  <w:num w:numId="219" w16cid:durableId="1088429833">
    <w:abstractNumId w:val="55"/>
    <w:lvlOverride w:ilvl="0">
      <w:startOverride w:val="1"/>
    </w:lvlOverride>
  </w:num>
  <w:num w:numId="220" w16cid:durableId="1525943094">
    <w:abstractNumId w:val="6"/>
    <w:lvlOverride w:ilvl="0">
      <w:startOverride w:val="1"/>
    </w:lvlOverride>
  </w:num>
  <w:num w:numId="221" w16cid:durableId="999119752">
    <w:abstractNumId w:val="55"/>
    <w:lvlOverride w:ilvl="0">
      <w:startOverride w:val="1"/>
    </w:lvlOverride>
  </w:num>
  <w:num w:numId="222" w16cid:durableId="1408453741">
    <w:abstractNumId w:val="28"/>
  </w:num>
  <w:num w:numId="223" w16cid:durableId="1781602538">
    <w:abstractNumId w:val="52"/>
  </w:num>
  <w:num w:numId="224" w16cid:durableId="1472093503">
    <w:abstractNumId w:val="47"/>
  </w:num>
  <w:num w:numId="225" w16cid:durableId="1147743822">
    <w:abstractNumId w:val="70"/>
  </w:num>
  <w:num w:numId="226" w16cid:durableId="476604819">
    <w:abstractNumId w:val="12"/>
  </w:num>
  <w:num w:numId="227" w16cid:durableId="2030988429">
    <w:abstractNumId w:val="57"/>
  </w:num>
  <w:num w:numId="228" w16cid:durableId="101456044">
    <w:abstractNumId w:val="55"/>
    <w:lvlOverride w:ilvl="0">
      <w:startOverride w:val="1"/>
    </w:lvlOverride>
  </w:num>
  <w:num w:numId="229" w16cid:durableId="1694842092">
    <w:abstractNumId w:val="31"/>
    <w:lvlOverride w:ilvl="0">
      <w:startOverride w:val="1"/>
    </w:lvlOverride>
  </w:num>
  <w:num w:numId="230" w16cid:durableId="1076364137">
    <w:abstractNumId w:val="31"/>
    <w:lvlOverride w:ilvl="0">
      <w:startOverride w:val="1"/>
    </w:lvlOverride>
  </w:num>
  <w:num w:numId="231" w16cid:durableId="1552765481">
    <w:abstractNumId w:val="65"/>
  </w:num>
  <w:num w:numId="232" w16cid:durableId="1341079710">
    <w:abstractNumId w:val="21"/>
  </w:num>
  <w:num w:numId="233" w16cid:durableId="591428827">
    <w:abstractNumId w:val="27"/>
  </w:num>
  <w:num w:numId="234" w16cid:durableId="106780238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172248451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50674903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12966343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1401634513">
    <w:abstractNumId w:val="73"/>
  </w:num>
  <w:num w:numId="239" w16cid:durableId="55312429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933322684">
    <w:abstractNumId w:val="73"/>
  </w:num>
  <w:num w:numId="241" w16cid:durableId="1916668265">
    <w:abstractNumId w:val="73"/>
  </w:num>
  <w:num w:numId="242" w16cid:durableId="421729311">
    <w:abstractNumId w:val="73"/>
  </w:num>
  <w:num w:numId="243" w16cid:durableId="1453480619">
    <w:abstractNumId w:val="73"/>
  </w:num>
  <w:num w:numId="244" w16cid:durableId="455374664">
    <w:abstractNumId w:val="73"/>
  </w:num>
  <w:num w:numId="245" w16cid:durableId="175211633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132698083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69299331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189828167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2144303341">
    <w:abstractNumId w:val="73"/>
  </w:num>
  <w:num w:numId="250" w16cid:durableId="58172236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175454532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58453866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27244306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206952838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043748629">
    <w:abstractNumId w:val="73"/>
  </w:num>
  <w:num w:numId="256" w16cid:durableId="208341001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176969479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115980903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73578025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193805780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16cid:durableId="1310594355">
    <w:abstractNumId w:val="6"/>
    <w:lvlOverride w:ilvl="0">
      <w:startOverride w:val="1"/>
    </w:lvlOverride>
  </w:num>
  <w:num w:numId="262" w16cid:durableId="41374806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1522665892">
    <w:abstractNumId w:val="73"/>
  </w:num>
  <w:num w:numId="264" w16cid:durableId="784736263">
    <w:abstractNumId w:val="73"/>
  </w:num>
  <w:num w:numId="265" w16cid:durableId="704528955">
    <w:abstractNumId w:val="73"/>
  </w:num>
  <w:num w:numId="266" w16cid:durableId="1066533827">
    <w:abstractNumId w:val="73"/>
  </w:num>
  <w:num w:numId="267" w16cid:durableId="78446702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952245320">
    <w:abstractNumId w:val="6"/>
  </w:num>
  <w:num w:numId="269" w16cid:durableId="1899974385">
    <w:abstractNumId w:val="6"/>
    <w:lvlOverride w:ilvl="0">
      <w:startOverride w:val="1"/>
    </w:lvlOverride>
  </w:num>
  <w:num w:numId="270" w16cid:durableId="1088773715">
    <w:abstractNumId w:val="46"/>
  </w:num>
  <w:num w:numId="271" w16cid:durableId="1570728322">
    <w:abstractNumId w:val="69"/>
  </w:num>
  <w:num w:numId="272" w16cid:durableId="954600952">
    <w:abstractNumId w:val="5"/>
  </w:num>
  <w:num w:numId="273" w16cid:durableId="578902630">
    <w:abstractNumId w:val="45"/>
  </w:num>
  <w:num w:numId="274" w16cid:durableId="1679306613">
    <w:abstractNumId w:val="71"/>
  </w:num>
  <w:num w:numId="275" w16cid:durableId="485050391">
    <w:abstractNumId w:val="7"/>
  </w:num>
  <w:num w:numId="276" w16cid:durableId="1681809706">
    <w:abstractNumId w:val="40"/>
  </w:num>
  <w:numIdMacAtCleanup w:val="2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Jess Coldren">
    <w15:presenceInfo w15:providerId="AD" w15:userId="S::JColdren@mathematica-mpr.com::fdc74a80-f175-49c7-8417-54c6d2907f02"/>
  </w15:person>
  <w15:person w15:author="Hannah Klukoff">
    <w15:presenceInfo w15:providerId="AD" w15:userId="S::HKlukoff@mathematica-mpr.com::1c0690ce-66b5-4bd5-a904-87b8b35f6abf"/>
  </w15:person>
  <w15:person w15:author="Katie Kleeberger">
    <w15:presenceInfo w15:providerId="AD" w15:userId="S::KKleeberger@mathematica-mpr.com::5426f2c7-bb16-4e0b-84ee-b0b4e4c20c58"/>
  </w15:person>
  <w15:person w15:author="Talia Parker">
    <w15:presenceInfo w15:providerId="AD" w15:userId="S::TParker@mathematica-mpr.com::0c61484f-6a74-44e4-904f-7ed770ddec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attachedTemplate r:id="rId1"/>
  <w:stylePaneFormatFilter w:val="1008" w:allStyles="0" w:alternateStyleNames="0" w:clearFormatting="1" w:customStyles="0" w:directFormattingOnNumbering="0" w:directFormattingOnParagraphs="0" w:directFormattingOnRuns="0" w:directFormattingOnTables="0" w:headingStyles="0" w:latentStyles="0" w:numberingStyles="0" w:stylesInUse="1" w:tableStyles="0" w:top3HeadingStyles="0" w:visibleStyles="0"/>
  <w:stylePaneSortMethod w:val="name"/>
  <w:documentProtection w:edit="trackedChanges" w:enforcement="0"/>
  <w:defaultTabStop w:val="288"/>
  <w:evenAndOddHeaders/>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D38"/>
    <w:rsid w:val="00000875"/>
    <w:rsid w:val="00000E62"/>
    <w:rsid w:val="0000105A"/>
    <w:rsid w:val="000016D0"/>
    <w:rsid w:val="00001856"/>
    <w:rsid w:val="00001960"/>
    <w:rsid w:val="00001B88"/>
    <w:rsid w:val="00001DAC"/>
    <w:rsid w:val="00001E59"/>
    <w:rsid w:val="00002528"/>
    <w:rsid w:val="00002769"/>
    <w:rsid w:val="0000285C"/>
    <w:rsid w:val="00002881"/>
    <w:rsid w:val="00002885"/>
    <w:rsid w:val="00002958"/>
    <w:rsid w:val="00002D7F"/>
    <w:rsid w:val="0000300E"/>
    <w:rsid w:val="000030B1"/>
    <w:rsid w:val="000032FF"/>
    <w:rsid w:val="000034B0"/>
    <w:rsid w:val="00003680"/>
    <w:rsid w:val="00003A92"/>
    <w:rsid w:val="00003BAB"/>
    <w:rsid w:val="00004658"/>
    <w:rsid w:val="00004C2A"/>
    <w:rsid w:val="00005E1A"/>
    <w:rsid w:val="00005FFF"/>
    <w:rsid w:val="0000646B"/>
    <w:rsid w:val="000065FE"/>
    <w:rsid w:val="000069CF"/>
    <w:rsid w:val="00006CF1"/>
    <w:rsid w:val="000072DC"/>
    <w:rsid w:val="0000765A"/>
    <w:rsid w:val="00007AD2"/>
    <w:rsid w:val="00007B31"/>
    <w:rsid w:val="00007C8E"/>
    <w:rsid w:val="00007EB5"/>
    <w:rsid w:val="00007FC7"/>
    <w:rsid w:val="000100A7"/>
    <w:rsid w:val="0001030F"/>
    <w:rsid w:val="000105F3"/>
    <w:rsid w:val="0001068D"/>
    <w:rsid w:val="00010966"/>
    <w:rsid w:val="00010BFB"/>
    <w:rsid w:val="00010CEE"/>
    <w:rsid w:val="00010D06"/>
    <w:rsid w:val="00010EFE"/>
    <w:rsid w:val="0001166B"/>
    <w:rsid w:val="00012913"/>
    <w:rsid w:val="00012F79"/>
    <w:rsid w:val="00013368"/>
    <w:rsid w:val="00013697"/>
    <w:rsid w:val="00013A66"/>
    <w:rsid w:val="00013E03"/>
    <w:rsid w:val="00013FB7"/>
    <w:rsid w:val="0001401C"/>
    <w:rsid w:val="000143C4"/>
    <w:rsid w:val="00014791"/>
    <w:rsid w:val="000148D8"/>
    <w:rsid w:val="00014B78"/>
    <w:rsid w:val="00014D13"/>
    <w:rsid w:val="00015351"/>
    <w:rsid w:val="0001587F"/>
    <w:rsid w:val="00015AFA"/>
    <w:rsid w:val="00016168"/>
    <w:rsid w:val="000164F6"/>
    <w:rsid w:val="00016D34"/>
    <w:rsid w:val="00016D95"/>
    <w:rsid w:val="00016F54"/>
    <w:rsid w:val="00017020"/>
    <w:rsid w:val="000174C9"/>
    <w:rsid w:val="000176F3"/>
    <w:rsid w:val="00017861"/>
    <w:rsid w:val="00017925"/>
    <w:rsid w:val="00017A60"/>
    <w:rsid w:val="000201C1"/>
    <w:rsid w:val="000204AC"/>
    <w:rsid w:val="000207FE"/>
    <w:rsid w:val="00020896"/>
    <w:rsid w:val="00020BA6"/>
    <w:rsid w:val="000212FC"/>
    <w:rsid w:val="000216EA"/>
    <w:rsid w:val="00021810"/>
    <w:rsid w:val="00021A02"/>
    <w:rsid w:val="00021AB6"/>
    <w:rsid w:val="00021B08"/>
    <w:rsid w:val="00021C08"/>
    <w:rsid w:val="0002201E"/>
    <w:rsid w:val="00022502"/>
    <w:rsid w:val="0002279E"/>
    <w:rsid w:val="0002299C"/>
    <w:rsid w:val="00022A0A"/>
    <w:rsid w:val="00022B54"/>
    <w:rsid w:val="00022CDE"/>
    <w:rsid w:val="00023147"/>
    <w:rsid w:val="0002322B"/>
    <w:rsid w:val="0002376C"/>
    <w:rsid w:val="000237F8"/>
    <w:rsid w:val="0002388D"/>
    <w:rsid w:val="00024603"/>
    <w:rsid w:val="00024734"/>
    <w:rsid w:val="00024967"/>
    <w:rsid w:val="00024C35"/>
    <w:rsid w:val="00024FF7"/>
    <w:rsid w:val="000253F1"/>
    <w:rsid w:val="0002544F"/>
    <w:rsid w:val="00025473"/>
    <w:rsid w:val="0002561E"/>
    <w:rsid w:val="00025863"/>
    <w:rsid w:val="00025AFA"/>
    <w:rsid w:val="00025C18"/>
    <w:rsid w:val="0002616F"/>
    <w:rsid w:val="000264E0"/>
    <w:rsid w:val="0002656B"/>
    <w:rsid w:val="000265B5"/>
    <w:rsid w:val="0002667E"/>
    <w:rsid w:val="00026753"/>
    <w:rsid w:val="00026795"/>
    <w:rsid w:val="000267AC"/>
    <w:rsid w:val="000267D7"/>
    <w:rsid w:val="000269FA"/>
    <w:rsid w:val="00026B2E"/>
    <w:rsid w:val="00027035"/>
    <w:rsid w:val="0002754E"/>
    <w:rsid w:val="00027A60"/>
    <w:rsid w:val="00027A77"/>
    <w:rsid w:val="00027D34"/>
    <w:rsid w:val="000301A0"/>
    <w:rsid w:val="00030320"/>
    <w:rsid w:val="0003073F"/>
    <w:rsid w:val="00030983"/>
    <w:rsid w:val="00030B97"/>
    <w:rsid w:val="00031052"/>
    <w:rsid w:val="00031389"/>
    <w:rsid w:val="00031542"/>
    <w:rsid w:val="00031C0F"/>
    <w:rsid w:val="00032513"/>
    <w:rsid w:val="000325B7"/>
    <w:rsid w:val="0003265D"/>
    <w:rsid w:val="00032AAD"/>
    <w:rsid w:val="00032B18"/>
    <w:rsid w:val="00032E4E"/>
    <w:rsid w:val="0003333F"/>
    <w:rsid w:val="00033539"/>
    <w:rsid w:val="0003368B"/>
    <w:rsid w:val="00033718"/>
    <w:rsid w:val="00033DB5"/>
    <w:rsid w:val="00033DC1"/>
    <w:rsid w:val="000341A8"/>
    <w:rsid w:val="0003451E"/>
    <w:rsid w:val="00034667"/>
    <w:rsid w:val="00034724"/>
    <w:rsid w:val="000349CC"/>
    <w:rsid w:val="00034D43"/>
    <w:rsid w:val="00034F5E"/>
    <w:rsid w:val="000350CC"/>
    <w:rsid w:val="000351C8"/>
    <w:rsid w:val="0003528E"/>
    <w:rsid w:val="000355F7"/>
    <w:rsid w:val="00035788"/>
    <w:rsid w:val="000357D2"/>
    <w:rsid w:val="00035B29"/>
    <w:rsid w:val="00035EDD"/>
    <w:rsid w:val="000367EC"/>
    <w:rsid w:val="00036C47"/>
    <w:rsid w:val="00036CDD"/>
    <w:rsid w:val="00036E7F"/>
    <w:rsid w:val="00036F55"/>
    <w:rsid w:val="00036FED"/>
    <w:rsid w:val="000371D7"/>
    <w:rsid w:val="00037435"/>
    <w:rsid w:val="0003744D"/>
    <w:rsid w:val="000375C4"/>
    <w:rsid w:val="00037775"/>
    <w:rsid w:val="000377B8"/>
    <w:rsid w:val="000378C5"/>
    <w:rsid w:val="00037A2A"/>
    <w:rsid w:val="00037A44"/>
    <w:rsid w:val="00037B50"/>
    <w:rsid w:val="00037C77"/>
    <w:rsid w:val="00037C8C"/>
    <w:rsid w:val="00037D65"/>
    <w:rsid w:val="00037EB8"/>
    <w:rsid w:val="00037FF4"/>
    <w:rsid w:val="00040121"/>
    <w:rsid w:val="000403DA"/>
    <w:rsid w:val="0004065D"/>
    <w:rsid w:val="0004079E"/>
    <w:rsid w:val="000407ED"/>
    <w:rsid w:val="0004081E"/>
    <w:rsid w:val="00040B2C"/>
    <w:rsid w:val="00040CDA"/>
    <w:rsid w:val="00040E37"/>
    <w:rsid w:val="00041063"/>
    <w:rsid w:val="0004137F"/>
    <w:rsid w:val="00041430"/>
    <w:rsid w:val="0004151B"/>
    <w:rsid w:val="00041637"/>
    <w:rsid w:val="000417D8"/>
    <w:rsid w:val="00041A9B"/>
    <w:rsid w:val="00041BAB"/>
    <w:rsid w:val="00041FB9"/>
    <w:rsid w:val="00042200"/>
    <w:rsid w:val="00042260"/>
    <w:rsid w:val="000422BF"/>
    <w:rsid w:val="000423BE"/>
    <w:rsid w:val="00042419"/>
    <w:rsid w:val="00042519"/>
    <w:rsid w:val="00042646"/>
    <w:rsid w:val="000427D3"/>
    <w:rsid w:val="000428DF"/>
    <w:rsid w:val="00042D6A"/>
    <w:rsid w:val="00042FA8"/>
    <w:rsid w:val="00043146"/>
    <w:rsid w:val="000432CA"/>
    <w:rsid w:val="00043329"/>
    <w:rsid w:val="00043455"/>
    <w:rsid w:val="00043631"/>
    <w:rsid w:val="00043725"/>
    <w:rsid w:val="00043B27"/>
    <w:rsid w:val="00043F39"/>
    <w:rsid w:val="00044069"/>
    <w:rsid w:val="000443D2"/>
    <w:rsid w:val="000446BA"/>
    <w:rsid w:val="000447B6"/>
    <w:rsid w:val="00044D33"/>
    <w:rsid w:val="00044D92"/>
    <w:rsid w:val="00044E77"/>
    <w:rsid w:val="000450A6"/>
    <w:rsid w:val="000455D6"/>
    <w:rsid w:val="00045773"/>
    <w:rsid w:val="00045CEF"/>
    <w:rsid w:val="00045EAC"/>
    <w:rsid w:val="00045F89"/>
    <w:rsid w:val="00046168"/>
    <w:rsid w:val="00046365"/>
    <w:rsid w:val="000466DE"/>
    <w:rsid w:val="00046805"/>
    <w:rsid w:val="000468A3"/>
    <w:rsid w:val="000468BE"/>
    <w:rsid w:val="000469EF"/>
    <w:rsid w:val="00046A03"/>
    <w:rsid w:val="00046A49"/>
    <w:rsid w:val="00046E00"/>
    <w:rsid w:val="00046E8B"/>
    <w:rsid w:val="00047013"/>
    <w:rsid w:val="0004717C"/>
    <w:rsid w:val="000477EB"/>
    <w:rsid w:val="00047BDD"/>
    <w:rsid w:val="00047D45"/>
    <w:rsid w:val="00047E8E"/>
    <w:rsid w:val="00047FF1"/>
    <w:rsid w:val="00050499"/>
    <w:rsid w:val="000506B6"/>
    <w:rsid w:val="0005096E"/>
    <w:rsid w:val="000510B7"/>
    <w:rsid w:val="0005112F"/>
    <w:rsid w:val="0005122A"/>
    <w:rsid w:val="000512A6"/>
    <w:rsid w:val="00051353"/>
    <w:rsid w:val="000515A1"/>
    <w:rsid w:val="000517CA"/>
    <w:rsid w:val="00051816"/>
    <w:rsid w:val="00051A22"/>
    <w:rsid w:val="00051AC7"/>
    <w:rsid w:val="00051C9B"/>
    <w:rsid w:val="00051E8A"/>
    <w:rsid w:val="00051F7A"/>
    <w:rsid w:val="000521B5"/>
    <w:rsid w:val="000523B6"/>
    <w:rsid w:val="00052412"/>
    <w:rsid w:val="00052566"/>
    <w:rsid w:val="00052669"/>
    <w:rsid w:val="0005282F"/>
    <w:rsid w:val="00052D0F"/>
    <w:rsid w:val="00052E6E"/>
    <w:rsid w:val="00053440"/>
    <w:rsid w:val="000535DD"/>
    <w:rsid w:val="00053660"/>
    <w:rsid w:val="0005369B"/>
    <w:rsid w:val="000536E7"/>
    <w:rsid w:val="00053763"/>
    <w:rsid w:val="00053BDB"/>
    <w:rsid w:val="00053F3F"/>
    <w:rsid w:val="0005409C"/>
    <w:rsid w:val="00054BEB"/>
    <w:rsid w:val="00054DBC"/>
    <w:rsid w:val="00055074"/>
    <w:rsid w:val="00055111"/>
    <w:rsid w:val="000554CF"/>
    <w:rsid w:val="00055596"/>
    <w:rsid w:val="00055B64"/>
    <w:rsid w:val="00055C23"/>
    <w:rsid w:val="00055D9B"/>
    <w:rsid w:val="00055DE4"/>
    <w:rsid w:val="00055E6D"/>
    <w:rsid w:val="000560BF"/>
    <w:rsid w:val="00056604"/>
    <w:rsid w:val="0005662F"/>
    <w:rsid w:val="00056829"/>
    <w:rsid w:val="00056BC1"/>
    <w:rsid w:val="00056F74"/>
    <w:rsid w:val="000570B9"/>
    <w:rsid w:val="000570CB"/>
    <w:rsid w:val="0005754B"/>
    <w:rsid w:val="000575D5"/>
    <w:rsid w:val="000578BB"/>
    <w:rsid w:val="00057C95"/>
    <w:rsid w:val="00060579"/>
    <w:rsid w:val="000608D2"/>
    <w:rsid w:val="00060E7F"/>
    <w:rsid w:val="00060EF8"/>
    <w:rsid w:val="0006104D"/>
    <w:rsid w:val="00061531"/>
    <w:rsid w:val="000617BA"/>
    <w:rsid w:val="00061B7C"/>
    <w:rsid w:val="00061C01"/>
    <w:rsid w:val="00061CDD"/>
    <w:rsid w:val="00061EDE"/>
    <w:rsid w:val="0006249C"/>
    <w:rsid w:val="00062533"/>
    <w:rsid w:val="0006257D"/>
    <w:rsid w:val="0006266C"/>
    <w:rsid w:val="00062999"/>
    <w:rsid w:val="00062A12"/>
    <w:rsid w:val="00062B06"/>
    <w:rsid w:val="00062F7D"/>
    <w:rsid w:val="00062FBE"/>
    <w:rsid w:val="000633A9"/>
    <w:rsid w:val="000633AA"/>
    <w:rsid w:val="00063BB0"/>
    <w:rsid w:val="00064267"/>
    <w:rsid w:val="000642EA"/>
    <w:rsid w:val="00064385"/>
    <w:rsid w:val="000643A2"/>
    <w:rsid w:val="0006445D"/>
    <w:rsid w:val="00064534"/>
    <w:rsid w:val="00064983"/>
    <w:rsid w:val="000649AE"/>
    <w:rsid w:val="00065026"/>
    <w:rsid w:val="0006507B"/>
    <w:rsid w:val="00065151"/>
    <w:rsid w:val="00065223"/>
    <w:rsid w:val="00065366"/>
    <w:rsid w:val="00065454"/>
    <w:rsid w:val="00065563"/>
    <w:rsid w:val="00065B02"/>
    <w:rsid w:val="00065C97"/>
    <w:rsid w:val="00065CFA"/>
    <w:rsid w:val="00065DAE"/>
    <w:rsid w:val="00065F1D"/>
    <w:rsid w:val="00065F1E"/>
    <w:rsid w:val="0006604B"/>
    <w:rsid w:val="00066BC1"/>
    <w:rsid w:val="000673BE"/>
    <w:rsid w:val="00067986"/>
    <w:rsid w:val="00067FB3"/>
    <w:rsid w:val="00067FF1"/>
    <w:rsid w:val="0007008E"/>
    <w:rsid w:val="0007014C"/>
    <w:rsid w:val="0007041A"/>
    <w:rsid w:val="0007044D"/>
    <w:rsid w:val="00070780"/>
    <w:rsid w:val="00070B92"/>
    <w:rsid w:val="00070DEB"/>
    <w:rsid w:val="00070FB7"/>
    <w:rsid w:val="00070FBC"/>
    <w:rsid w:val="0007119C"/>
    <w:rsid w:val="0007146E"/>
    <w:rsid w:val="00071539"/>
    <w:rsid w:val="000719C2"/>
    <w:rsid w:val="00071A32"/>
    <w:rsid w:val="00071B0E"/>
    <w:rsid w:val="00071CEB"/>
    <w:rsid w:val="00071E1A"/>
    <w:rsid w:val="00072123"/>
    <w:rsid w:val="00072429"/>
    <w:rsid w:val="000731FF"/>
    <w:rsid w:val="000733FF"/>
    <w:rsid w:val="000734BA"/>
    <w:rsid w:val="00073913"/>
    <w:rsid w:val="00073A05"/>
    <w:rsid w:val="00073B88"/>
    <w:rsid w:val="00073C96"/>
    <w:rsid w:val="00073CF4"/>
    <w:rsid w:val="00073DDB"/>
    <w:rsid w:val="00073EE1"/>
    <w:rsid w:val="00073F22"/>
    <w:rsid w:val="000742C2"/>
    <w:rsid w:val="000743F3"/>
    <w:rsid w:val="00074D94"/>
    <w:rsid w:val="0007521C"/>
    <w:rsid w:val="0007551D"/>
    <w:rsid w:val="0007603E"/>
    <w:rsid w:val="00076105"/>
    <w:rsid w:val="00076150"/>
    <w:rsid w:val="000761A9"/>
    <w:rsid w:val="00076448"/>
    <w:rsid w:val="000767A5"/>
    <w:rsid w:val="00076852"/>
    <w:rsid w:val="000768CC"/>
    <w:rsid w:val="00076D5A"/>
    <w:rsid w:val="00076EC3"/>
    <w:rsid w:val="0007721F"/>
    <w:rsid w:val="00077293"/>
    <w:rsid w:val="0007775F"/>
    <w:rsid w:val="000777DB"/>
    <w:rsid w:val="00080103"/>
    <w:rsid w:val="00080335"/>
    <w:rsid w:val="0008037A"/>
    <w:rsid w:val="00080B41"/>
    <w:rsid w:val="00080B95"/>
    <w:rsid w:val="00081061"/>
    <w:rsid w:val="000811A8"/>
    <w:rsid w:val="000818C0"/>
    <w:rsid w:val="000818D8"/>
    <w:rsid w:val="00081982"/>
    <w:rsid w:val="00081D80"/>
    <w:rsid w:val="00081E0E"/>
    <w:rsid w:val="00081E4D"/>
    <w:rsid w:val="000821A6"/>
    <w:rsid w:val="000826F6"/>
    <w:rsid w:val="000828E4"/>
    <w:rsid w:val="0008295D"/>
    <w:rsid w:val="00082D54"/>
    <w:rsid w:val="00082E3A"/>
    <w:rsid w:val="00082EC2"/>
    <w:rsid w:val="00082F4B"/>
    <w:rsid w:val="00083162"/>
    <w:rsid w:val="00083508"/>
    <w:rsid w:val="00083681"/>
    <w:rsid w:val="00083DB9"/>
    <w:rsid w:val="00083EED"/>
    <w:rsid w:val="00084039"/>
    <w:rsid w:val="000842D1"/>
    <w:rsid w:val="00084443"/>
    <w:rsid w:val="00084584"/>
    <w:rsid w:val="00084737"/>
    <w:rsid w:val="00084AE0"/>
    <w:rsid w:val="00084F46"/>
    <w:rsid w:val="000852A3"/>
    <w:rsid w:val="0008536C"/>
    <w:rsid w:val="000855BD"/>
    <w:rsid w:val="000855D6"/>
    <w:rsid w:val="000856CE"/>
    <w:rsid w:val="00085700"/>
    <w:rsid w:val="0008584D"/>
    <w:rsid w:val="00085D4F"/>
    <w:rsid w:val="0008601E"/>
    <w:rsid w:val="00086024"/>
    <w:rsid w:val="00086066"/>
    <w:rsid w:val="00086392"/>
    <w:rsid w:val="000865F0"/>
    <w:rsid w:val="0008694C"/>
    <w:rsid w:val="00086A24"/>
    <w:rsid w:val="00087072"/>
    <w:rsid w:val="00087308"/>
    <w:rsid w:val="00087463"/>
    <w:rsid w:val="00087837"/>
    <w:rsid w:val="00087A1E"/>
    <w:rsid w:val="00087B17"/>
    <w:rsid w:val="00087D30"/>
    <w:rsid w:val="00090417"/>
    <w:rsid w:val="0009068D"/>
    <w:rsid w:val="0009081B"/>
    <w:rsid w:val="00090870"/>
    <w:rsid w:val="000909D3"/>
    <w:rsid w:val="00090F07"/>
    <w:rsid w:val="00091107"/>
    <w:rsid w:val="000913BD"/>
    <w:rsid w:val="0009143A"/>
    <w:rsid w:val="0009182A"/>
    <w:rsid w:val="0009185B"/>
    <w:rsid w:val="00091BDD"/>
    <w:rsid w:val="00091C17"/>
    <w:rsid w:val="00092420"/>
    <w:rsid w:val="0009322A"/>
    <w:rsid w:val="00093523"/>
    <w:rsid w:val="0009399C"/>
    <w:rsid w:val="000939CA"/>
    <w:rsid w:val="00093B84"/>
    <w:rsid w:val="00093B8D"/>
    <w:rsid w:val="00093D67"/>
    <w:rsid w:val="00093EB7"/>
    <w:rsid w:val="00093EDB"/>
    <w:rsid w:val="00094157"/>
    <w:rsid w:val="00094159"/>
    <w:rsid w:val="000947B1"/>
    <w:rsid w:val="00094B6C"/>
    <w:rsid w:val="00094BCA"/>
    <w:rsid w:val="00095172"/>
    <w:rsid w:val="00095441"/>
    <w:rsid w:val="00095543"/>
    <w:rsid w:val="0009561D"/>
    <w:rsid w:val="0009562E"/>
    <w:rsid w:val="0009603D"/>
    <w:rsid w:val="00096089"/>
    <w:rsid w:val="000960FD"/>
    <w:rsid w:val="000966F1"/>
    <w:rsid w:val="00096C6B"/>
    <w:rsid w:val="00096C94"/>
    <w:rsid w:val="00096C98"/>
    <w:rsid w:val="00096D05"/>
    <w:rsid w:val="000972E1"/>
    <w:rsid w:val="00097AA2"/>
    <w:rsid w:val="00097C35"/>
    <w:rsid w:val="00097CAA"/>
    <w:rsid w:val="00097DD8"/>
    <w:rsid w:val="00097F56"/>
    <w:rsid w:val="000A003A"/>
    <w:rsid w:val="000A0432"/>
    <w:rsid w:val="000A0596"/>
    <w:rsid w:val="000A0A5B"/>
    <w:rsid w:val="000A0E9D"/>
    <w:rsid w:val="000A0F27"/>
    <w:rsid w:val="000A1633"/>
    <w:rsid w:val="000A1981"/>
    <w:rsid w:val="000A1B4B"/>
    <w:rsid w:val="000A2181"/>
    <w:rsid w:val="000A2330"/>
    <w:rsid w:val="000A25FE"/>
    <w:rsid w:val="000A2F29"/>
    <w:rsid w:val="000A2FD9"/>
    <w:rsid w:val="000A331F"/>
    <w:rsid w:val="000A3530"/>
    <w:rsid w:val="000A36E5"/>
    <w:rsid w:val="000A3DA0"/>
    <w:rsid w:val="000A40D9"/>
    <w:rsid w:val="000A417F"/>
    <w:rsid w:val="000A48DA"/>
    <w:rsid w:val="000A4F6C"/>
    <w:rsid w:val="000A5159"/>
    <w:rsid w:val="000A5488"/>
    <w:rsid w:val="000A556E"/>
    <w:rsid w:val="000A59E5"/>
    <w:rsid w:val="000A5A8D"/>
    <w:rsid w:val="000A5FF2"/>
    <w:rsid w:val="000A60D3"/>
    <w:rsid w:val="000A64ED"/>
    <w:rsid w:val="000A6555"/>
    <w:rsid w:val="000A6591"/>
    <w:rsid w:val="000A688F"/>
    <w:rsid w:val="000A6DDB"/>
    <w:rsid w:val="000A6DE6"/>
    <w:rsid w:val="000A706D"/>
    <w:rsid w:val="000A712D"/>
    <w:rsid w:val="000A7604"/>
    <w:rsid w:val="000A76D8"/>
    <w:rsid w:val="000A786E"/>
    <w:rsid w:val="000A7BB3"/>
    <w:rsid w:val="000A7FB4"/>
    <w:rsid w:val="000B00E0"/>
    <w:rsid w:val="000B0327"/>
    <w:rsid w:val="000B0BBF"/>
    <w:rsid w:val="000B0EEE"/>
    <w:rsid w:val="000B1960"/>
    <w:rsid w:val="000B1B4B"/>
    <w:rsid w:val="000B1FCD"/>
    <w:rsid w:val="000B2166"/>
    <w:rsid w:val="000B22E1"/>
    <w:rsid w:val="000B270E"/>
    <w:rsid w:val="000B2870"/>
    <w:rsid w:val="000B2BAE"/>
    <w:rsid w:val="000B33AC"/>
    <w:rsid w:val="000B376D"/>
    <w:rsid w:val="000B3947"/>
    <w:rsid w:val="000B3A77"/>
    <w:rsid w:val="000B3F51"/>
    <w:rsid w:val="000B4458"/>
    <w:rsid w:val="000B485A"/>
    <w:rsid w:val="000B4BBF"/>
    <w:rsid w:val="000B4C89"/>
    <w:rsid w:val="000B4CBD"/>
    <w:rsid w:val="000B513E"/>
    <w:rsid w:val="000B521D"/>
    <w:rsid w:val="000B555A"/>
    <w:rsid w:val="000B556D"/>
    <w:rsid w:val="000B57A8"/>
    <w:rsid w:val="000B5B12"/>
    <w:rsid w:val="000B5BBF"/>
    <w:rsid w:val="000B5C1B"/>
    <w:rsid w:val="000B6443"/>
    <w:rsid w:val="000B6749"/>
    <w:rsid w:val="000B6A48"/>
    <w:rsid w:val="000B6C6A"/>
    <w:rsid w:val="000B7351"/>
    <w:rsid w:val="000B7609"/>
    <w:rsid w:val="000B764C"/>
    <w:rsid w:val="000B7787"/>
    <w:rsid w:val="000B78E5"/>
    <w:rsid w:val="000B7B72"/>
    <w:rsid w:val="000C01EA"/>
    <w:rsid w:val="000C02FE"/>
    <w:rsid w:val="000C0555"/>
    <w:rsid w:val="000C05BB"/>
    <w:rsid w:val="000C068D"/>
    <w:rsid w:val="000C0928"/>
    <w:rsid w:val="000C0D8E"/>
    <w:rsid w:val="000C0E0A"/>
    <w:rsid w:val="000C0EB1"/>
    <w:rsid w:val="000C151F"/>
    <w:rsid w:val="000C1BCE"/>
    <w:rsid w:val="000C1C34"/>
    <w:rsid w:val="000C1D03"/>
    <w:rsid w:val="000C1E32"/>
    <w:rsid w:val="000C20AB"/>
    <w:rsid w:val="000C221C"/>
    <w:rsid w:val="000C22B2"/>
    <w:rsid w:val="000C28CD"/>
    <w:rsid w:val="000C2A16"/>
    <w:rsid w:val="000C2AFB"/>
    <w:rsid w:val="000C2E3B"/>
    <w:rsid w:val="000C2FBE"/>
    <w:rsid w:val="000C3009"/>
    <w:rsid w:val="000C32A5"/>
    <w:rsid w:val="000C338A"/>
    <w:rsid w:val="000C413E"/>
    <w:rsid w:val="000C4356"/>
    <w:rsid w:val="000C447E"/>
    <w:rsid w:val="000C4645"/>
    <w:rsid w:val="000C4A8A"/>
    <w:rsid w:val="000C506C"/>
    <w:rsid w:val="000C52B6"/>
    <w:rsid w:val="000C57A0"/>
    <w:rsid w:val="000C5859"/>
    <w:rsid w:val="000C593A"/>
    <w:rsid w:val="000C5AF4"/>
    <w:rsid w:val="000C5CF7"/>
    <w:rsid w:val="000C61EE"/>
    <w:rsid w:val="000C6526"/>
    <w:rsid w:val="000C67BD"/>
    <w:rsid w:val="000C6BDD"/>
    <w:rsid w:val="000C6C73"/>
    <w:rsid w:val="000C6D1B"/>
    <w:rsid w:val="000C6D9C"/>
    <w:rsid w:val="000C6E36"/>
    <w:rsid w:val="000C7047"/>
    <w:rsid w:val="000C71FE"/>
    <w:rsid w:val="000C72CF"/>
    <w:rsid w:val="000C7AF0"/>
    <w:rsid w:val="000C7D4D"/>
    <w:rsid w:val="000C7EB7"/>
    <w:rsid w:val="000C7FEE"/>
    <w:rsid w:val="000D0033"/>
    <w:rsid w:val="000D03C1"/>
    <w:rsid w:val="000D03E1"/>
    <w:rsid w:val="000D07D1"/>
    <w:rsid w:val="000D0820"/>
    <w:rsid w:val="000D0ACE"/>
    <w:rsid w:val="000D0C6B"/>
    <w:rsid w:val="000D0D11"/>
    <w:rsid w:val="000D0D31"/>
    <w:rsid w:val="000D0E01"/>
    <w:rsid w:val="000D0FB5"/>
    <w:rsid w:val="000D12CA"/>
    <w:rsid w:val="000D20CC"/>
    <w:rsid w:val="000D2190"/>
    <w:rsid w:val="000D2285"/>
    <w:rsid w:val="000D2291"/>
    <w:rsid w:val="000D24B6"/>
    <w:rsid w:val="000D321C"/>
    <w:rsid w:val="000D327A"/>
    <w:rsid w:val="000D33AF"/>
    <w:rsid w:val="000D382E"/>
    <w:rsid w:val="000D3903"/>
    <w:rsid w:val="000D39EA"/>
    <w:rsid w:val="000D3EF1"/>
    <w:rsid w:val="000D4156"/>
    <w:rsid w:val="000D4333"/>
    <w:rsid w:val="000D47FA"/>
    <w:rsid w:val="000D49E9"/>
    <w:rsid w:val="000D4A72"/>
    <w:rsid w:val="000D4F46"/>
    <w:rsid w:val="000D545A"/>
    <w:rsid w:val="000D5B34"/>
    <w:rsid w:val="000D5BF6"/>
    <w:rsid w:val="000D5CC5"/>
    <w:rsid w:val="000D5CD6"/>
    <w:rsid w:val="000D5D12"/>
    <w:rsid w:val="000D64B4"/>
    <w:rsid w:val="000D6505"/>
    <w:rsid w:val="000D6AEF"/>
    <w:rsid w:val="000D6CA0"/>
    <w:rsid w:val="000D6D88"/>
    <w:rsid w:val="000D6F33"/>
    <w:rsid w:val="000D751A"/>
    <w:rsid w:val="000D75E8"/>
    <w:rsid w:val="000D7AED"/>
    <w:rsid w:val="000D7D41"/>
    <w:rsid w:val="000E0266"/>
    <w:rsid w:val="000E0694"/>
    <w:rsid w:val="000E0BA0"/>
    <w:rsid w:val="000E0C3F"/>
    <w:rsid w:val="000E0CA7"/>
    <w:rsid w:val="000E0D93"/>
    <w:rsid w:val="000E14A7"/>
    <w:rsid w:val="000E1A43"/>
    <w:rsid w:val="000E1B23"/>
    <w:rsid w:val="000E1C2B"/>
    <w:rsid w:val="000E1D80"/>
    <w:rsid w:val="000E1F61"/>
    <w:rsid w:val="000E2001"/>
    <w:rsid w:val="000E2169"/>
    <w:rsid w:val="000E21D6"/>
    <w:rsid w:val="000E226E"/>
    <w:rsid w:val="000E22CE"/>
    <w:rsid w:val="000E2866"/>
    <w:rsid w:val="000E2BCC"/>
    <w:rsid w:val="000E2CA4"/>
    <w:rsid w:val="000E33DA"/>
    <w:rsid w:val="000E354E"/>
    <w:rsid w:val="000E3773"/>
    <w:rsid w:val="000E3CAF"/>
    <w:rsid w:val="000E3EBF"/>
    <w:rsid w:val="000E4636"/>
    <w:rsid w:val="000E4C3F"/>
    <w:rsid w:val="000E4D8B"/>
    <w:rsid w:val="000E5052"/>
    <w:rsid w:val="000E509D"/>
    <w:rsid w:val="000E559E"/>
    <w:rsid w:val="000E583A"/>
    <w:rsid w:val="000E5864"/>
    <w:rsid w:val="000E5967"/>
    <w:rsid w:val="000E5AF0"/>
    <w:rsid w:val="000E5C0D"/>
    <w:rsid w:val="000E604C"/>
    <w:rsid w:val="000E6731"/>
    <w:rsid w:val="000E68F2"/>
    <w:rsid w:val="000E6B3E"/>
    <w:rsid w:val="000E6CD2"/>
    <w:rsid w:val="000E6D9C"/>
    <w:rsid w:val="000E70A9"/>
    <w:rsid w:val="000E758E"/>
    <w:rsid w:val="000E7752"/>
    <w:rsid w:val="000E79DA"/>
    <w:rsid w:val="000E7A3A"/>
    <w:rsid w:val="000E7D9E"/>
    <w:rsid w:val="000F0308"/>
    <w:rsid w:val="000F0773"/>
    <w:rsid w:val="000F0796"/>
    <w:rsid w:val="000F087B"/>
    <w:rsid w:val="000F0D0B"/>
    <w:rsid w:val="000F0E75"/>
    <w:rsid w:val="000F0F44"/>
    <w:rsid w:val="000F1196"/>
    <w:rsid w:val="000F1388"/>
    <w:rsid w:val="000F13AC"/>
    <w:rsid w:val="000F1E09"/>
    <w:rsid w:val="000F1F96"/>
    <w:rsid w:val="000F26A1"/>
    <w:rsid w:val="000F2860"/>
    <w:rsid w:val="000F29C5"/>
    <w:rsid w:val="000F2B12"/>
    <w:rsid w:val="000F2FA4"/>
    <w:rsid w:val="000F339F"/>
    <w:rsid w:val="000F3D61"/>
    <w:rsid w:val="000F4011"/>
    <w:rsid w:val="000F4269"/>
    <w:rsid w:val="000F42FD"/>
    <w:rsid w:val="000F4331"/>
    <w:rsid w:val="000F4C8D"/>
    <w:rsid w:val="000F5151"/>
    <w:rsid w:val="000F5542"/>
    <w:rsid w:val="000F5543"/>
    <w:rsid w:val="000F5666"/>
    <w:rsid w:val="000F5C87"/>
    <w:rsid w:val="000F6530"/>
    <w:rsid w:val="000F6748"/>
    <w:rsid w:val="000F677B"/>
    <w:rsid w:val="000F67F7"/>
    <w:rsid w:val="000F6B36"/>
    <w:rsid w:val="000F6D2B"/>
    <w:rsid w:val="000F6E37"/>
    <w:rsid w:val="000F730B"/>
    <w:rsid w:val="000F7418"/>
    <w:rsid w:val="000F745C"/>
    <w:rsid w:val="000F758A"/>
    <w:rsid w:val="000F7E01"/>
    <w:rsid w:val="0010012A"/>
    <w:rsid w:val="00100216"/>
    <w:rsid w:val="0010037F"/>
    <w:rsid w:val="001004A7"/>
    <w:rsid w:val="00100561"/>
    <w:rsid w:val="0010057A"/>
    <w:rsid w:val="00100596"/>
    <w:rsid w:val="001006E8"/>
    <w:rsid w:val="00100703"/>
    <w:rsid w:val="00100A24"/>
    <w:rsid w:val="00100A89"/>
    <w:rsid w:val="00100FD3"/>
    <w:rsid w:val="00101342"/>
    <w:rsid w:val="0010190C"/>
    <w:rsid w:val="00101D21"/>
    <w:rsid w:val="001023EB"/>
    <w:rsid w:val="00102B29"/>
    <w:rsid w:val="00102D0F"/>
    <w:rsid w:val="00102D11"/>
    <w:rsid w:val="001030FB"/>
    <w:rsid w:val="0010326F"/>
    <w:rsid w:val="001032CC"/>
    <w:rsid w:val="0010376B"/>
    <w:rsid w:val="001037D9"/>
    <w:rsid w:val="00103ACE"/>
    <w:rsid w:val="00103C96"/>
    <w:rsid w:val="001040F6"/>
    <w:rsid w:val="001044EC"/>
    <w:rsid w:val="001045E1"/>
    <w:rsid w:val="001048D7"/>
    <w:rsid w:val="00104F27"/>
    <w:rsid w:val="00104F8C"/>
    <w:rsid w:val="00105057"/>
    <w:rsid w:val="0010509C"/>
    <w:rsid w:val="00105288"/>
    <w:rsid w:val="001052B8"/>
    <w:rsid w:val="001057D9"/>
    <w:rsid w:val="001058FC"/>
    <w:rsid w:val="00105E20"/>
    <w:rsid w:val="00106462"/>
    <w:rsid w:val="001064B9"/>
    <w:rsid w:val="001064E8"/>
    <w:rsid w:val="001065B5"/>
    <w:rsid w:val="0010694A"/>
    <w:rsid w:val="00106AA5"/>
    <w:rsid w:val="00106EF0"/>
    <w:rsid w:val="00106EFB"/>
    <w:rsid w:val="00106F5E"/>
    <w:rsid w:val="00106F80"/>
    <w:rsid w:val="00107252"/>
    <w:rsid w:val="001076A7"/>
    <w:rsid w:val="00107718"/>
    <w:rsid w:val="001077CD"/>
    <w:rsid w:val="00107847"/>
    <w:rsid w:val="001078BE"/>
    <w:rsid w:val="001078DB"/>
    <w:rsid w:val="001079CB"/>
    <w:rsid w:val="00107A2A"/>
    <w:rsid w:val="00107BA3"/>
    <w:rsid w:val="00107CA8"/>
    <w:rsid w:val="001102C3"/>
    <w:rsid w:val="001106CB"/>
    <w:rsid w:val="00110D71"/>
    <w:rsid w:val="00110DCF"/>
    <w:rsid w:val="00110E15"/>
    <w:rsid w:val="00110ED9"/>
    <w:rsid w:val="0011101A"/>
    <w:rsid w:val="001112E1"/>
    <w:rsid w:val="001117D9"/>
    <w:rsid w:val="0011194C"/>
    <w:rsid w:val="001119B3"/>
    <w:rsid w:val="001119F8"/>
    <w:rsid w:val="00112139"/>
    <w:rsid w:val="00112219"/>
    <w:rsid w:val="00112418"/>
    <w:rsid w:val="00112836"/>
    <w:rsid w:val="00112A5E"/>
    <w:rsid w:val="00113060"/>
    <w:rsid w:val="001131A4"/>
    <w:rsid w:val="001133AF"/>
    <w:rsid w:val="001135C0"/>
    <w:rsid w:val="0011368B"/>
    <w:rsid w:val="001137BA"/>
    <w:rsid w:val="0011385C"/>
    <w:rsid w:val="00113B47"/>
    <w:rsid w:val="00113CC8"/>
    <w:rsid w:val="00113E7B"/>
    <w:rsid w:val="00113F31"/>
    <w:rsid w:val="00113F77"/>
    <w:rsid w:val="00114772"/>
    <w:rsid w:val="00114781"/>
    <w:rsid w:val="0011499F"/>
    <w:rsid w:val="00114AB8"/>
    <w:rsid w:val="00115176"/>
    <w:rsid w:val="00115742"/>
    <w:rsid w:val="001158DF"/>
    <w:rsid w:val="0011594E"/>
    <w:rsid w:val="001169B7"/>
    <w:rsid w:val="00116ABE"/>
    <w:rsid w:val="00117407"/>
    <w:rsid w:val="00117B11"/>
    <w:rsid w:val="00117DB1"/>
    <w:rsid w:val="00117DFB"/>
    <w:rsid w:val="00117E2F"/>
    <w:rsid w:val="00120236"/>
    <w:rsid w:val="0012067D"/>
    <w:rsid w:val="0012090D"/>
    <w:rsid w:val="001209F1"/>
    <w:rsid w:val="00120B1E"/>
    <w:rsid w:val="00120C0C"/>
    <w:rsid w:val="00120E72"/>
    <w:rsid w:val="00120F7B"/>
    <w:rsid w:val="0012126E"/>
    <w:rsid w:val="00121518"/>
    <w:rsid w:val="00121A45"/>
    <w:rsid w:val="00121AF6"/>
    <w:rsid w:val="00121B3F"/>
    <w:rsid w:val="00121BDB"/>
    <w:rsid w:val="00122080"/>
    <w:rsid w:val="0012219E"/>
    <w:rsid w:val="001221DE"/>
    <w:rsid w:val="001226B5"/>
    <w:rsid w:val="00122AA2"/>
    <w:rsid w:val="00122C2C"/>
    <w:rsid w:val="00122D58"/>
    <w:rsid w:val="00122F6D"/>
    <w:rsid w:val="0012301A"/>
    <w:rsid w:val="00123143"/>
    <w:rsid w:val="00123B41"/>
    <w:rsid w:val="00124095"/>
    <w:rsid w:val="001244FD"/>
    <w:rsid w:val="00124717"/>
    <w:rsid w:val="00124B35"/>
    <w:rsid w:val="00125185"/>
    <w:rsid w:val="001253AB"/>
    <w:rsid w:val="00125E78"/>
    <w:rsid w:val="00125F00"/>
    <w:rsid w:val="0012609D"/>
    <w:rsid w:val="001268E5"/>
    <w:rsid w:val="00126F73"/>
    <w:rsid w:val="001273DC"/>
    <w:rsid w:val="0012796A"/>
    <w:rsid w:val="00130041"/>
    <w:rsid w:val="00130B41"/>
    <w:rsid w:val="00130C03"/>
    <w:rsid w:val="00130D00"/>
    <w:rsid w:val="00130D7C"/>
    <w:rsid w:val="00130EDB"/>
    <w:rsid w:val="001311F7"/>
    <w:rsid w:val="00131605"/>
    <w:rsid w:val="0013167D"/>
    <w:rsid w:val="0013184F"/>
    <w:rsid w:val="00131D22"/>
    <w:rsid w:val="00131F00"/>
    <w:rsid w:val="00131F9B"/>
    <w:rsid w:val="00132306"/>
    <w:rsid w:val="00132316"/>
    <w:rsid w:val="001323E4"/>
    <w:rsid w:val="00132796"/>
    <w:rsid w:val="00132A3E"/>
    <w:rsid w:val="00132C66"/>
    <w:rsid w:val="001331F2"/>
    <w:rsid w:val="001333F8"/>
    <w:rsid w:val="0013346F"/>
    <w:rsid w:val="00133826"/>
    <w:rsid w:val="001343D9"/>
    <w:rsid w:val="0013462A"/>
    <w:rsid w:val="00134726"/>
    <w:rsid w:val="0013478D"/>
    <w:rsid w:val="00134856"/>
    <w:rsid w:val="001349C0"/>
    <w:rsid w:val="00134A41"/>
    <w:rsid w:val="001351B7"/>
    <w:rsid w:val="00135EB7"/>
    <w:rsid w:val="001361E9"/>
    <w:rsid w:val="00136252"/>
    <w:rsid w:val="00136361"/>
    <w:rsid w:val="00136670"/>
    <w:rsid w:val="00136A90"/>
    <w:rsid w:val="0013709C"/>
    <w:rsid w:val="0013735C"/>
    <w:rsid w:val="001377F5"/>
    <w:rsid w:val="00137AB1"/>
    <w:rsid w:val="00137E9D"/>
    <w:rsid w:val="00137FF2"/>
    <w:rsid w:val="00140213"/>
    <w:rsid w:val="001403F8"/>
    <w:rsid w:val="00140609"/>
    <w:rsid w:val="00140F0E"/>
    <w:rsid w:val="00141527"/>
    <w:rsid w:val="0014162C"/>
    <w:rsid w:val="00141AD2"/>
    <w:rsid w:val="00141B20"/>
    <w:rsid w:val="00141D86"/>
    <w:rsid w:val="00141DBF"/>
    <w:rsid w:val="00142019"/>
    <w:rsid w:val="001420D8"/>
    <w:rsid w:val="001426AE"/>
    <w:rsid w:val="0014272B"/>
    <w:rsid w:val="00142BEB"/>
    <w:rsid w:val="00142C78"/>
    <w:rsid w:val="00142CCE"/>
    <w:rsid w:val="00142EEB"/>
    <w:rsid w:val="00143058"/>
    <w:rsid w:val="00143342"/>
    <w:rsid w:val="0014344D"/>
    <w:rsid w:val="0014367F"/>
    <w:rsid w:val="0014377E"/>
    <w:rsid w:val="00143D86"/>
    <w:rsid w:val="00143DC7"/>
    <w:rsid w:val="001447C0"/>
    <w:rsid w:val="0014499D"/>
    <w:rsid w:val="00144B3B"/>
    <w:rsid w:val="00144DC3"/>
    <w:rsid w:val="00144F4C"/>
    <w:rsid w:val="00145240"/>
    <w:rsid w:val="0014554F"/>
    <w:rsid w:val="0014574A"/>
    <w:rsid w:val="001458B6"/>
    <w:rsid w:val="00145B49"/>
    <w:rsid w:val="00146263"/>
    <w:rsid w:val="00146280"/>
    <w:rsid w:val="0014675A"/>
    <w:rsid w:val="00146B68"/>
    <w:rsid w:val="00146B70"/>
    <w:rsid w:val="00146B93"/>
    <w:rsid w:val="00146CE3"/>
    <w:rsid w:val="00147515"/>
    <w:rsid w:val="00147A74"/>
    <w:rsid w:val="00147CAA"/>
    <w:rsid w:val="00147FC5"/>
    <w:rsid w:val="001504A9"/>
    <w:rsid w:val="00150707"/>
    <w:rsid w:val="001508BE"/>
    <w:rsid w:val="001515C8"/>
    <w:rsid w:val="00151B77"/>
    <w:rsid w:val="001527A4"/>
    <w:rsid w:val="001528FC"/>
    <w:rsid w:val="00152A14"/>
    <w:rsid w:val="00152CFD"/>
    <w:rsid w:val="00152FCC"/>
    <w:rsid w:val="00152FF0"/>
    <w:rsid w:val="001530B5"/>
    <w:rsid w:val="001530E0"/>
    <w:rsid w:val="0015396B"/>
    <w:rsid w:val="00153B4E"/>
    <w:rsid w:val="00153E77"/>
    <w:rsid w:val="00154166"/>
    <w:rsid w:val="001541EE"/>
    <w:rsid w:val="00154345"/>
    <w:rsid w:val="00154428"/>
    <w:rsid w:val="0015475C"/>
    <w:rsid w:val="00154ABF"/>
    <w:rsid w:val="00154C2F"/>
    <w:rsid w:val="00154D69"/>
    <w:rsid w:val="00154DF1"/>
    <w:rsid w:val="00154E49"/>
    <w:rsid w:val="001550A3"/>
    <w:rsid w:val="001551F8"/>
    <w:rsid w:val="0015523A"/>
    <w:rsid w:val="00155589"/>
    <w:rsid w:val="00155A9F"/>
    <w:rsid w:val="00155B2B"/>
    <w:rsid w:val="00155D06"/>
    <w:rsid w:val="00156682"/>
    <w:rsid w:val="001566B0"/>
    <w:rsid w:val="00157221"/>
    <w:rsid w:val="0015749F"/>
    <w:rsid w:val="001575AF"/>
    <w:rsid w:val="0015797D"/>
    <w:rsid w:val="00157B6A"/>
    <w:rsid w:val="00157CA2"/>
    <w:rsid w:val="00157DDB"/>
    <w:rsid w:val="00160544"/>
    <w:rsid w:val="00160566"/>
    <w:rsid w:val="001608A2"/>
    <w:rsid w:val="00160E87"/>
    <w:rsid w:val="00161556"/>
    <w:rsid w:val="001617D2"/>
    <w:rsid w:val="001618AE"/>
    <w:rsid w:val="00161A15"/>
    <w:rsid w:val="00161D2B"/>
    <w:rsid w:val="001622DA"/>
    <w:rsid w:val="0016292A"/>
    <w:rsid w:val="00162FBF"/>
    <w:rsid w:val="001633DC"/>
    <w:rsid w:val="00163729"/>
    <w:rsid w:val="001638C2"/>
    <w:rsid w:val="00163EB3"/>
    <w:rsid w:val="00163F99"/>
    <w:rsid w:val="00164082"/>
    <w:rsid w:val="0016435A"/>
    <w:rsid w:val="001649D5"/>
    <w:rsid w:val="00164A0D"/>
    <w:rsid w:val="00164A0E"/>
    <w:rsid w:val="00164A2A"/>
    <w:rsid w:val="00164A43"/>
    <w:rsid w:val="00164BC2"/>
    <w:rsid w:val="00164D48"/>
    <w:rsid w:val="00164D88"/>
    <w:rsid w:val="0016593E"/>
    <w:rsid w:val="00165B2E"/>
    <w:rsid w:val="00165D8D"/>
    <w:rsid w:val="00165E16"/>
    <w:rsid w:val="001666C4"/>
    <w:rsid w:val="00166725"/>
    <w:rsid w:val="00166CF7"/>
    <w:rsid w:val="00166E07"/>
    <w:rsid w:val="00166F57"/>
    <w:rsid w:val="001673AF"/>
    <w:rsid w:val="001678E8"/>
    <w:rsid w:val="00167A97"/>
    <w:rsid w:val="00167D76"/>
    <w:rsid w:val="00170085"/>
    <w:rsid w:val="0017011F"/>
    <w:rsid w:val="00170346"/>
    <w:rsid w:val="0017061C"/>
    <w:rsid w:val="00170969"/>
    <w:rsid w:val="00170BD5"/>
    <w:rsid w:val="0017165A"/>
    <w:rsid w:val="00171752"/>
    <w:rsid w:val="00171823"/>
    <w:rsid w:val="00171C0C"/>
    <w:rsid w:val="00171DF2"/>
    <w:rsid w:val="00171E7B"/>
    <w:rsid w:val="00172310"/>
    <w:rsid w:val="00172834"/>
    <w:rsid w:val="00172B2C"/>
    <w:rsid w:val="0017316B"/>
    <w:rsid w:val="001732CD"/>
    <w:rsid w:val="0017335F"/>
    <w:rsid w:val="00173819"/>
    <w:rsid w:val="001738AC"/>
    <w:rsid w:val="001739F1"/>
    <w:rsid w:val="00173AD9"/>
    <w:rsid w:val="00174171"/>
    <w:rsid w:val="00174367"/>
    <w:rsid w:val="00174387"/>
    <w:rsid w:val="0017440E"/>
    <w:rsid w:val="00174431"/>
    <w:rsid w:val="0017443A"/>
    <w:rsid w:val="0017464E"/>
    <w:rsid w:val="00174C33"/>
    <w:rsid w:val="00174CA0"/>
    <w:rsid w:val="00174E6A"/>
    <w:rsid w:val="00175335"/>
    <w:rsid w:val="001754F3"/>
    <w:rsid w:val="001757CF"/>
    <w:rsid w:val="00175FEB"/>
    <w:rsid w:val="0017605F"/>
    <w:rsid w:val="001762D9"/>
    <w:rsid w:val="00176463"/>
    <w:rsid w:val="00176604"/>
    <w:rsid w:val="00176E82"/>
    <w:rsid w:val="00177608"/>
    <w:rsid w:val="0017762B"/>
    <w:rsid w:val="00177675"/>
    <w:rsid w:val="001805A8"/>
    <w:rsid w:val="0018099A"/>
    <w:rsid w:val="00180B86"/>
    <w:rsid w:val="00180BD5"/>
    <w:rsid w:val="00180EAD"/>
    <w:rsid w:val="00180FA4"/>
    <w:rsid w:val="0018123E"/>
    <w:rsid w:val="00181465"/>
    <w:rsid w:val="001814F7"/>
    <w:rsid w:val="00181991"/>
    <w:rsid w:val="00181A2E"/>
    <w:rsid w:val="00181AC8"/>
    <w:rsid w:val="00181E2C"/>
    <w:rsid w:val="00182A14"/>
    <w:rsid w:val="00182CBD"/>
    <w:rsid w:val="00182FED"/>
    <w:rsid w:val="0018305F"/>
    <w:rsid w:val="0018310F"/>
    <w:rsid w:val="0018372E"/>
    <w:rsid w:val="0018393E"/>
    <w:rsid w:val="001839D2"/>
    <w:rsid w:val="00183ADB"/>
    <w:rsid w:val="00183BA7"/>
    <w:rsid w:val="00183F68"/>
    <w:rsid w:val="00184421"/>
    <w:rsid w:val="001844D8"/>
    <w:rsid w:val="001846DC"/>
    <w:rsid w:val="00184745"/>
    <w:rsid w:val="0018497C"/>
    <w:rsid w:val="00184BCF"/>
    <w:rsid w:val="00185024"/>
    <w:rsid w:val="00185046"/>
    <w:rsid w:val="001854DE"/>
    <w:rsid w:val="00185738"/>
    <w:rsid w:val="00185CEF"/>
    <w:rsid w:val="001867D7"/>
    <w:rsid w:val="0018680E"/>
    <w:rsid w:val="00186CE5"/>
    <w:rsid w:val="00186CFB"/>
    <w:rsid w:val="00187187"/>
    <w:rsid w:val="00187450"/>
    <w:rsid w:val="001874B7"/>
    <w:rsid w:val="00187653"/>
    <w:rsid w:val="0018798C"/>
    <w:rsid w:val="00187BAA"/>
    <w:rsid w:val="00187D6F"/>
    <w:rsid w:val="00187EA3"/>
    <w:rsid w:val="00187EB8"/>
    <w:rsid w:val="0019011C"/>
    <w:rsid w:val="001903C4"/>
    <w:rsid w:val="001904A2"/>
    <w:rsid w:val="001904DC"/>
    <w:rsid w:val="00190A01"/>
    <w:rsid w:val="00190E3A"/>
    <w:rsid w:val="00190EA9"/>
    <w:rsid w:val="00191052"/>
    <w:rsid w:val="001911E7"/>
    <w:rsid w:val="00191480"/>
    <w:rsid w:val="00191A42"/>
    <w:rsid w:val="001921A4"/>
    <w:rsid w:val="00192557"/>
    <w:rsid w:val="001926E2"/>
    <w:rsid w:val="0019283F"/>
    <w:rsid w:val="001928D1"/>
    <w:rsid w:val="00192BC4"/>
    <w:rsid w:val="00192D31"/>
    <w:rsid w:val="001931D0"/>
    <w:rsid w:val="00193724"/>
    <w:rsid w:val="001937DD"/>
    <w:rsid w:val="001938D5"/>
    <w:rsid w:val="001938E5"/>
    <w:rsid w:val="001939D9"/>
    <w:rsid w:val="00193B78"/>
    <w:rsid w:val="00193C80"/>
    <w:rsid w:val="00193F54"/>
    <w:rsid w:val="001940F7"/>
    <w:rsid w:val="001944D3"/>
    <w:rsid w:val="001945BB"/>
    <w:rsid w:val="00194798"/>
    <w:rsid w:val="00194A0E"/>
    <w:rsid w:val="00194D36"/>
    <w:rsid w:val="00194F18"/>
    <w:rsid w:val="00195095"/>
    <w:rsid w:val="001953D1"/>
    <w:rsid w:val="001958D4"/>
    <w:rsid w:val="00195B4E"/>
    <w:rsid w:val="00195BC0"/>
    <w:rsid w:val="00195D0E"/>
    <w:rsid w:val="00195E4C"/>
    <w:rsid w:val="00195F02"/>
    <w:rsid w:val="00195F0B"/>
    <w:rsid w:val="00196379"/>
    <w:rsid w:val="001964C8"/>
    <w:rsid w:val="001969F1"/>
    <w:rsid w:val="00196B53"/>
    <w:rsid w:val="00196C87"/>
    <w:rsid w:val="00196E5A"/>
    <w:rsid w:val="001972F7"/>
    <w:rsid w:val="00197503"/>
    <w:rsid w:val="00197618"/>
    <w:rsid w:val="001977D1"/>
    <w:rsid w:val="00197910"/>
    <w:rsid w:val="0019795B"/>
    <w:rsid w:val="00197B97"/>
    <w:rsid w:val="00197D34"/>
    <w:rsid w:val="00197FA5"/>
    <w:rsid w:val="001A020C"/>
    <w:rsid w:val="001A0408"/>
    <w:rsid w:val="001A08A2"/>
    <w:rsid w:val="001A09E1"/>
    <w:rsid w:val="001A16D2"/>
    <w:rsid w:val="001A18F1"/>
    <w:rsid w:val="001A1E1B"/>
    <w:rsid w:val="001A1FDB"/>
    <w:rsid w:val="001A200A"/>
    <w:rsid w:val="001A207C"/>
    <w:rsid w:val="001A228A"/>
    <w:rsid w:val="001A24AA"/>
    <w:rsid w:val="001A258F"/>
    <w:rsid w:val="001A26DF"/>
    <w:rsid w:val="001A295F"/>
    <w:rsid w:val="001A2B3D"/>
    <w:rsid w:val="001A3542"/>
    <w:rsid w:val="001A358B"/>
    <w:rsid w:val="001A35AB"/>
    <w:rsid w:val="001A35D5"/>
    <w:rsid w:val="001A3687"/>
    <w:rsid w:val="001A3781"/>
    <w:rsid w:val="001A38A5"/>
    <w:rsid w:val="001A3C8E"/>
    <w:rsid w:val="001A3E89"/>
    <w:rsid w:val="001A4000"/>
    <w:rsid w:val="001A421F"/>
    <w:rsid w:val="001A42E9"/>
    <w:rsid w:val="001A43BF"/>
    <w:rsid w:val="001A47CF"/>
    <w:rsid w:val="001A48CD"/>
    <w:rsid w:val="001A4E60"/>
    <w:rsid w:val="001A4FE5"/>
    <w:rsid w:val="001A52C2"/>
    <w:rsid w:val="001A57D2"/>
    <w:rsid w:val="001A5FBB"/>
    <w:rsid w:val="001A62FC"/>
    <w:rsid w:val="001A6349"/>
    <w:rsid w:val="001A63FE"/>
    <w:rsid w:val="001A69B2"/>
    <w:rsid w:val="001A6B6E"/>
    <w:rsid w:val="001A6C18"/>
    <w:rsid w:val="001A7272"/>
    <w:rsid w:val="001A763F"/>
    <w:rsid w:val="001A7788"/>
    <w:rsid w:val="001A7946"/>
    <w:rsid w:val="001A7D57"/>
    <w:rsid w:val="001A7F16"/>
    <w:rsid w:val="001A7FE9"/>
    <w:rsid w:val="001B02E7"/>
    <w:rsid w:val="001B06CF"/>
    <w:rsid w:val="001B090E"/>
    <w:rsid w:val="001B107D"/>
    <w:rsid w:val="001B1AA9"/>
    <w:rsid w:val="001B1ACA"/>
    <w:rsid w:val="001B1C98"/>
    <w:rsid w:val="001B261B"/>
    <w:rsid w:val="001B27A5"/>
    <w:rsid w:val="001B28D1"/>
    <w:rsid w:val="001B29D7"/>
    <w:rsid w:val="001B2C05"/>
    <w:rsid w:val="001B3283"/>
    <w:rsid w:val="001B3E34"/>
    <w:rsid w:val="001B4177"/>
    <w:rsid w:val="001B432E"/>
    <w:rsid w:val="001B4373"/>
    <w:rsid w:val="001B4545"/>
    <w:rsid w:val="001B4634"/>
    <w:rsid w:val="001B4709"/>
    <w:rsid w:val="001B4842"/>
    <w:rsid w:val="001B488D"/>
    <w:rsid w:val="001B4896"/>
    <w:rsid w:val="001B4DC9"/>
    <w:rsid w:val="001B4FCC"/>
    <w:rsid w:val="001B5202"/>
    <w:rsid w:val="001B5577"/>
    <w:rsid w:val="001B5A68"/>
    <w:rsid w:val="001B5B55"/>
    <w:rsid w:val="001B5BB6"/>
    <w:rsid w:val="001B5FC0"/>
    <w:rsid w:val="001B619D"/>
    <w:rsid w:val="001B66EE"/>
    <w:rsid w:val="001B6771"/>
    <w:rsid w:val="001B6E7F"/>
    <w:rsid w:val="001B6FAF"/>
    <w:rsid w:val="001B74BD"/>
    <w:rsid w:val="001B74CB"/>
    <w:rsid w:val="001B759D"/>
    <w:rsid w:val="001B76BA"/>
    <w:rsid w:val="001B7A3C"/>
    <w:rsid w:val="001B7AA1"/>
    <w:rsid w:val="001C0013"/>
    <w:rsid w:val="001C0297"/>
    <w:rsid w:val="001C02BA"/>
    <w:rsid w:val="001C02FC"/>
    <w:rsid w:val="001C0346"/>
    <w:rsid w:val="001C039F"/>
    <w:rsid w:val="001C095B"/>
    <w:rsid w:val="001C0E3F"/>
    <w:rsid w:val="001C1347"/>
    <w:rsid w:val="001C134C"/>
    <w:rsid w:val="001C244E"/>
    <w:rsid w:val="001C25A0"/>
    <w:rsid w:val="001C25AA"/>
    <w:rsid w:val="001C26B7"/>
    <w:rsid w:val="001C2A08"/>
    <w:rsid w:val="001C2A5E"/>
    <w:rsid w:val="001C2CDB"/>
    <w:rsid w:val="001C2E36"/>
    <w:rsid w:val="001C3559"/>
    <w:rsid w:val="001C3BB9"/>
    <w:rsid w:val="001C3F19"/>
    <w:rsid w:val="001C419E"/>
    <w:rsid w:val="001C4A3A"/>
    <w:rsid w:val="001C4AA8"/>
    <w:rsid w:val="001C4C9D"/>
    <w:rsid w:val="001C4F05"/>
    <w:rsid w:val="001C536E"/>
    <w:rsid w:val="001C5EB8"/>
    <w:rsid w:val="001C60A1"/>
    <w:rsid w:val="001C67C3"/>
    <w:rsid w:val="001C69D8"/>
    <w:rsid w:val="001C6D28"/>
    <w:rsid w:val="001C705A"/>
    <w:rsid w:val="001C7122"/>
    <w:rsid w:val="001C7256"/>
    <w:rsid w:val="001C7418"/>
    <w:rsid w:val="001C7948"/>
    <w:rsid w:val="001C79BC"/>
    <w:rsid w:val="001C7EFB"/>
    <w:rsid w:val="001C7FBE"/>
    <w:rsid w:val="001C7FC0"/>
    <w:rsid w:val="001D00E7"/>
    <w:rsid w:val="001D0244"/>
    <w:rsid w:val="001D0659"/>
    <w:rsid w:val="001D082C"/>
    <w:rsid w:val="001D097C"/>
    <w:rsid w:val="001D0C07"/>
    <w:rsid w:val="001D0C69"/>
    <w:rsid w:val="001D0F8A"/>
    <w:rsid w:val="001D11C1"/>
    <w:rsid w:val="001D163A"/>
    <w:rsid w:val="001D19E6"/>
    <w:rsid w:val="001D1A92"/>
    <w:rsid w:val="001D1ECB"/>
    <w:rsid w:val="001D1F2F"/>
    <w:rsid w:val="001D23D3"/>
    <w:rsid w:val="001D2432"/>
    <w:rsid w:val="001D30C6"/>
    <w:rsid w:val="001D317B"/>
    <w:rsid w:val="001D335E"/>
    <w:rsid w:val="001D3544"/>
    <w:rsid w:val="001D35E3"/>
    <w:rsid w:val="001D36F5"/>
    <w:rsid w:val="001D38E9"/>
    <w:rsid w:val="001D394C"/>
    <w:rsid w:val="001D39AA"/>
    <w:rsid w:val="001D39EC"/>
    <w:rsid w:val="001D3DAF"/>
    <w:rsid w:val="001D418D"/>
    <w:rsid w:val="001D442F"/>
    <w:rsid w:val="001D48BA"/>
    <w:rsid w:val="001D4DC0"/>
    <w:rsid w:val="001D4F4C"/>
    <w:rsid w:val="001D5001"/>
    <w:rsid w:val="001D5300"/>
    <w:rsid w:val="001D5778"/>
    <w:rsid w:val="001D660D"/>
    <w:rsid w:val="001D661F"/>
    <w:rsid w:val="001D6651"/>
    <w:rsid w:val="001D66DA"/>
    <w:rsid w:val="001D6AD7"/>
    <w:rsid w:val="001D707D"/>
    <w:rsid w:val="001D7112"/>
    <w:rsid w:val="001D7248"/>
    <w:rsid w:val="001D7677"/>
    <w:rsid w:val="001D7B65"/>
    <w:rsid w:val="001D7BE2"/>
    <w:rsid w:val="001E01D8"/>
    <w:rsid w:val="001E0518"/>
    <w:rsid w:val="001E06CC"/>
    <w:rsid w:val="001E0799"/>
    <w:rsid w:val="001E07C6"/>
    <w:rsid w:val="001E07D1"/>
    <w:rsid w:val="001E07DC"/>
    <w:rsid w:val="001E0824"/>
    <w:rsid w:val="001E0C71"/>
    <w:rsid w:val="001E0DEF"/>
    <w:rsid w:val="001E0F84"/>
    <w:rsid w:val="001E0FA2"/>
    <w:rsid w:val="001E125E"/>
    <w:rsid w:val="001E1533"/>
    <w:rsid w:val="001E172D"/>
    <w:rsid w:val="001E1806"/>
    <w:rsid w:val="001E1AD9"/>
    <w:rsid w:val="001E1C68"/>
    <w:rsid w:val="001E1EB4"/>
    <w:rsid w:val="001E223F"/>
    <w:rsid w:val="001E22DD"/>
    <w:rsid w:val="001E259F"/>
    <w:rsid w:val="001E2AD2"/>
    <w:rsid w:val="001E2F2E"/>
    <w:rsid w:val="001E31D7"/>
    <w:rsid w:val="001E329C"/>
    <w:rsid w:val="001E3438"/>
    <w:rsid w:val="001E35A7"/>
    <w:rsid w:val="001E3661"/>
    <w:rsid w:val="001E36D9"/>
    <w:rsid w:val="001E3716"/>
    <w:rsid w:val="001E3989"/>
    <w:rsid w:val="001E3B51"/>
    <w:rsid w:val="001E48A3"/>
    <w:rsid w:val="001E494B"/>
    <w:rsid w:val="001E4A39"/>
    <w:rsid w:val="001E4A5C"/>
    <w:rsid w:val="001E4C55"/>
    <w:rsid w:val="001E4C9D"/>
    <w:rsid w:val="001E568C"/>
    <w:rsid w:val="001E5B98"/>
    <w:rsid w:val="001E5D12"/>
    <w:rsid w:val="001E6380"/>
    <w:rsid w:val="001E6A60"/>
    <w:rsid w:val="001E6E5A"/>
    <w:rsid w:val="001E707E"/>
    <w:rsid w:val="001E71AA"/>
    <w:rsid w:val="001E7311"/>
    <w:rsid w:val="001E75A6"/>
    <w:rsid w:val="001E764F"/>
    <w:rsid w:val="001E7746"/>
    <w:rsid w:val="001E78DA"/>
    <w:rsid w:val="001E7D1E"/>
    <w:rsid w:val="001E7F7F"/>
    <w:rsid w:val="001F01C5"/>
    <w:rsid w:val="001F01C9"/>
    <w:rsid w:val="001F0A7B"/>
    <w:rsid w:val="001F0AEC"/>
    <w:rsid w:val="001F1068"/>
    <w:rsid w:val="001F118F"/>
    <w:rsid w:val="001F1F95"/>
    <w:rsid w:val="001F24B3"/>
    <w:rsid w:val="001F2798"/>
    <w:rsid w:val="001F2847"/>
    <w:rsid w:val="001F2BBA"/>
    <w:rsid w:val="001F2EBE"/>
    <w:rsid w:val="001F3039"/>
    <w:rsid w:val="001F362A"/>
    <w:rsid w:val="001F3656"/>
    <w:rsid w:val="001F3680"/>
    <w:rsid w:val="001F38A4"/>
    <w:rsid w:val="001F416E"/>
    <w:rsid w:val="001F4AFF"/>
    <w:rsid w:val="001F4BF4"/>
    <w:rsid w:val="001F4D18"/>
    <w:rsid w:val="001F4D83"/>
    <w:rsid w:val="001F4DA4"/>
    <w:rsid w:val="001F4F5E"/>
    <w:rsid w:val="001F4FA9"/>
    <w:rsid w:val="001F5903"/>
    <w:rsid w:val="001F5C59"/>
    <w:rsid w:val="001F5CDA"/>
    <w:rsid w:val="001F5F4A"/>
    <w:rsid w:val="001F6121"/>
    <w:rsid w:val="001F623C"/>
    <w:rsid w:val="001F6A38"/>
    <w:rsid w:val="001F6AC5"/>
    <w:rsid w:val="001F70D3"/>
    <w:rsid w:val="001F716E"/>
    <w:rsid w:val="001F736F"/>
    <w:rsid w:val="001F73DB"/>
    <w:rsid w:val="001F7410"/>
    <w:rsid w:val="001F79D6"/>
    <w:rsid w:val="001F7EB7"/>
    <w:rsid w:val="002000C5"/>
    <w:rsid w:val="002002DF"/>
    <w:rsid w:val="00200644"/>
    <w:rsid w:val="002006DB"/>
    <w:rsid w:val="00200C35"/>
    <w:rsid w:val="00200C36"/>
    <w:rsid w:val="00200E96"/>
    <w:rsid w:val="00200F51"/>
    <w:rsid w:val="00201E7E"/>
    <w:rsid w:val="002022C7"/>
    <w:rsid w:val="002024BA"/>
    <w:rsid w:val="00202948"/>
    <w:rsid w:val="00202DBF"/>
    <w:rsid w:val="00202F38"/>
    <w:rsid w:val="00203181"/>
    <w:rsid w:val="00203831"/>
    <w:rsid w:val="0020386D"/>
    <w:rsid w:val="002038BD"/>
    <w:rsid w:val="00203A3A"/>
    <w:rsid w:val="00203C9B"/>
    <w:rsid w:val="00203E3B"/>
    <w:rsid w:val="00203FA1"/>
    <w:rsid w:val="00204374"/>
    <w:rsid w:val="00204565"/>
    <w:rsid w:val="002046E0"/>
    <w:rsid w:val="00204AB9"/>
    <w:rsid w:val="00204B23"/>
    <w:rsid w:val="00204D3F"/>
    <w:rsid w:val="00204FDB"/>
    <w:rsid w:val="002050B7"/>
    <w:rsid w:val="00205165"/>
    <w:rsid w:val="00205547"/>
    <w:rsid w:val="00205764"/>
    <w:rsid w:val="002059C3"/>
    <w:rsid w:val="00205A2F"/>
    <w:rsid w:val="00205B87"/>
    <w:rsid w:val="00205E0D"/>
    <w:rsid w:val="00205E44"/>
    <w:rsid w:val="002060F5"/>
    <w:rsid w:val="00206588"/>
    <w:rsid w:val="002065CE"/>
    <w:rsid w:val="002066F7"/>
    <w:rsid w:val="002066FF"/>
    <w:rsid w:val="0020694A"/>
    <w:rsid w:val="00206A20"/>
    <w:rsid w:val="00206CEC"/>
    <w:rsid w:val="00207008"/>
    <w:rsid w:val="002076EF"/>
    <w:rsid w:val="00207F6C"/>
    <w:rsid w:val="0021022F"/>
    <w:rsid w:val="0021027B"/>
    <w:rsid w:val="00210551"/>
    <w:rsid w:val="00210682"/>
    <w:rsid w:val="0021083F"/>
    <w:rsid w:val="002108D8"/>
    <w:rsid w:val="00210F19"/>
    <w:rsid w:val="002111C1"/>
    <w:rsid w:val="00211668"/>
    <w:rsid w:val="0021180D"/>
    <w:rsid w:val="00211B71"/>
    <w:rsid w:val="00211C15"/>
    <w:rsid w:val="00211F9D"/>
    <w:rsid w:val="0021207B"/>
    <w:rsid w:val="0021290C"/>
    <w:rsid w:val="00212AB7"/>
    <w:rsid w:val="00212C52"/>
    <w:rsid w:val="00212ED3"/>
    <w:rsid w:val="0021338C"/>
    <w:rsid w:val="002133EE"/>
    <w:rsid w:val="002134AF"/>
    <w:rsid w:val="0021390F"/>
    <w:rsid w:val="00213F5E"/>
    <w:rsid w:val="00213FF1"/>
    <w:rsid w:val="002142A8"/>
    <w:rsid w:val="0021455D"/>
    <w:rsid w:val="00214684"/>
    <w:rsid w:val="00214AD1"/>
    <w:rsid w:val="00214B3E"/>
    <w:rsid w:val="00214E0B"/>
    <w:rsid w:val="00215030"/>
    <w:rsid w:val="00215115"/>
    <w:rsid w:val="002151B6"/>
    <w:rsid w:val="002151E8"/>
    <w:rsid w:val="0021528F"/>
    <w:rsid w:val="002152C5"/>
    <w:rsid w:val="00215588"/>
    <w:rsid w:val="002158AB"/>
    <w:rsid w:val="00215928"/>
    <w:rsid w:val="00215AD2"/>
    <w:rsid w:val="00215C5A"/>
    <w:rsid w:val="00215C92"/>
    <w:rsid w:val="00215DF9"/>
    <w:rsid w:val="00215E4D"/>
    <w:rsid w:val="00215F15"/>
    <w:rsid w:val="002161E3"/>
    <w:rsid w:val="0021629F"/>
    <w:rsid w:val="00216310"/>
    <w:rsid w:val="002165B5"/>
    <w:rsid w:val="002166BC"/>
    <w:rsid w:val="00216749"/>
    <w:rsid w:val="002168C0"/>
    <w:rsid w:val="00216AF1"/>
    <w:rsid w:val="00216CDB"/>
    <w:rsid w:val="00216F1D"/>
    <w:rsid w:val="0021733A"/>
    <w:rsid w:val="00217967"/>
    <w:rsid w:val="00217D95"/>
    <w:rsid w:val="00217FA0"/>
    <w:rsid w:val="0022040E"/>
    <w:rsid w:val="0022047D"/>
    <w:rsid w:val="00220817"/>
    <w:rsid w:val="00220900"/>
    <w:rsid w:val="00220AEB"/>
    <w:rsid w:val="00220D14"/>
    <w:rsid w:val="00221075"/>
    <w:rsid w:val="00221179"/>
    <w:rsid w:val="002213F5"/>
    <w:rsid w:val="002216CE"/>
    <w:rsid w:val="002216F4"/>
    <w:rsid w:val="0022173B"/>
    <w:rsid w:val="00221A70"/>
    <w:rsid w:val="00221F9E"/>
    <w:rsid w:val="0022202C"/>
    <w:rsid w:val="00222077"/>
    <w:rsid w:val="00222439"/>
    <w:rsid w:val="00223447"/>
    <w:rsid w:val="00223546"/>
    <w:rsid w:val="002235B5"/>
    <w:rsid w:val="00223780"/>
    <w:rsid w:val="002238F3"/>
    <w:rsid w:val="002239CC"/>
    <w:rsid w:val="00223B1C"/>
    <w:rsid w:val="00223BB9"/>
    <w:rsid w:val="00223C66"/>
    <w:rsid w:val="00223C84"/>
    <w:rsid w:val="00223E6F"/>
    <w:rsid w:val="00224438"/>
    <w:rsid w:val="002247B9"/>
    <w:rsid w:val="00224C3C"/>
    <w:rsid w:val="00225946"/>
    <w:rsid w:val="00225954"/>
    <w:rsid w:val="002261DE"/>
    <w:rsid w:val="0022628E"/>
    <w:rsid w:val="0022659A"/>
    <w:rsid w:val="00226980"/>
    <w:rsid w:val="002269AA"/>
    <w:rsid w:val="00226A75"/>
    <w:rsid w:val="00226AA9"/>
    <w:rsid w:val="00226D34"/>
    <w:rsid w:val="0022714B"/>
    <w:rsid w:val="002272CB"/>
    <w:rsid w:val="002272F0"/>
    <w:rsid w:val="00227511"/>
    <w:rsid w:val="0022757B"/>
    <w:rsid w:val="002279DF"/>
    <w:rsid w:val="00227AAD"/>
    <w:rsid w:val="00227B3B"/>
    <w:rsid w:val="00227BBC"/>
    <w:rsid w:val="0023020E"/>
    <w:rsid w:val="002305E4"/>
    <w:rsid w:val="00230A44"/>
    <w:rsid w:val="00230CE8"/>
    <w:rsid w:val="00230FB5"/>
    <w:rsid w:val="002312CE"/>
    <w:rsid w:val="002313EE"/>
    <w:rsid w:val="00231607"/>
    <w:rsid w:val="00231B56"/>
    <w:rsid w:val="00231CBF"/>
    <w:rsid w:val="002320CE"/>
    <w:rsid w:val="0023272C"/>
    <w:rsid w:val="00232741"/>
    <w:rsid w:val="002328D8"/>
    <w:rsid w:val="00233801"/>
    <w:rsid w:val="00233835"/>
    <w:rsid w:val="00233912"/>
    <w:rsid w:val="00233A7F"/>
    <w:rsid w:val="00233B17"/>
    <w:rsid w:val="00233F26"/>
    <w:rsid w:val="002340E1"/>
    <w:rsid w:val="0023419D"/>
    <w:rsid w:val="00234687"/>
    <w:rsid w:val="00234D47"/>
    <w:rsid w:val="0023540E"/>
    <w:rsid w:val="002357D4"/>
    <w:rsid w:val="00235B24"/>
    <w:rsid w:val="002360A8"/>
    <w:rsid w:val="0023625D"/>
    <w:rsid w:val="002362E2"/>
    <w:rsid w:val="0023638D"/>
    <w:rsid w:val="00236A06"/>
    <w:rsid w:val="00236BCF"/>
    <w:rsid w:val="00236D07"/>
    <w:rsid w:val="00236D7F"/>
    <w:rsid w:val="0023738C"/>
    <w:rsid w:val="00237593"/>
    <w:rsid w:val="00237844"/>
    <w:rsid w:val="00237F5A"/>
    <w:rsid w:val="00240484"/>
    <w:rsid w:val="002404DD"/>
    <w:rsid w:val="00240978"/>
    <w:rsid w:val="002409EB"/>
    <w:rsid w:val="00240D32"/>
    <w:rsid w:val="00240EF9"/>
    <w:rsid w:val="002412AD"/>
    <w:rsid w:val="00241546"/>
    <w:rsid w:val="00241780"/>
    <w:rsid w:val="00241A3C"/>
    <w:rsid w:val="00241BE1"/>
    <w:rsid w:val="00241FA8"/>
    <w:rsid w:val="0024205D"/>
    <w:rsid w:val="00242160"/>
    <w:rsid w:val="002424AF"/>
    <w:rsid w:val="00242726"/>
    <w:rsid w:val="00242C8E"/>
    <w:rsid w:val="002431F8"/>
    <w:rsid w:val="002437DC"/>
    <w:rsid w:val="00243AA5"/>
    <w:rsid w:val="00243F83"/>
    <w:rsid w:val="0024405F"/>
    <w:rsid w:val="002442A2"/>
    <w:rsid w:val="0024445D"/>
    <w:rsid w:val="002448A1"/>
    <w:rsid w:val="00245396"/>
    <w:rsid w:val="0024551A"/>
    <w:rsid w:val="002458F2"/>
    <w:rsid w:val="00245BFD"/>
    <w:rsid w:val="00245EDA"/>
    <w:rsid w:val="0024605B"/>
    <w:rsid w:val="002462C5"/>
    <w:rsid w:val="002463F8"/>
    <w:rsid w:val="002465ED"/>
    <w:rsid w:val="00246623"/>
    <w:rsid w:val="0024688B"/>
    <w:rsid w:val="002468E2"/>
    <w:rsid w:val="00246938"/>
    <w:rsid w:val="00246D49"/>
    <w:rsid w:val="00246F69"/>
    <w:rsid w:val="002472F5"/>
    <w:rsid w:val="0024759F"/>
    <w:rsid w:val="002476FA"/>
    <w:rsid w:val="00247945"/>
    <w:rsid w:val="002479E1"/>
    <w:rsid w:val="00247F24"/>
    <w:rsid w:val="0025006E"/>
    <w:rsid w:val="0025028E"/>
    <w:rsid w:val="002502DD"/>
    <w:rsid w:val="0025059F"/>
    <w:rsid w:val="00250AB0"/>
    <w:rsid w:val="0025100E"/>
    <w:rsid w:val="002510B6"/>
    <w:rsid w:val="00251239"/>
    <w:rsid w:val="002514AB"/>
    <w:rsid w:val="00251A80"/>
    <w:rsid w:val="00251B06"/>
    <w:rsid w:val="00251CF3"/>
    <w:rsid w:val="00252139"/>
    <w:rsid w:val="002521FE"/>
    <w:rsid w:val="00252655"/>
    <w:rsid w:val="002526C4"/>
    <w:rsid w:val="002529AD"/>
    <w:rsid w:val="00252C67"/>
    <w:rsid w:val="00252D26"/>
    <w:rsid w:val="00252FD5"/>
    <w:rsid w:val="002533D7"/>
    <w:rsid w:val="00253A2D"/>
    <w:rsid w:val="00253CEC"/>
    <w:rsid w:val="00253DE6"/>
    <w:rsid w:val="00254122"/>
    <w:rsid w:val="00254379"/>
    <w:rsid w:val="00254440"/>
    <w:rsid w:val="002544C7"/>
    <w:rsid w:val="002545C4"/>
    <w:rsid w:val="002545E9"/>
    <w:rsid w:val="00254B5B"/>
    <w:rsid w:val="00254B7D"/>
    <w:rsid w:val="00254C89"/>
    <w:rsid w:val="00254E2D"/>
    <w:rsid w:val="00255145"/>
    <w:rsid w:val="0025524C"/>
    <w:rsid w:val="002555F5"/>
    <w:rsid w:val="0025560E"/>
    <w:rsid w:val="00255979"/>
    <w:rsid w:val="002559FB"/>
    <w:rsid w:val="00255B4B"/>
    <w:rsid w:val="002560DB"/>
    <w:rsid w:val="002564E1"/>
    <w:rsid w:val="00256890"/>
    <w:rsid w:val="00256D04"/>
    <w:rsid w:val="00256D07"/>
    <w:rsid w:val="00256D33"/>
    <w:rsid w:val="0025726C"/>
    <w:rsid w:val="00257468"/>
    <w:rsid w:val="00257667"/>
    <w:rsid w:val="00257A1F"/>
    <w:rsid w:val="00257AEE"/>
    <w:rsid w:val="0026008B"/>
    <w:rsid w:val="0026025C"/>
    <w:rsid w:val="00260533"/>
    <w:rsid w:val="00260ABB"/>
    <w:rsid w:val="00260E8C"/>
    <w:rsid w:val="00261488"/>
    <w:rsid w:val="00261618"/>
    <w:rsid w:val="00261846"/>
    <w:rsid w:val="002619F2"/>
    <w:rsid w:val="00261D9F"/>
    <w:rsid w:val="00261F55"/>
    <w:rsid w:val="002624D8"/>
    <w:rsid w:val="002628BB"/>
    <w:rsid w:val="00262AB0"/>
    <w:rsid w:val="00262B82"/>
    <w:rsid w:val="00262D57"/>
    <w:rsid w:val="00262DFE"/>
    <w:rsid w:val="0026332F"/>
    <w:rsid w:val="00263675"/>
    <w:rsid w:val="00263D6E"/>
    <w:rsid w:val="0026404E"/>
    <w:rsid w:val="002643D0"/>
    <w:rsid w:val="002644C6"/>
    <w:rsid w:val="002645D8"/>
    <w:rsid w:val="00264BD1"/>
    <w:rsid w:val="002651CA"/>
    <w:rsid w:val="00265467"/>
    <w:rsid w:val="0026623B"/>
    <w:rsid w:val="002662CB"/>
    <w:rsid w:val="002662F5"/>
    <w:rsid w:val="002663B0"/>
    <w:rsid w:val="0026659F"/>
    <w:rsid w:val="00266A39"/>
    <w:rsid w:val="00266C39"/>
    <w:rsid w:val="00266EB1"/>
    <w:rsid w:val="00266F73"/>
    <w:rsid w:val="0026713B"/>
    <w:rsid w:val="00267455"/>
    <w:rsid w:val="002679B7"/>
    <w:rsid w:val="002679BF"/>
    <w:rsid w:val="00267BF9"/>
    <w:rsid w:val="00267C61"/>
    <w:rsid w:val="002700C1"/>
    <w:rsid w:val="00270208"/>
    <w:rsid w:val="002707A3"/>
    <w:rsid w:val="00270842"/>
    <w:rsid w:val="00270B1D"/>
    <w:rsid w:val="00270F5F"/>
    <w:rsid w:val="0027168A"/>
    <w:rsid w:val="0027168C"/>
    <w:rsid w:val="002716A5"/>
    <w:rsid w:val="00271C83"/>
    <w:rsid w:val="002721B6"/>
    <w:rsid w:val="002721FB"/>
    <w:rsid w:val="0027245C"/>
    <w:rsid w:val="0027245E"/>
    <w:rsid w:val="002727B1"/>
    <w:rsid w:val="00272B66"/>
    <w:rsid w:val="0027339D"/>
    <w:rsid w:val="002733A4"/>
    <w:rsid w:val="002734E2"/>
    <w:rsid w:val="00273584"/>
    <w:rsid w:val="00273731"/>
    <w:rsid w:val="0027388C"/>
    <w:rsid w:val="00273E53"/>
    <w:rsid w:val="00273FF7"/>
    <w:rsid w:val="0027459A"/>
    <w:rsid w:val="00274EE0"/>
    <w:rsid w:val="002753A7"/>
    <w:rsid w:val="00275865"/>
    <w:rsid w:val="00275A5A"/>
    <w:rsid w:val="00275C7D"/>
    <w:rsid w:val="00275D99"/>
    <w:rsid w:val="00276039"/>
    <w:rsid w:val="00276409"/>
    <w:rsid w:val="00276504"/>
    <w:rsid w:val="0027657C"/>
    <w:rsid w:val="00276627"/>
    <w:rsid w:val="0027678E"/>
    <w:rsid w:val="0027687F"/>
    <w:rsid w:val="00276A22"/>
    <w:rsid w:val="00276A61"/>
    <w:rsid w:val="00276BF4"/>
    <w:rsid w:val="00276F51"/>
    <w:rsid w:val="002774AB"/>
    <w:rsid w:val="00277866"/>
    <w:rsid w:val="00277951"/>
    <w:rsid w:val="00277B6D"/>
    <w:rsid w:val="00277B90"/>
    <w:rsid w:val="00277D4D"/>
    <w:rsid w:val="002802CF"/>
    <w:rsid w:val="00280328"/>
    <w:rsid w:val="0028085D"/>
    <w:rsid w:val="00280C3C"/>
    <w:rsid w:val="00280F53"/>
    <w:rsid w:val="00281364"/>
    <w:rsid w:val="00281693"/>
    <w:rsid w:val="002817A6"/>
    <w:rsid w:val="00281F06"/>
    <w:rsid w:val="00281FAC"/>
    <w:rsid w:val="00282044"/>
    <w:rsid w:val="0028247A"/>
    <w:rsid w:val="00282DD5"/>
    <w:rsid w:val="00282E8C"/>
    <w:rsid w:val="00282FB9"/>
    <w:rsid w:val="00283304"/>
    <w:rsid w:val="0028360E"/>
    <w:rsid w:val="00283A5D"/>
    <w:rsid w:val="00283DD3"/>
    <w:rsid w:val="00283E04"/>
    <w:rsid w:val="00284239"/>
    <w:rsid w:val="002842C5"/>
    <w:rsid w:val="00284345"/>
    <w:rsid w:val="002845A1"/>
    <w:rsid w:val="002846D0"/>
    <w:rsid w:val="00284F68"/>
    <w:rsid w:val="0028565A"/>
    <w:rsid w:val="002856C2"/>
    <w:rsid w:val="0028582D"/>
    <w:rsid w:val="00285F87"/>
    <w:rsid w:val="00286698"/>
    <w:rsid w:val="002869EF"/>
    <w:rsid w:val="00286AE9"/>
    <w:rsid w:val="00286C77"/>
    <w:rsid w:val="00286DF8"/>
    <w:rsid w:val="00287137"/>
    <w:rsid w:val="00287159"/>
    <w:rsid w:val="00287388"/>
    <w:rsid w:val="00287663"/>
    <w:rsid w:val="00287B07"/>
    <w:rsid w:val="0029011D"/>
    <w:rsid w:val="002902F0"/>
    <w:rsid w:val="002903F4"/>
    <w:rsid w:val="0029042C"/>
    <w:rsid w:val="002904B7"/>
    <w:rsid w:val="002905B9"/>
    <w:rsid w:val="00290B35"/>
    <w:rsid w:val="00290CA3"/>
    <w:rsid w:val="00290DF2"/>
    <w:rsid w:val="00291475"/>
    <w:rsid w:val="0029276E"/>
    <w:rsid w:val="002929CC"/>
    <w:rsid w:val="00292A7F"/>
    <w:rsid w:val="00292B71"/>
    <w:rsid w:val="00293040"/>
    <w:rsid w:val="00293439"/>
    <w:rsid w:val="00293470"/>
    <w:rsid w:val="00293563"/>
    <w:rsid w:val="002935B5"/>
    <w:rsid w:val="00293681"/>
    <w:rsid w:val="002937B9"/>
    <w:rsid w:val="00293B02"/>
    <w:rsid w:val="00293C48"/>
    <w:rsid w:val="00293EFF"/>
    <w:rsid w:val="00294016"/>
    <w:rsid w:val="0029454F"/>
    <w:rsid w:val="00294585"/>
    <w:rsid w:val="002947A6"/>
    <w:rsid w:val="002947FB"/>
    <w:rsid w:val="00294B21"/>
    <w:rsid w:val="00294B7E"/>
    <w:rsid w:val="00294BF0"/>
    <w:rsid w:val="002951E2"/>
    <w:rsid w:val="00295823"/>
    <w:rsid w:val="00295B0D"/>
    <w:rsid w:val="00295BC0"/>
    <w:rsid w:val="00295C91"/>
    <w:rsid w:val="00295ED3"/>
    <w:rsid w:val="00296262"/>
    <w:rsid w:val="002962AA"/>
    <w:rsid w:val="00296301"/>
    <w:rsid w:val="0029635C"/>
    <w:rsid w:val="002969EB"/>
    <w:rsid w:val="00296D20"/>
    <w:rsid w:val="00297266"/>
    <w:rsid w:val="002972B5"/>
    <w:rsid w:val="002A00E4"/>
    <w:rsid w:val="002A0229"/>
    <w:rsid w:val="002A05E2"/>
    <w:rsid w:val="002A07B0"/>
    <w:rsid w:val="002A0FD7"/>
    <w:rsid w:val="002A12F1"/>
    <w:rsid w:val="002A1457"/>
    <w:rsid w:val="002A1509"/>
    <w:rsid w:val="002A1993"/>
    <w:rsid w:val="002A2284"/>
    <w:rsid w:val="002A25A4"/>
    <w:rsid w:val="002A26FD"/>
    <w:rsid w:val="002A2808"/>
    <w:rsid w:val="002A28A4"/>
    <w:rsid w:val="002A28DE"/>
    <w:rsid w:val="002A2B16"/>
    <w:rsid w:val="002A2ECC"/>
    <w:rsid w:val="002A2FB3"/>
    <w:rsid w:val="002A3097"/>
    <w:rsid w:val="002A33DB"/>
    <w:rsid w:val="002A35DC"/>
    <w:rsid w:val="002A37FE"/>
    <w:rsid w:val="002A3B2A"/>
    <w:rsid w:val="002A3D5D"/>
    <w:rsid w:val="002A3E7A"/>
    <w:rsid w:val="002A3F3C"/>
    <w:rsid w:val="002A45C0"/>
    <w:rsid w:val="002A475E"/>
    <w:rsid w:val="002A4933"/>
    <w:rsid w:val="002A4E9F"/>
    <w:rsid w:val="002A4F27"/>
    <w:rsid w:val="002A4FF9"/>
    <w:rsid w:val="002A5271"/>
    <w:rsid w:val="002A538C"/>
    <w:rsid w:val="002A58B8"/>
    <w:rsid w:val="002A5991"/>
    <w:rsid w:val="002A599E"/>
    <w:rsid w:val="002A5EAD"/>
    <w:rsid w:val="002A63A7"/>
    <w:rsid w:val="002A64F9"/>
    <w:rsid w:val="002A6552"/>
    <w:rsid w:val="002A65C5"/>
    <w:rsid w:val="002A6DD0"/>
    <w:rsid w:val="002A6EED"/>
    <w:rsid w:val="002A7589"/>
    <w:rsid w:val="002A76CC"/>
    <w:rsid w:val="002A78C7"/>
    <w:rsid w:val="002A7BDA"/>
    <w:rsid w:val="002A7EE2"/>
    <w:rsid w:val="002B036B"/>
    <w:rsid w:val="002B04B6"/>
    <w:rsid w:val="002B0535"/>
    <w:rsid w:val="002B0982"/>
    <w:rsid w:val="002B0A5F"/>
    <w:rsid w:val="002B0E82"/>
    <w:rsid w:val="002B0E8E"/>
    <w:rsid w:val="002B11A1"/>
    <w:rsid w:val="002B11CF"/>
    <w:rsid w:val="002B1219"/>
    <w:rsid w:val="002B13DA"/>
    <w:rsid w:val="002B173B"/>
    <w:rsid w:val="002B175F"/>
    <w:rsid w:val="002B17A3"/>
    <w:rsid w:val="002B17CE"/>
    <w:rsid w:val="002B19EA"/>
    <w:rsid w:val="002B1A42"/>
    <w:rsid w:val="002B1B80"/>
    <w:rsid w:val="002B1C90"/>
    <w:rsid w:val="002B206B"/>
    <w:rsid w:val="002B23EB"/>
    <w:rsid w:val="002B258F"/>
    <w:rsid w:val="002B25CD"/>
    <w:rsid w:val="002B29F2"/>
    <w:rsid w:val="002B2B91"/>
    <w:rsid w:val="002B2C0C"/>
    <w:rsid w:val="002B34BA"/>
    <w:rsid w:val="002B358A"/>
    <w:rsid w:val="002B374F"/>
    <w:rsid w:val="002B3929"/>
    <w:rsid w:val="002B3A99"/>
    <w:rsid w:val="002B3CBD"/>
    <w:rsid w:val="002B40CC"/>
    <w:rsid w:val="002B43DB"/>
    <w:rsid w:val="002B4B23"/>
    <w:rsid w:val="002B51C6"/>
    <w:rsid w:val="002B5F79"/>
    <w:rsid w:val="002B60A8"/>
    <w:rsid w:val="002B668D"/>
    <w:rsid w:val="002B6806"/>
    <w:rsid w:val="002B6A63"/>
    <w:rsid w:val="002B6DC1"/>
    <w:rsid w:val="002B6EAA"/>
    <w:rsid w:val="002B6F7A"/>
    <w:rsid w:val="002B71CD"/>
    <w:rsid w:val="002B72E0"/>
    <w:rsid w:val="002B72F1"/>
    <w:rsid w:val="002B73B6"/>
    <w:rsid w:val="002B76AB"/>
    <w:rsid w:val="002B7822"/>
    <w:rsid w:val="002B79C7"/>
    <w:rsid w:val="002B7C37"/>
    <w:rsid w:val="002B7DE8"/>
    <w:rsid w:val="002C0F1B"/>
    <w:rsid w:val="002C10BE"/>
    <w:rsid w:val="002C10C4"/>
    <w:rsid w:val="002C1507"/>
    <w:rsid w:val="002C164A"/>
    <w:rsid w:val="002C1D82"/>
    <w:rsid w:val="002C23B4"/>
    <w:rsid w:val="002C2448"/>
    <w:rsid w:val="002C2698"/>
    <w:rsid w:val="002C272C"/>
    <w:rsid w:val="002C2977"/>
    <w:rsid w:val="002C2B15"/>
    <w:rsid w:val="002C3276"/>
    <w:rsid w:val="002C3282"/>
    <w:rsid w:val="002C362C"/>
    <w:rsid w:val="002C36BD"/>
    <w:rsid w:val="002C3959"/>
    <w:rsid w:val="002C3C3C"/>
    <w:rsid w:val="002C3CA5"/>
    <w:rsid w:val="002C3EA2"/>
    <w:rsid w:val="002C3EF6"/>
    <w:rsid w:val="002C40A9"/>
    <w:rsid w:val="002C428F"/>
    <w:rsid w:val="002C45C0"/>
    <w:rsid w:val="002C4957"/>
    <w:rsid w:val="002C49BD"/>
    <w:rsid w:val="002C49F9"/>
    <w:rsid w:val="002C4AAC"/>
    <w:rsid w:val="002C4D87"/>
    <w:rsid w:val="002C4FA4"/>
    <w:rsid w:val="002C52D7"/>
    <w:rsid w:val="002C598D"/>
    <w:rsid w:val="002C5B84"/>
    <w:rsid w:val="002C6362"/>
    <w:rsid w:val="002C6945"/>
    <w:rsid w:val="002C6B4D"/>
    <w:rsid w:val="002C7134"/>
    <w:rsid w:val="002C71CA"/>
    <w:rsid w:val="002C72E6"/>
    <w:rsid w:val="002C77DD"/>
    <w:rsid w:val="002C78D5"/>
    <w:rsid w:val="002C7CB8"/>
    <w:rsid w:val="002C7FF3"/>
    <w:rsid w:val="002D0382"/>
    <w:rsid w:val="002D04C1"/>
    <w:rsid w:val="002D04DF"/>
    <w:rsid w:val="002D0FDE"/>
    <w:rsid w:val="002D132C"/>
    <w:rsid w:val="002D1656"/>
    <w:rsid w:val="002D18AC"/>
    <w:rsid w:val="002D1950"/>
    <w:rsid w:val="002D1A0F"/>
    <w:rsid w:val="002D1A1A"/>
    <w:rsid w:val="002D1DA9"/>
    <w:rsid w:val="002D1DEB"/>
    <w:rsid w:val="002D1F2A"/>
    <w:rsid w:val="002D1F86"/>
    <w:rsid w:val="002D208B"/>
    <w:rsid w:val="002D2328"/>
    <w:rsid w:val="002D2404"/>
    <w:rsid w:val="002D262A"/>
    <w:rsid w:val="002D2665"/>
    <w:rsid w:val="002D28EC"/>
    <w:rsid w:val="002D2A92"/>
    <w:rsid w:val="002D2C8C"/>
    <w:rsid w:val="002D3149"/>
    <w:rsid w:val="002D31A0"/>
    <w:rsid w:val="002D3238"/>
    <w:rsid w:val="002D35CF"/>
    <w:rsid w:val="002D38C1"/>
    <w:rsid w:val="002D39CC"/>
    <w:rsid w:val="002D3A32"/>
    <w:rsid w:val="002D3ABA"/>
    <w:rsid w:val="002D3B1E"/>
    <w:rsid w:val="002D3E22"/>
    <w:rsid w:val="002D3F0D"/>
    <w:rsid w:val="002D3FAE"/>
    <w:rsid w:val="002D423E"/>
    <w:rsid w:val="002D42B1"/>
    <w:rsid w:val="002D43E0"/>
    <w:rsid w:val="002D4684"/>
    <w:rsid w:val="002D4851"/>
    <w:rsid w:val="002D4BC6"/>
    <w:rsid w:val="002D50E8"/>
    <w:rsid w:val="002D55EA"/>
    <w:rsid w:val="002D5907"/>
    <w:rsid w:val="002D5B46"/>
    <w:rsid w:val="002D5B69"/>
    <w:rsid w:val="002D5B8C"/>
    <w:rsid w:val="002D5C5C"/>
    <w:rsid w:val="002D5CEF"/>
    <w:rsid w:val="002D5FD7"/>
    <w:rsid w:val="002D62F2"/>
    <w:rsid w:val="002D669A"/>
    <w:rsid w:val="002D6763"/>
    <w:rsid w:val="002D6985"/>
    <w:rsid w:val="002D6990"/>
    <w:rsid w:val="002D69F1"/>
    <w:rsid w:val="002D6BEA"/>
    <w:rsid w:val="002D6E12"/>
    <w:rsid w:val="002D6F7B"/>
    <w:rsid w:val="002D715E"/>
    <w:rsid w:val="002D720C"/>
    <w:rsid w:val="002D7861"/>
    <w:rsid w:val="002D7B90"/>
    <w:rsid w:val="002D7B94"/>
    <w:rsid w:val="002D7F48"/>
    <w:rsid w:val="002D7FC2"/>
    <w:rsid w:val="002E06F1"/>
    <w:rsid w:val="002E08B1"/>
    <w:rsid w:val="002E094F"/>
    <w:rsid w:val="002E12E8"/>
    <w:rsid w:val="002E1656"/>
    <w:rsid w:val="002E1A6E"/>
    <w:rsid w:val="002E2113"/>
    <w:rsid w:val="002E2142"/>
    <w:rsid w:val="002E226E"/>
    <w:rsid w:val="002E22E1"/>
    <w:rsid w:val="002E292E"/>
    <w:rsid w:val="002E3090"/>
    <w:rsid w:val="002E328F"/>
    <w:rsid w:val="002E34D3"/>
    <w:rsid w:val="002E3693"/>
    <w:rsid w:val="002E38AA"/>
    <w:rsid w:val="002E399D"/>
    <w:rsid w:val="002E3E35"/>
    <w:rsid w:val="002E41CF"/>
    <w:rsid w:val="002E42B6"/>
    <w:rsid w:val="002E4415"/>
    <w:rsid w:val="002E49BB"/>
    <w:rsid w:val="002E4D68"/>
    <w:rsid w:val="002E4E43"/>
    <w:rsid w:val="002E4F46"/>
    <w:rsid w:val="002E50FC"/>
    <w:rsid w:val="002E5516"/>
    <w:rsid w:val="002E561C"/>
    <w:rsid w:val="002E5673"/>
    <w:rsid w:val="002E5BB2"/>
    <w:rsid w:val="002E5FA8"/>
    <w:rsid w:val="002E6129"/>
    <w:rsid w:val="002E69F0"/>
    <w:rsid w:val="002E6CA4"/>
    <w:rsid w:val="002E710C"/>
    <w:rsid w:val="002E71C0"/>
    <w:rsid w:val="002E7702"/>
    <w:rsid w:val="002E77C5"/>
    <w:rsid w:val="002E7A2E"/>
    <w:rsid w:val="002E7AF2"/>
    <w:rsid w:val="002E7BD4"/>
    <w:rsid w:val="002E7CD9"/>
    <w:rsid w:val="002E7DBB"/>
    <w:rsid w:val="002E7F51"/>
    <w:rsid w:val="002E7F69"/>
    <w:rsid w:val="002F01F8"/>
    <w:rsid w:val="002F02CF"/>
    <w:rsid w:val="002F0451"/>
    <w:rsid w:val="002F0576"/>
    <w:rsid w:val="002F09E1"/>
    <w:rsid w:val="002F0A2A"/>
    <w:rsid w:val="002F0BFD"/>
    <w:rsid w:val="002F11EC"/>
    <w:rsid w:val="002F136D"/>
    <w:rsid w:val="002F1480"/>
    <w:rsid w:val="002F16A5"/>
    <w:rsid w:val="002F17E1"/>
    <w:rsid w:val="002F1CC4"/>
    <w:rsid w:val="002F1F5F"/>
    <w:rsid w:val="002F2035"/>
    <w:rsid w:val="002F2314"/>
    <w:rsid w:val="002F2418"/>
    <w:rsid w:val="002F297B"/>
    <w:rsid w:val="002F374B"/>
    <w:rsid w:val="002F37A4"/>
    <w:rsid w:val="002F3FA5"/>
    <w:rsid w:val="002F429C"/>
    <w:rsid w:val="002F4499"/>
    <w:rsid w:val="002F44FC"/>
    <w:rsid w:val="002F455C"/>
    <w:rsid w:val="002F4763"/>
    <w:rsid w:val="002F4991"/>
    <w:rsid w:val="002F49EF"/>
    <w:rsid w:val="002F4CA8"/>
    <w:rsid w:val="002F4DD4"/>
    <w:rsid w:val="002F4E02"/>
    <w:rsid w:val="002F4EDB"/>
    <w:rsid w:val="002F5C88"/>
    <w:rsid w:val="002F5E43"/>
    <w:rsid w:val="002F5E4F"/>
    <w:rsid w:val="002F5EE7"/>
    <w:rsid w:val="002F5F56"/>
    <w:rsid w:val="002F61E1"/>
    <w:rsid w:val="002F64FA"/>
    <w:rsid w:val="002F6E35"/>
    <w:rsid w:val="002F788C"/>
    <w:rsid w:val="002F799E"/>
    <w:rsid w:val="002F7A71"/>
    <w:rsid w:val="002F7EEB"/>
    <w:rsid w:val="003002F6"/>
    <w:rsid w:val="0030038A"/>
    <w:rsid w:val="003003C2"/>
    <w:rsid w:val="00300C9F"/>
    <w:rsid w:val="0030109B"/>
    <w:rsid w:val="00301183"/>
    <w:rsid w:val="003011F1"/>
    <w:rsid w:val="003013E4"/>
    <w:rsid w:val="00301684"/>
    <w:rsid w:val="00301D27"/>
    <w:rsid w:val="00301D4C"/>
    <w:rsid w:val="00302151"/>
    <w:rsid w:val="0030223B"/>
    <w:rsid w:val="0030242C"/>
    <w:rsid w:val="003026A8"/>
    <w:rsid w:val="00302890"/>
    <w:rsid w:val="00302CA2"/>
    <w:rsid w:val="00302FEB"/>
    <w:rsid w:val="003031AC"/>
    <w:rsid w:val="00303727"/>
    <w:rsid w:val="003039DC"/>
    <w:rsid w:val="00303ACD"/>
    <w:rsid w:val="00303E85"/>
    <w:rsid w:val="003041E6"/>
    <w:rsid w:val="003045F4"/>
    <w:rsid w:val="00305046"/>
    <w:rsid w:val="0030508F"/>
    <w:rsid w:val="00305AF2"/>
    <w:rsid w:val="00306177"/>
    <w:rsid w:val="003069E4"/>
    <w:rsid w:val="00306B28"/>
    <w:rsid w:val="00306BA1"/>
    <w:rsid w:val="00306F1E"/>
    <w:rsid w:val="00307059"/>
    <w:rsid w:val="00307443"/>
    <w:rsid w:val="0030754E"/>
    <w:rsid w:val="00307676"/>
    <w:rsid w:val="00307A0D"/>
    <w:rsid w:val="00307B1F"/>
    <w:rsid w:val="00307DCE"/>
    <w:rsid w:val="00307DFE"/>
    <w:rsid w:val="00310008"/>
    <w:rsid w:val="003104C1"/>
    <w:rsid w:val="0031051F"/>
    <w:rsid w:val="003105CB"/>
    <w:rsid w:val="003106D4"/>
    <w:rsid w:val="003107BE"/>
    <w:rsid w:val="003108D6"/>
    <w:rsid w:val="00310CBE"/>
    <w:rsid w:val="00310E4E"/>
    <w:rsid w:val="003115D7"/>
    <w:rsid w:val="003117AD"/>
    <w:rsid w:val="003119BB"/>
    <w:rsid w:val="00312A4E"/>
    <w:rsid w:val="00312AF1"/>
    <w:rsid w:val="00313311"/>
    <w:rsid w:val="003136E3"/>
    <w:rsid w:val="00313A55"/>
    <w:rsid w:val="00313C37"/>
    <w:rsid w:val="00313F9C"/>
    <w:rsid w:val="00314477"/>
    <w:rsid w:val="003149FF"/>
    <w:rsid w:val="00314A13"/>
    <w:rsid w:val="00315DEC"/>
    <w:rsid w:val="003162DF"/>
    <w:rsid w:val="003163FC"/>
    <w:rsid w:val="0031657A"/>
    <w:rsid w:val="00316B58"/>
    <w:rsid w:val="00316D00"/>
    <w:rsid w:val="0031726E"/>
    <w:rsid w:val="0031740A"/>
    <w:rsid w:val="003175E8"/>
    <w:rsid w:val="00317622"/>
    <w:rsid w:val="0031765C"/>
    <w:rsid w:val="00317AAF"/>
    <w:rsid w:val="00317B06"/>
    <w:rsid w:val="00317E54"/>
    <w:rsid w:val="00317FDB"/>
    <w:rsid w:val="0032062A"/>
    <w:rsid w:val="00320812"/>
    <w:rsid w:val="00320918"/>
    <w:rsid w:val="00320F78"/>
    <w:rsid w:val="0032107C"/>
    <w:rsid w:val="003216FD"/>
    <w:rsid w:val="00321E9B"/>
    <w:rsid w:val="00321EE5"/>
    <w:rsid w:val="00321EF9"/>
    <w:rsid w:val="00323C97"/>
    <w:rsid w:val="00323E30"/>
    <w:rsid w:val="00323EBE"/>
    <w:rsid w:val="00324014"/>
    <w:rsid w:val="00324218"/>
    <w:rsid w:val="003246EB"/>
    <w:rsid w:val="00324865"/>
    <w:rsid w:val="00324A04"/>
    <w:rsid w:val="00324D13"/>
    <w:rsid w:val="00324E06"/>
    <w:rsid w:val="00325086"/>
    <w:rsid w:val="003250C6"/>
    <w:rsid w:val="003250D8"/>
    <w:rsid w:val="00325403"/>
    <w:rsid w:val="00325834"/>
    <w:rsid w:val="003258AD"/>
    <w:rsid w:val="00325CB3"/>
    <w:rsid w:val="00325FBC"/>
    <w:rsid w:val="00325FF2"/>
    <w:rsid w:val="0032619B"/>
    <w:rsid w:val="003261BA"/>
    <w:rsid w:val="00326253"/>
    <w:rsid w:val="003265D3"/>
    <w:rsid w:val="003266EC"/>
    <w:rsid w:val="003267AC"/>
    <w:rsid w:val="00326958"/>
    <w:rsid w:val="00326B28"/>
    <w:rsid w:val="00326B3E"/>
    <w:rsid w:val="00326BE7"/>
    <w:rsid w:val="00326C99"/>
    <w:rsid w:val="003276A2"/>
    <w:rsid w:val="00327A08"/>
    <w:rsid w:val="00327D13"/>
    <w:rsid w:val="0033005C"/>
    <w:rsid w:val="0033012A"/>
    <w:rsid w:val="00330153"/>
    <w:rsid w:val="0033024E"/>
    <w:rsid w:val="00330262"/>
    <w:rsid w:val="003308C3"/>
    <w:rsid w:val="003308D1"/>
    <w:rsid w:val="003309E5"/>
    <w:rsid w:val="00331111"/>
    <w:rsid w:val="00331240"/>
    <w:rsid w:val="0033127C"/>
    <w:rsid w:val="00331ADC"/>
    <w:rsid w:val="00331E15"/>
    <w:rsid w:val="00331FDB"/>
    <w:rsid w:val="003321EF"/>
    <w:rsid w:val="00332312"/>
    <w:rsid w:val="003325D1"/>
    <w:rsid w:val="0033274A"/>
    <w:rsid w:val="00332915"/>
    <w:rsid w:val="00332DA6"/>
    <w:rsid w:val="003331EB"/>
    <w:rsid w:val="00333704"/>
    <w:rsid w:val="003338C8"/>
    <w:rsid w:val="00333BB2"/>
    <w:rsid w:val="00333C85"/>
    <w:rsid w:val="003340B5"/>
    <w:rsid w:val="003341B6"/>
    <w:rsid w:val="00334414"/>
    <w:rsid w:val="003344DA"/>
    <w:rsid w:val="00334A42"/>
    <w:rsid w:val="003357AD"/>
    <w:rsid w:val="00335F31"/>
    <w:rsid w:val="003361CB"/>
    <w:rsid w:val="00336449"/>
    <w:rsid w:val="00336870"/>
    <w:rsid w:val="0033701D"/>
    <w:rsid w:val="00337082"/>
    <w:rsid w:val="0033713E"/>
    <w:rsid w:val="00337547"/>
    <w:rsid w:val="00337683"/>
    <w:rsid w:val="003378DA"/>
    <w:rsid w:val="00337955"/>
    <w:rsid w:val="00337B84"/>
    <w:rsid w:val="00337BD1"/>
    <w:rsid w:val="00337E5E"/>
    <w:rsid w:val="00340617"/>
    <w:rsid w:val="00340707"/>
    <w:rsid w:val="003409AF"/>
    <w:rsid w:val="00340CF0"/>
    <w:rsid w:val="00340F51"/>
    <w:rsid w:val="00341322"/>
    <w:rsid w:val="003414E7"/>
    <w:rsid w:val="00341682"/>
    <w:rsid w:val="00341D09"/>
    <w:rsid w:val="00341F39"/>
    <w:rsid w:val="00342204"/>
    <w:rsid w:val="003426BF"/>
    <w:rsid w:val="00342F46"/>
    <w:rsid w:val="00343496"/>
    <w:rsid w:val="00343A04"/>
    <w:rsid w:val="00343A8A"/>
    <w:rsid w:val="00343ED3"/>
    <w:rsid w:val="003441C0"/>
    <w:rsid w:val="00344496"/>
    <w:rsid w:val="00344926"/>
    <w:rsid w:val="00344AA3"/>
    <w:rsid w:val="00344CE8"/>
    <w:rsid w:val="00345082"/>
    <w:rsid w:val="00345192"/>
    <w:rsid w:val="003451C0"/>
    <w:rsid w:val="0034525A"/>
    <w:rsid w:val="0034539D"/>
    <w:rsid w:val="00345556"/>
    <w:rsid w:val="0034568B"/>
    <w:rsid w:val="00346176"/>
    <w:rsid w:val="00346226"/>
    <w:rsid w:val="00346BE8"/>
    <w:rsid w:val="00346BF3"/>
    <w:rsid w:val="00346E5F"/>
    <w:rsid w:val="00347491"/>
    <w:rsid w:val="00347A96"/>
    <w:rsid w:val="00347C3A"/>
    <w:rsid w:val="0035035B"/>
    <w:rsid w:val="003503FA"/>
    <w:rsid w:val="003503FF"/>
    <w:rsid w:val="003504BE"/>
    <w:rsid w:val="00350756"/>
    <w:rsid w:val="0035075E"/>
    <w:rsid w:val="00350B5A"/>
    <w:rsid w:val="00350B6A"/>
    <w:rsid w:val="00350B7F"/>
    <w:rsid w:val="00350CB9"/>
    <w:rsid w:val="00350CD7"/>
    <w:rsid w:val="00350D33"/>
    <w:rsid w:val="00351011"/>
    <w:rsid w:val="0035113F"/>
    <w:rsid w:val="00351421"/>
    <w:rsid w:val="00351D09"/>
    <w:rsid w:val="00351ED0"/>
    <w:rsid w:val="00351F44"/>
    <w:rsid w:val="00352305"/>
    <w:rsid w:val="00352441"/>
    <w:rsid w:val="003524DA"/>
    <w:rsid w:val="00352609"/>
    <w:rsid w:val="00352776"/>
    <w:rsid w:val="00352FCF"/>
    <w:rsid w:val="003530FF"/>
    <w:rsid w:val="00353140"/>
    <w:rsid w:val="003533EB"/>
    <w:rsid w:val="00353647"/>
    <w:rsid w:val="00353B0F"/>
    <w:rsid w:val="00353B28"/>
    <w:rsid w:val="00353F72"/>
    <w:rsid w:val="00353FF8"/>
    <w:rsid w:val="003542B2"/>
    <w:rsid w:val="0035433A"/>
    <w:rsid w:val="0035526C"/>
    <w:rsid w:val="003564CC"/>
    <w:rsid w:val="00356831"/>
    <w:rsid w:val="00356C31"/>
    <w:rsid w:val="00356ED0"/>
    <w:rsid w:val="0035705D"/>
    <w:rsid w:val="0035709B"/>
    <w:rsid w:val="00357127"/>
    <w:rsid w:val="003571E1"/>
    <w:rsid w:val="003571E2"/>
    <w:rsid w:val="00357364"/>
    <w:rsid w:val="0035783F"/>
    <w:rsid w:val="00357B5C"/>
    <w:rsid w:val="00357C3B"/>
    <w:rsid w:val="00357F00"/>
    <w:rsid w:val="00357FE8"/>
    <w:rsid w:val="00360008"/>
    <w:rsid w:val="00360138"/>
    <w:rsid w:val="00360400"/>
    <w:rsid w:val="00360ADE"/>
    <w:rsid w:val="00360CB6"/>
    <w:rsid w:val="00360D25"/>
    <w:rsid w:val="00361206"/>
    <w:rsid w:val="00361216"/>
    <w:rsid w:val="003614EB"/>
    <w:rsid w:val="003615F8"/>
    <w:rsid w:val="0036194F"/>
    <w:rsid w:val="00361B0A"/>
    <w:rsid w:val="00361C94"/>
    <w:rsid w:val="00362113"/>
    <w:rsid w:val="003626B3"/>
    <w:rsid w:val="0036280F"/>
    <w:rsid w:val="00362C5B"/>
    <w:rsid w:val="003632A0"/>
    <w:rsid w:val="00363410"/>
    <w:rsid w:val="00363A19"/>
    <w:rsid w:val="00363A7C"/>
    <w:rsid w:val="00363B07"/>
    <w:rsid w:val="00363C37"/>
    <w:rsid w:val="00363DAA"/>
    <w:rsid w:val="00363E33"/>
    <w:rsid w:val="00363ED3"/>
    <w:rsid w:val="00363F42"/>
    <w:rsid w:val="003641CA"/>
    <w:rsid w:val="00364658"/>
    <w:rsid w:val="00364814"/>
    <w:rsid w:val="0036487A"/>
    <w:rsid w:val="00364A93"/>
    <w:rsid w:val="00364B7B"/>
    <w:rsid w:val="00364CD4"/>
    <w:rsid w:val="00364D85"/>
    <w:rsid w:val="00364F66"/>
    <w:rsid w:val="003650B5"/>
    <w:rsid w:val="003650D1"/>
    <w:rsid w:val="00365145"/>
    <w:rsid w:val="0036519F"/>
    <w:rsid w:val="0036527A"/>
    <w:rsid w:val="00365453"/>
    <w:rsid w:val="00365637"/>
    <w:rsid w:val="003656C4"/>
    <w:rsid w:val="00365803"/>
    <w:rsid w:val="00365838"/>
    <w:rsid w:val="00365B1E"/>
    <w:rsid w:val="00365C54"/>
    <w:rsid w:val="00365D9F"/>
    <w:rsid w:val="00365F35"/>
    <w:rsid w:val="00365FA8"/>
    <w:rsid w:val="00365FC1"/>
    <w:rsid w:val="00366A91"/>
    <w:rsid w:val="00366ACA"/>
    <w:rsid w:val="00366D16"/>
    <w:rsid w:val="00366E2E"/>
    <w:rsid w:val="00366F93"/>
    <w:rsid w:val="0036705C"/>
    <w:rsid w:val="00367471"/>
    <w:rsid w:val="00367C6A"/>
    <w:rsid w:val="00367EE7"/>
    <w:rsid w:val="0037025D"/>
    <w:rsid w:val="00370481"/>
    <w:rsid w:val="00370490"/>
    <w:rsid w:val="003704FA"/>
    <w:rsid w:val="00370801"/>
    <w:rsid w:val="00370BC5"/>
    <w:rsid w:val="00370D5B"/>
    <w:rsid w:val="00371063"/>
    <w:rsid w:val="0037110A"/>
    <w:rsid w:val="003711C3"/>
    <w:rsid w:val="00371658"/>
    <w:rsid w:val="00371B90"/>
    <w:rsid w:val="00371BC7"/>
    <w:rsid w:val="00371BDA"/>
    <w:rsid w:val="003725A3"/>
    <w:rsid w:val="003725D7"/>
    <w:rsid w:val="00372A2D"/>
    <w:rsid w:val="00372A9E"/>
    <w:rsid w:val="00372BD3"/>
    <w:rsid w:val="00372D16"/>
    <w:rsid w:val="00372E00"/>
    <w:rsid w:val="00373044"/>
    <w:rsid w:val="003732C7"/>
    <w:rsid w:val="003738A1"/>
    <w:rsid w:val="0037390A"/>
    <w:rsid w:val="00373A0B"/>
    <w:rsid w:val="00373B47"/>
    <w:rsid w:val="00373D06"/>
    <w:rsid w:val="0037408B"/>
    <w:rsid w:val="003743AD"/>
    <w:rsid w:val="003745D2"/>
    <w:rsid w:val="00374B89"/>
    <w:rsid w:val="00374FDB"/>
    <w:rsid w:val="00375034"/>
    <w:rsid w:val="003751B8"/>
    <w:rsid w:val="003753FF"/>
    <w:rsid w:val="003754A8"/>
    <w:rsid w:val="00375ADA"/>
    <w:rsid w:val="003760C2"/>
    <w:rsid w:val="003761EF"/>
    <w:rsid w:val="003767FB"/>
    <w:rsid w:val="00376872"/>
    <w:rsid w:val="00376B83"/>
    <w:rsid w:val="00376D03"/>
    <w:rsid w:val="003774F6"/>
    <w:rsid w:val="00377A8D"/>
    <w:rsid w:val="00377EFD"/>
    <w:rsid w:val="003802A1"/>
    <w:rsid w:val="00380BBA"/>
    <w:rsid w:val="00380DAD"/>
    <w:rsid w:val="00381272"/>
    <w:rsid w:val="00381288"/>
    <w:rsid w:val="00381525"/>
    <w:rsid w:val="00381638"/>
    <w:rsid w:val="00381854"/>
    <w:rsid w:val="00381997"/>
    <w:rsid w:val="00381A7B"/>
    <w:rsid w:val="00381B55"/>
    <w:rsid w:val="00381C6A"/>
    <w:rsid w:val="0038220A"/>
    <w:rsid w:val="003822C4"/>
    <w:rsid w:val="0038245C"/>
    <w:rsid w:val="0038267B"/>
    <w:rsid w:val="0038276B"/>
    <w:rsid w:val="003827F3"/>
    <w:rsid w:val="00382AC9"/>
    <w:rsid w:val="00382C11"/>
    <w:rsid w:val="00382D36"/>
    <w:rsid w:val="00382ED3"/>
    <w:rsid w:val="0038328F"/>
    <w:rsid w:val="00383371"/>
    <w:rsid w:val="00383A7E"/>
    <w:rsid w:val="00383F81"/>
    <w:rsid w:val="00384496"/>
    <w:rsid w:val="00384A00"/>
    <w:rsid w:val="00384BF7"/>
    <w:rsid w:val="00384CAE"/>
    <w:rsid w:val="00384E5E"/>
    <w:rsid w:val="003851BD"/>
    <w:rsid w:val="003853CB"/>
    <w:rsid w:val="00385857"/>
    <w:rsid w:val="00385FB7"/>
    <w:rsid w:val="003865A3"/>
    <w:rsid w:val="003866F7"/>
    <w:rsid w:val="00386918"/>
    <w:rsid w:val="003869AC"/>
    <w:rsid w:val="003869EC"/>
    <w:rsid w:val="00386F5C"/>
    <w:rsid w:val="00387409"/>
    <w:rsid w:val="00387687"/>
    <w:rsid w:val="00387C3D"/>
    <w:rsid w:val="00390136"/>
    <w:rsid w:val="003901CE"/>
    <w:rsid w:val="00390209"/>
    <w:rsid w:val="003906D4"/>
    <w:rsid w:val="003907DE"/>
    <w:rsid w:val="00390BF6"/>
    <w:rsid w:val="00390CBE"/>
    <w:rsid w:val="00390DD2"/>
    <w:rsid w:val="00391037"/>
    <w:rsid w:val="00391644"/>
    <w:rsid w:val="003916EB"/>
    <w:rsid w:val="00391722"/>
    <w:rsid w:val="00391813"/>
    <w:rsid w:val="003919ED"/>
    <w:rsid w:val="00391AE5"/>
    <w:rsid w:val="00391BB2"/>
    <w:rsid w:val="00391D0E"/>
    <w:rsid w:val="00391F02"/>
    <w:rsid w:val="00391F94"/>
    <w:rsid w:val="00391FED"/>
    <w:rsid w:val="003921CA"/>
    <w:rsid w:val="0039233D"/>
    <w:rsid w:val="00392614"/>
    <w:rsid w:val="0039264F"/>
    <w:rsid w:val="0039269D"/>
    <w:rsid w:val="003928B8"/>
    <w:rsid w:val="00392AD4"/>
    <w:rsid w:val="00392B04"/>
    <w:rsid w:val="003935B0"/>
    <w:rsid w:val="00393845"/>
    <w:rsid w:val="00394414"/>
    <w:rsid w:val="00394439"/>
    <w:rsid w:val="0039447D"/>
    <w:rsid w:val="00394544"/>
    <w:rsid w:val="00394B8A"/>
    <w:rsid w:val="00394D7C"/>
    <w:rsid w:val="00394DAA"/>
    <w:rsid w:val="00394F61"/>
    <w:rsid w:val="00394F7B"/>
    <w:rsid w:val="00395115"/>
    <w:rsid w:val="003951C5"/>
    <w:rsid w:val="00395223"/>
    <w:rsid w:val="00395231"/>
    <w:rsid w:val="00395545"/>
    <w:rsid w:val="0039578B"/>
    <w:rsid w:val="00395ACE"/>
    <w:rsid w:val="003960BB"/>
    <w:rsid w:val="0039621B"/>
    <w:rsid w:val="00396565"/>
    <w:rsid w:val="00396660"/>
    <w:rsid w:val="003967D0"/>
    <w:rsid w:val="003967EF"/>
    <w:rsid w:val="00396847"/>
    <w:rsid w:val="003969F2"/>
    <w:rsid w:val="00396AF0"/>
    <w:rsid w:val="00396B59"/>
    <w:rsid w:val="00396CA2"/>
    <w:rsid w:val="00396DE8"/>
    <w:rsid w:val="00396FD7"/>
    <w:rsid w:val="003974B2"/>
    <w:rsid w:val="003978B8"/>
    <w:rsid w:val="003978C8"/>
    <w:rsid w:val="003979FA"/>
    <w:rsid w:val="00397EF2"/>
    <w:rsid w:val="00397F03"/>
    <w:rsid w:val="003A00F5"/>
    <w:rsid w:val="003A0121"/>
    <w:rsid w:val="003A05BB"/>
    <w:rsid w:val="003A0A45"/>
    <w:rsid w:val="003A0C7A"/>
    <w:rsid w:val="003A0DBF"/>
    <w:rsid w:val="003A0E58"/>
    <w:rsid w:val="003A0FF9"/>
    <w:rsid w:val="003A1180"/>
    <w:rsid w:val="003A118A"/>
    <w:rsid w:val="003A1231"/>
    <w:rsid w:val="003A1575"/>
    <w:rsid w:val="003A16DA"/>
    <w:rsid w:val="003A1F60"/>
    <w:rsid w:val="003A21BA"/>
    <w:rsid w:val="003A242E"/>
    <w:rsid w:val="003A2653"/>
    <w:rsid w:val="003A2889"/>
    <w:rsid w:val="003A2AF5"/>
    <w:rsid w:val="003A2DD6"/>
    <w:rsid w:val="003A3000"/>
    <w:rsid w:val="003A35EB"/>
    <w:rsid w:val="003A3ADA"/>
    <w:rsid w:val="003A3D7A"/>
    <w:rsid w:val="003A3F96"/>
    <w:rsid w:val="003A40E7"/>
    <w:rsid w:val="003A451C"/>
    <w:rsid w:val="003A454F"/>
    <w:rsid w:val="003A48A7"/>
    <w:rsid w:val="003A48CF"/>
    <w:rsid w:val="003A4C3A"/>
    <w:rsid w:val="003A501E"/>
    <w:rsid w:val="003A526F"/>
    <w:rsid w:val="003A557E"/>
    <w:rsid w:val="003A5601"/>
    <w:rsid w:val="003A57D3"/>
    <w:rsid w:val="003A58F7"/>
    <w:rsid w:val="003A5B53"/>
    <w:rsid w:val="003A5EEC"/>
    <w:rsid w:val="003A6350"/>
    <w:rsid w:val="003A63C1"/>
    <w:rsid w:val="003A63F1"/>
    <w:rsid w:val="003A652B"/>
    <w:rsid w:val="003A6A07"/>
    <w:rsid w:val="003A6C63"/>
    <w:rsid w:val="003A73B4"/>
    <w:rsid w:val="003A7401"/>
    <w:rsid w:val="003A750A"/>
    <w:rsid w:val="003A7806"/>
    <w:rsid w:val="003A78C9"/>
    <w:rsid w:val="003B024B"/>
    <w:rsid w:val="003B04B8"/>
    <w:rsid w:val="003B0B9A"/>
    <w:rsid w:val="003B0D91"/>
    <w:rsid w:val="003B0DB5"/>
    <w:rsid w:val="003B0F07"/>
    <w:rsid w:val="003B10DE"/>
    <w:rsid w:val="003B12D9"/>
    <w:rsid w:val="003B1402"/>
    <w:rsid w:val="003B16FA"/>
    <w:rsid w:val="003B1AC6"/>
    <w:rsid w:val="003B2073"/>
    <w:rsid w:val="003B28F9"/>
    <w:rsid w:val="003B31D9"/>
    <w:rsid w:val="003B3383"/>
    <w:rsid w:val="003B33EF"/>
    <w:rsid w:val="003B3415"/>
    <w:rsid w:val="003B3830"/>
    <w:rsid w:val="003B3CD8"/>
    <w:rsid w:val="003B3F3B"/>
    <w:rsid w:val="003B40D4"/>
    <w:rsid w:val="003B445D"/>
    <w:rsid w:val="003B44D9"/>
    <w:rsid w:val="003B4537"/>
    <w:rsid w:val="003B4621"/>
    <w:rsid w:val="003B4673"/>
    <w:rsid w:val="003B4858"/>
    <w:rsid w:val="003B562C"/>
    <w:rsid w:val="003B5C8F"/>
    <w:rsid w:val="003B5D13"/>
    <w:rsid w:val="003B5D14"/>
    <w:rsid w:val="003B5DBD"/>
    <w:rsid w:val="003B5DEA"/>
    <w:rsid w:val="003B5E58"/>
    <w:rsid w:val="003B5E7D"/>
    <w:rsid w:val="003B6035"/>
    <w:rsid w:val="003B633B"/>
    <w:rsid w:val="003B656C"/>
    <w:rsid w:val="003B6AEB"/>
    <w:rsid w:val="003B7132"/>
    <w:rsid w:val="003B7C0D"/>
    <w:rsid w:val="003C062D"/>
    <w:rsid w:val="003C0C19"/>
    <w:rsid w:val="003C100A"/>
    <w:rsid w:val="003C107A"/>
    <w:rsid w:val="003C1182"/>
    <w:rsid w:val="003C125E"/>
    <w:rsid w:val="003C12A4"/>
    <w:rsid w:val="003C1444"/>
    <w:rsid w:val="003C14EA"/>
    <w:rsid w:val="003C1844"/>
    <w:rsid w:val="003C1EBC"/>
    <w:rsid w:val="003C20BF"/>
    <w:rsid w:val="003C26CF"/>
    <w:rsid w:val="003C27E8"/>
    <w:rsid w:val="003C28E0"/>
    <w:rsid w:val="003C290C"/>
    <w:rsid w:val="003C306E"/>
    <w:rsid w:val="003C31C6"/>
    <w:rsid w:val="003C32F2"/>
    <w:rsid w:val="003C330D"/>
    <w:rsid w:val="003C3464"/>
    <w:rsid w:val="003C38EC"/>
    <w:rsid w:val="003C39C5"/>
    <w:rsid w:val="003C39EC"/>
    <w:rsid w:val="003C3BFE"/>
    <w:rsid w:val="003C3C63"/>
    <w:rsid w:val="003C3D79"/>
    <w:rsid w:val="003C4625"/>
    <w:rsid w:val="003C4B7C"/>
    <w:rsid w:val="003C4F24"/>
    <w:rsid w:val="003C523E"/>
    <w:rsid w:val="003C52E6"/>
    <w:rsid w:val="003C5378"/>
    <w:rsid w:val="003C57D2"/>
    <w:rsid w:val="003C5824"/>
    <w:rsid w:val="003C58E1"/>
    <w:rsid w:val="003C59C1"/>
    <w:rsid w:val="003C5A1E"/>
    <w:rsid w:val="003C5F95"/>
    <w:rsid w:val="003C6291"/>
    <w:rsid w:val="003C69A0"/>
    <w:rsid w:val="003C6F94"/>
    <w:rsid w:val="003C704D"/>
    <w:rsid w:val="003C7571"/>
    <w:rsid w:val="003C7605"/>
    <w:rsid w:val="003C7719"/>
    <w:rsid w:val="003C79A2"/>
    <w:rsid w:val="003C79A4"/>
    <w:rsid w:val="003C7BB6"/>
    <w:rsid w:val="003D08DC"/>
    <w:rsid w:val="003D0C96"/>
    <w:rsid w:val="003D0E51"/>
    <w:rsid w:val="003D11AF"/>
    <w:rsid w:val="003D125F"/>
    <w:rsid w:val="003D1293"/>
    <w:rsid w:val="003D14DE"/>
    <w:rsid w:val="003D1568"/>
    <w:rsid w:val="003D1595"/>
    <w:rsid w:val="003D16D1"/>
    <w:rsid w:val="003D1B08"/>
    <w:rsid w:val="003D1EA2"/>
    <w:rsid w:val="003D1FA2"/>
    <w:rsid w:val="003D20D7"/>
    <w:rsid w:val="003D23ED"/>
    <w:rsid w:val="003D288D"/>
    <w:rsid w:val="003D292A"/>
    <w:rsid w:val="003D2A9E"/>
    <w:rsid w:val="003D2AF2"/>
    <w:rsid w:val="003D2C9A"/>
    <w:rsid w:val="003D3192"/>
    <w:rsid w:val="003D353A"/>
    <w:rsid w:val="003D3946"/>
    <w:rsid w:val="003D3979"/>
    <w:rsid w:val="003D4607"/>
    <w:rsid w:val="003D4CD0"/>
    <w:rsid w:val="003D4DCD"/>
    <w:rsid w:val="003D51C9"/>
    <w:rsid w:val="003D549C"/>
    <w:rsid w:val="003D61CB"/>
    <w:rsid w:val="003D64A8"/>
    <w:rsid w:val="003D66F9"/>
    <w:rsid w:val="003D6857"/>
    <w:rsid w:val="003D6901"/>
    <w:rsid w:val="003D6A7E"/>
    <w:rsid w:val="003D6DA1"/>
    <w:rsid w:val="003D703F"/>
    <w:rsid w:val="003D7041"/>
    <w:rsid w:val="003D7043"/>
    <w:rsid w:val="003D7099"/>
    <w:rsid w:val="003D72B0"/>
    <w:rsid w:val="003D730C"/>
    <w:rsid w:val="003D7876"/>
    <w:rsid w:val="003D7BB3"/>
    <w:rsid w:val="003D7E52"/>
    <w:rsid w:val="003D7F7E"/>
    <w:rsid w:val="003E007E"/>
    <w:rsid w:val="003E01A4"/>
    <w:rsid w:val="003E0206"/>
    <w:rsid w:val="003E0413"/>
    <w:rsid w:val="003E08D3"/>
    <w:rsid w:val="003E0BC2"/>
    <w:rsid w:val="003E0BD0"/>
    <w:rsid w:val="003E0E12"/>
    <w:rsid w:val="003E0F9F"/>
    <w:rsid w:val="003E10B2"/>
    <w:rsid w:val="003E126B"/>
    <w:rsid w:val="003E139A"/>
    <w:rsid w:val="003E1520"/>
    <w:rsid w:val="003E199F"/>
    <w:rsid w:val="003E1F0C"/>
    <w:rsid w:val="003E21DB"/>
    <w:rsid w:val="003E2B4E"/>
    <w:rsid w:val="003E2F9C"/>
    <w:rsid w:val="003E3505"/>
    <w:rsid w:val="003E3A50"/>
    <w:rsid w:val="003E3AA3"/>
    <w:rsid w:val="003E3C5B"/>
    <w:rsid w:val="003E418E"/>
    <w:rsid w:val="003E4201"/>
    <w:rsid w:val="003E4706"/>
    <w:rsid w:val="003E4927"/>
    <w:rsid w:val="003E4DFA"/>
    <w:rsid w:val="003E4F11"/>
    <w:rsid w:val="003E4FFC"/>
    <w:rsid w:val="003E50F4"/>
    <w:rsid w:val="003E5295"/>
    <w:rsid w:val="003E52F7"/>
    <w:rsid w:val="003E5447"/>
    <w:rsid w:val="003E54C5"/>
    <w:rsid w:val="003E54DA"/>
    <w:rsid w:val="003E54FC"/>
    <w:rsid w:val="003E5AEC"/>
    <w:rsid w:val="003E5C27"/>
    <w:rsid w:val="003E6DA4"/>
    <w:rsid w:val="003E70C7"/>
    <w:rsid w:val="003E70CC"/>
    <w:rsid w:val="003E72D5"/>
    <w:rsid w:val="003E7487"/>
    <w:rsid w:val="003E74C4"/>
    <w:rsid w:val="003E7979"/>
    <w:rsid w:val="003E7A7D"/>
    <w:rsid w:val="003E7AB6"/>
    <w:rsid w:val="003E7B62"/>
    <w:rsid w:val="003E7C68"/>
    <w:rsid w:val="003F01DA"/>
    <w:rsid w:val="003F021C"/>
    <w:rsid w:val="003F0279"/>
    <w:rsid w:val="003F0294"/>
    <w:rsid w:val="003F03F4"/>
    <w:rsid w:val="003F04B0"/>
    <w:rsid w:val="003F0853"/>
    <w:rsid w:val="003F0FF4"/>
    <w:rsid w:val="003F1118"/>
    <w:rsid w:val="003F121D"/>
    <w:rsid w:val="003F12FC"/>
    <w:rsid w:val="003F1423"/>
    <w:rsid w:val="003F1A7C"/>
    <w:rsid w:val="003F200D"/>
    <w:rsid w:val="003F21C9"/>
    <w:rsid w:val="003F222D"/>
    <w:rsid w:val="003F2304"/>
    <w:rsid w:val="003F256F"/>
    <w:rsid w:val="003F32B4"/>
    <w:rsid w:val="003F3468"/>
    <w:rsid w:val="003F370C"/>
    <w:rsid w:val="003F38DC"/>
    <w:rsid w:val="003F3D43"/>
    <w:rsid w:val="003F46EA"/>
    <w:rsid w:val="003F470E"/>
    <w:rsid w:val="003F4A10"/>
    <w:rsid w:val="003F4ADD"/>
    <w:rsid w:val="003F4F73"/>
    <w:rsid w:val="003F56FD"/>
    <w:rsid w:val="003F5807"/>
    <w:rsid w:val="003F58EA"/>
    <w:rsid w:val="003F597F"/>
    <w:rsid w:val="003F5EF3"/>
    <w:rsid w:val="003F60DE"/>
    <w:rsid w:val="003F6189"/>
    <w:rsid w:val="003F6613"/>
    <w:rsid w:val="003F664F"/>
    <w:rsid w:val="003F66E1"/>
    <w:rsid w:val="003F685E"/>
    <w:rsid w:val="003F7027"/>
    <w:rsid w:val="003F7314"/>
    <w:rsid w:val="003F7BFD"/>
    <w:rsid w:val="003F7D4E"/>
    <w:rsid w:val="003F7D6D"/>
    <w:rsid w:val="003F7D96"/>
    <w:rsid w:val="003F7DC5"/>
    <w:rsid w:val="004000C5"/>
    <w:rsid w:val="0040010B"/>
    <w:rsid w:val="0040066D"/>
    <w:rsid w:val="0040074F"/>
    <w:rsid w:val="00400995"/>
    <w:rsid w:val="00400C11"/>
    <w:rsid w:val="00400C80"/>
    <w:rsid w:val="00400FCB"/>
    <w:rsid w:val="00401009"/>
    <w:rsid w:val="004014B4"/>
    <w:rsid w:val="00401521"/>
    <w:rsid w:val="004015A9"/>
    <w:rsid w:val="0040198B"/>
    <w:rsid w:val="00401BB7"/>
    <w:rsid w:val="00401BD5"/>
    <w:rsid w:val="00401D5F"/>
    <w:rsid w:val="00401D9B"/>
    <w:rsid w:val="00401F6E"/>
    <w:rsid w:val="00402305"/>
    <w:rsid w:val="004024C0"/>
    <w:rsid w:val="00402C93"/>
    <w:rsid w:val="00402D20"/>
    <w:rsid w:val="0040303F"/>
    <w:rsid w:val="00403245"/>
    <w:rsid w:val="00403329"/>
    <w:rsid w:val="00403399"/>
    <w:rsid w:val="0040386F"/>
    <w:rsid w:val="00403B39"/>
    <w:rsid w:val="00403CEB"/>
    <w:rsid w:val="004040A6"/>
    <w:rsid w:val="0040429A"/>
    <w:rsid w:val="004044AF"/>
    <w:rsid w:val="00404724"/>
    <w:rsid w:val="00404F31"/>
    <w:rsid w:val="0040512D"/>
    <w:rsid w:val="00405422"/>
    <w:rsid w:val="004058A4"/>
    <w:rsid w:val="00405A2A"/>
    <w:rsid w:val="00405AAB"/>
    <w:rsid w:val="00406076"/>
    <w:rsid w:val="004066F8"/>
    <w:rsid w:val="00406760"/>
    <w:rsid w:val="00406AAC"/>
    <w:rsid w:val="00406C1E"/>
    <w:rsid w:val="00407123"/>
    <w:rsid w:val="00407557"/>
    <w:rsid w:val="004075F5"/>
    <w:rsid w:val="00407B69"/>
    <w:rsid w:val="00407CAD"/>
    <w:rsid w:val="00407F3F"/>
    <w:rsid w:val="0041010D"/>
    <w:rsid w:val="00410462"/>
    <w:rsid w:val="0041081B"/>
    <w:rsid w:val="00410F8F"/>
    <w:rsid w:val="00410FF8"/>
    <w:rsid w:val="0041172A"/>
    <w:rsid w:val="004118AC"/>
    <w:rsid w:val="00411906"/>
    <w:rsid w:val="00411A90"/>
    <w:rsid w:val="00411AAD"/>
    <w:rsid w:val="00411D2B"/>
    <w:rsid w:val="00411DBA"/>
    <w:rsid w:val="00411ED7"/>
    <w:rsid w:val="00412111"/>
    <w:rsid w:val="00412128"/>
    <w:rsid w:val="00412216"/>
    <w:rsid w:val="004127EA"/>
    <w:rsid w:val="00412804"/>
    <w:rsid w:val="00412D66"/>
    <w:rsid w:val="00412EAD"/>
    <w:rsid w:val="00413287"/>
    <w:rsid w:val="00413500"/>
    <w:rsid w:val="0041373E"/>
    <w:rsid w:val="00413779"/>
    <w:rsid w:val="00413D3F"/>
    <w:rsid w:val="00413E4C"/>
    <w:rsid w:val="00414396"/>
    <w:rsid w:val="0041476F"/>
    <w:rsid w:val="00414BA4"/>
    <w:rsid w:val="00414D97"/>
    <w:rsid w:val="00415863"/>
    <w:rsid w:val="00415C4E"/>
    <w:rsid w:val="00415E0F"/>
    <w:rsid w:val="00415EEF"/>
    <w:rsid w:val="00415F03"/>
    <w:rsid w:val="0041627E"/>
    <w:rsid w:val="0041688F"/>
    <w:rsid w:val="004169FA"/>
    <w:rsid w:val="00416AE7"/>
    <w:rsid w:val="00416B56"/>
    <w:rsid w:val="00416C0F"/>
    <w:rsid w:val="00416F32"/>
    <w:rsid w:val="00416FB8"/>
    <w:rsid w:val="004172EB"/>
    <w:rsid w:val="0041732D"/>
    <w:rsid w:val="00417466"/>
    <w:rsid w:val="00417AD7"/>
    <w:rsid w:val="00417D5A"/>
    <w:rsid w:val="00417DD9"/>
    <w:rsid w:val="004203FC"/>
    <w:rsid w:val="004204F0"/>
    <w:rsid w:val="00420923"/>
    <w:rsid w:val="00420F3B"/>
    <w:rsid w:val="00421086"/>
    <w:rsid w:val="00421090"/>
    <w:rsid w:val="004210B4"/>
    <w:rsid w:val="0042137B"/>
    <w:rsid w:val="004216B2"/>
    <w:rsid w:val="004216D6"/>
    <w:rsid w:val="004217B1"/>
    <w:rsid w:val="004218D3"/>
    <w:rsid w:val="00421A12"/>
    <w:rsid w:val="00421C8A"/>
    <w:rsid w:val="00421E87"/>
    <w:rsid w:val="00421EBD"/>
    <w:rsid w:val="00422124"/>
    <w:rsid w:val="0042215A"/>
    <w:rsid w:val="0042279B"/>
    <w:rsid w:val="004227E1"/>
    <w:rsid w:val="004228E1"/>
    <w:rsid w:val="00422973"/>
    <w:rsid w:val="00422E2C"/>
    <w:rsid w:val="00422FC0"/>
    <w:rsid w:val="004238EA"/>
    <w:rsid w:val="00423D71"/>
    <w:rsid w:val="00424084"/>
    <w:rsid w:val="00424110"/>
    <w:rsid w:val="0042417E"/>
    <w:rsid w:val="00424F30"/>
    <w:rsid w:val="0042514E"/>
    <w:rsid w:val="004252B0"/>
    <w:rsid w:val="0042539E"/>
    <w:rsid w:val="004253FF"/>
    <w:rsid w:val="00425438"/>
    <w:rsid w:val="00425688"/>
    <w:rsid w:val="00425B34"/>
    <w:rsid w:val="00425F2D"/>
    <w:rsid w:val="0042636B"/>
    <w:rsid w:val="004263C8"/>
    <w:rsid w:val="00426457"/>
    <w:rsid w:val="004264D8"/>
    <w:rsid w:val="00426853"/>
    <w:rsid w:val="004268E7"/>
    <w:rsid w:val="00426B7A"/>
    <w:rsid w:val="00426CD2"/>
    <w:rsid w:val="00426DBE"/>
    <w:rsid w:val="004271A0"/>
    <w:rsid w:val="0042726B"/>
    <w:rsid w:val="004273B8"/>
    <w:rsid w:val="0042796B"/>
    <w:rsid w:val="00427C9F"/>
    <w:rsid w:val="004305B2"/>
    <w:rsid w:val="004305F9"/>
    <w:rsid w:val="004306E7"/>
    <w:rsid w:val="0043077A"/>
    <w:rsid w:val="00430920"/>
    <w:rsid w:val="00430956"/>
    <w:rsid w:val="00430A83"/>
    <w:rsid w:val="00430EFE"/>
    <w:rsid w:val="00430FC8"/>
    <w:rsid w:val="00431084"/>
    <w:rsid w:val="00431380"/>
    <w:rsid w:val="004318E0"/>
    <w:rsid w:val="00431C26"/>
    <w:rsid w:val="00432079"/>
    <w:rsid w:val="004322F3"/>
    <w:rsid w:val="0043248E"/>
    <w:rsid w:val="0043281C"/>
    <w:rsid w:val="0043300F"/>
    <w:rsid w:val="004330A7"/>
    <w:rsid w:val="00433284"/>
    <w:rsid w:val="0043335E"/>
    <w:rsid w:val="0043357F"/>
    <w:rsid w:val="00433827"/>
    <w:rsid w:val="004342C7"/>
    <w:rsid w:val="004344FD"/>
    <w:rsid w:val="00434734"/>
    <w:rsid w:val="00434DEE"/>
    <w:rsid w:val="004351D0"/>
    <w:rsid w:val="004354A9"/>
    <w:rsid w:val="00435539"/>
    <w:rsid w:val="004355CD"/>
    <w:rsid w:val="00435748"/>
    <w:rsid w:val="0043579D"/>
    <w:rsid w:val="00435951"/>
    <w:rsid w:val="00435B03"/>
    <w:rsid w:val="00435B2C"/>
    <w:rsid w:val="004365C8"/>
    <w:rsid w:val="004367CC"/>
    <w:rsid w:val="00436836"/>
    <w:rsid w:val="00436882"/>
    <w:rsid w:val="00436A03"/>
    <w:rsid w:val="00436B58"/>
    <w:rsid w:val="00436BEA"/>
    <w:rsid w:val="00436E23"/>
    <w:rsid w:val="00436EB0"/>
    <w:rsid w:val="00436F8A"/>
    <w:rsid w:val="00436FEE"/>
    <w:rsid w:val="004374CE"/>
    <w:rsid w:val="00437868"/>
    <w:rsid w:val="004378E9"/>
    <w:rsid w:val="00437B34"/>
    <w:rsid w:val="00437D35"/>
    <w:rsid w:val="004400A2"/>
    <w:rsid w:val="0044044C"/>
    <w:rsid w:val="00440588"/>
    <w:rsid w:val="0044060F"/>
    <w:rsid w:val="004406E3"/>
    <w:rsid w:val="004408A6"/>
    <w:rsid w:val="004408B7"/>
    <w:rsid w:val="00440906"/>
    <w:rsid w:val="00440C7C"/>
    <w:rsid w:val="00440CF8"/>
    <w:rsid w:val="00441032"/>
    <w:rsid w:val="0044138F"/>
    <w:rsid w:val="00441644"/>
    <w:rsid w:val="00441C23"/>
    <w:rsid w:val="00441E33"/>
    <w:rsid w:val="004423B2"/>
    <w:rsid w:val="00442452"/>
    <w:rsid w:val="0044263A"/>
    <w:rsid w:val="00442880"/>
    <w:rsid w:val="00442AA6"/>
    <w:rsid w:val="00442E3B"/>
    <w:rsid w:val="00442E4B"/>
    <w:rsid w:val="0044335E"/>
    <w:rsid w:val="004433C3"/>
    <w:rsid w:val="004436F2"/>
    <w:rsid w:val="004437DB"/>
    <w:rsid w:val="00443E6F"/>
    <w:rsid w:val="00443F06"/>
    <w:rsid w:val="004442D9"/>
    <w:rsid w:val="00444C10"/>
    <w:rsid w:val="00444E68"/>
    <w:rsid w:val="004450A1"/>
    <w:rsid w:val="00445270"/>
    <w:rsid w:val="004452B6"/>
    <w:rsid w:val="004455BC"/>
    <w:rsid w:val="004456FC"/>
    <w:rsid w:val="0044586B"/>
    <w:rsid w:val="00445922"/>
    <w:rsid w:val="00445AD6"/>
    <w:rsid w:val="00445B46"/>
    <w:rsid w:val="00445B6F"/>
    <w:rsid w:val="00445C1E"/>
    <w:rsid w:val="00445C74"/>
    <w:rsid w:val="00445D70"/>
    <w:rsid w:val="004461C8"/>
    <w:rsid w:val="0044662A"/>
    <w:rsid w:val="004466D4"/>
    <w:rsid w:val="00446946"/>
    <w:rsid w:val="0044696F"/>
    <w:rsid w:val="00446C1B"/>
    <w:rsid w:val="00447249"/>
    <w:rsid w:val="004473BE"/>
    <w:rsid w:val="0044746A"/>
    <w:rsid w:val="0045051B"/>
    <w:rsid w:val="004506D0"/>
    <w:rsid w:val="0045099F"/>
    <w:rsid w:val="00450A4A"/>
    <w:rsid w:val="00450B45"/>
    <w:rsid w:val="004514AF"/>
    <w:rsid w:val="004516BD"/>
    <w:rsid w:val="004518CE"/>
    <w:rsid w:val="00451B9A"/>
    <w:rsid w:val="00451FDD"/>
    <w:rsid w:val="004522BB"/>
    <w:rsid w:val="004524B0"/>
    <w:rsid w:val="0045275C"/>
    <w:rsid w:val="00452A5C"/>
    <w:rsid w:val="00452BC7"/>
    <w:rsid w:val="00452C7B"/>
    <w:rsid w:val="00452DA8"/>
    <w:rsid w:val="0045300E"/>
    <w:rsid w:val="004533DB"/>
    <w:rsid w:val="00453663"/>
    <w:rsid w:val="0045370B"/>
    <w:rsid w:val="0045391D"/>
    <w:rsid w:val="00453921"/>
    <w:rsid w:val="00453D03"/>
    <w:rsid w:val="00453DEB"/>
    <w:rsid w:val="0045422B"/>
    <w:rsid w:val="0045424F"/>
    <w:rsid w:val="004543B8"/>
    <w:rsid w:val="0045472F"/>
    <w:rsid w:val="00454A29"/>
    <w:rsid w:val="00454D26"/>
    <w:rsid w:val="00454E78"/>
    <w:rsid w:val="00454F8D"/>
    <w:rsid w:val="004550B1"/>
    <w:rsid w:val="00455650"/>
    <w:rsid w:val="00455D47"/>
    <w:rsid w:val="00455E09"/>
    <w:rsid w:val="00455EDA"/>
    <w:rsid w:val="00455EFF"/>
    <w:rsid w:val="004560EF"/>
    <w:rsid w:val="00456122"/>
    <w:rsid w:val="004562D7"/>
    <w:rsid w:val="00456884"/>
    <w:rsid w:val="00456A53"/>
    <w:rsid w:val="00456AF5"/>
    <w:rsid w:val="00456CED"/>
    <w:rsid w:val="00457096"/>
    <w:rsid w:val="0045713B"/>
    <w:rsid w:val="004576EC"/>
    <w:rsid w:val="0045771E"/>
    <w:rsid w:val="00457868"/>
    <w:rsid w:val="00457FE3"/>
    <w:rsid w:val="004608E4"/>
    <w:rsid w:val="00460A22"/>
    <w:rsid w:val="00460B08"/>
    <w:rsid w:val="00460B10"/>
    <w:rsid w:val="00460C72"/>
    <w:rsid w:val="0046132E"/>
    <w:rsid w:val="004613F6"/>
    <w:rsid w:val="004614E4"/>
    <w:rsid w:val="004618D5"/>
    <w:rsid w:val="004620FF"/>
    <w:rsid w:val="00462212"/>
    <w:rsid w:val="004627A3"/>
    <w:rsid w:val="00463616"/>
    <w:rsid w:val="0046371B"/>
    <w:rsid w:val="0046381E"/>
    <w:rsid w:val="00463A25"/>
    <w:rsid w:val="00463B75"/>
    <w:rsid w:val="00463E2F"/>
    <w:rsid w:val="00463F79"/>
    <w:rsid w:val="0046427F"/>
    <w:rsid w:val="00464448"/>
    <w:rsid w:val="00464869"/>
    <w:rsid w:val="00464B7F"/>
    <w:rsid w:val="004654F2"/>
    <w:rsid w:val="004655C1"/>
    <w:rsid w:val="00465789"/>
    <w:rsid w:val="00465B79"/>
    <w:rsid w:val="004662C5"/>
    <w:rsid w:val="00466552"/>
    <w:rsid w:val="00466C4F"/>
    <w:rsid w:val="00466CD3"/>
    <w:rsid w:val="00466CD5"/>
    <w:rsid w:val="0046704D"/>
    <w:rsid w:val="0046736D"/>
    <w:rsid w:val="00467B55"/>
    <w:rsid w:val="00467B7C"/>
    <w:rsid w:val="00467D57"/>
    <w:rsid w:val="00467D97"/>
    <w:rsid w:val="00467F74"/>
    <w:rsid w:val="00467FD0"/>
    <w:rsid w:val="0047043B"/>
    <w:rsid w:val="0047056E"/>
    <w:rsid w:val="00470A15"/>
    <w:rsid w:val="00470E8E"/>
    <w:rsid w:val="00471067"/>
    <w:rsid w:val="004711E9"/>
    <w:rsid w:val="004718A9"/>
    <w:rsid w:val="00471AA6"/>
    <w:rsid w:val="00471B34"/>
    <w:rsid w:val="00471C32"/>
    <w:rsid w:val="00471CA2"/>
    <w:rsid w:val="00471D0A"/>
    <w:rsid w:val="00472005"/>
    <w:rsid w:val="0047234B"/>
    <w:rsid w:val="00472AF6"/>
    <w:rsid w:val="00473028"/>
    <w:rsid w:val="004734A8"/>
    <w:rsid w:val="00473856"/>
    <w:rsid w:val="00473B3C"/>
    <w:rsid w:val="00474187"/>
    <w:rsid w:val="0047428B"/>
    <w:rsid w:val="00474588"/>
    <w:rsid w:val="0047459C"/>
    <w:rsid w:val="0047576E"/>
    <w:rsid w:val="00475D8D"/>
    <w:rsid w:val="004762F5"/>
    <w:rsid w:val="004766DE"/>
    <w:rsid w:val="00476835"/>
    <w:rsid w:val="004769D9"/>
    <w:rsid w:val="004770F5"/>
    <w:rsid w:val="00477244"/>
    <w:rsid w:val="00477D74"/>
    <w:rsid w:val="00477DA6"/>
    <w:rsid w:val="00477F36"/>
    <w:rsid w:val="00480053"/>
    <w:rsid w:val="004806D2"/>
    <w:rsid w:val="00480779"/>
    <w:rsid w:val="00481095"/>
    <w:rsid w:val="004816D2"/>
    <w:rsid w:val="00481BFB"/>
    <w:rsid w:val="00481CA4"/>
    <w:rsid w:val="00481CAE"/>
    <w:rsid w:val="0048205A"/>
    <w:rsid w:val="004820AE"/>
    <w:rsid w:val="004821EF"/>
    <w:rsid w:val="004828CA"/>
    <w:rsid w:val="00482AB1"/>
    <w:rsid w:val="00482FF4"/>
    <w:rsid w:val="0048307C"/>
    <w:rsid w:val="004830D5"/>
    <w:rsid w:val="00483EA9"/>
    <w:rsid w:val="0048431B"/>
    <w:rsid w:val="00484532"/>
    <w:rsid w:val="00484833"/>
    <w:rsid w:val="0048498A"/>
    <w:rsid w:val="00484E8E"/>
    <w:rsid w:val="00485069"/>
    <w:rsid w:val="00485175"/>
    <w:rsid w:val="0048529B"/>
    <w:rsid w:val="0048569F"/>
    <w:rsid w:val="00485A1A"/>
    <w:rsid w:val="00485A4F"/>
    <w:rsid w:val="00485F82"/>
    <w:rsid w:val="00486640"/>
    <w:rsid w:val="004867C2"/>
    <w:rsid w:val="00486AA0"/>
    <w:rsid w:val="00486AEC"/>
    <w:rsid w:val="00486BA5"/>
    <w:rsid w:val="00486CCE"/>
    <w:rsid w:val="00486D54"/>
    <w:rsid w:val="0048703A"/>
    <w:rsid w:val="00487687"/>
    <w:rsid w:val="00487E8A"/>
    <w:rsid w:val="00490979"/>
    <w:rsid w:val="004911C0"/>
    <w:rsid w:val="004912E1"/>
    <w:rsid w:val="004915E5"/>
    <w:rsid w:val="0049195D"/>
    <w:rsid w:val="004919C6"/>
    <w:rsid w:val="00491AB9"/>
    <w:rsid w:val="00491BD3"/>
    <w:rsid w:val="00491CB1"/>
    <w:rsid w:val="00491DEE"/>
    <w:rsid w:val="0049272D"/>
    <w:rsid w:val="00492C61"/>
    <w:rsid w:val="00493136"/>
    <w:rsid w:val="004931B6"/>
    <w:rsid w:val="004934BE"/>
    <w:rsid w:val="00493BDA"/>
    <w:rsid w:val="00494263"/>
    <w:rsid w:val="0049456D"/>
    <w:rsid w:val="0049489B"/>
    <w:rsid w:val="00494AA6"/>
    <w:rsid w:val="00494BA5"/>
    <w:rsid w:val="00494E50"/>
    <w:rsid w:val="0049502B"/>
    <w:rsid w:val="004950C9"/>
    <w:rsid w:val="00495372"/>
    <w:rsid w:val="00495569"/>
    <w:rsid w:val="00495583"/>
    <w:rsid w:val="004955E1"/>
    <w:rsid w:val="00495645"/>
    <w:rsid w:val="00495705"/>
    <w:rsid w:val="004959A0"/>
    <w:rsid w:val="00495B26"/>
    <w:rsid w:val="00495DE3"/>
    <w:rsid w:val="00495E09"/>
    <w:rsid w:val="0049610A"/>
    <w:rsid w:val="0049658A"/>
    <w:rsid w:val="004966AD"/>
    <w:rsid w:val="00496879"/>
    <w:rsid w:val="00496A2A"/>
    <w:rsid w:val="00496AEE"/>
    <w:rsid w:val="00496C0B"/>
    <w:rsid w:val="00497059"/>
    <w:rsid w:val="00497545"/>
    <w:rsid w:val="0049767C"/>
    <w:rsid w:val="00497938"/>
    <w:rsid w:val="00497C31"/>
    <w:rsid w:val="00497D22"/>
    <w:rsid w:val="00497D93"/>
    <w:rsid w:val="004A0184"/>
    <w:rsid w:val="004A0344"/>
    <w:rsid w:val="004A0708"/>
    <w:rsid w:val="004A09B7"/>
    <w:rsid w:val="004A0A37"/>
    <w:rsid w:val="004A0D23"/>
    <w:rsid w:val="004A0D50"/>
    <w:rsid w:val="004A0E85"/>
    <w:rsid w:val="004A16C9"/>
    <w:rsid w:val="004A173A"/>
    <w:rsid w:val="004A196E"/>
    <w:rsid w:val="004A2537"/>
    <w:rsid w:val="004A273F"/>
    <w:rsid w:val="004A2A4F"/>
    <w:rsid w:val="004A2A9F"/>
    <w:rsid w:val="004A2E4E"/>
    <w:rsid w:val="004A3033"/>
    <w:rsid w:val="004A30B7"/>
    <w:rsid w:val="004A34D3"/>
    <w:rsid w:val="004A3C33"/>
    <w:rsid w:val="004A3C35"/>
    <w:rsid w:val="004A40F5"/>
    <w:rsid w:val="004A432A"/>
    <w:rsid w:val="004A45C1"/>
    <w:rsid w:val="004A4721"/>
    <w:rsid w:val="004A4935"/>
    <w:rsid w:val="004A4AED"/>
    <w:rsid w:val="004A4B1F"/>
    <w:rsid w:val="004A4DED"/>
    <w:rsid w:val="004A4E0A"/>
    <w:rsid w:val="004A50DE"/>
    <w:rsid w:val="004A5123"/>
    <w:rsid w:val="004A54B5"/>
    <w:rsid w:val="004A553C"/>
    <w:rsid w:val="004A5B57"/>
    <w:rsid w:val="004A5C07"/>
    <w:rsid w:val="004A5E5A"/>
    <w:rsid w:val="004A60F1"/>
    <w:rsid w:val="004A622E"/>
    <w:rsid w:val="004A6471"/>
    <w:rsid w:val="004A6484"/>
    <w:rsid w:val="004A6573"/>
    <w:rsid w:val="004A6AD4"/>
    <w:rsid w:val="004A76E2"/>
    <w:rsid w:val="004A7D84"/>
    <w:rsid w:val="004A7D97"/>
    <w:rsid w:val="004B022A"/>
    <w:rsid w:val="004B043B"/>
    <w:rsid w:val="004B0589"/>
    <w:rsid w:val="004B0646"/>
    <w:rsid w:val="004B0671"/>
    <w:rsid w:val="004B0755"/>
    <w:rsid w:val="004B091F"/>
    <w:rsid w:val="004B0937"/>
    <w:rsid w:val="004B0D43"/>
    <w:rsid w:val="004B0FF6"/>
    <w:rsid w:val="004B11BF"/>
    <w:rsid w:val="004B1256"/>
    <w:rsid w:val="004B141C"/>
    <w:rsid w:val="004B2189"/>
    <w:rsid w:val="004B21B2"/>
    <w:rsid w:val="004B2226"/>
    <w:rsid w:val="004B2838"/>
    <w:rsid w:val="004B2CAF"/>
    <w:rsid w:val="004B2D72"/>
    <w:rsid w:val="004B2DC4"/>
    <w:rsid w:val="004B2F2B"/>
    <w:rsid w:val="004B3384"/>
    <w:rsid w:val="004B37FD"/>
    <w:rsid w:val="004B3812"/>
    <w:rsid w:val="004B3967"/>
    <w:rsid w:val="004B3C66"/>
    <w:rsid w:val="004B3F05"/>
    <w:rsid w:val="004B3FBE"/>
    <w:rsid w:val="004B42A6"/>
    <w:rsid w:val="004B47D3"/>
    <w:rsid w:val="004B4854"/>
    <w:rsid w:val="004B4F0C"/>
    <w:rsid w:val="004B4F28"/>
    <w:rsid w:val="004B51E9"/>
    <w:rsid w:val="004B5279"/>
    <w:rsid w:val="004B58C1"/>
    <w:rsid w:val="004B5B46"/>
    <w:rsid w:val="004B5C04"/>
    <w:rsid w:val="004B5EED"/>
    <w:rsid w:val="004B5F0A"/>
    <w:rsid w:val="004B5F48"/>
    <w:rsid w:val="004B65DF"/>
    <w:rsid w:val="004B7077"/>
    <w:rsid w:val="004B716D"/>
    <w:rsid w:val="004B71CB"/>
    <w:rsid w:val="004B72E1"/>
    <w:rsid w:val="004B7AFE"/>
    <w:rsid w:val="004B7BCB"/>
    <w:rsid w:val="004B7EA9"/>
    <w:rsid w:val="004C01CC"/>
    <w:rsid w:val="004C03D2"/>
    <w:rsid w:val="004C03F3"/>
    <w:rsid w:val="004C0536"/>
    <w:rsid w:val="004C0690"/>
    <w:rsid w:val="004C0F8D"/>
    <w:rsid w:val="004C10F5"/>
    <w:rsid w:val="004C1195"/>
    <w:rsid w:val="004C1250"/>
    <w:rsid w:val="004C1326"/>
    <w:rsid w:val="004C148C"/>
    <w:rsid w:val="004C149E"/>
    <w:rsid w:val="004C1840"/>
    <w:rsid w:val="004C1D3E"/>
    <w:rsid w:val="004C1DF4"/>
    <w:rsid w:val="004C1ED3"/>
    <w:rsid w:val="004C2C1C"/>
    <w:rsid w:val="004C2C5C"/>
    <w:rsid w:val="004C2E73"/>
    <w:rsid w:val="004C2FDE"/>
    <w:rsid w:val="004C346F"/>
    <w:rsid w:val="004C3660"/>
    <w:rsid w:val="004C3932"/>
    <w:rsid w:val="004C3A3B"/>
    <w:rsid w:val="004C3A97"/>
    <w:rsid w:val="004C3EF3"/>
    <w:rsid w:val="004C45D7"/>
    <w:rsid w:val="004C4944"/>
    <w:rsid w:val="004C498B"/>
    <w:rsid w:val="004C4EA8"/>
    <w:rsid w:val="004C4EC0"/>
    <w:rsid w:val="004C52EB"/>
    <w:rsid w:val="004C5568"/>
    <w:rsid w:val="004C567F"/>
    <w:rsid w:val="004C5819"/>
    <w:rsid w:val="004C5A52"/>
    <w:rsid w:val="004C5AE0"/>
    <w:rsid w:val="004C5B17"/>
    <w:rsid w:val="004C5B2B"/>
    <w:rsid w:val="004C614C"/>
    <w:rsid w:val="004C6517"/>
    <w:rsid w:val="004C6543"/>
    <w:rsid w:val="004C66F5"/>
    <w:rsid w:val="004C67B1"/>
    <w:rsid w:val="004C67E1"/>
    <w:rsid w:val="004C7343"/>
    <w:rsid w:val="004C7922"/>
    <w:rsid w:val="004C7A1B"/>
    <w:rsid w:val="004C7A55"/>
    <w:rsid w:val="004C7AC6"/>
    <w:rsid w:val="004C7CC8"/>
    <w:rsid w:val="004C7D02"/>
    <w:rsid w:val="004C7D6B"/>
    <w:rsid w:val="004C7FDA"/>
    <w:rsid w:val="004D00CE"/>
    <w:rsid w:val="004D00E4"/>
    <w:rsid w:val="004D01AF"/>
    <w:rsid w:val="004D021A"/>
    <w:rsid w:val="004D0575"/>
    <w:rsid w:val="004D06D6"/>
    <w:rsid w:val="004D0A97"/>
    <w:rsid w:val="004D0BFA"/>
    <w:rsid w:val="004D0F98"/>
    <w:rsid w:val="004D1224"/>
    <w:rsid w:val="004D124F"/>
    <w:rsid w:val="004D141F"/>
    <w:rsid w:val="004D19E9"/>
    <w:rsid w:val="004D1B47"/>
    <w:rsid w:val="004D1C94"/>
    <w:rsid w:val="004D1EAA"/>
    <w:rsid w:val="004D22BA"/>
    <w:rsid w:val="004D2617"/>
    <w:rsid w:val="004D2626"/>
    <w:rsid w:val="004D2C35"/>
    <w:rsid w:val="004D31FC"/>
    <w:rsid w:val="004D3679"/>
    <w:rsid w:val="004D3B2D"/>
    <w:rsid w:val="004D3CAF"/>
    <w:rsid w:val="004D3F95"/>
    <w:rsid w:val="004D401E"/>
    <w:rsid w:val="004D42F4"/>
    <w:rsid w:val="004D432E"/>
    <w:rsid w:val="004D44BF"/>
    <w:rsid w:val="004D4721"/>
    <w:rsid w:val="004D47F9"/>
    <w:rsid w:val="004D4940"/>
    <w:rsid w:val="004D499A"/>
    <w:rsid w:val="004D4C48"/>
    <w:rsid w:val="004D4C8E"/>
    <w:rsid w:val="004D4EC4"/>
    <w:rsid w:val="004D4F49"/>
    <w:rsid w:val="004D5328"/>
    <w:rsid w:val="004D53C5"/>
    <w:rsid w:val="004D57C6"/>
    <w:rsid w:val="004D5824"/>
    <w:rsid w:val="004D5AEB"/>
    <w:rsid w:val="004D5D3A"/>
    <w:rsid w:val="004D690C"/>
    <w:rsid w:val="004D6A0C"/>
    <w:rsid w:val="004D6B97"/>
    <w:rsid w:val="004D70C2"/>
    <w:rsid w:val="004D73CB"/>
    <w:rsid w:val="004D7557"/>
    <w:rsid w:val="004D755D"/>
    <w:rsid w:val="004D76B3"/>
    <w:rsid w:val="004D7951"/>
    <w:rsid w:val="004D7A68"/>
    <w:rsid w:val="004E049B"/>
    <w:rsid w:val="004E0736"/>
    <w:rsid w:val="004E08B2"/>
    <w:rsid w:val="004E0AFF"/>
    <w:rsid w:val="004E0E4D"/>
    <w:rsid w:val="004E1040"/>
    <w:rsid w:val="004E10BC"/>
    <w:rsid w:val="004E116D"/>
    <w:rsid w:val="004E11BE"/>
    <w:rsid w:val="004E1D90"/>
    <w:rsid w:val="004E2EBD"/>
    <w:rsid w:val="004E348A"/>
    <w:rsid w:val="004E3673"/>
    <w:rsid w:val="004E36BC"/>
    <w:rsid w:val="004E391B"/>
    <w:rsid w:val="004E3C1E"/>
    <w:rsid w:val="004E4467"/>
    <w:rsid w:val="004E5005"/>
    <w:rsid w:val="004E52D7"/>
    <w:rsid w:val="004E543D"/>
    <w:rsid w:val="004E560F"/>
    <w:rsid w:val="004E569B"/>
    <w:rsid w:val="004E5893"/>
    <w:rsid w:val="004E5913"/>
    <w:rsid w:val="004E59E3"/>
    <w:rsid w:val="004E5C58"/>
    <w:rsid w:val="004E5E7F"/>
    <w:rsid w:val="004E5FB7"/>
    <w:rsid w:val="004E6131"/>
    <w:rsid w:val="004E6211"/>
    <w:rsid w:val="004E66AF"/>
    <w:rsid w:val="004E68F4"/>
    <w:rsid w:val="004E69F7"/>
    <w:rsid w:val="004E6C70"/>
    <w:rsid w:val="004E6CF0"/>
    <w:rsid w:val="004E6D1B"/>
    <w:rsid w:val="004E71B5"/>
    <w:rsid w:val="004E71F8"/>
    <w:rsid w:val="004E7409"/>
    <w:rsid w:val="004E74D1"/>
    <w:rsid w:val="004E7B5A"/>
    <w:rsid w:val="004E7D0E"/>
    <w:rsid w:val="004F027B"/>
    <w:rsid w:val="004F0605"/>
    <w:rsid w:val="004F06DD"/>
    <w:rsid w:val="004F0737"/>
    <w:rsid w:val="004F07AB"/>
    <w:rsid w:val="004F0D22"/>
    <w:rsid w:val="004F0D47"/>
    <w:rsid w:val="004F1067"/>
    <w:rsid w:val="004F107D"/>
    <w:rsid w:val="004F1098"/>
    <w:rsid w:val="004F1296"/>
    <w:rsid w:val="004F1B43"/>
    <w:rsid w:val="004F207D"/>
    <w:rsid w:val="004F2192"/>
    <w:rsid w:val="004F233B"/>
    <w:rsid w:val="004F288E"/>
    <w:rsid w:val="004F2A49"/>
    <w:rsid w:val="004F2BAC"/>
    <w:rsid w:val="004F2DBC"/>
    <w:rsid w:val="004F2DEE"/>
    <w:rsid w:val="004F2EBB"/>
    <w:rsid w:val="004F2FA0"/>
    <w:rsid w:val="004F2FE0"/>
    <w:rsid w:val="004F3343"/>
    <w:rsid w:val="004F36C4"/>
    <w:rsid w:val="004F38BB"/>
    <w:rsid w:val="004F3EFD"/>
    <w:rsid w:val="004F4122"/>
    <w:rsid w:val="004F42A2"/>
    <w:rsid w:val="004F4367"/>
    <w:rsid w:val="004F4835"/>
    <w:rsid w:val="004F4BBD"/>
    <w:rsid w:val="004F4D04"/>
    <w:rsid w:val="004F5191"/>
    <w:rsid w:val="004F52A9"/>
    <w:rsid w:val="004F551F"/>
    <w:rsid w:val="004F5C6C"/>
    <w:rsid w:val="004F602A"/>
    <w:rsid w:val="004F67E0"/>
    <w:rsid w:val="004F69ED"/>
    <w:rsid w:val="004F6ACA"/>
    <w:rsid w:val="004F6BE0"/>
    <w:rsid w:val="004F6C0E"/>
    <w:rsid w:val="004F6D16"/>
    <w:rsid w:val="004F7010"/>
    <w:rsid w:val="004F74BB"/>
    <w:rsid w:val="004F75DB"/>
    <w:rsid w:val="004F79E4"/>
    <w:rsid w:val="004F79FC"/>
    <w:rsid w:val="004F7C7B"/>
    <w:rsid w:val="004F7E14"/>
    <w:rsid w:val="00500104"/>
    <w:rsid w:val="0050038C"/>
    <w:rsid w:val="00500BCA"/>
    <w:rsid w:val="00500C05"/>
    <w:rsid w:val="00500E73"/>
    <w:rsid w:val="0050101A"/>
    <w:rsid w:val="0050157E"/>
    <w:rsid w:val="00501624"/>
    <w:rsid w:val="00501AB5"/>
    <w:rsid w:val="00501B1D"/>
    <w:rsid w:val="00501C28"/>
    <w:rsid w:val="00501C49"/>
    <w:rsid w:val="00502004"/>
    <w:rsid w:val="0050201C"/>
    <w:rsid w:val="005023C5"/>
    <w:rsid w:val="005026E3"/>
    <w:rsid w:val="005028F7"/>
    <w:rsid w:val="00502CDB"/>
    <w:rsid w:val="00502ED4"/>
    <w:rsid w:val="005034C1"/>
    <w:rsid w:val="005034FE"/>
    <w:rsid w:val="005035B8"/>
    <w:rsid w:val="0050378A"/>
    <w:rsid w:val="005039AE"/>
    <w:rsid w:val="00503BEC"/>
    <w:rsid w:val="00503DC4"/>
    <w:rsid w:val="00504872"/>
    <w:rsid w:val="005051B8"/>
    <w:rsid w:val="0050566F"/>
    <w:rsid w:val="00505804"/>
    <w:rsid w:val="00505996"/>
    <w:rsid w:val="00506295"/>
    <w:rsid w:val="00506631"/>
    <w:rsid w:val="00506D15"/>
    <w:rsid w:val="00506D7D"/>
    <w:rsid w:val="00506F79"/>
    <w:rsid w:val="0050731C"/>
    <w:rsid w:val="00507461"/>
    <w:rsid w:val="005074A6"/>
    <w:rsid w:val="0050777F"/>
    <w:rsid w:val="0050797C"/>
    <w:rsid w:val="00507A93"/>
    <w:rsid w:val="00507D5D"/>
    <w:rsid w:val="00507DB2"/>
    <w:rsid w:val="00507DC1"/>
    <w:rsid w:val="00510387"/>
    <w:rsid w:val="0051039A"/>
    <w:rsid w:val="00510713"/>
    <w:rsid w:val="005108C5"/>
    <w:rsid w:val="00510E6E"/>
    <w:rsid w:val="005119C9"/>
    <w:rsid w:val="00511D22"/>
    <w:rsid w:val="00511EE9"/>
    <w:rsid w:val="0051207C"/>
    <w:rsid w:val="00512146"/>
    <w:rsid w:val="005125BB"/>
    <w:rsid w:val="005129EA"/>
    <w:rsid w:val="00512E74"/>
    <w:rsid w:val="00513223"/>
    <w:rsid w:val="005139C8"/>
    <w:rsid w:val="00513A3F"/>
    <w:rsid w:val="00513ACB"/>
    <w:rsid w:val="005140D3"/>
    <w:rsid w:val="00514553"/>
    <w:rsid w:val="00514752"/>
    <w:rsid w:val="00514D20"/>
    <w:rsid w:val="00514D24"/>
    <w:rsid w:val="00514EF3"/>
    <w:rsid w:val="0051576E"/>
    <w:rsid w:val="00515B47"/>
    <w:rsid w:val="00515BEF"/>
    <w:rsid w:val="00515C66"/>
    <w:rsid w:val="00515EA9"/>
    <w:rsid w:val="00516261"/>
    <w:rsid w:val="005163A0"/>
    <w:rsid w:val="005164CD"/>
    <w:rsid w:val="0051668D"/>
    <w:rsid w:val="005166A4"/>
    <w:rsid w:val="005166AC"/>
    <w:rsid w:val="00516759"/>
    <w:rsid w:val="0051681F"/>
    <w:rsid w:val="005169A4"/>
    <w:rsid w:val="00516C73"/>
    <w:rsid w:val="0051701A"/>
    <w:rsid w:val="005174C6"/>
    <w:rsid w:val="00517755"/>
    <w:rsid w:val="005178AC"/>
    <w:rsid w:val="005179E9"/>
    <w:rsid w:val="00517AB5"/>
    <w:rsid w:val="00517D82"/>
    <w:rsid w:val="0052017F"/>
    <w:rsid w:val="005203CE"/>
    <w:rsid w:val="00520449"/>
    <w:rsid w:val="00520A8F"/>
    <w:rsid w:val="005211D7"/>
    <w:rsid w:val="00521D45"/>
    <w:rsid w:val="005220E0"/>
    <w:rsid w:val="0052248A"/>
    <w:rsid w:val="00522D42"/>
    <w:rsid w:val="00522F58"/>
    <w:rsid w:val="00523212"/>
    <w:rsid w:val="005232A8"/>
    <w:rsid w:val="00523466"/>
    <w:rsid w:val="00523617"/>
    <w:rsid w:val="005237D8"/>
    <w:rsid w:val="00523D43"/>
    <w:rsid w:val="005242C6"/>
    <w:rsid w:val="005246F9"/>
    <w:rsid w:val="005248DB"/>
    <w:rsid w:val="00524A2B"/>
    <w:rsid w:val="00524DC7"/>
    <w:rsid w:val="005254B6"/>
    <w:rsid w:val="005257EC"/>
    <w:rsid w:val="0052589A"/>
    <w:rsid w:val="00525BCD"/>
    <w:rsid w:val="00526044"/>
    <w:rsid w:val="00526188"/>
    <w:rsid w:val="00526240"/>
    <w:rsid w:val="0052636A"/>
    <w:rsid w:val="005264DA"/>
    <w:rsid w:val="00526576"/>
    <w:rsid w:val="00526BB6"/>
    <w:rsid w:val="00526D08"/>
    <w:rsid w:val="00526E7D"/>
    <w:rsid w:val="00527237"/>
    <w:rsid w:val="005274DE"/>
    <w:rsid w:val="005275D6"/>
    <w:rsid w:val="00527754"/>
    <w:rsid w:val="00527BA7"/>
    <w:rsid w:val="00527C54"/>
    <w:rsid w:val="00527EB3"/>
    <w:rsid w:val="00527EE9"/>
    <w:rsid w:val="005300D1"/>
    <w:rsid w:val="0053073D"/>
    <w:rsid w:val="005309FC"/>
    <w:rsid w:val="00530BC9"/>
    <w:rsid w:val="00530BF5"/>
    <w:rsid w:val="005312E5"/>
    <w:rsid w:val="0053141E"/>
    <w:rsid w:val="005319DD"/>
    <w:rsid w:val="00531A58"/>
    <w:rsid w:val="00531DB7"/>
    <w:rsid w:val="0053235A"/>
    <w:rsid w:val="00532B61"/>
    <w:rsid w:val="00532FA0"/>
    <w:rsid w:val="0053319D"/>
    <w:rsid w:val="00533525"/>
    <w:rsid w:val="0053365F"/>
    <w:rsid w:val="00533692"/>
    <w:rsid w:val="005338C4"/>
    <w:rsid w:val="00533C5C"/>
    <w:rsid w:val="00534127"/>
    <w:rsid w:val="005343C9"/>
    <w:rsid w:val="00534423"/>
    <w:rsid w:val="0053448F"/>
    <w:rsid w:val="00534532"/>
    <w:rsid w:val="005346B7"/>
    <w:rsid w:val="00534DFF"/>
    <w:rsid w:val="005351EE"/>
    <w:rsid w:val="00535221"/>
    <w:rsid w:val="0053540D"/>
    <w:rsid w:val="005355F4"/>
    <w:rsid w:val="0053590C"/>
    <w:rsid w:val="00535C9D"/>
    <w:rsid w:val="00535F7B"/>
    <w:rsid w:val="005361A0"/>
    <w:rsid w:val="005361AA"/>
    <w:rsid w:val="0053636E"/>
    <w:rsid w:val="00536458"/>
    <w:rsid w:val="0053671C"/>
    <w:rsid w:val="00536AB6"/>
    <w:rsid w:val="00536BF8"/>
    <w:rsid w:val="00536C0C"/>
    <w:rsid w:val="00537176"/>
    <w:rsid w:val="00537211"/>
    <w:rsid w:val="005375B5"/>
    <w:rsid w:val="0053787F"/>
    <w:rsid w:val="00537CC4"/>
    <w:rsid w:val="00537E01"/>
    <w:rsid w:val="00537F46"/>
    <w:rsid w:val="005400E4"/>
    <w:rsid w:val="005400FC"/>
    <w:rsid w:val="00540341"/>
    <w:rsid w:val="00540352"/>
    <w:rsid w:val="005403E8"/>
    <w:rsid w:val="005409F7"/>
    <w:rsid w:val="00540A24"/>
    <w:rsid w:val="00540B1E"/>
    <w:rsid w:val="00540BA2"/>
    <w:rsid w:val="00540E99"/>
    <w:rsid w:val="00540F9C"/>
    <w:rsid w:val="005416DE"/>
    <w:rsid w:val="0054185D"/>
    <w:rsid w:val="0054265A"/>
    <w:rsid w:val="005426A9"/>
    <w:rsid w:val="00542800"/>
    <w:rsid w:val="00542922"/>
    <w:rsid w:val="00542955"/>
    <w:rsid w:val="005429F6"/>
    <w:rsid w:val="00542AD2"/>
    <w:rsid w:val="00542C81"/>
    <w:rsid w:val="00542E50"/>
    <w:rsid w:val="00543516"/>
    <w:rsid w:val="00543668"/>
    <w:rsid w:val="00544068"/>
    <w:rsid w:val="00544196"/>
    <w:rsid w:val="005448B6"/>
    <w:rsid w:val="00544E66"/>
    <w:rsid w:val="00545046"/>
    <w:rsid w:val="0054515B"/>
    <w:rsid w:val="00545F3F"/>
    <w:rsid w:val="00545FF0"/>
    <w:rsid w:val="00546511"/>
    <w:rsid w:val="005468B9"/>
    <w:rsid w:val="00546C5C"/>
    <w:rsid w:val="00546EB7"/>
    <w:rsid w:val="0054719F"/>
    <w:rsid w:val="00547BDB"/>
    <w:rsid w:val="00547CED"/>
    <w:rsid w:val="00547CFA"/>
    <w:rsid w:val="00547D63"/>
    <w:rsid w:val="00547FDF"/>
    <w:rsid w:val="00550323"/>
    <w:rsid w:val="00550623"/>
    <w:rsid w:val="005514F8"/>
    <w:rsid w:val="0055152A"/>
    <w:rsid w:val="00551D48"/>
    <w:rsid w:val="00551D7E"/>
    <w:rsid w:val="00552370"/>
    <w:rsid w:val="005525FF"/>
    <w:rsid w:val="00552965"/>
    <w:rsid w:val="0055354E"/>
    <w:rsid w:val="0055355B"/>
    <w:rsid w:val="00554360"/>
    <w:rsid w:val="0055441A"/>
    <w:rsid w:val="00554509"/>
    <w:rsid w:val="0055456E"/>
    <w:rsid w:val="005545D1"/>
    <w:rsid w:val="005546EB"/>
    <w:rsid w:val="00554764"/>
    <w:rsid w:val="005547CA"/>
    <w:rsid w:val="00554863"/>
    <w:rsid w:val="005549E2"/>
    <w:rsid w:val="00554E42"/>
    <w:rsid w:val="00555324"/>
    <w:rsid w:val="00555377"/>
    <w:rsid w:val="00555487"/>
    <w:rsid w:val="005554EF"/>
    <w:rsid w:val="00555C66"/>
    <w:rsid w:val="00555D0E"/>
    <w:rsid w:val="00555F68"/>
    <w:rsid w:val="00556230"/>
    <w:rsid w:val="00556325"/>
    <w:rsid w:val="0055681D"/>
    <w:rsid w:val="0055685A"/>
    <w:rsid w:val="00556A7B"/>
    <w:rsid w:val="00556D18"/>
    <w:rsid w:val="00556D2D"/>
    <w:rsid w:val="00556F85"/>
    <w:rsid w:val="005575C0"/>
    <w:rsid w:val="005576F8"/>
    <w:rsid w:val="00557EDD"/>
    <w:rsid w:val="00560629"/>
    <w:rsid w:val="00560D9D"/>
    <w:rsid w:val="00560E22"/>
    <w:rsid w:val="00561227"/>
    <w:rsid w:val="0056125E"/>
    <w:rsid w:val="0056141A"/>
    <w:rsid w:val="0056149A"/>
    <w:rsid w:val="005614FC"/>
    <w:rsid w:val="00561604"/>
    <w:rsid w:val="00561660"/>
    <w:rsid w:val="0056170D"/>
    <w:rsid w:val="005619AC"/>
    <w:rsid w:val="00561AD3"/>
    <w:rsid w:val="00561B0D"/>
    <w:rsid w:val="00561CCC"/>
    <w:rsid w:val="00561F05"/>
    <w:rsid w:val="005622F1"/>
    <w:rsid w:val="005626F7"/>
    <w:rsid w:val="005627DC"/>
    <w:rsid w:val="00562A00"/>
    <w:rsid w:val="00562A0E"/>
    <w:rsid w:val="00562C7C"/>
    <w:rsid w:val="00562D92"/>
    <w:rsid w:val="00562DD5"/>
    <w:rsid w:val="005637F7"/>
    <w:rsid w:val="005638B6"/>
    <w:rsid w:val="00563C3B"/>
    <w:rsid w:val="00563F57"/>
    <w:rsid w:val="0056407E"/>
    <w:rsid w:val="00564191"/>
    <w:rsid w:val="00564263"/>
    <w:rsid w:val="00564370"/>
    <w:rsid w:val="005649CB"/>
    <w:rsid w:val="00564A24"/>
    <w:rsid w:val="00564EF2"/>
    <w:rsid w:val="00565337"/>
    <w:rsid w:val="0056559A"/>
    <w:rsid w:val="005655F4"/>
    <w:rsid w:val="00565EB9"/>
    <w:rsid w:val="005662F5"/>
    <w:rsid w:val="005666A5"/>
    <w:rsid w:val="00566801"/>
    <w:rsid w:val="00566A60"/>
    <w:rsid w:val="00566C09"/>
    <w:rsid w:val="00566E58"/>
    <w:rsid w:val="00566F05"/>
    <w:rsid w:val="00566F1D"/>
    <w:rsid w:val="00566F95"/>
    <w:rsid w:val="00566FB6"/>
    <w:rsid w:val="005670E6"/>
    <w:rsid w:val="00567170"/>
    <w:rsid w:val="005676C6"/>
    <w:rsid w:val="00567E12"/>
    <w:rsid w:val="00570277"/>
    <w:rsid w:val="00570404"/>
    <w:rsid w:val="00570889"/>
    <w:rsid w:val="00570927"/>
    <w:rsid w:val="00570E35"/>
    <w:rsid w:val="005710B2"/>
    <w:rsid w:val="005711E6"/>
    <w:rsid w:val="00571488"/>
    <w:rsid w:val="005714F0"/>
    <w:rsid w:val="00571618"/>
    <w:rsid w:val="00571758"/>
    <w:rsid w:val="00571BF9"/>
    <w:rsid w:val="005720EB"/>
    <w:rsid w:val="00572226"/>
    <w:rsid w:val="005723C0"/>
    <w:rsid w:val="005725D8"/>
    <w:rsid w:val="005727DB"/>
    <w:rsid w:val="005728F1"/>
    <w:rsid w:val="005729C1"/>
    <w:rsid w:val="00572E49"/>
    <w:rsid w:val="00573095"/>
    <w:rsid w:val="005733D1"/>
    <w:rsid w:val="0057445C"/>
    <w:rsid w:val="005745A3"/>
    <w:rsid w:val="005748D4"/>
    <w:rsid w:val="00574F00"/>
    <w:rsid w:val="00575548"/>
    <w:rsid w:val="005755E2"/>
    <w:rsid w:val="00575933"/>
    <w:rsid w:val="00575DA2"/>
    <w:rsid w:val="005760D8"/>
    <w:rsid w:val="005761C1"/>
    <w:rsid w:val="0057635A"/>
    <w:rsid w:val="00576672"/>
    <w:rsid w:val="00576693"/>
    <w:rsid w:val="00576794"/>
    <w:rsid w:val="00576827"/>
    <w:rsid w:val="00576AA7"/>
    <w:rsid w:val="00576CF3"/>
    <w:rsid w:val="00576E96"/>
    <w:rsid w:val="00577584"/>
    <w:rsid w:val="0057765C"/>
    <w:rsid w:val="005776AD"/>
    <w:rsid w:val="00577859"/>
    <w:rsid w:val="00577B81"/>
    <w:rsid w:val="00577F97"/>
    <w:rsid w:val="00580182"/>
    <w:rsid w:val="00580A6C"/>
    <w:rsid w:val="00580EAB"/>
    <w:rsid w:val="00580F90"/>
    <w:rsid w:val="00581013"/>
    <w:rsid w:val="00581773"/>
    <w:rsid w:val="00581836"/>
    <w:rsid w:val="00581B1B"/>
    <w:rsid w:val="00581C8C"/>
    <w:rsid w:val="00581E60"/>
    <w:rsid w:val="0058209B"/>
    <w:rsid w:val="005821B6"/>
    <w:rsid w:val="005821D0"/>
    <w:rsid w:val="005827C1"/>
    <w:rsid w:val="00582E31"/>
    <w:rsid w:val="00583109"/>
    <w:rsid w:val="00583327"/>
    <w:rsid w:val="005836E0"/>
    <w:rsid w:val="005836E9"/>
    <w:rsid w:val="005837E2"/>
    <w:rsid w:val="00583C46"/>
    <w:rsid w:val="00583C7A"/>
    <w:rsid w:val="00583F61"/>
    <w:rsid w:val="00584136"/>
    <w:rsid w:val="005843FB"/>
    <w:rsid w:val="005844A3"/>
    <w:rsid w:val="00584A37"/>
    <w:rsid w:val="00584E9D"/>
    <w:rsid w:val="00585149"/>
    <w:rsid w:val="005854FE"/>
    <w:rsid w:val="005858F2"/>
    <w:rsid w:val="00585955"/>
    <w:rsid w:val="00585D2D"/>
    <w:rsid w:val="00585F60"/>
    <w:rsid w:val="00586066"/>
    <w:rsid w:val="005860D2"/>
    <w:rsid w:val="005861E0"/>
    <w:rsid w:val="00586265"/>
    <w:rsid w:val="0058681A"/>
    <w:rsid w:val="00586AA6"/>
    <w:rsid w:val="0058758F"/>
    <w:rsid w:val="0058778B"/>
    <w:rsid w:val="0058785B"/>
    <w:rsid w:val="00587CFD"/>
    <w:rsid w:val="00587E8C"/>
    <w:rsid w:val="00587FF0"/>
    <w:rsid w:val="005903AC"/>
    <w:rsid w:val="0059061A"/>
    <w:rsid w:val="00590D26"/>
    <w:rsid w:val="005911D0"/>
    <w:rsid w:val="00591365"/>
    <w:rsid w:val="00591A02"/>
    <w:rsid w:val="0059236F"/>
    <w:rsid w:val="00592622"/>
    <w:rsid w:val="0059286A"/>
    <w:rsid w:val="00592B93"/>
    <w:rsid w:val="00592F53"/>
    <w:rsid w:val="0059318D"/>
    <w:rsid w:val="00593245"/>
    <w:rsid w:val="0059337F"/>
    <w:rsid w:val="005934E3"/>
    <w:rsid w:val="005935E3"/>
    <w:rsid w:val="00593A83"/>
    <w:rsid w:val="00593F9A"/>
    <w:rsid w:val="00594047"/>
    <w:rsid w:val="005940B2"/>
    <w:rsid w:val="005940D9"/>
    <w:rsid w:val="005941E6"/>
    <w:rsid w:val="00594B2A"/>
    <w:rsid w:val="0059570B"/>
    <w:rsid w:val="0059571F"/>
    <w:rsid w:val="0059582F"/>
    <w:rsid w:val="00596280"/>
    <w:rsid w:val="005962F2"/>
    <w:rsid w:val="00596332"/>
    <w:rsid w:val="0059662F"/>
    <w:rsid w:val="0059694C"/>
    <w:rsid w:val="005972B9"/>
    <w:rsid w:val="0059737A"/>
    <w:rsid w:val="005975FE"/>
    <w:rsid w:val="00597AA3"/>
    <w:rsid w:val="00597B08"/>
    <w:rsid w:val="00597C57"/>
    <w:rsid w:val="00597CE8"/>
    <w:rsid w:val="005A011A"/>
    <w:rsid w:val="005A0129"/>
    <w:rsid w:val="005A01B9"/>
    <w:rsid w:val="005A0A58"/>
    <w:rsid w:val="005A0E7F"/>
    <w:rsid w:val="005A0F4E"/>
    <w:rsid w:val="005A14C6"/>
    <w:rsid w:val="005A151B"/>
    <w:rsid w:val="005A1BCE"/>
    <w:rsid w:val="005A1E26"/>
    <w:rsid w:val="005A1EB2"/>
    <w:rsid w:val="005A2585"/>
    <w:rsid w:val="005A26A9"/>
    <w:rsid w:val="005A2865"/>
    <w:rsid w:val="005A290F"/>
    <w:rsid w:val="005A2A88"/>
    <w:rsid w:val="005A2CC9"/>
    <w:rsid w:val="005A2D9D"/>
    <w:rsid w:val="005A3430"/>
    <w:rsid w:val="005A37D3"/>
    <w:rsid w:val="005A3ADF"/>
    <w:rsid w:val="005A3B14"/>
    <w:rsid w:val="005A3B7B"/>
    <w:rsid w:val="005A4136"/>
    <w:rsid w:val="005A432B"/>
    <w:rsid w:val="005A4643"/>
    <w:rsid w:val="005A48D8"/>
    <w:rsid w:val="005A4A2F"/>
    <w:rsid w:val="005A4AC1"/>
    <w:rsid w:val="005A4DA9"/>
    <w:rsid w:val="005A534F"/>
    <w:rsid w:val="005A540A"/>
    <w:rsid w:val="005A569E"/>
    <w:rsid w:val="005A5BE0"/>
    <w:rsid w:val="005A654F"/>
    <w:rsid w:val="005A667B"/>
    <w:rsid w:val="005A6FE8"/>
    <w:rsid w:val="005A76E4"/>
    <w:rsid w:val="005A77D6"/>
    <w:rsid w:val="005A7B26"/>
    <w:rsid w:val="005A7C9E"/>
    <w:rsid w:val="005A7D10"/>
    <w:rsid w:val="005A7D11"/>
    <w:rsid w:val="005A7DFD"/>
    <w:rsid w:val="005A7EF1"/>
    <w:rsid w:val="005A7F29"/>
    <w:rsid w:val="005A7F69"/>
    <w:rsid w:val="005B0197"/>
    <w:rsid w:val="005B0787"/>
    <w:rsid w:val="005B079C"/>
    <w:rsid w:val="005B0C02"/>
    <w:rsid w:val="005B1116"/>
    <w:rsid w:val="005B1419"/>
    <w:rsid w:val="005B15AB"/>
    <w:rsid w:val="005B19EC"/>
    <w:rsid w:val="005B2039"/>
    <w:rsid w:val="005B2282"/>
    <w:rsid w:val="005B23E9"/>
    <w:rsid w:val="005B290A"/>
    <w:rsid w:val="005B2B0D"/>
    <w:rsid w:val="005B3232"/>
    <w:rsid w:val="005B358D"/>
    <w:rsid w:val="005B37A2"/>
    <w:rsid w:val="005B3B08"/>
    <w:rsid w:val="005B3BFB"/>
    <w:rsid w:val="005B3C3E"/>
    <w:rsid w:val="005B3ECB"/>
    <w:rsid w:val="005B3F4D"/>
    <w:rsid w:val="005B3F66"/>
    <w:rsid w:val="005B3FB6"/>
    <w:rsid w:val="005B41D7"/>
    <w:rsid w:val="005B4563"/>
    <w:rsid w:val="005B481D"/>
    <w:rsid w:val="005B492C"/>
    <w:rsid w:val="005B4AB4"/>
    <w:rsid w:val="005B4C47"/>
    <w:rsid w:val="005B4D54"/>
    <w:rsid w:val="005B53AC"/>
    <w:rsid w:val="005B5550"/>
    <w:rsid w:val="005B57EF"/>
    <w:rsid w:val="005B5AAA"/>
    <w:rsid w:val="005B5BC8"/>
    <w:rsid w:val="005B5C0F"/>
    <w:rsid w:val="005B6023"/>
    <w:rsid w:val="005B6095"/>
    <w:rsid w:val="005B6912"/>
    <w:rsid w:val="005B6C4A"/>
    <w:rsid w:val="005B6FAA"/>
    <w:rsid w:val="005B7074"/>
    <w:rsid w:val="005B711E"/>
    <w:rsid w:val="005B733F"/>
    <w:rsid w:val="005B73C4"/>
    <w:rsid w:val="005B78E0"/>
    <w:rsid w:val="005B7ABA"/>
    <w:rsid w:val="005B7C25"/>
    <w:rsid w:val="005B7C78"/>
    <w:rsid w:val="005B7CB5"/>
    <w:rsid w:val="005C0601"/>
    <w:rsid w:val="005C0937"/>
    <w:rsid w:val="005C0CAB"/>
    <w:rsid w:val="005C0EAF"/>
    <w:rsid w:val="005C1121"/>
    <w:rsid w:val="005C14C4"/>
    <w:rsid w:val="005C15EF"/>
    <w:rsid w:val="005C1771"/>
    <w:rsid w:val="005C1D46"/>
    <w:rsid w:val="005C1D70"/>
    <w:rsid w:val="005C1FCF"/>
    <w:rsid w:val="005C21E6"/>
    <w:rsid w:val="005C22A2"/>
    <w:rsid w:val="005C2478"/>
    <w:rsid w:val="005C25F3"/>
    <w:rsid w:val="005C270C"/>
    <w:rsid w:val="005C295E"/>
    <w:rsid w:val="005C2E96"/>
    <w:rsid w:val="005C3248"/>
    <w:rsid w:val="005C33DC"/>
    <w:rsid w:val="005C3516"/>
    <w:rsid w:val="005C35D1"/>
    <w:rsid w:val="005C3660"/>
    <w:rsid w:val="005C368D"/>
    <w:rsid w:val="005C36F9"/>
    <w:rsid w:val="005C38C6"/>
    <w:rsid w:val="005C3FDB"/>
    <w:rsid w:val="005C3FFA"/>
    <w:rsid w:val="005C40D5"/>
    <w:rsid w:val="005C40E0"/>
    <w:rsid w:val="005C44B7"/>
    <w:rsid w:val="005C4756"/>
    <w:rsid w:val="005C47BB"/>
    <w:rsid w:val="005C48E9"/>
    <w:rsid w:val="005C49FA"/>
    <w:rsid w:val="005C5177"/>
    <w:rsid w:val="005C5955"/>
    <w:rsid w:val="005C5AB4"/>
    <w:rsid w:val="005C5CEC"/>
    <w:rsid w:val="005C5E22"/>
    <w:rsid w:val="005C5FE1"/>
    <w:rsid w:val="005C66CE"/>
    <w:rsid w:val="005C698A"/>
    <w:rsid w:val="005C6A56"/>
    <w:rsid w:val="005C6AFE"/>
    <w:rsid w:val="005C6B55"/>
    <w:rsid w:val="005C6B93"/>
    <w:rsid w:val="005C6B96"/>
    <w:rsid w:val="005C7770"/>
    <w:rsid w:val="005C795B"/>
    <w:rsid w:val="005C7AD6"/>
    <w:rsid w:val="005C7D3C"/>
    <w:rsid w:val="005C7D62"/>
    <w:rsid w:val="005C7FE5"/>
    <w:rsid w:val="005D041E"/>
    <w:rsid w:val="005D04A6"/>
    <w:rsid w:val="005D0668"/>
    <w:rsid w:val="005D0B9F"/>
    <w:rsid w:val="005D0D3B"/>
    <w:rsid w:val="005D10AB"/>
    <w:rsid w:val="005D115E"/>
    <w:rsid w:val="005D144A"/>
    <w:rsid w:val="005D16C4"/>
    <w:rsid w:val="005D1DEB"/>
    <w:rsid w:val="005D2B51"/>
    <w:rsid w:val="005D2C82"/>
    <w:rsid w:val="005D2CAA"/>
    <w:rsid w:val="005D2E18"/>
    <w:rsid w:val="005D3064"/>
    <w:rsid w:val="005D3554"/>
    <w:rsid w:val="005D38BB"/>
    <w:rsid w:val="005D3E50"/>
    <w:rsid w:val="005D412D"/>
    <w:rsid w:val="005D489C"/>
    <w:rsid w:val="005D49DC"/>
    <w:rsid w:val="005D4A1F"/>
    <w:rsid w:val="005D4E7B"/>
    <w:rsid w:val="005D4E81"/>
    <w:rsid w:val="005D5108"/>
    <w:rsid w:val="005D51C5"/>
    <w:rsid w:val="005D51E5"/>
    <w:rsid w:val="005D52A5"/>
    <w:rsid w:val="005D533A"/>
    <w:rsid w:val="005D570B"/>
    <w:rsid w:val="005D5934"/>
    <w:rsid w:val="005D5D21"/>
    <w:rsid w:val="005D60B1"/>
    <w:rsid w:val="005D6488"/>
    <w:rsid w:val="005D679E"/>
    <w:rsid w:val="005D67C0"/>
    <w:rsid w:val="005D684C"/>
    <w:rsid w:val="005D6922"/>
    <w:rsid w:val="005D6C01"/>
    <w:rsid w:val="005D7271"/>
    <w:rsid w:val="005D75D6"/>
    <w:rsid w:val="005D7743"/>
    <w:rsid w:val="005D7B2F"/>
    <w:rsid w:val="005D7CEC"/>
    <w:rsid w:val="005E0033"/>
    <w:rsid w:val="005E0095"/>
    <w:rsid w:val="005E024B"/>
    <w:rsid w:val="005E041C"/>
    <w:rsid w:val="005E09A0"/>
    <w:rsid w:val="005E0B74"/>
    <w:rsid w:val="005E0BD4"/>
    <w:rsid w:val="005E145C"/>
    <w:rsid w:val="005E14BA"/>
    <w:rsid w:val="005E14F3"/>
    <w:rsid w:val="005E1E94"/>
    <w:rsid w:val="005E2062"/>
    <w:rsid w:val="005E21D8"/>
    <w:rsid w:val="005E2534"/>
    <w:rsid w:val="005E2B24"/>
    <w:rsid w:val="005E2DB1"/>
    <w:rsid w:val="005E3089"/>
    <w:rsid w:val="005E3230"/>
    <w:rsid w:val="005E370B"/>
    <w:rsid w:val="005E39C4"/>
    <w:rsid w:val="005E39DD"/>
    <w:rsid w:val="005E3E6A"/>
    <w:rsid w:val="005E3E9C"/>
    <w:rsid w:val="005E3EEE"/>
    <w:rsid w:val="005E3FD4"/>
    <w:rsid w:val="005E4326"/>
    <w:rsid w:val="005E44CF"/>
    <w:rsid w:val="005E454D"/>
    <w:rsid w:val="005E48CB"/>
    <w:rsid w:val="005E4BCB"/>
    <w:rsid w:val="005E4E7E"/>
    <w:rsid w:val="005E4ED1"/>
    <w:rsid w:val="005E4EFA"/>
    <w:rsid w:val="005E4F91"/>
    <w:rsid w:val="005E536E"/>
    <w:rsid w:val="005E5386"/>
    <w:rsid w:val="005E566D"/>
    <w:rsid w:val="005E5BEC"/>
    <w:rsid w:val="005E61EF"/>
    <w:rsid w:val="005E63DB"/>
    <w:rsid w:val="005E66C6"/>
    <w:rsid w:val="005E6933"/>
    <w:rsid w:val="005E6940"/>
    <w:rsid w:val="005E6A2F"/>
    <w:rsid w:val="005E6A52"/>
    <w:rsid w:val="005E6B62"/>
    <w:rsid w:val="005E6DA3"/>
    <w:rsid w:val="005E7225"/>
    <w:rsid w:val="005E7490"/>
    <w:rsid w:val="005E7583"/>
    <w:rsid w:val="005E76D8"/>
    <w:rsid w:val="005E76E1"/>
    <w:rsid w:val="005F003B"/>
    <w:rsid w:val="005F0664"/>
    <w:rsid w:val="005F07C4"/>
    <w:rsid w:val="005F28ED"/>
    <w:rsid w:val="005F2B20"/>
    <w:rsid w:val="005F2B52"/>
    <w:rsid w:val="005F2C1A"/>
    <w:rsid w:val="005F3257"/>
    <w:rsid w:val="005F3606"/>
    <w:rsid w:val="005F367A"/>
    <w:rsid w:val="005F3816"/>
    <w:rsid w:val="005F38E5"/>
    <w:rsid w:val="005F39BD"/>
    <w:rsid w:val="005F3BBA"/>
    <w:rsid w:val="005F3D3E"/>
    <w:rsid w:val="005F3FA5"/>
    <w:rsid w:val="005F3FB0"/>
    <w:rsid w:val="005F4022"/>
    <w:rsid w:val="005F411F"/>
    <w:rsid w:val="005F436F"/>
    <w:rsid w:val="005F4475"/>
    <w:rsid w:val="005F451A"/>
    <w:rsid w:val="005F4778"/>
    <w:rsid w:val="005F4B0A"/>
    <w:rsid w:val="005F4EE3"/>
    <w:rsid w:val="005F509B"/>
    <w:rsid w:val="005F541A"/>
    <w:rsid w:val="005F555D"/>
    <w:rsid w:val="005F56E6"/>
    <w:rsid w:val="005F572E"/>
    <w:rsid w:val="005F59F2"/>
    <w:rsid w:val="005F5DC1"/>
    <w:rsid w:val="005F6170"/>
    <w:rsid w:val="005F628D"/>
    <w:rsid w:val="005F658C"/>
    <w:rsid w:val="005F6F8C"/>
    <w:rsid w:val="005F707D"/>
    <w:rsid w:val="005F77A1"/>
    <w:rsid w:val="005F78B7"/>
    <w:rsid w:val="005F7A9C"/>
    <w:rsid w:val="005F7ADD"/>
    <w:rsid w:val="005F7AF9"/>
    <w:rsid w:val="005F7FD6"/>
    <w:rsid w:val="005F7FEA"/>
    <w:rsid w:val="00600089"/>
    <w:rsid w:val="006001AC"/>
    <w:rsid w:val="006003CA"/>
    <w:rsid w:val="00600622"/>
    <w:rsid w:val="006007AF"/>
    <w:rsid w:val="00600C32"/>
    <w:rsid w:val="00600C74"/>
    <w:rsid w:val="00600D9D"/>
    <w:rsid w:val="00600DD3"/>
    <w:rsid w:val="00600FDE"/>
    <w:rsid w:val="00601157"/>
    <w:rsid w:val="006015A2"/>
    <w:rsid w:val="00601861"/>
    <w:rsid w:val="006018C1"/>
    <w:rsid w:val="00602414"/>
    <w:rsid w:val="0060256A"/>
    <w:rsid w:val="0060260D"/>
    <w:rsid w:val="006026D7"/>
    <w:rsid w:val="00602D67"/>
    <w:rsid w:val="00602E16"/>
    <w:rsid w:val="00603327"/>
    <w:rsid w:val="00603597"/>
    <w:rsid w:val="00603813"/>
    <w:rsid w:val="00603FB0"/>
    <w:rsid w:val="0060405E"/>
    <w:rsid w:val="006045C2"/>
    <w:rsid w:val="0060473D"/>
    <w:rsid w:val="00605449"/>
    <w:rsid w:val="00605A9E"/>
    <w:rsid w:val="00605B7C"/>
    <w:rsid w:val="00605BD0"/>
    <w:rsid w:val="00605F76"/>
    <w:rsid w:val="0060619E"/>
    <w:rsid w:val="006061DD"/>
    <w:rsid w:val="006062BC"/>
    <w:rsid w:val="00606A0D"/>
    <w:rsid w:val="00606B6B"/>
    <w:rsid w:val="00606BD1"/>
    <w:rsid w:val="00606C49"/>
    <w:rsid w:val="00606CB3"/>
    <w:rsid w:val="00606CFF"/>
    <w:rsid w:val="00607101"/>
    <w:rsid w:val="00607425"/>
    <w:rsid w:val="00607491"/>
    <w:rsid w:val="006075CC"/>
    <w:rsid w:val="00607B17"/>
    <w:rsid w:val="00607E8F"/>
    <w:rsid w:val="006101BE"/>
    <w:rsid w:val="006101D0"/>
    <w:rsid w:val="00610264"/>
    <w:rsid w:val="00610664"/>
    <w:rsid w:val="00610672"/>
    <w:rsid w:val="006109B4"/>
    <w:rsid w:val="00610B19"/>
    <w:rsid w:val="00610B4F"/>
    <w:rsid w:val="00610CDD"/>
    <w:rsid w:val="00610CF8"/>
    <w:rsid w:val="00610DAB"/>
    <w:rsid w:val="00610E22"/>
    <w:rsid w:val="006110E2"/>
    <w:rsid w:val="006111CA"/>
    <w:rsid w:val="0061177D"/>
    <w:rsid w:val="0061190B"/>
    <w:rsid w:val="00611B47"/>
    <w:rsid w:val="00611C80"/>
    <w:rsid w:val="00612171"/>
    <w:rsid w:val="00612314"/>
    <w:rsid w:val="006123C9"/>
    <w:rsid w:val="00612B56"/>
    <w:rsid w:val="00612C98"/>
    <w:rsid w:val="00613029"/>
    <w:rsid w:val="006131CB"/>
    <w:rsid w:val="0061345A"/>
    <w:rsid w:val="00613EE1"/>
    <w:rsid w:val="00614031"/>
    <w:rsid w:val="006141E4"/>
    <w:rsid w:val="0061435A"/>
    <w:rsid w:val="0061443A"/>
    <w:rsid w:val="00614446"/>
    <w:rsid w:val="0061446E"/>
    <w:rsid w:val="00614528"/>
    <w:rsid w:val="006148A5"/>
    <w:rsid w:val="00614916"/>
    <w:rsid w:val="00614B7E"/>
    <w:rsid w:val="00614C97"/>
    <w:rsid w:val="0061501F"/>
    <w:rsid w:val="00615050"/>
    <w:rsid w:val="00615118"/>
    <w:rsid w:val="00615297"/>
    <w:rsid w:val="006152BB"/>
    <w:rsid w:val="0061566E"/>
    <w:rsid w:val="0061571E"/>
    <w:rsid w:val="00615854"/>
    <w:rsid w:val="00615ABA"/>
    <w:rsid w:val="00615DD6"/>
    <w:rsid w:val="00615DE8"/>
    <w:rsid w:val="00616133"/>
    <w:rsid w:val="00616225"/>
    <w:rsid w:val="00616563"/>
    <w:rsid w:val="00616971"/>
    <w:rsid w:val="00616C9B"/>
    <w:rsid w:val="00616DE6"/>
    <w:rsid w:val="00616F51"/>
    <w:rsid w:val="00617029"/>
    <w:rsid w:val="00617433"/>
    <w:rsid w:val="006174D5"/>
    <w:rsid w:val="006179EB"/>
    <w:rsid w:val="0062009E"/>
    <w:rsid w:val="006200EC"/>
    <w:rsid w:val="00620418"/>
    <w:rsid w:val="00620616"/>
    <w:rsid w:val="00620ACA"/>
    <w:rsid w:val="00620F27"/>
    <w:rsid w:val="006213BA"/>
    <w:rsid w:val="00621ABE"/>
    <w:rsid w:val="006221A4"/>
    <w:rsid w:val="00622372"/>
    <w:rsid w:val="00622633"/>
    <w:rsid w:val="00622B01"/>
    <w:rsid w:val="00622C12"/>
    <w:rsid w:val="00622D6F"/>
    <w:rsid w:val="00622DF3"/>
    <w:rsid w:val="00622DF7"/>
    <w:rsid w:val="00622E90"/>
    <w:rsid w:val="00623029"/>
    <w:rsid w:val="006232EE"/>
    <w:rsid w:val="0062373E"/>
    <w:rsid w:val="00623A27"/>
    <w:rsid w:val="00623E13"/>
    <w:rsid w:val="0062434C"/>
    <w:rsid w:val="0062436D"/>
    <w:rsid w:val="00624592"/>
    <w:rsid w:val="006245C4"/>
    <w:rsid w:val="00624A16"/>
    <w:rsid w:val="00624B9B"/>
    <w:rsid w:val="00624CCD"/>
    <w:rsid w:val="00624EE7"/>
    <w:rsid w:val="006252C5"/>
    <w:rsid w:val="0062532E"/>
    <w:rsid w:val="0062545D"/>
    <w:rsid w:val="0062546F"/>
    <w:rsid w:val="00625507"/>
    <w:rsid w:val="006255D9"/>
    <w:rsid w:val="0062588F"/>
    <w:rsid w:val="00625AA5"/>
    <w:rsid w:val="00625C39"/>
    <w:rsid w:val="00625CAF"/>
    <w:rsid w:val="00625CBC"/>
    <w:rsid w:val="00625DA3"/>
    <w:rsid w:val="00625EDD"/>
    <w:rsid w:val="0062614B"/>
    <w:rsid w:val="006266C5"/>
    <w:rsid w:val="00626C85"/>
    <w:rsid w:val="00626D98"/>
    <w:rsid w:val="0062725A"/>
    <w:rsid w:val="00627276"/>
    <w:rsid w:val="0062747D"/>
    <w:rsid w:val="00627519"/>
    <w:rsid w:val="00627C99"/>
    <w:rsid w:val="00627CB0"/>
    <w:rsid w:val="00627D58"/>
    <w:rsid w:val="00627DC7"/>
    <w:rsid w:val="00630899"/>
    <w:rsid w:val="00630A71"/>
    <w:rsid w:val="00630DDB"/>
    <w:rsid w:val="00630F42"/>
    <w:rsid w:val="00630F77"/>
    <w:rsid w:val="00631101"/>
    <w:rsid w:val="00631482"/>
    <w:rsid w:val="00632288"/>
    <w:rsid w:val="006323C9"/>
    <w:rsid w:val="006323E5"/>
    <w:rsid w:val="00632444"/>
    <w:rsid w:val="00632539"/>
    <w:rsid w:val="006326F2"/>
    <w:rsid w:val="006327FF"/>
    <w:rsid w:val="0063281F"/>
    <w:rsid w:val="00632831"/>
    <w:rsid w:val="006330EE"/>
    <w:rsid w:val="006335CC"/>
    <w:rsid w:val="00633BBA"/>
    <w:rsid w:val="00633E77"/>
    <w:rsid w:val="00633F8F"/>
    <w:rsid w:val="0063452B"/>
    <w:rsid w:val="00634FFC"/>
    <w:rsid w:val="006351A8"/>
    <w:rsid w:val="006351DF"/>
    <w:rsid w:val="006353A1"/>
    <w:rsid w:val="0063559A"/>
    <w:rsid w:val="0063584B"/>
    <w:rsid w:val="00636167"/>
    <w:rsid w:val="0063644E"/>
    <w:rsid w:val="00636C05"/>
    <w:rsid w:val="00636D6D"/>
    <w:rsid w:val="006371A1"/>
    <w:rsid w:val="0063735C"/>
    <w:rsid w:val="0063751B"/>
    <w:rsid w:val="00637811"/>
    <w:rsid w:val="00637959"/>
    <w:rsid w:val="00637B82"/>
    <w:rsid w:val="00637C8B"/>
    <w:rsid w:val="00637D98"/>
    <w:rsid w:val="0064036B"/>
    <w:rsid w:val="006404FF"/>
    <w:rsid w:val="00640541"/>
    <w:rsid w:val="00640818"/>
    <w:rsid w:val="00640B5E"/>
    <w:rsid w:val="00640DBA"/>
    <w:rsid w:val="00640F93"/>
    <w:rsid w:val="0064101C"/>
    <w:rsid w:val="00641671"/>
    <w:rsid w:val="00641906"/>
    <w:rsid w:val="00641B97"/>
    <w:rsid w:val="00642030"/>
    <w:rsid w:val="00642543"/>
    <w:rsid w:val="00642D15"/>
    <w:rsid w:val="00642DC1"/>
    <w:rsid w:val="00642E67"/>
    <w:rsid w:val="00642F4D"/>
    <w:rsid w:val="0064307B"/>
    <w:rsid w:val="0064313B"/>
    <w:rsid w:val="006439C5"/>
    <w:rsid w:val="00643A67"/>
    <w:rsid w:val="00643CB2"/>
    <w:rsid w:val="00643D0A"/>
    <w:rsid w:val="00643E59"/>
    <w:rsid w:val="0064449A"/>
    <w:rsid w:val="0064470E"/>
    <w:rsid w:val="00644B7F"/>
    <w:rsid w:val="00644E58"/>
    <w:rsid w:val="00644EA6"/>
    <w:rsid w:val="00644FC7"/>
    <w:rsid w:val="00644FDD"/>
    <w:rsid w:val="0064513B"/>
    <w:rsid w:val="00645507"/>
    <w:rsid w:val="006456EA"/>
    <w:rsid w:val="006458E6"/>
    <w:rsid w:val="00645979"/>
    <w:rsid w:val="00645BA1"/>
    <w:rsid w:val="00645C03"/>
    <w:rsid w:val="00645DC4"/>
    <w:rsid w:val="00645EA5"/>
    <w:rsid w:val="00645ED9"/>
    <w:rsid w:val="00646382"/>
    <w:rsid w:val="006463DD"/>
    <w:rsid w:val="0064641C"/>
    <w:rsid w:val="00646491"/>
    <w:rsid w:val="006464E8"/>
    <w:rsid w:val="00646691"/>
    <w:rsid w:val="00646952"/>
    <w:rsid w:val="00646A0D"/>
    <w:rsid w:val="00646AB4"/>
    <w:rsid w:val="00646B89"/>
    <w:rsid w:val="00646C64"/>
    <w:rsid w:val="006472A8"/>
    <w:rsid w:val="006473C3"/>
    <w:rsid w:val="00647476"/>
    <w:rsid w:val="00647561"/>
    <w:rsid w:val="0064787D"/>
    <w:rsid w:val="00647A0E"/>
    <w:rsid w:val="00647E7C"/>
    <w:rsid w:val="00647F8C"/>
    <w:rsid w:val="006502F6"/>
    <w:rsid w:val="0065038F"/>
    <w:rsid w:val="006504C1"/>
    <w:rsid w:val="006509F0"/>
    <w:rsid w:val="00650AC2"/>
    <w:rsid w:val="00650C08"/>
    <w:rsid w:val="00650C3E"/>
    <w:rsid w:val="00650E6F"/>
    <w:rsid w:val="006517EB"/>
    <w:rsid w:val="006518B9"/>
    <w:rsid w:val="00651D5A"/>
    <w:rsid w:val="00651F9D"/>
    <w:rsid w:val="00652350"/>
    <w:rsid w:val="006523E5"/>
    <w:rsid w:val="006525A0"/>
    <w:rsid w:val="00652877"/>
    <w:rsid w:val="00652D72"/>
    <w:rsid w:val="00652E29"/>
    <w:rsid w:val="006530BC"/>
    <w:rsid w:val="00653254"/>
    <w:rsid w:val="006532B5"/>
    <w:rsid w:val="006538A2"/>
    <w:rsid w:val="00653B87"/>
    <w:rsid w:val="00653CA8"/>
    <w:rsid w:val="00653EF3"/>
    <w:rsid w:val="00654109"/>
    <w:rsid w:val="00655759"/>
    <w:rsid w:val="00655E7D"/>
    <w:rsid w:val="006564D3"/>
    <w:rsid w:val="006565B5"/>
    <w:rsid w:val="006567E7"/>
    <w:rsid w:val="00656C5A"/>
    <w:rsid w:val="00656FB7"/>
    <w:rsid w:val="0065707A"/>
    <w:rsid w:val="006570A7"/>
    <w:rsid w:val="00657417"/>
    <w:rsid w:val="00657EE0"/>
    <w:rsid w:val="00657F63"/>
    <w:rsid w:val="006601FF"/>
    <w:rsid w:val="00660471"/>
    <w:rsid w:val="0066062F"/>
    <w:rsid w:val="00660856"/>
    <w:rsid w:val="006609D9"/>
    <w:rsid w:val="00660ADD"/>
    <w:rsid w:val="00660D6C"/>
    <w:rsid w:val="00660F27"/>
    <w:rsid w:val="00660FC5"/>
    <w:rsid w:val="006614AE"/>
    <w:rsid w:val="00661501"/>
    <w:rsid w:val="006615D2"/>
    <w:rsid w:val="006618A9"/>
    <w:rsid w:val="006618DD"/>
    <w:rsid w:val="0066190A"/>
    <w:rsid w:val="00661E56"/>
    <w:rsid w:val="00661F2D"/>
    <w:rsid w:val="0066213D"/>
    <w:rsid w:val="00662403"/>
    <w:rsid w:val="0066263F"/>
    <w:rsid w:val="0066273C"/>
    <w:rsid w:val="00662A2B"/>
    <w:rsid w:val="00662E61"/>
    <w:rsid w:val="006636E5"/>
    <w:rsid w:val="00663C6D"/>
    <w:rsid w:val="00663D02"/>
    <w:rsid w:val="00663E0A"/>
    <w:rsid w:val="00663FCF"/>
    <w:rsid w:val="0066437D"/>
    <w:rsid w:val="00664637"/>
    <w:rsid w:val="00664691"/>
    <w:rsid w:val="00664808"/>
    <w:rsid w:val="00664B0D"/>
    <w:rsid w:val="00664CF7"/>
    <w:rsid w:val="00664F13"/>
    <w:rsid w:val="00664FD1"/>
    <w:rsid w:val="00664FF9"/>
    <w:rsid w:val="0066504E"/>
    <w:rsid w:val="006652CF"/>
    <w:rsid w:val="0066541F"/>
    <w:rsid w:val="006656D7"/>
    <w:rsid w:val="00665977"/>
    <w:rsid w:val="00665A5B"/>
    <w:rsid w:val="00665DFD"/>
    <w:rsid w:val="00665E91"/>
    <w:rsid w:val="0066656D"/>
    <w:rsid w:val="00666667"/>
    <w:rsid w:val="00666803"/>
    <w:rsid w:val="0066684E"/>
    <w:rsid w:val="00666AC0"/>
    <w:rsid w:val="00666BFA"/>
    <w:rsid w:val="00667127"/>
    <w:rsid w:val="00667378"/>
    <w:rsid w:val="00667861"/>
    <w:rsid w:val="00667918"/>
    <w:rsid w:val="0066795C"/>
    <w:rsid w:val="00667996"/>
    <w:rsid w:val="00667AAE"/>
    <w:rsid w:val="00667AC6"/>
    <w:rsid w:val="00667CFA"/>
    <w:rsid w:val="006703A0"/>
    <w:rsid w:val="00670409"/>
    <w:rsid w:val="0067072B"/>
    <w:rsid w:val="00670F05"/>
    <w:rsid w:val="00671099"/>
    <w:rsid w:val="00671BCF"/>
    <w:rsid w:val="00671C1F"/>
    <w:rsid w:val="00671C47"/>
    <w:rsid w:val="00671C83"/>
    <w:rsid w:val="00671F9F"/>
    <w:rsid w:val="00672270"/>
    <w:rsid w:val="006722D4"/>
    <w:rsid w:val="006723F5"/>
    <w:rsid w:val="0067312A"/>
    <w:rsid w:val="00673411"/>
    <w:rsid w:val="00673448"/>
    <w:rsid w:val="00673565"/>
    <w:rsid w:val="0067358F"/>
    <w:rsid w:val="006737FF"/>
    <w:rsid w:val="0067395C"/>
    <w:rsid w:val="0067395D"/>
    <w:rsid w:val="00673B27"/>
    <w:rsid w:val="006742CC"/>
    <w:rsid w:val="0067467C"/>
    <w:rsid w:val="00674915"/>
    <w:rsid w:val="00675159"/>
    <w:rsid w:val="0067537E"/>
    <w:rsid w:val="00675980"/>
    <w:rsid w:val="00675AEB"/>
    <w:rsid w:val="00675BF6"/>
    <w:rsid w:val="00675F51"/>
    <w:rsid w:val="006763A9"/>
    <w:rsid w:val="006764EE"/>
    <w:rsid w:val="006764F3"/>
    <w:rsid w:val="00676521"/>
    <w:rsid w:val="00676731"/>
    <w:rsid w:val="0067677A"/>
    <w:rsid w:val="00676A49"/>
    <w:rsid w:val="00676A56"/>
    <w:rsid w:val="006771A2"/>
    <w:rsid w:val="006772E2"/>
    <w:rsid w:val="0067751B"/>
    <w:rsid w:val="006778D1"/>
    <w:rsid w:val="006801B1"/>
    <w:rsid w:val="00680246"/>
    <w:rsid w:val="006808B0"/>
    <w:rsid w:val="00680AC3"/>
    <w:rsid w:val="00680B80"/>
    <w:rsid w:val="00680BDC"/>
    <w:rsid w:val="00680E02"/>
    <w:rsid w:val="00680EC9"/>
    <w:rsid w:val="00681204"/>
    <w:rsid w:val="00681522"/>
    <w:rsid w:val="00681B4E"/>
    <w:rsid w:val="00681C02"/>
    <w:rsid w:val="00681C49"/>
    <w:rsid w:val="00682026"/>
    <w:rsid w:val="0068215C"/>
    <w:rsid w:val="006822D7"/>
    <w:rsid w:val="0068230E"/>
    <w:rsid w:val="0068292A"/>
    <w:rsid w:val="00683102"/>
    <w:rsid w:val="006832D9"/>
    <w:rsid w:val="00683355"/>
    <w:rsid w:val="006833AE"/>
    <w:rsid w:val="00683806"/>
    <w:rsid w:val="00683A1B"/>
    <w:rsid w:val="00684004"/>
    <w:rsid w:val="006840B0"/>
    <w:rsid w:val="006841A2"/>
    <w:rsid w:val="0068444A"/>
    <w:rsid w:val="006847D5"/>
    <w:rsid w:val="006847EB"/>
    <w:rsid w:val="00684956"/>
    <w:rsid w:val="00684A49"/>
    <w:rsid w:val="00684A54"/>
    <w:rsid w:val="00684E13"/>
    <w:rsid w:val="006851AA"/>
    <w:rsid w:val="006852ED"/>
    <w:rsid w:val="00685332"/>
    <w:rsid w:val="006861EC"/>
    <w:rsid w:val="0068623E"/>
    <w:rsid w:val="0068672A"/>
    <w:rsid w:val="006869DC"/>
    <w:rsid w:val="00687937"/>
    <w:rsid w:val="00687A20"/>
    <w:rsid w:val="00687B62"/>
    <w:rsid w:val="00690097"/>
    <w:rsid w:val="00690807"/>
    <w:rsid w:val="00690EBE"/>
    <w:rsid w:val="00691127"/>
    <w:rsid w:val="00691418"/>
    <w:rsid w:val="006915FC"/>
    <w:rsid w:val="00691866"/>
    <w:rsid w:val="00691D0D"/>
    <w:rsid w:val="0069215D"/>
    <w:rsid w:val="00692662"/>
    <w:rsid w:val="006927C5"/>
    <w:rsid w:val="00692BC9"/>
    <w:rsid w:val="00692C83"/>
    <w:rsid w:val="0069355D"/>
    <w:rsid w:val="0069391D"/>
    <w:rsid w:val="00693D35"/>
    <w:rsid w:val="00693F55"/>
    <w:rsid w:val="006943A2"/>
    <w:rsid w:val="0069489A"/>
    <w:rsid w:val="00694CAD"/>
    <w:rsid w:val="00694D93"/>
    <w:rsid w:val="00694DC1"/>
    <w:rsid w:val="00694E70"/>
    <w:rsid w:val="00694FEC"/>
    <w:rsid w:val="00694FEE"/>
    <w:rsid w:val="00695051"/>
    <w:rsid w:val="00695301"/>
    <w:rsid w:val="0069531E"/>
    <w:rsid w:val="0069548F"/>
    <w:rsid w:val="006956C3"/>
    <w:rsid w:val="00695767"/>
    <w:rsid w:val="00695A8C"/>
    <w:rsid w:val="00695AE4"/>
    <w:rsid w:val="00695C4C"/>
    <w:rsid w:val="00695F0B"/>
    <w:rsid w:val="0069607B"/>
    <w:rsid w:val="00696535"/>
    <w:rsid w:val="00696C1E"/>
    <w:rsid w:val="00696F46"/>
    <w:rsid w:val="00696F98"/>
    <w:rsid w:val="0069730F"/>
    <w:rsid w:val="00697317"/>
    <w:rsid w:val="0069799C"/>
    <w:rsid w:val="00697E16"/>
    <w:rsid w:val="00697E5B"/>
    <w:rsid w:val="00697EF3"/>
    <w:rsid w:val="00697F16"/>
    <w:rsid w:val="006A037B"/>
    <w:rsid w:val="006A03B0"/>
    <w:rsid w:val="006A057F"/>
    <w:rsid w:val="006A0B44"/>
    <w:rsid w:val="006A0E17"/>
    <w:rsid w:val="006A110F"/>
    <w:rsid w:val="006A113F"/>
    <w:rsid w:val="006A14E3"/>
    <w:rsid w:val="006A167C"/>
    <w:rsid w:val="006A16B1"/>
    <w:rsid w:val="006A16CD"/>
    <w:rsid w:val="006A18E0"/>
    <w:rsid w:val="006A1E48"/>
    <w:rsid w:val="006A1F37"/>
    <w:rsid w:val="006A2034"/>
    <w:rsid w:val="006A215B"/>
    <w:rsid w:val="006A22DA"/>
    <w:rsid w:val="006A2368"/>
    <w:rsid w:val="006A24CE"/>
    <w:rsid w:val="006A2839"/>
    <w:rsid w:val="006A2BA2"/>
    <w:rsid w:val="006A2EAD"/>
    <w:rsid w:val="006A30D3"/>
    <w:rsid w:val="006A33A2"/>
    <w:rsid w:val="006A37CE"/>
    <w:rsid w:val="006A3B88"/>
    <w:rsid w:val="006A3E69"/>
    <w:rsid w:val="006A3ED1"/>
    <w:rsid w:val="006A3F03"/>
    <w:rsid w:val="006A3FB2"/>
    <w:rsid w:val="006A4489"/>
    <w:rsid w:val="006A465C"/>
    <w:rsid w:val="006A4CE9"/>
    <w:rsid w:val="006A4FFC"/>
    <w:rsid w:val="006A50DE"/>
    <w:rsid w:val="006A51A8"/>
    <w:rsid w:val="006A590C"/>
    <w:rsid w:val="006A5CEB"/>
    <w:rsid w:val="006A5E0D"/>
    <w:rsid w:val="006A620A"/>
    <w:rsid w:val="006A661D"/>
    <w:rsid w:val="006A6A11"/>
    <w:rsid w:val="006A6ACE"/>
    <w:rsid w:val="006A6B73"/>
    <w:rsid w:val="006A6CCE"/>
    <w:rsid w:val="006A6D7D"/>
    <w:rsid w:val="006A6E81"/>
    <w:rsid w:val="006A7380"/>
    <w:rsid w:val="006A73F8"/>
    <w:rsid w:val="006A77B3"/>
    <w:rsid w:val="006A79A2"/>
    <w:rsid w:val="006A79FF"/>
    <w:rsid w:val="006A7AEA"/>
    <w:rsid w:val="006A7E8A"/>
    <w:rsid w:val="006B018E"/>
    <w:rsid w:val="006B05EF"/>
    <w:rsid w:val="006B0832"/>
    <w:rsid w:val="006B0CD1"/>
    <w:rsid w:val="006B0D98"/>
    <w:rsid w:val="006B0DB6"/>
    <w:rsid w:val="006B1068"/>
    <w:rsid w:val="006B1180"/>
    <w:rsid w:val="006B1A76"/>
    <w:rsid w:val="006B1CDF"/>
    <w:rsid w:val="006B1DA8"/>
    <w:rsid w:val="006B1F74"/>
    <w:rsid w:val="006B1F87"/>
    <w:rsid w:val="006B20AA"/>
    <w:rsid w:val="006B214C"/>
    <w:rsid w:val="006B2425"/>
    <w:rsid w:val="006B2483"/>
    <w:rsid w:val="006B2883"/>
    <w:rsid w:val="006B296F"/>
    <w:rsid w:val="006B2B07"/>
    <w:rsid w:val="006B2B2C"/>
    <w:rsid w:val="006B2BCF"/>
    <w:rsid w:val="006B31D6"/>
    <w:rsid w:val="006B359B"/>
    <w:rsid w:val="006B391E"/>
    <w:rsid w:val="006B3A03"/>
    <w:rsid w:val="006B3D2D"/>
    <w:rsid w:val="006B3E59"/>
    <w:rsid w:val="006B4085"/>
    <w:rsid w:val="006B42C0"/>
    <w:rsid w:val="006B432F"/>
    <w:rsid w:val="006B4635"/>
    <w:rsid w:val="006B4685"/>
    <w:rsid w:val="006B490D"/>
    <w:rsid w:val="006B4AD1"/>
    <w:rsid w:val="006B4E3F"/>
    <w:rsid w:val="006B5527"/>
    <w:rsid w:val="006B57B7"/>
    <w:rsid w:val="006B57EE"/>
    <w:rsid w:val="006B5D6B"/>
    <w:rsid w:val="006B6213"/>
    <w:rsid w:val="006B6445"/>
    <w:rsid w:val="006B6520"/>
    <w:rsid w:val="006B6779"/>
    <w:rsid w:val="006B6C0D"/>
    <w:rsid w:val="006B6D26"/>
    <w:rsid w:val="006B6D4A"/>
    <w:rsid w:val="006B72EE"/>
    <w:rsid w:val="006B73BC"/>
    <w:rsid w:val="006B7628"/>
    <w:rsid w:val="006B7847"/>
    <w:rsid w:val="006B7E2B"/>
    <w:rsid w:val="006C00E2"/>
    <w:rsid w:val="006C02B9"/>
    <w:rsid w:val="006C083F"/>
    <w:rsid w:val="006C09CE"/>
    <w:rsid w:val="006C0C3E"/>
    <w:rsid w:val="006C1038"/>
    <w:rsid w:val="006C106C"/>
    <w:rsid w:val="006C15A0"/>
    <w:rsid w:val="006C1982"/>
    <w:rsid w:val="006C1A54"/>
    <w:rsid w:val="006C1EB0"/>
    <w:rsid w:val="006C1F82"/>
    <w:rsid w:val="006C2116"/>
    <w:rsid w:val="006C228F"/>
    <w:rsid w:val="006C24B8"/>
    <w:rsid w:val="006C2620"/>
    <w:rsid w:val="006C27C3"/>
    <w:rsid w:val="006C28E0"/>
    <w:rsid w:val="006C2AC5"/>
    <w:rsid w:val="006C2FB5"/>
    <w:rsid w:val="006C32F8"/>
    <w:rsid w:val="006C3304"/>
    <w:rsid w:val="006C375B"/>
    <w:rsid w:val="006C4600"/>
    <w:rsid w:val="006C46C0"/>
    <w:rsid w:val="006C48D9"/>
    <w:rsid w:val="006C48DD"/>
    <w:rsid w:val="006C4FE8"/>
    <w:rsid w:val="006C534E"/>
    <w:rsid w:val="006C544B"/>
    <w:rsid w:val="006C55D9"/>
    <w:rsid w:val="006C58CF"/>
    <w:rsid w:val="006C592C"/>
    <w:rsid w:val="006C5E1E"/>
    <w:rsid w:val="006C603B"/>
    <w:rsid w:val="006C632C"/>
    <w:rsid w:val="006C636A"/>
    <w:rsid w:val="006C64AD"/>
    <w:rsid w:val="006C674A"/>
    <w:rsid w:val="006C6F85"/>
    <w:rsid w:val="006C74F0"/>
    <w:rsid w:val="006C7956"/>
    <w:rsid w:val="006C7A8F"/>
    <w:rsid w:val="006C7AE0"/>
    <w:rsid w:val="006C7C10"/>
    <w:rsid w:val="006C7CB0"/>
    <w:rsid w:val="006C7DEC"/>
    <w:rsid w:val="006D03BB"/>
    <w:rsid w:val="006D03C8"/>
    <w:rsid w:val="006D0B7B"/>
    <w:rsid w:val="006D0D91"/>
    <w:rsid w:val="006D0EE9"/>
    <w:rsid w:val="006D0F9A"/>
    <w:rsid w:val="006D10B9"/>
    <w:rsid w:val="006D18AE"/>
    <w:rsid w:val="006D1F02"/>
    <w:rsid w:val="006D21FF"/>
    <w:rsid w:val="006D22A2"/>
    <w:rsid w:val="006D284A"/>
    <w:rsid w:val="006D29FA"/>
    <w:rsid w:val="006D3680"/>
    <w:rsid w:val="006D386E"/>
    <w:rsid w:val="006D3B05"/>
    <w:rsid w:val="006D3D4A"/>
    <w:rsid w:val="006D3F95"/>
    <w:rsid w:val="006D3FE0"/>
    <w:rsid w:val="006D4238"/>
    <w:rsid w:val="006D43FF"/>
    <w:rsid w:val="006D461D"/>
    <w:rsid w:val="006D4683"/>
    <w:rsid w:val="006D4709"/>
    <w:rsid w:val="006D4EC2"/>
    <w:rsid w:val="006D4FA8"/>
    <w:rsid w:val="006D4FE8"/>
    <w:rsid w:val="006D4FE9"/>
    <w:rsid w:val="006D516B"/>
    <w:rsid w:val="006D5284"/>
    <w:rsid w:val="006D52EB"/>
    <w:rsid w:val="006D534C"/>
    <w:rsid w:val="006D56C5"/>
    <w:rsid w:val="006D5707"/>
    <w:rsid w:val="006D5AB8"/>
    <w:rsid w:val="006D61AD"/>
    <w:rsid w:val="006D64FD"/>
    <w:rsid w:val="006D680C"/>
    <w:rsid w:val="006D6909"/>
    <w:rsid w:val="006D6A30"/>
    <w:rsid w:val="006D6C89"/>
    <w:rsid w:val="006D6FE0"/>
    <w:rsid w:val="006D72DC"/>
    <w:rsid w:val="006D7323"/>
    <w:rsid w:val="006E0276"/>
    <w:rsid w:val="006E02DA"/>
    <w:rsid w:val="006E0B89"/>
    <w:rsid w:val="006E0D92"/>
    <w:rsid w:val="006E0E3E"/>
    <w:rsid w:val="006E12FE"/>
    <w:rsid w:val="006E16C6"/>
    <w:rsid w:val="006E1D6B"/>
    <w:rsid w:val="006E1F71"/>
    <w:rsid w:val="006E2076"/>
    <w:rsid w:val="006E2099"/>
    <w:rsid w:val="006E22C5"/>
    <w:rsid w:val="006E26D1"/>
    <w:rsid w:val="006E2A24"/>
    <w:rsid w:val="006E31B4"/>
    <w:rsid w:val="006E31CC"/>
    <w:rsid w:val="006E357C"/>
    <w:rsid w:val="006E3A07"/>
    <w:rsid w:val="006E3BD4"/>
    <w:rsid w:val="006E4164"/>
    <w:rsid w:val="006E41D4"/>
    <w:rsid w:val="006E426A"/>
    <w:rsid w:val="006E4D86"/>
    <w:rsid w:val="006E4EE5"/>
    <w:rsid w:val="006E55CF"/>
    <w:rsid w:val="006E5913"/>
    <w:rsid w:val="006E5B0A"/>
    <w:rsid w:val="006E5DD8"/>
    <w:rsid w:val="006E6714"/>
    <w:rsid w:val="006E6A0F"/>
    <w:rsid w:val="006E6B1F"/>
    <w:rsid w:val="006E6CA7"/>
    <w:rsid w:val="006E71DF"/>
    <w:rsid w:val="006E725C"/>
    <w:rsid w:val="006E7565"/>
    <w:rsid w:val="006E75DD"/>
    <w:rsid w:val="006E79AF"/>
    <w:rsid w:val="006E79DD"/>
    <w:rsid w:val="006E7F43"/>
    <w:rsid w:val="006F0737"/>
    <w:rsid w:val="006F091E"/>
    <w:rsid w:val="006F0D4C"/>
    <w:rsid w:val="006F116F"/>
    <w:rsid w:val="006F1523"/>
    <w:rsid w:val="006F1706"/>
    <w:rsid w:val="006F1BEF"/>
    <w:rsid w:val="006F205C"/>
    <w:rsid w:val="006F224E"/>
    <w:rsid w:val="006F2292"/>
    <w:rsid w:val="006F2383"/>
    <w:rsid w:val="006F2508"/>
    <w:rsid w:val="006F265F"/>
    <w:rsid w:val="006F26CF"/>
    <w:rsid w:val="006F291B"/>
    <w:rsid w:val="006F2A66"/>
    <w:rsid w:val="006F2F94"/>
    <w:rsid w:val="006F3106"/>
    <w:rsid w:val="006F32DD"/>
    <w:rsid w:val="006F3402"/>
    <w:rsid w:val="006F3A8F"/>
    <w:rsid w:val="006F3FEB"/>
    <w:rsid w:val="006F411A"/>
    <w:rsid w:val="006F4570"/>
    <w:rsid w:val="006F459E"/>
    <w:rsid w:val="006F4774"/>
    <w:rsid w:val="006F48CD"/>
    <w:rsid w:val="006F4AFC"/>
    <w:rsid w:val="006F4C2B"/>
    <w:rsid w:val="006F4FF6"/>
    <w:rsid w:val="006F50C6"/>
    <w:rsid w:val="006F56F0"/>
    <w:rsid w:val="006F5B6B"/>
    <w:rsid w:val="006F5BEC"/>
    <w:rsid w:val="006F5EBA"/>
    <w:rsid w:val="006F615D"/>
    <w:rsid w:val="006F636E"/>
    <w:rsid w:val="006F6720"/>
    <w:rsid w:val="006F67B5"/>
    <w:rsid w:val="006F687F"/>
    <w:rsid w:val="006F6BEC"/>
    <w:rsid w:val="006F6CC5"/>
    <w:rsid w:val="006F6E42"/>
    <w:rsid w:val="006F6E8D"/>
    <w:rsid w:val="006F6FC6"/>
    <w:rsid w:val="006F7090"/>
    <w:rsid w:val="006F730C"/>
    <w:rsid w:val="006F73F3"/>
    <w:rsid w:val="006F7570"/>
    <w:rsid w:val="006F7B35"/>
    <w:rsid w:val="006F7E8D"/>
    <w:rsid w:val="0070000C"/>
    <w:rsid w:val="00700012"/>
    <w:rsid w:val="00700080"/>
    <w:rsid w:val="00700144"/>
    <w:rsid w:val="00700207"/>
    <w:rsid w:val="00700306"/>
    <w:rsid w:val="007005CE"/>
    <w:rsid w:val="00700DDD"/>
    <w:rsid w:val="00700F02"/>
    <w:rsid w:val="007024D0"/>
    <w:rsid w:val="00702758"/>
    <w:rsid w:val="007027CD"/>
    <w:rsid w:val="00702EB1"/>
    <w:rsid w:val="00702F11"/>
    <w:rsid w:val="007031B1"/>
    <w:rsid w:val="007034B0"/>
    <w:rsid w:val="00703643"/>
    <w:rsid w:val="007036D8"/>
    <w:rsid w:val="00703946"/>
    <w:rsid w:val="00703C1B"/>
    <w:rsid w:val="007043FD"/>
    <w:rsid w:val="0070482F"/>
    <w:rsid w:val="0070484E"/>
    <w:rsid w:val="00704932"/>
    <w:rsid w:val="00704A94"/>
    <w:rsid w:val="00704D4A"/>
    <w:rsid w:val="00704D8E"/>
    <w:rsid w:val="007050C7"/>
    <w:rsid w:val="00705279"/>
    <w:rsid w:val="00705424"/>
    <w:rsid w:val="0070573E"/>
    <w:rsid w:val="00705A12"/>
    <w:rsid w:val="007061A7"/>
    <w:rsid w:val="00706532"/>
    <w:rsid w:val="00706D1D"/>
    <w:rsid w:val="00706D23"/>
    <w:rsid w:val="00706F39"/>
    <w:rsid w:val="0070740B"/>
    <w:rsid w:val="00707736"/>
    <w:rsid w:val="00710073"/>
    <w:rsid w:val="00710081"/>
    <w:rsid w:val="007100D1"/>
    <w:rsid w:val="007103E7"/>
    <w:rsid w:val="00710613"/>
    <w:rsid w:val="00711007"/>
    <w:rsid w:val="007110DF"/>
    <w:rsid w:val="0071119A"/>
    <w:rsid w:val="007115AA"/>
    <w:rsid w:val="007118D1"/>
    <w:rsid w:val="00711B96"/>
    <w:rsid w:val="00711CF5"/>
    <w:rsid w:val="007120A1"/>
    <w:rsid w:val="007120A3"/>
    <w:rsid w:val="00712165"/>
    <w:rsid w:val="00712719"/>
    <w:rsid w:val="00712B2F"/>
    <w:rsid w:val="00712F7F"/>
    <w:rsid w:val="00712FF4"/>
    <w:rsid w:val="007135EA"/>
    <w:rsid w:val="00713635"/>
    <w:rsid w:val="0071375D"/>
    <w:rsid w:val="00714273"/>
    <w:rsid w:val="007145B1"/>
    <w:rsid w:val="007145C5"/>
    <w:rsid w:val="00714662"/>
    <w:rsid w:val="00714682"/>
    <w:rsid w:val="00714E45"/>
    <w:rsid w:val="007150B4"/>
    <w:rsid w:val="00715122"/>
    <w:rsid w:val="007151D2"/>
    <w:rsid w:val="00715203"/>
    <w:rsid w:val="007152E0"/>
    <w:rsid w:val="0071581D"/>
    <w:rsid w:val="00715966"/>
    <w:rsid w:val="00715EC1"/>
    <w:rsid w:val="00716A28"/>
    <w:rsid w:val="00716C2C"/>
    <w:rsid w:val="00716CF4"/>
    <w:rsid w:val="00716DB7"/>
    <w:rsid w:val="007172FF"/>
    <w:rsid w:val="00717877"/>
    <w:rsid w:val="00717EEA"/>
    <w:rsid w:val="0072031C"/>
    <w:rsid w:val="007203A5"/>
    <w:rsid w:val="00720680"/>
    <w:rsid w:val="00720718"/>
    <w:rsid w:val="00720778"/>
    <w:rsid w:val="00720C1D"/>
    <w:rsid w:val="0072118B"/>
    <w:rsid w:val="00721315"/>
    <w:rsid w:val="007213E5"/>
    <w:rsid w:val="007219BE"/>
    <w:rsid w:val="00721D82"/>
    <w:rsid w:val="00721FA5"/>
    <w:rsid w:val="007222A0"/>
    <w:rsid w:val="0072250B"/>
    <w:rsid w:val="00722BFF"/>
    <w:rsid w:val="00722C92"/>
    <w:rsid w:val="00722D11"/>
    <w:rsid w:val="00722EEF"/>
    <w:rsid w:val="00723032"/>
    <w:rsid w:val="00723610"/>
    <w:rsid w:val="0072363A"/>
    <w:rsid w:val="007241C6"/>
    <w:rsid w:val="007244F5"/>
    <w:rsid w:val="007245B4"/>
    <w:rsid w:val="00724663"/>
    <w:rsid w:val="007247EC"/>
    <w:rsid w:val="007249DE"/>
    <w:rsid w:val="00725182"/>
    <w:rsid w:val="00725189"/>
    <w:rsid w:val="00725262"/>
    <w:rsid w:val="007255AF"/>
    <w:rsid w:val="00725C35"/>
    <w:rsid w:val="00725FE5"/>
    <w:rsid w:val="00726173"/>
    <w:rsid w:val="0072673A"/>
    <w:rsid w:val="007267FE"/>
    <w:rsid w:val="0072693B"/>
    <w:rsid w:val="007269DE"/>
    <w:rsid w:val="00726A51"/>
    <w:rsid w:val="00726D29"/>
    <w:rsid w:val="007275F0"/>
    <w:rsid w:val="00727654"/>
    <w:rsid w:val="00727834"/>
    <w:rsid w:val="00727924"/>
    <w:rsid w:val="00727B24"/>
    <w:rsid w:val="00727DD4"/>
    <w:rsid w:val="00727E79"/>
    <w:rsid w:val="00727F3B"/>
    <w:rsid w:val="007302CA"/>
    <w:rsid w:val="00730B84"/>
    <w:rsid w:val="00730E44"/>
    <w:rsid w:val="0073110E"/>
    <w:rsid w:val="00731243"/>
    <w:rsid w:val="00732052"/>
    <w:rsid w:val="0073282A"/>
    <w:rsid w:val="00732A29"/>
    <w:rsid w:val="00732A36"/>
    <w:rsid w:val="00732B0F"/>
    <w:rsid w:val="00732B9B"/>
    <w:rsid w:val="00733195"/>
    <w:rsid w:val="007333C1"/>
    <w:rsid w:val="0073363F"/>
    <w:rsid w:val="007337EF"/>
    <w:rsid w:val="00734393"/>
    <w:rsid w:val="00734559"/>
    <w:rsid w:val="007347F7"/>
    <w:rsid w:val="00734C88"/>
    <w:rsid w:val="00734FD0"/>
    <w:rsid w:val="00734FF3"/>
    <w:rsid w:val="007351D5"/>
    <w:rsid w:val="00735339"/>
    <w:rsid w:val="00735A11"/>
    <w:rsid w:val="00735C2C"/>
    <w:rsid w:val="00736290"/>
    <w:rsid w:val="00736376"/>
    <w:rsid w:val="007364F1"/>
    <w:rsid w:val="00736552"/>
    <w:rsid w:val="00736863"/>
    <w:rsid w:val="00736912"/>
    <w:rsid w:val="00736A27"/>
    <w:rsid w:val="00736D4B"/>
    <w:rsid w:val="00736D77"/>
    <w:rsid w:val="00736FBA"/>
    <w:rsid w:val="007370D3"/>
    <w:rsid w:val="00737351"/>
    <w:rsid w:val="0073737B"/>
    <w:rsid w:val="00737E87"/>
    <w:rsid w:val="00740254"/>
    <w:rsid w:val="00740C30"/>
    <w:rsid w:val="00740D99"/>
    <w:rsid w:val="00740E68"/>
    <w:rsid w:val="0074102F"/>
    <w:rsid w:val="007417D3"/>
    <w:rsid w:val="007419F4"/>
    <w:rsid w:val="00741F01"/>
    <w:rsid w:val="00741FCD"/>
    <w:rsid w:val="00742187"/>
    <w:rsid w:val="0074247F"/>
    <w:rsid w:val="007424CE"/>
    <w:rsid w:val="007427BB"/>
    <w:rsid w:val="00742DB4"/>
    <w:rsid w:val="00742EE8"/>
    <w:rsid w:val="007432E3"/>
    <w:rsid w:val="007433E1"/>
    <w:rsid w:val="007437A2"/>
    <w:rsid w:val="007439E8"/>
    <w:rsid w:val="00743C1F"/>
    <w:rsid w:val="00743D64"/>
    <w:rsid w:val="00743ED0"/>
    <w:rsid w:val="00743EE7"/>
    <w:rsid w:val="007442F0"/>
    <w:rsid w:val="0074444C"/>
    <w:rsid w:val="00744764"/>
    <w:rsid w:val="00744CEE"/>
    <w:rsid w:val="00744D8B"/>
    <w:rsid w:val="00744EAF"/>
    <w:rsid w:val="00744FA0"/>
    <w:rsid w:val="00745351"/>
    <w:rsid w:val="007453B5"/>
    <w:rsid w:val="00745727"/>
    <w:rsid w:val="00745EA3"/>
    <w:rsid w:val="00746045"/>
    <w:rsid w:val="007461F3"/>
    <w:rsid w:val="00746589"/>
    <w:rsid w:val="00746CDC"/>
    <w:rsid w:val="00746D16"/>
    <w:rsid w:val="00746D78"/>
    <w:rsid w:val="007472E4"/>
    <w:rsid w:val="0074734E"/>
    <w:rsid w:val="00747394"/>
    <w:rsid w:val="00747624"/>
    <w:rsid w:val="00747D7D"/>
    <w:rsid w:val="007506E8"/>
    <w:rsid w:val="00750B2F"/>
    <w:rsid w:val="00751080"/>
    <w:rsid w:val="00751545"/>
    <w:rsid w:val="0075157C"/>
    <w:rsid w:val="0075160A"/>
    <w:rsid w:val="007516CB"/>
    <w:rsid w:val="00751B09"/>
    <w:rsid w:val="00751BE9"/>
    <w:rsid w:val="007524B0"/>
    <w:rsid w:val="007524D0"/>
    <w:rsid w:val="0075290D"/>
    <w:rsid w:val="00752A4A"/>
    <w:rsid w:val="00752B1D"/>
    <w:rsid w:val="00752D5C"/>
    <w:rsid w:val="0075332B"/>
    <w:rsid w:val="0075336E"/>
    <w:rsid w:val="00753629"/>
    <w:rsid w:val="00753872"/>
    <w:rsid w:val="00753A97"/>
    <w:rsid w:val="00753E75"/>
    <w:rsid w:val="00754395"/>
    <w:rsid w:val="0075441D"/>
    <w:rsid w:val="007544AF"/>
    <w:rsid w:val="007546EE"/>
    <w:rsid w:val="0075488B"/>
    <w:rsid w:val="007549F9"/>
    <w:rsid w:val="007549FF"/>
    <w:rsid w:val="00754B38"/>
    <w:rsid w:val="00754E4E"/>
    <w:rsid w:val="00755116"/>
    <w:rsid w:val="00755F9E"/>
    <w:rsid w:val="00756044"/>
    <w:rsid w:val="0075618C"/>
    <w:rsid w:val="00756227"/>
    <w:rsid w:val="00756610"/>
    <w:rsid w:val="00756BBA"/>
    <w:rsid w:val="00756CE7"/>
    <w:rsid w:val="00756E06"/>
    <w:rsid w:val="00756F6B"/>
    <w:rsid w:val="0075765A"/>
    <w:rsid w:val="00757B64"/>
    <w:rsid w:val="0076034A"/>
    <w:rsid w:val="00760424"/>
    <w:rsid w:val="0076063B"/>
    <w:rsid w:val="00760B0E"/>
    <w:rsid w:val="00760B25"/>
    <w:rsid w:val="00760EAC"/>
    <w:rsid w:val="00761382"/>
    <w:rsid w:val="007614D1"/>
    <w:rsid w:val="007614D4"/>
    <w:rsid w:val="00761765"/>
    <w:rsid w:val="00761994"/>
    <w:rsid w:val="00761C9D"/>
    <w:rsid w:val="00761DA6"/>
    <w:rsid w:val="00761F2C"/>
    <w:rsid w:val="00761F59"/>
    <w:rsid w:val="007620C5"/>
    <w:rsid w:val="0076218C"/>
    <w:rsid w:val="00762239"/>
    <w:rsid w:val="00762832"/>
    <w:rsid w:val="00762869"/>
    <w:rsid w:val="00762947"/>
    <w:rsid w:val="00762EA6"/>
    <w:rsid w:val="0076304F"/>
    <w:rsid w:val="007630F2"/>
    <w:rsid w:val="00763641"/>
    <w:rsid w:val="007637D4"/>
    <w:rsid w:val="00763BD2"/>
    <w:rsid w:val="00763D3B"/>
    <w:rsid w:val="00763DE7"/>
    <w:rsid w:val="00763FB8"/>
    <w:rsid w:val="00764058"/>
    <w:rsid w:val="007645D9"/>
    <w:rsid w:val="007645EF"/>
    <w:rsid w:val="00764805"/>
    <w:rsid w:val="007649DE"/>
    <w:rsid w:val="00764A19"/>
    <w:rsid w:val="00764A81"/>
    <w:rsid w:val="00764B28"/>
    <w:rsid w:val="00764EB6"/>
    <w:rsid w:val="0076522A"/>
    <w:rsid w:val="0076578A"/>
    <w:rsid w:val="00765CA0"/>
    <w:rsid w:val="00765D89"/>
    <w:rsid w:val="007662BF"/>
    <w:rsid w:val="00766583"/>
    <w:rsid w:val="00766B40"/>
    <w:rsid w:val="00767370"/>
    <w:rsid w:val="0076759B"/>
    <w:rsid w:val="007675A4"/>
    <w:rsid w:val="00767742"/>
    <w:rsid w:val="00767D98"/>
    <w:rsid w:val="007700B1"/>
    <w:rsid w:val="00770B9F"/>
    <w:rsid w:val="00770E11"/>
    <w:rsid w:val="00770F32"/>
    <w:rsid w:val="00770F88"/>
    <w:rsid w:val="0077151C"/>
    <w:rsid w:val="007716FE"/>
    <w:rsid w:val="007717BF"/>
    <w:rsid w:val="00771940"/>
    <w:rsid w:val="00771992"/>
    <w:rsid w:val="007719A7"/>
    <w:rsid w:val="00771A00"/>
    <w:rsid w:val="00771A6C"/>
    <w:rsid w:val="00771C2E"/>
    <w:rsid w:val="00771D2D"/>
    <w:rsid w:val="00772590"/>
    <w:rsid w:val="00772781"/>
    <w:rsid w:val="00772A6E"/>
    <w:rsid w:val="0077338A"/>
    <w:rsid w:val="00773638"/>
    <w:rsid w:val="007738C4"/>
    <w:rsid w:val="00773BF1"/>
    <w:rsid w:val="00774079"/>
    <w:rsid w:val="007743A3"/>
    <w:rsid w:val="0077489C"/>
    <w:rsid w:val="007749E7"/>
    <w:rsid w:val="00774B69"/>
    <w:rsid w:val="00774D0D"/>
    <w:rsid w:val="00774E1A"/>
    <w:rsid w:val="00774F29"/>
    <w:rsid w:val="00774FD7"/>
    <w:rsid w:val="00775338"/>
    <w:rsid w:val="0077535C"/>
    <w:rsid w:val="0077554A"/>
    <w:rsid w:val="0077572E"/>
    <w:rsid w:val="00775ABA"/>
    <w:rsid w:val="00775AD8"/>
    <w:rsid w:val="00775D03"/>
    <w:rsid w:val="007762E5"/>
    <w:rsid w:val="007763C2"/>
    <w:rsid w:val="007767DE"/>
    <w:rsid w:val="0077691E"/>
    <w:rsid w:val="00776C12"/>
    <w:rsid w:val="00776C60"/>
    <w:rsid w:val="00776CB7"/>
    <w:rsid w:val="00776F1D"/>
    <w:rsid w:val="007772F9"/>
    <w:rsid w:val="007773E4"/>
    <w:rsid w:val="00777466"/>
    <w:rsid w:val="00777478"/>
    <w:rsid w:val="007774D8"/>
    <w:rsid w:val="007775C8"/>
    <w:rsid w:val="007777DF"/>
    <w:rsid w:val="0078004B"/>
    <w:rsid w:val="00780083"/>
    <w:rsid w:val="007800BE"/>
    <w:rsid w:val="00780151"/>
    <w:rsid w:val="007801CD"/>
    <w:rsid w:val="00780582"/>
    <w:rsid w:val="00780651"/>
    <w:rsid w:val="00780A8F"/>
    <w:rsid w:val="00780B38"/>
    <w:rsid w:val="00780FF1"/>
    <w:rsid w:val="00781291"/>
    <w:rsid w:val="0078159C"/>
    <w:rsid w:val="007815D5"/>
    <w:rsid w:val="00781812"/>
    <w:rsid w:val="00781A3B"/>
    <w:rsid w:val="00781BD2"/>
    <w:rsid w:val="00781C36"/>
    <w:rsid w:val="00781CA6"/>
    <w:rsid w:val="00781DAB"/>
    <w:rsid w:val="00781F52"/>
    <w:rsid w:val="00781FBF"/>
    <w:rsid w:val="0078215E"/>
    <w:rsid w:val="007821D8"/>
    <w:rsid w:val="007823D7"/>
    <w:rsid w:val="007825D9"/>
    <w:rsid w:val="00782649"/>
    <w:rsid w:val="007829DA"/>
    <w:rsid w:val="00782B34"/>
    <w:rsid w:val="00782E84"/>
    <w:rsid w:val="00783315"/>
    <w:rsid w:val="00783324"/>
    <w:rsid w:val="007839EB"/>
    <w:rsid w:val="00783D1D"/>
    <w:rsid w:val="00783DE0"/>
    <w:rsid w:val="0078426A"/>
    <w:rsid w:val="007844B2"/>
    <w:rsid w:val="00784B83"/>
    <w:rsid w:val="00784C0C"/>
    <w:rsid w:val="00784D2F"/>
    <w:rsid w:val="007854AF"/>
    <w:rsid w:val="007854DF"/>
    <w:rsid w:val="00785C62"/>
    <w:rsid w:val="00785E43"/>
    <w:rsid w:val="0078613F"/>
    <w:rsid w:val="00786AAF"/>
    <w:rsid w:val="00786B06"/>
    <w:rsid w:val="00786B7A"/>
    <w:rsid w:val="00786D01"/>
    <w:rsid w:val="00786E81"/>
    <w:rsid w:val="00786E9F"/>
    <w:rsid w:val="00787037"/>
    <w:rsid w:val="00787410"/>
    <w:rsid w:val="00787557"/>
    <w:rsid w:val="00787B4F"/>
    <w:rsid w:val="00787C8B"/>
    <w:rsid w:val="00787CE7"/>
    <w:rsid w:val="00787DDB"/>
    <w:rsid w:val="00790837"/>
    <w:rsid w:val="00790C12"/>
    <w:rsid w:val="00790DAE"/>
    <w:rsid w:val="00790DC9"/>
    <w:rsid w:val="0079125F"/>
    <w:rsid w:val="00791382"/>
    <w:rsid w:val="0079150B"/>
    <w:rsid w:val="007915AC"/>
    <w:rsid w:val="0079165F"/>
    <w:rsid w:val="007916A0"/>
    <w:rsid w:val="00791809"/>
    <w:rsid w:val="00791C73"/>
    <w:rsid w:val="00792163"/>
    <w:rsid w:val="00792458"/>
    <w:rsid w:val="00792A6E"/>
    <w:rsid w:val="00793522"/>
    <w:rsid w:val="007936F0"/>
    <w:rsid w:val="00793A36"/>
    <w:rsid w:val="00793B06"/>
    <w:rsid w:val="0079413C"/>
    <w:rsid w:val="007943BD"/>
    <w:rsid w:val="007944D0"/>
    <w:rsid w:val="00794556"/>
    <w:rsid w:val="007946A0"/>
    <w:rsid w:val="0079483C"/>
    <w:rsid w:val="00794896"/>
    <w:rsid w:val="00795239"/>
    <w:rsid w:val="007953F8"/>
    <w:rsid w:val="0079564F"/>
    <w:rsid w:val="007958BB"/>
    <w:rsid w:val="00795DAB"/>
    <w:rsid w:val="00795E86"/>
    <w:rsid w:val="007963EB"/>
    <w:rsid w:val="00796413"/>
    <w:rsid w:val="00796762"/>
    <w:rsid w:val="00796983"/>
    <w:rsid w:val="00796F16"/>
    <w:rsid w:val="00797A44"/>
    <w:rsid w:val="00797BF7"/>
    <w:rsid w:val="00797EA1"/>
    <w:rsid w:val="007A058D"/>
    <w:rsid w:val="007A064E"/>
    <w:rsid w:val="007A143A"/>
    <w:rsid w:val="007A1493"/>
    <w:rsid w:val="007A160C"/>
    <w:rsid w:val="007A18F8"/>
    <w:rsid w:val="007A243B"/>
    <w:rsid w:val="007A2589"/>
    <w:rsid w:val="007A260E"/>
    <w:rsid w:val="007A2703"/>
    <w:rsid w:val="007A2909"/>
    <w:rsid w:val="007A295D"/>
    <w:rsid w:val="007A2A28"/>
    <w:rsid w:val="007A2D83"/>
    <w:rsid w:val="007A2D95"/>
    <w:rsid w:val="007A2E39"/>
    <w:rsid w:val="007A3018"/>
    <w:rsid w:val="007A3652"/>
    <w:rsid w:val="007A38FB"/>
    <w:rsid w:val="007A3E7E"/>
    <w:rsid w:val="007A3EF1"/>
    <w:rsid w:val="007A4109"/>
    <w:rsid w:val="007A429F"/>
    <w:rsid w:val="007A44FB"/>
    <w:rsid w:val="007A46AD"/>
    <w:rsid w:val="007A4776"/>
    <w:rsid w:val="007A4A3B"/>
    <w:rsid w:val="007A4B04"/>
    <w:rsid w:val="007A4FD7"/>
    <w:rsid w:val="007A50CE"/>
    <w:rsid w:val="007A515B"/>
    <w:rsid w:val="007A529A"/>
    <w:rsid w:val="007A5343"/>
    <w:rsid w:val="007A5761"/>
    <w:rsid w:val="007A583A"/>
    <w:rsid w:val="007A5959"/>
    <w:rsid w:val="007A5A01"/>
    <w:rsid w:val="007A5A02"/>
    <w:rsid w:val="007A5CDC"/>
    <w:rsid w:val="007A5CEC"/>
    <w:rsid w:val="007A5F3A"/>
    <w:rsid w:val="007A5F56"/>
    <w:rsid w:val="007A6005"/>
    <w:rsid w:val="007A6325"/>
    <w:rsid w:val="007A669B"/>
    <w:rsid w:val="007A69FA"/>
    <w:rsid w:val="007A6DF0"/>
    <w:rsid w:val="007A6F81"/>
    <w:rsid w:val="007A70C5"/>
    <w:rsid w:val="007A715F"/>
    <w:rsid w:val="007A7412"/>
    <w:rsid w:val="007A79B2"/>
    <w:rsid w:val="007A7C78"/>
    <w:rsid w:val="007A7DAF"/>
    <w:rsid w:val="007A7F20"/>
    <w:rsid w:val="007B01BF"/>
    <w:rsid w:val="007B0F79"/>
    <w:rsid w:val="007B1192"/>
    <w:rsid w:val="007B127F"/>
    <w:rsid w:val="007B1305"/>
    <w:rsid w:val="007B19E0"/>
    <w:rsid w:val="007B1B1B"/>
    <w:rsid w:val="007B1D81"/>
    <w:rsid w:val="007B1E87"/>
    <w:rsid w:val="007B26AE"/>
    <w:rsid w:val="007B2744"/>
    <w:rsid w:val="007B29E8"/>
    <w:rsid w:val="007B2ADB"/>
    <w:rsid w:val="007B320E"/>
    <w:rsid w:val="007B32E1"/>
    <w:rsid w:val="007B375F"/>
    <w:rsid w:val="007B37EA"/>
    <w:rsid w:val="007B3CB6"/>
    <w:rsid w:val="007B3D03"/>
    <w:rsid w:val="007B422A"/>
    <w:rsid w:val="007B427C"/>
    <w:rsid w:val="007B44C7"/>
    <w:rsid w:val="007B4782"/>
    <w:rsid w:val="007B4A5B"/>
    <w:rsid w:val="007B4ABC"/>
    <w:rsid w:val="007B4DB1"/>
    <w:rsid w:val="007B4DF2"/>
    <w:rsid w:val="007B511C"/>
    <w:rsid w:val="007B519A"/>
    <w:rsid w:val="007B567A"/>
    <w:rsid w:val="007B5E8B"/>
    <w:rsid w:val="007B5F44"/>
    <w:rsid w:val="007B6341"/>
    <w:rsid w:val="007B6397"/>
    <w:rsid w:val="007B6B55"/>
    <w:rsid w:val="007B71B0"/>
    <w:rsid w:val="007B71D5"/>
    <w:rsid w:val="007B71FF"/>
    <w:rsid w:val="007B7221"/>
    <w:rsid w:val="007B725D"/>
    <w:rsid w:val="007B75B5"/>
    <w:rsid w:val="007B75D8"/>
    <w:rsid w:val="007B76CB"/>
    <w:rsid w:val="007B7860"/>
    <w:rsid w:val="007B7972"/>
    <w:rsid w:val="007B79F4"/>
    <w:rsid w:val="007B7D2D"/>
    <w:rsid w:val="007B7FA3"/>
    <w:rsid w:val="007C00CF"/>
    <w:rsid w:val="007C05F1"/>
    <w:rsid w:val="007C0618"/>
    <w:rsid w:val="007C0813"/>
    <w:rsid w:val="007C0A86"/>
    <w:rsid w:val="007C0A87"/>
    <w:rsid w:val="007C0B39"/>
    <w:rsid w:val="007C0BA1"/>
    <w:rsid w:val="007C0D88"/>
    <w:rsid w:val="007C0F3D"/>
    <w:rsid w:val="007C10A7"/>
    <w:rsid w:val="007C1665"/>
    <w:rsid w:val="007C16E0"/>
    <w:rsid w:val="007C1D68"/>
    <w:rsid w:val="007C21EE"/>
    <w:rsid w:val="007C25A5"/>
    <w:rsid w:val="007C2A0C"/>
    <w:rsid w:val="007C2AC0"/>
    <w:rsid w:val="007C2BAB"/>
    <w:rsid w:val="007C2F38"/>
    <w:rsid w:val="007C30A0"/>
    <w:rsid w:val="007C3A00"/>
    <w:rsid w:val="007C3A1E"/>
    <w:rsid w:val="007C432F"/>
    <w:rsid w:val="007C4607"/>
    <w:rsid w:val="007C4853"/>
    <w:rsid w:val="007C497C"/>
    <w:rsid w:val="007C4FD2"/>
    <w:rsid w:val="007C5158"/>
    <w:rsid w:val="007C51C1"/>
    <w:rsid w:val="007C5271"/>
    <w:rsid w:val="007C5762"/>
    <w:rsid w:val="007C5A58"/>
    <w:rsid w:val="007C5B2B"/>
    <w:rsid w:val="007C5CED"/>
    <w:rsid w:val="007C5DE7"/>
    <w:rsid w:val="007C62F8"/>
    <w:rsid w:val="007C6A23"/>
    <w:rsid w:val="007C6B84"/>
    <w:rsid w:val="007C6B92"/>
    <w:rsid w:val="007C6E3C"/>
    <w:rsid w:val="007C6F06"/>
    <w:rsid w:val="007C7129"/>
    <w:rsid w:val="007C757E"/>
    <w:rsid w:val="007C7719"/>
    <w:rsid w:val="007D04A1"/>
    <w:rsid w:val="007D05F7"/>
    <w:rsid w:val="007D0887"/>
    <w:rsid w:val="007D0C0B"/>
    <w:rsid w:val="007D0D74"/>
    <w:rsid w:val="007D0EA4"/>
    <w:rsid w:val="007D0F48"/>
    <w:rsid w:val="007D116F"/>
    <w:rsid w:val="007D1868"/>
    <w:rsid w:val="007D18C5"/>
    <w:rsid w:val="007D193C"/>
    <w:rsid w:val="007D225C"/>
    <w:rsid w:val="007D2790"/>
    <w:rsid w:val="007D2AD5"/>
    <w:rsid w:val="007D2C7A"/>
    <w:rsid w:val="007D376B"/>
    <w:rsid w:val="007D3D5D"/>
    <w:rsid w:val="007D3EDB"/>
    <w:rsid w:val="007D4047"/>
    <w:rsid w:val="007D448A"/>
    <w:rsid w:val="007D4B56"/>
    <w:rsid w:val="007D4E9D"/>
    <w:rsid w:val="007D4FC1"/>
    <w:rsid w:val="007D53E9"/>
    <w:rsid w:val="007D5594"/>
    <w:rsid w:val="007D5A50"/>
    <w:rsid w:val="007D5C3F"/>
    <w:rsid w:val="007D5CC7"/>
    <w:rsid w:val="007D6287"/>
    <w:rsid w:val="007D636B"/>
    <w:rsid w:val="007D63E6"/>
    <w:rsid w:val="007D65AD"/>
    <w:rsid w:val="007D697F"/>
    <w:rsid w:val="007D6AA0"/>
    <w:rsid w:val="007D6ADB"/>
    <w:rsid w:val="007D6AE7"/>
    <w:rsid w:val="007D6CFB"/>
    <w:rsid w:val="007D6DF7"/>
    <w:rsid w:val="007D74F0"/>
    <w:rsid w:val="007D7511"/>
    <w:rsid w:val="007D76B8"/>
    <w:rsid w:val="007D7867"/>
    <w:rsid w:val="007D790E"/>
    <w:rsid w:val="007D7A48"/>
    <w:rsid w:val="007D7B80"/>
    <w:rsid w:val="007E00E8"/>
    <w:rsid w:val="007E02EF"/>
    <w:rsid w:val="007E053D"/>
    <w:rsid w:val="007E079C"/>
    <w:rsid w:val="007E0E24"/>
    <w:rsid w:val="007E0FA3"/>
    <w:rsid w:val="007E10FB"/>
    <w:rsid w:val="007E1271"/>
    <w:rsid w:val="007E1302"/>
    <w:rsid w:val="007E1343"/>
    <w:rsid w:val="007E1362"/>
    <w:rsid w:val="007E1607"/>
    <w:rsid w:val="007E1EB0"/>
    <w:rsid w:val="007E2117"/>
    <w:rsid w:val="007E2208"/>
    <w:rsid w:val="007E22BE"/>
    <w:rsid w:val="007E2465"/>
    <w:rsid w:val="007E2AD9"/>
    <w:rsid w:val="007E2C2D"/>
    <w:rsid w:val="007E2D6B"/>
    <w:rsid w:val="007E2EDE"/>
    <w:rsid w:val="007E2EEA"/>
    <w:rsid w:val="007E30CC"/>
    <w:rsid w:val="007E3833"/>
    <w:rsid w:val="007E3CDC"/>
    <w:rsid w:val="007E3EBC"/>
    <w:rsid w:val="007E4000"/>
    <w:rsid w:val="007E4AC5"/>
    <w:rsid w:val="007E4B23"/>
    <w:rsid w:val="007E574B"/>
    <w:rsid w:val="007E5750"/>
    <w:rsid w:val="007E5859"/>
    <w:rsid w:val="007E59F7"/>
    <w:rsid w:val="007E5AAF"/>
    <w:rsid w:val="007E5F30"/>
    <w:rsid w:val="007E5FD0"/>
    <w:rsid w:val="007E5FF8"/>
    <w:rsid w:val="007E604E"/>
    <w:rsid w:val="007E605A"/>
    <w:rsid w:val="007E64F4"/>
    <w:rsid w:val="007E6923"/>
    <w:rsid w:val="007E6988"/>
    <w:rsid w:val="007E6D4F"/>
    <w:rsid w:val="007E6F4C"/>
    <w:rsid w:val="007E7377"/>
    <w:rsid w:val="007E75A3"/>
    <w:rsid w:val="007E7C78"/>
    <w:rsid w:val="007F04AF"/>
    <w:rsid w:val="007F0623"/>
    <w:rsid w:val="007F062E"/>
    <w:rsid w:val="007F0C5A"/>
    <w:rsid w:val="007F0E60"/>
    <w:rsid w:val="007F0F24"/>
    <w:rsid w:val="007F11AE"/>
    <w:rsid w:val="007F1906"/>
    <w:rsid w:val="007F1954"/>
    <w:rsid w:val="007F19EC"/>
    <w:rsid w:val="007F1BA1"/>
    <w:rsid w:val="007F1F6E"/>
    <w:rsid w:val="007F25A3"/>
    <w:rsid w:val="007F29C2"/>
    <w:rsid w:val="007F2E18"/>
    <w:rsid w:val="007F30CD"/>
    <w:rsid w:val="007F3248"/>
    <w:rsid w:val="007F33BF"/>
    <w:rsid w:val="007F3A3E"/>
    <w:rsid w:val="007F3C44"/>
    <w:rsid w:val="007F3F80"/>
    <w:rsid w:val="007F415E"/>
    <w:rsid w:val="007F452D"/>
    <w:rsid w:val="007F4681"/>
    <w:rsid w:val="007F4AC5"/>
    <w:rsid w:val="007F52BB"/>
    <w:rsid w:val="007F5B01"/>
    <w:rsid w:val="007F5CFC"/>
    <w:rsid w:val="007F6277"/>
    <w:rsid w:val="007F6654"/>
    <w:rsid w:val="007F667E"/>
    <w:rsid w:val="007F699C"/>
    <w:rsid w:val="007F6EC4"/>
    <w:rsid w:val="007F6F6C"/>
    <w:rsid w:val="007F7593"/>
    <w:rsid w:val="007F77E5"/>
    <w:rsid w:val="007F7BDE"/>
    <w:rsid w:val="00800243"/>
    <w:rsid w:val="008002A0"/>
    <w:rsid w:val="008007C8"/>
    <w:rsid w:val="008009DC"/>
    <w:rsid w:val="00800D5F"/>
    <w:rsid w:val="00800D9D"/>
    <w:rsid w:val="00800FA6"/>
    <w:rsid w:val="008011BB"/>
    <w:rsid w:val="00801772"/>
    <w:rsid w:val="008017B1"/>
    <w:rsid w:val="008018D3"/>
    <w:rsid w:val="00801936"/>
    <w:rsid w:val="00801A32"/>
    <w:rsid w:val="00802289"/>
    <w:rsid w:val="0080264C"/>
    <w:rsid w:val="00802662"/>
    <w:rsid w:val="00802695"/>
    <w:rsid w:val="00802EE2"/>
    <w:rsid w:val="00802FEB"/>
    <w:rsid w:val="008037E1"/>
    <w:rsid w:val="00803958"/>
    <w:rsid w:val="00803B81"/>
    <w:rsid w:val="00803C56"/>
    <w:rsid w:val="00804041"/>
    <w:rsid w:val="00804293"/>
    <w:rsid w:val="008042B2"/>
    <w:rsid w:val="0080450E"/>
    <w:rsid w:val="00804B1E"/>
    <w:rsid w:val="00804CE8"/>
    <w:rsid w:val="00805428"/>
    <w:rsid w:val="008058DA"/>
    <w:rsid w:val="008059AC"/>
    <w:rsid w:val="008059BC"/>
    <w:rsid w:val="00805A22"/>
    <w:rsid w:val="00805CE0"/>
    <w:rsid w:val="008060A7"/>
    <w:rsid w:val="008061E9"/>
    <w:rsid w:val="008061F9"/>
    <w:rsid w:val="00806488"/>
    <w:rsid w:val="008065F4"/>
    <w:rsid w:val="00806BE6"/>
    <w:rsid w:val="00807107"/>
    <w:rsid w:val="00807870"/>
    <w:rsid w:val="00807A58"/>
    <w:rsid w:val="00807EDA"/>
    <w:rsid w:val="0081008A"/>
    <w:rsid w:val="00810360"/>
    <w:rsid w:val="00810624"/>
    <w:rsid w:val="00810787"/>
    <w:rsid w:val="008109D5"/>
    <w:rsid w:val="00810A51"/>
    <w:rsid w:val="00810CFB"/>
    <w:rsid w:val="00810D9F"/>
    <w:rsid w:val="00810E19"/>
    <w:rsid w:val="0081122E"/>
    <w:rsid w:val="00811638"/>
    <w:rsid w:val="00811CA2"/>
    <w:rsid w:val="00811D36"/>
    <w:rsid w:val="00812177"/>
    <w:rsid w:val="008124F2"/>
    <w:rsid w:val="00812664"/>
    <w:rsid w:val="0081266B"/>
    <w:rsid w:val="0081292C"/>
    <w:rsid w:val="00812B26"/>
    <w:rsid w:val="00812B4F"/>
    <w:rsid w:val="0081346A"/>
    <w:rsid w:val="0081346F"/>
    <w:rsid w:val="008134F3"/>
    <w:rsid w:val="0081353F"/>
    <w:rsid w:val="008135A6"/>
    <w:rsid w:val="00813D29"/>
    <w:rsid w:val="00813E6B"/>
    <w:rsid w:val="00814266"/>
    <w:rsid w:val="008143E3"/>
    <w:rsid w:val="0081473C"/>
    <w:rsid w:val="00814AE7"/>
    <w:rsid w:val="008152E5"/>
    <w:rsid w:val="00815382"/>
    <w:rsid w:val="00815B5A"/>
    <w:rsid w:val="00815C64"/>
    <w:rsid w:val="00815ED4"/>
    <w:rsid w:val="00816264"/>
    <w:rsid w:val="00816365"/>
    <w:rsid w:val="008167C0"/>
    <w:rsid w:val="008167E4"/>
    <w:rsid w:val="008168E5"/>
    <w:rsid w:val="00816A2B"/>
    <w:rsid w:val="00816CA6"/>
    <w:rsid w:val="00816CBA"/>
    <w:rsid w:val="00816FE8"/>
    <w:rsid w:val="008172DA"/>
    <w:rsid w:val="00817511"/>
    <w:rsid w:val="0081766B"/>
    <w:rsid w:val="00817D7F"/>
    <w:rsid w:val="00817FBD"/>
    <w:rsid w:val="0082002B"/>
    <w:rsid w:val="00820747"/>
    <w:rsid w:val="00820DEA"/>
    <w:rsid w:val="00821263"/>
    <w:rsid w:val="00821341"/>
    <w:rsid w:val="00821443"/>
    <w:rsid w:val="00821793"/>
    <w:rsid w:val="0082197B"/>
    <w:rsid w:val="00821CCE"/>
    <w:rsid w:val="00821DE0"/>
    <w:rsid w:val="00821ECE"/>
    <w:rsid w:val="008221B4"/>
    <w:rsid w:val="008224DC"/>
    <w:rsid w:val="0082261A"/>
    <w:rsid w:val="0082274E"/>
    <w:rsid w:val="00822800"/>
    <w:rsid w:val="00822819"/>
    <w:rsid w:val="00822909"/>
    <w:rsid w:val="00822AC9"/>
    <w:rsid w:val="00822E41"/>
    <w:rsid w:val="0082316E"/>
    <w:rsid w:val="008231A1"/>
    <w:rsid w:val="008234A0"/>
    <w:rsid w:val="00823601"/>
    <w:rsid w:val="0082379D"/>
    <w:rsid w:val="00823840"/>
    <w:rsid w:val="00823983"/>
    <w:rsid w:val="00823CA7"/>
    <w:rsid w:val="00823E51"/>
    <w:rsid w:val="00823F97"/>
    <w:rsid w:val="0082412E"/>
    <w:rsid w:val="00824486"/>
    <w:rsid w:val="00824751"/>
    <w:rsid w:val="00824775"/>
    <w:rsid w:val="00824A07"/>
    <w:rsid w:val="00824EA7"/>
    <w:rsid w:val="008250C3"/>
    <w:rsid w:val="00825199"/>
    <w:rsid w:val="00825276"/>
    <w:rsid w:val="008254EE"/>
    <w:rsid w:val="0082570F"/>
    <w:rsid w:val="008260E8"/>
    <w:rsid w:val="00826249"/>
    <w:rsid w:val="00826826"/>
    <w:rsid w:val="00826C42"/>
    <w:rsid w:val="00826E9F"/>
    <w:rsid w:val="00826FA1"/>
    <w:rsid w:val="00827024"/>
    <w:rsid w:val="008271DC"/>
    <w:rsid w:val="0082731A"/>
    <w:rsid w:val="00827AC5"/>
    <w:rsid w:val="00827DA4"/>
    <w:rsid w:val="00827F26"/>
    <w:rsid w:val="008300E7"/>
    <w:rsid w:val="00830258"/>
    <w:rsid w:val="00830296"/>
    <w:rsid w:val="00830347"/>
    <w:rsid w:val="0083068E"/>
    <w:rsid w:val="008309F6"/>
    <w:rsid w:val="00830B32"/>
    <w:rsid w:val="00830CB6"/>
    <w:rsid w:val="00830D14"/>
    <w:rsid w:val="00830F49"/>
    <w:rsid w:val="008318B1"/>
    <w:rsid w:val="00831C39"/>
    <w:rsid w:val="00831EFE"/>
    <w:rsid w:val="008321D0"/>
    <w:rsid w:val="008321E9"/>
    <w:rsid w:val="008322A9"/>
    <w:rsid w:val="0083268D"/>
    <w:rsid w:val="008326AC"/>
    <w:rsid w:val="00832881"/>
    <w:rsid w:val="008328C9"/>
    <w:rsid w:val="00832946"/>
    <w:rsid w:val="008329C7"/>
    <w:rsid w:val="00832E6A"/>
    <w:rsid w:val="008334D5"/>
    <w:rsid w:val="00833861"/>
    <w:rsid w:val="00833B51"/>
    <w:rsid w:val="00833D05"/>
    <w:rsid w:val="00833D23"/>
    <w:rsid w:val="008340A2"/>
    <w:rsid w:val="008342F4"/>
    <w:rsid w:val="008343BF"/>
    <w:rsid w:val="008344E4"/>
    <w:rsid w:val="008348FE"/>
    <w:rsid w:val="0083499C"/>
    <w:rsid w:val="00834A9B"/>
    <w:rsid w:val="00834AFB"/>
    <w:rsid w:val="00834C2D"/>
    <w:rsid w:val="008351C8"/>
    <w:rsid w:val="00835356"/>
    <w:rsid w:val="008355FB"/>
    <w:rsid w:val="00835616"/>
    <w:rsid w:val="00835A32"/>
    <w:rsid w:val="00835A73"/>
    <w:rsid w:val="00835E69"/>
    <w:rsid w:val="00835E7A"/>
    <w:rsid w:val="0083606A"/>
    <w:rsid w:val="008365EB"/>
    <w:rsid w:val="00836806"/>
    <w:rsid w:val="00836BF3"/>
    <w:rsid w:val="00836D89"/>
    <w:rsid w:val="00836DAB"/>
    <w:rsid w:val="00836EC0"/>
    <w:rsid w:val="00836F96"/>
    <w:rsid w:val="00837452"/>
    <w:rsid w:val="008374D4"/>
    <w:rsid w:val="0083769C"/>
    <w:rsid w:val="00837702"/>
    <w:rsid w:val="00837B16"/>
    <w:rsid w:val="00837D82"/>
    <w:rsid w:val="00837E37"/>
    <w:rsid w:val="00840049"/>
    <w:rsid w:val="008403EE"/>
    <w:rsid w:val="008405D8"/>
    <w:rsid w:val="008406A5"/>
    <w:rsid w:val="008406E4"/>
    <w:rsid w:val="00840BC8"/>
    <w:rsid w:val="00840DF3"/>
    <w:rsid w:val="00840E58"/>
    <w:rsid w:val="008410AD"/>
    <w:rsid w:val="00841251"/>
    <w:rsid w:val="008414D2"/>
    <w:rsid w:val="0084173F"/>
    <w:rsid w:val="00841793"/>
    <w:rsid w:val="008420CE"/>
    <w:rsid w:val="00842162"/>
    <w:rsid w:val="0084216A"/>
    <w:rsid w:val="00842385"/>
    <w:rsid w:val="008424DC"/>
    <w:rsid w:val="008424F3"/>
    <w:rsid w:val="0084287F"/>
    <w:rsid w:val="008428CA"/>
    <w:rsid w:val="00842B8B"/>
    <w:rsid w:val="00843025"/>
    <w:rsid w:val="008430E8"/>
    <w:rsid w:val="008432E9"/>
    <w:rsid w:val="0084343B"/>
    <w:rsid w:val="00843F9E"/>
    <w:rsid w:val="00844138"/>
    <w:rsid w:val="0084446C"/>
    <w:rsid w:val="0084535C"/>
    <w:rsid w:val="008453D2"/>
    <w:rsid w:val="00845439"/>
    <w:rsid w:val="00845E2E"/>
    <w:rsid w:val="00845E80"/>
    <w:rsid w:val="00846066"/>
    <w:rsid w:val="008461D7"/>
    <w:rsid w:val="008467AC"/>
    <w:rsid w:val="00846A9E"/>
    <w:rsid w:val="00846FA0"/>
    <w:rsid w:val="008470B7"/>
    <w:rsid w:val="008470E2"/>
    <w:rsid w:val="00847AE4"/>
    <w:rsid w:val="00847C2E"/>
    <w:rsid w:val="00847F5D"/>
    <w:rsid w:val="00850037"/>
    <w:rsid w:val="008501BC"/>
    <w:rsid w:val="0085028F"/>
    <w:rsid w:val="00850292"/>
    <w:rsid w:val="008503A3"/>
    <w:rsid w:val="00850A0C"/>
    <w:rsid w:val="00850A37"/>
    <w:rsid w:val="00850BF6"/>
    <w:rsid w:val="00850D25"/>
    <w:rsid w:val="00850F24"/>
    <w:rsid w:val="0085149F"/>
    <w:rsid w:val="0085186F"/>
    <w:rsid w:val="008518B0"/>
    <w:rsid w:val="00851970"/>
    <w:rsid w:val="00851A03"/>
    <w:rsid w:val="00851E9B"/>
    <w:rsid w:val="008520AD"/>
    <w:rsid w:val="008526AE"/>
    <w:rsid w:val="00852895"/>
    <w:rsid w:val="008528A8"/>
    <w:rsid w:val="00852CAD"/>
    <w:rsid w:val="00852D7A"/>
    <w:rsid w:val="00852D7C"/>
    <w:rsid w:val="00853167"/>
    <w:rsid w:val="008533B4"/>
    <w:rsid w:val="0085344D"/>
    <w:rsid w:val="0085347B"/>
    <w:rsid w:val="00853689"/>
    <w:rsid w:val="0085380F"/>
    <w:rsid w:val="00853D5C"/>
    <w:rsid w:val="008540D9"/>
    <w:rsid w:val="008542AD"/>
    <w:rsid w:val="00854363"/>
    <w:rsid w:val="008543A7"/>
    <w:rsid w:val="0085440F"/>
    <w:rsid w:val="008544E6"/>
    <w:rsid w:val="0085479D"/>
    <w:rsid w:val="0085481A"/>
    <w:rsid w:val="008548E8"/>
    <w:rsid w:val="008549F0"/>
    <w:rsid w:val="00854CC7"/>
    <w:rsid w:val="00854DFB"/>
    <w:rsid w:val="00854ED2"/>
    <w:rsid w:val="00854FD1"/>
    <w:rsid w:val="008553C8"/>
    <w:rsid w:val="008554E2"/>
    <w:rsid w:val="0085552C"/>
    <w:rsid w:val="00855AC6"/>
    <w:rsid w:val="00856C5E"/>
    <w:rsid w:val="00856DF6"/>
    <w:rsid w:val="00856E39"/>
    <w:rsid w:val="008574C1"/>
    <w:rsid w:val="008574D6"/>
    <w:rsid w:val="0085767F"/>
    <w:rsid w:val="00857727"/>
    <w:rsid w:val="00857AEB"/>
    <w:rsid w:val="00857D49"/>
    <w:rsid w:val="00857D9D"/>
    <w:rsid w:val="00860281"/>
    <w:rsid w:val="00860A09"/>
    <w:rsid w:val="00860C72"/>
    <w:rsid w:val="0086105B"/>
    <w:rsid w:val="00861221"/>
    <w:rsid w:val="0086126F"/>
    <w:rsid w:val="00861A95"/>
    <w:rsid w:val="00861BAB"/>
    <w:rsid w:val="00861DE9"/>
    <w:rsid w:val="00861EAF"/>
    <w:rsid w:val="0086202E"/>
    <w:rsid w:val="008629A4"/>
    <w:rsid w:val="00862A40"/>
    <w:rsid w:val="00863259"/>
    <w:rsid w:val="00863327"/>
    <w:rsid w:val="00863FCC"/>
    <w:rsid w:val="008640DF"/>
    <w:rsid w:val="0086504C"/>
    <w:rsid w:val="008650D0"/>
    <w:rsid w:val="008652F8"/>
    <w:rsid w:val="00865483"/>
    <w:rsid w:val="008654FC"/>
    <w:rsid w:val="00865678"/>
    <w:rsid w:val="0086583C"/>
    <w:rsid w:val="00865AD4"/>
    <w:rsid w:val="00865E7D"/>
    <w:rsid w:val="008660AD"/>
    <w:rsid w:val="008671C9"/>
    <w:rsid w:val="008675DA"/>
    <w:rsid w:val="00867B70"/>
    <w:rsid w:val="00867C44"/>
    <w:rsid w:val="00867E6A"/>
    <w:rsid w:val="0087045B"/>
    <w:rsid w:val="00870698"/>
    <w:rsid w:val="008706D4"/>
    <w:rsid w:val="00870A89"/>
    <w:rsid w:val="00870BB8"/>
    <w:rsid w:val="00870E88"/>
    <w:rsid w:val="00870F9A"/>
    <w:rsid w:val="00871084"/>
    <w:rsid w:val="00872107"/>
    <w:rsid w:val="00872490"/>
    <w:rsid w:val="00872A9C"/>
    <w:rsid w:val="00872CC7"/>
    <w:rsid w:val="00872D93"/>
    <w:rsid w:val="00872E0C"/>
    <w:rsid w:val="00873007"/>
    <w:rsid w:val="00873039"/>
    <w:rsid w:val="0087315D"/>
    <w:rsid w:val="00873496"/>
    <w:rsid w:val="008742C1"/>
    <w:rsid w:val="00874553"/>
    <w:rsid w:val="00874D8F"/>
    <w:rsid w:val="00874ED9"/>
    <w:rsid w:val="00874FB8"/>
    <w:rsid w:val="00875181"/>
    <w:rsid w:val="00875208"/>
    <w:rsid w:val="00875768"/>
    <w:rsid w:val="00875F3B"/>
    <w:rsid w:val="00876237"/>
    <w:rsid w:val="0087691D"/>
    <w:rsid w:val="00876D6B"/>
    <w:rsid w:val="008771B5"/>
    <w:rsid w:val="0087743A"/>
    <w:rsid w:val="00877827"/>
    <w:rsid w:val="00877B02"/>
    <w:rsid w:val="00877CED"/>
    <w:rsid w:val="00877EDD"/>
    <w:rsid w:val="00880228"/>
    <w:rsid w:val="008803A9"/>
    <w:rsid w:val="008803C8"/>
    <w:rsid w:val="008804B5"/>
    <w:rsid w:val="00880CFE"/>
    <w:rsid w:val="00881224"/>
    <w:rsid w:val="008813AB"/>
    <w:rsid w:val="008813B7"/>
    <w:rsid w:val="008814D0"/>
    <w:rsid w:val="008815B4"/>
    <w:rsid w:val="008816D6"/>
    <w:rsid w:val="0088170B"/>
    <w:rsid w:val="0088174A"/>
    <w:rsid w:val="00881A0C"/>
    <w:rsid w:val="00881C1F"/>
    <w:rsid w:val="00881D38"/>
    <w:rsid w:val="00881DB2"/>
    <w:rsid w:val="00881F56"/>
    <w:rsid w:val="00881F60"/>
    <w:rsid w:val="00881FE9"/>
    <w:rsid w:val="0088221C"/>
    <w:rsid w:val="0088226D"/>
    <w:rsid w:val="00882752"/>
    <w:rsid w:val="00882BA6"/>
    <w:rsid w:val="00882BFD"/>
    <w:rsid w:val="00882C05"/>
    <w:rsid w:val="00882CE4"/>
    <w:rsid w:val="00882E5C"/>
    <w:rsid w:val="00882F1D"/>
    <w:rsid w:val="00883053"/>
    <w:rsid w:val="0088369A"/>
    <w:rsid w:val="008836F3"/>
    <w:rsid w:val="0088419F"/>
    <w:rsid w:val="0088426A"/>
    <w:rsid w:val="00884311"/>
    <w:rsid w:val="008846EB"/>
    <w:rsid w:val="00884793"/>
    <w:rsid w:val="008847A1"/>
    <w:rsid w:val="00884B78"/>
    <w:rsid w:val="008850FF"/>
    <w:rsid w:val="0088511B"/>
    <w:rsid w:val="00885335"/>
    <w:rsid w:val="00885409"/>
    <w:rsid w:val="008854DA"/>
    <w:rsid w:val="00885736"/>
    <w:rsid w:val="008859CB"/>
    <w:rsid w:val="00885BBE"/>
    <w:rsid w:val="00885ED3"/>
    <w:rsid w:val="008867D7"/>
    <w:rsid w:val="008868F1"/>
    <w:rsid w:val="00886C98"/>
    <w:rsid w:val="00886DE8"/>
    <w:rsid w:val="00886EBF"/>
    <w:rsid w:val="008870B5"/>
    <w:rsid w:val="008871DD"/>
    <w:rsid w:val="00887F5F"/>
    <w:rsid w:val="0089003E"/>
    <w:rsid w:val="00890073"/>
    <w:rsid w:val="008900D3"/>
    <w:rsid w:val="00890177"/>
    <w:rsid w:val="00890395"/>
    <w:rsid w:val="00890D02"/>
    <w:rsid w:val="00890DD8"/>
    <w:rsid w:val="00890E4E"/>
    <w:rsid w:val="00890EAD"/>
    <w:rsid w:val="00891024"/>
    <w:rsid w:val="008910D3"/>
    <w:rsid w:val="008911B5"/>
    <w:rsid w:val="008913AB"/>
    <w:rsid w:val="00891B31"/>
    <w:rsid w:val="00891F53"/>
    <w:rsid w:val="00891F73"/>
    <w:rsid w:val="0089242A"/>
    <w:rsid w:val="00892A70"/>
    <w:rsid w:val="00892B05"/>
    <w:rsid w:val="00892B06"/>
    <w:rsid w:val="00892B0D"/>
    <w:rsid w:val="00892BBD"/>
    <w:rsid w:val="00892C1A"/>
    <w:rsid w:val="00892ECE"/>
    <w:rsid w:val="0089304C"/>
    <w:rsid w:val="008932A6"/>
    <w:rsid w:val="00893450"/>
    <w:rsid w:val="00894031"/>
    <w:rsid w:val="008941B3"/>
    <w:rsid w:val="008943E6"/>
    <w:rsid w:val="0089473E"/>
    <w:rsid w:val="0089478B"/>
    <w:rsid w:val="008949B7"/>
    <w:rsid w:val="00894A89"/>
    <w:rsid w:val="00894F0A"/>
    <w:rsid w:val="0089524A"/>
    <w:rsid w:val="0089527E"/>
    <w:rsid w:val="00895952"/>
    <w:rsid w:val="00895991"/>
    <w:rsid w:val="00895F4E"/>
    <w:rsid w:val="0089611E"/>
    <w:rsid w:val="0089625E"/>
    <w:rsid w:val="00896613"/>
    <w:rsid w:val="00896896"/>
    <w:rsid w:val="00896BCC"/>
    <w:rsid w:val="0089703A"/>
    <w:rsid w:val="008970FB"/>
    <w:rsid w:val="008971AB"/>
    <w:rsid w:val="00897391"/>
    <w:rsid w:val="00897CA9"/>
    <w:rsid w:val="00897E0C"/>
    <w:rsid w:val="00897E26"/>
    <w:rsid w:val="008A082E"/>
    <w:rsid w:val="008A082F"/>
    <w:rsid w:val="008A08EB"/>
    <w:rsid w:val="008A09BE"/>
    <w:rsid w:val="008A0A5E"/>
    <w:rsid w:val="008A0B3A"/>
    <w:rsid w:val="008A0B7A"/>
    <w:rsid w:val="008A1353"/>
    <w:rsid w:val="008A180A"/>
    <w:rsid w:val="008A1A42"/>
    <w:rsid w:val="008A1BD8"/>
    <w:rsid w:val="008A2324"/>
    <w:rsid w:val="008A23E8"/>
    <w:rsid w:val="008A25D6"/>
    <w:rsid w:val="008A25D9"/>
    <w:rsid w:val="008A28BC"/>
    <w:rsid w:val="008A29F0"/>
    <w:rsid w:val="008A2B9A"/>
    <w:rsid w:val="008A2BF0"/>
    <w:rsid w:val="008A2E7B"/>
    <w:rsid w:val="008A2FA1"/>
    <w:rsid w:val="008A3144"/>
    <w:rsid w:val="008A32B6"/>
    <w:rsid w:val="008A3399"/>
    <w:rsid w:val="008A376C"/>
    <w:rsid w:val="008A388F"/>
    <w:rsid w:val="008A4044"/>
    <w:rsid w:val="008A43A9"/>
    <w:rsid w:val="008A4442"/>
    <w:rsid w:val="008A44AB"/>
    <w:rsid w:val="008A4649"/>
    <w:rsid w:val="008A47B2"/>
    <w:rsid w:val="008A4DEE"/>
    <w:rsid w:val="008A4E0B"/>
    <w:rsid w:val="008A569E"/>
    <w:rsid w:val="008A5D4D"/>
    <w:rsid w:val="008A5D53"/>
    <w:rsid w:val="008A5DA0"/>
    <w:rsid w:val="008A5DA5"/>
    <w:rsid w:val="008A5FF7"/>
    <w:rsid w:val="008A62F7"/>
    <w:rsid w:val="008A705A"/>
    <w:rsid w:val="008A79DA"/>
    <w:rsid w:val="008A7E23"/>
    <w:rsid w:val="008B01AA"/>
    <w:rsid w:val="008B051E"/>
    <w:rsid w:val="008B06B7"/>
    <w:rsid w:val="008B07B5"/>
    <w:rsid w:val="008B0841"/>
    <w:rsid w:val="008B097C"/>
    <w:rsid w:val="008B09D6"/>
    <w:rsid w:val="008B09DF"/>
    <w:rsid w:val="008B0CC8"/>
    <w:rsid w:val="008B1063"/>
    <w:rsid w:val="008B10DA"/>
    <w:rsid w:val="008B1120"/>
    <w:rsid w:val="008B13AE"/>
    <w:rsid w:val="008B1428"/>
    <w:rsid w:val="008B2148"/>
    <w:rsid w:val="008B2151"/>
    <w:rsid w:val="008B2969"/>
    <w:rsid w:val="008B2BAC"/>
    <w:rsid w:val="008B3458"/>
    <w:rsid w:val="008B34AF"/>
    <w:rsid w:val="008B3525"/>
    <w:rsid w:val="008B387E"/>
    <w:rsid w:val="008B3B4B"/>
    <w:rsid w:val="008B406C"/>
    <w:rsid w:val="008B42A3"/>
    <w:rsid w:val="008B4482"/>
    <w:rsid w:val="008B4947"/>
    <w:rsid w:val="008B4BF5"/>
    <w:rsid w:val="008B4C33"/>
    <w:rsid w:val="008B4C95"/>
    <w:rsid w:val="008B4CE1"/>
    <w:rsid w:val="008B4D53"/>
    <w:rsid w:val="008B4E7B"/>
    <w:rsid w:val="008B539C"/>
    <w:rsid w:val="008B56E8"/>
    <w:rsid w:val="008B5ADA"/>
    <w:rsid w:val="008B5CD3"/>
    <w:rsid w:val="008B5D8A"/>
    <w:rsid w:val="008B5FAB"/>
    <w:rsid w:val="008B6169"/>
    <w:rsid w:val="008B632F"/>
    <w:rsid w:val="008B6363"/>
    <w:rsid w:val="008B680F"/>
    <w:rsid w:val="008B6BDF"/>
    <w:rsid w:val="008B6CF6"/>
    <w:rsid w:val="008B6D5B"/>
    <w:rsid w:val="008B6F40"/>
    <w:rsid w:val="008B701F"/>
    <w:rsid w:val="008B70A2"/>
    <w:rsid w:val="008B7234"/>
    <w:rsid w:val="008B72EA"/>
    <w:rsid w:val="008B7552"/>
    <w:rsid w:val="008B7862"/>
    <w:rsid w:val="008B7CA4"/>
    <w:rsid w:val="008B7F82"/>
    <w:rsid w:val="008B7F93"/>
    <w:rsid w:val="008C0044"/>
    <w:rsid w:val="008C0632"/>
    <w:rsid w:val="008C1495"/>
    <w:rsid w:val="008C16FA"/>
    <w:rsid w:val="008C1EA3"/>
    <w:rsid w:val="008C211B"/>
    <w:rsid w:val="008C2904"/>
    <w:rsid w:val="008C294A"/>
    <w:rsid w:val="008C3359"/>
    <w:rsid w:val="008C3462"/>
    <w:rsid w:val="008C385C"/>
    <w:rsid w:val="008C387C"/>
    <w:rsid w:val="008C39E1"/>
    <w:rsid w:val="008C4032"/>
    <w:rsid w:val="008C42DA"/>
    <w:rsid w:val="008C5D0A"/>
    <w:rsid w:val="008C5D23"/>
    <w:rsid w:val="008C62D8"/>
    <w:rsid w:val="008C6462"/>
    <w:rsid w:val="008C67F8"/>
    <w:rsid w:val="008C6C2A"/>
    <w:rsid w:val="008C71E4"/>
    <w:rsid w:val="008C744B"/>
    <w:rsid w:val="008C792F"/>
    <w:rsid w:val="008C7982"/>
    <w:rsid w:val="008D0326"/>
    <w:rsid w:val="008D0352"/>
    <w:rsid w:val="008D0550"/>
    <w:rsid w:val="008D0960"/>
    <w:rsid w:val="008D0AEC"/>
    <w:rsid w:val="008D0B19"/>
    <w:rsid w:val="008D0EFB"/>
    <w:rsid w:val="008D16A9"/>
    <w:rsid w:val="008D19C5"/>
    <w:rsid w:val="008D19FF"/>
    <w:rsid w:val="008D1A82"/>
    <w:rsid w:val="008D220B"/>
    <w:rsid w:val="008D22F4"/>
    <w:rsid w:val="008D266B"/>
    <w:rsid w:val="008D2A58"/>
    <w:rsid w:val="008D2A81"/>
    <w:rsid w:val="008D2A9E"/>
    <w:rsid w:val="008D2C40"/>
    <w:rsid w:val="008D2D5C"/>
    <w:rsid w:val="008D2E46"/>
    <w:rsid w:val="008D2E4E"/>
    <w:rsid w:val="008D3495"/>
    <w:rsid w:val="008D35B1"/>
    <w:rsid w:val="008D37B3"/>
    <w:rsid w:val="008D39D3"/>
    <w:rsid w:val="008D46EF"/>
    <w:rsid w:val="008D4A58"/>
    <w:rsid w:val="008D4B57"/>
    <w:rsid w:val="008D4D8B"/>
    <w:rsid w:val="008D4FC6"/>
    <w:rsid w:val="008D56A3"/>
    <w:rsid w:val="008D592A"/>
    <w:rsid w:val="008D5B87"/>
    <w:rsid w:val="008D6260"/>
    <w:rsid w:val="008D680C"/>
    <w:rsid w:val="008D6AB9"/>
    <w:rsid w:val="008D6B86"/>
    <w:rsid w:val="008D719B"/>
    <w:rsid w:val="008D71D6"/>
    <w:rsid w:val="008D758D"/>
    <w:rsid w:val="008D771F"/>
    <w:rsid w:val="008D7A0A"/>
    <w:rsid w:val="008D7AB9"/>
    <w:rsid w:val="008D7B81"/>
    <w:rsid w:val="008D7E4D"/>
    <w:rsid w:val="008D7F51"/>
    <w:rsid w:val="008E006D"/>
    <w:rsid w:val="008E00F5"/>
    <w:rsid w:val="008E0151"/>
    <w:rsid w:val="008E0238"/>
    <w:rsid w:val="008E078F"/>
    <w:rsid w:val="008E08D0"/>
    <w:rsid w:val="008E09CD"/>
    <w:rsid w:val="008E0D41"/>
    <w:rsid w:val="008E0E75"/>
    <w:rsid w:val="008E0F11"/>
    <w:rsid w:val="008E16BF"/>
    <w:rsid w:val="008E1F11"/>
    <w:rsid w:val="008E2051"/>
    <w:rsid w:val="008E2095"/>
    <w:rsid w:val="008E2336"/>
    <w:rsid w:val="008E23ED"/>
    <w:rsid w:val="008E2B24"/>
    <w:rsid w:val="008E2B68"/>
    <w:rsid w:val="008E2E8C"/>
    <w:rsid w:val="008E33DF"/>
    <w:rsid w:val="008E3595"/>
    <w:rsid w:val="008E374A"/>
    <w:rsid w:val="008E38B1"/>
    <w:rsid w:val="008E3E03"/>
    <w:rsid w:val="008E3F50"/>
    <w:rsid w:val="008E3F62"/>
    <w:rsid w:val="008E4239"/>
    <w:rsid w:val="008E42FE"/>
    <w:rsid w:val="008E4338"/>
    <w:rsid w:val="008E438D"/>
    <w:rsid w:val="008E4EBA"/>
    <w:rsid w:val="008E4EF3"/>
    <w:rsid w:val="008E5006"/>
    <w:rsid w:val="008E53D7"/>
    <w:rsid w:val="008E5C05"/>
    <w:rsid w:val="008E6188"/>
    <w:rsid w:val="008E62E5"/>
    <w:rsid w:val="008E6334"/>
    <w:rsid w:val="008E63E0"/>
    <w:rsid w:val="008E6664"/>
    <w:rsid w:val="008E69A0"/>
    <w:rsid w:val="008E6B81"/>
    <w:rsid w:val="008E6C4D"/>
    <w:rsid w:val="008E7099"/>
    <w:rsid w:val="008E725C"/>
    <w:rsid w:val="008E74BA"/>
    <w:rsid w:val="008F0192"/>
    <w:rsid w:val="008F01C4"/>
    <w:rsid w:val="008F02A8"/>
    <w:rsid w:val="008F037E"/>
    <w:rsid w:val="008F08D4"/>
    <w:rsid w:val="008F0C72"/>
    <w:rsid w:val="008F0CA4"/>
    <w:rsid w:val="008F10D1"/>
    <w:rsid w:val="008F1450"/>
    <w:rsid w:val="008F1508"/>
    <w:rsid w:val="008F1608"/>
    <w:rsid w:val="008F1784"/>
    <w:rsid w:val="008F1911"/>
    <w:rsid w:val="008F1E25"/>
    <w:rsid w:val="008F1EC6"/>
    <w:rsid w:val="008F2080"/>
    <w:rsid w:val="008F22D3"/>
    <w:rsid w:val="008F2417"/>
    <w:rsid w:val="008F2614"/>
    <w:rsid w:val="008F2984"/>
    <w:rsid w:val="008F2A21"/>
    <w:rsid w:val="008F32DF"/>
    <w:rsid w:val="008F3524"/>
    <w:rsid w:val="008F35F7"/>
    <w:rsid w:val="008F3777"/>
    <w:rsid w:val="008F37E3"/>
    <w:rsid w:val="008F39A0"/>
    <w:rsid w:val="008F3E48"/>
    <w:rsid w:val="008F4862"/>
    <w:rsid w:val="008F4877"/>
    <w:rsid w:val="008F4970"/>
    <w:rsid w:val="008F4A32"/>
    <w:rsid w:val="008F4CAB"/>
    <w:rsid w:val="008F4CEF"/>
    <w:rsid w:val="008F524B"/>
    <w:rsid w:val="008F551F"/>
    <w:rsid w:val="008F56D7"/>
    <w:rsid w:val="008F56F7"/>
    <w:rsid w:val="008F59C0"/>
    <w:rsid w:val="008F5ECB"/>
    <w:rsid w:val="008F5FF1"/>
    <w:rsid w:val="008F627A"/>
    <w:rsid w:val="008F641B"/>
    <w:rsid w:val="008F6617"/>
    <w:rsid w:val="008F683B"/>
    <w:rsid w:val="008F68A8"/>
    <w:rsid w:val="008F6C20"/>
    <w:rsid w:val="008F70AB"/>
    <w:rsid w:val="008F7553"/>
    <w:rsid w:val="008F75C7"/>
    <w:rsid w:val="008F797D"/>
    <w:rsid w:val="008F7A5B"/>
    <w:rsid w:val="008F7B45"/>
    <w:rsid w:val="008F7BBE"/>
    <w:rsid w:val="008F7DA8"/>
    <w:rsid w:val="009004CD"/>
    <w:rsid w:val="00900746"/>
    <w:rsid w:val="00900ECE"/>
    <w:rsid w:val="00900FEF"/>
    <w:rsid w:val="00901185"/>
    <w:rsid w:val="009011E0"/>
    <w:rsid w:val="00901361"/>
    <w:rsid w:val="00901408"/>
    <w:rsid w:val="00901553"/>
    <w:rsid w:val="0090179A"/>
    <w:rsid w:val="0090181E"/>
    <w:rsid w:val="00901CA4"/>
    <w:rsid w:val="00901CC9"/>
    <w:rsid w:val="00901DA6"/>
    <w:rsid w:val="00901DBC"/>
    <w:rsid w:val="00902245"/>
    <w:rsid w:val="009025D6"/>
    <w:rsid w:val="00902699"/>
    <w:rsid w:val="00902C5C"/>
    <w:rsid w:val="0090308A"/>
    <w:rsid w:val="00903886"/>
    <w:rsid w:val="00903FE7"/>
    <w:rsid w:val="00904239"/>
    <w:rsid w:val="009042D0"/>
    <w:rsid w:val="009042F5"/>
    <w:rsid w:val="0090447B"/>
    <w:rsid w:val="00905042"/>
    <w:rsid w:val="00905053"/>
    <w:rsid w:val="009050A9"/>
    <w:rsid w:val="0090530B"/>
    <w:rsid w:val="00905647"/>
    <w:rsid w:val="009059B9"/>
    <w:rsid w:val="0090630F"/>
    <w:rsid w:val="0090647A"/>
    <w:rsid w:val="009065D4"/>
    <w:rsid w:val="0090682E"/>
    <w:rsid w:val="0090682F"/>
    <w:rsid w:val="00906850"/>
    <w:rsid w:val="009069A1"/>
    <w:rsid w:val="00907097"/>
    <w:rsid w:val="00907106"/>
    <w:rsid w:val="0090723C"/>
    <w:rsid w:val="009075E1"/>
    <w:rsid w:val="0090760C"/>
    <w:rsid w:val="00907700"/>
    <w:rsid w:val="00907952"/>
    <w:rsid w:val="00907C9E"/>
    <w:rsid w:val="00907E76"/>
    <w:rsid w:val="00907F97"/>
    <w:rsid w:val="00907FB6"/>
    <w:rsid w:val="009100DB"/>
    <w:rsid w:val="009101F9"/>
    <w:rsid w:val="009105FF"/>
    <w:rsid w:val="009107D6"/>
    <w:rsid w:val="0091084E"/>
    <w:rsid w:val="00910AF9"/>
    <w:rsid w:val="00910B00"/>
    <w:rsid w:val="00910D5C"/>
    <w:rsid w:val="00910E08"/>
    <w:rsid w:val="00910E7C"/>
    <w:rsid w:val="00911142"/>
    <w:rsid w:val="009112B6"/>
    <w:rsid w:val="00911326"/>
    <w:rsid w:val="009113C5"/>
    <w:rsid w:val="0091147D"/>
    <w:rsid w:val="0091159B"/>
    <w:rsid w:val="009116B3"/>
    <w:rsid w:val="00911988"/>
    <w:rsid w:val="00911CC6"/>
    <w:rsid w:val="00911E8C"/>
    <w:rsid w:val="00911F12"/>
    <w:rsid w:val="0091201B"/>
    <w:rsid w:val="009128C0"/>
    <w:rsid w:val="00912E50"/>
    <w:rsid w:val="0091313F"/>
    <w:rsid w:val="009134D6"/>
    <w:rsid w:val="00913DBF"/>
    <w:rsid w:val="00913EE3"/>
    <w:rsid w:val="00914216"/>
    <w:rsid w:val="009142EE"/>
    <w:rsid w:val="00914549"/>
    <w:rsid w:val="00914618"/>
    <w:rsid w:val="00914689"/>
    <w:rsid w:val="009147A0"/>
    <w:rsid w:val="0091483F"/>
    <w:rsid w:val="00914CE6"/>
    <w:rsid w:val="00914E52"/>
    <w:rsid w:val="00915032"/>
    <w:rsid w:val="00915123"/>
    <w:rsid w:val="009151C6"/>
    <w:rsid w:val="009154D6"/>
    <w:rsid w:val="009156CA"/>
    <w:rsid w:val="009157C5"/>
    <w:rsid w:val="0091583D"/>
    <w:rsid w:val="0091591B"/>
    <w:rsid w:val="0091596A"/>
    <w:rsid w:val="00915F80"/>
    <w:rsid w:val="00915FAA"/>
    <w:rsid w:val="009160CC"/>
    <w:rsid w:val="0091619D"/>
    <w:rsid w:val="00916365"/>
    <w:rsid w:val="009163D2"/>
    <w:rsid w:val="009166D2"/>
    <w:rsid w:val="00916BCA"/>
    <w:rsid w:val="00916F3B"/>
    <w:rsid w:val="0091711A"/>
    <w:rsid w:val="00917182"/>
    <w:rsid w:val="009173C4"/>
    <w:rsid w:val="009173DA"/>
    <w:rsid w:val="00917529"/>
    <w:rsid w:val="009176F0"/>
    <w:rsid w:val="0091772F"/>
    <w:rsid w:val="00917F77"/>
    <w:rsid w:val="00917F86"/>
    <w:rsid w:val="00920086"/>
    <w:rsid w:val="00920375"/>
    <w:rsid w:val="00920422"/>
    <w:rsid w:val="009205CD"/>
    <w:rsid w:val="009206C0"/>
    <w:rsid w:val="0092073D"/>
    <w:rsid w:val="00920BB1"/>
    <w:rsid w:val="00920CCD"/>
    <w:rsid w:val="00920D55"/>
    <w:rsid w:val="00921566"/>
    <w:rsid w:val="0092167D"/>
    <w:rsid w:val="00921991"/>
    <w:rsid w:val="00921D7C"/>
    <w:rsid w:val="0092219E"/>
    <w:rsid w:val="009224D2"/>
    <w:rsid w:val="0092292E"/>
    <w:rsid w:val="009232C1"/>
    <w:rsid w:val="009233FF"/>
    <w:rsid w:val="00923712"/>
    <w:rsid w:val="00923751"/>
    <w:rsid w:val="00923B97"/>
    <w:rsid w:val="00923BE5"/>
    <w:rsid w:val="00923DBC"/>
    <w:rsid w:val="00923E8E"/>
    <w:rsid w:val="00924433"/>
    <w:rsid w:val="00924459"/>
    <w:rsid w:val="00924805"/>
    <w:rsid w:val="00924828"/>
    <w:rsid w:val="00924845"/>
    <w:rsid w:val="00924A0C"/>
    <w:rsid w:val="00924A2A"/>
    <w:rsid w:val="00924A4B"/>
    <w:rsid w:val="00924A51"/>
    <w:rsid w:val="00924ABB"/>
    <w:rsid w:val="00924B75"/>
    <w:rsid w:val="00924D5B"/>
    <w:rsid w:val="00924D69"/>
    <w:rsid w:val="009250ED"/>
    <w:rsid w:val="00925503"/>
    <w:rsid w:val="009255F5"/>
    <w:rsid w:val="009259C2"/>
    <w:rsid w:val="00925F2B"/>
    <w:rsid w:val="009260A7"/>
    <w:rsid w:val="0092626F"/>
    <w:rsid w:val="00926333"/>
    <w:rsid w:val="00926509"/>
    <w:rsid w:val="0092684E"/>
    <w:rsid w:val="009269D0"/>
    <w:rsid w:val="00926B6D"/>
    <w:rsid w:val="00926C4F"/>
    <w:rsid w:val="00926EE7"/>
    <w:rsid w:val="00927027"/>
    <w:rsid w:val="009270A7"/>
    <w:rsid w:val="0092710B"/>
    <w:rsid w:val="009274C9"/>
    <w:rsid w:val="0092798A"/>
    <w:rsid w:val="0093013D"/>
    <w:rsid w:val="00930950"/>
    <w:rsid w:val="00930B0F"/>
    <w:rsid w:val="00930EC9"/>
    <w:rsid w:val="00931047"/>
    <w:rsid w:val="00931483"/>
    <w:rsid w:val="00931593"/>
    <w:rsid w:val="009315B2"/>
    <w:rsid w:val="00931617"/>
    <w:rsid w:val="0093169E"/>
    <w:rsid w:val="00931E86"/>
    <w:rsid w:val="00931F41"/>
    <w:rsid w:val="0093204A"/>
    <w:rsid w:val="00932372"/>
    <w:rsid w:val="00932E4E"/>
    <w:rsid w:val="00933028"/>
    <w:rsid w:val="00933824"/>
    <w:rsid w:val="00933858"/>
    <w:rsid w:val="00933A3E"/>
    <w:rsid w:val="00933B89"/>
    <w:rsid w:val="00933BB1"/>
    <w:rsid w:val="00933D25"/>
    <w:rsid w:val="00933E09"/>
    <w:rsid w:val="0093407A"/>
    <w:rsid w:val="0093441B"/>
    <w:rsid w:val="0093451A"/>
    <w:rsid w:val="00934E15"/>
    <w:rsid w:val="00934EBE"/>
    <w:rsid w:val="009351D1"/>
    <w:rsid w:val="00935598"/>
    <w:rsid w:val="00935856"/>
    <w:rsid w:val="00935AE3"/>
    <w:rsid w:val="00935C75"/>
    <w:rsid w:val="00935E58"/>
    <w:rsid w:val="009360CC"/>
    <w:rsid w:val="00936291"/>
    <w:rsid w:val="009362FE"/>
    <w:rsid w:val="0093699D"/>
    <w:rsid w:val="00936A44"/>
    <w:rsid w:val="00936D33"/>
    <w:rsid w:val="00936E44"/>
    <w:rsid w:val="00937012"/>
    <w:rsid w:val="009370ED"/>
    <w:rsid w:val="0093752C"/>
    <w:rsid w:val="009375FC"/>
    <w:rsid w:val="00937C83"/>
    <w:rsid w:val="00940071"/>
    <w:rsid w:val="009404D2"/>
    <w:rsid w:val="00940538"/>
    <w:rsid w:val="00940827"/>
    <w:rsid w:val="0094087B"/>
    <w:rsid w:val="00940889"/>
    <w:rsid w:val="00940BA2"/>
    <w:rsid w:val="00940EC4"/>
    <w:rsid w:val="00940F5B"/>
    <w:rsid w:val="00941451"/>
    <w:rsid w:val="009415ED"/>
    <w:rsid w:val="00941D04"/>
    <w:rsid w:val="00941DA6"/>
    <w:rsid w:val="00941F38"/>
    <w:rsid w:val="00941FC5"/>
    <w:rsid w:val="009422B9"/>
    <w:rsid w:val="0094254D"/>
    <w:rsid w:val="00942814"/>
    <w:rsid w:val="00942B5A"/>
    <w:rsid w:val="00942BFF"/>
    <w:rsid w:val="00942E8C"/>
    <w:rsid w:val="0094315C"/>
    <w:rsid w:val="00943302"/>
    <w:rsid w:val="00943535"/>
    <w:rsid w:val="009435DF"/>
    <w:rsid w:val="00943926"/>
    <w:rsid w:val="00944017"/>
    <w:rsid w:val="009442B8"/>
    <w:rsid w:val="0094450E"/>
    <w:rsid w:val="00944714"/>
    <w:rsid w:val="00944824"/>
    <w:rsid w:val="00944980"/>
    <w:rsid w:val="00944C18"/>
    <w:rsid w:val="00944C5E"/>
    <w:rsid w:val="00944CAF"/>
    <w:rsid w:val="00944DE8"/>
    <w:rsid w:val="00944E04"/>
    <w:rsid w:val="009451AC"/>
    <w:rsid w:val="00945262"/>
    <w:rsid w:val="009452E4"/>
    <w:rsid w:val="0094535F"/>
    <w:rsid w:val="00945B65"/>
    <w:rsid w:val="00946143"/>
    <w:rsid w:val="009461BF"/>
    <w:rsid w:val="009461C5"/>
    <w:rsid w:val="009463B6"/>
    <w:rsid w:val="00946495"/>
    <w:rsid w:val="009467FF"/>
    <w:rsid w:val="00946949"/>
    <w:rsid w:val="00946A03"/>
    <w:rsid w:val="00946B4F"/>
    <w:rsid w:val="009470A7"/>
    <w:rsid w:val="009471A7"/>
    <w:rsid w:val="00947577"/>
    <w:rsid w:val="00947745"/>
    <w:rsid w:val="00947770"/>
    <w:rsid w:val="00947C70"/>
    <w:rsid w:val="00947EA5"/>
    <w:rsid w:val="00947EB3"/>
    <w:rsid w:val="00950128"/>
    <w:rsid w:val="00950367"/>
    <w:rsid w:val="009503CE"/>
    <w:rsid w:val="00950605"/>
    <w:rsid w:val="0095080F"/>
    <w:rsid w:val="009508FA"/>
    <w:rsid w:val="00950980"/>
    <w:rsid w:val="00950B04"/>
    <w:rsid w:val="0095120A"/>
    <w:rsid w:val="0095153B"/>
    <w:rsid w:val="0095163D"/>
    <w:rsid w:val="0095164F"/>
    <w:rsid w:val="0095179A"/>
    <w:rsid w:val="00951E4F"/>
    <w:rsid w:val="00952143"/>
    <w:rsid w:val="00952333"/>
    <w:rsid w:val="00952931"/>
    <w:rsid w:val="00952AEC"/>
    <w:rsid w:val="00952CCC"/>
    <w:rsid w:val="00952FFC"/>
    <w:rsid w:val="00953261"/>
    <w:rsid w:val="00953639"/>
    <w:rsid w:val="0095364E"/>
    <w:rsid w:val="00953C1F"/>
    <w:rsid w:val="00953DAB"/>
    <w:rsid w:val="00953EE7"/>
    <w:rsid w:val="00953EF5"/>
    <w:rsid w:val="00954516"/>
    <w:rsid w:val="0095488F"/>
    <w:rsid w:val="009549E3"/>
    <w:rsid w:val="00954B04"/>
    <w:rsid w:val="0095559B"/>
    <w:rsid w:val="009555B9"/>
    <w:rsid w:val="009557DB"/>
    <w:rsid w:val="00955C8F"/>
    <w:rsid w:val="00955D7D"/>
    <w:rsid w:val="00955EB4"/>
    <w:rsid w:val="009561E7"/>
    <w:rsid w:val="0095642D"/>
    <w:rsid w:val="009564AE"/>
    <w:rsid w:val="0095677C"/>
    <w:rsid w:val="009567DA"/>
    <w:rsid w:val="0095680A"/>
    <w:rsid w:val="00956813"/>
    <w:rsid w:val="00956E49"/>
    <w:rsid w:val="0095716E"/>
    <w:rsid w:val="00957230"/>
    <w:rsid w:val="009576C6"/>
    <w:rsid w:val="009576C7"/>
    <w:rsid w:val="009576CA"/>
    <w:rsid w:val="009576EE"/>
    <w:rsid w:val="009579CE"/>
    <w:rsid w:val="00957D46"/>
    <w:rsid w:val="00957E3D"/>
    <w:rsid w:val="009601BC"/>
    <w:rsid w:val="00960DDE"/>
    <w:rsid w:val="0096125C"/>
    <w:rsid w:val="0096139A"/>
    <w:rsid w:val="009619B1"/>
    <w:rsid w:val="00961B9C"/>
    <w:rsid w:val="00961CD9"/>
    <w:rsid w:val="00961D19"/>
    <w:rsid w:val="009621F1"/>
    <w:rsid w:val="009622EE"/>
    <w:rsid w:val="00962316"/>
    <w:rsid w:val="00962492"/>
    <w:rsid w:val="009625E7"/>
    <w:rsid w:val="00962871"/>
    <w:rsid w:val="00962BAC"/>
    <w:rsid w:val="00962E83"/>
    <w:rsid w:val="009632FF"/>
    <w:rsid w:val="009637D9"/>
    <w:rsid w:val="00963CED"/>
    <w:rsid w:val="00963D4B"/>
    <w:rsid w:val="00963FFC"/>
    <w:rsid w:val="009642BD"/>
    <w:rsid w:val="00964569"/>
    <w:rsid w:val="009647BE"/>
    <w:rsid w:val="00964824"/>
    <w:rsid w:val="00964A82"/>
    <w:rsid w:val="00964B48"/>
    <w:rsid w:val="00964ED6"/>
    <w:rsid w:val="00965066"/>
    <w:rsid w:val="00965713"/>
    <w:rsid w:val="009657B5"/>
    <w:rsid w:val="00965877"/>
    <w:rsid w:val="00965E0D"/>
    <w:rsid w:val="009665B6"/>
    <w:rsid w:val="0096669E"/>
    <w:rsid w:val="009666CB"/>
    <w:rsid w:val="00966B3D"/>
    <w:rsid w:val="00966DA0"/>
    <w:rsid w:val="00967388"/>
    <w:rsid w:val="0096763D"/>
    <w:rsid w:val="009701EA"/>
    <w:rsid w:val="009702DC"/>
    <w:rsid w:val="0097054C"/>
    <w:rsid w:val="00970A65"/>
    <w:rsid w:val="00970B77"/>
    <w:rsid w:val="00970BA3"/>
    <w:rsid w:val="00970C44"/>
    <w:rsid w:val="00970C45"/>
    <w:rsid w:val="00970D8B"/>
    <w:rsid w:val="009710AE"/>
    <w:rsid w:val="0097113E"/>
    <w:rsid w:val="00971514"/>
    <w:rsid w:val="0097168C"/>
    <w:rsid w:val="00971854"/>
    <w:rsid w:val="00972586"/>
    <w:rsid w:val="00972853"/>
    <w:rsid w:val="009728CE"/>
    <w:rsid w:val="009728CF"/>
    <w:rsid w:val="00972911"/>
    <w:rsid w:val="00972BD5"/>
    <w:rsid w:val="00972C11"/>
    <w:rsid w:val="00972D1D"/>
    <w:rsid w:val="00972D60"/>
    <w:rsid w:val="009730B9"/>
    <w:rsid w:val="0097382F"/>
    <w:rsid w:val="00973DF0"/>
    <w:rsid w:val="00973E1D"/>
    <w:rsid w:val="00974922"/>
    <w:rsid w:val="009751E6"/>
    <w:rsid w:val="00975245"/>
    <w:rsid w:val="009753B9"/>
    <w:rsid w:val="00975428"/>
    <w:rsid w:val="009755CB"/>
    <w:rsid w:val="009757C4"/>
    <w:rsid w:val="00975AB5"/>
    <w:rsid w:val="00975CDC"/>
    <w:rsid w:val="00975D2F"/>
    <w:rsid w:val="00975EEB"/>
    <w:rsid w:val="00976004"/>
    <w:rsid w:val="00976171"/>
    <w:rsid w:val="009766F4"/>
    <w:rsid w:val="009767EF"/>
    <w:rsid w:val="00976BF5"/>
    <w:rsid w:val="00976C54"/>
    <w:rsid w:val="00977167"/>
    <w:rsid w:val="009771A3"/>
    <w:rsid w:val="00977791"/>
    <w:rsid w:val="00977792"/>
    <w:rsid w:val="00977877"/>
    <w:rsid w:val="009778D3"/>
    <w:rsid w:val="00977D67"/>
    <w:rsid w:val="00977DB9"/>
    <w:rsid w:val="00977DFA"/>
    <w:rsid w:val="00977E5A"/>
    <w:rsid w:val="0098038E"/>
    <w:rsid w:val="00980560"/>
    <w:rsid w:val="00980FA3"/>
    <w:rsid w:val="009812F8"/>
    <w:rsid w:val="009815D7"/>
    <w:rsid w:val="0098169E"/>
    <w:rsid w:val="009816EC"/>
    <w:rsid w:val="00981D2A"/>
    <w:rsid w:val="00981E94"/>
    <w:rsid w:val="00981FE2"/>
    <w:rsid w:val="00982052"/>
    <w:rsid w:val="00982410"/>
    <w:rsid w:val="00982D40"/>
    <w:rsid w:val="00983665"/>
    <w:rsid w:val="00983728"/>
    <w:rsid w:val="0098382D"/>
    <w:rsid w:val="0098389F"/>
    <w:rsid w:val="0098395B"/>
    <w:rsid w:val="009844DB"/>
    <w:rsid w:val="009844E4"/>
    <w:rsid w:val="00984522"/>
    <w:rsid w:val="00984606"/>
    <w:rsid w:val="00984C2D"/>
    <w:rsid w:val="00984EF8"/>
    <w:rsid w:val="00984FA8"/>
    <w:rsid w:val="0098562F"/>
    <w:rsid w:val="00985699"/>
    <w:rsid w:val="0098584E"/>
    <w:rsid w:val="00985960"/>
    <w:rsid w:val="009859C6"/>
    <w:rsid w:val="009859E0"/>
    <w:rsid w:val="00985A6B"/>
    <w:rsid w:val="00985B29"/>
    <w:rsid w:val="00985C29"/>
    <w:rsid w:val="00985D3D"/>
    <w:rsid w:val="009860F9"/>
    <w:rsid w:val="0098624D"/>
    <w:rsid w:val="0098648A"/>
    <w:rsid w:val="0098650E"/>
    <w:rsid w:val="00986536"/>
    <w:rsid w:val="009865A2"/>
    <w:rsid w:val="00986658"/>
    <w:rsid w:val="00986726"/>
    <w:rsid w:val="0098672F"/>
    <w:rsid w:val="00986953"/>
    <w:rsid w:val="00986AFD"/>
    <w:rsid w:val="00986C20"/>
    <w:rsid w:val="00986C55"/>
    <w:rsid w:val="00986D87"/>
    <w:rsid w:val="009871FB"/>
    <w:rsid w:val="009879F6"/>
    <w:rsid w:val="00987B6A"/>
    <w:rsid w:val="00987C76"/>
    <w:rsid w:val="009906E7"/>
    <w:rsid w:val="00990D1D"/>
    <w:rsid w:val="00990D3B"/>
    <w:rsid w:val="00990D8D"/>
    <w:rsid w:val="0099117A"/>
    <w:rsid w:val="00991224"/>
    <w:rsid w:val="009914AE"/>
    <w:rsid w:val="00991A40"/>
    <w:rsid w:val="00992C0A"/>
    <w:rsid w:val="00992D7E"/>
    <w:rsid w:val="00992F9F"/>
    <w:rsid w:val="00993177"/>
    <w:rsid w:val="009932A9"/>
    <w:rsid w:val="00993309"/>
    <w:rsid w:val="009933BB"/>
    <w:rsid w:val="00993ABC"/>
    <w:rsid w:val="00994230"/>
    <w:rsid w:val="00994344"/>
    <w:rsid w:val="00994404"/>
    <w:rsid w:val="00994C3A"/>
    <w:rsid w:val="00994D55"/>
    <w:rsid w:val="00994DFE"/>
    <w:rsid w:val="00994E93"/>
    <w:rsid w:val="00994F93"/>
    <w:rsid w:val="00995367"/>
    <w:rsid w:val="00995631"/>
    <w:rsid w:val="009959AA"/>
    <w:rsid w:val="00995A32"/>
    <w:rsid w:val="00995C15"/>
    <w:rsid w:val="00995CA7"/>
    <w:rsid w:val="00995D0F"/>
    <w:rsid w:val="00995D29"/>
    <w:rsid w:val="00995D54"/>
    <w:rsid w:val="009963DB"/>
    <w:rsid w:val="00997148"/>
    <w:rsid w:val="009972E4"/>
    <w:rsid w:val="00997455"/>
    <w:rsid w:val="00997886"/>
    <w:rsid w:val="00997A98"/>
    <w:rsid w:val="00997EFD"/>
    <w:rsid w:val="009A039D"/>
    <w:rsid w:val="009A0529"/>
    <w:rsid w:val="009A094A"/>
    <w:rsid w:val="009A0F15"/>
    <w:rsid w:val="009A0F3C"/>
    <w:rsid w:val="009A1594"/>
    <w:rsid w:val="009A1709"/>
    <w:rsid w:val="009A17D3"/>
    <w:rsid w:val="009A1DBC"/>
    <w:rsid w:val="009A1E11"/>
    <w:rsid w:val="009A203B"/>
    <w:rsid w:val="009A2060"/>
    <w:rsid w:val="009A25BD"/>
    <w:rsid w:val="009A2632"/>
    <w:rsid w:val="009A2A90"/>
    <w:rsid w:val="009A35C5"/>
    <w:rsid w:val="009A3637"/>
    <w:rsid w:val="009A3CC3"/>
    <w:rsid w:val="009A3D35"/>
    <w:rsid w:val="009A3D72"/>
    <w:rsid w:val="009A3FC4"/>
    <w:rsid w:val="009A40A4"/>
    <w:rsid w:val="009A41A7"/>
    <w:rsid w:val="009A43F5"/>
    <w:rsid w:val="009A4736"/>
    <w:rsid w:val="009A4B3B"/>
    <w:rsid w:val="009A4BE5"/>
    <w:rsid w:val="009A529F"/>
    <w:rsid w:val="009A5344"/>
    <w:rsid w:val="009A559A"/>
    <w:rsid w:val="009A566A"/>
    <w:rsid w:val="009A5887"/>
    <w:rsid w:val="009A5B76"/>
    <w:rsid w:val="009A5F08"/>
    <w:rsid w:val="009A62BB"/>
    <w:rsid w:val="009A659F"/>
    <w:rsid w:val="009A6656"/>
    <w:rsid w:val="009A6B53"/>
    <w:rsid w:val="009A6D10"/>
    <w:rsid w:val="009A6D89"/>
    <w:rsid w:val="009A6E0E"/>
    <w:rsid w:val="009A76B6"/>
    <w:rsid w:val="009A786C"/>
    <w:rsid w:val="009B0556"/>
    <w:rsid w:val="009B0750"/>
    <w:rsid w:val="009B089F"/>
    <w:rsid w:val="009B0B10"/>
    <w:rsid w:val="009B11C3"/>
    <w:rsid w:val="009B141C"/>
    <w:rsid w:val="009B1CF9"/>
    <w:rsid w:val="009B1E21"/>
    <w:rsid w:val="009B2103"/>
    <w:rsid w:val="009B2373"/>
    <w:rsid w:val="009B2670"/>
    <w:rsid w:val="009B297D"/>
    <w:rsid w:val="009B29C4"/>
    <w:rsid w:val="009B2A9A"/>
    <w:rsid w:val="009B33EA"/>
    <w:rsid w:val="009B3409"/>
    <w:rsid w:val="009B34BF"/>
    <w:rsid w:val="009B3728"/>
    <w:rsid w:val="009B3815"/>
    <w:rsid w:val="009B3890"/>
    <w:rsid w:val="009B3B17"/>
    <w:rsid w:val="009B3B70"/>
    <w:rsid w:val="009B3C78"/>
    <w:rsid w:val="009B3CAB"/>
    <w:rsid w:val="009B3D9A"/>
    <w:rsid w:val="009B3FDF"/>
    <w:rsid w:val="009B41B5"/>
    <w:rsid w:val="009B4A25"/>
    <w:rsid w:val="009B4B13"/>
    <w:rsid w:val="009B4BE9"/>
    <w:rsid w:val="009B4CC0"/>
    <w:rsid w:val="009B4D8B"/>
    <w:rsid w:val="009B5018"/>
    <w:rsid w:val="009B5036"/>
    <w:rsid w:val="009B54FF"/>
    <w:rsid w:val="009B5579"/>
    <w:rsid w:val="009B5762"/>
    <w:rsid w:val="009B593B"/>
    <w:rsid w:val="009B5D08"/>
    <w:rsid w:val="009B5E21"/>
    <w:rsid w:val="009B62FE"/>
    <w:rsid w:val="009B6557"/>
    <w:rsid w:val="009B6826"/>
    <w:rsid w:val="009B69E2"/>
    <w:rsid w:val="009B6A4C"/>
    <w:rsid w:val="009B6AF6"/>
    <w:rsid w:val="009B6CDF"/>
    <w:rsid w:val="009B6D8C"/>
    <w:rsid w:val="009B6E60"/>
    <w:rsid w:val="009B7056"/>
    <w:rsid w:val="009B7197"/>
    <w:rsid w:val="009B7290"/>
    <w:rsid w:val="009B76DA"/>
    <w:rsid w:val="009B7723"/>
    <w:rsid w:val="009B786E"/>
    <w:rsid w:val="009B7CC5"/>
    <w:rsid w:val="009C069D"/>
    <w:rsid w:val="009C0DC5"/>
    <w:rsid w:val="009C0EC6"/>
    <w:rsid w:val="009C13D8"/>
    <w:rsid w:val="009C13E5"/>
    <w:rsid w:val="009C1431"/>
    <w:rsid w:val="009C1580"/>
    <w:rsid w:val="009C17F5"/>
    <w:rsid w:val="009C1854"/>
    <w:rsid w:val="009C1FCF"/>
    <w:rsid w:val="009C2236"/>
    <w:rsid w:val="009C227F"/>
    <w:rsid w:val="009C24E2"/>
    <w:rsid w:val="009C2551"/>
    <w:rsid w:val="009C2B34"/>
    <w:rsid w:val="009C2C85"/>
    <w:rsid w:val="009C3203"/>
    <w:rsid w:val="009C361A"/>
    <w:rsid w:val="009C37BF"/>
    <w:rsid w:val="009C39D8"/>
    <w:rsid w:val="009C4062"/>
    <w:rsid w:val="009C40AE"/>
    <w:rsid w:val="009C47B0"/>
    <w:rsid w:val="009C4858"/>
    <w:rsid w:val="009C487C"/>
    <w:rsid w:val="009C4E0A"/>
    <w:rsid w:val="009C5159"/>
    <w:rsid w:val="009C54AA"/>
    <w:rsid w:val="009C5A14"/>
    <w:rsid w:val="009C5AB1"/>
    <w:rsid w:val="009C6251"/>
    <w:rsid w:val="009C6413"/>
    <w:rsid w:val="009C65B5"/>
    <w:rsid w:val="009C69F8"/>
    <w:rsid w:val="009C6A0A"/>
    <w:rsid w:val="009C6C51"/>
    <w:rsid w:val="009C6E9A"/>
    <w:rsid w:val="009C6EB7"/>
    <w:rsid w:val="009C7113"/>
    <w:rsid w:val="009C73D6"/>
    <w:rsid w:val="009C73FF"/>
    <w:rsid w:val="009C7846"/>
    <w:rsid w:val="009C7BBF"/>
    <w:rsid w:val="009C7D44"/>
    <w:rsid w:val="009D06F1"/>
    <w:rsid w:val="009D0763"/>
    <w:rsid w:val="009D09E7"/>
    <w:rsid w:val="009D0C36"/>
    <w:rsid w:val="009D0C3F"/>
    <w:rsid w:val="009D18ED"/>
    <w:rsid w:val="009D19C0"/>
    <w:rsid w:val="009D19D9"/>
    <w:rsid w:val="009D1BE5"/>
    <w:rsid w:val="009D1C68"/>
    <w:rsid w:val="009D1CD1"/>
    <w:rsid w:val="009D2041"/>
    <w:rsid w:val="009D2346"/>
    <w:rsid w:val="009D236C"/>
    <w:rsid w:val="009D29FA"/>
    <w:rsid w:val="009D2A5B"/>
    <w:rsid w:val="009D2AEB"/>
    <w:rsid w:val="009D30E2"/>
    <w:rsid w:val="009D31CB"/>
    <w:rsid w:val="009D3450"/>
    <w:rsid w:val="009D3CC1"/>
    <w:rsid w:val="009D4495"/>
    <w:rsid w:val="009D495B"/>
    <w:rsid w:val="009D4E6B"/>
    <w:rsid w:val="009D4E9B"/>
    <w:rsid w:val="009D523A"/>
    <w:rsid w:val="009D554C"/>
    <w:rsid w:val="009D5557"/>
    <w:rsid w:val="009D58E7"/>
    <w:rsid w:val="009D5A03"/>
    <w:rsid w:val="009D5E39"/>
    <w:rsid w:val="009D5E5D"/>
    <w:rsid w:val="009D612F"/>
    <w:rsid w:val="009D64BB"/>
    <w:rsid w:val="009D6B37"/>
    <w:rsid w:val="009D6D0A"/>
    <w:rsid w:val="009D6EAB"/>
    <w:rsid w:val="009D6EEB"/>
    <w:rsid w:val="009D784C"/>
    <w:rsid w:val="009D785F"/>
    <w:rsid w:val="009D7B8D"/>
    <w:rsid w:val="009D7E58"/>
    <w:rsid w:val="009E0512"/>
    <w:rsid w:val="009E05D1"/>
    <w:rsid w:val="009E05D2"/>
    <w:rsid w:val="009E08A4"/>
    <w:rsid w:val="009E0A09"/>
    <w:rsid w:val="009E1022"/>
    <w:rsid w:val="009E1083"/>
    <w:rsid w:val="009E1478"/>
    <w:rsid w:val="009E148F"/>
    <w:rsid w:val="009E1507"/>
    <w:rsid w:val="009E190C"/>
    <w:rsid w:val="009E1B52"/>
    <w:rsid w:val="009E1B57"/>
    <w:rsid w:val="009E1D39"/>
    <w:rsid w:val="009E1FEA"/>
    <w:rsid w:val="009E21A7"/>
    <w:rsid w:val="009E2454"/>
    <w:rsid w:val="009E2852"/>
    <w:rsid w:val="009E29BE"/>
    <w:rsid w:val="009E2A02"/>
    <w:rsid w:val="009E2AB4"/>
    <w:rsid w:val="009E2F82"/>
    <w:rsid w:val="009E31B0"/>
    <w:rsid w:val="009E31BD"/>
    <w:rsid w:val="009E3813"/>
    <w:rsid w:val="009E39FE"/>
    <w:rsid w:val="009E3B8F"/>
    <w:rsid w:val="009E3D3A"/>
    <w:rsid w:val="009E42AD"/>
    <w:rsid w:val="009E44D1"/>
    <w:rsid w:val="009E4860"/>
    <w:rsid w:val="009E4903"/>
    <w:rsid w:val="009E4932"/>
    <w:rsid w:val="009E4A4B"/>
    <w:rsid w:val="009E52B8"/>
    <w:rsid w:val="009E5D19"/>
    <w:rsid w:val="009E5D76"/>
    <w:rsid w:val="009E5E53"/>
    <w:rsid w:val="009E5EA1"/>
    <w:rsid w:val="009E6076"/>
    <w:rsid w:val="009E6426"/>
    <w:rsid w:val="009E6755"/>
    <w:rsid w:val="009E69BF"/>
    <w:rsid w:val="009E6C29"/>
    <w:rsid w:val="009E6CDB"/>
    <w:rsid w:val="009E715C"/>
    <w:rsid w:val="009E7504"/>
    <w:rsid w:val="009E7520"/>
    <w:rsid w:val="009E756D"/>
    <w:rsid w:val="009E7C03"/>
    <w:rsid w:val="009E7C89"/>
    <w:rsid w:val="009E7E2A"/>
    <w:rsid w:val="009F0305"/>
    <w:rsid w:val="009F030D"/>
    <w:rsid w:val="009F0350"/>
    <w:rsid w:val="009F09BB"/>
    <w:rsid w:val="009F0A61"/>
    <w:rsid w:val="009F0B6F"/>
    <w:rsid w:val="009F0C38"/>
    <w:rsid w:val="009F0C53"/>
    <w:rsid w:val="009F0F91"/>
    <w:rsid w:val="009F11EC"/>
    <w:rsid w:val="009F122B"/>
    <w:rsid w:val="009F13A3"/>
    <w:rsid w:val="009F167A"/>
    <w:rsid w:val="009F1A3D"/>
    <w:rsid w:val="009F1B8C"/>
    <w:rsid w:val="009F1D49"/>
    <w:rsid w:val="009F1DE2"/>
    <w:rsid w:val="009F2247"/>
    <w:rsid w:val="009F23E5"/>
    <w:rsid w:val="009F2ACC"/>
    <w:rsid w:val="009F2B0A"/>
    <w:rsid w:val="009F2C22"/>
    <w:rsid w:val="009F2EE6"/>
    <w:rsid w:val="009F33C2"/>
    <w:rsid w:val="009F3536"/>
    <w:rsid w:val="009F372E"/>
    <w:rsid w:val="009F38C4"/>
    <w:rsid w:val="009F3A32"/>
    <w:rsid w:val="009F3E23"/>
    <w:rsid w:val="009F3F27"/>
    <w:rsid w:val="009F420E"/>
    <w:rsid w:val="009F45A2"/>
    <w:rsid w:val="009F4CB2"/>
    <w:rsid w:val="009F5226"/>
    <w:rsid w:val="009F5740"/>
    <w:rsid w:val="009F59E0"/>
    <w:rsid w:val="009F5C60"/>
    <w:rsid w:val="009F5D6B"/>
    <w:rsid w:val="009F6235"/>
    <w:rsid w:val="009F646A"/>
    <w:rsid w:val="009F6484"/>
    <w:rsid w:val="009F68AB"/>
    <w:rsid w:val="009F705D"/>
    <w:rsid w:val="009F70AA"/>
    <w:rsid w:val="009F78F6"/>
    <w:rsid w:val="009F7A06"/>
    <w:rsid w:val="009F7A41"/>
    <w:rsid w:val="009F7C56"/>
    <w:rsid w:val="009F7DD4"/>
    <w:rsid w:val="00A00141"/>
    <w:rsid w:val="00A001B8"/>
    <w:rsid w:val="00A005F8"/>
    <w:rsid w:val="00A009EE"/>
    <w:rsid w:val="00A01047"/>
    <w:rsid w:val="00A01445"/>
    <w:rsid w:val="00A014E6"/>
    <w:rsid w:val="00A01533"/>
    <w:rsid w:val="00A017B5"/>
    <w:rsid w:val="00A0186E"/>
    <w:rsid w:val="00A01F37"/>
    <w:rsid w:val="00A024AD"/>
    <w:rsid w:val="00A02706"/>
    <w:rsid w:val="00A02854"/>
    <w:rsid w:val="00A02A78"/>
    <w:rsid w:val="00A02EE0"/>
    <w:rsid w:val="00A02F5F"/>
    <w:rsid w:val="00A0318E"/>
    <w:rsid w:val="00A03321"/>
    <w:rsid w:val="00A033B9"/>
    <w:rsid w:val="00A03783"/>
    <w:rsid w:val="00A03C04"/>
    <w:rsid w:val="00A03C9E"/>
    <w:rsid w:val="00A03FA7"/>
    <w:rsid w:val="00A04068"/>
    <w:rsid w:val="00A040ED"/>
    <w:rsid w:val="00A04322"/>
    <w:rsid w:val="00A043E8"/>
    <w:rsid w:val="00A0447C"/>
    <w:rsid w:val="00A04577"/>
    <w:rsid w:val="00A04C93"/>
    <w:rsid w:val="00A052AC"/>
    <w:rsid w:val="00A05864"/>
    <w:rsid w:val="00A05887"/>
    <w:rsid w:val="00A0596E"/>
    <w:rsid w:val="00A05EA6"/>
    <w:rsid w:val="00A06038"/>
    <w:rsid w:val="00A06156"/>
    <w:rsid w:val="00A064A6"/>
    <w:rsid w:val="00A0677E"/>
    <w:rsid w:val="00A067BE"/>
    <w:rsid w:val="00A06802"/>
    <w:rsid w:val="00A068E6"/>
    <w:rsid w:val="00A06921"/>
    <w:rsid w:val="00A06F02"/>
    <w:rsid w:val="00A06F1C"/>
    <w:rsid w:val="00A071E9"/>
    <w:rsid w:val="00A07391"/>
    <w:rsid w:val="00A07629"/>
    <w:rsid w:val="00A076FF"/>
    <w:rsid w:val="00A078F5"/>
    <w:rsid w:val="00A07DA2"/>
    <w:rsid w:val="00A10023"/>
    <w:rsid w:val="00A10099"/>
    <w:rsid w:val="00A100BD"/>
    <w:rsid w:val="00A104A0"/>
    <w:rsid w:val="00A1074D"/>
    <w:rsid w:val="00A107EC"/>
    <w:rsid w:val="00A1094E"/>
    <w:rsid w:val="00A10EFD"/>
    <w:rsid w:val="00A11132"/>
    <w:rsid w:val="00A11B8A"/>
    <w:rsid w:val="00A11C1E"/>
    <w:rsid w:val="00A11D36"/>
    <w:rsid w:val="00A123FD"/>
    <w:rsid w:val="00A12407"/>
    <w:rsid w:val="00A1272B"/>
    <w:rsid w:val="00A12834"/>
    <w:rsid w:val="00A128D2"/>
    <w:rsid w:val="00A12C62"/>
    <w:rsid w:val="00A12DEF"/>
    <w:rsid w:val="00A1321B"/>
    <w:rsid w:val="00A132DB"/>
    <w:rsid w:val="00A133A2"/>
    <w:rsid w:val="00A1375A"/>
    <w:rsid w:val="00A13926"/>
    <w:rsid w:val="00A13B1A"/>
    <w:rsid w:val="00A13E22"/>
    <w:rsid w:val="00A13EC1"/>
    <w:rsid w:val="00A13EC7"/>
    <w:rsid w:val="00A14113"/>
    <w:rsid w:val="00A149F4"/>
    <w:rsid w:val="00A151CB"/>
    <w:rsid w:val="00A152D3"/>
    <w:rsid w:val="00A15459"/>
    <w:rsid w:val="00A1551F"/>
    <w:rsid w:val="00A1601A"/>
    <w:rsid w:val="00A16133"/>
    <w:rsid w:val="00A16207"/>
    <w:rsid w:val="00A16253"/>
    <w:rsid w:val="00A167B6"/>
    <w:rsid w:val="00A1692D"/>
    <w:rsid w:val="00A169D0"/>
    <w:rsid w:val="00A17122"/>
    <w:rsid w:val="00A1714D"/>
    <w:rsid w:val="00A17286"/>
    <w:rsid w:val="00A1733B"/>
    <w:rsid w:val="00A173F2"/>
    <w:rsid w:val="00A17559"/>
    <w:rsid w:val="00A1785E"/>
    <w:rsid w:val="00A17A15"/>
    <w:rsid w:val="00A17B44"/>
    <w:rsid w:val="00A17BF1"/>
    <w:rsid w:val="00A2005D"/>
    <w:rsid w:val="00A200FB"/>
    <w:rsid w:val="00A2020E"/>
    <w:rsid w:val="00A203E2"/>
    <w:rsid w:val="00A20453"/>
    <w:rsid w:val="00A20459"/>
    <w:rsid w:val="00A20764"/>
    <w:rsid w:val="00A20898"/>
    <w:rsid w:val="00A20A88"/>
    <w:rsid w:val="00A20C56"/>
    <w:rsid w:val="00A20CF2"/>
    <w:rsid w:val="00A20F00"/>
    <w:rsid w:val="00A21168"/>
    <w:rsid w:val="00A2118F"/>
    <w:rsid w:val="00A213E3"/>
    <w:rsid w:val="00A216B0"/>
    <w:rsid w:val="00A216F0"/>
    <w:rsid w:val="00A219A4"/>
    <w:rsid w:val="00A2216C"/>
    <w:rsid w:val="00A2257D"/>
    <w:rsid w:val="00A22586"/>
    <w:rsid w:val="00A225BE"/>
    <w:rsid w:val="00A2289B"/>
    <w:rsid w:val="00A23043"/>
    <w:rsid w:val="00A230B1"/>
    <w:rsid w:val="00A230D4"/>
    <w:rsid w:val="00A233CE"/>
    <w:rsid w:val="00A23716"/>
    <w:rsid w:val="00A23D33"/>
    <w:rsid w:val="00A241C1"/>
    <w:rsid w:val="00A24862"/>
    <w:rsid w:val="00A24E28"/>
    <w:rsid w:val="00A24EE3"/>
    <w:rsid w:val="00A24F84"/>
    <w:rsid w:val="00A25356"/>
    <w:rsid w:val="00A253B2"/>
    <w:rsid w:val="00A253C0"/>
    <w:rsid w:val="00A25844"/>
    <w:rsid w:val="00A2624C"/>
    <w:rsid w:val="00A266C7"/>
    <w:rsid w:val="00A269AE"/>
    <w:rsid w:val="00A26DC5"/>
    <w:rsid w:val="00A26E0C"/>
    <w:rsid w:val="00A270F8"/>
    <w:rsid w:val="00A275F2"/>
    <w:rsid w:val="00A27A2E"/>
    <w:rsid w:val="00A27E6A"/>
    <w:rsid w:val="00A27F67"/>
    <w:rsid w:val="00A303C3"/>
    <w:rsid w:val="00A3065F"/>
    <w:rsid w:val="00A30BD0"/>
    <w:rsid w:val="00A30C7E"/>
    <w:rsid w:val="00A30CCD"/>
    <w:rsid w:val="00A30FC5"/>
    <w:rsid w:val="00A311C2"/>
    <w:rsid w:val="00A315FB"/>
    <w:rsid w:val="00A31600"/>
    <w:rsid w:val="00A31C6E"/>
    <w:rsid w:val="00A31EC5"/>
    <w:rsid w:val="00A31F5D"/>
    <w:rsid w:val="00A31FE7"/>
    <w:rsid w:val="00A32567"/>
    <w:rsid w:val="00A3297E"/>
    <w:rsid w:val="00A32A4E"/>
    <w:rsid w:val="00A32E2B"/>
    <w:rsid w:val="00A33213"/>
    <w:rsid w:val="00A332BD"/>
    <w:rsid w:val="00A3358C"/>
    <w:rsid w:val="00A337E2"/>
    <w:rsid w:val="00A3397C"/>
    <w:rsid w:val="00A33BC2"/>
    <w:rsid w:val="00A33C8D"/>
    <w:rsid w:val="00A33DE0"/>
    <w:rsid w:val="00A33E46"/>
    <w:rsid w:val="00A340C6"/>
    <w:rsid w:val="00A343A5"/>
    <w:rsid w:val="00A34680"/>
    <w:rsid w:val="00A346A5"/>
    <w:rsid w:val="00A348C7"/>
    <w:rsid w:val="00A34C23"/>
    <w:rsid w:val="00A3503F"/>
    <w:rsid w:val="00A3570D"/>
    <w:rsid w:val="00A35851"/>
    <w:rsid w:val="00A3595E"/>
    <w:rsid w:val="00A359BD"/>
    <w:rsid w:val="00A364B6"/>
    <w:rsid w:val="00A365EC"/>
    <w:rsid w:val="00A3668D"/>
    <w:rsid w:val="00A3674F"/>
    <w:rsid w:val="00A3683E"/>
    <w:rsid w:val="00A36A7C"/>
    <w:rsid w:val="00A36C7F"/>
    <w:rsid w:val="00A3715B"/>
    <w:rsid w:val="00A373E3"/>
    <w:rsid w:val="00A37643"/>
    <w:rsid w:val="00A37754"/>
    <w:rsid w:val="00A37DE5"/>
    <w:rsid w:val="00A37EE8"/>
    <w:rsid w:val="00A4084B"/>
    <w:rsid w:val="00A40A47"/>
    <w:rsid w:val="00A40D25"/>
    <w:rsid w:val="00A40DFA"/>
    <w:rsid w:val="00A40F1E"/>
    <w:rsid w:val="00A40FBE"/>
    <w:rsid w:val="00A4118E"/>
    <w:rsid w:val="00A416AD"/>
    <w:rsid w:val="00A416F3"/>
    <w:rsid w:val="00A41DB4"/>
    <w:rsid w:val="00A41F38"/>
    <w:rsid w:val="00A42179"/>
    <w:rsid w:val="00A42231"/>
    <w:rsid w:val="00A42318"/>
    <w:rsid w:val="00A42401"/>
    <w:rsid w:val="00A42768"/>
    <w:rsid w:val="00A428AE"/>
    <w:rsid w:val="00A429CA"/>
    <w:rsid w:val="00A42A28"/>
    <w:rsid w:val="00A42AFB"/>
    <w:rsid w:val="00A42B45"/>
    <w:rsid w:val="00A42E5D"/>
    <w:rsid w:val="00A430C8"/>
    <w:rsid w:val="00A432CA"/>
    <w:rsid w:val="00A4348B"/>
    <w:rsid w:val="00A434E8"/>
    <w:rsid w:val="00A43648"/>
    <w:rsid w:val="00A43D92"/>
    <w:rsid w:val="00A44216"/>
    <w:rsid w:val="00A44228"/>
    <w:rsid w:val="00A44354"/>
    <w:rsid w:val="00A44C04"/>
    <w:rsid w:val="00A44ECD"/>
    <w:rsid w:val="00A457C5"/>
    <w:rsid w:val="00A45880"/>
    <w:rsid w:val="00A45974"/>
    <w:rsid w:val="00A45992"/>
    <w:rsid w:val="00A45C44"/>
    <w:rsid w:val="00A45D36"/>
    <w:rsid w:val="00A45D96"/>
    <w:rsid w:val="00A45EF7"/>
    <w:rsid w:val="00A46439"/>
    <w:rsid w:val="00A465E5"/>
    <w:rsid w:val="00A468B5"/>
    <w:rsid w:val="00A46958"/>
    <w:rsid w:val="00A469D3"/>
    <w:rsid w:val="00A46BE7"/>
    <w:rsid w:val="00A46DAF"/>
    <w:rsid w:val="00A47277"/>
    <w:rsid w:val="00A476EA"/>
    <w:rsid w:val="00A476FB"/>
    <w:rsid w:val="00A47B42"/>
    <w:rsid w:val="00A47BE7"/>
    <w:rsid w:val="00A5039B"/>
    <w:rsid w:val="00A5046C"/>
    <w:rsid w:val="00A51163"/>
    <w:rsid w:val="00A51410"/>
    <w:rsid w:val="00A5152C"/>
    <w:rsid w:val="00A51739"/>
    <w:rsid w:val="00A51C2F"/>
    <w:rsid w:val="00A51D02"/>
    <w:rsid w:val="00A5213D"/>
    <w:rsid w:val="00A5227E"/>
    <w:rsid w:val="00A529B8"/>
    <w:rsid w:val="00A52E12"/>
    <w:rsid w:val="00A52E5B"/>
    <w:rsid w:val="00A531E9"/>
    <w:rsid w:val="00A53544"/>
    <w:rsid w:val="00A5396C"/>
    <w:rsid w:val="00A53E5E"/>
    <w:rsid w:val="00A5418A"/>
    <w:rsid w:val="00A54412"/>
    <w:rsid w:val="00A545A8"/>
    <w:rsid w:val="00A54752"/>
    <w:rsid w:val="00A548E8"/>
    <w:rsid w:val="00A54BF8"/>
    <w:rsid w:val="00A54E62"/>
    <w:rsid w:val="00A54E83"/>
    <w:rsid w:val="00A54EC8"/>
    <w:rsid w:val="00A54EF4"/>
    <w:rsid w:val="00A5584A"/>
    <w:rsid w:val="00A55DF5"/>
    <w:rsid w:val="00A55E4D"/>
    <w:rsid w:val="00A56157"/>
    <w:rsid w:val="00A565C3"/>
    <w:rsid w:val="00A5674C"/>
    <w:rsid w:val="00A5680F"/>
    <w:rsid w:val="00A56DA1"/>
    <w:rsid w:val="00A57318"/>
    <w:rsid w:val="00A5754A"/>
    <w:rsid w:val="00A579C0"/>
    <w:rsid w:val="00A579F1"/>
    <w:rsid w:val="00A57AEF"/>
    <w:rsid w:val="00A57B26"/>
    <w:rsid w:val="00A57D98"/>
    <w:rsid w:val="00A57E9D"/>
    <w:rsid w:val="00A6036D"/>
    <w:rsid w:val="00A60379"/>
    <w:rsid w:val="00A6040B"/>
    <w:rsid w:val="00A606CF"/>
    <w:rsid w:val="00A6070E"/>
    <w:rsid w:val="00A607BB"/>
    <w:rsid w:val="00A609F7"/>
    <w:rsid w:val="00A61453"/>
    <w:rsid w:val="00A614E4"/>
    <w:rsid w:val="00A615F8"/>
    <w:rsid w:val="00A6172F"/>
    <w:rsid w:val="00A618E1"/>
    <w:rsid w:val="00A62177"/>
    <w:rsid w:val="00A621F3"/>
    <w:rsid w:val="00A62281"/>
    <w:rsid w:val="00A624ED"/>
    <w:rsid w:val="00A626C0"/>
    <w:rsid w:val="00A62CAD"/>
    <w:rsid w:val="00A62E21"/>
    <w:rsid w:val="00A62F1A"/>
    <w:rsid w:val="00A63329"/>
    <w:rsid w:val="00A6342C"/>
    <w:rsid w:val="00A637B9"/>
    <w:rsid w:val="00A63823"/>
    <w:rsid w:val="00A639B6"/>
    <w:rsid w:val="00A63A88"/>
    <w:rsid w:val="00A63EEB"/>
    <w:rsid w:val="00A6410D"/>
    <w:rsid w:val="00A644F2"/>
    <w:rsid w:val="00A64617"/>
    <w:rsid w:val="00A6461C"/>
    <w:rsid w:val="00A646F0"/>
    <w:rsid w:val="00A64840"/>
    <w:rsid w:val="00A64B93"/>
    <w:rsid w:val="00A64ED7"/>
    <w:rsid w:val="00A64F3B"/>
    <w:rsid w:val="00A65133"/>
    <w:rsid w:val="00A653B6"/>
    <w:rsid w:val="00A65A27"/>
    <w:rsid w:val="00A65C6B"/>
    <w:rsid w:val="00A66118"/>
    <w:rsid w:val="00A661F8"/>
    <w:rsid w:val="00A66510"/>
    <w:rsid w:val="00A66515"/>
    <w:rsid w:val="00A66744"/>
    <w:rsid w:val="00A66A4E"/>
    <w:rsid w:val="00A66B95"/>
    <w:rsid w:val="00A670F1"/>
    <w:rsid w:val="00A671DD"/>
    <w:rsid w:val="00A6753E"/>
    <w:rsid w:val="00A67645"/>
    <w:rsid w:val="00A67F53"/>
    <w:rsid w:val="00A67F94"/>
    <w:rsid w:val="00A70183"/>
    <w:rsid w:val="00A702A8"/>
    <w:rsid w:val="00A707C9"/>
    <w:rsid w:val="00A70A36"/>
    <w:rsid w:val="00A70EF5"/>
    <w:rsid w:val="00A719BC"/>
    <w:rsid w:val="00A71B0C"/>
    <w:rsid w:val="00A71CC9"/>
    <w:rsid w:val="00A71EAC"/>
    <w:rsid w:val="00A72102"/>
    <w:rsid w:val="00A72771"/>
    <w:rsid w:val="00A727D2"/>
    <w:rsid w:val="00A72918"/>
    <w:rsid w:val="00A72C04"/>
    <w:rsid w:val="00A7318D"/>
    <w:rsid w:val="00A73622"/>
    <w:rsid w:val="00A736DA"/>
    <w:rsid w:val="00A73B2B"/>
    <w:rsid w:val="00A73C6B"/>
    <w:rsid w:val="00A73FB1"/>
    <w:rsid w:val="00A74045"/>
    <w:rsid w:val="00A743DA"/>
    <w:rsid w:val="00A7457A"/>
    <w:rsid w:val="00A74589"/>
    <w:rsid w:val="00A749CD"/>
    <w:rsid w:val="00A74AFC"/>
    <w:rsid w:val="00A74CF8"/>
    <w:rsid w:val="00A753DD"/>
    <w:rsid w:val="00A75478"/>
    <w:rsid w:val="00A755ED"/>
    <w:rsid w:val="00A75B94"/>
    <w:rsid w:val="00A75DD5"/>
    <w:rsid w:val="00A764F5"/>
    <w:rsid w:val="00A766C1"/>
    <w:rsid w:val="00A766FF"/>
    <w:rsid w:val="00A768F0"/>
    <w:rsid w:val="00A769D6"/>
    <w:rsid w:val="00A76BD7"/>
    <w:rsid w:val="00A76DDD"/>
    <w:rsid w:val="00A76EDC"/>
    <w:rsid w:val="00A76FFA"/>
    <w:rsid w:val="00A77042"/>
    <w:rsid w:val="00A77090"/>
    <w:rsid w:val="00A771AF"/>
    <w:rsid w:val="00A7725C"/>
    <w:rsid w:val="00A7733D"/>
    <w:rsid w:val="00A77836"/>
    <w:rsid w:val="00A77A65"/>
    <w:rsid w:val="00A77A6B"/>
    <w:rsid w:val="00A80782"/>
    <w:rsid w:val="00A80943"/>
    <w:rsid w:val="00A80A39"/>
    <w:rsid w:val="00A80DA6"/>
    <w:rsid w:val="00A80E0E"/>
    <w:rsid w:val="00A80F9C"/>
    <w:rsid w:val="00A810EB"/>
    <w:rsid w:val="00A81158"/>
    <w:rsid w:val="00A8149E"/>
    <w:rsid w:val="00A8158E"/>
    <w:rsid w:val="00A81773"/>
    <w:rsid w:val="00A81B99"/>
    <w:rsid w:val="00A81DD6"/>
    <w:rsid w:val="00A81E86"/>
    <w:rsid w:val="00A81F62"/>
    <w:rsid w:val="00A827E2"/>
    <w:rsid w:val="00A82E99"/>
    <w:rsid w:val="00A82F53"/>
    <w:rsid w:val="00A83708"/>
    <w:rsid w:val="00A83905"/>
    <w:rsid w:val="00A83D09"/>
    <w:rsid w:val="00A83F9C"/>
    <w:rsid w:val="00A84079"/>
    <w:rsid w:val="00A84107"/>
    <w:rsid w:val="00A843A9"/>
    <w:rsid w:val="00A846D4"/>
    <w:rsid w:val="00A84CB7"/>
    <w:rsid w:val="00A850CA"/>
    <w:rsid w:val="00A857E2"/>
    <w:rsid w:val="00A85BB3"/>
    <w:rsid w:val="00A85E4A"/>
    <w:rsid w:val="00A85F36"/>
    <w:rsid w:val="00A860BB"/>
    <w:rsid w:val="00A8616F"/>
    <w:rsid w:val="00A86492"/>
    <w:rsid w:val="00A8684E"/>
    <w:rsid w:val="00A86C03"/>
    <w:rsid w:val="00A86FB3"/>
    <w:rsid w:val="00A87701"/>
    <w:rsid w:val="00A877D7"/>
    <w:rsid w:val="00A87838"/>
    <w:rsid w:val="00A87C9F"/>
    <w:rsid w:val="00A900BC"/>
    <w:rsid w:val="00A90356"/>
    <w:rsid w:val="00A90777"/>
    <w:rsid w:val="00A907B0"/>
    <w:rsid w:val="00A90FFF"/>
    <w:rsid w:val="00A91107"/>
    <w:rsid w:val="00A913C5"/>
    <w:rsid w:val="00A91525"/>
    <w:rsid w:val="00A9197C"/>
    <w:rsid w:val="00A919AB"/>
    <w:rsid w:val="00A91E0F"/>
    <w:rsid w:val="00A92089"/>
    <w:rsid w:val="00A925DF"/>
    <w:rsid w:val="00A92604"/>
    <w:rsid w:val="00A929D3"/>
    <w:rsid w:val="00A92AFD"/>
    <w:rsid w:val="00A92C6C"/>
    <w:rsid w:val="00A93610"/>
    <w:rsid w:val="00A938E2"/>
    <w:rsid w:val="00A93C17"/>
    <w:rsid w:val="00A93C2A"/>
    <w:rsid w:val="00A93C95"/>
    <w:rsid w:val="00A942FA"/>
    <w:rsid w:val="00A9434F"/>
    <w:rsid w:val="00A947D2"/>
    <w:rsid w:val="00A9483D"/>
    <w:rsid w:val="00A94A93"/>
    <w:rsid w:val="00A94E0D"/>
    <w:rsid w:val="00A95741"/>
    <w:rsid w:val="00A95A83"/>
    <w:rsid w:val="00A95D24"/>
    <w:rsid w:val="00A95DAC"/>
    <w:rsid w:val="00A95E97"/>
    <w:rsid w:val="00A960CD"/>
    <w:rsid w:val="00A960E4"/>
    <w:rsid w:val="00A96261"/>
    <w:rsid w:val="00A96688"/>
    <w:rsid w:val="00A96CD2"/>
    <w:rsid w:val="00A96F3B"/>
    <w:rsid w:val="00A97072"/>
    <w:rsid w:val="00A97295"/>
    <w:rsid w:val="00A97410"/>
    <w:rsid w:val="00A978CE"/>
    <w:rsid w:val="00AA000B"/>
    <w:rsid w:val="00AA0603"/>
    <w:rsid w:val="00AA06A0"/>
    <w:rsid w:val="00AA06A1"/>
    <w:rsid w:val="00AA0917"/>
    <w:rsid w:val="00AA0D16"/>
    <w:rsid w:val="00AA0D87"/>
    <w:rsid w:val="00AA104B"/>
    <w:rsid w:val="00AA1098"/>
    <w:rsid w:val="00AA1177"/>
    <w:rsid w:val="00AA11BE"/>
    <w:rsid w:val="00AA1231"/>
    <w:rsid w:val="00AA1264"/>
    <w:rsid w:val="00AA1281"/>
    <w:rsid w:val="00AA174B"/>
    <w:rsid w:val="00AA1DA9"/>
    <w:rsid w:val="00AA2167"/>
    <w:rsid w:val="00AA2790"/>
    <w:rsid w:val="00AA279D"/>
    <w:rsid w:val="00AA2B07"/>
    <w:rsid w:val="00AA2B5B"/>
    <w:rsid w:val="00AA2D21"/>
    <w:rsid w:val="00AA2E00"/>
    <w:rsid w:val="00AA2F80"/>
    <w:rsid w:val="00AA2F85"/>
    <w:rsid w:val="00AA3214"/>
    <w:rsid w:val="00AA3919"/>
    <w:rsid w:val="00AA3C06"/>
    <w:rsid w:val="00AA3E76"/>
    <w:rsid w:val="00AA3FC6"/>
    <w:rsid w:val="00AA44B1"/>
    <w:rsid w:val="00AA4512"/>
    <w:rsid w:val="00AA46F1"/>
    <w:rsid w:val="00AA4A06"/>
    <w:rsid w:val="00AA524D"/>
    <w:rsid w:val="00AA5397"/>
    <w:rsid w:val="00AA547D"/>
    <w:rsid w:val="00AA554C"/>
    <w:rsid w:val="00AA5591"/>
    <w:rsid w:val="00AA60CA"/>
    <w:rsid w:val="00AA6125"/>
    <w:rsid w:val="00AA6132"/>
    <w:rsid w:val="00AA64A9"/>
    <w:rsid w:val="00AA6792"/>
    <w:rsid w:val="00AA67B3"/>
    <w:rsid w:val="00AA69A9"/>
    <w:rsid w:val="00AA6DB7"/>
    <w:rsid w:val="00AA70E2"/>
    <w:rsid w:val="00AA725D"/>
    <w:rsid w:val="00AA7315"/>
    <w:rsid w:val="00AA749B"/>
    <w:rsid w:val="00AA7679"/>
    <w:rsid w:val="00AA7939"/>
    <w:rsid w:val="00AA795E"/>
    <w:rsid w:val="00AA7C2A"/>
    <w:rsid w:val="00AA7CD2"/>
    <w:rsid w:val="00AB0743"/>
    <w:rsid w:val="00AB0B32"/>
    <w:rsid w:val="00AB1670"/>
    <w:rsid w:val="00AB172E"/>
    <w:rsid w:val="00AB1835"/>
    <w:rsid w:val="00AB1B5A"/>
    <w:rsid w:val="00AB1DA2"/>
    <w:rsid w:val="00AB1E0F"/>
    <w:rsid w:val="00AB1F35"/>
    <w:rsid w:val="00AB2255"/>
    <w:rsid w:val="00AB2497"/>
    <w:rsid w:val="00AB24F6"/>
    <w:rsid w:val="00AB275D"/>
    <w:rsid w:val="00AB2869"/>
    <w:rsid w:val="00AB2BD6"/>
    <w:rsid w:val="00AB2CCE"/>
    <w:rsid w:val="00AB31AB"/>
    <w:rsid w:val="00AB3278"/>
    <w:rsid w:val="00AB32AB"/>
    <w:rsid w:val="00AB37CA"/>
    <w:rsid w:val="00AB450D"/>
    <w:rsid w:val="00AB496C"/>
    <w:rsid w:val="00AB4B1C"/>
    <w:rsid w:val="00AB4D58"/>
    <w:rsid w:val="00AB5863"/>
    <w:rsid w:val="00AB5952"/>
    <w:rsid w:val="00AB5B2B"/>
    <w:rsid w:val="00AB5E0F"/>
    <w:rsid w:val="00AB5F5C"/>
    <w:rsid w:val="00AB6312"/>
    <w:rsid w:val="00AB639E"/>
    <w:rsid w:val="00AB66A9"/>
    <w:rsid w:val="00AB67A8"/>
    <w:rsid w:val="00AB6BA6"/>
    <w:rsid w:val="00AB6EED"/>
    <w:rsid w:val="00AB71F6"/>
    <w:rsid w:val="00AB7577"/>
    <w:rsid w:val="00AB7854"/>
    <w:rsid w:val="00AB7AB9"/>
    <w:rsid w:val="00AB7BDC"/>
    <w:rsid w:val="00AB7DAD"/>
    <w:rsid w:val="00AC00C4"/>
    <w:rsid w:val="00AC0306"/>
    <w:rsid w:val="00AC07D7"/>
    <w:rsid w:val="00AC0B6D"/>
    <w:rsid w:val="00AC0C76"/>
    <w:rsid w:val="00AC1056"/>
    <w:rsid w:val="00AC189A"/>
    <w:rsid w:val="00AC26EC"/>
    <w:rsid w:val="00AC283A"/>
    <w:rsid w:val="00AC2AA5"/>
    <w:rsid w:val="00AC2AC6"/>
    <w:rsid w:val="00AC2EB3"/>
    <w:rsid w:val="00AC2FDD"/>
    <w:rsid w:val="00AC310C"/>
    <w:rsid w:val="00AC347D"/>
    <w:rsid w:val="00AC37E0"/>
    <w:rsid w:val="00AC3A60"/>
    <w:rsid w:val="00AC3D6A"/>
    <w:rsid w:val="00AC443D"/>
    <w:rsid w:val="00AC44F2"/>
    <w:rsid w:val="00AC47B1"/>
    <w:rsid w:val="00AC497F"/>
    <w:rsid w:val="00AC49C6"/>
    <w:rsid w:val="00AC4A24"/>
    <w:rsid w:val="00AC4E10"/>
    <w:rsid w:val="00AC4E28"/>
    <w:rsid w:val="00AC507A"/>
    <w:rsid w:val="00AC5124"/>
    <w:rsid w:val="00AC530C"/>
    <w:rsid w:val="00AC56B9"/>
    <w:rsid w:val="00AC56F7"/>
    <w:rsid w:val="00AC603E"/>
    <w:rsid w:val="00AC623A"/>
    <w:rsid w:val="00AC6539"/>
    <w:rsid w:val="00AC7021"/>
    <w:rsid w:val="00AC71F9"/>
    <w:rsid w:val="00AC73E5"/>
    <w:rsid w:val="00AC78CD"/>
    <w:rsid w:val="00AC7E8F"/>
    <w:rsid w:val="00AD00ED"/>
    <w:rsid w:val="00AD044B"/>
    <w:rsid w:val="00AD06FB"/>
    <w:rsid w:val="00AD0738"/>
    <w:rsid w:val="00AD074D"/>
    <w:rsid w:val="00AD0956"/>
    <w:rsid w:val="00AD0A92"/>
    <w:rsid w:val="00AD0B22"/>
    <w:rsid w:val="00AD0B3A"/>
    <w:rsid w:val="00AD0D80"/>
    <w:rsid w:val="00AD0F59"/>
    <w:rsid w:val="00AD1017"/>
    <w:rsid w:val="00AD1138"/>
    <w:rsid w:val="00AD19CF"/>
    <w:rsid w:val="00AD2206"/>
    <w:rsid w:val="00AD23A3"/>
    <w:rsid w:val="00AD24F3"/>
    <w:rsid w:val="00AD288C"/>
    <w:rsid w:val="00AD2AAF"/>
    <w:rsid w:val="00AD2DAD"/>
    <w:rsid w:val="00AD2E6C"/>
    <w:rsid w:val="00AD3730"/>
    <w:rsid w:val="00AD3747"/>
    <w:rsid w:val="00AD3985"/>
    <w:rsid w:val="00AD3A9D"/>
    <w:rsid w:val="00AD3F28"/>
    <w:rsid w:val="00AD46C4"/>
    <w:rsid w:val="00AD4818"/>
    <w:rsid w:val="00AD4BFF"/>
    <w:rsid w:val="00AD533D"/>
    <w:rsid w:val="00AD5351"/>
    <w:rsid w:val="00AD53F8"/>
    <w:rsid w:val="00AD55A0"/>
    <w:rsid w:val="00AD5C9E"/>
    <w:rsid w:val="00AD5D6C"/>
    <w:rsid w:val="00AD6AF6"/>
    <w:rsid w:val="00AD6C40"/>
    <w:rsid w:val="00AD6C47"/>
    <w:rsid w:val="00AD6DCE"/>
    <w:rsid w:val="00AD6E9E"/>
    <w:rsid w:val="00AD7350"/>
    <w:rsid w:val="00AD735A"/>
    <w:rsid w:val="00AD76A0"/>
    <w:rsid w:val="00AD79CC"/>
    <w:rsid w:val="00AD7D00"/>
    <w:rsid w:val="00AD7F09"/>
    <w:rsid w:val="00AD7FD8"/>
    <w:rsid w:val="00AE00C3"/>
    <w:rsid w:val="00AE00E5"/>
    <w:rsid w:val="00AE0280"/>
    <w:rsid w:val="00AE0326"/>
    <w:rsid w:val="00AE04EC"/>
    <w:rsid w:val="00AE07B4"/>
    <w:rsid w:val="00AE15AB"/>
    <w:rsid w:val="00AE15DE"/>
    <w:rsid w:val="00AE16DA"/>
    <w:rsid w:val="00AE19A6"/>
    <w:rsid w:val="00AE1BBC"/>
    <w:rsid w:val="00AE1BC4"/>
    <w:rsid w:val="00AE1C9B"/>
    <w:rsid w:val="00AE1E25"/>
    <w:rsid w:val="00AE1E9A"/>
    <w:rsid w:val="00AE207E"/>
    <w:rsid w:val="00AE21BA"/>
    <w:rsid w:val="00AE2B7E"/>
    <w:rsid w:val="00AE2CD1"/>
    <w:rsid w:val="00AE2CDB"/>
    <w:rsid w:val="00AE2E1C"/>
    <w:rsid w:val="00AE308A"/>
    <w:rsid w:val="00AE32E8"/>
    <w:rsid w:val="00AE3369"/>
    <w:rsid w:val="00AE35BD"/>
    <w:rsid w:val="00AE38C6"/>
    <w:rsid w:val="00AE3C43"/>
    <w:rsid w:val="00AE3DBB"/>
    <w:rsid w:val="00AE4319"/>
    <w:rsid w:val="00AE443B"/>
    <w:rsid w:val="00AE4816"/>
    <w:rsid w:val="00AE481B"/>
    <w:rsid w:val="00AE497E"/>
    <w:rsid w:val="00AE49B3"/>
    <w:rsid w:val="00AE4B60"/>
    <w:rsid w:val="00AE4C8C"/>
    <w:rsid w:val="00AE4ECB"/>
    <w:rsid w:val="00AE50F9"/>
    <w:rsid w:val="00AE5A7A"/>
    <w:rsid w:val="00AE5EE0"/>
    <w:rsid w:val="00AE650A"/>
    <w:rsid w:val="00AE65C6"/>
    <w:rsid w:val="00AE6AED"/>
    <w:rsid w:val="00AE6B2C"/>
    <w:rsid w:val="00AE7138"/>
    <w:rsid w:val="00AE7364"/>
    <w:rsid w:val="00AE75A3"/>
    <w:rsid w:val="00AE7BF0"/>
    <w:rsid w:val="00AE7FEE"/>
    <w:rsid w:val="00AF0102"/>
    <w:rsid w:val="00AF01D2"/>
    <w:rsid w:val="00AF0545"/>
    <w:rsid w:val="00AF0594"/>
    <w:rsid w:val="00AF09D2"/>
    <w:rsid w:val="00AF0A07"/>
    <w:rsid w:val="00AF0AF3"/>
    <w:rsid w:val="00AF0DDE"/>
    <w:rsid w:val="00AF1003"/>
    <w:rsid w:val="00AF1302"/>
    <w:rsid w:val="00AF15B6"/>
    <w:rsid w:val="00AF1718"/>
    <w:rsid w:val="00AF1A84"/>
    <w:rsid w:val="00AF1D7E"/>
    <w:rsid w:val="00AF1DFB"/>
    <w:rsid w:val="00AF1FEC"/>
    <w:rsid w:val="00AF20AE"/>
    <w:rsid w:val="00AF2457"/>
    <w:rsid w:val="00AF257E"/>
    <w:rsid w:val="00AF27D2"/>
    <w:rsid w:val="00AF28F5"/>
    <w:rsid w:val="00AF29C1"/>
    <w:rsid w:val="00AF3537"/>
    <w:rsid w:val="00AF3948"/>
    <w:rsid w:val="00AF396D"/>
    <w:rsid w:val="00AF4218"/>
    <w:rsid w:val="00AF4361"/>
    <w:rsid w:val="00AF4368"/>
    <w:rsid w:val="00AF45DD"/>
    <w:rsid w:val="00AF48DF"/>
    <w:rsid w:val="00AF4923"/>
    <w:rsid w:val="00AF4C2D"/>
    <w:rsid w:val="00AF5150"/>
    <w:rsid w:val="00AF5657"/>
    <w:rsid w:val="00AF59D9"/>
    <w:rsid w:val="00AF6186"/>
    <w:rsid w:val="00AF62E9"/>
    <w:rsid w:val="00AF6555"/>
    <w:rsid w:val="00AF6EEC"/>
    <w:rsid w:val="00AF7130"/>
    <w:rsid w:val="00AF722F"/>
    <w:rsid w:val="00AF723E"/>
    <w:rsid w:val="00AF78A7"/>
    <w:rsid w:val="00AF7E7F"/>
    <w:rsid w:val="00AF7F45"/>
    <w:rsid w:val="00B0003D"/>
    <w:rsid w:val="00B000BE"/>
    <w:rsid w:val="00B00510"/>
    <w:rsid w:val="00B0052C"/>
    <w:rsid w:val="00B007B6"/>
    <w:rsid w:val="00B00F7B"/>
    <w:rsid w:val="00B01114"/>
    <w:rsid w:val="00B01117"/>
    <w:rsid w:val="00B01952"/>
    <w:rsid w:val="00B01CB5"/>
    <w:rsid w:val="00B023D9"/>
    <w:rsid w:val="00B02431"/>
    <w:rsid w:val="00B029A0"/>
    <w:rsid w:val="00B02B57"/>
    <w:rsid w:val="00B02C9E"/>
    <w:rsid w:val="00B02DC0"/>
    <w:rsid w:val="00B02E49"/>
    <w:rsid w:val="00B030E0"/>
    <w:rsid w:val="00B034B7"/>
    <w:rsid w:val="00B03695"/>
    <w:rsid w:val="00B038F0"/>
    <w:rsid w:val="00B03FD9"/>
    <w:rsid w:val="00B0446B"/>
    <w:rsid w:val="00B04729"/>
    <w:rsid w:val="00B04731"/>
    <w:rsid w:val="00B048EE"/>
    <w:rsid w:val="00B04B45"/>
    <w:rsid w:val="00B04BE3"/>
    <w:rsid w:val="00B04DDB"/>
    <w:rsid w:val="00B05159"/>
    <w:rsid w:val="00B051E7"/>
    <w:rsid w:val="00B05C51"/>
    <w:rsid w:val="00B05DC1"/>
    <w:rsid w:val="00B05E34"/>
    <w:rsid w:val="00B05E35"/>
    <w:rsid w:val="00B05F1A"/>
    <w:rsid w:val="00B061E1"/>
    <w:rsid w:val="00B06436"/>
    <w:rsid w:val="00B065FC"/>
    <w:rsid w:val="00B06DE2"/>
    <w:rsid w:val="00B073C7"/>
    <w:rsid w:val="00B073C8"/>
    <w:rsid w:val="00B07697"/>
    <w:rsid w:val="00B07743"/>
    <w:rsid w:val="00B07844"/>
    <w:rsid w:val="00B07DFC"/>
    <w:rsid w:val="00B07EA0"/>
    <w:rsid w:val="00B1022E"/>
    <w:rsid w:val="00B10294"/>
    <w:rsid w:val="00B10922"/>
    <w:rsid w:val="00B10B3B"/>
    <w:rsid w:val="00B10B58"/>
    <w:rsid w:val="00B10EFE"/>
    <w:rsid w:val="00B11315"/>
    <w:rsid w:val="00B1139B"/>
    <w:rsid w:val="00B115C5"/>
    <w:rsid w:val="00B1166A"/>
    <w:rsid w:val="00B1166C"/>
    <w:rsid w:val="00B1188E"/>
    <w:rsid w:val="00B11994"/>
    <w:rsid w:val="00B11C13"/>
    <w:rsid w:val="00B11D37"/>
    <w:rsid w:val="00B11F20"/>
    <w:rsid w:val="00B11F2C"/>
    <w:rsid w:val="00B11F80"/>
    <w:rsid w:val="00B1226A"/>
    <w:rsid w:val="00B126AD"/>
    <w:rsid w:val="00B12B65"/>
    <w:rsid w:val="00B12D55"/>
    <w:rsid w:val="00B12E11"/>
    <w:rsid w:val="00B12E19"/>
    <w:rsid w:val="00B12F2C"/>
    <w:rsid w:val="00B13203"/>
    <w:rsid w:val="00B136D6"/>
    <w:rsid w:val="00B1390D"/>
    <w:rsid w:val="00B13B85"/>
    <w:rsid w:val="00B140DB"/>
    <w:rsid w:val="00B14214"/>
    <w:rsid w:val="00B14271"/>
    <w:rsid w:val="00B14405"/>
    <w:rsid w:val="00B14A9C"/>
    <w:rsid w:val="00B14B29"/>
    <w:rsid w:val="00B15461"/>
    <w:rsid w:val="00B1560A"/>
    <w:rsid w:val="00B156B9"/>
    <w:rsid w:val="00B15B08"/>
    <w:rsid w:val="00B15D22"/>
    <w:rsid w:val="00B16056"/>
    <w:rsid w:val="00B160D9"/>
    <w:rsid w:val="00B16772"/>
    <w:rsid w:val="00B16C5D"/>
    <w:rsid w:val="00B174CF"/>
    <w:rsid w:val="00B176FD"/>
    <w:rsid w:val="00B17852"/>
    <w:rsid w:val="00B17977"/>
    <w:rsid w:val="00B17DDD"/>
    <w:rsid w:val="00B17FE8"/>
    <w:rsid w:val="00B20229"/>
    <w:rsid w:val="00B2023F"/>
    <w:rsid w:val="00B20447"/>
    <w:rsid w:val="00B20A14"/>
    <w:rsid w:val="00B20AB1"/>
    <w:rsid w:val="00B20E35"/>
    <w:rsid w:val="00B211D7"/>
    <w:rsid w:val="00B2132C"/>
    <w:rsid w:val="00B21458"/>
    <w:rsid w:val="00B21B1C"/>
    <w:rsid w:val="00B2219A"/>
    <w:rsid w:val="00B2227C"/>
    <w:rsid w:val="00B223D5"/>
    <w:rsid w:val="00B22444"/>
    <w:rsid w:val="00B22642"/>
    <w:rsid w:val="00B227FC"/>
    <w:rsid w:val="00B2290E"/>
    <w:rsid w:val="00B22D46"/>
    <w:rsid w:val="00B22F18"/>
    <w:rsid w:val="00B2317A"/>
    <w:rsid w:val="00B2327A"/>
    <w:rsid w:val="00B23556"/>
    <w:rsid w:val="00B23A1C"/>
    <w:rsid w:val="00B23D1E"/>
    <w:rsid w:val="00B23E2C"/>
    <w:rsid w:val="00B241D5"/>
    <w:rsid w:val="00B24265"/>
    <w:rsid w:val="00B24725"/>
    <w:rsid w:val="00B2489D"/>
    <w:rsid w:val="00B24FB1"/>
    <w:rsid w:val="00B2514C"/>
    <w:rsid w:val="00B2532C"/>
    <w:rsid w:val="00B255D7"/>
    <w:rsid w:val="00B257C0"/>
    <w:rsid w:val="00B25848"/>
    <w:rsid w:val="00B25B89"/>
    <w:rsid w:val="00B25E70"/>
    <w:rsid w:val="00B262DB"/>
    <w:rsid w:val="00B263C5"/>
    <w:rsid w:val="00B26D9D"/>
    <w:rsid w:val="00B2700E"/>
    <w:rsid w:val="00B27133"/>
    <w:rsid w:val="00B2779B"/>
    <w:rsid w:val="00B2795C"/>
    <w:rsid w:val="00B27A92"/>
    <w:rsid w:val="00B27E1C"/>
    <w:rsid w:val="00B306D6"/>
    <w:rsid w:val="00B30784"/>
    <w:rsid w:val="00B30D89"/>
    <w:rsid w:val="00B30F06"/>
    <w:rsid w:val="00B31355"/>
    <w:rsid w:val="00B319E6"/>
    <w:rsid w:val="00B31C62"/>
    <w:rsid w:val="00B31F1B"/>
    <w:rsid w:val="00B32222"/>
    <w:rsid w:val="00B323CC"/>
    <w:rsid w:val="00B324B8"/>
    <w:rsid w:val="00B32829"/>
    <w:rsid w:val="00B32856"/>
    <w:rsid w:val="00B32950"/>
    <w:rsid w:val="00B32B0D"/>
    <w:rsid w:val="00B32D76"/>
    <w:rsid w:val="00B33140"/>
    <w:rsid w:val="00B331C8"/>
    <w:rsid w:val="00B331F4"/>
    <w:rsid w:val="00B3331C"/>
    <w:rsid w:val="00B335DB"/>
    <w:rsid w:val="00B33BD4"/>
    <w:rsid w:val="00B33D15"/>
    <w:rsid w:val="00B34057"/>
    <w:rsid w:val="00B34323"/>
    <w:rsid w:val="00B34631"/>
    <w:rsid w:val="00B349FF"/>
    <w:rsid w:val="00B34A20"/>
    <w:rsid w:val="00B34A3B"/>
    <w:rsid w:val="00B351E5"/>
    <w:rsid w:val="00B35379"/>
    <w:rsid w:val="00B35464"/>
    <w:rsid w:val="00B35F88"/>
    <w:rsid w:val="00B360C7"/>
    <w:rsid w:val="00B36B1C"/>
    <w:rsid w:val="00B36E7B"/>
    <w:rsid w:val="00B36EAF"/>
    <w:rsid w:val="00B36F3A"/>
    <w:rsid w:val="00B374B9"/>
    <w:rsid w:val="00B376F0"/>
    <w:rsid w:val="00B37ACA"/>
    <w:rsid w:val="00B37F11"/>
    <w:rsid w:val="00B401A4"/>
    <w:rsid w:val="00B406C2"/>
    <w:rsid w:val="00B4087D"/>
    <w:rsid w:val="00B40C23"/>
    <w:rsid w:val="00B40F57"/>
    <w:rsid w:val="00B41008"/>
    <w:rsid w:val="00B4102D"/>
    <w:rsid w:val="00B413BD"/>
    <w:rsid w:val="00B41539"/>
    <w:rsid w:val="00B419BF"/>
    <w:rsid w:val="00B421C5"/>
    <w:rsid w:val="00B4233C"/>
    <w:rsid w:val="00B42423"/>
    <w:rsid w:val="00B4258A"/>
    <w:rsid w:val="00B4272E"/>
    <w:rsid w:val="00B42973"/>
    <w:rsid w:val="00B429E1"/>
    <w:rsid w:val="00B42A3C"/>
    <w:rsid w:val="00B42A92"/>
    <w:rsid w:val="00B42B9B"/>
    <w:rsid w:val="00B42E4A"/>
    <w:rsid w:val="00B43192"/>
    <w:rsid w:val="00B43250"/>
    <w:rsid w:val="00B43293"/>
    <w:rsid w:val="00B43316"/>
    <w:rsid w:val="00B4349F"/>
    <w:rsid w:val="00B435FE"/>
    <w:rsid w:val="00B4429F"/>
    <w:rsid w:val="00B4449F"/>
    <w:rsid w:val="00B4483C"/>
    <w:rsid w:val="00B448C0"/>
    <w:rsid w:val="00B44D44"/>
    <w:rsid w:val="00B45188"/>
    <w:rsid w:val="00B45453"/>
    <w:rsid w:val="00B45465"/>
    <w:rsid w:val="00B45469"/>
    <w:rsid w:val="00B4548F"/>
    <w:rsid w:val="00B457C2"/>
    <w:rsid w:val="00B45961"/>
    <w:rsid w:val="00B45B86"/>
    <w:rsid w:val="00B45BB8"/>
    <w:rsid w:val="00B45CA0"/>
    <w:rsid w:val="00B45E34"/>
    <w:rsid w:val="00B4600A"/>
    <w:rsid w:val="00B4647A"/>
    <w:rsid w:val="00B465A9"/>
    <w:rsid w:val="00B46B77"/>
    <w:rsid w:val="00B4721D"/>
    <w:rsid w:val="00B47246"/>
    <w:rsid w:val="00B47AA6"/>
    <w:rsid w:val="00B5009E"/>
    <w:rsid w:val="00B5018A"/>
    <w:rsid w:val="00B50220"/>
    <w:rsid w:val="00B50477"/>
    <w:rsid w:val="00B5049D"/>
    <w:rsid w:val="00B505F0"/>
    <w:rsid w:val="00B50B2B"/>
    <w:rsid w:val="00B50F63"/>
    <w:rsid w:val="00B511C4"/>
    <w:rsid w:val="00B518EB"/>
    <w:rsid w:val="00B51E34"/>
    <w:rsid w:val="00B51F75"/>
    <w:rsid w:val="00B51FFE"/>
    <w:rsid w:val="00B523C8"/>
    <w:rsid w:val="00B52441"/>
    <w:rsid w:val="00B5250E"/>
    <w:rsid w:val="00B5252D"/>
    <w:rsid w:val="00B52630"/>
    <w:rsid w:val="00B5287A"/>
    <w:rsid w:val="00B5292F"/>
    <w:rsid w:val="00B52F2D"/>
    <w:rsid w:val="00B5340B"/>
    <w:rsid w:val="00B5369A"/>
    <w:rsid w:val="00B53996"/>
    <w:rsid w:val="00B53A7A"/>
    <w:rsid w:val="00B53DBB"/>
    <w:rsid w:val="00B53E25"/>
    <w:rsid w:val="00B53E36"/>
    <w:rsid w:val="00B540A2"/>
    <w:rsid w:val="00B542BC"/>
    <w:rsid w:val="00B54385"/>
    <w:rsid w:val="00B546CD"/>
    <w:rsid w:val="00B5484C"/>
    <w:rsid w:val="00B54921"/>
    <w:rsid w:val="00B54B4C"/>
    <w:rsid w:val="00B54CA3"/>
    <w:rsid w:val="00B54F3E"/>
    <w:rsid w:val="00B55B4D"/>
    <w:rsid w:val="00B55C7D"/>
    <w:rsid w:val="00B560B7"/>
    <w:rsid w:val="00B5627B"/>
    <w:rsid w:val="00B56438"/>
    <w:rsid w:val="00B565EC"/>
    <w:rsid w:val="00B565EF"/>
    <w:rsid w:val="00B56CDB"/>
    <w:rsid w:val="00B570E1"/>
    <w:rsid w:val="00B5762A"/>
    <w:rsid w:val="00B5779C"/>
    <w:rsid w:val="00B57DCF"/>
    <w:rsid w:val="00B6037C"/>
    <w:rsid w:val="00B607A2"/>
    <w:rsid w:val="00B608EC"/>
    <w:rsid w:val="00B60DEC"/>
    <w:rsid w:val="00B60EA2"/>
    <w:rsid w:val="00B611BC"/>
    <w:rsid w:val="00B61203"/>
    <w:rsid w:val="00B61276"/>
    <w:rsid w:val="00B612E9"/>
    <w:rsid w:val="00B62042"/>
    <w:rsid w:val="00B6204D"/>
    <w:rsid w:val="00B62079"/>
    <w:rsid w:val="00B62662"/>
    <w:rsid w:val="00B626BD"/>
    <w:rsid w:val="00B627D4"/>
    <w:rsid w:val="00B628ED"/>
    <w:rsid w:val="00B6298A"/>
    <w:rsid w:val="00B629B1"/>
    <w:rsid w:val="00B62A5C"/>
    <w:rsid w:val="00B631D2"/>
    <w:rsid w:val="00B63282"/>
    <w:rsid w:val="00B633A4"/>
    <w:rsid w:val="00B634B3"/>
    <w:rsid w:val="00B63914"/>
    <w:rsid w:val="00B63EF3"/>
    <w:rsid w:val="00B64316"/>
    <w:rsid w:val="00B64419"/>
    <w:rsid w:val="00B6453D"/>
    <w:rsid w:val="00B645DD"/>
    <w:rsid w:val="00B64991"/>
    <w:rsid w:val="00B64BF1"/>
    <w:rsid w:val="00B64D12"/>
    <w:rsid w:val="00B64D16"/>
    <w:rsid w:val="00B64E4F"/>
    <w:rsid w:val="00B65006"/>
    <w:rsid w:val="00B65949"/>
    <w:rsid w:val="00B6597A"/>
    <w:rsid w:val="00B65BD1"/>
    <w:rsid w:val="00B65C95"/>
    <w:rsid w:val="00B65ECA"/>
    <w:rsid w:val="00B66466"/>
    <w:rsid w:val="00B66506"/>
    <w:rsid w:val="00B665D7"/>
    <w:rsid w:val="00B668C0"/>
    <w:rsid w:val="00B66A2D"/>
    <w:rsid w:val="00B66B14"/>
    <w:rsid w:val="00B671AD"/>
    <w:rsid w:val="00B6732B"/>
    <w:rsid w:val="00B67379"/>
    <w:rsid w:val="00B6776B"/>
    <w:rsid w:val="00B67A9A"/>
    <w:rsid w:val="00B67BE7"/>
    <w:rsid w:val="00B67F27"/>
    <w:rsid w:val="00B67FCE"/>
    <w:rsid w:val="00B70013"/>
    <w:rsid w:val="00B70436"/>
    <w:rsid w:val="00B7053D"/>
    <w:rsid w:val="00B70760"/>
    <w:rsid w:val="00B70A23"/>
    <w:rsid w:val="00B70CB5"/>
    <w:rsid w:val="00B7156B"/>
    <w:rsid w:val="00B716BF"/>
    <w:rsid w:val="00B7177C"/>
    <w:rsid w:val="00B71932"/>
    <w:rsid w:val="00B71D32"/>
    <w:rsid w:val="00B7271C"/>
    <w:rsid w:val="00B72B97"/>
    <w:rsid w:val="00B72C2C"/>
    <w:rsid w:val="00B72CE5"/>
    <w:rsid w:val="00B72F9B"/>
    <w:rsid w:val="00B73061"/>
    <w:rsid w:val="00B730DF"/>
    <w:rsid w:val="00B736DC"/>
    <w:rsid w:val="00B73CD9"/>
    <w:rsid w:val="00B73D4C"/>
    <w:rsid w:val="00B74087"/>
    <w:rsid w:val="00B74284"/>
    <w:rsid w:val="00B748CA"/>
    <w:rsid w:val="00B74B61"/>
    <w:rsid w:val="00B74B64"/>
    <w:rsid w:val="00B74D7B"/>
    <w:rsid w:val="00B7500D"/>
    <w:rsid w:val="00B75047"/>
    <w:rsid w:val="00B75106"/>
    <w:rsid w:val="00B75113"/>
    <w:rsid w:val="00B7540A"/>
    <w:rsid w:val="00B75A9E"/>
    <w:rsid w:val="00B75AF5"/>
    <w:rsid w:val="00B75CCA"/>
    <w:rsid w:val="00B769BA"/>
    <w:rsid w:val="00B76DC8"/>
    <w:rsid w:val="00B76E08"/>
    <w:rsid w:val="00B7703B"/>
    <w:rsid w:val="00B774B3"/>
    <w:rsid w:val="00B77A7D"/>
    <w:rsid w:val="00B77B06"/>
    <w:rsid w:val="00B80117"/>
    <w:rsid w:val="00B8038D"/>
    <w:rsid w:val="00B803F1"/>
    <w:rsid w:val="00B80400"/>
    <w:rsid w:val="00B8058D"/>
    <w:rsid w:val="00B8076F"/>
    <w:rsid w:val="00B80BB5"/>
    <w:rsid w:val="00B80F2B"/>
    <w:rsid w:val="00B81032"/>
    <w:rsid w:val="00B812E7"/>
    <w:rsid w:val="00B814D1"/>
    <w:rsid w:val="00B818F7"/>
    <w:rsid w:val="00B81980"/>
    <w:rsid w:val="00B82400"/>
    <w:rsid w:val="00B82592"/>
    <w:rsid w:val="00B827C6"/>
    <w:rsid w:val="00B828FF"/>
    <w:rsid w:val="00B8297B"/>
    <w:rsid w:val="00B82DF9"/>
    <w:rsid w:val="00B82F32"/>
    <w:rsid w:val="00B83371"/>
    <w:rsid w:val="00B833FA"/>
    <w:rsid w:val="00B839E9"/>
    <w:rsid w:val="00B83A7D"/>
    <w:rsid w:val="00B83B64"/>
    <w:rsid w:val="00B83BB6"/>
    <w:rsid w:val="00B84942"/>
    <w:rsid w:val="00B84A64"/>
    <w:rsid w:val="00B84AB1"/>
    <w:rsid w:val="00B84C5A"/>
    <w:rsid w:val="00B851B9"/>
    <w:rsid w:val="00B852A9"/>
    <w:rsid w:val="00B8540C"/>
    <w:rsid w:val="00B8573F"/>
    <w:rsid w:val="00B85954"/>
    <w:rsid w:val="00B85B62"/>
    <w:rsid w:val="00B85EF7"/>
    <w:rsid w:val="00B8631C"/>
    <w:rsid w:val="00B86797"/>
    <w:rsid w:val="00B867EB"/>
    <w:rsid w:val="00B86B48"/>
    <w:rsid w:val="00B86B4A"/>
    <w:rsid w:val="00B86BD5"/>
    <w:rsid w:val="00B86E7E"/>
    <w:rsid w:val="00B86E9A"/>
    <w:rsid w:val="00B87925"/>
    <w:rsid w:val="00B87A0F"/>
    <w:rsid w:val="00B87B05"/>
    <w:rsid w:val="00B90212"/>
    <w:rsid w:val="00B90274"/>
    <w:rsid w:val="00B90515"/>
    <w:rsid w:val="00B905EA"/>
    <w:rsid w:val="00B9069A"/>
    <w:rsid w:val="00B90DF7"/>
    <w:rsid w:val="00B90E1D"/>
    <w:rsid w:val="00B90ED6"/>
    <w:rsid w:val="00B90FB4"/>
    <w:rsid w:val="00B91043"/>
    <w:rsid w:val="00B9133C"/>
    <w:rsid w:val="00B91A05"/>
    <w:rsid w:val="00B91B1A"/>
    <w:rsid w:val="00B91B5C"/>
    <w:rsid w:val="00B91C3E"/>
    <w:rsid w:val="00B91C6E"/>
    <w:rsid w:val="00B92539"/>
    <w:rsid w:val="00B927A7"/>
    <w:rsid w:val="00B92946"/>
    <w:rsid w:val="00B92DF0"/>
    <w:rsid w:val="00B930FF"/>
    <w:rsid w:val="00B932D5"/>
    <w:rsid w:val="00B933FB"/>
    <w:rsid w:val="00B9346B"/>
    <w:rsid w:val="00B93E40"/>
    <w:rsid w:val="00B945D2"/>
    <w:rsid w:val="00B949A7"/>
    <w:rsid w:val="00B949FE"/>
    <w:rsid w:val="00B950A4"/>
    <w:rsid w:val="00B950D3"/>
    <w:rsid w:val="00B95110"/>
    <w:rsid w:val="00B951BF"/>
    <w:rsid w:val="00B952DF"/>
    <w:rsid w:val="00B957A4"/>
    <w:rsid w:val="00B9593D"/>
    <w:rsid w:val="00B95E60"/>
    <w:rsid w:val="00B95F84"/>
    <w:rsid w:val="00B95F85"/>
    <w:rsid w:val="00B9615E"/>
    <w:rsid w:val="00B9628F"/>
    <w:rsid w:val="00B964A5"/>
    <w:rsid w:val="00B966CD"/>
    <w:rsid w:val="00B96A89"/>
    <w:rsid w:val="00B96B0E"/>
    <w:rsid w:val="00B96FCF"/>
    <w:rsid w:val="00B97090"/>
    <w:rsid w:val="00B973C9"/>
    <w:rsid w:val="00B97586"/>
    <w:rsid w:val="00B975E3"/>
    <w:rsid w:val="00B97E55"/>
    <w:rsid w:val="00B97EFF"/>
    <w:rsid w:val="00B97F66"/>
    <w:rsid w:val="00BA007D"/>
    <w:rsid w:val="00BA0174"/>
    <w:rsid w:val="00BA0262"/>
    <w:rsid w:val="00BA0343"/>
    <w:rsid w:val="00BA04B9"/>
    <w:rsid w:val="00BA0681"/>
    <w:rsid w:val="00BA0871"/>
    <w:rsid w:val="00BA0CC3"/>
    <w:rsid w:val="00BA0FE4"/>
    <w:rsid w:val="00BA10FF"/>
    <w:rsid w:val="00BA13D9"/>
    <w:rsid w:val="00BA14C7"/>
    <w:rsid w:val="00BA1A9B"/>
    <w:rsid w:val="00BA1E32"/>
    <w:rsid w:val="00BA1ECB"/>
    <w:rsid w:val="00BA23CD"/>
    <w:rsid w:val="00BA2801"/>
    <w:rsid w:val="00BA2DC9"/>
    <w:rsid w:val="00BA2E91"/>
    <w:rsid w:val="00BA2F3D"/>
    <w:rsid w:val="00BA2F6F"/>
    <w:rsid w:val="00BA3133"/>
    <w:rsid w:val="00BA36B1"/>
    <w:rsid w:val="00BA36E7"/>
    <w:rsid w:val="00BA3740"/>
    <w:rsid w:val="00BA3B2A"/>
    <w:rsid w:val="00BA3D0D"/>
    <w:rsid w:val="00BA4603"/>
    <w:rsid w:val="00BA4874"/>
    <w:rsid w:val="00BA4941"/>
    <w:rsid w:val="00BA4944"/>
    <w:rsid w:val="00BA4E53"/>
    <w:rsid w:val="00BA4E78"/>
    <w:rsid w:val="00BA5161"/>
    <w:rsid w:val="00BA5973"/>
    <w:rsid w:val="00BA5BE3"/>
    <w:rsid w:val="00BA5D44"/>
    <w:rsid w:val="00BA5D8F"/>
    <w:rsid w:val="00BA5D92"/>
    <w:rsid w:val="00BA5F87"/>
    <w:rsid w:val="00BA62DD"/>
    <w:rsid w:val="00BA6335"/>
    <w:rsid w:val="00BA63A5"/>
    <w:rsid w:val="00BA692A"/>
    <w:rsid w:val="00BA6B42"/>
    <w:rsid w:val="00BA6ECB"/>
    <w:rsid w:val="00BA77C6"/>
    <w:rsid w:val="00BA7808"/>
    <w:rsid w:val="00BA796C"/>
    <w:rsid w:val="00BA79D9"/>
    <w:rsid w:val="00BA7A68"/>
    <w:rsid w:val="00BA7B0F"/>
    <w:rsid w:val="00BA7D31"/>
    <w:rsid w:val="00BA7D34"/>
    <w:rsid w:val="00BB000E"/>
    <w:rsid w:val="00BB012F"/>
    <w:rsid w:val="00BB046F"/>
    <w:rsid w:val="00BB076D"/>
    <w:rsid w:val="00BB0B2D"/>
    <w:rsid w:val="00BB1465"/>
    <w:rsid w:val="00BB1553"/>
    <w:rsid w:val="00BB1AFF"/>
    <w:rsid w:val="00BB1CF3"/>
    <w:rsid w:val="00BB2190"/>
    <w:rsid w:val="00BB226C"/>
    <w:rsid w:val="00BB22E3"/>
    <w:rsid w:val="00BB2520"/>
    <w:rsid w:val="00BB2EBD"/>
    <w:rsid w:val="00BB3001"/>
    <w:rsid w:val="00BB305F"/>
    <w:rsid w:val="00BB306C"/>
    <w:rsid w:val="00BB3909"/>
    <w:rsid w:val="00BB3958"/>
    <w:rsid w:val="00BB3C06"/>
    <w:rsid w:val="00BB3C99"/>
    <w:rsid w:val="00BB4226"/>
    <w:rsid w:val="00BB4369"/>
    <w:rsid w:val="00BB499D"/>
    <w:rsid w:val="00BB49AE"/>
    <w:rsid w:val="00BB4DB5"/>
    <w:rsid w:val="00BB4EC2"/>
    <w:rsid w:val="00BB4F8E"/>
    <w:rsid w:val="00BB53E7"/>
    <w:rsid w:val="00BB5573"/>
    <w:rsid w:val="00BB5649"/>
    <w:rsid w:val="00BB59B7"/>
    <w:rsid w:val="00BB5A2A"/>
    <w:rsid w:val="00BB5A42"/>
    <w:rsid w:val="00BB5FFF"/>
    <w:rsid w:val="00BB6227"/>
    <w:rsid w:val="00BB65E0"/>
    <w:rsid w:val="00BB686A"/>
    <w:rsid w:val="00BB6933"/>
    <w:rsid w:val="00BB69D2"/>
    <w:rsid w:val="00BB6B5A"/>
    <w:rsid w:val="00BB6D99"/>
    <w:rsid w:val="00BB6E73"/>
    <w:rsid w:val="00BB6F6D"/>
    <w:rsid w:val="00BB723F"/>
    <w:rsid w:val="00BB72F4"/>
    <w:rsid w:val="00BB7409"/>
    <w:rsid w:val="00BB74AC"/>
    <w:rsid w:val="00BB7830"/>
    <w:rsid w:val="00BB7A0D"/>
    <w:rsid w:val="00BB7AB2"/>
    <w:rsid w:val="00BB7AB3"/>
    <w:rsid w:val="00BB7C89"/>
    <w:rsid w:val="00BB7E0D"/>
    <w:rsid w:val="00BB7E44"/>
    <w:rsid w:val="00BC0129"/>
    <w:rsid w:val="00BC036B"/>
    <w:rsid w:val="00BC0AF1"/>
    <w:rsid w:val="00BC10E4"/>
    <w:rsid w:val="00BC15B7"/>
    <w:rsid w:val="00BC1A93"/>
    <w:rsid w:val="00BC2408"/>
    <w:rsid w:val="00BC2562"/>
    <w:rsid w:val="00BC2841"/>
    <w:rsid w:val="00BC290B"/>
    <w:rsid w:val="00BC3199"/>
    <w:rsid w:val="00BC3468"/>
    <w:rsid w:val="00BC3A1D"/>
    <w:rsid w:val="00BC3D98"/>
    <w:rsid w:val="00BC41AE"/>
    <w:rsid w:val="00BC44DD"/>
    <w:rsid w:val="00BC4968"/>
    <w:rsid w:val="00BC4EFB"/>
    <w:rsid w:val="00BC4FC0"/>
    <w:rsid w:val="00BC4FE2"/>
    <w:rsid w:val="00BC5238"/>
    <w:rsid w:val="00BC52E8"/>
    <w:rsid w:val="00BC553F"/>
    <w:rsid w:val="00BC57B8"/>
    <w:rsid w:val="00BC5DEB"/>
    <w:rsid w:val="00BC60B1"/>
    <w:rsid w:val="00BC6185"/>
    <w:rsid w:val="00BC61BE"/>
    <w:rsid w:val="00BC624F"/>
    <w:rsid w:val="00BC6734"/>
    <w:rsid w:val="00BC68E6"/>
    <w:rsid w:val="00BC6E1D"/>
    <w:rsid w:val="00BC7055"/>
    <w:rsid w:val="00BC70EF"/>
    <w:rsid w:val="00BC7132"/>
    <w:rsid w:val="00BC7648"/>
    <w:rsid w:val="00BC76B3"/>
    <w:rsid w:val="00BC78FA"/>
    <w:rsid w:val="00BC79FA"/>
    <w:rsid w:val="00BC7B70"/>
    <w:rsid w:val="00BC7E12"/>
    <w:rsid w:val="00BC7EDC"/>
    <w:rsid w:val="00BD00D3"/>
    <w:rsid w:val="00BD03DC"/>
    <w:rsid w:val="00BD0578"/>
    <w:rsid w:val="00BD067F"/>
    <w:rsid w:val="00BD084F"/>
    <w:rsid w:val="00BD0A15"/>
    <w:rsid w:val="00BD0E89"/>
    <w:rsid w:val="00BD1461"/>
    <w:rsid w:val="00BD1500"/>
    <w:rsid w:val="00BD18FC"/>
    <w:rsid w:val="00BD1A09"/>
    <w:rsid w:val="00BD1B74"/>
    <w:rsid w:val="00BD1CA4"/>
    <w:rsid w:val="00BD1E25"/>
    <w:rsid w:val="00BD1EF8"/>
    <w:rsid w:val="00BD1FC3"/>
    <w:rsid w:val="00BD2076"/>
    <w:rsid w:val="00BD21FA"/>
    <w:rsid w:val="00BD2247"/>
    <w:rsid w:val="00BD245A"/>
    <w:rsid w:val="00BD27F7"/>
    <w:rsid w:val="00BD2B37"/>
    <w:rsid w:val="00BD2BAC"/>
    <w:rsid w:val="00BD2E02"/>
    <w:rsid w:val="00BD2E8F"/>
    <w:rsid w:val="00BD2F46"/>
    <w:rsid w:val="00BD38C4"/>
    <w:rsid w:val="00BD3E44"/>
    <w:rsid w:val="00BD437B"/>
    <w:rsid w:val="00BD443A"/>
    <w:rsid w:val="00BD4689"/>
    <w:rsid w:val="00BD4ACE"/>
    <w:rsid w:val="00BD4D6C"/>
    <w:rsid w:val="00BD4ED2"/>
    <w:rsid w:val="00BD5172"/>
    <w:rsid w:val="00BD57E0"/>
    <w:rsid w:val="00BD5CD1"/>
    <w:rsid w:val="00BD6601"/>
    <w:rsid w:val="00BD68C1"/>
    <w:rsid w:val="00BD6E1D"/>
    <w:rsid w:val="00BD6EA6"/>
    <w:rsid w:val="00BD70C4"/>
    <w:rsid w:val="00BD78DF"/>
    <w:rsid w:val="00BD7BA8"/>
    <w:rsid w:val="00BE05F5"/>
    <w:rsid w:val="00BE0743"/>
    <w:rsid w:val="00BE0846"/>
    <w:rsid w:val="00BE096B"/>
    <w:rsid w:val="00BE0BD7"/>
    <w:rsid w:val="00BE10B6"/>
    <w:rsid w:val="00BE125B"/>
    <w:rsid w:val="00BE158A"/>
    <w:rsid w:val="00BE17AC"/>
    <w:rsid w:val="00BE18A5"/>
    <w:rsid w:val="00BE2447"/>
    <w:rsid w:val="00BE2468"/>
    <w:rsid w:val="00BE2565"/>
    <w:rsid w:val="00BE25A8"/>
    <w:rsid w:val="00BE266D"/>
    <w:rsid w:val="00BE2735"/>
    <w:rsid w:val="00BE2801"/>
    <w:rsid w:val="00BE33C8"/>
    <w:rsid w:val="00BE34D5"/>
    <w:rsid w:val="00BE397A"/>
    <w:rsid w:val="00BE3A80"/>
    <w:rsid w:val="00BE3C4F"/>
    <w:rsid w:val="00BE3D90"/>
    <w:rsid w:val="00BE3DE6"/>
    <w:rsid w:val="00BE3E3B"/>
    <w:rsid w:val="00BE4B10"/>
    <w:rsid w:val="00BE4F74"/>
    <w:rsid w:val="00BE51D7"/>
    <w:rsid w:val="00BE5C35"/>
    <w:rsid w:val="00BE5CA2"/>
    <w:rsid w:val="00BE5ED7"/>
    <w:rsid w:val="00BE5EEE"/>
    <w:rsid w:val="00BE5F56"/>
    <w:rsid w:val="00BE6555"/>
    <w:rsid w:val="00BE6894"/>
    <w:rsid w:val="00BE68FB"/>
    <w:rsid w:val="00BE6A7D"/>
    <w:rsid w:val="00BE6AC4"/>
    <w:rsid w:val="00BE6B11"/>
    <w:rsid w:val="00BE6E0D"/>
    <w:rsid w:val="00BE74E4"/>
    <w:rsid w:val="00BE7B12"/>
    <w:rsid w:val="00BE7BD8"/>
    <w:rsid w:val="00BE7C5E"/>
    <w:rsid w:val="00BE7D2A"/>
    <w:rsid w:val="00BE7DA0"/>
    <w:rsid w:val="00BE7ED4"/>
    <w:rsid w:val="00BF065C"/>
    <w:rsid w:val="00BF07B5"/>
    <w:rsid w:val="00BF08FC"/>
    <w:rsid w:val="00BF0931"/>
    <w:rsid w:val="00BF0C38"/>
    <w:rsid w:val="00BF0F15"/>
    <w:rsid w:val="00BF1563"/>
    <w:rsid w:val="00BF15A0"/>
    <w:rsid w:val="00BF1725"/>
    <w:rsid w:val="00BF17DC"/>
    <w:rsid w:val="00BF184C"/>
    <w:rsid w:val="00BF1862"/>
    <w:rsid w:val="00BF1B43"/>
    <w:rsid w:val="00BF1C72"/>
    <w:rsid w:val="00BF1CE7"/>
    <w:rsid w:val="00BF1E30"/>
    <w:rsid w:val="00BF1F74"/>
    <w:rsid w:val="00BF20AF"/>
    <w:rsid w:val="00BF241E"/>
    <w:rsid w:val="00BF266F"/>
    <w:rsid w:val="00BF2818"/>
    <w:rsid w:val="00BF2C1E"/>
    <w:rsid w:val="00BF3563"/>
    <w:rsid w:val="00BF3758"/>
    <w:rsid w:val="00BF39D4"/>
    <w:rsid w:val="00BF3AFB"/>
    <w:rsid w:val="00BF3BCF"/>
    <w:rsid w:val="00BF3BFE"/>
    <w:rsid w:val="00BF3F82"/>
    <w:rsid w:val="00BF418D"/>
    <w:rsid w:val="00BF42BE"/>
    <w:rsid w:val="00BF434D"/>
    <w:rsid w:val="00BF4989"/>
    <w:rsid w:val="00BF4A2F"/>
    <w:rsid w:val="00BF4D81"/>
    <w:rsid w:val="00BF5795"/>
    <w:rsid w:val="00BF5806"/>
    <w:rsid w:val="00BF5A9E"/>
    <w:rsid w:val="00BF5B09"/>
    <w:rsid w:val="00BF5BDE"/>
    <w:rsid w:val="00BF5EC1"/>
    <w:rsid w:val="00BF604C"/>
    <w:rsid w:val="00BF6133"/>
    <w:rsid w:val="00BF6B73"/>
    <w:rsid w:val="00BF6C63"/>
    <w:rsid w:val="00BF6CD8"/>
    <w:rsid w:val="00BF6D52"/>
    <w:rsid w:val="00BF6F9C"/>
    <w:rsid w:val="00BF70C1"/>
    <w:rsid w:val="00BF7326"/>
    <w:rsid w:val="00BF7378"/>
    <w:rsid w:val="00BF74CF"/>
    <w:rsid w:val="00BF788C"/>
    <w:rsid w:val="00BF79C3"/>
    <w:rsid w:val="00BF7AB0"/>
    <w:rsid w:val="00BF7B97"/>
    <w:rsid w:val="00C004F2"/>
    <w:rsid w:val="00C0063C"/>
    <w:rsid w:val="00C009EF"/>
    <w:rsid w:val="00C00EBF"/>
    <w:rsid w:val="00C0101E"/>
    <w:rsid w:val="00C01B00"/>
    <w:rsid w:val="00C01BD3"/>
    <w:rsid w:val="00C01C62"/>
    <w:rsid w:val="00C01F3F"/>
    <w:rsid w:val="00C02160"/>
    <w:rsid w:val="00C023EF"/>
    <w:rsid w:val="00C02566"/>
    <w:rsid w:val="00C02C00"/>
    <w:rsid w:val="00C02EDE"/>
    <w:rsid w:val="00C02F35"/>
    <w:rsid w:val="00C0321C"/>
    <w:rsid w:val="00C0329A"/>
    <w:rsid w:val="00C03614"/>
    <w:rsid w:val="00C03647"/>
    <w:rsid w:val="00C03960"/>
    <w:rsid w:val="00C03A56"/>
    <w:rsid w:val="00C03BC2"/>
    <w:rsid w:val="00C03D9B"/>
    <w:rsid w:val="00C03E4A"/>
    <w:rsid w:val="00C043E4"/>
    <w:rsid w:val="00C0462C"/>
    <w:rsid w:val="00C04ABB"/>
    <w:rsid w:val="00C051D1"/>
    <w:rsid w:val="00C05394"/>
    <w:rsid w:val="00C054AD"/>
    <w:rsid w:val="00C054B1"/>
    <w:rsid w:val="00C05706"/>
    <w:rsid w:val="00C058F7"/>
    <w:rsid w:val="00C05C2D"/>
    <w:rsid w:val="00C05F8C"/>
    <w:rsid w:val="00C06774"/>
    <w:rsid w:val="00C06798"/>
    <w:rsid w:val="00C06D16"/>
    <w:rsid w:val="00C06F94"/>
    <w:rsid w:val="00C071DE"/>
    <w:rsid w:val="00C072C2"/>
    <w:rsid w:val="00C07484"/>
    <w:rsid w:val="00C07506"/>
    <w:rsid w:val="00C079CB"/>
    <w:rsid w:val="00C07A31"/>
    <w:rsid w:val="00C10030"/>
    <w:rsid w:val="00C104CD"/>
    <w:rsid w:val="00C105B0"/>
    <w:rsid w:val="00C10BAE"/>
    <w:rsid w:val="00C10BB9"/>
    <w:rsid w:val="00C11008"/>
    <w:rsid w:val="00C111B6"/>
    <w:rsid w:val="00C116A6"/>
    <w:rsid w:val="00C1184C"/>
    <w:rsid w:val="00C11962"/>
    <w:rsid w:val="00C11F42"/>
    <w:rsid w:val="00C12015"/>
    <w:rsid w:val="00C1205F"/>
    <w:rsid w:val="00C125A2"/>
    <w:rsid w:val="00C12882"/>
    <w:rsid w:val="00C12970"/>
    <w:rsid w:val="00C12DDE"/>
    <w:rsid w:val="00C12F13"/>
    <w:rsid w:val="00C1306C"/>
    <w:rsid w:val="00C1313B"/>
    <w:rsid w:val="00C13153"/>
    <w:rsid w:val="00C13538"/>
    <w:rsid w:val="00C138B9"/>
    <w:rsid w:val="00C14360"/>
    <w:rsid w:val="00C14582"/>
    <w:rsid w:val="00C14616"/>
    <w:rsid w:val="00C14750"/>
    <w:rsid w:val="00C1478E"/>
    <w:rsid w:val="00C14846"/>
    <w:rsid w:val="00C14871"/>
    <w:rsid w:val="00C14B34"/>
    <w:rsid w:val="00C14BE9"/>
    <w:rsid w:val="00C14CF1"/>
    <w:rsid w:val="00C14D88"/>
    <w:rsid w:val="00C1505B"/>
    <w:rsid w:val="00C15907"/>
    <w:rsid w:val="00C15B02"/>
    <w:rsid w:val="00C15F2A"/>
    <w:rsid w:val="00C16841"/>
    <w:rsid w:val="00C16BB3"/>
    <w:rsid w:val="00C16F01"/>
    <w:rsid w:val="00C20033"/>
    <w:rsid w:val="00C2009C"/>
    <w:rsid w:val="00C200ED"/>
    <w:rsid w:val="00C20856"/>
    <w:rsid w:val="00C20BEB"/>
    <w:rsid w:val="00C20F8E"/>
    <w:rsid w:val="00C21078"/>
    <w:rsid w:val="00C21178"/>
    <w:rsid w:val="00C215CD"/>
    <w:rsid w:val="00C21991"/>
    <w:rsid w:val="00C227A2"/>
    <w:rsid w:val="00C22834"/>
    <w:rsid w:val="00C22A6A"/>
    <w:rsid w:val="00C22C77"/>
    <w:rsid w:val="00C22C87"/>
    <w:rsid w:val="00C22C89"/>
    <w:rsid w:val="00C22D74"/>
    <w:rsid w:val="00C23014"/>
    <w:rsid w:val="00C23769"/>
    <w:rsid w:val="00C23CEB"/>
    <w:rsid w:val="00C242D9"/>
    <w:rsid w:val="00C24418"/>
    <w:rsid w:val="00C2463A"/>
    <w:rsid w:val="00C247F2"/>
    <w:rsid w:val="00C24A7A"/>
    <w:rsid w:val="00C24E61"/>
    <w:rsid w:val="00C24FD8"/>
    <w:rsid w:val="00C2570A"/>
    <w:rsid w:val="00C2571C"/>
    <w:rsid w:val="00C25818"/>
    <w:rsid w:val="00C25D10"/>
    <w:rsid w:val="00C261D4"/>
    <w:rsid w:val="00C268E0"/>
    <w:rsid w:val="00C26B28"/>
    <w:rsid w:val="00C26F0E"/>
    <w:rsid w:val="00C272F2"/>
    <w:rsid w:val="00C275A6"/>
    <w:rsid w:val="00C2793F"/>
    <w:rsid w:val="00C2795E"/>
    <w:rsid w:val="00C2798C"/>
    <w:rsid w:val="00C27A23"/>
    <w:rsid w:val="00C27CBC"/>
    <w:rsid w:val="00C27E04"/>
    <w:rsid w:val="00C27F41"/>
    <w:rsid w:val="00C30012"/>
    <w:rsid w:val="00C303EC"/>
    <w:rsid w:val="00C30921"/>
    <w:rsid w:val="00C30A42"/>
    <w:rsid w:val="00C30ABB"/>
    <w:rsid w:val="00C314BF"/>
    <w:rsid w:val="00C3169A"/>
    <w:rsid w:val="00C316F7"/>
    <w:rsid w:val="00C31755"/>
    <w:rsid w:val="00C31BFC"/>
    <w:rsid w:val="00C31C15"/>
    <w:rsid w:val="00C32264"/>
    <w:rsid w:val="00C32842"/>
    <w:rsid w:val="00C32AF6"/>
    <w:rsid w:val="00C32B56"/>
    <w:rsid w:val="00C32B96"/>
    <w:rsid w:val="00C336E6"/>
    <w:rsid w:val="00C3380E"/>
    <w:rsid w:val="00C3389B"/>
    <w:rsid w:val="00C33A2E"/>
    <w:rsid w:val="00C33ACF"/>
    <w:rsid w:val="00C33C8D"/>
    <w:rsid w:val="00C33E55"/>
    <w:rsid w:val="00C33F18"/>
    <w:rsid w:val="00C33FB8"/>
    <w:rsid w:val="00C3450F"/>
    <w:rsid w:val="00C346C2"/>
    <w:rsid w:val="00C3472A"/>
    <w:rsid w:val="00C34961"/>
    <w:rsid w:val="00C3499B"/>
    <w:rsid w:val="00C349FE"/>
    <w:rsid w:val="00C34DBC"/>
    <w:rsid w:val="00C34DD2"/>
    <w:rsid w:val="00C34F7E"/>
    <w:rsid w:val="00C35010"/>
    <w:rsid w:val="00C3502C"/>
    <w:rsid w:val="00C35238"/>
    <w:rsid w:val="00C359B7"/>
    <w:rsid w:val="00C35AAA"/>
    <w:rsid w:val="00C35C5E"/>
    <w:rsid w:val="00C361FE"/>
    <w:rsid w:val="00C36488"/>
    <w:rsid w:val="00C366C7"/>
    <w:rsid w:val="00C366C9"/>
    <w:rsid w:val="00C36B34"/>
    <w:rsid w:val="00C36B64"/>
    <w:rsid w:val="00C36F48"/>
    <w:rsid w:val="00C37371"/>
    <w:rsid w:val="00C379EF"/>
    <w:rsid w:val="00C40117"/>
    <w:rsid w:val="00C402B8"/>
    <w:rsid w:val="00C405D6"/>
    <w:rsid w:val="00C40AF6"/>
    <w:rsid w:val="00C40CFC"/>
    <w:rsid w:val="00C40FC6"/>
    <w:rsid w:val="00C40FF3"/>
    <w:rsid w:val="00C4142C"/>
    <w:rsid w:val="00C4143F"/>
    <w:rsid w:val="00C41498"/>
    <w:rsid w:val="00C417D9"/>
    <w:rsid w:val="00C41A3C"/>
    <w:rsid w:val="00C421C5"/>
    <w:rsid w:val="00C422B5"/>
    <w:rsid w:val="00C42B61"/>
    <w:rsid w:val="00C42F0D"/>
    <w:rsid w:val="00C42FBD"/>
    <w:rsid w:val="00C435BB"/>
    <w:rsid w:val="00C44134"/>
    <w:rsid w:val="00C4457A"/>
    <w:rsid w:val="00C44880"/>
    <w:rsid w:val="00C44CBA"/>
    <w:rsid w:val="00C44D05"/>
    <w:rsid w:val="00C44D41"/>
    <w:rsid w:val="00C45959"/>
    <w:rsid w:val="00C45992"/>
    <w:rsid w:val="00C45A45"/>
    <w:rsid w:val="00C45BE0"/>
    <w:rsid w:val="00C45C6A"/>
    <w:rsid w:val="00C45D90"/>
    <w:rsid w:val="00C4615D"/>
    <w:rsid w:val="00C463BE"/>
    <w:rsid w:val="00C46C30"/>
    <w:rsid w:val="00C46C5C"/>
    <w:rsid w:val="00C46DC5"/>
    <w:rsid w:val="00C46E5C"/>
    <w:rsid w:val="00C473B8"/>
    <w:rsid w:val="00C477C2"/>
    <w:rsid w:val="00C47A9D"/>
    <w:rsid w:val="00C47AC5"/>
    <w:rsid w:val="00C47B35"/>
    <w:rsid w:val="00C47FB7"/>
    <w:rsid w:val="00C500C6"/>
    <w:rsid w:val="00C5035D"/>
    <w:rsid w:val="00C50393"/>
    <w:rsid w:val="00C503AC"/>
    <w:rsid w:val="00C50415"/>
    <w:rsid w:val="00C50508"/>
    <w:rsid w:val="00C50B0C"/>
    <w:rsid w:val="00C50C15"/>
    <w:rsid w:val="00C51094"/>
    <w:rsid w:val="00C51167"/>
    <w:rsid w:val="00C5154C"/>
    <w:rsid w:val="00C5158E"/>
    <w:rsid w:val="00C51B97"/>
    <w:rsid w:val="00C51F0D"/>
    <w:rsid w:val="00C520BC"/>
    <w:rsid w:val="00C5276A"/>
    <w:rsid w:val="00C52B0F"/>
    <w:rsid w:val="00C530B7"/>
    <w:rsid w:val="00C5311A"/>
    <w:rsid w:val="00C53167"/>
    <w:rsid w:val="00C53321"/>
    <w:rsid w:val="00C534CF"/>
    <w:rsid w:val="00C535AD"/>
    <w:rsid w:val="00C53691"/>
    <w:rsid w:val="00C536C6"/>
    <w:rsid w:val="00C53F00"/>
    <w:rsid w:val="00C54147"/>
    <w:rsid w:val="00C542E0"/>
    <w:rsid w:val="00C54B8E"/>
    <w:rsid w:val="00C54DD8"/>
    <w:rsid w:val="00C54DFE"/>
    <w:rsid w:val="00C54EF1"/>
    <w:rsid w:val="00C54F01"/>
    <w:rsid w:val="00C55B14"/>
    <w:rsid w:val="00C55E2A"/>
    <w:rsid w:val="00C55F06"/>
    <w:rsid w:val="00C55FA6"/>
    <w:rsid w:val="00C5662D"/>
    <w:rsid w:val="00C5694B"/>
    <w:rsid w:val="00C569BC"/>
    <w:rsid w:val="00C570A7"/>
    <w:rsid w:val="00C570E8"/>
    <w:rsid w:val="00C573EF"/>
    <w:rsid w:val="00C57416"/>
    <w:rsid w:val="00C5741D"/>
    <w:rsid w:val="00C57561"/>
    <w:rsid w:val="00C577A1"/>
    <w:rsid w:val="00C577A6"/>
    <w:rsid w:val="00C57C8F"/>
    <w:rsid w:val="00C57CDF"/>
    <w:rsid w:val="00C57ED0"/>
    <w:rsid w:val="00C60446"/>
    <w:rsid w:val="00C60BC0"/>
    <w:rsid w:val="00C60D2D"/>
    <w:rsid w:val="00C60D44"/>
    <w:rsid w:val="00C60E3B"/>
    <w:rsid w:val="00C614B4"/>
    <w:rsid w:val="00C6152C"/>
    <w:rsid w:val="00C616CE"/>
    <w:rsid w:val="00C618E2"/>
    <w:rsid w:val="00C620B8"/>
    <w:rsid w:val="00C622A4"/>
    <w:rsid w:val="00C6233A"/>
    <w:rsid w:val="00C6239D"/>
    <w:rsid w:val="00C62485"/>
    <w:rsid w:val="00C62B7A"/>
    <w:rsid w:val="00C62CBA"/>
    <w:rsid w:val="00C62F01"/>
    <w:rsid w:val="00C6327A"/>
    <w:rsid w:val="00C639C5"/>
    <w:rsid w:val="00C63DFD"/>
    <w:rsid w:val="00C63F32"/>
    <w:rsid w:val="00C63F78"/>
    <w:rsid w:val="00C6444D"/>
    <w:rsid w:val="00C6450B"/>
    <w:rsid w:val="00C64891"/>
    <w:rsid w:val="00C64D3A"/>
    <w:rsid w:val="00C64DFB"/>
    <w:rsid w:val="00C64EBD"/>
    <w:rsid w:val="00C65013"/>
    <w:rsid w:val="00C650CF"/>
    <w:rsid w:val="00C653AB"/>
    <w:rsid w:val="00C65C4A"/>
    <w:rsid w:val="00C65ED6"/>
    <w:rsid w:val="00C6681B"/>
    <w:rsid w:val="00C668CA"/>
    <w:rsid w:val="00C668CC"/>
    <w:rsid w:val="00C66F9F"/>
    <w:rsid w:val="00C67155"/>
    <w:rsid w:val="00C67173"/>
    <w:rsid w:val="00C6738C"/>
    <w:rsid w:val="00C6781A"/>
    <w:rsid w:val="00C679C3"/>
    <w:rsid w:val="00C679D3"/>
    <w:rsid w:val="00C67A2E"/>
    <w:rsid w:val="00C67AC8"/>
    <w:rsid w:val="00C67B24"/>
    <w:rsid w:val="00C67C6F"/>
    <w:rsid w:val="00C703CE"/>
    <w:rsid w:val="00C70BF9"/>
    <w:rsid w:val="00C70ED1"/>
    <w:rsid w:val="00C71025"/>
    <w:rsid w:val="00C713A6"/>
    <w:rsid w:val="00C715F2"/>
    <w:rsid w:val="00C71D17"/>
    <w:rsid w:val="00C72487"/>
    <w:rsid w:val="00C728D4"/>
    <w:rsid w:val="00C729B8"/>
    <w:rsid w:val="00C729CB"/>
    <w:rsid w:val="00C72B5E"/>
    <w:rsid w:val="00C73069"/>
    <w:rsid w:val="00C730A0"/>
    <w:rsid w:val="00C73417"/>
    <w:rsid w:val="00C734C0"/>
    <w:rsid w:val="00C7396A"/>
    <w:rsid w:val="00C74008"/>
    <w:rsid w:val="00C74498"/>
    <w:rsid w:val="00C746EC"/>
    <w:rsid w:val="00C7488A"/>
    <w:rsid w:val="00C749D2"/>
    <w:rsid w:val="00C749D7"/>
    <w:rsid w:val="00C74B4F"/>
    <w:rsid w:val="00C74ECB"/>
    <w:rsid w:val="00C74EE4"/>
    <w:rsid w:val="00C754BA"/>
    <w:rsid w:val="00C754BF"/>
    <w:rsid w:val="00C756B2"/>
    <w:rsid w:val="00C75742"/>
    <w:rsid w:val="00C75936"/>
    <w:rsid w:val="00C759FE"/>
    <w:rsid w:val="00C75AFC"/>
    <w:rsid w:val="00C75FD0"/>
    <w:rsid w:val="00C76161"/>
    <w:rsid w:val="00C761C6"/>
    <w:rsid w:val="00C76D12"/>
    <w:rsid w:val="00C76D3C"/>
    <w:rsid w:val="00C77131"/>
    <w:rsid w:val="00C77154"/>
    <w:rsid w:val="00C772D5"/>
    <w:rsid w:val="00C774E2"/>
    <w:rsid w:val="00C7772E"/>
    <w:rsid w:val="00C7774D"/>
    <w:rsid w:val="00C77ECC"/>
    <w:rsid w:val="00C77FC8"/>
    <w:rsid w:val="00C804DF"/>
    <w:rsid w:val="00C8087C"/>
    <w:rsid w:val="00C80DB5"/>
    <w:rsid w:val="00C81320"/>
    <w:rsid w:val="00C81440"/>
    <w:rsid w:val="00C815C2"/>
    <w:rsid w:val="00C81713"/>
    <w:rsid w:val="00C81C15"/>
    <w:rsid w:val="00C81CE4"/>
    <w:rsid w:val="00C820F6"/>
    <w:rsid w:val="00C82194"/>
    <w:rsid w:val="00C825A2"/>
    <w:rsid w:val="00C82A2F"/>
    <w:rsid w:val="00C82C53"/>
    <w:rsid w:val="00C830BF"/>
    <w:rsid w:val="00C831D2"/>
    <w:rsid w:val="00C83353"/>
    <w:rsid w:val="00C833DE"/>
    <w:rsid w:val="00C8350E"/>
    <w:rsid w:val="00C83B10"/>
    <w:rsid w:val="00C83B45"/>
    <w:rsid w:val="00C83B5D"/>
    <w:rsid w:val="00C83B8B"/>
    <w:rsid w:val="00C842CF"/>
    <w:rsid w:val="00C8459B"/>
    <w:rsid w:val="00C845E0"/>
    <w:rsid w:val="00C8491F"/>
    <w:rsid w:val="00C84961"/>
    <w:rsid w:val="00C84D8B"/>
    <w:rsid w:val="00C8570D"/>
    <w:rsid w:val="00C858E7"/>
    <w:rsid w:val="00C85974"/>
    <w:rsid w:val="00C85D38"/>
    <w:rsid w:val="00C86247"/>
    <w:rsid w:val="00C8671C"/>
    <w:rsid w:val="00C867B2"/>
    <w:rsid w:val="00C86B3F"/>
    <w:rsid w:val="00C86E3D"/>
    <w:rsid w:val="00C871EB"/>
    <w:rsid w:val="00C872FF"/>
    <w:rsid w:val="00C874F2"/>
    <w:rsid w:val="00C875AD"/>
    <w:rsid w:val="00C87A39"/>
    <w:rsid w:val="00C87B1B"/>
    <w:rsid w:val="00C87BF7"/>
    <w:rsid w:val="00C87C4F"/>
    <w:rsid w:val="00C87EB6"/>
    <w:rsid w:val="00C90147"/>
    <w:rsid w:val="00C9067D"/>
    <w:rsid w:val="00C909A8"/>
    <w:rsid w:val="00C90BB3"/>
    <w:rsid w:val="00C90C65"/>
    <w:rsid w:val="00C90D51"/>
    <w:rsid w:val="00C90E8A"/>
    <w:rsid w:val="00C90F8D"/>
    <w:rsid w:val="00C90FA2"/>
    <w:rsid w:val="00C910FE"/>
    <w:rsid w:val="00C912A3"/>
    <w:rsid w:val="00C914B4"/>
    <w:rsid w:val="00C91FD4"/>
    <w:rsid w:val="00C9220B"/>
    <w:rsid w:val="00C928C6"/>
    <w:rsid w:val="00C92ED1"/>
    <w:rsid w:val="00C93356"/>
    <w:rsid w:val="00C93F95"/>
    <w:rsid w:val="00C94012"/>
    <w:rsid w:val="00C943CF"/>
    <w:rsid w:val="00C949D2"/>
    <w:rsid w:val="00C94B60"/>
    <w:rsid w:val="00C94C1A"/>
    <w:rsid w:val="00C94DB9"/>
    <w:rsid w:val="00C94FFB"/>
    <w:rsid w:val="00C95148"/>
    <w:rsid w:val="00C9537A"/>
    <w:rsid w:val="00C954B6"/>
    <w:rsid w:val="00C955E3"/>
    <w:rsid w:val="00C95C5E"/>
    <w:rsid w:val="00C9604D"/>
    <w:rsid w:val="00C96526"/>
    <w:rsid w:val="00C968A4"/>
    <w:rsid w:val="00C96B7A"/>
    <w:rsid w:val="00C971DE"/>
    <w:rsid w:val="00C9730A"/>
    <w:rsid w:val="00C97354"/>
    <w:rsid w:val="00C97730"/>
    <w:rsid w:val="00C97799"/>
    <w:rsid w:val="00C97A6A"/>
    <w:rsid w:val="00CA0197"/>
    <w:rsid w:val="00CA036F"/>
    <w:rsid w:val="00CA07EA"/>
    <w:rsid w:val="00CA0894"/>
    <w:rsid w:val="00CA0A52"/>
    <w:rsid w:val="00CA107E"/>
    <w:rsid w:val="00CA1236"/>
    <w:rsid w:val="00CA1260"/>
    <w:rsid w:val="00CA166A"/>
    <w:rsid w:val="00CA1883"/>
    <w:rsid w:val="00CA198B"/>
    <w:rsid w:val="00CA1EE3"/>
    <w:rsid w:val="00CA1FFC"/>
    <w:rsid w:val="00CA2447"/>
    <w:rsid w:val="00CA24B8"/>
    <w:rsid w:val="00CA255D"/>
    <w:rsid w:val="00CA2C63"/>
    <w:rsid w:val="00CA30D8"/>
    <w:rsid w:val="00CA391D"/>
    <w:rsid w:val="00CA425A"/>
    <w:rsid w:val="00CA42BF"/>
    <w:rsid w:val="00CA4878"/>
    <w:rsid w:val="00CA4947"/>
    <w:rsid w:val="00CA4C8A"/>
    <w:rsid w:val="00CA4D08"/>
    <w:rsid w:val="00CA4EAC"/>
    <w:rsid w:val="00CA530B"/>
    <w:rsid w:val="00CA5631"/>
    <w:rsid w:val="00CA5838"/>
    <w:rsid w:val="00CA586C"/>
    <w:rsid w:val="00CA59C3"/>
    <w:rsid w:val="00CA5BA1"/>
    <w:rsid w:val="00CA5BC1"/>
    <w:rsid w:val="00CA5C7E"/>
    <w:rsid w:val="00CA5DE0"/>
    <w:rsid w:val="00CA5FCE"/>
    <w:rsid w:val="00CA6471"/>
    <w:rsid w:val="00CA6519"/>
    <w:rsid w:val="00CA6599"/>
    <w:rsid w:val="00CA670E"/>
    <w:rsid w:val="00CA6732"/>
    <w:rsid w:val="00CA6965"/>
    <w:rsid w:val="00CA6DAB"/>
    <w:rsid w:val="00CA738F"/>
    <w:rsid w:val="00CA73BC"/>
    <w:rsid w:val="00CA7494"/>
    <w:rsid w:val="00CA749B"/>
    <w:rsid w:val="00CA7983"/>
    <w:rsid w:val="00CA7CA7"/>
    <w:rsid w:val="00CA7F45"/>
    <w:rsid w:val="00CB020C"/>
    <w:rsid w:val="00CB0544"/>
    <w:rsid w:val="00CB05B6"/>
    <w:rsid w:val="00CB0B84"/>
    <w:rsid w:val="00CB0BED"/>
    <w:rsid w:val="00CB0C58"/>
    <w:rsid w:val="00CB0D1B"/>
    <w:rsid w:val="00CB1082"/>
    <w:rsid w:val="00CB1588"/>
    <w:rsid w:val="00CB1CB6"/>
    <w:rsid w:val="00CB2162"/>
    <w:rsid w:val="00CB27ED"/>
    <w:rsid w:val="00CB297D"/>
    <w:rsid w:val="00CB2A55"/>
    <w:rsid w:val="00CB2B9B"/>
    <w:rsid w:val="00CB2C46"/>
    <w:rsid w:val="00CB2E18"/>
    <w:rsid w:val="00CB2F21"/>
    <w:rsid w:val="00CB2FCE"/>
    <w:rsid w:val="00CB319C"/>
    <w:rsid w:val="00CB31BD"/>
    <w:rsid w:val="00CB3552"/>
    <w:rsid w:val="00CB36A9"/>
    <w:rsid w:val="00CB3AC4"/>
    <w:rsid w:val="00CB3BB4"/>
    <w:rsid w:val="00CB3D5C"/>
    <w:rsid w:val="00CB40F3"/>
    <w:rsid w:val="00CB4AFD"/>
    <w:rsid w:val="00CB4CBA"/>
    <w:rsid w:val="00CB5097"/>
    <w:rsid w:val="00CB51CE"/>
    <w:rsid w:val="00CB5665"/>
    <w:rsid w:val="00CB59EE"/>
    <w:rsid w:val="00CB59F4"/>
    <w:rsid w:val="00CB5C22"/>
    <w:rsid w:val="00CB5ECB"/>
    <w:rsid w:val="00CB6152"/>
    <w:rsid w:val="00CB64F0"/>
    <w:rsid w:val="00CB6B53"/>
    <w:rsid w:val="00CB7026"/>
    <w:rsid w:val="00CB70B2"/>
    <w:rsid w:val="00CB724C"/>
    <w:rsid w:val="00CB77C1"/>
    <w:rsid w:val="00CB788B"/>
    <w:rsid w:val="00CB7FB1"/>
    <w:rsid w:val="00CC0014"/>
    <w:rsid w:val="00CC0079"/>
    <w:rsid w:val="00CC013E"/>
    <w:rsid w:val="00CC07F4"/>
    <w:rsid w:val="00CC094D"/>
    <w:rsid w:val="00CC0AE9"/>
    <w:rsid w:val="00CC1264"/>
    <w:rsid w:val="00CC169A"/>
    <w:rsid w:val="00CC1795"/>
    <w:rsid w:val="00CC1842"/>
    <w:rsid w:val="00CC1930"/>
    <w:rsid w:val="00CC1AF8"/>
    <w:rsid w:val="00CC1B89"/>
    <w:rsid w:val="00CC1C2B"/>
    <w:rsid w:val="00CC1CBE"/>
    <w:rsid w:val="00CC1E2A"/>
    <w:rsid w:val="00CC1E41"/>
    <w:rsid w:val="00CC1F5A"/>
    <w:rsid w:val="00CC2516"/>
    <w:rsid w:val="00CC2558"/>
    <w:rsid w:val="00CC2712"/>
    <w:rsid w:val="00CC2747"/>
    <w:rsid w:val="00CC2B56"/>
    <w:rsid w:val="00CC301C"/>
    <w:rsid w:val="00CC34CA"/>
    <w:rsid w:val="00CC3876"/>
    <w:rsid w:val="00CC3FCE"/>
    <w:rsid w:val="00CC407E"/>
    <w:rsid w:val="00CC42EA"/>
    <w:rsid w:val="00CC4750"/>
    <w:rsid w:val="00CC4A23"/>
    <w:rsid w:val="00CC4F89"/>
    <w:rsid w:val="00CC5378"/>
    <w:rsid w:val="00CC53A7"/>
    <w:rsid w:val="00CC562C"/>
    <w:rsid w:val="00CC565C"/>
    <w:rsid w:val="00CC57B9"/>
    <w:rsid w:val="00CC58AE"/>
    <w:rsid w:val="00CC5E77"/>
    <w:rsid w:val="00CC5F77"/>
    <w:rsid w:val="00CC66EA"/>
    <w:rsid w:val="00CC686D"/>
    <w:rsid w:val="00CC6C72"/>
    <w:rsid w:val="00CC70C8"/>
    <w:rsid w:val="00CC70D1"/>
    <w:rsid w:val="00CC73F5"/>
    <w:rsid w:val="00CC76F1"/>
    <w:rsid w:val="00CC78BD"/>
    <w:rsid w:val="00CC7B71"/>
    <w:rsid w:val="00CC7EA6"/>
    <w:rsid w:val="00CD010D"/>
    <w:rsid w:val="00CD0354"/>
    <w:rsid w:val="00CD07DE"/>
    <w:rsid w:val="00CD084A"/>
    <w:rsid w:val="00CD0D08"/>
    <w:rsid w:val="00CD0D49"/>
    <w:rsid w:val="00CD0DC5"/>
    <w:rsid w:val="00CD1320"/>
    <w:rsid w:val="00CD148B"/>
    <w:rsid w:val="00CD15EE"/>
    <w:rsid w:val="00CD1645"/>
    <w:rsid w:val="00CD19DA"/>
    <w:rsid w:val="00CD1A32"/>
    <w:rsid w:val="00CD1A4A"/>
    <w:rsid w:val="00CD1A57"/>
    <w:rsid w:val="00CD1A98"/>
    <w:rsid w:val="00CD1AE9"/>
    <w:rsid w:val="00CD1B89"/>
    <w:rsid w:val="00CD1D06"/>
    <w:rsid w:val="00CD1E5C"/>
    <w:rsid w:val="00CD216A"/>
    <w:rsid w:val="00CD237D"/>
    <w:rsid w:val="00CD2CD4"/>
    <w:rsid w:val="00CD2E15"/>
    <w:rsid w:val="00CD30C4"/>
    <w:rsid w:val="00CD3139"/>
    <w:rsid w:val="00CD31D0"/>
    <w:rsid w:val="00CD347E"/>
    <w:rsid w:val="00CD3490"/>
    <w:rsid w:val="00CD3C27"/>
    <w:rsid w:val="00CD3C75"/>
    <w:rsid w:val="00CD3CFA"/>
    <w:rsid w:val="00CD3DF4"/>
    <w:rsid w:val="00CD4801"/>
    <w:rsid w:val="00CD50FC"/>
    <w:rsid w:val="00CD511C"/>
    <w:rsid w:val="00CD5242"/>
    <w:rsid w:val="00CD536E"/>
    <w:rsid w:val="00CD53EE"/>
    <w:rsid w:val="00CD58CE"/>
    <w:rsid w:val="00CD5C6F"/>
    <w:rsid w:val="00CD5E4A"/>
    <w:rsid w:val="00CD6136"/>
    <w:rsid w:val="00CD660D"/>
    <w:rsid w:val="00CD67F5"/>
    <w:rsid w:val="00CD6F57"/>
    <w:rsid w:val="00CD7164"/>
    <w:rsid w:val="00CD740E"/>
    <w:rsid w:val="00CD75B0"/>
    <w:rsid w:val="00CD7819"/>
    <w:rsid w:val="00CD7826"/>
    <w:rsid w:val="00CD7913"/>
    <w:rsid w:val="00CD7DF3"/>
    <w:rsid w:val="00CE01A3"/>
    <w:rsid w:val="00CE0A80"/>
    <w:rsid w:val="00CE0BED"/>
    <w:rsid w:val="00CE1190"/>
    <w:rsid w:val="00CE13C0"/>
    <w:rsid w:val="00CE14FB"/>
    <w:rsid w:val="00CE15D6"/>
    <w:rsid w:val="00CE1744"/>
    <w:rsid w:val="00CE1C2F"/>
    <w:rsid w:val="00CE1DFF"/>
    <w:rsid w:val="00CE2091"/>
    <w:rsid w:val="00CE23FB"/>
    <w:rsid w:val="00CE25AE"/>
    <w:rsid w:val="00CE277F"/>
    <w:rsid w:val="00CE29A6"/>
    <w:rsid w:val="00CE2DAB"/>
    <w:rsid w:val="00CE3168"/>
    <w:rsid w:val="00CE3333"/>
    <w:rsid w:val="00CE347E"/>
    <w:rsid w:val="00CE36F9"/>
    <w:rsid w:val="00CE3995"/>
    <w:rsid w:val="00CE41E7"/>
    <w:rsid w:val="00CE4223"/>
    <w:rsid w:val="00CE42F0"/>
    <w:rsid w:val="00CE45D1"/>
    <w:rsid w:val="00CE4796"/>
    <w:rsid w:val="00CE4BDD"/>
    <w:rsid w:val="00CE4C7D"/>
    <w:rsid w:val="00CE4CE4"/>
    <w:rsid w:val="00CE4F17"/>
    <w:rsid w:val="00CE50EF"/>
    <w:rsid w:val="00CE51F6"/>
    <w:rsid w:val="00CE531B"/>
    <w:rsid w:val="00CE5350"/>
    <w:rsid w:val="00CE53A9"/>
    <w:rsid w:val="00CE55A4"/>
    <w:rsid w:val="00CE55BF"/>
    <w:rsid w:val="00CE5950"/>
    <w:rsid w:val="00CE5C91"/>
    <w:rsid w:val="00CE5D06"/>
    <w:rsid w:val="00CE5DD5"/>
    <w:rsid w:val="00CE614C"/>
    <w:rsid w:val="00CE6911"/>
    <w:rsid w:val="00CE6BF8"/>
    <w:rsid w:val="00CE6E8D"/>
    <w:rsid w:val="00CE71A6"/>
    <w:rsid w:val="00CE76FB"/>
    <w:rsid w:val="00CE7A55"/>
    <w:rsid w:val="00CE7A85"/>
    <w:rsid w:val="00CE7AF9"/>
    <w:rsid w:val="00CE7FD2"/>
    <w:rsid w:val="00CF035B"/>
    <w:rsid w:val="00CF03ED"/>
    <w:rsid w:val="00CF0484"/>
    <w:rsid w:val="00CF0AA8"/>
    <w:rsid w:val="00CF0D75"/>
    <w:rsid w:val="00CF144A"/>
    <w:rsid w:val="00CF1538"/>
    <w:rsid w:val="00CF1BAF"/>
    <w:rsid w:val="00CF1BD3"/>
    <w:rsid w:val="00CF20D1"/>
    <w:rsid w:val="00CF3361"/>
    <w:rsid w:val="00CF33F1"/>
    <w:rsid w:val="00CF3C65"/>
    <w:rsid w:val="00CF3FC5"/>
    <w:rsid w:val="00CF405D"/>
    <w:rsid w:val="00CF4270"/>
    <w:rsid w:val="00CF4293"/>
    <w:rsid w:val="00CF429F"/>
    <w:rsid w:val="00CF44C0"/>
    <w:rsid w:val="00CF472D"/>
    <w:rsid w:val="00CF4786"/>
    <w:rsid w:val="00CF51DD"/>
    <w:rsid w:val="00CF5AB3"/>
    <w:rsid w:val="00CF5ACB"/>
    <w:rsid w:val="00CF60A8"/>
    <w:rsid w:val="00CF6947"/>
    <w:rsid w:val="00CF6A5C"/>
    <w:rsid w:val="00CF6E72"/>
    <w:rsid w:val="00CF6F26"/>
    <w:rsid w:val="00CF7566"/>
    <w:rsid w:val="00CF773F"/>
    <w:rsid w:val="00CF7BDB"/>
    <w:rsid w:val="00CF7C68"/>
    <w:rsid w:val="00CF7CA3"/>
    <w:rsid w:val="00CF7D76"/>
    <w:rsid w:val="00D002A8"/>
    <w:rsid w:val="00D004BC"/>
    <w:rsid w:val="00D0053A"/>
    <w:rsid w:val="00D006A2"/>
    <w:rsid w:val="00D007AA"/>
    <w:rsid w:val="00D00810"/>
    <w:rsid w:val="00D00866"/>
    <w:rsid w:val="00D00E33"/>
    <w:rsid w:val="00D011D8"/>
    <w:rsid w:val="00D01311"/>
    <w:rsid w:val="00D0177C"/>
    <w:rsid w:val="00D018E3"/>
    <w:rsid w:val="00D01943"/>
    <w:rsid w:val="00D01977"/>
    <w:rsid w:val="00D019D1"/>
    <w:rsid w:val="00D01ACF"/>
    <w:rsid w:val="00D02002"/>
    <w:rsid w:val="00D0212B"/>
    <w:rsid w:val="00D023C2"/>
    <w:rsid w:val="00D02647"/>
    <w:rsid w:val="00D029AC"/>
    <w:rsid w:val="00D02A41"/>
    <w:rsid w:val="00D02DF6"/>
    <w:rsid w:val="00D02E71"/>
    <w:rsid w:val="00D02E74"/>
    <w:rsid w:val="00D03740"/>
    <w:rsid w:val="00D03A30"/>
    <w:rsid w:val="00D03AA9"/>
    <w:rsid w:val="00D0414A"/>
    <w:rsid w:val="00D043C3"/>
    <w:rsid w:val="00D043FA"/>
    <w:rsid w:val="00D044CA"/>
    <w:rsid w:val="00D04881"/>
    <w:rsid w:val="00D04882"/>
    <w:rsid w:val="00D04886"/>
    <w:rsid w:val="00D04B5A"/>
    <w:rsid w:val="00D04C24"/>
    <w:rsid w:val="00D05041"/>
    <w:rsid w:val="00D05064"/>
    <w:rsid w:val="00D05386"/>
    <w:rsid w:val="00D05969"/>
    <w:rsid w:val="00D05BD4"/>
    <w:rsid w:val="00D05EDD"/>
    <w:rsid w:val="00D05F58"/>
    <w:rsid w:val="00D0663E"/>
    <w:rsid w:val="00D06DB4"/>
    <w:rsid w:val="00D06E03"/>
    <w:rsid w:val="00D07114"/>
    <w:rsid w:val="00D07BF2"/>
    <w:rsid w:val="00D1012A"/>
    <w:rsid w:val="00D1017B"/>
    <w:rsid w:val="00D10559"/>
    <w:rsid w:val="00D107B2"/>
    <w:rsid w:val="00D1087B"/>
    <w:rsid w:val="00D10BED"/>
    <w:rsid w:val="00D11605"/>
    <w:rsid w:val="00D117DD"/>
    <w:rsid w:val="00D11906"/>
    <w:rsid w:val="00D12283"/>
    <w:rsid w:val="00D12530"/>
    <w:rsid w:val="00D1263C"/>
    <w:rsid w:val="00D126CF"/>
    <w:rsid w:val="00D12763"/>
    <w:rsid w:val="00D127AE"/>
    <w:rsid w:val="00D12BBD"/>
    <w:rsid w:val="00D12D5A"/>
    <w:rsid w:val="00D12DCB"/>
    <w:rsid w:val="00D131E1"/>
    <w:rsid w:val="00D135AD"/>
    <w:rsid w:val="00D136FC"/>
    <w:rsid w:val="00D13855"/>
    <w:rsid w:val="00D13948"/>
    <w:rsid w:val="00D13A18"/>
    <w:rsid w:val="00D13B85"/>
    <w:rsid w:val="00D13C76"/>
    <w:rsid w:val="00D13EAF"/>
    <w:rsid w:val="00D13FF6"/>
    <w:rsid w:val="00D140B0"/>
    <w:rsid w:val="00D142F9"/>
    <w:rsid w:val="00D143DB"/>
    <w:rsid w:val="00D1488F"/>
    <w:rsid w:val="00D14D29"/>
    <w:rsid w:val="00D14D2B"/>
    <w:rsid w:val="00D154AE"/>
    <w:rsid w:val="00D15800"/>
    <w:rsid w:val="00D15ABD"/>
    <w:rsid w:val="00D15E8A"/>
    <w:rsid w:val="00D15EED"/>
    <w:rsid w:val="00D160AF"/>
    <w:rsid w:val="00D16228"/>
    <w:rsid w:val="00D16612"/>
    <w:rsid w:val="00D168F9"/>
    <w:rsid w:val="00D170E4"/>
    <w:rsid w:val="00D1727D"/>
    <w:rsid w:val="00D17391"/>
    <w:rsid w:val="00D175B4"/>
    <w:rsid w:val="00D17BAD"/>
    <w:rsid w:val="00D17C9D"/>
    <w:rsid w:val="00D17D3A"/>
    <w:rsid w:val="00D17DDE"/>
    <w:rsid w:val="00D17FF3"/>
    <w:rsid w:val="00D20630"/>
    <w:rsid w:val="00D206F1"/>
    <w:rsid w:val="00D20A7E"/>
    <w:rsid w:val="00D20B68"/>
    <w:rsid w:val="00D20DD1"/>
    <w:rsid w:val="00D2126D"/>
    <w:rsid w:val="00D216F6"/>
    <w:rsid w:val="00D21871"/>
    <w:rsid w:val="00D21B65"/>
    <w:rsid w:val="00D21BAD"/>
    <w:rsid w:val="00D222D7"/>
    <w:rsid w:val="00D22491"/>
    <w:rsid w:val="00D22525"/>
    <w:rsid w:val="00D22BC8"/>
    <w:rsid w:val="00D22F41"/>
    <w:rsid w:val="00D23852"/>
    <w:rsid w:val="00D238B2"/>
    <w:rsid w:val="00D23E63"/>
    <w:rsid w:val="00D23EA2"/>
    <w:rsid w:val="00D23F70"/>
    <w:rsid w:val="00D248F6"/>
    <w:rsid w:val="00D24B52"/>
    <w:rsid w:val="00D24E55"/>
    <w:rsid w:val="00D2517B"/>
    <w:rsid w:val="00D25196"/>
    <w:rsid w:val="00D253CA"/>
    <w:rsid w:val="00D2609B"/>
    <w:rsid w:val="00D26370"/>
    <w:rsid w:val="00D2656F"/>
    <w:rsid w:val="00D272C0"/>
    <w:rsid w:val="00D27B3A"/>
    <w:rsid w:val="00D27C1F"/>
    <w:rsid w:val="00D27C66"/>
    <w:rsid w:val="00D27CEA"/>
    <w:rsid w:val="00D27EB4"/>
    <w:rsid w:val="00D30068"/>
    <w:rsid w:val="00D3011C"/>
    <w:rsid w:val="00D3058C"/>
    <w:rsid w:val="00D3060F"/>
    <w:rsid w:val="00D306E4"/>
    <w:rsid w:val="00D307BD"/>
    <w:rsid w:val="00D307D3"/>
    <w:rsid w:val="00D30D3E"/>
    <w:rsid w:val="00D310EF"/>
    <w:rsid w:val="00D3116F"/>
    <w:rsid w:val="00D31845"/>
    <w:rsid w:val="00D31870"/>
    <w:rsid w:val="00D31992"/>
    <w:rsid w:val="00D31A02"/>
    <w:rsid w:val="00D31C6C"/>
    <w:rsid w:val="00D31DE3"/>
    <w:rsid w:val="00D31F78"/>
    <w:rsid w:val="00D31FBB"/>
    <w:rsid w:val="00D3206B"/>
    <w:rsid w:val="00D32848"/>
    <w:rsid w:val="00D32B6E"/>
    <w:rsid w:val="00D32C9F"/>
    <w:rsid w:val="00D32D01"/>
    <w:rsid w:val="00D32D5C"/>
    <w:rsid w:val="00D32DF5"/>
    <w:rsid w:val="00D3322E"/>
    <w:rsid w:val="00D332DD"/>
    <w:rsid w:val="00D33588"/>
    <w:rsid w:val="00D337ED"/>
    <w:rsid w:val="00D33E3C"/>
    <w:rsid w:val="00D3411D"/>
    <w:rsid w:val="00D34182"/>
    <w:rsid w:val="00D343D1"/>
    <w:rsid w:val="00D344AB"/>
    <w:rsid w:val="00D34892"/>
    <w:rsid w:val="00D35012"/>
    <w:rsid w:val="00D351C1"/>
    <w:rsid w:val="00D353E6"/>
    <w:rsid w:val="00D359D6"/>
    <w:rsid w:val="00D35FF5"/>
    <w:rsid w:val="00D36423"/>
    <w:rsid w:val="00D36A2A"/>
    <w:rsid w:val="00D36BBA"/>
    <w:rsid w:val="00D36C1C"/>
    <w:rsid w:val="00D36CB9"/>
    <w:rsid w:val="00D36F2C"/>
    <w:rsid w:val="00D37B77"/>
    <w:rsid w:val="00D4023B"/>
    <w:rsid w:val="00D4056E"/>
    <w:rsid w:val="00D4131D"/>
    <w:rsid w:val="00D41485"/>
    <w:rsid w:val="00D419D0"/>
    <w:rsid w:val="00D41B46"/>
    <w:rsid w:val="00D41CCB"/>
    <w:rsid w:val="00D41EB2"/>
    <w:rsid w:val="00D42260"/>
    <w:rsid w:val="00D4250C"/>
    <w:rsid w:val="00D42545"/>
    <w:rsid w:val="00D426AD"/>
    <w:rsid w:val="00D42970"/>
    <w:rsid w:val="00D42C6F"/>
    <w:rsid w:val="00D42E82"/>
    <w:rsid w:val="00D43093"/>
    <w:rsid w:val="00D434A7"/>
    <w:rsid w:val="00D438AD"/>
    <w:rsid w:val="00D43926"/>
    <w:rsid w:val="00D43D0D"/>
    <w:rsid w:val="00D43D27"/>
    <w:rsid w:val="00D44594"/>
    <w:rsid w:val="00D446A4"/>
    <w:rsid w:val="00D44A26"/>
    <w:rsid w:val="00D44ACC"/>
    <w:rsid w:val="00D44BA0"/>
    <w:rsid w:val="00D44C8A"/>
    <w:rsid w:val="00D44F2E"/>
    <w:rsid w:val="00D4526C"/>
    <w:rsid w:val="00D4548F"/>
    <w:rsid w:val="00D456B5"/>
    <w:rsid w:val="00D45838"/>
    <w:rsid w:val="00D45B2D"/>
    <w:rsid w:val="00D45CAA"/>
    <w:rsid w:val="00D45D31"/>
    <w:rsid w:val="00D4635F"/>
    <w:rsid w:val="00D46368"/>
    <w:rsid w:val="00D463D3"/>
    <w:rsid w:val="00D4698B"/>
    <w:rsid w:val="00D469E0"/>
    <w:rsid w:val="00D46BA3"/>
    <w:rsid w:val="00D46CC5"/>
    <w:rsid w:val="00D46E46"/>
    <w:rsid w:val="00D4778F"/>
    <w:rsid w:val="00D5002E"/>
    <w:rsid w:val="00D5003D"/>
    <w:rsid w:val="00D5014F"/>
    <w:rsid w:val="00D50521"/>
    <w:rsid w:val="00D5060A"/>
    <w:rsid w:val="00D5088A"/>
    <w:rsid w:val="00D50AF4"/>
    <w:rsid w:val="00D50DC3"/>
    <w:rsid w:val="00D5117B"/>
    <w:rsid w:val="00D5128F"/>
    <w:rsid w:val="00D51290"/>
    <w:rsid w:val="00D512DE"/>
    <w:rsid w:val="00D51857"/>
    <w:rsid w:val="00D51ADE"/>
    <w:rsid w:val="00D51BF5"/>
    <w:rsid w:val="00D52135"/>
    <w:rsid w:val="00D52164"/>
    <w:rsid w:val="00D522FB"/>
    <w:rsid w:val="00D52438"/>
    <w:rsid w:val="00D5253A"/>
    <w:rsid w:val="00D5314C"/>
    <w:rsid w:val="00D531B9"/>
    <w:rsid w:val="00D5327C"/>
    <w:rsid w:val="00D53ACA"/>
    <w:rsid w:val="00D53C96"/>
    <w:rsid w:val="00D5406F"/>
    <w:rsid w:val="00D541E7"/>
    <w:rsid w:val="00D544BD"/>
    <w:rsid w:val="00D54622"/>
    <w:rsid w:val="00D546C2"/>
    <w:rsid w:val="00D54BB3"/>
    <w:rsid w:val="00D552CE"/>
    <w:rsid w:val="00D553DD"/>
    <w:rsid w:val="00D55795"/>
    <w:rsid w:val="00D557E6"/>
    <w:rsid w:val="00D55C5E"/>
    <w:rsid w:val="00D56109"/>
    <w:rsid w:val="00D566CC"/>
    <w:rsid w:val="00D567AB"/>
    <w:rsid w:val="00D56940"/>
    <w:rsid w:val="00D56CA2"/>
    <w:rsid w:val="00D56DF5"/>
    <w:rsid w:val="00D57431"/>
    <w:rsid w:val="00D5763D"/>
    <w:rsid w:val="00D577C9"/>
    <w:rsid w:val="00D578C9"/>
    <w:rsid w:val="00D578CD"/>
    <w:rsid w:val="00D578DD"/>
    <w:rsid w:val="00D57956"/>
    <w:rsid w:val="00D57ADD"/>
    <w:rsid w:val="00D57C6C"/>
    <w:rsid w:val="00D57CAD"/>
    <w:rsid w:val="00D60181"/>
    <w:rsid w:val="00D604B7"/>
    <w:rsid w:val="00D60C61"/>
    <w:rsid w:val="00D6142E"/>
    <w:rsid w:val="00D61525"/>
    <w:rsid w:val="00D61AD6"/>
    <w:rsid w:val="00D61C4E"/>
    <w:rsid w:val="00D61F9E"/>
    <w:rsid w:val="00D62118"/>
    <w:rsid w:val="00D62177"/>
    <w:rsid w:val="00D6258F"/>
    <w:rsid w:val="00D62695"/>
    <w:rsid w:val="00D62A7F"/>
    <w:rsid w:val="00D62B04"/>
    <w:rsid w:val="00D62CE9"/>
    <w:rsid w:val="00D63288"/>
    <w:rsid w:val="00D632C1"/>
    <w:rsid w:val="00D633EF"/>
    <w:rsid w:val="00D6394E"/>
    <w:rsid w:val="00D6396E"/>
    <w:rsid w:val="00D6397A"/>
    <w:rsid w:val="00D639F8"/>
    <w:rsid w:val="00D63A09"/>
    <w:rsid w:val="00D63A3D"/>
    <w:rsid w:val="00D63E47"/>
    <w:rsid w:val="00D63E57"/>
    <w:rsid w:val="00D64288"/>
    <w:rsid w:val="00D64585"/>
    <w:rsid w:val="00D645BC"/>
    <w:rsid w:val="00D646DE"/>
    <w:rsid w:val="00D64AE4"/>
    <w:rsid w:val="00D64CA0"/>
    <w:rsid w:val="00D64F2C"/>
    <w:rsid w:val="00D65280"/>
    <w:rsid w:val="00D6545F"/>
    <w:rsid w:val="00D65683"/>
    <w:rsid w:val="00D658C2"/>
    <w:rsid w:val="00D65E61"/>
    <w:rsid w:val="00D65EE8"/>
    <w:rsid w:val="00D66346"/>
    <w:rsid w:val="00D66FA0"/>
    <w:rsid w:val="00D66FC5"/>
    <w:rsid w:val="00D67205"/>
    <w:rsid w:val="00D67BAA"/>
    <w:rsid w:val="00D67BE6"/>
    <w:rsid w:val="00D67D26"/>
    <w:rsid w:val="00D67D67"/>
    <w:rsid w:val="00D70409"/>
    <w:rsid w:val="00D70517"/>
    <w:rsid w:val="00D7054C"/>
    <w:rsid w:val="00D70870"/>
    <w:rsid w:val="00D70C50"/>
    <w:rsid w:val="00D70D4F"/>
    <w:rsid w:val="00D71154"/>
    <w:rsid w:val="00D712E5"/>
    <w:rsid w:val="00D71797"/>
    <w:rsid w:val="00D71B98"/>
    <w:rsid w:val="00D71CEC"/>
    <w:rsid w:val="00D71E25"/>
    <w:rsid w:val="00D71ED1"/>
    <w:rsid w:val="00D72373"/>
    <w:rsid w:val="00D72542"/>
    <w:rsid w:val="00D7261B"/>
    <w:rsid w:val="00D729DB"/>
    <w:rsid w:val="00D72D01"/>
    <w:rsid w:val="00D72FF3"/>
    <w:rsid w:val="00D730A6"/>
    <w:rsid w:val="00D734F9"/>
    <w:rsid w:val="00D735F9"/>
    <w:rsid w:val="00D739E0"/>
    <w:rsid w:val="00D73C0C"/>
    <w:rsid w:val="00D73CC8"/>
    <w:rsid w:val="00D74107"/>
    <w:rsid w:val="00D74794"/>
    <w:rsid w:val="00D74B68"/>
    <w:rsid w:val="00D74F0D"/>
    <w:rsid w:val="00D75281"/>
    <w:rsid w:val="00D755CA"/>
    <w:rsid w:val="00D75759"/>
    <w:rsid w:val="00D7596D"/>
    <w:rsid w:val="00D75C19"/>
    <w:rsid w:val="00D7602E"/>
    <w:rsid w:val="00D762EE"/>
    <w:rsid w:val="00D76379"/>
    <w:rsid w:val="00D76492"/>
    <w:rsid w:val="00D76738"/>
    <w:rsid w:val="00D76A74"/>
    <w:rsid w:val="00D76F99"/>
    <w:rsid w:val="00D77811"/>
    <w:rsid w:val="00D779E7"/>
    <w:rsid w:val="00D77A09"/>
    <w:rsid w:val="00D77AEF"/>
    <w:rsid w:val="00D77AF2"/>
    <w:rsid w:val="00D77CCF"/>
    <w:rsid w:val="00D77E0A"/>
    <w:rsid w:val="00D801B7"/>
    <w:rsid w:val="00D80301"/>
    <w:rsid w:val="00D8094C"/>
    <w:rsid w:val="00D809CE"/>
    <w:rsid w:val="00D80D88"/>
    <w:rsid w:val="00D80F35"/>
    <w:rsid w:val="00D81187"/>
    <w:rsid w:val="00D811E5"/>
    <w:rsid w:val="00D81391"/>
    <w:rsid w:val="00D81624"/>
    <w:rsid w:val="00D81763"/>
    <w:rsid w:val="00D8177A"/>
    <w:rsid w:val="00D81A6B"/>
    <w:rsid w:val="00D81BFC"/>
    <w:rsid w:val="00D81CE3"/>
    <w:rsid w:val="00D820BD"/>
    <w:rsid w:val="00D82B20"/>
    <w:rsid w:val="00D82CBD"/>
    <w:rsid w:val="00D83360"/>
    <w:rsid w:val="00D837C9"/>
    <w:rsid w:val="00D83A5F"/>
    <w:rsid w:val="00D83DC0"/>
    <w:rsid w:val="00D83DE8"/>
    <w:rsid w:val="00D840E4"/>
    <w:rsid w:val="00D841C6"/>
    <w:rsid w:val="00D8425E"/>
    <w:rsid w:val="00D843A0"/>
    <w:rsid w:val="00D845CE"/>
    <w:rsid w:val="00D849EE"/>
    <w:rsid w:val="00D84B37"/>
    <w:rsid w:val="00D84B4C"/>
    <w:rsid w:val="00D84C24"/>
    <w:rsid w:val="00D84D43"/>
    <w:rsid w:val="00D84F3B"/>
    <w:rsid w:val="00D852DF"/>
    <w:rsid w:val="00D85492"/>
    <w:rsid w:val="00D854D7"/>
    <w:rsid w:val="00D854E3"/>
    <w:rsid w:val="00D85531"/>
    <w:rsid w:val="00D855B3"/>
    <w:rsid w:val="00D857A9"/>
    <w:rsid w:val="00D85929"/>
    <w:rsid w:val="00D859B9"/>
    <w:rsid w:val="00D85F88"/>
    <w:rsid w:val="00D86235"/>
    <w:rsid w:val="00D86473"/>
    <w:rsid w:val="00D86494"/>
    <w:rsid w:val="00D864BC"/>
    <w:rsid w:val="00D864F8"/>
    <w:rsid w:val="00D8659F"/>
    <w:rsid w:val="00D866B2"/>
    <w:rsid w:val="00D868E1"/>
    <w:rsid w:val="00D86CEF"/>
    <w:rsid w:val="00D87A27"/>
    <w:rsid w:val="00D87C0E"/>
    <w:rsid w:val="00D90101"/>
    <w:rsid w:val="00D90146"/>
    <w:rsid w:val="00D905CA"/>
    <w:rsid w:val="00D90624"/>
    <w:rsid w:val="00D90626"/>
    <w:rsid w:val="00D90991"/>
    <w:rsid w:val="00D90C7F"/>
    <w:rsid w:val="00D90EF8"/>
    <w:rsid w:val="00D91128"/>
    <w:rsid w:val="00D911CC"/>
    <w:rsid w:val="00D91516"/>
    <w:rsid w:val="00D916A3"/>
    <w:rsid w:val="00D91B0A"/>
    <w:rsid w:val="00D921BE"/>
    <w:rsid w:val="00D925D7"/>
    <w:rsid w:val="00D9288D"/>
    <w:rsid w:val="00D92A71"/>
    <w:rsid w:val="00D92BA3"/>
    <w:rsid w:val="00D92C6A"/>
    <w:rsid w:val="00D92F6E"/>
    <w:rsid w:val="00D930CB"/>
    <w:rsid w:val="00D9316E"/>
    <w:rsid w:val="00D93390"/>
    <w:rsid w:val="00D9344E"/>
    <w:rsid w:val="00D934A0"/>
    <w:rsid w:val="00D93771"/>
    <w:rsid w:val="00D9395B"/>
    <w:rsid w:val="00D93C7B"/>
    <w:rsid w:val="00D93EE7"/>
    <w:rsid w:val="00D9403B"/>
    <w:rsid w:val="00D9439C"/>
    <w:rsid w:val="00D943E8"/>
    <w:rsid w:val="00D944AC"/>
    <w:rsid w:val="00D946A0"/>
    <w:rsid w:val="00D9475D"/>
    <w:rsid w:val="00D949A7"/>
    <w:rsid w:val="00D94C73"/>
    <w:rsid w:val="00D94F64"/>
    <w:rsid w:val="00D950A9"/>
    <w:rsid w:val="00D9531D"/>
    <w:rsid w:val="00D95422"/>
    <w:rsid w:val="00D955ED"/>
    <w:rsid w:val="00D95770"/>
    <w:rsid w:val="00D95C86"/>
    <w:rsid w:val="00D96108"/>
    <w:rsid w:val="00D961A9"/>
    <w:rsid w:val="00D96C9A"/>
    <w:rsid w:val="00D96CD3"/>
    <w:rsid w:val="00D96EFD"/>
    <w:rsid w:val="00D96F99"/>
    <w:rsid w:val="00D96FA7"/>
    <w:rsid w:val="00D96FDC"/>
    <w:rsid w:val="00D9709F"/>
    <w:rsid w:val="00D972DC"/>
    <w:rsid w:val="00D976B2"/>
    <w:rsid w:val="00D97760"/>
    <w:rsid w:val="00D97B94"/>
    <w:rsid w:val="00D97D04"/>
    <w:rsid w:val="00DA024E"/>
    <w:rsid w:val="00DA03AD"/>
    <w:rsid w:val="00DA0657"/>
    <w:rsid w:val="00DA0725"/>
    <w:rsid w:val="00DA0A62"/>
    <w:rsid w:val="00DA0B69"/>
    <w:rsid w:val="00DA0C32"/>
    <w:rsid w:val="00DA0C91"/>
    <w:rsid w:val="00DA103B"/>
    <w:rsid w:val="00DA110A"/>
    <w:rsid w:val="00DA163B"/>
    <w:rsid w:val="00DA1749"/>
    <w:rsid w:val="00DA1753"/>
    <w:rsid w:val="00DA17D9"/>
    <w:rsid w:val="00DA18B2"/>
    <w:rsid w:val="00DA1BBD"/>
    <w:rsid w:val="00DA1DB7"/>
    <w:rsid w:val="00DA2BF7"/>
    <w:rsid w:val="00DA2CC6"/>
    <w:rsid w:val="00DA2DF3"/>
    <w:rsid w:val="00DA3046"/>
    <w:rsid w:val="00DA318B"/>
    <w:rsid w:val="00DA345B"/>
    <w:rsid w:val="00DA37FA"/>
    <w:rsid w:val="00DA3990"/>
    <w:rsid w:val="00DA3C07"/>
    <w:rsid w:val="00DA3C69"/>
    <w:rsid w:val="00DA4930"/>
    <w:rsid w:val="00DA4E74"/>
    <w:rsid w:val="00DA51DF"/>
    <w:rsid w:val="00DA5467"/>
    <w:rsid w:val="00DA571A"/>
    <w:rsid w:val="00DA58A2"/>
    <w:rsid w:val="00DA592C"/>
    <w:rsid w:val="00DA5D0D"/>
    <w:rsid w:val="00DA5FEE"/>
    <w:rsid w:val="00DA61F9"/>
    <w:rsid w:val="00DA624A"/>
    <w:rsid w:val="00DA67DF"/>
    <w:rsid w:val="00DA6A73"/>
    <w:rsid w:val="00DA6AD4"/>
    <w:rsid w:val="00DA6CEB"/>
    <w:rsid w:val="00DA6D05"/>
    <w:rsid w:val="00DA6ECF"/>
    <w:rsid w:val="00DA7B0A"/>
    <w:rsid w:val="00DA7B2E"/>
    <w:rsid w:val="00DA7DB3"/>
    <w:rsid w:val="00DB01E4"/>
    <w:rsid w:val="00DB032F"/>
    <w:rsid w:val="00DB0430"/>
    <w:rsid w:val="00DB0579"/>
    <w:rsid w:val="00DB05D6"/>
    <w:rsid w:val="00DB0C69"/>
    <w:rsid w:val="00DB0CBF"/>
    <w:rsid w:val="00DB0CD1"/>
    <w:rsid w:val="00DB0CFD"/>
    <w:rsid w:val="00DB0FFE"/>
    <w:rsid w:val="00DB113C"/>
    <w:rsid w:val="00DB1763"/>
    <w:rsid w:val="00DB1B0F"/>
    <w:rsid w:val="00DB1B40"/>
    <w:rsid w:val="00DB2110"/>
    <w:rsid w:val="00DB222C"/>
    <w:rsid w:val="00DB2324"/>
    <w:rsid w:val="00DB2558"/>
    <w:rsid w:val="00DB2DCF"/>
    <w:rsid w:val="00DB390C"/>
    <w:rsid w:val="00DB3946"/>
    <w:rsid w:val="00DB3A6C"/>
    <w:rsid w:val="00DB3BC7"/>
    <w:rsid w:val="00DB4039"/>
    <w:rsid w:val="00DB4C48"/>
    <w:rsid w:val="00DB4C93"/>
    <w:rsid w:val="00DB509D"/>
    <w:rsid w:val="00DB5129"/>
    <w:rsid w:val="00DB5162"/>
    <w:rsid w:val="00DB539C"/>
    <w:rsid w:val="00DB55BF"/>
    <w:rsid w:val="00DB55D5"/>
    <w:rsid w:val="00DB57D7"/>
    <w:rsid w:val="00DB5A7C"/>
    <w:rsid w:val="00DB5AAA"/>
    <w:rsid w:val="00DB5C2A"/>
    <w:rsid w:val="00DB6013"/>
    <w:rsid w:val="00DB6581"/>
    <w:rsid w:val="00DB6793"/>
    <w:rsid w:val="00DB693E"/>
    <w:rsid w:val="00DB6C03"/>
    <w:rsid w:val="00DB6C2A"/>
    <w:rsid w:val="00DB6F77"/>
    <w:rsid w:val="00DB6F8D"/>
    <w:rsid w:val="00DB76F5"/>
    <w:rsid w:val="00DB794F"/>
    <w:rsid w:val="00DB7971"/>
    <w:rsid w:val="00DB7F7A"/>
    <w:rsid w:val="00DC02C5"/>
    <w:rsid w:val="00DC04C9"/>
    <w:rsid w:val="00DC04E9"/>
    <w:rsid w:val="00DC0518"/>
    <w:rsid w:val="00DC05A1"/>
    <w:rsid w:val="00DC08C6"/>
    <w:rsid w:val="00DC1264"/>
    <w:rsid w:val="00DC151D"/>
    <w:rsid w:val="00DC1657"/>
    <w:rsid w:val="00DC1735"/>
    <w:rsid w:val="00DC1754"/>
    <w:rsid w:val="00DC1DE7"/>
    <w:rsid w:val="00DC1F96"/>
    <w:rsid w:val="00DC1FA6"/>
    <w:rsid w:val="00DC2044"/>
    <w:rsid w:val="00DC2920"/>
    <w:rsid w:val="00DC292E"/>
    <w:rsid w:val="00DC2A25"/>
    <w:rsid w:val="00DC2BEF"/>
    <w:rsid w:val="00DC2E7B"/>
    <w:rsid w:val="00DC31A5"/>
    <w:rsid w:val="00DC32F6"/>
    <w:rsid w:val="00DC3CAC"/>
    <w:rsid w:val="00DC3E5F"/>
    <w:rsid w:val="00DC4141"/>
    <w:rsid w:val="00DC44F3"/>
    <w:rsid w:val="00DC453A"/>
    <w:rsid w:val="00DC4C5A"/>
    <w:rsid w:val="00DC4CD0"/>
    <w:rsid w:val="00DC4D17"/>
    <w:rsid w:val="00DC4F04"/>
    <w:rsid w:val="00DC5329"/>
    <w:rsid w:val="00DC544D"/>
    <w:rsid w:val="00DC57DB"/>
    <w:rsid w:val="00DC5A13"/>
    <w:rsid w:val="00DC5FF1"/>
    <w:rsid w:val="00DC78AB"/>
    <w:rsid w:val="00DC7A0F"/>
    <w:rsid w:val="00DC7C09"/>
    <w:rsid w:val="00DC7C8A"/>
    <w:rsid w:val="00DC7DF0"/>
    <w:rsid w:val="00DC7E1F"/>
    <w:rsid w:val="00DC7FDC"/>
    <w:rsid w:val="00DD00DC"/>
    <w:rsid w:val="00DD025A"/>
    <w:rsid w:val="00DD04B1"/>
    <w:rsid w:val="00DD0639"/>
    <w:rsid w:val="00DD0722"/>
    <w:rsid w:val="00DD0761"/>
    <w:rsid w:val="00DD085B"/>
    <w:rsid w:val="00DD0CFD"/>
    <w:rsid w:val="00DD15FC"/>
    <w:rsid w:val="00DD1C87"/>
    <w:rsid w:val="00DD1DDE"/>
    <w:rsid w:val="00DD1E29"/>
    <w:rsid w:val="00DD2168"/>
    <w:rsid w:val="00DD2A80"/>
    <w:rsid w:val="00DD2ADB"/>
    <w:rsid w:val="00DD2B16"/>
    <w:rsid w:val="00DD2FEF"/>
    <w:rsid w:val="00DD33D1"/>
    <w:rsid w:val="00DD3524"/>
    <w:rsid w:val="00DD36B2"/>
    <w:rsid w:val="00DD3838"/>
    <w:rsid w:val="00DD3860"/>
    <w:rsid w:val="00DD38AC"/>
    <w:rsid w:val="00DD3A98"/>
    <w:rsid w:val="00DD3F49"/>
    <w:rsid w:val="00DD404D"/>
    <w:rsid w:val="00DD47F1"/>
    <w:rsid w:val="00DD487C"/>
    <w:rsid w:val="00DD49A4"/>
    <w:rsid w:val="00DD4D38"/>
    <w:rsid w:val="00DD4E8A"/>
    <w:rsid w:val="00DD53B8"/>
    <w:rsid w:val="00DD54EB"/>
    <w:rsid w:val="00DD5670"/>
    <w:rsid w:val="00DD57DA"/>
    <w:rsid w:val="00DD5BD0"/>
    <w:rsid w:val="00DD5EA0"/>
    <w:rsid w:val="00DD5EBF"/>
    <w:rsid w:val="00DD5F77"/>
    <w:rsid w:val="00DD61E5"/>
    <w:rsid w:val="00DD62E2"/>
    <w:rsid w:val="00DD62EB"/>
    <w:rsid w:val="00DD6CD2"/>
    <w:rsid w:val="00DD6FDC"/>
    <w:rsid w:val="00DD6FE1"/>
    <w:rsid w:val="00DD75C5"/>
    <w:rsid w:val="00DE061D"/>
    <w:rsid w:val="00DE079F"/>
    <w:rsid w:val="00DE07DC"/>
    <w:rsid w:val="00DE083C"/>
    <w:rsid w:val="00DE0914"/>
    <w:rsid w:val="00DE0923"/>
    <w:rsid w:val="00DE0E78"/>
    <w:rsid w:val="00DE1073"/>
    <w:rsid w:val="00DE18D3"/>
    <w:rsid w:val="00DE1B6F"/>
    <w:rsid w:val="00DE222B"/>
    <w:rsid w:val="00DE2237"/>
    <w:rsid w:val="00DE2282"/>
    <w:rsid w:val="00DE2508"/>
    <w:rsid w:val="00DE2DC9"/>
    <w:rsid w:val="00DE2DD2"/>
    <w:rsid w:val="00DE3084"/>
    <w:rsid w:val="00DE37BC"/>
    <w:rsid w:val="00DE3802"/>
    <w:rsid w:val="00DE3B82"/>
    <w:rsid w:val="00DE3CF8"/>
    <w:rsid w:val="00DE3F2F"/>
    <w:rsid w:val="00DE42F8"/>
    <w:rsid w:val="00DE47D0"/>
    <w:rsid w:val="00DE4BB2"/>
    <w:rsid w:val="00DE4BDB"/>
    <w:rsid w:val="00DE4CD4"/>
    <w:rsid w:val="00DE4FC5"/>
    <w:rsid w:val="00DE55DE"/>
    <w:rsid w:val="00DE560D"/>
    <w:rsid w:val="00DE5695"/>
    <w:rsid w:val="00DE5A13"/>
    <w:rsid w:val="00DE5BFD"/>
    <w:rsid w:val="00DE5DAC"/>
    <w:rsid w:val="00DE5E18"/>
    <w:rsid w:val="00DE60C7"/>
    <w:rsid w:val="00DE618D"/>
    <w:rsid w:val="00DE6521"/>
    <w:rsid w:val="00DE68D9"/>
    <w:rsid w:val="00DE6A2D"/>
    <w:rsid w:val="00DE6CA2"/>
    <w:rsid w:val="00DE6DCE"/>
    <w:rsid w:val="00DE6EF4"/>
    <w:rsid w:val="00DE7082"/>
    <w:rsid w:val="00DE7766"/>
    <w:rsid w:val="00DE7C40"/>
    <w:rsid w:val="00DE7C5F"/>
    <w:rsid w:val="00DE7F92"/>
    <w:rsid w:val="00DF0118"/>
    <w:rsid w:val="00DF08D3"/>
    <w:rsid w:val="00DF094E"/>
    <w:rsid w:val="00DF0965"/>
    <w:rsid w:val="00DF09DE"/>
    <w:rsid w:val="00DF0D8E"/>
    <w:rsid w:val="00DF0DF8"/>
    <w:rsid w:val="00DF0E89"/>
    <w:rsid w:val="00DF1064"/>
    <w:rsid w:val="00DF109F"/>
    <w:rsid w:val="00DF1105"/>
    <w:rsid w:val="00DF127B"/>
    <w:rsid w:val="00DF15AE"/>
    <w:rsid w:val="00DF19BB"/>
    <w:rsid w:val="00DF1BB2"/>
    <w:rsid w:val="00DF1E58"/>
    <w:rsid w:val="00DF1F21"/>
    <w:rsid w:val="00DF225B"/>
    <w:rsid w:val="00DF238A"/>
    <w:rsid w:val="00DF2410"/>
    <w:rsid w:val="00DF269C"/>
    <w:rsid w:val="00DF2850"/>
    <w:rsid w:val="00DF298E"/>
    <w:rsid w:val="00DF3111"/>
    <w:rsid w:val="00DF3129"/>
    <w:rsid w:val="00DF334B"/>
    <w:rsid w:val="00DF369D"/>
    <w:rsid w:val="00DF39B9"/>
    <w:rsid w:val="00DF39CB"/>
    <w:rsid w:val="00DF39FE"/>
    <w:rsid w:val="00DF3A90"/>
    <w:rsid w:val="00DF3D5C"/>
    <w:rsid w:val="00DF4330"/>
    <w:rsid w:val="00DF4427"/>
    <w:rsid w:val="00DF452C"/>
    <w:rsid w:val="00DF45A9"/>
    <w:rsid w:val="00DF45D1"/>
    <w:rsid w:val="00DF4974"/>
    <w:rsid w:val="00DF4C1B"/>
    <w:rsid w:val="00DF4D48"/>
    <w:rsid w:val="00DF4F75"/>
    <w:rsid w:val="00DF4FFB"/>
    <w:rsid w:val="00DF5781"/>
    <w:rsid w:val="00DF5B94"/>
    <w:rsid w:val="00DF5D00"/>
    <w:rsid w:val="00DF5E39"/>
    <w:rsid w:val="00DF5E6F"/>
    <w:rsid w:val="00DF6168"/>
    <w:rsid w:val="00DF683E"/>
    <w:rsid w:val="00DF6AB4"/>
    <w:rsid w:val="00DF6F5F"/>
    <w:rsid w:val="00DF7006"/>
    <w:rsid w:val="00DF750B"/>
    <w:rsid w:val="00DF7855"/>
    <w:rsid w:val="00DF7949"/>
    <w:rsid w:val="00DF7A01"/>
    <w:rsid w:val="00DF7F35"/>
    <w:rsid w:val="00E00155"/>
    <w:rsid w:val="00E00514"/>
    <w:rsid w:val="00E0052F"/>
    <w:rsid w:val="00E005DE"/>
    <w:rsid w:val="00E00D33"/>
    <w:rsid w:val="00E00E38"/>
    <w:rsid w:val="00E016F7"/>
    <w:rsid w:val="00E01F8B"/>
    <w:rsid w:val="00E01FC4"/>
    <w:rsid w:val="00E02A99"/>
    <w:rsid w:val="00E02E3F"/>
    <w:rsid w:val="00E02ECA"/>
    <w:rsid w:val="00E03082"/>
    <w:rsid w:val="00E03388"/>
    <w:rsid w:val="00E039AD"/>
    <w:rsid w:val="00E03DB4"/>
    <w:rsid w:val="00E03DF4"/>
    <w:rsid w:val="00E040C4"/>
    <w:rsid w:val="00E047D1"/>
    <w:rsid w:val="00E04BBE"/>
    <w:rsid w:val="00E052EB"/>
    <w:rsid w:val="00E05A74"/>
    <w:rsid w:val="00E05C54"/>
    <w:rsid w:val="00E05E6C"/>
    <w:rsid w:val="00E06226"/>
    <w:rsid w:val="00E062E9"/>
    <w:rsid w:val="00E0673F"/>
    <w:rsid w:val="00E06AA0"/>
    <w:rsid w:val="00E06E90"/>
    <w:rsid w:val="00E0729D"/>
    <w:rsid w:val="00E074AA"/>
    <w:rsid w:val="00E07526"/>
    <w:rsid w:val="00E07527"/>
    <w:rsid w:val="00E0767B"/>
    <w:rsid w:val="00E077ED"/>
    <w:rsid w:val="00E07992"/>
    <w:rsid w:val="00E07C50"/>
    <w:rsid w:val="00E07DE2"/>
    <w:rsid w:val="00E07F1D"/>
    <w:rsid w:val="00E100CE"/>
    <w:rsid w:val="00E1039A"/>
    <w:rsid w:val="00E106A2"/>
    <w:rsid w:val="00E10EA4"/>
    <w:rsid w:val="00E10ECE"/>
    <w:rsid w:val="00E10FE6"/>
    <w:rsid w:val="00E111CC"/>
    <w:rsid w:val="00E1174B"/>
    <w:rsid w:val="00E11DBF"/>
    <w:rsid w:val="00E12696"/>
    <w:rsid w:val="00E12716"/>
    <w:rsid w:val="00E1294E"/>
    <w:rsid w:val="00E12D36"/>
    <w:rsid w:val="00E12DE2"/>
    <w:rsid w:val="00E12EE9"/>
    <w:rsid w:val="00E12EF3"/>
    <w:rsid w:val="00E12FE1"/>
    <w:rsid w:val="00E1307A"/>
    <w:rsid w:val="00E13268"/>
    <w:rsid w:val="00E133F3"/>
    <w:rsid w:val="00E13413"/>
    <w:rsid w:val="00E13A8F"/>
    <w:rsid w:val="00E13F89"/>
    <w:rsid w:val="00E141D5"/>
    <w:rsid w:val="00E14994"/>
    <w:rsid w:val="00E14D7F"/>
    <w:rsid w:val="00E14FB2"/>
    <w:rsid w:val="00E151B4"/>
    <w:rsid w:val="00E15317"/>
    <w:rsid w:val="00E154BF"/>
    <w:rsid w:val="00E15617"/>
    <w:rsid w:val="00E15701"/>
    <w:rsid w:val="00E15AD4"/>
    <w:rsid w:val="00E16443"/>
    <w:rsid w:val="00E16665"/>
    <w:rsid w:val="00E166DA"/>
    <w:rsid w:val="00E16CF4"/>
    <w:rsid w:val="00E17191"/>
    <w:rsid w:val="00E17345"/>
    <w:rsid w:val="00E174E2"/>
    <w:rsid w:val="00E175D7"/>
    <w:rsid w:val="00E17B91"/>
    <w:rsid w:val="00E20192"/>
    <w:rsid w:val="00E202FA"/>
    <w:rsid w:val="00E203CF"/>
    <w:rsid w:val="00E20503"/>
    <w:rsid w:val="00E20BC4"/>
    <w:rsid w:val="00E20F79"/>
    <w:rsid w:val="00E213AF"/>
    <w:rsid w:val="00E21519"/>
    <w:rsid w:val="00E21611"/>
    <w:rsid w:val="00E218CA"/>
    <w:rsid w:val="00E21D5E"/>
    <w:rsid w:val="00E21F16"/>
    <w:rsid w:val="00E21F97"/>
    <w:rsid w:val="00E22161"/>
    <w:rsid w:val="00E224AD"/>
    <w:rsid w:val="00E228C8"/>
    <w:rsid w:val="00E22D13"/>
    <w:rsid w:val="00E22EC1"/>
    <w:rsid w:val="00E230B5"/>
    <w:rsid w:val="00E23137"/>
    <w:rsid w:val="00E23370"/>
    <w:rsid w:val="00E23769"/>
    <w:rsid w:val="00E23828"/>
    <w:rsid w:val="00E23921"/>
    <w:rsid w:val="00E2436D"/>
    <w:rsid w:val="00E2458E"/>
    <w:rsid w:val="00E24749"/>
    <w:rsid w:val="00E24B52"/>
    <w:rsid w:val="00E24CD5"/>
    <w:rsid w:val="00E251E7"/>
    <w:rsid w:val="00E25223"/>
    <w:rsid w:val="00E25342"/>
    <w:rsid w:val="00E253D5"/>
    <w:rsid w:val="00E25645"/>
    <w:rsid w:val="00E2566D"/>
    <w:rsid w:val="00E2598B"/>
    <w:rsid w:val="00E25C30"/>
    <w:rsid w:val="00E25DF5"/>
    <w:rsid w:val="00E25E3C"/>
    <w:rsid w:val="00E25EAE"/>
    <w:rsid w:val="00E26071"/>
    <w:rsid w:val="00E260B4"/>
    <w:rsid w:val="00E260E1"/>
    <w:rsid w:val="00E2631F"/>
    <w:rsid w:val="00E26ABF"/>
    <w:rsid w:val="00E26B49"/>
    <w:rsid w:val="00E26DD4"/>
    <w:rsid w:val="00E26EC5"/>
    <w:rsid w:val="00E26F44"/>
    <w:rsid w:val="00E271EB"/>
    <w:rsid w:val="00E27227"/>
    <w:rsid w:val="00E27408"/>
    <w:rsid w:val="00E27467"/>
    <w:rsid w:val="00E27835"/>
    <w:rsid w:val="00E278CC"/>
    <w:rsid w:val="00E27B3C"/>
    <w:rsid w:val="00E3002C"/>
    <w:rsid w:val="00E300B3"/>
    <w:rsid w:val="00E300CF"/>
    <w:rsid w:val="00E3038A"/>
    <w:rsid w:val="00E3044A"/>
    <w:rsid w:val="00E305A1"/>
    <w:rsid w:val="00E306BD"/>
    <w:rsid w:val="00E3077F"/>
    <w:rsid w:val="00E307E0"/>
    <w:rsid w:val="00E308CF"/>
    <w:rsid w:val="00E30A84"/>
    <w:rsid w:val="00E30CBF"/>
    <w:rsid w:val="00E3156A"/>
    <w:rsid w:val="00E315EC"/>
    <w:rsid w:val="00E31D61"/>
    <w:rsid w:val="00E31F02"/>
    <w:rsid w:val="00E31FD8"/>
    <w:rsid w:val="00E322C5"/>
    <w:rsid w:val="00E32562"/>
    <w:rsid w:val="00E32A72"/>
    <w:rsid w:val="00E331EC"/>
    <w:rsid w:val="00E33375"/>
    <w:rsid w:val="00E33C11"/>
    <w:rsid w:val="00E33E1D"/>
    <w:rsid w:val="00E33E1E"/>
    <w:rsid w:val="00E33F78"/>
    <w:rsid w:val="00E3401D"/>
    <w:rsid w:val="00E345D1"/>
    <w:rsid w:val="00E3460A"/>
    <w:rsid w:val="00E3464C"/>
    <w:rsid w:val="00E34AE7"/>
    <w:rsid w:val="00E34F66"/>
    <w:rsid w:val="00E35323"/>
    <w:rsid w:val="00E3569B"/>
    <w:rsid w:val="00E35D96"/>
    <w:rsid w:val="00E35EAE"/>
    <w:rsid w:val="00E3619D"/>
    <w:rsid w:val="00E363E0"/>
    <w:rsid w:val="00E366EE"/>
    <w:rsid w:val="00E36C36"/>
    <w:rsid w:val="00E36E66"/>
    <w:rsid w:val="00E36E88"/>
    <w:rsid w:val="00E37C7C"/>
    <w:rsid w:val="00E37D79"/>
    <w:rsid w:val="00E4054A"/>
    <w:rsid w:val="00E40559"/>
    <w:rsid w:val="00E40568"/>
    <w:rsid w:val="00E4096D"/>
    <w:rsid w:val="00E40A39"/>
    <w:rsid w:val="00E40C0A"/>
    <w:rsid w:val="00E40C3E"/>
    <w:rsid w:val="00E4106D"/>
    <w:rsid w:val="00E410AF"/>
    <w:rsid w:val="00E41255"/>
    <w:rsid w:val="00E41415"/>
    <w:rsid w:val="00E416DB"/>
    <w:rsid w:val="00E41735"/>
    <w:rsid w:val="00E41999"/>
    <w:rsid w:val="00E41CEF"/>
    <w:rsid w:val="00E41D6B"/>
    <w:rsid w:val="00E41DF5"/>
    <w:rsid w:val="00E41EA2"/>
    <w:rsid w:val="00E41FF2"/>
    <w:rsid w:val="00E42022"/>
    <w:rsid w:val="00E4252B"/>
    <w:rsid w:val="00E42569"/>
    <w:rsid w:val="00E42570"/>
    <w:rsid w:val="00E42652"/>
    <w:rsid w:val="00E42858"/>
    <w:rsid w:val="00E42BC5"/>
    <w:rsid w:val="00E42C4C"/>
    <w:rsid w:val="00E4309F"/>
    <w:rsid w:val="00E43118"/>
    <w:rsid w:val="00E436F8"/>
    <w:rsid w:val="00E439C7"/>
    <w:rsid w:val="00E43BF0"/>
    <w:rsid w:val="00E43D8F"/>
    <w:rsid w:val="00E43F89"/>
    <w:rsid w:val="00E440AA"/>
    <w:rsid w:val="00E44723"/>
    <w:rsid w:val="00E44726"/>
    <w:rsid w:val="00E4482D"/>
    <w:rsid w:val="00E44A3E"/>
    <w:rsid w:val="00E44C90"/>
    <w:rsid w:val="00E4507F"/>
    <w:rsid w:val="00E452C3"/>
    <w:rsid w:val="00E455A6"/>
    <w:rsid w:val="00E45833"/>
    <w:rsid w:val="00E45957"/>
    <w:rsid w:val="00E45C00"/>
    <w:rsid w:val="00E45F1F"/>
    <w:rsid w:val="00E463A9"/>
    <w:rsid w:val="00E4651B"/>
    <w:rsid w:val="00E46A09"/>
    <w:rsid w:val="00E46A98"/>
    <w:rsid w:val="00E46AF4"/>
    <w:rsid w:val="00E46C1F"/>
    <w:rsid w:val="00E46ED4"/>
    <w:rsid w:val="00E46EF6"/>
    <w:rsid w:val="00E471BE"/>
    <w:rsid w:val="00E47B36"/>
    <w:rsid w:val="00E503D5"/>
    <w:rsid w:val="00E50518"/>
    <w:rsid w:val="00E506D0"/>
    <w:rsid w:val="00E50878"/>
    <w:rsid w:val="00E50C9B"/>
    <w:rsid w:val="00E50D26"/>
    <w:rsid w:val="00E50EFA"/>
    <w:rsid w:val="00E50FB1"/>
    <w:rsid w:val="00E51680"/>
    <w:rsid w:val="00E51724"/>
    <w:rsid w:val="00E5187E"/>
    <w:rsid w:val="00E51CD2"/>
    <w:rsid w:val="00E5207C"/>
    <w:rsid w:val="00E52581"/>
    <w:rsid w:val="00E526B0"/>
    <w:rsid w:val="00E52740"/>
    <w:rsid w:val="00E52A9B"/>
    <w:rsid w:val="00E52B04"/>
    <w:rsid w:val="00E53093"/>
    <w:rsid w:val="00E5353B"/>
    <w:rsid w:val="00E535C4"/>
    <w:rsid w:val="00E538C2"/>
    <w:rsid w:val="00E53C69"/>
    <w:rsid w:val="00E53DAE"/>
    <w:rsid w:val="00E543EB"/>
    <w:rsid w:val="00E544C1"/>
    <w:rsid w:val="00E546D1"/>
    <w:rsid w:val="00E54EBF"/>
    <w:rsid w:val="00E54F48"/>
    <w:rsid w:val="00E54F6D"/>
    <w:rsid w:val="00E55015"/>
    <w:rsid w:val="00E55028"/>
    <w:rsid w:val="00E55180"/>
    <w:rsid w:val="00E55240"/>
    <w:rsid w:val="00E553C4"/>
    <w:rsid w:val="00E55546"/>
    <w:rsid w:val="00E55961"/>
    <w:rsid w:val="00E55B53"/>
    <w:rsid w:val="00E56206"/>
    <w:rsid w:val="00E5661B"/>
    <w:rsid w:val="00E5688D"/>
    <w:rsid w:val="00E56A79"/>
    <w:rsid w:val="00E56C94"/>
    <w:rsid w:val="00E57064"/>
    <w:rsid w:val="00E57389"/>
    <w:rsid w:val="00E57441"/>
    <w:rsid w:val="00E57997"/>
    <w:rsid w:val="00E579C0"/>
    <w:rsid w:val="00E57A14"/>
    <w:rsid w:val="00E57D5A"/>
    <w:rsid w:val="00E60110"/>
    <w:rsid w:val="00E60309"/>
    <w:rsid w:val="00E608CD"/>
    <w:rsid w:val="00E6099E"/>
    <w:rsid w:val="00E60AD9"/>
    <w:rsid w:val="00E60F4A"/>
    <w:rsid w:val="00E6107F"/>
    <w:rsid w:val="00E6185C"/>
    <w:rsid w:val="00E61AAA"/>
    <w:rsid w:val="00E61DE5"/>
    <w:rsid w:val="00E6206F"/>
    <w:rsid w:val="00E62229"/>
    <w:rsid w:val="00E6238E"/>
    <w:rsid w:val="00E62861"/>
    <w:rsid w:val="00E62C9D"/>
    <w:rsid w:val="00E62DBF"/>
    <w:rsid w:val="00E6319B"/>
    <w:rsid w:val="00E6337E"/>
    <w:rsid w:val="00E63703"/>
    <w:rsid w:val="00E63874"/>
    <w:rsid w:val="00E63B0C"/>
    <w:rsid w:val="00E63E3D"/>
    <w:rsid w:val="00E63E7A"/>
    <w:rsid w:val="00E64235"/>
    <w:rsid w:val="00E64666"/>
    <w:rsid w:val="00E64671"/>
    <w:rsid w:val="00E6484B"/>
    <w:rsid w:val="00E64C3F"/>
    <w:rsid w:val="00E64D51"/>
    <w:rsid w:val="00E64E5A"/>
    <w:rsid w:val="00E655FB"/>
    <w:rsid w:val="00E65F65"/>
    <w:rsid w:val="00E65FA5"/>
    <w:rsid w:val="00E6601F"/>
    <w:rsid w:val="00E66059"/>
    <w:rsid w:val="00E664E1"/>
    <w:rsid w:val="00E66956"/>
    <w:rsid w:val="00E67163"/>
    <w:rsid w:val="00E67192"/>
    <w:rsid w:val="00E673C6"/>
    <w:rsid w:val="00E673FD"/>
    <w:rsid w:val="00E6772B"/>
    <w:rsid w:val="00E67A10"/>
    <w:rsid w:val="00E67AF9"/>
    <w:rsid w:val="00E67C23"/>
    <w:rsid w:val="00E67C30"/>
    <w:rsid w:val="00E67E3D"/>
    <w:rsid w:val="00E67F3C"/>
    <w:rsid w:val="00E67FE5"/>
    <w:rsid w:val="00E7027A"/>
    <w:rsid w:val="00E704CC"/>
    <w:rsid w:val="00E70B48"/>
    <w:rsid w:val="00E70ECC"/>
    <w:rsid w:val="00E70F18"/>
    <w:rsid w:val="00E7140E"/>
    <w:rsid w:val="00E7156E"/>
    <w:rsid w:val="00E7190F"/>
    <w:rsid w:val="00E71A2B"/>
    <w:rsid w:val="00E71AD5"/>
    <w:rsid w:val="00E71C07"/>
    <w:rsid w:val="00E71C78"/>
    <w:rsid w:val="00E71EDC"/>
    <w:rsid w:val="00E71EFE"/>
    <w:rsid w:val="00E71F9D"/>
    <w:rsid w:val="00E720F3"/>
    <w:rsid w:val="00E7215C"/>
    <w:rsid w:val="00E72179"/>
    <w:rsid w:val="00E723B4"/>
    <w:rsid w:val="00E72B4D"/>
    <w:rsid w:val="00E72BAB"/>
    <w:rsid w:val="00E72EBA"/>
    <w:rsid w:val="00E7304A"/>
    <w:rsid w:val="00E7316F"/>
    <w:rsid w:val="00E731FA"/>
    <w:rsid w:val="00E7336A"/>
    <w:rsid w:val="00E73649"/>
    <w:rsid w:val="00E73D1D"/>
    <w:rsid w:val="00E74019"/>
    <w:rsid w:val="00E74260"/>
    <w:rsid w:val="00E742E4"/>
    <w:rsid w:val="00E7440A"/>
    <w:rsid w:val="00E74514"/>
    <w:rsid w:val="00E74FED"/>
    <w:rsid w:val="00E750FD"/>
    <w:rsid w:val="00E75788"/>
    <w:rsid w:val="00E75ACD"/>
    <w:rsid w:val="00E75C4F"/>
    <w:rsid w:val="00E75C69"/>
    <w:rsid w:val="00E75D87"/>
    <w:rsid w:val="00E76064"/>
    <w:rsid w:val="00E7625A"/>
    <w:rsid w:val="00E76E06"/>
    <w:rsid w:val="00E76E27"/>
    <w:rsid w:val="00E76EC5"/>
    <w:rsid w:val="00E76F18"/>
    <w:rsid w:val="00E7700C"/>
    <w:rsid w:val="00E77099"/>
    <w:rsid w:val="00E776EF"/>
    <w:rsid w:val="00E777C1"/>
    <w:rsid w:val="00E77EEF"/>
    <w:rsid w:val="00E77F98"/>
    <w:rsid w:val="00E8069C"/>
    <w:rsid w:val="00E80A91"/>
    <w:rsid w:val="00E80D36"/>
    <w:rsid w:val="00E80F6F"/>
    <w:rsid w:val="00E811A4"/>
    <w:rsid w:val="00E81656"/>
    <w:rsid w:val="00E81766"/>
    <w:rsid w:val="00E8180C"/>
    <w:rsid w:val="00E81993"/>
    <w:rsid w:val="00E81AA1"/>
    <w:rsid w:val="00E81DAA"/>
    <w:rsid w:val="00E82888"/>
    <w:rsid w:val="00E82C06"/>
    <w:rsid w:val="00E83240"/>
    <w:rsid w:val="00E833D1"/>
    <w:rsid w:val="00E83559"/>
    <w:rsid w:val="00E835E4"/>
    <w:rsid w:val="00E837A3"/>
    <w:rsid w:val="00E83951"/>
    <w:rsid w:val="00E83E1D"/>
    <w:rsid w:val="00E83F9D"/>
    <w:rsid w:val="00E84283"/>
    <w:rsid w:val="00E84907"/>
    <w:rsid w:val="00E84A53"/>
    <w:rsid w:val="00E84B60"/>
    <w:rsid w:val="00E84FE4"/>
    <w:rsid w:val="00E8529A"/>
    <w:rsid w:val="00E852C3"/>
    <w:rsid w:val="00E85451"/>
    <w:rsid w:val="00E85662"/>
    <w:rsid w:val="00E856AD"/>
    <w:rsid w:val="00E859A3"/>
    <w:rsid w:val="00E85EEC"/>
    <w:rsid w:val="00E85F06"/>
    <w:rsid w:val="00E8607F"/>
    <w:rsid w:val="00E86365"/>
    <w:rsid w:val="00E8657B"/>
    <w:rsid w:val="00E868D8"/>
    <w:rsid w:val="00E86D80"/>
    <w:rsid w:val="00E86E3C"/>
    <w:rsid w:val="00E86F09"/>
    <w:rsid w:val="00E8761C"/>
    <w:rsid w:val="00E877DB"/>
    <w:rsid w:val="00E87B57"/>
    <w:rsid w:val="00E87DC0"/>
    <w:rsid w:val="00E9036D"/>
    <w:rsid w:val="00E90ACA"/>
    <w:rsid w:val="00E90B02"/>
    <w:rsid w:val="00E90CC0"/>
    <w:rsid w:val="00E90D8C"/>
    <w:rsid w:val="00E91019"/>
    <w:rsid w:val="00E912BD"/>
    <w:rsid w:val="00E914B8"/>
    <w:rsid w:val="00E91898"/>
    <w:rsid w:val="00E918C2"/>
    <w:rsid w:val="00E91C29"/>
    <w:rsid w:val="00E91CAF"/>
    <w:rsid w:val="00E91F3D"/>
    <w:rsid w:val="00E9206C"/>
    <w:rsid w:val="00E92806"/>
    <w:rsid w:val="00E930C9"/>
    <w:rsid w:val="00E93120"/>
    <w:rsid w:val="00E93289"/>
    <w:rsid w:val="00E938DE"/>
    <w:rsid w:val="00E939A7"/>
    <w:rsid w:val="00E939C2"/>
    <w:rsid w:val="00E93E08"/>
    <w:rsid w:val="00E93F99"/>
    <w:rsid w:val="00E945D7"/>
    <w:rsid w:val="00E94A2A"/>
    <w:rsid w:val="00E95165"/>
    <w:rsid w:val="00E9517B"/>
    <w:rsid w:val="00E9545D"/>
    <w:rsid w:val="00E9559A"/>
    <w:rsid w:val="00E95893"/>
    <w:rsid w:val="00E95A7B"/>
    <w:rsid w:val="00E95B09"/>
    <w:rsid w:val="00E95FDA"/>
    <w:rsid w:val="00E96148"/>
    <w:rsid w:val="00E962A5"/>
    <w:rsid w:val="00E96462"/>
    <w:rsid w:val="00E96511"/>
    <w:rsid w:val="00E96D53"/>
    <w:rsid w:val="00E96EE8"/>
    <w:rsid w:val="00E970A7"/>
    <w:rsid w:val="00E97345"/>
    <w:rsid w:val="00E9760E"/>
    <w:rsid w:val="00E97642"/>
    <w:rsid w:val="00E97688"/>
    <w:rsid w:val="00E9772C"/>
    <w:rsid w:val="00E9781E"/>
    <w:rsid w:val="00E9783D"/>
    <w:rsid w:val="00E978CA"/>
    <w:rsid w:val="00EA02C5"/>
    <w:rsid w:val="00EA0596"/>
    <w:rsid w:val="00EA0732"/>
    <w:rsid w:val="00EA0AF4"/>
    <w:rsid w:val="00EA0BF9"/>
    <w:rsid w:val="00EA0CE7"/>
    <w:rsid w:val="00EA0F1A"/>
    <w:rsid w:val="00EA1A45"/>
    <w:rsid w:val="00EA1C3A"/>
    <w:rsid w:val="00EA1D95"/>
    <w:rsid w:val="00EA1DD1"/>
    <w:rsid w:val="00EA1EEE"/>
    <w:rsid w:val="00EA1F33"/>
    <w:rsid w:val="00EA21F0"/>
    <w:rsid w:val="00EA2611"/>
    <w:rsid w:val="00EA2C3C"/>
    <w:rsid w:val="00EA2F43"/>
    <w:rsid w:val="00EA33E8"/>
    <w:rsid w:val="00EA3913"/>
    <w:rsid w:val="00EA3A72"/>
    <w:rsid w:val="00EA3B3D"/>
    <w:rsid w:val="00EA4546"/>
    <w:rsid w:val="00EA4885"/>
    <w:rsid w:val="00EA4D18"/>
    <w:rsid w:val="00EA50FC"/>
    <w:rsid w:val="00EA54BD"/>
    <w:rsid w:val="00EA57C0"/>
    <w:rsid w:val="00EA5C3E"/>
    <w:rsid w:val="00EA5EDF"/>
    <w:rsid w:val="00EA6057"/>
    <w:rsid w:val="00EA65EB"/>
    <w:rsid w:val="00EA669B"/>
    <w:rsid w:val="00EA69F8"/>
    <w:rsid w:val="00EA6AAD"/>
    <w:rsid w:val="00EA6FBC"/>
    <w:rsid w:val="00EA7439"/>
    <w:rsid w:val="00EA7592"/>
    <w:rsid w:val="00EA79E3"/>
    <w:rsid w:val="00EA7B75"/>
    <w:rsid w:val="00EA7D4B"/>
    <w:rsid w:val="00EB01CC"/>
    <w:rsid w:val="00EB0493"/>
    <w:rsid w:val="00EB04CF"/>
    <w:rsid w:val="00EB04F2"/>
    <w:rsid w:val="00EB05A7"/>
    <w:rsid w:val="00EB0743"/>
    <w:rsid w:val="00EB10A0"/>
    <w:rsid w:val="00EB134F"/>
    <w:rsid w:val="00EB13AA"/>
    <w:rsid w:val="00EB175C"/>
    <w:rsid w:val="00EB1951"/>
    <w:rsid w:val="00EB1A76"/>
    <w:rsid w:val="00EB1DD7"/>
    <w:rsid w:val="00EB24BC"/>
    <w:rsid w:val="00EB2AD3"/>
    <w:rsid w:val="00EB2AED"/>
    <w:rsid w:val="00EB2D9A"/>
    <w:rsid w:val="00EB2EBE"/>
    <w:rsid w:val="00EB32A9"/>
    <w:rsid w:val="00EB335F"/>
    <w:rsid w:val="00EB336C"/>
    <w:rsid w:val="00EB338F"/>
    <w:rsid w:val="00EB34AE"/>
    <w:rsid w:val="00EB3EAD"/>
    <w:rsid w:val="00EB3EF3"/>
    <w:rsid w:val="00EB3F27"/>
    <w:rsid w:val="00EB40C9"/>
    <w:rsid w:val="00EB4163"/>
    <w:rsid w:val="00EB4B07"/>
    <w:rsid w:val="00EB4DCE"/>
    <w:rsid w:val="00EB51AD"/>
    <w:rsid w:val="00EB51D1"/>
    <w:rsid w:val="00EB5808"/>
    <w:rsid w:val="00EB5B1A"/>
    <w:rsid w:val="00EB5D3D"/>
    <w:rsid w:val="00EB60BE"/>
    <w:rsid w:val="00EB69CC"/>
    <w:rsid w:val="00EB6B02"/>
    <w:rsid w:val="00EB6B4A"/>
    <w:rsid w:val="00EB78D3"/>
    <w:rsid w:val="00EB7A57"/>
    <w:rsid w:val="00EB7B14"/>
    <w:rsid w:val="00EB7BEF"/>
    <w:rsid w:val="00EB7FDE"/>
    <w:rsid w:val="00EC01B6"/>
    <w:rsid w:val="00EC0644"/>
    <w:rsid w:val="00EC1266"/>
    <w:rsid w:val="00EC12D6"/>
    <w:rsid w:val="00EC1395"/>
    <w:rsid w:val="00EC14D6"/>
    <w:rsid w:val="00EC1999"/>
    <w:rsid w:val="00EC1CAC"/>
    <w:rsid w:val="00EC202E"/>
    <w:rsid w:val="00EC219D"/>
    <w:rsid w:val="00EC224E"/>
    <w:rsid w:val="00EC22DF"/>
    <w:rsid w:val="00EC257E"/>
    <w:rsid w:val="00EC2614"/>
    <w:rsid w:val="00EC2853"/>
    <w:rsid w:val="00EC292D"/>
    <w:rsid w:val="00EC311C"/>
    <w:rsid w:val="00EC351E"/>
    <w:rsid w:val="00EC3525"/>
    <w:rsid w:val="00EC3FE1"/>
    <w:rsid w:val="00EC447A"/>
    <w:rsid w:val="00EC45B8"/>
    <w:rsid w:val="00EC4649"/>
    <w:rsid w:val="00EC480C"/>
    <w:rsid w:val="00EC48DE"/>
    <w:rsid w:val="00EC4A25"/>
    <w:rsid w:val="00EC4B36"/>
    <w:rsid w:val="00EC4B77"/>
    <w:rsid w:val="00EC4EFC"/>
    <w:rsid w:val="00EC51D6"/>
    <w:rsid w:val="00EC5517"/>
    <w:rsid w:val="00EC59DB"/>
    <w:rsid w:val="00EC5AFB"/>
    <w:rsid w:val="00EC5C7B"/>
    <w:rsid w:val="00EC5D9B"/>
    <w:rsid w:val="00EC5E1C"/>
    <w:rsid w:val="00EC5E41"/>
    <w:rsid w:val="00EC5F95"/>
    <w:rsid w:val="00EC634C"/>
    <w:rsid w:val="00EC63AA"/>
    <w:rsid w:val="00EC6702"/>
    <w:rsid w:val="00EC6738"/>
    <w:rsid w:val="00EC678D"/>
    <w:rsid w:val="00EC6930"/>
    <w:rsid w:val="00EC6BC5"/>
    <w:rsid w:val="00EC6BF4"/>
    <w:rsid w:val="00EC6C87"/>
    <w:rsid w:val="00EC6D76"/>
    <w:rsid w:val="00EC6E23"/>
    <w:rsid w:val="00EC6EA5"/>
    <w:rsid w:val="00EC7049"/>
    <w:rsid w:val="00EC71B7"/>
    <w:rsid w:val="00EC7266"/>
    <w:rsid w:val="00EC759B"/>
    <w:rsid w:val="00EC75E6"/>
    <w:rsid w:val="00EC78A3"/>
    <w:rsid w:val="00EC7A5F"/>
    <w:rsid w:val="00EC7DA7"/>
    <w:rsid w:val="00EC7DCC"/>
    <w:rsid w:val="00EC7EA2"/>
    <w:rsid w:val="00EC7FF1"/>
    <w:rsid w:val="00ED0043"/>
    <w:rsid w:val="00ED00E4"/>
    <w:rsid w:val="00ED0572"/>
    <w:rsid w:val="00ED08B9"/>
    <w:rsid w:val="00ED0AFA"/>
    <w:rsid w:val="00ED0D18"/>
    <w:rsid w:val="00ED0EFE"/>
    <w:rsid w:val="00ED0F7C"/>
    <w:rsid w:val="00ED102D"/>
    <w:rsid w:val="00ED10D6"/>
    <w:rsid w:val="00ED1289"/>
    <w:rsid w:val="00ED15A4"/>
    <w:rsid w:val="00ED1691"/>
    <w:rsid w:val="00ED1A8C"/>
    <w:rsid w:val="00ED1C70"/>
    <w:rsid w:val="00ED1D6D"/>
    <w:rsid w:val="00ED1F3D"/>
    <w:rsid w:val="00ED207A"/>
    <w:rsid w:val="00ED21EF"/>
    <w:rsid w:val="00ED21F5"/>
    <w:rsid w:val="00ED23A9"/>
    <w:rsid w:val="00ED24C6"/>
    <w:rsid w:val="00ED2673"/>
    <w:rsid w:val="00ED2B03"/>
    <w:rsid w:val="00ED2E50"/>
    <w:rsid w:val="00ED2F63"/>
    <w:rsid w:val="00ED30E3"/>
    <w:rsid w:val="00ED3152"/>
    <w:rsid w:val="00ED33C3"/>
    <w:rsid w:val="00ED35A0"/>
    <w:rsid w:val="00ED3709"/>
    <w:rsid w:val="00ED3740"/>
    <w:rsid w:val="00ED37C7"/>
    <w:rsid w:val="00ED381A"/>
    <w:rsid w:val="00ED3872"/>
    <w:rsid w:val="00ED3C75"/>
    <w:rsid w:val="00ED3FBC"/>
    <w:rsid w:val="00ED432F"/>
    <w:rsid w:val="00ED468B"/>
    <w:rsid w:val="00ED4ACD"/>
    <w:rsid w:val="00ED4DF2"/>
    <w:rsid w:val="00ED57C1"/>
    <w:rsid w:val="00ED59DE"/>
    <w:rsid w:val="00ED5F35"/>
    <w:rsid w:val="00ED67AE"/>
    <w:rsid w:val="00ED67EB"/>
    <w:rsid w:val="00ED68A5"/>
    <w:rsid w:val="00ED6CC6"/>
    <w:rsid w:val="00ED6F56"/>
    <w:rsid w:val="00ED70F4"/>
    <w:rsid w:val="00ED720A"/>
    <w:rsid w:val="00ED722B"/>
    <w:rsid w:val="00ED72D3"/>
    <w:rsid w:val="00ED72E3"/>
    <w:rsid w:val="00ED7439"/>
    <w:rsid w:val="00ED749C"/>
    <w:rsid w:val="00EE00C7"/>
    <w:rsid w:val="00EE025F"/>
    <w:rsid w:val="00EE028D"/>
    <w:rsid w:val="00EE04D6"/>
    <w:rsid w:val="00EE11F8"/>
    <w:rsid w:val="00EE1315"/>
    <w:rsid w:val="00EE1331"/>
    <w:rsid w:val="00EE1606"/>
    <w:rsid w:val="00EE180B"/>
    <w:rsid w:val="00EE18A0"/>
    <w:rsid w:val="00EE1AAE"/>
    <w:rsid w:val="00EE23C3"/>
    <w:rsid w:val="00EE289D"/>
    <w:rsid w:val="00EE29E0"/>
    <w:rsid w:val="00EE2B5C"/>
    <w:rsid w:val="00EE2B9B"/>
    <w:rsid w:val="00EE2BC4"/>
    <w:rsid w:val="00EE2E09"/>
    <w:rsid w:val="00EE2F6B"/>
    <w:rsid w:val="00EE2FA1"/>
    <w:rsid w:val="00EE350A"/>
    <w:rsid w:val="00EE3774"/>
    <w:rsid w:val="00EE37F6"/>
    <w:rsid w:val="00EE3C1D"/>
    <w:rsid w:val="00EE3E40"/>
    <w:rsid w:val="00EE3E92"/>
    <w:rsid w:val="00EE4205"/>
    <w:rsid w:val="00EE45E8"/>
    <w:rsid w:val="00EE47DB"/>
    <w:rsid w:val="00EE4D3B"/>
    <w:rsid w:val="00EE4DD9"/>
    <w:rsid w:val="00EE4EC8"/>
    <w:rsid w:val="00EE530D"/>
    <w:rsid w:val="00EE5639"/>
    <w:rsid w:val="00EE59CB"/>
    <w:rsid w:val="00EE5B26"/>
    <w:rsid w:val="00EE5CFF"/>
    <w:rsid w:val="00EE66C7"/>
    <w:rsid w:val="00EE670D"/>
    <w:rsid w:val="00EE678C"/>
    <w:rsid w:val="00EE6B6E"/>
    <w:rsid w:val="00EE6B94"/>
    <w:rsid w:val="00EE732B"/>
    <w:rsid w:val="00EE74C0"/>
    <w:rsid w:val="00EE7667"/>
    <w:rsid w:val="00EE79F0"/>
    <w:rsid w:val="00EE7C77"/>
    <w:rsid w:val="00EE7D8D"/>
    <w:rsid w:val="00EE7DA5"/>
    <w:rsid w:val="00EE7DFC"/>
    <w:rsid w:val="00EF00B1"/>
    <w:rsid w:val="00EF0225"/>
    <w:rsid w:val="00EF05FF"/>
    <w:rsid w:val="00EF06A5"/>
    <w:rsid w:val="00EF0F61"/>
    <w:rsid w:val="00EF120C"/>
    <w:rsid w:val="00EF138E"/>
    <w:rsid w:val="00EF14AC"/>
    <w:rsid w:val="00EF177E"/>
    <w:rsid w:val="00EF191C"/>
    <w:rsid w:val="00EF1C62"/>
    <w:rsid w:val="00EF1D99"/>
    <w:rsid w:val="00EF2082"/>
    <w:rsid w:val="00EF2229"/>
    <w:rsid w:val="00EF2295"/>
    <w:rsid w:val="00EF290A"/>
    <w:rsid w:val="00EF2A07"/>
    <w:rsid w:val="00EF2F74"/>
    <w:rsid w:val="00EF2F86"/>
    <w:rsid w:val="00EF3214"/>
    <w:rsid w:val="00EF3271"/>
    <w:rsid w:val="00EF371A"/>
    <w:rsid w:val="00EF3925"/>
    <w:rsid w:val="00EF3D93"/>
    <w:rsid w:val="00EF3EA1"/>
    <w:rsid w:val="00EF4968"/>
    <w:rsid w:val="00EF4C16"/>
    <w:rsid w:val="00EF5045"/>
    <w:rsid w:val="00EF5278"/>
    <w:rsid w:val="00EF5B67"/>
    <w:rsid w:val="00EF669F"/>
    <w:rsid w:val="00EF6879"/>
    <w:rsid w:val="00EF6905"/>
    <w:rsid w:val="00EF6B9D"/>
    <w:rsid w:val="00EF6C42"/>
    <w:rsid w:val="00EF6CB1"/>
    <w:rsid w:val="00EF6CC4"/>
    <w:rsid w:val="00EF6CDE"/>
    <w:rsid w:val="00EF6EDC"/>
    <w:rsid w:val="00EF7718"/>
    <w:rsid w:val="00EF78C4"/>
    <w:rsid w:val="00EF7941"/>
    <w:rsid w:val="00EF797B"/>
    <w:rsid w:val="00EF7DCD"/>
    <w:rsid w:val="00F00117"/>
    <w:rsid w:val="00F003FE"/>
    <w:rsid w:val="00F0074A"/>
    <w:rsid w:val="00F007E5"/>
    <w:rsid w:val="00F00F02"/>
    <w:rsid w:val="00F00F0A"/>
    <w:rsid w:val="00F0102A"/>
    <w:rsid w:val="00F014B5"/>
    <w:rsid w:val="00F01576"/>
    <w:rsid w:val="00F01A1D"/>
    <w:rsid w:val="00F01CBF"/>
    <w:rsid w:val="00F02582"/>
    <w:rsid w:val="00F0296F"/>
    <w:rsid w:val="00F029AF"/>
    <w:rsid w:val="00F02AF4"/>
    <w:rsid w:val="00F02BB7"/>
    <w:rsid w:val="00F02C4B"/>
    <w:rsid w:val="00F02F9E"/>
    <w:rsid w:val="00F02FA9"/>
    <w:rsid w:val="00F0325B"/>
    <w:rsid w:val="00F03474"/>
    <w:rsid w:val="00F0371F"/>
    <w:rsid w:val="00F037F3"/>
    <w:rsid w:val="00F03A6F"/>
    <w:rsid w:val="00F03DCA"/>
    <w:rsid w:val="00F04185"/>
    <w:rsid w:val="00F04524"/>
    <w:rsid w:val="00F0457C"/>
    <w:rsid w:val="00F045AB"/>
    <w:rsid w:val="00F0474B"/>
    <w:rsid w:val="00F04772"/>
    <w:rsid w:val="00F04881"/>
    <w:rsid w:val="00F0490D"/>
    <w:rsid w:val="00F0528D"/>
    <w:rsid w:val="00F053E1"/>
    <w:rsid w:val="00F05407"/>
    <w:rsid w:val="00F05409"/>
    <w:rsid w:val="00F05A7C"/>
    <w:rsid w:val="00F05C2F"/>
    <w:rsid w:val="00F05DD0"/>
    <w:rsid w:val="00F061E6"/>
    <w:rsid w:val="00F063F0"/>
    <w:rsid w:val="00F07189"/>
    <w:rsid w:val="00F0747F"/>
    <w:rsid w:val="00F07599"/>
    <w:rsid w:val="00F07840"/>
    <w:rsid w:val="00F07914"/>
    <w:rsid w:val="00F079F2"/>
    <w:rsid w:val="00F07BB9"/>
    <w:rsid w:val="00F07DB3"/>
    <w:rsid w:val="00F07F95"/>
    <w:rsid w:val="00F101AC"/>
    <w:rsid w:val="00F1029B"/>
    <w:rsid w:val="00F10A84"/>
    <w:rsid w:val="00F115A2"/>
    <w:rsid w:val="00F118A2"/>
    <w:rsid w:val="00F11A5C"/>
    <w:rsid w:val="00F11B50"/>
    <w:rsid w:val="00F11BD9"/>
    <w:rsid w:val="00F11C3C"/>
    <w:rsid w:val="00F11CA4"/>
    <w:rsid w:val="00F11EE7"/>
    <w:rsid w:val="00F12049"/>
    <w:rsid w:val="00F12333"/>
    <w:rsid w:val="00F12449"/>
    <w:rsid w:val="00F12484"/>
    <w:rsid w:val="00F1261F"/>
    <w:rsid w:val="00F12DEC"/>
    <w:rsid w:val="00F12F7A"/>
    <w:rsid w:val="00F134D5"/>
    <w:rsid w:val="00F138F8"/>
    <w:rsid w:val="00F13B33"/>
    <w:rsid w:val="00F13DCA"/>
    <w:rsid w:val="00F14492"/>
    <w:rsid w:val="00F147E3"/>
    <w:rsid w:val="00F1482D"/>
    <w:rsid w:val="00F14BB6"/>
    <w:rsid w:val="00F14D4D"/>
    <w:rsid w:val="00F14DCD"/>
    <w:rsid w:val="00F14FDC"/>
    <w:rsid w:val="00F150D1"/>
    <w:rsid w:val="00F150FE"/>
    <w:rsid w:val="00F15198"/>
    <w:rsid w:val="00F1556B"/>
    <w:rsid w:val="00F15D17"/>
    <w:rsid w:val="00F15D26"/>
    <w:rsid w:val="00F15EDD"/>
    <w:rsid w:val="00F161EF"/>
    <w:rsid w:val="00F1625C"/>
    <w:rsid w:val="00F164B4"/>
    <w:rsid w:val="00F164F0"/>
    <w:rsid w:val="00F16F4C"/>
    <w:rsid w:val="00F173F7"/>
    <w:rsid w:val="00F175DA"/>
    <w:rsid w:val="00F17A1A"/>
    <w:rsid w:val="00F17AD7"/>
    <w:rsid w:val="00F17D9F"/>
    <w:rsid w:val="00F200BF"/>
    <w:rsid w:val="00F20157"/>
    <w:rsid w:val="00F202FD"/>
    <w:rsid w:val="00F203F8"/>
    <w:rsid w:val="00F2055F"/>
    <w:rsid w:val="00F209CE"/>
    <w:rsid w:val="00F20A1B"/>
    <w:rsid w:val="00F20B39"/>
    <w:rsid w:val="00F211D0"/>
    <w:rsid w:val="00F21418"/>
    <w:rsid w:val="00F21538"/>
    <w:rsid w:val="00F21779"/>
    <w:rsid w:val="00F21AF7"/>
    <w:rsid w:val="00F21D0A"/>
    <w:rsid w:val="00F220AC"/>
    <w:rsid w:val="00F223E2"/>
    <w:rsid w:val="00F2255D"/>
    <w:rsid w:val="00F23030"/>
    <w:rsid w:val="00F230D9"/>
    <w:rsid w:val="00F2315C"/>
    <w:rsid w:val="00F2319A"/>
    <w:rsid w:val="00F231C2"/>
    <w:rsid w:val="00F238C0"/>
    <w:rsid w:val="00F2394A"/>
    <w:rsid w:val="00F23B8C"/>
    <w:rsid w:val="00F23C9E"/>
    <w:rsid w:val="00F23F60"/>
    <w:rsid w:val="00F2404A"/>
    <w:rsid w:val="00F24473"/>
    <w:rsid w:val="00F249E2"/>
    <w:rsid w:val="00F249F2"/>
    <w:rsid w:val="00F24A0A"/>
    <w:rsid w:val="00F24C22"/>
    <w:rsid w:val="00F25393"/>
    <w:rsid w:val="00F253A9"/>
    <w:rsid w:val="00F25469"/>
    <w:rsid w:val="00F25486"/>
    <w:rsid w:val="00F255C0"/>
    <w:rsid w:val="00F25786"/>
    <w:rsid w:val="00F258B1"/>
    <w:rsid w:val="00F25AFD"/>
    <w:rsid w:val="00F25D98"/>
    <w:rsid w:val="00F26C83"/>
    <w:rsid w:val="00F26F90"/>
    <w:rsid w:val="00F2729F"/>
    <w:rsid w:val="00F2754F"/>
    <w:rsid w:val="00F27565"/>
    <w:rsid w:val="00F2762D"/>
    <w:rsid w:val="00F27AAD"/>
    <w:rsid w:val="00F27D45"/>
    <w:rsid w:val="00F30157"/>
    <w:rsid w:val="00F30236"/>
    <w:rsid w:val="00F30608"/>
    <w:rsid w:val="00F30E13"/>
    <w:rsid w:val="00F30FAD"/>
    <w:rsid w:val="00F31350"/>
    <w:rsid w:val="00F31590"/>
    <w:rsid w:val="00F317A0"/>
    <w:rsid w:val="00F317A9"/>
    <w:rsid w:val="00F3187C"/>
    <w:rsid w:val="00F318F6"/>
    <w:rsid w:val="00F31CA5"/>
    <w:rsid w:val="00F31CC2"/>
    <w:rsid w:val="00F31EA9"/>
    <w:rsid w:val="00F322D1"/>
    <w:rsid w:val="00F3238A"/>
    <w:rsid w:val="00F323BD"/>
    <w:rsid w:val="00F3252F"/>
    <w:rsid w:val="00F326A0"/>
    <w:rsid w:val="00F327A7"/>
    <w:rsid w:val="00F32A10"/>
    <w:rsid w:val="00F32B5C"/>
    <w:rsid w:val="00F32E54"/>
    <w:rsid w:val="00F32FB8"/>
    <w:rsid w:val="00F330CC"/>
    <w:rsid w:val="00F3334F"/>
    <w:rsid w:val="00F3359A"/>
    <w:rsid w:val="00F3359C"/>
    <w:rsid w:val="00F33904"/>
    <w:rsid w:val="00F33BDB"/>
    <w:rsid w:val="00F33F3B"/>
    <w:rsid w:val="00F33F4A"/>
    <w:rsid w:val="00F34461"/>
    <w:rsid w:val="00F347AD"/>
    <w:rsid w:val="00F349EB"/>
    <w:rsid w:val="00F34A10"/>
    <w:rsid w:val="00F34F53"/>
    <w:rsid w:val="00F354C5"/>
    <w:rsid w:val="00F355B5"/>
    <w:rsid w:val="00F355E9"/>
    <w:rsid w:val="00F35970"/>
    <w:rsid w:val="00F35BB2"/>
    <w:rsid w:val="00F35E06"/>
    <w:rsid w:val="00F35E95"/>
    <w:rsid w:val="00F3629E"/>
    <w:rsid w:val="00F367BD"/>
    <w:rsid w:val="00F3690D"/>
    <w:rsid w:val="00F36B0F"/>
    <w:rsid w:val="00F36BBA"/>
    <w:rsid w:val="00F373FE"/>
    <w:rsid w:val="00F3754C"/>
    <w:rsid w:val="00F37B4E"/>
    <w:rsid w:val="00F37E21"/>
    <w:rsid w:val="00F40003"/>
    <w:rsid w:val="00F403BC"/>
    <w:rsid w:val="00F405D7"/>
    <w:rsid w:val="00F40B36"/>
    <w:rsid w:val="00F40DD6"/>
    <w:rsid w:val="00F411A6"/>
    <w:rsid w:val="00F41279"/>
    <w:rsid w:val="00F41362"/>
    <w:rsid w:val="00F4144F"/>
    <w:rsid w:val="00F417A8"/>
    <w:rsid w:val="00F41D59"/>
    <w:rsid w:val="00F420B7"/>
    <w:rsid w:val="00F421D0"/>
    <w:rsid w:val="00F4253D"/>
    <w:rsid w:val="00F4267C"/>
    <w:rsid w:val="00F42974"/>
    <w:rsid w:val="00F42B4B"/>
    <w:rsid w:val="00F42D8C"/>
    <w:rsid w:val="00F43058"/>
    <w:rsid w:val="00F43593"/>
    <w:rsid w:val="00F437F0"/>
    <w:rsid w:val="00F4389B"/>
    <w:rsid w:val="00F43953"/>
    <w:rsid w:val="00F43B62"/>
    <w:rsid w:val="00F43BCC"/>
    <w:rsid w:val="00F43D36"/>
    <w:rsid w:val="00F44004"/>
    <w:rsid w:val="00F44272"/>
    <w:rsid w:val="00F442E2"/>
    <w:rsid w:val="00F44675"/>
    <w:rsid w:val="00F44D67"/>
    <w:rsid w:val="00F454C4"/>
    <w:rsid w:val="00F4579F"/>
    <w:rsid w:val="00F4610F"/>
    <w:rsid w:val="00F462C8"/>
    <w:rsid w:val="00F46347"/>
    <w:rsid w:val="00F46A97"/>
    <w:rsid w:val="00F47074"/>
    <w:rsid w:val="00F47181"/>
    <w:rsid w:val="00F47564"/>
    <w:rsid w:val="00F475A0"/>
    <w:rsid w:val="00F501E3"/>
    <w:rsid w:val="00F50A24"/>
    <w:rsid w:val="00F50A29"/>
    <w:rsid w:val="00F50A6D"/>
    <w:rsid w:val="00F50DFC"/>
    <w:rsid w:val="00F50FFE"/>
    <w:rsid w:val="00F51344"/>
    <w:rsid w:val="00F515CA"/>
    <w:rsid w:val="00F51BE5"/>
    <w:rsid w:val="00F52243"/>
    <w:rsid w:val="00F5244B"/>
    <w:rsid w:val="00F5249D"/>
    <w:rsid w:val="00F526CE"/>
    <w:rsid w:val="00F52AC9"/>
    <w:rsid w:val="00F52BAB"/>
    <w:rsid w:val="00F52D99"/>
    <w:rsid w:val="00F53131"/>
    <w:rsid w:val="00F5349F"/>
    <w:rsid w:val="00F53889"/>
    <w:rsid w:val="00F539F1"/>
    <w:rsid w:val="00F53D2B"/>
    <w:rsid w:val="00F53F0C"/>
    <w:rsid w:val="00F542B2"/>
    <w:rsid w:val="00F545D9"/>
    <w:rsid w:val="00F54832"/>
    <w:rsid w:val="00F54A23"/>
    <w:rsid w:val="00F54A57"/>
    <w:rsid w:val="00F54D41"/>
    <w:rsid w:val="00F54E1C"/>
    <w:rsid w:val="00F553C3"/>
    <w:rsid w:val="00F55523"/>
    <w:rsid w:val="00F5561B"/>
    <w:rsid w:val="00F55829"/>
    <w:rsid w:val="00F55873"/>
    <w:rsid w:val="00F560E2"/>
    <w:rsid w:val="00F56648"/>
    <w:rsid w:val="00F567E2"/>
    <w:rsid w:val="00F5686C"/>
    <w:rsid w:val="00F56BA7"/>
    <w:rsid w:val="00F56D99"/>
    <w:rsid w:val="00F56DAE"/>
    <w:rsid w:val="00F56E60"/>
    <w:rsid w:val="00F571EE"/>
    <w:rsid w:val="00F574F1"/>
    <w:rsid w:val="00F57594"/>
    <w:rsid w:val="00F576CB"/>
    <w:rsid w:val="00F57C5A"/>
    <w:rsid w:val="00F60136"/>
    <w:rsid w:val="00F6063A"/>
    <w:rsid w:val="00F60738"/>
    <w:rsid w:val="00F60A19"/>
    <w:rsid w:val="00F60DE7"/>
    <w:rsid w:val="00F60E3F"/>
    <w:rsid w:val="00F60E89"/>
    <w:rsid w:val="00F61242"/>
    <w:rsid w:val="00F613A8"/>
    <w:rsid w:val="00F616C7"/>
    <w:rsid w:val="00F61778"/>
    <w:rsid w:val="00F61806"/>
    <w:rsid w:val="00F61890"/>
    <w:rsid w:val="00F618A3"/>
    <w:rsid w:val="00F619B4"/>
    <w:rsid w:val="00F619BA"/>
    <w:rsid w:val="00F61ADD"/>
    <w:rsid w:val="00F61D61"/>
    <w:rsid w:val="00F61F4F"/>
    <w:rsid w:val="00F61F60"/>
    <w:rsid w:val="00F6212B"/>
    <w:rsid w:val="00F6228C"/>
    <w:rsid w:val="00F6244A"/>
    <w:rsid w:val="00F62453"/>
    <w:rsid w:val="00F625DA"/>
    <w:rsid w:val="00F6274E"/>
    <w:rsid w:val="00F62C33"/>
    <w:rsid w:val="00F62FED"/>
    <w:rsid w:val="00F62FF1"/>
    <w:rsid w:val="00F635B8"/>
    <w:rsid w:val="00F636C7"/>
    <w:rsid w:val="00F6379F"/>
    <w:rsid w:val="00F63ED5"/>
    <w:rsid w:val="00F64174"/>
    <w:rsid w:val="00F647CF"/>
    <w:rsid w:val="00F64CCC"/>
    <w:rsid w:val="00F64D32"/>
    <w:rsid w:val="00F64EDB"/>
    <w:rsid w:val="00F64FF5"/>
    <w:rsid w:val="00F65225"/>
    <w:rsid w:val="00F65743"/>
    <w:rsid w:val="00F65752"/>
    <w:rsid w:val="00F65836"/>
    <w:rsid w:val="00F6590B"/>
    <w:rsid w:val="00F65AFF"/>
    <w:rsid w:val="00F65C80"/>
    <w:rsid w:val="00F66104"/>
    <w:rsid w:val="00F66237"/>
    <w:rsid w:val="00F662B7"/>
    <w:rsid w:val="00F663EF"/>
    <w:rsid w:val="00F6697A"/>
    <w:rsid w:val="00F66CE8"/>
    <w:rsid w:val="00F66D19"/>
    <w:rsid w:val="00F66EEB"/>
    <w:rsid w:val="00F66F2C"/>
    <w:rsid w:val="00F672B6"/>
    <w:rsid w:val="00F67371"/>
    <w:rsid w:val="00F67EAF"/>
    <w:rsid w:val="00F70118"/>
    <w:rsid w:val="00F702AB"/>
    <w:rsid w:val="00F7032D"/>
    <w:rsid w:val="00F70362"/>
    <w:rsid w:val="00F70953"/>
    <w:rsid w:val="00F70C2D"/>
    <w:rsid w:val="00F70C8B"/>
    <w:rsid w:val="00F7115A"/>
    <w:rsid w:val="00F711A9"/>
    <w:rsid w:val="00F7136F"/>
    <w:rsid w:val="00F715D1"/>
    <w:rsid w:val="00F717C9"/>
    <w:rsid w:val="00F718A0"/>
    <w:rsid w:val="00F7196F"/>
    <w:rsid w:val="00F71A4B"/>
    <w:rsid w:val="00F71A67"/>
    <w:rsid w:val="00F71A6D"/>
    <w:rsid w:val="00F71E55"/>
    <w:rsid w:val="00F71FA5"/>
    <w:rsid w:val="00F71FD4"/>
    <w:rsid w:val="00F7229C"/>
    <w:rsid w:val="00F7236A"/>
    <w:rsid w:val="00F72753"/>
    <w:rsid w:val="00F7297C"/>
    <w:rsid w:val="00F72BA9"/>
    <w:rsid w:val="00F72C3B"/>
    <w:rsid w:val="00F72D9B"/>
    <w:rsid w:val="00F72E3B"/>
    <w:rsid w:val="00F72F8F"/>
    <w:rsid w:val="00F72FF1"/>
    <w:rsid w:val="00F730D6"/>
    <w:rsid w:val="00F73193"/>
    <w:rsid w:val="00F73239"/>
    <w:rsid w:val="00F735B4"/>
    <w:rsid w:val="00F7372D"/>
    <w:rsid w:val="00F738A8"/>
    <w:rsid w:val="00F7396F"/>
    <w:rsid w:val="00F73B1E"/>
    <w:rsid w:val="00F73D4D"/>
    <w:rsid w:val="00F73EFE"/>
    <w:rsid w:val="00F740EB"/>
    <w:rsid w:val="00F7417A"/>
    <w:rsid w:val="00F74298"/>
    <w:rsid w:val="00F746C4"/>
    <w:rsid w:val="00F74B27"/>
    <w:rsid w:val="00F74BAD"/>
    <w:rsid w:val="00F7526E"/>
    <w:rsid w:val="00F75446"/>
    <w:rsid w:val="00F75470"/>
    <w:rsid w:val="00F756FE"/>
    <w:rsid w:val="00F75A16"/>
    <w:rsid w:val="00F75B08"/>
    <w:rsid w:val="00F75BA5"/>
    <w:rsid w:val="00F76022"/>
    <w:rsid w:val="00F768C5"/>
    <w:rsid w:val="00F768D8"/>
    <w:rsid w:val="00F76AD5"/>
    <w:rsid w:val="00F76CCF"/>
    <w:rsid w:val="00F76EEA"/>
    <w:rsid w:val="00F76F33"/>
    <w:rsid w:val="00F770B2"/>
    <w:rsid w:val="00F77191"/>
    <w:rsid w:val="00F778B0"/>
    <w:rsid w:val="00F7794C"/>
    <w:rsid w:val="00F77E0C"/>
    <w:rsid w:val="00F77E6E"/>
    <w:rsid w:val="00F77F3F"/>
    <w:rsid w:val="00F802F4"/>
    <w:rsid w:val="00F8039C"/>
    <w:rsid w:val="00F80A85"/>
    <w:rsid w:val="00F80BF3"/>
    <w:rsid w:val="00F80E28"/>
    <w:rsid w:val="00F80F52"/>
    <w:rsid w:val="00F81228"/>
    <w:rsid w:val="00F812D8"/>
    <w:rsid w:val="00F812F5"/>
    <w:rsid w:val="00F8131F"/>
    <w:rsid w:val="00F815D0"/>
    <w:rsid w:val="00F817EE"/>
    <w:rsid w:val="00F81C42"/>
    <w:rsid w:val="00F82018"/>
    <w:rsid w:val="00F8208F"/>
    <w:rsid w:val="00F8265E"/>
    <w:rsid w:val="00F82862"/>
    <w:rsid w:val="00F82C4E"/>
    <w:rsid w:val="00F82FA6"/>
    <w:rsid w:val="00F831AA"/>
    <w:rsid w:val="00F83329"/>
    <w:rsid w:val="00F83527"/>
    <w:rsid w:val="00F835DC"/>
    <w:rsid w:val="00F83773"/>
    <w:rsid w:val="00F83D8C"/>
    <w:rsid w:val="00F8465D"/>
    <w:rsid w:val="00F84856"/>
    <w:rsid w:val="00F84936"/>
    <w:rsid w:val="00F84D91"/>
    <w:rsid w:val="00F84FB7"/>
    <w:rsid w:val="00F8504B"/>
    <w:rsid w:val="00F850FD"/>
    <w:rsid w:val="00F85145"/>
    <w:rsid w:val="00F85467"/>
    <w:rsid w:val="00F85583"/>
    <w:rsid w:val="00F85782"/>
    <w:rsid w:val="00F85BF9"/>
    <w:rsid w:val="00F85F2B"/>
    <w:rsid w:val="00F85F63"/>
    <w:rsid w:val="00F86583"/>
    <w:rsid w:val="00F8671E"/>
    <w:rsid w:val="00F86DB4"/>
    <w:rsid w:val="00F86F64"/>
    <w:rsid w:val="00F86FE4"/>
    <w:rsid w:val="00F87037"/>
    <w:rsid w:val="00F87207"/>
    <w:rsid w:val="00F8758B"/>
    <w:rsid w:val="00F87849"/>
    <w:rsid w:val="00F878AA"/>
    <w:rsid w:val="00F87B53"/>
    <w:rsid w:val="00F87EFD"/>
    <w:rsid w:val="00F87FC7"/>
    <w:rsid w:val="00F9017D"/>
    <w:rsid w:val="00F90555"/>
    <w:rsid w:val="00F90BCB"/>
    <w:rsid w:val="00F90C15"/>
    <w:rsid w:val="00F90D48"/>
    <w:rsid w:val="00F9110B"/>
    <w:rsid w:val="00F912AB"/>
    <w:rsid w:val="00F913D8"/>
    <w:rsid w:val="00F9146D"/>
    <w:rsid w:val="00F91489"/>
    <w:rsid w:val="00F9187D"/>
    <w:rsid w:val="00F919B9"/>
    <w:rsid w:val="00F91E8A"/>
    <w:rsid w:val="00F91F4A"/>
    <w:rsid w:val="00F92064"/>
    <w:rsid w:val="00F9218C"/>
    <w:rsid w:val="00F924B0"/>
    <w:rsid w:val="00F92678"/>
    <w:rsid w:val="00F92793"/>
    <w:rsid w:val="00F927BE"/>
    <w:rsid w:val="00F92844"/>
    <w:rsid w:val="00F92D7C"/>
    <w:rsid w:val="00F92F02"/>
    <w:rsid w:val="00F931A4"/>
    <w:rsid w:val="00F93259"/>
    <w:rsid w:val="00F93381"/>
    <w:rsid w:val="00F9359C"/>
    <w:rsid w:val="00F93A13"/>
    <w:rsid w:val="00F93B84"/>
    <w:rsid w:val="00F93C0F"/>
    <w:rsid w:val="00F942A4"/>
    <w:rsid w:val="00F947F0"/>
    <w:rsid w:val="00F949DE"/>
    <w:rsid w:val="00F94ED5"/>
    <w:rsid w:val="00F94F09"/>
    <w:rsid w:val="00F952C2"/>
    <w:rsid w:val="00F952D3"/>
    <w:rsid w:val="00F957AF"/>
    <w:rsid w:val="00F95941"/>
    <w:rsid w:val="00F959BF"/>
    <w:rsid w:val="00F95AA9"/>
    <w:rsid w:val="00F95B53"/>
    <w:rsid w:val="00F95E61"/>
    <w:rsid w:val="00F95E9A"/>
    <w:rsid w:val="00F96248"/>
    <w:rsid w:val="00F963DC"/>
    <w:rsid w:val="00F96648"/>
    <w:rsid w:val="00F96C17"/>
    <w:rsid w:val="00F96C71"/>
    <w:rsid w:val="00F96E5F"/>
    <w:rsid w:val="00F96E87"/>
    <w:rsid w:val="00F96EC2"/>
    <w:rsid w:val="00F97190"/>
    <w:rsid w:val="00F973E3"/>
    <w:rsid w:val="00F978D1"/>
    <w:rsid w:val="00F97B28"/>
    <w:rsid w:val="00F97C86"/>
    <w:rsid w:val="00F97DCC"/>
    <w:rsid w:val="00F97E3D"/>
    <w:rsid w:val="00FA00A8"/>
    <w:rsid w:val="00FA03B3"/>
    <w:rsid w:val="00FA0609"/>
    <w:rsid w:val="00FA062B"/>
    <w:rsid w:val="00FA077C"/>
    <w:rsid w:val="00FA0799"/>
    <w:rsid w:val="00FA0A80"/>
    <w:rsid w:val="00FA0CA0"/>
    <w:rsid w:val="00FA1399"/>
    <w:rsid w:val="00FA1535"/>
    <w:rsid w:val="00FA1558"/>
    <w:rsid w:val="00FA15A4"/>
    <w:rsid w:val="00FA168B"/>
    <w:rsid w:val="00FA1708"/>
    <w:rsid w:val="00FA1CAC"/>
    <w:rsid w:val="00FA21A5"/>
    <w:rsid w:val="00FA21EA"/>
    <w:rsid w:val="00FA23AA"/>
    <w:rsid w:val="00FA2A7B"/>
    <w:rsid w:val="00FA2E41"/>
    <w:rsid w:val="00FA2F8F"/>
    <w:rsid w:val="00FA2F9A"/>
    <w:rsid w:val="00FA2FB4"/>
    <w:rsid w:val="00FA35ED"/>
    <w:rsid w:val="00FA3731"/>
    <w:rsid w:val="00FA3855"/>
    <w:rsid w:val="00FA3982"/>
    <w:rsid w:val="00FA3A12"/>
    <w:rsid w:val="00FA4004"/>
    <w:rsid w:val="00FA402D"/>
    <w:rsid w:val="00FA412E"/>
    <w:rsid w:val="00FA429A"/>
    <w:rsid w:val="00FA42BF"/>
    <w:rsid w:val="00FA4395"/>
    <w:rsid w:val="00FA49AA"/>
    <w:rsid w:val="00FA4AE7"/>
    <w:rsid w:val="00FA4EE6"/>
    <w:rsid w:val="00FA4F1B"/>
    <w:rsid w:val="00FA5177"/>
    <w:rsid w:val="00FA57F5"/>
    <w:rsid w:val="00FA5A50"/>
    <w:rsid w:val="00FA5A8F"/>
    <w:rsid w:val="00FA5AB1"/>
    <w:rsid w:val="00FA5CEE"/>
    <w:rsid w:val="00FA5D34"/>
    <w:rsid w:val="00FA5D39"/>
    <w:rsid w:val="00FA5F68"/>
    <w:rsid w:val="00FA6131"/>
    <w:rsid w:val="00FA643A"/>
    <w:rsid w:val="00FA6761"/>
    <w:rsid w:val="00FA69E7"/>
    <w:rsid w:val="00FA6AAD"/>
    <w:rsid w:val="00FA6C77"/>
    <w:rsid w:val="00FA6CD4"/>
    <w:rsid w:val="00FA6E38"/>
    <w:rsid w:val="00FA6F6D"/>
    <w:rsid w:val="00FA6F98"/>
    <w:rsid w:val="00FA73CD"/>
    <w:rsid w:val="00FA7505"/>
    <w:rsid w:val="00FA7680"/>
    <w:rsid w:val="00FA76C9"/>
    <w:rsid w:val="00FA77AC"/>
    <w:rsid w:val="00FA7893"/>
    <w:rsid w:val="00FA7B25"/>
    <w:rsid w:val="00FA7D54"/>
    <w:rsid w:val="00FB0194"/>
    <w:rsid w:val="00FB0198"/>
    <w:rsid w:val="00FB025E"/>
    <w:rsid w:val="00FB044E"/>
    <w:rsid w:val="00FB0524"/>
    <w:rsid w:val="00FB08C1"/>
    <w:rsid w:val="00FB0D47"/>
    <w:rsid w:val="00FB126E"/>
    <w:rsid w:val="00FB1633"/>
    <w:rsid w:val="00FB1C45"/>
    <w:rsid w:val="00FB1DED"/>
    <w:rsid w:val="00FB1EBC"/>
    <w:rsid w:val="00FB2078"/>
    <w:rsid w:val="00FB26F3"/>
    <w:rsid w:val="00FB2F17"/>
    <w:rsid w:val="00FB3043"/>
    <w:rsid w:val="00FB3135"/>
    <w:rsid w:val="00FB34DC"/>
    <w:rsid w:val="00FB376F"/>
    <w:rsid w:val="00FB3A54"/>
    <w:rsid w:val="00FB3BFC"/>
    <w:rsid w:val="00FB4325"/>
    <w:rsid w:val="00FB45F3"/>
    <w:rsid w:val="00FB476D"/>
    <w:rsid w:val="00FB4800"/>
    <w:rsid w:val="00FB4B69"/>
    <w:rsid w:val="00FB4BA5"/>
    <w:rsid w:val="00FB4C5B"/>
    <w:rsid w:val="00FB4DD4"/>
    <w:rsid w:val="00FB4F13"/>
    <w:rsid w:val="00FB52B6"/>
    <w:rsid w:val="00FB5441"/>
    <w:rsid w:val="00FB5479"/>
    <w:rsid w:val="00FB570B"/>
    <w:rsid w:val="00FB570D"/>
    <w:rsid w:val="00FB58A1"/>
    <w:rsid w:val="00FB5D2F"/>
    <w:rsid w:val="00FB5EC2"/>
    <w:rsid w:val="00FB60BB"/>
    <w:rsid w:val="00FB6206"/>
    <w:rsid w:val="00FB653F"/>
    <w:rsid w:val="00FB6B4B"/>
    <w:rsid w:val="00FB7158"/>
    <w:rsid w:val="00FB7879"/>
    <w:rsid w:val="00FB7BFE"/>
    <w:rsid w:val="00FB7CAF"/>
    <w:rsid w:val="00FB7D7A"/>
    <w:rsid w:val="00FB7E0E"/>
    <w:rsid w:val="00FC002A"/>
    <w:rsid w:val="00FC0550"/>
    <w:rsid w:val="00FC0B30"/>
    <w:rsid w:val="00FC0CEF"/>
    <w:rsid w:val="00FC10C1"/>
    <w:rsid w:val="00FC10EB"/>
    <w:rsid w:val="00FC13CE"/>
    <w:rsid w:val="00FC1778"/>
    <w:rsid w:val="00FC1887"/>
    <w:rsid w:val="00FC2336"/>
    <w:rsid w:val="00FC2558"/>
    <w:rsid w:val="00FC2655"/>
    <w:rsid w:val="00FC26A4"/>
    <w:rsid w:val="00FC282C"/>
    <w:rsid w:val="00FC2BC0"/>
    <w:rsid w:val="00FC2E14"/>
    <w:rsid w:val="00FC2E60"/>
    <w:rsid w:val="00FC2EA5"/>
    <w:rsid w:val="00FC3335"/>
    <w:rsid w:val="00FC381B"/>
    <w:rsid w:val="00FC3A66"/>
    <w:rsid w:val="00FC3EEA"/>
    <w:rsid w:val="00FC4068"/>
    <w:rsid w:val="00FC424C"/>
    <w:rsid w:val="00FC42F6"/>
    <w:rsid w:val="00FC4446"/>
    <w:rsid w:val="00FC4648"/>
    <w:rsid w:val="00FC4CEF"/>
    <w:rsid w:val="00FC4E91"/>
    <w:rsid w:val="00FC4EF1"/>
    <w:rsid w:val="00FC50A5"/>
    <w:rsid w:val="00FC517D"/>
    <w:rsid w:val="00FC5564"/>
    <w:rsid w:val="00FC5666"/>
    <w:rsid w:val="00FC5764"/>
    <w:rsid w:val="00FC5999"/>
    <w:rsid w:val="00FC59DE"/>
    <w:rsid w:val="00FC5D45"/>
    <w:rsid w:val="00FC5DDE"/>
    <w:rsid w:val="00FC5F8E"/>
    <w:rsid w:val="00FC611A"/>
    <w:rsid w:val="00FC6324"/>
    <w:rsid w:val="00FC64B6"/>
    <w:rsid w:val="00FC65FF"/>
    <w:rsid w:val="00FC6A7E"/>
    <w:rsid w:val="00FC6D19"/>
    <w:rsid w:val="00FC6EC6"/>
    <w:rsid w:val="00FC71DD"/>
    <w:rsid w:val="00FC73DF"/>
    <w:rsid w:val="00FC7684"/>
    <w:rsid w:val="00FC7CB6"/>
    <w:rsid w:val="00FC7F31"/>
    <w:rsid w:val="00FD00AC"/>
    <w:rsid w:val="00FD08AE"/>
    <w:rsid w:val="00FD0C73"/>
    <w:rsid w:val="00FD12B7"/>
    <w:rsid w:val="00FD137E"/>
    <w:rsid w:val="00FD16A3"/>
    <w:rsid w:val="00FD17BB"/>
    <w:rsid w:val="00FD1C93"/>
    <w:rsid w:val="00FD1D03"/>
    <w:rsid w:val="00FD24DE"/>
    <w:rsid w:val="00FD2652"/>
    <w:rsid w:val="00FD277F"/>
    <w:rsid w:val="00FD2781"/>
    <w:rsid w:val="00FD284F"/>
    <w:rsid w:val="00FD2969"/>
    <w:rsid w:val="00FD2FD7"/>
    <w:rsid w:val="00FD30A8"/>
    <w:rsid w:val="00FD327B"/>
    <w:rsid w:val="00FD36D4"/>
    <w:rsid w:val="00FD3C00"/>
    <w:rsid w:val="00FD3CEF"/>
    <w:rsid w:val="00FD3DDF"/>
    <w:rsid w:val="00FD3EFD"/>
    <w:rsid w:val="00FD3FF4"/>
    <w:rsid w:val="00FD4088"/>
    <w:rsid w:val="00FD4098"/>
    <w:rsid w:val="00FD41EB"/>
    <w:rsid w:val="00FD4219"/>
    <w:rsid w:val="00FD449C"/>
    <w:rsid w:val="00FD4B9E"/>
    <w:rsid w:val="00FD4C16"/>
    <w:rsid w:val="00FD4C6B"/>
    <w:rsid w:val="00FD4D65"/>
    <w:rsid w:val="00FD4D67"/>
    <w:rsid w:val="00FD5108"/>
    <w:rsid w:val="00FD5266"/>
    <w:rsid w:val="00FD5504"/>
    <w:rsid w:val="00FD5682"/>
    <w:rsid w:val="00FD5957"/>
    <w:rsid w:val="00FD596D"/>
    <w:rsid w:val="00FD5AEE"/>
    <w:rsid w:val="00FD5CB0"/>
    <w:rsid w:val="00FD5D25"/>
    <w:rsid w:val="00FD5DD4"/>
    <w:rsid w:val="00FD6798"/>
    <w:rsid w:val="00FD6878"/>
    <w:rsid w:val="00FD6E1A"/>
    <w:rsid w:val="00FD6FF0"/>
    <w:rsid w:val="00FD70FD"/>
    <w:rsid w:val="00FD7A01"/>
    <w:rsid w:val="00FD7A4B"/>
    <w:rsid w:val="00FD7ACF"/>
    <w:rsid w:val="00FE0019"/>
    <w:rsid w:val="00FE01E1"/>
    <w:rsid w:val="00FE04BE"/>
    <w:rsid w:val="00FE065D"/>
    <w:rsid w:val="00FE06D8"/>
    <w:rsid w:val="00FE0A8B"/>
    <w:rsid w:val="00FE0E72"/>
    <w:rsid w:val="00FE1006"/>
    <w:rsid w:val="00FE121A"/>
    <w:rsid w:val="00FE1429"/>
    <w:rsid w:val="00FE1900"/>
    <w:rsid w:val="00FE1B99"/>
    <w:rsid w:val="00FE1FF4"/>
    <w:rsid w:val="00FE2497"/>
    <w:rsid w:val="00FE2618"/>
    <w:rsid w:val="00FE2D40"/>
    <w:rsid w:val="00FE2E58"/>
    <w:rsid w:val="00FE2E71"/>
    <w:rsid w:val="00FE2EB2"/>
    <w:rsid w:val="00FE3148"/>
    <w:rsid w:val="00FE31C1"/>
    <w:rsid w:val="00FE3270"/>
    <w:rsid w:val="00FE3477"/>
    <w:rsid w:val="00FE34BF"/>
    <w:rsid w:val="00FE3936"/>
    <w:rsid w:val="00FE39E1"/>
    <w:rsid w:val="00FE3A11"/>
    <w:rsid w:val="00FE3A6C"/>
    <w:rsid w:val="00FE3C4B"/>
    <w:rsid w:val="00FE416F"/>
    <w:rsid w:val="00FE41EC"/>
    <w:rsid w:val="00FE4357"/>
    <w:rsid w:val="00FE4421"/>
    <w:rsid w:val="00FE46D3"/>
    <w:rsid w:val="00FE4A44"/>
    <w:rsid w:val="00FE4DA3"/>
    <w:rsid w:val="00FE50F8"/>
    <w:rsid w:val="00FE521E"/>
    <w:rsid w:val="00FE5257"/>
    <w:rsid w:val="00FE53F1"/>
    <w:rsid w:val="00FE5598"/>
    <w:rsid w:val="00FE57DE"/>
    <w:rsid w:val="00FE5966"/>
    <w:rsid w:val="00FE6091"/>
    <w:rsid w:val="00FE60B8"/>
    <w:rsid w:val="00FE6217"/>
    <w:rsid w:val="00FE62A5"/>
    <w:rsid w:val="00FE641A"/>
    <w:rsid w:val="00FE688A"/>
    <w:rsid w:val="00FE6A0B"/>
    <w:rsid w:val="00FE6B72"/>
    <w:rsid w:val="00FE6B94"/>
    <w:rsid w:val="00FE6CC5"/>
    <w:rsid w:val="00FE6DD6"/>
    <w:rsid w:val="00FE6E83"/>
    <w:rsid w:val="00FE7039"/>
    <w:rsid w:val="00FE73F0"/>
    <w:rsid w:val="00FE75B5"/>
    <w:rsid w:val="00FE780F"/>
    <w:rsid w:val="00FE7898"/>
    <w:rsid w:val="00FE7DA9"/>
    <w:rsid w:val="00FE7EDF"/>
    <w:rsid w:val="00FF0492"/>
    <w:rsid w:val="00FF051F"/>
    <w:rsid w:val="00FF05BC"/>
    <w:rsid w:val="00FF08E9"/>
    <w:rsid w:val="00FF0C43"/>
    <w:rsid w:val="00FF14CD"/>
    <w:rsid w:val="00FF15AD"/>
    <w:rsid w:val="00FF1885"/>
    <w:rsid w:val="00FF1958"/>
    <w:rsid w:val="00FF1970"/>
    <w:rsid w:val="00FF1BDA"/>
    <w:rsid w:val="00FF1BF1"/>
    <w:rsid w:val="00FF1F7F"/>
    <w:rsid w:val="00FF202E"/>
    <w:rsid w:val="00FF2206"/>
    <w:rsid w:val="00FF25B5"/>
    <w:rsid w:val="00FF2A44"/>
    <w:rsid w:val="00FF2D91"/>
    <w:rsid w:val="00FF2DB0"/>
    <w:rsid w:val="00FF2ECB"/>
    <w:rsid w:val="00FF332B"/>
    <w:rsid w:val="00FF3472"/>
    <w:rsid w:val="00FF35EC"/>
    <w:rsid w:val="00FF374D"/>
    <w:rsid w:val="00FF37A9"/>
    <w:rsid w:val="00FF3917"/>
    <w:rsid w:val="00FF3C9A"/>
    <w:rsid w:val="00FF4048"/>
    <w:rsid w:val="00FF4154"/>
    <w:rsid w:val="00FF4446"/>
    <w:rsid w:val="00FF4DB4"/>
    <w:rsid w:val="00FF536D"/>
    <w:rsid w:val="00FF59F2"/>
    <w:rsid w:val="00FF6130"/>
    <w:rsid w:val="00FF66D5"/>
    <w:rsid w:val="00FF6779"/>
    <w:rsid w:val="00FF6B98"/>
    <w:rsid w:val="00FF6E37"/>
    <w:rsid w:val="00FF6E3F"/>
    <w:rsid w:val="00FF6F31"/>
    <w:rsid w:val="00FF6F52"/>
    <w:rsid w:val="00FF7235"/>
    <w:rsid w:val="00FF74B1"/>
    <w:rsid w:val="00FF7567"/>
    <w:rsid w:val="129EDF71"/>
    <w:rsid w:val="156A6D8C"/>
    <w:rsid w:val="2805113D"/>
    <w:rsid w:val="292DACEF"/>
    <w:rsid w:val="329C4E26"/>
    <w:rsid w:val="3B644A7E"/>
    <w:rsid w:val="42957A92"/>
    <w:rsid w:val="4A823715"/>
    <w:rsid w:val="5162D400"/>
    <w:rsid w:val="55766B4F"/>
    <w:rsid w:val="55AAB3B1"/>
    <w:rsid w:val="5F0F65DC"/>
    <w:rsid w:val="60EF8925"/>
    <w:rsid w:val="6CCAE597"/>
    <w:rsid w:val="6ECA0C05"/>
    <w:rsid w:val="7B52096D"/>
    <w:rsid w:val="7D85033B"/>
    <w:rsid w:val="7FEE9DC0"/>
  </w:rsids>
  <w:docVars>
    <w:docVar w:name="match" w:val="https://mathematica-my.sharepoint.com/personal/mhallisey_mathematica-mpr_com/Documents/Desktop/50686.4F.T06.000.000 PRO 16786 Core Set Protocols Christal Margo Morgan Lee Sydney Garlick/2022_EQR_Protocols.docx"/>
    <w:docVar w:name="matchrole" w:val="target"/>
  </w:docVar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3A046165"/>
  <w15:docId w15:val="{9E7E2948-7E89-427C-B857-BF78FA83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locked="1" w:semiHidden="1" w:unhideWhenUsed="1"/>
    <w:lsdException w:name="caption" w:semiHidden="1" w:uiPriority="0" w:unhideWhenUsed="1" w:qFormat="1"/>
    <w:lsdException w:name="table of figures" w:locked="1"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qFormat="1"/>
    <w:lsdException w:name="Subtitle" w:semiHidden="1" w:uiPriority="11" w:qFormat="1"/>
    <w:lsdException w:name="Salutation" w:semiHidden="1" w:unhideWhenUsed="1" w:qFormat="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1" w:unhideWhenUsed="1"/>
    <w:lsdException w:name="HTML Address" w:semiHidden="1" w:unhideWhenUsed="1"/>
    <w:lsdException w:name="HTML Cite" w:semiHidden="1" w:uiPriority="1" w:unhideWhenUsed="1"/>
    <w:lsdException w:name="HTML Code" w:semiHidden="1" w:uiPriority="1" w:unhideWhenUsed="1"/>
    <w:lsdException w:name="HTML Definition" w:semiHidden="1" w:uiPriority="1" w:unhideWhenUsed="1"/>
    <w:lsdException w:name="HTML Keyboard" w:semiHidden="1" w:uiPriority="1" w:unhideWhenUsed="1"/>
    <w:lsdException w:name="HTML Preformatted" w:semiHidden="1" w:unhideWhenUsed="1" w:qFormat="1"/>
    <w:lsdException w:name="HTML Sample" w:semiHidden="1" w:uiPriority="1" w:unhideWhenUsed="1"/>
    <w:lsdException w:name="HTML Typewriter" w:semiHidden="1" w:uiPriority="1" w:unhideWhenUsed="1"/>
    <w:lsdException w:name="HTML Variable" w:semiHidden="1" w:uiPriority="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 w:qFormat="1"/>
    <w:lsdException w:name="Intense Emphasis" w:locked="1" w:uiPriority="1" w:qFormat="1"/>
    <w:lsdException w:name="Subtle Reference" w:uiPriority="1" w:qFormat="1"/>
    <w:lsdException w:name="Intense Reference" w:locked="1" w:uiPriority="1" w:qFormat="1"/>
    <w:lsdException w:name="Book Title" w:uiPriority="1" w:qFormat="1"/>
    <w:lsdException w:name="Bibliography" w:semiHidden="1" w:uiPriority="37" w:unhideWhenUsed="1"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1" w:unhideWhenUsed="1"/>
    <w:lsdException w:name="Mention" w:semiHidden="1" w:uiPriority="1" w:unhideWhenUsed="1"/>
    <w:lsdException w:name="Smart Hyperlink" w:semiHidden="1" w:uiPriority="1" w:unhideWhenUsed="1"/>
    <w:lsdException w:name="Hashtag" w:semiHidden="1" w:uiPriority="1" w:unhideWhenUsed="1"/>
    <w:lsdException w:name="Unresolved Mention" w:semiHidden="1" w:unhideWhenUsed="1"/>
  </w:latentStyles>
  <w:style w:type="paragraph" w:default="1" w:styleId="Normal">
    <w:name w:val="Normal"/>
    <w:uiPriority w:val="1"/>
    <w:qFormat/>
    <w:rsid w:val="00783315"/>
    <w:pPr>
      <w:spacing w:line="264" w:lineRule="auto"/>
    </w:pPr>
    <w:rPr>
      <w:rFonts w:eastAsia="Times New Roman" w:asciiTheme="minorHAnsi" w:hAnsiTheme="minorHAnsi" w:cs="Times New Roman"/>
      <w:szCs w:val="20"/>
    </w:rPr>
  </w:style>
  <w:style w:type="paragraph" w:styleId="Heading1">
    <w:name w:val="heading 1"/>
    <w:basedOn w:val="Normal"/>
    <w:next w:val="Paragraph0"/>
    <w:link w:val="Heading1Char"/>
    <w:uiPriority w:val="9"/>
    <w:qFormat/>
    <w:rsid w:val="004E7B5A"/>
    <w:pPr>
      <w:keepNext/>
      <w:tabs>
        <w:tab w:val="left" w:pos="432"/>
      </w:tabs>
      <w:spacing w:before="240" w:line="400" w:lineRule="exact"/>
      <w:ind w:left="432" w:hanging="432"/>
      <w:outlineLvl w:val="0"/>
    </w:pPr>
    <w:rPr>
      <w:rFonts w:ascii="Arial Black" w:hAnsi="Arial Black"/>
      <w:b/>
      <w:caps/>
      <w:sz w:val="32"/>
    </w:rPr>
  </w:style>
  <w:style w:type="paragraph" w:styleId="Heading2">
    <w:name w:val="heading 2"/>
    <w:basedOn w:val="Normal"/>
    <w:next w:val="Paragraph0"/>
    <w:link w:val="Heading2Char"/>
    <w:qFormat/>
    <w:rsid w:val="004E7B5A"/>
    <w:pPr>
      <w:keepNext/>
      <w:tabs>
        <w:tab w:val="left" w:pos="432"/>
      </w:tabs>
      <w:spacing w:before="240" w:after="120" w:line="360" w:lineRule="exact"/>
      <w:ind w:left="432" w:hanging="432"/>
      <w:outlineLvl w:val="1"/>
    </w:pPr>
    <w:rPr>
      <w:rFonts w:ascii="Arial Black" w:hAnsi="Arial Black"/>
      <w:color w:val="000000" w:themeColor="text1"/>
      <w:sz w:val="28"/>
    </w:rPr>
  </w:style>
  <w:style w:type="paragraph" w:styleId="Heading3">
    <w:name w:val="heading 3"/>
    <w:basedOn w:val="Normal"/>
    <w:next w:val="Paragraph0"/>
    <w:link w:val="Heading3Char"/>
    <w:uiPriority w:val="9"/>
    <w:qFormat/>
    <w:rsid w:val="004E7B5A"/>
    <w:pPr>
      <w:keepNext/>
      <w:tabs>
        <w:tab w:val="left" w:pos="432"/>
      </w:tabs>
      <w:spacing w:before="80" w:after="160"/>
      <w:ind w:left="432" w:hanging="432"/>
      <w:outlineLvl w:val="2"/>
    </w:pPr>
    <w:rPr>
      <w:b/>
      <w:sz w:val="28"/>
    </w:rPr>
  </w:style>
  <w:style w:type="paragraph" w:styleId="Heading4">
    <w:name w:val="heading 4"/>
    <w:basedOn w:val="Normal"/>
    <w:next w:val="Paragraph0"/>
    <w:link w:val="Heading4Char"/>
    <w:uiPriority w:val="9"/>
    <w:qFormat/>
    <w:rsid w:val="004E7B5A"/>
    <w:pPr>
      <w:keepNext/>
      <w:tabs>
        <w:tab w:val="left" w:pos="432"/>
      </w:tabs>
      <w:spacing w:before="80" w:after="160"/>
      <w:ind w:left="432" w:hanging="432"/>
      <w:outlineLvl w:val="3"/>
    </w:pPr>
    <w:rPr>
      <w:b/>
      <w:color w:val="000000" w:themeColor="text1"/>
    </w:rPr>
  </w:style>
  <w:style w:type="paragraph" w:styleId="Heading5">
    <w:name w:val="heading 5"/>
    <w:aliases w:val="Heading 5 (business proposal only),List Head"/>
    <w:basedOn w:val="Normal"/>
    <w:next w:val="Paragraph0"/>
    <w:link w:val="Heading5Char"/>
    <w:uiPriority w:val="9"/>
    <w:qFormat/>
    <w:rsid w:val="004E7B5A"/>
    <w:pPr>
      <w:keepNext/>
      <w:tabs>
        <w:tab w:val="left" w:pos="432"/>
      </w:tabs>
      <w:spacing w:before="360" w:after="120"/>
      <w:outlineLvl w:val="4"/>
    </w:pPr>
    <w:rPr>
      <w:b/>
      <w:color w:val="000000" w:themeColor="text1"/>
      <w:u w:val="single"/>
    </w:rPr>
  </w:style>
  <w:style w:type="paragraph" w:styleId="Heading6">
    <w:name w:val="heading 6"/>
    <w:aliases w:val="Heading 6 (business proposal only)"/>
    <w:basedOn w:val="Normal"/>
    <w:next w:val="Normal"/>
    <w:link w:val="Heading6Char"/>
    <w:uiPriority w:val="9"/>
    <w:qFormat/>
    <w:rsid w:val="004E7B5A"/>
    <w:pPr>
      <w:keepNext/>
      <w:numPr>
        <w:ilvl w:val="5"/>
        <w:numId w:val="4"/>
      </w:numPr>
      <w:spacing w:after="120"/>
      <w:outlineLvl w:val="5"/>
    </w:pPr>
  </w:style>
  <w:style w:type="paragraph" w:styleId="Heading7">
    <w:name w:val="heading 7"/>
    <w:aliases w:val="Heading 7 (business proposal only)"/>
    <w:basedOn w:val="Normal"/>
    <w:next w:val="Normal"/>
    <w:link w:val="Heading7Char"/>
    <w:uiPriority w:val="9"/>
    <w:semiHidden/>
    <w:qFormat/>
    <w:rsid w:val="004E7B5A"/>
    <w:pPr>
      <w:keepNext/>
      <w:numPr>
        <w:ilvl w:val="6"/>
        <w:numId w:val="4"/>
      </w:numPr>
      <w:spacing w:after="120"/>
      <w:outlineLvl w:val="6"/>
    </w:pPr>
  </w:style>
  <w:style w:type="paragraph" w:styleId="Heading8">
    <w:name w:val="heading 8"/>
    <w:aliases w:val="Heading 8 (business proposal only)"/>
    <w:basedOn w:val="Normal"/>
    <w:next w:val="Normal"/>
    <w:link w:val="Heading8Char"/>
    <w:uiPriority w:val="9"/>
    <w:semiHidden/>
    <w:qFormat/>
    <w:rsid w:val="004E7B5A"/>
    <w:pPr>
      <w:keepNext/>
      <w:numPr>
        <w:ilvl w:val="7"/>
        <w:numId w:val="4"/>
      </w:numPr>
      <w:spacing w:after="120"/>
      <w:outlineLvl w:val="7"/>
    </w:pPr>
  </w:style>
  <w:style w:type="paragraph" w:styleId="Heading9">
    <w:name w:val="heading 9"/>
    <w:aliases w:val="Heading 9 (business proposal only)"/>
    <w:basedOn w:val="Normal"/>
    <w:next w:val="Normal"/>
    <w:link w:val="Heading9Char"/>
    <w:uiPriority w:val="9"/>
    <w:semiHidden/>
    <w:qFormat/>
    <w:locked/>
    <w:rsid w:val="004E7B5A"/>
    <w:pPr>
      <w:keepNext/>
      <w:numPr>
        <w:ilvl w:val="8"/>
        <w:numId w:val="4"/>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qFormat/>
    <w:rsid w:val="00003680"/>
    <w:pPr>
      <w:numPr>
        <w:numId w:val="1"/>
      </w:numPr>
      <w:tabs>
        <w:tab w:val="num" w:pos="360"/>
        <w:tab w:val="left" w:pos="432"/>
      </w:tabs>
      <w:spacing w:after="120"/>
      <w:ind w:left="0" w:firstLine="0"/>
    </w:pPr>
  </w:style>
  <w:style w:type="paragraph" w:customStyle="1" w:styleId="BulletLastSS">
    <w:name w:val="Bullet (Last SS)"/>
    <w:basedOn w:val="Bullet"/>
    <w:next w:val="EQRNormalSS"/>
    <w:qFormat/>
    <w:rsid w:val="009A5B76"/>
    <w:pPr>
      <w:numPr>
        <w:numId w:val="2"/>
      </w:numPr>
      <w:spacing w:after="240"/>
      <w:ind w:left="432" w:hanging="432"/>
    </w:pPr>
  </w:style>
  <w:style w:type="paragraph" w:customStyle="1" w:styleId="Dash">
    <w:name w:val="Dash"/>
    <w:basedOn w:val="Normal"/>
    <w:qFormat/>
    <w:rsid w:val="002B76AB"/>
    <w:pPr>
      <w:numPr>
        <w:numId w:val="3"/>
      </w:numPr>
      <w:tabs>
        <w:tab w:val="left" w:pos="288"/>
        <w:tab w:val="num" w:pos="360"/>
      </w:tabs>
      <w:spacing w:after="120"/>
      <w:ind w:left="0" w:firstLine="0"/>
    </w:pPr>
  </w:style>
  <w:style w:type="paragraph" w:styleId="Footer">
    <w:name w:val="footer"/>
    <w:aliases w:val="EQR Footer"/>
    <w:basedOn w:val="Normal"/>
    <w:link w:val="FooterChar"/>
    <w:uiPriority w:val="99"/>
    <w:unhideWhenUsed/>
    <w:qFormat/>
    <w:rsid w:val="0056125E"/>
    <w:pPr>
      <w:pBdr>
        <w:top w:val="single" w:sz="4" w:space="4" w:color="00828C" w:themeColor="accent1"/>
      </w:pBdr>
      <w:tabs>
        <w:tab w:val="right" w:pos="9360"/>
      </w:tabs>
      <w:spacing w:before="80" w:after="80"/>
    </w:pPr>
    <w:rPr>
      <w:rFonts w:ascii="Arial" w:hAnsi="Arial"/>
      <w:color w:val="003F75" w:themeColor="text2" w:themeShade="BF"/>
      <w:sz w:val="20"/>
    </w:rPr>
  </w:style>
  <w:style w:type="character" w:customStyle="1" w:styleId="FooterChar">
    <w:name w:val="Footer Char"/>
    <w:aliases w:val="EQR Footer Char"/>
    <w:basedOn w:val="DefaultParagraphFont"/>
    <w:link w:val="Footer"/>
    <w:uiPriority w:val="99"/>
    <w:rsid w:val="0056125E"/>
    <w:rPr>
      <w:rFonts w:ascii="Arial" w:eastAsia="Times New Roman" w:hAnsi="Arial" w:cs="Times New Roman"/>
      <w:color w:val="003F75" w:themeColor="text2" w:themeShade="BF"/>
      <w:sz w:val="20"/>
      <w:szCs w:val="20"/>
    </w:rPr>
  </w:style>
  <w:style w:type="character" w:styleId="FootnoteReference">
    <w:name w:val="footnote reference"/>
    <w:basedOn w:val="DefaultParagraphFont"/>
    <w:uiPriority w:val="99"/>
    <w:unhideWhenUsed/>
    <w:qFormat/>
    <w:rsid w:val="004E7B5A"/>
    <w:rPr>
      <w:vertAlign w:val="superscript"/>
    </w:rPr>
  </w:style>
  <w:style w:type="paragraph" w:styleId="FootnoteText">
    <w:name w:val="footnote text"/>
    <w:aliases w:val="EQR Footnote Text"/>
    <w:basedOn w:val="Normal"/>
    <w:link w:val="FootnoteTextChar"/>
    <w:uiPriority w:val="99"/>
    <w:unhideWhenUsed/>
    <w:qFormat/>
    <w:rsid w:val="00AB2255"/>
    <w:pPr>
      <w:tabs>
        <w:tab w:val="left" w:pos="216"/>
      </w:tabs>
      <w:spacing w:after="60"/>
      <w:ind w:left="216" w:hanging="216"/>
    </w:pPr>
    <w:rPr>
      <w:sz w:val="18"/>
    </w:rPr>
  </w:style>
  <w:style w:type="character" w:customStyle="1" w:styleId="FootnoteTextChar">
    <w:name w:val="Footnote Text Char"/>
    <w:aliases w:val="EQR Footnote Text Char"/>
    <w:basedOn w:val="DefaultParagraphFont"/>
    <w:link w:val="FootnoteText"/>
    <w:uiPriority w:val="99"/>
    <w:rsid w:val="00781CA6"/>
    <w:rPr>
      <w:rFonts w:eastAsia="Times New Roman" w:asciiTheme="minorHAnsi" w:hAnsiTheme="minorHAnsi" w:cs="Times New Roman"/>
      <w:sz w:val="18"/>
      <w:szCs w:val="20"/>
    </w:rPr>
  </w:style>
  <w:style w:type="paragraph" w:styleId="Header">
    <w:name w:val="header"/>
    <w:basedOn w:val="Normal"/>
    <w:link w:val="HeaderChar"/>
    <w:uiPriority w:val="99"/>
    <w:qFormat/>
    <w:rsid w:val="004E7B5A"/>
    <w:pPr>
      <w:tabs>
        <w:tab w:val="right" w:pos="9360"/>
      </w:tabs>
      <w:spacing w:after="360"/>
      <w:contextualSpacing/>
    </w:pPr>
    <w:rPr>
      <w:rFonts w:ascii="Arial" w:hAnsi="Arial"/>
      <w:sz w:val="20"/>
    </w:rPr>
  </w:style>
  <w:style w:type="character" w:customStyle="1" w:styleId="HeaderChar">
    <w:name w:val="Header Char"/>
    <w:basedOn w:val="DefaultParagraphFont"/>
    <w:link w:val="Header"/>
    <w:uiPriority w:val="99"/>
    <w:rsid w:val="004E7B5A"/>
    <w:rPr>
      <w:rFonts w:ascii="Arial" w:eastAsia="Times New Roman" w:hAnsi="Arial" w:cs="Times New Roman"/>
      <w:sz w:val="20"/>
      <w:szCs w:val="20"/>
    </w:rPr>
  </w:style>
  <w:style w:type="character" w:customStyle="1" w:styleId="Heading1Char">
    <w:name w:val="Heading 1 Char"/>
    <w:basedOn w:val="DefaultParagraphFont"/>
    <w:link w:val="Heading1"/>
    <w:uiPriority w:val="9"/>
    <w:rsid w:val="004E7B5A"/>
    <w:rPr>
      <w:rFonts w:ascii="Arial Black" w:eastAsia="Times New Roman" w:hAnsi="Arial Black" w:cs="Times New Roman"/>
      <w:b/>
      <w:caps/>
      <w:sz w:val="32"/>
      <w:szCs w:val="20"/>
    </w:rPr>
  </w:style>
  <w:style w:type="character" w:customStyle="1" w:styleId="Heading2Char">
    <w:name w:val="Heading 2 Char"/>
    <w:basedOn w:val="DefaultParagraphFont"/>
    <w:link w:val="Heading2"/>
    <w:uiPriority w:val="9"/>
    <w:rsid w:val="004E7B5A"/>
    <w:rPr>
      <w:rFonts w:ascii="Arial Black" w:eastAsia="Times New Roman" w:hAnsi="Arial Black" w:cs="Times New Roman"/>
      <w:color w:val="000000" w:themeColor="text1"/>
      <w:sz w:val="28"/>
      <w:szCs w:val="20"/>
    </w:rPr>
  </w:style>
  <w:style w:type="character" w:customStyle="1" w:styleId="Heading3Char">
    <w:name w:val="Heading 3 Char"/>
    <w:basedOn w:val="DefaultParagraphFont"/>
    <w:link w:val="Heading3"/>
    <w:uiPriority w:val="9"/>
    <w:rsid w:val="004E7B5A"/>
    <w:rPr>
      <w:rFonts w:eastAsia="Times New Roman" w:asciiTheme="minorHAnsi" w:hAnsiTheme="minorHAnsi" w:cs="Times New Roman"/>
      <w:b/>
      <w:sz w:val="28"/>
      <w:szCs w:val="20"/>
    </w:rPr>
  </w:style>
  <w:style w:type="character" w:customStyle="1" w:styleId="Heading4Char">
    <w:name w:val="Heading 4 Char"/>
    <w:basedOn w:val="DefaultParagraphFont"/>
    <w:link w:val="Heading4"/>
    <w:uiPriority w:val="9"/>
    <w:rsid w:val="004E7B5A"/>
    <w:rPr>
      <w:rFonts w:eastAsia="Times New Roman" w:asciiTheme="minorHAnsi" w:hAnsiTheme="minorHAnsi" w:cs="Times New Roman"/>
      <w:b/>
      <w:color w:val="000000" w:themeColor="text1"/>
      <w:szCs w:val="20"/>
    </w:rPr>
  </w:style>
  <w:style w:type="character" w:customStyle="1" w:styleId="Heading5Char">
    <w:name w:val="Heading 5 Char"/>
    <w:aliases w:val="Heading 5 (business proposal only) Char,List Head Char"/>
    <w:basedOn w:val="DefaultParagraphFont"/>
    <w:link w:val="Heading5"/>
    <w:uiPriority w:val="9"/>
    <w:rsid w:val="004E7B5A"/>
    <w:rPr>
      <w:rFonts w:eastAsia="Times New Roman" w:asciiTheme="minorHAnsi" w:hAnsiTheme="minorHAnsi" w:cs="Times New Roman"/>
      <w:b/>
      <w:color w:val="000000" w:themeColor="text1"/>
      <w:szCs w:val="20"/>
      <w:u w:val="single"/>
    </w:rPr>
  </w:style>
  <w:style w:type="character" w:customStyle="1" w:styleId="Heading6Char">
    <w:name w:val="Heading 6 Char"/>
    <w:aliases w:val="Heading 6 (business proposal only) Char"/>
    <w:basedOn w:val="DefaultParagraphFont"/>
    <w:link w:val="Heading6"/>
    <w:uiPriority w:val="9"/>
    <w:rsid w:val="004E7B5A"/>
    <w:rPr>
      <w:rFonts w:eastAsia="Times New Roman" w:asciiTheme="minorHAnsi" w:hAnsiTheme="minorHAnsi" w:cs="Times New Roman"/>
      <w:szCs w:val="20"/>
    </w:rPr>
  </w:style>
  <w:style w:type="character" w:customStyle="1" w:styleId="Heading7Char">
    <w:name w:val="Heading 7 Char"/>
    <w:aliases w:val="Heading 7 (business proposal only) Char"/>
    <w:basedOn w:val="DefaultParagraphFont"/>
    <w:link w:val="Heading7"/>
    <w:uiPriority w:val="9"/>
    <w:semiHidden/>
    <w:rsid w:val="004E7B5A"/>
    <w:rPr>
      <w:rFonts w:eastAsia="Times New Roman" w:asciiTheme="minorHAnsi" w:hAnsiTheme="minorHAnsi" w:cs="Times New Roman"/>
      <w:szCs w:val="20"/>
    </w:rPr>
  </w:style>
  <w:style w:type="character" w:customStyle="1" w:styleId="Heading8Char">
    <w:name w:val="Heading 8 Char"/>
    <w:aliases w:val="Heading 8 (business proposal only) Char"/>
    <w:basedOn w:val="DefaultParagraphFont"/>
    <w:link w:val="Heading8"/>
    <w:uiPriority w:val="9"/>
    <w:semiHidden/>
    <w:rsid w:val="004E7B5A"/>
    <w:rPr>
      <w:rFonts w:eastAsia="Times New Roman" w:asciiTheme="minorHAnsi" w:hAnsiTheme="minorHAnsi" w:cs="Times New Roman"/>
      <w:szCs w:val="20"/>
    </w:rPr>
  </w:style>
  <w:style w:type="character" w:customStyle="1" w:styleId="Heading9Char">
    <w:name w:val="Heading 9 Char"/>
    <w:aliases w:val="Heading 9 (business proposal only) Char"/>
    <w:basedOn w:val="DefaultParagraphFont"/>
    <w:link w:val="Heading9"/>
    <w:uiPriority w:val="9"/>
    <w:semiHidden/>
    <w:rsid w:val="004E7B5A"/>
    <w:rPr>
      <w:rFonts w:eastAsia="Times New Roman" w:asciiTheme="minorHAnsi" w:hAnsiTheme="minorHAnsi" w:cs="Times New Roman"/>
      <w:szCs w:val="20"/>
    </w:rPr>
  </w:style>
  <w:style w:type="paragraph" w:customStyle="1" w:styleId="MarkforAppendixTitle">
    <w:name w:val="Mark for Appendix Title"/>
    <w:basedOn w:val="Normal"/>
    <w:next w:val="Normal"/>
    <w:qFormat/>
    <w:rsid w:val="00E24B52"/>
    <w:pPr>
      <w:spacing w:before="2640"/>
      <w:jc w:val="center"/>
      <w:outlineLvl w:val="1"/>
    </w:pPr>
    <w:rPr>
      <w:rFonts w:ascii="Arial Black" w:hAnsi="Arial Black"/>
      <w:caps/>
      <w:color w:val="166A83"/>
      <w:szCs w:val="24"/>
    </w:rPr>
  </w:style>
  <w:style w:type="paragraph" w:customStyle="1" w:styleId="MarkforAttachmentTitle">
    <w:name w:val="Mark for Attachment Title"/>
    <w:basedOn w:val="Normal"/>
    <w:next w:val="Normal"/>
    <w:qFormat/>
    <w:rsid w:val="00A23043"/>
    <w:pPr>
      <w:spacing w:before="2640"/>
      <w:jc w:val="center"/>
      <w:outlineLvl w:val="1"/>
    </w:pPr>
    <w:rPr>
      <w:rFonts w:ascii="Arial Black" w:hAnsi="Arial Black"/>
      <w:caps/>
      <w:sz w:val="22"/>
    </w:rPr>
  </w:style>
  <w:style w:type="paragraph" w:customStyle="1" w:styleId="EQRMarkforExhibitWORKSHEET">
    <w:name w:val="EQR Mark for Exhibit WORKSHEET"/>
    <w:basedOn w:val="EQRMarkforTableTitle"/>
    <w:next w:val="EQRNormalSS"/>
    <w:qFormat/>
    <w:rsid w:val="00F462C8"/>
    <w:pPr>
      <w:outlineLvl w:val="3"/>
    </w:pPr>
    <w:rPr>
      <w:color w:val="000000" w:themeColor="text1"/>
    </w:rPr>
  </w:style>
  <w:style w:type="paragraph" w:customStyle="1" w:styleId="EQRMarkforTableTitle">
    <w:name w:val="EQR Mark for Table Title"/>
    <w:basedOn w:val="Normal"/>
    <w:next w:val="EQRNormalSS"/>
    <w:qFormat/>
    <w:rsid w:val="00464869"/>
    <w:pPr>
      <w:keepNext/>
      <w:tabs>
        <w:tab w:val="left" w:pos="7785"/>
      </w:tabs>
      <w:spacing w:after="100" w:line="230" w:lineRule="exact"/>
    </w:pPr>
    <w:rPr>
      <w:rFonts w:ascii="Arial Black" w:eastAsia="Arial" w:hAnsi="Arial Black" w:cs="Arial"/>
      <w:color w:val="00559D"/>
      <w:sz w:val="19"/>
      <w:szCs w:val="19"/>
    </w:rPr>
  </w:style>
  <w:style w:type="paragraph" w:customStyle="1" w:styleId="EQRMarkforFigureTitle">
    <w:name w:val="EQR Mark for Figure Title"/>
    <w:basedOn w:val="Normal"/>
    <w:next w:val="EQRNormalSS"/>
    <w:qFormat/>
    <w:rsid w:val="00F138F8"/>
    <w:pPr>
      <w:keepNext/>
      <w:pBdr>
        <w:top w:val="single" w:sz="18" w:space="3" w:color="67C7C5"/>
        <w:bottom w:val="single" w:sz="8" w:space="3" w:color="67C7C5"/>
      </w:pBdr>
      <w:tabs>
        <w:tab w:val="left" w:pos="7785"/>
      </w:tabs>
      <w:spacing w:after="100" w:line="230" w:lineRule="exact"/>
    </w:pPr>
    <w:rPr>
      <w:rFonts w:ascii="Arial Black" w:eastAsia="Arial" w:hAnsi="Arial Black" w:cs="Arial"/>
      <w:sz w:val="19"/>
      <w:szCs w:val="19"/>
    </w:rPr>
  </w:style>
  <w:style w:type="paragraph" w:customStyle="1" w:styleId="EQRNormalSS">
    <w:name w:val="EQR NormalSS"/>
    <w:basedOn w:val="Normal"/>
    <w:link w:val="EQRNormalSSChar"/>
    <w:qFormat/>
    <w:rsid w:val="00911CC6"/>
    <w:pPr>
      <w:spacing w:line="280" w:lineRule="exact"/>
    </w:pPr>
    <w:rPr>
      <w:rFonts w:ascii="Arial" w:eastAsia="Calibri" w:hAnsi="Arial"/>
      <w:sz w:val="22"/>
      <w:szCs w:val="23"/>
    </w:rPr>
  </w:style>
  <w:style w:type="paragraph" w:customStyle="1" w:styleId="NumberedBullet">
    <w:name w:val="Numbered Bullet"/>
    <w:basedOn w:val="Normal"/>
    <w:link w:val="NumberedBulletChar"/>
    <w:qFormat/>
    <w:rsid w:val="00455D47"/>
    <w:pPr>
      <w:tabs>
        <w:tab w:val="left" w:pos="432"/>
      </w:tabs>
      <w:spacing w:after="120"/>
    </w:pPr>
  </w:style>
  <w:style w:type="paragraph" w:customStyle="1" w:styleId="References">
    <w:name w:val="References"/>
    <w:basedOn w:val="Normal"/>
    <w:qFormat/>
    <w:rsid w:val="004E7B5A"/>
    <w:pPr>
      <w:keepLines/>
      <w:spacing w:after="120"/>
      <w:ind w:left="432" w:hanging="432"/>
    </w:pPr>
  </w:style>
  <w:style w:type="paragraph" w:customStyle="1" w:styleId="EQRTableFootnoteCaption">
    <w:name w:val="EQR Table Footnote_Caption"/>
    <w:qFormat/>
    <w:rsid w:val="001C419E"/>
    <w:pPr>
      <w:tabs>
        <w:tab w:val="left" w:pos="1080"/>
      </w:tabs>
      <w:spacing w:before="60" w:after="0"/>
    </w:pPr>
    <w:rPr>
      <w:rFonts w:ascii="Arial" w:eastAsia="Times New Roman" w:hAnsi="Arial" w:cs="Times New Roman"/>
      <w:sz w:val="16"/>
      <w:szCs w:val="20"/>
    </w:rPr>
  </w:style>
  <w:style w:type="paragraph" w:styleId="TableofFigures">
    <w:name w:val="table of figures"/>
    <w:basedOn w:val="Normal"/>
    <w:next w:val="Normal"/>
    <w:uiPriority w:val="99"/>
    <w:unhideWhenUsed/>
    <w:qFormat/>
    <w:locked/>
    <w:rsid w:val="004E7B5A"/>
    <w:pPr>
      <w:tabs>
        <w:tab w:val="right" w:leader="dot" w:pos="9360"/>
      </w:tabs>
      <w:spacing w:after="180"/>
      <w:ind w:left="720" w:right="720" w:hanging="720"/>
    </w:pPr>
    <w:rPr>
      <w:rFonts w:ascii="Arial" w:hAnsi="Arial"/>
      <w:sz w:val="20"/>
    </w:rPr>
  </w:style>
  <w:style w:type="paragraph" w:customStyle="1" w:styleId="EQRTableText">
    <w:name w:val="EQR Table Text"/>
    <w:basedOn w:val="Normal"/>
    <w:qFormat/>
    <w:rsid w:val="00BC6734"/>
    <w:pPr>
      <w:spacing w:before="60" w:after="60"/>
    </w:pPr>
    <w:rPr>
      <w:rFonts w:ascii="Arial" w:hAnsi="Arial"/>
      <w:sz w:val="18"/>
    </w:rPr>
  </w:style>
  <w:style w:type="paragraph" w:customStyle="1" w:styleId="TableSourceCaption">
    <w:name w:val="Table Source_Caption"/>
    <w:qFormat/>
    <w:rsid w:val="003A454F"/>
    <w:pPr>
      <w:tabs>
        <w:tab w:val="left" w:pos="792"/>
      </w:tabs>
      <w:spacing w:before="60" w:after="0"/>
      <w:ind w:left="792" w:hanging="792"/>
    </w:pPr>
    <w:rPr>
      <w:rFonts w:ascii="Arial" w:eastAsia="Times New Roman" w:hAnsi="Arial" w:cs="Times New Roman"/>
      <w:sz w:val="16"/>
      <w:szCs w:val="20"/>
    </w:rPr>
  </w:style>
  <w:style w:type="paragraph" w:customStyle="1" w:styleId="TableSignificanceCaption">
    <w:name w:val="Table Significance_Caption"/>
    <w:basedOn w:val="EQRTableFootnoteCaption"/>
    <w:qFormat/>
    <w:rsid w:val="004934BE"/>
  </w:style>
  <w:style w:type="paragraph" w:styleId="TOC1">
    <w:name w:val="toc 1"/>
    <w:next w:val="TOC2"/>
    <w:uiPriority w:val="39"/>
    <w:qFormat/>
    <w:rsid w:val="004E7B5A"/>
    <w:pPr>
      <w:tabs>
        <w:tab w:val="right" w:leader="dot" w:pos="9360"/>
      </w:tabs>
      <w:spacing w:after="180" w:line="264" w:lineRule="auto"/>
      <w:ind w:left="432" w:right="720" w:hanging="432"/>
    </w:pPr>
    <w:rPr>
      <w:rFonts w:ascii="Arial" w:eastAsia="Times New Roman" w:hAnsi="Arial" w:cs="Times New Roman"/>
      <w:noProof/>
      <w:sz w:val="20"/>
      <w:szCs w:val="20"/>
    </w:rPr>
  </w:style>
  <w:style w:type="paragraph" w:styleId="TOC2">
    <w:name w:val="toc 2"/>
    <w:next w:val="Normal"/>
    <w:uiPriority w:val="39"/>
    <w:qFormat/>
    <w:rsid w:val="004E7B5A"/>
    <w:pPr>
      <w:tabs>
        <w:tab w:val="right" w:leader="dot" w:pos="9360"/>
      </w:tabs>
      <w:spacing w:after="180" w:line="264" w:lineRule="auto"/>
      <w:ind w:left="864" w:right="720" w:hanging="432"/>
    </w:pPr>
    <w:rPr>
      <w:rFonts w:ascii="Arial" w:eastAsia="Times New Roman" w:hAnsi="Arial" w:cs="Times New Roman"/>
      <w:noProof/>
      <w:sz w:val="20"/>
      <w:szCs w:val="20"/>
    </w:rPr>
  </w:style>
  <w:style w:type="paragraph" w:styleId="TOC3">
    <w:name w:val="toc 3"/>
    <w:basedOn w:val="TOC2"/>
    <w:uiPriority w:val="39"/>
    <w:qFormat/>
    <w:rsid w:val="004E7B5A"/>
    <w:pPr>
      <w:spacing w:after="120"/>
      <w:ind w:left="1296"/>
    </w:pPr>
  </w:style>
  <w:style w:type="paragraph" w:styleId="TOC4">
    <w:name w:val="toc 4"/>
    <w:basedOn w:val="TOC3"/>
    <w:next w:val="Normal"/>
    <w:uiPriority w:val="39"/>
    <w:qFormat/>
    <w:rsid w:val="004E7B5A"/>
    <w:pPr>
      <w:tabs>
        <w:tab w:val="left" w:pos="2160"/>
      </w:tabs>
      <w:ind w:left="1728"/>
    </w:pPr>
  </w:style>
  <w:style w:type="paragraph" w:styleId="TOC8">
    <w:name w:val="toc 8"/>
    <w:next w:val="Normal"/>
    <w:uiPriority w:val="39"/>
    <w:unhideWhenUsed/>
    <w:qFormat/>
    <w:rsid w:val="004E7B5A"/>
    <w:pPr>
      <w:tabs>
        <w:tab w:val="right" w:leader="dot" w:pos="9360"/>
      </w:tabs>
      <w:spacing w:after="180" w:line="264" w:lineRule="auto"/>
      <w:ind w:left="1354" w:right="720" w:hanging="1354"/>
    </w:pPr>
    <w:rPr>
      <w:rFonts w:ascii="Arial" w:eastAsia="Times New Roman" w:hAnsi="Arial" w:cs="Times New Roman"/>
      <w:sz w:val="20"/>
      <w:szCs w:val="20"/>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SS">
    <w:name w:val="Numbered Bullet (Last SS)"/>
    <w:basedOn w:val="Normal"/>
    <w:next w:val="EQRNormalSS"/>
    <w:qFormat/>
    <w:rsid w:val="003901CE"/>
    <w:pPr>
      <w:tabs>
        <w:tab w:val="left" w:pos="432"/>
      </w:tabs>
      <w:ind w:left="432" w:hanging="432"/>
    </w:pPr>
  </w:style>
  <w:style w:type="paragraph" w:customStyle="1" w:styleId="H2ChapterNoTOC">
    <w:name w:val="H2_Chapter No TOC"/>
    <w:basedOn w:val="H2Chapter"/>
    <w:qFormat/>
    <w:rsid w:val="005203CE"/>
  </w:style>
  <w:style w:type="paragraph" w:customStyle="1" w:styleId="H2Chapter">
    <w:name w:val="H2_Chapter"/>
    <w:next w:val="EQRNormalSS"/>
    <w:link w:val="H2ChapterChar"/>
    <w:qFormat/>
    <w:rsid w:val="00F83D8C"/>
    <w:pPr>
      <w:pBdr>
        <w:bottom w:val="single" w:sz="2" w:space="1" w:color="166A83"/>
      </w:pBdr>
      <w:outlineLvl w:val="1"/>
    </w:pPr>
    <w:rPr>
      <w:rFonts w:ascii="Arial Black" w:eastAsia="Times New Roman" w:hAnsi="Arial Black" w:cs="Times New Roman"/>
      <w:caps/>
      <w:color w:val="166A83"/>
      <w:szCs w:val="20"/>
    </w:rPr>
  </w:style>
  <w:style w:type="paragraph" w:customStyle="1" w:styleId="EQRH3Alpha">
    <w:name w:val="EQR H3_Alpha"/>
    <w:next w:val="EQRNormalSS"/>
    <w:link w:val="EQRH3AlphaChar"/>
    <w:qFormat/>
    <w:rsid w:val="00183BA7"/>
    <w:pPr>
      <w:keepNext/>
      <w:spacing w:before="360" w:after="120"/>
      <w:ind w:left="432" w:hanging="432"/>
      <w:outlineLvl w:val="2"/>
    </w:pPr>
    <w:rPr>
      <w:rFonts w:ascii="Arial Black" w:eastAsia="Times New Roman" w:hAnsi="Arial Black" w:cs="Times New Roman"/>
      <w:caps/>
      <w:color w:val="00828C"/>
      <w:szCs w:val="20"/>
    </w:rPr>
  </w:style>
  <w:style w:type="character" w:customStyle="1" w:styleId="H2ChapterChar">
    <w:name w:val="H2_Chapter Char"/>
    <w:basedOn w:val="Heading1Char"/>
    <w:link w:val="H2Chapter"/>
    <w:rsid w:val="00F83D8C"/>
    <w:rPr>
      <w:rFonts w:ascii="Arial Black" w:eastAsia="Times New Roman" w:hAnsi="Arial Black" w:cs="Times New Roman"/>
      <w:b/>
      <w:caps/>
      <w:color w:val="166A83"/>
      <w:sz w:val="16"/>
      <w:szCs w:val="20"/>
    </w:rPr>
  </w:style>
  <w:style w:type="paragraph" w:customStyle="1" w:styleId="EQRH3AlphaNoTOC">
    <w:name w:val="EQR H3_Alpha_No TOC"/>
    <w:basedOn w:val="EQRH3Alpha"/>
    <w:next w:val="EQRNormalSS"/>
    <w:link w:val="EQRH3AlphaNoTOCChar"/>
    <w:qFormat/>
    <w:rsid w:val="00F11BD9"/>
    <w:pPr>
      <w:keepNext w:val="0"/>
      <w:ind w:left="0" w:firstLine="0"/>
    </w:pPr>
    <w:rPr>
      <w:szCs w:val="24"/>
    </w:rPr>
  </w:style>
  <w:style w:type="character" w:customStyle="1" w:styleId="EQRH3AlphaChar">
    <w:name w:val="EQR H3_Alpha Char"/>
    <w:basedOn w:val="Heading2Char"/>
    <w:link w:val="EQRH3Alpha"/>
    <w:rsid w:val="00183BA7"/>
    <w:rPr>
      <w:rFonts w:ascii="Arial Black" w:eastAsia="Times New Roman" w:hAnsi="Arial Black" w:cs="Times New Roman"/>
      <w:caps w:val="0"/>
      <w:color w:val="00828C"/>
      <w:sz w:val="16"/>
      <w:szCs w:val="20"/>
    </w:rPr>
  </w:style>
  <w:style w:type="paragraph" w:customStyle="1" w:styleId="EQRH4Number">
    <w:name w:val="EQR H4_Number"/>
    <w:next w:val="EQRNormalSS"/>
    <w:link w:val="EQRH4NumberChar"/>
    <w:qFormat/>
    <w:rsid w:val="00C76D3C"/>
    <w:pPr>
      <w:keepNext/>
      <w:spacing w:before="120" w:after="120"/>
      <w:outlineLvl w:val="3"/>
    </w:pPr>
    <w:rPr>
      <w:rFonts w:ascii="Arial Black" w:eastAsia="Times New Roman" w:hAnsi="Arial Black" w:cs="Times New Roman"/>
      <w:b/>
      <w:sz w:val="19"/>
      <w:szCs w:val="20"/>
    </w:rPr>
  </w:style>
  <w:style w:type="character" w:customStyle="1" w:styleId="EQRH3AlphaNoTOCChar">
    <w:name w:val="EQR H3_Alpha_No TOC Char"/>
    <w:basedOn w:val="EQRH3AlphaChar"/>
    <w:link w:val="EQRH3AlphaNoTOC"/>
    <w:rsid w:val="00F11BD9"/>
    <w:rPr>
      <w:rFonts w:ascii="Arial Black" w:eastAsia="Times New Roman" w:hAnsi="Arial Black" w:cs="Times New Roman"/>
      <w:caps w:val="0"/>
      <w:color w:val="00828C"/>
      <w:sz w:val="16"/>
      <w:szCs w:val="20"/>
    </w:rPr>
  </w:style>
  <w:style w:type="paragraph" w:customStyle="1" w:styleId="EQRH4NumberNoTOC">
    <w:name w:val="EQR H4_Number_No TOC"/>
    <w:basedOn w:val="EQRH4Number"/>
    <w:next w:val="EQRNormalSS"/>
    <w:link w:val="EQRH4NumberNoTOCChar"/>
    <w:qFormat/>
    <w:rsid w:val="00C4143F"/>
  </w:style>
  <w:style w:type="character" w:customStyle="1" w:styleId="EQRH4NumberChar">
    <w:name w:val="EQR H4_Number Char"/>
    <w:basedOn w:val="Heading3Char"/>
    <w:link w:val="EQRH4Number"/>
    <w:rsid w:val="00C76D3C"/>
    <w:rPr>
      <w:rFonts w:ascii="Arial Black" w:eastAsia="Times New Roman" w:hAnsi="Arial Black" w:cs="Times New Roman"/>
      <w:b w:val="0"/>
      <w:sz w:val="19"/>
      <w:szCs w:val="20"/>
    </w:rPr>
  </w:style>
  <w:style w:type="paragraph" w:customStyle="1" w:styleId="H5Lower">
    <w:name w:val="H5_Lower"/>
    <w:basedOn w:val="Heading4"/>
    <w:next w:val="EQRNormalSS"/>
    <w:link w:val="H5LowerChar"/>
    <w:qFormat/>
    <w:rsid w:val="000F5666"/>
    <w:pPr>
      <w:ind w:left="0" w:firstLine="0"/>
      <w:outlineLvl w:val="4"/>
    </w:pPr>
    <w:rPr>
      <w:rFonts w:ascii="Times New Roman" w:hAnsi="Times New Roman"/>
    </w:rPr>
  </w:style>
  <w:style w:type="character" w:customStyle="1" w:styleId="EQRH4NumberNoTOCChar">
    <w:name w:val="EQR H4_Number_No TOC Char"/>
    <w:basedOn w:val="EQRH4NumberChar"/>
    <w:link w:val="EQRH4NumberNoTOC"/>
    <w:rsid w:val="00C4143F"/>
    <w:rPr>
      <w:rFonts w:eastAsia="Times New Roman" w:asciiTheme="majorHAnsi" w:hAnsiTheme="majorHAnsi" w:cs="Times New Roman"/>
      <w:b w:val="0"/>
      <w:sz w:val="16"/>
      <w:szCs w:val="20"/>
    </w:rPr>
  </w:style>
  <w:style w:type="character" w:customStyle="1" w:styleId="H5LowerChar">
    <w:name w:val="H5_Lower Char"/>
    <w:basedOn w:val="Heading4Char"/>
    <w:link w:val="H5Lower"/>
    <w:rsid w:val="000F5666"/>
    <w:rPr>
      <w:rFonts w:eastAsia="Times New Roman" w:asciiTheme="minorHAnsi" w:hAnsiTheme="minorHAnsi" w:cs="Times New Roman"/>
      <w:b/>
      <w:color w:val="000000" w:themeColor="text1"/>
      <w:szCs w:val="20"/>
    </w:rPr>
  </w:style>
  <w:style w:type="paragraph" w:customStyle="1" w:styleId="AppendixHeading1">
    <w:name w:val="Appendix Heading 1"/>
    <w:basedOn w:val="Heading1"/>
    <w:next w:val="EQRNormalSS"/>
    <w:rsid w:val="00F735B4"/>
    <w:pPr>
      <w:spacing w:before="0"/>
      <w:jc w:val="center"/>
      <w:outlineLvl w:val="2"/>
    </w:pPr>
    <w:rPr>
      <w:szCs w:val="22"/>
    </w:rPr>
  </w:style>
  <w:style w:type="paragraph" w:customStyle="1" w:styleId="AppendixHeadingLevel2">
    <w:name w:val="Appendix Heading Level 2"/>
    <w:basedOn w:val="Normal"/>
    <w:next w:val="EQRNormalSS"/>
    <w:qFormat/>
    <w:rsid w:val="00F735B4"/>
    <w:pPr>
      <w:keepNext/>
      <w:pBdr>
        <w:bottom w:val="single" w:sz="2" w:space="1" w:color="auto"/>
      </w:pBdr>
      <w:tabs>
        <w:tab w:val="left" w:pos="432"/>
      </w:tabs>
      <w:spacing w:before="240"/>
      <w:jc w:val="center"/>
      <w:outlineLvl w:val="3"/>
    </w:pPr>
    <w:rPr>
      <w:rFonts w:ascii="Arial Black" w:hAnsi="Arial Black"/>
      <w:caps/>
      <w:sz w:val="20"/>
    </w:rPr>
  </w:style>
  <w:style w:type="character" w:styleId="Hyperlink">
    <w:name w:val="Hyperlink"/>
    <w:basedOn w:val="DefaultParagraphFont"/>
    <w:uiPriority w:val="99"/>
    <w:qFormat/>
    <w:rsid w:val="006847EB"/>
    <w:rPr>
      <w:color w:val="006068" w:themeColor="accent1" w:themeShade="BF"/>
      <w:u w:val="single"/>
    </w:rPr>
  </w:style>
  <w:style w:type="paragraph" w:customStyle="1" w:styleId="DashLAST">
    <w:name w:val="Dash (LAST)"/>
    <w:basedOn w:val="Dash"/>
    <w:next w:val="Normal"/>
    <w:qFormat/>
    <w:rsid w:val="00F735B4"/>
  </w:style>
  <w:style w:type="paragraph" w:customStyle="1" w:styleId="EQRFigure">
    <w:name w:val="EQR Figure"/>
    <w:basedOn w:val="Normal"/>
    <w:rsid w:val="00C620B8"/>
    <w:rPr>
      <w:rFonts w:eastAsiaTheme="minorHAnsi"/>
      <w:noProof/>
      <w:sz w:val="20"/>
    </w:rPr>
  </w:style>
  <w:style w:type="paragraph" w:styleId="Revision">
    <w:name w:val="Revision"/>
    <w:hidden/>
    <w:uiPriority w:val="99"/>
    <w:semiHidden/>
    <w:rsid w:val="004E7B5A"/>
    <w:pPr>
      <w:spacing w:after="0"/>
    </w:pPr>
    <w:rPr>
      <w:rFonts w:eastAsia="Times New Roman" w:asciiTheme="minorHAnsi" w:hAnsiTheme="minorHAnsi" w:cs="Times New Roman"/>
      <w:szCs w:val="20"/>
    </w:rPr>
  </w:style>
  <w:style w:type="paragraph" w:styleId="TOC5">
    <w:name w:val="toc 5"/>
    <w:basedOn w:val="Normal"/>
    <w:next w:val="Normal"/>
    <w:autoRedefine/>
    <w:uiPriority w:val="39"/>
    <w:rsid w:val="004E7B5A"/>
    <w:pPr>
      <w:spacing w:after="100"/>
      <w:ind w:left="960"/>
    </w:pPr>
  </w:style>
  <w:style w:type="paragraph" w:styleId="TOC6">
    <w:name w:val="toc 6"/>
    <w:basedOn w:val="Normal"/>
    <w:next w:val="Normal"/>
    <w:autoRedefine/>
    <w:uiPriority w:val="39"/>
    <w:rsid w:val="004E7B5A"/>
    <w:pPr>
      <w:spacing w:after="100"/>
      <w:ind w:left="1200"/>
    </w:pPr>
  </w:style>
  <w:style w:type="paragraph" w:styleId="TOC7">
    <w:name w:val="toc 7"/>
    <w:basedOn w:val="Normal"/>
    <w:next w:val="Normal"/>
    <w:autoRedefine/>
    <w:uiPriority w:val="39"/>
    <w:rsid w:val="004E7B5A"/>
    <w:pPr>
      <w:spacing w:after="100"/>
      <w:ind w:left="1440"/>
    </w:pPr>
  </w:style>
  <w:style w:type="paragraph" w:styleId="TOC9">
    <w:name w:val="toc 9"/>
    <w:basedOn w:val="Normal"/>
    <w:next w:val="Normal"/>
    <w:uiPriority w:val="39"/>
    <w:rsid w:val="004E7B5A"/>
    <w:pPr>
      <w:spacing w:after="180"/>
      <w:ind w:left="720" w:right="720" w:hanging="720"/>
    </w:pPr>
    <w:rPr>
      <w:rFonts w:asciiTheme="majorHAnsi" w:hAnsiTheme="majorHAnsi"/>
      <w:sz w:val="20"/>
    </w:rPr>
  </w:style>
  <w:style w:type="paragraph" w:customStyle="1" w:styleId="NormalSScontinued">
    <w:name w:val="NormalSS (continued)"/>
    <w:basedOn w:val="EQRNormalSS"/>
    <w:next w:val="EQRNormalSS"/>
    <w:unhideWhenUsed/>
    <w:qFormat/>
    <w:rsid w:val="00C85D38"/>
  </w:style>
  <w:style w:type="paragraph" w:customStyle="1" w:styleId="Default">
    <w:name w:val="Default"/>
    <w:rsid w:val="00C85D38"/>
    <w:pPr>
      <w:autoSpaceDE w:val="0"/>
      <w:autoSpaceDN w:val="0"/>
      <w:adjustRightInd w:val="0"/>
      <w:spacing w:after="0"/>
    </w:pPr>
    <w:rPr>
      <w:rFonts w:ascii="Arial" w:hAnsi="Arial" w:cs="Arial"/>
      <w:color w:val="000000"/>
    </w:rPr>
  </w:style>
  <w:style w:type="character" w:styleId="CommentReference">
    <w:name w:val="annotation reference"/>
    <w:basedOn w:val="DefaultParagraphFont"/>
    <w:uiPriority w:val="99"/>
    <w:unhideWhenUsed/>
    <w:rsid w:val="004E7B5A"/>
    <w:rPr>
      <w:rFonts w:asciiTheme="minorHAnsi" w:hAnsiTheme="minorHAnsi"/>
      <w:sz w:val="16"/>
      <w:szCs w:val="16"/>
    </w:rPr>
  </w:style>
  <w:style w:type="paragraph" w:styleId="CommentText">
    <w:name w:val="annotation text"/>
    <w:basedOn w:val="Normal"/>
    <w:link w:val="CommentTextChar"/>
    <w:uiPriority w:val="99"/>
    <w:unhideWhenUsed/>
    <w:rsid w:val="004E7B5A"/>
    <w:rPr>
      <w:sz w:val="20"/>
    </w:rPr>
  </w:style>
  <w:style w:type="character" w:customStyle="1" w:styleId="CommentTextChar">
    <w:name w:val="Comment Text Char"/>
    <w:basedOn w:val="DefaultParagraphFont"/>
    <w:link w:val="CommentText"/>
    <w:uiPriority w:val="99"/>
    <w:rsid w:val="004E7B5A"/>
    <w:rPr>
      <w:rFonts w:eastAsia="Times New Roman" w:asciiTheme="minorHAnsi" w:hAnsiTheme="minorHAnsi" w:cs="Times New Roman"/>
      <w:sz w:val="20"/>
      <w:szCs w:val="20"/>
    </w:rPr>
  </w:style>
  <w:style w:type="paragraph" w:customStyle="1" w:styleId="Heading2NoTOC">
    <w:name w:val="Heading 2_No TOC"/>
    <w:basedOn w:val="Heading2"/>
    <w:next w:val="EQRNormalSS"/>
    <w:qFormat/>
    <w:rsid w:val="00C85D38"/>
    <w:pPr>
      <w:spacing w:before="360"/>
      <w:outlineLvl w:val="2"/>
    </w:pPr>
    <w:rPr>
      <w:rFonts w:eastAsia="Calibri"/>
      <w:caps/>
      <w:color w:val="166A83"/>
      <w:sz w:val="24"/>
    </w:rPr>
  </w:style>
  <w:style w:type="paragraph" w:styleId="BalloonText">
    <w:name w:val="Balloon Text"/>
    <w:basedOn w:val="Normal"/>
    <w:link w:val="BalloonTextChar"/>
    <w:uiPriority w:val="99"/>
    <w:unhideWhenUsed/>
    <w:rsid w:val="004E7B5A"/>
    <w:rPr>
      <w:rFonts w:ascii="Tahoma" w:hAnsi="Tahoma" w:cs="Tahoma"/>
      <w:sz w:val="16"/>
      <w:szCs w:val="16"/>
    </w:rPr>
  </w:style>
  <w:style w:type="character" w:customStyle="1" w:styleId="BalloonTextChar">
    <w:name w:val="Balloon Text Char"/>
    <w:basedOn w:val="DefaultParagraphFont"/>
    <w:link w:val="BalloonText"/>
    <w:uiPriority w:val="99"/>
    <w:rsid w:val="004E7B5A"/>
    <w:rPr>
      <w:rFonts w:ascii="Tahoma" w:eastAsia="Times New Roman" w:hAnsi="Tahoma" w:cs="Tahoma"/>
      <w:sz w:val="16"/>
      <w:szCs w:val="16"/>
    </w:rPr>
  </w:style>
  <w:style w:type="paragraph" w:customStyle="1" w:styleId="AcknowledgmentnoTOC">
    <w:name w:val="Acknowledgment no TOC"/>
    <w:basedOn w:val="Normal"/>
    <w:next w:val="Normal"/>
    <w:qFormat/>
    <w:rsid w:val="00672270"/>
    <w:pPr>
      <w:pBdr>
        <w:bottom w:val="single" w:sz="2" w:space="1" w:color="auto"/>
      </w:pBdr>
      <w:spacing w:before="240"/>
      <w:outlineLvl w:val="8"/>
    </w:pPr>
    <w:rPr>
      <w:rFonts w:ascii="Arial Black" w:hAnsi="Arial Black"/>
      <w:caps/>
      <w:sz w:val="22"/>
    </w:rPr>
  </w:style>
  <w:style w:type="paragraph" w:customStyle="1" w:styleId="DashLASTDS">
    <w:name w:val="Dash (LAST DS)"/>
    <w:basedOn w:val="Dash"/>
    <w:next w:val="Normal"/>
    <w:qFormat/>
    <w:rsid w:val="00672270"/>
    <w:pPr>
      <w:numPr>
        <w:numId w:val="0"/>
      </w:numPr>
      <w:tabs>
        <w:tab w:val="num" w:pos="1440"/>
      </w:tabs>
      <w:spacing w:after="320"/>
      <w:ind w:left="1440" w:hanging="360"/>
    </w:pPr>
    <w:rPr>
      <w:szCs w:val="24"/>
    </w:rPr>
  </w:style>
  <w:style w:type="paragraph" w:customStyle="1" w:styleId="DashLASTSS">
    <w:name w:val="Dash (LAST SS)"/>
    <w:basedOn w:val="Dash"/>
    <w:next w:val="Normal"/>
    <w:qFormat/>
    <w:rsid w:val="00672270"/>
    <w:pPr>
      <w:numPr>
        <w:numId w:val="6"/>
      </w:numPr>
      <w:spacing w:after="240"/>
    </w:pPr>
  </w:style>
  <w:style w:type="character" w:styleId="EndnoteReference">
    <w:name w:val="endnote reference"/>
    <w:basedOn w:val="DefaultParagraphFont"/>
    <w:uiPriority w:val="99"/>
    <w:semiHidden/>
    <w:unhideWhenUsed/>
    <w:rsid w:val="004E7B5A"/>
    <w:rPr>
      <w:vertAlign w:val="superscript"/>
    </w:rPr>
  </w:style>
  <w:style w:type="paragraph" w:styleId="EndnoteText">
    <w:name w:val="endnote text"/>
    <w:basedOn w:val="Normal"/>
    <w:link w:val="EndnoteTextChar"/>
    <w:uiPriority w:val="99"/>
    <w:semiHidden/>
    <w:unhideWhenUsed/>
    <w:rsid w:val="004E7B5A"/>
    <w:pPr>
      <w:tabs>
        <w:tab w:val="left" w:pos="216"/>
      </w:tabs>
      <w:spacing w:after="80"/>
      <w:ind w:left="216" w:hanging="216"/>
    </w:pPr>
    <w:rPr>
      <w:sz w:val="20"/>
    </w:rPr>
  </w:style>
  <w:style w:type="character" w:customStyle="1" w:styleId="EndnoteTextChar">
    <w:name w:val="Endnote Text Char"/>
    <w:basedOn w:val="DefaultParagraphFont"/>
    <w:link w:val="EndnoteText"/>
    <w:uiPriority w:val="99"/>
    <w:semiHidden/>
    <w:rsid w:val="004E7B5A"/>
    <w:rPr>
      <w:rFonts w:eastAsia="Times New Roman" w:asciiTheme="minorHAnsi" w:hAnsiTheme="minorHAnsi" w:cs="Times New Roman"/>
      <w:sz w:val="20"/>
      <w:szCs w:val="20"/>
    </w:rPr>
  </w:style>
  <w:style w:type="paragraph" w:customStyle="1" w:styleId="H1Title">
    <w:name w:val="H1_Title"/>
    <w:basedOn w:val="Normal"/>
    <w:next w:val="Normal"/>
    <w:link w:val="H1TitleChar"/>
    <w:qFormat/>
    <w:rsid w:val="00672270"/>
    <w:pPr>
      <w:spacing w:after="184" w:line="440" w:lineRule="exact"/>
      <w:outlineLvl w:val="0"/>
    </w:pPr>
    <w:rPr>
      <w:rFonts w:ascii="Arial Black" w:hAnsi="Arial Black"/>
      <w:color w:val="E70033"/>
      <w:sz w:val="37"/>
    </w:rPr>
  </w:style>
  <w:style w:type="character" w:customStyle="1" w:styleId="H1TitleChar">
    <w:name w:val="H1_Title Char"/>
    <w:basedOn w:val="DefaultParagraphFont"/>
    <w:link w:val="H1Title"/>
    <w:rsid w:val="00672270"/>
    <w:rPr>
      <w:rFonts w:ascii="Arial Black" w:eastAsia="Times New Roman" w:hAnsi="Arial Black" w:cs="Times New Roman"/>
      <w:color w:val="E70033"/>
      <w:sz w:val="37"/>
      <w:szCs w:val="20"/>
    </w:rPr>
  </w:style>
  <w:style w:type="paragraph" w:styleId="ListParagraph">
    <w:name w:val="List Paragraph"/>
    <w:basedOn w:val="Normal"/>
    <w:uiPriority w:val="34"/>
    <w:qFormat/>
    <w:rsid w:val="004E7B5A"/>
    <w:pPr>
      <w:spacing w:before="240" w:after="60"/>
      <w:ind w:left="1260" w:hanging="1260"/>
    </w:pPr>
  </w:style>
  <w:style w:type="table" w:customStyle="1" w:styleId="MPRBaseTable">
    <w:name w:val="MPR Base Table"/>
    <w:basedOn w:val="TableNormal"/>
    <w:uiPriority w:val="99"/>
    <w:rsid w:val="004E7B5A"/>
    <w:pPr>
      <w:textboxTightWrap w:val="allLines"/>
      <w:spacing w:before="40" w:after="20"/>
    </w:pPr>
    <w:rPr>
      <w:rFonts w:ascii="Arial" w:hAnsi="Arial"/>
      <w:sz w:val="18"/>
    </w:rPr>
    <w:tblPr>
      <w:tblStyleRowBandSize w:val="1"/>
      <w:tblBorders>
        <w:top w:val="single" w:sz="4" w:space="0" w:color="00559D" w:themeColor="text2"/>
        <w:left w:val="single" w:sz="4" w:space="0" w:color="00559D" w:themeColor="text2"/>
        <w:bottom w:val="single" w:sz="4" w:space="0" w:color="00559D" w:themeColor="text2"/>
        <w:right w:val="single" w:sz="4" w:space="0" w:color="00559D" w:themeColor="text2"/>
        <w:insideH w:val="single" w:sz="4" w:space="0" w:color="00559D" w:themeColor="text2"/>
        <w:insideV w:val="single" w:sz="4" w:space="0" w:color="00559D" w:themeColor="text2"/>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rPr>
      <w:tblPr/>
      <w:tcPr>
        <w:shd w:val="clear" w:color="auto" w:fill="00828C" w:themeFill="accent1"/>
      </w:tcPr>
    </w:tblStylePr>
    <w:tblStylePr w:type="lastRow">
      <w:pPr>
        <w:jc w:val="left"/>
      </w:pPr>
      <w:rPr>
        <w:b w:val="0"/>
        <w:color w:val="FFFFFF" w:themeColor="background1"/>
      </w:rPr>
      <w:tblPr/>
      <w:tcPr>
        <w:shd w:val="clear" w:color="auto" w:fill="00828C" w:themeFill="accent1"/>
      </w:tcPr>
    </w:tblStylePr>
    <w:tblStylePr w:type="firstCol">
      <w:pPr>
        <w:wordWrap/>
        <w:spacing w:beforeLines="0" w:beforeAutospacing="0" w:afterLines="0" w:afterAutospacing="0"/>
        <w:contextualSpacing/>
        <w:jc w:val="left"/>
      </w:pPr>
      <w:rPr>
        <w:color w:val="000000" w:themeColor="text1"/>
      </w:rPr>
      <w:tblPr/>
      <w:tcPr>
        <w:shd w:val="clear" w:color="auto" w:fill="5D518A" w:themeFill="accent5"/>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5D518A" w:themeFill="accent5"/>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val="0"/>
        <w:i w:val="0"/>
        <w:caps w:val="0"/>
        <w:smallCaps w:val="0"/>
        <w:strike w:val="0"/>
        <w:dstrike w:val="0"/>
        <w:vanish w:val="0"/>
        <w:color w:val="FFFFFF" w:themeColor="background1"/>
        <w:sz w:val="18"/>
        <w:u w:val="none"/>
        <w:vertAlign w:val="baseline"/>
      </w:rPr>
      <w:tblPr/>
      <w:tcPr>
        <w:shd w:val="clear" w:color="auto" w:fill="00828C" w:themeFill="accent1"/>
      </w:tcPr>
    </w:tblStylePr>
    <w:tblStylePr w:type="seCell">
      <w:pPr>
        <w:jc w:val="left"/>
      </w:pPr>
      <w:tblPr/>
      <w:tcPr>
        <w:vAlign w:val="center"/>
      </w:tcPr>
    </w:tblStylePr>
  </w:style>
  <w:style w:type="paragraph" w:customStyle="1" w:styleId="Normalcontinued">
    <w:name w:val="Normal (continued)"/>
    <w:basedOn w:val="Normal"/>
    <w:next w:val="Normal"/>
    <w:unhideWhenUsed/>
    <w:qFormat/>
    <w:rsid w:val="004E7B5A"/>
  </w:style>
  <w:style w:type="paragraph" w:customStyle="1" w:styleId="NumberedBulletLastDS">
    <w:name w:val="Numbered Bullet (Last DS)"/>
    <w:basedOn w:val="NumberedBullet"/>
    <w:next w:val="Normal"/>
    <w:qFormat/>
    <w:rsid w:val="00672270"/>
    <w:pPr>
      <w:numPr>
        <w:numId w:val="8"/>
      </w:numPr>
      <w:spacing w:after="320"/>
      <w:ind w:left="432" w:hanging="432"/>
    </w:pPr>
  </w:style>
  <w:style w:type="paragraph" w:customStyle="1" w:styleId="NumberedBulletLASTSS0">
    <w:name w:val="Numbered Bullet (LAST SS)"/>
    <w:basedOn w:val="NumberedBullet"/>
    <w:next w:val="Normal"/>
    <w:qFormat/>
    <w:rsid w:val="00672270"/>
    <w:pPr>
      <w:spacing w:after="240"/>
    </w:pPr>
  </w:style>
  <w:style w:type="paragraph" w:customStyle="1" w:styleId="Outline">
    <w:name w:val="Outline"/>
    <w:basedOn w:val="Normal"/>
    <w:next w:val="Paragraph0"/>
    <w:semiHidden/>
    <w:unhideWhenUsed/>
    <w:qFormat/>
    <w:rsid w:val="004E7B5A"/>
    <w:pPr>
      <w:keepNext/>
      <w:pageBreakBefore/>
      <w:numPr>
        <w:numId w:val="32"/>
      </w:numPr>
      <w:tabs>
        <w:tab w:val="left" w:pos="432"/>
      </w:tabs>
      <w:spacing w:before="240" w:line="400" w:lineRule="exact"/>
      <w:outlineLvl w:val="1"/>
    </w:pPr>
    <w:rPr>
      <w:rFonts w:asciiTheme="majorHAnsi" w:hAnsiTheme="majorHAnsi"/>
      <w:b/>
      <w:caps/>
      <w:color w:val="00559D" w:themeColor="text2"/>
      <w:sz w:val="32"/>
    </w:rPr>
  </w:style>
  <w:style w:type="paragraph" w:customStyle="1" w:styleId="EQRTableHeaderLeft">
    <w:name w:val="EQR Table Header Left"/>
    <w:basedOn w:val="EQRTableText"/>
    <w:next w:val="EQRTableText"/>
    <w:qFormat/>
    <w:rsid w:val="00B27133"/>
    <w:rPr>
      <w:b/>
      <w:color w:val="FFFFFF" w:themeColor="background1"/>
    </w:rPr>
  </w:style>
  <w:style w:type="paragraph" w:customStyle="1" w:styleId="EQRTableHeaderCenter">
    <w:name w:val="EQR Table Header Center"/>
    <w:basedOn w:val="EQRTableHeaderLeft"/>
    <w:qFormat/>
    <w:rsid w:val="00672270"/>
    <w:pPr>
      <w:jc w:val="center"/>
    </w:pPr>
  </w:style>
  <w:style w:type="paragraph" w:customStyle="1" w:styleId="Tabletext8">
    <w:name w:val="Table text 8"/>
    <w:basedOn w:val="EQRTableText"/>
    <w:qFormat/>
    <w:rsid w:val="00672270"/>
    <w:rPr>
      <w:snapToGrid w:val="0"/>
      <w:sz w:val="16"/>
      <w:szCs w:val="16"/>
    </w:rPr>
  </w:style>
  <w:style w:type="paragraph" w:customStyle="1" w:styleId="TableSpace">
    <w:name w:val="TableSpace"/>
    <w:basedOn w:val="ExhibitSource"/>
    <w:next w:val="TableFootnote"/>
    <w:semiHidden/>
    <w:qFormat/>
    <w:rsid w:val="004E7B5A"/>
  </w:style>
  <w:style w:type="paragraph" w:customStyle="1" w:styleId="Center">
    <w:name w:val="Center"/>
    <w:basedOn w:val="Normal"/>
    <w:semiHidden/>
    <w:unhideWhenUsed/>
    <w:rsid w:val="004E7B5A"/>
    <w:pPr>
      <w:jc w:val="center"/>
    </w:pPr>
  </w:style>
  <w:style w:type="paragraph" w:styleId="DocumentMap">
    <w:name w:val="Document Map"/>
    <w:basedOn w:val="Normal"/>
    <w:link w:val="DocumentMapChar"/>
    <w:semiHidden/>
    <w:unhideWhenUsed/>
    <w:rsid w:val="004E7B5A"/>
    <w:rPr>
      <w:rFonts w:asciiTheme="majorHAnsi" w:hAnsiTheme="majorHAnsi"/>
    </w:rPr>
  </w:style>
  <w:style w:type="character" w:customStyle="1" w:styleId="DocumentMapChar">
    <w:name w:val="Document Map Char"/>
    <w:basedOn w:val="DefaultParagraphFont"/>
    <w:link w:val="DocumentMap"/>
    <w:semiHidden/>
    <w:rsid w:val="004E7B5A"/>
    <w:rPr>
      <w:rFonts w:eastAsia="Times New Roman" w:asciiTheme="majorHAnsi" w:hAnsiTheme="majorHAnsi" w:cs="Times New Roman"/>
      <w:szCs w:val="20"/>
    </w:rPr>
  </w:style>
  <w:style w:type="paragraph" w:customStyle="1" w:styleId="Heading3NoTOC">
    <w:name w:val="Heading 3_No TOC"/>
    <w:basedOn w:val="Normal"/>
    <w:next w:val="EQRNormalSS"/>
    <w:semiHidden/>
    <w:qFormat/>
    <w:rsid w:val="00FE6091"/>
    <w:pPr>
      <w:keepNext/>
      <w:spacing w:after="120"/>
      <w:ind w:left="432" w:hanging="432"/>
    </w:pPr>
    <w:rPr>
      <w:rFonts w:ascii="Arial Black" w:hAnsi="Arial Black"/>
      <w:sz w:val="22"/>
    </w:rPr>
  </w:style>
  <w:style w:type="paragraph" w:customStyle="1" w:styleId="Heading4NoTOC">
    <w:name w:val="Heading 4_No TOC"/>
    <w:basedOn w:val="Heading4"/>
    <w:next w:val="EQRNormalSS"/>
    <w:semiHidden/>
    <w:qFormat/>
    <w:rsid w:val="00FE6091"/>
    <w:pPr>
      <w:tabs>
        <w:tab w:val="clear" w:pos="432"/>
      </w:tabs>
      <w:outlineLvl w:val="9"/>
    </w:pPr>
    <w:rPr>
      <w:rFonts w:ascii="Times New Roman" w:hAnsi="Times New Roman"/>
    </w:rPr>
  </w:style>
  <w:style w:type="numbering" w:customStyle="1" w:styleId="MPROutline">
    <w:name w:val="MPROutline"/>
    <w:uiPriority w:val="99"/>
    <w:locked/>
    <w:rsid w:val="004E7B5A"/>
    <w:pPr>
      <w:numPr>
        <w:numId w:val="7"/>
      </w:numPr>
    </w:pPr>
  </w:style>
  <w:style w:type="table" w:styleId="LightList">
    <w:name w:val="Light List"/>
    <w:basedOn w:val="TableNormal"/>
    <w:uiPriority w:val="61"/>
    <w:locked/>
    <w:rsid w:val="004E7B5A"/>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39"/>
    <w:locked/>
    <w:rsid w:val="00C0364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character" w:styleId="FollowedHyperlink">
    <w:name w:val="FollowedHyperlink"/>
    <w:basedOn w:val="DefaultParagraphFont"/>
    <w:uiPriority w:val="99"/>
    <w:unhideWhenUsed/>
    <w:qFormat/>
    <w:rsid w:val="004E7B5A"/>
    <w:rPr>
      <w:color w:val="9454C3" w:themeColor="followedHyperlink"/>
      <w:u w:val="single"/>
    </w:rPr>
  </w:style>
  <w:style w:type="paragraph" w:styleId="CommentSubject">
    <w:name w:val="annotation subject"/>
    <w:basedOn w:val="CommentText"/>
    <w:next w:val="CommentText"/>
    <w:link w:val="CommentSubjectChar"/>
    <w:uiPriority w:val="99"/>
    <w:unhideWhenUsed/>
    <w:rsid w:val="004E7B5A"/>
    <w:rPr>
      <w:b/>
      <w:bCs/>
    </w:rPr>
  </w:style>
  <w:style w:type="character" w:customStyle="1" w:styleId="CommentSubjectChar">
    <w:name w:val="Comment Subject Char"/>
    <w:basedOn w:val="CommentTextChar"/>
    <w:link w:val="CommentSubject"/>
    <w:uiPriority w:val="99"/>
    <w:rsid w:val="004E7B5A"/>
    <w:rPr>
      <w:rFonts w:eastAsia="Times New Roman" w:asciiTheme="minorHAnsi" w:hAnsiTheme="minorHAnsi" w:cs="Times New Roman"/>
      <w:b/>
      <w:bCs/>
      <w:sz w:val="20"/>
      <w:szCs w:val="20"/>
    </w:rPr>
  </w:style>
  <w:style w:type="table" w:customStyle="1" w:styleId="SMPRTableBlack">
    <w:name w:val="SMPR_Table_Black"/>
    <w:basedOn w:val="TableNormal"/>
    <w:uiPriority w:val="99"/>
    <w:rsid w:val="00EB3EF3"/>
    <w:pPr>
      <w:spacing w:after="0"/>
    </w:pPr>
    <w:rPr>
      <w:rFonts w:ascii="Lucida Sans" w:eastAsia="Times New Roman" w:hAnsi="Lucida Sans" w:cs="Times New Roman"/>
      <w:sz w:val="20"/>
    </w:rPr>
    <w:tblPr>
      <w:tblInd w:w="115" w:type="dxa"/>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Bullet-2ndlevel">
    <w:name w:val="Bullet - 2nd level"/>
    <w:basedOn w:val="Bullet"/>
    <w:qFormat/>
    <w:rsid w:val="00131605"/>
    <w:pPr>
      <w:numPr>
        <w:ilvl w:val="1"/>
      </w:numPr>
      <w:tabs>
        <w:tab w:val="clear" w:pos="432"/>
      </w:tabs>
      <w:ind w:left="864" w:hanging="432"/>
    </w:pPr>
  </w:style>
  <w:style w:type="paragraph" w:customStyle="1" w:styleId="Bullet-2ndlevelLAST">
    <w:name w:val="Bullet - 2nd level LAST"/>
    <w:basedOn w:val="Bullet-2ndlevel"/>
    <w:qFormat/>
    <w:rsid w:val="00181465"/>
    <w:pPr>
      <w:spacing w:after="240"/>
    </w:pPr>
  </w:style>
  <w:style w:type="paragraph" w:styleId="NormalWeb">
    <w:name w:val="Normal (Web)"/>
    <w:basedOn w:val="Normal"/>
    <w:uiPriority w:val="99"/>
    <w:unhideWhenUsed/>
    <w:rsid w:val="004E7B5A"/>
    <w:rPr>
      <w:rFonts w:ascii="Times New Roman" w:hAnsi="Times New Roman"/>
      <w:szCs w:val="24"/>
    </w:rPr>
  </w:style>
  <w:style w:type="paragraph" w:customStyle="1" w:styleId="numberedparagraphlist">
    <w:name w:val="numbered paragraph list"/>
    <w:basedOn w:val="EQRNormalSS"/>
    <w:qFormat/>
    <w:rsid w:val="005F451A"/>
    <w:pPr>
      <w:numPr>
        <w:numId w:val="9"/>
      </w:numPr>
      <w:spacing w:after="120"/>
      <w:ind w:left="864" w:hanging="432"/>
    </w:pPr>
  </w:style>
  <w:style w:type="paragraph" w:customStyle="1" w:styleId="BLANKPAGE">
    <w:name w:val="BLANK PAGE"/>
    <w:basedOn w:val="EQRNormalSS"/>
    <w:qFormat/>
    <w:rsid w:val="006D3D4A"/>
    <w:pPr>
      <w:spacing w:before="2640" w:after="0"/>
      <w:jc w:val="center"/>
    </w:pPr>
    <w:rPr>
      <w:rFonts w:ascii="Times New Roman" w:hAnsi="Times New Roman"/>
      <w:sz w:val="24"/>
    </w:rPr>
  </w:style>
  <w:style w:type="paragraph" w:customStyle="1" w:styleId="EQRHeader-NOLINE">
    <w:name w:val="EQR Header - NO LINE"/>
    <w:basedOn w:val="Header"/>
    <w:qFormat/>
    <w:rsid w:val="00215928"/>
  </w:style>
  <w:style w:type="paragraph" w:customStyle="1" w:styleId="Header-landscapecont">
    <w:name w:val="Header - landscape cont"/>
    <w:basedOn w:val="Header"/>
    <w:qFormat/>
    <w:rsid w:val="00F43B62"/>
    <w:pPr>
      <w:spacing w:before="240" w:after="60"/>
    </w:pPr>
    <w:rPr>
      <w:sz w:val="18"/>
      <w:szCs w:val="18"/>
    </w:rPr>
  </w:style>
  <w:style w:type="paragraph" w:customStyle="1" w:styleId="Headerline2contnotice">
    <w:name w:val="Header line 2 cont notice"/>
    <w:basedOn w:val="Normal"/>
    <w:qFormat/>
    <w:rsid w:val="00A736DA"/>
    <w:pPr>
      <w:tabs>
        <w:tab w:val="left" w:pos="1080"/>
      </w:tabs>
      <w:spacing w:before="240" w:after="60"/>
    </w:pPr>
    <w:rPr>
      <w:rFonts w:ascii="Arial" w:hAnsi="Arial"/>
      <w:color w:val="026791"/>
      <w:sz w:val="18"/>
    </w:rPr>
  </w:style>
  <w:style w:type="paragraph" w:customStyle="1" w:styleId="EQRNormalSSP1">
    <w:name w:val="EQR NormalSS P.1"/>
    <w:basedOn w:val="EQRNormalSS"/>
    <w:qFormat/>
    <w:rsid w:val="007E0E24"/>
    <w:pPr>
      <w:ind w:right="2160"/>
    </w:pPr>
    <w:rPr>
      <w:rFonts w:cs="Arial"/>
      <w:szCs w:val="24"/>
    </w:rPr>
  </w:style>
  <w:style w:type="paragraph" w:customStyle="1" w:styleId="H2noborder">
    <w:name w:val="H2 no border"/>
    <w:basedOn w:val="H2Chapter"/>
    <w:qFormat/>
    <w:rsid w:val="00293470"/>
    <w:pPr>
      <w:pBdr>
        <w:bottom w:val="none" w:sz="0" w:space="0" w:color="auto"/>
      </w:pBdr>
      <w:spacing w:before="360"/>
      <w:ind w:right="2736"/>
    </w:pPr>
    <w:rPr>
      <w:rFonts w:eastAsia="Calibri"/>
      <w:color w:val="00559D"/>
      <w:sz w:val="28"/>
      <w:szCs w:val="28"/>
    </w:rPr>
  </w:style>
  <w:style w:type="paragraph" w:customStyle="1" w:styleId="EQRBulletBLUE">
    <w:name w:val="EQR Bullet BLUE"/>
    <w:basedOn w:val="ListBullet"/>
    <w:qFormat/>
    <w:rsid w:val="00FB7CAF"/>
  </w:style>
  <w:style w:type="paragraph" w:customStyle="1" w:styleId="EQRTextboxbody">
    <w:name w:val="EQR Textbox body"/>
    <w:basedOn w:val="Normal"/>
    <w:qFormat/>
    <w:rsid w:val="006763A9"/>
    <w:pPr>
      <w:spacing w:before="120" w:after="120" w:line="240" w:lineRule="exact"/>
    </w:pPr>
    <w:rPr>
      <w:rFonts w:ascii="Arial" w:eastAsia="Arial" w:hAnsi="Arial"/>
      <w:color w:val="00559D"/>
      <w:sz w:val="17"/>
      <w:szCs w:val="19"/>
    </w:rPr>
  </w:style>
  <w:style w:type="paragraph" w:customStyle="1" w:styleId="TOC1Headingblock">
    <w:name w:val="TOC1 Heading block"/>
    <w:basedOn w:val="Heading2"/>
    <w:qFormat/>
    <w:rsid w:val="00D27C1F"/>
    <w:pPr>
      <w:pBdr>
        <w:top w:val="single" w:sz="8" w:space="4" w:color="E2F3F5"/>
        <w:left w:val="single" w:sz="8" w:space="4" w:color="E2F3F5"/>
        <w:bottom w:val="single" w:sz="8" w:space="4" w:color="E2F3F5"/>
        <w:right w:val="single" w:sz="8" w:space="4" w:color="E2F3F5"/>
      </w:pBdr>
      <w:shd w:val="clear" w:color="auto" w:fill="E2F3F5"/>
      <w:tabs>
        <w:tab w:val="clear" w:pos="432"/>
        <w:tab w:val="right" w:leader="dot" w:pos="9360"/>
      </w:tabs>
      <w:spacing w:before="120" w:line="240" w:lineRule="auto"/>
      <w:ind w:left="0" w:firstLine="0"/>
      <w:outlineLvl w:val="9"/>
    </w:pPr>
    <w:rPr>
      <w:rFonts w:eastAsia="Arial"/>
      <w:sz w:val="20"/>
      <w:szCs w:val="23"/>
    </w:rPr>
  </w:style>
  <w:style w:type="paragraph" w:customStyle="1" w:styleId="Textboxbody">
    <w:name w:val="Textbox body"/>
    <w:basedOn w:val="Normal"/>
    <w:uiPriority w:val="99"/>
    <w:qFormat/>
    <w:rsid w:val="00723032"/>
    <w:pPr>
      <w:spacing w:before="120" w:after="120"/>
    </w:pPr>
    <w:rPr>
      <w:rFonts w:ascii="Arial" w:eastAsia="Arial" w:hAnsi="Arial"/>
      <w:sz w:val="18"/>
      <w:szCs w:val="19"/>
    </w:rPr>
  </w:style>
  <w:style w:type="paragraph" w:customStyle="1" w:styleId="EQRBulletBLUE2ndlevel">
    <w:name w:val="EQR Bullet BLUE 2nd level"/>
    <w:basedOn w:val="ListBullet2"/>
    <w:qFormat/>
    <w:rsid w:val="0081008A"/>
  </w:style>
  <w:style w:type="paragraph" w:customStyle="1" w:styleId="EQRNormalSSprotocolindent">
    <w:name w:val="EQR NormalSS protocol indent"/>
    <w:basedOn w:val="EQRNormalSS"/>
    <w:qFormat/>
    <w:rsid w:val="007E605A"/>
    <w:pPr>
      <w:spacing w:after="360"/>
      <w:ind w:right="864"/>
    </w:pPr>
    <w:rPr>
      <w:rFonts w:ascii="Times New Roman" w:hAnsi="Times New Roman"/>
      <w:sz w:val="24"/>
    </w:rPr>
  </w:style>
  <w:style w:type="paragraph" w:styleId="TOCHeading">
    <w:name w:val="TOC Heading"/>
    <w:basedOn w:val="Heading1"/>
    <w:next w:val="Normal"/>
    <w:uiPriority w:val="99"/>
    <w:qFormat/>
    <w:rsid w:val="004E7B5A"/>
    <w:pPr>
      <w:keepLines/>
      <w:tabs>
        <w:tab w:val="clear" w:pos="432"/>
      </w:tabs>
      <w:spacing w:after="360" w:line="216" w:lineRule="auto"/>
      <w:outlineLvl w:val="9"/>
    </w:pPr>
    <w:rPr>
      <w:rFonts w:eastAsiaTheme="majorEastAsia" w:cstheme="majorBidi"/>
      <w:caps w:val="0"/>
      <w:color w:val="00559D" w:themeColor="text2"/>
      <w:sz w:val="28"/>
      <w:szCs w:val="32"/>
    </w:rPr>
  </w:style>
  <w:style w:type="paragraph" w:customStyle="1" w:styleId="H2TOCtitle">
    <w:name w:val="H2 TOC title"/>
    <w:basedOn w:val="H2noborder"/>
    <w:qFormat/>
    <w:rsid w:val="00615854"/>
    <w:pPr>
      <w:pBdr>
        <w:bottom w:val="dashed" w:sz="8" w:space="1" w:color="A5DAD9"/>
      </w:pBdr>
      <w:ind w:right="0"/>
    </w:pPr>
  </w:style>
  <w:style w:type="paragraph" w:customStyle="1" w:styleId="H2TOCtitle2">
    <w:name w:val="H2 TOC title2"/>
    <w:basedOn w:val="H2ChapterNoTOC"/>
    <w:qFormat/>
    <w:rsid w:val="00615854"/>
    <w:pPr>
      <w:pBdr>
        <w:bottom w:val="dashed" w:sz="8" w:space="1" w:color="A5DAD9"/>
      </w:pBdr>
    </w:pPr>
    <w:rPr>
      <w:color w:val="00559D"/>
      <w:sz w:val="28"/>
    </w:rPr>
  </w:style>
  <w:style w:type="paragraph" w:styleId="Bibliography">
    <w:name w:val="Bibliography"/>
    <w:basedOn w:val="Normal"/>
    <w:next w:val="Normal"/>
    <w:uiPriority w:val="37"/>
    <w:qFormat/>
    <w:rsid w:val="004E7B5A"/>
    <w:pPr>
      <w:spacing w:after="120"/>
    </w:pPr>
  </w:style>
  <w:style w:type="paragraph" w:styleId="BlockText">
    <w:name w:val="Block Text"/>
    <w:basedOn w:val="Normal"/>
    <w:uiPriority w:val="99"/>
    <w:semiHidden/>
    <w:unhideWhenUsed/>
    <w:rsid w:val="004E7B5A"/>
    <w:pPr>
      <w:pBdr>
        <w:top w:val="single" w:sz="2" w:space="10" w:color="00828C" w:themeColor="accent1"/>
        <w:left w:val="single" w:sz="2" w:space="10" w:color="00828C" w:themeColor="accent1"/>
        <w:bottom w:val="single" w:sz="2" w:space="10" w:color="00828C" w:themeColor="accent1"/>
        <w:right w:val="single" w:sz="2" w:space="10" w:color="00828C" w:themeColor="accent1"/>
      </w:pBdr>
      <w:ind w:left="1152" w:right="1152"/>
    </w:pPr>
    <w:rPr>
      <w:rFonts w:eastAsiaTheme="minorEastAsia" w:cstheme="minorBidi"/>
      <w:i/>
      <w:iCs/>
      <w:color w:val="00828C" w:themeColor="accent1"/>
    </w:rPr>
  </w:style>
  <w:style w:type="paragraph" w:styleId="BodyText">
    <w:name w:val="Body Text"/>
    <w:basedOn w:val="Normal"/>
    <w:link w:val="BodyTextChar"/>
    <w:unhideWhenUsed/>
    <w:rsid w:val="004E7B5A"/>
    <w:pPr>
      <w:spacing w:after="120"/>
    </w:pPr>
  </w:style>
  <w:style w:type="character" w:customStyle="1" w:styleId="BodyTextChar">
    <w:name w:val="Body Text Char"/>
    <w:basedOn w:val="DefaultParagraphFont"/>
    <w:link w:val="BodyText"/>
    <w:rsid w:val="004E7B5A"/>
    <w:rPr>
      <w:rFonts w:eastAsia="Times New Roman" w:asciiTheme="minorHAnsi" w:hAnsiTheme="minorHAnsi" w:cs="Times New Roman"/>
      <w:szCs w:val="20"/>
    </w:rPr>
  </w:style>
  <w:style w:type="paragraph" w:styleId="BodyText2">
    <w:name w:val="Body Text 2"/>
    <w:basedOn w:val="Normal"/>
    <w:link w:val="BodyText2Char"/>
    <w:unhideWhenUsed/>
    <w:rsid w:val="004E7B5A"/>
    <w:pPr>
      <w:spacing w:after="120" w:line="480" w:lineRule="auto"/>
    </w:pPr>
  </w:style>
  <w:style w:type="character" w:customStyle="1" w:styleId="BodyText2Char">
    <w:name w:val="Body Text 2 Char"/>
    <w:basedOn w:val="DefaultParagraphFont"/>
    <w:link w:val="BodyText2"/>
    <w:rsid w:val="004E7B5A"/>
    <w:rPr>
      <w:rFonts w:eastAsia="Times New Roman" w:asciiTheme="minorHAnsi" w:hAnsiTheme="minorHAnsi" w:cs="Times New Roman"/>
      <w:szCs w:val="20"/>
    </w:rPr>
  </w:style>
  <w:style w:type="paragraph" w:styleId="BodyText3">
    <w:name w:val="Body Text 3"/>
    <w:basedOn w:val="Normal"/>
    <w:link w:val="BodyText3Char"/>
    <w:unhideWhenUsed/>
    <w:rsid w:val="004E7B5A"/>
    <w:pPr>
      <w:spacing w:after="120"/>
    </w:pPr>
    <w:rPr>
      <w:sz w:val="16"/>
      <w:szCs w:val="16"/>
    </w:rPr>
  </w:style>
  <w:style w:type="character" w:customStyle="1" w:styleId="BodyText3Char">
    <w:name w:val="Body Text 3 Char"/>
    <w:basedOn w:val="DefaultParagraphFont"/>
    <w:link w:val="BodyText3"/>
    <w:rsid w:val="004E7B5A"/>
    <w:rPr>
      <w:rFonts w:eastAsia="Times New Roman" w:asciiTheme="minorHAnsi" w:hAnsiTheme="minorHAnsi" w:cs="Times New Roman"/>
      <w:sz w:val="16"/>
      <w:szCs w:val="16"/>
    </w:rPr>
  </w:style>
  <w:style w:type="paragraph" w:styleId="BodyTextFirstIndent">
    <w:name w:val="Body Text First Indent"/>
    <w:basedOn w:val="BodyText"/>
    <w:link w:val="BodyTextFirstIndentChar"/>
    <w:uiPriority w:val="99"/>
    <w:semiHidden/>
    <w:unhideWhenUsed/>
    <w:rsid w:val="004E7B5A"/>
    <w:pPr>
      <w:spacing w:after="240"/>
      <w:ind w:firstLine="360"/>
    </w:pPr>
  </w:style>
  <w:style w:type="character" w:customStyle="1" w:styleId="BodyTextFirstIndentChar">
    <w:name w:val="Body Text First Indent Char"/>
    <w:basedOn w:val="BodyTextChar"/>
    <w:link w:val="BodyTextFirstIndent"/>
    <w:uiPriority w:val="99"/>
    <w:semiHidden/>
    <w:rsid w:val="004E7B5A"/>
    <w:rPr>
      <w:rFonts w:eastAsia="Times New Roman" w:asciiTheme="minorHAnsi" w:hAnsiTheme="minorHAnsi" w:cs="Times New Roman"/>
      <w:szCs w:val="20"/>
    </w:rPr>
  </w:style>
  <w:style w:type="paragraph" w:styleId="BodyTextIndent">
    <w:name w:val="Body Text Indent"/>
    <w:basedOn w:val="Normal"/>
    <w:link w:val="BodyTextIndentChar"/>
    <w:unhideWhenUsed/>
    <w:rsid w:val="004E7B5A"/>
    <w:pPr>
      <w:spacing w:after="120"/>
      <w:ind w:left="360"/>
    </w:pPr>
  </w:style>
  <w:style w:type="character" w:customStyle="1" w:styleId="BodyTextIndentChar">
    <w:name w:val="Body Text Indent Char"/>
    <w:basedOn w:val="DefaultParagraphFont"/>
    <w:link w:val="BodyTextIndent"/>
    <w:rsid w:val="004E7B5A"/>
    <w:rPr>
      <w:rFonts w:eastAsia="Times New Roman" w:asciiTheme="minorHAnsi" w:hAnsiTheme="minorHAnsi" w:cs="Times New Roman"/>
      <w:szCs w:val="20"/>
    </w:rPr>
  </w:style>
  <w:style w:type="paragraph" w:styleId="BodyTextFirstIndent2">
    <w:name w:val="Body Text First Indent 2"/>
    <w:basedOn w:val="BodyTextIndent"/>
    <w:link w:val="BodyTextFirstIndent2Char"/>
    <w:uiPriority w:val="99"/>
    <w:semiHidden/>
    <w:unhideWhenUsed/>
    <w:rsid w:val="004E7B5A"/>
    <w:pPr>
      <w:spacing w:after="240"/>
      <w:ind w:firstLine="360"/>
    </w:pPr>
  </w:style>
  <w:style w:type="character" w:customStyle="1" w:styleId="BodyTextFirstIndent2Char">
    <w:name w:val="Body Text First Indent 2 Char"/>
    <w:basedOn w:val="BodyTextIndentChar"/>
    <w:link w:val="BodyTextFirstIndent2"/>
    <w:uiPriority w:val="99"/>
    <w:semiHidden/>
    <w:rsid w:val="004E7B5A"/>
    <w:rPr>
      <w:rFonts w:eastAsia="Times New Roman" w:asciiTheme="minorHAnsi" w:hAnsiTheme="minorHAnsi" w:cs="Times New Roman"/>
      <w:szCs w:val="20"/>
    </w:rPr>
  </w:style>
  <w:style w:type="paragraph" w:styleId="BodyTextIndent2">
    <w:name w:val="Body Text Indent 2"/>
    <w:basedOn w:val="Normal"/>
    <w:link w:val="BodyTextIndent2Char"/>
    <w:unhideWhenUsed/>
    <w:rsid w:val="004E7B5A"/>
    <w:pPr>
      <w:spacing w:after="120" w:line="480" w:lineRule="auto"/>
      <w:ind w:left="360"/>
    </w:pPr>
  </w:style>
  <w:style w:type="character" w:customStyle="1" w:styleId="BodyTextIndent2Char">
    <w:name w:val="Body Text Indent 2 Char"/>
    <w:basedOn w:val="DefaultParagraphFont"/>
    <w:link w:val="BodyTextIndent2"/>
    <w:rsid w:val="004E7B5A"/>
    <w:rPr>
      <w:rFonts w:eastAsia="Times New Roman" w:asciiTheme="minorHAnsi" w:hAnsiTheme="minorHAnsi" w:cs="Times New Roman"/>
      <w:szCs w:val="20"/>
    </w:rPr>
  </w:style>
  <w:style w:type="paragraph" w:styleId="BodyTextIndent3">
    <w:name w:val="Body Text Indent 3"/>
    <w:basedOn w:val="Normal"/>
    <w:link w:val="BodyTextIndent3Char"/>
    <w:unhideWhenUsed/>
    <w:rsid w:val="004E7B5A"/>
    <w:pPr>
      <w:spacing w:after="120"/>
      <w:ind w:left="360"/>
    </w:pPr>
    <w:rPr>
      <w:sz w:val="16"/>
      <w:szCs w:val="16"/>
    </w:rPr>
  </w:style>
  <w:style w:type="character" w:customStyle="1" w:styleId="BodyTextIndent3Char">
    <w:name w:val="Body Text Indent 3 Char"/>
    <w:basedOn w:val="DefaultParagraphFont"/>
    <w:link w:val="BodyTextIndent3"/>
    <w:rsid w:val="004E7B5A"/>
    <w:rPr>
      <w:rFonts w:eastAsia="Times New Roman" w:asciiTheme="minorHAnsi" w:hAnsiTheme="minorHAnsi" w:cs="Times New Roman"/>
      <w:sz w:val="16"/>
      <w:szCs w:val="16"/>
    </w:rPr>
  </w:style>
  <w:style w:type="paragraph" w:styleId="Caption">
    <w:name w:val="caption"/>
    <w:basedOn w:val="TableTitle"/>
    <w:next w:val="Normal"/>
    <w:qFormat/>
    <w:rsid w:val="004E7B5A"/>
    <w:pPr>
      <w:spacing w:after="200"/>
    </w:pPr>
    <w:rPr>
      <w:iCs/>
      <w:sz w:val="18"/>
      <w:szCs w:val="18"/>
    </w:rPr>
  </w:style>
  <w:style w:type="paragraph" w:styleId="Closing">
    <w:name w:val="Closing"/>
    <w:basedOn w:val="Normal"/>
    <w:link w:val="ClosingChar"/>
    <w:uiPriority w:val="99"/>
    <w:unhideWhenUsed/>
    <w:qFormat/>
    <w:rsid w:val="004E7B5A"/>
    <w:pPr>
      <w:ind w:left="4320"/>
      <w:contextualSpacing/>
    </w:pPr>
  </w:style>
  <w:style w:type="character" w:customStyle="1" w:styleId="ClosingChar">
    <w:name w:val="Closing Char"/>
    <w:basedOn w:val="DefaultParagraphFont"/>
    <w:link w:val="Closing"/>
    <w:uiPriority w:val="99"/>
    <w:rsid w:val="004E7B5A"/>
    <w:rPr>
      <w:rFonts w:eastAsia="Times New Roman" w:asciiTheme="minorHAnsi" w:hAnsiTheme="minorHAnsi" w:cs="Times New Roman"/>
      <w:szCs w:val="20"/>
    </w:rPr>
  </w:style>
  <w:style w:type="paragraph" w:styleId="Date">
    <w:name w:val="Date"/>
    <w:basedOn w:val="Normal"/>
    <w:next w:val="Normal"/>
    <w:link w:val="DateChar"/>
    <w:unhideWhenUsed/>
    <w:qFormat/>
    <w:rsid w:val="004E7B5A"/>
    <w:pPr>
      <w:tabs>
        <w:tab w:val="right" w:pos="9360"/>
        <w:tab w:val="right" w:pos="10800"/>
      </w:tabs>
    </w:pPr>
    <w:rPr>
      <w:rFonts w:asciiTheme="majorHAnsi" w:hAnsiTheme="majorHAnsi"/>
      <w:b/>
    </w:rPr>
  </w:style>
  <w:style w:type="character" w:customStyle="1" w:styleId="DateChar">
    <w:name w:val="Date Char"/>
    <w:basedOn w:val="DefaultParagraphFont"/>
    <w:link w:val="Date"/>
    <w:rsid w:val="004E7B5A"/>
    <w:rPr>
      <w:rFonts w:eastAsia="Times New Roman" w:asciiTheme="majorHAnsi" w:hAnsiTheme="majorHAnsi" w:cs="Times New Roman"/>
      <w:b/>
      <w:szCs w:val="20"/>
    </w:rPr>
  </w:style>
  <w:style w:type="paragraph" w:styleId="E-mailSignature">
    <w:name w:val="E-mail Signature"/>
    <w:basedOn w:val="Normal"/>
    <w:link w:val="E-mailSignatureChar"/>
    <w:uiPriority w:val="99"/>
    <w:semiHidden/>
    <w:unhideWhenUsed/>
    <w:rsid w:val="004E7B5A"/>
    <w:pPr>
      <w:spacing w:after="0" w:line="240" w:lineRule="auto"/>
    </w:pPr>
  </w:style>
  <w:style w:type="character" w:customStyle="1" w:styleId="E-mailSignatureChar">
    <w:name w:val="E-mail Signature Char"/>
    <w:basedOn w:val="DefaultParagraphFont"/>
    <w:link w:val="E-mailSignature"/>
    <w:uiPriority w:val="99"/>
    <w:semiHidden/>
    <w:rsid w:val="004E7B5A"/>
    <w:rPr>
      <w:rFonts w:eastAsia="Times New Roman" w:asciiTheme="minorHAnsi" w:hAnsiTheme="minorHAnsi" w:cs="Times New Roman"/>
      <w:szCs w:val="20"/>
    </w:rPr>
  </w:style>
  <w:style w:type="paragraph" w:styleId="EnvelopeAddress">
    <w:name w:val="envelope address"/>
    <w:basedOn w:val="Normal"/>
    <w:uiPriority w:val="99"/>
    <w:semiHidden/>
    <w:unhideWhenUsed/>
    <w:rsid w:val="004E7B5A"/>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E7B5A"/>
    <w:pPr>
      <w:spacing w:after="0" w:line="240" w:lineRule="auto"/>
    </w:pPr>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4E7B5A"/>
    <w:pPr>
      <w:spacing w:after="0" w:line="240" w:lineRule="auto"/>
    </w:pPr>
    <w:rPr>
      <w:i/>
      <w:iCs/>
    </w:rPr>
  </w:style>
  <w:style w:type="character" w:customStyle="1" w:styleId="HTMLAddressChar">
    <w:name w:val="HTML Address Char"/>
    <w:basedOn w:val="DefaultParagraphFont"/>
    <w:link w:val="HTMLAddress"/>
    <w:uiPriority w:val="99"/>
    <w:semiHidden/>
    <w:rsid w:val="004E7B5A"/>
    <w:rPr>
      <w:rFonts w:eastAsia="Times New Roman" w:asciiTheme="minorHAnsi" w:hAnsiTheme="minorHAnsi" w:cs="Times New Roman"/>
      <w:i/>
      <w:iCs/>
      <w:szCs w:val="20"/>
    </w:rPr>
  </w:style>
  <w:style w:type="paragraph" w:styleId="HTMLPreformatted">
    <w:name w:val="HTML Preformatted"/>
    <w:basedOn w:val="Normal"/>
    <w:link w:val="HTMLPreformattedChar"/>
    <w:uiPriority w:val="99"/>
    <w:semiHidden/>
    <w:unhideWhenUsed/>
    <w:qFormat/>
    <w:rsid w:val="004E7B5A"/>
    <w:pPr>
      <w:spacing w:after="0"/>
    </w:pPr>
    <w:rPr>
      <w:rFonts w:ascii="Consolas" w:hAnsi="Consolas"/>
      <w:sz w:val="20"/>
    </w:rPr>
  </w:style>
  <w:style w:type="character" w:customStyle="1" w:styleId="HTMLPreformattedChar">
    <w:name w:val="HTML Preformatted Char"/>
    <w:basedOn w:val="DefaultParagraphFont"/>
    <w:link w:val="HTMLPreformatted"/>
    <w:uiPriority w:val="99"/>
    <w:semiHidden/>
    <w:rsid w:val="004E7B5A"/>
    <w:rPr>
      <w:rFonts w:ascii="Consolas" w:eastAsia="Times New Roman" w:hAnsi="Consolas" w:cs="Times New Roman"/>
      <w:sz w:val="20"/>
      <w:szCs w:val="20"/>
    </w:rPr>
  </w:style>
  <w:style w:type="paragraph" w:styleId="Index1">
    <w:name w:val="index 1"/>
    <w:basedOn w:val="Normal"/>
    <w:next w:val="Normal"/>
    <w:autoRedefine/>
    <w:uiPriority w:val="99"/>
    <w:semiHidden/>
    <w:unhideWhenUsed/>
    <w:locked/>
    <w:rsid w:val="004E7B5A"/>
    <w:pPr>
      <w:ind w:left="240" w:hanging="240"/>
    </w:pPr>
  </w:style>
  <w:style w:type="paragraph" w:styleId="Index2">
    <w:name w:val="index 2"/>
    <w:basedOn w:val="Normal"/>
    <w:next w:val="Normal"/>
    <w:autoRedefine/>
    <w:uiPriority w:val="99"/>
    <w:semiHidden/>
    <w:unhideWhenUsed/>
    <w:locked/>
    <w:rsid w:val="004E7B5A"/>
    <w:pPr>
      <w:ind w:left="480" w:hanging="240"/>
    </w:pPr>
  </w:style>
  <w:style w:type="paragraph" w:styleId="Index3">
    <w:name w:val="index 3"/>
    <w:basedOn w:val="Normal"/>
    <w:next w:val="Normal"/>
    <w:autoRedefine/>
    <w:uiPriority w:val="99"/>
    <w:semiHidden/>
    <w:unhideWhenUsed/>
    <w:locked/>
    <w:rsid w:val="004E7B5A"/>
    <w:pPr>
      <w:ind w:left="720" w:hanging="240"/>
    </w:pPr>
  </w:style>
  <w:style w:type="paragraph" w:styleId="Index4">
    <w:name w:val="index 4"/>
    <w:basedOn w:val="Normal"/>
    <w:next w:val="Normal"/>
    <w:autoRedefine/>
    <w:uiPriority w:val="99"/>
    <w:semiHidden/>
    <w:unhideWhenUsed/>
    <w:locked/>
    <w:rsid w:val="004E7B5A"/>
    <w:pPr>
      <w:spacing w:after="0" w:line="240" w:lineRule="auto"/>
      <w:ind w:left="960" w:hanging="240"/>
    </w:pPr>
  </w:style>
  <w:style w:type="paragraph" w:styleId="Index5">
    <w:name w:val="index 5"/>
    <w:basedOn w:val="Normal"/>
    <w:next w:val="Normal"/>
    <w:autoRedefine/>
    <w:uiPriority w:val="99"/>
    <w:semiHidden/>
    <w:unhideWhenUsed/>
    <w:locked/>
    <w:rsid w:val="004E7B5A"/>
    <w:pPr>
      <w:spacing w:after="0" w:line="240" w:lineRule="auto"/>
      <w:ind w:left="1200" w:hanging="240"/>
    </w:pPr>
  </w:style>
  <w:style w:type="paragraph" w:styleId="Index6">
    <w:name w:val="index 6"/>
    <w:basedOn w:val="Normal"/>
    <w:next w:val="Normal"/>
    <w:autoRedefine/>
    <w:uiPriority w:val="99"/>
    <w:semiHidden/>
    <w:unhideWhenUsed/>
    <w:locked/>
    <w:rsid w:val="004E7B5A"/>
    <w:pPr>
      <w:spacing w:after="0" w:line="240" w:lineRule="auto"/>
      <w:ind w:left="1440" w:hanging="240"/>
    </w:pPr>
  </w:style>
  <w:style w:type="paragraph" w:styleId="Index7">
    <w:name w:val="index 7"/>
    <w:basedOn w:val="Normal"/>
    <w:next w:val="Normal"/>
    <w:autoRedefine/>
    <w:uiPriority w:val="99"/>
    <w:semiHidden/>
    <w:unhideWhenUsed/>
    <w:locked/>
    <w:rsid w:val="004E7B5A"/>
    <w:pPr>
      <w:spacing w:after="0" w:line="240" w:lineRule="auto"/>
      <w:ind w:left="1680" w:hanging="240"/>
    </w:pPr>
  </w:style>
  <w:style w:type="paragraph" w:styleId="Index8">
    <w:name w:val="index 8"/>
    <w:basedOn w:val="Normal"/>
    <w:next w:val="Normal"/>
    <w:autoRedefine/>
    <w:uiPriority w:val="99"/>
    <w:semiHidden/>
    <w:unhideWhenUsed/>
    <w:locked/>
    <w:rsid w:val="004E7B5A"/>
    <w:pPr>
      <w:spacing w:after="0" w:line="240" w:lineRule="auto"/>
      <w:ind w:left="1920" w:hanging="240"/>
    </w:pPr>
  </w:style>
  <w:style w:type="paragraph" w:styleId="Index9">
    <w:name w:val="index 9"/>
    <w:basedOn w:val="Normal"/>
    <w:next w:val="Normal"/>
    <w:autoRedefine/>
    <w:uiPriority w:val="99"/>
    <w:semiHidden/>
    <w:unhideWhenUsed/>
    <w:locked/>
    <w:rsid w:val="004E7B5A"/>
    <w:pPr>
      <w:spacing w:after="0" w:line="240" w:lineRule="auto"/>
      <w:ind w:left="2160" w:hanging="240"/>
    </w:pPr>
  </w:style>
  <w:style w:type="paragraph" w:styleId="IndexHeading">
    <w:name w:val="index heading"/>
    <w:basedOn w:val="Normal"/>
    <w:next w:val="Index1"/>
    <w:uiPriority w:val="99"/>
    <w:unhideWhenUsed/>
    <w:locked/>
    <w:rsid w:val="004E7B5A"/>
    <w:rPr>
      <w:rFonts w:asciiTheme="majorHAnsi" w:eastAsiaTheme="majorEastAsia" w:hAnsiTheme="majorHAnsi" w:cstheme="majorBidi"/>
      <w:b/>
      <w:bCs/>
    </w:rPr>
  </w:style>
  <w:style w:type="paragraph" w:styleId="IntenseQuote">
    <w:name w:val="Intense Quote"/>
    <w:basedOn w:val="Normal"/>
    <w:next w:val="Normal"/>
    <w:link w:val="IntenseQuoteChar"/>
    <w:uiPriority w:val="30"/>
    <w:unhideWhenUsed/>
    <w:qFormat/>
    <w:locked/>
    <w:rsid w:val="004E7B5A"/>
    <w:pPr>
      <w:pBdr>
        <w:top w:val="single" w:sz="4" w:space="10" w:color="00828C" w:themeColor="accent1"/>
        <w:bottom w:val="single" w:sz="4" w:space="10" w:color="00828C" w:themeColor="accent1"/>
      </w:pBdr>
      <w:spacing w:before="360" w:after="360"/>
      <w:ind w:left="864" w:right="864"/>
      <w:jc w:val="center"/>
    </w:pPr>
    <w:rPr>
      <w:i/>
      <w:iCs/>
      <w:color w:val="00828C" w:themeColor="accent1"/>
    </w:rPr>
  </w:style>
  <w:style w:type="character" w:customStyle="1" w:styleId="IntenseQuoteChar">
    <w:name w:val="Intense Quote Char"/>
    <w:basedOn w:val="DefaultParagraphFont"/>
    <w:link w:val="IntenseQuote"/>
    <w:uiPriority w:val="30"/>
    <w:rsid w:val="00781CA6"/>
    <w:rPr>
      <w:rFonts w:eastAsia="Times New Roman" w:asciiTheme="minorHAnsi" w:hAnsiTheme="minorHAnsi" w:cs="Times New Roman"/>
      <w:i/>
      <w:iCs/>
      <w:color w:val="00828C" w:themeColor="accent1"/>
      <w:szCs w:val="20"/>
    </w:rPr>
  </w:style>
  <w:style w:type="paragraph" w:styleId="List">
    <w:name w:val="List"/>
    <w:basedOn w:val="Normal"/>
    <w:uiPriority w:val="99"/>
    <w:qFormat/>
    <w:rsid w:val="004E7B5A"/>
    <w:pPr>
      <w:numPr>
        <w:numId w:val="30"/>
      </w:numPr>
      <w:spacing w:before="120" w:after="120"/>
    </w:pPr>
  </w:style>
  <w:style w:type="paragraph" w:styleId="List2">
    <w:name w:val="List 2"/>
    <w:basedOn w:val="Normal"/>
    <w:uiPriority w:val="99"/>
    <w:qFormat/>
    <w:rsid w:val="004E7B5A"/>
    <w:pPr>
      <w:numPr>
        <w:ilvl w:val="1"/>
        <w:numId w:val="30"/>
      </w:numPr>
      <w:spacing w:before="120" w:after="120"/>
    </w:pPr>
  </w:style>
  <w:style w:type="paragraph" w:styleId="List3">
    <w:name w:val="List 3"/>
    <w:basedOn w:val="Normal"/>
    <w:uiPriority w:val="99"/>
    <w:qFormat/>
    <w:rsid w:val="004E7B5A"/>
    <w:pPr>
      <w:numPr>
        <w:ilvl w:val="2"/>
        <w:numId w:val="30"/>
      </w:numPr>
      <w:spacing w:before="120" w:after="120"/>
    </w:pPr>
  </w:style>
  <w:style w:type="paragraph" w:styleId="List4">
    <w:name w:val="List 4"/>
    <w:basedOn w:val="Normal"/>
    <w:uiPriority w:val="99"/>
    <w:qFormat/>
    <w:rsid w:val="004E7B5A"/>
    <w:pPr>
      <w:numPr>
        <w:ilvl w:val="3"/>
        <w:numId w:val="30"/>
      </w:numPr>
      <w:spacing w:before="120" w:after="120"/>
      <w:contextualSpacing/>
    </w:pPr>
  </w:style>
  <w:style w:type="paragraph" w:styleId="List5">
    <w:name w:val="List 5"/>
    <w:basedOn w:val="Normal"/>
    <w:uiPriority w:val="99"/>
    <w:qFormat/>
    <w:rsid w:val="004E7B5A"/>
    <w:pPr>
      <w:numPr>
        <w:ilvl w:val="4"/>
        <w:numId w:val="30"/>
      </w:numPr>
      <w:contextualSpacing/>
    </w:pPr>
  </w:style>
  <w:style w:type="paragraph" w:styleId="ListBullet">
    <w:name w:val="List Bullet"/>
    <w:basedOn w:val="Normal"/>
    <w:uiPriority w:val="99"/>
    <w:qFormat/>
    <w:rsid w:val="00C05C2D"/>
    <w:pPr>
      <w:numPr>
        <w:numId w:val="29"/>
      </w:numPr>
      <w:spacing w:before="120" w:after="120"/>
    </w:pPr>
  </w:style>
  <w:style w:type="paragraph" w:styleId="ListBullet2">
    <w:name w:val="List Bullet 2"/>
    <w:basedOn w:val="ListBullet"/>
    <w:uiPriority w:val="99"/>
    <w:qFormat/>
    <w:rsid w:val="00D866B2"/>
    <w:pPr>
      <w:numPr>
        <w:ilvl w:val="1"/>
      </w:numPr>
    </w:pPr>
  </w:style>
  <w:style w:type="paragraph" w:styleId="ListBullet3">
    <w:name w:val="List Bullet 3"/>
    <w:basedOn w:val="Normal"/>
    <w:uiPriority w:val="99"/>
    <w:qFormat/>
    <w:rsid w:val="004E7B5A"/>
    <w:pPr>
      <w:numPr>
        <w:numId w:val="31"/>
      </w:numPr>
      <w:spacing w:before="120" w:after="120"/>
    </w:pPr>
  </w:style>
  <w:style w:type="paragraph" w:styleId="ListBullet4">
    <w:name w:val="List Bullet 4"/>
    <w:basedOn w:val="Normal"/>
    <w:uiPriority w:val="99"/>
    <w:semiHidden/>
    <w:rsid w:val="004E7B5A"/>
    <w:pPr>
      <w:numPr>
        <w:numId w:val="12"/>
      </w:numPr>
      <w:contextualSpacing/>
    </w:pPr>
  </w:style>
  <w:style w:type="paragraph" w:styleId="ListBullet5">
    <w:name w:val="List Bullet 5"/>
    <w:basedOn w:val="Normal"/>
    <w:uiPriority w:val="99"/>
    <w:semiHidden/>
    <w:rsid w:val="004E7B5A"/>
    <w:pPr>
      <w:numPr>
        <w:numId w:val="13"/>
      </w:numPr>
      <w:contextualSpacing/>
    </w:pPr>
  </w:style>
  <w:style w:type="paragraph" w:styleId="ListContinue">
    <w:name w:val="List Continue"/>
    <w:basedOn w:val="Normal"/>
    <w:uiPriority w:val="99"/>
    <w:qFormat/>
    <w:rsid w:val="004E7B5A"/>
    <w:pPr>
      <w:spacing w:before="120" w:after="120"/>
      <w:ind w:left="360"/>
    </w:pPr>
  </w:style>
  <w:style w:type="paragraph" w:styleId="ListContinue2">
    <w:name w:val="List Continue 2"/>
    <w:basedOn w:val="Normal"/>
    <w:uiPriority w:val="99"/>
    <w:qFormat/>
    <w:rsid w:val="004E7B5A"/>
    <w:pPr>
      <w:spacing w:before="120" w:after="120"/>
      <w:ind w:left="720"/>
    </w:pPr>
  </w:style>
  <w:style w:type="paragraph" w:styleId="ListContinue3">
    <w:name w:val="List Continue 3"/>
    <w:basedOn w:val="Normal"/>
    <w:uiPriority w:val="99"/>
    <w:qFormat/>
    <w:rsid w:val="004E7B5A"/>
    <w:pPr>
      <w:spacing w:before="120" w:after="120"/>
      <w:ind w:left="1080"/>
    </w:pPr>
  </w:style>
  <w:style w:type="paragraph" w:styleId="ListContinue4">
    <w:name w:val="List Continue 4"/>
    <w:basedOn w:val="Normal"/>
    <w:uiPriority w:val="99"/>
    <w:semiHidden/>
    <w:unhideWhenUsed/>
    <w:rsid w:val="004E7B5A"/>
    <w:pPr>
      <w:spacing w:after="120"/>
      <w:ind w:left="1440"/>
      <w:contextualSpacing/>
    </w:pPr>
  </w:style>
  <w:style w:type="paragraph" w:styleId="ListContinue5">
    <w:name w:val="List Continue 5"/>
    <w:basedOn w:val="Normal"/>
    <w:uiPriority w:val="99"/>
    <w:semiHidden/>
    <w:unhideWhenUsed/>
    <w:rsid w:val="004E7B5A"/>
    <w:pPr>
      <w:spacing w:after="120"/>
      <w:ind w:left="1800"/>
      <w:contextualSpacing/>
    </w:pPr>
  </w:style>
  <w:style w:type="paragraph" w:styleId="ListNumber">
    <w:name w:val="List Number"/>
    <w:basedOn w:val="Normal"/>
    <w:uiPriority w:val="99"/>
    <w:qFormat/>
    <w:rsid w:val="00BA007D"/>
    <w:pPr>
      <w:numPr>
        <w:numId w:val="52"/>
      </w:numPr>
      <w:spacing w:before="120" w:after="120"/>
    </w:pPr>
  </w:style>
  <w:style w:type="paragraph" w:styleId="ListNumber2">
    <w:name w:val="List Number 2"/>
    <w:basedOn w:val="Normal"/>
    <w:uiPriority w:val="99"/>
    <w:qFormat/>
    <w:rsid w:val="004E7B5A"/>
    <w:pPr>
      <w:numPr>
        <w:numId w:val="14"/>
      </w:numPr>
      <w:tabs>
        <w:tab w:val="left" w:pos="720"/>
      </w:tabs>
      <w:spacing w:before="120" w:after="120"/>
    </w:pPr>
  </w:style>
  <w:style w:type="paragraph" w:styleId="ListNumber3">
    <w:name w:val="List Number 3"/>
    <w:basedOn w:val="Normal"/>
    <w:uiPriority w:val="99"/>
    <w:qFormat/>
    <w:rsid w:val="004E7B5A"/>
    <w:pPr>
      <w:spacing w:before="120" w:after="120"/>
    </w:pPr>
  </w:style>
  <w:style w:type="paragraph" w:styleId="ListNumber4">
    <w:name w:val="List Number 4"/>
    <w:basedOn w:val="Normal"/>
    <w:uiPriority w:val="99"/>
    <w:semiHidden/>
    <w:unhideWhenUsed/>
    <w:rsid w:val="004E7B5A"/>
    <w:pPr>
      <w:numPr>
        <w:numId w:val="5"/>
      </w:numPr>
      <w:contextualSpacing/>
    </w:pPr>
  </w:style>
  <w:style w:type="paragraph" w:styleId="ListNumber5">
    <w:name w:val="List Number 5"/>
    <w:basedOn w:val="Normal"/>
    <w:uiPriority w:val="99"/>
    <w:semiHidden/>
    <w:unhideWhenUsed/>
    <w:rsid w:val="004E7B5A"/>
    <w:pPr>
      <w:numPr>
        <w:numId w:val="15"/>
      </w:numPr>
      <w:contextualSpacing/>
    </w:pPr>
  </w:style>
  <w:style w:type="paragraph" w:styleId="Macro">
    <w:name w:val="macro"/>
    <w:link w:val="MacroTextChar"/>
    <w:uiPriority w:val="99"/>
    <w:unhideWhenUsed/>
    <w:rsid w:val="004E7B5A"/>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
    <w:uiPriority w:val="99"/>
    <w:rsid w:val="004E7B5A"/>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qFormat/>
    <w:rsid w:val="004E7B5A"/>
    <w:pPr>
      <w:spacing w:after="0"/>
      <w:ind w:left="1080" w:hanging="1080"/>
      <w:jc w:val="center"/>
    </w:pPr>
    <w:rPr>
      <w:rFonts w:eastAsiaTheme="majorEastAsia" w:cstheme="majorBidi"/>
      <w:b/>
      <w:sz w:val="28"/>
      <w:szCs w:val="24"/>
    </w:rPr>
  </w:style>
  <w:style w:type="character" w:customStyle="1" w:styleId="MessageHeaderChar">
    <w:name w:val="Message Header Char"/>
    <w:basedOn w:val="DefaultParagraphFont"/>
    <w:link w:val="MessageHeader"/>
    <w:uiPriority w:val="99"/>
    <w:semiHidden/>
    <w:rsid w:val="004E7B5A"/>
    <w:rPr>
      <w:rFonts w:asciiTheme="minorHAnsi" w:eastAsiaTheme="majorEastAsia" w:hAnsiTheme="minorHAnsi" w:cstheme="majorBidi"/>
      <w:b/>
      <w:sz w:val="28"/>
    </w:rPr>
  </w:style>
  <w:style w:type="paragraph" w:styleId="NoSpacing">
    <w:name w:val="No Spacing"/>
    <w:link w:val="NoSpacingChar"/>
    <w:uiPriority w:val="1"/>
    <w:qFormat/>
    <w:rsid w:val="004E7B5A"/>
    <w:pPr>
      <w:spacing w:after="0" w:line="264" w:lineRule="auto"/>
    </w:pPr>
    <w:rPr>
      <w:rFonts w:asciiTheme="minorHAnsi" w:hAnsiTheme="minorHAnsi"/>
      <w:szCs w:val="22"/>
    </w:rPr>
  </w:style>
  <w:style w:type="paragraph" w:styleId="NormalIndent">
    <w:name w:val="Normal Indent"/>
    <w:basedOn w:val="Normal"/>
    <w:uiPriority w:val="99"/>
    <w:semiHidden/>
    <w:unhideWhenUsed/>
    <w:rsid w:val="004E7B5A"/>
    <w:pPr>
      <w:ind w:left="720"/>
    </w:pPr>
  </w:style>
  <w:style w:type="paragraph" w:styleId="NoteHeading">
    <w:name w:val="Note Heading"/>
    <w:basedOn w:val="Feature2Head"/>
    <w:next w:val="Normal"/>
    <w:link w:val="NoteHeadingChar"/>
    <w:uiPriority w:val="99"/>
    <w:unhideWhenUsed/>
    <w:qFormat/>
    <w:rsid w:val="004E7B5A"/>
    <w:pPr>
      <w:spacing w:before="0"/>
    </w:pPr>
    <w:rPr>
      <w:caps/>
      <w:sz w:val="20"/>
    </w:rPr>
  </w:style>
  <w:style w:type="character" w:customStyle="1" w:styleId="NoteHeadingChar">
    <w:name w:val="Note Heading Char"/>
    <w:basedOn w:val="DefaultParagraphFont"/>
    <w:link w:val="NoteHeading"/>
    <w:uiPriority w:val="99"/>
    <w:rsid w:val="00781CA6"/>
    <w:rPr>
      <w:rFonts w:ascii="Arial Black" w:eastAsia="Times New Roman" w:hAnsi="Arial Black" w:cs="Times New Roman"/>
      <w:b/>
      <w:caps/>
      <w:color w:val="00559D" w:themeColor="text2"/>
      <w:sz w:val="20"/>
      <w:szCs w:val="20"/>
    </w:rPr>
  </w:style>
  <w:style w:type="paragraph" w:styleId="PlainText">
    <w:name w:val="Plain Text"/>
    <w:basedOn w:val="Normal"/>
    <w:link w:val="PlainTextChar"/>
    <w:unhideWhenUsed/>
    <w:rsid w:val="004E7B5A"/>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4E7B5A"/>
    <w:rPr>
      <w:rFonts w:ascii="Consolas" w:eastAsia="Times New Roman" w:hAnsi="Consolas" w:cs="Times New Roman"/>
      <w:sz w:val="21"/>
      <w:szCs w:val="21"/>
    </w:rPr>
  </w:style>
  <w:style w:type="paragraph" w:styleId="Quote">
    <w:name w:val="Quote"/>
    <w:basedOn w:val="Normal"/>
    <w:next w:val="Normal"/>
    <w:link w:val="QuoteChar"/>
    <w:uiPriority w:val="29"/>
    <w:qFormat/>
    <w:rsid w:val="004E7B5A"/>
    <w:pPr>
      <w:spacing w:before="60" w:after="60"/>
    </w:pPr>
    <w:rPr>
      <w:rFonts w:asciiTheme="majorHAnsi" w:hAnsiTheme="majorHAnsi"/>
      <w:iCs/>
      <w:color w:val="000000" w:themeColor="text1"/>
      <w:sz w:val="20"/>
    </w:rPr>
  </w:style>
  <w:style w:type="character" w:customStyle="1" w:styleId="QuoteChar">
    <w:name w:val="Quote Char"/>
    <w:basedOn w:val="DefaultParagraphFont"/>
    <w:link w:val="Quote"/>
    <w:uiPriority w:val="29"/>
    <w:rsid w:val="004E7B5A"/>
    <w:rPr>
      <w:rFonts w:eastAsia="Times New Roman" w:asciiTheme="majorHAnsi" w:hAnsiTheme="majorHAnsi" w:cs="Times New Roman"/>
      <w:iCs/>
      <w:color w:val="000000" w:themeColor="text1"/>
      <w:sz w:val="20"/>
      <w:szCs w:val="20"/>
    </w:rPr>
  </w:style>
  <w:style w:type="paragraph" w:styleId="Salutation">
    <w:name w:val="Salutation"/>
    <w:basedOn w:val="Normal"/>
    <w:next w:val="Normal"/>
    <w:link w:val="SalutationChar"/>
    <w:uiPriority w:val="99"/>
    <w:unhideWhenUsed/>
    <w:qFormat/>
    <w:rsid w:val="004E7B5A"/>
    <w:pPr>
      <w:tabs>
        <w:tab w:val="left" w:pos="1620"/>
      </w:tabs>
      <w:spacing w:before="240" w:after="360" w:line="276" w:lineRule="auto"/>
    </w:pPr>
  </w:style>
  <w:style w:type="character" w:customStyle="1" w:styleId="SalutationChar">
    <w:name w:val="Salutation Char"/>
    <w:basedOn w:val="DefaultParagraphFont"/>
    <w:link w:val="Salutation"/>
    <w:uiPriority w:val="99"/>
    <w:rsid w:val="004E7B5A"/>
    <w:rPr>
      <w:rFonts w:eastAsia="Times New Roman" w:asciiTheme="minorHAnsi" w:hAnsiTheme="minorHAnsi" w:cs="Times New Roman"/>
      <w:szCs w:val="20"/>
    </w:rPr>
  </w:style>
  <w:style w:type="paragraph" w:styleId="Signature">
    <w:name w:val="Signature"/>
    <w:basedOn w:val="Normal"/>
    <w:link w:val="SignatureChar"/>
    <w:uiPriority w:val="99"/>
    <w:unhideWhenUsed/>
    <w:qFormat/>
    <w:rsid w:val="004E7B5A"/>
    <w:pPr>
      <w:ind w:left="4320"/>
    </w:pPr>
  </w:style>
  <w:style w:type="character" w:customStyle="1" w:styleId="SignatureChar">
    <w:name w:val="Signature Char"/>
    <w:basedOn w:val="DefaultParagraphFont"/>
    <w:link w:val="Signature"/>
    <w:uiPriority w:val="99"/>
    <w:rsid w:val="004E7B5A"/>
    <w:rPr>
      <w:rFonts w:eastAsia="Times New Roman" w:asciiTheme="minorHAnsi" w:hAnsiTheme="minorHAnsi" w:cs="Times New Roman"/>
      <w:szCs w:val="20"/>
    </w:rPr>
  </w:style>
  <w:style w:type="paragraph" w:styleId="Subtitle">
    <w:name w:val="Subtitle"/>
    <w:basedOn w:val="Normal"/>
    <w:next w:val="Normal"/>
    <w:link w:val="SubtitleChar"/>
    <w:uiPriority w:val="11"/>
    <w:qFormat/>
    <w:rsid w:val="004E7B5A"/>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E7B5A"/>
    <w:rPr>
      <w:rFonts w:asciiTheme="minorHAnsi" w:hAnsiTheme="minorHAnsi"/>
      <w:color w:val="5A5A5A" w:themeColor="text1" w:themeTint="A5"/>
      <w:spacing w:val="15"/>
      <w:sz w:val="22"/>
      <w:szCs w:val="22"/>
    </w:rPr>
  </w:style>
  <w:style w:type="paragraph" w:styleId="TableofAuthorities">
    <w:name w:val="table of authorities"/>
    <w:basedOn w:val="Normal"/>
    <w:next w:val="Normal"/>
    <w:uiPriority w:val="99"/>
    <w:semiHidden/>
    <w:unhideWhenUsed/>
    <w:rsid w:val="004E7B5A"/>
    <w:pPr>
      <w:spacing w:after="0"/>
      <w:ind w:left="240" w:hanging="240"/>
    </w:pPr>
  </w:style>
  <w:style w:type="paragraph" w:styleId="TOAHeading">
    <w:name w:val="toa heading"/>
    <w:basedOn w:val="Normal"/>
    <w:next w:val="Normal"/>
    <w:uiPriority w:val="99"/>
    <w:semiHidden/>
    <w:unhideWhenUsed/>
    <w:rsid w:val="004E7B5A"/>
    <w:pPr>
      <w:spacing w:before="120"/>
    </w:pPr>
    <w:rPr>
      <w:rFonts w:asciiTheme="majorHAnsi" w:eastAsiaTheme="majorEastAsia" w:hAnsiTheme="majorHAnsi" w:cstheme="majorBidi"/>
      <w:b/>
      <w:bCs/>
      <w:szCs w:val="24"/>
    </w:rPr>
  </w:style>
  <w:style w:type="paragraph" w:customStyle="1" w:styleId="NormallSSRCOLUMN">
    <w:name w:val="NormallSS R COLUMN"/>
    <w:basedOn w:val="EQRNormalSS"/>
    <w:unhideWhenUsed/>
    <w:qFormat/>
    <w:rsid w:val="001A52C2"/>
    <w:pPr>
      <w:ind w:left="4896"/>
    </w:pPr>
  </w:style>
  <w:style w:type="paragraph" w:customStyle="1" w:styleId="TITLE-noTOC">
    <w:name w:val="TITLE - no TOC"/>
    <w:basedOn w:val="Normal"/>
    <w:qFormat/>
    <w:rsid w:val="00A947D2"/>
    <w:rPr>
      <w:rFonts w:ascii="Arial Black" w:hAnsi="Arial Black" w:cs="Arial"/>
      <w:sz w:val="32"/>
    </w:rPr>
  </w:style>
  <w:style w:type="character" w:customStyle="1" w:styleId="EQRNormalSSChar">
    <w:name w:val="EQR NormalSS Char"/>
    <w:basedOn w:val="DefaultParagraphFont"/>
    <w:link w:val="EQRNormalSS"/>
    <w:rsid w:val="00660856"/>
    <w:rPr>
      <w:rFonts w:ascii="Arial" w:eastAsia="Calibri" w:hAnsi="Arial" w:cs="Times New Roman"/>
      <w:sz w:val="22"/>
      <w:szCs w:val="23"/>
    </w:rPr>
  </w:style>
  <w:style w:type="paragraph" w:customStyle="1" w:styleId="EQRMarkforExhibitWSsubsection">
    <w:name w:val="EQR Mark for Exhibit WS subsection"/>
    <w:basedOn w:val="EQRNormalSS"/>
    <w:qFormat/>
    <w:rsid w:val="003851BD"/>
    <w:pPr>
      <w:keepNext/>
      <w:spacing w:before="240" w:after="60"/>
      <w:outlineLvl w:val="4"/>
    </w:pPr>
    <w:rPr>
      <w:b/>
      <w:color w:val="006981"/>
      <w:sz w:val="20"/>
      <w:szCs w:val="18"/>
    </w:rPr>
  </w:style>
  <w:style w:type="paragraph" w:customStyle="1" w:styleId="EQRBulletBLUECHECKBODY">
    <w:name w:val="EQR Bullet BLUE CHECK BODY"/>
    <w:basedOn w:val="Bullet"/>
    <w:qFormat/>
    <w:rsid w:val="0062747D"/>
    <w:pPr>
      <w:numPr>
        <w:numId w:val="16"/>
      </w:numPr>
      <w:spacing w:line="280" w:lineRule="exact"/>
    </w:pPr>
    <w:rPr>
      <w:rFonts w:ascii="Arial" w:hAnsi="Arial"/>
      <w:sz w:val="22"/>
    </w:rPr>
  </w:style>
  <w:style w:type="paragraph" w:customStyle="1" w:styleId="EQRTextboxheading">
    <w:name w:val="EQR Textbox heading"/>
    <w:basedOn w:val="EQRTextboxbody"/>
    <w:qFormat/>
    <w:rsid w:val="004D0F98"/>
    <w:rPr>
      <w:rFonts w:ascii="Arial Black" w:hAnsi="Arial Black" w:cs="Arial"/>
      <w:szCs w:val="17"/>
    </w:rPr>
  </w:style>
  <w:style w:type="paragraph" w:customStyle="1" w:styleId="EQRTextboxbullet">
    <w:name w:val="EQR Textbox bullet"/>
    <w:basedOn w:val="EQRTextboxbody"/>
    <w:qFormat/>
    <w:rsid w:val="00930EC9"/>
    <w:pPr>
      <w:numPr>
        <w:numId w:val="11"/>
      </w:numPr>
      <w:spacing w:before="0" w:after="60"/>
      <w:ind w:left="216" w:hanging="216"/>
    </w:pPr>
    <w:rPr>
      <w:rFonts w:cs="Arial"/>
      <w:szCs w:val="17"/>
    </w:rPr>
  </w:style>
  <w:style w:type="paragraph" w:customStyle="1" w:styleId="EQRTextboxcheck">
    <w:name w:val="EQR Textbox check"/>
    <w:basedOn w:val="EQRTextboxbody"/>
    <w:qFormat/>
    <w:rsid w:val="00892BBD"/>
    <w:pPr>
      <w:numPr>
        <w:numId w:val="17"/>
      </w:numPr>
      <w:spacing w:before="0" w:after="60"/>
      <w:ind w:left="216" w:hanging="216"/>
    </w:pPr>
    <w:rPr>
      <w:szCs w:val="17"/>
    </w:rPr>
  </w:style>
  <w:style w:type="paragraph" w:customStyle="1" w:styleId="EQRTextboxNUMBER">
    <w:name w:val="EQR Textbox NUMBER"/>
    <w:basedOn w:val="Normal"/>
    <w:qFormat/>
    <w:rsid w:val="004D0F98"/>
    <w:pPr>
      <w:numPr>
        <w:numId w:val="10"/>
      </w:numPr>
      <w:tabs>
        <w:tab w:val="left" w:pos="432"/>
      </w:tabs>
      <w:spacing w:after="60" w:line="240" w:lineRule="exact"/>
      <w:ind w:left="216" w:hanging="216"/>
    </w:pPr>
    <w:rPr>
      <w:rFonts w:ascii="Arial" w:eastAsia="Calibri" w:hAnsi="Arial" w:cs="Arial"/>
      <w:color w:val="00559D"/>
      <w:sz w:val="17"/>
      <w:szCs w:val="18"/>
    </w:rPr>
  </w:style>
  <w:style w:type="paragraph" w:customStyle="1" w:styleId="EQRH2dottedborder">
    <w:name w:val="EQR H2 dotted border"/>
    <w:basedOn w:val="H2noborder"/>
    <w:qFormat/>
    <w:rsid w:val="007C5DE7"/>
    <w:pPr>
      <w:pBdr>
        <w:bottom w:val="dashed" w:sz="8" w:space="1" w:color="A5DAD9"/>
      </w:pBdr>
      <w:ind w:right="2160"/>
    </w:pPr>
  </w:style>
  <w:style w:type="paragraph" w:customStyle="1" w:styleId="EQRBulletBLUECHECKBODY2ndlevel">
    <w:name w:val="EQR Bullet BLUE CHECK BODY 2nd level"/>
    <w:basedOn w:val="EQRBulletBLUECHECKBODY"/>
    <w:qFormat/>
    <w:rsid w:val="00AF723E"/>
    <w:pPr>
      <w:spacing w:after="60"/>
      <w:ind w:left="864"/>
    </w:pPr>
  </w:style>
  <w:style w:type="paragraph" w:customStyle="1" w:styleId="EQRTextboxcheck2ndlevel">
    <w:name w:val="EQR Textbox check 2nd level"/>
    <w:basedOn w:val="EQRTextboxcheck"/>
    <w:qFormat/>
    <w:rsid w:val="002E38AA"/>
    <w:pPr>
      <w:ind w:left="432"/>
    </w:pPr>
  </w:style>
  <w:style w:type="paragraph" w:customStyle="1" w:styleId="EQRBulletNUMBER">
    <w:name w:val="EQR Bullet NUMBER"/>
    <w:basedOn w:val="NumberedBullet"/>
    <w:qFormat/>
    <w:rsid w:val="00AE19A6"/>
    <w:pPr>
      <w:numPr>
        <w:numId w:val="18"/>
      </w:numPr>
      <w:spacing w:line="280" w:lineRule="exact"/>
    </w:pPr>
    <w:rPr>
      <w:rFonts w:ascii="Arial" w:eastAsia="Calibri" w:hAnsi="Arial" w:cs="Arial"/>
      <w:sz w:val="22"/>
      <w:szCs w:val="22"/>
    </w:rPr>
  </w:style>
  <w:style w:type="paragraph" w:customStyle="1" w:styleId="EQRTableTextbullet">
    <w:name w:val="EQR Table Text bullet"/>
    <w:basedOn w:val="EQRTableText"/>
    <w:qFormat/>
    <w:rsid w:val="00D33E3C"/>
    <w:pPr>
      <w:numPr>
        <w:numId w:val="19"/>
      </w:numPr>
      <w:ind w:left="360"/>
    </w:pPr>
    <w:rPr>
      <w:lang w:bidi="en-US"/>
    </w:rPr>
  </w:style>
  <w:style w:type="paragraph" w:customStyle="1" w:styleId="EQRTableTextcheck">
    <w:name w:val="EQR Table Text check"/>
    <w:basedOn w:val="EQRTableTextbullet"/>
    <w:qFormat/>
    <w:rsid w:val="009069A1"/>
    <w:pPr>
      <w:numPr>
        <w:numId w:val="20"/>
      </w:numPr>
      <w:ind w:left="216" w:hanging="216"/>
    </w:pPr>
    <w:rPr>
      <w:rFonts w:eastAsia="Arial"/>
    </w:rPr>
  </w:style>
  <w:style w:type="paragraph" w:customStyle="1" w:styleId="EQRWORKSHEET">
    <w:name w:val="EQR WORKSHEET"/>
    <w:basedOn w:val="EQRNormalSS"/>
    <w:qFormat/>
    <w:rsid w:val="00D0663E"/>
    <w:pPr>
      <w:pBdr>
        <w:top w:val="single" w:sz="24" w:space="1" w:color="A5DAD9"/>
        <w:bottom w:val="single" w:sz="24" w:space="2" w:color="A5DAD9"/>
      </w:pBdr>
      <w:jc w:val="center"/>
    </w:pPr>
    <w:rPr>
      <w:rFonts w:ascii="Arial Black" w:hAnsi="Arial Black"/>
      <w:color w:val="006981"/>
      <w:sz w:val="21"/>
      <w:szCs w:val="21"/>
    </w:rPr>
  </w:style>
  <w:style w:type="paragraph" w:customStyle="1" w:styleId="NormalSS">
    <w:name w:val="NormalSS"/>
    <w:basedOn w:val="Normal"/>
    <w:link w:val="NormalSSChar"/>
    <w:unhideWhenUsed/>
    <w:qFormat/>
    <w:rsid w:val="00EF3D93"/>
    <w:pPr>
      <w:ind w:firstLine="432"/>
    </w:pPr>
  </w:style>
  <w:style w:type="character" w:customStyle="1" w:styleId="NormalSSChar">
    <w:name w:val="NormalSS Char"/>
    <w:basedOn w:val="DefaultParagraphFont"/>
    <w:link w:val="NormalSS"/>
    <w:rsid w:val="00781CA6"/>
    <w:rPr>
      <w:rFonts w:eastAsia="Times New Roman" w:asciiTheme="minorHAnsi" w:hAnsiTheme="minorHAnsi" w:cs="Times New Roman"/>
      <w:szCs w:val="20"/>
    </w:rPr>
  </w:style>
  <w:style w:type="paragraph" w:customStyle="1" w:styleId="EQRTableTextbullet2ndlevel">
    <w:name w:val="EQR Table Text bullet 2nd level"/>
    <w:basedOn w:val="EQRTableTextbullet"/>
    <w:qFormat/>
    <w:rsid w:val="00F96E5F"/>
    <w:pPr>
      <w:numPr>
        <w:numId w:val="28"/>
      </w:numPr>
      <w:ind w:left="570" w:hanging="216"/>
    </w:pPr>
  </w:style>
  <w:style w:type="paragraph" w:customStyle="1" w:styleId="EQRACTIVITY">
    <w:name w:val="EQR ACTIVITY"/>
    <w:basedOn w:val="EQRTableHeaderLeft"/>
    <w:qFormat/>
    <w:rsid w:val="00FF3C9A"/>
    <w:rPr>
      <w:rFonts w:ascii="Arial Black" w:hAnsi="Arial Black"/>
      <w:color w:val="1CA8B7"/>
      <w:szCs w:val="18"/>
    </w:rPr>
  </w:style>
  <w:style w:type="paragraph" w:customStyle="1" w:styleId="MarkforFigureHeading">
    <w:name w:val="Mark for Figure Heading"/>
    <w:basedOn w:val="Normal"/>
    <w:next w:val="Normal"/>
    <w:qFormat/>
    <w:rsid w:val="009B62FE"/>
    <w:pPr>
      <w:keepNext/>
      <w:pBdr>
        <w:top w:val="single" w:sz="18" w:space="3" w:color="67C7C5"/>
        <w:bottom w:val="single" w:sz="8" w:space="3" w:color="67C7C5"/>
      </w:pBdr>
      <w:tabs>
        <w:tab w:val="left" w:pos="7785"/>
      </w:tabs>
      <w:spacing w:after="100" w:line="230" w:lineRule="exact"/>
    </w:pPr>
    <w:rPr>
      <w:rFonts w:ascii="Arial Black" w:eastAsia="Arial" w:hAnsi="Arial Black" w:cs="Arial"/>
      <w:sz w:val="19"/>
      <w:szCs w:val="19"/>
    </w:rPr>
  </w:style>
  <w:style w:type="paragraph" w:customStyle="1" w:styleId="paragraph">
    <w:name w:val="paragraph"/>
    <w:basedOn w:val="Normal"/>
    <w:rsid w:val="0009322A"/>
    <w:pPr>
      <w:spacing w:before="100" w:beforeAutospacing="1" w:after="100" w:afterAutospacing="1"/>
    </w:pPr>
    <w:rPr>
      <w:szCs w:val="24"/>
    </w:rPr>
  </w:style>
  <w:style w:type="paragraph" w:customStyle="1" w:styleId="EQRNormalSSWORKSHEET">
    <w:name w:val="EQR NormalSS WORKSHEET"/>
    <w:basedOn w:val="EQRNormalSS"/>
    <w:qFormat/>
    <w:rsid w:val="00C02566"/>
    <w:pPr>
      <w:spacing w:before="180" w:line="240" w:lineRule="exact"/>
    </w:pPr>
    <w:rPr>
      <w:sz w:val="18"/>
      <w:szCs w:val="18"/>
    </w:rPr>
  </w:style>
  <w:style w:type="paragraph" w:customStyle="1" w:styleId="EQRTextboxbullet2ndlevel">
    <w:name w:val="EQR Textbox bullet 2nd level"/>
    <w:basedOn w:val="EQRTextboxbullet"/>
    <w:qFormat/>
    <w:rsid w:val="004F4D04"/>
    <w:pPr>
      <w:numPr>
        <w:numId w:val="27"/>
      </w:numPr>
      <w:ind w:left="432" w:hanging="216"/>
    </w:pPr>
  </w:style>
  <w:style w:type="paragraph" w:customStyle="1" w:styleId="H3AlphaNoTOC">
    <w:name w:val="H3_Alpha_No TOC"/>
    <w:basedOn w:val="Normal"/>
    <w:next w:val="Normal"/>
    <w:link w:val="H3AlphaNoTOCChar"/>
    <w:qFormat/>
    <w:rsid w:val="00736912"/>
    <w:pPr>
      <w:spacing w:before="360" w:after="120"/>
      <w:outlineLvl w:val="2"/>
    </w:pPr>
    <w:rPr>
      <w:rFonts w:ascii="Arial Black" w:hAnsi="Arial Black"/>
      <w:caps/>
      <w:color w:val="00828C"/>
      <w:szCs w:val="24"/>
    </w:rPr>
  </w:style>
  <w:style w:type="character" w:customStyle="1" w:styleId="H3AlphaNoTOCChar">
    <w:name w:val="H3_Alpha_No TOC Char"/>
    <w:basedOn w:val="DefaultParagraphFont"/>
    <w:link w:val="H3AlphaNoTOC"/>
    <w:rsid w:val="00736912"/>
    <w:rPr>
      <w:rFonts w:ascii="Arial Black" w:eastAsia="Times New Roman" w:hAnsi="Arial Black" w:cs="Times New Roman"/>
      <w:caps/>
      <w:color w:val="00828C"/>
    </w:rPr>
  </w:style>
  <w:style w:type="paragraph" w:customStyle="1" w:styleId="Textboxheading">
    <w:name w:val="Textbox heading"/>
    <w:basedOn w:val="Normal"/>
    <w:uiPriority w:val="99"/>
    <w:qFormat/>
    <w:rsid w:val="00736912"/>
    <w:pPr>
      <w:spacing w:before="120" w:after="120"/>
      <w:jc w:val="center"/>
    </w:pPr>
    <w:rPr>
      <w:rFonts w:ascii="Arial Black" w:eastAsia="Arial" w:hAnsi="Arial Black" w:cs="Arial"/>
      <w:color w:val="006981"/>
      <w:sz w:val="18"/>
      <w:szCs w:val="18"/>
    </w:rPr>
  </w:style>
  <w:style w:type="paragraph" w:customStyle="1" w:styleId="Textboxbullet">
    <w:name w:val="Textbox bullet"/>
    <w:basedOn w:val="Normal"/>
    <w:qFormat/>
    <w:rsid w:val="00736912"/>
    <w:pPr>
      <w:spacing w:after="60"/>
      <w:ind w:left="288" w:hanging="288"/>
    </w:pPr>
    <w:rPr>
      <w:rFonts w:ascii="Arial" w:eastAsia="Arial" w:hAnsi="Arial" w:cs="Arial"/>
      <w:color w:val="006981"/>
      <w:sz w:val="18"/>
      <w:szCs w:val="18"/>
    </w:rPr>
  </w:style>
  <w:style w:type="character" w:styleId="Emphasis">
    <w:name w:val="Emphasis"/>
    <w:basedOn w:val="DefaultParagraphFont"/>
    <w:uiPriority w:val="20"/>
    <w:qFormat/>
    <w:rsid w:val="004E7B5A"/>
    <w:rPr>
      <w:i/>
      <w:iCs/>
    </w:rPr>
  </w:style>
  <w:style w:type="paragraph" w:customStyle="1" w:styleId="H2dottedborder">
    <w:name w:val="H2 dotted border"/>
    <w:basedOn w:val="Normal"/>
    <w:qFormat/>
    <w:rsid w:val="00A128D2"/>
    <w:pPr>
      <w:pBdr>
        <w:bottom w:val="dashed" w:sz="8" w:space="1" w:color="A5DAD9"/>
      </w:pBdr>
      <w:spacing w:before="360"/>
      <w:ind w:right="2160"/>
      <w:outlineLvl w:val="1"/>
    </w:pPr>
    <w:rPr>
      <w:rFonts w:ascii="Arial Black" w:eastAsia="Calibri" w:hAnsi="Arial Black"/>
      <w:caps/>
      <w:color w:val="00559D"/>
      <w:sz w:val="28"/>
      <w:szCs w:val="28"/>
    </w:rPr>
  </w:style>
  <w:style w:type="paragraph" w:customStyle="1" w:styleId="QUESTIONTEXT">
    <w:name w:val="!QUESTION TEXT"/>
    <w:basedOn w:val="Normal"/>
    <w:link w:val="QUESTIONTEXTChar"/>
    <w:qFormat/>
    <w:rsid w:val="00D96F99"/>
    <w:pPr>
      <w:tabs>
        <w:tab w:val="left" w:pos="720"/>
      </w:tabs>
      <w:spacing w:before="240" w:after="120"/>
      <w:ind w:left="720" w:right="360" w:hanging="720"/>
    </w:pPr>
    <w:rPr>
      <w:rFonts w:ascii="Arial" w:hAnsi="Arial" w:cs="Arial"/>
      <w:b/>
      <w:szCs w:val="24"/>
    </w:rPr>
  </w:style>
  <w:style w:type="character" w:customStyle="1" w:styleId="QUESTIONTEXTChar">
    <w:name w:val="!QUESTION TEXT Char"/>
    <w:basedOn w:val="DefaultParagraphFont"/>
    <w:link w:val="QUESTIONTEXT"/>
    <w:rsid w:val="00D96F99"/>
    <w:rPr>
      <w:rFonts w:ascii="Arial" w:eastAsia="Times New Roman" w:hAnsi="Arial" w:cs="Arial"/>
      <w:b/>
    </w:rPr>
  </w:style>
  <w:style w:type="paragraph" w:customStyle="1" w:styleId="EQRNormalSSWSquestion">
    <w:name w:val="EQR NormalSS WS question"/>
    <w:basedOn w:val="EQRNormalSSWORKSHEET"/>
    <w:qFormat/>
    <w:rsid w:val="009728CE"/>
    <w:pPr>
      <w:spacing w:before="360" w:after="120"/>
      <w:ind w:left="288" w:hanging="288"/>
    </w:pPr>
  </w:style>
  <w:style w:type="paragraph" w:customStyle="1" w:styleId="EQRNormalSSWSquestion2">
    <w:name w:val="EQR NormalSS WS question2"/>
    <w:basedOn w:val="EQRNormalSSWSquestion"/>
    <w:qFormat/>
    <w:rsid w:val="005D679E"/>
    <w:pPr>
      <w:spacing w:before="0" w:after="0"/>
      <w:ind w:left="576"/>
    </w:pPr>
  </w:style>
  <w:style w:type="paragraph" w:customStyle="1" w:styleId="EQRNormalSSWSquestion3">
    <w:name w:val="EQR NormalSS WS question3"/>
    <w:basedOn w:val="EQRNormalSSWSquestion"/>
    <w:qFormat/>
    <w:rsid w:val="00372E00"/>
    <w:pPr>
      <w:spacing w:before="180"/>
      <w:ind w:left="864"/>
    </w:pPr>
  </w:style>
  <w:style w:type="paragraph" w:customStyle="1" w:styleId="EQRNormalSSWSquestion2B">
    <w:name w:val="EQR NormalSS WS question2B"/>
    <w:basedOn w:val="EQRNormalSSWSquestion2"/>
    <w:qFormat/>
    <w:rsid w:val="00025473"/>
    <w:pPr>
      <w:spacing w:before="180" w:after="120"/>
    </w:pPr>
  </w:style>
  <w:style w:type="character" w:customStyle="1" w:styleId="link">
    <w:name w:val="link"/>
    <w:basedOn w:val="DefaultParagraphFont"/>
    <w:rsid w:val="003F56FD"/>
  </w:style>
  <w:style w:type="paragraph" w:customStyle="1" w:styleId="Question">
    <w:name w:val="Question"/>
    <w:basedOn w:val="Normal"/>
    <w:link w:val="QuestionChar"/>
    <w:qFormat/>
    <w:rsid w:val="003F56FD"/>
    <w:pPr>
      <w:tabs>
        <w:tab w:val="left" w:pos="-360"/>
        <w:tab w:val="left" w:pos="0"/>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s>
      <w:ind w:left="1080" w:hanging="540"/>
    </w:pPr>
    <w:rPr>
      <w:rFonts w:ascii="Arial" w:hAnsi="Arial" w:eastAsiaTheme="minorHAnsi" w:cs="Arial"/>
      <w:sz w:val="22"/>
      <w:szCs w:val="22"/>
    </w:rPr>
  </w:style>
  <w:style w:type="character" w:customStyle="1" w:styleId="QuestionChar">
    <w:name w:val="Question Char"/>
    <w:basedOn w:val="DefaultParagraphFont"/>
    <w:link w:val="Question"/>
    <w:rsid w:val="003F56FD"/>
    <w:rPr>
      <w:rFonts w:ascii="Arial" w:hAnsi="Arial" w:eastAsiaTheme="minorHAnsi" w:cs="Arial"/>
      <w:sz w:val="22"/>
      <w:szCs w:val="22"/>
    </w:rPr>
  </w:style>
  <w:style w:type="paragraph" w:customStyle="1" w:styleId="textwithline">
    <w:name w:val="text with line"/>
    <w:basedOn w:val="BodyTextIndent3"/>
    <w:link w:val="textwithlineChar"/>
    <w:qFormat/>
    <w:rsid w:val="003F56FD"/>
    <w:pPr>
      <w:tabs>
        <w:tab w:val="left" w:leader="underscore" w:pos="9360"/>
      </w:tabs>
      <w:spacing w:before="360" w:after="240"/>
      <w:ind w:left="720"/>
    </w:pPr>
    <w:rPr>
      <w:rFonts w:ascii="Arial" w:hAnsi="Arial" w:cs="Arial"/>
      <w:sz w:val="20"/>
      <w:szCs w:val="20"/>
    </w:rPr>
  </w:style>
  <w:style w:type="character" w:customStyle="1" w:styleId="textwithlineChar">
    <w:name w:val="text with line Char"/>
    <w:basedOn w:val="BodyTextIndent3Char"/>
    <w:link w:val="textwithline"/>
    <w:rsid w:val="003F56FD"/>
    <w:rPr>
      <w:rFonts w:ascii="Arial" w:eastAsia="Times New Roman" w:hAnsi="Arial" w:cs="Arial"/>
      <w:sz w:val="20"/>
      <w:szCs w:val="20"/>
    </w:rPr>
  </w:style>
  <w:style w:type="paragraph" w:customStyle="1" w:styleId="MarkforTableHeading">
    <w:name w:val="Mark for Table Heading"/>
    <w:basedOn w:val="Normal"/>
    <w:next w:val="Normal"/>
    <w:qFormat/>
    <w:rsid w:val="009270A7"/>
    <w:pPr>
      <w:keepNext/>
      <w:pBdr>
        <w:top w:val="single" w:sz="18" w:space="3" w:color="67C7C5"/>
        <w:bottom w:val="single" w:sz="8" w:space="3" w:color="67C7C5"/>
      </w:pBdr>
      <w:tabs>
        <w:tab w:val="left" w:pos="7785"/>
      </w:tabs>
      <w:spacing w:after="100" w:line="230" w:lineRule="exact"/>
    </w:pPr>
    <w:rPr>
      <w:rFonts w:ascii="Arial Black" w:hAnsi="Arial Black" w:eastAsiaTheme="minorHAnsi" w:cs="Arial"/>
      <w:sz w:val="20"/>
      <w:szCs w:val="19"/>
    </w:rPr>
  </w:style>
  <w:style w:type="paragraph" w:customStyle="1" w:styleId="TableFootnoteCaption">
    <w:name w:val="Table Footnote_Caption"/>
    <w:basedOn w:val="Normal"/>
    <w:qFormat/>
    <w:rsid w:val="003F56FD"/>
    <w:pPr>
      <w:spacing w:before="40" w:line="180" w:lineRule="exact"/>
    </w:pPr>
    <w:rPr>
      <w:rFonts w:ascii="Arial" w:hAnsi="Arial" w:eastAsiaTheme="minorHAnsi" w:cs="Arial"/>
      <w:sz w:val="16"/>
      <w:szCs w:val="16"/>
    </w:rPr>
  </w:style>
  <w:style w:type="paragraph" w:customStyle="1" w:styleId="TableHeaderCenter">
    <w:name w:val="Table Header Center"/>
    <w:basedOn w:val="TableHeaderLeft"/>
    <w:qFormat/>
    <w:rsid w:val="00B115C5"/>
    <w:pPr>
      <w:textboxTightWrap w:val="allLines"/>
      <w:jc w:val="center"/>
    </w:pPr>
  </w:style>
  <w:style w:type="paragraph" w:customStyle="1" w:styleId="TableHeaderLeft">
    <w:name w:val="Table Header Left"/>
    <w:basedOn w:val="TableTextLeft"/>
    <w:next w:val="TableTextLeft"/>
    <w:qFormat/>
    <w:rsid w:val="00EE530D"/>
    <w:rPr>
      <w:b/>
    </w:rPr>
  </w:style>
  <w:style w:type="paragraph" w:customStyle="1" w:styleId="TableText">
    <w:name w:val="Table Text"/>
    <w:basedOn w:val="Normal"/>
    <w:link w:val="TableTextChar"/>
    <w:qFormat/>
    <w:rsid w:val="003F56FD"/>
    <w:rPr>
      <w:rFonts w:ascii="Arial" w:hAnsi="Arial" w:eastAsiaTheme="minorHAnsi"/>
      <w:sz w:val="18"/>
      <w:szCs w:val="22"/>
    </w:rPr>
  </w:style>
  <w:style w:type="character" w:customStyle="1" w:styleId="TableTextChar">
    <w:name w:val="Table Text Char"/>
    <w:basedOn w:val="DefaultParagraphFont"/>
    <w:link w:val="TableText"/>
    <w:locked/>
    <w:rsid w:val="003F56FD"/>
    <w:rPr>
      <w:rFonts w:ascii="Arial" w:hAnsi="Arial" w:eastAsiaTheme="minorHAnsi" w:cs="Times New Roman"/>
      <w:sz w:val="18"/>
      <w:szCs w:val="22"/>
    </w:rPr>
  </w:style>
  <w:style w:type="paragraph" w:customStyle="1" w:styleId="numbertest">
    <w:name w:val="number test"/>
    <w:basedOn w:val="Normal"/>
    <w:qFormat/>
    <w:rsid w:val="003F56FD"/>
    <w:pPr>
      <w:tabs>
        <w:tab w:val="left" w:pos="432"/>
      </w:tabs>
      <w:spacing w:after="120"/>
    </w:pPr>
    <w:rPr>
      <w:rFonts w:ascii="Arial" w:eastAsia="Calibri" w:hAnsi="Arial" w:cs="Arial"/>
      <w:sz w:val="18"/>
      <w:szCs w:val="18"/>
    </w:rPr>
  </w:style>
  <w:style w:type="paragraph" w:customStyle="1" w:styleId="Textboxcheck">
    <w:name w:val="Textbox check"/>
    <w:basedOn w:val="Normal"/>
    <w:qFormat/>
    <w:rsid w:val="003F56FD"/>
    <w:pPr>
      <w:spacing w:after="60"/>
      <w:ind w:left="360" w:hanging="360"/>
    </w:pPr>
    <w:rPr>
      <w:rFonts w:ascii="Arial" w:eastAsia="Arial" w:hAnsi="Arial"/>
      <w:color w:val="006981"/>
      <w:sz w:val="18"/>
      <w:szCs w:val="19"/>
    </w:rPr>
  </w:style>
  <w:style w:type="paragraph" w:customStyle="1" w:styleId="EQRnoteWS">
    <w:name w:val="EQR note WS"/>
    <w:basedOn w:val="EQRNormalSSWORKSHEET"/>
    <w:qFormat/>
    <w:rsid w:val="00372E00"/>
    <w:pPr>
      <w:keepLines/>
      <w:pBdr>
        <w:top w:val="dotted" w:sz="4" w:space="6" w:color="006981"/>
        <w:left w:val="dotted" w:sz="4" w:space="4" w:color="006981"/>
        <w:bottom w:val="dotted" w:sz="4" w:space="6" w:color="006981"/>
        <w:right w:val="dotted" w:sz="4" w:space="4" w:color="006981"/>
      </w:pBdr>
      <w:shd w:val="solid" w:color="EEF5F8" w:fill="EEF5F8"/>
      <w:spacing w:before="300" w:line="240" w:lineRule="auto"/>
      <w:ind w:left="360" w:right="360"/>
    </w:pPr>
    <w:rPr>
      <w:rFonts w:ascii="Arial Black" w:hAnsi="Arial Black"/>
      <w:color w:val="006981"/>
      <w:sz w:val="16"/>
      <w:szCs w:val="16"/>
    </w:rPr>
  </w:style>
  <w:style w:type="paragraph" w:customStyle="1" w:styleId="EQRNormalSSWScheck">
    <w:name w:val="EQR NormalSS WS check"/>
    <w:basedOn w:val="EQRBulletBLUECHECKBODY"/>
    <w:qFormat/>
    <w:rsid w:val="000E4D8B"/>
    <w:pPr>
      <w:numPr>
        <w:numId w:val="22"/>
      </w:numPr>
      <w:spacing w:before="180" w:line="240" w:lineRule="exact"/>
      <w:ind w:left="288" w:hanging="288"/>
    </w:pPr>
    <w:rPr>
      <w:sz w:val="18"/>
      <w:szCs w:val="18"/>
    </w:rPr>
  </w:style>
  <w:style w:type="paragraph" w:customStyle="1" w:styleId="EQRNormalSSWSquestion3YN">
    <w:name w:val="EQR NormalSS WS question3YN"/>
    <w:basedOn w:val="EQRNormalSSWSquestion3"/>
    <w:qFormat/>
    <w:rsid w:val="009728CE"/>
    <w:pPr>
      <w:spacing w:before="0" w:after="0"/>
      <w:ind w:left="1152"/>
    </w:pPr>
  </w:style>
  <w:style w:type="paragraph" w:customStyle="1" w:styleId="MarkforTableTitle">
    <w:name w:val="Mark for Table Title"/>
    <w:basedOn w:val="Normal"/>
    <w:next w:val="Normal"/>
    <w:qFormat/>
    <w:rsid w:val="005C3248"/>
    <w:pPr>
      <w:keepNext/>
      <w:spacing w:after="60"/>
    </w:pPr>
    <w:rPr>
      <w:rFonts w:ascii="Arial Black" w:hAnsi="Arial Black"/>
      <w:sz w:val="22"/>
    </w:rPr>
  </w:style>
  <w:style w:type="paragraph" w:customStyle="1" w:styleId="EQRMANDATORYorOPTIONAL">
    <w:name w:val="EQR MANDATORY or OPTIONAL"/>
    <w:basedOn w:val="EQRNormalSSP1"/>
    <w:qFormat/>
    <w:rsid w:val="00E65FA5"/>
    <w:pPr>
      <w:spacing w:after="360"/>
    </w:pPr>
    <w:rPr>
      <w:color w:val="00559D"/>
      <w:sz w:val="24"/>
      <w:szCs w:val="23"/>
    </w:rPr>
  </w:style>
  <w:style w:type="paragraph" w:customStyle="1" w:styleId="EQRNormalSSWSbullet">
    <w:name w:val="EQR NormalSS WS bullet"/>
    <w:basedOn w:val="EQRNormalSSWScheck"/>
    <w:qFormat/>
    <w:rsid w:val="002D0382"/>
    <w:pPr>
      <w:numPr>
        <w:numId w:val="21"/>
      </w:numPr>
    </w:pPr>
  </w:style>
  <w:style w:type="paragraph" w:customStyle="1" w:styleId="Introtext">
    <w:name w:val="!Intro text"/>
    <w:basedOn w:val="BodyTextIndent"/>
    <w:link w:val="IntrotextChar"/>
    <w:qFormat/>
    <w:rsid w:val="008F2417"/>
    <w:pPr>
      <w:spacing w:before="120"/>
      <w:ind w:left="0"/>
    </w:pPr>
    <w:rPr>
      <w:rFonts w:ascii="Arial" w:hAnsi="Arial" w:cs="Arial"/>
      <w:b/>
      <w:bCs/>
      <w:sz w:val="22"/>
    </w:rPr>
  </w:style>
  <w:style w:type="character" w:customStyle="1" w:styleId="IntrotextChar">
    <w:name w:val="!Intro text Char"/>
    <w:basedOn w:val="BodyTextIndentChar"/>
    <w:link w:val="Introtext"/>
    <w:rsid w:val="008F2417"/>
    <w:rPr>
      <w:rFonts w:ascii="Arial" w:eastAsia="Times New Roman" w:hAnsi="Arial" w:cs="Arial"/>
      <w:b/>
      <w:bCs/>
      <w:sz w:val="22"/>
      <w:szCs w:val="20"/>
    </w:rPr>
  </w:style>
  <w:style w:type="table" w:styleId="PlainTable1">
    <w:name w:val="Plain Table 1"/>
    <w:basedOn w:val="TableNormal"/>
    <w:uiPriority w:val="41"/>
    <w:rsid w:val="004E7B5A"/>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4Number">
    <w:name w:val="H4_Number"/>
    <w:basedOn w:val="Heading3"/>
    <w:next w:val="NormalSS"/>
    <w:link w:val="H4NumberChar"/>
    <w:qFormat/>
    <w:rsid w:val="00112139"/>
    <w:pPr>
      <w:outlineLvl w:val="3"/>
    </w:pPr>
    <w:rPr>
      <w:b w:val="0"/>
      <w:spacing w:val="5"/>
    </w:rPr>
  </w:style>
  <w:style w:type="character" w:customStyle="1" w:styleId="H4NumberChar">
    <w:name w:val="H4_Number Char"/>
    <w:basedOn w:val="Heading3Char"/>
    <w:link w:val="H4Number"/>
    <w:rsid w:val="00112139"/>
    <w:rPr>
      <w:rFonts w:eastAsia="Times New Roman" w:asciiTheme="majorHAnsi" w:hAnsiTheme="majorHAnsi" w:cs="Times New Roman"/>
      <w:b w:val="0"/>
      <w:spacing w:val="5"/>
      <w:sz w:val="16"/>
      <w:szCs w:val="20"/>
    </w:rPr>
  </w:style>
  <w:style w:type="paragraph" w:customStyle="1" w:styleId="TextboxNUMBER">
    <w:name w:val="Textbox NUMBER"/>
    <w:basedOn w:val="numbertest"/>
    <w:qFormat/>
    <w:rsid w:val="00112139"/>
    <w:pPr>
      <w:spacing w:after="60"/>
      <w:ind w:left="288" w:hanging="288"/>
    </w:pPr>
  </w:style>
  <w:style w:type="table" w:customStyle="1" w:styleId="TableGrid1">
    <w:name w:val="Table Grid1"/>
    <w:basedOn w:val="TableNormal"/>
    <w:next w:val="TableGrid"/>
    <w:uiPriority w:val="59"/>
    <w:rsid w:val="000C67BD"/>
    <w:pPr>
      <w:spacing w:after="0"/>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paragraph" w:customStyle="1" w:styleId="H3Alpha">
    <w:name w:val="H3_Alpha"/>
    <w:next w:val="Normal"/>
    <w:link w:val="H3AlphaChar"/>
    <w:qFormat/>
    <w:rsid w:val="00D87C0E"/>
    <w:pPr>
      <w:spacing w:before="360" w:after="120"/>
      <w:ind w:left="432" w:hanging="432"/>
      <w:outlineLvl w:val="2"/>
    </w:pPr>
    <w:rPr>
      <w:rFonts w:ascii="Arial Black" w:eastAsia="Times New Roman" w:hAnsi="Arial Black" w:cs="Times New Roman"/>
      <w:caps/>
      <w:color w:val="00828C"/>
      <w:sz w:val="20"/>
      <w:szCs w:val="20"/>
    </w:rPr>
  </w:style>
  <w:style w:type="character" w:customStyle="1" w:styleId="H3AlphaChar">
    <w:name w:val="H3_Alpha Char"/>
    <w:basedOn w:val="Heading2Char"/>
    <w:link w:val="H3Alpha"/>
    <w:rsid w:val="00D87C0E"/>
    <w:rPr>
      <w:rFonts w:ascii="Arial Black" w:eastAsia="Times New Roman" w:hAnsi="Arial Black" w:cs="Times New Roman"/>
      <w:caps w:val="0"/>
      <w:color w:val="00828C"/>
      <w:sz w:val="20"/>
      <w:szCs w:val="20"/>
    </w:rPr>
  </w:style>
  <w:style w:type="paragraph" w:customStyle="1" w:styleId="Level1">
    <w:name w:val="Level 1"/>
    <w:basedOn w:val="Normal"/>
    <w:unhideWhenUsed/>
    <w:rsid w:val="00184BCF"/>
    <w:pPr>
      <w:widowControl w:val="0"/>
      <w:numPr>
        <w:numId w:val="23"/>
      </w:numPr>
      <w:ind w:left="720" w:hanging="720"/>
      <w:outlineLvl w:val="0"/>
    </w:pPr>
    <w:rPr>
      <w:snapToGrid w:val="0"/>
    </w:rPr>
  </w:style>
  <w:style w:type="paragraph" w:customStyle="1" w:styleId="Body">
    <w:name w:val="Body"/>
    <w:basedOn w:val="Normal"/>
    <w:rsid w:val="00401F6E"/>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snapToGrid w:val="0"/>
    </w:rPr>
  </w:style>
  <w:style w:type="paragraph" w:customStyle="1" w:styleId="StyleStyleListParagraphLatinArialBoldBold">
    <w:name w:val="Style Style List Paragraph + (Latin) Arial Bold + Bold"/>
    <w:basedOn w:val="Normal"/>
    <w:rsid w:val="00401F6E"/>
    <w:pPr>
      <w:spacing w:before="240" w:line="276" w:lineRule="auto"/>
      <w:contextualSpacing/>
    </w:pPr>
    <w:rPr>
      <w:rFonts w:ascii="Arial" w:hAnsi="Arial" w:eastAsiaTheme="majorEastAsia" w:cstheme="majorBidi"/>
      <w:b/>
      <w:bCs/>
      <w:szCs w:val="22"/>
      <w:lang w:bidi="en-US"/>
    </w:rPr>
  </w:style>
  <w:style w:type="paragraph" w:customStyle="1" w:styleId="EQRTableTextBOX">
    <w:name w:val="EQR Table Text BOX"/>
    <w:basedOn w:val="EQRNormalSSWSquestion3YN"/>
    <w:qFormat/>
    <w:rsid w:val="00D65E61"/>
    <w:pPr>
      <w:textboxTightWrap w:val="allLines"/>
      <w:numPr>
        <w:numId w:val="233"/>
      </w:numPr>
      <w:ind w:left="360"/>
    </w:pPr>
  </w:style>
  <w:style w:type="paragraph" w:customStyle="1" w:styleId="Style1">
    <w:name w:val="Style1"/>
    <w:basedOn w:val="Normal"/>
    <w:uiPriority w:val="99"/>
    <w:rsid w:val="00834C2D"/>
    <w:pPr>
      <w:spacing w:line="276" w:lineRule="auto"/>
    </w:pPr>
    <w:rPr>
      <w:rFonts w:ascii="Arial" w:hAnsi="Arial" w:eastAsiaTheme="majorEastAsia" w:cs="Arial"/>
      <w:sz w:val="22"/>
      <w:szCs w:val="22"/>
      <w:lang w:bidi="en-US"/>
    </w:rPr>
  </w:style>
  <w:style w:type="character" w:customStyle="1" w:styleId="StyleLatinArial10pt">
    <w:name w:val="Style (Latin) Arial 10 pt"/>
    <w:basedOn w:val="DefaultParagraphFont"/>
    <w:rsid w:val="00834C2D"/>
    <w:rPr>
      <w:rFonts w:ascii="Arial" w:hAnsi="Arial"/>
      <w:b/>
      <w:color w:val="006068" w:themeColor="accent1" w:themeShade="BF"/>
      <w:sz w:val="24"/>
    </w:rPr>
  </w:style>
  <w:style w:type="paragraph" w:customStyle="1" w:styleId="EQRNormalSSWSquestionNUMBER">
    <w:name w:val="EQR NormalSS WS question NUMBER"/>
    <w:basedOn w:val="EQRNormalSSWSquestion"/>
    <w:qFormat/>
    <w:rsid w:val="00146280"/>
    <w:pPr>
      <w:numPr>
        <w:numId w:val="107"/>
      </w:numPr>
      <w:spacing w:before="180"/>
    </w:pPr>
  </w:style>
  <w:style w:type="paragraph" w:customStyle="1" w:styleId="EQRNormalSSWScheck2ndlevel">
    <w:name w:val="EQR NormalSS WS check 2nd level"/>
    <w:basedOn w:val="EQRNormalSSWScheck"/>
    <w:qFormat/>
    <w:rsid w:val="008143E3"/>
    <w:pPr>
      <w:tabs>
        <w:tab w:val="clear" w:pos="432"/>
      </w:tabs>
      <w:ind w:left="576"/>
    </w:pPr>
  </w:style>
  <w:style w:type="paragraph" w:customStyle="1" w:styleId="EQRNormalSSWSbullet2ndlevel">
    <w:name w:val="EQR NormalSS WS bullet 2nd level"/>
    <w:basedOn w:val="EQRNormalSSWSbullet"/>
    <w:qFormat/>
    <w:rsid w:val="00ED0F7C"/>
    <w:pPr>
      <w:numPr>
        <w:numId w:val="64"/>
      </w:numPr>
      <w:tabs>
        <w:tab w:val="clear" w:pos="432"/>
      </w:tabs>
      <w:ind w:left="1080"/>
    </w:pPr>
  </w:style>
  <w:style w:type="paragraph" w:customStyle="1" w:styleId="EQRNormalSSWSbullet3rdlevel">
    <w:name w:val="EQR NormalSS WS bullet 3rd level"/>
    <w:basedOn w:val="EQRNormalSSWSbullet2ndlevel"/>
    <w:qFormat/>
    <w:rsid w:val="00440C7C"/>
    <w:pPr>
      <w:numPr>
        <w:numId w:val="63"/>
      </w:numPr>
      <w:spacing w:line="264" w:lineRule="auto"/>
      <w:contextualSpacing/>
    </w:pPr>
  </w:style>
  <w:style w:type="paragraph" w:customStyle="1" w:styleId="Style">
    <w:name w:val="Style"/>
    <w:basedOn w:val="Normal"/>
    <w:rsid w:val="00792163"/>
    <w:pPr>
      <w:widowControl w:val="0"/>
      <w:ind w:firstLine="360"/>
    </w:pPr>
    <w:rPr>
      <w:snapToGrid w:val="0"/>
    </w:rPr>
  </w:style>
  <w:style w:type="character" w:styleId="PlaceholderText">
    <w:name w:val="Placeholder Text"/>
    <w:basedOn w:val="DefaultParagraphFont"/>
    <w:uiPriority w:val="99"/>
    <w:semiHidden/>
    <w:rsid w:val="004E7B5A"/>
    <w:rPr>
      <w:color w:val="808080"/>
    </w:rPr>
  </w:style>
  <w:style w:type="paragraph" w:customStyle="1" w:styleId="EQRBulletBLUE-LAST">
    <w:name w:val="EQR Bullet BLUE - LAST"/>
    <w:basedOn w:val="EQRBulletBLUE"/>
    <w:qFormat/>
    <w:rsid w:val="00554E42"/>
    <w:pPr>
      <w:spacing w:after="240"/>
    </w:pPr>
  </w:style>
  <w:style w:type="paragraph" w:customStyle="1" w:styleId="EQRBulletBLUE3rdlevel">
    <w:name w:val="EQR Bullet BLUE 3rd level"/>
    <w:basedOn w:val="EQRBulletBLUE"/>
    <w:qFormat/>
    <w:rsid w:val="00200E96"/>
    <w:pPr>
      <w:numPr>
        <w:numId w:val="0"/>
      </w:numPr>
      <w:ind w:left="1296" w:hanging="432"/>
    </w:pPr>
    <w:rPr>
      <w:lang w:bidi="en-US"/>
    </w:rPr>
  </w:style>
  <w:style w:type="character" w:customStyle="1" w:styleId="field-content">
    <w:name w:val="field-content"/>
    <w:basedOn w:val="DefaultParagraphFont"/>
    <w:rsid w:val="00A457C5"/>
  </w:style>
  <w:style w:type="paragraph" w:customStyle="1" w:styleId="EQRzGlossarytable">
    <w:name w:val="EQR_zGlossary table"/>
    <w:basedOn w:val="EQRTableText"/>
    <w:qFormat/>
    <w:rsid w:val="00AF7E7F"/>
    <w:rPr>
      <w:sz w:val="22"/>
    </w:rPr>
  </w:style>
  <w:style w:type="character" w:styleId="UnresolvedMention">
    <w:name w:val="Unresolved Mention"/>
    <w:basedOn w:val="DefaultParagraphFont"/>
    <w:uiPriority w:val="99"/>
    <w:semiHidden/>
    <w:unhideWhenUsed/>
    <w:rsid w:val="004E7B5A"/>
    <w:rPr>
      <w:color w:val="605E5C"/>
      <w:shd w:val="clear" w:color="auto" w:fill="E1DFDD"/>
    </w:rPr>
  </w:style>
  <w:style w:type="paragraph" w:customStyle="1" w:styleId="Acknowledgment">
    <w:name w:val="Acknowledgment"/>
    <w:basedOn w:val="H1"/>
    <w:next w:val="Normal"/>
    <w:uiPriority w:val="1"/>
    <w:qFormat/>
    <w:rsid w:val="004E7B5A"/>
  </w:style>
  <w:style w:type="paragraph" w:customStyle="1" w:styleId="AppendixTitle">
    <w:name w:val="Appendix Title"/>
    <w:basedOn w:val="H1"/>
    <w:next w:val="Normal"/>
    <w:uiPriority w:val="1"/>
    <w:qFormat/>
    <w:rsid w:val="004E7B5A"/>
    <w:pPr>
      <w:jc w:val="center"/>
    </w:pPr>
  </w:style>
  <w:style w:type="paragraph" w:customStyle="1" w:styleId="AttachmentTitle">
    <w:name w:val="Attachment Title"/>
    <w:basedOn w:val="AppendixTitle"/>
    <w:next w:val="Normal"/>
    <w:uiPriority w:val="1"/>
    <w:qFormat/>
    <w:rsid w:val="004E7B5A"/>
  </w:style>
  <w:style w:type="paragraph" w:customStyle="1" w:styleId="ExhibitTitle">
    <w:name w:val="Exhibit Title"/>
    <w:basedOn w:val="TableTitle"/>
    <w:next w:val="Paragraph0"/>
    <w:uiPriority w:val="1"/>
    <w:qFormat/>
    <w:rsid w:val="004E7B5A"/>
  </w:style>
  <w:style w:type="paragraph" w:customStyle="1" w:styleId="TableTitle">
    <w:name w:val="Table Title"/>
    <w:basedOn w:val="Normal"/>
    <w:next w:val="Paragraph0"/>
    <w:uiPriority w:val="1"/>
    <w:qFormat/>
    <w:rsid w:val="004E7B5A"/>
    <w:pPr>
      <w:keepNext/>
      <w:spacing w:before="360" w:after="60"/>
    </w:pPr>
    <w:rPr>
      <w:rFonts w:asciiTheme="majorHAnsi" w:hAnsiTheme="majorHAnsi"/>
      <w:b/>
      <w:sz w:val="22"/>
    </w:rPr>
  </w:style>
  <w:style w:type="paragraph" w:customStyle="1" w:styleId="FigureTitle">
    <w:name w:val="Figure Title"/>
    <w:basedOn w:val="TableTitle"/>
    <w:next w:val="Paragraph0"/>
    <w:uiPriority w:val="1"/>
    <w:unhideWhenUsed/>
    <w:qFormat/>
    <w:rsid w:val="004E7B5A"/>
  </w:style>
  <w:style w:type="character" w:customStyle="1" w:styleId="MTEquationSection">
    <w:name w:val="MTEquationSection"/>
    <w:basedOn w:val="DefaultParagraphFont"/>
    <w:uiPriority w:val="1"/>
    <w:semiHidden/>
    <w:qFormat/>
    <w:rsid w:val="004E7B5A"/>
    <w:rPr>
      <w:rFonts w:ascii="Arial" w:hAnsi="Arial"/>
      <w:vanish w:val="0"/>
      <w:color w:val="auto"/>
      <w:sz w:val="18"/>
    </w:rPr>
  </w:style>
  <w:style w:type="paragraph" w:customStyle="1" w:styleId="Paragraph0">
    <w:name w:val="Paragraph"/>
    <w:basedOn w:val="Normal"/>
    <w:uiPriority w:val="1"/>
    <w:qFormat/>
    <w:rsid w:val="004E5005"/>
  </w:style>
  <w:style w:type="paragraph" w:customStyle="1" w:styleId="ParagraphContinued">
    <w:name w:val="Paragraph Continued"/>
    <w:basedOn w:val="Paragraph0"/>
    <w:next w:val="Paragraph0"/>
    <w:uiPriority w:val="1"/>
    <w:qFormat/>
    <w:rsid w:val="00885BBE"/>
    <w:pPr>
      <w:spacing w:before="240"/>
    </w:pPr>
  </w:style>
  <w:style w:type="paragraph" w:customStyle="1" w:styleId="TableTextRight">
    <w:name w:val="Table Text Right"/>
    <w:basedOn w:val="TableTextLeft"/>
    <w:uiPriority w:val="1"/>
    <w:qFormat/>
    <w:rsid w:val="004E7B5A"/>
    <w:pPr>
      <w:jc w:val="right"/>
    </w:pPr>
  </w:style>
  <w:style w:type="paragraph" w:customStyle="1" w:styleId="TableFootnote">
    <w:name w:val="Table Footnote"/>
    <w:basedOn w:val="ExhibitFootnote"/>
    <w:uiPriority w:val="1"/>
    <w:qFormat/>
    <w:rsid w:val="004E7B5A"/>
    <w:pPr>
      <w:tabs>
        <w:tab w:val="left" w:pos="1080"/>
      </w:tabs>
      <w:spacing w:after="60"/>
    </w:pPr>
    <w:rPr>
      <w:rFonts w:asciiTheme="majorHAnsi" w:hAnsiTheme="majorHAnsi"/>
    </w:rPr>
  </w:style>
  <w:style w:type="paragraph" w:customStyle="1" w:styleId="TableTextLeft">
    <w:name w:val="Table Text Left"/>
    <w:basedOn w:val="Normal"/>
    <w:uiPriority w:val="1"/>
    <w:qFormat/>
    <w:rsid w:val="004E7B5A"/>
    <w:pPr>
      <w:spacing w:before="60" w:after="60"/>
    </w:pPr>
    <w:rPr>
      <w:rFonts w:asciiTheme="majorHAnsi" w:hAnsiTheme="majorHAnsi"/>
      <w:sz w:val="18"/>
    </w:rPr>
  </w:style>
  <w:style w:type="paragraph" w:customStyle="1" w:styleId="ExhibitSource">
    <w:name w:val="Exhibit Source"/>
    <w:uiPriority w:val="1"/>
    <w:qFormat/>
    <w:rsid w:val="004E7B5A"/>
    <w:pPr>
      <w:spacing w:before="60" w:after="0"/>
      <w:ind w:left="720" w:hanging="720"/>
    </w:pPr>
    <w:rPr>
      <w:rFonts w:ascii="Arial" w:eastAsia="Times New Roman" w:hAnsi="Arial" w:cs="Times New Roman"/>
      <w:sz w:val="18"/>
      <w:szCs w:val="20"/>
    </w:rPr>
  </w:style>
  <w:style w:type="paragraph" w:customStyle="1" w:styleId="ExhibitSignificance">
    <w:name w:val="Exhibit Significance"/>
    <w:basedOn w:val="Normal"/>
    <w:uiPriority w:val="1"/>
    <w:qFormat/>
    <w:rsid w:val="004E7B5A"/>
    <w:pPr>
      <w:tabs>
        <w:tab w:val="right" w:pos="360"/>
        <w:tab w:val="left" w:pos="540"/>
      </w:tabs>
      <w:spacing w:before="240" w:after="0"/>
      <w:ind w:left="547" w:hanging="547"/>
      <w:contextualSpacing/>
    </w:pPr>
    <w:rPr>
      <w:rFonts w:ascii="Arial" w:hAnsi="Arial"/>
      <w:sz w:val="18"/>
    </w:rPr>
  </w:style>
  <w:style w:type="paragraph" w:styleId="Title">
    <w:name w:val="Title"/>
    <w:basedOn w:val="Normal"/>
    <w:next w:val="Normal"/>
    <w:link w:val="TitleChar"/>
    <w:uiPriority w:val="1"/>
    <w:qFormat/>
    <w:rsid w:val="004E7B5A"/>
    <w:pPr>
      <w:spacing w:before="240"/>
      <w:outlineLvl w:val="0"/>
    </w:pPr>
    <w:rPr>
      <w:rFonts w:ascii="Arial Black" w:hAnsi="Arial Black"/>
      <w:color w:val="00559D" w:themeColor="text2"/>
    </w:rPr>
  </w:style>
  <w:style w:type="character" w:customStyle="1" w:styleId="TitleChar">
    <w:name w:val="Title Char"/>
    <w:basedOn w:val="DefaultParagraphFont"/>
    <w:link w:val="Title"/>
    <w:uiPriority w:val="1"/>
    <w:rsid w:val="004E7B5A"/>
    <w:rPr>
      <w:rFonts w:ascii="Arial Black" w:eastAsia="Times New Roman" w:hAnsi="Arial Black" w:cs="Times New Roman"/>
      <w:color w:val="00559D" w:themeColor="text2"/>
      <w:szCs w:val="20"/>
    </w:rPr>
  </w:style>
  <w:style w:type="paragraph" w:customStyle="1" w:styleId="mathematicaorg">
    <w:name w:val="mathematica.org"/>
    <w:uiPriority w:val="1"/>
    <w:qFormat/>
    <w:rsid w:val="004E7B5A"/>
    <w:pPr>
      <w:spacing w:after="100" w:line="264" w:lineRule="auto"/>
      <w:jc w:val="right"/>
    </w:pPr>
    <w:rPr>
      <w:rFonts w:eastAsia="Times New Roman" w:asciiTheme="majorHAnsi" w:hAnsiTheme="majorHAnsi" w:cs="Times New Roman"/>
      <w:noProof/>
      <w:sz w:val="20"/>
      <w:szCs w:val="19"/>
    </w:rPr>
  </w:style>
  <w:style w:type="table" w:customStyle="1" w:styleId="CORESETTable">
    <w:name w:val="CORE SET Table"/>
    <w:basedOn w:val="TableNormal"/>
    <w:uiPriority w:val="99"/>
    <w:rsid w:val="0073110E"/>
    <w:pPr>
      <w:textboxTightWrap w:val="allLines"/>
      <w:spacing w:after="0"/>
    </w:pPr>
    <w:rPr>
      <w:rFonts w:asciiTheme="majorHAnsi" w:hAnsiTheme="majorHAnsi"/>
      <w:sz w:val="18"/>
    </w:rPr>
    <w:tblPr>
      <w:tblStyleRowBandSize w:val="1"/>
      <w:tblBorders>
        <w:top w:val="single" w:sz="4" w:space="0" w:color="00559D" w:themeColor="text2"/>
        <w:left w:val="single" w:sz="4" w:space="0" w:color="00559D" w:themeColor="text2"/>
        <w:bottom w:val="single" w:sz="4" w:space="0" w:color="00559D" w:themeColor="text2"/>
        <w:right w:val="single" w:sz="4" w:space="0" w:color="00559D" w:themeColor="text2"/>
        <w:insideH w:val="single" w:sz="4" w:space="0" w:color="00559D" w:themeColor="text2"/>
        <w:insideV w:val="single" w:sz="4" w:space="0" w:color="00559D" w:themeColor="text2"/>
      </w:tblBorders>
      <w:tblCellMar>
        <w:left w:w="115" w:type="dxa"/>
        <w:right w:w="115" w:type="dxa"/>
      </w:tblCellMar>
    </w:tblPr>
    <w:trPr>
      <w:cantSplit/>
    </w:trPr>
    <w:tcPr>
      <w:shd w:val="clear" w:color="auto" w:fill="EEF5F5" w:themeFill="background2"/>
      <w:tcMar>
        <w:top w:w="0" w:type="dxa"/>
        <w:left w:w="43" w:type="dxa"/>
        <w:bottom w:w="0" w:type="dxa"/>
        <w:right w:w="43" w:type="dxa"/>
      </w:tcMar>
    </w:tcPr>
    <w:tblStylePr w:type="firstRow">
      <w:pPr>
        <w:wordWrap/>
        <w:spacing w:before="60" w:beforeLines="0" w:beforeAutospacing="0" w:after="60" w:afterLines="0" w:afterAutospacing="0" w:line="240" w:lineRule="auto"/>
        <w:ind w:left="0" w:right="0" w:firstLine="0" w:leftChars="0" w:rightChars="0" w:firstLineChars="0"/>
        <w:contextualSpacing w:val="0"/>
        <w:jc w:val="left"/>
        <w:outlineLvl w:val="9"/>
      </w:pPr>
      <w:rPr>
        <w:rFonts w:asciiTheme="majorHAnsi" w:hAnsiTheme="majorHAnsi"/>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val="0"/>
      </w:trPr>
      <w:tcPr>
        <w:shd w:val="clear" w:color="auto" w:fill="00828C" w:themeFill="accent1"/>
        <w:vAlign w:val="bottom"/>
      </w:tcPr>
    </w:tblStylePr>
    <w:tblStylePr w:type="lastRow">
      <w:pPr>
        <w:jc w:val="left"/>
      </w:pPr>
      <w:rPr>
        <w:b w:val="0"/>
        <w:color w:val="FFFFFF" w:themeColor="background1"/>
      </w:rPr>
      <w:tblPr/>
      <w:tcPr>
        <w:shd w:val="clear" w:color="auto" w:fill="00828C" w:themeFill="accent1"/>
      </w:tcPr>
    </w:tblStylePr>
    <w:tblStylePr w:type="firstCol">
      <w:pPr>
        <w:wordWrap/>
        <w:spacing w:beforeLines="0" w:beforeAutospacing="0" w:afterLines="0" w:afterAutospacing="0"/>
        <w:contextualSpacing/>
        <w:jc w:val="left"/>
      </w:pPr>
      <w:rPr>
        <w:rFonts w:asciiTheme="majorHAnsi" w:hAnsiTheme="majorHAnsi"/>
        <w:b w:val="0"/>
        <w:i w:val="0"/>
        <w:color w:val="000000" w:themeColor="text1"/>
        <w:sz w:val="18"/>
      </w:rPr>
    </w:tblStylePr>
    <w:tblStylePr w:type="lastCol">
      <w:pPr>
        <w:jc w:val="left"/>
      </w:pPr>
    </w:tblStylePr>
    <w:tblStylePr w:type="band1Horz">
      <w:tblPr/>
      <w:tcPr>
        <w:shd w:val="clear" w:color="auto" w:fill="FFFFFF" w:themeFill="background1"/>
      </w:tcPr>
    </w:tblStylePr>
    <w:tblStylePr w:type="band2Horz">
      <w:tblPr/>
      <w:tcPr>
        <w:shd w:val="clear" w:color="auto" w:fill="EEF5F5" w:themeFill="background2"/>
      </w:tcPr>
    </w:tblStylePr>
    <w:tblStylePr w:type="neCell">
      <w:rPr>
        <w:b/>
      </w:rPr>
      <w:trPr>
        <w:cantSplit/>
      </w:trPr>
    </w:tblStylePr>
    <w:tblStylePr w:type="nwCell">
      <w:pPr>
        <w:wordWrap/>
        <w:spacing w:before="6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cPr>
        <w:shd w:val="clear" w:color="auto" w:fill="00828C" w:themeFill="accent1"/>
      </w:tcPr>
    </w:tblStylePr>
    <w:tblStylePr w:type="seCell">
      <w:pPr>
        <w:jc w:val="left"/>
      </w:pPr>
      <w:tblPr/>
      <w:tcPr>
        <w:vAlign w:val="center"/>
      </w:tcPr>
    </w:tblStylePr>
  </w:style>
  <w:style w:type="paragraph" w:customStyle="1" w:styleId="Introduction">
    <w:name w:val="Introduction"/>
    <w:basedOn w:val="ESSidebar"/>
    <w:uiPriority w:val="1"/>
    <w:unhideWhenUsed/>
    <w:qFormat/>
    <w:rsid w:val="004E7B5A"/>
  </w:style>
  <w:style w:type="paragraph" w:customStyle="1" w:styleId="Feature1Title">
    <w:name w:val="Feature1 Title"/>
    <w:basedOn w:val="Normal"/>
    <w:uiPriority w:val="1"/>
    <w:qFormat/>
    <w:rsid w:val="004E7B5A"/>
    <w:pPr>
      <w:keepNext/>
      <w:keepLines/>
      <w:pBdr>
        <w:top w:val="single" w:sz="24" w:space="1" w:color="00828C" w:themeColor="accent1"/>
        <w:bottom w:val="single" w:sz="24" w:space="1" w:color="00828C" w:themeColor="accent1"/>
      </w:pBdr>
      <w:shd w:val="clear" w:color="auto" w:fill="00828C"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uiPriority w:val="1"/>
    <w:qFormat/>
    <w:rsid w:val="004E7B5A"/>
    <w:pPr>
      <w:keepNext/>
      <w:tabs>
        <w:tab w:val="left" w:pos="432"/>
      </w:tabs>
      <w:spacing w:before="240" w:after="0" w:line="216" w:lineRule="auto"/>
    </w:pPr>
    <w:rPr>
      <w:rFonts w:ascii="Arial Black" w:hAnsi="Arial Black"/>
      <w:color w:val="00559D" w:themeColor="text2"/>
      <w:sz w:val="22"/>
    </w:rPr>
  </w:style>
  <w:style w:type="paragraph" w:customStyle="1" w:styleId="Feature1ListHead">
    <w:name w:val="Feature1 List Head"/>
    <w:basedOn w:val="Normal"/>
    <w:uiPriority w:val="1"/>
    <w:qFormat/>
    <w:rsid w:val="004E7B5A"/>
    <w:pPr>
      <w:keepNext/>
      <w:tabs>
        <w:tab w:val="left" w:pos="432"/>
      </w:tabs>
      <w:spacing w:before="80" w:after="160"/>
      <w:ind w:left="432" w:hanging="432"/>
    </w:pPr>
    <w:rPr>
      <w:b/>
    </w:rPr>
  </w:style>
  <w:style w:type="paragraph" w:customStyle="1" w:styleId="Feature1">
    <w:name w:val="Feature1"/>
    <w:basedOn w:val="Paragraph0"/>
    <w:uiPriority w:val="1"/>
    <w:qFormat/>
    <w:rsid w:val="004E7B5A"/>
    <w:pPr>
      <w:spacing w:before="120" w:after="0"/>
    </w:pPr>
    <w:rPr>
      <w:color w:val="000000" w:themeColor="text1"/>
    </w:rPr>
  </w:style>
  <w:style w:type="character" w:customStyle="1" w:styleId="Bold">
    <w:name w:val="Bold"/>
    <w:basedOn w:val="DefaultParagraphFont"/>
    <w:qFormat/>
    <w:rsid w:val="004E7B5A"/>
    <w:rPr>
      <w:b/>
    </w:rPr>
  </w:style>
  <w:style w:type="character" w:customStyle="1" w:styleId="BoldItalic">
    <w:name w:val="Bold Italic"/>
    <w:basedOn w:val="DefaultParagraphFont"/>
    <w:qFormat/>
    <w:rsid w:val="004E7B5A"/>
    <w:rPr>
      <w:b/>
      <w:i/>
    </w:rPr>
  </w:style>
  <w:style w:type="character" w:customStyle="1" w:styleId="HighlightBlue">
    <w:name w:val="Highlight Blue"/>
    <w:basedOn w:val="DefaultParagraphFont"/>
    <w:uiPriority w:val="1"/>
    <w:semiHidden/>
    <w:qFormat/>
    <w:rsid w:val="004E7B5A"/>
    <w:rPr>
      <w:bdr w:val="none" w:sz="0" w:space="0" w:color="auto"/>
      <w:shd w:val="clear" w:color="auto" w:fill="B1F4FD"/>
    </w:rPr>
  </w:style>
  <w:style w:type="character" w:customStyle="1" w:styleId="HighlightYellow">
    <w:name w:val="Highlight Yellow"/>
    <w:basedOn w:val="DefaultParagraphFont"/>
    <w:uiPriority w:val="1"/>
    <w:semiHidden/>
    <w:qFormat/>
    <w:rsid w:val="004E7B5A"/>
    <w:rPr>
      <w:bdr w:val="none" w:sz="0" w:space="0" w:color="auto"/>
      <w:shd w:val="clear" w:color="auto" w:fill="FFFF00"/>
    </w:rPr>
  </w:style>
  <w:style w:type="character" w:customStyle="1" w:styleId="Italic">
    <w:name w:val="Italic"/>
    <w:basedOn w:val="DefaultParagraphFont"/>
    <w:uiPriority w:val="1"/>
    <w:unhideWhenUsed/>
    <w:qFormat/>
    <w:rsid w:val="004E7B5A"/>
    <w:rPr>
      <w:i/>
    </w:rPr>
  </w:style>
  <w:style w:type="character" w:customStyle="1" w:styleId="RunIn">
    <w:name w:val="Run In"/>
    <w:basedOn w:val="DefaultParagraphFont"/>
    <w:uiPriority w:val="1"/>
    <w:qFormat/>
    <w:rsid w:val="004E7B5A"/>
    <w:rPr>
      <w:b/>
      <w:i w:val="0"/>
      <w:color w:val="00559D" w:themeColor="text2"/>
    </w:rPr>
  </w:style>
  <w:style w:type="character" w:customStyle="1" w:styleId="TableTextTight">
    <w:name w:val="Table Text Tight"/>
    <w:uiPriority w:val="1"/>
    <w:qFormat/>
    <w:rsid w:val="004E7B5A"/>
    <w:rPr>
      <w:sz w:val="16"/>
    </w:rPr>
  </w:style>
  <w:style w:type="paragraph" w:customStyle="1" w:styleId="Anchor">
    <w:name w:val="Anchor"/>
    <w:uiPriority w:val="1"/>
    <w:qFormat/>
    <w:rsid w:val="004E7B5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uiPriority w:val="1"/>
    <w:qFormat/>
    <w:rsid w:val="004E7B5A"/>
    <w:pPr>
      <w:tabs>
        <w:tab w:val="right" w:pos="0"/>
        <w:tab w:val="right" w:pos="9720"/>
      </w:tabs>
      <w:spacing w:after="0"/>
      <w:ind w:right="-720"/>
      <w:jc w:val="right"/>
    </w:pPr>
    <w:rPr>
      <w:rFonts w:ascii="Arial Black" w:hAnsi="Arial Black"/>
      <w:b/>
      <w:caps/>
      <w:color w:val="00559D" w:themeColor="text2"/>
      <w:sz w:val="60"/>
    </w:rPr>
  </w:style>
  <w:style w:type="paragraph" w:customStyle="1" w:styleId="Feature1ListBullet">
    <w:name w:val="Feature1 List Bullet"/>
    <w:basedOn w:val="Normal"/>
    <w:uiPriority w:val="1"/>
    <w:qFormat/>
    <w:rsid w:val="004E7B5A"/>
    <w:pPr>
      <w:numPr>
        <w:numId w:val="49"/>
      </w:numPr>
      <w:tabs>
        <w:tab w:val="left" w:pos="432"/>
      </w:tabs>
      <w:spacing w:before="120" w:after="0"/>
    </w:pPr>
  </w:style>
  <w:style w:type="paragraph" w:customStyle="1" w:styleId="Feature1ListNumbered">
    <w:name w:val="Feature1 List Numbered"/>
    <w:basedOn w:val="ListNumber"/>
    <w:uiPriority w:val="1"/>
    <w:qFormat/>
    <w:rsid w:val="004E7B5A"/>
    <w:pPr>
      <w:spacing w:after="0"/>
      <w:contextualSpacing/>
    </w:pPr>
    <w:rPr>
      <w:sz w:val="20"/>
    </w:rPr>
  </w:style>
  <w:style w:type="paragraph" w:customStyle="1" w:styleId="Feature2">
    <w:name w:val="Feature2"/>
    <w:basedOn w:val="Feature1"/>
    <w:uiPriority w:val="1"/>
    <w:qFormat/>
    <w:rsid w:val="004E7B5A"/>
    <w:rPr>
      <w:rFonts w:asciiTheme="majorHAnsi" w:hAnsiTheme="majorHAnsi"/>
      <w:color w:val="00559D" w:themeColor="text2"/>
      <w:sz w:val="22"/>
    </w:rPr>
  </w:style>
  <w:style w:type="paragraph" w:customStyle="1" w:styleId="Feature2ListBullet">
    <w:name w:val="Feature2 List Bullet"/>
    <w:basedOn w:val="Feature1ListBullet"/>
    <w:uiPriority w:val="1"/>
    <w:qFormat/>
    <w:rsid w:val="004E7B5A"/>
    <w:pPr>
      <w:numPr>
        <w:numId w:val="53"/>
      </w:numPr>
    </w:pPr>
    <w:rPr>
      <w:rFonts w:asciiTheme="majorHAnsi" w:hAnsiTheme="majorHAnsi"/>
      <w:color w:val="00559D" w:themeColor="text2"/>
      <w:sz w:val="22"/>
    </w:rPr>
  </w:style>
  <w:style w:type="paragraph" w:customStyle="1" w:styleId="Feature2Head">
    <w:name w:val="Feature2 Head"/>
    <w:basedOn w:val="Feature1Head"/>
    <w:uiPriority w:val="1"/>
    <w:qFormat/>
    <w:rsid w:val="004E7B5A"/>
    <w:rPr>
      <w:b/>
    </w:rPr>
  </w:style>
  <w:style w:type="paragraph" w:customStyle="1" w:styleId="Feature2ListHead">
    <w:name w:val="Feature2 List Head"/>
    <w:basedOn w:val="Feature1ListHead"/>
    <w:uiPriority w:val="1"/>
    <w:qFormat/>
    <w:rsid w:val="004E7B5A"/>
    <w:rPr>
      <w:rFonts w:asciiTheme="majorHAnsi" w:hAnsiTheme="majorHAnsi"/>
      <w:color w:val="00559D" w:themeColor="text2"/>
      <w:sz w:val="20"/>
    </w:rPr>
  </w:style>
  <w:style w:type="paragraph" w:customStyle="1" w:styleId="Feature2ListNumbered">
    <w:name w:val="Feature2 List Numbered"/>
    <w:basedOn w:val="Feature2"/>
    <w:uiPriority w:val="1"/>
    <w:qFormat/>
    <w:rsid w:val="004E7B5A"/>
    <w:pPr>
      <w:numPr>
        <w:numId w:val="54"/>
      </w:numPr>
    </w:pPr>
  </w:style>
  <w:style w:type="paragraph" w:customStyle="1" w:styleId="Feature2Title">
    <w:name w:val="Feature2 Title"/>
    <w:basedOn w:val="Feature1Title"/>
    <w:uiPriority w:val="1"/>
    <w:qFormat/>
    <w:rsid w:val="004E7B5A"/>
    <w:pPr>
      <w:pBdr>
        <w:top w:val="single" w:sz="8" w:space="1" w:color="00559D" w:themeColor="text2"/>
        <w:bottom w:val="dotted" w:sz="6" w:space="3" w:color="00559D" w:themeColor="text2"/>
      </w:pBdr>
      <w:shd w:val="clear" w:color="auto" w:fill="auto"/>
      <w:ind w:left="0" w:firstLine="0"/>
    </w:pPr>
    <w:rPr>
      <w:color w:val="00828C" w:themeColor="accent1"/>
    </w:rPr>
  </w:style>
  <w:style w:type="paragraph" w:customStyle="1" w:styleId="QuoteAttribution">
    <w:name w:val="Quote Attribution"/>
    <w:basedOn w:val="Quote"/>
    <w:uiPriority w:val="1"/>
    <w:qFormat/>
    <w:rsid w:val="004E7B5A"/>
    <w:pPr>
      <w:spacing w:before="120"/>
      <w:jc w:val="right"/>
    </w:pPr>
    <w:rPr>
      <w:i/>
    </w:rPr>
  </w:style>
  <w:style w:type="paragraph" w:customStyle="1" w:styleId="LogoAnchor">
    <w:name w:val="Logo_Anchor"/>
    <w:basedOn w:val="Normal"/>
    <w:uiPriority w:val="1"/>
    <w:qFormat/>
    <w:rsid w:val="004E7B5A"/>
    <w:pPr>
      <w:spacing w:after="480"/>
      <w:ind w:left="-1440" w:right="-1440"/>
      <w:jc w:val="center"/>
    </w:pPr>
    <w:rPr>
      <w:sz w:val="4"/>
    </w:rPr>
  </w:style>
  <w:style w:type="paragraph" w:customStyle="1" w:styleId="SidebarHead">
    <w:name w:val="Sidebar Head"/>
    <w:basedOn w:val="Normal"/>
    <w:uiPriority w:val="1"/>
    <w:qFormat/>
    <w:rsid w:val="004E7B5A"/>
    <w:pPr>
      <w:keepNext/>
      <w:tabs>
        <w:tab w:val="left" w:pos="432"/>
      </w:tabs>
      <w:spacing w:before="120" w:after="40"/>
      <w:contextualSpacing/>
    </w:pPr>
    <w:rPr>
      <w:rFonts w:asciiTheme="majorHAnsi" w:hAnsiTheme="majorHAnsi"/>
      <w:b/>
      <w:color w:val="000000" w:themeColor="text1"/>
      <w:sz w:val="20"/>
    </w:rPr>
  </w:style>
  <w:style w:type="paragraph" w:customStyle="1" w:styleId="Sidebar">
    <w:name w:val="Sidebar"/>
    <w:basedOn w:val="Normal"/>
    <w:uiPriority w:val="1"/>
    <w:qFormat/>
    <w:rsid w:val="00716CF4"/>
    <w:pPr>
      <w:tabs>
        <w:tab w:val="left" w:pos="792"/>
      </w:tabs>
      <w:spacing w:before="60" w:after="60"/>
    </w:pPr>
    <w:rPr>
      <w:rFonts w:ascii="Arial" w:hAnsi="Arial" w:cs="Arial"/>
      <w:color w:val="000000" w:themeColor="text1"/>
      <w:spacing w:val="-4"/>
      <w:sz w:val="20"/>
    </w:rPr>
  </w:style>
  <w:style w:type="paragraph" w:customStyle="1" w:styleId="SidebarListBullet">
    <w:name w:val="Sidebar List Bullet"/>
    <w:basedOn w:val="Sidebar"/>
    <w:uiPriority w:val="1"/>
    <w:qFormat/>
    <w:rsid w:val="004E7B5A"/>
    <w:pPr>
      <w:numPr>
        <w:numId w:val="33"/>
      </w:numPr>
      <w:tabs>
        <w:tab w:val="clear" w:pos="792"/>
      </w:tabs>
    </w:pPr>
    <w:rPr>
      <w:color w:val="000000"/>
      <w:szCs w:val="21"/>
    </w:rPr>
  </w:style>
  <w:style w:type="paragraph" w:customStyle="1" w:styleId="SidebarListNumber">
    <w:name w:val="Sidebar List Number"/>
    <w:basedOn w:val="Sidebar"/>
    <w:uiPriority w:val="1"/>
    <w:qFormat/>
    <w:rsid w:val="004E7B5A"/>
    <w:pPr>
      <w:numPr>
        <w:numId w:val="34"/>
      </w:numPr>
      <w:tabs>
        <w:tab w:val="clear" w:pos="792"/>
      </w:tabs>
    </w:pPr>
    <w:rPr>
      <w:color w:val="000000"/>
      <w:szCs w:val="21"/>
    </w:rPr>
  </w:style>
  <w:style w:type="paragraph" w:customStyle="1" w:styleId="SidebarTitle">
    <w:name w:val="Sidebar Title"/>
    <w:basedOn w:val="SidebarHead"/>
    <w:uiPriority w:val="1"/>
    <w:qFormat/>
    <w:rsid w:val="004E7B5A"/>
    <w:pPr>
      <w:pBdr>
        <w:bottom w:val="single" w:sz="6" w:space="2" w:color="000000" w:themeColor="text1"/>
      </w:pBdr>
      <w:spacing w:before="0"/>
      <w:jc w:val="center"/>
    </w:pPr>
    <w:rPr>
      <w:rFonts w:ascii="Arial Black" w:hAnsi="Arial Black"/>
    </w:rPr>
  </w:style>
  <w:style w:type="paragraph" w:customStyle="1" w:styleId="Byline">
    <w:name w:val="Byline"/>
    <w:basedOn w:val="QuoteAttribution"/>
    <w:uiPriority w:val="1"/>
    <w:qFormat/>
    <w:rsid w:val="004E7B5A"/>
    <w:rPr>
      <w:b/>
    </w:rPr>
  </w:style>
  <w:style w:type="paragraph" w:customStyle="1" w:styleId="Author">
    <w:name w:val="Author"/>
    <w:basedOn w:val="Byline"/>
    <w:uiPriority w:val="1"/>
    <w:qFormat/>
    <w:rsid w:val="004E7B5A"/>
    <w:pPr>
      <w:jc w:val="left"/>
    </w:pPr>
  </w:style>
  <w:style w:type="paragraph" w:customStyle="1" w:styleId="TableTextCentered">
    <w:name w:val="Table Text Centered"/>
    <w:basedOn w:val="TableTextLeft"/>
    <w:uiPriority w:val="1"/>
    <w:qFormat/>
    <w:rsid w:val="004E7B5A"/>
    <w:pPr>
      <w:jc w:val="center"/>
    </w:pPr>
  </w:style>
  <w:style w:type="paragraph" w:customStyle="1" w:styleId="TableTextDecimal">
    <w:name w:val="Table Text Decimal"/>
    <w:basedOn w:val="TableTextLeft"/>
    <w:uiPriority w:val="1"/>
    <w:qFormat/>
    <w:rsid w:val="004E7B5A"/>
    <w:pPr>
      <w:textboxTightWrap w:val="allLines"/>
      <w:framePr w:hSpace="180" w:vSpace="40" w:wrap="around" w:vAnchor="text" w:hAnchor="margin" w:y="49"/>
      <w:tabs>
        <w:tab w:val="decimal" w:pos="716"/>
      </w:tabs>
    </w:pPr>
  </w:style>
  <w:style w:type="paragraph" w:customStyle="1" w:styleId="TableRowHead">
    <w:name w:val="Table Row Head"/>
    <w:basedOn w:val="TableHeaderLeft"/>
    <w:uiPriority w:val="1"/>
    <w:qFormat/>
    <w:rsid w:val="0026008B"/>
  </w:style>
  <w:style w:type="paragraph" w:customStyle="1" w:styleId="Pubinfo">
    <w:name w:val="Pubinfo"/>
    <w:basedOn w:val="Byline"/>
    <w:uiPriority w:val="1"/>
    <w:qFormat/>
    <w:rsid w:val="004E7B5A"/>
    <w:pPr>
      <w:spacing w:before="0" w:after="120"/>
      <w:jc w:val="left"/>
    </w:pPr>
    <w:rPr>
      <w:b w:val="0"/>
    </w:rPr>
  </w:style>
  <w:style w:type="paragraph" w:customStyle="1" w:styleId="PubinfoHead">
    <w:name w:val="Pubinfo Head"/>
    <w:basedOn w:val="Pubinfo"/>
    <w:uiPriority w:val="1"/>
    <w:qFormat/>
    <w:rsid w:val="004E7B5A"/>
    <w:pPr>
      <w:spacing w:after="240"/>
    </w:pPr>
    <w:rPr>
      <w:b/>
    </w:rPr>
  </w:style>
  <w:style w:type="paragraph" w:customStyle="1" w:styleId="PubinfoList">
    <w:name w:val="Pubinfo List"/>
    <w:basedOn w:val="PubinfoHead"/>
    <w:uiPriority w:val="1"/>
    <w:qFormat/>
    <w:rsid w:val="004E7B5A"/>
    <w:pPr>
      <w:spacing w:before="60" w:after="60"/>
      <w:ind w:left="432" w:hanging="432"/>
    </w:pPr>
    <w:rPr>
      <w:rFonts w:asciiTheme="minorHAnsi" w:hAnsiTheme="minorHAnsi"/>
      <w:b w:val="0"/>
    </w:rPr>
  </w:style>
  <w:style w:type="character" w:customStyle="1" w:styleId="Superscript">
    <w:name w:val="Superscript"/>
    <w:basedOn w:val="DefaultParagraphFont"/>
    <w:uiPriority w:val="1"/>
    <w:qFormat/>
    <w:rsid w:val="004E7B5A"/>
    <w:rPr>
      <w:vertAlign w:val="superscript"/>
    </w:rPr>
  </w:style>
  <w:style w:type="character" w:customStyle="1" w:styleId="Subscript">
    <w:name w:val="Subscript"/>
    <w:basedOn w:val="DefaultParagraphFont"/>
    <w:uiPriority w:val="1"/>
    <w:qFormat/>
    <w:rsid w:val="004E7B5A"/>
    <w:rPr>
      <w:vertAlign w:val="subscript"/>
    </w:rPr>
  </w:style>
  <w:style w:type="character" w:customStyle="1" w:styleId="Underline">
    <w:name w:val="Underline"/>
    <w:basedOn w:val="DefaultParagraphFont"/>
    <w:uiPriority w:val="1"/>
    <w:qFormat/>
    <w:rsid w:val="004E7B5A"/>
    <w:rPr>
      <w:u w:val="single"/>
    </w:rPr>
  </w:style>
  <w:style w:type="paragraph" w:customStyle="1" w:styleId="ExhibitFootnote">
    <w:name w:val="Exhibit Footnote"/>
    <w:basedOn w:val="ExhibitSource"/>
    <w:uiPriority w:val="1"/>
    <w:qFormat/>
    <w:rsid w:val="004E7B5A"/>
    <w:pPr>
      <w:ind w:left="0" w:firstLine="0"/>
    </w:pPr>
  </w:style>
  <w:style w:type="character" w:customStyle="1" w:styleId="NoSpacingChar">
    <w:name w:val="No Spacing Char"/>
    <w:basedOn w:val="DefaultParagraphFont"/>
    <w:link w:val="NoSpacing"/>
    <w:uiPriority w:val="1"/>
    <w:rsid w:val="004E7B5A"/>
    <w:rPr>
      <w:rFonts w:asciiTheme="minorHAnsi" w:hAnsiTheme="minorHAnsi"/>
      <w:szCs w:val="22"/>
    </w:rPr>
  </w:style>
  <w:style w:type="paragraph" w:customStyle="1" w:styleId="Notes">
    <w:name w:val="Notes"/>
    <w:basedOn w:val="Normal"/>
    <w:uiPriority w:val="1"/>
    <w:qFormat/>
    <w:rsid w:val="004E7B5A"/>
    <w:pPr>
      <w:spacing w:after="60"/>
    </w:pPr>
    <w:rPr>
      <w:rFonts w:asciiTheme="majorHAnsi" w:hAnsiTheme="majorHAnsi"/>
      <w:color w:val="00559D" w:themeColor="text2"/>
      <w:sz w:val="20"/>
    </w:rPr>
  </w:style>
  <w:style w:type="paragraph" w:customStyle="1" w:styleId="PubinfoNumber">
    <w:name w:val="Pubinfo Number"/>
    <w:basedOn w:val="Pubinfo"/>
    <w:uiPriority w:val="1"/>
    <w:qFormat/>
    <w:rsid w:val="004E7B5A"/>
  </w:style>
  <w:style w:type="paragraph" w:customStyle="1" w:styleId="PubinfoCategory">
    <w:name w:val="Pubinfo Category"/>
    <w:basedOn w:val="PubinfoNumber"/>
    <w:uiPriority w:val="1"/>
    <w:qFormat/>
    <w:rsid w:val="004E7B5A"/>
    <w:rPr>
      <w:rFonts w:cstheme="majorHAnsi"/>
      <w:b/>
      <w:smallCaps/>
    </w:rPr>
  </w:style>
  <w:style w:type="paragraph" w:customStyle="1" w:styleId="ESH1">
    <w:name w:val="ES H1"/>
    <w:basedOn w:val="Normal"/>
    <w:next w:val="ESParagraphContinued"/>
    <w:uiPriority w:val="1"/>
    <w:qFormat/>
    <w:rsid w:val="004E7B5A"/>
    <w:pPr>
      <w:keepNext/>
      <w:pageBreakBefore/>
      <w:tabs>
        <w:tab w:val="left" w:pos="432"/>
      </w:tabs>
      <w:spacing w:before="240" w:line="216" w:lineRule="auto"/>
      <w:outlineLvl w:val="1"/>
    </w:pPr>
    <w:rPr>
      <w:rFonts w:ascii="Arial Black" w:hAnsi="Arial Black"/>
      <w:b/>
      <w:color w:val="00559D" w:themeColor="text2"/>
      <w:sz w:val="32"/>
    </w:rPr>
  </w:style>
  <w:style w:type="paragraph" w:customStyle="1" w:styleId="ESListBullet">
    <w:name w:val="ES List Bullet"/>
    <w:basedOn w:val="Feature1ListBullet"/>
    <w:uiPriority w:val="1"/>
    <w:qFormat/>
    <w:rsid w:val="004E7B5A"/>
    <w:pPr>
      <w:numPr>
        <w:numId w:val="35"/>
      </w:numPr>
      <w:spacing w:line="288" w:lineRule="auto"/>
    </w:pPr>
    <w:rPr>
      <w:rFonts w:asciiTheme="majorHAnsi" w:hAnsiTheme="majorHAnsi"/>
      <w:color w:val="000000" w:themeColor="text1"/>
      <w:sz w:val="22"/>
    </w:rPr>
  </w:style>
  <w:style w:type="paragraph" w:customStyle="1" w:styleId="ESParagraph">
    <w:name w:val="ES Paragraph"/>
    <w:basedOn w:val="Paragraph0"/>
    <w:uiPriority w:val="1"/>
    <w:qFormat/>
    <w:rsid w:val="004E7B5A"/>
    <w:rPr>
      <w:rFonts w:ascii="Arial" w:hAnsi="Arial"/>
      <w:color w:val="000000" w:themeColor="text1"/>
      <w:sz w:val="22"/>
    </w:rPr>
  </w:style>
  <w:style w:type="paragraph" w:customStyle="1" w:styleId="TableSignificance">
    <w:name w:val="Table Significance"/>
    <w:basedOn w:val="TableFootnote"/>
    <w:uiPriority w:val="1"/>
    <w:qFormat/>
    <w:rsid w:val="004E7B5A"/>
    <w:pPr>
      <w:tabs>
        <w:tab w:val="right" w:pos="360"/>
        <w:tab w:val="left" w:pos="540"/>
        <w:tab w:val="clear" w:pos="1080"/>
      </w:tabs>
      <w:ind w:left="533" w:hanging="720"/>
    </w:pPr>
  </w:style>
  <w:style w:type="paragraph" w:customStyle="1" w:styleId="ESSidebar">
    <w:name w:val="ES Sidebar"/>
    <w:basedOn w:val="Sidebar"/>
    <w:uiPriority w:val="1"/>
    <w:qFormat/>
    <w:rsid w:val="004E7B5A"/>
  </w:style>
  <w:style w:type="paragraph" w:customStyle="1" w:styleId="FAQQuestion">
    <w:name w:val="FAQ Question"/>
    <w:basedOn w:val="Normal"/>
    <w:uiPriority w:val="1"/>
    <w:qFormat/>
    <w:rsid w:val="004E7B5A"/>
    <w:pPr>
      <w:keepNext/>
      <w:numPr>
        <w:numId w:val="36"/>
      </w:numPr>
      <w:tabs>
        <w:tab w:val="left" w:pos="432"/>
      </w:tabs>
      <w:spacing w:before="240" w:after="360" w:line="312" w:lineRule="auto"/>
      <w:outlineLvl w:val="2"/>
    </w:pPr>
    <w:rPr>
      <w:rFonts w:asciiTheme="majorHAnsi" w:hAnsiTheme="majorHAnsi"/>
      <w:color w:val="00828C" w:themeColor="accent1"/>
      <w:sz w:val="28"/>
    </w:rPr>
  </w:style>
  <w:style w:type="character" w:customStyle="1" w:styleId="BoldUnderline">
    <w:name w:val="Bold Underline"/>
    <w:basedOn w:val="DefaultParagraphFont"/>
    <w:qFormat/>
    <w:rsid w:val="004E7B5A"/>
    <w:rPr>
      <w:b/>
      <w:u w:val="single"/>
    </w:rPr>
  </w:style>
  <w:style w:type="paragraph" w:customStyle="1" w:styleId="LOF1">
    <w:name w:val="LOF 1"/>
    <w:basedOn w:val="TableofFigures"/>
    <w:uiPriority w:val="1"/>
    <w:semiHidden/>
    <w:qFormat/>
    <w:rsid w:val="004E7B5A"/>
  </w:style>
  <w:style w:type="character" w:customStyle="1" w:styleId="8pt">
    <w:name w:val="8 pt"/>
    <w:basedOn w:val="DefaultParagraphFont"/>
    <w:uiPriority w:val="1"/>
    <w:qFormat/>
    <w:rsid w:val="004E7B5A"/>
    <w:rPr>
      <w:sz w:val="16"/>
    </w:rPr>
  </w:style>
  <w:style w:type="character" w:customStyle="1" w:styleId="9pt">
    <w:name w:val="9 pt"/>
    <w:basedOn w:val="DefaultParagraphFont"/>
    <w:uiPriority w:val="1"/>
    <w:qFormat/>
    <w:rsid w:val="004E7B5A"/>
    <w:rPr>
      <w:sz w:val="18"/>
    </w:rPr>
  </w:style>
  <w:style w:type="character" w:styleId="IntenseReference">
    <w:name w:val="Intense Reference"/>
    <w:basedOn w:val="DefaultParagraphFont"/>
    <w:uiPriority w:val="1"/>
    <w:unhideWhenUsed/>
    <w:qFormat/>
    <w:locked/>
    <w:rsid w:val="004E7B5A"/>
    <w:rPr>
      <w:b/>
      <w:bCs/>
      <w:smallCaps/>
      <w:color w:val="00828C" w:themeColor="accent1"/>
      <w:spacing w:val="5"/>
    </w:rPr>
  </w:style>
  <w:style w:type="character" w:styleId="IntenseEmphasis">
    <w:name w:val="Intense Emphasis"/>
    <w:basedOn w:val="DefaultParagraphFont"/>
    <w:uiPriority w:val="1"/>
    <w:unhideWhenUsed/>
    <w:qFormat/>
    <w:locked/>
    <w:rsid w:val="004E7B5A"/>
    <w:rPr>
      <w:i/>
      <w:iCs/>
      <w:color w:val="00828C" w:themeColor="accent1"/>
    </w:rPr>
  </w:style>
  <w:style w:type="paragraph" w:customStyle="1" w:styleId="Callout">
    <w:name w:val="Callout"/>
    <w:basedOn w:val="Feature2Head"/>
    <w:uiPriority w:val="1"/>
    <w:qFormat/>
    <w:rsid w:val="004E7B5A"/>
    <w:pPr>
      <w:pBdr>
        <w:top w:val="single" w:sz="24" w:space="8" w:color="00828C" w:themeColor="accent1"/>
        <w:bottom w:val="single" w:sz="24" w:space="8" w:color="00828C" w:themeColor="accent1"/>
      </w:pBdr>
      <w:spacing w:before="0" w:line="264" w:lineRule="auto"/>
    </w:pPr>
    <w:rPr>
      <w:rFonts w:asciiTheme="minorHAnsi" w:hAnsiTheme="minorHAnsi"/>
      <w:b w:val="0"/>
      <w:color w:val="00828C" w:themeColor="accent1"/>
      <w:sz w:val="24"/>
    </w:rPr>
  </w:style>
  <w:style w:type="paragraph" w:customStyle="1" w:styleId="FigureFootnote">
    <w:name w:val="Figure Footnote"/>
    <w:basedOn w:val="ExhibitFootnote"/>
    <w:uiPriority w:val="1"/>
    <w:unhideWhenUsed/>
    <w:qFormat/>
    <w:rsid w:val="004E7B5A"/>
  </w:style>
  <w:style w:type="paragraph" w:customStyle="1" w:styleId="PubinfoDate">
    <w:name w:val="Pubinfo Date"/>
    <w:basedOn w:val="PubinfoHead"/>
    <w:uiPriority w:val="1"/>
    <w:qFormat/>
    <w:rsid w:val="004E7B5A"/>
  </w:style>
  <w:style w:type="paragraph" w:customStyle="1" w:styleId="FeatureEndRule">
    <w:name w:val="Feature End Rule"/>
    <w:basedOn w:val="Feature1ListBullet"/>
    <w:uiPriority w:val="1"/>
    <w:qFormat/>
    <w:rsid w:val="004E7B5A"/>
    <w:pPr>
      <w:numPr>
        <w:numId w:val="0"/>
      </w:numPr>
      <w:pBdr>
        <w:bottom w:val="single" w:sz="6" w:space="1" w:color="auto"/>
      </w:pBdr>
      <w:spacing w:after="360" w:line="40" w:lineRule="exact"/>
    </w:pPr>
    <w:rPr>
      <w:color w:val="FFFFFF" w:themeColor="background1"/>
      <w:sz w:val="4"/>
    </w:rPr>
  </w:style>
  <w:style w:type="numbering" w:customStyle="1" w:styleId="Feature20">
    <w:name w:val="Feature 2"/>
    <w:uiPriority w:val="99"/>
    <w:rsid w:val="004E7B5A"/>
    <w:pPr>
      <w:numPr>
        <w:numId w:val="48"/>
      </w:numPr>
    </w:pPr>
  </w:style>
  <w:style w:type="paragraph" w:customStyle="1" w:styleId="FootnoteSep">
    <w:name w:val="Footnote Sep"/>
    <w:basedOn w:val="Normal"/>
    <w:uiPriority w:val="1"/>
    <w:unhideWhenUsed/>
    <w:qFormat/>
    <w:rsid w:val="004E7B5A"/>
    <w:pPr>
      <w:pBdr>
        <w:top w:val="single" w:sz="4" w:space="1" w:color="00559D" w:themeColor="text2"/>
      </w:pBdr>
      <w:spacing w:after="80" w:line="40" w:lineRule="exact"/>
    </w:pPr>
    <w:rPr>
      <w:color w:val="FFFFFF" w:themeColor="background1"/>
      <w:sz w:val="4"/>
    </w:rPr>
  </w:style>
  <w:style w:type="paragraph" w:customStyle="1" w:styleId="FigureSignificance">
    <w:name w:val="Figure Significance"/>
    <w:basedOn w:val="ExhibitSignificance"/>
    <w:uiPriority w:val="1"/>
    <w:unhideWhenUsed/>
    <w:qFormat/>
    <w:rsid w:val="004E7B5A"/>
    <w:pPr>
      <w:spacing w:before="60"/>
    </w:pPr>
  </w:style>
  <w:style w:type="paragraph" w:customStyle="1" w:styleId="FigureSource">
    <w:name w:val="Figure Source"/>
    <w:basedOn w:val="ExhibitSource"/>
    <w:uiPriority w:val="1"/>
    <w:unhideWhenUsed/>
    <w:qFormat/>
    <w:rsid w:val="004E7B5A"/>
    <w:rPr>
      <w:rFonts w:asciiTheme="majorHAnsi" w:hAnsiTheme="majorHAnsi"/>
    </w:rPr>
  </w:style>
  <w:style w:type="paragraph" w:customStyle="1" w:styleId="ListAlpha">
    <w:name w:val="List Alpha"/>
    <w:basedOn w:val="Normal"/>
    <w:uiPriority w:val="1"/>
    <w:qFormat/>
    <w:rsid w:val="004E7B5A"/>
    <w:pPr>
      <w:numPr>
        <w:numId w:val="37"/>
      </w:numPr>
      <w:spacing w:before="120" w:after="120"/>
      <w:contextualSpacing/>
    </w:pPr>
  </w:style>
  <w:style w:type="paragraph" w:customStyle="1" w:styleId="ListAlpha2">
    <w:name w:val="List Alpha 2"/>
    <w:basedOn w:val="Normal"/>
    <w:uiPriority w:val="1"/>
    <w:qFormat/>
    <w:rsid w:val="00396B59"/>
    <w:pPr>
      <w:numPr>
        <w:numId w:val="38"/>
      </w:numPr>
      <w:spacing w:before="120" w:after="120"/>
      <w:contextualSpacing/>
    </w:pPr>
  </w:style>
  <w:style w:type="paragraph" w:customStyle="1" w:styleId="ListAlpha3">
    <w:name w:val="List Alpha 3"/>
    <w:basedOn w:val="Normal"/>
    <w:uiPriority w:val="1"/>
    <w:qFormat/>
    <w:rsid w:val="004E7B5A"/>
    <w:pPr>
      <w:numPr>
        <w:numId w:val="39"/>
      </w:numPr>
    </w:pPr>
  </w:style>
  <w:style w:type="character" w:customStyle="1" w:styleId="TitleSubtitle">
    <w:name w:val="Title_Subtitle"/>
    <w:basedOn w:val="DefaultParagraphFont"/>
    <w:uiPriority w:val="1"/>
    <w:qFormat/>
    <w:rsid w:val="004E7B5A"/>
    <w:rPr>
      <w:rFonts w:asciiTheme="majorHAnsi" w:hAnsiTheme="majorHAnsi"/>
      <w:b/>
      <w:color w:val="00559D" w:themeColor="text2"/>
    </w:rPr>
  </w:style>
  <w:style w:type="paragraph" w:customStyle="1" w:styleId="ESParagraphContinued">
    <w:name w:val="ES Paragraph Continued"/>
    <w:basedOn w:val="ESParagraph"/>
    <w:next w:val="ESParagraph"/>
    <w:uiPriority w:val="1"/>
    <w:qFormat/>
    <w:rsid w:val="004E7B5A"/>
    <w:pPr>
      <w:spacing w:before="240"/>
    </w:pPr>
  </w:style>
  <w:style w:type="paragraph" w:customStyle="1" w:styleId="ESListNumber">
    <w:name w:val="ES List Number"/>
    <w:basedOn w:val="ESParagraph"/>
    <w:uiPriority w:val="1"/>
    <w:qFormat/>
    <w:rsid w:val="004E7B5A"/>
    <w:pPr>
      <w:numPr>
        <w:numId w:val="40"/>
      </w:numPr>
      <w:spacing w:line="288" w:lineRule="auto"/>
      <w:contextualSpacing/>
    </w:pPr>
  </w:style>
  <w:style w:type="paragraph" w:customStyle="1" w:styleId="TableSource">
    <w:name w:val="Table Source"/>
    <w:basedOn w:val="ExhibitSource"/>
    <w:uiPriority w:val="1"/>
    <w:qFormat/>
    <w:rsid w:val="004E7B5A"/>
    <w:pPr>
      <w:spacing w:after="60"/>
    </w:pPr>
  </w:style>
  <w:style w:type="paragraph" w:customStyle="1" w:styleId="CoverTitle">
    <w:name w:val="Cover Title"/>
    <w:basedOn w:val="Normal"/>
    <w:uiPriority w:val="1"/>
    <w:qFormat/>
    <w:rsid w:val="004E7B5A"/>
    <w:pPr>
      <w:suppressAutoHyphens/>
      <w:autoSpaceDE w:val="0"/>
      <w:autoSpaceDN w:val="0"/>
      <w:adjustRightInd w:val="0"/>
      <w:spacing w:before="360" w:after="720"/>
      <w:textAlignment w:val="center"/>
      <w:outlineLvl w:val="0"/>
    </w:pPr>
    <w:rPr>
      <w:rFonts w:ascii="Arial" w:hAnsi="Arial" w:eastAsiaTheme="minorHAnsi" w:cs="Arial"/>
      <w:b/>
      <w:bCs/>
      <w:color w:val="FFFFFF" w:themeColor="background1"/>
      <w:spacing w:val="5"/>
      <w:sz w:val="44"/>
      <w:szCs w:val="44"/>
    </w:rPr>
  </w:style>
  <w:style w:type="paragraph" w:customStyle="1" w:styleId="CoverDate">
    <w:name w:val="Cover Date"/>
    <w:basedOn w:val="Date"/>
    <w:next w:val="CoverAuthor"/>
    <w:uiPriority w:val="1"/>
    <w:unhideWhenUsed/>
    <w:qFormat/>
    <w:rsid w:val="004E7B5A"/>
    <w:pPr>
      <w:spacing w:before="720" w:after="290"/>
    </w:pPr>
    <w:rPr>
      <w:color w:val="00828C" w:themeColor="accent1"/>
    </w:rPr>
  </w:style>
  <w:style w:type="paragraph" w:customStyle="1" w:styleId="CoverAuthor">
    <w:name w:val="Cover Author"/>
    <w:basedOn w:val="Normal"/>
    <w:uiPriority w:val="1"/>
    <w:qFormat/>
    <w:rsid w:val="004E7B5A"/>
    <w:pPr>
      <w:suppressAutoHyphens/>
      <w:autoSpaceDE w:val="0"/>
      <w:autoSpaceDN w:val="0"/>
      <w:adjustRightInd w:val="0"/>
      <w:spacing w:before="280" w:after="600" w:line="288" w:lineRule="auto"/>
      <w:contextualSpacing/>
      <w:textAlignment w:val="center"/>
    </w:pPr>
    <w:rPr>
      <w:rFonts w:asciiTheme="majorHAnsi" w:eastAsiaTheme="minorHAnsi" w:hAnsiTheme="majorHAnsi" w:cs="Arial"/>
      <w:color w:val="0B2949"/>
      <w:spacing w:val="2"/>
      <w:szCs w:val="24"/>
    </w:rPr>
  </w:style>
  <w:style w:type="paragraph" w:customStyle="1" w:styleId="CoverHead">
    <w:name w:val="Cover Head"/>
    <w:basedOn w:val="Normal"/>
    <w:uiPriority w:val="1"/>
    <w:qFormat/>
    <w:rsid w:val="004E7B5A"/>
    <w:pPr>
      <w:autoSpaceDE w:val="0"/>
      <w:autoSpaceDN w:val="0"/>
      <w:adjustRightInd w:val="0"/>
      <w:spacing w:after="90" w:line="276" w:lineRule="auto"/>
      <w:textAlignment w:val="center"/>
    </w:pPr>
    <w:rPr>
      <w:rFonts w:eastAsiaTheme="minorHAnsi" w:cs="Zilla Slab SemiBold"/>
      <w:b/>
      <w:bCs/>
      <w:color w:val="0B2949"/>
      <w:szCs w:val="22"/>
    </w:rPr>
  </w:style>
  <w:style w:type="paragraph" w:customStyle="1" w:styleId="CoverText">
    <w:name w:val="Cover Text"/>
    <w:basedOn w:val="Normal"/>
    <w:uiPriority w:val="1"/>
    <w:qFormat/>
    <w:rsid w:val="004E7B5A"/>
    <w:pPr>
      <w:spacing w:after="300" w:line="276" w:lineRule="auto"/>
      <w:contextualSpacing/>
    </w:pPr>
    <w:rPr>
      <w:rFonts w:eastAsiaTheme="minorHAnsi" w:cstheme="minorBidi"/>
      <w:color w:val="0B2949"/>
      <w:sz w:val="20"/>
    </w:rPr>
  </w:style>
  <w:style w:type="paragraph" w:customStyle="1" w:styleId="ESH2">
    <w:name w:val="ES H2"/>
    <w:basedOn w:val="Normal"/>
    <w:next w:val="ESParagraph"/>
    <w:uiPriority w:val="1"/>
    <w:qFormat/>
    <w:rsid w:val="004E7B5A"/>
    <w:pPr>
      <w:keepNext/>
      <w:tabs>
        <w:tab w:val="left" w:pos="432"/>
      </w:tabs>
      <w:spacing w:before="240" w:after="120" w:line="216" w:lineRule="auto"/>
      <w:outlineLvl w:val="2"/>
    </w:pPr>
    <w:rPr>
      <w:rFonts w:ascii="Arial Black" w:hAnsi="Arial Black"/>
      <w:color w:val="00828C" w:themeColor="accent1"/>
      <w:sz w:val="28"/>
    </w:rPr>
  </w:style>
  <w:style w:type="paragraph" w:customStyle="1" w:styleId="TableListNumber">
    <w:name w:val="Table List Number"/>
    <w:basedOn w:val="TableTextLeft"/>
    <w:uiPriority w:val="1"/>
    <w:qFormat/>
    <w:rsid w:val="004E7B5A"/>
    <w:pPr>
      <w:textboxTightWrap w:val="allLines"/>
      <w:numPr>
        <w:numId w:val="41"/>
      </w:numPr>
    </w:pPr>
  </w:style>
  <w:style w:type="paragraph" w:customStyle="1" w:styleId="TableListBullet">
    <w:name w:val="Table List Bullet"/>
    <w:basedOn w:val="TableTextLeft"/>
    <w:uiPriority w:val="1"/>
    <w:qFormat/>
    <w:rsid w:val="004E7B5A"/>
    <w:pPr>
      <w:textboxTightWrap w:val="allLines"/>
      <w:numPr>
        <w:numId w:val="46"/>
      </w:numPr>
    </w:pPr>
  </w:style>
  <w:style w:type="table" w:styleId="GridTableLight">
    <w:name w:val="Grid Table Light"/>
    <w:basedOn w:val="TableNormal"/>
    <w:uiPriority w:val="40"/>
    <w:rsid w:val="004E7B5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uiPriority w:val="1"/>
    <w:qFormat/>
    <w:rsid w:val="0056125E"/>
    <w:pPr>
      <w:spacing w:before="5120" w:after="0"/>
      <w:jc w:val="center"/>
    </w:pPr>
    <w:rPr>
      <w:b/>
      <w:color w:val="000000" w:themeColor="text1"/>
    </w:rPr>
  </w:style>
  <w:style w:type="paragraph" w:customStyle="1" w:styleId="FooterLetterhead">
    <w:name w:val="Footer Letterhead"/>
    <w:basedOn w:val="Footer"/>
    <w:uiPriority w:val="1"/>
    <w:unhideWhenUsed/>
    <w:qFormat/>
    <w:rsid w:val="004E7B5A"/>
    <w:pPr>
      <w:spacing w:before="360" w:after="0"/>
      <w:ind w:left="-1080" w:right="-1080"/>
      <w:contextualSpacing/>
      <w:jc w:val="center"/>
    </w:pPr>
    <w:rPr>
      <w:color w:val="00828C" w:themeColor="accent1"/>
      <w:sz w:val="18"/>
    </w:rPr>
  </w:style>
  <w:style w:type="table" w:customStyle="1" w:styleId="CoverTable">
    <w:name w:val="Cover Table"/>
    <w:basedOn w:val="TableNormal"/>
    <w:uiPriority w:val="99"/>
    <w:rsid w:val="004E7B5A"/>
    <w:pPr>
      <w:spacing w:after="0"/>
    </w:pPr>
    <w:tblPr/>
    <w:tcPr>
      <w:noWrap/>
      <w:tcMar>
        <w:left w:w="0" w:type="dxa"/>
        <w:right w:w="0" w:type="dxa"/>
      </w:tcMar>
    </w:tcPr>
  </w:style>
  <w:style w:type="paragraph" w:customStyle="1" w:styleId="Addressee">
    <w:name w:val="Addressee"/>
    <w:basedOn w:val="Salutation"/>
    <w:uiPriority w:val="1"/>
    <w:qFormat/>
    <w:rsid w:val="004E7B5A"/>
    <w:pPr>
      <w:spacing w:after="240" w:line="320" w:lineRule="exact"/>
    </w:pPr>
  </w:style>
  <w:style w:type="paragraph" w:customStyle="1" w:styleId="CoverSubtitle">
    <w:name w:val="Cover Subtitle"/>
    <w:basedOn w:val="CoverTitle"/>
    <w:uiPriority w:val="1"/>
    <w:qFormat/>
    <w:rsid w:val="004E7B5A"/>
    <w:pPr>
      <w:spacing w:before="720" w:after="240"/>
    </w:pPr>
    <w:rPr>
      <w:sz w:val="34"/>
    </w:rPr>
  </w:style>
  <w:style w:type="character" w:customStyle="1" w:styleId="CSDarkBlue">
    <w:name w:val="CS Dark Blue"/>
    <w:basedOn w:val="DefaultParagraphFont"/>
    <w:uiPriority w:val="1"/>
    <w:qFormat/>
    <w:rsid w:val="004E7B5A"/>
    <w:rPr>
      <w:color w:val="00559D" w:themeColor="text2"/>
    </w:rPr>
  </w:style>
  <w:style w:type="character" w:customStyle="1" w:styleId="CSDarkBlueBold">
    <w:name w:val="CS Dark Blue Bold"/>
    <w:basedOn w:val="DefaultParagraphFont"/>
    <w:uiPriority w:val="1"/>
    <w:qFormat/>
    <w:rsid w:val="004E7B5A"/>
    <w:rPr>
      <w:b/>
      <w:color w:val="00559D" w:themeColor="text2"/>
    </w:rPr>
  </w:style>
  <w:style w:type="character" w:customStyle="1" w:styleId="CSTeal">
    <w:name w:val="CS Teal"/>
    <w:basedOn w:val="DefaultParagraphFont"/>
    <w:uiPriority w:val="1"/>
    <w:qFormat/>
    <w:rsid w:val="004E7B5A"/>
    <w:rPr>
      <w:color w:val="00828C" w:themeColor="accent1"/>
      <w:u w:color="00828C"/>
    </w:rPr>
  </w:style>
  <w:style w:type="character" w:customStyle="1" w:styleId="CSTealBold">
    <w:name w:val="CS Teal Bold"/>
    <w:basedOn w:val="DefaultParagraphFont"/>
    <w:uiPriority w:val="1"/>
    <w:qFormat/>
    <w:rsid w:val="004E7B5A"/>
    <w:rPr>
      <w:b/>
      <w:color w:val="00828C" w:themeColor="accent1"/>
    </w:rPr>
  </w:style>
  <w:style w:type="table" w:customStyle="1" w:styleId="CORESETMEMO">
    <w:name w:val="CORESET MEMO"/>
    <w:basedOn w:val="TableNormal"/>
    <w:uiPriority w:val="99"/>
    <w:rsid w:val="004E7B5A"/>
    <w:pPr>
      <w:spacing w:after="0"/>
    </w:pPr>
    <w:tblPr>
      <w:tblBorders>
        <w:bottom w:val="single" w:sz="4" w:space="0" w:color="00559D" w:themeColor="text2"/>
      </w:tblBorders>
    </w:tblPr>
    <w:tcPr>
      <w:tcMar>
        <w:left w:w="0" w:type="dxa"/>
        <w:right w:w="0" w:type="dxa"/>
      </w:tcMar>
    </w:tcPr>
    <w:tblStylePr w:type="firstCol">
      <w:rPr>
        <w:rFonts w:ascii="Bahnschrift" w:hAnsi="Bahnschrift"/>
        <w:color w:val="00559D" w:themeColor="text2"/>
      </w:rPr>
    </w:tblStylePr>
  </w:style>
  <w:style w:type="character" w:customStyle="1" w:styleId="ArialBlack">
    <w:name w:val="Arial Black"/>
    <w:basedOn w:val="DefaultParagraphFont"/>
    <w:uiPriority w:val="1"/>
    <w:qFormat/>
    <w:rsid w:val="004E7B5A"/>
    <w:rPr>
      <w:rFonts w:ascii="Arial Black" w:hAnsi="Arial Black"/>
    </w:rPr>
  </w:style>
  <w:style w:type="paragraph" w:customStyle="1" w:styleId="Feature1ListBullet2">
    <w:name w:val="Feature1 List Bullet 2"/>
    <w:basedOn w:val="Feature1ListBullet"/>
    <w:uiPriority w:val="1"/>
    <w:qFormat/>
    <w:rsid w:val="004E7B5A"/>
    <w:pPr>
      <w:numPr>
        <w:numId w:val="50"/>
      </w:numPr>
      <w:tabs>
        <w:tab w:val="clear" w:pos="432"/>
        <w:tab w:val="left" w:pos="864"/>
      </w:tabs>
    </w:pPr>
  </w:style>
  <w:style w:type="paragraph" w:customStyle="1" w:styleId="Feature1ListBullet3">
    <w:name w:val="Feature1 List Bullet 3"/>
    <w:basedOn w:val="Feature1ListBullet2"/>
    <w:uiPriority w:val="1"/>
    <w:qFormat/>
    <w:rsid w:val="004E7B5A"/>
    <w:pPr>
      <w:numPr>
        <w:numId w:val="51"/>
      </w:numPr>
      <w:tabs>
        <w:tab w:val="clear" w:pos="864"/>
        <w:tab w:val="left" w:pos="1296"/>
      </w:tabs>
    </w:pPr>
  </w:style>
  <w:style w:type="paragraph" w:customStyle="1" w:styleId="Disclaimer">
    <w:name w:val="Disclaimer"/>
    <w:basedOn w:val="Footer"/>
    <w:uiPriority w:val="1"/>
    <w:qFormat/>
    <w:rsid w:val="004E7B5A"/>
    <w:pPr>
      <w:numPr>
        <w:numId w:val="42"/>
      </w:numPr>
      <w:pBdr>
        <w:top w:val="single" w:sz="6" w:space="4" w:color="00828C" w:themeColor="accent1"/>
      </w:pBdr>
      <w:tabs>
        <w:tab w:val="left" w:pos="360"/>
        <w:tab w:val="clear" w:pos="9360"/>
      </w:tabs>
    </w:pPr>
    <w:rPr>
      <w:rFonts w:asciiTheme="minorHAnsi" w:hAnsiTheme="minorHAnsi"/>
      <w:i/>
    </w:rPr>
  </w:style>
  <w:style w:type="paragraph" w:customStyle="1" w:styleId="H1">
    <w:name w:val="H1"/>
    <w:basedOn w:val="Heading1"/>
    <w:next w:val="Paragraph0"/>
    <w:link w:val="H1Char"/>
    <w:uiPriority w:val="1"/>
    <w:qFormat/>
    <w:rsid w:val="004E7B5A"/>
    <w:pPr>
      <w:pageBreakBefore/>
      <w:tabs>
        <w:tab w:val="clear" w:pos="432"/>
        <w:tab w:val="left" w:pos="648"/>
      </w:tabs>
      <w:spacing w:line="216" w:lineRule="auto"/>
      <w:ind w:left="0" w:firstLine="0"/>
      <w:outlineLvl w:val="1"/>
    </w:pPr>
    <w:rPr>
      <w:caps w:val="0"/>
      <w:color w:val="00559D" w:themeColor="text2"/>
    </w:rPr>
  </w:style>
  <w:style w:type="paragraph" w:customStyle="1" w:styleId="H2">
    <w:name w:val="H2"/>
    <w:basedOn w:val="Heading2"/>
    <w:next w:val="Paragraph0"/>
    <w:uiPriority w:val="1"/>
    <w:qFormat/>
    <w:rsid w:val="004E7B5A"/>
    <w:pPr>
      <w:spacing w:line="216" w:lineRule="auto"/>
      <w:ind w:left="0" w:firstLine="0"/>
      <w:outlineLvl w:val="2"/>
    </w:pPr>
    <w:rPr>
      <w:color w:val="00828C" w:themeColor="accent1"/>
    </w:rPr>
  </w:style>
  <w:style w:type="paragraph" w:customStyle="1" w:styleId="H3">
    <w:name w:val="H3"/>
    <w:basedOn w:val="Heading3"/>
    <w:next w:val="Paragraph0"/>
    <w:uiPriority w:val="1"/>
    <w:qFormat/>
    <w:rsid w:val="004E7B5A"/>
    <w:pPr>
      <w:ind w:left="0" w:firstLine="0"/>
      <w:outlineLvl w:val="3"/>
    </w:pPr>
  </w:style>
  <w:style w:type="paragraph" w:customStyle="1" w:styleId="H4">
    <w:name w:val="H4"/>
    <w:basedOn w:val="Heading4"/>
    <w:next w:val="Paragraph0"/>
    <w:uiPriority w:val="1"/>
    <w:qFormat/>
    <w:rsid w:val="004E7B5A"/>
    <w:pPr>
      <w:outlineLvl w:val="4"/>
    </w:pPr>
  </w:style>
  <w:style w:type="table" w:customStyle="1" w:styleId="Calendar2">
    <w:name w:val="Calendar 2"/>
    <w:basedOn w:val="TableNormal"/>
    <w:uiPriority w:val="99"/>
    <w:qFormat/>
    <w:rsid w:val="004E7B5A"/>
    <w:pPr>
      <w:spacing w:after="0"/>
      <w:jc w:val="center"/>
    </w:pPr>
    <w:rPr>
      <w:rFonts w:asciiTheme="minorHAnsi" w:hAnsiTheme="minorHAnsi"/>
      <w:sz w:val="28"/>
      <w:szCs w:val="28"/>
    </w:rPr>
    <w:tblPr>
      <w:tblBorders>
        <w:insideV w:val="single" w:sz="4" w:space="0" w:color="21EEFF" w:themeColor="accent1" w:themeTint="99"/>
      </w:tblBorders>
    </w:tblPr>
    <w:tblStylePr w:type="firstRow">
      <w:rPr>
        <w:rFonts w:asciiTheme="majorHAnsi" w:hAnsiTheme="majorHAnsi"/>
        <w:b w:val="0"/>
        <w:i w:val="0"/>
        <w:caps/>
        <w:smallCaps w:val="0"/>
        <w:color w:val="00828C" w:themeColor="accent1"/>
        <w:spacing w:val="20"/>
        <w:sz w:val="32"/>
      </w:rPr>
      <w:tblPr/>
      <w:tcPr>
        <w:tcBorders>
          <w:top w:val="nil"/>
          <w:left w:val="nil"/>
          <w:bottom w:val="nil"/>
          <w:right w:val="nil"/>
          <w:insideH w:val="nil"/>
          <w:insideV w:val="nil"/>
          <w:tl2br w:val="nil"/>
          <w:tr2bl w:val="nil"/>
        </w:tcBorders>
      </w:tcPr>
    </w:tblStylePr>
  </w:style>
  <w:style w:type="character" w:customStyle="1" w:styleId="LetterheadFooter">
    <w:name w:val="Letterhead Footer"/>
    <w:basedOn w:val="DefaultParagraphFont"/>
    <w:uiPriority w:val="1"/>
    <w:unhideWhenUsed/>
    <w:qFormat/>
    <w:rsid w:val="004E7B5A"/>
    <w:rPr>
      <w:i/>
      <w:color w:val="00559D" w:themeColor="text2"/>
    </w:rPr>
  </w:style>
  <w:style w:type="numbering" w:customStyle="1" w:styleId="SBBullet">
    <w:name w:val="SB Bullet"/>
    <w:uiPriority w:val="99"/>
    <w:rsid w:val="004E7B5A"/>
    <w:pPr>
      <w:numPr>
        <w:numId w:val="45"/>
      </w:numPr>
    </w:pPr>
  </w:style>
  <w:style w:type="character" w:styleId="BookTitle">
    <w:name w:val="Book Title"/>
    <w:basedOn w:val="DefaultParagraphFont"/>
    <w:uiPriority w:val="1"/>
    <w:qFormat/>
    <w:rsid w:val="004E7B5A"/>
    <w:rPr>
      <w:b/>
      <w:bCs/>
      <w:i/>
      <w:iCs/>
      <w:spacing w:val="5"/>
    </w:rPr>
  </w:style>
  <w:style w:type="character" w:styleId="Hashtag">
    <w:name w:val="Hashtag"/>
    <w:basedOn w:val="DefaultParagraphFont"/>
    <w:uiPriority w:val="1"/>
    <w:semiHidden/>
    <w:unhideWhenUsed/>
    <w:rsid w:val="004E7B5A"/>
    <w:rPr>
      <w:color w:val="2B579A"/>
      <w:shd w:val="clear" w:color="auto" w:fill="E1DFDD"/>
    </w:rPr>
  </w:style>
  <w:style w:type="character" w:styleId="HTMLAcronym">
    <w:name w:val="HTML Acronym"/>
    <w:basedOn w:val="DefaultParagraphFont"/>
    <w:uiPriority w:val="1"/>
    <w:semiHidden/>
    <w:unhideWhenUsed/>
    <w:rsid w:val="004E7B5A"/>
  </w:style>
  <w:style w:type="character" w:styleId="HTMLCite">
    <w:name w:val="HTML Cite"/>
    <w:basedOn w:val="DefaultParagraphFont"/>
    <w:uiPriority w:val="1"/>
    <w:semiHidden/>
    <w:unhideWhenUsed/>
    <w:rsid w:val="004E7B5A"/>
    <w:rPr>
      <w:i/>
      <w:iCs/>
    </w:rPr>
  </w:style>
  <w:style w:type="character" w:styleId="HTMLCode">
    <w:name w:val="HTML Code"/>
    <w:basedOn w:val="DefaultParagraphFont"/>
    <w:uiPriority w:val="1"/>
    <w:semiHidden/>
    <w:unhideWhenUsed/>
    <w:rsid w:val="004E7B5A"/>
    <w:rPr>
      <w:rFonts w:ascii="Consolas" w:hAnsi="Consolas"/>
      <w:sz w:val="20"/>
      <w:szCs w:val="20"/>
    </w:rPr>
  </w:style>
  <w:style w:type="character" w:styleId="HTMLDefinition">
    <w:name w:val="HTML Definition"/>
    <w:basedOn w:val="DefaultParagraphFont"/>
    <w:uiPriority w:val="1"/>
    <w:semiHidden/>
    <w:unhideWhenUsed/>
    <w:rsid w:val="004E7B5A"/>
    <w:rPr>
      <w:i/>
      <w:iCs/>
    </w:rPr>
  </w:style>
  <w:style w:type="character" w:styleId="HTMLKeyboard">
    <w:name w:val="HTML Keyboard"/>
    <w:basedOn w:val="DefaultParagraphFont"/>
    <w:uiPriority w:val="1"/>
    <w:semiHidden/>
    <w:unhideWhenUsed/>
    <w:rsid w:val="004E7B5A"/>
    <w:rPr>
      <w:rFonts w:ascii="Consolas" w:hAnsi="Consolas"/>
      <w:sz w:val="20"/>
      <w:szCs w:val="20"/>
    </w:rPr>
  </w:style>
  <w:style w:type="character" w:styleId="HTMLSample">
    <w:name w:val="HTML Sample"/>
    <w:basedOn w:val="DefaultParagraphFont"/>
    <w:uiPriority w:val="1"/>
    <w:semiHidden/>
    <w:unhideWhenUsed/>
    <w:rsid w:val="004E7B5A"/>
    <w:rPr>
      <w:rFonts w:ascii="Consolas" w:hAnsi="Consolas"/>
      <w:sz w:val="24"/>
      <w:szCs w:val="24"/>
    </w:rPr>
  </w:style>
  <w:style w:type="character" w:styleId="HTMLTypewriter">
    <w:name w:val="HTML Typewriter"/>
    <w:basedOn w:val="DefaultParagraphFont"/>
    <w:uiPriority w:val="1"/>
    <w:semiHidden/>
    <w:unhideWhenUsed/>
    <w:rsid w:val="004E7B5A"/>
    <w:rPr>
      <w:rFonts w:ascii="Consolas" w:hAnsi="Consolas"/>
      <w:sz w:val="20"/>
      <w:szCs w:val="20"/>
    </w:rPr>
  </w:style>
  <w:style w:type="character" w:styleId="HTMLVariable">
    <w:name w:val="HTML Variable"/>
    <w:basedOn w:val="DefaultParagraphFont"/>
    <w:uiPriority w:val="1"/>
    <w:semiHidden/>
    <w:unhideWhenUsed/>
    <w:rsid w:val="004E7B5A"/>
    <w:rPr>
      <w:i/>
      <w:iCs/>
    </w:rPr>
  </w:style>
  <w:style w:type="character" w:styleId="LineNumber">
    <w:name w:val="line number"/>
    <w:basedOn w:val="DefaultParagraphFont"/>
    <w:uiPriority w:val="1"/>
    <w:semiHidden/>
    <w:unhideWhenUsed/>
    <w:rsid w:val="004E7B5A"/>
  </w:style>
  <w:style w:type="character" w:styleId="Mention">
    <w:name w:val="Mention"/>
    <w:basedOn w:val="DefaultParagraphFont"/>
    <w:uiPriority w:val="1"/>
    <w:semiHidden/>
    <w:unhideWhenUsed/>
    <w:rsid w:val="004E7B5A"/>
    <w:rPr>
      <w:color w:val="2B579A"/>
      <w:shd w:val="clear" w:color="auto" w:fill="E1DFDD"/>
    </w:rPr>
  </w:style>
  <w:style w:type="character" w:styleId="SmartHyperlink">
    <w:name w:val="Smart Hyperlink"/>
    <w:basedOn w:val="DefaultParagraphFont"/>
    <w:uiPriority w:val="1"/>
    <w:semiHidden/>
    <w:unhideWhenUsed/>
    <w:rsid w:val="004E7B5A"/>
    <w:rPr>
      <w:u w:val="dotted"/>
    </w:rPr>
  </w:style>
  <w:style w:type="character" w:customStyle="1" w:styleId="SmartLink1">
    <w:name w:val="SmartLink1"/>
    <w:basedOn w:val="DefaultParagraphFont"/>
    <w:uiPriority w:val="1"/>
    <w:semiHidden/>
    <w:unhideWhenUsed/>
    <w:rsid w:val="004E7B5A"/>
    <w:rPr>
      <w:color w:val="0000FF"/>
      <w:u w:val="single"/>
      <w:shd w:val="clear" w:color="auto" w:fill="F3F2F1"/>
    </w:rPr>
  </w:style>
  <w:style w:type="character" w:styleId="SubtleEmphasis">
    <w:name w:val="Subtle Emphasis"/>
    <w:basedOn w:val="DefaultParagraphFont"/>
    <w:uiPriority w:val="1"/>
    <w:qFormat/>
    <w:rsid w:val="004E7B5A"/>
    <w:rPr>
      <w:i/>
      <w:iCs/>
      <w:color w:val="404040" w:themeColor="text1" w:themeTint="BF"/>
    </w:rPr>
  </w:style>
  <w:style w:type="character" w:styleId="SubtleReference">
    <w:name w:val="Subtle Reference"/>
    <w:basedOn w:val="DefaultParagraphFont"/>
    <w:uiPriority w:val="1"/>
    <w:qFormat/>
    <w:rsid w:val="004E7B5A"/>
    <w:rPr>
      <w:smallCaps/>
      <w:color w:val="5A5A5A" w:themeColor="text1" w:themeTint="A5"/>
    </w:rPr>
  </w:style>
  <w:style w:type="character" w:customStyle="1" w:styleId="H1Char">
    <w:name w:val="H1 Char"/>
    <w:basedOn w:val="DefaultParagraphFont"/>
    <w:link w:val="H1"/>
    <w:uiPriority w:val="1"/>
    <w:rsid w:val="004E7B5A"/>
    <w:rPr>
      <w:rFonts w:ascii="Arial Black" w:eastAsia="Times New Roman" w:hAnsi="Arial Black" w:cs="Times New Roman"/>
      <w:b/>
      <w:color w:val="00559D" w:themeColor="text2"/>
      <w:sz w:val="32"/>
      <w:szCs w:val="20"/>
    </w:rPr>
  </w:style>
  <w:style w:type="paragraph" w:customStyle="1" w:styleId="TableListBullet2">
    <w:name w:val="Table List Bullet 2"/>
    <w:basedOn w:val="TableTextLeft"/>
    <w:uiPriority w:val="1"/>
    <w:qFormat/>
    <w:rsid w:val="004E7B5A"/>
    <w:pPr>
      <w:numPr>
        <w:numId w:val="43"/>
      </w:numPr>
    </w:pPr>
  </w:style>
  <w:style w:type="paragraph" w:customStyle="1" w:styleId="TableListBullet3">
    <w:name w:val="Table List Bullet 3"/>
    <w:basedOn w:val="TableTextLeft"/>
    <w:uiPriority w:val="1"/>
    <w:qFormat/>
    <w:rsid w:val="004E7B5A"/>
    <w:pPr>
      <w:numPr>
        <w:numId w:val="47"/>
      </w:numPr>
    </w:pPr>
  </w:style>
  <w:style w:type="table" w:customStyle="1" w:styleId="Style2">
    <w:name w:val="Style2"/>
    <w:basedOn w:val="CORESETTable"/>
    <w:uiPriority w:val="99"/>
    <w:rsid w:val="004E7B5A"/>
    <w:rPr>
      <w:sz w:val="21"/>
    </w:rPr>
    <w:tblPr/>
    <w:tblStylePr w:type="firstRow">
      <w:pPr>
        <w:wordWrap/>
        <w:spacing w:before="60" w:beforeLines="0" w:beforeAutospacing="0" w:after="60" w:afterLines="0" w:afterAutospacing="0" w:line="240" w:lineRule="auto"/>
        <w:ind w:left="0" w:right="0" w:firstLine="0" w:leftChars="0" w:rightChars="0" w:firstLineChars="0"/>
        <w:contextualSpacing w:val="0"/>
        <w:jc w:val="left"/>
        <w:outlineLvl w:val="9"/>
      </w:pPr>
      <w:rPr>
        <w:rFonts w:asciiTheme="majorHAnsi" w:hAnsiTheme="majorHAnsi"/>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val="0"/>
      </w:trPr>
      <w:tcPr>
        <w:shd w:val="clear" w:color="auto" w:fill="00828C" w:themeFill="accent1"/>
        <w:vAlign w:val="bottom"/>
      </w:tcPr>
    </w:tblStylePr>
    <w:tblStylePr w:type="lastRow">
      <w:pPr>
        <w:jc w:val="left"/>
      </w:pPr>
      <w:rPr>
        <w:b w:val="0"/>
        <w:color w:val="FFFFFF" w:themeColor="background1"/>
      </w:rPr>
      <w:tblPr/>
      <w:tcPr>
        <w:shd w:val="clear" w:color="auto" w:fill="00828C" w:themeFill="accent1"/>
      </w:tcPr>
    </w:tblStylePr>
    <w:tblStylePr w:type="firstCol">
      <w:pPr>
        <w:wordWrap/>
        <w:spacing w:beforeLines="0" w:beforeAutospacing="0" w:afterLines="0" w:afterAutospacing="0"/>
        <w:contextualSpacing/>
        <w:jc w:val="left"/>
      </w:pPr>
      <w:rPr>
        <w:rFonts w:asciiTheme="majorHAnsi" w:hAnsiTheme="majorHAnsi"/>
        <w:b w:val="0"/>
        <w:i w:val="0"/>
        <w:color w:val="000000" w:themeColor="text1"/>
        <w:sz w:val="18"/>
      </w:rPr>
    </w:tblStylePr>
    <w:tblStylePr w:type="lastCol">
      <w:pPr>
        <w:jc w:val="left"/>
      </w:pPr>
    </w:tblStylePr>
    <w:tblStylePr w:type="band1Horz">
      <w:tblPr/>
      <w:tcPr>
        <w:shd w:val="clear" w:color="auto" w:fill="FFFFFF" w:themeFill="background1"/>
      </w:tcPr>
    </w:tblStylePr>
    <w:tblStylePr w:type="band2Horz">
      <w:tblPr/>
      <w:tcPr>
        <w:shd w:val="clear" w:color="auto" w:fill="EEF5F5" w:themeFill="background2"/>
      </w:tcPr>
    </w:tblStylePr>
    <w:tblStylePr w:type="neCell">
      <w:rPr>
        <w:b/>
      </w:rPr>
      <w:trPr>
        <w:cantSplit/>
      </w:trPr>
    </w:tblStylePr>
    <w:tblStylePr w:type="nwCell">
      <w:pPr>
        <w:wordWrap/>
        <w:spacing w:before="6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cPr>
        <w:shd w:val="clear" w:color="auto" w:fill="00828C" w:themeFill="accent1"/>
      </w:tcPr>
    </w:tblStylePr>
    <w:tblStylePr w:type="seCell">
      <w:pPr>
        <w:jc w:val="left"/>
      </w:pPr>
      <w:tblPr/>
      <w:tcPr>
        <w:vAlign w:val="center"/>
      </w:tcPr>
    </w:tblStylePr>
  </w:style>
  <w:style w:type="table" w:customStyle="1" w:styleId="ToolkitExhibit">
    <w:name w:val="Toolkit Exhibit"/>
    <w:basedOn w:val="CORESETTable"/>
    <w:uiPriority w:val="99"/>
    <w:rsid w:val="004E7B5A"/>
    <w:rPr>
      <w:sz w:val="21"/>
    </w:rPr>
    <w:tblPr>
      <w:tblCellMar>
        <w:left w:w="216" w:type="dxa"/>
        <w:right w:w="216" w:type="dxa"/>
      </w:tblCellMar>
    </w:tblPr>
    <w:trPr>
      <w:cantSplit w:val="0"/>
    </w:trPr>
    <w:tblStylePr w:type="firstRow">
      <w:pPr>
        <w:wordWrap/>
        <w:spacing w:before="60" w:beforeLines="0" w:beforeAutospacing="0" w:after="60" w:afterLines="0" w:afterAutospacing="0" w:line="240" w:lineRule="auto"/>
        <w:ind w:left="0" w:right="0" w:firstLine="0" w:leftChars="0" w:rightChars="0" w:firstLineChars="0"/>
        <w:contextualSpacing w:val="0"/>
        <w:jc w:val="center"/>
        <w:outlineLvl w:val="9"/>
      </w:pPr>
      <w:rPr>
        <w:rFonts w:asciiTheme="majorHAnsi" w:hAnsiTheme="majorHAnsi"/>
        <w:b/>
        <w:i w:val="0"/>
        <w:caps w:val="0"/>
        <w:smallCaps w:val="0"/>
        <w:strike w:val="0"/>
        <w:dstrike w:val="0"/>
        <w:vanish w:val="0"/>
        <w:color w:val="FFFFFF" w:themeColor="background1"/>
        <w:spacing w:val="0"/>
        <w:kern w:val="0"/>
        <w:position w:val="6"/>
        <w:sz w:val="22"/>
        <w:u w:val="none"/>
        <w:vertAlign w:val="baseline"/>
        <w14:shadow w14:blurRad="0" w14:dist="0" w14:dir="0" w14:sx="0" w14:sy="0" w14:kx="0" w14:ky="0" w14:algn="none">
          <w14:srgbClr w14:val="000000"/>
        </w14:shadow>
        <w14:textOutline w14:w="0" w14:cap="rnd">
          <w14:noFill/>
          <w14:prstDash w14:val="solid"/>
          <w14:bevel/>
        </w14:textOutline>
      </w:rPr>
      <w:tblPr/>
      <w:trPr>
        <w:cantSplit w:val="0"/>
      </w:trPr>
      <w:tcPr>
        <w:shd w:val="clear" w:color="auto" w:fill="00828C" w:themeFill="accent1"/>
        <w:tcMar>
          <w:left w:w="216" w:type="dxa"/>
          <w:right w:w="216" w:type="dxa"/>
        </w:tcMar>
        <w:vAlign w:val="bottom"/>
      </w:tcPr>
    </w:tblStylePr>
    <w:tblStylePr w:type="lastRow">
      <w:pPr>
        <w:jc w:val="left"/>
      </w:pPr>
      <w:rPr>
        <w:b w:val="0"/>
        <w:color w:val="FFFFFF" w:themeColor="background1"/>
      </w:rPr>
      <w:tblPr/>
      <w:tcPr>
        <w:shd w:val="clear" w:color="auto" w:fill="00828C" w:themeFill="accent1"/>
      </w:tcPr>
    </w:tblStylePr>
    <w:tblStylePr w:type="firstCol">
      <w:pPr>
        <w:wordWrap/>
        <w:spacing w:beforeLines="0" w:beforeAutospacing="0" w:afterLines="0" w:afterAutospacing="0"/>
        <w:contextualSpacing/>
        <w:jc w:val="left"/>
      </w:pPr>
      <w:rPr>
        <w:rFonts w:asciiTheme="majorHAnsi" w:hAnsiTheme="majorHAnsi"/>
        <w:b w:val="0"/>
        <w:i w:val="0"/>
        <w:color w:val="000000" w:themeColor="text1"/>
        <w:sz w:val="18"/>
      </w:rPr>
    </w:tblStylePr>
    <w:tblStylePr w:type="lastCol">
      <w:pPr>
        <w:jc w:val="left"/>
      </w:pPr>
    </w:tblStylePr>
    <w:tblStylePr w:type="band1Horz">
      <w:tblPr/>
      <w:tcPr>
        <w:shd w:val="clear" w:color="auto" w:fill="FFFFFF" w:themeFill="background1"/>
      </w:tcPr>
    </w:tblStylePr>
    <w:tblStylePr w:type="band2Horz">
      <w:tblPr/>
      <w:tcPr>
        <w:shd w:val="clear" w:color="auto" w:fill="EEF5F5" w:themeFill="background2"/>
      </w:tcPr>
    </w:tblStylePr>
    <w:tblStylePr w:type="neCell">
      <w:rPr>
        <w:b/>
      </w:rPr>
      <w:trPr>
        <w:cantSplit/>
      </w:trPr>
    </w:tblStylePr>
    <w:tblStylePr w:type="nwCell">
      <w:pPr>
        <w:wordWrap/>
        <w:spacing w:before="6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cPr>
        <w:shd w:val="clear" w:color="auto" w:fill="00828C" w:themeFill="accent1"/>
      </w:tcPr>
    </w:tblStylePr>
    <w:tblStylePr w:type="seCell">
      <w:pPr>
        <w:jc w:val="left"/>
      </w:pPr>
      <w:tblPr/>
      <w:tcPr>
        <w:vAlign w:val="center"/>
      </w:tcPr>
    </w:tblStylePr>
  </w:style>
  <w:style w:type="paragraph" w:customStyle="1" w:styleId="SidebarListBullet2">
    <w:name w:val="Sidebar List Bullet 2"/>
    <w:basedOn w:val="Sidebar"/>
    <w:uiPriority w:val="1"/>
    <w:qFormat/>
    <w:rsid w:val="004E7B5A"/>
    <w:pPr>
      <w:textboxTightWrap w:val="allLines"/>
      <w:numPr>
        <w:numId w:val="44"/>
      </w:numPr>
    </w:pPr>
    <w:rPr>
      <w:color w:val="auto"/>
    </w:rPr>
  </w:style>
  <w:style w:type="paragraph" w:customStyle="1" w:styleId="wwwmathematica-mprcom">
    <w:name w:val="www.mathematica-mpr.com"/>
    <w:uiPriority w:val="1"/>
    <w:semiHidden/>
    <w:qFormat/>
    <w:rsid w:val="004E7B5A"/>
    <w:pPr>
      <w:spacing w:after="100"/>
      <w:jc w:val="right"/>
    </w:pPr>
    <w:rPr>
      <w:rFonts w:eastAsia="Times New Roman" w:asciiTheme="majorHAnsi" w:hAnsiTheme="majorHAnsi" w:cs="Times New Roman"/>
      <w:noProof/>
      <w:sz w:val="20"/>
      <w:szCs w:val="19"/>
    </w:rPr>
  </w:style>
  <w:style w:type="character" w:customStyle="1" w:styleId="Runin0">
    <w:name w:val="Run in"/>
    <w:basedOn w:val="DefaultParagraphFont"/>
    <w:uiPriority w:val="1"/>
    <w:semiHidden/>
    <w:qFormat/>
    <w:rsid w:val="004E7B5A"/>
    <w:rPr>
      <w:b/>
      <w:i w:val="0"/>
      <w:color w:val="00828C" w:themeColor="accent1"/>
    </w:rPr>
  </w:style>
  <w:style w:type="paragraph" w:customStyle="1" w:styleId="Outline2">
    <w:name w:val="Outline 2"/>
    <w:basedOn w:val="Normal"/>
    <w:next w:val="Paragraph0"/>
    <w:uiPriority w:val="1"/>
    <w:semiHidden/>
    <w:unhideWhenUsed/>
    <w:qFormat/>
    <w:rsid w:val="004E7B5A"/>
    <w:pPr>
      <w:keepNext/>
      <w:keepLines/>
      <w:numPr>
        <w:ilvl w:val="1"/>
        <w:numId w:val="32"/>
      </w:numPr>
      <w:tabs>
        <w:tab w:val="left" w:pos="432"/>
      </w:tabs>
      <w:spacing w:before="240" w:after="120" w:line="360" w:lineRule="exact"/>
      <w:outlineLvl w:val="2"/>
    </w:pPr>
    <w:rPr>
      <w:rFonts w:asciiTheme="majorHAnsi" w:hAnsiTheme="majorHAnsi"/>
      <w:color w:val="00559D" w:themeColor="text2"/>
      <w:sz w:val="28"/>
    </w:rPr>
  </w:style>
  <w:style w:type="paragraph" w:customStyle="1" w:styleId="Outline3">
    <w:name w:val="Outline 3"/>
    <w:basedOn w:val="Normal"/>
    <w:uiPriority w:val="1"/>
    <w:semiHidden/>
    <w:unhideWhenUsed/>
    <w:qFormat/>
    <w:rsid w:val="004E7B5A"/>
    <w:pPr>
      <w:keepNext/>
      <w:keepLines/>
      <w:numPr>
        <w:ilvl w:val="2"/>
        <w:numId w:val="32"/>
      </w:numPr>
      <w:tabs>
        <w:tab w:val="left" w:pos="432"/>
      </w:tabs>
      <w:spacing w:before="80" w:after="160"/>
      <w:outlineLvl w:val="3"/>
    </w:pPr>
    <w:rPr>
      <w:b/>
      <w:i/>
    </w:rPr>
  </w:style>
  <w:style w:type="paragraph" w:customStyle="1" w:styleId="Outline4">
    <w:name w:val="Outline 4"/>
    <w:basedOn w:val="Normal"/>
    <w:next w:val="Paragraph0"/>
    <w:uiPriority w:val="1"/>
    <w:semiHidden/>
    <w:unhideWhenUsed/>
    <w:qFormat/>
    <w:rsid w:val="004E7B5A"/>
    <w:pPr>
      <w:keepNext/>
      <w:keepLines/>
      <w:numPr>
        <w:ilvl w:val="3"/>
        <w:numId w:val="32"/>
      </w:numPr>
      <w:tabs>
        <w:tab w:val="left" w:pos="432"/>
      </w:tabs>
      <w:spacing w:before="80" w:after="160"/>
      <w:outlineLvl w:val="4"/>
    </w:pPr>
    <w:rPr>
      <w:color w:val="00559D" w:themeColor="text2"/>
    </w:rPr>
  </w:style>
  <w:style w:type="paragraph" w:customStyle="1" w:styleId="ParagraphHeading">
    <w:name w:val="Paragraph Heading"/>
    <w:basedOn w:val="Paragraph0"/>
    <w:uiPriority w:val="1"/>
    <w:semiHidden/>
    <w:qFormat/>
    <w:rsid w:val="004E7B5A"/>
  </w:style>
  <w:style w:type="table" w:customStyle="1" w:styleId="TableGridLight1">
    <w:name w:val="Table Grid Light1"/>
    <w:basedOn w:val="TableNormal"/>
    <w:uiPriority w:val="40"/>
    <w:rsid w:val="004E7B5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asicParagraph">
    <w:name w:val="[Basic Paragraph]"/>
    <w:basedOn w:val="Normal"/>
    <w:uiPriority w:val="1"/>
    <w:semiHidden/>
    <w:rsid w:val="004E7B5A"/>
    <w:pPr>
      <w:autoSpaceDE w:val="0"/>
      <w:autoSpaceDN w:val="0"/>
      <w:adjustRightInd w:val="0"/>
      <w:spacing w:after="0" w:line="288" w:lineRule="auto"/>
      <w:textAlignment w:val="center"/>
    </w:pPr>
    <w:rPr>
      <w:rFonts w:ascii="MinionPro-Regular" w:hAnsi="MinionPro-Regular" w:eastAsiaTheme="minorHAnsi" w:cs="MinionPro-Regular"/>
      <w:color w:val="000000"/>
      <w:szCs w:val="24"/>
    </w:rPr>
  </w:style>
  <w:style w:type="table" w:customStyle="1" w:styleId="PlainTable11">
    <w:name w:val="Plain Table 11"/>
    <w:basedOn w:val="TableNormal"/>
    <w:uiPriority w:val="41"/>
    <w:rsid w:val="004E7B5A"/>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erbox">
    <w:name w:val="Footer__box"/>
    <w:basedOn w:val="Footer"/>
    <w:uiPriority w:val="1"/>
    <w:unhideWhenUsed/>
    <w:qFormat/>
    <w:rsid w:val="004E7B5A"/>
    <w:pPr>
      <w:ind w:left="1440" w:right="1440"/>
    </w:pPr>
    <w:rPr>
      <w:noProof/>
    </w:rPr>
  </w:style>
  <w:style w:type="character" w:customStyle="1" w:styleId="UnresolvedMention1">
    <w:name w:val="Unresolved Mention1"/>
    <w:basedOn w:val="DefaultParagraphFont"/>
    <w:uiPriority w:val="99"/>
    <w:semiHidden/>
    <w:unhideWhenUsed/>
    <w:rsid w:val="004E7B5A"/>
    <w:rPr>
      <w:color w:val="605E5C"/>
      <w:shd w:val="clear" w:color="auto" w:fill="E1DFDD"/>
    </w:rPr>
  </w:style>
  <w:style w:type="paragraph" w:customStyle="1" w:styleId="TableListBulletCont">
    <w:name w:val="Table List Bullet Cont."/>
    <w:basedOn w:val="TableListBullet"/>
    <w:uiPriority w:val="1"/>
    <w:semiHidden/>
    <w:qFormat/>
    <w:rsid w:val="004E7B5A"/>
    <w:pPr>
      <w:ind w:left="648"/>
      <w:contextualSpacing/>
    </w:pPr>
  </w:style>
  <w:style w:type="character" w:customStyle="1" w:styleId="UnresolvedMention2">
    <w:name w:val="Unresolved Mention2"/>
    <w:basedOn w:val="DefaultParagraphFont"/>
    <w:uiPriority w:val="99"/>
    <w:semiHidden/>
    <w:unhideWhenUsed/>
    <w:rsid w:val="004E7B5A"/>
    <w:rPr>
      <w:color w:val="605E5C"/>
      <w:shd w:val="clear" w:color="auto" w:fill="E1DFDD"/>
    </w:rPr>
  </w:style>
  <w:style w:type="character" w:customStyle="1" w:styleId="Hashtag1">
    <w:name w:val="Hashtag1"/>
    <w:basedOn w:val="DefaultParagraphFont"/>
    <w:uiPriority w:val="1"/>
    <w:semiHidden/>
    <w:unhideWhenUsed/>
    <w:rsid w:val="004E7B5A"/>
    <w:rPr>
      <w:color w:val="2B579A"/>
      <w:shd w:val="clear" w:color="auto" w:fill="E1DFDD"/>
    </w:rPr>
  </w:style>
  <w:style w:type="character" w:customStyle="1" w:styleId="Mention1">
    <w:name w:val="Mention1"/>
    <w:basedOn w:val="DefaultParagraphFont"/>
    <w:uiPriority w:val="1"/>
    <w:semiHidden/>
    <w:unhideWhenUsed/>
    <w:rsid w:val="004E7B5A"/>
    <w:rPr>
      <w:color w:val="2B579A"/>
      <w:shd w:val="clear" w:color="auto" w:fill="E1DFDD"/>
    </w:rPr>
  </w:style>
  <w:style w:type="character" w:customStyle="1" w:styleId="SmartHyperlink1">
    <w:name w:val="Smart Hyperlink1"/>
    <w:basedOn w:val="DefaultParagraphFont"/>
    <w:uiPriority w:val="1"/>
    <w:semiHidden/>
    <w:unhideWhenUsed/>
    <w:rsid w:val="004E7B5A"/>
    <w:rPr>
      <w:u w:val="dotted"/>
    </w:rPr>
  </w:style>
  <w:style w:type="character" w:customStyle="1" w:styleId="SmartLink11">
    <w:name w:val="SmartLink11"/>
    <w:basedOn w:val="DefaultParagraphFont"/>
    <w:uiPriority w:val="1"/>
    <w:semiHidden/>
    <w:unhideWhenUsed/>
    <w:rsid w:val="004E7B5A"/>
    <w:rPr>
      <w:color w:val="0000FF"/>
      <w:u w:val="single"/>
      <w:shd w:val="clear" w:color="auto" w:fill="F3F2F1"/>
    </w:rPr>
  </w:style>
  <w:style w:type="paragraph" w:customStyle="1" w:styleId="Tablelistbullet10">
    <w:name w:val="Table list bullet 10"/>
    <w:basedOn w:val="TableListBullet"/>
    <w:uiPriority w:val="1"/>
    <w:semiHidden/>
    <w:qFormat/>
    <w:rsid w:val="004E7B5A"/>
    <w:rPr>
      <w:sz w:val="21"/>
    </w:rPr>
  </w:style>
  <w:style w:type="paragraph" w:customStyle="1" w:styleId="TableHeaderCenter10">
    <w:name w:val="Table Header Center 10"/>
    <w:basedOn w:val="TableHeaderCenter"/>
    <w:uiPriority w:val="1"/>
    <w:semiHidden/>
    <w:qFormat/>
    <w:rsid w:val="004E7B5A"/>
    <w:rPr>
      <w:b w:val="0"/>
      <w:position w:val="6"/>
      <w:sz w:val="20"/>
    </w:rPr>
  </w:style>
  <w:style w:type="paragraph" w:customStyle="1" w:styleId="Feature3Title-Palegreenbkgd">
    <w:name w:val="Feature3 Title - Pale green bkgd"/>
    <w:basedOn w:val="Normal"/>
    <w:autoRedefine/>
    <w:uiPriority w:val="1"/>
    <w:semiHidden/>
    <w:qFormat/>
    <w:rsid w:val="004E7B5A"/>
    <w:pPr>
      <w:pBdr>
        <w:top w:val="single" w:sz="24" w:space="1" w:color="B1D5DA" w:themeColor="accent3" w:themeShade="E6"/>
        <w:bottom w:val="single" w:sz="24" w:space="1" w:color="B1D5DA" w:themeColor="accent3" w:themeShade="E6"/>
      </w:pBdr>
      <w:shd w:val="clear" w:color="auto" w:fill="B1D5DA" w:themeFill="accent3" w:themeFillShade="E6"/>
      <w:spacing w:before="240" w:line="240" w:lineRule="auto"/>
      <w:ind w:right="288"/>
    </w:pPr>
    <w:rPr>
      <w:rFonts w:ascii="Arial Black" w:hAnsi="Arial Black"/>
    </w:rPr>
  </w:style>
  <w:style w:type="character" w:customStyle="1" w:styleId="Hashtag2">
    <w:name w:val="Hashtag2"/>
    <w:basedOn w:val="DefaultParagraphFont"/>
    <w:uiPriority w:val="1"/>
    <w:semiHidden/>
    <w:unhideWhenUsed/>
    <w:rsid w:val="004E7B5A"/>
    <w:rPr>
      <w:color w:val="2B579A"/>
      <w:shd w:val="clear" w:color="auto" w:fill="E1DFDD"/>
    </w:rPr>
  </w:style>
  <w:style w:type="character" w:customStyle="1" w:styleId="Mention2">
    <w:name w:val="Mention2"/>
    <w:basedOn w:val="DefaultParagraphFont"/>
    <w:uiPriority w:val="1"/>
    <w:semiHidden/>
    <w:unhideWhenUsed/>
    <w:rsid w:val="004E7B5A"/>
    <w:rPr>
      <w:color w:val="2B579A"/>
      <w:shd w:val="clear" w:color="auto" w:fill="E1DFDD"/>
    </w:rPr>
  </w:style>
  <w:style w:type="character" w:customStyle="1" w:styleId="SmartHyperlink2">
    <w:name w:val="Smart Hyperlink2"/>
    <w:basedOn w:val="DefaultParagraphFont"/>
    <w:uiPriority w:val="1"/>
    <w:semiHidden/>
    <w:unhideWhenUsed/>
    <w:rsid w:val="004E7B5A"/>
    <w:rPr>
      <w:u w:val="dotted"/>
    </w:rPr>
  </w:style>
  <w:style w:type="character" w:customStyle="1" w:styleId="SmartLink2">
    <w:name w:val="SmartLink2"/>
    <w:basedOn w:val="DefaultParagraphFont"/>
    <w:uiPriority w:val="1"/>
    <w:semiHidden/>
    <w:unhideWhenUsed/>
    <w:rsid w:val="004E7B5A"/>
    <w:rPr>
      <w:color w:val="0000FF"/>
      <w:u w:val="single"/>
      <w:shd w:val="clear" w:color="auto" w:fill="F3F2F1"/>
    </w:rPr>
  </w:style>
  <w:style w:type="character" w:customStyle="1" w:styleId="UnresolvedMention3">
    <w:name w:val="Unresolved Mention3"/>
    <w:basedOn w:val="DefaultParagraphFont"/>
    <w:uiPriority w:val="1"/>
    <w:semiHidden/>
    <w:unhideWhenUsed/>
    <w:rsid w:val="004E7B5A"/>
    <w:rPr>
      <w:color w:val="605E5C"/>
      <w:shd w:val="clear" w:color="auto" w:fill="E1DFDD"/>
    </w:rPr>
  </w:style>
  <w:style w:type="character" w:customStyle="1" w:styleId="UnresolvedMention4">
    <w:name w:val="Unresolved Mention4"/>
    <w:basedOn w:val="DefaultParagraphFont"/>
    <w:uiPriority w:val="1"/>
    <w:semiHidden/>
    <w:unhideWhenUsed/>
    <w:rsid w:val="004E7B5A"/>
    <w:rPr>
      <w:color w:val="605E5C"/>
      <w:shd w:val="clear" w:color="auto" w:fill="E1DFDD"/>
    </w:rPr>
  </w:style>
  <w:style w:type="table" w:styleId="Table3Deffects1">
    <w:name w:val="Table 3D effects 1"/>
    <w:basedOn w:val="TableNormal"/>
    <w:uiPriority w:val="99"/>
    <w:semiHidden/>
    <w:unhideWhenUsed/>
    <w:rsid w:val="004E7B5A"/>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CORESETTable1">
    <w:name w:val="CORE SET Table1"/>
    <w:basedOn w:val="TableNormal"/>
    <w:uiPriority w:val="99"/>
    <w:rsid w:val="00FD41EB"/>
    <w:pPr>
      <w:textboxTightWrap w:val="allLines"/>
      <w:spacing w:after="0"/>
    </w:pPr>
    <w:rPr>
      <w:rFonts w:ascii="Arial" w:hAnsi="Arial"/>
      <w:sz w:val="18"/>
    </w:rPr>
    <w:tblPr>
      <w:tblStyleRowBandSize w:val="1"/>
      <w:tblBorders>
        <w:top w:val="single" w:sz="4" w:space="0" w:color="00559D"/>
        <w:left w:val="single" w:sz="4" w:space="0" w:color="00559D"/>
        <w:bottom w:val="single" w:sz="4" w:space="0" w:color="00559D"/>
        <w:right w:val="single" w:sz="4" w:space="0" w:color="00559D"/>
        <w:insideH w:val="single" w:sz="4" w:space="0" w:color="00559D"/>
        <w:insideV w:val="single" w:sz="4" w:space="0" w:color="00559D"/>
      </w:tblBorders>
      <w:tblCellMar>
        <w:left w:w="115" w:type="dxa"/>
        <w:right w:w="115" w:type="dxa"/>
      </w:tblCellMar>
    </w:tblPr>
    <w:trPr>
      <w:cantSplit/>
    </w:trPr>
    <w:tcPr>
      <w:shd w:val="clear" w:color="auto" w:fill="EEF5F5"/>
      <w:tcMar>
        <w:top w:w="0" w:type="dxa"/>
        <w:left w:w="43" w:type="dxa"/>
        <w:bottom w:w="0" w:type="dxa"/>
        <w:right w:w="43" w:type="dxa"/>
      </w:tcMar>
    </w:tcPr>
    <w:tblStylePr w:type="firstRow">
      <w:pPr>
        <w:wordWrap/>
        <w:spacing w:before="60" w:beforeLines="0" w:beforeAutospacing="0" w:after="60" w:afterLines="0" w:afterAutospacing="0" w:line="240" w:lineRule="auto"/>
        <w:ind w:left="0" w:right="0" w:firstLine="0" w:leftChars="0" w:rightChars="0" w:firstLineChars="0"/>
        <w:contextualSpacing w:val="0"/>
        <w:jc w:val="left"/>
        <w:outlineLvl w:val="9"/>
      </w:pPr>
      <w:rPr>
        <w:rFonts w:ascii="Arial" w:hAnsi="Arial"/>
        <w:b/>
        <w:i w:val="0"/>
        <w:caps w:val="0"/>
        <w:smallCaps w:val="0"/>
        <w:strike w:val="0"/>
        <w:dstrike w:val="0"/>
        <w:vanish w:val="0"/>
        <w:color w:val="FFFFFF"/>
        <w:spacing w:val="0"/>
        <w:kern w:val="0"/>
        <w:position w:val="6"/>
        <w:sz w:val="18"/>
        <w:u w:val="none"/>
        <w:vertAlign w:val="baseline"/>
      </w:rPr>
      <w:tblPr/>
      <w:trPr>
        <w:cantSplit w:val="0"/>
      </w:trPr>
      <w:tcPr>
        <w:shd w:val="clear" w:color="auto" w:fill="00828C"/>
        <w:vAlign w:val="bottom"/>
      </w:tcPr>
    </w:tblStylePr>
    <w:tblStylePr w:type="lastRow">
      <w:pPr>
        <w:jc w:val="left"/>
      </w:pPr>
      <w:rPr>
        <w:b w:val="0"/>
        <w:color w:val="FFFFFF"/>
      </w:rPr>
      <w:tblPr/>
      <w:tcPr>
        <w:shd w:val="clear" w:color="auto" w:fill="00828C"/>
      </w:tcPr>
    </w:tblStylePr>
    <w:tblStylePr w:type="firstCol">
      <w:pPr>
        <w:wordWrap/>
        <w:spacing w:beforeLines="0" w:beforeAutospacing="0" w:afterLines="0" w:afterAutospacing="0"/>
        <w:contextualSpacing/>
        <w:jc w:val="left"/>
      </w:pPr>
      <w:rPr>
        <w:rFonts w:ascii="Arial" w:hAnsi="Arial"/>
        <w:b/>
        <w:i w:val="0"/>
        <w:color w:val="000000"/>
        <w:sz w:val="18"/>
      </w:rPr>
    </w:tblStylePr>
    <w:tblStylePr w:type="lastCol">
      <w:pPr>
        <w:jc w:val="left"/>
      </w:pPr>
    </w:tblStylePr>
    <w:tblStylePr w:type="band1Horz">
      <w:tblPr/>
      <w:tcPr>
        <w:shd w:val="clear" w:color="auto" w:fill="FFFFFF"/>
      </w:tcPr>
    </w:tblStylePr>
    <w:tblStylePr w:type="band2Horz">
      <w:tblPr/>
      <w:tcPr>
        <w:shd w:val="clear" w:color="auto" w:fill="EEF5F5"/>
      </w:tcPr>
    </w:tblStylePr>
    <w:tblStylePr w:type="neCell">
      <w:rPr>
        <w:b/>
      </w:rPr>
      <w:trPr>
        <w:cantSplit/>
      </w:trPr>
    </w:tblStylePr>
    <w:tblStylePr w:type="nwCell">
      <w:pPr>
        <w:wordWrap/>
        <w:spacing w:before="6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sz w:val="18"/>
        <w:u w:val="none"/>
        <w:vertAlign w:val="baseline"/>
      </w:rPr>
      <w:tblPr/>
      <w:tcPr>
        <w:shd w:val="clear" w:color="auto" w:fill="00828C"/>
      </w:tcPr>
    </w:tblStylePr>
    <w:tblStylePr w:type="seCell">
      <w:pPr>
        <w:jc w:val="left"/>
      </w:pPr>
      <w:tblPr/>
      <w:tcPr>
        <w:vAlign w:val="center"/>
      </w:tcPr>
    </w:tblStylePr>
  </w:style>
  <w:style w:type="table" w:customStyle="1" w:styleId="CORESETTable2">
    <w:name w:val="CORE SET Table2"/>
    <w:basedOn w:val="TableNormal"/>
    <w:uiPriority w:val="99"/>
    <w:rsid w:val="00FD41EB"/>
    <w:pPr>
      <w:spacing w:after="0"/>
    </w:pPr>
    <w:rPr>
      <w:rFonts w:eastAsia="MS Mincho" w:asciiTheme="minorHAnsi" w:hAnsiTheme="minorHAnsi"/>
      <w:sz w:val="22"/>
    </w:rPr>
    <w:tblPr>
      <w:tblStyleRowBandSize w:val="1"/>
      <w:tblBorders>
        <w:top w:val="single" w:sz="4" w:space="0" w:color="00559D"/>
        <w:left w:val="single" w:sz="4" w:space="0" w:color="00559D"/>
        <w:bottom w:val="single" w:sz="4" w:space="0" w:color="00559D"/>
        <w:right w:val="single" w:sz="4" w:space="0" w:color="00559D"/>
        <w:insideH w:val="single" w:sz="4" w:space="0" w:color="00559D"/>
        <w:insideV w:val="single" w:sz="4" w:space="0" w:color="00559D"/>
      </w:tblBorders>
      <w:tblCellMar>
        <w:left w:w="115" w:type="dxa"/>
        <w:right w:w="115" w:type="dxa"/>
      </w:tblCellMar>
    </w:tblPr>
    <w:tcPr>
      <w:shd w:val="clear" w:color="auto" w:fill="EEF5F5"/>
      <w:tcMar>
        <w:top w:w="0" w:type="dxa"/>
        <w:left w:w="43" w:type="dxa"/>
        <w:bottom w:w="0" w:type="dxa"/>
        <w:right w:w="43" w:type="dxa"/>
      </w:tcMar>
    </w:tcPr>
    <w:tblStylePr w:type="firstRow">
      <w:pPr>
        <w:wordWrap/>
        <w:spacing w:before="60" w:beforeLines="0" w:beforeAutospacing="0" w:after="60" w:afterLines="0" w:afterAutospacing="0" w:line="240" w:lineRule="auto"/>
        <w:ind w:left="0" w:right="0" w:firstLine="0" w:leftChars="0" w:rightChars="0" w:firstLineChars="0"/>
        <w:contextualSpacing w:val="0"/>
        <w:jc w:val="left"/>
        <w:outlineLvl w:val="9"/>
      </w:pPr>
      <w:rPr>
        <w:rFonts w:ascii="Arial" w:hAnsi="Arial"/>
        <w:b/>
        <w:i w:val="0"/>
        <w:caps w:val="0"/>
        <w:smallCaps w:val="0"/>
        <w:strike w:val="0"/>
        <w:dstrike w:val="0"/>
        <w:vanish w:val="0"/>
        <w:color w:val="FFFFFF"/>
        <w:spacing w:val="0"/>
        <w:kern w:val="0"/>
        <w:position w:val="6"/>
        <w:sz w:val="22"/>
        <w:u w:val="none"/>
        <w:vertAlign w:val="baseline"/>
      </w:rPr>
      <w:tblPr/>
      <w:tcPr>
        <w:shd w:val="clear" w:color="auto" w:fill="009C9C"/>
        <w:tcMar>
          <w:top w:w="58" w:type="dxa"/>
          <w:left w:w="115" w:type="dxa"/>
          <w:bottom w:w="58" w:type="dxa"/>
          <w:right w:w="115" w:type="dxa"/>
        </w:tcMar>
        <w:vAlign w:val="bottom"/>
      </w:tcPr>
    </w:tblStylePr>
    <w:tblStylePr w:type="lastRow">
      <w:pPr>
        <w:jc w:val="left"/>
      </w:pPr>
      <w:rPr>
        <w:b w:val="0"/>
        <w:color w:val="FFFFFF"/>
      </w:rPr>
      <w:tblPr/>
      <w:tcPr>
        <w:shd w:val="clear" w:color="auto" w:fill="009C9C"/>
      </w:tcPr>
    </w:tblStylePr>
    <w:tblStylePr w:type="firstCol">
      <w:pPr>
        <w:wordWrap/>
        <w:spacing w:beforeLines="0" w:beforeAutospacing="0" w:afterLines="0" w:afterAutospacing="0"/>
        <w:contextualSpacing/>
        <w:jc w:val="left"/>
      </w:pPr>
      <w:rPr>
        <w:rFonts w:ascii="Arial" w:hAnsi="Arial"/>
        <w:b/>
        <w:color w:val="000000"/>
        <w:sz w:val="22"/>
      </w:rPr>
      <w:tblPr/>
      <w:tcPr>
        <w:shd w:val="clear" w:color="auto" w:fill="EEF5F5"/>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FFFFFF"/>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val="0"/>
        <w:i w:val="0"/>
        <w:caps w:val="0"/>
        <w:smallCaps w:val="0"/>
        <w:strike w:val="0"/>
        <w:dstrike w:val="0"/>
        <w:vanish w:val="0"/>
        <w:color w:val="FFFFFF"/>
        <w:sz w:val="18"/>
        <w:u w:val="none"/>
        <w:vertAlign w:val="baseline"/>
      </w:rPr>
      <w:tblPr/>
      <w:tcPr>
        <w:shd w:val="clear" w:color="auto" w:fill="009C9C"/>
      </w:tcPr>
    </w:tblStylePr>
    <w:tblStylePr w:type="seCell">
      <w:pPr>
        <w:jc w:val="left"/>
      </w:pPr>
      <w:tblPr/>
      <w:tcPr>
        <w:vAlign w:val="center"/>
      </w:tcPr>
    </w:tblStylePr>
  </w:style>
  <w:style w:type="table" w:customStyle="1" w:styleId="CORESETTable3">
    <w:name w:val="CORE SET Table3"/>
    <w:basedOn w:val="TableNormal"/>
    <w:uiPriority w:val="99"/>
    <w:rsid w:val="00FD41EB"/>
    <w:pPr>
      <w:textboxTightWrap w:val="allLines"/>
      <w:spacing w:after="0"/>
    </w:pPr>
    <w:rPr>
      <w:rFonts w:asciiTheme="majorHAnsi" w:hAnsiTheme="majorHAnsi"/>
      <w:sz w:val="18"/>
    </w:rPr>
    <w:tblPr>
      <w:tblStyleRowBandSize w:val="1"/>
      <w:tblBorders>
        <w:top w:val="single" w:sz="4" w:space="0" w:color="00559D" w:themeColor="text2"/>
        <w:left w:val="single" w:sz="4" w:space="0" w:color="00559D" w:themeColor="text2"/>
        <w:bottom w:val="single" w:sz="4" w:space="0" w:color="00559D" w:themeColor="text2"/>
        <w:right w:val="single" w:sz="4" w:space="0" w:color="00559D" w:themeColor="text2"/>
        <w:insideH w:val="single" w:sz="4" w:space="0" w:color="00559D" w:themeColor="text2"/>
        <w:insideV w:val="single" w:sz="4" w:space="0" w:color="00559D" w:themeColor="text2"/>
      </w:tblBorders>
      <w:tblCellMar>
        <w:left w:w="115" w:type="dxa"/>
        <w:right w:w="115" w:type="dxa"/>
      </w:tblCellMar>
    </w:tblPr>
    <w:trPr>
      <w:cantSplit/>
    </w:trPr>
    <w:tcPr>
      <w:shd w:val="clear" w:color="auto" w:fill="EEF5F5" w:themeFill="background2"/>
      <w:tcMar>
        <w:top w:w="0" w:type="dxa"/>
        <w:left w:w="43" w:type="dxa"/>
        <w:bottom w:w="0" w:type="dxa"/>
        <w:right w:w="43" w:type="dxa"/>
      </w:tcMar>
    </w:tcPr>
    <w:tblStylePr w:type="firstRow">
      <w:pPr>
        <w:wordWrap/>
        <w:spacing w:before="60" w:beforeLines="0" w:beforeAutospacing="0" w:after="60" w:afterLines="0" w:afterAutospacing="0" w:line="240" w:lineRule="auto"/>
        <w:ind w:left="0" w:right="0" w:firstLine="0" w:leftChars="0" w:rightChars="0" w:firstLineChars="0"/>
        <w:contextualSpacing w:val="0"/>
        <w:jc w:val="left"/>
        <w:outlineLvl w:val="9"/>
      </w:pPr>
      <w:rPr>
        <w:rFonts w:asciiTheme="majorHAnsi" w:hAnsiTheme="majorHAnsi"/>
        <w:b/>
        <w:i w:val="0"/>
        <w:caps w:val="0"/>
        <w:smallCaps w:val="0"/>
        <w:strike w:val="0"/>
        <w:dstrike w:val="0"/>
        <w:vanish w:val="0"/>
        <w:color w:val="FFFFFF" w:themeColor="background1"/>
        <w:spacing w:val="0"/>
        <w:kern w:val="0"/>
        <w:position w:val="6"/>
        <w:sz w:val="18"/>
        <w:u w:val="none"/>
        <w:vertAlign w:val="baseline"/>
      </w:rPr>
      <w:tblPr/>
      <w:trPr>
        <w:cantSplit w:val="0"/>
      </w:trPr>
      <w:tcPr>
        <w:shd w:val="clear" w:color="auto" w:fill="00828C" w:themeFill="accent1"/>
        <w:vAlign w:val="bottom"/>
      </w:tcPr>
    </w:tblStylePr>
    <w:tblStylePr w:type="lastRow">
      <w:pPr>
        <w:jc w:val="left"/>
      </w:pPr>
      <w:rPr>
        <w:b w:val="0"/>
        <w:color w:val="FFFFFF" w:themeColor="background1"/>
      </w:rPr>
      <w:tblPr/>
      <w:tcPr>
        <w:shd w:val="clear" w:color="auto" w:fill="00828C" w:themeFill="accent1"/>
      </w:tcPr>
    </w:tblStylePr>
    <w:tblStylePr w:type="firstCol">
      <w:pPr>
        <w:wordWrap/>
        <w:spacing w:beforeLines="0" w:beforeAutospacing="0" w:afterLines="0" w:afterAutospacing="0"/>
        <w:contextualSpacing/>
        <w:jc w:val="left"/>
      </w:pPr>
      <w:rPr>
        <w:rFonts w:asciiTheme="majorHAnsi" w:hAnsiTheme="majorHAnsi"/>
        <w:b/>
        <w:i w:val="0"/>
        <w:color w:val="000000" w:themeColor="text1"/>
        <w:sz w:val="18"/>
      </w:rPr>
    </w:tblStylePr>
    <w:tblStylePr w:type="lastCol">
      <w:pPr>
        <w:jc w:val="left"/>
      </w:pPr>
    </w:tblStylePr>
    <w:tblStylePr w:type="band1Horz">
      <w:tblPr/>
      <w:tcPr>
        <w:shd w:val="clear" w:color="auto" w:fill="FFFFFF" w:themeFill="background1"/>
      </w:tcPr>
    </w:tblStylePr>
    <w:tblStylePr w:type="band2Horz">
      <w:tblPr/>
      <w:tcPr>
        <w:shd w:val="clear" w:color="auto" w:fill="EEF5F5" w:themeFill="background2"/>
      </w:tcPr>
    </w:tblStylePr>
    <w:tblStylePr w:type="neCell">
      <w:rPr>
        <w:b/>
      </w:rPr>
      <w:trPr>
        <w:cantSplit/>
      </w:trPr>
    </w:tblStylePr>
    <w:tblStylePr w:type="nwCell">
      <w:pPr>
        <w:wordWrap/>
        <w:spacing w:before="6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themeColor="background1"/>
        <w:sz w:val="18"/>
        <w:u w:val="none"/>
        <w:vertAlign w:val="baseline"/>
      </w:rPr>
      <w:tblPr/>
      <w:tcPr>
        <w:shd w:val="clear" w:color="auto" w:fill="00828C" w:themeFill="accent1"/>
      </w:tcPr>
    </w:tblStylePr>
    <w:tblStylePr w:type="seCell">
      <w:pPr>
        <w:jc w:val="left"/>
      </w:pPr>
      <w:tblPr/>
      <w:tcPr>
        <w:vAlign w:val="center"/>
      </w:tcPr>
    </w:tblStylePr>
  </w:style>
  <w:style w:type="table" w:customStyle="1" w:styleId="CORESETTable4">
    <w:name w:val="CORE SET Table4"/>
    <w:basedOn w:val="TableNormal"/>
    <w:uiPriority w:val="99"/>
    <w:rsid w:val="00FD41EB"/>
    <w:pPr>
      <w:textboxTightWrap w:val="allLines"/>
      <w:spacing w:after="0"/>
    </w:pPr>
    <w:rPr>
      <w:rFonts w:asciiTheme="majorHAnsi" w:hAnsiTheme="majorHAnsi"/>
      <w:sz w:val="18"/>
    </w:rPr>
    <w:tblPr>
      <w:tblStyleRowBandSize w:val="1"/>
      <w:tblBorders>
        <w:top w:val="single" w:sz="4" w:space="0" w:color="00559D" w:themeColor="text2"/>
        <w:left w:val="single" w:sz="4" w:space="0" w:color="00559D" w:themeColor="text2"/>
        <w:bottom w:val="single" w:sz="4" w:space="0" w:color="00559D" w:themeColor="text2"/>
        <w:right w:val="single" w:sz="4" w:space="0" w:color="00559D" w:themeColor="text2"/>
        <w:insideH w:val="single" w:sz="4" w:space="0" w:color="00559D" w:themeColor="text2"/>
        <w:insideV w:val="single" w:sz="4" w:space="0" w:color="00559D" w:themeColor="text2"/>
      </w:tblBorders>
      <w:tblCellMar>
        <w:left w:w="115" w:type="dxa"/>
        <w:right w:w="115" w:type="dxa"/>
      </w:tblCellMar>
    </w:tblPr>
    <w:trPr>
      <w:cantSplit/>
    </w:trPr>
    <w:tcPr>
      <w:shd w:val="clear" w:color="auto" w:fill="EEF5F5" w:themeFill="background2"/>
      <w:tcMar>
        <w:top w:w="0" w:type="dxa"/>
        <w:left w:w="43" w:type="dxa"/>
        <w:bottom w:w="0" w:type="dxa"/>
        <w:right w:w="43" w:type="dxa"/>
      </w:tcMar>
    </w:tcPr>
    <w:tblStylePr w:type="firstRow">
      <w:pPr>
        <w:wordWrap/>
        <w:spacing w:before="60" w:beforeLines="0" w:beforeAutospacing="0" w:after="60" w:afterLines="0" w:afterAutospacing="0" w:line="240" w:lineRule="auto"/>
        <w:ind w:left="0" w:right="0" w:firstLine="0" w:leftChars="0" w:rightChars="0" w:firstLineChars="0"/>
        <w:contextualSpacing w:val="0"/>
        <w:jc w:val="left"/>
        <w:outlineLvl w:val="9"/>
      </w:pPr>
      <w:rPr>
        <w:rFonts w:asciiTheme="majorHAnsi" w:hAnsiTheme="majorHAnsi"/>
        <w:b/>
        <w:i w:val="0"/>
        <w:caps w:val="0"/>
        <w:smallCaps w:val="0"/>
        <w:strike w:val="0"/>
        <w:dstrike w:val="0"/>
        <w:vanish w:val="0"/>
        <w:color w:val="FFFFFF" w:themeColor="background1"/>
        <w:spacing w:val="0"/>
        <w:kern w:val="0"/>
        <w:position w:val="6"/>
        <w:sz w:val="18"/>
        <w:u w:val="none"/>
        <w:vertAlign w:val="baseline"/>
      </w:rPr>
      <w:tblPr/>
      <w:trPr>
        <w:cantSplit w:val="0"/>
      </w:trPr>
      <w:tcPr>
        <w:shd w:val="clear" w:color="auto" w:fill="00828C" w:themeFill="accent1"/>
        <w:vAlign w:val="bottom"/>
      </w:tcPr>
    </w:tblStylePr>
    <w:tblStylePr w:type="lastRow">
      <w:pPr>
        <w:jc w:val="left"/>
      </w:pPr>
      <w:rPr>
        <w:b w:val="0"/>
        <w:color w:val="FFFFFF" w:themeColor="background1"/>
      </w:rPr>
      <w:tblPr/>
      <w:tcPr>
        <w:shd w:val="clear" w:color="auto" w:fill="00828C" w:themeFill="accent1"/>
      </w:tcPr>
    </w:tblStylePr>
    <w:tblStylePr w:type="firstCol">
      <w:pPr>
        <w:wordWrap/>
        <w:spacing w:beforeLines="0" w:beforeAutospacing="0" w:afterLines="0" w:afterAutospacing="0"/>
        <w:contextualSpacing/>
        <w:jc w:val="left"/>
      </w:pPr>
      <w:rPr>
        <w:rFonts w:asciiTheme="majorHAnsi" w:hAnsiTheme="majorHAnsi"/>
        <w:b/>
        <w:i w:val="0"/>
        <w:color w:val="000000" w:themeColor="text1"/>
        <w:sz w:val="18"/>
      </w:rPr>
    </w:tblStylePr>
    <w:tblStylePr w:type="lastCol">
      <w:pPr>
        <w:jc w:val="left"/>
      </w:pPr>
    </w:tblStylePr>
    <w:tblStylePr w:type="band1Horz">
      <w:tblPr/>
      <w:tcPr>
        <w:shd w:val="clear" w:color="auto" w:fill="FFFFFF" w:themeFill="background1"/>
      </w:tcPr>
    </w:tblStylePr>
    <w:tblStylePr w:type="band2Horz">
      <w:tblPr/>
      <w:tcPr>
        <w:shd w:val="clear" w:color="auto" w:fill="EEF5F5" w:themeFill="background2"/>
      </w:tcPr>
    </w:tblStylePr>
    <w:tblStylePr w:type="neCell">
      <w:rPr>
        <w:b/>
      </w:rPr>
      <w:trPr>
        <w:cantSplit/>
      </w:trPr>
    </w:tblStylePr>
    <w:tblStylePr w:type="nwCell">
      <w:pPr>
        <w:wordWrap/>
        <w:spacing w:before="6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themeColor="background1"/>
        <w:sz w:val="18"/>
        <w:u w:val="none"/>
        <w:vertAlign w:val="baseline"/>
      </w:rPr>
      <w:tblPr/>
      <w:tcPr>
        <w:shd w:val="clear" w:color="auto" w:fill="00828C" w:themeFill="accent1"/>
      </w:tcPr>
    </w:tblStylePr>
    <w:tblStylePr w:type="seCell">
      <w:pPr>
        <w:jc w:val="left"/>
      </w:pPr>
      <w:tblPr/>
      <w:tcPr>
        <w:vAlign w:val="center"/>
      </w:tcPr>
    </w:tblStylePr>
  </w:style>
  <w:style w:type="paragraph" w:customStyle="1" w:styleId="BoxTitle">
    <w:name w:val="Box Title"/>
    <w:basedOn w:val="TableHeaderCenter"/>
    <w:uiPriority w:val="1"/>
    <w:qFormat/>
    <w:rsid w:val="00463E2F"/>
    <w:pPr>
      <w:jc w:val="left"/>
    </w:pPr>
    <w:rPr>
      <w:b w:val="0"/>
      <w:position w:val="6"/>
      <w:sz w:val="22"/>
    </w:rPr>
  </w:style>
  <w:style w:type="paragraph" w:customStyle="1" w:styleId="BoxTableListBullet">
    <w:name w:val="Box Table List Bullet"/>
    <w:basedOn w:val="TableListBullet"/>
    <w:uiPriority w:val="1"/>
    <w:qFormat/>
    <w:rsid w:val="00DD085B"/>
  </w:style>
  <w:style w:type="paragraph" w:customStyle="1" w:styleId="BoxTableListNumber">
    <w:name w:val="Box Table List Number"/>
    <w:basedOn w:val="BoxTableListBullet"/>
    <w:uiPriority w:val="1"/>
    <w:qFormat/>
    <w:rsid w:val="00255B4B"/>
    <w:pPr>
      <w:numPr>
        <w:numId w:val="55"/>
      </w:numPr>
      <w:ind w:left="360"/>
      <w:contextualSpacing/>
    </w:pPr>
    <w:rPr>
      <w:b/>
      <w:bCs/>
      <w:color w:val="000000" w:themeColor="text1"/>
    </w:rPr>
  </w:style>
  <w:style w:type="paragraph" w:customStyle="1" w:styleId="BoxTableListBullet2">
    <w:name w:val="Box Table List Bullet 2"/>
    <w:basedOn w:val="BoxTableListBullet"/>
    <w:uiPriority w:val="1"/>
    <w:qFormat/>
    <w:rsid w:val="00B2514C"/>
    <w:pPr>
      <w:numPr>
        <w:numId w:val="0"/>
      </w:numPr>
      <w:ind w:left="1685" w:hanging="360"/>
      <w:contextualSpacing/>
    </w:pPr>
    <w:rPr>
      <w:color w:val="000000" w:themeColor="text1"/>
    </w:rPr>
  </w:style>
  <w:style w:type="paragraph" w:customStyle="1" w:styleId="SidebarHeadCenter">
    <w:name w:val="Sidebar Head Center"/>
    <w:basedOn w:val="SidebarHead"/>
    <w:uiPriority w:val="1"/>
    <w:qFormat/>
    <w:rsid w:val="004E7B5A"/>
    <w:pPr>
      <w:spacing w:before="60" w:after="60"/>
      <w:contextualSpacing w:val="0"/>
      <w:jc w:val="center"/>
    </w:pPr>
    <w:rPr>
      <w:b w:val="0"/>
      <w:color w:val="FFFFFF" w:themeColor="background1"/>
    </w:rPr>
  </w:style>
  <w:style w:type="numbering" w:customStyle="1" w:styleId="NoList1">
    <w:name w:val="No List1"/>
    <w:next w:val="NoList"/>
    <w:uiPriority w:val="99"/>
    <w:semiHidden/>
    <w:unhideWhenUsed/>
    <w:rsid w:val="00C3502C"/>
  </w:style>
  <w:style w:type="table" w:customStyle="1" w:styleId="MPRBaseTable1">
    <w:name w:val="MPR Base Table1"/>
    <w:basedOn w:val="TableNormal"/>
    <w:uiPriority w:val="99"/>
    <w:rsid w:val="00C3502C"/>
    <w:pPr>
      <w:textboxTightWrap w:val="allLines"/>
      <w:spacing w:after="0" w:line="360" w:lineRule="auto"/>
      <w:contextualSpacing/>
    </w:pPr>
    <w:rPr>
      <w:rFonts w:ascii="Arial" w:hAnsi="Arial"/>
      <w:sz w:val="18"/>
    </w:rPr>
    <w:tblPr>
      <w:tblStyleRowBandSize w:val="1"/>
      <w:tblBorders>
        <w:bottom w:val="single" w:sz="4" w:space="0" w:color="auto"/>
      </w:tblBorders>
    </w:tblPr>
    <w:tblStylePr w:type="firstRow">
      <w:pPr>
        <w:wordWrap/>
        <w:spacing w:beforeLines="0" w:beforeAutospacing="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vanish w:val="0"/>
        <w:color w:val="FFFFFF"/>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Lines="0" w:beforeAutospacing="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numbering" w:customStyle="1" w:styleId="MPROutline1">
    <w:name w:val="MPROutline1"/>
    <w:uiPriority w:val="99"/>
    <w:locked/>
    <w:rsid w:val="00C3502C"/>
  </w:style>
  <w:style w:type="table" w:customStyle="1" w:styleId="EQRWorksheettable">
    <w:name w:val="EQR Worksheet table"/>
    <w:basedOn w:val="TableNormal"/>
    <w:next w:val="TableGrid"/>
    <w:uiPriority w:val="39"/>
    <w:locked/>
    <w:rsid w:val="00121518"/>
    <w:pPr>
      <w:spacing w:after="0"/>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table" w:customStyle="1" w:styleId="TableGrid11">
    <w:name w:val="Table Grid11"/>
    <w:basedOn w:val="TableNormal"/>
    <w:next w:val="TableGrid"/>
    <w:uiPriority w:val="59"/>
    <w:rsid w:val="00C3502C"/>
    <w:pPr>
      <w:spacing w:after="0"/>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RWorksheet0">
    <w:name w:val="EQR Worksheet"/>
    <w:basedOn w:val="Normal"/>
    <w:uiPriority w:val="1"/>
    <w:qFormat/>
    <w:rsid w:val="0055354E"/>
    <w:pPr>
      <w:spacing w:before="120" w:after="120"/>
    </w:pPr>
    <w:rPr>
      <w:rFonts w:ascii="Arial" w:eastAsia="Calibri" w:hAnsi="Arial"/>
      <w:sz w:val="18"/>
      <w:szCs w:val="18"/>
    </w:rPr>
  </w:style>
  <w:style w:type="paragraph" w:customStyle="1" w:styleId="TableTextWorksheet">
    <w:name w:val="Table Text Worksheet"/>
    <w:basedOn w:val="TableTextLeft"/>
    <w:uiPriority w:val="1"/>
    <w:qFormat/>
    <w:rsid w:val="007A583A"/>
    <w:pPr>
      <w:spacing w:before="40" w:after="40"/>
    </w:pPr>
  </w:style>
  <w:style w:type="paragraph" w:customStyle="1" w:styleId="H2EQRWorksheet">
    <w:name w:val="H2 EQR Worksheet"/>
    <w:basedOn w:val="H4"/>
    <w:uiPriority w:val="1"/>
    <w:qFormat/>
    <w:rsid w:val="00E90D8C"/>
    <w:pPr>
      <w:ind w:left="0" w:firstLine="0"/>
    </w:pPr>
    <w:rPr>
      <w:rFonts w:ascii="Arial" w:eastAsia="Calibri" w:hAnsi="Arial"/>
      <w:sz w:val="20"/>
    </w:rPr>
  </w:style>
  <w:style w:type="paragraph" w:customStyle="1" w:styleId="ListBullet1Worksheet">
    <w:name w:val="List Bullet 1 Worksheet"/>
    <w:basedOn w:val="EQRTableTextbullet"/>
    <w:uiPriority w:val="1"/>
    <w:qFormat/>
    <w:rsid w:val="00A857E2"/>
    <w:pPr>
      <w:ind w:left="216" w:hanging="216"/>
    </w:pPr>
  </w:style>
  <w:style w:type="numbering" w:customStyle="1" w:styleId="NoList2">
    <w:name w:val="No List2"/>
    <w:next w:val="NoList"/>
    <w:uiPriority w:val="99"/>
    <w:semiHidden/>
    <w:unhideWhenUsed/>
    <w:rsid w:val="00D67BAA"/>
  </w:style>
  <w:style w:type="table" w:customStyle="1" w:styleId="MPRBaseTable2">
    <w:name w:val="MPR Base Table2"/>
    <w:basedOn w:val="TableNormal"/>
    <w:uiPriority w:val="99"/>
    <w:rsid w:val="00D67BAA"/>
    <w:pPr>
      <w:textboxTightWrap w:val="allLines"/>
      <w:spacing w:after="0" w:line="360" w:lineRule="auto"/>
      <w:contextualSpacing/>
    </w:pPr>
    <w:rPr>
      <w:rFonts w:ascii="Arial" w:hAnsi="Arial"/>
      <w:sz w:val="18"/>
    </w:rPr>
    <w:tblPr>
      <w:tblStyleRowBandSize w:val="1"/>
      <w:tblBorders>
        <w:bottom w:val="single" w:sz="4" w:space="0" w:color="auto"/>
      </w:tblBorders>
    </w:tblPr>
    <w:tblStylePr w:type="firstRow">
      <w:pPr>
        <w:wordWrap/>
        <w:spacing w:beforeLines="0" w:beforeAutospacing="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vanish w:val="0"/>
        <w:color w:val="FFFFFF"/>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Lines="0" w:beforeAutospacing="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numbering" w:customStyle="1" w:styleId="MPROutline2">
    <w:name w:val="MPROutline2"/>
    <w:uiPriority w:val="99"/>
    <w:locked/>
    <w:rsid w:val="00D67BAA"/>
    <w:pPr>
      <w:numPr>
        <w:numId w:val="8"/>
      </w:numPr>
    </w:pPr>
  </w:style>
  <w:style w:type="table" w:customStyle="1" w:styleId="TableGrid2">
    <w:name w:val="Table Grid2"/>
    <w:basedOn w:val="TableNormal"/>
    <w:next w:val="TableGrid"/>
    <w:uiPriority w:val="39"/>
    <w:locked/>
    <w:rsid w:val="00D67B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67BAA"/>
    <w:pPr>
      <w:spacing w:after="0"/>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locked/>
    <w:rsid w:val="009B0B1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semiHidden/>
    <w:rsid w:val="00105288"/>
  </w:style>
  <w:style w:type="paragraph" w:customStyle="1" w:styleId="TOC">
    <w:name w:val="TOC"/>
    <w:basedOn w:val="H1"/>
    <w:uiPriority w:val="1"/>
    <w:qFormat/>
    <w:rsid w:val="005A0F4E"/>
    <w:pPr>
      <w:keepNext w:val="0"/>
      <w:pageBreakBefore w:val="0"/>
      <w:outlineLvl w:val="9"/>
    </w:pPr>
  </w:style>
  <w:style w:type="paragraph" w:customStyle="1" w:styleId="EQRHeadingblock">
    <w:name w:val="EQR Heading block"/>
    <w:basedOn w:val="Heading2"/>
    <w:qFormat/>
    <w:rsid w:val="00AD7FD8"/>
    <w:pPr>
      <w:pBdr>
        <w:top w:val="single" w:sz="8" w:space="4" w:color="E2F3F5"/>
        <w:left w:val="single" w:sz="8" w:space="4" w:color="E2F3F5"/>
        <w:bottom w:val="single" w:sz="8" w:space="4" w:color="E2F3F5"/>
        <w:right w:val="single" w:sz="8" w:space="4" w:color="E2F3F5"/>
      </w:pBdr>
      <w:shd w:val="clear" w:color="auto" w:fill="E2F3F5"/>
      <w:tabs>
        <w:tab w:val="clear" w:pos="432"/>
      </w:tabs>
      <w:spacing w:before="360" w:after="240" w:line="240" w:lineRule="auto"/>
      <w:ind w:left="0" w:firstLine="0"/>
      <w:outlineLvl w:val="9"/>
    </w:pPr>
    <w:rPr>
      <w:rFonts w:eastAsia="Arial"/>
      <w:b/>
      <w:color w:val="auto"/>
      <w:sz w:val="20"/>
      <w:szCs w:val="23"/>
    </w:rPr>
  </w:style>
  <w:style w:type="paragraph" w:customStyle="1" w:styleId="EQRWORKSHEETText">
    <w:name w:val="EQR WORKSHEET Text"/>
    <w:basedOn w:val="EQRNormalSS"/>
    <w:qFormat/>
    <w:rsid w:val="00AD7FD8"/>
    <w:pPr>
      <w:spacing w:after="0"/>
      <w:jc w:val="center"/>
    </w:pPr>
    <w:rPr>
      <w:rFonts w:ascii="Arial Black" w:hAnsi="Arial Black"/>
      <w:b/>
      <w:caps/>
      <w:color w:val="00828C" w:themeColor="accent1"/>
      <w:sz w:val="21"/>
      <w:szCs w:val="21"/>
    </w:rPr>
  </w:style>
  <w:style w:type="paragraph" w:customStyle="1" w:styleId="EQRWORKSHEETBOX">
    <w:name w:val="EQR WORKSHEET BOX"/>
    <w:basedOn w:val="EQRWORKSHEETText"/>
    <w:qFormat/>
    <w:rsid w:val="00AD7FD8"/>
    <w:pPr>
      <w:pBdr>
        <w:top w:val="single" w:sz="24" w:space="1" w:color="A5DAD9"/>
        <w:left w:val="single" w:sz="24" w:space="2" w:color="A5DAD9"/>
        <w:bottom w:val="single" w:sz="24" w:space="2" w:color="A5DAD9"/>
        <w:right w:val="single" w:sz="24" w:space="2" w:color="A5DAD9"/>
      </w:pBdr>
      <w:spacing w:after="240"/>
      <w:ind w:left="1080" w:right="5760"/>
    </w:pPr>
  </w:style>
  <w:style w:type="paragraph" w:customStyle="1" w:styleId="EQRNormalSSIndent">
    <w:name w:val="EQR NormalSS Indent"/>
    <w:basedOn w:val="EQRNormalSS"/>
    <w:qFormat/>
    <w:rsid w:val="00AD7FD8"/>
    <w:pPr>
      <w:spacing w:before="240" w:line="240" w:lineRule="auto"/>
      <w:ind w:left="432"/>
    </w:pPr>
  </w:style>
  <w:style w:type="table" w:customStyle="1" w:styleId="TableGrid4">
    <w:name w:val="Table Grid4"/>
    <w:basedOn w:val="TableNormal"/>
    <w:next w:val="TableGrid"/>
    <w:uiPriority w:val="39"/>
    <w:rsid w:val="00BE5EEE"/>
    <w:pPr>
      <w:spacing w:after="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B34AE"/>
    <w:pPr>
      <w:spacing w:after="0"/>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RTableNumber">
    <w:name w:val="EQR Table Number"/>
    <w:basedOn w:val="EQRTableTextbullet"/>
    <w:uiPriority w:val="1"/>
    <w:qFormat/>
    <w:rsid w:val="00252655"/>
    <w:pPr>
      <w:numPr>
        <w:numId w:val="67"/>
      </w:numPr>
    </w:pPr>
  </w:style>
  <w:style w:type="paragraph" w:customStyle="1" w:styleId="EQRNormalSSWSquestionsub">
    <w:name w:val="EQR NormalSS WS question sub"/>
    <w:basedOn w:val="EQRNormalSSWSquestionNUMBER"/>
    <w:uiPriority w:val="1"/>
    <w:qFormat/>
    <w:rsid w:val="00734C88"/>
    <w:pPr>
      <w:numPr>
        <w:numId w:val="177"/>
      </w:numPr>
    </w:pPr>
    <w:rPr>
      <w:rFonts w:cs="Arial"/>
    </w:rPr>
  </w:style>
  <w:style w:type="paragraph" w:customStyle="1" w:styleId="EQRNormalWSquestionsub2">
    <w:name w:val="EQR Normal WS question sub2"/>
    <w:basedOn w:val="EQRNormalSSWSquestionsub"/>
    <w:uiPriority w:val="1"/>
    <w:qFormat/>
    <w:rsid w:val="00CA255D"/>
    <w:pPr>
      <w:numPr>
        <w:numId w:val="175"/>
      </w:numPr>
    </w:pPr>
    <w:rPr>
      <w:szCs w:val="22"/>
    </w:rPr>
  </w:style>
  <w:style w:type="character" w:styleId="PageNumber">
    <w:name w:val="page number"/>
    <w:basedOn w:val="DefaultParagraphFont"/>
    <w:qFormat/>
    <w:rsid w:val="001A3542"/>
    <w:rPr>
      <w:rFonts w:ascii="Arial" w:hAnsi="Arial"/>
      <w:color w:val="auto"/>
      <w:sz w:val="20"/>
      <w:bdr w:val="none" w:sz="0" w:space="0" w:color="auto"/>
    </w:rPr>
  </w:style>
  <w:style w:type="character" w:styleId="SmartLink">
    <w:name w:val="Smart Link"/>
    <w:basedOn w:val="DefaultParagraphFont"/>
    <w:uiPriority w:val="1"/>
    <w:semiHidden/>
    <w:unhideWhenUsed/>
    <w:rsid w:val="001A3542"/>
    <w:rPr>
      <w:color w:val="0000FF"/>
      <w:u w:val="single"/>
      <w:shd w:val="clear" w:color="auto" w:fill="F3F2F1"/>
    </w:rPr>
  </w:style>
  <w:style w:type="table" w:styleId="GridTable5DarkAccent2">
    <w:name w:val="Grid Table 5 Dark Accent 2"/>
    <w:basedOn w:val="TableNormal"/>
    <w:uiPriority w:val="50"/>
    <w:rsid w:val="001A354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8D6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A4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A4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A4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A4E" w:themeFill="accent2"/>
      </w:tcPr>
    </w:tblStylePr>
    <w:tblStylePr w:type="band1Vert">
      <w:tblPr/>
      <w:tcPr>
        <w:shd w:val="clear" w:color="auto" w:fill="52AEFF" w:themeFill="accent2" w:themeFillTint="66"/>
      </w:tcPr>
    </w:tblStylePr>
    <w:tblStylePr w:type="band1Horz">
      <w:tblPr/>
      <w:tcPr>
        <w:shd w:val="clear" w:color="auto" w:fill="52AEFF" w:themeFill="accent2" w:themeFillTint="66"/>
      </w:tcPr>
    </w:tblStylePr>
  </w:style>
  <w:style w:type="table" w:styleId="GridTable5DarkAccent1">
    <w:name w:val="Grid Table 5 Dark Accent 1"/>
    <w:basedOn w:val="TableNormal"/>
    <w:uiPriority w:val="50"/>
    <w:rsid w:val="001A354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9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8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8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8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8C" w:themeFill="accent1"/>
      </w:tcPr>
    </w:tblStylePr>
    <w:tblStylePr w:type="band1Vert">
      <w:tblPr/>
      <w:tcPr>
        <w:shd w:val="clear" w:color="auto" w:fill="6BF3FF" w:themeFill="accent1" w:themeFillTint="66"/>
      </w:tcPr>
    </w:tblStylePr>
    <w:tblStylePr w:type="band1Horz">
      <w:tblPr/>
      <w:tcPr>
        <w:shd w:val="clear" w:color="auto" w:fill="6BF3FF" w:themeFill="accent1" w:themeFillTint="66"/>
      </w:tcPr>
    </w:tblStylePr>
  </w:style>
  <w:style w:type="paragraph" w:customStyle="1" w:styleId="pf0">
    <w:name w:val="pf0"/>
    <w:basedOn w:val="Normal"/>
    <w:rsid w:val="001A3542"/>
    <w:pPr>
      <w:spacing w:before="100" w:beforeAutospacing="1" w:after="100" w:afterAutospacing="1" w:line="240" w:lineRule="auto"/>
      <w:ind w:left="360"/>
    </w:pPr>
    <w:rPr>
      <w:rFonts w:ascii="Times New Roman" w:hAnsi="Times New Roman"/>
      <w:szCs w:val="24"/>
    </w:rPr>
  </w:style>
  <w:style w:type="character" w:customStyle="1" w:styleId="SmartLink10">
    <w:name w:val="SmartLink10"/>
    <w:basedOn w:val="DefaultParagraphFont"/>
    <w:uiPriority w:val="1"/>
    <w:semiHidden/>
    <w:unhideWhenUsed/>
    <w:rsid w:val="0045391D"/>
    <w:rPr>
      <w:color w:val="0000FF"/>
      <w:u w:val="single"/>
      <w:shd w:val="clear" w:color="auto" w:fill="F3F2F1"/>
    </w:rPr>
  </w:style>
  <w:style w:type="character" w:customStyle="1" w:styleId="cf11">
    <w:name w:val="cf11"/>
    <w:basedOn w:val="DefaultParagraphFont"/>
    <w:rsid w:val="0045391D"/>
    <w:rPr>
      <w:rFonts w:ascii="Segoe UI" w:hAnsi="Segoe UI" w:cs="Segoe UI" w:hint="default"/>
      <w:sz w:val="18"/>
      <w:szCs w:val="18"/>
    </w:rPr>
  </w:style>
  <w:style w:type="character" w:customStyle="1" w:styleId="truncate">
    <w:name w:val="truncate"/>
    <w:basedOn w:val="DefaultParagraphFont"/>
    <w:rsid w:val="0045391D"/>
  </w:style>
  <w:style w:type="character" w:customStyle="1" w:styleId="overflow-hidden">
    <w:name w:val="overflow-hidden"/>
    <w:basedOn w:val="DefaultParagraphFont"/>
    <w:rsid w:val="0045391D"/>
  </w:style>
  <w:style w:type="table" w:customStyle="1" w:styleId="GridTable4-Accent51">
    <w:name w:val="Grid Table 4 - Accent 51"/>
    <w:basedOn w:val="TableNormal"/>
    <w:next w:val="GridTable4Accent5"/>
    <w:uiPriority w:val="49"/>
    <w:rsid w:val="0045391D"/>
    <w:pPr>
      <w:spacing w:after="0"/>
    </w:pPr>
    <w:rPr>
      <w:rFonts w:ascii="Calibri" w:eastAsia="Calibri" w:hAnsi="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shd w:val="clear" w:color="auto" w:fill="009999"/>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5">
    <w:name w:val="Grid Table 4 Accent 5"/>
    <w:basedOn w:val="TableNormal"/>
    <w:uiPriority w:val="49"/>
    <w:rsid w:val="0045391D"/>
    <w:pPr>
      <w:spacing w:after="0"/>
    </w:pPr>
    <w:tblPr>
      <w:tblStyleRowBandSize w:val="1"/>
      <w:tblStyleColBandSize w:val="1"/>
      <w:tblBorders>
        <w:top w:val="single" w:sz="4" w:space="0" w:color="9A90BE" w:themeColor="accent5" w:themeTint="99"/>
        <w:left w:val="single" w:sz="4" w:space="0" w:color="9A90BE" w:themeColor="accent5" w:themeTint="99"/>
        <w:bottom w:val="single" w:sz="4" w:space="0" w:color="9A90BE" w:themeColor="accent5" w:themeTint="99"/>
        <w:right w:val="single" w:sz="4" w:space="0" w:color="9A90BE" w:themeColor="accent5" w:themeTint="99"/>
        <w:insideH w:val="single" w:sz="4" w:space="0" w:color="9A90BE" w:themeColor="accent5" w:themeTint="99"/>
        <w:insideV w:val="single" w:sz="4" w:space="0" w:color="9A90BE" w:themeColor="accent5" w:themeTint="99"/>
      </w:tblBorders>
    </w:tblPr>
    <w:tblStylePr w:type="firstRow">
      <w:rPr>
        <w:b/>
        <w:bCs/>
        <w:color w:val="FFFFFF" w:themeColor="background1"/>
      </w:rPr>
      <w:tblPr/>
      <w:tcPr>
        <w:tcBorders>
          <w:top w:val="single" w:sz="4" w:space="0" w:color="5D518A" w:themeColor="accent5"/>
          <w:left w:val="single" w:sz="4" w:space="0" w:color="5D518A" w:themeColor="accent5"/>
          <w:bottom w:val="single" w:sz="4" w:space="0" w:color="5D518A" w:themeColor="accent5"/>
          <w:right w:val="single" w:sz="4" w:space="0" w:color="5D518A" w:themeColor="accent5"/>
          <w:insideH w:val="nil"/>
          <w:insideV w:val="nil"/>
        </w:tcBorders>
        <w:shd w:val="clear" w:color="auto" w:fill="5D518A" w:themeFill="accent5"/>
      </w:tcPr>
    </w:tblStylePr>
    <w:tblStylePr w:type="lastRow">
      <w:rPr>
        <w:b/>
        <w:bCs/>
      </w:rPr>
      <w:tblPr/>
      <w:tcPr>
        <w:tcBorders>
          <w:top w:val="double" w:sz="4" w:space="0" w:color="5D518A" w:themeColor="accent5"/>
        </w:tcBorders>
      </w:tcPr>
    </w:tblStylePr>
    <w:tblStylePr w:type="firstCol">
      <w:rPr>
        <w:b/>
        <w:bCs/>
      </w:rPr>
    </w:tblStylePr>
    <w:tblStylePr w:type="lastCol">
      <w:rPr>
        <w:b/>
        <w:bCs/>
      </w:rPr>
    </w:tblStylePr>
    <w:tblStylePr w:type="band1Vert">
      <w:tblPr/>
      <w:tcPr>
        <w:shd w:val="clear" w:color="auto" w:fill="DDDAE9" w:themeFill="accent5" w:themeFillTint="33"/>
      </w:tcPr>
    </w:tblStylePr>
    <w:tblStylePr w:type="band1Horz">
      <w:tblPr/>
      <w:tcPr>
        <w:shd w:val="clear" w:color="auto" w:fill="DDDAE9" w:themeFill="accent5" w:themeFillTint="33"/>
      </w:tcPr>
    </w:tblStylePr>
  </w:style>
  <w:style w:type="character" w:customStyle="1" w:styleId="CommentReference1">
    <w:name w:val="Comment Reference1"/>
    <w:basedOn w:val="DefaultParagraphFont"/>
    <w:unhideWhenUsed/>
    <w:rsid w:val="00666AC0"/>
    <w:rPr>
      <w:rFonts w:ascii="Times New Roman" w:hAnsi="Times New Roman"/>
      <w:sz w:val="16"/>
      <w:szCs w:val="16"/>
    </w:rPr>
  </w:style>
  <w:style w:type="table" w:customStyle="1" w:styleId="TableGrid6">
    <w:name w:val="Table Grid6"/>
    <w:basedOn w:val="TableNormal"/>
    <w:next w:val="TableGrid"/>
    <w:uiPriority w:val="39"/>
    <w:rsid w:val="00666AC0"/>
    <w:pPr>
      <w:spacing w:after="0"/>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paragraph" w:customStyle="1" w:styleId="H2EQRWorksheetlist2">
    <w:name w:val="H2 EQR Worksheet list2"/>
    <w:basedOn w:val="H2EQRWorksheetList1"/>
    <w:uiPriority w:val="1"/>
    <w:qFormat/>
    <w:rsid w:val="00163EB3"/>
    <w:pPr>
      <w:keepNext w:val="0"/>
      <w:numPr>
        <w:ilvl w:val="1"/>
      </w:numPr>
      <w:tabs>
        <w:tab w:val="clear" w:pos="432"/>
      </w:tabs>
      <w:outlineLvl w:val="5"/>
    </w:pPr>
    <w:rPr>
      <w:b w:val="0"/>
    </w:rPr>
  </w:style>
  <w:style w:type="paragraph" w:customStyle="1" w:styleId="EQRNormalSSWSquestionSectionNumberSub">
    <w:name w:val="EQR NormalSS WS questionSectionNumber Sub"/>
    <w:basedOn w:val="EQRNormalSSWSquestionsub"/>
    <w:uiPriority w:val="1"/>
    <w:rsid w:val="008A4DEE"/>
    <w:pPr>
      <w:numPr>
        <w:numId w:val="232"/>
      </w:numPr>
      <w:ind w:left="1094" w:hanging="547"/>
    </w:pPr>
    <w:rPr>
      <w:rFonts w:cs="Times New Roman"/>
      <w:bCs/>
      <w:szCs w:val="24"/>
    </w:rPr>
  </w:style>
  <w:style w:type="paragraph" w:customStyle="1" w:styleId="H2EQRWorksheetList1">
    <w:name w:val="H2 EQR Worksheet List1"/>
    <w:basedOn w:val="H2EQRWorksheet"/>
    <w:uiPriority w:val="1"/>
    <w:qFormat/>
    <w:rsid w:val="00325834"/>
    <w:pPr>
      <w:numPr>
        <w:numId w:val="243"/>
      </w:numPr>
      <w:spacing w:before="160"/>
    </w:pPr>
    <w:rPr>
      <w:sz w:val="18"/>
    </w:rPr>
  </w:style>
  <w:style w:type="paragraph" w:customStyle="1" w:styleId="H2EQRWorksheetlist3">
    <w:name w:val="H2 EQR Worksheet list3"/>
    <w:basedOn w:val="H2EQRWorksheetlist2"/>
    <w:uiPriority w:val="1"/>
    <w:qFormat/>
    <w:rsid w:val="00CC2516"/>
    <w:pPr>
      <w:numPr>
        <w:ilvl w:val="2"/>
      </w:numPr>
      <w:outlineLvl w:val="6"/>
    </w:pPr>
  </w:style>
  <w:style w:type="paragraph" w:customStyle="1" w:styleId="H2EQRWorksheetSub">
    <w:name w:val="H2 EQR Worksheet Sub"/>
    <w:basedOn w:val="H2EQRWorksheet"/>
    <w:uiPriority w:val="1"/>
    <w:qFormat/>
    <w:rsid w:val="002066F7"/>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00" Type="http://schemas.openxmlformats.org/officeDocument/2006/relationships/footer" Target="footer13.xml" /><Relationship Id="rId101" Type="http://schemas.openxmlformats.org/officeDocument/2006/relationships/footer" Target="footer14.xml" /><Relationship Id="rId102" Type="http://schemas.openxmlformats.org/officeDocument/2006/relationships/header" Target="header16.xml" /><Relationship Id="rId103" Type="http://schemas.openxmlformats.org/officeDocument/2006/relationships/footer" Target="footer15.xml" /><Relationship Id="rId104" Type="http://schemas.openxmlformats.org/officeDocument/2006/relationships/image" Target="media/image25.jpeg" /><Relationship Id="rId105" Type="http://schemas.openxmlformats.org/officeDocument/2006/relationships/image" Target="media/image26.png" /><Relationship Id="rId106" Type="http://schemas.openxmlformats.org/officeDocument/2006/relationships/image" Target="media/image27.jpeg" /><Relationship Id="rId107" Type="http://schemas.openxmlformats.org/officeDocument/2006/relationships/hyperlink" Target="mailto:ManagedCareQualityTA@cms.hhs.gov" TargetMode="External" /><Relationship Id="rId108" Type="http://schemas.openxmlformats.org/officeDocument/2006/relationships/header" Target="header17.xml" /><Relationship Id="rId109" Type="http://schemas.openxmlformats.org/officeDocument/2006/relationships/header" Target="header18.xml" /><Relationship Id="rId11" Type="http://schemas.openxmlformats.org/officeDocument/2006/relationships/image" Target="media/image1.png" /><Relationship Id="rId110" Type="http://schemas.openxmlformats.org/officeDocument/2006/relationships/footer" Target="footer16.xml" /><Relationship Id="rId111" Type="http://schemas.openxmlformats.org/officeDocument/2006/relationships/footer" Target="footer17.xml" /><Relationship Id="rId112" Type="http://schemas.openxmlformats.org/officeDocument/2006/relationships/header" Target="header19.xml" /><Relationship Id="rId113" Type="http://schemas.openxmlformats.org/officeDocument/2006/relationships/footer" Target="footer18.xml" /><Relationship Id="rId114" Type="http://schemas.openxmlformats.org/officeDocument/2006/relationships/footer" Target="footer19.xml" /><Relationship Id="rId115" Type="http://schemas.openxmlformats.org/officeDocument/2006/relationships/footer" Target="footer20.xml" /><Relationship Id="rId116" Type="http://schemas.openxmlformats.org/officeDocument/2006/relationships/header" Target="header20.xml" /><Relationship Id="rId117" Type="http://schemas.openxmlformats.org/officeDocument/2006/relationships/footer" Target="footer21.xml" /><Relationship Id="rId118" Type="http://schemas.openxmlformats.org/officeDocument/2006/relationships/header" Target="header21.xml" /><Relationship Id="rId119" Type="http://schemas.openxmlformats.org/officeDocument/2006/relationships/hyperlink" Target="https://www.statedataresourcecenter.com/available-data/medicare-data/data-dictionaries-and-resources" TargetMode="External" /><Relationship Id="rId12" Type="http://schemas.openxmlformats.org/officeDocument/2006/relationships/header" Target="header1.xml" /><Relationship Id="rId120" Type="http://schemas.openxmlformats.org/officeDocument/2006/relationships/hyperlink" Target="https://innovation.cms.gov/Files/reports/cpci-evalrpt2.pdf" TargetMode="External" /><Relationship Id="rId121" Type="http://schemas.openxmlformats.org/officeDocument/2006/relationships/hyperlink" Target="http://www.aapor.org/Standards-Ethics/Standard-Definitions-(1).aspx" TargetMode="External" /><Relationship Id="rId122" Type="http://schemas.openxmlformats.org/officeDocument/2006/relationships/image" Target="media/image28.jpeg" /><Relationship Id="rId123" Type="http://schemas.openxmlformats.org/officeDocument/2006/relationships/header" Target="header22.xml" /><Relationship Id="rId124" Type="http://schemas.openxmlformats.org/officeDocument/2006/relationships/footer" Target="footer22.xml" /><Relationship Id="rId125" Type="http://schemas.openxmlformats.org/officeDocument/2006/relationships/footer" Target="footer23.xml" /><Relationship Id="rId126" Type="http://schemas.openxmlformats.org/officeDocument/2006/relationships/header" Target="header23.xml" /><Relationship Id="rId127" Type="http://schemas.openxmlformats.org/officeDocument/2006/relationships/footer" Target="footer24.xml" /><Relationship Id="rId128" Type="http://schemas.openxmlformats.org/officeDocument/2006/relationships/footer" Target="footer25.xml" /><Relationship Id="rId129" Type="http://schemas.openxmlformats.org/officeDocument/2006/relationships/footer" Target="footer26.xml" /><Relationship Id="rId13" Type="http://schemas.openxmlformats.org/officeDocument/2006/relationships/footer" Target="footer1.xml" /><Relationship Id="rId130" Type="http://schemas.openxmlformats.org/officeDocument/2006/relationships/header" Target="header24.xml" /><Relationship Id="rId131" Type="http://schemas.openxmlformats.org/officeDocument/2006/relationships/footer" Target="footer27.xml" /><Relationship Id="rId132" Type="http://schemas.openxmlformats.org/officeDocument/2006/relationships/image" Target="media/image29.jpeg" /><Relationship Id="rId133" Type="http://schemas.openxmlformats.org/officeDocument/2006/relationships/footer" Target="footer28.xml" /><Relationship Id="rId134" Type="http://schemas.openxmlformats.org/officeDocument/2006/relationships/footer" Target="footer29.xml" /><Relationship Id="rId135" Type="http://schemas.openxmlformats.org/officeDocument/2006/relationships/header" Target="header25.xml" /><Relationship Id="rId136" Type="http://schemas.openxmlformats.org/officeDocument/2006/relationships/footer" Target="footer30.xml" /><Relationship Id="rId137" Type="http://schemas.openxmlformats.org/officeDocument/2006/relationships/header" Target="header26.xml" /><Relationship Id="rId138" Type="http://schemas.openxmlformats.org/officeDocument/2006/relationships/footer" Target="footer31.xml" /><Relationship Id="rId139" Type="http://schemas.openxmlformats.org/officeDocument/2006/relationships/footer" Target="footer32.xml" /><Relationship Id="rId14" Type="http://schemas.openxmlformats.org/officeDocument/2006/relationships/header" Target="header2.xml" /><Relationship Id="rId140" Type="http://schemas.openxmlformats.org/officeDocument/2006/relationships/header" Target="header27.xml" /><Relationship Id="rId141" Type="http://schemas.openxmlformats.org/officeDocument/2006/relationships/footer" Target="footer33.xml" /><Relationship Id="rId142" Type="http://schemas.openxmlformats.org/officeDocument/2006/relationships/footer" Target="footer34.xml" /><Relationship Id="rId143" Type="http://schemas.openxmlformats.org/officeDocument/2006/relationships/footer" Target="footer35.xml" /><Relationship Id="rId144" Type="http://schemas.openxmlformats.org/officeDocument/2006/relationships/header" Target="header28.xml" /><Relationship Id="rId145" Type="http://schemas.openxmlformats.org/officeDocument/2006/relationships/footer" Target="footer36.xml" /><Relationship Id="rId146" Type="http://schemas.openxmlformats.org/officeDocument/2006/relationships/hyperlink" Target="https://www.medicaid.gov/medicaid/quality-of-care/downloads/QMR-stratification-resource.pdf" TargetMode="External" /><Relationship Id="rId147" Type="http://schemas.openxmlformats.org/officeDocument/2006/relationships/hyperlink" Target="https://www.ahrq.gov/cahps/surveys-guidance/item-sets/search.html" TargetMode="External" /><Relationship Id="rId148" Type="http://schemas.openxmlformats.org/officeDocument/2006/relationships/hyperlink" Target="https://www.ahrq.gov/cahps/cahps-database/index.html" TargetMode="External" /><Relationship Id="rId149" Type="http://schemas.openxmlformats.org/officeDocument/2006/relationships/hyperlink" Target="https://www.ahrq.gov/cahps/index.html" TargetMode="External" /><Relationship Id="rId15" Type="http://schemas.openxmlformats.org/officeDocument/2006/relationships/footer" Target="footer2.xml" /><Relationship Id="rId150" Type="http://schemas.openxmlformats.org/officeDocument/2006/relationships/image" Target="media/image30.jpeg" /><Relationship Id="rId151" Type="http://schemas.openxmlformats.org/officeDocument/2006/relationships/hyperlink" Target="https:/www.govinfo.gov/content/pkg/FR-2024-05-10/pdf/2024-08085.pdf" TargetMode="External" /><Relationship Id="rId152" Type="http://schemas.openxmlformats.org/officeDocument/2006/relationships/hyperlink" Target="http://www.ncqa.org/hedis-quality-measurement" TargetMode="External" /><Relationship Id="rId153" Type="http://schemas.openxmlformats.org/officeDocument/2006/relationships/header" Target="header29.xml" /><Relationship Id="rId154" Type="http://schemas.openxmlformats.org/officeDocument/2006/relationships/header" Target="header30.xml" /><Relationship Id="rId155" Type="http://schemas.openxmlformats.org/officeDocument/2006/relationships/footer" Target="footer37.xml" /><Relationship Id="rId156" Type="http://schemas.openxmlformats.org/officeDocument/2006/relationships/footer" Target="footer38.xml" /><Relationship Id="rId157" Type="http://schemas.openxmlformats.org/officeDocument/2006/relationships/header" Target="header31.xml" /><Relationship Id="rId158" Type="http://schemas.openxmlformats.org/officeDocument/2006/relationships/footer" Target="footer39.xml" /><Relationship Id="rId159" Type="http://schemas.openxmlformats.org/officeDocument/2006/relationships/header" Target="header32.xml" /><Relationship Id="rId16" Type="http://schemas.openxmlformats.org/officeDocument/2006/relationships/header" Target="header3.xml" /><Relationship Id="rId160" Type="http://schemas.openxmlformats.org/officeDocument/2006/relationships/header" Target="header33.xml" /><Relationship Id="rId161" Type="http://schemas.openxmlformats.org/officeDocument/2006/relationships/header" Target="header34.xml" /><Relationship Id="rId162" Type="http://schemas.openxmlformats.org/officeDocument/2006/relationships/footer" Target="footer40.xml" /><Relationship Id="rId163" Type="http://schemas.openxmlformats.org/officeDocument/2006/relationships/footer" Target="footer41.xml" /><Relationship Id="rId164" Type="http://schemas.openxmlformats.org/officeDocument/2006/relationships/footer" Target="footer42.xml" /><Relationship Id="rId165" Type="http://schemas.openxmlformats.org/officeDocument/2006/relationships/header" Target="header35.xml" /><Relationship Id="rId166" Type="http://schemas.openxmlformats.org/officeDocument/2006/relationships/footer" Target="footer43.xml" /><Relationship Id="rId167" Type="http://schemas.openxmlformats.org/officeDocument/2006/relationships/image" Target="media/image31.jpeg" /><Relationship Id="rId168" Type="http://schemas.openxmlformats.org/officeDocument/2006/relationships/hyperlink" Target="https://www.ahrq.gov/cahps/surveys-guidance/hp/about/NCQAs-CAHPS-HP-Survey.html?url=https%3A%2F%2Fwww.medicaid.gov%2Fmedicaid%2Fdownloads%2Fmedicaid-encounter-data-toolkit.pdf&amp;data=04%7C01%7CMHallisey%40mathematica-mpr.com%7Cccdb3bc436e4414e1e8308da0135a931%7C13af8d650b4b4c0fa446a427419abfd6%7C0%7C0%7C637823627231170688%7CUnknown%7CTWFpbGZsb3d8eyJWIjoiMC4wLjAwMDAiLCJQIjoiV2luMzIiLCJBTiI6Ik1haWwiLCJXVCI6Mn0%3D%7C3000&amp;sdata=FJPNCBsXcASjWLvKIxkXQPBALQmAkc3AtJsw4eEiDiE%3D&amp;reserved=0" TargetMode="External" /><Relationship Id="rId169" Type="http://schemas.openxmlformats.org/officeDocument/2006/relationships/hyperlink" Target="https://nam12.safelinks.protection.outlook.com/?url=https%3A%2F%2Fwww.medicaid.gov%2Fmedicaid%2Fdownloads%2Fmedicaid-encounter-data-toolkit.pdf&amp;data=04%7C01%7CMHallisey%40mathematica-mpr.com%7C4757fd74988c46ae858a08da05b508c3%7C13af8d650b4b4c0fa446a427419abfd6%7C0%7C0%7C637828572351608300%7CUnknown%7CTWFpbGZsb3d8eyJWIjoiMC4wLjAwMDAiLCJQIjoiV2luMzIiLCJBTiI6Ik1haWwiLCJXVCI6Mn0%3D%7C3000&amp;sdata=rB5YRBODSKIdsUPW0hxnngKdqCHod9Ezt%2F91JpYlNGg%3D&amp;reserved=0" TargetMode="External" /><Relationship Id="rId17" Type="http://schemas.openxmlformats.org/officeDocument/2006/relationships/header" Target="header4.xml" /><Relationship Id="rId170" Type="http://schemas.openxmlformats.org/officeDocument/2006/relationships/footer" Target="footer44.xml" /><Relationship Id="rId171" Type="http://schemas.openxmlformats.org/officeDocument/2006/relationships/footer" Target="footer45.xml" /><Relationship Id="rId172" Type="http://schemas.openxmlformats.org/officeDocument/2006/relationships/header" Target="header36.xml" /><Relationship Id="rId173" Type="http://schemas.openxmlformats.org/officeDocument/2006/relationships/footer" Target="footer46.xml" /><Relationship Id="rId174" Type="http://schemas.openxmlformats.org/officeDocument/2006/relationships/footer" Target="footer47.xml" /><Relationship Id="rId175" Type="http://schemas.openxmlformats.org/officeDocument/2006/relationships/footer" Target="footer48.xml" /><Relationship Id="rId176" Type="http://schemas.openxmlformats.org/officeDocument/2006/relationships/header" Target="header37.xml" /><Relationship Id="rId177" Type="http://schemas.openxmlformats.org/officeDocument/2006/relationships/footer" Target="footer49.xml" /><Relationship Id="rId178" Type="http://schemas.openxmlformats.org/officeDocument/2006/relationships/image" Target="media/image32.png" /><Relationship Id="rId179" Type="http://schemas.openxmlformats.org/officeDocument/2006/relationships/hyperlink" Target="https://www.ahrq.gov/health-literacy/improve/precautions/tool2b.html" TargetMode="External" /><Relationship Id="rId18" Type="http://schemas.openxmlformats.org/officeDocument/2006/relationships/footer" Target="footer3.xml" /><Relationship Id="rId180" Type="http://schemas.openxmlformats.org/officeDocument/2006/relationships/hyperlink" Target="https://www.ncbi.nlm.nih.gov/pmc/articles/PMC3752653/" TargetMode="External" /><Relationship Id="rId181" Type="http://schemas.openxmlformats.org/officeDocument/2006/relationships/hyperlink" Target="https://www.ihi.org/resources/how-improve-model-improvement" TargetMode="External" /><Relationship Id="rId182" Type="http://schemas.openxmlformats.org/officeDocument/2006/relationships/hyperlink" Target="https://www.govinfo.gov/content/pkg/FR-1997-10-30/pdf/97-28653.pdf" TargetMode="External" /><Relationship Id="rId183" Type="http://schemas.openxmlformats.org/officeDocument/2006/relationships/hyperlink" Target="https://www.medicaid.gov/medicaid/quality-of-care/medicaid-managed-care-quality/managed-care-quality-improvement/index.html" TargetMode="External" /><Relationship Id="rId184" Type="http://schemas.openxmlformats.org/officeDocument/2006/relationships/hyperlink" Target="https://www.hhs.gov/sites/default/files/ocr/privacy/hipaa/administrative/securityrule/fips1402.pdf" TargetMode="External" /><Relationship Id="rId185" Type="http://schemas.openxmlformats.org/officeDocument/2006/relationships/hyperlink" Target="http://www.qualityindicators.ahrq.gov/" TargetMode="External" /><Relationship Id="rId186" Type="http://schemas.openxmlformats.org/officeDocument/2006/relationships/hyperlink" Target="http://www.safetynetmedicalhome.org/sites/default/files/PCMH-A.pdf" TargetMode="External" /><Relationship Id="rId187" Type="http://schemas.openxmlformats.org/officeDocument/2006/relationships/hyperlink" Target="https://www.ahrq.gov/cahps/surveys-guidance/hp/index.html" TargetMode="External" /><Relationship Id="rId188" Type="http://schemas.openxmlformats.org/officeDocument/2006/relationships/hyperlink" Target="https://www.medicaid.gov/medicaid/quality-of-care/medicaid-managed-care-quality/quality-of-care-external-quality-review" TargetMode="External" /><Relationship Id="rId189" Type="http://schemas.openxmlformats.org/officeDocument/2006/relationships/image" Target="media/image33.png" /><Relationship Id="rId19" Type="http://schemas.openxmlformats.org/officeDocument/2006/relationships/footer" Target="footer4.xml" /><Relationship Id="rId190" Type="http://schemas.openxmlformats.org/officeDocument/2006/relationships/footer" Target="footer50.xml" /><Relationship Id="rId191" Type="http://schemas.openxmlformats.org/officeDocument/2006/relationships/footer" Target="footer51.xml" /><Relationship Id="rId192" Type="http://schemas.openxmlformats.org/officeDocument/2006/relationships/header" Target="header38.xml" /><Relationship Id="rId193" Type="http://schemas.openxmlformats.org/officeDocument/2006/relationships/footer" Target="footer52.xml" /><Relationship Id="rId194" Type="http://schemas.openxmlformats.org/officeDocument/2006/relationships/footer" Target="footer53.xml" /><Relationship Id="rId195" Type="http://schemas.openxmlformats.org/officeDocument/2006/relationships/footer" Target="footer54.xml" /><Relationship Id="rId196" Type="http://schemas.openxmlformats.org/officeDocument/2006/relationships/header" Target="header39.xml" /><Relationship Id="rId197" Type="http://schemas.openxmlformats.org/officeDocument/2006/relationships/footer" Target="footer55.xml" /><Relationship Id="rId198" Type="http://schemas.openxmlformats.org/officeDocument/2006/relationships/image" Target="media/image34.png" /><Relationship Id="rId199" Type="http://schemas.openxmlformats.org/officeDocument/2006/relationships/footer" Target="footer56.xml" /><Relationship Id="rId2" Type="http://schemas.openxmlformats.org/officeDocument/2006/relationships/endnotes" Target="endnotes.xml" /><Relationship Id="rId20" Type="http://schemas.openxmlformats.org/officeDocument/2006/relationships/header" Target="header5.xml" /><Relationship Id="rId200" Type="http://schemas.openxmlformats.org/officeDocument/2006/relationships/footer" Target="footer57.xml" /><Relationship Id="rId201" Type="http://schemas.openxmlformats.org/officeDocument/2006/relationships/header" Target="header40.xml" /><Relationship Id="rId202" Type="http://schemas.openxmlformats.org/officeDocument/2006/relationships/footer" Target="footer58.xml" /><Relationship Id="rId203" Type="http://schemas.openxmlformats.org/officeDocument/2006/relationships/image" Target="media/image35.jpeg" /><Relationship Id="rId204" Type="http://schemas.openxmlformats.org/officeDocument/2006/relationships/header" Target="header41.xml" /><Relationship Id="rId205" Type="http://schemas.openxmlformats.org/officeDocument/2006/relationships/footer" Target="footer59.xml" /><Relationship Id="rId206" Type="http://schemas.openxmlformats.org/officeDocument/2006/relationships/footer" Target="footer60.xml" /><Relationship Id="rId207" Type="http://schemas.openxmlformats.org/officeDocument/2006/relationships/header" Target="header42.xml" /><Relationship Id="rId208" Type="http://schemas.openxmlformats.org/officeDocument/2006/relationships/image" Target="media/image36.png" /><Relationship Id="rId209" Type="http://schemas.openxmlformats.org/officeDocument/2006/relationships/header" Target="header43.xml" /><Relationship Id="rId21" Type="http://schemas.openxmlformats.org/officeDocument/2006/relationships/footer" Target="footer5.xml" /><Relationship Id="rId210" Type="http://schemas.openxmlformats.org/officeDocument/2006/relationships/footer" Target="footer61.xml" /><Relationship Id="rId211" Type="http://schemas.openxmlformats.org/officeDocument/2006/relationships/footer" Target="footer62.xml" /><Relationship Id="rId212" Type="http://schemas.openxmlformats.org/officeDocument/2006/relationships/header" Target="header44.xml" /><Relationship Id="rId213" Type="http://schemas.openxmlformats.org/officeDocument/2006/relationships/image" Target="media/image37.jpeg" /><Relationship Id="rId214" Type="http://schemas.openxmlformats.org/officeDocument/2006/relationships/image" Target="media/image38.jpeg" /><Relationship Id="rId215" Type="http://schemas.openxmlformats.org/officeDocument/2006/relationships/hyperlink" Target="https://www.nationalcoreindicators.org/" TargetMode="External" /><Relationship Id="rId216" Type="http://schemas.openxmlformats.org/officeDocument/2006/relationships/header" Target="header45.xml" /><Relationship Id="rId217" Type="http://schemas.openxmlformats.org/officeDocument/2006/relationships/footer" Target="footer63.xml" /><Relationship Id="rId218" Type="http://schemas.openxmlformats.org/officeDocument/2006/relationships/footer" Target="footer64.xml" /><Relationship Id="rId219" Type="http://schemas.openxmlformats.org/officeDocument/2006/relationships/header" Target="header46.xml" /><Relationship Id="rId22" Type="http://schemas.openxmlformats.org/officeDocument/2006/relationships/image" Target="media/image2.png" /><Relationship Id="rId220" Type="http://schemas.openxmlformats.org/officeDocument/2006/relationships/footer" Target="footer65.xml" /><Relationship Id="rId221" Type="http://schemas.openxmlformats.org/officeDocument/2006/relationships/image" Target="media/image39.jpeg" /><Relationship Id="rId222" Type="http://schemas.openxmlformats.org/officeDocument/2006/relationships/hyperlink" Target="https://www.medicaid.gov/medicaid/downloads/adequacy-and-access-toolkit.pdf" TargetMode="External" /><Relationship Id="rId223" Type="http://schemas.openxmlformats.org/officeDocument/2006/relationships/hyperlink" Target="https://www.medicaid.gov/medicaid/quality-of-care/quality-improvement-initiatives/measuring-and-improving-quality-home-and-community-based-services" TargetMode="External" /><Relationship Id="rId224" Type="http://schemas.openxmlformats.org/officeDocument/2006/relationships/hyperlink" Target="http://www.advancingstates.org/initiatives/national-core-indicators-aging-and-disabilities" TargetMode="External" /><Relationship Id="rId225" Type="http://schemas.openxmlformats.org/officeDocument/2006/relationships/header" Target="header47.xml" /><Relationship Id="rId226" Type="http://schemas.openxmlformats.org/officeDocument/2006/relationships/footer" Target="footer66.xml" /><Relationship Id="rId227" Type="http://schemas.openxmlformats.org/officeDocument/2006/relationships/footer" Target="footer67.xml" /><Relationship Id="rId228" Type="http://schemas.openxmlformats.org/officeDocument/2006/relationships/header" Target="header48.xml" /><Relationship Id="rId229" Type="http://schemas.openxmlformats.org/officeDocument/2006/relationships/footer" Target="footer68.xml" /><Relationship Id="rId23" Type="http://schemas.openxmlformats.org/officeDocument/2006/relationships/header" Target="header6.xml" /><Relationship Id="rId230" Type="http://schemas.openxmlformats.org/officeDocument/2006/relationships/footer" Target="footer69.xml" /><Relationship Id="rId231" Type="http://schemas.openxmlformats.org/officeDocument/2006/relationships/footer" Target="footer70.xml" /><Relationship Id="rId232" Type="http://schemas.openxmlformats.org/officeDocument/2006/relationships/header" Target="header49.xml" /><Relationship Id="rId233" Type="http://schemas.openxmlformats.org/officeDocument/2006/relationships/footer" Target="footer71.xml" /><Relationship Id="rId234" Type="http://schemas.openxmlformats.org/officeDocument/2006/relationships/image" Target="media/image40.jpeg" /><Relationship Id="rId235" Type="http://schemas.openxmlformats.org/officeDocument/2006/relationships/image" Target="media/image41.png" /><Relationship Id="rId236" Type="http://schemas.openxmlformats.org/officeDocument/2006/relationships/footer" Target="footer72.xml" /><Relationship Id="rId237" Type="http://schemas.openxmlformats.org/officeDocument/2006/relationships/footer" Target="footer73.xml" /><Relationship Id="rId238" Type="http://schemas.openxmlformats.org/officeDocument/2006/relationships/header" Target="header50.xml" /><Relationship Id="rId239" Type="http://schemas.openxmlformats.org/officeDocument/2006/relationships/footer" Target="footer74.xml" /><Relationship Id="rId24" Type="http://schemas.openxmlformats.org/officeDocument/2006/relationships/header" Target="header7.xml" /><Relationship Id="rId240" Type="http://schemas.openxmlformats.org/officeDocument/2006/relationships/footer" Target="footer75.xml" /><Relationship Id="rId241" Type="http://schemas.openxmlformats.org/officeDocument/2006/relationships/header" Target="header51.xml" /><Relationship Id="rId242" Type="http://schemas.openxmlformats.org/officeDocument/2006/relationships/footer" Target="footer76.xml" /><Relationship Id="rId243" Type="http://schemas.openxmlformats.org/officeDocument/2006/relationships/hyperlink" Target="https://www.cms.gov/files/document/cms-2024-omh-data-definitions.pdf?language=es" TargetMode="External" /><Relationship Id="rId244" Type="http://schemas.openxmlformats.org/officeDocument/2006/relationships/header" Target="header52.xml" /><Relationship Id="rId245" Type="http://schemas.openxmlformats.org/officeDocument/2006/relationships/footer" Target="footer77.xml" /><Relationship Id="rId246" Type="http://schemas.openxmlformats.org/officeDocument/2006/relationships/footer" Target="footer78.xml" /><Relationship Id="rId247" Type="http://schemas.openxmlformats.org/officeDocument/2006/relationships/header" Target="header53.xml" /><Relationship Id="rId248" Type="http://schemas.openxmlformats.org/officeDocument/2006/relationships/footer" Target="footer79.xml" /><Relationship Id="rId249" Type="http://schemas.openxmlformats.org/officeDocument/2006/relationships/header" Target="header54.xml" /><Relationship Id="rId25" Type="http://schemas.openxmlformats.org/officeDocument/2006/relationships/footer" Target="footer6.xml" /><Relationship Id="rId250" Type="http://schemas.openxmlformats.org/officeDocument/2006/relationships/footer" Target="footer80.xml" /><Relationship Id="rId251" Type="http://schemas.openxmlformats.org/officeDocument/2006/relationships/footer" Target="footer81.xml" /><Relationship Id="rId252" Type="http://schemas.openxmlformats.org/officeDocument/2006/relationships/header" Target="header55.xml" /><Relationship Id="rId253" Type="http://schemas.openxmlformats.org/officeDocument/2006/relationships/header" Target="header56.xml" /><Relationship Id="rId254" Type="http://schemas.openxmlformats.org/officeDocument/2006/relationships/footer" Target="footer82.xml" /><Relationship Id="rId255" Type="http://schemas.openxmlformats.org/officeDocument/2006/relationships/footer" Target="footer83.xml" /><Relationship Id="rId256" Type="http://schemas.openxmlformats.org/officeDocument/2006/relationships/header" Target="header57.xml" /><Relationship Id="rId257" Type="http://schemas.openxmlformats.org/officeDocument/2006/relationships/theme" Target="theme/theme1.xml" /><Relationship Id="rId258" Type="http://schemas.openxmlformats.org/officeDocument/2006/relationships/numbering" Target="numbering.xml" /><Relationship Id="rId259" Type="http://schemas.openxmlformats.org/officeDocument/2006/relationships/styles" Target="styles.xml" /><Relationship Id="rId26" Type="http://schemas.openxmlformats.org/officeDocument/2006/relationships/footer" Target="footer7.xml" /><Relationship Id="rId260" Type="http://schemas.microsoft.com/office/2011/relationships/people" Target="people.xml" /><Relationship Id="rId27" Type="http://schemas.openxmlformats.org/officeDocument/2006/relationships/header" Target="header8.xml" /><Relationship Id="rId28" Type="http://schemas.openxmlformats.org/officeDocument/2006/relationships/footer" Target="footer8.xml" /><Relationship Id="rId29" Type="http://schemas.microsoft.com/office/2007/relationships/diagramDrawing" Target="diagrams/drawing1.xml" /><Relationship Id="rId3" Type="http://schemas.openxmlformats.org/officeDocument/2006/relationships/settings" Target="settings.xml" /><Relationship Id="rId30" Type="http://schemas.openxmlformats.org/officeDocument/2006/relationships/diagramData" Target="diagrams/data1.xml" /><Relationship Id="rId31" Type="http://schemas.openxmlformats.org/officeDocument/2006/relationships/diagramLayout" Target="diagrams/layout1.xml" /><Relationship Id="rId32" Type="http://schemas.openxmlformats.org/officeDocument/2006/relationships/diagramQuickStyle" Target="diagrams/quickStyle1.xml" /><Relationship Id="rId33" Type="http://schemas.openxmlformats.org/officeDocument/2006/relationships/diagramColors" Target="diagrams/colors1.xml" /><Relationship Id="rId34" Type="http://schemas.openxmlformats.org/officeDocument/2006/relationships/image" Target="media/image3.png" /><Relationship Id="rId35" Type="http://schemas.openxmlformats.org/officeDocument/2006/relationships/image" Target="media/image4.jpeg" /><Relationship Id="rId36" Type="http://schemas.openxmlformats.org/officeDocument/2006/relationships/hyperlink" Target="https://www.medicaid.gov/medicaid/quality-of-care/performance-measurement/adult-and-child-health-care-quality-measures" TargetMode="External" /><Relationship Id="rId37" Type="http://schemas.microsoft.com/office/2007/relationships/diagramDrawing" Target="diagrams/drawing2.xml" /><Relationship Id="rId38" Type="http://schemas.openxmlformats.org/officeDocument/2006/relationships/diagramData" Target="diagrams/data2.xml" /><Relationship Id="rId39" Type="http://schemas.openxmlformats.org/officeDocument/2006/relationships/diagramLayout" Target="diagrams/layout2.xml" /><Relationship Id="rId4" Type="http://schemas.openxmlformats.org/officeDocument/2006/relationships/webSettings" Target="webSettings.xml" /><Relationship Id="rId40" Type="http://schemas.openxmlformats.org/officeDocument/2006/relationships/diagramQuickStyle" Target="diagrams/quickStyle2.xml" /><Relationship Id="rId41" Type="http://schemas.openxmlformats.org/officeDocument/2006/relationships/diagramColors" Target="diagrams/colors2.xml" /><Relationship Id="rId42" Type="http://schemas.openxmlformats.org/officeDocument/2006/relationships/image" Target="media/image5.jpeg" /><Relationship Id="rId43" Type="http://schemas.microsoft.com/office/2007/relationships/diagramDrawing" Target="diagrams/drawing3.xml" /><Relationship Id="rId44" Type="http://schemas.openxmlformats.org/officeDocument/2006/relationships/diagramData" Target="diagrams/data3.xml" /><Relationship Id="rId45" Type="http://schemas.openxmlformats.org/officeDocument/2006/relationships/diagramLayout" Target="diagrams/layout3.xml" /><Relationship Id="rId46" Type="http://schemas.openxmlformats.org/officeDocument/2006/relationships/diagramQuickStyle" Target="diagrams/quickStyle3.xml" /><Relationship Id="rId47" Type="http://schemas.openxmlformats.org/officeDocument/2006/relationships/diagramColors" Target="diagrams/colors3.xml" /><Relationship Id="rId48" Type="http://schemas.openxmlformats.org/officeDocument/2006/relationships/image" Target="media/image6.jpeg" /><Relationship Id="rId49" Type="http://schemas.openxmlformats.org/officeDocument/2006/relationships/image" Target="media/image7.png" /><Relationship Id="rId5" Type="http://schemas.openxmlformats.org/officeDocument/2006/relationships/fontTable" Target="fontTable.xml" /><Relationship Id="rId50" Type="http://schemas.openxmlformats.org/officeDocument/2006/relationships/header" Target="header9.xml" /><Relationship Id="rId51" Type="http://schemas.openxmlformats.org/officeDocument/2006/relationships/header" Target="header10.xml" /><Relationship Id="rId52" Type="http://schemas.openxmlformats.org/officeDocument/2006/relationships/footer" Target="footer9.xml" /><Relationship Id="rId53" Type="http://schemas.openxmlformats.org/officeDocument/2006/relationships/footer" Target="footer10.xml" /><Relationship Id="rId54" Type="http://schemas.openxmlformats.org/officeDocument/2006/relationships/header" Target="header11.xml" /><Relationship Id="rId55" Type="http://schemas.openxmlformats.org/officeDocument/2006/relationships/footer" Target="footer11.xml" /><Relationship Id="rId56" Type="http://schemas.openxmlformats.org/officeDocument/2006/relationships/hyperlink" Target="https://www.ecfr.gov/current/title-42/section-438.68" TargetMode="External" /><Relationship Id="rId57" Type="http://schemas.openxmlformats.org/officeDocument/2006/relationships/hyperlink" Target="https://www.ahrq.gov/cahps/surveys-guidance/echo/index.html" TargetMode="External" /><Relationship Id="rId58" Type="http://schemas.openxmlformats.org/officeDocument/2006/relationships/header" Target="header12.xml" /><Relationship Id="rId59" Type="http://schemas.openxmlformats.org/officeDocument/2006/relationships/header" Target="header13.xml" /><Relationship Id="rId6" Type="http://schemas.openxmlformats.org/officeDocument/2006/relationships/customXml" Target="../customXml/item1.xml" /><Relationship Id="rId60" Type="http://schemas.openxmlformats.org/officeDocument/2006/relationships/footer" Target="footer12.xml" /><Relationship Id="rId61" Type="http://schemas.openxmlformats.org/officeDocument/2006/relationships/image" Target="media/image8.png" /><Relationship Id="rId62" Type="http://schemas.openxmlformats.org/officeDocument/2006/relationships/hyperlink" Target="https://www.ecfr.gov/current/title-42/section-438.14" TargetMode="External" /><Relationship Id="rId63" Type="http://schemas.openxmlformats.org/officeDocument/2006/relationships/hyperlink" Target="#Protocol1" /><Relationship Id="rId64" Type="http://schemas.openxmlformats.org/officeDocument/2006/relationships/image" Target="media/image9.png" /><Relationship Id="rId65" Type="http://schemas.openxmlformats.org/officeDocument/2006/relationships/hyperlink" Target="#Protocol2" /><Relationship Id="rId66" Type="http://schemas.openxmlformats.org/officeDocument/2006/relationships/image" Target="media/image10.png" /><Relationship Id="rId67" Type="http://schemas.openxmlformats.org/officeDocument/2006/relationships/hyperlink" Target="#Protocol3" /><Relationship Id="rId68" Type="http://schemas.openxmlformats.org/officeDocument/2006/relationships/image" Target="media/image11.png" /><Relationship Id="rId69" Type="http://schemas.openxmlformats.org/officeDocument/2006/relationships/hyperlink" Target="#Protocol4" /><Relationship Id="rId7" Type="http://schemas.openxmlformats.org/officeDocument/2006/relationships/customXml" Target="../customXml/item2.xml" /><Relationship Id="rId70" Type="http://schemas.openxmlformats.org/officeDocument/2006/relationships/image" Target="media/image12.png" /><Relationship Id="rId71" Type="http://schemas.openxmlformats.org/officeDocument/2006/relationships/hyperlink" Target="https://www.medicaid.gov/medicaid/downloads/behavior-health-provider-network-adequacy-toolkit.pdf" TargetMode="External" /><Relationship Id="rId72" Type="http://schemas.openxmlformats.org/officeDocument/2006/relationships/hyperlink" Target="https://www.federalregister.gov/d/2024-06469" TargetMode="External" /><Relationship Id="rId73" Type="http://schemas.openxmlformats.org/officeDocument/2006/relationships/hyperlink" Target="#Protocol5" /><Relationship Id="rId74" Type="http://schemas.openxmlformats.org/officeDocument/2006/relationships/image" Target="media/image13.png" /><Relationship Id="rId75" Type="http://schemas.openxmlformats.org/officeDocument/2006/relationships/hyperlink" Target="#Protocol6" /><Relationship Id="rId76" Type="http://schemas.openxmlformats.org/officeDocument/2006/relationships/image" Target="media/image14.png" /><Relationship Id="rId77" Type="http://schemas.openxmlformats.org/officeDocument/2006/relationships/hyperlink" Target="#Protocol7" /><Relationship Id="rId78" Type="http://schemas.openxmlformats.org/officeDocument/2006/relationships/image" Target="media/image15.png" /><Relationship Id="rId79" Type="http://schemas.openxmlformats.org/officeDocument/2006/relationships/hyperlink" Target="#Protocol8" /><Relationship Id="rId8" Type="http://schemas.openxmlformats.org/officeDocument/2006/relationships/customXml" Target="../customXml/item3.xml" /><Relationship Id="rId80" Type="http://schemas.openxmlformats.org/officeDocument/2006/relationships/image" Target="media/image16.png" /><Relationship Id="rId81" Type="http://schemas.openxmlformats.org/officeDocument/2006/relationships/hyperlink" Target="#Protocol9" /><Relationship Id="rId82" Type="http://schemas.openxmlformats.org/officeDocument/2006/relationships/image" Target="media/image17.png" /><Relationship Id="rId83" Type="http://schemas.openxmlformats.org/officeDocument/2006/relationships/hyperlink" Target="#Protocol10" /><Relationship Id="rId84" Type="http://schemas.openxmlformats.org/officeDocument/2006/relationships/image" Target="media/image18.png" /><Relationship Id="rId85" Type="http://schemas.openxmlformats.org/officeDocument/2006/relationships/hyperlink" Target="#Protocol11" /><Relationship Id="rId86" Type="http://schemas.openxmlformats.org/officeDocument/2006/relationships/image" Target="media/image19.png" /><Relationship Id="rId87" Type="http://schemas.openxmlformats.org/officeDocument/2006/relationships/hyperlink" Target="#AppA" /><Relationship Id="rId88" Type="http://schemas.openxmlformats.org/officeDocument/2006/relationships/image" Target="media/image20.png" /><Relationship Id="rId89" Type="http://schemas.openxmlformats.org/officeDocument/2006/relationships/hyperlink" Target="#AppB" /><Relationship Id="rId9" Type="http://schemas.openxmlformats.org/officeDocument/2006/relationships/customXml" Target="../customXml/item4.xml" /><Relationship Id="rId90" Type="http://schemas.openxmlformats.org/officeDocument/2006/relationships/image" Target="media/image21.png" /><Relationship Id="rId91" Type="http://schemas.openxmlformats.org/officeDocument/2006/relationships/hyperlink" Target="#AppC" /><Relationship Id="rId92" Type="http://schemas.openxmlformats.org/officeDocument/2006/relationships/image" Target="media/image22.png" /><Relationship Id="rId93" Type="http://schemas.openxmlformats.org/officeDocument/2006/relationships/hyperlink" Target="#AppD" /><Relationship Id="rId94" Type="http://schemas.openxmlformats.org/officeDocument/2006/relationships/image" Target="media/image23.png" /><Relationship Id="rId95" Type="http://schemas.openxmlformats.org/officeDocument/2006/relationships/hyperlink" Target="#AppE" /><Relationship Id="rId96" Type="http://schemas.openxmlformats.org/officeDocument/2006/relationships/image" Target="media/image24.png" /><Relationship Id="rId97" Type="http://schemas.openxmlformats.org/officeDocument/2006/relationships/hyperlink" Target="https://www.cms.gov/files/document/cms-2024-omh-data-definitions.pdf" TargetMode="External" /><Relationship Id="rId98" Type="http://schemas.openxmlformats.org/officeDocument/2006/relationships/header" Target="header14.xml" /><Relationship Id="rId99" Type="http://schemas.openxmlformats.org/officeDocument/2006/relationships/header" Target="header15.xml" /></Relationships>
</file>

<file path=word/_rels/footnotes.xml.rels><?xml version="1.0" encoding="utf-8" standalone="yes"?><Relationships xmlns="http://schemas.openxmlformats.org/package/2006/relationships"><Relationship Id="rId1" Type="http://schemas.openxmlformats.org/officeDocument/2006/relationships/hyperlink" Target="https://www.medicaid.gov/medicaid/program-information/medicaid-and-chip-enrollment-data/report-highlights" TargetMode="External" /><Relationship Id="rId10" Type="http://schemas.openxmlformats.org/officeDocument/2006/relationships/hyperlink" Target="https://www.medicaid.gov/medicaid/quality-of-care/performance-measurement/child-core-set/index.html" TargetMode="External" /><Relationship Id="rId11" Type="http://schemas.openxmlformats.org/officeDocument/2006/relationships/hyperlink" Target="https://www.medicaid.gov/medicaid/quality-of-care/performance-measurement/adult-core-set/index.html" TargetMode="External" /><Relationship Id="rId12" Type="http://schemas.openxmlformats.org/officeDocument/2006/relationships/hyperlink" Target="https://www.cms.gov/Medicare/Quality-Initiatives-Patient-Assessment-Instruments/QualityMeasures/Core-Measures.html" TargetMode="External" /><Relationship Id="rId13" Type="http://schemas.openxmlformats.org/officeDocument/2006/relationships/hyperlink" Target="file:///C:/Users/HIWG/AppData/Local/Microsoft/Windows/INetCache/Content.Outlook/JJ6PB8U4/at%20https:/www.samhsa.gov/communities/certified-community-behavioral-health-clinics/guidance-and-webinars" TargetMode="External" /><Relationship Id="rId14" Type="http://schemas.openxmlformats.org/officeDocument/2006/relationships/hyperlink" Target="http://www.ncqa.org/hedis-quality-measurement" TargetMode="External" /><Relationship Id="rId15" Type="http://schemas.openxmlformats.org/officeDocument/2006/relationships/hyperlink" Target="http://www.qualityindicators.ahrq.gov/" TargetMode="External" /><Relationship Id="rId16" Type="http://schemas.openxmlformats.org/officeDocument/2006/relationships/hyperlink" Target="https://www.ihi.org/how-improve-model-improvement-testing-changes" TargetMode="External" /><Relationship Id="rId17" Type="http://schemas.openxmlformats.org/officeDocument/2006/relationships/hyperlink" Target="http://minorityhealth.hhs.gov/templates/browse.aspx?lvl=2&amp;lvlID=15" TargetMode="External" /><Relationship Id="rId18" Type="http://schemas.openxmlformats.org/officeDocument/2006/relationships/hyperlink" Target="https://www.ncpdp.org/" TargetMode="External" /><Relationship Id="rId19" Type="http://schemas.openxmlformats.org/officeDocument/2006/relationships/hyperlink" Target="https://loinc.org/" TargetMode="External" /><Relationship Id="rId2" Type="http://schemas.openxmlformats.org/officeDocument/2006/relationships/hyperlink" Target="https://www.cdc.gov/nchs/data/nvsr/nvsr73/nvsr73-02.pdf" TargetMode="External" /><Relationship Id="rId20" Type="http://schemas.openxmlformats.org/officeDocument/2006/relationships/hyperlink" Target="https://www.federalregister.gov/documents/2016/05/06/2016-09581/medicaid-and-childrens-health-insurance-program-chip-programs-medicaid-managed-care-chip-delivered" TargetMode="External" /><Relationship Id="rId21" Type="http://schemas.openxmlformats.org/officeDocument/2006/relationships/hyperlink" Target="https://www.medicaid.gov/Medicaid/downloads/cmcs-eqr-protocols.pdf" TargetMode="External" /><Relationship Id="rId22" Type="http://schemas.openxmlformats.org/officeDocument/2006/relationships/hyperlink" Target="https://www.medicaid.gov/medicaid/data-systems/macbis/transformed-medicaid-statistical-information-system-t-msis/index.html" TargetMode="External" /><Relationship Id="rId23" Type="http://schemas.openxmlformats.org/officeDocument/2006/relationships/hyperlink" Target="https://www.medicaid.gov/medicaid/downloads/medicaid-encounter-data-toolkit.pdf" TargetMode="External" /><Relationship Id="rId24" Type="http://schemas.openxmlformats.org/officeDocument/2006/relationships/hyperlink" Target="http://www.ncqa.org/report-cards/health-plans/state-of-health-care-quality" TargetMode="External" /><Relationship Id="rId25" Type="http://schemas.openxmlformats.org/officeDocument/2006/relationships/hyperlink" Target="https://www.medicaid.gov/medicaid/quality-of-care/index.html" TargetMode="External" /><Relationship Id="rId26" Type="http://schemas.openxmlformats.org/officeDocument/2006/relationships/hyperlink" Target="https://www.ncqa.org/programs/data-and-information-technology/hit-and-data-certification/cahps-5-1h-survey-certification/vendor-directory/" TargetMode="External" /><Relationship Id="rId27" Type="http://schemas.openxmlformats.org/officeDocument/2006/relationships/hyperlink" Target="https://innovations.ahrq.gov/qualitytools/plan-do-study-act-pdsa-cycle" TargetMode="External" /><Relationship Id="rId28" Type="http://schemas.openxmlformats.org/officeDocument/2006/relationships/hyperlink" Target="https://www.samhsa.gov/section-223/quality-measures" TargetMode="External" /><Relationship Id="rId29" Type="http://schemas.openxmlformats.org/officeDocument/2006/relationships/hyperlink" Target="https://www.medicaid.gov/medicaid/quality-of-care/medicaid-managed-care-quality/quality-rating-system" TargetMode="External" /><Relationship Id="rId3" Type="http://schemas.openxmlformats.org/officeDocument/2006/relationships/hyperlink" Target="https://www.medicaid.gov/medicaid/quality-of-care/downloads/beneficiary-profile-2023.pdf" TargetMode="External" /><Relationship Id="rId30" Type="http://schemas.openxmlformats.org/officeDocument/2006/relationships/hyperlink" Target="https://www.cms.gov/Outreach-and-Education/MLN/WBT/MLN3500266-CD-DV/partcd/partcd/index.html" TargetMode="External" /><Relationship Id="rId31" Type="http://schemas.openxmlformats.org/officeDocument/2006/relationships/hyperlink" Target="https://www.cms.gov/medicare/audits-compliance/part-c-d" TargetMode="External" /><Relationship Id="rId32" Type="http://schemas.openxmlformats.org/officeDocument/2006/relationships/hyperlink" Target="https://www.statedataresourcecenter.com/resources/faq" TargetMode="External" /><Relationship Id="rId33" Type="http://schemas.openxmlformats.org/officeDocument/2006/relationships/hyperlink" Target="https://www.statedataresourcecenter.com/resources/medicare-data-acquisition-and-integration-tools" TargetMode="External" /><Relationship Id="rId34" Type="http://schemas.openxmlformats.org/officeDocument/2006/relationships/hyperlink" Target="https://www.medicaid.gov/medicaid/quality-of-care/downloads/QMR-stratification-resource.pdf" TargetMode="External" /><Relationship Id="rId35" Type="http://schemas.openxmlformats.org/officeDocument/2006/relationships/hyperlink" Target="https://resdac.org/articles/cms-cell-size-suppression-policy" TargetMode="External" /><Relationship Id="rId36" Type="http://schemas.openxmlformats.org/officeDocument/2006/relationships/hyperlink" Target="https://www.census.gov/geographies/reference-maps/2020/geo/cbsa.html" TargetMode="External" /><Relationship Id="rId37" Type="http://schemas.openxmlformats.org/officeDocument/2006/relationships/hyperlink" Target="https://www.ers.usda.gov/data-products/rural-urban-commuting-area-codes" TargetMode="External" /><Relationship Id="rId38" Type="http://schemas.openxmlformats.org/officeDocument/2006/relationships/hyperlink" Target="https://www.youtube.com/watch?v=ZTYiGKAhoog" TargetMode="External" /><Relationship Id="rId39" Type="http://schemas.openxmlformats.org/officeDocument/2006/relationships/hyperlink" Target="https://www.youtube.com/watch?v=E4WJ_SlsVdo" TargetMode="External" /><Relationship Id="rId4" Type="http://schemas.openxmlformats.org/officeDocument/2006/relationships/hyperlink" Target="https://www.gpo.gov/fdsys/pkg/FR-2016-05-06/pdf/2016-09581.pdf" TargetMode="External" /><Relationship Id="rId40" Type="http://schemas.openxmlformats.org/officeDocument/2006/relationships/hyperlink" Target="https://www.medicaid.gov/medicaid/quality-of-care/medicaid-managed-care-quality/state-quality-strategies/index.html" TargetMode="External" /><Relationship Id="rId41" Type="http://schemas.openxmlformats.org/officeDocument/2006/relationships/hyperlink" Target="https://www.medicaid.gov/medicaid/downloads/managed-care-quality-strategy-toolkit.pdf" TargetMode="External" /><Relationship Id="rId42" Type="http://schemas.openxmlformats.org/officeDocument/2006/relationships/hyperlink" Target="https://www.medicaid.gov/medicaid/managed-care/guidance/state-directed-payments/index.html" TargetMode="External" /><Relationship Id="rId43" Type="http://schemas.openxmlformats.org/officeDocument/2006/relationships/hyperlink" Target="https://www.medicaid.gov/medicaid/managed-care/guidance/lieu-of-services-and-settings/index.html" TargetMode="External" /><Relationship Id="rId44" Type="http://schemas.openxmlformats.org/officeDocument/2006/relationships/hyperlink" Target="https://www.medicaid.gov/Federal-Policy-Guidance/Downloads/cib09102025.pdf" TargetMode="External" /><Relationship Id="rId45" Type="http://schemas.openxmlformats.org/officeDocument/2006/relationships/hyperlink" Target="https://www.medicaid.gov/medicaid/managed-care/downloads/sdp-4386c-preprint-template.pdf" TargetMode="External" /><Relationship Id="rId46" Type="http://schemas.openxmlformats.org/officeDocument/2006/relationships/hyperlink" Target="https://www.cdc.gov/cardiovascular-resources/php/toolkit/developing-and-using-a-logic-model.html" TargetMode="External" /><Relationship Id="rId47" Type="http://schemas.openxmlformats.org/officeDocument/2006/relationships/hyperlink" Target="https://www.mathematica.org/publications/using-logic-models-to-guide-the-planning-and-evaluation-of-complex-initiatives" TargetMode="External" /><Relationship Id="rId48" Type="http://schemas.openxmlformats.org/officeDocument/2006/relationships/hyperlink" Target="https://downloads.cms.gov/cmsgov/archived-downloads/SMDL/downloads/SMD092006.pdf" TargetMode="External" /><Relationship Id="rId49" Type="http://schemas.openxmlformats.org/officeDocument/2006/relationships/hyperlink" Target="https://www.medicaid.gov/medicaid/section-1115-demonstrations/1115-demonstration-monitoring-evaluation/1115-demonstration-state-monitoring-evaluation-resources/index.html" TargetMode="External" /><Relationship Id="rId5" Type="http://schemas.openxmlformats.org/officeDocument/2006/relationships/hyperlink" Target="https://www.govinfo.gov/content/pkg/FR-2020-11-13/pdf/2020-24758.pdf" TargetMode="External" /><Relationship Id="rId50" Type="http://schemas.openxmlformats.org/officeDocument/2006/relationships/hyperlink" Target="https://www.cms.gov/priorities/health-equity/minority-health/research-data/stratified-reporting" TargetMode="External" /><Relationship Id="rId51" Type="http://schemas.openxmlformats.org/officeDocument/2006/relationships/hyperlink" Target="https://www.cms.gov/files/document/cms-2024-omh-data-definitions.pdf" TargetMode="External" /><Relationship Id="rId52" Type="http://schemas.openxmlformats.org/officeDocument/2006/relationships/hyperlink" Target="https://effectivehealthcare.ahrq.gov/sites/default/files/ch_11-user-guide-to-ocer_130129.pdf" TargetMode="External" /><Relationship Id="rId53" Type="http://schemas.openxmlformats.org/officeDocument/2006/relationships/hyperlink" Target="https://www.gpo.gov/fdsys/pkg/PLAW-114publ255/content-detail.html" TargetMode="External" /><Relationship Id="rId6" Type="http://schemas.openxmlformats.org/officeDocument/2006/relationships/hyperlink" Target="https://www.govinfo.gov/content/pkg/FR-2024-05-10/pdf/2024-08085.pdf" TargetMode="External" /><Relationship Id="rId7" Type="http://schemas.openxmlformats.org/officeDocument/2006/relationships/hyperlink" Target="https://www.medicaid.gov/federal-policy-guidance/downloads/cib061016.pdf" TargetMode="External" /><Relationship Id="rId8" Type="http://schemas.openxmlformats.org/officeDocument/2006/relationships/hyperlink" Target="https://www.cms.gov/medicare/quality/meaningful-measures-initiative/cms-quality-strategy" TargetMode="External" /><Relationship Id="rId9" Type="http://schemas.openxmlformats.org/officeDocument/2006/relationships/hyperlink" Target="https://www.medicaid.gov/medicaid/quality-of-care/performance-measurement/adult-and-child-health-care-quality-measures/index.html"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pinckney\AppData\Roaming\Microsoft\Templates\50686_CORESET%20MASTER%20AND%20REPORT%20TEMPLATE.dotm" TargetMode="External"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D8E276-1D06-4190-9B88-44EF3947D7BF}"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US"/>
        </a:p>
      </dgm:t>
    </dgm:pt>
    <dgm:pt modelId="{C2433A0C-00FD-4DDD-BE5C-B5E85A139E95}">
      <dgm:prSet phldrT="[Text]"/>
      <dgm:spPr>
        <a:solidFill>
          <a:schemeClr val="accent1">
            <a:lumMod val="40000"/>
            <a:lumOff val="60000"/>
          </a:schemeClr>
        </a:solidFill>
        <a:effectLst>
          <a:outerShdw blurRad="50800" dist="38100" dir="2700000" sx="100000" sy="100000" kx="0" ky="0" algn="tl" rotWithShape="0">
            <a:prstClr val="black">
              <a:alpha val="40000"/>
            </a:prstClr>
          </a:outerShdw>
        </a:effectLst>
      </dgm:spPr>
      <dgm:t>
        <a:bodyPr/>
        <a:lstStyle/>
        <a:p>
          <a:r>
            <a:rPr lang="en-US" b="1" dirty="0">
              <a:solidFill>
                <a:schemeClr val="tx1"/>
              </a:solidFill>
            </a:rPr>
            <a:t>Quality Strategy (QS)</a:t>
          </a:r>
        </a:p>
        <a:p>
          <a:r>
            <a:rPr lang="en-US" b="0" dirty="0">
              <a:solidFill>
                <a:schemeClr val="tx1"/>
              </a:solidFill>
            </a:rPr>
            <a:t>§ 438.340</a:t>
          </a:r>
        </a:p>
      </dgm:t>
    </dgm:pt>
    <dgm:pt modelId="{0B4A6256-1898-4A95-9A8C-CD8DEFC89F84}" type="parTrans" cxnId="{C81B47D4-1B42-45AA-AF41-1D9F194DE576}">
      <dgm:prSet/>
      <dgm:spPr/>
      <dgm:t>
        <a:bodyPr/>
        <a:lstStyle/>
        <a:p>
          <a:endParaRPr lang="en-US" b="1">
            <a:solidFill>
              <a:schemeClr val="tx1"/>
            </a:solidFill>
          </a:endParaRPr>
        </a:p>
      </dgm:t>
    </dgm:pt>
    <dgm:pt modelId="{586CF275-1891-4F5E-83E5-0CEF450CCB25}" type="sibTrans" cxnId="{C81B47D4-1B42-45AA-AF41-1D9F194DE576}">
      <dgm:prSet/>
      <dgm:spPr>
        <a:effectLst>
          <a:outerShdw blurRad="50800" dist="38100" dir="2700000" sx="100000" sy="100000" kx="0" ky="0" algn="tl" rotWithShape="0">
            <a:prstClr val="black">
              <a:alpha val="40000"/>
            </a:prstClr>
          </a:outerShdw>
        </a:effectLst>
      </dgm:spPr>
      <dgm:t>
        <a:bodyPr/>
        <a:lstStyle/>
        <a:p>
          <a:endParaRPr lang="en-US" b="1">
            <a:solidFill>
              <a:schemeClr val="tx1"/>
            </a:solidFill>
          </a:endParaRPr>
        </a:p>
      </dgm:t>
    </dgm:pt>
    <dgm:pt modelId="{FBFEF7B2-A067-4A11-833F-298286F51A06}">
      <dgm:prSet phldrT="[Text]"/>
      <dgm:spPr>
        <a:solidFill>
          <a:schemeClr val="accent1">
            <a:lumMod val="40000"/>
            <a:lumOff val="60000"/>
          </a:schemeClr>
        </a:solidFill>
        <a:effectLst>
          <a:outerShdw blurRad="50800" dist="38100" dir="2700000" sx="100000" sy="100000" kx="0" ky="0" algn="tl" rotWithShape="0">
            <a:prstClr val="black">
              <a:alpha val="40000"/>
            </a:prstClr>
          </a:outerShdw>
        </a:effectLst>
      </dgm:spPr>
      <dgm:t>
        <a:bodyPr/>
        <a:lstStyle/>
        <a:p>
          <a:r>
            <a:rPr lang="en-US" b="1" dirty="0">
              <a:solidFill>
                <a:schemeClr val="tx1"/>
              </a:solidFill>
            </a:rPr>
            <a:t>Quality Assessment and Performance Improvement (QAPI)</a:t>
          </a:r>
        </a:p>
        <a:p>
          <a:r>
            <a:rPr lang="en-US" b="0" dirty="0">
              <a:solidFill>
                <a:schemeClr val="tx1"/>
              </a:solidFill>
            </a:rPr>
            <a:t>§ 438.330</a:t>
          </a:r>
        </a:p>
      </dgm:t>
    </dgm:pt>
    <dgm:pt modelId="{C3EB83C1-DF7F-4982-B656-9520DA78FD6B}" type="parTrans" cxnId="{FD63D7C1-2E59-4372-9AE7-61AD67B9731F}">
      <dgm:prSet/>
      <dgm:spPr/>
      <dgm:t>
        <a:bodyPr/>
        <a:lstStyle/>
        <a:p>
          <a:endParaRPr lang="en-US" b="1">
            <a:solidFill>
              <a:schemeClr val="tx1"/>
            </a:solidFill>
          </a:endParaRPr>
        </a:p>
      </dgm:t>
    </dgm:pt>
    <dgm:pt modelId="{128FB38D-DF5B-4D4F-A8AC-AE6A4095425D}" type="sibTrans" cxnId="{FD63D7C1-2E59-4372-9AE7-61AD67B9731F}">
      <dgm:prSet/>
      <dgm:spPr>
        <a:effectLst>
          <a:outerShdw blurRad="50800" dist="38100" dir="2700000" sx="100000" sy="100000" kx="0" ky="0" algn="tl" rotWithShape="0">
            <a:prstClr val="black">
              <a:alpha val="40000"/>
            </a:prstClr>
          </a:outerShdw>
        </a:effectLst>
      </dgm:spPr>
      <dgm:t>
        <a:bodyPr/>
        <a:lstStyle/>
        <a:p>
          <a:endParaRPr lang="en-US" b="1">
            <a:solidFill>
              <a:schemeClr val="tx1"/>
            </a:solidFill>
          </a:endParaRPr>
        </a:p>
      </dgm:t>
    </dgm:pt>
    <dgm:pt modelId="{2D2E7FE9-FE15-4502-9A31-00B6791F37A8}">
      <dgm:prSet phldrT="[Text]"/>
      <dgm:spPr>
        <a:solidFill>
          <a:schemeClr val="accent1">
            <a:lumMod val="40000"/>
            <a:lumOff val="60000"/>
          </a:schemeClr>
        </a:solidFill>
        <a:effectLst>
          <a:outerShdw blurRad="50800" dist="38100" dir="2700000" sx="100000" sy="100000" kx="0" ky="0" algn="tl" rotWithShape="0">
            <a:prstClr val="black">
              <a:alpha val="40000"/>
            </a:prstClr>
          </a:outerShdw>
        </a:effectLst>
      </dgm:spPr>
      <dgm:t>
        <a:bodyPr/>
        <a:lstStyle/>
        <a:p>
          <a:r>
            <a:rPr lang="en-US" b="1" dirty="0">
              <a:solidFill>
                <a:schemeClr val="tx1"/>
              </a:solidFill>
            </a:rPr>
            <a:t>External Quality Review (EQR)</a:t>
          </a:r>
        </a:p>
        <a:p>
          <a:r>
            <a:rPr lang="en-US" b="0" dirty="0">
              <a:solidFill>
                <a:schemeClr val="tx1"/>
              </a:solidFill>
            </a:rPr>
            <a:t>§ 438.350-370</a:t>
          </a:r>
        </a:p>
      </dgm:t>
    </dgm:pt>
    <dgm:pt modelId="{FC26ABF0-6E05-47BA-B28D-7552EE683CA5}" type="parTrans" cxnId="{BBBC50EC-15DB-4D14-995F-09F7D2B339F3}">
      <dgm:prSet/>
      <dgm:spPr/>
      <dgm:t>
        <a:bodyPr/>
        <a:lstStyle/>
        <a:p>
          <a:endParaRPr lang="en-US" b="1">
            <a:solidFill>
              <a:schemeClr val="tx1"/>
            </a:solidFill>
          </a:endParaRPr>
        </a:p>
      </dgm:t>
    </dgm:pt>
    <dgm:pt modelId="{953A6009-A844-4716-BF8F-4FF2D37BCD41}" type="sibTrans" cxnId="{BBBC50EC-15DB-4D14-995F-09F7D2B339F3}">
      <dgm:prSet/>
      <dgm:spPr>
        <a:effectLst>
          <a:outerShdw blurRad="50800" dist="38100" dir="2700000" sx="100000" sy="100000" kx="0" ky="0" algn="tl" rotWithShape="0">
            <a:prstClr val="black">
              <a:alpha val="40000"/>
            </a:prstClr>
          </a:outerShdw>
        </a:effectLst>
      </dgm:spPr>
      <dgm:t>
        <a:bodyPr/>
        <a:lstStyle/>
        <a:p>
          <a:endParaRPr lang="en-US" b="1">
            <a:solidFill>
              <a:schemeClr val="tx1"/>
            </a:solidFill>
          </a:endParaRPr>
        </a:p>
      </dgm:t>
    </dgm:pt>
    <dgm:pt modelId="{3071E6DA-098F-43BD-8E9B-D26B4D892A1D}" type="pres">
      <dgm:prSet presAssocID="{1ED8E276-1D06-4190-9B88-44EF3947D7BF}" presName="cycle" presStyleCnt="0">
        <dgm:presLayoutVars>
          <dgm:dir val="norm"/>
          <dgm:resizeHandles val="exact"/>
        </dgm:presLayoutVars>
      </dgm:prSet>
      <dgm:spPr/>
    </dgm:pt>
    <dgm:pt modelId="{9AC8DD3F-A509-4430-A20A-BCE14345ED2F}" type="pres">
      <dgm:prSet presAssocID="{C2433A0C-00FD-4DDD-BE5C-B5E85A139E95}" presName="node" presStyleLbl="node1" presStyleIdx="0" presStyleCnt="3">
        <dgm:presLayoutVars>
          <dgm:bulletEnabled val="1"/>
        </dgm:presLayoutVars>
      </dgm:prSet>
      <dgm:spPr/>
    </dgm:pt>
    <dgm:pt modelId="{63C9A11F-F0A9-4148-B11B-E8C20AAC4793}" type="pres">
      <dgm:prSet presAssocID="{C2433A0C-00FD-4DDD-BE5C-B5E85A139E95}" presName="spNode" presStyleCnt="0"/>
      <dgm:spPr/>
    </dgm:pt>
    <dgm:pt modelId="{7C28B506-9926-4E03-B9E7-A225E0BEF430}" type="pres">
      <dgm:prSet presAssocID="{586CF275-1891-4F5E-83E5-0CEF450CCB25}" presName="sibTrans" presStyleLbl="sibTrans1D1" presStyleIdx="0" presStyleCnt="3"/>
      <dgm:spPr/>
    </dgm:pt>
    <dgm:pt modelId="{6B8756CE-1AA4-44D5-BC8E-D7FE5941D432}" type="pres">
      <dgm:prSet presAssocID="{FBFEF7B2-A067-4A11-833F-298286F51A06}" presName="node" presStyleLbl="node1" presStyleIdx="1" presStyleCnt="3">
        <dgm:presLayoutVars>
          <dgm:bulletEnabled val="1"/>
        </dgm:presLayoutVars>
      </dgm:prSet>
      <dgm:spPr/>
    </dgm:pt>
    <dgm:pt modelId="{E13CBB2D-0822-4576-BE5A-1132721C78EB}" type="pres">
      <dgm:prSet presAssocID="{FBFEF7B2-A067-4A11-833F-298286F51A06}" presName="spNode" presStyleCnt="0"/>
      <dgm:spPr/>
    </dgm:pt>
    <dgm:pt modelId="{075F26BD-1856-49D3-B2D9-6D8BA9310E9D}" type="pres">
      <dgm:prSet presAssocID="{128FB38D-DF5B-4D4F-A8AC-AE6A4095425D}" presName="sibTrans" presStyleLbl="sibTrans1D1" presStyleIdx="1" presStyleCnt="3"/>
      <dgm:spPr/>
    </dgm:pt>
    <dgm:pt modelId="{BA64E0A9-87C8-4112-917E-864C814A5E0D}" type="pres">
      <dgm:prSet presAssocID="{2D2E7FE9-FE15-4502-9A31-00B6791F37A8}" presName="node" presStyleLbl="node1" presStyleIdx="2" presStyleCnt="3">
        <dgm:presLayoutVars>
          <dgm:bulletEnabled val="1"/>
        </dgm:presLayoutVars>
      </dgm:prSet>
      <dgm:spPr/>
    </dgm:pt>
    <dgm:pt modelId="{C9594D93-3715-4B69-8B33-9EB61568F6A2}" type="pres">
      <dgm:prSet presAssocID="{2D2E7FE9-FE15-4502-9A31-00B6791F37A8}" presName="spNode" presStyleCnt="0"/>
      <dgm:spPr/>
    </dgm:pt>
    <dgm:pt modelId="{4D8FE4E4-560F-4DD4-ABFC-32627F56100A}" type="pres">
      <dgm:prSet presAssocID="{953A6009-A844-4716-BF8F-4FF2D37BCD41}" presName="sibTrans" presStyleLbl="sibTrans1D1" presStyleIdx="2" presStyleCnt="3"/>
      <dgm:spPr/>
    </dgm:pt>
  </dgm:ptLst>
  <dgm:cxnLst>
    <dgm:cxn modelId="{1C36DF2F-2155-4B98-9E4D-C88A4F937675}" type="presOf" srcId="{1ED8E276-1D06-4190-9B88-44EF3947D7BF}" destId="{3071E6DA-098F-43BD-8E9B-D26B4D892A1D}" srcOrd="0" destOrd="0" presId="urn:microsoft.com/office/officeart/2005/8/layout/cycle5"/>
    <dgm:cxn modelId="{EE3B1A33-5FF4-43C7-868D-C92B0B984C98}" type="presOf" srcId="{128FB38D-DF5B-4D4F-A8AC-AE6A4095425D}" destId="{075F26BD-1856-49D3-B2D9-6D8BA9310E9D}" srcOrd="0" destOrd="0" presId="urn:microsoft.com/office/officeart/2005/8/layout/cycle5"/>
    <dgm:cxn modelId="{EAD00A6D-5573-49EC-812B-31D0585C0DDB}" type="presOf" srcId="{586CF275-1891-4F5E-83E5-0CEF450CCB25}" destId="{7C28B506-9926-4E03-B9E7-A225E0BEF430}" srcOrd="0" destOrd="0" presId="urn:microsoft.com/office/officeart/2005/8/layout/cycle5"/>
    <dgm:cxn modelId="{A9FD9889-D16F-4AC7-A7A3-A0871AF6C235}" type="presOf" srcId="{C2433A0C-00FD-4DDD-BE5C-B5E85A139E95}" destId="{9AC8DD3F-A509-4430-A20A-BCE14345ED2F}" srcOrd="0" destOrd="0" presId="urn:microsoft.com/office/officeart/2005/8/layout/cycle5"/>
    <dgm:cxn modelId="{33C2DFB0-6C7F-4C52-8B65-96DE835C2546}" type="presOf" srcId="{2D2E7FE9-FE15-4502-9A31-00B6791F37A8}" destId="{BA64E0A9-87C8-4112-917E-864C814A5E0D}" srcOrd="0" destOrd="0" presId="urn:microsoft.com/office/officeart/2005/8/layout/cycle5"/>
    <dgm:cxn modelId="{FD63D7C1-2E59-4372-9AE7-61AD67B9731F}" srcId="{1ED8E276-1D06-4190-9B88-44EF3947D7BF}" destId="{FBFEF7B2-A067-4A11-833F-298286F51A06}" srcOrd="1" destOrd="0" parTransId="{C3EB83C1-DF7F-4982-B656-9520DA78FD6B}" sibTransId="{128FB38D-DF5B-4D4F-A8AC-AE6A4095425D}"/>
    <dgm:cxn modelId="{C81B47D4-1B42-45AA-AF41-1D9F194DE576}" srcId="{1ED8E276-1D06-4190-9B88-44EF3947D7BF}" destId="{C2433A0C-00FD-4DDD-BE5C-B5E85A139E95}" srcOrd="0" destOrd="0" parTransId="{0B4A6256-1898-4A95-9A8C-CD8DEFC89F84}" sibTransId="{586CF275-1891-4F5E-83E5-0CEF450CCB25}"/>
    <dgm:cxn modelId="{BBBC50EC-15DB-4D14-995F-09F7D2B339F3}" srcId="{1ED8E276-1D06-4190-9B88-44EF3947D7BF}" destId="{2D2E7FE9-FE15-4502-9A31-00B6791F37A8}" srcOrd="2" destOrd="0" parTransId="{FC26ABF0-6E05-47BA-B28D-7552EE683CA5}" sibTransId="{953A6009-A844-4716-BF8F-4FF2D37BCD41}"/>
    <dgm:cxn modelId="{780684EE-CC47-4BB1-B8C3-EE824E4A26FD}" type="presOf" srcId="{953A6009-A844-4716-BF8F-4FF2D37BCD41}" destId="{4D8FE4E4-560F-4DD4-ABFC-32627F56100A}" srcOrd="0" destOrd="0" presId="urn:microsoft.com/office/officeart/2005/8/layout/cycle5"/>
    <dgm:cxn modelId="{2CD2FEF6-CB7E-4080-9C77-60BD87EA3BD6}" type="presOf" srcId="{FBFEF7B2-A067-4A11-833F-298286F51A06}" destId="{6B8756CE-1AA4-44D5-BC8E-D7FE5941D432}" srcOrd="0" destOrd="0" presId="urn:microsoft.com/office/officeart/2005/8/layout/cycle5"/>
    <dgm:cxn modelId="{29C549D2-FEC7-480C-B7B4-2662F97A3E7D}" type="presParOf" srcId="{3071E6DA-098F-43BD-8E9B-D26B4D892A1D}" destId="{9AC8DD3F-A509-4430-A20A-BCE14345ED2F}" srcOrd="0" destOrd="0" presId="urn:microsoft.com/office/officeart/2005/8/layout/cycle5"/>
    <dgm:cxn modelId="{0AF44437-4C3E-4114-8577-78582EB69722}" type="presParOf" srcId="{3071E6DA-098F-43BD-8E9B-D26B4D892A1D}" destId="{63C9A11F-F0A9-4148-B11B-E8C20AAC4793}" srcOrd="1" destOrd="0" presId="urn:microsoft.com/office/officeart/2005/8/layout/cycle5"/>
    <dgm:cxn modelId="{43CE5642-6A56-454E-907F-FF7A994FA2BC}" type="presParOf" srcId="{3071E6DA-098F-43BD-8E9B-D26B4D892A1D}" destId="{7C28B506-9926-4E03-B9E7-A225E0BEF430}" srcOrd="2" destOrd="0" presId="urn:microsoft.com/office/officeart/2005/8/layout/cycle5"/>
    <dgm:cxn modelId="{1EFD8D92-6FB6-4B75-88E8-CE1DEC8998E6}" type="presParOf" srcId="{3071E6DA-098F-43BD-8E9B-D26B4D892A1D}" destId="{6B8756CE-1AA4-44D5-BC8E-D7FE5941D432}" srcOrd="3" destOrd="0" presId="urn:microsoft.com/office/officeart/2005/8/layout/cycle5"/>
    <dgm:cxn modelId="{C1F756BF-2C14-4270-8639-B06EC18FA967}" type="presParOf" srcId="{3071E6DA-098F-43BD-8E9B-D26B4D892A1D}" destId="{E13CBB2D-0822-4576-BE5A-1132721C78EB}" srcOrd="4" destOrd="0" presId="urn:microsoft.com/office/officeart/2005/8/layout/cycle5"/>
    <dgm:cxn modelId="{5D3D0159-1EBB-4D36-AD03-BE06F17CA777}" type="presParOf" srcId="{3071E6DA-098F-43BD-8E9B-D26B4D892A1D}" destId="{075F26BD-1856-49D3-B2D9-6D8BA9310E9D}" srcOrd="5" destOrd="0" presId="urn:microsoft.com/office/officeart/2005/8/layout/cycle5"/>
    <dgm:cxn modelId="{31A71108-BA85-4F32-B33F-3FDF99D11696}" type="presParOf" srcId="{3071E6DA-098F-43BD-8E9B-D26B4D892A1D}" destId="{BA64E0A9-87C8-4112-917E-864C814A5E0D}" srcOrd="6" destOrd="0" presId="urn:microsoft.com/office/officeart/2005/8/layout/cycle5"/>
    <dgm:cxn modelId="{1B3E926B-B69E-414C-91B2-54873A355B2F}" type="presParOf" srcId="{3071E6DA-098F-43BD-8E9B-D26B4D892A1D}" destId="{C9594D93-3715-4B69-8B33-9EB61568F6A2}" srcOrd="7" destOrd="0" presId="urn:microsoft.com/office/officeart/2005/8/layout/cycle5"/>
    <dgm:cxn modelId="{54D1707C-8F02-4BBA-BCBA-3F414585D848}" type="presParOf" srcId="{3071E6DA-098F-43BD-8E9B-D26B4D892A1D}" destId="{4D8FE4E4-560F-4DD4-ABFC-32627F56100A}" srcOrd="8" destOrd="0" presId="urn:microsoft.com/office/officeart/2005/8/layout/cycle5"/>
  </dgm:cxnLst>
  <dgm:bg/>
  <dgm:whole>
    <a:ln>
      <a:noFill/>
    </a:ln>
  </dgm:whole>
  <dgm:extLst>
    <a:ext xmlns:a="http://schemas.openxmlformats.org/drawingml/2006/main" uri="http://schemas.microsoft.com/office/drawing/2008/diagram">
      <dsp:dataModelExt xmlns:dsp="http://schemas.microsoft.com/office/drawing/2008/diagram" minVer="http://schemas.openxmlformats.org/drawingml/2006/diagram" relId="rId29"/>
    </a:ext>
  </dgm:extLst>
</dgm:dataModel>
</file>

<file path=word/diagrams/data2.xml><?xml version="1.0" encoding="utf-8"?>
<dgm:dataModel xmlns:dgm="http://schemas.openxmlformats.org/drawingml/2006/diagram" xmlns:a="http://schemas.openxmlformats.org/drawingml/2006/main">
  <dgm:ptLst>
    <dgm:pt modelId="{1ED8E276-1D06-4190-9B88-44EF3947D7BF}"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US"/>
        </a:p>
      </dgm:t>
    </dgm:pt>
    <dgm:pt modelId="{C2433A0C-00FD-4DDD-BE5C-B5E85A139E95}">
      <dgm:prSet phldrT="[Text]"/>
      <dgm:spPr>
        <a:solidFill>
          <a:schemeClr val="accent1">
            <a:lumMod val="40000"/>
            <a:lumOff val="60000"/>
          </a:schemeClr>
        </a:solidFill>
        <a:effectLst>
          <a:outerShdw blurRad="50800" dist="38100" dir="2700000" sx="100000" sy="100000" kx="0" ky="0" algn="tl" rotWithShape="0">
            <a:prstClr val="black">
              <a:alpha val="40000"/>
            </a:prstClr>
          </a:outerShdw>
        </a:effectLst>
      </dgm:spPr>
      <dgm:t>
        <a:bodyPr/>
        <a:lstStyle/>
        <a:p>
          <a:r>
            <a:rPr lang="en-US" b="1" dirty="0">
              <a:solidFill>
                <a:schemeClr val="tx1"/>
              </a:solidFill>
            </a:rPr>
            <a:t>Quality Strategy (QS)</a:t>
          </a:r>
        </a:p>
        <a:p>
          <a:r>
            <a:rPr lang="en-US" b="0" dirty="0">
              <a:solidFill>
                <a:schemeClr val="tx1"/>
              </a:solidFill>
            </a:rPr>
            <a:t>§ 438.340</a:t>
          </a:r>
        </a:p>
      </dgm:t>
    </dgm:pt>
    <dgm:pt modelId="{0B4A6256-1898-4A95-9A8C-CD8DEFC89F84}" type="parTrans" cxnId="{C81B47D4-1B42-45AA-AF41-1D9F194DE576}">
      <dgm:prSet/>
      <dgm:spPr/>
      <dgm:t>
        <a:bodyPr/>
        <a:lstStyle/>
        <a:p>
          <a:endParaRPr lang="en-US" b="1">
            <a:solidFill>
              <a:schemeClr val="tx1"/>
            </a:solidFill>
          </a:endParaRPr>
        </a:p>
      </dgm:t>
    </dgm:pt>
    <dgm:pt modelId="{586CF275-1891-4F5E-83E5-0CEF450CCB25}" type="sibTrans" cxnId="{C81B47D4-1B42-45AA-AF41-1D9F194DE576}">
      <dgm:prSet/>
      <dgm:spPr>
        <a:effectLst>
          <a:outerShdw blurRad="50800" dist="38100" dir="2700000" sx="100000" sy="100000" kx="0" ky="0" algn="tl" rotWithShape="0">
            <a:prstClr val="black">
              <a:alpha val="40000"/>
            </a:prstClr>
          </a:outerShdw>
        </a:effectLst>
      </dgm:spPr>
      <dgm:t>
        <a:bodyPr/>
        <a:lstStyle/>
        <a:p>
          <a:endParaRPr lang="en-US" b="1">
            <a:solidFill>
              <a:schemeClr val="tx1"/>
            </a:solidFill>
          </a:endParaRPr>
        </a:p>
      </dgm:t>
    </dgm:pt>
    <dgm:pt modelId="{FBFEF7B2-A067-4A11-833F-298286F51A06}">
      <dgm:prSet phldrT="[Text]"/>
      <dgm:spPr>
        <a:solidFill>
          <a:schemeClr val="accent1">
            <a:lumMod val="40000"/>
            <a:lumOff val="60000"/>
          </a:schemeClr>
        </a:solidFill>
        <a:effectLst>
          <a:outerShdw blurRad="50800" dist="38100" dir="2700000" sx="100000" sy="100000" kx="0" ky="0" algn="tl" rotWithShape="0">
            <a:prstClr val="black">
              <a:alpha val="40000"/>
            </a:prstClr>
          </a:outerShdw>
        </a:effectLst>
      </dgm:spPr>
      <dgm:t>
        <a:bodyPr/>
        <a:lstStyle/>
        <a:p>
          <a:r>
            <a:rPr lang="en-US" b="1" dirty="0">
              <a:solidFill>
                <a:schemeClr val="tx1"/>
              </a:solidFill>
            </a:rPr>
            <a:t>Quality Assessment and Performance Improvement (QAPI)</a:t>
          </a:r>
        </a:p>
        <a:p>
          <a:r>
            <a:rPr lang="en-US" b="0" dirty="0">
              <a:solidFill>
                <a:schemeClr val="tx1"/>
              </a:solidFill>
            </a:rPr>
            <a:t>§ 438.330</a:t>
          </a:r>
        </a:p>
      </dgm:t>
    </dgm:pt>
    <dgm:pt modelId="{C3EB83C1-DF7F-4982-B656-9520DA78FD6B}" type="parTrans" cxnId="{FD63D7C1-2E59-4372-9AE7-61AD67B9731F}">
      <dgm:prSet/>
      <dgm:spPr/>
      <dgm:t>
        <a:bodyPr/>
        <a:lstStyle/>
        <a:p>
          <a:endParaRPr lang="en-US" b="1">
            <a:solidFill>
              <a:schemeClr val="tx1"/>
            </a:solidFill>
          </a:endParaRPr>
        </a:p>
      </dgm:t>
    </dgm:pt>
    <dgm:pt modelId="{128FB38D-DF5B-4D4F-A8AC-AE6A4095425D}" type="sibTrans" cxnId="{FD63D7C1-2E59-4372-9AE7-61AD67B9731F}">
      <dgm:prSet/>
      <dgm:spPr>
        <a:effectLst>
          <a:outerShdw blurRad="50800" dist="38100" dir="2700000" sx="100000" sy="100000" kx="0" ky="0" algn="tl" rotWithShape="0">
            <a:prstClr val="black">
              <a:alpha val="40000"/>
            </a:prstClr>
          </a:outerShdw>
        </a:effectLst>
      </dgm:spPr>
      <dgm:t>
        <a:bodyPr/>
        <a:lstStyle/>
        <a:p>
          <a:endParaRPr lang="en-US" b="1">
            <a:solidFill>
              <a:schemeClr val="tx1"/>
            </a:solidFill>
          </a:endParaRPr>
        </a:p>
      </dgm:t>
    </dgm:pt>
    <dgm:pt modelId="{2D2E7FE9-FE15-4502-9A31-00B6791F37A8}">
      <dgm:prSet phldrT="[Text]"/>
      <dgm:spPr>
        <a:solidFill>
          <a:schemeClr val="accent1">
            <a:lumMod val="40000"/>
            <a:lumOff val="60000"/>
          </a:schemeClr>
        </a:solidFill>
        <a:effectLst>
          <a:outerShdw blurRad="50800" dist="38100" dir="2700000" sx="100000" sy="100000" kx="0" ky="0" algn="tl" rotWithShape="0">
            <a:prstClr val="black">
              <a:alpha val="40000"/>
            </a:prstClr>
          </a:outerShdw>
        </a:effectLst>
      </dgm:spPr>
      <dgm:t>
        <a:bodyPr/>
        <a:lstStyle/>
        <a:p>
          <a:r>
            <a:rPr lang="en-US" b="1" dirty="0">
              <a:solidFill>
                <a:schemeClr val="tx1"/>
              </a:solidFill>
            </a:rPr>
            <a:t>External Quality Review (EQR)</a:t>
          </a:r>
        </a:p>
        <a:p>
          <a:r>
            <a:rPr lang="en-US" b="0" dirty="0">
              <a:solidFill>
                <a:schemeClr val="tx1"/>
              </a:solidFill>
            </a:rPr>
            <a:t>§ 438.350-370</a:t>
          </a:r>
        </a:p>
      </dgm:t>
    </dgm:pt>
    <dgm:pt modelId="{FC26ABF0-6E05-47BA-B28D-7552EE683CA5}" type="parTrans" cxnId="{BBBC50EC-15DB-4D14-995F-09F7D2B339F3}">
      <dgm:prSet/>
      <dgm:spPr/>
      <dgm:t>
        <a:bodyPr/>
        <a:lstStyle/>
        <a:p>
          <a:endParaRPr lang="en-US" b="1">
            <a:solidFill>
              <a:schemeClr val="tx1"/>
            </a:solidFill>
          </a:endParaRPr>
        </a:p>
      </dgm:t>
    </dgm:pt>
    <dgm:pt modelId="{953A6009-A844-4716-BF8F-4FF2D37BCD41}" type="sibTrans" cxnId="{BBBC50EC-15DB-4D14-995F-09F7D2B339F3}">
      <dgm:prSet/>
      <dgm:spPr>
        <a:effectLst>
          <a:outerShdw blurRad="50800" dist="38100" dir="2700000" sx="100000" sy="100000" kx="0" ky="0" algn="tl" rotWithShape="0">
            <a:prstClr val="black">
              <a:alpha val="40000"/>
            </a:prstClr>
          </a:outerShdw>
        </a:effectLst>
      </dgm:spPr>
      <dgm:t>
        <a:bodyPr/>
        <a:lstStyle/>
        <a:p>
          <a:endParaRPr lang="en-US" b="1">
            <a:solidFill>
              <a:schemeClr val="tx1"/>
            </a:solidFill>
          </a:endParaRPr>
        </a:p>
      </dgm:t>
    </dgm:pt>
    <dgm:pt modelId="{3071E6DA-098F-43BD-8E9B-D26B4D892A1D}" type="pres">
      <dgm:prSet presAssocID="{1ED8E276-1D06-4190-9B88-44EF3947D7BF}" presName="cycle" presStyleCnt="0">
        <dgm:presLayoutVars>
          <dgm:dir val="norm"/>
          <dgm:resizeHandles val="exact"/>
        </dgm:presLayoutVars>
      </dgm:prSet>
      <dgm:spPr/>
    </dgm:pt>
    <dgm:pt modelId="{9AC8DD3F-A509-4430-A20A-BCE14345ED2F}" type="pres">
      <dgm:prSet presAssocID="{C2433A0C-00FD-4DDD-BE5C-B5E85A139E95}" presName="node" presStyleLbl="node1" presStyleIdx="0" presStyleCnt="3">
        <dgm:presLayoutVars>
          <dgm:bulletEnabled val="1"/>
        </dgm:presLayoutVars>
      </dgm:prSet>
      <dgm:spPr/>
    </dgm:pt>
    <dgm:pt modelId="{63C9A11F-F0A9-4148-B11B-E8C20AAC4793}" type="pres">
      <dgm:prSet presAssocID="{C2433A0C-00FD-4DDD-BE5C-B5E85A139E95}" presName="spNode" presStyleCnt="0"/>
      <dgm:spPr/>
    </dgm:pt>
    <dgm:pt modelId="{7C28B506-9926-4E03-B9E7-A225E0BEF430}" type="pres">
      <dgm:prSet presAssocID="{586CF275-1891-4F5E-83E5-0CEF450CCB25}" presName="sibTrans" presStyleLbl="sibTrans1D1" presStyleIdx="0" presStyleCnt="3"/>
      <dgm:spPr/>
    </dgm:pt>
    <dgm:pt modelId="{6B8756CE-1AA4-44D5-BC8E-D7FE5941D432}" type="pres">
      <dgm:prSet presAssocID="{FBFEF7B2-A067-4A11-833F-298286F51A06}" presName="node" presStyleLbl="node1" presStyleIdx="1" presStyleCnt="3">
        <dgm:presLayoutVars>
          <dgm:bulletEnabled val="1"/>
        </dgm:presLayoutVars>
      </dgm:prSet>
      <dgm:spPr/>
    </dgm:pt>
    <dgm:pt modelId="{E13CBB2D-0822-4576-BE5A-1132721C78EB}" type="pres">
      <dgm:prSet presAssocID="{FBFEF7B2-A067-4A11-833F-298286F51A06}" presName="spNode" presStyleCnt="0"/>
      <dgm:spPr/>
    </dgm:pt>
    <dgm:pt modelId="{075F26BD-1856-49D3-B2D9-6D8BA9310E9D}" type="pres">
      <dgm:prSet presAssocID="{128FB38D-DF5B-4D4F-A8AC-AE6A4095425D}" presName="sibTrans" presStyleLbl="sibTrans1D1" presStyleIdx="1" presStyleCnt="3"/>
      <dgm:spPr/>
    </dgm:pt>
    <dgm:pt modelId="{BA64E0A9-87C8-4112-917E-864C814A5E0D}" type="pres">
      <dgm:prSet presAssocID="{2D2E7FE9-FE15-4502-9A31-00B6791F37A8}" presName="node" presStyleLbl="node1" presStyleIdx="2" presStyleCnt="3">
        <dgm:presLayoutVars>
          <dgm:bulletEnabled val="1"/>
        </dgm:presLayoutVars>
      </dgm:prSet>
      <dgm:spPr/>
    </dgm:pt>
    <dgm:pt modelId="{C9594D93-3715-4B69-8B33-9EB61568F6A2}" type="pres">
      <dgm:prSet presAssocID="{2D2E7FE9-FE15-4502-9A31-00B6791F37A8}" presName="spNode" presStyleCnt="0"/>
      <dgm:spPr/>
    </dgm:pt>
    <dgm:pt modelId="{4D8FE4E4-560F-4DD4-ABFC-32627F56100A}" type="pres">
      <dgm:prSet presAssocID="{953A6009-A844-4716-BF8F-4FF2D37BCD41}" presName="sibTrans" presStyleLbl="sibTrans1D1" presStyleIdx="2" presStyleCnt="3"/>
      <dgm:spPr/>
    </dgm:pt>
  </dgm:ptLst>
  <dgm:cxnLst>
    <dgm:cxn modelId="{2667CF0C-3DA2-4059-898B-3F2740708260}" type="presOf" srcId="{FBFEF7B2-A067-4A11-833F-298286F51A06}" destId="{6B8756CE-1AA4-44D5-BC8E-D7FE5941D432}" srcOrd="0" destOrd="0" presId="urn:microsoft.com/office/officeart/2005/8/layout/cycle5"/>
    <dgm:cxn modelId="{407A611C-2A3C-4342-B388-BB58CB7A8114}" type="presOf" srcId="{953A6009-A844-4716-BF8F-4FF2D37BCD41}" destId="{4D8FE4E4-560F-4DD4-ABFC-32627F56100A}" srcOrd="0" destOrd="0" presId="urn:microsoft.com/office/officeart/2005/8/layout/cycle5"/>
    <dgm:cxn modelId="{CF9E3D68-B4B4-48BC-A8E2-8B74D1E424AD}" type="presOf" srcId="{2D2E7FE9-FE15-4502-9A31-00B6791F37A8}" destId="{BA64E0A9-87C8-4112-917E-864C814A5E0D}" srcOrd="0" destOrd="0" presId="urn:microsoft.com/office/officeart/2005/8/layout/cycle5"/>
    <dgm:cxn modelId="{BEE8A674-BC13-4F99-A333-9B9487CFA11F}" type="presOf" srcId="{128FB38D-DF5B-4D4F-A8AC-AE6A4095425D}" destId="{075F26BD-1856-49D3-B2D9-6D8BA9310E9D}" srcOrd="0" destOrd="0" presId="urn:microsoft.com/office/officeart/2005/8/layout/cycle5"/>
    <dgm:cxn modelId="{FD63D7C1-2E59-4372-9AE7-61AD67B9731F}" srcId="{1ED8E276-1D06-4190-9B88-44EF3947D7BF}" destId="{FBFEF7B2-A067-4A11-833F-298286F51A06}" srcOrd="1" destOrd="0" parTransId="{C3EB83C1-DF7F-4982-B656-9520DA78FD6B}" sibTransId="{128FB38D-DF5B-4D4F-A8AC-AE6A4095425D}"/>
    <dgm:cxn modelId="{42EEB7C7-06A7-44B0-9573-E13D9F31929A}" type="presOf" srcId="{C2433A0C-00FD-4DDD-BE5C-B5E85A139E95}" destId="{9AC8DD3F-A509-4430-A20A-BCE14345ED2F}" srcOrd="0" destOrd="0" presId="urn:microsoft.com/office/officeart/2005/8/layout/cycle5"/>
    <dgm:cxn modelId="{C81B47D4-1B42-45AA-AF41-1D9F194DE576}" srcId="{1ED8E276-1D06-4190-9B88-44EF3947D7BF}" destId="{C2433A0C-00FD-4DDD-BE5C-B5E85A139E95}" srcOrd="0" destOrd="0" parTransId="{0B4A6256-1898-4A95-9A8C-CD8DEFC89F84}" sibTransId="{586CF275-1891-4F5E-83E5-0CEF450CCB25}"/>
    <dgm:cxn modelId="{BBBC50EC-15DB-4D14-995F-09F7D2B339F3}" srcId="{1ED8E276-1D06-4190-9B88-44EF3947D7BF}" destId="{2D2E7FE9-FE15-4502-9A31-00B6791F37A8}" srcOrd="2" destOrd="0" parTransId="{FC26ABF0-6E05-47BA-B28D-7552EE683CA5}" sibTransId="{953A6009-A844-4716-BF8F-4FF2D37BCD41}"/>
    <dgm:cxn modelId="{AD0EB0EF-A205-4B98-BF4E-E9950BE74039}" type="presOf" srcId="{1ED8E276-1D06-4190-9B88-44EF3947D7BF}" destId="{3071E6DA-098F-43BD-8E9B-D26B4D892A1D}" srcOrd="0" destOrd="0" presId="urn:microsoft.com/office/officeart/2005/8/layout/cycle5"/>
    <dgm:cxn modelId="{5A7563F2-C412-4622-A7C0-0518A8474332}" type="presOf" srcId="{586CF275-1891-4F5E-83E5-0CEF450CCB25}" destId="{7C28B506-9926-4E03-B9E7-A225E0BEF430}" srcOrd="0" destOrd="0" presId="urn:microsoft.com/office/officeart/2005/8/layout/cycle5"/>
    <dgm:cxn modelId="{94379F28-A1B6-4965-8864-CB0EB661D3DF}" type="presParOf" srcId="{3071E6DA-098F-43BD-8E9B-D26B4D892A1D}" destId="{9AC8DD3F-A509-4430-A20A-BCE14345ED2F}" srcOrd="0" destOrd="0" presId="urn:microsoft.com/office/officeart/2005/8/layout/cycle5"/>
    <dgm:cxn modelId="{7C905A6E-1857-43AE-9797-E047EFFB420A}" type="presParOf" srcId="{3071E6DA-098F-43BD-8E9B-D26B4D892A1D}" destId="{63C9A11F-F0A9-4148-B11B-E8C20AAC4793}" srcOrd="1" destOrd="0" presId="urn:microsoft.com/office/officeart/2005/8/layout/cycle5"/>
    <dgm:cxn modelId="{DB23DC39-DACB-4157-99ED-77392F47F18E}" type="presParOf" srcId="{3071E6DA-098F-43BD-8E9B-D26B4D892A1D}" destId="{7C28B506-9926-4E03-B9E7-A225E0BEF430}" srcOrd="2" destOrd="0" presId="urn:microsoft.com/office/officeart/2005/8/layout/cycle5"/>
    <dgm:cxn modelId="{6085B1BA-C0C0-4710-A5AA-C870CBFE85ED}" type="presParOf" srcId="{3071E6DA-098F-43BD-8E9B-D26B4D892A1D}" destId="{6B8756CE-1AA4-44D5-BC8E-D7FE5941D432}" srcOrd="3" destOrd="0" presId="urn:microsoft.com/office/officeart/2005/8/layout/cycle5"/>
    <dgm:cxn modelId="{AAEAD072-30ED-4C6F-A438-0094C4F75E5E}" type="presParOf" srcId="{3071E6DA-098F-43BD-8E9B-D26B4D892A1D}" destId="{E13CBB2D-0822-4576-BE5A-1132721C78EB}" srcOrd="4" destOrd="0" presId="urn:microsoft.com/office/officeart/2005/8/layout/cycle5"/>
    <dgm:cxn modelId="{2C36DCFA-38DC-4D06-9F3D-2D991C9C8EE4}" type="presParOf" srcId="{3071E6DA-098F-43BD-8E9B-D26B4D892A1D}" destId="{075F26BD-1856-49D3-B2D9-6D8BA9310E9D}" srcOrd="5" destOrd="0" presId="urn:microsoft.com/office/officeart/2005/8/layout/cycle5"/>
    <dgm:cxn modelId="{3E66A56D-6B5C-4B12-9475-47A2E00A8E7F}" type="presParOf" srcId="{3071E6DA-098F-43BD-8E9B-D26B4D892A1D}" destId="{BA64E0A9-87C8-4112-917E-864C814A5E0D}" srcOrd="6" destOrd="0" presId="urn:microsoft.com/office/officeart/2005/8/layout/cycle5"/>
    <dgm:cxn modelId="{3F979292-45AF-4D2C-959F-004F5AAD5080}" type="presParOf" srcId="{3071E6DA-098F-43BD-8E9B-D26B4D892A1D}" destId="{C9594D93-3715-4B69-8B33-9EB61568F6A2}" srcOrd="7" destOrd="0" presId="urn:microsoft.com/office/officeart/2005/8/layout/cycle5"/>
    <dgm:cxn modelId="{FD874F72-52EF-4091-9A19-E697FE61CC4B}" type="presParOf" srcId="{3071E6DA-098F-43BD-8E9B-D26B4D892A1D}" destId="{4D8FE4E4-560F-4DD4-ABFC-32627F56100A}" srcOrd="8" destOrd="0" presId="urn:microsoft.com/office/officeart/2005/8/layout/cycle5"/>
  </dgm:cxnLst>
  <dgm:bg/>
  <dgm:whole>
    <a:ln>
      <a:noFill/>
    </a:ln>
  </dgm:whole>
  <dgm:extLst>
    <a:ext xmlns:a="http://schemas.openxmlformats.org/drawingml/2006/main" uri="http://schemas.microsoft.com/office/drawing/2008/diagram">
      <dsp:dataModelExt xmlns:dsp="http://schemas.microsoft.com/office/drawing/2008/diagram" minVer="http://schemas.openxmlformats.org/drawingml/2006/diagram" relId="rId37"/>
    </a:ext>
  </dgm:extLst>
</dgm:dataModel>
</file>

<file path=word/diagrams/data3.xml><?xml version="1.0" encoding="utf-8"?>
<dgm:dataModel xmlns:dgm="http://schemas.openxmlformats.org/drawingml/2006/diagram" xmlns:a="http://schemas.openxmlformats.org/drawingml/2006/main">
  <dgm:ptLst>
    <dgm:pt modelId="{1ED8E276-1D06-4190-9B88-44EF3947D7BF}"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US"/>
        </a:p>
      </dgm:t>
    </dgm:pt>
    <dgm:pt modelId="{C2433A0C-00FD-4DDD-BE5C-B5E85A139E95}">
      <dgm:prSet phldrT="[Text]"/>
      <dgm:spPr>
        <a:solidFill>
          <a:schemeClr val="accent1">
            <a:lumMod val="40000"/>
            <a:lumOff val="60000"/>
          </a:schemeClr>
        </a:solidFill>
        <a:effectLst>
          <a:outerShdw blurRad="50800" dist="38100" dir="2700000" sx="100000" sy="100000" kx="0" ky="0" algn="tl" rotWithShape="0">
            <a:prstClr val="black">
              <a:alpha val="40000"/>
            </a:prstClr>
          </a:outerShdw>
        </a:effectLst>
      </dgm:spPr>
      <dgm:t>
        <a:bodyPr/>
        <a:lstStyle/>
        <a:p>
          <a:r>
            <a:rPr lang="en-US" b="1" dirty="0">
              <a:solidFill>
                <a:schemeClr val="tx1"/>
              </a:solidFill>
            </a:rPr>
            <a:t>Quality Strategy (QS)</a:t>
          </a:r>
        </a:p>
        <a:p>
          <a:r>
            <a:rPr lang="en-US" b="0" dirty="0">
              <a:solidFill>
                <a:schemeClr val="tx1"/>
              </a:solidFill>
            </a:rPr>
            <a:t>§ 438.340</a:t>
          </a:r>
        </a:p>
      </dgm:t>
    </dgm:pt>
    <dgm:pt modelId="{0B4A6256-1898-4A95-9A8C-CD8DEFC89F84}" type="parTrans" cxnId="{C81B47D4-1B42-45AA-AF41-1D9F194DE576}">
      <dgm:prSet/>
      <dgm:spPr/>
      <dgm:t>
        <a:bodyPr/>
        <a:lstStyle/>
        <a:p>
          <a:endParaRPr lang="en-US" b="1">
            <a:solidFill>
              <a:schemeClr val="tx1"/>
            </a:solidFill>
          </a:endParaRPr>
        </a:p>
      </dgm:t>
    </dgm:pt>
    <dgm:pt modelId="{586CF275-1891-4F5E-83E5-0CEF450CCB25}" type="sibTrans" cxnId="{C81B47D4-1B42-45AA-AF41-1D9F194DE576}">
      <dgm:prSet/>
      <dgm:spPr>
        <a:effectLst>
          <a:outerShdw blurRad="50800" dist="38100" dir="2700000" sx="100000" sy="100000" kx="0" ky="0" algn="tl" rotWithShape="0">
            <a:prstClr val="black">
              <a:alpha val="40000"/>
            </a:prstClr>
          </a:outerShdw>
        </a:effectLst>
      </dgm:spPr>
      <dgm:t>
        <a:bodyPr/>
        <a:lstStyle/>
        <a:p>
          <a:endParaRPr lang="en-US" b="1">
            <a:solidFill>
              <a:schemeClr val="tx1"/>
            </a:solidFill>
          </a:endParaRPr>
        </a:p>
      </dgm:t>
    </dgm:pt>
    <dgm:pt modelId="{FBFEF7B2-A067-4A11-833F-298286F51A06}">
      <dgm:prSet phldrT="[Text]"/>
      <dgm:spPr>
        <a:solidFill>
          <a:schemeClr val="accent1">
            <a:lumMod val="40000"/>
            <a:lumOff val="60000"/>
          </a:schemeClr>
        </a:solidFill>
        <a:effectLst>
          <a:outerShdw blurRad="50800" dist="38100" dir="2700000" sx="100000" sy="100000" kx="0" ky="0" algn="tl" rotWithShape="0">
            <a:prstClr val="black">
              <a:alpha val="40000"/>
            </a:prstClr>
          </a:outerShdw>
        </a:effectLst>
      </dgm:spPr>
      <dgm:t>
        <a:bodyPr/>
        <a:lstStyle/>
        <a:p>
          <a:r>
            <a:rPr lang="en-US" b="1" dirty="0">
              <a:solidFill>
                <a:schemeClr val="tx1"/>
              </a:solidFill>
            </a:rPr>
            <a:t>Quality Assessment and Performance Improvement (QAPI)</a:t>
          </a:r>
        </a:p>
        <a:p>
          <a:r>
            <a:rPr lang="en-US" b="0" dirty="0">
              <a:solidFill>
                <a:schemeClr val="tx1"/>
              </a:solidFill>
            </a:rPr>
            <a:t>§ 438.330</a:t>
          </a:r>
        </a:p>
      </dgm:t>
    </dgm:pt>
    <dgm:pt modelId="{C3EB83C1-DF7F-4982-B656-9520DA78FD6B}" type="parTrans" cxnId="{FD63D7C1-2E59-4372-9AE7-61AD67B9731F}">
      <dgm:prSet/>
      <dgm:spPr/>
      <dgm:t>
        <a:bodyPr/>
        <a:lstStyle/>
        <a:p>
          <a:endParaRPr lang="en-US" b="1">
            <a:solidFill>
              <a:schemeClr val="tx1"/>
            </a:solidFill>
          </a:endParaRPr>
        </a:p>
      </dgm:t>
    </dgm:pt>
    <dgm:pt modelId="{128FB38D-DF5B-4D4F-A8AC-AE6A4095425D}" type="sibTrans" cxnId="{FD63D7C1-2E59-4372-9AE7-61AD67B9731F}">
      <dgm:prSet/>
      <dgm:spPr>
        <a:effectLst>
          <a:outerShdw blurRad="50800" dist="38100" dir="2700000" sx="100000" sy="100000" kx="0" ky="0" algn="tl" rotWithShape="0">
            <a:prstClr val="black">
              <a:alpha val="40000"/>
            </a:prstClr>
          </a:outerShdw>
        </a:effectLst>
      </dgm:spPr>
      <dgm:t>
        <a:bodyPr/>
        <a:lstStyle/>
        <a:p>
          <a:endParaRPr lang="en-US" b="1">
            <a:solidFill>
              <a:schemeClr val="tx1"/>
            </a:solidFill>
          </a:endParaRPr>
        </a:p>
      </dgm:t>
    </dgm:pt>
    <dgm:pt modelId="{2D2E7FE9-FE15-4502-9A31-00B6791F37A8}">
      <dgm:prSet phldrT="[Text]"/>
      <dgm:spPr>
        <a:solidFill>
          <a:schemeClr val="accent1">
            <a:lumMod val="40000"/>
            <a:lumOff val="60000"/>
          </a:schemeClr>
        </a:solidFill>
        <a:effectLst>
          <a:outerShdw blurRad="50800" dist="38100" dir="2700000" sx="100000" sy="100000" kx="0" ky="0" algn="tl" rotWithShape="0">
            <a:prstClr val="black">
              <a:alpha val="40000"/>
            </a:prstClr>
          </a:outerShdw>
        </a:effectLst>
      </dgm:spPr>
      <dgm:t>
        <a:bodyPr/>
        <a:lstStyle/>
        <a:p>
          <a:r>
            <a:rPr lang="en-US" b="1" dirty="0">
              <a:solidFill>
                <a:schemeClr val="tx1"/>
              </a:solidFill>
            </a:rPr>
            <a:t>External Quality Review (EQR)</a:t>
          </a:r>
        </a:p>
        <a:p>
          <a:r>
            <a:rPr lang="en-US" b="0" dirty="0">
              <a:solidFill>
                <a:schemeClr val="tx1"/>
              </a:solidFill>
            </a:rPr>
            <a:t>§ 438.350-370</a:t>
          </a:r>
        </a:p>
      </dgm:t>
    </dgm:pt>
    <dgm:pt modelId="{FC26ABF0-6E05-47BA-B28D-7552EE683CA5}" type="parTrans" cxnId="{BBBC50EC-15DB-4D14-995F-09F7D2B339F3}">
      <dgm:prSet/>
      <dgm:spPr/>
      <dgm:t>
        <a:bodyPr/>
        <a:lstStyle/>
        <a:p>
          <a:endParaRPr lang="en-US" b="1">
            <a:solidFill>
              <a:schemeClr val="tx1"/>
            </a:solidFill>
          </a:endParaRPr>
        </a:p>
      </dgm:t>
    </dgm:pt>
    <dgm:pt modelId="{953A6009-A844-4716-BF8F-4FF2D37BCD41}" type="sibTrans" cxnId="{BBBC50EC-15DB-4D14-995F-09F7D2B339F3}">
      <dgm:prSet/>
      <dgm:spPr>
        <a:effectLst>
          <a:outerShdw blurRad="50800" dist="38100" dir="2700000" sx="100000" sy="100000" kx="0" ky="0" algn="tl" rotWithShape="0">
            <a:prstClr val="black">
              <a:alpha val="40000"/>
            </a:prstClr>
          </a:outerShdw>
        </a:effectLst>
      </dgm:spPr>
      <dgm:t>
        <a:bodyPr/>
        <a:lstStyle/>
        <a:p>
          <a:endParaRPr lang="en-US" b="1">
            <a:solidFill>
              <a:schemeClr val="tx1"/>
            </a:solidFill>
          </a:endParaRPr>
        </a:p>
      </dgm:t>
    </dgm:pt>
    <dgm:pt modelId="{3071E6DA-098F-43BD-8E9B-D26B4D892A1D}" type="pres">
      <dgm:prSet presAssocID="{1ED8E276-1D06-4190-9B88-44EF3947D7BF}" presName="cycle" presStyleCnt="0">
        <dgm:presLayoutVars>
          <dgm:dir val="norm"/>
          <dgm:resizeHandles val="exact"/>
        </dgm:presLayoutVars>
      </dgm:prSet>
      <dgm:spPr/>
    </dgm:pt>
    <dgm:pt modelId="{9AC8DD3F-A509-4430-A20A-BCE14345ED2F}" type="pres">
      <dgm:prSet presAssocID="{C2433A0C-00FD-4DDD-BE5C-B5E85A139E95}" presName="node" presStyleLbl="node1" presStyleIdx="0" presStyleCnt="3">
        <dgm:presLayoutVars>
          <dgm:bulletEnabled val="1"/>
        </dgm:presLayoutVars>
      </dgm:prSet>
      <dgm:spPr/>
    </dgm:pt>
    <dgm:pt modelId="{63C9A11F-F0A9-4148-B11B-E8C20AAC4793}" type="pres">
      <dgm:prSet presAssocID="{C2433A0C-00FD-4DDD-BE5C-B5E85A139E95}" presName="spNode" presStyleCnt="0"/>
      <dgm:spPr/>
    </dgm:pt>
    <dgm:pt modelId="{7C28B506-9926-4E03-B9E7-A225E0BEF430}" type="pres">
      <dgm:prSet presAssocID="{586CF275-1891-4F5E-83E5-0CEF450CCB25}" presName="sibTrans" presStyleLbl="sibTrans1D1" presStyleIdx="0" presStyleCnt="3"/>
      <dgm:spPr/>
    </dgm:pt>
    <dgm:pt modelId="{6B8756CE-1AA4-44D5-BC8E-D7FE5941D432}" type="pres">
      <dgm:prSet presAssocID="{FBFEF7B2-A067-4A11-833F-298286F51A06}" presName="node" presStyleLbl="node1" presStyleIdx="1" presStyleCnt="3">
        <dgm:presLayoutVars>
          <dgm:bulletEnabled val="1"/>
        </dgm:presLayoutVars>
      </dgm:prSet>
      <dgm:spPr/>
    </dgm:pt>
    <dgm:pt modelId="{E13CBB2D-0822-4576-BE5A-1132721C78EB}" type="pres">
      <dgm:prSet presAssocID="{FBFEF7B2-A067-4A11-833F-298286F51A06}" presName="spNode" presStyleCnt="0"/>
      <dgm:spPr/>
    </dgm:pt>
    <dgm:pt modelId="{075F26BD-1856-49D3-B2D9-6D8BA9310E9D}" type="pres">
      <dgm:prSet presAssocID="{128FB38D-DF5B-4D4F-A8AC-AE6A4095425D}" presName="sibTrans" presStyleLbl="sibTrans1D1" presStyleIdx="1" presStyleCnt="3"/>
      <dgm:spPr/>
    </dgm:pt>
    <dgm:pt modelId="{BA64E0A9-87C8-4112-917E-864C814A5E0D}" type="pres">
      <dgm:prSet presAssocID="{2D2E7FE9-FE15-4502-9A31-00B6791F37A8}" presName="node" presStyleLbl="node1" presStyleIdx="2" presStyleCnt="3">
        <dgm:presLayoutVars>
          <dgm:bulletEnabled val="1"/>
        </dgm:presLayoutVars>
      </dgm:prSet>
      <dgm:spPr/>
    </dgm:pt>
    <dgm:pt modelId="{C9594D93-3715-4B69-8B33-9EB61568F6A2}" type="pres">
      <dgm:prSet presAssocID="{2D2E7FE9-FE15-4502-9A31-00B6791F37A8}" presName="spNode" presStyleCnt="0"/>
      <dgm:spPr/>
    </dgm:pt>
    <dgm:pt modelId="{4D8FE4E4-560F-4DD4-ABFC-32627F56100A}" type="pres">
      <dgm:prSet presAssocID="{953A6009-A844-4716-BF8F-4FF2D37BCD41}" presName="sibTrans" presStyleLbl="sibTrans1D1" presStyleIdx="2" presStyleCnt="3"/>
      <dgm:spPr/>
    </dgm:pt>
  </dgm:ptLst>
  <dgm:cxnLst>
    <dgm:cxn modelId="{97A2CE0C-CB33-4313-984F-6B9828463DF2}" type="presOf" srcId="{953A6009-A844-4716-BF8F-4FF2D37BCD41}" destId="{4D8FE4E4-560F-4DD4-ABFC-32627F56100A}" srcOrd="0" destOrd="0" presId="urn:microsoft.com/office/officeart/2005/8/layout/cycle5"/>
    <dgm:cxn modelId="{63318D1A-CAB1-442A-B686-D39ACA2D32E7}" type="presOf" srcId="{586CF275-1891-4F5E-83E5-0CEF450CCB25}" destId="{7C28B506-9926-4E03-B9E7-A225E0BEF430}" srcOrd="0" destOrd="0" presId="urn:microsoft.com/office/officeart/2005/8/layout/cycle5"/>
    <dgm:cxn modelId="{4E86C667-6821-4978-9542-A47297B92875}" type="presOf" srcId="{1ED8E276-1D06-4190-9B88-44EF3947D7BF}" destId="{3071E6DA-098F-43BD-8E9B-D26B4D892A1D}" srcOrd="0" destOrd="0" presId="urn:microsoft.com/office/officeart/2005/8/layout/cycle5"/>
    <dgm:cxn modelId="{BF10D550-7AE1-40C6-9F2F-951F6AC3A342}" type="presOf" srcId="{FBFEF7B2-A067-4A11-833F-298286F51A06}" destId="{6B8756CE-1AA4-44D5-BC8E-D7FE5941D432}" srcOrd="0" destOrd="0" presId="urn:microsoft.com/office/officeart/2005/8/layout/cycle5"/>
    <dgm:cxn modelId="{F6CA9A9E-7EB5-4E50-B2DA-7CF4CDB03350}" type="presOf" srcId="{2D2E7FE9-FE15-4502-9A31-00B6791F37A8}" destId="{BA64E0A9-87C8-4112-917E-864C814A5E0D}" srcOrd="0" destOrd="0" presId="urn:microsoft.com/office/officeart/2005/8/layout/cycle5"/>
    <dgm:cxn modelId="{98AA45B0-2C25-4D47-8E80-2F5936DC57D8}" type="presOf" srcId="{128FB38D-DF5B-4D4F-A8AC-AE6A4095425D}" destId="{075F26BD-1856-49D3-B2D9-6D8BA9310E9D}" srcOrd="0" destOrd="0" presId="urn:microsoft.com/office/officeart/2005/8/layout/cycle5"/>
    <dgm:cxn modelId="{FD63D7C1-2E59-4372-9AE7-61AD67B9731F}" srcId="{1ED8E276-1D06-4190-9B88-44EF3947D7BF}" destId="{FBFEF7B2-A067-4A11-833F-298286F51A06}" srcOrd="1" destOrd="0" parTransId="{C3EB83C1-DF7F-4982-B656-9520DA78FD6B}" sibTransId="{128FB38D-DF5B-4D4F-A8AC-AE6A4095425D}"/>
    <dgm:cxn modelId="{399B4EC6-53D3-457D-9AE7-8360EA579FA1}" type="presOf" srcId="{C2433A0C-00FD-4DDD-BE5C-B5E85A139E95}" destId="{9AC8DD3F-A509-4430-A20A-BCE14345ED2F}" srcOrd="0" destOrd="0" presId="urn:microsoft.com/office/officeart/2005/8/layout/cycle5"/>
    <dgm:cxn modelId="{C81B47D4-1B42-45AA-AF41-1D9F194DE576}" srcId="{1ED8E276-1D06-4190-9B88-44EF3947D7BF}" destId="{C2433A0C-00FD-4DDD-BE5C-B5E85A139E95}" srcOrd="0" destOrd="0" parTransId="{0B4A6256-1898-4A95-9A8C-CD8DEFC89F84}" sibTransId="{586CF275-1891-4F5E-83E5-0CEF450CCB25}"/>
    <dgm:cxn modelId="{BBBC50EC-15DB-4D14-995F-09F7D2B339F3}" srcId="{1ED8E276-1D06-4190-9B88-44EF3947D7BF}" destId="{2D2E7FE9-FE15-4502-9A31-00B6791F37A8}" srcOrd="2" destOrd="0" parTransId="{FC26ABF0-6E05-47BA-B28D-7552EE683CA5}" sibTransId="{953A6009-A844-4716-BF8F-4FF2D37BCD41}"/>
    <dgm:cxn modelId="{5BA1765B-F334-444B-AB50-54E08328C11E}" type="presParOf" srcId="{3071E6DA-098F-43BD-8E9B-D26B4D892A1D}" destId="{9AC8DD3F-A509-4430-A20A-BCE14345ED2F}" srcOrd="0" destOrd="0" presId="urn:microsoft.com/office/officeart/2005/8/layout/cycle5"/>
    <dgm:cxn modelId="{62BD9AB0-1FFB-4398-8320-50E871512191}" type="presParOf" srcId="{3071E6DA-098F-43BD-8E9B-D26B4D892A1D}" destId="{63C9A11F-F0A9-4148-B11B-E8C20AAC4793}" srcOrd="1" destOrd="0" presId="urn:microsoft.com/office/officeart/2005/8/layout/cycle5"/>
    <dgm:cxn modelId="{E18F00C6-B810-4A77-BC62-5842B276B177}" type="presParOf" srcId="{3071E6DA-098F-43BD-8E9B-D26B4D892A1D}" destId="{7C28B506-9926-4E03-B9E7-A225E0BEF430}" srcOrd="2" destOrd="0" presId="urn:microsoft.com/office/officeart/2005/8/layout/cycle5"/>
    <dgm:cxn modelId="{CB3BB16F-03A0-4DD2-8DE3-EFEA2AB7201C}" type="presParOf" srcId="{3071E6DA-098F-43BD-8E9B-D26B4D892A1D}" destId="{6B8756CE-1AA4-44D5-BC8E-D7FE5941D432}" srcOrd="3" destOrd="0" presId="urn:microsoft.com/office/officeart/2005/8/layout/cycle5"/>
    <dgm:cxn modelId="{A80E766B-44C6-43D6-A6CA-FF46E8F07D34}" type="presParOf" srcId="{3071E6DA-098F-43BD-8E9B-D26B4D892A1D}" destId="{E13CBB2D-0822-4576-BE5A-1132721C78EB}" srcOrd="4" destOrd="0" presId="urn:microsoft.com/office/officeart/2005/8/layout/cycle5"/>
    <dgm:cxn modelId="{4D0EB1E4-F869-4EA2-B3CB-D5245D3FB3C3}" type="presParOf" srcId="{3071E6DA-098F-43BD-8E9B-D26B4D892A1D}" destId="{075F26BD-1856-49D3-B2D9-6D8BA9310E9D}" srcOrd="5" destOrd="0" presId="urn:microsoft.com/office/officeart/2005/8/layout/cycle5"/>
    <dgm:cxn modelId="{C25714A9-75FD-492A-97EB-FF126207D2EC}" type="presParOf" srcId="{3071E6DA-098F-43BD-8E9B-D26B4D892A1D}" destId="{BA64E0A9-87C8-4112-917E-864C814A5E0D}" srcOrd="6" destOrd="0" presId="urn:microsoft.com/office/officeart/2005/8/layout/cycle5"/>
    <dgm:cxn modelId="{D4CABCEF-C814-4356-BE5A-47F48C40562E}" type="presParOf" srcId="{3071E6DA-098F-43BD-8E9B-D26B4D892A1D}" destId="{C9594D93-3715-4B69-8B33-9EB61568F6A2}" srcOrd="7" destOrd="0" presId="urn:microsoft.com/office/officeart/2005/8/layout/cycle5"/>
    <dgm:cxn modelId="{E6109E07-AC30-4700-B738-52432B11AD73}" type="presParOf" srcId="{3071E6DA-098F-43BD-8E9B-D26B4D892A1D}" destId="{4D8FE4E4-560F-4DD4-ABFC-32627F56100A}" srcOrd="8" destOrd="0" presId="urn:microsoft.com/office/officeart/2005/8/layout/cycle5"/>
  </dgm:cxnLst>
  <dgm:bg/>
  <dgm:whole>
    <a:ln>
      <a:noFill/>
    </a:ln>
  </dgm:whole>
  <dgm:extLst>
    <a:ext xmlns:a="http://schemas.openxmlformats.org/drawingml/2006/main" uri="http://schemas.microsoft.com/office/drawing/2008/diagram">
      <dsp:dataModelExt xmlns:dsp="http://schemas.microsoft.com/office/drawing/2008/diagram" minVer="http://schemas.openxmlformats.org/drawingml/2006/diagram" relId="rId43"/>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C8DD3F-A509-4430-A20A-BCE14345ED2F}">
      <dsp:nvSpPr>
        <dsp:cNvPr id="0" name=""/>
        <dsp:cNvSpPr/>
      </dsp:nvSpPr>
      <dsp:spPr>
        <a:xfrm>
          <a:off x="1671597" y="1096"/>
          <a:ext cx="1533487" cy="996767"/>
        </a:xfrm>
        <a:prstGeom prst="roundRect">
          <a:avLst/>
        </a:prstGeom>
        <a:solidFill>
          <a:schemeClr val="accent1">
            <a:lumMod val="40000"/>
            <a:lumOff val="60000"/>
          </a:schemeClr>
        </a:solidFill>
        <a:ln w="12700">
          <a:solidFill>
            <a:schemeClr val="lt1">
              <a:hueOff val="0"/>
              <a:satOff val="0"/>
              <a:lumOff val="0"/>
              <a:alphaOff val="0"/>
            </a:schemeClr>
          </a:solidFill>
          <a:prstDash val="solid"/>
          <a:miter lim="800000"/>
        </a:ln>
        <a:effectLst>
          <a:outerShdw blurRad="50800" dist="38100" dir="2700000" sx="100000" sy="100000" kx="0" ky="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lstStyle/>
        <a:p>
          <a:pPr marL="0" lvl="0" indent="0" algn="ctr" defTabSz="488950">
            <a:lnSpc>
              <a:spcPct val="90000"/>
            </a:lnSpc>
            <a:spcBef>
              <a:spcPct val="0"/>
            </a:spcBef>
            <a:spcAft>
              <a:spcPct val="35000"/>
            </a:spcAft>
            <a:buNone/>
          </a:pPr>
          <a:r>
            <a:rPr lang="en-US" sz="1100" b="1" kern="1200" dirty="0">
              <a:solidFill>
                <a:schemeClr val="tx1"/>
              </a:solidFill>
            </a:rPr>
            <a:t>Quality Strategy (QS)</a:t>
          </a:r>
        </a:p>
        <a:p>
          <a:pPr marL="0" lvl="0" indent="0" algn="ctr" defTabSz="488950">
            <a:lnSpc>
              <a:spcPct val="90000"/>
            </a:lnSpc>
            <a:spcBef>
              <a:spcPct val="0"/>
            </a:spcBef>
            <a:spcAft>
              <a:spcPct val="35000"/>
            </a:spcAft>
            <a:buNone/>
          </a:pPr>
          <a:r>
            <a:rPr lang="en-US" sz="1100" b="0" kern="1200" dirty="0">
              <a:solidFill>
                <a:schemeClr val="tx1"/>
              </a:solidFill>
            </a:rPr>
            <a:t>§ 438.340</a:t>
          </a:r>
        </a:p>
      </dsp:txBody>
      <dsp:txXfrm>
        <a:off x="1720255" y="49754"/>
        <a:ext cx="1436171" cy="899451"/>
      </dsp:txXfrm>
    </dsp:sp>
    <dsp:sp modelId="{7C28B506-9926-4E03-B9E7-A225E0BEF430}">
      <dsp:nvSpPr>
        <dsp:cNvPr id="0" name=""/>
        <dsp:cNvSpPr/>
      </dsp:nvSpPr>
      <dsp:spPr>
        <a:xfrm>
          <a:off x="1108365" y="499479"/>
          <a:ext cx="2659950" cy="2659950"/>
        </a:xfrm>
        <a:custGeom>
          <a:avLst/>
          <a:gdLst/>
          <a:rect l="0" t="0" r="0" b="0"/>
          <a:pathLst>
            <a:path fill="norm" stroke="1">
              <a:moveTo>
                <a:pt x="2302778" y="423064"/>
              </a:moveTo>
              <a:arcTo hR="1329975" wR="1329975" stAng="19020461" swAng="2303181"/>
            </a:path>
          </a:pathLst>
        </a:custGeom>
        <a:noFill/>
        <a:ln w="6350">
          <a:solidFill>
            <a:schemeClr val="accent1">
              <a:hueOff val="0"/>
              <a:satOff val="0"/>
              <a:lumOff val="0"/>
              <a:alphaOff val="0"/>
            </a:schemeClr>
          </a:solidFill>
          <a:prstDash val="solid"/>
          <a:miter lim="800000"/>
          <a:tailEnd type="arrow"/>
        </a:ln>
        <a:effectLst>
          <a:outerShdw blurRad="50800" dist="38100" dir="2700000" sx="100000" sy="100000" kx="0" ky="0" algn="tl" rotWithShape="0">
            <a:prstClr val="black">
              <a:alpha val="40000"/>
            </a:prstClr>
          </a:outerShdw>
        </a:effectLst>
      </dsp:spPr>
      <dsp:style>
        <a:lnRef idx="1">
          <a:scrgbClr r="0" g="0" b="0"/>
        </a:lnRef>
        <a:fillRef idx="0">
          <a:scrgbClr r="0" g="0" b="0"/>
        </a:fillRef>
        <a:effectRef idx="0">
          <a:scrgbClr r="0" g="0" b="0"/>
        </a:effectRef>
        <a:fontRef idx="minor"/>
      </dsp:style>
    </dsp:sp>
    <dsp:sp modelId="{6B8756CE-1AA4-44D5-BC8E-D7FE5941D432}">
      <dsp:nvSpPr>
        <dsp:cNvPr id="0" name=""/>
        <dsp:cNvSpPr/>
      </dsp:nvSpPr>
      <dsp:spPr>
        <a:xfrm>
          <a:off x="2823389" y="1996058"/>
          <a:ext cx="1533487" cy="996767"/>
        </a:xfrm>
        <a:prstGeom prst="roundRect">
          <a:avLst/>
        </a:prstGeom>
        <a:solidFill>
          <a:schemeClr val="accent1">
            <a:lumMod val="40000"/>
            <a:lumOff val="60000"/>
          </a:schemeClr>
        </a:solidFill>
        <a:ln w="12700">
          <a:solidFill>
            <a:schemeClr val="lt1">
              <a:hueOff val="0"/>
              <a:satOff val="0"/>
              <a:lumOff val="0"/>
              <a:alphaOff val="0"/>
            </a:schemeClr>
          </a:solidFill>
          <a:prstDash val="solid"/>
          <a:miter lim="800000"/>
        </a:ln>
        <a:effectLst>
          <a:outerShdw blurRad="50800" dist="38100" dir="2700000" sx="100000" sy="100000" kx="0" ky="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lstStyle/>
        <a:p>
          <a:pPr marL="0" lvl="0" indent="0" algn="ctr" defTabSz="488950">
            <a:lnSpc>
              <a:spcPct val="90000"/>
            </a:lnSpc>
            <a:spcBef>
              <a:spcPct val="0"/>
            </a:spcBef>
            <a:spcAft>
              <a:spcPct val="35000"/>
            </a:spcAft>
            <a:buNone/>
          </a:pPr>
          <a:r>
            <a:rPr lang="en-US" sz="1100" b="1" kern="1200" dirty="0">
              <a:solidFill>
                <a:schemeClr val="tx1"/>
              </a:solidFill>
            </a:rPr>
            <a:t>Quality Assessment and Performance Improvement (QAPI)</a:t>
          </a:r>
        </a:p>
        <a:p>
          <a:pPr marL="0" lvl="0" indent="0" algn="ctr" defTabSz="488950">
            <a:lnSpc>
              <a:spcPct val="90000"/>
            </a:lnSpc>
            <a:spcBef>
              <a:spcPct val="0"/>
            </a:spcBef>
            <a:spcAft>
              <a:spcPct val="35000"/>
            </a:spcAft>
            <a:buNone/>
          </a:pPr>
          <a:r>
            <a:rPr lang="en-US" sz="1100" b="0" kern="1200" dirty="0">
              <a:solidFill>
                <a:schemeClr val="tx1"/>
              </a:solidFill>
            </a:rPr>
            <a:t>§ 438.330</a:t>
          </a:r>
        </a:p>
      </dsp:txBody>
      <dsp:txXfrm>
        <a:off x="2872047" y="2044716"/>
        <a:ext cx="1436171" cy="899451"/>
      </dsp:txXfrm>
    </dsp:sp>
    <dsp:sp modelId="{075F26BD-1856-49D3-B2D9-6D8BA9310E9D}">
      <dsp:nvSpPr>
        <dsp:cNvPr id="0" name=""/>
        <dsp:cNvSpPr/>
      </dsp:nvSpPr>
      <dsp:spPr>
        <a:xfrm>
          <a:off x="1108365" y="499479"/>
          <a:ext cx="2659950" cy="2659950"/>
        </a:xfrm>
        <a:custGeom>
          <a:avLst/>
          <a:gdLst/>
          <a:rect l="0" t="0" r="0" b="0"/>
          <a:pathLst>
            <a:path fill="norm" stroke="1">
              <a:moveTo>
                <a:pt x="1738318" y="2595711"/>
              </a:moveTo>
              <a:arcTo hR="1329975" wR="1329975" stAng="4327177" swAng="2145647"/>
            </a:path>
          </a:pathLst>
        </a:custGeom>
        <a:noFill/>
        <a:ln w="6350">
          <a:solidFill>
            <a:schemeClr val="accent1">
              <a:hueOff val="0"/>
              <a:satOff val="0"/>
              <a:lumOff val="0"/>
              <a:alphaOff val="0"/>
            </a:schemeClr>
          </a:solidFill>
          <a:prstDash val="solid"/>
          <a:miter lim="800000"/>
          <a:tailEnd type="arrow"/>
        </a:ln>
        <a:effectLst>
          <a:outerShdw blurRad="50800" dist="38100" dir="2700000" sx="100000" sy="100000" kx="0" ky="0" algn="tl" rotWithShape="0">
            <a:prstClr val="black">
              <a:alpha val="40000"/>
            </a:prstClr>
          </a:outerShdw>
        </a:effectLst>
      </dsp:spPr>
      <dsp:style>
        <a:lnRef idx="1">
          <a:scrgbClr r="0" g="0" b="0"/>
        </a:lnRef>
        <a:fillRef idx="0">
          <a:scrgbClr r="0" g="0" b="0"/>
        </a:fillRef>
        <a:effectRef idx="0">
          <a:scrgbClr r="0" g="0" b="0"/>
        </a:effectRef>
        <a:fontRef idx="minor"/>
      </dsp:style>
    </dsp:sp>
    <dsp:sp modelId="{BA64E0A9-87C8-4112-917E-864C814A5E0D}">
      <dsp:nvSpPr>
        <dsp:cNvPr id="0" name=""/>
        <dsp:cNvSpPr/>
      </dsp:nvSpPr>
      <dsp:spPr>
        <a:xfrm>
          <a:off x="519804" y="1996058"/>
          <a:ext cx="1533487" cy="996767"/>
        </a:xfrm>
        <a:prstGeom prst="roundRect">
          <a:avLst/>
        </a:prstGeom>
        <a:solidFill>
          <a:schemeClr val="accent1">
            <a:lumMod val="40000"/>
            <a:lumOff val="60000"/>
          </a:schemeClr>
        </a:solidFill>
        <a:ln w="12700">
          <a:solidFill>
            <a:schemeClr val="lt1">
              <a:hueOff val="0"/>
              <a:satOff val="0"/>
              <a:lumOff val="0"/>
              <a:alphaOff val="0"/>
            </a:schemeClr>
          </a:solidFill>
          <a:prstDash val="solid"/>
          <a:miter lim="800000"/>
        </a:ln>
        <a:effectLst>
          <a:outerShdw blurRad="50800" dist="38100" dir="2700000" sx="100000" sy="100000" kx="0" ky="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lstStyle/>
        <a:p>
          <a:pPr marL="0" lvl="0" indent="0" algn="ctr" defTabSz="488950">
            <a:lnSpc>
              <a:spcPct val="90000"/>
            </a:lnSpc>
            <a:spcBef>
              <a:spcPct val="0"/>
            </a:spcBef>
            <a:spcAft>
              <a:spcPct val="35000"/>
            </a:spcAft>
            <a:buNone/>
          </a:pPr>
          <a:r>
            <a:rPr lang="en-US" sz="1100" b="1" kern="1200" dirty="0">
              <a:solidFill>
                <a:schemeClr val="tx1"/>
              </a:solidFill>
            </a:rPr>
            <a:t>External Quality Review (EQR)</a:t>
          </a:r>
        </a:p>
        <a:p>
          <a:pPr marL="0" lvl="0" indent="0" algn="ctr" defTabSz="488950">
            <a:lnSpc>
              <a:spcPct val="90000"/>
            </a:lnSpc>
            <a:spcBef>
              <a:spcPct val="0"/>
            </a:spcBef>
            <a:spcAft>
              <a:spcPct val="35000"/>
            </a:spcAft>
            <a:buNone/>
          </a:pPr>
          <a:r>
            <a:rPr lang="en-US" sz="1100" b="0" kern="1200" dirty="0">
              <a:solidFill>
                <a:schemeClr val="tx1"/>
              </a:solidFill>
            </a:rPr>
            <a:t>§ 438.350-370</a:t>
          </a:r>
        </a:p>
      </dsp:txBody>
      <dsp:txXfrm>
        <a:off x="568462" y="2044716"/>
        <a:ext cx="1436171" cy="899451"/>
      </dsp:txXfrm>
    </dsp:sp>
    <dsp:sp modelId="{4D8FE4E4-560F-4DD4-ABFC-32627F56100A}">
      <dsp:nvSpPr>
        <dsp:cNvPr id="0" name=""/>
        <dsp:cNvSpPr/>
      </dsp:nvSpPr>
      <dsp:spPr>
        <a:xfrm>
          <a:off x="1108365" y="499479"/>
          <a:ext cx="2659950" cy="2659950"/>
        </a:xfrm>
        <a:custGeom>
          <a:avLst/>
          <a:gdLst/>
          <a:rect l="0" t="0" r="0" b="0"/>
          <a:pathLst>
            <a:path fill="norm" stroke="1">
              <a:moveTo>
                <a:pt x="4295" y="1223174"/>
              </a:moveTo>
              <a:arcTo hR="1329975" wR="1329975" stAng="11076358" swAng="2303181"/>
            </a:path>
          </a:pathLst>
        </a:custGeom>
        <a:noFill/>
        <a:ln w="6350">
          <a:solidFill>
            <a:schemeClr val="accent1">
              <a:hueOff val="0"/>
              <a:satOff val="0"/>
              <a:lumOff val="0"/>
              <a:alphaOff val="0"/>
            </a:schemeClr>
          </a:solidFill>
          <a:prstDash val="solid"/>
          <a:miter lim="800000"/>
          <a:tailEnd type="arrow"/>
        </a:ln>
        <a:effectLst>
          <a:outerShdw blurRad="50800" dist="38100" dir="2700000" sx="100000" sy="100000" kx="0" ky="0" algn="tl" rotWithShape="0">
            <a:prstClr val="black">
              <a:alpha val="40000"/>
            </a:prstClr>
          </a:outerShdw>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C8DD3F-A509-4430-A20A-BCE14345ED2F}">
      <dsp:nvSpPr>
        <dsp:cNvPr id="0" name=""/>
        <dsp:cNvSpPr/>
      </dsp:nvSpPr>
      <dsp:spPr>
        <a:xfrm>
          <a:off x="1671597" y="1096"/>
          <a:ext cx="1533487" cy="996767"/>
        </a:xfrm>
        <a:prstGeom prst="roundRect">
          <a:avLst/>
        </a:prstGeom>
        <a:solidFill>
          <a:schemeClr val="accent1">
            <a:lumMod val="40000"/>
            <a:lumOff val="60000"/>
          </a:schemeClr>
        </a:solidFill>
        <a:ln w="12700">
          <a:solidFill>
            <a:schemeClr val="lt1">
              <a:hueOff val="0"/>
              <a:satOff val="0"/>
              <a:lumOff val="0"/>
              <a:alphaOff val="0"/>
            </a:schemeClr>
          </a:solidFill>
          <a:prstDash val="solid"/>
          <a:miter lim="800000"/>
        </a:ln>
        <a:effectLst>
          <a:outerShdw blurRad="50800" dist="38100" dir="2700000" sx="100000" sy="100000" kx="0" ky="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lstStyle/>
        <a:p>
          <a:pPr marL="0" lvl="0" indent="0" algn="ctr" defTabSz="488950">
            <a:lnSpc>
              <a:spcPct val="90000"/>
            </a:lnSpc>
            <a:spcBef>
              <a:spcPct val="0"/>
            </a:spcBef>
            <a:spcAft>
              <a:spcPct val="35000"/>
            </a:spcAft>
            <a:buNone/>
          </a:pPr>
          <a:r>
            <a:rPr lang="en-US" sz="1100" b="1" kern="1200" dirty="0">
              <a:solidFill>
                <a:schemeClr val="tx1"/>
              </a:solidFill>
            </a:rPr>
            <a:t>Quality Strategy (QS)</a:t>
          </a:r>
        </a:p>
        <a:p>
          <a:pPr marL="0" lvl="0" indent="0" algn="ctr" defTabSz="488950">
            <a:lnSpc>
              <a:spcPct val="90000"/>
            </a:lnSpc>
            <a:spcBef>
              <a:spcPct val="0"/>
            </a:spcBef>
            <a:spcAft>
              <a:spcPct val="35000"/>
            </a:spcAft>
            <a:buNone/>
          </a:pPr>
          <a:r>
            <a:rPr lang="en-US" sz="1100" b="0" kern="1200" dirty="0">
              <a:solidFill>
                <a:schemeClr val="tx1"/>
              </a:solidFill>
            </a:rPr>
            <a:t>§ 438.340</a:t>
          </a:r>
        </a:p>
      </dsp:txBody>
      <dsp:txXfrm>
        <a:off x="1720255" y="49754"/>
        <a:ext cx="1436171" cy="899451"/>
      </dsp:txXfrm>
    </dsp:sp>
    <dsp:sp modelId="{7C28B506-9926-4E03-B9E7-A225E0BEF430}">
      <dsp:nvSpPr>
        <dsp:cNvPr id="0" name=""/>
        <dsp:cNvSpPr/>
      </dsp:nvSpPr>
      <dsp:spPr>
        <a:xfrm>
          <a:off x="1108365" y="499479"/>
          <a:ext cx="2659950" cy="2659950"/>
        </a:xfrm>
        <a:custGeom>
          <a:avLst/>
          <a:gdLst/>
          <a:rect l="0" t="0" r="0" b="0"/>
          <a:pathLst>
            <a:path fill="norm" stroke="1">
              <a:moveTo>
                <a:pt x="2302778" y="423064"/>
              </a:moveTo>
              <a:arcTo hR="1329975" wR="1329975" stAng="19020461" swAng="2303181"/>
            </a:path>
          </a:pathLst>
        </a:custGeom>
        <a:noFill/>
        <a:ln w="6350">
          <a:solidFill>
            <a:schemeClr val="accent1">
              <a:hueOff val="0"/>
              <a:satOff val="0"/>
              <a:lumOff val="0"/>
              <a:alphaOff val="0"/>
            </a:schemeClr>
          </a:solidFill>
          <a:prstDash val="solid"/>
          <a:miter lim="800000"/>
          <a:tailEnd type="arrow"/>
        </a:ln>
        <a:effectLst>
          <a:outerShdw blurRad="50800" dist="38100" dir="2700000" sx="100000" sy="100000" kx="0" ky="0" algn="tl" rotWithShape="0">
            <a:prstClr val="black">
              <a:alpha val="40000"/>
            </a:prstClr>
          </a:outerShdw>
        </a:effectLst>
      </dsp:spPr>
      <dsp:style>
        <a:lnRef idx="1">
          <a:scrgbClr r="0" g="0" b="0"/>
        </a:lnRef>
        <a:fillRef idx="0">
          <a:scrgbClr r="0" g="0" b="0"/>
        </a:fillRef>
        <a:effectRef idx="0">
          <a:scrgbClr r="0" g="0" b="0"/>
        </a:effectRef>
        <a:fontRef idx="minor"/>
      </dsp:style>
    </dsp:sp>
    <dsp:sp modelId="{6B8756CE-1AA4-44D5-BC8E-D7FE5941D432}">
      <dsp:nvSpPr>
        <dsp:cNvPr id="0" name=""/>
        <dsp:cNvSpPr/>
      </dsp:nvSpPr>
      <dsp:spPr>
        <a:xfrm>
          <a:off x="2823389" y="1996058"/>
          <a:ext cx="1533487" cy="996767"/>
        </a:xfrm>
        <a:prstGeom prst="roundRect">
          <a:avLst/>
        </a:prstGeom>
        <a:solidFill>
          <a:schemeClr val="accent1">
            <a:lumMod val="40000"/>
            <a:lumOff val="60000"/>
          </a:schemeClr>
        </a:solidFill>
        <a:ln w="12700">
          <a:solidFill>
            <a:schemeClr val="lt1">
              <a:hueOff val="0"/>
              <a:satOff val="0"/>
              <a:lumOff val="0"/>
              <a:alphaOff val="0"/>
            </a:schemeClr>
          </a:solidFill>
          <a:prstDash val="solid"/>
          <a:miter lim="800000"/>
        </a:ln>
        <a:effectLst>
          <a:outerShdw blurRad="50800" dist="38100" dir="2700000" sx="100000" sy="100000" kx="0" ky="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lstStyle/>
        <a:p>
          <a:pPr marL="0" lvl="0" indent="0" algn="ctr" defTabSz="488950">
            <a:lnSpc>
              <a:spcPct val="90000"/>
            </a:lnSpc>
            <a:spcBef>
              <a:spcPct val="0"/>
            </a:spcBef>
            <a:spcAft>
              <a:spcPct val="35000"/>
            </a:spcAft>
            <a:buNone/>
          </a:pPr>
          <a:r>
            <a:rPr lang="en-US" sz="1100" b="1" kern="1200" dirty="0">
              <a:solidFill>
                <a:schemeClr val="tx1"/>
              </a:solidFill>
            </a:rPr>
            <a:t>Quality Assessment and Performance Improvement (QAPI)</a:t>
          </a:r>
        </a:p>
        <a:p>
          <a:pPr marL="0" lvl="0" indent="0" algn="ctr" defTabSz="488950">
            <a:lnSpc>
              <a:spcPct val="90000"/>
            </a:lnSpc>
            <a:spcBef>
              <a:spcPct val="0"/>
            </a:spcBef>
            <a:spcAft>
              <a:spcPct val="35000"/>
            </a:spcAft>
            <a:buNone/>
          </a:pPr>
          <a:r>
            <a:rPr lang="en-US" sz="1100" b="0" kern="1200" dirty="0">
              <a:solidFill>
                <a:schemeClr val="tx1"/>
              </a:solidFill>
            </a:rPr>
            <a:t>§ 438.330</a:t>
          </a:r>
        </a:p>
      </dsp:txBody>
      <dsp:txXfrm>
        <a:off x="2872047" y="2044716"/>
        <a:ext cx="1436171" cy="899451"/>
      </dsp:txXfrm>
    </dsp:sp>
    <dsp:sp modelId="{075F26BD-1856-49D3-B2D9-6D8BA9310E9D}">
      <dsp:nvSpPr>
        <dsp:cNvPr id="0" name=""/>
        <dsp:cNvSpPr/>
      </dsp:nvSpPr>
      <dsp:spPr>
        <a:xfrm>
          <a:off x="1108365" y="499479"/>
          <a:ext cx="2659950" cy="2659950"/>
        </a:xfrm>
        <a:custGeom>
          <a:avLst/>
          <a:gdLst/>
          <a:rect l="0" t="0" r="0" b="0"/>
          <a:pathLst>
            <a:path fill="norm" stroke="1">
              <a:moveTo>
                <a:pt x="1738318" y="2595711"/>
              </a:moveTo>
              <a:arcTo hR="1329975" wR="1329975" stAng="4327177" swAng="2145647"/>
            </a:path>
          </a:pathLst>
        </a:custGeom>
        <a:noFill/>
        <a:ln w="6350">
          <a:solidFill>
            <a:schemeClr val="accent1">
              <a:hueOff val="0"/>
              <a:satOff val="0"/>
              <a:lumOff val="0"/>
              <a:alphaOff val="0"/>
            </a:schemeClr>
          </a:solidFill>
          <a:prstDash val="solid"/>
          <a:miter lim="800000"/>
          <a:tailEnd type="arrow"/>
        </a:ln>
        <a:effectLst>
          <a:outerShdw blurRad="50800" dist="38100" dir="2700000" sx="100000" sy="100000" kx="0" ky="0" algn="tl" rotWithShape="0">
            <a:prstClr val="black">
              <a:alpha val="40000"/>
            </a:prstClr>
          </a:outerShdw>
        </a:effectLst>
      </dsp:spPr>
      <dsp:style>
        <a:lnRef idx="1">
          <a:scrgbClr r="0" g="0" b="0"/>
        </a:lnRef>
        <a:fillRef idx="0">
          <a:scrgbClr r="0" g="0" b="0"/>
        </a:fillRef>
        <a:effectRef idx="0">
          <a:scrgbClr r="0" g="0" b="0"/>
        </a:effectRef>
        <a:fontRef idx="minor"/>
      </dsp:style>
    </dsp:sp>
    <dsp:sp modelId="{BA64E0A9-87C8-4112-917E-864C814A5E0D}">
      <dsp:nvSpPr>
        <dsp:cNvPr id="0" name=""/>
        <dsp:cNvSpPr/>
      </dsp:nvSpPr>
      <dsp:spPr>
        <a:xfrm>
          <a:off x="519804" y="1996058"/>
          <a:ext cx="1533487" cy="996767"/>
        </a:xfrm>
        <a:prstGeom prst="roundRect">
          <a:avLst/>
        </a:prstGeom>
        <a:solidFill>
          <a:schemeClr val="accent1">
            <a:lumMod val="40000"/>
            <a:lumOff val="60000"/>
          </a:schemeClr>
        </a:solidFill>
        <a:ln w="12700">
          <a:solidFill>
            <a:schemeClr val="lt1">
              <a:hueOff val="0"/>
              <a:satOff val="0"/>
              <a:lumOff val="0"/>
              <a:alphaOff val="0"/>
            </a:schemeClr>
          </a:solidFill>
          <a:prstDash val="solid"/>
          <a:miter lim="800000"/>
        </a:ln>
        <a:effectLst>
          <a:outerShdw blurRad="50800" dist="38100" dir="2700000" sx="100000" sy="100000" kx="0" ky="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lstStyle/>
        <a:p>
          <a:pPr marL="0" lvl="0" indent="0" algn="ctr" defTabSz="488950">
            <a:lnSpc>
              <a:spcPct val="90000"/>
            </a:lnSpc>
            <a:spcBef>
              <a:spcPct val="0"/>
            </a:spcBef>
            <a:spcAft>
              <a:spcPct val="35000"/>
            </a:spcAft>
            <a:buNone/>
          </a:pPr>
          <a:r>
            <a:rPr lang="en-US" sz="1100" b="1" kern="1200" dirty="0">
              <a:solidFill>
                <a:schemeClr val="tx1"/>
              </a:solidFill>
            </a:rPr>
            <a:t>External Quality Review (EQR)</a:t>
          </a:r>
        </a:p>
        <a:p>
          <a:pPr marL="0" lvl="0" indent="0" algn="ctr" defTabSz="488950">
            <a:lnSpc>
              <a:spcPct val="90000"/>
            </a:lnSpc>
            <a:spcBef>
              <a:spcPct val="0"/>
            </a:spcBef>
            <a:spcAft>
              <a:spcPct val="35000"/>
            </a:spcAft>
            <a:buNone/>
          </a:pPr>
          <a:r>
            <a:rPr lang="en-US" sz="1100" b="0" kern="1200" dirty="0">
              <a:solidFill>
                <a:schemeClr val="tx1"/>
              </a:solidFill>
            </a:rPr>
            <a:t>§ 438.350-370</a:t>
          </a:r>
        </a:p>
      </dsp:txBody>
      <dsp:txXfrm>
        <a:off x="568462" y="2044716"/>
        <a:ext cx="1436171" cy="899451"/>
      </dsp:txXfrm>
    </dsp:sp>
    <dsp:sp modelId="{4D8FE4E4-560F-4DD4-ABFC-32627F56100A}">
      <dsp:nvSpPr>
        <dsp:cNvPr id="0" name=""/>
        <dsp:cNvSpPr/>
      </dsp:nvSpPr>
      <dsp:spPr>
        <a:xfrm>
          <a:off x="1108365" y="499479"/>
          <a:ext cx="2659950" cy="2659950"/>
        </a:xfrm>
        <a:custGeom>
          <a:avLst/>
          <a:gdLst/>
          <a:rect l="0" t="0" r="0" b="0"/>
          <a:pathLst>
            <a:path fill="norm" stroke="1">
              <a:moveTo>
                <a:pt x="4295" y="1223174"/>
              </a:moveTo>
              <a:arcTo hR="1329975" wR="1329975" stAng="11076358" swAng="2303181"/>
            </a:path>
          </a:pathLst>
        </a:custGeom>
        <a:noFill/>
        <a:ln w="6350">
          <a:solidFill>
            <a:schemeClr val="accent1">
              <a:hueOff val="0"/>
              <a:satOff val="0"/>
              <a:lumOff val="0"/>
              <a:alphaOff val="0"/>
            </a:schemeClr>
          </a:solidFill>
          <a:prstDash val="solid"/>
          <a:miter lim="800000"/>
          <a:tailEnd type="arrow"/>
        </a:ln>
        <a:effectLst>
          <a:outerShdw blurRad="50800" dist="38100" dir="2700000" sx="100000" sy="100000" kx="0" ky="0" algn="tl" rotWithShape="0">
            <a:prstClr val="black">
              <a:alpha val="40000"/>
            </a:prstClr>
          </a:outerShdw>
        </a:effectLst>
      </dsp:spPr>
      <dsp:style>
        <a:lnRef idx="1">
          <a:scrgbClr r="0" g="0" b="0"/>
        </a:lnRef>
        <a:fillRef idx="0">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C8DD3F-A509-4430-A20A-BCE14345ED2F}">
      <dsp:nvSpPr>
        <dsp:cNvPr id="0" name=""/>
        <dsp:cNvSpPr/>
      </dsp:nvSpPr>
      <dsp:spPr>
        <a:xfrm>
          <a:off x="1671597" y="1096"/>
          <a:ext cx="1533487" cy="996767"/>
        </a:xfrm>
        <a:prstGeom prst="roundRect">
          <a:avLst/>
        </a:prstGeom>
        <a:solidFill>
          <a:schemeClr val="accent1">
            <a:lumMod val="40000"/>
            <a:lumOff val="60000"/>
          </a:schemeClr>
        </a:solidFill>
        <a:ln w="12700">
          <a:solidFill>
            <a:schemeClr val="lt1">
              <a:hueOff val="0"/>
              <a:satOff val="0"/>
              <a:lumOff val="0"/>
              <a:alphaOff val="0"/>
            </a:schemeClr>
          </a:solidFill>
          <a:prstDash val="solid"/>
          <a:miter lim="800000"/>
        </a:ln>
        <a:effectLst>
          <a:outerShdw blurRad="50800" dist="38100" dir="2700000" sx="100000" sy="100000" kx="0" ky="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lstStyle/>
        <a:p>
          <a:pPr marL="0" lvl="0" indent="0" algn="ctr" defTabSz="488950">
            <a:lnSpc>
              <a:spcPct val="90000"/>
            </a:lnSpc>
            <a:spcBef>
              <a:spcPct val="0"/>
            </a:spcBef>
            <a:spcAft>
              <a:spcPct val="35000"/>
            </a:spcAft>
            <a:buNone/>
          </a:pPr>
          <a:r>
            <a:rPr lang="en-US" sz="1100" b="1" kern="1200" dirty="0">
              <a:solidFill>
                <a:schemeClr val="tx1"/>
              </a:solidFill>
            </a:rPr>
            <a:t>Quality Strategy (QS)</a:t>
          </a:r>
        </a:p>
        <a:p>
          <a:pPr marL="0" lvl="0" indent="0" algn="ctr" defTabSz="488950">
            <a:lnSpc>
              <a:spcPct val="90000"/>
            </a:lnSpc>
            <a:spcBef>
              <a:spcPct val="0"/>
            </a:spcBef>
            <a:spcAft>
              <a:spcPct val="35000"/>
            </a:spcAft>
            <a:buNone/>
          </a:pPr>
          <a:r>
            <a:rPr lang="en-US" sz="1100" b="0" kern="1200" dirty="0">
              <a:solidFill>
                <a:schemeClr val="tx1"/>
              </a:solidFill>
            </a:rPr>
            <a:t>§ 438.340</a:t>
          </a:r>
        </a:p>
      </dsp:txBody>
      <dsp:txXfrm>
        <a:off x="1720255" y="49754"/>
        <a:ext cx="1436171" cy="899451"/>
      </dsp:txXfrm>
    </dsp:sp>
    <dsp:sp modelId="{7C28B506-9926-4E03-B9E7-A225E0BEF430}">
      <dsp:nvSpPr>
        <dsp:cNvPr id="0" name=""/>
        <dsp:cNvSpPr/>
      </dsp:nvSpPr>
      <dsp:spPr>
        <a:xfrm>
          <a:off x="1108365" y="499479"/>
          <a:ext cx="2659950" cy="2659950"/>
        </a:xfrm>
        <a:custGeom>
          <a:avLst/>
          <a:gdLst/>
          <a:rect l="0" t="0" r="0" b="0"/>
          <a:pathLst>
            <a:path fill="norm" stroke="1">
              <a:moveTo>
                <a:pt x="2302778" y="423064"/>
              </a:moveTo>
              <a:arcTo hR="1329975" wR="1329975" stAng="19020461" swAng="2303181"/>
            </a:path>
          </a:pathLst>
        </a:custGeom>
        <a:noFill/>
        <a:ln w="6350">
          <a:solidFill>
            <a:schemeClr val="accent1">
              <a:hueOff val="0"/>
              <a:satOff val="0"/>
              <a:lumOff val="0"/>
              <a:alphaOff val="0"/>
            </a:schemeClr>
          </a:solidFill>
          <a:prstDash val="solid"/>
          <a:miter lim="800000"/>
          <a:tailEnd type="arrow"/>
        </a:ln>
        <a:effectLst>
          <a:outerShdw blurRad="50800" dist="38100" dir="2700000" sx="100000" sy="100000" kx="0" ky="0" algn="tl" rotWithShape="0">
            <a:prstClr val="black">
              <a:alpha val="40000"/>
            </a:prstClr>
          </a:outerShdw>
        </a:effectLst>
      </dsp:spPr>
      <dsp:style>
        <a:lnRef idx="1">
          <a:scrgbClr r="0" g="0" b="0"/>
        </a:lnRef>
        <a:fillRef idx="0">
          <a:scrgbClr r="0" g="0" b="0"/>
        </a:fillRef>
        <a:effectRef idx="0">
          <a:scrgbClr r="0" g="0" b="0"/>
        </a:effectRef>
        <a:fontRef idx="minor"/>
      </dsp:style>
    </dsp:sp>
    <dsp:sp modelId="{6B8756CE-1AA4-44D5-BC8E-D7FE5941D432}">
      <dsp:nvSpPr>
        <dsp:cNvPr id="0" name=""/>
        <dsp:cNvSpPr/>
      </dsp:nvSpPr>
      <dsp:spPr>
        <a:xfrm>
          <a:off x="2823389" y="1996058"/>
          <a:ext cx="1533487" cy="996767"/>
        </a:xfrm>
        <a:prstGeom prst="roundRect">
          <a:avLst/>
        </a:prstGeom>
        <a:solidFill>
          <a:schemeClr val="accent1">
            <a:lumMod val="40000"/>
            <a:lumOff val="60000"/>
          </a:schemeClr>
        </a:solidFill>
        <a:ln w="12700">
          <a:solidFill>
            <a:schemeClr val="lt1">
              <a:hueOff val="0"/>
              <a:satOff val="0"/>
              <a:lumOff val="0"/>
              <a:alphaOff val="0"/>
            </a:schemeClr>
          </a:solidFill>
          <a:prstDash val="solid"/>
          <a:miter lim="800000"/>
        </a:ln>
        <a:effectLst>
          <a:outerShdw blurRad="50800" dist="38100" dir="2700000" sx="100000" sy="100000" kx="0" ky="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lstStyle/>
        <a:p>
          <a:pPr marL="0" lvl="0" indent="0" algn="ctr" defTabSz="488950">
            <a:lnSpc>
              <a:spcPct val="90000"/>
            </a:lnSpc>
            <a:spcBef>
              <a:spcPct val="0"/>
            </a:spcBef>
            <a:spcAft>
              <a:spcPct val="35000"/>
            </a:spcAft>
            <a:buNone/>
          </a:pPr>
          <a:r>
            <a:rPr lang="en-US" sz="1100" b="1" kern="1200" dirty="0">
              <a:solidFill>
                <a:schemeClr val="tx1"/>
              </a:solidFill>
            </a:rPr>
            <a:t>Quality Assessment and Performance Improvement (QAPI)</a:t>
          </a:r>
        </a:p>
        <a:p>
          <a:pPr marL="0" lvl="0" indent="0" algn="ctr" defTabSz="488950">
            <a:lnSpc>
              <a:spcPct val="90000"/>
            </a:lnSpc>
            <a:spcBef>
              <a:spcPct val="0"/>
            </a:spcBef>
            <a:spcAft>
              <a:spcPct val="35000"/>
            </a:spcAft>
            <a:buNone/>
          </a:pPr>
          <a:r>
            <a:rPr lang="en-US" sz="1100" b="0" kern="1200" dirty="0">
              <a:solidFill>
                <a:schemeClr val="tx1"/>
              </a:solidFill>
            </a:rPr>
            <a:t>§ 438.330</a:t>
          </a:r>
        </a:p>
      </dsp:txBody>
      <dsp:txXfrm>
        <a:off x="2872047" y="2044716"/>
        <a:ext cx="1436171" cy="899451"/>
      </dsp:txXfrm>
    </dsp:sp>
    <dsp:sp modelId="{075F26BD-1856-49D3-B2D9-6D8BA9310E9D}">
      <dsp:nvSpPr>
        <dsp:cNvPr id="0" name=""/>
        <dsp:cNvSpPr/>
      </dsp:nvSpPr>
      <dsp:spPr>
        <a:xfrm>
          <a:off x="1108365" y="499479"/>
          <a:ext cx="2659950" cy="2659950"/>
        </a:xfrm>
        <a:custGeom>
          <a:avLst/>
          <a:gdLst/>
          <a:rect l="0" t="0" r="0" b="0"/>
          <a:pathLst>
            <a:path fill="norm" stroke="1">
              <a:moveTo>
                <a:pt x="1738318" y="2595711"/>
              </a:moveTo>
              <a:arcTo hR="1329975" wR="1329975" stAng="4327177" swAng="2145647"/>
            </a:path>
          </a:pathLst>
        </a:custGeom>
        <a:noFill/>
        <a:ln w="6350">
          <a:solidFill>
            <a:schemeClr val="accent1">
              <a:hueOff val="0"/>
              <a:satOff val="0"/>
              <a:lumOff val="0"/>
              <a:alphaOff val="0"/>
            </a:schemeClr>
          </a:solidFill>
          <a:prstDash val="solid"/>
          <a:miter lim="800000"/>
          <a:tailEnd type="arrow"/>
        </a:ln>
        <a:effectLst>
          <a:outerShdw blurRad="50800" dist="38100" dir="2700000" sx="100000" sy="100000" kx="0" ky="0" algn="tl" rotWithShape="0">
            <a:prstClr val="black">
              <a:alpha val="40000"/>
            </a:prstClr>
          </a:outerShdw>
        </a:effectLst>
      </dsp:spPr>
      <dsp:style>
        <a:lnRef idx="1">
          <a:scrgbClr r="0" g="0" b="0"/>
        </a:lnRef>
        <a:fillRef idx="0">
          <a:scrgbClr r="0" g="0" b="0"/>
        </a:fillRef>
        <a:effectRef idx="0">
          <a:scrgbClr r="0" g="0" b="0"/>
        </a:effectRef>
        <a:fontRef idx="minor"/>
      </dsp:style>
    </dsp:sp>
    <dsp:sp modelId="{BA64E0A9-87C8-4112-917E-864C814A5E0D}">
      <dsp:nvSpPr>
        <dsp:cNvPr id="0" name=""/>
        <dsp:cNvSpPr/>
      </dsp:nvSpPr>
      <dsp:spPr>
        <a:xfrm>
          <a:off x="519804" y="1996058"/>
          <a:ext cx="1533487" cy="996767"/>
        </a:xfrm>
        <a:prstGeom prst="roundRect">
          <a:avLst/>
        </a:prstGeom>
        <a:solidFill>
          <a:schemeClr val="accent1">
            <a:lumMod val="40000"/>
            <a:lumOff val="60000"/>
          </a:schemeClr>
        </a:solidFill>
        <a:ln w="12700">
          <a:solidFill>
            <a:schemeClr val="lt1">
              <a:hueOff val="0"/>
              <a:satOff val="0"/>
              <a:lumOff val="0"/>
              <a:alphaOff val="0"/>
            </a:schemeClr>
          </a:solidFill>
          <a:prstDash val="solid"/>
          <a:miter lim="800000"/>
        </a:ln>
        <a:effectLst>
          <a:outerShdw blurRad="50800" dist="38100" dir="2700000" sx="100000" sy="100000" kx="0" ky="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lstStyle/>
        <a:p>
          <a:pPr marL="0" lvl="0" indent="0" algn="ctr" defTabSz="488950">
            <a:lnSpc>
              <a:spcPct val="90000"/>
            </a:lnSpc>
            <a:spcBef>
              <a:spcPct val="0"/>
            </a:spcBef>
            <a:spcAft>
              <a:spcPct val="35000"/>
            </a:spcAft>
            <a:buNone/>
          </a:pPr>
          <a:r>
            <a:rPr lang="en-US" sz="1100" b="1" kern="1200" dirty="0">
              <a:solidFill>
                <a:schemeClr val="tx1"/>
              </a:solidFill>
            </a:rPr>
            <a:t>External Quality Review (EQR)</a:t>
          </a:r>
        </a:p>
        <a:p>
          <a:pPr marL="0" lvl="0" indent="0" algn="ctr" defTabSz="488950">
            <a:lnSpc>
              <a:spcPct val="90000"/>
            </a:lnSpc>
            <a:spcBef>
              <a:spcPct val="0"/>
            </a:spcBef>
            <a:spcAft>
              <a:spcPct val="35000"/>
            </a:spcAft>
            <a:buNone/>
          </a:pPr>
          <a:r>
            <a:rPr lang="en-US" sz="1100" b="0" kern="1200" dirty="0">
              <a:solidFill>
                <a:schemeClr val="tx1"/>
              </a:solidFill>
            </a:rPr>
            <a:t>§ 438.350-370</a:t>
          </a:r>
        </a:p>
      </dsp:txBody>
      <dsp:txXfrm>
        <a:off x="568462" y="2044716"/>
        <a:ext cx="1436171" cy="899451"/>
      </dsp:txXfrm>
    </dsp:sp>
    <dsp:sp modelId="{4D8FE4E4-560F-4DD4-ABFC-32627F56100A}">
      <dsp:nvSpPr>
        <dsp:cNvPr id="0" name=""/>
        <dsp:cNvSpPr/>
      </dsp:nvSpPr>
      <dsp:spPr>
        <a:xfrm>
          <a:off x="1108365" y="499479"/>
          <a:ext cx="2659950" cy="2659950"/>
        </a:xfrm>
        <a:custGeom>
          <a:avLst/>
          <a:gdLst/>
          <a:rect l="0" t="0" r="0" b="0"/>
          <a:pathLst>
            <a:path fill="norm" stroke="1">
              <a:moveTo>
                <a:pt x="4295" y="1223174"/>
              </a:moveTo>
              <a:arcTo hR="1329975" wR="1329975" stAng="11076358" swAng="2303181"/>
            </a:path>
          </a:pathLst>
        </a:custGeom>
        <a:noFill/>
        <a:ln w="6350">
          <a:solidFill>
            <a:schemeClr val="accent1">
              <a:hueOff val="0"/>
              <a:satOff val="0"/>
              <a:lumOff val="0"/>
              <a:alphaOff val="0"/>
            </a:schemeClr>
          </a:solidFill>
          <a:prstDash val="solid"/>
          <a:miter lim="800000"/>
          <a:tailEnd type="arrow"/>
        </a:ln>
        <a:effectLst>
          <a:outerShdw blurRad="50800" dist="38100" dir="2700000" sx="100000" sy="100000" kx="0" ky="0" algn="tl" rotWithShape="0">
            <a:prstClr val="black">
              <a:alpha val="40000"/>
            </a:prstClr>
          </a:outerShdw>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val="norm"/>
      <dgm:resizeHandles val="exact"/>
    </dgm:varLst>
    <dgm:choose name="Name0">
      <dgm:if name="Name1" func="var" arg="dir" op="equ" val="norm">
        <dgm:choose name="Name2">
          <dgm:if name="Name3" axis="ch" ptType="node" func="cnt" arg="none" op="gt" val="2">
            <dgm:alg type="cycle">
              <dgm:param type="spanAng" val="360"/>
              <dgm:param type="stAng" val="0"/>
            </dgm:alg>
          </dgm:if>
          <dgm:else name="Name4">
            <dgm:alg type="cycle">
              <dgm:param type="spanAng" val="360"/>
              <dgm:param type="stAng" val="-90"/>
            </dgm:alg>
          </dgm:else>
        </dgm:choose>
      </dgm:if>
      <dgm:else name="Name5">
        <dgm:choose name="Name6">
          <dgm:if name="Name7" axis="ch" ptType="node" func="cnt" arg="none" op="gt" val="2">
            <dgm:alg type="cycle">
              <dgm:param type="spanAng" val="-360"/>
              <dgm:param type="stAng" val="0"/>
            </dgm:alg>
          </dgm:if>
          <dgm:else name="Name8">
            <dgm:alg type="cycle">
              <dgm:param type="spanAng" val="-360"/>
              <dgm:param type="stAng" val="9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arg="none"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false" cnt="1">
            <dgm:layoutNode name="sibTrans">
              <dgm:alg type="conn">
                <dgm:param type="begPts" val="radial"/>
                <dgm:param type="connRout" val="curve"/>
                <dgm:param type="dim" val="1D"/>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val="norm"/>
      <dgm:resizeHandles val="exact"/>
    </dgm:varLst>
    <dgm:choose name="Name0">
      <dgm:if name="Name1" func="var" arg="dir" op="equ" val="norm">
        <dgm:choose name="Name2">
          <dgm:if name="Name3" axis="ch" ptType="node" func="cnt" arg="none" op="gt" val="2">
            <dgm:alg type="cycle">
              <dgm:param type="spanAng" val="360"/>
              <dgm:param type="stAng" val="0"/>
            </dgm:alg>
          </dgm:if>
          <dgm:else name="Name4">
            <dgm:alg type="cycle">
              <dgm:param type="spanAng" val="360"/>
              <dgm:param type="stAng" val="-90"/>
            </dgm:alg>
          </dgm:else>
        </dgm:choose>
      </dgm:if>
      <dgm:else name="Name5">
        <dgm:choose name="Name6">
          <dgm:if name="Name7" axis="ch" ptType="node" func="cnt" arg="none" op="gt" val="2">
            <dgm:alg type="cycle">
              <dgm:param type="spanAng" val="-360"/>
              <dgm:param type="stAng" val="0"/>
            </dgm:alg>
          </dgm:if>
          <dgm:else name="Name8">
            <dgm:alg type="cycle">
              <dgm:param type="spanAng" val="-360"/>
              <dgm:param type="stAng" val="9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arg="none"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false" cnt="1">
            <dgm:layoutNode name="sibTrans">
              <dgm:alg type="conn">
                <dgm:param type="begPts" val="radial"/>
                <dgm:param type="connRout" val="curve"/>
                <dgm:param type="dim" val="1D"/>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val="norm"/>
      <dgm:resizeHandles val="exact"/>
    </dgm:varLst>
    <dgm:choose name="Name0">
      <dgm:if name="Name1" func="var" arg="dir" op="equ" val="norm">
        <dgm:choose name="Name2">
          <dgm:if name="Name3" axis="ch" ptType="node" func="cnt" arg="none" op="gt" val="2">
            <dgm:alg type="cycle">
              <dgm:param type="spanAng" val="360"/>
              <dgm:param type="stAng" val="0"/>
            </dgm:alg>
          </dgm:if>
          <dgm:else name="Name4">
            <dgm:alg type="cycle">
              <dgm:param type="spanAng" val="360"/>
              <dgm:param type="stAng" val="-90"/>
            </dgm:alg>
          </dgm:else>
        </dgm:choose>
      </dgm:if>
      <dgm:else name="Name5">
        <dgm:choose name="Name6">
          <dgm:if name="Name7" axis="ch" ptType="node" func="cnt" arg="none" op="gt" val="2">
            <dgm:alg type="cycle">
              <dgm:param type="spanAng" val="-360"/>
              <dgm:param type="stAng" val="0"/>
            </dgm:alg>
          </dgm:if>
          <dgm:else name="Name8">
            <dgm:alg type="cycle">
              <dgm:param type="spanAng" val="-360"/>
              <dgm:param type="stAng" val="9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arg="none"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false" cnt="1">
            <dgm:layoutNode name="sibTrans">
              <dgm:alg type="conn">
                <dgm:param type="begPts" val="radial"/>
                <dgm:param type="connRout" val="curve"/>
                <dgm:param type="dim" val="1D"/>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eme1">
  <a:themeElements>
    <a:clrScheme name="CS_final">
      <a:dk1>
        <a:srgbClr val="000000"/>
      </a:dk1>
      <a:lt1>
        <a:sysClr val="window" lastClr="FFFFFF"/>
      </a:lt1>
      <a:dk2>
        <a:srgbClr val="00559D"/>
      </a:dk2>
      <a:lt2>
        <a:srgbClr val="EEF5F5"/>
      </a:lt2>
      <a:accent1>
        <a:srgbClr val="00828C"/>
      </a:accent1>
      <a:accent2>
        <a:srgbClr val="002A4E"/>
      </a:accent2>
      <a:accent3>
        <a:srgbClr val="CFE5E8"/>
      </a:accent3>
      <a:accent4>
        <a:srgbClr val="9C95C1"/>
      </a:accent4>
      <a:accent5>
        <a:srgbClr val="5D518A"/>
      </a:accent5>
      <a:accent6>
        <a:srgbClr val="2E94CB"/>
      </a:accent6>
      <a:hlink>
        <a:srgbClr val="00559D"/>
      </a:hlink>
      <a:folHlink>
        <a:srgbClr val="9454C3"/>
      </a:folHlink>
    </a:clrScheme>
    <a:fontScheme name="CORE Se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7BDD717-9C33-488F-A2F9-AD0599314FC4}">
  <we:reference id="wa104380526" version="1.1.0.0" store="en-US" storeType="omex"/>
  <we:alternateReferences>
    <we:reference id="WA104380526" version="1.1.0.0" store="" storeType="omex"/>
  </we:alternateReferences>
  <we:properties/>
  <we:bindings/>
  <we:snapshot xmlns:r="http://schemas.openxmlformats.org/officeDocument/2006/relationships"/>
</we:webextension>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4675B0F4C1FCA49B994ECF975D8C34D" ma:contentTypeVersion="11" ma:contentTypeDescription="Create a new document." ma:contentTypeScope="" ma:versionID="c1106f2ef73e0c03de4effafa025a557">
  <xsd:schema xmlns:xsd="http://www.w3.org/2001/XMLSchema" xmlns:xs="http://www.w3.org/2001/XMLSchema" xmlns:p="http://schemas.microsoft.com/office/2006/metadata/properties" xmlns:ns2="86462943-aab0-4b5c-b4d4-52178c4ef92d" xmlns:ns3="f1c09907-b33c-434e-8343-82e33730f999" targetNamespace="http://schemas.microsoft.com/office/2006/metadata/properties" ma:root="true" ma:fieldsID="2421ca98109ebf85d49228e7da423137" ns2:_="" ns3:_="">
    <xsd:import namespace="86462943-aab0-4b5c-b4d4-52178c4ef92d"/>
    <xsd:import namespace="f1c09907-b33c-434e-8343-82e33730f999"/>
    <xsd:element name="properties">
      <xsd:complexType>
        <xsd:sequence>
          <xsd:element name="documentManagement">
            <xsd:complexType>
              <xsd:all>
                <xsd:element ref="ns2:_dlc_DocId" minOccurs="0"/>
                <xsd:element ref="ns2:_dlc_DocIdUrl" minOccurs="0"/>
                <xsd:element ref="ns2:_dlc_DocIdPersistId" minOccurs="0"/>
                <xsd:element ref="ns3:MediaServiceBillingMetadata"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62943-aab0-4b5c-b4d4-52178c4ef92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c24e2503-0933-4752-abd9-675cda2c1316}" ma:internalName="TaxCatchAll" ma:showField="CatchAllData" ma:web="86462943-aab0-4b5c-b4d4-52178c4ef9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c09907-b33c-434e-8343-82e33730f999" elementFormDefault="qualified">
    <xsd:import namespace="http://schemas.microsoft.com/office/2006/documentManagement/types"/>
    <xsd:import namespace="http://schemas.microsoft.com/office/infopath/2007/PartnerControls"/>
    <xsd:element name="MediaServiceBillingMetadata" ma:index="11" nillable="true" ma:displayName="MediaServiceBillingMetadata" ma:hidden="true" ma:internalName="MediaServiceBillingMetadata" ma:readOnly="tru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b3e285b-e0ca-4a5b-a5c0-efc06264a33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86462943-aab0-4b5c-b4d4-52178c4ef92d">TPPNXHVH2SNC-688607999-43223</_dlc_DocId>
    <_dlc_DocIdUrl xmlns="86462943-aab0-4b5c-b4d4-52178c4ef92d">
      <Url>https://cmsgovonline.sharepoint.com/sites/CMS-SharePoint-CMCS-CAHPG-DQHO/_layouts/15/DocIdRedir.aspx?ID=TPPNXHVH2SNC-688607999-43223</Url>
      <Description>TPPNXHVH2SNC-688607999-43223</Description>
    </_dlc_DocIdUrl>
    <TaxCatchAll xmlns="86462943-aab0-4b5c-b4d4-52178c4ef92d" xsi:nil="true"/>
    <lcf76f155ced4ddcb4097134ff3c332f xmlns="f1c09907-b33c-434e-8343-82e33730f99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B515FB-4A21-4B20-951F-C08CF50C2679}">
  <ds:schemaRefs>
    <ds:schemaRef ds:uri="http://schemas.microsoft.com/sharepoint/events"/>
  </ds:schemaRefs>
</ds:datastoreItem>
</file>

<file path=customXml/itemProps2.xml><?xml version="1.0" encoding="utf-8"?>
<ds:datastoreItem xmlns:ds="http://schemas.openxmlformats.org/officeDocument/2006/customXml" ds:itemID="{89AFB807-C92E-4231-BE43-F9B497942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62943-aab0-4b5c-b4d4-52178c4ef92d"/>
    <ds:schemaRef ds:uri="f1c09907-b33c-434e-8343-82e33730f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C385C4-942E-432F-9E3F-C398D146A2B1}">
  <ds:schemaRefs>
    <ds:schemaRef ds:uri="http://schemas.microsoft.com/office/2006/metadata/properties"/>
    <ds:schemaRef ds:uri="http://schemas.microsoft.com/office/infopath/2007/PartnerControls"/>
    <ds:schemaRef ds:uri="86462943-aab0-4b5c-b4d4-52178c4ef92d"/>
    <ds:schemaRef ds:uri="f1c09907-b33c-434e-8343-82e33730f999"/>
  </ds:schemaRefs>
</ds:datastoreItem>
</file>

<file path=customXml/itemProps4.xml><?xml version="1.0" encoding="utf-8"?>
<ds:datastoreItem xmlns:ds="http://schemas.openxmlformats.org/officeDocument/2006/customXml" ds:itemID="{AA1198D1-6718-4C1C-AECD-4CE1085F5167}">
  <ds:schemaRefs>
    <ds:schemaRef ds:uri="http://schemas.microsoft.com/sharepoint/v3/contenttype/forms"/>
  </ds:schemaRefs>
</ds:datastoreItem>
</file>

<file path=customXml/itemProps5.xml><?xml version="1.0" encoding="utf-8"?>
<ds:datastoreItem xmlns:ds="http://schemas.openxmlformats.org/officeDocument/2006/customXml" ds:itemID="{ADDC5303-762D-43EB-A7A2-886BC557F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50686_CORESET MASTER AND REPORT TEMPLATE.dotm</Template>
  <TotalTime>173</TotalTime>
  <Pages>529</Pages>
  <Words>135279</Words>
  <Characters>858664</Characters>
  <Application>Microsoft Office Word</Application>
  <DocSecurity>0</DocSecurity>
  <Lines>23851</Lines>
  <Paragraphs>11167</Paragraphs>
  <ScaleCrop>false</ScaleCrop>
  <HeadingPairs>
    <vt:vector size="2" baseType="variant">
      <vt:variant>
        <vt:lpstr>Title</vt:lpstr>
      </vt:variant>
      <vt:variant>
        <vt:i4>1</vt:i4>
      </vt:variant>
    </vt:vector>
  </HeadingPairs>
  <TitlesOfParts>
    <vt:vector size="1" baseType="lpstr">
      <vt:lpstr>CMS External Quality Review (EQR) Protocols</vt:lpstr>
    </vt:vector>
  </TitlesOfParts>
  <Company/>
  <LinksUpToDate>false</LinksUpToDate>
  <CharactersWithSpaces>982776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 External Quality Review (EQR) Protocols</dc:title>
  <dc:subject>External Quality Review (EQR) Protocols for Mandatory and Optional EQR-Related Activities</dc:subject>
  <dc:creator>Centers for Medicare &amp; Medicaid Services</dc:creator>
  <cp:keywords>External Quality Review, EQR; EQRO; Protocols; Medicaid; Managed Care; CHIP; CMS; Quality: Medicaid managed care rule:, Network Adequacy Validation Protocol, NAV</cp:keywords>
  <cp:lastModifiedBy>Hannah Klukoff</cp:lastModifiedBy>
  <cp:revision>16</cp:revision>
  <cp:lastPrinted>2023-01-28T17:10:00Z</cp:lastPrinted>
  <dcterms:created xsi:type="dcterms:W3CDTF">2026-03-24T19:51:00Z</dcterms:created>
  <dcterms:modified xsi:type="dcterms:W3CDTF">2026-04-27T20:36:00Z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0x01010034675B0F4C1FCA49B994ECF975D8C34D</vt:lpwstr>
  </property>
  <property fmtid="{D5CDD505-2E9C-101B-9397-08002B2CF9AE}" pid="3" name="docLang">
    <vt:lpwstr>en</vt:lpwstr>
  </property>
  <property fmtid="{D5CDD505-2E9C-101B-9397-08002B2CF9AE}" pid="4" name="GrammarlyDocumentId">
    <vt:lpwstr>67a86d0edb1345a30c3e113ce5ee71d85f49182996b2f552e785dc92c3a60271</vt:lpwstr>
  </property>
  <property fmtid="{D5CDD505-2E9C-101B-9397-08002B2CF9AE}" pid="5" name="MediaServiceImageTags">
    <vt:lpwstr/>
  </property>
  <property fmtid="{D5CDD505-2E9C-101B-9397-08002B2CF9AE}" pid="6" name="_dlc_DocIdItemGuid">
    <vt:lpwstr>595f3828-80c7-425e-9548-d3fa5d1dca18</vt:lpwstr>
  </property>
  <property fmtid="{D5CDD505-2E9C-101B-9397-08002B2CF9AE}" pid="7" name="_NewReviewCycle">
    <vt:lpwstr/>
  </property>
</Properties>
</file>